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FDA" w:rsidRDefault="00904FDA" w:rsidP="00904FDA">
      <w:pPr>
        <w:jc w:val="center"/>
        <w:rPr>
          <w:rFonts w:asciiTheme="majorHAnsi" w:hAnsiTheme="majorHAnsi"/>
          <w:b/>
          <w:sz w:val="32"/>
          <w:szCs w:val="32"/>
        </w:rPr>
      </w:pPr>
    </w:p>
    <w:p w:rsidR="00933BCB" w:rsidRDefault="00933BCB" w:rsidP="00904FDA">
      <w:pPr>
        <w:jc w:val="center"/>
        <w:rPr>
          <w:rFonts w:asciiTheme="majorHAnsi" w:hAnsiTheme="majorHAnsi"/>
          <w:b/>
          <w:sz w:val="32"/>
          <w:szCs w:val="32"/>
        </w:rPr>
      </w:pPr>
    </w:p>
    <w:p w:rsidR="00904FDA" w:rsidRPr="00904FDA" w:rsidRDefault="00904FDA" w:rsidP="00904FDA">
      <w:pPr>
        <w:jc w:val="center"/>
        <w:rPr>
          <w:rFonts w:asciiTheme="majorHAnsi" w:hAnsiTheme="majorHAnsi"/>
          <w:b/>
          <w:sz w:val="32"/>
          <w:szCs w:val="32"/>
        </w:rPr>
      </w:pPr>
    </w:p>
    <w:p w:rsidR="00904FDA" w:rsidRPr="00904FDA" w:rsidRDefault="00904FDA" w:rsidP="00904FDA">
      <w:pPr>
        <w:jc w:val="center"/>
        <w:rPr>
          <w:rFonts w:asciiTheme="majorHAnsi" w:hAnsiTheme="majorHAnsi"/>
          <w:b/>
          <w:sz w:val="32"/>
          <w:szCs w:val="32"/>
        </w:rPr>
      </w:pPr>
    </w:p>
    <w:p w:rsidR="00904FDA" w:rsidRPr="00904FDA" w:rsidRDefault="00904FDA" w:rsidP="00904FDA">
      <w:pPr>
        <w:jc w:val="center"/>
        <w:rPr>
          <w:rFonts w:asciiTheme="majorHAnsi" w:hAnsiTheme="majorHAnsi"/>
          <w:b/>
          <w:sz w:val="32"/>
          <w:szCs w:val="32"/>
        </w:rPr>
      </w:pPr>
    </w:p>
    <w:p w:rsidR="00904FDA" w:rsidRPr="00904FDA" w:rsidRDefault="00904FDA" w:rsidP="00904FDA">
      <w:pPr>
        <w:jc w:val="center"/>
        <w:rPr>
          <w:rFonts w:asciiTheme="majorHAnsi" w:hAnsiTheme="majorHAnsi"/>
          <w:b/>
          <w:sz w:val="32"/>
          <w:szCs w:val="32"/>
        </w:rPr>
      </w:pPr>
    </w:p>
    <w:p w:rsidR="00083AE8" w:rsidRDefault="00083AE8" w:rsidP="001869BF">
      <w:pPr>
        <w:spacing w:after="240"/>
        <w:jc w:val="center"/>
        <w:rPr>
          <w:rFonts w:asciiTheme="minorHAnsi" w:hAnsiTheme="minorHAnsi"/>
          <w:b/>
          <w:sz w:val="52"/>
          <w:szCs w:val="52"/>
        </w:rPr>
      </w:pPr>
    </w:p>
    <w:p w:rsidR="00904FDA" w:rsidRPr="001869BF" w:rsidRDefault="00904FDA" w:rsidP="001869BF">
      <w:pPr>
        <w:spacing w:after="240"/>
        <w:jc w:val="center"/>
        <w:rPr>
          <w:rFonts w:asciiTheme="minorHAnsi" w:hAnsiTheme="minorHAnsi"/>
          <w:b/>
          <w:sz w:val="52"/>
          <w:szCs w:val="52"/>
        </w:rPr>
      </w:pPr>
      <w:r w:rsidRPr="001869BF">
        <w:rPr>
          <w:rFonts w:asciiTheme="minorHAnsi" w:hAnsiTheme="minorHAnsi"/>
          <w:b/>
          <w:sz w:val="52"/>
          <w:szCs w:val="52"/>
        </w:rPr>
        <w:t>Pharmaceutical Benefits Scheme</w:t>
      </w:r>
    </w:p>
    <w:p w:rsidR="00904FDA" w:rsidRPr="001869BF" w:rsidRDefault="00904FDA" w:rsidP="001869BF">
      <w:pPr>
        <w:spacing w:before="480" w:after="240"/>
        <w:jc w:val="center"/>
        <w:rPr>
          <w:rFonts w:asciiTheme="minorHAnsi" w:hAnsiTheme="minorHAnsi"/>
          <w:b/>
          <w:sz w:val="40"/>
          <w:szCs w:val="40"/>
        </w:rPr>
      </w:pPr>
      <w:r w:rsidRPr="001869BF">
        <w:rPr>
          <w:rFonts w:asciiTheme="minorHAnsi" w:hAnsiTheme="minorHAnsi"/>
          <w:b/>
          <w:sz w:val="40"/>
          <w:szCs w:val="40"/>
        </w:rPr>
        <w:t>Post-market Review</w:t>
      </w:r>
    </w:p>
    <w:p w:rsidR="00083AE8" w:rsidRDefault="00083AE8" w:rsidP="001223EF">
      <w:pPr>
        <w:spacing w:before="240"/>
        <w:jc w:val="center"/>
        <w:rPr>
          <w:rFonts w:asciiTheme="minorHAnsi" w:hAnsiTheme="minorHAnsi"/>
          <w:b/>
          <w:color w:val="365F91" w:themeColor="accent1" w:themeShade="BF"/>
          <w:sz w:val="32"/>
          <w:szCs w:val="32"/>
        </w:rPr>
      </w:pPr>
      <w:bookmarkStart w:id="0" w:name="_Toc341175223"/>
      <w:bookmarkStart w:id="1" w:name="_Toc341180114"/>
      <w:bookmarkStart w:id="2" w:name="_Toc341718010"/>
      <w:bookmarkStart w:id="3" w:name="_Toc341946998"/>
      <w:bookmarkStart w:id="4" w:name="_Toc341964940"/>
      <w:bookmarkStart w:id="5" w:name="_Toc342478568"/>
      <w:bookmarkStart w:id="6" w:name="_Toc342558104"/>
      <w:bookmarkStart w:id="7" w:name="_Toc351967067"/>
      <w:bookmarkStart w:id="8" w:name="_Toc359831559"/>
      <w:bookmarkStart w:id="9" w:name="_Toc359914389"/>
      <w:bookmarkStart w:id="10" w:name="_Toc360710900"/>
      <w:bookmarkStart w:id="11" w:name="_Toc368383244"/>
      <w:bookmarkStart w:id="12" w:name="_Toc371521186"/>
    </w:p>
    <w:p w:rsidR="001223EF" w:rsidRPr="001223EF" w:rsidRDefault="001223EF" w:rsidP="001223EF">
      <w:pPr>
        <w:spacing w:before="240"/>
        <w:jc w:val="center"/>
        <w:rPr>
          <w:rFonts w:asciiTheme="minorHAnsi" w:hAnsiTheme="minorHAnsi"/>
          <w:b/>
          <w:color w:val="365F91" w:themeColor="accent1" w:themeShade="BF"/>
          <w:sz w:val="32"/>
          <w:szCs w:val="32"/>
        </w:rPr>
      </w:pPr>
      <w:r w:rsidRPr="001223EF">
        <w:rPr>
          <w:rFonts w:asciiTheme="minorHAnsi" w:hAnsiTheme="minorHAnsi"/>
          <w:b/>
          <w:color w:val="365F91" w:themeColor="accent1" w:themeShade="BF"/>
          <w:sz w:val="32"/>
          <w:szCs w:val="32"/>
        </w:rPr>
        <w:t xml:space="preserve">Post-market Review of Medicines Used for Smoking Cessation </w:t>
      </w:r>
    </w:p>
    <w:p w:rsidR="00904FDA" w:rsidRPr="001869BF" w:rsidRDefault="00904FDA" w:rsidP="001223EF">
      <w:pPr>
        <w:spacing w:before="240"/>
        <w:jc w:val="center"/>
        <w:rPr>
          <w:rFonts w:asciiTheme="minorHAnsi" w:hAnsiTheme="minorHAnsi"/>
          <w:b/>
          <w:i/>
          <w:color w:val="365F91" w:themeColor="accent1" w:themeShade="BF"/>
          <w:sz w:val="28"/>
          <w:szCs w:val="28"/>
        </w:rPr>
      </w:pPr>
      <w:r w:rsidRPr="001869BF">
        <w:rPr>
          <w:rFonts w:asciiTheme="minorHAnsi" w:hAnsiTheme="minorHAnsi"/>
          <w:b/>
          <w:i/>
          <w:color w:val="365F91" w:themeColor="accent1" w:themeShade="BF"/>
          <w:sz w:val="28"/>
          <w:szCs w:val="28"/>
        </w:rPr>
        <w:t xml:space="preserve">Report to </w:t>
      </w:r>
      <w:bookmarkEnd w:id="0"/>
      <w:bookmarkEnd w:id="1"/>
      <w:bookmarkEnd w:id="2"/>
      <w:bookmarkEnd w:id="3"/>
      <w:bookmarkEnd w:id="4"/>
      <w:bookmarkEnd w:id="5"/>
      <w:bookmarkEnd w:id="6"/>
      <w:bookmarkEnd w:id="7"/>
      <w:bookmarkEnd w:id="8"/>
      <w:bookmarkEnd w:id="9"/>
      <w:bookmarkEnd w:id="10"/>
      <w:bookmarkEnd w:id="11"/>
      <w:bookmarkEnd w:id="12"/>
      <w:r w:rsidR="00270470" w:rsidRPr="001869BF">
        <w:rPr>
          <w:rFonts w:asciiTheme="minorHAnsi" w:hAnsiTheme="minorHAnsi"/>
          <w:b/>
          <w:i/>
          <w:color w:val="365F91" w:themeColor="accent1" w:themeShade="BF"/>
          <w:sz w:val="28"/>
          <w:szCs w:val="28"/>
        </w:rPr>
        <w:t>PBAC</w:t>
      </w:r>
    </w:p>
    <w:p w:rsidR="00904FDA" w:rsidRPr="004B11B2" w:rsidRDefault="00904FDA" w:rsidP="00904FDA">
      <w:pPr>
        <w:rPr>
          <w:rFonts w:asciiTheme="majorHAnsi" w:hAnsiTheme="majorHAnsi"/>
        </w:rPr>
      </w:pPr>
    </w:p>
    <w:p w:rsidR="00904FDA" w:rsidRPr="004B11B2" w:rsidRDefault="00904FDA" w:rsidP="00904FDA">
      <w:pPr>
        <w:rPr>
          <w:rFonts w:asciiTheme="majorHAnsi" w:hAnsiTheme="majorHAnsi"/>
        </w:rPr>
      </w:pPr>
    </w:p>
    <w:p w:rsidR="00904FDA" w:rsidRPr="001869BF" w:rsidRDefault="00AD56F6" w:rsidP="001869BF">
      <w:pPr>
        <w:spacing w:before="240"/>
        <w:jc w:val="center"/>
        <w:rPr>
          <w:rFonts w:asciiTheme="minorHAnsi" w:hAnsiTheme="minorHAnsi"/>
          <w:b/>
          <w:i/>
          <w:color w:val="365F91" w:themeColor="accent1" w:themeShade="BF"/>
          <w:sz w:val="28"/>
          <w:szCs w:val="28"/>
        </w:rPr>
      </w:pPr>
      <w:r>
        <w:rPr>
          <w:rFonts w:asciiTheme="minorHAnsi" w:hAnsiTheme="minorHAnsi"/>
          <w:b/>
          <w:i/>
          <w:color w:val="365F91" w:themeColor="accent1" w:themeShade="BF"/>
          <w:sz w:val="28"/>
          <w:szCs w:val="28"/>
        </w:rPr>
        <w:t>ToR3</w:t>
      </w:r>
      <w:r w:rsidR="00F30B03">
        <w:rPr>
          <w:rFonts w:asciiTheme="minorHAnsi" w:hAnsiTheme="minorHAnsi"/>
          <w:b/>
          <w:i/>
          <w:color w:val="365F91" w:themeColor="accent1" w:themeShade="BF"/>
          <w:sz w:val="28"/>
          <w:szCs w:val="28"/>
        </w:rPr>
        <w:t>: Systematic Review of Comparative Efficacy and Safety</w:t>
      </w:r>
    </w:p>
    <w:p w:rsidR="00904FDA" w:rsidRPr="004B11B2" w:rsidRDefault="00904FDA" w:rsidP="00904FDA">
      <w:pPr>
        <w:rPr>
          <w:rFonts w:asciiTheme="majorHAnsi" w:hAnsiTheme="majorHAnsi"/>
          <w:b/>
          <w:bCs/>
        </w:rPr>
      </w:pPr>
      <w:r w:rsidRPr="004B11B2">
        <w:rPr>
          <w:rFonts w:asciiTheme="majorHAnsi" w:hAnsiTheme="majorHAnsi"/>
        </w:rPr>
        <w:br w:type="page"/>
      </w:r>
    </w:p>
    <w:sdt>
      <w:sdtPr>
        <w:rPr>
          <w:rFonts w:eastAsiaTheme="minorHAnsi" w:cstheme="minorBidi"/>
          <w:b w:val="0"/>
          <w:bCs w:val="0"/>
          <w:color w:val="auto"/>
          <w:sz w:val="24"/>
          <w:szCs w:val="22"/>
          <w:lang w:val="en-AU" w:eastAsia="en-AU"/>
        </w:rPr>
        <w:id w:val="-528867377"/>
        <w:docPartObj>
          <w:docPartGallery w:val="Table of Contents"/>
          <w:docPartUnique/>
        </w:docPartObj>
      </w:sdtPr>
      <w:sdtEndPr>
        <w:rPr>
          <w:noProof/>
        </w:rPr>
      </w:sdtEndPr>
      <w:sdtContent>
        <w:p w:rsidR="00884D0D" w:rsidRDefault="00884D0D" w:rsidP="00884D0D">
          <w:pPr>
            <w:pStyle w:val="TOCHeading"/>
            <w:numPr>
              <w:ilvl w:val="0"/>
              <w:numId w:val="0"/>
            </w:numPr>
            <w:ind w:left="432"/>
          </w:pPr>
          <w:r>
            <w:t>Contents</w:t>
          </w:r>
        </w:p>
        <w:p w:rsidR="00884D0D" w:rsidRDefault="00884D0D">
          <w:pPr>
            <w:pStyle w:val="TOC1"/>
            <w:tabs>
              <w:tab w:val="right" w:leader="dot" w:pos="9016"/>
            </w:tabs>
            <w:rPr>
              <w:rFonts w:asciiTheme="minorHAnsi" w:eastAsiaTheme="minorEastAsia" w:hAnsiTheme="minorHAnsi"/>
              <w:noProof/>
              <w:sz w:val="22"/>
            </w:rPr>
          </w:pPr>
          <w:r>
            <w:fldChar w:fldCharType="begin"/>
          </w:r>
          <w:r>
            <w:instrText xml:space="preserve"> TOC \o "1-3" \h \z \u </w:instrText>
          </w:r>
          <w:r>
            <w:fldChar w:fldCharType="separate"/>
          </w:r>
          <w:hyperlink w:anchor="_Toc73525609" w:history="1">
            <w:r w:rsidRPr="00194D38">
              <w:rPr>
                <w:rStyle w:val="Hyperlink"/>
                <w:noProof/>
              </w:rPr>
              <w:t>Abbreviations</w:t>
            </w:r>
            <w:r>
              <w:rPr>
                <w:noProof/>
                <w:webHidden/>
              </w:rPr>
              <w:tab/>
            </w:r>
            <w:r>
              <w:rPr>
                <w:noProof/>
                <w:webHidden/>
              </w:rPr>
              <w:fldChar w:fldCharType="begin"/>
            </w:r>
            <w:r>
              <w:rPr>
                <w:noProof/>
                <w:webHidden/>
              </w:rPr>
              <w:instrText xml:space="preserve"> PAGEREF _Toc73525609 \h </w:instrText>
            </w:r>
            <w:r>
              <w:rPr>
                <w:noProof/>
                <w:webHidden/>
              </w:rPr>
            </w:r>
            <w:r>
              <w:rPr>
                <w:noProof/>
                <w:webHidden/>
              </w:rPr>
              <w:fldChar w:fldCharType="separate"/>
            </w:r>
            <w:r w:rsidR="006908BC">
              <w:rPr>
                <w:noProof/>
                <w:webHidden/>
              </w:rPr>
              <w:t>4</w:t>
            </w:r>
            <w:r>
              <w:rPr>
                <w:noProof/>
                <w:webHidden/>
              </w:rPr>
              <w:fldChar w:fldCharType="end"/>
            </w:r>
          </w:hyperlink>
        </w:p>
        <w:p w:rsidR="00884D0D" w:rsidRDefault="006908BC">
          <w:pPr>
            <w:pStyle w:val="TOC1"/>
            <w:tabs>
              <w:tab w:val="right" w:leader="dot" w:pos="9016"/>
            </w:tabs>
            <w:rPr>
              <w:rFonts w:asciiTheme="minorHAnsi" w:eastAsiaTheme="minorEastAsia" w:hAnsiTheme="minorHAnsi"/>
              <w:noProof/>
              <w:sz w:val="22"/>
            </w:rPr>
          </w:pPr>
          <w:hyperlink w:anchor="_Toc73525610" w:history="1">
            <w:r w:rsidR="00884D0D" w:rsidRPr="00194D38">
              <w:rPr>
                <w:rStyle w:val="Hyperlink"/>
                <w:noProof/>
              </w:rPr>
              <w:t>Section 3: ToR 3 Efficacy and safety of nicotine replacement therapy, varenicline and bupropion for smoking cessation including combination therapies</w:t>
            </w:r>
            <w:r w:rsidR="00884D0D">
              <w:rPr>
                <w:noProof/>
                <w:webHidden/>
              </w:rPr>
              <w:tab/>
            </w:r>
            <w:r w:rsidR="00884D0D">
              <w:rPr>
                <w:noProof/>
                <w:webHidden/>
              </w:rPr>
              <w:fldChar w:fldCharType="begin"/>
            </w:r>
            <w:r w:rsidR="00884D0D">
              <w:rPr>
                <w:noProof/>
                <w:webHidden/>
              </w:rPr>
              <w:instrText xml:space="preserve"> PAGEREF _Toc73525610 \h </w:instrText>
            </w:r>
            <w:r w:rsidR="00884D0D">
              <w:rPr>
                <w:noProof/>
                <w:webHidden/>
              </w:rPr>
            </w:r>
            <w:r w:rsidR="00884D0D">
              <w:rPr>
                <w:noProof/>
                <w:webHidden/>
              </w:rPr>
              <w:fldChar w:fldCharType="separate"/>
            </w:r>
            <w:r>
              <w:rPr>
                <w:noProof/>
                <w:webHidden/>
              </w:rPr>
              <w:t>6</w:t>
            </w:r>
            <w:r w:rsidR="00884D0D">
              <w:rPr>
                <w:noProof/>
                <w:webHidden/>
              </w:rPr>
              <w:fldChar w:fldCharType="end"/>
            </w:r>
          </w:hyperlink>
        </w:p>
        <w:p w:rsidR="00884D0D" w:rsidRDefault="006908BC">
          <w:pPr>
            <w:pStyle w:val="TOC2"/>
            <w:tabs>
              <w:tab w:val="left" w:pos="880"/>
              <w:tab w:val="right" w:leader="dot" w:pos="9016"/>
            </w:tabs>
            <w:rPr>
              <w:rFonts w:asciiTheme="minorHAnsi" w:eastAsiaTheme="minorEastAsia" w:hAnsiTheme="minorHAnsi"/>
              <w:noProof/>
              <w:sz w:val="22"/>
            </w:rPr>
          </w:pPr>
          <w:hyperlink w:anchor="_Toc73525611" w:history="1">
            <w:r w:rsidR="00884D0D" w:rsidRPr="00194D38">
              <w:rPr>
                <w:rStyle w:val="Hyperlink"/>
                <w:noProof/>
              </w:rPr>
              <w:t>3.1</w:t>
            </w:r>
            <w:r w:rsidR="00884D0D">
              <w:rPr>
                <w:rFonts w:asciiTheme="minorHAnsi" w:eastAsiaTheme="minorEastAsia" w:hAnsiTheme="minorHAnsi"/>
                <w:noProof/>
                <w:sz w:val="22"/>
              </w:rPr>
              <w:tab/>
            </w:r>
            <w:r w:rsidR="00884D0D" w:rsidRPr="00194D38">
              <w:rPr>
                <w:rStyle w:val="Hyperlink"/>
                <w:noProof/>
              </w:rPr>
              <w:t>Key findings for ToR 3</w:t>
            </w:r>
            <w:r w:rsidR="00884D0D">
              <w:rPr>
                <w:noProof/>
                <w:webHidden/>
              </w:rPr>
              <w:tab/>
            </w:r>
            <w:r w:rsidR="00884D0D">
              <w:rPr>
                <w:noProof/>
                <w:webHidden/>
              </w:rPr>
              <w:fldChar w:fldCharType="begin"/>
            </w:r>
            <w:r w:rsidR="00884D0D">
              <w:rPr>
                <w:noProof/>
                <w:webHidden/>
              </w:rPr>
              <w:instrText xml:space="preserve"> PAGEREF _Toc73525611 \h </w:instrText>
            </w:r>
            <w:r w:rsidR="00884D0D">
              <w:rPr>
                <w:noProof/>
                <w:webHidden/>
              </w:rPr>
            </w:r>
            <w:r w:rsidR="00884D0D">
              <w:rPr>
                <w:noProof/>
                <w:webHidden/>
              </w:rPr>
              <w:fldChar w:fldCharType="separate"/>
            </w:r>
            <w:r>
              <w:rPr>
                <w:noProof/>
                <w:webHidden/>
              </w:rPr>
              <w:t>6</w:t>
            </w:r>
            <w:r w:rsidR="00884D0D">
              <w:rPr>
                <w:noProof/>
                <w:webHidden/>
              </w:rPr>
              <w:fldChar w:fldCharType="end"/>
            </w:r>
          </w:hyperlink>
        </w:p>
        <w:p w:rsidR="00884D0D" w:rsidRDefault="006908BC">
          <w:pPr>
            <w:pStyle w:val="TOC3"/>
            <w:tabs>
              <w:tab w:val="left" w:pos="1320"/>
              <w:tab w:val="right" w:leader="dot" w:pos="9016"/>
            </w:tabs>
            <w:rPr>
              <w:rFonts w:asciiTheme="minorHAnsi" w:eastAsiaTheme="minorEastAsia" w:hAnsiTheme="minorHAnsi"/>
              <w:noProof/>
              <w:sz w:val="22"/>
            </w:rPr>
          </w:pPr>
          <w:hyperlink w:anchor="_Toc73525612" w:history="1">
            <w:r w:rsidR="00884D0D" w:rsidRPr="00194D38">
              <w:rPr>
                <w:rStyle w:val="Hyperlink"/>
                <w:noProof/>
              </w:rPr>
              <w:t>3.1.1</w:t>
            </w:r>
            <w:r w:rsidR="00884D0D">
              <w:rPr>
                <w:rFonts w:asciiTheme="minorHAnsi" w:eastAsiaTheme="minorEastAsia" w:hAnsiTheme="minorHAnsi"/>
                <w:noProof/>
                <w:sz w:val="22"/>
              </w:rPr>
              <w:tab/>
            </w:r>
            <w:r w:rsidR="00884D0D" w:rsidRPr="00194D38">
              <w:rPr>
                <w:rStyle w:val="Hyperlink"/>
                <w:noProof/>
              </w:rPr>
              <w:t>Monotherapy in the general population</w:t>
            </w:r>
            <w:r w:rsidR="00884D0D">
              <w:rPr>
                <w:noProof/>
                <w:webHidden/>
              </w:rPr>
              <w:tab/>
            </w:r>
            <w:r w:rsidR="00884D0D">
              <w:rPr>
                <w:noProof/>
                <w:webHidden/>
              </w:rPr>
              <w:fldChar w:fldCharType="begin"/>
            </w:r>
            <w:r w:rsidR="00884D0D">
              <w:rPr>
                <w:noProof/>
                <w:webHidden/>
              </w:rPr>
              <w:instrText xml:space="preserve"> PAGEREF _Toc73525612 \h </w:instrText>
            </w:r>
            <w:r w:rsidR="00884D0D">
              <w:rPr>
                <w:noProof/>
                <w:webHidden/>
              </w:rPr>
            </w:r>
            <w:r w:rsidR="00884D0D">
              <w:rPr>
                <w:noProof/>
                <w:webHidden/>
              </w:rPr>
              <w:fldChar w:fldCharType="separate"/>
            </w:r>
            <w:r>
              <w:rPr>
                <w:noProof/>
                <w:webHidden/>
              </w:rPr>
              <w:t>6</w:t>
            </w:r>
            <w:r w:rsidR="00884D0D">
              <w:rPr>
                <w:noProof/>
                <w:webHidden/>
              </w:rPr>
              <w:fldChar w:fldCharType="end"/>
            </w:r>
          </w:hyperlink>
        </w:p>
        <w:p w:rsidR="00884D0D" w:rsidRDefault="006908BC">
          <w:pPr>
            <w:pStyle w:val="TOC3"/>
            <w:tabs>
              <w:tab w:val="left" w:pos="1320"/>
              <w:tab w:val="right" w:leader="dot" w:pos="9016"/>
            </w:tabs>
            <w:rPr>
              <w:rFonts w:asciiTheme="minorHAnsi" w:eastAsiaTheme="minorEastAsia" w:hAnsiTheme="minorHAnsi"/>
              <w:noProof/>
              <w:sz w:val="22"/>
            </w:rPr>
          </w:pPr>
          <w:hyperlink w:anchor="_Toc73525613" w:history="1">
            <w:r w:rsidR="00884D0D" w:rsidRPr="00194D38">
              <w:rPr>
                <w:rStyle w:val="Hyperlink"/>
                <w:noProof/>
              </w:rPr>
              <w:t>3.1.2</w:t>
            </w:r>
            <w:r w:rsidR="00884D0D">
              <w:rPr>
                <w:rFonts w:asciiTheme="minorHAnsi" w:eastAsiaTheme="minorEastAsia" w:hAnsiTheme="minorHAnsi"/>
                <w:noProof/>
                <w:sz w:val="22"/>
              </w:rPr>
              <w:tab/>
            </w:r>
            <w:r w:rsidR="00884D0D" w:rsidRPr="00194D38">
              <w:rPr>
                <w:rStyle w:val="Hyperlink"/>
                <w:noProof/>
              </w:rPr>
              <w:t>Combination therapy in the general population</w:t>
            </w:r>
            <w:r w:rsidR="00884D0D">
              <w:rPr>
                <w:noProof/>
                <w:webHidden/>
              </w:rPr>
              <w:tab/>
            </w:r>
            <w:r w:rsidR="00884D0D">
              <w:rPr>
                <w:noProof/>
                <w:webHidden/>
              </w:rPr>
              <w:fldChar w:fldCharType="begin"/>
            </w:r>
            <w:r w:rsidR="00884D0D">
              <w:rPr>
                <w:noProof/>
                <w:webHidden/>
              </w:rPr>
              <w:instrText xml:space="preserve"> PAGEREF _Toc73525613 \h </w:instrText>
            </w:r>
            <w:r w:rsidR="00884D0D">
              <w:rPr>
                <w:noProof/>
                <w:webHidden/>
              </w:rPr>
            </w:r>
            <w:r w:rsidR="00884D0D">
              <w:rPr>
                <w:noProof/>
                <w:webHidden/>
              </w:rPr>
              <w:fldChar w:fldCharType="separate"/>
            </w:r>
            <w:r>
              <w:rPr>
                <w:noProof/>
                <w:webHidden/>
              </w:rPr>
              <w:t>11</w:t>
            </w:r>
            <w:r w:rsidR="00884D0D">
              <w:rPr>
                <w:noProof/>
                <w:webHidden/>
              </w:rPr>
              <w:fldChar w:fldCharType="end"/>
            </w:r>
          </w:hyperlink>
        </w:p>
        <w:p w:rsidR="00884D0D" w:rsidRDefault="006908BC">
          <w:pPr>
            <w:pStyle w:val="TOC3"/>
            <w:tabs>
              <w:tab w:val="left" w:pos="1320"/>
              <w:tab w:val="right" w:leader="dot" w:pos="9016"/>
            </w:tabs>
            <w:rPr>
              <w:rFonts w:asciiTheme="minorHAnsi" w:eastAsiaTheme="minorEastAsia" w:hAnsiTheme="minorHAnsi"/>
              <w:noProof/>
              <w:sz w:val="22"/>
            </w:rPr>
          </w:pPr>
          <w:hyperlink w:anchor="_Toc73525614" w:history="1">
            <w:r w:rsidR="00884D0D" w:rsidRPr="00194D38">
              <w:rPr>
                <w:rStyle w:val="Hyperlink"/>
                <w:noProof/>
              </w:rPr>
              <w:t>3.1.3</w:t>
            </w:r>
            <w:r w:rsidR="00884D0D">
              <w:rPr>
                <w:rFonts w:asciiTheme="minorHAnsi" w:eastAsiaTheme="minorEastAsia" w:hAnsiTheme="minorHAnsi"/>
                <w:noProof/>
                <w:sz w:val="22"/>
              </w:rPr>
              <w:tab/>
            </w:r>
            <w:r w:rsidR="00884D0D" w:rsidRPr="00194D38">
              <w:rPr>
                <w:rStyle w:val="Hyperlink"/>
                <w:noProof/>
              </w:rPr>
              <w:t>NRT dose, dosage form and length of therapy</w:t>
            </w:r>
            <w:r w:rsidR="00884D0D">
              <w:rPr>
                <w:noProof/>
                <w:webHidden/>
              </w:rPr>
              <w:tab/>
            </w:r>
            <w:r w:rsidR="00884D0D">
              <w:rPr>
                <w:noProof/>
                <w:webHidden/>
              </w:rPr>
              <w:fldChar w:fldCharType="begin"/>
            </w:r>
            <w:r w:rsidR="00884D0D">
              <w:rPr>
                <w:noProof/>
                <w:webHidden/>
              </w:rPr>
              <w:instrText xml:space="preserve"> PAGEREF _Toc73525614 \h </w:instrText>
            </w:r>
            <w:r w:rsidR="00884D0D">
              <w:rPr>
                <w:noProof/>
                <w:webHidden/>
              </w:rPr>
            </w:r>
            <w:r w:rsidR="00884D0D">
              <w:rPr>
                <w:noProof/>
                <w:webHidden/>
              </w:rPr>
              <w:fldChar w:fldCharType="separate"/>
            </w:r>
            <w:r>
              <w:rPr>
                <w:noProof/>
                <w:webHidden/>
              </w:rPr>
              <w:t>15</w:t>
            </w:r>
            <w:r w:rsidR="00884D0D">
              <w:rPr>
                <w:noProof/>
                <w:webHidden/>
              </w:rPr>
              <w:fldChar w:fldCharType="end"/>
            </w:r>
          </w:hyperlink>
        </w:p>
        <w:p w:rsidR="00884D0D" w:rsidRDefault="006908BC">
          <w:pPr>
            <w:pStyle w:val="TOC3"/>
            <w:tabs>
              <w:tab w:val="left" w:pos="1320"/>
              <w:tab w:val="right" w:leader="dot" w:pos="9016"/>
            </w:tabs>
            <w:rPr>
              <w:rFonts w:asciiTheme="minorHAnsi" w:eastAsiaTheme="minorEastAsia" w:hAnsiTheme="minorHAnsi"/>
              <w:noProof/>
              <w:sz w:val="22"/>
            </w:rPr>
          </w:pPr>
          <w:hyperlink w:anchor="_Toc73525615" w:history="1">
            <w:r w:rsidR="00884D0D" w:rsidRPr="00194D38">
              <w:rPr>
                <w:rStyle w:val="Hyperlink"/>
                <w:noProof/>
              </w:rPr>
              <w:t>3.1.4</w:t>
            </w:r>
            <w:r w:rsidR="00884D0D">
              <w:rPr>
                <w:rFonts w:asciiTheme="minorHAnsi" w:eastAsiaTheme="minorEastAsia" w:hAnsiTheme="minorHAnsi"/>
                <w:noProof/>
                <w:sz w:val="22"/>
              </w:rPr>
              <w:tab/>
            </w:r>
            <w:r w:rsidR="00884D0D" w:rsidRPr="00194D38">
              <w:rPr>
                <w:rStyle w:val="Hyperlink"/>
                <w:noProof/>
              </w:rPr>
              <w:t>Behavioural interventions in combination with pharmacotherapies</w:t>
            </w:r>
            <w:r w:rsidR="00884D0D">
              <w:rPr>
                <w:noProof/>
                <w:webHidden/>
              </w:rPr>
              <w:tab/>
            </w:r>
            <w:r w:rsidR="00884D0D">
              <w:rPr>
                <w:noProof/>
                <w:webHidden/>
              </w:rPr>
              <w:fldChar w:fldCharType="begin"/>
            </w:r>
            <w:r w:rsidR="00884D0D">
              <w:rPr>
                <w:noProof/>
                <w:webHidden/>
              </w:rPr>
              <w:instrText xml:space="preserve"> PAGEREF _Toc73525615 \h </w:instrText>
            </w:r>
            <w:r w:rsidR="00884D0D">
              <w:rPr>
                <w:noProof/>
                <w:webHidden/>
              </w:rPr>
            </w:r>
            <w:r w:rsidR="00884D0D">
              <w:rPr>
                <w:noProof/>
                <w:webHidden/>
              </w:rPr>
              <w:fldChar w:fldCharType="separate"/>
            </w:r>
            <w:r>
              <w:rPr>
                <w:noProof/>
                <w:webHidden/>
              </w:rPr>
              <w:t>20</w:t>
            </w:r>
            <w:r w:rsidR="00884D0D">
              <w:rPr>
                <w:noProof/>
                <w:webHidden/>
              </w:rPr>
              <w:fldChar w:fldCharType="end"/>
            </w:r>
          </w:hyperlink>
        </w:p>
        <w:p w:rsidR="00884D0D" w:rsidRDefault="006908BC">
          <w:pPr>
            <w:pStyle w:val="TOC3"/>
            <w:tabs>
              <w:tab w:val="left" w:pos="1320"/>
              <w:tab w:val="right" w:leader="dot" w:pos="9016"/>
            </w:tabs>
            <w:rPr>
              <w:rFonts w:asciiTheme="minorHAnsi" w:eastAsiaTheme="minorEastAsia" w:hAnsiTheme="minorHAnsi"/>
              <w:noProof/>
              <w:sz w:val="22"/>
            </w:rPr>
          </w:pPr>
          <w:hyperlink w:anchor="_Toc73525616" w:history="1">
            <w:r w:rsidR="00884D0D" w:rsidRPr="00194D38">
              <w:rPr>
                <w:rStyle w:val="Hyperlink"/>
                <w:noProof/>
              </w:rPr>
              <w:t>3.1.5</w:t>
            </w:r>
            <w:r w:rsidR="00884D0D">
              <w:rPr>
                <w:rFonts w:asciiTheme="minorHAnsi" w:eastAsiaTheme="minorEastAsia" w:hAnsiTheme="minorHAnsi"/>
                <w:noProof/>
                <w:sz w:val="22"/>
              </w:rPr>
              <w:tab/>
            </w:r>
            <w:r w:rsidR="00884D0D" w:rsidRPr="00194D38">
              <w:rPr>
                <w:rStyle w:val="Hyperlink"/>
                <w:noProof/>
              </w:rPr>
              <w:t>Use in populations with specific needs</w:t>
            </w:r>
            <w:r w:rsidR="00884D0D">
              <w:rPr>
                <w:noProof/>
                <w:webHidden/>
              </w:rPr>
              <w:tab/>
            </w:r>
            <w:r w:rsidR="00884D0D">
              <w:rPr>
                <w:noProof/>
                <w:webHidden/>
              </w:rPr>
              <w:fldChar w:fldCharType="begin"/>
            </w:r>
            <w:r w:rsidR="00884D0D">
              <w:rPr>
                <w:noProof/>
                <w:webHidden/>
              </w:rPr>
              <w:instrText xml:space="preserve"> PAGEREF _Toc73525616 \h </w:instrText>
            </w:r>
            <w:r w:rsidR="00884D0D">
              <w:rPr>
                <w:noProof/>
                <w:webHidden/>
              </w:rPr>
            </w:r>
            <w:r w:rsidR="00884D0D">
              <w:rPr>
                <w:noProof/>
                <w:webHidden/>
              </w:rPr>
              <w:fldChar w:fldCharType="separate"/>
            </w:r>
            <w:r>
              <w:rPr>
                <w:noProof/>
                <w:webHidden/>
              </w:rPr>
              <w:t>21</w:t>
            </w:r>
            <w:r w:rsidR="00884D0D">
              <w:rPr>
                <w:noProof/>
                <w:webHidden/>
              </w:rPr>
              <w:fldChar w:fldCharType="end"/>
            </w:r>
          </w:hyperlink>
        </w:p>
        <w:p w:rsidR="00884D0D" w:rsidRDefault="006908BC">
          <w:pPr>
            <w:pStyle w:val="TOC3"/>
            <w:tabs>
              <w:tab w:val="left" w:pos="1320"/>
              <w:tab w:val="right" w:leader="dot" w:pos="9016"/>
            </w:tabs>
            <w:rPr>
              <w:rFonts w:asciiTheme="minorHAnsi" w:eastAsiaTheme="minorEastAsia" w:hAnsiTheme="minorHAnsi"/>
              <w:noProof/>
              <w:sz w:val="22"/>
            </w:rPr>
          </w:pPr>
          <w:hyperlink w:anchor="_Toc73525617" w:history="1">
            <w:r w:rsidR="00884D0D" w:rsidRPr="00194D38">
              <w:rPr>
                <w:rStyle w:val="Hyperlink"/>
                <w:noProof/>
              </w:rPr>
              <w:t>3.1.6</w:t>
            </w:r>
            <w:r w:rsidR="00884D0D">
              <w:rPr>
                <w:rFonts w:asciiTheme="minorHAnsi" w:eastAsiaTheme="minorEastAsia" w:hAnsiTheme="minorHAnsi"/>
                <w:noProof/>
                <w:sz w:val="22"/>
              </w:rPr>
              <w:tab/>
            </w:r>
            <w:r w:rsidR="00884D0D" w:rsidRPr="00194D38">
              <w:rPr>
                <w:rStyle w:val="Hyperlink"/>
                <w:noProof/>
              </w:rPr>
              <w:t>Stakeholder views (Forum and public consultations)</w:t>
            </w:r>
            <w:r w:rsidR="00884D0D">
              <w:rPr>
                <w:noProof/>
                <w:webHidden/>
              </w:rPr>
              <w:tab/>
            </w:r>
            <w:r w:rsidR="00884D0D">
              <w:rPr>
                <w:noProof/>
                <w:webHidden/>
              </w:rPr>
              <w:fldChar w:fldCharType="begin"/>
            </w:r>
            <w:r w:rsidR="00884D0D">
              <w:rPr>
                <w:noProof/>
                <w:webHidden/>
              </w:rPr>
              <w:instrText xml:space="preserve"> PAGEREF _Toc73525617 \h </w:instrText>
            </w:r>
            <w:r w:rsidR="00884D0D">
              <w:rPr>
                <w:noProof/>
                <w:webHidden/>
              </w:rPr>
            </w:r>
            <w:r w:rsidR="00884D0D">
              <w:rPr>
                <w:noProof/>
                <w:webHidden/>
              </w:rPr>
              <w:fldChar w:fldCharType="separate"/>
            </w:r>
            <w:r>
              <w:rPr>
                <w:noProof/>
                <w:webHidden/>
              </w:rPr>
              <w:t>23</w:t>
            </w:r>
            <w:r w:rsidR="00884D0D">
              <w:rPr>
                <w:noProof/>
                <w:webHidden/>
              </w:rPr>
              <w:fldChar w:fldCharType="end"/>
            </w:r>
          </w:hyperlink>
        </w:p>
        <w:p w:rsidR="00884D0D" w:rsidRDefault="006908BC">
          <w:pPr>
            <w:pStyle w:val="TOC2"/>
            <w:tabs>
              <w:tab w:val="left" w:pos="880"/>
              <w:tab w:val="right" w:leader="dot" w:pos="9016"/>
            </w:tabs>
            <w:rPr>
              <w:rFonts w:asciiTheme="minorHAnsi" w:eastAsiaTheme="minorEastAsia" w:hAnsiTheme="minorHAnsi"/>
              <w:noProof/>
              <w:sz w:val="22"/>
            </w:rPr>
          </w:pPr>
          <w:hyperlink w:anchor="_Toc73525618" w:history="1">
            <w:r w:rsidR="00884D0D" w:rsidRPr="00194D38">
              <w:rPr>
                <w:rStyle w:val="Hyperlink"/>
                <w:noProof/>
              </w:rPr>
              <w:t>3.2</w:t>
            </w:r>
            <w:r w:rsidR="00884D0D">
              <w:rPr>
                <w:rFonts w:asciiTheme="minorHAnsi" w:eastAsiaTheme="minorEastAsia" w:hAnsiTheme="minorHAnsi"/>
                <w:noProof/>
                <w:sz w:val="22"/>
              </w:rPr>
              <w:tab/>
            </w:r>
            <w:r w:rsidR="00884D0D" w:rsidRPr="00194D38">
              <w:rPr>
                <w:rStyle w:val="Hyperlink"/>
                <w:noProof/>
              </w:rPr>
              <w:t>Methodology and identification of relevant studies</w:t>
            </w:r>
            <w:r w:rsidR="00884D0D">
              <w:rPr>
                <w:noProof/>
                <w:webHidden/>
              </w:rPr>
              <w:tab/>
            </w:r>
            <w:r w:rsidR="00884D0D">
              <w:rPr>
                <w:noProof/>
                <w:webHidden/>
              </w:rPr>
              <w:fldChar w:fldCharType="begin"/>
            </w:r>
            <w:r w:rsidR="00884D0D">
              <w:rPr>
                <w:noProof/>
                <w:webHidden/>
              </w:rPr>
              <w:instrText xml:space="preserve"> PAGEREF _Toc73525618 \h </w:instrText>
            </w:r>
            <w:r w:rsidR="00884D0D">
              <w:rPr>
                <w:noProof/>
                <w:webHidden/>
              </w:rPr>
            </w:r>
            <w:r w:rsidR="00884D0D">
              <w:rPr>
                <w:noProof/>
                <w:webHidden/>
              </w:rPr>
              <w:fldChar w:fldCharType="separate"/>
            </w:r>
            <w:r>
              <w:rPr>
                <w:noProof/>
                <w:webHidden/>
              </w:rPr>
              <w:t>25</w:t>
            </w:r>
            <w:r w:rsidR="00884D0D">
              <w:rPr>
                <w:noProof/>
                <w:webHidden/>
              </w:rPr>
              <w:fldChar w:fldCharType="end"/>
            </w:r>
          </w:hyperlink>
        </w:p>
        <w:p w:rsidR="00884D0D" w:rsidRDefault="006908BC">
          <w:pPr>
            <w:pStyle w:val="TOC3"/>
            <w:tabs>
              <w:tab w:val="left" w:pos="1320"/>
              <w:tab w:val="right" w:leader="dot" w:pos="9016"/>
            </w:tabs>
            <w:rPr>
              <w:rFonts w:asciiTheme="minorHAnsi" w:eastAsiaTheme="minorEastAsia" w:hAnsiTheme="minorHAnsi"/>
              <w:noProof/>
              <w:sz w:val="22"/>
            </w:rPr>
          </w:pPr>
          <w:hyperlink w:anchor="_Toc73525619" w:history="1">
            <w:r w:rsidR="00884D0D" w:rsidRPr="00194D38">
              <w:rPr>
                <w:rStyle w:val="Hyperlink"/>
                <w:noProof/>
              </w:rPr>
              <w:t>3.2.1</w:t>
            </w:r>
            <w:r w:rsidR="00884D0D">
              <w:rPr>
                <w:rFonts w:asciiTheme="minorHAnsi" w:eastAsiaTheme="minorEastAsia" w:hAnsiTheme="minorHAnsi"/>
                <w:noProof/>
                <w:sz w:val="22"/>
              </w:rPr>
              <w:tab/>
            </w:r>
            <w:r w:rsidR="00884D0D" w:rsidRPr="00194D38">
              <w:rPr>
                <w:rStyle w:val="Hyperlink"/>
                <w:noProof/>
              </w:rPr>
              <w:t>PICO</w:t>
            </w:r>
            <w:r w:rsidR="00884D0D">
              <w:rPr>
                <w:noProof/>
                <w:webHidden/>
              </w:rPr>
              <w:tab/>
            </w:r>
            <w:r w:rsidR="00884D0D">
              <w:rPr>
                <w:noProof/>
                <w:webHidden/>
              </w:rPr>
              <w:fldChar w:fldCharType="begin"/>
            </w:r>
            <w:r w:rsidR="00884D0D">
              <w:rPr>
                <w:noProof/>
                <w:webHidden/>
              </w:rPr>
              <w:instrText xml:space="preserve"> PAGEREF _Toc73525619 \h </w:instrText>
            </w:r>
            <w:r w:rsidR="00884D0D">
              <w:rPr>
                <w:noProof/>
                <w:webHidden/>
              </w:rPr>
            </w:r>
            <w:r w:rsidR="00884D0D">
              <w:rPr>
                <w:noProof/>
                <w:webHidden/>
              </w:rPr>
              <w:fldChar w:fldCharType="separate"/>
            </w:r>
            <w:r>
              <w:rPr>
                <w:noProof/>
                <w:webHidden/>
              </w:rPr>
              <w:t>25</w:t>
            </w:r>
            <w:r w:rsidR="00884D0D">
              <w:rPr>
                <w:noProof/>
                <w:webHidden/>
              </w:rPr>
              <w:fldChar w:fldCharType="end"/>
            </w:r>
          </w:hyperlink>
        </w:p>
        <w:p w:rsidR="00884D0D" w:rsidRDefault="006908BC">
          <w:pPr>
            <w:pStyle w:val="TOC3"/>
            <w:tabs>
              <w:tab w:val="left" w:pos="1320"/>
              <w:tab w:val="right" w:leader="dot" w:pos="9016"/>
            </w:tabs>
            <w:rPr>
              <w:rFonts w:asciiTheme="minorHAnsi" w:eastAsiaTheme="minorEastAsia" w:hAnsiTheme="minorHAnsi"/>
              <w:noProof/>
              <w:sz w:val="22"/>
            </w:rPr>
          </w:pPr>
          <w:hyperlink w:anchor="_Toc73525620" w:history="1">
            <w:r w:rsidR="00884D0D" w:rsidRPr="00194D38">
              <w:rPr>
                <w:rStyle w:val="Hyperlink"/>
                <w:iCs/>
                <w:noProof/>
              </w:rPr>
              <w:t>3.2.2</w:t>
            </w:r>
            <w:r w:rsidR="00884D0D">
              <w:rPr>
                <w:rFonts w:asciiTheme="minorHAnsi" w:eastAsiaTheme="minorEastAsia" w:hAnsiTheme="minorHAnsi"/>
                <w:noProof/>
                <w:sz w:val="22"/>
              </w:rPr>
              <w:tab/>
            </w:r>
            <w:r w:rsidR="00884D0D" w:rsidRPr="00194D38">
              <w:rPr>
                <w:rStyle w:val="Hyperlink"/>
                <w:noProof/>
              </w:rPr>
              <w:t>General approach</w:t>
            </w:r>
            <w:r w:rsidR="00884D0D">
              <w:rPr>
                <w:noProof/>
                <w:webHidden/>
              </w:rPr>
              <w:tab/>
            </w:r>
            <w:r w:rsidR="00884D0D">
              <w:rPr>
                <w:noProof/>
                <w:webHidden/>
              </w:rPr>
              <w:fldChar w:fldCharType="begin"/>
            </w:r>
            <w:r w:rsidR="00884D0D">
              <w:rPr>
                <w:noProof/>
                <w:webHidden/>
              </w:rPr>
              <w:instrText xml:space="preserve"> PAGEREF _Toc73525620 \h </w:instrText>
            </w:r>
            <w:r w:rsidR="00884D0D">
              <w:rPr>
                <w:noProof/>
                <w:webHidden/>
              </w:rPr>
            </w:r>
            <w:r w:rsidR="00884D0D">
              <w:rPr>
                <w:noProof/>
                <w:webHidden/>
              </w:rPr>
              <w:fldChar w:fldCharType="separate"/>
            </w:r>
            <w:r>
              <w:rPr>
                <w:noProof/>
                <w:webHidden/>
              </w:rPr>
              <w:t>26</w:t>
            </w:r>
            <w:r w:rsidR="00884D0D">
              <w:rPr>
                <w:noProof/>
                <w:webHidden/>
              </w:rPr>
              <w:fldChar w:fldCharType="end"/>
            </w:r>
          </w:hyperlink>
        </w:p>
        <w:p w:rsidR="00884D0D" w:rsidRDefault="006908BC">
          <w:pPr>
            <w:pStyle w:val="TOC3"/>
            <w:tabs>
              <w:tab w:val="left" w:pos="1320"/>
              <w:tab w:val="right" w:leader="dot" w:pos="9016"/>
            </w:tabs>
            <w:rPr>
              <w:rFonts w:asciiTheme="minorHAnsi" w:eastAsiaTheme="minorEastAsia" w:hAnsiTheme="minorHAnsi"/>
              <w:noProof/>
              <w:sz w:val="22"/>
            </w:rPr>
          </w:pPr>
          <w:hyperlink w:anchor="_Toc73525621" w:history="1">
            <w:r w:rsidR="00884D0D" w:rsidRPr="00194D38">
              <w:rPr>
                <w:rStyle w:val="Hyperlink"/>
                <w:noProof/>
              </w:rPr>
              <w:t>3.2.3</w:t>
            </w:r>
            <w:r w:rsidR="00884D0D">
              <w:rPr>
                <w:rFonts w:asciiTheme="minorHAnsi" w:eastAsiaTheme="minorEastAsia" w:hAnsiTheme="minorHAnsi"/>
                <w:noProof/>
                <w:sz w:val="22"/>
              </w:rPr>
              <w:tab/>
            </w:r>
            <w:r w:rsidR="00884D0D" w:rsidRPr="00194D38">
              <w:rPr>
                <w:rStyle w:val="Hyperlink"/>
                <w:noProof/>
              </w:rPr>
              <w:t>Search results and selection of evidence</w:t>
            </w:r>
            <w:r w:rsidR="00884D0D">
              <w:rPr>
                <w:noProof/>
                <w:webHidden/>
              </w:rPr>
              <w:tab/>
            </w:r>
            <w:r w:rsidR="00884D0D">
              <w:rPr>
                <w:noProof/>
                <w:webHidden/>
              </w:rPr>
              <w:fldChar w:fldCharType="begin"/>
            </w:r>
            <w:r w:rsidR="00884D0D">
              <w:rPr>
                <w:noProof/>
                <w:webHidden/>
              </w:rPr>
              <w:instrText xml:space="preserve"> PAGEREF _Toc73525621 \h </w:instrText>
            </w:r>
            <w:r w:rsidR="00884D0D">
              <w:rPr>
                <w:noProof/>
                <w:webHidden/>
              </w:rPr>
            </w:r>
            <w:r w:rsidR="00884D0D">
              <w:rPr>
                <w:noProof/>
                <w:webHidden/>
              </w:rPr>
              <w:fldChar w:fldCharType="separate"/>
            </w:r>
            <w:r>
              <w:rPr>
                <w:noProof/>
                <w:webHidden/>
              </w:rPr>
              <w:t>28</w:t>
            </w:r>
            <w:r w:rsidR="00884D0D">
              <w:rPr>
                <w:noProof/>
                <w:webHidden/>
              </w:rPr>
              <w:fldChar w:fldCharType="end"/>
            </w:r>
          </w:hyperlink>
        </w:p>
        <w:p w:rsidR="00884D0D" w:rsidRDefault="006908BC">
          <w:pPr>
            <w:pStyle w:val="TOC2"/>
            <w:tabs>
              <w:tab w:val="left" w:pos="880"/>
              <w:tab w:val="right" w:leader="dot" w:pos="9016"/>
            </w:tabs>
            <w:rPr>
              <w:rFonts w:asciiTheme="minorHAnsi" w:eastAsiaTheme="minorEastAsia" w:hAnsiTheme="minorHAnsi"/>
              <w:noProof/>
              <w:sz w:val="22"/>
            </w:rPr>
          </w:pPr>
          <w:hyperlink w:anchor="_Toc73525622" w:history="1">
            <w:r w:rsidR="00884D0D" w:rsidRPr="00194D38">
              <w:rPr>
                <w:rStyle w:val="Hyperlink"/>
                <w:noProof/>
              </w:rPr>
              <w:t>3.3</w:t>
            </w:r>
            <w:r w:rsidR="00884D0D">
              <w:rPr>
                <w:rFonts w:asciiTheme="minorHAnsi" w:eastAsiaTheme="minorEastAsia" w:hAnsiTheme="minorHAnsi"/>
                <w:noProof/>
                <w:sz w:val="22"/>
              </w:rPr>
              <w:tab/>
            </w:r>
            <w:r w:rsidR="00884D0D" w:rsidRPr="00194D38">
              <w:rPr>
                <w:rStyle w:val="Hyperlink"/>
                <w:noProof/>
              </w:rPr>
              <w:t>Summary of evidence</w:t>
            </w:r>
            <w:r w:rsidR="00884D0D">
              <w:rPr>
                <w:noProof/>
                <w:webHidden/>
              </w:rPr>
              <w:tab/>
            </w:r>
            <w:r w:rsidR="00884D0D">
              <w:rPr>
                <w:noProof/>
                <w:webHidden/>
              </w:rPr>
              <w:fldChar w:fldCharType="begin"/>
            </w:r>
            <w:r w:rsidR="00884D0D">
              <w:rPr>
                <w:noProof/>
                <w:webHidden/>
              </w:rPr>
              <w:instrText xml:space="preserve"> PAGEREF _Toc73525622 \h </w:instrText>
            </w:r>
            <w:r w:rsidR="00884D0D">
              <w:rPr>
                <w:noProof/>
                <w:webHidden/>
              </w:rPr>
            </w:r>
            <w:r w:rsidR="00884D0D">
              <w:rPr>
                <w:noProof/>
                <w:webHidden/>
              </w:rPr>
              <w:fldChar w:fldCharType="separate"/>
            </w:r>
            <w:r>
              <w:rPr>
                <w:noProof/>
                <w:webHidden/>
              </w:rPr>
              <w:t>32</w:t>
            </w:r>
            <w:r w:rsidR="00884D0D">
              <w:rPr>
                <w:noProof/>
                <w:webHidden/>
              </w:rPr>
              <w:fldChar w:fldCharType="end"/>
            </w:r>
          </w:hyperlink>
        </w:p>
        <w:p w:rsidR="00884D0D" w:rsidRDefault="006908BC">
          <w:pPr>
            <w:pStyle w:val="TOC3"/>
            <w:tabs>
              <w:tab w:val="left" w:pos="1320"/>
              <w:tab w:val="right" w:leader="dot" w:pos="9016"/>
            </w:tabs>
            <w:rPr>
              <w:rFonts w:asciiTheme="minorHAnsi" w:eastAsiaTheme="minorEastAsia" w:hAnsiTheme="minorHAnsi"/>
              <w:noProof/>
              <w:sz w:val="22"/>
            </w:rPr>
          </w:pPr>
          <w:hyperlink w:anchor="_Toc73525623" w:history="1">
            <w:r w:rsidR="00884D0D" w:rsidRPr="00194D38">
              <w:rPr>
                <w:rStyle w:val="Hyperlink"/>
                <w:noProof/>
              </w:rPr>
              <w:t>3.3.1</w:t>
            </w:r>
            <w:r w:rsidR="00884D0D">
              <w:rPr>
                <w:rFonts w:asciiTheme="minorHAnsi" w:eastAsiaTheme="minorEastAsia" w:hAnsiTheme="minorHAnsi"/>
                <w:noProof/>
                <w:sz w:val="22"/>
              </w:rPr>
              <w:tab/>
            </w:r>
            <w:r w:rsidR="00884D0D" w:rsidRPr="00194D38">
              <w:rPr>
                <w:rStyle w:val="Hyperlink"/>
                <w:noProof/>
              </w:rPr>
              <w:t>Monotherapy in general population</w:t>
            </w:r>
            <w:r w:rsidR="00884D0D">
              <w:rPr>
                <w:noProof/>
                <w:webHidden/>
              </w:rPr>
              <w:tab/>
            </w:r>
            <w:r w:rsidR="00884D0D">
              <w:rPr>
                <w:noProof/>
                <w:webHidden/>
              </w:rPr>
              <w:fldChar w:fldCharType="begin"/>
            </w:r>
            <w:r w:rsidR="00884D0D">
              <w:rPr>
                <w:noProof/>
                <w:webHidden/>
              </w:rPr>
              <w:instrText xml:space="preserve"> PAGEREF _Toc73525623 \h </w:instrText>
            </w:r>
            <w:r w:rsidR="00884D0D">
              <w:rPr>
                <w:noProof/>
                <w:webHidden/>
              </w:rPr>
            </w:r>
            <w:r w:rsidR="00884D0D">
              <w:rPr>
                <w:noProof/>
                <w:webHidden/>
              </w:rPr>
              <w:fldChar w:fldCharType="separate"/>
            </w:r>
            <w:r>
              <w:rPr>
                <w:noProof/>
                <w:webHidden/>
              </w:rPr>
              <w:t>32</w:t>
            </w:r>
            <w:r w:rsidR="00884D0D">
              <w:rPr>
                <w:noProof/>
                <w:webHidden/>
              </w:rPr>
              <w:fldChar w:fldCharType="end"/>
            </w:r>
          </w:hyperlink>
        </w:p>
        <w:p w:rsidR="00884D0D" w:rsidRDefault="006908BC">
          <w:pPr>
            <w:pStyle w:val="TOC3"/>
            <w:tabs>
              <w:tab w:val="left" w:pos="1320"/>
              <w:tab w:val="right" w:leader="dot" w:pos="9016"/>
            </w:tabs>
            <w:rPr>
              <w:rFonts w:asciiTheme="minorHAnsi" w:eastAsiaTheme="minorEastAsia" w:hAnsiTheme="minorHAnsi"/>
              <w:noProof/>
              <w:sz w:val="22"/>
            </w:rPr>
          </w:pPr>
          <w:hyperlink w:anchor="_Toc73525624" w:history="1">
            <w:r w:rsidR="00884D0D" w:rsidRPr="00194D38">
              <w:rPr>
                <w:rStyle w:val="Hyperlink"/>
                <w:noProof/>
              </w:rPr>
              <w:t>3.3.2</w:t>
            </w:r>
            <w:r w:rsidR="00884D0D">
              <w:rPr>
                <w:rFonts w:asciiTheme="minorHAnsi" w:eastAsiaTheme="minorEastAsia" w:hAnsiTheme="minorHAnsi"/>
                <w:noProof/>
                <w:sz w:val="22"/>
              </w:rPr>
              <w:tab/>
            </w:r>
            <w:r w:rsidR="00884D0D" w:rsidRPr="00194D38">
              <w:rPr>
                <w:rStyle w:val="Hyperlink"/>
                <w:noProof/>
              </w:rPr>
              <w:t>Combination therapy in the general population</w:t>
            </w:r>
            <w:r w:rsidR="00884D0D">
              <w:rPr>
                <w:noProof/>
                <w:webHidden/>
              </w:rPr>
              <w:tab/>
            </w:r>
            <w:r w:rsidR="00884D0D">
              <w:rPr>
                <w:noProof/>
                <w:webHidden/>
              </w:rPr>
              <w:fldChar w:fldCharType="begin"/>
            </w:r>
            <w:r w:rsidR="00884D0D">
              <w:rPr>
                <w:noProof/>
                <w:webHidden/>
              </w:rPr>
              <w:instrText xml:space="preserve"> PAGEREF _Toc73525624 \h </w:instrText>
            </w:r>
            <w:r w:rsidR="00884D0D">
              <w:rPr>
                <w:noProof/>
                <w:webHidden/>
              </w:rPr>
            </w:r>
            <w:r w:rsidR="00884D0D">
              <w:rPr>
                <w:noProof/>
                <w:webHidden/>
              </w:rPr>
              <w:fldChar w:fldCharType="separate"/>
            </w:r>
            <w:r>
              <w:rPr>
                <w:noProof/>
                <w:webHidden/>
              </w:rPr>
              <w:t>119</w:t>
            </w:r>
            <w:r w:rsidR="00884D0D">
              <w:rPr>
                <w:noProof/>
                <w:webHidden/>
              </w:rPr>
              <w:fldChar w:fldCharType="end"/>
            </w:r>
          </w:hyperlink>
        </w:p>
        <w:p w:rsidR="00884D0D" w:rsidRDefault="006908BC">
          <w:pPr>
            <w:pStyle w:val="TOC3"/>
            <w:tabs>
              <w:tab w:val="left" w:pos="1320"/>
              <w:tab w:val="right" w:leader="dot" w:pos="9016"/>
            </w:tabs>
            <w:rPr>
              <w:rFonts w:asciiTheme="minorHAnsi" w:eastAsiaTheme="minorEastAsia" w:hAnsiTheme="minorHAnsi"/>
              <w:noProof/>
              <w:sz w:val="22"/>
            </w:rPr>
          </w:pPr>
          <w:hyperlink w:anchor="_Toc73525625" w:history="1">
            <w:r w:rsidR="00884D0D" w:rsidRPr="00194D38">
              <w:rPr>
                <w:rStyle w:val="Hyperlink"/>
                <w:noProof/>
              </w:rPr>
              <w:t>3.3.3</w:t>
            </w:r>
            <w:r w:rsidR="00884D0D">
              <w:rPr>
                <w:rFonts w:asciiTheme="minorHAnsi" w:eastAsiaTheme="minorEastAsia" w:hAnsiTheme="minorHAnsi"/>
                <w:noProof/>
                <w:sz w:val="22"/>
              </w:rPr>
              <w:tab/>
            </w:r>
            <w:r w:rsidR="00884D0D" w:rsidRPr="00194D38">
              <w:rPr>
                <w:rStyle w:val="Hyperlink"/>
                <w:noProof/>
              </w:rPr>
              <w:t>NRT dose, dosage form and length of therapy</w:t>
            </w:r>
            <w:r w:rsidR="00884D0D">
              <w:rPr>
                <w:noProof/>
                <w:webHidden/>
              </w:rPr>
              <w:tab/>
            </w:r>
            <w:r w:rsidR="00884D0D">
              <w:rPr>
                <w:noProof/>
                <w:webHidden/>
              </w:rPr>
              <w:fldChar w:fldCharType="begin"/>
            </w:r>
            <w:r w:rsidR="00884D0D">
              <w:rPr>
                <w:noProof/>
                <w:webHidden/>
              </w:rPr>
              <w:instrText xml:space="preserve"> PAGEREF _Toc73525625 \h </w:instrText>
            </w:r>
            <w:r w:rsidR="00884D0D">
              <w:rPr>
                <w:noProof/>
                <w:webHidden/>
              </w:rPr>
            </w:r>
            <w:r w:rsidR="00884D0D">
              <w:rPr>
                <w:noProof/>
                <w:webHidden/>
              </w:rPr>
              <w:fldChar w:fldCharType="separate"/>
            </w:r>
            <w:r>
              <w:rPr>
                <w:noProof/>
                <w:webHidden/>
              </w:rPr>
              <w:t>150</w:t>
            </w:r>
            <w:r w:rsidR="00884D0D">
              <w:rPr>
                <w:noProof/>
                <w:webHidden/>
              </w:rPr>
              <w:fldChar w:fldCharType="end"/>
            </w:r>
          </w:hyperlink>
        </w:p>
        <w:p w:rsidR="00884D0D" w:rsidRDefault="006908BC">
          <w:pPr>
            <w:pStyle w:val="TOC3"/>
            <w:tabs>
              <w:tab w:val="left" w:pos="1320"/>
              <w:tab w:val="right" w:leader="dot" w:pos="9016"/>
            </w:tabs>
            <w:rPr>
              <w:rFonts w:asciiTheme="minorHAnsi" w:eastAsiaTheme="minorEastAsia" w:hAnsiTheme="minorHAnsi"/>
              <w:noProof/>
              <w:sz w:val="22"/>
            </w:rPr>
          </w:pPr>
          <w:hyperlink w:anchor="_Toc73525626" w:history="1">
            <w:r w:rsidR="00884D0D" w:rsidRPr="00194D38">
              <w:rPr>
                <w:rStyle w:val="Hyperlink"/>
                <w:noProof/>
              </w:rPr>
              <w:t>3.3.4</w:t>
            </w:r>
            <w:r w:rsidR="00884D0D">
              <w:rPr>
                <w:rFonts w:asciiTheme="minorHAnsi" w:eastAsiaTheme="minorEastAsia" w:hAnsiTheme="minorHAnsi"/>
                <w:noProof/>
                <w:sz w:val="22"/>
              </w:rPr>
              <w:tab/>
            </w:r>
            <w:r w:rsidR="00884D0D" w:rsidRPr="00194D38">
              <w:rPr>
                <w:rStyle w:val="Hyperlink"/>
                <w:noProof/>
              </w:rPr>
              <w:t>Behavioural interventions in combination with pharmacotherapies</w:t>
            </w:r>
            <w:r w:rsidR="00884D0D">
              <w:rPr>
                <w:noProof/>
                <w:webHidden/>
              </w:rPr>
              <w:tab/>
            </w:r>
            <w:r w:rsidR="00884D0D">
              <w:rPr>
                <w:noProof/>
                <w:webHidden/>
              </w:rPr>
              <w:fldChar w:fldCharType="begin"/>
            </w:r>
            <w:r w:rsidR="00884D0D">
              <w:rPr>
                <w:noProof/>
                <w:webHidden/>
              </w:rPr>
              <w:instrText xml:space="preserve"> PAGEREF _Toc73525626 \h </w:instrText>
            </w:r>
            <w:r w:rsidR="00884D0D">
              <w:rPr>
                <w:noProof/>
                <w:webHidden/>
              </w:rPr>
            </w:r>
            <w:r w:rsidR="00884D0D">
              <w:rPr>
                <w:noProof/>
                <w:webHidden/>
              </w:rPr>
              <w:fldChar w:fldCharType="separate"/>
            </w:r>
            <w:r>
              <w:rPr>
                <w:noProof/>
                <w:webHidden/>
              </w:rPr>
              <w:t>190</w:t>
            </w:r>
            <w:r w:rsidR="00884D0D">
              <w:rPr>
                <w:noProof/>
                <w:webHidden/>
              </w:rPr>
              <w:fldChar w:fldCharType="end"/>
            </w:r>
          </w:hyperlink>
        </w:p>
        <w:p w:rsidR="00884D0D" w:rsidRDefault="006908BC">
          <w:pPr>
            <w:pStyle w:val="TOC3"/>
            <w:tabs>
              <w:tab w:val="left" w:pos="1320"/>
              <w:tab w:val="right" w:leader="dot" w:pos="9016"/>
            </w:tabs>
            <w:rPr>
              <w:rFonts w:asciiTheme="minorHAnsi" w:eastAsiaTheme="minorEastAsia" w:hAnsiTheme="minorHAnsi"/>
              <w:noProof/>
              <w:sz w:val="22"/>
            </w:rPr>
          </w:pPr>
          <w:hyperlink w:anchor="_Toc73525627" w:history="1">
            <w:r w:rsidR="00884D0D" w:rsidRPr="00194D38">
              <w:rPr>
                <w:rStyle w:val="Hyperlink"/>
                <w:noProof/>
              </w:rPr>
              <w:t>3.3.5</w:t>
            </w:r>
            <w:r w:rsidR="00884D0D">
              <w:rPr>
                <w:rFonts w:asciiTheme="minorHAnsi" w:eastAsiaTheme="minorEastAsia" w:hAnsiTheme="minorHAnsi"/>
                <w:noProof/>
                <w:sz w:val="22"/>
              </w:rPr>
              <w:tab/>
            </w:r>
            <w:r w:rsidR="00884D0D" w:rsidRPr="00194D38">
              <w:rPr>
                <w:rStyle w:val="Hyperlink"/>
                <w:noProof/>
              </w:rPr>
              <w:t>Populations who have specific needs</w:t>
            </w:r>
            <w:r w:rsidR="00884D0D">
              <w:rPr>
                <w:noProof/>
                <w:webHidden/>
              </w:rPr>
              <w:tab/>
            </w:r>
            <w:r w:rsidR="00884D0D">
              <w:rPr>
                <w:noProof/>
                <w:webHidden/>
              </w:rPr>
              <w:fldChar w:fldCharType="begin"/>
            </w:r>
            <w:r w:rsidR="00884D0D">
              <w:rPr>
                <w:noProof/>
                <w:webHidden/>
              </w:rPr>
              <w:instrText xml:space="preserve"> PAGEREF _Toc73525627 \h </w:instrText>
            </w:r>
            <w:r w:rsidR="00884D0D">
              <w:rPr>
                <w:noProof/>
                <w:webHidden/>
              </w:rPr>
            </w:r>
            <w:r w:rsidR="00884D0D">
              <w:rPr>
                <w:noProof/>
                <w:webHidden/>
              </w:rPr>
              <w:fldChar w:fldCharType="separate"/>
            </w:r>
            <w:r>
              <w:rPr>
                <w:noProof/>
                <w:webHidden/>
              </w:rPr>
              <w:t>201</w:t>
            </w:r>
            <w:r w:rsidR="00884D0D">
              <w:rPr>
                <w:noProof/>
                <w:webHidden/>
              </w:rPr>
              <w:fldChar w:fldCharType="end"/>
            </w:r>
          </w:hyperlink>
        </w:p>
        <w:p w:rsidR="00884D0D" w:rsidRDefault="006908BC">
          <w:pPr>
            <w:pStyle w:val="TOC1"/>
            <w:tabs>
              <w:tab w:val="right" w:leader="dot" w:pos="9016"/>
            </w:tabs>
            <w:rPr>
              <w:rFonts w:asciiTheme="minorHAnsi" w:eastAsiaTheme="minorEastAsia" w:hAnsiTheme="minorHAnsi"/>
              <w:noProof/>
              <w:sz w:val="22"/>
            </w:rPr>
          </w:pPr>
          <w:hyperlink w:anchor="_Toc73525628" w:history="1">
            <w:r w:rsidR="00884D0D" w:rsidRPr="00194D38">
              <w:rPr>
                <w:rStyle w:val="Hyperlink"/>
                <w:noProof/>
              </w:rPr>
              <w:t>References</w:t>
            </w:r>
            <w:r w:rsidR="00884D0D">
              <w:rPr>
                <w:noProof/>
                <w:webHidden/>
              </w:rPr>
              <w:tab/>
            </w:r>
            <w:r w:rsidR="00884D0D">
              <w:rPr>
                <w:noProof/>
                <w:webHidden/>
              </w:rPr>
              <w:fldChar w:fldCharType="begin"/>
            </w:r>
            <w:r w:rsidR="00884D0D">
              <w:rPr>
                <w:noProof/>
                <w:webHidden/>
              </w:rPr>
              <w:instrText xml:space="preserve"> PAGEREF _Toc73525628 \h </w:instrText>
            </w:r>
            <w:r w:rsidR="00884D0D">
              <w:rPr>
                <w:noProof/>
                <w:webHidden/>
              </w:rPr>
            </w:r>
            <w:r w:rsidR="00884D0D">
              <w:rPr>
                <w:noProof/>
                <w:webHidden/>
              </w:rPr>
              <w:fldChar w:fldCharType="separate"/>
            </w:r>
            <w:r>
              <w:rPr>
                <w:noProof/>
                <w:webHidden/>
              </w:rPr>
              <w:t>213</w:t>
            </w:r>
            <w:r w:rsidR="00884D0D">
              <w:rPr>
                <w:noProof/>
                <w:webHidden/>
              </w:rPr>
              <w:fldChar w:fldCharType="end"/>
            </w:r>
          </w:hyperlink>
        </w:p>
        <w:p w:rsidR="00884D0D" w:rsidRDefault="006908BC">
          <w:pPr>
            <w:pStyle w:val="TOC1"/>
            <w:tabs>
              <w:tab w:val="right" w:leader="dot" w:pos="9016"/>
            </w:tabs>
            <w:rPr>
              <w:rFonts w:asciiTheme="minorHAnsi" w:eastAsiaTheme="minorEastAsia" w:hAnsiTheme="minorHAnsi"/>
              <w:noProof/>
              <w:sz w:val="22"/>
            </w:rPr>
          </w:pPr>
          <w:hyperlink w:anchor="_Toc73525629" w:history="1">
            <w:r w:rsidR="00884D0D" w:rsidRPr="00194D38">
              <w:rPr>
                <w:rStyle w:val="Hyperlink"/>
                <w:noProof/>
              </w:rPr>
              <w:t>Appendix</w:t>
            </w:r>
            <w:r w:rsidR="00884D0D">
              <w:rPr>
                <w:noProof/>
                <w:webHidden/>
              </w:rPr>
              <w:tab/>
            </w:r>
            <w:r w:rsidR="00884D0D">
              <w:rPr>
                <w:noProof/>
                <w:webHidden/>
              </w:rPr>
              <w:fldChar w:fldCharType="begin"/>
            </w:r>
            <w:r w:rsidR="00884D0D">
              <w:rPr>
                <w:noProof/>
                <w:webHidden/>
              </w:rPr>
              <w:instrText xml:space="preserve"> PAGEREF _Toc73525629 \h </w:instrText>
            </w:r>
            <w:r w:rsidR="00884D0D">
              <w:rPr>
                <w:noProof/>
                <w:webHidden/>
              </w:rPr>
            </w:r>
            <w:r w:rsidR="00884D0D">
              <w:rPr>
                <w:noProof/>
                <w:webHidden/>
              </w:rPr>
              <w:fldChar w:fldCharType="separate"/>
            </w:r>
            <w:r>
              <w:rPr>
                <w:noProof/>
                <w:webHidden/>
              </w:rPr>
              <w:t>218</w:t>
            </w:r>
            <w:r w:rsidR="00884D0D">
              <w:rPr>
                <w:noProof/>
                <w:webHidden/>
              </w:rPr>
              <w:fldChar w:fldCharType="end"/>
            </w:r>
          </w:hyperlink>
        </w:p>
        <w:p w:rsidR="00884D0D" w:rsidRDefault="006908BC">
          <w:pPr>
            <w:pStyle w:val="TOC2"/>
            <w:tabs>
              <w:tab w:val="right" w:leader="dot" w:pos="9016"/>
            </w:tabs>
            <w:rPr>
              <w:rFonts w:asciiTheme="minorHAnsi" w:eastAsiaTheme="minorEastAsia" w:hAnsiTheme="minorHAnsi"/>
              <w:noProof/>
              <w:sz w:val="22"/>
            </w:rPr>
          </w:pPr>
          <w:hyperlink w:anchor="_Toc73525630" w:history="1">
            <w:r w:rsidR="00884D0D" w:rsidRPr="00194D38">
              <w:rPr>
                <w:rStyle w:val="Hyperlink"/>
                <w:noProof/>
              </w:rPr>
              <w:t>A Methodology and identification of relevant studies</w:t>
            </w:r>
            <w:r w:rsidR="00884D0D">
              <w:rPr>
                <w:noProof/>
                <w:webHidden/>
              </w:rPr>
              <w:tab/>
            </w:r>
            <w:r w:rsidR="00884D0D">
              <w:rPr>
                <w:noProof/>
                <w:webHidden/>
              </w:rPr>
              <w:fldChar w:fldCharType="begin"/>
            </w:r>
            <w:r w:rsidR="00884D0D">
              <w:rPr>
                <w:noProof/>
                <w:webHidden/>
              </w:rPr>
              <w:instrText xml:space="preserve"> PAGEREF _Toc73525630 \h </w:instrText>
            </w:r>
            <w:r w:rsidR="00884D0D">
              <w:rPr>
                <w:noProof/>
                <w:webHidden/>
              </w:rPr>
            </w:r>
            <w:r w:rsidR="00884D0D">
              <w:rPr>
                <w:noProof/>
                <w:webHidden/>
              </w:rPr>
              <w:fldChar w:fldCharType="separate"/>
            </w:r>
            <w:r>
              <w:rPr>
                <w:noProof/>
                <w:webHidden/>
              </w:rPr>
              <w:t>218</w:t>
            </w:r>
            <w:r w:rsidR="00884D0D">
              <w:rPr>
                <w:noProof/>
                <w:webHidden/>
              </w:rPr>
              <w:fldChar w:fldCharType="end"/>
            </w:r>
          </w:hyperlink>
        </w:p>
        <w:p w:rsidR="00884D0D" w:rsidRDefault="006908BC">
          <w:pPr>
            <w:pStyle w:val="TOC3"/>
            <w:tabs>
              <w:tab w:val="right" w:leader="dot" w:pos="9016"/>
            </w:tabs>
            <w:rPr>
              <w:rFonts w:asciiTheme="minorHAnsi" w:eastAsiaTheme="minorEastAsia" w:hAnsiTheme="minorHAnsi"/>
              <w:noProof/>
              <w:sz w:val="22"/>
            </w:rPr>
          </w:pPr>
          <w:hyperlink w:anchor="_Toc73525631" w:history="1">
            <w:r w:rsidR="00884D0D" w:rsidRPr="00194D38">
              <w:rPr>
                <w:rStyle w:val="Hyperlink"/>
                <w:noProof/>
              </w:rPr>
              <w:t>A.1 Key outcomes previously considered by the PBAC</w:t>
            </w:r>
            <w:r w:rsidR="00884D0D">
              <w:rPr>
                <w:noProof/>
                <w:webHidden/>
              </w:rPr>
              <w:tab/>
            </w:r>
            <w:r w:rsidR="00884D0D">
              <w:rPr>
                <w:noProof/>
                <w:webHidden/>
              </w:rPr>
              <w:fldChar w:fldCharType="begin"/>
            </w:r>
            <w:r w:rsidR="00884D0D">
              <w:rPr>
                <w:noProof/>
                <w:webHidden/>
              </w:rPr>
              <w:instrText xml:space="preserve"> PAGEREF _Toc73525631 \h </w:instrText>
            </w:r>
            <w:r w:rsidR="00884D0D">
              <w:rPr>
                <w:noProof/>
                <w:webHidden/>
              </w:rPr>
            </w:r>
            <w:r w:rsidR="00884D0D">
              <w:rPr>
                <w:noProof/>
                <w:webHidden/>
              </w:rPr>
              <w:fldChar w:fldCharType="separate"/>
            </w:r>
            <w:r>
              <w:rPr>
                <w:noProof/>
                <w:webHidden/>
              </w:rPr>
              <w:t>218</w:t>
            </w:r>
            <w:r w:rsidR="00884D0D">
              <w:rPr>
                <w:noProof/>
                <w:webHidden/>
              </w:rPr>
              <w:fldChar w:fldCharType="end"/>
            </w:r>
          </w:hyperlink>
        </w:p>
        <w:p w:rsidR="00884D0D" w:rsidRDefault="006908BC">
          <w:pPr>
            <w:pStyle w:val="TOC3"/>
            <w:tabs>
              <w:tab w:val="right" w:leader="dot" w:pos="9016"/>
            </w:tabs>
            <w:rPr>
              <w:rFonts w:asciiTheme="minorHAnsi" w:eastAsiaTheme="minorEastAsia" w:hAnsiTheme="minorHAnsi"/>
              <w:noProof/>
              <w:sz w:val="22"/>
            </w:rPr>
          </w:pPr>
          <w:hyperlink w:anchor="_Toc73525632" w:history="1">
            <w:r w:rsidR="00884D0D" w:rsidRPr="00194D38">
              <w:rPr>
                <w:rStyle w:val="Hyperlink"/>
                <w:noProof/>
              </w:rPr>
              <w:t>A.2 Search Strategy</w:t>
            </w:r>
            <w:r w:rsidR="00884D0D">
              <w:rPr>
                <w:noProof/>
                <w:webHidden/>
              </w:rPr>
              <w:tab/>
            </w:r>
            <w:r w:rsidR="00884D0D">
              <w:rPr>
                <w:noProof/>
                <w:webHidden/>
              </w:rPr>
              <w:fldChar w:fldCharType="begin"/>
            </w:r>
            <w:r w:rsidR="00884D0D">
              <w:rPr>
                <w:noProof/>
                <w:webHidden/>
              </w:rPr>
              <w:instrText xml:space="preserve"> PAGEREF _Toc73525632 \h </w:instrText>
            </w:r>
            <w:r w:rsidR="00884D0D">
              <w:rPr>
                <w:noProof/>
                <w:webHidden/>
              </w:rPr>
            </w:r>
            <w:r w:rsidR="00884D0D">
              <w:rPr>
                <w:noProof/>
                <w:webHidden/>
              </w:rPr>
              <w:fldChar w:fldCharType="separate"/>
            </w:r>
            <w:r>
              <w:rPr>
                <w:noProof/>
                <w:webHidden/>
              </w:rPr>
              <w:t>218</w:t>
            </w:r>
            <w:r w:rsidR="00884D0D">
              <w:rPr>
                <w:noProof/>
                <w:webHidden/>
              </w:rPr>
              <w:fldChar w:fldCharType="end"/>
            </w:r>
          </w:hyperlink>
        </w:p>
        <w:p w:rsidR="00884D0D" w:rsidRDefault="006908BC">
          <w:pPr>
            <w:pStyle w:val="TOC3"/>
            <w:tabs>
              <w:tab w:val="right" w:leader="dot" w:pos="9016"/>
            </w:tabs>
            <w:rPr>
              <w:rFonts w:asciiTheme="minorHAnsi" w:eastAsiaTheme="minorEastAsia" w:hAnsiTheme="minorHAnsi"/>
              <w:noProof/>
              <w:sz w:val="22"/>
            </w:rPr>
          </w:pPr>
          <w:hyperlink w:anchor="_Toc73525633" w:history="1">
            <w:r w:rsidR="00884D0D" w:rsidRPr="00194D38">
              <w:rPr>
                <w:rStyle w:val="Hyperlink"/>
                <w:noProof/>
              </w:rPr>
              <w:t>A.3 PRISMA flow diagram</w:t>
            </w:r>
            <w:r w:rsidR="00884D0D">
              <w:rPr>
                <w:noProof/>
                <w:webHidden/>
              </w:rPr>
              <w:tab/>
            </w:r>
            <w:r w:rsidR="00884D0D">
              <w:rPr>
                <w:noProof/>
                <w:webHidden/>
              </w:rPr>
              <w:fldChar w:fldCharType="begin"/>
            </w:r>
            <w:r w:rsidR="00884D0D">
              <w:rPr>
                <w:noProof/>
                <w:webHidden/>
              </w:rPr>
              <w:instrText xml:space="preserve"> PAGEREF _Toc73525633 \h </w:instrText>
            </w:r>
            <w:r w:rsidR="00884D0D">
              <w:rPr>
                <w:noProof/>
                <w:webHidden/>
              </w:rPr>
            </w:r>
            <w:r w:rsidR="00884D0D">
              <w:rPr>
                <w:noProof/>
                <w:webHidden/>
              </w:rPr>
              <w:fldChar w:fldCharType="separate"/>
            </w:r>
            <w:r>
              <w:rPr>
                <w:noProof/>
                <w:webHidden/>
              </w:rPr>
              <w:t>220</w:t>
            </w:r>
            <w:r w:rsidR="00884D0D">
              <w:rPr>
                <w:noProof/>
                <w:webHidden/>
              </w:rPr>
              <w:fldChar w:fldCharType="end"/>
            </w:r>
          </w:hyperlink>
        </w:p>
        <w:p w:rsidR="00884D0D" w:rsidRDefault="006908BC">
          <w:pPr>
            <w:pStyle w:val="TOC3"/>
            <w:tabs>
              <w:tab w:val="right" w:leader="dot" w:pos="9016"/>
            </w:tabs>
            <w:rPr>
              <w:rFonts w:asciiTheme="minorHAnsi" w:eastAsiaTheme="minorEastAsia" w:hAnsiTheme="minorHAnsi"/>
              <w:noProof/>
              <w:sz w:val="22"/>
            </w:rPr>
          </w:pPr>
          <w:hyperlink w:anchor="_Toc73525634" w:history="1">
            <w:r w:rsidR="00884D0D" w:rsidRPr="00194D38">
              <w:rPr>
                <w:rStyle w:val="Hyperlink"/>
                <w:noProof/>
              </w:rPr>
              <w:t>A.4 Characteristics of Cochrane systematic reviews</w:t>
            </w:r>
            <w:r w:rsidR="00884D0D">
              <w:rPr>
                <w:noProof/>
                <w:webHidden/>
              </w:rPr>
              <w:tab/>
            </w:r>
            <w:r w:rsidR="00884D0D">
              <w:rPr>
                <w:noProof/>
                <w:webHidden/>
              </w:rPr>
              <w:fldChar w:fldCharType="begin"/>
            </w:r>
            <w:r w:rsidR="00884D0D">
              <w:rPr>
                <w:noProof/>
                <w:webHidden/>
              </w:rPr>
              <w:instrText xml:space="preserve"> PAGEREF _Toc73525634 \h </w:instrText>
            </w:r>
            <w:r w:rsidR="00884D0D">
              <w:rPr>
                <w:noProof/>
                <w:webHidden/>
              </w:rPr>
            </w:r>
            <w:r w:rsidR="00884D0D">
              <w:rPr>
                <w:noProof/>
                <w:webHidden/>
              </w:rPr>
              <w:fldChar w:fldCharType="separate"/>
            </w:r>
            <w:r>
              <w:rPr>
                <w:noProof/>
                <w:webHidden/>
              </w:rPr>
              <w:t>222</w:t>
            </w:r>
            <w:r w:rsidR="00884D0D">
              <w:rPr>
                <w:noProof/>
                <w:webHidden/>
              </w:rPr>
              <w:fldChar w:fldCharType="end"/>
            </w:r>
          </w:hyperlink>
        </w:p>
        <w:p w:rsidR="00884D0D" w:rsidRDefault="006908BC">
          <w:pPr>
            <w:pStyle w:val="TOC3"/>
            <w:tabs>
              <w:tab w:val="right" w:leader="dot" w:pos="9016"/>
            </w:tabs>
            <w:rPr>
              <w:rFonts w:asciiTheme="minorHAnsi" w:eastAsiaTheme="minorEastAsia" w:hAnsiTheme="minorHAnsi"/>
              <w:noProof/>
              <w:sz w:val="22"/>
            </w:rPr>
          </w:pPr>
          <w:hyperlink w:anchor="_Toc73525635" w:history="1">
            <w:r w:rsidR="00884D0D" w:rsidRPr="00194D38">
              <w:rPr>
                <w:rStyle w:val="Hyperlink"/>
                <w:noProof/>
              </w:rPr>
              <w:t>A.5 Risk of bias assessment for included Cochrane reviews</w:t>
            </w:r>
            <w:r w:rsidR="00884D0D">
              <w:rPr>
                <w:noProof/>
                <w:webHidden/>
              </w:rPr>
              <w:tab/>
            </w:r>
            <w:r w:rsidR="00884D0D">
              <w:rPr>
                <w:noProof/>
                <w:webHidden/>
              </w:rPr>
              <w:fldChar w:fldCharType="begin"/>
            </w:r>
            <w:r w:rsidR="00884D0D">
              <w:rPr>
                <w:noProof/>
                <w:webHidden/>
              </w:rPr>
              <w:instrText xml:space="preserve"> PAGEREF _Toc73525635 \h </w:instrText>
            </w:r>
            <w:r w:rsidR="00884D0D">
              <w:rPr>
                <w:noProof/>
                <w:webHidden/>
              </w:rPr>
            </w:r>
            <w:r w:rsidR="00884D0D">
              <w:rPr>
                <w:noProof/>
                <w:webHidden/>
              </w:rPr>
              <w:fldChar w:fldCharType="separate"/>
            </w:r>
            <w:r>
              <w:rPr>
                <w:noProof/>
                <w:webHidden/>
              </w:rPr>
              <w:t>230</w:t>
            </w:r>
            <w:r w:rsidR="00884D0D">
              <w:rPr>
                <w:noProof/>
                <w:webHidden/>
              </w:rPr>
              <w:fldChar w:fldCharType="end"/>
            </w:r>
          </w:hyperlink>
        </w:p>
        <w:p w:rsidR="00884D0D" w:rsidRDefault="006908BC">
          <w:pPr>
            <w:pStyle w:val="TOC3"/>
            <w:tabs>
              <w:tab w:val="right" w:leader="dot" w:pos="9016"/>
            </w:tabs>
            <w:rPr>
              <w:rFonts w:asciiTheme="minorHAnsi" w:eastAsiaTheme="minorEastAsia" w:hAnsiTheme="minorHAnsi"/>
              <w:noProof/>
              <w:sz w:val="22"/>
            </w:rPr>
          </w:pPr>
          <w:hyperlink w:anchor="_Toc73525636" w:history="1">
            <w:r w:rsidR="00884D0D" w:rsidRPr="00194D38">
              <w:rPr>
                <w:rStyle w:val="Hyperlink"/>
                <w:noProof/>
              </w:rPr>
              <w:t>A.6 Characteristics of non-Cochrane systematic reviews</w:t>
            </w:r>
            <w:r w:rsidR="00884D0D">
              <w:rPr>
                <w:noProof/>
                <w:webHidden/>
              </w:rPr>
              <w:tab/>
            </w:r>
            <w:r w:rsidR="00884D0D">
              <w:rPr>
                <w:noProof/>
                <w:webHidden/>
              </w:rPr>
              <w:fldChar w:fldCharType="begin"/>
            </w:r>
            <w:r w:rsidR="00884D0D">
              <w:rPr>
                <w:noProof/>
                <w:webHidden/>
              </w:rPr>
              <w:instrText xml:space="preserve"> PAGEREF _Toc73525636 \h </w:instrText>
            </w:r>
            <w:r w:rsidR="00884D0D">
              <w:rPr>
                <w:noProof/>
                <w:webHidden/>
              </w:rPr>
            </w:r>
            <w:r w:rsidR="00884D0D">
              <w:rPr>
                <w:noProof/>
                <w:webHidden/>
              </w:rPr>
              <w:fldChar w:fldCharType="separate"/>
            </w:r>
            <w:r>
              <w:rPr>
                <w:noProof/>
                <w:webHidden/>
              </w:rPr>
              <w:t>232</w:t>
            </w:r>
            <w:r w:rsidR="00884D0D">
              <w:rPr>
                <w:noProof/>
                <w:webHidden/>
              </w:rPr>
              <w:fldChar w:fldCharType="end"/>
            </w:r>
          </w:hyperlink>
        </w:p>
        <w:p w:rsidR="00884D0D" w:rsidRDefault="006908BC">
          <w:pPr>
            <w:pStyle w:val="TOC3"/>
            <w:tabs>
              <w:tab w:val="right" w:leader="dot" w:pos="9016"/>
            </w:tabs>
            <w:rPr>
              <w:rFonts w:asciiTheme="minorHAnsi" w:eastAsiaTheme="minorEastAsia" w:hAnsiTheme="minorHAnsi"/>
              <w:noProof/>
              <w:sz w:val="22"/>
            </w:rPr>
          </w:pPr>
          <w:hyperlink w:anchor="_Toc73525637" w:history="1">
            <w:r w:rsidR="00884D0D" w:rsidRPr="00194D38">
              <w:rPr>
                <w:rStyle w:val="Hyperlink"/>
                <w:noProof/>
              </w:rPr>
              <w:t>A.7 Risk of bias assessment for non-Cochrane evidence</w:t>
            </w:r>
            <w:r w:rsidR="00884D0D">
              <w:rPr>
                <w:noProof/>
                <w:webHidden/>
              </w:rPr>
              <w:tab/>
            </w:r>
            <w:r w:rsidR="00884D0D">
              <w:rPr>
                <w:noProof/>
                <w:webHidden/>
              </w:rPr>
              <w:fldChar w:fldCharType="begin"/>
            </w:r>
            <w:r w:rsidR="00884D0D">
              <w:rPr>
                <w:noProof/>
                <w:webHidden/>
              </w:rPr>
              <w:instrText xml:space="preserve"> PAGEREF _Toc73525637 \h </w:instrText>
            </w:r>
            <w:r w:rsidR="00884D0D">
              <w:rPr>
                <w:noProof/>
                <w:webHidden/>
              </w:rPr>
            </w:r>
            <w:r w:rsidR="00884D0D">
              <w:rPr>
                <w:noProof/>
                <w:webHidden/>
              </w:rPr>
              <w:fldChar w:fldCharType="separate"/>
            </w:r>
            <w:r>
              <w:rPr>
                <w:noProof/>
                <w:webHidden/>
              </w:rPr>
              <w:t>234</w:t>
            </w:r>
            <w:r w:rsidR="00884D0D">
              <w:rPr>
                <w:noProof/>
                <w:webHidden/>
              </w:rPr>
              <w:fldChar w:fldCharType="end"/>
            </w:r>
          </w:hyperlink>
        </w:p>
        <w:p w:rsidR="00884D0D" w:rsidRDefault="006908BC">
          <w:pPr>
            <w:pStyle w:val="TOC3"/>
            <w:tabs>
              <w:tab w:val="right" w:leader="dot" w:pos="9016"/>
            </w:tabs>
            <w:rPr>
              <w:rFonts w:asciiTheme="minorHAnsi" w:eastAsiaTheme="minorEastAsia" w:hAnsiTheme="minorHAnsi"/>
              <w:noProof/>
              <w:sz w:val="22"/>
            </w:rPr>
          </w:pPr>
          <w:hyperlink w:anchor="_Toc73525638" w:history="1">
            <w:r w:rsidR="00884D0D" w:rsidRPr="00194D38">
              <w:rPr>
                <w:rStyle w:val="Hyperlink"/>
                <w:noProof/>
              </w:rPr>
              <w:t>A.8 Characteristics of Supplemental RCT evidence</w:t>
            </w:r>
            <w:r w:rsidR="00884D0D">
              <w:rPr>
                <w:noProof/>
                <w:webHidden/>
              </w:rPr>
              <w:tab/>
            </w:r>
            <w:r w:rsidR="00884D0D">
              <w:rPr>
                <w:noProof/>
                <w:webHidden/>
              </w:rPr>
              <w:fldChar w:fldCharType="begin"/>
            </w:r>
            <w:r w:rsidR="00884D0D">
              <w:rPr>
                <w:noProof/>
                <w:webHidden/>
              </w:rPr>
              <w:instrText xml:space="preserve"> PAGEREF _Toc73525638 \h </w:instrText>
            </w:r>
            <w:r w:rsidR="00884D0D">
              <w:rPr>
                <w:noProof/>
                <w:webHidden/>
              </w:rPr>
            </w:r>
            <w:r w:rsidR="00884D0D">
              <w:rPr>
                <w:noProof/>
                <w:webHidden/>
              </w:rPr>
              <w:fldChar w:fldCharType="separate"/>
            </w:r>
            <w:r>
              <w:rPr>
                <w:noProof/>
                <w:webHidden/>
              </w:rPr>
              <w:t>235</w:t>
            </w:r>
            <w:r w:rsidR="00884D0D">
              <w:rPr>
                <w:noProof/>
                <w:webHidden/>
              </w:rPr>
              <w:fldChar w:fldCharType="end"/>
            </w:r>
          </w:hyperlink>
        </w:p>
        <w:p w:rsidR="00884D0D" w:rsidRDefault="006908BC">
          <w:pPr>
            <w:pStyle w:val="TOC3"/>
            <w:tabs>
              <w:tab w:val="right" w:leader="dot" w:pos="9016"/>
            </w:tabs>
            <w:rPr>
              <w:rFonts w:asciiTheme="minorHAnsi" w:eastAsiaTheme="minorEastAsia" w:hAnsiTheme="minorHAnsi"/>
              <w:noProof/>
              <w:sz w:val="22"/>
            </w:rPr>
          </w:pPr>
          <w:hyperlink w:anchor="_Toc73525639" w:history="1">
            <w:r w:rsidR="00884D0D" w:rsidRPr="00194D38">
              <w:rPr>
                <w:rStyle w:val="Hyperlink"/>
                <w:noProof/>
              </w:rPr>
              <w:t>A.9 Risk of bias assessment for supplemental evidence</w:t>
            </w:r>
            <w:r w:rsidR="00884D0D">
              <w:rPr>
                <w:noProof/>
                <w:webHidden/>
              </w:rPr>
              <w:tab/>
            </w:r>
            <w:r w:rsidR="00884D0D">
              <w:rPr>
                <w:noProof/>
                <w:webHidden/>
              </w:rPr>
              <w:fldChar w:fldCharType="begin"/>
            </w:r>
            <w:r w:rsidR="00884D0D">
              <w:rPr>
                <w:noProof/>
                <w:webHidden/>
              </w:rPr>
              <w:instrText xml:space="preserve"> PAGEREF _Toc73525639 \h </w:instrText>
            </w:r>
            <w:r w:rsidR="00884D0D">
              <w:rPr>
                <w:noProof/>
                <w:webHidden/>
              </w:rPr>
            </w:r>
            <w:r w:rsidR="00884D0D">
              <w:rPr>
                <w:noProof/>
                <w:webHidden/>
              </w:rPr>
              <w:fldChar w:fldCharType="separate"/>
            </w:r>
            <w:r>
              <w:rPr>
                <w:noProof/>
                <w:webHidden/>
              </w:rPr>
              <w:t>251</w:t>
            </w:r>
            <w:r w:rsidR="00884D0D">
              <w:rPr>
                <w:noProof/>
                <w:webHidden/>
              </w:rPr>
              <w:fldChar w:fldCharType="end"/>
            </w:r>
          </w:hyperlink>
        </w:p>
        <w:p w:rsidR="00884D0D" w:rsidRDefault="006908BC">
          <w:pPr>
            <w:pStyle w:val="TOC2"/>
            <w:tabs>
              <w:tab w:val="right" w:leader="dot" w:pos="9016"/>
            </w:tabs>
            <w:rPr>
              <w:rFonts w:asciiTheme="minorHAnsi" w:eastAsiaTheme="minorEastAsia" w:hAnsiTheme="minorHAnsi"/>
              <w:noProof/>
              <w:sz w:val="22"/>
            </w:rPr>
          </w:pPr>
          <w:hyperlink w:anchor="_Toc73525640" w:history="1">
            <w:r w:rsidR="00884D0D" w:rsidRPr="00194D38">
              <w:rPr>
                <w:rStyle w:val="Hyperlink"/>
                <w:noProof/>
              </w:rPr>
              <w:t>B Summary of evidence</w:t>
            </w:r>
            <w:r w:rsidR="00884D0D">
              <w:rPr>
                <w:noProof/>
                <w:webHidden/>
              </w:rPr>
              <w:tab/>
            </w:r>
            <w:r w:rsidR="00884D0D">
              <w:rPr>
                <w:noProof/>
                <w:webHidden/>
              </w:rPr>
              <w:fldChar w:fldCharType="begin"/>
            </w:r>
            <w:r w:rsidR="00884D0D">
              <w:rPr>
                <w:noProof/>
                <w:webHidden/>
              </w:rPr>
              <w:instrText xml:space="preserve"> PAGEREF _Toc73525640 \h </w:instrText>
            </w:r>
            <w:r w:rsidR="00884D0D">
              <w:rPr>
                <w:noProof/>
                <w:webHidden/>
              </w:rPr>
            </w:r>
            <w:r w:rsidR="00884D0D">
              <w:rPr>
                <w:noProof/>
                <w:webHidden/>
              </w:rPr>
              <w:fldChar w:fldCharType="separate"/>
            </w:r>
            <w:r>
              <w:rPr>
                <w:noProof/>
                <w:webHidden/>
              </w:rPr>
              <w:t>252</w:t>
            </w:r>
            <w:r w:rsidR="00884D0D">
              <w:rPr>
                <w:noProof/>
                <w:webHidden/>
              </w:rPr>
              <w:fldChar w:fldCharType="end"/>
            </w:r>
          </w:hyperlink>
        </w:p>
        <w:p w:rsidR="00884D0D" w:rsidRDefault="006908BC">
          <w:pPr>
            <w:pStyle w:val="TOC3"/>
            <w:tabs>
              <w:tab w:val="right" w:leader="dot" w:pos="9016"/>
            </w:tabs>
            <w:rPr>
              <w:rFonts w:asciiTheme="minorHAnsi" w:eastAsiaTheme="minorEastAsia" w:hAnsiTheme="minorHAnsi"/>
              <w:noProof/>
              <w:sz w:val="22"/>
            </w:rPr>
          </w:pPr>
          <w:hyperlink w:anchor="_Toc73525641" w:history="1">
            <w:r w:rsidR="00884D0D" w:rsidRPr="00194D38">
              <w:rPr>
                <w:rStyle w:val="Hyperlink"/>
                <w:noProof/>
              </w:rPr>
              <w:t>B.1 Evidence previously considered by the PBAC</w:t>
            </w:r>
            <w:r w:rsidR="00884D0D">
              <w:rPr>
                <w:noProof/>
                <w:webHidden/>
              </w:rPr>
              <w:tab/>
            </w:r>
            <w:r w:rsidR="00884D0D">
              <w:rPr>
                <w:noProof/>
                <w:webHidden/>
              </w:rPr>
              <w:fldChar w:fldCharType="begin"/>
            </w:r>
            <w:r w:rsidR="00884D0D">
              <w:rPr>
                <w:noProof/>
                <w:webHidden/>
              </w:rPr>
              <w:instrText xml:space="preserve"> PAGEREF _Toc73525641 \h </w:instrText>
            </w:r>
            <w:r w:rsidR="00884D0D">
              <w:rPr>
                <w:noProof/>
                <w:webHidden/>
              </w:rPr>
            </w:r>
            <w:r w:rsidR="00884D0D">
              <w:rPr>
                <w:noProof/>
                <w:webHidden/>
              </w:rPr>
              <w:fldChar w:fldCharType="separate"/>
            </w:r>
            <w:r>
              <w:rPr>
                <w:noProof/>
                <w:webHidden/>
              </w:rPr>
              <w:t>252</w:t>
            </w:r>
            <w:r w:rsidR="00884D0D">
              <w:rPr>
                <w:noProof/>
                <w:webHidden/>
              </w:rPr>
              <w:fldChar w:fldCharType="end"/>
            </w:r>
          </w:hyperlink>
        </w:p>
        <w:p w:rsidR="00884D0D" w:rsidRDefault="006908BC">
          <w:pPr>
            <w:pStyle w:val="TOC3"/>
            <w:tabs>
              <w:tab w:val="right" w:leader="dot" w:pos="9016"/>
            </w:tabs>
            <w:rPr>
              <w:rFonts w:asciiTheme="minorHAnsi" w:eastAsiaTheme="minorEastAsia" w:hAnsiTheme="minorHAnsi"/>
              <w:noProof/>
              <w:sz w:val="22"/>
            </w:rPr>
          </w:pPr>
          <w:hyperlink w:anchor="_Toc73525642" w:history="1">
            <w:r w:rsidR="00884D0D" w:rsidRPr="00194D38">
              <w:rPr>
                <w:rStyle w:val="Hyperlink"/>
                <w:noProof/>
              </w:rPr>
              <w:t>B.2 Characteristics of individual studies</w:t>
            </w:r>
            <w:r w:rsidR="00884D0D">
              <w:rPr>
                <w:noProof/>
                <w:webHidden/>
              </w:rPr>
              <w:tab/>
            </w:r>
            <w:r w:rsidR="00884D0D">
              <w:rPr>
                <w:noProof/>
                <w:webHidden/>
              </w:rPr>
              <w:fldChar w:fldCharType="begin"/>
            </w:r>
            <w:r w:rsidR="00884D0D">
              <w:rPr>
                <w:noProof/>
                <w:webHidden/>
              </w:rPr>
              <w:instrText xml:space="preserve"> PAGEREF _Toc73525642 \h </w:instrText>
            </w:r>
            <w:r w:rsidR="00884D0D">
              <w:rPr>
                <w:noProof/>
                <w:webHidden/>
              </w:rPr>
            </w:r>
            <w:r w:rsidR="00884D0D">
              <w:rPr>
                <w:noProof/>
                <w:webHidden/>
              </w:rPr>
              <w:fldChar w:fldCharType="separate"/>
            </w:r>
            <w:r>
              <w:rPr>
                <w:noProof/>
                <w:webHidden/>
              </w:rPr>
              <w:t>255</w:t>
            </w:r>
            <w:r w:rsidR="00884D0D">
              <w:rPr>
                <w:noProof/>
                <w:webHidden/>
              </w:rPr>
              <w:fldChar w:fldCharType="end"/>
            </w:r>
          </w:hyperlink>
        </w:p>
        <w:p w:rsidR="00884D0D" w:rsidRDefault="006908BC">
          <w:pPr>
            <w:pStyle w:val="TOC3"/>
            <w:tabs>
              <w:tab w:val="right" w:leader="dot" w:pos="9016"/>
            </w:tabs>
            <w:rPr>
              <w:rFonts w:asciiTheme="minorHAnsi" w:eastAsiaTheme="minorEastAsia" w:hAnsiTheme="minorHAnsi"/>
              <w:noProof/>
              <w:sz w:val="22"/>
            </w:rPr>
          </w:pPr>
          <w:hyperlink w:anchor="_Toc73525643" w:history="1">
            <w:r w:rsidR="00884D0D" w:rsidRPr="00194D38">
              <w:rPr>
                <w:rStyle w:val="Hyperlink"/>
                <w:noProof/>
              </w:rPr>
              <w:t>B.3 Results</w:t>
            </w:r>
            <w:r w:rsidR="00884D0D">
              <w:rPr>
                <w:noProof/>
                <w:webHidden/>
              </w:rPr>
              <w:tab/>
            </w:r>
            <w:r w:rsidR="00884D0D">
              <w:rPr>
                <w:noProof/>
                <w:webHidden/>
              </w:rPr>
              <w:fldChar w:fldCharType="begin"/>
            </w:r>
            <w:r w:rsidR="00884D0D">
              <w:rPr>
                <w:noProof/>
                <w:webHidden/>
              </w:rPr>
              <w:instrText xml:space="preserve"> PAGEREF _Toc73525643 \h </w:instrText>
            </w:r>
            <w:r w:rsidR="00884D0D">
              <w:rPr>
                <w:noProof/>
                <w:webHidden/>
              </w:rPr>
            </w:r>
            <w:r w:rsidR="00884D0D">
              <w:rPr>
                <w:noProof/>
                <w:webHidden/>
              </w:rPr>
              <w:fldChar w:fldCharType="separate"/>
            </w:r>
            <w:r>
              <w:rPr>
                <w:noProof/>
                <w:webHidden/>
              </w:rPr>
              <w:t>389</w:t>
            </w:r>
            <w:r w:rsidR="00884D0D">
              <w:rPr>
                <w:noProof/>
                <w:webHidden/>
              </w:rPr>
              <w:fldChar w:fldCharType="end"/>
            </w:r>
          </w:hyperlink>
        </w:p>
        <w:p w:rsidR="00884D0D" w:rsidRDefault="00884D0D">
          <w:r>
            <w:rPr>
              <w:b/>
              <w:bCs/>
              <w:noProof/>
            </w:rPr>
            <w:fldChar w:fldCharType="end"/>
          </w:r>
        </w:p>
      </w:sdtContent>
    </w:sdt>
    <w:p w:rsidR="00236763" w:rsidRPr="004B11B2" w:rsidRDefault="00236763">
      <w:pPr>
        <w:rPr>
          <w:rFonts w:asciiTheme="majorHAnsi" w:eastAsiaTheme="majorEastAsia" w:hAnsiTheme="majorHAnsi" w:cstheme="majorBidi"/>
          <w:b/>
          <w:bCs/>
          <w:color w:val="365F91" w:themeColor="accent1" w:themeShade="BF"/>
          <w:sz w:val="28"/>
          <w:szCs w:val="28"/>
        </w:rPr>
      </w:pPr>
      <w:r w:rsidRPr="004B11B2">
        <w:rPr>
          <w:rFonts w:asciiTheme="majorHAnsi" w:hAnsiTheme="majorHAnsi"/>
        </w:rPr>
        <w:br w:type="page"/>
      </w:r>
    </w:p>
    <w:p w:rsidR="00D73E11" w:rsidRPr="008370B4" w:rsidRDefault="00D73E11" w:rsidP="00211C1B">
      <w:pPr>
        <w:pStyle w:val="Heading1"/>
        <w:numPr>
          <w:ilvl w:val="0"/>
          <w:numId w:val="0"/>
        </w:numPr>
      </w:pPr>
      <w:bookmarkStart w:id="13" w:name="_Toc481076737"/>
      <w:bookmarkStart w:id="14" w:name="_Toc72850844"/>
      <w:bookmarkStart w:id="15" w:name="_Toc73525609"/>
      <w:r w:rsidRPr="00920324">
        <w:lastRenderedPageBreak/>
        <w:t>Abbreviations</w:t>
      </w:r>
      <w:bookmarkEnd w:id="13"/>
      <w:bookmarkEnd w:id="14"/>
      <w:bookmarkEnd w:id="15"/>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980"/>
        <w:gridCol w:w="6660"/>
      </w:tblGrid>
      <w:tr w:rsidR="004B0B26" w:rsidRPr="004B11B2" w:rsidTr="00550A97">
        <w:trPr>
          <w:trHeight w:val="411"/>
        </w:trPr>
        <w:tc>
          <w:tcPr>
            <w:tcW w:w="1980" w:type="dxa"/>
            <w:shd w:val="clear" w:color="auto" w:fill="BFBFBF" w:themeFill="background1" w:themeFillShade="BF"/>
            <w:vAlign w:val="bottom"/>
          </w:tcPr>
          <w:p w:rsidR="004B0B26" w:rsidRPr="00777386" w:rsidRDefault="004B0B26" w:rsidP="00550A97">
            <w:pPr>
              <w:spacing w:before="60" w:after="60"/>
              <w:rPr>
                <w:rFonts w:asciiTheme="minorHAnsi" w:hAnsiTheme="minorHAnsi" w:cs="Arial"/>
                <w:b/>
                <w:sz w:val="20"/>
                <w:szCs w:val="20"/>
              </w:rPr>
            </w:pPr>
            <w:r>
              <w:rPr>
                <w:rFonts w:asciiTheme="minorHAnsi" w:hAnsiTheme="minorHAnsi" w:cs="Arial"/>
                <w:b/>
                <w:sz w:val="20"/>
                <w:szCs w:val="20"/>
              </w:rPr>
              <w:t>Abbreviation</w:t>
            </w:r>
          </w:p>
        </w:tc>
        <w:tc>
          <w:tcPr>
            <w:tcW w:w="6660" w:type="dxa"/>
            <w:shd w:val="clear" w:color="auto" w:fill="BFBFBF" w:themeFill="background1" w:themeFillShade="BF"/>
            <w:vAlign w:val="bottom"/>
          </w:tcPr>
          <w:p w:rsidR="004B0B26" w:rsidRPr="00777386" w:rsidRDefault="004B0B26" w:rsidP="00550A97">
            <w:pPr>
              <w:spacing w:before="60" w:after="60"/>
              <w:rPr>
                <w:rFonts w:asciiTheme="minorHAnsi" w:hAnsiTheme="minorHAnsi" w:cs="Arial"/>
                <w:b/>
                <w:sz w:val="20"/>
                <w:szCs w:val="20"/>
              </w:rPr>
            </w:pPr>
            <w:r>
              <w:rPr>
                <w:rFonts w:asciiTheme="minorHAnsi" w:hAnsiTheme="minorHAnsi" w:cs="Arial"/>
                <w:b/>
                <w:sz w:val="20"/>
                <w:szCs w:val="20"/>
              </w:rPr>
              <w:t xml:space="preserve">Full Name / Wording </w:t>
            </w:r>
          </w:p>
        </w:tc>
      </w:tr>
      <w:tr w:rsidR="004B0B26" w:rsidRPr="004B11B2" w:rsidTr="00550A97">
        <w:trPr>
          <w:trHeight w:val="411"/>
        </w:trPr>
        <w:tc>
          <w:tcPr>
            <w:tcW w:w="1980" w:type="dxa"/>
            <w:shd w:val="clear" w:color="auto" w:fill="auto"/>
          </w:tcPr>
          <w:p w:rsidR="004B0B26" w:rsidRPr="00C7096A" w:rsidRDefault="004B0B26" w:rsidP="00550A97">
            <w:pPr>
              <w:spacing w:before="60" w:after="60"/>
              <w:rPr>
                <w:rFonts w:asciiTheme="minorHAnsi" w:hAnsiTheme="minorHAnsi" w:cs="Arial"/>
                <w:bCs/>
                <w:sz w:val="20"/>
                <w:szCs w:val="20"/>
              </w:rPr>
            </w:pPr>
            <w:r w:rsidRPr="00C7096A">
              <w:rPr>
                <w:rFonts w:asciiTheme="minorHAnsi" w:hAnsiTheme="minorHAnsi" w:cs="Arial"/>
                <w:bCs/>
                <w:sz w:val="20"/>
                <w:szCs w:val="20"/>
              </w:rPr>
              <w:t>ACT</w:t>
            </w:r>
          </w:p>
        </w:tc>
        <w:tc>
          <w:tcPr>
            <w:tcW w:w="6660" w:type="dxa"/>
            <w:shd w:val="clear" w:color="auto" w:fill="auto"/>
            <w:vAlign w:val="bottom"/>
          </w:tcPr>
          <w:p w:rsidR="004B0B26" w:rsidRDefault="004B0B26" w:rsidP="00550A97">
            <w:pPr>
              <w:spacing w:before="60" w:after="60"/>
              <w:rPr>
                <w:rFonts w:asciiTheme="minorHAnsi" w:hAnsiTheme="minorHAnsi" w:cs="Arial"/>
                <w:bCs/>
                <w:sz w:val="20"/>
                <w:szCs w:val="20"/>
              </w:rPr>
            </w:pPr>
            <w:r w:rsidRPr="00C7096A">
              <w:rPr>
                <w:rFonts w:asciiTheme="minorHAnsi" w:hAnsiTheme="minorHAnsi" w:cs="Arial"/>
                <w:bCs/>
                <w:sz w:val="20"/>
                <w:szCs w:val="20"/>
              </w:rPr>
              <w:t>Acceptance and Commitment Therapy</w:t>
            </w:r>
          </w:p>
          <w:p w:rsidR="004B0B26" w:rsidRPr="00C7096A" w:rsidRDefault="004B0B26" w:rsidP="00550A97">
            <w:pPr>
              <w:spacing w:before="60" w:after="60"/>
              <w:rPr>
                <w:rFonts w:asciiTheme="minorHAnsi" w:hAnsiTheme="minorHAnsi" w:cs="Arial"/>
                <w:bCs/>
                <w:sz w:val="20"/>
                <w:szCs w:val="20"/>
              </w:rPr>
            </w:pPr>
            <w:r>
              <w:rPr>
                <w:rFonts w:asciiTheme="minorHAnsi" w:hAnsiTheme="minorHAnsi" w:cs="Arial"/>
                <w:bCs/>
                <w:sz w:val="20"/>
                <w:szCs w:val="20"/>
              </w:rPr>
              <w:t>Australian Capital Territory</w:t>
            </w:r>
          </w:p>
        </w:tc>
      </w:tr>
      <w:tr w:rsidR="004B0B26" w:rsidRPr="004B11B2" w:rsidTr="00550A97">
        <w:trPr>
          <w:trHeight w:val="411"/>
        </w:trPr>
        <w:tc>
          <w:tcPr>
            <w:tcW w:w="1980" w:type="dxa"/>
            <w:shd w:val="clear" w:color="auto" w:fill="auto"/>
          </w:tcPr>
          <w:p w:rsidR="004B0B26" w:rsidRPr="00C7096A" w:rsidRDefault="004B0B26" w:rsidP="00550A97">
            <w:pPr>
              <w:spacing w:before="60" w:after="60"/>
              <w:rPr>
                <w:rFonts w:asciiTheme="minorHAnsi" w:hAnsiTheme="minorHAnsi" w:cs="Arial"/>
                <w:bCs/>
                <w:sz w:val="20"/>
                <w:szCs w:val="20"/>
              </w:rPr>
            </w:pPr>
            <w:r>
              <w:rPr>
                <w:rFonts w:asciiTheme="minorHAnsi" w:hAnsiTheme="minorHAnsi" w:cs="Arial"/>
                <w:bCs/>
                <w:sz w:val="20"/>
                <w:szCs w:val="20"/>
              </w:rPr>
              <w:t>AGREE</w:t>
            </w:r>
          </w:p>
        </w:tc>
        <w:tc>
          <w:tcPr>
            <w:tcW w:w="6660" w:type="dxa"/>
            <w:shd w:val="clear" w:color="auto" w:fill="auto"/>
            <w:vAlign w:val="bottom"/>
          </w:tcPr>
          <w:p w:rsidR="004B0B26" w:rsidRPr="00C7096A" w:rsidRDefault="004B0B26" w:rsidP="00550A97">
            <w:pPr>
              <w:spacing w:before="60" w:after="60"/>
              <w:rPr>
                <w:rFonts w:asciiTheme="minorHAnsi" w:hAnsiTheme="minorHAnsi" w:cs="Arial"/>
                <w:bCs/>
                <w:sz w:val="20"/>
                <w:szCs w:val="20"/>
              </w:rPr>
            </w:pPr>
            <w:r>
              <w:rPr>
                <w:rFonts w:asciiTheme="minorHAnsi" w:hAnsiTheme="minorHAnsi" w:cs="Arial"/>
                <w:bCs/>
                <w:sz w:val="20"/>
                <w:szCs w:val="20"/>
              </w:rPr>
              <w:t>Appraisal of Guidelines for Research and Evaluation</w:t>
            </w:r>
          </w:p>
        </w:tc>
      </w:tr>
      <w:tr w:rsidR="00160070" w:rsidRPr="004B11B2" w:rsidTr="00550A97">
        <w:trPr>
          <w:trHeight w:val="411"/>
        </w:trPr>
        <w:tc>
          <w:tcPr>
            <w:tcW w:w="1980" w:type="dxa"/>
            <w:shd w:val="clear" w:color="auto" w:fill="auto"/>
          </w:tcPr>
          <w:p w:rsidR="00160070" w:rsidRDefault="00160070" w:rsidP="00550A97">
            <w:pPr>
              <w:spacing w:before="60" w:after="60"/>
              <w:rPr>
                <w:rFonts w:asciiTheme="minorHAnsi" w:hAnsiTheme="minorHAnsi" w:cs="Arial"/>
                <w:bCs/>
                <w:sz w:val="20"/>
                <w:szCs w:val="20"/>
              </w:rPr>
            </w:pPr>
            <w:r>
              <w:rPr>
                <w:rFonts w:asciiTheme="minorHAnsi" w:hAnsiTheme="minorHAnsi" w:cs="Arial"/>
                <w:bCs/>
                <w:sz w:val="20"/>
                <w:szCs w:val="20"/>
              </w:rPr>
              <w:t>AMSTAR</w:t>
            </w:r>
          </w:p>
        </w:tc>
        <w:tc>
          <w:tcPr>
            <w:tcW w:w="6660" w:type="dxa"/>
            <w:shd w:val="clear" w:color="auto" w:fill="auto"/>
            <w:vAlign w:val="bottom"/>
          </w:tcPr>
          <w:p w:rsidR="00160070" w:rsidRDefault="00160070" w:rsidP="00550A97">
            <w:pPr>
              <w:spacing w:before="60" w:after="60"/>
              <w:rPr>
                <w:rFonts w:asciiTheme="minorHAnsi" w:hAnsiTheme="minorHAnsi" w:cs="Arial"/>
                <w:bCs/>
                <w:sz w:val="20"/>
                <w:szCs w:val="20"/>
              </w:rPr>
            </w:pPr>
            <w:r>
              <w:rPr>
                <w:rFonts w:asciiTheme="minorHAnsi" w:hAnsiTheme="minorHAnsi" w:cs="Arial"/>
                <w:bCs/>
                <w:sz w:val="20"/>
                <w:szCs w:val="20"/>
              </w:rPr>
              <w:t>Assessing the Methodological Quality of Systematic Reviews</w:t>
            </w:r>
          </w:p>
        </w:tc>
      </w:tr>
      <w:tr w:rsidR="004B0B26" w:rsidRPr="004B11B2" w:rsidTr="00550A97">
        <w:trPr>
          <w:trHeight w:val="170"/>
        </w:trPr>
        <w:tc>
          <w:tcPr>
            <w:tcW w:w="1980" w:type="dxa"/>
            <w:shd w:val="clear" w:color="auto" w:fill="auto"/>
            <w:vAlign w:val="bottom"/>
          </w:tcPr>
          <w:p w:rsidR="004B0B26" w:rsidRPr="00034A24" w:rsidRDefault="004B0B26" w:rsidP="00550A97">
            <w:pPr>
              <w:spacing w:before="60" w:after="60"/>
              <w:rPr>
                <w:rFonts w:asciiTheme="minorHAnsi" w:hAnsiTheme="minorHAnsi" w:cs="Arial"/>
                <w:sz w:val="20"/>
                <w:szCs w:val="20"/>
              </w:rPr>
            </w:pPr>
            <w:r w:rsidRPr="00034A24">
              <w:rPr>
                <w:rFonts w:asciiTheme="minorHAnsi" w:hAnsiTheme="minorHAnsi" w:cs="Arial"/>
                <w:sz w:val="20"/>
                <w:szCs w:val="20"/>
              </w:rPr>
              <w:t>BNF</w:t>
            </w:r>
          </w:p>
        </w:tc>
        <w:tc>
          <w:tcPr>
            <w:tcW w:w="6660" w:type="dxa"/>
            <w:shd w:val="clear" w:color="auto" w:fill="auto"/>
            <w:vAlign w:val="bottom"/>
          </w:tcPr>
          <w:p w:rsidR="004B0B26" w:rsidRPr="004A45ED" w:rsidRDefault="004B0B26" w:rsidP="00550A97">
            <w:pPr>
              <w:spacing w:before="60" w:after="60"/>
              <w:rPr>
                <w:rFonts w:asciiTheme="minorHAnsi" w:hAnsiTheme="minorHAnsi" w:cs="Arial"/>
                <w:color w:val="000000"/>
                <w:sz w:val="20"/>
                <w:szCs w:val="20"/>
              </w:rPr>
            </w:pPr>
            <w:r w:rsidRPr="004A45ED">
              <w:rPr>
                <w:rFonts w:asciiTheme="minorHAnsi" w:hAnsiTheme="minorHAnsi" w:cs="Arial"/>
                <w:color w:val="000000"/>
                <w:sz w:val="20"/>
                <w:szCs w:val="20"/>
              </w:rPr>
              <w:t>British National Formulary</w:t>
            </w:r>
          </w:p>
        </w:tc>
      </w:tr>
      <w:tr w:rsidR="004B0B26" w:rsidRPr="004B11B2" w:rsidTr="00550A97">
        <w:trPr>
          <w:trHeight w:val="170"/>
        </w:trPr>
        <w:tc>
          <w:tcPr>
            <w:tcW w:w="1980" w:type="dxa"/>
            <w:shd w:val="clear" w:color="auto" w:fill="auto"/>
            <w:vAlign w:val="bottom"/>
          </w:tcPr>
          <w:p w:rsidR="004B0B26" w:rsidRPr="00034A24" w:rsidRDefault="004B0B26"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BUP</w:t>
            </w:r>
          </w:p>
        </w:tc>
        <w:tc>
          <w:tcPr>
            <w:tcW w:w="6660" w:type="dxa"/>
            <w:shd w:val="clear" w:color="auto" w:fill="auto"/>
            <w:vAlign w:val="bottom"/>
          </w:tcPr>
          <w:p w:rsidR="004B0B26" w:rsidRPr="00034A24" w:rsidRDefault="004B0B26"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Bupropion</w:t>
            </w:r>
          </w:p>
        </w:tc>
      </w:tr>
      <w:tr w:rsidR="004B0B26" w:rsidRPr="004B11B2" w:rsidTr="00550A97">
        <w:trPr>
          <w:trHeight w:val="170"/>
        </w:trPr>
        <w:tc>
          <w:tcPr>
            <w:tcW w:w="1980" w:type="dxa"/>
            <w:shd w:val="clear" w:color="auto" w:fill="auto"/>
          </w:tcPr>
          <w:p w:rsidR="004B0B26" w:rsidRDefault="004B0B26"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CAN-ADAPTT</w:t>
            </w:r>
          </w:p>
        </w:tc>
        <w:tc>
          <w:tcPr>
            <w:tcW w:w="6660" w:type="dxa"/>
            <w:shd w:val="clear" w:color="auto" w:fill="auto"/>
            <w:vAlign w:val="bottom"/>
          </w:tcPr>
          <w:p w:rsidR="004B0B26" w:rsidRDefault="004B0B26" w:rsidP="00550A97">
            <w:pPr>
              <w:spacing w:before="60" w:after="60"/>
              <w:rPr>
                <w:rFonts w:asciiTheme="minorHAnsi" w:hAnsiTheme="minorHAnsi" w:cs="Arial"/>
                <w:color w:val="000000"/>
                <w:sz w:val="20"/>
                <w:szCs w:val="20"/>
              </w:rPr>
            </w:pPr>
            <w:r w:rsidRPr="00EB3507">
              <w:rPr>
                <w:rFonts w:asciiTheme="minorHAnsi" w:hAnsiTheme="minorHAnsi" w:cs="Arial"/>
                <w:color w:val="000000"/>
                <w:sz w:val="20"/>
                <w:szCs w:val="20"/>
              </w:rPr>
              <w:t>Canadian</w:t>
            </w:r>
            <w:r>
              <w:rPr>
                <w:rFonts w:asciiTheme="minorHAnsi" w:hAnsiTheme="minorHAnsi" w:cs="Arial"/>
                <w:color w:val="000000"/>
                <w:sz w:val="20"/>
                <w:szCs w:val="20"/>
              </w:rPr>
              <w:t xml:space="preserve"> </w:t>
            </w:r>
            <w:r w:rsidRPr="00EB3507">
              <w:rPr>
                <w:rFonts w:asciiTheme="minorHAnsi" w:hAnsiTheme="minorHAnsi" w:cs="Arial"/>
                <w:color w:val="000000"/>
                <w:sz w:val="20"/>
                <w:szCs w:val="20"/>
              </w:rPr>
              <w:t>Action Network for the Advancement, Dissemination</w:t>
            </w:r>
            <w:r>
              <w:rPr>
                <w:rFonts w:asciiTheme="minorHAnsi" w:hAnsiTheme="minorHAnsi" w:cs="Arial"/>
                <w:color w:val="000000"/>
                <w:sz w:val="20"/>
                <w:szCs w:val="20"/>
              </w:rPr>
              <w:t xml:space="preserve"> </w:t>
            </w:r>
            <w:r w:rsidRPr="00EB3507">
              <w:rPr>
                <w:rFonts w:asciiTheme="minorHAnsi" w:hAnsiTheme="minorHAnsi" w:cs="Arial"/>
                <w:color w:val="000000"/>
                <w:sz w:val="20"/>
                <w:szCs w:val="20"/>
              </w:rPr>
              <w:t>and Adoption of Practice-informed Tobacco</w:t>
            </w:r>
            <w:r>
              <w:rPr>
                <w:rFonts w:asciiTheme="minorHAnsi" w:hAnsiTheme="minorHAnsi" w:cs="Arial"/>
                <w:color w:val="000000"/>
                <w:sz w:val="20"/>
                <w:szCs w:val="20"/>
              </w:rPr>
              <w:t xml:space="preserve"> </w:t>
            </w:r>
            <w:r w:rsidRPr="00EB3507">
              <w:rPr>
                <w:rFonts w:asciiTheme="minorHAnsi" w:hAnsiTheme="minorHAnsi" w:cs="Arial"/>
                <w:color w:val="000000"/>
                <w:sz w:val="20"/>
                <w:szCs w:val="20"/>
              </w:rPr>
              <w:t>Treatment</w:t>
            </w:r>
          </w:p>
        </w:tc>
      </w:tr>
      <w:tr w:rsidR="00187C8C" w:rsidRPr="004B11B2" w:rsidTr="00550A97">
        <w:trPr>
          <w:trHeight w:val="170"/>
        </w:trPr>
        <w:tc>
          <w:tcPr>
            <w:tcW w:w="1980" w:type="dxa"/>
            <w:shd w:val="clear" w:color="auto" w:fill="auto"/>
          </w:tcPr>
          <w:p w:rsidR="00187C8C" w:rsidRDefault="00187C8C"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CAR</w:t>
            </w:r>
          </w:p>
        </w:tc>
        <w:tc>
          <w:tcPr>
            <w:tcW w:w="6660" w:type="dxa"/>
            <w:shd w:val="clear" w:color="auto" w:fill="auto"/>
            <w:vAlign w:val="bottom"/>
          </w:tcPr>
          <w:p w:rsidR="00187C8C" w:rsidRPr="00EB3507" w:rsidRDefault="00187C8C"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Continuous abstinence rate</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CBT</w:t>
            </w:r>
          </w:p>
        </w:tc>
        <w:tc>
          <w:tcPr>
            <w:tcW w:w="6660" w:type="dxa"/>
            <w:shd w:val="clear" w:color="auto" w:fill="auto"/>
            <w:vAlign w:val="bottom"/>
          </w:tcPr>
          <w:p w:rsidR="004B0B26" w:rsidRDefault="004B0B26"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Cognitive Behavioural Therapy</w:t>
            </w:r>
          </w:p>
        </w:tc>
      </w:tr>
      <w:tr w:rsidR="00187C8C" w:rsidRPr="004B11B2" w:rsidTr="00550A97">
        <w:trPr>
          <w:trHeight w:val="170"/>
        </w:trPr>
        <w:tc>
          <w:tcPr>
            <w:tcW w:w="1980" w:type="dxa"/>
            <w:shd w:val="clear" w:color="auto" w:fill="auto"/>
            <w:vAlign w:val="bottom"/>
          </w:tcPr>
          <w:p w:rsidR="00187C8C" w:rsidRDefault="00187C8C"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CI</w:t>
            </w:r>
          </w:p>
        </w:tc>
        <w:tc>
          <w:tcPr>
            <w:tcW w:w="6660" w:type="dxa"/>
            <w:shd w:val="clear" w:color="auto" w:fill="auto"/>
            <w:vAlign w:val="bottom"/>
          </w:tcPr>
          <w:p w:rsidR="00187C8C" w:rsidRDefault="00187C8C"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Confidence interval</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CLO</w:t>
            </w:r>
          </w:p>
        </w:tc>
        <w:tc>
          <w:tcPr>
            <w:tcW w:w="6660" w:type="dxa"/>
            <w:shd w:val="clear" w:color="auto" w:fill="auto"/>
            <w:vAlign w:val="bottom"/>
          </w:tcPr>
          <w:p w:rsidR="004B0B26" w:rsidRDefault="004B0B26"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Clonidine</w:t>
            </w:r>
          </w:p>
        </w:tc>
      </w:tr>
      <w:tr w:rsidR="00104ECB" w:rsidRPr="004B11B2" w:rsidTr="00550A97">
        <w:trPr>
          <w:trHeight w:val="170"/>
        </w:trPr>
        <w:tc>
          <w:tcPr>
            <w:tcW w:w="1980" w:type="dxa"/>
            <w:shd w:val="clear" w:color="auto" w:fill="auto"/>
            <w:vAlign w:val="bottom"/>
          </w:tcPr>
          <w:p w:rsidR="00104ECB" w:rsidRDefault="00104ECB"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CO</w:t>
            </w:r>
          </w:p>
        </w:tc>
        <w:tc>
          <w:tcPr>
            <w:tcW w:w="6660" w:type="dxa"/>
            <w:shd w:val="clear" w:color="auto" w:fill="auto"/>
            <w:vAlign w:val="bottom"/>
          </w:tcPr>
          <w:p w:rsidR="00104ECB" w:rsidRDefault="00104ECB"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Carbon monoxide</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COPD</w:t>
            </w:r>
          </w:p>
        </w:tc>
        <w:tc>
          <w:tcPr>
            <w:tcW w:w="6660" w:type="dxa"/>
            <w:shd w:val="clear" w:color="auto" w:fill="auto"/>
            <w:vAlign w:val="bottom"/>
          </w:tcPr>
          <w:p w:rsidR="004B0B26" w:rsidRDefault="004B0B26"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Chronic Obstructive Pulmonary Disease</w:t>
            </w:r>
          </w:p>
        </w:tc>
      </w:tr>
      <w:tr w:rsidR="004B0B26" w:rsidRPr="004B11B2" w:rsidTr="00550A97">
        <w:trPr>
          <w:trHeight w:val="170"/>
        </w:trPr>
        <w:tc>
          <w:tcPr>
            <w:tcW w:w="1980" w:type="dxa"/>
            <w:shd w:val="clear" w:color="auto" w:fill="auto"/>
            <w:vAlign w:val="bottom"/>
          </w:tcPr>
          <w:p w:rsidR="004B0B26" w:rsidRPr="003717F1"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CPD</w:t>
            </w:r>
          </w:p>
        </w:tc>
        <w:tc>
          <w:tcPr>
            <w:tcW w:w="6660" w:type="dxa"/>
            <w:shd w:val="clear" w:color="auto" w:fill="auto"/>
            <w:vAlign w:val="bottom"/>
          </w:tcPr>
          <w:p w:rsidR="004B0B26" w:rsidRPr="003717F1"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Cigarettes Per Day</w:t>
            </w:r>
          </w:p>
        </w:tc>
      </w:tr>
      <w:tr w:rsidR="004B0B26" w:rsidRPr="004B11B2" w:rsidTr="00550A97">
        <w:trPr>
          <w:trHeight w:val="170"/>
        </w:trPr>
        <w:tc>
          <w:tcPr>
            <w:tcW w:w="1980" w:type="dxa"/>
            <w:shd w:val="clear" w:color="auto" w:fill="auto"/>
            <w:vAlign w:val="bottom"/>
          </w:tcPr>
          <w:p w:rsidR="004B0B26" w:rsidRPr="003717F1"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CVD</w:t>
            </w:r>
          </w:p>
        </w:tc>
        <w:tc>
          <w:tcPr>
            <w:tcW w:w="6660" w:type="dxa"/>
            <w:shd w:val="clear" w:color="auto" w:fill="auto"/>
            <w:vAlign w:val="bottom"/>
          </w:tcPr>
          <w:p w:rsidR="004B0B26" w:rsidRPr="003717F1"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Cardiovascular Disease</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CYT</w:t>
            </w:r>
          </w:p>
        </w:tc>
        <w:tc>
          <w:tcPr>
            <w:tcW w:w="666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Cytisine</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eTG</w:t>
            </w:r>
          </w:p>
        </w:tc>
        <w:tc>
          <w:tcPr>
            <w:tcW w:w="666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Electronic Therapeutic Guidelines</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GRADE</w:t>
            </w:r>
          </w:p>
        </w:tc>
        <w:tc>
          <w:tcPr>
            <w:tcW w:w="666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sidRPr="0043776C">
              <w:rPr>
                <w:rFonts w:asciiTheme="minorHAnsi" w:hAnsiTheme="minorHAnsi" w:cs="Arial"/>
                <w:bCs/>
                <w:iCs/>
                <w:color w:val="000000"/>
                <w:sz w:val="20"/>
                <w:szCs w:val="20"/>
              </w:rPr>
              <w:t>Grading of Recommendations, Assessment, Development and Evaluations</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HCP</w:t>
            </w:r>
          </w:p>
        </w:tc>
        <w:tc>
          <w:tcPr>
            <w:tcW w:w="666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Healthcare Provider</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MI</w:t>
            </w:r>
          </w:p>
        </w:tc>
        <w:tc>
          <w:tcPr>
            <w:tcW w:w="666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Motivational Interviewing</w:t>
            </w:r>
          </w:p>
        </w:tc>
      </w:tr>
      <w:tr w:rsidR="00187C8C" w:rsidRPr="004B11B2" w:rsidTr="00550A97">
        <w:trPr>
          <w:trHeight w:val="170"/>
        </w:trPr>
        <w:tc>
          <w:tcPr>
            <w:tcW w:w="1980" w:type="dxa"/>
            <w:shd w:val="clear" w:color="auto" w:fill="auto"/>
            <w:vAlign w:val="bottom"/>
          </w:tcPr>
          <w:p w:rsidR="00187C8C" w:rsidRDefault="00187C8C"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NE</w:t>
            </w:r>
          </w:p>
        </w:tc>
        <w:tc>
          <w:tcPr>
            <w:tcW w:w="6660" w:type="dxa"/>
            <w:shd w:val="clear" w:color="auto" w:fill="auto"/>
            <w:vAlign w:val="bottom"/>
          </w:tcPr>
          <w:p w:rsidR="00187C8C" w:rsidRDefault="00187C8C"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Not estimable</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NHMRC</w:t>
            </w:r>
          </w:p>
        </w:tc>
        <w:tc>
          <w:tcPr>
            <w:tcW w:w="666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National Health and Medical Research Council</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NICE</w:t>
            </w:r>
          </w:p>
        </w:tc>
        <w:tc>
          <w:tcPr>
            <w:tcW w:w="666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National Institute for Health and Care Excellence</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NOR</w:t>
            </w:r>
          </w:p>
        </w:tc>
        <w:tc>
          <w:tcPr>
            <w:tcW w:w="666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Nortriptyline</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NRT</w:t>
            </w:r>
          </w:p>
        </w:tc>
        <w:tc>
          <w:tcPr>
            <w:tcW w:w="666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Nicotine Replacement Therapy</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NSW</w:t>
            </w:r>
          </w:p>
        </w:tc>
        <w:tc>
          <w:tcPr>
            <w:tcW w:w="666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New South Wales</w:t>
            </w:r>
          </w:p>
        </w:tc>
      </w:tr>
      <w:tr w:rsidR="00187C8C" w:rsidRPr="004B11B2" w:rsidTr="00550A97">
        <w:trPr>
          <w:trHeight w:val="170"/>
        </w:trPr>
        <w:tc>
          <w:tcPr>
            <w:tcW w:w="1980" w:type="dxa"/>
            <w:shd w:val="clear" w:color="auto" w:fill="auto"/>
            <w:vAlign w:val="bottom"/>
          </w:tcPr>
          <w:p w:rsidR="00187C8C" w:rsidRDefault="00187C8C"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NR</w:t>
            </w:r>
          </w:p>
        </w:tc>
        <w:tc>
          <w:tcPr>
            <w:tcW w:w="6660" w:type="dxa"/>
            <w:shd w:val="clear" w:color="auto" w:fill="auto"/>
            <w:vAlign w:val="bottom"/>
          </w:tcPr>
          <w:p w:rsidR="00187C8C" w:rsidRDefault="00187C8C"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Not reported</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NZ</w:t>
            </w:r>
          </w:p>
        </w:tc>
        <w:tc>
          <w:tcPr>
            <w:tcW w:w="666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New Zealand</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PBAC</w:t>
            </w:r>
          </w:p>
        </w:tc>
        <w:tc>
          <w:tcPr>
            <w:tcW w:w="666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Pharmaceutical Benefits Advisory Committee</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PBS</w:t>
            </w:r>
          </w:p>
        </w:tc>
        <w:tc>
          <w:tcPr>
            <w:tcW w:w="666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Pharmaceutical Benefits Scheme</w:t>
            </w:r>
          </w:p>
        </w:tc>
      </w:tr>
      <w:tr w:rsidR="00187C8C" w:rsidRPr="004B11B2" w:rsidTr="00550A97">
        <w:trPr>
          <w:trHeight w:val="170"/>
        </w:trPr>
        <w:tc>
          <w:tcPr>
            <w:tcW w:w="1980" w:type="dxa"/>
            <w:shd w:val="clear" w:color="auto" w:fill="auto"/>
            <w:vAlign w:val="bottom"/>
          </w:tcPr>
          <w:p w:rsidR="00187C8C" w:rsidRDefault="00187C8C"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PPA</w:t>
            </w:r>
          </w:p>
        </w:tc>
        <w:tc>
          <w:tcPr>
            <w:tcW w:w="6660" w:type="dxa"/>
            <w:shd w:val="clear" w:color="auto" w:fill="auto"/>
            <w:vAlign w:val="bottom"/>
          </w:tcPr>
          <w:p w:rsidR="00187C8C" w:rsidRDefault="00187C8C"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Point prevalence abstinence</w:t>
            </w:r>
          </w:p>
        </w:tc>
      </w:tr>
      <w:tr w:rsidR="00160070" w:rsidRPr="004B11B2" w:rsidTr="00550A97">
        <w:trPr>
          <w:trHeight w:val="170"/>
        </w:trPr>
        <w:tc>
          <w:tcPr>
            <w:tcW w:w="1980" w:type="dxa"/>
            <w:shd w:val="clear" w:color="auto" w:fill="auto"/>
            <w:vAlign w:val="bottom"/>
          </w:tcPr>
          <w:p w:rsidR="00160070" w:rsidRDefault="00160070"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PRISMA</w:t>
            </w:r>
          </w:p>
        </w:tc>
        <w:tc>
          <w:tcPr>
            <w:tcW w:w="6660" w:type="dxa"/>
            <w:shd w:val="clear" w:color="auto" w:fill="auto"/>
            <w:vAlign w:val="bottom"/>
          </w:tcPr>
          <w:p w:rsidR="00160070" w:rsidRDefault="00160070"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Preferred Reporting Items for Systematic Reviews and Meta-analyses</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QFNL</w:t>
            </w:r>
          </w:p>
        </w:tc>
        <w:tc>
          <w:tcPr>
            <w:tcW w:w="666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Quit For New Life</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lastRenderedPageBreak/>
              <w:t>QLD</w:t>
            </w:r>
          </w:p>
        </w:tc>
        <w:tc>
          <w:tcPr>
            <w:tcW w:w="666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Queensland</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RACGP</w:t>
            </w:r>
          </w:p>
        </w:tc>
        <w:tc>
          <w:tcPr>
            <w:tcW w:w="666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Royal Australian College of General Practitioners</w:t>
            </w:r>
          </w:p>
        </w:tc>
      </w:tr>
      <w:tr w:rsidR="00104ECB" w:rsidRPr="004B11B2" w:rsidTr="00550A97">
        <w:trPr>
          <w:trHeight w:val="170"/>
        </w:trPr>
        <w:tc>
          <w:tcPr>
            <w:tcW w:w="1980" w:type="dxa"/>
            <w:shd w:val="clear" w:color="auto" w:fill="auto"/>
            <w:vAlign w:val="bottom"/>
          </w:tcPr>
          <w:p w:rsidR="00104ECB" w:rsidRDefault="00104ECB"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RCT</w:t>
            </w:r>
          </w:p>
        </w:tc>
        <w:tc>
          <w:tcPr>
            <w:tcW w:w="6660" w:type="dxa"/>
            <w:shd w:val="clear" w:color="auto" w:fill="auto"/>
            <w:vAlign w:val="bottom"/>
          </w:tcPr>
          <w:p w:rsidR="00104ECB" w:rsidRDefault="00104ECB"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Randomised controlled trial</w:t>
            </w:r>
          </w:p>
        </w:tc>
      </w:tr>
      <w:tr w:rsidR="008D216E" w:rsidRPr="004B11B2" w:rsidTr="00550A97">
        <w:trPr>
          <w:trHeight w:val="170"/>
        </w:trPr>
        <w:tc>
          <w:tcPr>
            <w:tcW w:w="1980" w:type="dxa"/>
            <w:shd w:val="clear" w:color="auto" w:fill="auto"/>
            <w:vAlign w:val="bottom"/>
          </w:tcPr>
          <w:p w:rsidR="008D216E" w:rsidRDefault="008D216E" w:rsidP="008D216E">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RD</w:t>
            </w:r>
          </w:p>
        </w:tc>
        <w:tc>
          <w:tcPr>
            <w:tcW w:w="6660" w:type="dxa"/>
            <w:shd w:val="clear" w:color="auto" w:fill="auto"/>
            <w:vAlign w:val="bottom"/>
          </w:tcPr>
          <w:p w:rsidR="008D216E" w:rsidRDefault="008D216E" w:rsidP="008D216E">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Risk difference</w:t>
            </w:r>
          </w:p>
        </w:tc>
      </w:tr>
      <w:tr w:rsidR="00160070" w:rsidRPr="004B11B2" w:rsidTr="00550A97">
        <w:trPr>
          <w:trHeight w:val="170"/>
        </w:trPr>
        <w:tc>
          <w:tcPr>
            <w:tcW w:w="1980" w:type="dxa"/>
            <w:shd w:val="clear" w:color="auto" w:fill="auto"/>
            <w:vAlign w:val="bottom"/>
          </w:tcPr>
          <w:p w:rsidR="00160070" w:rsidRDefault="00160070"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RoB</w:t>
            </w:r>
          </w:p>
        </w:tc>
        <w:tc>
          <w:tcPr>
            <w:tcW w:w="6660" w:type="dxa"/>
            <w:shd w:val="clear" w:color="auto" w:fill="auto"/>
            <w:vAlign w:val="bottom"/>
          </w:tcPr>
          <w:p w:rsidR="00160070" w:rsidRDefault="00160070"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Risk of bias</w:t>
            </w:r>
          </w:p>
        </w:tc>
      </w:tr>
      <w:tr w:rsidR="004B0B26" w:rsidRPr="004B11B2" w:rsidTr="00550A97">
        <w:trPr>
          <w:trHeight w:val="170"/>
        </w:trPr>
        <w:tc>
          <w:tcPr>
            <w:tcW w:w="198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RQ</w:t>
            </w:r>
          </w:p>
        </w:tc>
        <w:tc>
          <w:tcPr>
            <w:tcW w:w="6660" w:type="dxa"/>
            <w:shd w:val="clear" w:color="auto" w:fill="auto"/>
            <w:vAlign w:val="bottom"/>
          </w:tcPr>
          <w:p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Research Question</w:t>
            </w:r>
          </w:p>
        </w:tc>
      </w:tr>
      <w:tr w:rsidR="008D216E" w:rsidRPr="004B11B2" w:rsidTr="00550A97">
        <w:trPr>
          <w:trHeight w:val="170"/>
        </w:trPr>
        <w:tc>
          <w:tcPr>
            <w:tcW w:w="1980" w:type="dxa"/>
            <w:shd w:val="clear" w:color="auto" w:fill="auto"/>
            <w:vAlign w:val="bottom"/>
          </w:tcPr>
          <w:p w:rsidR="008D216E" w:rsidRDefault="008D216E" w:rsidP="008D216E">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RR</w:t>
            </w:r>
          </w:p>
        </w:tc>
        <w:tc>
          <w:tcPr>
            <w:tcW w:w="6660" w:type="dxa"/>
            <w:shd w:val="clear" w:color="auto" w:fill="auto"/>
            <w:vAlign w:val="bottom"/>
          </w:tcPr>
          <w:p w:rsidR="008D216E" w:rsidRDefault="008D216E" w:rsidP="008D216E">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Risk ratio</w:t>
            </w:r>
          </w:p>
        </w:tc>
      </w:tr>
      <w:tr w:rsidR="004B0B26" w:rsidRPr="004B11B2" w:rsidTr="00550A97">
        <w:trPr>
          <w:trHeight w:val="170"/>
        </w:trPr>
        <w:tc>
          <w:tcPr>
            <w:tcW w:w="1980" w:type="dxa"/>
            <w:shd w:val="clear" w:color="auto" w:fill="auto"/>
            <w:vAlign w:val="bottom"/>
          </w:tcPr>
          <w:p w:rsidR="004B0B26" w:rsidRPr="003717F1"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TGA</w:t>
            </w:r>
          </w:p>
        </w:tc>
        <w:tc>
          <w:tcPr>
            <w:tcW w:w="6660" w:type="dxa"/>
            <w:shd w:val="clear" w:color="auto" w:fill="auto"/>
            <w:vAlign w:val="bottom"/>
          </w:tcPr>
          <w:p w:rsidR="004B0B26" w:rsidRPr="004A45ED" w:rsidRDefault="004B0B26" w:rsidP="00550A97">
            <w:pPr>
              <w:spacing w:before="60" w:after="60"/>
              <w:rPr>
                <w:rFonts w:asciiTheme="minorHAnsi" w:hAnsiTheme="minorHAnsi" w:cs="Arial"/>
                <w:bCs/>
                <w:iCs/>
                <w:color w:val="000000"/>
                <w:sz w:val="20"/>
                <w:szCs w:val="20"/>
              </w:rPr>
            </w:pPr>
            <w:r w:rsidRPr="004A45ED">
              <w:rPr>
                <w:rFonts w:asciiTheme="minorHAnsi" w:hAnsiTheme="minorHAnsi" w:cs="Arial"/>
                <w:bCs/>
                <w:iCs/>
                <w:color w:val="000000"/>
                <w:sz w:val="20"/>
                <w:szCs w:val="20"/>
              </w:rPr>
              <w:t>Therapeutic Goods Administration</w:t>
            </w:r>
          </w:p>
        </w:tc>
      </w:tr>
      <w:tr w:rsidR="004B0B26" w:rsidRPr="004B11B2" w:rsidTr="00550A97">
        <w:trPr>
          <w:trHeight w:val="170"/>
        </w:trPr>
        <w:tc>
          <w:tcPr>
            <w:tcW w:w="1980" w:type="dxa"/>
            <w:shd w:val="clear" w:color="auto" w:fill="auto"/>
            <w:vAlign w:val="bottom"/>
          </w:tcPr>
          <w:p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ToR</w:t>
            </w:r>
          </w:p>
        </w:tc>
        <w:tc>
          <w:tcPr>
            <w:tcW w:w="6660" w:type="dxa"/>
            <w:shd w:val="clear" w:color="auto" w:fill="auto"/>
            <w:vAlign w:val="bottom"/>
          </w:tcPr>
          <w:p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Terms of Reference</w:t>
            </w:r>
          </w:p>
        </w:tc>
      </w:tr>
      <w:tr w:rsidR="004B0B26" w:rsidRPr="004B11B2" w:rsidTr="00550A97">
        <w:trPr>
          <w:trHeight w:val="170"/>
        </w:trPr>
        <w:tc>
          <w:tcPr>
            <w:tcW w:w="1980" w:type="dxa"/>
            <w:shd w:val="clear" w:color="auto" w:fill="auto"/>
            <w:vAlign w:val="bottom"/>
          </w:tcPr>
          <w:p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UK</w:t>
            </w:r>
          </w:p>
        </w:tc>
        <w:tc>
          <w:tcPr>
            <w:tcW w:w="6660" w:type="dxa"/>
            <w:shd w:val="clear" w:color="auto" w:fill="auto"/>
            <w:vAlign w:val="bottom"/>
          </w:tcPr>
          <w:p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United Kingdom</w:t>
            </w:r>
          </w:p>
        </w:tc>
      </w:tr>
      <w:tr w:rsidR="004B0B26" w:rsidRPr="004B11B2" w:rsidTr="00550A97">
        <w:trPr>
          <w:trHeight w:val="170"/>
        </w:trPr>
        <w:tc>
          <w:tcPr>
            <w:tcW w:w="1980" w:type="dxa"/>
            <w:shd w:val="clear" w:color="auto" w:fill="auto"/>
            <w:vAlign w:val="bottom"/>
          </w:tcPr>
          <w:p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US</w:t>
            </w:r>
          </w:p>
        </w:tc>
        <w:tc>
          <w:tcPr>
            <w:tcW w:w="6660" w:type="dxa"/>
            <w:shd w:val="clear" w:color="auto" w:fill="auto"/>
            <w:vAlign w:val="bottom"/>
          </w:tcPr>
          <w:p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United States</w:t>
            </w:r>
          </w:p>
        </w:tc>
      </w:tr>
      <w:tr w:rsidR="004B0B26" w:rsidRPr="004B11B2" w:rsidTr="00550A97">
        <w:trPr>
          <w:trHeight w:val="170"/>
        </w:trPr>
        <w:tc>
          <w:tcPr>
            <w:tcW w:w="1980" w:type="dxa"/>
            <w:shd w:val="clear" w:color="auto" w:fill="auto"/>
            <w:vAlign w:val="bottom"/>
          </w:tcPr>
          <w:p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USPSTF</w:t>
            </w:r>
          </w:p>
        </w:tc>
        <w:tc>
          <w:tcPr>
            <w:tcW w:w="6660" w:type="dxa"/>
            <w:shd w:val="clear" w:color="auto" w:fill="auto"/>
            <w:vAlign w:val="bottom"/>
          </w:tcPr>
          <w:p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United States Preventive Services Task Force</w:t>
            </w:r>
          </w:p>
        </w:tc>
      </w:tr>
      <w:tr w:rsidR="004B0B26" w:rsidRPr="004B11B2" w:rsidTr="00550A97">
        <w:trPr>
          <w:trHeight w:val="170"/>
        </w:trPr>
        <w:tc>
          <w:tcPr>
            <w:tcW w:w="1980" w:type="dxa"/>
            <w:shd w:val="clear" w:color="auto" w:fill="auto"/>
            <w:vAlign w:val="bottom"/>
          </w:tcPr>
          <w:p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VAR</w:t>
            </w:r>
          </w:p>
        </w:tc>
        <w:tc>
          <w:tcPr>
            <w:tcW w:w="6660" w:type="dxa"/>
            <w:shd w:val="clear" w:color="auto" w:fill="auto"/>
            <w:vAlign w:val="bottom"/>
          </w:tcPr>
          <w:p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Varenicline</w:t>
            </w:r>
          </w:p>
        </w:tc>
      </w:tr>
      <w:tr w:rsidR="004B0B26" w:rsidRPr="004B11B2" w:rsidTr="00550A97">
        <w:trPr>
          <w:trHeight w:val="170"/>
        </w:trPr>
        <w:tc>
          <w:tcPr>
            <w:tcW w:w="1980" w:type="dxa"/>
            <w:shd w:val="clear" w:color="auto" w:fill="auto"/>
            <w:vAlign w:val="bottom"/>
          </w:tcPr>
          <w:p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VIC</w:t>
            </w:r>
          </w:p>
        </w:tc>
        <w:tc>
          <w:tcPr>
            <w:tcW w:w="6660" w:type="dxa"/>
            <w:shd w:val="clear" w:color="auto" w:fill="auto"/>
            <w:vAlign w:val="bottom"/>
          </w:tcPr>
          <w:p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Victoria</w:t>
            </w:r>
          </w:p>
        </w:tc>
      </w:tr>
      <w:tr w:rsidR="004B0B26" w:rsidRPr="004B11B2" w:rsidTr="00550A97">
        <w:trPr>
          <w:trHeight w:val="170"/>
        </w:trPr>
        <w:tc>
          <w:tcPr>
            <w:tcW w:w="1980" w:type="dxa"/>
            <w:shd w:val="clear" w:color="auto" w:fill="auto"/>
            <w:vAlign w:val="bottom"/>
          </w:tcPr>
          <w:p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WA</w:t>
            </w:r>
          </w:p>
        </w:tc>
        <w:tc>
          <w:tcPr>
            <w:tcW w:w="6660" w:type="dxa"/>
            <w:shd w:val="clear" w:color="auto" w:fill="auto"/>
            <w:vAlign w:val="bottom"/>
          </w:tcPr>
          <w:p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Western Australia</w:t>
            </w:r>
          </w:p>
        </w:tc>
      </w:tr>
    </w:tbl>
    <w:p w:rsidR="00D73E11" w:rsidRDefault="00D73E11" w:rsidP="004960F6"/>
    <w:p w:rsidR="00B14CBF" w:rsidRPr="008370B4" w:rsidRDefault="00B14CBF" w:rsidP="004E7B1B"/>
    <w:p w:rsidR="00997F3E" w:rsidRDefault="00997F3E">
      <w:pPr>
        <w:rPr>
          <w:rFonts w:asciiTheme="minorHAnsi" w:eastAsiaTheme="majorEastAsia" w:hAnsiTheme="minorHAnsi" w:cstheme="majorBidi"/>
          <w:b/>
          <w:bCs/>
          <w:color w:val="4F81BD" w:themeColor="accent1"/>
          <w:sz w:val="40"/>
          <w:szCs w:val="40"/>
        </w:rPr>
      </w:pPr>
      <w:r>
        <w:rPr>
          <w:rFonts w:asciiTheme="minorHAnsi" w:hAnsiTheme="minorHAnsi"/>
          <w:sz w:val="40"/>
          <w:szCs w:val="40"/>
        </w:rPr>
        <w:br w:type="page"/>
      </w:r>
    </w:p>
    <w:p w:rsidR="0057325D" w:rsidRPr="00317D31" w:rsidRDefault="00904208" w:rsidP="00211C1B">
      <w:pPr>
        <w:pStyle w:val="Heading1"/>
        <w:numPr>
          <w:ilvl w:val="0"/>
          <w:numId w:val="0"/>
        </w:numPr>
      </w:pPr>
      <w:bookmarkStart w:id="16" w:name="_Toc388453112"/>
      <w:bookmarkStart w:id="17" w:name="_Toc72850845"/>
      <w:bookmarkStart w:id="18" w:name="_Toc73525610"/>
      <w:r w:rsidRPr="00317D31">
        <w:lastRenderedPageBreak/>
        <w:t>Section</w:t>
      </w:r>
      <w:r w:rsidR="00CB6352" w:rsidRPr="00317D31">
        <w:t xml:space="preserve"> </w:t>
      </w:r>
      <w:r w:rsidR="00A74774">
        <w:t>3</w:t>
      </w:r>
      <w:r w:rsidR="00343A91" w:rsidRPr="00317D31">
        <w:t xml:space="preserve">: </w:t>
      </w:r>
      <w:r w:rsidR="0057325D" w:rsidRPr="000B686F">
        <w:t>ToR</w:t>
      </w:r>
      <w:r w:rsidR="0057325D" w:rsidRPr="00317D31">
        <w:t xml:space="preserve"> </w:t>
      </w:r>
      <w:r w:rsidR="006A7BA0">
        <w:t>3</w:t>
      </w:r>
      <w:r w:rsidR="0057325D" w:rsidRPr="00317D31">
        <w:br/>
      </w:r>
      <w:bookmarkEnd w:id="16"/>
      <w:r w:rsidR="00A74774">
        <w:t xml:space="preserve">Efficacy and </w:t>
      </w:r>
      <w:r w:rsidR="00886697">
        <w:t>s</w:t>
      </w:r>
      <w:r w:rsidR="00A74774">
        <w:t>afety</w:t>
      </w:r>
      <w:r w:rsidR="009E0BF8" w:rsidRPr="009E0BF8">
        <w:t xml:space="preserve"> of nicotine replacement therapy, varenicline and bupropion for smoking cessation including combination therapies</w:t>
      </w:r>
      <w:bookmarkEnd w:id="17"/>
      <w:bookmarkEnd w:id="18"/>
    </w:p>
    <w:p w:rsidR="006505A7" w:rsidRPr="00317D31" w:rsidRDefault="00650127" w:rsidP="00317D31">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inorHAnsi" w:hAnsiTheme="minorHAnsi"/>
          <w:color w:val="365F91" w:themeColor="accent1" w:themeShade="BF"/>
        </w:rPr>
      </w:pPr>
      <w:r w:rsidRPr="00650127">
        <w:rPr>
          <w:rFonts w:asciiTheme="minorHAnsi" w:hAnsiTheme="minorHAnsi"/>
          <w:i/>
          <w:iCs/>
          <w:color w:val="365F91" w:themeColor="accent1" w:themeShade="BF"/>
        </w:rPr>
        <w:t>Review the efficacy and safety of nicotine replacement therapy, varenicline and bupropion for smoking cessation including combination therapies not currently PBS subsidised.</w:t>
      </w:r>
    </w:p>
    <w:p w:rsidR="00963B62" w:rsidRDefault="006505A7" w:rsidP="00820063">
      <w:pPr>
        <w:pStyle w:val="Heading2"/>
      </w:pPr>
      <w:bookmarkStart w:id="19" w:name="_Toc372542358"/>
      <w:bookmarkStart w:id="20" w:name="_Toc381090932"/>
      <w:bookmarkStart w:id="21" w:name="_Toc388453113"/>
      <w:bookmarkStart w:id="22" w:name="_Toc72850846"/>
      <w:bookmarkStart w:id="23" w:name="_Toc73525611"/>
      <w:r w:rsidRPr="00317D31">
        <w:t xml:space="preserve">Key findings for ToR </w:t>
      </w:r>
      <w:bookmarkEnd w:id="19"/>
      <w:bookmarkEnd w:id="20"/>
      <w:bookmarkEnd w:id="21"/>
      <w:r w:rsidR="00D556C9">
        <w:t>3</w:t>
      </w:r>
      <w:bookmarkEnd w:id="22"/>
      <w:bookmarkEnd w:id="23"/>
    </w:p>
    <w:p w:rsidR="00C324F3" w:rsidRPr="003E606C" w:rsidRDefault="00C324F3" w:rsidP="00C324F3">
      <w:bookmarkStart w:id="24" w:name="_Toc388453114"/>
      <w:r w:rsidRPr="003E606C">
        <w:t>In the evidence reviewed, the efficacy of smoking cessation therapies was based on long-term (i.e. 6 months or more) smoking cessation rates</w:t>
      </w:r>
      <w:r>
        <w:t xml:space="preserve"> unless otherwise indicated</w:t>
      </w:r>
      <w:r w:rsidRPr="003E606C">
        <w:t>. Biochemically validated and continuous abstinence rates were prioritised over other measures.</w:t>
      </w:r>
      <w:r w:rsidRPr="00413F91">
        <w:t xml:space="preserve"> For safety and tolerability outcomes, key adverse events from studies with follow-up of any length are presented, where reported. </w:t>
      </w:r>
      <w:r w:rsidRPr="00F02E99">
        <w:t>A qualitative or narrative synthesis of the data from the literature review was conducted along with quantitative analysis if possible. Where supplemental evidence was found, the meta-analysis reported in the Cochrane Reviews</w:t>
      </w:r>
      <w:r>
        <w:t xml:space="preserve"> (relative risk using fixed-effect models)</w:t>
      </w:r>
      <w:r w:rsidRPr="00F02E99">
        <w:t xml:space="preserve"> was re-analysed</w:t>
      </w:r>
      <w:r>
        <w:t xml:space="preserve"> where possible</w:t>
      </w:r>
      <w:r w:rsidRPr="00F02E99">
        <w:t xml:space="preserve"> using Review Manager 5.4 software and updated using random-effect model</w:t>
      </w:r>
      <w:r>
        <w:t>s</w:t>
      </w:r>
      <w:r w:rsidRPr="00F02E99">
        <w:t>, with outcomes reported as both absolute and relative effects.</w:t>
      </w:r>
    </w:p>
    <w:p w:rsidR="00C324F3" w:rsidRDefault="00C324F3" w:rsidP="00C324F3">
      <w:pPr>
        <w:pStyle w:val="Heading3"/>
      </w:pPr>
      <w:bookmarkStart w:id="25" w:name="_Toc69976539"/>
      <w:bookmarkStart w:id="26" w:name="_Toc72850847"/>
      <w:bookmarkStart w:id="27" w:name="_Toc73525612"/>
      <w:r>
        <w:t>Monotherapy in the general population</w:t>
      </w:r>
      <w:bookmarkEnd w:id="25"/>
      <w:bookmarkEnd w:id="26"/>
      <w:bookmarkEnd w:id="27"/>
    </w:p>
    <w:p w:rsidR="00C324F3" w:rsidRPr="00317D31" w:rsidRDefault="00C324F3" w:rsidP="00C324F3">
      <w:pPr>
        <w:rPr>
          <w:rFonts w:eastAsiaTheme="minorEastAsia"/>
          <w:b/>
          <w:i/>
          <w:sz w:val="28"/>
          <w:szCs w:val="28"/>
        </w:rPr>
      </w:pPr>
      <w:r w:rsidRPr="007456C3">
        <w:rPr>
          <w:rFonts w:eastAsiaTheme="minorEastAsia"/>
          <w:b/>
          <w:i/>
          <w:sz w:val="28"/>
          <w:szCs w:val="28"/>
        </w:rPr>
        <w:t>Summarise the comparative efficacy and safety of all PBS-listed smoking cessation therapies as monotherapy and compare this to evidence already considered by PBAC for each smoking cessation therapy</w:t>
      </w:r>
    </w:p>
    <w:p w:rsidR="00C324F3" w:rsidRPr="00AD75D2" w:rsidRDefault="00C324F3" w:rsidP="00C324F3">
      <w:pPr>
        <w:rPr>
          <w:b/>
          <w:bCs/>
        </w:rPr>
      </w:pPr>
      <w:r w:rsidRPr="00AD75D2">
        <w:rPr>
          <w:b/>
          <w:bCs/>
        </w:rPr>
        <w:t>Bupropion</w:t>
      </w:r>
    </w:p>
    <w:p w:rsidR="00C324F3" w:rsidRPr="00941DA2" w:rsidRDefault="00C324F3" w:rsidP="00C324F3">
      <w:r w:rsidRPr="00941DA2">
        <w:t xml:space="preserve">Treatment-naïve population </w:t>
      </w:r>
    </w:p>
    <w:p w:rsidR="00C324F3" w:rsidRDefault="00C324F3" w:rsidP="00C324F3">
      <w:pPr>
        <w:pStyle w:val="ListParagraph"/>
        <w:numPr>
          <w:ilvl w:val="0"/>
          <w:numId w:val="257"/>
        </w:numPr>
      </w:pPr>
      <w:r w:rsidRPr="00941DA2">
        <w:t>Bupropion was</w:t>
      </w:r>
      <w:r>
        <w:t xml:space="preserve"> superior to placebo in terms of efficacy</w:t>
      </w:r>
      <w:r w:rsidRPr="00941DA2">
        <w:t xml:space="preserve">, </w:t>
      </w:r>
      <w:r>
        <w:t>with a</w:t>
      </w:r>
      <w:r w:rsidRPr="00941DA2">
        <w:t xml:space="preserve"> significantly higher incidence of adverse events, psychiatric adverse events and discontinuation due to adverse events in the bupropion arm. This </w:t>
      </w:r>
      <w:r>
        <w:t>i</w:t>
      </w:r>
      <w:r w:rsidRPr="00941DA2">
        <w:t xml:space="preserve">s consistent with the evidence previously considered by the PBAC. </w:t>
      </w:r>
    </w:p>
    <w:p w:rsidR="003C4A1C" w:rsidRDefault="00C324F3" w:rsidP="00C324F3">
      <w:pPr>
        <w:pStyle w:val="ListParagraph"/>
        <w:numPr>
          <w:ilvl w:val="0"/>
          <w:numId w:val="257"/>
        </w:numPr>
      </w:pPr>
      <w:r>
        <w:t>N</w:t>
      </w:r>
      <w:r w:rsidRPr="002E6C2F">
        <w:t xml:space="preserve">o statistically significant differences in smoking cessation rates, adverse events, serious adverse events and discontinuation due to adverse events </w:t>
      </w:r>
      <w:r>
        <w:t xml:space="preserve">were shown </w:t>
      </w:r>
      <w:r w:rsidRPr="002E6C2F">
        <w:t xml:space="preserve">between </w:t>
      </w:r>
      <w:r>
        <w:t>bupropion and</w:t>
      </w:r>
      <w:r w:rsidRPr="002E6C2F">
        <w:t xml:space="preserve"> </w:t>
      </w:r>
      <w:r>
        <w:t>nicotine replacement therapy (</w:t>
      </w:r>
      <w:r w:rsidRPr="002E6C2F">
        <w:t>NRT</w:t>
      </w:r>
      <w:r>
        <w:t>; either as patch, lozenge or choice of NRT).</w:t>
      </w:r>
      <w:r w:rsidRPr="002E6C2F">
        <w:t xml:space="preserve"> This is consistent with the evidence previously considered by the PBAC</w:t>
      </w:r>
      <w:r>
        <w:t xml:space="preserve"> to support non-inferiority</w:t>
      </w:r>
      <w:r w:rsidRPr="002E6C2F">
        <w:t>.</w:t>
      </w:r>
    </w:p>
    <w:p w:rsidR="00C324F3" w:rsidRDefault="003C4A1C" w:rsidP="003C4A1C">
      <w:pPr>
        <w:spacing w:line="276" w:lineRule="auto"/>
      </w:pPr>
      <w:r>
        <w:br w:type="page"/>
      </w:r>
    </w:p>
    <w:tbl>
      <w:tblPr>
        <w:tblStyle w:val="TableGrid6"/>
        <w:tblW w:w="5000" w:type="pct"/>
        <w:shd w:val="clear" w:color="auto" w:fill="F2F2F2" w:themeFill="background1" w:themeFillShade="F2"/>
        <w:tblLook w:val="04A0" w:firstRow="1" w:lastRow="0" w:firstColumn="1" w:lastColumn="0" w:noHBand="0" w:noVBand="1"/>
      </w:tblPr>
      <w:tblGrid>
        <w:gridCol w:w="1832"/>
        <w:gridCol w:w="2216"/>
        <w:gridCol w:w="4968"/>
      </w:tblGrid>
      <w:tr w:rsidR="00C324F3" w:rsidRPr="00D37D1E" w:rsidTr="00777459">
        <w:trPr>
          <w:trHeight w:val="311"/>
        </w:trPr>
        <w:tc>
          <w:tcPr>
            <w:tcW w:w="1016" w:type="pct"/>
            <w:shd w:val="clear" w:color="auto" w:fill="F2F2F2" w:themeFill="background1" w:themeFillShade="F2"/>
            <w:vAlign w:val="center"/>
            <w:hideMark/>
          </w:tcPr>
          <w:p w:rsidR="00C324F3" w:rsidRPr="00D37D1E" w:rsidRDefault="00C324F3" w:rsidP="00777459">
            <w:pPr>
              <w:spacing w:after="200"/>
              <w:rPr>
                <w:szCs w:val="18"/>
              </w:rPr>
            </w:pPr>
            <w:r>
              <w:rPr>
                <w:b/>
                <w:bCs/>
                <w:szCs w:val="18"/>
              </w:rPr>
              <w:lastRenderedPageBreak/>
              <w:t>Comparison</w:t>
            </w:r>
          </w:p>
        </w:tc>
        <w:tc>
          <w:tcPr>
            <w:tcW w:w="1229" w:type="pct"/>
            <w:shd w:val="clear" w:color="auto" w:fill="F2F2F2" w:themeFill="background1" w:themeFillShade="F2"/>
            <w:vAlign w:val="center"/>
            <w:hideMark/>
          </w:tcPr>
          <w:p w:rsidR="00C324F3" w:rsidRPr="00D37D1E" w:rsidRDefault="00C324F3" w:rsidP="00777459">
            <w:pPr>
              <w:spacing w:after="200"/>
              <w:jc w:val="center"/>
              <w:rPr>
                <w:szCs w:val="18"/>
              </w:rPr>
            </w:pPr>
            <w:r>
              <w:rPr>
                <w:b/>
                <w:bCs/>
                <w:szCs w:val="18"/>
              </w:rPr>
              <w:t>Included studies</w:t>
            </w:r>
          </w:p>
        </w:tc>
        <w:tc>
          <w:tcPr>
            <w:tcW w:w="2755" w:type="pct"/>
            <w:shd w:val="clear" w:color="auto" w:fill="F2F2F2" w:themeFill="background1" w:themeFillShade="F2"/>
            <w:vAlign w:val="center"/>
            <w:hideMark/>
          </w:tcPr>
          <w:p w:rsidR="00C324F3" w:rsidRPr="00D37D1E" w:rsidRDefault="00C324F3" w:rsidP="00777459">
            <w:pPr>
              <w:spacing w:after="200"/>
              <w:jc w:val="center"/>
              <w:rPr>
                <w:b/>
                <w:bCs/>
                <w:szCs w:val="18"/>
              </w:rPr>
            </w:pPr>
            <w:r>
              <w:rPr>
                <w:b/>
                <w:bCs/>
                <w:szCs w:val="18"/>
              </w:rPr>
              <w:t>Summary of evidence</w:t>
            </w:r>
          </w:p>
        </w:tc>
      </w:tr>
      <w:tr w:rsidR="00C324F3" w:rsidRPr="00D37D1E" w:rsidTr="00777459">
        <w:trPr>
          <w:trHeight w:val="275"/>
        </w:trPr>
        <w:tc>
          <w:tcPr>
            <w:tcW w:w="5000" w:type="pct"/>
            <w:gridSpan w:val="3"/>
            <w:shd w:val="clear" w:color="auto" w:fill="F2F2F2" w:themeFill="background1" w:themeFillShade="F2"/>
            <w:vAlign w:val="center"/>
            <w:hideMark/>
          </w:tcPr>
          <w:p w:rsidR="00C324F3" w:rsidRPr="00D37D1E" w:rsidRDefault="00C324F3" w:rsidP="00777459">
            <w:pPr>
              <w:rPr>
                <w:b/>
                <w:bCs/>
                <w:szCs w:val="18"/>
              </w:rPr>
            </w:pPr>
            <w:r w:rsidRPr="00D37D1E">
              <w:rPr>
                <w:b/>
                <w:bCs/>
                <w:szCs w:val="18"/>
              </w:rPr>
              <w:t>Treatment-naïve population</w:t>
            </w:r>
          </w:p>
        </w:tc>
      </w:tr>
      <w:tr w:rsidR="00C324F3" w:rsidRPr="00C30A65" w:rsidTr="00777459">
        <w:trPr>
          <w:trHeight w:val="1340"/>
        </w:trPr>
        <w:tc>
          <w:tcPr>
            <w:tcW w:w="1016" w:type="pct"/>
            <w:shd w:val="clear" w:color="auto" w:fill="F2F2F2" w:themeFill="background1" w:themeFillShade="F2"/>
            <w:hideMark/>
          </w:tcPr>
          <w:p w:rsidR="00C324F3" w:rsidRPr="00D37D1E" w:rsidRDefault="00C324F3" w:rsidP="00777459">
            <w:pPr>
              <w:spacing w:after="200"/>
              <w:rPr>
                <w:szCs w:val="18"/>
              </w:rPr>
            </w:pPr>
            <w:r>
              <w:rPr>
                <w:szCs w:val="18"/>
              </w:rPr>
              <w:t>Bupropion vs p</w:t>
            </w:r>
            <w:r w:rsidRPr="00D37D1E">
              <w:rPr>
                <w:szCs w:val="18"/>
              </w:rPr>
              <w:t>lacebo</w:t>
            </w:r>
          </w:p>
        </w:tc>
        <w:tc>
          <w:tcPr>
            <w:tcW w:w="1229" w:type="pct"/>
            <w:shd w:val="clear" w:color="auto" w:fill="F2F2F2" w:themeFill="background1" w:themeFillShade="F2"/>
            <w:hideMark/>
          </w:tcPr>
          <w:p w:rsidR="00C324F3" w:rsidRPr="00C30A65" w:rsidRDefault="00C324F3" w:rsidP="00C324F3">
            <w:pPr>
              <w:pStyle w:val="ListParagraph"/>
              <w:numPr>
                <w:ilvl w:val="0"/>
                <w:numId w:val="310"/>
              </w:numPr>
              <w:rPr>
                <w:szCs w:val="18"/>
              </w:rPr>
            </w:pPr>
            <w:r w:rsidRPr="003F5807">
              <w:rPr>
                <w:szCs w:val="18"/>
              </w:rPr>
              <w:t>Howes (2020)</w:t>
            </w:r>
            <w:r w:rsidRPr="00C30A65">
              <w:rPr>
                <w:szCs w:val="18"/>
                <w:vertAlign w:val="superscript"/>
              </w:rPr>
              <w:t>1</w:t>
            </w:r>
          </w:p>
          <w:p w:rsidR="00C324F3" w:rsidRPr="00A17F4F" w:rsidRDefault="00C324F3" w:rsidP="00C324F3">
            <w:pPr>
              <w:pStyle w:val="ListParagraph"/>
              <w:numPr>
                <w:ilvl w:val="0"/>
                <w:numId w:val="310"/>
              </w:numPr>
              <w:rPr>
                <w:szCs w:val="18"/>
              </w:rPr>
            </w:pPr>
            <w:r w:rsidRPr="00A17F4F">
              <w:rPr>
                <w:rFonts w:eastAsia="MS Mincho"/>
              </w:rPr>
              <w:t>Benowitz (2018)</w:t>
            </w:r>
            <w:r w:rsidRPr="00A17F4F">
              <w:rPr>
                <w:rFonts w:eastAsia="MS Mincho"/>
                <w:vertAlign w:val="superscript"/>
              </w:rPr>
              <w:t>2</w:t>
            </w:r>
          </w:p>
        </w:tc>
        <w:tc>
          <w:tcPr>
            <w:tcW w:w="2755" w:type="pct"/>
            <w:shd w:val="clear" w:color="auto" w:fill="F2F2F2" w:themeFill="background1" w:themeFillShade="F2"/>
            <w:hideMark/>
          </w:tcPr>
          <w:p w:rsidR="00C324F3" w:rsidRPr="00397B2B" w:rsidRDefault="00C324F3" w:rsidP="00C324F3">
            <w:pPr>
              <w:pStyle w:val="ListParagraph"/>
              <w:numPr>
                <w:ilvl w:val="0"/>
                <w:numId w:val="310"/>
              </w:numPr>
              <w:rPr>
                <w:szCs w:val="18"/>
              </w:rPr>
            </w:pPr>
            <w:r w:rsidRPr="00A84141">
              <w:rPr>
                <w:szCs w:val="18"/>
                <w:u w:val="single"/>
              </w:rPr>
              <w:t>Efficacy:</w:t>
            </w:r>
            <w:r w:rsidRPr="00A84141">
              <w:rPr>
                <w:szCs w:val="18"/>
              </w:rPr>
              <w:t xml:space="preserve"> Statistically significant based on RR</w:t>
            </w:r>
            <w:r>
              <w:rPr>
                <w:szCs w:val="18"/>
              </w:rPr>
              <w:t xml:space="preserve"> </w:t>
            </w:r>
            <w:r w:rsidRPr="00397B2B">
              <w:rPr>
                <w:szCs w:val="18"/>
              </w:rPr>
              <w:t>(in favour of bupropion)</w:t>
            </w:r>
            <w:r>
              <w:rPr>
                <w:szCs w:val="18"/>
              </w:rPr>
              <w:t>.</w:t>
            </w:r>
          </w:p>
          <w:p w:rsidR="00C324F3" w:rsidRPr="00C30A65" w:rsidRDefault="00C324F3" w:rsidP="00C324F3">
            <w:pPr>
              <w:pStyle w:val="ListParagraph"/>
              <w:numPr>
                <w:ilvl w:val="0"/>
                <w:numId w:val="310"/>
              </w:numPr>
            </w:pPr>
            <w:r w:rsidRPr="00A84141">
              <w:rPr>
                <w:szCs w:val="18"/>
                <w:u w:val="single"/>
              </w:rPr>
              <w:t>Safety:</w:t>
            </w:r>
            <w:r w:rsidRPr="00A84141">
              <w:rPr>
                <w:szCs w:val="18"/>
              </w:rPr>
              <w:t xml:space="preserve"> Statistically significant based on RR</w:t>
            </w:r>
            <w:r>
              <w:rPr>
                <w:szCs w:val="18"/>
              </w:rPr>
              <w:t xml:space="preserve"> </w:t>
            </w:r>
            <w:r w:rsidRPr="00397B2B">
              <w:rPr>
                <w:szCs w:val="18"/>
              </w:rPr>
              <w:t>(any AEs, psychiatric AEs, discontinuation due to AEs; higher in bupropion)</w:t>
            </w:r>
            <w:r>
              <w:rPr>
                <w:szCs w:val="18"/>
              </w:rPr>
              <w:t xml:space="preserve">; </w:t>
            </w:r>
            <w:r w:rsidRPr="00D37D1E">
              <w:rPr>
                <w:szCs w:val="18"/>
              </w:rPr>
              <w:t>not statistically significant</w:t>
            </w:r>
            <w:r>
              <w:rPr>
                <w:szCs w:val="18"/>
              </w:rPr>
              <w:t xml:space="preserve"> based on RR </w:t>
            </w:r>
            <w:r w:rsidRPr="00D37D1E">
              <w:rPr>
                <w:szCs w:val="18"/>
              </w:rPr>
              <w:t>(</w:t>
            </w:r>
            <w:r>
              <w:rPr>
                <w:szCs w:val="18"/>
              </w:rPr>
              <w:t>S</w:t>
            </w:r>
            <w:r w:rsidRPr="00D37D1E">
              <w:rPr>
                <w:szCs w:val="18"/>
              </w:rPr>
              <w:t>AEs)</w:t>
            </w:r>
            <w:r>
              <w:rPr>
                <w:szCs w:val="18"/>
              </w:rPr>
              <w:t>.</w:t>
            </w:r>
          </w:p>
        </w:tc>
      </w:tr>
      <w:tr w:rsidR="00C324F3" w:rsidRPr="00DF3495" w:rsidTr="00777459">
        <w:trPr>
          <w:trHeight w:val="669"/>
        </w:trPr>
        <w:tc>
          <w:tcPr>
            <w:tcW w:w="1016" w:type="pct"/>
            <w:shd w:val="clear" w:color="auto" w:fill="F2F2F2" w:themeFill="background1" w:themeFillShade="F2"/>
            <w:hideMark/>
          </w:tcPr>
          <w:p w:rsidR="00C324F3" w:rsidRPr="00D37D1E" w:rsidRDefault="00C324F3" w:rsidP="00777459">
            <w:pPr>
              <w:spacing w:after="200"/>
              <w:rPr>
                <w:szCs w:val="18"/>
              </w:rPr>
            </w:pPr>
            <w:r>
              <w:rPr>
                <w:szCs w:val="18"/>
              </w:rPr>
              <w:t xml:space="preserve">Bupropion vs </w:t>
            </w:r>
            <w:r w:rsidRPr="00D37D1E">
              <w:rPr>
                <w:szCs w:val="18"/>
              </w:rPr>
              <w:t>NRT (either as patch, lozenge or choice of NRT)</w:t>
            </w:r>
          </w:p>
        </w:tc>
        <w:tc>
          <w:tcPr>
            <w:tcW w:w="1229" w:type="pct"/>
            <w:shd w:val="clear" w:color="auto" w:fill="F2F2F2" w:themeFill="background1" w:themeFillShade="F2"/>
            <w:hideMark/>
          </w:tcPr>
          <w:p w:rsidR="00C324F3" w:rsidRDefault="00C324F3" w:rsidP="00C324F3">
            <w:pPr>
              <w:pStyle w:val="ListParagraph"/>
              <w:numPr>
                <w:ilvl w:val="0"/>
                <w:numId w:val="310"/>
              </w:numPr>
              <w:rPr>
                <w:szCs w:val="18"/>
              </w:rPr>
            </w:pPr>
            <w:r w:rsidRPr="003F5807">
              <w:rPr>
                <w:szCs w:val="18"/>
              </w:rPr>
              <w:t>Howes (2020)</w:t>
            </w:r>
            <w:r w:rsidRPr="00C30A65">
              <w:rPr>
                <w:szCs w:val="18"/>
                <w:vertAlign w:val="superscript"/>
              </w:rPr>
              <w:t>1</w:t>
            </w:r>
          </w:p>
          <w:p w:rsidR="00C324F3" w:rsidRPr="00A17F4F" w:rsidRDefault="00C324F3" w:rsidP="00C324F3">
            <w:pPr>
              <w:pStyle w:val="ListParagraph"/>
              <w:numPr>
                <w:ilvl w:val="0"/>
                <w:numId w:val="310"/>
              </w:numPr>
              <w:rPr>
                <w:szCs w:val="18"/>
              </w:rPr>
            </w:pPr>
            <w:r w:rsidRPr="00A17F4F">
              <w:rPr>
                <w:rFonts w:eastAsia="MS Mincho"/>
              </w:rPr>
              <w:t>Benowitz (2018)</w:t>
            </w:r>
            <w:r w:rsidRPr="00A17F4F">
              <w:rPr>
                <w:rFonts w:eastAsia="MS Mincho"/>
                <w:vertAlign w:val="superscript"/>
              </w:rPr>
              <w:t>2</w:t>
            </w:r>
          </w:p>
        </w:tc>
        <w:tc>
          <w:tcPr>
            <w:tcW w:w="2755" w:type="pct"/>
            <w:shd w:val="clear" w:color="auto" w:fill="F2F2F2" w:themeFill="background1" w:themeFillShade="F2"/>
            <w:hideMark/>
          </w:tcPr>
          <w:p w:rsidR="00C324F3" w:rsidRPr="00A84141" w:rsidRDefault="00C324F3" w:rsidP="00C324F3">
            <w:pPr>
              <w:pStyle w:val="ListParagraph"/>
              <w:numPr>
                <w:ilvl w:val="0"/>
                <w:numId w:val="310"/>
              </w:numPr>
              <w:rPr>
                <w:szCs w:val="18"/>
              </w:rPr>
            </w:pPr>
            <w:r w:rsidRPr="00E320E0">
              <w:rPr>
                <w:szCs w:val="18"/>
                <w:u w:val="single"/>
              </w:rPr>
              <w:t>Efficacy:</w:t>
            </w:r>
            <w:r w:rsidRPr="00A84141">
              <w:rPr>
                <w:szCs w:val="18"/>
              </w:rPr>
              <w:t xml:space="preserve"> Not statistically significant </w:t>
            </w:r>
            <w:r>
              <w:rPr>
                <w:szCs w:val="18"/>
              </w:rPr>
              <w:t>based on</w:t>
            </w:r>
            <w:r w:rsidRPr="00A84141">
              <w:rPr>
                <w:szCs w:val="18"/>
              </w:rPr>
              <w:t xml:space="preserve"> RR</w:t>
            </w:r>
            <w:r>
              <w:rPr>
                <w:szCs w:val="18"/>
              </w:rPr>
              <w:t>.</w:t>
            </w:r>
          </w:p>
          <w:p w:rsidR="00C324F3" w:rsidRPr="00DF3495" w:rsidRDefault="00C324F3" w:rsidP="00C324F3">
            <w:pPr>
              <w:pStyle w:val="ListParagraph"/>
              <w:numPr>
                <w:ilvl w:val="0"/>
                <w:numId w:val="310"/>
              </w:numPr>
            </w:pPr>
            <w:r w:rsidRPr="00E320E0">
              <w:rPr>
                <w:szCs w:val="18"/>
                <w:u w:val="single"/>
              </w:rPr>
              <w:t>Safety:</w:t>
            </w:r>
            <w:r>
              <w:rPr>
                <w:szCs w:val="18"/>
              </w:rPr>
              <w:t xml:space="preserve"> </w:t>
            </w:r>
            <w:r w:rsidRPr="00A84141">
              <w:rPr>
                <w:szCs w:val="18"/>
              </w:rPr>
              <w:t xml:space="preserve">Not statistically significant </w:t>
            </w:r>
            <w:r>
              <w:rPr>
                <w:szCs w:val="18"/>
              </w:rPr>
              <w:t>based on</w:t>
            </w:r>
            <w:r w:rsidRPr="00A84141">
              <w:rPr>
                <w:szCs w:val="18"/>
              </w:rPr>
              <w:t xml:space="preserve"> RR</w:t>
            </w:r>
            <w:r>
              <w:rPr>
                <w:szCs w:val="18"/>
              </w:rPr>
              <w:t xml:space="preserve"> </w:t>
            </w:r>
            <w:r w:rsidRPr="00A84141">
              <w:rPr>
                <w:szCs w:val="18"/>
              </w:rPr>
              <w:t>(any AEs, SAEs, discontinuation due to AEs)</w:t>
            </w:r>
            <w:r>
              <w:rPr>
                <w:szCs w:val="18"/>
              </w:rPr>
              <w:t>.</w:t>
            </w:r>
            <w:r w:rsidRPr="00A84141">
              <w:rPr>
                <w:szCs w:val="18"/>
              </w:rPr>
              <w:t> </w:t>
            </w:r>
          </w:p>
        </w:tc>
      </w:tr>
    </w:tbl>
    <w:p w:rsidR="00C324F3" w:rsidRDefault="00C324F3" w:rsidP="00C324F3">
      <w:pPr>
        <w:pStyle w:val="TableFooter"/>
        <w:keepNext/>
      </w:pPr>
      <w:r>
        <w:t>Abbreviations: AEs = adverse events; NRT = nicotine replacement therapy; RR = risk ratio, RD = risk difference; SAEs = serious adverse events.</w:t>
      </w:r>
    </w:p>
    <w:p w:rsidR="00C324F3" w:rsidRDefault="00C324F3" w:rsidP="00C324F3">
      <w:pPr>
        <w:pStyle w:val="TableFooter"/>
        <w:keepNext/>
      </w:pPr>
      <w:r w:rsidRPr="00BE36E8">
        <w:t xml:space="preserve">Notes: </w:t>
      </w:r>
    </w:p>
    <w:p w:rsidR="00C324F3" w:rsidRDefault="00C324F3" w:rsidP="00C324F3">
      <w:pPr>
        <w:pStyle w:val="TableFooter"/>
        <w:keepNext/>
      </w:pPr>
      <w:r w:rsidRPr="00BE36E8">
        <w:t>1 Cochrane Review</w:t>
      </w:r>
      <w:r>
        <w:t>.</w:t>
      </w:r>
    </w:p>
    <w:p w:rsidR="00C324F3" w:rsidRPr="00374C80" w:rsidRDefault="00C324F3" w:rsidP="00C324F3">
      <w:pPr>
        <w:pStyle w:val="TableFooter"/>
        <w:keepNext/>
      </w:pPr>
      <w:r>
        <w:t>2 Supplemental evidence (RCT).</w:t>
      </w:r>
    </w:p>
    <w:p w:rsidR="00C324F3" w:rsidRPr="002E6C2F" w:rsidRDefault="00C324F3" w:rsidP="00C324F3">
      <w:r w:rsidRPr="002E6C2F">
        <w:t xml:space="preserve">Treatment-experienced population </w:t>
      </w:r>
    </w:p>
    <w:p w:rsidR="00C324F3" w:rsidRDefault="00C324F3" w:rsidP="00C324F3">
      <w:pPr>
        <w:pStyle w:val="ListParagraph"/>
        <w:numPr>
          <w:ilvl w:val="0"/>
          <w:numId w:val="258"/>
        </w:numPr>
      </w:pPr>
      <w:r w:rsidRPr="002E6C2F">
        <w:t xml:space="preserve">Bupropion </w:t>
      </w:r>
      <w:r>
        <w:t>has not previously been considered by the PBAC for treatment-experienced patients.</w:t>
      </w:r>
    </w:p>
    <w:p w:rsidR="00C324F3" w:rsidRDefault="00C324F3" w:rsidP="00C324F3">
      <w:pPr>
        <w:pStyle w:val="ListParagraph"/>
        <w:numPr>
          <w:ilvl w:val="0"/>
          <w:numId w:val="258"/>
        </w:numPr>
      </w:pPr>
      <w:r w:rsidRPr="00851965">
        <w:t>No evidence was identified comparing bupropion with placebo as relapse prevention in abstainers who completed a 9-week course of initial bupropion monotherapy treatment</w:t>
      </w:r>
      <w:r>
        <w:t xml:space="preserve"> (PBS-listed treatment duration).</w:t>
      </w:r>
      <w:r w:rsidRPr="002E6C2F">
        <w:t xml:space="preserve"> </w:t>
      </w:r>
      <w:r>
        <w:t>In other studies, irrespective of treatment duration, there were no statistically significant differences between b</w:t>
      </w:r>
      <w:r w:rsidRPr="002E6C2F">
        <w:t xml:space="preserve">upropion </w:t>
      </w:r>
      <w:r>
        <w:t>and</w:t>
      </w:r>
      <w:r w:rsidRPr="002E6C2F">
        <w:t xml:space="preserve"> placebo in terms of efficacy as a relapse prevention treatment in abstainers.</w:t>
      </w:r>
      <w:r w:rsidRPr="00A31766">
        <w:t xml:space="preserve"> The adverse events reported were consistent with those expected of </w:t>
      </w:r>
      <w:r>
        <w:t>bupropion</w:t>
      </w:r>
      <w:r w:rsidRPr="004D1CE1">
        <w:t>.</w:t>
      </w:r>
      <w:r w:rsidRPr="00851965">
        <w:t xml:space="preserve"> </w:t>
      </w:r>
    </w:p>
    <w:p w:rsidR="00C324F3" w:rsidRDefault="00C324F3" w:rsidP="00C324F3">
      <w:pPr>
        <w:pStyle w:val="ListParagraph"/>
        <w:numPr>
          <w:ilvl w:val="0"/>
          <w:numId w:val="258"/>
        </w:numPr>
      </w:pPr>
      <w:r>
        <w:t>There were no statistically significant differences between b</w:t>
      </w:r>
      <w:r w:rsidRPr="002E6C2F">
        <w:t xml:space="preserve">upropion </w:t>
      </w:r>
      <w:r>
        <w:t>and</w:t>
      </w:r>
      <w:r w:rsidRPr="002E6C2F">
        <w:t xml:space="preserve"> placebo in terms of efficacy for use as retreatment in non-abstainers</w:t>
      </w:r>
      <w:r>
        <w:t xml:space="preserve"> when based on risk ratio, </w:t>
      </w:r>
      <w:r w:rsidRPr="002E6C2F">
        <w:t xml:space="preserve">noting that the results were significant </w:t>
      </w:r>
      <w:r>
        <w:t xml:space="preserve">when </w:t>
      </w:r>
      <w:r w:rsidRPr="002E6C2F">
        <w:t xml:space="preserve">based on risk difference. </w:t>
      </w:r>
      <w:r>
        <w:t>While</w:t>
      </w:r>
      <w:r w:rsidRPr="002E6C2F">
        <w:t xml:space="preserve"> a significantly higher proportion of patients in the bupropion arm experienced adverse events compared to patients in the placebo arm</w:t>
      </w:r>
      <w:r>
        <w:t>,</w:t>
      </w:r>
      <w:r w:rsidRPr="002E6C2F">
        <w:t xml:space="preserve"> there were no statistically significant differences in serious adverse events </w:t>
      </w:r>
      <w:r>
        <w:t>or</w:t>
      </w:r>
      <w:r w:rsidRPr="002E6C2F">
        <w:t xml:space="preserve"> discontinuation due to adverse events.</w:t>
      </w:r>
    </w:p>
    <w:tbl>
      <w:tblPr>
        <w:tblStyle w:val="TableGrid6"/>
        <w:tblW w:w="5000" w:type="pct"/>
        <w:shd w:val="clear" w:color="auto" w:fill="F2F2F2" w:themeFill="background1" w:themeFillShade="F2"/>
        <w:tblLook w:val="04A0" w:firstRow="1" w:lastRow="0" w:firstColumn="1" w:lastColumn="0" w:noHBand="0" w:noVBand="1"/>
      </w:tblPr>
      <w:tblGrid>
        <w:gridCol w:w="1599"/>
        <w:gridCol w:w="2806"/>
        <w:gridCol w:w="4611"/>
      </w:tblGrid>
      <w:tr w:rsidR="00C324F3" w:rsidRPr="00956775" w:rsidTr="00777459">
        <w:trPr>
          <w:trHeight w:val="311"/>
        </w:trPr>
        <w:tc>
          <w:tcPr>
            <w:tcW w:w="887" w:type="pct"/>
            <w:shd w:val="clear" w:color="auto" w:fill="F2F2F2" w:themeFill="background1" w:themeFillShade="F2"/>
            <w:vAlign w:val="center"/>
            <w:hideMark/>
          </w:tcPr>
          <w:p w:rsidR="00C324F3" w:rsidRPr="00D37D1E" w:rsidRDefault="00C324F3" w:rsidP="00777459">
            <w:pPr>
              <w:spacing w:after="200"/>
              <w:rPr>
                <w:szCs w:val="18"/>
              </w:rPr>
            </w:pPr>
            <w:r>
              <w:rPr>
                <w:b/>
                <w:bCs/>
                <w:szCs w:val="18"/>
              </w:rPr>
              <w:t>Comparison</w:t>
            </w:r>
          </w:p>
        </w:tc>
        <w:tc>
          <w:tcPr>
            <w:tcW w:w="1556" w:type="pct"/>
            <w:shd w:val="clear" w:color="auto" w:fill="F2F2F2" w:themeFill="background1" w:themeFillShade="F2"/>
            <w:vAlign w:val="center"/>
            <w:hideMark/>
          </w:tcPr>
          <w:p w:rsidR="00C324F3" w:rsidRPr="00D37D1E" w:rsidRDefault="00C324F3" w:rsidP="00777459">
            <w:pPr>
              <w:spacing w:after="200"/>
              <w:jc w:val="center"/>
              <w:rPr>
                <w:szCs w:val="18"/>
              </w:rPr>
            </w:pPr>
            <w:r>
              <w:rPr>
                <w:b/>
                <w:bCs/>
                <w:szCs w:val="18"/>
              </w:rPr>
              <w:t>Included studies</w:t>
            </w:r>
          </w:p>
        </w:tc>
        <w:tc>
          <w:tcPr>
            <w:tcW w:w="2557" w:type="pct"/>
            <w:shd w:val="clear" w:color="auto" w:fill="F2F2F2" w:themeFill="background1" w:themeFillShade="F2"/>
            <w:vAlign w:val="center"/>
            <w:hideMark/>
          </w:tcPr>
          <w:p w:rsidR="00C324F3" w:rsidRPr="00D37D1E" w:rsidRDefault="00C324F3" w:rsidP="00777459">
            <w:pPr>
              <w:spacing w:after="200"/>
              <w:jc w:val="center"/>
              <w:rPr>
                <w:b/>
                <w:bCs/>
                <w:szCs w:val="18"/>
              </w:rPr>
            </w:pPr>
            <w:r>
              <w:rPr>
                <w:b/>
                <w:bCs/>
                <w:szCs w:val="18"/>
              </w:rPr>
              <w:t>Summary of evidence</w:t>
            </w:r>
          </w:p>
        </w:tc>
      </w:tr>
      <w:tr w:rsidR="00C324F3" w:rsidRPr="00956775" w:rsidTr="00777459">
        <w:trPr>
          <w:trHeight w:val="67"/>
        </w:trPr>
        <w:tc>
          <w:tcPr>
            <w:tcW w:w="5000" w:type="pct"/>
            <w:gridSpan w:val="3"/>
            <w:shd w:val="clear" w:color="auto" w:fill="F2F2F2" w:themeFill="background1" w:themeFillShade="F2"/>
            <w:hideMark/>
          </w:tcPr>
          <w:p w:rsidR="00C324F3" w:rsidRPr="00D37D1E" w:rsidRDefault="00C324F3" w:rsidP="00777459">
            <w:pPr>
              <w:rPr>
                <w:b/>
                <w:bCs/>
                <w:szCs w:val="18"/>
              </w:rPr>
            </w:pPr>
            <w:r w:rsidRPr="00D37D1E">
              <w:rPr>
                <w:b/>
                <w:bCs/>
                <w:szCs w:val="18"/>
              </w:rPr>
              <w:t>Treatment-experienced population (relapse prevention treatment in abstainers)</w:t>
            </w:r>
          </w:p>
        </w:tc>
      </w:tr>
      <w:tr w:rsidR="00C324F3" w:rsidRPr="00956775" w:rsidTr="00777459">
        <w:trPr>
          <w:trHeight w:val="851"/>
        </w:trPr>
        <w:tc>
          <w:tcPr>
            <w:tcW w:w="887" w:type="pct"/>
            <w:shd w:val="clear" w:color="auto" w:fill="F2F2F2" w:themeFill="background1" w:themeFillShade="F2"/>
            <w:hideMark/>
          </w:tcPr>
          <w:p w:rsidR="00C324F3" w:rsidRPr="00D37D1E" w:rsidRDefault="00C324F3" w:rsidP="00777459">
            <w:pPr>
              <w:spacing w:after="200"/>
              <w:rPr>
                <w:szCs w:val="18"/>
              </w:rPr>
            </w:pPr>
            <w:r w:rsidRPr="00A84141">
              <w:rPr>
                <w:szCs w:val="18"/>
              </w:rPr>
              <w:t>Bupropion</w:t>
            </w:r>
            <w:r w:rsidRPr="00534027">
              <w:rPr>
                <w:rFonts w:eastAsia="Calibri"/>
                <w:szCs w:val="18"/>
              </w:rPr>
              <w:t xml:space="preserve"> vs </w:t>
            </w:r>
            <w:r>
              <w:rPr>
                <w:rFonts w:eastAsia="Calibri"/>
                <w:szCs w:val="18"/>
              </w:rPr>
              <w:t>p</w:t>
            </w:r>
            <w:r w:rsidRPr="00695872">
              <w:rPr>
                <w:rFonts w:eastAsia="Calibri"/>
                <w:szCs w:val="18"/>
              </w:rPr>
              <w:t>lacebo</w:t>
            </w:r>
          </w:p>
        </w:tc>
        <w:tc>
          <w:tcPr>
            <w:tcW w:w="1556" w:type="pct"/>
            <w:shd w:val="clear" w:color="auto" w:fill="F2F2F2" w:themeFill="background1" w:themeFillShade="F2"/>
            <w:hideMark/>
          </w:tcPr>
          <w:p w:rsidR="00C324F3" w:rsidRPr="00A84141" w:rsidRDefault="00C324F3" w:rsidP="00C324F3">
            <w:pPr>
              <w:pStyle w:val="ListParagraph"/>
              <w:numPr>
                <w:ilvl w:val="0"/>
                <w:numId w:val="310"/>
              </w:numPr>
              <w:rPr>
                <w:szCs w:val="18"/>
              </w:rPr>
            </w:pPr>
            <w:r w:rsidRPr="00A84141">
              <w:rPr>
                <w:szCs w:val="18"/>
              </w:rPr>
              <w:t>Livingstone-Banks (2019)</w:t>
            </w:r>
            <w:r w:rsidRPr="00A84141">
              <w:rPr>
                <w:szCs w:val="18"/>
                <w:vertAlign w:val="superscript"/>
              </w:rPr>
              <w:t>1</w:t>
            </w:r>
          </w:p>
        </w:tc>
        <w:tc>
          <w:tcPr>
            <w:tcW w:w="2557" w:type="pct"/>
            <w:shd w:val="clear" w:color="auto" w:fill="F2F2F2" w:themeFill="background1" w:themeFillShade="F2"/>
            <w:hideMark/>
          </w:tcPr>
          <w:p w:rsidR="00C324F3" w:rsidRPr="00A84141" w:rsidRDefault="00C324F3" w:rsidP="00C324F3">
            <w:pPr>
              <w:pStyle w:val="ListParagraph"/>
              <w:numPr>
                <w:ilvl w:val="0"/>
                <w:numId w:val="310"/>
              </w:numPr>
              <w:rPr>
                <w:rFonts w:eastAsia="Calibri"/>
                <w:szCs w:val="18"/>
              </w:rPr>
            </w:pPr>
            <w:r w:rsidRPr="00A84141">
              <w:rPr>
                <w:rFonts w:eastAsia="Calibri"/>
                <w:szCs w:val="18"/>
                <w:u w:val="single"/>
              </w:rPr>
              <w:t>Effica</w:t>
            </w:r>
            <w:r>
              <w:rPr>
                <w:rFonts w:eastAsia="Calibri"/>
                <w:szCs w:val="18"/>
                <w:u w:val="single"/>
              </w:rPr>
              <w:t>c</w:t>
            </w:r>
            <w:r w:rsidRPr="00A84141">
              <w:rPr>
                <w:rFonts w:eastAsia="Calibri"/>
                <w:szCs w:val="18"/>
                <w:u w:val="single"/>
              </w:rPr>
              <w:t>y</w:t>
            </w:r>
            <w:r w:rsidRPr="00A84141">
              <w:rPr>
                <w:rFonts w:eastAsia="Calibri"/>
                <w:szCs w:val="18"/>
              </w:rPr>
              <w:t xml:space="preserve">: </w:t>
            </w:r>
            <w:r w:rsidRPr="00A84141">
              <w:rPr>
                <w:szCs w:val="18"/>
              </w:rPr>
              <w:t>Not statistically significant based on RR</w:t>
            </w:r>
            <w:r>
              <w:rPr>
                <w:szCs w:val="18"/>
              </w:rPr>
              <w:t>.</w:t>
            </w:r>
          </w:p>
          <w:p w:rsidR="00C324F3" w:rsidRPr="00A84141" w:rsidRDefault="00C324F3" w:rsidP="00C324F3">
            <w:pPr>
              <w:pStyle w:val="ListParagraph"/>
              <w:numPr>
                <w:ilvl w:val="0"/>
                <w:numId w:val="310"/>
              </w:numPr>
              <w:rPr>
                <w:szCs w:val="18"/>
              </w:rPr>
            </w:pPr>
            <w:r w:rsidRPr="00A84141">
              <w:rPr>
                <w:rFonts w:eastAsia="Calibri"/>
                <w:szCs w:val="18"/>
                <w:u w:val="single"/>
              </w:rPr>
              <w:t>Safety:</w:t>
            </w:r>
            <w:r w:rsidRPr="00A84141">
              <w:rPr>
                <w:rFonts w:eastAsia="Calibri"/>
                <w:szCs w:val="18"/>
              </w:rPr>
              <w:t xml:space="preserve"> AEs reported were consistent with those expected of bupropion</w:t>
            </w:r>
            <w:r>
              <w:rPr>
                <w:rFonts w:eastAsia="Calibri"/>
                <w:szCs w:val="18"/>
              </w:rPr>
              <w:t>.</w:t>
            </w:r>
          </w:p>
          <w:p w:rsidR="00C324F3" w:rsidRPr="00A84141" w:rsidRDefault="00C324F3" w:rsidP="00777459">
            <w:pPr>
              <w:rPr>
                <w:szCs w:val="18"/>
              </w:rPr>
            </w:pPr>
          </w:p>
        </w:tc>
      </w:tr>
      <w:tr w:rsidR="00C324F3" w:rsidRPr="00956775" w:rsidTr="00777459">
        <w:trPr>
          <w:trHeight w:val="67"/>
        </w:trPr>
        <w:tc>
          <w:tcPr>
            <w:tcW w:w="5000" w:type="pct"/>
            <w:gridSpan w:val="3"/>
            <w:shd w:val="clear" w:color="auto" w:fill="F2F2F2" w:themeFill="background1" w:themeFillShade="F2"/>
            <w:hideMark/>
          </w:tcPr>
          <w:p w:rsidR="00C324F3" w:rsidRPr="00D37D1E" w:rsidRDefault="00C324F3" w:rsidP="00777459">
            <w:pPr>
              <w:rPr>
                <w:b/>
                <w:bCs/>
                <w:szCs w:val="18"/>
              </w:rPr>
            </w:pPr>
            <w:r w:rsidRPr="00D37D1E">
              <w:rPr>
                <w:b/>
                <w:bCs/>
                <w:szCs w:val="18"/>
              </w:rPr>
              <w:t>Treatment-experienced population (retreatment in non-abstainers)</w:t>
            </w:r>
          </w:p>
        </w:tc>
      </w:tr>
      <w:tr w:rsidR="00C324F3" w:rsidRPr="00956775" w:rsidTr="00777459">
        <w:trPr>
          <w:trHeight w:val="851"/>
        </w:trPr>
        <w:tc>
          <w:tcPr>
            <w:tcW w:w="887" w:type="pct"/>
            <w:shd w:val="clear" w:color="auto" w:fill="F2F2F2" w:themeFill="background1" w:themeFillShade="F2"/>
            <w:hideMark/>
          </w:tcPr>
          <w:p w:rsidR="00C324F3" w:rsidRPr="00D37D1E" w:rsidRDefault="00C324F3" w:rsidP="00777459">
            <w:pPr>
              <w:spacing w:after="200"/>
              <w:rPr>
                <w:szCs w:val="18"/>
              </w:rPr>
            </w:pPr>
            <w:r w:rsidRPr="00A84141">
              <w:rPr>
                <w:szCs w:val="18"/>
              </w:rPr>
              <w:t>Bupropion</w:t>
            </w:r>
            <w:r w:rsidRPr="00534027">
              <w:rPr>
                <w:rFonts w:eastAsia="Calibri"/>
                <w:szCs w:val="18"/>
              </w:rPr>
              <w:t xml:space="preserve"> vs </w:t>
            </w:r>
            <w:r>
              <w:rPr>
                <w:rFonts w:eastAsia="Calibri"/>
                <w:szCs w:val="18"/>
              </w:rPr>
              <w:t>p</w:t>
            </w:r>
            <w:r w:rsidRPr="00534027">
              <w:rPr>
                <w:rFonts w:eastAsia="Calibri"/>
                <w:szCs w:val="18"/>
              </w:rPr>
              <w:t>lacebo</w:t>
            </w:r>
          </w:p>
        </w:tc>
        <w:tc>
          <w:tcPr>
            <w:tcW w:w="1556" w:type="pct"/>
            <w:shd w:val="clear" w:color="auto" w:fill="F2F2F2" w:themeFill="background1" w:themeFillShade="F2"/>
            <w:hideMark/>
          </w:tcPr>
          <w:p w:rsidR="00C324F3" w:rsidRPr="00A84141" w:rsidRDefault="00C324F3" w:rsidP="00C324F3">
            <w:pPr>
              <w:pStyle w:val="ListParagraph"/>
              <w:numPr>
                <w:ilvl w:val="0"/>
                <w:numId w:val="312"/>
              </w:numPr>
              <w:rPr>
                <w:szCs w:val="18"/>
              </w:rPr>
            </w:pPr>
            <w:r w:rsidRPr="00713CB0">
              <w:rPr>
                <w:szCs w:val="18"/>
              </w:rPr>
              <w:t>Gonzales</w:t>
            </w:r>
            <w:r>
              <w:rPr>
                <w:szCs w:val="18"/>
              </w:rPr>
              <w:t xml:space="preserve"> </w:t>
            </w:r>
            <w:r w:rsidRPr="00BE2D5A">
              <w:rPr>
                <w:szCs w:val="18"/>
              </w:rPr>
              <w:t>(2001)</w:t>
            </w:r>
            <w:r>
              <w:rPr>
                <w:szCs w:val="18"/>
                <w:vertAlign w:val="superscript"/>
              </w:rPr>
              <w:t>2</w:t>
            </w:r>
          </w:p>
          <w:p w:rsidR="00C324F3" w:rsidRPr="00A84141" w:rsidRDefault="00C324F3" w:rsidP="00C324F3">
            <w:pPr>
              <w:pStyle w:val="ListParagraph"/>
              <w:numPr>
                <w:ilvl w:val="0"/>
                <w:numId w:val="312"/>
              </w:numPr>
              <w:rPr>
                <w:szCs w:val="18"/>
              </w:rPr>
            </w:pPr>
            <w:r w:rsidRPr="00695872">
              <w:rPr>
                <w:rFonts w:eastAsia="MS Mincho"/>
              </w:rPr>
              <w:t>Selby (2003)</w:t>
            </w:r>
            <w:r>
              <w:rPr>
                <w:rFonts w:eastAsia="MS Mincho"/>
                <w:vertAlign w:val="superscript"/>
              </w:rPr>
              <w:t>2</w:t>
            </w:r>
          </w:p>
        </w:tc>
        <w:tc>
          <w:tcPr>
            <w:tcW w:w="2557" w:type="pct"/>
            <w:shd w:val="clear" w:color="auto" w:fill="F2F2F2" w:themeFill="background1" w:themeFillShade="F2"/>
            <w:hideMark/>
          </w:tcPr>
          <w:p w:rsidR="00C324F3" w:rsidRPr="00A84141" w:rsidRDefault="00C324F3" w:rsidP="00C324F3">
            <w:pPr>
              <w:pStyle w:val="ListParagraph"/>
              <w:numPr>
                <w:ilvl w:val="0"/>
                <w:numId w:val="312"/>
              </w:numPr>
              <w:rPr>
                <w:szCs w:val="18"/>
              </w:rPr>
            </w:pPr>
            <w:r w:rsidRPr="00A84141">
              <w:rPr>
                <w:szCs w:val="18"/>
                <w:u w:val="single"/>
              </w:rPr>
              <w:t>Efficacy:</w:t>
            </w:r>
            <w:r w:rsidRPr="00A84141">
              <w:rPr>
                <w:szCs w:val="18"/>
              </w:rPr>
              <w:t xml:space="preserve"> Not statistically significant </w:t>
            </w:r>
            <w:r w:rsidRPr="00746010">
              <w:rPr>
                <w:szCs w:val="18"/>
              </w:rPr>
              <w:t>based on</w:t>
            </w:r>
            <w:r w:rsidRPr="00A84141">
              <w:rPr>
                <w:szCs w:val="18"/>
              </w:rPr>
              <w:t xml:space="preserve"> RR </w:t>
            </w:r>
            <w:r>
              <w:rPr>
                <w:szCs w:val="18"/>
              </w:rPr>
              <w:t>but</w:t>
            </w:r>
            <w:r w:rsidRPr="00A84141">
              <w:rPr>
                <w:szCs w:val="18"/>
              </w:rPr>
              <w:t xml:space="preserve"> significant </w:t>
            </w:r>
            <w:r w:rsidRPr="00746010">
              <w:rPr>
                <w:szCs w:val="18"/>
              </w:rPr>
              <w:t>based on</w:t>
            </w:r>
            <w:r w:rsidRPr="00A84141">
              <w:rPr>
                <w:szCs w:val="18"/>
              </w:rPr>
              <w:t xml:space="preserve"> RD</w:t>
            </w:r>
            <w:r>
              <w:rPr>
                <w:szCs w:val="18"/>
                <w:vertAlign w:val="superscript"/>
              </w:rPr>
              <w:t>3</w:t>
            </w:r>
            <w:r>
              <w:rPr>
                <w:szCs w:val="18"/>
              </w:rPr>
              <w:t>.</w:t>
            </w:r>
          </w:p>
          <w:p w:rsidR="00C324F3" w:rsidRPr="00713CB0" w:rsidRDefault="00C324F3" w:rsidP="00C324F3">
            <w:pPr>
              <w:pStyle w:val="ListParagraph"/>
              <w:numPr>
                <w:ilvl w:val="0"/>
                <w:numId w:val="312"/>
              </w:numPr>
              <w:rPr>
                <w:rFonts w:eastAsia="MS Mincho"/>
              </w:rPr>
            </w:pPr>
            <w:r w:rsidRPr="00A84141">
              <w:rPr>
                <w:szCs w:val="18"/>
                <w:u w:val="single"/>
              </w:rPr>
              <w:t xml:space="preserve">Safety: </w:t>
            </w:r>
            <w:r w:rsidRPr="00A84141">
              <w:rPr>
                <w:szCs w:val="18"/>
              </w:rPr>
              <w:t xml:space="preserve">Statistically significant </w:t>
            </w:r>
            <w:r w:rsidRPr="00746010">
              <w:rPr>
                <w:szCs w:val="18"/>
              </w:rPr>
              <w:t>based on</w:t>
            </w:r>
            <w:r w:rsidRPr="00A84141">
              <w:rPr>
                <w:szCs w:val="18"/>
              </w:rPr>
              <w:t xml:space="preserve"> RR and RD</w:t>
            </w:r>
            <w:r>
              <w:rPr>
                <w:szCs w:val="18"/>
              </w:rPr>
              <w:t xml:space="preserve"> </w:t>
            </w:r>
            <w:r w:rsidRPr="00A84141">
              <w:rPr>
                <w:szCs w:val="18"/>
              </w:rPr>
              <w:t>(any AEs; higher in bupropion)</w:t>
            </w:r>
            <w:r>
              <w:rPr>
                <w:szCs w:val="18"/>
              </w:rPr>
              <w:t xml:space="preserve">; </w:t>
            </w:r>
            <w:r w:rsidRPr="00D37D1E">
              <w:rPr>
                <w:szCs w:val="18"/>
              </w:rPr>
              <w:t xml:space="preserve">Not statistically significant </w:t>
            </w:r>
            <w:r w:rsidRPr="00746010">
              <w:rPr>
                <w:szCs w:val="18"/>
              </w:rPr>
              <w:t>based on</w:t>
            </w:r>
            <w:r>
              <w:rPr>
                <w:szCs w:val="18"/>
              </w:rPr>
              <w:t xml:space="preserve"> RR and RD </w:t>
            </w:r>
            <w:r w:rsidRPr="00D37D1E">
              <w:rPr>
                <w:szCs w:val="18"/>
              </w:rPr>
              <w:t>(</w:t>
            </w:r>
            <w:r>
              <w:rPr>
                <w:szCs w:val="18"/>
              </w:rPr>
              <w:t>S</w:t>
            </w:r>
            <w:r w:rsidRPr="00D37D1E">
              <w:rPr>
                <w:szCs w:val="18"/>
              </w:rPr>
              <w:t>AEs, discontinuation due to AEs</w:t>
            </w:r>
            <w:r>
              <w:rPr>
                <w:szCs w:val="18"/>
              </w:rPr>
              <w:t>).</w:t>
            </w:r>
          </w:p>
        </w:tc>
      </w:tr>
    </w:tbl>
    <w:p w:rsidR="00C324F3" w:rsidRDefault="00C324F3" w:rsidP="00C324F3">
      <w:pPr>
        <w:pStyle w:val="TableFooter"/>
        <w:keepNext/>
      </w:pPr>
      <w:r>
        <w:lastRenderedPageBreak/>
        <w:t>Abbreviations: AEs = adverse events; RR = risk ratio, RD = risk difference; SAEs = serious adverse events.</w:t>
      </w:r>
    </w:p>
    <w:p w:rsidR="00C324F3" w:rsidRDefault="00C324F3" w:rsidP="00C324F3">
      <w:pPr>
        <w:pStyle w:val="TableFooter"/>
        <w:keepNext/>
      </w:pPr>
      <w:r w:rsidRPr="00BE36E8">
        <w:t xml:space="preserve">Notes: </w:t>
      </w:r>
    </w:p>
    <w:p w:rsidR="00C324F3" w:rsidRPr="008557C2" w:rsidRDefault="00C324F3" w:rsidP="00C324F3">
      <w:pPr>
        <w:pStyle w:val="TableFooter"/>
        <w:keepNext/>
      </w:pPr>
      <w:r w:rsidRPr="00BE36E8">
        <w:t>1 Cochrane Review</w:t>
      </w:r>
      <w:r>
        <w:t xml:space="preserve">. </w:t>
      </w:r>
      <w:r w:rsidRPr="005A47D9">
        <w:t>Of the studies identified by Livingstone-Banks et al. (2019), Croghan et al. (2007) was the only study that compared bupropion with placebo in patients who achieved abstinence after initial treatment with bupropion monotherapy; the other studies provided either NRT patches or bupropion plus NRT patches in the initial treatment phase. The key limitation of Croghan et al. (2007) was related to the duration of bupropion monotherapy administered in the initial treatment phase (3 months versus 9 weeks on the PBS) and the relapse prevention phase (9 months).</w:t>
      </w:r>
    </w:p>
    <w:p w:rsidR="00C324F3" w:rsidRDefault="00C324F3" w:rsidP="00C324F3">
      <w:pPr>
        <w:pStyle w:val="TableFooter"/>
        <w:keepNext/>
      </w:pPr>
      <w:r>
        <w:t>2 Included in Cochrane Review by Howes et al. (2020).</w:t>
      </w:r>
    </w:p>
    <w:p w:rsidR="00C324F3" w:rsidRPr="008557C2" w:rsidRDefault="00C324F3" w:rsidP="00C324F3">
      <w:pPr>
        <w:pStyle w:val="TableFooter"/>
        <w:keepNext/>
      </w:pPr>
      <w:r>
        <w:t>3 Not statistically significant based on risk ratio but significant based on risk difference (RR = 2.31, 95%CI: 0.90, 5.92; RD = 0.06, 95%CI: 0.02, 0.10).</w:t>
      </w:r>
    </w:p>
    <w:p w:rsidR="00C324F3" w:rsidRPr="005C60FE" w:rsidRDefault="00C324F3" w:rsidP="00C324F3">
      <w:pPr>
        <w:rPr>
          <w:b/>
          <w:bCs/>
        </w:rPr>
      </w:pPr>
      <w:r w:rsidRPr="005C60FE">
        <w:rPr>
          <w:b/>
          <w:bCs/>
        </w:rPr>
        <w:t>Varenicline</w:t>
      </w:r>
    </w:p>
    <w:p w:rsidR="00C324F3" w:rsidRPr="00AD3824" w:rsidRDefault="00C324F3" w:rsidP="00C324F3">
      <w:r w:rsidRPr="00AD3824">
        <w:t xml:space="preserve">Treatment-naïve population </w:t>
      </w:r>
    </w:p>
    <w:p w:rsidR="00C324F3" w:rsidRPr="00B32A72" w:rsidRDefault="00C324F3" w:rsidP="00C324F3">
      <w:pPr>
        <w:pStyle w:val="ListParagraph"/>
        <w:numPr>
          <w:ilvl w:val="0"/>
          <w:numId w:val="271"/>
        </w:numPr>
      </w:pPr>
      <w:r>
        <w:t>V</w:t>
      </w:r>
      <w:r w:rsidRPr="00AD3824">
        <w:t xml:space="preserve">arenicline was shown to </w:t>
      </w:r>
      <w:r>
        <w:t>be superior to placebo in terms of efficacy based on</w:t>
      </w:r>
      <w:r w:rsidRPr="00AD3824">
        <w:t xml:space="preserve"> long-term smoking cessation rates. In terms of safety, a significantly higher incidence rate of adverse events (nausea, insomnia, abnormal dreams, headache) and serious adverse </w:t>
      </w:r>
      <w:r w:rsidRPr="00EE7128">
        <w:t xml:space="preserve">events was observed </w:t>
      </w:r>
      <w:r>
        <w:t>for</w:t>
      </w:r>
      <w:r w:rsidRPr="00EE7128">
        <w:t xml:space="preserve"> varenicline, </w:t>
      </w:r>
      <w:r>
        <w:t>but</w:t>
      </w:r>
      <w:r w:rsidRPr="00EE7128">
        <w:t xml:space="preserve"> the results for headache and serious adverse events were no longer statistically significant in the updated re-analysis </w:t>
      </w:r>
      <w:r>
        <w:t>of</w:t>
      </w:r>
      <w:r w:rsidRPr="00EE7128">
        <w:t xml:space="preserve"> this review</w:t>
      </w:r>
      <w:r>
        <w:t xml:space="preserve"> (based on risk ratio)</w:t>
      </w:r>
      <w:r w:rsidRPr="00EE7128">
        <w:t xml:space="preserve">. There were no statistically significant differences between </w:t>
      </w:r>
      <w:r>
        <w:t>varenicline and placebo</w:t>
      </w:r>
      <w:r w:rsidRPr="00AD3824">
        <w:t xml:space="preserve"> </w:t>
      </w:r>
      <w:r w:rsidRPr="00B32A72">
        <w:t xml:space="preserve">for depression, suicidal ideation, neuropsychiatric serious adverse events and cardiac serious adverse events. This is consistent with the evidence previously considered by the PBAC, noting the updated safety data for headache and serious adverse events.  </w:t>
      </w:r>
    </w:p>
    <w:p w:rsidR="00C324F3" w:rsidRDefault="00C324F3" w:rsidP="00C324F3">
      <w:pPr>
        <w:pStyle w:val="ListParagraph"/>
        <w:numPr>
          <w:ilvl w:val="0"/>
          <w:numId w:val="271"/>
        </w:numPr>
      </w:pPr>
      <w:r w:rsidRPr="00AD3824">
        <w:t>Varenicline was shown to be superior to bupropion in terms of efficacy</w:t>
      </w:r>
      <w:r>
        <w:t xml:space="preserve">. </w:t>
      </w:r>
      <w:r w:rsidRPr="00AD3824">
        <w:t xml:space="preserve"> </w:t>
      </w:r>
      <w:r>
        <w:t>No</w:t>
      </w:r>
      <w:r w:rsidRPr="00AD3824">
        <w:t xml:space="preserve"> statistically significant differences </w:t>
      </w:r>
      <w:r>
        <w:t xml:space="preserve">were found </w:t>
      </w:r>
      <w:r w:rsidRPr="00AD3824">
        <w:t xml:space="preserve">in adverse events, psychiatric adverse events, serious adverse events and discontinuation due to adverse events between </w:t>
      </w:r>
      <w:r>
        <w:t>varenicline and bupropion</w:t>
      </w:r>
      <w:r w:rsidRPr="00AD3824">
        <w:t>. This is consistent with the evidence previously considered by the PBAC.</w:t>
      </w:r>
    </w:p>
    <w:tbl>
      <w:tblPr>
        <w:tblStyle w:val="TableGrid3"/>
        <w:tblW w:w="5000" w:type="pct"/>
        <w:shd w:val="clear" w:color="auto" w:fill="F2F2F2" w:themeFill="background1" w:themeFillShade="F2"/>
        <w:tblLook w:val="04A0" w:firstRow="1" w:lastRow="0" w:firstColumn="1" w:lastColumn="0" w:noHBand="0" w:noVBand="1"/>
      </w:tblPr>
      <w:tblGrid>
        <w:gridCol w:w="1615"/>
        <w:gridCol w:w="2339"/>
        <w:gridCol w:w="5062"/>
      </w:tblGrid>
      <w:tr w:rsidR="00C324F3" w:rsidRPr="00DA1A94" w:rsidTr="00777459">
        <w:trPr>
          <w:trHeight w:val="112"/>
        </w:trPr>
        <w:tc>
          <w:tcPr>
            <w:tcW w:w="896" w:type="pct"/>
            <w:shd w:val="clear" w:color="auto" w:fill="F2F2F2" w:themeFill="background1" w:themeFillShade="F2"/>
            <w:hideMark/>
          </w:tcPr>
          <w:p w:rsidR="00C324F3" w:rsidRPr="00DA1A94" w:rsidRDefault="00C324F3" w:rsidP="00777459">
            <w:pPr>
              <w:spacing w:after="200"/>
              <w:rPr>
                <w:szCs w:val="18"/>
              </w:rPr>
            </w:pPr>
            <w:r w:rsidRPr="00DA1A94">
              <w:rPr>
                <w:b/>
                <w:bCs/>
                <w:szCs w:val="18"/>
              </w:rPr>
              <w:t>Compar</w:t>
            </w:r>
            <w:r>
              <w:rPr>
                <w:b/>
                <w:bCs/>
                <w:szCs w:val="18"/>
              </w:rPr>
              <w:t>ison</w:t>
            </w:r>
          </w:p>
        </w:tc>
        <w:tc>
          <w:tcPr>
            <w:tcW w:w="1297" w:type="pct"/>
            <w:shd w:val="clear" w:color="auto" w:fill="F2F2F2" w:themeFill="background1" w:themeFillShade="F2"/>
            <w:hideMark/>
          </w:tcPr>
          <w:p w:rsidR="00C324F3" w:rsidRPr="0010753D" w:rsidRDefault="00C324F3" w:rsidP="00777459">
            <w:pPr>
              <w:spacing w:after="200"/>
              <w:jc w:val="center"/>
              <w:rPr>
                <w:b/>
                <w:bCs/>
                <w:szCs w:val="18"/>
              </w:rPr>
            </w:pPr>
            <w:r w:rsidRPr="0010753D">
              <w:rPr>
                <w:b/>
                <w:bCs/>
                <w:szCs w:val="18"/>
              </w:rPr>
              <w:t>Included studies</w:t>
            </w:r>
          </w:p>
        </w:tc>
        <w:tc>
          <w:tcPr>
            <w:tcW w:w="2807" w:type="pct"/>
            <w:shd w:val="clear" w:color="auto" w:fill="F2F2F2" w:themeFill="background1" w:themeFillShade="F2"/>
            <w:hideMark/>
          </w:tcPr>
          <w:p w:rsidR="00C324F3" w:rsidRPr="00DA1A94" w:rsidRDefault="00C324F3" w:rsidP="00777459">
            <w:pPr>
              <w:jc w:val="center"/>
              <w:rPr>
                <w:b/>
                <w:bCs/>
                <w:szCs w:val="18"/>
              </w:rPr>
            </w:pPr>
            <w:r w:rsidRPr="00DA1A94">
              <w:rPr>
                <w:b/>
                <w:bCs/>
                <w:szCs w:val="18"/>
              </w:rPr>
              <w:t>S</w:t>
            </w:r>
            <w:r>
              <w:rPr>
                <w:b/>
                <w:bCs/>
                <w:szCs w:val="18"/>
              </w:rPr>
              <w:t>ummary of evidence</w:t>
            </w:r>
          </w:p>
        </w:tc>
      </w:tr>
      <w:tr w:rsidR="00C324F3" w:rsidRPr="00DA1A94" w:rsidTr="00777459">
        <w:trPr>
          <w:trHeight w:val="67"/>
        </w:trPr>
        <w:tc>
          <w:tcPr>
            <w:tcW w:w="5000" w:type="pct"/>
            <w:gridSpan w:val="3"/>
            <w:shd w:val="clear" w:color="auto" w:fill="F2F2F2" w:themeFill="background1" w:themeFillShade="F2"/>
            <w:hideMark/>
          </w:tcPr>
          <w:p w:rsidR="00C324F3" w:rsidRPr="00DA1A94" w:rsidRDefault="00C324F3" w:rsidP="00777459">
            <w:pPr>
              <w:rPr>
                <w:b/>
                <w:bCs/>
                <w:szCs w:val="18"/>
              </w:rPr>
            </w:pPr>
            <w:r w:rsidRPr="00DA1A94">
              <w:rPr>
                <w:b/>
                <w:bCs/>
                <w:szCs w:val="18"/>
              </w:rPr>
              <w:t>Treatment-naïve population</w:t>
            </w:r>
          </w:p>
        </w:tc>
      </w:tr>
      <w:tr w:rsidR="00C324F3" w:rsidRPr="00DA1A94" w:rsidTr="00777459">
        <w:trPr>
          <w:trHeight w:val="2267"/>
        </w:trPr>
        <w:tc>
          <w:tcPr>
            <w:tcW w:w="896" w:type="pct"/>
            <w:shd w:val="clear" w:color="auto" w:fill="F2F2F2" w:themeFill="background1" w:themeFillShade="F2"/>
            <w:hideMark/>
          </w:tcPr>
          <w:p w:rsidR="00C324F3" w:rsidRPr="0010753D" w:rsidRDefault="00C324F3" w:rsidP="00777459">
            <w:pPr>
              <w:spacing w:after="200"/>
              <w:rPr>
                <w:szCs w:val="18"/>
              </w:rPr>
            </w:pPr>
            <w:r w:rsidRPr="0010753D">
              <w:rPr>
                <w:szCs w:val="18"/>
              </w:rPr>
              <w:t xml:space="preserve">Varenicline vs </w:t>
            </w:r>
            <w:r>
              <w:rPr>
                <w:szCs w:val="18"/>
              </w:rPr>
              <w:t>p</w:t>
            </w:r>
            <w:r w:rsidRPr="0010753D">
              <w:rPr>
                <w:szCs w:val="18"/>
              </w:rPr>
              <w:t>lacebo</w:t>
            </w:r>
          </w:p>
        </w:tc>
        <w:tc>
          <w:tcPr>
            <w:tcW w:w="1297" w:type="pct"/>
            <w:shd w:val="clear" w:color="auto" w:fill="F2F2F2" w:themeFill="background1" w:themeFillShade="F2"/>
            <w:hideMark/>
          </w:tcPr>
          <w:p w:rsidR="00C324F3" w:rsidRPr="00E320E0" w:rsidRDefault="00C324F3" w:rsidP="00C324F3">
            <w:pPr>
              <w:pStyle w:val="ListParagraph"/>
              <w:numPr>
                <w:ilvl w:val="0"/>
                <w:numId w:val="311"/>
              </w:numPr>
              <w:rPr>
                <w:szCs w:val="18"/>
              </w:rPr>
            </w:pPr>
            <w:r w:rsidRPr="00166FDD">
              <w:rPr>
                <w:szCs w:val="18"/>
              </w:rPr>
              <w:t>Cahill</w:t>
            </w:r>
            <w:r>
              <w:rPr>
                <w:szCs w:val="18"/>
              </w:rPr>
              <w:t xml:space="preserve"> </w:t>
            </w:r>
            <w:r w:rsidRPr="00846CB6">
              <w:rPr>
                <w:szCs w:val="18"/>
              </w:rPr>
              <w:t>(2016)</w:t>
            </w:r>
            <w:r w:rsidRPr="00E320E0">
              <w:rPr>
                <w:szCs w:val="18"/>
                <w:vertAlign w:val="superscript"/>
              </w:rPr>
              <w:t>1</w:t>
            </w:r>
          </w:p>
          <w:p w:rsidR="00C324F3" w:rsidRPr="00166FDD" w:rsidRDefault="00C324F3" w:rsidP="00C324F3">
            <w:pPr>
              <w:pStyle w:val="ListParagraph"/>
              <w:numPr>
                <w:ilvl w:val="0"/>
                <w:numId w:val="311"/>
              </w:numPr>
              <w:rPr>
                <w:szCs w:val="18"/>
              </w:rPr>
            </w:pPr>
            <w:r w:rsidRPr="00166FDD">
              <w:rPr>
                <w:rFonts w:eastAsia="MS Mincho"/>
              </w:rPr>
              <w:t>Lerman (2015)</w:t>
            </w:r>
            <w:r w:rsidRPr="00166FDD">
              <w:rPr>
                <w:rFonts w:eastAsia="MS Mincho"/>
                <w:vertAlign w:val="superscript"/>
              </w:rPr>
              <w:t>2</w:t>
            </w:r>
          </w:p>
          <w:p w:rsidR="00C324F3" w:rsidRPr="00166FDD" w:rsidRDefault="00C324F3" w:rsidP="00C324F3">
            <w:pPr>
              <w:pStyle w:val="ListParagraph"/>
              <w:numPr>
                <w:ilvl w:val="0"/>
                <w:numId w:val="311"/>
              </w:numPr>
              <w:rPr>
                <w:szCs w:val="18"/>
              </w:rPr>
            </w:pPr>
            <w:r w:rsidRPr="00166FDD">
              <w:rPr>
                <w:rFonts w:eastAsia="MS Mincho"/>
              </w:rPr>
              <w:t>Littlewood (2017)</w:t>
            </w:r>
            <w:r w:rsidRPr="00746010">
              <w:rPr>
                <w:rFonts w:eastAsia="MS Mincho"/>
                <w:vertAlign w:val="superscript"/>
              </w:rPr>
              <w:t>2</w:t>
            </w:r>
          </w:p>
          <w:p w:rsidR="00C324F3" w:rsidRPr="00166FDD" w:rsidRDefault="00C324F3" w:rsidP="00C324F3">
            <w:pPr>
              <w:pStyle w:val="ListParagraph"/>
              <w:numPr>
                <w:ilvl w:val="0"/>
                <w:numId w:val="311"/>
              </w:numPr>
              <w:rPr>
                <w:szCs w:val="18"/>
              </w:rPr>
            </w:pPr>
            <w:r w:rsidRPr="00166FDD">
              <w:rPr>
                <w:rFonts w:eastAsia="MS Mincho"/>
              </w:rPr>
              <w:t>Benowitz (2018)</w:t>
            </w:r>
            <w:r w:rsidRPr="00746010">
              <w:rPr>
                <w:rFonts w:eastAsia="MS Mincho"/>
                <w:vertAlign w:val="superscript"/>
              </w:rPr>
              <w:t>2</w:t>
            </w:r>
          </w:p>
          <w:p w:rsidR="00C324F3" w:rsidRPr="00166FDD" w:rsidRDefault="00C324F3" w:rsidP="00C324F3">
            <w:pPr>
              <w:pStyle w:val="ListParagraph"/>
              <w:numPr>
                <w:ilvl w:val="0"/>
                <w:numId w:val="311"/>
              </w:numPr>
              <w:rPr>
                <w:szCs w:val="18"/>
              </w:rPr>
            </w:pPr>
            <w:r w:rsidRPr="00166FDD">
              <w:rPr>
                <w:rFonts w:eastAsia="MS Mincho"/>
              </w:rPr>
              <w:t>Hurt (2018)</w:t>
            </w:r>
            <w:r w:rsidRPr="00746010">
              <w:rPr>
                <w:rFonts w:eastAsia="MS Mincho"/>
                <w:vertAlign w:val="superscript"/>
              </w:rPr>
              <w:t>2</w:t>
            </w:r>
          </w:p>
          <w:p w:rsidR="00C324F3" w:rsidRPr="00166FDD" w:rsidRDefault="00C324F3" w:rsidP="00C324F3">
            <w:pPr>
              <w:pStyle w:val="ListParagraph"/>
              <w:numPr>
                <w:ilvl w:val="0"/>
                <w:numId w:val="311"/>
              </w:numPr>
              <w:rPr>
                <w:szCs w:val="18"/>
              </w:rPr>
            </w:pPr>
            <w:r w:rsidRPr="00166FDD">
              <w:rPr>
                <w:rFonts w:eastAsia="MS Mincho"/>
              </w:rPr>
              <w:t>Mercie (2018)</w:t>
            </w:r>
            <w:r w:rsidRPr="00746010">
              <w:rPr>
                <w:rFonts w:eastAsia="MS Mincho"/>
                <w:vertAlign w:val="superscript"/>
              </w:rPr>
              <w:t>2</w:t>
            </w:r>
          </w:p>
          <w:p w:rsidR="00C324F3" w:rsidRPr="00166FDD" w:rsidRDefault="00C324F3" w:rsidP="00C324F3">
            <w:pPr>
              <w:pStyle w:val="ListParagraph"/>
              <w:numPr>
                <w:ilvl w:val="0"/>
                <w:numId w:val="311"/>
              </w:numPr>
              <w:rPr>
                <w:szCs w:val="18"/>
              </w:rPr>
            </w:pPr>
            <w:r w:rsidRPr="00166FDD">
              <w:rPr>
                <w:rFonts w:eastAsia="MS Mincho"/>
              </w:rPr>
              <w:t>Windle (2018)</w:t>
            </w:r>
            <w:r w:rsidRPr="00746010">
              <w:rPr>
                <w:rFonts w:eastAsia="MS Mincho"/>
                <w:vertAlign w:val="superscript"/>
              </w:rPr>
              <w:t>2</w:t>
            </w:r>
          </w:p>
          <w:p w:rsidR="00C324F3" w:rsidRPr="00166FDD" w:rsidRDefault="00C324F3" w:rsidP="00C324F3">
            <w:pPr>
              <w:pStyle w:val="ListParagraph"/>
              <w:numPr>
                <w:ilvl w:val="0"/>
                <w:numId w:val="311"/>
              </w:numPr>
              <w:rPr>
                <w:szCs w:val="18"/>
              </w:rPr>
            </w:pPr>
            <w:r w:rsidRPr="00166FDD">
              <w:rPr>
                <w:rFonts w:eastAsia="MS Mincho"/>
              </w:rPr>
              <w:t>Ashare (2019)</w:t>
            </w:r>
            <w:r w:rsidRPr="00746010">
              <w:rPr>
                <w:rFonts w:eastAsia="MS Mincho"/>
                <w:vertAlign w:val="superscript"/>
              </w:rPr>
              <w:t>2</w:t>
            </w:r>
          </w:p>
          <w:p w:rsidR="00C324F3" w:rsidRPr="00DA1A94" w:rsidRDefault="00C324F3" w:rsidP="00C324F3">
            <w:pPr>
              <w:pStyle w:val="ListParagraph"/>
              <w:numPr>
                <w:ilvl w:val="0"/>
                <w:numId w:val="311"/>
              </w:numPr>
              <w:rPr>
                <w:szCs w:val="18"/>
              </w:rPr>
            </w:pPr>
            <w:r w:rsidRPr="00166FDD">
              <w:rPr>
                <w:rFonts w:eastAsia="MS Mincho"/>
              </w:rPr>
              <w:t>Chen (2020)</w:t>
            </w:r>
            <w:r w:rsidRPr="00746010">
              <w:rPr>
                <w:rFonts w:eastAsia="MS Mincho"/>
                <w:vertAlign w:val="superscript"/>
              </w:rPr>
              <w:t>2</w:t>
            </w:r>
          </w:p>
        </w:tc>
        <w:tc>
          <w:tcPr>
            <w:tcW w:w="2807" w:type="pct"/>
            <w:shd w:val="clear" w:color="auto" w:fill="F2F2F2" w:themeFill="background1" w:themeFillShade="F2"/>
            <w:hideMark/>
          </w:tcPr>
          <w:p w:rsidR="00C324F3" w:rsidRPr="0010753D" w:rsidRDefault="00C324F3" w:rsidP="00C324F3">
            <w:pPr>
              <w:pStyle w:val="ListParagraph"/>
              <w:numPr>
                <w:ilvl w:val="0"/>
                <w:numId w:val="311"/>
              </w:numPr>
              <w:rPr>
                <w:szCs w:val="18"/>
              </w:rPr>
            </w:pPr>
            <w:r w:rsidRPr="0010753D">
              <w:rPr>
                <w:szCs w:val="18"/>
                <w:u w:val="single"/>
              </w:rPr>
              <w:t>Efficacy:</w:t>
            </w:r>
            <w:r w:rsidRPr="0010753D">
              <w:rPr>
                <w:szCs w:val="18"/>
              </w:rPr>
              <w:t xml:space="preserve"> Statistically significant </w:t>
            </w:r>
            <w:r>
              <w:rPr>
                <w:szCs w:val="18"/>
              </w:rPr>
              <w:t xml:space="preserve">based on RR and RD </w:t>
            </w:r>
            <w:r w:rsidRPr="0010753D">
              <w:rPr>
                <w:szCs w:val="18"/>
              </w:rPr>
              <w:t>(in favour of varenicline)</w:t>
            </w:r>
            <w:r>
              <w:rPr>
                <w:szCs w:val="18"/>
              </w:rPr>
              <w:t>.</w:t>
            </w:r>
          </w:p>
          <w:p w:rsidR="00C324F3" w:rsidRPr="00846CB6" w:rsidRDefault="00C324F3" w:rsidP="00777459">
            <w:pPr>
              <w:pStyle w:val="ListParagraph"/>
              <w:ind w:left="360"/>
              <w:rPr>
                <w:szCs w:val="18"/>
              </w:rPr>
            </w:pPr>
            <w:r w:rsidRPr="0010753D">
              <w:rPr>
                <w:szCs w:val="18"/>
                <w:u w:val="single"/>
              </w:rPr>
              <w:t>Safety:</w:t>
            </w:r>
            <w:r w:rsidRPr="0010753D">
              <w:rPr>
                <w:szCs w:val="18"/>
              </w:rPr>
              <w:t xml:space="preserve"> Statistically significant </w:t>
            </w:r>
            <w:r>
              <w:rPr>
                <w:szCs w:val="18"/>
              </w:rPr>
              <w:t>based on RR and RD</w:t>
            </w:r>
            <w:r w:rsidRPr="0010753D">
              <w:rPr>
                <w:szCs w:val="18"/>
              </w:rPr>
              <w:t xml:space="preserve"> (nausea, insomnia, abnormal dreams; higher in varenicline)</w:t>
            </w:r>
            <w:r>
              <w:rPr>
                <w:szCs w:val="18"/>
              </w:rPr>
              <w:t xml:space="preserve">; </w:t>
            </w:r>
            <w:r w:rsidRPr="00846CB6">
              <w:rPr>
                <w:szCs w:val="18"/>
              </w:rPr>
              <w:t xml:space="preserve">Not statistically significant based on RR </w:t>
            </w:r>
            <w:r w:rsidRPr="00E320E0">
              <w:rPr>
                <w:szCs w:val="18"/>
              </w:rPr>
              <w:t>(</w:t>
            </w:r>
            <w:r>
              <w:rPr>
                <w:szCs w:val="18"/>
              </w:rPr>
              <w:t>d</w:t>
            </w:r>
            <w:r w:rsidRPr="00846CB6">
              <w:rPr>
                <w:szCs w:val="18"/>
              </w:rPr>
              <w:t>epression, suicidal ideation, serious AEs incl</w:t>
            </w:r>
            <w:r>
              <w:rPr>
                <w:szCs w:val="18"/>
              </w:rPr>
              <w:t xml:space="preserve">uding </w:t>
            </w:r>
            <w:r w:rsidRPr="00846CB6">
              <w:rPr>
                <w:szCs w:val="18"/>
              </w:rPr>
              <w:t>neuropsychiatric and cardiac)</w:t>
            </w:r>
            <w:r>
              <w:rPr>
                <w:szCs w:val="18"/>
              </w:rPr>
              <w:t xml:space="preserve">, </w:t>
            </w:r>
            <w:r>
              <w:t>but significant based on RD (headache).</w:t>
            </w:r>
            <w:r w:rsidRPr="00E320E0">
              <w:rPr>
                <w:szCs w:val="18"/>
              </w:rPr>
              <w:t xml:space="preserve"> </w:t>
            </w:r>
          </w:p>
        </w:tc>
      </w:tr>
      <w:tr w:rsidR="00C324F3" w:rsidRPr="0010753D" w:rsidTr="00777459">
        <w:trPr>
          <w:trHeight w:val="851"/>
        </w:trPr>
        <w:tc>
          <w:tcPr>
            <w:tcW w:w="896" w:type="pct"/>
            <w:shd w:val="clear" w:color="auto" w:fill="F2F2F2" w:themeFill="background1" w:themeFillShade="F2"/>
            <w:hideMark/>
          </w:tcPr>
          <w:p w:rsidR="00C324F3" w:rsidRPr="0010753D" w:rsidRDefault="00C324F3" w:rsidP="00777459">
            <w:pPr>
              <w:spacing w:after="200"/>
              <w:rPr>
                <w:szCs w:val="18"/>
              </w:rPr>
            </w:pPr>
            <w:r w:rsidRPr="0010753D">
              <w:rPr>
                <w:szCs w:val="18"/>
              </w:rPr>
              <w:t xml:space="preserve">Varenicline vs </w:t>
            </w:r>
            <w:r>
              <w:rPr>
                <w:szCs w:val="18"/>
              </w:rPr>
              <w:t>b</w:t>
            </w:r>
            <w:r w:rsidRPr="0010753D">
              <w:rPr>
                <w:szCs w:val="18"/>
              </w:rPr>
              <w:t>upropion</w:t>
            </w:r>
          </w:p>
        </w:tc>
        <w:tc>
          <w:tcPr>
            <w:tcW w:w="1297" w:type="pct"/>
            <w:shd w:val="clear" w:color="auto" w:fill="F2F2F2" w:themeFill="background1" w:themeFillShade="F2"/>
            <w:hideMark/>
          </w:tcPr>
          <w:p w:rsidR="00C324F3" w:rsidRPr="00C30A65" w:rsidRDefault="00C324F3" w:rsidP="00C324F3">
            <w:pPr>
              <w:pStyle w:val="ListParagraph"/>
              <w:numPr>
                <w:ilvl w:val="0"/>
                <w:numId w:val="310"/>
              </w:numPr>
              <w:rPr>
                <w:szCs w:val="18"/>
              </w:rPr>
            </w:pPr>
            <w:r w:rsidRPr="003F5807">
              <w:rPr>
                <w:szCs w:val="18"/>
              </w:rPr>
              <w:t>Howes (2020)</w:t>
            </w:r>
            <w:r w:rsidRPr="00C30A65">
              <w:rPr>
                <w:szCs w:val="18"/>
                <w:vertAlign w:val="superscript"/>
              </w:rPr>
              <w:t>1</w:t>
            </w:r>
          </w:p>
          <w:p w:rsidR="00C324F3" w:rsidRPr="00DA1A94" w:rsidRDefault="00C324F3" w:rsidP="00C324F3">
            <w:pPr>
              <w:pStyle w:val="ListParagraph"/>
              <w:numPr>
                <w:ilvl w:val="0"/>
                <w:numId w:val="310"/>
              </w:numPr>
              <w:rPr>
                <w:szCs w:val="18"/>
              </w:rPr>
            </w:pPr>
            <w:r w:rsidRPr="00A17F4F">
              <w:rPr>
                <w:rFonts w:eastAsia="MS Mincho"/>
              </w:rPr>
              <w:t>Benowitz (2018)</w:t>
            </w:r>
            <w:r w:rsidRPr="00A17F4F">
              <w:rPr>
                <w:rFonts w:eastAsia="MS Mincho"/>
                <w:vertAlign w:val="superscript"/>
              </w:rPr>
              <w:t>2</w:t>
            </w:r>
          </w:p>
        </w:tc>
        <w:tc>
          <w:tcPr>
            <w:tcW w:w="2807" w:type="pct"/>
            <w:shd w:val="clear" w:color="auto" w:fill="F2F2F2" w:themeFill="background1" w:themeFillShade="F2"/>
            <w:hideMark/>
          </w:tcPr>
          <w:p w:rsidR="00C324F3" w:rsidRPr="0010753D" w:rsidRDefault="00C324F3" w:rsidP="00C324F3">
            <w:pPr>
              <w:pStyle w:val="ListParagraph"/>
              <w:numPr>
                <w:ilvl w:val="0"/>
                <w:numId w:val="313"/>
              </w:numPr>
              <w:rPr>
                <w:szCs w:val="18"/>
              </w:rPr>
            </w:pPr>
            <w:r w:rsidRPr="0010753D">
              <w:rPr>
                <w:szCs w:val="18"/>
                <w:u w:val="single"/>
              </w:rPr>
              <w:t>Efficacy:</w:t>
            </w:r>
            <w:r w:rsidRPr="0010753D">
              <w:rPr>
                <w:szCs w:val="18"/>
              </w:rPr>
              <w:t xml:space="preserve"> Statistically significant </w:t>
            </w:r>
            <w:r>
              <w:rPr>
                <w:szCs w:val="18"/>
              </w:rPr>
              <w:t>based on RR and RD</w:t>
            </w:r>
            <w:r w:rsidRPr="00DA1A94">
              <w:rPr>
                <w:szCs w:val="18"/>
              </w:rPr>
              <w:t xml:space="preserve"> </w:t>
            </w:r>
            <w:r w:rsidRPr="0010753D">
              <w:rPr>
                <w:szCs w:val="18"/>
              </w:rPr>
              <w:t>(in favour of varenicline)</w:t>
            </w:r>
            <w:r>
              <w:rPr>
                <w:szCs w:val="18"/>
              </w:rPr>
              <w:t>.</w:t>
            </w:r>
          </w:p>
          <w:p w:rsidR="00C324F3" w:rsidRPr="0010753D" w:rsidRDefault="00C324F3" w:rsidP="00C324F3">
            <w:pPr>
              <w:pStyle w:val="ListParagraph"/>
              <w:numPr>
                <w:ilvl w:val="0"/>
                <w:numId w:val="313"/>
              </w:numPr>
              <w:rPr>
                <w:szCs w:val="18"/>
              </w:rPr>
            </w:pPr>
            <w:r w:rsidRPr="0010753D">
              <w:rPr>
                <w:szCs w:val="18"/>
                <w:u w:val="single"/>
              </w:rPr>
              <w:t xml:space="preserve">Safety: </w:t>
            </w:r>
            <w:r w:rsidRPr="0010753D">
              <w:rPr>
                <w:szCs w:val="18"/>
              </w:rPr>
              <w:t xml:space="preserve">Not statistically significant </w:t>
            </w:r>
            <w:r>
              <w:rPr>
                <w:szCs w:val="18"/>
              </w:rPr>
              <w:t>based on RR and RD</w:t>
            </w:r>
            <w:r w:rsidRPr="00DA1A94">
              <w:rPr>
                <w:szCs w:val="18"/>
              </w:rPr>
              <w:t xml:space="preserve"> </w:t>
            </w:r>
            <w:r w:rsidRPr="0010753D">
              <w:rPr>
                <w:szCs w:val="18"/>
              </w:rPr>
              <w:t>(any AEs, psychiatric AEs, SAEs, discontinuation due to AEs)</w:t>
            </w:r>
            <w:r>
              <w:rPr>
                <w:szCs w:val="18"/>
              </w:rPr>
              <w:t>.</w:t>
            </w:r>
            <w:r w:rsidRPr="0010753D">
              <w:rPr>
                <w:szCs w:val="18"/>
              </w:rPr>
              <w:t> </w:t>
            </w:r>
          </w:p>
        </w:tc>
      </w:tr>
    </w:tbl>
    <w:p w:rsidR="00C324F3" w:rsidRDefault="00C324F3" w:rsidP="00C324F3">
      <w:pPr>
        <w:pStyle w:val="TableFooter"/>
        <w:keepNext/>
      </w:pPr>
      <w:r>
        <w:t>Abbreviations: AEs = adverse events; RR = risk ratio, RD = risk difference; SAEs = serious adverse events.</w:t>
      </w:r>
    </w:p>
    <w:p w:rsidR="00C324F3" w:rsidRDefault="00C324F3" w:rsidP="00C324F3">
      <w:pPr>
        <w:pStyle w:val="TableFooter"/>
        <w:keepNext/>
      </w:pPr>
      <w:r w:rsidRPr="00BE36E8">
        <w:t xml:space="preserve">Notes: </w:t>
      </w:r>
    </w:p>
    <w:p w:rsidR="00C324F3" w:rsidRDefault="00C324F3" w:rsidP="00C324F3">
      <w:pPr>
        <w:pStyle w:val="TableFooter"/>
        <w:keepNext/>
      </w:pPr>
      <w:r w:rsidRPr="00BE36E8">
        <w:t>1 Cochrane Review</w:t>
      </w:r>
      <w:r>
        <w:t>.</w:t>
      </w:r>
    </w:p>
    <w:p w:rsidR="00C324F3" w:rsidRPr="005410D6" w:rsidRDefault="00C324F3" w:rsidP="00C324F3">
      <w:pPr>
        <w:pStyle w:val="TableFooter"/>
        <w:keepNext/>
      </w:pPr>
      <w:r>
        <w:t>2 Supplemental evidence (RCT).</w:t>
      </w:r>
    </w:p>
    <w:p w:rsidR="00C324F3" w:rsidRPr="00356EA8" w:rsidRDefault="00C324F3" w:rsidP="00C324F3">
      <w:r w:rsidRPr="00356EA8">
        <w:t xml:space="preserve">Treatment-experienced population </w:t>
      </w:r>
    </w:p>
    <w:p w:rsidR="00C324F3" w:rsidRDefault="00C324F3" w:rsidP="00C324F3">
      <w:pPr>
        <w:pStyle w:val="ListParagraph"/>
        <w:numPr>
          <w:ilvl w:val="0"/>
          <w:numId w:val="272"/>
        </w:numPr>
      </w:pPr>
      <w:r>
        <w:lastRenderedPageBreak/>
        <w:t>V</w:t>
      </w:r>
      <w:r w:rsidRPr="00356EA8">
        <w:t xml:space="preserve">arenicline was shown to provide a statistically significant improvement in </w:t>
      </w:r>
      <w:r>
        <w:t>efficacy</w:t>
      </w:r>
      <w:r w:rsidRPr="00356EA8">
        <w:t xml:space="preserve"> compared with placebo as a relapse prevention treatment in abstainers. This is </w:t>
      </w:r>
      <w:r>
        <w:t xml:space="preserve">largely based on and thus is </w:t>
      </w:r>
      <w:r w:rsidRPr="00356EA8">
        <w:t>consistent with the evidence previously considered by the PBAC</w:t>
      </w:r>
      <w:r>
        <w:t xml:space="preserve">. </w:t>
      </w:r>
      <w:r w:rsidRPr="004D1CE1">
        <w:t xml:space="preserve">The </w:t>
      </w:r>
      <w:r>
        <w:t>adverse events reported were consistent with those expected of varenicline.</w:t>
      </w:r>
    </w:p>
    <w:p w:rsidR="00C324F3" w:rsidRDefault="00C324F3" w:rsidP="00C324F3">
      <w:pPr>
        <w:pStyle w:val="ListParagraph"/>
        <w:numPr>
          <w:ilvl w:val="0"/>
          <w:numId w:val="272"/>
        </w:numPr>
      </w:pPr>
      <w:r w:rsidRPr="00356EA8">
        <w:t xml:space="preserve">Varenicline was shown </w:t>
      </w:r>
      <w:r>
        <w:t>to</w:t>
      </w:r>
      <w:r w:rsidRPr="00356EA8">
        <w:t xml:space="preserve"> be superior to placebo in terms of efficacy as retreatment in non-abstainers.</w:t>
      </w:r>
      <w:r>
        <w:t xml:space="preserve"> </w:t>
      </w:r>
      <w:r w:rsidRPr="00356EA8">
        <w:t>A significantly higher proportion of patients in the varenicline arm experienced nausea and abnormal dreams compared to patients in the placebo arm, while there were no statistically significant differences between the two treatment arms for insomnia, headache, depression, serious adverse events and cardiac serious adverse events</w:t>
      </w:r>
      <w:r>
        <w:t>.</w:t>
      </w:r>
      <w:r w:rsidRPr="00356EA8">
        <w:t xml:space="preserve"> This is consistent with the evidence previously considered by the PBAC. It was noted the one </w:t>
      </w:r>
      <w:r>
        <w:t>study</w:t>
      </w:r>
      <w:r w:rsidRPr="00356EA8">
        <w:t xml:space="preserve"> </w:t>
      </w:r>
      <w:r>
        <w:t>identified</w:t>
      </w:r>
      <w:r w:rsidRPr="00356EA8">
        <w:t xml:space="preserve"> required patients to have had previously taken varenicline for two or more weeks, with the last dose taken ≥3 months before screening.</w:t>
      </w:r>
    </w:p>
    <w:tbl>
      <w:tblPr>
        <w:tblStyle w:val="TableGrid3"/>
        <w:tblW w:w="5000" w:type="pct"/>
        <w:shd w:val="clear" w:color="auto" w:fill="F2F2F2" w:themeFill="background1" w:themeFillShade="F2"/>
        <w:tblLook w:val="04A0" w:firstRow="1" w:lastRow="0" w:firstColumn="1" w:lastColumn="0" w:noHBand="0" w:noVBand="1"/>
      </w:tblPr>
      <w:tblGrid>
        <w:gridCol w:w="1616"/>
        <w:gridCol w:w="2699"/>
        <w:gridCol w:w="4701"/>
      </w:tblGrid>
      <w:tr w:rsidR="00C324F3" w:rsidRPr="00DA1A94" w:rsidTr="00777459">
        <w:trPr>
          <w:trHeight w:val="112"/>
        </w:trPr>
        <w:tc>
          <w:tcPr>
            <w:tcW w:w="896" w:type="pct"/>
            <w:shd w:val="clear" w:color="auto" w:fill="F2F2F2" w:themeFill="background1" w:themeFillShade="F2"/>
            <w:hideMark/>
          </w:tcPr>
          <w:p w:rsidR="00C324F3" w:rsidRPr="00DA1A94" w:rsidRDefault="00C324F3" w:rsidP="00777459">
            <w:pPr>
              <w:spacing w:after="200"/>
              <w:rPr>
                <w:szCs w:val="18"/>
              </w:rPr>
            </w:pPr>
            <w:r w:rsidRPr="00DA1A94">
              <w:rPr>
                <w:b/>
                <w:bCs/>
                <w:szCs w:val="18"/>
              </w:rPr>
              <w:t>Compar</w:t>
            </w:r>
            <w:r>
              <w:rPr>
                <w:b/>
                <w:bCs/>
                <w:szCs w:val="18"/>
              </w:rPr>
              <w:t>ison</w:t>
            </w:r>
          </w:p>
        </w:tc>
        <w:tc>
          <w:tcPr>
            <w:tcW w:w="1497" w:type="pct"/>
            <w:shd w:val="clear" w:color="auto" w:fill="F2F2F2" w:themeFill="background1" w:themeFillShade="F2"/>
            <w:hideMark/>
          </w:tcPr>
          <w:p w:rsidR="00C324F3" w:rsidRPr="0010753D" w:rsidRDefault="00C324F3" w:rsidP="00777459">
            <w:pPr>
              <w:spacing w:after="200"/>
              <w:jc w:val="center"/>
              <w:rPr>
                <w:b/>
                <w:bCs/>
                <w:szCs w:val="18"/>
              </w:rPr>
            </w:pPr>
            <w:r w:rsidRPr="0010753D">
              <w:rPr>
                <w:b/>
                <w:bCs/>
                <w:szCs w:val="18"/>
              </w:rPr>
              <w:t>Included studies</w:t>
            </w:r>
          </w:p>
        </w:tc>
        <w:tc>
          <w:tcPr>
            <w:tcW w:w="2607" w:type="pct"/>
            <w:shd w:val="clear" w:color="auto" w:fill="F2F2F2" w:themeFill="background1" w:themeFillShade="F2"/>
            <w:hideMark/>
          </w:tcPr>
          <w:p w:rsidR="00C324F3" w:rsidRPr="00DA1A94" w:rsidRDefault="00C324F3" w:rsidP="00777459">
            <w:pPr>
              <w:jc w:val="center"/>
              <w:rPr>
                <w:b/>
                <w:bCs/>
                <w:szCs w:val="18"/>
              </w:rPr>
            </w:pPr>
            <w:r w:rsidRPr="00DA1A94">
              <w:rPr>
                <w:b/>
                <w:bCs/>
                <w:szCs w:val="18"/>
              </w:rPr>
              <w:t>S</w:t>
            </w:r>
            <w:r>
              <w:rPr>
                <w:b/>
                <w:bCs/>
                <w:szCs w:val="18"/>
              </w:rPr>
              <w:t>ummary of evidence</w:t>
            </w:r>
          </w:p>
        </w:tc>
      </w:tr>
      <w:tr w:rsidR="00C324F3" w:rsidRPr="00DA1A94" w:rsidTr="00777459">
        <w:trPr>
          <w:trHeight w:val="67"/>
        </w:trPr>
        <w:tc>
          <w:tcPr>
            <w:tcW w:w="5000" w:type="pct"/>
            <w:gridSpan w:val="3"/>
            <w:shd w:val="clear" w:color="auto" w:fill="F2F2F2" w:themeFill="background1" w:themeFillShade="F2"/>
            <w:hideMark/>
          </w:tcPr>
          <w:p w:rsidR="00C324F3" w:rsidRPr="00DA1A94" w:rsidRDefault="00C324F3" w:rsidP="00777459">
            <w:pPr>
              <w:rPr>
                <w:b/>
                <w:bCs/>
                <w:szCs w:val="18"/>
              </w:rPr>
            </w:pPr>
            <w:r w:rsidRPr="00DA1A94">
              <w:rPr>
                <w:b/>
                <w:bCs/>
                <w:szCs w:val="18"/>
              </w:rPr>
              <w:t>Treatment-experienced population (relapse prevention treatment in abstainers)</w:t>
            </w:r>
          </w:p>
        </w:tc>
      </w:tr>
      <w:tr w:rsidR="00C324F3" w:rsidRPr="00DA1A94" w:rsidTr="00777459">
        <w:trPr>
          <w:trHeight w:val="1464"/>
        </w:trPr>
        <w:tc>
          <w:tcPr>
            <w:tcW w:w="896" w:type="pct"/>
            <w:shd w:val="clear" w:color="auto" w:fill="F2F2F2" w:themeFill="background1" w:themeFillShade="F2"/>
            <w:hideMark/>
          </w:tcPr>
          <w:p w:rsidR="00C324F3" w:rsidRPr="0010753D" w:rsidRDefault="00C324F3" w:rsidP="00777459">
            <w:pPr>
              <w:spacing w:after="200"/>
              <w:rPr>
                <w:szCs w:val="18"/>
              </w:rPr>
            </w:pPr>
            <w:r w:rsidRPr="0010753D">
              <w:rPr>
                <w:szCs w:val="18"/>
              </w:rPr>
              <w:t xml:space="preserve">Varenicline vs </w:t>
            </w:r>
            <w:r>
              <w:rPr>
                <w:szCs w:val="18"/>
              </w:rPr>
              <w:t>p</w:t>
            </w:r>
            <w:r w:rsidRPr="0010753D">
              <w:rPr>
                <w:rFonts w:eastAsia="Calibri"/>
                <w:szCs w:val="18"/>
              </w:rPr>
              <w:t>lacebo</w:t>
            </w:r>
          </w:p>
        </w:tc>
        <w:tc>
          <w:tcPr>
            <w:tcW w:w="1497" w:type="pct"/>
            <w:shd w:val="clear" w:color="auto" w:fill="F2F2F2" w:themeFill="background1" w:themeFillShade="F2"/>
            <w:hideMark/>
          </w:tcPr>
          <w:p w:rsidR="00C324F3" w:rsidRPr="00B05D82" w:rsidRDefault="00C324F3" w:rsidP="00C324F3">
            <w:pPr>
              <w:pStyle w:val="ListParagraph"/>
              <w:numPr>
                <w:ilvl w:val="0"/>
                <w:numId w:val="316"/>
              </w:numPr>
              <w:rPr>
                <w:szCs w:val="18"/>
              </w:rPr>
            </w:pPr>
            <w:r w:rsidRPr="00B05D82">
              <w:rPr>
                <w:szCs w:val="18"/>
              </w:rPr>
              <w:t>Livingstone-Banks (2019)</w:t>
            </w:r>
            <w:r w:rsidRPr="00B05D82">
              <w:rPr>
                <w:szCs w:val="18"/>
                <w:vertAlign w:val="superscript"/>
              </w:rPr>
              <w:t>1</w:t>
            </w:r>
          </w:p>
          <w:p w:rsidR="00C324F3" w:rsidRPr="00B05D82" w:rsidRDefault="00C324F3" w:rsidP="00C324F3">
            <w:pPr>
              <w:pStyle w:val="ListParagraph"/>
              <w:numPr>
                <w:ilvl w:val="0"/>
                <w:numId w:val="316"/>
              </w:numPr>
              <w:rPr>
                <w:szCs w:val="18"/>
              </w:rPr>
            </w:pPr>
            <w:r w:rsidRPr="00B05D82">
              <w:rPr>
                <w:rFonts w:eastAsia="MS Mincho"/>
              </w:rPr>
              <w:t>Schnoll (2019)</w:t>
            </w:r>
            <w:r w:rsidRPr="00B05D82">
              <w:rPr>
                <w:rFonts w:eastAsia="MS Mincho"/>
                <w:vertAlign w:val="superscript"/>
              </w:rPr>
              <w:t>2</w:t>
            </w:r>
          </w:p>
        </w:tc>
        <w:tc>
          <w:tcPr>
            <w:tcW w:w="2607" w:type="pct"/>
            <w:shd w:val="clear" w:color="auto" w:fill="F2F2F2" w:themeFill="background1" w:themeFillShade="F2"/>
            <w:hideMark/>
          </w:tcPr>
          <w:p w:rsidR="00C324F3" w:rsidRPr="0010753D" w:rsidRDefault="00C324F3" w:rsidP="00C324F3">
            <w:pPr>
              <w:pStyle w:val="ListParagraph"/>
              <w:numPr>
                <w:ilvl w:val="0"/>
                <w:numId w:val="314"/>
              </w:numPr>
              <w:rPr>
                <w:szCs w:val="18"/>
              </w:rPr>
            </w:pPr>
            <w:r w:rsidRPr="0010753D">
              <w:rPr>
                <w:szCs w:val="18"/>
                <w:u w:val="single"/>
              </w:rPr>
              <w:t>Efficacy:</w:t>
            </w:r>
            <w:r w:rsidRPr="0010753D">
              <w:rPr>
                <w:szCs w:val="18"/>
              </w:rPr>
              <w:t xml:space="preserve"> Statistically significant</w:t>
            </w:r>
            <w:r>
              <w:rPr>
                <w:szCs w:val="18"/>
              </w:rPr>
              <w:t xml:space="preserve"> based on RR </w:t>
            </w:r>
            <w:r w:rsidRPr="0010753D">
              <w:rPr>
                <w:szCs w:val="18"/>
              </w:rPr>
              <w:t>(in favour of varenicline)</w:t>
            </w:r>
            <w:r>
              <w:rPr>
                <w:szCs w:val="18"/>
              </w:rPr>
              <w:t>.</w:t>
            </w:r>
          </w:p>
          <w:p w:rsidR="00C324F3" w:rsidRPr="00DA1A94" w:rsidRDefault="00C324F3" w:rsidP="00777459">
            <w:pPr>
              <w:ind w:left="360"/>
              <w:rPr>
                <w:rFonts w:eastAsia="Calibri"/>
                <w:szCs w:val="18"/>
              </w:rPr>
            </w:pPr>
            <w:r w:rsidRPr="0010753D">
              <w:rPr>
                <w:szCs w:val="18"/>
                <w:u w:val="single"/>
              </w:rPr>
              <w:t>Safety:</w:t>
            </w:r>
            <w:r w:rsidRPr="004D4E66">
              <w:rPr>
                <w:szCs w:val="18"/>
              </w:rPr>
              <w:t xml:space="preserve"> </w:t>
            </w:r>
            <w:r w:rsidRPr="0010753D">
              <w:rPr>
                <w:rFonts w:eastAsia="Calibri"/>
                <w:szCs w:val="18"/>
              </w:rPr>
              <w:t>AEs reported were consistent with those expected of varenicline</w:t>
            </w:r>
            <w:r>
              <w:rPr>
                <w:rFonts w:eastAsia="Calibri"/>
                <w:szCs w:val="18"/>
              </w:rPr>
              <w:t>.</w:t>
            </w:r>
          </w:p>
        </w:tc>
      </w:tr>
      <w:tr w:rsidR="00C324F3" w:rsidRPr="00DA1A94" w:rsidTr="00777459">
        <w:trPr>
          <w:trHeight w:val="67"/>
        </w:trPr>
        <w:tc>
          <w:tcPr>
            <w:tcW w:w="5000" w:type="pct"/>
            <w:gridSpan w:val="3"/>
            <w:shd w:val="clear" w:color="auto" w:fill="F2F2F2" w:themeFill="background1" w:themeFillShade="F2"/>
            <w:hideMark/>
          </w:tcPr>
          <w:p w:rsidR="00C324F3" w:rsidRPr="00DA1A94" w:rsidRDefault="00C324F3" w:rsidP="00777459">
            <w:pPr>
              <w:rPr>
                <w:b/>
                <w:bCs/>
                <w:szCs w:val="18"/>
              </w:rPr>
            </w:pPr>
            <w:r w:rsidRPr="00DA1A94">
              <w:rPr>
                <w:b/>
                <w:bCs/>
                <w:szCs w:val="18"/>
              </w:rPr>
              <w:t>Treatment-experienced population (retreatment in non-abstainers)</w:t>
            </w:r>
          </w:p>
        </w:tc>
      </w:tr>
      <w:tr w:rsidR="00C324F3" w:rsidRPr="00DA1A94" w:rsidTr="00777459">
        <w:trPr>
          <w:trHeight w:val="851"/>
        </w:trPr>
        <w:tc>
          <w:tcPr>
            <w:tcW w:w="896" w:type="pct"/>
            <w:shd w:val="clear" w:color="auto" w:fill="F2F2F2" w:themeFill="background1" w:themeFillShade="F2"/>
            <w:hideMark/>
          </w:tcPr>
          <w:p w:rsidR="00C324F3" w:rsidRPr="0010753D" w:rsidRDefault="00C324F3" w:rsidP="00777459">
            <w:pPr>
              <w:spacing w:after="200"/>
              <w:rPr>
                <w:szCs w:val="18"/>
              </w:rPr>
            </w:pPr>
            <w:r w:rsidRPr="0010753D">
              <w:rPr>
                <w:szCs w:val="18"/>
              </w:rPr>
              <w:t xml:space="preserve">Varenicline vs </w:t>
            </w:r>
            <w:r>
              <w:rPr>
                <w:szCs w:val="18"/>
              </w:rPr>
              <w:t>p</w:t>
            </w:r>
            <w:r w:rsidRPr="0010753D">
              <w:rPr>
                <w:rFonts w:eastAsia="Calibri"/>
                <w:szCs w:val="18"/>
              </w:rPr>
              <w:t>lacebo</w:t>
            </w:r>
          </w:p>
        </w:tc>
        <w:tc>
          <w:tcPr>
            <w:tcW w:w="1497" w:type="pct"/>
            <w:shd w:val="clear" w:color="auto" w:fill="F2F2F2" w:themeFill="background1" w:themeFillShade="F2"/>
            <w:hideMark/>
          </w:tcPr>
          <w:p w:rsidR="00C324F3" w:rsidRPr="00B05D82" w:rsidRDefault="00C324F3" w:rsidP="00C324F3">
            <w:pPr>
              <w:pStyle w:val="ListParagraph"/>
              <w:numPr>
                <w:ilvl w:val="0"/>
                <w:numId w:val="314"/>
              </w:numPr>
              <w:rPr>
                <w:szCs w:val="18"/>
              </w:rPr>
            </w:pPr>
            <w:r>
              <w:rPr>
                <w:rFonts w:eastAsia="MS Mincho"/>
              </w:rPr>
              <w:t>Cahill (2016)</w:t>
            </w:r>
            <w:r w:rsidRPr="00B05D82">
              <w:rPr>
                <w:rFonts w:eastAsia="MS Mincho"/>
                <w:vertAlign w:val="superscript"/>
              </w:rPr>
              <w:t>1</w:t>
            </w:r>
          </w:p>
        </w:tc>
        <w:tc>
          <w:tcPr>
            <w:tcW w:w="2607" w:type="pct"/>
            <w:shd w:val="clear" w:color="auto" w:fill="F2F2F2" w:themeFill="background1" w:themeFillShade="F2"/>
            <w:hideMark/>
          </w:tcPr>
          <w:p w:rsidR="00C324F3" w:rsidRPr="0010753D" w:rsidRDefault="00C324F3" w:rsidP="00C324F3">
            <w:pPr>
              <w:pStyle w:val="ListParagraph"/>
              <w:numPr>
                <w:ilvl w:val="0"/>
                <w:numId w:val="315"/>
              </w:numPr>
              <w:rPr>
                <w:szCs w:val="18"/>
              </w:rPr>
            </w:pPr>
            <w:r w:rsidRPr="0010753D">
              <w:rPr>
                <w:szCs w:val="18"/>
                <w:u w:val="single"/>
              </w:rPr>
              <w:t>Efficacy:</w:t>
            </w:r>
            <w:r w:rsidRPr="0010753D">
              <w:rPr>
                <w:szCs w:val="18"/>
              </w:rPr>
              <w:t xml:space="preserve"> Statistically significant</w:t>
            </w:r>
            <w:r>
              <w:rPr>
                <w:szCs w:val="18"/>
              </w:rPr>
              <w:t xml:space="preserve"> based on RR </w:t>
            </w:r>
            <w:r w:rsidRPr="0010753D">
              <w:rPr>
                <w:szCs w:val="18"/>
              </w:rPr>
              <w:t>(in favour of varenicline)</w:t>
            </w:r>
            <w:r>
              <w:rPr>
                <w:szCs w:val="18"/>
              </w:rPr>
              <w:t>.</w:t>
            </w:r>
          </w:p>
          <w:p w:rsidR="00C324F3" w:rsidRPr="00642321" w:rsidRDefault="00C324F3" w:rsidP="00C324F3">
            <w:pPr>
              <w:pStyle w:val="ListParagraph"/>
              <w:numPr>
                <w:ilvl w:val="0"/>
                <w:numId w:val="315"/>
              </w:numPr>
              <w:rPr>
                <w:szCs w:val="18"/>
              </w:rPr>
            </w:pPr>
            <w:r w:rsidRPr="0010753D">
              <w:rPr>
                <w:szCs w:val="18"/>
                <w:u w:val="single"/>
              </w:rPr>
              <w:t>Safety:</w:t>
            </w:r>
            <w:r w:rsidRPr="004D4E66">
              <w:rPr>
                <w:szCs w:val="18"/>
              </w:rPr>
              <w:t xml:space="preserve"> </w:t>
            </w:r>
            <w:r w:rsidRPr="0010753D">
              <w:rPr>
                <w:szCs w:val="18"/>
              </w:rPr>
              <w:t>Statistically significant</w:t>
            </w:r>
            <w:r>
              <w:rPr>
                <w:szCs w:val="18"/>
              </w:rPr>
              <w:t xml:space="preserve"> based on RR</w:t>
            </w:r>
            <w:r w:rsidRPr="0010753D">
              <w:rPr>
                <w:szCs w:val="18"/>
              </w:rPr>
              <w:t xml:space="preserve"> (nausea, abnormal dreams; higher in varenicline)</w:t>
            </w:r>
            <w:r>
              <w:rPr>
                <w:szCs w:val="18"/>
              </w:rPr>
              <w:t xml:space="preserve">; </w:t>
            </w:r>
            <w:r w:rsidRPr="00846CB6">
              <w:rPr>
                <w:szCs w:val="18"/>
              </w:rPr>
              <w:t>Not statistically significant based on RR</w:t>
            </w:r>
            <w:r w:rsidRPr="00E320E0">
              <w:rPr>
                <w:szCs w:val="18"/>
              </w:rPr>
              <w:t xml:space="preserve"> (insomnia, headache, depression, </w:t>
            </w:r>
            <w:r>
              <w:rPr>
                <w:szCs w:val="18"/>
              </w:rPr>
              <w:t>S</w:t>
            </w:r>
            <w:r w:rsidRPr="00E320E0">
              <w:rPr>
                <w:szCs w:val="18"/>
              </w:rPr>
              <w:t>AEs incl</w:t>
            </w:r>
            <w:r>
              <w:rPr>
                <w:szCs w:val="18"/>
              </w:rPr>
              <w:t>uding</w:t>
            </w:r>
            <w:r w:rsidRPr="00E320E0">
              <w:rPr>
                <w:szCs w:val="18"/>
              </w:rPr>
              <w:t xml:space="preserve"> cardiac)</w:t>
            </w:r>
            <w:r>
              <w:rPr>
                <w:szCs w:val="18"/>
              </w:rPr>
              <w:t>.</w:t>
            </w:r>
          </w:p>
        </w:tc>
      </w:tr>
    </w:tbl>
    <w:p w:rsidR="00C324F3" w:rsidRDefault="00C324F3" w:rsidP="00C324F3">
      <w:pPr>
        <w:pStyle w:val="TableFooter"/>
        <w:keepNext/>
      </w:pPr>
      <w:r>
        <w:t>Abbreviations: AEs = adverse events; RR = risk ratio, RD = risk difference; SAEs = serious adverse events.</w:t>
      </w:r>
    </w:p>
    <w:p w:rsidR="00C324F3" w:rsidRDefault="00C324F3" w:rsidP="00C324F3">
      <w:pPr>
        <w:pStyle w:val="TableFooter"/>
        <w:keepNext/>
      </w:pPr>
      <w:r w:rsidRPr="00BE36E8">
        <w:t xml:space="preserve">Notes: </w:t>
      </w:r>
    </w:p>
    <w:p w:rsidR="00C324F3" w:rsidRDefault="00C324F3" w:rsidP="00C324F3">
      <w:pPr>
        <w:pStyle w:val="TableFooter"/>
        <w:keepNext/>
      </w:pPr>
      <w:r w:rsidRPr="00BE36E8">
        <w:t>1 Cochrane Review</w:t>
      </w:r>
      <w:r>
        <w:t>.</w:t>
      </w:r>
    </w:p>
    <w:p w:rsidR="00C324F3" w:rsidRPr="00FF3B9B" w:rsidRDefault="00C324F3" w:rsidP="00C324F3">
      <w:pPr>
        <w:pStyle w:val="TableFooter"/>
        <w:keepNext/>
      </w:pPr>
      <w:r>
        <w:t>2 Supplemental evidence (RCT).</w:t>
      </w:r>
    </w:p>
    <w:p w:rsidR="00C324F3" w:rsidRPr="005C60FE" w:rsidRDefault="00C324F3" w:rsidP="00C324F3">
      <w:pPr>
        <w:rPr>
          <w:b/>
          <w:bCs/>
        </w:rPr>
      </w:pPr>
      <w:r w:rsidRPr="003B2E85">
        <w:rPr>
          <w:b/>
          <w:bCs/>
        </w:rPr>
        <w:t>N</w:t>
      </w:r>
      <w:r>
        <w:rPr>
          <w:b/>
          <w:bCs/>
        </w:rPr>
        <w:t xml:space="preserve">icotine </w:t>
      </w:r>
      <w:r w:rsidRPr="003B2E85">
        <w:rPr>
          <w:b/>
          <w:bCs/>
        </w:rPr>
        <w:t>R</w:t>
      </w:r>
      <w:r>
        <w:rPr>
          <w:b/>
          <w:bCs/>
        </w:rPr>
        <w:t xml:space="preserve">eplacement </w:t>
      </w:r>
      <w:r w:rsidRPr="003B2E85">
        <w:rPr>
          <w:b/>
          <w:bCs/>
        </w:rPr>
        <w:t>T</w:t>
      </w:r>
      <w:r>
        <w:rPr>
          <w:b/>
          <w:bCs/>
        </w:rPr>
        <w:t>herapy</w:t>
      </w:r>
    </w:p>
    <w:p w:rsidR="00C324F3" w:rsidRPr="001B6663" w:rsidRDefault="00C324F3" w:rsidP="00C324F3">
      <w:r w:rsidRPr="001B6663">
        <w:t>Treatment-naïve population</w:t>
      </w:r>
    </w:p>
    <w:p w:rsidR="00C324F3" w:rsidRPr="007D7171" w:rsidRDefault="00C324F3" w:rsidP="00C324F3">
      <w:pPr>
        <w:pStyle w:val="ListParagraph"/>
        <w:numPr>
          <w:ilvl w:val="0"/>
          <w:numId w:val="273"/>
        </w:numPr>
      </w:pPr>
      <w:r w:rsidRPr="001B6663">
        <w:t>NRT patch</w:t>
      </w:r>
      <w:r>
        <w:t>es</w:t>
      </w:r>
      <w:r w:rsidRPr="001B6663">
        <w:t xml:space="preserve"> w</w:t>
      </w:r>
      <w:r>
        <w:t>ere</w:t>
      </w:r>
      <w:r w:rsidRPr="001B6663">
        <w:t xml:space="preserve"> shown </w:t>
      </w:r>
      <w:r w:rsidRPr="00AD3824">
        <w:t xml:space="preserve">to </w:t>
      </w:r>
      <w:r>
        <w:t>be superior to placebo in terms of efficacy</w:t>
      </w:r>
      <w:r w:rsidRPr="001B6663">
        <w:t xml:space="preserve">, noting that similar results were observed for </w:t>
      </w:r>
      <w:r w:rsidRPr="003B2E85">
        <w:t>NRT gum or lozenges</w:t>
      </w:r>
      <w:r>
        <w:t xml:space="preserve"> (as monotherapy)</w:t>
      </w:r>
      <w:r w:rsidRPr="003B2E85">
        <w:t xml:space="preserve"> versus placebo. </w:t>
      </w:r>
      <w:r w:rsidRPr="007D7171">
        <w:t xml:space="preserve">There </w:t>
      </w:r>
      <w:r w:rsidRPr="001B6663">
        <w:t>w</w:t>
      </w:r>
      <w:r>
        <w:t>as</w:t>
      </w:r>
      <w:r w:rsidRPr="007D7171">
        <w:t xml:space="preserve"> </w:t>
      </w:r>
      <w:r>
        <w:t xml:space="preserve">a </w:t>
      </w:r>
      <w:r w:rsidRPr="007D7171">
        <w:t xml:space="preserve">significantly higher incidence of palpitations, </w:t>
      </w:r>
      <w:r>
        <w:t>t</w:t>
      </w:r>
      <w:r w:rsidRPr="007D7171">
        <w:t xml:space="preserve">achycardia or chest pains with NRT (various formulations) compared with placebo. This is consistent with the evidence previously considered by the PBAC. </w:t>
      </w:r>
    </w:p>
    <w:p w:rsidR="00C324F3" w:rsidRDefault="00C324F3" w:rsidP="00C324F3">
      <w:pPr>
        <w:pStyle w:val="ListParagraph"/>
        <w:numPr>
          <w:ilvl w:val="0"/>
          <w:numId w:val="273"/>
        </w:numPr>
      </w:pPr>
      <w:r w:rsidRPr="00440406">
        <w:t>NRT patch</w:t>
      </w:r>
      <w:r>
        <w:t>es</w:t>
      </w:r>
      <w:r w:rsidRPr="00440406">
        <w:t xml:space="preserve"> w</w:t>
      </w:r>
      <w:r>
        <w:t>ere</w:t>
      </w:r>
      <w:r w:rsidRPr="00440406">
        <w:t xml:space="preserve"> shown to be inferior to varenicline in terms of efficacy </w:t>
      </w:r>
      <w:r>
        <w:t xml:space="preserve">based on </w:t>
      </w:r>
      <w:r w:rsidRPr="00440406">
        <w:t>a statistically significant difference in point prevalence abstinence at 24 weeks, in favour of varenicline</w:t>
      </w:r>
      <w:r>
        <w:t>.</w:t>
      </w:r>
      <w:r w:rsidRPr="00440406">
        <w:t xml:space="preserve"> </w:t>
      </w:r>
      <w:r>
        <w:t xml:space="preserve">In terms of safety, </w:t>
      </w:r>
      <w:r w:rsidRPr="00440406">
        <w:t>there were no statistically significant differences in side effects (including neuropsychiatric and cardiovascular safety profile) between the two treatment arms. This is consistent with the evidence previously considered by the PBAC.</w:t>
      </w:r>
    </w:p>
    <w:p w:rsidR="00C324F3" w:rsidRDefault="00C324F3" w:rsidP="00C324F3">
      <w:pPr>
        <w:pStyle w:val="ListParagraph"/>
        <w:numPr>
          <w:ilvl w:val="0"/>
          <w:numId w:val="273"/>
        </w:numPr>
      </w:pPr>
      <w:r>
        <w:t>N</w:t>
      </w:r>
      <w:r w:rsidRPr="001268B2">
        <w:t xml:space="preserve">o statistically significant differences in smoking cessation rates, serious adverse events and withdrawals due to treatment </w:t>
      </w:r>
      <w:r>
        <w:t xml:space="preserve">were shown between </w:t>
      </w:r>
      <w:r w:rsidRPr="001268B2">
        <w:t>NRT lozenge</w:t>
      </w:r>
      <w:r>
        <w:t>s</w:t>
      </w:r>
      <w:r w:rsidRPr="001268B2">
        <w:t xml:space="preserve"> or </w:t>
      </w:r>
      <w:r>
        <w:t>gum and</w:t>
      </w:r>
      <w:r w:rsidRPr="001268B2">
        <w:t xml:space="preserve"> NRT </w:t>
      </w:r>
      <w:r>
        <w:lastRenderedPageBreak/>
        <w:t>patches</w:t>
      </w:r>
      <w:r w:rsidRPr="001268B2">
        <w:t xml:space="preserve">. This is </w:t>
      </w:r>
      <w:r>
        <w:t xml:space="preserve">largely based on, and thus is </w:t>
      </w:r>
      <w:r w:rsidRPr="001268B2">
        <w:t>consistent with the evidence previously considered by the PBAC</w:t>
      </w:r>
      <w:r>
        <w:t xml:space="preserve"> to support non-inferiority</w:t>
      </w:r>
      <w:r w:rsidRPr="001268B2">
        <w:t>.</w:t>
      </w:r>
    </w:p>
    <w:tbl>
      <w:tblPr>
        <w:tblStyle w:val="TableGrid3"/>
        <w:tblW w:w="5000" w:type="pct"/>
        <w:shd w:val="clear" w:color="auto" w:fill="F2F2F2" w:themeFill="background1" w:themeFillShade="F2"/>
        <w:tblLook w:val="04A0" w:firstRow="1" w:lastRow="0" w:firstColumn="1" w:lastColumn="0" w:noHBand="0" w:noVBand="1"/>
      </w:tblPr>
      <w:tblGrid>
        <w:gridCol w:w="2784"/>
        <w:gridCol w:w="2341"/>
        <w:gridCol w:w="3891"/>
      </w:tblGrid>
      <w:tr w:rsidR="00C324F3" w:rsidRPr="00916516" w:rsidTr="00777459">
        <w:trPr>
          <w:trHeight w:val="67"/>
        </w:trPr>
        <w:tc>
          <w:tcPr>
            <w:tcW w:w="1544" w:type="pct"/>
            <w:shd w:val="clear" w:color="auto" w:fill="F2F2F2" w:themeFill="background1" w:themeFillShade="F2"/>
            <w:hideMark/>
          </w:tcPr>
          <w:p w:rsidR="00C324F3" w:rsidRPr="00916516" w:rsidRDefault="00C324F3" w:rsidP="00777459">
            <w:pPr>
              <w:spacing w:after="200"/>
              <w:rPr>
                <w:szCs w:val="18"/>
              </w:rPr>
            </w:pPr>
            <w:r w:rsidRPr="00916516">
              <w:rPr>
                <w:b/>
                <w:bCs/>
                <w:szCs w:val="18"/>
              </w:rPr>
              <w:t>Compar</w:t>
            </w:r>
            <w:r>
              <w:rPr>
                <w:b/>
                <w:bCs/>
                <w:szCs w:val="18"/>
              </w:rPr>
              <w:t>ison</w:t>
            </w:r>
          </w:p>
        </w:tc>
        <w:tc>
          <w:tcPr>
            <w:tcW w:w="1298" w:type="pct"/>
            <w:shd w:val="clear" w:color="auto" w:fill="F2F2F2" w:themeFill="background1" w:themeFillShade="F2"/>
            <w:hideMark/>
          </w:tcPr>
          <w:p w:rsidR="00C324F3" w:rsidRPr="00916516" w:rsidRDefault="00C324F3" w:rsidP="00777459">
            <w:pPr>
              <w:spacing w:after="200"/>
              <w:jc w:val="center"/>
              <w:rPr>
                <w:szCs w:val="18"/>
              </w:rPr>
            </w:pPr>
            <w:r>
              <w:rPr>
                <w:b/>
                <w:bCs/>
                <w:szCs w:val="18"/>
              </w:rPr>
              <w:t>Included studies</w:t>
            </w:r>
          </w:p>
        </w:tc>
        <w:tc>
          <w:tcPr>
            <w:tcW w:w="2158" w:type="pct"/>
            <w:shd w:val="clear" w:color="auto" w:fill="F2F2F2" w:themeFill="background1" w:themeFillShade="F2"/>
            <w:hideMark/>
          </w:tcPr>
          <w:p w:rsidR="00C324F3" w:rsidRPr="00916516" w:rsidRDefault="00C324F3" w:rsidP="00777459">
            <w:pPr>
              <w:spacing w:after="200"/>
              <w:jc w:val="center"/>
              <w:rPr>
                <w:szCs w:val="18"/>
              </w:rPr>
            </w:pPr>
            <w:r>
              <w:rPr>
                <w:b/>
                <w:bCs/>
                <w:szCs w:val="18"/>
              </w:rPr>
              <w:t>Summary of evidence</w:t>
            </w:r>
          </w:p>
        </w:tc>
      </w:tr>
      <w:tr w:rsidR="00C324F3" w:rsidRPr="00916516" w:rsidTr="00777459">
        <w:trPr>
          <w:trHeight w:val="260"/>
        </w:trPr>
        <w:tc>
          <w:tcPr>
            <w:tcW w:w="5000" w:type="pct"/>
            <w:gridSpan w:val="3"/>
            <w:shd w:val="clear" w:color="auto" w:fill="F2F2F2" w:themeFill="background1" w:themeFillShade="F2"/>
            <w:hideMark/>
          </w:tcPr>
          <w:p w:rsidR="00C324F3" w:rsidRPr="00916516" w:rsidRDefault="00C324F3" w:rsidP="00777459">
            <w:pPr>
              <w:tabs>
                <w:tab w:val="left" w:pos="3037"/>
              </w:tabs>
              <w:rPr>
                <w:szCs w:val="18"/>
              </w:rPr>
            </w:pPr>
            <w:r w:rsidRPr="00916516">
              <w:rPr>
                <w:b/>
                <w:bCs/>
                <w:szCs w:val="18"/>
              </w:rPr>
              <w:t>Treatment-naïve populatio</w:t>
            </w:r>
            <w:r>
              <w:rPr>
                <w:b/>
                <w:bCs/>
                <w:szCs w:val="18"/>
              </w:rPr>
              <w:t>n</w:t>
            </w:r>
          </w:p>
        </w:tc>
      </w:tr>
      <w:tr w:rsidR="00C324F3" w:rsidRPr="0063070A" w:rsidTr="00777459">
        <w:trPr>
          <w:trHeight w:val="345"/>
        </w:trPr>
        <w:tc>
          <w:tcPr>
            <w:tcW w:w="1544" w:type="pct"/>
            <w:shd w:val="clear" w:color="auto" w:fill="F2F2F2" w:themeFill="background1" w:themeFillShade="F2"/>
            <w:hideMark/>
          </w:tcPr>
          <w:p w:rsidR="00C324F3" w:rsidRPr="00360862" w:rsidRDefault="00C324F3" w:rsidP="00777459">
            <w:pPr>
              <w:spacing w:after="200"/>
              <w:rPr>
                <w:szCs w:val="18"/>
              </w:rPr>
            </w:pPr>
            <w:r w:rsidRPr="00360862">
              <w:rPr>
                <w:szCs w:val="18"/>
              </w:rPr>
              <w:t>NRT (patch, gum or lozenge) vs placebo</w:t>
            </w:r>
          </w:p>
        </w:tc>
        <w:tc>
          <w:tcPr>
            <w:tcW w:w="1298" w:type="pct"/>
            <w:shd w:val="clear" w:color="auto" w:fill="F2F2F2" w:themeFill="background1" w:themeFillShade="F2"/>
            <w:hideMark/>
          </w:tcPr>
          <w:p w:rsidR="00C324F3" w:rsidRPr="0063070A" w:rsidRDefault="00C324F3" w:rsidP="00C324F3">
            <w:pPr>
              <w:pStyle w:val="ListParagraph"/>
              <w:numPr>
                <w:ilvl w:val="0"/>
                <w:numId w:val="318"/>
              </w:numPr>
              <w:rPr>
                <w:szCs w:val="18"/>
              </w:rPr>
            </w:pPr>
            <w:r w:rsidRPr="0063070A">
              <w:rPr>
                <w:szCs w:val="18"/>
              </w:rPr>
              <w:t xml:space="preserve">Hartmann-Boyce </w:t>
            </w:r>
          </w:p>
          <w:p w:rsidR="00C324F3" w:rsidRDefault="00C324F3" w:rsidP="00777459">
            <w:pPr>
              <w:spacing w:after="200"/>
              <w:ind w:left="360"/>
              <w:rPr>
                <w:szCs w:val="18"/>
              </w:rPr>
            </w:pPr>
            <w:r w:rsidRPr="0063070A">
              <w:rPr>
                <w:szCs w:val="18"/>
              </w:rPr>
              <w:t>(2018)</w:t>
            </w:r>
            <w:r w:rsidRPr="0063070A">
              <w:rPr>
                <w:szCs w:val="18"/>
                <w:vertAlign w:val="superscript"/>
              </w:rPr>
              <w:t>1</w:t>
            </w:r>
          </w:p>
          <w:p w:rsidR="00C324F3" w:rsidRPr="0063070A" w:rsidRDefault="00C324F3" w:rsidP="00C324F3">
            <w:pPr>
              <w:pStyle w:val="ListParagraph"/>
              <w:numPr>
                <w:ilvl w:val="0"/>
                <w:numId w:val="318"/>
              </w:numPr>
              <w:rPr>
                <w:szCs w:val="18"/>
              </w:rPr>
            </w:pPr>
            <w:r w:rsidRPr="0063070A">
              <w:rPr>
                <w:szCs w:val="18"/>
              </w:rPr>
              <w:t xml:space="preserve">Benowitz </w:t>
            </w:r>
          </w:p>
          <w:p w:rsidR="00C324F3" w:rsidRPr="00916516" w:rsidRDefault="00C324F3" w:rsidP="00777459">
            <w:pPr>
              <w:spacing w:after="200"/>
              <w:ind w:left="360"/>
              <w:rPr>
                <w:szCs w:val="18"/>
              </w:rPr>
            </w:pPr>
            <w:r w:rsidRPr="0063070A">
              <w:rPr>
                <w:szCs w:val="18"/>
              </w:rPr>
              <w:t>(2018)</w:t>
            </w:r>
            <w:r w:rsidRPr="0063070A">
              <w:rPr>
                <w:szCs w:val="18"/>
                <w:vertAlign w:val="superscript"/>
              </w:rPr>
              <w:t>2</w:t>
            </w:r>
          </w:p>
        </w:tc>
        <w:tc>
          <w:tcPr>
            <w:tcW w:w="2158" w:type="pct"/>
            <w:shd w:val="clear" w:color="auto" w:fill="F2F2F2" w:themeFill="background1" w:themeFillShade="F2"/>
            <w:hideMark/>
          </w:tcPr>
          <w:p w:rsidR="00C324F3" w:rsidRPr="0063070A" w:rsidRDefault="00C324F3" w:rsidP="00C324F3">
            <w:pPr>
              <w:pStyle w:val="ListParagraph"/>
              <w:numPr>
                <w:ilvl w:val="0"/>
                <w:numId w:val="317"/>
              </w:numPr>
              <w:rPr>
                <w:szCs w:val="18"/>
              </w:rPr>
            </w:pPr>
            <w:r w:rsidRPr="00360862">
              <w:rPr>
                <w:szCs w:val="18"/>
                <w:u w:val="single"/>
              </w:rPr>
              <w:t>Efficacy</w:t>
            </w:r>
            <w:r w:rsidRPr="00360862">
              <w:rPr>
                <w:szCs w:val="18"/>
              </w:rPr>
              <w:t>: Statistically significant</w:t>
            </w:r>
            <w:r>
              <w:rPr>
                <w:szCs w:val="18"/>
              </w:rPr>
              <w:t xml:space="preserve"> based on RR and RD </w:t>
            </w:r>
            <w:r w:rsidRPr="0063070A">
              <w:rPr>
                <w:szCs w:val="18"/>
              </w:rPr>
              <w:t>(in favour of NRT)</w:t>
            </w:r>
            <w:r>
              <w:rPr>
                <w:szCs w:val="18"/>
              </w:rPr>
              <w:t>.</w:t>
            </w:r>
          </w:p>
          <w:p w:rsidR="00C324F3" w:rsidRPr="0063070A" w:rsidRDefault="00C324F3" w:rsidP="00C324F3">
            <w:pPr>
              <w:pStyle w:val="ListParagraph"/>
              <w:numPr>
                <w:ilvl w:val="0"/>
                <w:numId w:val="317"/>
              </w:numPr>
              <w:rPr>
                <w:szCs w:val="18"/>
              </w:rPr>
            </w:pPr>
            <w:r w:rsidRPr="00360862">
              <w:rPr>
                <w:szCs w:val="18"/>
                <w:u w:val="single"/>
              </w:rPr>
              <w:t>Safety:</w:t>
            </w:r>
            <w:r w:rsidRPr="00360862">
              <w:rPr>
                <w:szCs w:val="18"/>
              </w:rPr>
              <w:t xml:space="preserve"> Statistically significant</w:t>
            </w:r>
            <w:r>
              <w:rPr>
                <w:szCs w:val="18"/>
              </w:rPr>
              <w:t xml:space="preserve"> based on OR </w:t>
            </w:r>
            <w:r w:rsidRPr="0063070A">
              <w:rPr>
                <w:szCs w:val="18"/>
              </w:rPr>
              <w:t>(palpitations, tachycardia, chest pains; higher in NRT)</w:t>
            </w:r>
            <w:r>
              <w:rPr>
                <w:szCs w:val="18"/>
              </w:rPr>
              <w:t>.</w:t>
            </w:r>
          </w:p>
        </w:tc>
      </w:tr>
      <w:tr w:rsidR="00C324F3" w:rsidRPr="00360862" w:rsidTr="00777459">
        <w:trPr>
          <w:trHeight w:val="617"/>
        </w:trPr>
        <w:tc>
          <w:tcPr>
            <w:tcW w:w="1544" w:type="pct"/>
            <w:shd w:val="clear" w:color="auto" w:fill="F2F2F2" w:themeFill="background1" w:themeFillShade="F2"/>
            <w:hideMark/>
          </w:tcPr>
          <w:p w:rsidR="00C324F3" w:rsidRPr="00360862" w:rsidRDefault="00C324F3" w:rsidP="00777459">
            <w:pPr>
              <w:spacing w:after="200"/>
              <w:rPr>
                <w:szCs w:val="18"/>
              </w:rPr>
            </w:pPr>
            <w:r w:rsidRPr="00360862">
              <w:rPr>
                <w:rFonts w:eastAsia="Calibri"/>
                <w:szCs w:val="18"/>
              </w:rPr>
              <w:t>NRT patch vs v</w:t>
            </w:r>
            <w:r w:rsidRPr="00360862">
              <w:rPr>
                <w:szCs w:val="18"/>
              </w:rPr>
              <w:t>arenicline</w:t>
            </w:r>
          </w:p>
        </w:tc>
        <w:tc>
          <w:tcPr>
            <w:tcW w:w="1298" w:type="pct"/>
            <w:shd w:val="clear" w:color="auto" w:fill="F2F2F2" w:themeFill="background1" w:themeFillShade="F2"/>
            <w:hideMark/>
          </w:tcPr>
          <w:p w:rsidR="00C324F3" w:rsidRDefault="00C324F3" w:rsidP="00C324F3">
            <w:pPr>
              <w:pStyle w:val="ListParagraph"/>
              <w:numPr>
                <w:ilvl w:val="0"/>
                <w:numId w:val="319"/>
              </w:numPr>
              <w:rPr>
                <w:szCs w:val="18"/>
              </w:rPr>
            </w:pPr>
            <w:r w:rsidRPr="006C1DAD">
              <w:rPr>
                <w:szCs w:val="18"/>
              </w:rPr>
              <w:t>Cahill (2016)</w:t>
            </w:r>
            <w:r w:rsidRPr="006C1DAD">
              <w:rPr>
                <w:szCs w:val="18"/>
                <w:vertAlign w:val="superscript"/>
              </w:rPr>
              <w:t>1</w:t>
            </w:r>
          </w:p>
          <w:p w:rsidR="00C324F3" w:rsidRDefault="00C324F3" w:rsidP="00C324F3">
            <w:pPr>
              <w:pStyle w:val="ListParagraph"/>
              <w:numPr>
                <w:ilvl w:val="0"/>
                <w:numId w:val="319"/>
              </w:numPr>
              <w:rPr>
                <w:szCs w:val="18"/>
              </w:rPr>
            </w:pPr>
            <w:r w:rsidRPr="006C1DAD">
              <w:rPr>
                <w:szCs w:val="18"/>
              </w:rPr>
              <w:t>Lerman (2015)</w:t>
            </w:r>
            <w:r w:rsidRPr="006C1DAD">
              <w:rPr>
                <w:szCs w:val="18"/>
                <w:vertAlign w:val="superscript"/>
              </w:rPr>
              <w:t>2</w:t>
            </w:r>
          </w:p>
          <w:p w:rsidR="00C324F3" w:rsidRDefault="00C324F3" w:rsidP="00C324F3">
            <w:pPr>
              <w:pStyle w:val="ListParagraph"/>
              <w:numPr>
                <w:ilvl w:val="0"/>
                <w:numId w:val="319"/>
              </w:numPr>
              <w:rPr>
                <w:szCs w:val="18"/>
              </w:rPr>
            </w:pPr>
            <w:r w:rsidRPr="006C1DAD">
              <w:rPr>
                <w:szCs w:val="18"/>
              </w:rPr>
              <w:t>Tulloch (2016)</w:t>
            </w:r>
            <w:r w:rsidRPr="006C1DAD">
              <w:rPr>
                <w:szCs w:val="18"/>
                <w:vertAlign w:val="superscript"/>
              </w:rPr>
              <w:t>2</w:t>
            </w:r>
          </w:p>
          <w:p w:rsidR="00C324F3" w:rsidRPr="006C1DAD" w:rsidRDefault="00C324F3" w:rsidP="00C324F3">
            <w:pPr>
              <w:pStyle w:val="ListParagraph"/>
              <w:numPr>
                <w:ilvl w:val="0"/>
                <w:numId w:val="319"/>
              </w:numPr>
              <w:rPr>
                <w:szCs w:val="18"/>
              </w:rPr>
            </w:pPr>
            <w:r w:rsidRPr="006C1DAD">
              <w:rPr>
                <w:rFonts w:eastAsia="MS Mincho"/>
              </w:rPr>
              <w:t>Rohsenow (2017)</w:t>
            </w:r>
            <w:r w:rsidRPr="006C1DAD">
              <w:rPr>
                <w:rFonts w:eastAsia="MS Mincho"/>
                <w:vertAlign w:val="superscript"/>
              </w:rPr>
              <w:t>2</w:t>
            </w:r>
          </w:p>
          <w:p w:rsidR="00C324F3" w:rsidRPr="006C1DAD" w:rsidRDefault="00C324F3" w:rsidP="00C324F3">
            <w:pPr>
              <w:pStyle w:val="ListParagraph"/>
              <w:numPr>
                <w:ilvl w:val="0"/>
                <w:numId w:val="319"/>
              </w:numPr>
              <w:rPr>
                <w:szCs w:val="18"/>
              </w:rPr>
            </w:pPr>
            <w:r w:rsidRPr="006C1DAD">
              <w:rPr>
                <w:rFonts w:eastAsia="MS Mincho"/>
              </w:rPr>
              <w:t>Benowitz (2018)</w:t>
            </w:r>
            <w:r w:rsidRPr="006C1DAD">
              <w:rPr>
                <w:rFonts w:eastAsia="MS Mincho"/>
                <w:vertAlign w:val="superscript"/>
              </w:rPr>
              <w:t>2</w:t>
            </w:r>
          </w:p>
        </w:tc>
        <w:tc>
          <w:tcPr>
            <w:tcW w:w="2158" w:type="pct"/>
            <w:shd w:val="clear" w:color="auto" w:fill="F2F2F2" w:themeFill="background1" w:themeFillShade="F2"/>
            <w:hideMark/>
          </w:tcPr>
          <w:p w:rsidR="00C324F3" w:rsidRPr="006C1DAD" w:rsidRDefault="00C324F3" w:rsidP="00C324F3">
            <w:pPr>
              <w:pStyle w:val="ListParagraph"/>
              <w:numPr>
                <w:ilvl w:val="0"/>
                <w:numId w:val="317"/>
              </w:numPr>
              <w:rPr>
                <w:szCs w:val="18"/>
              </w:rPr>
            </w:pPr>
            <w:r w:rsidRPr="00360862">
              <w:rPr>
                <w:szCs w:val="18"/>
                <w:u w:val="single"/>
              </w:rPr>
              <w:t>Efficacy</w:t>
            </w:r>
            <w:r w:rsidRPr="00360862">
              <w:rPr>
                <w:szCs w:val="18"/>
              </w:rPr>
              <w:t>: Statistically significant</w:t>
            </w:r>
            <w:r>
              <w:rPr>
                <w:szCs w:val="18"/>
              </w:rPr>
              <w:t xml:space="preserve"> based on RR and RD </w:t>
            </w:r>
            <w:r w:rsidRPr="006C1DAD">
              <w:rPr>
                <w:szCs w:val="18"/>
              </w:rPr>
              <w:t>(in favour of varenicline)</w:t>
            </w:r>
            <w:r>
              <w:rPr>
                <w:szCs w:val="18"/>
              </w:rPr>
              <w:t>.</w:t>
            </w:r>
          </w:p>
          <w:p w:rsidR="00C324F3" w:rsidRPr="00360862" w:rsidRDefault="00C324F3" w:rsidP="00C324F3">
            <w:pPr>
              <w:pStyle w:val="ListParagraph"/>
              <w:numPr>
                <w:ilvl w:val="0"/>
                <w:numId w:val="317"/>
              </w:numPr>
              <w:rPr>
                <w:szCs w:val="18"/>
              </w:rPr>
            </w:pPr>
            <w:r w:rsidRPr="00360862">
              <w:rPr>
                <w:szCs w:val="18"/>
                <w:u w:val="single"/>
              </w:rPr>
              <w:t>Safety:</w:t>
            </w:r>
            <w:r w:rsidRPr="00360862">
              <w:rPr>
                <w:szCs w:val="18"/>
              </w:rPr>
              <w:t xml:space="preserve"> Not statistically significant</w:t>
            </w:r>
            <w:r>
              <w:rPr>
                <w:szCs w:val="18"/>
              </w:rPr>
              <w:t xml:space="preserve"> </w:t>
            </w:r>
            <w:r w:rsidRPr="00360862">
              <w:rPr>
                <w:szCs w:val="18"/>
              </w:rPr>
              <w:t>(AEs incl. neuropsychiatric and cardiovascular safety)</w:t>
            </w:r>
            <w:r>
              <w:rPr>
                <w:szCs w:val="18"/>
                <w:vertAlign w:val="superscript"/>
              </w:rPr>
              <w:t>3</w:t>
            </w:r>
            <w:r>
              <w:rPr>
                <w:szCs w:val="18"/>
              </w:rPr>
              <w:t>.</w:t>
            </w:r>
            <w:r w:rsidRPr="00360862">
              <w:rPr>
                <w:szCs w:val="18"/>
              </w:rPr>
              <w:t> </w:t>
            </w:r>
          </w:p>
        </w:tc>
      </w:tr>
      <w:tr w:rsidR="00C324F3" w:rsidRPr="00360862" w:rsidTr="00777459">
        <w:trPr>
          <w:trHeight w:val="523"/>
        </w:trPr>
        <w:tc>
          <w:tcPr>
            <w:tcW w:w="1544" w:type="pct"/>
            <w:shd w:val="clear" w:color="auto" w:fill="F2F2F2" w:themeFill="background1" w:themeFillShade="F2"/>
            <w:hideMark/>
          </w:tcPr>
          <w:p w:rsidR="00C324F3" w:rsidRPr="00360862" w:rsidRDefault="00C324F3" w:rsidP="00777459">
            <w:pPr>
              <w:spacing w:after="200"/>
              <w:rPr>
                <w:szCs w:val="18"/>
              </w:rPr>
            </w:pPr>
            <w:r w:rsidRPr="00360862">
              <w:rPr>
                <w:rFonts w:eastAsia="Calibri"/>
                <w:szCs w:val="18"/>
              </w:rPr>
              <w:t xml:space="preserve">NRT (gum or lozenge) vs </w:t>
            </w:r>
            <w:r w:rsidRPr="00360862">
              <w:rPr>
                <w:szCs w:val="18"/>
              </w:rPr>
              <w:t>NRT patch</w:t>
            </w:r>
          </w:p>
        </w:tc>
        <w:tc>
          <w:tcPr>
            <w:tcW w:w="1298" w:type="pct"/>
            <w:shd w:val="clear" w:color="auto" w:fill="F2F2F2" w:themeFill="background1" w:themeFillShade="F2"/>
            <w:hideMark/>
          </w:tcPr>
          <w:p w:rsidR="00C324F3" w:rsidRPr="006C1DAD" w:rsidRDefault="00C324F3" w:rsidP="00C324F3">
            <w:pPr>
              <w:pStyle w:val="ListParagraph"/>
              <w:numPr>
                <w:ilvl w:val="0"/>
                <w:numId w:val="320"/>
              </w:numPr>
              <w:rPr>
                <w:szCs w:val="18"/>
              </w:rPr>
            </w:pPr>
            <w:r w:rsidRPr="006C1DAD">
              <w:rPr>
                <w:szCs w:val="18"/>
              </w:rPr>
              <w:t>Lindson (2019)</w:t>
            </w:r>
            <w:r w:rsidRPr="006C1DAD">
              <w:rPr>
                <w:szCs w:val="18"/>
                <w:vertAlign w:val="superscript"/>
              </w:rPr>
              <w:t>1</w:t>
            </w:r>
          </w:p>
        </w:tc>
        <w:tc>
          <w:tcPr>
            <w:tcW w:w="2158" w:type="pct"/>
            <w:shd w:val="clear" w:color="auto" w:fill="F2F2F2" w:themeFill="background1" w:themeFillShade="F2"/>
            <w:hideMark/>
          </w:tcPr>
          <w:p w:rsidR="00C324F3" w:rsidRPr="00360862" w:rsidRDefault="00C324F3" w:rsidP="00C324F3">
            <w:pPr>
              <w:pStyle w:val="ListParagraph"/>
              <w:numPr>
                <w:ilvl w:val="0"/>
                <w:numId w:val="317"/>
              </w:numPr>
              <w:rPr>
                <w:szCs w:val="18"/>
              </w:rPr>
            </w:pPr>
            <w:r w:rsidRPr="00360862">
              <w:rPr>
                <w:szCs w:val="18"/>
                <w:u w:val="single"/>
              </w:rPr>
              <w:t>Efficacy:</w:t>
            </w:r>
            <w:r w:rsidRPr="00360862">
              <w:rPr>
                <w:szCs w:val="18"/>
              </w:rPr>
              <w:t xml:space="preserve"> Not statistically significant</w:t>
            </w:r>
            <w:r>
              <w:rPr>
                <w:szCs w:val="18"/>
              </w:rPr>
              <w:t xml:space="preserve"> based on RR.</w:t>
            </w:r>
          </w:p>
          <w:p w:rsidR="00C324F3" w:rsidRPr="00360862" w:rsidRDefault="00C324F3" w:rsidP="00C324F3">
            <w:pPr>
              <w:pStyle w:val="ListParagraph"/>
              <w:numPr>
                <w:ilvl w:val="0"/>
                <w:numId w:val="317"/>
              </w:numPr>
              <w:rPr>
                <w:szCs w:val="18"/>
              </w:rPr>
            </w:pPr>
            <w:r w:rsidRPr="00360862">
              <w:rPr>
                <w:szCs w:val="18"/>
                <w:u w:val="single"/>
              </w:rPr>
              <w:t>Safety</w:t>
            </w:r>
            <w:r w:rsidRPr="00360862">
              <w:rPr>
                <w:szCs w:val="18"/>
              </w:rPr>
              <w:t>: Not statistically significant</w:t>
            </w:r>
            <w:r>
              <w:rPr>
                <w:szCs w:val="18"/>
              </w:rPr>
              <w:t xml:space="preserve"> based on RR</w:t>
            </w:r>
            <w:r w:rsidRPr="00360862">
              <w:rPr>
                <w:szCs w:val="18"/>
              </w:rPr>
              <w:t xml:space="preserve"> (</w:t>
            </w:r>
            <w:r>
              <w:rPr>
                <w:szCs w:val="18"/>
              </w:rPr>
              <w:t>S</w:t>
            </w:r>
            <w:r w:rsidRPr="00360862">
              <w:rPr>
                <w:szCs w:val="18"/>
              </w:rPr>
              <w:t>AEs, withdrawal due to treatment)</w:t>
            </w:r>
            <w:r>
              <w:rPr>
                <w:szCs w:val="18"/>
              </w:rPr>
              <w:t>.</w:t>
            </w:r>
          </w:p>
        </w:tc>
      </w:tr>
    </w:tbl>
    <w:p w:rsidR="00C324F3" w:rsidRDefault="00C324F3" w:rsidP="00C324F3">
      <w:pPr>
        <w:pStyle w:val="TableFooter"/>
        <w:keepNext/>
      </w:pPr>
      <w:r>
        <w:t>Abbreviations: AEs = adverse events; NRT = nicotine replacement therapy; OR = odds ratio; RR = risk ratio, RD = risk difference; SAEs = serious adverse events.</w:t>
      </w:r>
    </w:p>
    <w:p w:rsidR="00C324F3" w:rsidRDefault="00C324F3" w:rsidP="00C324F3">
      <w:pPr>
        <w:pStyle w:val="TableFooter"/>
        <w:keepNext/>
      </w:pPr>
      <w:r w:rsidRPr="00BE36E8">
        <w:t xml:space="preserve">Notes: </w:t>
      </w:r>
    </w:p>
    <w:p w:rsidR="00C324F3" w:rsidRDefault="00C324F3" w:rsidP="00C324F3">
      <w:pPr>
        <w:pStyle w:val="TableFooter"/>
        <w:keepNext/>
      </w:pPr>
      <w:r w:rsidRPr="00BE36E8">
        <w:t>1 Cochrane Review</w:t>
      </w:r>
      <w:r>
        <w:t>.</w:t>
      </w:r>
    </w:p>
    <w:p w:rsidR="00C324F3" w:rsidRPr="00FD279D" w:rsidRDefault="00C324F3" w:rsidP="00C324F3">
      <w:pPr>
        <w:pStyle w:val="TableFooter"/>
        <w:keepNext/>
      </w:pPr>
      <w:r>
        <w:t>2 Supplemental evidence (RCT).</w:t>
      </w:r>
    </w:p>
    <w:p w:rsidR="00C324F3" w:rsidRPr="00FD279D" w:rsidRDefault="00C324F3" w:rsidP="00C324F3">
      <w:pPr>
        <w:pStyle w:val="TableFooter"/>
        <w:keepNext/>
      </w:pPr>
      <w:r>
        <w:t>3 Qualitative synthesis.</w:t>
      </w:r>
    </w:p>
    <w:p w:rsidR="00C324F3" w:rsidRPr="007F3B6D" w:rsidRDefault="00C324F3" w:rsidP="00C324F3">
      <w:r w:rsidRPr="007F3B6D">
        <w:t>Treatment-experienced population</w:t>
      </w:r>
    </w:p>
    <w:p w:rsidR="00C324F3" w:rsidRDefault="00C324F3" w:rsidP="00C324F3">
      <w:pPr>
        <w:pStyle w:val="ListParagraph"/>
        <w:numPr>
          <w:ilvl w:val="0"/>
          <w:numId w:val="274"/>
        </w:numPr>
      </w:pPr>
      <w:r w:rsidRPr="007F3B6D">
        <w:t xml:space="preserve">NRT </w:t>
      </w:r>
      <w:r>
        <w:t>has not previously been considered by the PBAC for treatment-experienced patients.</w:t>
      </w:r>
    </w:p>
    <w:p w:rsidR="00C324F3" w:rsidRDefault="00C324F3" w:rsidP="00C324F3">
      <w:pPr>
        <w:pStyle w:val="ListParagraph"/>
        <w:numPr>
          <w:ilvl w:val="0"/>
          <w:numId w:val="274"/>
        </w:numPr>
      </w:pPr>
      <w:r>
        <w:t xml:space="preserve">There were no statistically significant differences between </w:t>
      </w:r>
      <w:r w:rsidRPr="007F3B6D">
        <w:t xml:space="preserve">NRT </w:t>
      </w:r>
      <w:r>
        <w:t>(either as gum or inhaler)</w:t>
      </w:r>
      <w:r w:rsidRPr="007F3B6D">
        <w:t xml:space="preserve"> </w:t>
      </w:r>
      <w:r>
        <w:t>and</w:t>
      </w:r>
      <w:r w:rsidRPr="007F3B6D">
        <w:t xml:space="preserve"> placebo in terms of efficacy as a relapse prevention treatment in abstainers.</w:t>
      </w:r>
      <w:r w:rsidRPr="001810E2">
        <w:t xml:space="preserve"> The adverse events reported were consistent with those expected of </w:t>
      </w:r>
      <w:r>
        <w:t>NRT</w:t>
      </w:r>
      <w:r w:rsidRPr="00663D67">
        <w:t>.</w:t>
      </w:r>
      <w:r w:rsidRPr="00280BDB">
        <w:t xml:space="preserve"> No evidence was identified comparing NRT monotherapy (either as patch, gum or lozenge) with placebo in patients who achieved abstinence after initial treatment with NRT monotherapy using the same formulation.</w:t>
      </w:r>
    </w:p>
    <w:p w:rsidR="003C4A1C" w:rsidRDefault="00C324F3" w:rsidP="00C324F3">
      <w:pPr>
        <w:pStyle w:val="ListParagraph"/>
        <w:numPr>
          <w:ilvl w:val="0"/>
          <w:numId w:val="274"/>
        </w:numPr>
      </w:pPr>
      <w:r w:rsidRPr="00455537">
        <w:t>The results of Gourlay et al. (1995), based on continuous abstinence rate, demonstrated no statistically significant difference between NRT patches and placebo in non-abstainers as retreatment at 6 months. However, there was a statistically significant improvement in smoking cessation rates using NRT patches based on 28-day point prevalence abstinence (RR: 2.49; 95% CI: 1.11, 5.57) at this point in the study by Gourlay et al. (1995) only. In terms of safety, there were no statistically significant differences between the two treatment arms for palpitations, tachycardia or chest pains. It was noted that the quit rates were low in both groups with either definition of abstinence. In terms of safety, there were no statistically significant differences between the two treatment arms for palpitations, tachycardia or chest pains.</w:t>
      </w:r>
    </w:p>
    <w:p w:rsidR="00C324F3" w:rsidRDefault="003C4A1C" w:rsidP="003C4A1C">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2336"/>
        <w:gridCol w:w="2699"/>
        <w:gridCol w:w="3981"/>
      </w:tblGrid>
      <w:tr w:rsidR="00C324F3" w:rsidRPr="00916516" w:rsidTr="00777459">
        <w:trPr>
          <w:trHeight w:val="67"/>
        </w:trPr>
        <w:tc>
          <w:tcPr>
            <w:tcW w:w="1295" w:type="pct"/>
            <w:shd w:val="clear" w:color="auto" w:fill="F2F2F2" w:themeFill="background1" w:themeFillShade="F2"/>
            <w:hideMark/>
          </w:tcPr>
          <w:p w:rsidR="00C324F3" w:rsidRPr="00916516" w:rsidRDefault="00C324F3" w:rsidP="00777459">
            <w:pPr>
              <w:spacing w:after="200"/>
              <w:rPr>
                <w:szCs w:val="18"/>
              </w:rPr>
            </w:pPr>
            <w:r w:rsidRPr="00916516">
              <w:rPr>
                <w:b/>
                <w:bCs/>
                <w:szCs w:val="18"/>
              </w:rPr>
              <w:lastRenderedPageBreak/>
              <w:t>Compar</w:t>
            </w:r>
            <w:r>
              <w:rPr>
                <w:b/>
                <w:bCs/>
                <w:szCs w:val="18"/>
              </w:rPr>
              <w:t>ison</w:t>
            </w:r>
          </w:p>
        </w:tc>
        <w:tc>
          <w:tcPr>
            <w:tcW w:w="1497" w:type="pct"/>
            <w:shd w:val="clear" w:color="auto" w:fill="F2F2F2" w:themeFill="background1" w:themeFillShade="F2"/>
            <w:hideMark/>
          </w:tcPr>
          <w:p w:rsidR="00C324F3" w:rsidRPr="00916516" w:rsidRDefault="00C324F3" w:rsidP="00777459">
            <w:pPr>
              <w:spacing w:after="200"/>
              <w:jc w:val="center"/>
              <w:rPr>
                <w:szCs w:val="18"/>
              </w:rPr>
            </w:pPr>
            <w:r>
              <w:rPr>
                <w:b/>
                <w:bCs/>
                <w:szCs w:val="18"/>
              </w:rPr>
              <w:t>Included studies</w:t>
            </w:r>
          </w:p>
        </w:tc>
        <w:tc>
          <w:tcPr>
            <w:tcW w:w="2208" w:type="pct"/>
            <w:shd w:val="clear" w:color="auto" w:fill="F2F2F2" w:themeFill="background1" w:themeFillShade="F2"/>
            <w:hideMark/>
          </w:tcPr>
          <w:p w:rsidR="00C324F3" w:rsidRPr="00916516" w:rsidRDefault="00C324F3" w:rsidP="00777459">
            <w:pPr>
              <w:spacing w:after="200"/>
              <w:jc w:val="center"/>
              <w:rPr>
                <w:szCs w:val="18"/>
              </w:rPr>
            </w:pPr>
            <w:r>
              <w:rPr>
                <w:b/>
                <w:bCs/>
                <w:szCs w:val="18"/>
              </w:rPr>
              <w:t>Summary of evidence</w:t>
            </w:r>
          </w:p>
        </w:tc>
      </w:tr>
      <w:tr w:rsidR="00C324F3" w:rsidRPr="00916516" w:rsidTr="00777459">
        <w:trPr>
          <w:trHeight w:val="67"/>
        </w:trPr>
        <w:tc>
          <w:tcPr>
            <w:tcW w:w="5000" w:type="pct"/>
            <w:gridSpan w:val="3"/>
            <w:shd w:val="clear" w:color="auto" w:fill="F2F2F2" w:themeFill="background1" w:themeFillShade="F2"/>
            <w:hideMark/>
          </w:tcPr>
          <w:p w:rsidR="00C324F3" w:rsidRPr="00916516" w:rsidRDefault="00C324F3" w:rsidP="00777459">
            <w:pPr>
              <w:spacing w:after="200"/>
              <w:rPr>
                <w:szCs w:val="18"/>
              </w:rPr>
            </w:pPr>
            <w:r w:rsidRPr="00916516">
              <w:rPr>
                <w:b/>
                <w:bCs/>
                <w:szCs w:val="18"/>
              </w:rPr>
              <w:t>Treatment-experienced population (relapse prevention treatment in abstainers)</w:t>
            </w:r>
          </w:p>
        </w:tc>
      </w:tr>
      <w:tr w:rsidR="00C324F3" w:rsidRPr="00916516" w:rsidTr="00777459">
        <w:trPr>
          <w:trHeight w:val="333"/>
        </w:trPr>
        <w:tc>
          <w:tcPr>
            <w:tcW w:w="1295" w:type="pct"/>
            <w:shd w:val="clear" w:color="auto" w:fill="F2F2F2" w:themeFill="background1" w:themeFillShade="F2"/>
            <w:hideMark/>
          </w:tcPr>
          <w:p w:rsidR="00C324F3" w:rsidRPr="00360862" w:rsidRDefault="00C324F3" w:rsidP="00777459">
            <w:pPr>
              <w:spacing w:after="200"/>
              <w:rPr>
                <w:szCs w:val="18"/>
              </w:rPr>
            </w:pPr>
            <w:r w:rsidRPr="00360862">
              <w:rPr>
                <w:szCs w:val="18"/>
              </w:rPr>
              <w:t>NRT (gum or inhaler) vs p</w:t>
            </w:r>
            <w:r w:rsidRPr="00360862">
              <w:rPr>
                <w:rFonts w:eastAsia="Calibri"/>
                <w:szCs w:val="18"/>
              </w:rPr>
              <w:t>lacebo</w:t>
            </w:r>
          </w:p>
        </w:tc>
        <w:tc>
          <w:tcPr>
            <w:tcW w:w="1497" w:type="pct"/>
            <w:shd w:val="clear" w:color="auto" w:fill="F2F2F2" w:themeFill="background1" w:themeFillShade="F2"/>
            <w:hideMark/>
          </w:tcPr>
          <w:p w:rsidR="00C324F3" w:rsidRPr="0081007D" w:rsidRDefault="00C324F3" w:rsidP="00C324F3">
            <w:pPr>
              <w:pStyle w:val="ListParagraph"/>
              <w:numPr>
                <w:ilvl w:val="0"/>
                <w:numId w:val="323"/>
              </w:numPr>
              <w:rPr>
                <w:szCs w:val="18"/>
              </w:rPr>
            </w:pPr>
            <w:r w:rsidRPr="0081007D">
              <w:rPr>
                <w:szCs w:val="18"/>
              </w:rPr>
              <w:t>Livingstone-Banks (2019)</w:t>
            </w:r>
            <w:r w:rsidRPr="0081007D">
              <w:rPr>
                <w:szCs w:val="18"/>
                <w:vertAlign w:val="superscript"/>
              </w:rPr>
              <w:t>1</w:t>
            </w:r>
          </w:p>
        </w:tc>
        <w:tc>
          <w:tcPr>
            <w:tcW w:w="2208" w:type="pct"/>
            <w:shd w:val="clear" w:color="auto" w:fill="F2F2F2" w:themeFill="background1" w:themeFillShade="F2"/>
            <w:hideMark/>
          </w:tcPr>
          <w:p w:rsidR="00C324F3" w:rsidRPr="00360862" w:rsidRDefault="00C324F3" w:rsidP="00C324F3">
            <w:pPr>
              <w:pStyle w:val="ListParagraph"/>
              <w:numPr>
                <w:ilvl w:val="0"/>
                <w:numId w:val="321"/>
              </w:numPr>
              <w:rPr>
                <w:szCs w:val="18"/>
              </w:rPr>
            </w:pPr>
            <w:r w:rsidRPr="00360862">
              <w:rPr>
                <w:szCs w:val="18"/>
              </w:rPr>
              <w:t>Efficacy: Not statistically significant</w:t>
            </w:r>
            <w:r>
              <w:rPr>
                <w:szCs w:val="18"/>
              </w:rPr>
              <w:t xml:space="preserve"> based on RR.</w:t>
            </w:r>
          </w:p>
          <w:p w:rsidR="00C324F3" w:rsidRPr="00360862" w:rsidRDefault="00C324F3" w:rsidP="00C324F3">
            <w:pPr>
              <w:pStyle w:val="ListParagraph"/>
              <w:numPr>
                <w:ilvl w:val="0"/>
                <w:numId w:val="321"/>
              </w:numPr>
              <w:rPr>
                <w:szCs w:val="18"/>
              </w:rPr>
            </w:pPr>
            <w:r w:rsidRPr="00360862">
              <w:rPr>
                <w:szCs w:val="18"/>
              </w:rPr>
              <w:t xml:space="preserve">Safety: </w:t>
            </w:r>
            <w:r w:rsidRPr="00360862">
              <w:rPr>
                <w:rFonts w:eastAsia="Calibri"/>
                <w:szCs w:val="18"/>
              </w:rPr>
              <w:t>AEs reported were consistent with those expected of NRT</w:t>
            </w:r>
            <w:r>
              <w:rPr>
                <w:rFonts w:eastAsia="Calibri"/>
                <w:szCs w:val="18"/>
              </w:rPr>
              <w:t>.</w:t>
            </w:r>
          </w:p>
        </w:tc>
      </w:tr>
      <w:tr w:rsidR="00C324F3" w:rsidRPr="00916516" w:rsidTr="00777459">
        <w:trPr>
          <w:trHeight w:val="67"/>
        </w:trPr>
        <w:tc>
          <w:tcPr>
            <w:tcW w:w="5000" w:type="pct"/>
            <w:gridSpan w:val="3"/>
            <w:shd w:val="clear" w:color="auto" w:fill="F2F2F2" w:themeFill="background1" w:themeFillShade="F2"/>
            <w:hideMark/>
          </w:tcPr>
          <w:p w:rsidR="00C324F3" w:rsidRPr="00916516" w:rsidRDefault="00C324F3" w:rsidP="00777459">
            <w:pPr>
              <w:rPr>
                <w:szCs w:val="18"/>
              </w:rPr>
            </w:pPr>
            <w:r w:rsidRPr="00916516">
              <w:rPr>
                <w:b/>
                <w:bCs/>
                <w:szCs w:val="18"/>
              </w:rPr>
              <w:t>Treatment-experienced population (retreatment in non-abstainers)</w:t>
            </w:r>
          </w:p>
        </w:tc>
      </w:tr>
      <w:tr w:rsidR="00C324F3" w:rsidRPr="00916516" w:rsidTr="00777459">
        <w:trPr>
          <w:trHeight w:val="441"/>
        </w:trPr>
        <w:tc>
          <w:tcPr>
            <w:tcW w:w="1295" w:type="pct"/>
            <w:shd w:val="clear" w:color="auto" w:fill="F2F2F2" w:themeFill="background1" w:themeFillShade="F2"/>
            <w:hideMark/>
          </w:tcPr>
          <w:p w:rsidR="00C324F3" w:rsidRPr="00360862" w:rsidRDefault="00C324F3" w:rsidP="00777459">
            <w:pPr>
              <w:spacing w:after="200"/>
              <w:rPr>
                <w:szCs w:val="18"/>
              </w:rPr>
            </w:pPr>
            <w:r w:rsidRPr="00360862">
              <w:rPr>
                <w:szCs w:val="18"/>
              </w:rPr>
              <w:t>NRT (patch) vs p</w:t>
            </w:r>
            <w:r w:rsidRPr="00360862">
              <w:rPr>
                <w:rFonts w:eastAsia="Calibri"/>
                <w:szCs w:val="18"/>
              </w:rPr>
              <w:t>lacebo</w:t>
            </w:r>
          </w:p>
        </w:tc>
        <w:tc>
          <w:tcPr>
            <w:tcW w:w="1497" w:type="pct"/>
            <w:shd w:val="clear" w:color="auto" w:fill="F2F2F2" w:themeFill="background1" w:themeFillShade="F2"/>
            <w:hideMark/>
          </w:tcPr>
          <w:p w:rsidR="00C324F3" w:rsidRPr="0081007D" w:rsidRDefault="00C324F3" w:rsidP="00C324F3">
            <w:pPr>
              <w:pStyle w:val="ListParagraph"/>
              <w:numPr>
                <w:ilvl w:val="0"/>
                <w:numId w:val="324"/>
              </w:numPr>
              <w:rPr>
                <w:szCs w:val="18"/>
              </w:rPr>
            </w:pPr>
            <w:r w:rsidRPr="0081007D">
              <w:rPr>
                <w:szCs w:val="18"/>
              </w:rPr>
              <w:t>Gourlay</w:t>
            </w:r>
            <w:r>
              <w:rPr>
                <w:szCs w:val="18"/>
              </w:rPr>
              <w:t xml:space="preserve"> </w:t>
            </w:r>
            <w:r w:rsidRPr="0081007D">
              <w:rPr>
                <w:szCs w:val="18"/>
              </w:rPr>
              <w:t>(1995</w:t>
            </w:r>
            <w:r>
              <w:rPr>
                <w:szCs w:val="18"/>
              </w:rPr>
              <w:t>)</w:t>
            </w:r>
            <w:r>
              <w:rPr>
                <w:szCs w:val="18"/>
                <w:vertAlign w:val="superscript"/>
              </w:rPr>
              <w:t>2</w:t>
            </w:r>
          </w:p>
        </w:tc>
        <w:tc>
          <w:tcPr>
            <w:tcW w:w="2208" w:type="pct"/>
            <w:shd w:val="clear" w:color="auto" w:fill="F2F2F2" w:themeFill="background1" w:themeFillShade="F2"/>
            <w:hideMark/>
          </w:tcPr>
          <w:p w:rsidR="00C324F3" w:rsidRPr="00360862" w:rsidRDefault="00C324F3" w:rsidP="00C324F3">
            <w:pPr>
              <w:pStyle w:val="ListParagraph"/>
              <w:numPr>
                <w:ilvl w:val="0"/>
                <w:numId w:val="322"/>
              </w:numPr>
              <w:rPr>
                <w:szCs w:val="18"/>
              </w:rPr>
            </w:pPr>
            <w:r w:rsidRPr="00360862">
              <w:rPr>
                <w:szCs w:val="18"/>
              </w:rPr>
              <w:t>Efficacy: Not statistically significant</w:t>
            </w:r>
            <w:r>
              <w:rPr>
                <w:szCs w:val="18"/>
              </w:rPr>
              <w:t xml:space="preserve"> based on RR and RD.</w:t>
            </w:r>
          </w:p>
          <w:p w:rsidR="00C324F3" w:rsidRPr="00A303FF" w:rsidRDefault="00C324F3" w:rsidP="00C324F3">
            <w:pPr>
              <w:pStyle w:val="ListParagraph"/>
              <w:numPr>
                <w:ilvl w:val="0"/>
                <w:numId w:val="322"/>
              </w:numPr>
              <w:rPr>
                <w:szCs w:val="18"/>
              </w:rPr>
            </w:pPr>
            <w:r w:rsidRPr="00360862">
              <w:rPr>
                <w:szCs w:val="18"/>
              </w:rPr>
              <w:t xml:space="preserve">Safety: Not statistically significant </w:t>
            </w:r>
            <w:r>
              <w:rPr>
                <w:szCs w:val="18"/>
              </w:rPr>
              <w:t xml:space="preserve">based on RR and RD </w:t>
            </w:r>
            <w:r w:rsidRPr="00A303FF">
              <w:rPr>
                <w:szCs w:val="18"/>
              </w:rPr>
              <w:t>(palpitations, tachycardia, chest pains)</w:t>
            </w:r>
            <w:r>
              <w:rPr>
                <w:szCs w:val="18"/>
              </w:rPr>
              <w:t>.</w:t>
            </w:r>
          </w:p>
        </w:tc>
      </w:tr>
    </w:tbl>
    <w:p w:rsidR="00C324F3" w:rsidRDefault="00C324F3" w:rsidP="00C324F3">
      <w:pPr>
        <w:pStyle w:val="TableFooter"/>
        <w:keepNext/>
      </w:pPr>
      <w:r>
        <w:t>Abbreviations: AEs = adverse events; OR = odds ratio; RR = risk ratio, RD = risk difference.</w:t>
      </w:r>
    </w:p>
    <w:p w:rsidR="00C324F3" w:rsidRDefault="00C324F3" w:rsidP="00C324F3">
      <w:pPr>
        <w:pStyle w:val="TableFooter"/>
        <w:keepNext/>
      </w:pPr>
      <w:r w:rsidRPr="00BE36E8">
        <w:t xml:space="preserve">Notes: </w:t>
      </w:r>
    </w:p>
    <w:p w:rsidR="00C324F3" w:rsidRPr="00487DD4" w:rsidRDefault="00C324F3" w:rsidP="00C324F3">
      <w:pPr>
        <w:pStyle w:val="TableFooter"/>
        <w:keepNext/>
      </w:pPr>
      <w:r w:rsidRPr="00BE36E8">
        <w:t>1 Cochrane Review</w:t>
      </w:r>
      <w:r>
        <w:t xml:space="preserve">. </w:t>
      </w:r>
      <w:r w:rsidRPr="006635AD">
        <w:t>None of the studies identified by Livingstone-Banks et al. (2019) compared NRT monotherapy (either as patch, gum or lozenge) with placebo in patients who achieved abstinence after initial treatment with NRT monotherapy using the same formulation. In Covey et al. (2007), patients were provided bupropion plus NRT patches in the initial treatment phase while patients were provided NRT inhaler in Croghan et al. (2007)</w:t>
      </w:r>
      <w:r>
        <w:t>.</w:t>
      </w:r>
    </w:p>
    <w:p w:rsidR="00C324F3" w:rsidRPr="00487DD4" w:rsidRDefault="00C324F3" w:rsidP="00C324F3">
      <w:pPr>
        <w:pStyle w:val="TableFooter"/>
        <w:keepNext/>
      </w:pPr>
      <w:r>
        <w:t>2 Included in Cochrane Review by Hartmann-Boyce et al. (2018).</w:t>
      </w:r>
    </w:p>
    <w:p w:rsidR="00C324F3" w:rsidRDefault="00C324F3" w:rsidP="00C324F3">
      <w:pPr>
        <w:pStyle w:val="Heading3"/>
      </w:pPr>
      <w:bookmarkStart w:id="28" w:name="_Toc69976540"/>
      <w:bookmarkStart w:id="29" w:name="_Toc72850848"/>
      <w:bookmarkStart w:id="30" w:name="_Toc73525613"/>
      <w:r>
        <w:t>Combination therapy in the general population</w:t>
      </w:r>
      <w:bookmarkEnd w:id="28"/>
      <w:bookmarkEnd w:id="29"/>
      <w:bookmarkEnd w:id="30"/>
    </w:p>
    <w:p w:rsidR="00C324F3" w:rsidRDefault="00C324F3" w:rsidP="00C324F3">
      <w:pPr>
        <w:rPr>
          <w:rFonts w:eastAsiaTheme="minorEastAsia"/>
          <w:b/>
          <w:i/>
          <w:sz w:val="28"/>
          <w:szCs w:val="28"/>
        </w:rPr>
      </w:pPr>
      <w:r w:rsidRPr="009F485D">
        <w:rPr>
          <w:rFonts w:eastAsiaTheme="minorEastAsia"/>
          <w:b/>
          <w:i/>
          <w:sz w:val="28"/>
          <w:szCs w:val="28"/>
        </w:rPr>
        <w:t>Summarise the comparative efficacy and safety of PBS-listed treatments when used as combination therapy</w:t>
      </w:r>
    </w:p>
    <w:p w:rsidR="00C324F3" w:rsidRPr="00663D67" w:rsidRDefault="00C324F3" w:rsidP="00C324F3">
      <w:r w:rsidRPr="00541990">
        <w:t>Combination therapies for smoking cessation have not been previously considered by the PBAC. In March 2018, the PBAC noted that the latest clinical guidelines encouraged health professionals to consider recommending the use of combination NRT (e.g. NRT patch with NRT gum or lozenges)</w:t>
      </w:r>
      <w:r>
        <w:t>.</w:t>
      </w:r>
    </w:p>
    <w:p w:rsidR="00C324F3" w:rsidRPr="003C0301" w:rsidRDefault="00C324F3" w:rsidP="00C324F3">
      <w:pPr>
        <w:rPr>
          <w:b/>
          <w:bCs/>
        </w:rPr>
      </w:pPr>
      <w:r w:rsidRPr="003C0301">
        <w:rPr>
          <w:b/>
          <w:bCs/>
        </w:rPr>
        <w:t>Combination NRT</w:t>
      </w:r>
    </w:p>
    <w:p w:rsidR="00C324F3" w:rsidRPr="007F3B6D" w:rsidRDefault="00C324F3" w:rsidP="00C324F3">
      <w:r w:rsidRPr="007F3B6D">
        <w:t>Treatment-naïve population</w:t>
      </w:r>
    </w:p>
    <w:p w:rsidR="00C324F3" w:rsidRDefault="00C324F3" w:rsidP="00C324F3">
      <w:pPr>
        <w:pStyle w:val="ListParagraph"/>
        <w:numPr>
          <w:ilvl w:val="0"/>
          <w:numId w:val="275"/>
        </w:numPr>
      </w:pPr>
      <w:r w:rsidRPr="0076496A">
        <w:t>Combination NRT (patch + lozenge, patch + lozenge and gum) was shown to be superior to placebo in terms of efficacy, noting the results of the updated re-analysis for NRT patch + lozenge were statistically significant based on risk ratio but not risk difference. There were no statistically significant differences in smoking cessation rates between NRT patch + gum or NRT patch + inhalator and placebo. The non-significant result of NRT patch + gum was likely due to the study design issues, such as small sample size, leading to insufficient power to detect a modest treatment effect with reasonable certainty. The incidence of adverse events comparing combination NRT with placebo was not synthesised quantitatively. However, based on one RCT, which did not detect a statistically significant difference in efficacy, no statistically significant differences between NRT patch + lozenge and placebo were reported in terms of any adverse events and serious adverse events.</w:t>
      </w:r>
    </w:p>
    <w:p w:rsidR="00C324F3" w:rsidRPr="0076496A" w:rsidRDefault="00C324F3" w:rsidP="00C324F3">
      <w:pPr>
        <w:pStyle w:val="ListParagraph"/>
        <w:numPr>
          <w:ilvl w:val="0"/>
          <w:numId w:val="275"/>
        </w:numPr>
      </w:pPr>
      <w:r w:rsidRPr="0076496A">
        <w:t xml:space="preserve">Combination NRT was shown to be superior to NRT monotherapy (patch or fast-acting) in terms of efficacy. In terms of safety, there were no statistically significant differences in cardiac adverse events, serious adverse events or withdrawals due to treatment. </w:t>
      </w:r>
      <w:r w:rsidRPr="0076496A">
        <w:lastRenderedPageBreak/>
        <w:t>Additional subgroup analyses were conducted during the review to determine the comparative effectiveness of the different types of combination NRT formulations:</w:t>
      </w:r>
    </w:p>
    <w:p w:rsidR="00C324F3" w:rsidRPr="003C0301" w:rsidRDefault="00C324F3" w:rsidP="00C324F3">
      <w:pPr>
        <w:pStyle w:val="ListParagraph"/>
        <w:numPr>
          <w:ilvl w:val="0"/>
          <w:numId w:val="276"/>
        </w:numPr>
      </w:pPr>
      <w:r>
        <w:t>C</w:t>
      </w:r>
      <w:r w:rsidRPr="003C0301">
        <w:t xml:space="preserve">ombination NRT versus NRT </w:t>
      </w:r>
      <w:r>
        <w:t>patches: for this comparison</w:t>
      </w:r>
      <w:r w:rsidRPr="003C0301">
        <w:t xml:space="preserve"> NRT patch + lozenge and NRT patch + gum were shown to provide a significantly higher rate of smoking cessation compared to NRT </w:t>
      </w:r>
      <w:r>
        <w:t>patches</w:t>
      </w:r>
      <w:r w:rsidRPr="003C0301">
        <w:t xml:space="preserve"> alone. There were no statistically significant differences observed for the other types of combination NRT formulations (patch + nasal spray, patch + inhaler, patch + oral spray)</w:t>
      </w:r>
      <w:r>
        <w:t xml:space="preserve"> when compared to NRT patches alone</w:t>
      </w:r>
      <w:r w:rsidRPr="003C0301">
        <w:t>.</w:t>
      </w:r>
    </w:p>
    <w:p w:rsidR="00C324F3" w:rsidRPr="003C0301" w:rsidRDefault="00C324F3" w:rsidP="00C324F3">
      <w:pPr>
        <w:pStyle w:val="ListParagraph"/>
        <w:numPr>
          <w:ilvl w:val="0"/>
          <w:numId w:val="276"/>
        </w:numPr>
      </w:pPr>
      <w:r>
        <w:t>C</w:t>
      </w:r>
      <w:r w:rsidRPr="003C0301">
        <w:t>ombination NRT versus fast-acting NRT</w:t>
      </w:r>
      <w:r>
        <w:t>; for this comparison</w:t>
      </w:r>
      <w:r w:rsidRPr="003C0301">
        <w:t xml:space="preserve"> only NRT patch + lozenge was shown to provide a significantly higher rate of smoking cessation compared to fast-acting NRT alone. There were no statistically significant differences observed for the other types of combination NRT formulations (patch + gum, patch + nasal spray, patch + inhaler)</w:t>
      </w:r>
      <w:r>
        <w:t xml:space="preserve"> when compared to fast-acting NRT alone</w:t>
      </w:r>
      <w:r w:rsidRPr="003C0301">
        <w:t>.</w:t>
      </w:r>
    </w:p>
    <w:p w:rsidR="00C324F3" w:rsidRDefault="00C324F3" w:rsidP="00C324F3">
      <w:pPr>
        <w:pStyle w:val="ListParagraph"/>
        <w:numPr>
          <w:ilvl w:val="0"/>
          <w:numId w:val="277"/>
        </w:numPr>
      </w:pPr>
      <w:r w:rsidRPr="00816F20">
        <w:t xml:space="preserve">Combination NRT (patch + lozenge) was shown to be inferior to varenicline in terms of efficacy </w:t>
      </w:r>
      <w:r>
        <w:t>with no statistically significant differences</w:t>
      </w:r>
      <w:r w:rsidRPr="00816F20">
        <w:t xml:space="preserve"> in terms of safety based on one direct </w:t>
      </w:r>
      <w:r>
        <w:t>randomised controlled trial (</w:t>
      </w:r>
      <w:r w:rsidRPr="00816F20">
        <w:t>RCT</w:t>
      </w:r>
      <w:r>
        <w:t>)</w:t>
      </w:r>
      <w:r w:rsidRPr="00816F20">
        <w:t>. There was a statistically significant difference in point prevalence abstinence at 6 months, in favour of varenicline, while there were no statistically significant differences across the key adverse events between the two treatment arms, except for nausea and vivid dreams which were significantly higher in the varenicline arm. However, the results of the network meta-analysis by Cahill et al. (2013) demonstrated no statistically significant difference in smoking cessation rates between combination NRT and varenicline, although the results numerically favoured varenicline</w:t>
      </w:r>
      <w:r>
        <w:t>.</w:t>
      </w:r>
      <w:r w:rsidRPr="00816F20">
        <w:t xml:space="preserve"> </w:t>
      </w:r>
      <w:r>
        <w:t>T</w:t>
      </w:r>
      <w:r w:rsidRPr="00816F20">
        <w:t>he type</w:t>
      </w:r>
      <w:r>
        <w:t>s</w:t>
      </w:r>
      <w:r w:rsidRPr="00816F20">
        <w:t xml:space="preserve"> of formulation</w:t>
      </w:r>
      <w:r>
        <w:t>s</w:t>
      </w:r>
      <w:r w:rsidRPr="00816F20">
        <w:t xml:space="preserve"> used in the combination NRT treatment arm w</w:t>
      </w:r>
      <w:r>
        <w:t>ere</w:t>
      </w:r>
      <w:r w:rsidRPr="00816F20">
        <w:t xml:space="preserve"> </w:t>
      </w:r>
      <w:r>
        <w:t>clinically heterogeneous and t</w:t>
      </w:r>
      <w:r w:rsidRPr="00E44386">
        <w:t>he results of the network meta-analysis should be interpreted with caution due to potential biases and uncertainties arising from heterogeneity and inconsistent outcomes between studies</w:t>
      </w:r>
      <w:r>
        <w:t>.</w:t>
      </w:r>
    </w:p>
    <w:p w:rsidR="003C4A1C" w:rsidRDefault="00C324F3" w:rsidP="00C324F3">
      <w:pPr>
        <w:pStyle w:val="ListParagraph"/>
        <w:numPr>
          <w:ilvl w:val="0"/>
          <w:numId w:val="277"/>
        </w:numPr>
      </w:pPr>
      <w:r w:rsidRPr="00925038">
        <w:t xml:space="preserve">Combination NRT was shown to be superior to bupropion in terms of efficacy based on the results of the network meta-analysis by Cahill et al. (2013) (no direct RCT was identified for this comparison). Similarly, </w:t>
      </w:r>
      <w:r w:rsidRPr="00070196">
        <w:t>this result should be interpreted with caution due to the general limitation</w:t>
      </w:r>
      <w:r>
        <w:t>s</w:t>
      </w:r>
      <w:r w:rsidRPr="00070196">
        <w:t xml:space="preserve"> of network meta-analyses and</w:t>
      </w:r>
      <w:r w:rsidRPr="00925038">
        <w:t xml:space="preserve"> the type</w:t>
      </w:r>
      <w:r>
        <w:t>s</w:t>
      </w:r>
      <w:r w:rsidRPr="00925038">
        <w:t xml:space="preserve"> of formulation</w:t>
      </w:r>
      <w:r>
        <w:t>s</w:t>
      </w:r>
      <w:r w:rsidRPr="00925038">
        <w:t xml:space="preserve"> used in the combination NRT treatment arm w</w:t>
      </w:r>
      <w:r>
        <w:t>ere clinically heterogeneous</w:t>
      </w:r>
      <w:r w:rsidRPr="00925038">
        <w:t>.</w:t>
      </w:r>
    </w:p>
    <w:p w:rsidR="00C324F3" w:rsidRDefault="003C4A1C" w:rsidP="003C4A1C">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975"/>
        <w:gridCol w:w="2611"/>
        <w:gridCol w:w="4430"/>
      </w:tblGrid>
      <w:tr w:rsidR="00C324F3" w:rsidRPr="00916516" w:rsidTr="00777459">
        <w:trPr>
          <w:trHeight w:val="215"/>
        </w:trPr>
        <w:tc>
          <w:tcPr>
            <w:tcW w:w="1095" w:type="pct"/>
            <w:shd w:val="clear" w:color="auto" w:fill="F2F2F2" w:themeFill="background1" w:themeFillShade="F2"/>
            <w:hideMark/>
          </w:tcPr>
          <w:p w:rsidR="00C324F3" w:rsidRPr="00916516" w:rsidRDefault="00C324F3" w:rsidP="00777459">
            <w:pPr>
              <w:rPr>
                <w:szCs w:val="18"/>
              </w:rPr>
            </w:pPr>
            <w:r w:rsidRPr="00916516">
              <w:rPr>
                <w:b/>
                <w:bCs/>
                <w:szCs w:val="18"/>
              </w:rPr>
              <w:lastRenderedPageBreak/>
              <w:t>Compar</w:t>
            </w:r>
            <w:r>
              <w:rPr>
                <w:b/>
                <w:bCs/>
                <w:szCs w:val="18"/>
              </w:rPr>
              <w:t>ison</w:t>
            </w:r>
          </w:p>
        </w:tc>
        <w:tc>
          <w:tcPr>
            <w:tcW w:w="1448" w:type="pct"/>
            <w:shd w:val="clear" w:color="auto" w:fill="F2F2F2" w:themeFill="background1" w:themeFillShade="F2"/>
            <w:hideMark/>
          </w:tcPr>
          <w:p w:rsidR="00C324F3" w:rsidRPr="00916516" w:rsidRDefault="00C324F3" w:rsidP="00777459">
            <w:pPr>
              <w:jc w:val="center"/>
              <w:rPr>
                <w:szCs w:val="18"/>
              </w:rPr>
            </w:pPr>
            <w:r>
              <w:rPr>
                <w:b/>
                <w:bCs/>
                <w:szCs w:val="18"/>
              </w:rPr>
              <w:t>Included studies</w:t>
            </w:r>
          </w:p>
        </w:tc>
        <w:tc>
          <w:tcPr>
            <w:tcW w:w="2457" w:type="pct"/>
            <w:shd w:val="clear" w:color="auto" w:fill="F2F2F2" w:themeFill="background1" w:themeFillShade="F2"/>
            <w:hideMark/>
          </w:tcPr>
          <w:p w:rsidR="00C324F3" w:rsidRPr="00916516" w:rsidRDefault="00C324F3" w:rsidP="00777459">
            <w:pPr>
              <w:jc w:val="center"/>
              <w:rPr>
                <w:szCs w:val="18"/>
              </w:rPr>
            </w:pPr>
            <w:r>
              <w:rPr>
                <w:b/>
                <w:bCs/>
                <w:szCs w:val="18"/>
              </w:rPr>
              <w:t>Summary of evidence</w:t>
            </w:r>
          </w:p>
        </w:tc>
      </w:tr>
      <w:tr w:rsidR="00C324F3" w:rsidRPr="00916516" w:rsidTr="00777459">
        <w:trPr>
          <w:trHeight w:val="164"/>
        </w:trPr>
        <w:tc>
          <w:tcPr>
            <w:tcW w:w="5000" w:type="pct"/>
            <w:gridSpan w:val="3"/>
            <w:shd w:val="clear" w:color="auto" w:fill="F2F2F2" w:themeFill="background1" w:themeFillShade="F2"/>
            <w:hideMark/>
          </w:tcPr>
          <w:p w:rsidR="00C324F3" w:rsidRPr="00916516" w:rsidRDefault="00C324F3" w:rsidP="00777459">
            <w:pPr>
              <w:tabs>
                <w:tab w:val="left" w:pos="3037"/>
              </w:tabs>
              <w:rPr>
                <w:szCs w:val="18"/>
              </w:rPr>
            </w:pPr>
            <w:r w:rsidRPr="00916516">
              <w:rPr>
                <w:b/>
                <w:bCs/>
                <w:szCs w:val="18"/>
              </w:rPr>
              <w:t>Treatment-naïve populatio</w:t>
            </w:r>
            <w:r>
              <w:rPr>
                <w:b/>
                <w:bCs/>
                <w:szCs w:val="18"/>
              </w:rPr>
              <w:t>n</w:t>
            </w:r>
          </w:p>
        </w:tc>
      </w:tr>
      <w:tr w:rsidR="00C324F3" w:rsidRPr="0063070A" w:rsidTr="00777459">
        <w:trPr>
          <w:trHeight w:val="345"/>
        </w:trPr>
        <w:tc>
          <w:tcPr>
            <w:tcW w:w="1095" w:type="pct"/>
            <w:shd w:val="clear" w:color="auto" w:fill="F2F2F2" w:themeFill="background1" w:themeFillShade="F2"/>
            <w:hideMark/>
          </w:tcPr>
          <w:p w:rsidR="00C324F3" w:rsidRPr="00360862" w:rsidRDefault="00C324F3" w:rsidP="00777459">
            <w:pPr>
              <w:spacing w:after="200"/>
              <w:rPr>
                <w:szCs w:val="18"/>
              </w:rPr>
            </w:pPr>
            <w:r>
              <w:rPr>
                <w:szCs w:val="18"/>
              </w:rPr>
              <w:t>Combination NRT</w:t>
            </w:r>
            <w:r w:rsidRPr="007B1E27">
              <w:rPr>
                <w:szCs w:val="18"/>
                <w:vertAlign w:val="superscript"/>
              </w:rPr>
              <w:t>1</w:t>
            </w:r>
            <w:r>
              <w:rPr>
                <w:szCs w:val="18"/>
              </w:rPr>
              <w:t xml:space="preserve"> vs placebo</w:t>
            </w:r>
          </w:p>
        </w:tc>
        <w:tc>
          <w:tcPr>
            <w:tcW w:w="1448" w:type="pct"/>
            <w:shd w:val="clear" w:color="auto" w:fill="F2F2F2" w:themeFill="background1" w:themeFillShade="F2"/>
            <w:hideMark/>
          </w:tcPr>
          <w:p w:rsidR="00C324F3" w:rsidRPr="002A5E9C" w:rsidRDefault="00C324F3" w:rsidP="00C324F3">
            <w:pPr>
              <w:pStyle w:val="ListParagraph"/>
              <w:numPr>
                <w:ilvl w:val="0"/>
                <w:numId w:val="318"/>
              </w:numPr>
              <w:rPr>
                <w:szCs w:val="18"/>
              </w:rPr>
            </w:pPr>
            <w:r w:rsidRPr="00AA0389">
              <w:rPr>
                <w:szCs w:val="18"/>
              </w:rPr>
              <w:t>Hartmann-Boyce (2018)</w:t>
            </w:r>
            <w:r w:rsidRPr="00AA0389">
              <w:rPr>
                <w:szCs w:val="18"/>
                <w:vertAlign w:val="superscript"/>
              </w:rPr>
              <w:t>6</w:t>
            </w:r>
          </w:p>
          <w:p w:rsidR="00C324F3" w:rsidRPr="00AA0389" w:rsidRDefault="00C324F3" w:rsidP="00C324F3">
            <w:pPr>
              <w:pStyle w:val="ListParagraph"/>
              <w:numPr>
                <w:ilvl w:val="0"/>
                <w:numId w:val="318"/>
              </w:numPr>
              <w:rPr>
                <w:szCs w:val="18"/>
              </w:rPr>
            </w:pPr>
            <w:r w:rsidRPr="00AA0389">
              <w:rPr>
                <w:szCs w:val="18"/>
              </w:rPr>
              <w:t>Chen</w:t>
            </w:r>
            <w:r>
              <w:rPr>
                <w:szCs w:val="18"/>
              </w:rPr>
              <w:t xml:space="preserve"> </w:t>
            </w:r>
            <w:r w:rsidRPr="00AA0389">
              <w:rPr>
                <w:szCs w:val="18"/>
              </w:rPr>
              <w:t>(2020)</w:t>
            </w:r>
            <w:r w:rsidRPr="00AA0389">
              <w:rPr>
                <w:szCs w:val="18"/>
                <w:vertAlign w:val="superscript"/>
              </w:rPr>
              <w:t>7</w:t>
            </w:r>
          </w:p>
        </w:tc>
        <w:tc>
          <w:tcPr>
            <w:tcW w:w="2457" w:type="pct"/>
            <w:shd w:val="clear" w:color="auto" w:fill="F2F2F2" w:themeFill="background1" w:themeFillShade="F2"/>
            <w:hideMark/>
          </w:tcPr>
          <w:p w:rsidR="00C324F3" w:rsidRPr="00D601CB" w:rsidRDefault="00C324F3" w:rsidP="00C324F3">
            <w:pPr>
              <w:pStyle w:val="ListParagraph"/>
              <w:numPr>
                <w:ilvl w:val="0"/>
                <w:numId w:val="317"/>
              </w:numPr>
              <w:rPr>
                <w:szCs w:val="18"/>
              </w:rPr>
            </w:pPr>
            <w:r w:rsidRPr="008C25A6">
              <w:rPr>
                <w:szCs w:val="18"/>
                <w:u w:val="single"/>
              </w:rPr>
              <w:t>Efficacy</w:t>
            </w:r>
            <w:r w:rsidRPr="008C25A6">
              <w:rPr>
                <w:szCs w:val="18"/>
              </w:rPr>
              <w:t xml:space="preserve">: Statistically significant based on RR </w:t>
            </w:r>
            <w:r w:rsidRPr="00DE6EAF">
              <w:rPr>
                <w:szCs w:val="18"/>
              </w:rPr>
              <w:t xml:space="preserve">(in favour of </w:t>
            </w:r>
            <w:r w:rsidRPr="00607958">
              <w:rPr>
                <w:szCs w:val="18"/>
              </w:rPr>
              <w:t>patch+lozenge</w:t>
            </w:r>
            <w:r w:rsidRPr="00531AAD">
              <w:rPr>
                <w:szCs w:val="18"/>
                <w:vertAlign w:val="superscript"/>
              </w:rPr>
              <w:t>8</w:t>
            </w:r>
            <w:r w:rsidRPr="000B398D">
              <w:rPr>
                <w:szCs w:val="18"/>
              </w:rPr>
              <w:t xml:space="preserve"> and patch+lozenge and gum</w:t>
            </w:r>
            <w:r w:rsidRPr="0042217E">
              <w:rPr>
                <w:szCs w:val="18"/>
              </w:rPr>
              <w:t>)</w:t>
            </w:r>
            <w:r>
              <w:rPr>
                <w:szCs w:val="18"/>
              </w:rPr>
              <w:t xml:space="preserve"> but not RD (patch+lozenge</w:t>
            </w:r>
            <w:r>
              <w:rPr>
                <w:szCs w:val="18"/>
                <w:vertAlign w:val="superscript"/>
              </w:rPr>
              <w:t>8</w:t>
            </w:r>
            <w:r w:rsidRPr="00607958">
              <w:rPr>
                <w:szCs w:val="18"/>
              </w:rPr>
              <w:t>);</w:t>
            </w:r>
            <w:r>
              <w:rPr>
                <w:szCs w:val="18"/>
              </w:rPr>
              <w:t xml:space="preserve"> </w:t>
            </w:r>
            <w:r w:rsidRPr="008C25A6">
              <w:rPr>
                <w:szCs w:val="18"/>
              </w:rPr>
              <w:t>not statistically significant based o</w:t>
            </w:r>
            <w:r w:rsidRPr="00DE6EAF">
              <w:rPr>
                <w:szCs w:val="18"/>
              </w:rPr>
              <w:t xml:space="preserve">n RR </w:t>
            </w:r>
            <w:r w:rsidRPr="00A62C1A">
              <w:rPr>
                <w:szCs w:val="18"/>
              </w:rPr>
              <w:t>(patch+gum and patch+inhaler)</w:t>
            </w:r>
            <w:r>
              <w:rPr>
                <w:szCs w:val="18"/>
              </w:rPr>
              <w:t>.</w:t>
            </w:r>
          </w:p>
          <w:p w:rsidR="00C324F3" w:rsidRPr="007B1E27"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7B1E27">
              <w:rPr>
                <w:szCs w:val="18"/>
              </w:rPr>
              <w:t>Not statistically significant</w:t>
            </w:r>
            <w:r>
              <w:rPr>
                <w:szCs w:val="18"/>
              </w:rPr>
              <w:t xml:space="preserve"> based on RR and RD </w:t>
            </w:r>
            <w:r w:rsidRPr="007B1E27">
              <w:rPr>
                <w:szCs w:val="18"/>
              </w:rPr>
              <w:t xml:space="preserve">(any AEs, </w:t>
            </w:r>
            <w:r>
              <w:rPr>
                <w:szCs w:val="18"/>
              </w:rPr>
              <w:t>S</w:t>
            </w:r>
            <w:r w:rsidRPr="007B1E27">
              <w:rPr>
                <w:szCs w:val="18"/>
              </w:rPr>
              <w:t>AEs; NRT patch+lozenge)</w:t>
            </w:r>
            <w:r>
              <w:rPr>
                <w:szCs w:val="18"/>
              </w:rPr>
              <w:t>.</w:t>
            </w:r>
          </w:p>
        </w:tc>
      </w:tr>
      <w:tr w:rsidR="00C324F3" w:rsidRPr="00360862" w:rsidTr="00777459">
        <w:trPr>
          <w:trHeight w:val="617"/>
        </w:trPr>
        <w:tc>
          <w:tcPr>
            <w:tcW w:w="1095" w:type="pct"/>
            <w:shd w:val="clear" w:color="auto" w:fill="F2F2F2" w:themeFill="background1" w:themeFillShade="F2"/>
            <w:hideMark/>
          </w:tcPr>
          <w:p w:rsidR="00C324F3" w:rsidRPr="00360862" w:rsidRDefault="00C324F3" w:rsidP="00777459">
            <w:pPr>
              <w:spacing w:after="200"/>
              <w:rPr>
                <w:szCs w:val="18"/>
              </w:rPr>
            </w:pPr>
            <w:r>
              <w:rPr>
                <w:szCs w:val="18"/>
              </w:rPr>
              <w:t>Combination NRT</w:t>
            </w:r>
            <w:r w:rsidRPr="007B1E27">
              <w:rPr>
                <w:szCs w:val="18"/>
                <w:vertAlign w:val="superscript"/>
              </w:rPr>
              <w:t>2</w:t>
            </w:r>
            <w:r>
              <w:rPr>
                <w:szCs w:val="18"/>
              </w:rPr>
              <w:t xml:space="preserve"> vs NRT monotherapy (patch)</w:t>
            </w:r>
          </w:p>
        </w:tc>
        <w:tc>
          <w:tcPr>
            <w:tcW w:w="1448" w:type="pct"/>
            <w:shd w:val="clear" w:color="auto" w:fill="F2F2F2" w:themeFill="background1" w:themeFillShade="F2"/>
            <w:hideMark/>
          </w:tcPr>
          <w:p w:rsidR="00C324F3" w:rsidRDefault="00C324F3" w:rsidP="00C324F3">
            <w:pPr>
              <w:pStyle w:val="ListParagraph"/>
              <w:numPr>
                <w:ilvl w:val="0"/>
                <w:numId w:val="319"/>
              </w:numPr>
              <w:rPr>
                <w:szCs w:val="18"/>
              </w:rPr>
            </w:pPr>
            <w:r w:rsidRPr="00AA0389">
              <w:rPr>
                <w:szCs w:val="18"/>
              </w:rPr>
              <w:t>Lindson</w:t>
            </w:r>
            <w:r>
              <w:rPr>
                <w:szCs w:val="18"/>
              </w:rPr>
              <w:t xml:space="preserve"> </w:t>
            </w:r>
            <w:r w:rsidRPr="00AA0389">
              <w:rPr>
                <w:szCs w:val="18"/>
              </w:rPr>
              <w:t>(2019)</w:t>
            </w:r>
            <w:r w:rsidRPr="00AA0389">
              <w:rPr>
                <w:szCs w:val="18"/>
                <w:vertAlign w:val="superscript"/>
              </w:rPr>
              <w:t>6</w:t>
            </w:r>
          </w:p>
          <w:p w:rsidR="00C324F3" w:rsidRPr="00AA0389" w:rsidRDefault="00C324F3" w:rsidP="00C324F3">
            <w:pPr>
              <w:pStyle w:val="ListParagraph"/>
              <w:numPr>
                <w:ilvl w:val="0"/>
                <w:numId w:val="319"/>
              </w:numPr>
              <w:rPr>
                <w:szCs w:val="18"/>
              </w:rPr>
            </w:pPr>
            <w:r w:rsidRPr="00AA0389">
              <w:rPr>
                <w:szCs w:val="18"/>
              </w:rPr>
              <w:t>Leung</w:t>
            </w:r>
            <w:r>
              <w:rPr>
                <w:szCs w:val="18"/>
              </w:rPr>
              <w:t xml:space="preserve"> </w:t>
            </w:r>
            <w:r w:rsidRPr="00AA0389">
              <w:rPr>
                <w:szCs w:val="18"/>
              </w:rPr>
              <w:t>(2019)</w:t>
            </w:r>
            <w:r w:rsidRPr="00AA0389">
              <w:rPr>
                <w:szCs w:val="18"/>
                <w:vertAlign w:val="superscript"/>
              </w:rPr>
              <w:t>7</w:t>
            </w:r>
          </w:p>
        </w:tc>
        <w:tc>
          <w:tcPr>
            <w:tcW w:w="2457" w:type="pct"/>
            <w:shd w:val="clear" w:color="auto" w:fill="F2F2F2" w:themeFill="background1" w:themeFillShade="F2"/>
            <w:hideMark/>
          </w:tcPr>
          <w:p w:rsidR="00C324F3" w:rsidRPr="008C25A6" w:rsidRDefault="00C324F3" w:rsidP="00C324F3">
            <w:pPr>
              <w:pStyle w:val="ListParagraph"/>
              <w:numPr>
                <w:ilvl w:val="0"/>
                <w:numId w:val="317"/>
              </w:numPr>
              <w:rPr>
                <w:szCs w:val="18"/>
              </w:rPr>
            </w:pPr>
            <w:r w:rsidRPr="008C25A6">
              <w:rPr>
                <w:szCs w:val="18"/>
                <w:u w:val="single"/>
              </w:rPr>
              <w:t>Efficacy</w:t>
            </w:r>
            <w:r w:rsidRPr="008C25A6">
              <w:rPr>
                <w:szCs w:val="18"/>
              </w:rPr>
              <w:t>: Statistically significant based on R</w:t>
            </w:r>
            <w:r w:rsidRPr="00DE6EAF">
              <w:rPr>
                <w:szCs w:val="18"/>
              </w:rPr>
              <w:t>R and RD (in favour of patch+lozenge and patch+gum);</w:t>
            </w:r>
            <w:r>
              <w:rPr>
                <w:szCs w:val="18"/>
              </w:rPr>
              <w:t xml:space="preserve"> </w:t>
            </w:r>
            <w:r w:rsidRPr="008C25A6">
              <w:rPr>
                <w:szCs w:val="18"/>
              </w:rPr>
              <w:t>Not statistically significant</w:t>
            </w:r>
          </w:p>
          <w:p w:rsidR="00C324F3" w:rsidRPr="007B1E27" w:rsidRDefault="00C324F3" w:rsidP="00777459">
            <w:pPr>
              <w:pStyle w:val="ListParagraph"/>
              <w:ind w:left="360"/>
              <w:rPr>
                <w:szCs w:val="18"/>
              </w:rPr>
            </w:pPr>
            <w:r w:rsidRPr="007B1E27">
              <w:rPr>
                <w:szCs w:val="18"/>
              </w:rPr>
              <w:t>(patch+nasal spray, patch+inhaler and patch+oral spray)</w:t>
            </w:r>
            <w:r>
              <w:rPr>
                <w:szCs w:val="18"/>
              </w:rPr>
              <w:t>.</w:t>
            </w:r>
          </w:p>
          <w:p w:rsidR="00C324F3" w:rsidRPr="007B1E27"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7B1E27">
              <w:rPr>
                <w:szCs w:val="18"/>
              </w:rPr>
              <w:t>Not statistically significant</w:t>
            </w:r>
            <w:r>
              <w:rPr>
                <w:szCs w:val="18"/>
              </w:rPr>
              <w:t xml:space="preserve"> based on RR </w:t>
            </w:r>
            <w:r w:rsidRPr="007B1E27">
              <w:rPr>
                <w:szCs w:val="18"/>
              </w:rPr>
              <w:t>(</w:t>
            </w:r>
            <w:r>
              <w:rPr>
                <w:szCs w:val="18"/>
              </w:rPr>
              <w:t>S</w:t>
            </w:r>
            <w:r w:rsidRPr="007B1E27">
              <w:rPr>
                <w:szCs w:val="18"/>
              </w:rPr>
              <w:t>AEs, withdrawal due to treatment)</w:t>
            </w:r>
            <w:r>
              <w:rPr>
                <w:szCs w:val="18"/>
              </w:rPr>
              <w:t>, and RD (cardiac AEs).</w:t>
            </w:r>
          </w:p>
        </w:tc>
      </w:tr>
      <w:tr w:rsidR="00C324F3" w:rsidRPr="00360862" w:rsidTr="00777459">
        <w:trPr>
          <w:trHeight w:val="523"/>
        </w:trPr>
        <w:tc>
          <w:tcPr>
            <w:tcW w:w="1095" w:type="pct"/>
            <w:shd w:val="clear" w:color="auto" w:fill="F2F2F2" w:themeFill="background1" w:themeFillShade="F2"/>
            <w:hideMark/>
          </w:tcPr>
          <w:p w:rsidR="00C324F3" w:rsidRPr="00360862" w:rsidRDefault="00C324F3" w:rsidP="00777459">
            <w:pPr>
              <w:spacing w:after="200"/>
              <w:rPr>
                <w:szCs w:val="18"/>
              </w:rPr>
            </w:pPr>
            <w:r>
              <w:rPr>
                <w:szCs w:val="18"/>
              </w:rPr>
              <w:t>Combination NRT</w:t>
            </w:r>
            <w:r w:rsidRPr="007B1E27">
              <w:rPr>
                <w:szCs w:val="18"/>
                <w:vertAlign w:val="superscript"/>
              </w:rPr>
              <w:t>3</w:t>
            </w:r>
            <w:r>
              <w:rPr>
                <w:szCs w:val="18"/>
              </w:rPr>
              <w:t xml:space="preserve"> vs NRT monotherapy (fast-acting)</w:t>
            </w:r>
          </w:p>
        </w:tc>
        <w:tc>
          <w:tcPr>
            <w:tcW w:w="1448" w:type="pct"/>
            <w:shd w:val="clear" w:color="auto" w:fill="F2F2F2" w:themeFill="background1" w:themeFillShade="F2"/>
            <w:hideMark/>
          </w:tcPr>
          <w:p w:rsidR="00C324F3" w:rsidRPr="00AA0389" w:rsidRDefault="00C324F3" w:rsidP="00C324F3">
            <w:pPr>
              <w:pStyle w:val="ListParagraph"/>
              <w:numPr>
                <w:ilvl w:val="0"/>
                <w:numId w:val="320"/>
              </w:numPr>
              <w:rPr>
                <w:szCs w:val="18"/>
              </w:rPr>
            </w:pPr>
            <w:r w:rsidRPr="00AA0389">
              <w:rPr>
                <w:szCs w:val="18"/>
              </w:rPr>
              <w:t>Lindson</w:t>
            </w:r>
            <w:r>
              <w:rPr>
                <w:szCs w:val="18"/>
              </w:rPr>
              <w:t xml:space="preserve"> </w:t>
            </w:r>
            <w:r w:rsidRPr="00AA0389">
              <w:rPr>
                <w:szCs w:val="18"/>
              </w:rPr>
              <w:t>(2019)</w:t>
            </w:r>
            <w:r w:rsidRPr="00AA0389">
              <w:rPr>
                <w:szCs w:val="18"/>
                <w:vertAlign w:val="superscript"/>
              </w:rPr>
              <w:t>6</w:t>
            </w:r>
          </w:p>
        </w:tc>
        <w:tc>
          <w:tcPr>
            <w:tcW w:w="2457" w:type="pct"/>
            <w:shd w:val="clear" w:color="auto" w:fill="F2F2F2" w:themeFill="background1" w:themeFillShade="F2"/>
            <w:hideMark/>
          </w:tcPr>
          <w:p w:rsidR="00C324F3" w:rsidRPr="00DE6EAF" w:rsidRDefault="00C324F3" w:rsidP="00C324F3">
            <w:pPr>
              <w:pStyle w:val="ListParagraph"/>
              <w:numPr>
                <w:ilvl w:val="0"/>
                <w:numId w:val="317"/>
              </w:numPr>
              <w:rPr>
                <w:szCs w:val="18"/>
              </w:rPr>
            </w:pPr>
            <w:r w:rsidRPr="008C25A6">
              <w:rPr>
                <w:szCs w:val="18"/>
                <w:u w:val="single"/>
              </w:rPr>
              <w:t>Efficacy:</w:t>
            </w:r>
            <w:r w:rsidRPr="008C25A6">
              <w:rPr>
                <w:szCs w:val="18"/>
              </w:rPr>
              <w:t xml:space="preserve"> Statistically significant based on RR</w:t>
            </w:r>
          </w:p>
          <w:p w:rsidR="00C324F3" w:rsidRPr="00AA0389" w:rsidRDefault="00C324F3" w:rsidP="00777459">
            <w:pPr>
              <w:pStyle w:val="ListParagraph"/>
              <w:ind w:left="360"/>
              <w:rPr>
                <w:szCs w:val="18"/>
              </w:rPr>
            </w:pPr>
            <w:r w:rsidRPr="007B1E27">
              <w:rPr>
                <w:szCs w:val="18"/>
              </w:rPr>
              <w:t>(in favour of patch+lozenge)</w:t>
            </w:r>
            <w:r>
              <w:rPr>
                <w:szCs w:val="18"/>
              </w:rPr>
              <w:t xml:space="preserve">; </w:t>
            </w:r>
            <w:r w:rsidRPr="007B1E27">
              <w:rPr>
                <w:szCs w:val="18"/>
              </w:rPr>
              <w:t>Not statistically significant</w:t>
            </w:r>
            <w:r>
              <w:rPr>
                <w:szCs w:val="18"/>
              </w:rPr>
              <w:t xml:space="preserve"> based on RR </w:t>
            </w:r>
            <w:r w:rsidRPr="00AA0389">
              <w:rPr>
                <w:szCs w:val="18"/>
              </w:rPr>
              <w:t>(patch+gum, patch+nasal spray and patch+inhaler).</w:t>
            </w:r>
          </w:p>
          <w:p w:rsidR="00C324F3"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7B1E27">
              <w:rPr>
                <w:szCs w:val="18"/>
              </w:rPr>
              <w:t>Not statistically significant</w:t>
            </w:r>
            <w:r>
              <w:rPr>
                <w:szCs w:val="18"/>
              </w:rPr>
              <w:t xml:space="preserve"> based on RR </w:t>
            </w:r>
            <w:r w:rsidRPr="007B1E27">
              <w:rPr>
                <w:szCs w:val="18"/>
              </w:rPr>
              <w:t>(</w:t>
            </w:r>
            <w:r>
              <w:rPr>
                <w:szCs w:val="18"/>
              </w:rPr>
              <w:t>S</w:t>
            </w:r>
            <w:r w:rsidRPr="007B1E27">
              <w:rPr>
                <w:szCs w:val="18"/>
              </w:rPr>
              <w:t>AEs, withdrawal due to treatment)</w:t>
            </w:r>
            <w:r>
              <w:rPr>
                <w:szCs w:val="18"/>
              </w:rPr>
              <w:t>.</w:t>
            </w:r>
          </w:p>
          <w:p w:rsidR="00C324F3" w:rsidRPr="00334A64" w:rsidRDefault="00C324F3" w:rsidP="00777459">
            <w:pPr>
              <w:rPr>
                <w:szCs w:val="18"/>
              </w:rPr>
            </w:pPr>
          </w:p>
        </w:tc>
      </w:tr>
      <w:tr w:rsidR="00C324F3" w:rsidRPr="00360862" w:rsidTr="00777459">
        <w:trPr>
          <w:trHeight w:val="523"/>
        </w:trPr>
        <w:tc>
          <w:tcPr>
            <w:tcW w:w="1095" w:type="pct"/>
            <w:shd w:val="clear" w:color="auto" w:fill="F2F2F2" w:themeFill="background1" w:themeFillShade="F2"/>
          </w:tcPr>
          <w:p w:rsidR="00C324F3" w:rsidRDefault="00C324F3" w:rsidP="00777459">
            <w:pPr>
              <w:rPr>
                <w:szCs w:val="18"/>
              </w:rPr>
            </w:pPr>
            <w:r>
              <w:rPr>
                <w:szCs w:val="18"/>
              </w:rPr>
              <w:t>Combination NRT</w:t>
            </w:r>
            <w:r>
              <w:rPr>
                <w:szCs w:val="18"/>
                <w:vertAlign w:val="superscript"/>
              </w:rPr>
              <w:t>4</w:t>
            </w:r>
            <w:r>
              <w:rPr>
                <w:szCs w:val="18"/>
              </w:rPr>
              <w:t xml:space="preserve"> vs varenicline</w:t>
            </w:r>
          </w:p>
        </w:tc>
        <w:tc>
          <w:tcPr>
            <w:tcW w:w="1448" w:type="pct"/>
            <w:shd w:val="clear" w:color="auto" w:fill="F2F2F2" w:themeFill="background1" w:themeFillShade="F2"/>
          </w:tcPr>
          <w:p w:rsidR="00C324F3" w:rsidRPr="00583050" w:rsidRDefault="00C324F3" w:rsidP="00C324F3">
            <w:pPr>
              <w:pStyle w:val="ListParagraph"/>
              <w:numPr>
                <w:ilvl w:val="0"/>
                <w:numId w:val="320"/>
              </w:numPr>
              <w:rPr>
                <w:szCs w:val="18"/>
              </w:rPr>
            </w:pPr>
            <w:r w:rsidRPr="00583050">
              <w:rPr>
                <w:szCs w:val="18"/>
              </w:rPr>
              <w:t>Chen (2020)</w:t>
            </w:r>
            <w:r w:rsidRPr="00583050">
              <w:rPr>
                <w:szCs w:val="18"/>
                <w:vertAlign w:val="superscript"/>
              </w:rPr>
              <w:t>7</w:t>
            </w:r>
          </w:p>
        </w:tc>
        <w:tc>
          <w:tcPr>
            <w:tcW w:w="2457" w:type="pct"/>
            <w:shd w:val="clear" w:color="auto" w:fill="F2F2F2" w:themeFill="background1" w:themeFillShade="F2"/>
          </w:tcPr>
          <w:p w:rsidR="00C324F3" w:rsidRPr="00583050" w:rsidRDefault="00C324F3" w:rsidP="00C324F3">
            <w:pPr>
              <w:pStyle w:val="ListParagraph"/>
              <w:numPr>
                <w:ilvl w:val="0"/>
                <w:numId w:val="320"/>
              </w:numPr>
              <w:rPr>
                <w:szCs w:val="18"/>
              </w:rPr>
            </w:pPr>
            <w:r w:rsidRPr="00A44ADB">
              <w:rPr>
                <w:szCs w:val="18"/>
                <w:u w:val="single"/>
              </w:rPr>
              <w:t xml:space="preserve">Efficacy: </w:t>
            </w:r>
            <w:r w:rsidRPr="00A44ADB">
              <w:rPr>
                <w:szCs w:val="18"/>
              </w:rPr>
              <w:t>Statistically significant</w:t>
            </w:r>
            <w:r>
              <w:rPr>
                <w:szCs w:val="18"/>
                <w:vertAlign w:val="superscript"/>
              </w:rPr>
              <w:t xml:space="preserve"> </w:t>
            </w:r>
            <w:r>
              <w:rPr>
                <w:szCs w:val="18"/>
              </w:rPr>
              <w:t>b</w:t>
            </w:r>
            <w:r w:rsidRPr="00583050">
              <w:rPr>
                <w:szCs w:val="18"/>
              </w:rPr>
              <w:t>ased on RR and RD (in favour of varenicline)</w:t>
            </w:r>
            <w:r>
              <w:rPr>
                <w:szCs w:val="18"/>
              </w:rPr>
              <w:t>.</w:t>
            </w:r>
          </w:p>
          <w:p w:rsidR="00C324F3" w:rsidRPr="002030E6" w:rsidRDefault="00C324F3" w:rsidP="00C324F3">
            <w:pPr>
              <w:pStyle w:val="ListParagraph"/>
              <w:numPr>
                <w:ilvl w:val="0"/>
                <w:numId w:val="320"/>
              </w:numPr>
              <w:rPr>
                <w:szCs w:val="18"/>
                <w:u w:val="single"/>
              </w:rPr>
            </w:pPr>
            <w:r w:rsidRPr="00A44ADB">
              <w:rPr>
                <w:szCs w:val="18"/>
                <w:u w:val="single"/>
              </w:rPr>
              <w:t xml:space="preserve">Safety: </w:t>
            </w:r>
            <w:r w:rsidRPr="002030E6">
              <w:rPr>
                <w:szCs w:val="18"/>
              </w:rPr>
              <w:t>Statistically significant</w:t>
            </w:r>
            <w:r>
              <w:rPr>
                <w:szCs w:val="18"/>
              </w:rPr>
              <w:t xml:space="preserve"> based on RR and RD </w:t>
            </w:r>
            <w:r w:rsidRPr="00A44ADB">
              <w:rPr>
                <w:szCs w:val="18"/>
              </w:rPr>
              <w:t>(nausea, vivid dreams; higher in varenicline</w:t>
            </w:r>
            <w:r w:rsidRPr="00DE6EAF">
              <w:rPr>
                <w:szCs w:val="18"/>
              </w:rPr>
              <w:t>)</w:t>
            </w:r>
            <w:r>
              <w:rPr>
                <w:szCs w:val="18"/>
              </w:rPr>
              <w:t xml:space="preserve">; </w:t>
            </w:r>
            <w:r w:rsidRPr="00A44ADB">
              <w:rPr>
                <w:szCs w:val="18"/>
              </w:rPr>
              <w:t>Not statistically significant</w:t>
            </w:r>
            <w:r>
              <w:rPr>
                <w:szCs w:val="18"/>
              </w:rPr>
              <w:t xml:space="preserve"> based on RR and RD </w:t>
            </w:r>
            <w:r w:rsidRPr="00A44ADB">
              <w:rPr>
                <w:szCs w:val="18"/>
              </w:rPr>
              <w:t xml:space="preserve">(vomiting, headache, insomnia, irregular heartbeat, </w:t>
            </w:r>
            <w:r>
              <w:rPr>
                <w:szCs w:val="18"/>
              </w:rPr>
              <w:t>S</w:t>
            </w:r>
            <w:r w:rsidRPr="00A44ADB">
              <w:rPr>
                <w:szCs w:val="18"/>
              </w:rPr>
              <w:t>AEs)</w:t>
            </w:r>
            <w:r>
              <w:rPr>
                <w:szCs w:val="18"/>
              </w:rPr>
              <w:t>.</w:t>
            </w:r>
          </w:p>
        </w:tc>
      </w:tr>
      <w:tr w:rsidR="00C324F3" w:rsidRPr="00360862" w:rsidTr="00777459">
        <w:trPr>
          <w:trHeight w:val="523"/>
        </w:trPr>
        <w:tc>
          <w:tcPr>
            <w:tcW w:w="1095" w:type="pct"/>
            <w:shd w:val="clear" w:color="auto" w:fill="F2F2F2" w:themeFill="background1" w:themeFillShade="F2"/>
          </w:tcPr>
          <w:p w:rsidR="00C324F3" w:rsidRDefault="00C324F3" w:rsidP="00777459">
            <w:pPr>
              <w:rPr>
                <w:szCs w:val="18"/>
              </w:rPr>
            </w:pPr>
            <w:r>
              <w:rPr>
                <w:szCs w:val="18"/>
              </w:rPr>
              <w:t>Combination NRT</w:t>
            </w:r>
            <w:r>
              <w:rPr>
                <w:szCs w:val="18"/>
                <w:vertAlign w:val="superscript"/>
              </w:rPr>
              <w:t>5</w:t>
            </w:r>
            <w:r>
              <w:rPr>
                <w:szCs w:val="18"/>
              </w:rPr>
              <w:t xml:space="preserve"> vs varenicline</w:t>
            </w:r>
          </w:p>
        </w:tc>
        <w:tc>
          <w:tcPr>
            <w:tcW w:w="1448" w:type="pct"/>
            <w:shd w:val="clear" w:color="auto" w:fill="F2F2F2" w:themeFill="background1" w:themeFillShade="F2"/>
          </w:tcPr>
          <w:p w:rsidR="00C324F3" w:rsidRPr="006C1DAD" w:rsidRDefault="00C324F3" w:rsidP="00C324F3">
            <w:pPr>
              <w:pStyle w:val="ListParagraph"/>
              <w:numPr>
                <w:ilvl w:val="0"/>
                <w:numId w:val="320"/>
              </w:numPr>
              <w:rPr>
                <w:szCs w:val="18"/>
              </w:rPr>
            </w:pPr>
            <w:r w:rsidRPr="00583050">
              <w:rPr>
                <w:szCs w:val="18"/>
              </w:rPr>
              <w:t>Cahill (2013)</w:t>
            </w:r>
            <w:r w:rsidRPr="00583050">
              <w:rPr>
                <w:szCs w:val="18"/>
                <w:vertAlign w:val="superscript"/>
              </w:rPr>
              <w:t>6</w:t>
            </w:r>
          </w:p>
        </w:tc>
        <w:tc>
          <w:tcPr>
            <w:tcW w:w="2457" w:type="pct"/>
            <w:shd w:val="clear" w:color="auto" w:fill="F2F2F2" w:themeFill="background1" w:themeFillShade="F2"/>
          </w:tcPr>
          <w:p w:rsidR="00C324F3" w:rsidRPr="00876252" w:rsidRDefault="00C324F3" w:rsidP="00C324F3">
            <w:pPr>
              <w:pStyle w:val="ListParagraph"/>
              <w:numPr>
                <w:ilvl w:val="0"/>
                <w:numId w:val="320"/>
              </w:numPr>
              <w:rPr>
                <w:szCs w:val="18"/>
              </w:rPr>
            </w:pPr>
            <w:r w:rsidRPr="00876252">
              <w:rPr>
                <w:szCs w:val="18"/>
                <w:u w:val="single"/>
              </w:rPr>
              <w:t xml:space="preserve">Efficacy: </w:t>
            </w:r>
            <w:r w:rsidRPr="00876252">
              <w:rPr>
                <w:szCs w:val="18"/>
              </w:rPr>
              <w:t>Not statistically significant</w:t>
            </w:r>
            <w:r>
              <w:rPr>
                <w:szCs w:val="18"/>
              </w:rPr>
              <w:t xml:space="preserve"> based on OR.</w:t>
            </w:r>
          </w:p>
          <w:p w:rsidR="00C324F3" w:rsidRPr="00876252" w:rsidRDefault="00C324F3" w:rsidP="00C324F3">
            <w:pPr>
              <w:pStyle w:val="ListParagraph"/>
              <w:numPr>
                <w:ilvl w:val="0"/>
                <w:numId w:val="320"/>
              </w:numPr>
              <w:rPr>
                <w:szCs w:val="18"/>
                <w:u w:val="single"/>
              </w:rPr>
            </w:pPr>
            <w:r w:rsidRPr="00876252">
              <w:rPr>
                <w:szCs w:val="18"/>
                <w:u w:val="single"/>
              </w:rPr>
              <w:t>Safety:</w:t>
            </w:r>
            <w:r w:rsidRPr="00876252">
              <w:rPr>
                <w:szCs w:val="18"/>
              </w:rPr>
              <w:t xml:space="preserve"> No safety comparison was conducted by the authors</w:t>
            </w:r>
            <w:r>
              <w:rPr>
                <w:szCs w:val="18"/>
              </w:rPr>
              <w:t>.</w:t>
            </w:r>
          </w:p>
        </w:tc>
      </w:tr>
      <w:tr w:rsidR="00C324F3" w:rsidRPr="00360862" w:rsidTr="00777459">
        <w:trPr>
          <w:trHeight w:val="523"/>
        </w:trPr>
        <w:tc>
          <w:tcPr>
            <w:tcW w:w="1095" w:type="pct"/>
            <w:shd w:val="clear" w:color="auto" w:fill="F2F2F2" w:themeFill="background1" w:themeFillShade="F2"/>
          </w:tcPr>
          <w:p w:rsidR="00C324F3" w:rsidRDefault="00C324F3" w:rsidP="00777459">
            <w:pPr>
              <w:rPr>
                <w:szCs w:val="18"/>
              </w:rPr>
            </w:pPr>
            <w:r>
              <w:rPr>
                <w:szCs w:val="18"/>
              </w:rPr>
              <w:t>Combination NRT</w:t>
            </w:r>
            <w:r>
              <w:rPr>
                <w:szCs w:val="18"/>
                <w:vertAlign w:val="superscript"/>
              </w:rPr>
              <w:t>5</w:t>
            </w:r>
            <w:r>
              <w:rPr>
                <w:szCs w:val="18"/>
              </w:rPr>
              <w:t xml:space="preserve"> vs bupropion</w:t>
            </w:r>
          </w:p>
        </w:tc>
        <w:tc>
          <w:tcPr>
            <w:tcW w:w="1448" w:type="pct"/>
            <w:shd w:val="clear" w:color="auto" w:fill="F2F2F2" w:themeFill="background1" w:themeFillShade="F2"/>
          </w:tcPr>
          <w:p w:rsidR="00C324F3" w:rsidRPr="006C1DAD" w:rsidRDefault="00C324F3" w:rsidP="00C324F3">
            <w:pPr>
              <w:pStyle w:val="ListParagraph"/>
              <w:numPr>
                <w:ilvl w:val="0"/>
                <w:numId w:val="320"/>
              </w:numPr>
              <w:rPr>
                <w:szCs w:val="18"/>
              </w:rPr>
            </w:pPr>
            <w:r w:rsidRPr="00583050">
              <w:rPr>
                <w:szCs w:val="18"/>
              </w:rPr>
              <w:t>Cahill (2013)</w:t>
            </w:r>
            <w:r w:rsidRPr="00583050">
              <w:rPr>
                <w:szCs w:val="18"/>
                <w:vertAlign w:val="superscript"/>
              </w:rPr>
              <w:t>6</w:t>
            </w:r>
          </w:p>
        </w:tc>
        <w:tc>
          <w:tcPr>
            <w:tcW w:w="2457" w:type="pct"/>
            <w:shd w:val="clear" w:color="auto" w:fill="F2F2F2" w:themeFill="background1" w:themeFillShade="F2"/>
          </w:tcPr>
          <w:p w:rsidR="00C324F3" w:rsidRPr="00583050" w:rsidRDefault="00C324F3" w:rsidP="00C324F3">
            <w:pPr>
              <w:pStyle w:val="ListParagraph"/>
              <w:numPr>
                <w:ilvl w:val="0"/>
                <w:numId w:val="320"/>
              </w:numPr>
              <w:rPr>
                <w:szCs w:val="18"/>
              </w:rPr>
            </w:pPr>
            <w:r w:rsidRPr="00876252">
              <w:rPr>
                <w:szCs w:val="18"/>
                <w:u w:val="single"/>
              </w:rPr>
              <w:t xml:space="preserve">Efficacy: </w:t>
            </w:r>
            <w:r w:rsidRPr="00876252">
              <w:rPr>
                <w:szCs w:val="18"/>
              </w:rPr>
              <w:t>Statistically significant</w:t>
            </w:r>
            <w:r>
              <w:rPr>
                <w:szCs w:val="18"/>
              </w:rPr>
              <w:t xml:space="preserve"> based on OR </w:t>
            </w:r>
            <w:r w:rsidRPr="00583050">
              <w:rPr>
                <w:szCs w:val="18"/>
              </w:rPr>
              <w:t>(in favour of combination NRT)</w:t>
            </w:r>
            <w:r>
              <w:rPr>
                <w:szCs w:val="18"/>
              </w:rPr>
              <w:t>.</w:t>
            </w:r>
          </w:p>
          <w:p w:rsidR="00C324F3" w:rsidRPr="00876252" w:rsidRDefault="00C324F3" w:rsidP="00C324F3">
            <w:pPr>
              <w:pStyle w:val="ListParagraph"/>
              <w:numPr>
                <w:ilvl w:val="0"/>
                <w:numId w:val="320"/>
              </w:numPr>
              <w:rPr>
                <w:szCs w:val="18"/>
                <w:u w:val="single"/>
              </w:rPr>
            </w:pPr>
            <w:r w:rsidRPr="00876252">
              <w:rPr>
                <w:szCs w:val="18"/>
                <w:u w:val="single"/>
              </w:rPr>
              <w:t xml:space="preserve">Safety: </w:t>
            </w:r>
            <w:r w:rsidRPr="00876252">
              <w:rPr>
                <w:szCs w:val="18"/>
              </w:rPr>
              <w:t>No safety comparison was conducted by the authors.</w:t>
            </w:r>
          </w:p>
        </w:tc>
      </w:tr>
    </w:tbl>
    <w:p w:rsidR="00C324F3" w:rsidRDefault="00C324F3" w:rsidP="00C324F3">
      <w:pPr>
        <w:pStyle w:val="TableFooter"/>
      </w:pPr>
      <w:r>
        <w:t>Abbreviations: AEs = adverse events; NRT = nicotine replacement therapy; OR = odds ratio; RR = risk ratio, RD = risk difference; SAEs = serious adverse events.</w:t>
      </w:r>
    </w:p>
    <w:p w:rsidR="00C324F3" w:rsidRDefault="00C324F3" w:rsidP="00C324F3">
      <w:pPr>
        <w:pStyle w:val="TableFooter"/>
      </w:pPr>
      <w:r w:rsidRPr="00BE36E8">
        <w:t xml:space="preserve">Notes: </w:t>
      </w:r>
    </w:p>
    <w:p w:rsidR="00C324F3" w:rsidRPr="007B1E27" w:rsidRDefault="00C324F3" w:rsidP="00C324F3">
      <w:pPr>
        <w:pStyle w:val="TableFooter"/>
      </w:pPr>
      <w:r>
        <w:t xml:space="preserve">1 </w:t>
      </w:r>
      <w:r w:rsidRPr="007B1E27">
        <w:t>Combination NRT administered either as patch+lozenge, patch+gum, patch+inhaler, or patch+lozenge and gum.</w:t>
      </w:r>
    </w:p>
    <w:p w:rsidR="00C324F3" w:rsidRPr="007B1E27" w:rsidRDefault="00C324F3" w:rsidP="00C324F3">
      <w:pPr>
        <w:pStyle w:val="TableFooter"/>
      </w:pPr>
      <w:r>
        <w:t xml:space="preserve">2 </w:t>
      </w:r>
      <w:r w:rsidRPr="007B1E27">
        <w:t>Combination NRT administered either as patch+lozenge, patch+gum, patch+inhaler, patch+nasal spray, or patch+oral spray.</w:t>
      </w:r>
    </w:p>
    <w:p w:rsidR="00C324F3" w:rsidRPr="007B1E27" w:rsidRDefault="00C324F3" w:rsidP="00C324F3">
      <w:pPr>
        <w:pStyle w:val="TableFooter"/>
      </w:pPr>
      <w:r>
        <w:t xml:space="preserve">3 </w:t>
      </w:r>
      <w:r w:rsidRPr="007B1E27">
        <w:t>Combination NRT administered either as patch+lozenge, patch+gum, patch+inhaler, or patch+nasal spray.</w:t>
      </w:r>
    </w:p>
    <w:p w:rsidR="00C324F3" w:rsidRPr="00A44ADB" w:rsidRDefault="00C324F3" w:rsidP="00C324F3">
      <w:pPr>
        <w:pStyle w:val="TableFooter"/>
      </w:pPr>
      <w:r>
        <w:t>4</w:t>
      </w:r>
      <w:r w:rsidRPr="00BE36E8">
        <w:t xml:space="preserve"> </w:t>
      </w:r>
      <w:r w:rsidRPr="00A44ADB">
        <w:t>Combination of NRT patches and lozenges.</w:t>
      </w:r>
    </w:p>
    <w:p w:rsidR="00C324F3" w:rsidRPr="00A44ADB" w:rsidRDefault="00C324F3" w:rsidP="00C324F3">
      <w:pPr>
        <w:pStyle w:val="TableFooter"/>
      </w:pPr>
      <w:r>
        <w:t xml:space="preserve">5 </w:t>
      </w:r>
      <w:r w:rsidRPr="00A44ADB">
        <w:t>The types of formulations used in the combination NRT treatment arm were clinically heterogeneous.</w:t>
      </w:r>
    </w:p>
    <w:p w:rsidR="00C324F3" w:rsidRDefault="00C324F3" w:rsidP="00C324F3">
      <w:pPr>
        <w:pStyle w:val="TableFooter"/>
      </w:pPr>
      <w:r>
        <w:t xml:space="preserve">6 </w:t>
      </w:r>
      <w:r w:rsidRPr="00BE36E8">
        <w:t>Cochrane Review</w:t>
      </w:r>
      <w:r>
        <w:t>.</w:t>
      </w:r>
    </w:p>
    <w:p w:rsidR="00C324F3" w:rsidRPr="007F4C6A" w:rsidRDefault="00C324F3" w:rsidP="00C324F3">
      <w:pPr>
        <w:pStyle w:val="TableFooter"/>
      </w:pPr>
      <w:r>
        <w:t>7 Supplemental evidence (RCT).</w:t>
      </w:r>
    </w:p>
    <w:p w:rsidR="00C324F3" w:rsidRDefault="00C324F3" w:rsidP="00C324F3">
      <w:pPr>
        <w:pStyle w:val="TableFooter"/>
        <w:keepNext/>
      </w:pPr>
      <w:r>
        <w:t xml:space="preserve">8 </w:t>
      </w:r>
      <w:r w:rsidRPr="007B1E27">
        <w:t>Statistically significant based on risk ratio but not significant based on risk difference (RR = 1.60, 95% CI: 1.10, 2.32; RD = 0.10, 95% CI: 0.10, -0.04, 0.23).</w:t>
      </w:r>
    </w:p>
    <w:p w:rsidR="00C324F3" w:rsidRPr="0043205F" w:rsidRDefault="00C324F3" w:rsidP="00C324F3">
      <w:pPr>
        <w:pStyle w:val="TableFooter"/>
        <w:keepNext/>
      </w:pPr>
    </w:p>
    <w:p w:rsidR="00C324F3" w:rsidRPr="003C0301" w:rsidRDefault="00C324F3" w:rsidP="00C324F3">
      <w:pPr>
        <w:rPr>
          <w:b/>
          <w:bCs/>
        </w:rPr>
      </w:pPr>
      <w:r w:rsidRPr="003C0301">
        <w:rPr>
          <w:b/>
          <w:bCs/>
        </w:rPr>
        <w:t>Combination varenicline</w:t>
      </w:r>
    </w:p>
    <w:p w:rsidR="00C324F3" w:rsidRPr="00925038" w:rsidRDefault="00C324F3" w:rsidP="00C324F3">
      <w:r w:rsidRPr="00925038">
        <w:lastRenderedPageBreak/>
        <w:t>Treatment-naïve population</w:t>
      </w:r>
    </w:p>
    <w:p w:rsidR="00C324F3" w:rsidRPr="00A81526" w:rsidRDefault="00C324F3" w:rsidP="00C324F3">
      <w:pPr>
        <w:pStyle w:val="ListParagraph"/>
        <w:numPr>
          <w:ilvl w:val="0"/>
          <w:numId w:val="278"/>
        </w:numPr>
      </w:pPr>
      <w:r w:rsidRPr="00925038">
        <w:t xml:space="preserve">Varenicline in combination with NRT patch was shown to be superior to varenicline alone in terms of efficacy, </w:t>
      </w:r>
      <w:r>
        <w:t>but</w:t>
      </w:r>
      <w:r w:rsidRPr="00A81526">
        <w:t xml:space="preserve"> the results were no longer significant after excluding one RCT identified to be different in study design (pre-cessation treatment with patch) and participant characteristics (more females than males). There were no statistically significant differences between varenicline plus NRT patch and varenicline alone in terms of nausea, insomnia, abnormal dreams or headache.</w:t>
      </w:r>
    </w:p>
    <w:p w:rsidR="00C324F3" w:rsidRDefault="00C324F3" w:rsidP="00C324F3">
      <w:pPr>
        <w:pStyle w:val="ListParagraph"/>
        <w:numPr>
          <w:ilvl w:val="0"/>
          <w:numId w:val="278"/>
        </w:numPr>
      </w:pPr>
      <w:r>
        <w:t>There were no statistically significant differences between v</w:t>
      </w:r>
      <w:r w:rsidRPr="00734F63">
        <w:t xml:space="preserve">arenicline plus bupropion </w:t>
      </w:r>
      <w:r>
        <w:t xml:space="preserve">compared </w:t>
      </w:r>
      <w:r w:rsidRPr="00734F63">
        <w:t xml:space="preserve">to varenicline alone in terms of efficacy. </w:t>
      </w:r>
      <w:r>
        <w:t>While</w:t>
      </w:r>
      <w:r w:rsidRPr="00734F63">
        <w:t xml:space="preserve"> a significantly higher proportion of patients in the varenicline plus bupropion arm experienc</w:t>
      </w:r>
      <w:r>
        <w:t>ed</w:t>
      </w:r>
      <w:r w:rsidRPr="00734F63">
        <w:t xml:space="preserve"> any adverse events and psychiatric adverse events compared with patients in the varenicline alone arm, there were no statistically significant differences in serious adverse events and discontinuation due to adverse events.</w:t>
      </w:r>
    </w:p>
    <w:tbl>
      <w:tblPr>
        <w:tblStyle w:val="TableGrid3"/>
        <w:tblW w:w="5000" w:type="pct"/>
        <w:shd w:val="clear" w:color="auto" w:fill="F2F2F2" w:themeFill="background1" w:themeFillShade="F2"/>
        <w:tblLook w:val="04A0" w:firstRow="1" w:lastRow="0" w:firstColumn="1" w:lastColumn="0" w:noHBand="0" w:noVBand="1"/>
      </w:tblPr>
      <w:tblGrid>
        <w:gridCol w:w="2154"/>
        <w:gridCol w:w="1800"/>
        <w:gridCol w:w="5062"/>
      </w:tblGrid>
      <w:tr w:rsidR="00C324F3" w:rsidRPr="00916516" w:rsidTr="00777459">
        <w:trPr>
          <w:trHeight w:val="67"/>
        </w:trPr>
        <w:tc>
          <w:tcPr>
            <w:tcW w:w="1195" w:type="pct"/>
            <w:shd w:val="clear" w:color="auto" w:fill="F2F2F2" w:themeFill="background1" w:themeFillShade="F2"/>
            <w:hideMark/>
          </w:tcPr>
          <w:p w:rsidR="00C324F3" w:rsidRPr="00916516" w:rsidRDefault="00C324F3" w:rsidP="00777459">
            <w:pPr>
              <w:rPr>
                <w:szCs w:val="18"/>
              </w:rPr>
            </w:pPr>
            <w:r w:rsidRPr="00916516">
              <w:rPr>
                <w:b/>
                <w:bCs/>
                <w:szCs w:val="18"/>
              </w:rPr>
              <w:t>Compar</w:t>
            </w:r>
            <w:r>
              <w:rPr>
                <w:b/>
                <w:bCs/>
                <w:szCs w:val="18"/>
              </w:rPr>
              <w:t>ison</w:t>
            </w:r>
          </w:p>
        </w:tc>
        <w:tc>
          <w:tcPr>
            <w:tcW w:w="998" w:type="pct"/>
            <w:shd w:val="clear" w:color="auto" w:fill="F2F2F2" w:themeFill="background1" w:themeFillShade="F2"/>
            <w:hideMark/>
          </w:tcPr>
          <w:p w:rsidR="00C324F3" w:rsidRPr="00916516" w:rsidRDefault="00C324F3" w:rsidP="00777459">
            <w:pPr>
              <w:jc w:val="center"/>
              <w:rPr>
                <w:szCs w:val="18"/>
              </w:rPr>
            </w:pPr>
            <w:r>
              <w:rPr>
                <w:b/>
                <w:bCs/>
                <w:szCs w:val="18"/>
              </w:rPr>
              <w:t>Included studies</w:t>
            </w:r>
          </w:p>
        </w:tc>
        <w:tc>
          <w:tcPr>
            <w:tcW w:w="2807" w:type="pct"/>
            <w:shd w:val="clear" w:color="auto" w:fill="F2F2F2" w:themeFill="background1" w:themeFillShade="F2"/>
            <w:hideMark/>
          </w:tcPr>
          <w:p w:rsidR="00C324F3" w:rsidRPr="00916516" w:rsidRDefault="00C324F3" w:rsidP="00777459">
            <w:pPr>
              <w:jc w:val="center"/>
              <w:rPr>
                <w:szCs w:val="18"/>
              </w:rPr>
            </w:pPr>
            <w:r>
              <w:rPr>
                <w:b/>
                <w:bCs/>
                <w:szCs w:val="18"/>
              </w:rPr>
              <w:t>Summary of evidence</w:t>
            </w:r>
          </w:p>
        </w:tc>
      </w:tr>
      <w:tr w:rsidR="00C324F3" w:rsidRPr="00916516" w:rsidTr="00777459">
        <w:trPr>
          <w:trHeight w:val="164"/>
        </w:trPr>
        <w:tc>
          <w:tcPr>
            <w:tcW w:w="5000" w:type="pct"/>
            <w:gridSpan w:val="3"/>
            <w:shd w:val="clear" w:color="auto" w:fill="F2F2F2" w:themeFill="background1" w:themeFillShade="F2"/>
            <w:hideMark/>
          </w:tcPr>
          <w:p w:rsidR="00C324F3" w:rsidRPr="00916516" w:rsidRDefault="00C324F3" w:rsidP="00777459">
            <w:pPr>
              <w:tabs>
                <w:tab w:val="left" w:pos="3037"/>
              </w:tabs>
              <w:rPr>
                <w:szCs w:val="18"/>
              </w:rPr>
            </w:pPr>
            <w:r w:rsidRPr="00916516">
              <w:rPr>
                <w:b/>
                <w:bCs/>
                <w:szCs w:val="18"/>
              </w:rPr>
              <w:t>Treatment-naïve populatio</w:t>
            </w:r>
            <w:r>
              <w:rPr>
                <w:b/>
                <w:bCs/>
                <w:szCs w:val="18"/>
              </w:rPr>
              <w:t>n</w:t>
            </w:r>
          </w:p>
        </w:tc>
      </w:tr>
      <w:tr w:rsidR="00C324F3" w:rsidRPr="0063070A" w:rsidTr="00777459">
        <w:trPr>
          <w:trHeight w:val="345"/>
        </w:trPr>
        <w:tc>
          <w:tcPr>
            <w:tcW w:w="1195" w:type="pct"/>
            <w:shd w:val="clear" w:color="auto" w:fill="F2F2F2" w:themeFill="background1" w:themeFillShade="F2"/>
            <w:hideMark/>
          </w:tcPr>
          <w:p w:rsidR="00C324F3" w:rsidRPr="00360862" w:rsidRDefault="00C324F3" w:rsidP="00777459">
            <w:pPr>
              <w:tabs>
                <w:tab w:val="left" w:pos="1198"/>
              </w:tabs>
              <w:spacing w:after="200"/>
              <w:rPr>
                <w:szCs w:val="18"/>
              </w:rPr>
            </w:pPr>
            <w:r w:rsidRPr="00552AFA">
              <w:rPr>
                <w:szCs w:val="18"/>
              </w:rPr>
              <w:t>Varenicline + NRT patch</w:t>
            </w:r>
            <w:r>
              <w:rPr>
                <w:szCs w:val="18"/>
              </w:rPr>
              <w:t xml:space="preserve"> vs varenicline alone</w:t>
            </w:r>
          </w:p>
        </w:tc>
        <w:tc>
          <w:tcPr>
            <w:tcW w:w="998" w:type="pct"/>
            <w:shd w:val="clear" w:color="auto" w:fill="F2F2F2" w:themeFill="background1" w:themeFillShade="F2"/>
            <w:hideMark/>
          </w:tcPr>
          <w:p w:rsidR="00C324F3" w:rsidRPr="00614418" w:rsidRDefault="00C324F3" w:rsidP="00C324F3">
            <w:pPr>
              <w:pStyle w:val="ListParagraph"/>
              <w:numPr>
                <w:ilvl w:val="0"/>
                <w:numId w:val="318"/>
              </w:numPr>
              <w:rPr>
                <w:szCs w:val="18"/>
              </w:rPr>
            </w:pPr>
            <w:r w:rsidRPr="00614418">
              <w:rPr>
                <w:szCs w:val="18"/>
              </w:rPr>
              <w:t>Chang</w:t>
            </w:r>
            <w:r>
              <w:rPr>
                <w:szCs w:val="18"/>
              </w:rPr>
              <w:t xml:space="preserve"> </w:t>
            </w:r>
            <w:r w:rsidRPr="00614418">
              <w:rPr>
                <w:szCs w:val="18"/>
              </w:rPr>
              <w:t>(2015</w:t>
            </w:r>
            <w:r>
              <w:rPr>
                <w:szCs w:val="18"/>
              </w:rPr>
              <w:t>)</w:t>
            </w:r>
            <w:r w:rsidRPr="00614418">
              <w:rPr>
                <w:szCs w:val="18"/>
                <w:vertAlign w:val="superscript"/>
              </w:rPr>
              <w:t>2</w:t>
            </w:r>
          </w:p>
        </w:tc>
        <w:tc>
          <w:tcPr>
            <w:tcW w:w="2807" w:type="pct"/>
            <w:shd w:val="clear" w:color="auto" w:fill="F2F2F2" w:themeFill="background1" w:themeFillShade="F2"/>
            <w:hideMark/>
          </w:tcPr>
          <w:p w:rsidR="00C324F3" w:rsidRPr="00552AFA" w:rsidRDefault="00C324F3" w:rsidP="00C324F3">
            <w:pPr>
              <w:pStyle w:val="ListParagraph"/>
              <w:numPr>
                <w:ilvl w:val="0"/>
                <w:numId w:val="317"/>
              </w:numPr>
              <w:rPr>
                <w:szCs w:val="18"/>
              </w:rPr>
            </w:pPr>
            <w:r w:rsidRPr="00360862">
              <w:rPr>
                <w:szCs w:val="18"/>
                <w:u w:val="single"/>
              </w:rPr>
              <w:t>Efficacy</w:t>
            </w:r>
            <w:r w:rsidRPr="00360862">
              <w:rPr>
                <w:szCs w:val="18"/>
              </w:rPr>
              <w:t xml:space="preserve">: </w:t>
            </w:r>
            <w:r w:rsidRPr="00552AFA">
              <w:rPr>
                <w:szCs w:val="18"/>
              </w:rPr>
              <w:t>Statistically significant</w:t>
            </w:r>
            <w:r>
              <w:rPr>
                <w:szCs w:val="18"/>
                <w:vertAlign w:val="superscript"/>
              </w:rPr>
              <w:t xml:space="preserve">3 </w:t>
            </w:r>
            <w:r>
              <w:rPr>
                <w:szCs w:val="18"/>
              </w:rPr>
              <w:t xml:space="preserve">based on OR </w:t>
            </w:r>
            <w:r w:rsidRPr="00552AFA">
              <w:rPr>
                <w:szCs w:val="18"/>
              </w:rPr>
              <w:t>(in favour of varenicline+NRT patch)</w:t>
            </w:r>
            <w:r>
              <w:rPr>
                <w:szCs w:val="18"/>
              </w:rPr>
              <w:t>.</w:t>
            </w:r>
          </w:p>
          <w:p w:rsidR="00C324F3" w:rsidRPr="00552AFA"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552AFA">
              <w:rPr>
                <w:szCs w:val="18"/>
              </w:rPr>
              <w:t>Not statistically significant</w:t>
            </w:r>
            <w:r>
              <w:rPr>
                <w:szCs w:val="18"/>
              </w:rPr>
              <w:t xml:space="preserve"> based on OR </w:t>
            </w:r>
            <w:r w:rsidRPr="00552AFA">
              <w:rPr>
                <w:szCs w:val="18"/>
              </w:rPr>
              <w:t>(nausea, insomnia, abnormal dreams, headache)</w:t>
            </w:r>
            <w:r>
              <w:rPr>
                <w:szCs w:val="18"/>
              </w:rPr>
              <w:t>.</w:t>
            </w:r>
          </w:p>
        </w:tc>
      </w:tr>
      <w:tr w:rsidR="00C324F3" w:rsidRPr="00360862" w:rsidTr="00777459">
        <w:trPr>
          <w:trHeight w:val="617"/>
        </w:trPr>
        <w:tc>
          <w:tcPr>
            <w:tcW w:w="1195" w:type="pct"/>
            <w:shd w:val="clear" w:color="auto" w:fill="F2F2F2" w:themeFill="background1" w:themeFillShade="F2"/>
            <w:hideMark/>
          </w:tcPr>
          <w:p w:rsidR="00C324F3" w:rsidRPr="00360862" w:rsidRDefault="00C324F3" w:rsidP="00777459">
            <w:pPr>
              <w:spacing w:after="200"/>
              <w:rPr>
                <w:szCs w:val="18"/>
              </w:rPr>
            </w:pPr>
            <w:r w:rsidRPr="00552AFA">
              <w:rPr>
                <w:szCs w:val="18"/>
              </w:rPr>
              <w:t>Varenicline + bupropion</w:t>
            </w:r>
            <w:r>
              <w:rPr>
                <w:szCs w:val="18"/>
              </w:rPr>
              <w:t xml:space="preserve"> vs vs varenicline alone</w:t>
            </w:r>
          </w:p>
        </w:tc>
        <w:tc>
          <w:tcPr>
            <w:tcW w:w="998" w:type="pct"/>
            <w:shd w:val="clear" w:color="auto" w:fill="F2F2F2" w:themeFill="background1" w:themeFillShade="F2"/>
            <w:hideMark/>
          </w:tcPr>
          <w:p w:rsidR="00C324F3" w:rsidRPr="002A5E9C" w:rsidRDefault="00C324F3" w:rsidP="00C324F3">
            <w:pPr>
              <w:pStyle w:val="ListParagraph"/>
              <w:numPr>
                <w:ilvl w:val="0"/>
                <w:numId w:val="319"/>
              </w:numPr>
              <w:rPr>
                <w:szCs w:val="18"/>
              </w:rPr>
            </w:pPr>
            <w:r>
              <w:rPr>
                <w:rFonts w:eastAsia="MS Mincho"/>
              </w:rPr>
              <w:t>Howes</w:t>
            </w:r>
            <w:r w:rsidRPr="00061F78">
              <w:rPr>
                <w:rFonts w:eastAsia="MS Mincho"/>
              </w:rPr>
              <w:t xml:space="preserve"> (20</w:t>
            </w:r>
            <w:r>
              <w:rPr>
                <w:rFonts w:eastAsia="MS Mincho"/>
              </w:rPr>
              <w:t>20</w:t>
            </w:r>
            <w:r w:rsidRPr="00061F78">
              <w:rPr>
                <w:rFonts w:eastAsia="MS Mincho"/>
              </w:rPr>
              <w:t>)</w:t>
            </w:r>
            <w:r w:rsidRPr="00614418">
              <w:rPr>
                <w:rFonts w:eastAsia="MS Mincho"/>
                <w:vertAlign w:val="superscript"/>
              </w:rPr>
              <w:t>1</w:t>
            </w:r>
          </w:p>
        </w:tc>
        <w:tc>
          <w:tcPr>
            <w:tcW w:w="2807" w:type="pct"/>
            <w:shd w:val="clear" w:color="auto" w:fill="F2F2F2" w:themeFill="background1" w:themeFillShade="F2"/>
            <w:hideMark/>
          </w:tcPr>
          <w:p w:rsidR="00C324F3" w:rsidRPr="00552AFA" w:rsidRDefault="00C324F3" w:rsidP="00C324F3">
            <w:pPr>
              <w:pStyle w:val="ListParagraph"/>
              <w:numPr>
                <w:ilvl w:val="0"/>
                <w:numId w:val="317"/>
              </w:numPr>
              <w:rPr>
                <w:szCs w:val="18"/>
              </w:rPr>
            </w:pPr>
            <w:r w:rsidRPr="00360862">
              <w:rPr>
                <w:szCs w:val="18"/>
                <w:u w:val="single"/>
              </w:rPr>
              <w:t>Efficacy</w:t>
            </w:r>
            <w:r w:rsidRPr="00360862">
              <w:rPr>
                <w:szCs w:val="18"/>
              </w:rPr>
              <w:t xml:space="preserve">: </w:t>
            </w:r>
            <w:r w:rsidRPr="00552AFA">
              <w:rPr>
                <w:szCs w:val="18"/>
              </w:rPr>
              <w:t>Not statistically significant</w:t>
            </w:r>
            <w:r>
              <w:rPr>
                <w:szCs w:val="18"/>
              </w:rPr>
              <w:t xml:space="preserve"> based on RR. </w:t>
            </w:r>
          </w:p>
          <w:p w:rsidR="00C324F3"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552AFA">
              <w:rPr>
                <w:szCs w:val="18"/>
              </w:rPr>
              <w:t>Statistically significant</w:t>
            </w:r>
            <w:r>
              <w:rPr>
                <w:szCs w:val="18"/>
              </w:rPr>
              <w:t xml:space="preserve"> based on RR </w:t>
            </w:r>
            <w:r w:rsidRPr="00552AFA">
              <w:rPr>
                <w:szCs w:val="18"/>
              </w:rPr>
              <w:t>(any AEs, psychiatric AEs; higher in varenicline+bupropion)</w:t>
            </w:r>
            <w:r>
              <w:rPr>
                <w:szCs w:val="18"/>
              </w:rPr>
              <w:t>;</w:t>
            </w:r>
          </w:p>
          <w:p w:rsidR="00C324F3" w:rsidRPr="00552AFA" w:rsidRDefault="00C324F3" w:rsidP="00777459">
            <w:pPr>
              <w:pStyle w:val="ListParagraph"/>
              <w:ind w:left="360"/>
              <w:rPr>
                <w:szCs w:val="18"/>
              </w:rPr>
            </w:pPr>
            <w:r w:rsidRPr="00552AFA">
              <w:rPr>
                <w:szCs w:val="18"/>
              </w:rPr>
              <w:t xml:space="preserve">Not statistically significant </w:t>
            </w:r>
            <w:r>
              <w:rPr>
                <w:szCs w:val="18"/>
              </w:rPr>
              <w:t xml:space="preserve">based on RR </w:t>
            </w:r>
            <w:r w:rsidRPr="00552AFA">
              <w:rPr>
                <w:szCs w:val="18"/>
              </w:rPr>
              <w:t>(</w:t>
            </w:r>
            <w:r>
              <w:rPr>
                <w:szCs w:val="18"/>
              </w:rPr>
              <w:t>S</w:t>
            </w:r>
            <w:r w:rsidRPr="00552AFA">
              <w:rPr>
                <w:szCs w:val="18"/>
              </w:rPr>
              <w:t>AEs, discontinuation due to AEs)</w:t>
            </w:r>
            <w:r>
              <w:rPr>
                <w:szCs w:val="18"/>
              </w:rPr>
              <w:t>.</w:t>
            </w:r>
          </w:p>
        </w:tc>
      </w:tr>
    </w:tbl>
    <w:p w:rsidR="00C324F3" w:rsidRDefault="00C324F3" w:rsidP="00C324F3">
      <w:pPr>
        <w:pStyle w:val="TableFooter"/>
        <w:keepNext/>
      </w:pPr>
      <w:r>
        <w:t xml:space="preserve">Abbreviations: AEs = adverse events; NRT = nicotine replacement therapy; OR = odds ratio; RR = risk ratio, RD = risk difference; SAEs = serious adverse events. </w:t>
      </w:r>
    </w:p>
    <w:p w:rsidR="00C324F3" w:rsidRDefault="00C324F3" w:rsidP="00C324F3">
      <w:pPr>
        <w:pStyle w:val="TableFooter"/>
        <w:keepNext/>
      </w:pPr>
      <w:r w:rsidRPr="00BE36E8">
        <w:t xml:space="preserve">Notes: </w:t>
      </w:r>
    </w:p>
    <w:p w:rsidR="00C324F3" w:rsidRDefault="00C324F3" w:rsidP="00C324F3">
      <w:pPr>
        <w:pStyle w:val="TableFooter"/>
        <w:keepNext/>
      </w:pPr>
      <w:r w:rsidRPr="00BE36E8">
        <w:t>1 Cochrane Review</w:t>
      </w:r>
      <w:r>
        <w:t>.</w:t>
      </w:r>
    </w:p>
    <w:p w:rsidR="00C324F3" w:rsidRPr="007F4C6A" w:rsidRDefault="00C324F3" w:rsidP="00C324F3">
      <w:pPr>
        <w:pStyle w:val="TableFooter"/>
        <w:keepNext/>
      </w:pPr>
      <w:r>
        <w:t xml:space="preserve">2 Non-Cochrane systematic review. </w:t>
      </w:r>
    </w:p>
    <w:p w:rsidR="00C324F3" w:rsidRPr="00B51756" w:rsidRDefault="00C324F3" w:rsidP="00C324F3">
      <w:pPr>
        <w:pStyle w:val="TableFooter"/>
        <w:keepNext/>
      </w:pPr>
      <w:r>
        <w:t xml:space="preserve">3 </w:t>
      </w:r>
      <w:r w:rsidRPr="00552AFA">
        <w:t>The results were no longer significant after excluding one RCT identified to be different in study design (pre-cessation treatment with patch) and participant characteristics (more females than males).</w:t>
      </w:r>
    </w:p>
    <w:p w:rsidR="00C324F3" w:rsidRPr="003C0301" w:rsidRDefault="00C324F3" w:rsidP="00C324F3">
      <w:pPr>
        <w:rPr>
          <w:b/>
          <w:bCs/>
        </w:rPr>
      </w:pPr>
      <w:r w:rsidRPr="003C0301">
        <w:rPr>
          <w:b/>
          <w:bCs/>
        </w:rPr>
        <w:t>Combination bupropion</w:t>
      </w:r>
    </w:p>
    <w:p w:rsidR="00C324F3" w:rsidRPr="00B71EA5" w:rsidRDefault="00C324F3" w:rsidP="00C324F3">
      <w:r w:rsidRPr="00B71EA5">
        <w:t>Treatment-naïve population</w:t>
      </w:r>
    </w:p>
    <w:p w:rsidR="00C324F3" w:rsidRDefault="00C324F3" w:rsidP="00C324F3">
      <w:pPr>
        <w:pStyle w:val="ListParagraph"/>
        <w:numPr>
          <w:ilvl w:val="0"/>
          <w:numId w:val="279"/>
        </w:numPr>
      </w:pPr>
      <w:r>
        <w:t>There were no statistically significant differences between b</w:t>
      </w:r>
      <w:r w:rsidRPr="00B71EA5">
        <w:t xml:space="preserve">upropion in combination with NRT </w:t>
      </w:r>
      <w:r>
        <w:t xml:space="preserve">compared </w:t>
      </w:r>
      <w:r w:rsidRPr="00B71EA5">
        <w:t xml:space="preserve">to NRT alone (either as patch, lozenge or choice of NRT) in terms of efficacy. </w:t>
      </w:r>
      <w:r>
        <w:t>While</w:t>
      </w:r>
      <w:r w:rsidRPr="00B71EA5">
        <w:t xml:space="preserve"> a significantly higher proportion of patients in the bupropion plus NRT arm experienc</w:t>
      </w:r>
      <w:r>
        <w:t>ed</w:t>
      </w:r>
      <w:r w:rsidRPr="00B71EA5">
        <w:t xml:space="preserve"> any adverse events compared with patients in the NRT alone arm, there were no statistically significant differences in serious adverse events and discontinuation due to adverse events.</w:t>
      </w:r>
    </w:p>
    <w:tbl>
      <w:tblPr>
        <w:tblStyle w:val="TableGrid3"/>
        <w:tblW w:w="5000" w:type="pct"/>
        <w:shd w:val="clear" w:color="auto" w:fill="F2F2F2" w:themeFill="background1" w:themeFillShade="F2"/>
        <w:tblLook w:val="04A0" w:firstRow="1" w:lastRow="0" w:firstColumn="1" w:lastColumn="0" w:noHBand="0" w:noVBand="1"/>
      </w:tblPr>
      <w:tblGrid>
        <w:gridCol w:w="1974"/>
        <w:gridCol w:w="1980"/>
        <w:gridCol w:w="5062"/>
      </w:tblGrid>
      <w:tr w:rsidR="00C324F3" w:rsidRPr="00916516" w:rsidTr="00777459">
        <w:trPr>
          <w:trHeight w:val="67"/>
        </w:trPr>
        <w:tc>
          <w:tcPr>
            <w:tcW w:w="1095" w:type="pct"/>
            <w:shd w:val="clear" w:color="auto" w:fill="F2F2F2" w:themeFill="background1" w:themeFillShade="F2"/>
            <w:hideMark/>
          </w:tcPr>
          <w:p w:rsidR="00C324F3" w:rsidRPr="00916516" w:rsidRDefault="00C324F3" w:rsidP="00777459">
            <w:pPr>
              <w:rPr>
                <w:szCs w:val="18"/>
              </w:rPr>
            </w:pPr>
            <w:r w:rsidRPr="00916516">
              <w:rPr>
                <w:b/>
                <w:bCs/>
                <w:szCs w:val="18"/>
              </w:rPr>
              <w:t>Compar</w:t>
            </w:r>
            <w:r>
              <w:rPr>
                <w:b/>
                <w:bCs/>
                <w:szCs w:val="18"/>
              </w:rPr>
              <w:t>ison</w:t>
            </w:r>
          </w:p>
        </w:tc>
        <w:tc>
          <w:tcPr>
            <w:tcW w:w="1098" w:type="pct"/>
            <w:shd w:val="clear" w:color="auto" w:fill="F2F2F2" w:themeFill="background1" w:themeFillShade="F2"/>
            <w:hideMark/>
          </w:tcPr>
          <w:p w:rsidR="00C324F3" w:rsidRPr="00916516" w:rsidRDefault="00C324F3" w:rsidP="00777459">
            <w:pPr>
              <w:jc w:val="center"/>
              <w:rPr>
                <w:szCs w:val="18"/>
              </w:rPr>
            </w:pPr>
            <w:r>
              <w:rPr>
                <w:b/>
                <w:bCs/>
                <w:szCs w:val="18"/>
              </w:rPr>
              <w:t>Included studies</w:t>
            </w:r>
          </w:p>
        </w:tc>
        <w:tc>
          <w:tcPr>
            <w:tcW w:w="2807" w:type="pct"/>
            <w:shd w:val="clear" w:color="auto" w:fill="F2F2F2" w:themeFill="background1" w:themeFillShade="F2"/>
            <w:hideMark/>
          </w:tcPr>
          <w:p w:rsidR="00C324F3" w:rsidRPr="00916516" w:rsidRDefault="00C324F3" w:rsidP="00777459">
            <w:pPr>
              <w:jc w:val="center"/>
              <w:rPr>
                <w:szCs w:val="18"/>
              </w:rPr>
            </w:pPr>
            <w:r>
              <w:rPr>
                <w:b/>
                <w:bCs/>
                <w:szCs w:val="18"/>
              </w:rPr>
              <w:t>Summary of evidence</w:t>
            </w:r>
          </w:p>
        </w:tc>
      </w:tr>
      <w:tr w:rsidR="00C324F3" w:rsidRPr="00916516" w:rsidTr="00777459">
        <w:trPr>
          <w:trHeight w:val="164"/>
        </w:trPr>
        <w:tc>
          <w:tcPr>
            <w:tcW w:w="5000" w:type="pct"/>
            <w:gridSpan w:val="3"/>
            <w:shd w:val="clear" w:color="auto" w:fill="F2F2F2" w:themeFill="background1" w:themeFillShade="F2"/>
            <w:hideMark/>
          </w:tcPr>
          <w:p w:rsidR="00C324F3" w:rsidRPr="00916516" w:rsidRDefault="00C324F3" w:rsidP="00777459">
            <w:pPr>
              <w:tabs>
                <w:tab w:val="left" w:pos="3037"/>
              </w:tabs>
              <w:rPr>
                <w:szCs w:val="18"/>
              </w:rPr>
            </w:pPr>
            <w:r w:rsidRPr="00916516">
              <w:rPr>
                <w:b/>
                <w:bCs/>
                <w:szCs w:val="18"/>
              </w:rPr>
              <w:t>Treatment-naïve populatio</w:t>
            </w:r>
            <w:r>
              <w:rPr>
                <w:b/>
                <w:bCs/>
                <w:szCs w:val="18"/>
              </w:rPr>
              <w:t>n</w:t>
            </w:r>
          </w:p>
        </w:tc>
      </w:tr>
      <w:tr w:rsidR="00C324F3" w:rsidRPr="00552AFA" w:rsidTr="00777459">
        <w:trPr>
          <w:trHeight w:val="345"/>
        </w:trPr>
        <w:tc>
          <w:tcPr>
            <w:tcW w:w="1095" w:type="pct"/>
            <w:shd w:val="clear" w:color="auto" w:fill="F2F2F2" w:themeFill="background1" w:themeFillShade="F2"/>
            <w:hideMark/>
          </w:tcPr>
          <w:p w:rsidR="00C324F3" w:rsidRPr="00C370DF" w:rsidRDefault="00C324F3" w:rsidP="00777459">
            <w:pPr>
              <w:tabs>
                <w:tab w:val="left" w:pos="1198"/>
              </w:tabs>
              <w:spacing w:after="200"/>
              <w:rPr>
                <w:szCs w:val="18"/>
              </w:rPr>
            </w:pPr>
            <w:r w:rsidRPr="00C370DF">
              <w:rPr>
                <w:szCs w:val="18"/>
              </w:rPr>
              <w:t>Bupropion + NRT</w:t>
            </w:r>
            <w:r w:rsidRPr="00C370DF">
              <w:rPr>
                <w:szCs w:val="18"/>
                <w:vertAlign w:val="superscript"/>
              </w:rPr>
              <w:t>1</w:t>
            </w:r>
            <w:r>
              <w:rPr>
                <w:szCs w:val="18"/>
                <w:vertAlign w:val="superscript"/>
              </w:rPr>
              <w:t xml:space="preserve">  </w:t>
            </w:r>
            <w:r>
              <w:rPr>
                <w:szCs w:val="18"/>
              </w:rPr>
              <w:t>vs NRT monotherapy</w:t>
            </w:r>
          </w:p>
        </w:tc>
        <w:tc>
          <w:tcPr>
            <w:tcW w:w="1098" w:type="pct"/>
            <w:shd w:val="clear" w:color="auto" w:fill="F2F2F2" w:themeFill="background1" w:themeFillShade="F2"/>
            <w:hideMark/>
          </w:tcPr>
          <w:p w:rsidR="00C324F3" w:rsidRPr="009A0D52" w:rsidRDefault="00C324F3" w:rsidP="00C324F3">
            <w:pPr>
              <w:pStyle w:val="ListParagraph"/>
              <w:numPr>
                <w:ilvl w:val="0"/>
                <w:numId w:val="318"/>
              </w:numPr>
              <w:rPr>
                <w:szCs w:val="18"/>
              </w:rPr>
            </w:pPr>
            <w:r>
              <w:rPr>
                <w:rFonts w:eastAsia="MS Mincho"/>
              </w:rPr>
              <w:t>Howes</w:t>
            </w:r>
            <w:r w:rsidRPr="00061F78">
              <w:rPr>
                <w:rFonts w:eastAsia="MS Mincho"/>
              </w:rPr>
              <w:t xml:space="preserve"> (20</w:t>
            </w:r>
            <w:r>
              <w:rPr>
                <w:rFonts w:eastAsia="MS Mincho"/>
              </w:rPr>
              <w:t>20</w:t>
            </w:r>
            <w:r w:rsidRPr="00061F78">
              <w:rPr>
                <w:rFonts w:eastAsia="MS Mincho"/>
              </w:rPr>
              <w:t>)</w:t>
            </w:r>
            <w:r>
              <w:rPr>
                <w:rFonts w:eastAsia="MS Mincho"/>
                <w:vertAlign w:val="superscript"/>
              </w:rPr>
              <w:t>2</w:t>
            </w:r>
          </w:p>
        </w:tc>
        <w:tc>
          <w:tcPr>
            <w:tcW w:w="2807" w:type="pct"/>
            <w:shd w:val="clear" w:color="auto" w:fill="F2F2F2" w:themeFill="background1" w:themeFillShade="F2"/>
            <w:hideMark/>
          </w:tcPr>
          <w:p w:rsidR="00C324F3" w:rsidRPr="00C370DF" w:rsidRDefault="00C324F3" w:rsidP="00C324F3">
            <w:pPr>
              <w:pStyle w:val="ListParagraph"/>
              <w:numPr>
                <w:ilvl w:val="0"/>
                <w:numId w:val="317"/>
              </w:numPr>
              <w:rPr>
                <w:szCs w:val="18"/>
              </w:rPr>
            </w:pPr>
            <w:r w:rsidRPr="00360862">
              <w:rPr>
                <w:szCs w:val="18"/>
                <w:u w:val="single"/>
              </w:rPr>
              <w:t>Efficacy</w:t>
            </w:r>
            <w:r w:rsidRPr="00360862">
              <w:rPr>
                <w:szCs w:val="18"/>
              </w:rPr>
              <w:t>:</w:t>
            </w:r>
            <w:r>
              <w:rPr>
                <w:szCs w:val="18"/>
              </w:rPr>
              <w:t xml:space="preserve"> </w:t>
            </w:r>
            <w:r w:rsidRPr="00C370DF">
              <w:rPr>
                <w:szCs w:val="18"/>
              </w:rPr>
              <w:t>Not statistically significant</w:t>
            </w:r>
            <w:r>
              <w:rPr>
                <w:szCs w:val="18"/>
              </w:rPr>
              <w:t xml:space="preserve"> based on RR.</w:t>
            </w:r>
            <w:r w:rsidRPr="00C370DF">
              <w:rPr>
                <w:szCs w:val="18"/>
              </w:rPr>
              <w:t xml:space="preserve"> </w:t>
            </w:r>
          </w:p>
          <w:p w:rsidR="00C324F3" w:rsidRPr="00C370DF"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C370DF">
              <w:rPr>
                <w:szCs w:val="18"/>
              </w:rPr>
              <w:t>Statistically significant</w:t>
            </w:r>
            <w:r>
              <w:rPr>
                <w:szCs w:val="18"/>
              </w:rPr>
              <w:t xml:space="preserve"> based on RR </w:t>
            </w:r>
            <w:r w:rsidRPr="00C370DF">
              <w:rPr>
                <w:szCs w:val="18"/>
              </w:rPr>
              <w:t>(any AEs; higher in bupropion+NRT)</w:t>
            </w:r>
            <w:r>
              <w:rPr>
                <w:szCs w:val="18"/>
              </w:rPr>
              <w:t xml:space="preserve">; </w:t>
            </w:r>
            <w:r w:rsidRPr="00C370DF">
              <w:rPr>
                <w:szCs w:val="18"/>
              </w:rPr>
              <w:t>Not statistically significant</w:t>
            </w:r>
            <w:r>
              <w:rPr>
                <w:szCs w:val="18"/>
              </w:rPr>
              <w:t xml:space="preserve"> based on RR </w:t>
            </w:r>
            <w:r w:rsidRPr="00C370DF">
              <w:rPr>
                <w:szCs w:val="18"/>
              </w:rPr>
              <w:t>(</w:t>
            </w:r>
            <w:r>
              <w:rPr>
                <w:szCs w:val="18"/>
              </w:rPr>
              <w:t>S</w:t>
            </w:r>
            <w:r w:rsidRPr="00C370DF">
              <w:rPr>
                <w:szCs w:val="18"/>
              </w:rPr>
              <w:t>AEs, discontinuation due to AEs)</w:t>
            </w:r>
            <w:r>
              <w:rPr>
                <w:szCs w:val="18"/>
              </w:rPr>
              <w:t>.</w:t>
            </w:r>
          </w:p>
        </w:tc>
      </w:tr>
    </w:tbl>
    <w:p w:rsidR="00C324F3" w:rsidRDefault="00C324F3" w:rsidP="00C324F3">
      <w:pPr>
        <w:pStyle w:val="TableFooter"/>
        <w:keepNext/>
      </w:pPr>
      <w:r>
        <w:lastRenderedPageBreak/>
        <w:t>Abbreviations: AEs = adverse events; NRT = nicotine replacement therapy; RR = risk ratio; SAEs = serious adverse events.</w:t>
      </w:r>
    </w:p>
    <w:p w:rsidR="00C324F3" w:rsidRDefault="00C324F3" w:rsidP="00C324F3">
      <w:pPr>
        <w:pStyle w:val="TableFooter"/>
        <w:keepNext/>
      </w:pPr>
      <w:r w:rsidRPr="00BE36E8">
        <w:t xml:space="preserve">Notes: </w:t>
      </w:r>
    </w:p>
    <w:p w:rsidR="00C324F3" w:rsidRDefault="00C324F3" w:rsidP="00C324F3">
      <w:pPr>
        <w:pStyle w:val="TableFooter"/>
        <w:keepNext/>
      </w:pPr>
      <w:r w:rsidRPr="00BE36E8">
        <w:t xml:space="preserve">1 </w:t>
      </w:r>
      <w:r w:rsidRPr="00C370DF">
        <w:t>NRT administered either as patch, lozenge or choice of NRT.</w:t>
      </w:r>
    </w:p>
    <w:p w:rsidR="00C324F3" w:rsidRPr="00210F5E" w:rsidRDefault="00C324F3" w:rsidP="00C324F3">
      <w:pPr>
        <w:pStyle w:val="TableFooter"/>
        <w:keepNext/>
      </w:pPr>
      <w:r>
        <w:t xml:space="preserve">2 </w:t>
      </w:r>
      <w:r w:rsidRPr="00BE36E8">
        <w:t>Cochrane Review</w:t>
      </w:r>
      <w:r>
        <w:t>.</w:t>
      </w:r>
    </w:p>
    <w:p w:rsidR="00C324F3" w:rsidRPr="00B71EA5" w:rsidRDefault="00C324F3" w:rsidP="00C324F3">
      <w:r w:rsidRPr="00B71EA5">
        <w:t>Treatment-experienced population</w:t>
      </w:r>
    </w:p>
    <w:p w:rsidR="00C324F3" w:rsidRDefault="00C324F3" w:rsidP="00C324F3">
      <w:pPr>
        <w:pStyle w:val="ListParagraph"/>
        <w:numPr>
          <w:ilvl w:val="0"/>
          <w:numId w:val="279"/>
        </w:numPr>
      </w:pPr>
      <w:r>
        <w:t>There were no statistically significant differences between b</w:t>
      </w:r>
      <w:r w:rsidRPr="00B71EA5">
        <w:t xml:space="preserve">upropion in combination with NRT </w:t>
      </w:r>
      <w:r>
        <w:t xml:space="preserve">(either as gum or inhaler) compared </w:t>
      </w:r>
      <w:r w:rsidRPr="00B71EA5">
        <w:t>to placebo as a relapse prevention treatment in abstainers.</w:t>
      </w:r>
      <w:r>
        <w:t xml:space="preserve"> </w:t>
      </w:r>
      <w:r w:rsidRPr="00663D67">
        <w:t>The adverse events reported were consistent with those expected of bupropion and NRT.</w:t>
      </w:r>
    </w:p>
    <w:tbl>
      <w:tblPr>
        <w:tblStyle w:val="TableGrid3"/>
        <w:tblW w:w="5000" w:type="pct"/>
        <w:shd w:val="clear" w:color="auto" w:fill="F2F2F2" w:themeFill="background1" w:themeFillShade="F2"/>
        <w:tblLook w:val="04A0" w:firstRow="1" w:lastRow="0" w:firstColumn="1" w:lastColumn="0" w:noHBand="0" w:noVBand="1"/>
      </w:tblPr>
      <w:tblGrid>
        <w:gridCol w:w="2065"/>
        <w:gridCol w:w="2699"/>
        <w:gridCol w:w="4252"/>
      </w:tblGrid>
      <w:tr w:rsidR="00C324F3" w:rsidRPr="00916516" w:rsidTr="00777459">
        <w:trPr>
          <w:trHeight w:val="67"/>
        </w:trPr>
        <w:tc>
          <w:tcPr>
            <w:tcW w:w="1145" w:type="pct"/>
            <w:shd w:val="clear" w:color="auto" w:fill="F2F2F2" w:themeFill="background1" w:themeFillShade="F2"/>
            <w:hideMark/>
          </w:tcPr>
          <w:p w:rsidR="00C324F3" w:rsidRPr="00916516" w:rsidRDefault="00C324F3" w:rsidP="00777459">
            <w:pPr>
              <w:rPr>
                <w:szCs w:val="18"/>
              </w:rPr>
            </w:pPr>
            <w:r w:rsidRPr="00916516">
              <w:rPr>
                <w:b/>
                <w:bCs/>
                <w:szCs w:val="18"/>
              </w:rPr>
              <w:t>Compar</w:t>
            </w:r>
            <w:r>
              <w:rPr>
                <w:b/>
                <w:bCs/>
                <w:szCs w:val="18"/>
              </w:rPr>
              <w:t>ison</w:t>
            </w:r>
          </w:p>
        </w:tc>
        <w:tc>
          <w:tcPr>
            <w:tcW w:w="1497" w:type="pct"/>
            <w:shd w:val="clear" w:color="auto" w:fill="F2F2F2" w:themeFill="background1" w:themeFillShade="F2"/>
            <w:hideMark/>
          </w:tcPr>
          <w:p w:rsidR="00C324F3" w:rsidRPr="00916516" w:rsidRDefault="00C324F3" w:rsidP="00777459">
            <w:pPr>
              <w:jc w:val="center"/>
              <w:rPr>
                <w:szCs w:val="18"/>
              </w:rPr>
            </w:pPr>
            <w:r>
              <w:rPr>
                <w:b/>
                <w:bCs/>
                <w:szCs w:val="18"/>
              </w:rPr>
              <w:t>Included studies</w:t>
            </w:r>
          </w:p>
        </w:tc>
        <w:tc>
          <w:tcPr>
            <w:tcW w:w="2357" w:type="pct"/>
            <w:shd w:val="clear" w:color="auto" w:fill="F2F2F2" w:themeFill="background1" w:themeFillShade="F2"/>
            <w:hideMark/>
          </w:tcPr>
          <w:p w:rsidR="00C324F3" w:rsidRPr="00916516" w:rsidRDefault="00C324F3" w:rsidP="00777459">
            <w:pPr>
              <w:jc w:val="center"/>
              <w:rPr>
                <w:szCs w:val="18"/>
              </w:rPr>
            </w:pPr>
            <w:r>
              <w:rPr>
                <w:b/>
                <w:bCs/>
                <w:szCs w:val="18"/>
              </w:rPr>
              <w:t>Summary of evidence</w:t>
            </w:r>
          </w:p>
        </w:tc>
      </w:tr>
      <w:tr w:rsidR="00C324F3" w:rsidRPr="00916516" w:rsidTr="00777459">
        <w:trPr>
          <w:trHeight w:val="164"/>
        </w:trPr>
        <w:tc>
          <w:tcPr>
            <w:tcW w:w="5000" w:type="pct"/>
            <w:gridSpan w:val="3"/>
            <w:shd w:val="clear" w:color="auto" w:fill="F2F2F2" w:themeFill="background1" w:themeFillShade="F2"/>
            <w:hideMark/>
          </w:tcPr>
          <w:p w:rsidR="00C324F3" w:rsidRPr="00916516" w:rsidRDefault="00C324F3" w:rsidP="00777459">
            <w:pPr>
              <w:tabs>
                <w:tab w:val="left" w:pos="3037"/>
              </w:tabs>
              <w:rPr>
                <w:szCs w:val="18"/>
              </w:rPr>
            </w:pPr>
            <w:r w:rsidRPr="00C370DF">
              <w:rPr>
                <w:b/>
                <w:bCs/>
                <w:szCs w:val="18"/>
              </w:rPr>
              <w:t>Treatment-experienced population (relapse prevention treatment in abstainers)</w:t>
            </w:r>
          </w:p>
        </w:tc>
      </w:tr>
      <w:tr w:rsidR="00C324F3" w:rsidRPr="00552AFA" w:rsidTr="00777459">
        <w:trPr>
          <w:trHeight w:val="345"/>
        </w:trPr>
        <w:tc>
          <w:tcPr>
            <w:tcW w:w="1145" w:type="pct"/>
            <w:shd w:val="clear" w:color="auto" w:fill="F2F2F2" w:themeFill="background1" w:themeFillShade="F2"/>
            <w:hideMark/>
          </w:tcPr>
          <w:p w:rsidR="00C324F3" w:rsidRPr="00360862" w:rsidRDefault="00C324F3" w:rsidP="00777459">
            <w:pPr>
              <w:tabs>
                <w:tab w:val="left" w:pos="1198"/>
              </w:tabs>
              <w:spacing w:after="200"/>
              <w:rPr>
                <w:szCs w:val="18"/>
              </w:rPr>
            </w:pPr>
            <w:r w:rsidRPr="00C370DF">
              <w:rPr>
                <w:szCs w:val="18"/>
              </w:rPr>
              <w:t>Bupropion + NRT</w:t>
            </w:r>
            <w:r w:rsidRPr="00C370DF">
              <w:rPr>
                <w:szCs w:val="18"/>
                <w:vertAlign w:val="superscript"/>
              </w:rPr>
              <w:t>1</w:t>
            </w:r>
            <w:r>
              <w:rPr>
                <w:szCs w:val="18"/>
              </w:rPr>
              <w:t xml:space="preserve"> vs placebo</w:t>
            </w:r>
          </w:p>
        </w:tc>
        <w:tc>
          <w:tcPr>
            <w:tcW w:w="1497" w:type="pct"/>
            <w:shd w:val="clear" w:color="auto" w:fill="F2F2F2" w:themeFill="background1" w:themeFillShade="F2"/>
            <w:hideMark/>
          </w:tcPr>
          <w:p w:rsidR="00C324F3" w:rsidRPr="009A0D52" w:rsidRDefault="00C324F3" w:rsidP="00C324F3">
            <w:pPr>
              <w:pStyle w:val="ListParagraph"/>
              <w:numPr>
                <w:ilvl w:val="0"/>
                <w:numId w:val="318"/>
              </w:numPr>
              <w:rPr>
                <w:szCs w:val="18"/>
              </w:rPr>
            </w:pPr>
            <w:r>
              <w:rPr>
                <w:rFonts w:eastAsia="MS Mincho"/>
              </w:rPr>
              <w:t>Livingstone-Banks (2019)</w:t>
            </w:r>
            <w:r w:rsidRPr="009A0D52">
              <w:rPr>
                <w:rFonts w:eastAsia="MS Mincho"/>
                <w:vertAlign w:val="superscript"/>
              </w:rPr>
              <w:t>2</w:t>
            </w:r>
          </w:p>
        </w:tc>
        <w:tc>
          <w:tcPr>
            <w:tcW w:w="2357" w:type="pct"/>
            <w:shd w:val="clear" w:color="auto" w:fill="F2F2F2" w:themeFill="background1" w:themeFillShade="F2"/>
            <w:hideMark/>
          </w:tcPr>
          <w:p w:rsidR="00C324F3" w:rsidRPr="00E338EF" w:rsidRDefault="00C324F3" w:rsidP="00C324F3">
            <w:pPr>
              <w:pStyle w:val="ListParagraph"/>
              <w:numPr>
                <w:ilvl w:val="0"/>
                <w:numId w:val="317"/>
              </w:numPr>
              <w:rPr>
                <w:szCs w:val="18"/>
              </w:rPr>
            </w:pPr>
            <w:r w:rsidRPr="00360862">
              <w:rPr>
                <w:szCs w:val="18"/>
                <w:u w:val="single"/>
              </w:rPr>
              <w:t>Efficacy</w:t>
            </w:r>
            <w:r w:rsidRPr="00360862">
              <w:rPr>
                <w:szCs w:val="18"/>
              </w:rPr>
              <w:t xml:space="preserve">: </w:t>
            </w:r>
            <w:r w:rsidRPr="00E338EF">
              <w:rPr>
                <w:szCs w:val="18"/>
              </w:rPr>
              <w:t>Not statistically significant</w:t>
            </w:r>
            <w:r>
              <w:rPr>
                <w:szCs w:val="18"/>
              </w:rPr>
              <w:t xml:space="preserve"> based on RR.</w:t>
            </w:r>
          </w:p>
          <w:p w:rsidR="00C324F3" w:rsidRPr="00E338EF"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E338EF">
              <w:rPr>
                <w:szCs w:val="18"/>
              </w:rPr>
              <w:t>AEs reported were consistent with those expected of bupropion and NRT</w:t>
            </w:r>
            <w:r>
              <w:rPr>
                <w:szCs w:val="18"/>
              </w:rPr>
              <w:t>.</w:t>
            </w:r>
          </w:p>
        </w:tc>
      </w:tr>
    </w:tbl>
    <w:p w:rsidR="00C324F3" w:rsidRDefault="00C324F3" w:rsidP="00C324F3">
      <w:pPr>
        <w:pStyle w:val="TableFooter"/>
        <w:keepNext/>
      </w:pPr>
      <w:r>
        <w:t>Abbreviations: AEs = adverse events; NRT = nicotine replacement therapy; RR = risk ratio.</w:t>
      </w:r>
    </w:p>
    <w:p w:rsidR="00C324F3" w:rsidRDefault="00C324F3" w:rsidP="00C324F3">
      <w:pPr>
        <w:pStyle w:val="TableFooter"/>
        <w:keepNext/>
      </w:pPr>
      <w:r w:rsidRPr="00BE36E8">
        <w:t xml:space="preserve">Notes: </w:t>
      </w:r>
    </w:p>
    <w:p w:rsidR="00C324F3" w:rsidRDefault="00C324F3" w:rsidP="00C324F3">
      <w:pPr>
        <w:pStyle w:val="TableFooter"/>
        <w:keepNext/>
      </w:pPr>
      <w:r w:rsidRPr="00BE36E8">
        <w:t xml:space="preserve">1 </w:t>
      </w:r>
      <w:r w:rsidRPr="00C370DF">
        <w:t>NRT administered either as gum or inhaler.</w:t>
      </w:r>
    </w:p>
    <w:p w:rsidR="00C324F3" w:rsidRPr="002C3186" w:rsidRDefault="00C324F3" w:rsidP="00C324F3">
      <w:pPr>
        <w:pStyle w:val="TableFooter"/>
        <w:keepNext/>
      </w:pPr>
      <w:r>
        <w:t xml:space="preserve">2 </w:t>
      </w:r>
      <w:r w:rsidRPr="00BE36E8">
        <w:t>Cochrane Review</w:t>
      </w:r>
      <w:r>
        <w:t>.</w:t>
      </w:r>
    </w:p>
    <w:p w:rsidR="00C324F3" w:rsidRDefault="00C324F3" w:rsidP="00C324F3">
      <w:pPr>
        <w:pStyle w:val="Heading3"/>
      </w:pPr>
      <w:bookmarkStart w:id="31" w:name="_Toc69976541"/>
      <w:bookmarkStart w:id="32" w:name="_Toc72850849"/>
      <w:bookmarkStart w:id="33" w:name="_Toc73525614"/>
      <w:r>
        <w:t>NRT dose, dosage form and length of therapy</w:t>
      </w:r>
      <w:bookmarkEnd w:id="31"/>
      <w:bookmarkEnd w:id="32"/>
      <w:bookmarkEnd w:id="33"/>
    </w:p>
    <w:p w:rsidR="00C324F3" w:rsidRDefault="00C324F3" w:rsidP="00C324F3">
      <w:pPr>
        <w:rPr>
          <w:rFonts w:eastAsiaTheme="minorEastAsia"/>
          <w:b/>
          <w:i/>
          <w:sz w:val="28"/>
          <w:szCs w:val="28"/>
        </w:rPr>
      </w:pPr>
      <w:r w:rsidRPr="00DA1566">
        <w:rPr>
          <w:rFonts w:eastAsiaTheme="minorEastAsia"/>
          <w:b/>
          <w:i/>
          <w:sz w:val="28"/>
          <w:szCs w:val="28"/>
        </w:rPr>
        <w:t>Examine the efficacy and safety of NRT with respect to dose, dosage form, length of therapy and combination thera</w:t>
      </w:r>
      <w:r>
        <w:rPr>
          <w:rFonts w:eastAsiaTheme="minorEastAsia"/>
          <w:b/>
          <w:i/>
          <w:sz w:val="28"/>
          <w:szCs w:val="28"/>
        </w:rPr>
        <w:t>py</w:t>
      </w:r>
    </w:p>
    <w:p w:rsidR="00C324F3" w:rsidRPr="00A61CF6" w:rsidRDefault="00C324F3" w:rsidP="00C324F3">
      <w:pPr>
        <w:rPr>
          <w:b/>
          <w:bCs/>
        </w:rPr>
      </w:pPr>
      <w:r w:rsidRPr="00A61CF6">
        <w:rPr>
          <w:b/>
          <w:bCs/>
        </w:rPr>
        <w:t>NRT dose</w:t>
      </w:r>
    </w:p>
    <w:p w:rsidR="00C324F3" w:rsidRDefault="00C324F3" w:rsidP="00C324F3">
      <w:pPr>
        <w:pStyle w:val="ListParagraph"/>
        <w:numPr>
          <w:ilvl w:val="0"/>
          <w:numId w:val="279"/>
        </w:numPr>
      </w:pPr>
      <w:r w:rsidRPr="002B518E">
        <w:t>Higher strength NRT patch</w:t>
      </w:r>
      <w:r>
        <w:t>es</w:t>
      </w:r>
      <w:r w:rsidRPr="002B518E">
        <w:t xml:space="preserve"> (21 mg/24-hour) w</w:t>
      </w:r>
      <w:r>
        <w:t>ere</w:t>
      </w:r>
      <w:r w:rsidRPr="002B518E">
        <w:t xml:space="preserve"> shown to </w:t>
      </w:r>
      <w:r>
        <w:t xml:space="preserve">be superior to </w:t>
      </w:r>
      <w:r w:rsidRPr="002B518E">
        <w:t>lower strength patch</w:t>
      </w:r>
      <w:r>
        <w:t>es</w:t>
      </w:r>
      <w:r w:rsidRPr="002B518E">
        <w:t xml:space="preserve"> (14 mg/24-hour</w:t>
      </w:r>
      <w:r>
        <w:t>) in terms of efficacy based on</w:t>
      </w:r>
      <w:r w:rsidRPr="002B518E">
        <w:t xml:space="preserve"> </w:t>
      </w:r>
      <w:r>
        <w:t>trials that primarily involved participants who smoked 20 or more cigarettes a day</w:t>
      </w:r>
      <w:r w:rsidRPr="002B518E">
        <w:t xml:space="preserve">. There were no statistically significant differences in smoking cessation rates for the other comparisons (25 mg/16-hour versus 15 mg/16-hour </w:t>
      </w:r>
      <w:r>
        <w:t>patches</w:t>
      </w:r>
      <w:r w:rsidRPr="002B518E">
        <w:t xml:space="preserve">; 42/44 mg/24-hour versus 21/22 mg/24-hour </w:t>
      </w:r>
      <w:r>
        <w:t>patches</w:t>
      </w:r>
      <w:r w:rsidRPr="002B518E">
        <w:t xml:space="preserve">). </w:t>
      </w:r>
      <w:r>
        <w:t xml:space="preserve">In Lindson et al. (2019), </w:t>
      </w:r>
      <w:r w:rsidRPr="002A2CAA">
        <w:t>studies comparing 42 mg/24-hour versus 21 mg/24-hour and 44 mg/24-hour versus 22 mg/24-hour patches</w:t>
      </w:r>
      <w:r>
        <w:t xml:space="preserve"> were pooled.</w:t>
      </w:r>
      <w:r w:rsidRPr="002B518E">
        <w:t xml:space="preserve"> For safety, there were no statistically significant differences in the key adverse events between higher strength and lower strength NRT patches for all comparisons except for treatment withdrawals comparing the 42/44 mg with 21/22 mg (24-hour) patches</w:t>
      </w:r>
      <w:r>
        <w:t>, with</w:t>
      </w:r>
      <w:r w:rsidRPr="002B518E">
        <w:t xml:space="preserve"> a significantly higher treatment withdrawal rate observed in patients treated with 42/44 mg (24-hour) patch</w:t>
      </w:r>
      <w:r>
        <w:t>es</w:t>
      </w:r>
      <w:r w:rsidRPr="002B518E">
        <w:t xml:space="preserve">. </w:t>
      </w:r>
    </w:p>
    <w:p w:rsidR="003C4A1C" w:rsidRDefault="00C324F3" w:rsidP="00C324F3">
      <w:pPr>
        <w:pStyle w:val="ListParagraph"/>
        <w:numPr>
          <w:ilvl w:val="0"/>
          <w:numId w:val="279"/>
        </w:numPr>
      </w:pPr>
      <w:r w:rsidRPr="002B518E">
        <w:t xml:space="preserve">Higher strength NRT gum (4 mg) </w:t>
      </w:r>
      <w:r>
        <w:t>was shown to be superior to</w:t>
      </w:r>
      <w:r w:rsidRPr="002B518E">
        <w:t xml:space="preserve"> lower strength gum (2 mg)</w:t>
      </w:r>
      <w:r>
        <w:t xml:space="preserve"> in terms of efficacy</w:t>
      </w:r>
      <w:r w:rsidRPr="002B518E">
        <w:t xml:space="preserve"> based on the pooled results of high-dependency and low-dependency smokers. However, the results of the subgroup analysis suggest that only smokers who are highly dependent may benefit from the higher strength NRT gum</w:t>
      </w:r>
      <w:r>
        <w:t>.</w:t>
      </w:r>
      <w:r w:rsidRPr="002B518E">
        <w:t xml:space="preserve"> There were no statistically significant differences in palpitations and treatment withdrawals between the two treatment arms. </w:t>
      </w:r>
    </w:p>
    <w:p w:rsidR="00C324F3" w:rsidRDefault="003C4A1C" w:rsidP="003C4A1C">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884"/>
        <w:gridCol w:w="1892"/>
        <w:gridCol w:w="5240"/>
      </w:tblGrid>
      <w:tr w:rsidR="00C324F3" w:rsidRPr="00916516" w:rsidTr="00777459">
        <w:trPr>
          <w:trHeight w:val="67"/>
        </w:trPr>
        <w:tc>
          <w:tcPr>
            <w:tcW w:w="1045" w:type="pct"/>
            <w:shd w:val="clear" w:color="auto" w:fill="F2F2F2" w:themeFill="background1" w:themeFillShade="F2"/>
            <w:hideMark/>
          </w:tcPr>
          <w:p w:rsidR="00C324F3" w:rsidRPr="00916516" w:rsidRDefault="00C324F3" w:rsidP="00777459">
            <w:pPr>
              <w:rPr>
                <w:szCs w:val="18"/>
              </w:rPr>
            </w:pPr>
            <w:r w:rsidRPr="00916516">
              <w:rPr>
                <w:b/>
                <w:bCs/>
                <w:szCs w:val="18"/>
              </w:rPr>
              <w:lastRenderedPageBreak/>
              <w:t>Compar</w:t>
            </w:r>
            <w:r>
              <w:rPr>
                <w:b/>
                <w:bCs/>
                <w:szCs w:val="18"/>
              </w:rPr>
              <w:t>ison</w:t>
            </w:r>
          </w:p>
        </w:tc>
        <w:tc>
          <w:tcPr>
            <w:tcW w:w="1049" w:type="pct"/>
            <w:shd w:val="clear" w:color="auto" w:fill="F2F2F2" w:themeFill="background1" w:themeFillShade="F2"/>
            <w:hideMark/>
          </w:tcPr>
          <w:p w:rsidR="00C324F3" w:rsidRPr="00916516" w:rsidRDefault="00C324F3" w:rsidP="00777459">
            <w:pPr>
              <w:jc w:val="center"/>
              <w:rPr>
                <w:szCs w:val="18"/>
              </w:rPr>
            </w:pPr>
            <w:r>
              <w:rPr>
                <w:b/>
                <w:bCs/>
                <w:szCs w:val="18"/>
              </w:rPr>
              <w:t>Included studies</w:t>
            </w:r>
          </w:p>
        </w:tc>
        <w:tc>
          <w:tcPr>
            <w:tcW w:w="2906" w:type="pct"/>
            <w:shd w:val="clear" w:color="auto" w:fill="F2F2F2" w:themeFill="background1" w:themeFillShade="F2"/>
            <w:hideMark/>
          </w:tcPr>
          <w:p w:rsidR="00C324F3" w:rsidRPr="00916516" w:rsidRDefault="00C324F3" w:rsidP="00777459">
            <w:pPr>
              <w:jc w:val="center"/>
              <w:rPr>
                <w:szCs w:val="18"/>
              </w:rPr>
            </w:pPr>
            <w:r>
              <w:rPr>
                <w:b/>
                <w:bCs/>
                <w:szCs w:val="18"/>
              </w:rPr>
              <w:t>Summary of evidence</w:t>
            </w:r>
          </w:p>
        </w:tc>
      </w:tr>
      <w:tr w:rsidR="00C324F3" w:rsidRPr="0063070A" w:rsidTr="00777459">
        <w:trPr>
          <w:trHeight w:val="345"/>
        </w:trPr>
        <w:tc>
          <w:tcPr>
            <w:tcW w:w="1045" w:type="pct"/>
            <w:shd w:val="clear" w:color="auto" w:fill="F2F2F2" w:themeFill="background1" w:themeFillShade="F2"/>
            <w:hideMark/>
          </w:tcPr>
          <w:p w:rsidR="00C324F3" w:rsidRPr="00182A8F" w:rsidRDefault="00C324F3" w:rsidP="00777459">
            <w:pPr>
              <w:tabs>
                <w:tab w:val="left" w:pos="1198"/>
              </w:tabs>
              <w:spacing w:after="200"/>
              <w:rPr>
                <w:szCs w:val="18"/>
              </w:rPr>
            </w:pPr>
            <w:r w:rsidRPr="00182A8F">
              <w:rPr>
                <w:szCs w:val="18"/>
              </w:rPr>
              <w:t>Higher strength NRT patch</w:t>
            </w:r>
            <w:r w:rsidRPr="00182A8F">
              <w:rPr>
                <w:szCs w:val="18"/>
                <w:vertAlign w:val="superscript"/>
              </w:rPr>
              <w:t>1</w:t>
            </w:r>
            <w:r>
              <w:rPr>
                <w:szCs w:val="18"/>
              </w:rPr>
              <w:t xml:space="preserve"> vs l</w:t>
            </w:r>
            <w:r w:rsidRPr="00182A8F">
              <w:rPr>
                <w:szCs w:val="18"/>
              </w:rPr>
              <w:t>ower strength NRT patch</w:t>
            </w:r>
          </w:p>
        </w:tc>
        <w:tc>
          <w:tcPr>
            <w:tcW w:w="1049" w:type="pct"/>
            <w:shd w:val="clear" w:color="auto" w:fill="F2F2F2" w:themeFill="background1" w:themeFillShade="F2"/>
            <w:hideMark/>
          </w:tcPr>
          <w:p w:rsidR="00C324F3" w:rsidRPr="00614418" w:rsidRDefault="00C324F3" w:rsidP="00C324F3">
            <w:pPr>
              <w:pStyle w:val="ListParagraph"/>
              <w:numPr>
                <w:ilvl w:val="0"/>
                <w:numId w:val="318"/>
              </w:numPr>
              <w:rPr>
                <w:szCs w:val="18"/>
              </w:rPr>
            </w:pPr>
            <w:r w:rsidRPr="004834D2">
              <w:rPr>
                <w:szCs w:val="18"/>
              </w:rPr>
              <w:t>Lindson (2019)</w:t>
            </w:r>
            <w:r w:rsidRPr="00E15A6E">
              <w:rPr>
                <w:szCs w:val="18"/>
                <w:vertAlign w:val="superscript"/>
              </w:rPr>
              <w:t>3</w:t>
            </w:r>
          </w:p>
        </w:tc>
        <w:tc>
          <w:tcPr>
            <w:tcW w:w="2906" w:type="pct"/>
            <w:shd w:val="clear" w:color="auto" w:fill="F2F2F2" w:themeFill="background1" w:themeFillShade="F2"/>
            <w:hideMark/>
          </w:tcPr>
          <w:p w:rsidR="00C324F3" w:rsidRDefault="00C324F3" w:rsidP="00C324F3">
            <w:pPr>
              <w:pStyle w:val="ListParagraph"/>
              <w:numPr>
                <w:ilvl w:val="0"/>
                <w:numId w:val="318"/>
              </w:numPr>
              <w:rPr>
                <w:szCs w:val="18"/>
              </w:rPr>
            </w:pPr>
            <w:r w:rsidRPr="00360862">
              <w:rPr>
                <w:szCs w:val="18"/>
                <w:u w:val="single"/>
              </w:rPr>
              <w:t>Efficacy</w:t>
            </w:r>
            <w:r w:rsidRPr="00360862">
              <w:rPr>
                <w:szCs w:val="18"/>
              </w:rPr>
              <w:t xml:space="preserve">: </w:t>
            </w:r>
            <w:r w:rsidRPr="00182A8F">
              <w:rPr>
                <w:szCs w:val="18"/>
              </w:rPr>
              <w:t xml:space="preserve">Statistically significant </w:t>
            </w:r>
            <w:r>
              <w:rPr>
                <w:szCs w:val="18"/>
              </w:rPr>
              <w:t xml:space="preserve">based on RR </w:t>
            </w:r>
            <w:r w:rsidRPr="00182A8F">
              <w:rPr>
                <w:szCs w:val="18"/>
              </w:rPr>
              <w:t>(in favour of higher strength, 21 mg/24-hour versus 14 mg/24-hour)</w:t>
            </w:r>
            <w:r>
              <w:rPr>
                <w:szCs w:val="18"/>
              </w:rPr>
              <w:t>;</w:t>
            </w:r>
          </w:p>
          <w:p w:rsidR="00C324F3" w:rsidRPr="00182A8F" w:rsidRDefault="00C324F3" w:rsidP="00777459">
            <w:pPr>
              <w:pStyle w:val="ListParagraph"/>
              <w:ind w:left="360"/>
              <w:rPr>
                <w:szCs w:val="18"/>
              </w:rPr>
            </w:pPr>
            <w:r w:rsidRPr="00182A8F">
              <w:rPr>
                <w:szCs w:val="18"/>
              </w:rPr>
              <w:t xml:space="preserve">Not statistically significant </w:t>
            </w:r>
            <w:r>
              <w:rPr>
                <w:szCs w:val="18"/>
              </w:rPr>
              <w:t xml:space="preserve">based on RR </w:t>
            </w:r>
            <w:r w:rsidRPr="00182A8F">
              <w:rPr>
                <w:szCs w:val="18"/>
              </w:rPr>
              <w:t>(other comparisons)</w:t>
            </w:r>
            <w:r>
              <w:rPr>
                <w:szCs w:val="18"/>
              </w:rPr>
              <w:t xml:space="preserve">. </w:t>
            </w:r>
          </w:p>
          <w:p w:rsidR="00C324F3"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182A8F">
              <w:rPr>
                <w:szCs w:val="18"/>
              </w:rPr>
              <w:t>Statistically significant</w:t>
            </w:r>
            <w:r>
              <w:rPr>
                <w:szCs w:val="18"/>
              </w:rPr>
              <w:t xml:space="preserve"> based on RR </w:t>
            </w:r>
            <w:r w:rsidRPr="00182A8F">
              <w:rPr>
                <w:szCs w:val="18"/>
              </w:rPr>
              <w:t>(treatment withdrawals; higher in 42/44 mg/24-hour patch)</w:t>
            </w:r>
            <w:r>
              <w:rPr>
                <w:szCs w:val="18"/>
              </w:rPr>
              <w:t>;</w:t>
            </w:r>
          </w:p>
          <w:p w:rsidR="00C324F3" w:rsidRPr="003C3714" w:rsidRDefault="00C324F3" w:rsidP="00777459">
            <w:pPr>
              <w:pStyle w:val="ListParagraph"/>
              <w:ind w:left="360"/>
              <w:rPr>
                <w:szCs w:val="18"/>
              </w:rPr>
            </w:pPr>
            <w:r w:rsidRPr="00182A8F">
              <w:rPr>
                <w:szCs w:val="18"/>
              </w:rPr>
              <w:t>Not statistically significant</w:t>
            </w:r>
            <w:r>
              <w:rPr>
                <w:szCs w:val="18"/>
              </w:rPr>
              <w:t xml:space="preserve"> based on RR </w:t>
            </w:r>
            <w:r w:rsidRPr="003C3714">
              <w:rPr>
                <w:szCs w:val="18"/>
              </w:rPr>
              <w:t>(AEs incl. treatment withdrawals for other comparisons)</w:t>
            </w:r>
            <w:r>
              <w:rPr>
                <w:szCs w:val="18"/>
              </w:rPr>
              <w:t>.</w:t>
            </w:r>
          </w:p>
        </w:tc>
      </w:tr>
      <w:tr w:rsidR="00C324F3" w:rsidRPr="00360862" w:rsidTr="00777459">
        <w:trPr>
          <w:trHeight w:val="617"/>
        </w:trPr>
        <w:tc>
          <w:tcPr>
            <w:tcW w:w="1045" w:type="pct"/>
            <w:shd w:val="clear" w:color="auto" w:fill="F2F2F2" w:themeFill="background1" w:themeFillShade="F2"/>
            <w:hideMark/>
          </w:tcPr>
          <w:p w:rsidR="00C324F3" w:rsidRPr="00360862" w:rsidRDefault="00C324F3" w:rsidP="00777459">
            <w:pPr>
              <w:spacing w:after="200"/>
              <w:rPr>
                <w:szCs w:val="18"/>
              </w:rPr>
            </w:pPr>
            <w:r w:rsidRPr="00182A8F">
              <w:rPr>
                <w:szCs w:val="18"/>
              </w:rPr>
              <w:t xml:space="preserve">Higher strength NRT </w:t>
            </w:r>
            <w:r>
              <w:rPr>
                <w:szCs w:val="18"/>
              </w:rPr>
              <w:t>gum</w:t>
            </w:r>
            <w:r>
              <w:rPr>
                <w:szCs w:val="18"/>
                <w:vertAlign w:val="superscript"/>
              </w:rPr>
              <w:t>2</w:t>
            </w:r>
            <w:r>
              <w:rPr>
                <w:szCs w:val="18"/>
              </w:rPr>
              <w:t xml:space="preserve"> vs l</w:t>
            </w:r>
            <w:r w:rsidRPr="00182A8F">
              <w:rPr>
                <w:szCs w:val="18"/>
              </w:rPr>
              <w:t xml:space="preserve">ower strength NRT </w:t>
            </w:r>
            <w:r>
              <w:rPr>
                <w:szCs w:val="18"/>
              </w:rPr>
              <w:t>gum</w:t>
            </w:r>
          </w:p>
        </w:tc>
        <w:tc>
          <w:tcPr>
            <w:tcW w:w="1049" w:type="pct"/>
            <w:shd w:val="clear" w:color="auto" w:fill="F2F2F2" w:themeFill="background1" w:themeFillShade="F2"/>
            <w:hideMark/>
          </w:tcPr>
          <w:p w:rsidR="00C324F3" w:rsidRPr="002A5E9C" w:rsidRDefault="00C324F3" w:rsidP="00C324F3">
            <w:pPr>
              <w:pStyle w:val="ListParagraph"/>
              <w:numPr>
                <w:ilvl w:val="0"/>
                <w:numId w:val="319"/>
              </w:numPr>
              <w:rPr>
                <w:szCs w:val="18"/>
              </w:rPr>
            </w:pPr>
            <w:r w:rsidRPr="004834D2">
              <w:rPr>
                <w:szCs w:val="18"/>
              </w:rPr>
              <w:t>Lindson (2019)</w:t>
            </w:r>
            <w:r w:rsidRPr="00E15A6E">
              <w:rPr>
                <w:szCs w:val="18"/>
                <w:vertAlign w:val="superscript"/>
              </w:rPr>
              <w:t>3</w:t>
            </w:r>
          </w:p>
        </w:tc>
        <w:tc>
          <w:tcPr>
            <w:tcW w:w="2906" w:type="pct"/>
            <w:shd w:val="clear" w:color="auto" w:fill="F2F2F2" w:themeFill="background1" w:themeFillShade="F2"/>
            <w:hideMark/>
          </w:tcPr>
          <w:p w:rsidR="00C324F3" w:rsidRPr="00182A8F" w:rsidRDefault="00C324F3" w:rsidP="00C324F3">
            <w:pPr>
              <w:pStyle w:val="ListParagraph"/>
              <w:numPr>
                <w:ilvl w:val="0"/>
                <w:numId w:val="317"/>
              </w:numPr>
              <w:rPr>
                <w:szCs w:val="18"/>
              </w:rPr>
            </w:pPr>
            <w:r w:rsidRPr="00360862">
              <w:rPr>
                <w:szCs w:val="18"/>
                <w:u w:val="single"/>
              </w:rPr>
              <w:t>Efficacy</w:t>
            </w:r>
            <w:r w:rsidRPr="00360862">
              <w:rPr>
                <w:szCs w:val="18"/>
              </w:rPr>
              <w:t xml:space="preserve">: </w:t>
            </w:r>
            <w:r w:rsidRPr="00182A8F">
              <w:rPr>
                <w:szCs w:val="18"/>
              </w:rPr>
              <w:t>Statistically significant</w:t>
            </w:r>
            <w:r w:rsidRPr="00182A8F">
              <w:rPr>
                <w:szCs w:val="18"/>
                <w:vertAlign w:val="superscript"/>
              </w:rPr>
              <w:t>2</w:t>
            </w:r>
            <w:r>
              <w:rPr>
                <w:szCs w:val="18"/>
                <w:vertAlign w:val="superscript"/>
              </w:rPr>
              <w:t xml:space="preserve"> </w:t>
            </w:r>
            <w:r>
              <w:rPr>
                <w:szCs w:val="18"/>
              </w:rPr>
              <w:t xml:space="preserve">based on RR </w:t>
            </w:r>
            <w:r w:rsidRPr="00182A8F">
              <w:rPr>
                <w:szCs w:val="18"/>
              </w:rPr>
              <w:t>(in favour of higher strength)</w:t>
            </w:r>
            <w:r>
              <w:rPr>
                <w:szCs w:val="18"/>
              </w:rPr>
              <w:t>.</w:t>
            </w:r>
          </w:p>
          <w:p w:rsidR="00C324F3" w:rsidRPr="00E15A6E"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182A8F">
              <w:rPr>
                <w:szCs w:val="18"/>
              </w:rPr>
              <w:t>Not statistically significant</w:t>
            </w:r>
            <w:r>
              <w:rPr>
                <w:szCs w:val="18"/>
              </w:rPr>
              <w:t xml:space="preserve"> based on RR </w:t>
            </w:r>
            <w:r w:rsidRPr="00182A8F">
              <w:rPr>
                <w:szCs w:val="18"/>
              </w:rPr>
              <w:t>(palpitations, treatment withdrawals)</w:t>
            </w:r>
            <w:r>
              <w:rPr>
                <w:szCs w:val="18"/>
              </w:rPr>
              <w:t xml:space="preserve">. </w:t>
            </w:r>
          </w:p>
        </w:tc>
      </w:tr>
    </w:tbl>
    <w:p w:rsidR="00C324F3" w:rsidRDefault="00C324F3" w:rsidP="00C324F3">
      <w:pPr>
        <w:pStyle w:val="TableFooter"/>
        <w:keepNext/>
      </w:pPr>
      <w:r>
        <w:t xml:space="preserve">Abbreviations: AEs = adverse events; NRT = nicotine replacement therapy; RR = risk ratio. </w:t>
      </w:r>
    </w:p>
    <w:p w:rsidR="00C324F3" w:rsidRDefault="00C324F3" w:rsidP="00C324F3">
      <w:pPr>
        <w:pStyle w:val="TableFooter"/>
        <w:keepNext/>
      </w:pPr>
      <w:r w:rsidRPr="00BE36E8">
        <w:t xml:space="preserve">Notes: </w:t>
      </w:r>
    </w:p>
    <w:p w:rsidR="00C324F3" w:rsidRPr="00182A8F" w:rsidRDefault="00C324F3" w:rsidP="00C324F3">
      <w:pPr>
        <w:pStyle w:val="TableFooter"/>
        <w:keepNext/>
      </w:pPr>
      <w:r>
        <w:t xml:space="preserve">1 </w:t>
      </w:r>
      <w:r w:rsidRPr="00182A8F">
        <w:t>Comparisons include 21 mg/24-hour versus 14 mg/24-hour patches, 25 mg/16-hour versus 15 mg/16-hour patches, and 42/44 mg/24-hour versus 21/22 mg/24-hour patches. Studies comparing 42 mg/24-hour versus 21 mg/24-hour and 44 mg/24-hour versus 22 mg/24-hour patches were pooled.</w:t>
      </w:r>
    </w:p>
    <w:p w:rsidR="00C324F3" w:rsidRDefault="00C324F3" w:rsidP="00C324F3">
      <w:pPr>
        <w:pStyle w:val="TableFooter"/>
        <w:keepNext/>
      </w:pPr>
      <w:r>
        <w:t xml:space="preserve">2 </w:t>
      </w:r>
      <w:r w:rsidRPr="00182A8F">
        <w:t>Comparisons include 4 mg versus 2 mg gum. Based on the pooled results of high-dependency and low-dependency smokers. The results of the subgroup analysis suggest that only smokers who are highly dependent may benefit from the higher strength NRT gum.</w:t>
      </w:r>
    </w:p>
    <w:p w:rsidR="00C324F3" w:rsidRPr="003603EB" w:rsidRDefault="00C324F3" w:rsidP="00C324F3">
      <w:pPr>
        <w:pStyle w:val="TableFooter"/>
        <w:keepNext/>
      </w:pPr>
      <w:r>
        <w:t xml:space="preserve">3 </w:t>
      </w:r>
      <w:r w:rsidRPr="00BE36E8">
        <w:t>Cochrane Review</w:t>
      </w:r>
      <w:r>
        <w:t>.</w:t>
      </w:r>
    </w:p>
    <w:p w:rsidR="00C324F3" w:rsidRPr="00A61CF6" w:rsidRDefault="00C324F3" w:rsidP="00C324F3">
      <w:pPr>
        <w:rPr>
          <w:b/>
          <w:bCs/>
        </w:rPr>
      </w:pPr>
      <w:r w:rsidRPr="00A61CF6">
        <w:rPr>
          <w:b/>
          <w:bCs/>
        </w:rPr>
        <w:t>Length of therapy</w:t>
      </w:r>
    </w:p>
    <w:p w:rsidR="00C324F3" w:rsidRPr="0054703E" w:rsidRDefault="00C324F3" w:rsidP="00C324F3">
      <w:pPr>
        <w:pStyle w:val="ListParagraph"/>
        <w:numPr>
          <w:ilvl w:val="0"/>
          <w:numId w:val="280"/>
        </w:numPr>
      </w:pPr>
      <w:r>
        <w:t>There were no statistically significant differences between l</w:t>
      </w:r>
      <w:r w:rsidRPr="008C5C68">
        <w:t>onger duration</w:t>
      </w:r>
      <w:r>
        <w:t xml:space="preserve"> NRT and</w:t>
      </w:r>
      <w:r w:rsidRPr="009B4E2F">
        <w:t xml:space="preserve"> </w:t>
      </w:r>
      <w:r w:rsidDel="009B4E2F">
        <w:t>shorter duration</w:t>
      </w:r>
      <w:r w:rsidRPr="008C5C68" w:rsidDel="009B4E2F">
        <w:t xml:space="preserve"> </w:t>
      </w:r>
      <w:r w:rsidRPr="009B4E2F">
        <w:t>NRT</w:t>
      </w:r>
      <w:r>
        <w:t xml:space="preserve"> in terms of efficacy and safety (serious adverse events and treatment withdrawals)</w:t>
      </w:r>
      <w:r w:rsidRPr="000D166B">
        <w:t xml:space="preserve">. </w:t>
      </w:r>
      <w:r>
        <w:t>For this comparison, NRT was administered</w:t>
      </w:r>
      <w:r w:rsidRPr="0054703E">
        <w:t xml:space="preserve"> </w:t>
      </w:r>
      <w:r w:rsidRPr="001E4395">
        <w:t>either as monotherapy (patch or gum) or combination therapy</w:t>
      </w:r>
      <w:r>
        <w:t xml:space="preserve">. </w:t>
      </w:r>
      <w:r w:rsidRPr="007A7EFF">
        <w:t xml:space="preserve">Of note, the CEASE (1999) </w:t>
      </w:r>
      <w:r>
        <w:t>study</w:t>
      </w:r>
      <w:r w:rsidRPr="007A7EFF">
        <w:t xml:space="preserve"> compared 28 weeks with 12 weeks of NRT patches, with two patch doses (25 mg and 15 mg) examined in each duration</w:t>
      </w:r>
      <w:r>
        <w:t xml:space="preserve"> showed no statistically significant differences consistent with the other studies identified</w:t>
      </w:r>
      <w:r w:rsidRPr="007A7EFF">
        <w:t>.</w:t>
      </w:r>
    </w:p>
    <w:p w:rsidR="00C324F3" w:rsidRDefault="00C324F3" w:rsidP="00C324F3">
      <w:pPr>
        <w:pStyle w:val="ListParagraph"/>
        <w:numPr>
          <w:ilvl w:val="0"/>
          <w:numId w:val="280"/>
        </w:numPr>
      </w:pPr>
      <w:r w:rsidRPr="001F4D1B">
        <w:t xml:space="preserve">For other variations in NRT use (24-hour versus 16-hour </w:t>
      </w:r>
      <w:r>
        <w:t>patches</w:t>
      </w:r>
      <w:r w:rsidRPr="001F4D1B">
        <w:t xml:space="preserve">, continue versus stop patch use on </w:t>
      </w:r>
      <w:r>
        <w:t>re</w:t>
      </w:r>
      <w:r w:rsidRPr="001F4D1B">
        <w:t xml:space="preserve">lapse, and 22 weeks of </w:t>
      </w:r>
      <w:r>
        <w:t xml:space="preserve">a </w:t>
      </w:r>
      <w:r w:rsidRPr="001F4D1B">
        <w:t xml:space="preserve">combination of 35 mg </w:t>
      </w:r>
      <w:r>
        <w:t>patches</w:t>
      </w:r>
      <w:r w:rsidRPr="001F4D1B">
        <w:t xml:space="preserve"> and fast-acting</w:t>
      </w:r>
      <w:r>
        <w:t xml:space="preserve"> NRT</w:t>
      </w:r>
      <w:r w:rsidRPr="001F4D1B">
        <w:t xml:space="preserve"> versus 10 weeks of 21 mg</w:t>
      </w:r>
      <w:r>
        <w:t xml:space="preserve"> patches</w:t>
      </w:r>
      <w:r w:rsidRPr="001F4D1B">
        <w:t>), there were no statistically significant differences in smoking cessation rates, serious adverse events, treatment withdrawals and cardiac events in all comparisons.</w:t>
      </w:r>
    </w:p>
    <w:tbl>
      <w:tblPr>
        <w:tblStyle w:val="TableGrid3"/>
        <w:tblW w:w="5000" w:type="pct"/>
        <w:shd w:val="clear" w:color="auto" w:fill="F2F2F2" w:themeFill="background1" w:themeFillShade="F2"/>
        <w:tblLook w:val="04A0" w:firstRow="1" w:lastRow="0" w:firstColumn="1" w:lastColumn="0" w:noHBand="0" w:noVBand="1"/>
      </w:tblPr>
      <w:tblGrid>
        <w:gridCol w:w="1975"/>
        <w:gridCol w:w="2070"/>
        <w:gridCol w:w="4971"/>
      </w:tblGrid>
      <w:tr w:rsidR="00C324F3" w:rsidRPr="00916516" w:rsidTr="00777459">
        <w:trPr>
          <w:trHeight w:val="67"/>
        </w:trPr>
        <w:tc>
          <w:tcPr>
            <w:tcW w:w="1095" w:type="pct"/>
            <w:shd w:val="clear" w:color="auto" w:fill="F2F2F2" w:themeFill="background1" w:themeFillShade="F2"/>
            <w:hideMark/>
          </w:tcPr>
          <w:p w:rsidR="00C324F3" w:rsidRPr="00916516" w:rsidRDefault="00C324F3" w:rsidP="00777459">
            <w:pPr>
              <w:rPr>
                <w:szCs w:val="18"/>
              </w:rPr>
            </w:pPr>
            <w:r w:rsidRPr="00916516">
              <w:rPr>
                <w:b/>
                <w:bCs/>
                <w:szCs w:val="18"/>
              </w:rPr>
              <w:t>Compar</w:t>
            </w:r>
            <w:r>
              <w:rPr>
                <w:b/>
                <w:bCs/>
                <w:szCs w:val="18"/>
              </w:rPr>
              <w:t>ison</w:t>
            </w:r>
          </w:p>
        </w:tc>
        <w:tc>
          <w:tcPr>
            <w:tcW w:w="1148" w:type="pct"/>
            <w:shd w:val="clear" w:color="auto" w:fill="F2F2F2" w:themeFill="background1" w:themeFillShade="F2"/>
            <w:hideMark/>
          </w:tcPr>
          <w:p w:rsidR="00C324F3" w:rsidRPr="00916516" w:rsidRDefault="00C324F3" w:rsidP="00777459">
            <w:pPr>
              <w:jc w:val="center"/>
              <w:rPr>
                <w:szCs w:val="18"/>
              </w:rPr>
            </w:pPr>
            <w:r>
              <w:rPr>
                <w:b/>
                <w:bCs/>
                <w:szCs w:val="18"/>
              </w:rPr>
              <w:t>Included studies</w:t>
            </w:r>
          </w:p>
        </w:tc>
        <w:tc>
          <w:tcPr>
            <w:tcW w:w="2757" w:type="pct"/>
            <w:shd w:val="clear" w:color="auto" w:fill="F2F2F2" w:themeFill="background1" w:themeFillShade="F2"/>
            <w:hideMark/>
          </w:tcPr>
          <w:p w:rsidR="00C324F3" w:rsidRPr="00916516" w:rsidRDefault="00C324F3" w:rsidP="00777459">
            <w:pPr>
              <w:jc w:val="center"/>
              <w:rPr>
                <w:szCs w:val="18"/>
              </w:rPr>
            </w:pPr>
            <w:r>
              <w:rPr>
                <w:b/>
                <w:bCs/>
                <w:szCs w:val="18"/>
              </w:rPr>
              <w:t>Summary of evidence</w:t>
            </w:r>
          </w:p>
        </w:tc>
      </w:tr>
      <w:tr w:rsidR="00C324F3" w:rsidRPr="0063070A" w:rsidTr="00777459">
        <w:trPr>
          <w:trHeight w:val="345"/>
        </w:trPr>
        <w:tc>
          <w:tcPr>
            <w:tcW w:w="1095" w:type="pct"/>
            <w:shd w:val="clear" w:color="auto" w:fill="F2F2F2" w:themeFill="background1" w:themeFillShade="F2"/>
            <w:hideMark/>
          </w:tcPr>
          <w:p w:rsidR="00C324F3" w:rsidRPr="00237D04" w:rsidRDefault="00C324F3" w:rsidP="00777459">
            <w:pPr>
              <w:tabs>
                <w:tab w:val="left" w:pos="1198"/>
              </w:tabs>
              <w:rPr>
                <w:szCs w:val="18"/>
              </w:rPr>
            </w:pPr>
            <w:r w:rsidRPr="00237D04">
              <w:rPr>
                <w:szCs w:val="18"/>
              </w:rPr>
              <w:t>Longer duration NRT</w:t>
            </w:r>
            <w:r>
              <w:rPr>
                <w:szCs w:val="18"/>
                <w:vertAlign w:val="superscript"/>
              </w:rPr>
              <w:t>1</w:t>
            </w:r>
            <w:r>
              <w:rPr>
                <w:szCs w:val="18"/>
              </w:rPr>
              <w:t xml:space="preserve"> vs s</w:t>
            </w:r>
            <w:r w:rsidRPr="00237D04">
              <w:rPr>
                <w:szCs w:val="18"/>
              </w:rPr>
              <w:t>horter duration NRT</w:t>
            </w:r>
          </w:p>
          <w:p w:rsidR="00C324F3" w:rsidRPr="00237D04" w:rsidRDefault="00C324F3" w:rsidP="00777459">
            <w:pPr>
              <w:tabs>
                <w:tab w:val="left" w:pos="1198"/>
              </w:tabs>
              <w:spacing w:after="200"/>
              <w:rPr>
                <w:szCs w:val="18"/>
              </w:rPr>
            </w:pPr>
          </w:p>
        </w:tc>
        <w:tc>
          <w:tcPr>
            <w:tcW w:w="1148" w:type="pct"/>
            <w:shd w:val="clear" w:color="auto" w:fill="F2F2F2" w:themeFill="background1" w:themeFillShade="F2"/>
            <w:hideMark/>
          </w:tcPr>
          <w:p w:rsidR="00C324F3" w:rsidRPr="00B6521D" w:rsidRDefault="00C324F3" w:rsidP="00C324F3">
            <w:pPr>
              <w:pStyle w:val="ListParagraph"/>
              <w:numPr>
                <w:ilvl w:val="0"/>
                <w:numId w:val="318"/>
              </w:numPr>
              <w:rPr>
                <w:szCs w:val="18"/>
              </w:rPr>
            </w:pPr>
            <w:r>
              <w:t>Lindson</w:t>
            </w:r>
            <w:r w:rsidRPr="00713891">
              <w:t xml:space="preserve"> (201</w:t>
            </w:r>
            <w:r>
              <w:t>9</w:t>
            </w:r>
            <w:r w:rsidRPr="00713891">
              <w:t>)</w:t>
            </w:r>
            <w:r w:rsidRPr="00B6521D">
              <w:rPr>
                <w:vertAlign w:val="superscript"/>
              </w:rPr>
              <w:t>3</w:t>
            </w:r>
          </w:p>
          <w:p w:rsidR="00C324F3" w:rsidRPr="00614418" w:rsidRDefault="00C324F3" w:rsidP="00C324F3">
            <w:pPr>
              <w:pStyle w:val="ListParagraph"/>
              <w:numPr>
                <w:ilvl w:val="0"/>
                <w:numId w:val="318"/>
              </w:numPr>
              <w:rPr>
                <w:szCs w:val="18"/>
              </w:rPr>
            </w:pPr>
            <w:r w:rsidRPr="003158F5">
              <w:rPr>
                <w:rFonts w:eastAsia="MS Mincho"/>
              </w:rPr>
              <w:t>Ellerbeck (2018)</w:t>
            </w:r>
            <w:r w:rsidRPr="00076C24">
              <w:rPr>
                <w:rFonts w:eastAsia="MS Mincho"/>
                <w:vertAlign w:val="superscript"/>
              </w:rPr>
              <w:t>4</w:t>
            </w:r>
          </w:p>
        </w:tc>
        <w:tc>
          <w:tcPr>
            <w:tcW w:w="2757" w:type="pct"/>
            <w:shd w:val="clear" w:color="auto" w:fill="F2F2F2" w:themeFill="background1" w:themeFillShade="F2"/>
            <w:hideMark/>
          </w:tcPr>
          <w:p w:rsidR="00C324F3" w:rsidRPr="00237D04" w:rsidRDefault="00C324F3" w:rsidP="00C324F3">
            <w:pPr>
              <w:pStyle w:val="ListParagraph"/>
              <w:numPr>
                <w:ilvl w:val="0"/>
                <w:numId w:val="318"/>
              </w:numPr>
              <w:rPr>
                <w:szCs w:val="18"/>
              </w:rPr>
            </w:pPr>
            <w:r w:rsidRPr="00360862">
              <w:rPr>
                <w:szCs w:val="18"/>
                <w:u w:val="single"/>
              </w:rPr>
              <w:t>Efficacy</w:t>
            </w:r>
            <w:r w:rsidRPr="00360862">
              <w:rPr>
                <w:szCs w:val="18"/>
              </w:rPr>
              <w:t xml:space="preserve">: </w:t>
            </w:r>
            <w:r w:rsidRPr="00237D04">
              <w:rPr>
                <w:szCs w:val="18"/>
              </w:rPr>
              <w:t>Not statistically significant</w:t>
            </w:r>
            <w:r>
              <w:rPr>
                <w:szCs w:val="18"/>
              </w:rPr>
              <w:t xml:space="preserve"> based on RR.</w:t>
            </w:r>
          </w:p>
          <w:p w:rsidR="00C324F3" w:rsidRPr="00237D04" w:rsidRDefault="00C324F3" w:rsidP="00C324F3">
            <w:pPr>
              <w:pStyle w:val="ListParagraph"/>
              <w:numPr>
                <w:ilvl w:val="0"/>
                <w:numId w:val="318"/>
              </w:numPr>
              <w:rPr>
                <w:szCs w:val="18"/>
              </w:rPr>
            </w:pPr>
            <w:r w:rsidRPr="00360862">
              <w:rPr>
                <w:szCs w:val="18"/>
                <w:u w:val="single"/>
              </w:rPr>
              <w:t>Safety:</w:t>
            </w:r>
            <w:r w:rsidRPr="00360862">
              <w:rPr>
                <w:szCs w:val="18"/>
              </w:rPr>
              <w:t xml:space="preserve"> </w:t>
            </w:r>
            <w:r w:rsidRPr="00237D04">
              <w:rPr>
                <w:szCs w:val="18"/>
              </w:rPr>
              <w:t>Not statistically significant</w:t>
            </w:r>
            <w:r>
              <w:rPr>
                <w:szCs w:val="18"/>
              </w:rPr>
              <w:t xml:space="preserve"> based on RR </w:t>
            </w:r>
            <w:r w:rsidRPr="00237D04">
              <w:rPr>
                <w:szCs w:val="18"/>
              </w:rPr>
              <w:t>(</w:t>
            </w:r>
            <w:r w:rsidRPr="0018309C">
              <w:rPr>
                <w:szCs w:val="18"/>
              </w:rPr>
              <w:t>overall SAEs, treatment withdrawals</w:t>
            </w:r>
            <w:r>
              <w:rPr>
                <w:szCs w:val="18"/>
              </w:rPr>
              <w:t>, and m</w:t>
            </w:r>
            <w:r w:rsidRPr="0018309C">
              <w:rPr>
                <w:szCs w:val="18"/>
              </w:rPr>
              <w:t>idsternal pressure</w:t>
            </w:r>
            <w:r w:rsidRPr="00237D04">
              <w:rPr>
                <w:szCs w:val="18"/>
              </w:rPr>
              <w:t>)</w:t>
            </w:r>
            <w:r>
              <w:rPr>
                <w:szCs w:val="18"/>
              </w:rPr>
              <w:t>.</w:t>
            </w:r>
          </w:p>
          <w:p w:rsidR="00C324F3" w:rsidRPr="00182A8F" w:rsidRDefault="00C324F3" w:rsidP="00777459">
            <w:pPr>
              <w:pStyle w:val="ListParagraph"/>
              <w:ind w:left="360"/>
              <w:rPr>
                <w:szCs w:val="18"/>
              </w:rPr>
            </w:pPr>
          </w:p>
        </w:tc>
      </w:tr>
      <w:tr w:rsidR="00C324F3" w:rsidRPr="00360862" w:rsidTr="00777459">
        <w:trPr>
          <w:trHeight w:val="617"/>
        </w:trPr>
        <w:tc>
          <w:tcPr>
            <w:tcW w:w="1095" w:type="pct"/>
            <w:shd w:val="clear" w:color="auto" w:fill="F2F2F2" w:themeFill="background1" w:themeFillShade="F2"/>
            <w:hideMark/>
          </w:tcPr>
          <w:p w:rsidR="00C324F3" w:rsidRPr="00237D04" w:rsidRDefault="00C324F3" w:rsidP="00777459">
            <w:pPr>
              <w:rPr>
                <w:szCs w:val="18"/>
              </w:rPr>
            </w:pPr>
            <w:r w:rsidRPr="00237D04">
              <w:rPr>
                <w:szCs w:val="18"/>
              </w:rPr>
              <w:t>Other variations in NRT use</w:t>
            </w:r>
            <w:r>
              <w:rPr>
                <w:szCs w:val="18"/>
                <w:vertAlign w:val="superscript"/>
              </w:rPr>
              <w:t>2</w:t>
            </w:r>
            <w:r>
              <w:rPr>
                <w:szCs w:val="18"/>
              </w:rPr>
              <w:t xml:space="preserve"> vs o</w:t>
            </w:r>
            <w:r w:rsidRPr="00237D04">
              <w:rPr>
                <w:szCs w:val="18"/>
              </w:rPr>
              <w:t>ther variations in NRT use</w:t>
            </w:r>
          </w:p>
          <w:p w:rsidR="00C324F3" w:rsidRPr="00237D04" w:rsidRDefault="00C324F3" w:rsidP="00777459">
            <w:pPr>
              <w:spacing w:after="200"/>
              <w:rPr>
                <w:szCs w:val="18"/>
              </w:rPr>
            </w:pPr>
          </w:p>
        </w:tc>
        <w:tc>
          <w:tcPr>
            <w:tcW w:w="1148" w:type="pct"/>
            <w:shd w:val="clear" w:color="auto" w:fill="F2F2F2" w:themeFill="background1" w:themeFillShade="F2"/>
            <w:hideMark/>
          </w:tcPr>
          <w:p w:rsidR="00C324F3" w:rsidRPr="002A5E9C" w:rsidRDefault="00C324F3" w:rsidP="00C324F3">
            <w:pPr>
              <w:pStyle w:val="ListParagraph"/>
              <w:numPr>
                <w:ilvl w:val="0"/>
                <w:numId w:val="319"/>
              </w:numPr>
              <w:rPr>
                <w:szCs w:val="18"/>
              </w:rPr>
            </w:pPr>
            <w:r>
              <w:t>Lindson</w:t>
            </w:r>
            <w:r w:rsidRPr="00713891">
              <w:t xml:space="preserve"> (201</w:t>
            </w:r>
            <w:r>
              <w:t>9</w:t>
            </w:r>
            <w:r w:rsidRPr="00713891">
              <w:t>)</w:t>
            </w:r>
            <w:r w:rsidRPr="00B6521D">
              <w:rPr>
                <w:vertAlign w:val="superscript"/>
              </w:rPr>
              <w:t>3</w:t>
            </w:r>
          </w:p>
        </w:tc>
        <w:tc>
          <w:tcPr>
            <w:tcW w:w="2757" w:type="pct"/>
            <w:shd w:val="clear" w:color="auto" w:fill="F2F2F2" w:themeFill="background1" w:themeFillShade="F2"/>
            <w:hideMark/>
          </w:tcPr>
          <w:p w:rsidR="00C324F3" w:rsidRPr="00237D04" w:rsidRDefault="00C324F3" w:rsidP="00C324F3">
            <w:pPr>
              <w:pStyle w:val="ListParagraph"/>
              <w:numPr>
                <w:ilvl w:val="0"/>
                <w:numId w:val="317"/>
              </w:numPr>
              <w:rPr>
                <w:szCs w:val="18"/>
              </w:rPr>
            </w:pPr>
            <w:r w:rsidRPr="00360862">
              <w:rPr>
                <w:szCs w:val="18"/>
                <w:u w:val="single"/>
              </w:rPr>
              <w:t>Efficacy</w:t>
            </w:r>
            <w:r w:rsidRPr="00360862">
              <w:rPr>
                <w:szCs w:val="18"/>
              </w:rPr>
              <w:t xml:space="preserve">: </w:t>
            </w:r>
            <w:r w:rsidRPr="00237D04">
              <w:rPr>
                <w:szCs w:val="18"/>
              </w:rPr>
              <w:t>Not statistically significant</w:t>
            </w:r>
            <w:r>
              <w:rPr>
                <w:szCs w:val="18"/>
              </w:rPr>
              <w:t xml:space="preserve"> based on RR. </w:t>
            </w:r>
          </w:p>
          <w:p w:rsidR="00C324F3" w:rsidRPr="00237D04"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237D04">
              <w:rPr>
                <w:szCs w:val="18"/>
              </w:rPr>
              <w:t>Not statistically significant</w:t>
            </w:r>
            <w:r>
              <w:rPr>
                <w:szCs w:val="18"/>
              </w:rPr>
              <w:t xml:space="preserve"> based on RR </w:t>
            </w:r>
            <w:r w:rsidRPr="00237D04">
              <w:rPr>
                <w:szCs w:val="18"/>
              </w:rPr>
              <w:t xml:space="preserve">(cardiac AEs, </w:t>
            </w:r>
            <w:r>
              <w:rPr>
                <w:szCs w:val="18"/>
              </w:rPr>
              <w:t>S</w:t>
            </w:r>
            <w:r w:rsidRPr="00237D04">
              <w:rPr>
                <w:szCs w:val="18"/>
              </w:rPr>
              <w:t>AEs, treatment withdrawals)</w:t>
            </w:r>
            <w:r>
              <w:rPr>
                <w:szCs w:val="18"/>
              </w:rPr>
              <w:t>.</w:t>
            </w:r>
          </w:p>
          <w:p w:rsidR="00C324F3" w:rsidRPr="00552AFA" w:rsidRDefault="00C324F3" w:rsidP="00777459">
            <w:pPr>
              <w:pStyle w:val="ListParagraph"/>
              <w:ind w:left="360"/>
              <w:rPr>
                <w:szCs w:val="18"/>
              </w:rPr>
            </w:pPr>
          </w:p>
        </w:tc>
      </w:tr>
    </w:tbl>
    <w:p w:rsidR="00C324F3" w:rsidRDefault="00C324F3" w:rsidP="00C324F3">
      <w:pPr>
        <w:pStyle w:val="TableFooter"/>
      </w:pPr>
      <w:r>
        <w:t>Abbreviations: AEs = adverse events; NRT = nicotine replacement therapy; RR = risk ratio; SAEs = serious adverse events</w:t>
      </w:r>
    </w:p>
    <w:p w:rsidR="00C324F3" w:rsidRDefault="00C324F3" w:rsidP="00C324F3">
      <w:pPr>
        <w:pStyle w:val="TableFooter"/>
      </w:pPr>
      <w:r w:rsidRPr="00BE36E8">
        <w:t xml:space="preserve">Notes: </w:t>
      </w:r>
    </w:p>
    <w:p w:rsidR="00C324F3" w:rsidRPr="00237D04" w:rsidRDefault="00C324F3" w:rsidP="00C324F3">
      <w:pPr>
        <w:pStyle w:val="TableFooter"/>
      </w:pPr>
      <w:r>
        <w:t xml:space="preserve">1 </w:t>
      </w:r>
      <w:r w:rsidRPr="00237D04">
        <w:t>Comparisons include various durations of longer duration NRT versus shorter duration NRT (either as patch, gum or combination therapy).</w:t>
      </w:r>
    </w:p>
    <w:p w:rsidR="00C324F3" w:rsidRDefault="00C324F3" w:rsidP="00C324F3">
      <w:pPr>
        <w:pStyle w:val="TableFooter"/>
      </w:pPr>
      <w:r>
        <w:lastRenderedPageBreak/>
        <w:t xml:space="preserve">2 </w:t>
      </w:r>
      <w:r w:rsidRPr="00237D04">
        <w:t xml:space="preserve">Comparisons include 24-hour versus 16-hour patches, continue versus stop patch use on relapse, and 22 weeks of a combination of 35 mg patches and fast-acting NRT </w:t>
      </w:r>
      <w:r>
        <w:t xml:space="preserve">(gum or inhaler) </w:t>
      </w:r>
      <w:r w:rsidRPr="00237D04">
        <w:t>versus 10 weeks of 21 mg patches.</w:t>
      </w:r>
    </w:p>
    <w:p w:rsidR="00C324F3" w:rsidRDefault="00C324F3" w:rsidP="00C324F3">
      <w:pPr>
        <w:pStyle w:val="TableFooter"/>
      </w:pPr>
      <w:r>
        <w:t xml:space="preserve">3 </w:t>
      </w:r>
      <w:r w:rsidRPr="00BE36E8">
        <w:t>Cochrane Review</w:t>
      </w:r>
      <w:r>
        <w:t>.</w:t>
      </w:r>
    </w:p>
    <w:p w:rsidR="00C324F3" w:rsidRDefault="00C324F3" w:rsidP="00C324F3">
      <w:pPr>
        <w:pStyle w:val="TableFooter"/>
      </w:pPr>
      <w:r>
        <w:t xml:space="preserve">4 Supplemental evidence (RCT). </w:t>
      </w:r>
    </w:p>
    <w:p w:rsidR="00C324F3" w:rsidRPr="00E66B17" w:rsidRDefault="00C324F3" w:rsidP="00C324F3">
      <w:pPr>
        <w:pStyle w:val="TableFooter"/>
      </w:pPr>
      <w:r>
        <w:t xml:space="preserve"> </w:t>
      </w:r>
      <w:r w:rsidRPr="00E66B17">
        <w:t xml:space="preserve">    </w:t>
      </w:r>
    </w:p>
    <w:p w:rsidR="00C324F3" w:rsidRPr="00A61CF6" w:rsidRDefault="00C324F3" w:rsidP="00C324F3">
      <w:pPr>
        <w:rPr>
          <w:b/>
          <w:bCs/>
        </w:rPr>
      </w:pPr>
      <w:r w:rsidRPr="00A61CF6">
        <w:rPr>
          <w:b/>
          <w:bCs/>
        </w:rPr>
        <w:t>Dosing schedule</w:t>
      </w:r>
    </w:p>
    <w:p w:rsidR="00C324F3" w:rsidRDefault="00C324F3" w:rsidP="00C324F3">
      <w:pPr>
        <w:pStyle w:val="ListParagraph"/>
        <w:numPr>
          <w:ilvl w:val="0"/>
          <w:numId w:val="281"/>
        </w:numPr>
      </w:pPr>
      <w:r>
        <w:t>There were no statistically significant differences between a</w:t>
      </w:r>
      <w:r w:rsidRPr="001F4D1B">
        <w:t xml:space="preserve">brupt withdrawal </w:t>
      </w:r>
      <w:r>
        <w:t>of NRT patches compared to</w:t>
      </w:r>
      <w:r w:rsidRPr="001F4D1B">
        <w:t xml:space="preserve"> tapering patch dose</w:t>
      </w:r>
      <w:r>
        <w:t xml:space="preserve"> in terms of efficacy and safety (treatment withdrawal)</w:t>
      </w:r>
      <w:r w:rsidRPr="001F4D1B">
        <w:t>. This is consistent with previous PBAC consideration</w:t>
      </w:r>
      <w:r>
        <w:t>s</w:t>
      </w:r>
      <w:r w:rsidRPr="001F4D1B">
        <w:t>, whereby gradual tapering compared with abrupt withdrawal w</w:t>
      </w:r>
      <w:r>
        <w:t>as expected</w:t>
      </w:r>
      <w:r w:rsidRPr="001F4D1B">
        <w:t xml:space="preserve"> to result in minimal changes in clinical outcomes.</w:t>
      </w:r>
    </w:p>
    <w:p w:rsidR="00C324F3" w:rsidRDefault="00C324F3" w:rsidP="00C324F3">
      <w:pPr>
        <w:pStyle w:val="ListParagraph"/>
        <w:numPr>
          <w:ilvl w:val="0"/>
          <w:numId w:val="281"/>
        </w:numPr>
      </w:pPr>
      <w:r>
        <w:t>There were no statistically significant differences between f</w:t>
      </w:r>
      <w:r w:rsidRPr="00111074">
        <w:t xml:space="preserve">ixed </w:t>
      </w:r>
      <w:r>
        <w:t>dosing schedules for fast-acting NRT compared to</w:t>
      </w:r>
      <w:r w:rsidRPr="00111074">
        <w:t xml:space="preserve"> ad lib dosing schedule</w:t>
      </w:r>
      <w:r>
        <w:t xml:space="preserve"> in terms of efficacy and safety</w:t>
      </w:r>
      <w:r w:rsidRPr="00111074">
        <w:t xml:space="preserve"> </w:t>
      </w:r>
      <w:r>
        <w:t xml:space="preserve">(serious adverse events and treatment withdrawals) </w:t>
      </w:r>
      <w:r w:rsidRPr="00111074">
        <w:t xml:space="preserve">for all comparisons (gum, nasal spray and pooled analysis). </w:t>
      </w:r>
    </w:p>
    <w:p w:rsidR="00C324F3" w:rsidRDefault="00C324F3" w:rsidP="00C324F3">
      <w:pPr>
        <w:pStyle w:val="ListParagraph"/>
        <w:numPr>
          <w:ilvl w:val="0"/>
          <w:numId w:val="281"/>
        </w:numPr>
      </w:pPr>
      <w:r w:rsidRPr="009C2F54">
        <w:t xml:space="preserve">Preloading use of NRT </w:t>
      </w:r>
      <w:r>
        <w:t xml:space="preserve">(prior to smoking cessation) </w:t>
      </w:r>
      <w:r w:rsidRPr="009C2F54">
        <w:t xml:space="preserve">was </w:t>
      </w:r>
      <w:r>
        <w:t>shown to be superior to</w:t>
      </w:r>
      <w:r w:rsidRPr="009C2F54">
        <w:t xml:space="preserve"> standard use of NRT </w:t>
      </w:r>
      <w:r>
        <w:t>(commencing at the time of smoking cessation) in terms of efficacy</w:t>
      </w:r>
      <w:r w:rsidRPr="009C2F54">
        <w:t xml:space="preserve">. However, the results were only statistically significant in the NRT </w:t>
      </w:r>
      <w:r>
        <w:t>patches</w:t>
      </w:r>
      <w:r w:rsidRPr="009C2F54">
        <w:t xml:space="preserve"> subgroup and not in the NRT gum or </w:t>
      </w:r>
      <w:r>
        <w:t xml:space="preserve">NRT </w:t>
      </w:r>
      <w:r w:rsidRPr="009C2F54">
        <w:t>patch in combination with gum subgroups. For safety, there was a significantly higher proportion of patients in the preloading arm experiencing palpitations compared with patients in the standard use arm</w:t>
      </w:r>
      <w:r>
        <w:t>, however,</w:t>
      </w:r>
      <w:r w:rsidRPr="009C2F54">
        <w:t xml:space="preserve"> there were no statistically significant differences in cardiac adverse events, cardiac serious adverse events, overall serious adverse events and treatment withdrawals.</w:t>
      </w:r>
    </w:p>
    <w:p w:rsidR="003C4A1C" w:rsidRDefault="00C324F3" w:rsidP="00C324F3">
      <w:pPr>
        <w:pStyle w:val="ListParagraph"/>
        <w:numPr>
          <w:ilvl w:val="0"/>
          <w:numId w:val="281"/>
        </w:numPr>
      </w:pPr>
      <w:r w:rsidRPr="009C2F54">
        <w:t xml:space="preserve">Reduction </w:t>
      </w:r>
      <w:r>
        <w:t>in cigarettes per day (‘cutting down to quit’)</w:t>
      </w:r>
      <w:r w:rsidRPr="009C2F54">
        <w:t xml:space="preserve"> with pharmacotherapy </w:t>
      </w:r>
      <w:r>
        <w:t>was shown to be superior to</w:t>
      </w:r>
      <w:r w:rsidRPr="009C2F54">
        <w:t xml:space="preserve"> reduction alone in </w:t>
      </w:r>
      <w:r>
        <w:t xml:space="preserve">terms of efficacy  in the </w:t>
      </w:r>
      <w:r w:rsidRPr="009C2F54">
        <w:t>fast</w:t>
      </w:r>
      <w:r>
        <w:t>-</w:t>
      </w:r>
      <w:r w:rsidRPr="009C2F54">
        <w:t xml:space="preserve">acting NRT subgroup, noting that there were no statistically significant differences between the two treatment arms in either combination NRT or NRT </w:t>
      </w:r>
      <w:r>
        <w:t>patches</w:t>
      </w:r>
      <w:r w:rsidRPr="009C2F54">
        <w:t xml:space="preserve"> subgroups. There w</w:t>
      </w:r>
      <w:r>
        <w:t>ere</w:t>
      </w:r>
      <w:r w:rsidRPr="009C2F54">
        <w:t xml:space="preserve"> no statistically significant difference</w:t>
      </w:r>
      <w:r>
        <w:t>s</w:t>
      </w:r>
      <w:r w:rsidRPr="009C2F54">
        <w:t xml:space="preserve"> in pre-quit adverse events and pre-quit serious adverse events</w:t>
      </w:r>
      <w:r>
        <w:t xml:space="preserve"> between </w:t>
      </w:r>
      <w:r w:rsidRPr="001D3FF6">
        <w:t>cutting down to quit with pharmacotherapy</w:t>
      </w:r>
      <w:r>
        <w:t xml:space="preserve"> and cutting down alone</w:t>
      </w:r>
      <w:r w:rsidRPr="009C2F54">
        <w:t xml:space="preserve">. </w:t>
      </w:r>
      <w:r w:rsidRPr="00E4688F">
        <w:t xml:space="preserve"> </w:t>
      </w:r>
      <w:r w:rsidRPr="00A4047D">
        <w:t xml:space="preserve"> </w:t>
      </w:r>
    </w:p>
    <w:p w:rsidR="00C324F3" w:rsidRDefault="003C4A1C" w:rsidP="003C4A1C">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974"/>
        <w:gridCol w:w="1980"/>
        <w:gridCol w:w="5062"/>
      </w:tblGrid>
      <w:tr w:rsidR="00C324F3" w:rsidRPr="00916516" w:rsidTr="00777459">
        <w:trPr>
          <w:trHeight w:val="67"/>
        </w:trPr>
        <w:tc>
          <w:tcPr>
            <w:tcW w:w="1095" w:type="pct"/>
            <w:shd w:val="clear" w:color="auto" w:fill="F2F2F2" w:themeFill="background1" w:themeFillShade="F2"/>
            <w:hideMark/>
          </w:tcPr>
          <w:p w:rsidR="00C324F3" w:rsidRPr="00916516" w:rsidRDefault="00C324F3" w:rsidP="00777459">
            <w:pPr>
              <w:rPr>
                <w:szCs w:val="18"/>
              </w:rPr>
            </w:pPr>
            <w:r w:rsidRPr="00916516">
              <w:rPr>
                <w:b/>
                <w:bCs/>
                <w:szCs w:val="18"/>
              </w:rPr>
              <w:lastRenderedPageBreak/>
              <w:t>Compar</w:t>
            </w:r>
            <w:r>
              <w:rPr>
                <w:b/>
                <w:bCs/>
                <w:szCs w:val="18"/>
              </w:rPr>
              <w:t>ison</w:t>
            </w:r>
          </w:p>
        </w:tc>
        <w:tc>
          <w:tcPr>
            <w:tcW w:w="1098" w:type="pct"/>
            <w:shd w:val="clear" w:color="auto" w:fill="F2F2F2" w:themeFill="background1" w:themeFillShade="F2"/>
            <w:hideMark/>
          </w:tcPr>
          <w:p w:rsidR="00C324F3" w:rsidRPr="00916516" w:rsidRDefault="00C324F3" w:rsidP="00777459">
            <w:pPr>
              <w:jc w:val="center"/>
              <w:rPr>
                <w:szCs w:val="18"/>
              </w:rPr>
            </w:pPr>
            <w:r>
              <w:rPr>
                <w:b/>
                <w:bCs/>
                <w:szCs w:val="18"/>
              </w:rPr>
              <w:t>Included studies</w:t>
            </w:r>
          </w:p>
        </w:tc>
        <w:tc>
          <w:tcPr>
            <w:tcW w:w="2807" w:type="pct"/>
            <w:shd w:val="clear" w:color="auto" w:fill="F2F2F2" w:themeFill="background1" w:themeFillShade="F2"/>
            <w:hideMark/>
          </w:tcPr>
          <w:p w:rsidR="00C324F3" w:rsidRPr="00916516" w:rsidRDefault="00C324F3" w:rsidP="00777459">
            <w:pPr>
              <w:jc w:val="center"/>
              <w:rPr>
                <w:szCs w:val="18"/>
              </w:rPr>
            </w:pPr>
            <w:r>
              <w:rPr>
                <w:b/>
                <w:bCs/>
                <w:szCs w:val="18"/>
              </w:rPr>
              <w:t>Summary of evidence</w:t>
            </w:r>
          </w:p>
        </w:tc>
      </w:tr>
      <w:tr w:rsidR="00C324F3" w:rsidRPr="0063070A" w:rsidTr="00777459">
        <w:trPr>
          <w:trHeight w:val="345"/>
        </w:trPr>
        <w:tc>
          <w:tcPr>
            <w:tcW w:w="1095" w:type="pct"/>
            <w:shd w:val="clear" w:color="auto" w:fill="F2F2F2" w:themeFill="background1" w:themeFillShade="F2"/>
            <w:hideMark/>
          </w:tcPr>
          <w:p w:rsidR="00C324F3" w:rsidRPr="00237D04" w:rsidRDefault="00C324F3" w:rsidP="00777459">
            <w:pPr>
              <w:tabs>
                <w:tab w:val="left" w:pos="1198"/>
              </w:tabs>
              <w:rPr>
                <w:szCs w:val="18"/>
              </w:rPr>
            </w:pPr>
            <w:r w:rsidRPr="00581533">
              <w:rPr>
                <w:szCs w:val="18"/>
              </w:rPr>
              <w:t>Abrupt withdrawal of NRT patch</w:t>
            </w:r>
            <w:r>
              <w:rPr>
                <w:szCs w:val="18"/>
              </w:rPr>
              <w:t xml:space="preserve"> vs g</w:t>
            </w:r>
            <w:r w:rsidRPr="00581533">
              <w:rPr>
                <w:szCs w:val="18"/>
              </w:rPr>
              <w:t>radual tapering of NRT patch</w:t>
            </w:r>
          </w:p>
        </w:tc>
        <w:tc>
          <w:tcPr>
            <w:tcW w:w="1098" w:type="pct"/>
            <w:shd w:val="clear" w:color="auto" w:fill="F2F2F2" w:themeFill="background1" w:themeFillShade="F2"/>
            <w:hideMark/>
          </w:tcPr>
          <w:p w:rsidR="00C324F3" w:rsidRPr="00614418" w:rsidRDefault="00C324F3" w:rsidP="00C324F3">
            <w:pPr>
              <w:pStyle w:val="ListParagraph"/>
              <w:numPr>
                <w:ilvl w:val="0"/>
                <w:numId w:val="318"/>
              </w:numPr>
              <w:rPr>
                <w:szCs w:val="18"/>
              </w:rPr>
            </w:pPr>
            <w:r w:rsidRPr="00687B43">
              <w:t>Lindson (2019)</w:t>
            </w:r>
            <w:r w:rsidRPr="00CE108D">
              <w:rPr>
                <w:vertAlign w:val="superscript"/>
              </w:rPr>
              <w:t>4</w:t>
            </w:r>
          </w:p>
        </w:tc>
        <w:tc>
          <w:tcPr>
            <w:tcW w:w="2807" w:type="pct"/>
            <w:shd w:val="clear" w:color="auto" w:fill="F2F2F2" w:themeFill="background1" w:themeFillShade="F2"/>
            <w:hideMark/>
          </w:tcPr>
          <w:p w:rsidR="00C324F3" w:rsidRPr="00581533" w:rsidRDefault="00C324F3" w:rsidP="00C324F3">
            <w:pPr>
              <w:pStyle w:val="ListParagraph"/>
              <w:numPr>
                <w:ilvl w:val="0"/>
                <w:numId w:val="318"/>
              </w:numPr>
              <w:rPr>
                <w:szCs w:val="18"/>
              </w:rPr>
            </w:pPr>
            <w:r w:rsidRPr="00360862">
              <w:rPr>
                <w:szCs w:val="18"/>
                <w:u w:val="single"/>
              </w:rPr>
              <w:t>Efficacy</w:t>
            </w:r>
            <w:r w:rsidRPr="00360862">
              <w:rPr>
                <w:szCs w:val="18"/>
              </w:rPr>
              <w:t xml:space="preserve">: </w:t>
            </w:r>
            <w:r w:rsidRPr="00581533">
              <w:rPr>
                <w:szCs w:val="18"/>
              </w:rPr>
              <w:t>Not statistically significant</w:t>
            </w:r>
            <w:r>
              <w:rPr>
                <w:szCs w:val="18"/>
              </w:rPr>
              <w:t xml:space="preserve"> based on RR.</w:t>
            </w:r>
          </w:p>
          <w:p w:rsidR="00C324F3" w:rsidRPr="009068BC" w:rsidRDefault="00C324F3" w:rsidP="00C324F3">
            <w:pPr>
              <w:pStyle w:val="ListParagraph"/>
              <w:numPr>
                <w:ilvl w:val="0"/>
                <w:numId w:val="318"/>
              </w:numPr>
              <w:rPr>
                <w:szCs w:val="18"/>
              </w:rPr>
            </w:pPr>
            <w:r w:rsidRPr="00360862">
              <w:rPr>
                <w:szCs w:val="18"/>
                <w:u w:val="single"/>
              </w:rPr>
              <w:t>Safety:</w:t>
            </w:r>
            <w:r w:rsidRPr="00360862">
              <w:rPr>
                <w:szCs w:val="18"/>
              </w:rPr>
              <w:t xml:space="preserve"> </w:t>
            </w:r>
            <w:r w:rsidRPr="009068BC">
              <w:rPr>
                <w:szCs w:val="18"/>
              </w:rPr>
              <w:t>Not statistically significant</w:t>
            </w:r>
            <w:r>
              <w:rPr>
                <w:szCs w:val="18"/>
              </w:rPr>
              <w:t xml:space="preserve"> based on RR </w:t>
            </w:r>
            <w:r w:rsidRPr="009068BC">
              <w:rPr>
                <w:szCs w:val="18"/>
              </w:rPr>
              <w:t>(treatment withdrawals)</w:t>
            </w:r>
            <w:r>
              <w:rPr>
                <w:szCs w:val="18"/>
              </w:rPr>
              <w:t>.</w:t>
            </w:r>
          </w:p>
        </w:tc>
      </w:tr>
      <w:tr w:rsidR="00C324F3" w:rsidRPr="00360862" w:rsidTr="00777459">
        <w:trPr>
          <w:trHeight w:val="617"/>
        </w:trPr>
        <w:tc>
          <w:tcPr>
            <w:tcW w:w="1095" w:type="pct"/>
            <w:shd w:val="clear" w:color="auto" w:fill="F2F2F2" w:themeFill="background1" w:themeFillShade="F2"/>
            <w:hideMark/>
          </w:tcPr>
          <w:p w:rsidR="00C324F3" w:rsidRPr="00581533" w:rsidRDefault="00C324F3" w:rsidP="00777459">
            <w:pPr>
              <w:rPr>
                <w:szCs w:val="18"/>
              </w:rPr>
            </w:pPr>
            <w:r w:rsidRPr="00581533">
              <w:rPr>
                <w:szCs w:val="18"/>
              </w:rPr>
              <w:t>Fixed dosing schedule</w:t>
            </w:r>
            <w:r w:rsidRPr="00581533">
              <w:rPr>
                <w:szCs w:val="18"/>
                <w:vertAlign w:val="superscript"/>
              </w:rPr>
              <w:t>1</w:t>
            </w:r>
            <w:r>
              <w:rPr>
                <w:szCs w:val="18"/>
              </w:rPr>
              <w:t xml:space="preserve"> vs a</w:t>
            </w:r>
            <w:r w:rsidRPr="00581533">
              <w:rPr>
                <w:szCs w:val="18"/>
              </w:rPr>
              <w:t>d lib dosing schedule</w:t>
            </w:r>
          </w:p>
          <w:p w:rsidR="00C324F3" w:rsidRPr="00581533" w:rsidRDefault="00C324F3" w:rsidP="00777459">
            <w:pPr>
              <w:rPr>
                <w:szCs w:val="18"/>
              </w:rPr>
            </w:pPr>
          </w:p>
        </w:tc>
        <w:tc>
          <w:tcPr>
            <w:tcW w:w="1098" w:type="pct"/>
            <w:shd w:val="clear" w:color="auto" w:fill="F2F2F2" w:themeFill="background1" w:themeFillShade="F2"/>
            <w:hideMark/>
          </w:tcPr>
          <w:p w:rsidR="00C324F3" w:rsidRPr="002A5E9C" w:rsidRDefault="00C324F3" w:rsidP="00C324F3">
            <w:pPr>
              <w:pStyle w:val="ListParagraph"/>
              <w:numPr>
                <w:ilvl w:val="0"/>
                <w:numId w:val="319"/>
              </w:numPr>
              <w:rPr>
                <w:szCs w:val="18"/>
              </w:rPr>
            </w:pPr>
            <w:r w:rsidRPr="00687B43">
              <w:t>Lindson (2019)</w:t>
            </w:r>
            <w:r w:rsidRPr="00CE108D">
              <w:rPr>
                <w:vertAlign w:val="superscript"/>
              </w:rPr>
              <w:t>4</w:t>
            </w:r>
          </w:p>
        </w:tc>
        <w:tc>
          <w:tcPr>
            <w:tcW w:w="2807" w:type="pct"/>
            <w:shd w:val="clear" w:color="auto" w:fill="F2F2F2" w:themeFill="background1" w:themeFillShade="F2"/>
            <w:hideMark/>
          </w:tcPr>
          <w:p w:rsidR="00C324F3" w:rsidRPr="00581533" w:rsidRDefault="00C324F3" w:rsidP="00C324F3">
            <w:pPr>
              <w:pStyle w:val="ListParagraph"/>
              <w:numPr>
                <w:ilvl w:val="0"/>
                <w:numId w:val="317"/>
              </w:numPr>
              <w:rPr>
                <w:szCs w:val="18"/>
              </w:rPr>
            </w:pPr>
            <w:r w:rsidRPr="00360862">
              <w:rPr>
                <w:szCs w:val="18"/>
                <w:u w:val="single"/>
              </w:rPr>
              <w:t>Efficacy</w:t>
            </w:r>
            <w:r w:rsidRPr="00360862">
              <w:rPr>
                <w:szCs w:val="18"/>
              </w:rPr>
              <w:t xml:space="preserve">: </w:t>
            </w:r>
            <w:r w:rsidRPr="00581533">
              <w:rPr>
                <w:szCs w:val="18"/>
              </w:rPr>
              <w:t>Not statistically significant</w:t>
            </w:r>
            <w:r>
              <w:rPr>
                <w:szCs w:val="18"/>
              </w:rPr>
              <w:t xml:space="preserve"> based on RR.</w:t>
            </w:r>
          </w:p>
          <w:p w:rsidR="00C324F3" w:rsidRPr="009068BC"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9068BC">
              <w:rPr>
                <w:szCs w:val="18"/>
              </w:rPr>
              <w:t>Not statistically significant</w:t>
            </w:r>
            <w:r>
              <w:rPr>
                <w:szCs w:val="18"/>
              </w:rPr>
              <w:t xml:space="preserve"> based on RR </w:t>
            </w:r>
            <w:r w:rsidRPr="009068BC">
              <w:rPr>
                <w:szCs w:val="18"/>
              </w:rPr>
              <w:t>(</w:t>
            </w:r>
            <w:r>
              <w:rPr>
                <w:szCs w:val="18"/>
              </w:rPr>
              <w:t>S</w:t>
            </w:r>
            <w:r w:rsidRPr="009068BC">
              <w:rPr>
                <w:szCs w:val="18"/>
              </w:rPr>
              <w:t>AEs, treatment withdrawals)</w:t>
            </w:r>
            <w:r>
              <w:rPr>
                <w:szCs w:val="18"/>
              </w:rPr>
              <w:t>.</w:t>
            </w:r>
          </w:p>
        </w:tc>
      </w:tr>
      <w:tr w:rsidR="00C324F3" w:rsidRPr="00360862" w:rsidTr="00777459">
        <w:trPr>
          <w:trHeight w:val="440"/>
        </w:trPr>
        <w:tc>
          <w:tcPr>
            <w:tcW w:w="1095" w:type="pct"/>
            <w:shd w:val="clear" w:color="auto" w:fill="F2F2F2" w:themeFill="background1" w:themeFillShade="F2"/>
          </w:tcPr>
          <w:p w:rsidR="00C324F3" w:rsidRPr="00581533" w:rsidRDefault="00C324F3" w:rsidP="00777459">
            <w:pPr>
              <w:rPr>
                <w:szCs w:val="18"/>
              </w:rPr>
            </w:pPr>
            <w:r w:rsidRPr="00581533">
              <w:rPr>
                <w:szCs w:val="18"/>
              </w:rPr>
              <w:t>Preloading use of NRT</w:t>
            </w:r>
            <w:r w:rsidRPr="00581533">
              <w:rPr>
                <w:szCs w:val="18"/>
                <w:vertAlign w:val="superscript"/>
              </w:rPr>
              <w:t>2</w:t>
            </w:r>
            <w:r>
              <w:rPr>
                <w:szCs w:val="18"/>
              </w:rPr>
              <w:t xml:space="preserve"> vs s</w:t>
            </w:r>
            <w:r w:rsidRPr="00581533">
              <w:rPr>
                <w:szCs w:val="18"/>
              </w:rPr>
              <w:t>tandard use of NRT</w:t>
            </w:r>
          </w:p>
          <w:p w:rsidR="00C324F3" w:rsidRPr="00581533" w:rsidRDefault="00C324F3" w:rsidP="00777459">
            <w:pPr>
              <w:rPr>
                <w:szCs w:val="18"/>
              </w:rPr>
            </w:pPr>
          </w:p>
        </w:tc>
        <w:tc>
          <w:tcPr>
            <w:tcW w:w="1098" w:type="pct"/>
            <w:shd w:val="clear" w:color="auto" w:fill="F2F2F2" w:themeFill="background1" w:themeFillShade="F2"/>
          </w:tcPr>
          <w:p w:rsidR="00C324F3" w:rsidRPr="00CE108D" w:rsidRDefault="00C324F3" w:rsidP="00C324F3">
            <w:pPr>
              <w:pStyle w:val="ListParagraph"/>
              <w:numPr>
                <w:ilvl w:val="0"/>
                <w:numId w:val="319"/>
              </w:numPr>
              <w:rPr>
                <w:szCs w:val="18"/>
              </w:rPr>
            </w:pPr>
            <w:r w:rsidRPr="00687B43">
              <w:t>Lindson (2019)</w:t>
            </w:r>
            <w:r w:rsidRPr="00CE108D">
              <w:rPr>
                <w:vertAlign w:val="superscript"/>
              </w:rPr>
              <w:t>4</w:t>
            </w:r>
          </w:p>
          <w:p w:rsidR="00C324F3" w:rsidRPr="00CE108D" w:rsidRDefault="00C324F3" w:rsidP="00C324F3">
            <w:pPr>
              <w:pStyle w:val="ListParagraph"/>
              <w:numPr>
                <w:ilvl w:val="0"/>
                <w:numId w:val="319"/>
              </w:numPr>
              <w:rPr>
                <w:szCs w:val="18"/>
              </w:rPr>
            </w:pPr>
            <w:r w:rsidRPr="00CE108D">
              <w:rPr>
                <w:szCs w:val="18"/>
              </w:rPr>
              <w:t>Dedert</w:t>
            </w:r>
            <w:r>
              <w:rPr>
                <w:szCs w:val="18"/>
              </w:rPr>
              <w:t xml:space="preserve"> </w:t>
            </w:r>
            <w:r w:rsidRPr="00CE108D">
              <w:rPr>
                <w:szCs w:val="18"/>
              </w:rPr>
              <w:t>(2018)</w:t>
            </w:r>
            <w:r w:rsidRPr="00CE108D">
              <w:rPr>
                <w:szCs w:val="18"/>
                <w:vertAlign w:val="superscript"/>
              </w:rPr>
              <w:t>5</w:t>
            </w:r>
          </w:p>
        </w:tc>
        <w:tc>
          <w:tcPr>
            <w:tcW w:w="2807" w:type="pct"/>
            <w:shd w:val="clear" w:color="auto" w:fill="F2F2F2" w:themeFill="background1" w:themeFillShade="F2"/>
          </w:tcPr>
          <w:p w:rsidR="00C324F3" w:rsidRPr="00A62C1A" w:rsidRDefault="00C324F3" w:rsidP="00C324F3">
            <w:pPr>
              <w:pStyle w:val="ListParagraph"/>
              <w:numPr>
                <w:ilvl w:val="0"/>
                <w:numId w:val="318"/>
              </w:numPr>
              <w:rPr>
                <w:szCs w:val="18"/>
              </w:rPr>
            </w:pPr>
            <w:r w:rsidRPr="00531AAD">
              <w:rPr>
                <w:szCs w:val="18"/>
                <w:u w:val="single"/>
              </w:rPr>
              <w:t>Efficacy</w:t>
            </w:r>
            <w:r w:rsidRPr="00531AAD">
              <w:rPr>
                <w:szCs w:val="18"/>
              </w:rPr>
              <w:t xml:space="preserve">: </w:t>
            </w:r>
            <w:r w:rsidRPr="004819C7">
              <w:rPr>
                <w:szCs w:val="18"/>
              </w:rPr>
              <w:t xml:space="preserve">Statistically significant based on RR and RD </w:t>
            </w:r>
            <w:r w:rsidRPr="0042217E">
              <w:rPr>
                <w:szCs w:val="18"/>
              </w:rPr>
              <w:t xml:space="preserve">(in favour of preloading use for NRT </w:t>
            </w:r>
            <w:r w:rsidRPr="00A62C1A">
              <w:rPr>
                <w:szCs w:val="18"/>
              </w:rPr>
              <w:t>patch</w:t>
            </w:r>
            <w:r w:rsidRPr="00547BB4">
              <w:rPr>
                <w:szCs w:val="18"/>
              </w:rPr>
              <w:t>);</w:t>
            </w:r>
            <w:r>
              <w:rPr>
                <w:szCs w:val="18"/>
              </w:rPr>
              <w:t xml:space="preserve"> </w:t>
            </w:r>
            <w:r w:rsidRPr="00531AAD">
              <w:rPr>
                <w:szCs w:val="18"/>
              </w:rPr>
              <w:t xml:space="preserve">not statistically significant based on RR </w:t>
            </w:r>
            <w:r w:rsidRPr="004819C7">
              <w:rPr>
                <w:szCs w:val="18"/>
              </w:rPr>
              <w:t>(other comparisons)</w:t>
            </w:r>
            <w:r>
              <w:rPr>
                <w:szCs w:val="18"/>
              </w:rPr>
              <w:t>.</w:t>
            </w:r>
          </w:p>
          <w:p w:rsidR="00C324F3" w:rsidRPr="009068BC" w:rsidRDefault="00C324F3" w:rsidP="00C324F3">
            <w:pPr>
              <w:pStyle w:val="ListParagraph"/>
              <w:numPr>
                <w:ilvl w:val="0"/>
                <w:numId w:val="318"/>
              </w:numPr>
              <w:rPr>
                <w:szCs w:val="18"/>
              </w:rPr>
            </w:pPr>
            <w:r w:rsidRPr="00581533">
              <w:rPr>
                <w:szCs w:val="18"/>
                <w:u w:val="single"/>
              </w:rPr>
              <w:t>Safety:</w:t>
            </w:r>
            <w:r w:rsidRPr="00581533">
              <w:rPr>
                <w:szCs w:val="18"/>
              </w:rPr>
              <w:t xml:space="preserve"> </w:t>
            </w:r>
            <w:r w:rsidRPr="009068BC">
              <w:rPr>
                <w:szCs w:val="18"/>
              </w:rPr>
              <w:t>Statistically significant</w:t>
            </w:r>
            <w:r>
              <w:rPr>
                <w:szCs w:val="18"/>
              </w:rPr>
              <w:t xml:space="preserve"> based on RR </w:t>
            </w:r>
            <w:r w:rsidRPr="009068BC">
              <w:rPr>
                <w:szCs w:val="18"/>
              </w:rPr>
              <w:t>(palpitations; higher in preloading use)</w:t>
            </w:r>
            <w:r>
              <w:rPr>
                <w:szCs w:val="18"/>
              </w:rPr>
              <w:t xml:space="preserve">; </w:t>
            </w:r>
            <w:r w:rsidRPr="009068BC">
              <w:rPr>
                <w:szCs w:val="18"/>
              </w:rPr>
              <w:t>Not statistically significant</w:t>
            </w:r>
            <w:r>
              <w:rPr>
                <w:szCs w:val="18"/>
              </w:rPr>
              <w:t xml:space="preserve"> based on RR </w:t>
            </w:r>
            <w:r w:rsidRPr="009068BC">
              <w:rPr>
                <w:szCs w:val="18"/>
              </w:rPr>
              <w:t>(cardiac AEs, cardiac</w:t>
            </w:r>
            <w:r w:rsidRPr="009068BC" w:rsidDel="000C561C">
              <w:rPr>
                <w:szCs w:val="18"/>
              </w:rPr>
              <w:t xml:space="preserve"> </w:t>
            </w:r>
            <w:r>
              <w:rPr>
                <w:szCs w:val="18"/>
              </w:rPr>
              <w:t>S</w:t>
            </w:r>
            <w:r w:rsidRPr="009068BC">
              <w:rPr>
                <w:szCs w:val="18"/>
              </w:rPr>
              <w:t>AEs, treatment withdrawals)</w:t>
            </w:r>
            <w:r>
              <w:rPr>
                <w:szCs w:val="18"/>
              </w:rPr>
              <w:t>, and RD (overall SAEs).</w:t>
            </w:r>
          </w:p>
        </w:tc>
      </w:tr>
      <w:tr w:rsidR="00C324F3" w:rsidRPr="00360862" w:rsidTr="00777459">
        <w:trPr>
          <w:trHeight w:val="617"/>
        </w:trPr>
        <w:tc>
          <w:tcPr>
            <w:tcW w:w="1095" w:type="pct"/>
            <w:shd w:val="clear" w:color="auto" w:fill="F2F2F2" w:themeFill="background1" w:themeFillShade="F2"/>
          </w:tcPr>
          <w:p w:rsidR="00C324F3" w:rsidRPr="00581533" w:rsidRDefault="00C324F3" w:rsidP="00777459">
            <w:pPr>
              <w:rPr>
                <w:szCs w:val="18"/>
              </w:rPr>
            </w:pPr>
            <w:r w:rsidRPr="00581533">
              <w:rPr>
                <w:szCs w:val="18"/>
              </w:rPr>
              <w:t>Reduction with pharmacotherapy (pre-quit)</w:t>
            </w:r>
            <w:r w:rsidRPr="00581533">
              <w:rPr>
                <w:szCs w:val="18"/>
                <w:vertAlign w:val="superscript"/>
              </w:rPr>
              <w:t>3</w:t>
            </w:r>
            <w:r>
              <w:rPr>
                <w:szCs w:val="18"/>
              </w:rPr>
              <w:t xml:space="preserve"> vs r</w:t>
            </w:r>
            <w:r w:rsidRPr="00581533">
              <w:rPr>
                <w:szCs w:val="18"/>
              </w:rPr>
              <w:t>eduction alone</w:t>
            </w:r>
          </w:p>
        </w:tc>
        <w:tc>
          <w:tcPr>
            <w:tcW w:w="1098" w:type="pct"/>
            <w:shd w:val="clear" w:color="auto" w:fill="F2F2F2" w:themeFill="background1" w:themeFillShade="F2"/>
          </w:tcPr>
          <w:p w:rsidR="00C324F3" w:rsidRPr="002A5E9C" w:rsidRDefault="00C324F3" w:rsidP="00C324F3">
            <w:pPr>
              <w:pStyle w:val="ListParagraph"/>
              <w:numPr>
                <w:ilvl w:val="0"/>
                <w:numId w:val="319"/>
              </w:numPr>
              <w:rPr>
                <w:szCs w:val="18"/>
              </w:rPr>
            </w:pPr>
            <w:r>
              <w:t>Lindson</w:t>
            </w:r>
            <w:r w:rsidRPr="00713891">
              <w:t xml:space="preserve"> (</w:t>
            </w:r>
            <w:r w:rsidRPr="00A938BB">
              <w:t>2019b</w:t>
            </w:r>
            <w:r w:rsidRPr="00713891">
              <w:t>)</w:t>
            </w:r>
            <w:r w:rsidRPr="00CE108D">
              <w:rPr>
                <w:vertAlign w:val="superscript"/>
              </w:rPr>
              <w:t>4</w:t>
            </w:r>
          </w:p>
        </w:tc>
        <w:tc>
          <w:tcPr>
            <w:tcW w:w="2807" w:type="pct"/>
            <w:shd w:val="clear" w:color="auto" w:fill="F2F2F2" w:themeFill="background1" w:themeFillShade="F2"/>
          </w:tcPr>
          <w:p w:rsidR="00C324F3" w:rsidRPr="00A62C1A" w:rsidRDefault="00C324F3" w:rsidP="00C324F3">
            <w:pPr>
              <w:pStyle w:val="ListParagraph"/>
              <w:numPr>
                <w:ilvl w:val="0"/>
                <w:numId w:val="318"/>
              </w:numPr>
              <w:rPr>
                <w:szCs w:val="18"/>
              </w:rPr>
            </w:pPr>
            <w:r w:rsidRPr="00531AAD">
              <w:rPr>
                <w:szCs w:val="18"/>
                <w:u w:val="single"/>
              </w:rPr>
              <w:t>Efficacy</w:t>
            </w:r>
            <w:r w:rsidRPr="00531AAD">
              <w:rPr>
                <w:szCs w:val="18"/>
              </w:rPr>
              <w:t xml:space="preserve">: </w:t>
            </w:r>
            <w:r w:rsidRPr="004819C7">
              <w:rPr>
                <w:szCs w:val="18"/>
              </w:rPr>
              <w:t xml:space="preserve">Statistically significant based on RR </w:t>
            </w:r>
            <w:r w:rsidRPr="0042217E">
              <w:rPr>
                <w:szCs w:val="18"/>
              </w:rPr>
              <w:t>(in favour of reduction with pharmacotherapy for fast-acting NRT)</w:t>
            </w:r>
            <w:r w:rsidRPr="00A62C1A">
              <w:rPr>
                <w:szCs w:val="18"/>
              </w:rPr>
              <w:t>;</w:t>
            </w:r>
            <w:r>
              <w:rPr>
                <w:szCs w:val="18"/>
              </w:rPr>
              <w:t xml:space="preserve"> </w:t>
            </w:r>
            <w:r w:rsidRPr="00531AAD">
              <w:rPr>
                <w:szCs w:val="18"/>
              </w:rPr>
              <w:t xml:space="preserve">not statistically significant based on RR </w:t>
            </w:r>
            <w:r w:rsidRPr="004819C7">
              <w:rPr>
                <w:szCs w:val="18"/>
              </w:rPr>
              <w:t>(other comparisons)</w:t>
            </w:r>
            <w:r>
              <w:rPr>
                <w:szCs w:val="18"/>
              </w:rPr>
              <w:t>.</w:t>
            </w:r>
          </w:p>
          <w:p w:rsidR="00C324F3" w:rsidRPr="004E53B4" w:rsidRDefault="00C324F3" w:rsidP="00C324F3">
            <w:pPr>
              <w:pStyle w:val="ListParagraph"/>
              <w:numPr>
                <w:ilvl w:val="0"/>
                <w:numId w:val="318"/>
              </w:numPr>
              <w:rPr>
                <w:szCs w:val="18"/>
              </w:rPr>
            </w:pPr>
            <w:r w:rsidRPr="00581533">
              <w:rPr>
                <w:szCs w:val="18"/>
                <w:u w:val="single"/>
              </w:rPr>
              <w:t>Safety:</w:t>
            </w:r>
            <w:r w:rsidRPr="00581533">
              <w:rPr>
                <w:szCs w:val="18"/>
              </w:rPr>
              <w:t xml:space="preserve"> </w:t>
            </w:r>
            <w:r w:rsidRPr="004E53B4">
              <w:rPr>
                <w:szCs w:val="18"/>
              </w:rPr>
              <w:t>Not statistically significant</w:t>
            </w:r>
            <w:r>
              <w:rPr>
                <w:szCs w:val="18"/>
              </w:rPr>
              <w:t xml:space="preserve"> based on RR </w:t>
            </w:r>
            <w:r w:rsidRPr="004E53B4">
              <w:rPr>
                <w:szCs w:val="18"/>
              </w:rPr>
              <w:t>(pre-quit SAEs)</w:t>
            </w:r>
            <w:r>
              <w:rPr>
                <w:szCs w:val="18"/>
              </w:rPr>
              <w:t>; I</w:t>
            </w:r>
            <w:r w:rsidRPr="004E53B4">
              <w:rPr>
                <w:szCs w:val="18"/>
              </w:rPr>
              <w:t>nconclusive for pre-quit AEs (statistically significant in one RCT but not statistically significant in another RCT)</w:t>
            </w:r>
            <w:r>
              <w:rPr>
                <w:szCs w:val="18"/>
              </w:rPr>
              <w:t>.</w:t>
            </w:r>
            <w:r w:rsidRPr="004E53B4">
              <w:rPr>
                <w:szCs w:val="18"/>
              </w:rPr>
              <w:t xml:space="preserve"> </w:t>
            </w:r>
          </w:p>
        </w:tc>
      </w:tr>
    </w:tbl>
    <w:p w:rsidR="00C324F3" w:rsidRDefault="00C324F3" w:rsidP="00C324F3">
      <w:pPr>
        <w:pStyle w:val="TableFooter"/>
        <w:keepNext/>
      </w:pPr>
      <w:r>
        <w:t>Abbreviations: AEs = adverse events; NRT = nicotine replacement therapy; RR = risk ratio, RD = risk difference; SAEs = serious adverse events.</w:t>
      </w:r>
    </w:p>
    <w:p w:rsidR="00C324F3" w:rsidRDefault="00C324F3" w:rsidP="00C324F3">
      <w:pPr>
        <w:pStyle w:val="TableFooter"/>
        <w:keepNext/>
      </w:pPr>
      <w:r w:rsidRPr="00BE36E8">
        <w:t xml:space="preserve">Notes: </w:t>
      </w:r>
    </w:p>
    <w:p w:rsidR="00C324F3" w:rsidRPr="004E53B4" w:rsidRDefault="00C324F3" w:rsidP="00C324F3">
      <w:pPr>
        <w:pStyle w:val="TableFooter"/>
        <w:keepNext/>
      </w:pPr>
      <w:r>
        <w:t xml:space="preserve">1 </w:t>
      </w:r>
      <w:r w:rsidRPr="004E53B4">
        <w:t>Comparisons include gum, nasal spray and pooled analysis.</w:t>
      </w:r>
    </w:p>
    <w:p w:rsidR="00C324F3" w:rsidRPr="004E53B4" w:rsidRDefault="00C324F3" w:rsidP="00C324F3">
      <w:pPr>
        <w:pStyle w:val="TableFooter"/>
        <w:keepNext/>
      </w:pPr>
      <w:r>
        <w:t xml:space="preserve">2 </w:t>
      </w:r>
      <w:r w:rsidRPr="004E53B4">
        <w:t>Comparisons include preloading use (prior to smoking cessation) versus standard use (commencing at the time of smoking cessation) of NRT patches, NRT gum or NRT patch in combination with gum. Pooled analysis of efficacy was statistically significant, in favour of preloading use.</w:t>
      </w:r>
    </w:p>
    <w:p w:rsidR="00C324F3" w:rsidRDefault="00C324F3" w:rsidP="00C324F3">
      <w:pPr>
        <w:pStyle w:val="TableFooter"/>
        <w:keepNext/>
      </w:pPr>
      <w:r>
        <w:t xml:space="preserve">3 </w:t>
      </w:r>
      <w:r w:rsidRPr="004E53B4">
        <w:t>Comparisons include NRT patches, fast-acting NRT, and combination NRT. Reduction in cigarettes per day refers to ‘cutting down to quit’.</w:t>
      </w:r>
    </w:p>
    <w:p w:rsidR="00C324F3" w:rsidRDefault="00C324F3" w:rsidP="00C324F3">
      <w:pPr>
        <w:pStyle w:val="TableFooter"/>
        <w:keepNext/>
      </w:pPr>
      <w:r>
        <w:t xml:space="preserve">4 </w:t>
      </w:r>
      <w:r w:rsidRPr="00BE36E8">
        <w:t>Cochrane Review</w:t>
      </w:r>
      <w:r>
        <w:t>.</w:t>
      </w:r>
    </w:p>
    <w:p w:rsidR="00C324F3" w:rsidRPr="00AC7527" w:rsidRDefault="00C324F3" w:rsidP="00C324F3">
      <w:pPr>
        <w:pStyle w:val="TableFooter"/>
        <w:keepNext/>
      </w:pPr>
      <w:r>
        <w:t xml:space="preserve">5 Supplemental evidence (RCT). </w:t>
      </w:r>
    </w:p>
    <w:p w:rsidR="00C324F3" w:rsidRPr="00A61CF6" w:rsidRDefault="00C324F3" w:rsidP="00C324F3">
      <w:pPr>
        <w:rPr>
          <w:b/>
          <w:bCs/>
        </w:rPr>
      </w:pPr>
      <w:r w:rsidRPr="00A61CF6">
        <w:rPr>
          <w:b/>
          <w:bCs/>
        </w:rPr>
        <w:t>Non-PBS listed NRT dosage forms</w:t>
      </w:r>
    </w:p>
    <w:p w:rsidR="00C324F3" w:rsidRPr="00C66757" w:rsidRDefault="00C324F3" w:rsidP="00C324F3">
      <w:r w:rsidRPr="00C66757">
        <w:t>Inhalator</w:t>
      </w:r>
    </w:p>
    <w:p w:rsidR="00C324F3" w:rsidRPr="00C746D6" w:rsidRDefault="00C324F3" w:rsidP="00C324F3">
      <w:pPr>
        <w:pStyle w:val="ListParagraph"/>
        <w:numPr>
          <w:ilvl w:val="0"/>
          <w:numId w:val="282"/>
        </w:numPr>
      </w:pPr>
      <w:r>
        <w:t>There were no statistically significant differences between NRT i</w:t>
      </w:r>
      <w:r w:rsidRPr="00C66757">
        <w:t>nhalator</w:t>
      </w:r>
      <w:r>
        <w:t>s</w:t>
      </w:r>
      <w:r w:rsidRPr="00C66757">
        <w:t xml:space="preserve"> </w:t>
      </w:r>
      <w:r>
        <w:t>and placebo in terms of efficacy</w:t>
      </w:r>
      <w:r w:rsidRPr="00C746D6">
        <w:t xml:space="preserve"> based on the results of the updated re-analysis after including the study identified in the supplemental literature search (Oncken et al. 2019), noting that the results were statistically significant in Hartmann-Boyce et al. (2018). For safety, there were no statistically significant difference in adverse events between the two treatment arms (risk ratio), noting that the results were statistically significant based on risk difference.</w:t>
      </w:r>
    </w:p>
    <w:p w:rsidR="003C4A1C" w:rsidRDefault="00C324F3" w:rsidP="00C324F3">
      <w:pPr>
        <w:pStyle w:val="ListParagraph"/>
        <w:numPr>
          <w:ilvl w:val="0"/>
          <w:numId w:val="282"/>
        </w:numPr>
      </w:pPr>
      <w:r>
        <w:t xml:space="preserve">There were no statistically significant differences between </w:t>
      </w:r>
      <w:r w:rsidRPr="00EB6867">
        <w:t>NRT inhal</w:t>
      </w:r>
      <w:r>
        <w:t>ators</w:t>
      </w:r>
      <w:r w:rsidRPr="00EB6867">
        <w:t xml:space="preserve"> </w:t>
      </w:r>
      <w:r>
        <w:t xml:space="preserve">compared to </w:t>
      </w:r>
      <w:r w:rsidRPr="00EB6867">
        <w:t xml:space="preserve">patches in terms of </w:t>
      </w:r>
      <w:r>
        <w:t>efficacy</w:t>
      </w:r>
      <w:r w:rsidRPr="00EB6867">
        <w:t>. For safety, the</w:t>
      </w:r>
      <w:r>
        <w:t>re were no serious adverse events reported in either treatment arm</w:t>
      </w:r>
      <w:r w:rsidRPr="00EB6867">
        <w:t xml:space="preserve">. </w:t>
      </w:r>
    </w:p>
    <w:p w:rsidR="00C324F3" w:rsidRDefault="003C4A1C" w:rsidP="003C4A1C">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526"/>
        <w:gridCol w:w="2699"/>
        <w:gridCol w:w="4791"/>
      </w:tblGrid>
      <w:tr w:rsidR="00C324F3" w:rsidRPr="00916516" w:rsidTr="00777459">
        <w:trPr>
          <w:trHeight w:val="67"/>
        </w:trPr>
        <w:tc>
          <w:tcPr>
            <w:tcW w:w="846" w:type="pct"/>
            <w:shd w:val="clear" w:color="auto" w:fill="F2F2F2" w:themeFill="background1" w:themeFillShade="F2"/>
            <w:hideMark/>
          </w:tcPr>
          <w:p w:rsidR="00C324F3" w:rsidRPr="00916516" w:rsidRDefault="00C324F3" w:rsidP="00777459">
            <w:pPr>
              <w:rPr>
                <w:szCs w:val="18"/>
              </w:rPr>
            </w:pPr>
            <w:r w:rsidRPr="00916516">
              <w:rPr>
                <w:b/>
                <w:bCs/>
                <w:szCs w:val="18"/>
              </w:rPr>
              <w:lastRenderedPageBreak/>
              <w:t>Compar</w:t>
            </w:r>
            <w:r>
              <w:rPr>
                <w:b/>
                <w:bCs/>
                <w:szCs w:val="18"/>
              </w:rPr>
              <w:t>ison</w:t>
            </w:r>
          </w:p>
        </w:tc>
        <w:tc>
          <w:tcPr>
            <w:tcW w:w="1497" w:type="pct"/>
            <w:shd w:val="clear" w:color="auto" w:fill="F2F2F2" w:themeFill="background1" w:themeFillShade="F2"/>
            <w:hideMark/>
          </w:tcPr>
          <w:p w:rsidR="00C324F3" w:rsidRPr="00916516" w:rsidRDefault="00C324F3" w:rsidP="00777459">
            <w:pPr>
              <w:jc w:val="center"/>
              <w:rPr>
                <w:szCs w:val="18"/>
              </w:rPr>
            </w:pPr>
            <w:r>
              <w:rPr>
                <w:b/>
                <w:bCs/>
                <w:szCs w:val="18"/>
              </w:rPr>
              <w:t>Included studies</w:t>
            </w:r>
          </w:p>
        </w:tc>
        <w:tc>
          <w:tcPr>
            <w:tcW w:w="2657" w:type="pct"/>
            <w:shd w:val="clear" w:color="auto" w:fill="F2F2F2" w:themeFill="background1" w:themeFillShade="F2"/>
            <w:hideMark/>
          </w:tcPr>
          <w:p w:rsidR="00C324F3" w:rsidRPr="00916516" w:rsidRDefault="00C324F3" w:rsidP="00777459">
            <w:pPr>
              <w:jc w:val="center"/>
              <w:rPr>
                <w:szCs w:val="18"/>
              </w:rPr>
            </w:pPr>
            <w:r>
              <w:rPr>
                <w:b/>
                <w:bCs/>
                <w:szCs w:val="18"/>
              </w:rPr>
              <w:t>Summary of evidence</w:t>
            </w:r>
          </w:p>
        </w:tc>
      </w:tr>
      <w:tr w:rsidR="00C324F3" w:rsidRPr="009068BC" w:rsidTr="00777459">
        <w:trPr>
          <w:trHeight w:val="345"/>
        </w:trPr>
        <w:tc>
          <w:tcPr>
            <w:tcW w:w="846" w:type="pct"/>
            <w:shd w:val="clear" w:color="auto" w:fill="F2F2F2" w:themeFill="background1" w:themeFillShade="F2"/>
            <w:hideMark/>
          </w:tcPr>
          <w:p w:rsidR="00C324F3" w:rsidRPr="00237D04" w:rsidRDefault="00C324F3" w:rsidP="00777459">
            <w:pPr>
              <w:tabs>
                <w:tab w:val="left" w:pos="1198"/>
              </w:tabs>
              <w:rPr>
                <w:szCs w:val="18"/>
              </w:rPr>
            </w:pPr>
            <w:r w:rsidRPr="004537F9">
              <w:rPr>
                <w:szCs w:val="18"/>
              </w:rPr>
              <w:t>NRT inhalator</w:t>
            </w:r>
            <w:r>
              <w:rPr>
                <w:szCs w:val="18"/>
              </w:rPr>
              <w:t xml:space="preserve"> vs p</w:t>
            </w:r>
            <w:r w:rsidRPr="004537F9">
              <w:rPr>
                <w:szCs w:val="18"/>
              </w:rPr>
              <w:t>lacebo</w:t>
            </w:r>
          </w:p>
        </w:tc>
        <w:tc>
          <w:tcPr>
            <w:tcW w:w="1497" w:type="pct"/>
            <w:shd w:val="clear" w:color="auto" w:fill="F2F2F2" w:themeFill="background1" w:themeFillShade="F2"/>
            <w:hideMark/>
          </w:tcPr>
          <w:p w:rsidR="00C324F3" w:rsidRPr="00CE108D" w:rsidRDefault="00C324F3" w:rsidP="00C324F3">
            <w:pPr>
              <w:pStyle w:val="ListParagraph"/>
              <w:numPr>
                <w:ilvl w:val="0"/>
                <w:numId w:val="318"/>
              </w:numPr>
              <w:rPr>
                <w:szCs w:val="18"/>
              </w:rPr>
            </w:pPr>
            <w:r w:rsidRPr="004110FF">
              <w:t xml:space="preserve">Hartmann-Boyce  </w:t>
            </w:r>
            <w:r>
              <w:t>(</w:t>
            </w:r>
            <w:r w:rsidRPr="004110FF">
              <w:t>2018</w:t>
            </w:r>
            <w:r>
              <w:t>)</w:t>
            </w:r>
            <w:r w:rsidRPr="00CE108D">
              <w:rPr>
                <w:vertAlign w:val="superscript"/>
              </w:rPr>
              <w:t>1</w:t>
            </w:r>
          </w:p>
          <w:p w:rsidR="00C324F3" w:rsidRPr="00CE108D" w:rsidRDefault="00C324F3" w:rsidP="00C324F3">
            <w:pPr>
              <w:pStyle w:val="ListParagraph"/>
              <w:numPr>
                <w:ilvl w:val="0"/>
                <w:numId w:val="318"/>
              </w:numPr>
              <w:rPr>
                <w:szCs w:val="18"/>
              </w:rPr>
            </w:pPr>
            <w:r w:rsidRPr="003018A2">
              <w:t>Oncken (2019)</w:t>
            </w:r>
            <w:r w:rsidRPr="00CE108D">
              <w:rPr>
                <w:vertAlign w:val="superscript"/>
              </w:rPr>
              <w:t>2</w:t>
            </w:r>
          </w:p>
        </w:tc>
        <w:tc>
          <w:tcPr>
            <w:tcW w:w="2657" w:type="pct"/>
            <w:shd w:val="clear" w:color="auto" w:fill="F2F2F2" w:themeFill="background1" w:themeFillShade="F2"/>
            <w:hideMark/>
          </w:tcPr>
          <w:p w:rsidR="00C324F3" w:rsidRPr="004537F9" w:rsidRDefault="00C324F3" w:rsidP="00C324F3">
            <w:pPr>
              <w:pStyle w:val="ListParagraph"/>
              <w:numPr>
                <w:ilvl w:val="0"/>
                <w:numId w:val="318"/>
              </w:numPr>
              <w:rPr>
                <w:szCs w:val="18"/>
              </w:rPr>
            </w:pPr>
            <w:r w:rsidRPr="00360862">
              <w:rPr>
                <w:szCs w:val="18"/>
                <w:u w:val="single"/>
              </w:rPr>
              <w:t>Efficacy</w:t>
            </w:r>
            <w:r w:rsidRPr="00360862">
              <w:rPr>
                <w:szCs w:val="18"/>
              </w:rPr>
              <w:t xml:space="preserve">: </w:t>
            </w:r>
            <w:r w:rsidRPr="004537F9">
              <w:rPr>
                <w:szCs w:val="18"/>
              </w:rPr>
              <w:t>Not statistically significant</w:t>
            </w:r>
            <w:r>
              <w:rPr>
                <w:szCs w:val="18"/>
              </w:rPr>
              <w:t xml:space="preserve"> based on RR and RD.</w:t>
            </w:r>
          </w:p>
          <w:p w:rsidR="00C324F3" w:rsidRPr="004537F9" w:rsidRDefault="00C324F3" w:rsidP="00C324F3">
            <w:pPr>
              <w:pStyle w:val="ListParagraph"/>
              <w:numPr>
                <w:ilvl w:val="0"/>
                <w:numId w:val="318"/>
              </w:numPr>
              <w:rPr>
                <w:szCs w:val="18"/>
              </w:rPr>
            </w:pPr>
            <w:r w:rsidRPr="00360862">
              <w:rPr>
                <w:szCs w:val="18"/>
                <w:u w:val="single"/>
              </w:rPr>
              <w:t>Safety:</w:t>
            </w:r>
            <w:r w:rsidRPr="00360862">
              <w:rPr>
                <w:szCs w:val="18"/>
              </w:rPr>
              <w:t xml:space="preserve"> </w:t>
            </w:r>
            <w:r w:rsidRPr="004537F9">
              <w:rPr>
                <w:szCs w:val="18"/>
              </w:rPr>
              <w:t>Not statistically significant</w:t>
            </w:r>
            <w:r>
              <w:rPr>
                <w:szCs w:val="18"/>
                <w:vertAlign w:val="superscript"/>
              </w:rPr>
              <w:t xml:space="preserve">3 </w:t>
            </w:r>
            <w:r>
              <w:rPr>
                <w:szCs w:val="18"/>
              </w:rPr>
              <w:t xml:space="preserve"> based on RR and RD </w:t>
            </w:r>
            <w:r w:rsidRPr="004537F9">
              <w:rPr>
                <w:szCs w:val="18"/>
              </w:rPr>
              <w:t>(any AEs)</w:t>
            </w:r>
            <w:r>
              <w:rPr>
                <w:szCs w:val="18"/>
              </w:rPr>
              <w:t>.</w:t>
            </w:r>
          </w:p>
        </w:tc>
      </w:tr>
      <w:tr w:rsidR="00C324F3" w:rsidRPr="009068BC" w:rsidTr="00777459">
        <w:trPr>
          <w:trHeight w:val="617"/>
        </w:trPr>
        <w:tc>
          <w:tcPr>
            <w:tcW w:w="846" w:type="pct"/>
            <w:shd w:val="clear" w:color="auto" w:fill="F2F2F2" w:themeFill="background1" w:themeFillShade="F2"/>
            <w:hideMark/>
          </w:tcPr>
          <w:p w:rsidR="00C324F3" w:rsidRPr="00581533" w:rsidRDefault="00C324F3" w:rsidP="00777459">
            <w:pPr>
              <w:rPr>
                <w:szCs w:val="18"/>
              </w:rPr>
            </w:pPr>
            <w:r w:rsidRPr="004537F9">
              <w:rPr>
                <w:szCs w:val="18"/>
              </w:rPr>
              <w:t>NRT inhalator</w:t>
            </w:r>
            <w:r>
              <w:rPr>
                <w:szCs w:val="18"/>
              </w:rPr>
              <w:t xml:space="preserve"> vs </w:t>
            </w:r>
            <w:r w:rsidRPr="004537F9">
              <w:rPr>
                <w:szCs w:val="18"/>
              </w:rPr>
              <w:t>NRT patch</w:t>
            </w:r>
          </w:p>
        </w:tc>
        <w:tc>
          <w:tcPr>
            <w:tcW w:w="1497" w:type="pct"/>
            <w:shd w:val="clear" w:color="auto" w:fill="F2F2F2" w:themeFill="background1" w:themeFillShade="F2"/>
            <w:hideMark/>
          </w:tcPr>
          <w:p w:rsidR="00C324F3" w:rsidRPr="002A5E9C" w:rsidRDefault="00C324F3" w:rsidP="00C324F3">
            <w:pPr>
              <w:pStyle w:val="ListParagraph"/>
              <w:numPr>
                <w:ilvl w:val="0"/>
                <w:numId w:val="319"/>
              </w:numPr>
              <w:rPr>
                <w:szCs w:val="18"/>
              </w:rPr>
            </w:pPr>
            <w:r>
              <w:t>Lindson</w:t>
            </w:r>
            <w:r w:rsidRPr="00713891">
              <w:t xml:space="preserve">  (201</w:t>
            </w:r>
            <w:r>
              <w:t>9</w:t>
            </w:r>
            <w:r w:rsidRPr="00713891">
              <w:t>)</w:t>
            </w:r>
            <w:r w:rsidRPr="00CE108D">
              <w:rPr>
                <w:vertAlign w:val="superscript"/>
              </w:rPr>
              <w:t>1</w:t>
            </w:r>
          </w:p>
        </w:tc>
        <w:tc>
          <w:tcPr>
            <w:tcW w:w="2657" w:type="pct"/>
            <w:shd w:val="clear" w:color="auto" w:fill="F2F2F2" w:themeFill="background1" w:themeFillShade="F2"/>
            <w:hideMark/>
          </w:tcPr>
          <w:p w:rsidR="00C324F3" w:rsidRPr="004537F9" w:rsidRDefault="00C324F3" w:rsidP="00C324F3">
            <w:pPr>
              <w:pStyle w:val="ListParagraph"/>
              <w:numPr>
                <w:ilvl w:val="0"/>
                <w:numId w:val="317"/>
              </w:numPr>
              <w:rPr>
                <w:szCs w:val="18"/>
              </w:rPr>
            </w:pPr>
            <w:r w:rsidRPr="00360862">
              <w:rPr>
                <w:szCs w:val="18"/>
                <w:u w:val="single"/>
              </w:rPr>
              <w:t>Efficacy</w:t>
            </w:r>
            <w:r w:rsidRPr="00360862">
              <w:rPr>
                <w:szCs w:val="18"/>
              </w:rPr>
              <w:t xml:space="preserve">: </w:t>
            </w:r>
            <w:r w:rsidRPr="004537F9">
              <w:rPr>
                <w:szCs w:val="18"/>
              </w:rPr>
              <w:t>Not statistically significant</w:t>
            </w:r>
            <w:r>
              <w:rPr>
                <w:szCs w:val="18"/>
              </w:rPr>
              <w:t xml:space="preserve"> based on RR. </w:t>
            </w:r>
          </w:p>
          <w:p w:rsidR="00C324F3" w:rsidRPr="004537F9"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4537F9">
              <w:rPr>
                <w:szCs w:val="18"/>
              </w:rPr>
              <w:t xml:space="preserve">No </w:t>
            </w:r>
            <w:r>
              <w:rPr>
                <w:szCs w:val="18"/>
              </w:rPr>
              <w:t>S</w:t>
            </w:r>
            <w:r w:rsidRPr="004537F9">
              <w:rPr>
                <w:szCs w:val="18"/>
              </w:rPr>
              <w:t>AEs reported in either arm</w:t>
            </w:r>
            <w:r>
              <w:rPr>
                <w:szCs w:val="18"/>
              </w:rPr>
              <w:t>.</w:t>
            </w:r>
          </w:p>
        </w:tc>
      </w:tr>
    </w:tbl>
    <w:p w:rsidR="00C324F3" w:rsidRDefault="00C324F3" w:rsidP="00C324F3">
      <w:pPr>
        <w:pStyle w:val="TableFooter"/>
        <w:keepNext/>
      </w:pPr>
      <w:r>
        <w:t>Abbreviations: AEs = adverse events; NRT = nicotine replacement therapy; RR = risk ratio, RD = risk difference; SAEs = serious adverse events.</w:t>
      </w:r>
    </w:p>
    <w:p w:rsidR="00C324F3" w:rsidRDefault="00C324F3" w:rsidP="00C324F3">
      <w:pPr>
        <w:pStyle w:val="TableFooter"/>
        <w:keepNext/>
      </w:pPr>
      <w:r w:rsidRPr="00BE36E8">
        <w:t xml:space="preserve">Notes: </w:t>
      </w:r>
    </w:p>
    <w:p w:rsidR="00C324F3" w:rsidRDefault="00C324F3" w:rsidP="00C324F3">
      <w:pPr>
        <w:pStyle w:val="TableFooter"/>
        <w:keepNext/>
      </w:pPr>
      <w:r>
        <w:t xml:space="preserve">1 </w:t>
      </w:r>
      <w:r w:rsidRPr="00BE36E8">
        <w:t>Cochrane Review</w:t>
      </w:r>
      <w:r>
        <w:t>.</w:t>
      </w:r>
    </w:p>
    <w:p w:rsidR="00C324F3" w:rsidRDefault="00C324F3" w:rsidP="00C324F3">
      <w:pPr>
        <w:pStyle w:val="TableFooter"/>
        <w:keepNext/>
      </w:pPr>
      <w:r>
        <w:t xml:space="preserve">2 Supplemental evidence (RCT). </w:t>
      </w:r>
    </w:p>
    <w:p w:rsidR="00C324F3" w:rsidRPr="00C518F7" w:rsidRDefault="00C324F3" w:rsidP="00C324F3">
      <w:pPr>
        <w:pStyle w:val="TableFooter"/>
        <w:keepNext/>
      </w:pPr>
      <w:r>
        <w:t xml:space="preserve">3 </w:t>
      </w:r>
      <w:r w:rsidRPr="004537F9">
        <w:t>Not statistically significant based on risk ratio but significant based on risk difference (RR = 16.28, 95%CI: 0.96, 276.65; RD = 0.11, 95%CI: 0.04, 0.19).</w:t>
      </w:r>
    </w:p>
    <w:p w:rsidR="00C324F3" w:rsidRPr="00A25C81" w:rsidRDefault="00C324F3" w:rsidP="00C324F3">
      <w:r w:rsidRPr="00A25C81">
        <w:t>Nasal spray</w:t>
      </w:r>
    </w:p>
    <w:p w:rsidR="00C324F3" w:rsidRDefault="00C324F3" w:rsidP="00C324F3">
      <w:pPr>
        <w:pStyle w:val="ListParagraph"/>
        <w:numPr>
          <w:ilvl w:val="0"/>
          <w:numId w:val="283"/>
        </w:numPr>
      </w:pPr>
      <w:r>
        <w:t>NRT</w:t>
      </w:r>
      <w:r w:rsidRPr="00EC786E" w:rsidDel="003C2903">
        <w:t xml:space="preserve"> </w:t>
      </w:r>
      <w:r>
        <w:t>nasal</w:t>
      </w:r>
      <w:r w:rsidRPr="00EC786E">
        <w:t xml:space="preserve"> spray was shown to be superior to placebo in terms of efficacy</w:t>
      </w:r>
      <w:r>
        <w:t>. In terms of safety, t</w:t>
      </w:r>
      <w:r w:rsidRPr="00134E10">
        <w:t>he results of the meta-analysis comprising three RCTs demonstrated a significantly higher incidence of palpitations/chest pains adverse events in the nasal spray arm compared to placebo</w:t>
      </w:r>
      <w:r w:rsidRPr="00EC786E">
        <w:t>.</w:t>
      </w:r>
    </w:p>
    <w:p w:rsidR="00C324F3" w:rsidRDefault="00C324F3" w:rsidP="00C324F3">
      <w:pPr>
        <w:pStyle w:val="ListParagraph"/>
        <w:numPr>
          <w:ilvl w:val="0"/>
          <w:numId w:val="283"/>
        </w:numPr>
      </w:pPr>
      <w:r>
        <w:t xml:space="preserve">There were no statistically significant differences between </w:t>
      </w:r>
      <w:r w:rsidRPr="00A25C81">
        <w:t xml:space="preserve">NRT nasal spray </w:t>
      </w:r>
      <w:r>
        <w:t>and NRT</w:t>
      </w:r>
      <w:r w:rsidRPr="00A25C81">
        <w:t xml:space="preserve"> </w:t>
      </w:r>
      <w:r>
        <w:t>patches</w:t>
      </w:r>
      <w:r w:rsidRPr="00A25C81">
        <w:t xml:space="preserve"> in terms of efficacy. Among </w:t>
      </w:r>
      <w:r>
        <w:t xml:space="preserve">the </w:t>
      </w:r>
      <w:r w:rsidRPr="00A25C81">
        <w:t xml:space="preserve">studies comparing nasal spray </w:t>
      </w:r>
      <w:r>
        <w:t>with</w:t>
      </w:r>
      <w:r w:rsidRPr="00A25C81">
        <w:t xml:space="preserve"> </w:t>
      </w:r>
      <w:r>
        <w:t>patches</w:t>
      </w:r>
      <w:r w:rsidRPr="00A25C81">
        <w:t xml:space="preserve">, Lerman et al. (2004) reported no serious adverse events in </w:t>
      </w:r>
      <w:r>
        <w:t>either</w:t>
      </w:r>
      <w:r w:rsidRPr="00A25C81">
        <w:t xml:space="preserve"> tr</w:t>
      </w:r>
      <w:r>
        <w:t>eatment</w:t>
      </w:r>
      <w:r w:rsidRPr="00A25C81">
        <w:t xml:space="preserve"> arms, while Croghan</w:t>
      </w:r>
      <w:r>
        <w:t xml:space="preserve"> et al.</w:t>
      </w:r>
      <w:r w:rsidRPr="00A25C81">
        <w:t xml:space="preserve"> </w:t>
      </w:r>
      <w:r>
        <w:t>(</w:t>
      </w:r>
      <w:r w:rsidRPr="00A25C81">
        <w:t>2003</w:t>
      </w:r>
      <w:r>
        <w:t>)</w:t>
      </w:r>
      <w:r w:rsidRPr="00A25C81">
        <w:t xml:space="preserve"> showed </w:t>
      </w:r>
      <w:r>
        <w:t xml:space="preserve">a </w:t>
      </w:r>
      <w:r w:rsidRPr="00A25C81">
        <w:t>significant</w:t>
      </w:r>
      <w:r>
        <w:t>ly higher</w:t>
      </w:r>
      <w:r w:rsidRPr="00A25C81">
        <w:t xml:space="preserve"> </w:t>
      </w:r>
      <w:r>
        <w:t>rate</w:t>
      </w:r>
      <w:r w:rsidRPr="00A25C81">
        <w:t xml:space="preserve"> of treatment withdrawals in </w:t>
      </w:r>
      <w:r>
        <w:t>the nasal spray treatment arm</w:t>
      </w:r>
      <w:r w:rsidRPr="00A25C81">
        <w:t>.</w:t>
      </w:r>
    </w:p>
    <w:tbl>
      <w:tblPr>
        <w:tblStyle w:val="TableGrid3"/>
        <w:tblW w:w="5000" w:type="pct"/>
        <w:shd w:val="clear" w:color="auto" w:fill="F2F2F2" w:themeFill="background1" w:themeFillShade="F2"/>
        <w:tblLook w:val="04A0" w:firstRow="1" w:lastRow="0" w:firstColumn="1" w:lastColumn="0" w:noHBand="0" w:noVBand="1"/>
      </w:tblPr>
      <w:tblGrid>
        <w:gridCol w:w="1616"/>
        <w:gridCol w:w="2158"/>
        <w:gridCol w:w="5242"/>
      </w:tblGrid>
      <w:tr w:rsidR="00C324F3" w:rsidRPr="00916516" w:rsidTr="00777459">
        <w:trPr>
          <w:trHeight w:val="67"/>
        </w:trPr>
        <w:tc>
          <w:tcPr>
            <w:tcW w:w="896" w:type="pct"/>
            <w:shd w:val="clear" w:color="auto" w:fill="F2F2F2" w:themeFill="background1" w:themeFillShade="F2"/>
            <w:hideMark/>
          </w:tcPr>
          <w:p w:rsidR="00C324F3" w:rsidRPr="00916516" w:rsidRDefault="00C324F3" w:rsidP="00777459">
            <w:pPr>
              <w:rPr>
                <w:szCs w:val="18"/>
              </w:rPr>
            </w:pPr>
            <w:r w:rsidRPr="00916516">
              <w:rPr>
                <w:b/>
                <w:bCs/>
                <w:szCs w:val="18"/>
              </w:rPr>
              <w:t>Compar</w:t>
            </w:r>
            <w:r>
              <w:rPr>
                <w:b/>
                <w:bCs/>
                <w:szCs w:val="18"/>
              </w:rPr>
              <w:t>ison</w:t>
            </w:r>
          </w:p>
        </w:tc>
        <w:tc>
          <w:tcPr>
            <w:tcW w:w="1197" w:type="pct"/>
            <w:shd w:val="clear" w:color="auto" w:fill="F2F2F2" w:themeFill="background1" w:themeFillShade="F2"/>
            <w:hideMark/>
          </w:tcPr>
          <w:p w:rsidR="00C324F3" w:rsidRPr="00916516" w:rsidRDefault="00C324F3" w:rsidP="00777459">
            <w:pPr>
              <w:jc w:val="center"/>
              <w:rPr>
                <w:szCs w:val="18"/>
              </w:rPr>
            </w:pPr>
            <w:r>
              <w:rPr>
                <w:b/>
                <w:bCs/>
                <w:szCs w:val="18"/>
              </w:rPr>
              <w:t>Included studies</w:t>
            </w:r>
          </w:p>
        </w:tc>
        <w:tc>
          <w:tcPr>
            <w:tcW w:w="2906" w:type="pct"/>
            <w:shd w:val="clear" w:color="auto" w:fill="F2F2F2" w:themeFill="background1" w:themeFillShade="F2"/>
            <w:hideMark/>
          </w:tcPr>
          <w:p w:rsidR="00C324F3" w:rsidRPr="00916516" w:rsidRDefault="00C324F3" w:rsidP="00777459">
            <w:pPr>
              <w:jc w:val="center"/>
              <w:rPr>
                <w:szCs w:val="18"/>
              </w:rPr>
            </w:pPr>
            <w:r>
              <w:rPr>
                <w:b/>
                <w:bCs/>
                <w:szCs w:val="18"/>
              </w:rPr>
              <w:t>Summary of evidence</w:t>
            </w:r>
          </w:p>
        </w:tc>
      </w:tr>
      <w:tr w:rsidR="00C324F3" w:rsidRPr="009068BC" w:rsidTr="00777459">
        <w:trPr>
          <w:trHeight w:val="345"/>
        </w:trPr>
        <w:tc>
          <w:tcPr>
            <w:tcW w:w="896" w:type="pct"/>
            <w:shd w:val="clear" w:color="auto" w:fill="F2F2F2" w:themeFill="background1" w:themeFillShade="F2"/>
            <w:hideMark/>
          </w:tcPr>
          <w:p w:rsidR="00C324F3" w:rsidRPr="00237D04" w:rsidRDefault="00C324F3" w:rsidP="00777459">
            <w:pPr>
              <w:tabs>
                <w:tab w:val="left" w:pos="986"/>
              </w:tabs>
              <w:rPr>
                <w:szCs w:val="18"/>
              </w:rPr>
            </w:pPr>
            <w:r w:rsidRPr="00A45B4B">
              <w:rPr>
                <w:szCs w:val="18"/>
              </w:rPr>
              <w:t>NRT nasal spray</w:t>
            </w:r>
            <w:r>
              <w:rPr>
                <w:szCs w:val="18"/>
              </w:rPr>
              <w:t xml:space="preserve"> vs p</w:t>
            </w:r>
            <w:r w:rsidRPr="00A45B4B">
              <w:rPr>
                <w:szCs w:val="18"/>
              </w:rPr>
              <w:t>lacebo</w:t>
            </w:r>
          </w:p>
        </w:tc>
        <w:tc>
          <w:tcPr>
            <w:tcW w:w="1197" w:type="pct"/>
            <w:shd w:val="clear" w:color="auto" w:fill="F2F2F2" w:themeFill="background1" w:themeFillShade="F2"/>
            <w:hideMark/>
          </w:tcPr>
          <w:p w:rsidR="00C324F3" w:rsidRPr="00614418" w:rsidRDefault="00C324F3" w:rsidP="00C324F3">
            <w:pPr>
              <w:pStyle w:val="ListParagraph"/>
              <w:numPr>
                <w:ilvl w:val="0"/>
                <w:numId w:val="318"/>
              </w:numPr>
              <w:rPr>
                <w:szCs w:val="18"/>
              </w:rPr>
            </w:pPr>
            <w:r w:rsidRPr="004110FF">
              <w:t xml:space="preserve">Hartmann-Boyce  </w:t>
            </w:r>
            <w:r>
              <w:t>(</w:t>
            </w:r>
            <w:r w:rsidRPr="004110FF">
              <w:t>2018</w:t>
            </w:r>
            <w:r>
              <w:t>)</w:t>
            </w:r>
            <w:r w:rsidRPr="00CE108D">
              <w:rPr>
                <w:vertAlign w:val="superscript"/>
              </w:rPr>
              <w:t>1</w:t>
            </w:r>
          </w:p>
        </w:tc>
        <w:tc>
          <w:tcPr>
            <w:tcW w:w="2906" w:type="pct"/>
            <w:shd w:val="clear" w:color="auto" w:fill="F2F2F2" w:themeFill="background1" w:themeFillShade="F2"/>
            <w:hideMark/>
          </w:tcPr>
          <w:p w:rsidR="00C324F3" w:rsidRPr="00A45B4B" w:rsidRDefault="00C324F3" w:rsidP="00C324F3">
            <w:pPr>
              <w:pStyle w:val="ListParagraph"/>
              <w:numPr>
                <w:ilvl w:val="0"/>
                <w:numId w:val="318"/>
              </w:numPr>
              <w:rPr>
                <w:szCs w:val="18"/>
              </w:rPr>
            </w:pPr>
            <w:r w:rsidRPr="00360862">
              <w:rPr>
                <w:szCs w:val="18"/>
                <w:u w:val="single"/>
              </w:rPr>
              <w:t>Efficacy</w:t>
            </w:r>
            <w:r w:rsidRPr="00360862">
              <w:rPr>
                <w:szCs w:val="18"/>
              </w:rPr>
              <w:t xml:space="preserve">: </w:t>
            </w:r>
            <w:r w:rsidRPr="00A45B4B">
              <w:rPr>
                <w:szCs w:val="18"/>
              </w:rPr>
              <w:t>Statistically significant</w:t>
            </w:r>
            <w:r>
              <w:rPr>
                <w:szCs w:val="18"/>
              </w:rPr>
              <w:t xml:space="preserve"> based on RR </w:t>
            </w:r>
            <w:r w:rsidRPr="00A45B4B">
              <w:rPr>
                <w:szCs w:val="18"/>
              </w:rPr>
              <w:t>(in favour of NRT nasal spray)</w:t>
            </w:r>
            <w:r>
              <w:rPr>
                <w:szCs w:val="18"/>
              </w:rPr>
              <w:t>.</w:t>
            </w:r>
          </w:p>
          <w:p w:rsidR="00C324F3" w:rsidRPr="00A45B4B" w:rsidRDefault="00C324F3" w:rsidP="00C324F3">
            <w:pPr>
              <w:pStyle w:val="ListParagraph"/>
              <w:numPr>
                <w:ilvl w:val="0"/>
                <w:numId w:val="318"/>
              </w:numPr>
              <w:rPr>
                <w:szCs w:val="18"/>
              </w:rPr>
            </w:pPr>
            <w:r w:rsidRPr="00360862">
              <w:rPr>
                <w:szCs w:val="18"/>
                <w:u w:val="single"/>
              </w:rPr>
              <w:t>Safety:</w:t>
            </w:r>
            <w:r w:rsidRPr="00360862">
              <w:rPr>
                <w:szCs w:val="18"/>
              </w:rPr>
              <w:t xml:space="preserve"> </w:t>
            </w:r>
            <w:r w:rsidRPr="00A45B4B">
              <w:rPr>
                <w:szCs w:val="18"/>
              </w:rPr>
              <w:t>Statistically significant</w:t>
            </w:r>
            <w:r>
              <w:rPr>
                <w:szCs w:val="18"/>
              </w:rPr>
              <w:t xml:space="preserve"> based on RR </w:t>
            </w:r>
            <w:r w:rsidRPr="00A45B4B">
              <w:rPr>
                <w:szCs w:val="18"/>
              </w:rPr>
              <w:t>(palpitations/chest pains; higher in NRT nasal spray)</w:t>
            </w:r>
            <w:r>
              <w:rPr>
                <w:szCs w:val="18"/>
              </w:rPr>
              <w:t>.</w:t>
            </w:r>
          </w:p>
        </w:tc>
      </w:tr>
      <w:tr w:rsidR="00C324F3" w:rsidRPr="009068BC" w:rsidTr="00777459">
        <w:trPr>
          <w:trHeight w:val="617"/>
        </w:trPr>
        <w:tc>
          <w:tcPr>
            <w:tcW w:w="896" w:type="pct"/>
            <w:shd w:val="clear" w:color="auto" w:fill="F2F2F2" w:themeFill="background1" w:themeFillShade="F2"/>
            <w:hideMark/>
          </w:tcPr>
          <w:p w:rsidR="00C324F3" w:rsidRPr="00581533" w:rsidRDefault="00C324F3" w:rsidP="00777459">
            <w:pPr>
              <w:rPr>
                <w:szCs w:val="18"/>
              </w:rPr>
            </w:pPr>
            <w:r w:rsidRPr="00A45B4B">
              <w:rPr>
                <w:szCs w:val="18"/>
              </w:rPr>
              <w:t>NRT nasal spray</w:t>
            </w:r>
            <w:r>
              <w:rPr>
                <w:szCs w:val="18"/>
              </w:rPr>
              <w:t xml:space="preserve"> vs </w:t>
            </w:r>
            <w:r w:rsidRPr="00A45B4B">
              <w:rPr>
                <w:szCs w:val="18"/>
              </w:rPr>
              <w:t>NRT patch</w:t>
            </w:r>
          </w:p>
        </w:tc>
        <w:tc>
          <w:tcPr>
            <w:tcW w:w="1197" w:type="pct"/>
            <w:shd w:val="clear" w:color="auto" w:fill="F2F2F2" w:themeFill="background1" w:themeFillShade="F2"/>
            <w:hideMark/>
          </w:tcPr>
          <w:p w:rsidR="00C324F3" w:rsidRPr="002A5E9C" w:rsidRDefault="00C324F3" w:rsidP="00C324F3">
            <w:pPr>
              <w:pStyle w:val="ListParagraph"/>
              <w:numPr>
                <w:ilvl w:val="0"/>
                <w:numId w:val="319"/>
              </w:numPr>
              <w:rPr>
                <w:szCs w:val="18"/>
              </w:rPr>
            </w:pPr>
            <w:r>
              <w:t>Lindson</w:t>
            </w:r>
            <w:r w:rsidRPr="00713891">
              <w:t xml:space="preserve"> (201</w:t>
            </w:r>
            <w:r>
              <w:t>9</w:t>
            </w:r>
            <w:r w:rsidRPr="00713891">
              <w:t>)</w:t>
            </w:r>
            <w:r w:rsidRPr="00CE108D">
              <w:rPr>
                <w:vertAlign w:val="superscript"/>
              </w:rPr>
              <w:t>1</w:t>
            </w:r>
          </w:p>
        </w:tc>
        <w:tc>
          <w:tcPr>
            <w:tcW w:w="2906" w:type="pct"/>
            <w:shd w:val="clear" w:color="auto" w:fill="F2F2F2" w:themeFill="background1" w:themeFillShade="F2"/>
            <w:hideMark/>
          </w:tcPr>
          <w:p w:rsidR="00C324F3" w:rsidRPr="00A45B4B" w:rsidRDefault="00C324F3" w:rsidP="00C324F3">
            <w:pPr>
              <w:pStyle w:val="ListParagraph"/>
              <w:numPr>
                <w:ilvl w:val="0"/>
                <w:numId w:val="317"/>
              </w:numPr>
              <w:rPr>
                <w:szCs w:val="18"/>
              </w:rPr>
            </w:pPr>
            <w:r w:rsidRPr="00360862">
              <w:rPr>
                <w:szCs w:val="18"/>
                <w:u w:val="single"/>
              </w:rPr>
              <w:t>Efficacy</w:t>
            </w:r>
            <w:r w:rsidRPr="00360862">
              <w:rPr>
                <w:szCs w:val="18"/>
              </w:rPr>
              <w:t xml:space="preserve">: </w:t>
            </w:r>
            <w:r w:rsidRPr="00A45B4B">
              <w:rPr>
                <w:szCs w:val="18"/>
              </w:rPr>
              <w:t>Not statistically significant</w:t>
            </w:r>
            <w:r>
              <w:rPr>
                <w:szCs w:val="18"/>
              </w:rPr>
              <w:t xml:space="preserve"> based on RR. </w:t>
            </w:r>
          </w:p>
          <w:p w:rsidR="00C324F3" w:rsidRPr="00A45B4B"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A45B4B">
              <w:rPr>
                <w:szCs w:val="18"/>
              </w:rPr>
              <w:t>Statistically significant</w:t>
            </w:r>
            <w:r>
              <w:rPr>
                <w:szCs w:val="18"/>
              </w:rPr>
              <w:t xml:space="preserve"> based on RR </w:t>
            </w:r>
            <w:r w:rsidRPr="00A45B4B">
              <w:rPr>
                <w:szCs w:val="18"/>
              </w:rPr>
              <w:t>(treatment withdrawals; higher in NRT nasal spray)</w:t>
            </w:r>
            <w:r>
              <w:rPr>
                <w:szCs w:val="18"/>
              </w:rPr>
              <w:t xml:space="preserve">; </w:t>
            </w:r>
            <w:r w:rsidRPr="00A45B4B">
              <w:rPr>
                <w:szCs w:val="18"/>
              </w:rPr>
              <w:t xml:space="preserve">No </w:t>
            </w:r>
            <w:r>
              <w:rPr>
                <w:szCs w:val="18"/>
              </w:rPr>
              <w:t>S</w:t>
            </w:r>
            <w:r w:rsidRPr="00A45B4B">
              <w:rPr>
                <w:szCs w:val="18"/>
              </w:rPr>
              <w:t>AEs reported in either arm</w:t>
            </w:r>
            <w:r>
              <w:rPr>
                <w:szCs w:val="18"/>
              </w:rPr>
              <w:t>.</w:t>
            </w:r>
          </w:p>
        </w:tc>
      </w:tr>
    </w:tbl>
    <w:p w:rsidR="00C324F3" w:rsidRDefault="00C324F3" w:rsidP="00C324F3">
      <w:pPr>
        <w:pStyle w:val="TableFooter"/>
        <w:keepNext/>
      </w:pPr>
      <w:r>
        <w:t>Abbreviations: NRT = nicotine replacement therapy; RR = risk ratio;</w:t>
      </w:r>
      <w:r w:rsidRPr="005C3486">
        <w:t xml:space="preserve"> </w:t>
      </w:r>
      <w:r>
        <w:t xml:space="preserve">SAEs = adverse events. </w:t>
      </w:r>
    </w:p>
    <w:p w:rsidR="00C324F3" w:rsidRDefault="00C324F3" w:rsidP="00C324F3">
      <w:pPr>
        <w:pStyle w:val="TableFooter"/>
        <w:keepNext/>
      </w:pPr>
      <w:r w:rsidRPr="00BE36E8">
        <w:t xml:space="preserve">Notes: </w:t>
      </w:r>
    </w:p>
    <w:p w:rsidR="00C324F3" w:rsidRPr="00355B8A" w:rsidRDefault="00C324F3" w:rsidP="00C324F3">
      <w:pPr>
        <w:pStyle w:val="TableFooter"/>
        <w:keepNext/>
      </w:pPr>
      <w:r>
        <w:t xml:space="preserve">1 </w:t>
      </w:r>
      <w:r w:rsidRPr="00BE36E8">
        <w:t>Cochrane Review</w:t>
      </w:r>
      <w:r>
        <w:t>.</w:t>
      </w:r>
    </w:p>
    <w:p w:rsidR="00C324F3" w:rsidRDefault="00C324F3" w:rsidP="00C324F3">
      <w:r w:rsidRPr="00A25C81">
        <w:t>Oral spray</w:t>
      </w:r>
    </w:p>
    <w:p w:rsidR="003C4A1C" w:rsidRDefault="00C324F3" w:rsidP="00C324F3">
      <w:pPr>
        <w:pStyle w:val="ListParagraph"/>
        <w:numPr>
          <w:ilvl w:val="0"/>
          <w:numId w:val="284"/>
        </w:numPr>
      </w:pPr>
      <w:r w:rsidRPr="00A25C81">
        <w:t xml:space="preserve">NRT oral spray </w:t>
      </w:r>
      <w:r>
        <w:t>was shown to be superior</w:t>
      </w:r>
      <w:r w:rsidRPr="00A25C81">
        <w:t xml:space="preserve"> to placebo</w:t>
      </w:r>
      <w:r>
        <w:t xml:space="preserve"> in terms of efficacy, </w:t>
      </w:r>
      <w:r w:rsidRPr="00A25C81">
        <w:t>not</w:t>
      </w:r>
      <w:r>
        <w:t>ing</w:t>
      </w:r>
      <w:r w:rsidRPr="00A25C81">
        <w:t xml:space="preserve"> that the results of the updated re-analysis were not statistically significant based on risk difference (absolute effect).</w:t>
      </w:r>
      <w:r>
        <w:t xml:space="preserve"> A </w:t>
      </w:r>
      <w:r w:rsidRPr="001B111D">
        <w:t xml:space="preserve">significantly higher proportion of patients in the oral spray arm experienced any adverse events and discontinuation due to adverse events compared with patients in the placebo arm. </w:t>
      </w:r>
      <w:r>
        <w:t>N</w:t>
      </w:r>
      <w:r w:rsidRPr="001B111D">
        <w:t>o patients in either arm experienc</w:t>
      </w:r>
      <w:r>
        <w:t>ed</w:t>
      </w:r>
      <w:r w:rsidRPr="001B111D">
        <w:t xml:space="preserve"> treatment-related serious adverse event</w:t>
      </w:r>
      <w:r>
        <w:t>s</w:t>
      </w:r>
      <w:r w:rsidRPr="001B111D">
        <w:t>.</w:t>
      </w:r>
    </w:p>
    <w:p w:rsidR="00C324F3" w:rsidRDefault="003C4A1C" w:rsidP="003C4A1C">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436"/>
        <w:gridCol w:w="2609"/>
        <w:gridCol w:w="4971"/>
      </w:tblGrid>
      <w:tr w:rsidR="00C324F3" w:rsidRPr="00916516" w:rsidTr="00777459">
        <w:trPr>
          <w:trHeight w:val="67"/>
        </w:trPr>
        <w:tc>
          <w:tcPr>
            <w:tcW w:w="796" w:type="pct"/>
            <w:shd w:val="clear" w:color="auto" w:fill="F2F2F2" w:themeFill="background1" w:themeFillShade="F2"/>
            <w:hideMark/>
          </w:tcPr>
          <w:p w:rsidR="00C324F3" w:rsidRPr="00916516" w:rsidRDefault="00C324F3" w:rsidP="00777459">
            <w:pPr>
              <w:rPr>
                <w:szCs w:val="18"/>
              </w:rPr>
            </w:pPr>
            <w:r w:rsidRPr="00916516">
              <w:rPr>
                <w:b/>
                <w:bCs/>
                <w:szCs w:val="18"/>
              </w:rPr>
              <w:lastRenderedPageBreak/>
              <w:t>Compar</w:t>
            </w:r>
            <w:r>
              <w:rPr>
                <w:b/>
                <w:bCs/>
                <w:szCs w:val="18"/>
              </w:rPr>
              <w:t>ison</w:t>
            </w:r>
          </w:p>
        </w:tc>
        <w:tc>
          <w:tcPr>
            <w:tcW w:w="1447" w:type="pct"/>
            <w:shd w:val="clear" w:color="auto" w:fill="F2F2F2" w:themeFill="background1" w:themeFillShade="F2"/>
            <w:hideMark/>
          </w:tcPr>
          <w:p w:rsidR="00C324F3" w:rsidRPr="00916516" w:rsidRDefault="00C324F3" w:rsidP="00777459">
            <w:pPr>
              <w:jc w:val="center"/>
              <w:rPr>
                <w:szCs w:val="18"/>
              </w:rPr>
            </w:pPr>
            <w:r>
              <w:rPr>
                <w:b/>
                <w:bCs/>
                <w:szCs w:val="18"/>
              </w:rPr>
              <w:t>Included studies</w:t>
            </w:r>
          </w:p>
        </w:tc>
        <w:tc>
          <w:tcPr>
            <w:tcW w:w="2757" w:type="pct"/>
            <w:shd w:val="clear" w:color="auto" w:fill="F2F2F2" w:themeFill="background1" w:themeFillShade="F2"/>
            <w:hideMark/>
          </w:tcPr>
          <w:p w:rsidR="00C324F3" w:rsidRPr="00916516" w:rsidRDefault="00C324F3" w:rsidP="00777459">
            <w:pPr>
              <w:jc w:val="center"/>
              <w:rPr>
                <w:szCs w:val="18"/>
              </w:rPr>
            </w:pPr>
            <w:r>
              <w:rPr>
                <w:b/>
                <w:bCs/>
                <w:szCs w:val="18"/>
              </w:rPr>
              <w:t>Summary of evidence</w:t>
            </w:r>
          </w:p>
        </w:tc>
      </w:tr>
      <w:tr w:rsidR="00C324F3" w:rsidRPr="009068BC" w:rsidTr="00777459">
        <w:trPr>
          <w:trHeight w:val="345"/>
        </w:trPr>
        <w:tc>
          <w:tcPr>
            <w:tcW w:w="796" w:type="pct"/>
            <w:shd w:val="clear" w:color="auto" w:fill="F2F2F2" w:themeFill="background1" w:themeFillShade="F2"/>
            <w:hideMark/>
          </w:tcPr>
          <w:p w:rsidR="00C324F3" w:rsidRPr="00237D04" w:rsidRDefault="00C324F3" w:rsidP="00777459">
            <w:pPr>
              <w:tabs>
                <w:tab w:val="left" w:pos="1198"/>
              </w:tabs>
              <w:rPr>
                <w:szCs w:val="18"/>
              </w:rPr>
            </w:pPr>
            <w:r w:rsidRPr="00A45B4B">
              <w:rPr>
                <w:szCs w:val="18"/>
              </w:rPr>
              <w:t>NRT oral spray</w:t>
            </w:r>
            <w:r>
              <w:rPr>
                <w:szCs w:val="18"/>
              </w:rPr>
              <w:t xml:space="preserve"> vs placebo</w:t>
            </w:r>
          </w:p>
        </w:tc>
        <w:tc>
          <w:tcPr>
            <w:tcW w:w="1447" w:type="pct"/>
            <w:shd w:val="clear" w:color="auto" w:fill="F2F2F2" w:themeFill="background1" w:themeFillShade="F2"/>
            <w:hideMark/>
          </w:tcPr>
          <w:p w:rsidR="00C324F3" w:rsidRPr="00CE108D" w:rsidRDefault="00C324F3" w:rsidP="00C324F3">
            <w:pPr>
              <w:pStyle w:val="ListParagraph"/>
              <w:numPr>
                <w:ilvl w:val="0"/>
                <w:numId w:val="318"/>
              </w:numPr>
              <w:rPr>
                <w:szCs w:val="18"/>
              </w:rPr>
            </w:pPr>
            <w:r w:rsidRPr="004110FF">
              <w:t xml:space="preserve">Hartmann-Boyce </w:t>
            </w:r>
            <w:r>
              <w:t>(</w:t>
            </w:r>
            <w:r w:rsidRPr="004110FF">
              <w:t>2018</w:t>
            </w:r>
            <w:r>
              <w:t>)</w:t>
            </w:r>
            <w:r w:rsidRPr="00CE108D">
              <w:rPr>
                <w:vertAlign w:val="superscript"/>
              </w:rPr>
              <w:t>1</w:t>
            </w:r>
          </w:p>
          <w:p w:rsidR="00C324F3" w:rsidRPr="00614418" w:rsidRDefault="00C324F3" w:rsidP="00C324F3">
            <w:pPr>
              <w:pStyle w:val="ListParagraph"/>
              <w:numPr>
                <w:ilvl w:val="0"/>
                <w:numId w:val="318"/>
              </w:numPr>
              <w:rPr>
                <w:szCs w:val="18"/>
              </w:rPr>
            </w:pPr>
            <w:r w:rsidRPr="00AA142B">
              <w:t>Nides (2020)</w:t>
            </w:r>
            <w:r w:rsidRPr="00CE108D">
              <w:rPr>
                <w:vertAlign w:val="superscript"/>
              </w:rPr>
              <w:t>2</w:t>
            </w:r>
          </w:p>
        </w:tc>
        <w:tc>
          <w:tcPr>
            <w:tcW w:w="2757" w:type="pct"/>
            <w:shd w:val="clear" w:color="auto" w:fill="F2F2F2" w:themeFill="background1" w:themeFillShade="F2"/>
            <w:hideMark/>
          </w:tcPr>
          <w:p w:rsidR="00C324F3" w:rsidRPr="00A45B4B" w:rsidRDefault="00C324F3" w:rsidP="00C324F3">
            <w:pPr>
              <w:pStyle w:val="ListParagraph"/>
              <w:numPr>
                <w:ilvl w:val="0"/>
                <w:numId w:val="318"/>
              </w:numPr>
              <w:rPr>
                <w:szCs w:val="18"/>
              </w:rPr>
            </w:pPr>
            <w:r w:rsidRPr="00360862">
              <w:rPr>
                <w:szCs w:val="18"/>
                <w:u w:val="single"/>
              </w:rPr>
              <w:t>Efficacy</w:t>
            </w:r>
            <w:r w:rsidRPr="00360862">
              <w:rPr>
                <w:szCs w:val="18"/>
              </w:rPr>
              <w:t xml:space="preserve">: </w:t>
            </w:r>
            <w:r w:rsidRPr="00A45B4B">
              <w:rPr>
                <w:szCs w:val="18"/>
              </w:rPr>
              <w:t>Statistically significant</w:t>
            </w:r>
            <w:r>
              <w:rPr>
                <w:szCs w:val="18"/>
              </w:rPr>
              <w:t xml:space="preserve"> </w:t>
            </w:r>
            <w:r>
              <w:rPr>
                <w:szCs w:val="18"/>
                <w:vertAlign w:val="superscript"/>
              </w:rPr>
              <w:t>based</w:t>
            </w:r>
            <w:r>
              <w:rPr>
                <w:szCs w:val="18"/>
              </w:rPr>
              <w:t xml:space="preserve"> on RR </w:t>
            </w:r>
            <w:r w:rsidRPr="00A45B4B">
              <w:rPr>
                <w:szCs w:val="18"/>
              </w:rPr>
              <w:t>(in favour of NRT oral spray)</w:t>
            </w:r>
            <w:r>
              <w:rPr>
                <w:szCs w:val="18"/>
              </w:rPr>
              <w:t>, but not statistically significant for RD</w:t>
            </w:r>
            <w:r>
              <w:rPr>
                <w:szCs w:val="18"/>
                <w:vertAlign w:val="superscript"/>
              </w:rPr>
              <w:t>3</w:t>
            </w:r>
            <w:r>
              <w:rPr>
                <w:szCs w:val="18"/>
              </w:rPr>
              <w:t xml:space="preserve">. </w:t>
            </w:r>
          </w:p>
          <w:p w:rsidR="00C324F3" w:rsidRPr="00A45B4B" w:rsidRDefault="00C324F3" w:rsidP="00C324F3">
            <w:pPr>
              <w:pStyle w:val="ListParagraph"/>
              <w:numPr>
                <w:ilvl w:val="0"/>
                <w:numId w:val="318"/>
              </w:numPr>
              <w:rPr>
                <w:szCs w:val="18"/>
              </w:rPr>
            </w:pPr>
            <w:r w:rsidRPr="00360862">
              <w:rPr>
                <w:szCs w:val="18"/>
                <w:u w:val="single"/>
              </w:rPr>
              <w:t>Safety:</w:t>
            </w:r>
            <w:r w:rsidRPr="00360862">
              <w:rPr>
                <w:szCs w:val="18"/>
              </w:rPr>
              <w:t xml:space="preserve"> </w:t>
            </w:r>
            <w:r w:rsidRPr="00A45B4B">
              <w:rPr>
                <w:szCs w:val="18"/>
              </w:rPr>
              <w:t>Statistically significant</w:t>
            </w:r>
            <w:r>
              <w:rPr>
                <w:szCs w:val="18"/>
              </w:rPr>
              <w:t xml:space="preserve"> based on RR and RD </w:t>
            </w:r>
            <w:r w:rsidRPr="00A45B4B">
              <w:rPr>
                <w:szCs w:val="18"/>
              </w:rPr>
              <w:t>(any AEs, discontinuation due to AEs; higher in NRT oral spray)</w:t>
            </w:r>
            <w:r>
              <w:rPr>
                <w:szCs w:val="18"/>
              </w:rPr>
              <w:t xml:space="preserve">; </w:t>
            </w:r>
            <w:r w:rsidRPr="00A45B4B">
              <w:rPr>
                <w:szCs w:val="18"/>
              </w:rPr>
              <w:t xml:space="preserve">No </w:t>
            </w:r>
            <w:r>
              <w:rPr>
                <w:szCs w:val="18"/>
              </w:rPr>
              <w:t>S</w:t>
            </w:r>
            <w:r w:rsidRPr="00A45B4B">
              <w:rPr>
                <w:szCs w:val="18"/>
              </w:rPr>
              <w:t>AEs reported in either arm</w:t>
            </w:r>
            <w:r>
              <w:rPr>
                <w:szCs w:val="18"/>
              </w:rPr>
              <w:t>.</w:t>
            </w:r>
          </w:p>
        </w:tc>
      </w:tr>
    </w:tbl>
    <w:p w:rsidR="00C324F3" w:rsidRDefault="00C324F3" w:rsidP="00C324F3">
      <w:pPr>
        <w:pStyle w:val="TableFooter"/>
        <w:keepNext/>
      </w:pPr>
      <w:r>
        <w:t>Abbreviations: AEs = adverse events; NRT = nicotine replacement therapy; RR = risk ratio, RD = risk difference; SAEs = serious adverse events.</w:t>
      </w:r>
    </w:p>
    <w:p w:rsidR="00C324F3" w:rsidRDefault="00C324F3" w:rsidP="00C324F3">
      <w:pPr>
        <w:pStyle w:val="TableFooter"/>
        <w:keepNext/>
      </w:pPr>
      <w:r w:rsidRPr="00BE36E8">
        <w:t xml:space="preserve">Notes: </w:t>
      </w:r>
    </w:p>
    <w:p w:rsidR="00C324F3" w:rsidRDefault="00C324F3" w:rsidP="00C324F3">
      <w:pPr>
        <w:pStyle w:val="TableFooter"/>
        <w:keepNext/>
      </w:pPr>
      <w:r>
        <w:t xml:space="preserve">1 </w:t>
      </w:r>
      <w:r w:rsidRPr="00BE36E8">
        <w:t>Cochrane Review</w:t>
      </w:r>
      <w:r>
        <w:t>.</w:t>
      </w:r>
    </w:p>
    <w:p w:rsidR="00C324F3" w:rsidRPr="00415419" w:rsidRDefault="00C324F3" w:rsidP="00C324F3">
      <w:pPr>
        <w:pStyle w:val="TableFooter"/>
        <w:keepNext/>
      </w:pPr>
      <w:r>
        <w:t>2 Supplemental evidence (RCT).</w:t>
      </w:r>
    </w:p>
    <w:p w:rsidR="00C324F3" w:rsidRPr="00415419" w:rsidRDefault="00C324F3" w:rsidP="00C324F3">
      <w:pPr>
        <w:pStyle w:val="TableFooter"/>
        <w:keepNext/>
      </w:pPr>
      <w:r>
        <w:t>3 Statistically significant based on risk ratio but not significant based on risk difference (RR = 2.63, 95% CI: 1.54, 4.50; RD = 0.05, 95%CI: -0.02, 0.12).</w:t>
      </w:r>
    </w:p>
    <w:p w:rsidR="00C324F3" w:rsidRPr="001B111D" w:rsidRDefault="00C324F3" w:rsidP="00C324F3">
      <w:r w:rsidRPr="001B111D">
        <w:t>Inhalator and patch</w:t>
      </w:r>
    </w:p>
    <w:p w:rsidR="00C324F3" w:rsidRPr="00AB6DA0" w:rsidRDefault="00C324F3" w:rsidP="00C324F3">
      <w:pPr>
        <w:pStyle w:val="ListParagraph"/>
        <w:numPr>
          <w:ilvl w:val="0"/>
          <w:numId w:val="284"/>
        </w:numPr>
        <w:rPr>
          <w:rFonts w:eastAsiaTheme="minorEastAsia"/>
          <w:b/>
          <w:i/>
          <w:sz w:val="28"/>
          <w:szCs w:val="28"/>
        </w:rPr>
      </w:pPr>
      <w:r>
        <w:t>There were no statistically significant differences between i</w:t>
      </w:r>
      <w:r w:rsidRPr="001B111D">
        <w:t xml:space="preserve">nhalator + patch </w:t>
      </w:r>
      <w:r>
        <w:t xml:space="preserve">and placebo in terms of efficacy based on long-term smoking cessation rates. </w:t>
      </w:r>
      <w:r w:rsidRPr="007C0870">
        <w:t xml:space="preserve">The </w:t>
      </w:r>
      <w:r>
        <w:t>one study identified</w:t>
      </w:r>
      <w:r w:rsidRPr="007C0870">
        <w:t xml:space="preserve"> by Hartmann-Boyce et al. (2018)</w:t>
      </w:r>
      <w:r>
        <w:t xml:space="preserve"> did not assess the comparative</w:t>
      </w:r>
      <w:r w:rsidRPr="00121538">
        <w:t xml:space="preserve"> safety of </w:t>
      </w:r>
      <w:r>
        <w:t>NRT inhalator + patch versus placebo</w:t>
      </w:r>
      <w:r w:rsidRPr="007C0870">
        <w:t>.</w:t>
      </w:r>
    </w:p>
    <w:tbl>
      <w:tblPr>
        <w:tblStyle w:val="TableGrid3"/>
        <w:tblW w:w="5000" w:type="pct"/>
        <w:shd w:val="clear" w:color="auto" w:fill="F2F2F2" w:themeFill="background1" w:themeFillShade="F2"/>
        <w:tblLook w:val="04A0" w:firstRow="1" w:lastRow="0" w:firstColumn="1" w:lastColumn="0" w:noHBand="0" w:noVBand="1"/>
      </w:tblPr>
      <w:tblGrid>
        <w:gridCol w:w="1616"/>
        <w:gridCol w:w="2609"/>
        <w:gridCol w:w="4791"/>
      </w:tblGrid>
      <w:tr w:rsidR="00C324F3" w:rsidRPr="00916516" w:rsidTr="00777459">
        <w:trPr>
          <w:trHeight w:val="67"/>
        </w:trPr>
        <w:tc>
          <w:tcPr>
            <w:tcW w:w="896" w:type="pct"/>
            <w:shd w:val="clear" w:color="auto" w:fill="F2F2F2" w:themeFill="background1" w:themeFillShade="F2"/>
            <w:hideMark/>
          </w:tcPr>
          <w:p w:rsidR="00C324F3" w:rsidRPr="00916516" w:rsidRDefault="00C324F3" w:rsidP="00777459">
            <w:pPr>
              <w:rPr>
                <w:szCs w:val="18"/>
              </w:rPr>
            </w:pPr>
            <w:r w:rsidRPr="00916516">
              <w:rPr>
                <w:b/>
                <w:bCs/>
                <w:szCs w:val="18"/>
              </w:rPr>
              <w:t>Compar</w:t>
            </w:r>
            <w:r>
              <w:rPr>
                <w:b/>
                <w:bCs/>
                <w:szCs w:val="18"/>
              </w:rPr>
              <w:t>ison</w:t>
            </w:r>
          </w:p>
        </w:tc>
        <w:tc>
          <w:tcPr>
            <w:tcW w:w="1447" w:type="pct"/>
            <w:shd w:val="clear" w:color="auto" w:fill="F2F2F2" w:themeFill="background1" w:themeFillShade="F2"/>
            <w:hideMark/>
          </w:tcPr>
          <w:p w:rsidR="00C324F3" w:rsidRPr="00916516" w:rsidRDefault="00C324F3" w:rsidP="00777459">
            <w:pPr>
              <w:jc w:val="center"/>
              <w:rPr>
                <w:szCs w:val="18"/>
              </w:rPr>
            </w:pPr>
            <w:r>
              <w:rPr>
                <w:b/>
                <w:bCs/>
                <w:szCs w:val="18"/>
              </w:rPr>
              <w:t>Included studies</w:t>
            </w:r>
          </w:p>
        </w:tc>
        <w:tc>
          <w:tcPr>
            <w:tcW w:w="2657" w:type="pct"/>
            <w:shd w:val="clear" w:color="auto" w:fill="F2F2F2" w:themeFill="background1" w:themeFillShade="F2"/>
            <w:hideMark/>
          </w:tcPr>
          <w:p w:rsidR="00C324F3" w:rsidRPr="00916516" w:rsidRDefault="00C324F3" w:rsidP="00777459">
            <w:pPr>
              <w:jc w:val="center"/>
              <w:rPr>
                <w:szCs w:val="18"/>
              </w:rPr>
            </w:pPr>
            <w:r>
              <w:rPr>
                <w:b/>
                <w:bCs/>
                <w:szCs w:val="18"/>
              </w:rPr>
              <w:t>Summary of evidence</w:t>
            </w:r>
          </w:p>
        </w:tc>
      </w:tr>
      <w:tr w:rsidR="00C324F3" w:rsidRPr="009068BC" w:rsidTr="00777459">
        <w:trPr>
          <w:trHeight w:val="345"/>
        </w:trPr>
        <w:tc>
          <w:tcPr>
            <w:tcW w:w="896" w:type="pct"/>
            <w:shd w:val="clear" w:color="auto" w:fill="F2F2F2" w:themeFill="background1" w:themeFillShade="F2"/>
            <w:hideMark/>
          </w:tcPr>
          <w:p w:rsidR="00C324F3" w:rsidRPr="00237D04" w:rsidRDefault="00C324F3" w:rsidP="00777459">
            <w:pPr>
              <w:tabs>
                <w:tab w:val="left" w:pos="1198"/>
              </w:tabs>
              <w:rPr>
                <w:szCs w:val="18"/>
              </w:rPr>
            </w:pPr>
            <w:r w:rsidRPr="00A45B4B">
              <w:rPr>
                <w:szCs w:val="18"/>
              </w:rPr>
              <w:t>NRT inhalator and patch</w:t>
            </w:r>
            <w:r>
              <w:rPr>
                <w:szCs w:val="18"/>
              </w:rPr>
              <w:t xml:space="preserve"> vs placebo</w:t>
            </w:r>
          </w:p>
        </w:tc>
        <w:tc>
          <w:tcPr>
            <w:tcW w:w="1447" w:type="pct"/>
            <w:shd w:val="clear" w:color="auto" w:fill="F2F2F2" w:themeFill="background1" w:themeFillShade="F2"/>
            <w:hideMark/>
          </w:tcPr>
          <w:p w:rsidR="00C324F3" w:rsidRPr="00614418" w:rsidRDefault="00C324F3" w:rsidP="00C324F3">
            <w:pPr>
              <w:pStyle w:val="ListParagraph"/>
              <w:numPr>
                <w:ilvl w:val="0"/>
                <w:numId w:val="318"/>
              </w:numPr>
              <w:rPr>
                <w:szCs w:val="18"/>
              </w:rPr>
            </w:pPr>
            <w:r w:rsidRPr="004110FF">
              <w:t xml:space="preserve">Hartmann-Boyce </w:t>
            </w:r>
            <w:r>
              <w:t>(</w:t>
            </w:r>
            <w:r w:rsidRPr="004110FF">
              <w:t>2018</w:t>
            </w:r>
            <w:r>
              <w:t>)</w:t>
            </w:r>
            <w:r w:rsidRPr="00CE108D">
              <w:rPr>
                <w:vertAlign w:val="superscript"/>
              </w:rPr>
              <w:t>1</w:t>
            </w:r>
          </w:p>
        </w:tc>
        <w:tc>
          <w:tcPr>
            <w:tcW w:w="2657" w:type="pct"/>
            <w:shd w:val="clear" w:color="auto" w:fill="F2F2F2" w:themeFill="background1" w:themeFillShade="F2"/>
            <w:hideMark/>
          </w:tcPr>
          <w:p w:rsidR="00C324F3" w:rsidRPr="00A45B4B" w:rsidRDefault="00C324F3" w:rsidP="00C324F3">
            <w:pPr>
              <w:pStyle w:val="ListParagraph"/>
              <w:numPr>
                <w:ilvl w:val="0"/>
                <w:numId w:val="318"/>
              </w:numPr>
              <w:rPr>
                <w:szCs w:val="18"/>
              </w:rPr>
            </w:pPr>
            <w:r w:rsidRPr="00360862">
              <w:rPr>
                <w:szCs w:val="18"/>
                <w:u w:val="single"/>
              </w:rPr>
              <w:t>Efficacy</w:t>
            </w:r>
            <w:r w:rsidRPr="00360862">
              <w:rPr>
                <w:szCs w:val="18"/>
              </w:rPr>
              <w:t xml:space="preserve">: </w:t>
            </w:r>
            <w:r w:rsidRPr="00A45B4B">
              <w:rPr>
                <w:szCs w:val="18"/>
              </w:rPr>
              <w:t>Not statistically significant</w:t>
            </w:r>
            <w:r>
              <w:rPr>
                <w:szCs w:val="18"/>
              </w:rPr>
              <w:t xml:space="preserve"> based on RR. </w:t>
            </w:r>
          </w:p>
          <w:p w:rsidR="00C324F3" w:rsidRPr="00A45B4B" w:rsidRDefault="00C324F3" w:rsidP="00C324F3">
            <w:pPr>
              <w:pStyle w:val="ListParagraph"/>
              <w:numPr>
                <w:ilvl w:val="0"/>
                <w:numId w:val="318"/>
              </w:numPr>
              <w:rPr>
                <w:szCs w:val="18"/>
              </w:rPr>
            </w:pPr>
            <w:r w:rsidRPr="00360862">
              <w:rPr>
                <w:szCs w:val="18"/>
                <w:u w:val="single"/>
              </w:rPr>
              <w:t>Safety:</w:t>
            </w:r>
            <w:r w:rsidRPr="00360862">
              <w:rPr>
                <w:szCs w:val="18"/>
              </w:rPr>
              <w:t xml:space="preserve"> </w:t>
            </w:r>
            <w:r w:rsidRPr="00A45B4B">
              <w:rPr>
                <w:szCs w:val="18"/>
              </w:rPr>
              <w:t>Safety outcomes were not assessed by the study</w:t>
            </w:r>
            <w:r>
              <w:rPr>
                <w:szCs w:val="18"/>
              </w:rPr>
              <w:t>.</w:t>
            </w:r>
          </w:p>
        </w:tc>
      </w:tr>
    </w:tbl>
    <w:p w:rsidR="00C324F3" w:rsidRDefault="00C324F3" w:rsidP="00C324F3">
      <w:pPr>
        <w:pStyle w:val="TableFooter"/>
        <w:keepNext/>
      </w:pPr>
      <w:r>
        <w:t>Abbreviations: NRT = nicotine replacement therapy; RR = risk ratio.</w:t>
      </w:r>
    </w:p>
    <w:p w:rsidR="00C324F3" w:rsidRDefault="00C324F3" w:rsidP="00C324F3">
      <w:pPr>
        <w:pStyle w:val="TableFooter"/>
        <w:keepNext/>
      </w:pPr>
      <w:r w:rsidRPr="00BE36E8">
        <w:t xml:space="preserve">Notes: </w:t>
      </w:r>
    </w:p>
    <w:p w:rsidR="00C324F3" w:rsidRPr="00AB6DA0" w:rsidRDefault="00C324F3" w:rsidP="00C324F3">
      <w:pPr>
        <w:pStyle w:val="TableFooter"/>
        <w:keepNext/>
      </w:pPr>
      <w:r>
        <w:t xml:space="preserve">1 </w:t>
      </w:r>
      <w:r w:rsidRPr="00BE36E8">
        <w:t>Cochrane Review</w:t>
      </w:r>
      <w:r>
        <w:t>.</w:t>
      </w:r>
    </w:p>
    <w:p w:rsidR="00C324F3" w:rsidRDefault="00C324F3" w:rsidP="00C324F3">
      <w:pPr>
        <w:pStyle w:val="Heading3"/>
      </w:pPr>
      <w:bookmarkStart w:id="34" w:name="_Toc69976542"/>
      <w:bookmarkStart w:id="35" w:name="_Toc72850850"/>
      <w:bookmarkStart w:id="36" w:name="_Toc73525615"/>
      <w:r>
        <w:t>Behavioural interventions in combination with pharmacotherapies</w:t>
      </w:r>
      <w:bookmarkEnd w:id="34"/>
      <w:bookmarkEnd w:id="35"/>
      <w:bookmarkEnd w:id="36"/>
    </w:p>
    <w:p w:rsidR="00C324F3" w:rsidRDefault="00C324F3" w:rsidP="00C324F3">
      <w:pPr>
        <w:rPr>
          <w:rFonts w:eastAsiaTheme="minorEastAsia"/>
          <w:b/>
          <w:i/>
          <w:sz w:val="28"/>
          <w:szCs w:val="28"/>
        </w:rPr>
      </w:pPr>
      <w:r w:rsidRPr="00F54DA7">
        <w:rPr>
          <w:rFonts w:eastAsiaTheme="minorEastAsia"/>
          <w:b/>
          <w:i/>
          <w:sz w:val="28"/>
          <w:szCs w:val="28"/>
        </w:rPr>
        <w:t>Examine the importance of comprehensive support and counselling in combination with pharmacotherapies</w:t>
      </w:r>
    </w:p>
    <w:p w:rsidR="00C324F3" w:rsidRDefault="00C324F3" w:rsidP="00C324F3">
      <w:pPr>
        <w:pStyle w:val="ListParagraph"/>
        <w:numPr>
          <w:ilvl w:val="0"/>
          <w:numId w:val="284"/>
        </w:numPr>
      </w:pPr>
      <w:r w:rsidRPr="002A7DCF">
        <w:t xml:space="preserve">The evidence presented from six </w:t>
      </w:r>
      <w:r>
        <w:t>identified</w:t>
      </w:r>
      <w:r w:rsidRPr="002A7DCF">
        <w:t xml:space="preserve"> Cochrane Reviews comparing the efficacy of </w:t>
      </w:r>
      <w:r>
        <w:t xml:space="preserve">specific </w:t>
      </w:r>
      <w:r w:rsidRPr="002A7DCF">
        <w:t>behavioural support with minimal or no behavioural interventions (both in combination with pharmacotherapies) w</w:t>
      </w:r>
      <w:r>
        <w:t>as</w:t>
      </w:r>
      <w:r w:rsidRPr="002A7DCF">
        <w:t xml:space="preserve"> inconclusive</w:t>
      </w:r>
      <w:r>
        <w:t>. T</w:t>
      </w:r>
      <w:r w:rsidRPr="002A7DCF">
        <w:t xml:space="preserve">he type of behavioural interventions </w:t>
      </w:r>
      <w:r>
        <w:t>examined were different for each</w:t>
      </w:r>
      <w:r w:rsidRPr="002A7DCF">
        <w:t xml:space="preserve"> review. </w:t>
      </w:r>
    </w:p>
    <w:p w:rsidR="00C324F3" w:rsidRDefault="00C324F3" w:rsidP="00C324F3">
      <w:pPr>
        <w:pStyle w:val="ListParagraph"/>
        <w:numPr>
          <w:ilvl w:val="0"/>
          <w:numId w:val="284"/>
        </w:numPr>
      </w:pPr>
      <w:r w:rsidRPr="005E3E2E">
        <w:t xml:space="preserve">The results of smoking cessation rates from three Cochrane Reviews (Lancaster 2017, Carson-Chahhoud 2019, and Matkin 2019) were statistically significantly different, in favour of behavioural intervention when used in combination with pharmacotherapies. </w:t>
      </w:r>
      <w:r w:rsidRPr="00017CAF">
        <w:t xml:space="preserve">The behavioural interventions </w:t>
      </w:r>
      <w:r>
        <w:t xml:space="preserve">examined </w:t>
      </w:r>
      <w:r w:rsidRPr="00017CAF">
        <w:t>were proactive telephone counselling, more intensive face-to-face behavioural interventions delivered by community pharmacy personnel, and individual face-to-face counselling by a trained smoking cessation counsellor</w:t>
      </w:r>
      <w:r>
        <w:t xml:space="preserve">. </w:t>
      </w:r>
      <w:r w:rsidRPr="0074717F">
        <w:t>The primary evidence previously considered by the PBAC for bup</w:t>
      </w:r>
      <w:r>
        <w:t>ropion</w:t>
      </w:r>
      <w:r w:rsidRPr="0074717F">
        <w:t>, var</w:t>
      </w:r>
      <w:r>
        <w:t>enicline</w:t>
      </w:r>
      <w:r w:rsidRPr="0074717F">
        <w:t>, and NRT patches included the provision of individual counselling sessions in addition to pharmacotherapy</w:t>
      </w:r>
      <w:r>
        <w:t>.</w:t>
      </w:r>
    </w:p>
    <w:p w:rsidR="00C324F3" w:rsidRDefault="00C324F3" w:rsidP="00C324F3">
      <w:pPr>
        <w:pStyle w:val="ListParagraph"/>
        <w:numPr>
          <w:ilvl w:val="0"/>
          <w:numId w:val="284"/>
        </w:numPr>
      </w:pPr>
      <w:r w:rsidRPr="005E3E2E">
        <w:t xml:space="preserve">In contrast, two of the Cochrane Reviews (Stead 2017, Livingstone-Banks 2019b) </w:t>
      </w:r>
      <w:r w:rsidRPr="00D85AB2">
        <w:t>that examined group therapy and print-based self-help materials respectively</w:t>
      </w:r>
      <w:r>
        <w:t xml:space="preserve"> </w:t>
      </w:r>
      <w:r w:rsidRPr="005E3E2E">
        <w:t xml:space="preserve">demonstrated no statistically significant difference in smoking cessation rates between the two </w:t>
      </w:r>
      <w:r w:rsidRPr="005E3E2E">
        <w:lastRenderedPageBreak/>
        <w:t xml:space="preserve">treatment arms, noting that the results numerically favoured the behavioural intervention in combination with pharmacotherapy treatment arm. </w:t>
      </w:r>
    </w:p>
    <w:p w:rsidR="00C324F3" w:rsidRPr="003F01F5" w:rsidRDefault="00C324F3" w:rsidP="00C324F3">
      <w:pPr>
        <w:pStyle w:val="ListParagraph"/>
        <w:numPr>
          <w:ilvl w:val="0"/>
          <w:numId w:val="284"/>
        </w:numPr>
      </w:pPr>
      <w:r w:rsidRPr="005E3E2E">
        <w:t xml:space="preserve">In Hartmann-Boyce et al. (2019), </w:t>
      </w:r>
      <w:r>
        <w:t>comparing more intensive with less intensive behavioural therapy,</w:t>
      </w:r>
      <w:r w:rsidRPr="005E3E2E">
        <w:t xml:space="preserve"> a statistically significant improvement in smoking cessation rates was observed in patients receiving more intensive behavioural intervention when used in combination with NRT or bupropion. There were no statistically significant differences in smoking cessation rates between the more intensive and the less intensive arms when used in combination with varenicline or NRT plus bupropion</w:t>
      </w:r>
      <w:r>
        <w:t>, which</w:t>
      </w:r>
      <w:r w:rsidRPr="00382159">
        <w:t xml:space="preserve"> was likely due to the smaller number of studies leading to lower precision rather than a true difference in effect</w:t>
      </w:r>
      <w:r w:rsidRPr="005E3E2E">
        <w:t>. The results of the overall estimated pooled risk ratio irrespective of the type of pharmacotherapy (PBS-listed and non-PBS listed) were statistically significantly different, in favour of the more intensive behavioural intervention.</w:t>
      </w:r>
    </w:p>
    <w:p w:rsidR="00C324F3" w:rsidRDefault="00C324F3" w:rsidP="00C324F3">
      <w:pPr>
        <w:pStyle w:val="Heading3"/>
      </w:pPr>
      <w:bookmarkStart w:id="37" w:name="_Toc69976543"/>
      <w:bookmarkStart w:id="38" w:name="_Toc72850851"/>
      <w:bookmarkStart w:id="39" w:name="_Toc73525616"/>
      <w:r>
        <w:t>Use in populations with specific needs</w:t>
      </w:r>
      <w:bookmarkEnd w:id="37"/>
      <w:bookmarkEnd w:id="38"/>
      <w:bookmarkEnd w:id="39"/>
    </w:p>
    <w:p w:rsidR="00C324F3" w:rsidRPr="0067591A" w:rsidRDefault="00C324F3" w:rsidP="00C324F3">
      <w:r>
        <w:t xml:space="preserve">The evidence reviewed focused on populations in which the clinical guideline recommendations differed from the general population. Term of Reference 1 presents the review of clinical guidelines and includes Aboriginal and Torres Strait Islander people and incarcerated persons amongst other populations, however the guidelines did not recommend any differential use of smoking cessation therapies or indicate any differential effect of these therapies in any populations other than pregnancy and adolescents. This analysis excluded </w:t>
      </w:r>
      <w:r w:rsidRPr="004061C9">
        <w:t>prescribing contraindications</w:t>
      </w:r>
      <w:r>
        <w:t xml:space="preserve"> and </w:t>
      </w:r>
      <w:r w:rsidRPr="004773C9">
        <w:t>precautions,</w:t>
      </w:r>
      <w:r w:rsidRPr="004061C9">
        <w:t xml:space="preserve"> </w:t>
      </w:r>
      <w:r>
        <w:t>as they</w:t>
      </w:r>
      <w:r w:rsidRPr="004061C9">
        <w:t xml:space="preserve"> are not typically handled via a PBS restriction</w:t>
      </w:r>
      <w:r>
        <w:t>.</w:t>
      </w:r>
    </w:p>
    <w:p w:rsidR="00C324F3" w:rsidRPr="00893E06" w:rsidRDefault="00C324F3" w:rsidP="00C324F3">
      <w:pPr>
        <w:rPr>
          <w:rFonts w:eastAsiaTheme="minorEastAsia"/>
          <w:b/>
          <w:i/>
          <w:szCs w:val="24"/>
        </w:rPr>
      </w:pPr>
      <w:r w:rsidRPr="00893E06">
        <w:rPr>
          <w:rFonts w:eastAsiaTheme="minorEastAsia"/>
          <w:b/>
          <w:i/>
          <w:sz w:val="28"/>
          <w:szCs w:val="28"/>
        </w:rPr>
        <w:t xml:space="preserve">Examine the evidence of efficacy and safety of smoking cessation medicines </w:t>
      </w:r>
      <w:r>
        <w:rPr>
          <w:rFonts w:eastAsiaTheme="minorEastAsia"/>
          <w:b/>
          <w:i/>
          <w:sz w:val="28"/>
          <w:szCs w:val="28"/>
        </w:rPr>
        <w:t xml:space="preserve">during pregnancy and </w:t>
      </w:r>
      <w:r w:rsidRPr="00893E06">
        <w:rPr>
          <w:rFonts w:eastAsiaTheme="minorEastAsia"/>
          <w:b/>
          <w:i/>
          <w:sz w:val="28"/>
          <w:szCs w:val="28"/>
        </w:rPr>
        <w:t xml:space="preserve">for </w:t>
      </w:r>
      <w:r>
        <w:rPr>
          <w:rFonts w:eastAsiaTheme="minorEastAsia"/>
          <w:b/>
          <w:i/>
          <w:sz w:val="28"/>
          <w:szCs w:val="28"/>
        </w:rPr>
        <w:t>adolescents.</w:t>
      </w:r>
    </w:p>
    <w:p w:rsidR="00C324F3" w:rsidRPr="00B23AF3" w:rsidRDefault="00C324F3" w:rsidP="00C324F3">
      <w:pPr>
        <w:rPr>
          <w:b/>
          <w:bCs/>
        </w:rPr>
      </w:pPr>
      <w:r w:rsidRPr="00B23AF3">
        <w:rPr>
          <w:b/>
          <w:bCs/>
        </w:rPr>
        <w:t>Pregnancy and lactation</w:t>
      </w:r>
    </w:p>
    <w:p w:rsidR="00C324F3" w:rsidRDefault="00C324F3" w:rsidP="00C324F3">
      <w:pPr>
        <w:pStyle w:val="ListParagraph"/>
        <w:numPr>
          <w:ilvl w:val="0"/>
          <w:numId w:val="285"/>
        </w:numPr>
      </w:pPr>
      <w:r w:rsidRPr="005E3E2E">
        <w:t xml:space="preserve">NRT was shown </w:t>
      </w:r>
      <w:r>
        <w:t>to be superior to</w:t>
      </w:r>
      <w:r w:rsidRPr="005E3E2E">
        <w:t xml:space="preserve"> placebo/control</w:t>
      </w:r>
      <w:r>
        <w:t xml:space="preserve"> in terms of efficacy based on </w:t>
      </w:r>
      <w:r w:rsidRPr="007C0434">
        <w:t>self-reported abstinence from smoking at the latest time point in pregnancy</w:t>
      </w:r>
      <w:r>
        <w:t xml:space="preserve"> (biochemically validated where available)</w:t>
      </w:r>
      <w:r w:rsidRPr="005E3E2E">
        <w:t>, noting the results were statistically significant in the long-acting NRT subgroup but not the fast-acting NRT subgroup. In terms of safety, there were no statistically significant differences in rates of preterm births, neonatal intensive care unit admissions, neonatal deaths, congenital abnormalities, caesarean birth, mean birthweight and risk of miscarriage/spontaneous abortion between the two treatment arms.</w:t>
      </w:r>
    </w:p>
    <w:p w:rsidR="003C4A1C" w:rsidRDefault="00C324F3" w:rsidP="00C324F3">
      <w:pPr>
        <w:pStyle w:val="ListParagraph"/>
        <w:numPr>
          <w:ilvl w:val="0"/>
          <w:numId w:val="285"/>
        </w:numPr>
      </w:pPr>
      <w:r>
        <w:t>There were no statistically significant differences between b</w:t>
      </w:r>
      <w:r w:rsidRPr="005E3E2E">
        <w:t xml:space="preserve">upropion </w:t>
      </w:r>
      <w:r>
        <w:t>and placebo in terms of efficacy</w:t>
      </w:r>
      <w:r w:rsidRPr="00161E40">
        <w:t xml:space="preserve"> </w:t>
      </w:r>
      <w:r>
        <w:t xml:space="preserve">based on </w:t>
      </w:r>
      <w:r w:rsidRPr="00161E40">
        <w:t>self-reported abstinence from smoking at the latest time point in pregnancy (biochemically validated where available)</w:t>
      </w:r>
      <w:r w:rsidRPr="005E3E2E">
        <w:t>, noting the relatively small sample size</w:t>
      </w:r>
      <w:r>
        <w:t xml:space="preserve"> of the individual studies</w:t>
      </w:r>
      <w:r w:rsidRPr="005E3E2E">
        <w:t>. It was noted that women across all studies reported known adverse effects of bupropion (i.e. vomiting, headache, difficulty sleeping).</w:t>
      </w:r>
    </w:p>
    <w:p w:rsidR="00C324F3" w:rsidRDefault="003C4A1C" w:rsidP="003C4A1C">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526"/>
        <w:gridCol w:w="1978"/>
        <w:gridCol w:w="5512"/>
      </w:tblGrid>
      <w:tr w:rsidR="00C324F3" w:rsidRPr="00916516" w:rsidTr="00777459">
        <w:trPr>
          <w:trHeight w:val="67"/>
        </w:trPr>
        <w:tc>
          <w:tcPr>
            <w:tcW w:w="846" w:type="pct"/>
            <w:shd w:val="clear" w:color="auto" w:fill="F2F2F2" w:themeFill="background1" w:themeFillShade="F2"/>
            <w:hideMark/>
          </w:tcPr>
          <w:p w:rsidR="00C324F3" w:rsidRPr="00916516" w:rsidRDefault="00C324F3" w:rsidP="00777459">
            <w:pPr>
              <w:rPr>
                <w:szCs w:val="18"/>
              </w:rPr>
            </w:pPr>
            <w:r w:rsidRPr="00916516">
              <w:rPr>
                <w:b/>
                <w:bCs/>
                <w:szCs w:val="18"/>
              </w:rPr>
              <w:lastRenderedPageBreak/>
              <w:t>Compar</w:t>
            </w:r>
            <w:r>
              <w:rPr>
                <w:b/>
                <w:bCs/>
                <w:szCs w:val="18"/>
              </w:rPr>
              <w:t>ison</w:t>
            </w:r>
          </w:p>
        </w:tc>
        <w:tc>
          <w:tcPr>
            <w:tcW w:w="1097" w:type="pct"/>
            <w:shd w:val="clear" w:color="auto" w:fill="F2F2F2" w:themeFill="background1" w:themeFillShade="F2"/>
            <w:hideMark/>
          </w:tcPr>
          <w:p w:rsidR="00C324F3" w:rsidRPr="00916516" w:rsidRDefault="00C324F3" w:rsidP="00777459">
            <w:pPr>
              <w:jc w:val="center"/>
              <w:rPr>
                <w:szCs w:val="18"/>
              </w:rPr>
            </w:pPr>
            <w:r>
              <w:rPr>
                <w:b/>
                <w:bCs/>
                <w:szCs w:val="18"/>
              </w:rPr>
              <w:t>Included studies</w:t>
            </w:r>
          </w:p>
        </w:tc>
        <w:tc>
          <w:tcPr>
            <w:tcW w:w="3056" w:type="pct"/>
            <w:shd w:val="clear" w:color="auto" w:fill="F2F2F2" w:themeFill="background1" w:themeFillShade="F2"/>
            <w:hideMark/>
          </w:tcPr>
          <w:p w:rsidR="00C324F3" w:rsidRPr="00916516" w:rsidRDefault="00C324F3" w:rsidP="00777459">
            <w:pPr>
              <w:jc w:val="center"/>
              <w:rPr>
                <w:szCs w:val="18"/>
              </w:rPr>
            </w:pPr>
            <w:r>
              <w:rPr>
                <w:b/>
                <w:bCs/>
                <w:szCs w:val="18"/>
              </w:rPr>
              <w:t>Summary of evidence</w:t>
            </w:r>
          </w:p>
        </w:tc>
      </w:tr>
      <w:tr w:rsidR="00C324F3" w:rsidRPr="009068BC" w:rsidTr="00777459">
        <w:trPr>
          <w:trHeight w:val="345"/>
        </w:trPr>
        <w:tc>
          <w:tcPr>
            <w:tcW w:w="846" w:type="pct"/>
            <w:shd w:val="clear" w:color="auto" w:fill="F2F2F2" w:themeFill="background1" w:themeFillShade="F2"/>
            <w:hideMark/>
          </w:tcPr>
          <w:p w:rsidR="00C324F3" w:rsidRPr="00237D04" w:rsidRDefault="00C324F3" w:rsidP="00777459">
            <w:pPr>
              <w:tabs>
                <w:tab w:val="left" w:pos="1198"/>
              </w:tabs>
              <w:rPr>
                <w:szCs w:val="18"/>
              </w:rPr>
            </w:pPr>
            <w:r>
              <w:rPr>
                <w:szCs w:val="18"/>
              </w:rPr>
              <w:t>NRT vs placebo/control</w:t>
            </w:r>
          </w:p>
        </w:tc>
        <w:tc>
          <w:tcPr>
            <w:tcW w:w="1097" w:type="pct"/>
            <w:shd w:val="clear" w:color="auto" w:fill="F2F2F2" w:themeFill="background1" w:themeFillShade="F2"/>
            <w:hideMark/>
          </w:tcPr>
          <w:p w:rsidR="00C324F3" w:rsidRPr="00A5409B" w:rsidRDefault="00C324F3" w:rsidP="00C324F3">
            <w:pPr>
              <w:pStyle w:val="ListParagraph"/>
              <w:numPr>
                <w:ilvl w:val="0"/>
                <w:numId w:val="318"/>
              </w:numPr>
              <w:rPr>
                <w:szCs w:val="18"/>
              </w:rPr>
            </w:pPr>
            <w:r w:rsidRPr="00A5409B">
              <w:rPr>
                <w:szCs w:val="18"/>
              </w:rPr>
              <w:t>Claire (2020</w:t>
            </w:r>
            <w:r>
              <w:rPr>
                <w:szCs w:val="18"/>
              </w:rPr>
              <w:t>)</w:t>
            </w:r>
            <w:r>
              <w:rPr>
                <w:szCs w:val="18"/>
                <w:vertAlign w:val="superscript"/>
              </w:rPr>
              <w:t>1</w:t>
            </w:r>
          </w:p>
        </w:tc>
        <w:tc>
          <w:tcPr>
            <w:tcW w:w="3056" w:type="pct"/>
            <w:shd w:val="clear" w:color="auto" w:fill="F2F2F2" w:themeFill="background1" w:themeFillShade="F2"/>
            <w:hideMark/>
          </w:tcPr>
          <w:p w:rsidR="00C324F3" w:rsidRPr="00655AEE" w:rsidRDefault="00C324F3" w:rsidP="00C324F3">
            <w:pPr>
              <w:pStyle w:val="ListParagraph"/>
              <w:numPr>
                <w:ilvl w:val="0"/>
                <w:numId w:val="318"/>
              </w:numPr>
              <w:rPr>
                <w:szCs w:val="18"/>
              </w:rPr>
            </w:pPr>
            <w:r w:rsidRPr="00360862">
              <w:rPr>
                <w:szCs w:val="18"/>
                <w:u w:val="single"/>
              </w:rPr>
              <w:t>Efficacy</w:t>
            </w:r>
            <w:r w:rsidRPr="00360862">
              <w:rPr>
                <w:szCs w:val="18"/>
              </w:rPr>
              <w:t xml:space="preserve">: </w:t>
            </w:r>
            <w:r w:rsidRPr="00655AEE">
              <w:rPr>
                <w:szCs w:val="18"/>
              </w:rPr>
              <w:t>Statistically significant</w:t>
            </w:r>
            <w:r>
              <w:rPr>
                <w:szCs w:val="18"/>
                <w:vertAlign w:val="superscript"/>
              </w:rPr>
              <w:t>2</w:t>
            </w:r>
            <w:r w:rsidRPr="00655AEE">
              <w:rPr>
                <w:szCs w:val="18"/>
                <w:vertAlign w:val="superscript"/>
              </w:rPr>
              <w:t>,</w:t>
            </w:r>
            <w:r>
              <w:rPr>
                <w:szCs w:val="18"/>
                <w:vertAlign w:val="superscript"/>
              </w:rPr>
              <w:t xml:space="preserve">3 </w:t>
            </w:r>
            <w:r>
              <w:rPr>
                <w:szCs w:val="18"/>
              </w:rPr>
              <w:t xml:space="preserve"> based on RR </w:t>
            </w:r>
            <w:r w:rsidRPr="00655AEE">
              <w:rPr>
                <w:szCs w:val="18"/>
              </w:rPr>
              <w:t>(in favour of NRT)</w:t>
            </w:r>
            <w:r>
              <w:rPr>
                <w:szCs w:val="18"/>
              </w:rPr>
              <w:t>.</w:t>
            </w:r>
          </w:p>
          <w:p w:rsidR="00C324F3" w:rsidRPr="00655AEE" w:rsidRDefault="00C324F3" w:rsidP="00C324F3">
            <w:pPr>
              <w:pStyle w:val="ListParagraph"/>
              <w:numPr>
                <w:ilvl w:val="0"/>
                <w:numId w:val="318"/>
              </w:numPr>
              <w:rPr>
                <w:szCs w:val="18"/>
              </w:rPr>
            </w:pPr>
            <w:r w:rsidRPr="00360862">
              <w:rPr>
                <w:szCs w:val="18"/>
                <w:u w:val="single"/>
              </w:rPr>
              <w:t>Safety:</w:t>
            </w:r>
            <w:r w:rsidRPr="00360862">
              <w:rPr>
                <w:szCs w:val="18"/>
              </w:rPr>
              <w:t xml:space="preserve"> </w:t>
            </w:r>
            <w:r w:rsidRPr="00655AEE">
              <w:rPr>
                <w:szCs w:val="18"/>
              </w:rPr>
              <w:t>Not statistically significant</w:t>
            </w:r>
            <w:r>
              <w:rPr>
                <w:szCs w:val="18"/>
              </w:rPr>
              <w:t xml:space="preserve"> based on RR </w:t>
            </w:r>
            <w:r w:rsidRPr="00655AEE">
              <w:rPr>
                <w:szCs w:val="18"/>
              </w:rPr>
              <w:t>(</w:t>
            </w:r>
            <w:r w:rsidRPr="00655AEE">
              <w:rPr>
                <w:szCs w:val="18"/>
                <w:lang w:val="en-US"/>
              </w:rPr>
              <w:t>preterm births, neonatal intensive care unit admissions, neonatal deaths, congenital abnormalities, caesarean birth, mean birthweight, risk of miscarriage/spontaneous abortion</w:t>
            </w:r>
            <w:r w:rsidRPr="00655AEE">
              <w:rPr>
                <w:szCs w:val="18"/>
              </w:rPr>
              <w:t>).</w:t>
            </w:r>
          </w:p>
        </w:tc>
      </w:tr>
      <w:tr w:rsidR="00C324F3" w:rsidRPr="009068BC" w:rsidTr="00777459">
        <w:trPr>
          <w:trHeight w:val="345"/>
        </w:trPr>
        <w:tc>
          <w:tcPr>
            <w:tcW w:w="846" w:type="pct"/>
            <w:shd w:val="clear" w:color="auto" w:fill="F2F2F2" w:themeFill="background1" w:themeFillShade="F2"/>
          </w:tcPr>
          <w:p w:rsidR="00C324F3" w:rsidRPr="00237D04" w:rsidRDefault="00C324F3" w:rsidP="00777459">
            <w:pPr>
              <w:tabs>
                <w:tab w:val="left" w:pos="1198"/>
              </w:tabs>
              <w:rPr>
                <w:szCs w:val="18"/>
              </w:rPr>
            </w:pPr>
            <w:r>
              <w:rPr>
                <w:szCs w:val="18"/>
              </w:rPr>
              <w:t>Bupropion vs placebo</w:t>
            </w:r>
          </w:p>
        </w:tc>
        <w:tc>
          <w:tcPr>
            <w:tcW w:w="1097" w:type="pct"/>
            <w:shd w:val="clear" w:color="auto" w:fill="F2F2F2" w:themeFill="background1" w:themeFillShade="F2"/>
          </w:tcPr>
          <w:p w:rsidR="00C324F3" w:rsidRPr="004110FF" w:rsidRDefault="00C324F3" w:rsidP="00C324F3">
            <w:pPr>
              <w:pStyle w:val="ListParagraph"/>
              <w:numPr>
                <w:ilvl w:val="0"/>
                <w:numId w:val="318"/>
              </w:numPr>
            </w:pPr>
            <w:r w:rsidRPr="00A5409B">
              <w:rPr>
                <w:szCs w:val="18"/>
              </w:rPr>
              <w:t>Claire (2020</w:t>
            </w:r>
            <w:r>
              <w:rPr>
                <w:szCs w:val="18"/>
              </w:rPr>
              <w:t>)</w:t>
            </w:r>
            <w:r>
              <w:rPr>
                <w:szCs w:val="18"/>
                <w:vertAlign w:val="superscript"/>
              </w:rPr>
              <w:t>1</w:t>
            </w:r>
          </w:p>
        </w:tc>
        <w:tc>
          <w:tcPr>
            <w:tcW w:w="3056" w:type="pct"/>
            <w:shd w:val="clear" w:color="auto" w:fill="F2F2F2" w:themeFill="background1" w:themeFillShade="F2"/>
          </w:tcPr>
          <w:p w:rsidR="00C324F3" w:rsidRPr="00655AEE" w:rsidRDefault="00C324F3" w:rsidP="00C324F3">
            <w:pPr>
              <w:pStyle w:val="ListParagraph"/>
              <w:numPr>
                <w:ilvl w:val="0"/>
                <w:numId w:val="318"/>
              </w:numPr>
              <w:rPr>
                <w:szCs w:val="18"/>
              </w:rPr>
            </w:pPr>
            <w:r w:rsidRPr="00360862">
              <w:rPr>
                <w:szCs w:val="18"/>
                <w:u w:val="single"/>
              </w:rPr>
              <w:t>Efficacy</w:t>
            </w:r>
            <w:r w:rsidRPr="00360862">
              <w:rPr>
                <w:szCs w:val="18"/>
              </w:rPr>
              <w:t xml:space="preserve">: </w:t>
            </w:r>
            <w:r w:rsidRPr="00655AEE">
              <w:rPr>
                <w:szCs w:val="18"/>
              </w:rPr>
              <w:t>Not statistically significant</w:t>
            </w:r>
            <w:r>
              <w:rPr>
                <w:szCs w:val="18"/>
                <w:vertAlign w:val="superscript"/>
              </w:rPr>
              <w:t>3</w:t>
            </w:r>
            <w:r>
              <w:rPr>
                <w:szCs w:val="18"/>
              </w:rPr>
              <w:t xml:space="preserve"> based on RR.</w:t>
            </w:r>
          </w:p>
          <w:p w:rsidR="00C324F3" w:rsidRPr="00655AEE" w:rsidRDefault="00C324F3" w:rsidP="00C324F3">
            <w:pPr>
              <w:pStyle w:val="ListParagraph"/>
              <w:numPr>
                <w:ilvl w:val="0"/>
                <w:numId w:val="318"/>
              </w:numPr>
              <w:rPr>
                <w:szCs w:val="18"/>
              </w:rPr>
            </w:pPr>
            <w:r w:rsidRPr="00360862">
              <w:rPr>
                <w:szCs w:val="18"/>
                <w:u w:val="single"/>
              </w:rPr>
              <w:t>Safety:</w:t>
            </w:r>
            <w:r>
              <w:rPr>
                <w:szCs w:val="18"/>
                <w:u w:val="single"/>
              </w:rPr>
              <w:t xml:space="preserve"> </w:t>
            </w:r>
            <w:r w:rsidRPr="00655AEE">
              <w:rPr>
                <w:szCs w:val="18"/>
              </w:rPr>
              <w:t>Not statistically significant</w:t>
            </w:r>
            <w:r>
              <w:rPr>
                <w:szCs w:val="18"/>
              </w:rPr>
              <w:t xml:space="preserve"> </w:t>
            </w:r>
            <w:r w:rsidRPr="00655AEE">
              <w:rPr>
                <w:szCs w:val="18"/>
              </w:rPr>
              <w:t>(</w:t>
            </w:r>
            <w:r w:rsidRPr="00655AEE">
              <w:rPr>
                <w:szCs w:val="18"/>
                <w:lang w:val="en-US"/>
              </w:rPr>
              <w:t>mean birthweight, mean length of infants and systolic of diastolic blood pressure at the end of pregnancy</w:t>
            </w:r>
            <w:r w:rsidRPr="00655AEE">
              <w:rPr>
                <w:szCs w:val="18"/>
              </w:rPr>
              <w:t>)</w:t>
            </w:r>
            <w:r>
              <w:rPr>
                <w:szCs w:val="18"/>
                <w:vertAlign w:val="superscript"/>
              </w:rPr>
              <w:t>4</w:t>
            </w:r>
            <w:r w:rsidRPr="00655AEE">
              <w:rPr>
                <w:szCs w:val="18"/>
              </w:rPr>
              <w:t>.</w:t>
            </w:r>
          </w:p>
        </w:tc>
      </w:tr>
    </w:tbl>
    <w:p w:rsidR="00C324F3" w:rsidRDefault="00C324F3" w:rsidP="00C324F3">
      <w:pPr>
        <w:pStyle w:val="TableFooter"/>
        <w:keepNext/>
      </w:pPr>
      <w:r>
        <w:t>Abbreviations: NRT = nicotine replacement therapy; RR = risk ratio.</w:t>
      </w:r>
    </w:p>
    <w:p w:rsidR="00C324F3" w:rsidRDefault="00C324F3" w:rsidP="00C324F3">
      <w:pPr>
        <w:pStyle w:val="TableFooter"/>
        <w:keepNext/>
      </w:pPr>
      <w:r w:rsidRPr="00BE36E8">
        <w:t xml:space="preserve">Notes: </w:t>
      </w:r>
    </w:p>
    <w:p w:rsidR="00C324F3" w:rsidRDefault="00C324F3" w:rsidP="00C324F3">
      <w:pPr>
        <w:pStyle w:val="TableFooter"/>
        <w:keepNext/>
      </w:pPr>
      <w:r>
        <w:t xml:space="preserve">1 </w:t>
      </w:r>
      <w:r w:rsidRPr="00BE36E8">
        <w:t>Cochrane Review</w:t>
      </w:r>
      <w:r>
        <w:t>.</w:t>
      </w:r>
    </w:p>
    <w:p w:rsidR="00C324F3" w:rsidRPr="00655AEE" w:rsidRDefault="00C324F3" w:rsidP="00C324F3">
      <w:pPr>
        <w:pStyle w:val="TableFooter"/>
        <w:keepNext/>
      </w:pPr>
      <w:r>
        <w:t xml:space="preserve">2 </w:t>
      </w:r>
      <w:r w:rsidRPr="00655AEE">
        <w:t>Statistically significant in overall pooled analysis (RR = 1.37, 95%CI: 1.08, 1.74). Statistically significant in the long-acting NRT subgroup (RR = 1.53, 95%CI: 1.16, 2.01) but not the fast-acting NRT subgroup (RR = 0.91, 95%CI: 0.55, 1.51).</w:t>
      </w:r>
    </w:p>
    <w:p w:rsidR="00C324F3" w:rsidRPr="000E4C3B" w:rsidRDefault="00C324F3" w:rsidP="00C324F3">
      <w:pPr>
        <w:pStyle w:val="TableFooter"/>
        <w:keepNext/>
      </w:pPr>
      <w:r>
        <w:t xml:space="preserve">3 </w:t>
      </w:r>
      <w:r w:rsidRPr="00655AEE">
        <w:t>Based on self-reported abstinence from smoking at the latest time point in pregnancy (biochemically validated where available).</w:t>
      </w:r>
    </w:p>
    <w:p w:rsidR="00C324F3" w:rsidRPr="000E4C3B" w:rsidRDefault="00C324F3" w:rsidP="00C324F3">
      <w:pPr>
        <w:pStyle w:val="TableFooter"/>
        <w:keepNext/>
      </w:pPr>
      <w:r>
        <w:t>4 Qualitative synthesis.</w:t>
      </w:r>
    </w:p>
    <w:p w:rsidR="00C324F3" w:rsidRPr="00B23AF3" w:rsidRDefault="00C324F3" w:rsidP="00C324F3">
      <w:pPr>
        <w:rPr>
          <w:b/>
          <w:bCs/>
        </w:rPr>
      </w:pPr>
      <w:r w:rsidRPr="00B23AF3">
        <w:rPr>
          <w:b/>
          <w:bCs/>
        </w:rPr>
        <w:t>Adolescents</w:t>
      </w:r>
    </w:p>
    <w:p w:rsidR="00C324F3" w:rsidRDefault="00C324F3" w:rsidP="00C324F3">
      <w:pPr>
        <w:pStyle w:val="ListParagraph"/>
        <w:numPr>
          <w:ilvl w:val="0"/>
          <w:numId w:val="286"/>
        </w:numPr>
      </w:pPr>
      <w:r>
        <w:t>S</w:t>
      </w:r>
      <w:r w:rsidRPr="00996101">
        <w:t xml:space="preserve">tudies which assessed the use of pharmacotherapy for smoking cessation in adolescents </w:t>
      </w:r>
      <w:r>
        <w:t>may be</w:t>
      </w:r>
      <w:r w:rsidRPr="00996101">
        <w:t xml:space="preserve"> underpowered given the small number of individuals in both the intervention </w:t>
      </w:r>
      <w:r>
        <w:t>and</w:t>
      </w:r>
      <w:r w:rsidRPr="00996101">
        <w:t xml:space="preserve"> control groups who achieved smoking cessation at any point during follow-up. As such, the results from these studies should be interpreted with caution.</w:t>
      </w:r>
    </w:p>
    <w:p w:rsidR="00C324F3" w:rsidRDefault="00C324F3" w:rsidP="00C324F3">
      <w:pPr>
        <w:pStyle w:val="ListParagraph"/>
        <w:numPr>
          <w:ilvl w:val="0"/>
          <w:numId w:val="286"/>
        </w:numPr>
      </w:pPr>
      <w:r>
        <w:t xml:space="preserve">There were no statistically significant differences between </w:t>
      </w:r>
      <w:r w:rsidRPr="0054787D">
        <w:t xml:space="preserve">NRT </w:t>
      </w:r>
      <w:r>
        <w:t>(either as patch, gum or nasal spray)</w:t>
      </w:r>
      <w:r w:rsidRPr="0054787D">
        <w:t xml:space="preserve"> </w:t>
      </w:r>
      <w:r>
        <w:t>and</w:t>
      </w:r>
      <w:r w:rsidRPr="0054787D">
        <w:t xml:space="preserve"> placebo in terms of ef</w:t>
      </w:r>
      <w:r>
        <w:t>f</w:t>
      </w:r>
      <w:r w:rsidRPr="0054787D">
        <w:t>icacy</w:t>
      </w:r>
      <w:r>
        <w:t xml:space="preserve"> based on smoking cessation rates (short-term and long-term)</w:t>
      </w:r>
      <w:r w:rsidRPr="0054787D">
        <w:t xml:space="preserve">. </w:t>
      </w:r>
      <w:r>
        <w:t>For</w:t>
      </w:r>
      <w:r w:rsidRPr="0054787D">
        <w:t xml:space="preserve"> safety, the studies reported a</w:t>
      </w:r>
      <w:r>
        <w:t xml:space="preserve"> significa</w:t>
      </w:r>
      <w:r w:rsidRPr="0054787D">
        <w:t>n</w:t>
      </w:r>
      <w:r>
        <w:t>tly</w:t>
      </w:r>
      <w:r w:rsidRPr="0054787D">
        <w:t xml:space="preserve"> </w:t>
      </w:r>
      <w:r>
        <w:t xml:space="preserve">higher </w:t>
      </w:r>
      <w:r w:rsidRPr="0054787D">
        <w:t>inc</w:t>
      </w:r>
      <w:r>
        <w:t>idence</w:t>
      </w:r>
      <w:r w:rsidRPr="0054787D">
        <w:t xml:space="preserve"> </w:t>
      </w:r>
      <w:r>
        <w:t>of</w:t>
      </w:r>
      <w:r w:rsidRPr="0054787D">
        <w:t xml:space="preserve"> adverse events in the NRT arm compared to placebo arm, specifically sore throat, hiccups, erythema, pruritus</w:t>
      </w:r>
      <w:r>
        <w:t>,</w:t>
      </w:r>
      <w:r w:rsidRPr="0054787D">
        <w:t xml:space="preserve"> </w:t>
      </w:r>
      <w:r w:rsidRPr="008B7D58">
        <w:t xml:space="preserve">shoulder/arm pain, headache, cough, abnormal dreams </w:t>
      </w:r>
      <w:r w:rsidRPr="0054787D">
        <w:t>and muscle pain.</w:t>
      </w:r>
    </w:p>
    <w:p w:rsidR="00C324F3" w:rsidRDefault="00C324F3" w:rsidP="00C324F3">
      <w:pPr>
        <w:pStyle w:val="ListParagraph"/>
        <w:numPr>
          <w:ilvl w:val="0"/>
          <w:numId w:val="286"/>
        </w:numPr>
      </w:pPr>
      <w:r>
        <w:t>There were no statistically significant differences between b</w:t>
      </w:r>
      <w:r w:rsidRPr="0054787D">
        <w:t xml:space="preserve">upropion </w:t>
      </w:r>
      <w:r>
        <w:t>and</w:t>
      </w:r>
      <w:r w:rsidRPr="0054787D">
        <w:t xml:space="preserve"> placebo in terms of </w:t>
      </w:r>
      <w:r>
        <w:t xml:space="preserve">long-term </w:t>
      </w:r>
      <w:r w:rsidRPr="0054787D">
        <w:t>efficacy</w:t>
      </w:r>
      <w:r w:rsidRPr="00414FAB">
        <w:t xml:space="preserve"> based on the one study</w:t>
      </w:r>
      <w:r>
        <w:t xml:space="preserve"> </w:t>
      </w:r>
      <w:r w:rsidRPr="00414FAB">
        <w:t xml:space="preserve">identified by Fanshawe et al. (2017). However, bupropion was shown to significantly improve smoking cessation rates compared with placebo based on the meta-analysis conducted by Myung et al. (2019), noting that the two additional studies included in the meta-analysis measured smoking cessation outcomes at </w:t>
      </w:r>
      <w:r>
        <w:t>three</w:t>
      </w:r>
      <w:r w:rsidRPr="00414FAB">
        <w:t xml:space="preserve"> months, had a relatively small sample size and wide confidence intervals</w:t>
      </w:r>
      <w:r>
        <w:t xml:space="preserve">. </w:t>
      </w:r>
      <w:r w:rsidRPr="0054787D">
        <w:t>For safety, the</w:t>
      </w:r>
      <w:r>
        <w:t>re were no significant differences between</w:t>
      </w:r>
      <w:r w:rsidRPr="0054787D">
        <w:t xml:space="preserve"> bupropion </w:t>
      </w:r>
      <w:r>
        <w:t>and placebo (i.e. headache, irritability, insomnia),</w:t>
      </w:r>
      <w:r w:rsidRPr="0054787D">
        <w:t xml:space="preserve"> </w:t>
      </w:r>
      <w:r>
        <w:t xml:space="preserve">except for </w:t>
      </w:r>
      <w:r w:rsidRPr="0054787D">
        <w:t>dream disturbances</w:t>
      </w:r>
      <w:r>
        <w:t xml:space="preserve"> which was significantly higher in the bupropion arm</w:t>
      </w:r>
      <w:r w:rsidRPr="0054787D">
        <w:t>.</w:t>
      </w:r>
    </w:p>
    <w:p w:rsidR="003C4A1C" w:rsidRDefault="00C324F3" w:rsidP="00C324F3">
      <w:pPr>
        <w:pStyle w:val="ListParagraph"/>
        <w:numPr>
          <w:ilvl w:val="0"/>
          <w:numId w:val="286"/>
        </w:numPr>
      </w:pPr>
      <w:r>
        <w:t>There were no statistically significant differences between b</w:t>
      </w:r>
      <w:r w:rsidRPr="00996101">
        <w:t xml:space="preserve">upropion plus NRT patch </w:t>
      </w:r>
      <w:r>
        <w:t>and</w:t>
      </w:r>
      <w:r w:rsidRPr="00996101">
        <w:t xml:space="preserve"> placebo plus NRT patch in terms of efficacy</w:t>
      </w:r>
      <w:r>
        <w:t xml:space="preserve"> based on long-term smoking cessation rates</w:t>
      </w:r>
      <w:r w:rsidRPr="00996101">
        <w:t>. For safety, none of the 47 self-reported adverse events in the study (nausea being the most common) were classified as severe</w:t>
      </w:r>
      <w:r>
        <w:t>; no statistical comparison was conducted by the authors of the study</w:t>
      </w:r>
      <w:r w:rsidRPr="00996101">
        <w:t>.</w:t>
      </w:r>
    </w:p>
    <w:p w:rsidR="00C324F3" w:rsidRDefault="003C4A1C" w:rsidP="003C4A1C">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616"/>
        <w:gridCol w:w="2068"/>
        <w:gridCol w:w="5332"/>
      </w:tblGrid>
      <w:tr w:rsidR="00C324F3" w:rsidRPr="00916516" w:rsidTr="00777459">
        <w:trPr>
          <w:trHeight w:val="67"/>
        </w:trPr>
        <w:tc>
          <w:tcPr>
            <w:tcW w:w="896" w:type="pct"/>
            <w:shd w:val="clear" w:color="auto" w:fill="F2F2F2" w:themeFill="background1" w:themeFillShade="F2"/>
            <w:hideMark/>
          </w:tcPr>
          <w:p w:rsidR="00C324F3" w:rsidRPr="00916516" w:rsidRDefault="00C324F3" w:rsidP="00777459">
            <w:pPr>
              <w:shd w:val="clear" w:color="auto" w:fill="F2F2F2" w:themeFill="background1" w:themeFillShade="F2"/>
              <w:rPr>
                <w:szCs w:val="18"/>
              </w:rPr>
            </w:pPr>
            <w:r w:rsidRPr="00916516">
              <w:rPr>
                <w:b/>
                <w:bCs/>
                <w:szCs w:val="18"/>
              </w:rPr>
              <w:lastRenderedPageBreak/>
              <w:t>Compar</w:t>
            </w:r>
            <w:r>
              <w:rPr>
                <w:b/>
                <w:bCs/>
                <w:szCs w:val="18"/>
              </w:rPr>
              <w:t>ison</w:t>
            </w:r>
          </w:p>
        </w:tc>
        <w:tc>
          <w:tcPr>
            <w:tcW w:w="1147" w:type="pct"/>
            <w:shd w:val="clear" w:color="auto" w:fill="F2F2F2" w:themeFill="background1" w:themeFillShade="F2"/>
            <w:hideMark/>
          </w:tcPr>
          <w:p w:rsidR="00C324F3" w:rsidRPr="00916516" w:rsidRDefault="00C324F3" w:rsidP="00777459">
            <w:pPr>
              <w:shd w:val="clear" w:color="auto" w:fill="F2F2F2" w:themeFill="background1" w:themeFillShade="F2"/>
              <w:jc w:val="center"/>
              <w:rPr>
                <w:szCs w:val="18"/>
              </w:rPr>
            </w:pPr>
            <w:r>
              <w:rPr>
                <w:b/>
                <w:bCs/>
                <w:szCs w:val="18"/>
              </w:rPr>
              <w:t>Included studies</w:t>
            </w:r>
          </w:p>
        </w:tc>
        <w:tc>
          <w:tcPr>
            <w:tcW w:w="2956" w:type="pct"/>
            <w:shd w:val="clear" w:color="auto" w:fill="F2F2F2" w:themeFill="background1" w:themeFillShade="F2"/>
            <w:hideMark/>
          </w:tcPr>
          <w:p w:rsidR="00C324F3" w:rsidRPr="00916516" w:rsidRDefault="00C324F3" w:rsidP="00777459">
            <w:pPr>
              <w:shd w:val="clear" w:color="auto" w:fill="F2F2F2" w:themeFill="background1" w:themeFillShade="F2"/>
              <w:jc w:val="center"/>
              <w:rPr>
                <w:szCs w:val="18"/>
              </w:rPr>
            </w:pPr>
            <w:r>
              <w:rPr>
                <w:b/>
                <w:bCs/>
                <w:szCs w:val="18"/>
              </w:rPr>
              <w:t>Summary of evidence</w:t>
            </w:r>
          </w:p>
        </w:tc>
      </w:tr>
      <w:tr w:rsidR="00C324F3" w:rsidRPr="009068BC" w:rsidTr="00777459">
        <w:trPr>
          <w:trHeight w:val="345"/>
        </w:trPr>
        <w:tc>
          <w:tcPr>
            <w:tcW w:w="896" w:type="pct"/>
            <w:shd w:val="clear" w:color="auto" w:fill="F2F2F2" w:themeFill="background1" w:themeFillShade="F2"/>
            <w:hideMark/>
          </w:tcPr>
          <w:p w:rsidR="00C324F3" w:rsidRPr="00237D04" w:rsidRDefault="00C324F3" w:rsidP="00777459">
            <w:pPr>
              <w:shd w:val="clear" w:color="auto" w:fill="F2F2F2" w:themeFill="background1" w:themeFillShade="F2"/>
              <w:tabs>
                <w:tab w:val="left" w:pos="1198"/>
              </w:tabs>
              <w:rPr>
                <w:szCs w:val="18"/>
              </w:rPr>
            </w:pPr>
            <w:r>
              <w:rPr>
                <w:szCs w:val="18"/>
              </w:rPr>
              <w:t>NRT</w:t>
            </w:r>
            <w:r w:rsidRPr="0008458D">
              <w:rPr>
                <w:szCs w:val="18"/>
                <w:vertAlign w:val="superscript"/>
              </w:rPr>
              <w:t>1</w:t>
            </w:r>
            <w:r>
              <w:rPr>
                <w:szCs w:val="18"/>
              </w:rPr>
              <w:t xml:space="preserve"> vs placebo</w:t>
            </w:r>
          </w:p>
        </w:tc>
        <w:tc>
          <w:tcPr>
            <w:tcW w:w="1147" w:type="pct"/>
            <w:shd w:val="clear" w:color="auto" w:fill="F2F2F2" w:themeFill="background1" w:themeFillShade="F2"/>
            <w:hideMark/>
          </w:tcPr>
          <w:p w:rsidR="00C324F3" w:rsidRPr="006B31D6" w:rsidRDefault="00C324F3" w:rsidP="00C324F3">
            <w:pPr>
              <w:pStyle w:val="ListParagraph"/>
              <w:numPr>
                <w:ilvl w:val="0"/>
                <w:numId w:val="318"/>
              </w:numPr>
              <w:shd w:val="clear" w:color="auto" w:fill="F2F2F2" w:themeFill="background1" w:themeFillShade="F2"/>
              <w:rPr>
                <w:szCs w:val="18"/>
              </w:rPr>
            </w:pPr>
            <w:r w:rsidRPr="0008458D">
              <w:rPr>
                <w:szCs w:val="18"/>
              </w:rPr>
              <w:t>Fanshawe (2017)</w:t>
            </w:r>
            <w:r>
              <w:rPr>
                <w:szCs w:val="18"/>
                <w:vertAlign w:val="superscript"/>
              </w:rPr>
              <w:t>2</w:t>
            </w:r>
          </w:p>
          <w:p w:rsidR="00C324F3" w:rsidRDefault="00C324F3" w:rsidP="00C324F3">
            <w:pPr>
              <w:pStyle w:val="ListParagraph"/>
              <w:numPr>
                <w:ilvl w:val="0"/>
                <w:numId w:val="318"/>
              </w:numPr>
              <w:shd w:val="clear" w:color="auto" w:fill="F2F2F2" w:themeFill="background1" w:themeFillShade="F2"/>
              <w:rPr>
                <w:szCs w:val="18"/>
              </w:rPr>
            </w:pPr>
            <w:r w:rsidRPr="006B31D6">
              <w:rPr>
                <w:szCs w:val="18"/>
              </w:rPr>
              <w:t>Myung (2019)</w:t>
            </w:r>
            <w:r>
              <w:rPr>
                <w:szCs w:val="18"/>
                <w:vertAlign w:val="superscript"/>
              </w:rPr>
              <w:t>3</w:t>
            </w:r>
          </w:p>
          <w:p w:rsidR="00C324F3" w:rsidRPr="006B31D6" w:rsidRDefault="00C324F3" w:rsidP="00C324F3">
            <w:pPr>
              <w:pStyle w:val="ListParagraph"/>
              <w:numPr>
                <w:ilvl w:val="0"/>
                <w:numId w:val="318"/>
              </w:numPr>
              <w:shd w:val="clear" w:color="auto" w:fill="F2F2F2" w:themeFill="background1" w:themeFillShade="F2"/>
              <w:rPr>
                <w:szCs w:val="18"/>
              </w:rPr>
            </w:pPr>
            <w:r w:rsidRPr="006B31D6">
              <w:rPr>
                <w:szCs w:val="18"/>
              </w:rPr>
              <w:t>Selph (2020)</w:t>
            </w:r>
            <w:r>
              <w:rPr>
                <w:szCs w:val="18"/>
                <w:vertAlign w:val="superscript"/>
              </w:rPr>
              <w:t>3</w:t>
            </w:r>
          </w:p>
        </w:tc>
        <w:tc>
          <w:tcPr>
            <w:tcW w:w="2956" w:type="pct"/>
            <w:shd w:val="clear" w:color="auto" w:fill="F2F2F2" w:themeFill="background1" w:themeFillShade="F2"/>
            <w:hideMark/>
          </w:tcPr>
          <w:p w:rsidR="00C324F3" w:rsidRPr="001213A4" w:rsidRDefault="00C324F3" w:rsidP="00C324F3">
            <w:pPr>
              <w:pStyle w:val="ListParagraph"/>
              <w:numPr>
                <w:ilvl w:val="0"/>
                <w:numId w:val="318"/>
              </w:numPr>
              <w:shd w:val="clear" w:color="auto" w:fill="F2F2F2" w:themeFill="background1" w:themeFillShade="F2"/>
              <w:rPr>
                <w:szCs w:val="18"/>
              </w:rPr>
            </w:pPr>
            <w:r w:rsidRPr="00360862">
              <w:rPr>
                <w:szCs w:val="18"/>
                <w:u w:val="single"/>
              </w:rPr>
              <w:t>Efficacy</w:t>
            </w:r>
            <w:r w:rsidRPr="00360862">
              <w:rPr>
                <w:szCs w:val="18"/>
              </w:rPr>
              <w:t xml:space="preserve">: </w:t>
            </w:r>
            <w:r w:rsidRPr="001213A4">
              <w:rPr>
                <w:szCs w:val="18"/>
              </w:rPr>
              <w:t>Not statistically significant</w:t>
            </w:r>
            <w:r>
              <w:rPr>
                <w:szCs w:val="18"/>
                <w:vertAlign w:val="superscript"/>
              </w:rPr>
              <w:t>4</w:t>
            </w:r>
            <w:r>
              <w:rPr>
                <w:szCs w:val="18"/>
              </w:rPr>
              <w:t xml:space="preserve"> based on RR. </w:t>
            </w:r>
          </w:p>
          <w:p w:rsidR="00C324F3" w:rsidRPr="001213A4" w:rsidRDefault="00C324F3" w:rsidP="00C324F3">
            <w:pPr>
              <w:pStyle w:val="ListParagraph"/>
              <w:numPr>
                <w:ilvl w:val="0"/>
                <w:numId w:val="318"/>
              </w:numPr>
              <w:shd w:val="clear" w:color="auto" w:fill="F2F2F2" w:themeFill="background1" w:themeFillShade="F2"/>
              <w:rPr>
                <w:szCs w:val="18"/>
              </w:rPr>
            </w:pPr>
            <w:r w:rsidRPr="00360862">
              <w:rPr>
                <w:szCs w:val="18"/>
                <w:u w:val="single"/>
              </w:rPr>
              <w:t>Safety:</w:t>
            </w:r>
            <w:r w:rsidRPr="00360862">
              <w:rPr>
                <w:szCs w:val="18"/>
              </w:rPr>
              <w:t xml:space="preserve"> </w:t>
            </w:r>
            <w:r w:rsidRPr="001213A4">
              <w:rPr>
                <w:szCs w:val="18"/>
              </w:rPr>
              <w:t>Statistically significant</w:t>
            </w:r>
            <w:r>
              <w:rPr>
                <w:szCs w:val="18"/>
              </w:rPr>
              <w:t xml:space="preserve"> </w:t>
            </w:r>
            <w:r w:rsidRPr="001213A4">
              <w:rPr>
                <w:szCs w:val="18"/>
              </w:rPr>
              <w:t>(</w:t>
            </w:r>
            <w:r w:rsidRPr="001213A4">
              <w:rPr>
                <w:szCs w:val="18"/>
                <w:lang w:val="en-US"/>
              </w:rPr>
              <w:t>sore th</w:t>
            </w:r>
            <w:r>
              <w:rPr>
                <w:szCs w:val="18"/>
                <w:lang w:val="en-US"/>
              </w:rPr>
              <w:t>roat, hiccups, erythema, pruritu</w:t>
            </w:r>
            <w:r w:rsidRPr="001213A4">
              <w:rPr>
                <w:szCs w:val="18"/>
                <w:lang w:val="en-US"/>
              </w:rPr>
              <w:t>s, shoulder/arm pain, headache, cough, abnormal dreams and muscle pain; higher in NRT</w:t>
            </w:r>
            <w:r w:rsidRPr="001213A4">
              <w:rPr>
                <w:szCs w:val="18"/>
              </w:rPr>
              <w:t>)</w:t>
            </w:r>
            <w:r>
              <w:rPr>
                <w:szCs w:val="18"/>
                <w:vertAlign w:val="superscript"/>
              </w:rPr>
              <w:t>5</w:t>
            </w:r>
            <w:r>
              <w:rPr>
                <w:szCs w:val="18"/>
              </w:rPr>
              <w:t>.</w:t>
            </w:r>
          </w:p>
        </w:tc>
      </w:tr>
      <w:tr w:rsidR="00C324F3" w:rsidRPr="009068BC" w:rsidTr="00777459">
        <w:trPr>
          <w:trHeight w:val="345"/>
        </w:trPr>
        <w:tc>
          <w:tcPr>
            <w:tcW w:w="896" w:type="pct"/>
            <w:shd w:val="clear" w:color="auto" w:fill="F2F2F2" w:themeFill="background1" w:themeFillShade="F2"/>
          </w:tcPr>
          <w:p w:rsidR="00C324F3" w:rsidRPr="00237D04" w:rsidRDefault="00C324F3" w:rsidP="00777459">
            <w:pPr>
              <w:shd w:val="clear" w:color="auto" w:fill="F2F2F2" w:themeFill="background1" w:themeFillShade="F2"/>
              <w:tabs>
                <w:tab w:val="left" w:pos="1198"/>
              </w:tabs>
              <w:rPr>
                <w:szCs w:val="18"/>
              </w:rPr>
            </w:pPr>
            <w:r>
              <w:rPr>
                <w:szCs w:val="18"/>
              </w:rPr>
              <w:t>Bupropion vs placebo</w:t>
            </w:r>
          </w:p>
        </w:tc>
        <w:tc>
          <w:tcPr>
            <w:tcW w:w="1147" w:type="pct"/>
            <w:shd w:val="clear" w:color="auto" w:fill="F2F2F2" w:themeFill="background1" w:themeFillShade="F2"/>
          </w:tcPr>
          <w:p w:rsidR="00C324F3" w:rsidRPr="00253376" w:rsidRDefault="00C324F3" w:rsidP="00C324F3">
            <w:pPr>
              <w:pStyle w:val="ListParagraph"/>
              <w:numPr>
                <w:ilvl w:val="0"/>
                <w:numId w:val="318"/>
              </w:numPr>
              <w:shd w:val="clear" w:color="auto" w:fill="F2F2F2" w:themeFill="background1" w:themeFillShade="F2"/>
              <w:rPr>
                <w:szCs w:val="18"/>
              </w:rPr>
            </w:pPr>
            <w:r w:rsidRPr="0008458D">
              <w:rPr>
                <w:szCs w:val="18"/>
              </w:rPr>
              <w:t>Fanshawe (2017)</w:t>
            </w:r>
            <w:r>
              <w:rPr>
                <w:szCs w:val="18"/>
                <w:vertAlign w:val="superscript"/>
              </w:rPr>
              <w:t>2</w:t>
            </w:r>
          </w:p>
          <w:p w:rsidR="00C324F3" w:rsidRDefault="00C324F3" w:rsidP="00C324F3">
            <w:pPr>
              <w:pStyle w:val="ListParagraph"/>
              <w:numPr>
                <w:ilvl w:val="0"/>
                <w:numId w:val="318"/>
              </w:numPr>
              <w:shd w:val="clear" w:color="auto" w:fill="F2F2F2" w:themeFill="background1" w:themeFillShade="F2"/>
              <w:rPr>
                <w:szCs w:val="18"/>
              </w:rPr>
            </w:pPr>
            <w:r w:rsidRPr="006B31D6">
              <w:rPr>
                <w:szCs w:val="18"/>
              </w:rPr>
              <w:t>Myung (2019)</w:t>
            </w:r>
            <w:r>
              <w:rPr>
                <w:szCs w:val="18"/>
                <w:vertAlign w:val="superscript"/>
              </w:rPr>
              <w:t>3</w:t>
            </w:r>
          </w:p>
          <w:p w:rsidR="00C324F3" w:rsidRPr="00614418" w:rsidRDefault="00C324F3" w:rsidP="00C324F3">
            <w:pPr>
              <w:pStyle w:val="ListParagraph"/>
              <w:numPr>
                <w:ilvl w:val="0"/>
                <w:numId w:val="318"/>
              </w:numPr>
              <w:shd w:val="clear" w:color="auto" w:fill="F2F2F2" w:themeFill="background1" w:themeFillShade="F2"/>
              <w:rPr>
                <w:szCs w:val="18"/>
              </w:rPr>
            </w:pPr>
            <w:r w:rsidRPr="006B31D6">
              <w:rPr>
                <w:szCs w:val="18"/>
              </w:rPr>
              <w:t>Selph (2020)</w:t>
            </w:r>
            <w:r>
              <w:rPr>
                <w:szCs w:val="18"/>
                <w:vertAlign w:val="superscript"/>
              </w:rPr>
              <w:t>3</w:t>
            </w:r>
          </w:p>
        </w:tc>
        <w:tc>
          <w:tcPr>
            <w:tcW w:w="2956" w:type="pct"/>
            <w:shd w:val="clear" w:color="auto" w:fill="F2F2F2" w:themeFill="background1" w:themeFillShade="F2"/>
          </w:tcPr>
          <w:p w:rsidR="00C324F3" w:rsidRPr="001213A4" w:rsidRDefault="00C324F3" w:rsidP="00C324F3">
            <w:pPr>
              <w:pStyle w:val="ListParagraph"/>
              <w:numPr>
                <w:ilvl w:val="0"/>
                <w:numId w:val="318"/>
              </w:numPr>
              <w:shd w:val="clear" w:color="auto" w:fill="F2F2F2" w:themeFill="background1" w:themeFillShade="F2"/>
              <w:rPr>
                <w:szCs w:val="18"/>
              </w:rPr>
            </w:pPr>
            <w:r w:rsidRPr="00360862">
              <w:rPr>
                <w:szCs w:val="18"/>
                <w:u w:val="single"/>
              </w:rPr>
              <w:t>Efficacy</w:t>
            </w:r>
            <w:r w:rsidRPr="00360862">
              <w:rPr>
                <w:szCs w:val="18"/>
              </w:rPr>
              <w:t xml:space="preserve">: </w:t>
            </w:r>
            <w:r w:rsidRPr="001213A4">
              <w:rPr>
                <w:szCs w:val="18"/>
              </w:rPr>
              <w:t>Not statistically significant</w:t>
            </w:r>
            <w:r>
              <w:rPr>
                <w:szCs w:val="18"/>
                <w:vertAlign w:val="superscript"/>
              </w:rPr>
              <w:t>6</w:t>
            </w:r>
            <w:r>
              <w:rPr>
                <w:szCs w:val="18"/>
              </w:rPr>
              <w:t xml:space="preserve"> based on RR. </w:t>
            </w:r>
          </w:p>
          <w:p w:rsidR="00C324F3" w:rsidRPr="001213A4" w:rsidRDefault="00C324F3" w:rsidP="00C324F3">
            <w:pPr>
              <w:pStyle w:val="ListParagraph"/>
              <w:numPr>
                <w:ilvl w:val="0"/>
                <w:numId w:val="318"/>
              </w:numPr>
              <w:shd w:val="clear" w:color="auto" w:fill="F2F2F2" w:themeFill="background1" w:themeFillShade="F2"/>
              <w:rPr>
                <w:szCs w:val="18"/>
              </w:rPr>
            </w:pPr>
            <w:r w:rsidRPr="00A867C4">
              <w:rPr>
                <w:szCs w:val="18"/>
                <w:u w:val="single"/>
              </w:rPr>
              <w:t>Safety:</w:t>
            </w:r>
            <w:r w:rsidRPr="002A2981">
              <w:rPr>
                <w:szCs w:val="18"/>
              </w:rPr>
              <w:t xml:space="preserve"> </w:t>
            </w:r>
            <w:r w:rsidRPr="00382159">
              <w:rPr>
                <w:szCs w:val="18"/>
              </w:rPr>
              <w:t xml:space="preserve">Statistically significant </w:t>
            </w:r>
            <w:r w:rsidRPr="00A867C4">
              <w:rPr>
                <w:szCs w:val="18"/>
              </w:rPr>
              <w:t>(</w:t>
            </w:r>
            <w:r w:rsidRPr="002A2981">
              <w:rPr>
                <w:szCs w:val="18"/>
                <w:lang w:val="en-US"/>
              </w:rPr>
              <w:t xml:space="preserve">dream </w:t>
            </w:r>
            <w:r w:rsidRPr="00382159">
              <w:rPr>
                <w:szCs w:val="18"/>
                <w:lang w:val="en-US"/>
              </w:rPr>
              <w:t>disturbances; higher in bupropion);</w:t>
            </w:r>
            <w:r>
              <w:rPr>
                <w:szCs w:val="18"/>
              </w:rPr>
              <w:t xml:space="preserve"> </w:t>
            </w:r>
            <w:r w:rsidRPr="00A867C4">
              <w:rPr>
                <w:szCs w:val="18"/>
              </w:rPr>
              <w:t>Not statistically significant</w:t>
            </w:r>
            <w:r>
              <w:rPr>
                <w:szCs w:val="18"/>
              </w:rPr>
              <w:t xml:space="preserve"> </w:t>
            </w:r>
            <w:r w:rsidRPr="001213A4">
              <w:rPr>
                <w:szCs w:val="18"/>
              </w:rPr>
              <w:t>(headache, irritability, insomnia)</w:t>
            </w:r>
            <w:r>
              <w:rPr>
                <w:szCs w:val="18"/>
                <w:vertAlign w:val="superscript"/>
              </w:rPr>
              <w:t>5</w:t>
            </w:r>
            <w:r>
              <w:rPr>
                <w:szCs w:val="18"/>
              </w:rPr>
              <w:t>.</w:t>
            </w:r>
          </w:p>
        </w:tc>
      </w:tr>
      <w:tr w:rsidR="00C324F3" w:rsidRPr="009068BC" w:rsidTr="00777459">
        <w:trPr>
          <w:trHeight w:val="345"/>
        </w:trPr>
        <w:tc>
          <w:tcPr>
            <w:tcW w:w="896" w:type="pct"/>
            <w:shd w:val="clear" w:color="auto" w:fill="F2F2F2" w:themeFill="background1" w:themeFillShade="F2"/>
          </w:tcPr>
          <w:p w:rsidR="00C324F3" w:rsidRPr="00237D04" w:rsidRDefault="00C324F3" w:rsidP="00777459">
            <w:pPr>
              <w:shd w:val="clear" w:color="auto" w:fill="F2F2F2" w:themeFill="background1" w:themeFillShade="F2"/>
              <w:tabs>
                <w:tab w:val="left" w:pos="1198"/>
              </w:tabs>
              <w:rPr>
                <w:szCs w:val="18"/>
              </w:rPr>
            </w:pPr>
            <w:r>
              <w:rPr>
                <w:szCs w:val="18"/>
              </w:rPr>
              <w:t>Bupropion+ NRT patch vs placebo + NRT patch</w:t>
            </w:r>
          </w:p>
        </w:tc>
        <w:tc>
          <w:tcPr>
            <w:tcW w:w="1147" w:type="pct"/>
            <w:shd w:val="clear" w:color="auto" w:fill="F2F2F2" w:themeFill="background1" w:themeFillShade="F2"/>
          </w:tcPr>
          <w:p w:rsidR="00C324F3" w:rsidRPr="00614418" w:rsidRDefault="00C324F3" w:rsidP="00C324F3">
            <w:pPr>
              <w:pStyle w:val="ListParagraph"/>
              <w:numPr>
                <w:ilvl w:val="0"/>
                <w:numId w:val="318"/>
              </w:numPr>
              <w:shd w:val="clear" w:color="auto" w:fill="F2F2F2" w:themeFill="background1" w:themeFillShade="F2"/>
              <w:rPr>
                <w:szCs w:val="18"/>
              </w:rPr>
            </w:pPr>
            <w:r w:rsidRPr="0008458D">
              <w:rPr>
                <w:szCs w:val="18"/>
              </w:rPr>
              <w:t>Fanshawe (2017)</w:t>
            </w:r>
            <w:r>
              <w:rPr>
                <w:szCs w:val="18"/>
                <w:vertAlign w:val="superscript"/>
              </w:rPr>
              <w:t>2</w:t>
            </w:r>
          </w:p>
        </w:tc>
        <w:tc>
          <w:tcPr>
            <w:tcW w:w="2956" w:type="pct"/>
            <w:shd w:val="clear" w:color="auto" w:fill="F2F2F2" w:themeFill="background1" w:themeFillShade="F2"/>
          </w:tcPr>
          <w:p w:rsidR="00C324F3" w:rsidRPr="001213A4" w:rsidRDefault="00C324F3" w:rsidP="00C324F3">
            <w:pPr>
              <w:pStyle w:val="ListParagraph"/>
              <w:numPr>
                <w:ilvl w:val="0"/>
                <w:numId w:val="318"/>
              </w:numPr>
              <w:shd w:val="clear" w:color="auto" w:fill="F2F2F2" w:themeFill="background1" w:themeFillShade="F2"/>
              <w:rPr>
                <w:szCs w:val="18"/>
              </w:rPr>
            </w:pPr>
            <w:r w:rsidRPr="00360862">
              <w:rPr>
                <w:szCs w:val="18"/>
                <w:u w:val="single"/>
              </w:rPr>
              <w:t>Efficacy</w:t>
            </w:r>
            <w:r w:rsidRPr="00360862">
              <w:rPr>
                <w:szCs w:val="18"/>
              </w:rPr>
              <w:t xml:space="preserve">: </w:t>
            </w:r>
            <w:r w:rsidRPr="001213A4">
              <w:rPr>
                <w:szCs w:val="18"/>
              </w:rPr>
              <w:t>Not statistically significant</w:t>
            </w:r>
            <w:r>
              <w:rPr>
                <w:szCs w:val="18"/>
              </w:rPr>
              <w:t xml:space="preserve"> based on RR.</w:t>
            </w:r>
          </w:p>
          <w:p w:rsidR="00C324F3" w:rsidRPr="001213A4" w:rsidRDefault="00C324F3" w:rsidP="00C324F3">
            <w:pPr>
              <w:pStyle w:val="ListParagraph"/>
              <w:numPr>
                <w:ilvl w:val="0"/>
                <w:numId w:val="318"/>
              </w:numPr>
              <w:shd w:val="clear" w:color="auto" w:fill="F2F2F2" w:themeFill="background1" w:themeFillShade="F2"/>
              <w:rPr>
                <w:szCs w:val="18"/>
              </w:rPr>
            </w:pPr>
            <w:r w:rsidRPr="00360862">
              <w:rPr>
                <w:szCs w:val="18"/>
                <w:u w:val="single"/>
              </w:rPr>
              <w:t>Safety:</w:t>
            </w:r>
            <w:r w:rsidRPr="00360862">
              <w:rPr>
                <w:szCs w:val="18"/>
              </w:rPr>
              <w:t xml:space="preserve"> </w:t>
            </w:r>
            <w:r w:rsidRPr="001213A4">
              <w:rPr>
                <w:szCs w:val="18"/>
              </w:rPr>
              <w:t>No statistical comparison was conducted by the authors</w:t>
            </w:r>
            <w:r>
              <w:rPr>
                <w:szCs w:val="18"/>
              </w:rPr>
              <w:t xml:space="preserve">. </w:t>
            </w:r>
          </w:p>
        </w:tc>
      </w:tr>
    </w:tbl>
    <w:p w:rsidR="00C324F3" w:rsidRDefault="00C324F3" w:rsidP="00C324F3">
      <w:pPr>
        <w:pStyle w:val="TableFooter"/>
        <w:keepNext/>
      </w:pPr>
      <w:r>
        <w:t>Abbreviations: NRT = nicotine replacement therapy; RR = risk ratio.</w:t>
      </w:r>
    </w:p>
    <w:p w:rsidR="00C324F3" w:rsidRDefault="00C324F3" w:rsidP="00C324F3">
      <w:pPr>
        <w:pStyle w:val="TableFooter"/>
        <w:keepNext/>
      </w:pPr>
      <w:r w:rsidRPr="00BE36E8">
        <w:t xml:space="preserve">Notes: </w:t>
      </w:r>
    </w:p>
    <w:p w:rsidR="00C324F3" w:rsidRPr="00C85BD4" w:rsidRDefault="00C324F3" w:rsidP="00C324F3">
      <w:pPr>
        <w:pStyle w:val="TableFooter"/>
        <w:keepNext/>
      </w:pPr>
      <w:r>
        <w:t xml:space="preserve">1 </w:t>
      </w:r>
      <w:r w:rsidRPr="00C85BD4">
        <w:t>NRT administered either as patch, gum or nasal spray.</w:t>
      </w:r>
    </w:p>
    <w:p w:rsidR="00C324F3" w:rsidRDefault="00C324F3" w:rsidP="00C324F3">
      <w:pPr>
        <w:pStyle w:val="TableFooter"/>
        <w:keepNext/>
      </w:pPr>
      <w:r>
        <w:t xml:space="preserve">2 Cochrane Review. </w:t>
      </w:r>
    </w:p>
    <w:p w:rsidR="00C324F3" w:rsidRDefault="00C324F3" w:rsidP="00C324F3">
      <w:pPr>
        <w:pStyle w:val="TableFooter"/>
        <w:keepNext/>
      </w:pPr>
      <w:r>
        <w:t xml:space="preserve">3 Non-Cochrane systematic review. </w:t>
      </w:r>
    </w:p>
    <w:p w:rsidR="00C324F3" w:rsidRPr="00C85BD4" w:rsidRDefault="00C324F3" w:rsidP="00C324F3">
      <w:pPr>
        <w:pStyle w:val="TableFooter"/>
        <w:keepNext/>
      </w:pPr>
      <w:r>
        <w:t xml:space="preserve">4 </w:t>
      </w:r>
      <w:r w:rsidRPr="00C85BD4">
        <w:t xml:space="preserve">Based on short-term and long-term smoking cessation rates. </w:t>
      </w:r>
    </w:p>
    <w:p w:rsidR="00C324F3" w:rsidRDefault="00C324F3" w:rsidP="00C324F3">
      <w:pPr>
        <w:pStyle w:val="TableFooter"/>
        <w:keepNext/>
      </w:pPr>
      <w:r>
        <w:t>5 Qualitative synthesis.</w:t>
      </w:r>
    </w:p>
    <w:p w:rsidR="00C324F3" w:rsidRPr="004A0622" w:rsidRDefault="00C324F3" w:rsidP="00C324F3">
      <w:pPr>
        <w:pStyle w:val="TableFooter"/>
        <w:keepNext/>
      </w:pPr>
      <w:r>
        <w:t xml:space="preserve">6 </w:t>
      </w:r>
      <w:r w:rsidRPr="00C85BD4">
        <w:t>Based on long-term smoking cessation rates. In Myung et al. (2019), the results were statistically significant based on a meta-analysis which included two additional studies, noting these studies measured smoking cessation outcomes at three months, had a relatively small sample size and wide confidence intervals.</w:t>
      </w:r>
    </w:p>
    <w:p w:rsidR="00C324F3" w:rsidRPr="004960F6" w:rsidRDefault="00C324F3" w:rsidP="00C324F3">
      <w:pPr>
        <w:pStyle w:val="Heading3"/>
      </w:pPr>
      <w:bookmarkStart w:id="40" w:name="_Toc69976544"/>
      <w:bookmarkStart w:id="41" w:name="_Toc72850852"/>
      <w:bookmarkStart w:id="42" w:name="_Toc73525617"/>
      <w:r>
        <w:t>Stakeholder views (Forum and public consultations</w:t>
      </w:r>
      <w:r w:rsidRPr="000711C1">
        <w:t>)</w:t>
      </w:r>
      <w:bookmarkEnd w:id="40"/>
      <w:bookmarkEnd w:id="41"/>
      <w:bookmarkEnd w:id="42"/>
    </w:p>
    <w:p w:rsidR="00C324F3" w:rsidRDefault="00C324F3" w:rsidP="00C324F3">
      <w:r w:rsidRPr="00E06C2B">
        <w:t>Clinicians indicated that they rout</w:t>
      </w:r>
      <w:r>
        <w:t xml:space="preserve">inely prescribe combination NRT. </w:t>
      </w:r>
    </w:p>
    <w:p w:rsidR="00C324F3" w:rsidRPr="00E06C2B" w:rsidRDefault="00C324F3" w:rsidP="00C324F3">
      <w:r w:rsidRPr="00E06C2B">
        <w:t xml:space="preserve">Stakeholders considered that the effectiveness of PBS-listed smoking cessation medicines could be improved by allowing: </w:t>
      </w:r>
    </w:p>
    <w:p w:rsidR="00C324F3" w:rsidRPr="00E06C2B" w:rsidRDefault="00C324F3" w:rsidP="00C324F3">
      <w:pPr>
        <w:numPr>
          <w:ilvl w:val="0"/>
          <w:numId w:val="286"/>
        </w:numPr>
      </w:pPr>
      <w:r w:rsidRPr="00E06C2B">
        <w:t>Combination therapy</w:t>
      </w:r>
      <w:r>
        <w:t>;</w:t>
      </w:r>
      <w:r w:rsidRPr="00E06C2B">
        <w:t xml:space="preserve"> </w:t>
      </w:r>
    </w:p>
    <w:p w:rsidR="00C324F3" w:rsidRPr="00E06C2B" w:rsidRDefault="00C324F3" w:rsidP="00C324F3">
      <w:pPr>
        <w:numPr>
          <w:ilvl w:val="0"/>
          <w:numId w:val="286"/>
        </w:numPr>
      </w:pPr>
      <w:r w:rsidRPr="00E06C2B">
        <w:t>Longer durations of nicotine replacement therapy (NRT)</w:t>
      </w:r>
      <w:r>
        <w:t>;</w:t>
      </w:r>
    </w:p>
    <w:p w:rsidR="00C324F3" w:rsidRPr="00E06C2B" w:rsidRDefault="00C324F3" w:rsidP="00C324F3">
      <w:pPr>
        <w:numPr>
          <w:ilvl w:val="0"/>
          <w:numId w:val="286"/>
        </w:numPr>
      </w:pPr>
      <w:r w:rsidRPr="00E06C2B">
        <w:t>Multiple courses per year</w:t>
      </w:r>
      <w:r>
        <w:t>; and</w:t>
      </w:r>
    </w:p>
    <w:p w:rsidR="00C324F3" w:rsidRPr="00E06C2B" w:rsidRDefault="00C324F3" w:rsidP="00C324F3">
      <w:pPr>
        <w:numPr>
          <w:ilvl w:val="0"/>
          <w:numId w:val="286"/>
        </w:numPr>
      </w:pPr>
      <w:r w:rsidRPr="00E06C2B">
        <w:t>Higher doses (increased quantities) of NRT.</w:t>
      </w:r>
    </w:p>
    <w:p w:rsidR="00C324F3" w:rsidRPr="00E06C2B" w:rsidRDefault="00C324F3" w:rsidP="00C324F3">
      <w:r w:rsidRPr="00E06C2B">
        <w:t>Stakeholders also considered that Smoking cessation medicines combined with behavioural intervention is the most effective way to quit.</w:t>
      </w:r>
    </w:p>
    <w:p w:rsidR="00C324F3" w:rsidRPr="00E06C2B" w:rsidRDefault="00C324F3" w:rsidP="00C324F3">
      <w:r w:rsidRPr="00E06C2B">
        <w:t>Stakeholders identified common causes of treatment failures as:</w:t>
      </w:r>
    </w:p>
    <w:p w:rsidR="00C324F3" w:rsidRPr="00E06C2B" w:rsidRDefault="00C324F3" w:rsidP="00C324F3">
      <w:pPr>
        <w:numPr>
          <w:ilvl w:val="0"/>
          <w:numId w:val="286"/>
        </w:numPr>
      </w:pPr>
      <w:r w:rsidRPr="00E06C2B">
        <w:t>under dosing (dose and/or duration) of NRT</w:t>
      </w:r>
    </w:p>
    <w:p w:rsidR="00C324F3" w:rsidRPr="00E06C2B" w:rsidRDefault="00C324F3" w:rsidP="00C324F3">
      <w:pPr>
        <w:numPr>
          <w:ilvl w:val="0"/>
          <w:numId w:val="286"/>
        </w:numPr>
      </w:pPr>
      <w:r w:rsidRPr="00E06C2B">
        <w:t>insufficient management, follow-up and support</w:t>
      </w:r>
    </w:p>
    <w:p w:rsidR="00C324F3" w:rsidRPr="00E06C2B" w:rsidRDefault="00C324F3" w:rsidP="00C324F3">
      <w:pPr>
        <w:numPr>
          <w:ilvl w:val="0"/>
          <w:numId w:val="286"/>
        </w:numPr>
      </w:pPr>
      <w:r w:rsidRPr="00E06C2B">
        <w:t>access issues, especially for people in rural and remote areas</w:t>
      </w:r>
    </w:p>
    <w:p w:rsidR="00C324F3" w:rsidRPr="00E06C2B" w:rsidRDefault="00C324F3" w:rsidP="00C324F3">
      <w:r w:rsidRPr="00E06C2B">
        <w:t>Stakeholders noted several issues with study populations, including:</w:t>
      </w:r>
    </w:p>
    <w:p w:rsidR="00C324F3" w:rsidRPr="00E06C2B" w:rsidRDefault="00C324F3" w:rsidP="00C324F3">
      <w:pPr>
        <w:numPr>
          <w:ilvl w:val="0"/>
          <w:numId w:val="286"/>
        </w:numPr>
      </w:pPr>
      <w:r w:rsidRPr="00E06C2B">
        <w:t xml:space="preserve">Priority populations (such as people with mental illness and pregnant women) are usually excluded from studies, which may bias results in favour of the smoking cessation medicine. </w:t>
      </w:r>
    </w:p>
    <w:p w:rsidR="00C324F3" w:rsidRPr="00E06C2B" w:rsidRDefault="00C324F3" w:rsidP="00C324F3">
      <w:pPr>
        <w:numPr>
          <w:ilvl w:val="0"/>
          <w:numId w:val="286"/>
        </w:numPr>
      </w:pPr>
      <w:r w:rsidRPr="00E06C2B">
        <w:lastRenderedPageBreak/>
        <w:t xml:space="preserve">Study participants may not represent the broader community of smokers in terms of health literacy and willingness to engage in treatment, and the monitoring and follow-up built into the trial may serve as motivation. </w:t>
      </w:r>
    </w:p>
    <w:p w:rsidR="00C324F3" w:rsidRDefault="00C324F3" w:rsidP="00C324F3">
      <w:pPr>
        <w:numPr>
          <w:ilvl w:val="0"/>
          <w:numId w:val="286"/>
        </w:numPr>
      </w:pPr>
      <w:r w:rsidRPr="00E06C2B">
        <w:t>Health benefits are not usually a primary or secondary outcome that is measured in clinical studies, and studies focus on quit attempts.</w:t>
      </w:r>
    </w:p>
    <w:p w:rsidR="00C324F3" w:rsidRDefault="00C324F3" w:rsidP="00C324F3">
      <w:pPr>
        <w:numPr>
          <w:ilvl w:val="0"/>
          <w:numId w:val="286"/>
        </w:numPr>
      </w:pPr>
      <w:r w:rsidRPr="00E06C2B">
        <w:t xml:space="preserve">The time frame for </w:t>
      </w:r>
      <w:r>
        <w:t xml:space="preserve">study </w:t>
      </w:r>
      <w:r w:rsidRPr="00E06C2B">
        <w:t>follow-up does not allow long-term monitoring of abstinence or subsequent relapse treatment, and does not allow long-term health benefits (such as cardiovascular benefits) to be captured.</w:t>
      </w:r>
    </w:p>
    <w:p w:rsidR="00177E6E" w:rsidRPr="00DB1A93" w:rsidRDefault="00177E6E" w:rsidP="00F15242">
      <w:pPr>
        <w:rPr>
          <w:i/>
        </w:rPr>
      </w:pPr>
      <w:r w:rsidRPr="00DB1A93">
        <w:rPr>
          <w:i/>
        </w:rPr>
        <w:br w:type="page"/>
      </w:r>
    </w:p>
    <w:p w:rsidR="00672269" w:rsidRDefault="00021ACB" w:rsidP="00CB337B">
      <w:pPr>
        <w:pStyle w:val="Heading2"/>
        <w:jc w:val="both"/>
        <w:rPr>
          <w:rFonts w:asciiTheme="minorHAnsi" w:hAnsiTheme="minorHAnsi"/>
          <w:szCs w:val="32"/>
        </w:rPr>
      </w:pPr>
      <w:bookmarkStart w:id="43" w:name="_Toc72850853"/>
      <w:bookmarkStart w:id="44" w:name="_Toc73525618"/>
      <w:bookmarkEnd w:id="24"/>
      <w:r>
        <w:rPr>
          <w:rFonts w:asciiTheme="minorHAnsi" w:hAnsiTheme="minorHAnsi"/>
          <w:szCs w:val="32"/>
        </w:rPr>
        <w:lastRenderedPageBreak/>
        <w:t xml:space="preserve">Methodology and identification of relevant </w:t>
      </w:r>
      <w:r w:rsidR="00AE7D4B">
        <w:rPr>
          <w:rFonts w:asciiTheme="minorHAnsi" w:hAnsiTheme="minorHAnsi"/>
          <w:szCs w:val="32"/>
        </w:rPr>
        <w:t>studies</w:t>
      </w:r>
      <w:bookmarkEnd w:id="43"/>
      <w:bookmarkEnd w:id="44"/>
    </w:p>
    <w:p w:rsidR="00216527" w:rsidRDefault="00672269" w:rsidP="00CB337B">
      <w:pPr>
        <w:jc w:val="both"/>
      </w:pPr>
      <w:r>
        <w:t xml:space="preserve">This section outlines the methodology that underpinned the evidence review undertaken to address ToR3. </w:t>
      </w:r>
      <w:r w:rsidR="00600FD8">
        <w:t>N</w:t>
      </w:r>
      <w:r>
        <w:t xml:space="preserve">ewer studies that add to the existing evidence base are discussed in light of findings previously submitted to the PBAC, with consideration of whether the newer evidence </w:t>
      </w:r>
      <w:r w:rsidR="00B836E1">
        <w:t>aligns with evidence</w:t>
      </w:r>
      <w:r w:rsidR="00850E36">
        <w:t xml:space="preserve"> previously considered by the </w:t>
      </w:r>
      <w:r>
        <w:t>PBAC.</w:t>
      </w:r>
    </w:p>
    <w:p w:rsidR="000B3509" w:rsidRDefault="004A4666" w:rsidP="00CB337B">
      <w:pPr>
        <w:jc w:val="both"/>
      </w:pPr>
      <w:r>
        <w:t xml:space="preserve">The </w:t>
      </w:r>
      <w:r w:rsidR="00DC6B1C">
        <w:t>research questions</w:t>
      </w:r>
      <w:r w:rsidR="002E4A5F">
        <w:t xml:space="preserve"> for ToR3 and the corresponding sections</w:t>
      </w:r>
      <w:r w:rsidR="00DC6B1C">
        <w:t xml:space="preserve"> </w:t>
      </w:r>
      <w:r w:rsidR="002E4A5F">
        <w:t xml:space="preserve">are presented </w:t>
      </w:r>
      <w:r w:rsidR="000B3509">
        <w:t>in the following order:</w:t>
      </w:r>
    </w:p>
    <w:p w:rsidR="00EE5C31" w:rsidRDefault="000B3509" w:rsidP="00C324F3">
      <w:pPr>
        <w:pStyle w:val="ListParagraph"/>
        <w:numPr>
          <w:ilvl w:val="0"/>
          <w:numId w:val="4"/>
        </w:numPr>
        <w:jc w:val="both"/>
      </w:pPr>
      <w:r w:rsidRPr="00EE5C31">
        <w:rPr>
          <w:u w:val="single"/>
        </w:rPr>
        <w:t>Research Question 1</w:t>
      </w:r>
      <w:r>
        <w:t xml:space="preserve">: </w:t>
      </w:r>
      <w:r w:rsidRPr="000B3509">
        <w:t>Summarise the comparative efficacy and safety of all PBS-listed smoking cessation therapies as monotherapy and compare this to evidence already considered by PBAC for each smoking cessation therapy</w:t>
      </w:r>
      <w:r w:rsidR="00EE5C31">
        <w:t xml:space="preserve"> (Section </w:t>
      </w:r>
      <w:r w:rsidR="003C4A1C">
        <w:t>3.3.1</w:t>
      </w:r>
      <w:r w:rsidR="00EE5C31">
        <w:t>)</w:t>
      </w:r>
    </w:p>
    <w:p w:rsidR="004A4666" w:rsidRDefault="00EE5C31" w:rsidP="00C324F3">
      <w:pPr>
        <w:pStyle w:val="ListParagraph"/>
        <w:numPr>
          <w:ilvl w:val="0"/>
          <w:numId w:val="4"/>
        </w:numPr>
        <w:jc w:val="both"/>
      </w:pPr>
      <w:r w:rsidRPr="00EE5C31">
        <w:rPr>
          <w:u w:val="single"/>
        </w:rPr>
        <w:t>Research Question 2</w:t>
      </w:r>
      <w:r w:rsidRPr="00EE5C31">
        <w:t>: Summarise the comparative efficacy and safety of PBS-listed treatments when used as combination therapy</w:t>
      </w:r>
      <w:r>
        <w:t xml:space="preserve"> (Section </w:t>
      </w:r>
      <w:r w:rsidR="003C4A1C">
        <w:t>3.3.2</w:t>
      </w:r>
      <w:r>
        <w:t>)</w:t>
      </w:r>
    </w:p>
    <w:p w:rsidR="00EE5C31" w:rsidRDefault="00EE5C31" w:rsidP="00C324F3">
      <w:pPr>
        <w:pStyle w:val="ListParagraph"/>
        <w:numPr>
          <w:ilvl w:val="0"/>
          <w:numId w:val="4"/>
        </w:numPr>
        <w:jc w:val="both"/>
      </w:pPr>
      <w:r w:rsidRPr="00EE5C31">
        <w:rPr>
          <w:u w:val="single"/>
        </w:rPr>
        <w:t>Research Question 3</w:t>
      </w:r>
      <w:r w:rsidRPr="00EE5C31">
        <w:t>: Examine the efficacy and safety of NRT with respect to dose, dosage form</w:t>
      </w:r>
      <w:r w:rsidR="009E6D4E">
        <w:t xml:space="preserve"> and</w:t>
      </w:r>
      <w:r w:rsidRPr="00EE5C31">
        <w:t xml:space="preserve"> length of therapy </w:t>
      </w:r>
      <w:r w:rsidR="009E6D4E">
        <w:t xml:space="preserve">(Section </w:t>
      </w:r>
      <w:r w:rsidR="003C4A1C">
        <w:t>3.3.3</w:t>
      </w:r>
      <w:r w:rsidR="009E6D4E">
        <w:t>)</w:t>
      </w:r>
    </w:p>
    <w:p w:rsidR="00B51B89" w:rsidRDefault="00B51B89" w:rsidP="00C324F3">
      <w:pPr>
        <w:pStyle w:val="ListParagraph"/>
        <w:numPr>
          <w:ilvl w:val="0"/>
          <w:numId w:val="4"/>
        </w:numPr>
        <w:jc w:val="both"/>
      </w:pPr>
      <w:r w:rsidRPr="00B51B89">
        <w:rPr>
          <w:u w:val="single"/>
        </w:rPr>
        <w:t>Research Question 4:</w:t>
      </w:r>
      <w:r>
        <w:t xml:space="preserve"> </w:t>
      </w:r>
      <w:r w:rsidRPr="00B51B89">
        <w:t>Examine the importance of comprehensive support and counselling in combination with pharmacotherapies</w:t>
      </w:r>
      <w:r>
        <w:t xml:space="preserve"> (Section </w:t>
      </w:r>
      <w:r w:rsidR="003C4A1C">
        <w:t>3.3.4</w:t>
      </w:r>
      <w:r>
        <w:t>)</w:t>
      </w:r>
    </w:p>
    <w:p w:rsidR="00B51B89" w:rsidRPr="00F73F7C" w:rsidRDefault="00B51B89" w:rsidP="00C324F3">
      <w:pPr>
        <w:pStyle w:val="ListParagraph"/>
        <w:numPr>
          <w:ilvl w:val="0"/>
          <w:numId w:val="4"/>
        </w:numPr>
        <w:jc w:val="both"/>
      </w:pPr>
      <w:r>
        <w:rPr>
          <w:u w:val="single"/>
        </w:rPr>
        <w:t>Research Question 5:</w:t>
      </w:r>
      <w:r>
        <w:t xml:space="preserve"> </w:t>
      </w:r>
      <w:r w:rsidRPr="00B51B89">
        <w:t>Examine the evidence of efficacy and safety of smoking cessation medicines for adolescents and during pregnancy</w:t>
      </w:r>
      <w:r>
        <w:t xml:space="preserve"> (Section </w:t>
      </w:r>
      <w:r w:rsidR="003C4A1C">
        <w:t>3.3.5</w:t>
      </w:r>
      <w:r>
        <w:t>)</w:t>
      </w:r>
    </w:p>
    <w:p w:rsidR="000B5CDF" w:rsidRDefault="000B5CDF" w:rsidP="00CB337B">
      <w:pPr>
        <w:pStyle w:val="Heading3"/>
        <w:jc w:val="both"/>
      </w:pPr>
      <w:bookmarkStart w:id="45" w:name="_Toc72850854"/>
      <w:bookmarkStart w:id="46" w:name="_Toc73525619"/>
      <w:r w:rsidRPr="00B94368">
        <w:t>PICO</w:t>
      </w:r>
      <w:bookmarkEnd w:id="45"/>
      <w:bookmarkEnd w:id="46"/>
    </w:p>
    <w:p w:rsidR="000B5CDF" w:rsidRDefault="00300863" w:rsidP="00CB337B">
      <w:pPr>
        <w:jc w:val="both"/>
      </w:pPr>
      <w:r>
        <w:t xml:space="preserve">A summary of the PICO (population, intervention, comparator, </w:t>
      </w:r>
      <w:r w:rsidR="00777459">
        <w:t>and outcome</w:t>
      </w:r>
      <w:r>
        <w:t xml:space="preserve">) is presented in </w:t>
      </w:r>
      <w:r w:rsidR="003C4A1C">
        <w:t xml:space="preserve">Table </w:t>
      </w:r>
      <w:r w:rsidR="003C4A1C">
        <w:rPr>
          <w:noProof/>
        </w:rPr>
        <w:t>1</w:t>
      </w:r>
      <w:r>
        <w:t>.</w:t>
      </w:r>
    </w:p>
    <w:p w:rsidR="00300863" w:rsidRDefault="00300863" w:rsidP="00CB337B">
      <w:pPr>
        <w:pStyle w:val="Caption"/>
        <w:keepNext/>
        <w:jc w:val="both"/>
      </w:pPr>
      <w:bookmarkStart w:id="47" w:name="_Ref52886314"/>
      <w:r>
        <w:t xml:space="preserve">Table </w:t>
      </w:r>
      <w:r w:rsidR="003C4A1C">
        <w:rPr>
          <w:noProof/>
        </w:rPr>
        <w:t>1</w:t>
      </w:r>
      <w:bookmarkEnd w:id="47"/>
      <w:r>
        <w:t xml:space="preserve">: PICO </w:t>
      </w:r>
      <w:r w:rsidR="009903DD">
        <w:t>criteria</w:t>
      </w:r>
    </w:p>
    <w:tbl>
      <w:tblPr>
        <w:tblStyle w:val="TableGrid"/>
        <w:tblW w:w="4908" w:type="pct"/>
        <w:tblInd w:w="108" w:type="dxa"/>
        <w:tblLook w:val="04A0" w:firstRow="1" w:lastRow="0" w:firstColumn="1" w:lastColumn="0" w:noHBand="0" w:noVBand="1"/>
      </w:tblPr>
      <w:tblGrid>
        <w:gridCol w:w="1384"/>
        <w:gridCol w:w="7466"/>
      </w:tblGrid>
      <w:tr w:rsidR="000B5CDF" w:rsidTr="00300863">
        <w:tc>
          <w:tcPr>
            <w:tcW w:w="782" w:type="pct"/>
          </w:tcPr>
          <w:p w:rsidR="00300863" w:rsidRPr="00300863" w:rsidRDefault="000B5CDF" w:rsidP="00CB337B">
            <w:pPr>
              <w:pStyle w:val="Tablewriting"/>
              <w:jc w:val="both"/>
              <w:rPr>
                <w:b/>
                <w:bCs/>
              </w:rPr>
            </w:pPr>
            <w:r w:rsidRPr="00300863">
              <w:rPr>
                <w:b/>
                <w:bCs/>
              </w:rPr>
              <w:t>Population</w:t>
            </w:r>
          </w:p>
        </w:tc>
        <w:tc>
          <w:tcPr>
            <w:tcW w:w="4218" w:type="pct"/>
          </w:tcPr>
          <w:p w:rsidR="000B5CDF" w:rsidRDefault="000B5CDF" w:rsidP="00CB337B">
            <w:pPr>
              <w:pStyle w:val="Tablewriting"/>
              <w:jc w:val="both"/>
            </w:pPr>
            <w:r>
              <w:t>Smokers</w:t>
            </w:r>
          </w:p>
        </w:tc>
      </w:tr>
      <w:tr w:rsidR="000B5CDF" w:rsidTr="00300863">
        <w:tc>
          <w:tcPr>
            <w:tcW w:w="782" w:type="pct"/>
          </w:tcPr>
          <w:p w:rsidR="000B5CDF" w:rsidRPr="00300863" w:rsidRDefault="000B5CDF" w:rsidP="00CB337B">
            <w:pPr>
              <w:pStyle w:val="Tablewriting"/>
              <w:jc w:val="both"/>
              <w:rPr>
                <w:b/>
                <w:bCs/>
              </w:rPr>
            </w:pPr>
            <w:r w:rsidRPr="00300863">
              <w:rPr>
                <w:b/>
                <w:bCs/>
              </w:rPr>
              <w:t>Intervention</w:t>
            </w:r>
          </w:p>
        </w:tc>
        <w:tc>
          <w:tcPr>
            <w:tcW w:w="4218" w:type="pct"/>
          </w:tcPr>
          <w:p w:rsidR="000B5CDF" w:rsidRDefault="000B5CDF" w:rsidP="00CB337B">
            <w:pPr>
              <w:pStyle w:val="Tablewriting"/>
              <w:jc w:val="both"/>
            </w:pPr>
            <w:r>
              <w:t>PBS-listed therapies (v</w:t>
            </w:r>
            <w:r w:rsidRPr="00E03CB6">
              <w:t xml:space="preserve">arenicline, </w:t>
            </w:r>
            <w:r>
              <w:t>b</w:t>
            </w:r>
            <w:r w:rsidRPr="00E03CB6">
              <w:t xml:space="preserve">upropion, </w:t>
            </w:r>
            <w:r w:rsidR="00FB3A11">
              <w:t>NRT</w:t>
            </w:r>
            <w:r w:rsidRPr="00E03CB6">
              <w:t>)</w:t>
            </w:r>
            <w:r w:rsidR="003D0D17">
              <w:t>,</w:t>
            </w:r>
            <w:r w:rsidR="0096717E">
              <w:t xml:space="preserve"> administered either</w:t>
            </w:r>
            <w:r w:rsidRPr="00E03CB6">
              <w:t xml:space="preserve"> as monotherapy, combination therapy, or with </w:t>
            </w:r>
            <w:r w:rsidR="00C2106D">
              <w:t>concomitant</w:t>
            </w:r>
            <w:r w:rsidRPr="00E03CB6">
              <w:t xml:space="preserve"> behavioural therapy/counselling.</w:t>
            </w:r>
          </w:p>
        </w:tc>
      </w:tr>
      <w:tr w:rsidR="000B5CDF" w:rsidTr="00300863">
        <w:tc>
          <w:tcPr>
            <w:tcW w:w="782" w:type="pct"/>
          </w:tcPr>
          <w:p w:rsidR="000B5CDF" w:rsidRPr="00300863" w:rsidRDefault="000B5CDF" w:rsidP="00CB337B">
            <w:pPr>
              <w:pStyle w:val="Tablewriting"/>
              <w:jc w:val="both"/>
              <w:rPr>
                <w:b/>
                <w:bCs/>
              </w:rPr>
            </w:pPr>
            <w:r w:rsidRPr="00300863">
              <w:rPr>
                <w:b/>
                <w:bCs/>
              </w:rPr>
              <w:t>Comparator</w:t>
            </w:r>
          </w:p>
        </w:tc>
        <w:tc>
          <w:tcPr>
            <w:tcW w:w="4218" w:type="pct"/>
          </w:tcPr>
          <w:p w:rsidR="000B5CDF" w:rsidRPr="00300863" w:rsidRDefault="000B5CDF" w:rsidP="00CB337B">
            <w:pPr>
              <w:pStyle w:val="Tablewriting"/>
              <w:jc w:val="both"/>
            </w:pPr>
            <w:r w:rsidRPr="00300863">
              <w:rPr>
                <w:rStyle w:val="normaltextrun"/>
                <w:rFonts w:eastAsiaTheme="majorEastAsia"/>
              </w:rPr>
              <w:t>PBS-listed monotherapy (or placebo where appropriate), with or without behavioural therapy/counselling</w:t>
            </w:r>
            <w:r w:rsidR="003D0D17">
              <w:rPr>
                <w:rStyle w:val="normaltextrun"/>
                <w:rFonts w:eastAsiaTheme="majorEastAsia"/>
              </w:rPr>
              <w:t>.</w:t>
            </w:r>
            <w:r w:rsidRPr="00300863">
              <w:rPr>
                <w:rStyle w:val="eop"/>
              </w:rPr>
              <w:t> </w:t>
            </w:r>
          </w:p>
        </w:tc>
      </w:tr>
      <w:tr w:rsidR="000B5CDF" w:rsidTr="00300863">
        <w:tc>
          <w:tcPr>
            <w:tcW w:w="782" w:type="pct"/>
          </w:tcPr>
          <w:p w:rsidR="000B5CDF" w:rsidRPr="001D323F" w:rsidRDefault="000B5CDF" w:rsidP="00CB337B">
            <w:pPr>
              <w:pStyle w:val="Tablewriting"/>
              <w:jc w:val="both"/>
              <w:rPr>
                <w:b/>
                <w:vertAlign w:val="superscript"/>
              </w:rPr>
            </w:pPr>
            <w:r w:rsidRPr="00300863">
              <w:rPr>
                <w:b/>
                <w:bCs/>
              </w:rPr>
              <w:t>Outcomes</w:t>
            </w:r>
            <w:r w:rsidR="001D323F">
              <w:rPr>
                <w:b/>
                <w:bCs/>
                <w:vertAlign w:val="superscript"/>
              </w:rPr>
              <w:t>1</w:t>
            </w:r>
          </w:p>
        </w:tc>
        <w:tc>
          <w:tcPr>
            <w:tcW w:w="4218" w:type="pct"/>
          </w:tcPr>
          <w:p w:rsidR="000B5CDF" w:rsidRPr="000272A1" w:rsidRDefault="000B7309" w:rsidP="00CB337B">
            <w:pPr>
              <w:pStyle w:val="Tablewriting"/>
              <w:jc w:val="both"/>
              <w:rPr>
                <w:i/>
                <w:iCs/>
              </w:rPr>
            </w:pPr>
            <w:r w:rsidRPr="00116BEB">
              <w:rPr>
                <w:u w:val="single"/>
              </w:rPr>
              <w:t>Efficacy</w:t>
            </w:r>
            <w:r w:rsidR="000B5CDF">
              <w:t xml:space="preserve">: </w:t>
            </w:r>
            <w:r w:rsidR="000B5CDF" w:rsidRPr="00DC1F64">
              <w:t xml:space="preserve">smoking cessation defined as sustained or continuous abstinence </w:t>
            </w:r>
            <w:r w:rsidR="000B5CDF" w:rsidRPr="005170CC">
              <w:t xml:space="preserve">and/or the relevant point prevalence </w:t>
            </w:r>
            <w:r w:rsidR="00666DE4">
              <w:t xml:space="preserve">abstinence </w:t>
            </w:r>
            <w:r w:rsidR="000B5CDF" w:rsidRPr="005170CC">
              <w:t>as described by the authors.</w:t>
            </w:r>
            <w:r w:rsidR="000B5CDF" w:rsidRPr="00DC1F64">
              <w:rPr>
                <w:i/>
                <w:iCs/>
              </w:rPr>
              <w:t xml:space="preserve"> </w:t>
            </w:r>
          </w:p>
          <w:p w:rsidR="000B5CDF" w:rsidRDefault="000B5CDF" w:rsidP="00CB337B">
            <w:pPr>
              <w:pStyle w:val="Tablewriting"/>
              <w:jc w:val="both"/>
            </w:pPr>
            <w:r w:rsidRPr="00116BEB">
              <w:rPr>
                <w:u w:val="single"/>
              </w:rPr>
              <w:t>Safety</w:t>
            </w:r>
            <w:r>
              <w:t>: adverse events of interventions</w:t>
            </w:r>
            <w:r w:rsidR="00DD1D31">
              <w:t xml:space="preserve"> </w:t>
            </w:r>
            <w:r w:rsidR="00DD1D31" w:rsidRPr="00DD1D31">
              <w:t>including any adverse events, psychiatric adverse events, serious adverse events and dropouts due to adverse events</w:t>
            </w:r>
            <w:r w:rsidR="0083519B">
              <w:t>.</w:t>
            </w:r>
          </w:p>
        </w:tc>
      </w:tr>
    </w:tbl>
    <w:p w:rsidR="00FB3A11" w:rsidRDefault="00FB3A11" w:rsidP="00CB337B">
      <w:pPr>
        <w:pStyle w:val="TableFooter"/>
        <w:jc w:val="both"/>
      </w:pPr>
      <w:r>
        <w:t xml:space="preserve">Abbreviations: </w:t>
      </w:r>
      <w:r w:rsidR="00C178C9">
        <w:t>NRT = nicotine replacement therapy; PBS = Pharmaceutical Benefits Scheme</w:t>
      </w:r>
    </w:p>
    <w:p w:rsidR="00B22D1D" w:rsidRDefault="001D323F" w:rsidP="00CB337B">
      <w:pPr>
        <w:pStyle w:val="TableFooter"/>
        <w:jc w:val="both"/>
      </w:pPr>
      <w:r w:rsidRPr="00556465">
        <w:t>1</w:t>
      </w:r>
      <w:r>
        <w:t xml:space="preserve"> </w:t>
      </w:r>
      <w:r w:rsidR="00040E35">
        <w:t>A summary of key o</w:t>
      </w:r>
      <w:r>
        <w:t>utcomes previously assessed by the PBAC</w:t>
      </w:r>
      <w:r w:rsidR="00040E35">
        <w:t xml:space="preserve"> is presented in Appendix </w:t>
      </w:r>
      <w:r w:rsidR="003C4A1C">
        <w:t xml:space="preserve">Table </w:t>
      </w:r>
      <w:r w:rsidR="003C4A1C">
        <w:rPr>
          <w:noProof/>
        </w:rPr>
        <w:t>135</w:t>
      </w:r>
      <w:r w:rsidR="00040E35">
        <w:t>.</w:t>
      </w:r>
    </w:p>
    <w:p w:rsidR="00F2483E" w:rsidRDefault="00B22D1D" w:rsidP="00B22D1D">
      <w:r>
        <w:t xml:space="preserve">The population, intervention and comparator presented </w:t>
      </w:r>
      <w:r w:rsidR="005D54C1">
        <w:t xml:space="preserve">in this report </w:t>
      </w:r>
      <w:r>
        <w:t>are informed by t</w:t>
      </w:r>
      <w:r w:rsidR="00D319C7">
        <w:t xml:space="preserve">he research questions and the evidence identified in the </w:t>
      </w:r>
      <w:r w:rsidR="00BC7AA5">
        <w:t>literature search.</w:t>
      </w:r>
      <w:r w:rsidR="00DA0F49" w:rsidRPr="00DA0F49">
        <w:t xml:space="preserve"> </w:t>
      </w:r>
      <w:r w:rsidR="00AF2041">
        <w:t>Evidence for e</w:t>
      </w:r>
      <w:r w:rsidR="00EF574C" w:rsidRPr="00EF574C">
        <w:rPr>
          <w:rFonts w:ascii="Cambria Math" w:hAnsi="Cambria Math" w:cs="Cambria Math"/>
        </w:rPr>
        <w:t>‑</w:t>
      </w:r>
      <w:r w:rsidR="00EF574C" w:rsidRPr="00EF574C">
        <w:t>cigarette devices and nicotine liquids are out of scope of this</w:t>
      </w:r>
      <w:r w:rsidR="00EF574C">
        <w:t xml:space="preserve"> review</w:t>
      </w:r>
      <w:r w:rsidR="005D144E">
        <w:t xml:space="preserve"> and were not included </w:t>
      </w:r>
      <w:r w:rsidR="00AF2041">
        <w:t>in this report</w:t>
      </w:r>
      <w:r w:rsidR="00EF574C" w:rsidRPr="00EF574C">
        <w:t>.</w:t>
      </w:r>
    </w:p>
    <w:p w:rsidR="00D30209" w:rsidRDefault="00F02367" w:rsidP="00CB337B">
      <w:pPr>
        <w:jc w:val="both"/>
      </w:pPr>
      <w:r>
        <w:t xml:space="preserve">The primary outcome </w:t>
      </w:r>
      <w:r w:rsidR="00D92CB6">
        <w:t>presented</w:t>
      </w:r>
      <w:r>
        <w:t xml:space="preserve"> f</w:t>
      </w:r>
      <w:r w:rsidR="000B3480">
        <w:t>or efficacy</w:t>
      </w:r>
      <w:r>
        <w:t xml:space="preserve"> is </w:t>
      </w:r>
      <w:r w:rsidR="000B3480">
        <w:t xml:space="preserve">smoking cessation rates </w:t>
      </w:r>
      <w:r w:rsidR="00D92CB6">
        <w:t>based on the longest follow-up</w:t>
      </w:r>
      <w:r w:rsidR="00B8066C">
        <w:t xml:space="preserve"> data</w:t>
      </w:r>
      <w:r w:rsidR="00D92CB6">
        <w:t xml:space="preserve">, where reported. </w:t>
      </w:r>
      <w:r w:rsidR="0025085D" w:rsidRPr="0025085D">
        <w:t>The two most common outcome measures in clinical trials of smoking cessation are prolonged abstinence (</w:t>
      </w:r>
      <w:r w:rsidR="00CE0033">
        <w:t>also known as sustained or continuous abstinence</w:t>
      </w:r>
      <w:r w:rsidR="0025085D" w:rsidRPr="0025085D">
        <w:t>) and point prevalence abstinence</w:t>
      </w:r>
      <w:r w:rsidR="00CE0033">
        <w:t xml:space="preserve"> (Hughes et al. 2003). </w:t>
      </w:r>
      <w:r w:rsidR="00980B64" w:rsidRPr="00980B64">
        <w:t>P</w:t>
      </w:r>
      <w:r w:rsidR="00980B64">
        <w:t xml:space="preserve">rolonged abstinence </w:t>
      </w:r>
      <w:r w:rsidR="00980B64" w:rsidRPr="00980B64">
        <w:t xml:space="preserve">is typically defined as not smoking for a period of several months after a quit attempt. Point </w:t>
      </w:r>
      <w:r w:rsidR="00980B64" w:rsidRPr="00980B64">
        <w:lastRenderedPageBreak/>
        <w:t>prevalence abstinence is typically defined as not smoking on the day of follow-up or for a few days before a follow-up.</w:t>
      </w:r>
      <w:r w:rsidR="00CD3BD1">
        <w:t xml:space="preserve"> The</w:t>
      </w:r>
      <w:r w:rsidR="002E1320">
        <w:t>se</w:t>
      </w:r>
      <w:r w:rsidR="00CD3BD1">
        <w:t xml:space="preserve"> two outcomes were considered closely related</w:t>
      </w:r>
      <w:r w:rsidR="00922676">
        <w:t xml:space="preserve"> and were shown to </w:t>
      </w:r>
      <w:r w:rsidR="00922676" w:rsidRPr="00922676">
        <w:t xml:space="preserve">produce similar effect sizes when odds ratio and relative risk </w:t>
      </w:r>
      <w:r w:rsidR="00E04BBF">
        <w:t>we</w:t>
      </w:r>
      <w:r w:rsidR="00922676" w:rsidRPr="00922676">
        <w:t>re used as effect sizes</w:t>
      </w:r>
      <w:r w:rsidR="0030362B">
        <w:t xml:space="preserve"> (Hughes et al. 2003)</w:t>
      </w:r>
      <w:r w:rsidR="00922676">
        <w:t>.</w:t>
      </w:r>
      <w:r w:rsidR="0030362B">
        <w:t xml:space="preserve"> In this report, </w:t>
      </w:r>
      <w:r w:rsidR="0030362B" w:rsidRPr="0030362B">
        <w:t>the strictest of these definitions were used</w:t>
      </w:r>
      <w:r w:rsidR="0030362B">
        <w:t xml:space="preserve"> whe</w:t>
      </w:r>
      <w:r w:rsidR="004A17F4">
        <w:t>n possible</w:t>
      </w:r>
      <w:r w:rsidR="0030362B" w:rsidRPr="0030362B">
        <w:t xml:space="preserve"> (e.g. prolonged</w:t>
      </w:r>
      <w:r w:rsidR="004A17F4">
        <w:t>/continuous</w:t>
      </w:r>
      <w:r w:rsidR="0030362B" w:rsidRPr="0030362B">
        <w:t xml:space="preserve"> abstinence over point prevalence abstinence</w:t>
      </w:r>
      <w:r w:rsidR="00DB6AEF">
        <w:t xml:space="preserve"> </w:t>
      </w:r>
      <w:r w:rsidR="00E03082">
        <w:t>and biochemical validation of abstinence over self-reported abstinence</w:t>
      </w:r>
      <w:r w:rsidR="004A17F4">
        <w:t>).</w:t>
      </w:r>
      <w:r w:rsidR="009111D5" w:rsidRPr="009111D5">
        <w:t xml:space="preserve"> The PBAC has previously considered continuous abstinence rate </w:t>
      </w:r>
      <w:r w:rsidR="00AA48DE">
        <w:t>(at the longest follow-up)</w:t>
      </w:r>
      <w:r w:rsidR="009111D5" w:rsidRPr="009111D5">
        <w:t xml:space="preserve"> to be the most relevant patient outcome</w:t>
      </w:r>
      <w:r w:rsidR="00AA48DE">
        <w:t>.</w:t>
      </w:r>
    </w:p>
    <w:p w:rsidR="00926D1A" w:rsidRPr="004B16DD" w:rsidRDefault="00D30209" w:rsidP="00CB337B">
      <w:pPr>
        <w:jc w:val="both"/>
      </w:pPr>
      <w:r>
        <w:t>For safety and tolerability outcomes,</w:t>
      </w:r>
      <w:r w:rsidR="00EC4361">
        <w:t xml:space="preserve"> key adverse events </w:t>
      </w:r>
      <w:r w:rsidR="00A67C9B">
        <w:t xml:space="preserve">from studies with follow-up of any length </w:t>
      </w:r>
      <w:r w:rsidR="00EC4361">
        <w:t>are presented</w:t>
      </w:r>
      <w:r w:rsidR="00AC7D1C">
        <w:t>,</w:t>
      </w:r>
      <w:r w:rsidR="00EC4361">
        <w:t xml:space="preserve"> where reported.</w:t>
      </w:r>
      <w:r>
        <w:t xml:space="preserve"> </w:t>
      </w:r>
      <w:r w:rsidR="00B66E59">
        <w:t xml:space="preserve">The </w:t>
      </w:r>
      <w:r w:rsidR="00D4114A">
        <w:t>main safety</w:t>
      </w:r>
      <w:r w:rsidR="00B66E59">
        <w:t xml:space="preserve"> outcome measures include</w:t>
      </w:r>
      <w:r w:rsidR="00D4114A">
        <w:t xml:space="preserve"> </w:t>
      </w:r>
      <w:r w:rsidR="00D4114A" w:rsidRPr="00DD1D31">
        <w:t>adverse events, psychiatric adverse events, serious adverse events and dropouts due to adverse events</w:t>
      </w:r>
      <w:r w:rsidR="00D4114A">
        <w:t>.</w:t>
      </w:r>
      <w:r w:rsidR="00B66E59">
        <w:t xml:space="preserve"> </w:t>
      </w:r>
      <w:r>
        <w:t xml:space="preserve"> </w:t>
      </w:r>
      <w:r w:rsidR="00922676">
        <w:t xml:space="preserve"> </w:t>
      </w:r>
    </w:p>
    <w:p w:rsidR="00E81524" w:rsidRPr="00E81524" w:rsidRDefault="00E81524" w:rsidP="00CB337B">
      <w:pPr>
        <w:pStyle w:val="Heading3"/>
        <w:jc w:val="both"/>
        <w:rPr>
          <w:iCs/>
          <w:szCs w:val="28"/>
        </w:rPr>
      </w:pPr>
      <w:bookmarkStart w:id="48" w:name="_Toc72850855"/>
      <w:bookmarkStart w:id="49" w:name="_Toc73525620"/>
      <w:r w:rsidRPr="00DC0B46">
        <w:t>General approach</w:t>
      </w:r>
      <w:bookmarkEnd w:id="48"/>
      <w:bookmarkEnd w:id="49"/>
    </w:p>
    <w:p w:rsidR="00896345" w:rsidRDefault="00896345" w:rsidP="00CB337B">
      <w:pPr>
        <w:jc w:val="both"/>
      </w:pPr>
      <w:r>
        <w:t>The following approach</w:t>
      </w:r>
      <w:r w:rsidR="001B33ED">
        <w:t>, as agreed at the second Reference Group meeting</w:t>
      </w:r>
      <w:r w:rsidR="00D022BC">
        <w:t>,</w:t>
      </w:r>
      <w:r>
        <w:t xml:space="preserve"> was used to address ToR3:</w:t>
      </w:r>
    </w:p>
    <w:p w:rsidR="00896345" w:rsidRDefault="00896345" w:rsidP="00C324F3">
      <w:pPr>
        <w:pStyle w:val="ListParagraph"/>
        <w:numPr>
          <w:ilvl w:val="0"/>
          <w:numId w:val="7"/>
        </w:numPr>
        <w:jc w:val="both"/>
      </w:pPr>
      <w:r>
        <w:t>Identify the most recent updated Cochrane systematic reviews from the published literature that address</w:t>
      </w:r>
      <w:r w:rsidR="007D7537">
        <w:t>ed</w:t>
      </w:r>
      <w:r>
        <w:t xml:space="preserve"> the research questions. </w:t>
      </w:r>
    </w:p>
    <w:p w:rsidR="00896345" w:rsidRDefault="00896345" w:rsidP="00C324F3">
      <w:pPr>
        <w:pStyle w:val="ListParagraph"/>
        <w:numPr>
          <w:ilvl w:val="0"/>
          <w:numId w:val="7"/>
        </w:numPr>
        <w:jc w:val="both"/>
      </w:pPr>
      <w:r>
        <w:t>Identify systematic reviews (non-Cochrane) from the published literature that address</w:t>
      </w:r>
      <w:r w:rsidR="007D7537">
        <w:t>ed</w:t>
      </w:r>
      <w:r>
        <w:t xml:space="preserve"> any research questions that ha</w:t>
      </w:r>
      <w:r w:rsidR="00F15668">
        <w:t>d</w:t>
      </w:r>
      <w:r>
        <w:t xml:space="preserve"> not been adequately answered within the Cochrane </w:t>
      </w:r>
      <w:r w:rsidR="009D1585">
        <w:t>R</w:t>
      </w:r>
      <w:r>
        <w:t>eviews identified in 1</w:t>
      </w:r>
      <w:r w:rsidR="00B34A0C">
        <w:t>, or which had been published subsequent to the most recent Cochrane Review and included additional evidence.</w:t>
      </w:r>
    </w:p>
    <w:p w:rsidR="00896345" w:rsidRPr="00D60AAD" w:rsidRDefault="00896345" w:rsidP="00C324F3">
      <w:pPr>
        <w:pStyle w:val="ListParagraph"/>
        <w:numPr>
          <w:ilvl w:val="0"/>
          <w:numId w:val="7"/>
        </w:numPr>
        <w:jc w:val="both"/>
      </w:pPr>
      <w:r w:rsidRPr="00D60AAD">
        <w:t>Where needed and as agreed with the Department, supplement the evidence base from 1 and 2 with the most recent primary evidence.</w:t>
      </w:r>
    </w:p>
    <w:p w:rsidR="00896345" w:rsidRDefault="00896345" w:rsidP="00C324F3">
      <w:pPr>
        <w:pStyle w:val="ListParagraph"/>
        <w:numPr>
          <w:ilvl w:val="0"/>
          <w:numId w:val="7"/>
        </w:numPr>
        <w:jc w:val="both"/>
      </w:pPr>
      <w:r>
        <w:t>Compare the evidence base from</w:t>
      </w:r>
      <w:r w:rsidR="00D60AAD">
        <w:t xml:space="preserve"> </w:t>
      </w:r>
      <w:r>
        <w:t>1-3 with the evidence previously reviewed by the PBAC.</w:t>
      </w:r>
    </w:p>
    <w:p w:rsidR="006B7279" w:rsidRPr="00EB531B" w:rsidRDefault="00303E6B" w:rsidP="00CF4741">
      <w:pPr>
        <w:pStyle w:val="Heading4"/>
        <w:numPr>
          <w:ilvl w:val="0"/>
          <w:numId w:val="0"/>
        </w:numPr>
        <w:jc w:val="both"/>
        <w:rPr>
          <w:rFonts w:cs="Calibri"/>
          <w:iCs w:val="0"/>
          <w:szCs w:val="28"/>
        </w:rPr>
      </w:pPr>
      <w:r>
        <w:t>Literature search methods</w:t>
      </w:r>
    </w:p>
    <w:p w:rsidR="00991F00" w:rsidRDefault="009B6695" w:rsidP="00CB337B">
      <w:pPr>
        <w:jc w:val="both"/>
      </w:pPr>
      <w:r>
        <w:t xml:space="preserve">A systematic literature review was conducted </w:t>
      </w:r>
      <w:r w:rsidR="00090FD2">
        <w:t xml:space="preserve">in July 2020 to identify relevant </w:t>
      </w:r>
      <w:r w:rsidR="00A01BF2">
        <w:t>publications</w:t>
      </w:r>
      <w:r w:rsidR="00090FD2">
        <w:t xml:space="preserve"> </w:t>
      </w:r>
      <w:r w:rsidR="00AD0D33">
        <w:t xml:space="preserve">based on the PICO criteria. </w:t>
      </w:r>
      <w:r w:rsidR="003508B6" w:rsidRPr="003508B6">
        <w:t>Systematic searches</w:t>
      </w:r>
      <w:r w:rsidR="00B0041F">
        <w:t xml:space="preserve"> </w:t>
      </w:r>
      <w:r w:rsidR="00991F00">
        <w:t xml:space="preserve">were </w:t>
      </w:r>
      <w:r w:rsidR="003508B6" w:rsidRPr="003508B6">
        <w:t>conducted in the following electronic databases:</w:t>
      </w:r>
      <w:r w:rsidR="00991F00">
        <w:t xml:space="preserve"> </w:t>
      </w:r>
      <w:r w:rsidR="00991F00" w:rsidRPr="001B1E24">
        <w:t>Ovid Embase + MEDLINE + Epub Ahead of Print, In-Process &amp; Other Non-Indexed Citations</w:t>
      </w:r>
      <w:r w:rsidR="00356A8B">
        <w:t>,</w:t>
      </w:r>
      <w:r w:rsidR="004C6C10">
        <w:t xml:space="preserve"> and</w:t>
      </w:r>
      <w:r w:rsidR="00991F00" w:rsidRPr="001B1E24">
        <w:t xml:space="preserve"> </w:t>
      </w:r>
      <w:r w:rsidR="00F27F95">
        <w:t>t</w:t>
      </w:r>
      <w:r w:rsidR="00991F00" w:rsidRPr="001B1E24">
        <w:t>he Cochrane Library databases</w:t>
      </w:r>
      <w:r w:rsidR="00356A8B">
        <w:t xml:space="preserve">; using the search strategies outlined </w:t>
      </w:r>
      <w:r w:rsidR="00991F00">
        <w:t xml:space="preserve">in </w:t>
      </w:r>
      <w:r w:rsidR="00991F00" w:rsidRPr="00664A05">
        <w:t>Appendix</w:t>
      </w:r>
      <w:r w:rsidR="009027D2">
        <w:t xml:space="preserve"> </w:t>
      </w:r>
      <w:r w:rsidR="003C4A1C" w:rsidRPr="003C4A1C">
        <w:t xml:space="preserve">Table </w:t>
      </w:r>
      <w:r w:rsidR="003C4A1C" w:rsidRPr="003C4A1C">
        <w:rPr>
          <w:noProof/>
        </w:rPr>
        <w:t>136</w:t>
      </w:r>
      <w:r w:rsidR="00991F00" w:rsidRPr="00664A05">
        <w:t>.</w:t>
      </w:r>
      <w:r w:rsidR="00991F00" w:rsidRPr="001B1E24">
        <w:t xml:space="preserve"> The search </w:t>
      </w:r>
      <w:r w:rsidR="00991F00">
        <w:t>was</w:t>
      </w:r>
      <w:r w:rsidR="00991F00" w:rsidRPr="001B1E24">
        <w:t xml:space="preserve"> not limited by date but </w:t>
      </w:r>
      <w:r w:rsidR="00991F00">
        <w:t>was</w:t>
      </w:r>
      <w:r w:rsidR="00991F00" w:rsidRPr="001B1E24">
        <w:t xml:space="preserve"> restricted to English language.</w:t>
      </w:r>
      <w:r w:rsidR="00991F00">
        <w:t xml:space="preserve"> S</w:t>
      </w:r>
      <w:r w:rsidR="00991F00" w:rsidRPr="001F367B">
        <w:t>earch terms comprising indexed keywords (subject headings) and free text terms appearing in titles and/or abstracts of records w</w:t>
      </w:r>
      <w:r w:rsidR="00991F00">
        <w:t>ere us</w:t>
      </w:r>
      <w:r w:rsidR="00991F00" w:rsidRPr="001F367B">
        <w:t>ed to filter the search retrieval in the first instance to meta-analyses, pooled analyses and systematic reviews.</w:t>
      </w:r>
    </w:p>
    <w:p w:rsidR="00836D08" w:rsidRPr="00C47240" w:rsidRDefault="004749FA" w:rsidP="00CB337B">
      <w:pPr>
        <w:jc w:val="both"/>
        <w:rPr>
          <w:strike/>
        </w:rPr>
      </w:pPr>
      <w:r>
        <w:t>As requested by the Department, a</w:t>
      </w:r>
      <w:r w:rsidR="00CC7E96">
        <w:t xml:space="preserve"> supplemental search was </w:t>
      </w:r>
      <w:r w:rsidR="003C1ECC">
        <w:t>conducted to update the primary evidence base for the syst</w:t>
      </w:r>
      <w:r w:rsidR="00AC5DA2">
        <w:t>ematic reviews that provided comparative efficacy and</w:t>
      </w:r>
      <w:r w:rsidR="00A24AD1">
        <w:t>/or</w:t>
      </w:r>
      <w:r w:rsidR="00AC5DA2">
        <w:t xml:space="preserve"> safety </w:t>
      </w:r>
      <w:r w:rsidR="00A24AD1">
        <w:t>of</w:t>
      </w:r>
      <w:r w:rsidR="00AC5DA2">
        <w:t xml:space="preserve"> PBS-listed </w:t>
      </w:r>
      <w:r w:rsidR="00A24AD1">
        <w:t>m</w:t>
      </w:r>
      <w:r w:rsidR="00AA39B6">
        <w:t>ono</w:t>
      </w:r>
      <w:r w:rsidR="00FE1BEF">
        <w:t>therapies</w:t>
      </w:r>
      <w:r w:rsidR="00AA39B6">
        <w:t xml:space="preserve"> </w:t>
      </w:r>
      <w:r w:rsidR="00BC19B0">
        <w:t xml:space="preserve">used alone or in combination </w:t>
      </w:r>
      <w:r w:rsidR="00AA39B6">
        <w:t>for smoking cessation</w:t>
      </w:r>
      <w:r w:rsidR="00C34343">
        <w:t xml:space="preserve"> or that </w:t>
      </w:r>
      <w:r w:rsidR="0092514B">
        <w:t xml:space="preserve">compared NRT combinations, forms and dosing. </w:t>
      </w:r>
      <w:r w:rsidR="00CA6A98">
        <w:t>Th</w:t>
      </w:r>
      <w:r w:rsidR="006E51C0">
        <w:t xml:space="preserve">e search strategy </w:t>
      </w:r>
      <w:r w:rsidR="007C6C18">
        <w:t>replicated</w:t>
      </w:r>
      <w:r w:rsidR="00260340">
        <w:t xml:space="preserve"> </w:t>
      </w:r>
      <w:r w:rsidR="006E51C0">
        <w:t xml:space="preserve">the original search </w:t>
      </w:r>
      <w:r w:rsidR="00260340">
        <w:t xml:space="preserve">without the limitation to systematic </w:t>
      </w:r>
      <w:r w:rsidR="00260340" w:rsidRPr="006130D4">
        <w:t>reviews</w:t>
      </w:r>
      <w:r w:rsidR="00B02624" w:rsidRPr="006130D4">
        <w:t>/meta-analyses</w:t>
      </w:r>
      <w:r w:rsidR="00590C09" w:rsidRPr="005855B3">
        <w:t>. The date limitations</w:t>
      </w:r>
      <w:r w:rsidR="00A72169" w:rsidRPr="0039640E">
        <w:t xml:space="preserve"> </w:t>
      </w:r>
      <w:r w:rsidR="002025D5" w:rsidRPr="0039640E">
        <w:t xml:space="preserve">for each comparison outlined </w:t>
      </w:r>
      <w:r w:rsidR="009262C4" w:rsidRPr="006130D4">
        <w:t>in</w:t>
      </w:r>
      <w:r w:rsidR="002025D5" w:rsidRPr="006130D4">
        <w:t xml:space="preserve"> </w:t>
      </w:r>
      <w:r w:rsidR="003C4A1C">
        <w:t xml:space="preserve">Table </w:t>
      </w:r>
      <w:r w:rsidR="003C4A1C">
        <w:rPr>
          <w:noProof/>
        </w:rPr>
        <w:t>2</w:t>
      </w:r>
      <w:r w:rsidR="006130D4" w:rsidRPr="00C47240">
        <w:t xml:space="preserve"> </w:t>
      </w:r>
      <w:r w:rsidR="00A72169" w:rsidRPr="006130D4">
        <w:t>w</w:t>
      </w:r>
      <w:r w:rsidR="00A72169">
        <w:t>ere based on the</w:t>
      </w:r>
      <w:r w:rsidR="009461E6">
        <w:t xml:space="preserve"> upper date of the search limit in the relevant Cochrane review.</w:t>
      </w:r>
    </w:p>
    <w:p w:rsidR="006B7279" w:rsidRDefault="006B7279" w:rsidP="00CF4741">
      <w:pPr>
        <w:pStyle w:val="Heading4"/>
        <w:numPr>
          <w:ilvl w:val="0"/>
          <w:numId w:val="0"/>
        </w:numPr>
        <w:jc w:val="both"/>
      </w:pPr>
      <w:r w:rsidRPr="00EB531B">
        <w:lastRenderedPageBreak/>
        <w:t>Inclusion/Exclusion Criteria</w:t>
      </w:r>
    </w:p>
    <w:p w:rsidR="00380264" w:rsidRDefault="006D6BFD" w:rsidP="00CB337B">
      <w:pPr>
        <w:jc w:val="both"/>
      </w:pPr>
      <w:r>
        <w:t xml:space="preserve">A summary of the </w:t>
      </w:r>
      <w:r w:rsidR="00573888">
        <w:t xml:space="preserve">study inclusion criteria is presented below. </w:t>
      </w:r>
      <w:r w:rsidR="00C7583E">
        <w:t>Papers</w:t>
      </w:r>
      <w:r w:rsidR="00365A78">
        <w:t xml:space="preserve"> not meeting the</w:t>
      </w:r>
      <w:r w:rsidR="00573888">
        <w:t>se</w:t>
      </w:r>
      <w:r w:rsidR="00365A78">
        <w:t xml:space="preserve"> criteria were excluded from further review. </w:t>
      </w:r>
      <w:r w:rsidR="000C0ADF" w:rsidRPr="000C0ADF">
        <w:t>Citations deemed potentially relevant were further assessed against these criteria upon review of full text publications.</w:t>
      </w:r>
    </w:p>
    <w:p w:rsidR="00696FA2" w:rsidRDefault="00696FA2" w:rsidP="00CB337B">
      <w:pPr>
        <w:jc w:val="both"/>
      </w:pPr>
      <w:r>
        <w:t>Prim</w:t>
      </w:r>
      <w:r w:rsidR="00C334CC">
        <w:t>ary literature search</w:t>
      </w:r>
      <w:r w:rsidR="00173FC3">
        <w:t>:</w:t>
      </w:r>
    </w:p>
    <w:p w:rsidR="00380264" w:rsidRDefault="00380264" w:rsidP="00C324F3">
      <w:pPr>
        <w:pStyle w:val="ListParagraph"/>
        <w:numPr>
          <w:ilvl w:val="0"/>
          <w:numId w:val="5"/>
        </w:numPr>
        <w:jc w:val="both"/>
      </w:pPr>
      <w:r>
        <w:t>Systematic review</w:t>
      </w:r>
    </w:p>
    <w:p w:rsidR="00365A78" w:rsidRDefault="00365A78" w:rsidP="00C324F3">
      <w:pPr>
        <w:pStyle w:val="ListParagraph"/>
        <w:numPr>
          <w:ilvl w:val="0"/>
          <w:numId w:val="5"/>
        </w:numPr>
        <w:jc w:val="both"/>
      </w:pPr>
      <w:r>
        <w:t xml:space="preserve">Meta-analysis </w:t>
      </w:r>
    </w:p>
    <w:p w:rsidR="00365A78" w:rsidRDefault="00365A78" w:rsidP="00C324F3">
      <w:pPr>
        <w:pStyle w:val="ListParagraph"/>
        <w:numPr>
          <w:ilvl w:val="0"/>
          <w:numId w:val="5"/>
        </w:numPr>
        <w:jc w:val="both"/>
      </w:pPr>
      <w:r>
        <w:t xml:space="preserve">Human </w:t>
      </w:r>
    </w:p>
    <w:p w:rsidR="00365A78" w:rsidRDefault="00365A78" w:rsidP="00C324F3">
      <w:pPr>
        <w:pStyle w:val="ListParagraph"/>
        <w:numPr>
          <w:ilvl w:val="0"/>
          <w:numId w:val="5"/>
        </w:numPr>
        <w:jc w:val="both"/>
      </w:pPr>
      <w:r>
        <w:t>English language</w:t>
      </w:r>
    </w:p>
    <w:p w:rsidR="00C334CC" w:rsidRDefault="00365A78" w:rsidP="00C324F3">
      <w:pPr>
        <w:pStyle w:val="ListParagraph"/>
        <w:numPr>
          <w:ilvl w:val="0"/>
          <w:numId w:val="5"/>
        </w:numPr>
        <w:jc w:val="both"/>
      </w:pPr>
      <w:r>
        <w:t>Providing data that can answer one or more of the research questions</w:t>
      </w:r>
      <w:r w:rsidR="00F8094A">
        <w:t>. For research question 5,</w:t>
      </w:r>
      <w:r w:rsidR="00EC2A8D">
        <w:t xml:space="preserve"> the populations of interest identified from T</w:t>
      </w:r>
      <w:r w:rsidR="00D10766">
        <w:t>o</w:t>
      </w:r>
      <w:r w:rsidR="00EC2A8D">
        <w:t xml:space="preserve">R1 for review were pregnancy and </w:t>
      </w:r>
      <w:r w:rsidR="00E75C27">
        <w:t>adolescents.</w:t>
      </w:r>
    </w:p>
    <w:p w:rsidR="00C3105E" w:rsidRDefault="0082251E" w:rsidP="00C324F3">
      <w:pPr>
        <w:pStyle w:val="ListParagraph"/>
        <w:numPr>
          <w:ilvl w:val="0"/>
          <w:numId w:val="5"/>
        </w:numPr>
        <w:jc w:val="both"/>
      </w:pPr>
      <w:r>
        <w:t>For non-Cochrane systematic reviews</w:t>
      </w:r>
      <w:r w:rsidR="00783E94">
        <w:t xml:space="preserve">: </w:t>
      </w:r>
      <w:r>
        <w:t>published after the uppe</w:t>
      </w:r>
      <w:r w:rsidR="00F4531A">
        <w:t>r search date limit of the relevant Cochrane review</w:t>
      </w:r>
      <w:r w:rsidR="00783E94">
        <w:t>.</w:t>
      </w:r>
    </w:p>
    <w:p w:rsidR="00B629FA" w:rsidRDefault="00C334CC" w:rsidP="00CB337B">
      <w:pPr>
        <w:jc w:val="both"/>
      </w:pPr>
      <w:r>
        <w:t>Supplem</w:t>
      </w:r>
      <w:r w:rsidR="004749FA">
        <w:t xml:space="preserve">ental </w:t>
      </w:r>
      <w:r w:rsidR="00173FC3">
        <w:t>l</w:t>
      </w:r>
      <w:r w:rsidR="00B629FA">
        <w:t>iterature search</w:t>
      </w:r>
      <w:r w:rsidR="00173FC3">
        <w:t>:</w:t>
      </w:r>
    </w:p>
    <w:p w:rsidR="002B1F54" w:rsidRDefault="002B1F54" w:rsidP="00C324F3">
      <w:pPr>
        <w:pStyle w:val="ListParagraph"/>
        <w:numPr>
          <w:ilvl w:val="0"/>
          <w:numId w:val="5"/>
        </w:numPr>
        <w:jc w:val="both"/>
      </w:pPr>
      <w:r>
        <w:t>Phase 3+ randomised controlled trials</w:t>
      </w:r>
    </w:p>
    <w:p w:rsidR="002B1F54" w:rsidRDefault="002B1F54" w:rsidP="00C324F3">
      <w:pPr>
        <w:pStyle w:val="ListParagraph"/>
        <w:numPr>
          <w:ilvl w:val="0"/>
          <w:numId w:val="5"/>
        </w:numPr>
        <w:jc w:val="both"/>
      </w:pPr>
      <w:r>
        <w:t xml:space="preserve">Human </w:t>
      </w:r>
    </w:p>
    <w:p w:rsidR="002B1F54" w:rsidRDefault="002B1F54" w:rsidP="00C324F3">
      <w:pPr>
        <w:pStyle w:val="ListParagraph"/>
        <w:numPr>
          <w:ilvl w:val="0"/>
          <w:numId w:val="5"/>
        </w:numPr>
        <w:jc w:val="both"/>
      </w:pPr>
      <w:r>
        <w:t>English language</w:t>
      </w:r>
    </w:p>
    <w:p w:rsidR="002B1F54" w:rsidRDefault="00D46381" w:rsidP="00C324F3">
      <w:pPr>
        <w:pStyle w:val="ListParagraph"/>
        <w:numPr>
          <w:ilvl w:val="0"/>
          <w:numId w:val="5"/>
        </w:numPr>
        <w:jc w:val="both"/>
      </w:pPr>
      <w:r>
        <w:t xml:space="preserve">Efficacy, measured as smoking cessation </w:t>
      </w:r>
      <w:r w:rsidR="00436940">
        <w:t>rates</w:t>
      </w:r>
      <w:r>
        <w:t>, intended to be reported at least 6 months after baseline</w:t>
      </w:r>
    </w:p>
    <w:p w:rsidR="00E22106" w:rsidRDefault="00E22106" w:rsidP="00C324F3">
      <w:pPr>
        <w:pStyle w:val="ListParagraph"/>
        <w:numPr>
          <w:ilvl w:val="0"/>
          <w:numId w:val="5"/>
        </w:numPr>
        <w:jc w:val="both"/>
      </w:pPr>
      <w:r>
        <w:t>Adult smokers (bupropion or varenicline</w:t>
      </w:r>
      <w:r w:rsidR="001C3790">
        <w:t xml:space="preserve">). No age restriction was </w:t>
      </w:r>
      <w:r w:rsidR="003744B5">
        <w:t>placed on trials testing NRT.</w:t>
      </w:r>
    </w:p>
    <w:p w:rsidR="00270FEF" w:rsidRDefault="00270FEF" w:rsidP="00C324F3">
      <w:pPr>
        <w:pStyle w:val="ListParagraph"/>
        <w:numPr>
          <w:ilvl w:val="0"/>
          <w:numId w:val="5"/>
        </w:numPr>
        <w:jc w:val="both"/>
      </w:pPr>
      <w:r>
        <w:t>For studies comparing</w:t>
      </w:r>
      <w:r w:rsidR="001B7773">
        <w:t xml:space="preserve"> different NRT</w:t>
      </w:r>
      <w:r w:rsidR="001F553C">
        <w:t xml:space="preserve"> </w:t>
      </w:r>
      <w:r w:rsidR="009A7051">
        <w:t>regimes</w:t>
      </w:r>
      <w:r w:rsidR="007B219C">
        <w:t xml:space="preserve"> </w:t>
      </w:r>
      <w:r w:rsidR="00D516C0">
        <w:t>in which</w:t>
      </w:r>
      <w:r w:rsidR="001F553C">
        <w:t xml:space="preserve"> an additional intervention component</w:t>
      </w:r>
      <w:r w:rsidR="002C3317">
        <w:t xml:space="preserve"> </w:t>
      </w:r>
      <w:r w:rsidR="00553CC1">
        <w:t>was</w:t>
      </w:r>
      <w:r w:rsidR="002C3317">
        <w:t xml:space="preserve"> </w:t>
      </w:r>
      <w:r w:rsidR="00D516C0">
        <w:t>received in one study arm</w:t>
      </w:r>
      <w:r w:rsidR="00AE2818">
        <w:t xml:space="preserve">, the effect </w:t>
      </w:r>
      <w:r w:rsidR="00F4531A">
        <w:t>resulting from</w:t>
      </w:r>
      <w:r w:rsidR="0046038D">
        <w:t xml:space="preserve"> the difference in NRT</w:t>
      </w:r>
      <w:r w:rsidR="00422C72">
        <w:t xml:space="preserve"> use must be discernible from </w:t>
      </w:r>
      <w:r w:rsidR="002C3317">
        <w:t xml:space="preserve">that </w:t>
      </w:r>
      <w:r w:rsidR="00422C72">
        <w:t>additional component</w:t>
      </w:r>
      <w:r w:rsidR="00D516C0">
        <w:t>.</w:t>
      </w:r>
    </w:p>
    <w:p w:rsidR="006B7279" w:rsidRPr="00EB531B" w:rsidRDefault="006B7279" w:rsidP="00CF4741">
      <w:pPr>
        <w:pStyle w:val="Heading4"/>
        <w:numPr>
          <w:ilvl w:val="0"/>
          <w:numId w:val="0"/>
        </w:numPr>
        <w:jc w:val="both"/>
        <w:rPr>
          <w:rFonts w:cs="Calibri"/>
          <w:iCs w:val="0"/>
          <w:szCs w:val="28"/>
        </w:rPr>
      </w:pPr>
      <w:r w:rsidRPr="00EB531B">
        <w:t>S</w:t>
      </w:r>
      <w:r w:rsidR="007F6236">
        <w:t>tudy selection and screening</w:t>
      </w:r>
    </w:p>
    <w:p w:rsidR="006B7279" w:rsidRPr="00EB531B" w:rsidRDefault="003063AD" w:rsidP="00CB337B">
      <w:pPr>
        <w:jc w:val="both"/>
        <w:rPr>
          <w:rFonts w:cs="Calibri"/>
          <w:i/>
        </w:rPr>
      </w:pPr>
      <w:r w:rsidRPr="003063AD">
        <w:rPr>
          <w:rFonts w:cs="Calibri"/>
        </w:rPr>
        <w:t xml:space="preserve">The screening and selection phases were conducted by two reviewers using Endnote. Following the removal of duplicates, articles were reviewed by title and abstract to identify potentially relevant reviews. All reviews that clearly did not meet the inclusion criteria in terms of study type, population or interventions were excluded. Full-text articles were retrieved and further reviewed against the inclusion/exclusion criteria. </w:t>
      </w:r>
      <w:r w:rsidR="00B12764" w:rsidRPr="003063AD">
        <w:rPr>
          <w:rFonts w:cs="Calibri"/>
        </w:rPr>
        <w:t xml:space="preserve">Any publications </w:t>
      </w:r>
      <w:r w:rsidR="00B12764">
        <w:rPr>
          <w:rFonts w:cs="Calibri"/>
        </w:rPr>
        <w:t>for which the full</w:t>
      </w:r>
      <w:r w:rsidR="00C9048D">
        <w:rPr>
          <w:rFonts w:cs="Calibri"/>
        </w:rPr>
        <w:t>-</w:t>
      </w:r>
      <w:r w:rsidR="00B12764">
        <w:rPr>
          <w:rFonts w:cs="Calibri"/>
        </w:rPr>
        <w:t>text</w:t>
      </w:r>
      <w:r w:rsidR="00B12764" w:rsidRPr="003063AD">
        <w:rPr>
          <w:rFonts w:cs="Calibri"/>
        </w:rPr>
        <w:t xml:space="preserve"> </w:t>
      </w:r>
      <w:r w:rsidR="00B12764">
        <w:rPr>
          <w:rFonts w:cs="Calibri"/>
        </w:rPr>
        <w:t xml:space="preserve">articles </w:t>
      </w:r>
      <w:r w:rsidR="00B12764" w:rsidRPr="003063AD">
        <w:rPr>
          <w:rFonts w:cs="Calibri"/>
        </w:rPr>
        <w:t xml:space="preserve">were </w:t>
      </w:r>
      <w:r w:rsidR="00B12764">
        <w:rPr>
          <w:rFonts w:cs="Calibri"/>
        </w:rPr>
        <w:t>not</w:t>
      </w:r>
      <w:r w:rsidR="00B12764" w:rsidRPr="003063AD">
        <w:rPr>
          <w:rFonts w:cs="Calibri"/>
        </w:rPr>
        <w:t xml:space="preserve"> access</w:t>
      </w:r>
      <w:r w:rsidR="00B12764">
        <w:rPr>
          <w:rFonts w:cs="Calibri"/>
        </w:rPr>
        <w:t>ible</w:t>
      </w:r>
      <w:r w:rsidR="00B12764" w:rsidRPr="003063AD">
        <w:rPr>
          <w:rFonts w:cs="Calibri"/>
        </w:rPr>
        <w:t xml:space="preserve"> were also excluded. </w:t>
      </w:r>
      <w:r w:rsidRPr="003063AD">
        <w:rPr>
          <w:rFonts w:cs="Calibri"/>
        </w:rPr>
        <w:t>Discrepancies were resolved by consensus with a third reviewer.</w:t>
      </w:r>
    </w:p>
    <w:p w:rsidR="006B7279" w:rsidRPr="00EB531B" w:rsidRDefault="003063AD" w:rsidP="00CF4741">
      <w:pPr>
        <w:pStyle w:val="Heading4"/>
        <w:numPr>
          <w:ilvl w:val="0"/>
          <w:numId w:val="0"/>
        </w:numPr>
        <w:jc w:val="both"/>
        <w:rPr>
          <w:rFonts w:cs="Calibri"/>
          <w:iCs w:val="0"/>
          <w:szCs w:val="28"/>
        </w:rPr>
      </w:pPr>
      <w:r>
        <w:t>Data extraction</w:t>
      </w:r>
    </w:p>
    <w:p w:rsidR="006B7279" w:rsidRPr="00EB531B" w:rsidRDefault="0040344B" w:rsidP="00CB337B">
      <w:pPr>
        <w:jc w:val="both"/>
        <w:rPr>
          <w:rFonts w:cs="Calibri"/>
        </w:rPr>
      </w:pPr>
      <w:r w:rsidRPr="0040344B">
        <w:rPr>
          <w:rFonts w:cs="Calibri"/>
        </w:rPr>
        <w:t>Data w</w:t>
      </w:r>
      <w:r w:rsidR="00B12764">
        <w:rPr>
          <w:rFonts w:cs="Calibri"/>
        </w:rPr>
        <w:t>ere</w:t>
      </w:r>
      <w:r w:rsidRPr="0040344B">
        <w:rPr>
          <w:rFonts w:cs="Calibri"/>
        </w:rPr>
        <w:t xml:space="preserve"> extracted using pre-determined data extraction form</w:t>
      </w:r>
      <w:r w:rsidR="001F0927">
        <w:rPr>
          <w:rFonts w:cs="Calibri"/>
        </w:rPr>
        <w:t>s</w:t>
      </w:r>
      <w:r w:rsidRPr="0040344B">
        <w:rPr>
          <w:rFonts w:cs="Calibri"/>
        </w:rPr>
        <w:t xml:space="preserve"> developed in </w:t>
      </w:r>
      <w:r w:rsidR="00CF1242">
        <w:rPr>
          <w:rFonts w:cs="Calibri"/>
        </w:rPr>
        <w:t>M</w:t>
      </w:r>
      <w:r w:rsidR="00CB337B">
        <w:rPr>
          <w:rFonts w:cs="Calibri"/>
        </w:rPr>
        <w:t xml:space="preserve">icrosoft </w:t>
      </w:r>
      <w:r w:rsidRPr="0040344B">
        <w:rPr>
          <w:rFonts w:cs="Calibri"/>
        </w:rPr>
        <w:t xml:space="preserve">Excel. Data points included (but were not limited to): author, year of review, method, review question, database used, inclusion criteria and exclusion criteria, total number of participants (n-values) studied, at risk population, total number of included studies, description of </w:t>
      </w:r>
      <w:r w:rsidR="00B63CEA" w:rsidRPr="0040344B">
        <w:rPr>
          <w:rFonts w:cs="Calibri"/>
        </w:rPr>
        <w:t>i</w:t>
      </w:r>
      <w:r w:rsidRPr="0040344B">
        <w:rPr>
          <w:rFonts w:cs="Calibri"/>
        </w:rPr>
        <w:t>ntervention and comparator used, duration of treatment, dose, formulation, combination of pharmacotherapy studied, outcomes, and key conclusions.</w:t>
      </w:r>
    </w:p>
    <w:p w:rsidR="006B7279" w:rsidRPr="00EB531B" w:rsidRDefault="0040344B" w:rsidP="00CF4741">
      <w:pPr>
        <w:pStyle w:val="Heading4"/>
        <w:numPr>
          <w:ilvl w:val="0"/>
          <w:numId w:val="0"/>
        </w:numPr>
        <w:jc w:val="both"/>
        <w:rPr>
          <w:rFonts w:cs="Calibri"/>
          <w:iCs w:val="0"/>
          <w:szCs w:val="28"/>
        </w:rPr>
      </w:pPr>
      <w:r>
        <w:lastRenderedPageBreak/>
        <w:t>Quality assessment</w:t>
      </w:r>
    </w:p>
    <w:p w:rsidR="006B7279" w:rsidRDefault="00727F3C" w:rsidP="00CB337B">
      <w:pPr>
        <w:jc w:val="both"/>
        <w:rPr>
          <w:rFonts w:cs="Calibri"/>
        </w:rPr>
      </w:pPr>
      <w:r w:rsidRPr="00727F3C">
        <w:rPr>
          <w:rFonts w:cs="Calibri"/>
        </w:rPr>
        <w:t>Two reviewers assessed the quality of the included systematic reviews quality as per the AMSTAR 2 instrument with a corresponding summary measure of quality produced</w:t>
      </w:r>
      <w:r w:rsidR="006B7279" w:rsidRPr="00EB531B">
        <w:rPr>
          <w:rFonts w:cs="Calibri"/>
        </w:rPr>
        <w:t>.</w:t>
      </w:r>
    </w:p>
    <w:p w:rsidR="006B2AA9" w:rsidRPr="00EB531B" w:rsidRDefault="006B2AA9" w:rsidP="00CB337B">
      <w:pPr>
        <w:jc w:val="both"/>
        <w:rPr>
          <w:rFonts w:cs="Calibri"/>
        </w:rPr>
      </w:pPr>
      <w:r>
        <w:rPr>
          <w:rFonts w:cs="Calibri"/>
        </w:rPr>
        <w:t xml:space="preserve">The </w:t>
      </w:r>
      <w:r w:rsidR="00E314F9">
        <w:rPr>
          <w:rFonts w:cs="Calibri"/>
        </w:rPr>
        <w:t>risk of bias</w:t>
      </w:r>
      <w:r w:rsidR="00632023">
        <w:rPr>
          <w:rFonts w:cs="Calibri"/>
        </w:rPr>
        <w:t xml:space="preserve"> of </w:t>
      </w:r>
      <w:r w:rsidR="00606A1C">
        <w:rPr>
          <w:rFonts w:cs="Calibri"/>
        </w:rPr>
        <w:t>randomised controlled trials (</w:t>
      </w:r>
      <w:r w:rsidR="00632023">
        <w:rPr>
          <w:rFonts w:cs="Calibri"/>
        </w:rPr>
        <w:t>RCTs</w:t>
      </w:r>
      <w:r w:rsidR="00606A1C">
        <w:rPr>
          <w:rFonts w:cs="Calibri"/>
        </w:rPr>
        <w:t>)</w:t>
      </w:r>
      <w:r w:rsidR="00632023">
        <w:rPr>
          <w:rFonts w:cs="Calibri"/>
        </w:rPr>
        <w:t xml:space="preserve"> included in the supple</w:t>
      </w:r>
      <w:r w:rsidR="003E214A">
        <w:rPr>
          <w:rFonts w:cs="Calibri"/>
        </w:rPr>
        <w:t xml:space="preserve">mental search was assessed using the </w:t>
      </w:r>
      <w:r w:rsidR="00E70F11">
        <w:rPr>
          <w:rFonts w:cs="Calibri"/>
        </w:rPr>
        <w:t xml:space="preserve">Cochrane Risk of Bias 2.0 Tool and the </w:t>
      </w:r>
      <w:r w:rsidR="003E214A">
        <w:rPr>
          <w:rFonts w:cs="Calibri"/>
        </w:rPr>
        <w:t xml:space="preserve">Cochrane Tobacco </w:t>
      </w:r>
      <w:r w:rsidR="00E70F11">
        <w:rPr>
          <w:rFonts w:cs="Calibri"/>
        </w:rPr>
        <w:t xml:space="preserve">Addiction Group </w:t>
      </w:r>
      <w:r w:rsidR="009C669F">
        <w:rPr>
          <w:rFonts w:cs="Calibri"/>
        </w:rPr>
        <w:t>guidelines on assessing risk of bias.</w:t>
      </w:r>
    </w:p>
    <w:p w:rsidR="006B7279" w:rsidRPr="00EB531B" w:rsidRDefault="0040344B" w:rsidP="00CF4741">
      <w:pPr>
        <w:pStyle w:val="Heading4"/>
        <w:numPr>
          <w:ilvl w:val="0"/>
          <w:numId w:val="0"/>
        </w:numPr>
        <w:jc w:val="both"/>
        <w:rPr>
          <w:rFonts w:cs="Calibri"/>
          <w:iCs w:val="0"/>
          <w:szCs w:val="28"/>
        </w:rPr>
      </w:pPr>
      <w:r>
        <w:t>Data synthesis</w:t>
      </w:r>
    </w:p>
    <w:p w:rsidR="00177E6E" w:rsidRDefault="00BE7FF3" w:rsidP="00CB337B">
      <w:pPr>
        <w:jc w:val="both"/>
        <w:rPr>
          <w:rFonts w:asciiTheme="minorHAnsi" w:eastAsiaTheme="majorEastAsia" w:hAnsiTheme="minorHAnsi" w:cstheme="majorBidi"/>
          <w:b/>
          <w:bCs/>
          <w:color w:val="4F81BD" w:themeColor="accent1"/>
          <w:sz w:val="32"/>
          <w:szCs w:val="32"/>
        </w:rPr>
      </w:pPr>
      <w:r w:rsidRPr="00BE7FF3">
        <w:rPr>
          <w:rFonts w:cs="Calibri"/>
        </w:rPr>
        <w:t xml:space="preserve">A qualitative or narrative synthesis of the data from the literature review was conducted along with quantitative analysis if possible. </w:t>
      </w:r>
      <w:r w:rsidR="00691E78">
        <w:rPr>
          <w:rFonts w:cs="Calibri"/>
        </w:rPr>
        <w:t xml:space="preserve">Where supplemental evidence was found, the meta-analysis reported in the Cochrane reviews </w:t>
      </w:r>
      <w:r w:rsidR="00925B1B">
        <w:rPr>
          <w:rFonts w:cs="Calibri"/>
        </w:rPr>
        <w:t xml:space="preserve">was </w:t>
      </w:r>
      <w:r w:rsidR="00691E78">
        <w:rPr>
          <w:rFonts w:cs="Calibri"/>
        </w:rPr>
        <w:t>re</w:t>
      </w:r>
      <w:r w:rsidR="0069172C">
        <w:rPr>
          <w:rFonts w:cs="Calibri"/>
        </w:rPr>
        <w:t xml:space="preserve">-analysed </w:t>
      </w:r>
      <w:r w:rsidR="0081365C">
        <w:rPr>
          <w:rFonts w:cs="Calibri"/>
        </w:rPr>
        <w:t>using Rev</w:t>
      </w:r>
      <w:r w:rsidR="00237CE9">
        <w:rPr>
          <w:rFonts w:cs="Calibri"/>
        </w:rPr>
        <w:t xml:space="preserve">iew </w:t>
      </w:r>
      <w:r w:rsidR="0081365C">
        <w:rPr>
          <w:rFonts w:cs="Calibri"/>
        </w:rPr>
        <w:t>Man</w:t>
      </w:r>
      <w:r w:rsidR="00237CE9">
        <w:rPr>
          <w:rFonts w:cs="Calibri"/>
        </w:rPr>
        <w:t>ager</w:t>
      </w:r>
      <w:r w:rsidR="0081365C">
        <w:rPr>
          <w:rFonts w:cs="Calibri"/>
        </w:rPr>
        <w:t xml:space="preserve"> </w:t>
      </w:r>
      <w:r w:rsidR="00237CE9">
        <w:rPr>
          <w:rFonts w:cs="Calibri"/>
        </w:rPr>
        <w:t xml:space="preserve">5.4 software </w:t>
      </w:r>
      <w:r w:rsidR="0069172C">
        <w:rPr>
          <w:rFonts w:cs="Calibri"/>
        </w:rPr>
        <w:t xml:space="preserve">and updated using </w:t>
      </w:r>
      <w:r w:rsidR="00F61036">
        <w:rPr>
          <w:rFonts w:cs="Calibri"/>
        </w:rPr>
        <w:t>random-</w:t>
      </w:r>
      <w:r w:rsidR="00AE342A">
        <w:rPr>
          <w:rFonts w:cs="Calibri"/>
        </w:rPr>
        <w:t xml:space="preserve">effect </w:t>
      </w:r>
      <w:r w:rsidR="001D086D">
        <w:rPr>
          <w:rFonts w:cs="Calibri"/>
        </w:rPr>
        <w:t>models</w:t>
      </w:r>
      <w:r w:rsidR="00150AC9">
        <w:rPr>
          <w:rFonts w:cs="Calibri"/>
        </w:rPr>
        <w:t>, with</w:t>
      </w:r>
      <w:r w:rsidR="00453B6F">
        <w:rPr>
          <w:rFonts w:cs="Calibri"/>
        </w:rPr>
        <w:t xml:space="preserve"> outcomes</w:t>
      </w:r>
      <w:r w:rsidR="001D086D">
        <w:rPr>
          <w:rFonts w:cs="Calibri"/>
        </w:rPr>
        <w:t xml:space="preserve"> reported as both </w:t>
      </w:r>
      <w:r w:rsidR="00453B6F">
        <w:rPr>
          <w:rFonts w:cs="Calibri"/>
        </w:rPr>
        <w:t xml:space="preserve">absolute and relative effects. </w:t>
      </w:r>
      <w:r w:rsidRPr="00BE7FF3">
        <w:rPr>
          <w:rFonts w:cs="Calibri"/>
        </w:rPr>
        <w:t xml:space="preserve">Findings </w:t>
      </w:r>
      <w:r w:rsidR="00925B1B">
        <w:rPr>
          <w:rFonts w:cs="Calibri"/>
        </w:rPr>
        <w:t>were</w:t>
      </w:r>
      <w:r w:rsidRPr="00BE7FF3">
        <w:rPr>
          <w:rFonts w:cs="Calibri"/>
        </w:rPr>
        <w:t xml:space="preserve"> presented in summary tables and then compared to the clinical evidence previously reviewed by PBAC</w:t>
      </w:r>
      <w:r w:rsidR="006B7279" w:rsidRPr="00EB531B">
        <w:rPr>
          <w:rFonts w:cs="Calibri"/>
        </w:rPr>
        <w:t xml:space="preserve">. </w:t>
      </w:r>
      <w:bookmarkStart w:id="50" w:name="_Toc388453120"/>
    </w:p>
    <w:p w:rsidR="000B5CDF" w:rsidRDefault="000B5CDF" w:rsidP="00CB337B">
      <w:pPr>
        <w:pStyle w:val="Heading3"/>
        <w:jc w:val="both"/>
      </w:pPr>
      <w:bookmarkStart w:id="51" w:name="_Toc72850856"/>
      <w:bookmarkStart w:id="52" w:name="_Toc73525621"/>
      <w:r>
        <w:t>Search results and selection of evidence</w:t>
      </w:r>
      <w:bookmarkEnd w:id="51"/>
      <w:bookmarkEnd w:id="52"/>
    </w:p>
    <w:p w:rsidR="000B5CDF" w:rsidRDefault="009466D1" w:rsidP="00CB337B">
      <w:pPr>
        <w:jc w:val="both"/>
      </w:pPr>
      <w:r>
        <w:t xml:space="preserve">A total of </w:t>
      </w:r>
      <w:r w:rsidR="000B5CDF">
        <w:t>1</w:t>
      </w:r>
      <w:r w:rsidR="00F4612B">
        <w:t>,</w:t>
      </w:r>
      <w:r w:rsidR="000B5CDF">
        <w:t>052 records were identified through database searching</w:t>
      </w:r>
      <w:r w:rsidR="004C16F0">
        <w:t xml:space="preserve"> for systematic reviews/meta-analyses</w:t>
      </w:r>
      <w:r w:rsidR="000B5CDF">
        <w:t xml:space="preserve">, resulting in 778 abstracts for review after duplicates were removed. Of these, 137 abstracts were Cochrane systematic reviews. Following abstract screening, 30 Cochrane </w:t>
      </w:r>
      <w:r w:rsidR="00D67242">
        <w:t>R</w:t>
      </w:r>
      <w:r w:rsidR="000B5CDF">
        <w:t xml:space="preserve">eviews were eligible for full-text review. </w:t>
      </w:r>
      <w:r w:rsidR="00DB7415">
        <w:t>F</w:t>
      </w:r>
      <w:r w:rsidR="00B243B3">
        <w:t>ifteen</w:t>
      </w:r>
      <w:r w:rsidR="000B5CDF" w:rsidDel="00DD72AF">
        <w:t xml:space="preserve"> </w:t>
      </w:r>
      <w:r w:rsidR="000B5CDF">
        <w:t>studies were removed upon full-text review due to</w:t>
      </w:r>
      <w:r w:rsidR="009E02B0">
        <w:t>:</w:t>
      </w:r>
      <w:r w:rsidR="000B5CDF">
        <w:t xml:space="preserve"> incorrect intervention</w:t>
      </w:r>
      <w:r w:rsidR="009030B4">
        <w:t xml:space="preserve"> (</w:t>
      </w:r>
      <w:r w:rsidR="00CC18C2">
        <w:t>n=</w:t>
      </w:r>
      <w:r w:rsidR="000C3139">
        <w:t>2</w:t>
      </w:r>
      <w:r w:rsidR="009030B4">
        <w:t>),</w:t>
      </w:r>
      <w:r w:rsidR="000B5CDF" w:rsidDel="009030B4">
        <w:t xml:space="preserve"> </w:t>
      </w:r>
      <w:r w:rsidR="003F6210">
        <w:t>incorrect</w:t>
      </w:r>
      <w:r w:rsidR="009030B4">
        <w:t xml:space="preserve"> </w:t>
      </w:r>
      <w:r w:rsidR="000B5CDF">
        <w:t>comparator</w:t>
      </w:r>
      <w:r w:rsidR="009030B4">
        <w:t xml:space="preserve"> (</w:t>
      </w:r>
      <w:r w:rsidR="00CC18C2">
        <w:t>n=</w:t>
      </w:r>
      <w:r w:rsidR="001F6141">
        <w:t>2</w:t>
      </w:r>
      <w:r w:rsidR="00E32658">
        <w:t xml:space="preserve">), </w:t>
      </w:r>
      <w:r w:rsidR="00F8094A">
        <w:t xml:space="preserve">special </w:t>
      </w:r>
      <w:r w:rsidR="00100377">
        <w:t>population</w:t>
      </w:r>
      <w:r w:rsidR="00B243B3">
        <w:t>/s</w:t>
      </w:r>
      <w:r w:rsidR="00100377">
        <w:t xml:space="preserve"> not identified in TOR1 </w:t>
      </w:r>
      <w:r w:rsidR="00B243B3">
        <w:t xml:space="preserve">as a priority </w:t>
      </w:r>
      <w:r w:rsidR="00F8094A">
        <w:t>for review</w:t>
      </w:r>
      <w:r w:rsidR="009E02B0">
        <w:t xml:space="preserve"> (</w:t>
      </w:r>
      <w:r w:rsidR="00CC18C2">
        <w:t>n=</w:t>
      </w:r>
      <w:r w:rsidR="00B804CE">
        <w:t>1</w:t>
      </w:r>
      <w:r w:rsidR="00B243B3">
        <w:t>1</w:t>
      </w:r>
      <w:r w:rsidR="009E02B0">
        <w:t>)</w:t>
      </w:r>
      <w:r w:rsidR="000B5CDF">
        <w:t>, resulting in</w:t>
      </w:r>
      <w:r w:rsidR="000B5CDF" w:rsidDel="000A1B03">
        <w:t xml:space="preserve"> </w:t>
      </w:r>
      <w:r w:rsidR="000A1B03">
        <w:t>1</w:t>
      </w:r>
      <w:r w:rsidR="00B243B3">
        <w:t>5</w:t>
      </w:r>
      <w:r w:rsidR="000B5CDF">
        <w:t xml:space="preserve"> Cochrane </w:t>
      </w:r>
      <w:r w:rsidR="00280155">
        <w:t>R</w:t>
      </w:r>
      <w:r w:rsidR="000B5CDF">
        <w:t xml:space="preserve">eviews eligible for qualitative synthesis. </w:t>
      </w:r>
    </w:p>
    <w:p w:rsidR="00EC0DAD" w:rsidRDefault="000B5CDF" w:rsidP="00CB337B">
      <w:pPr>
        <w:jc w:val="both"/>
      </w:pPr>
      <w:r>
        <w:t xml:space="preserve">641 of the 778 abstracts identified were not Cochrane </w:t>
      </w:r>
      <w:r w:rsidR="00280155">
        <w:t>R</w:t>
      </w:r>
      <w:r>
        <w:t xml:space="preserve">eviews and, after initial abstract screening, 157 abstracts </w:t>
      </w:r>
      <w:r w:rsidR="00786A9D">
        <w:t xml:space="preserve">were </w:t>
      </w:r>
      <w:r>
        <w:t xml:space="preserve">eligible for </w:t>
      </w:r>
      <w:r w:rsidRPr="00D83325">
        <w:t>review</w:t>
      </w:r>
      <w:r>
        <w:t>.</w:t>
      </w:r>
      <w:r w:rsidDel="00F21BE9">
        <w:t xml:space="preserve"> </w:t>
      </w:r>
      <w:r w:rsidR="00DD69C7">
        <w:t xml:space="preserve">Upon comparison with the included Cochrane reviews, </w:t>
      </w:r>
      <w:r w:rsidR="00F21BE9">
        <w:t>14</w:t>
      </w:r>
      <w:r w:rsidR="00677DE2">
        <w:t>8</w:t>
      </w:r>
      <w:r w:rsidR="00F21BE9">
        <w:t xml:space="preserve"> </w:t>
      </w:r>
      <w:r>
        <w:t xml:space="preserve">of these </w:t>
      </w:r>
      <w:r w:rsidR="00460A39">
        <w:t>were</w:t>
      </w:r>
      <w:r>
        <w:t xml:space="preserve"> </w:t>
      </w:r>
      <w:r w:rsidR="00205183">
        <w:t xml:space="preserve">subsequently </w:t>
      </w:r>
      <w:r w:rsidR="007B096C">
        <w:t xml:space="preserve">excluded as they </w:t>
      </w:r>
      <w:r w:rsidR="00AC2397">
        <w:t>were published before the most</w:t>
      </w:r>
      <w:r w:rsidR="007B096C">
        <w:t xml:space="preserve"> </w:t>
      </w:r>
      <w:r w:rsidR="00D372CA">
        <w:t>recent</w:t>
      </w:r>
      <w:r w:rsidR="009B505D">
        <w:t xml:space="preserve"> Cochrane systematic review </w:t>
      </w:r>
      <w:r w:rsidR="00C72F58">
        <w:t xml:space="preserve">that was already </w:t>
      </w:r>
      <w:r w:rsidR="00843850">
        <w:t>included</w:t>
      </w:r>
      <w:r w:rsidR="006F1B90">
        <w:t xml:space="preserve"> or</w:t>
      </w:r>
      <w:r w:rsidR="00E7178A">
        <w:t xml:space="preserve"> </w:t>
      </w:r>
      <w:r w:rsidR="009928C5">
        <w:t>provided information about smoking cessation therapy in population</w:t>
      </w:r>
      <w:r w:rsidR="00E7178A">
        <w:t>s</w:t>
      </w:r>
      <w:r w:rsidR="009928C5">
        <w:t xml:space="preserve"> that w</w:t>
      </w:r>
      <w:r w:rsidR="00E7178A">
        <w:t>ere</w:t>
      </w:r>
      <w:r w:rsidR="009928C5">
        <w:t xml:space="preserve"> not </w:t>
      </w:r>
      <w:r w:rsidR="00CE5B4B">
        <w:t>prioritised for review in this PMR.</w:t>
      </w:r>
      <w:r w:rsidR="009D7A72">
        <w:t xml:space="preserve"> Upon full-text review, </w:t>
      </w:r>
      <w:r w:rsidR="00EE7091">
        <w:t>6</w:t>
      </w:r>
      <w:r w:rsidR="009D7A72">
        <w:t xml:space="preserve"> w</w:t>
      </w:r>
      <w:r w:rsidR="00010371">
        <w:t>ere</w:t>
      </w:r>
      <w:r w:rsidR="009D7A72">
        <w:t xml:space="preserve"> removed </w:t>
      </w:r>
      <w:r w:rsidR="00010371">
        <w:t>as they did</w:t>
      </w:r>
      <w:r w:rsidR="009D7A72">
        <w:t xml:space="preserve"> </w:t>
      </w:r>
      <w:r w:rsidR="006B1458">
        <w:t>not provid</w:t>
      </w:r>
      <w:r w:rsidR="00010371">
        <w:t>e</w:t>
      </w:r>
      <w:r w:rsidR="006B1458">
        <w:t xml:space="preserve"> additional data to the </w:t>
      </w:r>
      <w:r w:rsidR="00010371">
        <w:t xml:space="preserve">evidence base from the included </w:t>
      </w:r>
      <w:r w:rsidR="006B1458">
        <w:t xml:space="preserve">Cochrane </w:t>
      </w:r>
      <w:r w:rsidR="00EC0DAD">
        <w:t>R</w:t>
      </w:r>
      <w:r w:rsidR="006B1458">
        <w:t>eview</w:t>
      </w:r>
      <w:r w:rsidR="00010371">
        <w:t>s</w:t>
      </w:r>
      <w:r w:rsidR="0066459D">
        <w:t>, resulting in</w:t>
      </w:r>
      <w:r w:rsidR="004E253D">
        <w:t xml:space="preserve"> </w:t>
      </w:r>
      <w:r w:rsidR="00FF4E2B">
        <w:t>3</w:t>
      </w:r>
      <w:r w:rsidR="005307EA">
        <w:t xml:space="preserve"> </w:t>
      </w:r>
      <w:r w:rsidR="00C35829">
        <w:t xml:space="preserve">non-Cochrane reviews for inclusion. </w:t>
      </w:r>
    </w:p>
    <w:p w:rsidR="00BD08CE" w:rsidRDefault="00B555AB" w:rsidP="00CB337B">
      <w:pPr>
        <w:jc w:val="both"/>
      </w:pPr>
      <w:r>
        <w:t xml:space="preserve">For the supplemental literature search, </w:t>
      </w:r>
      <w:r w:rsidR="0039738B">
        <w:t>3</w:t>
      </w:r>
      <w:r w:rsidR="00EC0DAD">
        <w:t>,</w:t>
      </w:r>
      <w:r w:rsidR="0039738B">
        <w:t>093 records were identified through database searching, resulting in 1</w:t>
      </w:r>
      <w:r w:rsidR="007B143F">
        <w:t>,</w:t>
      </w:r>
      <w:r w:rsidR="0039738B">
        <w:t>124 abstracts for review after</w:t>
      </w:r>
      <w:r w:rsidR="00E90178">
        <w:t xml:space="preserve"> duplicates were removed. </w:t>
      </w:r>
      <w:r w:rsidR="0037220E">
        <w:t xml:space="preserve">Following abstract screening, </w:t>
      </w:r>
      <w:r w:rsidR="00E9558C">
        <w:t>79</w:t>
      </w:r>
      <w:r w:rsidR="00BD540B">
        <w:t xml:space="preserve"> were eligible for full-text review.</w:t>
      </w:r>
      <w:r w:rsidR="00C003F8">
        <w:t xml:space="preserve"> </w:t>
      </w:r>
      <w:r w:rsidR="00595F73">
        <w:t>Fifty-</w:t>
      </w:r>
      <w:r w:rsidR="00B77921">
        <w:t>eight</w:t>
      </w:r>
      <w:r w:rsidR="007608D7">
        <w:t xml:space="preserve"> studies were removed upon full-text review</w:t>
      </w:r>
      <w:r w:rsidR="00ED4C1C">
        <w:t xml:space="preserve"> </w:t>
      </w:r>
      <w:r w:rsidR="00ED4C1C" w:rsidRPr="0069658D">
        <w:t xml:space="preserve">due to: </w:t>
      </w:r>
      <w:r w:rsidR="00AF3E9A" w:rsidRPr="0069658D">
        <w:t>incorrect population</w:t>
      </w:r>
      <w:r w:rsidR="003D524A" w:rsidRPr="0069658D">
        <w:t xml:space="preserve"> (</w:t>
      </w:r>
      <w:r w:rsidR="00455B07" w:rsidRPr="0069658D">
        <w:t>n=</w:t>
      </w:r>
      <w:r w:rsidR="00FB342F" w:rsidRPr="0069658D">
        <w:t>5</w:t>
      </w:r>
      <w:r w:rsidR="003D524A" w:rsidRPr="0069658D">
        <w:t xml:space="preserve">), </w:t>
      </w:r>
      <w:r w:rsidR="00492DF3" w:rsidRPr="0069658D">
        <w:t>incorrect intervention (</w:t>
      </w:r>
      <w:r w:rsidR="00455B07" w:rsidRPr="0069658D">
        <w:t>n=</w:t>
      </w:r>
      <w:r w:rsidR="00492DF3" w:rsidRPr="0069658D">
        <w:t xml:space="preserve">9), </w:t>
      </w:r>
      <w:r w:rsidR="00AF3E9A" w:rsidRPr="0069658D">
        <w:t xml:space="preserve">incorrect </w:t>
      </w:r>
      <w:r w:rsidR="005C5A0F" w:rsidRPr="0069658D">
        <w:t>comparator (</w:t>
      </w:r>
      <w:r w:rsidR="00455B07" w:rsidRPr="0069658D">
        <w:t>n=</w:t>
      </w:r>
      <w:r w:rsidR="005D6831" w:rsidRPr="0069658D">
        <w:t>8</w:t>
      </w:r>
      <w:r w:rsidR="005C5A0F" w:rsidRPr="0069658D">
        <w:t>)</w:t>
      </w:r>
      <w:r w:rsidR="00F65FBB" w:rsidRPr="0069658D">
        <w:t xml:space="preserve">, </w:t>
      </w:r>
      <w:r w:rsidR="00AF3E9A" w:rsidRPr="0069658D">
        <w:t xml:space="preserve">irrelevant </w:t>
      </w:r>
      <w:r w:rsidR="00F65FBB" w:rsidRPr="0069658D">
        <w:t>outcome (</w:t>
      </w:r>
      <w:r w:rsidR="00455B07" w:rsidRPr="0069658D">
        <w:t>n=</w:t>
      </w:r>
      <w:r w:rsidR="003C1C43" w:rsidRPr="0069658D">
        <w:t>1</w:t>
      </w:r>
      <w:r w:rsidR="00B52D82" w:rsidRPr="0069658D">
        <w:t>9</w:t>
      </w:r>
      <w:r w:rsidR="00F65FBB" w:rsidRPr="0069658D">
        <w:t>)</w:t>
      </w:r>
      <w:r w:rsidR="00D0796D" w:rsidRPr="0069658D">
        <w:t xml:space="preserve">, </w:t>
      </w:r>
      <w:r w:rsidR="00FC2ED0" w:rsidRPr="0069658D">
        <w:t>incorrect</w:t>
      </w:r>
      <w:r w:rsidR="003C433D" w:rsidRPr="0069658D">
        <w:t xml:space="preserve"> </w:t>
      </w:r>
      <w:r w:rsidR="00C25238" w:rsidRPr="0069658D">
        <w:t>study design (</w:t>
      </w:r>
      <w:r w:rsidR="00455B07" w:rsidRPr="0069658D">
        <w:t>=</w:t>
      </w:r>
      <w:r w:rsidR="00B02AD5" w:rsidRPr="0069658D">
        <w:t>2</w:t>
      </w:r>
      <w:r w:rsidR="00C25238" w:rsidRPr="0069658D">
        <w:t>)</w:t>
      </w:r>
      <w:r w:rsidR="009A7974" w:rsidRPr="0069658D">
        <w:t>,</w:t>
      </w:r>
      <w:r w:rsidR="009A7974">
        <w:t xml:space="preserve"> included in Cochrane systematic review (</w:t>
      </w:r>
      <w:r w:rsidR="003D1749">
        <w:t>n=</w:t>
      </w:r>
      <w:r w:rsidR="007415EF">
        <w:t>1</w:t>
      </w:r>
      <w:r w:rsidR="00BF1D6D">
        <w:t>5</w:t>
      </w:r>
      <w:r w:rsidR="009A7974">
        <w:t>)</w:t>
      </w:r>
      <w:r w:rsidR="009B4449">
        <w:t xml:space="preserve">, resulting in </w:t>
      </w:r>
      <w:r w:rsidR="00BB2AA4">
        <w:t>1</w:t>
      </w:r>
      <w:r w:rsidR="00F50592">
        <w:t>9</w:t>
      </w:r>
      <w:r w:rsidR="00AE3E29">
        <w:t xml:space="preserve"> RCTs </w:t>
      </w:r>
      <w:r w:rsidR="00BB2AA4">
        <w:t xml:space="preserve">with data to update </w:t>
      </w:r>
      <w:r w:rsidR="00737A13">
        <w:t xml:space="preserve">primary evidence base </w:t>
      </w:r>
      <w:r w:rsidR="00C229A9">
        <w:t>with t</w:t>
      </w:r>
      <w:r w:rsidR="00737A13">
        <w:t xml:space="preserve">he remaining </w:t>
      </w:r>
      <w:r w:rsidR="00F658C3">
        <w:t>two</w:t>
      </w:r>
      <w:r w:rsidR="00D52C93">
        <w:t xml:space="preserve"> studies </w:t>
      </w:r>
      <w:r w:rsidR="00C229A9">
        <w:t xml:space="preserve">being </w:t>
      </w:r>
      <w:r w:rsidR="00F81B17">
        <w:t>ongoing</w:t>
      </w:r>
      <w:r w:rsidR="00D52C93">
        <w:t xml:space="preserve">. </w:t>
      </w:r>
    </w:p>
    <w:p w:rsidR="000B5CDF" w:rsidRDefault="000B5CDF" w:rsidP="00CB337B">
      <w:pPr>
        <w:jc w:val="both"/>
      </w:pPr>
      <w:r>
        <w:t>The PRISMA diagram</w:t>
      </w:r>
      <w:r w:rsidR="00350E52">
        <w:t>s</w:t>
      </w:r>
      <w:r>
        <w:t xml:space="preserve"> </w:t>
      </w:r>
      <w:r w:rsidR="00BD08CE">
        <w:t xml:space="preserve">for the primary literature search and the supplemental literature search </w:t>
      </w:r>
      <w:r w:rsidR="00CD2571">
        <w:t xml:space="preserve">are </w:t>
      </w:r>
      <w:r>
        <w:t xml:space="preserve">presented in </w:t>
      </w:r>
      <w:r w:rsidRPr="00EA6EC3">
        <w:t>Appendix</w:t>
      </w:r>
      <w:r w:rsidR="00CC79BD">
        <w:t xml:space="preserve"> A.3, </w:t>
      </w:r>
      <w:r w:rsidR="003C4A1C">
        <w:t xml:space="preserve">Figure </w:t>
      </w:r>
      <w:r w:rsidR="003C4A1C">
        <w:rPr>
          <w:noProof/>
        </w:rPr>
        <w:t>46</w:t>
      </w:r>
      <w:r w:rsidR="00114959">
        <w:t xml:space="preserve"> </w:t>
      </w:r>
      <w:r w:rsidR="00CC79BD">
        <w:t xml:space="preserve">and </w:t>
      </w:r>
      <w:r w:rsidR="003C4A1C">
        <w:t xml:space="preserve">Figure </w:t>
      </w:r>
      <w:r w:rsidR="003C4A1C">
        <w:rPr>
          <w:noProof/>
        </w:rPr>
        <w:t>47</w:t>
      </w:r>
      <w:r w:rsidR="00CC79BD">
        <w:t>.</w:t>
      </w:r>
    </w:p>
    <w:p w:rsidR="002941F9" w:rsidRDefault="002941F9" w:rsidP="002941F9">
      <w:pPr>
        <w:pStyle w:val="Caption"/>
        <w:keepNext/>
        <w:jc w:val="both"/>
      </w:pPr>
      <w:bookmarkStart w:id="53" w:name="_Ref61474499"/>
      <w:r>
        <w:lastRenderedPageBreak/>
        <w:t xml:space="preserve">Table </w:t>
      </w:r>
      <w:r w:rsidR="003C4A1C">
        <w:rPr>
          <w:noProof/>
        </w:rPr>
        <w:t>2</w:t>
      </w:r>
      <w:bookmarkEnd w:id="53"/>
      <w:r>
        <w:t>: Search limits for PBS-listed therapy comparisons</w:t>
      </w:r>
    </w:p>
    <w:tbl>
      <w:tblPr>
        <w:tblStyle w:val="TableGrid1"/>
        <w:tblW w:w="0" w:type="auto"/>
        <w:tblLook w:val="04A0" w:firstRow="1" w:lastRow="0" w:firstColumn="1" w:lastColumn="0" w:noHBand="0" w:noVBand="1"/>
      </w:tblPr>
      <w:tblGrid>
        <w:gridCol w:w="988"/>
        <w:gridCol w:w="1984"/>
        <w:gridCol w:w="3790"/>
        <w:gridCol w:w="2254"/>
      </w:tblGrid>
      <w:tr w:rsidR="002941F9" w:rsidRPr="004A2567" w:rsidTr="0071686D">
        <w:trPr>
          <w:tblHeader/>
        </w:trPr>
        <w:tc>
          <w:tcPr>
            <w:tcW w:w="988" w:type="dxa"/>
            <w:shd w:val="clear" w:color="auto" w:fill="BFBFBF" w:themeFill="background1" w:themeFillShade="BF"/>
          </w:tcPr>
          <w:p w:rsidR="002941F9" w:rsidRPr="00545E9D" w:rsidRDefault="002941F9" w:rsidP="00975395">
            <w:pPr>
              <w:pStyle w:val="Tablewriting"/>
              <w:keepNext/>
              <w:rPr>
                <w:b/>
                <w:bCs/>
              </w:rPr>
            </w:pPr>
            <w:r w:rsidRPr="0027681B">
              <w:rPr>
                <w:b/>
              </w:rPr>
              <w:t>Search</w:t>
            </w:r>
          </w:p>
        </w:tc>
        <w:tc>
          <w:tcPr>
            <w:tcW w:w="1984" w:type="dxa"/>
            <w:shd w:val="clear" w:color="auto" w:fill="BFBFBF" w:themeFill="background1" w:themeFillShade="BF"/>
          </w:tcPr>
          <w:p w:rsidR="002941F9" w:rsidRPr="00545E9D" w:rsidRDefault="002941F9" w:rsidP="00975395">
            <w:pPr>
              <w:pStyle w:val="Tablewriting"/>
              <w:keepNext/>
              <w:jc w:val="center"/>
              <w:rPr>
                <w:b/>
                <w:bCs/>
              </w:rPr>
            </w:pPr>
            <w:r w:rsidRPr="00545E9D">
              <w:rPr>
                <w:b/>
                <w:bCs/>
              </w:rPr>
              <w:t>PBS-listed therapy</w:t>
            </w:r>
          </w:p>
        </w:tc>
        <w:tc>
          <w:tcPr>
            <w:tcW w:w="3790" w:type="dxa"/>
            <w:shd w:val="clear" w:color="auto" w:fill="BFBFBF" w:themeFill="background1" w:themeFillShade="BF"/>
          </w:tcPr>
          <w:p w:rsidR="002941F9" w:rsidRPr="00545E9D" w:rsidRDefault="002941F9" w:rsidP="00975395">
            <w:pPr>
              <w:pStyle w:val="Tablewriting"/>
              <w:keepNext/>
              <w:jc w:val="center"/>
              <w:rPr>
                <w:b/>
                <w:bCs/>
              </w:rPr>
            </w:pPr>
            <w:r w:rsidRPr="00545E9D">
              <w:rPr>
                <w:b/>
                <w:bCs/>
              </w:rPr>
              <w:t>Comparators</w:t>
            </w:r>
          </w:p>
        </w:tc>
        <w:tc>
          <w:tcPr>
            <w:tcW w:w="2254" w:type="dxa"/>
            <w:shd w:val="clear" w:color="auto" w:fill="BFBFBF" w:themeFill="background1" w:themeFillShade="BF"/>
          </w:tcPr>
          <w:p w:rsidR="002941F9" w:rsidRPr="00545E9D" w:rsidRDefault="002941F9" w:rsidP="00975395">
            <w:pPr>
              <w:pStyle w:val="Tablewriting"/>
              <w:keepNext/>
              <w:jc w:val="center"/>
              <w:rPr>
                <w:b/>
                <w:bCs/>
              </w:rPr>
            </w:pPr>
            <w:r w:rsidRPr="00545E9D">
              <w:rPr>
                <w:b/>
                <w:bCs/>
              </w:rPr>
              <w:t>Search limits</w:t>
            </w:r>
          </w:p>
        </w:tc>
      </w:tr>
      <w:tr w:rsidR="002941F9" w:rsidRPr="004A2567" w:rsidTr="005A3F39">
        <w:tc>
          <w:tcPr>
            <w:tcW w:w="988" w:type="dxa"/>
          </w:tcPr>
          <w:p w:rsidR="002941F9" w:rsidRPr="004A2567" w:rsidRDefault="002941F9" w:rsidP="00975395">
            <w:pPr>
              <w:pStyle w:val="Tablewriting"/>
              <w:keepNext/>
            </w:pPr>
            <w:r w:rsidRPr="004A2567">
              <w:t>1</w:t>
            </w:r>
          </w:p>
        </w:tc>
        <w:tc>
          <w:tcPr>
            <w:tcW w:w="1984" w:type="dxa"/>
          </w:tcPr>
          <w:p w:rsidR="002941F9" w:rsidRPr="004A2567" w:rsidRDefault="002941F9" w:rsidP="00975395">
            <w:pPr>
              <w:pStyle w:val="Tablewriting"/>
              <w:keepNext/>
            </w:pPr>
            <w:r w:rsidRPr="004A2567">
              <w:t>Bupropion</w:t>
            </w:r>
          </w:p>
        </w:tc>
        <w:tc>
          <w:tcPr>
            <w:tcW w:w="3790" w:type="dxa"/>
          </w:tcPr>
          <w:p w:rsidR="002941F9" w:rsidRPr="004A2567" w:rsidRDefault="002941F9" w:rsidP="00975395">
            <w:pPr>
              <w:pStyle w:val="Tablewriting"/>
              <w:keepNext/>
            </w:pPr>
            <w:r w:rsidRPr="004A2567">
              <w:t>Placebo, NRT, Varenicline</w:t>
            </w:r>
          </w:p>
        </w:tc>
        <w:tc>
          <w:tcPr>
            <w:tcW w:w="2254" w:type="dxa"/>
          </w:tcPr>
          <w:p w:rsidR="002941F9" w:rsidRPr="004A2567" w:rsidRDefault="002941F9" w:rsidP="00975395">
            <w:pPr>
              <w:pStyle w:val="Tablewriting"/>
              <w:keepNext/>
            </w:pPr>
            <w:r w:rsidRPr="004A2567">
              <w:t>May 2019 to current</w:t>
            </w:r>
          </w:p>
        </w:tc>
      </w:tr>
      <w:tr w:rsidR="002941F9" w:rsidRPr="004A2567" w:rsidTr="005A3F39">
        <w:tc>
          <w:tcPr>
            <w:tcW w:w="988" w:type="dxa"/>
          </w:tcPr>
          <w:p w:rsidR="002941F9" w:rsidRPr="004A2567" w:rsidRDefault="002941F9" w:rsidP="00975395">
            <w:pPr>
              <w:pStyle w:val="Tablewriting"/>
              <w:keepNext/>
            </w:pPr>
            <w:r w:rsidRPr="004A2567">
              <w:t>2</w:t>
            </w:r>
          </w:p>
        </w:tc>
        <w:tc>
          <w:tcPr>
            <w:tcW w:w="1984" w:type="dxa"/>
          </w:tcPr>
          <w:p w:rsidR="002941F9" w:rsidRPr="004A2567" w:rsidRDefault="002941F9" w:rsidP="00975395">
            <w:pPr>
              <w:pStyle w:val="Tablewriting"/>
              <w:keepNext/>
            </w:pPr>
            <w:r w:rsidRPr="004A2567">
              <w:t>Varenicline</w:t>
            </w:r>
          </w:p>
        </w:tc>
        <w:tc>
          <w:tcPr>
            <w:tcW w:w="3790" w:type="dxa"/>
          </w:tcPr>
          <w:p w:rsidR="002941F9" w:rsidRPr="004A2567" w:rsidRDefault="002941F9" w:rsidP="00975395">
            <w:pPr>
              <w:pStyle w:val="Tablewriting"/>
              <w:keepNext/>
            </w:pPr>
            <w:r w:rsidRPr="004A2567">
              <w:t>Placebo, NRT, Bupropion</w:t>
            </w:r>
          </w:p>
        </w:tc>
        <w:tc>
          <w:tcPr>
            <w:tcW w:w="2254" w:type="dxa"/>
          </w:tcPr>
          <w:p w:rsidR="002941F9" w:rsidRPr="004A2567" w:rsidRDefault="002941F9" w:rsidP="00975395">
            <w:pPr>
              <w:pStyle w:val="Tablewriting"/>
              <w:keepNext/>
            </w:pPr>
            <w:r w:rsidRPr="004A2567">
              <w:t>May 2015 to current</w:t>
            </w:r>
          </w:p>
        </w:tc>
      </w:tr>
      <w:tr w:rsidR="002941F9" w:rsidRPr="004A2567" w:rsidTr="005A3F39">
        <w:tc>
          <w:tcPr>
            <w:tcW w:w="988" w:type="dxa"/>
          </w:tcPr>
          <w:p w:rsidR="002941F9" w:rsidRPr="004A2567" w:rsidRDefault="002941F9" w:rsidP="00975395">
            <w:pPr>
              <w:pStyle w:val="Tablewriting"/>
              <w:keepNext/>
            </w:pPr>
            <w:r w:rsidRPr="004A2567">
              <w:t>3</w:t>
            </w:r>
          </w:p>
        </w:tc>
        <w:tc>
          <w:tcPr>
            <w:tcW w:w="1984" w:type="dxa"/>
          </w:tcPr>
          <w:p w:rsidR="002941F9" w:rsidRPr="004A2567" w:rsidRDefault="002941F9" w:rsidP="00975395">
            <w:pPr>
              <w:pStyle w:val="Tablewriting"/>
              <w:keepNext/>
            </w:pPr>
            <w:r w:rsidRPr="004A2567">
              <w:t>NRT (patch, lozenge, gum)</w:t>
            </w:r>
          </w:p>
        </w:tc>
        <w:tc>
          <w:tcPr>
            <w:tcW w:w="3790" w:type="dxa"/>
          </w:tcPr>
          <w:p w:rsidR="002941F9" w:rsidRPr="004A2567" w:rsidRDefault="002941F9" w:rsidP="00975395">
            <w:pPr>
              <w:pStyle w:val="Tablewriting"/>
              <w:keepNext/>
            </w:pPr>
            <w:r w:rsidRPr="004A2567">
              <w:t>Placebo</w:t>
            </w:r>
          </w:p>
        </w:tc>
        <w:tc>
          <w:tcPr>
            <w:tcW w:w="2254" w:type="dxa"/>
          </w:tcPr>
          <w:p w:rsidR="002941F9" w:rsidRPr="004A2567" w:rsidRDefault="002941F9" w:rsidP="00975395">
            <w:pPr>
              <w:pStyle w:val="Tablewriting"/>
              <w:keepNext/>
            </w:pPr>
            <w:r w:rsidRPr="004A2567">
              <w:t>July 2017 to current</w:t>
            </w:r>
          </w:p>
        </w:tc>
      </w:tr>
      <w:tr w:rsidR="002941F9" w:rsidRPr="004A2567" w:rsidTr="005A3F39">
        <w:tc>
          <w:tcPr>
            <w:tcW w:w="988" w:type="dxa"/>
          </w:tcPr>
          <w:p w:rsidR="002941F9" w:rsidRPr="004A2567" w:rsidRDefault="002941F9" w:rsidP="00975395">
            <w:pPr>
              <w:pStyle w:val="Tablewriting"/>
              <w:keepNext/>
            </w:pPr>
            <w:r w:rsidRPr="004A2567">
              <w:t>4</w:t>
            </w:r>
          </w:p>
        </w:tc>
        <w:tc>
          <w:tcPr>
            <w:tcW w:w="1984" w:type="dxa"/>
          </w:tcPr>
          <w:p w:rsidR="002941F9" w:rsidRPr="004A2567" w:rsidRDefault="002941F9" w:rsidP="00975395">
            <w:pPr>
              <w:pStyle w:val="Tablewriting"/>
              <w:keepNext/>
            </w:pPr>
            <w:r w:rsidRPr="004A2567">
              <w:t>NRT (any dose, form, duration, schedule)</w:t>
            </w:r>
          </w:p>
        </w:tc>
        <w:tc>
          <w:tcPr>
            <w:tcW w:w="3790" w:type="dxa"/>
          </w:tcPr>
          <w:p w:rsidR="002941F9" w:rsidRPr="004A2567" w:rsidRDefault="002941F9" w:rsidP="00975395">
            <w:pPr>
              <w:pStyle w:val="Tablewriting"/>
              <w:keepNext/>
            </w:pPr>
            <w:r w:rsidRPr="004A2567">
              <w:t>Other NRT dose, form, duration, schedule</w:t>
            </w:r>
          </w:p>
        </w:tc>
        <w:tc>
          <w:tcPr>
            <w:tcW w:w="2254" w:type="dxa"/>
          </w:tcPr>
          <w:p w:rsidR="002941F9" w:rsidRPr="004A2567" w:rsidRDefault="002941F9" w:rsidP="00975395">
            <w:pPr>
              <w:pStyle w:val="Tablewriting"/>
              <w:keepNext/>
            </w:pPr>
            <w:r w:rsidRPr="004A2567">
              <w:t>April 2018 to current</w:t>
            </w:r>
          </w:p>
        </w:tc>
      </w:tr>
    </w:tbl>
    <w:p w:rsidR="002941F9" w:rsidRPr="00C47240" w:rsidRDefault="002941F9" w:rsidP="002941F9">
      <w:pPr>
        <w:jc w:val="both"/>
        <w:rPr>
          <w:sz w:val="20"/>
          <w:szCs w:val="18"/>
        </w:rPr>
      </w:pPr>
      <w:r w:rsidRPr="00C47240">
        <w:rPr>
          <w:sz w:val="20"/>
          <w:szCs w:val="18"/>
        </w:rPr>
        <w:t>Abbreviations: NRT = nicotine replacement therapy</w:t>
      </w:r>
      <w:r>
        <w:rPr>
          <w:sz w:val="20"/>
          <w:szCs w:val="18"/>
        </w:rPr>
        <w:t xml:space="preserve">. </w:t>
      </w:r>
    </w:p>
    <w:p w:rsidR="000B5CDF" w:rsidRDefault="000B5CDF" w:rsidP="00CF4741">
      <w:pPr>
        <w:pStyle w:val="Heading4"/>
        <w:numPr>
          <w:ilvl w:val="0"/>
          <w:numId w:val="0"/>
        </w:numPr>
        <w:jc w:val="both"/>
      </w:pPr>
      <w:r>
        <w:t>Cochrane systematic reviews</w:t>
      </w:r>
    </w:p>
    <w:p w:rsidR="00FC20FA" w:rsidRDefault="000B5CDF" w:rsidP="00CB337B">
      <w:pPr>
        <w:jc w:val="both"/>
      </w:pPr>
      <w:r>
        <w:t>The characteristics of the included Cochrane systematic reviews (n=</w:t>
      </w:r>
      <w:r w:rsidR="00805945">
        <w:t>1</w:t>
      </w:r>
      <w:r w:rsidR="001E523C">
        <w:t>5</w:t>
      </w:r>
      <w:r>
        <w:t>) are presented in</w:t>
      </w:r>
      <w:r w:rsidR="00616410">
        <w:t xml:space="preserve"> </w:t>
      </w:r>
      <w:r>
        <w:t xml:space="preserve">Appendix </w:t>
      </w:r>
      <w:r w:rsidR="00616410">
        <w:t>A.</w:t>
      </w:r>
      <w:r w:rsidR="00E56EDC">
        <w:t>4</w:t>
      </w:r>
      <w:r w:rsidR="00616410">
        <w:t xml:space="preserve">, </w:t>
      </w:r>
      <w:r w:rsidR="003C4A1C">
        <w:t xml:space="preserve">Table </w:t>
      </w:r>
      <w:r w:rsidR="003C4A1C">
        <w:rPr>
          <w:noProof/>
        </w:rPr>
        <w:t>137</w:t>
      </w:r>
      <w:r>
        <w:t xml:space="preserve">. </w:t>
      </w:r>
      <w:r w:rsidR="000378CA">
        <w:t>A m</w:t>
      </w:r>
      <w:r w:rsidR="000378CA" w:rsidRPr="000378CA">
        <w:t xml:space="preserve">atrix of included Cochrane reviews </w:t>
      </w:r>
      <w:r w:rsidR="0026655A">
        <w:t xml:space="preserve">which </w:t>
      </w:r>
      <w:r w:rsidR="00B53CFC">
        <w:t>indicat</w:t>
      </w:r>
      <w:r w:rsidR="0026655A">
        <w:t>es</w:t>
      </w:r>
      <w:r w:rsidR="00B53CFC">
        <w:t xml:space="preserve"> </w:t>
      </w:r>
      <w:r w:rsidR="000378CA" w:rsidRPr="000378CA">
        <w:t>research questions addressed</w:t>
      </w:r>
      <w:r w:rsidR="005043B4">
        <w:t xml:space="preserve"> </w:t>
      </w:r>
      <w:r w:rsidR="00B53CFC">
        <w:t xml:space="preserve">by each review </w:t>
      </w:r>
      <w:r w:rsidR="005043B4">
        <w:t>is presented in</w:t>
      </w:r>
      <w:r w:rsidR="00793D5C">
        <w:t xml:space="preserve"> </w:t>
      </w:r>
      <w:r w:rsidR="003C4A1C">
        <w:t xml:space="preserve">Table </w:t>
      </w:r>
      <w:r w:rsidR="003C4A1C">
        <w:rPr>
          <w:noProof/>
        </w:rPr>
        <w:t>3</w:t>
      </w:r>
      <w:r w:rsidR="00C63660">
        <w:t>.</w:t>
      </w:r>
      <w:r w:rsidR="005E0CF7">
        <w:t xml:space="preserve"> If multiple reviews </w:t>
      </w:r>
      <w:r w:rsidR="00A160AC">
        <w:t>provided estimates for the same comparison, the most recent review was used.</w:t>
      </w:r>
      <w:r w:rsidR="009358AB">
        <w:t xml:space="preserve"> </w:t>
      </w:r>
      <w:r w:rsidR="00C75F3F">
        <w:t>The</w:t>
      </w:r>
      <w:r w:rsidR="009358AB">
        <w:t xml:space="preserve"> risk of bias assessment </w:t>
      </w:r>
      <w:r w:rsidR="00FA3AD6">
        <w:t>for</w:t>
      </w:r>
      <w:r w:rsidR="00CD4601">
        <w:t xml:space="preserve"> the</w:t>
      </w:r>
      <w:r w:rsidR="00FA3AD6" w:rsidRPr="00FA3AD6">
        <w:t xml:space="preserve"> Cochrane systematic reviews</w:t>
      </w:r>
      <w:r w:rsidR="00CD4601">
        <w:t xml:space="preserve"> is</w:t>
      </w:r>
      <w:r w:rsidR="00FA3AD6">
        <w:t xml:space="preserve"> </w:t>
      </w:r>
      <w:r w:rsidR="009358AB">
        <w:t xml:space="preserve">presented in </w:t>
      </w:r>
      <w:r w:rsidR="00EE28B9">
        <w:t xml:space="preserve">Appendix </w:t>
      </w:r>
      <w:r w:rsidR="009358AB">
        <w:t>A</w:t>
      </w:r>
      <w:r w:rsidR="00EE28B9">
        <w:t>.</w:t>
      </w:r>
      <w:r w:rsidR="00B16FFF">
        <w:t>5</w:t>
      </w:r>
      <w:r w:rsidR="00EE28B9">
        <w:t>,</w:t>
      </w:r>
      <w:r w:rsidR="00E55595">
        <w:t xml:space="preserve"> </w:t>
      </w:r>
      <w:r w:rsidR="003C4A1C">
        <w:t xml:space="preserve">Table </w:t>
      </w:r>
      <w:r w:rsidR="003C4A1C">
        <w:rPr>
          <w:noProof/>
        </w:rPr>
        <w:t>138</w:t>
      </w:r>
      <w:r w:rsidR="00624825" w:rsidRPr="000C799F">
        <w:t xml:space="preserve"> and </w:t>
      </w:r>
      <w:r w:rsidR="003C4A1C">
        <w:t xml:space="preserve">Table </w:t>
      </w:r>
      <w:r w:rsidR="003C4A1C">
        <w:rPr>
          <w:noProof/>
        </w:rPr>
        <w:t>139</w:t>
      </w:r>
      <w:r w:rsidR="009358AB">
        <w:t>.</w:t>
      </w:r>
    </w:p>
    <w:p w:rsidR="00323E15" w:rsidRDefault="001504DF" w:rsidP="00CB337B">
      <w:pPr>
        <w:jc w:val="both"/>
      </w:pPr>
      <w:r>
        <w:t>Overall, the</w:t>
      </w:r>
      <w:r w:rsidR="00F807EC">
        <w:t xml:space="preserve"> included</w:t>
      </w:r>
      <w:r>
        <w:t xml:space="preserve"> </w:t>
      </w:r>
      <w:r w:rsidR="00AA5869">
        <w:t xml:space="preserve">Cochrane systematic reviews were assessed to be of </w:t>
      </w:r>
      <w:r w:rsidR="00F04A44">
        <w:t>high quality</w:t>
      </w:r>
      <w:r w:rsidR="000A7B84">
        <w:t>.</w:t>
      </w:r>
      <w:r>
        <w:t xml:space="preserve"> </w:t>
      </w:r>
      <w:r w:rsidR="0095125F">
        <w:t>There were no critical flaws identified in any of the reviews.</w:t>
      </w:r>
      <w:r>
        <w:t xml:space="preserve"> </w:t>
      </w:r>
    </w:p>
    <w:p w:rsidR="00FC20FA" w:rsidRPr="00087719" w:rsidRDefault="00FC20FA" w:rsidP="00CF4741">
      <w:pPr>
        <w:pStyle w:val="Heading4"/>
        <w:numPr>
          <w:ilvl w:val="0"/>
          <w:numId w:val="0"/>
        </w:numPr>
      </w:pPr>
      <w:r w:rsidRPr="00087719">
        <w:t>Non-Cochrane evidence</w:t>
      </w:r>
    </w:p>
    <w:p w:rsidR="00FC20FA" w:rsidRDefault="00FC20FA" w:rsidP="00C75F3F">
      <w:pPr>
        <w:jc w:val="both"/>
      </w:pPr>
      <w:r>
        <w:t xml:space="preserve">The characteristics of the included non-Cochrane systematic reviews (n=3) are presented in Appendix A.6, </w:t>
      </w:r>
      <w:r w:rsidR="003C4A1C">
        <w:t xml:space="preserve">Table </w:t>
      </w:r>
      <w:r w:rsidR="003C4A1C">
        <w:rPr>
          <w:noProof/>
        </w:rPr>
        <w:t>140</w:t>
      </w:r>
      <w:r>
        <w:t xml:space="preserve">. </w:t>
      </w:r>
      <w:r w:rsidR="00C75F3F">
        <w:t xml:space="preserve">The risk of bias assessment </w:t>
      </w:r>
      <w:r w:rsidR="00CD4601">
        <w:t xml:space="preserve">for the </w:t>
      </w:r>
      <w:r w:rsidR="00CD4601" w:rsidRPr="00CD4601">
        <w:t>non-Cochrane systematic reviews</w:t>
      </w:r>
      <w:r w:rsidR="00CD4601">
        <w:t xml:space="preserve"> is</w:t>
      </w:r>
      <w:r w:rsidR="00CD4601" w:rsidRPr="00CD4601">
        <w:t xml:space="preserve"> </w:t>
      </w:r>
      <w:r w:rsidR="00C75F3F">
        <w:t xml:space="preserve">presented in </w:t>
      </w:r>
      <w:r w:rsidR="00EE28B9">
        <w:t xml:space="preserve">Appendix </w:t>
      </w:r>
      <w:r w:rsidR="00C75F3F">
        <w:t>A</w:t>
      </w:r>
      <w:r w:rsidR="00EE28B9">
        <w:t>.</w:t>
      </w:r>
      <w:r w:rsidR="00460ADA">
        <w:t>7</w:t>
      </w:r>
      <w:r w:rsidR="00EE28B9">
        <w:t xml:space="preserve">, </w:t>
      </w:r>
      <w:r w:rsidR="003C4A1C">
        <w:t xml:space="preserve">Table </w:t>
      </w:r>
      <w:r w:rsidR="003C4A1C">
        <w:rPr>
          <w:noProof/>
        </w:rPr>
        <w:t>141</w:t>
      </w:r>
      <w:r w:rsidR="00C75F3F">
        <w:t>.</w:t>
      </w:r>
    </w:p>
    <w:p w:rsidR="00323E15" w:rsidRDefault="00F807EC" w:rsidP="00C75F3F">
      <w:pPr>
        <w:jc w:val="both"/>
      </w:pPr>
      <w:r>
        <w:t xml:space="preserve">The </w:t>
      </w:r>
      <w:r w:rsidR="00D4149F">
        <w:t>three non-Cochrane systematic reviews</w:t>
      </w:r>
      <w:r w:rsidR="00C63BFE">
        <w:t xml:space="preserve"> (Chang 2015, Myung 2019, </w:t>
      </w:r>
      <w:r w:rsidR="00777459">
        <w:t>and Selph</w:t>
      </w:r>
      <w:r w:rsidR="00C63BFE">
        <w:t xml:space="preserve"> 2020)</w:t>
      </w:r>
      <w:r w:rsidR="008C0A6E">
        <w:t xml:space="preserve"> were assessed to be of low </w:t>
      </w:r>
      <w:r w:rsidR="00B43A01">
        <w:t xml:space="preserve">to moderate </w:t>
      </w:r>
      <w:r w:rsidR="003B34A2">
        <w:t>quality</w:t>
      </w:r>
      <w:r w:rsidR="00652F64">
        <w:t xml:space="preserve"> due to flaw</w:t>
      </w:r>
      <w:r w:rsidR="000A48AE">
        <w:t>s</w:t>
      </w:r>
      <w:r w:rsidR="00652F64">
        <w:t xml:space="preserve"> identified</w:t>
      </w:r>
      <w:r w:rsidR="001350DF">
        <w:t xml:space="preserve"> </w:t>
      </w:r>
      <w:r w:rsidR="002C1E8F">
        <w:t>in</w:t>
      </w:r>
      <w:r w:rsidR="001350DF">
        <w:t xml:space="preserve"> the</w:t>
      </w:r>
      <w:r w:rsidR="00652F64">
        <w:t xml:space="preserve"> AMSTAR 2 critical domains. </w:t>
      </w:r>
      <w:r w:rsidR="002C23BF">
        <w:t xml:space="preserve">None of the </w:t>
      </w:r>
      <w:r w:rsidR="00464AFA">
        <w:t>studies</w:t>
      </w:r>
      <w:r w:rsidR="002C23BF">
        <w:t xml:space="preserve"> </w:t>
      </w:r>
      <w:r w:rsidR="00464AFA">
        <w:t>stated whether a protocol was registered before commencement of the review.</w:t>
      </w:r>
      <w:r w:rsidR="00D4149F">
        <w:t xml:space="preserve"> </w:t>
      </w:r>
      <w:r w:rsidR="00007BF6">
        <w:t xml:space="preserve">Chang et al. (2015) did not </w:t>
      </w:r>
      <w:r w:rsidR="00007BF6" w:rsidRPr="00007BF6">
        <w:t>provide a list</w:t>
      </w:r>
      <w:r w:rsidR="007C199D">
        <w:t xml:space="preserve"> and justification</w:t>
      </w:r>
      <w:r w:rsidR="00007BF6" w:rsidRPr="00007BF6">
        <w:t xml:space="preserve"> of excluded studies</w:t>
      </w:r>
      <w:r w:rsidR="005B2ED4">
        <w:t>.</w:t>
      </w:r>
      <w:r w:rsidR="00181B29">
        <w:t xml:space="preserve"> Selph</w:t>
      </w:r>
      <w:r w:rsidR="00B43A01">
        <w:t xml:space="preserve"> et al.</w:t>
      </w:r>
      <w:r w:rsidR="000A48AE">
        <w:t xml:space="preserve"> (2020)</w:t>
      </w:r>
      <w:r w:rsidR="00BE445D">
        <w:t xml:space="preserve"> did not assess the presence and likely impact of publication bias.</w:t>
      </w:r>
    </w:p>
    <w:p w:rsidR="00FC20FA" w:rsidRPr="00087719" w:rsidRDefault="00FC20FA" w:rsidP="00CF4741">
      <w:pPr>
        <w:pStyle w:val="Heading4"/>
        <w:numPr>
          <w:ilvl w:val="0"/>
          <w:numId w:val="0"/>
        </w:numPr>
      </w:pPr>
      <w:r w:rsidRPr="00087719">
        <w:t>Supplemental literature search</w:t>
      </w:r>
    </w:p>
    <w:p w:rsidR="00C75F3F" w:rsidRDefault="00FC20FA" w:rsidP="00C75F3F">
      <w:pPr>
        <w:jc w:val="both"/>
      </w:pPr>
      <w:r>
        <w:t>The characteristics of the RCTs (n=21) included in the supplemental literature search are presented in Appendix A.</w:t>
      </w:r>
      <w:r w:rsidR="002162C0">
        <w:t>8</w:t>
      </w:r>
      <w:r>
        <w:t xml:space="preserve">, </w:t>
      </w:r>
      <w:r w:rsidR="003C4A1C">
        <w:t xml:space="preserve">Table </w:t>
      </w:r>
      <w:r w:rsidR="003C4A1C">
        <w:rPr>
          <w:noProof/>
        </w:rPr>
        <w:t>142</w:t>
      </w:r>
      <w:r>
        <w:t xml:space="preserve">. </w:t>
      </w:r>
      <w:r w:rsidR="00C75F3F">
        <w:t xml:space="preserve">The risk of bias assessment </w:t>
      </w:r>
      <w:r w:rsidR="00EE28B9">
        <w:t xml:space="preserve">for the additional evidence </w:t>
      </w:r>
      <w:r w:rsidR="000C2C7D">
        <w:t>(completed studies, n=19)</w:t>
      </w:r>
      <w:r w:rsidR="00EE28B9">
        <w:t xml:space="preserve"> </w:t>
      </w:r>
      <w:r w:rsidR="00EE28B9" w:rsidDel="00EB2FD0">
        <w:t>identified in the supplemental literature search</w:t>
      </w:r>
      <w:r w:rsidR="00EE28B9">
        <w:t xml:space="preserve"> is </w:t>
      </w:r>
      <w:r w:rsidR="00C75F3F">
        <w:t xml:space="preserve">presented in </w:t>
      </w:r>
      <w:r w:rsidR="00EE28B9">
        <w:t xml:space="preserve">Appendix </w:t>
      </w:r>
      <w:r w:rsidR="00C75F3F">
        <w:t>A</w:t>
      </w:r>
      <w:r w:rsidR="00EE28B9">
        <w:t>.</w:t>
      </w:r>
      <w:r w:rsidR="000932DA">
        <w:t>9</w:t>
      </w:r>
      <w:r w:rsidR="00EE28B9">
        <w:t xml:space="preserve">, </w:t>
      </w:r>
      <w:r w:rsidR="003C4A1C">
        <w:t xml:space="preserve">Figure </w:t>
      </w:r>
      <w:r w:rsidR="003C4A1C">
        <w:rPr>
          <w:noProof/>
        </w:rPr>
        <w:t>48</w:t>
      </w:r>
      <w:r w:rsidR="00C75F3F">
        <w:t>.</w:t>
      </w:r>
    </w:p>
    <w:p w:rsidR="00CE1D54" w:rsidRDefault="0033245F" w:rsidP="00C75F3F">
      <w:pPr>
        <w:jc w:val="both"/>
      </w:pPr>
      <w:r>
        <w:t xml:space="preserve">The majority of RCTs </w:t>
      </w:r>
      <w:r w:rsidR="00C4522E">
        <w:t xml:space="preserve">(n=12) </w:t>
      </w:r>
      <w:r>
        <w:t xml:space="preserve">included </w:t>
      </w:r>
      <w:r w:rsidR="00D61D0B">
        <w:t>from the supplemental literature search had a low risk of bias</w:t>
      </w:r>
      <w:r w:rsidR="00246E26">
        <w:t>. Four studies</w:t>
      </w:r>
      <w:r w:rsidR="006E2872">
        <w:t xml:space="preserve"> were assessed to have </w:t>
      </w:r>
      <w:r w:rsidR="00821824">
        <w:t>some concerns</w:t>
      </w:r>
      <w:r w:rsidR="009000FE">
        <w:t xml:space="preserve"> (Deder</w:t>
      </w:r>
      <w:r w:rsidR="00EB2FD0">
        <w:t>t</w:t>
      </w:r>
      <w:r w:rsidR="009000FE">
        <w:t xml:space="preserve"> 2018, Leung 2019, Schnoll 2019, Nides 2020) while </w:t>
      </w:r>
      <w:r w:rsidR="007A05AB">
        <w:t>three studies were assessed to have a high risk of bias (Tuisku 2016, Benowitz 2018, Ellerbeck 2018).</w:t>
      </w:r>
    </w:p>
    <w:p w:rsidR="00323E15" w:rsidRDefault="00CE1D54" w:rsidP="00C75F3F">
      <w:pPr>
        <w:jc w:val="both"/>
      </w:pPr>
      <w:r>
        <w:t xml:space="preserve">In </w:t>
      </w:r>
      <w:r w:rsidR="006B59D2">
        <w:t>Dedert</w:t>
      </w:r>
      <w:r w:rsidR="007054E1">
        <w:t xml:space="preserve"> et al.</w:t>
      </w:r>
      <w:r w:rsidR="006B59D2">
        <w:t xml:space="preserve"> (2018) and </w:t>
      </w:r>
      <w:r>
        <w:t>Nides</w:t>
      </w:r>
      <w:r w:rsidR="007054E1">
        <w:t xml:space="preserve"> et al.</w:t>
      </w:r>
      <w:r w:rsidR="00F20B1E">
        <w:t xml:space="preserve"> (2020), </w:t>
      </w:r>
      <w:r w:rsidR="004D4D6E">
        <w:t>the concealment of the allocation sequence was not reported.</w:t>
      </w:r>
      <w:r w:rsidR="007A05AB">
        <w:t xml:space="preserve"> </w:t>
      </w:r>
      <w:r w:rsidR="00145446">
        <w:t>In Leung</w:t>
      </w:r>
      <w:r w:rsidR="007054E1">
        <w:t xml:space="preserve"> et al.</w:t>
      </w:r>
      <w:r w:rsidR="00145446">
        <w:t xml:space="preserve"> (2019), </w:t>
      </w:r>
      <w:r w:rsidR="00AC355D">
        <w:t xml:space="preserve">both the patients and </w:t>
      </w:r>
      <w:r w:rsidR="003C2731">
        <w:t>counsellors</w:t>
      </w:r>
      <w:r w:rsidR="00AC355D">
        <w:t xml:space="preserve"> were aware </w:t>
      </w:r>
      <w:r w:rsidR="001F3D86">
        <w:t>of treatment allocation (i.e. open-label study) while there were no information reported in Schnoll</w:t>
      </w:r>
      <w:r w:rsidR="007054E1">
        <w:t xml:space="preserve"> et al.</w:t>
      </w:r>
      <w:r w:rsidR="001F3D86">
        <w:t xml:space="preserve"> (2019) </w:t>
      </w:r>
      <w:r w:rsidR="00383ED6">
        <w:t>for</w:t>
      </w:r>
      <w:r w:rsidR="0044561B">
        <w:t xml:space="preserve"> blinding </w:t>
      </w:r>
      <w:r w:rsidR="00A45D90">
        <w:t>of patients.</w:t>
      </w:r>
      <w:r w:rsidR="000706FA">
        <w:t xml:space="preserve"> </w:t>
      </w:r>
      <w:r w:rsidR="007277B3">
        <w:t xml:space="preserve">Notwithstanding the limitations of </w:t>
      </w:r>
      <w:r w:rsidR="004D7173">
        <w:t>the</w:t>
      </w:r>
      <w:r w:rsidR="00A81C4B">
        <w:t>se</w:t>
      </w:r>
      <w:r w:rsidR="004D7173">
        <w:t xml:space="preserve"> studies,</w:t>
      </w:r>
      <w:r w:rsidR="000706FA">
        <w:t xml:space="preserve"> the smoking </w:t>
      </w:r>
      <w:r w:rsidR="00F34CA4">
        <w:t>cessation</w:t>
      </w:r>
      <w:r w:rsidR="00B04A74">
        <w:t xml:space="preserve"> rates </w:t>
      </w:r>
      <w:r w:rsidR="00EC3582">
        <w:t xml:space="preserve">measured in these studies were </w:t>
      </w:r>
      <w:r w:rsidR="00B04A74">
        <w:t>biochemically validated</w:t>
      </w:r>
      <w:r w:rsidR="00905A26">
        <w:t xml:space="preserve"> (objective measurement)</w:t>
      </w:r>
      <w:r w:rsidR="00095CF0">
        <w:t>.</w:t>
      </w:r>
    </w:p>
    <w:p w:rsidR="00A45D90" w:rsidRDefault="00A56283" w:rsidP="00C75F3F">
      <w:pPr>
        <w:jc w:val="both"/>
      </w:pPr>
      <w:r>
        <w:lastRenderedPageBreak/>
        <w:t xml:space="preserve">In Tuisku </w:t>
      </w:r>
      <w:r w:rsidR="007054E1">
        <w:t xml:space="preserve">et al. </w:t>
      </w:r>
      <w:r>
        <w:t xml:space="preserve">(2016), long-term smoking cessation rates were </w:t>
      </w:r>
      <w:r w:rsidR="007054E1">
        <w:t xml:space="preserve">self-reported and not biochemically validated. Benowitz et al. (2018) was a </w:t>
      </w:r>
      <w:r w:rsidR="007054E1" w:rsidRPr="007054E1">
        <w:t>non-treatment extension of EAGLES (Anthenelli et al. 2016)</w:t>
      </w:r>
      <w:r w:rsidR="00322C48">
        <w:t xml:space="preserve"> with a </w:t>
      </w:r>
      <w:r w:rsidR="004C6EB0">
        <w:t>considerabl</w:t>
      </w:r>
      <w:r w:rsidR="00FA1DDC">
        <w:t>e</w:t>
      </w:r>
      <w:r w:rsidR="004C6EB0">
        <w:t xml:space="preserve"> amount of missing data due</w:t>
      </w:r>
      <w:r w:rsidR="004C6EB0" w:rsidRPr="004C6EB0">
        <w:t xml:space="preserve"> to lost to follow-up, extension study nonenrollees</w:t>
      </w:r>
      <w:r w:rsidR="00F24333">
        <w:t>,</w:t>
      </w:r>
      <w:r w:rsidR="004C6EB0" w:rsidRPr="004C6EB0">
        <w:t xml:space="preserve"> no longer willing to participate and death.</w:t>
      </w:r>
      <w:r w:rsidR="00F24333">
        <w:t xml:space="preserve"> Ellerbeck et al. (2018) </w:t>
      </w:r>
      <w:r w:rsidR="00270CB3">
        <w:t xml:space="preserve">was an </w:t>
      </w:r>
      <w:r w:rsidR="00574F8A">
        <w:t>open-label study</w:t>
      </w:r>
      <w:r w:rsidR="00A07843">
        <w:t xml:space="preserve"> and outcome assessor</w:t>
      </w:r>
      <w:r w:rsidR="009D1889">
        <w:t>s</w:t>
      </w:r>
      <w:r w:rsidR="00A07843">
        <w:t xml:space="preserve"> were likel</w:t>
      </w:r>
      <w:r w:rsidR="00117062">
        <w:t>y aware of the inte</w:t>
      </w:r>
      <w:r w:rsidR="00400659">
        <w:t>rventions receive</w:t>
      </w:r>
      <w:r w:rsidR="00804D6A">
        <w:t>d by the patients.</w:t>
      </w:r>
      <w:r w:rsidR="00FC6693">
        <w:t xml:space="preserve"> Tuisku et al. (2016) was </w:t>
      </w:r>
      <w:r w:rsidR="003A5A6F">
        <w:t xml:space="preserve">excluded </w:t>
      </w:r>
      <w:r w:rsidR="00863AC4">
        <w:t xml:space="preserve">from data synthesis </w:t>
      </w:r>
      <w:r w:rsidR="000C2C7D">
        <w:t xml:space="preserve">due </w:t>
      </w:r>
      <w:r w:rsidR="00863AC4">
        <w:t xml:space="preserve">to </w:t>
      </w:r>
      <w:r w:rsidR="00E55354">
        <w:t>non-biochemically validated outcome</w:t>
      </w:r>
      <w:r w:rsidR="00D20EF6">
        <w:t>s</w:t>
      </w:r>
      <w:r w:rsidR="00E55354">
        <w:t xml:space="preserve"> while Benowitz </w:t>
      </w:r>
      <w:r w:rsidR="00503EBE">
        <w:t xml:space="preserve">et al. (2018) was summarised qualitatively. </w:t>
      </w:r>
      <w:r w:rsidR="005324DF">
        <w:t xml:space="preserve">Ellerbeck et al. </w:t>
      </w:r>
      <w:r w:rsidR="00713272">
        <w:t>(2018)</w:t>
      </w:r>
      <w:r w:rsidR="00863AC4">
        <w:t xml:space="preserve"> </w:t>
      </w:r>
      <w:r w:rsidR="00373C0F">
        <w:t xml:space="preserve">was </w:t>
      </w:r>
      <w:r w:rsidR="00D103CA">
        <w:t>presented as a separate analysis and was not meta-analysed with the other studies.</w:t>
      </w:r>
    </w:p>
    <w:p w:rsidR="00FC20FA" w:rsidRDefault="00FC20FA" w:rsidP="00FC20FA"/>
    <w:p w:rsidR="000B5CDF" w:rsidRDefault="000B5CDF" w:rsidP="00CB337B">
      <w:pPr>
        <w:jc w:val="both"/>
      </w:pPr>
    </w:p>
    <w:p w:rsidR="000B5CDF" w:rsidRDefault="000B5CDF" w:rsidP="006677E9"/>
    <w:p w:rsidR="000B5CDF" w:rsidRPr="00B77464" w:rsidRDefault="000B5CDF" w:rsidP="006677E9">
      <w:pPr>
        <w:sectPr w:rsidR="000B5CDF" w:rsidRPr="00B77464" w:rsidSect="004138A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p>
    <w:p w:rsidR="00EA2135" w:rsidRDefault="000B5CDF" w:rsidP="00C87458">
      <w:pPr>
        <w:pStyle w:val="Caption"/>
        <w:keepNext/>
      </w:pPr>
      <w:bookmarkStart w:id="54" w:name="_Ref49755251"/>
      <w:bookmarkStart w:id="55" w:name="_Toc388453130"/>
      <w:r>
        <w:lastRenderedPageBreak/>
        <w:t xml:space="preserve">Table </w:t>
      </w:r>
      <w:r w:rsidR="003C4A1C">
        <w:rPr>
          <w:noProof/>
        </w:rPr>
        <w:t>3</w:t>
      </w:r>
      <w:bookmarkEnd w:id="54"/>
      <w:r>
        <w:t xml:space="preserve">: </w:t>
      </w:r>
      <w:r w:rsidRPr="00091919">
        <w:t>Matrix of included Cochrane reviews by research questions addressed</w:t>
      </w:r>
    </w:p>
    <w:tbl>
      <w:tblPr>
        <w:tblStyle w:val="TableGrid"/>
        <w:tblW w:w="5000" w:type="pct"/>
        <w:tblLook w:val="0420" w:firstRow="1" w:lastRow="0" w:firstColumn="0" w:lastColumn="0" w:noHBand="0" w:noVBand="1"/>
      </w:tblPr>
      <w:tblGrid>
        <w:gridCol w:w="570"/>
        <w:gridCol w:w="2745"/>
        <w:gridCol w:w="1420"/>
        <w:gridCol w:w="1593"/>
        <w:gridCol w:w="1562"/>
        <w:gridCol w:w="1506"/>
        <w:gridCol w:w="1506"/>
        <w:gridCol w:w="1548"/>
        <w:gridCol w:w="1498"/>
      </w:tblGrid>
      <w:tr w:rsidR="005A338C" w:rsidRPr="00CF77CE" w:rsidTr="00B96D1B">
        <w:trPr>
          <w:trHeight w:val="364"/>
          <w:tblHeader/>
        </w:trPr>
        <w:tc>
          <w:tcPr>
            <w:tcW w:w="204" w:type="pct"/>
            <w:vMerge w:val="restart"/>
            <w:shd w:val="clear" w:color="auto" w:fill="BFBFBF" w:themeFill="background1" w:themeFillShade="BF"/>
            <w:noWrap/>
            <w:vAlign w:val="center"/>
          </w:tcPr>
          <w:p w:rsidR="0064575B" w:rsidRPr="00CF77CE" w:rsidRDefault="0064575B" w:rsidP="001423A2">
            <w:pPr>
              <w:pStyle w:val="Tableheading"/>
            </w:pPr>
            <w:r>
              <w:t>No.</w:t>
            </w:r>
          </w:p>
        </w:tc>
        <w:tc>
          <w:tcPr>
            <w:tcW w:w="984" w:type="pct"/>
            <w:vMerge w:val="restart"/>
            <w:shd w:val="clear" w:color="auto" w:fill="BFBFBF" w:themeFill="background1" w:themeFillShade="BF"/>
            <w:noWrap/>
            <w:vAlign w:val="center"/>
          </w:tcPr>
          <w:p w:rsidR="0064575B" w:rsidRPr="00CF77CE" w:rsidRDefault="0016379A" w:rsidP="00B96D1B">
            <w:pPr>
              <w:pStyle w:val="Tableheading"/>
              <w:jc w:val="center"/>
            </w:pPr>
            <w:r>
              <w:t xml:space="preserve">Cochrane </w:t>
            </w:r>
            <w:r w:rsidR="0064575B" w:rsidRPr="00CF77CE">
              <w:t>Review</w:t>
            </w:r>
          </w:p>
        </w:tc>
        <w:tc>
          <w:tcPr>
            <w:tcW w:w="509" w:type="pct"/>
            <w:vMerge w:val="restart"/>
            <w:shd w:val="clear" w:color="auto" w:fill="BFBFBF" w:themeFill="background1" w:themeFillShade="BF"/>
            <w:vAlign w:val="center"/>
          </w:tcPr>
          <w:p w:rsidR="0064575B" w:rsidRPr="00CF77CE" w:rsidRDefault="0064575B" w:rsidP="00B96D1B">
            <w:pPr>
              <w:pStyle w:val="Tableheading"/>
              <w:jc w:val="center"/>
            </w:pPr>
            <w:r w:rsidRPr="00CF77CE">
              <w:t>Date</w:t>
            </w:r>
            <w:r>
              <w:t xml:space="preserve"> </w:t>
            </w:r>
            <w:r w:rsidRPr="00CF77CE">
              <w:t xml:space="preserve">of </w:t>
            </w:r>
            <w:r w:rsidR="00B96D1B">
              <w:t xml:space="preserve"> </w:t>
            </w:r>
            <w:r>
              <w:t>search limit</w:t>
            </w:r>
          </w:p>
        </w:tc>
        <w:tc>
          <w:tcPr>
            <w:tcW w:w="571" w:type="pct"/>
            <w:vMerge w:val="restart"/>
            <w:shd w:val="clear" w:color="auto" w:fill="BFBFBF" w:themeFill="background1" w:themeFillShade="BF"/>
            <w:vAlign w:val="center"/>
          </w:tcPr>
          <w:p w:rsidR="0064575B" w:rsidRPr="00CF77CE" w:rsidRDefault="0064575B" w:rsidP="00B96D1B">
            <w:pPr>
              <w:pStyle w:val="Tableheading"/>
              <w:jc w:val="center"/>
            </w:pPr>
            <w:r w:rsidRPr="00CF77CE">
              <w:t xml:space="preserve">RQ1: </w:t>
            </w:r>
            <w:r w:rsidR="0073262D" w:rsidRPr="00CF77CE">
              <w:t>Monotherapy</w:t>
            </w:r>
            <w:r w:rsidR="00AD3089">
              <w:rPr>
                <w:vertAlign w:val="superscript"/>
              </w:rPr>
              <w:t>3</w:t>
            </w:r>
          </w:p>
        </w:tc>
        <w:tc>
          <w:tcPr>
            <w:tcW w:w="560" w:type="pct"/>
            <w:vMerge w:val="restart"/>
            <w:shd w:val="clear" w:color="auto" w:fill="BFBFBF" w:themeFill="background1" w:themeFillShade="BF"/>
            <w:vAlign w:val="center"/>
          </w:tcPr>
          <w:p w:rsidR="0064575B" w:rsidRPr="00CF77CE" w:rsidRDefault="0064575B" w:rsidP="00B96D1B">
            <w:pPr>
              <w:pStyle w:val="Tableheading"/>
              <w:jc w:val="center"/>
            </w:pPr>
            <w:r w:rsidRPr="00CF77CE">
              <w:t>RQ2: Combination therapy</w:t>
            </w:r>
          </w:p>
        </w:tc>
        <w:tc>
          <w:tcPr>
            <w:tcW w:w="540" w:type="pct"/>
            <w:vMerge w:val="restart"/>
            <w:shd w:val="clear" w:color="auto" w:fill="BFBFBF" w:themeFill="background1" w:themeFillShade="BF"/>
            <w:vAlign w:val="center"/>
          </w:tcPr>
          <w:p w:rsidR="0019054A" w:rsidRPr="00CF77CE" w:rsidRDefault="0019054A" w:rsidP="00B96D1B">
            <w:pPr>
              <w:pStyle w:val="Tableheading"/>
              <w:jc w:val="center"/>
            </w:pPr>
            <w:r w:rsidRPr="00CF77CE">
              <w:t>RQ</w:t>
            </w:r>
            <w:r w:rsidR="001E78B2">
              <w:t>3</w:t>
            </w:r>
            <w:r w:rsidRPr="00CF77CE">
              <w:t xml:space="preserve">: </w:t>
            </w:r>
            <w:r w:rsidR="00B96D1B">
              <w:t xml:space="preserve">           </w:t>
            </w:r>
            <w:r w:rsidRPr="00CF77CE">
              <w:t>NRT dose</w:t>
            </w:r>
            <w:r>
              <w:t xml:space="preserve">, </w:t>
            </w:r>
            <w:r w:rsidRPr="00CF77CE">
              <w:t>form, length</w:t>
            </w:r>
          </w:p>
        </w:tc>
        <w:tc>
          <w:tcPr>
            <w:tcW w:w="540" w:type="pct"/>
            <w:vMerge w:val="restart"/>
            <w:shd w:val="clear" w:color="auto" w:fill="BFBFBF" w:themeFill="background1" w:themeFillShade="BF"/>
            <w:vAlign w:val="center"/>
          </w:tcPr>
          <w:p w:rsidR="0064575B" w:rsidRPr="00CF77CE" w:rsidRDefault="0019054A" w:rsidP="00B96D1B">
            <w:pPr>
              <w:pStyle w:val="Tableheading"/>
              <w:jc w:val="center"/>
            </w:pPr>
            <w:r w:rsidRPr="00CF77CE">
              <w:t>RQ</w:t>
            </w:r>
            <w:r w:rsidR="001E78B2">
              <w:t>4</w:t>
            </w:r>
            <w:r w:rsidR="0064575B" w:rsidRPr="00CF77CE">
              <w:t>: Behavioural strategies</w:t>
            </w:r>
          </w:p>
        </w:tc>
        <w:tc>
          <w:tcPr>
            <w:tcW w:w="1092" w:type="pct"/>
            <w:gridSpan w:val="2"/>
            <w:shd w:val="clear" w:color="auto" w:fill="BFBFBF" w:themeFill="background1" w:themeFillShade="BF"/>
            <w:vAlign w:val="center"/>
          </w:tcPr>
          <w:p w:rsidR="0064575B" w:rsidRPr="00CF77CE" w:rsidRDefault="00BE3630" w:rsidP="00B96D1B">
            <w:pPr>
              <w:pStyle w:val="Tableheading"/>
              <w:jc w:val="center"/>
            </w:pPr>
            <w:r>
              <w:t>RQ</w:t>
            </w:r>
            <w:r w:rsidR="00220C3D">
              <w:t xml:space="preserve">5: </w:t>
            </w:r>
            <w:r w:rsidR="00B96D1B">
              <w:t xml:space="preserve">                                 </w:t>
            </w:r>
            <w:r w:rsidR="00030039">
              <w:t>P</w:t>
            </w:r>
            <w:r w:rsidR="0064575B">
              <w:t>opulations</w:t>
            </w:r>
            <w:r w:rsidR="00030039">
              <w:t xml:space="preserve"> with specific needs</w:t>
            </w:r>
          </w:p>
        </w:tc>
      </w:tr>
      <w:tr w:rsidR="005A338C" w:rsidRPr="00501885" w:rsidTr="00B96D1B">
        <w:trPr>
          <w:trHeight w:val="364"/>
          <w:tblHeader/>
        </w:trPr>
        <w:tc>
          <w:tcPr>
            <w:tcW w:w="204" w:type="pct"/>
            <w:vMerge/>
            <w:shd w:val="clear" w:color="auto" w:fill="BFBFBF" w:themeFill="background1" w:themeFillShade="BF"/>
            <w:noWrap/>
            <w:vAlign w:val="center"/>
          </w:tcPr>
          <w:p w:rsidR="00291235" w:rsidRPr="00501885" w:rsidRDefault="00291235" w:rsidP="001423A2">
            <w:pPr>
              <w:pStyle w:val="Tableheading"/>
            </w:pPr>
          </w:p>
        </w:tc>
        <w:tc>
          <w:tcPr>
            <w:tcW w:w="984" w:type="pct"/>
            <w:vMerge/>
            <w:shd w:val="clear" w:color="auto" w:fill="BFBFBF" w:themeFill="background1" w:themeFillShade="BF"/>
            <w:noWrap/>
            <w:vAlign w:val="center"/>
          </w:tcPr>
          <w:p w:rsidR="00291235" w:rsidRPr="00501885" w:rsidRDefault="00291235" w:rsidP="00B96D1B">
            <w:pPr>
              <w:pStyle w:val="Tableheading"/>
              <w:jc w:val="center"/>
            </w:pPr>
          </w:p>
        </w:tc>
        <w:tc>
          <w:tcPr>
            <w:tcW w:w="509" w:type="pct"/>
            <w:vMerge/>
            <w:shd w:val="clear" w:color="auto" w:fill="BFBFBF" w:themeFill="background1" w:themeFillShade="BF"/>
            <w:noWrap/>
            <w:vAlign w:val="center"/>
          </w:tcPr>
          <w:p w:rsidR="00291235" w:rsidRPr="00501885" w:rsidRDefault="00291235" w:rsidP="00B96D1B">
            <w:pPr>
              <w:pStyle w:val="Tableheading"/>
              <w:jc w:val="center"/>
            </w:pPr>
          </w:p>
        </w:tc>
        <w:tc>
          <w:tcPr>
            <w:tcW w:w="571" w:type="pct"/>
            <w:vMerge/>
            <w:shd w:val="clear" w:color="auto" w:fill="BFBFBF" w:themeFill="background1" w:themeFillShade="BF"/>
            <w:noWrap/>
            <w:vAlign w:val="center"/>
          </w:tcPr>
          <w:p w:rsidR="00291235" w:rsidRPr="00501885" w:rsidRDefault="00291235" w:rsidP="00B96D1B">
            <w:pPr>
              <w:pStyle w:val="Tableheading"/>
              <w:jc w:val="center"/>
            </w:pPr>
          </w:p>
        </w:tc>
        <w:tc>
          <w:tcPr>
            <w:tcW w:w="560" w:type="pct"/>
            <w:vMerge/>
            <w:shd w:val="clear" w:color="auto" w:fill="BFBFBF" w:themeFill="background1" w:themeFillShade="BF"/>
            <w:noWrap/>
            <w:vAlign w:val="center"/>
          </w:tcPr>
          <w:p w:rsidR="00291235" w:rsidRPr="00501885" w:rsidRDefault="00291235" w:rsidP="00B96D1B">
            <w:pPr>
              <w:pStyle w:val="Tableheading"/>
              <w:jc w:val="center"/>
            </w:pPr>
          </w:p>
        </w:tc>
        <w:tc>
          <w:tcPr>
            <w:tcW w:w="540" w:type="pct"/>
            <w:vMerge/>
            <w:shd w:val="clear" w:color="auto" w:fill="BFBFBF" w:themeFill="background1" w:themeFillShade="BF"/>
            <w:vAlign w:val="center"/>
          </w:tcPr>
          <w:p w:rsidR="0019054A" w:rsidRPr="00501885" w:rsidRDefault="0019054A" w:rsidP="00B96D1B">
            <w:pPr>
              <w:pStyle w:val="Tableheading"/>
              <w:jc w:val="center"/>
            </w:pPr>
          </w:p>
        </w:tc>
        <w:tc>
          <w:tcPr>
            <w:tcW w:w="540" w:type="pct"/>
            <w:vMerge/>
            <w:shd w:val="clear" w:color="auto" w:fill="BFBFBF" w:themeFill="background1" w:themeFillShade="BF"/>
            <w:noWrap/>
            <w:vAlign w:val="center"/>
          </w:tcPr>
          <w:p w:rsidR="00291235" w:rsidRPr="00501885" w:rsidRDefault="00291235" w:rsidP="00B96D1B">
            <w:pPr>
              <w:pStyle w:val="Tableheading"/>
              <w:jc w:val="center"/>
            </w:pPr>
          </w:p>
        </w:tc>
        <w:tc>
          <w:tcPr>
            <w:tcW w:w="555" w:type="pct"/>
            <w:shd w:val="clear" w:color="auto" w:fill="BFBFBF" w:themeFill="background1" w:themeFillShade="BF"/>
            <w:vAlign w:val="center"/>
          </w:tcPr>
          <w:p w:rsidR="00291235" w:rsidRPr="00501885" w:rsidRDefault="00291235" w:rsidP="00B96D1B">
            <w:pPr>
              <w:pStyle w:val="Tableheading"/>
              <w:jc w:val="center"/>
            </w:pPr>
            <w:r>
              <w:t>Pregnancy</w:t>
            </w:r>
          </w:p>
        </w:tc>
        <w:tc>
          <w:tcPr>
            <w:tcW w:w="537" w:type="pct"/>
            <w:shd w:val="clear" w:color="auto" w:fill="BFBFBF" w:themeFill="background1" w:themeFillShade="BF"/>
            <w:vAlign w:val="center"/>
          </w:tcPr>
          <w:p w:rsidR="00291235" w:rsidRPr="00501885" w:rsidRDefault="00291235" w:rsidP="00B96D1B">
            <w:pPr>
              <w:pStyle w:val="Tableheading"/>
              <w:jc w:val="center"/>
            </w:pPr>
            <w:r>
              <w:t>Adolescents</w:t>
            </w:r>
          </w:p>
        </w:tc>
      </w:tr>
      <w:tr w:rsidR="008501D2" w:rsidRPr="00501885" w:rsidTr="0070406F">
        <w:tc>
          <w:tcPr>
            <w:tcW w:w="204" w:type="pct"/>
            <w:noWrap/>
            <w:vAlign w:val="center"/>
          </w:tcPr>
          <w:p w:rsidR="008501D2" w:rsidRDefault="00BC27C1" w:rsidP="008501D2">
            <w:pPr>
              <w:pStyle w:val="Tablewriting"/>
            </w:pPr>
            <w:r>
              <w:t>1</w:t>
            </w:r>
          </w:p>
        </w:tc>
        <w:tc>
          <w:tcPr>
            <w:tcW w:w="984" w:type="pct"/>
            <w:noWrap/>
            <w:vAlign w:val="center"/>
          </w:tcPr>
          <w:p w:rsidR="008501D2" w:rsidRDefault="008501D2" w:rsidP="008501D2">
            <w:pPr>
              <w:pStyle w:val="Tablewriting"/>
            </w:pPr>
            <w:r w:rsidRPr="00501885">
              <w:t>Howes 2020</w:t>
            </w:r>
          </w:p>
        </w:tc>
        <w:tc>
          <w:tcPr>
            <w:tcW w:w="509" w:type="pct"/>
            <w:noWrap/>
            <w:vAlign w:val="center"/>
          </w:tcPr>
          <w:p w:rsidR="008501D2" w:rsidRDefault="008501D2" w:rsidP="008501D2">
            <w:pPr>
              <w:pStyle w:val="Tablewriting"/>
            </w:pPr>
            <w:r w:rsidRPr="00501885">
              <w:t>May 2019</w:t>
            </w:r>
          </w:p>
        </w:tc>
        <w:tc>
          <w:tcPr>
            <w:tcW w:w="571" w:type="pct"/>
            <w:noWrap/>
            <w:vAlign w:val="center"/>
          </w:tcPr>
          <w:p w:rsidR="008501D2" w:rsidRPr="00F20C7E" w:rsidRDefault="008501D2" w:rsidP="008501D2">
            <w:pPr>
              <w:pStyle w:val="Tablewriting"/>
              <w:jc w:val="center"/>
              <w:rPr>
                <w:b/>
                <w:bCs/>
              </w:rPr>
            </w:pPr>
            <w:r>
              <w:rPr>
                <w:b/>
                <w:bCs/>
              </w:rPr>
              <w:t>X</w:t>
            </w:r>
          </w:p>
        </w:tc>
        <w:tc>
          <w:tcPr>
            <w:tcW w:w="560" w:type="pct"/>
            <w:noWrap/>
            <w:vAlign w:val="center"/>
          </w:tcPr>
          <w:p w:rsidR="008501D2" w:rsidRDefault="008501D2" w:rsidP="008501D2">
            <w:pPr>
              <w:pStyle w:val="Tablewriting"/>
              <w:jc w:val="center"/>
              <w:rPr>
                <w:b/>
                <w:bCs/>
              </w:rPr>
            </w:pPr>
            <w:r>
              <w:rPr>
                <w:b/>
                <w:bCs/>
              </w:rPr>
              <w:t>X</w:t>
            </w:r>
          </w:p>
        </w:tc>
        <w:tc>
          <w:tcPr>
            <w:tcW w:w="540" w:type="pct"/>
          </w:tcPr>
          <w:p w:rsidR="008501D2" w:rsidRPr="00F20C7E" w:rsidRDefault="008501D2" w:rsidP="008501D2">
            <w:pPr>
              <w:pStyle w:val="Tablewriting"/>
              <w:jc w:val="center"/>
              <w:rPr>
                <w:b/>
                <w:bCs/>
              </w:rPr>
            </w:pPr>
          </w:p>
        </w:tc>
        <w:tc>
          <w:tcPr>
            <w:tcW w:w="540" w:type="pct"/>
            <w:noWrap/>
            <w:vAlign w:val="center"/>
          </w:tcPr>
          <w:p w:rsidR="008501D2" w:rsidRPr="00F20C7E" w:rsidRDefault="008501D2" w:rsidP="008501D2">
            <w:pPr>
              <w:pStyle w:val="Tablewriting"/>
              <w:jc w:val="center"/>
              <w:rPr>
                <w:b/>
                <w:bCs/>
              </w:rPr>
            </w:pPr>
          </w:p>
        </w:tc>
        <w:tc>
          <w:tcPr>
            <w:tcW w:w="555" w:type="pct"/>
            <w:vAlign w:val="center"/>
          </w:tcPr>
          <w:p w:rsidR="008501D2" w:rsidRPr="00F20C7E" w:rsidRDefault="008501D2" w:rsidP="008501D2">
            <w:pPr>
              <w:pStyle w:val="Tablewriting"/>
              <w:jc w:val="center"/>
              <w:rPr>
                <w:b/>
                <w:bCs/>
              </w:rPr>
            </w:pPr>
          </w:p>
        </w:tc>
        <w:tc>
          <w:tcPr>
            <w:tcW w:w="537" w:type="pct"/>
            <w:vAlign w:val="center"/>
          </w:tcPr>
          <w:p w:rsidR="008501D2" w:rsidRPr="00F20C7E" w:rsidRDefault="008501D2" w:rsidP="008501D2">
            <w:pPr>
              <w:pStyle w:val="Tablewriting"/>
              <w:jc w:val="center"/>
              <w:rPr>
                <w:b/>
                <w:bCs/>
              </w:rPr>
            </w:pPr>
          </w:p>
        </w:tc>
      </w:tr>
      <w:tr w:rsidR="008501D2" w:rsidRPr="00501885" w:rsidTr="0070406F">
        <w:tc>
          <w:tcPr>
            <w:tcW w:w="204" w:type="pct"/>
            <w:noWrap/>
            <w:vAlign w:val="center"/>
          </w:tcPr>
          <w:p w:rsidR="008501D2" w:rsidRDefault="00BC27C1" w:rsidP="008501D2">
            <w:pPr>
              <w:pStyle w:val="Tablewriting"/>
            </w:pPr>
            <w:r>
              <w:t>2</w:t>
            </w:r>
          </w:p>
        </w:tc>
        <w:tc>
          <w:tcPr>
            <w:tcW w:w="984" w:type="pct"/>
            <w:noWrap/>
            <w:vAlign w:val="center"/>
          </w:tcPr>
          <w:p w:rsidR="008501D2" w:rsidRDefault="008501D2" w:rsidP="008501D2">
            <w:pPr>
              <w:pStyle w:val="Tablewriting"/>
            </w:pPr>
            <w:r>
              <w:t>Claire 2020</w:t>
            </w:r>
          </w:p>
        </w:tc>
        <w:tc>
          <w:tcPr>
            <w:tcW w:w="509" w:type="pct"/>
            <w:noWrap/>
            <w:vAlign w:val="center"/>
          </w:tcPr>
          <w:p w:rsidR="008501D2" w:rsidRDefault="008501D2" w:rsidP="008501D2">
            <w:pPr>
              <w:pStyle w:val="Tablewriting"/>
            </w:pPr>
            <w:r>
              <w:t>May 2019</w:t>
            </w:r>
          </w:p>
        </w:tc>
        <w:tc>
          <w:tcPr>
            <w:tcW w:w="571" w:type="pct"/>
            <w:noWrap/>
            <w:vAlign w:val="center"/>
          </w:tcPr>
          <w:p w:rsidR="008501D2" w:rsidRPr="00F20C7E" w:rsidRDefault="008501D2" w:rsidP="008501D2">
            <w:pPr>
              <w:pStyle w:val="Tablewriting"/>
              <w:jc w:val="center"/>
              <w:rPr>
                <w:b/>
                <w:bCs/>
              </w:rPr>
            </w:pPr>
          </w:p>
        </w:tc>
        <w:tc>
          <w:tcPr>
            <w:tcW w:w="560" w:type="pct"/>
            <w:noWrap/>
            <w:vAlign w:val="center"/>
          </w:tcPr>
          <w:p w:rsidR="008501D2" w:rsidRDefault="008501D2" w:rsidP="008501D2">
            <w:pPr>
              <w:pStyle w:val="Tablewriting"/>
              <w:jc w:val="center"/>
              <w:rPr>
                <w:b/>
                <w:bCs/>
              </w:rPr>
            </w:pPr>
          </w:p>
        </w:tc>
        <w:tc>
          <w:tcPr>
            <w:tcW w:w="540" w:type="pct"/>
          </w:tcPr>
          <w:p w:rsidR="008501D2" w:rsidRPr="00F20C7E" w:rsidRDefault="008501D2" w:rsidP="008501D2">
            <w:pPr>
              <w:pStyle w:val="Tablewriting"/>
              <w:jc w:val="center"/>
              <w:rPr>
                <w:b/>
                <w:bCs/>
              </w:rPr>
            </w:pPr>
          </w:p>
        </w:tc>
        <w:tc>
          <w:tcPr>
            <w:tcW w:w="540" w:type="pct"/>
            <w:noWrap/>
            <w:vAlign w:val="center"/>
          </w:tcPr>
          <w:p w:rsidR="008501D2" w:rsidRPr="00F20C7E" w:rsidRDefault="008501D2" w:rsidP="008501D2">
            <w:pPr>
              <w:pStyle w:val="Tablewriting"/>
              <w:jc w:val="center"/>
              <w:rPr>
                <w:b/>
                <w:bCs/>
              </w:rPr>
            </w:pPr>
          </w:p>
        </w:tc>
        <w:tc>
          <w:tcPr>
            <w:tcW w:w="555" w:type="pct"/>
            <w:vAlign w:val="center"/>
          </w:tcPr>
          <w:p w:rsidR="008501D2" w:rsidRPr="00F20C7E" w:rsidRDefault="008501D2" w:rsidP="008501D2">
            <w:pPr>
              <w:pStyle w:val="Tablewriting"/>
              <w:jc w:val="center"/>
              <w:rPr>
                <w:b/>
                <w:bCs/>
              </w:rPr>
            </w:pPr>
            <w:r>
              <w:rPr>
                <w:b/>
                <w:bCs/>
              </w:rPr>
              <w:t>X</w:t>
            </w:r>
          </w:p>
        </w:tc>
        <w:tc>
          <w:tcPr>
            <w:tcW w:w="537" w:type="pct"/>
            <w:vAlign w:val="center"/>
          </w:tcPr>
          <w:p w:rsidR="008501D2" w:rsidRPr="00F20C7E" w:rsidRDefault="008501D2" w:rsidP="008501D2">
            <w:pPr>
              <w:pStyle w:val="Tablewriting"/>
              <w:jc w:val="center"/>
              <w:rPr>
                <w:b/>
                <w:bCs/>
              </w:rPr>
            </w:pPr>
          </w:p>
        </w:tc>
      </w:tr>
      <w:tr w:rsidR="008501D2" w:rsidRPr="00501885" w:rsidTr="0070406F">
        <w:tc>
          <w:tcPr>
            <w:tcW w:w="204" w:type="pct"/>
            <w:noWrap/>
            <w:vAlign w:val="center"/>
          </w:tcPr>
          <w:p w:rsidR="008501D2" w:rsidRDefault="00BC27C1" w:rsidP="008501D2">
            <w:pPr>
              <w:pStyle w:val="Tablewriting"/>
            </w:pPr>
            <w:r>
              <w:t>3</w:t>
            </w:r>
          </w:p>
        </w:tc>
        <w:tc>
          <w:tcPr>
            <w:tcW w:w="984" w:type="pct"/>
            <w:noWrap/>
            <w:vAlign w:val="center"/>
          </w:tcPr>
          <w:p w:rsidR="008501D2" w:rsidRDefault="008501D2" w:rsidP="008501D2">
            <w:pPr>
              <w:pStyle w:val="Tablewriting"/>
            </w:pPr>
            <w:r>
              <w:t>Matkin 2019</w:t>
            </w:r>
          </w:p>
        </w:tc>
        <w:tc>
          <w:tcPr>
            <w:tcW w:w="509" w:type="pct"/>
            <w:noWrap/>
            <w:vAlign w:val="center"/>
          </w:tcPr>
          <w:p w:rsidR="008501D2" w:rsidRDefault="008501D2" w:rsidP="008501D2">
            <w:pPr>
              <w:pStyle w:val="Tablewriting"/>
            </w:pPr>
            <w:r>
              <w:t>May 2018</w:t>
            </w:r>
          </w:p>
        </w:tc>
        <w:tc>
          <w:tcPr>
            <w:tcW w:w="571" w:type="pct"/>
            <w:noWrap/>
            <w:vAlign w:val="center"/>
          </w:tcPr>
          <w:p w:rsidR="008501D2" w:rsidRPr="00F20C7E" w:rsidRDefault="008501D2" w:rsidP="008501D2">
            <w:pPr>
              <w:pStyle w:val="Tablewriting"/>
              <w:jc w:val="center"/>
              <w:rPr>
                <w:b/>
                <w:bCs/>
              </w:rPr>
            </w:pPr>
          </w:p>
        </w:tc>
        <w:tc>
          <w:tcPr>
            <w:tcW w:w="560" w:type="pct"/>
            <w:noWrap/>
            <w:vAlign w:val="center"/>
          </w:tcPr>
          <w:p w:rsidR="008501D2" w:rsidRDefault="008501D2" w:rsidP="008501D2">
            <w:pPr>
              <w:pStyle w:val="Tablewriting"/>
              <w:jc w:val="center"/>
              <w:rPr>
                <w:b/>
                <w:bCs/>
              </w:rPr>
            </w:pPr>
          </w:p>
        </w:tc>
        <w:tc>
          <w:tcPr>
            <w:tcW w:w="540" w:type="pct"/>
          </w:tcPr>
          <w:p w:rsidR="008501D2" w:rsidRPr="00F20C7E" w:rsidRDefault="008501D2" w:rsidP="008501D2">
            <w:pPr>
              <w:pStyle w:val="Tablewriting"/>
              <w:jc w:val="center"/>
              <w:rPr>
                <w:b/>
                <w:bCs/>
              </w:rPr>
            </w:pPr>
          </w:p>
        </w:tc>
        <w:tc>
          <w:tcPr>
            <w:tcW w:w="540" w:type="pct"/>
            <w:noWrap/>
            <w:vAlign w:val="center"/>
          </w:tcPr>
          <w:p w:rsidR="008501D2" w:rsidRPr="00F20C7E" w:rsidRDefault="008501D2" w:rsidP="008501D2">
            <w:pPr>
              <w:pStyle w:val="Tablewriting"/>
              <w:jc w:val="center"/>
              <w:rPr>
                <w:b/>
                <w:bCs/>
              </w:rPr>
            </w:pPr>
            <w:r>
              <w:rPr>
                <w:b/>
                <w:bCs/>
              </w:rPr>
              <w:t>X</w:t>
            </w:r>
            <w:r w:rsidR="0028378A">
              <w:rPr>
                <w:vertAlign w:val="superscript"/>
              </w:rPr>
              <w:t>4</w:t>
            </w:r>
          </w:p>
        </w:tc>
        <w:tc>
          <w:tcPr>
            <w:tcW w:w="555" w:type="pct"/>
            <w:vAlign w:val="center"/>
          </w:tcPr>
          <w:p w:rsidR="008501D2" w:rsidRPr="00F20C7E" w:rsidRDefault="008501D2" w:rsidP="008501D2">
            <w:pPr>
              <w:pStyle w:val="Tablewriting"/>
              <w:jc w:val="center"/>
              <w:rPr>
                <w:b/>
                <w:bCs/>
              </w:rPr>
            </w:pPr>
          </w:p>
        </w:tc>
        <w:tc>
          <w:tcPr>
            <w:tcW w:w="537" w:type="pct"/>
            <w:vAlign w:val="center"/>
          </w:tcPr>
          <w:p w:rsidR="008501D2" w:rsidRPr="00F20C7E" w:rsidRDefault="008501D2" w:rsidP="008501D2">
            <w:pPr>
              <w:pStyle w:val="Tablewriting"/>
              <w:jc w:val="center"/>
              <w:rPr>
                <w:b/>
                <w:bCs/>
              </w:rPr>
            </w:pPr>
          </w:p>
        </w:tc>
      </w:tr>
      <w:tr w:rsidR="008501D2" w:rsidRPr="00501885" w:rsidTr="0070406F">
        <w:tc>
          <w:tcPr>
            <w:tcW w:w="204" w:type="pct"/>
            <w:noWrap/>
            <w:vAlign w:val="center"/>
          </w:tcPr>
          <w:p w:rsidR="008501D2" w:rsidRDefault="00BC27C1" w:rsidP="008501D2">
            <w:pPr>
              <w:pStyle w:val="Tablewriting"/>
            </w:pPr>
            <w:r>
              <w:t>4</w:t>
            </w:r>
          </w:p>
        </w:tc>
        <w:tc>
          <w:tcPr>
            <w:tcW w:w="984" w:type="pct"/>
            <w:noWrap/>
            <w:vAlign w:val="center"/>
          </w:tcPr>
          <w:p w:rsidR="008501D2" w:rsidRDefault="008501D2" w:rsidP="008501D2">
            <w:pPr>
              <w:pStyle w:val="Tablewriting"/>
            </w:pPr>
            <w:r>
              <w:t>Livingstone-Banks 2019 (a)</w:t>
            </w:r>
            <w:r w:rsidR="00AB4C6B">
              <w:rPr>
                <w:vertAlign w:val="superscript"/>
              </w:rPr>
              <w:t>1</w:t>
            </w:r>
          </w:p>
        </w:tc>
        <w:tc>
          <w:tcPr>
            <w:tcW w:w="509" w:type="pct"/>
            <w:noWrap/>
            <w:vAlign w:val="center"/>
          </w:tcPr>
          <w:p w:rsidR="008501D2" w:rsidRDefault="008501D2" w:rsidP="008501D2">
            <w:pPr>
              <w:pStyle w:val="Tablewriting"/>
            </w:pPr>
            <w:r>
              <w:t>May 2019</w:t>
            </w:r>
          </w:p>
        </w:tc>
        <w:tc>
          <w:tcPr>
            <w:tcW w:w="571" w:type="pct"/>
            <w:noWrap/>
            <w:vAlign w:val="center"/>
          </w:tcPr>
          <w:p w:rsidR="008501D2" w:rsidRPr="00F20C7E" w:rsidRDefault="008501D2" w:rsidP="008501D2">
            <w:pPr>
              <w:pStyle w:val="Tablewriting"/>
              <w:jc w:val="center"/>
              <w:rPr>
                <w:b/>
                <w:bCs/>
              </w:rPr>
            </w:pPr>
            <w:r>
              <w:rPr>
                <w:b/>
                <w:bCs/>
              </w:rPr>
              <w:t>X</w:t>
            </w:r>
          </w:p>
        </w:tc>
        <w:tc>
          <w:tcPr>
            <w:tcW w:w="560" w:type="pct"/>
            <w:noWrap/>
            <w:vAlign w:val="center"/>
          </w:tcPr>
          <w:p w:rsidR="008501D2" w:rsidRDefault="008501D2" w:rsidP="008501D2">
            <w:pPr>
              <w:pStyle w:val="Tablewriting"/>
              <w:jc w:val="center"/>
              <w:rPr>
                <w:b/>
                <w:bCs/>
              </w:rPr>
            </w:pPr>
            <w:r>
              <w:rPr>
                <w:b/>
                <w:bCs/>
              </w:rPr>
              <w:t>X</w:t>
            </w:r>
          </w:p>
        </w:tc>
        <w:tc>
          <w:tcPr>
            <w:tcW w:w="540" w:type="pct"/>
          </w:tcPr>
          <w:p w:rsidR="008501D2" w:rsidRPr="00F20C7E" w:rsidRDefault="008501D2" w:rsidP="008501D2">
            <w:pPr>
              <w:pStyle w:val="Tablewriting"/>
              <w:jc w:val="center"/>
              <w:rPr>
                <w:b/>
                <w:bCs/>
              </w:rPr>
            </w:pPr>
          </w:p>
        </w:tc>
        <w:tc>
          <w:tcPr>
            <w:tcW w:w="540" w:type="pct"/>
            <w:noWrap/>
            <w:vAlign w:val="center"/>
          </w:tcPr>
          <w:p w:rsidR="008501D2" w:rsidRPr="00F20C7E" w:rsidRDefault="008501D2" w:rsidP="008501D2">
            <w:pPr>
              <w:pStyle w:val="Tablewriting"/>
              <w:jc w:val="center"/>
              <w:rPr>
                <w:b/>
                <w:bCs/>
              </w:rPr>
            </w:pPr>
          </w:p>
        </w:tc>
        <w:tc>
          <w:tcPr>
            <w:tcW w:w="555" w:type="pct"/>
            <w:vAlign w:val="center"/>
          </w:tcPr>
          <w:p w:rsidR="008501D2" w:rsidRPr="00F20C7E" w:rsidRDefault="008501D2" w:rsidP="008501D2">
            <w:pPr>
              <w:pStyle w:val="Tablewriting"/>
              <w:jc w:val="center"/>
              <w:rPr>
                <w:b/>
                <w:bCs/>
              </w:rPr>
            </w:pPr>
          </w:p>
        </w:tc>
        <w:tc>
          <w:tcPr>
            <w:tcW w:w="537" w:type="pct"/>
            <w:vAlign w:val="center"/>
          </w:tcPr>
          <w:p w:rsidR="008501D2" w:rsidRPr="00F20C7E" w:rsidRDefault="008501D2" w:rsidP="008501D2">
            <w:pPr>
              <w:pStyle w:val="Tablewriting"/>
              <w:jc w:val="center"/>
              <w:rPr>
                <w:b/>
                <w:bCs/>
              </w:rPr>
            </w:pPr>
          </w:p>
        </w:tc>
      </w:tr>
      <w:tr w:rsidR="008501D2" w:rsidRPr="00501885" w:rsidTr="0070406F">
        <w:tc>
          <w:tcPr>
            <w:tcW w:w="204" w:type="pct"/>
            <w:noWrap/>
            <w:vAlign w:val="center"/>
          </w:tcPr>
          <w:p w:rsidR="008501D2" w:rsidRDefault="00BC27C1" w:rsidP="008501D2">
            <w:pPr>
              <w:pStyle w:val="Tablewriting"/>
            </w:pPr>
            <w:r>
              <w:t>5</w:t>
            </w:r>
          </w:p>
        </w:tc>
        <w:tc>
          <w:tcPr>
            <w:tcW w:w="984" w:type="pct"/>
            <w:noWrap/>
            <w:vAlign w:val="center"/>
          </w:tcPr>
          <w:p w:rsidR="008501D2" w:rsidRDefault="008501D2" w:rsidP="008501D2">
            <w:pPr>
              <w:pStyle w:val="Tablewriting"/>
            </w:pPr>
            <w:r w:rsidRPr="00673DED">
              <w:t>Livingstone-Banks 2019 (b)</w:t>
            </w:r>
          </w:p>
        </w:tc>
        <w:tc>
          <w:tcPr>
            <w:tcW w:w="509" w:type="pct"/>
            <w:noWrap/>
            <w:vAlign w:val="center"/>
          </w:tcPr>
          <w:p w:rsidR="008501D2" w:rsidRDefault="008501D2" w:rsidP="008501D2">
            <w:pPr>
              <w:pStyle w:val="Tablewriting"/>
            </w:pPr>
            <w:r>
              <w:t>May 2018</w:t>
            </w:r>
          </w:p>
        </w:tc>
        <w:tc>
          <w:tcPr>
            <w:tcW w:w="571" w:type="pct"/>
            <w:noWrap/>
            <w:vAlign w:val="center"/>
          </w:tcPr>
          <w:p w:rsidR="008501D2" w:rsidRPr="00F20C7E" w:rsidRDefault="008501D2" w:rsidP="008501D2">
            <w:pPr>
              <w:pStyle w:val="Tablewriting"/>
              <w:jc w:val="center"/>
              <w:rPr>
                <w:b/>
                <w:bCs/>
              </w:rPr>
            </w:pPr>
          </w:p>
        </w:tc>
        <w:tc>
          <w:tcPr>
            <w:tcW w:w="560" w:type="pct"/>
            <w:noWrap/>
            <w:vAlign w:val="center"/>
          </w:tcPr>
          <w:p w:rsidR="008501D2" w:rsidRDefault="008501D2" w:rsidP="008501D2">
            <w:pPr>
              <w:pStyle w:val="Tablewriting"/>
              <w:jc w:val="center"/>
              <w:rPr>
                <w:b/>
                <w:bCs/>
              </w:rPr>
            </w:pPr>
          </w:p>
        </w:tc>
        <w:tc>
          <w:tcPr>
            <w:tcW w:w="540" w:type="pct"/>
          </w:tcPr>
          <w:p w:rsidR="008501D2" w:rsidRPr="00F20C7E" w:rsidRDefault="008501D2" w:rsidP="008501D2">
            <w:pPr>
              <w:pStyle w:val="Tablewriting"/>
              <w:jc w:val="center"/>
              <w:rPr>
                <w:b/>
                <w:bCs/>
              </w:rPr>
            </w:pPr>
          </w:p>
        </w:tc>
        <w:tc>
          <w:tcPr>
            <w:tcW w:w="540" w:type="pct"/>
            <w:noWrap/>
            <w:vAlign w:val="center"/>
          </w:tcPr>
          <w:p w:rsidR="008501D2" w:rsidRPr="00F20C7E" w:rsidRDefault="008501D2" w:rsidP="008501D2">
            <w:pPr>
              <w:pStyle w:val="Tablewriting"/>
              <w:jc w:val="center"/>
              <w:rPr>
                <w:b/>
                <w:bCs/>
              </w:rPr>
            </w:pPr>
            <w:r>
              <w:rPr>
                <w:b/>
                <w:bCs/>
              </w:rPr>
              <w:t>X</w:t>
            </w:r>
            <w:r w:rsidR="0028378A">
              <w:rPr>
                <w:vertAlign w:val="superscript"/>
              </w:rPr>
              <w:t>5</w:t>
            </w:r>
          </w:p>
        </w:tc>
        <w:tc>
          <w:tcPr>
            <w:tcW w:w="555" w:type="pct"/>
            <w:vAlign w:val="center"/>
          </w:tcPr>
          <w:p w:rsidR="008501D2" w:rsidRPr="00F20C7E" w:rsidRDefault="008501D2" w:rsidP="008501D2">
            <w:pPr>
              <w:pStyle w:val="Tablewriting"/>
              <w:jc w:val="center"/>
              <w:rPr>
                <w:b/>
                <w:bCs/>
              </w:rPr>
            </w:pPr>
          </w:p>
        </w:tc>
        <w:tc>
          <w:tcPr>
            <w:tcW w:w="537" w:type="pct"/>
            <w:vAlign w:val="center"/>
          </w:tcPr>
          <w:p w:rsidR="008501D2" w:rsidRPr="00F20C7E" w:rsidRDefault="008501D2" w:rsidP="008501D2">
            <w:pPr>
              <w:pStyle w:val="Tablewriting"/>
              <w:jc w:val="center"/>
              <w:rPr>
                <w:b/>
                <w:bCs/>
              </w:rPr>
            </w:pPr>
          </w:p>
        </w:tc>
      </w:tr>
      <w:tr w:rsidR="008501D2" w:rsidRPr="00501885" w:rsidTr="0070406F">
        <w:tc>
          <w:tcPr>
            <w:tcW w:w="204" w:type="pct"/>
            <w:noWrap/>
            <w:vAlign w:val="center"/>
          </w:tcPr>
          <w:p w:rsidR="008501D2" w:rsidRDefault="00BC27C1" w:rsidP="008501D2">
            <w:pPr>
              <w:pStyle w:val="Tablewriting"/>
            </w:pPr>
            <w:r>
              <w:t>6</w:t>
            </w:r>
          </w:p>
        </w:tc>
        <w:tc>
          <w:tcPr>
            <w:tcW w:w="984" w:type="pct"/>
            <w:noWrap/>
            <w:vAlign w:val="center"/>
          </w:tcPr>
          <w:p w:rsidR="008501D2" w:rsidRDefault="008501D2" w:rsidP="008501D2">
            <w:pPr>
              <w:pStyle w:val="Tablewriting"/>
            </w:pPr>
            <w:r>
              <w:t>Lindson 2019 (a)</w:t>
            </w:r>
          </w:p>
        </w:tc>
        <w:tc>
          <w:tcPr>
            <w:tcW w:w="509" w:type="pct"/>
            <w:noWrap/>
            <w:vAlign w:val="center"/>
          </w:tcPr>
          <w:p w:rsidR="008501D2" w:rsidRDefault="008501D2" w:rsidP="008501D2">
            <w:pPr>
              <w:pStyle w:val="Tablewriting"/>
            </w:pPr>
            <w:r>
              <w:t>April 2018</w:t>
            </w:r>
          </w:p>
        </w:tc>
        <w:tc>
          <w:tcPr>
            <w:tcW w:w="571" w:type="pct"/>
            <w:noWrap/>
            <w:vAlign w:val="center"/>
          </w:tcPr>
          <w:p w:rsidR="008501D2" w:rsidRPr="00F20C7E" w:rsidRDefault="008501D2" w:rsidP="008501D2">
            <w:pPr>
              <w:pStyle w:val="Tablewriting"/>
              <w:jc w:val="center"/>
              <w:rPr>
                <w:b/>
                <w:bCs/>
              </w:rPr>
            </w:pPr>
            <w:r>
              <w:rPr>
                <w:b/>
                <w:bCs/>
              </w:rPr>
              <w:t>X</w:t>
            </w:r>
          </w:p>
        </w:tc>
        <w:tc>
          <w:tcPr>
            <w:tcW w:w="560" w:type="pct"/>
            <w:noWrap/>
            <w:vAlign w:val="center"/>
          </w:tcPr>
          <w:p w:rsidR="008501D2" w:rsidRDefault="008501D2" w:rsidP="008501D2">
            <w:pPr>
              <w:pStyle w:val="Tablewriting"/>
              <w:jc w:val="center"/>
              <w:rPr>
                <w:b/>
                <w:bCs/>
              </w:rPr>
            </w:pPr>
          </w:p>
        </w:tc>
        <w:tc>
          <w:tcPr>
            <w:tcW w:w="540" w:type="pct"/>
          </w:tcPr>
          <w:p w:rsidR="008501D2" w:rsidRPr="00F20C7E" w:rsidRDefault="008501D2" w:rsidP="008501D2">
            <w:pPr>
              <w:pStyle w:val="Tablewriting"/>
              <w:jc w:val="center"/>
              <w:rPr>
                <w:b/>
                <w:bCs/>
              </w:rPr>
            </w:pPr>
            <w:r>
              <w:rPr>
                <w:b/>
                <w:bCs/>
              </w:rPr>
              <w:t>X</w:t>
            </w:r>
          </w:p>
        </w:tc>
        <w:tc>
          <w:tcPr>
            <w:tcW w:w="540" w:type="pct"/>
            <w:noWrap/>
            <w:vAlign w:val="center"/>
          </w:tcPr>
          <w:p w:rsidR="008501D2" w:rsidRPr="00F20C7E" w:rsidRDefault="008501D2" w:rsidP="008501D2">
            <w:pPr>
              <w:pStyle w:val="Tablewriting"/>
              <w:jc w:val="center"/>
              <w:rPr>
                <w:b/>
                <w:bCs/>
              </w:rPr>
            </w:pPr>
          </w:p>
        </w:tc>
        <w:tc>
          <w:tcPr>
            <w:tcW w:w="555" w:type="pct"/>
            <w:vAlign w:val="center"/>
          </w:tcPr>
          <w:p w:rsidR="008501D2" w:rsidRPr="00F20C7E" w:rsidRDefault="008501D2" w:rsidP="008501D2">
            <w:pPr>
              <w:pStyle w:val="Tablewriting"/>
              <w:jc w:val="center"/>
              <w:rPr>
                <w:b/>
                <w:bCs/>
              </w:rPr>
            </w:pPr>
          </w:p>
        </w:tc>
        <w:tc>
          <w:tcPr>
            <w:tcW w:w="537" w:type="pct"/>
            <w:vAlign w:val="center"/>
          </w:tcPr>
          <w:p w:rsidR="008501D2" w:rsidRPr="00F20C7E" w:rsidRDefault="008501D2" w:rsidP="008501D2">
            <w:pPr>
              <w:pStyle w:val="Tablewriting"/>
              <w:jc w:val="center"/>
              <w:rPr>
                <w:b/>
                <w:bCs/>
              </w:rPr>
            </w:pPr>
          </w:p>
        </w:tc>
      </w:tr>
      <w:tr w:rsidR="008501D2" w:rsidRPr="00501885" w:rsidTr="0070406F">
        <w:tc>
          <w:tcPr>
            <w:tcW w:w="204" w:type="pct"/>
            <w:noWrap/>
            <w:vAlign w:val="center"/>
          </w:tcPr>
          <w:p w:rsidR="008501D2" w:rsidRDefault="00BC27C1" w:rsidP="008501D2">
            <w:pPr>
              <w:pStyle w:val="Tablewriting"/>
            </w:pPr>
            <w:r>
              <w:t>7</w:t>
            </w:r>
          </w:p>
        </w:tc>
        <w:tc>
          <w:tcPr>
            <w:tcW w:w="984" w:type="pct"/>
            <w:noWrap/>
            <w:vAlign w:val="center"/>
          </w:tcPr>
          <w:p w:rsidR="008501D2" w:rsidRDefault="008501D2" w:rsidP="008501D2">
            <w:pPr>
              <w:pStyle w:val="Tablewriting"/>
            </w:pPr>
            <w:r w:rsidRPr="00884FD4">
              <w:t>Lindson 2019 (</w:t>
            </w:r>
            <w:r>
              <w:t>b</w:t>
            </w:r>
            <w:r w:rsidRPr="00884FD4">
              <w:t>)</w:t>
            </w:r>
            <w:r w:rsidR="0048499B">
              <w:rPr>
                <w:vertAlign w:val="superscript"/>
              </w:rPr>
              <w:t>2</w:t>
            </w:r>
          </w:p>
        </w:tc>
        <w:tc>
          <w:tcPr>
            <w:tcW w:w="509" w:type="pct"/>
            <w:noWrap/>
            <w:vAlign w:val="center"/>
          </w:tcPr>
          <w:p w:rsidR="008501D2" w:rsidRDefault="008501D2" w:rsidP="008501D2">
            <w:pPr>
              <w:pStyle w:val="Tablewriting"/>
            </w:pPr>
            <w:r w:rsidRPr="00884FD4">
              <w:t>Oct 2018</w:t>
            </w:r>
          </w:p>
        </w:tc>
        <w:tc>
          <w:tcPr>
            <w:tcW w:w="571" w:type="pct"/>
            <w:noWrap/>
            <w:vAlign w:val="center"/>
          </w:tcPr>
          <w:p w:rsidR="008501D2" w:rsidRPr="00F20C7E" w:rsidRDefault="008501D2" w:rsidP="008501D2">
            <w:pPr>
              <w:pStyle w:val="Tablewriting"/>
              <w:jc w:val="center"/>
              <w:rPr>
                <w:b/>
                <w:bCs/>
              </w:rPr>
            </w:pPr>
          </w:p>
        </w:tc>
        <w:tc>
          <w:tcPr>
            <w:tcW w:w="560" w:type="pct"/>
            <w:noWrap/>
            <w:vAlign w:val="center"/>
          </w:tcPr>
          <w:p w:rsidR="008501D2" w:rsidRDefault="008501D2" w:rsidP="008501D2">
            <w:pPr>
              <w:pStyle w:val="Tablewriting"/>
              <w:jc w:val="center"/>
              <w:rPr>
                <w:b/>
                <w:bCs/>
              </w:rPr>
            </w:pPr>
          </w:p>
        </w:tc>
        <w:tc>
          <w:tcPr>
            <w:tcW w:w="540" w:type="pct"/>
          </w:tcPr>
          <w:p w:rsidR="008501D2" w:rsidRPr="00F20C7E" w:rsidRDefault="008501D2" w:rsidP="008501D2">
            <w:pPr>
              <w:pStyle w:val="Tablewriting"/>
              <w:jc w:val="center"/>
              <w:rPr>
                <w:b/>
                <w:bCs/>
              </w:rPr>
            </w:pPr>
            <w:r>
              <w:rPr>
                <w:b/>
                <w:bCs/>
              </w:rPr>
              <w:t>X</w:t>
            </w:r>
          </w:p>
        </w:tc>
        <w:tc>
          <w:tcPr>
            <w:tcW w:w="540" w:type="pct"/>
            <w:noWrap/>
            <w:vAlign w:val="center"/>
          </w:tcPr>
          <w:p w:rsidR="008501D2" w:rsidRPr="00F20C7E" w:rsidRDefault="008501D2" w:rsidP="008501D2">
            <w:pPr>
              <w:pStyle w:val="Tablewriting"/>
              <w:jc w:val="center"/>
              <w:rPr>
                <w:b/>
                <w:bCs/>
              </w:rPr>
            </w:pPr>
          </w:p>
        </w:tc>
        <w:tc>
          <w:tcPr>
            <w:tcW w:w="555" w:type="pct"/>
            <w:vAlign w:val="center"/>
          </w:tcPr>
          <w:p w:rsidR="008501D2" w:rsidRPr="00F20C7E" w:rsidRDefault="008501D2" w:rsidP="008501D2">
            <w:pPr>
              <w:pStyle w:val="Tablewriting"/>
              <w:jc w:val="center"/>
              <w:rPr>
                <w:b/>
                <w:bCs/>
              </w:rPr>
            </w:pPr>
          </w:p>
        </w:tc>
        <w:tc>
          <w:tcPr>
            <w:tcW w:w="537" w:type="pct"/>
            <w:vAlign w:val="center"/>
          </w:tcPr>
          <w:p w:rsidR="008501D2" w:rsidRPr="00F20C7E" w:rsidRDefault="008501D2" w:rsidP="008501D2">
            <w:pPr>
              <w:pStyle w:val="Tablewriting"/>
              <w:jc w:val="center"/>
              <w:rPr>
                <w:b/>
                <w:bCs/>
              </w:rPr>
            </w:pPr>
          </w:p>
        </w:tc>
      </w:tr>
      <w:tr w:rsidR="008501D2" w:rsidRPr="00501885" w:rsidTr="0070406F">
        <w:tc>
          <w:tcPr>
            <w:tcW w:w="204" w:type="pct"/>
            <w:noWrap/>
            <w:vAlign w:val="center"/>
          </w:tcPr>
          <w:p w:rsidR="008501D2" w:rsidRDefault="00BC27C1" w:rsidP="008501D2">
            <w:pPr>
              <w:pStyle w:val="Tablewriting"/>
            </w:pPr>
            <w:r>
              <w:t>8</w:t>
            </w:r>
          </w:p>
        </w:tc>
        <w:tc>
          <w:tcPr>
            <w:tcW w:w="984" w:type="pct"/>
            <w:noWrap/>
            <w:vAlign w:val="center"/>
          </w:tcPr>
          <w:p w:rsidR="008501D2" w:rsidRDefault="008501D2" w:rsidP="008501D2">
            <w:pPr>
              <w:pStyle w:val="Tablewriting"/>
            </w:pPr>
            <w:r>
              <w:t>Hartmann-Boyce 2019</w:t>
            </w:r>
          </w:p>
        </w:tc>
        <w:tc>
          <w:tcPr>
            <w:tcW w:w="509" w:type="pct"/>
            <w:noWrap/>
            <w:vAlign w:val="center"/>
          </w:tcPr>
          <w:p w:rsidR="008501D2" w:rsidRDefault="008501D2" w:rsidP="008501D2">
            <w:pPr>
              <w:pStyle w:val="Tablewriting"/>
            </w:pPr>
            <w:r>
              <w:t>Jun 2018</w:t>
            </w:r>
          </w:p>
        </w:tc>
        <w:tc>
          <w:tcPr>
            <w:tcW w:w="571" w:type="pct"/>
            <w:noWrap/>
            <w:vAlign w:val="center"/>
          </w:tcPr>
          <w:p w:rsidR="008501D2" w:rsidRPr="00F20C7E" w:rsidRDefault="008501D2" w:rsidP="008501D2">
            <w:pPr>
              <w:pStyle w:val="Tablewriting"/>
              <w:jc w:val="center"/>
              <w:rPr>
                <w:b/>
                <w:bCs/>
              </w:rPr>
            </w:pPr>
          </w:p>
        </w:tc>
        <w:tc>
          <w:tcPr>
            <w:tcW w:w="560" w:type="pct"/>
            <w:noWrap/>
            <w:vAlign w:val="center"/>
          </w:tcPr>
          <w:p w:rsidR="008501D2" w:rsidRDefault="008501D2" w:rsidP="008501D2">
            <w:pPr>
              <w:pStyle w:val="Tablewriting"/>
              <w:jc w:val="center"/>
              <w:rPr>
                <w:b/>
                <w:bCs/>
              </w:rPr>
            </w:pPr>
          </w:p>
        </w:tc>
        <w:tc>
          <w:tcPr>
            <w:tcW w:w="540" w:type="pct"/>
          </w:tcPr>
          <w:p w:rsidR="008501D2" w:rsidRPr="00F20C7E" w:rsidRDefault="008501D2" w:rsidP="008501D2">
            <w:pPr>
              <w:pStyle w:val="Tablewriting"/>
              <w:jc w:val="center"/>
              <w:rPr>
                <w:b/>
                <w:bCs/>
              </w:rPr>
            </w:pPr>
          </w:p>
        </w:tc>
        <w:tc>
          <w:tcPr>
            <w:tcW w:w="540" w:type="pct"/>
            <w:noWrap/>
            <w:vAlign w:val="center"/>
          </w:tcPr>
          <w:p w:rsidR="008501D2" w:rsidRPr="00F20C7E" w:rsidRDefault="008501D2" w:rsidP="008501D2">
            <w:pPr>
              <w:pStyle w:val="Tablewriting"/>
              <w:jc w:val="center"/>
              <w:rPr>
                <w:b/>
                <w:bCs/>
              </w:rPr>
            </w:pPr>
            <w:r>
              <w:rPr>
                <w:b/>
                <w:bCs/>
              </w:rPr>
              <w:t>X</w:t>
            </w:r>
            <w:r w:rsidR="0028378A">
              <w:rPr>
                <w:vertAlign w:val="superscript"/>
              </w:rPr>
              <w:t>6</w:t>
            </w:r>
          </w:p>
        </w:tc>
        <w:tc>
          <w:tcPr>
            <w:tcW w:w="555" w:type="pct"/>
            <w:vAlign w:val="center"/>
          </w:tcPr>
          <w:p w:rsidR="008501D2" w:rsidRPr="00F20C7E" w:rsidRDefault="008501D2" w:rsidP="008501D2">
            <w:pPr>
              <w:pStyle w:val="Tablewriting"/>
              <w:jc w:val="center"/>
              <w:rPr>
                <w:b/>
                <w:bCs/>
              </w:rPr>
            </w:pPr>
          </w:p>
        </w:tc>
        <w:tc>
          <w:tcPr>
            <w:tcW w:w="537" w:type="pct"/>
            <w:vAlign w:val="center"/>
          </w:tcPr>
          <w:p w:rsidR="008501D2" w:rsidRPr="00F20C7E" w:rsidRDefault="008501D2" w:rsidP="008501D2">
            <w:pPr>
              <w:pStyle w:val="Tablewriting"/>
              <w:jc w:val="center"/>
              <w:rPr>
                <w:b/>
                <w:bCs/>
              </w:rPr>
            </w:pPr>
          </w:p>
        </w:tc>
      </w:tr>
      <w:tr w:rsidR="008501D2" w:rsidRPr="00501885" w:rsidTr="0070406F">
        <w:tc>
          <w:tcPr>
            <w:tcW w:w="204" w:type="pct"/>
            <w:noWrap/>
            <w:vAlign w:val="center"/>
          </w:tcPr>
          <w:p w:rsidR="008501D2" w:rsidRDefault="00BC27C1" w:rsidP="008501D2">
            <w:pPr>
              <w:pStyle w:val="Tablewriting"/>
            </w:pPr>
            <w:r>
              <w:t>9</w:t>
            </w:r>
          </w:p>
        </w:tc>
        <w:tc>
          <w:tcPr>
            <w:tcW w:w="984" w:type="pct"/>
            <w:noWrap/>
            <w:vAlign w:val="center"/>
          </w:tcPr>
          <w:p w:rsidR="008501D2" w:rsidRDefault="008501D2" w:rsidP="008501D2">
            <w:pPr>
              <w:pStyle w:val="Tablewriting"/>
            </w:pPr>
            <w:r w:rsidRPr="00935B04">
              <w:t>Carson-Chahhoud 2019</w:t>
            </w:r>
          </w:p>
        </w:tc>
        <w:tc>
          <w:tcPr>
            <w:tcW w:w="509" w:type="pct"/>
            <w:noWrap/>
            <w:vAlign w:val="center"/>
          </w:tcPr>
          <w:p w:rsidR="008501D2" w:rsidRDefault="008501D2" w:rsidP="008501D2">
            <w:pPr>
              <w:pStyle w:val="Tablewriting"/>
            </w:pPr>
            <w:r>
              <w:t>Jan 2019</w:t>
            </w:r>
          </w:p>
        </w:tc>
        <w:tc>
          <w:tcPr>
            <w:tcW w:w="571" w:type="pct"/>
            <w:noWrap/>
            <w:vAlign w:val="center"/>
          </w:tcPr>
          <w:p w:rsidR="008501D2" w:rsidRPr="00F20C7E" w:rsidRDefault="008501D2" w:rsidP="008501D2">
            <w:pPr>
              <w:pStyle w:val="Tablewriting"/>
              <w:jc w:val="center"/>
              <w:rPr>
                <w:b/>
                <w:bCs/>
              </w:rPr>
            </w:pPr>
          </w:p>
        </w:tc>
        <w:tc>
          <w:tcPr>
            <w:tcW w:w="560" w:type="pct"/>
            <w:noWrap/>
            <w:vAlign w:val="center"/>
          </w:tcPr>
          <w:p w:rsidR="008501D2" w:rsidRDefault="008501D2" w:rsidP="008501D2">
            <w:pPr>
              <w:pStyle w:val="Tablewriting"/>
              <w:jc w:val="center"/>
              <w:rPr>
                <w:b/>
                <w:bCs/>
              </w:rPr>
            </w:pPr>
          </w:p>
        </w:tc>
        <w:tc>
          <w:tcPr>
            <w:tcW w:w="540" w:type="pct"/>
          </w:tcPr>
          <w:p w:rsidR="008501D2" w:rsidRPr="00F20C7E" w:rsidRDefault="008501D2" w:rsidP="008501D2">
            <w:pPr>
              <w:pStyle w:val="Tablewriting"/>
              <w:jc w:val="center"/>
              <w:rPr>
                <w:b/>
                <w:bCs/>
              </w:rPr>
            </w:pPr>
          </w:p>
        </w:tc>
        <w:tc>
          <w:tcPr>
            <w:tcW w:w="540" w:type="pct"/>
            <w:noWrap/>
            <w:vAlign w:val="center"/>
          </w:tcPr>
          <w:p w:rsidR="008501D2" w:rsidRPr="00F20C7E" w:rsidRDefault="008501D2" w:rsidP="008501D2">
            <w:pPr>
              <w:pStyle w:val="Tablewriting"/>
              <w:jc w:val="center"/>
              <w:rPr>
                <w:b/>
                <w:bCs/>
              </w:rPr>
            </w:pPr>
            <w:r>
              <w:rPr>
                <w:b/>
                <w:bCs/>
              </w:rPr>
              <w:t>X</w:t>
            </w:r>
            <w:r w:rsidR="0028378A">
              <w:rPr>
                <w:vertAlign w:val="superscript"/>
              </w:rPr>
              <w:t>7</w:t>
            </w:r>
          </w:p>
        </w:tc>
        <w:tc>
          <w:tcPr>
            <w:tcW w:w="555" w:type="pct"/>
            <w:vAlign w:val="center"/>
          </w:tcPr>
          <w:p w:rsidR="008501D2" w:rsidRPr="00F20C7E" w:rsidRDefault="008501D2" w:rsidP="008501D2">
            <w:pPr>
              <w:pStyle w:val="Tablewriting"/>
              <w:jc w:val="center"/>
              <w:rPr>
                <w:b/>
                <w:bCs/>
              </w:rPr>
            </w:pPr>
          </w:p>
        </w:tc>
        <w:tc>
          <w:tcPr>
            <w:tcW w:w="537" w:type="pct"/>
            <w:vAlign w:val="center"/>
          </w:tcPr>
          <w:p w:rsidR="008501D2" w:rsidRPr="00F20C7E" w:rsidRDefault="008501D2" w:rsidP="008501D2">
            <w:pPr>
              <w:pStyle w:val="Tablewriting"/>
              <w:jc w:val="center"/>
              <w:rPr>
                <w:b/>
                <w:bCs/>
              </w:rPr>
            </w:pPr>
          </w:p>
        </w:tc>
      </w:tr>
      <w:tr w:rsidR="00BC27C1" w:rsidRPr="00501885" w:rsidTr="0070406F">
        <w:tc>
          <w:tcPr>
            <w:tcW w:w="204" w:type="pct"/>
            <w:noWrap/>
            <w:vAlign w:val="center"/>
          </w:tcPr>
          <w:p w:rsidR="00BC27C1" w:rsidRDefault="00BC27C1" w:rsidP="00BC27C1">
            <w:pPr>
              <w:pStyle w:val="Tablewriting"/>
            </w:pPr>
            <w:r>
              <w:t>10</w:t>
            </w:r>
          </w:p>
        </w:tc>
        <w:tc>
          <w:tcPr>
            <w:tcW w:w="984" w:type="pct"/>
            <w:noWrap/>
            <w:vAlign w:val="center"/>
          </w:tcPr>
          <w:p w:rsidR="00BC27C1" w:rsidRDefault="00BC27C1" w:rsidP="00BC27C1">
            <w:pPr>
              <w:pStyle w:val="Tablewriting"/>
            </w:pPr>
            <w:r w:rsidRPr="00A1323F">
              <w:t>Hartmann-Boyce 2018</w:t>
            </w:r>
          </w:p>
        </w:tc>
        <w:tc>
          <w:tcPr>
            <w:tcW w:w="509" w:type="pct"/>
            <w:noWrap/>
            <w:vAlign w:val="center"/>
          </w:tcPr>
          <w:p w:rsidR="00BC27C1" w:rsidRDefault="00BC27C1" w:rsidP="00BC27C1">
            <w:pPr>
              <w:pStyle w:val="Tablewriting"/>
            </w:pPr>
            <w:r>
              <w:t>Jul 2017</w:t>
            </w:r>
          </w:p>
        </w:tc>
        <w:tc>
          <w:tcPr>
            <w:tcW w:w="571" w:type="pct"/>
            <w:noWrap/>
            <w:vAlign w:val="center"/>
          </w:tcPr>
          <w:p w:rsidR="00BC27C1" w:rsidRPr="00F20C7E" w:rsidRDefault="00BC27C1" w:rsidP="00BC27C1">
            <w:pPr>
              <w:pStyle w:val="Tablewriting"/>
              <w:jc w:val="center"/>
              <w:rPr>
                <w:b/>
                <w:bCs/>
              </w:rPr>
            </w:pPr>
            <w:r>
              <w:rPr>
                <w:b/>
                <w:bCs/>
              </w:rPr>
              <w:t>X</w:t>
            </w:r>
          </w:p>
        </w:tc>
        <w:tc>
          <w:tcPr>
            <w:tcW w:w="560" w:type="pct"/>
            <w:noWrap/>
            <w:vAlign w:val="center"/>
          </w:tcPr>
          <w:p w:rsidR="00BC27C1" w:rsidRDefault="00BC27C1" w:rsidP="00BC27C1">
            <w:pPr>
              <w:pStyle w:val="Tablewriting"/>
              <w:jc w:val="center"/>
              <w:rPr>
                <w:b/>
                <w:bCs/>
              </w:rPr>
            </w:pPr>
          </w:p>
        </w:tc>
        <w:tc>
          <w:tcPr>
            <w:tcW w:w="540" w:type="pct"/>
          </w:tcPr>
          <w:p w:rsidR="00BC27C1" w:rsidRPr="00F20C7E" w:rsidRDefault="00BC27C1" w:rsidP="00BC27C1">
            <w:pPr>
              <w:pStyle w:val="Tablewriting"/>
              <w:jc w:val="center"/>
              <w:rPr>
                <w:b/>
                <w:bCs/>
              </w:rPr>
            </w:pPr>
          </w:p>
        </w:tc>
        <w:tc>
          <w:tcPr>
            <w:tcW w:w="540" w:type="pct"/>
            <w:noWrap/>
            <w:vAlign w:val="center"/>
          </w:tcPr>
          <w:p w:rsidR="00BC27C1" w:rsidRPr="00F20C7E" w:rsidRDefault="00BC27C1" w:rsidP="00BC27C1">
            <w:pPr>
              <w:pStyle w:val="Tablewriting"/>
              <w:jc w:val="center"/>
              <w:rPr>
                <w:b/>
                <w:bCs/>
              </w:rPr>
            </w:pPr>
          </w:p>
        </w:tc>
        <w:tc>
          <w:tcPr>
            <w:tcW w:w="555" w:type="pct"/>
            <w:vAlign w:val="center"/>
          </w:tcPr>
          <w:p w:rsidR="00BC27C1" w:rsidRPr="00F20C7E" w:rsidRDefault="00BC27C1" w:rsidP="00BC27C1">
            <w:pPr>
              <w:pStyle w:val="Tablewriting"/>
              <w:jc w:val="center"/>
              <w:rPr>
                <w:b/>
                <w:bCs/>
              </w:rPr>
            </w:pPr>
          </w:p>
        </w:tc>
        <w:tc>
          <w:tcPr>
            <w:tcW w:w="537" w:type="pct"/>
            <w:vAlign w:val="center"/>
          </w:tcPr>
          <w:p w:rsidR="00BC27C1" w:rsidRPr="00F20C7E" w:rsidRDefault="00BC27C1" w:rsidP="00BC27C1">
            <w:pPr>
              <w:pStyle w:val="Tablewriting"/>
              <w:jc w:val="center"/>
              <w:rPr>
                <w:b/>
                <w:bCs/>
              </w:rPr>
            </w:pPr>
          </w:p>
        </w:tc>
      </w:tr>
      <w:tr w:rsidR="00BC27C1" w:rsidRPr="00501885" w:rsidTr="0070406F">
        <w:tc>
          <w:tcPr>
            <w:tcW w:w="204" w:type="pct"/>
            <w:noWrap/>
            <w:vAlign w:val="center"/>
          </w:tcPr>
          <w:p w:rsidR="00BC27C1" w:rsidRDefault="00BC27C1" w:rsidP="00BC27C1">
            <w:pPr>
              <w:pStyle w:val="Tablewriting"/>
            </w:pPr>
            <w:r>
              <w:t>11</w:t>
            </w:r>
          </w:p>
        </w:tc>
        <w:tc>
          <w:tcPr>
            <w:tcW w:w="984" w:type="pct"/>
            <w:noWrap/>
            <w:vAlign w:val="center"/>
          </w:tcPr>
          <w:p w:rsidR="00BC27C1" w:rsidRDefault="00BC27C1" w:rsidP="00BC27C1">
            <w:pPr>
              <w:pStyle w:val="Tablewriting"/>
            </w:pPr>
            <w:r>
              <w:t>Stead 2017</w:t>
            </w:r>
          </w:p>
        </w:tc>
        <w:tc>
          <w:tcPr>
            <w:tcW w:w="509" w:type="pct"/>
            <w:noWrap/>
            <w:vAlign w:val="center"/>
          </w:tcPr>
          <w:p w:rsidR="00BC27C1" w:rsidRDefault="00BC27C1" w:rsidP="00BC27C1">
            <w:pPr>
              <w:pStyle w:val="Tablewriting"/>
            </w:pPr>
            <w:r>
              <w:t>May 2018</w:t>
            </w:r>
          </w:p>
        </w:tc>
        <w:tc>
          <w:tcPr>
            <w:tcW w:w="571" w:type="pct"/>
            <w:noWrap/>
            <w:vAlign w:val="center"/>
          </w:tcPr>
          <w:p w:rsidR="00BC27C1" w:rsidRPr="00F20C7E" w:rsidRDefault="00BC27C1" w:rsidP="00BC27C1">
            <w:pPr>
              <w:pStyle w:val="Tablewriting"/>
              <w:jc w:val="center"/>
              <w:rPr>
                <w:b/>
                <w:bCs/>
              </w:rPr>
            </w:pPr>
          </w:p>
        </w:tc>
        <w:tc>
          <w:tcPr>
            <w:tcW w:w="560" w:type="pct"/>
            <w:noWrap/>
            <w:vAlign w:val="center"/>
          </w:tcPr>
          <w:p w:rsidR="00BC27C1" w:rsidRDefault="00BC27C1" w:rsidP="00BC27C1">
            <w:pPr>
              <w:pStyle w:val="Tablewriting"/>
              <w:jc w:val="center"/>
              <w:rPr>
                <w:b/>
                <w:bCs/>
              </w:rPr>
            </w:pPr>
          </w:p>
        </w:tc>
        <w:tc>
          <w:tcPr>
            <w:tcW w:w="540" w:type="pct"/>
          </w:tcPr>
          <w:p w:rsidR="00BC27C1" w:rsidRPr="00F20C7E" w:rsidRDefault="00BC27C1" w:rsidP="00BC27C1">
            <w:pPr>
              <w:pStyle w:val="Tablewriting"/>
              <w:jc w:val="center"/>
              <w:rPr>
                <w:b/>
                <w:bCs/>
              </w:rPr>
            </w:pPr>
          </w:p>
        </w:tc>
        <w:tc>
          <w:tcPr>
            <w:tcW w:w="540" w:type="pct"/>
            <w:noWrap/>
            <w:vAlign w:val="center"/>
          </w:tcPr>
          <w:p w:rsidR="00BC27C1" w:rsidRPr="00F20C7E" w:rsidRDefault="00BC27C1" w:rsidP="00BC27C1">
            <w:pPr>
              <w:pStyle w:val="Tablewriting"/>
              <w:jc w:val="center"/>
              <w:rPr>
                <w:b/>
                <w:bCs/>
              </w:rPr>
            </w:pPr>
            <w:r>
              <w:rPr>
                <w:b/>
                <w:bCs/>
              </w:rPr>
              <w:t>X</w:t>
            </w:r>
            <w:r w:rsidR="0028378A">
              <w:rPr>
                <w:vertAlign w:val="superscript"/>
              </w:rPr>
              <w:t>8</w:t>
            </w:r>
          </w:p>
        </w:tc>
        <w:tc>
          <w:tcPr>
            <w:tcW w:w="555" w:type="pct"/>
            <w:vAlign w:val="center"/>
          </w:tcPr>
          <w:p w:rsidR="00BC27C1" w:rsidRPr="00F20C7E" w:rsidRDefault="00BC27C1" w:rsidP="00BC27C1">
            <w:pPr>
              <w:pStyle w:val="Tablewriting"/>
              <w:jc w:val="center"/>
              <w:rPr>
                <w:b/>
                <w:bCs/>
              </w:rPr>
            </w:pPr>
          </w:p>
        </w:tc>
        <w:tc>
          <w:tcPr>
            <w:tcW w:w="537" w:type="pct"/>
            <w:vAlign w:val="center"/>
          </w:tcPr>
          <w:p w:rsidR="00BC27C1" w:rsidRPr="00F20C7E" w:rsidRDefault="00BC27C1" w:rsidP="00BC27C1">
            <w:pPr>
              <w:pStyle w:val="Tablewriting"/>
              <w:jc w:val="center"/>
              <w:rPr>
                <w:b/>
                <w:bCs/>
              </w:rPr>
            </w:pPr>
          </w:p>
        </w:tc>
      </w:tr>
      <w:tr w:rsidR="00BC27C1" w:rsidRPr="00501885" w:rsidTr="0070406F">
        <w:tc>
          <w:tcPr>
            <w:tcW w:w="204" w:type="pct"/>
            <w:noWrap/>
            <w:vAlign w:val="center"/>
          </w:tcPr>
          <w:p w:rsidR="00BC27C1" w:rsidRDefault="00BC27C1" w:rsidP="00BC27C1">
            <w:pPr>
              <w:pStyle w:val="Tablewriting"/>
            </w:pPr>
            <w:r>
              <w:t>12</w:t>
            </w:r>
          </w:p>
        </w:tc>
        <w:tc>
          <w:tcPr>
            <w:tcW w:w="984" w:type="pct"/>
            <w:noWrap/>
            <w:vAlign w:val="center"/>
          </w:tcPr>
          <w:p w:rsidR="00BC27C1" w:rsidRDefault="00BC27C1" w:rsidP="00BC27C1">
            <w:pPr>
              <w:pStyle w:val="Tablewriting"/>
            </w:pPr>
            <w:r>
              <w:t>Lancaster 2017</w:t>
            </w:r>
          </w:p>
        </w:tc>
        <w:tc>
          <w:tcPr>
            <w:tcW w:w="509" w:type="pct"/>
            <w:noWrap/>
            <w:vAlign w:val="center"/>
          </w:tcPr>
          <w:p w:rsidR="00BC27C1" w:rsidRDefault="00BC27C1" w:rsidP="00BC27C1">
            <w:pPr>
              <w:pStyle w:val="Tablewriting"/>
            </w:pPr>
            <w:r>
              <w:t>May 2016</w:t>
            </w:r>
          </w:p>
        </w:tc>
        <w:tc>
          <w:tcPr>
            <w:tcW w:w="571" w:type="pct"/>
            <w:noWrap/>
            <w:vAlign w:val="center"/>
          </w:tcPr>
          <w:p w:rsidR="00BC27C1" w:rsidRPr="00F20C7E" w:rsidRDefault="00BC27C1" w:rsidP="00BC27C1">
            <w:pPr>
              <w:pStyle w:val="Tablewriting"/>
              <w:jc w:val="center"/>
              <w:rPr>
                <w:b/>
                <w:bCs/>
              </w:rPr>
            </w:pPr>
          </w:p>
        </w:tc>
        <w:tc>
          <w:tcPr>
            <w:tcW w:w="560" w:type="pct"/>
            <w:noWrap/>
            <w:vAlign w:val="center"/>
          </w:tcPr>
          <w:p w:rsidR="00BC27C1" w:rsidRDefault="00BC27C1" w:rsidP="00BC27C1">
            <w:pPr>
              <w:pStyle w:val="Tablewriting"/>
              <w:jc w:val="center"/>
              <w:rPr>
                <w:b/>
                <w:bCs/>
              </w:rPr>
            </w:pPr>
          </w:p>
        </w:tc>
        <w:tc>
          <w:tcPr>
            <w:tcW w:w="540" w:type="pct"/>
          </w:tcPr>
          <w:p w:rsidR="00BC27C1" w:rsidRPr="00F20C7E" w:rsidRDefault="00BC27C1" w:rsidP="00BC27C1">
            <w:pPr>
              <w:pStyle w:val="Tablewriting"/>
              <w:jc w:val="center"/>
              <w:rPr>
                <w:b/>
                <w:bCs/>
              </w:rPr>
            </w:pPr>
          </w:p>
        </w:tc>
        <w:tc>
          <w:tcPr>
            <w:tcW w:w="540" w:type="pct"/>
            <w:noWrap/>
            <w:vAlign w:val="center"/>
          </w:tcPr>
          <w:p w:rsidR="00BC27C1" w:rsidRPr="00F20C7E" w:rsidRDefault="00BC27C1" w:rsidP="00BC27C1">
            <w:pPr>
              <w:pStyle w:val="Tablewriting"/>
              <w:jc w:val="center"/>
              <w:rPr>
                <w:b/>
                <w:bCs/>
              </w:rPr>
            </w:pPr>
            <w:r>
              <w:rPr>
                <w:b/>
                <w:bCs/>
              </w:rPr>
              <w:t>X</w:t>
            </w:r>
            <w:r w:rsidR="0028378A">
              <w:rPr>
                <w:vertAlign w:val="superscript"/>
              </w:rPr>
              <w:t>9</w:t>
            </w:r>
          </w:p>
        </w:tc>
        <w:tc>
          <w:tcPr>
            <w:tcW w:w="555" w:type="pct"/>
            <w:vAlign w:val="center"/>
          </w:tcPr>
          <w:p w:rsidR="00BC27C1" w:rsidRPr="00F20C7E" w:rsidRDefault="00BC27C1" w:rsidP="00BC27C1">
            <w:pPr>
              <w:pStyle w:val="Tablewriting"/>
              <w:jc w:val="center"/>
              <w:rPr>
                <w:b/>
                <w:bCs/>
              </w:rPr>
            </w:pPr>
          </w:p>
        </w:tc>
        <w:tc>
          <w:tcPr>
            <w:tcW w:w="537" w:type="pct"/>
            <w:vAlign w:val="center"/>
          </w:tcPr>
          <w:p w:rsidR="00BC27C1" w:rsidRPr="00F20C7E" w:rsidRDefault="00BC27C1" w:rsidP="00BC27C1">
            <w:pPr>
              <w:pStyle w:val="Tablewriting"/>
              <w:jc w:val="center"/>
              <w:rPr>
                <w:b/>
                <w:bCs/>
              </w:rPr>
            </w:pPr>
          </w:p>
        </w:tc>
      </w:tr>
      <w:tr w:rsidR="00BC27C1" w:rsidRPr="00501885" w:rsidTr="0070406F">
        <w:tc>
          <w:tcPr>
            <w:tcW w:w="204" w:type="pct"/>
            <w:noWrap/>
            <w:vAlign w:val="center"/>
          </w:tcPr>
          <w:p w:rsidR="00BC27C1" w:rsidRDefault="00BC27C1" w:rsidP="00BC27C1">
            <w:pPr>
              <w:pStyle w:val="Tablewriting"/>
            </w:pPr>
            <w:r>
              <w:t>13</w:t>
            </w:r>
          </w:p>
        </w:tc>
        <w:tc>
          <w:tcPr>
            <w:tcW w:w="984" w:type="pct"/>
            <w:noWrap/>
            <w:vAlign w:val="center"/>
          </w:tcPr>
          <w:p w:rsidR="00BC27C1" w:rsidRDefault="00BC27C1" w:rsidP="00BC27C1">
            <w:pPr>
              <w:pStyle w:val="Tablewriting"/>
            </w:pPr>
            <w:r>
              <w:t>Fanshawe 2017</w:t>
            </w:r>
          </w:p>
        </w:tc>
        <w:tc>
          <w:tcPr>
            <w:tcW w:w="509" w:type="pct"/>
            <w:noWrap/>
            <w:vAlign w:val="center"/>
          </w:tcPr>
          <w:p w:rsidR="00BC27C1" w:rsidRDefault="00BC27C1" w:rsidP="00BC27C1">
            <w:pPr>
              <w:pStyle w:val="Tablewriting"/>
            </w:pPr>
            <w:r>
              <w:t>Jun 2017</w:t>
            </w:r>
          </w:p>
        </w:tc>
        <w:tc>
          <w:tcPr>
            <w:tcW w:w="571" w:type="pct"/>
            <w:noWrap/>
            <w:vAlign w:val="center"/>
          </w:tcPr>
          <w:p w:rsidR="00BC27C1" w:rsidRPr="00F20C7E" w:rsidRDefault="00BC27C1" w:rsidP="00BC27C1">
            <w:pPr>
              <w:pStyle w:val="Tablewriting"/>
              <w:jc w:val="center"/>
              <w:rPr>
                <w:b/>
                <w:bCs/>
              </w:rPr>
            </w:pPr>
          </w:p>
        </w:tc>
        <w:tc>
          <w:tcPr>
            <w:tcW w:w="560" w:type="pct"/>
            <w:noWrap/>
            <w:vAlign w:val="center"/>
          </w:tcPr>
          <w:p w:rsidR="00BC27C1" w:rsidRDefault="00BC27C1" w:rsidP="00BC27C1">
            <w:pPr>
              <w:pStyle w:val="Tablewriting"/>
              <w:jc w:val="center"/>
              <w:rPr>
                <w:b/>
                <w:bCs/>
              </w:rPr>
            </w:pPr>
          </w:p>
        </w:tc>
        <w:tc>
          <w:tcPr>
            <w:tcW w:w="540" w:type="pct"/>
          </w:tcPr>
          <w:p w:rsidR="00BC27C1" w:rsidRPr="00F20C7E" w:rsidRDefault="00BC27C1" w:rsidP="00BC27C1">
            <w:pPr>
              <w:pStyle w:val="Tablewriting"/>
              <w:jc w:val="center"/>
              <w:rPr>
                <w:b/>
                <w:bCs/>
              </w:rPr>
            </w:pPr>
          </w:p>
        </w:tc>
        <w:tc>
          <w:tcPr>
            <w:tcW w:w="540" w:type="pct"/>
            <w:noWrap/>
            <w:vAlign w:val="center"/>
          </w:tcPr>
          <w:p w:rsidR="00BC27C1" w:rsidRPr="00F20C7E" w:rsidRDefault="00BC27C1" w:rsidP="00BC27C1">
            <w:pPr>
              <w:pStyle w:val="Tablewriting"/>
              <w:jc w:val="center"/>
              <w:rPr>
                <w:b/>
                <w:bCs/>
              </w:rPr>
            </w:pPr>
          </w:p>
        </w:tc>
        <w:tc>
          <w:tcPr>
            <w:tcW w:w="555" w:type="pct"/>
            <w:vAlign w:val="center"/>
          </w:tcPr>
          <w:p w:rsidR="00BC27C1" w:rsidRPr="00F20C7E" w:rsidRDefault="00BC27C1" w:rsidP="00BC27C1">
            <w:pPr>
              <w:pStyle w:val="Tablewriting"/>
              <w:jc w:val="center"/>
              <w:rPr>
                <w:b/>
                <w:bCs/>
              </w:rPr>
            </w:pPr>
          </w:p>
        </w:tc>
        <w:tc>
          <w:tcPr>
            <w:tcW w:w="537" w:type="pct"/>
            <w:vAlign w:val="center"/>
          </w:tcPr>
          <w:p w:rsidR="00BC27C1" w:rsidRPr="00F20C7E" w:rsidRDefault="00BC27C1" w:rsidP="00BC27C1">
            <w:pPr>
              <w:pStyle w:val="Tablewriting"/>
              <w:jc w:val="center"/>
              <w:rPr>
                <w:b/>
                <w:bCs/>
              </w:rPr>
            </w:pPr>
            <w:r>
              <w:rPr>
                <w:b/>
                <w:bCs/>
              </w:rPr>
              <w:t>X</w:t>
            </w:r>
          </w:p>
        </w:tc>
      </w:tr>
      <w:tr w:rsidR="00BC27C1" w:rsidRPr="00501885" w:rsidTr="0070406F">
        <w:tc>
          <w:tcPr>
            <w:tcW w:w="204" w:type="pct"/>
            <w:noWrap/>
            <w:vAlign w:val="center"/>
          </w:tcPr>
          <w:p w:rsidR="00BC27C1" w:rsidRDefault="00BC27C1" w:rsidP="00BC27C1">
            <w:pPr>
              <w:pStyle w:val="Tablewriting"/>
            </w:pPr>
            <w:r>
              <w:t>14</w:t>
            </w:r>
          </w:p>
        </w:tc>
        <w:tc>
          <w:tcPr>
            <w:tcW w:w="984" w:type="pct"/>
            <w:noWrap/>
            <w:vAlign w:val="center"/>
          </w:tcPr>
          <w:p w:rsidR="00BC27C1" w:rsidRDefault="00BC27C1" w:rsidP="00BC27C1">
            <w:pPr>
              <w:pStyle w:val="Tablewriting"/>
            </w:pPr>
            <w:r>
              <w:t>Cahill 2016</w:t>
            </w:r>
          </w:p>
        </w:tc>
        <w:tc>
          <w:tcPr>
            <w:tcW w:w="509" w:type="pct"/>
            <w:noWrap/>
            <w:vAlign w:val="center"/>
          </w:tcPr>
          <w:p w:rsidR="00BC27C1" w:rsidRDefault="00BC27C1" w:rsidP="00BC27C1">
            <w:pPr>
              <w:pStyle w:val="Tablewriting"/>
            </w:pPr>
            <w:r>
              <w:t>May 2015</w:t>
            </w:r>
          </w:p>
        </w:tc>
        <w:tc>
          <w:tcPr>
            <w:tcW w:w="571" w:type="pct"/>
            <w:noWrap/>
            <w:vAlign w:val="center"/>
          </w:tcPr>
          <w:p w:rsidR="00BC27C1" w:rsidRPr="00F20C7E" w:rsidRDefault="00BC27C1" w:rsidP="00BC27C1">
            <w:pPr>
              <w:pStyle w:val="Tablewriting"/>
              <w:jc w:val="center"/>
              <w:rPr>
                <w:b/>
                <w:bCs/>
              </w:rPr>
            </w:pPr>
            <w:r>
              <w:rPr>
                <w:b/>
                <w:bCs/>
              </w:rPr>
              <w:t>X</w:t>
            </w:r>
          </w:p>
        </w:tc>
        <w:tc>
          <w:tcPr>
            <w:tcW w:w="560" w:type="pct"/>
            <w:noWrap/>
            <w:vAlign w:val="center"/>
          </w:tcPr>
          <w:p w:rsidR="00BC27C1" w:rsidRDefault="00BC27C1" w:rsidP="00BC27C1">
            <w:pPr>
              <w:pStyle w:val="Tablewriting"/>
              <w:jc w:val="center"/>
              <w:rPr>
                <w:b/>
                <w:bCs/>
              </w:rPr>
            </w:pPr>
          </w:p>
        </w:tc>
        <w:tc>
          <w:tcPr>
            <w:tcW w:w="540" w:type="pct"/>
          </w:tcPr>
          <w:p w:rsidR="00BC27C1" w:rsidRPr="00F20C7E" w:rsidRDefault="00BC27C1" w:rsidP="00BC27C1">
            <w:pPr>
              <w:pStyle w:val="Tablewriting"/>
              <w:jc w:val="center"/>
              <w:rPr>
                <w:b/>
                <w:bCs/>
              </w:rPr>
            </w:pPr>
          </w:p>
        </w:tc>
        <w:tc>
          <w:tcPr>
            <w:tcW w:w="540" w:type="pct"/>
            <w:noWrap/>
            <w:vAlign w:val="center"/>
          </w:tcPr>
          <w:p w:rsidR="00BC27C1" w:rsidRPr="00F20C7E" w:rsidRDefault="00BC27C1" w:rsidP="00BC27C1">
            <w:pPr>
              <w:pStyle w:val="Tablewriting"/>
              <w:jc w:val="center"/>
              <w:rPr>
                <w:b/>
                <w:bCs/>
              </w:rPr>
            </w:pPr>
          </w:p>
        </w:tc>
        <w:tc>
          <w:tcPr>
            <w:tcW w:w="555" w:type="pct"/>
            <w:vAlign w:val="center"/>
          </w:tcPr>
          <w:p w:rsidR="00BC27C1" w:rsidRPr="00F20C7E" w:rsidRDefault="00BC27C1" w:rsidP="00BC27C1">
            <w:pPr>
              <w:pStyle w:val="Tablewriting"/>
              <w:jc w:val="center"/>
              <w:rPr>
                <w:b/>
                <w:bCs/>
              </w:rPr>
            </w:pPr>
          </w:p>
        </w:tc>
        <w:tc>
          <w:tcPr>
            <w:tcW w:w="537" w:type="pct"/>
            <w:vAlign w:val="center"/>
          </w:tcPr>
          <w:p w:rsidR="00BC27C1" w:rsidRPr="00F20C7E" w:rsidRDefault="00BC27C1" w:rsidP="00BC27C1">
            <w:pPr>
              <w:pStyle w:val="Tablewriting"/>
              <w:jc w:val="center"/>
              <w:rPr>
                <w:b/>
                <w:bCs/>
              </w:rPr>
            </w:pPr>
          </w:p>
        </w:tc>
      </w:tr>
      <w:tr w:rsidR="00BC27C1" w:rsidRPr="00501885" w:rsidTr="0070406F">
        <w:tc>
          <w:tcPr>
            <w:tcW w:w="204" w:type="pct"/>
            <w:noWrap/>
            <w:vAlign w:val="center"/>
          </w:tcPr>
          <w:p w:rsidR="00BC27C1" w:rsidRDefault="00BC27C1" w:rsidP="00BC27C1">
            <w:pPr>
              <w:pStyle w:val="Tablewriting"/>
            </w:pPr>
            <w:r>
              <w:t>15</w:t>
            </w:r>
          </w:p>
        </w:tc>
        <w:tc>
          <w:tcPr>
            <w:tcW w:w="984" w:type="pct"/>
            <w:noWrap/>
            <w:vAlign w:val="center"/>
          </w:tcPr>
          <w:p w:rsidR="00BC27C1" w:rsidRDefault="00BC27C1" w:rsidP="00BC27C1">
            <w:pPr>
              <w:pStyle w:val="Tablewriting"/>
            </w:pPr>
            <w:r>
              <w:t>Cahill 2013</w:t>
            </w:r>
          </w:p>
        </w:tc>
        <w:tc>
          <w:tcPr>
            <w:tcW w:w="509" w:type="pct"/>
            <w:noWrap/>
            <w:vAlign w:val="center"/>
          </w:tcPr>
          <w:p w:rsidR="00BC27C1" w:rsidRDefault="00BC27C1" w:rsidP="00BC27C1">
            <w:pPr>
              <w:pStyle w:val="Tablewriting"/>
            </w:pPr>
            <w:r>
              <w:t>Nov 2012</w:t>
            </w:r>
          </w:p>
        </w:tc>
        <w:tc>
          <w:tcPr>
            <w:tcW w:w="571" w:type="pct"/>
            <w:noWrap/>
            <w:vAlign w:val="center"/>
          </w:tcPr>
          <w:p w:rsidR="00BC27C1" w:rsidRPr="00F20C7E" w:rsidRDefault="00BC27C1" w:rsidP="00BC27C1">
            <w:pPr>
              <w:pStyle w:val="Tablewriting"/>
              <w:jc w:val="center"/>
              <w:rPr>
                <w:b/>
                <w:bCs/>
              </w:rPr>
            </w:pPr>
          </w:p>
        </w:tc>
        <w:tc>
          <w:tcPr>
            <w:tcW w:w="560" w:type="pct"/>
            <w:noWrap/>
            <w:vAlign w:val="center"/>
          </w:tcPr>
          <w:p w:rsidR="00BC27C1" w:rsidRDefault="00BC27C1" w:rsidP="00BC27C1">
            <w:pPr>
              <w:pStyle w:val="Tablewriting"/>
              <w:jc w:val="center"/>
              <w:rPr>
                <w:b/>
                <w:bCs/>
              </w:rPr>
            </w:pPr>
            <w:r>
              <w:rPr>
                <w:b/>
                <w:bCs/>
              </w:rPr>
              <w:t>X</w:t>
            </w:r>
          </w:p>
        </w:tc>
        <w:tc>
          <w:tcPr>
            <w:tcW w:w="540" w:type="pct"/>
          </w:tcPr>
          <w:p w:rsidR="00BC27C1" w:rsidRPr="00F20C7E" w:rsidRDefault="00BC27C1" w:rsidP="00BC27C1">
            <w:pPr>
              <w:pStyle w:val="Tablewriting"/>
              <w:jc w:val="center"/>
              <w:rPr>
                <w:b/>
                <w:bCs/>
              </w:rPr>
            </w:pPr>
          </w:p>
        </w:tc>
        <w:tc>
          <w:tcPr>
            <w:tcW w:w="540" w:type="pct"/>
            <w:noWrap/>
            <w:vAlign w:val="center"/>
          </w:tcPr>
          <w:p w:rsidR="00BC27C1" w:rsidRPr="00F20C7E" w:rsidRDefault="00BC27C1" w:rsidP="00BC27C1">
            <w:pPr>
              <w:pStyle w:val="Tablewriting"/>
              <w:jc w:val="center"/>
              <w:rPr>
                <w:b/>
                <w:bCs/>
              </w:rPr>
            </w:pPr>
          </w:p>
        </w:tc>
        <w:tc>
          <w:tcPr>
            <w:tcW w:w="555" w:type="pct"/>
            <w:vAlign w:val="center"/>
          </w:tcPr>
          <w:p w:rsidR="00BC27C1" w:rsidRPr="00F20C7E" w:rsidRDefault="00BC27C1" w:rsidP="00BC27C1">
            <w:pPr>
              <w:pStyle w:val="Tablewriting"/>
              <w:jc w:val="center"/>
              <w:rPr>
                <w:b/>
                <w:bCs/>
              </w:rPr>
            </w:pPr>
          </w:p>
        </w:tc>
        <w:tc>
          <w:tcPr>
            <w:tcW w:w="537" w:type="pct"/>
            <w:vAlign w:val="center"/>
          </w:tcPr>
          <w:p w:rsidR="00BC27C1" w:rsidRPr="00F20C7E" w:rsidRDefault="00BC27C1" w:rsidP="00BC27C1">
            <w:pPr>
              <w:pStyle w:val="Tablewriting"/>
              <w:jc w:val="center"/>
              <w:rPr>
                <w:b/>
                <w:bCs/>
              </w:rPr>
            </w:pPr>
          </w:p>
        </w:tc>
      </w:tr>
    </w:tbl>
    <w:p w:rsidR="00B96D1B" w:rsidRDefault="00B96D1B" w:rsidP="00EB415F">
      <w:pPr>
        <w:pStyle w:val="TableFooter"/>
      </w:pPr>
      <w:r>
        <w:t>Abbreviations: RQ = research question</w:t>
      </w:r>
    </w:p>
    <w:p w:rsidR="003822A3" w:rsidRDefault="003822A3" w:rsidP="00EB415F">
      <w:pPr>
        <w:pStyle w:val="TableFooter"/>
      </w:pPr>
      <w:r>
        <w:t xml:space="preserve">Notes: </w:t>
      </w:r>
    </w:p>
    <w:p w:rsidR="00BC27C1" w:rsidRDefault="00AB4C6B" w:rsidP="00EB415F">
      <w:pPr>
        <w:pStyle w:val="TableFooter"/>
      </w:pPr>
      <w:r>
        <w:t>1</w:t>
      </w:r>
      <w:r w:rsidR="00BC27C1">
        <w:t xml:space="preserve"> </w:t>
      </w:r>
      <w:r w:rsidR="00BC27C1" w:rsidRPr="00504E47">
        <w:t>Relapse prevention intervention</w:t>
      </w:r>
      <w:r w:rsidR="0083519B">
        <w:t>.</w:t>
      </w:r>
      <w:r w:rsidR="00BC27C1">
        <w:t xml:space="preserve"> </w:t>
      </w:r>
    </w:p>
    <w:p w:rsidR="00EB415F" w:rsidRDefault="00AB4C6B" w:rsidP="00EB415F">
      <w:pPr>
        <w:pStyle w:val="TableFooter"/>
      </w:pPr>
      <w:r>
        <w:t>2</w:t>
      </w:r>
      <w:r w:rsidR="00EB415F">
        <w:t xml:space="preserve"> Reduction to quit intervention.</w:t>
      </w:r>
    </w:p>
    <w:p w:rsidR="00383103" w:rsidRDefault="00AD3089" w:rsidP="00C87458">
      <w:pPr>
        <w:pStyle w:val="TableFooter"/>
      </w:pPr>
      <w:r>
        <w:t xml:space="preserve">3 </w:t>
      </w:r>
      <w:r w:rsidRPr="00504E47">
        <w:t>Against placebo or usual care unless otherwise specifie</w:t>
      </w:r>
      <w:r>
        <w:t>d.</w:t>
      </w:r>
    </w:p>
    <w:p w:rsidR="0028378A" w:rsidRDefault="0028378A" w:rsidP="0028378A">
      <w:pPr>
        <w:pStyle w:val="TableFooter"/>
      </w:pPr>
      <w:r>
        <w:t>4 T</w:t>
      </w:r>
      <w:r w:rsidRPr="00040166">
        <w:t>elephone counselling + pharmacotherapy v</w:t>
      </w:r>
      <w:r>
        <w:t>ersus</w:t>
      </w:r>
      <w:r w:rsidRPr="00040166">
        <w:t xml:space="preserve"> pharmacotherapy</w:t>
      </w:r>
      <w:r>
        <w:t xml:space="preserve"> alone. </w:t>
      </w:r>
    </w:p>
    <w:p w:rsidR="0028378A" w:rsidRDefault="0028378A" w:rsidP="00C87458">
      <w:pPr>
        <w:pStyle w:val="TableFooter"/>
      </w:pPr>
      <w:r>
        <w:t xml:space="preserve">5 </w:t>
      </w:r>
      <w:r w:rsidRPr="00040166">
        <w:t>NRT + self-help v</w:t>
      </w:r>
      <w:r>
        <w:t>ersus</w:t>
      </w:r>
      <w:r w:rsidRPr="00040166">
        <w:t xml:space="preserve"> NRT</w:t>
      </w:r>
      <w:r>
        <w:t>.</w:t>
      </w:r>
    </w:p>
    <w:p w:rsidR="0028378A" w:rsidRDefault="0028378A" w:rsidP="00040166">
      <w:pPr>
        <w:pStyle w:val="TableFooter"/>
      </w:pPr>
      <w:r>
        <w:t>6</w:t>
      </w:r>
      <w:r w:rsidR="00A2042E">
        <w:t xml:space="preserve"> Adding behavioural support to pharmacotherapy (primary evidence).</w:t>
      </w:r>
    </w:p>
    <w:p w:rsidR="00040166" w:rsidRDefault="0028378A" w:rsidP="00040166">
      <w:pPr>
        <w:pStyle w:val="TableFooter"/>
      </w:pPr>
      <w:r>
        <w:t>7 Provision of behavioural support by community pharmacists in addition to pharmacotherapy (Note: removal of one study which did not provide pharmacotherapy to each arm didn’t impact on the findings).</w:t>
      </w:r>
      <w:r w:rsidR="00A2042E">
        <w:t xml:space="preserve"> </w:t>
      </w:r>
    </w:p>
    <w:p w:rsidR="0028378A" w:rsidRDefault="0028378A" w:rsidP="00B213CB">
      <w:pPr>
        <w:pStyle w:val="TableFooter"/>
      </w:pPr>
      <w:r>
        <w:t>8</w:t>
      </w:r>
      <w:r w:rsidR="00C87458">
        <w:t xml:space="preserve"> </w:t>
      </w:r>
      <w:r w:rsidR="00383103">
        <w:t>G</w:t>
      </w:r>
      <w:r w:rsidR="00383103" w:rsidRPr="00383103">
        <w:t>roup therapy + pharm</w:t>
      </w:r>
      <w:r w:rsidR="00A72A51">
        <w:t>acotherapy</w:t>
      </w:r>
      <w:r w:rsidR="00383103" w:rsidRPr="00383103">
        <w:t xml:space="preserve"> v</w:t>
      </w:r>
      <w:r w:rsidR="00A72A51">
        <w:t>ersus</w:t>
      </w:r>
      <w:r w:rsidR="00383103" w:rsidRPr="00383103">
        <w:t xml:space="preserve"> brief support + pharm</w:t>
      </w:r>
      <w:r w:rsidR="00A72A51">
        <w:t>acotherapy.</w:t>
      </w:r>
    </w:p>
    <w:p w:rsidR="00C87458" w:rsidRPr="00B213CB" w:rsidRDefault="0028378A" w:rsidP="00B213CB">
      <w:pPr>
        <w:pStyle w:val="TableFooter"/>
      </w:pPr>
      <w:r>
        <w:t>9 Individual</w:t>
      </w:r>
      <w:r w:rsidRPr="0028378A">
        <w:t xml:space="preserve"> </w:t>
      </w:r>
      <w:r w:rsidRPr="00A31FEF">
        <w:t>counselling adjunct/</w:t>
      </w:r>
      <w:r>
        <w:t>i</w:t>
      </w:r>
      <w:r w:rsidRPr="00A31FEF">
        <w:t>ntensity of individual counselling.</w:t>
      </w:r>
      <w:r>
        <w:t xml:space="preserve"> </w:t>
      </w:r>
      <w:r w:rsidR="00A72A51">
        <w:t xml:space="preserve"> </w:t>
      </w:r>
    </w:p>
    <w:bookmarkEnd w:id="55"/>
    <w:p w:rsidR="00C87458" w:rsidRPr="00C32759" w:rsidRDefault="00C87458" w:rsidP="006677E9">
      <w:pPr>
        <w:sectPr w:rsidR="00C87458" w:rsidRPr="00C32759" w:rsidSect="009C4A9F">
          <w:pgSz w:w="16838" w:h="11906" w:orient="landscape"/>
          <w:pgMar w:top="1440" w:right="1440" w:bottom="1440" w:left="1440" w:header="708" w:footer="708" w:gutter="0"/>
          <w:cols w:space="708"/>
          <w:titlePg/>
          <w:docGrid w:linePitch="360"/>
        </w:sectPr>
      </w:pPr>
    </w:p>
    <w:p w:rsidR="006935B7" w:rsidRDefault="00AA3CB0" w:rsidP="00CF06C0">
      <w:pPr>
        <w:pStyle w:val="Heading2"/>
        <w:rPr>
          <w:rFonts w:asciiTheme="minorHAnsi" w:hAnsiTheme="minorHAnsi"/>
          <w:szCs w:val="32"/>
        </w:rPr>
      </w:pPr>
      <w:bookmarkStart w:id="56" w:name="_Toc72850857"/>
      <w:bookmarkStart w:id="57" w:name="_Toc73525622"/>
      <w:bookmarkStart w:id="58" w:name="_GoBack"/>
      <w:bookmarkEnd w:id="58"/>
      <w:r>
        <w:rPr>
          <w:rFonts w:asciiTheme="minorHAnsi" w:hAnsiTheme="minorHAnsi"/>
          <w:szCs w:val="32"/>
        </w:rPr>
        <w:lastRenderedPageBreak/>
        <w:t>S</w:t>
      </w:r>
      <w:r w:rsidR="00BE7FF3">
        <w:rPr>
          <w:rFonts w:asciiTheme="minorHAnsi" w:hAnsiTheme="minorHAnsi"/>
          <w:szCs w:val="32"/>
        </w:rPr>
        <w:t xml:space="preserve">ummary </w:t>
      </w:r>
      <w:r w:rsidR="006C2018">
        <w:rPr>
          <w:rFonts w:asciiTheme="minorHAnsi" w:hAnsiTheme="minorHAnsi"/>
          <w:szCs w:val="32"/>
        </w:rPr>
        <w:t xml:space="preserve">of </w:t>
      </w:r>
      <w:r w:rsidR="000B5CDF">
        <w:rPr>
          <w:rFonts w:asciiTheme="minorHAnsi" w:hAnsiTheme="minorHAnsi"/>
          <w:szCs w:val="32"/>
        </w:rPr>
        <w:t>evidence</w:t>
      </w:r>
      <w:bookmarkEnd w:id="56"/>
      <w:bookmarkEnd w:id="57"/>
    </w:p>
    <w:p w:rsidR="008A440C" w:rsidRPr="008A440C" w:rsidRDefault="00361531" w:rsidP="00361531">
      <w:r>
        <w:t xml:space="preserve">The following sections summarise the </w:t>
      </w:r>
      <w:r w:rsidR="006F0B59">
        <w:t xml:space="preserve">identified </w:t>
      </w:r>
      <w:r>
        <w:t>evidence compar</w:t>
      </w:r>
      <w:r w:rsidR="006F0B59">
        <w:t>ing</w:t>
      </w:r>
      <w:r>
        <w:t xml:space="preserve"> the efficacy and</w:t>
      </w:r>
      <w:r w:rsidR="006F0B59">
        <w:t xml:space="preserve"> </w:t>
      </w:r>
      <w:r>
        <w:t xml:space="preserve">safety of </w:t>
      </w:r>
      <w:r w:rsidR="003D5DB2">
        <w:t xml:space="preserve">pharmacological interventions </w:t>
      </w:r>
      <w:r w:rsidR="00FE453D">
        <w:t>for smoking cessation</w:t>
      </w:r>
      <w:r w:rsidR="00F1596C">
        <w:t xml:space="preserve"> an</w:t>
      </w:r>
      <w:r w:rsidR="008B63BD">
        <w:t xml:space="preserve">d are presented </w:t>
      </w:r>
      <w:r w:rsidR="0089123F">
        <w:t>based on five categories:</w:t>
      </w:r>
    </w:p>
    <w:p w:rsidR="001771D1" w:rsidRDefault="001771D1" w:rsidP="00C324F3">
      <w:pPr>
        <w:pStyle w:val="ListParagraph"/>
        <w:numPr>
          <w:ilvl w:val="0"/>
          <w:numId w:val="188"/>
        </w:numPr>
      </w:pPr>
      <w:r>
        <w:t>Section</w:t>
      </w:r>
      <w:r w:rsidR="00CE49C3">
        <w:t xml:space="preserve"> </w:t>
      </w:r>
      <w:r w:rsidR="003C4A1C">
        <w:t>3.3.1</w:t>
      </w:r>
      <w:r>
        <w:t>: Monotherapy in general population</w:t>
      </w:r>
    </w:p>
    <w:p w:rsidR="001771D1" w:rsidRDefault="001771D1" w:rsidP="00C324F3">
      <w:pPr>
        <w:pStyle w:val="ListParagraph"/>
        <w:numPr>
          <w:ilvl w:val="0"/>
          <w:numId w:val="188"/>
        </w:numPr>
      </w:pPr>
      <w:r>
        <w:t xml:space="preserve">Section </w:t>
      </w:r>
      <w:r w:rsidR="003C4A1C">
        <w:t>3.3.2</w:t>
      </w:r>
      <w:r>
        <w:t>: Combination therapies</w:t>
      </w:r>
      <w:r w:rsidR="00E7615B">
        <w:t xml:space="preserve"> in general population</w:t>
      </w:r>
    </w:p>
    <w:p w:rsidR="00E7615B" w:rsidRDefault="00E7615B" w:rsidP="00C324F3">
      <w:pPr>
        <w:pStyle w:val="ListParagraph"/>
        <w:numPr>
          <w:ilvl w:val="0"/>
          <w:numId w:val="188"/>
        </w:numPr>
      </w:pPr>
      <w:r>
        <w:t xml:space="preserve">Section </w:t>
      </w:r>
      <w:r w:rsidR="003C4A1C">
        <w:t>3.3.3</w:t>
      </w:r>
      <w:r>
        <w:t>: NRT dose, dosage form and length of therapy</w:t>
      </w:r>
    </w:p>
    <w:p w:rsidR="00E7615B" w:rsidRDefault="00E7615B" w:rsidP="00C324F3">
      <w:pPr>
        <w:pStyle w:val="ListParagraph"/>
        <w:numPr>
          <w:ilvl w:val="0"/>
          <w:numId w:val="188"/>
        </w:numPr>
      </w:pPr>
      <w:r>
        <w:t xml:space="preserve">Section </w:t>
      </w:r>
      <w:r w:rsidR="003C4A1C">
        <w:t>3.3.4</w:t>
      </w:r>
      <w:r>
        <w:t xml:space="preserve">: </w:t>
      </w:r>
      <w:r w:rsidR="006A7E7E">
        <w:t>Behavioural intervention in combination with pharmacotherapies</w:t>
      </w:r>
    </w:p>
    <w:p w:rsidR="006A7E7E" w:rsidRPr="008A440C" w:rsidRDefault="006A7E7E" w:rsidP="00C324F3">
      <w:pPr>
        <w:pStyle w:val="ListParagraph"/>
        <w:numPr>
          <w:ilvl w:val="0"/>
          <w:numId w:val="188"/>
        </w:numPr>
      </w:pPr>
      <w:r>
        <w:t xml:space="preserve">Section </w:t>
      </w:r>
      <w:r w:rsidR="003C4A1C">
        <w:t>3.3.5</w:t>
      </w:r>
      <w:r>
        <w:t xml:space="preserve">: </w:t>
      </w:r>
      <w:r w:rsidR="00CD475C">
        <w:t>P</w:t>
      </w:r>
      <w:r>
        <w:t>opulations</w:t>
      </w:r>
      <w:r w:rsidR="00CD475C">
        <w:t xml:space="preserve"> who have specific needs</w:t>
      </w:r>
    </w:p>
    <w:p w:rsidR="00BF58AB" w:rsidRPr="008A440C" w:rsidRDefault="00BF58AB" w:rsidP="00BF58AB"/>
    <w:p w:rsidR="00F238A2" w:rsidRDefault="00F238A2" w:rsidP="00F238A2">
      <w:pPr>
        <w:pStyle w:val="Heading3"/>
      </w:pPr>
      <w:bookmarkStart w:id="59" w:name="_Ref61964613"/>
      <w:bookmarkStart w:id="60" w:name="_Ref61964624"/>
      <w:bookmarkStart w:id="61" w:name="_Toc72850858"/>
      <w:bookmarkStart w:id="62" w:name="_Toc73525623"/>
      <w:r>
        <w:t>Monotherapy in general population</w:t>
      </w:r>
      <w:bookmarkEnd w:id="59"/>
      <w:bookmarkEnd w:id="60"/>
      <w:bookmarkEnd w:id="61"/>
      <w:bookmarkEnd w:id="62"/>
    </w:p>
    <w:p w:rsidR="002C1C20" w:rsidRDefault="002C1C20" w:rsidP="008E0F8C">
      <w:r>
        <w:t xml:space="preserve">The aim of this section was to summarise </w:t>
      </w:r>
      <w:r w:rsidRPr="002C1C20">
        <w:t>the comparative efficacy and safety of all PBS-listed smoking cessation therapies as monotherapy and compare this to evidence already considered by PBAC for each smoking cessation therapy</w:t>
      </w:r>
      <w:r>
        <w:t>.</w:t>
      </w:r>
    </w:p>
    <w:p w:rsidR="00DC7616" w:rsidRDefault="00992B97" w:rsidP="008E0F8C">
      <w:r>
        <w:t>A summary of n</w:t>
      </w:r>
      <w:r w:rsidRPr="00992B97">
        <w:t>ew evidence identified comparing monotherapy intervention</w:t>
      </w:r>
      <w:r w:rsidR="004A46DE">
        <w:t>s</w:t>
      </w:r>
      <w:r w:rsidRPr="00992B97">
        <w:t xml:space="preserve"> </w:t>
      </w:r>
      <w:r w:rsidR="001F58AE">
        <w:t>for</w:t>
      </w:r>
      <w:r w:rsidRPr="00992B97">
        <w:t xml:space="preserve"> smoking cessation</w:t>
      </w:r>
      <w:r>
        <w:t xml:space="preserve"> is presented in </w:t>
      </w:r>
      <w:r w:rsidR="003C4A1C">
        <w:t xml:space="preserve">Table </w:t>
      </w:r>
      <w:r w:rsidR="003C4A1C">
        <w:rPr>
          <w:noProof/>
        </w:rPr>
        <w:t>4</w:t>
      </w:r>
      <w:r>
        <w:t>.</w:t>
      </w:r>
      <w:r w:rsidR="009648B7">
        <w:t xml:space="preserve"> The evidence </w:t>
      </w:r>
      <w:r w:rsidR="004818D2">
        <w:t>is</w:t>
      </w:r>
      <w:r w:rsidR="009648B7">
        <w:t xml:space="preserve"> presented</w:t>
      </w:r>
      <w:r w:rsidR="004818D2">
        <w:t xml:space="preserve"> </w:t>
      </w:r>
      <w:r w:rsidR="00DB1DC9">
        <w:t>according to</w:t>
      </w:r>
      <w:r w:rsidR="00384FDD">
        <w:t xml:space="preserve"> the population type (treatment-naïve or treatment-experienced) and </w:t>
      </w:r>
      <w:r w:rsidR="00F15232">
        <w:t>in chronological order</w:t>
      </w:r>
      <w:r w:rsidR="00384FDD">
        <w:t xml:space="preserve"> (</w:t>
      </w:r>
      <w:r w:rsidR="001C1408">
        <w:t xml:space="preserve">date </w:t>
      </w:r>
      <w:r w:rsidR="00E54A81">
        <w:t>of listing</w:t>
      </w:r>
      <w:r w:rsidR="001C1408">
        <w:t>).</w:t>
      </w:r>
      <w:r w:rsidR="008C7DED">
        <w:t xml:space="preserve"> </w:t>
      </w:r>
      <w:r w:rsidR="00DC7616">
        <w:t xml:space="preserve">Treatment-naïve was defined as patients who have never been treated before with the </w:t>
      </w:r>
      <w:r w:rsidR="00892CDF">
        <w:t xml:space="preserve">intervention of interest. Treatment-experienced was defined as patients who </w:t>
      </w:r>
      <w:r w:rsidR="00021585">
        <w:t>were previously</w:t>
      </w:r>
      <w:r w:rsidR="00F37FB0">
        <w:t xml:space="preserve"> treated with</w:t>
      </w:r>
      <w:r w:rsidR="00332D2E">
        <w:t xml:space="preserve"> the intervention of interest</w:t>
      </w:r>
      <w:r w:rsidR="00A8532A">
        <w:t xml:space="preserve"> irrespective of </w:t>
      </w:r>
      <w:r w:rsidR="00490A82">
        <w:t>prior treatment duration</w:t>
      </w:r>
      <w:r w:rsidR="00332D2E">
        <w:t>.</w:t>
      </w:r>
      <w:r w:rsidR="00DC7616">
        <w:t xml:space="preserve"> </w:t>
      </w:r>
    </w:p>
    <w:p w:rsidR="00D4300E" w:rsidRDefault="008C7DED" w:rsidP="008E0F8C">
      <w:pPr>
        <w:sectPr w:rsidR="00D4300E" w:rsidSect="006356D2">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pPr>
      <w:r>
        <w:t>The choice of comparison</w:t>
      </w:r>
      <w:r w:rsidR="00351B1E">
        <w:t xml:space="preserve"> is presented according to the evidence reviewed by the PBAC. For example, varenicline versus bupropion was </w:t>
      </w:r>
      <w:r w:rsidR="000A076C">
        <w:t>previously considered</w:t>
      </w:r>
      <w:r w:rsidR="00351B1E">
        <w:t xml:space="preserve"> in the varenicline submission</w:t>
      </w:r>
      <w:r w:rsidR="0029340B">
        <w:t xml:space="preserve">. As such, </w:t>
      </w:r>
      <w:r w:rsidR="00EF3FB0">
        <w:t xml:space="preserve">this comparison is presented under </w:t>
      </w:r>
      <w:r w:rsidR="00861687">
        <w:t xml:space="preserve">the </w:t>
      </w:r>
      <w:r w:rsidR="00EF3FB0">
        <w:t>varenicline section instead of bupropion section.</w:t>
      </w:r>
      <w:r w:rsidR="00325534">
        <w:t xml:space="preserve"> </w:t>
      </w:r>
      <w:r w:rsidR="00293D23">
        <w:t>If the comparison was considered more than once</w:t>
      </w:r>
      <w:r w:rsidR="00A06372">
        <w:t xml:space="preserve"> (</w:t>
      </w:r>
      <w:r w:rsidR="00043F7A">
        <w:t>e.g.</w:t>
      </w:r>
      <w:r w:rsidR="00A06372">
        <w:t xml:space="preserve"> bupropion versus NRT)</w:t>
      </w:r>
      <w:r w:rsidR="00A35A9E">
        <w:t xml:space="preserve">, </w:t>
      </w:r>
      <w:r w:rsidR="00A935D4">
        <w:t xml:space="preserve">the </w:t>
      </w:r>
      <w:r w:rsidR="000324C8">
        <w:t xml:space="preserve">comparison with the earliest date </w:t>
      </w:r>
      <w:r w:rsidR="00272312">
        <w:t>wa</w:t>
      </w:r>
      <w:r w:rsidR="000324C8">
        <w:t>s selected as the base case</w:t>
      </w:r>
      <w:r w:rsidR="00FF1842">
        <w:t xml:space="preserve"> and </w:t>
      </w:r>
      <w:r w:rsidR="00033187">
        <w:t xml:space="preserve">the </w:t>
      </w:r>
      <w:r w:rsidR="00F84183" w:rsidRPr="00F84183">
        <w:t>additional</w:t>
      </w:r>
      <w:r w:rsidR="00033187">
        <w:t xml:space="preserve"> evidence </w:t>
      </w:r>
      <w:r w:rsidR="00F84183" w:rsidRPr="00F84183">
        <w:t xml:space="preserve">presented at a later date </w:t>
      </w:r>
      <w:r w:rsidR="00033187">
        <w:t xml:space="preserve">was checked to ensure </w:t>
      </w:r>
      <w:r w:rsidR="00036ABB">
        <w:t xml:space="preserve">that </w:t>
      </w:r>
      <w:r w:rsidR="00C32448">
        <w:t>the</w:t>
      </w:r>
      <w:r w:rsidR="000A076C">
        <w:t xml:space="preserve"> additional</w:t>
      </w:r>
      <w:r w:rsidR="00C32448">
        <w:t xml:space="preserve"> studies</w:t>
      </w:r>
      <w:r w:rsidR="00647911">
        <w:t xml:space="preserve"> w</w:t>
      </w:r>
      <w:r w:rsidR="00D870B7">
        <w:t>ere</w:t>
      </w:r>
      <w:r w:rsidR="00647911">
        <w:t xml:space="preserve"> included.</w:t>
      </w:r>
    </w:p>
    <w:p w:rsidR="00722F16" w:rsidRDefault="00722F16" w:rsidP="00470EC3">
      <w:pPr>
        <w:pStyle w:val="Caption"/>
        <w:keepNext/>
      </w:pPr>
      <w:bookmarkStart w:id="63" w:name="_Ref53396906"/>
      <w:r>
        <w:lastRenderedPageBreak/>
        <w:t xml:space="preserve">Table </w:t>
      </w:r>
      <w:r w:rsidR="003C4A1C">
        <w:rPr>
          <w:noProof/>
        </w:rPr>
        <w:t>4</w:t>
      </w:r>
      <w:bookmarkEnd w:id="63"/>
      <w:r>
        <w:t>: New evidence identified comparing monotherapy intervention</w:t>
      </w:r>
      <w:r w:rsidR="00B470A7">
        <w:t>s</w:t>
      </w:r>
      <w:r>
        <w:t xml:space="preserve"> </w:t>
      </w:r>
      <w:r w:rsidR="006E681E">
        <w:t>for</w:t>
      </w:r>
      <w:r>
        <w:t xml:space="preserve"> smoking cessation</w:t>
      </w:r>
    </w:p>
    <w:tbl>
      <w:tblPr>
        <w:tblStyle w:val="TableGrid"/>
        <w:tblW w:w="5000" w:type="pct"/>
        <w:tblLook w:val="04A0" w:firstRow="1" w:lastRow="0" w:firstColumn="1" w:lastColumn="0" w:noHBand="0" w:noVBand="1"/>
      </w:tblPr>
      <w:tblGrid>
        <w:gridCol w:w="1501"/>
        <w:gridCol w:w="2650"/>
        <w:gridCol w:w="4776"/>
        <w:gridCol w:w="2268"/>
        <w:gridCol w:w="2753"/>
      </w:tblGrid>
      <w:tr w:rsidR="00482CC0" w:rsidTr="00FD1419">
        <w:trPr>
          <w:trHeight w:val="697"/>
          <w:tblHeader/>
        </w:trPr>
        <w:tc>
          <w:tcPr>
            <w:tcW w:w="538" w:type="pct"/>
            <w:tcBorders>
              <w:tl2br w:val="nil"/>
            </w:tcBorders>
            <w:shd w:val="clear" w:color="auto" w:fill="BFBFBF" w:themeFill="background1" w:themeFillShade="BF"/>
          </w:tcPr>
          <w:p w:rsidR="00D4300E" w:rsidRDefault="00D4300E" w:rsidP="00BB4AB9">
            <w:pPr>
              <w:pStyle w:val="Tableheading"/>
            </w:pPr>
            <w:r>
              <w:t>Intervention</w:t>
            </w:r>
          </w:p>
          <w:p w:rsidR="00D4300E" w:rsidRDefault="00D4300E" w:rsidP="00BB4AB9">
            <w:pPr>
              <w:pStyle w:val="Tableheading"/>
            </w:pPr>
            <w:r>
              <w:t>(Date of listing)</w:t>
            </w:r>
          </w:p>
        </w:tc>
        <w:tc>
          <w:tcPr>
            <w:tcW w:w="950" w:type="pct"/>
            <w:shd w:val="clear" w:color="auto" w:fill="BFBFBF" w:themeFill="background1" w:themeFillShade="BF"/>
          </w:tcPr>
          <w:p w:rsidR="00D4300E" w:rsidRDefault="00D4300E" w:rsidP="00BB4AB9">
            <w:pPr>
              <w:pStyle w:val="Tableheading"/>
              <w:jc w:val="center"/>
            </w:pPr>
            <w:r>
              <w:t>Intervention and comparator</w:t>
            </w:r>
          </w:p>
        </w:tc>
        <w:tc>
          <w:tcPr>
            <w:tcW w:w="1712" w:type="pct"/>
            <w:shd w:val="clear" w:color="auto" w:fill="BFBFBF" w:themeFill="background1" w:themeFillShade="BF"/>
          </w:tcPr>
          <w:p w:rsidR="00D4300E" w:rsidRDefault="00D4300E" w:rsidP="00BB4AB9">
            <w:pPr>
              <w:pStyle w:val="Tableheading"/>
              <w:jc w:val="center"/>
            </w:pPr>
            <w:r>
              <w:t>Evidence seen by the PBAC</w:t>
            </w:r>
          </w:p>
        </w:tc>
        <w:tc>
          <w:tcPr>
            <w:tcW w:w="813" w:type="pct"/>
            <w:shd w:val="clear" w:color="auto" w:fill="BFBFBF" w:themeFill="background1" w:themeFillShade="BF"/>
          </w:tcPr>
          <w:p w:rsidR="00D4300E" w:rsidRDefault="00D4300E" w:rsidP="00BB4AB9">
            <w:pPr>
              <w:pStyle w:val="Tableheading"/>
              <w:jc w:val="center"/>
            </w:pPr>
            <w:r>
              <w:t>New evidence identified</w:t>
            </w:r>
          </w:p>
          <w:p w:rsidR="00D4300E" w:rsidRDefault="00D4300E" w:rsidP="00BB4AB9">
            <w:pPr>
              <w:pStyle w:val="Tableheading"/>
              <w:jc w:val="center"/>
            </w:pPr>
            <w:r>
              <w:t>(Cochrane Review)</w:t>
            </w:r>
          </w:p>
        </w:tc>
        <w:tc>
          <w:tcPr>
            <w:tcW w:w="987" w:type="pct"/>
            <w:shd w:val="clear" w:color="auto" w:fill="BFBFBF" w:themeFill="background1" w:themeFillShade="BF"/>
          </w:tcPr>
          <w:p w:rsidR="00D4300E" w:rsidRDefault="00482CC0" w:rsidP="00BB4AB9">
            <w:pPr>
              <w:pStyle w:val="Tableheading"/>
              <w:jc w:val="center"/>
            </w:pPr>
            <w:r w:rsidRPr="00482CC0">
              <w:t>Additional empirical evidence identified</w:t>
            </w:r>
          </w:p>
        </w:tc>
      </w:tr>
      <w:tr w:rsidR="00D4300E" w:rsidTr="003954C8">
        <w:tc>
          <w:tcPr>
            <w:tcW w:w="5000" w:type="pct"/>
            <w:gridSpan w:val="5"/>
            <w:shd w:val="clear" w:color="auto" w:fill="auto"/>
          </w:tcPr>
          <w:p w:rsidR="00D4300E" w:rsidRDefault="00D4300E" w:rsidP="00BB4AB9">
            <w:pPr>
              <w:pStyle w:val="Tablewriting"/>
              <w:rPr>
                <w:b/>
              </w:rPr>
            </w:pPr>
            <w:r>
              <w:rPr>
                <w:b/>
                <w:bCs/>
              </w:rPr>
              <w:t>Treatment-naïve population</w:t>
            </w:r>
          </w:p>
        </w:tc>
      </w:tr>
      <w:tr w:rsidR="00482CC0" w:rsidTr="00FD1419">
        <w:tc>
          <w:tcPr>
            <w:tcW w:w="538" w:type="pct"/>
            <w:vMerge w:val="restart"/>
          </w:tcPr>
          <w:p w:rsidR="00D4300E" w:rsidRDefault="00D4300E" w:rsidP="00BB4AB9">
            <w:pPr>
              <w:pStyle w:val="Tablewriting"/>
              <w:rPr>
                <w:b/>
                <w:bCs/>
              </w:rPr>
            </w:pPr>
            <w:r w:rsidRPr="00512781">
              <w:rPr>
                <w:b/>
                <w:bCs/>
              </w:rPr>
              <w:t>Bupropion</w:t>
            </w:r>
          </w:p>
          <w:p w:rsidR="00D4300E" w:rsidRPr="00512781" w:rsidRDefault="00D4300E" w:rsidP="00BB4AB9">
            <w:pPr>
              <w:pStyle w:val="Tablewriting"/>
              <w:rPr>
                <w:b/>
                <w:bCs/>
              </w:rPr>
            </w:pPr>
            <w:r>
              <w:rPr>
                <w:b/>
                <w:bCs/>
              </w:rPr>
              <w:t>(1 Feb 2001)</w:t>
            </w:r>
          </w:p>
        </w:tc>
        <w:tc>
          <w:tcPr>
            <w:tcW w:w="950" w:type="pct"/>
          </w:tcPr>
          <w:p w:rsidR="00D4300E" w:rsidRDefault="00D4300E" w:rsidP="00BB4AB9">
            <w:pPr>
              <w:pStyle w:val="Tablewriting"/>
            </w:pPr>
            <w:r>
              <w:t>Bupropion versus placebo</w:t>
            </w:r>
          </w:p>
        </w:tc>
        <w:tc>
          <w:tcPr>
            <w:tcW w:w="1712" w:type="pct"/>
          </w:tcPr>
          <w:p w:rsidR="00D4300E" w:rsidRPr="008846EB" w:rsidRDefault="008846EB" w:rsidP="00BB4AB9">
            <w:pPr>
              <w:pStyle w:val="Tablewriting"/>
              <w:rPr>
                <w:highlight w:val="black"/>
              </w:rPr>
            </w:pPr>
            <w:r>
              <w:rPr>
                <w:noProof/>
                <w:color w:val="000000"/>
                <w:highlight w:val="black"/>
              </w:rPr>
              <w:t>'''''''''''''''' '''''''''' '''''''' ''''''''''</w:t>
            </w:r>
          </w:p>
        </w:tc>
        <w:tc>
          <w:tcPr>
            <w:tcW w:w="813" w:type="pct"/>
          </w:tcPr>
          <w:p w:rsidR="00D4300E" w:rsidRDefault="00D4300E" w:rsidP="00BB4AB9">
            <w:pPr>
              <w:pStyle w:val="Tablewriting"/>
            </w:pPr>
            <w:r>
              <w:t>Howes 2020</w:t>
            </w:r>
          </w:p>
        </w:tc>
        <w:tc>
          <w:tcPr>
            <w:tcW w:w="987" w:type="pct"/>
          </w:tcPr>
          <w:p w:rsidR="00D4300E" w:rsidRDefault="00DF2BCF" w:rsidP="00BB4AB9">
            <w:pPr>
              <w:pStyle w:val="Tablewriting"/>
            </w:pPr>
            <w:r w:rsidRPr="001E6534">
              <w:t>Benowitz</w:t>
            </w:r>
            <w:r>
              <w:t xml:space="preserve"> 2018</w:t>
            </w:r>
          </w:p>
        </w:tc>
      </w:tr>
      <w:tr w:rsidR="00482CC0" w:rsidTr="00FD1419">
        <w:tc>
          <w:tcPr>
            <w:tcW w:w="538" w:type="pct"/>
            <w:vMerge/>
          </w:tcPr>
          <w:p w:rsidR="00D4300E" w:rsidRPr="00512781" w:rsidRDefault="00D4300E" w:rsidP="00BB4AB9">
            <w:pPr>
              <w:pStyle w:val="Tablewriting"/>
              <w:rPr>
                <w:b/>
                <w:bCs/>
              </w:rPr>
            </w:pPr>
          </w:p>
        </w:tc>
        <w:tc>
          <w:tcPr>
            <w:tcW w:w="950" w:type="pct"/>
          </w:tcPr>
          <w:p w:rsidR="00D4300E" w:rsidRDefault="00D4300E" w:rsidP="00BB4AB9">
            <w:pPr>
              <w:pStyle w:val="Tablewriting"/>
            </w:pPr>
            <w:r>
              <w:t>Bupropion versus NRT</w:t>
            </w:r>
          </w:p>
        </w:tc>
        <w:tc>
          <w:tcPr>
            <w:tcW w:w="1712" w:type="pct"/>
          </w:tcPr>
          <w:p w:rsidR="00D4300E" w:rsidRDefault="00D4300E" w:rsidP="00BB4AB9">
            <w:pPr>
              <w:pStyle w:val="Tablewriting"/>
            </w:pPr>
            <w:r>
              <w:t xml:space="preserve">Jorenby 1999, </w:t>
            </w:r>
            <w:r w:rsidRPr="001C5576">
              <w:t>Gorecka 2003, Uyar 2007, Piper 2009</w:t>
            </w:r>
          </w:p>
        </w:tc>
        <w:tc>
          <w:tcPr>
            <w:tcW w:w="813" w:type="pct"/>
          </w:tcPr>
          <w:p w:rsidR="00D4300E" w:rsidRDefault="00D4300E" w:rsidP="00BB4AB9">
            <w:pPr>
              <w:pStyle w:val="Tablewriting"/>
            </w:pPr>
            <w:r>
              <w:t>Howes 2020</w:t>
            </w:r>
          </w:p>
        </w:tc>
        <w:tc>
          <w:tcPr>
            <w:tcW w:w="987" w:type="pct"/>
          </w:tcPr>
          <w:p w:rsidR="00D4300E" w:rsidRDefault="00DF2BCF" w:rsidP="00BB4AB9">
            <w:pPr>
              <w:pStyle w:val="Tablewriting"/>
            </w:pPr>
            <w:r w:rsidRPr="001E6534">
              <w:t>Benowitz</w:t>
            </w:r>
            <w:r>
              <w:t xml:space="preserve"> 2018</w:t>
            </w:r>
          </w:p>
        </w:tc>
      </w:tr>
      <w:tr w:rsidR="00482CC0" w:rsidTr="00FD1419">
        <w:trPr>
          <w:trHeight w:val="333"/>
        </w:trPr>
        <w:tc>
          <w:tcPr>
            <w:tcW w:w="538" w:type="pct"/>
            <w:vMerge w:val="restart"/>
          </w:tcPr>
          <w:p w:rsidR="00D4300E" w:rsidRDefault="00D4300E" w:rsidP="00BB4AB9">
            <w:pPr>
              <w:pStyle w:val="Tablewriting"/>
              <w:rPr>
                <w:b/>
                <w:bCs/>
              </w:rPr>
            </w:pPr>
            <w:r w:rsidRPr="00512781">
              <w:rPr>
                <w:b/>
                <w:bCs/>
              </w:rPr>
              <w:t>Varenicline</w:t>
            </w:r>
          </w:p>
          <w:p w:rsidR="00D4300E" w:rsidRPr="00512781" w:rsidRDefault="00D4300E" w:rsidP="00BB4AB9">
            <w:pPr>
              <w:pStyle w:val="Tablewriting"/>
              <w:rPr>
                <w:b/>
                <w:bCs/>
              </w:rPr>
            </w:pPr>
            <w:r>
              <w:rPr>
                <w:b/>
                <w:bCs/>
              </w:rPr>
              <w:t>(1 Jan 2008)</w:t>
            </w:r>
          </w:p>
        </w:tc>
        <w:tc>
          <w:tcPr>
            <w:tcW w:w="950" w:type="pct"/>
          </w:tcPr>
          <w:p w:rsidR="00D4300E" w:rsidRDefault="00D4300E" w:rsidP="00BB4AB9">
            <w:pPr>
              <w:pStyle w:val="Tablewriting"/>
            </w:pPr>
            <w:r>
              <w:t>Varenicline versus placebo</w:t>
            </w:r>
          </w:p>
        </w:tc>
        <w:tc>
          <w:tcPr>
            <w:tcW w:w="1712" w:type="pct"/>
          </w:tcPr>
          <w:p w:rsidR="00D4300E" w:rsidRDefault="00D4300E" w:rsidP="00BB4AB9">
            <w:pPr>
              <w:pStyle w:val="Tablewriting"/>
            </w:pPr>
            <w:r>
              <w:t>Anthenelli 2016</w:t>
            </w:r>
          </w:p>
        </w:tc>
        <w:tc>
          <w:tcPr>
            <w:tcW w:w="813" w:type="pct"/>
          </w:tcPr>
          <w:p w:rsidR="00D4300E" w:rsidRDefault="00D4300E" w:rsidP="00BB4AB9">
            <w:pPr>
              <w:pStyle w:val="Tablewriting"/>
            </w:pPr>
            <w:r>
              <w:t>Cahill 2016</w:t>
            </w:r>
          </w:p>
        </w:tc>
        <w:tc>
          <w:tcPr>
            <w:tcW w:w="987" w:type="pct"/>
          </w:tcPr>
          <w:p w:rsidR="00D4300E" w:rsidRDefault="00260084" w:rsidP="00BB4AB9">
            <w:pPr>
              <w:pStyle w:val="Tablewriting"/>
            </w:pPr>
            <w:r>
              <w:t>Lerman 2015</w:t>
            </w:r>
            <w:r w:rsidR="009D2EDE">
              <w:t xml:space="preserve">, </w:t>
            </w:r>
            <w:r w:rsidR="00F30063">
              <w:t xml:space="preserve">Littlewood 2017, </w:t>
            </w:r>
            <w:r w:rsidR="008C02FE">
              <w:t xml:space="preserve">Benowitz 2018, </w:t>
            </w:r>
            <w:r w:rsidR="009D2EDE">
              <w:t xml:space="preserve">Hurt 2018, </w:t>
            </w:r>
            <w:r w:rsidR="00DF2BCF">
              <w:t>Mercie 2018,</w:t>
            </w:r>
            <w:r w:rsidR="009D2EDE">
              <w:t xml:space="preserve"> Windle 201</w:t>
            </w:r>
            <w:r w:rsidR="00122F46">
              <w:t>8</w:t>
            </w:r>
            <w:r w:rsidR="009D2EDE">
              <w:t>, Ashare 2019, Chen 2020</w:t>
            </w:r>
          </w:p>
        </w:tc>
      </w:tr>
      <w:tr w:rsidR="00482CC0" w:rsidTr="00FD1419">
        <w:trPr>
          <w:trHeight w:val="70"/>
        </w:trPr>
        <w:tc>
          <w:tcPr>
            <w:tcW w:w="538" w:type="pct"/>
            <w:vMerge/>
          </w:tcPr>
          <w:p w:rsidR="00D4300E" w:rsidRPr="00512781" w:rsidRDefault="00D4300E" w:rsidP="00BB4AB9">
            <w:pPr>
              <w:pStyle w:val="Tablewriting"/>
              <w:rPr>
                <w:b/>
                <w:bCs/>
              </w:rPr>
            </w:pPr>
          </w:p>
        </w:tc>
        <w:tc>
          <w:tcPr>
            <w:tcW w:w="950" w:type="pct"/>
          </w:tcPr>
          <w:p w:rsidR="00D4300E" w:rsidRDefault="00D4300E" w:rsidP="00BB4AB9">
            <w:pPr>
              <w:pStyle w:val="Tablewriting"/>
            </w:pPr>
            <w:r>
              <w:t>Varenicline versus bupropion</w:t>
            </w:r>
          </w:p>
        </w:tc>
        <w:tc>
          <w:tcPr>
            <w:tcW w:w="1712" w:type="pct"/>
          </w:tcPr>
          <w:p w:rsidR="00D4300E" w:rsidRDefault="00D4300E" w:rsidP="00BB4AB9">
            <w:pPr>
              <w:pStyle w:val="Tablewriting"/>
            </w:pPr>
            <w:r>
              <w:t>Gonzales 2006, Jorenby 2006,</w:t>
            </w:r>
            <w:r w:rsidR="001C1E15">
              <w:t xml:space="preserve"> </w:t>
            </w:r>
            <w:r>
              <w:t>Anthenelli 2016</w:t>
            </w:r>
          </w:p>
        </w:tc>
        <w:tc>
          <w:tcPr>
            <w:tcW w:w="813" w:type="pct"/>
          </w:tcPr>
          <w:p w:rsidR="00D4300E" w:rsidRDefault="00D4300E" w:rsidP="00BB4AB9">
            <w:pPr>
              <w:pStyle w:val="Tablewriting"/>
            </w:pPr>
            <w:r>
              <w:t>Howes 2020</w:t>
            </w:r>
          </w:p>
        </w:tc>
        <w:tc>
          <w:tcPr>
            <w:tcW w:w="987" w:type="pct"/>
          </w:tcPr>
          <w:p w:rsidR="00D4300E" w:rsidRDefault="00DF2BCF" w:rsidP="00BB4AB9">
            <w:pPr>
              <w:pStyle w:val="Tablewriting"/>
            </w:pPr>
            <w:r w:rsidRPr="001E6534">
              <w:t>Benowitz</w:t>
            </w:r>
            <w:r>
              <w:t xml:space="preserve"> 2018</w:t>
            </w:r>
          </w:p>
        </w:tc>
      </w:tr>
      <w:tr w:rsidR="00482CC0" w:rsidTr="00FD1419">
        <w:tc>
          <w:tcPr>
            <w:tcW w:w="538" w:type="pct"/>
            <w:vMerge w:val="restart"/>
          </w:tcPr>
          <w:p w:rsidR="00D4300E" w:rsidRPr="00362CFE" w:rsidRDefault="00D4300E" w:rsidP="00BB4AB9">
            <w:pPr>
              <w:pStyle w:val="Tablewriting"/>
              <w:rPr>
                <w:b/>
                <w:bCs/>
                <w:vertAlign w:val="superscript"/>
              </w:rPr>
            </w:pPr>
            <w:r w:rsidRPr="00512781">
              <w:rPr>
                <w:b/>
                <w:bCs/>
              </w:rPr>
              <w:t>NRT patch</w:t>
            </w:r>
            <w:r>
              <w:rPr>
                <w:b/>
                <w:bCs/>
                <w:vertAlign w:val="superscript"/>
              </w:rPr>
              <w:t>1</w:t>
            </w:r>
          </w:p>
          <w:p w:rsidR="00D4300E" w:rsidRDefault="00D4300E" w:rsidP="00BB4AB9">
            <w:pPr>
              <w:pStyle w:val="Tablewriting"/>
              <w:rPr>
                <w:b/>
                <w:bCs/>
              </w:rPr>
            </w:pPr>
            <w:r>
              <w:rPr>
                <w:b/>
                <w:bCs/>
              </w:rPr>
              <w:t>(1 Dec 2008</w:t>
            </w:r>
            <w:r w:rsidR="009E2F90">
              <w:rPr>
                <w:b/>
                <w:bCs/>
                <w:vertAlign w:val="superscript"/>
              </w:rPr>
              <w:t>2</w:t>
            </w:r>
            <w:r>
              <w:rPr>
                <w:b/>
                <w:bCs/>
              </w:rPr>
              <w:t>/</w:t>
            </w:r>
          </w:p>
          <w:p w:rsidR="00D4300E" w:rsidRPr="00B97ECE" w:rsidRDefault="00D4300E" w:rsidP="00BB4AB9">
            <w:pPr>
              <w:pStyle w:val="Tablewriting"/>
              <w:rPr>
                <w:b/>
                <w:vertAlign w:val="superscript"/>
              </w:rPr>
            </w:pPr>
            <w:r>
              <w:rPr>
                <w:b/>
                <w:bCs/>
              </w:rPr>
              <w:t>1 Feb 2011</w:t>
            </w:r>
            <w:r w:rsidR="009E2F90">
              <w:rPr>
                <w:b/>
                <w:bCs/>
                <w:vertAlign w:val="superscript"/>
              </w:rPr>
              <w:t>3</w:t>
            </w:r>
            <w:r>
              <w:rPr>
                <w:b/>
                <w:bCs/>
              </w:rPr>
              <w:t>)</w:t>
            </w:r>
          </w:p>
        </w:tc>
        <w:tc>
          <w:tcPr>
            <w:tcW w:w="950" w:type="pct"/>
            <w:vMerge w:val="restart"/>
          </w:tcPr>
          <w:p w:rsidR="00D4300E" w:rsidRDefault="00D4300E" w:rsidP="00BB4AB9">
            <w:pPr>
              <w:pStyle w:val="Tablewriting"/>
            </w:pPr>
            <w:r>
              <w:t>NRT versus placebo</w:t>
            </w:r>
          </w:p>
        </w:tc>
        <w:tc>
          <w:tcPr>
            <w:tcW w:w="1712" w:type="pct"/>
          </w:tcPr>
          <w:p w:rsidR="00D4300E" w:rsidRPr="008846EB" w:rsidRDefault="008846EB" w:rsidP="00BB4AB9">
            <w:pPr>
              <w:pStyle w:val="Tablewriting"/>
              <w:rPr>
                <w:highlight w:val="black"/>
                <w:u w:val="single"/>
              </w:rPr>
            </w:pPr>
            <w:r>
              <w:rPr>
                <w:noProof/>
                <w:color w:val="000000"/>
                <w:highlight w:val="black"/>
                <w:u w:val="single"/>
              </w:rPr>
              <w:t>''''''''''''''''''''' ''''''' ''''''''''''' '''''''''' '''''''''''''''' ''''''''''''''''''''''' '''''''' '''''''''' ''''''''' ''''''''''' '''''''''' ''''''''''' '''''''''''' ''''''''''</w:t>
            </w:r>
          </w:p>
        </w:tc>
        <w:tc>
          <w:tcPr>
            <w:tcW w:w="813" w:type="pct"/>
            <w:vMerge w:val="restart"/>
          </w:tcPr>
          <w:p w:rsidR="00D4300E" w:rsidRDefault="00D4300E" w:rsidP="00BB4AB9">
            <w:pPr>
              <w:pStyle w:val="Tablewriting"/>
            </w:pPr>
            <w:r>
              <w:t>Hartmann-Boyce 2018</w:t>
            </w:r>
          </w:p>
        </w:tc>
        <w:tc>
          <w:tcPr>
            <w:tcW w:w="987" w:type="pct"/>
            <w:vMerge w:val="restart"/>
          </w:tcPr>
          <w:p w:rsidR="00D4300E" w:rsidRDefault="00FD1419" w:rsidP="00BB4AB9">
            <w:pPr>
              <w:pStyle w:val="Tablewriting"/>
            </w:pPr>
            <w:r w:rsidRPr="001E6534">
              <w:t>Benowitz</w:t>
            </w:r>
            <w:r>
              <w:t xml:space="preserve"> 2018, </w:t>
            </w:r>
            <w:r w:rsidR="00E017A9">
              <w:t>Shiffman 2020 (</w:t>
            </w:r>
            <w:r w:rsidR="00444B21">
              <w:t>gum)</w:t>
            </w:r>
            <w:r w:rsidR="00E017A9">
              <w:t>, Xiao 2020</w:t>
            </w:r>
            <w:r w:rsidR="00444B21">
              <w:t xml:space="preserve"> (lozenge)</w:t>
            </w:r>
          </w:p>
        </w:tc>
      </w:tr>
      <w:tr w:rsidR="00482CC0" w:rsidTr="00FD1419">
        <w:tc>
          <w:tcPr>
            <w:tcW w:w="538" w:type="pct"/>
            <w:vMerge/>
          </w:tcPr>
          <w:p w:rsidR="00D4300E" w:rsidRPr="00512781" w:rsidRDefault="00D4300E" w:rsidP="00BB4AB9">
            <w:pPr>
              <w:pStyle w:val="Tablewriting"/>
              <w:rPr>
                <w:b/>
                <w:bCs/>
              </w:rPr>
            </w:pPr>
          </w:p>
        </w:tc>
        <w:tc>
          <w:tcPr>
            <w:tcW w:w="950" w:type="pct"/>
            <w:vMerge/>
          </w:tcPr>
          <w:p w:rsidR="00D4300E" w:rsidRDefault="00D4300E" w:rsidP="00BB4AB9">
            <w:pPr>
              <w:pStyle w:val="Tablewriting"/>
            </w:pPr>
          </w:p>
        </w:tc>
        <w:tc>
          <w:tcPr>
            <w:tcW w:w="1712" w:type="pct"/>
          </w:tcPr>
          <w:p w:rsidR="00D4300E" w:rsidRDefault="00D4300E" w:rsidP="00BB4AB9">
            <w:pPr>
              <w:pStyle w:val="Tablewriting"/>
            </w:pPr>
            <w:r>
              <w:t xml:space="preserve">Stead 2008, </w:t>
            </w:r>
            <w:r w:rsidR="008846EB">
              <w:rPr>
                <w:noProof/>
                <w:color w:val="000000"/>
                <w:highlight w:val="black"/>
              </w:rPr>
              <w:t>''''''''''''''''' ''''''''''</w:t>
            </w:r>
          </w:p>
        </w:tc>
        <w:tc>
          <w:tcPr>
            <w:tcW w:w="813" w:type="pct"/>
            <w:vMerge/>
          </w:tcPr>
          <w:p w:rsidR="00D4300E" w:rsidRDefault="00D4300E" w:rsidP="00BB4AB9">
            <w:pPr>
              <w:pStyle w:val="Tablewriting"/>
            </w:pPr>
          </w:p>
        </w:tc>
        <w:tc>
          <w:tcPr>
            <w:tcW w:w="987" w:type="pct"/>
            <w:vMerge/>
          </w:tcPr>
          <w:p w:rsidR="00D4300E" w:rsidRDefault="00D4300E" w:rsidP="00BB4AB9">
            <w:pPr>
              <w:pStyle w:val="Tablewriting"/>
            </w:pPr>
          </w:p>
        </w:tc>
      </w:tr>
      <w:tr w:rsidR="00482CC0" w:rsidTr="00FD1419">
        <w:tc>
          <w:tcPr>
            <w:tcW w:w="538" w:type="pct"/>
            <w:vMerge/>
          </w:tcPr>
          <w:p w:rsidR="00D4300E" w:rsidRDefault="00D4300E" w:rsidP="00BB4AB9">
            <w:pPr>
              <w:pStyle w:val="Tablewriting"/>
              <w:rPr>
                <w:b/>
                <w:bCs/>
              </w:rPr>
            </w:pPr>
          </w:p>
        </w:tc>
        <w:tc>
          <w:tcPr>
            <w:tcW w:w="950" w:type="pct"/>
          </w:tcPr>
          <w:p w:rsidR="00D4300E" w:rsidRDefault="00D4300E" w:rsidP="00BB4AB9">
            <w:pPr>
              <w:pStyle w:val="Tablewriting"/>
            </w:pPr>
            <w:r>
              <w:t>NRT versus varenicline</w:t>
            </w:r>
          </w:p>
        </w:tc>
        <w:tc>
          <w:tcPr>
            <w:tcW w:w="1712" w:type="pct"/>
          </w:tcPr>
          <w:p w:rsidR="00D4300E" w:rsidRDefault="00D4300E" w:rsidP="00BB4AB9">
            <w:pPr>
              <w:pStyle w:val="Tablewriting"/>
            </w:pPr>
            <w:r>
              <w:t>Aubin 2008, Anthenelli 2016</w:t>
            </w:r>
          </w:p>
        </w:tc>
        <w:tc>
          <w:tcPr>
            <w:tcW w:w="813" w:type="pct"/>
          </w:tcPr>
          <w:p w:rsidR="00D4300E" w:rsidRDefault="00D4300E" w:rsidP="00BB4AB9">
            <w:pPr>
              <w:pStyle w:val="Tablewriting"/>
            </w:pPr>
            <w:r>
              <w:t>Cahill 2016</w:t>
            </w:r>
          </w:p>
        </w:tc>
        <w:tc>
          <w:tcPr>
            <w:tcW w:w="987" w:type="pct"/>
          </w:tcPr>
          <w:p w:rsidR="00D4300E" w:rsidRDefault="00444B21" w:rsidP="00BB4AB9">
            <w:pPr>
              <w:pStyle w:val="Tablewriting"/>
            </w:pPr>
            <w:r w:rsidRPr="00444B21">
              <w:t>Lerman 2015, Tulloch 2016, Rohsenow 2017, Benowitz 2018</w:t>
            </w:r>
          </w:p>
        </w:tc>
      </w:tr>
      <w:tr w:rsidR="00482CC0" w:rsidTr="00FD1419">
        <w:tc>
          <w:tcPr>
            <w:tcW w:w="538" w:type="pct"/>
          </w:tcPr>
          <w:p w:rsidR="00D4300E" w:rsidRDefault="00D4300E" w:rsidP="00BB4AB9">
            <w:pPr>
              <w:pStyle w:val="Tablewriting"/>
              <w:rPr>
                <w:b/>
                <w:bCs/>
              </w:rPr>
            </w:pPr>
            <w:r>
              <w:rPr>
                <w:b/>
                <w:bCs/>
              </w:rPr>
              <w:t>NRT lozenge</w:t>
            </w:r>
          </w:p>
          <w:p w:rsidR="00D4300E" w:rsidRPr="00512781" w:rsidRDefault="00D4300E" w:rsidP="00BB4AB9">
            <w:pPr>
              <w:pStyle w:val="Tablewriting"/>
              <w:rPr>
                <w:b/>
                <w:bCs/>
              </w:rPr>
            </w:pPr>
            <w:r>
              <w:rPr>
                <w:b/>
                <w:bCs/>
              </w:rPr>
              <w:t xml:space="preserve">(1 Feb 2019) </w:t>
            </w:r>
          </w:p>
        </w:tc>
        <w:tc>
          <w:tcPr>
            <w:tcW w:w="950" w:type="pct"/>
          </w:tcPr>
          <w:p w:rsidR="00D4300E" w:rsidRDefault="00D4300E" w:rsidP="00BB4AB9">
            <w:pPr>
              <w:pStyle w:val="Tablewriting"/>
            </w:pPr>
            <w:r>
              <w:t>NRT lozenge versus NRT patch</w:t>
            </w:r>
          </w:p>
        </w:tc>
        <w:tc>
          <w:tcPr>
            <w:tcW w:w="1712" w:type="pct"/>
          </w:tcPr>
          <w:p w:rsidR="00D4300E" w:rsidRDefault="00D4300E" w:rsidP="00BB4AB9">
            <w:pPr>
              <w:pStyle w:val="Tablewriting"/>
            </w:pPr>
            <w:r>
              <w:t>Piper 2009, Smith 2009, Schnoll 2010</w:t>
            </w:r>
          </w:p>
        </w:tc>
        <w:tc>
          <w:tcPr>
            <w:tcW w:w="813" w:type="pct"/>
          </w:tcPr>
          <w:p w:rsidR="00D4300E" w:rsidRDefault="00D4300E" w:rsidP="00BB4AB9">
            <w:pPr>
              <w:pStyle w:val="Tablewriting"/>
            </w:pPr>
            <w:r>
              <w:t>Lindson 2019</w:t>
            </w:r>
          </w:p>
        </w:tc>
        <w:tc>
          <w:tcPr>
            <w:tcW w:w="987" w:type="pct"/>
          </w:tcPr>
          <w:p w:rsidR="00D4300E" w:rsidRDefault="00F77297" w:rsidP="00BB4AB9">
            <w:pPr>
              <w:pStyle w:val="Tablewriting"/>
            </w:pPr>
            <w:r>
              <w:t>N</w:t>
            </w:r>
            <w:r w:rsidR="005E1DB6">
              <w:t>one identified</w:t>
            </w:r>
          </w:p>
        </w:tc>
      </w:tr>
      <w:tr w:rsidR="00482CC0" w:rsidTr="00FD1419">
        <w:tc>
          <w:tcPr>
            <w:tcW w:w="538" w:type="pct"/>
            <w:vMerge w:val="restart"/>
          </w:tcPr>
          <w:p w:rsidR="00D4300E" w:rsidRDefault="00D4300E" w:rsidP="00BB4AB9">
            <w:pPr>
              <w:pStyle w:val="Tablewriting"/>
              <w:rPr>
                <w:b/>
                <w:bCs/>
              </w:rPr>
            </w:pPr>
            <w:r>
              <w:rPr>
                <w:b/>
                <w:bCs/>
              </w:rPr>
              <w:t>NRT gum</w:t>
            </w:r>
          </w:p>
          <w:p w:rsidR="00D4300E" w:rsidRDefault="00D4300E" w:rsidP="00BB4AB9">
            <w:pPr>
              <w:pStyle w:val="Tablewriting"/>
              <w:rPr>
                <w:b/>
                <w:bCs/>
              </w:rPr>
            </w:pPr>
            <w:r>
              <w:rPr>
                <w:b/>
                <w:bCs/>
              </w:rPr>
              <w:t>(1 Feb 2019)</w:t>
            </w:r>
          </w:p>
        </w:tc>
        <w:tc>
          <w:tcPr>
            <w:tcW w:w="950" w:type="pct"/>
            <w:vMerge w:val="restart"/>
          </w:tcPr>
          <w:p w:rsidR="00D4300E" w:rsidRDefault="00D4300E" w:rsidP="00BB4AB9">
            <w:pPr>
              <w:pStyle w:val="Tablewriting"/>
            </w:pPr>
            <w:r>
              <w:t>NRT gum versus NRT patch</w:t>
            </w:r>
          </w:p>
        </w:tc>
        <w:tc>
          <w:tcPr>
            <w:tcW w:w="1712" w:type="pct"/>
          </w:tcPr>
          <w:p w:rsidR="00D4300E" w:rsidRPr="00461BD5" w:rsidRDefault="00D4300E" w:rsidP="00BB4AB9">
            <w:pPr>
              <w:pStyle w:val="Tablewriting"/>
              <w:rPr>
                <w:u w:val="single"/>
              </w:rPr>
            </w:pPr>
            <w:r w:rsidRPr="00470EC3">
              <w:rPr>
                <w:u w:val="single"/>
              </w:rPr>
              <w:t>Indirect comparison via placebo</w:t>
            </w:r>
            <w:r w:rsidR="00461BD5" w:rsidRPr="00461BD5">
              <w:t xml:space="preserve">: </w:t>
            </w:r>
            <w:r>
              <w:t>Moolchan 2005, Stead 2012</w:t>
            </w:r>
          </w:p>
        </w:tc>
        <w:tc>
          <w:tcPr>
            <w:tcW w:w="813" w:type="pct"/>
            <w:vMerge w:val="restart"/>
          </w:tcPr>
          <w:p w:rsidR="00D4300E" w:rsidRDefault="00D4300E" w:rsidP="00BB4AB9">
            <w:pPr>
              <w:pStyle w:val="Tablewriting"/>
            </w:pPr>
            <w:r>
              <w:t>Lindson 2019</w:t>
            </w:r>
          </w:p>
        </w:tc>
        <w:tc>
          <w:tcPr>
            <w:tcW w:w="987" w:type="pct"/>
            <w:vMerge w:val="restart"/>
          </w:tcPr>
          <w:p w:rsidR="00D4300E" w:rsidRDefault="003F591F" w:rsidP="00BB4AB9">
            <w:pPr>
              <w:pStyle w:val="Tablewriting"/>
            </w:pPr>
            <w:r>
              <w:t>N</w:t>
            </w:r>
            <w:r w:rsidR="005E1DB6">
              <w:t>one identified</w:t>
            </w:r>
          </w:p>
        </w:tc>
      </w:tr>
      <w:tr w:rsidR="00482CC0" w:rsidTr="00FD1419">
        <w:tc>
          <w:tcPr>
            <w:tcW w:w="538" w:type="pct"/>
            <w:vMerge/>
          </w:tcPr>
          <w:p w:rsidR="00D4300E" w:rsidRDefault="00D4300E" w:rsidP="00BB4AB9">
            <w:pPr>
              <w:pStyle w:val="Tablewriting"/>
              <w:rPr>
                <w:b/>
                <w:bCs/>
              </w:rPr>
            </w:pPr>
          </w:p>
        </w:tc>
        <w:tc>
          <w:tcPr>
            <w:tcW w:w="950" w:type="pct"/>
            <w:vMerge/>
          </w:tcPr>
          <w:p w:rsidR="00D4300E" w:rsidRDefault="00D4300E" w:rsidP="00BB4AB9">
            <w:pPr>
              <w:pStyle w:val="Tablewriting"/>
            </w:pPr>
          </w:p>
        </w:tc>
        <w:tc>
          <w:tcPr>
            <w:tcW w:w="1712" w:type="pct"/>
          </w:tcPr>
          <w:p w:rsidR="00D4300E" w:rsidRPr="00461BD5" w:rsidRDefault="00D4300E" w:rsidP="00BB4AB9">
            <w:pPr>
              <w:pStyle w:val="Tablewriting"/>
              <w:rPr>
                <w:u w:val="single"/>
              </w:rPr>
            </w:pPr>
            <w:r w:rsidRPr="00470EC3">
              <w:rPr>
                <w:u w:val="single"/>
              </w:rPr>
              <w:t xml:space="preserve">Indirect comparison via </w:t>
            </w:r>
            <w:r>
              <w:rPr>
                <w:u w:val="single"/>
              </w:rPr>
              <w:t>lozenge</w:t>
            </w:r>
            <w:r w:rsidR="00461BD5" w:rsidRPr="00461BD5">
              <w:t xml:space="preserve">: </w:t>
            </w:r>
            <w:r w:rsidR="008846EB">
              <w:rPr>
                <w:noProof/>
                <w:color w:val="000000"/>
                <w:highlight w:val="black"/>
              </w:rPr>
              <w:t>''''''''' '''''''''''''</w:t>
            </w:r>
            <w:r>
              <w:t>, Piper 2009</w:t>
            </w:r>
          </w:p>
        </w:tc>
        <w:tc>
          <w:tcPr>
            <w:tcW w:w="813" w:type="pct"/>
            <w:vMerge/>
          </w:tcPr>
          <w:p w:rsidR="00D4300E" w:rsidRDefault="00D4300E" w:rsidP="00BB4AB9">
            <w:pPr>
              <w:pStyle w:val="Tablewriting"/>
            </w:pPr>
          </w:p>
        </w:tc>
        <w:tc>
          <w:tcPr>
            <w:tcW w:w="987" w:type="pct"/>
            <w:vMerge/>
          </w:tcPr>
          <w:p w:rsidR="00D4300E" w:rsidRDefault="00D4300E" w:rsidP="00BB4AB9">
            <w:pPr>
              <w:pStyle w:val="Tablewriting"/>
            </w:pPr>
          </w:p>
        </w:tc>
      </w:tr>
      <w:tr w:rsidR="00D4300E" w:rsidTr="003954C8">
        <w:tc>
          <w:tcPr>
            <w:tcW w:w="5000" w:type="pct"/>
            <w:gridSpan w:val="5"/>
            <w:shd w:val="clear" w:color="auto" w:fill="auto"/>
          </w:tcPr>
          <w:p w:rsidR="00D4300E" w:rsidRDefault="00D4300E" w:rsidP="00BB4AB9">
            <w:pPr>
              <w:pStyle w:val="Tablewriting"/>
              <w:rPr>
                <w:b/>
              </w:rPr>
            </w:pPr>
            <w:r>
              <w:rPr>
                <w:b/>
                <w:bCs/>
              </w:rPr>
              <w:t>Treatment-experienced population</w:t>
            </w:r>
          </w:p>
        </w:tc>
      </w:tr>
      <w:tr w:rsidR="00482CC0" w:rsidTr="00FD1419">
        <w:trPr>
          <w:trHeight w:val="528"/>
        </w:trPr>
        <w:tc>
          <w:tcPr>
            <w:tcW w:w="538" w:type="pct"/>
            <w:vMerge w:val="restart"/>
          </w:tcPr>
          <w:p w:rsidR="00D4300E" w:rsidRDefault="00D4300E" w:rsidP="00BB4AB9">
            <w:pPr>
              <w:pStyle w:val="Tablewriting"/>
              <w:rPr>
                <w:b/>
                <w:bCs/>
              </w:rPr>
            </w:pPr>
            <w:r w:rsidRPr="00512781">
              <w:rPr>
                <w:b/>
                <w:bCs/>
              </w:rPr>
              <w:t>Varenicline</w:t>
            </w:r>
          </w:p>
          <w:p w:rsidR="00D4300E" w:rsidRDefault="00D4300E" w:rsidP="00BB4AB9">
            <w:pPr>
              <w:pStyle w:val="Tablewriting"/>
              <w:rPr>
                <w:b/>
                <w:bCs/>
              </w:rPr>
            </w:pPr>
            <w:r>
              <w:rPr>
                <w:b/>
                <w:bCs/>
              </w:rPr>
              <w:t>(1 Feb 2011</w:t>
            </w:r>
            <w:r w:rsidR="009E2F90">
              <w:rPr>
                <w:b/>
                <w:bCs/>
                <w:vertAlign w:val="superscript"/>
              </w:rPr>
              <w:t>4</w:t>
            </w:r>
            <w:r>
              <w:rPr>
                <w:b/>
                <w:bCs/>
              </w:rPr>
              <w:t xml:space="preserve">/ </w:t>
            </w:r>
          </w:p>
          <w:p w:rsidR="00D4300E" w:rsidRDefault="00D4300E" w:rsidP="00BB4AB9">
            <w:pPr>
              <w:pStyle w:val="Tablewriting"/>
              <w:rPr>
                <w:b/>
                <w:bCs/>
              </w:rPr>
            </w:pPr>
            <w:r>
              <w:rPr>
                <w:b/>
                <w:bCs/>
              </w:rPr>
              <w:t>1 Oct 2014</w:t>
            </w:r>
            <w:r w:rsidR="009E2F90">
              <w:rPr>
                <w:b/>
                <w:bCs/>
                <w:vertAlign w:val="superscript"/>
              </w:rPr>
              <w:t>5</w:t>
            </w:r>
            <w:r>
              <w:rPr>
                <w:b/>
                <w:bCs/>
              </w:rPr>
              <w:t>)</w:t>
            </w:r>
          </w:p>
          <w:p w:rsidR="00D4300E" w:rsidRDefault="00D4300E" w:rsidP="00BB4AB9">
            <w:pPr>
              <w:pStyle w:val="Tablewriting"/>
              <w:rPr>
                <w:b/>
                <w:bCs/>
              </w:rPr>
            </w:pPr>
          </w:p>
        </w:tc>
        <w:tc>
          <w:tcPr>
            <w:tcW w:w="950" w:type="pct"/>
            <w:vMerge w:val="restart"/>
          </w:tcPr>
          <w:p w:rsidR="00D4300E" w:rsidRDefault="00D4300E" w:rsidP="00BB4AB9">
            <w:pPr>
              <w:pStyle w:val="Tablewriting"/>
            </w:pPr>
            <w:r>
              <w:t>Varenicline versus placebo</w:t>
            </w:r>
          </w:p>
        </w:tc>
        <w:tc>
          <w:tcPr>
            <w:tcW w:w="1712" w:type="pct"/>
          </w:tcPr>
          <w:p w:rsidR="00D4300E" w:rsidRPr="00EF5538" w:rsidRDefault="00D4300E" w:rsidP="00BB4AB9">
            <w:pPr>
              <w:pStyle w:val="Tablewriting"/>
              <w:rPr>
                <w:u w:val="single"/>
              </w:rPr>
            </w:pPr>
            <w:r w:rsidRPr="00EF5538">
              <w:rPr>
                <w:u w:val="single"/>
              </w:rPr>
              <w:t xml:space="preserve">Abstainer </w:t>
            </w:r>
          </w:p>
          <w:p w:rsidR="00D4300E" w:rsidRDefault="00D4300E" w:rsidP="00BB4AB9">
            <w:pPr>
              <w:pStyle w:val="Tablewriting"/>
            </w:pPr>
            <w:r>
              <w:t>Tonstad 2006</w:t>
            </w:r>
          </w:p>
        </w:tc>
        <w:tc>
          <w:tcPr>
            <w:tcW w:w="813" w:type="pct"/>
          </w:tcPr>
          <w:p w:rsidR="00D4300E" w:rsidRDefault="00D4300E" w:rsidP="00BB4AB9">
            <w:pPr>
              <w:pStyle w:val="Tablewriting"/>
            </w:pPr>
            <w:r>
              <w:t>Livingstone-Banks 2019</w:t>
            </w:r>
          </w:p>
        </w:tc>
        <w:tc>
          <w:tcPr>
            <w:tcW w:w="987" w:type="pct"/>
          </w:tcPr>
          <w:p w:rsidR="00D4300E" w:rsidRDefault="003F591F" w:rsidP="00BB4AB9">
            <w:pPr>
              <w:pStyle w:val="Tablewriting"/>
            </w:pPr>
            <w:r>
              <w:t>Schnoll 2019</w:t>
            </w:r>
          </w:p>
        </w:tc>
      </w:tr>
      <w:tr w:rsidR="00482CC0" w:rsidTr="00FD1419">
        <w:tc>
          <w:tcPr>
            <w:tcW w:w="538" w:type="pct"/>
            <w:vMerge/>
          </w:tcPr>
          <w:p w:rsidR="00D4300E" w:rsidRDefault="00D4300E" w:rsidP="00BB4AB9">
            <w:pPr>
              <w:pStyle w:val="Tablewriting"/>
              <w:rPr>
                <w:b/>
                <w:bCs/>
              </w:rPr>
            </w:pPr>
          </w:p>
        </w:tc>
        <w:tc>
          <w:tcPr>
            <w:tcW w:w="950" w:type="pct"/>
            <w:vMerge/>
          </w:tcPr>
          <w:p w:rsidR="00D4300E" w:rsidRDefault="00D4300E" w:rsidP="00BB4AB9">
            <w:pPr>
              <w:pStyle w:val="Tablewriting"/>
            </w:pPr>
          </w:p>
        </w:tc>
        <w:tc>
          <w:tcPr>
            <w:tcW w:w="1712" w:type="pct"/>
          </w:tcPr>
          <w:p w:rsidR="00D4300E" w:rsidRPr="00EF5538" w:rsidRDefault="00D4300E" w:rsidP="00BB4AB9">
            <w:pPr>
              <w:pStyle w:val="Tablewriting"/>
              <w:rPr>
                <w:u w:val="single"/>
              </w:rPr>
            </w:pPr>
            <w:r w:rsidRPr="00EF5538">
              <w:rPr>
                <w:u w:val="single"/>
              </w:rPr>
              <w:t>Non-abstainer</w:t>
            </w:r>
          </w:p>
          <w:p w:rsidR="00D4300E" w:rsidRPr="00C06F41" w:rsidRDefault="00D4300E" w:rsidP="00BB4AB9">
            <w:pPr>
              <w:pStyle w:val="Tablewriting"/>
            </w:pPr>
            <w:r>
              <w:t>Gonzales 2014</w:t>
            </w:r>
            <w:r w:rsidR="001B58C7">
              <w:rPr>
                <w:vertAlign w:val="superscript"/>
              </w:rPr>
              <w:t>7</w:t>
            </w:r>
            <w:r>
              <w:t>, G</w:t>
            </w:r>
            <w:r w:rsidRPr="00EF5538">
              <w:t>onzales 2006</w:t>
            </w:r>
            <w:r w:rsidR="001B58C7">
              <w:rPr>
                <w:vertAlign w:val="superscript"/>
              </w:rPr>
              <w:t>8</w:t>
            </w:r>
            <w:r w:rsidRPr="00EF5538">
              <w:t>, Jorenby 2006</w:t>
            </w:r>
            <w:r w:rsidR="001B58C7">
              <w:rPr>
                <w:vertAlign w:val="superscript"/>
              </w:rPr>
              <w:t>8</w:t>
            </w:r>
            <w:r>
              <w:t xml:space="preserve">, </w:t>
            </w:r>
            <w:r w:rsidRPr="00EF5538">
              <w:t>Nakamura 2007</w:t>
            </w:r>
            <w:r w:rsidR="001B58C7">
              <w:rPr>
                <w:vertAlign w:val="superscript"/>
              </w:rPr>
              <w:t>8</w:t>
            </w:r>
            <w:r>
              <w:t xml:space="preserve">, </w:t>
            </w:r>
            <w:r w:rsidRPr="00EF5538">
              <w:t xml:space="preserve">Rigotti </w:t>
            </w:r>
            <w:r w:rsidRPr="00C06F41">
              <w:t>201</w:t>
            </w:r>
            <w:r>
              <w:t>0</w:t>
            </w:r>
            <w:r w:rsidR="001B58C7">
              <w:rPr>
                <w:vertAlign w:val="superscript"/>
              </w:rPr>
              <w:t>8</w:t>
            </w:r>
            <w:r>
              <w:t xml:space="preserve">, </w:t>
            </w:r>
            <w:r w:rsidRPr="00C06F41">
              <w:t>Tashkin</w:t>
            </w:r>
            <w:r>
              <w:t xml:space="preserve"> </w:t>
            </w:r>
            <w:r w:rsidRPr="00EF5538">
              <w:t>2011</w:t>
            </w:r>
            <w:r w:rsidR="001B58C7">
              <w:rPr>
                <w:vertAlign w:val="superscript"/>
              </w:rPr>
              <w:t>8</w:t>
            </w:r>
            <w:r>
              <w:rPr>
                <w:vertAlign w:val="superscript"/>
              </w:rPr>
              <w:t xml:space="preserve"> </w:t>
            </w:r>
            <w:r>
              <w:t>, T</w:t>
            </w:r>
            <w:r w:rsidRPr="00882DC2">
              <w:t>sai 2007</w:t>
            </w:r>
            <w:r w:rsidR="001B58C7">
              <w:rPr>
                <w:vertAlign w:val="superscript"/>
              </w:rPr>
              <w:t>8</w:t>
            </w:r>
            <w:r w:rsidRPr="00882DC2">
              <w:t>, Wang 2009</w:t>
            </w:r>
            <w:r w:rsidR="001B58C7">
              <w:rPr>
                <w:vertAlign w:val="superscript"/>
              </w:rPr>
              <w:t>8</w:t>
            </w:r>
            <w:r w:rsidRPr="00882DC2">
              <w:t>, Bolliger 2011</w:t>
            </w:r>
            <w:r w:rsidR="001B58C7">
              <w:rPr>
                <w:vertAlign w:val="superscript"/>
              </w:rPr>
              <w:t>8</w:t>
            </w:r>
            <w:r w:rsidRPr="00882DC2">
              <w:t xml:space="preserve"> and Rennard 2012</w:t>
            </w:r>
            <w:r w:rsidR="001B58C7">
              <w:rPr>
                <w:vertAlign w:val="superscript"/>
              </w:rPr>
              <w:t>8</w:t>
            </w:r>
          </w:p>
        </w:tc>
        <w:tc>
          <w:tcPr>
            <w:tcW w:w="813" w:type="pct"/>
          </w:tcPr>
          <w:p w:rsidR="00D4300E" w:rsidRDefault="00D4300E" w:rsidP="00BB4AB9">
            <w:pPr>
              <w:pStyle w:val="Tablewriting"/>
            </w:pPr>
            <w:r>
              <w:t>Cahill 2016</w:t>
            </w:r>
          </w:p>
        </w:tc>
        <w:tc>
          <w:tcPr>
            <w:tcW w:w="987" w:type="pct"/>
          </w:tcPr>
          <w:p w:rsidR="00D4300E" w:rsidRDefault="003F591F" w:rsidP="00BB4AB9">
            <w:pPr>
              <w:pStyle w:val="Tablewriting"/>
            </w:pPr>
            <w:r>
              <w:t>N</w:t>
            </w:r>
            <w:r w:rsidR="005E1DB6">
              <w:t>one identified</w:t>
            </w:r>
          </w:p>
        </w:tc>
      </w:tr>
      <w:tr w:rsidR="00482CC0" w:rsidTr="00CF4FAF">
        <w:tc>
          <w:tcPr>
            <w:tcW w:w="538" w:type="pct"/>
            <w:vMerge/>
          </w:tcPr>
          <w:p w:rsidR="00D4300E" w:rsidRDefault="00D4300E" w:rsidP="00BB4AB9">
            <w:pPr>
              <w:pStyle w:val="Tablewriting"/>
              <w:rPr>
                <w:b/>
                <w:bCs/>
              </w:rPr>
            </w:pPr>
          </w:p>
        </w:tc>
        <w:tc>
          <w:tcPr>
            <w:tcW w:w="950" w:type="pct"/>
          </w:tcPr>
          <w:p w:rsidR="00D4300E" w:rsidRDefault="00D4300E" w:rsidP="00BB4AB9">
            <w:pPr>
              <w:pStyle w:val="Tablewriting"/>
            </w:pPr>
            <w:r>
              <w:t>Varenicline versus bupropion</w:t>
            </w:r>
          </w:p>
        </w:tc>
        <w:tc>
          <w:tcPr>
            <w:tcW w:w="1712" w:type="pct"/>
          </w:tcPr>
          <w:p w:rsidR="00D4300E" w:rsidRPr="00EF5538" w:rsidRDefault="00D4300E" w:rsidP="00BB4AB9">
            <w:pPr>
              <w:pStyle w:val="Tablewriting"/>
              <w:rPr>
                <w:u w:val="single"/>
              </w:rPr>
            </w:pPr>
            <w:r w:rsidRPr="00EF5538">
              <w:rPr>
                <w:u w:val="single"/>
              </w:rPr>
              <w:t>Non-abstainer</w:t>
            </w:r>
          </w:p>
          <w:p w:rsidR="00D4300E" w:rsidRPr="00E00788" w:rsidRDefault="00D4300E" w:rsidP="00BB4AB9">
            <w:pPr>
              <w:pStyle w:val="Tablewriting"/>
              <w:rPr>
                <w:vertAlign w:val="superscript"/>
              </w:rPr>
            </w:pPr>
            <w:r>
              <w:t>Gonzales 2006</w:t>
            </w:r>
            <w:r>
              <w:rPr>
                <w:vertAlign w:val="superscript"/>
              </w:rPr>
              <w:t>2</w:t>
            </w:r>
            <w:r>
              <w:t>, Jorenby 2006</w:t>
            </w:r>
            <w:r>
              <w:rPr>
                <w:vertAlign w:val="superscript"/>
              </w:rPr>
              <w:t>2</w:t>
            </w:r>
          </w:p>
        </w:tc>
        <w:tc>
          <w:tcPr>
            <w:tcW w:w="1800" w:type="pct"/>
            <w:gridSpan w:val="2"/>
          </w:tcPr>
          <w:p w:rsidR="00D4300E" w:rsidRDefault="003A15AC" w:rsidP="00BB4AB9">
            <w:pPr>
              <w:pStyle w:val="Tablewriting"/>
            </w:pPr>
            <w:r>
              <w:t>See treatment-naïve population</w:t>
            </w:r>
          </w:p>
        </w:tc>
      </w:tr>
      <w:tr w:rsidR="00482CC0" w:rsidTr="00CF4FAF">
        <w:tc>
          <w:tcPr>
            <w:tcW w:w="538" w:type="pct"/>
            <w:vMerge/>
          </w:tcPr>
          <w:p w:rsidR="00D4300E" w:rsidRDefault="00D4300E" w:rsidP="00BB4AB9">
            <w:pPr>
              <w:pStyle w:val="Tablewriting"/>
              <w:rPr>
                <w:b/>
                <w:bCs/>
              </w:rPr>
            </w:pPr>
          </w:p>
        </w:tc>
        <w:tc>
          <w:tcPr>
            <w:tcW w:w="950" w:type="pct"/>
          </w:tcPr>
          <w:p w:rsidR="00D4300E" w:rsidRDefault="00D4300E" w:rsidP="00BB4AB9">
            <w:pPr>
              <w:pStyle w:val="Tablewriting"/>
            </w:pPr>
            <w:r>
              <w:t>Varenicline versus NRT</w:t>
            </w:r>
          </w:p>
        </w:tc>
        <w:tc>
          <w:tcPr>
            <w:tcW w:w="1712" w:type="pct"/>
          </w:tcPr>
          <w:p w:rsidR="00D4300E" w:rsidRPr="00D84291" w:rsidRDefault="00D4300E" w:rsidP="00BB4AB9">
            <w:pPr>
              <w:pStyle w:val="Tablewriting"/>
              <w:rPr>
                <w:u w:val="single"/>
              </w:rPr>
            </w:pPr>
            <w:r w:rsidRPr="00D84291">
              <w:rPr>
                <w:u w:val="single"/>
              </w:rPr>
              <w:t>Non-abstainer</w:t>
            </w:r>
          </w:p>
          <w:p w:rsidR="00D4300E" w:rsidRDefault="00D4300E" w:rsidP="00BB4AB9">
            <w:pPr>
              <w:pStyle w:val="Tablewriting"/>
            </w:pPr>
            <w:r w:rsidRPr="00574107">
              <w:t>Aubin 2008</w:t>
            </w:r>
            <w:r>
              <w:rPr>
                <w:vertAlign w:val="superscript"/>
              </w:rPr>
              <w:t>2</w:t>
            </w:r>
            <w:r w:rsidRPr="00574107">
              <w:t> </w:t>
            </w:r>
          </w:p>
        </w:tc>
        <w:tc>
          <w:tcPr>
            <w:tcW w:w="1800" w:type="pct"/>
            <w:gridSpan w:val="2"/>
          </w:tcPr>
          <w:p w:rsidR="00D4300E" w:rsidRDefault="003A15AC" w:rsidP="00BB4AB9">
            <w:pPr>
              <w:pStyle w:val="Tablewriting"/>
            </w:pPr>
            <w:r>
              <w:t>See treatment-naïve population</w:t>
            </w:r>
          </w:p>
        </w:tc>
      </w:tr>
      <w:tr w:rsidR="00482CC0" w:rsidTr="00FD1419">
        <w:tc>
          <w:tcPr>
            <w:tcW w:w="538" w:type="pct"/>
          </w:tcPr>
          <w:p w:rsidR="00D4300E" w:rsidRDefault="00D4300E" w:rsidP="00BB4AB9">
            <w:pPr>
              <w:pStyle w:val="Tablewriting"/>
              <w:rPr>
                <w:b/>
                <w:bCs/>
              </w:rPr>
            </w:pPr>
            <w:r>
              <w:rPr>
                <w:b/>
                <w:bCs/>
              </w:rPr>
              <w:t>Bupropion</w:t>
            </w:r>
          </w:p>
        </w:tc>
        <w:tc>
          <w:tcPr>
            <w:tcW w:w="950" w:type="pct"/>
          </w:tcPr>
          <w:p w:rsidR="00D4300E" w:rsidRDefault="00D4300E" w:rsidP="00BB4AB9">
            <w:pPr>
              <w:pStyle w:val="Tablewriting"/>
            </w:pPr>
            <w:r>
              <w:t>Bupropion versus placebo</w:t>
            </w:r>
          </w:p>
        </w:tc>
        <w:tc>
          <w:tcPr>
            <w:tcW w:w="1712" w:type="pct"/>
          </w:tcPr>
          <w:p w:rsidR="00D4300E" w:rsidRPr="004C7759" w:rsidRDefault="00D4300E" w:rsidP="00BB4AB9">
            <w:pPr>
              <w:pStyle w:val="Tablewriting"/>
            </w:pPr>
            <w:r>
              <w:t>Not previously considered</w:t>
            </w:r>
          </w:p>
        </w:tc>
        <w:tc>
          <w:tcPr>
            <w:tcW w:w="813" w:type="pct"/>
          </w:tcPr>
          <w:p w:rsidR="00D4300E" w:rsidRDefault="00D4300E" w:rsidP="00BB4AB9">
            <w:pPr>
              <w:pStyle w:val="Tablewriting"/>
            </w:pPr>
            <w:r>
              <w:t>Livingstone-Banks 2019</w:t>
            </w:r>
            <w:r w:rsidR="00FD1419">
              <w:t>,</w:t>
            </w:r>
            <w:r>
              <w:t xml:space="preserve"> Howes 2020</w:t>
            </w:r>
          </w:p>
        </w:tc>
        <w:tc>
          <w:tcPr>
            <w:tcW w:w="987" w:type="pct"/>
          </w:tcPr>
          <w:p w:rsidR="00D4300E" w:rsidRDefault="00741C77" w:rsidP="00BB4AB9">
            <w:pPr>
              <w:pStyle w:val="Tablewriting"/>
            </w:pPr>
            <w:r>
              <w:t>N</w:t>
            </w:r>
            <w:r w:rsidR="005E1DB6">
              <w:t>one identified</w:t>
            </w:r>
          </w:p>
        </w:tc>
      </w:tr>
      <w:tr w:rsidR="00482CC0" w:rsidTr="00FD1419">
        <w:tc>
          <w:tcPr>
            <w:tcW w:w="538" w:type="pct"/>
          </w:tcPr>
          <w:p w:rsidR="00D4300E" w:rsidRDefault="00D4300E" w:rsidP="00BB4AB9">
            <w:pPr>
              <w:pStyle w:val="Tablewriting"/>
              <w:rPr>
                <w:b/>
                <w:bCs/>
              </w:rPr>
            </w:pPr>
            <w:r>
              <w:rPr>
                <w:b/>
                <w:bCs/>
              </w:rPr>
              <w:t>NRT</w:t>
            </w:r>
          </w:p>
        </w:tc>
        <w:tc>
          <w:tcPr>
            <w:tcW w:w="950" w:type="pct"/>
          </w:tcPr>
          <w:p w:rsidR="00D4300E" w:rsidRDefault="00D4300E" w:rsidP="00BB4AB9">
            <w:pPr>
              <w:pStyle w:val="Tablewriting"/>
            </w:pPr>
            <w:r>
              <w:t>NRT versus placebo</w:t>
            </w:r>
          </w:p>
        </w:tc>
        <w:tc>
          <w:tcPr>
            <w:tcW w:w="1712" w:type="pct"/>
          </w:tcPr>
          <w:p w:rsidR="00D4300E" w:rsidRPr="00D84291" w:rsidRDefault="00D4300E" w:rsidP="00BB4AB9">
            <w:pPr>
              <w:pStyle w:val="Tablewriting"/>
              <w:rPr>
                <w:u w:val="single"/>
              </w:rPr>
            </w:pPr>
            <w:r>
              <w:t>Not previously considered</w:t>
            </w:r>
          </w:p>
        </w:tc>
        <w:tc>
          <w:tcPr>
            <w:tcW w:w="813" w:type="pct"/>
          </w:tcPr>
          <w:p w:rsidR="00D4300E" w:rsidRDefault="00D4300E" w:rsidP="00BB4AB9">
            <w:pPr>
              <w:pStyle w:val="Tablewriting"/>
            </w:pPr>
            <w:r>
              <w:t>Livingstone-Banks 2019</w:t>
            </w:r>
            <w:r w:rsidR="00FD1419">
              <w:t>,</w:t>
            </w:r>
          </w:p>
          <w:p w:rsidR="00D4300E" w:rsidRDefault="00D4300E" w:rsidP="00BB4AB9">
            <w:pPr>
              <w:pStyle w:val="Tablewriting"/>
            </w:pPr>
            <w:r>
              <w:t>Hartmann-Boyce 2018</w:t>
            </w:r>
          </w:p>
        </w:tc>
        <w:tc>
          <w:tcPr>
            <w:tcW w:w="987" w:type="pct"/>
          </w:tcPr>
          <w:p w:rsidR="00D4300E" w:rsidRDefault="004F53C9" w:rsidP="00BB4AB9">
            <w:pPr>
              <w:pStyle w:val="Tablewriting"/>
            </w:pPr>
            <w:r>
              <w:t>N</w:t>
            </w:r>
            <w:r w:rsidR="005E1DB6">
              <w:t>one identified</w:t>
            </w:r>
          </w:p>
        </w:tc>
      </w:tr>
    </w:tbl>
    <w:p w:rsidR="00722F16" w:rsidRDefault="00722F16" w:rsidP="00470EC3">
      <w:pPr>
        <w:pStyle w:val="TableFooter"/>
        <w:keepNext/>
      </w:pPr>
      <w:r>
        <w:t>Abbreviations: NRT = nicotine replacement therapy</w:t>
      </w:r>
    </w:p>
    <w:p w:rsidR="005E3E9B" w:rsidRDefault="005E3E9B" w:rsidP="00470EC3">
      <w:pPr>
        <w:pStyle w:val="TableFooter"/>
        <w:keepNext/>
      </w:pPr>
      <w:r>
        <w:t>Notes: Additional details on the evi</w:t>
      </w:r>
      <w:r w:rsidR="003439DA">
        <w:t xml:space="preserve">dence previously considered by the PBAC in </w:t>
      </w:r>
      <w:r w:rsidR="003439DA" w:rsidRPr="005E1DB6">
        <w:t>Appendix</w:t>
      </w:r>
      <w:r w:rsidR="003439DA">
        <w:t xml:space="preserve"> </w:t>
      </w:r>
      <w:r w:rsidR="003C4A1C">
        <w:t xml:space="preserve">Table </w:t>
      </w:r>
      <w:r w:rsidR="003C4A1C">
        <w:rPr>
          <w:noProof/>
        </w:rPr>
        <w:t>143</w:t>
      </w:r>
      <w:r w:rsidR="003439DA">
        <w:t>.</w:t>
      </w:r>
    </w:p>
    <w:p w:rsidR="00362CFE" w:rsidRDefault="001C5576" w:rsidP="00470EC3">
      <w:pPr>
        <w:pStyle w:val="TableFooter"/>
        <w:keepNext/>
      </w:pPr>
      <w:r w:rsidRPr="006001E1">
        <w:t>1</w:t>
      </w:r>
      <w:r w:rsidR="009F77A1">
        <w:t xml:space="preserve"> </w:t>
      </w:r>
      <w:r w:rsidR="00362CFE">
        <w:t xml:space="preserve">NRT </w:t>
      </w:r>
      <w:r w:rsidR="00E36B51">
        <w:t xml:space="preserve">patch was listed on the Repatriation Schedule </w:t>
      </w:r>
      <w:r w:rsidR="00FF2299">
        <w:t>on 1</w:t>
      </w:r>
      <w:r w:rsidR="00963A03">
        <w:t xml:space="preserve"> May 2000</w:t>
      </w:r>
      <w:r w:rsidR="001D4233">
        <w:t>.</w:t>
      </w:r>
    </w:p>
    <w:p w:rsidR="00667C20" w:rsidRDefault="009E2F90" w:rsidP="00470EC3">
      <w:pPr>
        <w:pStyle w:val="TableFooter"/>
        <w:keepNext/>
      </w:pPr>
      <w:r>
        <w:t>2</w:t>
      </w:r>
      <w:r w:rsidR="00667C20">
        <w:t xml:space="preserve"> </w:t>
      </w:r>
      <w:r w:rsidR="000272C2" w:rsidRPr="000272C2">
        <w:t>Aboriginal and Torres Strait Islander</w:t>
      </w:r>
      <w:r w:rsidR="00667C20">
        <w:t xml:space="preserve"> population</w:t>
      </w:r>
      <w:r w:rsidR="001D4233">
        <w:t>.</w:t>
      </w:r>
    </w:p>
    <w:p w:rsidR="001B6387" w:rsidRDefault="009E2F90" w:rsidP="00755F7C">
      <w:pPr>
        <w:pStyle w:val="TableFooter"/>
        <w:keepNext/>
      </w:pPr>
      <w:r>
        <w:t>3</w:t>
      </w:r>
      <w:r w:rsidR="00667C20">
        <w:t xml:space="preserve"> </w:t>
      </w:r>
      <w:r w:rsidR="00B97ECE">
        <w:t>G</w:t>
      </w:r>
      <w:r w:rsidR="00667C20">
        <w:t>eneral population</w:t>
      </w:r>
      <w:r w:rsidR="001D4233">
        <w:t>.</w:t>
      </w:r>
      <w:r w:rsidR="003F751E">
        <w:t xml:space="preserve"> </w:t>
      </w:r>
    </w:p>
    <w:p w:rsidR="001B6387" w:rsidRDefault="009E2F90" w:rsidP="00755F7C">
      <w:pPr>
        <w:pStyle w:val="TableFooter"/>
        <w:keepNext/>
      </w:pPr>
      <w:r>
        <w:t>4</w:t>
      </w:r>
      <w:r w:rsidR="001B6387">
        <w:t xml:space="preserve"> Additional 12-week treatment</w:t>
      </w:r>
      <w:r w:rsidR="00E81CAB">
        <w:t xml:space="preserve"> of varenicline</w:t>
      </w:r>
      <w:r w:rsidR="001B6387">
        <w:t xml:space="preserve"> for abstainers</w:t>
      </w:r>
      <w:r w:rsidR="001D4233">
        <w:t>.</w:t>
      </w:r>
    </w:p>
    <w:p w:rsidR="001B6387" w:rsidRDefault="009E2F90" w:rsidP="00755F7C">
      <w:pPr>
        <w:pStyle w:val="TableFooter"/>
        <w:keepNext/>
      </w:pPr>
      <w:r>
        <w:t>5</w:t>
      </w:r>
      <w:r w:rsidR="001B6387">
        <w:t xml:space="preserve"> </w:t>
      </w:r>
      <w:r w:rsidR="00693265">
        <w:t>Retreatment with varenicline for non-abstainers reduced from 12 months to 6 months</w:t>
      </w:r>
      <w:r w:rsidR="001D4233">
        <w:t>.</w:t>
      </w:r>
    </w:p>
    <w:p w:rsidR="00BC1055" w:rsidRPr="008846EB" w:rsidRDefault="009E2F90" w:rsidP="009E2F90">
      <w:pPr>
        <w:pStyle w:val="TableFooter"/>
        <w:keepNext/>
      </w:pPr>
      <w:r>
        <w:t xml:space="preserve">6 </w:t>
      </w:r>
      <w:r w:rsidR="008846EB">
        <w:rPr>
          <w:noProof/>
          <w:color w:val="000000"/>
          <w:highlight w:val="black"/>
        </w:rPr>
        <w:t>''''''''''''''''''' '''''''''''' '''''' ''''''''''''''''''''' '''''' ''''''' '''''''' '''''''''' '''''''''' '''''''''''''''' '''''''' '''''''''' ''''''''' '''''''''''''''''' ''''''''''''' '''''''' ''''''''' '''''''' '''''''''' '''' '''''''''''''' ''''' '''''''''''''''''''' '''''''''''''' '''''''''''''''''''''' '''''''''''''''' '''''''' '''''''''''''''' ''''''' ''''''''' '''''''''''''''' ''''''''''' '''''''' '''''''' ''''' '''''' '''''''''''''''' '''''''''''''''''''''''</w:t>
      </w:r>
    </w:p>
    <w:p w:rsidR="00A37E3E" w:rsidRDefault="00BC1055" w:rsidP="009E2F90">
      <w:pPr>
        <w:pStyle w:val="TableFooter"/>
        <w:keepNext/>
      </w:pPr>
      <w:r>
        <w:t>7</w:t>
      </w:r>
      <w:r w:rsidR="009E2F90">
        <w:t xml:space="preserve"> </w:t>
      </w:r>
      <w:r w:rsidR="007B2A24">
        <w:t xml:space="preserve">Referred to as Trial A3051139 in </w:t>
      </w:r>
      <w:r w:rsidR="003460EF">
        <w:t>March 2014 PBAC meeting.</w:t>
      </w:r>
    </w:p>
    <w:p w:rsidR="009E2F90" w:rsidRPr="008846EB" w:rsidRDefault="00BC1055" w:rsidP="009E2F90">
      <w:pPr>
        <w:pStyle w:val="TableFooter"/>
        <w:keepNext/>
      </w:pPr>
      <w:r>
        <w:t>8</w:t>
      </w:r>
      <w:r w:rsidR="009E2F90">
        <w:t xml:space="preserve"> </w:t>
      </w:r>
      <w:r w:rsidR="008846EB">
        <w:rPr>
          <w:noProof/>
          <w:color w:val="000000"/>
          <w:highlight w:val="black"/>
        </w:rPr>
        <w:t>'''''''''''''''''' ''''''''''''''''' '''' ''''''' ''''''''''''''''''' '''''''' '''' '''''''''''''''''''''''''''''''' ''''''''''''''''' ''''''' ''''''''''' ''''''''''''''''''' '''''''' ''''''' '''''''''''''''' '''''''''''''''''''' ''''''' ''''''' '''''''''''''''''''''''''' '''' ''''''' ''''''''''''''''''' ''''''''''''''''''' ''''''' ''''''''''''''''''''''' ''''''''''''''''''''''''' '''' '''''''''' ''''''''''' '''''''''''''' ''''''''' ''''''''''''''''''''' ''''''''''' '''''' ''''''''''''''''''''''''''''''' '''''''''''''''''''''' '''''''''''''' '''' ''''''' '''''''''''''</w:t>
      </w:r>
    </w:p>
    <w:p w:rsidR="009E2F90" w:rsidRDefault="009E2F90" w:rsidP="00755F7C">
      <w:pPr>
        <w:pStyle w:val="TableFooter"/>
        <w:keepNext/>
      </w:pPr>
    </w:p>
    <w:p w:rsidR="00D4300E" w:rsidRDefault="00D4300E" w:rsidP="00755F7C">
      <w:pPr>
        <w:pStyle w:val="TableFooter"/>
        <w:keepNext/>
      </w:pPr>
    </w:p>
    <w:p w:rsidR="001B6387" w:rsidRDefault="001B6387" w:rsidP="00755F7C">
      <w:pPr>
        <w:pStyle w:val="TableFooter"/>
        <w:keepNext/>
        <w:sectPr w:rsidR="001B6387" w:rsidSect="00D4300E">
          <w:pgSz w:w="16838" w:h="11906" w:orient="landscape"/>
          <w:pgMar w:top="1440" w:right="1440" w:bottom="1440" w:left="1440" w:header="708" w:footer="708" w:gutter="0"/>
          <w:cols w:space="708"/>
          <w:titlePg/>
          <w:docGrid w:linePitch="360"/>
        </w:sectPr>
      </w:pPr>
    </w:p>
    <w:p w:rsidR="00470EC3" w:rsidRDefault="00470EC3" w:rsidP="00D02475">
      <w:pPr>
        <w:pStyle w:val="Heading4"/>
        <w:numPr>
          <w:ilvl w:val="0"/>
          <w:numId w:val="0"/>
        </w:numPr>
      </w:pPr>
      <w:r>
        <w:lastRenderedPageBreak/>
        <w:t>Treatment-naïve population</w:t>
      </w:r>
    </w:p>
    <w:p w:rsidR="00C83EDA" w:rsidRDefault="00C83EDA" w:rsidP="00D02475">
      <w:pPr>
        <w:pStyle w:val="Heading5"/>
        <w:numPr>
          <w:ilvl w:val="0"/>
          <w:numId w:val="0"/>
        </w:numPr>
      </w:pPr>
      <w:r w:rsidRPr="00470EC3">
        <w:t>Bupropion</w:t>
      </w:r>
    </w:p>
    <w:p w:rsidR="00D6787F" w:rsidRPr="00523DBD" w:rsidRDefault="00DC5BAE" w:rsidP="00D6787F">
      <w:pPr>
        <w:rPr>
          <w:highlight w:val="green"/>
        </w:rPr>
      </w:pPr>
      <w:r>
        <w:t xml:space="preserve">Bupropion was recommended for listing </w:t>
      </w:r>
      <w:r w:rsidR="00EE5F19">
        <w:t xml:space="preserve">on the PBS </w:t>
      </w:r>
      <w:r w:rsidR="003B230D">
        <w:t xml:space="preserve">in </w:t>
      </w:r>
      <w:r w:rsidR="00ED5529">
        <w:t>Septe</w:t>
      </w:r>
      <w:r w:rsidR="003B230D" w:rsidRPr="00BE05A8">
        <w:t>m</w:t>
      </w:r>
      <w:r w:rsidR="00ED5529" w:rsidRPr="00BE05A8">
        <w:t>ber</w:t>
      </w:r>
      <w:r w:rsidR="003B230D">
        <w:t xml:space="preserve"> 2000 </w:t>
      </w:r>
      <w:r w:rsidR="008846EB">
        <w:rPr>
          <w:noProof/>
          <w:color w:val="000000"/>
          <w:highlight w:val="black"/>
        </w:rPr>
        <w:t>''''''''''' '''''' ''' '''''''''''' '''''''''' '''''''''''''''' ''''' ''''' ''''''''''' '''''''' ''' '''''''''''''''''' ''''''''''' ''''''''''' ''''' ''''' ''''''''''' '''''''''''''''' '''' ''''' ''''''''''''' ''''''' ''' ''''''''''''''''''''''''' ''''''''''''''''''''''''''''''''''' '''''''''''''''''''''' ''''' '''''''''''''''''''''''''''''''''' '''''''''''''''''''' '' ''''''''''''''' ''''''''''' '''''''''''''''''''''''''''''' ''''''''''''''''''''' ''''''' ''' '''''''''''''' '''''''''''' '''''''' '''''''''''''''' '''''' '''''''''''''' '''''''''''''''''''' ''''''''' ''''' ''''' '''''''''''' '''''''' ''' ''''''''''''''''''''''''''' '''''''''''''''''''''''''''''''''' ''''''' '''' '''''''''''''''''''''''''''''''''' ''''''''''''''''''''' ''''' '''''''''''''''' ''''''''''''''''''</w:t>
      </w:r>
    </w:p>
    <w:p w:rsidR="00C2289D" w:rsidRDefault="008846EB" w:rsidP="00DC5BAE">
      <w:r>
        <w:rPr>
          <w:noProof/>
          <w:color w:val="000000"/>
          <w:highlight w:val="black"/>
        </w:rPr>
        <w:t>'''''''''''' '''''' '''''' '''''''''''''' ''''''''''''' ''''''' '''''''''''''''''''''' ''''''''''''''' ''''''' '''''''''''''''''''''' ''''''' ''''''''''''''''''' '''''''''''' ''''''''''''''''''''''' '''''''' '''''''''''''' ''''''' '''''''' '''''''''''''''''' '''''''' ''''''''''''' '''''''''''''' '''''''''''''''''''' ''''''''''''''' ''''''' '''''' '''''''''''''''''''' '''' ''''''''''''''''''' ''''''''''' ''''''''' '''''''''''''''''''' '''''''' '''''''''''''''''' '''''''''''' ''''''''''''''''''''' '''''''' ''''''' ''''''' '''''''' ''''''''''''''''''''' ''''''''' ''''''''''' '''''''''''''''' ''''''''''' ''''''''''' '''''''''' '''''''''''''''' ''''' '''''' '''''''''' '''''''''''''''''''' '''''''''''''''''''''''' ''''''''''''''''' '''''''''''''''''''''' '''''''''' ''''''''''' ''''''''''''''''''''</w:t>
      </w:r>
      <w:r w:rsidR="002B7BE6">
        <w:t xml:space="preserve"> </w:t>
      </w:r>
      <w:r w:rsidR="002B7BE6" w:rsidRPr="002B7BE6">
        <w:t xml:space="preserve">The listing allowed for a maximum of </w:t>
      </w:r>
      <w:r w:rsidR="002B7BE6">
        <w:t>9</w:t>
      </w:r>
      <w:r w:rsidR="002B7BE6" w:rsidRPr="002B7BE6">
        <w:t xml:space="preserve"> weeks </w:t>
      </w:r>
      <w:r w:rsidR="00992D93">
        <w:t xml:space="preserve">of </w:t>
      </w:r>
      <w:r w:rsidR="002B7BE6" w:rsidRPr="002B7BE6">
        <w:t xml:space="preserve">PBS-subsidised </w:t>
      </w:r>
      <w:r w:rsidR="00992D93">
        <w:t>bupropion t</w:t>
      </w:r>
      <w:r w:rsidR="002B7BE6" w:rsidRPr="002B7BE6">
        <w:t>reatment per year.</w:t>
      </w:r>
    </w:p>
    <w:p w:rsidR="00C63428" w:rsidRPr="00DC5BAE" w:rsidRDefault="00EA1D99" w:rsidP="00C274D8">
      <w:r>
        <w:t xml:space="preserve">In </w:t>
      </w:r>
      <w:r w:rsidR="00E466E5">
        <w:t xml:space="preserve">March </w:t>
      </w:r>
      <w:r>
        <w:t>2010</w:t>
      </w:r>
      <w:r w:rsidR="00AD3364">
        <w:t>,</w:t>
      </w:r>
      <w:r w:rsidR="00E466E5">
        <w:t xml:space="preserve"> the PBAC</w:t>
      </w:r>
      <w:r w:rsidR="00C274D8">
        <w:t xml:space="preserve"> </w:t>
      </w:r>
      <w:r w:rsidR="002717E9">
        <w:t>recommended</w:t>
      </w:r>
      <w:r w:rsidR="00C274D8">
        <w:t xml:space="preserve"> to extend the PBS listing</w:t>
      </w:r>
      <w:r w:rsidR="007433C4">
        <w:t xml:space="preserve"> of NRT </w:t>
      </w:r>
      <w:r w:rsidR="00573F59">
        <w:t>patches</w:t>
      </w:r>
      <w:r w:rsidR="00C274D8">
        <w:t xml:space="preserve"> to include patients in the general</w:t>
      </w:r>
      <w:r w:rsidR="00482187">
        <w:t xml:space="preserve"> </w:t>
      </w:r>
      <w:r w:rsidR="00C274D8">
        <w:t>community</w:t>
      </w:r>
      <w:r w:rsidR="002A25E6">
        <w:t xml:space="preserve">. </w:t>
      </w:r>
      <w:r w:rsidR="007E4C44">
        <w:t>Four</w:t>
      </w:r>
      <w:r w:rsidR="009A17F5">
        <w:t xml:space="preserve"> studies comparing bupropion with NRT </w:t>
      </w:r>
      <w:r w:rsidR="00573F59">
        <w:t>patches</w:t>
      </w:r>
      <w:r w:rsidR="009A17F5">
        <w:t xml:space="preserve"> were considered by the PBAC at this meeting</w:t>
      </w:r>
      <w:r w:rsidR="005F5E7F">
        <w:t xml:space="preserve"> (</w:t>
      </w:r>
      <w:r w:rsidR="0056469B">
        <w:t>Jorenby et al. 1999</w:t>
      </w:r>
      <w:r w:rsidR="00D95E05">
        <w:t>, Gorecka et al. 2003, Uyar et al. 2007</w:t>
      </w:r>
      <w:r w:rsidR="00DA57C7">
        <w:t xml:space="preserve"> and</w:t>
      </w:r>
      <w:r w:rsidR="00D95E05">
        <w:t xml:space="preserve"> Piper et al. 2009</w:t>
      </w:r>
      <w:r w:rsidR="00630AF1">
        <w:t>)</w:t>
      </w:r>
      <w:r w:rsidR="009C3971">
        <w:t>.</w:t>
      </w:r>
      <w:r w:rsidR="0056469B">
        <w:t xml:space="preserve"> </w:t>
      </w:r>
      <w:r w:rsidR="008846EB">
        <w:rPr>
          <w:noProof/>
          <w:color w:val="000000"/>
          <w:highlight w:val="black"/>
        </w:rPr>
        <w:t>''''''''''''''' '''' '''' '''''''''''''' '''''''' '''''''''' ''''''''''''''''''' '''''''''''''''''''' ''''' ''''''' '''''''''' ''''' ''''''' '''''''''''''''''''''' ''''''''' '''''''''''''''' '''' ''''''''''''''' ''''' '''''' '''''''''''' '''''''''' ''''''''''' '''''''' ''''''''''''''''' '''' '''''' '''''''''''''''' ''''''''''''''' '''''''' '''''''''''''''''' ''''''' ''''''''''''''''''''' '''''''''''' '''''''''''''''''''''' ''''''''' '''''''''</w:t>
      </w:r>
      <w:r w:rsidR="007C67A2">
        <w:t xml:space="preserve">, </w:t>
      </w:r>
      <w:r w:rsidR="001F2BBB">
        <w:t>the meta-analysis of t</w:t>
      </w:r>
      <w:r w:rsidR="00A60293">
        <w:t xml:space="preserve">he four studies demonstrated </w:t>
      </w:r>
      <w:r w:rsidR="003F62C3">
        <w:t xml:space="preserve">bupropion to be non-inferior to NRT </w:t>
      </w:r>
      <w:r w:rsidR="00573F59">
        <w:t>patches</w:t>
      </w:r>
      <w:r w:rsidR="00F15548">
        <w:t xml:space="preserve"> for sustained abstinence</w:t>
      </w:r>
      <w:r w:rsidR="00E110E1">
        <w:t xml:space="preserve"> at six months or greater</w:t>
      </w:r>
      <w:r w:rsidR="00FA7730">
        <w:t xml:space="preserve"> (</w:t>
      </w:r>
      <w:r w:rsidR="00FA7730" w:rsidRPr="0002630D">
        <w:t>NRT PSD</w:t>
      </w:r>
      <w:r w:rsidR="00D3062A" w:rsidRPr="0002630D">
        <w:t>,</w:t>
      </w:r>
      <w:r w:rsidR="000D4834" w:rsidRPr="0002630D">
        <w:t xml:space="preserve"> March</w:t>
      </w:r>
      <w:r w:rsidR="00D3062A" w:rsidRPr="0002630D">
        <w:t xml:space="preserve"> 2010</w:t>
      </w:r>
      <w:r w:rsidR="000D4834" w:rsidRPr="0002630D">
        <w:t xml:space="preserve"> PBAC meeting</w:t>
      </w:r>
      <w:r w:rsidR="00D3062A">
        <w:t>)</w:t>
      </w:r>
      <w:r w:rsidR="00E110E1">
        <w:t>.</w:t>
      </w:r>
      <w:r w:rsidR="00F15548">
        <w:t xml:space="preserve"> </w:t>
      </w:r>
    </w:p>
    <w:p w:rsidR="00C83EDA" w:rsidRPr="001A7D76" w:rsidRDefault="00C83EDA" w:rsidP="00C83EDA">
      <w:pPr>
        <w:rPr>
          <w:b/>
          <w:bCs/>
        </w:rPr>
      </w:pPr>
      <w:r w:rsidRPr="001A7D76">
        <w:rPr>
          <w:b/>
          <w:bCs/>
        </w:rPr>
        <w:t>Bupropion versus placebo</w:t>
      </w:r>
    </w:p>
    <w:p w:rsidR="001E6534" w:rsidRDefault="00BC1C8A" w:rsidP="00C83EDA">
      <w:r>
        <w:t xml:space="preserve">A summary of the citation details for the studies </w:t>
      </w:r>
      <w:r w:rsidR="00626312">
        <w:t xml:space="preserve">comparing bupropion with placebo </w:t>
      </w:r>
      <w:r>
        <w:t xml:space="preserve">is presented in </w:t>
      </w:r>
      <w:r w:rsidR="003C4A1C">
        <w:t xml:space="preserve">Table </w:t>
      </w:r>
      <w:r w:rsidR="003C4A1C">
        <w:rPr>
          <w:noProof/>
        </w:rPr>
        <w:t>5</w:t>
      </w:r>
      <w:r>
        <w:t>.</w:t>
      </w:r>
      <w:r w:rsidR="00626312">
        <w:t xml:space="preserve"> </w:t>
      </w:r>
      <w:r w:rsidR="008846EB">
        <w:rPr>
          <w:noProof/>
          <w:color w:val="000000"/>
          <w:highlight w:val="black"/>
        </w:rPr>
        <w:t>'''''''' '''''''''''''' ''''''''' ''''''''''''''''''''' '''''''''''''''''''' ''''' ''''''' '''''''''' ''''''''' '''' '''' ''''''''' ''''''' '''''''''''''''' ''''' ''''' '''''''''''</w:t>
      </w:r>
      <w:r w:rsidR="00626312" w:rsidRPr="00626312">
        <w:t xml:space="preserve"> A recently conducted Cochrane </w:t>
      </w:r>
      <w:r w:rsidR="000A7768">
        <w:t>R</w:t>
      </w:r>
      <w:r w:rsidR="00626312" w:rsidRPr="00626312">
        <w:t xml:space="preserve">eview by Howes et al. (2020) was identified </w:t>
      </w:r>
      <w:r w:rsidR="003C101B">
        <w:t>as well as o</w:t>
      </w:r>
      <w:r w:rsidR="001E6534">
        <w:t xml:space="preserve">ne new </w:t>
      </w:r>
      <w:r w:rsidR="00AE2B90">
        <w:t>RCT</w:t>
      </w:r>
      <w:r w:rsidR="00AE2B90" w:rsidRPr="001E6534">
        <w:t xml:space="preserve"> </w:t>
      </w:r>
      <w:r w:rsidR="001E6534" w:rsidRPr="001E6534">
        <w:t>in the supplemental literature search (Benowitz et al. 2018)</w:t>
      </w:r>
      <w:r w:rsidR="008A045A">
        <w:t xml:space="preserve"> both of which were</w:t>
      </w:r>
      <w:r w:rsidR="008A045A" w:rsidRPr="001E6534">
        <w:t xml:space="preserve"> included </w:t>
      </w:r>
      <w:r w:rsidR="008A045A">
        <w:t>in this report</w:t>
      </w:r>
      <w:r w:rsidR="001E6534" w:rsidRPr="001E6534">
        <w:t xml:space="preserve">.  </w:t>
      </w:r>
    </w:p>
    <w:p w:rsidR="002764E0" w:rsidRDefault="002764E0" w:rsidP="002764E0">
      <w:pPr>
        <w:pStyle w:val="Caption"/>
        <w:keepNext/>
      </w:pPr>
      <w:bookmarkStart w:id="64" w:name="_Ref52962904"/>
      <w:r>
        <w:t xml:space="preserve">Table </w:t>
      </w:r>
      <w:r w:rsidR="003C4A1C">
        <w:rPr>
          <w:noProof/>
        </w:rPr>
        <w:t>5</w:t>
      </w:r>
      <w:bookmarkEnd w:id="64"/>
      <w:r>
        <w:t>: List of studies comparing bupropion with placebo</w:t>
      </w:r>
    </w:p>
    <w:tbl>
      <w:tblPr>
        <w:tblStyle w:val="TableGrid"/>
        <w:tblW w:w="5000" w:type="pct"/>
        <w:tblLook w:val="04A0" w:firstRow="1" w:lastRow="0" w:firstColumn="1" w:lastColumn="0" w:noHBand="0" w:noVBand="1"/>
        <w:tblCaption w:val="Efficacy results of adalimumab trials (PASI 75 and DLQI)"/>
      </w:tblPr>
      <w:tblGrid>
        <w:gridCol w:w="846"/>
        <w:gridCol w:w="8170"/>
      </w:tblGrid>
      <w:tr w:rsidR="00324959" w:rsidRPr="00061F78" w:rsidTr="00DD3E34">
        <w:trPr>
          <w:cantSplit/>
          <w:trHeight w:val="329"/>
          <w:tblHeader/>
        </w:trPr>
        <w:tc>
          <w:tcPr>
            <w:tcW w:w="469" w:type="pct"/>
            <w:shd w:val="clear" w:color="auto" w:fill="BFBFBF" w:themeFill="background1" w:themeFillShade="BF"/>
            <w:tcMar>
              <w:left w:w="28" w:type="dxa"/>
              <w:right w:w="28" w:type="dxa"/>
            </w:tcMar>
          </w:tcPr>
          <w:p w:rsidR="005879DD" w:rsidRPr="00061F78" w:rsidRDefault="00126B7B" w:rsidP="00944A49">
            <w:pPr>
              <w:pStyle w:val="Tableheading"/>
              <w:rPr>
                <w:rFonts w:eastAsia="MS Mincho"/>
              </w:rPr>
            </w:pPr>
            <w:r>
              <w:rPr>
                <w:rFonts w:eastAsia="MS Mincho"/>
              </w:rPr>
              <w:t>Study</w:t>
            </w:r>
          </w:p>
        </w:tc>
        <w:tc>
          <w:tcPr>
            <w:tcW w:w="4531" w:type="pct"/>
            <w:shd w:val="clear" w:color="auto" w:fill="BFBFBF" w:themeFill="background1" w:themeFillShade="BF"/>
          </w:tcPr>
          <w:p w:rsidR="005879DD" w:rsidRDefault="005879DD" w:rsidP="00280114">
            <w:pPr>
              <w:pStyle w:val="Tableheading"/>
              <w:jc w:val="center"/>
              <w:rPr>
                <w:rFonts w:eastAsia="MS Mincho"/>
              </w:rPr>
            </w:pPr>
            <w:r>
              <w:rPr>
                <w:rFonts w:eastAsia="MS Mincho"/>
              </w:rPr>
              <w:t>Citation</w:t>
            </w:r>
          </w:p>
        </w:tc>
      </w:tr>
      <w:tr w:rsidR="00324959" w:rsidRPr="00061F78" w:rsidTr="00813BCB">
        <w:trPr>
          <w:cantSplit/>
          <w:trHeight w:val="109"/>
        </w:trPr>
        <w:tc>
          <w:tcPr>
            <w:tcW w:w="469" w:type="pct"/>
            <w:shd w:val="clear" w:color="auto" w:fill="FFFFFF" w:themeFill="background1"/>
            <w:tcMar>
              <w:left w:w="28" w:type="dxa"/>
              <w:right w:w="28" w:type="dxa"/>
            </w:tcMar>
          </w:tcPr>
          <w:p w:rsidR="003B6CC8" w:rsidRPr="00813BCB" w:rsidRDefault="003B6CC8" w:rsidP="00944A49">
            <w:pPr>
              <w:pStyle w:val="Tablewriting"/>
              <w:rPr>
                <w:rFonts w:eastAsia="MS Mincho"/>
              </w:rPr>
            </w:pPr>
            <w:r w:rsidRPr="00813BCB">
              <w:rPr>
                <w:rFonts w:eastAsia="MS Mincho"/>
              </w:rPr>
              <w:t>Hurt (1997)</w:t>
            </w:r>
            <w:r w:rsidR="0039468B" w:rsidRPr="00813BCB">
              <w:rPr>
                <w:rFonts w:eastAsia="MS Mincho"/>
                <w:vertAlign w:val="superscript"/>
              </w:rPr>
              <w:t>1</w:t>
            </w:r>
          </w:p>
        </w:tc>
        <w:tc>
          <w:tcPr>
            <w:tcW w:w="4531" w:type="pct"/>
            <w:shd w:val="clear" w:color="auto" w:fill="FFFFFF" w:themeFill="background1"/>
          </w:tcPr>
          <w:p w:rsidR="003B6CC8" w:rsidRPr="00813BCB" w:rsidRDefault="003B6CC8" w:rsidP="00944A49">
            <w:pPr>
              <w:pStyle w:val="Tablewriting"/>
              <w:rPr>
                <w:rFonts w:eastAsia="MS Mincho"/>
              </w:rPr>
            </w:pPr>
            <w:r w:rsidRPr="00813BCB">
              <w:rPr>
                <w:rFonts w:eastAsia="MS Mincho"/>
              </w:rPr>
              <w:t>Hurt RD, Sachs DP, Glover ED, Offord KP, Johnston JA, Dale LC, Khayrallah MA, Schroeder DR, Glover PN, Sullivan CR, Croghan IT, Sullivan PM. A comparison of sustained-release bupropion and placebo for smoking cessation. N Engl J Med. 1997 Oct 23;337(17):1195-202.</w:t>
            </w:r>
          </w:p>
        </w:tc>
      </w:tr>
      <w:tr w:rsidR="00324959" w:rsidRPr="00061F78" w:rsidTr="00813BCB">
        <w:trPr>
          <w:cantSplit/>
          <w:trHeight w:val="109"/>
        </w:trPr>
        <w:tc>
          <w:tcPr>
            <w:tcW w:w="469" w:type="pct"/>
            <w:shd w:val="clear" w:color="auto" w:fill="FFFFFF" w:themeFill="background1"/>
            <w:tcMar>
              <w:left w:w="28" w:type="dxa"/>
              <w:right w:w="28" w:type="dxa"/>
            </w:tcMar>
          </w:tcPr>
          <w:p w:rsidR="005879DD" w:rsidRPr="00813BCB" w:rsidRDefault="005879DD" w:rsidP="00944A49">
            <w:pPr>
              <w:pStyle w:val="Tablewriting"/>
              <w:rPr>
                <w:rFonts w:eastAsia="MS Mincho"/>
              </w:rPr>
            </w:pPr>
            <w:r w:rsidRPr="00813BCB">
              <w:rPr>
                <w:rFonts w:eastAsia="MS Mincho"/>
              </w:rPr>
              <w:t>Jorenby (1999)</w:t>
            </w:r>
            <w:r w:rsidR="0039468B" w:rsidRPr="00813BCB">
              <w:rPr>
                <w:rFonts w:eastAsia="MS Mincho"/>
                <w:vertAlign w:val="superscript"/>
              </w:rPr>
              <w:t>2</w:t>
            </w:r>
          </w:p>
        </w:tc>
        <w:tc>
          <w:tcPr>
            <w:tcW w:w="4531" w:type="pct"/>
            <w:shd w:val="clear" w:color="auto" w:fill="FFFFFF" w:themeFill="background1"/>
          </w:tcPr>
          <w:p w:rsidR="005879DD" w:rsidRPr="00813BCB" w:rsidRDefault="002764E0" w:rsidP="00944A49">
            <w:pPr>
              <w:pStyle w:val="Tablewriting"/>
              <w:rPr>
                <w:rFonts w:eastAsia="MS Mincho"/>
              </w:rPr>
            </w:pPr>
            <w:r w:rsidRPr="00813BCB">
              <w:rPr>
                <w:rFonts w:eastAsia="MS Mincho"/>
              </w:rPr>
              <w:t>Jorenby DE, Leischow SJ, Nides MA, Rennard SI, Johnston JA, Hughes AR, Smith SS, Muramoto ML, Daughton DM, Doan K, Fiore MC, Baker TB. A controlled trial of sustained-release bupropion, a nicotine patch, or both for smoking cessation. N Engl J Med. 1999 Mar 4;340(9):685-91.</w:t>
            </w:r>
          </w:p>
        </w:tc>
      </w:tr>
      <w:tr w:rsidR="00324959" w:rsidRPr="00061F78" w:rsidTr="00DD3E34">
        <w:trPr>
          <w:cantSplit/>
          <w:trHeight w:val="164"/>
        </w:trPr>
        <w:tc>
          <w:tcPr>
            <w:tcW w:w="469" w:type="pct"/>
            <w:tcMar>
              <w:left w:w="28" w:type="dxa"/>
              <w:right w:w="28" w:type="dxa"/>
            </w:tcMar>
          </w:tcPr>
          <w:p w:rsidR="005879DD" w:rsidRPr="00D07303" w:rsidRDefault="005879DD" w:rsidP="00944A49">
            <w:pPr>
              <w:pStyle w:val="Tablewriting"/>
              <w:rPr>
                <w:rFonts w:eastAsia="MS Mincho"/>
                <w:vertAlign w:val="superscript"/>
              </w:rPr>
            </w:pPr>
            <w:r>
              <w:rPr>
                <w:rFonts w:eastAsia="MS Mincho"/>
              </w:rPr>
              <w:t>Howes</w:t>
            </w:r>
            <w:r w:rsidRPr="00061F78">
              <w:rPr>
                <w:rFonts w:eastAsia="MS Mincho"/>
              </w:rPr>
              <w:t xml:space="preserve"> (20</w:t>
            </w:r>
            <w:r>
              <w:rPr>
                <w:rFonts w:eastAsia="MS Mincho"/>
              </w:rPr>
              <w:t>20</w:t>
            </w:r>
            <w:r w:rsidRPr="00061F78">
              <w:rPr>
                <w:rFonts w:eastAsia="MS Mincho"/>
              </w:rPr>
              <w:t>)</w:t>
            </w:r>
            <w:r w:rsidR="0039468B" w:rsidRPr="007A3AB0">
              <w:rPr>
                <w:rFonts w:eastAsia="MS Mincho"/>
                <w:noProof/>
                <w:vertAlign w:val="superscript"/>
              </w:rPr>
              <w:t>3</w:t>
            </w:r>
            <w:r w:rsidR="00440C74" w:rsidRPr="00D07303">
              <w:rPr>
                <w:rFonts w:eastAsia="MS Mincho"/>
                <w:vertAlign w:val="superscript"/>
              </w:rPr>
              <w:t xml:space="preserve"> </w:t>
            </w:r>
          </w:p>
        </w:tc>
        <w:tc>
          <w:tcPr>
            <w:tcW w:w="4531" w:type="pct"/>
          </w:tcPr>
          <w:p w:rsidR="005879DD" w:rsidRDefault="002764E0" w:rsidP="00944A49">
            <w:pPr>
              <w:pStyle w:val="Tablewriting"/>
              <w:rPr>
                <w:rFonts w:eastAsia="MS Mincho"/>
              </w:rPr>
            </w:pPr>
            <w:r w:rsidRPr="002764E0">
              <w:rPr>
                <w:rFonts w:eastAsia="MS Mincho"/>
              </w:rPr>
              <w:t>Howes  S, Hartmann‐Boyce  J, Livingstone‐Banks  J, Hong  B, Lindson  N. Antidepressants for smoking cessation. Cochrane Database of Systematic Reviews 2020, Issue 4. Art. No.: CD000031.</w:t>
            </w:r>
          </w:p>
        </w:tc>
      </w:tr>
      <w:tr w:rsidR="00324959" w:rsidRPr="00061F78" w:rsidTr="00DD3E34">
        <w:trPr>
          <w:cantSplit/>
          <w:trHeight w:val="164"/>
        </w:trPr>
        <w:tc>
          <w:tcPr>
            <w:tcW w:w="469" w:type="pct"/>
            <w:tcMar>
              <w:left w:w="28" w:type="dxa"/>
              <w:right w:w="28" w:type="dxa"/>
            </w:tcMar>
          </w:tcPr>
          <w:p w:rsidR="007B1C3B" w:rsidRDefault="007B1C3B" w:rsidP="007B1C3B">
            <w:pPr>
              <w:pStyle w:val="Tablewriting"/>
              <w:rPr>
                <w:rFonts w:eastAsia="MS Mincho"/>
              </w:rPr>
            </w:pPr>
            <w:r>
              <w:rPr>
                <w:rFonts w:eastAsia="MS Mincho"/>
              </w:rPr>
              <w:t>Benowitz (2018)</w:t>
            </w:r>
            <w:r w:rsidR="0039468B" w:rsidRPr="00527212">
              <w:rPr>
                <w:rFonts w:eastAsia="MS Mincho"/>
                <w:noProof/>
                <w:vertAlign w:val="superscript"/>
              </w:rPr>
              <w:t>4</w:t>
            </w:r>
          </w:p>
        </w:tc>
        <w:tc>
          <w:tcPr>
            <w:tcW w:w="4531" w:type="pct"/>
          </w:tcPr>
          <w:p w:rsidR="007B1C3B" w:rsidRPr="002764E0" w:rsidRDefault="007B1C3B" w:rsidP="007B1C3B">
            <w:pPr>
              <w:pStyle w:val="Tablewriting"/>
              <w:rPr>
                <w:rFonts w:eastAsia="MS Mincho"/>
              </w:rPr>
            </w:pPr>
            <w:r w:rsidRPr="00C4557B">
              <w:rPr>
                <w:rFonts w:eastAsia="MS Mincho"/>
              </w:rPr>
              <w:t>Benowitz NL, Pipe A, West R, Hays JT, Tonstad S, McRae T, Lawrence D, St Aubin L, Anthenelli RM. Cardiovascular Safety of Varenicline, Bupropion, and Nicotine Patch in Smokers: A Randomized Clinical Trial. JAMA Intern Med. 2018 May 1;178(5):622-631.</w:t>
            </w:r>
          </w:p>
        </w:tc>
      </w:tr>
    </w:tbl>
    <w:p w:rsidR="00F84183" w:rsidRDefault="00F84183" w:rsidP="00944A49">
      <w:pPr>
        <w:pStyle w:val="TableFooter"/>
      </w:pPr>
      <w:r w:rsidRPr="00F84183">
        <w:t xml:space="preserve">Notes: </w:t>
      </w:r>
      <w:r w:rsidR="008846EB">
        <w:rPr>
          <w:noProof/>
          <w:color w:val="000000"/>
          <w:highlight w:val="black"/>
        </w:rPr>
        <w:t>''''''''' '''' '''' '''''''''''' '''''''' '''''''''''''''' '''' ''''' ''''''''''' '''''''''' ''''''''''''''''''''' '''' ''''''' ''''''''''''''''''' '''''''''' ''''''''' ''''''''''''''''''</w:t>
      </w:r>
    </w:p>
    <w:p w:rsidR="006F73B5" w:rsidRDefault="006F67A4" w:rsidP="00AA7796">
      <w:r>
        <w:lastRenderedPageBreak/>
        <w:t xml:space="preserve">A summary of the characteristics of the studies comparing bupropion with placebo is presented in </w:t>
      </w:r>
      <w:r w:rsidR="003C4A1C">
        <w:t xml:space="preserve">Table </w:t>
      </w:r>
      <w:r w:rsidR="003C4A1C">
        <w:rPr>
          <w:noProof/>
        </w:rPr>
        <w:t>6</w:t>
      </w:r>
      <w:r>
        <w:t xml:space="preserve">. </w:t>
      </w:r>
      <w:r w:rsidR="00FB6FEB">
        <w:t>A total of 46 randomised controlled trials</w:t>
      </w:r>
      <w:r w:rsidR="00B576FE">
        <w:t xml:space="preserve"> (RCTs)</w:t>
      </w:r>
      <w:r w:rsidR="00FB6FEB">
        <w:t xml:space="preserve"> comparing bupropion with placebo were identified by Howes et al. (2020). </w:t>
      </w:r>
      <w:r w:rsidR="008846EB">
        <w:rPr>
          <w:noProof/>
          <w:color w:val="000000"/>
          <w:highlight w:val="black"/>
        </w:rPr>
        <w:t>''''' ''''''''''' ''''''' ''''''''''''' ''''''''' '''''''' '''' ''''' '''''''''''''' '''''''' ''''''''''''' '''' '''' ''''''''''''''</w:t>
      </w:r>
      <w:r>
        <w:t xml:space="preserve"> The characteristics of the individual studies are presented in </w:t>
      </w:r>
      <w:r w:rsidRPr="00AE796D">
        <w:t xml:space="preserve">Appendix </w:t>
      </w:r>
      <w:r w:rsidR="003C4A1C">
        <w:t xml:space="preserve">Table </w:t>
      </w:r>
      <w:r w:rsidR="003C4A1C">
        <w:rPr>
          <w:noProof/>
        </w:rPr>
        <w:t>144</w:t>
      </w:r>
      <w:r w:rsidR="00AA7796">
        <w:t>.</w:t>
      </w:r>
    </w:p>
    <w:p w:rsidR="003E1BF9" w:rsidRDefault="003E1BF9" w:rsidP="003E1BF9">
      <w:r>
        <w:t xml:space="preserve">Benowitz et al. (2018) was a safety study </w:t>
      </w:r>
      <w:r w:rsidR="00F467E4">
        <w:t>(</w:t>
      </w:r>
      <w:r w:rsidR="00A95E3C">
        <w:t>n</w:t>
      </w:r>
      <w:r w:rsidR="00A95E3C" w:rsidRPr="00A95E3C">
        <w:t>on-treatment extension</w:t>
      </w:r>
      <w:r w:rsidR="00F467E4">
        <w:t>)</w:t>
      </w:r>
      <w:r w:rsidR="00A95E3C" w:rsidRPr="00A95E3C">
        <w:t xml:space="preserve"> </w:t>
      </w:r>
      <w:r w:rsidR="00F467E4">
        <w:t>of</w:t>
      </w:r>
      <w:r w:rsidR="00A95E3C" w:rsidRPr="00A95E3C">
        <w:t xml:space="preserve"> </w:t>
      </w:r>
      <w:r w:rsidR="00F467E4">
        <w:t>EAGLES (Anthenelli et al. 2016)</w:t>
      </w:r>
      <w:r w:rsidR="00F42E00">
        <w:t xml:space="preserve"> </w:t>
      </w:r>
      <w:r w:rsidR="007B1843">
        <w:t xml:space="preserve">comparing </w:t>
      </w:r>
      <w:r w:rsidR="00F70EDE">
        <w:t>NRT</w:t>
      </w:r>
      <w:r w:rsidR="00F42E00" w:rsidRPr="00F42E00">
        <w:t xml:space="preserve"> </w:t>
      </w:r>
      <w:r w:rsidR="00573F59">
        <w:t>patches</w:t>
      </w:r>
      <w:r w:rsidR="00A85E1F">
        <w:t xml:space="preserve"> (</w:t>
      </w:r>
      <w:r w:rsidR="00F42E00" w:rsidRPr="00F42E00">
        <w:t>21 mg per day with taper)</w:t>
      </w:r>
      <w:r w:rsidR="00A85E1F">
        <w:t xml:space="preserve">, </w:t>
      </w:r>
      <w:r w:rsidR="00F42E00" w:rsidRPr="00F42E00">
        <w:t>varenicline (1 mg twice a day)</w:t>
      </w:r>
      <w:r w:rsidR="00EE2F13">
        <w:t xml:space="preserve">, </w:t>
      </w:r>
      <w:r w:rsidR="00F42E00" w:rsidRPr="00F42E00">
        <w:t>bupropion (150 mg twice a day)</w:t>
      </w:r>
      <w:r w:rsidR="00DF2A84">
        <w:t xml:space="preserve"> </w:t>
      </w:r>
      <w:r w:rsidR="00CF1E1A">
        <w:t>and</w:t>
      </w:r>
      <w:r w:rsidR="00DF2A84">
        <w:t xml:space="preserve"> placebo</w:t>
      </w:r>
      <w:r w:rsidR="00F467E4">
        <w:t>. The study</w:t>
      </w:r>
      <w:r w:rsidR="00A95E3C" w:rsidRPr="00A95E3C">
        <w:t xml:space="preserve"> aimed </w:t>
      </w:r>
      <w:r w:rsidR="00F467E4">
        <w:t>to collect</w:t>
      </w:r>
      <w:r w:rsidR="00A95E3C" w:rsidRPr="00A95E3C">
        <w:t xml:space="preserve"> data on cardiovascular safety for all participants in </w:t>
      </w:r>
      <w:r w:rsidR="0062206C">
        <w:t>EAGLES</w:t>
      </w:r>
      <w:r w:rsidR="00A95E3C" w:rsidRPr="00A95E3C">
        <w:t xml:space="preserve"> </w:t>
      </w:r>
      <w:r w:rsidR="0062206C">
        <w:t xml:space="preserve">(2016) </w:t>
      </w:r>
      <w:r w:rsidR="00A95E3C" w:rsidRPr="00A95E3C">
        <w:t>for an additional 28 weeks, allowing for a total of 52 weeks of cardiovascular safety data collection</w:t>
      </w:r>
      <w:r>
        <w:t xml:space="preserve">.  </w:t>
      </w:r>
    </w:p>
    <w:p w:rsidR="003E1BF9" w:rsidRDefault="003E1BF9" w:rsidP="00AA7796"/>
    <w:p w:rsidR="00280114" w:rsidRDefault="00280114" w:rsidP="006F73B5">
      <w:pPr>
        <w:sectPr w:rsidR="00280114" w:rsidSect="006356D2">
          <w:pgSz w:w="11906" w:h="16838"/>
          <w:pgMar w:top="1440" w:right="1440" w:bottom="1440" w:left="1440" w:header="708" w:footer="708" w:gutter="0"/>
          <w:cols w:space="708"/>
          <w:titlePg/>
          <w:docGrid w:linePitch="360"/>
        </w:sectPr>
      </w:pPr>
    </w:p>
    <w:p w:rsidR="006F67A4" w:rsidRDefault="006F67A4" w:rsidP="006F67A4">
      <w:pPr>
        <w:pStyle w:val="Caption"/>
        <w:keepNext/>
      </w:pPr>
      <w:bookmarkStart w:id="65" w:name="_Ref52968204"/>
      <w:r>
        <w:lastRenderedPageBreak/>
        <w:t xml:space="preserve">Table </w:t>
      </w:r>
      <w:r w:rsidR="003C4A1C">
        <w:rPr>
          <w:noProof/>
        </w:rPr>
        <w:t>6</w:t>
      </w:r>
      <w:bookmarkEnd w:id="65"/>
      <w:r>
        <w:t>: Characteristics of the studies comparing bupropion with placebo</w:t>
      </w:r>
    </w:p>
    <w:tbl>
      <w:tblPr>
        <w:tblStyle w:val="TableGrid"/>
        <w:tblW w:w="5000" w:type="pct"/>
        <w:tblLook w:val="04A0" w:firstRow="1" w:lastRow="0" w:firstColumn="1" w:lastColumn="0" w:noHBand="0" w:noVBand="1"/>
        <w:tblCaption w:val="Efficacy results of adalimumab trials (PASI 75 and DLQI)"/>
      </w:tblPr>
      <w:tblGrid>
        <w:gridCol w:w="810"/>
        <w:gridCol w:w="1129"/>
        <w:gridCol w:w="981"/>
        <w:gridCol w:w="5230"/>
        <w:gridCol w:w="2358"/>
        <w:gridCol w:w="3440"/>
      </w:tblGrid>
      <w:tr w:rsidR="002D3FD2" w:rsidRPr="00061F78" w:rsidTr="0062206C">
        <w:trPr>
          <w:trHeight w:val="299"/>
          <w:tblHeader/>
        </w:trPr>
        <w:tc>
          <w:tcPr>
            <w:tcW w:w="255" w:type="pct"/>
            <w:shd w:val="clear" w:color="auto" w:fill="BFBFBF" w:themeFill="background1" w:themeFillShade="BF"/>
            <w:tcMar>
              <w:left w:w="28" w:type="dxa"/>
              <w:right w:w="28" w:type="dxa"/>
            </w:tcMar>
          </w:tcPr>
          <w:p w:rsidR="00A34E7B" w:rsidRPr="00061F78" w:rsidRDefault="00126B7B" w:rsidP="00BC1C13">
            <w:pPr>
              <w:pStyle w:val="Tableheading"/>
              <w:rPr>
                <w:rFonts w:eastAsia="MS Mincho"/>
              </w:rPr>
            </w:pPr>
            <w:bookmarkStart w:id="66" w:name="_Hlk58246447"/>
            <w:r>
              <w:rPr>
                <w:rFonts w:eastAsia="MS Mincho"/>
              </w:rPr>
              <w:t>Study</w:t>
            </w:r>
          </w:p>
        </w:tc>
        <w:tc>
          <w:tcPr>
            <w:tcW w:w="412" w:type="pct"/>
            <w:shd w:val="clear" w:color="auto" w:fill="BFBFBF" w:themeFill="background1" w:themeFillShade="BF"/>
          </w:tcPr>
          <w:p w:rsidR="00A34E7B" w:rsidRDefault="00A34E7B" w:rsidP="00BC1C13">
            <w:pPr>
              <w:pStyle w:val="Tableheading"/>
              <w:jc w:val="center"/>
              <w:rPr>
                <w:rFonts w:eastAsia="MS Mincho"/>
              </w:rPr>
            </w:pPr>
            <w:r>
              <w:rPr>
                <w:rFonts w:eastAsia="MS Mincho"/>
              </w:rPr>
              <w:t>Study type</w:t>
            </w:r>
          </w:p>
        </w:tc>
        <w:tc>
          <w:tcPr>
            <w:tcW w:w="359" w:type="pct"/>
            <w:shd w:val="clear" w:color="auto" w:fill="BFBFBF" w:themeFill="background1" w:themeFillShade="BF"/>
            <w:tcMar>
              <w:left w:w="28" w:type="dxa"/>
              <w:right w:w="28" w:type="dxa"/>
            </w:tcMar>
          </w:tcPr>
          <w:p w:rsidR="00A34E7B" w:rsidRPr="00AB145F" w:rsidRDefault="00A34E7B" w:rsidP="00BC1C13">
            <w:pPr>
              <w:pStyle w:val="Tableheading"/>
              <w:jc w:val="center"/>
              <w:rPr>
                <w:rFonts w:eastAsia="MS Mincho"/>
                <w:vertAlign w:val="superscript"/>
              </w:rPr>
            </w:pPr>
            <w:r>
              <w:rPr>
                <w:rFonts w:eastAsia="MS Mincho"/>
              </w:rPr>
              <w:t>N</w:t>
            </w:r>
            <w:r w:rsidR="00AB145F">
              <w:rPr>
                <w:rFonts w:eastAsia="MS Mincho"/>
                <w:vertAlign w:val="superscript"/>
              </w:rPr>
              <w:t>1</w:t>
            </w:r>
          </w:p>
        </w:tc>
        <w:tc>
          <w:tcPr>
            <w:tcW w:w="1882" w:type="pct"/>
            <w:shd w:val="clear" w:color="auto" w:fill="BFBFBF" w:themeFill="background1" w:themeFillShade="BF"/>
            <w:tcMar>
              <w:left w:w="28" w:type="dxa"/>
              <w:right w:w="28" w:type="dxa"/>
            </w:tcMar>
          </w:tcPr>
          <w:p w:rsidR="00A34E7B" w:rsidRPr="00061F78" w:rsidRDefault="00A34E7B" w:rsidP="00BC1C13">
            <w:pPr>
              <w:pStyle w:val="Tableheading"/>
              <w:jc w:val="center"/>
              <w:rPr>
                <w:rFonts w:eastAsia="MS Mincho"/>
              </w:rPr>
            </w:pPr>
            <w:r w:rsidRPr="00061F78">
              <w:rPr>
                <w:rFonts w:eastAsia="MS Mincho"/>
              </w:rPr>
              <w:t>P</w:t>
            </w:r>
            <w:r>
              <w:rPr>
                <w:rFonts w:eastAsia="MS Mincho"/>
              </w:rPr>
              <w:t>opulation</w:t>
            </w:r>
          </w:p>
        </w:tc>
        <w:tc>
          <w:tcPr>
            <w:tcW w:w="852" w:type="pct"/>
            <w:shd w:val="clear" w:color="auto" w:fill="BFBFBF" w:themeFill="background1" w:themeFillShade="BF"/>
          </w:tcPr>
          <w:p w:rsidR="00A34E7B" w:rsidRDefault="00A34E7B" w:rsidP="00BC1C13">
            <w:pPr>
              <w:pStyle w:val="Tableheading"/>
              <w:jc w:val="center"/>
              <w:rPr>
                <w:rFonts w:eastAsia="MS Mincho"/>
              </w:rPr>
            </w:pPr>
            <w:r>
              <w:rPr>
                <w:rFonts w:eastAsia="MS Mincho"/>
              </w:rPr>
              <w:t>Intervention and comparator</w:t>
            </w:r>
          </w:p>
        </w:tc>
        <w:tc>
          <w:tcPr>
            <w:tcW w:w="1241" w:type="pct"/>
            <w:shd w:val="clear" w:color="auto" w:fill="BFBFBF" w:themeFill="background1" w:themeFillShade="BF"/>
            <w:tcMar>
              <w:left w:w="28" w:type="dxa"/>
              <w:right w:w="28" w:type="dxa"/>
            </w:tcMar>
          </w:tcPr>
          <w:p w:rsidR="00A34E7B" w:rsidRPr="00061F78" w:rsidRDefault="00A34E7B" w:rsidP="00BC1C13">
            <w:pPr>
              <w:pStyle w:val="Tableheading"/>
              <w:jc w:val="center"/>
              <w:rPr>
                <w:rFonts w:eastAsia="MS Mincho"/>
              </w:rPr>
            </w:pPr>
            <w:r>
              <w:rPr>
                <w:rFonts w:eastAsia="MS Mincho"/>
              </w:rPr>
              <w:t>Outcomes</w:t>
            </w:r>
          </w:p>
        </w:tc>
      </w:tr>
      <w:bookmarkEnd w:id="66"/>
      <w:tr w:rsidR="002D3FD2" w:rsidRPr="00061F78" w:rsidTr="00813BCB">
        <w:trPr>
          <w:trHeight w:val="99"/>
        </w:trPr>
        <w:tc>
          <w:tcPr>
            <w:tcW w:w="255" w:type="pct"/>
            <w:shd w:val="clear" w:color="auto" w:fill="FFFFFF" w:themeFill="background1"/>
            <w:tcMar>
              <w:left w:w="28" w:type="dxa"/>
              <w:right w:w="28" w:type="dxa"/>
            </w:tcMar>
          </w:tcPr>
          <w:p w:rsidR="00A34E7B" w:rsidRPr="00813BCB" w:rsidRDefault="00A34E7B" w:rsidP="00BC1C13">
            <w:pPr>
              <w:pStyle w:val="Tablewriting"/>
              <w:rPr>
                <w:rFonts w:eastAsia="MS Mincho"/>
              </w:rPr>
            </w:pPr>
            <w:r w:rsidRPr="00813BCB">
              <w:rPr>
                <w:rFonts w:eastAsia="MS Mincho"/>
              </w:rPr>
              <w:t>Hurt (1997)</w:t>
            </w:r>
            <w:r w:rsidR="00195BC4" w:rsidRPr="00813BCB">
              <w:rPr>
                <w:rFonts w:eastAsia="MS Mincho"/>
              </w:rPr>
              <w:t xml:space="preserve"> </w:t>
            </w:r>
          </w:p>
        </w:tc>
        <w:tc>
          <w:tcPr>
            <w:tcW w:w="412" w:type="pct"/>
            <w:shd w:val="clear" w:color="auto" w:fill="FFFFFF" w:themeFill="background1"/>
          </w:tcPr>
          <w:p w:rsidR="00A34E7B" w:rsidRPr="00813BCB" w:rsidRDefault="00A34E7B" w:rsidP="00BC1C13">
            <w:pPr>
              <w:pStyle w:val="Tablewriting"/>
              <w:rPr>
                <w:rFonts w:eastAsia="MS Mincho"/>
              </w:rPr>
            </w:pPr>
            <w:r w:rsidRPr="00813BCB">
              <w:rPr>
                <w:rFonts w:eastAsia="MS Mincho"/>
              </w:rPr>
              <w:t>RCT</w:t>
            </w:r>
          </w:p>
        </w:tc>
        <w:tc>
          <w:tcPr>
            <w:tcW w:w="359" w:type="pct"/>
            <w:shd w:val="clear" w:color="auto" w:fill="FFFFFF" w:themeFill="background1"/>
            <w:tcMar>
              <w:left w:w="28" w:type="dxa"/>
              <w:right w:w="28" w:type="dxa"/>
            </w:tcMar>
          </w:tcPr>
          <w:p w:rsidR="00A34E7B" w:rsidRPr="00813BCB" w:rsidRDefault="00A34E7B" w:rsidP="00BC1C13">
            <w:pPr>
              <w:pStyle w:val="Tablewriting"/>
              <w:rPr>
                <w:rFonts w:eastAsia="MS Mincho"/>
              </w:rPr>
            </w:pPr>
            <w:r w:rsidRPr="00813BCB">
              <w:rPr>
                <w:rFonts w:eastAsia="MS Mincho"/>
              </w:rPr>
              <w:t>N=</w:t>
            </w:r>
            <w:r w:rsidR="007F28D7" w:rsidRPr="00813BCB">
              <w:rPr>
                <w:rFonts w:eastAsia="MS Mincho"/>
              </w:rPr>
              <w:t>615</w:t>
            </w:r>
          </w:p>
          <w:p w:rsidR="007F28D7" w:rsidRPr="00813BCB" w:rsidRDefault="007F28D7" w:rsidP="00BC1C13">
            <w:pPr>
              <w:pStyle w:val="Tablewriting"/>
              <w:rPr>
                <w:rFonts w:eastAsia="MS Mincho"/>
              </w:rPr>
            </w:pPr>
            <w:r w:rsidRPr="00813BCB">
              <w:rPr>
                <w:rFonts w:eastAsia="MS Mincho"/>
              </w:rPr>
              <w:t>Bupropion (n=156), Placebo (n=153)</w:t>
            </w:r>
          </w:p>
        </w:tc>
        <w:tc>
          <w:tcPr>
            <w:tcW w:w="1882" w:type="pct"/>
            <w:shd w:val="clear" w:color="auto" w:fill="FFFFFF" w:themeFill="background1"/>
            <w:tcMar>
              <w:left w:w="28" w:type="dxa"/>
              <w:right w:w="28" w:type="dxa"/>
            </w:tcMar>
          </w:tcPr>
          <w:p w:rsidR="00A34E7B" w:rsidRPr="00813BCB" w:rsidRDefault="007F28D7" w:rsidP="00BC1C13">
            <w:pPr>
              <w:pStyle w:val="Tablewriting"/>
              <w:rPr>
                <w:rFonts w:eastAsia="MS Mincho"/>
              </w:rPr>
            </w:pPr>
            <w:r w:rsidRPr="00813BCB">
              <w:rPr>
                <w:rFonts w:eastAsia="MS Mincho"/>
                <w:u w:val="single"/>
              </w:rPr>
              <w:t>Inclusion</w:t>
            </w:r>
            <w:r w:rsidRPr="00813BCB">
              <w:rPr>
                <w:rFonts w:eastAsia="MS Mincho"/>
              </w:rPr>
              <w:t xml:space="preserve">: </w:t>
            </w:r>
            <w:r w:rsidR="002C19B4" w:rsidRPr="00813BCB">
              <w:rPr>
                <w:rFonts w:eastAsia="MS Mincho"/>
              </w:rPr>
              <w:t>≥</w:t>
            </w:r>
            <w:r w:rsidRPr="00813BCB">
              <w:rPr>
                <w:rFonts w:eastAsia="MS Mincho"/>
              </w:rPr>
              <w:t xml:space="preserve">18 years old, </w:t>
            </w:r>
            <w:r w:rsidR="00BC110D" w:rsidRPr="00813BCB">
              <w:rPr>
                <w:rFonts w:eastAsia="MS Mincho"/>
              </w:rPr>
              <w:t>≥</w:t>
            </w:r>
            <w:r w:rsidRPr="00813BCB">
              <w:rPr>
                <w:rFonts w:eastAsia="MS Mincho"/>
              </w:rPr>
              <w:t>15 cigarettes per day for the past year, motivated to stop smoking</w:t>
            </w:r>
            <w:r w:rsidR="00D15684" w:rsidRPr="00813BCB">
              <w:rPr>
                <w:rFonts w:eastAsia="MS Mincho"/>
              </w:rPr>
              <w:t>.</w:t>
            </w:r>
          </w:p>
          <w:p w:rsidR="007F28D7" w:rsidRPr="00813BCB" w:rsidRDefault="007F28D7" w:rsidP="00BC1C13">
            <w:pPr>
              <w:pStyle w:val="Tablewriting"/>
              <w:rPr>
                <w:rFonts w:eastAsia="MS Mincho"/>
              </w:rPr>
            </w:pPr>
            <w:r w:rsidRPr="00813BCB">
              <w:rPr>
                <w:rFonts w:eastAsia="MS Mincho"/>
                <w:u w:val="single"/>
              </w:rPr>
              <w:t>Exclusion</w:t>
            </w:r>
            <w:r w:rsidRPr="00813BCB">
              <w:rPr>
                <w:rFonts w:eastAsia="MS Mincho"/>
              </w:rPr>
              <w:t xml:space="preserve">: family history of a seizure disorder, a history of severe head trauma, predisposition to seizures, a history or current diagnosis of anorexia nervosa or bulimia, the presence of an unstable medical or psychiatric condition, pregnancy, lactation, </w:t>
            </w:r>
            <w:r w:rsidR="00E51730" w:rsidRPr="00813BCB">
              <w:rPr>
                <w:rFonts w:eastAsia="MS Mincho"/>
              </w:rPr>
              <w:t xml:space="preserve">depression, </w:t>
            </w:r>
            <w:r w:rsidRPr="00813BCB">
              <w:rPr>
                <w:rFonts w:eastAsia="MS Mincho"/>
              </w:rPr>
              <w:t xml:space="preserve">a history of dependence on alcohol or a non-nicotine substance within the past year, current use of psychotropic medications, previous use of bupropion, current use of tobacco products other than cigarettes, and current use of any </w:t>
            </w:r>
            <w:r w:rsidR="0006053F" w:rsidRPr="00813BCB">
              <w:rPr>
                <w:rFonts w:eastAsia="MS Mincho"/>
              </w:rPr>
              <w:t>NRT</w:t>
            </w:r>
            <w:r w:rsidRPr="00813BCB">
              <w:rPr>
                <w:rFonts w:eastAsia="MS Mincho"/>
              </w:rPr>
              <w:t>, fluoxetine, clonidine, buspirone, or doxepin.</w:t>
            </w:r>
          </w:p>
        </w:tc>
        <w:tc>
          <w:tcPr>
            <w:tcW w:w="852" w:type="pct"/>
            <w:shd w:val="clear" w:color="auto" w:fill="FFFFFF" w:themeFill="background1"/>
          </w:tcPr>
          <w:p w:rsidR="00A34E7B" w:rsidRPr="00813BCB" w:rsidRDefault="007F28D7" w:rsidP="00BC1C13">
            <w:pPr>
              <w:pStyle w:val="Tablewriting"/>
              <w:rPr>
                <w:rFonts w:eastAsia="MS Mincho"/>
              </w:rPr>
            </w:pPr>
            <w:r w:rsidRPr="00813BCB">
              <w:rPr>
                <w:rFonts w:eastAsia="MS Mincho"/>
              </w:rPr>
              <w:t>Bupropion: 150</w:t>
            </w:r>
            <w:r w:rsidR="00A13509" w:rsidRPr="00813BCB">
              <w:rPr>
                <w:rFonts w:eastAsia="MS Mincho"/>
              </w:rPr>
              <w:t xml:space="preserve"> </w:t>
            </w:r>
            <w:r w:rsidRPr="00813BCB">
              <w:rPr>
                <w:rFonts w:eastAsia="MS Mincho"/>
              </w:rPr>
              <w:t xml:space="preserve">mg </w:t>
            </w:r>
            <w:r w:rsidR="001B0165" w:rsidRPr="00813BCB">
              <w:rPr>
                <w:rFonts w:eastAsia="MS Mincho"/>
              </w:rPr>
              <w:t>once daily</w:t>
            </w:r>
            <w:r w:rsidRPr="00813BCB">
              <w:rPr>
                <w:rFonts w:eastAsia="MS Mincho"/>
              </w:rPr>
              <w:t xml:space="preserve"> Day 1-3, followed by </w:t>
            </w:r>
            <w:r w:rsidR="001B0165" w:rsidRPr="00813BCB">
              <w:rPr>
                <w:rFonts w:eastAsia="MS Mincho"/>
              </w:rPr>
              <w:t>150</w:t>
            </w:r>
            <w:r w:rsidR="00A13509" w:rsidRPr="00813BCB">
              <w:rPr>
                <w:rFonts w:eastAsia="MS Mincho"/>
              </w:rPr>
              <w:t xml:space="preserve"> </w:t>
            </w:r>
            <w:r w:rsidRPr="00813BCB">
              <w:rPr>
                <w:rFonts w:eastAsia="MS Mincho"/>
              </w:rPr>
              <w:t>mg</w:t>
            </w:r>
            <w:r w:rsidR="001B0165" w:rsidRPr="00813BCB">
              <w:rPr>
                <w:rFonts w:eastAsia="MS Mincho"/>
              </w:rPr>
              <w:t xml:space="preserve"> twice</w:t>
            </w:r>
            <w:r w:rsidRPr="00813BCB">
              <w:rPr>
                <w:rFonts w:eastAsia="MS Mincho"/>
              </w:rPr>
              <w:t xml:space="preserve"> daily </w:t>
            </w:r>
            <w:r w:rsidR="008C39E4" w:rsidRPr="00813BCB">
              <w:rPr>
                <w:rFonts w:eastAsia="MS Mincho"/>
              </w:rPr>
              <w:t xml:space="preserve">for </w:t>
            </w:r>
            <w:r w:rsidRPr="00813BCB">
              <w:rPr>
                <w:rFonts w:eastAsia="MS Mincho"/>
              </w:rPr>
              <w:t>7 weeks</w:t>
            </w:r>
            <w:r w:rsidR="00C54FC4" w:rsidRPr="00813BCB">
              <w:rPr>
                <w:rFonts w:eastAsia="MS Mincho"/>
              </w:rPr>
              <w:t xml:space="preserve">; </w:t>
            </w:r>
            <w:r w:rsidRPr="00813BCB">
              <w:rPr>
                <w:rFonts w:eastAsia="MS Mincho"/>
              </w:rPr>
              <w:t>Placebo: placebo tablet for 7 weeks</w:t>
            </w:r>
            <w:r w:rsidR="0097788D" w:rsidRPr="00813BCB">
              <w:rPr>
                <w:rFonts w:eastAsia="MS Mincho"/>
              </w:rPr>
              <w:t>.</w:t>
            </w:r>
          </w:p>
          <w:p w:rsidR="007818BC" w:rsidRPr="00813BCB" w:rsidRDefault="007818BC" w:rsidP="00BC1C13">
            <w:pPr>
              <w:pStyle w:val="Tablewriting"/>
              <w:rPr>
                <w:rFonts w:eastAsia="MS Mincho"/>
              </w:rPr>
            </w:pPr>
          </w:p>
          <w:p w:rsidR="007818BC" w:rsidRPr="00813BCB" w:rsidRDefault="007818BC" w:rsidP="00BC1C13">
            <w:pPr>
              <w:pStyle w:val="Tablewriting"/>
              <w:rPr>
                <w:rFonts w:eastAsia="MS Mincho"/>
              </w:rPr>
            </w:pPr>
            <w:r w:rsidRPr="00813BCB">
              <w:rPr>
                <w:rFonts w:eastAsia="MS Mincho"/>
              </w:rPr>
              <w:t>Behavioural support provided in both arms.</w:t>
            </w:r>
          </w:p>
        </w:tc>
        <w:tc>
          <w:tcPr>
            <w:tcW w:w="1241" w:type="pct"/>
            <w:shd w:val="clear" w:color="auto" w:fill="FFFFFF" w:themeFill="background1"/>
            <w:tcMar>
              <w:left w:w="28" w:type="dxa"/>
              <w:right w:w="28" w:type="dxa"/>
            </w:tcMar>
          </w:tcPr>
          <w:p w:rsidR="00A34E7B" w:rsidRPr="00813BCB" w:rsidRDefault="008C39E4" w:rsidP="00BC1C13">
            <w:pPr>
              <w:pStyle w:val="Tablewriting"/>
              <w:rPr>
                <w:rFonts w:eastAsia="MS Mincho"/>
              </w:rPr>
            </w:pPr>
            <w:r w:rsidRPr="00813BCB">
              <w:rPr>
                <w:rFonts w:eastAsia="MS Mincho"/>
                <w:u w:val="single"/>
              </w:rPr>
              <w:t>Primary</w:t>
            </w:r>
            <w:r w:rsidRPr="00813BCB">
              <w:rPr>
                <w:rFonts w:eastAsia="MS Mincho"/>
              </w:rPr>
              <w:t xml:space="preserve">: </w:t>
            </w:r>
            <w:r w:rsidR="00533B8C" w:rsidRPr="00813BCB">
              <w:rPr>
                <w:rFonts w:eastAsia="MS Mincho"/>
              </w:rPr>
              <w:t xml:space="preserve">7-day </w:t>
            </w:r>
            <w:r w:rsidR="00065C5F" w:rsidRPr="00813BCB">
              <w:rPr>
                <w:rFonts w:eastAsia="MS Mincho"/>
              </w:rPr>
              <w:t>PPA</w:t>
            </w:r>
            <w:r w:rsidRPr="00813BCB">
              <w:rPr>
                <w:rFonts w:eastAsia="MS Mincho"/>
              </w:rPr>
              <w:t xml:space="preserve"> and </w:t>
            </w:r>
            <w:r w:rsidR="00065C5F" w:rsidRPr="00813BCB">
              <w:rPr>
                <w:rFonts w:eastAsia="MS Mincho"/>
              </w:rPr>
              <w:t>CAR</w:t>
            </w:r>
            <w:r w:rsidRPr="00813BCB">
              <w:rPr>
                <w:rFonts w:eastAsia="MS Mincho"/>
              </w:rPr>
              <w:t xml:space="preserve"> at Week 6, 3 months, 6 months and 12 months.</w:t>
            </w:r>
            <w:r w:rsidR="008948D6" w:rsidRPr="00813BCB">
              <w:rPr>
                <w:rFonts w:eastAsia="MS Mincho"/>
              </w:rPr>
              <w:t xml:space="preserve"> Validated by CO</w:t>
            </w:r>
            <w:r w:rsidR="0092547F" w:rsidRPr="00813BCB">
              <w:rPr>
                <w:rFonts w:eastAsia="MS Mincho"/>
              </w:rPr>
              <w:t xml:space="preserve"> </w:t>
            </w:r>
            <w:r w:rsidR="008948D6" w:rsidRPr="00813BCB">
              <w:rPr>
                <w:rFonts w:eastAsia="MS Mincho"/>
              </w:rPr>
              <w:t>≤10</w:t>
            </w:r>
            <w:r w:rsidR="00621153" w:rsidRPr="00813BCB">
              <w:rPr>
                <w:rFonts w:eastAsia="MS Mincho"/>
              </w:rPr>
              <w:t xml:space="preserve"> </w:t>
            </w:r>
            <w:r w:rsidR="008948D6" w:rsidRPr="00813BCB">
              <w:rPr>
                <w:rFonts w:eastAsia="MS Mincho"/>
              </w:rPr>
              <w:t>ppm.</w:t>
            </w:r>
          </w:p>
          <w:p w:rsidR="008C39E4" w:rsidRPr="00813BCB" w:rsidRDefault="008C39E4" w:rsidP="00BC1C13">
            <w:pPr>
              <w:pStyle w:val="Tablewriting"/>
              <w:rPr>
                <w:rFonts w:eastAsia="MS Mincho"/>
              </w:rPr>
            </w:pPr>
            <w:r w:rsidRPr="00813BCB">
              <w:rPr>
                <w:rFonts w:eastAsia="MS Mincho"/>
                <w:u w:val="single"/>
              </w:rPr>
              <w:t>Secondary</w:t>
            </w:r>
            <w:r w:rsidRPr="00813BCB">
              <w:rPr>
                <w:rFonts w:eastAsia="MS Mincho"/>
              </w:rPr>
              <w:t>: withdrawal symptoms, body weight, and B</w:t>
            </w:r>
            <w:r w:rsidR="00BC110D" w:rsidRPr="00813BCB">
              <w:rPr>
                <w:rFonts w:eastAsia="MS Mincho"/>
              </w:rPr>
              <w:t>DI</w:t>
            </w:r>
            <w:r w:rsidRPr="00813BCB">
              <w:rPr>
                <w:rFonts w:eastAsia="MS Mincho"/>
              </w:rPr>
              <w:t xml:space="preserve"> scores.</w:t>
            </w:r>
          </w:p>
        </w:tc>
      </w:tr>
      <w:tr w:rsidR="002D3FD2" w:rsidRPr="00061F78" w:rsidTr="00813BCB">
        <w:trPr>
          <w:trHeight w:val="99"/>
        </w:trPr>
        <w:tc>
          <w:tcPr>
            <w:tcW w:w="255" w:type="pct"/>
            <w:shd w:val="clear" w:color="auto" w:fill="FFFFFF" w:themeFill="background1"/>
            <w:tcMar>
              <w:left w:w="28" w:type="dxa"/>
              <w:right w:w="28" w:type="dxa"/>
            </w:tcMar>
          </w:tcPr>
          <w:p w:rsidR="00A34E7B" w:rsidRPr="00813BCB" w:rsidRDefault="00A34E7B" w:rsidP="00BC1C13">
            <w:pPr>
              <w:pStyle w:val="Tablewriting"/>
              <w:rPr>
                <w:rFonts w:eastAsia="MS Mincho"/>
              </w:rPr>
            </w:pPr>
            <w:r w:rsidRPr="00813BCB">
              <w:rPr>
                <w:rFonts w:eastAsia="MS Mincho"/>
              </w:rPr>
              <w:t>Jorenby (1999)</w:t>
            </w:r>
            <w:r w:rsidR="002D3FD2" w:rsidRPr="00813BCB">
              <w:rPr>
                <w:rFonts w:eastAsia="MS Mincho"/>
              </w:rPr>
              <w:t xml:space="preserve"> </w:t>
            </w:r>
          </w:p>
        </w:tc>
        <w:tc>
          <w:tcPr>
            <w:tcW w:w="412" w:type="pct"/>
            <w:shd w:val="clear" w:color="auto" w:fill="FFFFFF" w:themeFill="background1"/>
          </w:tcPr>
          <w:p w:rsidR="00A34E7B" w:rsidRPr="00813BCB" w:rsidRDefault="00A34E7B" w:rsidP="00BC1C13">
            <w:pPr>
              <w:pStyle w:val="Tablewriting"/>
              <w:rPr>
                <w:rFonts w:eastAsia="MS Mincho"/>
              </w:rPr>
            </w:pPr>
            <w:r w:rsidRPr="00813BCB">
              <w:rPr>
                <w:rFonts w:eastAsia="MS Mincho"/>
              </w:rPr>
              <w:t>RCT</w:t>
            </w:r>
          </w:p>
        </w:tc>
        <w:tc>
          <w:tcPr>
            <w:tcW w:w="359" w:type="pct"/>
            <w:shd w:val="clear" w:color="auto" w:fill="FFFFFF" w:themeFill="background1"/>
            <w:tcMar>
              <w:left w:w="28" w:type="dxa"/>
              <w:right w:w="28" w:type="dxa"/>
            </w:tcMar>
          </w:tcPr>
          <w:p w:rsidR="00A34E7B" w:rsidRPr="00813BCB" w:rsidRDefault="00A34E7B" w:rsidP="00BC1C13">
            <w:pPr>
              <w:pStyle w:val="Tablewriting"/>
              <w:rPr>
                <w:rFonts w:eastAsia="MS Mincho"/>
              </w:rPr>
            </w:pPr>
            <w:r w:rsidRPr="00813BCB">
              <w:rPr>
                <w:rFonts w:eastAsia="MS Mincho"/>
              </w:rPr>
              <w:t>N=893</w:t>
            </w:r>
          </w:p>
          <w:p w:rsidR="00A34E7B" w:rsidRPr="00813BCB" w:rsidRDefault="00A34E7B" w:rsidP="00BC1C13">
            <w:pPr>
              <w:pStyle w:val="Tablewriting"/>
              <w:rPr>
                <w:rFonts w:eastAsia="MS Mincho"/>
              </w:rPr>
            </w:pPr>
            <w:r w:rsidRPr="00813BCB">
              <w:rPr>
                <w:rFonts w:eastAsia="MS Mincho"/>
              </w:rPr>
              <w:t>Bupropion (n=244)</w:t>
            </w:r>
            <w:r w:rsidR="007F28D7" w:rsidRPr="00813BCB">
              <w:rPr>
                <w:rFonts w:eastAsia="MS Mincho"/>
              </w:rPr>
              <w:t>,</w:t>
            </w:r>
          </w:p>
          <w:p w:rsidR="00A34E7B" w:rsidRPr="00813BCB" w:rsidRDefault="00A34E7B" w:rsidP="00BC1C13">
            <w:pPr>
              <w:pStyle w:val="Tablewriting"/>
              <w:rPr>
                <w:rFonts w:eastAsia="MS Mincho"/>
              </w:rPr>
            </w:pPr>
            <w:r w:rsidRPr="00813BCB">
              <w:rPr>
                <w:rFonts w:eastAsia="MS Mincho"/>
              </w:rPr>
              <w:t>Placebo (n=16</w:t>
            </w:r>
            <w:r w:rsidR="007F28D7" w:rsidRPr="00813BCB">
              <w:rPr>
                <w:rFonts w:eastAsia="MS Mincho"/>
              </w:rPr>
              <w:t>0</w:t>
            </w:r>
            <w:r w:rsidRPr="00813BCB">
              <w:rPr>
                <w:rFonts w:eastAsia="MS Mincho"/>
              </w:rPr>
              <w:t>)</w:t>
            </w:r>
          </w:p>
        </w:tc>
        <w:tc>
          <w:tcPr>
            <w:tcW w:w="1882" w:type="pct"/>
            <w:shd w:val="clear" w:color="auto" w:fill="FFFFFF" w:themeFill="background1"/>
            <w:tcMar>
              <w:left w:w="28" w:type="dxa"/>
              <w:right w:w="28" w:type="dxa"/>
            </w:tcMar>
          </w:tcPr>
          <w:p w:rsidR="00A34E7B" w:rsidRPr="00813BCB" w:rsidRDefault="00A34E7B" w:rsidP="00BC1C13">
            <w:pPr>
              <w:pStyle w:val="Tablewriting"/>
              <w:rPr>
                <w:rFonts w:eastAsia="MS Mincho"/>
              </w:rPr>
            </w:pPr>
            <w:r w:rsidRPr="00813BCB">
              <w:rPr>
                <w:rFonts w:eastAsia="MS Mincho"/>
                <w:u w:val="single"/>
              </w:rPr>
              <w:t>Inclusion</w:t>
            </w:r>
            <w:r w:rsidRPr="00813BCB">
              <w:rPr>
                <w:rFonts w:eastAsia="MS Mincho"/>
              </w:rPr>
              <w:t xml:space="preserve">: ≥18 years old, </w:t>
            </w:r>
            <w:r w:rsidR="009D5CD5" w:rsidRPr="00813BCB">
              <w:rPr>
                <w:rFonts w:eastAsia="MS Mincho"/>
              </w:rPr>
              <w:t>≥</w:t>
            </w:r>
            <w:r w:rsidRPr="00813BCB">
              <w:rPr>
                <w:rFonts w:eastAsia="MS Mincho"/>
              </w:rPr>
              <w:t>15 cigarettes per day, weigh at least 45.4 kg, motivated to quit smoking</w:t>
            </w:r>
            <w:r w:rsidR="002C19B4" w:rsidRPr="00813BCB">
              <w:rPr>
                <w:rFonts w:eastAsia="MS Mincho"/>
              </w:rPr>
              <w:t>.</w:t>
            </w:r>
          </w:p>
          <w:p w:rsidR="00A34E7B" w:rsidRPr="00813BCB" w:rsidRDefault="00A34E7B" w:rsidP="00BC1C13">
            <w:pPr>
              <w:pStyle w:val="Tablewriting"/>
              <w:rPr>
                <w:rFonts w:eastAsia="MS Mincho"/>
              </w:rPr>
            </w:pPr>
            <w:r w:rsidRPr="00813BCB">
              <w:rPr>
                <w:rFonts w:eastAsia="MS Mincho"/>
                <w:u w:val="single"/>
              </w:rPr>
              <w:t>Exclusion</w:t>
            </w:r>
            <w:r w:rsidRPr="00813BCB">
              <w:rPr>
                <w:rFonts w:eastAsia="MS Mincho"/>
              </w:rPr>
              <w:t xml:space="preserve">: serious or unstable cardiac, renal, hypertensive, pulmonary, endocrine, or neurologic disorders; ulcers; seizure or dermatologic disorders; a current diagnosis of major depressive episode or a history of panic disorder, psychosis, bipolar disorder, or eating disorders; use of a </w:t>
            </w:r>
            <w:r w:rsidR="0006053F" w:rsidRPr="00813BCB">
              <w:rPr>
                <w:rFonts w:eastAsia="MS Mincho"/>
              </w:rPr>
              <w:t>NRT</w:t>
            </w:r>
            <w:r w:rsidRPr="00813BCB">
              <w:rPr>
                <w:rFonts w:eastAsia="MS Mincho"/>
              </w:rPr>
              <w:t xml:space="preserve"> within six months before study enrolment; pregnancy or lactation; abuse of alcohol or a non–nicotine-containing drug within the preceding year; use of a psychoactive drug within the week before enrolment; use of an investigational drug within the month before enrolment; prior use of bupropion; current use of other smoking-cessation treatments; and regular use of any non-cigarette tobacco product.</w:t>
            </w:r>
          </w:p>
        </w:tc>
        <w:tc>
          <w:tcPr>
            <w:tcW w:w="852" w:type="pct"/>
            <w:shd w:val="clear" w:color="auto" w:fill="FFFFFF" w:themeFill="background1"/>
          </w:tcPr>
          <w:p w:rsidR="00A34E7B" w:rsidRPr="00813BCB" w:rsidRDefault="00A34E7B" w:rsidP="00BC1C13">
            <w:pPr>
              <w:pStyle w:val="Tablewriting"/>
              <w:rPr>
                <w:rFonts w:eastAsia="MS Mincho"/>
              </w:rPr>
            </w:pPr>
            <w:r w:rsidRPr="00813BCB">
              <w:rPr>
                <w:rFonts w:eastAsia="MS Mincho"/>
              </w:rPr>
              <w:t>Bupropion: 150</w:t>
            </w:r>
            <w:r w:rsidR="00A13509" w:rsidRPr="00813BCB">
              <w:rPr>
                <w:rFonts w:eastAsia="MS Mincho"/>
              </w:rPr>
              <w:t xml:space="preserve"> </w:t>
            </w:r>
            <w:r w:rsidRPr="00813BCB">
              <w:rPr>
                <w:rFonts w:eastAsia="MS Mincho"/>
              </w:rPr>
              <w:t xml:space="preserve">mg </w:t>
            </w:r>
            <w:r w:rsidR="001B0165" w:rsidRPr="00813BCB">
              <w:rPr>
                <w:rFonts w:eastAsia="MS Mincho"/>
              </w:rPr>
              <w:t xml:space="preserve">once daily </w:t>
            </w:r>
            <w:r w:rsidRPr="00813BCB">
              <w:rPr>
                <w:rFonts w:eastAsia="MS Mincho"/>
              </w:rPr>
              <w:t>Day 1-3</w:t>
            </w:r>
            <w:r w:rsidR="001B0165" w:rsidRPr="00813BCB">
              <w:rPr>
                <w:rFonts w:eastAsia="MS Mincho"/>
              </w:rPr>
              <w:t>, followed by 150</w:t>
            </w:r>
            <w:r w:rsidR="00A13509" w:rsidRPr="00813BCB">
              <w:rPr>
                <w:rFonts w:eastAsia="MS Mincho"/>
              </w:rPr>
              <w:t xml:space="preserve"> </w:t>
            </w:r>
            <w:r w:rsidR="001B0165" w:rsidRPr="00813BCB">
              <w:rPr>
                <w:rFonts w:eastAsia="MS Mincho"/>
              </w:rPr>
              <w:t>mg twice daily</w:t>
            </w:r>
            <w:r w:rsidRPr="00813BCB">
              <w:rPr>
                <w:rFonts w:eastAsia="MS Mincho"/>
              </w:rPr>
              <w:t xml:space="preserve"> Day 4-63</w:t>
            </w:r>
            <w:r w:rsidR="00452CD3" w:rsidRPr="00813BCB">
              <w:rPr>
                <w:rFonts w:eastAsia="MS Mincho"/>
              </w:rPr>
              <w:t xml:space="preserve"> (9 weeks)</w:t>
            </w:r>
            <w:r w:rsidR="00631447" w:rsidRPr="00813BCB">
              <w:rPr>
                <w:rFonts w:eastAsia="MS Mincho"/>
              </w:rPr>
              <w:t xml:space="preserve">; </w:t>
            </w:r>
            <w:r w:rsidRPr="00813BCB">
              <w:rPr>
                <w:rFonts w:eastAsia="MS Mincho"/>
              </w:rPr>
              <w:t>Placebo: placebo tablet Day 1-63</w:t>
            </w:r>
            <w:r w:rsidR="00452CD3" w:rsidRPr="00813BCB">
              <w:rPr>
                <w:rFonts w:eastAsia="MS Mincho"/>
              </w:rPr>
              <w:t xml:space="preserve"> (9 weeks)</w:t>
            </w:r>
            <w:r w:rsidR="0097788D" w:rsidRPr="00813BCB">
              <w:rPr>
                <w:rFonts w:eastAsia="MS Mincho"/>
              </w:rPr>
              <w:t>.</w:t>
            </w:r>
          </w:p>
          <w:p w:rsidR="00BF38EB" w:rsidRPr="00813BCB" w:rsidRDefault="00BF38EB" w:rsidP="00BC1C13">
            <w:pPr>
              <w:pStyle w:val="Tablewriting"/>
              <w:rPr>
                <w:rFonts w:eastAsia="MS Mincho"/>
              </w:rPr>
            </w:pPr>
          </w:p>
          <w:p w:rsidR="00BF38EB" w:rsidRPr="00813BCB" w:rsidRDefault="00BF38EB" w:rsidP="00BC1C13">
            <w:pPr>
              <w:pStyle w:val="Tablewriting"/>
              <w:rPr>
                <w:rFonts w:eastAsia="MS Mincho"/>
              </w:rPr>
            </w:pPr>
            <w:r w:rsidRPr="00813BCB">
              <w:rPr>
                <w:rFonts w:eastAsia="MS Mincho"/>
              </w:rPr>
              <w:t>Behavioural support provided in both arms.</w:t>
            </w:r>
          </w:p>
        </w:tc>
        <w:tc>
          <w:tcPr>
            <w:tcW w:w="1241" w:type="pct"/>
            <w:shd w:val="clear" w:color="auto" w:fill="FFFFFF" w:themeFill="background1"/>
            <w:tcMar>
              <w:left w:w="28" w:type="dxa"/>
              <w:right w:w="28" w:type="dxa"/>
            </w:tcMar>
          </w:tcPr>
          <w:p w:rsidR="00A34E7B" w:rsidRPr="00813BCB" w:rsidRDefault="00A34E7B" w:rsidP="00BC1C13">
            <w:pPr>
              <w:pStyle w:val="Tablewriting"/>
              <w:rPr>
                <w:rFonts w:eastAsia="MS Mincho"/>
              </w:rPr>
            </w:pPr>
            <w:r w:rsidRPr="00813BCB">
              <w:rPr>
                <w:rFonts w:eastAsia="MS Mincho"/>
                <w:u w:val="single"/>
              </w:rPr>
              <w:t>Primary</w:t>
            </w:r>
            <w:r w:rsidRPr="00813BCB">
              <w:rPr>
                <w:rFonts w:eastAsia="MS Mincho"/>
              </w:rPr>
              <w:t xml:space="preserve">: </w:t>
            </w:r>
            <w:r w:rsidR="00533B8C" w:rsidRPr="00813BCB">
              <w:rPr>
                <w:rFonts w:eastAsia="MS Mincho"/>
              </w:rPr>
              <w:t xml:space="preserve">7-day </w:t>
            </w:r>
            <w:r w:rsidR="00B772D2" w:rsidRPr="00813BCB">
              <w:rPr>
                <w:rFonts w:eastAsia="MS Mincho"/>
              </w:rPr>
              <w:t>PPA</w:t>
            </w:r>
            <w:r w:rsidRPr="00813BCB">
              <w:rPr>
                <w:rFonts w:eastAsia="MS Mincho"/>
              </w:rPr>
              <w:t xml:space="preserve"> at 6 and 12 months of follow-up.</w:t>
            </w:r>
            <w:r w:rsidR="007E2A23" w:rsidRPr="00813BCB">
              <w:rPr>
                <w:rFonts w:eastAsia="MS Mincho"/>
              </w:rPr>
              <w:t xml:space="preserve"> </w:t>
            </w:r>
            <w:r w:rsidR="004416EF" w:rsidRPr="00813BCB">
              <w:rPr>
                <w:rFonts w:eastAsia="MS Mincho"/>
              </w:rPr>
              <w:t xml:space="preserve">CAR at all clinic visits over 12 months. </w:t>
            </w:r>
            <w:r w:rsidR="007E2A23" w:rsidRPr="00813BCB">
              <w:rPr>
                <w:rFonts w:eastAsia="MS Mincho"/>
              </w:rPr>
              <w:t>Validated by CO</w:t>
            </w:r>
            <w:r w:rsidR="0092547F" w:rsidRPr="00813BCB">
              <w:rPr>
                <w:rFonts w:eastAsia="MS Mincho"/>
              </w:rPr>
              <w:t xml:space="preserve"> </w:t>
            </w:r>
            <w:r w:rsidR="00C42C93" w:rsidRPr="00813BCB">
              <w:rPr>
                <w:rFonts w:eastAsia="MS Mincho"/>
              </w:rPr>
              <w:t>≤</w:t>
            </w:r>
            <w:r w:rsidR="007E2A23" w:rsidRPr="00813BCB">
              <w:rPr>
                <w:rFonts w:eastAsia="MS Mincho"/>
              </w:rPr>
              <w:t>10</w:t>
            </w:r>
            <w:r w:rsidR="008C5D20" w:rsidRPr="00813BCB">
              <w:rPr>
                <w:rFonts w:eastAsia="MS Mincho"/>
              </w:rPr>
              <w:t xml:space="preserve"> </w:t>
            </w:r>
            <w:r w:rsidR="007E2A23" w:rsidRPr="00813BCB">
              <w:rPr>
                <w:rFonts w:eastAsia="MS Mincho"/>
              </w:rPr>
              <w:t>ppm.</w:t>
            </w:r>
          </w:p>
          <w:p w:rsidR="00A34E7B" w:rsidRPr="00813BCB" w:rsidRDefault="00A34E7B" w:rsidP="00BC1C13">
            <w:pPr>
              <w:pStyle w:val="Tablewriting"/>
              <w:rPr>
                <w:rFonts w:eastAsia="MS Mincho"/>
              </w:rPr>
            </w:pPr>
            <w:r w:rsidRPr="00813BCB">
              <w:rPr>
                <w:rFonts w:eastAsia="MS Mincho"/>
                <w:u w:val="single"/>
              </w:rPr>
              <w:t>Secondary</w:t>
            </w:r>
            <w:r w:rsidRPr="00813BCB">
              <w:rPr>
                <w:rFonts w:eastAsia="MS Mincho"/>
              </w:rPr>
              <w:t>: withdrawal symptoms, body weight, and B</w:t>
            </w:r>
            <w:r w:rsidR="004416EF" w:rsidRPr="00813BCB">
              <w:rPr>
                <w:rFonts w:eastAsia="MS Mincho"/>
              </w:rPr>
              <w:t>DI</w:t>
            </w:r>
            <w:r w:rsidRPr="00813BCB">
              <w:rPr>
                <w:rFonts w:eastAsia="MS Mincho"/>
              </w:rPr>
              <w:t xml:space="preserve"> scores.</w:t>
            </w:r>
          </w:p>
        </w:tc>
      </w:tr>
      <w:tr w:rsidR="002D3FD2" w:rsidRPr="00061F78" w:rsidTr="0062206C">
        <w:trPr>
          <w:trHeight w:val="149"/>
        </w:trPr>
        <w:tc>
          <w:tcPr>
            <w:tcW w:w="255" w:type="pct"/>
            <w:tcMar>
              <w:left w:w="28" w:type="dxa"/>
              <w:right w:w="28" w:type="dxa"/>
            </w:tcMar>
          </w:tcPr>
          <w:p w:rsidR="00A34E7B" w:rsidRPr="00D07303" w:rsidRDefault="00A34E7B" w:rsidP="00BC1C13">
            <w:pPr>
              <w:pStyle w:val="Tablewriting"/>
              <w:rPr>
                <w:rFonts w:eastAsia="MS Mincho"/>
                <w:vertAlign w:val="superscript"/>
              </w:rPr>
            </w:pPr>
            <w:r>
              <w:rPr>
                <w:rFonts w:eastAsia="MS Mincho"/>
              </w:rPr>
              <w:t>Howes</w:t>
            </w:r>
            <w:r w:rsidRPr="00061F78">
              <w:rPr>
                <w:rFonts w:eastAsia="MS Mincho"/>
              </w:rPr>
              <w:t xml:space="preserve"> (20</w:t>
            </w:r>
            <w:r>
              <w:rPr>
                <w:rFonts w:eastAsia="MS Mincho"/>
              </w:rPr>
              <w:t>20</w:t>
            </w:r>
            <w:r w:rsidRPr="00061F78">
              <w:rPr>
                <w:rFonts w:eastAsia="MS Mincho"/>
              </w:rPr>
              <w:t>)</w:t>
            </w:r>
            <w:r w:rsidR="002D3FD2" w:rsidRPr="00D07303">
              <w:rPr>
                <w:rFonts w:eastAsia="MS Mincho"/>
                <w:vertAlign w:val="superscript"/>
              </w:rPr>
              <w:t xml:space="preserve"> </w:t>
            </w:r>
          </w:p>
        </w:tc>
        <w:tc>
          <w:tcPr>
            <w:tcW w:w="412" w:type="pct"/>
          </w:tcPr>
          <w:p w:rsidR="00A34E7B" w:rsidRDefault="00A34E7B" w:rsidP="00BC1C13">
            <w:pPr>
              <w:pStyle w:val="Tablewriting"/>
              <w:rPr>
                <w:rFonts w:eastAsia="MS Mincho"/>
              </w:rPr>
            </w:pPr>
            <w:r>
              <w:rPr>
                <w:rFonts w:eastAsia="MS Mincho"/>
              </w:rPr>
              <w:t xml:space="preserve">Cochrane </w:t>
            </w:r>
            <w:r w:rsidR="000A7768">
              <w:rPr>
                <w:rFonts w:eastAsia="MS Mincho"/>
              </w:rPr>
              <w:t>R</w:t>
            </w:r>
            <w:r>
              <w:rPr>
                <w:rFonts w:eastAsia="MS Mincho"/>
              </w:rPr>
              <w:t>eview    (46 RCTs</w:t>
            </w:r>
            <w:r w:rsidR="00AB145F" w:rsidRPr="00AB145F">
              <w:rPr>
                <w:rFonts w:eastAsia="MS Mincho"/>
                <w:vertAlign w:val="superscript"/>
              </w:rPr>
              <w:t>2</w:t>
            </w:r>
            <w:r>
              <w:rPr>
                <w:rFonts w:eastAsia="MS Mincho"/>
              </w:rPr>
              <w:t>)</w:t>
            </w:r>
          </w:p>
        </w:tc>
        <w:tc>
          <w:tcPr>
            <w:tcW w:w="359" w:type="pct"/>
            <w:tcMar>
              <w:left w:w="28" w:type="dxa"/>
              <w:right w:w="28" w:type="dxa"/>
            </w:tcMar>
          </w:tcPr>
          <w:p w:rsidR="008C39E4" w:rsidRDefault="008C39E4" w:rsidP="00BC1C13">
            <w:pPr>
              <w:pStyle w:val="Tablewriting"/>
              <w:rPr>
                <w:rFonts w:eastAsia="MS Mincho"/>
              </w:rPr>
            </w:pPr>
            <w:r>
              <w:rPr>
                <w:rFonts w:eastAsia="MS Mincho"/>
              </w:rPr>
              <w:t>N=17,866</w:t>
            </w:r>
          </w:p>
          <w:p w:rsidR="008C39E4" w:rsidRDefault="008C39E4" w:rsidP="00BC1C13">
            <w:pPr>
              <w:pStyle w:val="Tablewriting"/>
              <w:rPr>
                <w:rFonts w:eastAsia="MS Mincho"/>
              </w:rPr>
            </w:pPr>
            <w:r>
              <w:rPr>
                <w:rFonts w:eastAsia="MS Mincho"/>
              </w:rPr>
              <w:t>Bupropion (n=9,714),</w:t>
            </w:r>
          </w:p>
          <w:p w:rsidR="00A34E7B" w:rsidRPr="00061F78" w:rsidRDefault="008C39E4" w:rsidP="00BC1C13">
            <w:pPr>
              <w:pStyle w:val="Tablewriting"/>
              <w:rPr>
                <w:rFonts w:eastAsia="MS Mincho"/>
              </w:rPr>
            </w:pPr>
            <w:r>
              <w:rPr>
                <w:rFonts w:eastAsia="MS Mincho"/>
              </w:rPr>
              <w:t>Placebo (n=8,152)</w:t>
            </w:r>
          </w:p>
        </w:tc>
        <w:tc>
          <w:tcPr>
            <w:tcW w:w="1882" w:type="pct"/>
            <w:tcMar>
              <w:left w:w="28" w:type="dxa"/>
              <w:right w:w="28" w:type="dxa"/>
            </w:tcMar>
          </w:tcPr>
          <w:p w:rsidR="002C19B4" w:rsidRDefault="002C19B4" w:rsidP="00BC1C13">
            <w:pPr>
              <w:pStyle w:val="Tablewriting"/>
              <w:rPr>
                <w:rFonts w:eastAsia="MS Mincho"/>
              </w:rPr>
            </w:pPr>
            <w:r w:rsidRPr="002C19B4">
              <w:rPr>
                <w:rFonts w:eastAsia="MS Mincho"/>
                <w:u w:val="single"/>
              </w:rPr>
              <w:t>Inclusion</w:t>
            </w:r>
            <w:r>
              <w:rPr>
                <w:rFonts w:eastAsia="MS Mincho"/>
              </w:rPr>
              <w:t>: t</w:t>
            </w:r>
            <w:r w:rsidRPr="002C19B4">
              <w:rPr>
                <w:rFonts w:eastAsia="MS Mincho"/>
              </w:rPr>
              <w:t>obacco smokers of any age, with or without a history</w:t>
            </w:r>
            <w:r>
              <w:rPr>
                <w:rFonts w:eastAsia="MS Mincho"/>
              </w:rPr>
              <w:t xml:space="preserve"> </w:t>
            </w:r>
            <w:r w:rsidRPr="002C19B4">
              <w:rPr>
                <w:rFonts w:eastAsia="MS Mincho"/>
              </w:rPr>
              <w:t>of mental illness.</w:t>
            </w:r>
          </w:p>
          <w:p w:rsidR="00A34E7B" w:rsidRPr="00061F78" w:rsidRDefault="002C19B4" w:rsidP="00BC1C13">
            <w:pPr>
              <w:pStyle w:val="Tablewriting"/>
              <w:rPr>
                <w:rFonts w:eastAsia="MS Mincho"/>
              </w:rPr>
            </w:pPr>
            <w:r w:rsidRPr="002C19B4">
              <w:rPr>
                <w:rFonts w:eastAsia="MS Mincho"/>
                <w:u w:val="single"/>
              </w:rPr>
              <w:t>Exclusion</w:t>
            </w:r>
            <w:r>
              <w:rPr>
                <w:rFonts w:eastAsia="MS Mincho"/>
              </w:rPr>
              <w:t>: p</w:t>
            </w:r>
            <w:r w:rsidRPr="002C19B4">
              <w:rPr>
                <w:rFonts w:eastAsia="MS Mincho"/>
              </w:rPr>
              <w:t>regnant women</w:t>
            </w:r>
            <w:r w:rsidR="00593CA5">
              <w:rPr>
                <w:rFonts w:eastAsia="MS Mincho"/>
              </w:rPr>
              <w:t xml:space="preserve"> and</w:t>
            </w:r>
            <w:r w:rsidR="00593CA5">
              <w:t xml:space="preserve"> </w:t>
            </w:r>
            <w:r w:rsidR="00593CA5" w:rsidRPr="00593CA5">
              <w:rPr>
                <w:rFonts w:eastAsia="MS Mincho"/>
              </w:rPr>
              <w:t>trials investigating use for smoking harm reduction</w:t>
            </w:r>
            <w:r w:rsidR="00593CA5">
              <w:rPr>
                <w:rFonts w:eastAsia="MS Mincho"/>
              </w:rPr>
              <w:t xml:space="preserve"> </w:t>
            </w:r>
            <w:r w:rsidR="00593CA5" w:rsidRPr="00593CA5">
              <w:rPr>
                <w:rFonts w:eastAsia="MS Mincho"/>
              </w:rPr>
              <w:t>or relapse prevention</w:t>
            </w:r>
            <w:r w:rsidR="00593CA5">
              <w:rPr>
                <w:rFonts w:eastAsia="MS Mincho"/>
              </w:rPr>
              <w:t>.</w:t>
            </w:r>
          </w:p>
        </w:tc>
        <w:tc>
          <w:tcPr>
            <w:tcW w:w="852" w:type="pct"/>
          </w:tcPr>
          <w:p w:rsidR="005B2A6C" w:rsidRPr="00061F78" w:rsidRDefault="006E61FA" w:rsidP="00BC1C13">
            <w:pPr>
              <w:pStyle w:val="Tablewriting"/>
              <w:rPr>
                <w:rFonts w:eastAsia="MS Mincho"/>
              </w:rPr>
            </w:pPr>
            <w:r>
              <w:rPr>
                <w:rFonts w:eastAsia="MS Mincho"/>
              </w:rPr>
              <w:t>Bupropion: 150</w:t>
            </w:r>
            <w:r w:rsidR="00A13509">
              <w:rPr>
                <w:rFonts w:eastAsia="MS Mincho"/>
              </w:rPr>
              <w:t xml:space="preserve"> </w:t>
            </w:r>
            <w:r>
              <w:rPr>
                <w:rFonts w:eastAsia="MS Mincho"/>
              </w:rPr>
              <w:t>mg twice daily including titration (i.e. 150</w:t>
            </w:r>
            <w:r w:rsidR="00A13509">
              <w:rPr>
                <w:rFonts w:eastAsia="MS Mincho"/>
              </w:rPr>
              <w:t xml:space="preserve"> </w:t>
            </w:r>
            <w:r>
              <w:rPr>
                <w:rFonts w:eastAsia="MS Mincho"/>
              </w:rPr>
              <w:t>mg once daily for 3 days, then 150</w:t>
            </w:r>
            <w:r w:rsidR="00A13509">
              <w:rPr>
                <w:rFonts w:eastAsia="MS Mincho"/>
              </w:rPr>
              <w:t xml:space="preserve"> </w:t>
            </w:r>
            <w:r>
              <w:rPr>
                <w:rFonts w:eastAsia="MS Mincho"/>
              </w:rPr>
              <w:t>mg twice daily)</w:t>
            </w:r>
            <w:r w:rsidR="00631447">
              <w:rPr>
                <w:rFonts w:eastAsia="MS Mincho"/>
              </w:rPr>
              <w:t xml:space="preserve">; </w:t>
            </w:r>
            <w:r w:rsidR="005B2A6C">
              <w:rPr>
                <w:rFonts w:eastAsia="MS Mincho"/>
              </w:rPr>
              <w:t>Placebo: placebo tablets</w:t>
            </w:r>
            <w:r w:rsidR="001B0165">
              <w:rPr>
                <w:rFonts w:eastAsia="MS Mincho"/>
              </w:rPr>
              <w:t>, same regimen</w:t>
            </w:r>
            <w:r w:rsidR="0097788D">
              <w:rPr>
                <w:rFonts w:eastAsia="MS Mincho"/>
              </w:rPr>
              <w:t>.</w:t>
            </w:r>
          </w:p>
        </w:tc>
        <w:tc>
          <w:tcPr>
            <w:tcW w:w="1241" w:type="pct"/>
            <w:tcMar>
              <w:left w:w="28" w:type="dxa"/>
              <w:right w:w="28" w:type="dxa"/>
            </w:tcMar>
          </w:tcPr>
          <w:p w:rsidR="00A34E7B" w:rsidRDefault="002C19B4" w:rsidP="00BC1C13">
            <w:pPr>
              <w:pStyle w:val="Tablewriting"/>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sidR="00817821">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97788D">
              <w:rPr>
                <w:rFonts w:eastAsia="MS Mincho"/>
              </w:rPr>
              <w:t>.</w:t>
            </w:r>
          </w:p>
          <w:p w:rsidR="002C19B4" w:rsidRPr="00061F78" w:rsidRDefault="002C19B4" w:rsidP="00BC1C13">
            <w:pPr>
              <w:pStyle w:val="Tablewriting"/>
              <w:rPr>
                <w:rFonts w:eastAsia="MS Mincho"/>
              </w:rPr>
            </w:pPr>
            <w:r w:rsidRPr="0036499C">
              <w:rPr>
                <w:rFonts w:eastAsia="MS Mincho"/>
                <w:u w:val="single"/>
              </w:rPr>
              <w:t>Secondary</w:t>
            </w:r>
            <w:r>
              <w:rPr>
                <w:rFonts w:eastAsia="MS Mincho"/>
              </w:rPr>
              <w:t>: safety including any adverse events, psychiatric adverse events, serious adverse events and dropouts due to adverse events</w:t>
            </w:r>
            <w:r w:rsidR="0097788D">
              <w:rPr>
                <w:rFonts w:eastAsia="MS Mincho"/>
              </w:rPr>
              <w:t>.</w:t>
            </w:r>
          </w:p>
        </w:tc>
      </w:tr>
      <w:tr w:rsidR="002D3FD2" w:rsidRPr="00061F78" w:rsidTr="0062206C">
        <w:trPr>
          <w:trHeight w:val="149"/>
        </w:trPr>
        <w:tc>
          <w:tcPr>
            <w:tcW w:w="255" w:type="pct"/>
            <w:tcMar>
              <w:left w:w="28" w:type="dxa"/>
              <w:right w:w="28" w:type="dxa"/>
            </w:tcMar>
          </w:tcPr>
          <w:p w:rsidR="0062206C" w:rsidRDefault="0062206C" w:rsidP="00BC1C13">
            <w:pPr>
              <w:pStyle w:val="Tablewriting"/>
              <w:rPr>
                <w:rFonts w:eastAsia="MS Mincho"/>
              </w:rPr>
            </w:pPr>
            <w:r>
              <w:rPr>
                <w:rFonts w:eastAsia="MS Mincho"/>
              </w:rPr>
              <w:lastRenderedPageBreak/>
              <w:t>Benowitz (2018)</w:t>
            </w:r>
            <w:r w:rsidR="00F25F34">
              <w:rPr>
                <w:rFonts w:eastAsia="MS Mincho"/>
              </w:rPr>
              <w:t xml:space="preserve"> </w:t>
            </w:r>
          </w:p>
        </w:tc>
        <w:tc>
          <w:tcPr>
            <w:tcW w:w="412" w:type="pct"/>
          </w:tcPr>
          <w:p w:rsidR="0062206C" w:rsidRPr="00B537F7" w:rsidRDefault="0062206C" w:rsidP="00BC1C13">
            <w:pPr>
              <w:pStyle w:val="Tablewriting"/>
              <w:rPr>
                <w:rFonts w:eastAsia="MS Mincho"/>
                <w:vertAlign w:val="superscript"/>
              </w:rPr>
            </w:pPr>
            <w:r>
              <w:rPr>
                <w:rFonts w:eastAsia="MS Mincho"/>
              </w:rPr>
              <w:t>Non-treatment extension safety study of EAGLES (2016)</w:t>
            </w:r>
            <w:r w:rsidR="00411BD4">
              <w:rPr>
                <w:rFonts w:eastAsia="MS Mincho"/>
                <w:vertAlign w:val="superscript"/>
              </w:rPr>
              <w:t>3</w:t>
            </w:r>
          </w:p>
        </w:tc>
        <w:tc>
          <w:tcPr>
            <w:tcW w:w="359" w:type="pct"/>
            <w:tcMar>
              <w:left w:w="28" w:type="dxa"/>
              <w:right w:w="28" w:type="dxa"/>
            </w:tcMar>
          </w:tcPr>
          <w:p w:rsidR="0062206C" w:rsidRDefault="0062206C" w:rsidP="00BC1C13">
            <w:pPr>
              <w:pStyle w:val="Tablewriting"/>
              <w:rPr>
                <w:rFonts w:eastAsia="MS Mincho"/>
              </w:rPr>
            </w:pPr>
            <w:r>
              <w:rPr>
                <w:rFonts w:eastAsia="MS Mincho"/>
              </w:rPr>
              <w:t>N=4,595</w:t>
            </w:r>
          </w:p>
          <w:p w:rsidR="0062206C" w:rsidRPr="000C14F2" w:rsidRDefault="008A5BD0" w:rsidP="00BC1C13">
            <w:pPr>
              <w:pStyle w:val="Tablewriting"/>
              <w:rPr>
                <w:rFonts w:eastAsia="MS Mincho"/>
                <w:u w:val="single"/>
              </w:rPr>
            </w:pPr>
            <w:r>
              <w:rPr>
                <w:rFonts w:eastAsia="MS Mincho"/>
              </w:rPr>
              <w:t>Bupropion</w:t>
            </w:r>
            <w:r w:rsidR="0062206C">
              <w:rPr>
                <w:rFonts w:eastAsia="MS Mincho"/>
              </w:rPr>
              <w:t xml:space="preserve"> (n=</w:t>
            </w:r>
            <w:r w:rsidR="003C522C">
              <w:rPr>
                <w:rFonts w:eastAsia="MS Mincho"/>
              </w:rPr>
              <w:t>1,166</w:t>
            </w:r>
            <w:r w:rsidR="0062206C">
              <w:rPr>
                <w:rFonts w:eastAsia="MS Mincho"/>
              </w:rPr>
              <w:t>), Placebo (n=1,121)</w:t>
            </w:r>
          </w:p>
        </w:tc>
        <w:tc>
          <w:tcPr>
            <w:tcW w:w="1882" w:type="pct"/>
            <w:tcMar>
              <w:left w:w="28" w:type="dxa"/>
              <w:right w:w="28" w:type="dxa"/>
            </w:tcMar>
          </w:tcPr>
          <w:p w:rsidR="0062206C" w:rsidRDefault="0062206C" w:rsidP="00BC1C13">
            <w:pPr>
              <w:pStyle w:val="Tablewriting"/>
              <w:rPr>
                <w:rFonts w:eastAsia="MS Mincho" w:cstheme="minorHAnsi"/>
              </w:rPr>
            </w:pPr>
            <w:r w:rsidRPr="007F28D7">
              <w:rPr>
                <w:rFonts w:eastAsia="MS Mincho"/>
                <w:u w:val="single"/>
              </w:rPr>
              <w:t>Inclusion</w:t>
            </w:r>
            <w:r>
              <w:rPr>
                <w:rFonts w:eastAsia="MS Mincho"/>
              </w:rPr>
              <w:t xml:space="preserve">: </w:t>
            </w:r>
            <w:r w:rsidRPr="000A14FA">
              <w:rPr>
                <w:rFonts w:eastAsia="MS Mincho" w:cstheme="minorHAnsi"/>
              </w:rPr>
              <w:t>18</w:t>
            </w:r>
            <w:r>
              <w:rPr>
                <w:rFonts w:eastAsia="MS Mincho" w:cstheme="minorHAnsi"/>
              </w:rPr>
              <w:t>-</w:t>
            </w:r>
            <w:r w:rsidRPr="000A14FA">
              <w:rPr>
                <w:rFonts w:eastAsia="MS Mincho" w:cstheme="minorHAnsi"/>
              </w:rPr>
              <w:t>75 years</w:t>
            </w:r>
            <w:r>
              <w:rPr>
                <w:rFonts w:eastAsia="MS Mincho" w:cstheme="minorHAnsi"/>
              </w:rPr>
              <w:t xml:space="preserve"> old</w:t>
            </w:r>
            <w:r w:rsidRPr="000A14FA">
              <w:rPr>
                <w:rFonts w:eastAsia="MS Mincho" w:cstheme="minorHAnsi"/>
              </w:rPr>
              <w:t xml:space="preserve">, </w:t>
            </w:r>
            <w:r>
              <w:rPr>
                <w:rFonts w:eastAsia="MS Mincho" w:cstheme="minorHAnsi"/>
              </w:rPr>
              <w:t>≥</w:t>
            </w:r>
            <w:r w:rsidRPr="000A14FA">
              <w:rPr>
                <w:rFonts w:eastAsia="MS Mincho" w:cstheme="minorHAnsi"/>
              </w:rPr>
              <w:t>10</w:t>
            </w:r>
            <w:r>
              <w:rPr>
                <w:rFonts w:eastAsia="MS Mincho" w:cstheme="minorHAnsi"/>
              </w:rPr>
              <w:t xml:space="preserve"> </w:t>
            </w:r>
            <w:r w:rsidRPr="000A14FA">
              <w:rPr>
                <w:rFonts w:eastAsia="MS Mincho" w:cstheme="minorHAnsi"/>
              </w:rPr>
              <w:t>cigarettes per day, interested in quitting smoking, had been randomi</w:t>
            </w:r>
            <w:r>
              <w:rPr>
                <w:rFonts w:eastAsia="MS Mincho" w:cstheme="minorHAnsi"/>
              </w:rPr>
              <w:t>s</w:t>
            </w:r>
            <w:r w:rsidRPr="000A14FA">
              <w:rPr>
                <w:rFonts w:eastAsia="MS Mincho" w:cstheme="minorHAnsi"/>
              </w:rPr>
              <w:t>ed to treatment in</w:t>
            </w:r>
            <w:r>
              <w:rPr>
                <w:rFonts w:eastAsia="MS Mincho" w:cstheme="minorHAnsi"/>
              </w:rPr>
              <w:t xml:space="preserve"> </w:t>
            </w:r>
            <w:r w:rsidRPr="000A14FA">
              <w:rPr>
                <w:rFonts w:eastAsia="MS Mincho" w:cstheme="minorHAnsi"/>
              </w:rPr>
              <w:t>and had completed the week 24 visit of</w:t>
            </w:r>
            <w:r>
              <w:rPr>
                <w:rFonts w:eastAsia="MS Mincho" w:cstheme="minorHAnsi"/>
              </w:rPr>
              <w:t xml:space="preserve"> </w:t>
            </w:r>
            <w:r w:rsidRPr="000A14FA">
              <w:rPr>
                <w:rFonts w:eastAsia="MS Mincho" w:cstheme="minorHAnsi"/>
              </w:rPr>
              <w:t>EAGLES</w:t>
            </w:r>
            <w:r w:rsidR="0097788D">
              <w:rPr>
                <w:rFonts w:eastAsia="MS Mincho" w:cstheme="minorHAnsi"/>
              </w:rPr>
              <w:t>.</w:t>
            </w:r>
          </w:p>
          <w:p w:rsidR="0062206C" w:rsidRPr="002C19B4" w:rsidRDefault="0062206C" w:rsidP="00BC1C13">
            <w:pPr>
              <w:pStyle w:val="Tablewriting"/>
              <w:rPr>
                <w:rFonts w:eastAsia="MS Mincho"/>
                <w:u w:val="single"/>
              </w:rPr>
            </w:pPr>
            <w:r w:rsidRPr="007F28D7">
              <w:rPr>
                <w:rFonts w:eastAsia="MS Mincho"/>
                <w:u w:val="single"/>
              </w:rPr>
              <w:t>Exclusion</w:t>
            </w:r>
            <w:r>
              <w:rPr>
                <w:rFonts w:eastAsia="MS Mincho"/>
              </w:rPr>
              <w:t xml:space="preserve">: </w:t>
            </w:r>
            <w:r w:rsidRPr="00661FFC">
              <w:rPr>
                <w:rFonts w:eastAsia="MS Mincho"/>
              </w:rPr>
              <w:t>unstable psychiatric illness, active substance abuse, clinically significant CVD in the 2 months prior to study entry, clinically significant cerebrovascular disease in the 2 months prior to study entry, or inadequate control of hypertens</w:t>
            </w:r>
            <w:r>
              <w:rPr>
                <w:rFonts w:eastAsia="MS Mincho"/>
              </w:rPr>
              <w:t>ion</w:t>
            </w:r>
            <w:r w:rsidRPr="00661FFC">
              <w:rPr>
                <w:rFonts w:eastAsia="MS Mincho"/>
              </w:rPr>
              <w:t>.</w:t>
            </w:r>
          </w:p>
        </w:tc>
        <w:tc>
          <w:tcPr>
            <w:tcW w:w="852" w:type="pct"/>
          </w:tcPr>
          <w:p w:rsidR="0062206C" w:rsidRDefault="0062206C" w:rsidP="00BC1C13">
            <w:pPr>
              <w:pStyle w:val="Tablewriting"/>
              <w:rPr>
                <w:rFonts w:eastAsia="MS Mincho"/>
              </w:rPr>
            </w:pPr>
            <w:r>
              <w:rPr>
                <w:rFonts w:eastAsia="MS Mincho"/>
              </w:rPr>
              <w:t xml:space="preserve">No treatment was provided during this study. Prior </w:t>
            </w:r>
            <w:r w:rsidR="0094021E">
              <w:rPr>
                <w:rFonts w:eastAsia="MS Mincho"/>
              </w:rPr>
              <w:t>bupropion</w:t>
            </w:r>
            <w:r>
              <w:rPr>
                <w:rFonts w:eastAsia="MS Mincho"/>
              </w:rPr>
              <w:t xml:space="preserve"> and placebo treatments were administered in EAGLES (2016).</w:t>
            </w:r>
          </w:p>
        </w:tc>
        <w:tc>
          <w:tcPr>
            <w:tcW w:w="1241" w:type="pct"/>
            <w:tcMar>
              <w:left w:w="28" w:type="dxa"/>
              <w:right w:w="28" w:type="dxa"/>
            </w:tcMar>
          </w:tcPr>
          <w:p w:rsidR="0062206C" w:rsidRDefault="0062206C" w:rsidP="00BC1C13">
            <w:pPr>
              <w:pStyle w:val="Tablewriting"/>
              <w:rPr>
                <w:rFonts w:eastAsia="MS Mincho"/>
              </w:rPr>
            </w:pPr>
            <w:r w:rsidRPr="008C39E4">
              <w:rPr>
                <w:rFonts w:eastAsia="MS Mincho"/>
                <w:u w:val="single"/>
              </w:rPr>
              <w:t>Primary</w:t>
            </w:r>
            <w:r>
              <w:rPr>
                <w:rFonts w:eastAsia="MS Mincho"/>
              </w:rPr>
              <w:t>: Time to major adverse cardiovascular event</w:t>
            </w:r>
          </w:p>
          <w:p w:rsidR="0062206C" w:rsidRPr="0036499C" w:rsidRDefault="0062206C" w:rsidP="00BC1C13">
            <w:pPr>
              <w:pStyle w:val="Tablewriting"/>
              <w:rPr>
                <w:rFonts w:eastAsia="MS Mincho"/>
                <w:u w:val="single"/>
              </w:rPr>
            </w:pPr>
            <w:r w:rsidRPr="008C39E4">
              <w:rPr>
                <w:rFonts w:eastAsia="MS Mincho"/>
                <w:u w:val="single"/>
              </w:rPr>
              <w:t>Secondary</w:t>
            </w:r>
            <w:r>
              <w:rPr>
                <w:rFonts w:eastAsia="MS Mincho"/>
              </w:rPr>
              <w:t>: Occurrence of major adverse cardiovascular event</w:t>
            </w:r>
          </w:p>
        </w:tc>
      </w:tr>
    </w:tbl>
    <w:p w:rsidR="005879DD" w:rsidRPr="00813BCB" w:rsidRDefault="005879DD" w:rsidP="006F67A4">
      <w:pPr>
        <w:pStyle w:val="TableFooter"/>
        <w:keepNext/>
        <w:rPr>
          <w:i/>
        </w:rPr>
      </w:pPr>
      <w:r>
        <w:t>Abbreviation</w:t>
      </w:r>
      <w:r w:rsidR="005B2A6C">
        <w:t xml:space="preserve">s: </w:t>
      </w:r>
      <w:r w:rsidR="00BC110D">
        <w:t xml:space="preserve">BDI = Beck Depression Inventory; </w:t>
      </w:r>
      <w:r w:rsidR="00065C5F">
        <w:t xml:space="preserve">CAR = continuous abstinence rate; </w:t>
      </w:r>
      <w:r w:rsidR="008948D6">
        <w:t xml:space="preserve">CO = carbon monoxide; </w:t>
      </w:r>
      <w:r w:rsidR="006948B9">
        <w:t xml:space="preserve">NRT = nicotine replacement therapy; </w:t>
      </w:r>
      <w:r w:rsidR="00065C5F">
        <w:t xml:space="preserve">PPA = point prevalence abstinence; </w:t>
      </w:r>
      <w:r w:rsidR="005B2A6C">
        <w:t>RCT = randomised controlled trial</w:t>
      </w:r>
    </w:p>
    <w:p w:rsidR="00AB145F" w:rsidRDefault="00AB145F" w:rsidP="006F67A4">
      <w:pPr>
        <w:pStyle w:val="TableFooter"/>
        <w:keepNext/>
      </w:pPr>
      <w:r>
        <w:t xml:space="preserve">1 </w:t>
      </w:r>
      <w:r w:rsidR="00C417F4">
        <w:t>Only t</w:t>
      </w:r>
      <w:r>
        <w:t xml:space="preserve">he number </w:t>
      </w:r>
      <w:r w:rsidR="00290683">
        <w:t>of patients</w:t>
      </w:r>
      <w:r w:rsidR="00C417F4">
        <w:t xml:space="preserve"> (n) in the relevant arms were included</w:t>
      </w:r>
      <w:r w:rsidR="0003189C">
        <w:t>.</w:t>
      </w:r>
      <w:r w:rsidR="00290683">
        <w:t xml:space="preserve"> </w:t>
      </w:r>
    </w:p>
    <w:p w:rsidR="005879DD" w:rsidRPr="008846EB" w:rsidRDefault="00AB145F" w:rsidP="00052194">
      <w:pPr>
        <w:pStyle w:val="TableFooter"/>
      </w:pPr>
      <w:r>
        <w:t>2</w:t>
      </w:r>
      <w:r w:rsidR="005879DD">
        <w:t xml:space="preserve"> The characteristics of the individual studies</w:t>
      </w:r>
      <w:r w:rsidR="001B4869">
        <w:t xml:space="preserve"> comparing bupropion with placebo</w:t>
      </w:r>
      <w:r w:rsidR="005879DD">
        <w:t xml:space="preserve"> included in </w:t>
      </w:r>
      <w:r w:rsidR="001B4869">
        <w:t>Howes et al. (2020)</w:t>
      </w:r>
      <w:r w:rsidR="005879DD">
        <w:t xml:space="preserve"> are presented in </w:t>
      </w:r>
      <w:r w:rsidR="005879DD" w:rsidRPr="00AE796D">
        <w:t>Appendix</w:t>
      </w:r>
      <w:r w:rsidR="00943599">
        <w:t xml:space="preserve"> </w:t>
      </w:r>
      <w:r w:rsidR="003C4A1C">
        <w:t xml:space="preserve">Table </w:t>
      </w:r>
      <w:r w:rsidR="003C4A1C">
        <w:rPr>
          <w:noProof/>
        </w:rPr>
        <w:t>144</w:t>
      </w:r>
      <w:r w:rsidR="00943599">
        <w:t>.</w:t>
      </w:r>
      <w:r w:rsidR="00944A49">
        <w:t xml:space="preserve"> </w:t>
      </w:r>
      <w:r w:rsidR="008846EB">
        <w:rPr>
          <w:noProof/>
          <w:color w:val="000000"/>
          <w:highlight w:val="black"/>
        </w:rPr>
        <w:t>''''''''' '''''''''''''' '''''''''''''''''''' '''''''''''''''''''''' ''''' ''''''' '''''''''' ''''''''''''''' '''' '''' '''''''''' ''''''' ''''''''' '''' ''''' ''''''''''' ''''''''''' ''''''''''''''''' '''' ''''''' '''''''''''''''' '''''''''''''' '''''''''''''''' ''''' '''''''''''' '''' '''' ''''''''''''''</w:t>
      </w:r>
    </w:p>
    <w:p w:rsidR="000228C8" w:rsidRPr="00061F78" w:rsidRDefault="000228C8" w:rsidP="00052194">
      <w:pPr>
        <w:pStyle w:val="TableFooter"/>
      </w:pPr>
      <w:r>
        <w:t xml:space="preserve">3 </w:t>
      </w:r>
      <w:r w:rsidRPr="000228C8">
        <w:t>Benowitz et al. (2018) was a non-treatment extension of EAGLES (Anthenelli et al. 2016) with a considerable amount of missing data due to lost to follow-up, extension study nonenrollees, no longer willing to participate and death.</w:t>
      </w:r>
    </w:p>
    <w:p w:rsidR="00280114" w:rsidRDefault="00280114" w:rsidP="00C83EDA">
      <w:pPr>
        <w:rPr>
          <w:highlight w:val="yellow"/>
        </w:rPr>
        <w:sectPr w:rsidR="00280114" w:rsidSect="00280114">
          <w:pgSz w:w="16838" w:h="11906" w:orient="landscape"/>
          <w:pgMar w:top="1440" w:right="1440" w:bottom="1440" w:left="1440" w:header="708" w:footer="708" w:gutter="0"/>
          <w:cols w:space="708"/>
          <w:titlePg/>
          <w:docGrid w:linePitch="360"/>
        </w:sectPr>
      </w:pPr>
    </w:p>
    <w:p w:rsidR="00944A49" w:rsidRPr="0073597F" w:rsidRDefault="00817821" w:rsidP="00C83EDA">
      <w:pPr>
        <w:rPr>
          <w:u w:val="single"/>
        </w:rPr>
      </w:pPr>
      <w:r w:rsidRPr="0073597F">
        <w:rPr>
          <w:u w:val="single"/>
        </w:rPr>
        <w:lastRenderedPageBreak/>
        <w:t>Efficacy</w:t>
      </w:r>
    </w:p>
    <w:p w:rsidR="00C01C08" w:rsidRDefault="00817821" w:rsidP="00DF52C0">
      <w:r>
        <w:t>A summary of the smoking cessation rates</w:t>
      </w:r>
      <w:r w:rsidDel="00F52FCD">
        <w:t xml:space="preserve"> </w:t>
      </w:r>
      <w:r w:rsidR="00F52FCD">
        <w:t>for</w:t>
      </w:r>
      <w:r>
        <w:t xml:space="preserve"> at least six months follow-up </w:t>
      </w:r>
      <w:r w:rsidR="00827DC0">
        <w:t>comparing</w:t>
      </w:r>
      <w:r w:rsidR="009E3B13">
        <w:t xml:space="preserve"> bupropion </w:t>
      </w:r>
      <w:r w:rsidR="00827DC0">
        <w:t>with</w:t>
      </w:r>
      <w:r w:rsidR="009E3B13">
        <w:t xml:space="preserve"> placebo </w:t>
      </w:r>
      <w:r>
        <w:t xml:space="preserve">is presented in </w:t>
      </w:r>
      <w:r w:rsidR="003C4A1C">
        <w:t xml:space="preserve">Table </w:t>
      </w:r>
      <w:r w:rsidR="003C4A1C">
        <w:rPr>
          <w:noProof/>
        </w:rPr>
        <w:t>7</w:t>
      </w:r>
      <w:r>
        <w:t xml:space="preserve">. </w:t>
      </w:r>
      <w:r w:rsidRPr="000F3331">
        <w:t xml:space="preserve">The results </w:t>
      </w:r>
      <w:r w:rsidR="009C60FE" w:rsidRPr="000F3331">
        <w:t xml:space="preserve">of Jorenby et al. (1999) </w:t>
      </w:r>
      <w:r w:rsidRPr="000F3331">
        <w:t>demonstrated a statistically significant difference</w:t>
      </w:r>
      <w:r w:rsidR="00121D29" w:rsidRPr="000F3331">
        <w:t xml:space="preserve"> in continuous abstinence rate, in favour of bupropion</w:t>
      </w:r>
      <w:r w:rsidR="009C60FE" w:rsidRPr="000F3331">
        <w:t xml:space="preserve">. In contrast, no statistically significant difference was observed </w:t>
      </w:r>
      <w:r w:rsidR="00C01C08" w:rsidRPr="000F3331">
        <w:t xml:space="preserve">between the two treatment arms </w:t>
      </w:r>
      <w:r w:rsidR="009C60FE" w:rsidRPr="000F3331">
        <w:t>in</w:t>
      </w:r>
      <w:r w:rsidR="00121D29" w:rsidRPr="000F3331">
        <w:t xml:space="preserve"> Hurt et al. (1997)</w:t>
      </w:r>
      <w:r w:rsidR="00E524F6" w:rsidRPr="000F3331">
        <w:t>, although the results numerically favoured bupropion. The non-significant results in Hurt et al. (1997) could be attributed to the</w:t>
      </w:r>
      <w:r w:rsidR="005A032A" w:rsidRPr="000F3331">
        <w:t xml:space="preserve"> small</w:t>
      </w:r>
      <w:r w:rsidR="00E524F6" w:rsidRPr="000F3331">
        <w:t xml:space="preserve"> sample size as the study was only powered to detect a difference at the end of treatment (i.e. at Week 6) instead of 12 months.</w:t>
      </w:r>
      <w:r w:rsidR="00121D29" w:rsidRPr="000F3331">
        <w:t xml:space="preserve"> </w:t>
      </w:r>
      <w:r w:rsidR="0037676D" w:rsidRPr="000F3331">
        <w:t>At</w:t>
      </w:r>
      <w:r w:rsidR="007D0AF0" w:rsidRPr="000F3331">
        <w:t xml:space="preserve"> </w:t>
      </w:r>
      <w:r w:rsidR="00310EFC" w:rsidRPr="000F3331">
        <w:t>Week 6</w:t>
      </w:r>
      <w:r w:rsidR="007D0AF0" w:rsidRPr="000F3331">
        <w:t xml:space="preserve">, </w:t>
      </w:r>
      <w:r w:rsidR="00DF52C0" w:rsidRPr="000F3331">
        <w:t>the continuous abstinence</w:t>
      </w:r>
      <w:r w:rsidR="003328FB" w:rsidRPr="000F3331">
        <w:t xml:space="preserve"> rate</w:t>
      </w:r>
      <w:r w:rsidR="00DF52C0" w:rsidRPr="000F3331">
        <w:t xml:space="preserve"> was significantly </w:t>
      </w:r>
      <w:r w:rsidR="00962FAE" w:rsidRPr="000F3331">
        <w:t>higher</w:t>
      </w:r>
      <w:r w:rsidR="00DF52C0" w:rsidRPr="000F3331">
        <w:t xml:space="preserve"> in the bupropion</w:t>
      </w:r>
      <w:r w:rsidR="003328FB" w:rsidRPr="000F3331">
        <w:t xml:space="preserve"> group </w:t>
      </w:r>
      <w:r w:rsidR="006E4134" w:rsidRPr="000F3331">
        <w:t xml:space="preserve">(24.4%) </w:t>
      </w:r>
      <w:r w:rsidR="003328FB" w:rsidRPr="000F3331">
        <w:t>compared with</w:t>
      </w:r>
      <w:r w:rsidR="00DF52C0" w:rsidRPr="000F3331">
        <w:t xml:space="preserve"> the placebo group (</w:t>
      </w:r>
      <w:r w:rsidR="006E4134" w:rsidRPr="000F3331">
        <w:t xml:space="preserve">10.5%, </w:t>
      </w:r>
      <w:r w:rsidR="00DF52C0" w:rsidRPr="000F3331">
        <w:t>P</w:t>
      </w:r>
      <w:r w:rsidR="00404975" w:rsidRPr="000F3331">
        <w:t>=</w:t>
      </w:r>
      <w:r w:rsidR="00DF52C0" w:rsidRPr="000F3331">
        <w:t>0.001</w:t>
      </w:r>
      <w:r w:rsidR="00404975" w:rsidRPr="000F3331">
        <w:t>).</w:t>
      </w:r>
    </w:p>
    <w:p w:rsidR="00817821" w:rsidRPr="00817821" w:rsidRDefault="00C01C08" w:rsidP="00C83EDA">
      <w:r>
        <w:t xml:space="preserve">Based on the Cochrane </w:t>
      </w:r>
      <w:r w:rsidR="000A7768">
        <w:t>R</w:t>
      </w:r>
      <w:r>
        <w:t>eview by Howes et al. (2020), t</w:t>
      </w:r>
      <w:r w:rsidR="00121D29">
        <w:t>he results of the meta-analysis comprising 46 RCTs</w:t>
      </w:r>
      <w:r w:rsidR="008D64FB">
        <w:t xml:space="preserve"> </w:t>
      </w:r>
      <w:r w:rsidR="00121D29">
        <w:t xml:space="preserve">demonstrated </w:t>
      </w:r>
      <w:r w:rsidR="00121D29" w:rsidRPr="00121D29">
        <w:t xml:space="preserve">a statistically significant difference in </w:t>
      </w:r>
      <w:r w:rsidR="000569B3">
        <w:t xml:space="preserve">long-term </w:t>
      </w:r>
      <w:r w:rsidR="00121D29">
        <w:t>smoking cessation</w:t>
      </w:r>
      <w:r w:rsidR="00121D29" w:rsidRPr="00121D29">
        <w:t xml:space="preserve"> rate</w:t>
      </w:r>
      <w:r w:rsidR="00121D29">
        <w:t>s</w:t>
      </w:r>
      <w:r w:rsidR="00121D29" w:rsidRPr="00121D29">
        <w:t>, in favour of bupropion</w:t>
      </w:r>
      <w:r w:rsidR="00121D29">
        <w:t>.</w:t>
      </w:r>
      <w:r w:rsidR="00F37D66">
        <w:t xml:space="preserve"> </w:t>
      </w:r>
    </w:p>
    <w:p w:rsidR="005B2A6C" w:rsidRDefault="005B2A6C" w:rsidP="005B2A6C">
      <w:pPr>
        <w:pStyle w:val="Caption"/>
        <w:keepNext/>
      </w:pPr>
      <w:bookmarkStart w:id="67" w:name="_Ref53051633"/>
      <w:r>
        <w:t xml:space="preserve">Table </w:t>
      </w:r>
      <w:r w:rsidR="003C4A1C">
        <w:rPr>
          <w:noProof/>
        </w:rPr>
        <w:t>7</w:t>
      </w:r>
      <w:bookmarkEnd w:id="67"/>
      <w:r>
        <w:t>: Results of smoking cessation f</w:t>
      </w:r>
      <w:r w:rsidR="00FD165D">
        <w:t>or</w:t>
      </w:r>
      <w:r>
        <w:t xml:space="preserve"> at least six months follow-up, bupropion versus placebo</w:t>
      </w:r>
    </w:p>
    <w:tbl>
      <w:tblPr>
        <w:tblStyle w:val="TableGrid"/>
        <w:tblW w:w="5000" w:type="pct"/>
        <w:tblLook w:val="04A0" w:firstRow="1" w:lastRow="0" w:firstColumn="1" w:lastColumn="0" w:noHBand="0" w:noVBand="1"/>
        <w:tblCaption w:val="Efficacy results of adalimumab trials (PASI 75 and DLQI)"/>
      </w:tblPr>
      <w:tblGrid>
        <w:gridCol w:w="1154"/>
        <w:gridCol w:w="2438"/>
        <w:gridCol w:w="2056"/>
        <w:gridCol w:w="1684"/>
        <w:gridCol w:w="1684"/>
      </w:tblGrid>
      <w:tr w:rsidR="00DA5940" w:rsidRPr="00061F78" w:rsidTr="00C1061C">
        <w:trPr>
          <w:cantSplit/>
          <w:trHeight w:val="299"/>
          <w:tblHeader/>
        </w:trPr>
        <w:tc>
          <w:tcPr>
            <w:tcW w:w="640" w:type="pct"/>
            <w:shd w:val="clear" w:color="auto" w:fill="BFBFBF" w:themeFill="background1" w:themeFillShade="BF"/>
            <w:tcMar>
              <w:left w:w="28" w:type="dxa"/>
              <w:right w:w="28" w:type="dxa"/>
            </w:tcMar>
          </w:tcPr>
          <w:p w:rsidR="00DA5940" w:rsidRPr="00061F78" w:rsidRDefault="00DA5940" w:rsidP="00944A49">
            <w:pPr>
              <w:pStyle w:val="Tableheading"/>
              <w:rPr>
                <w:rFonts w:eastAsia="MS Mincho"/>
              </w:rPr>
            </w:pPr>
            <w:r>
              <w:rPr>
                <w:rFonts w:eastAsia="MS Mincho"/>
              </w:rPr>
              <w:t>Study</w:t>
            </w:r>
          </w:p>
        </w:tc>
        <w:tc>
          <w:tcPr>
            <w:tcW w:w="1352" w:type="pct"/>
            <w:shd w:val="clear" w:color="auto" w:fill="BFBFBF" w:themeFill="background1" w:themeFillShade="BF"/>
            <w:vAlign w:val="center"/>
          </w:tcPr>
          <w:p w:rsidR="00DA5940" w:rsidRDefault="00DA5940" w:rsidP="00C66CEE">
            <w:pPr>
              <w:pStyle w:val="Tableheading"/>
              <w:jc w:val="center"/>
              <w:rPr>
                <w:rFonts w:eastAsia="MS Mincho"/>
              </w:rPr>
            </w:pPr>
            <w:r>
              <w:rPr>
                <w:rFonts w:eastAsia="MS Mincho"/>
              </w:rPr>
              <w:t>Study type</w:t>
            </w:r>
          </w:p>
        </w:tc>
        <w:tc>
          <w:tcPr>
            <w:tcW w:w="1140" w:type="pct"/>
            <w:shd w:val="clear" w:color="auto" w:fill="BFBFBF" w:themeFill="background1" w:themeFillShade="BF"/>
            <w:tcMar>
              <w:left w:w="28" w:type="dxa"/>
              <w:right w:w="28" w:type="dxa"/>
            </w:tcMar>
            <w:vAlign w:val="center"/>
          </w:tcPr>
          <w:p w:rsidR="00DA5940" w:rsidRPr="00061F78" w:rsidRDefault="00DA5940" w:rsidP="00C66CEE">
            <w:pPr>
              <w:pStyle w:val="Tableheading"/>
              <w:jc w:val="center"/>
              <w:rPr>
                <w:rFonts w:eastAsia="MS Mincho"/>
              </w:rPr>
            </w:pPr>
            <w:r>
              <w:rPr>
                <w:rFonts w:eastAsia="MS Mincho"/>
              </w:rPr>
              <w:t>Bupropion</w:t>
            </w:r>
          </w:p>
        </w:tc>
        <w:tc>
          <w:tcPr>
            <w:tcW w:w="934" w:type="pct"/>
            <w:shd w:val="clear" w:color="auto" w:fill="BFBFBF" w:themeFill="background1" w:themeFillShade="BF"/>
            <w:tcMar>
              <w:left w:w="28" w:type="dxa"/>
              <w:right w:w="28" w:type="dxa"/>
            </w:tcMar>
            <w:vAlign w:val="center"/>
          </w:tcPr>
          <w:p w:rsidR="00DA5940" w:rsidRPr="00061F78" w:rsidRDefault="00DA5940" w:rsidP="00C66CEE">
            <w:pPr>
              <w:pStyle w:val="Tableheading"/>
              <w:jc w:val="center"/>
              <w:rPr>
                <w:rFonts w:eastAsia="MS Mincho"/>
              </w:rPr>
            </w:pPr>
            <w:r w:rsidRPr="00061F78">
              <w:rPr>
                <w:rFonts w:eastAsia="MS Mincho"/>
              </w:rPr>
              <w:t>Placebo</w:t>
            </w:r>
          </w:p>
        </w:tc>
        <w:tc>
          <w:tcPr>
            <w:tcW w:w="934" w:type="pct"/>
            <w:shd w:val="clear" w:color="auto" w:fill="BFBFBF" w:themeFill="background1" w:themeFillShade="BF"/>
            <w:tcMar>
              <w:left w:w="28" w:type="dxa"/>
              <w:right w:w="28" w:type="dxa"/>
            </w:tcMar>
            <w:vAlign w:val="center"/>
          </w:tcPr>
          <w:p w:rsidR="00DA5940" w:rsidRPr="00D468CF" w:rsidRDefault="00DA5940" w:rsidP="00C66CEE">
            <w:pPr>
              <w:pStyle w:val="Tableheading"/>
              <w:jc w:val="center"/>
              <w:rPr>
                <w:rFonts w:eastAsia="MS Mincho"/>
                <w:vertAlign w:val="superscript"/>
              </w:rPr>
            </w:pPr>
            <w:r>
              <w:rPr>
                <w:rFonts w:eastAsia="MS Mincho"/>
              </w:rPr>
              <w:t>RR (95% CI)</w:t>
            </w:r>
            <w:r>
              <w:rPr>
                <w:rFonts w:eastAsia="MS Mincho"/>
                <w:vertAlign w:val="superscript"/>
              </w:rPr>
              <w:t>3</w:t>
            </w:r>
          </w:p>
        </w:tc>
      </w:tr>
      <w:tr w:rsidR="00DA5940" w:rsidRPr="00061F78" w:rsidTr="00813BCB">
        <w:trPr>
          <w:cantSplit/>
          <w:trHeight w:val="99"/>
        </w:trPr>
        <w:tc>
          <w:tcPr>
            <w:tcW w:w="640" w:type="pct"/>
            <w:shd w:val="clear" w:color="auto" w:fill="FFFFFF" w:themeFill="background1"/>
            <w:tcMar>
              <w:left w:w="28" w:type="dxa"/>
              <w:right w:w="28" w:type="dxa"/>
            </w:tcMar>
          </w:tcPr>
          <w:p w:rsidR="00DA5940" w:rsidRPr="00813BCB" w:rsidRDefault="00DA5940" w:rsidP="00944A49">
            <w:pPr>
              <w:pStyle w:val="Tablewriting"/>
              <w:rPr>
                <w:rFonts w:eastAsia="MS Mincho"/>
              </w:rPr>
            </w:pPr>
            <w:r w:rsidRPr="00813BCB">
              <w:rPr>
                <w:rFonts w:eastAsia="MS Mincho"/>
              </w:rPr>
              <w:t xml:space="preserve">Hurt </w:t>
            </w:r>
          </w:p>
          <w:p w:rsidR="00DA5940" w:rsidRPr="00813BCB" w:rsidRDefault="00DA5940" w:rsidP="00944A49">
            <w:pPr>
              <w:pStyle w:val="Tablewriting"/>
              <w:rPr>
                <w:rFonts w:eastAsia="MS Mincho"/>
                <w:vertAlign w:val="superscript"/>
              </w:rPr>
            </w:pPr>
            <w:r w:rsidRPr="00813BCB">
              <w:rPr>
                <w:rFonts w:eastAsia="MS Mincho"/>
              </w:rPr>
              <w:t>(1997)</w:t>
            </w:r>
            <w:r w:rsidRPr="00813BCB">
              <w:rPr>
                <w:rFonts w:eastAsia="MS Mincho"/>
                <w:vertAlign w:val="superscript"/>
              </w:rPr>
              <w:t>1</w:t>
            </w:r>
          </w:p>
        </w:tc>
        <w:tc>
          <w:tcPr>
            <w:tcW w:w="1352" w:type="pct"/>
            <w:shd w:val="clear" w:color="auto" w:fill="FFFFFF" w:themeFill="background1"/>
            <w:vAlign w:val="center"/>
          </w:tcPr>
          <w:p w:rsidR="00DA5940" w:rsidRPr="00813BCB" w:rsidRDefault="00DA5940" w:rsidP="00C66CEE">
            <w:pPr>
              <w:pStyle w:val="Tablewriting"/>
              <w:jc w:val="center"/>
              <w:rPr>
                <w:rFonts w:eastAsia="MS Mincho"/>
              </w:rPr>
            </w:pPr>
            <w:r w:rsidRPr="00813BCB">
              <w:rPr>
                <w:rFonts w:eastAsia="MS Mincho"/>
              </w:rPr>
              <w:t>RCT</w:t>
            </w:r>
          </w:p>
        </w:tc>
        <w:tc>
          <w:tcPr>
            <w:tcW w:w="1140" w:type="pct"/>
            <w:shd w:val="clear" w:color="auto" w:fill="FFFFFF" w:themeFill="background1"/>
            <w:tcMar>
              <w:left w:w="28" w:type="dxa"/>
              <w:right w:w="28" w:type="dxa"/>
            </w:tcMar>
            <w:vAlign w:val="center"/>
          </w:tcPr>
          <w:p w:rsidR="00DA5940" w:rsidRPr="00813BCB" w:rsidRDefault="00DA5940" w:rsidP="00C66CEE">
            <w:pPr>
              <w:pStyle w:val="Tablewriting"/>
              <w:jc w:val="center"/>
              <w:rPr>
                <w:rFonts w:eastAsia="MS Mincho"/>
              </w:rPr>
            </w:pPr>
            <w:r w:rsidRPr="00813BCB">
              <w:rPr>
                <w:rFonts w:eastAsia="MS Mincho"/>
              </w:rPr>
              <w:t>21/156</w:t>
            </w:r>
          </w:p>
          <w:p w:rsidR="00DA5940" w:rsidRPr="00813BCB" w:rsidRDefault="00DA5940" w:rsidP="00C66CEE">
            <w:pPr>
              <w:pStyle w:val="Tablewriting"/>
              <w:jc w:val="center"/>
              <w:rPr>
                <w:rFonts w:eastAsia="MS Mincho"/>
              </w:rPr>
            </w:pPr>
            <w:r w:rsidRPr="00813BCB">
              <w:rPr>
                <w:rFonts w:eastAsia="MS Mincho"/>
              </w:rPr>
              <w:t>(13.5%)</w:t>
            </w:r>
          </w:p>
        </w:tc>
        <w:tc>
          <w:tcPr>
            <w:tcW w:w="934" w:type="pct"/>
            <w:shd w:val="clear" w:color="auto" w:fill="FFFFFF" w:themeFill="background1"/>
            <w:tcMar>
              <w:left w:w="28" w:type="dxa"/>
              <w:right w:w="28" w:type="dxa"/>
            </w:tcMar>
            <w:vAlign w:val="center"/>
          </w:tcPr>
          <w:p w:rsidR="00DA5940" w:rsidRPr="00813BCB" w:rsidRDefault="00DA5940" w:rsidP="00C66CEE">
            <w:pPr>
              <w:pStyle w:val="Tablewriting"/>
              <w:jc w:val="center"/>
              <w:rPr>
                <w:rFonts w:eastAsia="MS Mincho"/>
              </w:rPr>
            </w:pPr>
            <w:r w:rsidRPr="00813BCB">
              <w:rPr>
                <w:rFonts w:eastAsia="MS Mincho"/>
              </w:rPr>
              <w:t>15/153</w:t>
            </w:r>
          </w:p>
          <w:p w:rsidR="00DA5940" w:rsidRPr="00813BCB" w:rsidRDefault="00DA5940" w:rsidP="00C66CEE">
            <w:pPr>
              <w:pStyle w:val="Tablewriting"/>
              <w:jc w:val="center"/>
              <w:rPr>
                <w:rFonts w:eastAsia="MS Mincho"/>
              </w:rPr>
            </w:pPr>
            <w:r w:rsidRPr="00813BCB">
              <w:rPr>
                <w:rFonts w:eastAsia="MS Mincho"/>
              </w:rPr>
              <w:t>(9.8%)</w:t>
            </w:r>
          </w:p>
        </w:tc>
        <w:tc>
          <w:tcPr>
            <w:tcW w:w="934" w:type="pct"/>
            <w:shd w:val="clear" w:color="auto" w:fill="FFFFFF" w:themeFill="background1"/>
            <w:tcMar>
              <w:left w:w="28" w:type="dxa"/>
              <w:right w:w="28" w:type="dxa"/>
            </w:tcMar>
            <w:vAlign w:val="center"/>
          </w:tcPr>
          <w:p w:rsidR="00DA5940" w:rsidRPr="00813BCB" w:rsidRDefault="00DA5940" w:rsidP="00C66CEE">
            <w:pPr>
              <w:pStyle w:val="Tablewriting"/>
              <w:jc w:val="center"/>
              <w:rPr>
                <w:rFonts w:eastAsia="MS Mincho"/>
              </w:rPr>
            </w:pPr>
            <w:r w:rsidRPr="00813BCB">
              <w:rPr>
                <w:rFonts w:eastAsia="MS Mincho"/>
              </w:rPr>
              <w:t>1.37</w:t>
            </w:r>
          </w:p>
          <w:p w:rsidR="00DA5940" w:rsidRPr="00813BCB" w:rsidRDefault="00DA5940" w:rsidP="00C66CEE">
            <w:pPr>
              <w:pStyle w:val="Tablewriting"/>
              <w:jc w:val="center"/>
              <w:rPr>
                <w:rFonts w:eastAsia="MS Mincho"/>
              </w:rPr>
            </w:pPr>
            <w:r w:rsidRPr="00813BCB">
              <w:rPr>
                <w:rFonts w:eastAsia="MS Mincho"/>
              </w:rPr>
              <w:t>(0.74, 2.56)</w:t>
            </w:r>
          </w:p>
        </w:tc>
      </w:tr>
      <w:tr w:rsidR="00DA5940" w:rsidRPr="00061F78" w:rsidTr="00813BCB">
        <w:trPr>
          <w:cantSplit/>
          <w:trHeight w:val="99"/>
        </w:trPr>
        <w:tc>
          <w:tcPr>
            <w:tcW w:w="640" w:type="pct"/>
            <w:shd w:val="clear" w:color="auto" w:fill="FFFFFF" w:themeFill="background1"/>
            <w:tcMar>
              <w:left w:w="28" w:type="dxa"/>
              <w:right w:w="28" w:type="dxa"/>
            </w:tcMar>
          </w:tcPr>
          <w:p w:rsidR="00DA5940" w:rsidRPr="00813BCB" w:rsidRDefault="00DA5940" w:rsidP="00944A49">
            <w:pPr>
              <w:pStyle w:val="Tablewriting"/>
              <w:rPr>
                <w:rFonts w:eastAsia="MS Mincho"/>
                <w:vertAlign w:val="superscript"/>
              </w:rPr>
            </w:pPr>
            <w:r w:rsidRPr="00813BCB">
              <w:rPr>
                <w:rFonts w:eastAsia="MS Mincho"/>
              </w:rPr>
              <w:t>Jorenby (1999)</w:t>
            </w:r>
            <w:r w:rsidRPr="00813BCB">
              <w:rPr>
                <w:rFonts w:eastAsia="MS Mincho"/>
                <w:vertAlign w:val="superscript"/>
              </w:rPr>
              <w:t>1</w:t>
            </w:r>
          </w:p>
        </w:tc>
        <w:tc>
          <w:tcPr>
            <w:tcW w:w="1352" w:type="pct"/>
            <w:shd w:val="clear" w:color="auto" w:fill="FFFFFF" w:themeFill="background1"/>
            <w:vAlign w:val="center"/>
          </w:tcPr>
          <w:p w:rsidR="00DA5940" w:rsidRPr="00813BCB" w:rsidRDefault="00DA5940" w:rsidP="00C66CEE">
            <w:pPr>
              <w:pStyle w:val="Tablewriting"/>
              <w:jc w:val="center"/>
              <w:rPr>
                <w:rFonts w:eastAsia="MS Mincho"/>
              </w:rPr>
            </w:pPr>
            <w:r w:rsidRPr="00813BCB">
              <w:rPr>
                <w:rFonts w:eastAsia="MS Mincho"/>
              </w:rPr>
              <w:t>RCT</w:t>
            </w:r>
          </w:p>
        </w:tc>
        <w:tc>
          <w:tcPr>
            <w:tcW w:w="1140" w:type="pct"/>
            <w:shd w:val="clear" w:color="auto" w:fill="FFFFFF" w:themeFill="background1"/>
            <w:tcMar>
              <w:left w:w="28" w:type="dxa"/>
              <w:right w:w="28" w:type="dxa"/>
            </w:tcMar>
            <w:vAlign w:val="center"/>
          </w:tcPr>
          <w:p w:rsidR="00DA5940" w:rsidRPr="00813BCB" w:rsidRDefault="00DA5940" w:rsidP="00C66CEE">
            <w:pPr>
              <w:pStyle w:val="Tablewriting"/>
              <w:jc w:val="center"/>
              <w:rPr>
                <w:rFonts w:eastAsia="MS Mincho"/>
              </w:rPr>
            </w:pPr>
            <w:r w:rsidRPr="00813BCB">
              <w:rPr>
                <w:rFonts w:eastAsia="MS Mincho"/>
              </w:rPr>
              <w:t xml:space="preserve">45/244 </w:t>
            </w:r>
          </w:p>
          <w:p w:rsidR="00DA5940" w:rsidRPr="00813BCB" w:rsidRDefault="00DA5940" w:rsidP="00C66CEE">
            <w:pPr>
              <w:pStyle w:val="Tablewriting"/>
              <w:jc w:val="center"/>
              <w:rPr>
                <w:rFonts w:eastAsia="MS Mincho"/>
              </w:rPr>
            </w:pPr>
            <w:r w:rsidRPr="00813BCB">
              <w:rPr>
                <w:rFonts w:eastAsia="MS Mincho"/>
              </w:rPr>
              <w:t>(18.4%)</w:t>
            </w:r>
          </w:p>
        </w:tc>
        <w:tc>
          <w:tcPr>
            <w:tcW w:w="934" w:type="pct"/>
            <w:shd w:val="clear" w:color="auto" w:fill="FFFFFF" w:themeFill="background1"/>
            <w:tcMar>
              <w:left w:w="28" w:type="dxa"/>
              <w:right w:w="28" w:type="dxa"/>
            </w:tcMar>
            <w:vAlign w:val="center"/>
          </w:tcPr>
          <w:p w:rsidR="00DA5940" w:rsidRPr="00813BCB" w:rsidRDefault="00DA5940" w:rsidP="00C66CEE">
            <w:pPr>
              <w:pStyle w:val="Tablewriting"/>
              <w:jc w:val="center"/>
              <w:rPr>
                <w:rFonts w:eastAsia="MS Mincho"/>
              </w:rPr>
            </w:pPr>
            <w:r w:rsidRPr="00813BCB">
              <w:rPr>
                <w:rFonts w:eastAsia="MS Mincho"/>
              </w:rPr>
              <w:t xml:space="preserve">9/160 </w:t>
            </w:r>
          </w:p>
          <w:p w:rsidR="00DA5940" w:rsidRPr="00813BCB" w:rsidRDefault="00DA5940" w:rsidP="00C66CEE">
            <w:pPr>
              <w:pStyle w:val="Tablewriting"/>
              <w:jc w:val="center"/>
              <w:rPr>
                <w:rFonts w:eastAsia="MS Mincho"/>
              </w:rPr>
            </w:pPr>
            <w:r w:rsidRPr="00813BCB">
              <w:rPr>
                <w:rFonts w:eastAsia="MS Mincho"/>
              </w:rPr>
              <w:t>(5.6%)</w:t>
            </w:r>
          </w:p>
        </w:tc>
        <w:tc>
          <w:tcPr>
            <w:tcW w:w="934" w:type="pct"/>
            <w:shd w:val="clear" w:color="auto" w:fill="FFFFFF" w:themeFill="background1"/>
            <w:tcMar>
              <w:left w:w="28" w:type="dxa"/>
              <w:right w:w="28" w:type="dxa"/>
            </w:tcMar>
            <w:vAlign w:val="center"/>
          </w:tcPr>
          <w:p w:rsidR="00DA5940" w:rsidRPr="00813BCB" w:rsidRDefault="00DA5940" w:rsidP="00C66CEE">
            <w:pPr>
              <w:pStyle w:val="Tablewriting"/>
              <w:jc w:val="center"/>
              <w:rPr>
                <w:rFonts w:eastAsia="MS Mincho"/>
                <w:b/>
              </w:rPr>
            </w:pPr>
            <w:r w:rsidRPr="00813BCB">
              <w:rPr>
                <w:rFonts w:eastAsia="MS Mincho"/>
                <w:b/>
              </w:rPr>
              <w:t xml:space="preserve">3.28 </w:t>
            </w:r>
          </w:p>
          <w:p w:rsidR="00DA5940" w:rsidRPr="00813BCB" w:rsidRDefault="00DA5940" w:rsidP="00C66CEE">
            <w:pPr>
              <w:pStyle w:val="Tablewriting"/>
              <w:jc w:val="center"/>
              <w:rPr>
                <w:rFonts w:eastAsia="MS Mincho"/>
              </w:rPr>
            </w:pPr>
            <w:r w:rsidRPr="00813BCB">
              <w:rPr>
                <w:rFonts w:eastAsia="MS Mincho"/>
                <w:b/>
              </w:rPr>
              <w:t>(1.65, 6.52)</w:t>
            </w:r>
          </w:p>
        </w:tc>
      </w:tr>
      <w:tr w:rsidR="00DA5940" w:rsidRPr="00061F78" w:rsidTr="00C1061C">
        <w:trPr>
          <w:cantSplit/>
          <w:trHeight w:val="149"/>
        </w:trPr>
        <w:tc>
          <w:tcPr>
            <w:tcW w:w="640" w:type="pct"/>
            <w:tcMar>
              <w:left w:w="28" w:type="dxa"/>
              <w:right w:w="28" w:type="dxa"/>
            </w:tcMar>
          </w:tcPr>
          <w:p w:rsidR="00DA5940" w:rsidRDefault="00DA5940" w:rsidP="00944A49">
            <w:pPr>
              <w:pStyle w:val="Tablewriting"/>
              <w:rPr>
                <w:rFonts w:eastAsia="MS Mincho"/>
              </w:rPr>
            </w:pPr>
            <w:r>
              <w:rPr>
                <w:rFonts w:eastAsia="MS Mincho"/>
              </w:rPr>
              <w:t>Howes</w:t>
            </w:r>
            <w:r w:rsidRPr="00061F78">
              <w:rPr>
                <w:rFonts w:eastAsia="MS Mincho"/>
              </w:rPr>
              <w:t xml:space="preserve"> </w:t>
            </w:r>
          </w:p>
          <w:p w:rsidR="00DA5940" w:rsidRPr="00D468CF" w:rsidRDefault="00DA5940" w:rsidP="00944A49">
            <w:pPr>
              <w:pStyle w:val="Tablewriting"/>
              <w:rPr>
                <w:rFonts w:eastAsia="MS Mincho"/>
                <w:vertAlign w:val="superscript"/>
              </w:rPr>
            </w:pPr>
            <w:r w:rsidRPr="00061F78">
              <w:rPr>
                <w:rFonts w:eastAsia="MS Mincho"/>
              </w:rPr>
              <w:t>(20</w:t>
            </w:r>
            <w:r>
              <w:rPr>
                <w:rFonts w:eastAsia="MS Mincho"/>
              </w:rPr>
              <w:t>20</w:t>
            </w:r>
            <w:r w:rsidRPr="00061F78">
              <w:rPr>
                <w:rFonts w:eastAsia="MS Mincho"/>
              </w:rPr>
              <w:t>)</w:t>
            </w:r>
            <w:r>
              <w:rPr>
                <w:rFonts w:eastAsia="MS Mincho"/>
                <w:vertAlign w:val="superscript"/>
              </w:rPr>
              <w:t>2</w:t>
            </w:r>
          </w:p>
        </w:tc>
        <w:tc>
          <w:tcPr>
            <w:tcW w:w="1352" w:type="pct"/>
            <w:vAlign w:val="center"/>
          </w:tcPr>
          <w:p w:rsidR="00C27E55" w:rsidRDefault="00DA5940" w:rsidP="00C66CEE">
            <w:pPr>
              <w:pStyle w:val="Tablewriting"/>
              <w:jc w:val="center"/>
              <w:rPr>
                <w:rFonts w:eastAsia="MS Mincho"/>
              </w:rPr>
            </w:pPr>
            <w:r>
              <w:rPr>
                <w:rFonts w:eastAsia="MS Mincho"/>
              </w:rPr>
              <w:t xml:space="preserve">Cochrane Review </w:t>
            </w:r>
          </w:p>
          <w:p w:rsidR="00DA5940" w:rsidRDefault="00DA5940" w:rsidP="00C66CEE">
            <w:pPr>
              <w:pStyle w:val="Tablewriting"/>
              <w:jc w:val="center"/>
              <w:rPr>
                <w:rFonts w:eastAsia="MS Mincho"/>
              </w:rPr>
            </w:pPr>
            <w:r>
              <w:rPr>
                <w:rFonts w:eastAsia="MS Mincho"/>
              </w:rPr>
              <w:t>(46 RCTs)</w:t>
            </w:r>
          </w:p>
        </w:tc>
        <w:tc>
          <w:tcPr>
            <w:tcW w:w="1140" w:type="pct"/>
            <w:tcMar>
              <w:left w:w="28" w:type="dxa"/>
              <w:right w:w="28" w:type="dxa"/>
            </w:tcMar>
            <w:vAlign w:val="center"/>
          </w:tcPr>
          <w:p w:rsidR="00DA5940" w:rsidRDefault="00DA5940" w:rsidP="00C66CEE">
            <w:pPr>
              <w:pStyle w:val="Tablewriting"/>
              <w:jc w:val="center"/>
              <w:rPr>
                <w:rFonts w:eastAsia="MS Mincho"/>
              </w:rPr>
            </w:pPr>
            <w:r>
              <w:rPr>
                <w:rFonts w:eastAsia="MS Mincho"/>
              </w:rPr>
              <w:t>1,846</w:t>
            </w:r>
            <w:r w:rsidRPr="00061F78">
              <w:rPr>
                <w:rFonts w:eastAsia="MS Mincho"/>
              </w:rPr>
              <w:t>/</w:t>
            </w:r>
            <w:r>
              <w:rPr>
                <w:rFonts w:eastAsia="MS Mincho"/>
              </w:rPr>
              <w:t>9,714</w:t>
            </w:r>
            <w:r w:rsidRPr="00061F78">
              <w:rPr>
                <w:rFonts w:eastAsia="MS Mincho"/>
              </w:rPr>
              <w:t xml:space="preserve"> </w:t>
            </w:r>
          </w:p>
          <w:p w:rsidR="00DA5940" w:rsidRPr="00061F78" w:rsidRDefault="00DA5940" w:rsidP="00C66CEE">
            <w:pPr>
              <w:pStyle w:val="Tablewriting"/>
              <w:jc w:val="center"/>
              <w:rPr>
                <w:rFonts w:eastAsia="MS Mincho"/>
              </w:rPr>
            </w:pPr>
            <w:r w:rsidRPr="00061F78">
              <w:rPr>
                <w:rFonts w:eastAsia="MS Mincho"/>
              </w:rPr>
              <w:t>(</w:t>
            </w:r>
            <w:r>
              <w:rPr>
                <w:rFonts w:eastAsia="MS Mincho"/>
              </w:rPr>
              <w:t>19.0</w:t>
            </w:r>
            <w:r w:rsidRPr="00061F78">
              <w:rPr>
                <w:rFonts w:eastAsia="MS Mincho"/>
              </w:rPr>
              <w:t>%)</w:t>
            </w:r>
          </w:p>
        </w:tc>
        <w:tc>
          <w:tcPr>
            <w:tcW w:w="934" w:type="pct"/>
            <w:tcMar>
              <w:left w:w="28" w:type="dxa"/>
              <w:right w:w="28" w:type="dxa"/>
            </w:tcMar>
            <w:vAlign w:val="center"/>
          </w:tcPr>
          <w:p w:rsidR="00DA5940" w:rsidRDefault="00DA5940" w:rsidP="00C66CEE">
            <w:pPr>
              <w:pStyle w:val="Tablewriting"/>
              <w:jc w:val="center"/>
              <w:rPr>
                <w:rFonts w:eastAsia="MS Mincho"/>
              </w:rPr>
            </w:pPr>
            <w:r>
              <w:rPr>
                <w:rFonts w:eastAsia="MS Mincho"/>
              </w:rPr>
              <w:t>900</w:t>
            </w:r>
            <w:r w:rsidRPr="00061F78">
              <w:rPr>
                <w:rFonts w:eastAsia="MS Mincho"/>
              </w:rPr>
              <w:t>/</w:t>
            </w:r>
            <w:r>
              <w:rPr>
                <w:rFonts w:eastAsia="MS Mincho"/>
              </w:rPr>
              <w:t>8,152</w:t>
            </w:r>
            <w:r w:rsidRPr="00061F78">
              <w:rPr>
                <w:rFonts w:eastAsia="MS Mincho"/>
              </w:rPr>
              <w:t xml:space="preserve"> </w:t>
            </w:r>
          </w:p>
          <w:p w:rsidR="00DA5940" w:rsidRPr="00061F78" w:rsidRDefault="00DA5940" w:rsidP="00C66CEE">
            <w:pPr>
              <w:pStyle w:val="Tablewriting"/>
              <w:jc w:val="center"/>
              <w:rPr>
                <w:rFonts w:eastAsia="MS Mincho"/>
              </w:rPr>
            </w:pPr>
            <w:r w:rsidRPr="00061F78">
              <w:rPr>
                <w:rFonts w:eastAsia="MS Mincho"/>
              </w:rPr>
              <w:t>(1</w:t>
            </w:r>
            <w:r>
              <w:rPr>
                <w:rFonts w:eastAsia="MS Mincho"/>
              </w:rPr>
              <w:t>1.0</w:t>
            </w:r>
            <w:r w:rsidRPr="00061F78">
              <w:rPr>
                <w:rFonts w:eastAsia="MS Mincho"/>
              </w:rPr>
              <w:t>%)</w:t>
            </w:r>
          </w:p>
        </w:tc>
        <w:tc>
          <w:tcPr>
            <w:tcW w:w="934" w:type="pct"/>
            <w:tcMar>
              <w:left w:w="28" w:type="dxa"/>
              <w:right w:w="28" w:type="dxa"/>
            </w:tcMar>
            <w:vAlign w:val="center"/>
          </w:tcPr>
          <w:p w:rsidR="00DA5940" w:rsidRPr="00D468CF" w:rsidRDefault="00DA5940" w:rsidP="00C66CEE">
            <w:pPr>
              <w:pStyle w:val="Tablewriting"/>
              <w:jc w:val="center"/>
              <w:rPr>
                <w:rFonts w:eastAsia="MS Mincho"/>
                <w:b/>
                <w:bCs/>
              </w:rPr>
            </w:pPr>
            <w:r w:rsidRPr="00D468CF">
              <w:rPr>
                <w:rFonts w:eastAsia="MS Mincho"/>
                <w:b/>
                <w:bCs/>
              </w:rPr>
              <w:t>1.64</w:t>
            </w:r>
          </w:p>
          <w:p w:rsidR="00DA5940" w:rsidRPr="00061F78" w:rsidRDefault="00DA5940" w:rsidP="00C66CEE">
            <w:pPr>
              <w:pStyle w:val="Tablewriting"/>
              <w:jc w:val="center"/>
              <w:rPr>
                <w:rFonts w:eastAsia="MS Mincho"/>
              </w:rPr>
            </w:pPr>
            <w:r w:rsidRPr="00D468CF">
              <w:rPr>
                <w:rFonts w:eastAsia="MS Mincho"/>
                <w:b/>
                <w:bCs/>
              </w:rPr>
              <w:t>(1.52, 1.77)</w:t>
            </w:r>
          </w:p>
        </w:tc>
      </w:tr>
    </w:tbl>
    <w:p w:rsidR="00F8327E" w:rsidRDefault="00F8327E" w:rsidP="00944A49">
      <w:pPr>
        <w:pStyle w:val="TableFooter"/>
      </w:pPr>
      <w:r>
        <w:t>Source: Howes et al. (2020)</w:t>
      </w:r>
    </w:p>
    <w:p w:rsidR="00D468CF" w:rsidRPr="00813BCB" w:rsidRDefault="00D07303" w:rsidP="00944A49">
      <w:pPr>
        <w:pStyle w:val="TableFooter"/>
        <w:rPr>
          <w:i/>
        </w:rPr>
      </w:pPr>
      <w:r>
        <w:t>Abbreviation</w:t>
      </w:r>
      <w:r w:rsidR="00D468CF">
        <w:t xml:space="preserve">s: </w:t>
      </w:r>
      <w:r w:rsidR="00FD4061">
        <w:t xml:space="preserve">CI = confidence interval; </w:t>
      </w:r>
      <w:r w:rsidR="00D468CF">
        <w:t>RCT = randomised controlled trial</w:t>
      </w:r>
      <w:r w:rsidR="00FD4061">
        <w:t>;</w:t>
      </w:r>
      <w:r w:rsidR="00D468CF">
        <w:t xml:space="preserve"> RR = risk ratio</w:t>
      </w:r>
    </w:p>
    <w:p w:rsidR="00061F78" w:rsidRDefault="00D468CF" w:rsidP="00052194">
      <w:pPr>
        <w:pStyle w:val="TableFooter"/>
      </w:pPr>
      <w:r w:rsidRPr="00D468CF">
        <w:t>Note</w:t>
      </w:r>
      <w:r w:rsidR="002550E0">
        <w:t>s</w:t>
      </w:r>
      <w:r w:rsidRPr="00D468CF">
        <w:t>: Bold indicates statistically significant difference.</w:t>
      </w:r>
      <w:r>
        <w:br/>
      </w:r>
      <w:r w:rsidRPr="000F3331">
        <w:t>1 Continuous abstinence rate at 12 months</w:t>
      </w:r>
      <w:r w:rsidR="0003189C" w:rsidRPr="00D549B5">
        <w:t>.</w:t>
      </w:r>
    </w:p>
    <w:p w:rsidR="00D468CF" w:rsidRDefault="00D468CF" w:rsidP="00052194">
      <w:pPr>
        <w:pStyle w:val="TableFooter"/>
      </w:pPr>
      <w:r>
        <w:t xml:space="preserve">2 </w:t>
      </w:r>
      <w:r w:rsidR="00817821">
        <w:t xml:space="preserve">Where cessation was assessed at multiple intervals, the longest follow-up data were used. Where multiple definitions of abstinence were assessed, the strictest of these definitions was used (e.g. continuous/prolonged abstinence over point prevalence abstinence). See </w:t>
      </w:r>
      <w:r w:rsidR="00817821" w:rsidRPr="00CB77B5">
        <w:t xml:space="preserve">Appendix </w:t>
      </w:r>
      <w:r w:rsidR="003C4A1C">
        <w:t xml:space="preserve">Table </w:t>
      </w:r>
      <w:r w:rsidR="003C4A1C">
        <w:rPr>
          <w:noProof/>
        </w:rPr>
        <w:t>144</w:t>
      </w:r>
      <w:r w:rsidR="00365631">
        <w:t xml:space="preserve"> </w:t>
      </w:r>
      <w:r w:rsidR="00817821">
        <w:t xml:space="preserve">for the definition used </w:t>
      </w:r>
      <w:r w:rsidR="00771C66">
        <w:t>in</w:t>
      </w:r>
      <w:r w:rsidR="00817821">
        <w:t xml:space="preserve"> each study.</w:t>
      </w:r>
      <w:r w:rsidR="008D2B80">
        <w:t xml:space="preserve"> </w:t>
      </w:r>
      <w:r w:rsidR="002C2A52" w:rsidRPr="002C2A52">
        <w:t xml:space="preserve">Studies previously considered by the PBAC were included in the meta-analysis </w:t>
      </w:r>
      <w:r w:rsidR="008D2B80" w:rsidRPr="008D2B80">
        <w:t>of Howes et al. (2020).</w:t>
      </w:r>
    </w:p>
    <w:p w:rsidR="00D468CF" w:rsidRDefault="00D468CF" w:rsidP="00AA65A1">
      <w:pPr>
        <w:pStyle w:val="TableFooter"/>
        <w:keepNext/>
      </w:pPr>
      <w:r w:rsidRPr="00CB77B5">
        <w:t xml:space="preserve">3 </w:t>
      </w:r>
      <w:r w:rsidR="002550E0" w:rsidRPr="00CB77B5">
        <w:t xml:space="preserve">Calculated </w:t>
      </w:r>
      <w:r w:rsidR="002C5D1C" w:rsidRPr="00CB77B5">
        <w:t xml:space="preserve">by Cochrane Review authors </w:t>
      </w:r>
      <w:r w:rsidR="002550E0" w:rsidRPr="00CB77B5">
        <w:t>using a f</w:t>
      </w:r>
      <w:r w:rsidRPr="00CB77B5">
        <w:t>ixed-effect model</w:t>
      </w:r>
      <w:r w:rsidR="0003189C">
        <w:t>.</w:t>
      </w:r>
    </w:p>
    <w:p w:rsidR="00E524F6" w:rsidRDefault="00E524F6" w:rsidP="00E524F6">
      <w:r>
        <w:t xml:space="preserve">The results of the individual studies included in Howes et al. (2020) are presented using a forest plot in </w:t>
      </w:r>
      <w:r w:rsidR="003C4A1C" w:rsidRPr="008306A2">
        <w:t xml:space="preserve">Figure </w:t>
      </w:r>
      <w:r w:rsidR="003C4A1C">
        <w:rPr>
          <w:noProof/>
        </w:rPr>
        <w:t>1</w:t>
      </w:r>
      <w:r>
        <w:t>.</w:t>
      </w:r>
    </w:p>
    <w:p w:rsidR="009C60FE" w:rsidRDefault="00CF2745" w:rsidP="009C60FE">
      <w:pPr>
        <w:keepNext/>
      </w:pPr>
      <w:r>
        <w:rPr>
          <w:noProof/>
        </w:rPr>
        <w:lastRenderedPageBreak/>
        <w:drawing>
          <wp:inline distT="0" distB="0" distL="0" distR="0" wp14:anchorId="5BA089D5" wp14:editId="7F699D1D">
            <wp:extent cx="5731510" cy="7261858"/>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a:extLst>
                        <a:ext uri="{28A0092B-C50C-407E-A947-70E740481C1C}">
                          <a14:useLocalDpi xmlns:a14="http://schemas.microsoft.com/office/drawing/2010/main" val="0"/>
                        </a:ext>
                      </a:extLst>
                    </a:blip>
                    <a:stretch>
                      <a:fillRect/>
                    </a:stretch>
                  </pic:blipFill>
                  <pic:spPr>
                    <a:xfrm>
                      <a:off x="0" y="0"/>
                      <a:ext cx="5731510" cy="7261858"/>
                    </a:xfrm>
                    <a:prstGeom prst="rect">
                      <a:avLst/>
                    </a:prstGeom>
                  </pic:spPr>
                </pic:pic>
              </a:graphicData>
            </a:graphic>
          </wp:inline>
        </w:drawing>
      </w:r>
    </w:p>
    <w:p w:rsidR="00061F78" w:rsidRPr="008306A2" w:rsidRDefault="009C60FE" w:rsidP="008306A2">
      <w:pPr>
        <w:pStyle w:val="FigureCaption"/>
      </w:pPr>
      <w:bookmarkStart w:id="68" w:name="_Ref53054757"/>
      <w:r w:rsidRPr="008306A2">
        <w:t xml:space="preserve">Figure </w:t>
      </w:r>
      <w:r w:rsidR="003C4A1C">
        <w:t>1</w:t>
      </w:r>
      <w:bookmarkEnd w:id="68"/>
      <w:r w:rsidRPr="008306A2">
        <w:t xml:space="preserve">: </w:t>
      </w:r>
      <w:r w:rsidR="00E524F6" w:rsidRPr="008306A2">
        <w:t>Results of smoking cessation f</w:t>
      </w:r>
      <w:r w:rsidR="00FD165D">
        <w:t>or</w:t>
      </w:r>
      <w:r w:rsidR="00E524F6" w:rsidRPr="008306A2">
        <w:t xml:space="preserve"> at least six months follow-up in Howes et al. (2020), bupropion versus placebo</w:t>
      </w:r>
    </w:p>
    <w:p w:rsidR="0084362A" w:rsidRDefault="006D7C6D" w:rsidP="00001C70">
      <w:pPr>
        <w:pStyle w:val="FigureFooter"/>
      </w:pPr>
      <w:r>
        <w:t xml:space="preserve">Source: </w:t>
      </w:r>
      <w:r w:rsidR="0084362A">
        <w:t>Howes et al. (2020)</w:t>
      </w:r>
    </w:p>
    <w:p w:rsidR="009C60FE" w:rsidRDefault="00001C70" w:rsidP="00001C70">
      <w:pPr>
        <w:pStyle w:val="FigureFooter"/>
      </w:pPr>
      <w:r>
        <w:t>Abbreviations: CI = confidence interval</w:t>
      </w:r>
    </w:p>
    <w:p w:rsidR="00FD4061" w:rsidRDefault="00FD4061" w:rsidP="00001C70">
      <w:pPr>
        <w:pStyle w:val="FigureFooter"/>
      </w:pPr>
      <w:r>
        <w:t>Notes: McCarthy 2008 (1) and McCarthy 2008 (2)</w:t>
      </w:r>
      <w:r w:rsidR="00281382">
        <w:t xml:space="preserve"> </w:t>
      </w:r>
      <w:r w:rsidR="00771C66">
        <w:t>refer</w:t>
      </w:r>
      <w:r w:rsidR="00281382">
        <w:t xml:space="preserve"> to the same study</w:t>
      </w:r>
      <w:r w:rsidR="00A93814">
        <w:t>.</w:t>
      </w:r>
    </w:p>
    <w:p w:rsidR="00CC24AE" w:rsidRDefault="00CC24AE" w:rsidP="00CC24AE"/>
    <w:p w:rsidR="009E13D3" w:rsidRDefault="00CC24AE" w:rsidP="00001C70">
      <w:r>
        <w:lastRenderedPageBreak/>
        <w:t>Howes et al. (2020) conducted subgroup analyses t</w:t>
      </w:r>
      <w:r w:rsidRPr="00CC24AE">
        <w:t xml:space="preserve">o determine whether bupropion had differential effects based on </w:t>
      </w:r>
      <w:r w:rsidR="006D7C6D">
        <w:t xml:space="preserve">the </w:t>
      </w:r>
      <w:r w:rsidRPr="00CC24AE">
        <w:t>level of behavioural support</w:t>
      </w:r>
      <w:r w:rsidR="006D7C6D">
        <w:t xml:space="preserve"> and</w:t>
      </w:r>
      <w:r w:rsidR="006D7C6D" w:rsidRPr="006D7C6D">
        <w:t xml:space="preserve"> mental health diagnoses</w:t>
      </w:r>
      <w:r w:rsidR="009E13D3">
        <w:t>.</w:t>
      </w:r>
      <w:r w:rsidR="00605796">
        <w:t xml:space="preserve"> </w:t>
      </w:r>
      <w:r w:rsidR="009E13D3">
        <w:t xml:space="preserve">The authors </w:t>
      </w:r>
      <w:r w:rsidR="00934862">
        <w:t>stated that there was</w:t>
      </w:r>
      <w:r w:rsidR="009E13D3">
        <w:t xml:space="preserve"> no evidence of a differential effect of bupropion on smoking cessation between subgroups. </w:t>
      </w:r>
      <w:r w:rsidR="00934862">
        <w:t xml:space="preserve">The test for subgroup differences was not significant </w:t>
      </w:r>
      <w:r w:rsidR="00281382">
        <w:t>in</w:t>
      </w:r>
      <w:r w:rsidR="00934862">
        <w:t xml:space="preserve"> both subgroup analyses (</w:t>
      </w:r>
      <w:r w:rsidR="00586A34">
        <w:t>P</w:t>
      </w:r>
      <w:r w:rsidR="00934862">
        <w:t xml:space="preserve">=0.7 for behavioural support and </w:t>
      </w:r>
      <w:r w:rsidR="00586A34">
        <w:t>P</w:t>
      </w:r>
      <w:r w:rsidR="00934862">
        <w:t xml:space="preserve">=0.86 for mental health disorders). </w:t>
      </w:r>
    </w:p>
    <w:p w:rsidR="00001C70" w:rsidRPr="0073597F" w:rsidRDefault="00001C70" w:rsidP="00001C70">
      <w:pPr>
        <w:rPr>
          <w:u w:val="single"/>
        </w:rPr>
      </w:pPr>
      <w:r w:rsidRPr="0073597F">
        <w:rPr>
          <w:u w:val="single"/>
        </w:rPr>
        <w:t>Safety</w:t>
      </w:r>
    </w:p>
    <w:p w:rsidR="00214531" w:rsidRPr="00F8327E" w:rsidRDefault="00F8327E" w:rsidP="00001C70">
      <w:r>
        <w:t xml:space="preserve">A summary of </w:t>
      </w:r>
      <w:r w:rsidR="00A038AD">
        <w:t>key</w:t>
      </w:r>
      <w:r>
        <w:t xml:space="preserve"> adverse events </w:t>
      </w:r>
      <w:r w:rsidR="00827DC0">
        <w:t>comparing</w:t>
      </w:r>
      <w:r w:rsidR="00C72CCA">
        <w:t xml:space="preserve"> bupropion </w:t>
      </w:r>
      <w:r w:rsidR="00827DC0">
        <w:t>with</w:t>
      </w:r>
      <w:r w:rsidR="00C72CCA">
        <w:t xml:space="preserve"> placebo</w:t>
      </w:r>
      <w:r>
        <w:t xml:space="preserve"> is presented in </w:t>
      </w:r>
      <w:r w:rsidR="003C4A1C">
        <w:t xml:space="preserve">Table </w:t>
      </w:r>
      <w:r w:rsidR="003C4A1C">
        <w:rPr>
          <w:noProof/>
        </w:rPr>
        <w:t>8</w:t>
      </w:r>
      <w:r>
        <w:t xml:space="preserve">. </w:t>
      </w:r>
      <w:r w:rsidRPr="000F3331">
        <w:t xml:space="preserve">The incidence of any adverse events and psychiatric adverse events was not reported in </w:t>
      </w:r>
      <w:r w:rsidR="00F61F71" w:rsidRPr="000F3331">
        <w:t>Hurt et al. (1997) and Jorenby et al. (1999)</w:t>
      </w:r>
      <w:r w:rsidRPr="000F3331">
        <w:t>.</w:t>
      </w:r>
      <w:r>
        <w:t xml:space="preserve"> </w:t>
      </w:r>
      <w:r w:rsidR="000F3623">
        <w:t xml:space="preserve">Based on the meta-analysis conducted by Howes et al. (2020), a significantly higher proportion of patients in the bupropion arm experienced any adverse events, psychiatric adverse events and discontinuation due to adverse events compared with patients in the placebo arm. There were no statistically significant differences </w:t>
      </w:r>
      <w:r w:rsidR="00704A8A">
        <w:t xml:space="preserve">between the two treatment arms </w:t>
      </w:r>
      <w:r w:rsidR="000F3623">
        <w:t xml:space="preserve">in terms of serious adverse events in </w:t>
      </w:r>
      <w:r w:rsidR="00F61F71" w:rsidRPr="000F3331">
        <w:t>Hurt et al. (1997), Jorenby et al. (1999)</w:t>
      </w:r>
      <w:r w:rsidR="000F3623" w:rsidRPr="000F3331">
        <w:t xml:space="preserve"> nor</w:t>
      </w:r>
      <w:r w:rsidR="000F3623" w:rsidRPr="00D549B5">
        <w:t xml:space="preserve"> Howes et al. (2020), </w:t>
      </w:r>
      <w:r w:rsidR="000F3623" w:rsidRPr="000F3331">
        <w:t xml:space="preserve">although the proportion of patients experiencing serious adverse events was numerically higher in the bupropion arm in </w:t>
      </w:r>
      <w:r w:rsidR="00F61F71" w:rsidRPr="000F3331">
        <w:t>Hurt et al. (1997) and Jorenby et al. (1999)</w:t>
      </w:r>
      <w:r w:rsidR="000F3623" w:rsidRPr="00D549B5">
        <w:t>.</w:t>
      </w:r>
      <w:r w:rsidR="000F3623">
        <w:t xml:space="preserve"> </w:t>
      </w:r>
    </w:p>
    <w:p w:rsidR="00F8327E" w:rsidRDefault="00F8327E" w:rsidP="00F8327E">
      <w:pPr>
        <w:pStyle w:val="Caption"/>
        <w:keepNext/>
      </w:pPr>
      <w:bookmarkStart w:id="69" w:name="_Ref53139040"/>
      <w:r>
        <w:t xml:space="preserve">Table </w:t>
      </w:r>
      <w:r w:rsidR="003C4A1C">
        <w:rPr>
          <w:noProof/>
        </w:rPr>
        <w:t>8</w:t>
      </w:r>
      <w:bookmarkEnd w:id="69"/>
      <w:r>
        <w:t xml:space="preserve">: Summary of </w:t>
      </w:r>
      <w:r w:rsidR="00A038AD">
        <w:t xml:space="preserve">key </w:t>
      </w:r>
      <w:r>
        <w:t>adverse events, bupropion versus placebo</w:t>
      </w:r>
    </w:p>
    <w:tbl>
      <w:tblPr>
        <w:tblStyle w:val="TableGrid"/>
        <w:tblW w:w="5000" w:type="pct"/>
        <w:tblLook w:val="04A0" w:firstRow="1" w:lastRow="0" w:firstColumn="1" w:lastColumn="0" w:noHBand="0" w:noVBand="1"/>
        <w:tblCaption w:val="Efficacy results of adalimumab trials (PASI 75 and DLQI)"/>
      </w:tblPr>
      <w:tblGrid>
        <w:gridCol w:w="995"/>
        <w:gridCol w:w="1706"/>
        <w:gridCol w:w="1971"/>
        <w:gridCol w:w="1455"/>
        <w:gridCol w:w="1354"/>
        <w:gridCol w:w="1535"/>
      </w:tblGrid>
      <w:tr w:rsidR="00214531" w:rsidRPr="00061F78" w:rsidTr="006C3885">
        <w:trPr>
          <w:cantSplit/>
          <w:trHeight w:val="299"/>
          <w:tblHeader/>
        </w:trPr>
        <w:tc>
          <w:tcPr>
            <w:tcW w:w="552" w:type="pct"/>
            <w:shd w:val="clear" w:color="auto" w:fill="BFBFBF" w:themeFill="background1" w:themeFillShade="BF"/>
            <w:tcMar>
              <w:left w:w="28" w:type="dxa"/>
              <w:right w:w="28" w:type="dxa"/>
            </w:tcMar>
            <w:vAlign w:val="center"/>
          </w:tcPr>
          <w:p w:rsidR="00214531" w:rsidRPr="00061F78" w:rsidRDefault="00126B7B" w:rsidP="00F8327E">
            <w:pPr>
              <w:pStyle w:val="Tableheading"/>
              <w:keepNext/>
              <w:rPr>
                <w:rFonts w:eastAsia="MS Mincho"/>
              </w:rPr>
            </w:pPr>
            <w:r>
              <w:rPr>
                <w:rFonts w:eastAsia="MS Mincho"/>
              </w:rPr>
              <w:t>Study</w:t>
            </w:r>
          </w:p>
        </w:tc>
        <w:tc>
          <w:tcPr>
            <w:tcW w:w="946" w:type="pct"/>
            <w:shd w:val="clear" w:color="auto" w:fill="BFBFBF" w:themeFill="background1" w:themeFillShade="BF"/>
            <w:vAlign w:val="center"/>
          </w:tcPr>
          <w:p w:rsidR="00214531" w:rsidRDefault="00214531" w:rsidP="00F8327E">
            <w:pPr>
              <w:pStyle w:val="Tableheading"/>
              <w:keepNext/>
              <w:jc w:val="center"/>
              <w:rPr>
                <w:rFonts w:eastAsia="MS Mincho"/>
              </w:rPr>
            </w:pPr>
            <w:r>
              <w:rPr>
                <w:rFonts w:eastAsia="MS Mincho"/>
              </w:rPr>
              <w:t>Study type</w:t>
            </w:r>
          </w:p>
        </w:tc>
        <w:tc>
          <w:tcPr>
            <w:tcW w:w="1093" w:type="pct"/>
            <w:shd w:val="clear" w:color="auto" w:fill="BFBFBF" w:themeFill="background1" w:themeFillShade="BF"/>
            <w:tcMar>
              <w:left w:w="28" w:type="dxa"/>
              <w:right w:w="28" w:type="dxa"/>
            </w:tcMar>
            <w:vAlign w:val="center"/>
          </w:tcPr>
          <w:p w:rsidR="00214531" w:rsidRPr="002D7608" w:rsidRDefault="00914985" w:rsidP="00F8327E">
            <w:pPr>
              <w:pStyle w:val="Tableheading"/>
              <w:keepNext/>
              <w:jc w:val="center"/>
              <w:rPr>
                <w:rFonts w:eastAsia="MS Mincho"/>
                <w:vertAlign w:val="superscript"/>
              </w:rPr>
            </w:pPr>
            <w:r>
              <w:rPr>
                <w:rFonts w:eastAsia="MS Mincho"/>
              </w:rPr>
              <w:t>Previously considered studies included</w:t>
            </w:r>
            <w:r w:rsidR="002D7608">
              <w:rPr>
                <w:rFonts w:eastAsia="MS Mincho"/>
                <w:vertAlign w:val="superscript"/>
              </w:rPr>
              <w:t>1</w:t>
            </w:r>
          </w:p>
        </w:tc>
        <w:tc>
          <w:tcPr>
            <w:tcW w:w="807" w:type="pct"/>
            <w:shd w:val="clear" w:color="auto" w:fill="BFBFBF" w:themeFill="background1" w:themeFillShade="BF"/>
            <w:tcMar>
              <w:left w:w="28" w:type="dxa"/>
              <w:right w:w="28" w:type="dxa"/>
            </w:tcMar>
            <w:vAlign w:val="center"/>
          </w:tcPr>
          <w:p w:rsidR="00214531" w:rsidRPr="00061F78" w:rsidRDefault="00785E99" w:rsidP="00F8327E">
            <w:pPr>
              <w:pStyle w:val="Tableheading"/>
              <w:keepNext/>
              <w:jc w:val="center"/>
              <w:rPr>
                <w:rFonts w:eastAsia="MS Mincho"/>
              </w:rPr>
            </w:pPr>
            <w:r>
              <w:rPr>
                <w:rFonts w:eastAsia="MS Mincho"/>
              </w:rPr>
              <w:t>Bupropion</w:t>
            </w:r>
          </w:p>
        </w:tc>
        <w:tc>
          <w:tcPr>
            <w:tcW w:w="751" w:type="pct"/>
            <w:shd w:val="clear" w:color="auto" w:fill="BFBFBF" w:themeFill="background1" w:themeFillShade="BF"/>
            <w:tcMar>
              <w:left w:w="28" w:type="dxa"/>
              <w:right w:w="28" w:type="dxa"/>
            </w:tcMar>
            <w:vAlign w:val="center"/>
          </w:tcPr>
          <w:p w:rsidR="00214531" w:rsidRPr="00061F78" w:rsidRDefault="00785E99" w:rsidP="00F8327E">
            <w:pPr>
              <w:pStyle w:val="Tableheading"/>
              <w:keepNext/>
              <w:jc w:val="center"/>
              <w:rPr>
                <w:rFonts w:eastAsia="MS Mincho"/>
              </w:rPr>
            </w:pPr>
            <w:r>
              <w:rPr>
                <w:rFonts w:eastAsia="MS Mincho"/>
              </w:rPr>
              <w:t>Placebo</w:t>
            </w:r>
          </w:p>
        </w:tc>
        <w:tc>
          <w:tcPr>
            <w:tcW w:w="851" w:type="pct"/>
            <w:shd w:val="clear" w:color="auto" w:fill="BFBFBF" w:themeFill="background1" w:themeFillShade="BF"/>
            <w:tcMar>
              <w:left w:w="28" w:type="dxa"/>
              <w:right w:w="28" w:type="dxa"/>
            </w:tcMar>
            <w:vAlign w:val="center"/>
          </w:tcPr>
          <w:p w:rsidR="00214531" w:rsidRPr="00D468CF" w:rsidRDefault="00214531" w:rsidP="00F8327E">
            <w:pPr>
              <w:pStyle w:val="Tableheading"/>
              <w:keepNext/>
              <w:jc w:val="center"/>
              <w:rPr>
                <w:rFonts w:eastAsia="MS Mincho"/>
                <w:vertAlign w:val="superscript"/>
              </w:rPr>
            </w:pPr>
            <w:r>
              <w:rPr>
                <w:rFonts w:eastAsia="MS Mincho"/>
              </w:rPr>
              <w:t>RR (95% CI)</w:t>
            </w:r>
            <w:r w:rsidR="002D7608">
              <w:rPr>
                <w:rFonts w:eastAsia="MS Mincho"/>
                <w:vertAlign w:val="superscript"/>
              </w:rPr>
              <w:t>2</w:t>
            </w:r>
          </w:p>
        </w:tc>
      </w:tr>
      <w:tr w:rsidR="00214531" w:rsidRPr="00061F78" w:rsidTr="005000A3">
        <w:trPr>
          <w:cantSplit/>
          <w:trHeight w:val="99"/>
        </w:trPr>
        <w:tc>
          <w:tcPr>
            <w:tcW w:w="5000" w:type="pct"/>
            <w:gridSpan w:val="6"/>
            <w:shd w:val="clear" w:color="auto" w:fill="auto"/>
            <w:tcMar>
              <w:left w:w="28" w:type="dxa"/>
              <w:right w:w="28" w:type="dxa"/>
            </w:tcMar>
            <w:vAlign w:val="center"/>
          </w:tcPr>
          <w:p w:rsidR="0056504D" w:rsidRPr="005000A3" w:rsidRDefault="0056504D" w:rsidP="00F8327E">
            <w:pPr>
              <w:pStyle w:val="Tablewriting"/>
              <w:keepNext/>
              <w:rPr>
                <w:rFonts w:eastAsia="MS Mincho"/>
                <w:b/>
                <w:bCs/>
              </w:rPr>
            </w:pPr>
            <w:r w:rsidRPr="005000A3">
              <w:rPr>
                <w:rFonts w:eastAsia="MS Mincho"/>
                <w:b/>
                <w:bCs/>
              </w:rPr>
              <w:t>Adverse events</w:t>
            </w:r>
          </w:p>
        </w:tc>
      </w:tr>
      <w:tr w:rsidR="00214531" w:rsidRPr="00061F78" w:rsidTr="006C3885">
        <w:trPr>
          <w:cantSplit/>
          <w:trHeight w:val="149"/>
        </w:trPr>
        <w:tc>
          <w:tcPr>
            <w:tcW w:w="552" w:type="pct"/>
            <w:tcMar>
              <w:left w:w="28" w:type="dxa"/>
              <w:right w:w="28" w:type="dxa"/>
            </w:tcMar>
          </w:tcPr>
          <w:p w:rsidR="00214531" w:rsidRDefault="00214531" w:rsidP="00F8327E">
            <w:pPr>
              <w:pStyle w:val="Tablewriting"/>
              <w:keepNext/>
              <w:rPr>
                <w:rFonts w:eastAsia="MS Mincho"/>
              </w:rPr>
            </w:pPr>
            <w:r>
              <w:rPr>
                <w:rFonts w:eastAsia="MS Mincho"/>
              </w:rPr>
              <w:t>Howes</w:t>
            </w:r>
            <w:r w:rsidRPr="00061F78">
              <w:rPr>
                <w:rFonts w:eastAsia="MS Mincho"/>
              </w:rPr>
              <w:t xml:space="preserve"> </w:t>
            </w:r>
          </w:p>
          <w:p w:rsidR="00214531" w:rsidRPr="00D468CF" w:rsidRDefault="00214531" w:rsidP="00F8327E">
            <w:pPr>
              <w:pStyle w:val="Tablewriting"/>
              <w:keepNext/>
              <w:rPr>
                <w:rFonts w:eastAsia="MS Mincho"/>
                <w:vertAlign w:val="superscript"/>
              </w:rPr>
            </w:pPr>
            <w:r w:rsidRPr="00061F78">
              <w:rPr>
                <w:rFonts w:eastAsia="MS Mincho"/>
              </w:rPr>
              <w:t>(20</w:t>
            </w:r>
            <w:r>
              <w:rPr>
                <w:rFonts w:eastAsia="MS Mincho"/>
              </w:rPr>
              <w:t>20</w:t>
            </w:r>
            <w:r w:rsidRPr="00061F78">
              <w:rPr>
                <w:rFonts w:eastAsia="MS Mincho"/>
              </w:rPr>
              <w:t>)</w:t>
            </w:r>
          </w:p>
        </w:tc>
        <w:tc>
          <w:tcPr>
            <w:tcW w:w="946" w:type="pct"/>
            <w:vAlign w:val="center"/>
          </w:tcPr>
          <w:p w:rsidR="00214531" w:rsidRDefault="00214531" w:rsidP="00F8327E">
            <w:pPr>
              <w:pStyle w:val="Tablewriting"/>
              <w:keepNext/>
              <w:jc w:val="center"/>
              <w:rPr>
                <w:rFonts w:eastAsia="MS Mincho"/>
              </w:rPr>
            </w:pPr>
            <w:r>
              <w:rPr>
                <w:rFonts w:eastAsia="MS Mincho"/>
              </w:rPr>
              <w:t>Cochrane Review (19 RCTs)</w:t>
            </w:r>
          </w:p>
        </w:tc>
        <w:tc>
          <w:tcPr>
            <w:tcW w:w="1093" w:type="pct"/>
            <w:tcMar>
              <w:left w:w="28" w:type="dxa"/>
              <w:right w:w="28" w:type="dxa"/>
            </w:tcMar>
            <w:vAlign w:val="center"/>
          </w:tcPr>
          <w:p w:rsidR="00214531" w:rsidRPr="00061F78" w:rsidRDefault="0043596D" w:rsidP="00F8327E">
            <w:pPr>
              <w:pStyle w:val="Tablewriting"/>
              <w:keepNext/>
              <w:jc w:val="center"/>
              <w:rPr>
                <w:rFonts w:eastAsia="MS Mincho"/>
              </w:rPr>
            </w:pPr>
            <w:r w:rsidRPr="006E6179">
              <w:rPr>
                <w:rFonts w:eastAsia="MS Mincho"/>
              </w:rPr>
              <w:t>No</w:t>
            </w:r>
          </w:p>
        </w:tc>
        <w:tc>
          <w:tcPr>
            <w:tcW w:w="807" w:type="pct"/>
            <w:tcMar>
              <w:left w:w="28" w:type="dxa"/>
              <w:right w:w="28" w:type="dxa"/>
            </w:tcMar>
            <w:vAlign w:val="center"/>
          </w:tcPr>
          <w:p w:rsidR="0043596D" w:rsidRDefault="0043596D" w:rsidP="0043596D">
            <w:pPr>
              <w:pStyle w:val="Tablewriting"/>
              <w:keepNext/>
              <w:jc w:val="center"/>
              <w:rPr>
                <w:rFonts w:eastAsia="MS Mincho"/>
              </w:rPr>
            </w:pPr>
            <w:r>
              <w:rPr>
                <w:rFonts w:eastAsia="MS Mincho"/>
              </w:rPr>
              <w:t>3</w:t>
            </w:r>
            <w:r w:rsidR="00B828EC">
              <w:rPr>
                <w:rFonts w:eastAsia="MS Mincho"/>
              </w:rPr>
              <w:t>,</w:t>
            </w:r>
            <w:r>
              <w:rPr>
                <w:rFonts w:eastAsia="MS Mincho"/>
              </w:rPr>
              <w:t>917</w:t>
            </w:r>
            <w:r w:rsidRPr="00061F78">
              <w:rPr>
                <w:rFonts w:eastAsia="MS Mincho"/>
              </w:rPr>
              <w:t>/</w:t>
            </w:r>
            <w:r>
              <w:rPr>
                <w:rFonts w:eastAsia="MS Mincho"/>
              </w:rPr>
              <w:t>5,978</w:t>
            </w:r>
            <w:r w:rsidRPr="00061F78">
              <w:rPr>
                <w:rFonts w:eastAsia="MS Mincho"/>
              </w:rPr>
              <w:t xml:space="preserve"> </w:t>
            </w:r>
          </w:p>
          <w:p w:rsidR="00214531" w:rsidRPr="00061F78" w:rsidRDefault="0043596D" w:rsidP="00F8327E">
            <w:pPr>
              <w:pStyle w:val="Tablewriting"/>
              <w:keepNext/>
              <w:jc w:val="center"/>
              <w:rPr>
                <w:rFonts w:eastAsia="MS Mincho"/>
              </w:rPr>
            </w:pPr>
            <w:r w:rsidRPr="00061F78">
              <w:rPr>
                <w:rFonts w:eastAsia="MS Mincho"/>
              </w:rPr>
              <w:t>(</w:t>
            </w:r>
            <w:r>
              <w:rPr>
                <w:rFonts w:eastAsia="MS Mincho"/>
              </w:rPr>
              <w:t>65</w:t>
            </w:r>
            <w:r w:rsidR="00214531">
              <w:rPr>
                <w:rFonts w:eastAsia="MS Mincho"/>
              </w:rPr>
              <w:t>.5</w:t>
            </w:r>
            <w:r w:rsidR="00214531" w:rsidRPr="00061F78">
              <w:rPr>
                <w:rFonts w:eastAsia="MS Mincho"/>
              </w:rPr>
              <w:t>%)</w:t>
            </w:r>
          </w:p>
        </w:tc>
        <w:tc>
          <w:tcPr>
            <w:tcW w:w="751" w:type="pct"/>
            <w:tcMar>
              <w:left w:w="28" w:type="dxa"/>
              <w:right w:w="28" w:type="dxa"/>
            </w:tcMar>
            <w:vAlign w:val="center"/>
          </w:tcPr>
          <w:p w:rsidR="0043596D" w:rsidRDefault="0043596D" w:rsidP="0043596D">
            <w:pPr>
              <w:pStyle w:val="Tablewriting"/>
              <w:keepNext/>
              <w:jc w:val="center"/>
              <w:rPr>
                <w:rFonts w:eastAsia="MS Mincho"/>
              </w:rPr>
            </w:pPr>
            <w:r>
              <w:rPr>
                <w:rFonts w:eastAsia="MS Mincho"/>
              </w:rPr>
              <w:t>2</w:t>
            </w:r>
            <w:r w:rsidR="00B828EC">
              <w:rPr>
                <w:rFonts w:eastAsia="MS Mincho"/>
              </w:rPr>
              <w:t>,</w:t>
            </w:r>
            <w:r>
              <w:rPr>
                <w:rFonts w:eastAsia="MS Mincho"/>
              </w:rPr>
              <w:t>827</w:t>
            </w:r>
            <w:r w:rsidRPr="00061F78">
              <w:rPr>
                <w:rFonts w:eastAsia="MS Mincho"/>
              </w:rPr>
              <w:t>/</w:t>
            </w:r>
            <w:r>
              <w:rPr>
                <w:rFonts w:eastAsia="MS Mincho"/>
              </w:rPr>
              <w:t>4,915</w:t>
            </w:r>
            <w:r w:rsidRPr="00061F78">
              <w:rPr>
                <w:rFonts w:eastAsia="MS Mincho"/>
              </w:rPr>
              <w:t xml:space="preserve"> </w:t>
            </w:r>
          </w:p>
          <w:p w:rsidR="00214531" w:rsidRPr="00061F78" w:rsidRDefault="0043596D" w:rsidP="00F8327E">
            <w:pPr>
              <w:pStyle w:val="Tablewriting"/>
              <w:keepNext/>
              <w:jc w:val="center"/>
              <w:rPr>
                <w:rFonts w:eastAsia="MS Mincho"/>
              </w:rPr>
            </w:pPr>
            <w:r w:rsidRPr="00061F78">
              <w:rPr>
                <w:rFonts w:eastAsia="MS Mincho"/>
              </w:rPr>
              <w:t>(</w:t>
            </w:r>
            <w:r>
              <w:rPr>
                <w:rFonts w:eastAsia="MS Mincho"/>
              </w:rPr>
              <w:t>57.5</w:t>
            </w:r>
            <w:r w:rsidRPr="00061F78">
              <w:rPr>
                <w:rFonts w:eastAsia="MS Mincho"/>
              </w:rPr>
              <w:t>%)</w:t>
            </w:r>
          </w:p>
        </w:tc>
        <w:tc>
          <w:tcPr>
            <w:tcW w:w="851" w:type="pct"/>
            <w:tcMar>
              <w:left w:w="28" w:type="dxa"/>
              <w:right w:w="28" w:type="dxa"/>
            </w:tcMar>
            <w:vAlign w:val="center"/>
          </w:tcPr>
          <w:p w:rsidR="00214531" w:rsidRPr="00D468CF" w:rsidRDefault="00214531" w:rsidP="00F8327E">
            <w:pPr>
              <w:pStyle w:val="Tablewriting"/>
              <w:keepNext/>
              <w:jc w:val="center"/>
              <w:rPr>
                <w:rFonts w:eastAsia="MS Mincho"/>
                <w:b/>
                <w:bCs/>
              </w:rPr>
            </w:pPr>
            <w:r w:rsidRPr="00D468CF">
              <w:rPr>
                <w:rFonts w:eastAsia="MS Mincho"/>
                <w:b/>
                <w:bCs/>
              </w:rPr>
              <w:t>1.</w:t>
            </w:r>
            <w:r>
              <w:rPr>
                <w:rFonts w:eastAsia="MS Mincho"/>
                <w:b/>
                <w:bCs/>
              </w:rPr>
              <w:t>14</w:t>
            </w:r>
          </w:p>
          <w:p w:rsidR="00214531" w:rsidRPr="00061F78" w:rsidRDefault="00214531" w:rsidP="00F8327E">
            <w:pPr>
              <w:pStyle w:val="Tablewriting"/>
              <w:keepNext/>
              <w:jc w:val="center"/>
              <w:rPr>
                <w:rFonts w:eastAsia="MS Mincho"/>
              </w:rPr>
            </w:pPr>
            <w:r w:rsidRPr="00D468CF">
              <w:rPr>
                <w:rFonts w:eastAsia="MS Mincho"/>
                <w:b/>
                <w:bCs/>
              </w:rPr>
              <w:t>(1.</w:t>
            </w:r>
            <w:r>
              <w:rPr>
                <w:rFonts w:eastAsia="MS Mincho"/>
                <w:b/>
                <w:bCs/>
              </w:rPr>
              <w:t>11</w:t>
            </w:r>
            <w:r w:rsidRPr="00D468CF">
              <w:rPr>
                <w:rFonts w:eastAsia="MS Mincho"/>
                <w:b/>
                <w:bCs/>
              </w:rPr>
              <w:t>, 1.</w:t>
            </w:r>
            <w:r>
              <w:rPr>
                <w:rFonts w:eastAsia="MS Mincho"/>
                <w:b/>
                <w:bCs/>
              </w:rPr>
              <w:t>18</w:t>
            </w:r>
            <w:r w:rsidRPr="00D468CF">
              <w:rPr>
                <w:rFonts w:eastAsia="MS Mincho"/>
                <w:b/>
                <w:bCs/>
              </w:rPr>
              <w:t>)</w:t>
            </w:r>
          </w:p>
        </w:tc>
      </w:tr>
      <w:tr w:rsidR="00B6509C" w:rsidRPr="00061F78" w:rsidTr="005000A3">
        <w:trPr>
          <w:cantSplit/>
          <w:trHeight w:val="149"/>
        </w:trPr>
        <w:tc>
          <w:tcPr>
            <w:tcW w:w="5000" w:type="pct"/>
            <w:gridSpan w:val="6"/>
            <w:shd w:val="clear" w:color="auto" w:fill="auto"/>
            <w:tcMar>
              <w:left w:w="28" w:type="dxa"/>
              <w:right w:w="28" w:type="dxa"/>
            </w:tcMar>
          </w:tcPr>
          <w:p w:rsidR="0056504D" w:rsidRPr="005000A3" w:rsidRDefault="0056504D" w:rsidP="00B6509C">
            <w:pPr>
              <w:pStyle w:val="Tablewriting"/>
              <w:keepNext/>
              <w:rPr>
                <w:rFonts w:eastAsia="MS Mincho"/>
                <w:b/>
                <w:bCs/>
              </w:rPr>
            </w:pPr>
            <w:r w:rsidRPr="005000A3">
              <w:rPr>
                <w:rFonts w:eastAsia="MS Mincho"/>
                <w:b/>
                <w:bCs/>
              </w:rPr>
              <w:t>Psychiatric adverse events</w:t>
            </w:r>
          </w:p>
        </w:tc>
      </w:tr>
      <w:tr w:rsidR="00B6509C" w:rsidRPr="00061F78" w:rsidTr="006C3885">
        <w:trPr>
          <w:cantSplit/>
          <w:trHeight w:val="149"/>
        </w:trPr>
        <w:tc>
          <w:tcPr>
            <w:tcW w:w="552" w:type="pct"/>
            <w:tcMar>
              <w:left w:w="28" w:type="dxa"/>
              <w:right w:w="28" w:type="dxa"/>
            </w:tcMar>
          </w:tcPr>
          <w:p w:rsidR="00B6509C" w:rsidRDefault="00B6509C" w:rsidP="00B6509C">
            <w:pPr>
              <w:pStyle w:val="Tablewriting"/>
              <w:keepNext/>
              <w:rPr>
                <w:rFonts w:eastAsia="MS Mincho"/>
              </w:rPr>
            </w:pPr>
            <w:r>
              <w:rPr>
                <w:rFonts w:eastAsia="MS Mincho"/>
              </w:rPr>
              <w:t>Howes</w:t>
            </w:r>
            <w:r w:rsidRPr="00061F78">
              <w:rPr>
                <w:rFonts w:eastAsia="MS Mincho"/>
              </w:rPr>
              <w:t xml:space="preserve"> </w:t>
            </w:r>
          </w:p>
          <w:p w:rsidR="00B6509C" w:rsidRDefault="00B6509C" w:rsidP="00B6509C">
            <w:pPr>
              <w:pStyle w:val="Tablewriting"/>
              <w:keepNext/>
              <w:rPr>
                <w:rFonts w:eastAsia="MS Mincho"/>
              </w:rPr>
            </w:pPr>
            <w:r w:rsidRPr="00061F78">
              <w:rPr>
                <w:rFonts w:eastAsia="MS Mincho"/>
              </w:rPr>
              <w:t>(20</w:t>
            </w:r>
            <w:r>
              <w:rPr>
                <w:rFonts w:eastAsia="MS Mincho"/>
              </w:rPr>
              <w:t>20</w:t>
            </w:r>
            <w:r w:rsidRPr="00061F78">
              <w:rPr>
                <w:rFonts w:eastAsia="MS Mincho"/>
              </w:rPr>
              <w:t>)</w:t>
            </w:r>
          </w:p>
        </w:tc>
        <w:tc>
          <w:tcPr>
            <w:tcW w:w="946" w:type="pct"/>
            <w:vAlign w:val="center"/>
          </w:tcPr>
          <w:p w:rsidR="00B6509C" w:rsidRDefault="00B6509C" w:rsidP="00B6509C">
            <w:pPr>
              <w:pStyle w:val="Tablewriting"/>
              <w:keepNext/>
              <w:jc w:val="center"/>
              <w:rPr>
                <w:rFonts w:eastAsia="MS Mincho"/>
              </w:rPr>
            </w:pPr>
            <w:r>
              <w:rPr>
                <w:rFonts w:eastAsia="MS Mincho"/>
              </w:rPr>
              <w:t>Cochrane Review (6 RCTs)</w:t>
            </w:r>
          </w:p>
        </w:tc>
        <w:tc>
          <w:tcPr>
            <w:tcW w:w="1093" w:type="pct"/>
            <w:tcMar>
              <w:left w:w="28" w:type="dxa"/>
              <w:right w:w="28" w:type="dxa"/>
            </w:tcMar>
            <w:vAlign w:val="center"/>
          </w:tcPr>
          <w:p w:rsidR="00B6509C" w:rsidRDefault="00B6509C" w:rsidP="00B6509C">
            <w:pPr>
              <w:pStyle w:val="Tablewriting"/>
              <w:keepNext/>
              <w:jc w:val="center"/>
              <w:rPr>
                <w:rFonts w:eastAsia="MS Mincho"/>
              </w:rPr>
            </w:pPr>
            <w:r w:rsidRPr="006E6179">
              <w:rPr>
                <w:rFonts w:eastAsia="MS Mincho"/>
              </w:rPr>
              <w:t>No</w:t>
            </w:r>
          </w:p>
        </w:tc>
        <w:tc>
          <w:tcPr>
            <w:tcW w:w="807" w:type="pct"/>
            <w:tcMar>
              <w:left w:w="28" w:type="dxa"/>
              <w:right w:w="28" w:type="dxa"/>
            </w:tcMar>
            <w:vAlign w:val="center"/>
          </w:tcPr>
          <w:p w:rsidR="00B6509C" w:rsidRDefault="00B6509C" w:rsidP="00B6509C">
            <w:pPr>
              <w:pStyle w:val="Tablewriting"/>
              <w:keepNext/>
              <w:jc w:val="center"/>
              <w:rPr>
                <w:rFonts w:eastAsia="MS Mincho"/>
              </w:rPr>
            </w:pPr>
            <w:r>
              <w:rPr>
                <w:rFonts w:eastAsia="MS Mincho"/>
              </w:rPr>
              <w:t>790</w:t>
            </w:r>
            <w:r w:rsidRPr="00061F78">
              <w:rPr>
                <w:rFonts w:eastAsia="MS Mincho"/>
              </w:rPr>
              <w:t>/</w:t>
            </w:r>
            <w:r>
              <w:rPr>
                <w:rFonts w:eastAsia="MS Mincho"/>
              </w:rPr>
              <w:t>2,211</w:t>
            </w:r>
            <w:r w:rsidRPr="00061F78">
              <w:rPr>
                <w:rFonts w:eastAsia="MS Mincho"/>
              </w:rPr>
              <w:t xml:space="preserve"> </w:t>
            </w:r>
          </w:p>
          <w:p w:rsidR="00B6509C" w:rsidRDefault="00B6509C" w:rsidP="00B6509C">
            <w:pPr>
              <w:pStyle w:val="Tablewriting"/>
              <w:keepNext/>
              <w:jc w:val="center"/>
              <w:rPr>
                <w:rFonts w:eastAsia="MS Mincho"/>
              </w:rPr>
            </w:pPr>
            <w:r w:rsidRPr="00061F78">
              <w:rPr>
                <w:rFonts w:eastAsia="MS Mincho"/>
              </w:rPr>
              <w:t>(</w:t>
            </w:r>
            <w:r>
              <w:rPr>
                <w:rFonts w:eastAsia="MS Mincho"/>
              </w:rPr>
              <w:t>35.7</w:t>
            </w:r>
            <w:r w:rsidRPr="00061F78">
              <w:rPr>
                <w:rFonts w:eastAsia="MS Mincho"/>
              </w:rPr>
              <w:t>%)</w:t>
            </w:r>
          </w:p>
        </w:tc>
        <w:tc>
          <w:tcPr>
            <w:tcW w:w="751" w:type="pct"/>
            <w:tcMar>
              <w:left w:w="28" w:type="dxa"/>
              <w:right w:w="28" w:type="dxa"/>
            </w:tcMar>
            <w:vAlign w:val="center"/>
          </w:tcPr>
          <w:p w:rsidR="00B6509C" w:rsidRDefault="00B6509C" w:rsidP="00B6509C">
            <w:pPr>
              <w:pStyle w:val="Tablewriting"/>
              <w:keepNext/>
              <w:jc w:val="center"/>
              <w:rPr>
                <w:rFonts w:eastAsia="MS Mincho"/>
              </w:rPr>
            </w:pPr>
            <w:r>
              <w:rPr>
                <w:rFonts w:eastAsia="MS Mincho"/>
              </w:rPr>
              <w:t>632</w:t>
            </w:r>
            <w:r w:rsidRPr="00061F78">
              <w:rPr>
                <w:rFonts w:eastAsia="MS Mincho"/>
              </w:rPr>
              <w:t>/</w:t>
            </w:r>
            <w:r>
              <w:rPr>
                <w:rFonts w:eastAsia="MS Mincho"/>
              </w:rPr>
              <w:t>2,228</w:t>
            </w:r>
            <w:r w:rsidRPr="00061F78">
              <w:rPr>
                <w:rFonts w:eastAsia="MS Mincho"/>
              </w:rPr>
              <w:t xml:space="preserve"> </w:t>
            </w:r>
          </w:p>
          <w:p w:rsidR="00B6509C" w:rsidRDefault="00B6509C" w:rsidP="00B6509C">
            <w:pPr>
              <w:pStyle w:val="Tablewriting"/>
              <w:keepNext/>
              <w:jc w:val="center"/>
              <w:rPr>
                <w:rFonts w:eastAsia="MS Mincho"/>
              </w:rPr>
            </w:pPr>
            <w:r w:rsidRPr="00061F78">
              <w:rPr>
                <w:rFonts w:eastAsia="MS Mincho"/>
              </w:rPr>
              <w:t>(</w:t>
            </w:r>
            <w:r>
              <w:rPr>
                <w:rFonts w:eastAsia="MS Mincho"/>
              </w:rPr>
              <w:t>28.4</w:t>
            </w:r>
            <w:r w:rsidRPr="00061F78">
              <w:rPr>
                <w:rFonts w:eastAsia="MS Mincho"/>
              </w:rPr>
              <w:t>%)</w:t>
            </w:r>
          </w:p>
        </w:tc>
        <w:tc>
          <w:tcPr>
            <w:tcW w:w="851" w:type="pct"/>
            <w:tcMar>
              <w:left w:w="28" w:type="dxa"/>
              <w:right w:w="28" w:type="dxa"/>
            </w:tcMar>
            <w:vAlign w:val="center"/>
          </w:tcPr>
          <w:p w:rsidR="00B6509C" w:rsidRPr="00893F2B" w:rsidRDefault="00B6509C" w:rsidP="00B6509C">
            <w:pPr>
              <w:pStyle w:val="Tablewriting"/>
              <w:keepNext/>
              <w:jc w:val="center"/>
              <w:rPr>
                <w:rFonts w:eastAsia="MS Mincho"/>
                <w:b/>
                <w:bCs/>
              </w:rPr>
            </w:pPr>
            <w:r w:rsidRPr="00893F2B">
              <w:rPr>
                <w:rFonts w:eastAsia="MS Mincho"/>
                <w:b/>
                <w:bCs/>
              </w:rPr>
              <w:t>1.25</w:t>
            </w:r>
          </w:p>
          <w:p w:rsidR="00B6509C" w:rsidRPr="00D468CF" w:rsidRDefault="00B6509C" w:rsidP="00B6509C">
            <w:pPr>
              <w:pStyle w:val="Tablewriting"/>
              <w:keepNext/>
              <w:jc w:val="center"/>
              <w:rPr>
                <w:rFonts w:eastAsia="MS Mincho"/>
                <w:b/>
                <w:bCs/>
              </w:rPr>
            </w:pPr>
            <w:r w:rsidRPr="00893F2B">
              <w:rPr>
                <w:rFonts w:eastAsia="MS Mincho"/>
                <w:b/>
                <w:bCs/>
              </w:rPr>
              <w:t>(1.15, 1.37)</w:t>
            </w:r>
          </w:p>
        </w:tc>
      </w:tr>
      <w:tr w:rsidR="00214531" w:rsidRPr="00061F78" w:rsidTr="005000A3">
        <w:trPr>
          <w:cantSplit/>
          <w:trHeight w:val="149"/>
        </w:trPr>
        <w:tc>
          <w:tcPr>
            <w:tcW w:w="5000" w:type="pct"/>
            <w:gridSpan w:val="6"/>
            <w:shd w:val="clear" w:color="auto" w:fill="auto"/>
            <w:tcMar>
              <w:left w:w="28" w:type="dxa"/>
              <w:right w:w="28" w:type="dxa"/>
            </w:tcMar>
            <w:vAlign w:val="center"/>
          </w:tcPr>
          <w:p w:rsidR="0056504D" w:rsidRPr="005000A3" w:rsidRDefault="0056504D" w:rsidP="00F8327E">
            <w:pPr>
              <w:pStyle w:val="Tablewriting"/>
              <w:keepNext/>
              <w:rPr>
                <w:rFonts w:eastAsia="MS Mincho"/>
                <w:b/>
                <w:bCs/>
              </w:rPr>
            </w:pPr>
            <w:r w:rsidRPr="005000A3">
              <w:rPr>
                <w:rFonts w:eastAsia="MS Mincho"/>
                <w:b/>
                <w:bCs/>
              </w:rPr>
              <w:t>Serious adverse events</w:t>
            </w:r>
          </w:p>
        </w:tc>
      </w:tr>
      <w:tr w:rsidR="00214531" w:rsidRPr="00061F78" w:rsidTr="006C3885">
        <w:trPr>
          <w:cantSplit/>
          <w:trHeight w:val="149"/>
        </w:trPr>
        <w:tc>
          <w:tcPr>
            <w:tcW w:w="552" w:type="pct"/>
            <w:tcMar>
              <w:left w:w="28" w:type="dxa"/>
              <w:right w:w="28" w:type="dxa"/>
            </w:tcMar>
          </w:tcPr>
          <w:p w:rsidR="00214531" w:rsidRDefault="00214531" w:rsidP="00F8327E">
            <w:pPr>
              <w:pStyle w:val="Tablewriting"/>
              <w:keepNext/>
              <w:rPr>
                <w:rFonts w:eastAsia="MS Mincho"/>
              </w:rPr>
            </w:pPr>
            <w:r>
              <w:rPr>
                <w:rFonts w:eastAsia="MS Mincho"/>
              </w:rPr>
              <w:t>Howes</w:t>
            </w:r>
            <w:r w:rsidRPr="00061F78">
              <w:rPr>
                <w:rFonts w:eastAsia="MS Mincho"/>
              </w:rPr>
              <w:t xml:space="preserve"> </w:t>
            </w:r>
          </w:p>
          <w:p w:rsidR="00214531" w:rsidRDefault="00214531" w:rsidP="00F8327E">
            <w:pPr>
              <w:pStyle w:val="Tablewriting"/>
              <w:keepNext/>
              <w:rPr>
                <w:rFonts w:eastAsia="MS Mincho"/>
              </w:rPr>
            </w:pPr>
            <w:r w:rsidRPr="00061F78">
              <w:rPr>
                <w:rFonts w:eastAsia="MS Mincho"/>
              </w:rPr>
              <w:t>(20</w:t>
            </w:r>
            <w:r>
              <w:rPr>
                <w:rFonts w:eastAsia="MS Mincho"/>
              </w:rPr>
              <w:t>20</w:t>
            </w:r>
            <w:r w:rsidRPr="00061F78">
              <w:rPr>
                <w:rFonts w:eastAsia="MS Mincho"/>
              </w:rPr>
              <w:t>)</w:t>
            </w:r>
          </w:p>
        </w:tc>
        <w:tc>
          <w:tcPr>
            <w:tcW w:w="946" w:type="pct"/>
            <w:vAlign w:val="center"/>
          </w:tcPr>
          <w:p w:rsidR="00214531" w:rsidRDefault="00214531" w:rsidP="00F8327E">
            <w:pPr>
              <w:pStyle w:val="Tablewriting"/>
              <w:keepNext/>
              <w:jc w:val="center"/>
              <w:rPr>
                <w:rFonts w:eastAsia="MS Mincho"/>
              </w:rPr>
            </w:pPr>
            <w:r>
              <w:rPr>
                <w:rFonts w:eastAsia="MS Mincho"/>
              </w:rPr>
              <w:t>Cochrane Review (</w:t>
            </w:r>
            <w:r w:rsidR="00996039">
              <w:rPr>
                <w:rFonts w:eastAsia="MS Mincho"/>
              </w:rPr>
              <w:t>21</w:t>
            </w:r>
            <w:r>
              <w:rPr>
                <w:rFonts w:eastAsia="MS Mincho"/>
              </w:rPr>
              <w:t xml:space="preserve"> </w:t>
            </w:r>
            <w:r w:rsidR="00C51359">
              <w:rPr>
                <w:rFonts w:eastAsia="MS Mincho"/>
              </w:rPr>
              <w:t>RCTs</w:t>
            </w:r>
            <w:r>
              <w:rPr>
                <w:rFonts w:eastAsia="MS Mincho"/>
              </w:rPr>
              <w:t>)</w:t>
            </w:r>
          </w:p>
        </w:tc>
        <w:tc>
          <w:tcPr>
            <w:tcW w:w="1093" w:type="pct"/>
            <w:tcMar>
              <w:left w:w="28" w:type="dxa"/>
              <w:right w:w="28" w:type="dxa"/>
            </w:tcMar>
            <w:vAlign w:val="center"/>
          </w:tcPr>
          <w:p w:rsidR="00214531" w:rsidRPr="008846EB" w:rsidRDefault="008846EB" w:rsidP="00F8327E">
            <w:pPr>
              <w:pStyle w:val="Tablewriting"/>
              <w:keepNext/>
              <w:jc w:val="center"/>
              <w:rPr>
                <w:rFonts w:eastAsia="MS Mincho"/>
                <w:highlight w:val="black"/>
              </w:rPr>
            </w:pPr>
            <w:r>
              <w:rPr>
                <w:rFonts w:eastAsia="MS Mincho"/>
                <w:noProof/>
                <w:color w:val="000000"/>
                <w:highlight w:val="black"/>
              </w:rPr>
              <w:t>'''''''' ''''''''''' '''''''' '''''''''''''' '''''''''''''</w:t>
            </w:r>
          </w:p>
        </w:tc>
        <w:tc>
          <w:tcPr>
            <w:tcW w:w="807" w:type="pct"/>
            <w:tcMar>
              <w:left w:w="28" w:type="dxa"/>
              <w:right w:w="28" w:type="dxa"/>
            </w:tcMar>
            <w:vAlign w:val="center"/>
          </w:tcPr>
          <w:p w:rsidR="00214531" w:rsidRDefault="00C51359" w:rsidP="00F8327E">
            <w:pPr>
              <w:pStyle w:val="Tablewriting"/>
              <w:keepNext/>
              <w:jc w:val="center"/>
              <w:rPr>
                <w:rFonts w:eastAsia="MS Mincho"/>
              </w:rPr>
            </w:pPr>
            <w:r>
              <w:rPr>
                <w:rFonts w:eastAsia="MS Mincho"/>
              </w:rPr>
              <w:t>139</w:t>
            </w:r>
            <w:r w:rsidRPr="00061F78">
              <w:rPr>
                <w:rFonts w:eastAsia="MS Mincho"/>
              </w:rPr>
              <w:t>/</w:t>
            </w:r>
            <w:r>
              <w:rPr>
                <w:rFonts w:eastAsia="MS Mincho"/>
              </w:rPr>
              <w:t>6,094</w:t>
            </w:r>
            <w:r w:rsidR="00214531" w:rsidRPr="00061F78">
              <w:rPr>
                <w:rFonts w:eastAsia="MS Mincho"/>
              </w:rPr>
              <w:t xml:space="preserve"> </w:t>
            </w:r>
          </w:p>
          <w:p w:rsidR="00214531" w:rsidRDefault="00214531" w:rsidP="00F8327E">
            <w:pPr>
              <w:pStyle w:val="Tablewriting"/>
              <w:keepNext/>
              <w:jc w:val="center"/>
              <w:rPr>
                <w:rFonts w:eastAsia="MS Mincho"/>
              </w:rPr>
            </w:pPr>
            <w:r w:rsidRPr="00061F78">
              <w:rPr>
                <w:rFonts w:eastAsia="MS Mincho"/>
              </w:rPr>
              <w:t>(</w:t>
            </w:r>
            <w:r w:rsidR="00275BAC">
              <w:rPr>
                <w:rFonts w:eastAsia="MS Mincho"/>
              </w:rPr>
              <w:t>2.</w:t>
            </w:r>
            <w:r w:rsidR="00C51359">
              <w:rPr>
                <w:rFonts w:eastAsia="MS Mincho"/>
              </w:rPr>
              <w:t>3</w:t>
            </w:r>
            <w:r w:rsidRPr="00061F78">
              <w:rPr>
                <w:rFonts w:eastAsia="MS Mincho"/>
              </w:rPr>
              <w:t>%)</w:t>
            </w:r>
          </w:p>
        </w:tc>
        <w:tc>
          <w:tcPr>
            <w:tcW w:w="751" w:type="pct"/>
            <w:tcMar>
              <w:left w:w="28" w:type="dxa"/>
              <w:right w:w="28" w:type="dxa"/>
            </w:tcMar>
            <w:vAlign w:val="center"/>
          </w:tcPr>
          <w:p w:rsidR="00C51359" w:rsidRDefault="00C51359" w:rsidP="00C51359">
            <w:pPr>
              <w:pStyle w:val="Tablewriting"/>
              <w:keepNext/>
              <w:jc w:val="center"/>
              <w:rPr>
                <w:rFonts w:eastAsia="MS Mincho"/>
              </w:rPr>
            </w:pPr>
            <w:r>
              <w:rPr>
                <w:rFonts w:eastAsia="MS Mincho"/>
              </w:rPr>
              <w:t>107</w:t>
            </w:r>
            <w:r w:rsidRPr="00061F78">
              <w:rPr>
                <w:rFonts w:eastAsia="MS Mincho"/>
              </w:rPr>
              <w:t>/</w:t>
            </w:r>
            <w:r>
              <w:rPr>
                <w:rFonts w:eastAsia="MS Mincho"/>
              </w:rPr>
              <w:t>4,531</w:t>
            </w:r>
            <w:r w:rsidRPr="00061F78">
              <w:rPr>
                <w:rFonts w:eastAsia="MS Mincho"/>
              </w:rPr>
              <w:t xml:space="preserve"> </w:t>
            </w:r>
          </w:p>
          <w:p w:rsidR="00214531" w:rsidRPr="00061F78" w:rsidRDefault="00C51359" w:rsidP="00F8327E">
            <w:pPr>
              <w:pStyle w:val="Tablewriting"/>
              <w:keepNext/>
              <w:jc w:val="center"/>
              <w:rPr>
                <w:rFonts w:eastAsia="MS Mincho"/>
              </w:rPr>
            </w:pPr>
            <w:r w:rsidRPr="00061F78">
              <w:rPr>
                <w:rFonts w:eastAsia="MS Mincho"/>
              </w:rPr>
              <w:t>(</w:t>
            </w:r>
            <w:r>
              <w:rPr>
                <w:rFonts w:eastAsia="MS Mincho"/>
              </w:rPr>
              <w:t>2.4</w:t>
            </w:r>
            <w:r w:rsidRPr="00061F78">
              <w:rPr>
                <w:rFonts w:eastAsia="MS Mincho"/>
              </w:rPr>
              <w:t>%)</w:t>
            </w:r>
          </w:p>
        </w:tc>
        <w:tc>
          <w:tcPr>
            <w:tcW w:w="851" w:type="pct"/>
            <w:tcMar>
              <w:left w:w="28" w:type="dxa"/>
              <w:right w:w="28" w:type="dxa"/>
            </w:tcMar>
            <w:vAlign w:val="center"/>
          </w:tcPr>
          <w:p w:rsidR="00214531" w:rsidRPr="00275BAC" w:rsidRDefault="00214531" w:rsidP="00F8327E">
            <w:pPr>
              <w:pStyle w:val="Tablewriting"/>
              <w:keepNext/>
              <w:jc w:val="center"/>
              <w:rPr>
                <w:rFonts w:eastAsia="MS Mincho"/>
              </w:rPr>
            </w:pPr>
            <w:r w:rsidRPr="00275BAC">
              <w:rPr>
                <w:rFonts w:eastAsia="MS Mincho"/>
              </w:rPr>
              <w:t>1.1</w:t>
            </w:r>
            <w:r w:rsidR="00275BAC" w:rsidRPr="00275BAC">
              <w:rPr>
                <w:rFonts w:eastAsia="MS Mincho"/>
              </w:rPr>
              <w:t>6</w:t>
            </w:r>
          </w:p>
          <w:p w:rsidR="00214531" w:rsidRPr="00275BAC" w:rsidRDefault="00214531" w:rsidP="00F8327E">
            <w:pPr>
              <w:pStyle w:val="Tablewriting"/>
              <w:keepNext/>
              <w:jc w:val="center"/>
              <w:rPr>
                <w:rFonts w:eastAsia="MS Mincho"/>
              </w:rPr>
            </w:pPr>
            <w:r w:rsidRPr="00275BAC">
              <w:rPr>
                <w:rFonts w:eastAsia="MS Mincho"/>
              </w:rPr>
              <w:t>(</w:t>
            </w:r>
            <w:r w:rsidR="00275BAC" w:rsidRPr="00275BAC">
              <w:rPr>
                <w:rFonts w:eastAsia="MS Mincho"/>
              </w:rPr>
              <w:t>0.9</w:t>
            </w:r>
            <w:r w:rsidRPr="00275BAC">
              <w:rPr>
                <w:rFonts w:eastAsia="MS Mincho"/>
              </w:rPr>
              <w:t>, 1.</w:t>
            </w:r>
            <w:r w:rsidR="00275BAC" w:rsidRPr="00275BAC">
              <w:rPr>
                <w:rFonts w:eastAsia="MS Mincho"/>
              </w:rPr>
              <w:t>4</w:t>
            </w:r>
            <w:r w:rsidRPr="00275BAC">
              <w:rPr>
                <w:rFonts w:eastAsia="MS Mincho"/>
              </w:rPr>
              <w:t>8)</w:t>
            </w:r>
          </w:p>
        </w:tc>
      </w:tr>
      <w:tr w:rsidR="00893F2B" w:rsidRPr="00061F78" w:rsidTr="005000A3">
        <w:trPr>
          <w:cantSplit/>
          <w:trHeight w:val="149"/>
        </w:trPr>
        <w:tc>
          <w:tcPr>
            <w:tcW w:w="5000" w:type="pct"/>
            <w:gridSpan w:val="6"/>
            <w:shd w:val="clear" w:color="auto" w:fill="auto"/>
            <w:tcMar>
              <w:left w:w="28" w:type="dxa"/>
              <w:right w:w="28" w:type="dxa"/>
            </w:tcMar>
          </w:tcPr>
          <w:p w:rsidR="0056504D" w:rsidRPr="005000A3" w:rsidRDefault="0056504D" w:rsidP="00F8327E">
            <w:pPr>
              <w:pStyle w:val="Tablewriting"/>
              <w:keepNext/>
              <w:rPr>
                <w:rFonts w:eastAsia="MS Mincho"/>
                <w:b/>
                <w:bCs/>
              </w:rPr>
            </w:pPr>
            <w:r w:rsidRPr="005000A3">
              <w:rPr>
                <w:rFonts w:eastAsia="MS Mincho"/>
                <w:b/>
                <w:bCs/>
              </w:rPr>
              <w:t>Discontinuation due to adverse events</w:t>
            </w:r>
          </w:p>
        </w:tc>
      </w:tr>
      <w:tr w:rsidR="00893F2B" w:rsidRPr="00061F78" w:rsidTr="006C3885">
        <w:trPr>
          <w:cantSplit/>
          <w:trHeight w:val="149"/>
        </w:trPr>
        <w:tc>
          <w:tcPr>
            <w:tcW w:w="552" w:type="pct"/>
            <w:tcMar>
              <w:left w:w="28" w:type="dxa"/>
              <w:right w:w="28" w:type="dxa"/>
            </w:tcMar>
          </w:tcPr>
          <w:p w:rsidR="00893F2B" w:rsidRDefault="00893F2B" w:rsidP="00F8327E">
            <w:pPr>
              <w:pStyle w:val="Tablewriting"/>
              <w:keepNext/>
              <w:rPr>
                <w:rFonts w:eastAsia="MS Mincho"/>
              </w:rPr>
            </w:pPr>
            <w:r>
              <w:rPr>
                <w:rFonts w:eastAsia="MS Mincho"/>
              </w:rPr>
              <w:t>Howes</w:t>
            </w:r>
            <w:r w:rsidRPr="00061F78">
              <w:rPr>
                <w:rFonts w:eastAsia="MS Mincho"/>
              </w:rPr>
              <w:t xml:space="preserve"> </w:t>
            </w:r>
          </w:p>
          <w:p w:rsidR="00893F2B" w:rsidRDefault="00893F2B" w:rsidP="00F8327E">
            <w:pPr>
              <w:pStyle w:val="Tablewriting"/>
              <w:keepNext/>
              <w:rPr>
                <w:rFonts w:eastAsia="MS Mincho"/>
              </w:rPr>
            </w:pPr>
            <w:r w:rsidRPr="00061F78">
              <w:rPr>
                <w:rFonts w:eastAsia="MS Mincho"/>
              </w:rPr>
              <w:t>(20</w:t>
            </w:r>
            <w:r>
              <w:rPr>
                <w:rFonts w:eastAsia="MS Mincho"/>
              </w:rPr>
              <w:t>20</w:t>
            </w:r>
            <w:r w:rsidRPr="00061F78">
              <w:rPr>
                <w:rFonts w:eastAsia="MS Mincho"/>
              </w:rPr>
              <w:t>)</w:t>
            </w:r>
          </w:p>
        </w:tc>
        <w:tc>
          <w:tcPr>
            <w:tcW w:w="946" w:type="pct"/>
            <w:vAlign w:val="center"/>
          </w:tcPr>
          <w:p w:rsidR="00893F2B" w:rsidRDefault="00893F2B" w:rsidP="00F8327E">
            <w:pPr>
              <w:pStyle w:val="Tablewriting"/>
              <w:keepNext/>
              <w:jc w:val="center"/>
              <w:rPr>
                <w:rFonts w:eastAsia="MS Mincho"/>
              </w:rPr>
            </w:pPr>
            <w:r>
              <w:rPr>
                <w:rFonts w:eastAsia="MS Mincho"/>
              </w:rPr>
              <w:t>Cochrane Review (2</w:t>
            </w:r>
            <w:r w:rsidR="00F8327E">
              <w:rPr>
                <w:rFonts w:eastAsia="MS Mincho"/>
              </w:rPr>
              <w:t>5</w:t>
            </w:r>
            <w:r>
              <w:rPr>
                <w:rFonts w:eastAsia="MS Mincho"/>
              </w:rPr>
              <w:t xml:space="preserve"> </w:t>
            </w:r>
            <w:r w:rsidR="00607D39">
              <w:rPr>
                <w:rFonts w:eastAsia="MS Mincho"/>
              </w:rPr>
              <w:t>RCTs</w:t>
            </w:r>
            <w:r>
              <w:rPr>
                <w:rFonts w:eastAsia="MS Mincho"/>
              </w:rPr>
              <w:t>)</w:t>
            </w:r>
          </w:p>
        </w:tc>
        <w:tc>
          <w:tcPr>
            <w:tcW w:w="1093" w:type="pct"/>
            <w:tcMar>
              <w:left w:w="28" w:type="dxa"/>
              <w:right w:w="28" w:type="dxa"/>
            </w:tcMar>
            <w:vAlign w:val="center"/>
          </w:tcPr>
          <w:p w:rsidR="00893F2B" w:rsidRPr="008846EB" w:rsidRDefault="008846EB" w:rsidP="00F8327E">
            <w:pPr>
              <w:pStyle w:val="Tablewriting"/>
              <w:keepNext/>
              <w:jc w:val="center"/>
              <w:rPr>
                <w:rFonts w:eastAsia="MS Mincho"/>
                <w:highlight w:val="black"/>
              </w:rPr>
            </w:pPr>
            <w:r>
              <w:rPr>
                <w:rFonts w:eastAsia="MS Mincho"/>
                <w:noProof/>
                <w:color w:val="000000"/>
                <w:highlight w:val="black"/>
              </w:rPr>
              <w:t>'''''''''' '''''''''''' ''''''' '''''''''''''' '''''''''''</w:t>
            </w:r>
          </w:p>
        </w:tc>
        <w:tc>
          <w:tcPr>
            <w:tcW w:w="807" w:type="pct"/>
            <w:tcMar>
              <w:left w:w="28" w:type="dxa"/>
              <w:right w:w="28" w:type="dxa"/>
            </w:tcMar>
            <w:vAlign w:val="center"/>
          </w:tcPr>
          <w:p w:rsidR="00607D39" w:rsidRDefault="00607D39" w:rsidP="00607D39">
            <w:pPr>
              <w:pStyle w:val="Tablewriting"/>
              <w:keepNext/>
              <w:jc w:val="center"/>
              <w:rPr>
                <w:rFonts w:eastAsia="MS Mincho"/>
              </w:rPr>
            </w:pPr>
            <w:r>
              <w:rPr>
                <w:rFonts w:eastAsia="MS Mincho"/>
              </w:rPr>
              <w:t>606</w:t>
            </w:r>
            <w:r w:rsidRPr="00061F78">
              <w:rPr>
                <w:rFonts w:eastAsia="MS Mincho"/>
              </w:rPr>
              <w:t>/</w:t>
            </w:r>
            <w:r>
              <w:rPr>
                <w:rFonts w:eastAsia="MS Mincho"/>
              </w:rPr>
              <w:t>6,888</w:t>
            </w:r>
            <w:r w:rsidRPr="00061F78">
              <w:rPr>
                <w:rFonts w:eastAsia="MS Mincho"/>
              </w:rPr>
              <w:t xml:space="preserve"> </w:t>
            </w:r>
          </w:p>
          <w:p w:rsidR="00893F2B" w:rsidRDefault="00607D39" w:rsidP="00F8327E">
            <w:pPr>
              <w:pStyle w:val="Tablewriting"/>
              <w:keepNext/>
              <w:jc w:val="center"/>
              <w:rPr>
                <w:rFonts w:eastAsia="MS Mincho"/>
              </w:rPr>
            </w:pPr>
            <w:r w:rsidRPr="00061F78">
              <w:rPr>
                <w:rFonts w:eastAsia="MS Mincho"/>
              </w:rPr>
              <w:t>(</w:t>
            </w:r>
            <w:r>
              <w:rPr>
                <w:rFonts w:eastAsia="MS Mincho"/>
              </w:rPr>
              <w:t>8.8</w:t>
            </w:r>
            <w:r w:rsidRPr="00061F78">
              <w:rPr>
                <w:rFonts w:eastAsia="MS Mincho"/>
              </w:rPr>
              <w:t>%)</w:t>
            </w:r>
          </w:p>
        </w:tc>
        <w:tc>
          <w:tcPr>
            <w:tcW w:w="751" w:type="pct"/>
            <w:tcMar>
              <w:left w:w="28" w:type="dxa"/>
              <w:right w:w="28" w:type="dxa"/>
            </w:tcMar>
            <w:vAlign w:val="center"/>
          </w:tcPr>
          <w:p w:rsidR="00607D39" w:rsidRDefault="00607D39" w:rsidP="00607D39">
            <w:pPr>
              <w:pStyle w:val="Tablewriting"/>
              <w:keepNext/>
              <w:jc w:val="center"/>
              <w:rPr>
                <w:rFonts w:eastAsia="MS Mincho"/>
              </w:rPr>
            </w:pPr>
            <w:r>
              <w:rPr>
                <w:rFonts w:eastAsia="MS Mincho"/>
              </w:rPr>
              <w:t>359</w:t>
            </w:r>
            <w:r w:rsidRPr="00061F78">
              <w:rPr>
                <w:rFonts w:eastAsia="MS Mincho"/>
              </w:rPr>
              <w:t>/</w:t>
            </w:r>
            <w:r>
              <w:rPr>
                <w:rFonts w:eastAsia="MS Mincho"/>
              </w:rPr>
              <w:t>5,452</w:t>
            </w:r>
            <w:r w:rsidRPr="00061F78">
              <w:rPr>
                <w:rFonts w:eastAsia="MS Mincho"/>
              </w:rPr>
              <w:t xml:space="preserve"> </w:t>
            </w:r>
          </w:p>
          <w:p w:rsidR="00893F2B" w:rsidRPr="00061F78" w:rsidRDefault="00607D39" w:rsidP="00F8327E">
            <w:pPr>
              <w:pStyle w:val="Tablewriting"/>
              <w:keepNext/>
              <w:jc w:val="center"/>
              <w:rPr>
                <w:rFonts w:eastAsia="MS Mincho"/>
              </w:rPr>
            </w:pPr>
            <w:r w:rsidRPr="00061F78">
              <w:rPr>
                <w:rFonts w:eastAsia="MS Mincho"/>
              </w:rPr>
              <w:t>(</w:t>
            </w:r>
            <w:r>
              <w:rPr>
                <w:rFonts w:eastAsia="MS Mincho"/>
              </w:rPr>
              <w:t>6.6</w:t>
            </w:r>
            <w:r w:rsidRPr="00061F78">
              <w:rPr>
                <w:rFonts w:eastAsia="MS Mincho"/>
              </w:rPr>
              <w:t>%)</w:t>
            </w:r>
          </w:p>
        </w:tc>
        <w:tc>
          <w:tcPr>
            <w:tcW w:w="851" w:type="pct"/>
            <w:tcMar>
              <w:left w:w="28" w:type="dxa"/>
              <w:right w:w="28" w:type="dxa"/>
            </w:tcMar>
            <w:vAlign w:val="center"/>
          </w:tcPr>
          <w:p w:rsidR="00893F2B" w:rsidRPr="00893F2B" w:rsidRDefault="00893F2B" w:rsidP="00F8327E">
            <w:pPr>
              <w:pStyle w:val="Tablewriting"/>
              <w:keepNext/>
              <w:jc w:val="center"/>
              <w:rPr>
                <w:rFonts w:eastAsia="MS Mincho"/>
                <w:b/>
                <w:bCs/>
              </w:rPr>
            </w:pPr>
            <w:r w:rsidRPr="00893F2B">
              <w:rPr>
                <w:rFonts w:eastAsia="MS Mincho"/>
                <w:b/>
                <w:bCs/>
              </w:rPr>
              <w:t>1.</w:t>
            </w:r>
            <w:r>
              <w:rPr>
                <w:rFonts w:eastAsia="MS Mincho"/>
                <w:b/>
                <w:bCs/>
              </w:rPr>
              <w:t>37</w:t>
            </w:r>
          </w:p>
          <w:p w:rsidR="00893F2B" w:rsidRPr="00D468CF" w:rsidRDefault="00893F2B" w:rsidP="00F8327E">
            <w:pPr>
              <w:pStyle w:val="Tablewriting"/>
              <w:keepNext/>
              <w:jc w:val="center"/>
              <w:rPr>
                <w:rFonts w:eastAsia="MS Mincho"/>
                <w:b/>
                <w:bCs/>
              </w:rPr>
            </w:pPr>
            <w:r w:rsidRPr="00893F2B">
              <w:rPr>
                <w:rFonts w:eastAsia="MS Mincho"/>
                <w:b/>
                <w:bCs/>
              </w:rPr>
              <w:t>(1.</w:t>
            </w:r>
            <w:r>
              <w:rPr>
                <w:rFonts w:eastAsia="MS Mincho"/>
                <w:b/>
                <w:bCs/>
              </w:rPr>
              <w:t>21</w:t>
            </w:r>
            <w:r w:rsidRPr="00893F2B">
              <w:rPr>
                <w:rFonts w:eastAsia="MS Mincho"/>
                <w:b/>
                <w:bCs/>
              </w:rPr>
              <w:t>, 1.</w:t>
            </w:r>
            <w:r>
              <w:rPr>
                <w:rFonts w:eastAsia="MS Mincho"/>
                <w:b/>
                <w:bCs/>
              </w:rPr>
              <w:t>56</w:t>
            </w:r>
            <w:r w:rsidRPr="00893F2B">
              <w:rPr>
                <w:rFonts w:eastAsia="MS Mincho"/>
                <w:b/>
                <w:bCs/>
              </w:rPr>
              <w:t>)</w:t>
            </w:r>
          </w:p>
        </w:tc>
      </w:tr>
    </w:tbl>
    <w:p w:rsidR="00F8327E" w:rsidRDefault="00F8327E" w:rsidP="00F8327E">
      <w:pPr>
        <w:pStyle w:val="TableFooter"/>
        <w:keepNext/>
      </w:pPr>
      <w:r>
        <w:t>Source: Howes et al. (2020)</w:t>
      </w:r>
    </w:p>
    <w:p w:rsidR="00F8327E" w:rsidRDefault="00F8327E" w:rsidP="00F8327E">
      <w:pPr>
        <w:pStyle w:val="TableFooter"/>
        <w:keepNext/>
      </w:pPr>
      <w:r>
        <w:t xml:space="preserve">Abbreviations: CI = confidence interval; </w:t>
      </w:r>
      <w:r w:rsidR="000F6865">
        <w:t xml:space="preserve">NR = not reported; </w:t>
      </w:r>
      <w:r>
        <w:t>RCT = randomised controlled trial; RR = risk ratio</w:t>
      </w:r>
    </w:p>
    <w:p w:rsidR="00F8327E" w:rsidRDefault="00F8327E" w:rsidP="00F8327E">
      <w:pPr>
        <w:pStyle w:val="TableFooter"/>
        <w:keepNext/>
      </w:pPr>
      <w:r w:rsidRPr="00FD4061">
        <w:t>Note</w:t>
      </w:r>
      <w:r>
        <w:t>s</w:t>
      </w:r>
      <w:r w:rsidRPr="00FD4061">
        <w:t>: Bold indicates statistically significant difference.</w:t>
      </w:r>
      <w:r w:rsidR="009E3102">
        <w:t xml:space="preserve"> See </w:t>
      </w:r>
      <w:r w:rsidR="009E3102" w:rsidRPr="00BC7B23">
        <w:t>Appendix</w:t>
      </w:r>
      <w:r w:rsidR="009E3102">
        <w:t xml:space="preserve"> </w:t>
      </w:r>
      <w:r w:rsidR="003C4A1C">
        <w:t xml:space="preserve">Figure </w:t>
      </w:r>
      <w:r w:rsidR="003C4A1C">
        <w:rPr>
          <w:noProof/>
        </w:rPr>
        <w:t>49</w:t>
      </w:r>
      <w:r w:rsidR="009E3102">
        <w:t xml:space="preserve"> to </w:t>
      </w:r>
      <w:r w:rsidR="003C4A1C">
        <w:t xml:space="preserve">Figure </w:t>
      </w:r>
      <w:r w:rsidR="003C4A1C">
        <w:rPr>
          <w:noProof/>
        </w:rPr>
        <w:t>52</w:t>
      </w:r>
      <w:r w:rsidR="009E3102">
        <w:t xml:space="preserve"> fo</w:t>
      </w:r>
      <w:r w:rsidR="00572C80">
        <w:t xml:space="preserve">r forest plots of </w:t>
      </w:r>
      <w:r w:rsidR="00F8539F">
        <w:t>the respective</w:t>
      </w:r>
      <w:r w:rsidR="00572C80">
        <w:t xml:space="preserve"> outcomes</w:t>
      </w:r>
      <w:r w:rsidR="00122F98">
        <w:t xml:space="preserve"> which included the results of individual studies</w:t>
      </w:r>
      <w:r w:rsidR="00572C80">
        <w:t>.</w:t>
      </w:r>
    </w:p>
    <w:p w:rsidR="000672F2" w:rsidRDefault="00F8327E" w:rsidP="00F8327E">
      <w:pPr>
        <w:pStyle w:val="TableFooter"/>
        <w:keepNext/>
      </w:pPr>
      <w:r>
        <w:t xml:space="preserve">1 </w:t>
      </w:r>
      <w:r w:rsidR="000672F2">
        <w:t xml:space="preserve">Where previously considered studies were not included, this </w:t>
      </w:r>
      <w:r w:rsidR="00B53421">
        <w:t>wa</w:t>
      </w:r>
      <w:r w:rsidR="000672F2">
        <w:t>s due to the outcome not being reported</w:t>
      </w:r>
      <w:r w:rsidR="00A93814">
        <w:t>.</w:t>
      </w:r>
    </w:p>
    <w:p w:rsidR="00F8327E" w:rsidRDefault="000672F2" w:rsidP="00F8327E">
      <w:pPr>
        <w:pStyle w:val="TableFooter"/>
        <w:keepNext/>
      </w:pPr>
      <w:r w:rsidRPr="00B8732C">
        <w:t>2</w:t>
      </w:r>
      <w:r w:rsidR="00F8327E" w:rsidRPr="00B8732C">
        <w:t xml:space="preserve"> Calculated </w:t>
      </w:r>
      <w:r w:rsidR="002C5D1C" w:rsidRPr="00B8732C">
        <w:t xml:space="preserve">by Cochrane Review authors </w:t>
      </w:r>
      <w:r w:rsidR="00F8327E" w:rsidRPr="00B8732C">
        <w:t>using a fixed-effect model</w:t>
      </w:r>
      <w:r w:rsidR="00A93814">
        <w:t>.</w:t>
      </w:r>
    </w:p>
    <w:p w:rsidR="004D3792" w:rsidRDefault="00DE1D5F" w:rsidP="004D3792">
      <w:r>
        <w:t>In a recently conducted study</w:t>
      </w:r>
      <w:r w:rsidR="00E936CB">
        <w:t xml:space="preserve"> (EAGLES extension)</w:t>
      </w:r>
      <w:r>
        <w:t xml:space="preserve"> </w:t>
      </w:r>
      <w:r w:rsidR="008E46BB" w:rsidRPr="008E46BB">
        <w:t>compar</w:t>
      </w:r>
      <w:r>
        <w:t>ing</w:t>
      </w:r>
      <w:r w:rsidR="008E46BB" w:rsidRPr="008E46BB">
        <w:t xml:space="preserve"> the relative cardiovascular safety risk of smoking cessation treatments</w:t>
      </w:r>
      <w:r w:rsidR="00E936CB">
        <w:t xml:space="preserve"> </w:t>
      </w:r>
      <w:r w:rsidR="00515AAD">
        <w:t>using a placebo comparator</w:t>
      </w:r>
      <w:r w:rsidR="00E936CB">
        <w:t xml:space="preserve">, </w:t>
      </w:r>
      <w:r w:rsidR="004B7F16">
        <w:t>n</w:t>
      </w:r>
      <w:r w:rsidR="004B7F16" w:rsidRPr="004B7F16">
        <w:t>o significant treatment differences were observed in time to cardiovascular events, blood pressure, or heart rate</w:t>
      </w:r>
      <w:r w:rsidR="00C2370E">
        <w:t xml:space="preserve"> between bupropion and placebo (Benowitz et al. 2018)</w:t>
      </w:r>
      <w:r w:rsidR="004B7F16" w:rsidRPr="004B7F16">
        <w:t>.</w:t>
      </w:r>
    </w:p>
    <w:p w:rsidR="00214531" w:rsidRDefault="00593CA5" w:rsidP="00001C70">
      <w:pPr>
        <w:rPr>
          <w:b/>
          <w:bCs/>
        </w:rPr>
      </w:pPr>
      <w:r>
        <w:rPr>
          <w:b/>
          <w:bCs/>
        </w:rPr>
        <w:t>Bupropion versus NRT</w:t>
      </w:r>
    </w:p>
    <w:p w:rsidR="00593CA5" w:rsidRDefault="00593CA5" w:rsidP="00593CA5">
      <w:r>
        <w:lastRenderedPageBreak/>
        <w:t xml:space="preserve">A summary of the citation details for the studies comparing bupropion with NRT is presented in </w:t>
      </w:r>
      <w:r w:rsidR="003C4A1C">
        <w:t xml:space="preserve">Table </w:t>
      </w:r>
      <w:r w:rsidR="003C4A1C">
        <w:rPr>
          <w:noProof/>
        </w:rPr>
        <w:t>9</w:t>
      </w:r>
      <w:r>
        <w:t xml:space="preserve">. </w:t>
      </w:r>
      <w:r w:rsidR="00951F35">
        <w:t>Four</w:t>
      </w:r>
      <w:r w:rsidRPr="00626312">
        <w:t xml:space="preserve"> stud</w:t>
      </w:r>
      <w:r w:rsidR="00E92CB3">
        <w:t>ies</w:t>
      </w:r>
      <w:r w:rsidRPr="00626312">
        <w:t xml:space="preserve"> w</w:t>
      </w:r>
      <w:r w:rsidR="00E92CB3">
        <w:t>ere</w:t>
      </w:r>
      <w:r w:rsidRPr="00626312">
        <w:t xml:space="preserve"> previously considered by the PBAC</w:t>
      </w:r>
      <w:r w:rsidR="00F30861">
        <w:t xml:space="preserve"> for this comparison</w:t>
      </w:r>
      <w:r>
        <w:t xml:space="preserve"> (</w:t>
      </w:r>
      <w:r w:rsidR="00DA57C7" w:rsidRPr="00DA57C7">
        <w:t>Jorenby et al. 1999, Gorecka et al. 2003, Uyar et al. 2007</w:t>
      </w:r>
      <w:r w:rsidR="00DA57C7">
        <w:t xml:space="preserve"> and</w:t>
      </w:r>
      <w:r w:rsidR="00DA57C7" w:rsidRPr="00DA57C7">
        <w:t xml:space="preserve"> Piper et al. 2009</w:t>
      </w:r>
      <w:r>
        <w:t>)</w:t>
      </w:r>
      <w:r w:rsidRPr="00626312">
        <w:t xml:space="preserve">. A recently conducted Cochrane </w:t>
      </w:r>
      <w:r w:rsidR="004769D7">
        <w:t>R</w:t>
      </w:r>
      <w:r w:rsidRPr="00626312">
        <w:t xml:space="preserve">eview by Howes et al. (2020) was identified in the systematic literature review </w:t>
      </w:r>
      <w:r w:rsidR="00342F79" w:rsidRPr="00342F79">
        <w:t xml:space="preserve">that compared bupropion with </w:t>
      </w:r>
      <w:r w:rsidR="00342F79">
        <w:t>NRT</w:t>
      </w:r>
      <w:r w:rsidR="00342F79" w:rsidRPr="00342F79">
        <w:t xml:space="preserve"> </w:t>
      </w:r>
      <w:r w:rsidRPr="00626312">
        <w:t>and was included in this re</w:t>
      </w:r>
      <w:r>
        <w:t>port</w:t>
      </w:r>
      <w:r w:rsidRPr="00626312">
        <w:t>.</w:t>
      </w:r>
      <w:r w:rsidR="00753E0A">
        <w:t xml:space="preserve"> </w:t>
      </w:r>
      <w:r w:rsidR="00CF15FC" w:rsidRPr="00CF15FC">
        <w:t>One new study was identified in the supplemental literature search t</w:t>
      </w:r>
      <w:r w:rsidR="00BC1477">
        <w:t>hat</w:t>
      </w:r>
      <w:r w:rsidR="00CF15FC" w:rsidRPr="00CF15FC">
        <w:t xml:space="preserve"> inform</w:t>
      </w:r>
      <w:r w:rsidR="00BC1477">
        <w:t>ed</w:t>
      </w:r>
      <w:r w:rsidR="00CF15FC" w:rsidRPr="00CF15FC">
        <w:t xml:space="preserve"> this comparison and was included in this re</w:t>
      </w:r>
      <w:r w:rsidR="00632962">
        <w:t>port</w:t>
      </w:r>
      <w:r w:rsidR="00CF15FC" w:rsidRPr="00CF15FC">
        <w:t xml:space="preserve"> (Benowitz et al. 2018). </w:t>
      </w:r>
      <w:r>
        <w:t xml:space="preserve"> </w:t>
      </w:r>
    </w:p>
    <w:p w:rsidR="00593CA5" w:rsidRDefault="00593CA5" w:rsidP="00593CA5">
      <w:pPr>
        <w:pStyle w:val="Caption"/>
        <w:keepNext/>
      </w:pPr>
      <w:bookmarkStart w:id="70" w:name="_Ref53141661"/>
      <w:r>
        <w:t xml:space="preserve">Table </w:t>
      </w:r>
      <w:r w:rsidR="003C4A1C">
        <w:rPr>
          <w:noProof/>
        </w:rPr>
        <w:t>9</w:t>
      </w:r>
      <w:bookmarkEnd w:id="70"/>
      <w:r>
        <w:t>: List of studies comparing bupropion with NRT</w:t>
      </w:r>
    </w:p>
    <w:tbl>
      <w:tblPr>
        <w:tblStyle w:val="TableGrid"/>
        <w:tblW w:w="5000" w:type="pct"/>
        <w:tblLook w:val="04A0" w:firstRow="1" w:lastRow="0" w:firstColumn="1" w:lastColumn="0" w:noHBand="0" w:noVBand="1"/>
        <w:tblCaption w:val="Efficacy results of adalimumab trials (PASI 75 and DLQI)"/>
      </w:tblPr>
      <w:tblGrid>
        <w:gridCol w:w="1129"/>
        <w:gridCol w:w="7887"/>
      </w:tblGrid>
      <w:tr w:rsidR="00F95224" w:rsidRPr="00061F78" w:rsidTr="00EF091E">
        <w:trPr>
          <w:cantSplit/>
          <w:trHeight w:val="329"/>
          <w:tblHeader/>
        </w:trPr>
        <w:tc>
          <w:tcPr>
            <w:tcW w:w="626" w:type="pct"/>
            <w:shd w:val="clear" w:color="auto" w:fill="BFBFBF" w:themeFill="background1" w:themeFillShade="BF"/>
            <w:tcMar>
              <w:left w:w="28" w:type="dxa"/>
              <w:right w:w="28" w:type="dxa"/>
            </w:tcMar>
          </w:tcPr>
          <w:p w:rsidR="00593CA5" w:rsidRPr="00061F78" w:rsidRDefault="00126B7B" w:rsidP="00593CA5">
            <w:pPr>
              <w:pStyle w:val="Tableheading"/>
              <w:keepNext/>
              <w:rPr>
                <w:rFonts w:eastAsia="MS Mincho"/>
              </w:rPr>
            </w:pPr>
            <w:r>
              <w:rPr>
                <w:rFonts w:eastAsia="MS Mincho"/>
              </w:rPr>
              <w:t>Study</w:t>
            </w:r>
          </w:p>
        </w:tc>
        <w:tc>
          <w:tcPr>
            <w:tcW w:w="4374" w:type="pct"/>
            <w:shd w:val="clear" w:color="auto" w:fill="BFBFBF" w:themeFill="background1" w:themeFillShade="BF"/>
          </w:tcPr>
          <w:p w:rsidR="00593CA5" w:rsidRDefault="00593CA5" w:rsidP="00593CA5">
            <w:pPr>
              <w:pStyle w:val="Tableheading"/>
              <w:keepNext/>
              <w:jc w:val="center"/>
              <w:rPr>
                <w:rFonts w:eastAsia="MS Mincho"/>
              </w:rPr>
            </w:pPr>
            <w:r>
              <w:rPr>
                <w:rFonts w:eastAsia="MS Mincho"/>
              </w:rPr>
              <w:t>Citation</w:t>
            </w:r>
          </w:p>
        </w:tc>
      </w:tr>
      <w:tr w:rsidR="00F95224" w:rsidRPr="00061F78" w:rsidTr="00DB200B">
        <w:trPr>
          <w:cantSplit/>
          <w:trHeight w:val="109"/>
        </w:trPr>
        <w:tc>
          <w:tcPr>
            <w:tcW w:w="626" w:type="pct"/>
            <w:shd w:val="clear" w:color="auto" w:fill="D9D9D9" w:themeFill="background1" w:themeFillShade="D9"/>
            <w:tcMar>
              <w:left w:w="28" w:type="dxa"/>
              <w:right w:w="28" w:type="dxa"/>
            </w:tcMar>
          </w:tcPr>
          <w:p w:rsidR="00593CA5" w:rsidRPr="00061F78" w:rsidRDefault="00593CA5" w:rsidP="00593CA5">
            <w:pPr>
              <w:pStyle w:val="Tablewriting"/>
              <w:keepNext/>
              <w:rPr>
                <w:rFonts w:eastAsia="MS Mincho"/>
              </w:rPr>
            </w:pPr>
            <w:r>
              <w:rPr>
                <w:rFonts w:eastAsia="MS Mincho"/>
              </w:rPr>
              <w:t>Jorenby (1999)</w:t>
            </w:r>
            <w:r w:rsidR="0039468B" w:rsidRPr="00527212">
              <w:rPr>
                <w:rFonts w:eastAsia="MS Mincho"/>
                <w:noProof/>
                <w:vertAlign w:val="superscript"/>
              </w:rPr>
              <w:t>2</w:t>
            </w:r>
          </w:p>
        </w:tc>
        <w:tc>
          <w:tcPr>
            <w:tcW w:w="4374" w:type="pct"/>
            <w:shd w:val="clear" w:color="auto" w:fill="D9D9D9" w:themeFill="background1" w:themeFillShade="D9"/>
          </w:tcPr>
          <w:p w:rsidR="00593CA5" w:rsidRDefault="00593CA5" w:rsidP="00593CA5">
            <w:pPr>
              <w:pStyle w:val="Tablewriting"/>
              <w:keepNext/>
              <w:rPr>
                <w:rFonts w:eastAsia="MS Mincho"/>
              </w:rPr>
            </w:pPr>
            <w:r w:rsidRPr="002764E0">
              <w:rPr>
                <w:rFonts w:eastAsia="MS Mincho"/>
              </w:rPr>
              <w:t>Jorenby DE, Leischow SJ, Nides MA, Rennard SI, Johnston JA, Hughes AR, Smith SS, Muramoto ML, Daughton DM, Doan K, Fiore MC, Baker TB. A controlled trial of sustained-release bupropion, a nicotine patch, or both for smoking cessation. N Engl J Med. 1999 Mar 4;340(9):685-91.</w:t>
            </w:r>
          </w:p>
        </w:tc>
      </w:tr>
      <w:tr w:rsidR="00F95224" w:rsidRPr="00061F78" w:rsidTr="00DB200B">
        <w:trPr>
          <w:cantSplit/>
          <w:trHeight w:val="164"/>
        </w:trPr>
        <w:tc>
          <w:tcPr>
            <w:tcW w:w="626" w:type="pct"/>
            <w:shd w:val="clear" w:color="auto" w:fill="D9D9D9" w:themeFill="background1" w:themeFillShade="D9"/>
            <w:tcMar>
              <w:left w:w="28" w:type="dxa"/>
              <w:right w:w="28" w:type="dxa"/>
            </w:tcMar>
          </w:tcPr>
          <w:p w:rsidR="00977069" w:rsidRDefault="00977069" w:rsidP="00593CA5">
            <w:pPr>
              <w:pStyle w:val="Tablewriting"/>
              <w:keepNext/>
              <w:rPr>
                <w:rFonts w:eastAsia="MS Mincho"/>
              </w:rPr>
            </w:pPr>
            <w:r>
              <w:rPr>
                <w:rFonts w:eastAsia="MS Mincho"/>
              </w:rPr>
              <w:t>Gorecka (2003)</w:t>
            </w:r>
            <w:r w:rsidR="0039468B" w:rsidRPr="00527212">
              <w:rPr>
                <w:rFonts w:eastAsia="MS Mincho"/>
                <w:noProof/>
                <w:vertAlign w:val="superscript"/>
              </w:rPr>
              <w:t>5</w:t>
            </w:r>
          </w:p>
        </w:tc>
        <w:tc>
          <w:tcPr>
            <w:tcW w:w="4374" w:type="pct"/>
            <w:shd w:val="clear" w:color="auto" w:fill="D9D9D9" w:themeFill="background1" w:themeFillShade="D9"/>
          </w:tcPr>
          <w:p w:rsidR="00977069" w:rsidRPr="002764E0" w:rsidRDefault="00485AA4" w:rsidP="00593CA5">
            <w:pPr>
              <w:pStyle w:val="Tablewriting"/>
              <w:keepNext/>
              <w:rPr>
                <w:rFonts w:eastAsia="MS Mincho"/>
              </w:rPr>
            </w:pPr>
            <w:r w:rsidRPr="00485AA4">
              <w:rPr>
                <w:rFonts w:eastAsia="MS Mincho"/>
              </w:rPr>
              <w:t>Górecka D, Bednarek M, Nowiński A, Puścińska E, Goljan-Geremek A, Zieliński J. Effect of treatment for nicotine dependence in patients with COPD. Pneumonologia i alergologia polska. 2003;71(9-10):411-7.</w:t>
            </w:r>
          </w:p>
        </w:tc>
      </w:tr>
      <w:tr w:rsidR="00F95224" w:rsidRPr="00061F78" w:rsidTr="00DB200B">
        <w:trPr>
          <w:cantSplit/>
          <w:trHeight w:val="164"/>
        </w:trPr>
        <w:tc>
          <w:tcPr>
            <w:tcW w:w="626" w:type="pct"/>
            <w:shd w:val="clear" w:color="auto" w:fill="D9D9D9" w:themeFill="background1" w:themeFillShade="D9"/>
            <w:tcMar>
              <w:left w:w="28" w:type="dxa"/>
              <w:right w:w="28" w:type="dxa"/>
            </w:tcMar>
          </w:tcPr>
          <w:p w:rsidR="000F31D1" w:rsidRDefault="0091154B" w:rsidP="00593CA5">
            <w:pPr>
              <w:pStyle w:val="Tablewriting"/>
              <w:keepNext/>
              <w:rPr>
                <w:rFonts w:eastAsia="MS Mincho"/>
              </w:rPr>
            </w:pPr>
            <w:r>
              <w:rPr>
                <w:rFonts w:eastAsia="MS Mincho"/>
              </w:rPr>
              <w:t xml:space="preserve">Uyar </w:t>
            </w:r>
          </w:p>
          <w:p w:rsidR="00977069" w:rsidRDefault="0091154B" w:rsidP="00593CA5">
            <w:pPr>
              <w:pStyle w:val="Tablewriting"/>
              <w:keepNext/>
              <w:rPr>
                <w:rFonts w:eastAsia="MS Mincho"/>
              </w:rPr>
            </w:pPr>
            <w:r>
              <w:rPr>
                <w:rFonts w:eastAsia="MS Mincho"/>
              </w:rPr>
              <w:t>(2007)</w:t>
            </w:r>
            <w:r w:rsidR="0039468B" w:rsidRPr="007A3AB0">
              <w:rPr>
                <w:rFonts w:eastAsia="MS Mincho"/>
                <w:noProof/>
                <w:vertAlign w:val="superscript"/>
              </w:rPr>
              <w:t>6</w:t>
            </w:r>
          </w:p>
        </w:tc>
        <w:tc>
          <w:tcPr>
            <w:tcW w:w="4374" w:type="pct"/>
            <w:shd w:val="clear" w:color="auto" w:fill="D9D9D9" w:themeFill="background1" w:themeFillShade="D9"/>
          </w:tcPr>
          <w:p w:rsidR="00977069" w:rsidRPr="002764E0" w:rsidRDefault="00F168D8" w:rsidP="00593CA5">
            <w:pPr>
              <w:pStyle w:val="Tablewriting"/>
              <w:keepNext/>
              <w:rPr>
                <w:rFonts w:eastAsia="MS Mincho"/>
              </w:rPr>
            </w:pPr>
            <w:r w:rsidRPr="00F168D8">
              <w:rPr>
                <w:rFonts w:eastAsia="MS Mincho"/>
              </w:rPr>
              <w:t>Uyar M, Filiz A, Bayram N, Elbek O, Herken H, Topcu A, Dikensoy O, Ekinci E. A randomized trial of smoking cessation. Medication versus motivation. Saudi medical journal. 2007 Jun 1;28(6):922-6.</w:t>
            </w:r>
          </w:p>
        </w:tc>
      </w:tr>
      <w:tr w:rsidR="00F95224" w:rsidRPr="00061F78" w:rsidTr="00DB200B">
        <w:trPr>
          <w:cantSplit/>
          <w:trHeight w:val="164"/>
        </w:trPr>
        <w:tc>
          <w:tcPr>
            <w:tcW w:w="626" w:type="pct"/>
            <w:shd w:val="clear" w:color="auto" w:fill="D9D9D9" w:themeFill="background1" w:themeFillShade="D9"/>
            <w:tcMar>
              <w:left w:w="28" w:type="dxa"/>
              <w:right w:w="28" w:type="dxa"/>
            </w:tcMar>
          </w:tcPr>
          <w:p w:rsidR="000F31D1" w:rsidRDefault="001B729F" w:rsidP="00593CA5">
            <w:pPr>
              <w:pStyle w:val="Tablewriting"/>
              <w:keepNext/>
              <w:rPr>
                <w:rFonts w:eastAsia="MS Mincho"/>
              </w:rPr>
            </w:pPr>
            <w:r>
              <w:rPr>
                <w:rFonts w:eastAsia="MS Mincho"/>
              </w:rPr>
              <w:t xml:space="preserve">Piper </w:t>
            </w:r>
          </w:p>
          <w:p w:rsidR="001B729F" w:rsidRDefault="001B729F" w:rsidP="00593CA5">
            <w:pPr>
              <w:pStyle w:val="Tablewriting"/>
              <w:keepNext/>
              <w:rPr>
                <w:rFonts w:eastAsia="MS Mincho"/>
              </w:rPr>
            </w:pPr>
            <w:r>
              <w:rPr>
                <w:rFonts w:eastAsia="MS Mincho"/>
              </w:rPr>
              <w:t>(2009)</w:t>
            </w:r>
            <w:r w:rsidR="0039468B" w:rsidRPr="00527212">
              <w:rPr>
                <w:rFonts w:eastAsia="MS Mincho"/>
                <w:noProof/>
                <w:vertAlign w:val="superscript"/>
              </w:rPr>
              <w:t>7</w:t>
            </w:r>
            <w:r w:rsidR="003A0DF9">
              <w:rPr>
                <w:rFonts w:eastAsia="MS Mincho"/>
              </w:rPr>
              <w:t xml:space="preserve"> </w:t>
            </w:r>
          </w:p>
        </w:tc>
        <w:tc>
          <w:tcPr>
            <w:tcW w:w="4374" w:type="pct"/>
            <w:shd w:val="clear" w:color="auto" w:fill="D9D9D9" w:themeFill="background1" w:themeFillShade="D9"/>
          </w:tcPr>
          <w:p w:rsidR="001B729F" w:rsidRPr="00F168D8" w:rsidRDefault="00B21590" w:rsidP="00593CA5">
            <w:pPr>
              <w:pStyle w:val="Tablewriting"/>
              <w:keepNext/>
              <w:rPr>
                <w:rFonts w:eastAsia="MS Mincho"/>
              </w:rPr>
            </w:pPr>
            <w:r w:rsidRPr="00B21590">
              <w:rPr>
                <w:rFonts w:eastAsia="MS Mincho"/>
              </w:rPr>
              <w:t>Piper ME, Smith SS, Schlam TR, Fiore MC, Jorenby DE, Fraser D, Baker TB. A randomized placebo-controlled clinical trial of 5 smoking cessation pharmacotherapies. Archives of general psychiatry. 2009 Nov 1;66(11):1253-62.</w:t>
            </w:r>
          </w:p>
        </w:tc>
      </w:tr>
      <w:tr w:rsidR="00F95224" w:rsidRPr="00061F78" w:rsidTr="00EF091E">
        <w:trPr>
          <w:cantSplit/>
          <w:trHeight w:val="164"/>
        </w:trPr>
        <w:tc>
          <w:tcPr>
            <w:tcW w:w="626" w:type="pct"/>
            <w:tcMar>
              <w:left w:w="28" w:type="dxa"/>
              <w:right w:w="28" w:type="dxa"/>
            </w:tcMar>
          </w:tcPr>
          <w:p w:rsidR="00593CA5" w:rsidRPr="00D07303" w:rsidRDefault="00593CA5" w:rsidP="00593CA5">
            <w:pPr>
              <w:pStyle w:val="Tablewriting"/>
              <w:keepNext/>
              <w:rPr>
                <w:rFonts w:eastAsia="MS Mincho"/>
                <w:vertAlign w:val="superscript"/>
              </w:rPr>
            </w:pPr>
            <w:r>
              <w:rPr>
                <w:rFonts w:eastAsia="MS Mincho"/>
              </w:rPr>
              <w:t>Howes</w:t>
            </w:r>
            <w:r w:rsidRPr="00061F78">
              <w:rPr>
                <w:rFonts w:eastAsia="MS Mincho"/>
              </w:rPr>
              <w:t xml:space="preserve"> (20</w:t>
            </w:r>
            <w:r>
              <w:rPr>
                <w:rFonts w:eastAsia="MS Mincho"/>
              </w:rPr>
              <w:t>20</w:t>
            </w:r>
            <w:r w:rsidRPr="00061F78">
              <w:rPr>
                <w:rFonts w:eastAsia="MS Mincho"/>
              </w:rPr>
              <w:t>)</w:t>
            </w:r>
            <w:r w:rsidR="0039468B" w:rsidRPr="007A3AB0">
              <w:rPr>
                <w:rFonts w:eastAsia="MS Mincho"/>
                <w:noProof/>
                <w:vertAlign w:val="superscript"/>
              </w:rPr>
              <w:t>3</w:t>
            </w:r>
            <w:r w:rsidR="00440C74" w:rsidRPr="00D07303">
              <w:rPr>
                <w:rFonts w:eastAsia="MS Mincho"/>
                <w:vertAlign w:val="superscript"/>
              </w:rPr>
              <w:t xml:space="preserve"> </w:t>
            </w:r>
          </w:p>
        </w:tc>
        <w:tc>
          <w:tcPr>
            <w:tcW w:w="4374" w:type="pct"/>
          </w:tcPr>
          <w:p w:rsidR="00593CA5" w:rsidRDefault="00593CA5" w:rsidP="00593CA5">
            <w:pPr>
              <w:pStyle w:val="Tablewriting"/>
              <w:keepNext/>
              <w:rPr>
                <w:rFonts w:eastAsia="MS Mincho"/>
              </w:rPr>
            </w:pPr>
            <w:r w:rsidRPr="002764E0">
              <w:rPr>
                <w:rFonts w:eastAsia="MS Mincho"/>
              </w:rPr>
              <w:t>Howes  S, Hartmann‐Boyce  J, Livingstone‐Banks  J, Hong  B, Lindson  N. Antidepressants for smoking cessation. Cochrane Database of Systematic Reviews 2020, Issue 4. Art. No.: CD000031.</w:t>
            </w:r>
          </w:p>
        </w:tc>
      </w:tr>
      <w:tr w:rsidR="00F95224" w:rsidRPr="00061F78" w:rsidTr="00EF091E">
        <w:trPr>
          <w:cantSplit/>
          <w:trHeight w:val="164"/>
        </w:trPr>
        <w:tc>
          <w:tcPr>
            <w:tcW w:w="626" w:type="pct"/>
            <w:tcMar>
              <w:left w:w="28" w:type="dxa"/>
              <w:right w:w="28" w:type="dxa"/>
            </w:tcMar>
          </w:tcPr>
          <w:p w:rsidR="00CF15FC" w:rsidRDefault="00CF15FC" w:rsidP="00CF15FC">
            <w:pPr>
              <w:pStyle w:val="Tablewriting"/>
              <w:keepNext/>
              <w:rPr>
                <w:rFonts w:eastAsia="MS Mincho"/>
              </w:rPr>
            </w:pPr>
            <w:r>
              <w:rPr>
                <w:rFonts w:eastAsia="MS Mincho"/>
              </w:rPr>
              <w:t>Benowitz (2018)</w:t>
            </w:r>
            <w:r w:rsidR="0039468B" w:rsidRPr="00527212">
              <w:rPr>
                <w:rFonts w:eastAsia="MS Mincho"/>
                <w:noProof/>
                <w:vertAlign w:val="superscript"/>
              </w:rPr>
              <w:t>4</w:t>
            </w:r>
          </w:p>
        </w:tc>
        <w:tc>
          <w:tcPr>
            <w:tcW w:w="4374" w:type="pct"/>
          </w:tcPr>
          <w:p w:rsidR="00CF15FC" w:rsidRPr="002764E0" w:rsidRDefault="00CF15FC" w:rsidP="00CF15FC">
            <w:pPr>
              <w:pStyle w:val="Tablewriting"/>
              <w:keepNext/>
              <w:rPr>
                <w:rFonts w:eastAsia="MS Mincho"/>
              </w:rPr>
            </w:pPr>
            <w:r w:rsidRPr="00C4557B">
              <w:rPr>
                <w:rFonts w:eastAsia="MS Mincho"/>
              </w:rPr>
              <w:t>Benowitz NL, Pipe A, West R, Hays JT, Tonstad S, McRae T, Lawrence D, St Aubin L, Anthenelli RM. Cardiovascular Safety of Varenicline, Bupropion, and Nicotine Patch in Smokers: A Randomized Clinical Trial. JAMA Intern Med. 2018 May 1;178(5):622-631.</w:t>
            </w:r>
          </w:p>
        </w:tc>
      </w:tr>
    </w:tbl>
    <w:p w:rsidR="00593CA5" w:rsidRDefault="00593CA5" w:rsidP="00593CA5">
      <w:pPr>
        <w:pStyle w:val="TableFooter"/>
        <w:keepNext/>
      </w:pPr>
      <w:r w:rsidRPr="00061F78">
        <w:rPr>
          <w:highlight w:val="lightGray"/>
        </w:rPr>
        <w:t>Shaded</w:t>
      </w:r>
      <w:r w:rsidRPr="00061F78">
        <w:t xml:space="preserve"> = previously considered by the PBAC</w:t>
      </w:r>
    </w:p>
    <w:p w:rsidR="007A1C2D" w:rsidRDefault="007A1C2D" w:rsidP="00593CA5">
      <w:pPr>
        <w:pStyle w:val="TableFooter"/>
        <w:keepNext/>
      </w:pPr>
      <w:r>
        <w:t xml:space="preserve">Notes: </w:t>
      </w:r>
      <w:r w:rsidR="008846EB">
        <w:rPr>
          <w:noProof/>
          <w:color w:val="000000"/>
          <w:highlight w:val="black"/>
        </w:rPr>
        <w:t>''''''''''''''' '''' '''' ''''''''''' '''''''' '''''''''''''''''''''' ''''' ''''''' '''''''''''''''''''' '''''''''' ''''''''' '''''''''''''''</w:t>
      </w:r>
      <w:r w:rsidR="002F7AC8">
        <w:t xml:space="preserve">. </w:t>
      </w:r>
      <w:r w:rsidR="000E76DB">
        <w:t xml:space="preserve">Jorenby et al. (1999), </w:t>
      </w:r>
      <w:r w:rsidR="002F7AC8">
        <w:t>Goreck</w:t>
      </w:r>
      <w:r w:rsidR="000E76DB">
        <w:t xml:space="preserve">a et al. (2003), Uyar et al. (2007) and Piper et al. (2009) were considered </w:t>
      </w:r>
      <w:r w:rsidR="001B0165">
        <w:t>at</w:t>
      </w:r>
      <w:r w:rsidR="000E76DB">
        <w:t xml:space="preserve"> the March 2010 PBAC meeting.</w:t>
      </w:r>
    </w:p>
    <w:p w:rsidR="00593CA5" w:rsidRDefault="00593CA5" w:rsidP="00593CA5">
      <w:r>
        <w:t xml:space="preserve">A summary of the characteristics of the studies comparing bupropion with </w:t>
      </w:r>
      <w:r w:rsidR="00F30861">
        <w:t>NRT</w:t>
      </w:r>
      <w:r>
        <w:t xml:space="preserve"> is presented in</w:t>
      </w:r>
      <w:r w:rsidR="00B576FE">
        <w:t xml:space="preserve"> </w:t>
      </w:r>
      <w:r w:rsidR="003C4A1C">
        <w:t xml:space="preserve">Table </w:t>
      </w:r>
      <w:r w:rsidR="003C4A1C">
        <w:rPr>
          <w:noProof/>
        </w:rPr>
        <w:t>10</w:t>
      </w:r>
      <w:r>
        <w:t xml:space="preserve">. A total of </w:t>
      </w:r>
      <w:r w:rsidR="00B576FE">
        <w:t>10 RCT</w:t>
      </w:r>
      <w:r>
        <w:t xml:space="preserve">s comparing bupropion with </w:t>
      </w:r>
      <w:r w:rsidR="00B576FE">
        <w:t>NRT</w:t>
      </w:r>
      <w:r>
        <w:t xml:space="preserve"> were identified by Howes et al. (2020). Of these, </w:t>
      </w:r>
      <w:r w:rsidR="002F14B4">
        <w:t>four studies</w:t>
      </w:r>
      <w:r>
        <w:t xml:space="preserve"> w</w:t>
      </w:r>
      <w:r w:rsidR="002F14B4">
        <w:t xml:space="preserve">ere </w:t>
      </w:r>
      <w:r w:rsidR="00AA5506" w:rsidRPr="00AA5506">
        <w:t xml:space="preserve">Jorenby et al. </w:t>
      </w:r>
      <w:r w:rsidR="00AA5506">
        <w:t>(</w:t>
      </w:r>
      <w:r w:rsidR="00AA5506" w:rsidRPr="00AA5506">
        <w:t>1999</w:t>
      </w:r>
      <w:r w:rsidR="00AA5506">
        <w:t>)</w:t>
      </w:r>
      <w:r w:rsidR="00AA5506" w:rsidRPr="00AA5506">
        <w:t xml:space="preserve">, Gorecka et al. </w:t>
      </w:r>
      <w:r w:rsidR="00AA5506">
        <w:t>(</w:t>
      </w:r>
      <w:r w:rsidR="00AA5506" w:rsidRPr="00AA5506">
        <w:t>2003</w:t>
      </w:r>
      <w:r w:rsidR="00AA5506">
        <w:t>)</w:t>
      </w:r>
      <w:r w:rsidR="00AA5506" w:rsidRPr="00AA5506">
        <w:t xml:space="preserve">, Uyar et al. </w:t>
      </w:r>
      <w:r w:rsidR="00AA5506">
        <w:t>(</w:t>
      </w:r>
      <w:r w:rsidR="00AA5506" w:rsidRPr="00AA5506">
        <w:t>2007</w:t>
      </w:r>
      <w:r w:rsidR="00AA5506">
        <w:t>)</w:t>
      </w:r>
      <w:r w:rsidR="00AA5506" w:rsidRPr="00AA5506">
        <w:t xml:space="preserve"> and Piper et al. </w:t>
      </w:r>
      <w:r w:rsidR="00AA5506">
        <w:t>(</w:t>
      </w:r>
      <w:r w:rsidR="00AA5506" w:rsidRPr="00AA5506">
        <w:t>2009</w:t>
      </w:r>
      <w:r w:rsidR="00AA5506">
        <w:t>)</w:t>
      </w:r>
      <w:r>
        <w:t xml:space="preserve">. The characteristics of the individual studies are presented in </w:t>
      </w:r>
      <w:r w:rsidRPr="00465A40">
        <w:t>Appendix</w:t>
      </w:r>
      <w:r w:rsidR="004A5457">
        <w:t xml:space="preserve"> </w:t>
      </w:r>
      <w:r w:rsidR="003C4A1C">
        <w:t xml:space="preserve">Table </w:t>
      </w:r>
      <w:r w:rsidR="003C4A1C">
        <w:rPr>
          <w:noProof/>
        </w:rPr>
        <w:t>145</w:t>
      </w:r>
      <w:r w:rsidR="00B576FE">
        <w:t>.</w:t>
      </w:r>
    </w:p>
    <w:p w:rsidR="00023286" w:rsidRDefault="00023286" w:rsidP="00023286">
      <w:r>
        <w:t>Benowitz et al. (2018) was a safety study (n</w:t>
      </w:r>
      <w:r w:rsidRPr="00A95E3C">
        <w:t>on-treatment extension</w:t>
      </w:r>
      <w:r>
        <w:t>)</w:t>
      </w:r>
      <w:r w:rsidRPr="00A95E3C">
        <w:t xml:space="preserve"> </w:t>
      </w:r>
      <w:r>
        <w:t>of</w:t>
      </w:r>
      <w:r w:rsidRPr="00A95E3C">
        <w:t xml:space="preserve"> </w:t>
      </w:r>
      <w:r>
        <w:t>EAGLES (Anthenelli et al. 2016)</w:t>
      </w:r>
      <w:r w:rsidR="00CF1E1A" w:rsidRPr="00CF1E1A">
        <w:t xml:space="preserve"> comparing NRT </w:t>
      </w:r>
      <w:r w:rsidR="00573F59">
        <w:t>patches</w:t>
      </w:r>
      <w:r w:rsidR="00CF1E1A" w:rsidRPr="00CF1E1A">
        <w:t xml:space="preserve"> (21 mg per day with taper), varenicline (1 mg twice a day), bupropion (150 mg twice a day) and placebo</w:t>
      </w:r>
      <w:r>
        <w:t>. The study</w:t>
      </w:r>
      <w:r w:rsidRPr="00A95E3C">
        <w:t xml:space="preserve"> aimed </w:t>
      </w:r>
      <w:r>
        <w:t>to collect</w:t>
      </w:r>
      <w:r w:rsidRPr="00A95E3C">
        <w:t xml:space="preserve"> data on cardiovascular safety for all participants in </w:t>
      </w:r>
      <w:r>
        <w:t>EAGLES</w:t>
      </w:r>
      <w:r w:rsidRPr="00A95E3C">
        <w:t xml:space="preserve"> </w:t>
      </w:r>
      <w:r>
        <w:t xml:space="preserve">(2016) </w:t>
      </w:r>
      <w:r w:rsidRPr="00A95E3C">
        <w:t>for an additional 28 weeks, allowing for a total of 52 weeks of cardiovascular safety data collection</w:t>
      </w:r>
      <w:r>
        <w:t xml:space="preserve">.  </w:t>
      </w:r>
    </w:p>
    <w:p w:rsidR="00023286" w:rsidRDefault="00023286" w:rsidP="00593CA5"/>
    <w:p w:rsidR="00F30861" w:rsidRDefault="00F30861" w:rsidP="00593CA5">
      <w:pPr>
        <w:rPr>
          <w:b/>
          <w:bCs/>
        </w:rPr>
        <w:sectPr w:rsidR="00F30861" w:rsidSect="006356D2">
          <w:pgSz w:w="11906" w:h="16838"/>
          <w:pgMar w:top="1440" w:right="1440" w:bottom="1440" w:left="1440" w:header="708" w:footer="708" w:gutter="0"/>
          <w:cols w:space="708"/>
          <w:titlePg/>
          <w:docGrid w:linePitch="360"/>
        </w:sectPr>
      </w:pPr>
    </w:p>
    <w:p w:rsidR="00B576FE" w:rsidRDefault="00B576FE" w:rsidP="00B576FE">
      <w:pPr>
        <w:pStyle w:val="Caption"/>
        <w:keepNext/>
      </w:pPr>
      <w:bookmarkStart w:id="71" w:name="_Ref53145128"/>
      <w:r>
        <w:lastRenderedPageBreak/>
        <w:t xml:space="preserve">Table </w:t>
      </w:r>
      <w:r w:rsidR="003C4A1C">
        <w:rPr>
          <w:noProof/>
        </w:rPr>
        <w:t>10</w:t>
      </w:r>
      <w:bookmarkEnd w:id="71"/>
      <w:r>
        <w:t xml:space="preserve">: </w:t>
      </w:r>
      <w:r w:rsidRPr="00BF5027">
        <w:t xml:space="preserve">Characteristics of the studies comparing bupropion with </w:t>
      </w:r>
      <w:r>
        <w:t>NRT</w:t>
      </w:r>
    </w:p>
    <w:tbl>
      <w:tblPr>
        <w:tblStyle w:val="TableGrid"/>
        <w:tblW w:w="5000" w:type="pct"/>
        <w:tblLook w:val="04A0" w:firstRow="1" w:lastRow="0" w:firstColumn="1" w:lastColumn="0" w:noHBand="0" w:noVBand="1"/>
        <w:tblCaption w:val="Efficacy results of adalimumab trials (PASI 75 and DLQI)"/>
      </w:tblPr>
      <w:tblGrid>
        <w:gridCol w:w="810"/>
        <w:gridCol w:w="1129"/>
        <w:gridCol w:w="982"/>
        <w:gridCol w:w="5155"/>
        <w:gridCol w:w="2692"/>
        <w:gridCol w:w="3180"/>
      </w:tblGrid>
      <w:tr w:rsidR="00260CD7" w:rsidRPr="00061F78" w:rsidTr="005C40D1">
        <w:trPr>
          <w:trHeight w:val="299"/>
          <w:tblHeader/>
        </w:trPr>
        <w:tc>
          <w:tcPr>
            <w:tcW w:w="290" w:type="pct"/>
            <w:shd w:val="clear" w:color="auto" w:fill="BFBFBF" w:themeFill="background1" w:themeFillShade="BF"/>
            <w:tcMar>
              <w:left w:w="28" w:type="dxa"/>
              <w:right w:w="28" w:type="dxa"/>
            </w:tcMar>
          </w:tcPr>
          <w:p w:rsidR="00F30861" w:rsidRPr="00061F78" w:rsidRDefault="00126B7B" w:rsidP="00063AF0">
            <w:pPr>
              <w:pStyle w:val="Tableheading"/>
              <w:rPr>
                <w:rFonts w:eastAsia="MS Mincho"/>
              </w:rPr>
            </w:pPr>
            <w:r>
              <w:rPr>
                <w:rFonts w:eastAsia="MS Mincho"/>
              </w:rPr>
              <w:t>Study</w:t>
            </w:r>
          </w:p>
        </w:tc>
        <w:tc>
          <w:tcPr>
            <w:tcW w:w="405" w:type="pct"/>
            <w:shd w:val="clear" w:color="auto" w:fill="BFBFBF" w:themeFill="background1" w:themeFillShade="BF"/>
          </w:tcPr>
          <w:p w:rsidR="00F30861" w:rsidRDefault="00F30861" w:rsidP="00063AF0">
            <w:pPr>
              <w:pStyle w:val="Tableheading"/>
              <w:jc w:val="center"/>
              <w:rPr>
                <w:rFonts w:eastAsia="MS Mincho"/>
              </w:rPr>
            </w:pPr>
            <w:r>
              <w:rPr>
                <w:rFonts w:eastAsia="MS Mincho"/>
              </w:rPr>
              <w:t>Study type</w:t>
            </w:r>
          </w:p>
        </w:tc>
        <w:tc>
          <w:tcPr>
            <w:tcW w:w="352" w:type="pct"/>
            <w:shd w:val="clear" w:color="auto" w:fill="BFBFBF" w:themeFill="background1" w:themeFillShade="BF"/>
            <w:tcMar>
              <w:left w:w="28" w:type="dxa"/>
              <w:right w:w="28" w:type="dxa"/>
            </w:tcMar>
          </w:tcPr>
          <w:p w:rsidR="00F30861" w:rsidRPr="00C417F4" w:rsidRDefault="00F30861" w:rsidP="00063AF0">
            <w:pPr>
              <w:pStyle w:val="Tableheading"/>
              <w:jc w:val="center"/>
              <w:rPr>
                <w:rFonts w:eastAsia="MS Mincho"/>
                <w:vertAlign w:val="superscript"/>
              </w:rPr>
            </w:pPr>
            <w:r>
              <w:rPr>
                <w:rFonts w:eastAsia="MS Mincho"/>
              </w:rPr>
              <w:t>N</w:t>
            </w:r>
            <w:r w:rsidR="00C417F4">
              <w:rPr>
                <w:rFonts w:eastAsia="MS Mincho"/>
                <w:vertAlign w:val="superscript"/>
              </w:rPr>
              <w:t>1</w:t>
            </w:r>
          </w:p>
        </w:tc>
        <w:tc>
          <w:tcPr>
            <w:tcW w:w="1848" w:type="pct"/>
            <w:shd w:val="clear" w:color="auto" w:fill="BFBFBF" w:themeFill="background1" w:themeFillShade="BF"/>
            <w:tcMar>
              <w:left w:w="28" w:type="dxa"/>
              <w:right w:w="28" w:type="dxa"/>
            </w:tcMar>
          </w:tcPr>
          <w:p w:rsidR="00F30861" w:rsidRPr="00061F78" w:rsidRDefault="00F30861" w:rsidP="00063AF0">
            <w:pPr>
              <w:pStyle w:val="Tableheading"/>
              <w:jc w:val="center"/>
              <w:rPr>
                <w:rFonts w:eastAsia="MS Mincho"/>
              </w:rPr>
            </w:pPr>
            <w:r w:rsidRPr="00061F78">
              <w:rPr>
                <w:rFonts w:eastAsia="MS Mincho"/>
              </w:rPr>
              <w:t>P</w:t>
            </w:r>
            <w:r>
              <w:rPr>
                <w:rFonts w:eastAsia="MS Mincho"/>
              </w:rPr>
              <w:t>opulation</w:t>
            </w:r>
          </w:p>
        </w:tc>
        <w:tc>
          <w:tcPr>
            <w:tcW w:w="965" w:type="pct"/>
            <w:shd w:val="clear" w:color="auto" w:fill="BFBFBF" w:themeFill="background1" w:themeFillShade="BF"/>
          </w:tcPr>
          <w:p w:rsidR="00F30861" w:rsidRDefault="00F30861" w:rsidP="00063AF0">
            <w:pPr>
              <w:pStyle w:val="Tableheading"/>
              <w:jc w:val="center"/>
              <w:rPr>
                <w:rFonts w:eastAsia="MS Mincho"/>
              </w:rPr>
            </w:pPr>
            <w:r>
              <w:rPr>
                <w:rFonts w:eastAsia="MS Mincho"/>
              </w:rPr>
              <w:t>Intervention and comparator</w:t>
            </w:r>
          </w:p>
        </w:tc>
        <w:tc>
          <w:tcPr>
            <w:tcW w:w="1140" w:type="pct"/>
            <w:shd w:val="clear" w:color="auto" w:fill="BFBFBF" w:themeFill="background1" w:themeFillShade="BF"/>
            <w:tcMar>
              <w:left w:w="28" w:type="dxa"/>
              <w:right w:w="28" w:type="dxa"/>
            </w:tcMar>
          </w:tcPr>
          <w:p w:rsidR="00F30861" w:rsidRPr="00061F78" w:rsidRDefault="00F30861" w:rsidP="00063AF0">
            <w:pPr>
              <w:pStyle w:val="Tableheading"/>
              <w:jc w:val="center"/>
              <w:rPr>
                <w:rFonts w:eastAsia="MS Mincho"/>
              </w:rPr>
            </w:pPr>
            <w:r>
              <w:rPr>
                <w:rFonts w:eastAsia="MS Mincho"/>
              </w:rPr>
              <w:t>Outcomes</w:t>
            </w:r>
          </w:p>
        </w:tc>
      </w:tr>
      <w:tr w:rsidR="00260CD7" w:rsidRPr="00061F78" w:rsidTr="00DB200B">
        <w:trPr>
          <w:trHeight w:val="99"/>
        </w:trPr>
        <w:tc>
          <w:tcPr>
            <w:tcW w:w="290" w:type="pct"/>
            <w:shd w:val="clear" w:color="auto" w:fill="D9D9D9" w:themeFill="background1" w:themeFillShade="D9"/>
            <w:tcMar>
              <w:left w:w="28" w:type="dxa"/>
              <w:right w:w="28" w:type="dxa"/>
            </w:tcMar>
          </w:tcPr>
          <w:p w:rsidR="00F30861" w:rsidRPr="00061F78" w:rsidRDefault="00F30861" w:rsidP="00063AF0">
            <w:pPr>
              <w:pStyle w:val="Tablewriting"/>
              <w:rPr>
                <w:rFonts w:eastAsia="MS Mincho"/>
              </w:rPr>
            </w:pPr>
            <w:r>
              <w:rPr>
                <w:rFonts w:eastAsia="MS Mincho"/>
              </w:rPr>
              <w:t>Jorenby (1999)</w:t>
            </w:r>
            <w:r w:rsidR="007F2A2D" w:rsidRPr="00061F78">
              <w:rPr>
                <w:rFonts w:eastAsia="MS Mincho"/>
              </w:rPr>
              <w:t xml:space="preserve"> </w:t>
            </w:r>
          </w:p>
        </w:tc>
        <w:tc>
          <w:tcPr>
            <w:tcW w:w="405" w:type="pct"/>
            <w:shd w:val="clear" w:color="auto" w:fill="D9D9D9" w:themeFill="background1" w:themeFillShade="D9"/>
          </w:tcPr>
          <w:p w:rsidR="00F30861" w:rsidRDefault="00F30861" w:rsidP="00063AF0">
            <w:pPr>
              <w:pStyle w:val="Tablewriting"/>
              <w:rPr>
                <w:rFonts w:eastAsia="MS Mincho"/>
              </w:rPr>
            </w:pPr>
            <w:r>
              <w:rPr>
                <w:rFonts w:eastAsia="MS Mincho"/>
              </w:rPr>
              <w:t>RCT</w:t>
            </w:r>
          </w:p>
        </w:tc>
        <w:tc>
          <w:tcPr>
            <w:tcW w:w="352" w:type="pct"/>
            <w:shd w:val="clear" w:color="auto" w:fill="D9D9D9" w:themeFill="background1" w:themeFillShade="D9"/>
            <w:tcMar>
              <w:left w:w="28" w:type="dxa"/>
              <w:right w:w="28" w:type="dxa"/>
            </w:tcMar>
          </w:tcPr>
          <w:p w:rsidR="00F30861" w:rsidRDefault="00F30861" w:rsidP="00063AF0">
            <w:pPr>
              <w:pStyle w:val="Tablewriting"/>
              <w:rPr>
                <w:rFonts w:eastAsia="MS Mincho"/>
              </w:rPr>
            </w:pPr>
            <w:r>
              <w:rPr>
                <w:rFonts w:eastAsia="MS Mincho"/>
              </w:rPr>
              <w:t>N=893</w:t>
            </w:r>
          </w:p>
          <w:p w:rsidR="00F30861" w:rsidRDefault="00F30861" w:rsidP="00063AF0">
            <w:pPr>
              <w:pStyle w:val="Tablewriting"/>
              <w:rPr>
                <w:rFonts w:eastAsia="MS Mincho"/>
              </w:rPr>
            </w:pPr>
            <w:r>
              <w:rPr>
                <w:rFonts w:eastAsia="MS Mincho"/>
              </w:rPr>
              <w:t>Bupropion (n=244),</w:t>
            </w:r>
          </w:p>
          <w:p w:rsidR="00F30861" w:rsidRPr="00061F78" w:rsidRDefault="00294C5B" w:rsidP="00063AF0">
            <w:pPr>
              <w:pStyle w:val="Tablewriting"/>
              <w:rPr>
                <w:rFonts w:eastAsia="MS Mincho"/>
              </w:rPr>
            </w:pPr>
            <w:r>
              <w:rPr>
                <w:rFonts w:eastAsia="MS Mincho"/>
              </w:rPr>
              <w:t>NRT</w:t>
            </w:r>
            <w:r w:rsidR="00F30861">
              <w:rPr>
                <w:rFonts w:eastAsia="MS Mincho"/>
              </w:rPr>
              <w:t xml:space="preserve"> (n=244)</w:t>
            </w:r>
          </w:p>
        </w:tc>
        <w:tc>
          <w:tcPr>
            <w:tcW w:w="1848" w:type="pct"/>
            <w:shd w:val="clear" w:color="auto" w:fill="D9D9D9" w:themeFill="background1" w:themeFillShade="D9"/>
            <w:tcMar>
              <w:left w:w="28" w:type="dxa"/>
              <w:right w:w="28" w:type="dxa"/>
            </w:tcMar>
          </w:tcPr>
          <w:p w:rsidR="004A5457" w:rsidRDefault="004A5457" w:rsidP="00063AF0">
            <w:pPr>
              <w:pStyle w:val="Tablewriting"/>
              <w:rPr>
                <w:rFonts w:eastAsia="MS Mincho"/>
              </w:rPr>
            </w:pPr>
            <w:r w:rsidRPr="00280114">
              <w:rPr>
                <w:rFonts w:eastAsia="MS Mincho"/>
                <w:u w:val="single"/>
              </w:rPr>
              <w:t>Inclusion</w:t>
            </w:r>
            <w:r>
              <w:rPr>
                <w:rFonts w:eastAsia="MS Mincho"/>
              </w:rPr>
              <w:t xml:space="preserve">: </w:t>
            </w:r>
            <w:r>
              <w:rPr>
                <w:rFonts w:eastAsia="MS Mincho" w:cstheme="minorHAnsi"/>
              </w:rPr>
              <w:t>≥</w:t>
            </w:r>
            <w:r w:rsidRPr="00280114">
              <w:rPr>
                <w:rFonts w:eastAsia="MS Mincho"/>
              </w:rPr>
              <w:t>18 years</w:t>
            </w:r>
            <w:r>
              <w:rPr>
                <w:rFonts w:eastAsia="MS Mincho"/>
              </w:rPr>
              <w:t xml:space="preserve"> old</w:t>
            </w:r>
            <w:r w:rsidRPr="00280114">
              <w:rPr>
                <w:rFonts w:eastAsia="MS Mincho"/>
              </w:rPr>
              <w:t xml:space="preserve">, </w:t>
            </w:r>
            <w:r>
              <w:rPr>
                <w:rFonts w:eastAsia="MS Mincho" w:cstheme="minorHAnsi"/>
              </w:rPr>
              <w:t>≥</w:t>
            </w:r>
            <w:r w:rsidRPr="00280114">
              <w:rPr>
                <w:rFonts w:eastAsia="MS Mincho"/>
              </w:rPr>
              <w:t>15 cigarettes per day, weigh at least</w:t>
            </w:r>
            <w:r>
              <w:rPr>
                <w:rFonts w:eastAsia="MS Mincho"/>
              </w:rPr>
              <w:t xml:space="preserve"> </w:t>
            </w:r>
            <w:r w:rsidRPr="00280114">
              <w:rPr>
                <w:rFonts w:eastAsia="MS Mincho"/>
              </w:rPr>
              <w:t>45.4 kg, motivated to quit smoking</w:t>
            </w:r>
            <w:r>
              <w:rPr>
                <w:rFonts w:eastAsia="MS Mincho"/>
              </w:rPr>
              <w:t>.</w:t>
            </w:r>
          </w:p>
          <w:p w:rsidR="00F30861" w:rsidRPr="00061F78" w:rsidRDefault="004A5457" w:rsidP="00063AF0">
            <w:pPr>
              <w:pStyle w:val="Tablewriting"/>
              <w:rPr>
                <w:rFonts w:eastAsia="MS Mincho"/>
              </w:rPr>
            </w:pPr>
            <w:r w:rsidRPr="00280114">
              <w:rPr>
                <w:rFonts w:eastAsia="MS Mincho"/>
                <w:u w:val="single"/>
              </w:rPr>
              <w:t>Exclusion</w:t>
            </w:r>
            <w:r>
              <w:rPr>
                <w:rFonts w:eastAsia="MS Mincho"/>
              </w:rPr>
              <w:t xml:space="preserve">: </w:t>
            </w:r>
            <w:r w:rsidRPr="00280114">
              <w:rPr>
                <w:rFonts w:eastAsia="MS Mincho"/>
              </w:rPr>
              <w:t>serious</w:t>
            </w:r>
            <w:r>
              <w:rPr>
                <w:rFonts w:eastAsia="MS Mincho"/>
              </w:rPr>
              <w:t xml:space="preserve"> </w:t>
            </w:r>
            <w:r w:rsidRPr="00280114">
              <w:rPr>
                <w:rFonts w:eastAsia="MS Mincho"/>
              </w:rPr>
              <w:t>or unstable cardiac, renal, hypertensive, pulmonary, endocrine,</w:t>
            </w:r>
            <w:r>
              <w:rPr>
                <w:rFonts w:eastAsia="MS Mincho"/>
              </w:rPr>
              <w:t xml:space="preserve"> </w:t>
            </w:r>
            <w:r w:rsidRPr="00280114">
              <w:rPr>
                <w:rFonts w:eastAsia="MS Mincho"/>
              </w:rPr>
              <w:t>or neurologic disorders;</w:t>
            </w:r>
            <w:r>
              <w:rPr>
                <w:rFonts w:eastAsia="MS Mincho"/>
              </w:rPr>
              <w:t xml:space="preserve"> </w:t>
            </w:r>
            <w:r w:rsidRPr="00280114">
              <w:rPr>
                <w:rFonts w:eastAsia="MS Mincho"/>
              </w:rPr>
              <w:t>ulcers; seizure or dermatologic disorders; a current diagnosis</w:t>
            </w:r>
            <w:r>
              <w:rPr>
                <w:rFonts w:eastAsia="MS Mincho"/>
              </w:rPr>
              <w:t xml:space="preserve"> </w:t>
            </w:r>
            <w:r w:rsidRPr="00280114">
              <w:rPr>
                <w:rFonts w:eastAsia="MS Mincho"/>
              </w:rPr>
              <w:t>of major depressive episode or a history of panic disorder, psychosis,</w:t>
            </w:r>
            <w:r>
              <w:rPr>
                <w:rFonts w:eastAsia="MS Mincho"/>
              </w:rPr>
              <w:t xml:space="preserve"> </w:t>
            </w:r>
            <w:r w:rsidRPr="00280114">
              <w:rPr>
                <w:rFonts w:eastAsia="MS Mincho"/>
              </w:rPr>
              <w:t xml:space="preserve">bipolar disorder, or eating disorders; use of a </w:t>
            </w:r>
            <w:r>
              <w:rPr>
                <w:rFonts w:eastAsia="MS Mincho"/>
              </w:rPr>
              <w:t>NRT</w:t>
            </w:r>
            <w:r w:rsidRPr="00280114">
              <w:rPr>
                <w:rFonts w:eastAsia="MS Mincho"/>
              </w:rPr>
              <w:t xml:space="preserve"> within six months before study enrolment; pregnancy</w:t>
            </w:r>
            <w:r>
              <w:rPr>
                <w:rFonts w:eastAsia="MS Mincho"/>
              </w:rPr>
              <w:t xml:space="preserve"> </w:t>
            </w:r>
            <w:r w:rsidRPr="00280114">
              <w:rPr>
                <w:rFonts w:eastAsia="MS Mincho"/>
              </w:rPr>
              <w:t>or lactation; abuse of alcohol or a non–nicotine-containing</w:t>
            </w:r>
            <w:r>
              <w:rPr>
                <w:rFonts w:eastAsia="MS Mincho"/>
              </w:rPr>
              <w:t xml:space="preserve"> </w:t>
            </w:r>
            <w:r w:rsidRPr="00280114">
              <w:rPr>
                <w:rFonts w:eastAsia="MS Mincho"/>
              </w:rPr>
              <w:t>drug within the preceding year; use of a psychoactive drug within</w:t>
            </w:r>
            <w:r>
              <w:rPr>
                <w:rFonts w:eastAsia="MS Mincho"/>
              </w:rPr>
              <w:t xml:space="preserve"> </w:t>
            </w:r>
            <w:r w:rsidRPr="00280114">
              <w:rPr>
                <w:rFonts w:eastAsia="MS Mincho"/>
              </w:rPr>
              <w:t>the week before enrolment; use of an investigational drug within</w:t>
            </w:r>
            <w:r>
              <w:rPr>
                <w:rFonts w:eastAsia="MS Mincho"/>
              </w:rPr>
              <w:t xml:space="preserve"> </w:t>
            </w:r>
            <w:r w:rsidRPr="00280114">
              <w:rPr>
                <w:rFonts w:eastAsia="MS Mincho"/>
              </w:rPr>
              <w:t>the month before enrolment; prior use of bupropion; current use</w:t>
            </w:r>
            <w:r>
              <w:rPr>
                <w:rFonts w:eastAsia="MS Mincho"/>
              </w:rPr>
              <w:t xml:space="preserve"> </w:t>
            </w:r>
            <w:r w:rsidRPr="00280114">
              <w:rPr>
                <w:rFonts w:eastAsia="MS Mincho"/>
              </w:rPr>
              <w:t>of other smoking-cessation treatments; and regular use of any</w:t>
            </w:r>
            <w:r>
              <w:rPr>
                <w:rFonts w:eastAsia="MS Mincho"/>
              </w:rPr>
              <w:t xml:space="preserve"> </w:t>
            </w:r>
            <w:r w:rsidRPr="00280114">
              <w:rPr>
                <w:rFonts w:eastAsia="MS Mincho"/>
              </w:rPr>
              <w:t>non</w:t>
            </w:r>
            <w:r>
              <w:rPr>
                <w:rFonts w:eastAsia="MS Mincho"/>
              </w:rPr>
              <w:t>-</w:t>
            </w:r>
            <w:r w:rsidRPr="00280114">
              <w:rPr>
                <w:rFonts w:eastAsia="MS Mincho"/>
              </w:rPr>
              <w:t>cigarette tobacco product.</w:t>
            </w:r>
          </w:p>
        </w:tc>
        <w:tc>
          <w:tcPr>
            <w:tcW w:w="965" w:type="pct"/>
            <w:shd w:val="clear" w:color="auto" w:fill="D9D9D9" w:themeFill="background1" w:themeFillShade="D9"/>
          </w:tcPr>
          <w:p w:rsidR="00F30861" w:rsidRDefault="00F30861" w:rsidP="00063AF0">
            <w:pPr>
              <w:pStyle w:val="Tablewriting"/>
              <w:rPr>
                <w:rFonts w:eastAsia="MS Mincho"/>
              </w:rPr>
            </w:pPr>
            <w:r w:rsidRPr="00A34E7B">
              <w:rPr>
                <w:rFonts w:eastAsia="MS Mincho"/>
              </w:rPr>
              <w:t xml:space="preserve">Bupropion: </w:t>
            </w:r>
            <w:r>
              <w:rPr>
                <w:rFonts w:eastAsia="MS Mincho"/>
              </w:rPr>
              <w:t>150</w:t>
            </w:r>
            <w:r w:rsidR="008A1296">
              <w:rPr>
                <w:rFonts w:eastAsia="MS Mincho"/>
              </w:rPr>
              <w:t xml:space="preserve"> </w:t>
            </w:r>
            <w:r>
              <w:rPr>
                <w:rFonts w:eastAsia="MS Mincho"/>
              </w:rPr>
              <w:t xml:space="preserve">mg </w:t>
            </w:r>
            <w:r w:rsidR="00F84183">
              <w:rPr>
                <w:rFonts w:eastAsia="MS Mincho"/>
              </w:rPr>
              <w:t>once daily</w:t>
            </w:r>
            <w:r>
              <w:rPr>
                <w:rFonts w:eastAsia="MS Mincho"/>
              </w:rPr>
              <w:t xml:space="preserve"> Day 1-3</w:t>
            </w:r>
            <w:r w:rsidR="00F84183">
              <w:rPr>
                <w:rFonts w:eastAsia="MS Mincho"/>
              </w:rPr>
              <w:t>, followed by 150</w:t>
            </w:r>
            <w:r w:rsidR="008A1296">
              <w:rPr>
                <w:rFonts w:eastAsia="MS Mincho"/>
              </w:rPr>
              <w:t xml:space="preserve"> </w:t>
            </w:r>
            <w:r w:rsidR="00F84183">
              <w:rPr>
                <w:rFonts w:eastAsia="MS Mincho"/>
              </w:rPr>
              <w:t>mg twice daily</w:t>
            </w:r>
            <w:r>
              <w:rPr>
                <w:rFonts w:eastAsia="MS Mincho"/>
              </w:rPr>
              <w:t xml:space="preserve"> Day 4-63</w:t>
            </w:r>
            <w:r w:rsidR="00753E0A">
              <w:rPr>
                <w:rFonts w:eastAsia="MS Mincho"/>
              </w:rPr>
              <w:t>;</w:t>
            </w:r>
          </w:p>
          <w:p w:rsidR="00F30861" w:rsidRDefault="00BE4854" w:rsidP="00063AF0">
            <w:pPr>
              <w:pStyle w:val="Tablewriting"/>
              <w:rPr>
                <w:rFonts w:eastAsia="MS Mincho"/>
              </w:rPr>
            </w:pPr>
            <w:r>
              <w:rPr>
                <w:rFonts w:eastAsia="MS Mincho"/>
              </w:rPr>
              <w:t>NRT patch</w:t>
            </w:r>
            <w:r w:rsidR="00F30861">
              <w:rPr>
                <w:rFonts w:eastAsia="MS Mincho"/>
              </w:rPr>
              <w:t xml:space="preserve">: </w:t>
            </w:r>
            <w:r>
              <w:rPr>
                <w:rFonts w:eastAsia="MS Mincho"/>
              </w:rPr>
              <w:t>one patch per day for 8 weeks (21</w:t>
            </w:r>
            <w:r w:rsidR="008A1296">
              <w:rPr>
                <w:rFonts w:eastAsia="MS Mincho"/>
              </w:rPr>
              <w:t xml:space="preserve"> </w:t>
            </w:r>
            <w:r>
              <w:rPr>
                <w:rFonts w:eastAsia="MS Mincho"/>
              </w:rPr>
              <w:t>mg patch Week 2-7, 14</w:t>
            </w:r>
            <w:r w:rsidR="008A1296">
              <w:rPr>
                <w:rFonts w:eastAsia="MS Mincho"/>
              </w:rPr>
              <w:t xml:space="preserve"> </w:t>
            </w:r>
            <w:r>
              <w:rPr>
                <w:rFonts w:eastAsia="MS Mincho"/>
              </w:rPr>
              <w:t>mg patch Week 8 and 7</w:t>
            </w:r>
            <w:r w:rsidR="008A1296">
              <w:rPr>
                <w:rFonts w:eastAsia="MS Mincho"/>
              </w:rPr>
              <w:t xml:space="preserve"> </w:t>
            </w:r>
            <w:r>
              <w:rPr>
                <w:rFonts w:eastAsia="MS Mincho"/>
              </w:rPr>
              <w:t>mg patch Week 9)</w:t>
            </w:r>
            <w:r w:rsidR="00F6274F">
              <w:rPr>
                <w:rFonts w:eastAsia="MS Mincho"/>
              </w:rPr>
              <w:t>.</w:t>
            </w:r>
          </w:p>
          <w:p w:rsidR="00BF38EB" w:rsidRDefault="00BF38EB" w:rsidP="00063AF0">
            <w:pPr>
              <w:pStyle w:val="Tablewriting"/>
              <w:rPr>
                <w:rFonts w:eastAsia="MS Mincho"/>
              </w:rPr>
            </w:pPr>
          </w:p>
          <w:p w:rsidR="00BF38EB" w:rsidRPr="00A34E7B" w:rsidRDefault="00BF38EB" w:rsidP="00063AF0">
            <w:pPr>
              <w:pStyle w:val="Tablewriting"/>
              <w:rPr>
                <w:rFonts w:eastAsia="MS Mincho"/>
              </w:rPr>
            </w:pPr>
            <w:r w:rsidRPr="00BF38EB">
              <w:rPr>
                <w:rFonts w:eastAsia="MS Mincho"/>
              </w:rPr>
              <w:t>Behavioural support provided in both arms.</w:t>
            </w:r>
          </w:p>
        </w:tc>
        <w:tc>
          <w:tcPr>
            <w:tcW w:w="1140" w:type="pct"/>
            <w:shd w:val="clear" w:color="auto" w:fill="D9D9D9" w:themeFill="background1" w:themeFillShade="D9"/>
            <w:tcMar>
              <w:left w:w="28" w:type="dxa"/>
              <w:right w:w="28" w:type="dxa"/>
            </w:tcMar>
          </w:tcPr>
          <w:p w:rsidR="00F30861" w:rsidRDefault="00F30861" w:rsidP="00063AF0">
            <w:pPr>
              <w:pStyle w:val="Tablewriting"/>
              <w:rPr>
                <w:rFonts w:eastAsia="MS Mincho"/>
              </w:rPr>
            </w:pPr>
            <w:r w:rsidRPr="00280114">
              <w:rPr>
                <w:rFonts w:eastAsia="MS Mincho"/>
                <w:u w:val="single"/>
              </w:rPr>
              <w:t>Primary</w:t>
            </w:r>
            <w:r>
              <w:rPr>
                <w:rFonts w:eastAsia="MS Mincho"/>
              </w:rPr>
              <w:t>:</w:t>
            </w:r>
            <w:r w:rsidR="00533B8C">
              <w:rPr>
                <w:rFonts w:eastAsia="MS Mincho"/>
              </w:rPr>
              <w:t xml:space="preserve"> 7-day</w:t>
            </w:r>
            <w:r>
              <w:rPr>
                <w:rFonts w:eastAsia="MS Mincho"/>
              </w:rPr>
              <w:t xml:space="preserve"> </w:t>
            </w:r>
            <w:r w:rsidR="004A5457" w:rsidRPr="004A5457">
              <w:rPr>
                <w:rFonts w:eastAsia="MS Mincho"/>
              </w:rPr>
              <w:t>PPA at 6 and 12 months of follow-up. CAR at all clinic visits over 12 months</w:t>
            </w:r>
            <w:r w:rsidR="004A5457">
              <w:rPr>
                <w:rFonts w:eastAsia="MS Mincho"/>
              </w:rPr>
              <w:t>.</w:t>
            </w:r>
            <w:r w:rsidR="004A5457" w:rsidRPr="004A5457">
              <w:rPr>
                <w:rFonts w:eastAsia="MS Mincho"/>
              </w:rPr>
              <w:t xml:space="preserve"> </w:t>
            </w:r>
            <w:r w:rsidR="007E2A23">
              <w:rPr>
                <w:rFonts w:eastAsia="MS Mincho"/>
              </w:rPr>
              <w:t>Validated by CO</w:t>
            </w:r>
            <w:r w:rsidR="0092547F">
              <w:rPr>
                <w:rFonts w:eastAsia="MS Mincho"/>
              </w:rPr>
              <w:t xml:space="preserve"> </w:t>
            </w:r>
            <w:r w:rsidR="00C42C93">
              <w:rPr>
                <w:rFonts w:eastAsia="MS Mincho" w:cstheme="minorHAnsi"/>
              </w:rPr>
              <w:t>≤</w:t>
            </w:r>
            <w:r w:rsidR="007E2A23">
              <w:rPr>
                <w:rFonts w:eastAsia="MS Mincho"/>
              </w:rPr>
              <w:t>10</w:t>
            </w:r>
            <w:r w:rsidR="008C5D20">
              <w:rPr>
                <w:rFonts w:eastAsia="MS Mincho"/>
              </w:rPr>
              <w:t xml:space="preserve"> </w:t>
            </w:r>
            <w:r w:rsidR="007E2A23">
              <w:rPr>
                <w:rFonts w:eastAsia="MS Mincho"/>
              </w:rPr>
              <w:t>ppm.</w:t>
            </w:r>
          </w:p>
          <w:p w:rsidR="00F30861" w:rsidRPr="00061F78" w:rsidRDefault="00F30861" w:rsidP="00063AF0">
            <w:pPr>
              <w:pStyle w:val="Tablewriting"/>
              <w:rPr>
                <w:rFonts w:eastAsia="MS Mincho"/>
              </w:rPr>
            </w:pPr>
            <w:r w:rsidRPr="00280114">
              <w:rPr>
                <w:rFonts w:eastAsia="MS Mincho"/>
                <w:u w:val="single"/>
              </w:rPr>
              <w:t>Secondary</w:t>
            </w:r>
            <w:r>
              <w:rPr>
                <w:rFonts w:eastAsia="MS Mincho"/>
              </w:rPr>
              <w:t xml:space="preserve">: </w:t>
            </w:r>
            <w:r w:rsidRPr="00280114">
              <w:rPr>
                <w:rFonts w:eastAsia="MS Mincho"/>
              </w:rPr>
              <w:t>withdrawal symptoms, body weight, and</w:t>
            </w:r>
            <w:r>
              <w:rPr>
                <w:rFonts w:eastAsia="MS Mincho"/>
              </w:rPr>
              <w:t xml:space="preserve"> </w:t>
            </w:r>
            <w:r w:rsidRPr="00280114">
              <w:rPr>
                <w:rFonts w:eastAsia="MS Mincho"/>
              </w:rPr>
              <w:t>B</w:t>
            </w:r>
            <w:r w:rsidR="004A5457">
              <w:rPr>
                <w:rFonts w:eastAsia="MS Mincho"/>
              </w:rPr>
              <w:t>DI</w:t>
            </w:r>
            <w:r w:rsidRPr="00280114">
              <w:rPr>
                <w:rFonts w:eastAsia="MS Mincho"/>
              </w:rPr>
              <w:t xml:space="preserve"> scores.</w:t>
            </w:r>
          </w:p>
        </w:tc>
      </w:tr>
      <w:tr w:rsidR="00260CD7" w:rsidRPr="00061F78" w:rsidTr="00DB200B">
        <w:trPr>
          <w:trHeight w:val="149"/>
        </w:trPr>
        <w:tc>
          <w:tcPr>
            <w:tcW w:w="290" w:type="pct"/>
            <w:shd w:val="clear" w:color="auto" w:fill="D9D9D9" w:themeFill="background1" w:themeFillShade="D9"/>
            <w:tcMar>
              <w:left w:w="28" w:type="dxa"/>
              <w:right w:w="28" w:type="dxa"/>
            </w:tcMar>
          </w:tcPr>
          <w:p w:rsidR="002F14B4" w:rsidRDefault="002F14B4" w:rsidP="00063AF0">
            <w:pPr>
              <w:pStyle w:val="Tablewriting"/>
              <w:rPr>
                <w:rFonts w:eastAsia="MS Mincho"/>
              </w:rPr>
            </w:pPr>
            <w:r>
              <w:rPr>
                <w:rFonts w:eastAsia="MS Mincho"/>
              </w:rPr>
              <w:t>Gorecka (2003)</w:t>
            </w:r>
            <w:r w:rsidR="007F2A2D">
              <w:rPr>
                <w:rFonts w:eastAsia="MS Mincho"/>
              </w:rPr>
              <w:t xml:space="preserve"> </w:t>
            </w:r>
          </w:p>
        </w:tc>
        <w:tc>
          <w:tcPr>
            <w:tcW w:w="405" w:type="pct"/>
            <w:shd w:val="clear" w:color="auto" w:fill="D9D9D9" w:themeFill="background1" w:themeFillShade="D9"/>
          </w:tcPr>
          <w:p w:rsidR="002F14B4" w:rsidRDefault="008F5CA6" w:rsidP="00063AF0">
            <w:pPr>
              <w:pStyle w:val="Tablewriting"/>
              <w:rPr>
                <w:rFonts w:eastAsia="MS Mincho"/>
              </w:rPr>
            </w:pPr>
            <w:r>
              <w:rPr>
                <w:rFonts w:eastAsia="MS Mincho"/>
              </w:rPr>
              <w:t>RCT</w:t>
            </w:r>
          </w:p>
        </w:tc>
        <w:tc>
          <w:tcPr>
            <w:tcW w:w="352" w:type="pct"/>
            <w:shd w:val="clear" w:color="auto" w:fill="D9D9D9" w:themeFill="background1" w:themeFillShade="D9"/>
            <w:tcMar>
              <w:left w:w="28" w:type="dxa"/>
              <w:right w:w="28" w:type="dxa"/>
            </w:tcMar>
          </w:tcPr>
          <w:p w:rsidR="002F14B4" w:rsidRDefault="00FA26EA" w:rsidP="00063AF0">
            <w:pPr>
              <w:pStyle w:val="Tablewriting"/>
              <w:rPr>
                <w:rFonts w:eastAsia="MS Mincho"/>
              </w:rPr>
            </w:pPr>
            <w:r>
              <w:rPr>
                <w:rFonts w:eastAsia="MS Mincho"/>
              </w:rPr>
              <w:t>N=</w:t>
            </w:r>
            <w:r w:rsidR="00111D2C">
              <w:rPr>
                <w:rFonts w:eastAsia="MS Mincho"/>
              </w:rPr>
              <w:t>70</w:t>
            </w:r>
          </w:p>
          <w:p w:rsidR="008E5B1C" w:rsidRDefault="008E5B1C" w:rsidP="00063AF0">
            <w:pPr>
              <w:pStyle w:val="Tablewriting"/>
              <w:rPr>
                <w:rFonts w:eastAsia="MS Mincho"/>
              </w:rPr>
            </w:pPr>
            <w:r>
              <w:rPr>
                <w:rFonts w:eastAsia="MS Mincho"/>
              </w:rPr>
              <w:t xml:space="preserve">Bupropion (n=32), NRT </w:t>
            </w:r>
          </w:p>
          <w:p w:rsidR="008E5B1C" w:rsidRDefault="008E5B1C" w:rsidP="00063AF0">
            <w:pPr>
              <w:pStyle w:val="Tablewriting"/>
              <w:rPr>
                <w:rFonts w:eastAsia="MS Mincho"/>
              </w:rPr>
            </w:pPr>
            <w:r>
              <w:rPr>
                <w:rFonts w:eastAsia="MS Mincho"/>
              </w:rPr>
              <w:t>(n=38)</w:t>
            </w:r>
          </w:p>
        </w:tc>
        <w:tc>
          <w:tcPr>
            <w:tcW w:w="1848" w:type="pct"/>
            <w:shd w:val="clear" w:color="auto" w:fill="D9D9D9" w:themeFill="background1" w:themeFillShade="D9"/>
            <w:tcMar>
              <w:left w:w="28" w:type="dxa"/>
              <w:right w:w="28" w:type="dxa"/>
            </w:tcMar>
          </w:tcPr>
          <w:p w:rsidR="002F14B4" w:rsidRDefault="00121BBA" w:rsidP="00063AF0">
            <w:pPr>
              <w:pStyle w:val="Tablewriting"/>
              <w:rPr>
                <w:rFonts w:eastAsia="MS Mincho"/>
              </w:rPr>
            </w:pPr>
            <w:r w:rsidRPr="00121BBA">
              <w:rPr>
                <w:rFonts w:eastAsia="MS Mincho"/>
              </w:rPr>
              <w:t>43% female; average age 56</w:t>
            </w:r>
            <w:r w:rsidR="00DE2C86">
              <w:rPr>
                <w:rFonts w:eastAsia="MS Mincho"/>
              </w:rPr>
              <w:t xml:space="preserve"> years old</w:t>
            </w:r>
            <w:r w:rsidRPr="00121BBA">
              <w:rPr>
                <w:rFonts w:eastAsia="MS Mincho"/>
              </w:rPr>
              <w:t xml:space="preserve">; average </w:t>
            </w:r>
            <w:r w:rsidR="00DE2C86">
              <w:rPr>
                <w:rFonts w:eastAsia="MS Mincho"/>
              </w:rPr>
              <w:t xml:space="preserve">24 </w:t>
            </w:r>
            <w:r w:rsidRPr="00121BBA">
              <w:rPr>
                <w:rFonts w:eastAsia="MS Mincho"/>
              </w:rPr>
              <w:t>cigarettes per day</w:t>
            </w:r>
            <w:r w:rsidR="00F6274F">
              <w:rPr>
                <w:rFonts w:eastAsia="MS Mincho"/>
              </w:rPr>
              <w:t>.</w:t>
            </w:r>
          </w:p>
          <w:p w:rsidR="00121BBA" w:rsidRDefault="00121BBA" w:rsidP="00063AF0">
            <w:pPr>
              <w:pStyle w:val="Tablewriting"/>
              <w:rPr>
                <w:rFonts w:eastAsia="MS Mincho"/>
              </w:rPr>
            </w:pPr>
          </w:p>
          <w:p w:rsidR="00121BBA" w:rsidRPr="00121BBA" w:rsidRDefault="00121BBA" w:rsidP="00063AF0">
            <w:pPr>
              <w:pStyle w:val="Tablewriting"/>
              <w:rPr>
                <w:rFonts w:eastAsia="MS Mincho"/>
              </w:rPr>
            </w:pPr>
            <w:r>
              <w:t>Note: fu</w:t>
            </w:r>
            <w:r w:rsidRPr="004A03F9">
              <w:t>ll-text article not readily accessible</w:t>
            </w:r>
            <w:r w:rsidR="00F6274F">
              <w:t>.</w:t>
            </w:r>
          </w:p>
        </w:tc>
        <w:tc>
          <w:tcPr>
            <w:tcW w:w="965" w:type="pct"/>
            <w:shd w:val="clear" w:color="auto" w:fill="D9D9D9" w:themeFill="background1" w:themeFillShade="D9"/>
          </w:tcPr>
          <w:p w:rsidR="00D839BF" w:rsidRDefault="001D166A" w:rsidP="00063AF0">
            <w:pPr>
              <w:pStyle w:val="Tablewriting"/>
              <w:rPr>
                <w:rFonts w:eastAsia="MS Mincho"/>
              </w:rPr>
            </w:pPr>
            <w:r>
              <w:rPr>
                <w:rFonts w:eastAsia="MS Mincho"/>
              </w:rPr>
              <w:t>Bupropion: 300</w:t>
            </w:r>
            <w:r w:rsidR="008A1296">
              <w:rPr>
                <w:rFonts w:eastAsia="MS Mincho"/>
              </w:rPr>
              <w:t xml:space="preserve"> </w:t>
            </w:r>
            <w:r>
              <w:rPr>
                <w:rFonts w:eastAsia="MS Mincho"/>
              </w:rPr>
              <w:t>mg per day for 7 weeks</w:t>
            </w:r>
            <w:r w:rsidR="00E05587">
              <w:rPr>
                <w:rFonts w:eastAsia="MS Mincho"/>
              </w:rPr>
              <w:t xml:space="preserve">; </w:t>
            </w:r>
            <w:r w:rsidR="00D839BF">
              <w:rPr>
                <w:rFonts w:eastAsia="MS Mincho"/>
              </w:rPr>
              <w:t>NRT patch: 15</w:t>
            </w:r>
            <w:r w:rsidR="008A1296">
              <w:rPr>
                <w:rFonts w:eastAsia="MS Mincho"/>
              </w:rPr>
              <w:t xml:space="preserve"> </w:t>
            </w:r>
            <w:r w:rsidR="00D839BF">
              <w:rPr>
                <w:rFonts w:eastAsia="MS Mincho"/>
              </w:rPr>
              <w:t>mg per day for 8 weeks</w:t>
            </w:r>
            <w:r w:rsidR="00F6274F">
              <w:rPr>
                <w:rFonts w:eastAsia="MS Mincho"/>
              </w:rPr>
              <w:t>.</w:t>
            </w:r>
          </w:p>
          <w:p w:rsidR="003577D8" w:rsidRDefault="003577D8" w:rsidP="00063AF0">
            <w:pPr>
              <w:pStyle w:val="Tablewriting"/>
              <w:rPr>
                <w:rFonts w:eastAsia="MS Mincho"/>
              </w:rPr>
            </w:pPr>
          </w:p>
          <w:p w:rsidR="003577D8" w:rsidRDefault="003577D8" w:rsidP="00063AF0">
            <w:pPr>
              <w:pStyle w:val="Tablewriting"/>
              <w:rPr>
                <w:rFonts w:eastAsia="MS Mincho"/>
              </w:rPr>
            </w:pPr>
            <w:r w:rsidRPr="003577D8">
              <w:rPr>
                <w:rFonts w:eastAsia="MS Mincho"/>
              </w:rPr>
              <w:t>Behavioural support provided in both arms.</w:t>
            </w:r>
          </w:p>
        </w:tc>
        <w:tc>
          <w:tcPr>
            <w:tcW w:w="1140" w:type="pct"/>
            <w:shd w:val="clear" w:color="auto" w:fill="D9D9D9" w:themeFill="background1" w:themeFillShade="D9"/>
            <w:tcMar>
              <w:left w:w="28" w:type="dxa"/>
              <w:right w:w="28" w:type="dxa"/>
            </w:tcMar>
          </w:tcPr>
          <w:p w:rsidR="007134B1" w:rsidRDefault="007134B1" w:rsidP="00063AF0">
            <w:pPr>
              <w:pStyle w:val="Tablewriting"/>
              <w:rPr>
                <w:rFonts w:eastAsia="MS Mincho"/>
              </w:rPr>
            </w:pPr>
            <w:r w:rsidRPr="00280114">
              <w:rPr>
                <w:rFonts w:eastAsia="MS Mincho"/>
                <w:u w:val="single"/>
              </w:rPr>
              <w:t>Primary</w:t>
            </w:r>
            <w:r>
              <w:rPr>
                <w:rFonts w:eastAsia="MS Mincho"/>
              </w:rPr>
              <w:t xml:space="preserve">: </w:t>
            </w:r>
            <w:r w:rsidR="00DE2C86">
              <w:rPr>
                <w:rFonts w:eastAsia="MS Mincho"/>
              </w:rPr>
              <w:t>CAR</w:t>
            </w:r>
            <w:r w:rsidRPr="00280114">
              <w:rPr>
                <w:rFonts w:eastAsia="MS Mincho"/>
              </w:rPr>
              <w:t xml:space="preserve"> at </w:t>
            </w:r>
            <w:r>
              <w:rPr>
                <w:rFonts w:eastAsia="MS Mincho"/>
              </w:rPr>
              <w:t>1 year</w:t>
            </w:r>
            <w:r w:rsidR="00812338">
              <w:rPr>
                <w:rFonts w:eastAsia="MS Mincho"/>
              </w:rPr>
              <w:t>. V</w:t>
            </w:r>
            <w:r w:rsidR="00C27DD1">
              <w:rPr>
                <w:rFonts w:eastAsia="MS Mincho"/>
              </w:rPr>
              <w:t>alidated by CO</w:t>
            </w:r>
            <w:r w:rsidR="0092547F">
              <w:rPr>
                <w:rFonts w:eastAsia="MS Mincho"/>
              </w:rPr>
              <w:t xml:space="preserve"> </w:t>
            </w:r>
            <w:r w:rsidR="00C27DD1">
              <w:rPr>
                <w:rFonts w:eastAsia="MS Mincho"/>
              </w:rPr>
              <w:t>&lt;10</w:t>
            </w:r>
            <w:r w:rsidR="008C5D20">
              <w:rPr>
                <w:rFonts w:eastAsia="MS Mincho"/>
              </w:rPr>
              <w:t xml:space="preserve"> </w:t>
            </w:r>
            <w:r w:rsidR="00C27DD1">
              <w:rPr>
                <w:rFonts w:eastAsia="MS Mincho"/>
              </w:rPr>
              <w:t>ppm</w:t>
            </w:r>
            <w:r w:rsidR="00812338">
              <w:rPr>
                <w:rFonts w:eastAsia="MS Mincho"/>
              </w:rPr>
              <w:t>.</w:t>
            </w:r>
          </w:p>
          <w:p w:rsidR="002F14B4" w:rsidRDefault="007134B1" w:rsidP="00063AF0">
            <w:pPr>
              <w:pStyle w:val="Tablewriting"/>
              <w:rPr>
                <w:rFonts w:eastAsia="MS Mincho"/>
              </w:rPr>
            </w:pPr>
            <w:r w:rsidRPr="00280114">
              <w:rPr>
                <w:rFonts w:eastAsia="MS Mincho"/>
                <w:u w:val="single"/>
              </w:rPr>
              <w:t>Secondary</w:t>
            </w:r>
            <w:r>
              <w:rPr>
                <w:rFonts w:eastAsia="MS Mincho"/>
              </w:rPr>
              <w:t>: adverse events measured for unspecified period</w:t>
            </w:r>
            <w:r w:rsidR="00F6274F">
              <w:rPr>
                <w:rFonts w:eastAsia="MS Mincho"/>
              </w:rPr>
              <w:t>.</w:t>
            </w:r>
          </w:p>
        </w:tc>
      </w:tr>
      <w:tr w:rsidR="00260CD7" w:rsidRPr="00061F78" w:rsidTr="00DB200B">
        <w:trPr>
          <w:trHeight w:val="149"/>
        </w:trPr>
        <w:tc>
          <w:tcPr>
            <w:tcW w:w="290" w:type="pct"/>
            <w:shd w:val="clear" w:color="auto" w:fill="D9D9D9" w:themeFill="background1" w:themeFillShade="D9"/>
            <w:tcMar>
              <w:left w:w="28" w:type="dxa"/>
              <w:right w:w="28" w:type="dxa"/>
            </w:tcMar>
          </w:tcPr>
          <w:p w:rsidR="002F14B4" w:rsidRDefault="002F14B4" w:rsidP="00063AF0">
            <w:pPr>
              <w:pStyle w:val="Tablewriting"/>
              <w:rPr>
                <w:rFonts w:eastAsia="MS Mincho"/>
              </w:rPr>
            </w:pPr>
            <w:r>
              <w:rPr>
                <w:rFonts w:eastAsia="MS Mincho"/>
              </w:rPr>
              <w:t>Uyar (2007)</w:t>
            </w:r>
            <w:r w:rsidR="00D46B9D">
              <w:rPr>
                <w:rFonts w:eastAsia="MS Mincho"/>
              </w:rPr>
              <w:t xml:space="preserve"> </w:t>
            </w:r>
          </w:p>
        </w:tc>
        <w:tc>
          <w:tcPr>
            <w:tcW w:w="405" w:type="pct"/>
            <w:shd w:val="clear" w:color="auto" w:fill="D9D9D9" w:themeFill="background1" w:themeFillShade="D9"/>
          </w:tcPr>
          <w:p w:rsidR="002F14B4" w:rsidRDefault="008F5CA6" w:rsidP="00063AF0">
            <w:pPr>
              <w:pStyle w:val="Tablewriting"/>
              <w:rPr>
                <w:rFonts w:eastAsia="MS Mincho"/>
              </w:rPr>
            </w:pPr>
            <w:r>
              <w:rPr>
                <w:rFonts w:eastAsia="MS Mincho"/>
              </w:rPr>
              <w:t>RCT</w:t>
            </w:r>
          </w:p>
        </w:tc>
        <w:tc>
          <w:tcPr>
            <w:tcW w:w="352" w:type="pct"/>
            <w:shd w:val="clear" w:color="auto" w:fill="D9D9D9" w:themeFill="background1" w:themeFillShade="D9"/>
            <w:tcMar>
              <w:left w:w="28" w:type="dxa"/>
              <w:right w:w="28" w:type="dxa"/>
            </w:tcMar>
          </w:tcPr>
          <w:p w:rsidR="002F14B4" w:rsidRDefault="003B76F2" w:rsidP="00063AF0">
            <w:pPr>
              <w:pStyle w:val="Tablewriting"/>
              <w:rPr>
                <w:rFonts w:eastAsia="MS Mincho"/>
              </w:rPr>
            </w:pPr>
            <w:r>
              <w:rPr>
                <w:rFonts w:eastAsia="MS Mincho"/>
              </w:rPr>
              <w:t>N=131</w:t>
            </w:r>
          </w:p>
          <w:p w:rsidR="00294C5B" w:rsidRDefault="005F303E" w:rsidP="00063AF0">
            <w:pPr>
              <w:pStyle w:val="Tablewriting"/>
              <w:rPr>
                <w:rFonts w:eastAsia="MS Mincho"/>
              </w:rPr>
            </w:pPr>
            <w:r>
              <w:rPr>
                <w:rFonts w:eastAsia="MS Mincho"/>
              </w:rPr>
              <w:t>Bupropion (n=</w:t>
            </w:r>
            <w:r w:rsidR="00451A7A">
              <w:rPr>
                <w:rFonts w:eastAsia="MS Mincho"/>
              </w:rPr>
              <w:t>50)</w:t>
            </w:r>
            <w:r w:rsidR="00294C5B">
              <w:rPr>
                <w:rFonts w:eastAsia="MS Mincho"/>
              </w:rPr>
              <w:t xml:space="preserve">, NRT </w:t>
            </w:r>
          </w:p>
          <w:p w:rsidR="003B76F2" w:rsidRDefault="00294C5B" w:rsidP="00063AF0">
            <w:pPr>
              <w:pStyle w:val="Tablewriting"/>
              <w:rPr>
                <w:rFonts w:eastAsia="MS Mincho"/>
              </w:rPr>
            </w:pPr>
            <w:r>
              <w:rPr>
                <w:rFonts w:eastAsia="MS Mincho"/>
              </w:rPr>
              <w:t>(n=50)</w:t>
            </w:r>
          </w:p>
        </w:tc>
        <w:tc>
          <w:tcPr>
            <w:tcW w:w="1848" w:type="pct"/>
            <w:shd w:val="clear" w:color="auto" w:fill="D9D9D9" w:themeFill="background1" w:themeFillShade="D9"/>
            <w:tcMar>
              <w:left w:w="28" w:type="dxa"/>
              <w:right w:w="28" w:type="dxa"/>
            </w:tcMar>
          </w:tcPr>
          <w:p w:rsidR="002F14B4" w:rsidRPr="004A03F9" w:rsidRDefault="004A03F9" w:rsidP="004A03F9">
            <w:pPr>
              <w:pStyle w:val="Tablewriting"/>
            </w:pPr>
            <w:r w:rsidRPr="004A03F9">
              <w:t>19% female, average age 36</w:t>
            </w:r>
            <w:r w:rsidR="00375984">
              <w:t xml:space="preserve"> years old</w:t>
            </w:r>
            <w:r w:rsidR="00F6274F">
              <w:t>.</w:t>
            </w:r>
          </w:p>
          <w:p w:rsidR="004A03F9" w:rsidRDefault="004A03F9" w:rsidP="00063AF0">
            <w:pPr>
              <w:pStyle w:val="Tablewriting"/>
              <w:rPr>
                <w:u w:val="single"/>
              </w:rPr>
            </w:pPr>
          </w:p>
          <w:p w:rsidR="004A03F9" w:rsidRPr="004A03F9" w:rsidRDefault="0006448B" w:rsidP="00063AF0">
            <w:pPr>
              <w:pStyle w:val="Tablewriting"/>
              <w:rPr>
                <w:rFonts w:eastAsia="MS Mincho"/>
              </w:rPr>
            </w:pPr>
            <w:r>
              <w:t>Note: fu</w:t>
            </w:r>
            <w:r w:rsidR="004A03F9" w:rsidRPr="004A03F9">
              <w:t>ll-text article not readily accessible</w:t>
            </w:r>
            <w:r w:rsidR="00F6274F">
              <w:t>.</w:t>
            </w:r>
          </w:p>
        </w:tc>
        <w:tc>
          <w:tcPr>
            <w:tcW w:w="965" w:type="pct"/>
            <w:shd w:val="clear" w:color="auto" w:fill="D9D9D9" w:themeFill="background1" w:themeFillShade="D9"/>
          </w:tcPr>
          <w:p w:rsidR="003577D8" w:rsidRDefault="0006448B" w:rsidP="00063AF0">
            <w:pPr>
              <w:pStyle w:val="Tablewriting"/>
              <w:rPr>
                <w:rFonts w:eastAsia="MS Mincho"/>
              </w:rPr>
            </w:pPr>
            <w:r>
              <w:rPr>
                <w:rFonts w:eastAsia="MS Mincho"/>
              </w:rPr>
              <w:t>Bupropion: 300</w:t>
            </w:r>
            <w:r w:rsidR="008A1296">
              <w:rPr>
                <w:rFonts w:eastAsia="MS Mincho"/>
              </w:rPr>
              <w:t xml:space="preserve"> </w:t>
            </w:r>
            <w:r>
              <w:rPr>
                <w:rFonts w:eastAsia="MS Mincho"/>
              </w:rPr>
              <w:t>mg for 7 weeks</w:t>
            </w:r>
            <w:r w:rsidR="00E05587">
              <w:rPr>
                <w:rFonts w:eastAsia="MS Mincho"/>
              </w:rPr>
              <w:t xml:space="preserve">; </w:t>
            </w:r>
            <w:r w:rsidR="00637C28">
              <w:rPr>
                <w:rFonts w:eastAsia="MS Mincho"/>
              </w:rPr>
              <w:t>NRT patch: 21</w:t>
            </w:r>
            <w:r w:rsidR="008A1296">
              <w:rPr>
                <w:rFonts w:eastAsia="MS Mincho"/>
              </w:rPr>
              <w:t xml:space="preserve"> </w:t>
            </w:r>
            <w:r w:rsidR="00637C28">
              <w:rPr>
                <w:rFonts w:eastAsia="MS Mincho"/>
              </w:rPr>
              <w:t>mg for 6 weeks including tapering</w:t>
            </w:r>
            <w:r w:rsidR="00F6274F">
              <w:rPr>
                <w:rFonts w:eastAsia="MS Mincho"/>
              </w:rPr>
              <w:t>.</w:t>
            </w:r>
          </w:p>
          <w:p w:rsidR="00E05587" w:rsidRDefault="00E05587" w:rsidP="00063AF0">
            <w:pPr>
              <w:pStyle w:val="Tablewriting"/>
              <w:rPr>
                <w:rFonts w:eastAsia="MS Mincho"/>
              </w:rPr>
            </w:pPr>
          </w:p>
          <w:p w:rsidR="003577D8" w:rsidRDefault="00CE1534" w:rsidP="00063AF0">
            <w:pPr>
              <w:pStyle w:val="Tablewriting"/>
              <w:rPr>
                <w:rFonts w:eastAsia="MS Mincho"/>
              </w:rPr>
            </w:pPr>
            <w:r w:rsidRPr="00CE1534">
              <w:rPr>
                <w:rFonts w:eastAsia="MS Mincho"/>
              </w:rPr>
              <w:t>Behavioural support provided in both arms.</w:t>
            </w:r>
          </w:p>
        </w:tc>
        <w:tc>
          <w:tcPr>
            <w:tcW w:w="1140" w:type="pct"/>
            <w:shd w:val="clear" w:color="auto" w:fill="D9D9D9" w:themeFill="background1" w:themeFillShade="D9"/>
            <w:tcMar>
              <w:left w:w="28" w:type="dxa"/>
              <w:right w:w="28" w:type="dxa"/>
            </w:tcMar>
          </w:tcPr>
          <w:p w:rsidR="004D6DF9" w:rsidRDefault="004D6DF9" w:rsidP="00063AF0">
            <w:pPr>
              <w:pStyle w:val="Tablewriting"/>
              <w:rPr>
                <w:rFonts w:eastAsia="MS Mincho"/>
              </w:rPr>
            </w:pPr>
            <w:r w:rsidRPr="00280114">
              <w:rPr>
                <w:rFonts w:eastAsia="MS Mincho"/>
                <w:u w:val="single"/>
              </w:rPr>
              <w:t>Primary</w:t>
            </w:r>
            <w:r>
              <w:rPr>
                <w:rFonts w:eastAsia="MS Mincho"/>
              </w:rPr>
              <w:t>:</w:t>
            </w:r>
            <w:r w:rsidR="001A7871">
              <w:rPr>
                <w:rFonts w:eastAsia="MS Mincho"/>
              </w:rPr>
              <w:t xml:space="preserve"> </w:t>
            </w:r>
            <w:r w:rsidRPr="00280114">
              <w:rPr>
                <w:rFonts w:eastAsia="MS Mincho"/>
              </w:rPr>
              <w:t xml:space="preserve">abstinence at </w:t>
            </w:r>
            <w:r w:rsidR="001A7871">
              <w:rPr>
                <w:rFonts w:eastAsia="MS Mincho"/>
              </w:rPr>
              <w:t>24 weeks</w:t>
            </w:r>
            <w:r w:rsidR="00E660EB">
              <w:rPr>
                <w:rFonts w:eastAsia="MS Mincho"/>
              </w:rPr>
              <w:t xml:space="preserve"> (definition not specified)</w:t>
            </w:r>
            <w:r w:rsidR="00812338">
              <w:rPr>
                <w:rFonts w:eastAsia="MS Mincho"/>
              </w:rPr>
              <w:t>. V</w:t>
            </w:r>
            <w:r w:rsidR="00391E7B">
              <w:rPr>
                <w:rFonts w:eastAsia="MS Mincho"/>
              </w:rPr>
              <w:t>alidated by CO</w:t>
            </w:r>
            <w:r w:rsidR="0092547F">
              <w:rPr>
                <w:rFonts w:eastAsia="MS Mincho"/>
              </w:rPr>
              <w:t xml:space="preserve"> </w:t>
            </w:r>
            <w:r w:rsidR="00391E7B">
              <w:rPr>
                <w:rFonts w:eastAsia="MS Mincho"/>
              </w:rPr>
              <w:t>&lt;10</w:t>
            </w:r>
            <w:r w:rsidR="008C5D20">
              <w:rPr>
                <w:rFonts w:eastAsia="MS Mincho"/>
              </w:rPr>
              <w:t xml:space="preserve"> </w:t>
            </w:r>
            <w:r w:rsidR="00391E7B">
              <w:rPr>
                <w:rFonts w:eastAsia="MS Mincho"/>
              </w:rPr>
              <w:t>ppm</w:t>
            </w:r>
            <w:r w:rsidR="00812338">
              <w:rPr>
                <w:rFonts w:eastAsia="MS Mincho"/>
              </w:rPr>
              <w:t>.</w:t>
            </w:r>
          </w:p>
          <w:p w:rsidR="002F14B4" w:rsidRDefault="004D6DF9" w:rsidP="00063AF0">
            <w:pPr>
              <w:pStyle w:val="Tablewriting"/>
              <w:rPr>
                <w:rFonts w:eastAsia="MS Mincho"/>
              </w:rPr>
            </w:pPr>
            <w:r w:rsidRPr="00280114">
              <w:rPr>
                <w:rFonts w:eastAsia="MS Mincho"/>
                <w:u w:val="single"/>
              </w:rPr>
              <w:t>Secondary</w:t>
            </w:r>
            <w:r>
              <w:rPr>
                <w:rFonts w:eastAsia="MS Mincho"/>
              </w:rPr>
              <w:t xml:space="preserve">: </w:t>
            </w:r>
            <w:r w:rsidR="00E660EB">
              <w:rPr>
                <w:rFonts w:eastAsia="MS Mincho"/>
              </w:rPr>
              <w:t>adverse events</w:t>
            </w:r>
            <w:r w:rsidR="00F73440">
              <w:rPr>
                <w:rFonts w:eastAsia="MS Mincho"/>
              </w:rPr>
              <w:t xml:space="preserve"> measured for unspecified period</w:t>
            </w:r>
            <w:r w:rsidR="00F6274F">
              <w:rPr>
                <w:rFonts w:eastAsia="MS Mincho"/>
              </w:rPr>
              <w:t>.</w:t>
            </w:r>
          </w:p>
        </w:tc>
      </w:tr>
      <w:tr w:rsidR="00260CD7" w:rsidRPr="00061F78" w:rsidTr="00DB200B">
        <w:trPr>
          <w:trHeight w:val="149"/>
        </w:trPr>
        <w:tc>
          <w:tcPr>
            <w:tcW w:w="290" w:type="pct"/>
            <w:shd w:val="clear" w:color="auto" w:fill="D9D9D9" w:themeFill="background1" w:themeFillShade="D9"/>
            <w:tcMar>
              <w:left w:w="28" w:type="dxa"/>
              <w:right w:w="28" w:type="dxa"/>
            </w:tcMar>
          </w:tcPr>
          <w:p w:rsidR="002F14B4" w:rsidRDefault="002F14B4" w:rsidP="00063AF0">
            <w:pPr>
              <w:pStyle w:val="Tablewriting"/>
              <w:rPr>
                <w:rFonts w:eastAsia="MS Mincho"/>
              </w:rPr>
            </w:pPr>
            <w:r>
              <w:rPr>
                <w:rFonts w:eastAsia="MS Mincho"/>
              </w:rPr>
              <w:t xml:space="preserve">Piper (2009) </w:t>
            </w:r>
          </w:p>
        </w:tc>
        <w:tc>
          <w:tcPr>
            <w:tcW w:w="405" w:type="pct"/>
            <w:shd w:val="clear" w:color="auto" w:fill="D9D9D9" w:themeFill="background1" w:themeFillShade="D9"/>
          </w:tcPr>
          <w:p w:rsidR="002F14B4" w:rsidRDefault="008F5CA6" w:rsidP="00063AF0">
            <w:pPr>
              <w:pStyle w:val="Tablewriting"/>
              <w:rPr>
                <w:rFonts w:eastAsia="MS Mincho"/>
              </w:rPr>
            </w:pPr>
            <w:r>
              <w:rPr>
                <w:rFonts w:eastAsia="MS Mincho"/>
              </w:rPr>
              <w:t>RCT</w:t>
            </w:r>
          </w:p>
        </w:tc>
        <w:tc>
          <w:tcPr>
            <w:tcW w:w="352" w:type="pct"/>
            <w:shd w:val="clear" w:color="auto" w:fill="D9D9D9" w:themeFill="background1" w:themeFillShade="D9"/>
            <w:tcMar>
              <w:left w:w="28" w:type="dxa"/>
              <w:right w:w="28" w:type="dxa"/>
            </w:tcMar>
          </w:tcPr>
          <w:p w:rsidR="002F14B4" w:rsidRDefault="00710FB8" w:rsidP="00063AF0">
            <w:pPr>
              <w:pStyle w:val="Tablewriting"/>
              <w:rPr>
                <w:rFonts w:eastAsia="MS Mincho"/>
              </w:rPr>
            </w:pPr>
            <w:r>
              <w:rPr>
                <w:rFonts w:eastAsia="MS Mincho"/>
              </w:rPr>
              <w:t>N=1</w:t>
            </w:r>
            <w:r w:rsidR="00D46B9D">
              <w:rPr>
                <w:rFonts w:eastAsia="MS Mincho"/>
              </w:rPr>
              <w:t>,</w:t>
            </w:r>
            <w:r>
              <w:rPr>
                <w:rFonts w:eastAsia="MS Mincho"/>
              </w:rPr>
              <w:t>504</w:t>
            </w:r>
          </w:p>
          <w:p w:rsidR="00710FB8" w:rsidRDefault="00710FB8" w:rsidP="00063AF0">
            <w:pPr>
              <w:pStyle w:val="Tablewriting"/>
              <w:rPr>
                <w:rFonts w:eastAsia="MS Mincho"/>
              </w:rPr>
            </w:pPr>
            <w:r>
              <w:rPr>
                <w:rFonts w:eastAsia="MS Mincho"/>
              </w:rPr>
              <w:t>Bupropion</w:t>
            </w:r>
            <w:r w:rsidR="00AD7641">
              <w:rPr>
                <w:rFonts w:eastAsia="MS Mincho"/>
              </w:rPr>
              <w:t xml:space="preserve"> (n=26</w:t>
            </w:r>
            <w:r w:rsidR="0005710C">
              <w:rPr>
                <w:rFonts w:eastAsia="MS Mincho"/>
              </w:rPr>
              <w:t>4)</w:t>
            </w:r>
            <w:r w:rsidR="00A5362A">
              <w:rPr>
                <w:rFonts w:eastAsia="MS Mincho"/>
              </w:rPr>
              <w:t>,</w:t>
            </w:r>
            <w:r w:rsidR="004B0A45">
              <w:rPr>
                <w:rFonts w:eastAsia="MS Mincho"/>
              </w:rPr>
              <w:t xml:space="preserve"> NRT patch</w:t>
            </w:r>
            <w:r w:rsidR="003913AB">
              <w:rPr>
                <w:rFonts w:eastAsia="MS Mincho"/>
              </w:rPr>
              <w:t xml:space="preserve"> (n=</w:t>
            </w:r>
            <w:r w:rsidR="00A5362A">
              <w:rPr>
                <w:rFonts w:eastAsia="MS Mincho"/>
              </w:rPr>
              <w:t xml:space="preserve">262), NRT </w:t>
            </w:r>
            <w:r w:rsidR="00A5362A">
              <w:rPr>
                <w:rFonts w:eastAsia="MS Mincho"/>
              </w:rPr>
              <w:lastRenderedPageBreak/>
              <w:t>lozenge (n=260)</w:t>
            </w:r>
          </w:p>
        </w:tc>
        <w:tc>
          <w:tcPr>
            <w:tcW w:w="1848" w:type="pct"/>
            <w:shd w:val="clear" w:color="auto" w:fill="D9D9D9" w:themeFill="background1" w:themeFillShade="D9"/>
            <w:tcMar>
              <w:left w:w="28" w:type="dxa"/>
              <w:right w:w="28" w:type="dxa"/>
            </w:tcMar>
          </w:tcPr>
          <w:p w:rsidR="002F14B4" w:rsidRDefault="00B5317A" w:rsidP="00063AF0">
            <w:pPr>
              <w:pStyle w:val="Tablewriting"/>
              <w:rPr>
                <w:rFonts w:eastAsia="MS Mincho"/>
              </w:rPr>
            </w:pPr>
            <w:r>
              <w:rPr>
                <w:rFonts w:eastAsia="MS Mincho"/>
                <w:u w:val="single"/>
              </w:rPr>
              <w:lastRenderedPageBreak/>
              <w:t>Inclusion</w:t>
            </w:r>
            <w:r w:rsidRPr="00B5317A">
              <w:rPr>
                <w:rFonts w:eastAsia="MS Mincho"/>
              </w:rPr>
              <w:t xml:space="preserve">: </w:t>
            </w:r>
            <w:r w:rsidR="00375984">
              <w:rPr>
                <w:rFonts w:eastAsia="MS Mincho"/>
              </w:rPr>
              <w:t>&gt;</w:t>
            </w:r>
            <w:r w:rsidRPr="00B5317A">
              <w:rPr>
                <w:rFonts w:eastAsia="MS Mincho"/>
              </w:rPr>
              <w:t>9 cigarettes per day for at least the past 6</w:t>
            </w:r>
            <w:r>
              <w:rPr>
                <w:rFonts w:eastAsia="MS Mincho"/>
              </w:rPr>
              <w:t xml:space="preserve"> </w:t>
            </w:r>
            <w:r w:rsidRPr="00B5317A">
              <w:rPr>
                <w:rFonts w:eastAsia="MS Mincho"/>
              </w:rPr>
              <w:t>months,</w:t>
            </w:r>
            <w:r>
              <w:rPr>
                <w:rFonts w:eastAsia="MS Mincho"/>
              </w:rPr>
              <w:t xml:space="preserve"> </w:t>
            </w:r>
            <w:r w:rsidRPr="00B5317A">
              <w:rPr>
                <w:rFonts w:eastAsia="MS Mincho"/>
              </w:rPr>
              <w:t xml:space="preserve">alveolar </w:t>
            </w:r>
            <w:r w:rsidR="0092547F">
              <w:rPr>
                <w:rFonts w:eastAsia="MS Mincho"/>
              </w:rPr>
              <w:t>CO &gt;</w:t>
            </w:r>
            <w:r w:rsidRPr="00B5317A">
              <w:rPr>
                <w:rFonts w:eastAsia="MS Mincho"/>
              </w:rPr>
              <w:t>9 ppm,</w:t>
            </w:r>
            <w:r w:rsidR="00057295">
              <w:rPr>
                <w:rFonts w:eastAsia="MS Mincho"/>
              </w:rPr>
              <w:t xml:space="preserve"> </w:t>
            </w:r>
            <w:r w:rsidRPr="00B5317A">
              <w:rPr>
                <w:rFonts w:eastAsia="MS Mincho"/>
              </w:rPr>
              <w:t>motivated to quit smoking.</w:t>
            </w:r>
          </w:p>
          <w:p w:rsidR="00FD437F" w:rsidRPr="00B5317A" w:rsidRDefault="00FD437F" w:rsidP="00063AF0">
            <w:pPr>
              <w:pStyle w:val="Tablewriting"/>
              <w:rPr>
                <w:rFonts w:eastAsia="MS Mincho"/>
              </w:rPr>
            </w:pPr>
            <w:r w:rsidRPr="00393C3D">
              <w:rPr>
                <w:rFonts w:eastAsia="MS Mincho"/>
                <w:u w:val="single"/>
              </w:rPr>
              <w:t>Exclusion</w:t>
            </w:r>
            <w:r>
              <w:rPr>
                <w:rFonts w:eastAsia="MS Mincho"/>
              </w:rPr>
              <w:t xml:space="preserve">: </w:t>
            </w:r>
            <w:r w:rsidRPr="00FD437F">
              <w:rPr>
                <w:rFonts w:eastAsia="MS Mincho"/>
              </w:rPr>
              <w:t>using any form of tobacco other than cigarettes, currently</w:t>
            </w:r>
            <w:r>
              <w:rPr>
                <w:rFonts w:eastAsia="MS Mincho"/>
              </w:rPr>
              <w:t xml:space="preserve"> </w:t>
            </w:r>
            <w:r w:rsidRPr="00FD437F">
              <w:rPr>
                <w:rFonts w:eastAsia="MS Mincho"/>
              </w:rPr>
              <w:t>taking bupropion, or having a current psychosis or schizophrenia</w:t>
            </w:r>
            <w:r>
              <w:rPr>
                <w:rFonts w:eastAsia="MS Mincho"/>
              </w:rPr>
              <w:t xml:space="preserve"> </w:t>
            </w:r>
            <w:r w:rsidRPr="00FD437F">
              <w:rPr>
                <w:rFonts w:eastAsia="MS Mincho"/>
              </w:rPr>
              <w:t>diagnosis</w:t>
            </w:r>
            <w:r w:rsidR="0046498B">
              <w:rPr>
                <w:rFonts w:eastAsia="MS Mincho"/>
              </w:rPr>
              <w:t xml:space="preserve">, </w:t>
            </w:r>
            <w:r w:rsidR="0046498B" w:rsidRPr="0046498B">
              <w:rPr>
                <w:rFonts w:eastAsia="MS Mincho"/>
              </w:rPr>
              <w:t>medical contraindications for any of the study medications,</w:t>
            </w:r>
            <w:r w:rsidR="00393C3D">
              <w:rPr>
                <w:rFonts w:eastAsia="MS Mincho"/>
              </w:rPr>
              <w:t xml:space="preserve"> </w:t>
            </w:r>
            <w:r w:rsidR="0046498B" w:rsidRPr="0046498B">
              <w:rPr>
                <w:rFonts w:eastAsia="MS Mincho"/>
              </w:rPr>
              <w:t>including high alcohol consumption (6 drinks per day</w:t>
            </w:r>
            <w:r w:rsidR="00393C3D">
              <w:rPr>
                <w:rFonts w:eastAsia="MS Mincho"/>
              </w:rPr>
              <w:t xml:space="preserve"> </w:t>
            </w:r>
            <w:r w:rsidR="0046498B" w:rsidRPr="0046498B">
              <w:rPr>
                <w:rFonts w:eastAsia="MS Mincho"/>
              </w:rPr>
              <w:t xml:space="preserve">on 6 or 7 days of the week), a history of seizure, </w:t>
            </w:r>
            <w:r w:rsidR="0046498B" w:rsidRPr="0046498B">
              <w:rPr>
                <w:rFonts w:eastAsia="MS Mincho"/>
              </w:rPr>
              <w:lastRenderedPageBreak/>
              <w:t>high blood</w:t>
            </w:r>
            <w:r w:rsidR="00393C3D">
              <w:rPr>
                <w:rFonts w:eastAsia="MS Mincho"/>
              </w:rPr>
              <w:t xml:space="preserve"> </w:t>
            </w:r>
            <w:r w:rsidR="0046498B" w:rsidRPr="0046498B">
              <w:rPr>
                <w:rFonts w:eastAsia="MS Mincho"/>
              </w:rPr>
              <w:t>pressure (</w:t>
            </w:r>
            <w:r w:rsidR="00393C3D">
              <w:rPr>
                <w:rFonts w:eastAsia="MS Mincho"/>
              </w:rPr>
              <w:t>&gt;</w:t>
            </w:r>
            <w:r w:rsidR="0046498B" w:rsidRPr="0046498B">
              <w:rPr>
                <w:rFonts w:eastAsia="MS Mincho"/>
              </w:rPr>
              <w:t>160/100 mm Hg), bipolar disorder, an eating disorder,</w:t>
            </w:r>
            <w:r w:rsidR="00393C3D">
              <w:rPr>
                <w:rFonts w:eastAsia="MS Mincho"/>
              </w:rPr>
              <w:t xml:space="preserve"> </w:t>
            </w:r>
            <w:r w:rsidR="0046498B" w:rsidRPr="0046498B">
              <w:rPr>
                <w:rFonts w:eastAsia="MS Mincho"/>
              </w:rPr>
              <w:t>a recent cardiac event, or allergies to any of the medi</w:t>
            </w:r>
            <w:r w:rsidR="00393C3D">
              <w:rPr>
                <w:rFonts w:eastAsia="MS Mincho"/>
              </w:rPr>
              <w:t>cation</w:t>
            </w:r>
            <w:r w:rsidR="009559EA">
              <w:rPr>
                <w:rFonts w:eastAsia="MS Mincho"/>
              </w:rPr>
              <w:t>s, pregnancy or breastfeeding.</w:t>
            </w:r>
          </w:p>
        </w:tc>
        <w:tc>
          <w:tcPr>
            <w:tcW w:w="965" w:type="pct"/>
            <w:shd w:val="clear" w:color="auto" w:fill="D9D9D9" w:themeFill="background1" w:themeFillShade="D9"/>
          </w:tcPr>
          <w:p w:rsidR="007C7446" w:rsidRDefault="00341301" w:rsidP="00063AF0">
            <w:pPr>
              <w:pStyle w:val="Tablewriting"/>
              <w:rPr>
                <w:rFonts w:eastAsia="MS Mincho"/>
              </w:rPr>
            </w:pPr>
            <w:r>
              <w:rPr>
                <w:rFonts w:eastAsia="MS Mincho"/>
              </w:rPr>
              <w:lastRenderedPageBreak/>
              <w:t>Bupropion: 150</w:t>
            </w:r>
            <w:r w:rsidR="008A1296">
              <w:rPr>
                <w:rFonts w:eastAsia="MS Mincho"/>
              </w:rPr>
              <w:t xml:space="preserve"> </w:t>
            </w:r>
            <w:r>
              <w:rPr>
                <w:rFonts w:eastAsia="MS Mincho"/>
              </w:rPr>
              <w:t>mg twice daily for 9 weeks</w:t>
            </w:r>
            <w:r w:rsidR="00321546">
              <w:rPr>
                <w:rFonts w:eastAsia="MS Mincho"/>
              </w:rPr>
              <w:t xml:space="preserve"> (</w:t>
            </w:r>
            <w:r w:rsidR="00943A9E">
              <w:rPr>
                <w:rFonts w:eastAsia="MS Mincho"/>
              </w:rPr>
              <w:t>1 week pre-quit and 8 weeks post-quit)</w:t>
            </w:r>
            <w:r w:rsidR="00E05587">
              <w:rPr>
                <w:rFonts w:eastAsia="MS Mincho"/>
              </w:rPr>
              <w:t xml:space="preserve">; </w:t>
            </w:r>
            <w:r w:rsidR="00943A9E">
              <w:rPr>
                <w:rFonts w:eastAsia="MS Mincho"/>
              </w:rPr>
              <w:t xml:space="preserve">NRT patch: </w:t>
            </w:r>
            <w:r w:rsidR="00240E55" w:rsidRPr="00240E55">
              <w:rPr>
                <w:rFonts w:eastAsia="MS Mincho"/>
              </w:rPr>
              <w:t>24-hour patch</w:t>
            </w:r>
            <w:r w:rsidR="00240E55">
              <w:rPr>
                <w:rFonts w:eastAsia="MS Mincho"/>
              </w:rPr>
              <w:t xml:space="preserve"> (</w:t>
            </w:r>
            <w:r w:rsidR="00240E55" w:rsidRPr="00240E55">
              <w:rPr>
                <w:rFonts w:eastAsia="MS Mincho"/>
              </w:rPr>
              <w:t>21, 14, and 7 mg</w:t>
            </w:r>
            <w:r w:rsidR="00240E55">
              <w:rPr>
                <w:rFonts w:eastAsia="MS Mincho"/>
              </w:rPr>
              <w:t>)</w:t>
            </w:r>
            <w:r w:rsidR="00240E55" w:rsidRPr="00240E55">
              <w:rPr>
                <w:rFonts w:eastAsia="MS Mincho"/>
              </w:rPr>
              <w:t>; titrated down</w:t>
            </w:r>
            <w:r w:rsidR="00240E55">
              <w:rPr>
                <w:rFonts w:eastAsia="MS Mincho"/>
              </w:rPr>
              <w:t xml:space="preserve"> </w:t>
            </w:r>
            <w:r w:rsidR="00102800">
              <w:rPr>
                <w:rFonts w:eastAsia="MS Mincho"/>
              </w:rPr>
              <w:t>over</w:t>
            </w:r>
            <w:r w:rsidR="00240E55" w:rsidRPr="00240E55">
              <w:rPr>
                <w:rFonts w:eastAsia="MS Mincho"/>
              </w:rPr>
              <w:t xml:space="preserve"> 8 weeks post</w:t>
            </w:r>
            <w:r w:rsidR="00240E55">
              <w:rPr>
                <w:rFonts w:eastAsia="MS Mincho"/>
              </w:rPr>
              <w:t>-</w:t>
            </w:r>
            <w:r w:rsidR="00240E55" w:rsidRPr="00240E55">
              <w:rPr>
                <w:rFonts w:eastAsia="MS Mincho"/>
              </w:rPr>
              <w:t>quit</w:t>
            </w:r>
            <w:r w:rsidR="00E05587">
              <w:rPr>
                <w:rFonts w:eastAsia="MS Mincho"/>
              </w:rPr>
              <w:t xml:space="preserve">; </w:t>
            </w:r>
            <w:r w:rsidR="00613AD4">
              <w:rPr>
                <w:rFonts w:eastAsia="MS Mincho"/>
              </w:rPr>
              <w:t xml:space="preserve">NRT lozenge: </w:t>
            </w:r>
            <w:r w:rsidR="00E17AF2" w:rsidRPr="00E17AF2">
              <w:rPr>
                <w:rFonts w:eastAsia="MS Mincho"/>
              </w:rPr>
              <w:t xml:space="preserve">2 or 4 mg for 12 </w:t>
            </w:r>
            <w:r w:rsidR="00E17AF2" w:rsidRPr="00E17AF2">
              <w:rPr>
                <w:rFonts w:eastAsia="MS Mincho"/>
              </w:rPr>
              <w:lastRenderedPageBreak/>
              <w:t>weeks post</w:t>
            </w:r>
            <w:r w:rsidR="006338CB">
              <w:rPr>
                <w:rFonts w:eastAsia="MS Mincho"/>
              </w:rPr>
              <w:t>-</w:t>
            </w:r>
            <w:r w:rsidR="00E17AF2" w:rsidRPr="00E17AF2">
              <w:rPr>
                <w:rFonts w:eastAsia="MS Mincho"/>
              </w:rPr>
              <w:t>quit</w:t>
            </w:r>
            <w:r w:rsidR="006338CB">
              <w:rPr>
                <w:rFonts w:eastAsia="MS Mincho"/>
              </w:rPr>
              <w:t xml:space="preserve"> (</w:t>
            </w:r>
            <w:r w:rsidR="006338CB" w:rsidRPr="006338CB">
              <w:rPr>
                <w:rFonts w:eastAsia="MS Mincho"/>
              </w:rPr>
              <w:t>based on appropriate dose</w:t>
            </w:r>
            <w:r w:rsidR="006338CB">
              <w:rPr>
                <w:rFonts w:eastAsia="MS Mincho"/>
              </w:rPr>
              <w:t xml:space="preserve"> </w:t>
            </w:r>
            <w:r w:rsidR="006338CB" w:rsidRPr="006338CB">
              <w:rPr>
                <w:rFonts w:eastAsia="MS Mincho"/>
              </w:rPr>
              <w:t>for</w:t>
            </w:r>
            <w:r w:rsidR="006338CB">
              <w:rPr>
                <w:rFonts w:eastAsia="MS Mincho"/>
              </w:rPr>
              <w:t xml:space="preserve"> </w:t>
            </w:r>
            <w:r w:rsidR="006338CB" w:rsidRPr="006338CB">
              <w:rPr>
                <w:rFonts w:eastAsia="MS Mincho"/>
              </w:rPr>
              <w:t>dependence</w:t>
            </w:r>
            <w:r w:rsidR="006338CB">
              <w:rPr>
                <w:rFonts w:eastAsia="MS Mincho"/>
              </w:rPr>
              <w:t xml:space="preserve"> </w:t>
            </w:r>
            <w:r w:rsidR="006338CB" w:rsidRPr="006338CB">
              <w:rPr>
                <w:rFonts w:eastAsia="MS Mincho"/>
              </w:rPr>
              <w:t>level per package instructions</w:t>
            </w:r>
            <w:r w:rsidR="006338CB">
              <w:rPr>
                <w:rFonts w:eastAsia="MS Mincho"/>
              </w:rPr>
              <w:t>)</w:t>
            </w:r>
            <w:r w:rsidR="00F6274F">
              <w:rPr>
                <w:rFonts w:eastAsia="MS Mincho"/>
              </w:rPr>
              <w:t>.</w:t>
            </w:r>
          </w:p>
          <w:p w:rsidR="00E05587" w:rsidRDefault="00E05587" w:rsidP="00063AF0">
            <w:pPr>
              <w:pStyle w:val="Tablewriting"/>
              <w:rPr>
                <w:rFonts w:eastAsia="MS Mincho"/>
              </w:rPr>
            </w:pPr>
          </w:p>
          <w:p w:rsidR="00BF7550" w:rsidRDefault="00BF7550" w:rsidP="00063AF0">
            <w:pPr>
              <w:pStyle w:val="Tablewriting"/>
              <w:rPr>
                <w:rFonts w:eastAsia="MS Mincho"/>
              </w:rPr>
            </w:pPr>
            <w:r w:rsidRPr="00BF7550">
              <w:rPr>
                <w:rFonts w:eastAsia="MS Mincho"/>
              </w:rPr>
              <w:t>Behavioural support provided in both arms.</w:t>
            </w:r>
          </w:p>
        </w:tc>
        <w:tc>
          <w:tcPr>
            <w:tcW w:w="1140" w:type="pct"/>
            <w:shd w:val="clear" w:color="auto" w:fill="D9D9D9" w:themeFill="background1" w:themeFillShade="D9"/>
            <w:tcMar>
              <w:left w:w="28" w:type="dxa"/>
              <w:right w:w="28" w:type="dxa"/>
            </w:tcMar>
          </w:tcPr>
          <w:p w:rsidR="002F14B4" w:rsidRDefault="002133CE" w:rsidP="00063AF0">
            <w:pPr>
              <w:pStyle w:val="Tablewriting"/>
              <w:rPr>
                <w:rFonts w:eastAsia="MS Mincho"/>
              </w:rPr>
            </w:pPr>
            <w:r w:rsidRPr="0036499C">
              <w:rPr>
                <w:rFonts w:eastAsia="MS Mincho"/>
                <w:u w:val="single"/>
              </w:rPr>
              <w:lastRenderedPageBreak/>
              <w:t>Primary</w:t>
            </w:r>
            <w:r>
              <w:rPr>
                <w:rFonts w:eastAsia="MS Mincho"/>
              </w:rPr>
              <w:t xml:space="preserve">: </w:t>
            </w:r>
            <w:r w:rsidR="0036499C">
              <w:rPr>
                <w:rFonts w:eastAsia="MS Mincho"/>
              </w:rPr>
              <w:t>7</w:t>
            </w:r>
            <w:r w:rsidR="00533B8C">
              <w:rPr>
                <w:rFonts w:eastAsia="MS Mincho"/>
              </w:rPr>
              <w:t>-</w:t>
            </w:r>
            <w:r w:rsidR="0036499C">
              <w:rPr>
                <w:rFonts w:eastAsia="MS Mincho"/>
              </w:rPr>
              <w:t xml:space="preserve">day </w:t>
            </w:r>
            <w:r w:rsidR="00533B8C">
              <w:rPr>
                <w:rFonts w:eastAsia="MS Mincho"/>
              </w:rPr>
              <w:t>PPA</w:t>
            </w:r>
            <w:r w:rsidR="0036499C">
              <w:rPr>
                <w:rFonts w:eastAsia="MS Mincho"/>
              </w:rPr>
              <w:t xml:space="preserve"> at 6 months. Validated by CO</w:t>
            </w:r>
            <w:r w:rsidR="0092547F">
              <w:rPr>
                <w:rFonts w:eastAsia="MS Mincho"/>
              </w:rPr>
              <w:t xml:space="preserve"> </w:t>
            </w:r>
            <w:r w:rsidR="0036499C">
              <w:rPr>
                <w:rFonts w:eastAsia="MS Mincho"/>
              </w:rPr>
              <w:t>&lt;10</w:t>
            </w:r>
            <w:r w:rsidR="008C5D20">
              <w:rPr>
                <w:rFonts w:eastAsia="MS Mincho"/>
              </w:rPr>
              <w:t xml:space="preserve"> </w:t>
            </w:r>
            <w:r w:rsidR="0036499C">
              <w:rPr>
                <w:rFonts w:eastAsia="MS Mincho"/>
              </w:rPr>
              <w:t>ppm.</w:t>
            </w:r>
          </w:p>
          <w:p w:rsidR="0036499C" w:rsidRDefault="0036499C" w:rsidP="00063AF0">
            <w:pPr>
              <w:pStyle w:val="Tablewriting"/>
              <w:rPr>
                <w:rFonts w:eastAsia="MS Mincho"/>
              </w:rPr>
            </w:pPr>
            <w:r w:rsidRPr="0036499C">
              <w:rPr>
                <w:rFonts w:eastAsia="MS Mincho"/>
                <w:u w:val="single"/>
              </w:rPr>
              <w:t>Secondary</w:t>
            </w:r>
            <w:r>
              <w:rPr>
                <w:rFonts w:eastAsia="MS Mincho"/>
              </w:rPr>
              <w:t>: adverse events measured for 10 weeks</w:t>
            </w:r>
            <w:r w:rsidR="00F6274F">
              <w:rPr>
                <w:rFonts w:eastAsia="MS Mincho"/>
              </w:rPr>
              <w:t>.</w:t>
            </w:r>
          </w:p>
        </w:tc>
      </w:tr>
      <w:tr w:rsidR="00260CD7" w:rsidRPr="00061F78" w:rsidTr="005C40D1">
        <w:trPr>
          <w:trHeight w:val="149"/>
        </w:trPr>
        <w:tc>
          <w:tcPr>
            <w:tcW w:w="290" w:type="pct"/>
            <w:tcMar>
              <w:left w:w="28" w:type="dxa"/>
              <w:right w:w="28" w:type="dxa"/>
            </w:tcMar>
          </w:tcPr>
          <w:p w:rsidR="00F30861" w:rsidRPr="00D07303" w:rsidRDefault="00F30861" w:rsidP="00063AF0">
            <w:pPr>
              <w:pStyle w:val="Tablewriting"/>
              <w:rPr>
                <w:rFonts w:eastAsia="MS Mincho"/>
                <w:vertAlign w:val="superscript"/>
              </w:rPr>
            </w:pPr>
            <w:r>
              <w:rPr>
                <w:rFonts w:eastAsia="MS Mincho"/>
              </w:rPr>
              <w:t>Howes</w:t>
            </w:r>
            <w:r w:rsidRPr="00061F78">
              <w:rPr>
                <w:rFonts w:eastAsia="MS Mincho"/>
              </w:rPr>
              <w:t xml:space="preserve"> (20</w:t>
            </w:r>
            <w:r>
              <w:rPr>
                <w:rFonts w:eastAsia="MS Mincho"/>
              </w:rPr>
              <w:t>20</w:t>
            </w:r>
            <w:r w:rsidRPr="00061F78">
              <w:rPr>
                <w:rFonts w:eastAsia="MS Mincho"/>
              </w:rPr>
              <w:t>)</w:t>
            </w:r>
            <w:r w:rsidR="00D46B9D" w:rsidRPr="00D07303">
              <w:rPr>
                <w:rFonts w:eastAsia="MS Mincho"/>
                <w:vertAlign w:val="superscript"/>
              </w:rPr>
              <w:t xml:space="preserve"> </w:t>
            </w:r>
          </w:p>
        </w:tc>
        <w:tc>
          <w:tcPr>
            <w:tcW w:w="405" w:type="pct"/>
          </w:tcPr>
          <w:p w:rsidR="00F30861" w:rsidRDefault="00F30861" w:rsidP="00063AF0">
            <w:pPr>
              <w:pStyle w:val="Tablewriting"/>
              <w:rPr>
                <w:rFonts w:eastAsia="MS Mincho"/>
              </w:rPr>
            </w:pPr>
            <w:r>
              <w:rPr>
                <w:rFonts w:eastAsia="MS Mincho"/>
              </w:rPr>
              <w:t xml:space="preserve">Cochrane </w:t>
            </w:r>
            <w:r w:rsidR="004769D7">
              <w:rPr>
                <w:rFonts w:eastAsia="MS Mincho"/>
              </w:rPr>
              <w:t>R</w:t>
            </w:r>
            <w:r>
              <w:rPr>
                <w:rFonts w:eastAsia="MS Mincho"/>
              </w:rPr>
              <w:t>eview    (</w:t>
            </w:r>
            <w:r w:rsidR="00BE4854">
              <w:rPr>
                <w:rFonts w:eastAsia="MS Mincho"/>
              </w:rPr>
              <w:t>10</w:t>
            </w:r>
            <w:r>
              <w:rPr>
                <w:rFonts w:eastAsia="MS Mincho"/>
              </w:rPr>
              <w:t xml:space="preserve"> RCTs</w:t>
            </w:r>
            <w:r w:rsidR="00C417F4" w:rsidRPr="00C417F4">
              <w:rPr>
                <w:rFonts w:eastAsia="MS Mincho"/>
                <w:vertAlign w:val="superscript"/>
              </w:rPr>
              <w:t>2</w:t>
            </w:r>
            <w:r>
              <w:rPr>
                <w:rFonts w:eastAsia="MS Mincho"/>
              </w:rPr>
              <w:t>)</w:t>
            </w:r>
          </w:p>
        </w:tc>
        <w:tc>
          <w:tcPr>
            <w:tcW w:w="352" w:type="pct"/>
            <w:tcMar>
              <w:left w:w="28" w:type="dxa"/>
              <w:right w:w="28" w:type="dxa"/>
            </w:tcMar>
          </w:tcPr>
          <w:p w:rsidR="00F30861" w:rsidRDefault="00F30861" w:rsidP="00063AF0">
            <w:pPr>
              <w:pStyle w:val="Tablewriting"/>
              <w:rPr>
                <w:rFonts w:eastAsia="MS Mincho"/>
              </w:rPr>
            </w:pPr>
            <w:r>
              <w:rPr>
                <w:rFonts w:eastAsia="MS Mincho"/>
              </w:rPr>
              <w:t>N=</w:t>
            </w:r>
            <w:r w:rsidR="00BE4854">
              <w:rPr>
                <w:rFonts w:eastAsia="MS Mincho"/>
              </w:rPr>
              <w:t>8,230</w:t>
            </w:r>
          </w:p>
          <w:p w:rsidR="00F30861" w:rsidRDefault="00F30861" w:rsidP="00063AF0">
            <w:pPr>
              <w:pStyle w:val="Tablewriting"/>
              <w:rPr>
                <w:rFonts w:eastAsia="MS Mincho"/>
              </w:rPr>
            </w:pPr>
            <w:r>
              <w:rPr>
                <w:rFonts w:eastAsia="MS Mincho"/>
              </w:rPr>
              <w:t>Bupropion (n=</w:t>
            </w:r>
            <w:r w:rsidR="00BE4854">
              <w:rPr>
                <w:rFonts w:eastAsia="MS Mincho"/>
              </w:rPr>
              <w:t>3,563</w:t>
            </w:r>
            <w:r>
              <w:rPr>
                <w:rFonts w:eastAsia="MS Mincho"/>
              </w:rPr>
              <w:t>),</w:t>
            </w:r>
          </w:p>
          <w:p w:rsidR="00F30861" w:rsidRPr="00061F78" w:rsidRDefault="00BE4854" w:rsidP="00063AF0">
            <w:pPr>
              <w:pStyle w:val="Tablewriting"/>
              <w:rPr>
                <w:rFonts w:eastAsia="MS Mincho"/>
              </w:rPr>
            </w:pPr>
            <w:r>
              <w:rPr>
                <w:rFonts w:eastAsia="MS Mincho"/>
              </w:rPr>
              <w:t>NRT</w:t>
            </w:r>
            <w:r w:rsidR="00F30861">
              <w:rPr>
                <w:rFonts w:eastAsia="MS Mincho"/>
              </w:rPr>
              <w:t xml:space="preserve"> (n=</w:t>
            </w:r>
            <w:r>
              <w:rPr>
                <w:rFonts w:eastAsia="MS Mincho"/>
              </w:rPr>
              <w:t>4,667</w:t>
            </w:r>
            <w:r w:rsidR="00F30861">
              <w:rPr>
                <w:rFonts w:eastAsia="MS Mincho"/>
              </w:rPr>
              <w:t>)</w:t>
            </w:r>
          </w:p>
        </w:tc>
        <w:tc>
          <w:tcPr>
            <w:tcW w:w="1848" w:type="pct"/>
            <w:tcMar>
              <w:left w:w="28" w:type="dxa"/>
              <w:right w:w="28" w:type="dxa"/>
            </w:tcMar>
          </w:tcPr>
          <w:p w:rsidR="00F30861" w:rsidRDefault="00F30861" w:rsidP="00063AF0">
            <w:pPr>
              <w:pStyle w:val="Tablewriting"/>
              <w:rPr>
                <w:rFonts w:eastAsia="MS Mincho"/>
              </w:rPr>
            </w:pPr>
            <w:r w:rsidRPr="002C19B4">
              <w:rPr>
                <w:rFonts w:eastAsia="MS Mincho"/>
                <w:u w:val="single"/>
              </w:rPr>
              <w:t>Inclusion</w:t>
            </w:r>
            <w:r>
              <w:rPr>
                <w:rFonts w:eastAsia="MS Mincho"/>
              </w:rPr>
              <w:t>: t</w:t>
            </w:r>
            <w:r w:rsidRPr="002C19B4">
              <w:rPr>
                <w:rFonts w:eastAsia="MS Mincho"/>
              </w:rPr>
              <w:t>obacco smokers of any age, with or without a history</w:t>
            </w:r>
            <w:r>
              <w:rPr>
                <w:rFonts w:eastAsia="MS Mincho"/>
              </w:rPr>
              <w:t xml:space="preserve"> </w:t>
            </w:r>
            <w:r w:rsidRPr="002C19B4">
              <w:rPr>
                <w:rFonts w:eastAsia="MS Mincho"/>
              </w:rPr>
              <w:t>of mental illness.</w:t>
            </w:r>
          </w:p>
          <w:p w:rsidR="00F30861" w:rsidRPr="00061F78" w:rsidRDefault="00F30861" w:rsidP="00063AF0">
            <w:pPr>
              <w:pStyle w:val="Tablewriting"/>
              <w:rPr>
                <w:rFonts w:eastAsia="MS Mincho"/>
              </w:rPr>
            </w:pPr>
            <w:r w:rsidRPr="002C19B4">
              <w:rPr>
                <w:rFonts w:eastAsia="MS Mincho"/>
                <w:u w:val="single"/>
              </w:rPr>
              <w:t>Exclusion</w:t>
            </w:r>
            <w:r>
              <w:rPr>
                <w:rFonts w:eastAsia="MS Mincho"/>
              </w:rPr>
              <w:t>: p</w:t>
            </w:r>
            <w:r w:rsidRPr="002C19B4">
              <w:rPr>
                <w:rFonts w:eastAsia="MS Mincho"/>
              </w:rPr>
              <w:t>regnant women</w:t>
            </w:r>
            <w:r>
              <w:rPr>
                <w:rFonts w:eastAsia="MS Mincho"/>
              </w:rPr>
              <w:t xml:space="preserve"> and</w:t>
            </w:r>
            <w:r>
              <w:t xml:space="preserve"> </w:t>
            </w:r>
            <w:r w:rsidRPr="00593CA5">
              <w:rPr>
                <w:rFonts w:eastAsia="MS Mincho"/>
              </w:rPr>
              <w:t>trials investigating use for smoking harm reduction</w:t>
            </w:r>
            <w:r>
              <w:rPr>
                <w:rFonts w:eastAsia="MS Mincho"/>
              </w:rPr>
              <w:t xml:space="preserve"> </w:t>
            </w:r>
            <w:r w:rsidRPr="00593CA5">
              <w:rPr>
                <w:rFonts w:eastAsia="MS Mincho"/>
              </w:rPr>
              <w:t>or relapse prevention</w:t>
            </w:r>
            <w:r>
              <w:rPr>
                <w:rFonts w:eastAsia="MS Mincho"/>
              </w:rPr>
              <w:t>.</w:t>
            </w:r>
          </w:p>
        </w:tc>
        <w:tc>
          <w:tcPr>
            <w:tcW w:w="965" w:type="pct"/>
          </w:tcPr>
          <w:p w:rsidR="00F30861" w:rsidRPr="00061F78" w:rsidRDefault="001B0165" w:rsidP="00063AF0">
            <w:pPr>
              <w:pStyle w:val="Tablewriting"/>
              <w:rPr>
                <w:rFonts w:eastAsia="MS Mincho"/>
              </w:rPr>
            </w:pPr>
            <w:r>
              <w:rPr>
                <w:rFonts w:eastAsia="MS Mincho"/>
              </w:rPr>
              <w:t>Bupropion: 150</w:t>
            </w:r>
            <w:r w:rsidR="008A1296">
              <w:rPr>
                <w:rFonts w:eastAsia="MS Mincho"/>
              </w:rPr>
              <w:t xml:space="preserve"> </w:t>
            </w:r>
            <w:r>
              <w:rPr>
                <w:rFonts w:eastAsia="MS Mincho"/>
              </w:rPr>
              <w:t>mg twice daily including titration (i.e. 150</w:t>
            </w:r>
            <w:r w:rsidR="008A1296">
              <w:rPr>
                <w:rFonts w:eastAsia="MS Mincho"/>
              </w:rPr>
              <w:t xml:space="preserve"> </w:t>
            </w:r>
            <w:r>
              <w:rPr>
                <w:rFonts w:eastAsia="MS Mincho"/>
              </w:rPr>
              <w:t>mg once daily for 3 days, then 150</w:t>
            </w:r>
            <w:r w:rsidR="008A1296">
              <w:rPr>
                <w:rFonts w:eastAsia="MS Mincho"/>
              </w:rPr>
              <w:t xml:space="preserve"> </w:t>
            </w:r>
            <w:r>
              <w:rPr>
                <w:rFonts w:eastAsia="MS Mincho"/>
              </w:rPr>
              <w:t>mg twice daily)</w:t>
            </w:r>
            <w:r w:rsidR="00E05587">
              <w:rPr>
                <w:rFonts w:eastAsia="MS Mincho"/>
              </w:rPr>
              <w:t xml:space="preserve">; </w:t>
            </w:r>
            <w:r w:rsidR="00BE4854">
              <w:rPr>
                <w:rFonts w:eastAsia="MS Mincho"/>
              </w:rPr>
              <w:t>NRT</w:t>
            </w:r>
            <w:r w:rsidR="00F30861">
              <w:rPr>
                <w:rFonts w:eastAsia="MS Mincho"/>
              </w:rPr>
              <w:t xml:space="preserve">: </w:t>
            </w:r>
            <w:r w:rsidR="00BE4854">
              <w:rPr>
                <w:rFonts w:eastAsia="MS Mincho"/>
              </w:rPr>
              <w:t>patch, lozenge, patch</w:t>
            </w:r>
            <w:r w:rsidR="008A1296">
              <w:rPr>
                <w:rFonts w:eastAsia="MS Mincho"/>
              </w:rPr>
              <w:t xml:space="preserve"> </w:t>
            </w:r>
            <w:r w:rsidR="00BE4854">
              <w:rPr>
                <w:rFonts w:eastAsia="MS Mincho"/>
              </w:rPr>
              <w:t>+</w:t>
            </w:r>
            <w:r w:rsidR="008A1296">
              <w:rPr>
                <w:rFonts w:eastAsia="MS Mincho"/>
              </w:rPr>
              <w:t xml:space="preserve"> </w:t>
            </w:r>
            <w:r w:rsidR="00BE4854">
              <w:rPr>
                <w:rFonts w:eastAsia="MS Mincho"/>
              </w:rPr>
              <w:t>lozenge, choice of NRT</w:t>
            </w:r>
            <w:r w:rsidR="00F6274F">
              <w:rPr>
                <w:rFonts w:eastAsia="MS Mincho"/>
              </w:rPr>
              <w:t>.</w:t>
            </w:r>
          </w:p>
        </w:tc>
        <w:tc>
          <w:tcPr>
            <w:tcW w:w="1140" w:type="pct"/>
            <w:tcMar>
              <w:left w:w="28" w:type="dxa"/>
              <w:right w:w="28" w:type="dxa"/>
            </w:tcMar>
          </w:tcPr>
          <w:p w:rsidR="00F30861" w:rsidRDefault="00F30861" w:rsidP="00063AF0">
            <w:pPr>
              <w:pStyle w:val="Tablewriting"/>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F6274F">
              <w:rPr>
                <w:rFonts w:eastAsia="MS Mincho"/>
              </w:rPr>
              <w:t>.</w:t>
            </w:r>
          </w:p>
          <w:p w:rsidR="00F30861" w:rsidRPr="00061F78" w:rsidRDefault="00F30861" w:rsidP="00063AF0">
            <w:pPr>
              <w:pStyle w:val="Tablewriting"/>
              <w:rPr>
                <w:rFonts w:eastAsia="MS Mincho"/>
              </w:rPr>
            </w:pPr>
            <w:r w:rsidRPr="0036499C">
              <w:rPr>
                <w:rFonts w:eastAsia="MS Mincho"/>
                <w:u w:val="single"/>
              </w:rPr>
              <w:t>Secondary</w:t>
            </w:r>
            <w:r>
              <w:rPr>
                <w:rFonts w:eastAsia="MS Mincho"/>
              </w:rPr>
              <w:t>: safety including any adverse events, psychiatric adverse events, serious adverse events and dropouts due to adverse events</w:t>
            </w:r>
            <w:r w:rsidR="00F6274F">
              <w:rPr>
                <w:rFonts w:eastAsia="MS Mincho"/>
              </w:rPr>
              <w:t>.</w:t>
            </w:r>
          </w:p>
        </w:tc>
      </w:tr>
      <w:tr w:rsidR="0043041A" w:rsidRPr="00061F78" w:rsidTr="005C40D1">
        <w:trPr>
          <w:trHeight w:val="149"/>
        </w:trPr>
        <w:tc>
          <w:tcPr>
            <w:tcW w:w="290" w:type="pct"/>
            <w:tcMar>
              <w:left w:w="28" w:type="dxa"/>
              <w:right w:w="28" w:type="dxa"/>
            </w:tcMar>
          </w:tcPr>
          <w:p w:rsidR="0043041A" w:rsidRDefault="0043041A" w:rsidP="00063AF0">
            <w:pPr>
              <w:pStyle w:val="Tablewriting"/>
              <w:rPr>
                <w:rFonts w:eastAsia="MS Mincho"/>
              </w:rPr>
            </w:pPr>
            <w:r>
              <w:rPr>
                <w:rFonts w:eastAsia="MS Mincho"/>
              </w:rPr>
              <w:t>Benowitz (2018)</w:t>
            </w:r>
            <w:r w:rsidR="00A14D8D">
              <w:rPr>
                <w:rFonts w:eastAsia="MS Mincho"/>
              </w:rPr>
              <w:t xml:space="preserve"> </w:t>
            </w:r>
          </w:p>
        </w:tc>
        <w:tc>
          <w:tcPr>
            <w:tcW w:w="405" w:type="pct"/>
          </w:tcPr>
          <w:p w:rsidR="0043041A" w:rsidRPr="00B537F7" w:rsidRDefault="0043041A" w:rsidP="00063AF0">
            <w:pPr>
              <w:pStyle w:val="Tablewriting"/>
              <w:rPr>
                <w:rFonts w:eastAsia="MS Mincho"/>
                <w:vertAlign w:val="superscript"/>
              </w:rPr>
            </w:pPr>
            <w:r>
              <w:rPr>
                <w:rFonts w:eastAsia="MS Mincho"/>
              </w:rPr>
              <w:t>Non-treatment extension safety study of EAGLES (2016)</w:t>
            </w:r>
            <w:r w:rsidR="00411BD4">
              <w:rPr>
                <w:rFonts w:eastAsia="MS Mincho"/>
                <w:vertAlign w:val="superscript"/>
              </w:rPr>
              <w:t>3</w:t>
            </w:r>
          </w:p>
        </w:tc>
        <w:tc>
          <w:tcPr>
            <w:tcW w:w="352" w:type="pct"/>
            <w:tcMar>
              <w:left w:w="28" w:type="dxa"/>
              <w:right w:w="28" w:type="dxa"/>
            </w:tcMar>
          </w:tcPr>
          <w:p w:rsidR="0043041A" w:rsidRDefault="0043041A" w:rsidP="00063AF0">
            <w:pPr>
              <w:pStyle w:val="Tablewriting"/>
              <w:rPr>
                <w:rFonts w:eastAsia="MS Mincho"/>
              </w:rPr>
            </w:pPr>
            <w:r>
              <w:rPr>
                <w:rFonts w:eastAsia="MS Mincho"/>
              </w:rPr>
              <w:t>N=4,595</w:t>
            </w:r>
          </w:p>
          <w:p w:rsidR="0094021E" w:rsidRDefault="0043041A" w:rsidP="00063AF0">
            <w:pPr>
              <w:pStyle w:val="Tablewriting"/>
              <w:rPr>
                <w:rFonts w:eastAsia="MS Mincho"/>
              </w:rPr>
            </w:pPr>
            <w:r>
              <w:rPr>
                <w:rFonts w:eastAsia="MS Mincho"/>
              </w:rPr>
              <w:t xml:space="preserve">Bupropion (n=1,166), </w:t>
            </w:r>
            <w:r w:rsidR="0094021E">
              <w:rPr>
                <w:rFonts w:eastAsia="MS Mincho"/>
              </w:rPr>
              <w:t>NRT</w:t>
            </w:r>
          </w:p>
          <w:p w:rsidR="0043041A" w:rsidRDefault="0043041A" w:rsidP="00063AF0">
            <w:pPr>
              <w:pStyle w:val="Tablewriting"/>
              <w:rPr>
                <w:rFonts w:eastAsia="MS Mincho"/>
              </w:rPr>
            </w:pPr>
            <w:r>
              <w:rPr>
                <w:rFonts w:eastAsia="MS Mincho"/>
              </w:rPr>
              <w:t>(n=1,1</w:t>
            </w:r>
            <w:r w:rsidR="0094021E">
              <w:rPr>
                <w:rFonts w:eastAsia="MS Mincho"/>
              </w:rPr>
              <w:t>16</w:t>
            </w:r>
            <w:r>
              <w:rPr>
                <w:rFonts w:eastAsia="MS Mincho"/>
              </w:rPr>
              <w:t>)</w:t>
            </w:r>
          </w:p>
        </w:tc>
        <w:tc>
          <w:tcPr>
            <w:tcW w:w="1848" w:type="pct"/>
            <w:tcMar>
              <w:left w:w="28" w:type="dxa"/>
              <w:right w:w="28" w:type="dxa"/>
            </w:tcMar>
          </w:tcPr>
          <w:p w:rsidR="0043041A" w:rsidRDefault="0043041A" w:rsidP="00063AF0">
            <w:pPr>
              <w:pStyle w:val="Tablewriting"/>
              <w:rPr>
                <w:rFonts w:eastAsia="MS Mincho" w:cstheme="minorHAnsi"/>
              </w:rPr>
            </w:pPr>
            <w:r w:rsidRPr="007F28D7">
              <w:rPr>
                <w:rFonts w:eastAsia="MS Mincho"/>
                <w:u w:val="single"/>
              </w:rPr>
              <w:t>Inclusion</w:t>
            </w:r>
            <w:r>
              <w:rPr>
                <w:rFonts w:eastAsia="MS Mincho"/>
              </w:rPr>
              <w:t xml:space="preserve">: </w:t>
            </w:r>
            <w:r w:rsidRPr="000A14FA">
              <w:rPr>
                <w:rFonts w:eastAsia="MS Mincho" w:cstheme="minorHAnsi"/>
              </w:rPr>
              <w:t>18</w:t>
            </w:r>
            <w:r>
              <w:rPr>
                <w:rFonts w:eastAsia="MS Mincho" w:cstheme="minorHAnsi"/>
              </w:rPr>
              <w:t>-</w:t>
            </w:r>
            <w:r w:rsidRPr="000A14FA">
              <w:rPr>
                <w:rFonts w:eastAsia="MS Mincho" w:cstheme="minorHAnsi"/>
              </w:rPr>
              <w:t>75 years</w:t>
            </w:r>
            <w:r>
              <w:rPr>
                <w:rFonts w:eastAsia="MS Mincho" w:cstheme="minorHAnsi"/>
              </w:rPr>
              <w:t xml:space="preserve"> old</w:t>
            </w:r>
            <w:r w:rsidRPr="000A14FA">
              <w:rPr>
                <w:rFonts w:eastAsia="MS Mincho" w:cstheme="minorHAnsi"/>
              </w:rPr>
              <w:t xml:space="preserve">, </w:t>
            </w:r>
            <w:r>
              <w:rPr>
                <w:rFonts w:eastAsia="MS Mincho" w:cstheme="minorHAnsi"/>
              </w:rPr>
              <w:t>≥</w:t>
            </w:r>
            <w:r w:rsidRPr="000A14FA">
              <w:rPr>
                <w:rFonts w:eastAsia="MS Mincho" w:cstheme="minorHAnsi"/>
              </w:rPr>
              <w:t>10</w:t>
            </w:r>
            <w:r>
              <w:rPr>
                <w:rFonts w:eastAsia="MS Mincho" w:cstheme="minorHAnsi"/>
              </w:rPr>
              <w:t xml:space="preserve"> </w:t>
            </w:r>
            <w:r w:rsidRPr="000A14FA">
              <w:rPr>
                <w:rFonts w:eastAsia="MS Mincho" w:cstheme="minorHAnsi"/>
              </w:rPr>
              <w:t>cigarettes per day, interested in quitting smoking, had been randomi</w:t>
            </w:r>
            <w:r>
              <w:rPr>
                <w:rFonts w:eastAsia="MS Mincho" w:cstheme="minorHAnsi"/>
              </w:rPr>
              <w:t>s</w:t>
            </w:r>
            <w:r w:rsidRPr="000A14FA">
              <w:rPr>
                <w:rFonts w:eastAsia="MS Mincho" w:cstheme="minorHAnsi"/>
              </w:rPr>
              <w:t>ed to treatment in</w:t>
            </w:r>
            <w:r>
              <w:rPr>
                <w:rFonts w:eastAsia="MS Mincho" w:cstheme="minorHAnsi"/>
              </w:rPr>
              <w:t xml:space="preserve"> </w:t>
            </w:r>
            <w:r w:rsidRPr="000A14FA">
              <w:rPr>
                <w:rFonts w:eastAsia="MS Mincho" w:cstheme="minorHAnsi"/>
              </w:rPr>
              <w:t>and had completed the week 24 visit of</w:t>
            </w:r>
            <w:r>
              <w:rPr>
                <w:rFonts w:eastAsia="MS Mincho" w:cstheme="minorHAnsi"/>
              </w:rPr>
              <w:t xml:space="preserve"> </w:t>
            </w:r>
            <w:r w:rsidRPr="000A14FA">
              <w:rPr>
                <w:rFonts w:eastAsia="MS Mincho" w:cstheme="minorHAnsi"/>
              </w:rPr>
              <w:t>EAGLES</w:t>
            </w:r>
            <w:r w:rsidR="00F6274F">
              <w:rPr>
                <w:rFonts w:eastAsia="MS Mincho" w:cstheme="minorHAnsi"/>
              </w:rPr>
              <w:t>.</w:t>
            </w:r>
          </w:p>
          <w:p w:rsidR="0043041A" w:rsidRPr="002C19B4" w:rsidRDefault="0043041A" w:rsidP="00063AF0">
            <w:pPr>
              <w:pStyle w:val="Tablewriting"/>
              <w:rPr>
                <w:rFonts w:eastAsia="MS Mincho"/>
                <w:u w:val="single"/>
              </w:rPr>
            </w:pPr>
            <w:r w:rsidRPr="007F28D7">
              <w:rPr>
                <w:rFonts w:eastAsia="MS Mincho"/>
                <w:u w:val="single"/>
              </w:rPr>
              <w:t>Exclusion</w:t>
            </w:r>
            <w:r>
              <w:rPr>
                <w:rFonts w:eastAsia="MS Mincho"/>
              </w:rPr>
              <w:t xml:space="preserve">: </w:t>
            </w:r>
            <w:r w:rsidRPr="00661FFC">
              <w:rPr>
                <w:rFonts w:eastAsia="MS Mincho"/>
              </w:rPr>
              <w:t>unstable psychiatric illness, active substance abuse, clinically significant CVD in the 2 months prior to study entry, clinically significant cerebrovascular disease in the 2 months prior to study entry, or inadequate control of hypertens</w:t>
            </w:r>
            <w:r>
              <w:rPr>
                <w:rFonts w:eastAsia="MS Mincho"/>
              </w:rPr>
              <w:t>ion</w:t>
            </w:r>
            <w:r w:rsidRPr="00661FFC">
              <w:rPr>
                <w:rFonts w:eastAsia="MS Mincho"/>
              </w:rPr>
              <w:t>.</w:t>
            </w:r>
          </w:p>
        </w:tc>
        <w:tc>
          <w:tcPr>
            <w:tcW w:w="965" w:type="pct"/>
          </w:tcPr>
          <w:p w:rsidR="0043041A" w:rsidRDefault="0043041A" w:rsidP="00063AF0">
            <w:pPr>
              <w:pStyle w:val="Tablewriting"/>
              <w:rPr>
                <w:rFonts w:eastAsia="MS Mincho"/>
              </w:rPr>
            </w:pPr>
            <w:r>
              <w:rPr>
                <w:rFonts w:eastAsia="MS Mincho"/>
              </w:rPr>
              <w:t>No treatment was provided during this study. Prior bupropion and NRT treatments were administered in EAGLES (2016).</w:t>
            </w:r>
          </w:p>
        </w:tc>
        <w:tc>
          <w:tcPr>
            <w:tcW w:w="1140" w:type="pct"/>
            <w:tcMar>
              <w:left w:w="28" w:type="dxa"/>
              <w:right w:w="28" w:type="dxa"/>
            </w:tcMar>
          </w:tcPr>
          <w:p w:rsidR="0043041A" w:rsidRDefault="0043041A" w:rsidP="00063AF0">
            <w:pPr>
              <w:pStyle w:val="Tablewriting"/>
              <w:rPr>
                <w:rFonts w:eastAsia="MS Mincho"/>
              </w:rPr>
            </w:pPr>
            <w:r w:rsidRPr="008C39E4">
              <w:rPr>
                <w:rFonts w:eastAsia="MS Mincho"/>
                <w:u w:val="single"/>
              </w:rPr>
              <w:t>Primary</w:t>
            </w:r>
            <w:r>
              <w:rPr>
                <w:rFonts w:eastAsia="MS Mincho"/>
              </w:rPr>
              <w:t>: Time to major adverse cardiovascular event</w:t>
            </w:r>
            <w:r w:rsidR="00F6274F">
              <w:rPr>
                <w:rFonts w:eastAsia="MS Mincho"/>
              </w:rPr>
              <w:t>.</w:t>
            </w:r>
          </w:p>
          <w:p w:rsidR="0043041A" w:rsidRPr="0036499C" w:rsidRDefault="0043041A" w:rsidP="00063AF0">
            <w:pPr>
              <w:pStyle w:val="Tablewriting"/>
              <w:rPr>
                <w:rFonts w:eastAsia="MS Mincho"/>
                <w:u w:val="single"/>
              </w:rPr>
            </w:pPr>
            <w:r w:rsidRPr="008C39E4">
              <w:rPr>
                <w:rFonts w:eastAsia="MS Mincho"/>
                <w:u w:val="single"/>
              </w:rPr>
              <w:t>Secondary</w:t>
            </w:r>
            <w:r>
              <w:rPr>
                <w:rFonts w:eastAsia="MS Mincho"/>
              </w:rPr>
              <w:t>: Occurrence of major adverse cardiovascular event</w:t>
            </w:r>
            <w:r w:rsidR="00F6274F">
              <w:rPr>
                <w:rFonts w:eastAsia="MS Mincho"/>
              </w:rPr>
              <w:t>.</w:t>
            </w:r>
          </w:p>
        </w:tc>
      </w:tr>
    </w:tbl>
    <w:p w:rsidR="004A5457" w:rsidRDefault="00F30861" w:rsidP="00F30861">
      <w:pPr>
        <w:pStyle w:val="TableFooter"/>
        <w:keepNext/>
      </w:pPr>
      <w:r>
        <w:t xml:space="preserve">Abbreviations: </w:t>
      </w:r>
      <w:r w:rsidR="004A5457">
        <w:t>BDI = Beck Depression Inventory; CAR = continuous abstinence rate; CO = carbon monoxide; NRT = nicotine replacement therapy; PPA = point prevalence abstinence; RCT = randomised controlled trial</w:t>
      </w:r>
      <w:r w:rsidR="004A5457" w:rsidRPr="00061F78">
        <w:t xml:space="preserve"> </w:t>
      </w:r>
    </w:p>
    <w:p w:rsidR="00F30861" w:rsidRDefault="00F30861" w:rsidP="00F30861">
      <w:pPr>
        <w:pStyle w:val="TableFooter"/>
        <w:keepNext/>
      </w:pPr>
      <w:r w:rsidRPr="00061F78">
        <w:rPr>
          <w:highlight w:val="lightGray"/>
        </w:rPr>
        <w:t>Shaded</w:t>
      </w:r>
      <w:r w:rsidRPr="00061F78">
        <w:t xml:space="preserve"> = previously considered by the PBAC</w:t>
      </w:r>
    </w:p>
    <w:p w:rsidR="00C417F4" w:rsidRDefault="00C417F4" w:rsidP="00F30861">
      <w:pPr>
        <w:pStyle w:val="TableFooter"/>
        <w:keepNext/>
      </w:pPr>
      <w:r>
        <w:t>1 Only the number of patients (n) in the relevant arms were included</w:t>
      </w:r>
      <w:r w:rsidR="00F6274F">
        <w:t>.</w:t>
      </w:r>
      <w:r>
        <w:t xml:space="preserve"> </w:t>
      </w:r>
    </w:p>
    <w:p w:rsidR="00F30861" w:rsidRPr="00061F78" w:rsidRDefault="00C417F4" w:rsidP="00F30861">
      <w:pPr>
        <w:pStyle w:val="TableFooter"/>
        <w:keepNext/>
      </w:pPr>
      <w:r>
        <w:t>2</w:t>
      </w:r>
      <w:r w:rsidR="00F30861">
        <w:t xml:space="preserve"> The characteristics of the individual studies comparing bupropion with </w:t>
      </w:r>
      <w:r w:rsidR="00BE4854">
        <w:t>NRT</w:t>
      </w:r>
      <w:r w:rsidR="00F30861">
        <w:t xml:space="preserve"> included in Howes et al. (2020) are presented in </w:t>
      </w:r>
      <w:r w:rsidR="00F30861" w:rsidRPr="00465A40">
        <w:t>Appendix</w:t>
      </w:r>
      <w:r w:rsidR="00C54137">
        <w:t xml:space="preserve"> </w:t>
      </w:r>
      <w:r w:rsidR="003C4A1C">
        <w:t xml:space="preserve">Table </w:t>
      </w:r>
      <w:r w:rsidR="003C4A1C">
        <w:rPr>
          <w:noProof/>
        </w:rPr>
        <w:t>145</w:t>
      </w:r>
      <w:r w:rsidR="00F30861">
        <w:t xml:space="preserve">. </w:t>
      </w:r>
      <w:r w:rsidR="00A84C52">
        <w:t>Howes et al. (2020) included</w:t>
      </w:r>
      <w:r w:rsidR="000221BF">
        <w:t xml:space="preserve"> studies comparing bupropion with NRT irrespective of NRT formulation. T</w:t>
      </w:r>
      <w:r w:rsidR="00187EAD">
        <w:t xml:space="preserve">he comparisons of bupropion versus </w:t>
      </w:r>
      <w:r w:rsidR="00573F59">
        <w:t>lozenges</w:t>
      </w:r>
      <w:r w:rsidR="00187EAD">
        <w:t xml:space="preserve"> and bupropion versus choice of NRT were included for additional information purposes. </w:t>
      </w:r>
      <w:r w:rsidR="00F84183">
        <w:t>Four studies previously considered by the PBAC (</w:t>
      </w:r>
      <w:r w:rsidR="0081300B" w:rsidRPr="0081300B">
        <w:t>Jorenby et al. 1999, Gorecka et al. 2003, Uyar et al. 2007 and Piper et al. 2009)</w:t>
      </w:r>
      <w:r w:rsidR="00F30861" w:rsidRPr="005B2A6C">
        <w:t xml:space="preserve"> </w:t>
      </w:r>
      <w:r w:rsidR="00F30861">
        <w:t>w</w:t>
      </w:r>
      <w:r w:rsidR="000F1E57">
        <w:t>ere</w:t>
      </w:r>
      <w:r w:rsidR="00F30861">
        <w:t xml:space="preserve"> included in the </w:t>
      </w:r>
      <w:r w:rsidR="00F84183">
        <w:t>primary efficacy analysis</w:t>
      </w:r>
      <w:r w:rsidR="00F30861">
        <w:t xml:space="preserve"> of Howes et al. (2020).</w:t>
      </w:r>
    </w:p>
    <w:p w:rsidR="00411BD4" w:rsidRPr="00061F78" w:rsidRDefault="00411BD4" w:rsidP="00F30861">
      <w:pPr>
        <w:pStyle w:val="TableFooter"/>
        <w:keepNext/>
      </w:pPr>
      <w:r>
        <w:t xml:space="preserve">3 </w:t>
      </w:r>
      <w:r w:rsidRPr="00411BD4">
        <w:t>Benowitz et al. (2018) was a non-treatment extension of EAGLES (Anthenelli et al. 2016) with a considerable amount of missing data due to lost to follow-up, extension study nonenrollees, no longer willing to participate and death.</w:t>
      </w:r>
    </w:p>
    <w:p w:rsidR="00F30861" w:rsidRDefault="00F30861" w:rsidP="00593CA5">
      <w:pPr>
        <w:rPr>
          <w:b/>
          <w:bCs/>
        </w:rPr>
        <w:sectPr w:rsidR="00F30861" w:rsidSect="00F30861">
          <w:pgSz w:w="16838" w:h="11906" w:orient="landscape"/>
          <w:pgMar w:top="1440" w:right="1440" w:bottom="1440" w:left="1440" w:header="708" w:footer="708" w:gutter="0"/>
          <w:cols w:space="708"/>
          <w:titlePg/>
          <w:docGrid w:linePitch="360"/>
        </w:sectPr>
      </w:pPr>
    </w:p>
    <w:p w:rsidR="00B576FE" w:rsidRPr="0073597F" w:rsidRDefault="00B576FE" w:rsidP="00B576FE">
      <w:pPr>
        <w:rPr>
          <w:u w:val="single"/>
        </w:rPr>
      </w:pPr>
      <w:r w:rsidRPr="0073597F">
        <w:rPr>
          <w:u w:val="single"/>
        </w:rPr>
        <w:lastRenderedPageBreak/>
        <w:t>Efficacy</w:t>
      </w:r>
    </w:p>
    <w:p w:rsidR="00202A62" w:rsidRDefault="00B576FE" w:rsidP="00B576FE">
      <w:r>
        <w:t>A summary of the smoking cessation rates</w:t>
      </w:r>
      <w:r w:rsidDel="00430DA7">
        <w:t xml:space="preserve"> </w:t>
      </w:r>
      <w:r w:rsidR="00430DA7">
        <w:t>for</w:t>
      </w:r>
      <w:r>
        <w:t xml:space="preserve"> at least six months follow-up </w:t>
      </w:r>
      <w:r w:rsidR="00827DC0">
        <w:t>comparing bupropion with NRT</w:t>
      </w:r>
      <w:r>
        <w:t xml:space="preserve"> is presented in </w:t>
      </w:r>
      <w:r w:rsidR="003C4A1C">
        <w:t xml:space="preserve">Table </w:t>
      </w:r>
      <w:r w:rsidR="003C4A1C">
        <w:rPr>
          <w:noProof/>
        </w:rPr>
        <w:t>11</w:t>
      </w:r>
      <w:r>
        <w:t xml:space="preserve">. </w:t>
      </w:r>
      <w:r w:rsidR="00CC1537">
        <w:t xml:space="preserve">For the comparison of bupropion versus NRT </w:t>
      </w:r>
      <w:r w:rsidR="00573F59">
        <w:t>patches</w:t>
      </w:r>
      <w:r w:rsidR="00CC1537">
        <w:t>, t</w:t>
      </w:r>
      <w:r>
        <w:t xml:space="preserve">he results of Jorenby et al. (1999) demonstrated a statistically significant difference in continuous abstinence rate, in favour of bupropion. </w:t>
      </w:r>
      <w:r w:rsidR="00172C5C">
        <w:t xml:space="preserve">In comparison, the results of </w:t>
      </w:r>
      <w:r w:rsidR="00AC5B9F">
        <w:t>Gorecka et al. (2003)</w:t>
      </w:r>
      <w:r w:rsidR="0081300B">
        <w:t>, Uyar et al. (2007) and Piper et al. (2009)</w:t>
      </w:r>
      <w:r w:rsidR="005B269F">
        <w:t xml:space="preserve"> were not statistically significant. </w:t>
      </w:r>
      <w:r w:rsidR="00282EC7">
        <w:t xml:space="preserve">As previously noted, </w:t>
      </w:r>
      <w:r w:rsidR="00282EC7" w:rsidRPr="00282EC7">
        <w:t>the</w:t>
      </w:r>
      <w:r w:rsidR="00282EC7">
        <w:t xml:space="preserve"> PBAC </w:t>
      </w:r>
      <w:r w:rsidR="009737BA">
        <w:t>ha</w:t>
      </w:r>
      <w:r w:rsidR="00064F60">
        <w:t>d</w:t>
      </w:r>
      <w:r w:rsidR="009737BA">
        <w:t xml:space="preserve"> previously considered the</w:t>
      </w:r>
      <w:r w:rsidR="00282EC7" w:rsidRPr="00282EC7">
        <w:t xml:space="preserve"> meta-analysis of the four studies</w:t>
      </w:r>
      <w:r w:rsidR="00B90BDE">
        <w:t xml:space="preserve"> in March 2010</w:t>
      </w:r>
      <w:r w:rsidR="00282EC7" w:rsidRPr="00282EC7">
        <w:t xml:space="preserve"> </w:t>
      </w:r>
      <w:r w:rsidR="007F1301">
        <w:t>and concluded</w:t>
      </w:r>
      <w:r w:rsidR="00282EC7" w:rsidRPr="00282EC7">
        <w:t xml:space="preserve"> </w:t>
      </w:r>
      <w:r w:rsidR="00521D49">
        <w:t xml:space="preserve">the lack of significant difference </w:t>
      </w:r>
      <w:r w:rsidR="006C399C">
        <w:t xml:space="preserve">between </w:t>
      </w:r>
      <w:r w:rsidR="00C367C9">
        <w:t>NRT</w:t>
      </w:r>
      <w:r w:rsidR="006C399C">
        <w:t xml:space="preserve"> </w:t>
      </w:r>
      <w:r w:rsidR="006B55BA">
        <w:t xml:space="preserve">patches </w:t>
      </w:r>
      <w:r w:rsidR="00C367C9">
        <w:t>and</w:t>
      </w:r>
      <w:r w:rsidR="00282EC7" w:rsidRPr="00282EC7">
        <w:t xml:space="preserve"> bupropion </w:t>
      </w:r>
      <w:r w:rsidR="00255531">
        <w:t>(</w:t>
      </w:r>
      <w:r w:rsidR="00331FD9">
        <w:t>RR</w:t>
      </w:r>
      <w:r w:rsidR="006661D7">
        <w:t>:</w:t>
      </w:r>
      <w:r w:rsidR="00331FD9">
        <w:t xml:space="preserve"> </w:t>
      </w:r>
      <w:r w:rsidR="00F35347">
        <w:t>0.91</w:t>
      </w:r>
      <w:r w:rsidR="006661D7">
        <w:t>;</w:t>
      </w:r>
      <w:r w:rsidR="007D0BC6">
        <w:t xml:space="preserve"> 95%</w:t>
      </w:r>
      <w:r w:rsidR="006661D7">
        <w:t xml:space="preserve"> </w:t>
      </w:r>
      <w:r w:rsidR="007D0BC6">
        <w:t>CI</w:t>
      </w:r>
      <w:r w:rsidR="006661D7">
        <w:t>:</w:t>
      </w:r>
      <w:r w:rsidR="007D0BC6">
        <w:t xml:space="preserve"> </w:t>
      </w:r>
      <w:r w:rsidR="00EB5310">
        <w:t>0.75</w:t>
      </w:r>
      <w:r w:rsidR="00807126">
        <w:t xml:space="preserve">, 1.12) </w:t>
      </w:r>
      <w:r w:rsidR="004E17B7">
        <w:t>supported</w:t>
      </w:r>
      <w:r w:rsidR="00282EC7" w:rsidRPr="00282EC7">
        <w:t xml:space="preserve"> non-inferior</w:t>
      </w:r>
      <w:r w:rsidR="00C367C9">
        <w:t>ity of</w:t>
      </w:r>
      <w:r w:rsidR="00282EC7" w:rsidRPr="00282EC7">
        <w:t xml:space="preserve"> NRT </w:t>
      </w:r>
      <w:r w:rsidR="00573F59">
        <w:t>patches</w:t>
      </w:r>
      <w:r w:rsidR="00282EC7" w:rsidRPr="00282EC7">
        <w:t xml:space="preserve"> </w:t>
      </w:r>
      <w:r w:rsidR="00B31A31">
        <w:t xml:space="preserve">to bupropion </w:t>
      </w:r>
      <w:r w:rsidR="00282EC7" w:rsidRPr="00282EC7">
        <w:t>for sustained abstinence at six months or greater</w:t>
      </w:r>
      <w:r w:rsidR="001C2C64">
        <w:t>.</w:t>
      </w:r>
      <w:r w:rsidR="004C4BCE">
        <w:t xml:space="preserve"> </w:t>
      </w:r>
    </w:p>
    <w:p w:rsidR="00CC1537" w:rsidRDefault="00B576FE" w:rsidP="00B576FE">
      <w:r>
        <w:t xml:space="preserve">Based on the Cochrane </w:t>
      </w:r>
      <w:r w:rsidR="004769D7">
        <w:t>R</w:t>
      </w:r>
      <w:r>
        <w:t xml:space="preserve">eview by Howes et al. (2020), the results of the meta-analysis comprising </w:t>
      </w:r>
      <w:r w:rsidR="00CC1537">
        <w:t>eight</w:t>
      </w:r>
      <w:r>
        <w:t xml:space="preserve"> RCTs, which included </w:t>
      </w:r>
      <w:r w:rsidR="00322A12">
        <w:t>the four studies</w:t>
      </w:r>
      <w:r w:rsidR="00DB4FE3">
        <w:t xml:space="preserve"> previously considered by the PBAC</w:t>
      </w:r>
      <w:r>
        <w:t xml:space="preserve">, </w:t>
      </w:r>
      <w:r w:rsidR="00CC1537">
        <w:t xml:space="preserve">were not statistically significant. The point estimate of the relative treatment effect was close to unity, demonstrating </w:t>
      </w:r>
      <w:r w:rsidR="00E004A1">
        <w:t xml:space="preserve">similar efficacy between bupropion and NRT </w:t>
      </w:r>
      <w:r w:rsidR="00573F59">
        <w:t>patches</w:t>
      </w:r>
      <w:r w:rsidR="00E004A1">
        <w:t>.</w:t>
      </w:r>
    </w:p>
    <w:p w:rsidR="00E004A1" w:rsidRDefault="00E004A1" w:rsidP="00B576FE">
      <w:r>
        <w:t xml:space="preserve">For the comparison of bupropion versus NRT </w:t>
      </w:r>
      <w:r w:rsidR="00573F59">
        <w:t>lozenges</w:t>
      </w:r>
      <w:r>
        <w:t>, the meta-analysis conducted by Howes et al. (2020) showed no statistically significant difference between the two interventions.</w:t>
      </w:r>
      <w:r w:rsidR="00372B6F">
        <w:t xml:space="preserve"> Similarly, no statistically significant difference was observed for the comparison of bupropion versus choice of NRT. </w:t>
      </w:r>
    </w:p>
    <w:p w:rsidR="00B576FE" w:rsidRDefault="00B576FE" w:rsidP="00854F3A">
      <w:pPr>
        <w:pStyle w:val="Caption"/>
        <w:keepNext/>
      </w:pPr>
      <w:bookmarkStart w:id="72" w:name="_Ref53145314"/>
      <w:r>
        <w:t xml:space="preserve">Table </w:t>
      </w:r>
      <w:r w:rsidR="003C4A1C">
        <w:rPr>
          <w:noProof/>
        </w:rPr>
        <w:t>11</w:t>
      </w:r>
      <w:bookmarkEnd w:id="72"/>
      <w:r>
        <w:t xml:space="preserve">: Results of smoking cessation </w:t>
      </w:r>
      <w:r w:rsidR="00154B4D">
        <w:t>for</w:t>
      </w:r>
      <w:r>
        <w:t xml:space="preserve"> at least six months follow-up, bupropion versus NRT</w:t>
      </w:r>
    </w:p>
    <w:tbl>
      <w:tblPr>
        <w:tblStyle w:val="TableGrid"/>
        <w:tblW w:w="5000" w:type="pct"/>
        <w:tblLook w:val="04A0" w:firstRow="1" w:lastRow="0" w:firstColumn="1" w:lastColumn="0" w:noHBand="0" w:noVBand="1"/>
        <w:tblCaption w:val="Efficacy results of adalimumab trials (PASI 75 and DLQI)"/>
      </w:tblPr>
      <w:tblGrid>
        <w:gridCol w:w="1295"/>
        <w:gridCol w:w="2333"/>
        <w:gridCol w:w="2081"/>
        <w:gridCol w:w="1709"/>
        <w:gridCol w:w="1598"/>
      </w:tblGrid>
      <w:tr w:rsidR="00187EAD" w:rsidRPr="00061F78" w:rsidTr="00923C08">
        <w:trPr>
          <w:cantSplit/>
          <w:trHeight w:val="299"/>
          <w:tblHeader/>
        </w:trPr>
        <w:tc>
          <w:tcPr>
            <w:tcW w:w="718" w:type="pct"/>
            <w:shd w:val="clear" w:color="auto" w:fill="BFBFBF" w:themeFill="background1" w:themeFillShade="BF"/>
            <w:tcMar>
              <w:left w:w="28" w:type="dxa"/>
              <w:right w:w="28" w:type="dxa"/>
            </w:tcMar>
          </w:tcPr>
          <w:p w:rsidR="00187EAD" w:rsidRPr="00061F78" w:rsidRDefault="00187EAD" w:rsidP="0094021E">
            <w:pPr>
              <w:pStyle w:val="Tableheading"/>
              <w:rPr>
                <w:rFonts w:eastAsia="MS Mincho"/>
              </w:rPr>
            </w:pPr>
            <w:r>
              <w:rPr>
                <w:rFonts w:eastAsia="MS Mincho"/>
              </w:rPr>
              <w:t>Study</w:t>
            </w:r>
          </w:p>
        </w:tc>
        <w:tc>
          <w:tcPr>
            <w:tcW w:w="1294" w:type="pct"/>
            <w:shd w:val="clear" w:color="auto" w:fill="BFBFBF" w:themeFill="background1" w:themeFillShade="BF"/>
            <w:vAlign w:val="center"/>
          </w:tcPr>
          <w:p w:rsidR="00187EAD" w:rsidRDefault="00187EAD" w:rsidP="0094021E">
            <w:pPr>
              <w:pStyle w:val="Tableheading"/>
              <w:jc w:val="center"/>
              <w:rPr>
                <w:rFonts w:eastAsia="MS Mincho"/>
              </w:rPr>
            </w:pPr>
            <w:r>
              <w:rPr>
                <w:rFonts w:eastAsia="MS Mincho"/>
              </w:rPr>
              <w:t>Study type</w:t>
            </w:r>
          </w:p>
        </w:tc>
        <w:tc>
          <w:tcPr>
            <w:tcW w:w="1154" w:type="pct"/>
            <w:shd w:val="clear" w:color="auto" w:fill="BFBFBF" w:themeFill="background1" w:themeFillShade="BF"/>
            <w:tcMar>
              <w:left w:w="28" w:type="dxa"/>
              <w:right w:w="28" w:type="dxa"/>
            </w:tcMar>
            <w:vAlign w:val="center"/>
          </w:tcPr>
          <w:p w:rsidR="00187EAD" w:rsidRPr="00061F78" w:rsidRDefault="00187EAD" w:rsidP="0094021E">
            <w:pPr>
              <w:pStyle w:val="Tableheading"/>
              <w:jc w:val="center"/>
              <w:rPr>
                <w:rFonts w:eastAsia="MS Mincho"/>
              </w:rPr>
            </w:pPr>
            <w:r>
              <w:rPr>
                <w:rFonts w:eastAsia="MS Mincho"/>
              </w:rPr>
              <w:t>Bupropion</w:t>
            </w:r>
          </w:p>
        </w:tc>
        <w:tc>
          <w:tcPr>
            <w:tcW w:w="948" w:type="pct"/>
            <w:shd w:val="clear" w:color="auto" w:fill="BFBFBF" w:themeFill="background1" w:themeFillShade="BF"/>
            <w:tcMar>
              <w:left w:w="28" w:type="dxa"/>
              <w:right w:w="28" w:type="dxa"/>
            </w:tcMar>
            <w:vAlign w:val="center"/>
          </w:tcPr>
          <w:p w:rsidR="00187EAD" w:rsidRPr="00061F78" w:rsidRDefault="00187EAD" w:rsidP="0094021E">
            <w:pPr>
              <w:pStyle w:val="Tableheading"/>
              <w:jc w:val="center"/>
              <w:rPr>
                <w:rFonts w:eastAsia="MS Mincho"/>
              </w:rPr>
            </w:pPr>
            <w:r>
              <w:rPr>
                <w:rFonts w:eastAsia="MS Mincho"/>
              </w:rPr>
              <w:t>NRT</w:t>
            </w:r>
          </w:p>
        </w:tc>
        <w:tc>
          <w:tcPr>
            <w:tcW w:w="886" w:type="pct"/>
            <w:shd w:val="clear" w:color="auto" w:fill="BFBFBF" w:themeFill="background1" w:themeFillShade="BF"/>
            <w:tcMar>
              <w:left w:w="28" w:type="dxa"/>
              <w:right w:w="28" w:type="dxa"/>
            </w:tcMar>
            <w:vAlign w:val="center"/>
          </w:tcPr>
          <w:p w:rsidR="00187EAD" w:rsidRPr="00D468CF" w:rsidRDefault="00187EAD" w:rsidP="0094021E">
            <w:pPr>
              <w:pStyle w:val="Tableheading"/>
              <w:jc w:val="center"/>
              <w:rPr>
                <w:rFonts w:eastAsia="MS Mincho"/>
                <w:vertAlign w:val="superscript"/>
              </w:rPr>
            </w:pPr>
            <w:r>
              <w:rPr>
                <w:rFonts w:eastAsia="MS Mincho"/>
              </w:rPr>
              <w:t>RR (95% CI)</w:t>
            </w:r>
            <w:r>
              <w:rPr>
                <w:rFonts w:eastAsia="MS Mincho"/>
                <w:vertAlign w:val="superscript"/>
              </w:rPr>
              <w:t>5</w:t>
            </w:r>
          </w:p>
        </w:tc>
      </w:tr>
      <w:tr w:rsidR="00187EAD" w:rsidRPr="00061F78" w:rsidTr="003954C8">
        <w:trPr>
          <w:cantSplit/>
          <w:trHeight w:val="99"/>
        </w:trPr>
        <w:tc>
          <w:tcPr>
            <w:tcW w:w="5000" w:type="pct"/>
            <w:gridSpan w:val="5"/>
            <w:shd w:val="clear" w:color="auto" w:fill="auto"/>
            <w:tcMar>
              <w:left w:w="28" w:type="dxa"/>
              <w:right w:w="28" w:type="dxa"/>
            </w:tcMar>
          </w:tcPr>
          <w:p w:rsidR="00E90ACA" w:rsidRPr="003954C8" w:rsidRDefault="00E90ACA" w:rsidP="0094021E">
            <w:pPr>
              <w:pStyle w:val="Tablewriting"/>
              <w:rPr>
                <w:rFonts w:eastAsia="MS Mincho"/>
                <w:b/>
                <w:bCs/>
              </w:rPr>
            </w:pPr>
            <w:r w:rsidRPr="003954C8">
              <w:rPr>
                <w:rFonts w:eastAsia="MS Mincho"/>
                <w:b/>
                <w:bCs/>
              </w:rPr>
              <w:t>Bupropion versus NRT patch</w:t>
            </w:r>
          </w:p>
        </w:tc>
      </w:tr>
      <w:tr w:rsidR="00187EAD" w:rsidRPr="00061F78" w:rsidTr="00DB200B">
        <w:trPr>
          <w:cantSplit/>
          <w:trHeight w:val="99"/>
        </w:trPr>
        <w:tc>
          <w:tcPr>
            <w:tcW w:w="718" w:type="pct"/>
            <w:shd w:val="clear" w:color="auto" w:fill="D9D9D9" w:themeFill="background1" w:themeFillShade="D9"/>
            <w:tcMar>
              <w:left w:w="28" w:type="dxa"/>
              <w:right w:w="28" w:type="dxa"/>
            </w:tcMar>
          </w:tcPr>
          <w:p w:rsidR="00187EAD" w:rsidRPr="00D468CF" w:rsidRDefault="00187EAD" w:rsidP="0094021E">
            <w:pPr>
              <w:pStyle w:val="Tablewriting"/>
              <w:rPr>
                <w:rFonts w:eastAsia="MS Mincho"/>
                <w:vertAlign w:val="superscript"/>
              </w:rPr>
            </w:pPr>
            <w:r>
              <w:rPr>
                <w:rFonts w:eastAsia="MS Mincho"/>
              </w:rPr>
              <w:t>Jorenby (1999)</w:t>
            </w:r>
            <w:r>
              <w:rPr>
                <w:rFonts w:eastAsia="MS Mincho"/>
                <w:vertAlign w:val="superscript"/>
              </w:rPr>
              <w:t>1</w:t>
            </w:r>
          </w:p>
        </w:tc>
        <w:tc>
          <w:tcPr>
            <w:tcW w:w="1294" w:type="pct"/>
            <w:shd w:val="clear" w:color="auto" w:fill="D9D9D9" w:themeFill="background1" w:themeFillShade="D9"/>
            <w:vAlign w:val="center"/>
          </w:tcPr>
          <w:p w:rsidR="00187EAD" w:rsidRDefault="00187EAD" w:rsidP="0094021E">
            <w:pPr>
              <w:pStyle w:val="Tablewriting"/>
              <w:jc w:val="center"/>
              <w:rPr>
                <w:rFonts w:eastAsia="MS Mincho"/>
              </w:rPr>
            </w:pPr>
            <w:r>
              <w:rPr>
                <w:rFonts w:eastAsia="MS Mincho"/>
              </w:rPr>
              <w:t>RCT</w:t>
            </w:r>
          </w:p>
        </w:tc>
        <w:tc>
          <w:tcPr>
            <w:tcW w:w="1154" w:type="pct"/>
            <w:shd w:val="clear" w:color="auto" w:fill="D9D9D9" w:themeFill="background1" w:themeFillShade="D9"/>
            <w:tcMar>
              <w:left w:w="28" w:type="dxa"/>
              <w:right w:w="28" w:type="dxa"/>
            </w:tcMar>
            <w:vAlign w:val="center"/>
          </w:tcPr>
          <w:p w:rsidR="00187EAD" w:rsidRDefault="00187EAD" w:rsidP="0094021E">
            <w:pPr>
              <w:pStyle w:val="Tablewriting"/>
              <w:jc w:val="center"/>
              <w:rPr>
                <w:rFonts w:eastAsia="MS Mincho"/>
              </w:rPr>
            </w:pPr>
            <w:r>
              <w:rPr>
                <w:rFonts w:eastAsia="MS Mincho"/>
              </w:rPr>
              <w:t xml:space="preserve">45/244 </w:t>
            </w:r>
          </w:p>
          <w:p w:rsidR="00187EAD" w:rsidRPr="00061F78" w:rsidRDefault="00187EAD" w:rsidP="0094021E">
            <w:pPr>
              <w:pStyle w:val="Tablewriting"/>
              <w:jc w:val="center"/>
              <w:rPr>
                <w:rFonts w:eastAsia="MS Mincho"/>
              </w:rPr>
            </w:pPr>
            <w:r>
              <w:rPr>
                <w:rFonts w:eastAsia="MS Mincho"/>
              </w:rPr>
              <w:t>(18.4%)</w:t>
            </w:r>
          </w:p>
        </w:tc>
        <w:tc>
          <w:tcPr>
            <w:tcW w:w="948" w:type="pct"/>
            <w:shd w:val="clear" w:color="auto" w:fill="D9D9D9" w:themeFill="background1" w:themeFillShade="D9"/>
            <w:tcMar>
              <w:left w:w="28" w:type="dxa"/>
              <w:right w:w="28" w:type="dxa"/>
            </w:tcMar>
            <w:vAlign w:val="center"/>
          </w:tcPr>
          <w:p w:rsidR="00187EAD" w:rsidRDefault="00187EAD" w:rsidP="0094021E">
            <w:pPr>
              <w:pStyle w:val="Tablewriting"/>
              <w:jc w:val="center"/>
              <w:rPr>
                <w:rFonts w:eastAsia="MS Mincho"/>
              </w:rPr>
            </w:pPr>
            <w:r>
              <w:rPr>
                <w:rFonts w:eastAsia="MS Mincho"/>
              </w:rPr>
              <w:t xml:space="preserve">24/244 </w:t>
            </w:r>
          </w:p>
          <w:p w:rsidR="00187EAD" w:rsidRPr="00061F78" w:rsidRDefault="00187EAD" w:rsidP="0094021E">
            <w:pPr>
              <w:pStyle w:val="Tablewriting"/>
              <w:jc w:val="center"/>
              <w:rPr>
                <w:rFonts w:eastAsia="MS Mincho"/>
              </w:rPr>
            </w:pPr>
            <w:r>
              <w:rPr>
                <w:rFonts w:eastAsia="MS Mincho"/>
              </w:rPr>
              <w:t>(9.8%)</w:t>
            </w:r>
          </w:p>
        </w:tc>
        <w:tc>
          <w:tcPr>
            <w:tcW w:w="886" w:type="pct"/>
            <w:shd w:val="clear" w:color="auto" w:fill="D9D9D9" w:themeFill="background1" w:themeFillShade="D9"/>
            <w:tcMar>
              <w:left w:w="28" w:type="dxa"/>
              <w:right w:w="28" w:type="dxa"/>
            </w:tcMar>
            <w:vAlign w:val="center"/>
          </w:tcPr>
          <w:p w:rsidR="00187EAD" w:rsidRPr="00D468CF" w:rsidRDefault="00187EAD" w:rsidP="0094021E">
            <w:pPr>
              <w:pStyle w:val="Tablewriting"/>
              <w:jc w:val="center"/>
              <w:rPr>
                <w:rFonts w:eastAsia="MS Mincho"/>
                <w:b/>
                <w:bCs/>
              </w:rPr>
            </w:pPr>
            <w:r>
              <w:rPr>
                <w:rFonts w:eastAsia="MS Mincho"/>
                <w:b/>
                <w:bCs/>
              </w:rPr>
              <w:t>1.88</w:t>
            </w:r>
            <w:r w:rsidRPr="00D468CF">
              <w:rPr>
                <w:rFonts w:eastAsia="MS Mincho"/>
                <w:b/>
                <w:bCs/>
              </w:rPr>
              <w:t xml:space="preserve"> </w:t>
            </w:r>
          </w:p>
          <w:p w:rsidR="00187EAD" w:rsidRPr="00061F78" w:rsidRDefault="00187EAD" w:rsidP="0094021E">
            <w:pPr>
              <w:pStyle w:val="Tablewriting"/>
              <w:jc w:val="center"/>
              <w:rPr>
                <w:rFonts w:eastAsia="MS Mincho"/>
              </w:rPr>
            </w:pPr>
            <w:r w:rsidRPr="00D468CF">
              <w:rPr>
                <w:rFonts w:eastAsia="MS Mincho"/>
                <w:b/>
                <w:bCs/>
              </w:rPr>
              <w:t>(1.</w:t>
            </w:r>
            <w:r>
              <w:rPr>
                <w:rFonts w:eastAsia="MS Mincho"/>
                <w:b/>
                <w:bCs/>
              </w:rPr>
              <w:t>18</w:t>
            </w:r>
            <w:r w:rsidRPr="00D468CF">
              <w:rPr>
                <w:rFonts w:eastAsia="MS Mincho"/>
                <w:b/>
                <w:bCs/>
              </w:rPr>
              <w:t xml:space="preserve">, </w:t>
            </w:r>
            <w:r>
              <w:rPr>
                <w:rFonts w:eastAsia="MS Mincho"/>
                <w:b/>
                <w:bCs/>
              </w:rPr>
              <w:t>2.98</w:t>
            </w:r>
            <w:r w:rsidRPr="00D468CF">
              <w:rPr>
                <w:rFonts w:eastAsia="MS Mincho"/>
                <w:b/>
                <w:bCs/>
              </w:rPr>
              <w:t>)</w:t>
            </w:r>
          </w:p>
        </w:tc>
      </w:tr>
      <w:tr w:rsidR="00187EAD" w:rsidRPr="00061F78" w:rsidTr="00DB200B">
        <w:trPr>
          <w:cantSplit/>
          <w:trHeight w:val="149"/>
        </w:trPr>
        <w:tc>
          <w:tcPr>
            <w:tcW w:w="718" w:type="pct"/>
            <w:shd w:val="clear" w:color="auto" w:fill="D9D9D9" w:themeFill="background1" w:themeFillShade="D9"/>
            <w:tcMar>
              <w:left w:w="28" w:type="dxa"/>
              <w:right w:w="28" w:type="dxa"/>
            </w:tcMar>
          </w:tcPr>
          <w:p w:rsidR="00187EAD" w:rsidRPr="00CA4917" w:rsidRDefault="00187EAD" w:rsidP="0094021E">
            <w:pPr>
              <w:pStyle w:val="Tablewriting"/>
              <w:rPr>
                <w:rFonts w:eastAsia="MS Mincho"/>
                <w:vertAlign w:val="superscript"/>
              </w:rPr>
            </w:pPr>
            <w:r>
              <w:rPr>
                <w:rFonts w:eastAsia="MS Mincho"/>
              </w:rPr>
              <w:t>Gorecka (2003)</w:t>
            </w:r>
            <w:r>
              <w:rPr>
                <w:rFonts w:eastAsia="MS Mincho"/>
                <w:vertAlign w:val="superscript"/>
              </w:rPr>
              <w:t>1</w:t>
            </w:r>
          </w:p>
        </w:tc>
        <w:tc>
          <w:tcPr>
            <w:tcW w:w="1294" w:type="pct"/>
            <w:shd w:val="clear" w:color="auto" w:fill="D9D9D9" w:themeFill="background1" w:themeFillShade="D9"/>
            <w:vAlign w:val="center"/>
          </w:tcPr>
          <w:p w:rsidR="00187EAD" w:rsidRDefault="00187EAD" w:rsidP="0094021E">
            <w:pPr>
              <w:pStyle w:val="Tablewriting"/>
              <w:jc w:val="center"/>
              <w:rPr>
                <w:rFonts w:eastAsia="MS Mincho"/>
              </w:rPr>
            </w:pPr>
            <w:r>
              <w:rPr>
                <w:rFonts w:eastAsia="MS Mincho"/>
              </w:rPr>
              <w:t>RCT</w:t>
            </w:r>
          </w:p>
        </w:tc>
        <w:tc>
          <w:tcPr>
            <w:tcW w:w="1154" w:type="pct"/>
            <w:shd w:val="clear" w:color="auto" w:fill="D9D9D9" w:themeFill="background1" w:themeFillShade="D9"/>
            <w:tcMar>
              <w:left w:w="28" w:type="dxa"/>
              <w:right w:w="28" w:type="dxa"/>
            </w:tcMar>
            <w:vAlign w:val="center"/>
          </w:tcPr>
          <w:p w:rsidR="00187EAD" w:rsidRDefault="00187EAD" w:rsidP="0094021E">
            <w:pPr>
              <w:pStyle w:val="Tablewriting"/>
              <w:jc w:val="center"/>
              <w:rPr>
                <w:rFonts w:eastAsia="MS Mincho"/>
              </w:rPr>
            </w:pPr>
            <w:r>
              <w:rPr>
                <w:rFonts w:eastAsia="MS Mincho"/>
              </w:rPr>
              <w:t>5/31</w:t>
            </w:r>
          </w:p>
          <w:p w:rsidR="00187EAD" w:rsidRDefault="00187EAD" w:rsidP="0094021E">
            <w:pPr>
              <w:pStyle w:val="Tablewriting"/>
              <w:jc w:val="center"/>
              <w:rPr>
                <w:rFonts w:eastAsia="MS Mincho"/>
              </w:rPr>
            </w:pPr>
            <w:r>
              <w:rPr>
                <w:rFonts w:eastAsia="MS Mincho"/>
              </w:rPr>
              <w:t>(16.1%)</w:t>
            </w:r>
          </w:p>
        </w:tc>
        <w:tc>
          <w:tcPr>
            <w:tcW w:w="948" w:type="pct"/>
            <w:shd w:val="clear" w:color="auto" w:fill="D9D9D9" w:themeFill="background1" w:themeFillShade="D9"/>
            <w:tcMar>
              <w:left w:w="28" w:type="dxa"/>
              <w:right w:w="28" w:type="dxa"/>
            </w:tcMar>
            <w:vAlign w:val="center"/>
          </w:tcPr>
          <w:p w:rsidR="00187EAD" w:rsidRDefault="00187EAD" w:rsidP="0094021E">
            <w:pPr>
              <w:pStyle w:val="Tablewriting"/>
              <w:jc w:val="center"/>
              <w:rPr>
                <w:rFonts w:eastAsia="MS Mincho"/>
              </w:rPr>
            </w:pPr>
            <w:r>
              <w:rPr>
                <w:rFonts w:eastAsia="MS Mincho"/>
              </w:rPr>
              <w:t>8/38</w:t>
            </w:r>
          </w:p>
          <w:p w:rsidR="00187EAD" w:rsidRDefault="00187EAD" w:rsidP="0094021E">
            <w:pPr>
              <w:pStyle w:val="Tablewriting"/>
              <w:jc w:val="center"/>
              <w:rPr>
                <w:rFonts w:eastAsia="MS Mincho"/>
              </w:rPr>
            </w:pPr>
            <w:r>
              <w:rPr>
                <w:rFonts w:eastAsia="MS Mincho"/>
              </w:rPr>
              <w:t>(21.1%)</w:t>
            </w:r>
          </w:p>
        </w:tc>
        <w:tc>
          <w:tcPr>
            <w:tcW w:w="886" w:type="pct"/>
            <w:shd w:val="clear" w:color="auto" w:fill="D9D9D9" w:themeFill="background1" w:themeFillShade="D9"/>
            <w:tcMar>
              <w:left w:w="28" w:type="dxa"/>
              <w:right w:w="28" w:type="dxa"/>
            </w:tcMar>
            <w:vAlign w:val="center"/>
          </w:tcPr>
          <w:p w:rsidR="00187EAD" w:rsidRDefault="00187EAD" w:rsidP="0094021E">
            <w:pPr>
              <w:pStyle w:val="Tablewriting"/>
              <w:jc w:val="center"/>
              <w:rPr>
                <w:rFonts w:eastAsia="MS Mincho"/>
              </w:rPr>
            </w:pPr>
            <w:r>
              <w:rPr>
                <w:rFonts w:eastAsia="MS Mincho"/>
              </w:rPr>
              <w:t>0.77</w:t>
            </w:r>
          </w:p>
          <w:p w:rsidR="00187EAD" w:rsidRPr="00CC1537" w:rsidRDefault="00187EAD" w:rsidP="0094021E">
            <w:pPr>
              <w:pStyle w:val="Tablewriting"/>
              <w:jc w:val="center"/>
              <w:rPr>
                <w:rFonts w:eastAsia="MS Mincho"/>
              </w:rPr>
            </w:pPr>
            <w:r>
              <w:rPr>
                <w:rFonts w:eastAsia="MS Mincho"/>
              </w:rPr>
              <w:t>(0.28, 2.11)</w:t>
            </w:r>
          </w:p>
        </w:tc>
      </w:tr>
      <w:tr w:rsidR="00187EAD" w:rsidRPr="00061F78" w:rsidTr="00DB200B">
        <w:trPr>
          <w:cantSplit/>
          <w:trHeight w:val="149"/>
        </w:trPr>
        <w:tc>
          <w:tcPr>
            <w:tcW w:w="718" w:type="pct"/>
            <w:shd w:val="clear" w:color="auto" w:fill="D9D9D9" w:themeFill="background1" w:themeFillShade="D9"/>
            <w:tcMar>
              <w:left w:w="28" w:type="dxa"/>
              <w:right w:w="28" w:type="dxa"/>
            </w:tcMar>
          </w:tcPr>
          <w:p w:rsidR="00187EAD" w:rsidRDefault="00187EAD" w:rsidP="0094021E">
            <w:pPr>
              <w:pStyle w:val="Tablewriting"/>
              <w:rPr>
                <w:rFonts w:eastAsia="MS Mincho"/>
              </w:rPr>
            </w:pPr>
            <w:r>
              <w:rPr>
                <w:rFonts w:eastAsia="MS Mincho"/>
              </w:rPr>
              <w:t xml:space="preserve">Uyar </w:t>
            </w:r>
          </w:p>
          <w:p w:rsidR="00187EAD" w:rsidRPr="00CA4917" w:rsidRDefault="00187EAD" w:rsidP="0094021E">
            <w:pPr>
              <w:pStyle w:val="Tablewriting"/>
              <w:rPr>
                <w:rFonts w:eastAsia="MS Mincho"/>
                <w:vertAlign w:val="superscript"/>
              </w:rPr>
            </w:pPr>
            <w:r>
              <w:rPr>
                <w:rFonts w:eastAsia="MS Mincho"/>
              </w:rPr>
              <w:t>(2007)</w:t>
            </w:r>
            <w:r>
              <w:rPr>
                <w:rFonts w:eastAsia="MS Mincho"/>
                <w:vertAlign w:val="superscript"/>
              </w:rPr>
              <w:t>2</w:t>
            </w:r>
          </w:p>
        </w:tc>
        <w:tc>
          <w:tcPr>
            <w:tcW w:w="1294" w:type="pct"/>
            <w:shd w:val="clear" w:color="auto" w:fill="D9D9D9" w:themeFill="background1" w:themeFillShade="D9"/>
            <w:vAlign w:val="center"/>
          </w:tcPr>
          <w:p w:rsidR="00187EAD" w:rsidRDefault="00187EAD" w:rsidP="0094021E">
            <w:pPr>
              <w:pStyle w:val="Tablewriting"/>
              <w:jc w:val="center"/>
              <w:rPr>
                <w:rFonts w:eastAsia="MS Mincho"/>
              </w:rPr>
            </w:pPr>
            <w:r>
              <w:rPr>
                <w:rFonts w:eastAsia="MS Mincho"/>
              </w:rPr>
              <w:t>RCT</w:t>
            </w:r>
          </w:p>
        </w:tc>
        <w:tc>
          <w:tcPr>
            <w:tcW w:w="1154" w:type="pct"/>
            <w:shd w:val="clear" w:color="auto" w:fill="D9D9D9" w:themeFill="background1" w:themeFillShade="D9"/>
            <w:tcMar>
              <w:left w:w="28" w:type="dxa"/>
              <w:right w:w="28" w:type="dxa"/>
            </w:tcMar>
            <w:vAlign w:val="center"/>
          </w:tcPr>
          <w:p w:rsidR="00187EAD" w:rsidRDefault="00187EAD" w:rsidP="0094021E">
            <w:pPr>
              <w:pStyle w:val="Tablewriting"/>
              <w:jc w:val="center"/>
              <w:rPr>
                <w:rFonts w:eastAsia="MS Mincho"/>
              </w:rPr>
            </w:pPr>
            <w:r>
              <w:rPr>
                <w:rFonts w:eastAsia="MS Mincho"/>
              </w:rPr>
              <w:t>13/50</w:t>
            </w:r>
          </w:p>
          <w:p w:rsidR="00187EAD" w:rsidRDefault="00187EAD" w:rsidP="0094021E">
            <w:pPr>
              <w:pStyle w:val="Tablewriting"/>
              <w:jc w:val="center"/>
              <w:rPr>
                <w:rFonts w:eastAsia="MS Mincho"/>
              </w:rPr>
            </w:pPr>
            <w:r>
              <w:rPr>
                <w:rFonts w:eastAsia="MS Mincho"/>
              </w:rPr>
              <w:t>(26.0%)</w:t>
            </w:r>
          </w:p>
        </w:tc>
        <w:tc>
          <w:tcPr>
            <w:tcW w:w="948" w:type="pct"/>
            <w:shd w:val="clear" w:color="auto" w:fill="D9D9D9" w:themeFill="background1" w:themeFillShade="D9"/>
            <w:tcMar>
              <w:left w:w="28" w:type="dxa"/>
              <w:right w:w="28" w:type="dxa"/>
            </w:tcMar>
            <w:vAlign w:val="center"/>
          </w:tcPr>
          <w:p w:rsidR="00187EAD" w:rsidRDefault="00187EAD" w:rsidP="0094021E">
            <w:pPr>
              <w:pStyle w:val="Tablewriting"/>
              <w:jc w:val="center"/>
              <w:rPr>
                <w:rFonts w:eastAsia="MS Mincho"/>
              </w:rPr>
            </w:pPr>
            <w:r>
              <w:rPr>
                <w:rFonts w:eastAsia="MS Mincho"/>
              </w:rPr>
              <w:t>13/50</w:t>
            </w:r>
          </w:p>
          <w:p w:rsidR="00187EAD" w:rsidRDefault="00187EAD" w:rsidP="0094021E">
            <w:pPr>
              <w:pStyle w:val="Tablewriting"/>
              <w:jc w:val="center"/>
              <w:rPr>
                <w:rFonts w:eastAsia="MS Mincho"/>
              </w:rPr>
            </w:pPr>
            <w:r>
              <w:rPr>
                <w:rFonts w:eastAsia="MS Mincho"/>
              </w:rPr>
              <w:t>(26.0%)</w:t>
            </w:r>
          </w:p>
        </w:tc>
        <w:tc>
          <w:tcPr>
            <w:tcW w:w="886" w:type="pct"/>
            <w:shd w:val="clear" w:color="auto" w:fill="D9D9D9" w:themeFill="background1" w:themeFillShade="D9"/>
            <w:tcMar>
              <w:left w:w="28" w:type="dxa"/>
              <w:right w:w="28" w:type="dxa"/>
            </w:tcMar>
            <w:vAlign w:val="center"/>
          </w:tcPr>
          <w:p w:rsidR="00187EAD" w:rsidRDefault="00187EAD" w:rsidP="0094021E">
            <w:pPr>
              <w:pStyle w:val="Tablewriting"/>
              <w:jc w:val="center"/>
              <w:rPr>
                <w:rFonts w:eastAsia="MS Mincho"/>
              </w:rPr>
            </w:pPr>
            <w:r>
              <w:rPr>
                <w:rFonts w:eastAsia="MS Mincho"/>
              </w:rPr>
              <w:t>1.00</w:t>
            </w:r>
          </w:p>
          <w:p w:rsidR="00187EAD" w:rsidRPr="00CC1537" w:rsidRDefault="00187EAD" w:rsidP="0094021E">
            <w:pPr>
              <w:pStyle w:val="Tablewriting"/>
              <w:jc w:val="center"/>
              <w:rPr>
                <w:rFonts w:eastAsia="MS Mincho"/>
              </w:rPr>
            </w:pPr>
            <w:r>
              <w:rPr>
                <w:rFonts w:eastAsia="MS Mincho"/>
              </w:rPr>
              <w:t>(0.52, 1.94)</w:t>
            </w:r>
          </w:p>
        </w:tc>
      </w:tr>
      <w:tr w:rsidR="00187EAD" w:rsidRPr="00061F78" w:rsidTr="00DB200B">
        <w:trPr>
          <w:cantSplit/>
          <w:trHeight w:val="149"/>
        </w:trPr>
        <w:tc>
          <w:tcPr>
            <w:tcW w:w="718" w:type="pct"/>
            <w:shd w:val="clear" w:color="auto" w:fill="D9D9D9" w:themeFill="background1" w:themeFillShade="D9"/>
            <w:tcMar>
              <w:left w:w="28" w:type="dxa"/>
              <w:right w:w="28" w:type="dxa"/>
            </w:tcMar>
          </w:tcPr>
          <w:p w:rsidR="00187EAD" w:rsidRDefault="00187EAD" w:rsidP="0094021E">
            <w:pPr>
              <w:pStyle w:val="Tablewriting"/>
              <w:rPr>
                <w:rFonts w:eastAsia="MS Mincho"/>
              </w:rPr>
            </w:pPr>
            <w:r>
              <w:rPr>
                <w:rFonts w:eastAsia="MS Mincho"/>
              </w:rPr>
              <w:t>Piper</w:t>
            </w:r>
          </w:p>
          <w:p w:rsidR="00187EAD" w:rsidRPr="00CA4917" w:rsidRDefault="00187EAD" w:rsidP="0094021E">
            <w:pPr>
              <w:pStyle w:val="Tablewriting"/>
              <w:rPr>
                <w:rFonts w:eastAsia="MS Mincho"/>
                <w:vertAlign w:val="superscript"/>
              </w:rPr>
            </w:pPr>
            <w:r>
              <w:rPr>
                <w:rFonts w:eastAsia="MS Mincho"/>
              </w:rPr>
              <w:t>(2009)</w:t>
            </w:r>
            <w:r w:rsidRPr="00E34A94">
              <w:rPr>
                <w:rFonts w:eastAsia="MS Mincho"/>
                <w:vertAlign w:val="superscript"/>
              </w:rPr>
              <w:t>3</w:t>
            </w:r>
          </w:p>
        </w:tc>
        <w:tc>
          <w:tcPr>
            <w:tcW w:w="1294" w:type="pct"/>
            <w:shd w:val="clear" w:color="auto" w:fill="D9D9D9" w:themeFill="background1" w:themeFillShade="D9"/>
            <w:vAlign w:val="center"/>
          </w:tcPr>
          <w:p w:rsidR="00187EAD" w:rsidRDefault="00187EAD" w:rsidP="0094021E">
            <w:pPr>
              <w:pStyle w:val="Tablewriting"/>
              <w:jc w:val="center"/>
              <w:rPr>
                <w:rFonts w:eastAsia="MS Mincho"/>
              </w:rPr>
            </w:pPr>
            <w:r>
              <w:rPr>
                <w:rFonts w:eastAsia="MS Mincho"/>
              </w:rPr>
              <w:t>RCT</w:t>
            </w:r>
          </w:p>
        </w:tc>
        <w:tc>
          <w:tcPr>
            <w:tcW w:w="1154" w:type="pct"/>
            <w:shd w:val="clear" w:color="auto" w:fill="D9D9D9" w:themeFill="background1" w:themeFillShade="D9"/>
            <w:tcMar>
              <w:left w:w="28" w:type="dxa"/>
              <w:right w:w="28" w:type="dxa"/>
            </w:tcMar>
            <w:vAlign w:val="center"/>
          </w:tcPr>
          <w:p w:rsidR="00187EAD" w:rsidRDefault="00187EAD" w:rsidP="0094021E">
            <w:pPr>
              <w:pStyle w:val="Tablewriting"/>
              <w:jc w:val="center"/>
              <w:rPr>
                <w:rFonts w:eastAsia="MS Mincho"/>
                <w:vertAlign w:val="superscript"/>
              </w:rPr>
            </w:pPr>
            <w:r>
              <w:rPr>
                <w:rFonts w:eastAsia="MS Mincho"/>
              </w:rPr>
              <w:t>28/88</w:t>
            </w:r>
            <w:r w:rsidR="00E676AB">
              <w:rPr>
                <w:rFonts w:eastAsia="MS Mincho"/>
                <w:vertAlign w:val="superscript"/>
              </w:rPr>
              <w:t>a</w:t>
            </w:r>
          </w:p>
          <w:p w:rsidR="00187EAD" w:rsidRPr="00B26C47" w:rsidRDefault="00187EAD" w:rsidP="0094021E">
            <w:pPr>
              <w:pStyle w:val="Tablewriting"/>
              <w:jc w:val="center"/>
              <w:rPr>
                <w:rFonts w:eastAsia="MS Mincho"/>
              </w:rPr>
            </w:pPr>
            <w:r>
              <w:rPr>
                <w:rFonts w:eastAsia="MS Mincho"/>
              </w:rPr>
              <w:t>(31.8%)</w:t>
            </w:r>
          </w:p>
        </w:tc>
        <w:tc>
          <w:tcPr>
            <w:tcW w:w="948" w:type="pct"/>
            <w:shd w:val="clear" w:color="auto" w:fill="D9D9D9" w:themeFill="background1" w:themeFillShade="D9"/>
            <w:tcMar>
              <w:left w:w="28" w:type="dxa"/>
              <w:right w:w="28" w:type="dxa"/>
            </w:tcMar>
            <w:vAlign w:val="center"/>
          </w:tcPr>
          <w:p w:rsidR="00187EAD" w:rsidRDefault="00187EAD" w:rsidP="0094021E">
            <w:pPr>
              <w:pStyle w:val="Tablewriting"/>
              <w:jc w:val="center"/>
              <w:rPr>
                <w:rFonts w:eastAsia="MS Mincho"/>
              </w:rPr>
            </w:pPr>
            <w:r>
              <w:rPr>
                <w:rFonts w:eastAsia="MS Mincho"/>
              </w:rPr>
              <w:t>90/262</w:t>
            </w:r>
          </w:p>
          <w:p w:rsidR="00187EAD" w:rsidRDefault="00187EAD" w:rsidP="0094021E">
            <w:pPr>
              <w:pStyle w:val="Tablewriting"/>
              <w:jc w:val="center"/>
              <w:rPr>
                <w:rFonts w:eastAsia="MS Mincho"/>
              </w:rPr>
            </w:pPr>
            <w:r>
              <w:rPr>
                <w:rFonts w:eastAsia="MS Mincho"/>
              </w:rPr>
              <w:t>(34.4%)</w:t>
            </w:r>
          </w:p>
        </w:tc>
        <w:tc>
          <w:tcPr>
            <w:tcW w:w="886" w:type="pct"/>
            <w:shd w:val="clear" w:color="auto" w:fill="D9D9D9" w:themeFill="background1" w:themeFillShade="D9"/>
            <w:tcMar>
              <w:left w:w="28" w:type="dxa"/>
              <w:right w:w="28" w:type="dxa"/>
            </w:tcMar>
            <w:vAlign w:val="center"/>
          </w:tcPr>
          <w:p w:rsidR="00187EAD" w:rsidRDefault="00187EAD" w:rsidP="0094021E">
            <w:pPr>
              <w:pStyle w:val="Tablewriting"/>
              <w:jc w:val="center"/>
              <w:rPr>
                <w:rFonts w:eastAsia="MS Mincho"/>
              </w:rPr>
            </w:pPr>
            <w:r>
              <w:rPr>
                <w:rFonts w:eastAsia="MS Mincho"/>
              </w:rPr>
              <w:t>0.93</w:t>
            </w:r>
          </w:p>
          <w:p w:rsidR="00187EAD" w:rsidRPr="00CC1537" w:rsidRDefault="00187EAD" w:rsidP="0094021E">
            <w:pPr>
              <w:pStyle w:val="Tablewriting"/>
              <w:jc w:val="center"/>
              <w:rPr>
                <w:rFonts w:eastAsia="MS Mincho"/>
              </w:rPr>
            </w:pPr>
            <w:r>
              <w:rPr>
                <w:rFonts w:eastAsia="MS Mincho"/>
              </w:rPr>
              <w:t>(0.65, 1.31)</w:t>
            </w:r>
          </w:p>
        </w:tc>
      </w:tr>
      <w:tr w:rsidR="00187EAD" w:rsidRPr="00061F78" w:rsidTr="00923C08">
        <w:trPr>
          <w:cantSplit/>
          <w:trHeight w:val="149"/>
        </w:trPr>
        <w:tc>
          <w:tcPr>
            <w:tcW w:w="718" w:type="pct"/>
            <w:tcMar>
              <w:left w:w="28" w:type="dxa"/>
              <w:right w:w="28" w:type="dxa"/>
            </w:tcMar>
          </w:tcPr>
          <w:p w:rsidR="00187EAD" w:rsidRDefault="00187EAD" w:rsidP="0094021E">
            <w:pPr>
              <w:pStyle w:val="Tablewriting"/>
              <w:rPr>
                <w:rFonts w:eastAsia="MS Mincho"/>
              </w:rPr>
            </w:pPr>
            <w:r>
              <w:rPr>
                <w:rFonts w:eastAsia="MS Mincho"/>
              </w:rPr>
              <w:t>Howes</w:t>
            </w:r>
            <w:r w:rsidRPr="00061F78">
              <w:rPr>
                <w:rFonts w:eastAsia="MS Mincho"/>
              </w:rPr>
              <w:t xml:space="preserve"> </w:t>
            </w:r>
          </w:p>
          <w:p w:rsidR="00187EAD" w:rsidRPr="00D468CF" w:rsidRDefault="00187EAD" w:rsidP="0094021E">
            <w:pPr>
              <w:pStyle w:val="Tablewriting"/>
              <w:rPr>
                <w:rFonts w:eastAsia="MS Mincho"/>
                <w:vertAlign w:val="superscript"/>
              </w:rPr>
            </w:pPr>
            <w:r w:rsidRPr="00061F78">
              <w:rPr>
                <w:rFonts w:eastAsia="MS Mincho"/>
              </w:rPr>
              <w:t>(20</w:t>
            </w:r>
            <w:r>
              <w:rPr>
                <w:rFonts w:eastAsia="MS Mincho"/>
              </w:rPr>
              <w:t>20</w:t>
            </w:r>
            <w:r w:rsidRPr="00061F78">
              <w:rPr>
                <w:rFonts w:eastAsia="MS Mincho"/>
              </w:rPr>
              <w:t>)</w:t>
            </w:r>
            <w:r>
              <w:rPr>
                <w:rFonts w:eastAsia="MS Mincho"/>
                <w:vertAlign w:val="superscript"/>
              </w:rPr>
              <w:t>4</w:t>
            </w:r>
          </w:p>
        </w:tc>
        <w:tc>
          <w:tcPr>
            <w:tcW w:w="1294" w:type="pct"/>
            <w:vAlign w:val="center"/>
          </w:tcPr>
          <w:p w:rsidR="00E676AB" w:rsidRDefault="00187EAD" w:rsidP="0094021E">
            <w:pPr>
              <w:pStyle w:val="Tablewriting"/>
              <w:jc w:val="center"/>
              <w:rPr>
                <w:rFonts w:eastAsia="MS Mincho"/>
              </w:rPr>
            </w:pPr>
            <w:r>
              <w:rPr>
                <w:rFonts w:eastAsia="MS Mincho"/>
              </w:rPr>
              <w:t xml:space="preserve">Cochrane Review </w:t>
            </w:r>
          </w:p>
          <w:p w:rsidR="00187EAD" w:rsidRDefault="00187EAD" w:rsidP="0094021E">
            <w:pPr>
              <w:pStyle w:val="Tablewriting"/>
              <w:jc w:val="center"/>
              <w:rPr>
                <w:rFonts w:eastAsia="MS Mincho"/>
              </w:rPr>
            </w:pPr>
            <w:r>
              <w:rPr>
                <w:rFonts w:eastAsia="MS Mincho"/>
              </w:rPr>
              <w:t>(8 RCTs)</w:t>
            </w:r>
          </w:p>
        </w:tc>
        <w:tc>
          <w:tcPr>
            <w:tcW w:w="1154" w:type="pct"/>
            <w:tcMar>
              <w:left w:w="28" w:type="dxa"/>
              <w:right w:w="28" w:type="dxa"/>
            </w:tcMar>
            <w:vAlign w:val="center"/>
          </w:tcPr>
          <w:p w:rsidR="00187EAD" w:rsidRDefault="00187EAD" w:rsidP="0094021E">
            <w:pPr>
              <w:pStyle w:val="Tablewriting"/>
              <w:jc w:val="center"/>
              <w:rPr>
                <w:rFonts w:eastAsia="MS Mincho"/>
              </w:rPr>
            </w:pPr>
            <w:r>
              <w:rPr>
                <w:rFonts w:eastAsia="MS Mincho"/>
              </w:rPr>
              <w:t>465</w:t>
            </w:r>
            <w:r w:rsidRPr="00061F78">
              <w:rPr>
                <w:rFonts w:eastAsia="MS Mincho"/>
              </w:rPr>
              <w:t>/</w:t>
            </w:r>
            <w:r>
              <w:rPr>
                <w:rFonts w:eastAsia="MS Mincho"/>
              </w:rPr>
              <w:t>2699</w:t>
            </w:r>
            <w:r w:rsidRPr="00061F78">
              <w:rPr>
                <w:rFonts w:eastAsia="MS Mincho"/>
              </w:rPr>
              <w:t xml:space="preserve"> </w:t>
            </w:r>
          </w:p>
          <w:p w:rsidR="00187EAD" w:rsidRPr="00061F78" w:rsidRDefault="00187EAD" w:rsidP="0094021E">
            <w:pPr>
              <w:pStyle w:val="Tablewriting"/>
              <w:jc w:val="center"/>
              <w:rPr>
                <w:rFonts w:eastAsia="MS Mincho"/>
              </w:rPr>
            </w:pPr>
            <w:r w:rsidRPr="00061F78">
              <w:rPr>
                <w:rFonts w:eastAsia="MS Mincho"/>
              </w:rPr>
              <w:t>(</w:t>
            </w:r>
            <w:r>
              <w:rPr>
                <w:rFonts w:eastAsia="MS Mincho"/>
              </w:rPr>
              <w:t>17.2</w:t>
            </w:r>
            <w:r w:rsidRPr="00061F78">
              <w:rPr>
                <w:rFonts w:eastAsia="MS Mincho"/>
              </w:rPr>
              <w:t>%)</w:t>
            </w:r>
          </w:p>
        </w:tc>
        <w:tc>
          <w:tcPr>
            <w:tcW w:w="948" w:type="pct"/>
            <w:tcMar>
              <w:left w:w="28" w:type="dxa"/>
              <w:right w:w="28" w:type="dxa"/>
            </w:tcMar>
            <w:vAlign w:val="center"/>
          </w:tcPr>
          <w:p w:rsidR="00187EAD" w:rsidRDefault="00187EAD" w:rsidP="0094021E">
            <w:pPr>
              <w:pStyle w:val="Tablewriting"/>
              <w:jc w:val="center"/>
              <w:rPr>
                <w:rFonts w:eastAsia="MS Mincho"/>
              </w:rPr>
            </w:pPr>
            <w:r>
              <w:rPr>
                <w:rFonts w:eastAsia="MS Mincho"/>
              </w:rPr>
              <w:t>543</w:t>
            </w:r>
            <w:r w:rsidRPr="00061F78">
              <w:rPr>
                <w:rFonts w:eastAsia="MS Mincho"/>
              </w:rPr>
              <w:t>/</w:t>
            </w:r>
            <w:r>
              <w:rPr>
                <w:rFonts w:eastAsia="MS Mincho"/>
              </w:rPr>
              <w:t>3079</w:t>
            </w:r>
            <w:r w:rsidRPr="00061F78">
              <w:rPr>
                <w:rFonts w:eastAsia="MS Mincho"/>
              </w:rPr>
              <w:t xml:space="preserve"> </w:t>
            </w:r>
          </w:p>
          <w:p w:rsidR="00187EAD" w:rsidRPr="00061F78" w:rsidRDefault="00187EAD" w:rsidP="0094021E">
            <w:pPr>
              <w:pStyle w:val="Tablewriting"/>
              <w:jc w:val="center"/>
              <w:rPr>
                <w:rFonts w:eastAsia="MS Mincho"/>
              </w:rPr>
            </w:pPr>
            <w:r w:rsidRPr="00061F78">
              <w:rPr>
                <w:rFonts w:eastAsia="MS Mincho"/>
              </w:rPr>
              <w:t>(1</w:t>
            </w:r>
            <w:r>
              <w:rPr>
                <w:rFonts w:eastAsia="MS Mincho"/>
              </w:rPr>
              <w:t>7.6</w:t>
            </w:r>
            <w:r w:rsidRPr="00061F78">
              <w:rPr>
                <w:rFonts w:eastAsia="MS Mincho"/>
              </w:rPr>
              <w:t>%)</w:t>
            </w:r>
          </w:p>
        </w:tc>
        <w:tc>
          <w:tcPr>
            <w:tcW w:w="886" w:type="pct"/>
            <w:tcMar>
              <w:left w:w="28" w:type="dxa"/>
              <w:right w:w="28" w:type="dxa"/>
            </w:tcMar>
            <w:vAlign w:val="center"/>
          </w:tcPr>
          <w:p w:rsidR="00187EAD" w:rsidRPr="00CC1537" w:rsidRDefault="00187EAD" w:rsidP="0094021E">
            <w:pPr>
              <w:pStyle w:val="Tablewriting"/>
              <w:jc w:val="center"/>
              <w:rPr>
                <w:rFonts w:eastAsia="MS Mincho"/>
              </w:rPr>
            </w:pPr>
            <w:r w:rsidRPr="00CC1537">
              <w:rPr>
                <w:rFonts w:eastAsia="MS Mincho"/>
              </w:rPr>
              <w:t>1.04</w:t>
            </w:r>
          </w:p>
          <w:p w:rsidR="00187EAD" w:rsidRPr="00061F78" w:rsidRDefault="00187EAD" w:rsidP="0094021E">
            <w:pPr>
              <w:pStyle w:val="Tablewriting"/>
              <w:jc w:val="center"/>
              <w:rPr>
                <w:rFonts w:eastAsia="MS Mincho"/>
              </w:rPr>
            </w:pPr>
            <w:r w:rsidRPr="00CC1537">
              <w:rPr>
                <w:rFonts w:eastAsia="MS Mincho"/>
              </w:rPr>
              <w:t>(0.92, 1.16)</w:t>
            </w:r>
          </w:p>
        </w:tc>
      </w:tr>
      <w:tr w:rsidR="00187EAD" w:rsidRPr="00061F78" w:rsidTr="003954C8">
        <w:trPr>
          <w:cantSplit/>
          <w:trHeight w:val="149"/>
        </w:trPr>
        <w:tc>
          <w:tcPr>
            <w:tcW w:w="5000" w:type="pct"/>
            <w:gridSpan w:val="5"/>
            <w:shd w:val="clear" w:color="auto" w:fill="auto"/>
            <w:tcMar>
              <w:left w:w="28" w:type="dxa"/>
              <w:right w:w="28" w:type="dxa"/>
            </w:tcMar>
          </w:tcPr>
          <w:p w:rsidR="00E90ACA" w:rsidRPr="003954C8" w:rsidRDefault="00E90ACA" w:rsidP="0094021E">
            <w:pPr>
              <w:pStyle w:val="Tablewriting"/>
              <w:rPr>
                <w:rFonts w:eastAsia="MS Mincho"/>
                <w:b/>
                <w:bCs/>
              </w:rPr>
            </w:pPr>
            <w:r w:rsidRPr="003954C8">
              <w:rPr>
                <w:rFonts w:eastAsia="MS Mincho"/>
                <w:b/>
                <w:bCs/>
              </w:rPr>
              <w:t>Bupropion versus NRT lozenge</w:t>
            </w:r>
          </w:p>
        </w:tc>
      </w:tr>
      <w:tr w:rsidR="00187EAD" w:rsidRPr="00061F78" w:rsidTr="00923C08">
        <w:trPr>
          <w:cantSplit/>
          <w:trHeight w:val="149"/>
        </w:trPr>
        <w:tc>
          <w:tcPr>
            <w:tcW w:w="718" w:type="pct"/>
            <w:tcMar>
              <w:left w:w="28" w:type="dxa"/>
              <w:right w:w="28" w:type="dxa"/>
            </w:tcMar>
          </w:tcPr>
          <w:p w:rsidR="00187EAD" w:rsidRDefault="00187EAD" w:rsidP="0094021E">
            <w:pPr>
              <w:pStyle w:val="Tablewriting"/>
              <w:rPr>
                <w:rFonts w:eastAsia="MS Mincho"/>
              </w:rPr>
            </w:pPr>
            <w:r>
              <w:rPr>
                <w:rFonts w:eastAsia="MS Mincho"/>
              </w:rPr>
              <w:t>Howes</w:t>
            </w:r>
            <w:r w:rsidRPr="00061F78">
              <w:rPr>
                <w:rFonts w:eastAsia="MS Mincho"/>
              </w:rPr>
              <w:t xml:space="preserve"> </w:t>
            </w:r>
          </w:p>
          <w:p w:rsidR="00187EAD" w:rsidRDefault="00187EAD" w:rsidP="0094021E">
            <w:pPr>
              <w:pStyle w:val="Tablewriting"/>
              <w:rPr>
                <w:rFonts w:eastAsia="MS Mincho"/>
              </w:rPr>
            </w:pPr>
            <w:r w:rsidRPr="00061F78">
              <w:rPr>
                <w:rFonts w:eastAsia="MS Mincho"/>
              </w:rPr>
              <w:t>(20</w:t>
            </w:r>
            <w:r>
              <w:rPr>
                <w:rFonts w:eastAsia="MS Mincho"/>
              </w:rPr>
              <w:t>20</w:t>
            </w:r>
            <w:r w:rsidRPr="00061F78">
              <w:rPr>
                <w:rFonts w:eastAsia="MS Mincho"/>
              </w:rPr>
              <w:t>)</w:t>
            </w:r>
            <w:r>
              <w:rPr>
                <w:rFonts w:eastAsia="MS Mincho"/>
                <w:vertAlign w:val="superscript"/>
              </w:rPr>
              <w:t>4</w:t>
            </w:r>
          </w:p>
        </w:tc>
        <w:tc>
          <w:tcPr>
            <w:tcW w:w="1294" w:type="pct"/>
            <w:vAlign w:val="center"/>
          </w:tcPr>
          <w:p w:rsidR="00E676AB" w:rsidRDefault="00187EAD" w:rsidP="0094021E">
            <w:pPr>
              <w:pStyle w:val="Tablewriting"/>
              <w:jc w:val="center"/>
              <w:rPr>
                <w:rFonts w:eastAsia="MS Mincho"/>
              </w:rPr>
            </w:pPr>
            <w:r>
              <w:rPr>
                <w:rFonts w:eastAsia="MS Mincho"/>
              </w:rPr>
              <w:t xml:space="preserve">Cochrane Review </w:t>
            </w:r>
          </w:p>
          <w:p w:rsidR="00187EAD" w:rsidRDefault="00187EAD" w:rsidP="0094021E">
            <w:pPr>
              <w:pStyle w:val="Tablewriting"/>
              <w:jc w:val="center"/>
              <w:rPr>
                <w:rFonts w:eastAsia="MS Mincho"/>
              </w:rPr>
            </w:pPr>
            <w:r>
              <w:rPr>
                <w:rFonts w:eastAsia="MS Mincho"/>
              </w:rPr>
              <w:t>(2 RCTs)</w:t>
            </w:r>
          </w:p>
        </w:tc>
        <w:tc>
          <w:tcPr>
            <w:tcW w:w="1154" w:type="pct"/>
            <w:tcMar>
              <w:left w:w="28" w:type="dxa"/>
              <w:right w:w="28" w:type="dxa"/>
            </w:tcMar>
            <w:vAlign w:val="center"/>
          </w:tcPr>
          <w:p w:rsidR="00187EAD" w:rsidRDefault="00187EAD" w:rsidP="0094021E">
            <w:pPr>
              <w:pStyle w:val="Tablewriting"/>
              <w:jc w:val="center"/>
              <w:rPr>
                <w:rFonts w:eastAsia="MS Mincho"/>
              </w:rPr>
            </w:pPr>
            <w:r>
              <w:rPr>
                <w:rFonts w:eastAsia="MS Mincho"/>
              </w:rPr>
              <w:t>42</w:t>
            </w:r>
            <w:r w:rsidRPr="00061F78">
              <w:rPr>
                <w:rFonts w:eastAsia="MS Mincho"/>
              </w:rPr>
              <w:t>/</w:t>
            </w:r>
            <w:r>
              <w:rPr>
                <w:rFonts w:eastAsia="MS Mincho"/>
              </w:rPr>
              <w:t>173</w:t>
            </w:r>
            <w:r w:rsidRPr="00061F78">
              <w:rPr>
                <w:rFonts w:eastAsia="MS Mincho"/>
              </w:rPr>
              <w:t xml:space="preserve"> </w:t>
            </w:r>
          </w:p>
          <w:p w:rsidR="00187EAD" w:rsidRDefault="00187EAD" w:rsidP="0094021E">
            <w:pPr>
              <w:pStyle w:val="Tablewriting"/>
              <w:jc w:val="center"/>
              <w:rPr>
                <w:rFonts w:eastAsia="MS Mincho"/>
              </w:rPr>
            </w:pPr>
            <w:r w:rsidRPr="00061F78">
              <w:rPr>
                <w:rFonts w:eastAsia="MS Mincho"/>
              </w:rPr>
              <w:t>(</w:t>
            </w:r>
            <w:r>
              <w:rPr>
                <w:rFonts w:eastAsia="MS Mincho"/>
              </w:rPr>
              <w:t>24.3</w:t>
            </w:r>
            <w:r w:rsidRPr="00061F78">
              <w:rPr>
                <w:rFonts w:eastAsia="MS Mincho"/>
              </w:rPr>
              <w:t>%)</w:t>
            </w:r>
          </w:p>
        </w:tc>
        <w:tc>
          <w:tcPr>
            <w:tcW w:w="948" w:type="pct"/>
            <w:tcMar>
              <w:left w:w="28" w:type="dxa"/>
              <w:right w:w="28" w:type="dxa"/>
            </w:tcMar>
            <w:vAlign w:val="center"/>
          </w:tcPr>
          <w:p w:rsidR="00187EAD" w:rsidRDefault="00187EAD" w:rsidP="0094021E">
            <w:pPr>
              <w:pStyle w:val="Tablewriting"/>
              <w:jc w:val="center"/>
              <w:rPr>
                <w:rFonts w:eastAsia="MS Mincho"/>
              </w:rPr>
            </w:pPr>
            <w:r>
              <w:rPr>
                <w:rFonts w:eastAsia="MS Mincho"/>
              </w:rPr>
              <w:t>139</w:t>
            </w:r>
            <w:r w:rsidRPr="00061F78">
              <w:rPr>
                <w:rFonts w:eastAsia="MS Mincho"/>
              </w:rPr>
              <w:t>/</w:t>
            </w:r>
            <w:r>
              <w:rPr>
                <w:rFonts w:eastAsia="MS Mincho"/>
              </w:rPr>
              <w:t>521</w:t>
            </w:r>
            <w:r w:rsidRPr="00061F78">
              <w:rPr>
                <w:rFonts w:eastAsia="MS Mincho"/>
              </w:rPr>
              <w:t xml:space="preserve"> </w:t>
            </w:r>
          </w:p>
          <w:p w:rsidR="00187EAD" w:rsidRDefault="00187EAD" w:rsidP="0094021E">
            <w:pPr>
              <w:pStyle w:val="Tablewriting"/>
              <w:jc w:val="center"/>
              <w:rPr>
                <w:rFonts w:eastAsia="MS Mincho"/>
              </w:rPr>
            </w:pPr>
            <w:r w:rsidRPr="00061F78">
              <w:rPr>
                <w:rFonts w:eastAsia="MS Mincho"/>
              </w:rPr>
              <w:t>(</w:t>
            </w:r>
            <w:r>
              <w:rPr>
                <w:rFonts w:eastAsia="MS Mincho"/>
              </w:rPr>
              <w:t>26.7</w:t>
            </w:r>
            <w:r w:rsidRPr="00061F78">
              <w:rPr>
                <w:rFonts w:eastAsia="MS Mincho"/>
              </w:rPr>
              <w:t>%)</w:t>
            </w:r>
          </w:p>
        </w:tc>
        <w:tc>
          <w:tcPr>
            <w:tcW w:w="886" w:type="pct"/>
            <w:tcMar>
              <w:left w:w="28" w:type="dxa"/>
              <w:right w:w="28" w:type="dxa"/>
            </w:tcMar>
            <w:vAlign w:val="center"/>
          </w:tcPr>
          <w:p w:rsidR="00187EAD" w:rsidRDefault="00187EAD" w:rsidP="0094021E">
            <w:pPr>
              <w:pStyle w:val="Tablewriting"/>
              <w:jc w:val="center"/>
              <w:rPr>
                <w:rFonts w:eastAsia="MS Mincho"/>
              </w:rPr>
            </w:pPr>
            <w:r>
              <w:rPr>
                <w:rFonts w:eastAsia="MS Mincho"/>
              </w:rPr>
              <w:t>0.91</w:t>
            </w:r>
          </w:p>
          <w:p w:rsidR="00187EAD" w:rsidRPr="00CC1537" w:rsidRDefault="00187EAD" w:rsidP="0094021E">
            <w:pPr>
              <w:pStyle w:val="Tablewriting"/>
              <w:jc w:val="center"/>
              <w:rPr>
                <w:rFonts w:eastAsia="MS Mincho"/>
              </w:rPr>
            </w:pPr>
            <w:r>
              <w:rPr>
                <w:rFonts w:eastAsia="MS Mincho"/>
              </w:rPr>
              <w:t>(0.67, 1.22)</w:t>
            </w:r>
          </w:p>
        </w:tc>
      </w:tr>
      <w:tr w:rsidR="00187EAD" w:rsidRPr="00061F78" w:rsidTr="003954C8">
        <w:trPr>
          <w:cantSplit/>
          <w:trHeight w:val="149"/>
        </w:trPr>
        <w:tc>
          <w:tcPr>
            <w:tcW w:w="5000" w:type="pct"/>
            <w:gridSpan w:val="5"/>
            <w:shd w:val="clear" w:color="auto" w:fill="auto"/>
            <w:tcMar>
              <w:left w:w="28" w:type="dxa"/>
              <w:right w:w="28" w:type="dxa"/>
            </w:tcMar>
          </w:tcPr>
          <w:p w:rsidR="00E90ACA" w:rsidRPr="003954C8" w:rsidRDefault="00E90ACA" w:rsidP="0094021E">
            <w:pPr>
              <w:pStyle w:val="Tablewriting"/>
              <w:rPr>
                <w:rFonts w:eastAsia="MS Mincho"/>
                <w:b/>
                <w:bCs/>
              </w:rPr>
            </w:pPr>
            <w:r w:rsidRPr="003954C8">
              <w:rPr>
                <w:rFonts w:eastAsia="MS Mincho"/>
                <w:b/>
                <w:bCs/>
              </w:rPr>
              <w:t>Bupropion versus choice of NRT</w:t>
            </w:r>
          </w:p>
        </w:tc>
      </w:tr>
      <w:tr w:rsidR="00187EAD" w:rsidRPr="00061F78" w:rsidTr="00923C08">
        <w:trPr>
          <w:cantSplit/>
          <w:trHeight w:val="149"/>
        </w:trPr>
        <w:tc>
          <w:tcPr>
            <w:tcW w:w="718" w:type="pct"/>
            <w:tcMar>
              <w:left w:w="28" w:type="dxa"/>
              <w:right w:w="28" w:type="dxa"/>
            </w:tcMar>
          </w:tcPr>
          <w:p w:rsidR="00187EAD" w:rsidRDefault="00187EAD" w:rsidP="0094021E">
            <w:pPr>
              <w:pStyle w:val="Tablewriting"/>
              <w:rPr>
                <w:rFonts w:eastAsia="MS Mincho"/>
              </w:rPr>
            </w:pPr>
            <w:r>
              <w:rPr>
                <w:rFonts w:eastAsia="MS Mincho"/>
              </w:rPr>
              <w:t>Howes</w:t>
            </w:r>
            <w:r w:rsidRPr="00061F78">
              <w:rPr>
                <w:rFonts w:eastAsia="MS Mincho"/>
              </w:rPr>
              <w:t xml:space="preserve"> </w:t>
            </w:r>
          </w:p>
          <w:p w:rsidR="00187EAD" w:rsidRDefault="00187EAD" w:rsidP="0094021E">
            <w:pPr>
              <w:pStyle w:val="Tablewriting"/>
              <w:rPr>
                <w:rFonts w:eastAsia="MS Mincho"/>
              </w:rPr>
            </w:pPr>
            <w:r w:rsidRPr="00061F78">
              <w:rPr>
                <w:rFonts w:eastAsia="MS Mincho"/>
              </w:rPr>
              <w:t>(20</w:t>
            </w:r>
            <w:r>
              <w:rPr>
                <w:rFonts w:eastAsia="MS Mincho"/>
              </w:rPr>
              <w:t>20</w:t>
            </w:r>
            <w:r w:rsidRPr="00061F78">
              <w:rPr>
                <w:rFonts w:eastAsia="MS Mincho"/>
              </w:rPr>
              <w:t>)</w:t>
            </w:r>
            <w:r>
              <w:rPr>
                <w:rFonts w:eastAsia="MS Mincho"/>
                <w:vertAlign w:val="superscript"/>
              </w:rPr>
              <w:t>4</w:t>
            </w:r>
          </w:p>
        </w:tc>
        <w:tc>
          <w:tcPr>
            <w:tcW w:w="1294" w:type="pct"/>
            <w:vAlign w:val="center"/>
          </w:tcPr>
          <w:p w:rsidR="00E676AB" w:rsidRDefault="00187EAD" w:rsidP="0094021E">
            <w:pPr>
              <w:pStyle w:val="Tablewriting"/>
              <w:jc w:val="center"/>
              <w:rPr>
                <w:rFonts w:eastAsia="MS Mincho"/>
              </w:rPr>
            </w:pPr>
            <w:r>
              <w:rPr>
                <w:rFonts w:eastAsia="MS Mincho"/>
              </w:rPr>
              <w:t xml:space="preserve">Cochrane Review </w:t>
            </w:r>
          </w:p>
          <w:p w:rsidR="00187EAD" w:rsidRDefault="00187EAD" w:rsidP="0094021E">
            <w:pPr>
              <w:pStyle w:val="Tablewriting"/>
              <w:jc w:val="center"/>
              <w:rPr>
                <w:rFonts w:eastAsia="MS Mincho"/>
              </w:rPr>
            </w:pPr>
            <w:r>
              <w:rPr>
                <w:rFonts w:eastAsia="MS Mincho"/>
              </w:rPr>
              <w:t>(2 RCTs)</w:t>
            </w:r>
          </w:p>
        </w:tc>
        <w:tc>
          <w:tcPr>
            <w:tcW w:w="1154" w:type="pct"/>
            <w:tcMar>
              <w:left w:w="28" w:type="dxa"/>
              <w:right w:w="28" w:type="dxa"/>
            </w:tcMar>
            <w:vAlign w:val="center"/>
          </w:tcPr>
          <w:p w:rsidR="00187EAD" w:rsidRDefault="00187EAD" w:rsidP="0094021E">
            <w:pPr>
              <w:pStyle w:val="Tablewriting"/>
              <w:jc w:val="center"/>
              <w:rPr>
                <w:rFonts w:eastAsia="MS Mincho"/>
              </w:rPr>
            </w:pPr>
            <w:r>
              <w:rPr>
                <w:rFonts w:eastAsia="MS Mincho"/>
              </w:rPr>
              <w:t>131</w:t>
            </w:r>
            <w:r w:rsidRPr="00061F78">
              <w:rPr>
                <w:rFonts w:eastAsia="MS Mincho"/>
              </w:rPr>
              <w:t>/</w:t>
            </w:r>
            <w:r>
              <w:rPr>
                <w:rFonts w:eastAsia="MS Mincho"/>
              </w:rPr>
              <w:t>517</w:t>
            </w:r>
            <w:r w:rsidRPr="00061F78">
              <w:rPr>
                <w:rFonts w:eastAsia="MS Mincho"/>
              </w:rPr>
              <w:t xml:space="preserve"> </w:t>
            </w:r>
          </w:p>
          <w:p w:rsidR="00187EAD" w:rsidRDefault="00187EAD" w:rsidP="0094021E">
            <w:pPr>
              <w:pStyle w:val="Tablewriting"/>
              <w:jc w:val="center"/>
              <w:rPr>
                <w:rFonts w:eastAsia="MS Mincho"/>
              </w:rPr>
            </w:pPr>
            <w:r w:rsidRPr="00061F78">
              <w:rPr>
                <w:rFonts w:eastAsia="MS Mincho"/>
              </w:rPr>
              <w:t>(</w:t>
            </w:r>
            <w:r>
              <w:rPr>
                <w:rFonts w:eastAsia="MS Mincho"/>
              </w:rPr>
              <w:t>25.3</w:t>
            </w:r>
            <w:r w:rsidRPr="00061F78">
              <w:rPr>
                <w:rFonts w:eastAsia="MS Mincho"/>
              </w:rPr>
              <w:t>%)</w:t>
            </w:r>
          </w:p>
        </w:tc>
        <w:tc>
          <w:tcPr>
            <w:tcW w:w="948" w:type="pct"/>
            <w:tcMar>
              <w:left w:w="28" w:type="dxa"/>
              <w:right w:w="28" w:type="dxa"/>
            </w:tcMar>
            <w:vAlign w:val="center"/>
          </w:tcPr>
          <w:p w:rsidR="00187EAD" w:rsidRDefault="00187EAD" w:rsidP="0094021E">
            <w:pPr>
              <w:pStyle w:val="Tablewriting"/>
              <w:jc w:val="center"/>
              <w:rPr>
                <w:rFonts w:eastAsia="MS Mincho"/>
              </w:rPr>
            </w:pPr>
            <w:r>
              <w:rPr>
                <w:rFonts w:eastAsia="MS Mincho"/>
              </w:rPr>
              <w:t>123</w:t>
            </w:r>
            <w:r w:rsidRPr="00061F78">
              <w:rPr>
                <w:rFonts w:eastAsia="MS Mincho"/>
              </w:rPr>
              <w:t>/</w:t>
            </w:r>
            <w:r>
              <w:rPr>
                <w:rFonts w:eastAsia="MS Mincho"/>
              </w:rPr>
              <w:t>521</w:t>
            </w:r>
            <w:r w:rsidRPr="00061F78">
              <w:rPr>
                <w:rFonts w:eastAsia="MS Mincho"/>
              </w:rPr>
              <w:t xml:space="preserve"> </w:t>
            </w:r>
          </w:p>
          <w:p w:rsidR="00187EAD" w:rsidRDefault="00187EAD" w:rsidP="0094021E">
            <w:pPr>
              <w:pStyle w:val="Tablewriting"/>
              <w:jc w:val="center"/>
              <w:rPr>
                <w:rFonts w:eastAsia="MS Mincho"/>
              </w:rPr>
            </w:pPr>
            <w:r w:rsidRPr="00061F78">
              <w:rPr>
                <w:rFonts w:eastAsia="MS Mincho"/>
              </w:rPr>
              <w:t>(</w:t>
            </w:r>
            <w:r>
              <w:rPr>
                <w:rFonts w:eastAsia="MS Mincho"/>
              </w:rPr>
              <w:t>23.6</w:t>
            </w:r>
            <w:r w:rsidRPr="00061F78">
              <w:rPr>
                <w:rFonts w:eastAsia="MS Mincho"/>
              </w:rPr>
              <w:t>%)</w:t>
            </w:r>
          </w:p>
        </w:tc>
        <w:tc>
          <w:tcPr>
            <w:tcW w:w="886" w:type="pct"/>
            <w:tcMar>
              <w:left w:w="28" w:type="dxa"/>
              <w:right w:w="28" w:type="dxa"/>
            </w:tcMar>
            <w:vAlign w:val="center"/>
          </w:tcPr>
          <w:p w:rsidR="00187EAD" w:rsidRDefault="00187EAD" w:rsidP="0094021E">
            <w:pPr>
              <w:pStyle w:val="Tablewriting"/>
              <w:jc w:val="center"/>
              <w:rPr>
                <w:rFonts w:eastAsia="MS Mincho"/>
              </w:rPr>
            </w:pPr>
            <w:r>
              <w:rPr>
                <w:rFonts w:eastAsia="MS Mincho"/>
              </w:rPr>
              <w:t>1.08</w:t>
            </w:r>
          </w:p>
          <w:p w:rsidR="00187EAD" w:rsidRDefault="00187EAD" w:rsidP="0094021E">
            <w:pPr>
              <w:pStyle w:val="Tablewriting"/>
              <w:jc w:val="center"/>
              <w:rPr>
                <w:rFonts w:eastAsia="MS Mincho"/>
              </w:rPr>
            </w:pPr>
            <w:r>
              <w:rPr>
                <w:rFonts w:eastAsia="MS Mincho"/>
              </w:rPr>
              <w:t>(0.87, 1.33)</w:t>
            </w:r>
          </w:p>
        </w:tc>
      </w:tr>
    </w:tbl>
    <w:p w:rsidR="00B576FE" w:rsidRDefault="00B576FE" w:rsidP="0094021E">
      <w:pPr>
        <w:pStyle w:val="TableFooter"/>
      </w:pPr>
      <w:r>
        <w:t>Source: Howes et al. (2020)</w:t>
      </w:r>
    </w:p>
    <w:p w:rsidR="00B576FE" w:rsidRDefault="00B576FE" w:rsidP="0094021E">
      <w:pPr>
        <w:pStyle w:val="TableFooter"/>
        <w:rPr>
          <w:i/>
        </w:rPr>
      </w:pPr>
      <w:r>
        <w:t xml:space="preserve">Abbreviations: CI = confidence interval; </w:t>
      </w:r>
      <w:r w:rsidR="00E004A1">
        <w:t xml:space="preserve">NRT = nicotine replacement therapy; </w:t>
      </w:r>
      <w:r>
        <w:t>RCT = randomised controlled trial; RR = risk ratio</w:t>
      </w:r>
      <w:r w:rsidRPr="00061F78">
        <w:t xml:space="preserve"> </w:t>
      </w:r>
    </w:p>
    <w:p w:rsidR="00B576FE" w:rsidRDefault="00B576FE" w:rsidP="0094021E">
      <w:pPr>
        <w:pStyle w:val="TableFooter"/>
      </w:pPr>
      <w:r w:rsidRPr="00061F78">
        <w:rPr>
          <w:highlight w:val="lightGray"/>
        </w:rPr>
        <w:t>Shaded</w:t>
      </w:r>
      <w:r w:rsidRPr="00061F78">
        <w:t xml:space="preserve"> = previously considered by the PBAC</w:t>
      </w:r>
    </w:p>
    <w:p w:rsidR="00B576FE" w:rsidRDefault="00B576FE" w:rsidP="0094021E">
      <w:pPr>
        <w:pStyle w:val="TableFooter"/>
      </w:pPr>
      <w:r w:rsidRPr="00D468CF">
        <w:t>Note</w:t>
      </w:r>
      <w:r>
        <w:t>s</w:t>
      </w:r>
      <w:r w:rsidRPr="00D468CF">
        <w:t>: Bold indicates statistically significant difference.</w:t>
      </w:r>
      <w:r>
        <w:br/>
        <w:t>1 Continuous abstinence rate at 12 months</w:t>
      </w:r>
      <w:r w:rsidR="00F6274F">
        <w:t>.</w:t>
      </w:r>
    </w:p>
    <w:p w:rsidR="00CA4917" w:rsidRDefault="00CA4917" w:rsidP="0094021E">
      <w:pPr>
        <w:pStyle w:val="TableFooter"/>
      </w:pPr>
      <w:r>
        <w:t>2 Continuous abstinence rate at 6 months</w:t>
      </w:r>
      <w:r w:rsidR="00F6274F">
        <w:t>.</w:t>
      </w:r>
    </w:p>
    <w:p w:rsidR="004914BD" w:rsidRDefault="004914BD" w:rsidP="0094021E">
      <w:pPr>
        <w:pStyle w:val="TableFooter"/>
      </w:pPr>
      <w:r>
        <w:lastRenderedPageBreak/>
        <w:t xml:space="preserve">3 </w:t>
      </w:r>
      <w:r w:rsidR="008B30A5">
        <w:t>7-day point prevalent abstinence at 6 months</w:t>
      </w:r>
      <w:r w:rsidR="00F6274F">
        <w:t>.</w:t>
      </w:r>
    </w:p>
    <w:p w:rsidR="00B576FE" w:rsidRDefault="00E34A94" w:rsidP="0094021E">
      <w:pPr>
        <w:pStyle w:val="TableFooter"/>
      </w:pPr>
      <w:r>
        <w:t>4</w:t>
      </w:r>
      <w:r w:rsidR="00B576FE">
        <w:t xml:space="preserve"> Where cessation was assessed at multiple intervals, the longest follow-up data were used. Where multiple definitions of abstinence were assessed, the strictest of these definitions was used (e.g. continuous/prolonged abstinence over point prevalence abstinence). See </w:t>
      </w:r>
      <w:r w:rsidR="00B576FE" w:rsidRPr="00D90B8F">
        <w:t xml:space="preserve">Appendix </w:t>
      </w:r>
      <w:r w:rsidR="003C4A1C">
        <w:t xml:space="preserve">Table </w:t>
      </w:r>
      <w:r w:rsidR="003C4A1C">
        <w:rPr>
          <w:noProof/>
        </w:rPr>
        <w:t>145</w:t>
      </w:r>
      <w:r w:rsidR="00B576FE">
        <w:t xml:space="preserve"> for the definition used in each study.</w:t>
      </w:r>
      <w:r w:rsidR="00DD303F">
        <w:t xml:space="preserve"> </w:t>
      </w:r>
      <w:r w:rsidR="0030225A" w:rsidRPr="0030225A">
        <w:t>Studies</w:t>
      </w:r>
      <w:r w:rsidR="002C2A52">
        <w:t xml:space="preserve"> of bupropion versus NRT </w:t>
      </w:r>
      <w:r w:rsidR="00573F59">
        <w:t>patches</w:t>
      </w:r>
      <w:r w:rsidR="0030225A" w:rsidRPr="0030225A">
        <w:t xml:space="preserve"> previously considered by the PBAC were included in the meta-analysis</w:t>
      </w:r>
      <w:r w:rsidR="0030225A">
        <w:t xml:space="preserve"> of Howes et al. (2020).</w:t>
      </w:r>
    </w:p>
    <w:p w:rsidR="00B576FE" w:rsidRDefault="00E34A94" w:rsidP="0094021E">
      <w:pPr>
        <w:pStyle w:val="TableFooter"/>
      </w:pPr>
      <w:r w:rsidRPr="00D90B8F">
        <w:t>5</w:t>
      </w:r>
      <w:r w:rsidR="00B576FE" w:rsidRPr="00D90B8F">
        <w:t xml:space="preserve"> Calculated </w:t>
      </w:r>
      <w:r w:rsidR="002C5D1C" w:rsidRPr="00D90B8F">
        <w:t xml:space="preserve">by Cochrane Review authors </w:t>
      </w:r>
      <w:r w:rsidR="00B576FE" w:rsidRPr="00D90B8F">
        <w:t>using a fixed-effect model</w:t>
      </w:r>
      <w:r w:rsidR="00F6274F">
        <w:t>.</w:t>
      </w:r>
    </w:p>
    <w:p w:rsidR="006F285E" w:rsidRDefault="00E676AB" w:rsidP="0094021E">
      <w:pPr>
        <w:pStyle w:val="TableFooter"/>
      </w:pPr>
      <w:r>
        <w:t>a</w:t>
      </w:r>
      <w:r w:rsidR="006F285E">
        <w:t xml:space="preserve"> </w:t>
      </w:r>
      <w:r w:rsidR="00D761F4">
        <w:t xml:space="preserve">Number of patients in bupropion arm divided </w:t>
      </w:r>
      <w:r w:rsidR="001275C6">
        <w:t>between three subgroups in Howes et al. (2020)</w:t>
      </w:r>
      <w:r w:rsidR="00F6274F">
        <w:t>.</w:t>
      </w:r>
    </w:p>
    <w:p w:rsidR="00E004A1" w:rsidRDefault="00E004A1" w:rsidP="00E004A1">
      <w:r>
        <w:t xml:space="preserve">The results of the individual studies included in Howes et al. (2020) are presented using a forest plot in </w:t>
      </w:r>
      <w:r w:rsidR="003C4A1C">
        <w:t xml:space="preserve">Figure </w:t>
      </w:r>
      <w:r w:rsidR="003C4A1C">
        <w:rPr>
          <w:noProof/>
        </w:rPr>
        <w:t>2</w:t>
      </w:r>
      <w:r>
        <w:t xml:space="preserve">. The </w:t>
      </w:r>
      <w:r w:rsidR="00980873">
        <w:t>results comparing bupropion with combination NRT (i.e. patch + lozenge) are discussed in the combination therapy section.</w:t>
      </w:r>
    </w:p>
    <w:p w:rsidR="00372B6F" w:rsidRDefault="00F30861" w:rsidP="00372B6F">
      <w:pPr>
        <w:keepNext/>
      </w:pPr>
      <w:r>
        <w:rPr>
          <w:noProof/>
        </w:rPr>
        <w:drawing>
          <wp:inline distT="0" distB="0" distL="0" distR="0" wp14:anchorId="268F62D9" wp14:editId="6DDA7E59">
            <wp:extent cx="5731510" cy="465328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5731510" cy="4653281"/>
                    </a:xfrm>
                    <a:prstGeom prst="rect">
                      <a:avLst/>
                    </a:prstGeom>
                  </pic:spPr>
                </pic:pic>
              </a:graphicData>
            </a:graphic>
          </wp:inline>
        </w:drawing>
      </w:r>
    </w:p>
    <w:p w:rsidR="00F30861" w:rsidRDefault="00372B6F" w:rsidP="00372B6F">
      <w:pPr>
        <w:pStyle w:val="FigureCaption"/>
      </w:pPr>
      <w:bookmarkStart w:id="73" w:name="_Ref53147382"/>
      <w:r>
        <w:t xml:space="preserve">Figure </w:t>
      </w:r>
      <w:r w:rsidR="003C4A1C">
        <w:t>2</w:t>
      </w:r>
      <w:bookmarkEnd w:id="73"/>
      <w:r>
        <w:t xml:space="preserve">: </w:t>
      </w:r>
      <w:r w:rsidRPr="004F235C">
        <w:t>Results of smoking cessation f</w:t>
      </w:r>
      <w:r w:rsidR="00FD165D">
        <w:t>or</w:t>
      </w:r>
      <w:r w:rsidRPr="004F235C">
        <w:t xml:space="preserve"> at least six months follow-up in Howes et al. (2020), bupropion versus </w:t>
      </w:r>
      <w:r w:rsidR="003D61AB">
        <w:t>NRT</w:t>
      </w:r>
    </w:p>
    <w:p w:rsidR="00372B6F" w:rsidRDefault="00372B6F" w:rsidP="00372B6F">
      <w:pPr>
        <w:pStyle w:val="FigureFooter"/>
      </w:pPr>
      <w:r>
        <w:t>Source: Howes et al. (2020)</w:t>
      </w:r>
    </w:p>
    <w:p w:rsidR="005A5B43" w:rsidRDefault="00372B6F" w:rsidP="00372B6F">
      <w:pPr>
        <w:pStyle w:val="FigureFooter"/>
      </w:pPr>
      <w:r>
        <w:t>Abbreviations: CI = confidence interval</w:t>
      </w:r>
    </w:p>
    <w:p w:rsidR="00980873" w:rsidRDefault="00706B58" w:rsidP="00372B6F">
      <w:pPr>
        <w:pStyle w:val="FigureFooter"/>
      </w:pPr>
      <w:r>
        <w:t xml:space="preserve">Note: </w:t>
      </w:r>
      <w:r w:rsidR="003A49E6">
        <w:t xml:space="preserve">The meta-analysis </w:t>
      </w:r>
      <w:r w:rsidR="000E0C9C">
        <w:t xml:space="preserve">conducted by Howes et al. (2020) </w:t>
      </w:r>
      <w:r w:rsidR="000F5709">
        <w:t>poole</w:t>
      </w:r>
      <w:r w:rsidR="000E0C9C">
        <w:t xml:space="preserve">d </w:t>
      </w:r>
      <w:r w:rsidR="000F5709">
        <w:t xml:space="preserve">the </w:t>
      </w:r>
      <w:r w:rsidR="00BA1707">
        <w:t>studies</w:t>
      </w:r>
      <w:r w:rsidR="00664BE3">
        <w:t xml:space="preserve"> for </w:t>
      </w:r>
      <w:r w:rsidR="000E0C9C">
        <w:t>monotherapy and combination</w:t>
      </w:r>
      <w:r w:rsidR="00A769C2">
        <w:t xml:space="preserve"> NRT</w:t>
      </w:r>
      <w:r w:rsidR="000E0C9C">
        <w:t xml:space="preserve"> therap</w:t>
      </w:r>
      <w:r w:rsidR="00A769C2">
        <w:t>ies.</w:t>
      </w:r>
      <w:r w:rsidR="00980873">
        <w:t xml:space="preserve"> </w:t>
      </w:r>
      <w:r w:rsidR="00285C43">
        <w:t>Th</w:t>
      </w:r>
      <w:r w:rsidR="00F25628">
        <w:t xml:space="preserve">e results </w:t>
      </w:r>
      <w:r w:rsidR="00CE1DF3">
        <w:t xml:space="preserve">for monotherapy and combination therapies are </w:t>
      </w:r>
      <w:r w:rsidR="00285C43">
        <w:t xml:space="preserve">presented </w:t>
      </w:r>
      <w:r w:rsidR="00CE1DF3">
        <w:t xml:space="preserve">separately </w:t>
      </w:r>
      <w:r w:rsidR="00285C43">
        <w:t>in this report</w:t>
      </w:r>
      <w:r w:rsidR="00CE1DF3">
        <w:t>.</w:t>
      </w:r>
      <w:r w:rsidR="00827C9E">
        <w:t xml:space="preserve"> </w:t>
      </w:r>
    </w:p>
    <w:p w:rsidR="00980873" w:rsidRPr="0073597F" w:rsidRDefault="00980873" w:rsidP="00372B6F">
      <w:pPr>
        <w:rPr>
          <w:u w:val="single"/>
        </w:rPr>
      </w:pPr>
      <w:r w:rsidRPr="0073597F">
        <w:rPr>
          <w:u w:val="single"/>
        </w:rPr>
        <w:t>Safety</w:t>
      </w:r>
    </w:p>
    <w:p w:rsidR="00980873" w:rsidRDefault="002D216A" w:rsidP="00372B6F">
      <w:r>
        <w:t xml:space="preserve">A summary of </w:t>
      </w:r>
      <w:r w:rsidR="00A038AD">
        <w:t>key</w:t>
      </w:r>
      <w:r>
        <w:t xml:space="preserve"> adverse events </w:t>
      </w:r>
      <w:r w:rsidR="001E02D1">
        <w:t>comparing bupropion with NRT</w:t>
      </w:r>
      <w:r>
        <w:t xml:space="preserve"> is presented in </w:t>
      </w:r>
      <w:r w:rsidR="003C4A1C">
        <w:t xml:space="preserve">Table </w:t>
      </w:r>
      <w:r w:rsidR="003C4A1C">
        <w:rPr>
          <w:noProof/>
        </w:rPr>
        <w:t>12</w:t>
      </w:r>
      <w:r>
        <w:t xml:space="preserve">. Based on the meta-analysis conducted by Howes et al. (2020), </w:t>
      </w:r>
      <w:r w:rsidR="000735DB">
        <w:t>t</w:t>
      </w:r>
      <w:r>
        <w:t xml:space="preserve">here were no statistically </w:t>
      </w:r>
      <w:r>
        <w:lastRenderedPageBreak/>
        <w:t xml:space="preserve">significant differences in terms of </w:t>
      </w:r>
      <w:r w:rsidR="000735DB">
        <w:t xml:space="preserve">any adverse events, </w:t>
      </w:r>
      <w:r>
        <w:t xml:space="preserve">serious adverse events </w:t>
      </w:r>
      <w:r w:rsidR="000735DB">
        <w:t>or discontinuation due to adverse events between bupropion and NRT</w:t>
      </w:r>
      <w:r>
        <w:t xml:space="preserve">, although the proportion of patients experiencing </w:t>
      </w:r>
      <w:r w:rsidR="000735DB">
        <w:t>these</w:t>
      </w:r>
      <w:r>
        <w:t xml:space="preserve"> events w</w:t>
      </w:r>
      <w:r w:rsidR="00394FCB">
        <w:t>ere</w:t>
      </w:r>
      <w:r>
        <w:t xml:space="preserve"> numerically higher in the bupropion arm</w:t>
      </w:r>
      <w:r w:rsidR="000735DB">
        <w:t>.</w:t>
      </w:r>
      <w:r>
        <w:t xml:space="preserve"> </w:t>
      </w:r>
      <w:r w:rsidR="000735DB">
        <w:t>It was observed that the</w:t>
      </w:r>
      <w:r w:rsidR="006307B9">
        <w:t xml:space="preserve"> discontinuation rate due to adverse events was significantly higher in the bupropion arm compared with the NRT arm </w:t>
      </w:r>
      <w:r w:rsidR="00DB6037">
        <w:t>based on</w:t>
      </w:r>
      <w:r w:rsidR="006307B9">
        <w:t xml:space="preserve"> Jorenby et al. (1999).</w:t>
      </w:r>
      <w:r>
        <w:t xml:space="preserve"> </w:t>
      </w:r>
      <w:r w:rsidR="00394FCB" w:rsidRPr="00394FCB">
        <w:t>The meta-analysed result for psychiatric adverse events was not reported in Howes et al. (2020) due to the high level of heterogeneity across studies (I</w:t>
      </w:r>
      <w:r w:rsidR="00394FCB" w:rsidRPr="00720B20">
        <w:rPr>
          <w:vertAlign w:val="superscript"/>
        </w:rPr>
        <w:t>2</w:t>
      </w:r>
      <w:r w:rsidR="00394FCB" w:rsidRPr="00394FCB">
        <w:t>=92%).</w:t>
      </w:r>
    </w:p>
    <w:p w:rsidR="00CE23F0" w:rsidRDefault="00CE23F0" w:rsidP="00CE23F0">
      <w:pPr>
        <w:pStyle w:val="Caption"/>
        <w:keepNext/>
      </w:pPr>
      <w:bookmarkStart w:id="74" w:name="_Ref53149797"/>
      <w:r>
        <w:t xml:space="preserve">Table </w:t>
      </w:r>
      <w:r w:rsidR="003C4A1C">
        <w:rPr>
          <w:noProof/>
        </w:rPr>
        <w:t>12</w:t>
      </w:r>
      <w:bookmarkEnd w:id="74"/>
      <w:r>
        <w:t xml:space="preserve">: </w:t>
      </w:r>
      <w:r w:rsidRPr="00220903">
        <w:t xml:space="preserve">Summary of </w:t>
      </w:r>
      <w:r w:rsidR="00A038AD">
        <w:t>key</w:t>
      </w:r>
      <w:r w:rsidRPr="00220903">
        <w:t xml:space="preserve"> adverse events, bupropion versus </w:t>
      </w:r>
      <w:r>
        <w:t>NRT</w:t>
      </w:r>
    </w:p>
    <w:tbl>
      <w:tblPr>
        <w:tblStyle w:val="TableGrid"/>
        <w:tblW w:w="5000" w:type="pct"/>
        <w:tblLook w:val="04A0" w:firstRow="1" w:lastRow="0" w:firstColumn="1" w:lastColumn="0" w:noHBand="0" w:noVBand="1"/>
        <w:tblCaption w:val="Efficacy results of adalimumab trials (PASI 75 and DLQI)"/>
      </w:tblPr>
      <w:tblGrid>
        <w:gridCol w:w="993"/>
        <w:gridCol w:w="1706"/>
        <w:gridCol w:w="1971"/>
        <w:gridCol w:w="1616"/>
        <w:gridCol w:w="1194"/>
        <w:gridCol w:w="1536"/>
      </w:tblGrid>
      <w:tr w:rsidR="00DE4D31" w:rsidRPr="00061F78" w:rsidTr="003954C8">
        <w:trPr>
          <w:cantSplit/>
          <w:trHeight w:val="299"/>
          <w:tblHeader/>
        </w:trPr>
        <w:tc>
          <w:tcPr>
            <w:tcW w:w="551" w:type="pct"/>
            <w:shd w:val="clear" w:color="auto" w:fill="BFBFBF" w:themeFill="background1" w:themeFillShade="BF"/>
            <w:tcMar>
              <w:left w:w="28" w:type="dxa"/>
              <w:right w:w="28" w:type="dxa"/>
            </w:tcMar>
            <w:vAlign w:val="center"/>
          </w:tcPr>
          <w:p w:rsidR="00980873" w:rsidRPr="00061F78" w:rsidRDefault="00126B7B" w:rsidP="00AD6A60">
            <w:pPr>
              <w:pStyle w:val="Tableheading"/>
              <w:keepNext/>
              <w:rPr>
                <w:rFonts w:eastAsia="MS Mincho"/>
              </w:rPr>
            </w:pPr>
            <w:r>
              <w:rPr>
                <w:rFonts w:eastAsia="MS Mincho"/>
              </w:rPr>
              <w:t>Study</w:t>
            </w:r>
          </w:p>
        </w:tc>
        <w:tc>
          <w:tcPr>
            <w:tcW w:w="946" w:type="pct"/>
            <w:shd w:val="clear" w:color="auto" w:fill="BFBFBF" w:themeFill="background1" w:themeFillShade="BF"/>
            <w:vAlign w:val="center"/>
          </w:tcPr>
          <w:p w:rsidR="00980873" w:rsidRDefault="00980873" w:rsidP="00AD6A60">
            <w:pPr>
              <w:pStyle w:val="Tableheading"/>
              <w:keepNext/>
              <w:jc w:val="center"/>
              <w:rPr>
                <w:rFonts w:eastAsia="MS Mincho"/>
              </w:rPr>
            </w:pPr>
            <w:r>
              <w:rPr>
                <w:rFonts w:eastAsia="MS Mincho"/>
              </w:rPr>
              <w:t>Study type</w:t>
            </w:r>
          </w:p>
        </w:tc>
        <w:tc>
          <w:tcPr>
            <w:tcW w:w="1093" w:type="pct"/>
            <w:shd w:val="clear" w:color="auto" w:fill="BFBFBF" w:themeFill="background1" w:themeFillShade="BF"/>
            <w:tcMar>
              <w:left w:w="28" w:type="dxa"/>
              <w:right w:w="28" w:type="dxa"/>
            </w:tcMar>
            <w:vAlign w:val="center"/>
          </w:tcPr>
          <w:p w:rsidR="00980873" w:rsidRPr="002D7608" w:rsidRDefault="00E268C1" w:rsidP="00AD6A60">
            <w:pPr>
              <w:pStyle w:val="Tableheading"/>
              <w:keepNext/>
              <w:jc w:val="center"/>
              <w:rPr>
                <w:rFonts w:eastAsia="MS Mincho"/>
                <w:vertAlign w:val="superscript"/>
              </w:rPr>
            </w:pPr>
            <w:r>
              <w:rPr>
                <w:rFonts w:eastAsia="MS Mincho"/>
              </w:rPr>
              <w:t>Previously considered studies included</w:t>
            </w:r>
            <w:r w:rsidR="002D7608">
              <w:rPr>
                <w:rFonts w:eastAsia="MS Mincho"/>
                <w:vertAlign w:val="superscript"/>
              </w:rPr>
              <w:t>1</w:t>
            </w:r>
          </w:p>
        </w:tc>
        <w:tc>
          <w:tcPr>
            <w:tcW w:w="896" w:type="pct"/>
            <w:shd w:val="clear" w:color="auto" w:fill="BFBFBF" w:themeFill="background1" w:themeFillShade="BF"/>
            <w:tcMar>
              <w:left w:w="28" w:type="dxa"/>
              <w:right w:w="28" w:type="dxa"/>
            </w:tcMar>
            <w:vAlign w:val="center"/>
          </w:tcPr>
          <w:p w:rsidR="00980873" w:rsidRPr="00061F78" w:rsidRDefault="00E268C1" w:rsidP="00AD6A60">
            <w:pPr>
              <w:pStyle w:val="Tableheading"/>
              <w:keepNext/>
              <w:jc w:val="center"/>
              <w:rPr>
                <w:rFonts w:eastAsia="MS Mincho"/>
              </w:rPr>
            </w:pPr>
            <w:r>
              <w:rPr>
                <w:rFonts w:eastAsia="MS Mincho"/>
              </w:rPr>
              <w:t>Bupropion</w:t>
            </w:r>
          </w:p>
        </w:tc>
        <w:tc>
          <w:tcPr>
            <w:tcW w:w="662" w:type="pct"/>
            <w:shd w:val="clear" w:color="auto" w:fill="BFBFBF" w:themeFill="background1" w:themeFillShade="BF"/>
            <w:tcMar>
              <w:left w:w="28" w:type="dxa"/>
              <w:right w:w="28" w:type="dxa"/>
            </w:tcMar>
            <w:vAlign w:val="center"/>
          </w:tcPr>
          <w:p w:rsidR="00980873" w:rsidRPr="00061F78" w:rsidRDefault="00E268C1" w:rsidP="00AD6A60">
            <w:pPr>
              <w:pStyle w:val="Tableheading"/>
              <w:keepNext/>
              <w:jc w:val="center"/>
              <w:rPr>
                <w:rFonts w:eastAsia="MS Mincho"/>
              </w:rPr>
            </w:pPr>
            <w:r>
              <w:rPr>
                <w:rFonts w:eastAsia="MS Mincho"/>
              </w:rPr>
              <w:t>NRT</w:t>
            </w:r>
          </w:p>
        </w:tc>
        <w:tc>
          <w:tcPr>
            <w:tcW w:w="851" w:type="pct"/>
            <w:shd w:val="clear" w:color="auto" w:fill="BFBFBF" w:themeFill="background1" w:themeFillShade="BF"/>
            <w:tcMar>
              <w:left w:w="28" w:type="dxa"/>
              <w:right w:w="28" w:type="dxa"/>
            </w:tcMar>
            <w:vAlign w:val="center"/>
          </w:tcPr>
          <w:p w:rsidR="00980873" w:rsidRPr="00D468CF" w:rsidRDefault="00980873" w:rsidP="00AD6A60">
            <w:pPr>
              <w:pStyle w:val="Tableheading"/>
              <w:keepNext/>
              <w:jc w:val="center"/>
              <w:rPr>
                <w:rFonts w:eastAsia="MS Mincho"/>
                <w:vertAlign w:val="superscript"/>
              </w:rPr>
            </w:pPr>
            <w:r>
              <w:rPr>
                <w:rFonts w:eastAsia="MS Mincho"/>
              </w:rPr>
              <w:t>RR (95% CI)</w:t>
            </w:r>
            <w:r w:rsidR="002D7608">
              <w:rPr>
                <w:rFonts w:eastAsia="MS Mincho"/>
                <w:vertAlign w:val="superscript"/>
              </w:rPr>
              <w:t>2</w:t>
            </w:r>
          </w:p>
        </w:tc>
      </w:tr>
      <w:tr w:rsidR="00980873" w:rsidRPr="003954C8" w:rsidTr="003954C8">
        <w:trPr>
          <w:cantSplit/>
          <w:trHeight w:val="99"/>
        </w:trPr>
        <w:tc>
          <w:tcPr>
            <w:tcW w:w="5000" w:type="pct"/>
            <w:gridSpan w:val="6"/>
            <w:shd w:val="clear" w:color="auto" w:fill="auto"/>
            <w:tcMar>
              <w:left w:w="28" w:type="dxa"/>
              <w:right w:w="28" w:type="dxa"/>
            </w:tcMar>
            <w:vAlign w:val="center"/>
          </w:tcPr>
          <w:p w:rsidR="008C5D20" w:rsidRPr="003954C8" w:rsidRDefault="008C5D20" w:rsidP="00AD6A60">
            <w:pPr>
              <w:pStyle w:val="Tablewriting"/>
              <w:keepNext/>
              <w:rPr>
                <w:rFonts w:eastAsia="MS Mincho"/>
                <w:b/>
                <w:bCs/>
              </w:rPr>
            </w:pPr>
            <w:r w:rsidRPr="003954C8">
              <w:rPr>
                <w:rFonts w:eastAsia="MS Mincho"/>
                <w:b/>
                <w:bCs/>
              </w:rPr>
              <w:t>Adverse events</w:t>
            </w:r>
          </w:p>
        </w:tc>
      </w:tr>
      <w:tr w:rsidR="00980873" w:rsidRPr="00061F78" w:rsidTr="003954C8">
        <w:trPr>
          <w:cantSplit/>
          <w:trHeight w:val="149"/>
        </w:trPr>
        <w:tc>
          <w:tcPr>
            <w:tcW w:w="551" w:type="pct"/>
            <w:tcMar>
              <w:left w:w="28" w:type="dxa"/>
              <w:right w:w="28" w:type="dxa"/>
            </w:tcMar>
          </w:tcPr>
          <w:p w:rsidR="00980873" w:rsidRDefault="00980873" w:rsidP="00AD6A60">
            <w:pPr>
              <w:pStyle w:val="Tablewriting"/>
              <w:keepNext/>
              <w:rPr>
                <w:rFonts w:eastAsia="MS Mincho"/>
              </w:rPr>
            </w:pPr>
            <w:r>
              <w:rPr>
                <w:rFonts w:eastAsia="MS Mincho"/>
              </w:rPr>
              <w:t>Howes</w:t>
            </w:r>
            <w:r w:rsidRPr="00061F78">
              <w:rPr>
                <w:rFonts w:eastAsia="MS Mincho"/>
              </w:rPr>
              <w:t xml:space="preserve"> </w:t>
            </w:r>
          </w:p>
          <w:p w:rsidR="00980873" w:rsidRPr="00D468CF" w:rsidRDefault="00980873" w:rsidP="00AD6A60">
            <w:pPr>
              <w:pStyle w:val="Tablewriting"/>
              <w:keepNext/>
              <w:rPr>
                <w:rFonts w:eastAsia="MS Mincho"/>
                <w:vertAlign w:val="superscript"/>
              </w:rPr>
            </w:pPr>
            <w:r w:rsidRPr="00061F78">
              <w:rPr>
                <w:rFonts w:eastAsia="MS Mincho"/>
              </w:rPr>
              <w:t>(20</w:t>
            </w:r>
            <w:r>
              <w:rPr>
                <w:rFonts w:eastAsia="MS Mincho"/>
              </w:rPr>
              <w:t>20</w:t>
            </w:r>
            <w:r w:rsidRPr="00061F78">
              <w:rPr>
                <w:rFonts w:eastAsia="MS Mincho"/>
              </w:rPr>
              <w:t>)</w:t>
            </w:r>
          </w:p>
        </w:tc>
        <w:tc>
          <w:tcPr>
            <w:tcW w:w="946" w:type="pct"/>
            <w:vAlign w:val="center"/>
          </w:tcPr>
          <w:p w:rsidR="00980873" w:rsidRDefault="00980873" w:rsidP="00AD6A60">
            <w:pPr>
              <w:pStyle w:val="Tablewriting"/>
              <w:keepNext/>
              <w:jc w:val="center"/>
              <w:rPr>
                <w:rFonts w:eastAsia="MS Mincho"/>
              </w:rPr>
            </w:pPr>
            <w:r>
              <w:rPr>
                <w:rFonts w:eastAsia="MS Mincho"/>
              </w:rPr>
              <w:t>Cochrane Review (</w:t>
            </w:r>
            <w:r w:rsidR="00CE23F0">
              <w:rPr>
                <w:rFonts w:eastAsia="MS Mincho"/>
              </w:rPr>
              <w:t>2</w:t>
            </w:r>
            <w:r>
              <w:rPr>
                <w:rFonts w:eastAsia="MS Mincho"/>
              </w:rPr>
              <w:t xml:space="preserve"> RCTs)</w:t>
            </w:r>
          </w:p>
        </w:tc>
        <w:tc>
          <w:tcPr>
            <w:tcW w:w="1093" w:type="pct"/>
            <w:tcMar>
              <w:left w:w="28" w:type="dxa"/>
              <w:right w:w="28" w:type="dxa"/>
            </w:tcMar>
            <w:vAlign w:val="center"/>
          </w:tcPr>
          <w:p w:rsidR="00980873" w:rsidRPr="00061F78" w:rsidRDefault="00E268C1" w:rsidP="00AD6A60">
            <w:pPr>
              <w:pStyle w:val="Tablewriting"/>
              <w:keepNext/>
              <w:jc w:val="center"/>
              <w:rPr>
                <w:rFonts w:eastAsia="MS Mincho"/>
              </w:rPr>
            </w:pPr>
            <w:r>
              <w:rPr>
                <w:rFonts w:eastAsia="MS Mincho"/>
              </w:rPr>
              <w:t>No</w:t>
            </w:r>
          </w:p>
        </w:tc>
        <w:tc>
          <w:tcPr>
            <w:tcW w:w="896" w:type="pct"/>
            <w:tcMar>
              <w:left w:w="28" w:type="dxa"/>
              <w:right w:w="28" w:type="dxa"/>
            </w:tcMar>
            <w:vAlign w:val="center"/>
          </w:tcPr>
          <w:p w:rsidR="00E268C1" w:rsidRDefault="00E268C1" w:rsidP="00E268C1">
            <w:pPr>
              <w:pStyle w:val="Tablewriting"/>
              <w:keepNext/>
              <w:jc w:val="center"/>
              <w:rPr>
                <w:rFonts w:eastAsia="MS Mincho"/>
              </w:rPr>
            </w:pPr>
            <w:r>
              <w:rPr>
                <w:rFonts w:eastAsia="MS Mincho"/>
              </w:rPr>
              <w:t>1</w:t>
            </w:r>
            <w:r w:rsidR="00B828EC">
              <w:rPr>
                <w:rFonts w:eastAsia="MS Mincho"/>
              </w:rPr>
              <w:t>,</w:t>
            </w:r>
            <w:r>
              <w:rPr>
                <w:rFonts w:eastAsia="MS Mincho"/>
              </w:rPr>
              <w:t>467</w:t>
            </w:r>
            <w:r w:rsidRPr="00061F78">
              <w:rPr>
                <w:rFonts w:eastAsia="MS Mincho"/>
              </w:rPr>
              <w:t>/</w:t>
            </w:r>
            <w:r>
              <w:rPr>
                <w:rFonts w:eastAsia="MS Mincho"/>
              </w:rPr>
              <w:t>2</w:t>
            </w:r>
            <w:r w:rsidR="00B828EC">
              <w:rPr>
                <w:rFonts w:eastAsia="MS Mincho"/>
              </w:rPr>
              <w:t>,</w:t>
            </w:r>
            <w:r>
              <w:rPr>
                <w:rFonts w:eastAsia="MS Mincho"/>
              </w:rPr>
              <w:t>040</w:t>
            </w:r>
            <w:r w:rsidRPr="00061F78">
              <w:rPr>
                <w:rFonts w:eastAsia="MS Mincho"/>
              </w:rPr>
              <w:t xml:space="preserve"> </w:t>
            </w:r>
          </w:p>
          <w:p w:rsidR="00980873" w:rsidRPr="00061F78" w:rsidRDefault="00E268C1" w:rsidP="00AD6A60">
            <w:pPr>
              <w:pStyle w:val="Tablewriting"/>
              <w:keepNext/>
              <w:jc w:val="center"/>
              <w:rPr>
                <w:rFonts w:eastAsia="MS Mincho"/>
              </w:rPr>
            </w:pPr>
            <w:r w:rsidRPr="00061F78">
              <w:rPr>
                <w:rFonts w:eastAsia="MS Mincho"/>
              </w:rPr>
              <w:t>(</w:t>
            </w:r>
            <w:r>
              <w:rPr>
                <w:rFonts w:eastAsia="MS Mincho"/>
              </w:rPr>
              <w:t>71.9</w:t>
            </w:r>
            <w:r w:rsidRPr="00061F78">
              <w:rPr>
                <w:rFonts w:eastAsia="MS Mincho"/>
              </w:rPr>
              <w:t>%)</w:t>
            </w:r>
          </w:p>
        </w:tc>
        <w:tc>
          <w:tcPr>
            <w:tcW w:w="662" w:type="pct"/>
            <w:tcMar>
              <w:left w:w="28" w:type="dxa"/>
              <w:right w:w="28" w:type="dxa"/>
            </w:tcMar>
            <w:vAlign w:val="center"/>
          </w:tcPr>
          <w:p w:rsidR="00E268C1" w:rsidRDefault="00E268C1" w:rsidP="00E268C1">
            <w:pPr>
              <w:pStyle w:val="Tablewriting"/>
              <w:keepNext/>
              <w:jc w:val="center"/>
              <w:rPr>
                <w:rFonts w:eastAsia="MS Mincho"/>
              </w:rPr>
            </w:pPr>
            <w:r>
              <w:rPr>
                <w:rFonts w:eastAsia="MS Mincho"/>
              </w:rPr>
              <w:t>1</w:t>
            </w:r>
            <w:r w:rsidR="00B828EC">
              <w:rPr>
                <w:rFonts w:eastAsia="MS Mincho"/>
              </w:rPr>
              <w:t>,</w:t>
            </w:r>
            <w:r>
              <w:rPr>
                <w:rFonts w:eastAsia="MS Mincho"/>
              </w:rPr>
              <w:t>452</w:t>
            </w:r>
            <w:r w:rsidRPr="00061F78">
              <w:rPr>
                <w:rFonts w:eastAsia="MS Mincho"/>
              </w:rPr>
              <w:t>/</w:t>
            </w:r>
            <w:r>
              <w:rPr>
                <w:rFonts w:eastAsia="MS Mincho"/>
              </w:rPr>
              <w:t>2</w:t>
            </w:r>
            <w:r w:rsidR="00B828EC">
              <w:rPr>
                <w:rFonts w:eastAsia="MS Mincho"/>
              </w:rPr>
              <w:t>,</w:t>
            </w:r>
            <w:r>
              <w:rPr>
                <w:rFonts w:eastAsia="MS Mincho"/>
              </w:rPr>
              <w:t>057</w:t>
            </w:r>
            <w:r w:rsidRPr="00061F78">
              <w:rPr>
                <w:rFonts w:eastAsia="MS Mincho"/>
              </w:rPr>
              <w:t xml:space="preserve"> </w:t>
            </w:r>
          </w:p>
          <w:p w:rsidR="00980873" w:rsidRPr="00061F78" w:rsidRDefault="00E268C1" w:rsidP="00AD6A60">
            <w:pPr>
              <w:pStyle w:val="Tablewriting"/>
              <w:keepNext/>
              <w:jc w:val="center"/>
              <w:rPr>
                <w:rFonts w:eastAsia="MS Mincho"/>
              </w:rPr>
            </w:pPr>
            <w:r w:rsidRPr="00061F78">
              <w:rPr>
                <w:rFonts w:eastAsia="MS Mincho"/>
              </w:rPr>
              <w:t>(</w:t>
            </w:r>
            <w:r>
              <w:rPr>
                <w:rFonts w:eastAsia="MS Mincho"/>
              </w:rPr>
              <w:t>70.6</w:t>
            </w:r>
            <w:r w:rsidRPr="00061F78">
              <w:rPr>
                <w:rFonts w:eastAsia="MS Mincho"/>
              </w:rPr>
              <w:t>%)</w:t>
            </w:r>
          </w:p>
        </w:tc>
        <w:tc>
          <w:tcPr>
            <w:tcW w:w="851" w:type="pct"/>
            <w:tcMar>
              <w:left w:w="28" w:type="dxa"/>
              <w:right w:w="28" w:type="dxa"/>
            </w:tcMar>
            <w:vAlign w:val="center"/>
          </w:tcPr>
          <w:p w:rsidR="00980873" w:rsidRPr="005A03AE" w:rsidRDefault="005A03AE" w:rsidP="00AD6A60">
            <w:pPr>
              <w:pStyle w:val="Tablewriting"/>
              <w:keepNext/>
              <w:jc w:val="center"/>
              <w:rPr>
                <w:rFonts w:eastAsia="MS Mincho"/>
              </w:rPr>
            </w:pPr>
            <w:r w:rsidRPr="005A03AE">
              <w:rPr>
                <w:rFonts w:eastAsia="MS Mincho"/>
              </w:rPr>
              <w:t>1.02</w:t>
            </w:r>
          </w:p>
          <w:p w:rsidR="005A03AE" w:rsidRPr="00061F78" w:rsidRDefault="005A03AE" w:rsidP="00AD6A60">
            <w:pPr>
              <w:pStyle w:val="Tablewriting"/>
              <w:keepNext/>
              <w:jc w:val="center"/>
              <w:rPr>
                <w:rFonts w:eastAsia="MS Mincho"/>
              </w:rPr>
            </w:pPr>
            <w:r w:rsidRPr="005A03AE">
              <w:rPr>
                <w:rFonts w:eastAsia="MS Mincho"/>
              </w:rPr>
              <w:t>(0.98, 1.06)</w:t>
            </w:r>
          </w:p>
        </w:tc>
      </w:tr>
      <w:tr w:rsidR="00980873" w:rsidRPr="00061F78" w:rsidTr="003954C8">
        <w:trPr>
          <w:cantSplit/>
          <w:trHeight w:val="149"/>
        </w:trPr>
        <w:tc>
          <w:tcPr>
            <w:tcW w:w="5000" w:type="pct"/>
            <w:gridSpan w:val="6"/>
            <w:shd w:val="clear" w:color="auto" w:fill="auto"/>
            <w:tcMar>
              <w:left w:w="28" w:type="dxa"/>
              <w:right w:w="28" w:type="dxa"/>
            </w:tcMar>
            <w:vAlign w:val="center"/>
          </w:tcPr>
          <w:p w:rsidR="008C5D20" w:rsidRPr="003954C8" w:rsidRDefault="008C5D20" w:rsidP="00AD6A60">
            <w:pPr>
              <w:pStyle w:val="Tablewriting"/>
              <w:keepNext/>
              <w:rPr>
                <w:rFonts w:eastAsia="MS Mincho"/>
                <w:b/>
                <w:bCs/>
              </w:rPr>
            </w:pPr>
            <w:r w:rsidRPr="003954C8">
              <w:rPr>
                <w:rFonts w:eastAsia="MS Mincho"/>
                <w:b/>
                <w:bCs/>
              </w:rPr>
              <w:t>Serious adverse events</w:t>
            </w:r>
          </w:p>
        </w:tc>
      </w:tr>
      <w:tr w:rsidR="00980873" w:rsidRPr="00061F78" w:rsidTr="003954C8">
        <w:trPr>
          <w:cantSplit/>
          <w:trHeight w:val="149"/>
        </w:trPr>
        <w:tc>
          <w:tcPr>
            <w:tcW w:w="551" w:type="pct"/>
            <w:tcMar>
              <w:left w:w="28" w:type="dxa"/>
              <w:right w:w="28" w:type="dxa"/>
            </w:tcMar>
          </w:tcPr>
          <w:p w:rsidR="00980873" w:rsidRDefault="00980873" w:rsidP="00AD6A60">
            <w:pPr>
              <w:pStyle w:val="Tablewriting"/>
              <w:keepNext/>
              <w:rPr>
                <w:rFonts w:eastAsia="MS Mincho"/>
              </w:rPr>
            </w:pPr>
            <w:r>
              <w:rPr>
                <w:rFonts w:eastAsia="MS Mincho"/>
              </w:rPr>
              <w:t>Howes</w:t>
            </w:r>
            <w:r w:rsidRPr="00061F78">
              <w:rPr>
                <w:rFonts w:eastAsia="MS Mincho"/>
              </w:rPr>
              <w:t xml:space="preserve"> </w:t>
            </w:r>
          </w:p>
          <w:p w:rsidR="00980873" w:rsidRDefault="00980873" w:rsidP="00AD6A60">
            <w:pPr>
              <w:pStyle w:val="Tablewriting"/>
              <w:keepNext/>
              <w:rPr>
                <w:rFonts w:eastAsia="MS Mincho"/>
              </w:rPr>
            </w:pPr>
            <w:r w:rsidRPr="00061F78">
              <w:rPr>
                <w:rFonts w:eastAsia="MS Mincho"/>
              </w:rPr>
              <w:t>(20</w:t>
            </w:r>
            <w:r>
              <w:rPr>
                <w:rFonts w:eastAsia="MS Mincho"/>
              </w:rPr>
              <w:t>20</w:t>
            </w:r>
            <w:r w:rsidRPr="00061F78">
              <w:rPr>
                <w:rFonts w:eastAsia="MS Mincho"/>
              </w:rPr>
              <w:t>)</w:t>
            </w:r>
          </w:p>
        </w:tc>
        <w:tc>
          <w:tcPr>
            <w:tcW w:w="946" w:type="pct"/>
            <w:vAlign w:val="center"/>
          </w:tcPr>
          <w:p w:rsidR="00980873" w:rsidRDefault="00980873" w:rsidP="00AD6A60">
            <w:pPr>
              <w:pStyle w:val="Tablewriting"/>
              <w:keepNext/>
              <w:jc w:val="center"/>
              <w:rPr>
                <w:rFonts w:eastAsia="MS Mincho"/>
              </w:rPr>
            </w:pPr>
            <w:r>
              <w:rPr>
                <w:rFonts w:eastAsia="MS Mincho"/>
              </w:rPr>
              <w:t>Cochrane Review (</w:t>
            </w:r>
            <w:r w:rsidR="00CE23F0">
              <w:rPr>
                <w:rFonts w:eastAsia="MS Mincho"/>
              </w:rPr>
              <w:t>5</w:t>
            </w:r>
            <w:r>
              <w:rPr>
                <w:rFonts w:eastAsia="MS Mincho"/>
              </w:rPr>
              <w:t xml:space="preserve"> </w:t>
            </w:r>
            <w:r w:rsidR="00E268C1">
              <w:rPr>
                <w:rFonts w:eastAsia="MS Mincho"/>
              </w:rPr>
              <w:t>RCTs</w:t>
            </w:r>
            <w:r>
              <w:rPr>
                <w:rFonts w:eastAsia="MS Mincho"/>
              </w:rPr>
              <w:t>)</w:t>
            </w:r>
          </w:p>
        </w:tc>
        <w:tc>
          <w:tcPr>
            <w:tcW w:w="1093" w:type="pct"/>
            <w:tcMar>
              <w:left w:w="28" w:type="dxa"/>
              <w:right w:w="28" w:type="dxa"/>
            </w:tcMar>
            <w:vAlign w:val="center"/>
          </w:tcPr>
          <w:p w:rsidR="00980873" w:rsidRDefault="007B46D1" w:rsidP="00AD6A60">
            <w:pPr>
              <w:pStyle w:val="Tablewriting"/>
              <w:keepNext/>
              <w:jc w:val="center"/>
              <w:rPr>
                <w:rFonts w:eastAsia="MS Mincho"/>
              </w:rPr>
            </w:pPr>
            <w:r>
              <w:rPr>
                <w:rFonts w:eastAsia="MS Mincho"/>
              </w:rPr>
              <w:t>Jorenby (1999)</w:t>
            </w:r>
          </w:p>
        </w:tc>
        <w:tc>
          <w:tcPr>
            <w:tcW w:w="896" w:type="pct"/>
            <w:tcMar>
              <w:left w:w="28" w:type="dxa"/>
              <w:right w:w="28" w:type="dxa"/>
            </w:tcMar>
            <w:vAlign w:val="center"/>
          </w:tcPr>
          <w:p w:rsidR="00E268C1" w:rsidRDefault="00E268C1" w:rsidP="00E268C1">
            <w:pPr>
              <w:pStyle w:val="Tablewriting"/>
              <w:keepNext/>
              <w:jc w:val="center"/>
              <w:rPr>
                <w:rFonts w:eastAsia="MS Mincho"/>
              </w:rPr>
            </w:pPr>
            <w:r>
              <w:rPr>
                <w:rFonts w:eastAsia="MS Mincho"/>
              </w:rPr>
              <w:t>56</w:t>
            </w:r>
            <w:r w:rsidRPr="00061F78">
              <w:rPr>
                <w:rFonts w:eastAsia="MS Mincho"/>
              </w:rPr>
              <w:t>/</w:t>
            </w:r>
            <w:r>
              <w:rPr>
                <w:rFonts w:eastAsia="MS Mincho"/>
              </w:rPr>
              <w:t>2</w:t>
            </w:r>
            <w:r w:rsidR="00B828EC">
              <w:rPr>
                <w:rFonts w:eastAsia="MS Mincho"/>
              </w:rPr>
              <w:t>,</w:t>
            </w:r>
            <w:r>
              <w:rPr>
                <w:rFonts w:eastAsia="MS Mincho"/>
              </w:rPr>
              <w:t>800</w:t>
            </w:r>
            <w:r w:rsidRPr="00061F78">
              <w:rPr>
                <w:rFonts w:eastAsia="MS Mincho"/>
              </w:rPr>
              <w:t xml:space="preserve"> </w:t>
            </w:r>
          </w:p>
          <w:p w:rsidR="00980873" w:rsidRDefault="00E268C1" w:rsidP="00AD6A60">
            <w:pPr>
              <w:pStyle w:val="Tablewriting"/>
              <w:keepNext/>
              <w:jc w:val="center"/>
              <w:rPr>
                <w:rFonts w:eastAsia="MS Mincho"/>
              </w:rPr>
            </w:pPr>
            <w:r w:rsidRPr="00061F78">
              <w:rPr>
                <w:rFonts w:eastAsia="MS Mincho"/>
              </w:rPr>
              <w:t>(</w:t>
            </w:r>
            <w:r>
              <w:rPr>
                <w:rFonts w:eastAsia="MS Mincho"/>
              </w:rPr>
              <w:t>2.0</w:t>
            </w:r>
            <w:r w:rsidRPr="00061F78">
              <w:rPr>
                <w:rFonts w:eastAsia="MS Mincho"/>
              </w:rPr>
              <w:t>%)</w:t>
            </w:r>
          </w:p>
        </w:tc>
        <w:tc>
          <w:tcPr>
            <w:tcW w:w="662" w:type="pct"/>
            <w:tcMar>
              <w:left w:w="28" w:type="dxa"/>
              <w:right w:w="28" w:type="dxa"/>
            </w:tcMar>
            <w:vAlign w:val="center"/>
          </w:tcPr>
          <w:p w:rsidR="00E268C1" w:rsidRDefault="00E268C1" w:rsidP="00E268C1">
            <w:pPr>
              <w:pStyle w:val="Tablewriting"/>
              <w:keepNext/>
              <w:jc w:val="center"/>
              <w:rPr>
                <w:rFonts w:eastAsia="MS Mincho"/>
              </w:rPr>
            </w:pPr>
            <w:r>
              <w:rPr>
                <w:rFonts w:eastAsia="MS Mincho"/>
              </w:rPr>
              <w:t>46/2</w:t>
            </w:r>
            <w:r w:rsidR="00B828EC">
              <w:rPr>
                <w:rFonts w:eastAsia="MS Mincho"/>
              </w:rPr>
              <w:t>,</w:t>
            </w:r>
            <w:r>
              <w:rPr>
                <w:rFonts w:eastAsia="MS Mincho"/>
              </w:rPr>
              <w:t>824</w:t>
            </w:r>
            <w:r w:rsidRPr="00061F78">
              <w:rPr>
                <w:rFonts w:eastAsia="MS Mincho"/>
              </w:rPr>
              <w:t xml:space="preserve"> </w:t>
            </w:r>
          </w:p>
          <w:p w:rsidR="00980873" w:rsidRPr="00061F78" w:rsidRDefault="00E268C1" w:rsidP="00AD6A60">
            <w:pPr>
              <w:pStyle w:val="Tablewriting"/>
              <w:keepNext/>
              <w:jc w:val="center"/>
              <w:rPr>
                <w:rFonts w:eastAsia="MS Mincho"/>
              </w:rPr>
            </w:pPr>
            <w:r w:rsidRPr="00061F78">
              <w:rPr>
                <w:rFonts w:eastAsia="MS Mincho"/>
              </w:rPr>
              <w:t>(</w:t>
            </w:r>
            <w:r>
              <w:rPr>
                <w:rFonts w:eastAsia="MS Mincho"/>
              </w:rPr>
              <w:t>1.6</w:t>
            </w:r>
            <w:r w:rsidRPr="00061F78">
              <w:rPr>
                <w:rFonts w:eastAsia="MS Mincho"/>
              </w:rPr>
              <w:t>%)</w:t>
            </w:r>
          </w:p>
        </w:tc>
        <w:tc>
          <w:tcPr>
            <w:tcW w:w="851" w:type="pct"/>
            <w:tcMar>
              <w:left w:w="28" w:type="dxa"/>
              <w:right w:w="28" w:type="dxa"/>
            </w:tcMar>
            <w:vAlign w:val="center"/>
          </w:tcPr>
          <w:p w:rsidR="00980873" w:rsidRPr="00275BAC" w:rsidRDefault="00980873" w:rsidP="00AD6A60">
            <w:pPr>
              <w:pStyle w:val="Tablewriting"/>
              <w:keepNext/>
              <w:jc w:val="center"/>
              <w:rPr>
                <w:rFonts w:eastAsia="MS Mincho"/>
              </w:rPr>
            </w:pPr>
            <w:r w:rsidRPr="00275BAC">
              <w:rPr>
                <w:rFonts w:eastAsia="MS Mincho"/>
              </w:rPr>
              <w:t>1.</w:t>
            </w:r>
            <w:r w:rsidR="005A03AE">
              <w:rPr>
                <w:rFonts w:eastAsia="MS Mincho"/>
              </w:rPr>
              <w:t>22</w:t>
            </w:r>
          </w:p>
          <w:p w:rsidR="00980873" w:rsidRPr="00275BAC" w:rsidRDefault="00980873" w:rsidP="00AD6A60">
            <w:pPr>
              <w:pStyle w:val="Tablewriting"/>
              <w:keepNext/>
              <w:jc w:val="center"/>
              <w:rPr>
                <w:rFonts w:eastAsia="MS Mincho"/>
              </w:rPr>
            </w:pPr>
            <w:r w:rsidRPr="00275BAC">
              <w:rPr>
                <w:rFonts w:eastAsia="MS Mincho"/>
              </w:rPr>
              <w:t>(0.</w:t>
            </w:r>
            <w:r w:rsidR="005A03AE">
              <w:rPr>
                <w:rFonts w:eastAsia="MS Mincho"/>
              </w:rPr>
              <w:t>83</w:t>
            </w:r>
            <w:r w:rsidRPr="00275BAC">
              <w:rPr>
                <w:rFonts w:eastAsia="MS Mincho"/>
              </w:rPr>
              <w:t>, 1.8)</w:t>
            </w:r>
          </w:p>
        </w:tc>
      </w:tr>
      <w:tr w:rsidR="00980873" w:rsidRPr="00061F78" w:rsidTr="003954C8">
        <w:trPr>
          <w:cantSplit/>
          <w:trHeight w:val="149"/>
        </w:trPr>
        <w:tc>
          <w:tcPr>
            <w:tcW w:w="5000" w:type="pct"/>
            <w:gridSpan w:val="6"/>
            <w:shd w:val="clear" w:color="auto" w:fill="auto"/>
            <w:tcMar>
              <w:left w:w="28" w:type="dxa"/>
              <w:right w:w="28" w:type="dxa"/>
            </w:tcMar>
          </w:tcPr>
          <w:p w:rsidR="008C5D20" w:rsidRPr="003954C8" w:rsidRDefault="008C5D20" w:rsidP="00AD6A60">
            <w:pPr>
              <w:pStyle w:val="Tablewriting"/>
              <w:keepNext/>
              <w:rPr>
                <w:rFonts w:eastAsia="MS Mincho"/>
                <w:b/>
                <w:bCs/>
              </w:rPr>
            </w:pPr>
            <w:r w:rsidRPr="003954C8">
              <w:rPr>
                <w:rFonts w:eastAsia="MS Mincho"/>
                <w:b/>
                <w:bCs/>
              </w:rPr>
              <w:t>Discontinuation due to adverse events</w:t>
            </w:r>
          </w:p>
        </w:tc>
      </w:tr>
      <w:tr w:rsidR="00980873" w:rsidRPr="00061F78" w:rsidTr="003954C8">
        <w:trPr>
          <w:cantSplit/>
          <w:trHeight w:val="149"/>
        </w:trPr>
        <w:tc>
          <w:tcPr>
            <w:tcW w:w="551" w:type="pct"/>
            <w:tcMar>
              <w:left w:w="28" w:type="dxa"/>
              <w:right w:w="28" w:type="dxa"/>
            </w:tcMar>
          </w:tcPr>
          <w:p w:rsidR="00980873" w:rsidRDefault="00980873" w:rsidP="00AD6A60">
            <w:pPr>
              <w:pStyle w:val="Tablewriting"/>
              <w:keepNext/>
              <w:rPr>
                <w:rFonts w:eastAsia="MS Mincho"/>
              </w:rPr>
            </w:pPr>
            <w:r>
              <w:rPr>
                <w:rFonts w:eastAsia="MS Mincho"/>
              </w:rPr>
              <w:t>Howes</w:t>
            </w:r>
            <w:r w:rsidRPr="00061F78">
              <w:rPr>
                <w:rFonts w:eastAsia="MS Mincho"/>
              </w:rPr>
              <w:t xml:space="preserve"> </w:t>
            </w:r>
          </w:p>
          <w:p w:rsidR="00980873" w:rsidRDefault="00980873" w:rsidP="00AD6A60">
            <w:pPr>
              <w:pStyle w:val="Tablewriting"/>
              <w:keepNext/>
              <w:rPr>
                <w:rFonts w:eastAsia="MS Mincho"/>
              </w:rPr>
            </w:pPr>
            <w:r w:rsidRPr="00061F78">
              <w:rPr>
                <w:rFonts w:eastAsia="MS Mincho"/>
              </w:rPr>
              <w:t>(20</w:t>
            </w:r>
            <w:r>
              <w:rPr>
                <w:rFonts w:eastAsia="MS Mincho"/>
              </w:rPr>
              <w:t>20</w:t>
            </w:r>
            <w:r w:rsidRPr="00061F78">
              <w:rPr>
                <w:rFonts w:eastAsia="MS Mincho"/>
              </w:rPr>
              <w:t>)</w:t>
            </w:r>
          </w:p>
        </w:tc>
        <w:tc>
          <w:tcPr>
            <w:tcW w:w="946" w:type="pct"/>
            <w:vAlign w:val="center"/>
          </w:tcPr>
          <w:p w:rsidR="00980873" w:rsidRDefault="00980873" w:rsidP="00AD6A60">
            <w:pPr>
              <w:pStyle w:val="Tablewriting"/>
              <w:keepNext/>
              <w:jc w:val="center"/>
              <w:rPr>
                <w:rFonts w:eastAsia="MS Mincho"/>
              </w:rPr>
            </w:pPr>
            <w:r>
              <w:rPr>
                <w:rFonts w:eastAsia="MS Mincho"/>
              </w:rPr>
              <w:t>Cochrane Review (</w:t>
            </w:r>
            <w:r w:rsidR="00CE23F0">
              <w:rPr>
                <w:rFonts w:eastAsia="MS Mincho"/>
              </w:rPr>
              <w:t>4</w:t>
            </w:r>
            <w:r>
              <w:rPr>
                <w:rFonts w:eastAsia="MS Mincho"/>
              </w:rPr>
              <w:t xml:space="preserve"> </w:t>
            </w:r>
            <w:r w:rsidR="00E268C1">
              <w:rPr>
                <w:rFonts w:eastAsia="MS Mincho"/>
              </w:rPr>
              <w:t>RCTs</w:t>
            </w:r>
            <w:r>
              <w:rPr>
                <w:rFonts w:eastAsia="MS Mincho"/>
              </w:rPr>
              <w:t>)</w:t>
            </w:r>
          </w:p>
        </w:tc>
        <w:tc>
          <w:tcPr>
            <w:tcW w:w="1093" w:type="pct"/>
            <w:tcMar>
              <w:left w:w="28" w:type="dxa"/>
              <w:right w:w="28" w:type="dxa"/>
            </w:tcMar>
            <w:vAlign w:val="center"/>
          </w:tcPr>
          <w:p w:rsidR="00980873" w:rsidRDefault="006828F3" w:rsidP="00AD6A60">
            <w:pPr>
              <w:pStyle w:val="Tablewriting"/>
              <w:keepNext/>
              <w:jc w:val="center"/>
              <w:rPr>
                <w:rFonts w:eastAsia="MS Mincho"/>
              </w:rPr>
            </w:pPr>
            <w:r>
              <w:rPr>
                <w:rFonts w:eastAsia="MS Mincho"/>
              </w:rPr>
              <w:t>Jorenby (1999) and Uyar (2007)</w:t>
            </w:r>
          </w:p>
        </w:tc>
        <w:tc>
          <w:tcPr>
            <w:tcW w:w="896" w:type="pct"/>
            <w:tcMar>
              <w:left w:w="28" w:type="dxa"/>
              <w:right w:w="28" w:type="dxa"/>
            </w:tcMar>
            <w:vAlign w:val="center"/>
          </w:tcPr>
          <w:p w:rsidR="00E268C1" w:rsidRDefault="00E268C1" w:rsidP="00E268C1">
            <w:pPr>
              <w:pStyle w:val="Tablewriting"/>
              <w:keepNext/>
              <w:jc w:val="center"/>
              <w:rPr>
                <w:rFonts w:eastAsia="MS Mincho"/>
              </w:rPr>
            </w:pPr>
            <w:r>
              <w:rPr>
                <w:rFonts w:eastAsia="MS Mincho"/>
              </w:rPr>
              <w:t>216</w:t>
            </w:r>
            <w:r w:rsidRPr="00061F78">
              <w:rPr>
                <w:rFonts w:eastAsia="MS Mincho"/>
              </w:rPr>
              <w:t>/</w:t>
            </w:r>
            <w:r>
              <w:rPr>
                <w:rFonts w:eastAsia="MS Mincho"/>
              </w:rPr>
              <w:t>2</w:t>
            </w:r>
            <w:r w:rsidR="00B828EC">
              <w:rPr>
                <w:rFonts w:eastAsia="MS Mincho"/>
              </w:rPr>
              <w:t>,</w:t>
            </w:r>
            <w:r>
              <w:rPr>
                <w:rFonts w:eastAsia="MS Mincho"/>
              </w:rPr>
              <w:t>407</w:t>
            </w:r>
            <w:r w:rsidRPr="00061F78">
              <w:rPr>
                <w:rFonts w:eastAsia="MS Mincho"/>
              </w:rPr>
              <w:t xml:space="preserve"> </w:t>
            </w:r>
          </w:p>
          <w:p w:rsidR="00980873" w:rsidRDefault="00E268C1" w:rsidP="00AD6A60">
            <w:pPr>
              <w:pStyle w:val="Tablewriting"/>
              <w:keepNext/>
              <w:jc w:val="center"/>
              <w:rPr>
                <w:rFonts w:eastAsia="MS Mincho"/>
              </w:rPr>
            </w:pPr>
            <w:r w:rsidRPr="00061F78">
              <w:rPr>
                <w:rFonts w:eastAsia="MS Mincho"/>
              </w:rPr>
              <w:t>(</w:t>
            </w:r>
            <w:r w:rsidR="00CE23F0">
              <w:rPr>
                <w:rFonts w:eastAsia="MS Mincho"/>
              </w:rPr>
              <w:t>9</w:t>
            </w:r>
            <w:r>
              <w:rPr>
                <w:rFonts w:eastAsia="MS Mincho"/>
              </w:rPr>
              <w:t>.0</w:t>
            </w:r>
            <w:r w:rsidR="00980873" w:rsidRPr="00061F78">
              <w:rPr>
                <w:rFonts w:eastAsia="MS Mincho"/>
              </w:rPr>
              <w:t>%)</w:t>
            </w:r>
          </w:p>
        </w:tc>
        <w:tc>
          <w:tcPr>
            <w:tcW w:w="662" w:type="pct"/>
            <w:tcMar>
              <w:left w:w="28" w:type="dxa"/>
              <w:right w:w="28" w:type="dxa"/>
            </w:tcMar>
            <w:vAlign w:val="center"/>
          </w:tcPr>
          <w:p w:rsidR="00E268C1" w:rsidRDefault="00E268C1" w:rsidP="00E268C1">
            <w:pPr>
              <w:pStyle w:val="Tablewriting"/>
              <w:keepNext/>
              <w:jc w:val="center"/>
              <w:rPr>
                <w:rFonts w:eastAsia="MS Mincho"/>
              </w:rPr>
            </w:pPr>
            <w:r>
              <w:rPr>
                <w:rFonts w:eastAsia="MS Mincho"/>
              </w:rPr>
              <w:t>190</w:t>
            </w:r>
            <w:r w:rsidRPr="00061F78">
              <w:rPr>
                <w:rFonts w:eastAsia="MS Mincho"/>
              </w:rPr>
              <w:t>/</w:t>
            </w:r>
            <w:r>
              <w:rPr>
                <w:rFonts w:eastAsia="MS Mincho"/>
              </w:rPr>
              <w:t>2</w:t>
            </w:r>
            <w:r w:rsidR="00B828EC">
              <w:rPr>
                <w:rFonts w:eastAsia="MS Mincho"/>
              </w:rPr>
              <w:t>,</w:t>
            </w:r>
            <w:r>
              <w:rPr>
                <w:rFonts w:eastAsia="MS Mincho"/>
              </w:rPr>
              <w:t>418</w:t>
            </w:r>
            <w:r w:rsidRPr="00061F78">
              <w:rPr>
                <w:rFonts w:eastAsia="MS Mincho"/>
              </w:rPr>
              <w:t xml:space="preserve"> </w:t>
            </w:r>
          </w:p>
          <w:p w:rsidR="00980873" w:rsidRPr="00061F78" w:rsidRDefault="00E268C1" w:rsidP="00AD6A60">
            <w:pPr>
              <w:pStyle w:val="Tablewriting"/>
              <w:keepNext/>
              <w:jc w:val="center"/>
              <w:rPr>
                <w:rFonts w:eastAsia="MS Mincho"/>
              </w:rPr>
            </w:pPr>
            <w:r w:rsidRPr="00061F78">
              <w:rPr>
                <w:rFonts w:eastAsia="MS Mincho"/>
              </w:rPr>
              <w:t>(</w:t>
            </w:r>
            <w:r>
              <w:rPr>
                <w:rFonts w:eastAsia="MS Mincho"/>
              </w:rPr>
              <w:t>7.9</w:t>
            </w:r>
            <w:r w:rsidRPr="00061F78">
              <w:rPr>
                <w:rFonts w:eastAsia="MS Mincho"/>
              </w:rPr>
              <w:t>%)</w:t>
            </w:r>
          </w:p>
        </w:tc>
        <w:tc>
          <w:tcPr>
            <w:tcW w:w="851" w:type="pct"/>
            <w:tcMar>
              <w:left w:w="28" w:type="dxa"/>
              <w:right w:w="28" w:type="dxa"/>
            </w:tcMar>
            <w:vAlign w:val="center"/>
          </w:tcPr>
          <w:p w:rsidR="00980873" w:rsidRPr="00CE23F0" w:rsidRDefault="00980873" w:rsidP="00CE23F0">
            <w:pPr>
              <w:pStyle w:val="Tablewriting"/>
              <w:keepNext/>
              <w:jc w:val="center"/>
              <w:rPr>
                <w:rFonts w:eastAsia="MS Mincho"/>
              </w:rPr>
            </w:pPr>
            <w:r w:rsidRPr="00CE23F0">
              <w:rPr>
                <w:rFonts w:eastAsia="MS Mincho"/>
              </w:rPr>
              <w:t>1.</w:t>
            </w:r>
            <w:r w:rsidR="00CE23F0" w:rsidRPr="00CE23F0">
              <w:rPr>
                <w:rFonts w:eastAsia="MS Mincho"/>
              </w:rPr>
              <w:t>14</w:t>
            </w:r>
          </w:p>
          <w:p w:rsidR="00CE23F0" w:rsidRPr="00D468CF" w:rsidRDefault="00CE23F0" w:rsidP="00CE23F0">
            <w:pPr>
              <w:pStyle w:val="Tablewriting"/>
              <w:keepNext/>
              <w:jc w:val="center"/>
              <w:rPr>
                <w:rFonts w:eastAsia="MS Mincho"/>
                <w:b/>
                <w:bCs/>
              </w:rPr>
            </w:pPr>
            <w:r w:rsidRPr="00CE23F0">
              <w:rPr>
                <w:rFonts w:eastAsia="MS Mincho"/>
              </w:rPr>
              <w:t>(0.95, 1.38)</w:t>
            </w:r>
          </w:p>
        </w:tc>
      </w:tr>
    </w:tbl>
    <w:p w:rsidR="00CE23F0" w:rsidRDefault="00CE23F0" w:rsidP="00CE23F0">
      <w:pPr>
        <w:pStyle w:val="TableFooter"/>
        <w:keepNext/>
      </w:pPr>
      <w:r>
        <w:t>Source: Howes et al. (2020)</w:t>
      </w:r>
    </w:p>
    <w:p w:rsidR="00CE23F0" w:rsidRDefault="00CE23F0" w:rsidP="00CE23F0">
      <w:pPr>
        <w:pStyle w:val="TableFooter"/>
        <w:keepNext/>
      </w:pPr>
      <w:r>
        <w:t xml:space="preserve">Abbreviations: CI = confidence interval; </w:t>
      </w:r>
      <w:r w:rsidR="000F6865">
        <w:t xml:space="preserve">NR = not reported; </w:t>
      </w:r>
      <w:r>
        <w:t>RCT = randomised controlled trial; RR = risk ratio</w:t>
      </w:r>
    </w:p>
    <w:p w:rsidR="00CE23F0" w:rsidRPr="00DB6037" w:rsidRDefault="00CE23F0" w:rsidP="00CE23F0">
      <w:pPr>
        <w:pStyle w:val="TableFooter"/>
        <w:keepNext/>
      </w:pPr>
      <w:r w:rsidRPr="00FD4061">
        <w:t>Note</w:t>
      </w:r>
      <w:r>
        <w:t>s</w:t>
      </w:r>
      <w:r w:rsidRPr="00FD4061">
        <w:t>: Bold indicates statistically significant difference.</w:t>
      </w:r>
      <w:r w:rsidR="00DB6037">
        <w:t xml:space="preserve"> </w:t>
      </w:r>
      <w:r w:rsidR="00FF2899" w:rsidRPr="00FF2899">
        <w:t xml:space="preserve">See </w:t>
      </w:r>
      <w:r w:rsidR="00FF2899" w:rsidRPr="00251C40">
        <w:t>Appendix</w:t>
      </w:r>
      <w:r w:rsidR="00FF2899" w:rsidRPr="00FF2899">
        <w:t xml:space="preserve"> </w:t>
      </w:r>
      <w:r w:rsidR="003C4A1C">
        <w:t xml:space="preserve">Figure </w:t>
      </w:r>
      <w:r w:rsidR="003C4A1C">
        <w:rPr>
          <w:noProof/>
        </w:rPr>
        <w:t>53</w:t>
      </w:r>
      <w:r w:rsidR="00414F11">
        <w:t xml:space="preserve"> to </w:t>
      </w:r>
      <w:r w:rsidR="003C4A1C">
        <w:t xml:space="preserve">Figure </w:t>
      </w:r>
      <w:r w:rsidR="003C4A1C">
        <w:rPr>
          <w:noProof/>
        </w:rPr>
        <w:t>55</w:t>
      </w:r>
      <w:r w:rsidR="00FF2899" w:rsidRPr="00FF2899">
        <w:t xml:space="preserve"> for forest plots </w:t>
      </w:r>
      <w:r w:rsidR="002A7FE8" w:rsidRPr="002A7FE8">
        <w:t>of the respective outcomes which included the results of individual studies.</w:t>
      </w:r>
    </w:p>
    <w:p w:rsidR="002D7608" w:rsidRDefault="00CE23F0" w:rsidP="00CE23F0">
      <w:pPr>
        <w:pStyle w:val="TableFooter"/>
        <w:keepNext/>
      </w:pPr>
      <w:r>
        <w:t xml:space="preserve">1 </w:t>
      </w:r>
      <w:r w:rsidR="002D7608" w:rsidRPr="002D7608">
        <w:t>Where previously considered studies were not included, this was due to the outcome not being reported</w:t>
      </w:r>
      <w:r w:rsidR="00AB2B6D">
        <w:t>.</w:t>
      </w:r>
    </w:p>
    <w:p w:rsidR="005B2063" w:rsidRDefault="002D7608" w:rsidP="00CE23F0">
      <w:pPr>
        <w:pStyle w:val="TableFooter"/>
        <w:keepNext/>
      </w:pPr>
      <w:r w:rsidRPr="004C4967">
        <w:t>2</w:t>
      </w:r>
      <w:r w:rsidR="00CE23F0" w:rsidRPr="004C4967">
        <w:t xml:space="preserve"> Calculated</w:t>
      </w:r>
      <w:r w:rsidR="002C5D1C" w:rsidRPr="004C4967">
        <w:t xml:space="preserve"> by Cochrane Review authors</w:t>
      </w:r>
      <w:r w:rsidR="00CE23F0" w:rsidRPr="004C4967">
        <w:t xml:space="preserve"> using a fixed-effect model</w:t>
      </w:r>
      <w:r w:rsidR="00AB2B6D">
        <w:t>.</w:t>
      </w:r>
    </w:p>
    <w:p w:rsidR="00E1728B" w:rsidRDefault="005B2063" w:rsidP="005B2063">
      <w:r w:rsidRPr="005B2063">
        <w:t xml:space="preserve">In a recently conducted study (EAGLES extension) comparing the relative cardiovascular safety risk of smoking cessation treatments using a placebo comparator, no significant treatment differences were observed in time to cardiovascular events, blood pressure, or heart rate between bupropion and </w:t>
      </w:r>
      <w:r w:rsidR="009363A4">
        <w:t xml:space="preserve">NRT </w:t>
      </w:r>
      <w:r w:rsidR="00573F59">
        <w:t>patches</w:t>
      </w:r>
      <w:r w:rsidRPr="005B2063">
        <w:t xml:space="preserve"> (Benowitz et al. 2018).</w:t>
      </w:r>
    </w:p>
    <w:p w:rsidR="00C83EDA" w:rsidRDefault="00C83EDA" w:rsidP="00D02475">
      <w:pPr>
        <w:pStyle w:val="Heading5"/>
        <w:numPr>
          <w:ilvl w:val="0"/>
          <w:numId w:val="0"/>
        </w:numPr>
      </w:pPr>
      <w:r>
        <w:t>Varenicline</w:t>
      </w:r>
    </w:p>
    <w:p w:rsidR="000973A1" w:rsidRDefault="00820F85" w:rsidP="00E4177C">
      <w:r>
        <w:t>Varenicline</w:t>
      </w:r>
      <w:r w:rsidRPr="00820F85">
        <w:t xml:space="preserve"> was recommended for listing </w:t>
      </w:r>
      <w:r w:rsidR="00EE5F19">
        <w:t>on the PBS</w:t>
      </w:r>
      <w:r w:rsidRPr="00820F85">
        <w:t xml:space="preserve"> in </w:t>
      </w:r>
      <w:r w:rsidR="004632EA">
        <w:t>July 2007</w:t>
      </w:r>
      <w:r w:rsidRPr="00820F85">
        <w:t xml:space="preserve"> based on </w:t>
      </w:r>
      <w:r w:rsidR="00CC0029">
        <w:t>two double-blind RCTs (Gonzales et al. 2006 and Jorenby et al. 2006) comparing varenicline (1 mg twice daily after initial titration),</w:t>
      </w:r>
      <w:r w:rsidR="008E00EB">
        <w:t xml:space="preserve"> </w:t>
      </w:r>
      <w:r w:rsidR="00CC0029">
        <w:t>bupropion (150 mg twice daily after initial titration) and placebo in smokers over 52 weeks.</w:t>
      </w:r>
      <w:r w:rsidR="00027C19">
        <w:t xml:space="preserve"> </w:t>
      </w:r>
      <w:r w:rsidRPr="00820F85">
        <w:t xml:space="preserve">Based on the </w:t>
      </w:r>
      <w:r w:rsidR="00027C19">
        <w:t>two</w:t>
      </w:r>
      <w:r w:rsidRPr="00820F85">
        <w:t xml:space="preserve"> stud</w:t>
      </w:r>
      <w:r w:rsidR="00027C19">
        <w:t>ies</w:t>
      </w:r>
      <w:r w:rsidRPr="00820F85">
        <w:t xml:space="preserve">, the submission </w:t>
      </w:r>
      <w:r w:rsidR="0086371B">
        <w:t>described varenicline as having significant advantages in effectiveness over bupropion and having similar or less toxicity.</w:t>
      </w:r>
      <w:r w:rsidR="00027A23">
        <w:t xml:space="preserve"> </w:t>
      </w:r>
    </w:p>
    <w:p w:rsidR="00820F85" w:rsidRDefault="00027A23" w:rsidP="00E4177C">
      <w:r>
        <w:t xml:space="preserve">The PBAC </w:t>
      </w:r>
      <w:r w:rsidR="00CD1CDC">
        <w:t xml:space="preserve">accepted the superiority claim in efficacy based </w:t>
      </w:r>
      <w:r w:rsidR="00777459">
        <w:t>on the</w:t>
      </w:r>
      <w:r w:rsidR="00140D65">
        <w:t xml:space="preserve"> higher quit and continuous abstinence rates demonstrated in the meta-analysis of two head-to-head trials comparing varenicline </w:t>
      </w:r>
      <w:r w:rsidR="00FC65FD">
        <w:t>with</w:t>
      </w:r>
      <w:r w:rsidR="00140D65">
        <w:t xml:space="preserve"> bupropion</w:t>
      </w:r>
      <w:r w:rsidR="00FC65FD">
        <w:t>, in favour of varenicline</w:t>
      </w:r>
      <w:r w:rsidR="00140D65">
        <w:t>.</w:t>
      </w:r>
      <w:r w:rsidR="00E4177C">
        <w:t xml:space="preserve"> While the PBAC noted that significantly more patients on varenicline treatment experienced nausea, abnormal dreams and headache compared with patients on bupropion, the Committee</w:t>
      </w:r>
      <w:r w:rsidR="000973A1">
        <w:t xml:space="preserve"> </w:t>
      </w:r>
      <w:r w:rsidR="00E4177C">
        <w:t>accepted that the pooled rate of discontinuations due to adverse events was lower with</w:t>
      </w:r>
      <w:r w:rsidR="000973A1">
        <w:t xml:space="preserve"> </w:t>
      </w:r>
      <w:r w:rsidR="00E4177C">
        <w:t xml:space="preserve">varenicline compared </w:t>
      </w:r>
      <w:r w:rsidR="001B5C4E">
        <w:t>with</w:t>
      </w:r>
      <w:r w:rsidR="00E4177C">
        <w:t xml:space="preserve"> bupropion</w:t>
      </w:r>
      <w:r w:rsidR="000973A1">
        <w:t xml:space="preserve"> (</w:t>
      </w:r>
      <w:r w:rsidR="000973A1" w:rsidRPr="003E243C">
        <w:t xml:space="preserve">Varenicline PSD, </w:t>
      </w:r>
      <w:r w:rsidR="00D204E1" w:rsidRPr="003E243C">
        <w:t xml:space="preserve">July </w:t>
      </w:r>
      <w:r w:rsidR="000973A1" w:rsidRPr="003E243C">
        <w:t>2007</w:t>
      </w:r>
      <w:r w:rsidR="00D204E1" w:rsidRPr="003E243C">
        <w:t xml:space="preserve"> PBAC meeting</w:t>
      </w:r>
      <w:r w:rsidR="000973A1" w:rsidRPr="003E243C">
        <w:t>)</w:t>
      </w:r>
      <w:r w:rsidR="00E4177C" w:rsidRPr="003E243C">
        <w:t>.</w:t>
      </w:r>
    </w:p>
    <w:p w:rsidR="006525B7" w:rsidRDefault="006525B7" w:rsidP="000E4561">
      <w:r>
        <w:lastRenderedPageBreak/>
        <w:t xml:space="preserve">In </w:t>
      </w:r>
      <w:r w:rsidR="007604B8">
        <w:t xml:space="preserve">November 2007 and </w:t>
      </w:r>
      <w:r>
        <w:t xml:space="preserve">March 2008, the PBAC </w:t>
      </w:r>
      <w:r w:rsidR="001E2216" w:rsidRPr="001E2216">
        <w:t xml:space="preserve">recommended amendment to the restriction </w:t>
      </w:r>
      <w:r w:rsidR="00690DF4">
        <w:t>of bupropion and</w:t>
      </w:r>
      <w:r w:rsidR="001E2216" w:rsidRPr="001E2216">
        <w:t xml:space="preserve"> varenicline to allow treatment with both varenicline and bupropion within a 12</w:t>
      </w:r>
      <w:r w:rsidR="003E243C">
        <w:t>-</w:t>
      </w:r>
      <w:r w:rsidR="001E2216" w:rsidRPr="001E2216">
        <w:t>month period with 6 months between commencing a course of the second product</w:t>
      </w:r>
      <w:r w:rsidR="00214801">
        <w:t xml:space="preserve"> (</w:t>
      </w:r>
      <w:r w:rsidR="00F05F4F" w:rsidRPr="003E243C">
        <w:t>PBAC Outcomes,</w:t>
      </w:r>
      <w:r w:rsidR="00B37320" w:rsidRPr="003E243C">
        <w:t xml:space="preserve"> November 2007 and</w:t>
      </w:r>
      <w:r w:rsidR="00F05F4F" w:rsidRPr="003E243C">
        <w:t xml:space="preserve"> </w:t>
      </w:r>
      <w:r w:rsidR="00B37320" w:rsidRPr="003E243C">
        <w:t xml:space="preserve">March </w:t>
      </w:r>
      <w:r w:rsidR="00F05F4F" w:rsidRPr="003E243C">
        <w:t>2008</w:t>
      </w:r>
      <w:r w:rsidR="00B37320" w:rsidRPr="003E243C">
        <w:t xml:space="preserve"> PBAC meetings</w:t>
      </w:r>
      <w:r w:rsidR="00F05F4F">
        <w:t>)</w:t>
      </w:r>
      <w:r w:rsidR="001E2216" w:rsidRPr="001E2216">
        <w:t>.</w:t>
      </w:r>
      <w:r w:rsidR="000E4561">
        <w:t xml:space="preserve"> </w:t>
      </w:r>
      <w:r w:rsidR="008846EB">
        <w:rPr>
          <w:noProof/>
          <w:color w:val="000000"/>
          <w:highlight w:val="black"/>
        </w:rPr>
        <w:t>'''''''' '''''''''' '''''''''''' ''''''''' ''''''''''''' '''''''' ''''''''' '''''''''''''''' ''''''''' '''''''''''''' '''''''''' ''''''''''''' '''''''''''' ''''' '''''''''''''' '''''''''''''''''''''''''' '''' ''''''''''''''''''' '''''''' ''''''''''''' ''''''''''''''''''' ''''' '''''''''''''''''''''' ''''''' '''''''' ''''''' ''''''''''''''''''''''' ''''' '''''''''''' ''''' '''''''''''''''''''' ''''''' '''''''''''''''''''''' ''''''' ''''''''''''''''' ''''''' ''''''''' ''''''''''''' '''''''' ''' '''''''' ''''''''''''''''''''' ''''' ''''''''''''' ''''''''' ''''''''''''' ''''''''''''' '''' '''''''' ''''''''''''''''' ''''''''''''''''''' '''''''''''' ''''''''''''''''''' '''''''''''''' '''''''' ''''' '''''''''''''''''''' ''''''''''' ''''''''''' ''''''' '''''' ''''''''''''''''' '''''''''''''''''''' '''''''''''''' ''''''''''''''' '''''''''''''''''' ''''''''' '''''''''' '''''''''''''''''''</w:t>
      </w:r>
      <w:r w:rsidR="00D90D36" w:rsidRPr="00D90D36">
        <w:t xml:space="preserve"> </w:t>
      </w:r>
      <w:r w:rsidR="000E4561">
        <w:t>Prior to th</w:t>
      </w:r>
      <w:r w:rsidR="00B2726F">
        <w:t>ese</w:t>
      </w:r>
      <w:r w:rsidR="000E4561">
        <w:t xml:space="preserve"> meeting</w:t>
      </w:r>
      <w:r w:rsidR="00B2726F">
        <w:t>s</w:t>
      </w:r>
      <w:r w:rsidR="000E4561">
        <w:t>, only one course of PBS-subsidised smoking cessation therapy (bupropion or varenicline) w</w:t>
      </w:r>
      <w:r w:rsidR="003C33AC">
        <w:t>as</w:t>
      </w:r>
      <w:r w:rsidR="000E4561">
        <w:t xml:space="preserve"> authorised per year</w:t>
      </w:r>
      <w:r w:rsidR="006608A1">
        <w:t>.</w:t>
      </w:r>
    </w:p>
    <w:p w:rsidR="005A2299" w:rsidRPr="00964121" w:rsidRDefault="0055468A" w:rsidP="00E4177C">
      <w:pPr>
        <w:rPr>
          <w:u w:val="single"/>
        </w:rPr>
      </w:pPr>
      <w:r>
        <w:rPr>
          <w:u w:val="single"/>
        </w:rPr>
        <w:t>A</w:t>
      </w:r>
      <w:r w:rsidR="006D52EC" w:rsidRPr="00964121">
        <w:rPr>
          <w:u w:val="single"/>
        </w:rPr>
        <w:t>dditional 12-week course for abstainer</w:t>
      </w:r>
      <w:r w:rsidR="00091C28">
        <w:rPr>
          <w:u w:val="single"/>
        </w:rPr>
        <w:t>s</w:t>
      </w:r>
    </w:p>
    <w:p w:rsidR="00467233" w:rsidRDefault="003B727B" w:rsidP="00655CA8">
      <w:r>
        <w:t xml:space="preserve">In November 2009, the PBAC </w:t>
      </w:r>
      <w:r w:rsidR="001D75F7">
        <w:t>recommended the listing of varenicline on the PBS be extended to make available a second 12</w:t>
      </w:r>
      <w:r w:rsidR="009C1CC1">
        <w:t>-</w:t>
      </w:r>
      <w:r w:rsidR="001D75F7">
        <w:t>week course for patients who have successfully completed an initial 12</w:t>
      </w:r>
      <w:r w:rsidR="009C1CC1">
        <w:t>-</w:t>
      </w:r>
      <w:r w:rsidR="001D75F7">
        <w:t>week course of varenicline</w:t>
      </w:r>
      <w:r w:rsidR="00655CA8">
        <w:t>, but require a further 12-week course to aid in maintaining abstinence</w:t>
      </w:r>
      <w:r w:rsidR="009C1CC1">
        <w:t xml:space="preserve"> (i.e. treatment-experienced p</w:t>
      </w:r>
      <w:r w:rsidR="00D520F6">
        <w:t>atients</w:t>
      </w:r>
      <w:r w:rsidR="009C1CC1">
        <w:t xml:space="preserve">). </w:t>
      </w:r>
      <w:r w:rsidR="005158B1">
        <w:t>The listing allowed for only one 12-24 week course of varenicline per year</w:t>
      </w:r>
      <w:r w:rsidR="007F0CFF">
        <w:t xml:space="preserve"> (</w:t>
      </w:r>
      <w:r w:rsidR="00BE48FE">
        <w:t xml:space="preserve">i.e. </w:t>
      </w:r>
      <w:r w:rsidR="007F0CFF" w:rsidRPr="007F0CFF">
        <w:t xml:space="preserve">an additional 12 weeks </w:t>
      </w:r>
      <w:r w:rsidR="007F0CFF">
        <w:t xml:space="preserve">of </w:t>
      </w:r>
      <w:r w:rsidR="006976C3">
        <w:t xml:space="preserve">treatment </w:t>
      </w:r>
      <w:r w:rsidR="007F0CFF" w:rsidRPr="007F0CFF">
        <w:t>f</w:t>
      </w:r>
      <w:r w:rsidR="007F0CFF">
        <w:t>or those who have abstained from smoking</w:t>
      </w:r>
      <w:r w:rsidR="006976C3">
        <w:t>)</w:t>
      </w:r>
      <w:r w:rsidR="007F0CFF">
        <w:t xml:space="preserve"> </w:t>
      </w:r>
      <w:r w:rsidR="00A9671E">
        <w:t>(</w:t>
      </w:r>
      <w:r w:rsidR="00A9671E" w:rsidRPr="008319F8">
        <w:t>Varenicline PSD,</w:t>
      </w:r>
      <w:r w:rsidR="000B3B14" w:rsidRPr="008319F8">
        <w:t xml:space="preserve"> </w:t>
      </w:r>
      <w:r w:rsidR="00963841" w:rsidRPr="008319F8">
        <w:t xml:space="preserve">November </w:t>
      </w:r>
      <w:r w:rsidR="00A9671E" w:rsidRPr="008319F8">
        <w:t>200</w:t>
      </w:r>
      <w:r w:rsidR="000B3B14" w:rsidRPr="008319F8">
        <w:t>9</w:t>
      </w:r>
      <w:r w:rsidR="00963841">
        <w:t xml:space="preserve"> </w:t>
      </w:r>
      <w:r w:rsidR="00963841" w:rsidRPr="008319F8">
        <w:t>PBAC meeting</w:t>
      </w:r>
      <w:r w:rsidR="00A9671E">
        <w:t>).</w:t>
      </w:r>
      <w:r w:rsidR="00523C29">
        <w:t xml:space="preserve"> The</w:t>
      </w:r>
      <w:r w:rsidR="0032588C">
        <w:t xml:space="preserve"> clinical evidence for </w:t>
      </w:r>
      <w:r w:rsidR="009E34FC">
        <w:t xml:space="preserve">the use of varenicline as </w:t>
      </w:r>
      <w:r w:rsidR="0078171D">
        <w:t>completion of a short-term (24 weeks) course of</w:t>
      </w:r>
      <w:r w:rsidR="00B07DF1">
        <w:t xml:space="preserve"> treatment</w:t>
      </w:r>
      <w:r w:rsidR="00C626E0">
        <w:t xml:space="preserve"> is presented </w:t>
      </w:r>
      <w:r w:rsidR="00BD68A6">
        <w:t>under</w:t>
      </w:r>
      <w:r w:rsidR="00C626E0">
        <w:t xml:space="preserve"> the treatment-experienced population section.</w:t>
      </w:r>
    </w:p>
    <w:p w:rsidR="007F0CFF" w:rsidRPr="00964121" w:rsidRDefault="0055468A" w:rsidP="00655CA8">
      <w:pPr>
        <w:rPr>
          <w:u w:val="single"/>
        </w:rPr>
      </w:pPr>
      <w:r>
        <w:rPr>
          <w:u w:val="single"/>
        </w:rPr>
        <w:t>R</w:t>
      </w:r>
      <w:r w:rsidR="00F10199" w:rsidRPr="00964121">
        <w:rPr>
          <w:u w:val="single"/>
        </w:rPr>
        <w:t>etreatment</w:t>
      </w:r>
      <w:r w:rsidR="00C60F7A">
        <w:rPr>
          <w:u w:val="single"/>
        </w:rPr>
        <w:t xml:space="preserve"> (non-abstainer</w:t>
      </w:r>
      <w:r w:rsidR="00091C28">
        <w:rPr>
          <w:u w:val="single"/>
        </w:rPr>
        <w:t>s</w:t>
      </w:r>
      <w:r w:rsidR="00C60F7A">
        <w:rPr>
          <w:u w:val="single"/>
        </w:rPr>
        <w:t>)</w:t>
      </w:r>
    </w:p>
    <w:p w:rsidR="003A7129" w:rsidRDefault="00706A45" w:rsidP="005158B1">
      <w:r>
        <w:t xml:space="preserve">In </w:t>
      </w:r>
      <w:r w:rsidR="00D92938">
        <w:t xml:space="preserve">November 2012 and </w:t>
      </w:r>
      <w:r w:rsidR="004636BB">
        <w:t xml:space="preserve">March 2014, the PBAC considered a </w:t>
      </w:r>
      <w:r w:rsidR="002B219B">
        <w:t xml:space="preserve">request to reduce the time to retreatment with varenicline from 12 to </w:t>
      </w:r>
      <w:r w:rsidR="004B7280">
        <w:t>6</w:t>
      </w:r>
      <w:r w:rsidR="002B219B">
        <w:t xml:space="preserve"> months. </w:t>
      </w:r>
      <w:r w:rsidR="00E67932">
        <w:t>In March 2014, t</w:t>
      </w:r>
      <w:r w:rsidR="00E67932" w:rsidRPr="00E67932">
        <w:t>he PBAC recommended a change to the listing of varenicline to allow an additional course within a</w:t>
      </w:r>
      <w:r w:rsidR="00C90B56">
        <w:t xml:space="preserve"> 12-</w:t>
      </w:r>
      <w:r w:rsidR="00E67932" w:rsidRPr="00E67932">
        <w:t>month period for patients who have been unsuccessful in achieving abstinence from smoking during or after a course of PBS-subsidised varenicline</w:t>
      </w:r>
      <w:r w:rsidR="00750779">
        <w:t xml:space="preserve"> (</w:t>
      </w:r>
      <w:r w:rsidR="00750779" w:rsidRPr="00AA56A9">
        <w:t xml:space="preserve">Varenicline PSD, </w:t>
      </w:r>
      <w:r w:rsidR="00653060" w:rsidRPr="00AA56A9">
        <w:t xml:space="preserve">March </w:t>
      </w:r>
      <w:r w:rsidR="00750779" w:rsidRPr="00AA56A9">
        <w:t>2014</w:t>
      </w:r>
      <w:r w:rsidR="00653060" w:rsidRPr="00AA56A9">
        <w:t xml:space="preserve"> PBAC meeting</w:t>
      </w:r>
      <w:r w:rsidR="00750779">
        <w:t>)</w:t>
      </w:r>
      <w:r w:rsidR="00E67932" w:rsidRPr="00E67932">
        <w:t>.</w:t>
      </w:r>
      <w:r w:rsidR="001243D1">
        <w:t xml:space="preserve"> </w:t>
      </w:r>
      <w:r w:rsidR="004A40CC">
        <w:t xml:space="preserve">The listing </w:t>
      </w:r>
      <w:r w:rsidR="0047692F">
        <w:t xml:space="preserve">required </w:t>
      </w:r>
      <w:r w:rsidR="00AF15A1">
        <w:t>t</w:t>
      </w:r>
      <w:r w:rsidR="0047692F" w:rsidRPr="0047692F">
        <w:t>he period between commencing varenicline a</w:t>
      </w:r>
      <w:r w:rsidR="002F752D">
        <w:t xml:space="preserve">nd </w:t>
      </w:r>
      <w:r w:rsidR="0047692F" w:rsidRPr="0047692F">
        <w:t xml:space="preserve">a further course of varenicline </w:t>
      </w:r>
      <w:r w:rsidR="00AF15A1">
        <w:t>to</w:t>
      </w:r>
      <w:r w:rsidR="0047692F" w:rsidRPr="0047692F">
        <w:t xml:space="preserve"> be at least 6 months</w:t>
      </w:r>
      <w:r w:rsidR="0045792B">
        <w:t>, with</w:t>
      </w:r>
      <w:r w:rsidR="00446D57">
        <w:t xml:space="preserve"> a </w:t>
      </w:r>
      <w:r w:rsidR="0045792B">
        <w:t>total</w:t>
      </w:r>
      <w:r w:rsidR="00446D57">
        <w:t xml:space="preserve"> of</w:t>
      </w:r>
      <w:r w:rsidR="008A1464" w:rsidRPr="008A1464">
        <w:t xml:space="preserve"> 24 weeks of PBS-subsidised</w:t>
      </w:r>
      <w:r w:rsidR="00516187">
        <w:t xml:space="preserve"> varenicline</w:t>
      </w:r>
      <w:r w:rsidR="008A1464" w:rsidRPr="008A1464">
        <w:t xml:space="preserve"> </w:t>
      </w:r>
      <w:r w:rsidR="0045792B">
        <w:t xml:space="preserve">allowed </w:t>
      </w:r>
      <w:r w:rsidR="008A1464" w:rsidRPr="008A1464">
        <w:t>per 12-month period.</w:t>
      </w:r>
      <w:r w:rsidR="000650F9" w:rsidRPr="000650F9">
        <w:t xml:space="preserve"> The clinical evidence for the use of varenicline as </w:t>
      </w:r>
      <w:r w:rsidR="000650F9">
        <w:t>retreatment</w:t>
      </w:r>
      <w:r w:rsidR="000650F9" w:rsidRPr="000650F9">
        <w:t xml:space="preserve"> is presented under the treatment-experienced population section.</w:t>
      </w:r>
    </w:p>
    <w:p w:rsidR="008B6B3A" w:rsidRDefault="002F0C20" w:rsidP="009C77EF">
      <w:r>
        <w:t xml:space="preserve">While the </w:t>
      </w:r>
      <w:r w:rsidR="006D72F6">
        <w:t xml:space="preserve">request </w:t>
      </w:r>
      <w:r w:rsidR="00750779">
        <w:t>made in November 2012 and March 2014</w:t>
      </w:r>
      <w:r w:rsidR="006D72F6">
        <w:t xml:space="preserve"> was for treatment-experienced patients, the submission presented tri</w:t>
      </w:r>
      <w:r w:rsidR="00CA60FA">
        <w:t>a</w:t>
      </w:r>
      <w:r w:rsidR="006D72F6">
        <w:t>l evidence in varenicline</w:t>
      </w:r>
      <w:r w:rsidR="00B51E24">
        <w:t>-</w:t>
      </w:r>
      <w:r w:rsidR="006D72F6">
        <w:t>naïve patients</w:t>
      </w:r>
      <w:r w:rsidR="00294CB2">
        <w:t xml:space="preserve"> as supportive evidence</w:t>
      </w:r>
      <w:r w:rsidR="0045689C">
        <w:t xml:space="preserve"> (</w:t>
      </w:r>
      <w:r w:rsidR="00E225E3" w:rsidRPr="00E225E3">
        <w:t xml:space="preserve">Gonzales </w:t>
      </w:r>
      <w:r w:rsidR="00885A2E">
        <w:t xml:space="preserve">et al. </w:t>
      </w:r>
      <w:r w:rsidR="00E225E3" w:rsidRPr="00E225E3">
        <w:t xml:space="preserve">2006, Jorenby </w:t>
      </w:r>
      <w:r w:rsidR="00885A2E">
        <w:t xml:space="preserve">et al. </w:t>
      </w:r>
      <w:r w:rsidR="00E225E3" w:rsidRPr="00E225E3">
        <w:t xml:space="preserve">2006, </w:t>
      </w:r>
      <w:r w:rsidR="00885A2E">
        <w:t xml:space="preserve">Oncken et al. 2006, </w:t>
      </w:r>
      <w:r w:rsidR="00E225E3" w:rsidRPr="00E225E3">
        <w:t xml:space="preserve">Nakamura </w:t>
      </w:r>
      <w:r w:rsidR="00885A2E">
        <w:t xml:space="preserve">et al. </w:t>
      </w:r>
      <w:r w:rsidR="00E225E3" w:rsidRPr="00E225E3">
        <w:t xml:space="preserve">2007, Rigotti </w:t>
      </w:r>
      <w:r w:rsidR="00885A2E">
        <w:t xml:space="preserve">et al. </w:t>
      </w:r>
      <w:r w:rsidR="00E225E3" w:rsidRPr="00E225E3">
        <w:t>201</w:t>
      </w:r>
      <w:r w:rsidR="006E4423">
        <w:t>0</w:t>
      </w:r>
      <w:r w:rsidR="00E225E3">
        <w:t xml:space="preserve"> and</w:t>
      </w:r>
      <w:r w:rsidR="00E225E3" w:rsidRPr="00E225E3">
        <w:t xml:space="preserve"> Tashkin </w:t>
      </w:r>
      <w:r w:rsidR="00885A2E">
        <w:t xml:space="preserve">et al. </w:t>
      </w:r>
      <w:r w:rsidR="00E225E3" w:rsidRPr="00E225E3">
        <w:t>2011</w:t>
      </w:r>
      <w:r w:rsidR="00E225E3">
        <w:t>)</w:t>
      </w:r>
      <w:r w:rsidR="0055514D">
        <w:t>.</w:t>
      </w:r>
      <w:r w:rsidR="0057264E">
        <w:t xml:space="preserve"> Four </w:t>
      </w:r>
      <w:r w:rsidR="00B51E24">
        <w:t xml:space="preserve">additional </w:t>
      </w:r>
      <w:r w:rsidR="007063BD">
        <w:t>studies</w:t>
      </w:r>
      <w:r w:rsidR="004B35A8">
        <w:t xml:space="preserve"> in varenicline-naïve patients</w:t>
      </w:r>
      <w:r w:rsidR="007063BD">
        <w:t xml:space="preserve"> </w:t>
      </w:r>
      <w:r w:rsidR="008109F9">
        <w:t>presente</w:t>
      </w:r>
      <w:r w:rsidR="00521513">
        <w:t xml:space="preserve">d </w:t>
      </w:r>
      <w:r w:rsidR="007063BD">
        <w:t>in the November 2012 submission were not included in the March 2014 resubmission (</w:t>
      </w:r>
      <w:r w:rsidR="000C4D3D">
        <w:t>Tsai et al. 2007, Wang et al. 2009</w:t>
      </w:r>
      <w:r w:rsidR="00FB14B4">
        <w:t>,</w:t>
      </w:r>
      <w:r w:rsidR="00FB14B4" w:rsidRPr="00FB14B4">
        <w:t xml:space="preserve"> </w:t>
      </w:r>
      <w:r w:rsidR="00FB14B4">
        <w:t>Bolliger et al. 2011</w:t>
      </w:r>
      <w:r w:rsidR="00C03092">
        <w:t xml:space="preserve"> and</w:t>
      </w:r>
      <w:r w:rsidR="00FB14B4">
        <w:t xml:space="preserve"> Rennard et al. 2012</w:t>
      </w:r>
      <w:r w:rsidR="000C4D3D">
        <w:t>)</w:t>
      </w:r>
      <w:r w:rsidR="007D2BF8">
        <w:t xml:space="preserve"> (</w:t>
      </w:r>
      <w:r w:rsidR="007D2BF8" w:rsidRPr="00990358">
        <w:t xml:space="preserve">Varenicline PSD, </w:t>
      </w:r>
      <w:r w:rsidR="0005619D" w:rsidRPr="00990358">
        <w:t xml:space="preserve">November </w:t>
      </w:r>
      <w:r w:rsidR="007D2BF8" w:rsidRPr="00990358">
        <w:t>2012</w:t>
      </w:r>
      <w:r w:rsidR="0005619D" w:rsidRPr="00990358">
        <w:t xml:space="preserve"> and March </w:t>
      </w:r>
      <w:r w:rsidR="007D2BF8" w:rsidRPr="00990358">
        <w:t>2014</w:t>
      </w:r>
      <w:r w:rsidR="0005619D" w:rsidRPr="00990358">
        <w:t xml:space="preserve"> PBAC meeting</w:t>
      </w:r>
      <w:r w:rsidR="00926A0C">
        <w:t>s</w:t>
      </w:r>
      <w:r w:rsidR="007D2BF8">
        <w:t>)</w:t>
      </w:r>
      <w:r w:rsidR="000C4D3D">
        <w:t>.</w:t>
      </w:r>
      <w:r w:rsidR="007063BD">
        <w:t xml:space="preserve"> </w:t>
      </w:r>
    </w:p>
    <w:p w:rsidR="00964121" w:rsidRPr="00A17BB6" w:rsidRDefault="00A17BB6" w:rsidP="009C77EF">
      <w:pPr>
        <w:rPr>
          <w:u w:val="single"/>
        </w:rPr>
      </w:pPr>
      <w:r w:rsidRPr="00A17BB6">
        <w:rPr>
          <w:u w:val="single"/>
        </w:rPr>
        <w:t>Authority Required (STREAMLINED) listing</w:t>
      </w:r>
    </w:p>
    <w:p w:rsidR="00DB4479" w:rsidRDefault="00DB4479" w:rsidP="00820F85">
      <w:r w:rsidRPr="00DB4479">
        <w:t>In March 2015, the PBAC reviewed the restriction level of varenicline as part of the Post</w:t>
      </w:r>
      <w:r w:rsidR="00DC4D88">
        <w:t>-</w:t>
      </w:r>
      <w:r w:rsidRPr="00DB4479">
        <w:t xml:space="preserve">market Review of Authority Required PBS listings, and recommended varenicline remain Authority Required (telephone). </w:t>
      </w:r>
      <w:r w:rsidR="0071091E" w:rsidRPr="0071091E">
        <w:t xml:space="preserve">At that time, the PBAC noted that the market for smoking </w:t>
      </w:r>
      <w:r w:rsidR="0071091E" w:rsidRPr="0071091E">
        <w:lastRenderedPageBreak/>
        <w:t>cessation aids was not yet stable. In response to a subsequent request from the sponsor, prompted by the February 2016 DUSC analysis of smoking cessation therapies, the PBAC advised that a formal submission would be required to address safety concerns regarding psychiatric adverse events</w:t>
      </w:r>
      <w:r w:rsidR="001E0399">
        <w:t xml:space="preserve"> (</w:t>
      </w:r>
      <w:r w:rsidR="001E0399" w:rsidRPr="001D2BD7">
        <w:t>Varenicline PSD, November 2016 PBAC meeting</w:t>
      </w:r>
      <w:r w:rsidR="001E0399">
        <w:t>)</w:t>
      </w:r>
      <w:r w:rsidR="0071091E" w:rsidRPr="0071091E">
        <w:t>.</w:t>
      </w:r>
    </w:p>
    <w:p w:rsidR="00820F85" w:rsidRDefault="00820F85" w:rsidP="00820F85">
      <w:r w:rsidRPr="00820F85">
        <w:t xml:space="preserve">In </w:t>
      </w:r>
      <w:r w:rsidR="00A20DDC">
        <w:t>November 2016</w:t>
      </w:r>
      <w:r w:rsidRPr="00820F85">
        <w:t xml:space="preserve">, the PBAC </w:t>
      </w:r>
      <w:r w:rsidR="002717E9">
        <w:t>recommended</w:t>
      </w:r>
      <w:r w:rsidRPr="00820F85">
        <w:t xml:space="preserve"> to </w:t>
      </w:r>
      <w:r w:rsidR="009E50DF" w:rsidRPr="009E50DF">
        <w:t>amend the listing of varenicline from Authority Required to Authority Required (STREAMLINED</w:t>
      </w:r>
      <w:r w:rsidR="009E50DF">
        <w:t xml:space="preserve">). </w:t>
      </w:r>
      <w:r w:rsidR="009D4E3F">
        <w:t>One study</w:t>
      </w:r>
      <w:r w:rsidR="00260109">
        <w:t xml:space="preserve"> </w:t>
      </w:r>
      <w:r w:rsidR="008E5624">
        <w:t>assessing the neuropsychiatric</w:t>
      </w:r>
      <w:r w:rsidR="006674AF">
        <w:t xml:space="preserve"> safety and efficacy of </w:t>
      </w:r>
      <w:r w:rsidR="004F1358">
        <w:t>varenicline</w:t>
      </w:r>
      <w:r w:rsidR="006674AF">
        <w:t>,</w:t>
      </w:r>
      <w:r w:rsidR="004F1358">
        <w:t xml:space="preserve"> </w:t>
      </w:r>
      <w:r w:rsidRPr="00820F85">
        <w:t xml:space="preserve">bupropion </w:t>
      </w:r>
      <w:r w:rsidR="006674AF">
        <w:t>and</w:t>
      </w:r>
      <w:r w:rsidRPr="00820F85">
        <w:t xml:space="preserve"> NRT</w:t>
      </w:r>
      <w:r w:rsidR="006674AF">
        <w:t xml:space="preserve"> </w:t>
      </w:r>
      <w:r w:rsidR="00573F59">
        <w:t>patches</w:t>
      </w:r>
      <w:r w:rsidRPr="00820F85">
        <w:t xml:space="preserve"> w</w:t>
      </w:r>
      <w:r w:rsidR="004F1358">
        <w:t>as</w:t>
      </w:r>
      <w:r w:rsidRPr="00820F85">
        <w:t xml:space="preserve"> considered by the PBAC at this meeting (</w:t>
      </w:r>
      <w:r w:rsidR="004F1358">
        <w:t>Anthenelli et al.</w:t>
      </w:r>
      <w:r w:rsidR="0026451D">
        <w:t xml:space="preserve"> </w:t>
      </w:r>
      <w:r w:rsidR="004F1358">
        <w:t>2016</w:t>
      </w:r>
      <w:r w:rsidR="0026451D">
        <w:t>;</w:t>
      </w:r>
      <w:r w:rsidR="00FC65FD">
        <w:t xml:space="preserve"> EAGLES</w:t>
      </w:r>
      <w:r w:rsidRPr="00820F85">
        <w:t xml:space="preserve">). </w:t>
      </w:r>
      <w:r w:rsidR="000F2368" w:rsidRPr="000F2368">
        <w:t xml:space="preserve">The PBAC considered that the results of the EAGLES trial </w:t>
      </w:r>
      <w:r w:rsidR="00026C59">
        <w:t>(four-arm study)</w:t>
      </w:r>
      <w:r w:rsidR="000F2368" w:rsidRPr="000F2368">
        <w:t xml:space="preserve"> supported the comparative safety of varenicline, bupropion, NRT and placebo</w:t>
      </w:r>
      <w:r w:rsidR="000F2368">
        <w:t xml:space="preserve">. </w:t>
      </w:r>
      <w:r w:rsidR="00E06286">
        <w:t>Based on th</w:t>
      </w:r>
      <w:r w:rsidR="001F65DE">
        <w:t>e evidence presented</w:t>
      </w:r>
      <w:r w:rsidR="00E06286">
        <w:t xml:space="preserve">, the PBAC </w:t>
      </w:r>
      <w:r w:rsidR="00E06286" w:rsidRPr="00E06286">
        <w:t>considered</w:t>
      </w:r>
      <w:r w:rsidR="001F65DE">
        <w:t xml:space="preserve"> that</w:t>
      </w:r>
      <w:r w:rsidR="00E06286" w:rsidRPr="00E06286">
        <w:t xml:space="preserve"> </w:t>
      </w:r>
      <w:r w:rsidR="001F65DE" w:rsidRPr="001F65DE">
        <w:t>varenicline was non-inferior to bupropion with regards to comparative safety, and likely to be non-inferior to NRT and placebo</w:t>
      </w:r>
      <w:r w:rsidR="00E06286">
        <w:t>.</w:t>
      </w:r>
      <w:r w:rsidR="00CD482E">
        <w:t xml:space="preserve"> </w:t>
      </w:r>
      <w:r w:rsidR="002C62D0">
        <w:t>The PBAC ha</w:t>
      </w:r>
      <w:r w:rsidR="009030BE">
        <w:t>d</w:t>
      </w:r>
      <w:r w:rsidR="002C62D0">
        <w:t xml:space="preserve"> previously considered that varenicline was non-inferior to bupropion</w:t>
      </w:r>
      <w:r w:rsidR="006D602C">
        <w:t xml:space="preserve">, and inferior to NRT and placebo with regards to safety. </w:t>
      </w:r>
      <w:r w:rsidR="00CD482E">
        <w:t>In terms of comparative efficacy, t</w:t>
      </w:r>
      <w:r w:rsidR="00CD482E" w:rsidRPr="00CD482E">
        <w:t>he PBAC consider</w:t>
      </w:r>
      <w:r w:rsidR="00CD482E">
        <w:t>ed</w:t>
      </w:r>
      <w:r w:rsidR="00CD482E" w:rsidRPr="00CD482E">
        <w:t xml:space="preserve"> that varenicline was superior to bupropion, NRT and placebo</w:t>
      </w:r>
      <w:r w:rsidR="00F17299">
        <w:t xml:space="preserve"> (</w:t>
      </w:r>
      <w:r w:rsidR="00F17299" w:rsidRPr="0087602B">
        <w:t xml:space="preserve">Varenicline PSD, </w:t>
      </w:r>
      <w:r w:rsidR="002A6D2D" w:rsidRPr="0087602B">
        <w:t xml:space="preserve">November </w:t>
      </w:r>
      <w:r w:rsidR="00F17299" w:rsidRPr="0087602B">
        <w:t>2016</w:t>
      </w:r>
      <w:r w:rsidR="002A6D2D" w:rsidRPr="0087602B">
        <w:t xml:space="preserve"> PBAC meeting</w:t>
      </w:r>
      <w:r w:rsidR="00F17299">
        <w:t>)</w:t>
      </w:r>
      <w:r w:rsidR="00CD482E" w:rsidRPr="00CD482E">
        <w:t>.</w:t>
      </w:r>
    </w:p>
    <w:p w:rsidR="00F17299" w:rsidRDefault="00F17299" w:rsidP="00820F85">
      <w:pPr>
        <w:rPr>
          <w:b/>
          <w:bCs/>
        </w:rPr>
      </w:pPr>
      <w:r w:rsidRPr="00D77C02">
        <w:rPr>
          <w:b/>
          <w:bCs/>
        </w:rPr>
        <w:t xml:space="preserve">Varenicline versus </w:t>
      </w:r>
      <w:r w:rsidR="00D77C02" w:rsidRPr="00D77C02">
        <w:rPr>
          <w:b/>
          <w:bCs/>
        </w:rPr>
        <w:t>placebo</w:t>
      </w:r>
    </w:p>
    <w:p w:rsidR="00E20806" w:rsidRDefault="00D77C02" w:rsidP="00D77C02">
      <w:r>
        <w:t xml:space="preserve">A summary of the citation details for the studies comparing </w:t>
      </w:r>
      <w:r w:rsidR="006D0141">
        <w:t>varenicline</w:t>
      </w:r>
      <w:r>
        <w:t xml:space="preserve"> with placebo is presented in</w:t>
      </w:r>
      <w:r w:rsidR="006D0141">
        <w:t xml:space="preserve"> </w:t>
      </w:r>
      <w:r w:rsidR="003C4A1C">
        <w:t xml:space="preserve">Table </w:t>
      </w:r>
      <w:r w:rsidR="003C4A1C">
        <w:rPr>
          <w:noProof/>
        </w:rPr>
        <w:t>13</w:t>
      </w:r>
      <w:r>
        <w:t xml:space="preserve">. </w:t>
      </w:r>
      <w:r w:rsidR="008F44D5">
        <w:t>Eleven</w:t>
      </w:r>
      <w:r w:rsidRPr="00626312">
        <w:t xml:space="preserve"> studies were previously considered by the PBAC</w:t>
      </w:r>
      <w:r>
        <w:t xml:space="preserve"> (</w:t>
      </w:r>
      <w:r w:rsidR="00C03092" w:rsidRPr="00C03092">
        <w:t xml:space="preserve">Gonzales et al. 2006, Jorenby et al. 2006, Oncken et al. 2006, Nakamura et al. 2007, </w:t>
      </w:r>
      <w:r w:rsidR="00C03092">
        <w:t>Tsai et al. 2007, Wang et al. 2009,</w:t>
      </w:r>
      <w:r w:rsidR="00C03092" w:rsidRPr="00FB14B4">
        <w:t xml:space="preserve"> </w:t>
      </w:r>
      <w:r w:rsidR="00C03092">
        <w:t xml:space="preserve">Bolliger et al. 2011, </w:t>
      </w:r>
      <w:r w:rsidR="00C03092" w:rsidRPr="00C03092">
        <w:t>Rigotti et al. 201</w:t>
      </w:r>
      <w:r w:rsidR="006E4423">
        <w:t>0</w:t>
      </w:r>
      <w:r w:rsidR="0009587B">
        <w:t xml:space="preserve">, </w:t>
      </w:r>
      <w:r w:rsidR="00C03092" w:rsidRPr="00C03092">
        <w:t>Tashkin et al. 2011</w:t>
      </w:r>
      <w:r w:rsidR="0009587B">
        <w:t xml:space="preserve">, Rennard et al. 2012 and </w:t>
      </w:r>
      <w:r w:rsidR="00CE5752">
        <w:t>EAGLES</w:t>
      </w:r>
      <w:r w:rsidR="0009587B">
        <w:t xml:space="preserve"> 2016</w:t>
      </w:r>
      <w:r>
        <w:t>)</w:t>
      </w:r>
      <w:r w:rsidRPr="00626312">
        <w:t xml:space="preserve">. A recently conducted Cochrane </w:t>
      </w:r>
      <w:r w:rsidR="004769D7">
        <w:t>R</w:t>
      </w:r>
      <w:r w:rsidRPr="00626312">
        <w:t xml:space="preserve">eview by </w:t>
      </w:r>
      <w:r w:rsidR="003C5A20">
        <w:t>Cahill</w:t>
      </w:r>
      <w:r w:rsidRPr="00626312">
        <w:t xml:space="preserve"> et al. (20</w:t>
      </w:r>
      <w:r w:rsidR="003C5A20">
        <w:t>16</w:t>
      </w:r>
      <w:r w:rsidRPr="00626312">
        <w:t xml:space="preserve">) was identified in the systematic literature review </w:t>
      </w:r>
      <w:r>
        <w:t xml:space="preserve">that compared </w:t>
      </w:r>
      <w:r w:rsidR="003C5A20">
        <w:t>varenicline</w:t>
      </w:r>
      <w:r>
        <w:t xml:space="preserve"> </w:t>
      </w:r>
      <w:r w:rsidR="006C6203">
        <w:t>with</w:t>
      </w:r>
      <w:r>
        <w:t xml:space="preserve"> placebo </w:t>
      </w:r>
      <w:r w:rsidRPr="00626312">
        <w:t>and was included in this re</w:t>
      </w:r>
      <w:r>
        <w:t>port</w:t>
      </w:r>
      <w:r w:rsidRPr="00626312">
        <w:t>.</w:t>
      </w:r>
      <w:r>
        <w:t xml:space="preserve"> </w:t>
      </w:r>
    </w:p>
    <w:p w:rsidR="00D77C02" w:rsidRDefault="00955CBB" w:rsidP="00D77C02">
      <w:r>
        <w:t>Eight</w:t>
      </w:r>
      <w:r w:rsidR="00534C51">
        <w:t xml:space="preserve"> </w:t>
      </w:r>
      <w:r w:rsidR="008D1903">
        <w:t xml:space="preserve">new </w:t>
      </w:r>
      <w:r w:rsidR="00534C51">
        <w:t xml:space="preserve">studies were </w:t>
      </w:r>
      <w:r w:rsidR="008D1903">
        <w:t>identified</w:t>
      </w:r>
      <w:r w:rsidR="0043356E">
        <w:t xml:space="preserve"> in the supplemental literature search</w:t>
      </w:r>
      <w:r w:rsidR="008D1903">
        <w:t xml:space="preserve"> </w:t>
      </w:r>
      <w:r w:rsidR="00F86A69">
        <w:t>t</w:t>
      </w:r>
      <w:r w:rsidR="00AD5481">
        <w:t>hat</w:t>
      </w:r>
      <w:r w:rsidR="00F86A69">
        <w:t xml:space="preserve"> inform</w:t>
      </w:r>
      <w:r w:rsidR="00AD5481">
        <w:t>ed</w:t>
      </w:r>
      <w:r w:rsidR="00F86A69">
        <w:t xml:space="preserve"> this comparison </w:t>
      </w:r>
      <w:r w:rsidR="001514F1">
        <w:t xml:space="preserve">and were included in the </w:t>
      </w:r>
      <w:r w:rsidR="0066767B">
        <w:t>updated re-analysis of the Cochrane Review</w:t>
      </w:r>
      <w:r w:rsidR="001F052D" w:rsidRPr="001F052D">
        <w:t xml:space="preserve"> </w:t>
      </w:r>
      <w:r w:rsidR="001F052D">
        <w:t>(</w:t>
      </w:r>
      <w:r w:rsidR="001F052D" w:rsidRPr="001F052D">
        <w:t>Lerman</w:t>
      </w:r>
      <w:r w:rsidR="001F052D">
        <w:t xml:space="preserve"> et al.</w:t>
      </w:r>
      <w:r w:rsidR="001F052D" w:rsidRPr="001F052D">
        <w:t xml:space="preserve"> 2015, </w:t>
      </w:r>
      <w:r w:rsidR="00DF6DC6">
        <w:t xml:space="preserve">Littlewood et al. 2017, </w:t>
      </w:r>
      <w:r w:rsidR="006F4549">
        <w:t xml:space="preserve">Benowitz et al. 2018, </w:t>
      </w:r>
      <w:r w:rsidR="001F052D" w:rsidRPr="001F052D">
        <w:t>Hurt</w:t>
      </w:r>
      <w:r w:rsidR="001F052D">
        <w:t xml:space="preserve"> et al.</w:t>
      </w:r>
      <w:r w:rsidR="001F052D" w:rsidRPr="001F052D">
        <w:t xml:space="preserve"> 2018, </w:t>
      </w:r>
      <w:r w:rsidR="006F4549">
        <w:t xml:space="preserve">Mercie et al. 2018, </w:t>
      </w:r>
      <w:r w:rsidR="001F052D" w:rsidRPr="001F052D">
        <w:t xml:space="preserve">Windle </w:t>
      </w:r>
      <w:r w:rsidR="001F052D">
        <w:t xml:space="preserve">et al. </w:t>
      </w:r>
      <w:r w:rsidR="001F052D" w:rsidRPr="001F052D">
        <w:t>201</w:t>
      </w:r>
      <w:r w:rsidR="00122F46">
        <w:t>8</w:t>
      </w:r>
      <w:r w:rsidR="001F052D" w:rsidRPr="001F052D">
        <w:t>, Ashare</w:t>
      </w:r>
      <w:r w:rsidR="001F052D">
        <w:t xml:space="preserve"> et al.</w:t>
      </w:r>
      <w:r w:rsidR="001F052D" w:rsidRPr="001F052D">
        <w:t xml:space="preserve"> 2019, Chen</w:t>
      </w:r>
      <w:r w:rsidR="001F052D">
        <w:t xml:space="preserve"> et al.</w:t>
      </w:r>
      <w:r w:rsidR="001F052D" w:rsidRPr="001F052D">
        <w:t xml:space="preserve"> 2020</w:t>
      </w:r>
      <w:r w:rsidR="001F052D">
        <w:t>)</w:t>
      </w:r>
      <w:r w:rsidR="0066767B">
        <w:t xml:space="preserve">. </w:t>
      </w:r>
      <w:r w:rsidR="00D77C02">
        <w:t xml:space="preserve"> </w:t>
      </w:r>
    </w:p>
    <w:p w:rsidR="00D77C02" w:rsidRDefault="00D77C02" w:rsidP="00912DFE">
      <w:pPr>
        <w:pStyle w:val="Caption"/>
        <w:keepNext/>
      </w:pPr>
      <w:bookmarkStart w:id="75" w:name="_Ref53492969"/>
      <w:r>
        <w:t xml:space="preserve">Table </w:t>
      </w:r>
      <w:r w:rsidR="003C4A1C">
        <w:rPr>
          <w:noProof/>
        </w:rPr>
        <w:t>13</w:t>
      </w:r>
      <w:bookmarkEnd w:id="75"/>
      <w:r>
        <w:t xml:space="preserve">: List of studies comparing </w:t>
      </w:r>
      <w:r w:rsidR="006D0141">
        <w:t>varenicline</w:t>
      </w:r>
      <w:r>
        <w:t xml:space="preserve"> with placebo</w:t>
      </w:r>
    </w:p>
    <w:tbl>
      <w:tblPr>
        <w:tblStyle w:val="TableGrid"/>
        <w:tblW w:w="5000" w:type="pct"/>
        <w:tblLook w:val="04A0" w:firstRow="1" w:lastRow="0" w:firstColumn="1" w:lastColumn="0" w:noHBand="0" w:noVBand="1"/>
        <w:tblCaption w:val="Efficacy results of adalimumab trials (PASI 75 and DLQI)"/>
      </w:tblPr>
      <w:tblGrid>
        <w:gridCol w:w="925"/>
        <w:gridCol w:w="8091"/>
      </w:tblGrid>
      <w:tr w:rsidR="0039468B" w:rsidRPr="00061F78" w:rsidTr="00CE2B04">
        <w:trPr>
          <w:cantSplit/>
          <w:trHeight w:val="329"/>
          <w:tblHeader/>
        </w:trPr>
        <w:tc>
          <w:tcPr>
            <w:tcW w:w="505" w:type="pct"/>
            <w:shd w:val="clear" w:color="auto" w:fill="BFBFBF" w:themeFill="background1" w:themeFillShade="BF"/>
            <w:tcMar>
              <w:left w:w="28" w:type="dxa"/>
              <w:right w:w="28" w:type="dxa"/>
            </w:tcMar>
          </w:tcPr>
          <w:p w:rsidR="00D77C02" w:rsidRPr="00061F78" w:rsidRDefault="00126B7B" w:rsidP="002916A7">
            <w:pPr>
              <w:pStyle w:val="Tableheading"/>
              <w:rPr>
                <w:rFonts w:eastAsia="MS Mincho"/>
              </w:rPr>
            </w:pPr>
            <w:r>
              <w:rPr>
                <w:rFonts w:eastAsia="MS Mincho"/>
              </w:rPr>
              <w:t>Study</w:t>
            </w:r>
          </w:p>
        </w:tc>
        <w:tc>
          <w:tcPr>
            <w:tcW w:w="4495" w:type="pct"/>
            <w:shd w:val="clear" w:color="auto" w:fill="BFBFBF" w:themeFill="background1" w:themeFillShade="BF"/>
          </w:tcPr>
          <w:p w:rsidR="00D77C02" w:rsidRDefault="00D77C02" w:rsidP="002916A7">
            <w:pPr>
              <w:pStyle w:val="Tableheading"/>
              <w:jc w:val="center"/>
              <w:rPr>
                <w:rFonts w:eastAsia="MS Mincho"/>
              </w:rPr>
            </w:pPr>
            <w:r>
              <w:rPr>
                <w:rFonts w:eastAsia="MS Mincho"/>
              </w:rPr>
              <w:t>Citation</w:t>
            </w:r>
          </w:p>
        </w:tc>
      </w:tr>
      <w:tr w:rsidR="0039468B" w:rsidRPr="00061F78" w:rsidTr="00DB200B">
        <w:trPr>
          <w:cantSplit/>
          <w:trHeight w:val="109"/>
        </w:trPr>
        <w:tc>
          <w:tcPr>
            <w:tcW w:w="505" w:type="pct"/>
            <w:shd w:val="clear" w:color="auto" w:fill="D9D9D9" w:themeFill="background1" w:themeFillShade="D9"/>
            <w:tcMar>
              <w:left w:w="28" w:type="dxa"/>
              <w:right w:w="28" w:type="dxa"/>
            </w:tcMar>
          </w:tcPr>
          <w:p w:rsidR="00AC450E" w:rsidRDefault="00743F7E" w:rsidP="002916A7">
            <w:pPr>
              <w:pStyle w:val="Tablewriting"/>
              <w:rPr>
                <w:rFonts w:eastAsia="MS Mincho"/>
              </w:rPr>
            </w:pPr>
            <w:r>
              <w:rPr>
                <w:rFonts w:eastAsia="MS Mincho"/>
              </w:rPr>
              <w:t xml:space="preserve">Gonzales </w:t>
            </w:r>
            <w:r w:rsidR="00434D4D">
              <w:rPr>
                <w:rFonts w:eastAsia="MS Mincho"/>
              </w:rPr>
              <w:t>(</w:t>
            </w:r>
            <w:r>
              <w:rPr>
                <w:rFonts w:eastAsia="MS Mincho"/>
              </w:rPr>
              <w:t>2006</w:t>
            </w:r>
            <w:r w:rsidR="00434D4D">
              <w:rPr>
                <w:rFonts w:eastAsia="MS Mincho"/>
              </w:rPr>
              <w:t>)</w:t>
            </w:r>
            <w:r w:rsidR="0039468B" w:rsidRPr="00527212">
              <w:rPr>
                <w:rFonts w:eastAsia="MS Mincho"/>
                <w:noProof/>
                <w:vertAlign w:val="superscript"/>
              </w:rPr>
              <w:t>8</w:t>
            </w:r>
          </w:p>
        </w:tc>
        <w:tc>
          <w:tcPr>
            <w:tcW w:w="4495" w:type="pct"/>
            <w:shd w:val="clear" w:color="auto" w:fill="D9D9D9" w:themeFill="background1" w:themeFillShade="D9"/>
          </w:tcPr>
          <w:p w:rsidR="00AC450E" w:rsidRPr="00B90A70" w:rsidRDefault="000554FE" w:rsidP="002916A7">
            <w:pPr>
              <w:pStyle w:val="Tablewriting"/>
              <w:rPr>
                <w:rFonts w:eastAsia="MS Mincho"/>
              </w:rPr>
            </w:pPr>
            <w:r w:rsidRPr="000554FE">
              <w:rPr>
                <w:rFonts w:eastAsia="MS Mincho"/>
              </w:rPr>
              <w:t>Gonzales D, Rennard SI, Nides M, Oncken C, Azoulay S, Billing CB, Watsky EJ, Gong J, Williams KE, Reeves KR, Varenicline Phase 3 Study Group. Varenicline, an α4β2 nicotinic acetylcholine receptor partial agonist, vs sustained-release bupropion and placebo for smoking cessation: a randomized controlled trial. Jama. 2006 Jul 5;296(1):47-55.</w:t>
            </w:r>
          </w:p>
        </w:tc>
      </w:tr>
      <w:tr w:rsidR="0039468B" w:rsidRPr="00061F78" w:rsidTr="00DB200B">
        <w:trPr>
          <w:cantSplit/>
          <w:trHeight w:val="109"/>
        </w:trPr>
        <w:tc>
          <w:tcPr>
            <w:tcW w:w="505" w:type="pct"/>
            <w:shd w:val="clear" w:color="auto" w:fill="D9D9D9" w:themeFill="background1" w:themeFillShade="D9"/>
            <w:tcMar>
              <w:left w:w="28" w:type="dxa"/>
              <w:right w:w="28" w:type="dxa"/>
            </w:tcMar>
          </w:tcPr>
          <w:p w:rsidR="00743F7E" w:rsidRDefault="00863814" w:rsidP="002916A7">
            <w:pPr>
              <w:pStyle w:val="Tablewriting"/>
              <w:rPr>
                <w:rFonts w:eastAsia="MS Mincho"/>
              </w:rPr>
            </w:pPr>
            <w:r>
              <w:rPr>
                <w:rFonts w:eastAsia="MS Mincho"/>
              </w:rPr>
              <w:t xml:space="preserve">Jorenby </w:t>
            </w:r>
            <w:r w:rsidR="00434D4D">
              <w:rPr>
                <w:rFonts w:eastAsia="MS Mincho"/>
              </w:rPr>
              <w:t>(</w:t>
            </w:r>
            <w:r>
              <w:rPr>
                <w:rFonts w:eastAsia="MS Mincho"/>
              </w:rPr>
              <w:t>2006</w:t>
            </w:r>
            <w:r w:rsidR="00434D4D">
              <w:rPr>
                <w:rFonts w:eastAsia="MS Mincho"/>
              </w:rPr>
              <w:t>)</w:t>
            </w:r>
            <w:r w:rsidR="0039468B" w:rsidRPr="00527212">
              <w:rPr>
                <w:rFonts w:eastAsia="MS Mincho"/>
                <w:noProof/>
                <w:vertAlign w:val="superscript"/>
              </w:rPr>
              <w:t>9</w:t>
            </w:r>
          </w:p>
        </w:tc>
        <w:tc>
          <w:tcPr>
            <w:tcW w:w="4495" w:type="pct"/>
            <w:shd w:val="clear" w:color="auto" w:fill="D9D9D9" w:themeFill="background1" w:themeFillShade="D9"/>
          </w:tcPr>
          <w:p w:rsidR="00743F7E" w:rsidRPr="00B90A70" w:rsidRDefault="00FD5577" w:rsidP="002916A7">
            <w:pPr>
              <w:pStyle w:val="Tablewriting"/>
              <w:rPr>
                <w:rFonts w:eastAsia="MS Mincho"/>
              </w:rPr>
            </w:pPr>
            <w:r w:rsidRPr="00FD5577">
              <w:rPr>
                <w:rFonts w:eastAsia="MS Mincho"/>
              </w:rPr>
              <w:t>Jorenby DE, Hays JT, Rigotti NA, Azoulay S, Watsky EJ, Williams KE, Billing CB, Gong J, Reeves KR, Varenicline Phase 3 Study Group. Efficacy of varenicline, an α4β2 nicotinic acetylcholine receptor partial agonist, vs placebo or sustained-release bupropion for smoking cessation: a randomized controlled trial. Jama. 2006 Jul 5;296(1):56-63.</w:t>
            </w:r>
          </w:p>
        </w:tc>
      </w:tr>
      <w:tr w:rsidR="0039468B" w:rsidRPr="00061F78" w:rsidTr="00DB200B">
        <w:trPr>
          <w:cantSplit/>
          <w:trHeight w:val="109"/>
        </w:trPr>
        <w:tc>
          <w:tcPr>
            <w:tcW w:w="505" w:type="pct"/>
            <w:shd w:val="clear" w:color="auto" w:fill="D9D9D9" w:themeFill="background1" w:themeFillShade="D9"/>
            <w:tcMar>
              <w:left w:w="28" w:type="dxa"/>
              <w:right w:w="28" w:type="dxa"/>
            </w:tcMar>
          </w:tcPr>
          <w:p w:rsidR="002D739B" w:rsidRDefault="002D739B" w:rsidP="002916A7">
            <w:pPr>
              <w:pStyle w:val="Tablewriting"/>
              <w:rPr>
                <w:rFonts w:eastAsia="MS Mincho"/>
              </w:rPr>
            </w:pPr>
            <w:r>
              <w:rPr>
                <w:rFonts w:eastAsia="MS Mincho"/>
              </w:rPr>
              <w:t xml:space="preserve">Oncken </w:t>
            </w:r>
            <w:r w:rsidR="00434D4D">
              <w:rPr>
                <w:rFonts w:eastAsia="MS Mincho"/>
              </w:rPr>
              <w:t>(</w:t>
            </w:r>
            <w:r>
              <w:rPr>
                <w:rFonts w:eastAsia="MS Mincho"/>
              </w:rPr>
              <w:t>2006</w:t>
            </w:r>
            <w:r w:rsidR="00434D4D">
              <w:rPr>
                <w:rFonts w:eastAsia="MS Mincho"/>
              </w:rPr>
              <w:t>)</w:t>
            </w:r>
            <w:r w:rsidR="0039468B" w:rsidRPr="00527212">
              <w:rPr>
                <w:rFonts w:eastAsia="MS Mincho"/>
                <w:noProof/>
                <w:vertAlign w:val="superscript"/>
              </w:rPr>
              <w:t>10</w:t>
            </w:r>
          </w:p>
        </w:tc>
        <w:tc>
          <w:tcPr>
            <w:tcW w:w="4495" w:type="pct"/>
            <w:shd w:val="clear" w:color="auto" w:fill="D9D9D9" w:themeFill="background1" w:themeFillShade="D9"/>
          </w:tcPr>
          <w:p w:rsidR="002D739B" w:rsidRPr="00B90A70" w:rsidRDefault="0009554F" w:rsidP="002916A7">
            <w:pPr>
              <w:pStyle w:val="Tablewriting"/>
              <w:rPr>
                <w:rFonts w:eastAsia="MS Mincho"/>
              </w:rPr>
            </w:pPr>
            <w:r w:rsidRPr="0009554F">
              <w:rPr>
                <w:rFonts w:eastAsia="MS Mincho"/>
              </w:rPr>
              <w:t>Oncken C, Gonzales D, Nides M, Rennard S, Watsky E, Billing CB, Anziano R, Reeves K. Efficacy and safety of the novel selective nicotinic acetylcholine receptor partial agonist, varenicline, for smoking cessation. Archives of internal medicine. 2006 Aug 14;166(15):1571-7.</w:t>
            </w:r>
          </w:p>
        </w:tc>
      </w:tr>
      <w:tr w:rsidR="0039468B" w:rsidRPr="00061F78" w:rsidTr="00DB200B">
        <w:trPr>
          <w:cantSplit/>
          <w:trHeight w:val="109"/>
        </w:trPr>
        <w:tc>
          <w:tcPr>
            <w:tcW w:w="505" w:type="pct"/>
            <w:shd w:val="clear" w:color="auto" w:fill="D9D9D9" w:themeFill="background1" w:themeFillShade="D9"/>
            <w:tcMar>
              <w:left w:w="28" w:type="dxa"/>
              <w:right w:w="28" w:type="dxa"/>
            </w:tcMar>
          </w:tcPr>
          <w:p w:rsidR="002D739B" w:rsidRDefault="002D739B" w:rsidP="002916A7">
            <w:pPr>
              <w:pStyle w:val="Tablewriting"/>
              <w:rPr>
                <w:rFonts w:eastAsia="MS Mincho"/>
              </w:rPr>
            </w:pPr>
            <w:r>
              <w:rPr>
                <w:rFonts w:eastAsia="MS Mincho"/>
              </w:rPr>
              <w:t xml:space="preserve">Nakamura </w:t>
            </w:r>
            <w:r w:rsidR="00434D4D">
              <w:rPr>
                <w:rFonts w:eastAsia="MS Mincho"/>
              </w:rPr>
              <w:t>(</w:t>
            </w:r>
            <w:r>
              <w:rPr>
                <w:rFonts w:eastAsia="MS Mincho"/>
              </w:rPr>
              <w:t>2007</w:t>
            </w:r>
            <w:r w:rsidR="00434D4D">
              <w:rPr>
                <w:rFonts w:eastAsia="MS Mincho"/>
              </w:rPr>
              <w:t>)</w:t>
            </w:r>
            <w:r w:rsidR="0039468B" w:rsidRPr="00527212">
              <w:rPr>
                <w:rFonts w:eastAsia="MS Mincho"/>
                <w:noProof/>
                <w:vertAlign w:val="superscript"/>
              </w:rPr>
              <w:t>11</w:t>
            </w:r>
          </w:p>
        </w:tc>
        <w:tc>
          <w:tcPr>
            <w:tcW w:w="4495" w:type="pct"/>
            <w:shd w:val="clear" w:color="auto" w:fill="D9D9D9" w:themeFill="background1" w:themeFillShade="D9"/>
          </w:tcPr>
          <w:p w:rsidR="002D739B" w:rsidRPr="00B90A70" w:rsidRDefault="003B4F0E" w:rsidP="002916A7">
            <w:pPr>
              <w:pStyle w:val="Tablewriting"/>
              <w:rPr>
                <w:rFonts w:eastAsia="MS Mincho"/>
              </w:rPr>
            </w:pPr>
            <w:r w:rsidRPr="003B4F0E">
              <w:rPr>
                <w:rFonts w:eastAsia="MS Mincho"/>
              </w:rPr>
              <w:t>Nakamura M, Oshima A, Fujimoto Y, Maruyama N, Ishibashi T, Reeves KR. Efficacy and tolerability of varenicline, an α4β2 nicotinic acetylcholine receptor partial agonist, in a 12-week, randomized, placebo-controlled, dose-response study with 40-week follow-up for smoking cessation in Japanese smokers. Clinical therapeutics. 2007 Jun 1;29(6):1040-56.</w:t>
            </w:r>
          </w:p>
        </w:tc>
      </w:tr>
      <w:tr w:rsidR="0039468B" w:rsidRPr="00061F78" w:rsidTr="00DB200B">
        <w:trPr>
          <w:cantSplit/>
          <w:trHeight w:val="109"/>
        </w:trPr>
        <w:tc>
          <w:tcPr>
            <w:tcW w:w="505" w:type="pct"/>
            <w:shd w:val="clear" w:color="auto" w:fill="D9D9D9" w:themeFill="background1" w:themeFillShade="D9"/>
            <w:tcMar>
              <w:left w:w="28" w:type="dxa"/>
              <w:right w:w="28" w:type="dxa"/>
            </w:tcMar>
          </w:tcPr>
          <w:p w:rsidR="00814ECD" w:rsidRDefault="00814ECD" w:rsidP="002916A7">
            <w:pPr>
              <w:pStyle w:val="Tablewriting"/>
              <w:rPr>
                <w:rFonts w:eastAsia="MS Mincho"/>
              </w:rPr>
            </w:pPr>
            <w:r>
              <w:rPr>
                <w:rFonts w:eastAsia="MS Mincho"/>
              </w:rPr>
              <w:lastRenderedPageBreak/>
              <w:t xml:space="preserve">Tsai </w:t>
            </w:r>
            <w:r w:rsidR="00434D4D">
              <w:rPr>
                <w:rFonts w:eastAsia="MS Mincho"/>
              </w:rPr>
              <w:t>(</w:t>
            </w:r>
            <w:r>
              <w:rPr>
                <w:rFonts w:eastAsia="MS Mincho"/>
              </w:rPr>
              <w:t>2007</w:t>
            </w:r>
            <w:r w:rsidR="00434D4D">
              <w:rPr>
                <w:rFonts w:eastAsia="MS Mincho"/>
              </w:rPr>
              <w:t>)</w:t>
            </w:r>
            <w:r w:rsidR="0039468B" w:rsidRPr="00527212">
              <w:rPr>
                <w:rFonts w:eastAsia="MS Mincho"/>
                <w:noProof/>
                <w:vertAlign w:val="superscript"/>
              </w:rPr>
              <w:t>12</w:t>
            </w:r>
          </w:p>
        </w:tc>
        <w:tc>
          <w:tcPr>
            <w:tcW w:w="4495" w:type="pct"/>
            <w:shd w:val="clear" w:color="auto" w:fill="D9D9D9" w:themeFill="background1" w:themeFillShade="D9"/>
          </w:tcPr>
          <w:p w:rsidR="00814ECD" w:rsidRPr="00B90A70" w:rsidRDefault="007B624D" w:rsidP="002916A7">
            <w:pPr>
              <w:pStyle w:val="Tablewriting"/>
              <w:rPr>
                <w:rFonts w:eastAsia="MS Mincho"/>
              </w:rPr>
            </w:pPr>
            <w:r w:rsidRPr="007B624D">
              <w:rPr>
                <w:rFonts w:eastAsia="MS Mincho"/>
              </w:rPr>
              <w:t>Tsai ST, Cho HJ, Cheng HS, Kim CH, Hsueh KC, Billing Jr CB, Williams KE. A randomized, placebo-controlled trial of varenicline, a selective α4β2 nicotinic acetylcholine receptor partial agonist, as a new therapy for smoking cessation in Asian smokers. Clinical therapeutics. 2007 Jun 1;29(6):1027-39.</w:t>
            </w:r>
          </w:p>
        </w:tc>
      </w:tr>
      <w:tr w:rsidR="0039468B" w:rsidRPr="00061F78" w:rsidTr="00DB200B">
        <w:trPr>
          <w:cantSplit/>
          <w:trHeight w:val="109"/>
        </w:trPr>
        <w:tc>
          <w:tcPr>
            <w:tcW w:w="505" w:type="pct"/>
            <w:shd w:val="clear" w:color="auto" w:fill="D9D9D9" w:themeFill="background1" w:themeFillShade="D9"/>
            <w:tcMar>
              <w:left w:w="28" w:type="dxa"/>
              <w:right w:w="28" w:type="dxa"/>
            </w:tcMar>
          </w:tcPr>
          <w:p w:rsidR="00FB14B4" w:rsidRDefault="00FB14B4" w:rsidP="002916A7">
            <w:pPr>
              <w:pStyle w:val="Tablewriting"/>
              <w:rPr>
                <w:rFonts w:eastAsia="MS Mincho"/>
              </w:rPr>
            </w:pPr>
            <w:r>
              <w:rPr>
                <w:rFonts w:eastAsia="MS Mincho"/>
              </w:rPr>
              <w:t xml:space="preserve">Wang </w:t>
            </w:r>
            <w:r w:rsidR="00434D4D">
              <w:rPr>
                <w:rFonts w:eastAsia="MS Mincho"/>
              </w:rPr>
              <w:t>(</w:t>
            </w:r>
            <w:r>
              <w:rPr>
                <w:rFonts w:eastAsia="MS Mincho"/>
              </w:rPr>
              <w:t>2009</w:t>
            </w:r>
            <w:r w:rsidR="00434D4D">
              <w:rPr>
                <w:rFonts w:eastAsia="MS Mincho"/>
              </w:rPr>
              <w:t>)</w:t>
            </w:r>
            <w:r w:rsidR="0039468B" w:rsidRPr="00527212">
              <w:rPr>
                <w:rFonts w:eastAsia="MS Mincho"/>
                <w:noProof/>
                <w:vertAlign w:val="superscript"/>
              </w:rPr>
              <w:t>13</w:t>
            </w:r>
          </w:p>
        </w:tc>
        <w:tc>
          <w:tcPr>
            <w:tcW w:w="4495" w:type="pct"/>
            <w:shd w:val="clear" w:color="auto" w:fill="D9D9D9" w:themeFill="background1" w:themeFillShade="D9"/>
          </w:tcPr>
          <w:p w:rsidR="00FB14B4" w:rsidRPr="00B90A70" w:rsidRDefault="008E4F6B" w:rsidP="002916A7">
            <w:pPr>
              <w:pStyle w:val="Tablewriting"/>
              <w:rPr>
                <w:rFonts w:eastAsia="MS Mincho"/>
              </w:rPr>
            </w:pPr>
            <w:r w:rsidRPr="008E4F6B">
              <w:rPr>
                <w:rFonts w:eastAsia="MS Mincho"/>
              </w:rPr>
              <w:t>Wang C, Xiao D, Chan KP, Pothirat C, Garza D, Davies S. Varenicline for smoking cessation: a placebo‐controlled, randomized study. Respirology. 2009 Apr;14(3):384-92.</w:t>
            </w:r>
          </w:p>
        </w:tc>
      </w:tr>
      <w:tr w:rsidR="0039468B" w:rsidRPr="00061F78" w:rsidTr="00DB200B">
        <w:trPr>
          <w:cantSplit/>
          <w:trHeight w:val="109"/>
        </w:trPr>
        <w:tc>
          <w:tcPr>
            <w:tcW w:w="505" w:type="pct"/>
            <w:shd w:val="clear" w:color="auto" w:fill="D9D9D9" w:themeFill="background1" w:themeFillShade="D9"/>
            <w:tcMar>
              <w:left w:w="28" w:type="dxa"/>
              <w:right w:w="28" w:type="dxa"/>
            </w:tcMar>
          </w:tcPr>
          <w:p w:rsidR="00A878F1" w:rsidRDefault="00A878F1" w:rsidP="002916A7">
            <w:pPr>
              <w:pStyle w:val="Tablewriting"/>
              <w:rPr>
                <w:rFonts w:eastAsia="MS Mincho"/>
              </w:rPr>
            </w:pPr>
            <w:r>
              <w:rPr>
                <w:rFonts w:eastAsia="MS Mincho"/>
              </w:rPr>
              <w:t xml:space="preserve">Bolliger </w:t>
            </w:r>
            <w:r w:rsidR="00434D4D">
              <w:rPr>
                <w:rFonts w:eastAsia="MS Mincho"/>
              </w:rPr>
              <w:t>(</w:t>
            </w:r>
            <w:r>
              <w:rPr>
                <w:rFonts w:eastAsia="MS Mincho"/>
              </w:rPr>
              <w:t>2011</w:t>
            </w:r>
            <w:r w:rsidR="00434D4D">
              <w:rPr>
                <w:rFonts w:eastAsia="MS Mincho"/>
              </w:rPr>
              <w:t>)</w:t>
            </w:r>
            <w:r w:rsidR="0039468B" w:rsidRPr="00527212">
              <w:rPr>
                <w:rFonts w:eastAsia="MS Mincho"/>
                <w:noProof/>
                <w:vertAlign w:val="superscript"/>
              </w:rPr>
              <w:t>14</w:t>
            </w:r>
          </w:p>
        </w:tc>
        <w:tc>
          <w:tcPr>
            <w:tcW w:w="4495" w:type="pct"/>
            <w:shd w:val="clear" w:color="auto" w:fill="D9D9D9" w:themeFill="background1" w:themeFillShade="D9"/>
          </w:tcPr>
          <w:p w:rsidR="00A878F1" w:rsidRPr="00B90A70" w:rsidRDefault="00F55322" w:rsidP="002916A7">
            <w:pPr>
              <w:pStyle w:val="Tablewriting"/>
              <w:rPr>
                <w:rFonts w:eastAsia="MS Mincho"/>
              </w:rPr>
            </w:pPr>
            <w:r w:rsidRPr="00F55322">
              <w:rPr>
                <w:rFonts w:eastAsia="MS Mincho"/>
              </w:rPr>
              <w:t>Bolliger CT, Issa JS, Posadas-Valay R, Safwat T, Abreu P, Correia EA, Park PW, Chopra P. Effects of varenicline in adult smokers: a multinational, 24-week, randomized, double-blind, placebo-controlled study. Clinical therapeutics. 2011 Apr 1;33(4):465-77.</w:t>
            </w:r>
          </w:p>
        </w:tc>
      </w:tr>
      <w:tr w:rsidR="0039468B" w:rsidRPr="00061F78" w:rsidTr="00DB200B">
        <w:trPr>
          <w:cantSplit/>
          <w:trHeight w:val="109"/>
        </w:trPr>
        <w:tc>
          <w:tcPr>
            <w:tcW w:w="505" w:type="pct"/>
            <w:shd w:val="clear" w:color="auto" w:fill="D9D9D9" w:themeFill="background1" w:themeFillShade="D9"/>
            <w:tcMar>
              <w:left w:w="28" w:type="dxa"/>
              <w:right w:w="28" w:type="dxa"/>
            </w:tcMar>
          </w:tcPr>
          <w:p w:rsidR="00A878F1" w:rsidRDefault="00A878F1" w:rsidP="002916A7">
            <w:pPr>
              <w:pStyle w:val="Tablewriting"/>
              <w:rPr>
                <w:rFonts w:eastAsia="MS Mincho"/>
              </w:rPr>
            </w:pPr>
            <w:r>
              <w:rPr>
                <w:rFonts w:eastAsia="MS Mincho"/>
              </w:rPr>
              <w:t xml:space="preserve">Rigotti </w:t>
            </w:r>
            <w:r w:rsidR="00434D4D">
              <w:rPr>
                <w:rFonts w:eastAsia="MS Mincho"/>
              </w:rPr>
              <w:t>(</w:t>
            </w:r>
            <w:r>
              <w:rPr>
                <w:rFonts w:eastAsia="MS Mincho"/>
              </w:rPr>
              <w:t>201</w:t>
            </w:r>
            <w:r w:rsidR="006E4423">
              <w:rPr>
                <w:rFonts w:eastAsia="MS Mincho"/>
              </w:rPr>
              <w:t>0</w:t>
            </w:r>
            <w:r w:rsidR="00434D4D">
              <w:rPr>
                <w:rFonts w:eastAsia="MS Mincho"/>
              </w:rPr>
              <w:t>)</w:t>
            </w:r>
            <w:r w:rsidR="0039468B" w:rsidRPr="00527212">
              <w:rPr>
                <w:rFonts w:eastAsia="MS Mincho"/>
                <w:noProof/>
                <w:vertAlign w:val="superscript"/>
              </w:rPr>
              <w:t>15</w:t>
            </w:r>
          </w:p>
        </w:tc>
        <w:tc>
          <w:tcPr>
            <w:tcW w:w="4495" w:type="pct"/>
            <w:shd w:val="clear" w:color="auto" w:fill="D9D9D9" w:themeFill="background1" w:themeFillShade="D9"/>
          </w:tcPr>
          <w:p w:rsidR="00A878F1" w:rsidRPr="00B90A70" w:rsidRDefault="006E4423" w:rsidP="002916A7">
            <w:pPr>
              <w:pStyle w:val="Tablewriting"/>
              <w:rPr>
                <w:rFonts w:eastAsia="MS Mincho"/>
              </w:rPr>
            </w:pPr>
            <w:r w:rsidRPr="006E4423">
              <w:rPr>
                <w:rFonts w:eastAsia="MS Mincho"/>
              </w:rPr>
              <w:t>Rigotti NA, Pipe AL, Benowitz NL, Arteaga C, Garza D, Tonstad S. Efficacy and safety of varenicline for smoking cessation in patients with cardiovascular disease: a randomized trial. Circulation. 2010 Jan 19;121(2):221-9.</w:t>
            </w:r>
          </w:p>
        </w:tc>
      </w:tr>
      <w:tr w:rsidR="0039468B" w:rsidRPr="00061F78" w:rsidTr="00DB200B">
        <w:trPr>
          <w:cantSplit/>
          <w:trHeight w:val="109"/>
        </w:trPr>
        <w:tc>
          <w:tcPr>
            <w:tcW w:w="505" w:type="pct"/>
            <w:shd w:val="clear" w:color="auto" w:fill="D9D9D9" w:themeFill="background1" w:themeFillShade="D9"/>
            <w:tcMar>
              <w:left w:w="28" w:type="dxa"/>
              <w:right w:w="28" w:type="dxa"/>
            </w:tcMar>
          </w:tcPr>
          <w:p w:rsidR="00A878F1" w:rsidRDefault="00A878F1" w:rsidP="002916A7">
            <w:pPr>
              <w:pStyle w:val="Tablewriting"/>
              <w:rPr>
                <w:rFonts w:eastAsia="MS Mincho"/>
              </w:rPr>
            </w:pPr>
            <w:r>
              <w:rPr>
                <w:rFonts w:eastAsia="MS Mincho"/>
              </w:rPr>
              <w:t xml:space="preserve">Tashkin </w:t>
            </w:r>
            <w:r w:rsidR="00434D4D">
              <w:rPr>
                <w:rFonts w:eastAsia="MS Mincho"/>
              </w:rPr>
              <w:t>(</w:t>
            </w:r>
            <w:r>
              <w:rPr>
                <w:rFonts w:eastAsia="MS Mincho"/>
              </w:rPr>
              <w:t>2011</w:t>
            </w:r>
            <w:r w:rsidR="00434D4D">
              <w:rPr>
                <w:rFonts w:eastAsia="MS Mincho"/>
              </w:rPr>
              <w:t>)</w:t>
            </w:r>
            <w:r w:rsidR="0039468B" w:rsidRPr="00527212">
              <w:rPr>
                <w:rFonts w:eastAsia="MS Mincho"/>
                <w:noProof/>
                <w:vertAlign w:val="superscript"/>
              </w:rPr>
              <w:t>16</w:t>
            </w:r>
          </w:p>
        </w:tc>
        <w:tc>
          <w:tcPr>
            <w:tcW w:w="4495" w:type="pct"/>
            <w:shd w:val="clear" w:color="auto" w:fill="D9D9D9" w:themeFill="background1" w:themeFillShade="D9"/>
          </w:tcPr>
          <w:p w:rsidR="00A878F1" w:rsidRPr="00B90A70" w:rsidRDefault="00602D80" w:rsidP="002916A7">
            <w:pPr>
              <w:pStyle w:val="Tablewriting"/>
              <w:rPr>
                <w:rFonts w:eastAsia="MS Mincho"/>
              </w:rPr>
            </w:pPr>
            <w:r w:rsidRPr="00602D80">
              <w:rPr>
                <w:rFonts w:eastAsia="MS Mincho"/>
              </w:rPr>
              <w:t>Tashkin DP, Rennard S, Hays JT, Ma W, Lawrence D, Lee TC. Effects of varenicline on smoking cessation in patients with mild to moderate COPD: a randomized controlled trial. Chest. 2011 Mar 1;139(3):591-9.</w:t>
            </w:r>
          </w:p>
        </w:tc>
      </w:tr>
      <w:tr w:rsidR="0039468B" w:rsidRPr="00061F78" w:rsidTr="00DB200B">
        <w:trPr>
          <w:cantSplit/>
          <w:trHeight w:val="109"/>
        </w:trPr>
        <w:tc>
          <w:tcPr>
            <w:tcW w:w="505" w:type="pct"/>
            <w:shd w:val="clear" w:color="auto" w:fill="D9D9D9" w:themeFill="background1" w:themeFillShade="D9"/>
            <w:tcMar>
              <w:left w:w="28" w:type="dxa"/>
              <w:right w:w="28" w:type="dxa"/>
            </w:tcMar>
          </w:tcPr>
          <w:p w:rsidR="00A878F1" w:rsidRDefault="00A878F1" w:rsidP="002916A7">
            <w:pPr>
              <w:pStyle w:val="Tablewriting"/>
              <w:rPr>
                <w:rFonts w:eastAsia="MS Mincho"/>
              </w:rPr>
            </w:pPr>
            <w:r>
              <w:rPr>
                <w:rFonts w:eastAsia="MS Mincho"/>
              </w:rPr>
              <w:t xml:space="preserve">Rennard </w:t>
            </w:r>
            <w:r w:rsidR="00434D4D">
              <w:rPr>
                <w:rFonts w:eastAsia="MS Mincho"/>
              </w:rPr>
              <w:t>(</w:t>
            </w:r>
            <w:r>
              <w:rPr>
                <w:rFonts w:eastAsia="MS Mincho"/>
              </w:rPr>
              <w:t>2012</w:t>
            </w:r>
            <w:r w:rsidR="00434D4D">
              <w:rPr>
                <w:rFonts w:eastAsia="MS Mincho"/>
              </w:rPr>
              <w:t>)</w:t>
            </w:r>
            <w:r w:rsidR="0039468B" w:rsidRPr="00527212">
              <w:rPr>
                <w:rFonts w:eastAsia="MS Mincho"/>
                <w:noProof/>
                <w:vertAlign w:val="superscript"/>
              </w:rPr>
              <w:t>17</w:t>
            </w:r>
          </w:p>
        </w:tc>
        <w:tc>
          <w:tcPr>
            <w:tcW w:w="4495" w:type="pct"/>
            <w:shd w:val="clear" w:color="auto" w:fill="D9D9D9" w:themeFill="background1" w:themeFillShade="D9"/>
          </w:tcPr>
          <w:p w:rsidR="00A878F1" w:rsidRPr="00B90A70" w:rsidRDefault="00E82DC1" w:rsidP="002916A7">
            <w:pPr>
              <w:pStyle w:val="Tablewriting"/>
              <w:rPr>
                <w:rFonts w:eastAsia="MS Mincho"/>
              </w:rPr>
            </w:pPr>
            <w:r w:rsidRPr="00E82DC1">
              <w:rPr>
                <w:rFonts w:eastAsia="MS Mincho"/>
              </w:rPr>
              <w:t>Rennard S, Hughes J, Cinciripini PM, Kralikova E, Raupach T, Arteaga C, St Aubin LB, Russ C. A randomized placebo-controlled trial of varenicline for smoking cessation allowing flexible quit dates. Nicotine &amp; tobacco research. 2012 Mar 1;14(3):343-50.</w:t>
            </w:r>
          </w:p>
        </w:tc>
      </w:tr>
      <w:tr w:rsidR="0039468B" w:rsidRPr="00061F78" w:rsidTr="00DB200B">
        <w:trPr>
          <w:cantSplit/>
          <w:trHeight w:val="109"/>
        </w:trPr>
        <w:tc>
          <w:tcPr>
            <w:tcW w:w="505" w:type="pct"/>
            <w:shd w:val="clear" w:color="auto" w:fill="D9D9D9" w:themeFill="background1" w:themeFillShade="D9"/>
            <w:tcMar>
              <w:left w:w="28" w:type="dxa"/>
              <w:right w:w="28" w:type="dxa"/>
            </w:tcMar>
          </w:tcPr>
          <w:p w:rsidR="00E24CCD" w:rsidRDefault="00E24CCD" w:rsidP="002916A7">
            <w:pPr>
              <w:pStyle w:val="Tablewriting"/>
              <w:rPr>
                <w:rFonts w:eastAsia="MS Mincho"/>
              </w:rPr>
            </w:pPr>
            <w:r>
              <w:rPr>
                <w:rFonts w:eastAsia="MS Mincho"/>
              </w:rPr>
              <w:t>Anthenelli</w:t>
            </w:r>
            <w:r w:rsidR="006D0A10">
              <w:rPr>
                <w:rFonts w:eastAsia="MS Mincho"/>
              </w:rPr>
              <w:t xml:space="preserve"> (</w:t>
            </w:r>
            <w:r w:rsidR="00CD08E1">
              <w:rPr>
                <w:rFonts w:eastAsia="MS Mincho"/>
              </w:rPr>
              <w:t xml:space="preserve">EAGLES, </w:t>
            </w:r>
            <w:r w:rsidR="006D0A10">
              <w:rPr>
                <w:rFonts w:eastAsia="MS Mincho"/>
              </w:rPr>
              <w:t>2016)</w:t>
            </w:r>
            <w:r w:rsidR="0039468B" w:rsidRPr="00527212">
              <w:rPr>
                <w:rFonts w:eastAsia="MS Mincho"/>
                <w:noProof/>
                <w:vertAlign w:val="superscript"/>
              </w:rPr>
              <w:t>18</w:t>
            </w:r>
          </w:p>
        </w:tc>
        <w:tc>
          <w:tcPr>
            <w:tcW w:w="4495" w:type="pct"/>
            <w:shd w:val="clear" w:color="auto" w:fill="D9D9D9" w:themeFill="background1" w:themeFillShade="D9"/>
          </w:tcPr>
          <w:p w:rsidR="00E24CCD" w:rsidRPr="003B6CC8" w:rsidRDefault="00B90A70" w:rsidP="002916A7">
            <w:pPr>
              <w:pStyle w:val="Tablewriting"/>
              <w:rPr>
                <w:rFonts w:eastAsia="MS Mincho"/>
              </w:rPr>
            </w:pPr>
            <w:r w:rsidRPr="00B90A70">
              <w:rPr>
                <w:rFonts w:eastAsia="MS Mincho"/>
              </w:rPr>
              <w:t>Anthenelli RM, Benowitz NL, West R, St Aubin L, McRae T, Lawrence D, Ascher J, Russ C, Krishen A, Evins AE. Neuropsychiatric safety and efficacy of varenicline, bupropion, and nicotine patch in smokers with and without psychiatric disorders (EAGLES): a double-blind, randomised, placebo-controlled clinical trial. Lancet. 2016 Jun 18;387(10037):2507-20.</w:t>
            </w:r>
          </w:p>
        </w:tc>
      </w:tr>
      <w:tr w:rsidR="0039468B" w:rsidRPr="00061F78" w:rsidTr="00CE2B04">
        <w:trPr>
          <w:cantSplit/>
          <w:trHeight w:val="164"/>
        </w:trPr>
        <w:tc>
          <w:tcPr>
            <w:tcW w:w="505" w:type="pct"/>
            <w:tcMar>
              <w:left w:w="28" w:type="dxa"/>
              <w:right w:w="28" w:type="dxa"/>
            </w:tcMar>
          </w:tcPr>
          <w:p w:rsidR="00D77C02" w:rsidRPr="00D07303" w:rsidRDefault="00434D4D" w:rsidP="002916A7">
            <w:pPr>
              <w:pStyle w:val="Tablewriting"/>
              <w:rPr>
                <w:rFonts w:eastAsia="MS Mincho"/>
                <w:vertAlign w:val="superscript"/>
              </w:rPr>
            </w:pPr>
            <w:r>
              <w:rPr>
                <w:rFonts w:eastAsia="MS Mincho"/>
              </w:rPr>
              <w:t>Cahill (2016)</w:t>
            </w:r>
            <w:r w:rsidR="0039468B">
              <w:rPr>
                <w:rFonts w:eastAsia="MS Mincho"/>
                <w:noProof/>
                <w:vertAlign w:val="superscript"/>
              </w:rPr>
              <w:t>19</w:t>
            </w:r>
          </w:p>
        </w:tc>
        <w:tc>
          <w:tcPr>
            <w:tcW w:w="4495" w:type="pct"/>
          </w:tcPr>
          <w:p w:rsidR="00D77C02" w:rsidRDefault="00C01E20" w:rsidP="002916A7">
            <w:pPr>
              <w:pStyle w:val="Tablewriting"/>
              <w:rPr>
                <w:rFonts w:eastAsia="MS Mincho"/>
              </w:rPr>
            </w:pPr>
            <w:r w:rsidRPr="00C01E20">
              <w:rPr>
                <w:rFonts w:eastAsia="MS Mincho"/>
              </w:rPr>
              <w:t>Cahill  K, Lindson‐Hawley  N, Thomas  KH, Fanshawe  TR, Lancaster  T. Nicotine receptor partial agonists for smoking cessation. Cochrane Database of Systematic Reviews 2016, Issue 5. Art. No.: CD006103.</w:t>
            </w:r>
          </w:p>
        </w:tc>
      </w:tr>
      <w:tr w:rsidR="0039468B" w:rsidRPr="00061F78" w:rsidTr="00CE2B04">
        <w:trPr>
          <w:cantSplit/>
          <w:trHeight w:val="164"/>
        </w:trPr>
        <w:tc>
          <w:tcPr>
            <w:tcW w:w="505" w:type="pct"/>
            <w:tcMar>
              <w:left w:w="28" w:type="dxa"/>
              <w:right w:w="28" w:type="dxa"/>
            </w:tcMar>
          </w:tcPr>
          <w:p w:rsidR="001F052D" w:rsidRDefault="001F052D" w:rsidP="002916A7">
            <w:pPr>
              <w:pStyle w:val="Tablewriting"/>
              <w:rPr>
                <w:rFonts w:eastAsia="MS Mincho"/>
              </w:rPr>
            </w:pPr>
            <w:r>
              <w:rPr>
                <w:rFonts w:eastAsia="MS Mincho"/>
              </w:rPr>
              <w:t>Lerman (2015)</w:t>
            </w:r>
            <w:r w:rsidR="0039468B" w:rsidRPr="00527212">
              <w:rPr>
                <w:rFonts w:eastAsia="MS Mincho"/>
                <w:noProof/>
                <w:vertAlign w:val="superscript"/>
              </w:rPr>
              <w:t>20</w:t>
            </w:r>
          </w:p>
        </w:tc>
        <w:tc>
          <w:tcPr>
            <w:tcW w:w="4495" w:type="pct"/>
          </w:tcPr>
          <w:p w:rsidR="001F052D" w:rsidRPr="00C01E20" w:rsidRDefault="00AB23F3" w:rsidP="002916A7">
            <w:pPr>
              <w:pStyle w:val="Tablewriting"/>
              <w:rPr>
                <w:rFonts w:eastAsia="MS Mincho"/>
              </w:rPr>
            </w:pPr>
            <w:r w:rsidRPr="00AB23F3">
              <w:rPr>
                <w:rFonts w:eastAsia="MS Mincho"/>
              </w:rPr>
              <w:t xml:space="preserve">Lerman C, Schnoll RA, Hawk LW Jr, Cinciripini P, George TP, Wileyto EP, Swan GE, Benowitz NL, Heitjan DF, Tyndale RF; PGRN-PNAT Research Group. Use of the nicotine metabolite ratio as a genetically informed biomarker of response to nicotine patch or varenicline for smoking cessation: a randomised, double-blind placebo-controlled trial. Lancet Respir Med. 2015 Feb;3(2):131-138. </w:t>
            </w:r>
          </w:p>
        </w:tc>
      </w:tr>
      <w:tr w:rsidR="0039468B" w:rsidRPr="00061F78" w:rsidTr="00CE2B04">
        <w:trPr>
          <w:cantSplit/>
          <w:trHeight w:val="164"/>
        </w:trPr>
        <w:tc>
          <w:tcPr>
            <w:tcW w:w="505" w:type="pct"/>
            <w:tcMar>
              <w:left w:w="28" w:type="dxa"/>
              <w:right w:w="28" w:type="dxa"/>
            </w:tcMar>
          </w:tcPr>
          <w:p w:rsidR="00FB68FB" w:rsidRDefault="00FB68FB" w:rsidP="002916A7">
            <w:pPr>
              <w:pStyle w:val="Tablewriting"/>
              <w:rPr>
                <w:rFonts w:eastAsia="MS Mincho"/>
              </w:rPr>
            </w:pPr>
            <w:r>
              <w:rPr>
                <w:rFonts w:eastAsia="MS Mincho"/>
              </w:rPr>
              <w:t>Littlewood (2017)</w:t>
            </w:r>
            <w:r w:rsidR="0039468B" w:rsidRPr="00527212">
              <w:rPr>
                <w:rFonts w:eastAsia="MS Mincho"/>
                <w:noProof/>
                <w:vertAlign w:val="superscript"/>
              </w:rPr>
              <w:t>21</w:t>
            </w:r>
          </w:p>
        </w:tc>
        <w:tc>
          <w:tcPr>
            <w:tcW w:w="4495" w:type="pct"/>
          </w:tcPr>
          <w:p w:rsidR="00FB68FB" w:rsidRPr="00AB23F3" w:rsidRDefault="003A15DD" w:rsidP="002916A7">
            <w:pPr>
              <w:pStyle w:val="Tablewriting"/>
              <w:rPr>
                <w:rFonts w:eastAsia="MS Mincho"/>
              </w:rPr>
            </w:pPr>
            <w:r w:rsidRPr="003A15DD">
              <w:rPr>
                <w:rFonts w:eastAsia="MS Mincho"/>
              </w:rPr>
              <w:t>Littlewood RA, Claus ED, Wilcox CE, Mickey J, Arenella PB, Bryan AD, Hutchison KE. Moderators of smoking cessation outcomes in a randomized-controlled trial of varenicline versus placebo. Psychopharmacology (Berl). 2017 Dec;234(23-24):3417-3429.</w:t>
            </w:r>
          </w:p>
        </w:tc>
      </w:tr>
      <w:tr w:rsidR="0039468B" w:rsidRPr="00061F78" w:rsidTr="00CE2B04">
        <w:trPr>
          <w:cantSplit/>
          <w:trHeight w:val="164"/>
        </w:trPr>
        <w:tc>
          <w:tcPr>
            <w:tcW w:w="505" w:type="pct"/>
            <w:tcMar>
              <w:left w:w="28" w:type="dxa"/>
              <w:right w:w="28" w:type="dxa"/>
            </w:tcMar>
          </w:tcPr>
          <w:p w:rsidR="00397236" w:rsidRDefault="00397236" w:rsidP="002916A7">
            <w:pPr>
              <w:pStyle w:val="Tablewriting"/>
              <w:rPr>
                <w:rFonts w:eastAsia="MS Mincho"/>
              </w:rPr>
            </w:pPr>
            <w:r>
              <w:rPr>
                <w:rFonts w:eastAsia="MS Mincho"/>
              </w:rPr>
              <w:t>Benowitz (2018)</w:t>
            </w:r>
            <w:r w:rsidR="0039468B" w:rsidRPr="00527212">
              <w:rPr>
                <w:rFonts w:eastAsia="MS Mincho"/>
                <w:noProof/>
                <w:vertAlign w:val="superscript"/>
              </w:rPr>
              <w:t>4</w:t>
            </w:r>
          </w:p>
        </w:tc>
        <w:tc>
          <w:tcPr>
            <w:tcW w:w="4495" w:type="pct"/>
          </w:tcPr>
          <w:p w:rsidR="00397236" w:rsidRPr="003A15DD" w:rsidRDefault="00C4557B" w:rsidP="002916A7">
            <w:pPr>
              <w:pStyle w:val="Tablewriting"/>
              <w:rPr>
                <w:rFonts w:eastAsia="MS Mincho"/>
              </w:rPr>
            </w:pPr>
            <w:r w:rsidRPr="00C4557B">
              <w:rPr>
                <w:rFonts w:eastAsia="MS Mincho"/>
              </w:rPr>
              <w:t>Benowitz NL, Pipe A, West R, Hays JT, Tonstad S, McRae T, Lawrence D, St Aubin L, Anthenelli RM. Cardiovascular Safety of Varenicline, Bupropion, and Nicotine Patch in Smokers: A Randomized Clinical Trial. JAMA Intern Med. 2018 May 1;178(5):622-631.</w:t>
            </w:r>
          </w:p>
        </w:tc>
      </w:tr>
      <w:tr w:rsidR="0039468B" w:rsidRPr="00061F78" w:rsidTr="00CE2B04">
        <w:trPr>
          <w:cantSplit/>
          <w:trHeight w:val="164"/>
        </w:trPr>
        <w:tc>
          <w:tcPr>
            <w:tcW w:w="505" w:type="pct"/>
            <w:tcMar>
              <w:left w:w="28" w:type="dxa"/>
              <w:right w:w="28" w:type="dxa"/>
            </w:tcMar>
          </w:tcPr>
          <w:p w:rsidR="001F052D" w:rsidRDefault="001F052D" w:rsidP="002916A7">
            <w:pPr>
              <w:pStyle w:val="Tablewriting"/>
              <w:rPr>
                <w:rFonts w:eastAsia="MS Mincho"/>
              </w:rPr>
            </w:pPr>
            <w:r>
              <w:rPr>
                <w:rFonts w:eastAsia="MS Mincho"/>
              </w:rPr>
              <w:t>Hurt (2018)</w:t>
            </w:r>
            <w:r w:rsidR="0039468B" w:rsidRPr="00527212">
              <w:rPr>
                <w:rFonts w:eastAsia="MS Mincho"/>
                <w:noProof/>
                <w:vertAlign w:val="superscript"/>
              </w:rPr>
              <w:t>22</w:t>
            </w:r>
          </w:p>
        </w:tc>
        <w:tc>
          <w:tcPr>
            <w:tcW w:w="4495" w:type="pct"/>
          </w:tcPr>
          <w:p w:rsidR="001F052D" w:rsidRPr="00C01E20" w:rsidRDefault="00EA67B6" w:rsidP="002916A7">
            <w:pPr>
              <w:pStyle w:val="Tablewriting"/>
              <w:rPr>
                <w:rFonts w:eastAsia="MS Mincho"/>
              </w:rPr>
            </w:pPr>
            <w:r w:rsidRPr="00EA67B6">
              <w:rPr>
                <w:rFonts w:eastAsia="MS Mincho"/>
              </w:rPr>
              <w:t>Hurt RT, Ebbert JO, Croghan IT, Schroeder DR, Hurt RD, Hays JT. Varenicline for tobacco-dependence treatment in alcohol-dependent smokers: A randomized controlled trial. Drug Alcohol Depend. 2018 Mar 1;184:12-17</w:t>
            </w:r>
          </w:p>
        </w:tc>
      </w:tr>
      <w:tr w:rsidR="0039468B" w:rsidRPr="00061F78" w:rsidTr="00CE2B04">
        <w:trPr>
          <w:cantSplit/>
          <w:trHeight w:val="164"/>
        </w:trPr>
        <w:tc>
          <w:tcPr>
            <w:tcW w:w="505" w:type="pct"/>
            <w:tcMar>
              <w:left w:w="28" w:type="dxa"/>
              <w:right w:w="28" w:type="dxa"/>
            </w:tcMar>
          </w:tcPr>
          <w:p w:rsidR="00397236" w:rsidRDefault="00397236" w:rsidP="002916A7">
            <w:pPr>
              <w:pStyle w:val="Tablewriting"/>
              <w:rPr>
                <w:rFonts w:eastAsia="MS Mincho"/>
              </w:rPr>
            </w:pPr>
            <w:r>
              <w:rPr>
                <w:rFonts w:eastAsia="MS Mincho"/>
              </w:rPr>
              <w:t>Mercie (2018)</w:t>
            </w:r>
            <w:r w:rsidR="0039468B" w:rsidRPr="001E01A4">
              <w:rPr>
                <w:rFonts w:eastAsia="MS Mincho"/>
                <w:noProof/>
                <w:vertAlign w:val="superscript"/>
              </w:rPr>
              <w:t>23</w:t>
            </w:r>
          </w:p>
        </w:tc>
        <w:tc>
          <w:tcPr>
            <w:tcW w:w="4495" w:type="pct"/>
          </w:tcPr>
          <w:p w:rsidR="00397236" w:rsidRPr="00EA67B6" w:rsidRDefault="00EA561D" w:rsidP="002916A7">
            <w:pPr>
              <w:pStyle w:val="Tablewriting"/>
              <w:rPr>
                <w:rFonts w:eastAsia="MS Mincho"/>
              </w:rPr>
            </w:pPr>
            <w:r w:rsidRPr="00EA561D">
              <w:rPr>
                <w:rFonts w:eastAsia="MS Mincho"/>
              </w:rPr>
              <w:t>Mercié P, Arsandaux J, Katlama C, Ferret S, Beuscart A, Spadone C, Duvivier C, Reynes J, Wirth N, Moinot L, Bénard A, Zucman D, Duval X, Molina JM, Spire B, Fagard C, Chêne G; ANRS 144 Inter-ACTIV study group. Efficacy and safety of varenicline for smoking cessation in people living with HIV in France (ANRS 144 Inter-ACTIV): a randomised controlled phase 3 clinical trial. Lancet HIV. 2018 Mar;5(3):e126-e135.</w:t>
            </w:r>
          </w:p>
        </w:tc>
      </w:tr>
      <w:tr w:rsidR="0039468B" w:rsidRPr="00061F78" w:rsidTr="00CE2B04">
        <w:trPr>
          <w:cantSplit/>
          <w:trHeight w:val="164"/>
        </w:trPr>
        <w:tc>
          <w:tcPr>
            <w:tcW w:w="505" w:type="pct"/>
            <w:tcMar>
              <w:left w:w="28" w:type="dxa"/>
              <w:right w:w="28" w:type="dxa"/>
            </w:tcMar>
          </w:tcPr>
          <w:p w:rsidR="001F052D" w:rsidRDefault="00122F46" w:rsidP="002916A7">
            <w:pPr>
              <w:pStyle w:val="Tablewriting"/>
              <w:rPr>
                <w:rFonts w:eastAsia="MS Mincho"/>
              </w:rPr>
            </w:pPr>
            <w:r>
              <w:rPr>
                <w:rFonts w:eastAsia="MS Mincho"/>
              </w:rPr>
              <w:t>Windle (2018)</w:t>
            </w:r>
            <w:r w:rsidR="0039468B" w:rsidRPr="001E01A4">
              <w:rPr>
                <w:rFonts w:eastAsia="MS Mincho"/>
                <w:noProof/>
                <w:vertAlign w:val="superscript"/>
              </w:rPr>
              <w:t>24</w:t>
            </w:r>
          </w:p>
        </w:tc>
        <w:tc>
          <w:tcPr>
            <w:tcW w:w="4495" w:type="pct"/>
          </w:tcPr>
          <w:p w:rsidR="001F052D" w:rsidRPr="00C01E20" w:rsidRDefault="00324F8F" w:rsidP="002916A7">
            <w:pPr>
              <w:pStyle w:val="Tablewriting"/>
              <w:rPr>
                <w:rFonts w:eastAsia="MS Mincho"/>
              </w:rPr>
            </w:pPr>
            <w:r w:rsidRPr="00324F8F">
              <w:rPr>
                <w:rFonts w:eastAsia="MS Mincho"/>
              </w:rPr>
              <w:t>Windle SB, Dehghani P, Roy N, Old W, Grondin FR, Bata I, Iskander A, Lauzon C, Srivastava N, Clarke A, Cassavar D, Dion D, Haught H, Mehta SR, Baril JF, Lambert C, Madan M, Abramson BL, Eisenberg MJ; EVITA Investigators. Smoking abstinence 1 year after acute coronary syndrome: follow-up from a randomized controlled trial of varenicline in patients admitted to hospital. CMAJ. 2018 Mar 26;190(12):E347-E354.</w:t>
            </w:r>
          </w:p>
        </w:tc>
      </w:tr>
      <w:tr w:rsidR="0039468B" w:rsidRPr="00061F78" w:rsidTr="00CE2B04">
        <w:trPr>
          <w:cantSplit/>
          <w:trHeight w:val="164"/>
        </w:trPr>
        <w:tc>
          <w:tcPr>
            <w:tcW w:w="505" w:type="pct"/>
            <w:tcMar>
              <w:left w:w="28" w:type="dxa"/>
              <w:right w:w="28" w:type="dxa"/>
            </w:tcMar>
          </w:tcPr>
          <w:p w:rsidR="001F052D" w:rsidRDefault="00122F46" w:rsidP="002916A7">
            <w:pPr>
              <w:pStyle w:val="Tablewriting"/>
              <w:rPr>
                <w:rFonts w:eastAsia="MS Mincho"/>
              </w:rPr>
            </w:pPr>
            <w:r>
              <w:rPr>
                <w:rFonts w:eastAsia="MS Mincho"/>
              </w:rPr>
              <w:lastRenderedPageBreak/>
              <w:t>Ashare (2019)</w:t>
            </w:r>
            <w:r w:rsidR="0039468B" w:rsidRPr="001E01A4">
              <w:rPr>
                <w:rFonts w:eastAsia="MS Mincho"/>
                <w:noProof/>
                <w:vertAlign w:val="superscript"/>
              </w:rPr>
              <w:t>25</w:t>
            </w:r>
          </w:p>
        </w:tc>
        <w:tc>
          <w:tcPr>
            <w:tcW w:w="4495" w:type="pct"/>
          </w:tcPr>
          <w:p w:rsidR="001F052D" w:rsidRPr="00C01E20" w:rsidRDefault="0063108A" w:rsidP="002916A7">
            <w:pPr>
              <w:pStyle w:val="Tablewriting"/>
              <w:rPr>
                <w:rFonts w:eastAsia="MS Mincho"/>
              </w:rPr>
            </w:pPr>
            <w:r w:rsidRPr="0063108A">
              <w:rPr>
                <w:rFonts w:eastAsia="MS Mincho"/>
              </w:rPr>
              <w:t>Ashare RL, Thompson M, Serrano K, Leone F, Metzger D, Frank I, Gross R, Hole A, Mounzer K, Collman RG, Wileyto EP, Schnoll R. Placebo-controlled randomized clinical trial testing the efficacy and safety of varenicline for smokers with HIV. Drug Alcohol Depend. 2019 Jul 1;200:26-33.</w:t>
            </w:r>
          </w:p>
        </w:tc>
      </w:tr>
      <w:tr w:rsidR="0039468B" w:rsidRPr="00061F78" w:rsidTr="00CE2B04">
        <w:trPr>
          <w:cantSplit/>
          <w:trHeight w:val="164"/>
        </w:trPr>
        <w:tc>
          <w:tcPr>
            <w:tcW w:w="505" w:type="pct"/>
            <w:tcMar>
              <w:left w:w="28" w:type="dxa"/>
              <w:right w:w="28" w:type="dxa"/>
            </w:tcMar>
          </w:tcPr>
          <w:p w:rsidR="001F052D" w:rsidRDefault="00122F46" w:rsidP="002916A7">
            <w:pPr>
              <w:pStyle w:val="Tablewriting"/>
              <w:rPr>
                <w:rFonts w:eastAsia="MS Mincho"/>
              </w:rPr>
            </w:pPr>
            <w:r>
              <w:rPr>
                <w:rFonts w:eastAsia="MS Mincho"/>
              </w:rPr>
              <w:t>Chen (2020)</w:t>
            </w:r>
            <w:r w:rsidR="0039468B" w:rsidRPr="001E01A4">
              <w:rPr>
                <w:rFonts w:eastAsia="MS Mincho"/>
                <w:noProof/>
                <w:vertAlign w:val="superscript"/>
              </w:rPr>
              <w:t>26</w:t>
            </w:r>
          </w:p>
        </w:tc>
        <w:tc>
          <w:tcPr>
            <w:tcW w:w="4495" w:type="pct"/>
          </w:tcPr>
          <w:p w:rsidR="001F052D" w:rsidRPr="00C01E20" w:rsidRDefault="006B38BF" w:rsidP="002916A7">
            <w:pPr>
              <w:pStyle w:val="Tablewriting"/>
              <w:rPr>
                <w:rFonts w:eastAsia="MS Mincho"/>
              </w:rPr>
            </w:pPr>
            <w:r w:rsidRPr="006B38BF">
              <w:rPr>
                <w:rFonts w:eastAsia="MS Mincho"/>
              </w:rPr>
              <w:t>Chen LS, Baker TB, Miller JP, Bray M, Smock N, Chen J, Stoneking F, Culverhouse RC, Saccone NL, Amos CI, Carney RM. Genetic Variant in CHRNA5 and Response to Varenicline and Combination Nicotine Replacement in a randomized placebo‐controlled trial. Clinical Pharmacology &amp; Therapeutics. 2020 Dec;108(6):1315-25.</w:t>
            </w:r>
          </w:p>
        </w:tc>
      </w:tr>
    </w:tbl>
    <w:p w:rsidR="00D14993" w:rsidRPr="00D14993" w:rsidRDefault="00D77C02" w:rsidP="00C5003E">
      <w:pPr>
        <w:pStyle w:val="TableFooter"/>
      </w:pPr>
      <w:r w:rsidRPr="00061F78">
        <w:rPr>
          <w:highlight w:val="lightGray"/>
        </w:rPr>
        <w:t>Shaded</w:t>
      </w:r>
      <w:r w:rsidRPr="00061F78">
        <w:t xml:space="preserve"> = previously considered by the PBAC</w:t>
      </w:r>
    </w:p>
    <w:p w:rsidR="00863C50" w:rsidRDefault="00863C50" w:rsidP="00C5003E">
      <w:pPr>
        <w:pStyle w:val="TableFooter"/>
      </w:pPr>
      <w:r>
        <w:t xml:space="preserve">Notes: </w:t>
      </w:r>
      <w:r w:rsidR="00B40640">
        <w:t xml:space="preserve">Gonzales et al. (2006) and </w:t>
      </w:r>
      <w:r>
        <w:t>Jorenby et al. (</w:t>
      </w:r>
      <w:r w:rsidR="00B40640">
        <w:t>2006</w:t>
      </w:r>
      <w:r>
        <w:t>) w</w:t>
      </w:r>
      <w:r w:rsidR="00B40640">
        <w:t>ere</w:t>
      </w:r>
      <w:r>
        <w:t xml:space="preserve"> considered </w:t>
      </w:r>
      <w:r w:rsidR="001B0165">
        <w:t>at</w:t>
      </w:r>
      <w:r>
        <w:t xml:space="preserve"> the </w:t>
      </w:r>
      <w:r w:rsidR="00CC6C5E">
        <w:t>July</w:t>
      </w:r>
      <w:r>
        <w:t xml:space="preserve"> 200</w:t>
      </w:r>
      <w:r w:rsidR="00CC6C5E">
        <w:t>7</w:t>
      </w:r>
      <w:r>
        <w:t xml:space="preserve"> PBAC meeting.</w:t>
      </w:r>
      <w:r w:rsidR="009C5328">
        <w:t xml:space="preserve"> EAGLES (2016) was considered </w:t>
      </w:r>
      <w:r w:rsidR="001B0165">
        <w:t>at</w:t>
      </w:r>
      <w:r w:rsidR="009C5328">
        <w:t xml:space="preserve"> the </w:t>
      </w:r>
      <w:r w:rsidR="00493EB8">
        <w:t xml:space="preserve">November 2016 PBAC meeting. </w:t>
      </w:r>
      <w:r w:rsidR="00450510">
        <w:t>The remaining</w:t>
      </w:r>
      <w:r w:rsidR="00A62229">
        <w:t xml:space="preserve"> shaded</w:t>
      </w:r>
      <w:r w:rsidR="00450510">
        <w:t xml:space="preserve"> studies</w:t>
      </w:r>
      <w:r>
        <w:t xml:space="preserve"> </w:t>
      </w:r>
      <w:r w:rsidR="003C0A79">
        <w:t>(including Gonzales 2006 and Jorenby 2006)</w:t>
      </w:r>
      <w:r>
        <w:t xml:space="preserve"> were considered </w:t>
      </w:r>
      <w:r w:rsidR="001B0165">
        <w:t>at</w:t>
      </w:r>
      <w:r>
        <w:t xml:space="preserve"> the </w:t>
      </w:r>
      <w:r w:rsidR="00450510">
        <w:t>November</w:t>
      </w:r>
      <w:r>
        <w:t xml:space="preserve"> 201</w:t>
      </w:r>
      <w:r w:rsidR="00450510">
        <w:t>2 and March 2014</w:t>
      </w:r>
      <w:r>
        <w:t xml:space="preserve"> PBAC meeting.</w:t>
      </w:r>
    </w:p>
    <w:p w:rsidR="00D77C02" w:rsidRDefault="00D77C02" w:rsidP="00D77C02">
      <w:bookmarkStart w:id="76" w:name="_Hlk54356474"/>
      <w:r>
        <w:t xml:space="preserve">A summary of the characteristics of the studies comparing </w:t>
      </w:r>
      <w:r w:rsidR="00FE5981">
        <w:t>varenicline</w:t>
      </w:r>
      <w:r>
        <w:t xml:space="preserve"> with placebo is presented in</w:t>
      </w:r>
      <w:r w:rsidR="00FE5981">
        <w:t xml:space="preserve"> </w:t>
      </w:r>
      <w:r w:rsidR="003C4A1C">
        <w:t xml:space="preserve">Table </w:t>
      </w:r>
      <w:r w:rsidR="003C4A1C">
        <w:rPr>
          <w:noProof/>
        </w:rPr>
        <w:t>14</w:t>
      </w:r>
      <w:r>
        <w:t xml:space="preserve">. A total of </w:t>
      </w:r>
      <w:r w:rsidR="00635F23">
        <w:t>34</w:t>
      </w:r>
      <w:r w:rsidR="00213634">
        <w:t xml:space="preserve"> </w:t>
      </w:r>
      <w:r>
        <w:t xml:space="preserve">RCTs comparing </w:t>
      </w:r>
      <w:r w:rsidR="00E44945">
        <w:t>varenicline</w:t>
      </w:r>
      <w:r>
        <w:t xml:space="preserve"> with placebo were identified by </w:t>
      </w:r>
      <w:r w:rsidR="00E44945">
        <w:t xml:space="preserve">Cahill et al. </w:t>
      </w:r>
      <w:r>
        <w:t>(20</w:t>
      </w:r>
      <w:r w:rsidR="00E44945">
        <w:t>16</w:t>
      </w:r>
      <w:r>
        <w:t>)</w:t>
      </w:r>
      <w:r w:rsidR="00F84183">
        <w:t>, with 27 RCTs included in the primary efficacy analysis</w:t>
      </w:r>
      <w:r>
        <w:t>. Of the</w:t>
      </w:r>
      <w:r w:rsidR="00F84183">
        <w:t xml:space="preserve"> 27 RCTs</w:t>
      </w:r>
      <w:r>
        <w:t xml:space="preserve">, </w:t>
      </w:r>
      <w:r w:rsidR="00DF4E22">
        <w:t>11</w:t>
      </w:r>
      <w:r>
        <w:t xml:space="preserve"> studies were </w:t>
      </w:r>
      <w:r w:rsidR="00210640">
        <w:t>previously considered by</w:t>
      </w:r>
      <w:r w:rsidR="00561966">
        <w:t xml:space="preserve"> the PBAC.</w:t>
      </w:r>
      <w:r>
        <w:t xml:space="preserve"> The characteristics of the individual studies are presented in </w:t>
      </w:r>
      <w:r w:rsidRPr="0087602B">
        <w:t>Appendix</w:t>
      </w:r>
      <w:r w:rsidR="0049176A">
        <w:t xml:space="preserve"> </w:t>
      </w:r>
      <w:r w:rsidR="003C4A1C">
        <w:t xml:space="preserve">Table </w:t>
      </w:r>
      <w:r w:rsidR="003C4A1C">
        <w:rPr>
          <w:noProof/>
        </w:rPr>
        <w:t>146</w:t>
      </w:r>
      <w:r>
        <w:t>.</w:t>
      </w:r>
    </w:p>
    <w:bookmarkEnd w:id="76"/>
    <w:p w:rsidR="009A1413" w:rsidRDefault="009A1413" w:rsidP="00D77C02">
      <w:r>
        <w:t xml:space="preserve">Of the </w:t>
      </w:r>
      <w:r w:rsidR="00CE2B04">
        <w:t>eight</w:t>
      </w:r>
      <w:r>
        <w:t xml:space="preserve"> new studies identified in the supplemental literature search, s</w:t>
      </w:r>
      <w:r w:rsidR="003E1CED">
        <w:t>even</w:t>
      </w:r>
      <w:r>
        <w:t xml:space="preserve"> studies were included in the updated efficacy re-analysis </w:t>
      </w:r>
      <w:r w:rsidRPr="009A1413">
        <w:t xml:space="preserve">(Lerman et al. 2015, Littlewood et al. 2017, Hurt et al. 2018, </w:t>
      </w:r>
      <w:r w:rsidR="003E1CED">
        <w:t xml:space="preserve">Mercie et al. 2018, </w:t>
      </w:r>
      <w:r w:rsidRPr="009A1413">
        <w:t xml:space="preserve">Windle et al. 2018, Ashare et al. 2019, Chen et al. 2020). </w:t>
      </w:r>
      <w:r w:rsidR="003E1CED">
        <w:t xml:space="preserve">One study was </w:t>
      </w:r>
      <w:r w:rsidR="005828A8">
        <w:t>a safety study with no efficacy outcomes reported (</w:t>
      </w:r>
      <w:r w:rsidR="00513651">
        <w:t>Benowitz et al. 2018</w:t>
      </w:r>
      <w:r w:rsidR="005828A8">
        <w:t>).</w:t>
      </w:r>
      <w:r w:rsidR="00A860EE">
        <w:t xml:space="preserve"> The </w:t>
      </w:r>
      <w:r w:rsidR="005828A8">
        <w:t>eight</w:t>
      </w:r>
      <w:r w:rsidR="00A860EE">
        <w:t xml:space="preserve"> studies were included in the updated safety re-analysis </w:t>
      </w:r>
      <w:r w:rsidR="00863F00">
        <w:t xml:space="preserve">where </w:t>
      </w:r>
      <w:r w:rsidR="00CD35DE">
        <w:t xml:space="preserve">relevant </w:t>
      </w:r>
      <w:r w:rsidR="00863F00">
        <w:t>outcomes were reported</w:t>
      </w:r>
      <w:r w:rsidR="00A860EE">
        <w:t>.</w:t>
      </w:r>
      <w:r w:rsidR="00AC4AD7">
        <w:t xml:space="preserve"> </w:t>
      </w:r>
      <w:r w:rsidR="00864260">
        <w:t xml:space="preserve"> </w:t>
      </w:r>
    </w:p>
    <w:p w:rsidR="001262BD" w:rsidRDefault="001262BD" w:rsidP="00D77C02">
      <w:pPr>
        <w:sectPr w:rsidR="001262BD" w:rsidSect="006356D2">
          <w:pgSz w:w="11906" w:h="16838"/>
          <w:pgMar w:top="1440" w:right="1440" w:bottom="1440" w:left="1440" w:header="708" w:footer="708" w:gutter="0"/>
          <w:cols w:space="708"/>
          <w:titlePg/>
          <w:docGrid w:linePitch="360"/>
        </w:sectPr>
      </w:pPr>
    </w:p>
    <w:p w:rsidR="009C569D" w:rsidRDefault="009C569D" w:rsidP="009C569D">
      <w:pPr>
        <w:pStyle w:val="Caption"/>
        <w:keepNext/>
      </w:pPr>
      <w:bookmarkStart w:id="77" w:name="_Ref53569777"/>
      <w:r>
        <w:lastRenderedPageBreak/>
        <w:t xml:space="preserve">Table </w:t>
      </w:r>
      <w:r w:rsidR="003C4A1C">
        <w:rPr>
          <w:noProof/>
        </w:rPr>
        <w:t>14</w:t>
      </w:r>
      <w:bookmarkEnd w:id="77"/>
      <w:r>
        <w:t xml:space="preserve">: </w:t>
      </w:r>
      <w:r w:rsidRPr="001E3660">
        <w:t xml:space="preserve">Characteristics of the studies comparing </w:t>
      </w:r>
      <w:r>
        <w:t>varenicline</w:t>
      </w:r>
      <w:r w:rsidRPr="001E3660">
        <w:t xml:space="preserve"> with placebo</w:t>
      </w:r>
    </w:p>
    <w:tbl>
      <w:tblPr>
        <w:tblStyle w:val="TableGrid"/>
        <w:tblW w:w="5000" w:type="pct"/>
        <w:tblLook w:val="04A0" w:firstRow="1" w:lastRow="0" w:firstColumn="1" w:lastColumn="0" w:noHBand="0" w:noVBand="1"/>
        <w:tblCaption w:val="Efficacy results of adalimumab trials (PASI 75 and DLQI)"/>
      </w:tblPr>
      <w:tblGrid>
        <w:gridCol w:w="927"/>
        <w:gridCol w:w="1102"/>
        <w:gridCol w:w="968"/>
        <w:gridCol w:w="5205"/>
        <w:gridCol w:w="2566"/>
        <w:gridCol w:w="3180"/>
      </w:tblGrid>
      <w:tr w:rsidR="00260CD7" w:rsidRPr="00061F78" w:rsidTr="00B537F7">
        <w:trPr>
          <w:trHeight w:val="299"/>
          <w:tblHeader/>
        </w:trPr>
        <w:tc>
          <w:tcPr>
            <w:tcW w:w="332" w:type="pct"/>
            <w:shd w:val="clear" w:color="auto" w:fill="BFBFBF" w:themeFill="background1" w:themeFillShade="BF"/>
            <w:tcMar>
              <w:left w:w="28" w:type="dxa"/>
              <w:right w:w="28" w:type="dxa"/>
            </w:tcMar>
          </w:tcPr>
          <w:p w:rsidR="001262BD" w:rsidRPr="00061F78" w:rsidRDefault="00126B7B" w:rsidP="002916A7">
            <w:pPr>
              <w:pStyle w:val="Tableheading"/>
              <w:rPr>
                <w:rFonts w:eastAsia="MS Mincho"/>
              </w:rPr>
            </w:pPr>
            <w:r>
              <w:rPr>
                <w:rFonts w:eastAsia="MS Mincho"/>
              </w:rPr>
              <w:t>Study</w:t>
            </w:r>
          </w:p>
        </w:tc>
        <w:tc>
          <w:tcPr>
            <w:tcW w:w="395" w:type="pct"/>
            <w:shd w:val="clear" w:color="auto" w:fill="BFBFBF" w:themeFill="background1" w:themeFillShade="BF"/>
          </w:tcPr>
          <w:p w:rsidR="001262BD" w:rsidRDefault="001262BD" w:rsidP="002916A7">
            <w:pPr>
              <w:pStyle w:val="Tableheading"/>
              <w:jc w:val="center"/>
              <w:rPr>
                <w:rFonts w:eastAsia="MS Mincho"/>
              </w:rPr>
            </w:pPr>
            <w:r>
              <w:rPr>
                <w:rFonts w:eastAsia="MS Mincho"/>
              </w:rPr>
              <w:t>Study type</w:t>
            </w:r>
          </w:p>
        </w:tc>
        <w:tc>
          <w:tcPr>
            <w:tcW w:w="347" w:type="pct"/>
            <w:shd w:val="clear" w:color="auto" w:fill="BFBFBF" w:themeFill="background1" w:themeFillShade="BF"/>
            <w:tcMar>
              <w:left w:w="28" w:type="dxa"/>
              <w:right w:w="28" w:type="dxa"/>
            </w:tcMar>
          </w:tcPr>
          <w:p w:rsidR="001262BD" w:rsidRPr="00AE21E9" w:rsidRDefault="001262BD" w:rsidP="002916A7">
            <w:pPr>
              <w:pStyle w:val="Tableheading"/>
              <w:jc w:val="center"/>
              <w:rPr>
                <w:rFonts w:eastAsia="MS Mincho"/>
                <w:vertAlign w:val="superscript"/>
              </w:rPr>
            </w:pPr>
            <w:r>
              <w:rPr>
                <w:rFonts w:eastAsia="MS Mincho"/>
              </w:rPr>
              <w:t>N</w:t>
            </w:r>
            <w:r w:rsidR="00AE21E9">
              <w:rPr>
                <w:rFonts w:eastAsia="MS Mincho"/>
                <w:vertAlign w:val="superscript"/>
              </w:rPr>
              <w:t>1</w:t>
            </w:r>
          </w:p>
        </w:tc>
        <w:tc>
          <w:tcPr>
            <w:tcW w:w="1866" w:type="pct"/>
            <w:shd w:val="clear" w:color="auto" w:fill="BFBFBF" w:themeFill="background1" w:themeFillShade="BF"/>
            <w:tcMar>
              <w:left w:w="28" w:type="dxa"/>
              <w:right w:w="28" w:type="dxa"/>
            </w:tcMar>
          </w:tcPr>
          <w:p w:rsidR="001262BD" w:rsidRPr="00061F78" w:rsidRDefault="001262BD" w:rsidP="002916A7">
            <w:pPr>
              <w:pStyle w:val="Tableheading"/>
              <w:jc w:val="center"/>
              <w:rPr>
                <w:rFonts w:eastAsia="MS Mincho"/>
              </w:rPr>
            </w:pPr>
            <w:r w:rsidRPr="00061F78">
              <w:rPr>
                <w:rFonts w:eastAsia="MS Mincho"/>
              </w:rPr>
              <w:t>P</w:t>
            </w:r>
            <w:r>
              <w:rPr>
                <w:rFonts w:eastAsia="MS Mincho"/>
              </w:rPr>
              <w:t>opulation</w:t>
            </w:r>
          </w:p>
        </w:tc>
        <w:tc>
          <w:tcPr>
            <w:tcW w:w="920" w:type="pct"/>
            <w:shd w:val="clear" w:color="auto" w:fill="BFBFBF" w:themeFill="background1" w:themeFillShade="BF"/>
          </w:tcPr>
          <w:p w:rsidR="001262BD" w:rsidRDefault="001262BD" w:rsidP="002916A7">
            <w:pPr>
              <w:pStyle w:val="Tableheading"/>
              <w:jc w:val="center"/>
              <w:rPr>
                <w:rFonts w:eastAsia="MS Mincho"/>
              </w:rPr>
            </w:pPr>
            <w:r>
              <w:rPr>
                <w:rFonts w:eastAsia="MS Mincho"/>
              </w:rPr>
              <w:t>Intervention and comparator</w:t>
            </w:r>
          </w:p>
        </w:tc>
        <w:tc>
          <w:tcPr>
            <w:tcW w:w="1140" w:type="pct"/>
            <w:shd w:val="clear" w:color="auto" w:fill="BFBFBF" w:themeFill="background1" w:themeFillShade="BF"/>
            <w:tcMar>
              <w:left w:w="28" w:type="dxa"/>
              <w:right w:w="28" w:type="dxa"/>
            </w:tcMar>
          </w:tcPr>
          <w:p w:rsidR="001262BD" w:rsidRPr="00061F78" w:rsidRDefault="001262BD" w:rsidP="002916A7">
            <w:pPr>
              <w:pStyle w:val="Tableheading"/>
              <w:jc w:val="center"/>
              <w:rPr>
                <w:rFonts w:eastAsia="MS Mincho"/>
              </w:rPr>
            </w:pPr>
            <w:r>
              <w:rPr>
                <w:rFonts w:eastAsia="MS Mincho"/>
              </w:rPr>
              <w:t>Outcomes</w:t>
            </w:r>
          </w:p>
        </w:tc>
      </w:tr>
      <w:tr w:rsidR="00260CD7" w:rsidRPr="00061F78" w:rsidTr="00B537F7">
        <w:trPr>
          <w:trHeight w:val="99"/>
        </w:trPr>
        <w:tc>
          <w:tcPr>
            <w:tcW w:w="332" w:type="pct"/>
            <w:shd w:val="clear" w:color="auto" w:fill="D9D9D9" w:themeFill="background1" w:themeFillShade="D9"/>
            <w:tcMar>
              <w:left w:w="28" w:type="dxa"/>
              <w:right w:w="28" w:type="dxa"/>
            </w:tcMar>
          </w:tcPr>
          <w:p w:rsidR="00561966" w:rsidRDefault="00561966" w:rsidP="002916A7">
            <w:pPr>
              <w:pStyle w:val="Tablewriting"/>
              <w:rPr>
                <w:rFonts w:eastAsia="MS Mincho"/>
              </w:rPr>
            </w:pPr>
            <w:r>
              <w:rPr>
                <w:rFonts w:eastAsia="MS Mincho"/>
              </w:rPr>
              <w:t>Gonzales</w:t>
            </w:r>
          </w:p>
          <w:p w:rsidR="001262BD" w:rsidRDefault="00561966" w:rsidP="002916A7">
            <w:pPr>
              <w:pStyle w:val="Tablewriting"/>
              <w:rPr>
                <w:rFonts w:eastAsia="MS Mincho"/>
              </w:rPr>
            </w:pPr>
            <w:r>
              <w:rPr>
                <w:rFonts w:eastAsia="MS Mincho"/>
              </w:rPr>
              <w:t xml:space="preserve">(2006) </w:t>
            </w:r>
          </w:p>
        </w:tc>
        <w:tc>
          <w:tcPr>
            <w:tcW w:w="395" w:type="pct"/>
            <w:shd w:val="clear" w:color="auto" w:fill="D9D9D9" w:themeFill="background1" w:themeFillShade="D9"/>
          </w:tcPr>
          <w:p w:rsidR="001262BD" w:rsidRDefault="001262BD"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rsidR="001262BD" w:rsidRDefault="001262BD" w:rsidP="002916A7">
            <w:pPr>
              <w:pStyle w:val="Tablewriting"/>
              <w:rPr>
                <w:rFonts w:eastAsia="MS Mincho"/>
              </w:rPr>
            </w:pPr>
            <w:r>
              <w:rPr>
                <w:rFonts w:eastAsia="MS Mincho"/>
              </w:rPr>
              <w:t>N=</w:t>
            </w:r>
            <w:r w:rsidR="00F775D3">
              <w:rPr>
                <w:rFonts w:eastAsia="MS Mincho"/>
              </w:rPr>
              <w:t>1</w:t>
            </w:r>
            <w:r w:rsidR="007E0181">
              <w:rPr>
                <w:rFonts w:eastAsia="MS Mincho"/>
              </w:rPr>
              <w:t>,</w:t>
            </w:r>
            <w:r w:rsidR="00F775D3">
              <w:rPr>
                <w:rFonts w:eastAsia="MS Mincho"/>
              </w:rPr>
              <w:t>025</w:t>
            </w:r>
          </w:p>
          <w:p w:rsidR="001262BD" w:rsidRDefault="000D4D87" w:rsidP="002916A7">
            <w:pPr>
              <w:pStyle w:val="Tablewriting"/>
              <w:rPr>
                <w:rFonts w:eastAsia="MS Mincho"/>
              </w:rPr>
            </w:pPr>
            <w:r>
              <w:rPr>
                <w:rFonts w:eastAsia="MS Mincho"/>
              </w:rPr>
              <w:t>Varenicline</w:t>
            </w:r>
            <w:r w:rsidR="001262BD">
              <w:rPr>
                <w:rFonts w:eastAsia="MS Mincho"/>
              </w:rPr>
              <w:t xml:space="preserve"> (n=</w:t>
            </w:r>
            <w:r>
              <w:rPr>
                <w:rFonts w:eastAsia="MS Mincho"/>
              </w:rPr>
              <w:t>352</w:t>
            </w:r>
            <w:r w:rsidR="001262BD">
              <w:rPr>
                <w:rFonts w:eastAsia="MS Mincho"/>
              </w:rPr>
              <w:t>), Placebo (n=</w:t>
            </w:r>
            <w:r w:rsidR="00205348">
              <w:rPr>
                <w:rFonts w:eastAsia="MS Mincho"/>
              </w:rPr>
              <w:t>344</w:t>
            </w:r>
            <w:r w:rsidR="001262BD">
              <w:rPr>
                <w:rFonts w:eastAsia="MS Mincho"/>
              </w:rPr>
              <w:t>)</w:t>
            </w:r>
          </w:p>
        </w:tc>
        <w:tc>
          <w:tcPr>
            <w:tcW w:w="1866" w:type="pct"/>
            <w:shd w:val="clear" w:color="auto" w:fill="D9D9D9" w:themeFill="background1" w:themeFillShade="D9"/>
            <w:tcMar>
              <w:left w:w="28" w:type="dxa"/>
              <w:right w:w="28" w:type="dxa"/>
            </w:tcMar>
          </w:tcPr>
          <w:p w:rsidR="001262BD" w:rsidRDefault="001262BD" w:rsidP="002916A7">
            <w:pPr>
              <w:pStyle w:val="Tablewriting"/>
              <w:rPr>
                <w:rFonts w:eastAsia="MS Mincho"/>
              </w:rPr>
            </w:pPr>
            <w:r w:rsidRPr="007F28D7">
              <w:rPr>
                <w:rFonts w:eastAsia="MS Mincho"/>
                <w:u w:val="single"/>
              </w:rPr>
              <w:t>Inclusion</w:t>
            </w:r>
            <w:r>
              <w:rPr>
                <w:rFonts w:eastAsia="MS Mincho"/>
              </w:rPr>
              <w:t xml:space="preserve">: </w:t>
            </w:r>
            <w:r w:rsidRPr="007F28D7">
              <w:rPr>
                <w:rFonts w:eastAsia="MS Mincho"/>
              </w:rPr>
              <w:t>18</w:t>
            </w:r>
            <w:r w:rsidR="00AE21E9">
              <w:rPr>
                <w:rFonts w:eastAsia="MS Mincho"/>
              </w:rPr>
              <w:t>-75</w:t>
            </w:r>
            <w:r>
              <w:rPr>
                <w:rFonts w:eastAsia="MS Mincho"/>
              </w:rPr>
              <w:t xml:space="preserve"> </w:t>
            </w:r>
            <w:r w:rsidRPr="007F28D7">
              <w:rPr>
                <w:rFonts w:eastAsia="MS Mincho"/>
              </w:rPr>
              <w:t xml:space="preserve">years </w:t>
            </w:r>
            <w:r>
              <w:rPr>
                <w:rFonts w:eastAsia="MS Mincho"/>
              </w:rPr>
              <w:t>old</w:t>
            </w:r>
            <w:r w:rsidRPr="007F28D7">
              <w:rPr>
                <w:rFonts w:eastAsia="MS Mincho"/>
              </w:rPr>
              <w:t xml:space="preserve">, </w:t>
            </w:r>
            <w:r w:rsidR="00C92774">
              <w:rPr>
                <w:rFonts w:eastAsia="MS Mincho" w:cstheme="minorHAnsi"/>
              </w:rPr>
              <w:t>≥</w:t>
            </w:r>
            <w:r w:rsidR="00CD0F76" w:rsidRPr="00CD0F76">
              <w:rPr>
                <w:rFonts w:eastAsia="MS Mincho"/>
              </w:rPr>
              <w:t>10 or more</w:t>
            </w:r>
            <w:r w:rsidR="00CD0F76">
              <w:rPr>
                <w:rFonts w:eastAsia="MS Mincho"/>
              </w:rPr>
              <w:t xml:space="preserve"> </w:t>
            </w:r>
            <w:r w:rsidR="00CD0F76" w:rsidRPr="00CD0F76">
              <w:rPr>
                <w:rFonts w:eastAsia="MS Mincho"/>
              </w:rPr>
              <w:t xml:space="preserve">cigarettes per day, </w:t>
            </w:r>
            <w:r w:rsidR="00427493">
              <w:rPr>
                <w:rFonts w:eastAsia="MS Mincho"/>
              </w:rPr>
              <w:t>&lt;</w:t>
            </w:r>
            <w:r w:rsidR="00CD0F76" w:rsidRPr="00CD0F76">
              <w:rPr>
                <w:rFonts w:eastAsia="MS Mincho"/>
              </w:rPr>
              <w:t>3</w:t>
            </w:r>
            <w:r w:rsidR="00CD0F76">
              <w:rPr>
                <w:rFonts w:eastAsia="MS Mincho"/>
              </w:rPr>
              <w:t xml:space="preserve"> </w:t>
            </w:r>
            <w:r w:rsidR="00CD0F76" w:rsidRPr="00CD0F76">
              <w:rPr>
                <w:rFonts w:eastAsia="MS Mincho"/>
              </w:rPr>
              <w:t>months of smoking abstinence in the past</w:t>
            </w:r>
            <w:r w:rsidR="00CD0F76">
              <w:rPr>
                <w:rFonts w:eastAsia="MS Mincho"/>
              </w:rPr>
              <w:t xml:space="preserve"> </w:t>
            </w:r>
            <w:r w:rsidR="00CD0F76" w:rsidRPr="00CD0F76">
              <w:rPr>
                <w:rFonts w:eastAsia="MS Mincho"/>
              </w:rPr>
              <w:t>year, motivated to stop smoking.</w:t>
            </w:r>
          </w:p>
          <w:p w:rsidR="001B5FD5" w:rsidRPr="001B5FD5" w:rsidRDefault="001262BD" w:rsidP="002916A7">
            <w:pPr>
              <w:pStyle w:val="Tablewriting"/>
              <w:rPr>
                <w:rFonts w:eastAsia="MS Mincho"/>
              </w:rPr>
            </w:pPr>
            <w:r w:rsidRPr="007F28D7">
              <w:rPr>
                <w:rFonts w:eastAsia="MS Mincho"/>
                <w:u w:val="single"/>
              </w:rPr>
              <w:t>Exclusion</w:t>
            </w:r>
            <w:r>
              <w:rPr>
                <w:rFonts w:eastAsia="MS Mincho"/>
              </w:rPr>
              <w:t xml:space="preserve">: </w:t>
            </w:r>
            <w:r w:rsidR="001B5FD5" w:rsidRPr="001B5FD5">
              <w:rPr>
                <w:rFonts w:eastAsia="MS Mincho"/>
              </w:rPr>
              <w:t>any serious</w:t>
            </w:r>
            <w:r w:rsidR="00B7094E">
              <w:rPr>
                <w:rFonts w:eastAsia="MS Mincho"/>
              </w:rPr>
              <w:t xml:space="preserve"> </w:t>
            </w:r>
            <w:r w:rsidR="001B5FD5" w:rsidRPr="001B5FD5">
              <w:rPr>
                <w:rFonts w:eastAsia="MS Mincho"/>
              </w:rPr>
              <w:t>or unstable disease within 6 months</w:t>
            </w:r>
            <w:r w:rsidR="001E6CD5">
              <w:rPr>
                <w:rFonts w:eastAsia="MS Mincho"/>
              </w:rPr>
              <w:t>,</w:t>
            </w:r>
            <w:r w:rsidR="001B5FD5" w:rsidRPr="001B5FD5">
              <w:rPr>
                <w:rFonts w:eastAsia="MS Mincho"/>
              </w:rPr>
              <w:t xml:space="preserve"> seizure</w:t>
            </w:r>
            <w:r w:rsidR="00B7094E">
              <w:rPr>
                <w:rFonts w:eastAsia="MS Mincho"/>
              </w:rPr>
              <w:t xml:space="preserve"> </w:t>
            </w:r>
            <w:r w:rsidR="001B5FD5" w:rsidRPr="001B5FD5">
              <w:rPr>
                <w:rFonts w:eastAsia="MS Mincho"/>
              </w:rPr>
              <w:t>risk</w:t>
            </w:r>
            <w:r w:rsidR="001E6CD5">
              <w:rPr>
                <w:rFonts w:eastAsia="MS Mincho"/>
              </w:rPr>
              <w:t>,</w:t>
            </w:r>
            <w:r w:rsidR="001B5FD5" w:rsidRPr="001B5FD5">
              <w:rPr>
                <w:rFonts w:eastAsia="MS Mincho"/>
              </w:rPr>
              <w:t xml:space="preserve"> diabetes mellitus requiring insulin</w:t>
            </w:r>
            <w:r w:rsidR="00B7094E">
              <w:rPr>
                <w:rFonts w:eastAsia="MS Mincho"/>
              </w:rPr>
              <w:t xml:space="preserve"> </w:t>
            </w:r>
            <w:r w:rsidR="001B5FD5" w:rsidRPr="001B5FD5">
              <w:rPr>
                <w:rFonts w:eastAsia="MS Mincho"/>
              </w:rPr>
              <w:t>or oral hypoglyc</w:t>
            </w:r>
            <w:r w:rsidR="001D4013">
              <w:rPr>
                <w:rFonts w:eastAsia="MS Mincho"/>
              </w:rPr>
              <w:t>a</w:t>
            </w:r>
            <w:r w:rsidR="001B5FD5" w:rsidRPr="001B5FD5">
              <w:rPr>
                <w:rFonts w:eastAsia="MS Mincho"/>
              </w:rPr>
              <w:t>emic medications</w:t>
            </w:r>
            <w:r w:rsidR="001E6CD5">
              <w:rPr>
                <w:rFonts w:eastAsia="MS Mincho"/>
              </w:rPr>
              <w:t>,</w:t>
            </w:r>
            <w:r w:rsidR="00B7094E">
              <w:rPr>
                <w:rFonts w:eastAsia="MS Mincho"/>
              </w:rPr>
              <w:t xml:space="preserve"> </w:t>
            </w:r>
            <w:r w:rsidR="001B5FD5" w:rsidRPr="001B5FD5">
              <w:rPr>
                <w:rFonts w:eastAsia="MS Mincho"/>
              </w:rPr>
              <w:t>hepatic or renal impairment</w:t>
            </w:r>
            <w:r w:rsidR="001E6CD5">
              <w:rPr>
                <w:rFonts w:eastAsia="MS Mincho"/>
              </w:rPr>
              <w:t>,</w:t>
            </w:r>
          </w:p>
          <w:p w:rsidR="00B7094E" w:rsidRPr="00B7094E" w:rsidRDefault="001B5FD5" w:rsidP="002916A7">
            <w:pPr>
              <w:pStyle w:val="Tablewriting"/>
              <w:rPr>
                <w:rFonts w:eastAsia="MS Mincho"/>
              </w:rPr>
            </w:pPr>
            <w:r w:rsidRPr="001B5FD5">
              <w:rPr>
                <w:rFonts w:eastAsia="MS Mincho"/>
              </w:rPr>
              <w:t>clinically significant cardiovascular disease</w:t>
            </w:r>
            <w:r w:rsidR="00B7094E">
              <w:rPr>
                <w:rFonts w:eastAsia="MS Mincho"/>
              </w:rPr>
              <w:t xml:space="preserve"> </w:t>
            </w:r>
            <w:r w:rsidRPr="001B5FD5">
              <w:rPr>
                <w:rFonts w:eastAsia="MS Mincho"/>
              </w:rPr>
              <w:t>within 6 months</w:t>
            </w:r>
            <w:r w:rsidR="001E6CD5">
              <w:rPr>
                <w:rFonts w:eastAsia="MS Mincho"/>
              </w:rPr>
              <w:t>,</w:t>
            </w:r>
            <w:r w:rsidRPr="001B5FD5">
              <w:rPr>
                <w:rFonts w:eastAsia="MS Mincho"/>
              </w:rPr>
              <w:t xml:space="preserve"> uncontrolled hypertension</w:t>
            </w:r>
            <w:r w:rsidR="001E6CD5">
              <w:rPr>
                <w:rFonts w:eastAsia="MS Mincho"/>
              </w:rPr>
              <w:t>,</w:t>
            </w:r>
            <w:r w:rsidR="00B7094E">
              <w:rPr>
                <w:rFonts w:eastAsia="MS Mincho"/>
              </w:rPr>
              <w:t xml:space="preserve"> </w:t>
            </w:r>
            <w:r w:rsidRPr="001B5FD5">
              <w:rPr>
                <w:rFonts w:eastAsia="MS Mincho"/>
              </w:rPr>
              <w:t>severe chronic obstructive</w:t>
            </w:r>
            <w:r w:rsidR="00B7094E">
              <w:rPr>
                <w:rFonts w:eastAsia="MS Mincho"/>
              </w:rPr>
              <w:t xml:space="preserve"> </w:t>
            </w:r>
            <w:r w:rsidRPr="001B5FD5">
              <w:rPr>
                <w:rFonts w:eastAsia="MS Mincho"/>
              </w:rPr>
              <w:t>pulmonary disease</w:t>
            </w:r>
            <w:r w:rsidR="001E6CD5">
              <w:rPr>
                <w:rFonts w:eastAsia="MS Mincho"/>
              </w:rPr>
              <w:t>,</w:t>
            </w:r>
            <w:r w:rsidRPr="001B5FD5">
              <w:rPr>
                <w:rFonts w:eastAsia="MS Mincho"/>
              </w:rPr>
              <w:t xml:space="preserve"> history of cancer</w:t>
            </w:r>
            <w:r w:rsidR="001E6CD5">
              <w:rPr>
                <w:rFonts w:eastAsia="MS Mincho"/>
              </w:rPr>
              <w:t>,</w:t>
            </w:r>
            <w:r w:rsidRPr="001B5FD5">
              <w:rPr>
                <w:rFonts w:eastAsia="MS Mincho"/>
              </w:rPr>
              <w:t xml:space="preserve"> history of</w:t>
            </w:r>
            <w:r w:rsidR="00B7094E">
              <w:rPr>
                <w:rFonts w:eastAsia="MS Mincho"/>
              </w:rPr>
              <w:t xml:space="preserve"> </w:t>
            </w:r>
            <w:r w:rsidRPr="001B5FD5">
              <w:rPr>
                <w:rFonts w:eastAsia="MS Mincho"/>
              </w:rPr>
              <w:t>clinically significant allergic reactions</w:t>
            </w:r>
            <w:r w:rsidR="00B7094E">
              <w:rPr>
                <w:rFonts w:eastAsia="MS Mincho"/>
              </w:rPr>
              <w:t>, m</w:t>
            </w:r>
            <w:r w:rsidR="00B7094E" w:rsidRPr="00B7094E">
              <w:rPr>
                <w:rFonts w:eastAsia="MS Mincho"/>
              </w:rPr>
              <w:t>ajor depressive</w:t>
            </w:r>
            <w:r w:rsidR="00B7094E">
              <w:rPr>
                <w:rFonts w:eastAsia="MS Mincho"/>
              </w:rPr>
              <w:t xml:space="preserve"> </w:t>
            </w:r>
            <w:r w:rsidR="00B7094E" w:rsidRPr="00B7094E">
              <w:rPr>
                <w:rFonts w:eastAsia="MS Mincho"/>
              </w:rPr>
              <w:t>disorder within the past year requiring</w:t>
            </w:r>
            <w:r w:rsidR="00B7094E">
              <w:rPr>
                <w:rFonts w:eastAsia="MS Mincho"/>
              </w:rPr>
              <w:t xml:space="preserve"> </w:t>
            </w:r>
            <w:r w:rsidR="00B7094E" w:rsidRPr="00B7094E">
              <w:rPr>
                <w:rFonts w:eastAsia="MS Mincho"/>
              </w:rPr>
              <w:t>treatment</w:t>
            </w:r>
            <w:r w:rsidR="001E6CD5">
              <w:rPr>
                <w:rFonts w:eastAsia="MS Mincho"/>
              </w:rPr>
              <w:t>,</w:t>
            </w:r>
            <w:r w:rsidR="00B7094E" w:rsidRPr="00B7094E">
              <w:rPr>
                <w:rFonts w:eastAsia="MS Mincho"/>
              </w:rPr>
              <w:t xml:space="preserve"> history of panic disorder</w:t>
            </w:r>
            <w:r w:rsidR="002D624B">
              <w:rPr>
                <w:rFonts w:eastAsia="MS Mincho"/>
              </w:rPr>
              <w:t>,</w:t>
            </w:r>
          </w:p>
          <w:p w:rsidR="001262BD" w:rsidRPr="00061F78" w:rsidRDefault="00B7094E" w:rsidP="002916A7">
            <w:pPr>
              <w:pStyle w:val="Tablewriting"/>
              <w:rPr>
                <w:rFonts w:eastAsia="MS Mincho"/>
              </w:rPr>
            </w:pPr>
            <w:r w:rsidRPr="00B7094E">
              <w:rPr>
                <w:rFonts w:eastAsia="MS Mincho"/>
              </w:rPr>
              <w:t>psychosis, bipolar disorder, or</w:t>
            </w:r>
            <w:r>
              <w:rPr>
                <w:rFonts w:eastAsia="MS Mincho"/>
              </w:rPr>
              <w:t xml:space="preserve"> </w:t>
            </w:r>
            <w:r w:rsidRPr="00B7094E">
              <w:rPr>
                <w:rFonts w:eastAsia="MS Mincho"/>
              </w:rPr>
              <w:t>eating disorders</w:t>
            </w:r>
            <w:r w:rsidR="002D624B">
              <w:rPr>
                <w:rFonts w:eastAsia="MS Mincho"/>
              </w:rPr>
              <w:t>,</w:t>
            </w:r>
            <w:r w:rsidRPr="00B7094E">
              <w:rPr>
                <w:rFonts w:eastAsia="MS Mincho"/>
              </w:rPr>
              <w:t xml:space="preserve"> alcohol or drug abuse/dependency within the past year</w:t>
            </w:r>
            <w:r w:rsidR="002D624B">
              <w:rPr>
                <w:rFonts w:eastAsia="MS Mincho"/>
              </w:rPr>
              <w:t>,</w:t>
            </w:r>
            <w:r w:rsidRPr="00B7094E">
              <w:rPr>
                <w:rFonts w:eastAsia="MS Mincho"/>
              </w:rPr>
              <w:t xml:space="preserve"> use of</w:t>
            </w:r>
            <w:r>
              <w:rPr>
                <w:rFonts w:eastAsia="MS Mincho"/>
              </w:rPr>
              <w:t xml:space="preserve"> </w:t>
            </w:r>
            <w:r w:rsidRPr="00B7094E">
              <w:rPr>
                <w:rFonts w:eastAsia="MS Mincho"/>
              </w:rPr>
              <w:t>tobacco products other than cigarettes</w:t>
            </w:r>
            <w:r w:rsidR="002D624B">
              <w:rPr>
                <w:rFonts w:eastAsia="MS Mincho"/>
              </w:rPr>
              <w:t>,</w:t>
            </w:r>
            <w:r>
              <w:rPr>
                <w:rFonts w:eastAsia="MS Mincho"/>
              </w:rPr>
              <w:t xml:space="preserve"> </w:t>
            </w:r>
            <w:r w:rsidRPr="00B7094E">
              <w:rPr>
                <w:rFonts w:eastAsia="MS Mincho"/>
              </w:rPr>
              <w:t xml:space="preserve">use of </w:t>
            </w:r>
            <w:r w:rsidR="002D624B">
              <w:rPr>
                <w:rFonts w:eastAsia="MS Mincho"/>
              </w:rPr>
              <w:t>NRT</w:t>
            </w:r>
            <w:r w:rsidRPr="00B7094E">
              <w:rPr>
                <w:rFonts w:eastAsia="MS Mincho"/>
              </w:rPr>
              <w:t>,</w:t>
            </w:r>
            <w:r>
              <w:rPr>
                <w:rFonts w:eastAsia="MS Mincho"/>
              </w:rPr>
              <w:t xml:space="preserve"> </w:t>
            </w:r>
            <w:r w:rsidRPr="00B7094E">
              <w:rPr>
                <w:rFonts w:eastAsia="MS Mincho"/>
              </w:rPr>
              <w:t>clonidine, or nortriptyline within the</w:t>
            </w:r>
            <w:r>
              <w:rPr>
                <w:rFonts w:eastAsia="MS Mincho"/>
              </w:rPr>
              <w:t xml:space="preserve"> </w:t>
            </w:r>
            <w:r w:rsidRPr="00B7094E">
              <w:rPr>
                <w:rFonts w:eastAsia="MS Mincho"/>
              </w:rPr>
              <w:t>month prior to enrolment; and body</w:t>
            </w:r>
            <w:r>
              <w:rPr>
                <w:rFonts w:eastAsia="MS Mincho"/>
              </w:rPr>
              <w:t xml:space="preserve"> </w:t>
            </w:r>
            <w:r w:rsidRPr="00B7094E">
              <w:rPr>
                <w:rFonts w:eastAsia="MS Mincho"/>
              </w:rPr>
              <w:t xml:space="preserve">mass index </w:t>
            </w:r>
            <w:r w:rsidR="004E502E">
              <w:rPr>
                <w:rFonts w:eastAsia="MS Mincho"/>
              </w:rPr>
              <w:t>&lt;</w:t>
            </w:r>
            <w:r w:rsidRPr="00B7094E">
              <w:rPr>
                <w:rFonts w:eastAsia="MS Mincho"/>
              </w:rPr>
              <w:t xml:space="preserve">15 or </w:t>
            </w:r>
            <w:r w:rsidR="004E502E">
              <w:rPr>
                <w:rFonts w:eastAsia="MS Mincho"/>
              </w:rPr>
              <w:t>&gt;</w:t>
            </w:r>
            <w:r w:rsidRPr="00B7094E">
              <w:rPr>
                <w:rFonts w:eastAsia="MS Mincho"/>
              </w:rPr>
              <w:t xml:space="preserve">38 or weight </w:t>
            </w:r>
            <w:r w:rsidR="004E502E">
              <w:rPr>
                <w:rFonts w:eastAsia="MS Mincho"/>
              </w:rPr>
              <w:t>&lt;</w:t>
            </w:r>
            <w:r w:rsidRPr="00B7094E">
              <w:rPr>
                <w:rFonts w:eastAsia="MS Mincho"/>
              </w:rPr>
              <w:t>45.5 kg</w:t>
            </w:r>
            <w:r w:rsidR="00A81583">
              <w:rPr>
                <w:rFonts w:eastAsia="MS Mincho"/>
              </w:rPr>
              <w:t xml:space="preserve">, </w:t>
            </w:r>
            <w:r w:rsidR="00A81583" w:rsidRPr="00A81583">
              <w:rPr>
                <w:rFonts w:eastAsia="MS Mincho"/>
              </w:rPr>
              <w:t>prior exposure to bupropion</w:t>
            </w:r>
            <w:r w:rsidR="00A81583">
              <w:rPr>
                <w:rFonts w:eastAsia="MS Mincho"/>
              </w:rPr>
              <w:t xml:space="preserve"> or varenicline</w:t>
            </w:r>
            <w:r w:rsidR="00FD63C1">
              <w:rPr>
                <w:rFonts w:eastAsia="MS Mincho"/>
              </w:rPr>
              <w:t xml:space="preserve">, pregnancy and </w:t>
            </w:r>
            <w:r w:rsidR="00984468">
              <w:rPr>
                <w:rFonts w:eastAsia="MS Mincho"/>
              </w:rPr>
              <w:t>breastfeeding</w:t>
            </w:r>
            <w:r w:rsidR="00E617B3">
              <w:rPr>
                <w:rFonts w:eastAsia="MS Mincho"/>
              </w:rPr>
              <w:t>.</w:t>
            </w:r>
          </w:p>
        </w:tc>
        <w:tc>
          <w:tcPr>
            <w:tcW w:w="920" w:type="pct"/>
            <w:shd w:val="clear" w:color="auto" w:fill="D9D9D9" w:themeFill="background1" w:themeFillShade="D9"/>
          </w:tcPr>
          <w:p w:rsidR="001262BD" w:rsidRDefault="002E0F84" w:rsidP="002916A7">
            <w:pPr>
              <w:pStyle w:val="Tablewriting"/>
              <w:rPr>
                <w:rFonts w:eastAsia="MS Mincho"/>
              </w:rPr>
            </w:pPr>
            <w:r>
              <w:rPr>
                <w:rFonts w:eastAsia="MS Mincho"/>
              </w:rPr>
              <w:t>Varenicline</w:t>
            </w:r>
            <w:r w:rsidR="001262BD" w:rsidRPr="00A34E7B">
              <w:rPr>
                <w:rFonts w:eastAsia="MS Mincho"/>
              </w:rPr>
              <w:t xml:space="preserve">: </w:t>
            </w:r>
            <w:r w:rsidR="00807C27" w:rsidRPr="00372F18">
              <w:rPr>
                <w:rFonts w:eastAsia="MS Mincho"/>
              </w:rPr>
              <w:t>1</w:t>
            </w:r>
            <w:r w:rsidR="00621153">
              <w:rPr>
                <w:rFonts w:eastAsia="MS Mincho"/>
              </w:rPr>
              <w:t xml:space="preserve"> </w:t>
            </w:r>
            <w:r w:rsidR="00807C27" w:rsidRPr="00372F18">
              <w:rPr>
                <w:rFonts w:eastAsia="MS Mincho"/>
              </w:rPr>
              <w:t>mg twice daily titrated</w:t>
            </w:r>
            <w:r w:rsidR="00807C27">
              <w:rPr>
                <w:rFonts w:eastAsia="MS Mincho"/>
              </w:rPr>
              <w:t xml:space="preserve"> over 12 weeks</w:t>
            </w:r>
            <w:r w:rsidR="00807C27" w:rsidRPr="00372F18">
              <w:rPr>
                <w:rFonts w:eastAsia="MS Mincho"/>
              </w:rPr>
              <w:t xml:space="preserve"> (i</w:t>
            </w:r>
            <w:r w:rsidR="00807C27">
              <w:rPr>
                <w:rFonts w:eastAsia="MS Mincho"/>
              </w:rPr>
              <w:t>.</w:t>
            </w:r>
            <w:r w:rsidR="00807C27" w:rsidRPr="00372F18">
              <w:rPr>
                <w:rFonts w:eastAsia="MS Mincho"/>
              </w:rPr>
              <w:t>e</w:t>
            </w:r>
            <w:r w:rsidR="00807C27">
              <w:rPr>
                <w:rFonts w:eastAsia="MS Mincho"/>
              </w:rPr>
              <w:t>.</w:t>
            </w:r>
            <w:r w:rsidR="00807C27" w:rsidRPr="00372F18">
              <w:rPr>
                <w:rFonts w:eastAsia="MS Mincho"/>
              </w:rPr>
              <w:t xml:space="preserve"> 0.5</w:t>
            </w:r>
            <w:r w:rsidR="00621153">
              <w:rPr>
                <w:rFonts w:eastAsia="MS Mincho"/>
              </w:rPr>
              <w:t xml:space="preserve"> </w:t>
            </w:r>
            <w:r w:rsidR="00807C27" w:rsidRPr="00372F18">
              <w:rPr>
                <w:rFonts w:eastAsia="MS Mincho"/>
              </w:rPr>
              <w:t>mg once</w:t>
            </w:r>
            <w:r w:rsidR="00807C27">
              <w:rPr>
                <w:rFonts w:eastAsia="MS Mincho"/>
              </w:rPr>
              <w:t xml:space="preserve"> </w:t>
            </w:r>
            <w:r w:rsidR="00807C27" w:rsidRPr="00372F18">
              <w:rPr>
                <w:rFonts w:eastAsia="MS Mincho"/>
              </w:rPr>
              <w:t>daily for 3 days, then 0.5</w:t>
            </w:r>
            <w:r w:rsidR="00621153">
              <w:rPr>
                <w:rFonts w:eastAsia="MS Mincho"/>
              </w:rPr>
              <w:t xml:space="preserve"> </w:t>
            </w:r>
            <w:r w:rsidR="00807C27" w:rsidRPr="00372F18">
              <w:rPr>
                <w:rFonts w:eastAsia="MS Mincho"/>
              </w:rPr>
              <w:t>mg twice daily for 4 days, then 1</w:t>
            </w:r>
            <w:r w:rsidR="00621153">
              <w:rPr>
                <w:rFonts w:eastAsia="MS Mincho"/>
              </w:rPr>
              <w:t xml:space="preserve"> </w:t>
            </w:r>
            <w:r w:rsidR="00807C27" w:rsidRPr="00372F18">
              <w:rPr>
                <w:rFonts w:eastAsia="MS Mincho"/>
              </w:rPr>
              <w:t>mg twice daily)</w:t>
            </w:r>
            <w:r w:rsidR="00BB2407">
              <w:rPr>
                <w:rFonts w:eastAsia="MS Mincho"/>
              </w:rPr>
              <w:t xml:space="preserve">; </w:t>
            </w:r>
            <w:r w:rsidR="001262BD">
              <w:rPr>
                <w:rFonts w:eastAsia="MS Mincho"/>
              </w:rPr>
              <w:t xml:space="preserve">Placebo: placebo tablet for </w:t>
            </w:r>
            <w:r w:rsidR="00A826FD">
              <w:rPr>
                <w:rFonts w:eastAsia="MS Mincho"/>
              </w:rPr>
              <w:t>12</w:t>
            </w:r>
            <w:r w:rsidR="001262BD">
              <w:rPr>
                <w:rFonts w:eastAsia="MS Mincho"/>
              </w:rPr>
              <w:t xml:space="preserve"> weeks</w:t>
            </w:r>
            <w:r w:rsidR="00A826FD">
              <w:rPr>
                <w:rFonts w:eastAsia="MS Mincho"/>
              </w:rPr>
              <w:t>, same regimen</w:t>
            </w:r>
            <w:r w:rsidR="000F1E7A">
              <w:rPr>
                <w:rFonts w:eastAsia="MS Mincho"/>
              </w:rPr>
              <w:t>.</w:t>
            </w:r>
          </w:p>
          <w:p w:rsidR="00987D91" w:rsidRDefault="00987D91" w:rsidP="002916A7">
            <w:pPr>
              <w:pStyle w:val="Tablewriting"/>
              <w:rPr>
                <w:rFonts w:eastAsia="MS Mincho"/>
              </w:rPr>
            </w:pPr>
          </w:p>
          <w:p w:rsidR="00987D91" w:rsidRPr="00061F78" w:rsidRDefault="00987D91" w:rsidP="002916A7">
            <w:pPr>
              <w:pStyle w:val="Tablewriting"/>
              <w:rPr>
                <w:rFonts w:eastAsia="MS Mincho"/>
              </w:rPr>
            </w:pPr>
            <w:r w:rsidRPr="00987D91">
              <w:rPr>
                <w:rFonts w:eastAsia="MS Mincho"/>
              </w:rPr>
              <w:t>Behavioural support provided in both arms.</w:t>
            </w:r>
          </w:p>
        </w:tc>
        <w:tc>
          <w:tcPr>
            <w:tcW w:w="1140" w:type="pct"/>
            <w:shd w:val="clear" w:color="auto" w:fill="D9D9D9" w:themeFill="background1" w:themeFillShade="D9"/>
            <w:tcMar>
              <w:left w:w="28" w:type="dxa"/>
              <w:right w:w="28" w:type="dxa"/>
            </w:tcMar>
          </w:tcPr>
          <w:p w:rsidR="001262BD" w:rsidRDefault="001262BD" w:rsidP="002916A7">
            <w:pPr>
              <w:pStyle w:val="Tablewriting"/>
              <w:rPr>
                <w:rFonts w:eastAsia="MS Mincho"/>
              </w:rPr>
            </w:pPr>
            <w:r w:rsidRPr="008C39E4">
              <w:rPr>
                <w:rFonts w:eastAsia="MS Mincho"/>
                <w:u w:val="single"/>
              </w:rPr>
              <w:t>Primary</w:t>
            </w:r>
            <w:r>
              <w:rPr>
                <w:rFonts w:eastAsia="MS Mincho"/>
              </w:rPr>
              <w:t xml:space="preserve">: </w:t>
            </w:r>
            <w:r w:rsidR="005B56AA">
              <w:rPr>
                <w:rFonts w:eastAsia="MS Mincho"/>
              </w:rPr>
              <w:t>C</w:t>
            </w:r>
            <w:r w:rsidR="00C92774">
              <w:rPr>
                <w:rFonts w:eastAsia="MS Mincho"/>
              </w:rPr>
              <w:t>AR</w:t>
            </w:r>
            <w:r w:rsidR="00D443CE">
              <w:rPr>
                <w:rFonts w:eastAsia="MS Mincho"/>
              </w:rPr>
              <w:t xml:space="preserve"> at Week 9-12</w:t>
            </w:r>
            <w:r>
              <w:rPr>
                <w:rFonts w:eastAsia="MS Mincho"/>
              </w:rPr>
              <w:t>. Validated by CO</w:t>
            </w:r>
            <w:r w:rsidR="00C92774">
              <w:rPr>
                <w:rFonts w:eastAsia="MS Mincho"/>
              </w:rPr>
              <w:t xml:space="preserve"> </w:t>
            </w:r>
            <w:r>
              <w:rPr>
                <w:rFonts w:eastAsia="MS Mincho" w:cstheme="minorHAnsi"/>
              </w:rPr>
              <w:t>≤</w:t>
            </w:r>
            <w:r>
              <w:rPr>
                <w:rFonts w:eastAsia="MS Mincho"/>
              </w:rPr>
              <w:t>10</w:t>
            </w:r>
            <w:r w:rsidR="00621153">
              <w:rPr>
                <w:rFonts w:eastAsia="MS Mincho"/>
              </w:rPr>
              <w:t xml:space="preserve"> </w:t>
            </w:r>
            <w:r>
              <w:rPr>
                <w:rFonts w:eastAsia="MS Mincho"/>
              </w:rPr>
              <w:t>ppm.</w:t>
            </w:r>
          </w:p>
          <w:p w:rsidR="0055171C" w:rsidRDefault="001262BD" w:rsidP="002916A7">
            <w:pPr>
              <w:pStyle w:val="Tablewriting"/>
              <w:rPr>
                <w:rFonts w:eastAsia="MS Mincho"/>
              </w:rPr>
            </w:pPr>
            <w:r w:rsidRPr="008C39E4">
              <w:rPr>
                <w:rFonts w:eastAsia="MS Mincho"/>
                <w:u w:val="single"/>
              </w:rPr>
              <w:t>Secondary</w:t>
            </w:r>
            <w:r>
              <w:rPr>
                <w:rFonts w:eastAsia="MS Mincho"/>
              </w:rPr>
              <w:t xml:space="preserve">: </w:t>
            </w:r>
            <w:r w:rsidR="005B56AA" w:rsidRPr="005B56AA">
              <w:rPr>
                <w:rFonts w:eastAsia="MS Mincho"/>
              </w:rPr>
              <w:t>CAR at</w:t>
            </w:r>
            <w:r w:rsidR="005B56AA">
              <w:rPr>
                <w:rFonts w:eastAsia="MS Mincho"/>
              </w:rPr>
              <w:t xml:space="preserve"> Week</w:t>
            </w:r>
            <w:r w:rsidR="005B56AA" w:rsidRPr="005B56AA">
              <w:rPr>
                <w:rFonts w:eastAsia="MS Mincho"/>
              </w:rPr>
              <w:t xml:space="preserve"> 9-24 </w:t>
            </w:r>
            <w:r w:rsidR="00205EB0">
              <w:rPr>
                <w:rFonts w:eastAsia="MS Mincho"/>
              </w:rPr>
              <w:t>and Week</w:t>
            </w:r>
            <w:r w:rsidR="005B56AA" w:rsidRPr="005B56AA">
              <w:rPr>
                <w:rFonts w:eastAsia="MS Mincho"/>
              </w:rPr>
              <w:t xml:space="preserve"> 9-52; 7-day PPA at </w:t>
            </w:r>
            <w:r w:rsidR="00604414">
              <w:rPr>
                <w:rFonts w:eastAsia="MS Mincho"/>
              </w:rPr>
              <w:t>Week</w:t>
            </w:r>
            <w:r w:rsidR="005B56AA" w:rsidRPr="005B56AA">
              <w:rPr>
                <w:rFonts w:eastAsia="MS Mincho"/>
              </w:rPr>
              <w:t xml:space="preserve"> 12, 24 and 52</w:t>
            </w:r>
            <w:r w:rsidR="00427493">
              <w:rPr>
                <w:rFonts w:eastAsia="MS Mincho"/>
              </w:rPr>
              <w:t>.</w:t>
            </w:r>
            <w:r w:rsidR="00810D46">
              <w:rPr>
                <w:rFonts w:eastAsia="MS Mincho"/>
              </w:rPr>
              <w:t xml:space="preserve"> Validated by CO </w:t>
            </w:r>
            <w:r w:rsidR="00810D46">
              <w:rPr>
                <w:rFonts w:eastAsia="MS Mincho" w:cstheme="minorHAnsi"/>
              </w:rPr>
              <w:t>≤</w:t>
            </w:r>
            <w:r w:rsidR="00810D46">
              <w:rPr>
                <w:rFonts w:eastAsia="MS Mincho"/>
              </w:rPr>
              <w:t>10</w:t>
            </w:r>
            <w:r w:rsidR="00621153">
              <w:rPr>
                <w:rFonts w:eastAsia="MS Mincho"/>
              </w:rPr>
              <w:t xml:space="preserve"> </w:t>
            </w:r>
            <w:r w:rsidR="00810D46">
              <w:rPr>
                <w:rFonts w:eastAsia="MS Mincho"/>
              </w:rPr>
              <w:t>ppm.</w:t>
            </w:r>
          </w:p>
          <w:p w:rsidR="001262BD" w:rsidRPr="00061F78" w:rsidRDefault="0055171C" w:rsidP="002916A7">
            <w:pPr>
              <w:pStyle w:val="Tablewriting"/>
              <w:rPr>
                <w:rFonts w:eastAsia="MS Mincho"/>
              </w:rPr>
            </w:pPr>
            <w:r w:rsidRPr="0055171C">
              <w:rPr>
                <w:rFonts w:eastAsia="MS Mincho"/>
                <w:u w:val="single"/>
              </w:rPr>
              <w:t>Other</w:t>
            </w:r>
            <w:r>
              <w:rPr>
                <w:rFonts w:eastAsia="MS Mincho"/>
              </w:rPr>
              <w:t xml:space="preserve">: </w:t>
            </w:r>
            <w:r w:rsidR="00EC37F8">
              <w:rPr>
                <w:rFonts w:eastAsia="MS Mincho"/>
              </w:rPr>
              <w:t>w</w:t>
            </w:r>
            <w:r w:rsidR="00EC37F8" w:rsidRPr="00EC37F8">
              <w:rPr>
                <w:rFonts w:eastAsia="MS Mincho"/>
              </w:rPr>
              <w:t>eight change, withdrawal symptoms (using MNWS, QSU-brief and mCEQ), adverse</w:t>
            </w:r>
            <w:r w:rsidR="00EC37F8">
              <w:rPr>
                <w:rFonts w:eastAsia="MS Mincho"/>
              </w:rPr>
              <w:t xml:space="preserve"> </w:t>
            </w:r>
            <w:r w:rsidR="00EC37F8" w:rsidRPr="00EC37F8">
              <w:rPr>
                <w:rFonts w:eastAsia="MS Mincho"/>
              </w:rPr>
              <w:t>events</w:t>
            </w:r>
            <w:r w:rsidR="000F1E7A">
              <w:rPr>
                <w:rFonts w:eastAsia="MS Mincho"/>
              </w:rPr>
              <w:t>.</w:t>
            </w:r>
          </w:p>
        </w:tc>
      </w:tr>
      <w:tr w:rsidR="00260CD7" w:rsidRPr="00061F78" w:rsidTr="00B537F7">
        <w:trPr>
          <w:trHeight w:val="99"/>
        </w:trPr>
        <w:tc>
          <w:tcPr>
            <w:tcW w:w="332" w:type="pct"/>
            <w:shd w:val="clear" w:color="auto" w:fill="D9D9D9" w:themeFill="background1" w:themeFillShade="D9"/>
            <w:tcMar>
              <w:left w:w="28" w:type="dxa"/>
              <w:right w:w="28" w:type="dxa"/>
            </w:tcMar>
          </w:tcPr>
          <w:p w:rsidR="00411373" w:rsidRDefault="00411373" w:rsidP="002916A7">
            <w:pPr>
              <w:pStyle w:val="Tablewriting"/>
              <w:rPr>
                <w:rFonts w:eastAsia="MS Mincho"/>
              </w:rPr>
            </w:pPr>
            <w:r>
              <w:rPr>
                <w:rFonts w:eastAsia="MS Mincho"/>
              </w:rPr>
              <w:t>Jorenby</w:t>
            </w:r>
          </w:p>
          <w:p w:rsidR="00411373" w:rsidRPr="00061F78" w:rsidRDefault="00411373" w:rsidP="002916A7">
            <w:pPr>
              <w:pStyle w:val="Tablewriting"/>
              <w:rPr>
                <w:rFonts w:eastAsia="MS Mincho"/>
              </w:rPr>
            </w:pPr>
            <w:r>
              <w:rPr>
                <w:rFonts w:eastAsia="MS Mincho"/>
              </w:rPr>
              <w:t>(2006)</w:t>
            </w:r>
            <w:r w:rsidR="007E0181" w:rsidRPr="00061F78">
              <w:rPr>
                <w:rFonts w:eastAsia="MS Mincho"/>
              </w:rPr>
              <w:t xml:space="preserve"> </w:t>
            </w:r>
          </w:p>
        </w:tc>
        <w:tc>
          <w:tcPr>
            <w:tcW w:w="395" w:type="pct"/>
            <w:shd w:val="clear" w:color="auto" w:fill="D9D9D9" w:themeFill="background1" w:themeFillShade="D9"/>
          </w:tcPr>
          <w:p w:rsidR="00411373" w:rsidRDefault="00411373"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rsidR="00411373" w:rsidRDefault="00411373" w:rsidP="002916A7">
            <w:pPr>
              <w:pStyle w:val="Tablewriting"/>
              <w:rPr>
                <w:rFonts w:eastAsia="MS Mincho"/>
              </w:rPr>
            </w:pPr>
            <w:r>
              <w:rPr>
                <w:rFonts w:eastAsia="MS Mincho"/>
              </w:rPr>
              <w:t>N=1</w:t>
            </w:r>
            <w:r w:rsidR="007E0181">
              <w:rPr>
                <w:rFonts w:eastAsia="MS Mincho"/>
              </w:rPr>
              <w:t>,</w:t>
            </w:r>
            <w:r>
              <w:rPr>
                <w:rFonts w:eastAsia="MS Mincho"/>
              </w:rPr>
              <w:t>02</w:t>
            </w:r>
            <w:r w:rsidR="0091279E">
              <w:rPr>
                <w:rFonts w:eastAsia="MS Mincho"/>
              </w:rPr>
              <w:t>7</w:t>
            </w:r>
          </w:p>
          <w:p w:rsidR="00411373" w:rsidRPr="00061F78" w:rsidRDefault="00411373" w:rsidP="002916A7">
            <w:pPr>
              <w:pStyle w:val="Tablewriting"/>
              <w:rPr>
                <w:rFonts w:eastAsia="MS Mincho"/>
              </w:rPr>
            </w:pPr>
            <w:r>
              <w:rPr>
                <w:rFonts w:eastAsia="MS Mincho"/>
              </w:rPr>
              <w:t>Varenicline (n=3</w:t>
            </w:r>
            <w:r w:rsidR="0091279E">
              <w:rPr>
                <w:rFonts w:eastAsia="MS Mincho"/>
              </w:rPr>
              <w:t>44</w:t>
            </w:r>
            <w:r>
              <w:rPr>
                <w:rFonts w:eastAsia="MS Mincho"/>
              </w:rPr>
              <w:t>), Placebo (n=34</w:t>
            </w:r>
            <w:r w:rsidR="0091279E">
              <w:rPr>
                <w:rFonts w:eastAsia="MS Mincho"/>
              </w:rPr>
              <w:t>1</w:t>
            </w:r>
            <w:r>
              <w:rPr>
                <w:rFonts w:eastAsia="MS Mincho"/>
              </w:rPr>
              <w:t>)</w:t>
            </w:r>
          </w:p>
        </w:tc>
        <w:tc>
          <w:tcPr>
            <w:tcW w:w="1866" w:type="pct"/>
            <w:shd w:val="clear" w:color="auto" w:fill="D9D9D9" w:themeFill="background1" w:themeFillShade="D9"/>
            <w:tcMar>
              <w:left w:w="28" w:type="dxa"/>
              <w:right w:w="28" w:type="dxa"/>
            </w:tcMar>
          </w:tcPr>
          <w:p w:rsidR="00411373" w:rsidRDefault="00411373" w:rsidP="002916A7">
            <w:pPr>
              <w:pStyle w:val="Tablewriting"/>
              <w:rPr>
                <w:rFonts w:eastAsia="MS Mincho"/>
              </w:rPr>
            </w:pPr>
            <w:r w:rsidRPr="007F28D7">
              <w:rPr>
                <w:rFonts w:eastAsia="MS Mincho"/>
                <w:u w:val="single"/>
              </w:rPr>
              <w:t>Inclusion</w:t>
            </w:r>
            <w:r>
              <w:rPr>
                <w:rFonts w:eastAsia="MS Mincho"/>
              </w:rPr>
              <w:t xml:space="preserve">: </w:t>
            </w:r>
            <w:r w:rsidRPr="007F28D7">
              <w:rPr>
                <w:rFonts w:eastAsia="MS Mincho"/>
              </w:rPr>
              <w:t>18</w:t>
            </w:r>
            <w:r>
              <w:rPr>
                <w:rFonts w:eastAsia="MS Mincho"/>
              </w:rPr>
              <w:t xml:space="preserve">-75 </w:t>
            </w:r>
            <w:r w:rsidRPr="007F28D7">
              <w:rPr>
                <w:rFonts w:eastAsia="MS Mincho"/>
              </w:rPr>
              <w:t xml:space="preserve">years </w:t>
            </w:r>
            <w:r>
              <w:rPr>
                <w:rFonts w:eastAsia="MS Mincho"/>
              </w:rPr>
              <w:t>old</w:t>
            </w:r>
            <w:r w:rsidRPr="007F28D7">
              <w:rPr>
                <w:rFonts w:eastAsia="MS Mincho"/>
              </w:rPr>
              <w:t xml:space="preserve">, </w:t>
            </w:r>
            <w:r w:rsidR="00FC55D5">
              <w:rPr>
                <w:rFonts w:eastAsia="MS Mincho" w:cstheme="minorHAnsi"/>
              </w:rPr>
              <w:t>≥</w:t>
            </w:r>
            <w:r w:rsidR="00A31D77" w:rsidRPr="00A31D77">
              <w:rPr>
                <w:rFonts w:eastAsia="MS Mincho"/>
              </w:rPr>
              <w:t>10</w:t>
            </w:r>
            <w:r w:rsidR="00A31D77">
              <w:rPr>
                <w:rFonts w:eastAsia="MS Mincho"/>
              </w:rPr>
              <w:t xml:space="preserve"> </w:t>
            </w:r>
            <w:r w:rsidR="00A31D77" w:rsidRPr="00A31D77">
              <w:rPr>
                <w:rFonts w:eastAsia="MS Mincho"/>
              </w:rPr>
              <w:t>cigarettes</w:t>
            </w:r>
            <w:r w:rsidR="00FC55D5">
              <w:rPr>
                <w:rFonts w:eastAsia="MS Mincho"/>
              </w:rPr>
              <w:t xml:space="preserve"> per </w:t>
            </w:r>
            <w:r w:rsidR="00A31D77" w:rsidRPr="00A31D77">
              <w:rPr>
                <w:rFonts w:eastAsia="MS Mincho"/>
              </w:rPr>
              <w:t>d</w:t>
            </w:r>
            <w:r w:rsidR="00FC55D5">
              <w:rPr>
                <w:rFonts w:eastAsia="MS Mincho"/>
              </w:rPr>
              <w:t>ay</w:t>
            </w:r>
            <w:r w:rsidR="00A31D77" w:rsidRPr="00A31D77">
              <w:rPr>
                <w:rFonts w:eastAsia="MS Mincho"/>
              </w:rPr>
              <w:t xml:space="preserve"> during the previous</w:t>
            </w:r>
            <w:r w:rsidR="00A31D77">
              <w:rPr>
                <w:rFonts w:eastAsia="MS Mincho"/>
              </w:rPr>
              <w:t xml:space="preserve"> </w:t>
            </w:r>
            <w:r w:rsidR="00A31D77" w:rsidRPr="00A31D77">
              <w:rPr>
                <w:rFonts w:eastAsia="MS Mincho"/>
              </w:rPr>
              <w:t>year, no period of smoking</w:t>
            </w:r>
            <w:r w:rsidR="00861E72">
              <w:rPr>
                <w:rFonts w:eastAsia="MS Mincho"/>
              </w:rPr>
              <w:t xml:space="preserve"> </w:t>
            </w:r>
            <w:r w:rsidR="00A31D77" w:rsidRPr="00A31D77">
              <w:rPr>
                <w:rFonts w:eastAsia="MS Mincho"/>
              </w:rPr>
              <w:t>abstinence longer than 3 months in</w:t>
            </w:r>
            <w:r w:rsidR="00A31D77">
              <w:rPr>
                <w:rFonts w:eastAsia="MS Mincho"/>
              </w:rPr>
              <w:t xml:space="preserve"> </w:t>
            </w:r>
            <w:r w:rsidR="00A31D77" w:rsidRPr="00A31D77">
              <w:rPr>
                <w:rFonts w:eastAsia="MS Mincho"/>
              </w:rPr>
              <w:t>the past year</w:t>
            </w:r>
            <w:r w:rsidR="00E617B3">
              <w:rPr>
                <w:rFonts w:eastAsia="MS Mincho"/>
              </w:rPr>
              <w:t>.</w:t>
            </w:r>
          </w:p>
          <w:p w:rsidR="00411373" w:rsidRPr="00061F78" w:rsidRDefault="00411373" w:rsidP="002916A7">
            <w:pPr>
              <w:pStyle w:val="Tablewriting"/>
              <w:rPr>
                <w:rFonts w:eastAsia="MS Mincho"/>
              </w:rPr>
            </w:pPr>
            <w:r w:rsidRPr="007F28D7">
              <w:rPr>
                <w:rFonts w:eastAsia="MS Mincho"/>
                <w:u w:val="single"/>
              </w:rPr>
              <w:t>Exclusion</w:t>
            </w:r>
            <w:r>
              <w:rPr>
                <w:rFonts w:eastAsia="MS Mincho"/>
              </w:rPr>
              <w:t xml:space="preserve">: </w:t>
            </w:r>
            <w:r w:rsidR="00A31D77" w:rsidRPr="00A31D77">
              <w:rPr>
                <w:rFonts w:eastAsia="MS Mincho"/>
              </w:rPr>
              <w:t>previous</w:t>
            </w:r>
            <w:r w:rsidR="00A31D77">
              <w:rPr>
                <w:rFonts w:eastAsia="MS Mincho"/>
              </w:rPr>
              <w:t xml:space="preserve"> </w:t>
            </w:r>
            <w:r w:rsidR="00A31D77" w:rsidRPr="00A31D77">
              <w:rPr>
                <w:rFonts w:eastAsia="MS Mincho"/>
              </w:rPr>
              <w:t>use of bupropion</w:t>
            </w:r>
            <w:r w:rsidR="00861E72">
              <w:rPr>
                <w:rFonts w:eastAsia="MS Mincho"/>
              </w:rPr>
              <w:t>,</w:t>
            </w:r>
            <w:r w:rsidR="00A31D77" w:rsidRPr="00A31D77">
              <w:rPr>
                <w:rFonts w:eastAsia="MS Mincho"/>
              </w:rPr>
              <w:t xml:space="preserve"> contraindications</w:t>
            </w:r>
            <w:r w:rsidR="00A31D77">
              <w:rPr>
                <w:rFonts w:eastAsia="MS Mincho"/>
              </w:rPr>
              <w:t xml:space="preserve"> </w:t>
            </w:r>
            <w:r w:rsidR="00A31D77" w:rsidRPr="00A31D77">
              <w:rPr>
                <w:rFonts w:eastAsia="MS Mincho"/>
              </w:rPr>
              <w:t>for use of bupropion</w:t>
            </w:r>
            <w:r w:rsidR="00861E72">
              <w:rPr>
                <w:rFonts w:eastAsia="MS Mincho"/>
              </w:rPr>
              <w:t xml:space="preserve">, </w:t>
            </w:r>
            <w:r w:rsidR="00A31D77" w:rsidRPr="00A31D77">
              <w:rPr>
                <w:rFonts w:eastAsia="MS Mincho"/>
              </w:rPr>
              <w:t>serious or unstable</w:t>
            </w:r>
            <w:r w:rsidR="00A31D77">
              <w:rPr>
                <w:rFonts w:eastAsia="MS Mincho"/>
              </w:rPr>
              <w:t xml:space="preserve"> </w:t>
            </w:r>
            <w:r w:rsidR="00A31D77" w:rsidRPr="00A31D77">
              <w:rPr>
                <w:rFonts w:eastAsia="MS Mincho"/>
              </w:rPr>
              <w:t>disease within the previous 6</w:t>
            </w:r>
            <w:r w:rsidR="00861E72">
              <w:rPr>
                <w:rFonts w:eastAsia="MS Mincho"/>
              </w:rPr>
              <w:t xml:space="preserve"> </w:t>
            </w:r>
            <w:r w:rsidR="00A31D77" w:rsidRPr="00A31D77">
              <w:rPr>
                <w:rFonts w:eastAsia="MS Mincho"/>
              </w:rPr>
              <w:t>months</w:t>
            </w:r>
            <w:r w:rsidR="00861E72">
              <w:rPr>
                <w:rFonts w:eastAsia="MS Mincho"/>
              </w:rPr>
              <w:t>,</w:t>
            </w:r>
            <w:r w:rsidR="00A31D77" w:rsidRPr="00A31D77">
              <w:rPr>
                <w:rFonts w:eastAsia="MS Mincho"/>
              </w:rPr>
              <w:t xml:space="preserve"> clinically significant cardiovascular</w:t>
            </w:r>
            <w:r w:rsidR="00A31D77">
              <w:rPr>
                <w:rFonts w:eastAsia="MS Mincho"/>
              </w:rPr>
              <w:t xml:space="preserve"> </w:t>
            </w:r>
            <w:r w:rsidR="00A31D77" w:rsidRPr="00A31D77">
              <w:rPr>
                <w:rFonts w:eastAsia="MS Mincho"/>
              </w:rPr>
              <w:t>disease in the previous 6 months</w:t>
            </w:r>
            <w:r w:rsidR="00861E72">
              <w:rPr>
                <w:rFonts w:eastAsia="MS Mincho"/>
              </w:rPr>
              <w:t>,</w:t>
            </w:r>
            <w:r w:rsidR="00A31D77">
              <w:rPr>
                <w:rFonts w:eastAsia="MS Mincho"/>
              </w:rPr>
              <w:t xml:space="preserve"> </w:t>
            </w:r>
            <w:r w:rsidR="00A31D77" w:rsidRPr="00A31D77">
              <w:rPr>
                <w:rFonts w:eastAsia="MS Mincho"/>
              </w:rPr>
              <w:t>uncontrolled hypertension</w:t>
            </w:r>
            <w:r w:rsidR="00861E72">
              <w:rPr>
                <w:rFonts w:eastAsia="MS Mincho"/>
              </w:rPr>
              <w:t>,</w:t>
            </w:r>
            <w:r w:rsidR="00A31D77" w:rsidRPr="00A31D77">
              <w:rPr>
                <w:rFonts w:eastAsia="MS Mincho"/>
              </w:rPr>
              <w:t xml:space="preserve"> baseline systolic</w:t>
            </w:r>
            <w:r w:rsidR="00A31D77">
              <w:rPr>
                <w:rFonts w:eastAsia="MS Mincho"/>
              </w:rPr>
              <w:t xml:space="preserve"> </w:t>
            </w:r>
            <w:r w:rsidR="00A31D77" w:rsidRPr="00A31D77">
              <w:rPr>
                <w:rFonts w:eastAsia="MS Mincho"/>
              </w:rPr>
              <w:t xml:space="preserve">blood pressure </w:t>
            </w:r>
            <w:r w:rsidR="00861E72">
              <w:rPr>
                <w:rFonts w:eastAsia="MS Mincho"/>
              </w:rPr>
              <w:t>&gt;</w:t>
            </w:r>
            <w:r w:rsidR="00A31D77" w:rsidRPr="00A31D77">
              <w:rPr>
                <w:rFonts w:eastAsia="MS Mincho"/>
              </w:rPr>
              <w:t>150</w:t>
            </w:r>
            <w:r w:rsidR="00861E72">
              <w:rPr>
                <w:rFonts w:eastAsia="MS Mincho"/>
              </w:rPr>
              <w:t xml:space="preserve"> </w:t>
            </w:r>
            <w:r w:rsidR="00A31D77" w:rsidRPr="00A31D77">
              <w:rPr>
                <w:rFonts w:eastAsia="MS Mincho"/>
              </w:rPr>
              <w:t>mmHg</w:t>
            </w:r>
            <w:r w:rsidR="00A31D77">
              <w:rPr>
                <w:rFonts w:eastAsia="MS Mincho"/>
              </w:rPr>
              <w:t xml:space="preserve"> </w:t>
            </w:r>
            <w:r w:rsidR="00A31D77" w:rsidRPr="00A31D77">
              <w:rPr>
                <w:rFonts w:eastAsia="MS Mincho"/>
              </w:rPr>
              <w:t xml:space="preserve">or diastolic blood pressure </w:t>
            </w:r>
            <w:r w:rsidR="00861E72">
              <w:rPr>
                <w:rFonts w:eastAsia="MS Mincho"/>
              </w:rPr>
              <w:t>&gt;9</w:t>
            </w:r>
            <w:r w:rsidR="00A31D77" w:rsidRPr="00A31D77">
              <w:rPr>
                <w:rFonts w:eastAsia="MS Mincho"/>
              </w:rPr>
              <w:t>5</w:t>
            </w:r>
            <w:r w:rsidR="00861E72">
              <w:rPr>
                <w:rFonts w:eastAsia="MS Mincho"/>
              </w:rPr>
              <w:t xml:space="preserve"> </w:t>
            </w:r>
            <w:r w:rsidR="00A31D77" w:rsidRPr="00A31D77">
              <w:rPr>
                <w:rFonts w:eastAsia="MS Mincho"/>
              </w:rPr>
              <w:t>mmHg</w:t>
            </w:r>
            <w:r w:rsidR="00861E72">
              <w:rPr>
                <w:rFonts w:eastAsia="MS Mincho"/>
              </w:rPr>
              <w:t>,</w:t>
            </w:r>
            <w:r w:rsidR="00A31D77" w:rsidRPr="00A31D77">
              <w:rPr>
                <w:rFonts w:eastAsia="MS Mincho"/>
              </w:rPr>
              <w:t xml:space="preserve"> severe chronic obstructive</w:t>
            </w:r>
            <w:r w:rsidR="00A31D77">
              <w:rPr>
                <w:rFonts w:eastAsia="MS Mincho"/>
              </w:rPr>
              <w:t xml:space="preserve"> </w:t>
            </w:r>
            <w:r w:rsidR="00A31D77" w:rsidRPr="00A31D77">
              <w:rPr>
                <w:rFonts w:eastAsia="MS Mincho"/>
              </w:rPr>
              <w:t>pulmonary disease</w:t>
            </w:r>
            <w:r w:rsidR="00861E72">
              <w:rPr>
                <w:rFonts w:eastAsia="MS Mincho"/>
              </w:rPr>
              <w:t>,</w:t>
            </w:r>
            <w:r w:rsidR="00A31D77" w:rsidRPr="00A31D77">
              <w:rPr>
                <w:rFonts w:eastAsia="MS Mincho"/>
              </w:rPr>
              <w:t xml:space="preserve"> history of cancer</w:t>
            </w:r>
            <w:r w:rsidR="00861E72">
              <w:rPr>
                <w:rFonts w:eastAsia="MS Mincho"/>
              </w:rPr>
              <w:t>,</w:t>
            </w:r>
            <w:r w:rsidR="00A31D77">
              <w:rPr>
                <w:rFonts w:eastAsia="MS Mincho"/>
              </w:rPr>
              <w:t xml:space="preserve"> </w:t>
            </w:r>
            <w:r w:rsidR="00A31D77" w:rsidRPr="00A31D77">
              <w:rPr>
                <w:rFonts w:eastAsia="MS Mincho"/>
              </w:rPr>
              <w:t>clinically significant allergic reactions</w:t>
            </w:r>
            <w:r w:rsidR="00861E72">
              <w:rPr>
                <w:rFonts w:eastAsia="MS Mincho"/>
              </w:rPr>
              <w:t>,</w:t>
            </w:r>
            <w:r w:rsidR="00A31D77">
              <w:rPr>
                <w:rFonts w:eastAsia="MS Mincho"/>
              </w:rPr>
              <w:t xml:space="preserve"> </w:t>
            </w:r>
            <w:r w:rsidR="00A31D77" w:rsidRPr="00A31D77">
              <w:rPr>
                <w:rFonts w:eastAsia="MS Mincho"/>
              </w:rPr>
              <w:t xml:space="preserve">body mass index </w:t>
            </w:r>
            <w:r w:rsidR="00861E72">
              <w:rPr>
                <w:rFonts w:eastAsia="MS Mincho"/>
              </w:rPr>
              <w:t>&lt;</w:t>
            </w:r>
            <w:r w:rsidR="00A31D77" w:rsidRPr="00A31D77">
              <w:rPr>
                <w:rFonts w:eastAsia="MS Mincho"/>
              </w:rPr>
              <w:t xml:space="preserve">15 or </w:t>
            </w:r>
            <w:r w:rsidR="00861E72">
              <w:rPr>
                <w:rFonts w:eastAsia="MS Mincho"/>
              </w:rPr>
              <w:t>&gt;</w:t>
            </w:r>
            <w:r w:rsidR="00A31D77" w:rsidRPr="00A31D77">
              <w:rPr>
                <w:rFonts w:eastAsia="MS Mincho"/>
              </w:rPr>
              <w:t xml:space="preserve">38; body weight </w:t>
            </w:r>
            <w:r w:rsidR="00861E72">
              <w:rPr>
                <w:rFonts w:eastAsia="MS Mincho"/>
              </w:rPr>
              <w:t>&lt;</w:t>
            </w:r>
            <w:r w:rsidR="00A31D77" w:rsidRPr="00A31D77">
              <w:rPr>
                <w:rFonts w:eastAsia="MS Mincho"/>
              </w:rPr>
              <w:t>45 kg</w:t>
            </w:r>
            <w:r w:rsidR="00861E72">
              <w:rPr>
                <w:rFonts w:eastAsia="MS Mincho"/>
              </w:rPr>
              <w:t>,</w:t>
            </w:r>
            <w:r w:rsidR="00A31D77">
              <w:t xml:space="preserve"> </w:t>
            </w:r>
            <w:r w:rsidR="00A31D77" w:rsidRPr="00A31D77">
              <w:rPr>
                <w:rFonts w:eastAsia="MS Mincho"/>
              </w:rPr>
              <w:t>history of alcohol or other drug abuse or</w:t>
            </w:r>
            <w:r w:rsidR="00A31D77">
              <w:rPr>
                <w:rFonts w:eastAsia="MS Mincho"/>
              </w:rPr>
              <w:t xml:space="preserve"> </w:t>
            </w:r>
            <w:r w:rsidR="00A31D77" w:rsidRPr="00A31D77">
              <w:rPr>
                <w:rFonts w:eastAsia="MS Mincho"/>
              </w:rPr>
              <w:t>dependence in the previous 12 months</w:t>
            </w:r>
            <w:r w:rsidR="00861E72">
              <w:rPr>
                <w:rFonts w:eastAsia="MS Mincho"/>
              </w:rPr>
              <w:t xml:space="preserve"> </w:t>
            </w:r>
            <w:r w:rsidR="00A31D77" w:rsidRPr="00A31D77">
              <w:rPr>
                <w:rFonts w:eastAsia="MS Mincho"/>
              </w:rPr>
              <w:t>(nicotine excepted)</w:t>
            </w:r>
            <w:r w:rsidR="00861E72">
              <w:rPr>
                <w:rFonts w:eastAsia="MS Mincho"/>
              </w:rPr>
              <w:t>,</w:t>
            </w:r>
            <w:r w:rsidR="00A31D77" w:rsidRPr="00A31D77">
              <w:rPr>
                <w:rFonts w:eastAsia="MS Mincho"/>
              </w:rPr>
              <w:t xml:space="preserve"> treatment for major</w:t>
            </w:r>
            <w:r w:rsidR="00A31D77">
              <w:rPr>
                <w:rFonts w:eastAsia="MS Mincho"/>
              </w:rPr>
              <w:t xml:space="preserve"> </w:t>
            </w:r>
            <w:r w:rsidR="00A31D77" w:rsidRPr="00A31D77">
              <w:rPr>
                <w:rFonts w:eastAsia="MS Mincho"/>
              </w:rPr>
              <w:t>depression in the previous 12 months</w:t>
            </w:r>
            <w:r w:rsidR="00861E72">
              <w:rPr>
                <w:rFonts w:eastAsia="MS Mincho"/>
              </w:rPr>
              <w:t>,</w:t>
            </w:r>
            <w:r w:rsidR="00A31D77">
              <w:rPr>
                <w:rFonts w:eastAsia="MS Mincho"/>
              </w:rPr>
              <w:t xml:space="preserve"> </w:t>
            </w:r>
            <w:r w:rsidR="00A31D77" w:rsidRPr="00A31D77">
              <w:rPr>
                <w:rFonts w:eastAsia="MS Mincho"/>
              </w:rPr>
              <w:t>history of or current panic disorder, psychosis,</w:t>
            </w:r>
            <w:r w:rsidR="00A31D77">
              <w:rPr>
                <w:rFonts w:eastAsia="MS Mincho"/>
              </w:rPr>
              <w:t xml:space="preserve"> </w:t>
            </w:r>
            <w:r w:rsidR="00A31D77" w:rsidRPr="00A31D77">
              <w:rPr>
                <w:rFonts w:eastAsia="MS Mincho"/>
              </w:rPr>
              <w:t>or bipolar disorder; use of another</w:t>
            </w:r>
            <w:r w:rsidR="00A31D77">
              <w:rPr>
                <w:rFonts w:eastAsia="MS Mincho"/>
              </w:rPr>
              <w:t xml:space="preserve"> </w:t>
            </w:r>
            <w:r w:rsidR="00A31D77" w:rsidRPr="00A31D77">
              <w:rPr>
                <w:rFonts w:eastAsia="MS Mincho"/>
              </w:rPr>
              <w:t>investigational drug within 30 days</w:t>
            </w:r>
            <w:r w:rsidR="00861E72">
              <w:rPr>
                <w:rFonts w:eastAsia="MS Mincho"/>
              </w:rPr>
              <w:t>,</w:t>
            </w:r>
            <w:r w:rsidR="00A31D77" w:rsidRPr="00A31D77">
              <w:rPr>
                <w:rFonts w:eastAsia="MS Mincho"/>
              </w:rPr>
              <w:t xml:space="preserve"> previous participation</w:t>
            </w:r>
            <w:r w:rsidR="00A31D77">
              <w:rPr>
                <w:rFonts w:eastAsia="MS Mincho"/>
              </w:rPr>
              <w:t xml:space="preserve"> </w:t>
            </w:r>
            <w:r w:rsidR="00A31D77" w:rsidRPr="00A31D77">
              <w:rPr>
                <w:rFonts w:eastAsia="MS Mincho"/>
              </w:rPr>
              <w:t xml:space="preserve">in any varenicline </w:t>
            </w:r>
            <w:r w:rsidR="00A31D77" w:rsidRPr="00A31D77">
              <w:rPr>
                <w:rFonts w:eastAsia="MS Mincho"/>
              </w:rPr>
              <w:lastRenderedPageBreak/>
              <w:t>study</w:t>
            </w:r>
            <w:r w:rsidR="002A0A3E">
              <w:rPr>
                <w:rFonts w:eastAsia="MS Mincho"/>
              </w:rPr>
              <w:t>,</w:t>
            </w:r>
            <w:r w:rsidR="00A31D77" w:rsidRPr="00A31D77">
              <w:rPr>
                <w:rFonts w:eastAsia="MS Mincho"/>
              </w:rPr>
              <w:t xml:space="preserve"> use in the</w:t>
            </w:r>
            <w:r w:rsidR="00A31D77">
              <w:rPr>
                <w:rFonts w:eastAsia="MS Mincho"/>
              </w:rPr>
              <w:t xml:space="preserve"> </w:t>
            </w:r>
            <w:r w:rsidR="00A31D77" w:rsidRPr="00A31D77">
              <w:rPr>
                <w:rFonts w:eastAsia="MS Mincho"/>
              </w:rPr>
              <w:t>previous month or intention to use medications</w:t>
            </w:r>
            <w:r w:rsidR="00A31D77">
              <w:rPr>
                <w:rFonts w:eastAsia="MS Mincho"/>
              </w:rPr>
              <w:t xml:space="preserve"> </w:t>
            </w:r>
            <w:r w:rsidR="00A31D77" w:rsidRPr="00A31D77">
              <w:rPr>
                <w:rFonts w:eastAsia="MS Mincho"/>
              </w:rPr>
              <w:t>that might interfere with study</w:t>
            </w:r>
            <w:r w:rsidR="00A31D77">
              <w:rPr>
                <w:rFonts w:eastAsia="MS Mincho"/>
              </w:rPr>
              <w:t xml:space="preserve"> </w:t>
            </w:r>
            <w:r w:rsidR="00A31D77" w:rsidRPr="00A31D77">
              <w:rPr>
                <w:rFonts w:eastAsia="MS Mincho"/>
              </w:rPr>
              <w:t>medication evaluation</w:t>
            </w:r>
            <w:r w:rsidR="002A0A3E">
              <w:rPr>
                <w:rFonts w:eastAsia="MS Mincho"/>
              </w:rPr>
              <w:t>,</w:t>
            </w:r>
            <w:r w:rsidR="00A31D77" w:rsidRPr="00A31D77">
              <w:rPr>
                <w:rFonts w:eastAsia="MS Mincho"/>
              </w:rPr>
              <w:t xml:space="preserve">  use</w:t>
            </w:r>
            <w:r w:rsidR="00A31D77">
              <w:rPr>
                <w:rFonts w:eastAsia="MS Mincho"/>
              </w:rPr>
              <w:t xml:space="preserve"> </w:t>
            </w:r>
            <w:r w:rsidR="00A31D77" w:rsidRPr="00A31D77">
              <w:rPr>
                <w:rFonts w:eastAsia="MS Mincho"/>
              </w:rPr>
              <w:t>of marijuana or other tobacco products</w:t>
            </w:r>
            <w:r w:rsidR="00A31D77">
              <w:rPr>
                <w:rFonts w:eastAsia="MS Mincho"/>
              </w:rPr>
              <w:t xml:space="preserve"> </w:t>
            </w:r>
            <w:r w:rsidR="00A31D77" w:rsidRPr="00A31D77">
              <w:rPr>
                <w:rFonts w:eastAsia="MS Mincho"/>
              </w:rPr>
              <w:t>during the study</w:t>
            </w:r>
            <w:r w:rsidR="002A0A3E">
              <w:rPr>
                <w:rFonts w:eastAsia="MS Mincho"/>
              </w:rPr>
              <w:t>,</w:t>
            </w:r>
            <w:r w:rsidR="00A31D77" w:rsidRPr="00A31D77">
              <w:rPr>
                <w:rFonts w:eastAsia="MS Mincho"/>
              </w:rPr>
              <w:t xml:space="preserve"> clinically significant abnormalities</w:t>
            </w:r>
            <w:r w:rsidR="00A31D77">
              <w:rPr>
                <w:rFonts w:eastAsia="MS Mincho"/>
              </w:rPr>
              <w:t xml:space="preserve"> </w:t>
            </w:r>
            <w:r w:rsidR="00A31D77" w:rsidRPr="00A31D77">
              <w:rPr>
                <w:rFonts w:eastAsia="MS Mincho"/>
              </w:rPr>
              <w:t>in the screening laboratory</w:t>
            </w:r>
            <w:r w:rsidR="00A31D77">
              <w:rPr>
                <w:rFonts w:eastAsia="MS Mincho"/>
              </w:rPr>
              <w:t xml:space="preserve"> </w:t>
            </w:r>
            <w:r w:rsidR="00A31D77" w:rsidRPr="00A31D77">
              <w:rPr>
                <w:rFonts w:eastAsia="MS Mincho"/>
              </w:rPr>
              <w:t>values</w:t>
            </w:r>
            <w:r w:rsidR="002A0A3E">
              <w:rPr>
                <w:rFonts w:eastAsia="MS Mincho"/>
              </w:rPr>
              <w:t>,</w:t>
            </w:r>
            <w:r w:rsidR="00A31D77">
              <w:rPr>
                <w:rFonts w:eastAsia="MS Mincho"/>
              </w:rPr>
              <w:t xml:space="preserve"> pregnancy</w:t>
            </w:r>
            <w:r w:rsidR="00E617B3">
              <w:rPr>
                <w:rFonts w:eastAsia="MS Mincho"/>
              </w:rPr>
              <w:t>.</w:t>
            </w:r>
          </w:p>
        </w:tc>
        <w:tc>
          <w:tcPr>
            <w:tcW w:w="920" w:type="pct"/>
            <w:shd w:val="clear" w:color="auto" w:fill="D9D9D9" w:themeFill="background1" w:themeFillShade="D9"/>
          </w:tcPr>
          <w:p w:rsidR="00807C27" w:rsidRDefault="00411373" w:rsidP="002916A7">
            <w:pPr>
              <w:pStyle w:val="Tablewriting"/>
              <w:rPr>
                <w:rFonts w:eastAsia="MS Mincho"/>
              </w:rPr>
            </w:pPr>
            <w:r>
              <w:rPr>
                <w:rFonts w:eastAsia="MS Mincho"/>
              </w:rPr>
              <w:lastRenderedPageBreak/>
              <w:t>Varenicline</w:t>
            </w:r>
            <w:r w:rsidRPr="00A34E7B">
              <w:rPr>
                <w:rFonts w:eastAsia="MS Mincho"/>
              </w:rPr>
              <w:t xml:space="preserve">: </w:t>
            </w:r>
            <w:r w:rsidR="00807C27" w:rsidRPr="00372F18">
              <w:rPr>
                <w:rFonts w:eastAsia="MS Mincho"/>
              </w:rPr>
              <w:t>1</w:t>
            </w:r>
            <w:r w:rsidR="008C5D20">
              <w:rPr>
                <w:rFonts w:eastAsia="MS Mincho"/>
              </w:rPr>
              <w:t xml:space="preserve"> </w:t>
            </w:r>
            <w:r w:rsidR="00807C27" w:rsidRPr="00372F18">
              <w:rPr>
                <w:rFonts w:eastAsia="MS Mincho"/>
              </w:rPr>
              <w:t>mg twice daily titrated</w:t>
            </w:r>
            <w:r w:rsidR="00807C27">
              <w:rPr>
                <w:rFonts w:eastAsia="MS Mincho"/>
              </w:rPr>
              <w:t xml:space="preserve"> over 12 weeks</w:t>
            </w:r>
            <w:r w:rsidR="00807C27" w:rsidRPr="00372F18">
              <w:rPr>
                <w:rFonts w:eastAsia="MS Mincho"/>
              </w:rPr>
              <w:t xml:space="preserve"> (i</w:t>
            </w:r>
            <w:r w:rsidR="00807C27">
              <w:rPr>
                <w:rFonts w:eastAsia="MS Mincho"/>
              </w:rPr>
              <w:t>.</w:t>
            </w:r>
            <w:r w:rsidR="00807C27" w:rsidRPr="00372F18">
              <w:rPr>
                <w:rFonts w:eastAsia="MS Mincho"/>
              </w:rPr>
              <w:t>e</w:t>
            </w:r>
            <w:r w:rsidR="00807C27">
              <w:rPr>
                <w:rFonts w:eastAsia="MS Mincho"/>
              </w:rPr>
              <w:t>.</w:t>
            </w:r>
            <w:r w:rsidR="00807C27" w:rsidRPr="00372F18">
              <w:rPr>
                <w:rFonts w:eastAsia="MS Mincho"/>
              </w:rPr>
              <w:t xml:space="preserve"> 0.5</w:t>
            </w:r>
            <w:r w:rsidR="008C5D20">
              <w:rPr>
                <w:rFonts w:eastAsia="MS Mincho"/>
              </w:rPr>
              <w:t xml:space="preserve"> </w:t>
            </w:r>
            <w:r w:rsidR="00807C27" w:rsidRPr="00372F18">
              <w:rPr>
                <w:rFonts w:eastAsia="MS Mincho"/>
              </w:rPr>
              <w:t>mg once</w:t>
            </w:r>
            <w:r w:rsidR="00807C27">
              <w:rPr>
                <w:rFonts w:eastAsia="MS Mincho"/>
              </w:rPr>
              <w:t xml:space="preserve"> </w:t>
            </w:r>
            <w:r w:rsidR="00807C27" w:rsidRPr="00372F18">
              <w:rPr>
                <w:rFonts w:eastAsia="MS Mincho"/>
              </w:rPr>
              <w:t>daily for 3 days, then 0.5</w:t>
            </w:r>
            <w:r w:rsidR="008C5D20">
              <w:rPr>
                <w:rFonts w:eastAsia="MS Mincho"/>
              </w:rPr>
              <w:t xml:space="preserve"> </w:t>
            </w:r>
            <w:r w:rsidR="00807C27" w:rsidRPr="00372F18">
              <w:rPr>
                <w:rFonts w:eastAsia="MS Mincho"/>
              </w:rPr>
              <w:t>mg twice daily for 4 days, then 1</w:t>
            </w:r>
            <w:r w:rsidR="008C5D20">
              <w:rPr>
                <w:rFonts w:eastAsia="MS Mincho"/>
              </w:rPr>
              <w:t xml:space="preserve"> </w:t>
            </w:r>
            <w:r w:rsidR="00807C27" w:rsidRPr="00372F18">
              <w:rPr>
                <w:rFonts w:eastAsia="MS Mincho"/>
              </w:rPr>
              <w:t>mg twice daily)</w:t>
            </w:r>
            <w:r w:rsidR="004657DA">
              <w:rPr>
                <w:rFonts w:eastAsia="MS Mincho"/>
              </w:rPr>
              <w:t>;</w:t>
            </w:r>
          </w:p>
          <w:p w:rsidR="00411373" w:rsidRDefault="00411373" w:rsidP="002916A7">
            <w:pPr>
              <w:pStyle w:val="Tablewriting"/>
              <w:rPr>
                <w:rFonts w:eastAsia="MS Mincho"/>
              </w:rPr>
            </w:pPr>
            <w:r>
              <w:rPr>
                <w:rFonts w:eastAsia="MS Mincho"/>
              </w:rPr>
              <w:t>Placebo: placebo tablet for 12 weeks, same regimen</w:t>
            </w:r>
            <w:r w:rsidR="000F1E7A">
              <w:rPr>
                <w:rFonts w:eastAsia="MS Mincho"/>
              </w:rPr>
              <w:t>.</w:t>
            </w:r>
          </w:p>
          <w:p w:rsidR="00987D91" w:rsidRDefault="00987D91" w:rsidP="002916A7">
            <w:pPr>
              <w:pStyle w:val="Tablewriting"/>
              <w:rPr>
                <w:rFonts w:eastAsia="MS Mincho"/>
              </w:rPr>
            </w:pPr>
          </w:p>
          <w:p w:rsidR="00987D91" w:rsidRPr="00A34E7B" w:rsidRDefault="00FA6F72" w:rsidP="002916A7">
            <w:pPr>
              <w:pStyle w:val="Tablewriting"/>
              <w:rPr>
                <w:rFonts w:eastAsia="MS Mincho"/>
              </w:rPr>
            </w:pPr>
            <w:r w:rsidRPr="00FA6F72">
              <w:rPr>
                <w:rFonts w:eastAsia="MS Mincho"/>
              </w:rPr>
              <w:t>Behavioural support provided in both arms.</w:t>
            </w:r>
          </w:p>
        </w:tc>
        <w:tc>
          <w:tcPr>
            <w:tcW w:w="1140" w:type="pct"/>
            <w:shd w:val="clear" w:color="auto" w:fill="D9D9D9" w:themeFill="background1" w:themeFillShade="D9"/>
            <w:tcMar>
              <w:left w:w="28" w:type="dxa"/>
              <w:right w:w="28" w:type="dxa"/>
            </w:tcMar>
          </w:tcPr>
          <w:p w:rsidR="00411373" w:rsidRDefault="00411373" w:rsidP="002916A7">
            <w:pPr>
              <w:pStyle w:val="Tablewriting"/>
              <w:rPr>
                <w:rFonts w:eastAsia="MS Mincho"/>
              </w:rPr>
            </w:pPr>
            <w:r w:rsidRPr="008C39E4">
              <w:rPr>
                <w:rFonts w:eastAsia="MS Mincho"/>
                <w:u w:val="single"/>
              </w:rPr>
              <w:t>Primary</w:t>
            </w:r>
            <w:r>
              <w:rPr>
                <w:rFonts w:eastAsia="MS Mincho"/>
              </w:rPr>
              <w:t xml:space="preserve">: </w:t>
            </w:r>
            <w:r w:rsidR="00FC55D5">
              <w:rPr>
                <w:rFonts w:eastAsia="MS Mincho"/>
              </w:rPr>
              <w:t>CAR</w:t>
            </w:r>
            <w:r>
              <w:rPr>
                <w:rFonts w:eastAsia="MS Mincho"/>
              </w:rPr>
              <w:t xml:space="preserve"> at Week 9-12. Validated by CO</w:t>
            </w:r>
            <w:r w:rsidR="00FC55D5">
              <w:rPr>
                <w:rFonts w:eastAsia="MS Mincho"/>
              </w:rPr>
              <w:t xml:space="preserve"> </w:t>
            </w:r>
            <w:r>
              <w:rPr>
                <w:rFonts w:eastAsia="MS Mincho" w:cstheme="minorHAnsi"/>
              </w:rPr>
              <w:t>≤</w:t>
            </w:r>
            <w:r>
              <w:rPr>
                <w:rFonts w:eastAsia="MS Mincho"/>
              </w:rPr>
              <w:t>10</w:t>
            </w:r>
            <w:r w:rsidR="008C5D20">
              <w:rPr>
                <w:rFonts w:eastAsia="MS Mincho"/>
              </w:rPr>
              <w:t xml:space="preserve"> </w:t>
            </w:r>
            <w:r>
              <w:rPr>
                <w:rFonts w:eastAsia="MS Mincho"/>
              </w:rPr>
              <w:t>ppm.</w:t>
            </w:r>
          </w:p>
          <w:p w:rsidR="00411373" w:rsidRDefault="00411373" w:rsidP="002916A7">
            <w:pPr>
              <w:pStyle w:val="Tablewriting"/>
              <w:rPr>
                <w:rFonts w:eastAsia="MS Mincho"/>
              </w:rPr>
            </w:pPr>
            <w:r w:rsidRPr="008C39E4">
              <w:rPr>
                <w:rFonts w:eastAsia="MS Mincho"/>
                <w:u w:val="single"/>
              </w:rPr>
              <w:t>Secondary</w:t>
            </w:r>
            <w:r>
              <w:rPr>
                <w:rFonts w:eastAsia="MS Mincho"/>
              </w:rPr>
              <w:t xml:space="preserve">: </w:t>
            </w:r>
            <w:r w:rsidRPr="005B56AA">
              <w:rPr>
                <w:rFonts w:eastAsia="MS Mincho"/>
              </w:rPr>
              <w:t>CAR at</w:t>
            </w:r>
            <w:r>
              <w:rPr>
                <w:rFonts w:eastAsia="MS Mincho"/>
              </w:rPr>
              <w:t xml:space="preserve"> Week</w:t>
            </w:r>
            <w:r w:rsidRPr="005B56AA">
              <w:rPr>
                <w:rFonts w:eastAsia="MS Mincho"/>
              </w:rPr>
              <w:t xml:space="preserve"> 9-24 </w:t>
            </w:r>
            <w:r>
              <w:rPr>
                <w:rFonts w:eastAsia="MS Mincho"/>
              </w:rPr>
              <w:t>and Week</w:t>
            </w:r>
            <w:r w:rsidRPr="005B56AA">
              <w:rPr>
                <w:rFonts w:eastAsia="MS Mincho"/>
              </w:rPr>
              <w:t xml:space="preserve"> 9-52; 7-day PPA at </w:t>
            </w:r>
            <w:r>
              <w:rPr>
                <w:rFonts w:eastAsia="MS Mincho"/>
              </w:rPr>
              <w:t>Week</w:t>
            </w:r>
            <w:r w:rsidRPr="005B56AA">
              <w:rPr>
                <w:rFonts w:eastAsia="MS Mincho"/>
              </w:rPr>
              <w:t xml:space="preserve"> 12, 24 and 52</w:t>
            </w:r>
            <w:r w:rsidR="00810D46">
              <w:rPr>
                <w:rFonts w:eastAsia="MS Mincho"/>
              </w:rPr>
              <w:t xml:space="preserve">. Validated by CO </w:t>
            </w:r>
            <w:r w:rsidR="00810D46">
              <w:rPr>
                <w:rFonts w:eastAsia="MS Mincho" w:cstheme="minorHAnsi"/>
              </w:rPr>
              <w:t>≤</w:t>
            </w:r>
            <w:r w:rsidR="00810D46">
              <w:rPr>
                <w:rFonts w:eastAsia="MS Mincho"/>
              </w:rPr>
              <w:t>10</w:t>
            </w:r>
            <w:r w:rsidR="008C5D20">
              <w:rPr>
                <w:rFonts w:eastAsia="MS Mincho"/>
              </w:rPr>
              <w:t xml:space="preserve"> </w:t>
            </w:r>
            <w:r w:rsidR="00810D46">
              <w:rPr>
                <w:rFonts w:eastAsia="MS Mincho"/>
              </w:rPr>
              <w:t>ppm.</w:t>
            </w:r>
          </w:p>
          <w:p w:rsidR="00411373" w:rsidRPr="00061F78" w:rsidRDefault="00411373" w:rsidP="002916A7">
            <w:pPr>
              <w:pStyle w:val="Tablewriting"/>
              <w:rPr>
                <w:rFonts w:eastAsia="MS Mincho"/>
              </w:rPr>
            </w:pPr>
            <w:r w:rsidRPr="0055171C">
              <w:rPr>
                <w:rFonts w:eastAsia="MS Mincho"/>
                <w:u w:val="single"/>
              </w:rPr>
              <w:t>Other</w:t>
            </w:r>
            <w:r>
              <w:rPr>
                <w:rFonts w:eastAsia="MS Mincho"/>
              </w:rPr>
              <w:t>: w</w:t>
            </w:r>
            <w:r w:rsidRPr="00EC37F8">
              <w:rPr>
                <w:rFonts w:eastAsia="MS Mincho"/>
              </w:rPr>
              <w:t>eight change, withdrawal symptoms (using MNWS, QSU-brief and mCEQ), adverse</w:t>
            </w:r>
            <w:r>
              <w:rPr>
                <w:rFonts w:eastAsia="MS Mincho"/>
              </w:rPr>
              <w:t xml:space="preserve"> </w:t>
            </w:r>
            <w:r w:rsidRPr="00EC37F8">
              <w:rPr>
                <w:rFonts w:eastAsia="MS Mincho"/>
              </w:rPr>
              <w:t>events</w:t>
            </w:r>
            <w:r w:rsidR="000F1E7A">
              <w:rPr>
                <w:rFonts w:eastAsia="MS Mincho"/>
              </w:rPr>
              <w:t>.</w:t>
            </w:r>
          </w:p>
        </w:tc>
      </w:tr>
      <w:tr w:rsidR="00260CD7" w:rsidRPr="00061F78" w:rsidTr="00B537F7">
        <w:trPr>
          <w:trHeight w:val="99"/>
        </w:trPr>
        <w:tc>
          <w:tcPr>
            <w:tcW w:w="332" w:type="pct"/>
            <w:shd w:val="clear" w:color="auto" w:fill="D9D9D9" w:themeFill="background1" w:themeFillShade="D9"/>
            <w:tcMar>
              <w:left w:w="28" w:type="dxa"/>
              <w:right w:w="28" w:type="dxa"/>
            </w:tcMar>
          </w:tcPr>
          <w:p w:rsidR="00897F5E" w:rsidRPr="00061F78" w:rsidRDefault="00897F5E" w:rsidP="002916A7">
            <w:pPr>
              <w:pStyle w:val="Tablewriting"/>
              <w:rPr>
                <w:rFonts w:eastAsia="MS Mincho"/>
              </w:rPr>
            </w:pPr>
            <w:r>
              <w:rPr>
                <w:rFonts w:eastAsia="MS Mincho"/>
              </w:rPr>
              <w:t>Oncken (2006)</w:t>
            </w:r>
            <w:r w:rsidR="00A53FBE" w:rsidRPr="00061F78">
              <w:rPr>
                <w:rFonts w:eastAsia="MS Mincho"/>
              </w:rPr>
              <w:t xml:space="preserve"> </w:t>
            </w:r>
          </w:p>
        </w:tc>
        <w:tc>
          <w:tcPr>
            <w:tcW w:w="395" w:type="pct"/>
            <w:shd w:val="clear" w:color="auto" w:fill="D9D9D9" w:themeFill="background1" w:themeFillShade="D9"/>
          </w:tcPr>
          <w:p w:rsidR="00897F5E" w:rsidRDefault="00897F5E"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rsidR="00897F5E" w:rsidRDefault="00897F5E" w:rsidP="002916A7">
            <w:pPr>
              <w:pStyle w:val="Tablewriting"/>
              <w:rPr>
                <w:rFonts w:eastAsia="MS Mincho"/>
              </w:rPr>
            </w:pPr>
            <w:r>
              <w:rPr>
                <w:rFonts w:eastAsia="MS Mincho"/>
              </w:rPr>
              <w:t>N=647</w:t>
            </w:r>
          </w:p>
          <w:p w:rsidR="00897F5E" w:rsidRPr="00061F78" w:rsidRDefault="00897F5E" w:rsidP="002916A7">
            <w:pPr>
              <w:pStyle w:val="Tablewriting"/>
              <w:rPr>
                <w:rFonts w:eastAsia="MS Mincho"/>
              </w:rPr>
            </w:pPr>
            <w:r>
              <w:rPr>
                <w:rFonts w:eastAsia="MS Mincho"/>
              </w:rPr>
              <w:t>Varenicline (n=</w:t>
            </w:r>
            <w:r w:rsidR="007C51CC">
              <w:rPr>
                <w:rFonts w:eastAsia="MS Mincho"/>
              </w:rPr>
              <w:t>259</w:t>
            </w:r>
            <w:r>
              <w:rPr>
                <w:rFonts w:eastAsia="MS Mincho"/>
              </w:rPr>
              <w:t>)</w:t>
            </w:r>
            <w:r w:rsidR="00DF5CEC">
              <w:rPr>
                <w:rFonts w:eastAsia="MS Mincho"/>
                <w:vertAlign w:val="superscript"/>
              </w:rPr>
              <w:t>2</w:t>
            </w:r>
            <w:r>
              <w:rPr>
                <w:rFonts w:eastAsia="MS Mincho"/>
              </w:rPr>
              <w:t>, Placebo (n=</w:t>
            </w:r>
            <w:r w:rsidR="007C51CC">
              <w:rPr>
                <w:rFonts w:eastAsia="MS Mincho"/>
              </w:rPr>
              <w:t>129</w:t>
            </w:r>
            <w:r>
              <w:rPr>
                <w:rFonts w:eastAsia="MS Mincho"/>
              </w:rPr>
              <w:t>)</w:t>
            </w:r>
          </w:p>
        </w:tc>
        <w:tc>
          <w:tcPr>
            <w:tcW w:w="1866" w:type="pct"/>
            <w:shd w:val="clear" w:color="auto" w:fill="D9D9D9" w:themeFill="background1" w:themeFillShade="D9"/>
            <w:tcMar>
              <w:left w:w="28" w:type="dxa"/>
              <w:right w:w="28" w:type="dxa"/>
            </w:tcMar>
          </w:tcPr>
          <w:p w:rsidR="0092592F" w:rsidRDefault="00897F5E" w:rsidP="002916A7">
            <w:pPr>
              <w:pStyle w:val="Tablewriting"/>
              <w:rPr>
                <w:rFonts w:eastAsia="MS Mincho"/>
              </w:rPr>
            </w:pPr>
            <w:r w:rsidRPr="007F28D7">
              <w:rPr>
                <w:rFonts w:eastAsia="MS Mincho"/>
                <w:u w:val="single"/>
              </w:rPr>
              <w:t>Inclusion</w:t>
            </w:r>
            <w:r>
              <w:rPr>
                <w:rFonts w:eastAsia="MS Mincho"/>
              </w:rPr>
              <w:t xml:space="preserve">: </w:t>
            </w:r>
            <w:r w:rsidR="0092592F">
              <w:rPr>
                <w:rFonts w:eastAsia="MS Mincho"/>
              </w:rPr>
              <w:t xml:space="preserve">healthy cigarette smokers, </w:t>
            </w:r>
            <w:r w:rsidRPr="007F28D7">
              <w:rPr>
                <w:rFonts w:eastAsia="MS Mincho"/>
              </w:rPr>
              <w:t>18</w:t>
            </w:r>
            <w:r>
              <w:rPr>
                <w:rFonts w:eastAsia="MS Mincho"/>
              </w:rPr>
              <w:t>-</w:t>
            </w:r>
            <w:r w:rsidR="005F6610">
              <w:rPr>
                <w:rFonts w:eastAsia="MS Mincho"/>
              </w:rPr>
              <w:t>6</w:t>
            </w:r>
            <w:r>
              <w:rPr>
                <w:rFonts w:eastAsia="MS Mincho"/>
              </w:rPr>
              <w:t xml:space="preserve">5 </w:t>
            </w:r>
            <w:r w:rsidRPr="007F28D7">
              <w:rPr>
                <w:rFonts w:eastAsia="MS Mincho"/>
              </w:rPr>
              <w:t xml:space="preserve">years </w:t>
            </w:r>
            <w:r>
              <w:rPr>
                <w:rFonts w:eastAsia="MS Mincho"/>
              </w:rPr>
              <w:t>old</w:t>
            </w:r>
            <w:r w:rsidRPr="007F28D7">
              <w:rPr>
                <w:rFonts w:eastAsia="MS Mincho"/>
              </w:rPr>
              <w:t xml:space="preserve">, </w:t>
            </w:r>
            <w:r w:rsidR="00BD2033">
              <w:rPr>
                <w:rFonts w:eastAsia="MS Mincho" w:cstheme="minorHAnsi"/>
              </w:rPr>
              <w:t>≥</w:t>
            </w:r>
            <w:r w:rsidR="0092592F" w:rsidRPr="0092592F">
              <w:rPr>
                <w:rFonts w:eastAsia="MS Mincho"/>
              </w:rPr>
              <w:t>10 cigarettes per day</w:t>
            </w:r>
            <w:r w:rsidR="00E617B3">
              <w:rPr>
                <w:rFonts w:eastAsia="MS Mincho"/>
              </w:rPr>
              <w:t>.</w:t>
            </w:r>
          </w:p>
          <w:p w:rsidR="00897F5E" w:rsidRPr="00061F78" w:rsidRDefault="00897F5E" w:rsidP="002916A7">
            <w:pPr>
              <w:pStyle w:val="Tablewriting"/>
              <w:rPr>
                <w:rFonts w:eastAsia="MS Mincho"/>
              </w:rPr>
            </w:pPr>
            <w:r w:rsidRPr="007F28D7">
              <w:rPr>
                <w:rFonts w:eastAsia="MS Mincho"/>
                <w:u w:val="single"/>
              </w:rPr>
              <w:t>Exclusion</w:t>
            </w:r>
            <w:r>
              <w:rPr>
                <w:rFonts w:eastAsia="MS Mincho"/>
              </w:rPr>
              <w:t xml:space="preserve">: </w:t>
            </w:r>
            <w:r w:rsidR="00E91572" w:rsidRPr="00E91572">
              <w:rPr>
                <w:rFonts w:eastAsia="MS Mincho"/>
              </w:rPr>
              <w:t>treatment with an investigational drug within the</w:t>
            </w:r>
            <w:r w:rsidR="00750F68">
              <w:rPr>
                <w:rFonts w:eastAsia="MS Mincho"/>
              </w:rPr>
              <w:t xml:space="preserve"> </w:t>
            </w:r>
            <w:r w:rsidR="00E91572" w:rsidRPr="00E91572">
              <w:rPr>
                <w:rFonts w:eastAsia="MS Mincho"/>
              </w:rPr>
              <w:t>previous month</w:t>
            </w:r>
            <w:r w:rsidR="00BD2033">
              <w:rPr>
                <w:rFonts w:eastAsia="MS Mincho"/>
              </w:rPr>
              <w:t>,</w:t>
            </w:r>
            <w:r w:rsidR="00E91572" w:rsidRPr="00E91572">
              <w:rPr>
                <w:rFonts w:eastAsia="MS Mincho"/>
              </w:rPr>
              <w:t xml:space="preserve"> major depression within the prior year</w:t>
            </w:r>
            <w:r w:rsidR="00BD2033">
              <w:rPr>
                <w:rFonts w:eastAsia="MS Mincho"/>
              </w:rPr>
              <w:t>,</w:t>
            </w:r>
            <w:r w:rsidR="00E91572" w:rsidRPr="00E91572">
              <w:rPr>
                <w:rFonts w:eastAsia="MS Mincho"/>
              </w:rPr>
              <w:t xml:space="preserve"> panic</w:t>
            </w:r>
            <w:r w:rsidR="00750F68">
              <w:rPr>
                <w:rFonts w:eastAsia="MS Mincho"/>
              </w:rPr>
              <w:t xml:space="preserve"> </w:t>
            </w:r>
            <w:r w:rsidR="00E91572" w:rsidRPr="00E91572">
              <w:rPr>
                <w:rFonts w:eastAsia="MS Mincho"/>
              </w:rPr>
              <w:t xml:space="preserve">disorder, psychosis, or bipolar disorder; use of </w:t>
            </w:r>
            <w:r w:rsidR="00BD2033">
              <w:rPr>
                <w:rFonts w:eastAsia="MS Mincho"/>
              </w:rPr>
              <w:t>NRT</w:t>
            </w:r>
            <w:r w:rsidR="00E91572" w:rsidRPr="00E91572">
              <w:rPr>
                <w:rFonts w:eastAsia="MS Mincho"/>
              </w:rPr>
              <w:t xml:space="preserve"> or bupropion within the previous 3 months</w:t>
            </w:r>
            <w:r w:rsidR="00BD2033">
              <w:rPr>
                <w:rFonts w:eastAsia="MS Mincho"/>
              </w:rPr>
              <w:t>,</w:t>
            </w:r>
            <w:r w:rsidR="00E91572" w:rsidRPr="00E91572">
              <w:rPr>
                <w:rFonts w:eastAsia="MS Mincho"/>
              </w:rPr>
              <w:t xml:space="preserve"> cardiovascular</w:t>
            </w:r>
            <w:r w:rsidR="00750F68">
              <w:rPr>
                <w:rFonts w:eastAsia="MS Mincho"/>
              </w:rPr>
              <w:t xml:space="preserve"> </w:t>
            </w:r>
            <w:r w:rsidR="00E91572" w:rsidRPr="00E91572">
              <w:rPr>
                <w:rFonts w:eastAsia="MS Mincho"/>
              </w:rPr>
              <w:t>disease</w:t>
            </w:r>
            <w:r w:rsidR="00BD2033">
              <w:rPr>
                <w:rFonts w:eastAsia="MS Mincho"/>
              </w:rPr>
              <w:t>,</w:t>
            </w:r>
            <w:r w:rsidR="00E91572" w:rsidRPr="00E91572">
              <w:rPr>
                <w:rFonts w:eastAsia="MS Mincho"/>
              </w:rPr>
              <w:t xml:space="preserve"> clinically significant medical disease</w:t>
            </w:r>
            <w:r w:rsidR="00BD2033">
              <w:rPr>
                <w:rFonts w:eastAsia="MS Mincho"/>
              </w:rPr>
              <w:t>,</w:t>
            </w:r>
            <w:r w:rsidR="00E91572" w:rsidRPr="00E91572">
              <w:rPr>
                <w:rFonts w:eastAsia="MS Mincho"/>
              </w:rPr>
              <w:t xml:space="preserve"> drug</w:t>
            </w:r>
            <w:r w:rsidR="00750F68">
              <w:rPr>
                <w:rFonts w:eastAsia="MS Mincho"/>
              </w:rPr>
              <w:t xml:space="preserve"> </w:t>
            </w:r>
            <w:r w:rsidR="00E91572" w:rsidRPr="00E91572">
              <w:rPr>
                <w:rFonts w:eastAsia="MS Mincho"/>
              </w:rPr>
              <w:t>or alcohol abuse or dependence within the past year</w:t>
            </w:r>
            <w:r w:rsidR="00BD2033">
              <w:rPr>
                <w:rFonts w:eastAsia="MS Mincho"/>
              </w:rPr>
              <w:t>,</w:t>
            </w:r>
            <w:r w:rsidR="00E91572" w:rsidRPr="00E91572">
              <w:rPr>
                <w:rFonts w:eastAsia="MS Mincho"/>
              </w:rPr>
              <w:t xml:space="preserve"> and use</w:t>
            </w:r>
            <w:r w:rsidR="00B96A6B">
              <w:rPr>
                <w:rFonts w:eastAsia="MS Mincho"/>
              </w:rPr>
              <w:t xml:space="preserve"> </w:t>
            </w:r>
            <w:r w:rsidR="00E91572" w:rsidRPr="00E91572">
              <w:rPr>
                <w:rFonts w:eastAsia="MS Mincho"/>
              </w:rPr>
              <w:t>of tobacco products other than cigarettes or marijuana use</w:t>
            </w:r>
            <w:r w:rsidR="00B96A6B">
              <w:rPr>
                <w:rFonts w:eastAsia="MS Mincho"/>
              </w:rPr>
              <w:t xml:space="preserve"> </w:t>
            </w:r>
            <w:r w:rsidR="00E91572" w:rsidRPr="00E91572">
              <w:rPr>
                <w:rFonts w:eastAsia="MS Mincho"/>
              </w:rPr>
              <w:t>within the previous month</w:t>
            </w:r>
            <w:r w:rsidR="00E617B3">
              <w:rPr>
                <w:rFonts w:eastAsia="MS Mincho"/>
              </w:rPr>
              <w:t>.</w:t>
            </w:r>
          </w:p>
        </w:tc>
        <w:tc>
          <w:tcPr>
            <w:tcW w:w="920" w:type="pct"/>
            <w:shd w:val="clear" w:color="auto" w:fill="D9D9D9" w:themeFill="background1" w:themeFillShade="D9"/>
          </w:tcPr>
          <w:p w:rsidR="00942E4D" w:rsidRDefault="00897F5E" w:rsidP="002916A7">
            <w:pPr>
              <w:pStyle w:val="Tablewriting"/>
              <w:rPr>
                <w:rFonts w:eastAsia="MS Mincho"/>
              </w:rPr>
            </w:pPr>
            <w:r>
              <w:rPr>
                <w:rFonts w:eastAsia="MS Mincho"/>
              </w:rPr>
              <w:t>Varenicline</w:t>
            </w:r>
            <w:r w:rsidRPr="00A34E7B">
              <w:rPr>
                <w:rFonts w:eastAsia="MS Mincho"/>
              </w:rPr>
              <w:t xml:space="preserve">: </w:t>
            </w:r>
            <w:r w:rsidR="00372F18" w:rsidRPr="00372F18">
              <w:rPr>
                <w:rFonts w:eastAsia="MS Mincho"/>
              </w:rPr>
              <w:t>1</w:t>
            </w:r>
            <w:r w:rsidR="001376F9">
              <w:rPr>
                <w:rFonts w:eastAsia="MS Mincho"/>
              </w:rPr>
              <w:t xml:space="preserve"> </w:t>
            </w:r>
            <w:r w:rsidR="00372F18" w:rsidRPr="00372F18">
              <w:rPr>
                <w:rFonts w:eastAsia="MS Mincho"/>
              </w:rPr>
              <w:t>mg twice daily non</w:t>
            </w:r>
            <w:r w:rsidR="00372F18">
              <w:rPr>
                <w:rFonts w:eastAsia="MS Mincho"/>
              </w:rPr>
              <w:t>-</w:t>
            </w:r>
            <w:r w:rsidR="00372F18" w:rsidRPr="00372F18">
              <w:rPr>
                <w:rFonts w:eastAsia="MS Mincho"/>
              </w:rPr>
              <w:t>titrated (i</w:t>
            </w:r>
            <w:r w:rsidR="00372F18">
              <w:rPr>
                <w:rFonts w:eastAsia="MS Mincho"/>
              </w:rPr>
              <w:t>.</w:t>
            </w:r>
            <w:r w:rsidR="00372F18" w:rsidRPr="00372F18">
              <w:rPr>
                <w:rFonts w:eastAsia="MS Mincho"/>
              </w:rPr>
              <w:t>e</w:t>
            </w:r>
            <w:r w:rsidR="00372F18">
              <w:rPr>
                <w:rFonts w:eastAsia="MS Mincho"/>
              </w:rPr>
              <w:t>.</w:t>
            </w:r>
            <w:r w:rsidR="00372F18" w:rsidRPr="00372F18">
              <w:rPr>
                <w:rFonts w:eastAsia="MS Mincho"/>
              </w:rPr>
              <w:t xml:space="preserve"> 1mg twice daily</w:t>
            </w:r>
            <w:r w:rsidR="00372F18">
              <w:rPr>
                <w:rFonts w:eastAsia="MS Mincho"/>
              </w:rPr>
              <w:t xml:space="preserve"> </w:t>
            </w:r>
            <w:r w:rsidR="00372F18" w:rsidRPr="00372F18">
              <w:rPr>
                <w:rFonts w:eastAsia="MS Mincho"/>
              </w:rPr>
              <w:t>for 12 weeks)</w:t>
            </w:r>
            <w:r w:rsidR="00A82941">
              <w:rPr>
                <w:rFonts w:eastAsia="MS Mincho"/>
              </w:rPr>
              <w:t xml:space="preserve"> or</w:t>
            </w:r>
            <w:r w:rsidR="00372F18" w:rsidRPr="00372F18">
              <w:rPr>
                <w:rFonts w:eastAsia="MS Mincho"/>
              </w:rPr>
              <w:t xml:space="preserve"> 1</w:t>
            </w:r>
            <w:r w:rsidR="001376F9">
              <w:rPr>
                <w:rFonts w:eastAsia="MS Mincho"/>
              </w:rPr>
              <w:t xml:space="preserve"> </w:t>
            </w:r>
            <w:r w:rsidR="00372F18" w:rsidRPr="00372F18">
              <w:rPr>
                <w:rFonts w:eastAsia="MS Mincho"/>
              </w:rPr>
              <w:t>mg twice daily titrated (i</w:t>
            </w:r>
            <w:r w:rsidR="00372F18">
              <w:rPr>
                <w:rFonts w:eastAsia="MS Mincho"/>
              </w:rPr>
              <w:t>.</w:t>
            </w:r>
            <w:r w:rsidR="00372F18" w:rsidRPr="00372F18">
              <w:rPr>
                <w:rFonts w:eastAsia="MS Mincho"/>
              </w:rPr>
              <w:t>e</w:t>
            </w:r>
            <w:r w:rsidR="00372F18">
              <w:rPr>
                <w:rFonts w:eastAsia="MS Mincho"/>
              </w:rPr>
              <w:t>.</w:t>
            </w:r>
            <w:r w:rsidR="00372F18" w:rsidRPr="00372F18">
              <w:rPr>
                <w:rFonts w:eastAsia="MS Mincho"/>
              </w:rPr>
              <w:t xml:space="preserve"> 0.5</w:t>
            </w:r>
            <w:r w:rsidR="001376F9">
              <w:rPr>
                <w:rFonts w:eastAsia="MS Mincho"/>
              </w:rPr>
              <w:t xml:space="preserve"> </w:t>
            </w:r>
            <w:r w:rsidR="00372F18" w:rsidRPr="00372F18">
              <w:rPr>
                <w:rFonts w:eastAsia="MS Mincho"/>
              </w:rPr>
              <w:t>mg once</w:t>
            </w:r>
            <w:r w:rsidR="001376F9">
              <w:rPr>
                <w:rFonts w:eastAsia="MS Mincho"/>
              </w:rPr>
              <w:t xml:space="preserve"> </w:t>
            </w:r>
            <w:r w:rsidR="00372F18" w:rsidRPr="00372F18">
              <w:rPr>
                <w:rFonts w:eastAsia="MS Mincho"/>
              </w:rPr>
              <w:t>daily for 3 days, then 0.5</w:t>
            </w:r>
            <w:r w:rsidR="001376F9">
              <w:rPr>
                <w:rFonts w:eastAsia="MS Mincho"/>
              </w:rPr>
              <w:t xml:space="preserve"> </w:t>
            </w:r>
            <w:r w:rsidR="00372F18" w:rsidRPr="00372F18">
              <w:rPr>
                <w:rFonts w:eastAsia="MS Mincho"/>
              </w:rPr>
              <w:t>mg twice daily for 4 days, then 1</w:t>
            </w:r>
            <w:r w:rsidR="001376F9">
              <w:rPr>
                <w:rFonts w:eastAsia="MS Mincho"/>
              </w:rPr>
              <w:t xml:space="preserve"> </w:t>
            </w:r>
            <w:r w:rsidR="00372F18" w:rsidRPr="00372F18">
              <w:rPr>
                <w:rFonts w:eastAsia="MS Mincho"/>
              </w:rPr>
              <w:t>mg twice daily for 11 weeks)</w:t>
            </w:r>
            <w:r w:rsidR="004657DA">
              <w:rPr>
                <w:rFonts w:eastAsia="MS Mincho"/>
              </w:rPr>
              <w:t>;</w:t>
            </w:r>
          </w:p>
          <w:p w:rsidR="00897F5E" w:rsidRDefault="00897F5E" w:rsidP="002916A7">
            <w:pPr>
              <w:pStyle w:val="Tablewriting"/>
              <w:rPr>
                <w:rFonts w:eastAsia="MS Mincho"/>
              </w:rPr>
            </w:pPr>
            <w:r>
              <w:rPr>
                <w:rFonts w:eastAsia="MS Mincho"/>
              </w:rPr>
              <w:t>Placebo: placebo tablet for 12 weeks, same regimen</w:t>
            </w:r>
            <w:r w:rsidR="000F1E7A">
              <w:rPr>
                <w:rFonts w:eastAsia="MS Mincho"/>
              </w:rPr>
              <w:t>.</w:t>
            </w:r>
          </w:p>
          <w:p w:rsidR="002228F0" w:rsidRDefault="002228F0" w:rsidP="002916A7">
            <w:pPr>
              <w:pStyle w:val="Tablewriting"/>
              <w:rPr>
                <w:rFonts w:eastAsia="MS Mincho"/>
              </w:rPr>
            </w:pPr>
          </w:p>
          <w:p w:rsidR="002228F0" w:rsidRPr="00A34E7B" w:rsidRDefault="002228F0" w:rsidP="002916A7">
            <w:pPr>
              <w:pStyle w:val="Tablewriting"/>
              <w:rPr>
                <w:rFonts w:eastAsia="MS Mincho"/>
              </w:rPr>
            </w:pPr>
            <w:r w:rsidRPr="002228F0">
              <w:rPr>
                <w:rFonts w:eastAsia="MS Mincho"/>
              </w:rPr>
              <w:t>Behavioural support provided in both arms.</w:t>
            </w:r>
          </w:p>
        </w:tc>
        <w:tc>
          <w:tcPr>
            <w:tcW w:w="1140" w:type="pct"/>
            <w:shd w:val="clear" w:color="auto" w:fill="D9D9D9" w:themeFill="background1" w:themeFillShade="D9"/>
            <w:tcMar>
              <w:left w:w="28" w:type="dxa"/>
              <w:right w:w="28" w:type="dxa"/>
            </w:tcMar>
          </w:tcPr>
          <w:p w:rsidR="00897F5E" w:rsidRDefault="00897F5E" w:rsidP="002916A7">
            <w:pPr>
              <w:pStyle w:val="Tablewriting"/>
              <w:rPr>
                <w:rFonts w:eastAsia="MS Mincho"/>
              </w:rPr>
            </w:pPr>
            <w:r w:rsidRPr="008C39E4">
              <w:rPr>
                <w:rFonts w:eastAsia="MS Mincho"/>
                <w:u w:val="single"/>
              </w:rPr>
              <w:t>Primary</w:t>
            </w:r>
            <w:r>
              <w:rPr>
                <w:rFonts w:eastAsia="MS Mincho"/>
              </w:rPr>
              <w:t xml:space="preserve">: </w:t>
            </w:r>
            <w:r w:rsidR="00BD2033">
              <w:rPr>
                <w:rFonts w:eastAsia="MS Mincho"/>
              </w:rPr>
              <w:t>CAR</w:t>
            </w:r>
            <w:r>
              <w:rPr>
                <w:rFonts w:eastAsia="MS Mincho"/>
              </w:rPr>
              <w:t xml:space="preserve"> at Week </w:t>
            </w:r>
            <w:r w:rsidR="00DB68DF">
              <w:rPr>
                <w:rFonts w:eastAsia="MS Mincho"/>
              </w:rPr>
              <w:t>4-7</w:t>
            </w:r>
            <w:r w:rsidR="005044A7">
              <w:rPr>
                <w:rFonts w:eastAsia="MS Mincho"/>
              </w:rPr>
              <w:t xml:space="preserve">, </w:t>
            </w:r>
            <w:r w:rsidR="00DB68DF">
              <w:rPr>
                <w:rFonts w:eastAsia="MS Mincho"/>
              </w:rPr>
              <w:t>9-12</w:t>
            </w:r>
            <w:r w:rsidR="005044A7">
              <w:rPr>
                <w:rFonts w:eastAsia="MS Mincho"/>
              </w:rPr>
              <w:t xml:space="preserve"> and 9</w:t>
            </w:r>
            <w:r w:rsidR="00D231B0">
              <w:rPr>
                <w:rFonts w:eastAsia="MS Mincho"/>
              </w:rPr>
              <w:t>-52</w:t>
            </w:r>
            <w:r>
              <w:rPr>
                <w:rFonts w:eastAsia="MS Mincho"/>
              </w:rPr>
              <w:t>. Validated by CO</w:t>
            </w:r>
            <w:r w:rsidR="001376F9">
              <w:rPr>
                <w:rFonts w:eastAsia="MS Mincho"/>
              </w:rPr>
              <w:t xml:space="preserve"> </w:t>
            </w:r>
            <w:r>
              <w:rPr>
                <w:rFonts w:eastAsia="MS Mincho" w:cstheme="minorHAnsi"/>
              </w:rPr>
              <w:t>≤</w:t>
            </w:r>
            <w:r>
              <w:rPr>
                <w:rFonts w:eastAsia="MS Mincho"/>
              </w:rPr>
              <w:t>10</w:t>
            </w:r>
            <w:r w:rsidR="001376F9">
              <w:rPr>
                <w:rFonts w:eastAsia="MS Mincho"/>
              </w:rPr>
              <w:t xml:space="preserve"> </w:t>
            </w:r>
            <w:r>
              <w:rPr>
                <w:rFonts w:eastAsia="MS Mincho"/>
              </w:rPr>
              <w:t>ppm.</w:t>
            </w:r>
          </w:p>
          <w:p w:rsidR="00624207" w:rsidRPr="00624207" w:rsidRDefault="00897F5E" w:rsidP="002916A7">
            <w:pPr>
              <w:pStyle w:val="Tablewriting"/>
              <w:rPr>
                <w:rFonts w:eastAsia="MS Mincho"/>
              </w:rPr>
            </w:pPr>
            <w:r w:rsidRPr="008C39E4">
              <w:rPr>
                <w:rFonts w:eastAsia="MS Mincho"/>
                <w:u w:val="single"/>
              </w:rPr>
              <w:t>Secondary</w:t>
            </w:r>
            <w:r>
              <w:rPr>
                <w:rFonts w:eastAsia="MS Mincho"/>
              </w:rPr>
              <w:t xml:space="preserve">: </w:t>
            </w:r>
            <w:r w:rsidR="00624207" w:rsidRPr="00624207">
              <w:rPr>
                <w:rFonts w:eastAsia="MS Mincho"/>
              </w:rPr>
              <w:t>7-day PPA throughout</w:t>
            </w:r>
          </w:p>
          <w:p w:rsidR="00897F5E" w:rsidRDefault="00624207" w:rsidP="002916A7">
            <w:pPr>
              <w:pStyle w:val="Tablewriting"/>
              <w:rPr>
                <w:rFonts w:eastAsia="MS Mincho"/>
              </w:rPr>
            </w:pPr>
            <w:r w:rsidRPr="00624207">
              <w:rPr>
                <w:rFonts w:eastAsia="MS Mincho"/>
              </w:rPr>
              <w:t xml:space="preserve">treatment phase and at </w:t>
            </w:r>
            <w:r w:rsidR="003B7EBB">
              <w:rPr>
                <w:rFonts w:eastAsia="MS Mincho"/>
              </w:rPr>
              <w:t>Week</w:t>
            </w:r>
            <w:r w:rsidRPr="00624207">
              <w:rPr>
                <w:rFonts w:eastAsia="MS Mincho"/>
              </w:rPr>
              <w:t xml:space="preserve"> 12, 24 and 52</w:t>
            </w:r>
            <w:r w:rsidR="00B81A6F">
              <w:rPr>
                <w:rFonts w:eastAsia="MS Mincho"/>
              </w:rPr>
              <w:t xml:space="preserve">. Validated by CO </w:t>
            </w:r>
            <w:r w:rsidR="00B81A6F">
              <w:rPr>
                <w:rFonts w:eastAsia="MS Mincho" w:cstheme="minorHAnsi"/>
              </w:rPr>
              <w:t>≤</w:t>
            </w:r>
            <w:r w:rsidR="00B81A6F">
              <w:rPr>
                <w:rFonts w:eastAsia="MS Mincho"/>
              </w:rPr>
              <w:t>10</w:t>
            </w:r>
            <w:r w:rsidR="001376F9">
              <w:rPr>
                <w:rFonts w:eastAsia="MS Mincho"/>
              </w:rPr>
              <w:t xml:space="preserve"> </w:t>
            </w:r>
            <w:r w:rsidR="00B81A6F">
              <w:rPr>
                <w:rFonts w:eastAsia="MS Mincho"/>
              </w:rPr>
              <w:t>ppm.</w:t>
            </w:r>
          </w:p>
          <w:p w:rsidR="00897F5E" w:rsidRPr="00061F78" w:rsidRDefault="00897F5E" w:rsidP="002916A7">
            <w:pPr>
              <w:pStyle w:val="Tablewriting"/>
              <w:rPr>
                <w:rFonts w:eastAsia="MS Mincho"/>
              </w:rPr>
            </w:pPr>
            <w:r w:rsidRPr="0055171C">
              <w:rPr>
                <w:rFonts w:eastAsia="MS Mincho"/>
                <w:u w:val="single"/>
              </w:rPr>
              <w:t>Other</w:t>
            </w:r>
            <w:r>
              <w:rPr>
                <w:rFonts w:eastAsia="MS Mincho"/>
              </w:rPr>
              <w:t xml:space="preserve">: </w:t>
            </w:r>
            <w:r w:rsidR="005D5111" w:rsidRPr="005D5111">
              <w:rPr>
                <w:rFonts w:eastAsia="MS Mincho"/>
              </w:rPr>
              <w:t>weight change; craving and withdrawal changes using MNWS and mCEQ; adverse</w:t>
            </w:r>
            <w:r w:rsidR="003B7EBB">
              <w:rPr>
                <w:rFonts w:eastAsia="MS Mincho"/>
              </w:rPr>
              <w:t xml:space="preserve"> </w:t>
            </w:r>
            <w:r w:rsidR="005D5111" w:rsidRPr="005D5111">
              <w:rPr>
                <w:rFonts w:eastAsia="MS Mincho"/>
              </w:rPr>
              <w:t>events</w:t>
            </w:r>
            <w:r w:rsidR="000F1E7A">
              <w:rPr>
                <w:rFonts w:eastAsia="MS Mincho"/>
              </w:rPr>
              <w:t>.</w:t>
            </w:r>
          </w:p>
        </w:tc>
      </w:tr>
      <w:tr w:rsidR="00260CD7" w:rsidRPr="00061F78" w:rsidTr="00B537F7">
        <w:trPr>
          <w:trHeight w:val="99"/>
        </w:trPr>
        <w:tc>
          <w:tcPr>
            <w:tcW w:w="332" w:type="pct"/>
            <w:shd w:val="clear" w:color="auto" w:fill="D9D9D9" w:themeFill="background1" w:themeFillShade="D9"/>
            <w:tcMar>
              <w:left w:w="28" w:type="dxa"/>
              <w:right w:w="28" w:type="dxa"/>
            </w:tcMar>
          </w:tcPr>
          <w:p w:rsidR="001B3C11" w:rsidRPr="00061F78" w:rsidRDefault="001B3C11" w:rsidP="002916A7">
            <w:pPr>
              <w:pStyle w:val="Tablewriting"/>
              <w:rPr>
                <w:rFonts w:eastAsia="MS Mincho"/>
              </w:rPr>
            </w:pPr>
            <w:r w:rsidRPr="00993D89">
              <w:rPr>
                <w:rFonts w:eastAsia="MS Mincho"/>
              </w:rPr>
              <w:t>Nakamura (2007)</w:t>
            </w:r>
            <w:r w:rsidR="006551EC" w:rsidRPr="00061F78">
              <w:rPr>
                <w:rFonts w:eastAsia="MS Mincho"/>
              </w:rPr>
              <w:t xml:space="preserve"> </w:t>
            </w:r>
          </w:p>
        </w:tc>
        <w:tc>
          <w:tcPr>
            <w:tcW w:w="395" w:type="pct"/>
            <w:shd w:val="clear" w:color="auto" w:fill="D9D9D9" w:themeFill="background1" w:themeFillShade="D9"/>
          </w:tcPr>
          <w:p w:rsidR="001B3C11" w:rsidRDefault="001B3C11"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rsidR="001B3C11" w:rsidRDefault="001B3C11" w:rsidP="002916A7">
            <w:pPr>
              <w:pStyle w:val="Tablewriting"/>
              <w:rPr>
                <w:rFonts w:eastAsia="MS Mincho"/>
              </w:rPr>
            </w:pPr>
            <w:r>
              <w:rPr>
                <w:rFonts w:eastAsia="MS Mincho"/>
              </w:rPr>
              <w:t>N=6</w:t>
            </w:r>
            <w:r w:rsidR="00CB40C2">
              <w:rPr>
                <w:rFonts w:eastAsia="MS Mincho"/>
              </w:rPr>
              <w:t>19</w:t>
            </w:r>
          </w:p>
          <w:p w:rsidR="001B3C11" w:rsidRPr="00061F78" w:rsidRDefault="001B3C11" w:rsidP="002916A7">
            <w:pPr>
              <w:pStyle w:val="Tablewriting"/>
              <w:rPr>
                <w:rFonts w:eastAsia="MS Mincho"/>
              </w:rPr>
            </w:pPr>
            <w:r>
              <w:rPr>
                <w:rFonts w:eastAsia="MS Mincho"/>
              </w:rPr>
              <w:t>Varenicline (n=</w:t>
            </w:r>
            <w:r w:rsidR="00A66AB2">
              <w:rPr>
                <w:rFonts w:eastAsia="MS Mincho"/>
              </w:rPr>
              <w:t>156</w:t>
            </w:r>
            <w:r>
              <w:rPr>
                <w:rFonts w:eastAsia="MS Mincho"/>
              </w:rPr>
              <w:t>), Placebo (n=1</w:t>
            </w:r>
            <w:r w:rsidR="00A66AB2">
              <w:rPr>
                <w:rFonts w:eastAsia="MS Mincho"/>
              </w:rPr>
              <w:t>54</w:t>
            </w:r>
            <w:r>
              <w:rPr>
                <w:rFonts w:eastAsia="MS Mincho"/>
              </w:rPr>
              <w:t>)</w:t>
            </w:r>
          </w:p>
        </w:tc>
        <w:tc>
          <w:tcPr>
            <w:tcW w:w="1866" w:type="pct"/>
            <w:shd w:val="clear" w:color="auto" w:fill="D9D9D9" w:themeFill="background1" w:themeFillShade="D9"/>
            <w:tcMar>
              <w:left w:w="28" w:type="dxa"/>
              <w:right w:w="28" w:type="dxa"/>
            </w:tcMar>
          </w:tcPr>
          <w:p w:rsidR="001B3C11" w:rsidRDefault="001B3C11" w:rsidP="002916A7">
            <w:pPr>
              <w:pStyle w:val="Tablewriting"/>
              <w:rPr>
                <w:rFonts w:eastAsia="MS Mincho"/>
              </w:rPr>
            </w:pPr>
            <w:r w:rsidRPr="007F28D7">
              <w:rPr>
                <w:rFonts w:eastAsia="MS Mincho"/>
                <w:u w:val="single"/>
              </w:rPr>
              <w:t>Inclusion</w:t>
            </w:r>
            <w:r>
              <w:rPr>
                <w:rFonts w:eastAsia="MS Mincho"/>
              </w:rPr>
              <w:t xml:space="preserve">: </w:t>
            </w:r>
            <w:r w:rsidR="004C73DA" w:rsidRPr="004C73DA">
              <w:rPr>
                <w:rFonts w:eastAsia="MS Mincho"/>
              </w:rPr>
              <w:t>Japanese smokers aged</w:t>
            </w:r>
            <w:r w:rsidR="004C73DA">
              <w:rPr>
                <w:rFonts w:eastAsia="MS Mincho"/>
              </w:rPr>
              <w:t xml:space="preserve"> </w:t>
            </w:r>
            <w:r w:rsidR="004C73DA" w:rsidRPr="004C73DA">
              <w:rPr>
                <w:rFonts w:eastAsia="MS Mincho"/>
              </w:rPr>
              <w:t>20</w:t>
            </w:r>
            <w:r w:rsidR="004C73DA">
              <w:rPr>
                <w:rFonts w:eastAsia="MS Mincho"/>
              </w:rPr>
              <w:t>-</w:t>
            </w:r>
            <w:r w:rsidR="004C73DA" w:rsidRPr="004C73DA">
              <w:rPr>
                <w:rFonts w:eastAsia="MS Mincho"/>
              </w:rPr>
              <w:t>75 years</w:t>
            </w:r>
            <w:r w:rsidR="004C73DA">
              <w:rPr>
                <w:rFonts w:eastAsia="MS Mincho"/>
              </w:rPr>
              <w:t xml:space="preserve"> </w:t>
            </w:r>
            <w:r w:rsidR="004C73DA" w:rsidRPr="004C73DA">
              <w:rPr>
                <w:rFonts w:eastAsia="MS Mincho"/>
              </w:rPr>
              <w:t>who were motivated to stop smoking</w:t>
            </w:r>
            <w:r w:rsidR="00BD2033">
              <w:rPr>
                <w:rFonts w:eastAsia="MS Mincho"/>
              </w:rPr>
              <w:t xml:space="preserve">, </w:t>
            </w:r>
            <w:r w:rsidR="00BD2033">
              <w:rPr>
                <w:rFonts w:eastAsia="MS Mincho" w:cstheme="minorHAnsi"/>
              </w:rPr>
              <w:t>≥</w:t>
            </w:r>
            <w:r w:rsidR="004C73DA" w:rsidRPr="004C73DA">
              <w:rPr>
                <w:rFonts w:eastAsia="MS Mincho"/>
              </w:rPr>
              <w:t>10 cigarettes</w:t>
            </w:r>
            <w:r w:rsidR="004C73DA">
              <w:rPr>
                <w:rFonts w:eastAsia="MS Mincho"/>
              </w:rPr>
              <w:t xml:space="preserve"> </w:t>
            </w:r>
            <w:r w:rsidR="004C73DA" w:rsidRPr="004C73DA">
              <w:rPr>
                <w:rFonts w:eastAsia="MS Mincho"/>
              </w:rPr>
              <w:t>per day during the preceding year without a period</w:t>
            </w:r>
            <w:r w:rsidR="004C73DA">
              <w:rPr>
                <w:rFonts w:eastAsia="MS Mincho"/>
              </w:rPr>
              <w:t xml:space="preserve"> </w:t>
            </w:r>
            <w:r w:rsidR="004C73DA" w:rsidRPr="004C73DA">
              <w:rPr>
                <w:rFonts w:eastAsia="MS Mincho"/>
              </w:rPr>
              <w:t>of abstinence &gt;90 days</w:t>
            </w:r>
            <w:r w:rsidR="00E617B3">
              <w:rPr>
                <w:rFonts w:eastAsia="MS Mincho"/>
              </w:rPr>
              <w:t>.</w:t>
            </w:r>
          </w:p>
          <w:p w:rsidR="001B3C11" w:rsidRPr="00061F78" w:rsidRDefault="001B3C11" w:rsidP="002916A7">
            <w:pPr>
              <w:pStyle w:val="Tablewriting"/>
              <w:rPr>
                <w:rFonts w:eastAsia="MS Mincho"/>
              </w:rPr>
            </w:pPr>
            <w:r w:rsidRPr="007F28D7">
              <w:rPr>
                <w:rFonts w:eastAsia="MS Mincho"/>
                <w:u w:val="single"/>
              </w:rPr>
              <w:t>Exclusion</w:t>
            </w:r>
            <w:r>
              <w:rPr>
                <w:rFonts w:eastAsia="MS Mincho"/>
              </w:rPr>
              <w:t xml:space="preserve">: </w:t>
            </w:r>
            <w:r w:rsidR="006770AC">
              <w:rPr>
                <w:rFonts w:eastAsia="MS Mincho"/>
              </w:rPr>
              <w:t>pregnancy</w:t>
            </w:r>
            <w:r w:rsidR="00CD74FE">
              <w:rPr>
                <w:rFonts w:eastAsia="MS Mincho"/>
              </w:rPr>
              <w:t xml:space="preserve"> and</w:t>
            </w:r>
            <w:r w:rsidR="006770AC">
              <w:rPr>
                <w:rFonts w:eastAsia="MS Mincho"/>
              </w:rPr>
              <w:t xml:space="preserve"> breastfeeding</w:t>
            </w:r>
            <w:r w:rsidR="00CD74FE">
              <w:rPr>
                <w:rFonts w:eastAsia="MS Mincho"/>
              </w:rPr>
              <w:t>;</w:t>
            </w:r>
            <w:r w:rsidR="006770AC">
              <w:rPr>
                <w:rFonts w:eastAsia="MS Mincho"/>
              </w:rPr>
              <w:t xml:space="preserve"> </w:t>
            </w:r>
            <w:r w:rsidR="00CD74FE" w:rsidRPr="00CD74FE">
              <w:rPr>
                <w:rFonts w:eastAsia="MS Mincho"/>
              </w:rPr>
              <w:t>cardiovascular,</w:t>
            </w:r>
            <w:r w:rsidR="00CD74FE">
              <w:rPr>
                <w:rFonts w:eastAsia="MS Mincho"/>
              </w:rPr>
              <w:t xml:space="preserve"> </w:t>
            </w:r>
            <w:r w:rsidR="00CD74FE" w:rsidRPr="00CD74FE">
              <w:rPr>
                <w:rFonts w:eastAsia="MS Mincho"/>
              </w:rPr>
              <w:t>cerebrovascular, and pulmonary</w:t>
            </w:r>
            <w:r w:rsidR="00CD74FE">
              <w:rPr>
                <w:rFonts w:eastAsia="MS Mincho"/>
              </w:rPr>
              <w:t xml:space="preserve"> </w:t>
            </w:r>
            <w:r w:rsidR="00CD74FE" w:rsidRPr="00CD74FE">
              <w:rPr>
                <w:rFonts w:eastAsia="MS Mincho"/>
              </w:rPr>
              <w:t>disease</w:t>
            </w:r>
            <w:r w:rsidR="00BD2033">
              <w:rPr>
                <w:rFonts w:eastAsia="MS Mincho"/>
              </w:rPr>
              <w:t>,</w:t>
            </w:r>
            <w:r w:rsidR="00CD74FE" w:rsidRPr="00CD74FE">
              <w:rPr>
                <w:rFonts w:eastAsia="MS Mincho"/>
              </w:rPr>
              <w:t xml:space="preserve"> cancer</w:t>
            </w:r>
            <w:r w:rsidR="00BD2033">
              <w:rPr>
                <w:rFonts w:eastAsia="MS Mincho"/>
              </w:rPr>
              <w:t>,</w:t>
            </w:r>
            <w:r w:rsidR="00CD74FE" w:rsidRPr="00CD74FE">
              <w:rPr>
                <w:rFonts w:eastAsia="MS Mincho"/>
              </w:rPr>
              <w:t xml:space="preserve"> significant hepatic or renal impairment</w:t>
            </w:r>
            <w:r w:rsidR="00BD2033">
              <w:rPr>
                <w:rFonts w:eastAsia="MS Mincho"/>
              </w:rPr>
              <w:t>,</w:t>
            </w:r>
            <w:r w:rsidR="00CD74FE">
              <w:rPr>
                <w:rFonts w:eastAsia="MS Mincho"/>
              </w:rPr>
              <w:t xml:space="preserve"> </w:t>
            </w:r>
            <w:r w:rsidR="00CD74FE" w:rsidRPr="00CD74FE">
              <w:rPr>
                <w:rFonts w:eastAsia="MS Mincho"/>
              </w:rPr>
              <w:t>neurologic and psychiatric disorder</w:t>
            </w:r>
            <w:r w:rsidR="007057D2">
              <w:rPr>
                <w:rFonts w:eastAsia="MS Mincho"/>
              </w:rPr>
              <w:t>,</w:t>
            </w:r>
            <w:r w:rsidR="00CD74FE" w:rsidRPr="00CD74FE">
              <w:rPr>
                <w:rFonts w:eastAsia="MS Mincho"/>
              </w:rPr>
              <w:t xml:space="preserve"> significant laboratory abnormalities</w:t>
            </w:r>
            <w:r w:rsidR="007B44CF">
              <w:rPr>
                <w:rFonts w:eastAsia="MS Mincho"/>
              </w:rPr>
              <w:t xml:space="preserve">; </w:t>
            </w:r>
            <w:r w:rsidR="007B44CF" w:rsidRPr="007B44CF">
              <w:rPr>
                <w:rFonts w:eastAsia="MS Mincho"/>
              </w:rPr>
              <w:t>body mass index of &lt;15 kg/m</w:t>
            </w:r>
            <w:r w:rsidR="007B44CF" w:rsidRPr="007B44CF">
              <w:rPr>
                <w:rFonts w:eastAsia="MS Mincho"/>
                <w:vertAlign w:val="superscript"/>
              </w:rPr>
              <w:t>2</w:t>
            </w:r>
            <w:r w:rsidR="007B44CF" w:rsidRPr="007B44CF">
              <w:rPr>
                <w:rFonts w:eastAsia="MS Mincho"/>
              </w:rPr>
              <w:t xml:space="preserve"> or &gt;38 kg/m</w:t>
            </w:r>
            <w:r w:rsidR="007B44CF" w:rsidRPr="007B44CF">
              <w:rPr>
                <w:rFonts w:eastAsia="MS Mincho"/>
                <w:vertAlign w:val="superscript"/>
              </w:rPr>
              <w:t>2</w:t>
            </w:r>
            <w:r w:rsidR="007B44CF" w:rsidRPr="007B44CF">
              <w:rPr>
                <w:rFonts w:eastAsia="MS Mincho"/>
              </w:rPr>
              <w:t>,</w:t>
            </w:r>
            <w:r w:rsidR="007B44CF">
              <w:rPr>
                <w:rFonts w:eastAsia="MS Mincho"/>
              </w:rPr>
              <w:t xml:space="preserve"> </w:t>
            </w:r>
            <w:r w:rsidR="007B44CF" w:rsidRPr="007B44CF">
              <w:rPr>
                <w:rFonts w:eastAsia="MS Mincho"/>
              </w:rPr>
              <w:t>body weight &lt;45 kg, history of drug (except nicotine)</w:t>
            </w:r>
            <w:r w:rsidR="007B44CF">
              <w:rPr>
                <w:rFonts w:eastAsia="MS Mincho"/>
              </w:rPr>
              <w:t xml:space="preserve"> </w:t>
            </w:r>
            <w:r w:rsidR="007B44CF" w:rsidRPr="007B44CF">
              <w:rPr>
                <w:rFonts w:eastAsia="MS Mincho"/>
              </w:rPr>
              <w:t>or alcohol abuse or dependence within the previous</w:t>
            </w:r>
            <w:r w:rsidR="007B44CF">
              <w:rPr>
                <w:rFonts w:eastAsia="MS Mincho"/>
              </w:rPr>
              <w:t xml:space="preserve"> </w:t>
            </w:r>
            <w:r w:rsidR="007B44CF" w:rsidRPr="007B44CF">
              <w:rPr>
                <w:rFonts w:eastAsia="MS Mincho"/>
              </w:rPr>
              <w:t>12 months, and use of NRT within the previous 30 days.</w:t>
            </w:r>
          </w:p>
        </w:tc>
        <w:tc>
          <w:tcPr>
            <w:tcW w:w="920" w:type="pct"/>
            <w:shd w:val="clear" w:color="auto" w:fill="D9D9D9" w:themeFill="background1" w:themeFillShade="D9"/>
          </w:tcPr>
          <w:p w:rsidR="001B3C11" w:rsidRDefault="001B3C11" w:rsidP="002916A7">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sidR="001376F9">
              <w:rPr>
                <w:rFonts w:eastAsia="MS Mincho"/>
              </w:rPr>
              <w:t xml:space="preserve"> </w:t>
            </w:r>
            <w:r w:rsidRPr="00372F18">
              <w:rPr>
                <w:rFonts w:eastAsia="MS Mincho"/>
              </w:rPr>
              <w:t>mg twice daily titrated</w:t>
            </w:r>
            <w:r w:rsidR="00DD130B">
              <w:rPr>
                <w:rFonts w:eastAsia="MS Mincho"/>
              </w:rPr>
              <w:t xml:space="preserve"> over 12 weeks</w:t>
            </w:r>
            <w:r w:rsidRPr="00372F18">
              <w:rPr>
                <w:rFonts w:eastAsia="MS Mincho"/>
              </w:rPr>
              <w:t xml:space="preserve"> (i</w:t>
            </w:r>
            <w:r>
              <w:rPr>
                <w:rFonts w:eastAsia="MS Mincho"/>
              </w:rPr>
              <w:t>.</w:t>
            </w:r>
            <w:r w:rsidRPr="00372F18">
              <w:rPr>
                <w:rFonts w:eastAsia="MS Mincho"/>
              </w:rPr>
              <w:t>e</w:t>
            </w:r>
            <w:r>
              <w:rPr>
                <w:rFonts w:eastAsia="MS Mincho"/>
              </w:rPr>
              <w:t>.</w:t>
            </w:r>
            <w:r w:rsidRPr="00372F18">
              <w:rPr>
                <w:rFonts w:eastAsia="MS Mincho"/>
              </w:rPr>
              <w:t xml:space="preserve"> 0.5</w:t>
            </w:r>
            <w:r w:rsidR="001376F9">
              <w:rPr>
                <w:rFonts w:eastAsia="MS Mincho"/>
              </w:rPr>
              <w:t xml:space="preserve"> </w:t>
            </w:r>
            <w:r w:rsidRPr="00372F18">
              <w:rPr>
                <w:rFonts w:eastAsia="MS Mincho"/>
              </w:rPr>
              <w:t>mg once</w:t>
            </w:r>
            <w:r w:rsidR="00AB59D2">
              <w:rPr>
                <w:rFonts w:eastAsia="MS Mincho"/>
              </w:rPr>
              <w:t xml:space="preserve"> </w:t>
            </w:r>
            <w:r w:rsidRPr="00372F18">
              <w:rPr>
                <w:rFonts w:eastAsia="MS Mincho"/>
              </w:rPr>
              <w:t>daily for 3 days, then 0.5</w:t>
            </w:r>
            <w:r w:rsidR="001376F9">
              <w:rPr>
                <w:rFonts w:eastAsia="MS Mincho"/>
              </w:rPr>
              <w:t xml:space="preserve"> </w:t>
            </w:r>
            <w:r w:rsidRPr="00372F18">
              <w:rPr>
                <w:rFonts w:eastAsia="MS Mincho"/>
              </w:rPr>
              <w:t>mg twice daily for 4 days, then 1</w:t>
            </w:r>
            <w:r w:rsidR="001376F9">
              <w:rPr>
                <w:rFonts w:eastAsia="MS Mincho"/>
              </w:rPr>
              <w:t xml:space="preserve"> </w:t>
            </w:r>
            <w:r w:rsidRPr="00372F18">
              <w:rPr>
                <w:rFonts w:eastAsia="MS Mincho"/>
              </w:rPr>
              <w:t>mg twice daily)</w:t>
            </w:r>
            <w:r w:rsidR="004657DA">
              <w:rPr>
                <w:rFonts w:eastAsia="MS Mincho"/>
              </w:rPr>
              <w:t>;</w:t>
            </w:r>
          </w:p>
          <w:p w:rsidR="001B3C11" w:rsidRDefault="001B3C11" w:rsidP="002916A7">
            <w:pPr>
              <w:pStyle w:val="Tablewriting"/>
              <w:rPr>
                <w:rFonts w:eastAsia="MS Mincho"/>
              </w:rPr>
            </w:pPr>
            <w:r>
              <w:rPr>
                <w:rFonts w:eastAsia="MS Mincho"/>
              </w:rPr>
              <w:t>Placebo: placebo tablet for 12 weeks, same regimen</w:t>
            </w:r>
          </w:p>
          <w:p w:rsidR="002228F0" w:rsidRDefault="002228F0" w:rsidP="002916A7">
            <w:pPr>
              <w:pStyle w:val="Tablewriting"/>
              <w:rPr>
                <w:rFonts w:eastAsia="MS Mincho"/>
              </w:rPr>
            </w:pPr>
          </w:p>
          <w:p w:rsidR="002228F0" w:rsidRPr="00A34E7B" w:rsidRDefault="0092283E" w:rsidP="002916A7">
            <w:pPr>
              <w:pStyle w:val="Tablewriting"/>
              <w:rPr>
                <w:rFonts w:eastAsia="MS Mincho"/>
              </w:rPr>
            </w:pPr>
            <w:r w:rsidRPr="0092283E">
              <w:rPr>
                <w:rFonts w:eastAsia="MS Mincho"/>
              </w:rPr>
              <w:t>Behavioural support provided in both arms.</w:t>
            </w:r>
          </w:p>
        </w:tc>
        <w:tc>
          <w:tcPr>
            <w:tcW w:w="1140" w:type="pct"/>
            <w:shd w:val="clear" w:color="auto" w:fill="D9D9D9" w:themeFill="background1" w:themeFillShade="D9"/>
            <w:tcMar>
              <w:left w:w="28" w:type="dxa"/>
              <w:right w:w="28" w:type="dxa"/>
            </w:tcMar>
          </w:tcPr>
          <w:p w:rsidR="001B3C11" w:rsidRDefault="001B3C11" w:rsidP="002916A7">
            <w:pPr>
              <w:pStyle w:val="Tablewriting"/>
              <w:rPr>
                <w:rFonts w:eastAsia="MS Mincho"/>
              </w:rPr>
            </w:pPr>
            <w:r w:rsidRPr="008C39E4">
              <w:rPr>
                <w:rFonts w:eastAsia="MS Mincho"/>
                <w:u w:val="single"/>
              </w:rPr>
              <w:t>Primary</w:t>
            </w:r>
            <w:r>
              <w:rPr>
                <w:rFonts w:eastAsia="MS Mincho"/>
              </w:rPr>
              <w:t>: C</w:t>
            </w:r>
            <w:r w:rsidR="007057D2">
              <w:rPr>
                <w:rFonts w:eastAsia="MS Mincho"/>
              </w:rPr>
              <w:t>AR</w:t>
            </w:r>
            <w:r>
              <w:rPr>
                <w:rFonts w:eastAsia="MS Mincho"/>
              </w:rPr>
              <w:t xml:space="preserve"> at Week 9-12. Validated by CO</w:t>
            </w:r>
            <w:r w:rsidR="007057D2">
              <w:rPr>
                <w:rFonts w:eastAsia="MS Mincho"/>
              </w:rPr>
              <w:t xml:space="preserve"> </w:t>
            </w:r>
            <w:r>
              <w:rPr>
                <w:rFonts w:eastAsia="MS Mincho" w:cstheme="minorHAnsi"/>
              </w:rPr>
              <w:t>≤</w:t>
            </w:r>
            <w:r>
              <w:rPr>
                <w:rFonts w:eastAsia="MS Mincho"/>
              </w:rPr>
              <w:t>10</w:t>
            </w:r>
            <w:r w:rsidR="001376F9">
              <w:rPr>
                <w:rFonts w:eastAsia="MS Mincho"/>
              </w:rPr>
              <w:t xml:space="preserve"> </w:t>
            </w:r>
            <w:r>
              <w:rPr>
                <w:rFonts w:eastAsia="MS Mincho"/>
              </w:rPr>
              <w:t>ppm.</w:t>
            </w:r>
          </w:p>
          <w:p w:rsidR="001B3C11" w:rsidRDefault="001B3C11" w:rsidP="002916A7">
            <w:pPr>
              <w:pStyle w:val="Tablewriting"/>
              <w:rPr>
                <w:rFonts w:eastAsia="MS Mincho"/>
              </w:rPr>
            </w:pPr>
            <w:r w:rsidRPr="008C39E4">
              <w:rPr>
                <w:rFonts w:eastAsia="MS Mincho"/>
                <w:u w:val="single"/>
              </w:rPr>
              <w:t>Secondary</w:t>
            </w:r>
            <w:r>
              <w:rPr>
                <w:rFonts w:eastAsia="MS Mincho"/>
              </w:rPr>
              <w:t xml:space="preserve">: </w:t>
            </w:r>
            <w:r w:rsidR="007057D2">
              <w:rPr>
                <w:rFonts w:eastAsia="MS Mincho"/>
              </w:rPr>
              <w:t>CAR</w:t>
            </w:r>
            <w:r w:rsidR="00B85F21">
              <w:rPr>
                <w:rFonts w:eastAsia="MS Mincho"/>
              </w:rPr>
              <w:t xml:space="preserve"> at Week 9-24 and 9-52.</w:t>
            </w:r>
            <w:r w:rsidR="0068640C">
              <w:rPr>
                <w:rFonts w:eastAsia="MS Mincho"/>
              </w:rPr>
              <w:t xml:space="preserve"> </w:t>
            </w:r>
            <w:r w:rsidRPr="00624207">
              <w:rPr>
                <w:rFonts w:eastAsia="MS Mincho"/>
              </w:rPr>
              <w:t xml:space="preserve">7-day PPA </w:t>
            </w:r>
            <w:r w:rsidR="00736E9C">
              <w:rPr>
                <w:rFonts w:eastAsia="MS Mincho"/>
              </w:rPr>
              <w:t>at Week 2 through to 12</w:t>
            </w:r>
            <w:r w:rsidR="002E736F">
              <w:rPr>
                <w:rFonts w:eastAsia="MS Mincho"/>
              </w:rPr>
              <w:t>, 24 and 52.</w:t>
            </w:r>
            <w:r w:rsidR="00833F15">
              <w:rPr>
                <w:rFonts w:eastAsia="MS Mincho"/>
              </w:rPr>
              <w:t xml:space="preserve"> Validated by CO </w:t>
            </w:r>
            <w:r w:rsidR="00833F15">
              <w:rPr>
                <w:rFonts w:eastAsia="MS Mincho" w:cstheme="minorHAnsi"/>
              </w:rPr>
              <w:t>≤</w:t>
            </w:r>
            <w:r w:rsidR="00833F15">
              <w:rPr>
                <w:rFonts w:eastAsia="MS Mincho"/>
              </w:rPr>
              <w:t>10</w:t>
            </w:r>
            <w:r w:rsidR="001376F9">
              <w:rPr>
                <w:rFonts w:eastAsia="MS Mincho"/>
              </w:rPr>
              <w:t xml:space="preserve"> </w:t>
            </w:r>
            <w:r w:rsidR="00833F15">
              <w:rPr>
                <w:rFonts w:eastAsia="MS Mincho"/>
              </w:rPr>
              <w:t>ppm.</w:t>
            </w:r>
          </w:p>
          <w:p w:rsidR="001B3C11" w:rsidRPr="00061F78" w:rsidRDefault="001B3C11" w:rsidP="002916A7">
            <w:pPr>
              <w:pStyle w:val="Tablewriting"/>
              <w:rPr>
                <w:rFonts w:eastAsia="MS Mincho"/>
              </w:rPr>
            </w:pPr>
            <w:r w:rsidRPr="0055171C">
              <w:rPr>
                <w:rFonts w:eastAsia="MS Mincho"/>
                <w:u w:val="single"/>
              </w:rPr>
              <w:t>Other</w:t>
            </w:r>
            <w:r>
              <w:rPr>
                <w:rFonts w:eastAsia="MS Mincho"/>
              </w:rPr>
              <w:t xml:space="preserve">: </w:t>
            </w:r>
            <w:r w:rsidR="00510BFD">
              <w:rPr>
                <w:rFonts w:eastAsia="MS Mincho"/>
              </w:rPr>
              <w:t>w</w:t>
            </w:r>
            <w:r w:rsidR="00510BFD" w:rsidRPr="00510BFD">
              <w:rPr>
                <w:rFonts w:eastAsia="MS Mincho"/>
              </w:rPr>
              <w:t>ithdrawal symptoms (using MNWS, QSU-brief and mCEQ), adverse events</w:t>
            </w:r>
            <w:r w:rsidR="000F1E7A">
              <w:rPr>
                <w:rFonts w:eastAsia="MS Mincho"/>
              </w:rPr>
              <w:t>.</w:t>
            </w:r>
          </w:p>
        </w:tc>
      </w:tr>
      <w:tr w:rsidR="00260CD7" w:rsidRPr="00061F78" w:rsidTr="00B537F7">
        <w:trPr>
          <w:trHeight w:val="99"/>
        </w:trPr>
        <w:tc>
          <w:tcPr>
            <w:tcW w:w="332" w:type="pct"/>
            <w:shd w:val="clear" w:color="auto" w:fill="D9D9D9" w:themeFill="background1" w:themeFillShade="D9"/>
            <w:tcMar>
              <w:left w:w="28" w:type="dxa"/>
              <w:right w:w="28" w:type="dxa"/>
            </w:tcMar>
          </w:tcPr>
          <w:p w:rsidR="003C626A" w:rsidRDefault="003C626A" w:rsidP="002916A7">
            <w:pPr>
              <w:pStyle w:val="Tablewriting"/>
              <w:rPr>
                <w:rFonts w:eastAsia="MS Mincho"/>
              </w:rPr>
            </w:pPr>
            <w:r>
              <w:rPr>
                <w:rFonts w:eastAsia="MS Mincho"/>
              </w:rPr>
              <w:t xml:space="preserve">Tsai </w:t>
            </w:r>
          </w:p>
          <w:p w:rsidR="003C626A" w:rsidRPr="00061F78" w:rsidRDefault="003C626A" w:rsidP="002916A7">
            <w:pPr>
              <w:pStyle w:val="Tablewriting"/>
              <w:rPr>
                <w:rFonts w:eastAsia="MS Mincho"/>
              </w:rPr>
            </w:pPr>
            <w:r>
              <w:rPr>
                <w:rFonts w:eastAsia="MS Mincho"/>
              </w:rPr>
              <w:t>(2007)</w:t>
            </w:r>
            <w:r w:rsidR="00C02DB6" w:rsidRPr="00061F78">
              <w:rPr>
                <w:rFonts w:eastAsia="MS Mincho"/>
              </w:rPr>
              <w:t xml:space="preserve"> </w:t>
            </w:r>
          </w:p>
        </w:tc>
        <w:tc>
          <w:tcPr>
            <w:tcW w:w="395" w:type="pct"/>
            <w:shd w:val="clear" w:color="auto" w:fill="D9D9D9" w:themeFill="background1" w:themeFillShade="D9"/>
          </w:tcPr>
          <w:p w:rsidR="003C626A" w:rsidRDefault="003C626A"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rsidR="003C626A" w:rsidRDefault="003C626A" w:rsidP="002916A7">
            <w:pPr>
              <w:pStyle w:val="Tablewriting"/>
              <w:rPr>
                <w:rFonts w:eastAsia="MS Mincho"/>
              </w:rPr>
            </w:pPr>
            <w:r>
              <w:rPr>
                <w:rFonts w:eastAsia="MS Mincho"/>
              </w:rPr>
              <w:t>N=</w:t>
            </w:r>
            <w:r w:rsidR="00E74E1C">
              <w:rPr>
                <w:rFonts w:eastAsia="MS Mincho"/>
              </w:rPr>
              <w:t>250</w:t>
            </w:r>
          </w:p>
          <w:p w:rsidR="003C626A" w:rsidRPr="00061F78" w:rsidRDefault="003C626A" w:rsidP="002916A7">
            <w:pPr>
              <w:pStyle w:val="Tablewriting"/>
              <w:rPr>
                <w:rFonts w:eastAsia="MS Mincho"/>
              </w:rPr>
            </w:pPr>
            <w:r>
              <w:rPr>
                <w:rFonts w:eastAsia="MS Mincho"/>
              </w:rPr>
              <w:t>Varenicline (n=1</w:t>
            </w:r>
            <w:r w:rsidR="00E74E1C">
              <w:rPr>
                <w:rFonts w:eastAsia="MS Mincho"/>
              </w:rPr>
              <w:t>2</w:t>
            </w:r>
            <w:r>
              <w:rPr>
                <w:rFonts w:eastAsia="MS Mincho"/>
              </w:rPr>
              <w:t>6), Placebo (n=1</w:t>
            </w:r>
            <w:r w:rsidR="00E74E1C">
              <w:rPr>
                <w:rFonts w:eastAsia="MS Mincho"/>
              </w:rPr>
              <w:t>2</w:t>
            </w:r>
            <w:r>
              <w:rPr>
                <w:rFonts w:eastAsia="MS Mincho"/>
              </w:rPr>
              <w:t>4)</w:t>
            </w:r>
          </w:p>
        </w:tc>
        <w:tc>
          <w:tcPr>
            <w:tcW w:w="1866" w:type="pct"/>
            <w:shd w:val="clear" w:color="auto" w:fill="D9D9D9" w:themeFill="background1" w:themeFillShade="D9"/>
            <w:tcMar>
              <w:left w:w="28" w:type="dxa"/>
              <w:right w:w="28" w:type="dxa"/>
            </w:tcMar>
          </w:tcPr>
          <w:p w:rsidR="003C626A" w:rsidRDefault="003C626A" w:rsidP="002916A7">
            <w:pPr>
              <w:pStyle w:val="Tablewriting"/>
              <w:rPr>
                <w:rFonts w:eastAsia="MS Mincho"/>
              </w:rPr>
            </w:pPr>
            <w:r w:rsidRPr="007F28D7">
              <w:rPr>
                <w:rFonts w:eastAsia="MS Mincho"/>
                <w:u w:val="single"/>
              </w:rPr>
              <w:t>Inclusion</w:t>
            </w:r>
            <w:r>
              <w:rPr>
                <w:rFonts w:eastAsia="MS Mincho"/>
              </w:rPr>
              <w:t xml:space="preserve">: </w:t>
            </w:r>
            <w:r w:rsidR="00193774" w:rsidRPr="00193774">
              <w:rPr>
                <w:rFonts w:eastAsia="MS Mincho"/>
              </w:rPr>
              <w:t>18</w:t>
            </w:r>
            <w:r w:rsidR="00193774">
              <w:rPr>
                <w:rFonts w:eastAsia="MS Mincho"/>
              </w:rPr>
              <w:t>-</w:t>
            </w:r>
            <w:r w:rsidR="00193774" w:rsidRPr="00193774">
              <w:rPr>
                <w:rFonts w:eastAsia="MS Mincho"/>
              </w:rPr>
              <w:t>75 years</w:t>
            </w:r>
            <w:r w:rsidR="00254CE9">
              <w:rPr>
                <w:rFonts w:eastAsia="MS Mincho"/>
              </w:rPr>
              <w:t xml:space="preserve"> old</w:t>
            </w:r>
            <w:r w:rsidR="00193774" w:rsidRPr="00193774">
              <w:rPr>
                <w:rFonts w:eastAsia="MS Mincho"/>
              </w:rPr>
              <w:t>, ≥10 cigarettes</w:t>
            </w:r>
            <w:r w:rsidR="00254CE9">
              <w:rPr>
                <w:rFonts w:eastAsia="MS Mincho"/>
              </w:rPr>
              <w:t xml:space="preserve"> per </w:t>
            </w:r>
            <w:r w:rsidR="00193774" w:rsidRPr="00193774">
              <w:rPr>
                <w:rFonts w:eastAsia="MS Mincho"/>
              </w:rPr>
              <w:t>d</w:t>
            </w:r>
            <w:r w:rsidR="00193774">
              <w:rPr>
                <w:rFonts w:eastAsia="MS Mincho"/>
              </w:rPr>
              <w:t>ay</w:t>
            </w:r>
            <w:r w:rsidR="00193774" w:rsidRPr="00193774">
              <w:rPr>
                <w:rFonts w:eastAsia="MS Mincho"/>
              </w:rPr>
              <w:t xml:space="preserve"> during</w:t>
            </w:r>
            <w:r w:rsidR="00193774">
              <w:rPr>
                <w:rFonts w:eastAsia="MS Mincho"/>
              </w:rPr>
              <w:t xml:space="preserve"> </w:t>
            </w:r>
            <w:r w:rsidR="00193774" w:rsidRPr="00193774">
              <w:rPr>
                <w:rFonts w:eastAsia="MS Mincho"/>
              </w:rPr>
              <w:t>the past year with no period of abstinence &gt;3</w:t>
            </w:r>
            <w:r w:rsidR="00484556">
              <w:rPr>
                <w:rFonts w:eastAsia="MS Mincho"/>
              </w:rPr>
              <w:t xml:space="preserve"> </w:t>
            </w:r>
            <w:r w:rsidR="00193774" w:rsidRPr="00193774">
              <w:rPr>
                <w:rFonts w:eastAsia="MS Mincho"/>
              </w:rPr>
              <w:t>months in the past year, motivated to</w:t>
            </w:r>
            <w:r w:rsidR="00484556">
              <w:rPr>
                <w:rFonts w:eastAsia="MS Mincho"/>
              </w:rPr>
              <w:t xml:space="preserve"> </w:t>
            </w:r>
            <w:r w:rsidR="00193774" w:rsidRPr="00193774">
              <w:rPr>
                <w:rFonts w:eastAsia="MS Mincho"/>
              </w:rPr>
              <w:t>stop smoking</w:t>
            </w:r>
            <w:r w:rsidR="00E617B3">
              <w:rPr>
                <w:rFonts w:eastAsia="MS Mincho"/>
              </w:rPr>
              <w:t>.</w:t>
            </w:r>
          </w:p>
          <w:p w:rsidR="003C626A" w:rsidRPr="00061F78" w:rsidRDefault="003C626A" w:rsidP="002916A7">
            <w:pPr>
              <w:pStyle w:val="Tablewriting"/>
              <w:rPr>
                <w:rFonts w:eastAsia="MS Mincho"/>
              </w:rPr>
            </w:pPr>
            <w:r w:rsidRPr="007F28D7">
              <w:rPr>
                <w:rFonts w:eastAsia="MS Mincho"/>
                <w:u w:val="single"/>
              </w:rPr>
              <w:t>Exclusion</w:t>
            </w:r>
            <w:r>
              <w:rPr>
                <w:rFonts w:eastAsia="MS Mincho"/>
              </w:rPr>
              <w:t xml:space="preserve">: </w:t>
            </w:r>
            <w:r w:rsidR="00996970">
              <w:rPr>
                <w:rFonts w:eastAsia="MS Mincho"/>
              </w:rPr>
              <w:t>pregnancy and breastfeeding</w:t>
            </w:r>
            <w:r w:rsidR="00254CE9">
              <w:rPr>
                <w:rFonts w:eastAsia="MS Mincho"/>
              </w:rPr>
              <w:t>,</w:t>
            </w:r>
            <w:r w:rsidR="00996970">
              <w:rPr>
                <w:rFonts w:eastAsia="MS Mincho"/>
              </w:rPr>
              <w:t xml:space="preserve"> </w:t>
            </w:r>
            <w:r w:rsidR="00E617B3" w:rsidRPr="00E617B3">
              <w:rPr>
                <w:rFonts w:eastAsia="MS Mincho"/>
              </w:rPr>
              <w:t>past or present history of a serious or</w:t>
            </w:r>
            <w:r w:rsidR="00E617B3">
              <w:rPr>
                <w:rFonts w:eastAsia="MS Mincho"/>
              </w:rPr>
              <w:t xml:space="preserve"> </w:t>
            </w:r>
            <w:r w:rsidR="00E617B3" w:rsidRPr="00E617B3">
              <w:rPr>
                <w:rFonts w:eastAsia="MS Mincho"/>
              </w:rPr>
              <w:t xml:space="preserve">unstable clinical disease requiring </w:t>
            </w:r>
            <w:r w:rsidR="00E617B3" w:rsidRPr="00E617B3">
              <w:rPr>
                <w:rFonts w:eastAsia="MS Mincho"/>
              </w:rPr>
              <w:lastRenderedPageBreak/>
              <w:t>treatment</w:t>
            </w:r>
            <w:r w:rsidR="00254CE9">
              <w:rPr>
                <w:rFonts w:eastAsia="MS Mincho"/>
              </w:rPr>
              <w:t xml:space="preserve">, </w:t>
            </w:r>
            <w:r w:rsidR="00E617B3" w:rsidRPr="00E617B3">
              <w:rPr>
                <w:rFonts w:eastAsia="MS Mincho"/>
              </w:rPr>
              <w:t>body mass index &lt;15 or &gt;38 kg/m</w:t>
            </w:r>
            <w:r w:rsidR="00E617B3" w:rsidRPr="00E617B3">
              <w:rPr>
                <w:rFonts w:eastAsia="MS Mincho"/>
                <w:vertAlign w:val="superscript"/>
              </w:rPr>
              <w:t>2</w:t>
            </w:r>
            <w:r w:rsidR="00E617B3" w:rsidRPr="00E617B3">
              <w:rPr>
                <w:rFonts w:eastAsia="MS Mincho"/>
              </w:rPr>
              <w:t>, body weight</w:t>
            </w:r>
            <w:r w:rsidR="00E617B3">
              <w:rPr>
                <w:rFonts w:eastAsia="MS Mincho"/>
              </w:rPr>
              <w:t xml:space="preserve"> </w:t>
            </w:r>
            <w:r w:rsidR="00E617B3" w:rsidRPr="00E617B3">
              <w:rPr>
                <w:rFonts w:eastAsia="MS Mincho"/>
              </w:rPr>
              <w:t>&lt;45 kg, and a history of drug (except nicotine) or</w:t>
            </w:r>
            <w:r w:rsidR="00E617B3">
              <w:rPr>
                <w:rFonts w:eastAsia="MS Mincho"/>
              </w:rPr>
              <w:t xml:space="preserve"> </w:t>
            </w:r>
            <w:r w:rsidR="00E617B3" w:rsidRPr="00E617B3">
              <w:rPr>
                <w:rFonts w:eastAsia="MS Mincho"/>
              </w:rPr>
              <w:t>alcohol abuse.</w:t>
            </w:r>
          </w:p>
        </w:tc>
        <w:tc>
          <w:tcPr>
            <w:tcW w:w="920" w:type="pct"/>
            <w:shd w:val="clear" w:color="auto" w:fill="D9D9D9" w:themeFill="background1" w:themeFillShade="D9"/>
          </w:tcPr>
          <w:p w:rsidR="003C626A" w:rsidRDefault="003C626A" w:rsidP="002916A7">
            <w:pPr>
              <w:pStyle w:val="Tablewriting"/>
              <w:rPr>
                <w:rFonts w:eastAsia="MS Mincho"/>
              </w:rPr>
            </w:pPr>
            <w:r>
              <w:rPr>
                <w:rFonts w:eastAsia="MS Mincho"/>
              </w:rPr>
              <w:lastRenderedPageBreak/>
              <w:t>Varenicline</w:t>
            </w:r>
            <w:r w:rsidRPr="00A34E7B">
              <w:rPr>
                <w:rFonts w:eastAsia="MS Mincho"/>
              </w:rPr>
              <w:t xml:space="preserve">: </w:t>
            </w:r>
            <w:r w:rsidRPr="00372F18">
              <w:rPr>
                <w:rFonts w:eastAsia="MS Mincho"/>
              </w:rPr>
              <w:t>1</w:t>
            </w:r>
            <w:r w:rsidR="001376F9">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(i</w:t>
            </w:r>
            <w:r>
              <w:rPr>
                <w:rFonts w:eastAsia="MS Mincho"/>
              </w:rPr>
              <w:t>.</w:t>
            </w:r>
            <w:r w:rsidRPr="00372F18">
              <w:rPr>
                <w:rFonts w:eastAsia="MS Mincho"/>
              </w:rPr>
              <w:t>e</w:t>
            </w:r>
            <w:r>
              <w:rPr>
                <w:rFonts w:eastAsia="MS Mincho"/>
              </w:rPr>
              <w:t>.</w:t>
            </w:r>
            <w:r w:rsidRPr="00372F18">
              <w:rPr>
                <w:rFonts w:eastAsia="MS Mincho"/>
              </w:rPr>
              <w:t xml:space="preserve"> 0.5</w:t>
            </w:r>
            <w:r w:rsidR="001376F9">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sidR="001376F9">
              <w:rPr>
                <w:rFonts w:eastAsia="MS Mincho"/>
              </w:rPr>
              <w:t xml:space="preserve"> </w:t>
            </w:r>
            <w:r w:rsidRPr="00372F18">
              <w:rPr>
                <w:rFonts w:eastAsia="MS Mincho"/>
              </w:rPr>
              <w:t>mg twice daily for 4 days, then 1</w:t>
            </w:r>
            <w:r w:rsidR="001376F9">
              <w:rPr>
                <w:rFonts w:eastAsia="MS Mincho"/>
              </w:rPr>
              <w:t xml:space="preserve"> </w:t>
            </w:r>
            <w:r w:rsidRPr="00372F18">
              <w:rPr>
                <w:rFonts w:eastAsia="MS Mincho"/>
              </w:rPr>
              <w:t>mg twice daily)</w:t>
            </w:r>
            <w:r w:rsidR="004657DA">
              <w:rPr>
                <w:rFonts w:eastAsia="MS Mincho"/>
              </w:rPr>
              <w:t>;</w:t>
            </w:r>
          </w:p>
          <w:p w:rsidR="003C626A" w:rsidRDefault="003C626A" w:rsidP="002916A7">
            <w:pPr>
              <w:pStyle w:val="Tablewriting"/>
              <w:rPr>
                <w:rFonts w:eastAsia="MS Mincho"/>
              </w:rPr>
            </w:pPr>
            <w:r>
              <w:rPr>
                <w:rFonts w:eastAsia="MS Mincho"/>
              </w:rPr>
              <w:lastRenderedPageBreak/>
              <w:t>Placebo: placebo tablet for 12 weeks, same regimen</w:t>
            </w:r>
            <w:r w:rsidR="000F1E7A">
              <w:rPr>
                <w:rFonts w:eastAsia="MS Mincho"/>
              </w:rPr>
              <w:t>.</w:t>
            </w:r>
          </w:p>
          <w:p w:rsidR="0002088D" w:rsidRDefault="0002088D" w:rsidP="002916A7">
            <w:pPr>
              <w:pStyle w:val="Tablewriting"/>
              <w:rPr>
                <w:rFonts w:eastAsia="MS Mincho"/>
              </w:rPr>
            </w:pPr>
          </w:p>
          <w:p w:rsidR="0002088D" w:rsidRPr="00A34E7B" w:rsidRDefault="0002088D" w:rsidP="002916A7">
            <w:pPr>
              <w:pStyle w:val="Tablewriting"/>
              <w:rPr>
                <w:rFonts w:eastAsia="MS Mincho"/>
              </w:rPr>
            </w:pPr>
            <w:r w:rsidRPr="0002088D">
              <w:rPr>
                <w:rFonts w:eastAsia="MS Mincho"/>
              </w:rPr>
              <w:t>Behavioural support provided in both arms.</w:t>
            </w:r>
          </w:p>
        </w:tc>
        <w:tc>
          <w:tcPr>
            <w:tcW w:w="1140" w:type="pct"/>
            <w:shd w:val="clear" w:color="auto" w:fill="D9D9D9" w:themeFill="background1" w:themeFillShade="D9"/>
            <w:tcMar>
              <w:left w:w="28" w:type="dxa"/>
              <w:right w:w="28" w:type="dxa"/>
            </w:tcMar>
          </w:tcPr>
          <w:p w:rsidR="003C626A" w:rsidRDefault="003C626A" w:rsidP="002916A7">
            <w:pPr>
              <w:pStyle w:val="Tablewriting"/>
              <w:rPr>
                <w:rFonts w:eastAsia="MS Mincho"/>
              </w:rPr>
            </w:pPr>
            <w:r w:rsidRPr="008C39E4">
              <w:rPr>
                <w:rFonts w:eastAsia="MS Mincho"/>
                <w:u w:val="single"/>
              </w:rPr>
              <w:lastRenderedPageBreak/>
              <w:t>Primary</w:t>
            </w:r>
            <w:r>
              <w:rPr>
                <w:rFonts w:eastAsia="MS Mincho"/>
              </w:rPr>
              <w:t xml:space="preserve">: </w:t>
            </w:r>
            <w:r w:rsidR="00254CE9">
              <w:rPr>
                <w:rFonts w:eastAsia="MS Mincho"/>
              </w:rPr>
              <w:t>CAR</w:t>
            </w:r>
            <w:r>
              <w:rPr>
                <w:rFonts w:eastAsia="MS Mincho"/>
              </w:rPr>
              <w:t xml:space="preserve"> at Week 9-12. Validated by CO</w:t>
            </w:r>
            <w:r w:rsidR="001376F9">
              <w:rPr>
                <w:rFonts w:eastAsia="MS Mincho"/>
              </w:rPr>
              <w:t xml:space="preserve"> </w:t>
            </w:r>
            <w:r>
              <w:rPr>
                <w:rFonts w:eastAsia="MS Mincho" w:cstheme="minorHAnsi"/>
              </w:rPr>
              <w:t>≤</w:t>
            </w:r>
            <w:r>
              <w:rPr>
                <w:rFonts w:eastAsia="MS Mincho"/>
              </w:rPr>
              <w:t>10</w:t>
            </w:r>
            <w:r w:rsidR="001376F9">
              <w:rPr>
                <w:rFonts w:eastAsia="MS Mincho"/>
              </w:rPr>
              <w:t xml:space="preserve"> </w:t>
            </w:r>
            <w:r>
              <w:rPr>
                <w:rFonts w:eastAsia="MS Mincho"/>
              </w:rPr>
              <w:t>ppm.</w:t>
            </w:r>
          </w:p>
          <w:p w:rsidR="003C626A" w:rsidRDefault="003C626A" w:rsidP="002916A7">
            <w:pPr>
              <w:pStyle w:val="Tablewriting"/>
              <w:rPr>
                <w:rFonts w:eastAsia="MS Mincho"/>
              </w:rPr>
            </w:pPr>
            <w:r w:rsidRPr="008C39E4">
              <w:rPr>
                <w:rFonts w:eastAsia="MS Mincho"/>
                <w:u w:val="single"/>
              </w:rPr>
              <w:t>Secondary</w:t>
            </w:r>
            <w:r>
              <w:rPr>
                <w:rFonts w:eastAsia="MS Mincho"/>
              </w:rPr>
              <w:t xml:space="preserve">: </w:t>
            </w:r>
            <w:r w:rsidR="00254CE9">
              <w:rPr>
                <w:rFonts w:eastAsia="MS Mincho"/>
              </w:rPr>
              <w:t>CAR</w:t>
            </w:r>
            <w:r>
              <w:rPr>
                <w:rFonts w:eastAsia="MS Mincho"/>
              </w:rPr>
              <w:t xml:space="preserve"> at Week 9-24. </w:t>
            </w:r>
            <w:r w:rsidRPr="00624207">
              <w:rPr>
                <w:rFonts w:eastAsia="MS Mincho"/>
              </w:rPr>
              <w:t xml:space="preserve">7-day PPA </w:t>
            </w:r>
            <w:r>
              <w:rPr>
                <w:rFonts w:eastAsia="MS Mincho"/>
              </w:rPr>
              <w:t>at Week 12</w:t>
            </w:r>
            <w:r w:rsidR="009041FF">
              <w:rPr>
                <w:rFonts w:eastAsia="MS Mincho"/>
              </w:rPr>
              <w:t xml:space="preserve"> and</w:t>
            </w:r>
            <w:r>
              <w:rPr>
                <w:rFonts w:eastAsia="MS Mincho"/>
              </w:rPr>
              <w:t xml:space="preserve"> 24.</w:t>
            </w:r>
            <w:r w:rsidR="003B4558">
              <w:rPr>
                <w:rFonts w:eastAsia="MS Mincho"/>
              </w:rPr>
              <w:t xml:space="preserve"> Validated by CO </w:t>
            </w:r>
            <w:r w:rsidR="003B4558">
              <w:rPr>
                <w:rFonts w:eastAsia="MS Mincho" w:cstheme="minorHAnsi"/>
              </w:rPr>
              <w:t>≤</w:t>
            </w:r>
            <w:r w:rsidR="003B4558">
              <w:rPr>
                <w:rFonts w:eastAsia="MS Mincho"/>
              </w:rPr>
              <w:t>10</w:t>
            </w:r>
            <w:r w:rsidR="001376F9">
              <w:rPr>
                <w:rFonts w:eastAsia="MS Mincho"/>
              </w:rPr>
              <w:t xml:space="preserve"> </w:t>
            </w:r>
            <w:r w:rsidR="003B4558">
              <w:rPr>
                <w:rFonts w:eastAsia="MS Mincho"/>
              </w:rPr>
              <w:t>ppm.</w:t>
            </w:r>
          </w:p>
          <w:p w:rsidR="003C626A" w:rsidRPr="00061F78" w:rsidRDefault="003C626A" w:rsidP="002916A7">
            <w:pPr>
              <w:pStyle w:val="Tablewriting"/>
              <w:rPr>
                <w:rFonts w:eastAsia="MS Mincho"/>
              </w:rPr>
            </w:pPr>
            <w:r w:rsidRPr="0055171C">
              <w:rPr>
                <w:rFonts w:eastAsia="MS Mincho"/>
                <w:u w:val="single"/>
              </w:rPr>
              <w:lastRenderedPageBreak/>
              <w:t>Other</w:t>
            </w:r>
            <w:r>
              <w:rPr>
                <w:rFonts w:eastAsia="MS Mincho"/>
              </w:rPr>
              <w:t xml:space="preserve">: </w:t>
            </w:r>
            <w:r w:rsidR="00C6077A">
              <w:rPr>
                <w:rFonts w:eastAsia="MS Mincho"/>
              </w:rPr>
              <w:t>w</w:t>
            </w:r>
            <w:r w:rsidR="00C6077A" w:rsidRPr="00C6077A">
              <w:rPr>
                <w:rFonts w:eastAsia="MS Mincho"/>
              </w:rPr>
              <w:t>ithdrawal symptoms (using MNWS, QSU-brief and mCEQ), adverse events</w:t>
            </w:r>
            <w:r w:rsidR="000F1E7A">
              <w:rPr>
                <w:rFonts w:eastAsia="MS Mincho"/>
              </w:rPr>
              <w:t>.</w:t>
            </w:r>
          </w:p>
        </w:tc>
      </w:tr>
      <w:tr w:rsidR="00260CD7" w:rsidRPr="00061F78" w:rsidTr="00B537F7">
        <w:trPr>
          <w:trHeight w:val="99"/>
        </w:trPr>
        <w:tc>
          <w:tcPr>
            <w:tcW w:w="332" w:type="pct"/>
            <w:shd w:val="clear" w:color="auto" w:fill="D9D9D9" w:themeFill="background1" w:themeFillShade="D9"/>
            <w:tcMar>
              <w:left w:w="28" w:type="dxa"/>
              <w:right w:w="28" w:type="dxa"/>
            </w:tcMar>
          </w:tcPr>
          <w:p w:rsidR="003F5F9B" w:rsidRDefault="003F5F9B" w:rsidP="002916A7">
            <w:pPr>
              <w:pStyle w:val="Tablewriting"/>
              <w:rPr>
                <w:rFonts w:eastAsia="MS Mincho"/>
              </w:rPr>
            </w:pPr>
            <w:r>
              <w:rPr>
                <w:rFonts w:eastAsia="MS Mincho"/>
              </w:rPr>
              <w:lastRenderedPageBreak/>
              <w:t>Wang</w:t>
            </w:r>
          </w:p>
          <w:p w:rsidR="003F5F9B" w:rsidRPr="00061F78" w:rsidRDefault="003F5F9B" w:rsidP="002916A7">
            <w:pPr>
              <w:pStyle w:val="Tablewriting"/>
              <w:rPr>
                <w:rFonts w:eastAsia="MS Mincho"/>
              </w:rPr>
            </w:pPr>
            <w:r>
              <w:rPr>
                <w:rFonts w:eastAsia="MS Mincho"/>
              </w:rPr>
              <w:t>(2009)</w:t>
            </w:r>
          </w:p>
        </w:tc>
        <w:tc>
          <w:tcPr>
            <w:tcW w:w="395" w:type="pct"/>
            <w:shd w:val="clear" w:color="auto" w:fill="D9D9D9" w:themeFill="background1" w:themeFillShade="D9"/>
          </w:tcPr>
          <w:p w:rsidR="003F5F9B" w:rsidRDefault="003F5F9B"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rsidR="003F5F9B" w:rsidRDefault="003F5F9B" w:rsidP="002916A7">
            <w:pPr>
              <w:pStyle w:val="Tablewriting"/>
              <w:rPr>
                <w:rFonts w:eastAsia="MS Mincho"/>
              </w:rPr>
            </w:pPr>
            <w:r>
              <w:rPr>
                <w:rFonts w:eastAsia="MS Mincho"/>
              </w:rPr>
              <w:t>N=</w:t>
            </w:r>
            <w:r w:rsidR="008845FD">
              <w:rPr>
                <w:rFonts w:eastAsia="MS Mincho"/>
              </w:rPr>
              <w:t>334</w:t>
            </w:r>
          </w:p>
          <w:p w:rsidR="003F5F9B" w:rsidRPr="00061F78" w:rsidRDefault="003F5F9B" w:rsidP="002916A7">
            <w:pPr>
              <w:pStyle w:val="Tablewriting"/>
              <w:rPr>
                <w:rFonts w:eastAsia="MS Mincho"/>
              </w:rPr>
            </w:pPr>
            <w:r>
              <w:rPr>
                <w:rFonts w:eastAsia="MS Mincho"/>
              </w:rPr>
              <w:t>Varenicline (n=1</w:t>
            </w:r>
            <w:r w:rsidR="008845FD">
              <w:rPr>
                <w:rFonts w:eastAsia="MS Mincho"/>
              </w:rPr>
              <w:t>65</w:t>
            </w:r>
            <w:r>
              <w:rPr>
                <w:rFonts w:eastAsia="MS Mincho"/>
              </w:rPr>
              <w:t>), Placebo (n=1</w:t>
            </w:r>
            <w:r w:rsidR="008845FD">
              <w:rPr>
                <w:rFonts w:eastAsia="MS Mincho"/>
              </w:rPr>
              <w:t>68</w:t>
            </w:r>
            <w:r>
              <w:rPr>
                <w:rFonts w:eastAsia="MS Mincho"/>
              </w:rPr>
              <w:t>)</w:t>
            </w:r>
          </w:p>
        </w:tc>
        <w:tc>
          <w:tcPr>
            <w:tcW w:w="1866" w:type="pct"/>
            <w:shd w:val="clear" w:color="auto" w:fill="D9D9D9" w:themeFill="background1" w:themeFillShade="D9"/>
            <w:tcMar>
              <w:left w:w="28" w:type="dxa"/>
              <w:right w:w="28" w:type="dxa"/>
            </w:tcMar>
          </w:tcPr>
          <w:p w:rsidR="003F5F9B" w:rsidRDefault="003F5F9B" w:rsidP="002916A7">
            <w:pPr>
              <w:pStyle w:val="Tablewriting"/>
              <w:rPr>
                <w:rFonts w:eastAsia="MS Mincho"/>
              </w:rPr>
            </w:pPr>
            <w:r w:rsidRPr="007F28D7">
              <w:rPr>
                <w:rFonts w:eastAsia="MS Mincho"/>
                <w:u w:val="single"/>
              </w:rPr>
              <w:t>Inclusion</w:t>
            </w:r>
            <w:r>
              <w:rPr>
                <w:rFonts w:eastAsia="MS Mincho"/>
              </w:rPr>
              <w:t>:</w:t>
            </w:r>
            <w:r w:rsidR="00D04D44" w:rsidRPr="00D04D44">
              <w:rPr>
                <w:rFonts w:eastAsia="MS Mincho"/>
              </w:rPr>
              <w:t>18–75 years</w:t>
            </w:r>
            <w:r w:rsidR="00254CE9">
              <w:rPr>
                <w:rFonts w:eastAsia="MS Mincho"/>
              </w:rPr>
              <w:t xml:space="preserve"> old,</w:t>
            </w:r>
            <w:r w:rsidR="00D04D44" w:rsidRPr="00D04D44">
              <w:rPr>
                <w:rFonts w:eastAsia="MS Mincho"/>
              </w:rPr>
              <w:t xml:space="preserve"> BMI of 15–38 kg/m</w:t>
            </w:r>
            <w:r w:rsidR="00D04D44" w:rsidRPr="00D04D44">
              <w:rPr>
                <w:rFonts w:eastAsia="MS Mincho"/>
                <w:vertAlign w:val="superscript"/>
              </w:rPr>
              <w:t>2</w:t>
            </w:r>
            <w:r w:rsidR="00D04D44" w:rsidRPr="00D04D44">
              <w:rPr>
                <w:rFonts w:eastAsia="MS Mincho"/>
              </w:rPr>
              <w:t xml:space="preserve"> (and a weight of </w:t>
            </w:r>
            <w:r w:rsidR="001C4C23">
              <w:rPr>
                <w:rFonts w:eastAsia="MS Mincho" w:cstheme="minorHAnsi"/>
              </w:rPr>
              <w:t>≥</w:t>
            </w:r>
            <w:r w:rsidR="00D04D44" w:rsidRPr="00D04D44">
              <w:rPr>
                <w:rFonts w:eastAsia="MS Mincho"/>
              </w:rPr>
              <w:t>45.5 kg),</w:t>
            </w:r>
            <w:r w:rsidR="001C4C23">
              <w:rPr>
                <w:rFonts w:eastAsia="MS Mincho"/>
              </w:rPr>
              <w:t xml:space="preserve"> </w:t>
            </w:r>
            <w:r w:rsidR="001C4C23">
              <w:rPr>
                <w:rFonts w:eastAsia="MS Mincho" w:cstheme="minorHAnsi"/>
              </w:rPr>
              <w:t>≥</w:t>
            </w:r>
            <w:r w:rsidR="001C4C23">
              <w:rPr>
                <w:rFonts w:eastAsia="MS Mincho"/>
              </w:rPr>
              <w:t>10</w:t>
            </w:r>
            <w:r w:rsidR="00D04D44" w:rsidRPr="00D04D44">
              <w:rPr>
                <w:rFonts w:eastAsia="MS Mincho"/>
              </w:rPr>
              <w:t xml:space="preserve"> cigarettes</w:t>
            </w:r>
            <w:r w:rsidR="00D04D44">
              <w:rPr>
                <w:rFonts w:eastAsia="MS Mincho"/>
              </w:rPr>
              <w:t xml:space="preserve"> </w:t>
            </w:r>
            <w:r w:rsidR="00D04D44" w:rsidRPr="00D04D44">
              <w:rPr>
                <w:rFonts w:eastAsia="MS Mincho"/>
              </w:rPr>
              <w:t>per day during the year prior to the screening visit</w:t>
            </w:r>
            <w:r w:rsidR="00D04D44">
              <w:rPr>
                <w:rFonts w:eastAsia="MS Mincho"/>
              </w:rPr>
              <w:t xml:space="preserve"> </w:t>
            </w:r>
            <w:r w:rsidR="00D04D44" w:rsidRPr="00D04D44">
              <w:rPr>
                <w:rFonts w:eastAsia="MS Mincho"/>
              </w:rPr>
              <w:t>with no period of</w:t>
            </w:r>
            <w:r w:rsidR="00D04D44">
              <w:rPr>
                <w:rFonts w:eastAsia="MS Mincho"/>
              </w:rPr>
              <w:t xml:space="preserve"> </w:t>
            </w:r>
            <w:r w:rsidR="00D04D44" w:rsidRPr="00D04D44">
              <w:rPr>
                <w:rFonts w:eastAsia="MS Mincho"/>
              </w:rPr>
              <w:t>abstinence greater than 3 months, motivated to stop smoking</w:t>
            </w:r>
            <w:r w:rsidR="00CF043A">
              <w:rPr>
                <w:rFonts w:eastAsia="MS Mincho"/>
              </w:rPr>
              <w:t>.</w:t>
            </w:r>
          </w:p>
          <w:p w:rsidR="003F5F9B" w:rsidRPr="00061F78" w:rsidRDefault="003F5F9B" w:rsidP="002916A7">
            <w:pPr>
              <w:pStyle w:val="Tablewriting"/>
              <w:rPr>
                <w:rFonts w:eastAsia="MS Mincho"/>
              </w:rPr>
            </w:pPr>
            <w:r w:rsidRPr="007F28D7">
              <w:rPr>
                <w:rFonts w:eastAsia="MS Mincho"/>
                <w:u w:val="single"/>
              </w:rPr>
              <w:t>Exclusion</w:t>
            </w:r>
            <w:r>
              <w:rPr>
                <w:rFonts w:eastAsia="MS Mincho"/>
              </w:rPr>
              <w:t xml:space="preserve">: </w:t>
            </w:r>
            <w:r w:rsidR="00996970">
              <w:rPr>
                <w:rFonts w:eastAsia="MS Mincho"/>
              </w:rPr>
              <w:t>pregnancy and breastfeeding</w:t>
            </w:r>
            <w:r w:rsidR="00662065">
              <w:rPr>
                <w:rFonts w:eastAsia="MS Mincho"/>
              </w:rPr>
              <w:t>,</w:t>
            </w:r>
            <w:r w:rsidR="00996970">
              <w:rPr>
                <w:rFonts w:eastAsia="MS Mincho"/>
              </w:rPr>
              <w:t xml:space="preserve"> </w:t>
            </w:r>
            <w:r w:rsidR="004857E0" w:rsidRPr="004857E0">
              <w:rPr>
                <w:rFonts w:eastAsia="MS Mincho"/>
              </w:rPr>
              <w:t>diagnosed</w:t>
            </w:r>
            <w:r w:rsidR="004857E0">
              <w:rPr>
                <w:rFonts w:eastAsia="MS Mincho"/>
              </w:rPr>
              <w:t xml:space="preserve"> </w:t>
            </w:r>
            <w:r w:rsidR="004857E0" w:rsidRPr="004857E0">
              <w:rPr>
                <w:rFonts w:eastAsia="MS Mincho"/>
              </w:rPr>
              <w:t>with or treated for depression during the previous 12</w:t>
            </w:r>
            <w:r w:rsidR="005F26B6">
              <w:rPr>
                <w:rFonts w:eastAsia="MS Mincho"/>
              </w:rPr>
              <w:t xml:space="preserve"> </w:t>
            </w:r>
            <w:r w:rsidR="004857E0" w:rsidRPr="004857E0">
              <w:rPr>
                <w:rFonts w:eastAsia="MS Mincho"/>
              </w:rPr>
              <w:t>months</w:t>
            </w:r>
            <w:r w:rsidR="00662065">
              <w:rPr>
                <w:rFonts w:eastAsia="MS Mincho"/>
              </w:rPr>
              <w:t>,</w:t>
            </w:r>
            <w:r w:rsidR="004857E0" w:rsidRPr="004857E0">
              <w:rPr>
                <w:rFonts w:eastAsia="MS Mincho"/>
              </w:rPr>
              <w:t xml:space="preserve"> a history of psychosis, panic disorder,</w:t>
            </w:r>
            <w:r w:rsidR="004857E0">
              <w:rPr>
                <w:rFonts w:eastAsia="MS Mincho"/>
              </w:rPr>
              <w:t xml:space="preserve"> </w:t>
            </w:r>
            <w:r w:rsidR="004857E0" w:rsidRPr="004857E0">
              <w:rPr>
                <w:rFonts w:eastAsia="MS Mincho"/>
              </w:rPr>
              <w:t>bipolar disorder, clinically significant endocrine</w:t>
            </w:r>
            <w:r w:rsidR="004857E0">
              <w:rPr>
                <w:rFonts w:eastAsia="MS Mincho"/>
              </w:rPr>
              <w:t xml:space="preserve"> </w:t>
            </w:r>
            <w:r w:rsidR="004857E0" w:rsidRPr="004857E0">
              <w:rPr>
                <w:rFonts w:eastAsia="MS Mincho"/>
              </w:rPr>
              <w:t>disorders or gastrointestinal diseases</w:t>
            </w:r>
            <w:r w:rsidR="00662065">
              <w:rPr>
                <w:rFonts w:eastAsia="MS Mincho"/>
              </w:rPr>
              <w:t>,</w:t>
            </w:r>
            <w:r w:rsidR="004857E0" w:rsidRPr="004857E0">
              <w:rPr>
                <w:rFonts w:eastAsia="MS Mincho"/>
              </w:rPr>
              <w:t xml:space="preserve"> severe COPD, clinically significant</w:t>
            </w:r>
            <w:r w:rsidR="007B6FEE">
              <w:rPr>
                <w:rFonts w:eastAsia="MS Mincho"/>
              </w:rPr>
              <w:t xml:space="preserve"> </w:t>
            </w:r>
            <w:r w:rsidR="004857E0" w:rsidRPr="004857E0">
              <w:rPr>
                <w:rFonts w:eastAsia="MS Mincho"/>
              </w:rPr>
              <w:t>cardiovascular disease, neurologic disorders or cerebrovascular</w:t>
            </w:r>
            <w:r w:rsidR="00481D53">
              <w:rPr>
                <w:rFonts w:eastAsia="MS Mincho"/>
              </w:rPr>
              <w:t xml:space="preserve"> </w:t>
            </w:r>
            <w:r w:rsidR="004857E0" w:rsidRPr="004857E0">
              <w:rPr>
                <w:rFonts w:eastAsia="MS Mincho"/>
              </w:rPr>
              <w:t>disease during the previous 6 months</w:t>
            </w:r>
            <w:r w:rsidR="00662065">
              <w:rPr>
                <w:rFonts w:eastAsia="MS Mincho"/>
              </w:rPr>
              <w:t>,</w:t>
            </w:r>
            <w:r w:rsidR="004857E0" w:rsidRPr="004857E0">
              <w:rPr>
                <w:rFonts w:eastAsia="MS Mincho"/>
              </w:rPr>
              <w:t xml:space="preserve"> uncontrolled</w:t>
            </w:r>
            <w:r w:rsidR="00011E22">
              <w:rPr>
                <w:rFonts w:eastAsia="MS Mincho"/>
              </w:rPr>
              <w:t xml:space="preserve"> </w:t>
            </w:r>
            <w:r w:rsidR="004857E0" w:rsidRPr="004857E0">
              <w:rPr>
                <w:rFonts w:eastAsia="MS Mincho"/>
              </w:rPr>
              <w:t xml:space="preserve">hypertension or systolic blood pressure </w:t>
            </w:r>
            <w:r w:rsidR="00662065">
              <w:rPr>
                <w:rFonts w:eastAsia="MS Mincho"/>
              </w:rPr>
              <w:t>&gt;</w:t>
            </w:r>
            <w:r w:rsidR="004857E0" w:rsidRPr="004857E0">
              <w:rPr>
                <w:rFonts w:eastAsia="MS Mincho"/>
              </w:rPr>
              <w:t xml:space="preserve">150 mmHg or diastolic blood pressure </w:t>
            </w:r>
            <w:r w:rsidR="00662065">
              <w:rPr>
                <w:rFonts w:eastAsia="MS Mincho"/>
              </w:rPr>
              <w:t>&gt;</w:t>
            </w:r>
            <w:r w:rsidR="004857E0" w:rsidRPr="004857E0">
              <w:rPr>
                <w:rFonts w:eastAsia="MS Mincho"/>
              </w:rPr>
              <w:t>95 mmHg at baseline screening</w:t>
            </w:r>
            <w:r w:rsidR="00662065">
              <w:rPr>
                <w:rFonts w:eastAsia="MS Mincho"/>
              </w:rPr>
              <w:t>,</w:t>
            </w:r>
            <w:r w:rsidR="004857E0" w:rsidRPr="004857E0">
              <w:rPr>
                <w:rFonts w:eastAsia="MS Mincho"/>
              </w:rPr>
              <w:t xml:space="preserve"> significant</w:t>
            </w:r>
            <w:r w:rsidR="00011E22">
              <w:rPr>
                <w:rFonts w:eastAsia="MS Mincho"/>
              </w:rPr>
              <w:t xml:space="preserve"> </w:t>
            </w:r>
            <w:r w:rsidR="004857E0" w:rsidRPr="004857E0">
              <w:rPr>
                <w:rFonts w:eastAsia="MS Mincho"/>
              </w:rPr>
              <w:t>hepatic or renal impairment or other clinically significant</w:t>
            </w:r>
            <w:r w:rsidR="00011E22">
              <w:rPr>
                <w:rFonts w:eastAsia="MS Mincho"/>
              </w:rPr>
              <w:t xml:space="preserve"> </w:t>
            </w:r>
            <w:r w:rsidR="004857E0" w:rsidRPr="004857E0">
              <w:rPr>
                <w:rFonts w:eastAsia="MS Mincho"/>
              </w:rPr>
              <w:t>abnormal laboratory test values</w:t>
            </w:r>
            <w:r w:rsidR="00C86E8D">
              <w:rPr>
                <w:rFonts w:eastAsia="MS Mincho"/>
              </w:rPr>
              <w:t>,</w:t>
            </w:r>
            <w:r w:rsidR="004857E0" w:rsidRPr="004857E0">
              <w:rPr>
                <w:rFonts w:eastAsia="MS Mincho"/>
              </w:rPr>
              <w:t xml:space="preserve"> a history of</w:t>
            </w:r>
            <w:r w:rsidR="00011E22">
              <w:rPr>
                <w:rFonts w:eastAsia="MS Mincho"/>
              </w:rPr>
              <w:t xml:space="preserve"> </w:t>
            </w:r>
            <w:r w:rsidR="004857E0" w:rsidRPr="004857E0">
              <w:rPr>
                <w:rFonts w:eastAsia="MS Mincho"/>
              </w:rPr>
              <w:t>cancer</w:t>
            </w:r>
            <w:r w:rsidR="00C86E8D">
              <w:rPr>
                <w:rFonts w:eastAsia="MS Mincho"/>
              </w:rPr>
              <w:t>,</w:t>
            </w:r>
            <w:r w:rsidR="004857E0" w:rsidRPr="004857E0">
              <w:rPr>
                <w:rFonts w:eastAsia="MS Mincho"/>
              </w:rPr>
              <w:t xml:space="preserve"> serious or life-threatening allergic reactions</w:t>
            </w:r>
            <w:r w:rsidR="005F3431">
              <w:rPr>
                <w:rFonts w:eastAsia="MS Mincho"/>
              </w:rPr>
              <w:t xml:space="preserve"> </w:t>
            </w:r>
            <w:r w:rsidR="004857E0" w:rsidRPr="004857E0">
              <w:rPr>
                <w:rFonts w:eastAsia="MS Mincho"/>
              </w:rPr>
              <w:t>to drugs</w:t>
            </w:r>
            <w:r w:rsidR="00C86E8D">
              <w:rPr>
                <w:rFonts w:eastAsia="MS Mincho"/>
              </w:rPr>
              <w:t>,</w:t>
            </w:r>
            <w:r w:rsidR="004857E0" w:rsidRPr="004857E0">
              <w:rPr>
                <w:rFonts w:eastAsia="MS Mincho"/>
              </w:rPr>
              <w:t xml:space="preserve"> drug or alcohol abuse or dependence</w:t>
            </w:r>
            <w:r w:rsidR="00C86E8D">
              <w:rPr>
                <w:rFonts w:eastAsia="MS Mincho"/>
              </w:rPr>
              <w:t>,</w:t>
            </w:r>
            <w:r w:rsidR="005F3431">
              <w:rPr>
                <w:rFonts w:eastAsia="MS Mincho"/>
              </w:rPr>
              <w:t xml:space="preserve"> </w:t>
            </w:r>
            <w:r w:rsidR="004857E0" w:rsidRPr="004857E0">
              <w:rPr>
                <w:rFonts w:eastAsia="MS Mincho"/>
              </w:rPr>
              <w:t>or a positive urine drug screen</w:t>
            </w:r>
            <w:r w:rsidR="00C86E8D">
              <w:rPr>
                <w:rFonts w:eastAsia="MS Mincho"/>
              </w:rPr>
              <w:t>,</w:t>
            </w:r>
            <w:r w:rsidR="004857E0" w:rsidRPr="004857E0">
              <w:rPr>
                <w:rFonts w:eastAsia="MS Mincho"/>
              </w:rPr>
              <w:t xml:space="preserve"> participated in a study with an</w:t>
            </w:r>
            <w:r w:rsidR="00AF3E6A">
              <w:rPr>
                <w:rFonts w:eastAsia="MS Mincho"/>
              </w:rPr>
              <w:t xml:space="preserve"> </w:t>
            </w:r>
            <w:r w:rsidR="004857E0" w:rsidRPr="004857E0">
              <w:rPr>
                <w:rFonts w:eastAsia="MS Mincho"/>
              </w:rPr>
              <w:t>experimental smoking cessation drug</w:t>
            </w:r>
            <w:r w:rsidR="00AF3E6A">
              <w:rPr>
                <w:rFonts w:eastAsia="MS Mincho"/>
              </w:rPr>
              <w:t xml:space="preserve"> in the prior year</w:t>
            </w:r>
            <w:r w:rsidR="00C86E8D">
              <w:rPr>
                <w:rFonts w:eastAsia="MS Mincho"/>
              </w:rPr>
              <w:t>,</w:t>
            </w:r>
            <w:r w:rsidR="004857E0" w:rsidRPr="004857E0">
              <w:rPr>
                <w:rFonts w:eastAsia="MS Mincho"/>
              </w:rPr>
              <w:t xml:space="preserve"> had used </w:t>
            </w:r>
            <w:r w:rsidR="00C86E8D">
              <w:rPr>
                <w:rFonts w:eastAsia="MS Mincho"/>
              </w:rPr>
              <w:t>NRT</w:t>
            </w:r>
            <w:r w:rsidR="004857E0" w:rsidRPr="004857E0">
              <w:rPr>
                <w:rFonts w:eastAsia="MS Mincho"/>
              </w:rPr>
              <w:t xml:space="preserve"> or bupropion within</w:t>
            </w:r>
            <w:r w:rsidR="00AF3E6A">
              <w:rPr>
                <w:rFonts w:eastAsia="MS Mincho"/>
              </w:rPr>
              <w:t xml:space="preserve"> </w:t>
            </w:r>
            <w:r w:rsidR="004857E0" w:rsidRPr="004857E0">
              <w:rPr>
                <w:rFonts w:eastAsia="MS Mincho"/>
              </w:rPr>
              <w:t>the previous 6 months or were taking any medications</w:t>
            </w:r>
            <w:r w:rsidR="00AF3E6A">
              <w:rPr>
                <w:rFonts w:eastAsia="MS Mincho"/>
              </w:rPr>
              <w:t xml:space="preserve"> </w:t>
            </w:r>
            <w:r w:rsidR="004857E0" w:rsidRPr="004857E0">
              <w:rPr>
                <w:rFonts w:eastAsia="MS Mincho"/>
              </w:rPr>
              <w:t>that might interfere with the outcome of the</w:t>
            </w:r>
            <w:r w:rsidR="00AF3E6A">
              <w:rPr>
                <w:rFonts w:eastAsia="MS Mincho"/>
              </w:rPr>
              <w:t xml:space="preserve"> </w:t>
            </w:r>
            <w:r w:rsidR="004857E0" w:rsidRPr="004857E0">
              <w:rPr>
                <w:rFonts w:eastAsia="MS Mincho"/>
              </w:rPr>
              <w:t>trial.</w:t>
            </w:r>
          </w:p>
        </w:tc>
        <w:tc>
          <w:tcPr>
            <w:tcW w:w="920" w:type="pct"/>
            <w:shd w:val="clear" w:color="auto" w:fill="D9D9D9" w:themeFill="background1" w:themeFillShade="D9"/>
          </w:tcPr>
          <w:p w:rsidR="003F5F9B" w:rsidRDefault="003F5F9B" w:rsidP="002916A7">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sidR="001376F9">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(i</w:t>
            </w:r>
            <w:r>
              <w:rPr>
                <w:rFonts w:eastAsia="MS Mincho"/>
              </w:rPr>
              <w:t>.</w:t>
            </w:r>
            <w:r w:rsidRPr="00372F18">
              <w:rPr>
                <w:rFonts w:eastAsia="MS Mincho"/>
              </w:rPr>
              <w:t>e</w:t>
            </w:r>
            <w:r>
              <w:rPr>
                <w:rFonts w:eastAsia="MS Mincho"/>
              </w:rPr>
              <w:t>.</w:t>
            </w:r>
            <w:r w:rsidRPr="00372F18">
              <w:rPr>
                <w:rFonts w:eastAsia="MS Mincho"/>
              </w:rPr>
              <w:t xml:space="preserve"> 0.5</w:t>
            </w:r>
            <w:r w:rsidR="001376F9">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sidR="001376F9">
              <w:rPr>
                <w:rFonts w:eastAsia="MS Mincho"/>
              </w:rPr>
              <w:t xml:space="preserve"> </w:t>
            </w:r>
            <w:r w:rsidRPr="00372F18">
              <w:rPr>
                <w:rFonts w:eastAsia="MS Mincho"/>
              </w:rPr>
              <w:t>mg twice daily for 4 days, then 1</w:t>
            </w:r>
            <w:r w:rsidR="001376F9">
              <w:rPr>
                <w:rFonts w:eastAsia="MS Mincho"/>
              </w:rPr>
              <w:t xml:space="preserve"> </w:t>
            </w:r>
            <w:r w:rsidRPr="00372F18">
              <w:rPr>
                <w:rFonts w:eastAsia="MS Mincho"/>
              </w:rPr>
              <w:t>mg twice daily)</w:t>
            </w:r>
            <w:r w:rsidR="004657DA">
              <w:rPr>
                <w:rFonts w:eastAsia="MS Mincho"/>
              </w:rPr>
              <w:t>;</w:t>
            </w:r>
          </w:p>
          <w:p w:rsidR="003F5F9B" w:rsidRDefault="003F5F9B" w:rsidP="002916A7">
            <w:pPr>
              <w:pStyle w:val="Tablewriting"/>
              <w:rPr>
                <w:rFonts w:eastAsia="MS Mincho"/>
              </w:rPr>
            </w:pPr>
            <w:r>
              <w:rPr>
                <w:rFonts w:eastAsia="MS Mincho"/>
              </w:rPr>
              <w:t>Placebo: placebo tablet for 12 weeks, same regimen</w:t>
            </w:r>
            <w:r w:rsidR="000F1E7A">
              <w:rPr>
                <w:rFonts w:eastAsia="MS Mincho"/>
              </w:rPr>
              <w:t>.</w:t>
            </w:r>
          </w:p>
          <w:p w:rsidR="00587B1C" w:rsidRDefault="00587B1C" w:rsidP="002916A7">
            <w:pPr>
              <w:pStyle w:val="Tablewriting"/>
              <w:rPr>
                <w:rFonts w:eastAsia="MS Mincho"/>
              </w:rPr>
            </w:pPr>
          </w:p>
          <w:p w:rsidR="00587B1C" w:rsidRPr="00A34E7B" w:rsidRDefault="00587B1C" w:rsidP="002916A7">
            <w:pPr>
              <w:pStyle w:val="Tablewriting"/>
              <w:rPr>
                <w:rFonts w:eastAsia="MS Mincho"/>
              </w:rPr>
            </w:pPr>
            <w:r w:rsidRPr="00587B1C">
              <w:rPr>
                <w:rFonts w:eastAsia="MS Mincho"/>
              </w:rPr>
              <w:t>Behavioural support provided in both arms.</w:t>
            </w:r>
          </w:p>
        </w:tc>
        <w:tc>
          <w:tcPr>
            <w:tcW w:w="1140" w:type="pct"/>
            <w:shd w:val="clear" w:color="auto" w:fill="D9D9D9" w:themeFill="background1" w:themeFillShade="D9"/>
            <w:tcMar>
              <w:left w:w="28" w:type="dxa"/>
              <w:right w:w="28" w:type="dxa"/>
            </w:tcMar>
          </w:tcPr>
          <w:p w:rsidR="003F5F9B" w:rsidRDefault="003F5F9B" w:rsidP="002916A7">
            <w:pPr>
              <w:pStyle w:val="Tablewriting"/>
              <w:rPr>
                <w:rFonts w:eastAsia="MS Mincho"/>
              </w:rPr>
            </w:pPr>
            <w:r w:rsidRPr="008C39E4">
              <w:rPr>
                <w:rFonts w:eastAsia="MS Mincho"/>
                <w:u w:val="single"/>
              </w:rPr>
              <w:t>Primary</w:t>
            </w:r>
            <w:r>
              <w:rPr>
                <w:rFonts w:eastAsia="MS Mincho"/>
              </w:rPr>
              <w:t xml:space="preserve">: </w:t>
            </w:r>
            <w:r w:rsidR="00C86E8D">
              <w:rPr>
                <w:rFonts w:eastAsia="MS Mincho"/>
              </w:rPr>
              <w:t>CAR</w:t>
            </w:r>
            <w:r>
              <w:rPr>
                <w:rFonts w:eastAsia="MS Mincho"/>
              </w:rPr>
              <w:t xml:space="preserve"> at Week 9-12. Validated by CO</w:t>
            </w:r>
            <w:r w:rsidR="001376F9">
              <w:rPr>
                <w:rFonts w:eastAsia="MS Mincho"/>
              </w:rPr>
              <w:t xml:space="preserve"> </w:t>
            </w:r>
            <w:r>
              <w:rPr>
                <w:rFonts w:eastAsia="MS Mincho" w:cstheme="minorHAnsi"/>
              </w:rPr>
              <w:t>≤</w:t>
            </w:r>
            <w:r>
              <w:rPr>
                <w:rFonts w:eastAsia="MS Mincho"/>
              </w:rPr>
              <w:t>10</w:t>
            </w:r>
            <w:r w:rsidR="001376F9">
              <w:rPr>
                <w:rFonts w:eastAsia="MS Mincho"/>
              </w:rPr>
              <w:t xml:space="preserve"> </w:t>
            </w:r>
            <w:r>
              <w:rPr>
                <w:rFonts w:eastAsia="MS Mincho"/>
              </w:rPr>
              <w:t>ppm.</w:t>
            </w:r>
          </w:p>
          <w:p w:rsidR="003F5F9B" w:rsidRDefault="003F5F9B" w:rsidP="002916A7">
            <w:pPr>
              <w:pStyle w:val="Tablewriting"/>
              <w:rPr>
                <w:rFonts w:eastAsia="MS Mincho"/>
              </w:rPr>
            </w:pPr>
            <w:r w:rsidRPr="008C39E4">
              <w:rPr>
                <w:rFonts w:eastAsia="MS Mincho"/>
                <w:u w:val="single"/>
              </w:rPr>
              <w:t>Secondary</w:t>
            </w:r>
            <w:r>
              <w:rPr>
                <w:rFonts w:eastAsia="MS Mincho"/>
              </w:rPr>
              <w:t xml:space="preserve">: </w:t>
            </w:r>
            <w:r w:rsidR="00C86E8D">
              <w:rPr>
                <w:rFonts w:eastAsia="MS Mincho"/>
              </w:rPr>
              <w:t>CAR</w:t>
            </w:r>
            <w:r>
              <w:rPr>
                <w:rFonts w:eastAsia="MS Mincho"/>
              </w:rPr>
              <w:t xml:space="preserve"> at Week 9-24. </w:t>
            </w:r>
            <w:r w:rsidRPr="00624207">
              <w:rPr>
                <w:rFonts w:eastAsia="MS Mincho"/>
              </w:rPr>
              <w:t xml:space="preserve">7-day PPA </w:t>
            </w:r>
            <w:r>
              <w:rPr>
                <w:rFonts w:eastAsia="MS Mincho"/>
              </w:rPr>
              <w:t>at Week 24.</w:t>
            </w:r>
            <w:r w:rsidR="00283F8F">
              <w:rPr>
                <w:rFonts w:eastAsia="MS Mincho"/>
              </w:rPr>
              <w:t xml:space="preserve"> Validated by CO </w:t>
            </w:r>
            <w:r w:rsidR="00283F8F">
              <w:rPr>
                <w:rFonts w:eastAsia="MS Mincho" w:cstheme="minorHAnsi"/>
              </w:rPr>
              <w:t>≤</w:t>
            </w:r>
            <w:r w:rsidR="00283F8F">
              <w:rPr>
                <w:rFonts w:eastAsia="MS Mincho"/>
              </w:rPr>
              <w:t>10</w:t>
            </w:r>
            <w:r w:rsidR="001376F9">
              <w:rPr>
                <w:rFonts w:eastAsia="MS Mincho"/>
              </w:rPr>
              <w:t xml:space="preserve"> </w:t>
            </w:r>
            <w:r w:rsidR="00283F8F">
              <w:rPr>
                <w:rFonts w:eastAsia="MS Mincho"/>
              </w:rPr>
              <w:t>ppm.</w:t>
            </w:r>
          </w:p>
          <w:p w:rsidR="003F5F9B" w:rsidRPr="00061F78" w:rsidRDefault="003F5F9B" w:rsidP="002916A7">
            <w:pPr>
              <w:pStyle w:val="Tablewriting"/>
              <w:rPr>
                <w:rFonts w:eastAsia="MS Mincho"/>
              </w:rPr>
            </w:pPr>
            <w:r w:rsidRPr="0055171C">
              <w:rPr>
                <w:rFonts w:eastAsia="MS Mincho"/>
                <w:u w:val="single"/>
              </w:rPr>
              <w:t>Other</w:t>
            </w:r>
            <w:r>
              <w:rPr>
                <w:rFonts w:eastAsia="MS Mincho"/>
              </w:rPr>
              <w:t xml:space="preserve">: </w:t>
            </w:r>
            <w:r w:rsidR="00C254EF" w:rsidRPr="00C254EF">
              <w:rPr>
                <w:rFonts w:eastAsia="MS Mincho"/>
              </w:rPr>
              <w:t>adverse events; long-term quit rates</w:t>
            </w:r>
            <w:r w:rsidR="000F1E7A">
              <w:rPr>
                <w:rFonts w:eastAsia="MS Mincho"/>
              </w:rPr>
              <w:t>.</w:t>
            </w:r>
          </w:p>
        </w:tc>
      </w:tr>
      <w:tr w:rsidR="00260CD7" w:rsidRPr="00061F78" w:rsidTr="00B537F7">
        <w:trPr>
          <w:trHeight w:val="99"/>
        </w:trPr>
        <w:tc>
          <w:tcPr>
            <w:tcW w:w="332" w:type="pct"/>
            <w:shd w:val="clear" w:color="auto" w:fill="D9D9D9" w:themeFill="background1" w:themeFillShade="D9"/>
            <w:tcMar>
              <w:left w:w="28" w:type="dxa"/>
              <w:right w:w="28" w:type="dxa"/>
            </w:tcMar>
          </w:tcPr>
          <w:p w:rsidR="00561966" w:rsidRDefault="00C254EF" w:rsidP="002916A7">
            <w:pPr>
              <w:pStyle w:val="Tablewriting"/>
              <w:rPr>
                <w:rFonts w:eastAsia="MS Mincho"/>
              </w:rPr>
            </w:pPr>
            <w:r>
              <w:rPr>
                <w:rFonts w:eastAsia="MS Mincho"/>
              </w:rPr>
              <w:t>Bolliger</w:t>
            </w:r>
          </w:p>
          <w:p w:rsidR="00561966" w:rsidRPr="00061F78" w:rsidRDefault="007E01D0" w:rsidP="002916A7">
            <w:pPr>
              <w:pStyle w:val="Tablewriting"/>
              <w:rPr>
                <w:rFonts w:eastAsia="MS Mincho"/>
              </w:rPr>
            </w:pPr>
            <w:r>
              <w:rPr>
                <w:rFonts w:eastAsia="MS Mincho"/>
              </w:rPr>
              <w:t>(2011)</w:t>
            </w:r>
          </w:p>
        </w:tc>
        <w:tc>
          <w:tcPr>
            <w:tcW w:w="395" w:type="pct"/>
            <w:shd w:val="clear" w:color="auto" w:fill="D9D9D9" w:themeFill="background1" w:themeFillShade="D9"/>
          </w:tcPr>
          <w:p w:rsidR="00561966" w:rsidRDefault="007E01D0"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rsidR="007E01D0" w:rsidRDefault="007E01D0" w:rsidP="002916A7">
            <w:pPr>
              <w:pStyle w:val="Tablewriting"/>
              <w:rPr>
                <w:rFonts w:eastAsia="MS Mincho"/>
              </w:rPr>
            </w:pPr>
            <w:r>
              <w:rPr>
                <w:rFonts w:eastAsia="MS Mincho"/>
              </w:rPr>
              <w:t>N=</w:t>
            </w:r>
            <w:r w:rsidR="00670F61">
              <w:rPr>
                <w:rFonts w:eastAsia="MS Mincho"/>
              </w:rPr>
              <w:t>593</w:t>
            </w:r>
          </w:p>
          <w:p w:rsidR="00561966" w:rsidRPr="00061F78" w:rsidRDefault="007E01D0" w:rsidP="002916A7">
            <w:pPr>
              <w:pStyle w:val="Tablewriting"/>
              <w:rPr>
                <w:rFonts w:eastAsia="MS Mincho"/>
              </w:rPr>
            </w:pPr>
            <w:r>
              <w:rPr>
                <w:rFonts w:eastAsia="MS Mincho"/>
              </w:rPr>
              <w:t>Varenicline (n=</w:t>
            </w:r>
            <w:r w:rsidR="00000F98">
              <w:rPr>
                <w:rFonts w:eastAsia="MS Mincho"/>
              </w:rPr>
              <w:t>394</w:t>
            </w:r>
            <w:r>
              <w:rPr>
                <w:rFonts w:eastAsia="MS Mincho"/>
              </w:rPr>
              <w:t>), Placebo (n=1</w:t>
            </w:r>
            <w:r w:rsidR="00000F98">
              <w:rPr>
                <w:rFonts w:eastAsia="MS Mincho"/>
              </w:rPr>
              <w:t>99</w:t>
            </w:r>
            <w:r>
              <w:rPr>
                <w:rFonts w:eastAsia="MS Mincho"/>
              </w:rPr>
              <w:t>)</w:t>
            </w:r>
          </w:p>
        </w:tc>
        <w:tc>
          <w:tcPr>
            <w:tcW w:w="1866" w:type="pct"/>
            <w:shd w:val="clear" w:color="auto" w:fill="D9D9D9" w:themeFill="background1" w:themeFillShade="D9"/>
            <w:tcMar>
              <w:left w:w="28" w:type="dxa"/>
              <w:right w:w="28" w:type="dxa"/>
            </w:tcMar>
          </w:tcPr>
          <w:p w:rsidR="007E01D0" w:rsidRDefault="007E01D0" w:rsidP="002916A7">
            <w:pPr>
              <w:pStyle w:val="Tablewriting"/>
              <w:rPr>
                <w:rFonts w:eastAsia="MS Mincho"/>
              </w:rPr>
            </w:pPr>
            <w:r w:rsidRPr="007F28D7">
              <w:rPr>
                <w:rFonts w:eastAsia="MS Mincho"/>
                <w:u w:val="single"/>
              </w:rPr>
              <w:t>Inclusion</w:t>
            </w:r>
            <w:r>
              <w:rPr>
                <w:rFonts w:eastAsia="MS Mincho"/>
              </w:rPr>
              <w:t>:</w:t>
            </w:r>
            <w:r w:rsidR="00C86E8D">
              <w:rPr>
                <w:rFonts w:eastAsia="MS Mincho"/>
              </w:rPr>
              <w:t xml:space="preserve"> </w:t>
            </w:r>
            <w:r w:rsidRPr="00D04D44">
              <w:rPr>
                <w:rFonts w:eastAsia="MS Mincho"/>
              </w:rPr>
              <w:t>18</w:t>
            </w:r>
            <w:r w:rsidR="0010449D">
              <w:rPr>
                <w:rFonts w:eastAsia="MS Mincho"/>
              </w:rPr>
              <w:t>-</w:t>
            </w:r>
            <w:r w:rsidRPr="00D04D44">
              <w:rPr>
                <w:rFonts w:eastAsia="MS Mincho"/>
              </w:rPr>
              <w:t>75 years</w:t>
            </w:r>
            <w:r w:rsidR="00C86E8D">
              <w:rPr>
                <w:rFonts w:eastAsia="MS Mincho"/>
              </w:rPr>
              <w:t xml:space="preserve"> old</w:t>
            </w:r>
            <w:r w:rsidRPr="00D04D44">
              <w:rPr>
                <w:rFonts w:eastAsia="MS Mincho"/>
              </w:rPr>
              <w:t xml:space="preserve">, </w:t>
            </w:r>
            <w:r w:rsidR="0010449D" w:rsidRPr="0010449D">
              <w:rPr>
                <w:rFonts w:eastAsia="MS Mincho"/>
              </w:rPr>
              <w:t>body mass index</w:t>
            </w:r>
            <w:r w:rsidRPr="00D04D44">
              <w:rPr>
                <w:rFonts w:eastAsia="MS Mincho"/>
              </w:rPr>
              <w:t xml:space="preserve"> of 15</w:t>
            </w:r>
            <w:r w:rsidR="0010449D" w:rsidRPr="0010449D">
              <w:rPr>
                <w:rFonts w:eastAsia="MS Mincho"/>
              </w:rPr>
              <w:t xml:space="preserve"> to 38kg</w:t>
            </w:r>
            <w:r w:rsidRPr="00D04D44">
              <w:rPr>
                <w:rFonts w:eastAsia="MS Mincho"/>
              </w:rPr>
              <w:t>/m</w:t>
            </w:r>
            <w:r w:rsidRPr="00D04D44">
              <w:rPr>
                <w:rFonts w:eastAsia="MS Mincho"/>
                <w:vertAlign w:val="superscript"/>
              </w:rPr>
              <w:t>2</w:t>
            </w:r>
            <w:r w:rsidRPr="00D04D44">
              <w:rPr>
                <w:rFonts w:eastAsia="MS Mincho"/>
              </w:rPr>
              <w:t xml:space="preserve"> (and a weight of </w:t>
            </w:r>
            <w:r w:rsidR="006E2FF1">
              <w:rPr>
                <w:rFonts w:eastAsia="MS Mincho" w:cstheme="minorHAnsi"/>
              </w:rPr>
              <w:t>≥</w:t>
            </w:r>
            <w:r w:rsidRPr="00D04D44">
              <w:rPr>
                <w:rFonts w:eastAsia="MS Mincho"/>
              </w:rPr>
              <w:t>45.5 kg),</w:t>
            </w:r>
            <w:r w:rsidR="0010449D" w:rsidRPr="0010449D">
              <w:rPr>
                <w:rFonts w:eastAsia="MS Mincho"/>
              </w:rPr>
              <w:t xml:space="preserve"> motivated to stop smoking</w:t>
            </w:r>
            <w:r w:rsidR="006E2FF1">
              <w:rPr>
                <w:rFonts w:eastAsia="MS Mincho"/>
              </w:rPr>
              <w:t xml:space="preserve">, </w:t>
            </w:r>
            <w:r w:rsidR="00884962">
              <w:rPr>
                <w:rFonts w:eastAsia="MS Mincho" w:cstheme="minorHAnsi"/>
              </w:rPr>
              <w:t>≥</w:t>
            </w:r>
            <w:r w:rsidR="0010449D" w:rsidRPr="0010449D">
              <w:rPr>
                <w:rFonts w:eastAsia="MS Mincho"/>
              </w:rPr>
              <w:t>10</w:t>
            </w:r>
            <w:r w:rsidRPr="00D04D44">
              <w:rPr>
                <w:rFonts w:eastAsia="MS Mincho"/>
              </w:rPr>
              <w:t xml:space="preserve"> cigarettes</w:t>
            </w:r>
            <w:r w:rsidR="006E2FF1">
              <w:rPr>
                <w:rFonts w:eastAsia="MS Mincho"/>
              </w:rPr>
              <w:t xml:space="preserve"> per </w:t>
            </w:r>
            <w:r w:rsidR="0010449D" w:rsidRPr="0010449D">
              <w:rPr>
                <w:rFonts w:eastAsia="MS Mincho"/>
              </w:rPr>
              <w:t>d</w:t>
            </w:r>
            <w:r w:rsidR="00884962">
              <w:rPr>
                <w:rFonts w:eastAsia="MS Mincho"/>
              </w:rPr>
              <w:t>ay</w:t>
            </w:r>
            <w:r w:rsidRPr="00D04D44">
              <w:rPr>
                <w:rFonts w:eastAsia="MS Mincho"/>
              </w:rPr>
              <w:t xml:space="preserve"> during the </w:t>
            </w:r>
            <w:r w:rsidR="0010449D" w:rsidRPr="0010449D">
              <w:rPr>
                <w:rFonts w:eastAsia="MS Mincho"/>
              </w:rPr>
              <w:t>previous 12 months and</w:t>
            </w:r>
            <w:r w:rsidR="00884962">
              <w:rPr>
                <w:rFonts w:eastAsia="MS Mincho"/>
              </w:rPr>
              <w:t xml:space="preserve"> </w:t>
            </w:r>
            <w:r w:rsidR="0010449D" w:rsidRPr="0010449D">
              <w:rPr>
                <w:rFonts w:eastAsia="MS Mincho"/>
              </w:rPr>
              <w:t xml:space="preserve">during the month before </w:t>
            </w:r>
            <w:r w:rsidRPr="00D04D44">
              <w:rPr>
                <w:rFonts w:eastAsia="MS Mincho"/>
              </w:rPr>
              <w:t xml:space="preserve">the screening visit with </w:t>
            </w:r>
            <w:r w:rsidR="0010449D" w:rsidRPr="0010449D">
              <w:rPr>
                <w:rFonts w:eastAsia="MS Mincho"/>
              </w:rPr>
              <w:t>no</w:t>
            </w:r>
            <w:r w:rsidR="00884962">
              <w:rPr>
                <w:rFonts w:eastAsia="MS Mincho"/>
              </w:rPr>
              <w:t xml:space="preserve"> </w:t>
            </w:r>
            <w:r w:rsidR="0010449D" w:rsidRPr="0010449D">
              <w:rPr>
                <w:rFonts w:eastAsia="MS Mincho"/>
              </w:rPr>
              <w:t>cumulative</w:t>
            </w:r>
            <w:r w:rsidRPr="00D04D44">
              <w:rPr>
                <w:rFonts w:eastAsia="MS Mincho"/>
              </w:rPr>
              <w:t xml:space="preserve"> period of</w:t>
            </w:r>
            <w:r>
              <w:rPr>
                <w:rFonts w:eastAsia="MS Mincho"/>
              </w:rPr>
              <w:t xml:space="preserve"> </w:t>
            </w:r>
            <w:r w:rsidRPr="00D04D44">
              <w:rPr>
                <w:rFonts w:eastAsia="MS Mincho"/>
              </w:rPr>
              <w:t xml:space="preserve">abstinence </w:t>
            </w:r>
            <w:r w:rsidR="00884962">
              <w:rPr>
                <w:rFonts w:eastAsia="MS Mincho"/>
              </w:rPr>
              <w:t>&gt;</w:t>
            </w:r>
            <w:r w:rsidRPr="00D04D44">
              <w:rPr>
                <w:rFonts w:eastAsia="MS Mincho"/>
              </w:rPr>
              <w:t>3 months</w:t>
            </w:r>
            <w:r w:rsidR="0010449D" w:rsidRPr="0010449D">
              <w:rPr>
                <w:rFonts w:eastAsia="MS Mincho"/>
              </w:rPr>
              <w:t xml:space="preserve"> in the previous</w:t>
            </w:r>
            <w:r w:rsidR="00884962">
              <w:rPr>
                <w:rFonts w:eastAsia="MS Mincho"/>
              </w:rPr>
              <w:t xml:space="preserve"> </w:t>
            </w:r>
            <w:r w:rsidR="0010449D" w:rsidRPr="0010449D">
              <w:rPr>
                <w:rFonts w:eastAsia="MS Mincho"/>
              </w:rPr>
              <w:t>12 months</w:t>
            </w:r>
            <w:r>
              <w:rPr>
                <w:rFonts w:eastAsia="MS Mincho"/>
              </w:rPr>
              <w:t>.</w:t>
            </w:r>
          </w:p>
          <w:p w:rsidR="00561966" w:rsidRPr="00061F78" w:rsidRDefault="007E01D0" w:rsidP="002916A7">
            <w:pPr>
              <w:pStyle w:val="Tablewriting"/>
              <w:rPr>
                <w:rFonts w:eastAsia="MS Mincho"/>
              </w:rPr>
            </w:pPr>
            <w:r w:rsidRPr="007F28D7">
              <w:rPr>
                <w:rFonts w:eastAsia="MS Mincho"/>
                <w:u w:val="single"/>
              </w:rPr>
              <w:t>Exclusion</w:t>
            </w:r>
            <w:r>
              <w:rPr>
                <w:rFonts w:eastAsia="MS Mincho"/>
              </w:rPr>
              <w:t>: pregnancy and breastfeeding</w:t>
            </w:r>
            <w:r w:rsidR="006E2FF1">
              <w:rPr>
                <w:rFonts w:eastAsia="MS Mincho"/>
              </w:rPr>
              <w:t>,</w:t>
            </w:r>
            <w:r>
              <w:rPr>
                <w:rFonts w:eastAsia="MS Mincho"/>
              </w:rPr>
              <w:t xml:space="preserve"> </w:t>
            </w:r>
            <w:r w:rsidR="000447F5">
              <w:rPr>
                <w:rFonts w:eastAsia="MS Mincho"/>
              </w:rPr>
              <w:t>s</w:t>
            </w:r>
            <w:r w:rsidR="000447F5" w:rsidRPr="000447F5">
              <w:rPr>
                <w:rFonts w:eastAsia="MS Mincho"/>
              </w:rPr>
              <w:t>mokers with serious or unstable disease within the</w:t>
            </w:r>
            <w:r w:rsidR="000447F5">
              <w:rPr>
                <w:rFonts w:eastAsia="MS Mincho"/>
              </w:rPr>
              <w:t xml:space="preserve"> </w:t>
            </w:r>
            <w:r w:rsidR="000447F5" w:rsidRPr="000447F5">
              <w:rPr>
                <w:rFonts w:eastAsia="MS Mincho"/>
              </w:rPr>
              <w:t>6 months before study entry</w:t>
            </w:r>
            <w:r w:rsidR="006E2FF1">
              <w:rPr>
                <w:rFonts w:eastAsia="MS Mincho"/>
              </w:rPr>
              <w:t>,</w:t>
            </w:r>
            <w:r w:rsidR="000447F5">
              <w:rPr>
                <w:rFonts w:eastAsia="MS Mincho"/>
              </w:rPr>
              <w:t xml:space="preserve"> </w:t>
            </w:r>
            <w:r w:rsidR="00287C15" w:rsidRPr="00287C15">
              <w:rPr>
                <w:rFonts w:eastAsia="MS Mincho"/>
              </w:rPr>
              <w:t>a diagnosis of or treatment</w:t>
            </w:r>
            <w:r w:rsidR="00287C15">
              <w:rPr>
                <w:rFonts w:eastAsia="MS Mincho"/>
              </w:rPr>
              <w:t xml:space="preserve"> </w:t>
            </w:r>
            <w:r w:rsidR="00287C15" w:rsidRPr="00287C15">
              <w:rPr>
                <w:rFonts w:eastAsia="MS Mincho"/>
              </w:rPr>
              <w:t>for depression during the previous 12 months</w:t>
            </w:r>
            <w:r w:rsidR="006E2FF1">
              <w:rPr>
                <w:rFonts w:eastAsia="MS Mincho"/>
              </w:rPr>
              <w:t>,</w:t>
            </w:r>
            <w:r w:rsidR="00287C15" w:rsidRPr="00287C15">
              <w:rPr>
                <w:rFonts w:eastAsia="MS Mincho"/>
              </w:rPr>
              <w:t xml:space="preserve"> a history</w:t>
            </w:r>
            <w:r w:rsidR="00287C15">
              <w:rPr>
                <w:rFonts w:eastAsia="MS Mincho"/>
              </w:rPr>
              <w:t xml:space="preserve"> </w:t>
            </w:r>
            <w:r w:rsidR="00287C15" w:rsidRPr="00287C15">
              <w:rPr>
                <w:rFonts w:eastAsia="MS Mincho"/>
              </w:rPr>
              <w:t xml:space="preserve">of or current psychosis, panic disorder, or </w:t>
            </w:r>
            <w:r w:rsidR="00287C15" w:rsidRPr="00287C15">
              <w:rPr>
                <w:rFonts w:eastAsia="MS Mincho"/>
              </w:rPr>
              <w:lastRenderedPageBreak/>
              <w:t>bipolar</w:t>
            </w:r>
            <w:r w:rsidR="00287C15">
              <w:rPr>
                <w:rFonts w:eastAsia="MS Mincho"/>
              </w:rPr>
              <w:t xml:space="preserve"> </w:t>
            </w:r>
            <w:r w:rsidR="00287C15" w:rsidRPr="00287C15">
              <w:rPr>
                <w:rFonts w:eastAsia="MS Mincho"/>
              </w:rPr>
              <w:t>disorder</w:t>
            </w:r>
            <w:r w:rsidR="006E2FF1">
              <w:rPr>
                <w:rFonts w:eastAsia="MS Mincho"/>
              </w:rPr>
              <w:t>,</w:t>
            </w:r>
            <w:r w:rsidR="00287C15" w:rsidRPr="00287C15">
              <w:rPr>
                <w:rFonts w:eastAsia="MS Mincho"/>
              </w:rPr>
              <w:t xml:space="preserve"> severe </w:t>
            </w:r>
            <w:r w:rsidR="009B4697">
              <w:rPr>
                <w:rFonts w:eastAsia="MS Mincho"/>
              </w:rPr>
              <w:t>COPD</w:t>
            </w:r>
            <w:r w:rsidR="006E2FF1">
              <w:rPr>
                <w:rFonts w:eastAsia="MS Mincho"/>
              </w:rPr>
              <w:t>,</w:t>
            </w:r>
            <w:r w:rsidR="00287C15">
              <w:rPr>
                <w:rFonts w:eastAsia="MS Mincho"/>
              </w:rPr>
              <w:t xml:space="preserve"> </w:t>
            </w:r>
            <w:r w:rsidR="00287C15" w:rsidRPr="00287C15">
              <w:rPr>
                <w:rFonts w:eastAsia="MS Mincho"/>
              </w:rPr>
              <w:t xml:space="preserve">uncontrolled hypertension or systolic blood pressure </w:t>
            </w:r>
            <w:r w:rsidR="00287C15">
              <w:rPr>
                <w:rFonts w:eastAsia="MS Mincho"/>
              </w:rPr>
              <w:t>&gt;</w:t>
            </w:r>
            <w:r w:rsidR="00287C15" w:rsidRPr="00287C15">
              <w:rPr>
                <w:rFonts w:eastAsia="MS Mincho"/>
              </w:rPr>
              <w:t xml:space="preserve">150 mmHg or diastolic </w:t>
            </w:r>
            <w:r w:rsidR="006E2FF1">
              <w:rPr>
                <w:rFonts w:eastAsia="MS Mincho"/>
              </w:rPr>
              <w:t>blood pressure</w:t>
            </w:r>
            <w:r w:rsidR="00287C15" w:rsidRPr="00287C15">
              <w:rPr>
                <w:rFonts w:eastAsia="MS Mincho"/>
              </w:rPr>
              <w:t xml:space="preserve"> </w:t>
            </w:r>
            <w:r w:rsidR="00287C15">
              <w:rPr>
                <w:rFonts w:eastAsia="MS Mincho"/>
              </w:rPr>
              <w:t>&gt;</w:t>
            </w:r>
            <w:r w:rsidR="00287C15" w:rsidRPr="00287C15">
              <w:rPr>
                <w:rFonts w:eastAsia="MS Mincho"/>
              </w:rPr>
              <w:t>95 mmHg</w:t>
            </w:r>
            <w:r w:rsidR="00F738EC">
              <w:rPr>
                <w:rFonts w:eastAsia="MS Mincho"/>
              </w:rPr>
              <w:t>,</w:t>
            </w:r>
            <w:r w:rsidR="00287C15" w:rsidRPr="00287C15">
              <w:rPr>
                <w:rFonts w:eastAsia="MS Mincho"/>
              </w:rPr>
              <w:t xml:space="preserve"> a clinically significant</w:t>
            </w:r>
            <w:r w:rsidR="00287C15">
              <w:rPr>
                <w:rFonts w:eastAsia="MS Mincho"/>
              </w:rPr>
              <w:t xml:space="preserve"> </w:t>
            </w:r>
            <w:r w:rsidR="00287C15" w:rsidRPr="00287C15">
              <w:rPr>
                <w:rFonts w:eastAsia="MS Mincho"/>
              </w:rPr>
              <w:t>endocrine disorder or gastrointestinal disease</w:t>
            </w:r>
            <w:r w:rsidR="00A23D56">
              <w:rPr>
                <w:rFonts w:eastAsia="MS Mincho"/>
              </w:rPr>
              <w:t>,</w:t>
            </w:r>
            <w:r w:rsidR="00287C15" w:rsidRPr="00287C15">
              <w:rPr>
                <w:rFonts w:eastAsia="MS Mincho"/>
              </w:rPr>
              <w:t xml:space="preserve"> clinically</w:t>
            </w:r>
            <w:r w:rsidR="00287C15">
              <w:rPr>
                <w:rFonts w:eastAsia="MS Mincho"/>
              </w:rPr>
              <w:t xml:space="preserve"> </w:t>
            </w:r>
            <w:r w:rsidR="00287C15" w:rsidRPr="00287C15">
              <w:rPr>
                <w:rFonts w:eastAsia="MS Mincho"/>
              </w:rPr>
              <w:t>significant hepatic or renal impairment or other</w:t>
            </w:r>
            <w:r w:rsidR="00287C15">
              <w:rPr>
                <w:rFonts w:eastAsia="MS Mincho"/>
              </w:rPr>
              <w:t xml:space="preserve"> </w:t>
            </w:r>
            <w:r w:rsidR="00287C15" w:rsidRPr="00287C15">
              <w:rPr>
                <w:rFonts w:eastAsia="MS Mincho"/>
              </w:rPr>
              <w:t>clinically significant laboratory abnormality</w:t>
            </w:r>
            <w:r w:rsidR="00A23D56">
              <w:rPr>
                <w:rFonts w:eastAsia="MS Mincho"/>
              </w:rPr>
              <w:t>,</w:t>
            </w:r>
            <w:r w:rsidR="00287C15" w:rsidRPr="00287C15">
              <w:rPr>
                <w:rFonts w:eastAsia="MS Mincho"/>
              </w:rPr>
              <w:t xml:space="preserve"> a history</w:t>
            </w:r>
            <w:r w:rsidR="00287C15">
              <w:rPr>
                <w:rFonts w:eastAsia="MS Mincho"/>
              </w:rPr>
              <w:t xml:space="preserve"> </w:t>
            </w:r>
            <w:r w:rsidR="00287C15" w:rsidRPr="00287C15">
              <w:rPr>
                <w:rFonts w:eastAsia="MS Mincho"/>
              </w:rPr>
              <w:t>of a cancer (excluding basal cell or squamous cell carcinoma)</w:t>
            </w:r>
            <w:r w:rsidR="00A23D56">
              <w:rPr>
                <w:rFonts w:eastAsia="MS Mincho"/>
              </w:rPr>
              <w:t>,</w:t>
            </w:r>
            <w:r w:rsidR="00287C15">
              <w:rPr>
                <w:rFonts w:eastAsia="MS Mincho"/>
              </w:rPr>
              <w:t xml:space="preserve"> </w:t>
            </w:r>
            <w:r w:rsidR="00287C15" w:rsidRPr="00287C15">
              <w:rPr>
                <w:rFonts w:eastAsia="MS Mincho"/>
              </w:rPr>
              <w:t>a history of a clinically significant allergic</w:t>
            </w:r>
            <w:r w:rsidR="00287C15">
              <w:rPr>
                <w:rFonts w:eastAsia="MS Mincho"/>
              </w:rPr>
              <w:t xml:space="preserve"> </w:t>
            </w:r>
            <w:r w:rsidR="00287C15" w:rsidRPr="00287C15">
              <w:rPr>
                <w:rFonts w:eastAsia="MS Mincho"/>
              </w:rPr>
              <w:t>reaction to a medication</w:t>
            </w:r>
            <w:r w:rsidR="00A23D56">
              <w:rPr>
                <w:rFonts w:eastAsia="MS Mincho"/>
              </w:rPr>
              <w:t>,</w:t>
            </w:r>
            <w:r w:rsidR="00287C15" w:rsidRPr="00287C15">
              <w:rPr>
                <w:rFonts w:eastAsia="MS Mincho"/>
              </w:rPr>
              <w:t xml:space="preserve"> a history of drug (with the</w:t>
            </w:r>
            <w:r w:rsidR="00287C15">
              <w:rPr>
                <w:rFonts w:eastAsia="MS Mincho"/>
              </w:rPr>
              <w:t xml:space="preserve"> </w:t>
            </w:r>
            <w:r w:rsidR="00287C15" w:rsidRPr="00287C15">
              <w:rPr>
                <w:rFonts w:eastAsia="MS Mincho"/>
              </w:rPr>
              <w:t>exception of nicotine) or alcohol abuse or dependence</w:t>
            </w:r>
            <w:r w:rsidR="00287C15">
              <w:rPr>
                <w:rFonts w:eastAsia="MS Mincho"/>
              </w:rPr>
              <w:t xml:space="preserve"> </w:t>
            </w:r>
            <w:r w:rsidR="00287C15" w:rsidRPr="00287C15">
              <w:rPr>
                <w:rFonts w:eastAsia="MS Mincho"/>
              </w:rPr>
              <w:t>within the previous 12 months</w:t>
            </w:r>
            <w:r w:rsidR="00A23D56">
              <w:rPr>
                <w:rFonts w:eastAsia="MS Mincho"/>
              </w:rPr>
              <w:t>,</w:t>
            </w:r>
            <w:r w:rsidR="00287C15" w:rsidRPr="00287C15">
              <w:rPr>
                <w:rFonts w:eastAsia="MS Mincho"/>
              </w:rPr>
              <w:t xml:space="preserve"> use of NRT, bupropion,</w:t>
            </w:r>
            <w:r w:rsidR="00287C15">
              <w:rPr>
                <w:rFonts w:eastAsia="MS Mincho"/>
              </w:rPr>
              <w:t xml:space="preserve"> </w:t>
            </w:r>
            <w:r w:rsidR="00287C15" w:rsidRPr="00287C15">
              <w:rPr>
                <w:rFonts w:eastAsia="MS Mincho"/>
              </w:rPr>
              <w:t>clonidine, or nortriptyline within the previous 6</w:t>
            </w:r>
            <w:r w:rsidR="00287C15">
              <w:rPr>
                <w:rFonts w:eastAsia="MS Mincho"/>
              </w:rPr>
              <w:t xml:space="preserve"> </w:t>
            </w:r>
            <w:r w:rsidR="00287C15" w:rsidRPr="00287C15">
              <w:rPr>
                <w:rFonts w:eastAsia="MS Mincho"/>
              </w:rPr>
              <w:t>months</w:t>
            </w:r>
            <w:r w:rsidR="00A23D56">
              <w:rPr>
                <w:rFonts w:eastAsia="MS Mincho"/>
              </w:rPr>
              <w:t>,</w:t>
            </w:r>
            <w:r w:rsidR="00287C15" w:rsidRPr="00287C15">
              <w:rPr>
                <w:rFonts w:eastAsia="MS Mincho"/>
              </w:rPr>
              <w:t xml:space="preserve"> and/or participation in another study of an</w:t>
            </w:r>
            <w:r w:rsidR="00287C15">
              <w:rPr>
                <w:rFonts w:eastAsia="MS Mincho"/>
              </w:rPr>
              <w:t xml:space="preserve"> </w:t>
            </w:r>
            <w:r w:rsidR="00287C15" w:rsidRPr="00287C15">
              <w:rPr>
                <w:rFonts w:eastAsia="MS Mincho"/>
              </w:rPr>
              <w:t>experimental drug for smoking cessation within the</w:t>
            </w:r>
            <w:r w:rsidR="00287C15">
              <w:rPr>
                <w:rFonts w:eastAsia="MS Mincho"/>
              </w:rPr>
              <w:t xml:space="preserve"> </w:t>
            </w:r>
            <w:r w:rsidR="00287C15" w:rsidRPr="00287C15">
              <w:rPr>
                <w:rFonts w:eastAsia="MS Mincho"/>
              </w:rPr>
              <w:t>previous 12 months, or treatment with any medications</w:t>
            </w:r>
            <w:r w:rsidR="00287C15">
              <w:rPr>
                <w:rFonts w:eastAsia="MS Mincho"/>
              </w:rPr>
              <w:t xml:space="preserve"> </w:t>
            </w:r>
            <w:r w:rsidR="00287C15" w:rsidRPr="00287C15">
              <w:rPr>
                <w:rFonts w:eastAsia="MS Mincho"/>
              </w:rPr>
              <w:t>that might interfere with the outcome of the trial.</w:t>
            </w:r>
          </w:p>
        </w:tc>
        <w:tc>
          <w:tcPr>
            <w:tcW w:w="920" w:type="pct"/>
            <w:shd w:val="clear" w:color="auto" w:fill="D9D9D9" w:themeFill="background1" w:themeFillShade="D9"/>
          </w:tcPr>
          <w:p w:rsidR="007E01D0" w:rsidRDefault="007E01D0" w:rsidP="002916A7">
            <w:pPr>
              <w:pStyle w:val="Tablewriting"/>
              <w:rPr>
                <w:rFonts w:eastAsia="MS Mincho"/>
              </w:rPr>
            </w:pPr>
            <w:r>
              <w:rPr>
                <w:rFonts w:eastAsia="MS Mincho"/>
              </w:rPr>
              <w:lastRenderedPageBreak/>
              <w:t>Varenicline</w:t>
            </w:r>
            <w:r w:rsidRPr="00A34E7B">
              <w:rPr>
                <w:rFonts w:eastAsia="MS Mincho"/>
              </w:rPr>
              <w:t xml:space="preserve">: </w:t>
            </w:r>
            <w:r w:rsidRPr="00372F18">
              <w:rPr>
                <w:rFonts w:eastAsia="MS Mincho"/>
              </w:rPr>
              <w:t>1</w:t>
            </w:r>
            <w:r w:rsidR="00083C3E">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(i</w:t>
            </w:r>
            <w:r>
              <w:rPr>
                <w:rFonts w:eastAsia="MS Mincho"/>
              </w:rPr>
              <w:t>.</w:t>
            </w:r>
            <w:r w:rsidRPr="00372F18">
              <w:rPr>
                <w:rFonts w:eastAsia="MS Mincho"/>
              </w:rPr>
              <w:t>e</w:t>
            </w:r>
            <w:r>
              <w:rPr>
                <w:rFonts w:eastAsia="MS Mincho"/>
              </w:rPr>
              <w:t>.</w:t>
            </w:r>
            <w:r w:rsidRPr="00372F18">
              <w:rPr>
                <w:rFonts w:eastAsia="MS Mincho"/>
              </w:rPr>
              <w:t xml:space="preserve"> 0.5</w:t>
            </w:r>
            <w:r w:rsidR="00083C3E">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sidR="00083C3E">
              <w:rPr>
                <w:rFonts w:eastAsia="MS Mincho"/>
              </w:rPr>
              <w:t xml:space="preserve"> </w:t>
            </w:r>
            <w:r w:rsidRPr="00372F18">
              <w:rPr>
                <w:rFonts w:eastAsia="MS Mincho"/>
              </w:rPr>
              <w:t>mg twice daily for 4 days, then 1</w:t>
            </w:r>
            <w:r w:rsidR="00083C3E">
              <w:rPr>
                <w:rFonts w:eastAsia="MS Mincho"/>
              </w:rPr>
              <w:t xml:space="preserve"> </w:t>
            </w:r>
            <w:r w:rsidRPr="00372F18">
              <w:rPr>
                <w:rFonts w:eastAsia="MS Mincho"/>
              </w:rPr>
              <w:t>mg twice daily)</w:t>
            </w:r>
            <w:r w:rsidR="004657DA">
              <w:rPr>
                <w:rFonts w:eastAsia="MS Mincho"/>
              </w:rPr>
              <w:t>;</w:t>
            </w:r>
          </w:p>
          <w:p w:rsidR="00561966" w:rsidRDefault="007E01D0" w:rsidP="002916A7">
            <w:pPr>
              <w:pStyle w:val="Tablewriting"/>
              <w:rPr>
                <w:rFonts w:eastAsia="MS Mincho"/>
              </w:rPr>
            </w:pPr>
            <w:r>
              <w:rPr>
                <w:rFonts w:eastAsia="MS Mincho"/>
              </w:rPr>
              <w:t>Placebo: placebo tablet for 12 weeks, same regimen</w:t>
            </w:r>
          </w:p>
          <w:p w:rsidR="0033513C" w:rsidRDefault="0033513C" w:rsidP="002916A7">
            <w:pPr>
              <w:pStyle w:val="Tablewriting"/>
              <w:rPr>
                <w:rFonts w:eastAsia="MS Mincho"/>
              </w:rPr>
            </w:pPr>
          </w:p>
          <w:p w:rsidR="0033513C" w:rsidRPr="00A34E7B" w:rsidRDefault="0033513C" w:rsidP="002916A7">
            <w:pPr>
              <w:pStyle w:val="Tablewriting"/>
              <w:rPr>
                <w:rFonts w:eastAsia="MS Mincho"/>
              </w:rPr>
            </w:pPr>
            <w:r w:rsidRPr="0033513C">
              <w:rPr>
                <w:rFonts w:eastAsia="MS Mincho"/>
              </w:rPr>
              <w:lastRenderedPageBreak/>
              <w:t>Behavioural support provided in both arms.</w:t>
            </w:r>
          </w:p>
        </w:tc>
        <w:tc>
          <w:tcPr>
            <w:tcW w:w="1140" w:type="pct"/>
            <w:shd w:val="clear" w:color="auto" w:fill="D9D9D9" w:themeFill="background1" w:themeFillShade="D9"/>
            <w:tcMar>
              <w:left w:w="28" w:type="dxa"/>
              <w:right w:w="28" w:type="dxa"/>
            </w:tcMar>
          </w:tcPr>
          <w:p w:rsidR="007E01D0" w:rsidRDefault="007E01D0" w:rsidP="002916A7">
            <w:pPr>
              <w:pStyle w:val="Tablewriting"/>
              <w:rPr>
                <w:rFonts w:eastAsia="MS Mincho"/>
              </w:rPr>
            </w:pPr>
            <w:r w:rsidRPr="008C39E4">
              <w:rPr>
                <w:rFonts w:eastAsia="MS Mincho"/>
                <w:u w:val="single"/>
              </w:rPr>
              <w:lastRenderedPageBreak/>
              <w:t>Primary</w:t>
            </w:r>
            <w:r>
              <w:rPr>
                <w:rFonts w:eastAsia="MS Mincho"/>
              </w:rPr>
              <w:t xml:space="preserve">: </w:t>
            </w:r>
            <w:r w:rsidR="00A23D56">
              <w:rPr>
                <w:rFonts w:eastAsia="MS Mincho"/>
              </w:rPr>
              <w:t>CAR</w:t>
            </w:r>
            <w:r>
              <w:rPr>
                <w:rFonts w:eastAsia="MS Mincho"/>
              </w:rPr>
              <w:t xml:space="preserve"> at Week 9-12. Validated by CO</w:t>
            </w:r>
            <w:r w:rsidR="00083C3E">
              <w:rPr>
                <w:rFonts w:eastAsia="MS Mincho"/>
              </w:rPr>
              <w:t xml:space="preserve"> </w:t>
            </w:r>
            <w:r>
              <w:rPr>
                <w:rFonts w:eastAsia="MS Mincho" w:cstheme="minorHAnsi"/>
              </w:rPr>
              <w:t>≤</w:t>
            </w:r>
            <w:r>
              <w:rPr>
                <w:rFonts w:eastAsia="MS Mincho"/>
              </w:rPr>
              <w:t>10</w:t>
            </w:r>
            <w:r w:rsidR="00083C3E">
              <w:rPr>
                <w:rFonts w:eastAsia="MS Mincho"/>
              </w:rPr>
              <w:t xml:space="preserve"> </w:t>
            </w:r>
            <w:r>
              <w:rPr>
                <w:rFonts w:eastAsia="MS Mincho"/>
              </w:rPr>
              <w:t>ppm.</w:t>
            </w:r>
          </w:p>
          <w:p w:rsidR="007E01D0" w:rsidRDefault="007E01D0" w:rsidP="002916A7">
            <w:pPr>
              <w:pStyle w:val="Tablewriting"/>
              <w:rPr>
                <w:rFonts w:eastAsia="MS Mincho"/>
              </w:rPr>
            </w:pPr>
            <w:r w:rsidRPr="008C39E4">
              <w:rPr>
                <w:rFonts w:eastAsia="MS Mincho"/>
                <w:u w:val="single"/>
              </w:rPr>
              <w:t>Secondary</w:t>
            </w:r>
            <w:r>
              <w:rPr>
                <w:rFonts w:eastAsia="MS Mincho"/>
              </w:rPr>
              <w:t xml:space="preserve">: </w:t>
            </w:r>
            <w:r w:rsidR="00A23D56">
              <w:rPr>
                <w:rFonts w:eastAsia="MS Mincho"/>
              </w:rPr>
              <w:t>CAR</w:t>
            </w:r>
            <w:r>
              <w:rPr>
                <w:rFonts w:eastAsia="MS Mincho"/>
              </w:rPr>
              <w:t xml:space="preserve"> at Week 9-24. </w:t>
            </w:r>
            <w:r w:rsidRPr="00624207">
              <w:rPr>
                <w:rFonts w:eastAsia="MS Mincho"/>
              </w:rPr>
              <w:t xml:space="preserve">7-day PPA </w:t>
            </w:r>
            <w:r>
              <w:rPr>
                <w:rFonts w:eastAsia="MS Mincho"/>
              </w:rPr>
              <w:t xml:space="preserve">at Week </w:t>
            </w:r>
            <w:r w:rsidR="00B4406E">
              <w:rPr>
                <w:rFonts w:eastAsia="MS Mincho"/>
              </w:rPr>
              <w:t xml:space="preserve">12 and </w:t>
            </w:r>
            <w:r>
              <w:rPr>
                <w:rFonts w:eastAsia="MS Mincho"/>
              </w:rPr>
              <w:t>24.</w:t>
            </w:r>
            <w:r w:rsidR="006B2320">
              <w:rPr>
                <w:rFonts w:eastAsia="MS Mincho"/>
              </w:rPr>
              <w:t xml:space="preserve"> Validated by CO </w:t>
            </w:r>
            <w:r w:rsidR="006B2320">
              <w:rPr>
                <w:rFonts w:eastAsia="MS Mincho" w:cstheme="minorHAnsi"/>
              </w:rPr>
              <w:t>≤</w:t>
            </w:r>
            <w:r w:rsidR="006B2320">
              <w:rPr>
                <w:rFonts w:eastAsia="MS Mincho"/>
              </w:rPr>
              <w:t>10</w:t>
            </w:r>
            <w:r w:rsidR="00083C3E">
              <w:rPr>
                <w:rFonts w:eastAsia="MS Mincho"/>
              </w:rPr>
              <w:t xml:space="preserve"> </w:t>
            </w:r>
            <w:r w:rsidR="006B2320">
              <w:rPr>
                <w:rFonts w:eastAsia="MS Mincho"/>
              </w:rPr>
              <w:t>ppm.</w:t>
            </w:r>
          </w:p>
          <w:p w:rsidR="00561966" w:rsidRPr="00061F78" w:rsidRDefault="007E01D0" w:rsidP="002916A7">
            <w:pPr>
              <w:pStyle w:val="Tablewriting"/>
              <w:rPr>
                <w:rFonts w:eastAsia="MS Mincho"/>
              </w:rPr>
            </w:pPr>
            <w:r w:rsidRPr="0055171C">
              <w:rPr>
                <w:rFonts w:eastAsia="MS Mincho"/>
                <w:u w:val="single"/>
              </w:rPr>
              <w:t>Other</w:t>
            </w:r>
            <w:r>
              <w:rPr>
                <w:rFonts w:eastAsia="MS Mincho"/>
              </w:rPr>
              <w:t xml:space="preserve">: </w:t>
            </w:r>
            <w:r w:rsidR="00330CBE">
              <w:rPr>
                <w:rFonts w:eastAsia="MS Mincho"/>
              </w:rPr>
              <w:t>a</w:t>
            </w:r>
            <w:r w:rsidR="00330CBE" w:rsidRPr="00330CBE">
              <w:rPr>
                <w:rFonts w:eastAsia="MS Mincho"/>
              </w:rPr>
              <w:t xml:space="preserve">dverse events, clinically significant changes in vital signs, </w:t>
            </w:r>
            <w:r w:rsidR="008E0A8D">
              <w:rPr>
                <w:rFonts w:eastAsia="MS Mincho"/>
              </w:rPr>
              <w:t>serious adverse event</w:t>
            </w:r>
            <w:r w:rsidR="00330CBE" w:rsidRPr="00330CBE">
              <w:rPr>
                <w:rFonts w:eastAsia="MS Mincho"/>
              </w:rPr>
              <w:t>s</w:t>
            </w:r>
            <w:r w:rsidR="000F1E7A">
              <w:rPr>
                <w:rFonts w:eastAsia="MS Mincho"/>
              </w:rPr>
              <w:t>.</w:t>
            </w:r>
          </w:p>
        </w:tc>
      </w:tr>
      <w:tr w:rsidR="00260CD7" w:rsidRPr="00061F78" w:rsidTr="00B537F7">
        <w:trPr>
          <w:trHeight w:val="99"/>
        </w:trPr>
        <w:tc>
          <w:tcPr>
            <w:tcW w:w="332" w:type="pct"/>
            <w:shd w:val="clear" w:color="auto" w:fill="D9D9D9" w:themeFill="background1" w:themeFillShade="D9"/>
            <w:tcMar>
              <w:left w:w="28" w:type="dxa"/>
              <w:right w:w="28" w:type="dxa"/>
            </w:tcMar>
          </w:tcPr>
          <w:p w:rsidR="00C640CF" w:rsidRDefault="00C640CF" w:rsidP="002916A7">
            <w:pPr>
              <w:pStyle w:val="Tablewriting"/>
              <w:rPr>
                <w:rFonts w:eastAsia="MS Mincho"/>
              </w:rPr>
            </w:pPr>
            <w:r>
              <w:rPr>
                <w:rFonts w:eastAsia="MS Mincho"/>
              </w:rPr>
              <w:t>Rigotti</w:t>
            </w:r>
          </w:p>
          <w:p w:rsidR="00561966" w:rsidRPr="00061F78" w:rsidRDefault="00C640CF" w:rsidP="002916A7">
            <w:pPr>
              <w:pStyle w:val="Tablewriting"/>
              <w:rPr>
                <w:rFonts w:eastAsia="MS Mincho"/>
              </w:rPr>
            </w:pPr>
            <w:r>
              <w:rPr>
                <w:rFonts w:eastAsia="MS Mincho"/>
              </w:rPr>
              <w:t>(2010)</w:t>
            </w:r>
          </w:p>
        </w:tc>
        <w:tc>
          <w:tcPr>
            <w:tcW w:w="395" w:type="pct"/>
            <w:shd w:val="clear" w:color="auto" w:fill="D9D9D9" w:themeFill="background1" w:themeFillShade="D9"/>
          </w:tcPr>
          <w:p w:rsidR="00561966" w:rsidRDefault="00C640CF"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rsidR="00C640CF" w:rsidRDefault="00C640CF" w:rsidP="002916A7">
            <w:pPr>
              <w:pStyle w:val="Tablewriting"/>
              <w:rPr>
                <w:rFonts w:eastAsia="MS Mincho"/>
              </w:rPr>
            </w:pPr>
            <w:r>
              <w:rPr>
                <w:rFonts w:eastAsia="MS Mincho"/>
              </w:rPr>
              <w:t>N=</w:t>
            </w:r>
            <w:r w:rsidR="005F0E8B">
              <w:rPr>
                <w:rFonts w:eastAsia="MS Mincho"/>
              </w:rPr>
              <w:t>714</w:t>
            </w:r>
          </w:p>
          <w:p w:rsidR="00561966" w:rsidRPr="00061F78" w:rsidRDefault="00C640CF" w:rsidP="002916A7">
            <w:pPr>
              <w:pStyle w:val="Tablewriting"/>
              <w:rPr>
                <w:rFonts w:eastAsia="MS Mincho"/>
              </w:rPr>
            </w:pPr>
            <w:r>
              <w:rPr>
                <w:rFonts w:eastAsia="MS Mincho"/>
              </w:rPr>
              <w:t>Varenicline (n=3</w:t>
            </w:r>
            <w:r w:rsidR="007920E7">
              <w:rPr>
                <w:rFonts w:eastAsia="MS Mincho"/>
              </w:rPr>
              <w:t>55</w:t>
            </w:r>
            <w:r>
              <w:rPr>
                <w:rFonts w:eastAsia="MS Mincho"/>
              </w:rPr>
              <w:t>), Placebo (n=</w:t>
            </w:r>
            <w:r w:rsidR="007920E7">
              <w:rPr>
                <w:rFonts w:eastAsia="MS Mincho"/>
              </w:rPr>
              <w:t>35</w:t>
            </w:r>
            <w:r>
              <w:rPr>
                <w:rFonts w:eastAsia="MS Mincho"/>
              </w:rPr>
              <w:t>9)</w:t>
            </w:r>
          </w:p>
        </w:tc>
        <w:tc>
          <w:tcPr>
            <w:tcW w:w="1866" w:type="pct"/>
            <w:shd w:val="clear" w:color="auto" w:fill="D9D9D9" w:themeFill="background1" w:themeFillShade="D9"/>
            <w:tcMar>
              <w:left w:w="28" w:type="dxa"/>
              <w:right w:w="28" w:type="dxa"/>
            </w:tcMar>
          </w:tcPr>
          <w:p w:rsidR="00C640CF" w:rsidRDefault="00C640CF" w:rsidP="002916A7">
            <w:pPr>
              <w:pStyle w:val="Tablewriting"/>
              <w:rPr>
                <w:rFonts w:eastAsia="MS Mincho"/>
              </w:rPr>
            </w:pPr>
            <w:r w:rsidRPr="007F28D7">
              <w:rPr>
                <w:rFonts w:eastAsia="MS Mincho"/>
                <w:u w:val="single"/>
              </w:rPr>
              <w:t>Inclusion</w:t>
            </w:r>
            <w:r>
              <w:rPr>
                <w:rFonts w:eastAsia="MS Mincho"/>
              </w:rPr>
              <w:t xml:space="preserve">: </w:t>
            </w:r>
            <w:r w:rsidR="00743D13" w:rsidRPr="00743D13">
              <w:rPr>
                <w:rFonts w:eastAsia="MS Mincho"/>
              </w:rPr>
              <w:t>35</w:t>
            </w:r>
            <w:r w:rsidR="00743D13">
              <w:rPr>
                <w:rFonts w:eastAsia="MS Mincho"/>
              </w:rPr>
              <w:t>-</w:t>
            </w:r>
            <w:r w:rsidR="00743D13" w:rsidRPr="00743D13">
              <w:rPr>
                <w:rFonts w:eastAsia="MS Mincho"/>
              </w:rPr>
              <w:t xml:space="preserve">75 years </w:t>
            </w:r>
            <w:r w:rsidR="00A23D56">
              <w:rPr>
                <w:rFonts w:eastAsia="MS Mincho"/>
              </w:rPr>
              <w:t xml:space="preserve">old, </w:t>
            </w:r>
            <w:r w:rsidR="00743D13">
              <w:rPr>
                <w:rFonts w:eastAsia="MS Mincho" w:cstheme="minorHAnsi"/>
              </w:rPr>
              <w:t>≥</w:t>
            </w:r>
            <w:r w:rsidR="00743D13" w:rsidRPr="00743D13">
              <w:rPr>
                <w:rFonts w:eastAsia="MS Mincho"/>
              </w:rPr>
              <w:t>10 cigarettes daily in the year before enrolment,</w:t>
            </w:r>
            <w:r w:rsidR="00743D13">
              <w:rPr>
                <w:rFonts w:eastAsia="MS Mincho"/>
              </w:rPr>
              <w:t xml:space="preserve"> </w:t>
            </w:r>
            <w:r w:rsidR="00743D13" w:rsidRPr="00743D13">
              <w:rPr>
                <w:rFonts w:eastAsia="MS Mincho"/>
              </w:rPr>
              <w:t>wanted to stop smoking but had not tried to quit in the past 3 months,</w:t>
            </w:r>
            <w:r w:rsidR="00743D13">
              <w:rPr>
                <w:rFonts w:eastAsia="MS Mincho"/>
              </w:rPr>
              <w:t xml:space="preserve"> </w:t>
            </w:r>
            <w:r w:rsidR="00743D13" w:rsidRPr="00743D13">
              <w:rPr>
                <w:rFonts w:eastAsia="MS Mincho"/>
              </w:rPr>
              <w:t>and had stable, documented CVD (other than hypertension) that had</w:t>
            </w:r>
            <w:r w:rsidR="00743D13">
              <w:rPr>
                <w:rFonts w:eastAsia="MS Mincho"/>
              </w:rPr>
              <w:t xml:space="preserve"> </w:t>
            </w:r>
            <w:r w:rsidR="00743D13" w:rsidRPr="00743D13">
              <w:rPr>
                <w:rFonts w:eastAsia="MS Mincho"/>
              </w:rPr>
              <w:t xml:space="preserve">been diagnosed for </w:t>
            </w:r>
            <w:r w:rsidR="00743D13">
              <w:rPr>
                <w:rFonts w:eastAsia="MS Mincho"/>
              </w:rPr>
              <w:t>&gt;</w:t>
            </w:r>
            <w:r w:rsidR="00743D13" w:rsidRPr="00743D13">
              <w:rPr>
                <w:rFonts w:eastAsia="MS Mincho"/>
              </w:rPr>
              <w:t>2 months.</w:t>
            </w:r>
          </w:p>
          <w:p w:rsidR="00561966" w:rsidRPr="00061F78" w:rsidRDefault="00C640CF" w:rsidP="002916A7">
            <w:pPr>
              <w:pStyle w:val="Tablewriting"/>
              <w:rPr>
                <w:rFonts w:eastAsia="MS Mincho"/>
              </w:rPr>
            </w:pPr>
            <w:r w:rsidRPr="007F28D7">
              <w:rPr>
                <w:rFonts w:eastAsia="MS Mincho"/>
                <w:u w:val="single"/>
              </w:rPr>
              <w:t>Exclusion</w:t>
            </w:r>
            <w:r>
              <w:rPr>
                <w:rFonts w:eastAsia="MS Mincho"/>
              </w:rPr>
              <w:t xml:space="preserve">: </w:t>
            </w:r>
            <w:r w:rsidR="00DD72D7" w:rsidRPr="00DD72D7">
              <w:rPr>
                <w:rFonts w:eastAsia="MS Mincho"/>
              </w:rPr>
              <w:t>undergone a cardiovascular procedure</w:t>
            </w:r>
            <w:r w:rsidR="009B4697">
              <w:rPr>
                <w:rFonts w:eastAsia="MS Mincho"/>
              </w:rPr>
              <w:t xml:space="preserve"> </w:t>
            </w:r>
            <w:r w:rsidR="00DD72D7" w:rsidRPr="00DD72D7">
              <w:rPr>
                <w:rFonts w:eastAsia="MS Mincho"/>
              </w:rPr>
              <w:t>or had cardiovascular</w:t>
            </w:r>
            <w:r w:rsidR="00DD72D7">
              <w:rPr>
                <w:rFonts w:eastAsia="MS Mincho"/>
              </w:rPr>
              <w:t xml:space="preserve"> </w:t>
            </w:r>
            <w:r w:rsidR="00DD72D7" w:rsidRPr="00DD72D7">
              <w:rPr>
                <w:rFonts w:eastAsia="MS Mincho"/>
              </w:rPr>
              <w:t xml:space="preserve">instability </w:t>
            </w:r>
            <w:r w:rsidR="00DD72D7">
              <w:rPr>
                <w:rFonts w:eastAsia="MS Mincho"/>
              </w:rPr>
              <w:t>in the past 2 months</w:t>
            </w:r>
            <w:r w:rsidR="009B4697">
              <w:rPr>
                <w:rFonts w:eastAsia="MS Mincho"/>
              </w:rPr>
              <w:t>,</w:t>
            </w:r>
            <w:r w:rsidR="00DD72D7" w:rsidRPr="00DD72D7">
              <w:rPr>
                <w:rFonts w:eastAsia="MS Mincho"/>
              </w:rPr>
              <w:t xml:space="preserve"> moderate or severe </w:t>
            </w:r>
            <w:r w:rsidR="009B4697">
              <w:rPr>
                <w:rFonts w:eastAsia="MS Mincho"/>
              </w:rPr>
              <w:t>COPD,</w:t>
            </w:r>
            <w:r w:rsidR="00DD72D7" w:rsidRPr="00DD72D7">
              <w:rPr>
                <w:rFonts w:eastAsia="MS Mincho"/>
              </w:rPr>
              <w:t xml:space="preserve"> uncontrolled gastrointestinal, hepatic, or endocrine diseas</w:t>
            </w:r>
            <w:r w:rsidR="009B4697">
              <w:rPr>
                <w:rFonts w:eastAsia="MS Mincho"/>
              </w:rPr>
              <w:t>e,</w:t>
            </w:r>
            <w:r w:rsidR="00DD72D7" w:rsidRPr="00DD72D7">
              <w:rPr>
                <w:rFonts w:eastAsia="MS Mincho"/>
              </w:rPr>
              <w:t xml:space="preserve"> severe renal impairment</w:t>
            </w:r>
            <w:r w:rsidR="0033571E">
              <w:rPr>
                <w:rFonts w:eastAsia="MS Mincho"/>
              </w:rPr>
              <w:t>,</w:t>
            </w:r>
            <w:r w:rsidR="00DD72D7" w:rsidRPr="00DD72D7">
              <w:rPr>
                <w:rFonts w:eastAsia="MS Mincho"/>
              </w:rPr>
              <w:t xml:space="preserve"> cancer</w:t>
            </w:r>
            <w:r w:rsidR="0033571E">
              <w:rPr>
                <w:rFonts w:eastAsia="MS Mincho"/>
              </w:rPr>
              <w:t>,</w:t>
            </w:r>
            <w:r w:rsidR="00DD72D7" w:rsidRPr="00DD72D7">
              <w:rPr>
                <w:rFonts w:eastAsia="MS Mincho"/>
              </w:rPr>
              <w:t xml:space="preserve"> diagnosis</w:t>
            </w:r>
            <w:r w:rsidR="00997DE6">
              <w:rPr>
                <w:rFonts w:eastAsia="MS Mincho"/>
              </w:rPr>
              <w:t xml:space="preserve"> </w:t>
            </w:r>
            <w:r w:rsidR="00DD72D7" w:rsidRPr="00DD72D7">
              <w:rPr>
                <w:rFonts w:eastAsia="MS Mincho"/>
              </w:rPr>
              <w:t>of depression</w:t>
            </w:r>
            <w:r w:rsidR="0033571E">
              <w:rPr>
                <w:rFonts w:eastAsia="MS Mincho"/>
              </w:rPr>
              <w:t>,</w:t>
            </w:r>
            <w:r w:rsidR="00DD72D7" w:rsidRPr="00DD72D7">
              <w:rPr>
                <w:rFonts w:eastAsia="MS Mincho"/>
              </w:rPr>
              <w:t xml:space="preserve"> treatment with antidepressants in the past year</w:t>
            </w:r>
            <w:r w:rsidR="0033571E">
              <w:rPr>
                <w:rFonts w:eastAsia="MS Mincho"/>
              </w:rPr>
              <w:t>,</w:t>
            </w:r>
            <w:r w:rsidR="00997DE6">
              <w:rPr>
                <w:rFonts w:eastAsia="MS Mincho"/>
              </w:rPr>
              <w:t xml:space="preserve"> </w:t>
            </w:r>
            <w:r w:rsidR="00DD72D7" w:rsidRPr="00DD72D7">
              <w:rPr>
                <w:rFonts w:eastAsia="MS Mincho"/>
              </w:rPr>
              <w:t>history of psychosis, panic disorder, or bipolar disorder</w:t>
            </w:r>
            <w:r w:rsidR="0033571E">
              <w:rPr>
                <w:rFonts w:eastAsia="MS Mincho"/>
              </w:rPr>
              <w:t>,</w:t>
            </w:r>
            <w:r w:rsidR="00DD72D7" w:rsidRPr="00DD72D7">
              <w:rPr>
                <w:rFonts w:eastAsia="MS Mincho"/>
              </w:rPr>
              <w:t xml:space="preserve"> drug or</w:t>
            </w:r>
            <w:r w:rsidR="00997DE6">
              <w:rPr>
                <w:rFonts w:eastAsia="MS Mincho"/>
              </w:rPr>
              <w:t xml:space="preserve"> </w:t>
            </w:r>
            <w:r w:rsidR="00DD72D7" w:rsidRPr="00DD72D7">
              <w:rPr>
                <w:rFonts w:eastAsia="MS Mincho"/>
              </w:rPr>
              <w:t>alcohol abuse or dependence in the past year</w:t>
            </w:r>
            <w:r w:rsidR="0033571E">
              <w:rPr>
                <w:rFonts w:eastAsia="MS Mincho"/>
              </w:rPr>
              <w:t>,</w:t>
            </w:r>
            <w:r w:rsidR="00DD72D7" w:rsidRPr="00DD72D7">
              <w:rPr>
                <w:rFonts w:eastAsia="MS Mincho"/>
              </w:rPr>
              <w:t xml:space="preserve"> or smoking cessation</w:t>
            </w:r>
            <w:r w:rsidR="00997DE6">
              <w:rPr>
                <w:rFonts w:eastAsia="MS Mincho"/>
              </w:rPr>
              <w:t xml:space="preserve"> </w:t>
            </w:r>
            <w:r w:rsidR="00DD72D7" w:rsidRPr="00DD72D7">
              <w:rPr>
                <w:rFonts w:eastAsia="MS Mincho"/>
              </w:rPr>
              <w:t>medication use (</w:t>
            </w:r>
            <w:r w:rsidR="0033571E">
              <w:rPr>
                <w:rFonts w:eastAsia="MS Mincho"/>
              </w:rPr>
              <w:t>NRT</w:t>
            </w:r>
            <w:r w:rsidR="00DD72D7" w:rsidRPr="00DD72D7">
              <w:rPr>
                <w:rFonts w:eastAsia="MS Mincho"/>
              </w:rPr>
              <w:t>, bupropion, clonidine,</w:t>
            </w:r>
            <w:r w:rsidR="00997DE6">
              <w:rPr>
                <w:rFonts w:eastAsia="MS Mincho"/>
              </w:rPr>
              <w:t xml:space="preserve"> </w:t>
            </w:r>
            <w:r w:rsidR="00DD72D7" w:rsidRPr="00DD72D7">
              <w:rPr>
                <w:rFonts w:eastAsia="MS Mincho"/>
              </w:rPr>
              <w:t>or nortriptyline) in the past month.</w:t>
            </w:r>
          </w:p>
        </w:tc>
        <w:tc>
          <w:tcPr>
            <w:tcW w:w="920" w:type="pct"/>
            <w:shd w:val="clear" w:color="auto" w:fill="D9D9D9" w:themeFill="background1" w:themeFillShade="D9"/>
          </w:tcPr>
          <w:p w:rsidR="00C640CF" w:rsidRDefault="00C640CF" w:rsidP="002916A7">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sidR="00083C3E">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(i</w:t>
            </w:r>
            <w:r>
              <w:rPr>
                <w:rFonts w:eastAsia="MS Mincho"/>
              </w:rPr>
              <w:t>.</w:t>
            </w:r>
            <w:r w:rsidRPr="00372F18">
              <w:rPr>
                <w:rFonts w:eastAsia="MS Mincho"/>
              </w:rPr>
              <w:t>e</w:t>
            </w:r>
            <w:r>
              <w:rPr>
                <w:rFonts w:eastAsia="MS Mincho"/>
              </w:rPr>
              <w:t>.</w:t>
            </w:r>
            <w:r w:rsidRPr="00372F18">
              <w:rPr>
                <w:rFonts w:eastAsia="MS Mincho"/>
              </w:rPr>
              <w:t xml:space="preserve"> 0.5</w:t>
            </w:r>
            <w:r w:rsidR="00083C3E">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sidR="00083C3E">
              <w:rPr>
                <w:rFonts w:eastAsia="MS Mincho"/>
              </w:rPr>
              <w:t xml:space="preserve"> </w:t>
            </w:r>
            <w:r w:rsidRPr="00372F18">
              <w:rPr>
                <w:rFonts w:eastAsia="MS Mincho"/>
              </w:rPr>
              <w:t>mg twice daily for 4 days, then 1</w:t>
            </w:r>
            <w:r w:rsidR="00083C3E">
              <w:rPr>
                <w:rFonts w:eastAsia="MS Mincho"/>
              </w:rPr>
              <w:t xml:space="preserve"> </w:t>
            </w:r>
            <w:r w:rsidRPr="00372F18">
              <w:rPr>
                <w:rFonts w:eastAsia="MS Mincho"/>
              </w:rPr>
              <w:t>mg twice daily)</w:t>
            </w:r>
            <w:r w:rsidR="004657DA">
              <w:rPr>
                <w:rFonts w:eastAsia="MS Mincho"/>
              </w:rPr>
              <w:t>;</w:t>
            </w:r>
          </w:p>
          <w:p w:rsidR="00561966" w:rsidRDefault="00C640CF" w:rsidP="002916A7">
            <w:pPr>
              <w:pStyle w:val="Tablewriting"/>
              <w:rPr>
                <w:rFonts w:eastAsia="MS Mincho"/>
              </w:rPr>
            </w:pPr>
            <w:r>
              <w:rPr>
                <w:rFonts w:eastAsia="MS Mincho"/>
              </w:rPr>
              <w:t>Placebo: placebo tablet for 12 weeks, same regimen</w:t>
            </w:r>
            <w:r w:rsidR="000F1E7A">
              <w:rPr>
                <w:rFonts w:eastAsia="MS Mincho"/>
              </w:rPr>
              <w:t>.</w:t>
            </w:r>
          </w:p>
          <w:p w:rsidR="005A24FB" w:rsidRDefault="005A24FB" w:rsidP="002916A7">
            <w:pPr>
              <w:pStyle w:val="Tablewriting"/>
              <w:rPr>
                <w:rFonts w:eastAsia="MS Mincho"/>
              </w:rPr>
            </w:pPr>
          </w:p>
          <w:p w:rsidR="005A24FB" w:rsidRPr="00A34E7B" w:rsidRDefault="005A24FB" w:rsidP="002916A7">
            <w:pPr>
              <w:pStyle w:val="Tablewriting"/>
              <w:rPr>
                <w:rFonts w:eastAsia="MS Mincho"/>
              </w:rPr>
            </w:pPr>
            <w:r w:rsidRPr="005A24FB">
              <w:rPr>
                <w:rFonts w:eastAsia="MS Mincho"/>
              </w:rPr>
              <w:t>Behavioural support provided in both arms.</w:t>
            </w:r>
          </w:p>
        </w:tc>
        <w:tc>
          <w:tcPr>
            <w:tcW w:w="1140" w:type="pct"/>
            <w:shd w:val="clear" w:color="auto" w:fill="D9D9D9" w:themeFill="background1" w:themeFillShade="D9"/>
            <w:tcMar>
              <w:left w:w="28" w:type="dxa"/>
              <w:right w:w="28" w:type="dxa"/>
            </w:tcMar>
          </w:tcPr>
          <w:p w:rsidR="00C640CF" w:rsidRDefault="00C640CF" w:rsidP="002916A7">
            <w:pPr>
              <w:pStyle w:val="Tablewriting"/>
              <w:rPr>
                <w:rFonts w:eastAsia="MS Mincho"/>
              </w:rPr>
            </w:pPr>
            <w:r w:rsidRPr="008C39E4">
              <w:rPr>
                <w:rFonts w:eastAsia="MS Mincho"/>
                <w:u w:val="single"/>
              </w:rPr>
              <w:t>Primary</w:t>
            </w:r>
            <w:r>
              <w:rPr>
                <w:rFonts w:eastAsia="MS Mincho"/>
              </w:rPr>
              <w:t xml:space="preserve">: </w:t>
            </w:r>
            <w:r w:rsidR="00C8706B">
              <w:rPr>
                <w:rFonts w:eastAsia="MS Mincho"/>
              </w:rPr>
              <w:t>CAR</w:t>
            </w:r>
            <w:r>
              <w:rPr>
                <w:rFonts w:eastAsia="MS Mincho"/>
              </w:rPr>
              <w:t xml:space="preserve"> at Week 9-12. Validated by CO</w:t>
            </w:r>
            <w:r w:rsidR="00083C3E">
              <w:rPr>
                <w:rFonts w:eastAsia="MS Mincho"/>
              </w:rPr>
              <w:t xml:space="preserve"> </w:t>
            </w:r>
            <w:r>
              <w:rPr>
                <w:rFonts w:eastAsia="MS Mincho" w:cstheme="minorHAnsi"/>
              </w:rPr>
              <w:t>≤</w:t>
            </w:r>
            <w:r>
              <w:rPr>
                <w:rFonts w:eastAsia="MS Mincho"/>
              </w:rPr>
              <w:t>10</w:t>
            </w:r>
            <w:r w:rsidR="00083C3E">
              <w:rPr>
                <w:rFonts w:eastAsia="MS Mincho"/>
              </w:rPr>
              <w:t xml:space="preserve"> </w:t>
            </w:r>
            <w:r>
              <w:rPr>
                <w:rFonts w:eastAsia="MS Mincho"/>
              </w:rPr>
              <w:t>ppm.</w:t>
            </w:r>
          </w:p>
          <w:p w:rsidR="00C640CF" w:rsidRDefault="00C640CF" w:rsidP="002916A7">
            <w:pPr>
              <w:pStyle w:val="Tablewriting"/>
              <w:rPr>
                <w:rFonts w:eastAsia="MS Mincho"/>
              </w:rPr>
            </w:pPr>
            <w:r w:rsidRPr="008C39E4">
              <w:rPr>
                <w:rFonts w:eastAsia="MS Mincho"/>
                <w:u w:val="single"/>
              </w:rPr>
              <w:t>Secondary</w:t>
            </w:r>
            <w:r>
              <w:rPr>
                <w:rFonts w:eastAsia="MS Mincho"/>
              </w:rPr>
              <w:t xml:space="preserve">: </w:t>
            </w:r>
            <w:r w:rsidR="00C8706B">
              <w:rPr>
                <w:rFonts w:eastAsia="MS Mincho"/>
              </w:rPr>
              <w:t>CAR</w:t>
            </w:r>
            <w:r>
              <w:rPr>
                <w:rFonts w:eastAsia="MS Mincho"/>
              </w:rPr>
              <w:t xml:space="preserve"> at Week 9-24</w:t>
            </w:r>
            <w:r w:rsidR="00C22444">
              <w:rPr>
                <w:rFonts w:eastAsia="MS Mincho"/>
              </w:rPr>
              <w:t xml:space="preserve"> and 9-52</w:t>
            </w:r>
            <w:r>
              <w:rPr>
                <w:rFonts w:eastAsia="MS Mincho"/>
              </w:rPr>
              <w:t xml:space="preserve">. </w:t>
            </w:r>
            <w:r w:rsidRPr="00624207">
              <w:rPr>
                <w:rFonts w:eastAsia="MS Mincho"/>
              </w:rPr>
              <w:t xml:space="preserve">7-day PPA </w:t>
            </w:r>
            <w:r>
              <w:rPr>
                <w:rFonts w:eastAsia="MS Mincho"/>
              </w:rPr>
              <w:t>at Week 12</w:t>
            </w:r>
            <w:r w:rsidR="005B43BD">
              <w:rPr>
                <w:rFonts w:eastAsia="MS Mincho"/>
              </w:rPr>
              <w:t xml:space="preserve">, </w:t>
            </w:r>
            <w:r>
              <w:rPr>
                <w:rFonts w:eastAsia="MS Mincho"/>
              </w:rPr>
              <w:t xml:space="preserve">24 and </w:t>
            </w:r>
            <w:r w:rsidR="005B43BD">
              <w:rPr>
                <w:rFonts w:eastAsia="MS Mincho"/>
              </w:rPr>
              <w:t>52</w:t>
            </w:r>
            <w:r>
              <w:rPr>
                <w:rFonts w:eastAsia="MS Mincho"/>
              </w:rPr>
              <w:t>.</w:t>
            </w:r>
            <w:r w:rsidR="00C8706B">
              <w:rPr>
                <w:rFonts w:eastAsia="MS Mincho"/>
              </w:rPr>
              <w:t xml:space="preserve"> Validated by CO </w:t>
            </w:r>
            <w:r w:rsidR="00C8706B">
              <w:rPr>
                <w:rFonts w:eastAsia="MS Mincho" w:cstheme="minorHAnsi"/>
              </w:rPr>
              <w:t>≤</w:t>
            </w:r>
            <w:r w:rsidR="00C8706B">
              <w:rPr>
                <w:rFonts w:eastAsia="MS Mincho"/>
              </w:rPr>
              <w:t>10</w:t>
            </w:r>
            <w:r w:rsidR="00083C3E">
              <w:rPr>
                <w:rFonts w:eastAsia="MS Mincho"/>
              </w:rPr>
              <w:t xml:space="preserve"> </w:t>
            </w:r>
            <w:r w:rsidR="00C8706B">
              <w:rPr>
                <w:rFonts w:eastAsia="MS Mincho"/>
              </w:rPr>
              <w:t>ppm.</w:t>
            </w:r>
          </w:p>
          <w:p w:rsidR="00561966" w:rsidRPr="00061F78" w:rsidRDefault="00C640CF" w:rsidP="002916A7">
            <w:pPr>
              <w:pStyle w:val="Tablewriting"/>
              <w:rPr>
                <w:rFonts w:eastAsia="MS Mincho"/>
              </w:rPr>
            </w:pPr>
            <w:r w:rsidRPr="0055171C">
              <w:rPr>
                <w:rFonts w:eastAsia="MS Mincho"/>
                <w:u w:val="single"/>
              </w:rPr>
              <w:t>Other</w:t>
            </w:r>
            <w:r>
              <w:rPr>
                <w:rFonts w:eastAsia="MS Mincho"/>
              </w:rPr>
              <w:t xml:space="preserve">: </w:t>
            </w:r>
            <w:r w:rsidR="009923F0">
              <w:rPr>
                <w:rFonts w:eastAsia="MS Mincho"/>
              </w:rPr>
              <w:t>a</w:t>
            </w:r>
            <w:r w:rsidR="009923F0" w:rsidRPr="009923F0">
              <w:rPr>
                <w:rFonts w:eastAsia="MS Mincho"/>
              </w:rPr>
              <w:t>dverse events; serious adverse events; cardiovascular events; changes in blood pressure</w:t>
            </w:r>
            <w:r w:rsidR="009923F0">
              <w:rPr>
                <w:rFonts w:eastAsia="MS Mincho"/>
              </w:rPr>
              <w:t xml:space="preserve"> </w:t>
            </w:r>
            <w:r w:rsidR="009923F0" w:rsidRPr="009923F0">
              <w:rPr>
                <w:rFonts w:eastAsia="MS Mincho"/>
              </w:rPr>
              <w:t>and heart rate</w:t>
            </w:r>
            <w:r w:rsidR="000F1E7A">
              <w:rPr>
                <w:rFonts w:eastAsia="MS Mincho"/>
              </w:rPr>
              <w:t>.</w:t>
            </w:r>
          </w:p>
        </w:tc>
      </w:tr>
      <w:tr w:rsidR="00260CD7" w:rsidRPr="00061F78" w:rsidTr="00B537F7">
        <w:trPr>
          <w:trHeight w:val="99"/>
        </w:trPr>
        <w:tc>
          <w:tcPr>
            <w:tcW w:w="332" w:type="pct"/>
            <w:shd w:val="clear" w:color="auto" w:fill="D9D9D9" w:themeFill="background1" w:themeFillShade="D9"/>
            <w:tcMar>
              <w:left w:w="28" w:type="dxa"/>
              <w:right w:w="28" w:type="dxa"/>
            </w:tcMar>
          </w:tcPr>
          <w:p w:rsidR="009923F0" w:rsidRDefault="009923F0" w:rsidP="002916A7">
            <w:pPr>
              <w:pStyle w:val="Tablewriting"/>
              <w:rPr>
                <w:rFonts w:eastAsia="MS Mincho"/>
              </w:rPr>
            </w:pPr>
            <w:r>
              <w:rPr>
                <w:rFonts w:eastAsia="MS Mincho"/>
              </w:rPr>
              <w:t>Tashkin</w:t>
            </w:r>
          </w:p>
          <w:p w:rsidR="00561966" w:rsidRPr="00061F78" w:rsidRDefault="009923F0" w:rsidP="002916A7">
            <w:pPr>
              <w:pStyle w:val="Tablewriting"/>
              <w:rPr>
                <w:rFonts w:eastAsia="MS Mincho"/>
              </w:rPr>
            </w:pPr>
            <w:r>
              <w:rPr>
                <w:rFonts w:eastAsia="MS Mincho"/>
              </w:rPr>
              <w:t>(2011)</w:t>
            </w:r>
          </w:p>
        </w:tc>
        <w:tc>
          <w:tcPr>
            <w:tcW w:w="395" w:type="pct"/>
            <w:shd w:val="clear" w:color="auto" w:fill="D9D9D9" w:themeFill="background1" w:themeFillShade="D9"/>
          </w:tcPr>
          <w:p w:rsidR="00561966" w:rsidRDefault="009923F0"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rsidR="009923F0" w:rsidRDefault="009923F0" w:rsidP="002916A7">
            <w:pPr>
              <w:pStyle w:val="Tablewriting"/>
              <w:rPr>
                <w:rFonts w:eastAsia="MS Mincho"/>
              </w:rPr>
            </w:pPr>
            <w:r>
              <w:rPr>
                <w:rFonts w:eastAsia="MS Mincho"/>
              </w:rPr>
              <w:t>N=</w:t>
            </w:r>
            <w:r w:rsidR="00B14448">
              <w:rPr>
                <w:rFonts w:eastAsia="MS Mincho"/>
              </w:rPr>
              <w:t>50</w:t>
            </w:r>
            <w:r>
              <w:rPr>
                <w:rFonts w:eastAsia="MS Mincho"/>
              </w:rPr>
              <w:t>4</w:t>
            </w:r>
          </w:p>
          <w:p w:rsidR="00561966" w:rsidRPr="00061F78" w:rsidRDefault="009923F0" w:rsidP="002916A7">
            <w:pPr>
              <w:pStyle w:val="Tablewriting"/>
              <w:rPr>
                <w:rFonts w:eastAsia="MS Mincho"/>
              </w:rPr>
            </w:pPr>
            <w:r>
              <w:rPr>
                <w:rFonts w:eastAsia="MS Mincho"/>
              </w:rPr>
              <w:t>Varenicline (n=</w:t>
            </w:r>
            <w:r w:rsidR="006D60E9">
              <w:rPr>
                <w:rFonts w:eastAsia="MS Mincho"/>
              </w:rPr>
              <w:t>250</w:t>
            </w:r>
            <w:r>
              <w:rPr>
                <w:rFonts w:eastAsia="MS Mincho"/>
              </w:rPr>
              <w:t>), Placebo (n=</w:t>
            </w:r>
            <w:r w:rsidR="006D60E9">
              <w:rPr>
                <w:rFonts w:eastAsia="MS Mincho"/>
              </w:rPr>
              <w:t>254</w:t>
            </w:r>
            <w:r>
              <w:rPr>
                <w:rFonts w:eastAsia="MS Mincho"/>
              </w:rPr>
              <w:t>)</w:t>
            </w:r>
          </w:p>
        </w:tc>
        <w:tc>
          <w:tcPr>
            <w:tcW w:w="1866" w:type="pct"/>
            <w:shd w:val="clear" w:color="auto" w:fill="D9D9D9" w:themeFill="background1" w:themeFillShade="D9"/>
            <w:tcMar>
              <w:left w:w="28" w:type="dxa"/>
              <w:right w:w="28" w:type="dxa"/>
            </w:tcMar>
          </w:tcPr>
          <w:p w:rsidR="009923F0" w:rsidRDefault="009923F0" w:rsidP="002916A7">
            <w:pPr>
              <w:pStyle w:val="Tablewriting"/>
              <w:rPr>
                <w:rFonts w:eastAsia="MS Mincho"/>
              </w:rPr>
            </w:pPr>
            <w:r w:rsidRPr="007F28D7">
              <w:rPr>
                <w:rFonts w:eastAsia="MS Mincho"/>
                <w:u w:val="single"/>
              </w:rPr>
              <w:t>Inclusion</w:t>
            </w:r>
            <w:r>
              <w:rPr>
                <w:rFonts w:eastAsia="MS Mincho"/>
              </w:rPr>
              <w:t xml:space="preserve">: </w:t>
            </w:r>
            <w:r w:rsidR="00573CFA" w:rsidRPr="00573CFA">
              <w:rPr>
                <w:rFonts w:eastAsia="MS Mincho"/>
              </w:rPr>
              <w:t xml:space="preserve">men and women aged </w:t>
            </w:r>
            <w:r w:rsidR="00573CFA">
              <w:rPr>
                <w:rFonts w:eastAsia="MS Mincho" w:cstheme="minorHAnsi"/>
              </w:rPr>
              <w:t>≥</w:t>
            </w:r>
            <w:r w:rsidR="00573CFA" w:rsidRPr="00573CFA">
              <w:rPr>
                <w:rFonts w:eastAsia="MS Mincho"/>
              </w:rPr>
              <w:t>35 years who</w:t>
            </w:r>
            <w:r w:rsidR="00573CFA">
              <w:rPr>
                <w:rFonts w:eastAsia="MS Mincho"/>
              </w:rPr>
              <w:t xml:space="preserve"> </w:t>
            </w:r>
            <w:r w:rsidR="00573CFA" w:rsidRPr="00573CFA">
              <w:rPr>
                <w:rFonts w:eastAsia="MS Mincho"/>
              </w:rPr>
              <w:t xml:space="preserve">received a clinical diagnosis of mild to moderate COPD (confirmed with a </w:t>
            </w:r>
            <w:r w:rsidR="00777459" w:rsidRPr="00573CFA">
              <w:rPr>
                <w:rFonts w:eastAsia="MS Mincho"/>
              </w:rPr>
              <w:t>post bronchodilator</w:t>
            </w:r>
            <w:r w:rsidR="00573CFA" w:rsidRPr="00573CFA">
              <w:rPr>
                <w:rFonts w:eastAsia="MS Mincho"/>
              </w:rPr>
              <w:t xml:space="preserve"> FEV</w:t>
            </w:r>
            <w:r w:rsidR="00573CFA" w:rsidRPr="00A73394">
              <w:rPr>
                <w:rFonts w:eastAsia="MS Mincho"/>
                <w:vertAlign w:val="subscript"/>
              </w:rPr>
              <w:t>1</w:t>
            </w:r>
            <w:r w:rsidR="00573CFA" w:rsidRPr="00573CFA">
              <w:rPr>
                <w:rFonts w:eastAsia="MS Mincho"/>
              </w:rPr>
              <w:t xml:space="preserve">/FVC </w:t>
            </w:r>
            <w:r w:rsidR="00A73394">
              <w:rPr>
                <w:rFonts w:eastAsia="MS Mincho"/>
              </w:rPr>
              <w:t>&lt;</w:t>
            </w:r>
            <w:r w:rsidR="00573CFA" w:rsidRPr="00573CFA">
              <w:rPr>
                <w:rFonts w:eastAsia="MS Mincho"/>
              </w:rPr>
              <w:t>70% and FEV</w:t>
            </w:r>
            <w:r w:rsidR="00573CFA" w:rsidRPr="00A73394">
              <w:rPr>
                <w:rFonts w:eastAsia="MS Mincho"/>
                <w:vertAlign w:val="subscript"/>
              </w:rPr>
              <w:t>1</w:t>
            </w:r>
            <w:r w:rsidR="00573CFA" w:rsidRPr="00573CFA">
              <w:rPr>
                <w:rFonts w:eastAsia="MS Mincho"/>
              </w:rPr>
              <w:t xml:space="preserve"> %</w:t>
            </w:r>
            <w:r w:rsidR="00A73394">
              <w:rPr>
                <w:rFonts w:eastAsia="MS Mincho"/>
              </w:rPr>
              <w:t xml:space="preserve"> </w:t>
            </w:r>
            <w:r w:rsidR="00573CFA" w:rsidRPr="00573CFA">
              <w:rPr>
                <w:rFonts w:eastAsia="MS Mincho"/>
              </w:rPr>
              <w:t xml:space="preserve">predicted normal value </w:t>
            </w:r>
            <w:r w:rsidR="00A73394">
              <w:rPr>
                <w:rFonts w:eastAsia="MS Mincho" w:cstheme="minorHAnsi"/>
              </w:rPr>
              <w:t>≥</w:t>
            </w:r>
            <w:r w:rsidR="00573CFA" w:rsidRPr="00573CFA">
              <w:rPr>
                <w:rFonts w:eastAsia="MS Mincho"/>
              </w:rPr>
              <w:t>50% [GOLD stages I and II</w:t>
            </w:r>
            <w:r w:rsidR="00355BCB">
              <w:rPr>
                <w:rFonts w:eastAsia="MS Mincho"/>
              </w:rPr>
              <w:t>]</w:t>
            </w:r>
            <w:r w:rsidR="00573CFA" w:rsidRPr="00573CFA">
              <w:rPr>
                <w:rFonts w:eastAsia="MS Mincho"/>
              </w:rPr>
              <w:t>) and</w:t>
            </w:r>
            <w:r w:rsidR="00355BCB">
              <w:rPr>
                <w:rFonts w:eastAsia="MS Mincho"/>
              </w:rPr>
              <w:t xml:space="preserve"> </w:t>
            </w:r>
            <w:r w:rsidR="00573CFA" w:rsidRPr="00573CFA">
              <w:rPr>
                <w:rFonts w:eastAsia="MS Mincho"/>
              </w:rPr>
              <w:t>motivated to stop smoking. Each participant smoked an average</w:t>
            </w:r>
            <w:r w:rsidR="00355BCB">
              <w:rPr>
                <w:rFonts w:eastAsia="MS Mincho"/>
              </w:rPr>
              <w:t xml:space="preserve"> </w:t>
            </w:r>
            <w:r w:rsidR="00573CFA" w:rsidRPr="00573CFA">
              <w:rPr>
                <w:rFonts w:eastAsia="MS Mincho"/>
              </w:rPr>
              <w:t xml:space="preserve">of </w:t>
            </w:r>
            <w:r w:rsidR="00904FFD">
              <w:rPr>
                <w:rFonts w:eastAsia="MS Mincho" w:cstheme="minorHAnsi"/>
              </w:rPr>
              <w:t>≥</w:t>
            </w:r>
            <w:r w:rsidR="00573CFA" w:rsidRPr="00573CFA">
              <w:rPr>
                <w:rFonts w:eastAsia="MS Mincho"/>
              </w:rPr>
              <w:t xml:space="preserve">10 </w:t>
            </w:r>
            <w:r w:rsidR="00573CFA" w:rsidRPr="00573CFA">
              <w:rPr>
                <w:rFonts w:eastAsia="MS Mincho"/>
              </w:rPr>
              <w:lastRenderedPageBreak/>
              <w:t>cigarettes/d</w:t>
            </w:r>
            <w:r w:rsidR="00904FFD">
              <w:rPr>
                <w:rFonts w:eastAsia="MS Mincho"/>
              </w:rPr>
              <w:t>ay</w:t>
            </w:r>
            <w:r w:rsidR="00573CFA" w:rsidRPr="00573CFA">
              <w:rPr>
                <w:rFonts w:eastAsia="MS Mincho"/>
              </w:rPr>
              <w:t xml:space="preserve"> over the past year with no period of abstinence </w:t>
            </w:r>
            <w:r w:rsidR="00B4568A">
              <w:rPr>
                <w:rFonts w:eastAsia="MS Mincho"/>
              </w:rPr>
              <w:t>&gt;</w:t>
            </w:r>
            <w:r w:rsidR="00573CFA" w:rsidRPr="00573CFA">
              <w:rPr>
                <w:rFonts w:eastAsia="MS Mincho"/>
              </w:rPr>
              <w:t>3 months over that time</w:t>
            </w:r>
            <w:r w:rsidRPr="00743D13">
              <w:rPr>
                <w:rFonts w:eastAsia="MS Mincho"/>
              </w:rPr>
              <w:t>.</w:t>
            </w:r>
          </w:p>
          <w:p w:rsidR="00561966" w:rsidRPr="00061F78" w:rsidRDefault="009923F0" w:rsidP="002916A7">
            <w:pPr>
              <w:pStyle w:val="Tablewriting"/>
              <w:rPr>
                <w:rFonts w:eastAsia="MS Mincho"/>
              </w:rPr>
            </w:pPr>
            <w:r w:rsidRPr="007F28D7">
              <w:rPr>
                <w:rFonts w:eastAsia="MS Mincho"/>
                <w:u w:val="single"/>
              </w:rPr>
              <w:t>Exclusion</w:t>
            </w:r>
            <w:r>
              <w:rPr>
                <w:rFonts w:eastAsia="MS Mincho"/>
              </w:rPr>
              <w:t xml:space="preserve">: </w:t>
            </w:r>
            <w:r w:rsidR="00C562E9" w:rsidRPr="00C562E9">
              <w:rPr>
                <w:rFonts w:eastAsia="MS Mincho"/>
              </w:rPr>
              <w:t>treated with systemic corticosteroids</w:t>
            </w:r>
            <w:r w:rsidRPr="00DD72D7">
              <w:rPr>
                <w:rFonts w:eastAsia="MS Mincho"/>
              </w:rPr>
              <w:t xml:space="preserve"> or </w:t>
            </w:r>
            <w:r w:rsidR="00C562E9" w:rsidRPr="00C562E9">
              <w:rPr>
                <w:rFonts w:eastAsia="MS Mincho"/>
              </w:rPr>
              <w:t>hospitali</w:t>
            </w:r>
            <w:r w:rsidR="00C562E9">
              <w:rPr>
                <w:rFonts w:eastAsia="MS Mincho"/>
              </w:rPr>
              <w:t>s</w:t>
            </w:r>
            <w:r w:rsidR="00C562E9" w:rsidRPr="00C562E9">
              <w:rPr>
                <w:rFonts w:eastAsia="MS Mincho"/>
              </w:rPr>
              <w:t>ed</w:t>
            </w:r>
            <w:r w:rsidR="00C562E9">
              <w:rPr>
                <w:rFonts w:eastAsia="MS Mincho"/>
              </w:rPr>
              <w:t xml:space="preserve"> </w:t>
            </w:r>
            <w:r w:rsidR="00C562E9" w:rsidRPr="00C562E9">
              <w:rPr>
                <w:rFonts w:eastAsia="MS Mincho"/>
              </w:rPr>
              <w:t>for a COPD exacerbation during the 4-week period prior to</w:t>
            </w:r>
            <w:r w:rsidR="00C562E9">
              <w:rPr>
                <w:rFonts w:eastAsia="MS Mincho"/>
              </w:rPr>
              <w:t xml:space="preserve"> </w:t>
            </w:r>
            <w:r w:rsidR="00C562E9" w:rsidRPr="00C562E9">
              <w:rPr>
                <w:rFonts w:eastAsia="MS Mincho"/>
              </w:rPr>
              <w:t>screening</w:t>
            </w:r>
            <w:r w:rsidR="00C562E9">
              <w:rPr>
                <w:rFonts w:eastAsia="MS Mincho"/>
              </w:rPr>
              <w:t>;</w:t>
            </w:r>
            <w:r w:rsidR="00C562E9" w:rsidRPr="00C562E9">
              <w:rPr>
                <w:rFonts w:eastAsia="MS Mincho"/>
              </w:rPr>
              <w:t xml:space="preserve"> </w:t>
            </w:r>
            <w:r w:rsidRPr="00DD72D7">
              <w:rPr>
                <w:rFonts w:eastAsia="MS Mincho"/>
              </w:rPr>
              <w:t xml:space="preserve">unstable </w:t>
            </w:r>
            <w:r w:rsidR="00C562E9" w:rsidRPr="00C562E9">
              <w:rPr>
                <w:rFonts w:eastAsia="MS Mincho"/>
              </w:rPr>
              <w:t>or</w:t>
            </w:r>
            <w:r w:rsidR="00C562E9">
              <w:rPr>
                <w:rFonts w:eastAsia="MS Mincho"/>
              </w:rPr>
              <w:t xml:space="preserve"> </w:t>
            </w:r>
            <w:r w:rsidRPr="00DD72D7">
              <w:rPr>
                <w:rFonts w:eastAsia="MS Mincho"/>
              </w:rPr>
              <w:t xml:space="preserve">uncontrolled </w:t>
            </w:r>
            <w:r w:rsidR="00C562E9" w:rsidRPr="00C562E9">
              <w:rPr>
                <w:rFonts w:eastAsia="MS Mincho"/>
              </w:rPr>
              <w:t>medical conditions; a</w:t>
            </w:r>
            <w:r w:rsidRPr="00DD72D7">
              <w:rPr>
                <w:rFonts w:eastAsia="MS Mincho"/>
              </w:rPr>
              <w:t xml:space="preserve"> diagnosis</w:t>
            </w:r>
            <w:r>
              <w:rPr>
                <w:rFonts w:eastAsia="MS Mincho"/>
              </w:rPr>
              <w:t xml:space="preserve"> </w:t>
            </w:r>
            <w:r w:rsidRPr="00DD72D7">
              <w:rPr>
                <w:rFonts w:eastAsia="MS Mincho"/>
              </w:rPr>
              <w:t>of depression</w:t>
            </w:r>
            <w:r w:rsidR="00C562E9" w:rsidRPr="00C562E9">
              <w:rPr>
                <w:rFonts w:eastAsia="MS Mincho"/>
              </w:rPr>
              <w:t xml:space="preserve"> or</w:t>
            </w:r>
            <w:r w:rsidRPr="00DD72D7">
              <w:rPr>
                <w:rFonts w:eastAsia="MS Mincho"/>
              </w:rPr>
              <w:t xml:space="preserve"> treatment with antidepressants in the past year;</w:t>
            </w:r>
            <w:r>
              <w:rPr>
                <w:rFonts w:eastAsia="MS Mincho"/>
              </w:rPr>
              <w:t xml:space="preserve"> </w:t>
            </w:r>
            <w:r w:rsidR="00C562E9" w:rsidRPr="00C562E9">
              <w:rPr>
                <w:rFonts w:eastAsia="MS Mincho"/>
              </w:rPr>
              <w:t>drug or alcohol</w:t>
            </w:r>
            <w:r w:rsidR="00C562E9">
              <w:rPr>
                <w:rFonts w:eastAsia="MS Mincho"/>
              </w:rPr>
              <w:t xml:space="preserve"> </w:t>
            </w:r>
            <w:r w:rsidR="00C562E9" w:rsidRPr="00C562E9">
              <w:rPr>
                <w:rFonts w:eastAsia="MS Mincho"/>
              </w:rPr>
              <w:t xml:space="preserve">abuse (other than nicotine) in the past year; </w:t>
            </w:r>
            <w:r w:rsidRPr="00DD72D7">
              <w:rPr>
                <w:rFonts w:eastAsia="MS Mincho"/>
              </w:rPr>
              <w:t xml:space="preserve">history of psychosis, panic disorder, or bipolar disorder; </w:t>
            </w:r>
            <w:r w:rsidR="00C562E9" w:rsidRPr="00C562E9">
              <w:rPr>
                <w:rFonts w:eastAsia="MS Mincho"/>
              </w:rPr>
              <w:t>and use of a</w:t>
            </w:r>
            <w:r w:rsidRPr="00DD72D7">
              <w:rPr>
                <w:rFonts w:eastAsia="MS Mincho"/>
              </w:rPr>
              <w:t xml:space="preserve"> smoking cessation</w:t>
            </w:r>
            <w:r>
              <w:rPr>
                <w:rFonts w:eastAsia="MS Mincho"/>
              </w:rPr>
              <w:t xml:space="preserve"> </w:t>
            </w:r>
            <w:r w:rsidRPr="00DD72D7">
              <w:rPr>
                <w:rFonts w:eastAsia="MS Mincho"/>
              </w:rPr>
              <w:t>medication in the past month.</w:t>
            </w:r>
          </w:p>
        </w:tc>
        <w:tc>
          <w:tcPr>
            <w:tcW w:w="920" w:type="pct"/>
            <w:shd w:val="clear" w:color="auto" w:fill="D9D9D9" w:themeFill="background1" w:themeFillShade="D9"/>
          </w:tcPr>
          <w:p w:rsidR="009923F0" w:rsidRDefault="009923F0" w:rsidP="002916A7">
            <w:pPr>
              <w:pStyle w:val="Tablewriting"/>
              <w:rPr>
                <w:rFonts w:eastAsia="MS Mincho"/>
              </w:rPr>
            </w:pPr>
            <w:r>
              <w:rPr>
                <w:rFonts w:eastAsia="MS Mincho"/>
              </w:rPr>
              <w:lastRenderedPageBreak/>
              <w:t>Varenicline</w:t>
            </w:r>
            <w:r w:rsidRPr="00A34E7B">
              <w:rPr>
                <w:rFonts w:eastAsia="MS Mincho"/>
              </w:rPr>
              <w:t xml:space="preserve">: </w:t>
            </w:r>
            <w:r w:rsidRPr="00372F18">
              <w:rPr>
                <w:rFonts w:eastAsia="MS Mincho"/>
              </w:rPr>
              <w:t>1</w:t>
            </w:r>
            <w:r w:rsidR="00A13509">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(i</w:t>
            </w:r>
            <w:r>
              <w:rPr>
                <w:rFonts w:eastAsia="MS Mincho"/>
              </w:rPr>
              <w:t>.</w:t>
            </w:r>
            <w:r w:rsidRPr="00372F18">
              <w:rPr>
                <w:rFonts w:eastAsia="MS Mincho"/>
              </w:rPr>
              <w:t>e</w:t>
            </w:r>
            <w:r>
              <w:rPr>
                <w:rFonts w:eastAsia="MS Mincho"/>
              </w:rPr>
              <w:t>.</w:t>
            </w:r>
            <w:r w:rsidRPr="00372F18">
              <w:rPr>
                <w:rFonts w:eastAsia="MS Mincho"/>
              </w:rPr>
              <w:t xml:space="preserve"> 0.5</w:t>
            </w:r>
            <w:r w:rsidR="00083C3E">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sidR="00083C3E">
              <w:rPr>
                <w:rFonts w:eastAsia="MS Mincho"/>
              </w:rPr>
              <w:t xml:space="preserve"> </w:t>
            </w:r>
            <w:r w:rsidRPr="00372F18">
              <w:rPr>
                <w:rFonts w:eastAsia="MS Mincho"/>
              </w:rPr>
              <w:t>mg twice daily for 4 days, then 1</w:t>
            </w:r>
            <w:r w:rsidR="00083C3E">
              <w:rPr>
                <w:rFonts w:eastAsia="MS Mincho"/>
              </w:rPr>
              <w:t xml:space="preserve"> </w:t>
            </w:r>
            <w:r w:rsidRPr="00372F18">
              <w:rPr>
                <w:rFonts w:eastAsia="MS Mincho"/>
              </w:rPr>
              <w:t>mg twice daily)</w:t>
            </w:r>
            <w:r w:rsidR="004657DA">
              <w:rPr>
                <w:rFonts w:eastAsia="MS Mincho"/>
              </w:rPr>
              <w:t>;</w:t>
            </w:r>
          </w:p>
          <w:p w:rsidR="00561966" w:rsidRDefault="009923F0" w:rsidP="002916A7">
            <w:pPr>
              <w:pStyle w:val="Tablewriting"/>
              <w:rPr>
                <w:rFonts w:eastAsia="MS Mincho"/>
              </w:rPr>
            </w:pPr>
            <w:r>
              <w:rPr>
                <w:rFonts w:eastAsia="MS Mincho"/>
              </w:rPr>
              <w:lastRenderedPageBreak/>
              <w:t>Placebo: placebo tablet for 12 weeks, same regimen</w:t>
            </w:r>
            <w:r w:rsidR="000F1E7A">
              <w:rPr>
                <w:rFonts w:eastAsia="MS Mincho"/>
              </w:rPr>
              <w:t>.</w:t>
            </w:r>
          </w:p>
          <w:p w:rsidR="006C0130" w:rsidRDefault="006C0130" w:rsidP="002916A7">
            <w:pPr>
              <w:pStyle w:val="Tablewriting"/>
              <w:rPr>
                <w:rFonts w:eastAsia="MS Mincho"/>
              </w:rPr>
            </w:pPr>
          </w:p>
          <w:p w:rsidR="006C0130" w:rsidRPr="00A34E7B" w:rsidRDefault="006C0130" w:rsidP="002916A7">
            <w:pPr>
              <w:pStyle w:val="Tablewriting"/>
              <w:rPr>
                <w:rFonts w:eastAsia="MS Mincho"/>
              </w:rPr>
            </w:pPr>
            <w:r w:rsidRPr="006C0130">
              <w:rPr>
                <w:rFonts w:eastAsia="MS Mincho"/>
              </w:rPr>
              <w:t>Behavioural support provided in both arms.</w:t>
            </w:r>
          </w:p>
        </w:tc>
        <w:tc>
          <w:tcPr>
            <w:tcW w:w="1140" w:type="pct"/>
            <w:shd w:val="clear" w:color="auto" w:fill="D9D9D9" w:themeFill="background1" w:themeFillShade="D9"/>
            <w:tcMar>
              <w:left w:w="28" w:type="dxa"/>
              <w:right w:w="28" w:type="dxa"/>
            </w:tcMar>
          </w:tcPr>
          <w:p w:rsidR="009923F0" w:rsidRDefault="009923F0" w:rsidP="002916A7">
            <w:pPr>
              <w:pStyle w:val="Tablewriting"/>
              <w:rPr>
                <w:rFonts w:eastAsia="MS Mincho"/>
              </w:rPr>
            </w:pPr>
            <w:r w:rsidRPr="008C39E4">
              <w:rPr>
                <w:rFonts w:eastAsia="MS Mincho"/>
                <w:u w:val="single"/>
              </w:rPr>
              <w:lastRenderedPageBreak/>
              <w:t>Primary</w:t>
            </w:r>
            <w:r>
              <w:rPr>
                <w:rFonts w:eastAsia="MS Mincho"/>
              </w:rPr>
              <w:t xml:space="preserve">: </w:t>
            </w:r>
            <w:r w:rsidR="0033571E">
              <w:rPr>
                <w:rFonts w:eastAsia="MS Mincho"/>
              </w:rPr>
              <w:t>CAR</w:t>
            </w:r>
            <w:r>
              <w:rPr>
                <w:rFonts w:eastAsia="MS Mincho"/>
              </w:rPr>
              <w:t xml:space="preserve"> at Week 9-12. Validated by CO</w:t>
            </w:r>
            <w:r w:rsidR="00C8706B">
              <w:rPr>
                <w:rFonts w:eastAsia="MS Mincho"/>
              </w:rPr>
              <w:t xml:space="preserve"> </w:t>
            </w:r>
            <w:r>
              <w:rPr>
                <w:rFonts w:eastAsia="MS Mincho" w:cstheme="minorHAnsi"/>
              </w:rPr>
              <w:t>≤</w:t>
            </w:r>
            <w:r>
              <w:rPr>
                <w:rFonts w:eastAsia="MS Mincho"/>
              </w:rPr>
              <w:t>10</w:t>
            </w:r>
            <w:r w:rsidR="00083C3E">
              <w:rPr>
                <w:rFonts w:eastAsia="MS Mincho"/>
              </w:rPr>
              <w:t xml:space="preserve"> </w:t>
            </w:r>
            <w:r>
              <w:rPr>
                <w:rFonts w:eastAsia="MS Mincho"/>
              </w:rPr>
              <w:t>ppm.</w:t>
            </w:r>
          </w:p>
          <w:p w:rsidR="009923F0" w:rsidRDefault="009923F0" w:rsidP="002916A7">
            <w:pPr>
              <w:pStyle w:val="Tablewriting"/>
              <w:rPr>
                <w:rFonts w:eastAsia="MS Mincho"/>
              </w:rPr>
            </w:pPr>
            <w:r w:rsidRPr="008C39E4">
              <w:rPr>
                <w:rFonts w:eastAsia="MS Mincho"/>
                <w:u w:val="single"/>
              </w:rPr>
              <w:t>Secondary</w:t>
            </w:r>
            <w:r>
              <w:rPr>
                <w:rFonts w:eastAsia="MS Mincho"/>
              </w:rPr>
              <w:t>: C</w:t>
            </w:r>
            <w:r w:rsidR="0033571E">
              <w:rPr>
                <w:rFonts w:eastAsia="MS Mincho"/>
              </w:rPr>
              <w:t>AR</w:t>
            </w:r>
            <w:r>
              <w:rPr>
                <w:rFonts w:eastAsia="MS Mincho"/>
              </w:rPr>
              <w:t xml:space="preserve"> at Week 9-24 and 9-52. </w:t>
            </w:r>
            <w:r w:rsidRPr="00624207">
              <w:rPr>
                <w:rFonts w:eastAsia="MS Mincho"/>
              </w:rPr>
              <w:t xml:space="preserve">7-day PPA </w:t>
            </w:r>
            <w:r>
              <w:rPr>
                <w:rFonts w:eastAsia="MS Mincho"/>
              </w:rPr>
              <w:t>at Week 12, 24 and 52.</w:t>
            </w:r>
            <w:r w:rsidR="00C8706B">
              <w:rPr>
                <w:rFonts w:eastAsia="MS Mincho"/>
              </w:rPr>
              <w:t xml:space="preserve"> </w:t>
            </w:r>
            <w:r w:rsidR="00F706B6">
              <w:rPr>
                <w:rFonts w:eastAsia="MS Mincho"/>
              </w:rPr>
              <w:t xml:space="preserve">Validated by CO </w:t>
            </w:r>
            <w:r w:rsidR="00F706B6">
              <w:rPr>
                <w:rFonts w:eastAsia="MS Mincho" w:cstheme="minorHAnsi"/>
              </w:rPr>
              <w:t>≤</w:t>
            </w:r>
            <w:r w:rsidR="00F706B6">
              <w:rPr>
                <w:rFonts w:eastAsia="MS Mincho"/>
              </w:rPr>
              <w:t>10</w:t>
            </w:r>
            <w:r w:rsidR="00083C3E">
              <w:rPr>
                <w:rFonts w:eastAsia="MS Mincho"/>
              </w:rPr>
              <w:t xml:space="preserve"> </w:t>
            </w:r>
            <w:r w:rsidR="00F706B6">
              <w:rPr>
                <w:rFonts w:eastAsia="MS Mincho"/>
              </w:rPr>
              <w:t>ppm.</w:t>
            </w:r>
          </w:p>
          <w:p w:rsidR="00561966" w:rsidRPr="00061F78" w:rsidRDefault="009923F0" w:rsidP="002916A7">
            <w:pPr>
              <w:pStyle w:val="Tablewriting"/>
              <w:rPr>
                <w:rFonts w:eastAsia="MS Mincho"/>
              </w:rPr>
            </w:pPr>
            <w:r w:rsidRPr="0055171C">
              <w:rPr>
                <w:rFonts w:eastAsia="MS Mincho"/>
                <w:u w:val="single"/>
              </w:rPr>
              <w:lastRenderedPageBreak/>
              <w:t>Other</w:t>
            </w:r>
            <w:r>
              <w:rPr>
                <w:rFonts w:eastAsia="MS Mincho"/>
              </w:rPr>
              <w:t>: a</w:t>
            </w:r>
            <w:r w:rsidRPr="009923F0">
              <w:rPr>
                <w:rFonts w:eastAsia="MS Mincho"/>
              </w:rPr>
              <w:t xml:space="preserve">dverse events; serious adverse events; </w:t>
            </w:r>
            <w:r w:rsidR="00917F0D" w:rsidRPr="00917F0D">
              <w:rPr>
                <w:rFonts w:eastAsia="MS Mincho"/>
              </w:rPr>
              <w:t>weight change</w:t>
            </w:r>
            <w:r w:rsidR="000F1E7A">
              <w:rPr>
                <w:rFonts w:eastAsia="MS Mincho"/>
              </w:rPr>
              <w:t>.</w:t>
            </w:r>
          </w:p>
        </w:tc>
      </w:tr>
      <w:tr w:rsidR="00260CD7" w:rsidRPr="00061F78" w:rsidTr="00B537F7">
        <w:trPr>
          <w:trHeight w:val="99"/>
        </w:trPr>
        <w:tc>
          <w:tcPr>
            <w:tcW w:w="332" w:type="pct"/>
            <w:shd w:val="clear" w:color="auto" w:fill="D9D9D9" w:themeFill="background1" w:themeFillShade="D9"/>
            <w:tcMar>
              <w:left w:w="28" w:type="dxa"/>
              <w:right w:w="28" w:type="dxa"/>
            </w:tcMar>
          </w:tcPr>
          <w:p w:rsidR="006647E7" w:rsidRDefault="006647E7" w:rsidP="002916A7">
            <w:pPr>
              <w:pStyle w:val="Tablewriting"/>
              <w:rPr>
                <w:rFonts w:eastAsia="MS Mincho"/>
              </w:rPr>
            </w:pPr>
            <w:r>
              <w:rPr>
                <w:rFonts w:eastAsia="MS Mincho"/>
              </w:rPr>
              <w:lastRenderedPageBreak/>
              <w:t>Rennard</w:t>
            </w:r>
          </w:p>
          <w:p w:rsidR="00561966" w:rsidRPr="00061F78" w:rsidRDefault="006647E7" w:rsidP="002916A7">
            <w:pPr>
              <w:pStyle w:val="Tablewriting"/>
              <w:rPr>
                <w:rFonts w:eastAsia="MS Mincho"/>
              </w:rPr>
            </w:pPr>
            <w:r>
              <w:rPr>
                <w:rFonts w:eastAsia="MS Mincho"/>
              </w:rPr>
              <w:t>(2012)</w:t>
            </w:r>
          </w:p>
        </w:tc>
        <w:tc>
          <w:tcPr>
            <w:tcW w:w="395" w:type="pct"/>
            <w:shd w:val="clear" w:color="auto" w:fill="D9D9D9" w:themeFill="background1" w:themeFillShade="D9"/>
          </w:tcPr>
          <w:p w:rsidR="00561966" w:rsidRDefault="006647E7"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rsidR="006647E7" w:rsidRDefault="006647E7" w:rsidP="002916A7">
            <w:pPr>
              <w:pStyle w:val="Tablewriting"/>
              <w:rPr>
                <w:rFonts w:eastAsia="MS Mincho"/>
              </w:rPr>
            </w:pPr>
            <w:r>
              <w:rPr>
                <w:rFonts w:eastAsia="MS Mincho"/>
              </w:rPr>
              <w:t>N=</w:t>
            </w:r>
            <w:r w:rsidR="00557484">
              <w:rPr>
                <w:rFonts w:eastAsia="MS Mincho"/>
              </w:rPr>
              <w:t>659</w:t>
            </w:r>
          </w:p>
          <w:p w:rsidR="00561966" w:rsidRPr="00061F78" w:rsidRDefault="006647E7" w:rsidP="002916A7">
            <w:pPr>
              <w:pStyle w:val="Tablewriting"/>
              <w:rPr>
                <w:rFonts w:eastAsia="MS Mincho"/>
              </w:rPr>
            </w:pPr>
            <w:r>
              <w:rPr>
                <w:rFonts w:eastAsia="MS Mincho"/>
              </w:rPr>
              <w:t>Varenicline (n=</w:t>
            </w:r>
            <w:r w:rsidR="00FC6DA0">
              <w:rPr>
                <w:rFonts w:eastAsia="MS Mincho"/>
              </w:rPr>
              <w:t>493</w:t>
            </w:r>
            <w:r>
              <w:rPr>
                <w:rFonts w:eastAsia="MS Mincho"/>
              </w:rPr>
              <w:t>), Placebo (n=</w:t>
            </w:r>
            <w:r w:rsidR="00FC6DA0">
              <w:rPr>
                <w:rFonts w:eastAsia="MS Mincho"/>
              </w:rPr>
              <w:t>166</w:t>
            </w:r>
            <w:r>
              <w:rPr>
                <w:rFonts w:eastAsia="MS Mincho"/>
              </w:rPr>
              <w:t>)</w:t>
            </w:r>
          </w:p>
        </w:tc>
        <w:tc>
          <w:tcPr>
            <w:tcW w:w="1866" w:type="pct"/>
            <w:shd w:val="clear" w:color="auto" w:fill="D9D9D9" w:themeFill="background1" w:themeFillShade="D9"/>
            <w:tcMar>
              <w:left w:w="28" w:type="dxa"/>
              <w:right w:w="28" w:type="dxa"/>
            </w:tcMar>
          </w:tcPr>
          <w:p w:rsidR="006647E7" w:rsidRDefault="006647E7" w:rsidP="002916A7">
            <w:pPr>
              <w:pStyle w:val="Tablewriting"/>
              <w:rPr>
                <w:rFonts w:eastAsia="MS Mincho"/>
              </w:rPr>
            </w:pPr>
            <w:r w:rsidRPr="007F28D7">
              <w:rPr>
                <w:rFonts w:eastAsia="MS Mincho"/>
                <w:u w:val="single"/>
              </w:rPr>
              <w:t>Inclusion</w:t>
            </w:r>
            <w:r>
              <w:rPr>
                <w:rFonts w:eastAsia="MS Mincho"/>
              </w:rPr>
              <w:t xml:space="preserve">: </w:t>
            </w:r>
            <w:r w:rsidR="00C522B0" w:rsidRPr="00C522B0">
              <w:rPr>
                <w:rFonts w:eastAsia="MS Mincho"/>
              </w:rPr>
              <w:t>18</w:t>
            </w:r>
            <w:r w:rsidR="006841CD">
              <w:rPr>
                <w:rFonts w:eastAsia="MS Mincho"/>
              </w:rPr>
              <w:t>-</w:t>
            </w:r>
            <w:r w:rsidR="00C522B0" w:rsidRPr="00C522B0">
              <w:rPr>
                <w:rFonts w:eastAsia="MS Mincho"/>
              </w:rPr>
              <w:t>75 years</w:t>
            </w:r>
            <w:r w:rsidR="0033571E">
              <w:rPr>
                <w:rFonts w:eastAsia="MS Mincho"/>
              </w:rPr>
              <w:t xml:space="preserve"> old</w:t>
            </w:r>
            <w:r w:rsidR="00C522B0" w:rsidRPr="00C522B0">
              <w:rPr>
                <w:rFonts w:eastAsia="MS Mincho"/>
              </w:rPr>
              <w:t>, ≥10 cigarettes</w:t>
            </w:r>
            <w:r w:rsidR="0033571E">
              <w:rPr>
                <w:rFonts w:eastAsia="MS Mincho"/>
              </w:rPr>
              <w:t xml:space="preserve"> per </w:t>
            </w:r>
            <w:r w:rsidR="00C522B0" w:rsidRPr="00C522B0">
              <w:rPr>
                <w:rFonts w:eastAsia="MS Mincho"/>
              </w:rPr>
              <w:t>day during the previous year with no longer than 3 months abstinence during that time, motivated to stop smoking.</w:t>
            </w:r>
          </w:p>
          <w:p w:rsidR="00561966" w:rsidRPr="00061F78" w:rsidRDefault="006647E7" w:rsidP="002916A7">
            <w:pPr>
              <w:pStyle w:val="Tablewriting"/>
              <w:rPr>
                <w:rFonts w:eastAsia="MS Mincho"/>
              </w:rPr>
            </w:pPr>
            <w:r w:rsidRPr="007F28D7">
              <w:rPr>
                <w:rFonts w:eastAsia="MS Mincho"/>
                <w:u w:val="single"/>
              </w:rPr>
              <w:t>Exclusion</w:t>
            </w:r>
            <w:r>
              <w:rPr>
                <w:rFonts w:eastAsia="MS Mincho"/>
              </w:rPr>
              <w:t xml:space="preserve">: </w:t>
            </w:r>
            <w:r w:rsidR="00574C4B" w:rsidRPr="00574C4B">
              <w:rPr>
                <w:rFonts w:eastAsia="MS Mincho"/>
              </w:rPr>
              <w:t>had used</w:t>
            </w:r>
            <w:r w:rsidR="00134606">
              <w:rPr>
                <w:rFonts w:eastAsia="MS Mincho"/>
              </w:rPr>
              <w:t xml:space="preserve"> </w:t>
            </w:r>
            <w:r w:rsidR="00574C4B" w:rsidRPr="00574C4B">
              <w:rPr>
                <w:rFonts w:eastAsia="MS Mincho"/>
              </w:rPr>
              <w:t xml:space="preserve">a </w:t>
            </w:r>
            <w:r w:rsidR="00A716EE">
              <w:rPr>
                <w:rFonts w:eastAsia="MS Mincho"/>
              </w:rPr>
              <w:t>NRT</w:t>
            </w:r>
            <w:r w:rsidR="00574C4B" w:rsidRPr="00574C4B">
              <w:rPr>
                <w:rFonts w:eastAsia="MS Mincho"/>
              </w:rPr>
              <w:t>, bupropion, clonidine, or</w:t>
            </w:r>
            <w:r w:rsidR="00134606">
              <w:rPr>
                <w:rFonts w:eastAsia="MS Mincho"/>
              </w:rPr>
              <w:t xml:space="preserve"> </w:t>
            </w:r>
            <w:r w:rsidR="00574C4B" w:rsidRPr="00574C4B">
              <w:rPr>
                <w:rFonts w:eastAsia="MS Mincho"/>
              </w:rPr>
              <w:t>nortriptyline within the past 3 months or had taken varenicline previously</w:t>
            </w:r>
            <w:r w:rsidR="00A716EE">
              <w:rPr>
                <w:rFonts w:eastAsia="MS Mincho"/>
              </w:rPr>
              <w:t>,</w:t>
            </w:r>
            <w:r w:rsidR="00574C4B" w:rsidRPr="00574C4B">
              <w:rPr>
                <w:rFonts w:eastAsia="MS Mincho"/>
              </w:rPr>
              <w:t xml:space="preserve"> serious or unstable</w:t>
            </w:r>
            <w:r w:rsidR="00134606">
              <w:rPr>
                <w:rFonts w:eastAsia="MS Mincho"/>
              </w:rPr>
              <w:t xml:space="preserve"> </w:t>
            </w:r>
            <w:r w:rsidR="00134606" w:rsidRPr="00134606">
              <w:rPr>
                <w:rFonts w:eastAsia="MS Mincho"/>
              </w:rPr>
              <w:t>psychiatric disorders in the past 6 months or on the basis of medical history</w:t>
            </w:r>
            <w:r w:rsidR="000F7C26">
              <w:rPr>
                <w:rFonts w:eastAsia="MS Mincho"/>
              </w:rPr>
              <w:t>, including</w:t>
            </w:r>
            <w:r w:rsidR="00134606" w:rsidRPr="00134606">
              <w:rPr>
                <w:rFonts w:eastAsia="MS Mincho"/>
              </w:rPr>
              <w:t xml:space="preserve"> current depression or</w:t>
            </w:r>
            <w:r w:rsidR="003C312C">
              <w:rPr>
                <w:rFonts w:eastAsia="MS Mincho"/>
              </w:rPr>
              <w:t xml:space="preserve"> </w:t>
            </w:r>
            <w:r w:rsidR="00134606" w:rsidRPr="00134606">
              <w:rPr>
                <w:rFonts w:eastAsia="MS Mincho"/>
              </w:rPr>
              <w:t xml:space="preserve">depression diagnosed or treated within the past 12 months; any history of suicidal ideation or suicidal </w:t>
            </w:r>
            <w:r w:rsidR="003C312C" w:rsidRPr="00134606">
              <w:rPr>
                <w:rFonts w:eastAsia="MS Mincho"/>
              </w:rPr>
              <w:t>behaviour</w:t>
            </w:r>
            <w:r w:rsidR="00134606" w:rsidRPr="00134606">
              <w:rPr>
                <w:rFonts w:eastAsia="MS Mincho"/>
              </w:rPr>
              <w:t xml:space="preserve"> in the past</w:t>
            </w:r>
            <w:r w:rsidR="003C312C">
              <w:rPr>
                <w:rFonts w:eastAsia="MS Mincho"/>
              </w:rPr>
              <w:t xml:space="preserve"> </w:t>
            </w:r>
            <w:r w:rsidR="00134606" w:rsidRPr="00134606">
              <w:rPr>
                <w:rFonts w:eastAsia="MS Mincho"/>
              </w:rPr>
              <w:t>5 years</w:t>
            </w:r>
            <w:r w:rsidR="00A716EE">
              <w:rPr>
                <w:rFonts w:eastAsia="MS Mincho"/>
              </w:rPr>
              <w:t>,</w:t>
            </w:r>
            <w:r w:rsidR="00134606" w:rsidRPr="00134606">
              <w:rPr>
                <w:rFonts w:eastAsia="MS Mincho"/>
              </w:rPr>
              <w:t xml:space="preserve"> past history o</w:t>
            </w:r>
            <w:r w:rsidR="00A716EE">
              <w:rPr>
                <w:rFonts w:eastAsia="MS Mincho"/>
              </w:rPr>
              <w:t xml:space="preserve">f </w:t>
            </w:r>
            <w:r w:rsidR="00134606" w:rsidRPr="00134606">
              <w:rPr>
                <w:rFonts w:eastAsia="MS Mincho"/>
              </w:rPr>
              <w:t>or present</w:t>
            </w:r>
            <w:r w:rsidR="00A716EE">
              <w:rPr>
                <w:rFonts w:eastAsia="MS Mincho"/>
              </w:rPr>
              <w:t xml:space="preserve"> </w:t>
            </w:r>
            <w:r w:rsidR="00134606" w:rsidRPr="00134606">
              <w:rPr>
                <w:rFonts w:eastAsia="MS Mincho"/>
              </w:rPr>
              <w:t>psychosis, panic attacks, or anxiety disorders</w:t>
            </w:r>
            <w:r w:rsidR="00A716EE">
              <w:rPr>
                <w:rFonts w:eastAsia="MS Mincho"/>
              </w:rPr>
              <w:t>,</w:t>
            </w:r>
            <w:r w:rsidR="00134606" w:rsidRPr="00134606">
              <w:rPr>
                <w:rFonts w:eastAsia="MS Mincho"/>
              </w:rPr>
              <w:t xml:space="preserve"> or bipolar disorder</w:t>
            </w:r>
            <w:r w:rsidR="003C312C">
              <w:rPr>
                <w:rFonts w:eastAsia="MS Mincho"/>
              </w:rPr>
              <w:t xml:space="preserve">; </w:t>
            </w:r>
            <w:r w:rsidR="00134606" w:rsidRPr="00134606">
              <w:rPr>
                <w:rFonts w:eastAsia="MS Mincho"/>
              </w:rPr>
              <w:t>a history of drug (except nicotine) or alcohol abuse/dependence within the past 12 months and those with a positive urine drug screen for drugs of abuse/potential abuse not prescribed for the treatment of a medical condition.</w:t>
            </w:r>
          </w:p>
        </w:tc>
        <w:tc>
          <w:tcPr>
            <w:tcW w:w="920" w:type="pct"/>
            <w:shd w:val="clear" w:color="auto" w:fill="D9D9D9" w:themeFill="background1" w:themeFillShade="D9"/>
          </w:tcPr>
          <w:p w:rsidR="006647E7" w:rsidRDefault="006647E7" w:rsidP="002916A7">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sidR="00083C3E">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(i</w:t>
            </w:r>
            <w:r>
              <w:rPr>
                <w:rFonts w:eastAsia="MS Mincho"/>
              </w:rPr>
              <w:t>.</w:t>
            </w:r>
            <w:r w:rsidRPr="00372F18">
              <w:rPr>
                <w:rFonts w:eastAsia="MS Mincho"/>
              </w:rPr>
              <w:t>e</w:t>
            </w:r>
            <w:r>
              <w:rPr>
                <w:rFonts w:eastAsia="MS Mincho"/>
              </w:rPr>
              <w:t>.</w:t>
            </w:r>
            <w:r w:rsidRPr="00372F18">
              <w:rPr>
                <w:rFonts w:eastAsia="MS Mincho"/>
              </w:rPr>
              <w:t xml:space="preserve"> 0.5</w:t>
            </w:r>
            <w:r w:rsidR="00083C3E">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sidR="00083C3E">
              <w:rPr>
                <w:rFonts w:eastAsia="MS Mincho"/>
              </w:rPr>
              <w:t xml:space="preserve"> </w:t>
            </w:r>
            <w:r w:rsidRPr="00372F18">
              <w:rPr>
                <w:rFonts w:eastAsia="MS Mincho"/>
              </w:rPr>
              <w:t>mg twice daily for 4 days, then 1</w:t>
            </w:r>
            <w:r w:rsidR="00083C3E">
              <w:rPr>
                <w:rFonts w:eastAsia="MS Mincho"/>
              </w:rPr>
              <w:t xml:space="preserve"> </w:t>
            </w:r>
            <w:r w:rsidRPr="00372F18">
              <w:rPr>
                <w:rFonts w:eastAsia="MS Mincho"/>
              </w:rPr>
              <w:t>mg twice daily)</w:t>
            </w:r>
            <w:r w:rsidR="004657DA">
              <w:rPr>
                <w:rFonts w:eastAsia="MS Mincho"/>
              </w:rPr>
              <w:t>;</w:t>
            </w:r>
          </w:p>
          <w:p w:rsidR="00561966" w:rsidRDefault="006647E7" w:rsidP="002916A7">
            <w:pPr>
              <w:pStyle w:val="Tablewriting"/>
              <w:rPr>
                <w:rFonts w:eastAsia="MS Mincho"/>
              </w:rPr>
            </w:pPr>
            <w:r>
              <w:rPr>
                <w:rFonts w:eastAsia="MS Mincho"/>
              </w:rPr>
              <w:t>Placebo: placebo tablet for 12 weeks, same regimen</w:t>
            </w:r>
            <w:r w:rsidR="000F1E7A">
              <w:rPr>
                <w:rFonts w:eastAsia="MS Mincho"/>
              </w:rPr>
              <w:t>.</w:t>
            </w:r>
          </w:p>
          <w:p w:rsidR="006C0130" w:rsidRDefault="006C0130" w:rsidP="002916A7">
            <w:pPr>
              <w:pStyle w:val="Tablewriting"/>
              <w:rPr>
                <w:rFonts w:eastAsia="MS Mincho"/>
              </w:rPr>
            </w:pPr>
          </w:p>
          <w:p w:rsidR="006C0130" w:rsidRPr="00A34E7B" w:rsidRDefault="006C0130" w:rsidP="002916A7">
            <w:pPr>
              <w:pStyle w:val="Tablewriting"/>
              <w:rPr>
                <w:rFonts w:eastAsia="MS Mincho"/>
              </w:rPr>
            </w:pPr>
            <w:r w:rsidRPr="006C0130">
              <w:rPr>
                <w:rFonts w:eastAsia="MS Mincho"/>
              </w:rPr>
              <w:t>Behavioural support provided in both arms.</w:t>
            </w:r>
          </w:p>
        </w:tc>
        <w:tc>
          <w:tcPr>
            <w:tcW w:w="1140" w:type="pct"/>
            <w:shd w:val="clear" w:color="auto" w:fill="D9D9D9" w:themeFill="background1" w:themeFillShade="D9"/>
            <w:tcMar>
              <w:left w:w="28" w:type="dxa"/>
              <w:right w:w="28" w:type="dxa"/>
            </w:tcMar>
          </w:tcPr>
          <w:p w:rsidR="006647E7" w:rsidRDefault="006647E7" w:rsidP="002916A7">
            <w:pPr>
              <w:pStyle w:val="Tablewriting"/>
              <w:rPr>
                <w:rFonts w:eastAsia="MS Mincho"/>
              </w:rPr>
            </w:pPr>
            <w:r w:rsidRPr="008C39E4">
              <w:rPr>
                <w:rFonts w:eastAsia="MS Mincho"/>
                <w:u w:val="single"/>
              </w:rPr>
              <w:t>Primary</w:t>
            </w:r>
            <w:r>
              <w:rPr>
                <w:rFonts w:eastAsia="MS Mincho"/>
              </w:rPr>
              <w:t xml:space="preserve">: </w:t>
            </w:r>
            <w:r w:rsidR="00A716EE">
              <w:rPr>
                <w:rFonts w:eastAsia="MS Mincho"/>
              </w:rPr>
              <w:t>CAR</w:t>
            </w:r>
            <w:r>
              <w:rPr>
                <w:rFonts w:eastAsia="MS Mincho"/>
              </w:rPr>
              <w:t xml:space="preserve"> at Week 9-12. Validated by CO</w:t>
            </w:r>
            <w:r w:rsidR="00F706B6">
              <w:rPr>
                <w:rFonts w:eastAsia="MS Mincho"/>
              </w:rPr>
              <w:t xml:space="preserve"> </w:t>
            </w:r>
            <w:r>
              <w:rPr>
                <w:rFonts w:eastAsia="MS Mincho" w:cstheme="minorHAnsi"/>
              </w:rPr>
              <w:t>≤</w:t>
            </w:r>
            <w:r>
              <w:rPr>
                <w:rFonts w:eastAsia="MS Mincho"/>
              </w:rPr>
              <w:t>10</w:t>
            </w:r>
            <w:r w:rsidR="00083C3E">
              <w:rPr>
                <w:rFonts w:eastAsia="MS Mincho"/>
              </w:rPr>
              <w:t xml:space="preserve"> </w:t>
            </w:r>
            <w:r>
              <w:rPr>
                <w:rFonts w:eastAsia="MS Mincho"/>
              </w:rPr>
              <w:t>ppm.</w:t>
            </w:r>
          </w:p>
          <w:p w:rsidR="006647E7" w:rsidRDefault="006647E7" w:rsidP="002916A7">
            <w:pPr>
              <w:pStyle w:val="Tablewriting"/>
              <w:rPr>
                <w:rFonts w:eastAsia="MS Mincho"/>
              </w:rPr>
            </w:pPr>
            <w:r w:rsidRPr="008C39E4">
              <w:rPr>
                <w:rFonts w:eastAsia="MS Mincho"/>
                <w:u w:val="single"/>
              </w:rPr>
              <w:t>Secondary</w:t>
            </w:r>
            <w:r>
              <w:rPr>
                <w:rFonts w:eastAsia="MS Mincho"/>
              </w:rPr>
              <w:t>: C</w:t>
            </w:r>
            <w:r w:rsidR="00A716EE">
              <w:rPr>
                <w:rFonts w:eastAsia="MS Mincho"/>
              </w:rPr>
              <w:t>AR</w:t>
            </w:r>
            <w:r>
              <w:rPr>
                <w:rFonts w:eastAsia="MS Mincho"/>
              </w:rPr>
              <w:t xml:space="preserve"> at Week 9-24. </w:t>
            </w:r>
            <w:r w:rsidRPr="00624207">
              <w:rPr>
                <w:rFonts w:eastAsia="MS Mincho"/>
              </w:rPr>
              <w:t xml:space="preserve">7-day PPA </w:t>
            </w:r>
            <w:r>
              <w:rPr>
                <w:rFonts w:eastAsia="MS Mincho"/>
              </w:rPr>
              <w:t>at Week 12 and 24.</w:t>
            </w:r>
            <w:r w:rsidR="00B8052B">
              <w:rPr>
                <w:rFonts w:eastAsia="MS Mincho"/>
              </w:rPr>
              <w:t xml:space="preserve"> Validated by CO </w:t>
            </w:r>
            <w:r w:rsidR="00B8052B">
              <w:rPr>
                <w:rFonts w:eastAsia="MS Mincho" w:cstheme="minorHAnsi"/>
              </w:rPr>
              <w:t>≤</w:t>
            </w:r>
            <w:r w:rsidR="00B8052B">
              <w:rPr>
                <w:rFonts w:eastAsia="MS Mincho"/>
              </w:rPr>
              <w:t>10</w:t>
            </w:r>
            <w:r w:rsidR="00083C3E">
              <w:rPr>
                <w:rFonts w:eastAsia="MS Mincho"/>
              </w:rPr>
              <w:t xml:space="preserve"> </w:t>
            </w:r>
            <w:r w:rsidR="00B8052B">
              <w:rPr>
                <w:rFonts w:eastAsia="MS Mincho"/>
              </w:rPr>
              <w:t>ppm.</w:t>
            </w:r>
          </w:p>
          <w:p w:rsidR="00561966" w:rsidRPr="00061F78" w:rsidRDefault="006647E7" w:rsidP="002916A7">
            <w:pPr>
              <w:pStyle w:val="Tablewriting"/>
              <w:rPr>
                <w:rFonts w:eastAsia="MS Mincho"/>
              </w:rPr>
            </w:pPr>
            <w:r w:rsidRPr="0055171C">
              <w:rPr>
                <w:rFonts w:eastAsia="MS Mincho"/>
                <w:u w:val="single"/>
              </w:rPr>
              <w:t>Other</w:t>
            </w:r>
            <w:r>
              <w:rPr>
                <w:rFonts w:eastAsia="MS Mincho"/>
              </w:rPr>
              <w:t xml:space="preserve">: </w:t>
            </w:r>
            <w:r w:rsidR="00B83AC1">
              <w:rPr>
                <w:rFonts w:eastAsia="MS Mincho"/>
              </w:rPr>
              <w:t>a</w:t>
            </w:r>
            <w:r w:rsidR="00B83AC1" w:rsidRPr="00B83AC1">
              <w:rPr>
                <w:rFonts w:eastAsia="MS Mincho"/>
              </w:rPr>
              <w:t xml:space="preserve">dverse events, </w:t>
            </w:r>
            <w:r w:rsidR="008E0A8D">
              <w:rPr>
                <w:rFonts w:eastAsia="MS Mincho"/>
              </w:rPr>
              <w:t>serious adverse event</w:t>
            </w:r>
            <w:r w:rsidR="00B83AC1" w:rsidRPr="00B83AC1">
              <w:rPr>
                <w:rFonts w:eastAsia="MS Mincho"/>
              </w:rPr>
              <w:t>s; timing and number of quit attempts</w:t>
            </w:r>
            <w:r w:rsidR="000F1E7A">
              <w:rPr>
                <w:rFonts w:eastAsia="MS Mincho"/>
              </w:rPr>
              <w:t>.</w:t>
            </w:r>
          </w:p>
        </w:tc>
      </w:tr>
      <w:tr w:rsidR="00260CD7" w:rsidRPr="00061F78" w:rsidTr="00B537F7">
        <w:trPr>
          <w:trHeight w:val="99"/>
        </w:trPr>
        <w:tc>
          <w:tcPr>
            <w:tcW w:w="332" w:type="pct"/>
            <w:shd w:val="clear" w:color="auto" w:fill="D9D9D9" w:themeFill="background1" w:themeFillShade="D9"/>
            <w:tcMar>
              <w:left w:w="28" w:type="dxa"/>
              <w:right w:w="28" w:type="dxa"/>
            </w:tcMar>
          </w:tcPr>
          <w:p w:rsidR="00561966" w:rsidRPr="00061F78" w:rsidRDefault="00B83AC1" w:rsidP="002916A7">
            <w:pPr>
              <w:pStyle w:val="Tablewriting"/>
              <w:rPr>
                <w:rFonts w:eastAsia="MS Mincho"/>
              </w:rPr>
            </w:pPr>
            <w:r w:rsidRPr="00B83AC1">
              <w:rPr>
                <w:rFonts w:eastAsia="MS Mincho"/>
              </w:rPr>
              <w:t>Anthenelli (EAGLES, 2016)</w:t>
            </w:r>
          </w:p>
        </w:tc>
        <w:tc>
          <w:tcPr>
            <w:tcW w:w="395" w:type="pct"/>
            <w:shd w:val="clear" w:color="auto" w:fill="D9D9D9" w:themeFill="background1" w:themeFillShade="D9"/>
          </w:tcPr>
          <w:p w:rsidR="00561966" w:rsidRDefault="00B83AC1"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rsidR="00B83AC1" w:rsidRDefault="00B83AC1" w:rsidP="002916A7">
            <w:pPr>
              <w:pStyle w:val="Tablewriting"/>
              <w:rPr>
                <w:rFonts w:eastAsia="MS Mincho"/>
              </w:rPr>
            </w:pPr>
            <w:r>
              <w:rPr>
                <w:rFonts w:eastAsia="MS Mincho"/>
              </w:rPr>
              <w:t>N=</w:t>
            </w:r>
            <w:r w:rsidR="003D57F1">
              <w:rPr>
                <w:rFonts w:eastAsia="MS Mincho"/>
              </w:rPr>
              <w:t>8,144</w:t>
            </w:r>
          </w:p>
          <w:p w:rsidR="00561966" w:rsidRPr="00061F78" w:rsidRDefault="00B83AC1" w:rsidP="002916A7">
            <w:pPr>
              <w:pStyle w:val="Tablewriting"/>
              <w:rPr>
                <w:rFonts w:eastAsia="MS Mincho"/>
              </w:rPr>
            </w:pPr>
            <w:r>
              <w:rPr>
                <w:rFonts w:eastAsia="MS Mincho"/>
              </w:rPr>
              <w:t>Varenicline (n=</w:t>
            </w:r>
            <w:r w:rsidR="002525A1">
              <w:rPr>
                <w:rFonts w:eastAsia="MS Mincho"/>
              </w:rPr>
              <w:t>2,037</w:t>
            </w:r>
            <w:r>
              <w:rPr>
                <w:rFonts w:eastAsia="MS Mincho"/>
              </w:rPr>
              <w:t>), Placebo (n=</w:t>
            </w:r>
            <w:r w:rsidR="002525A1">
              <w:rPr>
                <w:rFonts w:eastAsia="MS Mincho"/>
              </w:rPr>
              <w:t>2,035</w:t>
            </w:r>
            <w:r>
              <w:rPr>
                <w:rFonts w:eastAsia="MS Mincho"/>
              </w:rPr>
              <w:t>)</w:t>
            </w:r>
          </w:p>
        </w:tc>
        <w:tc>
          <w:tcPr>
            <w:tcW w:w="1866" w:type="pct"/>
            <w:shd w:val="clear" w:color="auto" w:fill="D9D9D9" w:themeFill="background1" w:themeFillShade="D9"/>
            <w:tcMar>
              <w:left w:w="28" w:type="dxa"/>
              <w:right w:w="28" w:type="dxa"/>
            </w:tcMar>
          </w:tcPr>
          <w:p w:rsidR="00B83AC1" w:rsidRDefault="00B83AC1" w:rsidP="002916A7">
            <w:pPr>
              <w:pStyle w:val="Tablewriting"/>
              <w:rPr>
                <w:rFonts w:eastAsia="MS Mincho"/>
              </w:rPr>
            </w:pPr>
            <w:r w:rsidRPr="007F28D7">
              <w:rPr>
                <w:rFonts w:eastAsia="MS Mincho"/>
                <w:u w:val="single"/>
              </w:rPr>
              <w:t>Inclusion</w:t>
            </w:r>
            <w:r>
              <w:rPr>
                <w:rFonts w:eastAsia="MS Mincho"/>
              </w:rPr>
              <w:t xml:space="preserve">: </w:t>
            </w:r>
            <w:r w:rsidRPr="00C522B0">
              <w:rPr>
                <w:rFonts w:eastAsia="MS Mincho"/>
              </w:rPr>
              <w:t>18</w:t>
            </w:r>
            <w:r w:rsidR="00793A6C" w:rsidRPr="00793A6C">
              <w:rPr>
                <w:rFonts w:eastAsia="MS Mincho"/>
              </w:rPr>
              <w:t>–</w:t>
            </w:r>
            <w:r w:rsidRPr="00C522B0">
              <w:rPr>
                <w:rFonts w:eastAsia="MS Mincho"/>
              </w:rPr>
              <w:t>75 years</w:t>
            </w:r>
            <w:r w:rsidR="00A716EE">
              <w:rPr>
                <w:rFonts w:eastAsia="MS Mincho"/>
              </w:rPr>
              <w:t xml:space="preserve"> old</w:t>
            </w:r>
            <w:r w:rsidRPr="00C522B0">
              <w:rPr>
                <w:rFonts w:eastAsia="MS Mincho"/>
              </w:rPr>
              <w:t xml:space="preserve">, </w:t>
            </w:r>
            <w:r w:rsidR="00793A6C" w:rsidRPr="00793A6C">
              <w:rPr>
                <w:rFonts w:eastAsia="MS Mincho"/>
              </w:rPr>
              <w:t>with and without prespecified psychiatric diagnoses per</w:t>
            </w:r>
            <w:r w:rsidR="00793A6C">
              <w:rPr>
                <w:rFonts w:eastAsia="MS Mincho"/>
              </w:rPr>
              <w:t xml:space="preserve"> </w:t>
            </w:r>
            <w:r w:rsidR="00793A6C" w:rsidRPr="00793A6C">
              <w:rPr>
                <w:rFonts w:eastAsia="MS Mincho"/>
              </w:rPr>
              <w:t>the DSM-IV-TR</w:t>
            </w:r>
            <w:r w:rsidR="00793A6C">
              <w:rPr>
                <w:rFonts w:eastAsia="MS Mincho"/>
              </w:rPr>
              <w:t xml:space="preserve">, </w:t>
            </w:r>
            <w:r>
              <w:rPr>
                <w:rFonts w:eastAsia="MS Mincho" w:cstheme="minorHAnsi"/>
              </w:rPr>
              <w:t>≥</w:t>
            </w:r>
            <w:r w:rsidRPr="00C522B0">
              <w:rPr>
                <w:rFonts w:eastAsia="MS Mincho"/>
              </w:rPr>
              <w:t>10 cigarettes</w:t>
            </w:r>
            <w:r w:rsidR="00793A6C" w:rsidRPr="00793A6C">
              <w:rPr>
                <w:rFonts w:eastAsia="MS Mincho"/>
              </w:rPr>
              <w:t xml:space="preserve"> per </w:t>
            </w:r>
            <w:r w:rsidRPr="00C522B0">
              <w:rPr>
                <w:rFonts w:eastAsia="MS Mincho"/>
              </w:rPr>
              <w:t>day during the previous year</w:t>
            </w:r>
            <w:r w:rsidR="00793A6C" w:rsidRPr="00793A6C">
              <w:rPr>
                <w:rFonts w:eastAsia="MS Mincho"/>
              </w:rPr>
              <w:t xml:space="preserve">, exhaled </w:t>
            </w:r>
            <w:r w:rsidR="005C4E34">
              <w:rPr>
                <w:rFonts w:eastAsia="MS Mincho"/>
              </w:rPr>
              <w:t>CO</w:t>
            </w:r>
            <w:r w:rsidR="00793A6C" w:rsidRPr="00793A6C">
              <w:rPr>
                <w:rFonts w:eastAsia="MS Mincho"/>
              </w:rPr>
              <w:t xml:space="preserve"> concentration </w:t>
            </w:r>
            <w:r w:rsidR="005C4E34">
              <w:rPr>
                <w:rFonts w:eastAsia="MS Mincho"/>
              </w:rPr>
              <w:t>&gt;</w:t>
            </w:r>
            <w:r w:rsidR="00793A6C" w:rsidRPr="00793A6C">
              <w:rPr>
                <w:rFonts w:eastAsia="MS Mincho"/>
              </w:rPr>
              <w:t>10ppm</w:t>
            </w:r>
            <w:r w:rsidRPr="00C522B0">
              <w:rPr>
                <w:rFonts w:eastAsia="MS Mincho"/>
              </w:rPr>
              <w:t>, motivated to stop smoking.</w:t>
            </w:r>
          </w:p>
          <w:p w:rsidR="00561966" w:rsidRPr="00061F78" w:rsidRDefault="00B83AC1" w:rsidP="002916A7">
            <w:pPr>
              <w:pStyle w:val="Tablewriting"/>
              <w:rPr>
                <w:rFonts w:eastAsia="MS Mincho"/>
              </w:rPr>
            </w:pPr>
            <w:r w:rsidRPr="007F28D7">
              <w:rPr>
                <w:rFonts w:eastAsia="MS Mincho"/>
                <w:u w:val="single"/>
              </w:rPr>
              <w:t>Exclusion</w:t>
            </w:r>
            <w:r>
              <w:rPr>
                <w:rFonts w:eastAsia="MS Mincho"/>
              </w:rPr>
              <w:t xml:space="preserve">: </w:t>
            </w:r>
            <w:r w:rsidR="00013181">
              <w:rPr>
                <w:rFonts w:eastAsia="MS Mincho"/>
              </w:rPr>
              <w:t>p</w:t>
            </w:r>
            <w:r w:rsidR="00013181" w:rsidRPr="00013181">
              <w:rPr>
                <w:rFonts w:eastAsia="MS Mincho"/>
              </w:rPr>
              <w:t>ast or current diagnosis of schizophreniform or delusional disorders, all delirium, dementia,</w:t>
            </w:r>
            <w:r w:rsidR="00AA69E9">
              <w:rPr>
                <w:rFonts w:eastAsia="MS Mincho"/>
              </w:rPr>
              <w:t xml:space="preserve"> </w:t>
            </w:r>
            <w:r w:rsidR="00013181" w:rsidRPr="00013181">
              <w:rPr>
                <w:rFonts w:eastAsia="MS Mincho"/>
              </w:rPr>
              <w:t>and other cognitive disorders, and all substance-induced disorders (other than nicotine)</w:t>
            </w:r>
            <w:r w:rsidR="00AA69E9">
              <w:rPr>
                <w:rFonts w:eastAsia="MS Mincho"/>
              </w:rPr>
              <w:t>.</w:t>
            </w:r>
          </w:p>
        </w:tc>
        <w:tc>
          <w:tcPr>
            <w:tcW w:w="920" w:type="pct"/>
            <w:shd w:val="clear" w:color="auto" w:fill="D9D9D9" w:themeFill="background1" w:themeFillShade="D9"/>
          </w:tcPr>
          <w:p w:rsidR="00B83AC1" w:rsidRDefault="00B83AC1" w:rsidP="002916A7">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sidR="00083C3E">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(i</w:t>
            </w:r>
            <w:r>
              <w:rPr>
                <w:rFonts w:eastAsia="MS Mincho"/>
              </w:rPr>
              <w:t>.</w:t>
            </w:r>
            <w:r w:rsidRPr="00372F18">
              <w:rPr>
                <w:rFonts w:eastAsia="MS Mincho"/>
              </w:rPr>
              <w:t>e</w:t>
            </w:r>
            <w:r>
              <w:rPr>
                <w:rFonts w:eastAsia="MS Mincho"/>
              </w:rPr>
              <w:t>.</w:t>
            </w:r>
            <w:r w:rsidRPr="00372F18">
              <w:rPr>
                <w:rFonts w:eastAsia="MS Mincho"/>
              </w:rPr>
              <w:t xml:space="preserve"> 0.5</w:t>
            </w:r>
            <w:r w:rsidR="00083C3E">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sidR="00083C3E">
              <w:rPr>
                <w:rFonts w:eastAsia="MS Mincho"/>
              </w:rPr>
              <w:t xml:space="preserve"> </w:t>
            </w:r>
            <w:r w:rsidRPr="00372F18">
              <w:rPr>
                <w:rFonts w:eastAsia="MS Mincho"/>
              </w:rPr>
              <w:t>mg twice daily for 4 days, then 1</w:t>
            </w:r>
            <w:r w:rsidR="00083C3E">
              <w:rPr>
                <w:rFonts w:eastAsia="MS Mincho"/>
              </w:rPr>
              <w:t xml:space="preserve"> </w:t>
            </w:r>
            <w:r w:rsidRPr="00372F18">
              <w:rPr>
                <w:rFonts w:eastAsia="MS Mincho"/>
              </w:rPr>
              <w:t>mg twice daily)</w:t>
            </w:r>
            <w:r w:rsidR="004657DA">
              <w:rPr>
                <w:rFonts w:eastAsia="MS Mincho"/>
              </w:rPr>
              <w:t>;</w:t>
            </w:r>
          </w:p>
          <w:p w:rsidR="00561966" w:rsidRDefault="00B83AC1" w:rsidP="002916A7">
            <w:pPr>
              <w:pStyle w:val="Tablewriting"/>
              <w:rPr>
                <w:rFonts w:eastAsia="MS Mincho"/>
              </w:rPr>
            </w:pPr>
            <w:r>
              <w:rPr>
                <w:rFonts w:eastAsia="MS Mincho"/>
              </w:rPr>
              <w:t>Placebo: placebo tablet for 12 weeks, same regimen</w:t>
            </w:r>
            <w:r w:rsidR="000F1E7A">
              <w:rPr>
                <w:rFonts w:eastAsia="MS Mincho"/>
              </w:rPr>
              <w:t>.</w:t>
            </w:r>
          </w:p>
          <w:p w:rsidR="00C115B1" w:rsidRDefault="00C115B1" w:rsidP="002916A7">
            <w:pPr>
              <w:pStyle w:val="Tablewriting"/>
              <w:rPr>
                <w:rFonts w:eastAsia="MS Mincho"/>
              </w:rPr>
            </w:pPr>
          </w:p>
          <w:p w:rsidR="00C115B1" w:rsidRPr="00A34E7B" w:rsidRDefault="00C115B1" w:rsidP="002916A7">
            <w:pPr>
              <w:pStyle w:val="Tablewriting"/>
              <w:rPr>
                <w:rFonts w:eastAsia="MS Mincho"/>
              </w:rPr>
            </w:pPr>
            <w:r w:rsidRPr="00C115B1">
              <w:rPr>
                <w:rFonts w:eastAsia="MS Mincho"/>
              </w:rPr>
              <w:lastRenderedPageBreak/>
              <w:t>Behavioural support provided in both arms.</w:t>
            </w:r>
          </w:p>
        </w:tc>
        <w:tc>
          <w:tcPr>
            <w:tcW w:w="1140" w:type="pct"/>
            <w:shd w:val="clear" w:color="auto" w:fill="D9D9D9" w:themeFill="background1" w:themeFillShade="D9"/>
            <w:tcMar>
              <w:left w:w="28" w:type="dxa"/>
              <w:right w:w="28" w:type="dxa"/>
            </w:tcMar>
          </w:tcPr>
          <w:p w:rsidR="00B83AC1" w:rsidRDefault="00B83AC1" w:rsidP="002916A7">
            <w:pPr>
              <w:pStyle w:val="Tablewriting"/>
              <w:rPr>
                <w:rFonts w:eastAsia="MS Mincho"/>
              </w:rPr>
            </w:pPr>
            <w:r w:rsidRPr="008C39E4">
              <w:rPr>
                <w:rFonts w:eastAsia="MS Mincho"/>
                <w:u w:val="single"/>
              </w:rPr>
              <w:lastRenderedPageBreak/>
              <w:t>Primary</w:t>
            </w:r>
            <w:r>
              <w:rPr>
                <w:rFonts w:eastAsia="MS Mincho"/>
              </w:rPr>
              <w:t xml:space="preserve">: </w:t>
            </w:r>
            <w:r w:rsidR="00B44807">
              <w:rPr>
                <w:rFonts w:eastAsia="MS Mincho"/>
              </w:rPr>
              <w:t xml:space="preserve">safety including </w:t>
            </w:r>
            <w:r w:rsidR="00C1753E">
              <w:rPr>
                <w:rFonts w:eastAsia="MS Mincho"/>
              </w:rPr>
              <w:t>adverse events</w:t>
            </w:r>
            <w:r w:rsidR="000F1E7A">
              <w:rPr>
                <w:rFonts w:eastAsia="MS Mincho"/>
              </w:rPr>
              <w:t>.</w:t>
            </w:r>
          </w:p>
          <w:p w:rsidR="00EF3594" w:rsidRDefault="00C1753E" w:rsidP="002916A7">
            <w:pPr>
              <w:pStyle w:val="Tablewriting"/>
              <w:rPr>
                <w:rFonts w:eastAsia="MS Mincho"/>
              </w:rPr>
            </w:pPr>
            <w:r w:rsidRPr="00C1753E">
              <w:rPr>
                <w:rFonts w:eastAsia="MS Mincho"/>
                <w:u w:val="single"/>
              </w:rPr>
              <w:t>Primary efficacy</w:t>
            </w:r>
            <w:r>
              <w:rPr>
                <w:rFonts w:eastAsia="MS Mincho"/>
              </w:rPr>
              <w:t>:</w:t>
            </w:r>
            <w:r>
              <w:t xml:space="preserve"> </w:t>
            </w:r>
            <w:r w:rsidR="00D6198D">
              <w:rPr>
                <w:rFonts w:eastAsia="MS Mincho"/>
              </w:rPr>
              <w:t>CAR</w:t>
            </w:r>
            <w:r w:rsidRPr="00C1753E">
              <w:rPr>
                <w:rFonts w:eastAsia="MS Mincho"/>
              </w:rPr>
              <w:t xml:space="preserve"> at Week 9-12. Validated by CO</w:t>
            </w:r>
            <w:r w:rsidR="00796FCE">
              <w:rPr>
                <w:rFonts w:eastAsia="MS Mincho"/>
              </w:rPr>
              <w:t xml:space="preserve"> </w:t>
            </w:r>
            <w:r w:rsidRPr="00C1753E">
              <w:rPr>
                <w:rFonts w:eastAsia="MS Mincho"/>
              </w:rPr>
              <w:t>≤10</w:t>
            </w:r>
            <w:r w:rsidR="00796FCE">
              <w:rPr>
                <w:rFonts w:eastAsia="MS Mincho"/>
              </w:rPr>
              <w:t xml:space="preserve"> </w:t>
            </w:r>
            <w:r w:rsidRPr="00C1753E">
              <w:rPr>
                <w:rFonts w:eastAsia="MS Mincho"/>
              </w:rPr>
              <w:t>ppm.</w:t>
            </w:r>
            <w:r>
              <w:rPr>
                <w:rFonts w:eastAsia="MS Mincho"/>
              </w:rPr>
              <w:t xml:space="preserve"> </w:t>
            </w:r>
          </w:p>
          <w:p w:rsidR="00561966" w:rsidRPr="00061F78" w:rsidRDefault="00EF3594" w:rsidP="002916A7">
            <w:pPr>
              <w:pStyle w:val="Tablewriting"/>
              <w:rPr>
                <w:rFonts w:eastAsia="MS Mincho"/>
              </w:rPr>
            </w:pPr>
            <w:r w:rsidRPr="00EF3594">
              <w:rPr>
                <w:rFonts w:eastAsia="MS Mincho"/>
                <w:u w:val="single"/>
              </w:rPr>
              <w:t>Secondary efficacy</w:t>
            </w:r>
            <w:r>
              <w:rPr>
                <w:rFonts w:eastAsia="MS Mincho"/>
              </w:rPr>
              <w:t xml:space="preserve">: </w:t>
            </w:r>
            <w:r w:rsidR="00D6198D">
              <w:rPr>
                <w:rFonts w:eastAsia="MS Mincho"/>
              </w:rPr>
              <w:t>CAR</w:t>
            </w:r>
            <w:r w:rsidR="00B83AC1">
              <w:rPr>
                <w:rFonts w:eastAsia="MS Mincho"/>
              </w:rPr>
              <w:t xml:space="preserve"> at Week 9-24. </w:t>
            </w:r>
            <w:r w:rsidR="00B83AC1" w:rsidRPr="00624207">
              <w:rPr>
                <w:rFonts w:eastAsia="MS Mincho"/>
              </w:rPr>
              <w:t xml:space="preserve">7-day PPA </w:t>
            </w:r>
            <w:r w:rsidR="00B83AC1">
              <w:rPr>
                <w:rFonts w:eastAsia="MS Mincho"/>
              </w:rPr>
              <w:t xml:space="preserve">at </w:t>
            </w:r>
            <w:r w:rsidR="00636B56">
              <w:rPr>
                <w:rFonts w:eastAsia="MS Mincho"/>
              </w:rPr>
              <w:t>all visits</w:t>
            </w:r>
            <w:r w:rsidR="00B83AC1">
              <w:rPr>
                <w:rFonts w:eastAsia="MS Mincho"/>
              </w:rPr>
              <w:t>.</w:t>
            </w:r>
            <w:r w:rsidR="00B8052B">
              <w:rPr>
                <w:rFonts w:eastAsia="MS Mincho"/>
              </w:rPr>
              <w:t xml:space="preserve"> Validated by CO </w:t>
            </w:r>
            <w:r w:rsidR="00B8052B">
              <w:rPr>
                <w:rFonts w:eastAsia="MS Mincho" w:cstheme="minorHAnsi"/>
              </w:rPr>
              <w:t>≤</w:t>
            </w:r>
            <w:r w:rsidR="00B8052B">
              <w:rPr>
                <w:rFonts w:eastAsia="MS Mincho"/>
              </w:rPr>
              <w:t>10</w:t>
            </w:r>
            <w:r w:rsidR="00D570DB">
              <w:rPr>
                <w:rFonts w:eastAsia="MS Mincho"/>
              </w:rPr>
              <w:t xml:space="preserve"> </w:t>
            </w:r>
            <w:r w:rsidR="00B8052B">
              <w:rPr>
                <w:rFonts w:eastAsia="MS Mincho"/>
              </w:rPr>
              <w:t>ppm.</w:t>
            </w:r>
          </w:p>
        </w:tc>
      </w:tr>
      <w:tr w:rsidR="00260CD7" w:rsidRPr="00061F78" w:rsidTr="00B537F7">
        <w:trPr>
          <w:trHeight w:val="149"/>
        </w:trPr>
        <w:tc>
          <w:tcPr>
            <w:tcW w:w="332" w:type="pct"/>
            <w:tcMar>
              <w:left w:w="28" w:type="dxa"/>
              <w:right w:w="28" w:type="dxa"/>
            </w:tcMar>
          </w:tcPr>
          <w:p w:rsidR="001262BD" w:rsidRDefault="004F1864" w:rsidP="002916A7">
            <w:pPr>
              <w:pStyle w:val="Tablewriting"/>
              <w:rPr>
                <w:rFonts w:eastAsia="MS Mincho"/>
              </w:rPr>
            </w:pPr>
            <w:r>
              <w:rPr>
                <w:rFonts w:eastAsia="MS Mincho"/>
              </w:rPr>
              <w:t>Cahill</w:t>
            </w:r>
          </w:p>
          <w:p w:rsidR="004F1864" w:rsidRPr="004F1864" w:rsidRDefault="004F1864" w:rsidP="002916A7">
            <w:pPr>
              <w:pStyle w:val="Tablewriting"/>
              <w:rPr>
                <w:rFonts w:eastAsia="MS Mincho"/>
              </w:rPr>
            </w:pPr>
            <w:r>
              <w:rPr>
                <w:rFonts w:eastAsia="MS Mincho"/>
              </w:rPr>
              <w:t>(2016)</w:t>
            </w:r>
          </w:p>
        </w:tc>
        <w:tc>
          <w:tcPr>
            <w:tcW w:w="395" w:type="pct"/>
          </w:tcPr>
          <w:p w:rsidR="001262BD" w:rsidRDefault="001262BD" w:rsidP="002916A7">
            <w:pPr>
              <w:pStyle w:val="Tablewriting"/>
              <w:rPr>
                <w:rFonts w:eastAsia="MS Mincho"/>
              </w:rPr>
            </w:pPr>
            <w:r>
              <w:rPr>
                <w:rFonts w:eastAsia="MS Mincho"/>
              </w:rPr>
              <w:t>Cochrane review    (</w:t>
            </w:r>
            <w:r w:rsidR="003F7617">
              <w:rPr>
                <w:rFonts w:eastAsia="MS Mincho"/>
              </w:rPr>
              <w:t>34</w:t>
            </w:r>
            <w:r>
              <w:rPr>
                <w:rFonts w:eastAsia="MS Mincho"/>
              </w:rPr>
              <w:t xml:space="preserve"> RCTs</w:t>
            </w:r>
            <w:r w:rsidR="004A08A6">
              <w:rPr>
                <w:rFonts w:eastAsia="MS Mincho"/>
                <w:vertAlign w:val="superscript"/>
              </w:rPr>
              <w:t>3</w:t>
            </w:r>
            <w:r>
              <w:rPr>
                <w:rFonts w:eastAsia="MS Mincho"/>
              </w:rPr>
              <w:t>)</w:t>
            </w:r>
          </w:p>
          <w:p w:rsidR="001262BD" w:rsidRDefault="001262BD" w:rsidP="002916A7">
            <w:pPr>
              <w:pStyle w:val="Tablewriting"/>
              <w:rPr>
                <w:rFonts w:eastAsia="MS Mincho"/>
              </w:rPr>
            </w:pPr>
          </w:p>
        </w:tc>
        <w:tc>
          <w:tcPr>
            <w:tcW w:w="347" w:type="pct"/>
            <w:tcMar>
              <w:left w:w="28" w:type="dxa"/>
              <w:right w:w="28" w:type="dxa"/>
            </w:tcMar>
          </w:tcPr>
          <w:p w:rsidR="003F7617" w:rsidRPr="00FA50F9" w:rsidRDefault="00FA50F9" w:rsidP="002916A7">
            <w:pPr>
              <w:pStyle w:val="Tablewriting"/>
              <w:rPr>
                <w:rFonts w:eastAsia="MS Mincho"/>
                <w:u w:val="single"/>
              </w:rPr>
            </w:pPr>
            <w:r w:rsidRPr="00FA50F9">
              <w:rPr>
                <w:rFonts w:eastAsia="MS Mincho"/>
                <w:u w:val="single"/>
              </w:rPr>
              <w:t>Efficacy</w:t>
            </w:r>
            <w:r w:rsidR="00CD35DE">
              <w:rPr>
                <w:rFonts w:eastAsia="MS Mincho"/>
                <w:u w:val="single"/>
              </w:rPr>
              <w:t xml:space="preserve"> (27 RCTs)</w:t>
            </w:r>
          </w:p>
          <w:p w:rsidR="001262BD" w:rsidRDefault="001262BD" w:rsidP="002916A7">
            <w:pPr>
              <w:pStyle w:val="Tablewriting"/>
              <w:rPr>
                <w:rFonts w:eastAsia="MS Mincho"/>
              </w:rPr>
            </w:pPr>
            <w:r>
              <w:rPr>
                <w:rFonts w:eastAsia="MS Mincho"/>
              </w:rPr>
              <w:t>N=1</w:t>
            </w:r>
            <w:r w:rsidR="00C36732">
              <w:rPr>
                <w:rFonts w:eastAsia="MS Mincho"/>
              </w:rPr>
              <w:t>2,</w:t>
            </w:r>
            <w:r w:rsidR="00431D72">
              <w:rPr>
                <w:rFonts w:eastAsia="MS Mincho"/>
              </w:rPr>
              <w:t>625</w:t>
            </w:r>
          </w:p>
          <w:p w:rsidR="001262BD" w:rsidRDefault="00431D72" w:rsidP="002916A7">
            <w:pPr>
              <w:pStyle w:val="Tablewriting"/>
              <w:rPr>
                <w:rFonts w:eastAsia="MS Mincho"/>
              </w:rPr>
            </w:pPr>
            <w:r>
              <w:rPr>
                <w:rFonts w:eastAsia="MS Mincho"/>
              </w:rPr>
              <w:t>Varenicline</w:t>
            </w:r>
            <w:r w:rsidR="001262BD">
              <w:rPr>
                <w:rFonts w:eastAsia="MS Mincho"/>
              </w:rPr>
              <w:t xml:space="preserve"> (n=</w:t>
            </w:r>
            <w:r>
              <w:rPr>
                <w:rFonts w:eastAsia="MS Mincho"/>
              </w:rPr>
              <w:t>6,632</w:t>
            </w:r>
            <w:r w:rsidR="001262BD">
              <w:rPr>
                <w:rFonts w:eastAsia="MS Mincho"/>
              </w:rPr>
              <w:t>),</w:t>
            </w:r>
          </w:p>
          <w:p w:rsidR="001262BD" w:rsidRPr="00061F78" w:rsidRDefault="001262BD" w:rsidP="002916A7">
            <w:pPr>
              <w:pStyle w:val="Tablewriting"/>
              <w:rPr>
                <w:rFonts w:eastAsia="MS Mincho"/>
              </w:rPr>
            </w:pPr>
            <w:r>
              <w:rPr>
                <w:rFonts w:eastAsia="MS Mincho"/>
              </w:rPr>
              <w:t>Placebo (n=</w:t>
            </w:r>
            <w:r w:rsidR="00431D72">
              <w:rPr>
                <w:rFonts w:eastAsia="MS Mincho"/>
              </w:rPr>
              <w:t>5,993</w:t>
            </w:r>
            <w:r>
              <w:rPr>
                <w:rFonts w:eastAsia="MS Mincho"/>
              </w:rPr>
              <w:t>)</w:t>
            </w:r>
          </w:p>
        </w:tc>
        <w:tc>
          <w:tcPr>
            <w:tcW w:w="1866" w:type="pct"/>
            <w:tcMar>
              <w:left w:w="28" w:type="dxa"/>
              <w:right w:w="28" w:type="dxa"/>
            </w:tcMar>
          </w:tcPr>
          <w:p w:rsidR="001262BD" w:rsidRDefault="001262BD" w:rsidP="002916A7">
            <w:pPr>
              <w:pStyle w:val="Tablewriting"/>
              <w:rPr>
                <w:rFonts w:eastAsia="MS Mincho"/>
              </w:rPr>
            </w:pPr>
            <w:r w:rsidRPr="002C19B4">
              <w:rPr>
                <w:rFonts w:eastAsia="MS Mincho"/>
                <w:u w:val="single"/>
              </w:rPr>
              <w:t>Inclusion</w:t>
            </w:r>
            <w:r>
              <w:rPr>
                <w:rFonts w:eastAsia="MS Mincho"/>
              </w:rPr>
              <w:t xml:space="preserve">: </w:t>
            </w:r>
            <w:r w:rsidR="00054702">
              <w:rPr>
                <w:rFonts w:eastAsia="MS Mincho"/>
              </w:rPr>
              <w:t>a</w:t>
            </w:r>
            <w:r w:rsidR="00054702" w:rsidRPr="00054702">
              <w:rPr>
                <w:rFonts w:eastAsia="MS Mincho"/>
              </w:rPr>
              <w:t>dult smokers</w:t>
            </w:r>
            <w:r w:rsidR="000F1E7A">
              <w:rPr>
                <w:rFonts w:eastAsia="MS Mincho"/>
              </w:rPr>
              <w:t>.</w:t>
            </w:r>
            <w:r w:rsidR="00054702">
              <w:rPr>
                <w:rFonts w:eastAsia="MS Mincho"/>
              </w:rPr>
              <w:t xml:space="preserve"> </w:t>
            </w:r>
          </w:p>
          <w:p w:rsidR="001262BD" w:rsidRPr="00061F78" w:rsidRDefault="001262BD" w:rsidP="002916A7">
            <w:pPr>
              <w:pStyle w:val="Tablewriting"/>
              <w:rPr>
                <w:rFonts w:eastAsia="MS Mincho"/>
              </w:rPr>
            </w:pPr>
            <w:r w:rsidRPr="002C19B4">
              <w:rPr>
                <w:rFonts w:eastAsia="MS Mincho"/>
                <w:u w:val="single"/>
              </w:rPr>
              <w:t>Exclusion</w:t>
            </w:r>
            <w:r>
              <w:rPr>
                <w:rFonts w:eastAsia="MS Mincho"/>
              </w:rPr>
              <w:t xml:space="preserve">: </w:t>
            </w:r>
            <w:r w:rsidR="00490E8A">
              <w:rPr>
                <w:rFonts w:eastAsia="MS Mincho"/>
              </w:rPr>
              <w:t>t</w:t>
            </w:r>
            <w:r w:rsidR="00490E8A" w:rsidRPr="00490E8A">
              <w:rPr>
                <w:rFonts w:eastAsia="MS Mincho"/>
              </w:rPr>
              <w:t>rials which target users of smokeless tobacco</w:t>
            </w:r>
            <w:r w:rsidR="000F1E7A">
              <w:rPr>
                <w:rFonts w:eastAsia="MS Mincho"/>
              </w:rPr>
              <w:t>.</w:t>
            </w:r>
          </w:p>
        </w:tc>
        <w:tc>
          <w:tcPr>
            <w:tcW w:w="920" w:type="pct"/>
          </w:tcPr>
          <w:p w:rsidR="001262BD" w:rsidRPr="00061F78" w:rsidRDefault="00AB758C" w:rsidP="002916A7">
            <w:pPr>
              <w:pStyle w:val="Tablewriting"/>
              <w:rPr>
                <w:rFonts w:eastAsia="MS Mincho"/>
              </w:rPr>
            </w:pPr>
            <w:r>
              <w:rPr>
                <w:rFonts w:eastAsia="MS Mincho"/>
              </w:rPr>
              <w:t>Varenicline: 1</w:t>
            </w:r>
            <w:r w:rsidR="00D570DB">
              <w:rPr>
                <w:rFonts w:eastAsia="MS Mincho"/>
              </w:rPr>
              <w:t xml:space="preserve"> </w:t>
            </w:r>
            <w:r>
              <w:rPr>
                <w:rFonts w:eastAsia="MS Mincho"/>
              </w:rPr>
              <w:t xml:space="preserve">mg </w:t>
            </w:r>
            <w:r w:rsidR="008032CE">
              <w:rPr>
                <w:rFonts w:eastAsia="MS Mincho"/>
              </w:rPr>
              <w:t>twice</w:t>
            </w:r>
            <w:r>
              <w:rPr>
                <w:rFonts w:eastAsia="MS Mincho"/>
              </w:rPr>
              <w:t xml:space="preserve"> da</w:t>
            </w:r>
            <w:r w:rsidR="008032CE">
              <w:rPr>
                <w:rFonts w:eastAsia="MS Mincho"/>
              </w:rPr>
              <w:t>ily</w:t>
            </w:r>
            <w:r w:rsidR="004B303D">
              <w:rPr>
                <w:rFonts w:eastAsia="MS Mincho"/>
              </w:rPr>
              <w:t xml:space="preserve"> including titration</w:t>
            </w:r>
            <w:r w:rsidR="001B0165" w:rsidRPr="001B0165">
              <w:rPr>
                <w:rFonts w:eastAsia="MS Mincho"/>
              </w:rPr>
              <w:t xml:space="preserve"> (i.e. 0.5</w:t>
            </w:r>
            <w:r w:rsidR="00D570DB">
              <w:rPr>
                <w:rFonts w:eastAsia="MS Mincho"/>
              </w:rPr>
              <w:t xml:space="preserve"> </w:t>
            </w:r>
            <w:r w:rsidR="001B0165" w:rsidRPr="001B0165">
              <w:rPr>
                <w:rFonts w:eastAsia="MS Mincho"/>
              </w:rPr>
              <w:t>mg once daily for 3 days, then 0.5</w:t>
            </w:r>
            <w:r w:rsidR="00D570DB">
              <w:rPr>
                <w:rFonts w:eastAsia="MS Mincho"/>
              </w:rPr>
              <w:t xml:space="preserve"> </w:t>
            </w:r>
            <w:r w:rsidR="001B0165" w:rsidRPr="001B0165">
              <w:rPr>
                <w:rFonts w:eastAsia="MS Mincho"/>
              </w:rPr>
              <w:t>mg twice daily for 4 days, then 1</w:t>
            </w:r>
            <w:r w:rsidR="00D570DB">
              <w:rPr>
                <w:rFonts w:eastAsia="MS Mincho"/>
              </w:rPr>
              <w:t xml:space="preserve"> </w:t>
            </w:r>
            <w:r w:rsidR="001B0165" w:rsidRPr="001B0165">
              <w:rPr>
                <w:rFonts w:eastAsia="MS Mincho"/>
              </w:rPr>
              <w:t>mg twice daily)</w:t>
            </w:r>
            <w:r w:rsidR="004657DA">
              <w:rPr>
                <w:rFonts w:eastAsia="MS Mincho"/>
              </w:rPr>
              <w:t xml:space="preserve">; </w:t>
            </w:r>
            <w:r w:rsidR="001262BD">
              <w:rPr>
                <w:rFonts w:eastAsia="MS Mincho"/>
              </w:rPr>
              <w:t>Placebo: placebo tablet</w:t>
            </w:r>
            <w:r w:rsidR="006452FA">
              <w:rPr>
                <w:rFonts w:eastAsia="MS Mincho"/>
              </w:rPr>
              <w:t>s, s</w:t>
            </w:r>
            <w:r w:rsidR="001B0165">
              <w:rPr>
                <w:rFonts w:eastAsia="MS Mincho"/>
              </w:rPr>
              <w:t>ame</w:t>
            </w:r>
            <w:r w:rsidR="006452FA">
              <w:rPr>
                <w:rFonts w:eastAsia="MS Mincho"/>
              </w:rPr>
              <w:t xml:space="preserve"> regimen</w:t>
            </w:r>
            <w:r w:rsidR="000F1E7A">
              <w:rPr>
                <w:rFonts w:eastAsia="MS Mincho"/>
              </w:rPr>
              <w:t>.</w:t>
            </w:r>
          </w:p>
        </w:tc>
        <w:tc>
          <w:tcPr>
            <w:tcW w:w="1140" w:type="pct"/>
            <w:tcMar>
              <w:left w:w="28" w:type="dxa"/>
              <w:right w:w="28" w:type="dxa"/>
            </w:tcMar>
          </w:tcPr>
          <w:p w:rsidR="001262BD" w:rsidRDefault="001262BD" w:rsidP="002916A7">
            <w:pPr>
              <w:pStyle w:val="Tablewriting"/>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0F1E7A">
              <w:rPr>
                <w:rFonts w:eastAsia="MS Mincho"/>
              </w:rPr>
              <w:t>.</w:t>
            </w:r>
          </w:p>
          <w:p w:rsidR="001262BD" w:rsidRPr="00061F78" w:rsidRDefault="001262BD" w:rsidP="002916A7">
            <w:pPr>
              <w:pStyle w:val="Tablewriting"/>
              <w:rPr>
                <w:rFonts w:eastAsia="MS Mincho"/>
              </w:rPr>
            </w:pPr>
            <w:r w:rsidRPr="0036499C">
              <w:rPr>
                <w:rFonts w:eastAsia="MS Mincho"/>
                <w:u w:val="single"/>
              </w:rPr>
              <w:t>Secondary</w:t>
            </w:r>
            <w:r>
              <w:rPr>
                <w:rFonts w:eastAsia="MS Mincho"/>
              </w:rPr>
              <w:t xml:space="preserve">: safety including </w:t>
            </w:r>
            <w:r w:rsidR="00C45ECF">
              <w:rPr>
                <w:rFonts w:eastAsia="MS Mincho"/>
              </w:rPr>
              <w:t>nausea, insomnia, abnormal dreams, headaches and</w:t>
            </w:r>
            <w:r>
              <w:rPr>
                <w:rFonts w:eastAsia="MS Mincho"/>
              </w:rPr>
              <w:t xml:space="preserve"> serious adverse events</w:t>
            </w:r>
            <w:r w:rsidR="000F1E7A">
              <w:rPr>
                <w:rFonts w:eastAsia="MS Mincho"/>
              </w:rPr>
              <w:t>.</w:t>
            </w:r>
          </w:p>
        </w:tc>
      </w:tr>
      <w:tr w:rsidR="00EF2313" w:rsidRPr="00061F78" w:rsidTr="00B537F7">
        <w:trPr>
          <w:trHeight w:val="149"/>
        </w:trPr>
        <w:tc>
          <w:tcPr>
            <w:tcW w:w="332" w:type="pct"/>
            <w:tcMar>
              <w:left w:w="28" w:type="dxa"/>
              <w:right w:w="28" w:type="dxa"/>
            </w:tcMar>
          </w:tcPr>
          <w:p w:rsidR="00EF2313" w:rsidRDefault="00EF2313" w:rsidP="002916A7">
            <w:pPr>
              <w:pStyle w:val="Tablewriting"/>
              <w:rPr>
                <w:rFonts w:eastAsia="MS Mincho"/>
              </w:rPr>
            </w:pPr>
            <w:r>
              <w:rPr>
                <w:rFonts w:eastAsia="MS Mincho"/>
              </w:rPr>
              <w:t>Lerman (2015)</w:t>
            </w:r>
          </w:p>
        </w:tc>
        <w:tc>
          <w:tcPr>
            <w:tcW w:w="395" w:type="pct"/>
          </w:tcPr>
          <w:p w:rsidR="00EF2313" w:rsidRDefault="00EF2313" w:rsidP="002916A7">
            <w:pPr>
              <w:pStyle w:val="Tablewriting"/>
              <w:rPr>
                <w:rFonts w:eastAsia="MS Mincho"/>
              </w:rPr>
            </w:pPr>
            <w:r>
              <w:rPr>
                <w:rFonts w:eastAsia="MS Mincho"/>
              </w:rPr>
              <w:t>RCT</w:t>
            </w:r>
          </w:p>
        </w:tc>
        <w:tc>
          <w:tcPr>
            <w:tcW w:w="347" w:type="pct"/>
            <w:tcMar>
              <w:left w:w="28" w:type="dxa"/>
              <w:right w:w="28" w:type="dxa"/>
            </w:tcMar>
          </w:tcPr>
          <w:p w:rsidR="00EF2313" w:rsidRDefault="00EF2313" w:rsidP="002916A7">
            <w:pPr>
              <w:pStyle w:val="Tablewriting"/>
              <w:rPr>
                <w:rFonts w:eastAsia="MS Mincho"/>
              </w:rPr>
            </w:pPr>
            <w:r>
              <w:rPr>
                <w:rFonts w:eastAsia="MS Mincho"/>
              </w:rPr>
              <w:t>N=</w:t>
            </w:r>
            <w:r w:rsidR="00765C43">
              <w:rPr>
                <w:rFonts w:eastAsia="MS Mincho"/>
              </w:rPr>
              <w:t>1,246</w:t>
            </w:r>
          </w:p>
          <w:p w:rsidR="00EF2313" w:rsidRDefault="00EF2313" w:rsidP="002916A7">
            <w:pPr>
              <w:pStyle w:val="Tablewriting"/>
              <w:rPr>
                <w:rFonts w:eastAsia="MS Mincho"/>
              </w:rPr>
            </w:pPr>
            <w:r>
              <w:rPr>
                <w:rFonts w:eastAsia="MS Mincho"/>
              </w:rPr>
              <w:t>Varenicline (n=4</w:t>
            </w:r>
            <w:r w:rsidR="00765C43">
              <w:rPr>
                <w:rFonts w:eastAsia="MS Mincho"/>
              </w:rPr>
              <w:t>20</w:t>
            </w:r>
            <w:r>
              <w:rPr>
                <w:rFonts w:eastAsia="MS Mincho"/>
              </w:rPr>
              <w:t>), Placebo (n=</w:t>
            </w:r>
            <w:r w:rsidR="00765C43">
              <w:rPr>
                <w:rFonts w:eastAsia="MS Mincho"/>
              </w:rPr>
              <w:t>408</w:t>
            </w:r>
            <w:r>
              <w:rPr>
                <w:rFonts w:eastAsia="MS Mincho"/>
              </w:rPr>
              <w:t>)</w:t>
            </w:r>
          </w:p>
        </w:tc>
        <w:tc>
          <w:tcPr>
            <w:tcW w:w="1866" w:type="pct"/>
            <w:tcMar>
              <w:left w:w="28" w:type="dxa"/>
              <w:right w:w="28" w:type="dxa"/>
            </w:tcMar>
          </w:tcPr>
          <w:p w:rsidR="00EF2313" w:rsidRDefault="00EF2313" w:rsidP="002916A7">
            <w:pPr>
              <w:pStyle w:val="Tablewriting"/>
              <w:rPr>
                <w:rFonts w:eastAsia="MS Mincho"/>
              </w:rPr>
            </w:pPr>
            <w:r w:rsidRPr="007F28D7">
              <w:rPr>
                <w:rFonts w:eastAsia="MS Mincho"/>
                <w:u w:val="single"/>
              </w:rPr>
              <w:t>Inclusion</w:t>
            </w:r>
            <w:r>
              <w:rPr>
                <w:rFonts w:eastAsia="MS Mincho"/>
              </w:rPr>
              <w:t xml:space="preserve">: </w:t>
            </w:r>
            <w:r w:rsidRPr="00C522B0">
              <w:rPr>
                <w:rFonts w:eastAsia="MS Mincho"/>
              </w:rPr>
              <w:t>18</w:t>
            </w:r>
            <w:r>
              <w:rPr>
                <w:rFonts w:eastAsia="MS Mincho"/>
              </w:rPr>
              <w:t>-</w:t>
            </w:r>
            <w:r w:rsidR="00E91059">
              <w:rPr>
                <w:rFonts w:eastAsia="MS Mincho"/>
              </w:rPr>
              <w:t>6</w:t>
            </w:r>
            <w:r w:rsidRPr="00C522B0">
              <w:rPr>
                <w:rFonts w:eastAsia="MS Mincho"/>
              </w:rPr>
              <w:t>5 years</w:t>
            </w:r>
            <w:r>
              <w:rPr>
                <w:rFonts w:eastAsia="MS Mincho"/>
              </w:rPr>
              <w:t xml:space="preserve"> old</w:t>
            </w:r>
            <w:r w:rsidRPr="00C522B0">
              <w:rPr>
                <w:rFonts w:eastAsia="MS Mincho"/>
              </w:rPr>
              <w:t>, ≥10 cigarettes</w:t>
            </w:r>
            <w:r>
              <w:rPr>
                <w:rFonts w:eastAsia="MS Mincho"/>
              </w:rPr>
              <w:t xml:space="preserve"> per </w:t>
            </w:r>
            <w:r w:rsidRPr="00C522B0">
              <w:rPr>
                <w:rFonts w:eastAsia="MS Mincho"/>
              </w:rPr>
              <w:t xml:space="preserve">day </w:t>
            </w:r>
            <w:r w:rsidR="00E91059">
              <w:rPr>
                <w:rFonts w:eastAsia="MS Mincho"/>
              </w:rPr>
              <w:t xml:space="preserve">for </w:t>
            </w:r>
            <w:r w:rsidR="00E91059">
              <w:rPr>
                <w:rFonts w:eastAsia="MS Mincho" w:cstheme="minorHAnsi"/>
              </w:rPr>
              <w:t>≥</w:t>
            </w:r>
            <w:r w:rsidR="00E91059">
              <w:rPr>
                <w:rFonts w:eastAsia="MS Mincho"/>
              </w:rPr>
              <w:t>6 months (verified by CO &gt;10 ppm)</w:t>
            </w:r>
            <w:r w:rsidR="000F1E7A">
              <w:rPr>
                <w:rFonts w:eastAsia="MS Mincho"/>
              </w:rPr>
              <w:t>.</w:t>
            </w:r>
          </w:p>
          <w:p w:rsidR="00EF2313" w:rsidRPr="002C19B4" w:rsidRDefault="00EF2313" w:rsidP="002916A7">
            <w:pPr>
              <w:pStyle w:val="Tablewriting"/>
              <w:rPr>
                <w:rFonts w:eastAsia="MS Mincho"/>
                <w:u w:val="single"/>
              </w:rPr>
            </w:pPr>
            <w:r w:rsidRPr="007F28D7">
              <w:rPr>
                <w:rFonts w:eastAsia="MS Mincho"/>
                <w:u w:val="single"/>
              </w:rPr>
              <w:t>Exclusion</w:t>
            </w:r>
            <w:r>
              <w:rPr>
                <w:rFonts w:eastAsia="MS Mincho"/>
              </w:rPr>
              <w:t xml:space="preserve">: </w:t>
            </w:r>
            <w:r w:rsidR="002674DD" w:rsidRPr="002674DD">
              <w:rPr>
                <w:rFonts w:eastAsia="MS Mincho"/>
              </w:rPr>
              <w:t>use of non-cigarette tobacco products, e-cigarettes, or current smoking treatment;</w:t>
            </w:r>
            <w:r w:rsidR="002674DD">
              <w:rPr>
                <w:rFonts w:eastAsia="MS Mincho"/>
              </w:rPr>
              <w:t xml:space="preserve"> </w:t>
            </w:r>
            <w:r w:rsidR="002674DD" w:rsidRPr="002674DD">
              <w:rPr>
                <w:rFonts w:eastAsia="MS Mincho"/>
              </w:rPr>
              <w:t>history of substance abuse treatment, current use of cocaine or methamphetamine, or &gt;25 alcoholic drinks/week; medical contraindication</w:t>
            </w:r>
            <w:r w:rsidR="0095536E">
              <w:rPr>
                <w:rFonts w:eastAsia="MS Mincho"/>
              </w:rPr>
              <w:t>s</w:t>
            </w:r>
            <w:r w:rsidR="002674DD" w:rsidRPr="002674DD">
              <w:rPr>
                <w:rFonts w:eastAsia="MS Mincho"/>
              </w:rPr>
              <w:t>; history of DSM-IV Axis 1 psychiatric disorder or suicide risk score on the MINI International Neuropsychiatric Interview (MINI)&gt;1,or current major depression; current use of anti-psychotics, stimulants, opiate medications, anti-coagulants, rescue inhalers, anti</w:t>
            </w:r>
            <w:r w:rsidR="002674DD">
              <w:rPr>
                <w:rFonts w:eastAsia="MS Mincho"/>
              </w:rPr>
              <w:t>-</w:t>
            </w:r>
            <w:r w:rsidR="002674DD" w:rsidRPr="002674DD">
              <w:rPr>
                <w:rFonts w:eastAsia="MS Mincho"/>
              </w:rPr>
              <w:t>arrythmics, or medications altering CYP2A6 activi</w:t>
            </w:r>
            <w:r w:rsidR="003E0BC2">
              <w:rPr>
                <w:rFonts w:eastAsia="MS Mincho"/>
              </w:rPr>
              <w:t>ty</w:t>
            </w:r>
            <w:r w:rsidR="002674DD" w:rsidRPr="002674DD">
              <w:rPr>
                <w:rFonts w:eastAsia="MS Mincho"/>
              </w:rPr>
              <w:t>; and</w:t>
            </w:r>
            <w:r w:rsidR="00A73181">
              <w:rPr>
                <w:rFonts w:eastAsia="MS Mincho"/>
              </w:rPr>
              <w:t xml:space="preserve"> </w:t>
            </w:r>
            <w:r w:rsidR="002674DD" w:rsidRPr="002674DD">
              <w:rPr>
                <w:rFonts w:eastAsia="MS Mincho"/>
              </w:rPr>
              <w:t>inability to provide informed consent or any condition that could compromise safety.</w:t>
            </w:r>
          </w:p>
        </w:tc>
        <w:tc>
          <w:tcPr>
            <w:tcW w:w="920" w:type="pct"/>
          </w:tcPr>
          <w:p w:rsidR="00EF2313" w:rsidRDefault="00EF2313" w:rsidP="002916A7">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(i</w:t>
            </w:r>
            <w:r>
              <w:rPr>
                <w:rFonts w:eastAsia="MS Mincho"/>
              </w:rPr>
              <w:t>.</w:t>
            </w:r>
            <w:r w:rsidRPr="00372F18">
              <w:rPr>
                <w:rFonts w:eastAsia="MS Mincho"/>
              </w:rPr>
              <w:t>e</w:t>
            </w:r>
            <w:r>
              <w:rPr>
                <w:rFonts w:eastAsia="MS Mincho"/>
              </w:rPr>
              <w:t>.</w:t>
            </w:r>
            <w:r w:rsidRPr="00372F18">
              <w:rPr>
                <w:rFonts w:eastAsia="MS Mincho"/>
              </w:rPr>
              <w:t xml:space="preserve"> 0.5</w:t>
            </w:r>
            <w:r>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Pr>
                <w:rFonts w:eastAsia="MS Mincho"/>
              </w:rPr>
              <w:t xml:space="preserve"> </w:t>
            </w:r>
            <w:r w:rsidRPr="00372F18">
              <w:rPr>
                <w:rFonts w:eastAsia="MS Mincho"/>
              </w:rPr>
              <w:t>mg twice daily for 4 days, then 1</w:t>
            </w:r>
            <w:r>
              <w:rPr>
                <w:rFonts w:eastAsia="MS Mincho"/>
              </w:rPr>
              <w:t xml:space="preserve"> </w:t>
            </w:r>
            <w:r w:rsidRPr="00372F18">
              <w:rPr>
                <w:rFonts w:eastAsia="MS Mincho"/>
              </w:rPr>
              <w:t>mg twice daily)</w:t>
            </w:r>
            <w:r w:rsidR="004657DA">
              <w:rPr>
                <w:rFonts w:eastAsia="MS Mincho"/>
              </w:rPr>
              <w:t>;</w:t>
            </w:r>
          </w:p>
          <w:p w:rsidR="00EF2313" w:rsidRDefault="00EF2313" w:rsidP="002916A7">
            <w:pPr>
              <w:pStyle w:val="Tablewriting"/>
              <w:rPr>
                <w:rFonts w:eastAsia="MS Mincho"/>
              </w:rPr>
            </w:pPr>
            <w:r>
              <w:rPr>
                <w:rFonts w:eastAsia="MS Mincho"/>
              </w:rPr>
              <w:t>Placebo: placebo tablet for 12 weeks, same regimen</w:t>
            </w:r>
            <w:r w:rsidR="000F1E7A">
              <w:rPr>
                <w:rFonts w:eastAsia="MS Mincho"/>
              </w:rPr>
              <w:t>.</w:t>
            </w:r>
          </w:p>
          <w:p w:rsidR="00EF2313" w:rsidRDefault="00EF2313" w:rsidP="002916A7">
            <w:pPr>
              <w:pStyle w:val="Tablewriting"/>
              <w:rPr>
                <w:rFonts w:eastAsia="MS Mincho"/>
              </w:rPr>
            </w:pPr>
          </w:p>
          <w:p w:rsidR="00EF2313" w:rsidRDefault="00EF2313" w:rsidP="002916A7">
            <w:pPr>
              <w:pStyle w:val="Tablewriting"/>
              <w:rPr>
                <w:rFonts w:eastAsia="MS Mincho"/>
              </w:rPr>
            </w:pPr>
            <w:r w:rsidRPr="006C0130">
              <w:rPr>
                <w:rFonts w:eastAsia="MS Mincho"/>
              </w:rPr>
              <w:t>Behavioural support provided in both arms.</w:t>
            </w:r>
            <w:r w:rsidR="002A1CDE">
              <w:rPr>
                <w:rFonts w:eastAsia="MS Mincho"/>
              </w:rPr>
              <w:t xml:space="preserve"> Both arms received placebo patch.</w:t>
            </w:r>
          </w:p>
        </w:tc>
        <w:tc>
          <w:tcPr>
            <w:tcW w:w="1140" w:type="pct"/>
            <w:tcMar>
              <w:left w:w="28" w:type="dxa"/>
              <w:right w:w="28" w:type="dxa"/>
            </w:tcMar>
          </w:tcPr>
          <w:p w:rsidR="00EF2313" w:rsidRDefault="00EF2313" w:rsidP="002916A7">
            <w:pPr>
              <w:pStyle w:val="Tablewriting"/>
              <w:rPr>
                <w:rFonts w:eastAsia="MS Mincho"/>
              </w:rPr>
            </w:pPr>
            <w:r w:rsidRPr="008C39E4">
              <w:rPr>
                <w:rFonts w:eastAsia="MS Mincho"/>
                <w:u w:val="single"/>
              </w:rPr>
              <w:t>Primary</w:t>
            </w:r>
            <w:r>
              <w:rPr>
                <w:rFonts w:eastAsia="MS Mincho"/>
              </w:rPr>
              <w:t xml:space="preserve">: </w:t>
            </w:r>
            <w:r w:rsidR="00757B37">
              <w:rPr>
                <w:rFonts w:eastAsia="MS Mincho"/>
              </w:rPr>
              <w:t>7-day PPA at Week 11 (end of treatment)</w:t>
            </w:r>
            <w:r>
              <w:rPr>
                <w:rFonts w:eastAsia="MS Mincho"/>
              </w:rPr>
              <w:t xml:space="preserve">. Validated by CO </w:t>
            </w:r>
            <w:r w:rsidR="006C6D83">
              <w:rPr>
                <w:rFonts w:eastAsia="MS Mincho"/>
              </w:rPr>
              <w:t>&lt;8</w:t>
            </w:r>
            <w:r>
              <w:rPr>
                <w:rFonts w:eastAsia="MS Mincho"/>
              </w:rPr>
              <w:t xml:space="preserve"> ppm.</w:t>
            </w:r>
          </w:p>
          <w:p w:rsidR="00EF2313" w:rsidRPr="0036499C" w:rsidRDefault="00EF2313" w:rsidP="002916A7">
            <w:pPr>
              <w:pStyle w:val="Tablewriting"/>
              <w:rPr>
                <w:rFonts w:eastAsia="MS Mincho"/>
                <w:u w:val="single"/>
              </w:rPr>
            </w:pPr>
            <w:r w:rsidRPr="008C39E4">
              <w:rPr>
                <w:rFonts w:eastAsia="MS Mincho"/>
                <w:u w:val="single"/>
              </w:rPr>
              <w:t>Secondary</w:t>
            </w:r>
            <w:r>
              <w:rPr>
                <w:rFonts w:eastAsia="MS Mincho"/>
              </w:rPr>
              <w:t xml:space="preserve">: </w:t>
            </w:r>
            <w:r w:rsidR="00E41659">
              <w:rPr>
                <w:rFonts w:eastAsia="MS Mincho"/>
              </w:rPr>
              <w:t>7-day PPA at 6 and 12 months</w:t>
            </w:r>
            <w:r w:rsidR="0005293E">
              <w:rPr>
                <w:rFonts w:eastAsia="MS Mincho"/>
              </w:rPr>
              <w:t xml:space="preserve">, adverse events, </w:t>
            </w:r>
            <w:r w:rsidR="001B63A0">
              <w:rPr>
                <w:rFonts w:eastAsia="MS Mincho"/>
              </w:rPr>
              <w:t>w</w:t>
            </w:r>
            <w:r w:rsidR="001B63A0" w:rsidRPr="00C6077A">
              <w:rPr>
                <w:rFonts w:eastAsia="MS Mincho"/>
              </w:rPr>
              <w:t>ithdrawal symptoms (using MNWS)</w:t>
            </w:r>
            <w:r w:rsidR="000F1E7A">
              <w:rPr>
                <w:rFonts w:eastAsia="MS Mincho"/>
              </w:rPr>
              <w:t>.</w:t>
            </w:r>
          </w:p>
        </w:tc>
      </w:tr>
      <w:tr w:rsidR="0061415B" w:rsidRPr="00061F78" w:rsidTr="00B537F7">
        <w:trPr>
          <w:trHeight w:val="149"/>
        </w:trPr>
        <w:tc>
          <w:tcPr>
            <w:tcW w:w="332" w:type="pct"/>
            <w:tcMar>
              <w:left w:w="28" w:type="dxa"/>
              <w:right w:w="28" w:type="dxa"/>
            </w:tcMar>
          </w:tcPr>
          <w:p w:rsidR="0061415B" w:rsidRDefault="0061415B" w:rsidP="002916A7">
            <w:pPr>
              <w:pStyle w:val="Tablewriting"/>
              <w:rPr>
                <w:rFonts w:eastAsia="MS Mincho"/>
              </w:rPr>
            </w:pPr>
            <w:r>
              <w:rPr>
                <w:rFonts w:eastAsia="MS Mincho"/>
              </w:rPr>
              <w:t>Littlewood (2017)</w:t>
            </w:r>
          </w:p>
        </w:tc>
        <w:tc>
          <w:tcPr>
            <w:tcW w:w="395" w:type="pct"/>
          </w:tcPr>
          <w:p w:rsidR="0061415B" w:rsidRDefault="0061415B" w:rsidP="002916A7">
            <w:pPr>
              <w:pStyle w:val="Tablewriting"/>
              <w:rPr>
                <w:rFonts w:eastAsia="MS Mincho"/>
              </w:rPr>
            </w:pPr>
            <w:r>
              <w:rPr>
                <w:rFonts w:eastAsia="MS Mincho"/>
              </w:rPr>
              <w:t>RCT</w:t>
            </w:r>
          </w:p>
        </w:tc>
        <w:tc>
          <w:tcPr>
            <w:tcW w:w="347" w:type="pct"/>
            <w:tcMar>
              <w:left w:w="28" w:type="dxa"/>
              <w:right w:w="28" w:type="dxa"/>
            </w:tcMar>
          </w:tcPr>
          <w:p w:rsidR="0061415B" w:rsidRDefault="0061415B" w:rsidP="002916A7">
            <w:pPr>
              <w:pStyle w:val="Tablewriting"/>
              <w:rPr>
                <w:rFonts w:eastAsia="MS Mincho"/>
              </w:rPr>
            </w:pPr>
            <w:r>
              <w:rPr>
                <w:rFonts w:eastAsia="MS Mincho"/>
              </w:rPr>
              <w:t>N=205</w:t>
            </w:r>
          </w:p>
          <w:p w:rsidR="0061415B" w:rsidRDefault="0061415B" w:rsidP="002916A7">
            <w:pPr>
              <w:pStyle w:val="Tablewriting"/>
              <w:rPr>
                <w:rFonts w:eastAsia="MS Mincho"/>
              </w:rPr>
            </w:pPr>
            <w:r>
              <w:rPr>
                <w:rFonts w:eastAsia="MS Mincho"/>
              </w:rPr>
              <w:t>Varenicline (n=111), Placebo (n=94)</w:t>
            </w:r>
          </w:p>
        </w:tc>
        <w:tc>
          <w:tcPr>
            <w:tcW w:w="1866" w:type="pct"/>
            <w:tcMar>
              <w:left w:w="28" w:type="dxa"/>
              <w:right w:w="28" w:type="dxa"/>
            </w:tcMar>
          </w:tcPr>
          <w:p w:rsidR="0061415B" w:rsidRDefault="0061415B" w:rsidP="002916A7">
            <w:pPr>
              <w:pStyle w:val="Tablewriting"/>
              <w:rPr>
                <w:rFonts w:eastAsia="MS Mincho"/>
              </w:rPr>
            </w:pPr>
            <w:r w:rsidRPr="007F28D7">
              <w:rPr>
                <w:rFonts w:eastAsia="MS Mincho"/>
                <w:u w:val="single"/>
              </w:rPr>
              <w:t>Inclusion</w:t>
            </w:r>
            <w:r>
              <w:rPr>
                <w:rFonts w:eastAsia="MS Mincho"/>
              </w:rPr>
              <w:t xml:space="preserve">: </w:t>
            </w:r>
            <w:r w:rsidRPr="00C522B0">
              <w:rPr>
                <w:rFonts w:eastAsia="MS Mincho"/>
              </w:rPr>
              <w:t>18</w:t>
            </w:r>
            <w:r>
              <w:rPr>
                <w:rFonts w:eastAsia="MS Mincho"/>
              </w:rPr>
              <w:t>-</w:t>
            </w:r>
            <w:r w:rsidR="00EC2CB5">
              <w:rPr>
                <w:rFonts w:eastAsia="MS Mincho"/>
              </w:rPr>
              <w:t>5</w:t>
            </w:r>
            <w:r w:rsidRPr="00C522B0">
              <w:rPr>
                <w:rFonts w:eastAsia="MS Mincho"/>
              </w:rPr>
              <w:t>5 years</w:t>
            </w:r>
            <w:r>
              <w:rPr>
                <w:rFonts w:eastAsia="MS Mincho"/>
              </w:rPr>
              <w:t xml:space="preserve"> old</w:t>
            </w:r>
            <w:r w:rsidRPr="00C522B0">
              <w:rPr>
                <w:rFonts w:eastAsia="MS Mincho"/>
              </w:rPr>
              <w:t>, ≥10 cigarettes</w:t>
            </w:r>
            <w:r>
              <w:rPr>
                <w:rFonts w:eastAsia="MS Mincho"/>
              </w:rPr>
              <w:t xml:space="preserve"> per </w:t>
            </w:r>
            <w:r w:rsidRPr="00C522B0">
              <w:rPr>
                <w:rFonts w:eastAsia="MS Mincho"/>
              </w:rPr>
              <w:t>day</w:t>
            </w:r>
            <w:r w:rsidR="00374882">
              <w:rPr>
                <w:rFonts w:eastAsia="MS Mincho"/>
              </w:rPr>
              <w:t>,</w:t>
            </w:r>
            <w:r w:rsidRPr="00C522B0">
              <w:rPr>
                <w:rFonts w:eastAsia="MS Mincho"/>
              </w:rPr>
              <w:t xml:space="preserve"> </w:t>
            </w:r>
            <w:r w:rsidR="00374882" w:rsidRPr="00374882">
              <w:rPr>
                <w:rFonts w:eastAsia="MS Mincho"/>
              </w:rPr>
              <w:t>have not previously taken varenicline, no serious medical or psychiatric condition in the past 6 months, not currently pregnant or nursing, and no illicit drug use (excluding marijuana) in the past 60 days.</w:t>
            </w:r>
          </w:p>
          <w:p w:rsidR="0061415B" w:rsidRPr="007F28D7" w:rsidRDefault="0061415B" w:rsidP="002916A7">
            <w:pPr>
              <w:pStyle w:val="Tablewriting"/>
              <w:rPr>
                <w:rFonts w:eastAsia="MS Mincho"/>
                <w:u w:val="single"/>
              </w:rPr>
            </w:pPr>
            <w:r w:rsidRPr="007F28D7">
              <w:rPr>
                <w:rFonts w:eastAsia="MS Mincho"/>
                <w:u w:val="single"/>
              </w:rPr>
              <w:t>Exclusion</w:t>
            </w:r>
            <w:r>
              <w:rPr>
                <w:rFonts w:eastAsia="MS Mincho"/>
              </w:rPr>
              <w:t xml:space="preserve">: </w:t>
            </w:r>
            <w:r w:rsidR="00374882" w:rsidRPr="00374882">
              <w:rPr>
                <w:rFonts w:eastAsia="MS Mincho"/>
              </w:rPr>
              <w:t>self-reported or physician identified health concerns; currently taking insulin or oral hypoglycaemic medication; self-reported use of cocaine, methamphetamine, heroin, or other illicit drugs (excluding marijuana) in the previous 60 days or a positive urine toxicology screen;</w:t>
            </w:r>
            <w:r w:rsidR="00374882">
              <w:rPr>
                <w:rFonts w:eastAsia="MS Mincho"/>
              </w:rPr>
              <w:t xml:space="preserve"> </w:t>
            </w:r>
            <w:r w:rsidR="00374882" w:rsidRPr="00374882">
              <w:rPr>
                <w:rFonts w:eastAsia="MS Mincho"/>
              </w:rPr>
              <w:t>met DSM-IV criteria for psychotic disorder, bipolar disorder, or major depression in the past year.</w:t>
            </w:r>
          </w:p>
        </w:tc>
        <w:tc>
          <w:tcPr>
            <w:tcW w:w="920" w:type="pct"/>
          </w:tcPr>
          <w:p w:rsidR="0061415B" w:rsidRDefault="0061415B" w:rsidP="002916A7">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(i</w:t>
            </w:r>
            <w:r>
              <w:rPr>
                <w:rFonts w:eastAsia="MS Mincho"/>
              </w:rPr>
              <w:t>.</w:t>
            </w:r>
            <w:r w:rsidRPr="00372F18">
              <w:rPr>
                <w:rFonts w:eastAsia="MS Mincho"/>
              </w:rPr>
              <w:t>e</w:t>
            </w:r>
            <w:r>
              <w:rPr>
                <w:rFonts w:eastAsia="MS Mincho"/>
              </w:rPr>
              <w:t>.</w:t>
            </w:r>
            <w:r w:rsidRPr="00372F18">
              <w:rPr>
                <w:rFonts w:eastAsia="MS Mincho"/>
              </w:rPr>
              <w:t xml:space="preserve"> 0.5</w:t>
            </w:r>
            <w:r>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Pr>
                <w:rFonts w:eastAsia="MS Mincho"/>
              </w:rPr>
              <w:t xml:space="preserve"> </w:t>
            </w:r>
            <w:r w:rsidRPr="00372F18">
              <w:rPr>
                <w:rFonts w:eastAsia="MS Mincho"/>
              </w:rPr>
              <w:t>mg twice daily for 4 days, then 1</w:t>
            </w:r>
            <w:r>
              <w:rPr>
                <w:rFonts w:eastAsia="MS Mincho"/>
              </w:rPr>
              <w:t xml:space="preserve"> </w:t>
            </w:r>
            <w:r w:rsidRPr="00372F18">
              <w:rPr>
                <w:rFonts w:eastAsia="MS Mincho"/>
              </w:rPr>
              <w:t>mg twice daily)</w:t>
            </w:r>
            <w:r w:rsidR="004657DA">
              <w:rPr>
                <w:rFonts w:eastAsia="MS Mincho"/>
              </w:rPr>
              <w:t>;</w:t>
            </w:r>
          </w:p>
          <w:p w:rsidR="0061415B" w:rsidRDefault="0061415B" w:rsidP="002916A7">
            <w:pPr>
              <w:pStyle w:val="Tablewriting"/>
              <w:rPr>
                <w:rFonts w:eastAsia="MS Mincho"/>
              </w:rPr>
            </w:pPr>
            <w:r>
              <w:rPr>
                <w:rFonts w:eastAsia="MS Mincho"/>
              </w:rPr>
              <w:t>Placebo: placebo tablet for 12 weeks, same regimen</w:t>
            </w:r>
            <w:r w:rsidR="000F1E7A">
              <w:rPr>
                <w:rFonts w:eastAsia="MS Mincho"/>
              </w:rPr>
              <w:t>.</w:t>
            </w:r>
          </w:p>
          <w:p w:rsidR="0061415B" w:rsidRDefault="0061415B" w:rsidP="002916A7">
            <w:pPr>
              <w:pStyle w:val="Tablewriting"/>
              <w:rPr>
                <w:rFonts w:eastAsia="MS Mincho"/>
              </w:rPr>
            </w:pPr>
          </w:p>
          <w:p w:rsidR="0061415B" w:rsidRDefault="0061415B" w:rsidP="002916A7">
            <w:pPr>
              <w:pStyle w:val="Tablewriting"/>
              <w:rPr>
                <w:rFonts w:eastAsia="MS Mincho"/>
              </w:rPr>
            </w:pPr>
            <w:r w:rsidRPr="006C0130">
              <w:rPr>
                <w:rFonts w:eastAsia="MS Mincho"/>
              </w:rPr>
              <w:t>Behavioural support provided in both arms.</w:t>
            </w:r>
          </w:p>
        </w:tc>
        <w:tc>
          <w:tcPr>
            <w:tcW w:w="1140" w:type="pct"/>
            <w:tcMar>
              <w:left w:w="28" w:type="dxa"/>
              <w:right w:w="28" w:type="dxa"/>
            </w:tcMar>
          </w:tcPr>
          <w:p w:rsidR="0061415B" w:rsidRDefault="0061415B" w:rsidP="002916A7">
            <w:pPr>
              <w:pStyle w:val="Tablewriting"/>
              <w:rPr>
                <w:rFonts w:eastAsia="MS Mincho"/>
              </w:rPr>
            </w:pPr>
            <w:r w:rsidRPr="008C39E4">
              <w:rPr>
                <w:rFonts w:eastAsia="MS Mincho"/>
                <w:u w:val="single"/>
              </w:rPr>
              <w:t>Primary</w:t>
            </w:r>
            <w:r>
              <w:rPr>
                <w:rFonts w:eastAsia="MS Mincho"/>
              </w:rPr>
              <w:t xml:space="preserve">: </w:t>
            </w:r>
            <w:r w:rsidR="00D81826">
              <w:rPr>
                <w:rFonts w:eastAsia="MS Mincho"/>
              </w:rPr>
              <w:t>CAR</w:t>
            </w:r>
            <w:r w:rsidR="00910157">
              <w:rPr>
                <w:rFonts w:eastAsia="MS Mincho"/>
              </w:rPr>
              <w:t xml:space="preserve"> at Week 9-12 and Week 32-36</w:t>
            </w:r>
            <w:r>
              <w:rPr>
                <w:rFonts w:eastAsia="MS Mincho"/>
              </w:rPr>
              <w:t>. Validated by CO &lt;</w:t>
            </w:r>
            <w:r w:rsidR="008C2C11">
              <w:rPr>
                <w:rFonts w:eastAsia="MS Mincho"/>
              </w:rPr>
              <w:t>6</w:t>
            </w:r>
            <w:r>
              <w:rPr>
                <w:rFonts w:eastAsia="MS Mincho"/>
              </w:rPr>
              <w:t xml:space="preserve"> ppm.</w:t>
            </w:r>
          </w:p>
          <w:p w:rsidR="0061415B" w:rsidRPr="008C39E4" w:rsidRDefault="0061415B" w:rsidP="002916A7">
            <w:pPr>
              <w:pStyle w:val="Tablewriting"/>
              <w:rPr>
                <w:rFonts w:eastAsia="MS Mincho"/>
                <w:u w:val="single"/>
              </w:rPr>
            </w:pPr>
            <w:r w:rsidRPr="008C39E4">
              <w:rPr>
                <w:rFonts w:eastAsia="MS Mincho"/>
                <w:u w:val="single"/>
              </w:rPr>
              <w:t>Secondary</w:t>
            </w:r>
            <w:r>
              <w:rPr>
                <w:rFonts w:eastAsia="MS Mincho"/>
              </w:rPr>
              <w:t xml:space="preserve">: 7-day PPA at </w:t>
            </w:r>
            <w:r w:rsidR="00910157">
              <w:rPr>
                <w:rFonts w:eastAsia="MS Mincho"/>
              </w:rPr>
              <w:t xml:space="preserve">Week 6, 12 </w:t>
            </w:r>
            <w:r>
              <w:rPr>
                <w:rFonts w:eastAsia="MS Mincho"/>
              </w:rPr>
              <w:t xml:space="preserve">and </w:t>
            </w:r>
            <w:r w:rsidR="00910157">
              <w:rPr>
                <w:rFonts w:eastAsia="MS Mincho"/>
              </w:rPr>
              <w:t>36</w:t>
            </w:r>
            <w:r w:rsidR="00176110">
              <w:rPr>
                <w:rFonts w:eastAsia="MS Mincho"/>
              </w:rPr>
              <w:t>. Validated by CO &lt;6 ppm</w:t>
            </w:r>
            <w:r w:rsidR="00824D16">
              <w:rPr>
                <w:rFonts w:eastAsia="MS Mincho"/>
              </w:rPr>
              <w:t>;</w:t>
            </w:r>
            <w:r>
              <w:rPr>
                <w:rFonts w:eastAsia="MS Mincho"/>
              </w:rPr>
              <w:t xml:space="preserve"> </w:t>
            </w:r>
            <w:r w:rsidR="00176110">
              <w:rPr>
                <w:rFonts w:eastAsia="MS Mincho"/>
              </w:rPr>
              <w:t>average number of cigarettes smoked per day</w:t>
            </w:r>
            <w:r w:rsidR="00824D16">
              <w:rPr>
                <w:rFonts w:eastAsia="MS Mincho"/>
              </w:rPr>
              <w:t>;</w:t>
            </w:r>
            <w:r w:rsidR="00176110">
              <w:rPr>
                <w:rFonts w:eastAsia="MS Mincho"/>
              </w:rPr>
              <w:t xml:space="preserve"> </w:t>
            </w:r>
            <w:r>
              <w:rPr>
                <w:rFonts w:eastAsia="MS Mincho"/>
              </w:rPr>
              <w:t>adverse events</w:t>
            </w:r>
            <w:r w:rsidR="000F1E7A">
              <w:rPr>
                <w:rFonts w:eastAsia="MS Mincho"/>
              </w:rPr>
              <w:t>.</w:t>
            </w:r>
          </w:p>
        </w:tc>
      </w:tr>
      <w:tr w:rsidR="000A14FA" w:rsidRPr="00061F78" w:rsidTr="00B537F7">
        <w:trPr>
          <w:trHeight w:val="149"/>
        </w:trPr>
        <w:tc>
          <w:tcPr>
            <w:tcW w:w="332" w:type="pct"/>
            <w:tcMar>
              <w:left w:w="28" w:type="dxa"/>
              <w:right w:w="28" w:type="dxa"/>
            </w:tcMar>
          </w:tcPr>
          <w:p w:rsidR="000A14FA" w:rsidRDefault="000A14FA" w:rsidP="002916A7">
            <w:pPr>
              <w:pStyle w:val="Tablewriting"/>
              <w:rPr>
                <w:rFonts w:eastAsia="MS Mincho"/>
              </w:rPr>
            </w:pPr>
            <w:r>
              <w:rPr>
                <w:rFonts w:eastAsia="MS Mincho"/>
              </w:rPr>
              <w:lastRenderedPageBreak/>
              <w:t>Benowitz (2018)</w:t>
            </w:r>
          </w:p>
        </w:tc>
        <w:tc>
          <w:tcPr>
            <w:tcW w:w="395" w:type="pct"/>
          </w:tcPr>
          <w:p w:rsidR="000A14FA" w:rsidRPr="00B537F7" w:rsidRDefault="002568ED" w:rsidP="002916A7">
            <w:pPr>
              <w:pStyle w:val="Tablewriting"/>
              <w:rPr>
                <w:rFonts w:eastAsia="MS Mincho"/>
                <w:vertAlign w:val="superscript"/>
              </w:rPr>
            </w:pPr>
            <w:r>
              <w:rPr>
                <w:rFonts w:eastAsia="MS Mincho"/>
              </w:rPr>
              <w:t xml:space="preserve">Non-treatment extension </w:t>
            </w:r>
            <w:r w:rsidR="005828A8">
              <w:rPr>
                <w:rFonts w:eastAsia="MS Mincho"/>
              </w:rPr>
              <w:t xml:space="preserve">safety </w:t>
            </w:r>
            <w:r>
              <w:rPr>
                <w:rFonts w:eastAsia="MS Mincho"/>
              </w:rPr>
              <w:t>study of EAGLES (2016)</w:t>
            </w:r>
            <w:r w:rsidR="004562AF">
              <w:rPr>
                <w:rFonts w:eastAsia="MS Mincho"/>
                <w:vertAlign w:val="superscript"/>
              </w:rPr>
              <w:t>5</w:t>
            </w:r>
          </w:p>
        </w:tc>
        <w:tc>
          <w:tcPr>
            <w:tcW w:w="347" w:type="pct"/>
            <w:tcMar>
              <w:left w:w="28" w:type="dxa"/>
              <w:right w:w="28" w:type="dxa"/>
            </w:tcMar>
          </w:tcPr>
          <w:p w:rsidR="000A14FA" w:rsidRDefault="000A14FA" w:rsidP="002916A7">
            <w:pPr>
              <w:pStyle w:val="Tablewriting"/>
              <w:rPr>
                <w:rFonts w:eastAsia="MS Mincho"/>
              </w:rPr>
            </w:pPr>
            <w:r>
              <w:rPr>
                <w:rFonts w:eastAsia="MS Mincho"/>
              </w:rPr>
              <w:t>N=4,595</w:t>
            </w:r>
          </w:p>
          <w:p w:rsidR="000A14FA" w:rsidRDefault="000A14FA" w:rsidP="002916A7">
            <w:pPr>
              <w:pStyle w:val="Tablewriting"/>
              <w:rPr>
                <w:rFonts w:eastAsia="MS Mincho"/>
              </w:rPr>
            </w:pPr>
            <w:r>
              <w:rPr>
                <w:rFonts w:eastAsia="MS Mincho"/>
              </w:rPr>
              <w:t>Varenicline (n=1,192), Placebo (n=1,121)</w:t>
            </w:r>
          </w:p>
        </w:tc>
        <w:tc>
          <w:tcPr>
            <w:tcW w:w="1866" w:type="pct"/>
            <w:tcMar>
              <w:left w:w="28" w:type="dxa"/>
              <w:right w:w="28" w:type="dxa"/>
            </w:tcMar>
          </w:tcPr>
          <w:p w:rsidR="000A14FA" w:rsidRDefault="000A14FA" w:rsidP="002916A7">
            <w:pPr>
              <w:pStyle w:val="Tablewriting"/>
              <w:rPr>
                <w:rFonts w:eastAsia="MS Mincho" w:cstheme="minorHAnsi"/>
              </w:rPr>
            </w:pPr>
            <w:r w:rsidRPr="007F28D7">
              <w:rPr>
                <w:rFonts w:eastAsia="MS Mincho"/>
                <w:u w:val="single"/>
              </w:rPr>
              <w:t>Inclusion</w:t>
            </w:r>
            <w:r>
              <w:rPr>
                <w:rFonts w:eastAsia="MS Mincho"/>
              </w:rPr>
              <w:t xml:space="preserve">: </w:t>
            </w:r>
            <w:r w:rsidRPr="000A14FA">
              <w:rPr>
                <w:rFonts w:eastAsia="MS Mincho" w:cstheme="minorHAnsi"/>
              </w:rPr>
              <w:t>18</w:t>
            </w:r>
            <w:r>
              <w:rPr>
                <w:rFonts w:eastAsia="MS Mincho" w:cstheme="minorHAnsi"/>
              </w:rPr>
              <w:t>-</w:t>
            </w:r>
            <w:r w:rsidRPr="000A14FA">
              <w:rPr>
                <w:rFonts w:eastAsia="MS Mincho" w:cstheme="minorHAnsi"/>
              </w:rPr>
              <w:t>75 years</w:t>
            </w:r>
            <w:r>
              <w:rPr>
                <w:rFonts w:eastAsia="MS Mincho" w:cstheme="minorHAnsi"/>
              </w:rPr>
              <w:t xml:space="preserve"> old</w:t>
            </w:r>
            <w:r w:rsidRPr="000A14FA">
              <w:rPr>
                <w:rFonts w:eastAsia="MS Mincho" w:cstheme="minorHAnsi"/>
              </w:rPr>
              <w:t xml:space="preserve">, </w:t>
            </w:r>
            <w:r>
              <w:rPr>
                <w:rFonts w:eastAsia="MS Mincho" w:cstheme="minorHAnsi"/>
              </w:rPr>
              <w:t>≥</w:t>
            </w:r>
            <w:r w:rsidRPr="000A14FA">
              <w:rPr>
                <w:rFonts w:eastAsia="MS Mincho" w:cstheme="minorHAnsi"/>
              </w:rPr>
              <w:t>10</w:t>
            </w:r>
            <w:r>
              <w:rPr>
                <w:rFonts w:eastAsia="MS Mincho" w:cstheme="minorHAnsi"/>
              </w:rPr>
              <w:t xml:space="preserve"> </w:t>
            </w:r>
            <w:r w:rsidRPr="000A14FA">
              <w:rPr>
                <w:rFonts w:eastAsia="MS Mincho" w:cstheme="minorHAnsi"/>
              </w:rPr>
              <w:t>cigarettes per day, interested in quitting smoking, had been randomi</w:t>
            </w:r>
            <w:r>
              <w:rPr>
                <w:rFonts w:eastAsia="MS Mincho" w:cstheme="minorHAnsi"/>
              </w:rPr>
              <w:t>s</w:t>
            </w:r>
            <w:r w:rsidRPr="000A14FA">
              <w:rPr>
                <w:rFonts w:eastAsia="MS Mincho" w:cstheme="minorHAnsi"/>
              </w:rPr>
              <w:t>ed to treatment in</w:t>
            </w:r>
            <w:r w:rsidR="00661FFC">
              <w:rPr>
                <w:rFonts w:eastAsia="MS Mincho" w:cstheme="minorHAnsi"/>
              </w:rPr>
              <w:t xml:space="preserve"> </w:t>
            </w:r>
            <w:r w:rsidRPr="000A14FA">
              <w:rPr>
                <w:rFonts w:eastAsia="MS Mincho" w:cstheme="minorHAnsi"/>
              </w:rPr>
              <w:t>and had completed the week 24 visit of</w:t>
            </w:r>
            <w:r w:rsidR="00661FFC">
              <w:rPr>
                <w:rFonts w:eastAsia="MS Mincho" w:cstheme="minorHAnsi"/>
              </w:rPr>
              <w:t xml:space="preserve"> </w:t>
            </w:r>
            <w:r w:rsidRPr="000A14FA">
              <w:rPr>
                <w:rFonts w:eastAsia="MS Mincho" w:cstheme="minorHAnsi"/>
              </w:rPr>
              <w:t>EAGLES</w:t>
            </w:r>
            <w:r w:rsidR="000F1E7A">
              <w:rPr>
                <w:rFonts w:eastAsia="MS Mincho" w:cstheme="minorHAnsi"/>
              </w:rPr>
              <w:t>.</w:t>
            </w:r>
          </w:p>
          <w:p w:rsidR="000A14FA" w:rsidRPr="007F28D7" w:rsidRDefault="000A14FA" w:rsidP="002916A7">
            <w:pPr>
              <w:pStyle w:val="Tablewriting"/>
              <w:rPr>
                <w:rFonts w:eastAsia="MS Mincho"/>
                <w:u w:val="single"/>
              </w:rPr>
            </w:pPr>
            <w:r w:rsidRPr="007F28D7">
              <w:rPr>
                <w:rFonts w:eastAsia="MS Mincho"/>
                <w:u w:val="single"/>
              </w:rPr>
              <w:t>Exclusion</w:t>
            </w:r>
            <w:r>
              <w:rPr>
                <w:rFonts w:eastAsia="MS Mincho"/>
              </w:rPr>
              <w:t xml:space="preserve">: </w:t>
            </w:r>
            <w:r w:rsidR="00661FFC" w:rsidRPr="00661FFC">
              <w:rPr>
                <w:rFonts w:eastAsia="MS Mincho"/>
              </w:rPr>
              <w:t>unstable psychiatric illness, active substance abuse, clinically significant CVD in the 2 months prior to study entry, clinically significant cerebrovascular disease in the 2 months prior to study entry, or inadequate control of hypertens</w:t>
            </w:r>
            <w:r w:rsidR="00661FFC">
              <w:rPr>
                <w:rFonts w:eastAsia="MS Mincho"/>
              </w:rPr>
              <w:t>ion</w:t>
            </w:r>
            <w:r w:rsidR="00661FFC" w:rsidRPr="00661FFC">
              <w:rPr>
                <w:rFonts w:eastAsia="MS Mincho"/>
              </w:rPr>
              <w:t>.</w:t>
            </w:r>
          </w:p>
        </w:tc>
        <w:tc>
          <w:tcPr>
            <w:tcW w:w="920" w:type="pct"/>
          </w:tcPr>
          <w:p w:rsidR="000A14FA" w:rsidRDefault="002568ED" w:rsidP="002916A7">
            <w:pPr>
              <w:pStyle w:val="Tablewriting"/>
              <w:rPr>
                <w:rFonts w:eastAsia="MS Mincho"/>
              </w:rPr>
            </w:pPr>
            <w:r>
              <w:rPr>
                <w:rFonts w:eastAsia="MS Mincho"/>
              </w:rPr>
              <w:t>No treatment</w:t>
            </w:r>
            <w:r w:rsidR="005D6177">
              <w:rPr>
                <w:rFonts w:eastAsia="MS Mincho"/>
              </w:rPr>
              <w:t xml:space="preserve"> was</w:t>
            </w:r>
            <w:r>
              <w:rPr>
                <w:rFonts w:eastAsia="MS Mincho"/>
              </w:rPr>
              <w:t xml:space="preserve"> provided during this study</w:t>
            </w:r>
            <w:r w:rsidR="005D6177">
              <w:rPr>
                <w:rFonts w:eastAsia="MS Mincho"/>
              </w:rPr>
              <w:t>.</w:t>
            </w:r>
            <w:r w:rsidR="00DE04D3">
              <w:rPr>
                <w:rFonts w:eastAsia="MS Mincho"/>
              </w:rPr>
              <w:t xml:space="preserve"> Prior varenicline and placebo treatments were administered in EAGLES (2016).</w:t>
            </w:r>
          </w:p>
        </w:tc>
        <w:tc>
          <w:tcPr>
            <w:tcW w:w="1140" w:type="pct"/>
            <w:tcMar>
              <w:left w:w="28" w:type="dxa"/>
              <w:right w:w="28" w:type="dxa"/>
            </w:tcMar>
          </w:tcPr>
          <w:p w:rsidR="000A14FA" w:rsidRDefault="000A14FA" w:rsidP="002916A7">
            <w:pPr>
              <w:pStyle w:val="Tablewriting"/>
              <w:rPr>
                <w:rFonts w:eastAsia="MS Mincho"/>
              </w:rPr>
            </w:pPr>
            <w:r w:rsidRPr="008C39E4">
              <w:rPr>
                <w:rFonts w:eastAsia="MS Mincho"/>
                <w:u w:val="single"/>
              </w:rPr>
              <w:t>Primary</w:t>
            </w:r>
            <w:r>
              <w:rPr>
                <w:rFonts w:eastAsia="MS Mincho"/>
              </w:rPr>
              <w:t xml:space="preserve">: </w:t>
            </w:r>
            <w:r w:rsidR="00544694">
              <w:rPr>
                <w:rFonts w:eastAsia="MS Mincho"/>
              </w:rPr>
              <w:t>Time to major adverse cardiovascular event</w:t>
            </w:r>
            <w:r w:rsidR="000F1E7A">
              <w:rPr>
                <w:rFonts w:eastAsia="MS Mincho"/>
              </w:rPr>
              <w:t>.</w:t>
            </w:r>
          </w:p>
          <w:p w:rsidR="000A14FA" w:rsidRPr="008C39E4" w:rsidRDefault="000A14FA" w:rsidP="002916A7">
            <w:pPr>
              <w:pStyle w:val="Tablewriting"/>
              <w:rPr>
                <w:rFonts w:eastAsia="MS Mincho"/>
                <w:u w:val="single"/>
              </w:rPr>
            </w:pPr>
            <w:r w:rsidRPr="008C39E4">
              <w:rPr>
                <w:rFonts w:eastAsia="MS Mincho"/>
                <w:u w:val="single"/>
              </w:rPr>
              <w:t>Secondary</w:t>
            </w:r>
            <w:r>
              <w:rPr>
                <w:rFonts w:eastAsia="MS Mincho"/>
              </w:rPr>
              <w:t xml:space="preserve">: </w:t>
            </w:r>
            <w:r w:rsidR="00CB7B45">
              <w:rPr>
                <w:rFonts w:eastAsia="MS Mincho"/>
              </w:rPr>
              <w:t>Occurrence of major adverse cardiovascular event</w:t>
            </w:r>
            <w:r w:rsidR="000F1E7A">
              <w:rPr>
                <w:rFonts w:eastAsia="MS Mincho"/>
              </w:rPr>
              <w:t>.</w:t>
            </w:r>
          </w:p>
        </w:tc>
      </w:tr>
      <w:tr w:rsidR="00EF2313" w:rsidRPr="00061F78" w:rsidTr="00B537F7">
        <w:trPr>
          <w:trHeight w:val="149"/>
        </w:trPr>
        <w:tc>
          <w:tcPr>
            <w:tcW w:w="332" w:type="pct"/>
            <w:tcMar>
              <w:left w:w="28" w:type="dxa"/>
              <w:right w:w="28" w:type="dxa"/>
            </w:tcMar>
          </w:tcPr>
          <w:p w:rsidR="00EF2313" w:rsidRDefault="00EF2313" w:rsidP="002916A7">
            <w:pPr>
              <w:pStyle w:val="Tablewriting"/>
              <w:rPr>
                <w:rFonts w:eastAsia="MS Mincho"/>
              </w:rPr>
            </w:pPr>
            <w:r>
              <w:rPr>
                <w:rFonts w:eastAsia="MS Mincho"/>
              </w:rPr>
              <w:t>Hurt (2018)</w:t>
            </w:r>
          </w:p>
        </w:tc>
        <w:tc>
          <w:tcPr>
            <w:tcW w:w="395" w:type="pct"/>
          </w:tcPr>
          <w:p w:rsidR="00EF2313" w:rsidRPr="00D83CDA" w:rsidRDefault="00EF2313" w:rsidP="002916A7">
            <w:pPr>
              <w:pStyle w:val="Tablewriting"/>
              <w:rPr>
                <w:rFonts w:eastAsia="MS Mincho"/>
                <w:vertAlign w:val="superscript"/>
              </w:rPr>
            </w:pPr>
            <w:r>
              <w:rPr>
                <w:rFonts w:eastAsia="MS Mincho"/>
              </w:rPr>
              <w:t>RCT</w:t>
            </w:r>
            <w:r w:rsidR="00D83CDA">
              <w:rPr>
                <w:rFonts w:eastAsia="MS Mincho"/>
                <w:vertAlign w:val="superscript"/>
              </w:rPr>
              <w:t>4</w:t>
            </w:r>
          </w:p>
        </w:tc>
        <w:tc>
          <w:tcPr>
            <w:tcW w:w="347" w:type="pct"/>
            <w:tcMar>
              <w:left w:w="28" w:type="dxa"/>
              <w:right w:w="28" w:type="dxa"/>
            </w:tcMar>
          </w:tcPr>
          <w:p w:rsidR="00EF2313" w:rsidRDefault="00EF2313" w:rsidP="002916A7">
            <w:pPr>
              <w:pStyle w:val="Tablewriting"/>
              <w:rPr>
                <w:rFonts w:eastAsia="MS Mincho"/>
              </w:rPr>
            </w:pPr>
            <w:r>
              <w:rPr>
                <w:rFonts w:eastAsia="MS Mincho"/>
              </w:rPr>
              <w:t>N=</w:t>
            </w:r>
            <w:r w:rsidR="00A97D0F">
              <w:rPr>
                <w:rFonts w:eastAsia="MS Mincho"/>
              </w:rPr>
              <w:t>33</w:t>
            </w:r>
          </w:p>
          <w:p w:rsidR="00EF2313" w:rsidRDefault="00EF2313" w:rsidP="002916A7">
            <w:pPr>
              <w:pStyle w:val="Tablewriting"/>
              <w:rPr>
                <w:rFonts w:eastAsia="MS Mincho"/>
              </w:rPr>
            </w:pPr>
            <w:r>
              <w:rPr>
                <w:rFonts w:eastAsia="MS Mincho"/>
              </w:rPr>
              <w:t>Varenicline (n=</w:t>
            </w:r>
            <w:r w:rsidR="00A97D0F">
              <w:rPr>
                <w:rFonts w:eastAsia="MS Mincho"/>
              </w:rPr>
              <w:t>1</w:t>
            </w:r>
            <w:r w:rsidR="00406CA2">
              <w:rPr>
                <w:rFonts w:eastAsia="MS Mincho"/>
              </w:rPr>
              <w:t>6</w:t>
            </w:r>
            <w:r>
              <w:rPr>
                <w:rFonts w:eastAsia="MS Mincho"/>
              </w:rPr>
              <w:t>), Placebo (n=1</w:t>
            </w:r>
            <w:r w:rsidR="00406CA2">
              <w:rPr>
                <w:rFonts w:eastAsia="MS Mincho"/>
              </w:rPr>
              <w:t>7</w:t>
            </w:r>
            <w:r>
              <w:rPr>
                <w:rFonts w:eastAsia="MS Mincho"/>
              </w:rPr>
              <w:t>)</w:t>
            </w:r>
          </w:p>
        </w:tc>
        <w:tc>
          <w:tcPr>
            <w:tcW w:w="1866" w:type="pct"/>
            <w:tcMar>
              <w:left w:w="28" w:type="dxa"/>
              <w:right w:w="28" w:type="dxa"/>
            </w:tcMar>
          </w:tcPr>
          <w:p w:rsidR="00EF2313" w:rsidRDefault="00EF2313" w:rsidP="002916A7">
            <w:pPr>
              <w:pStyle w:val="Tablewriting"/>
              <w:rPr>
                <w:rFonts w:eastAsia="MS Mincho"/>
              </w:rPr>
            </w:pPr>
            <w:r w:rsidRPr="007F28D7">
              <w:rPr>
                <w:rFonts w:eastAsia="MS Mincho"/>
                <w:u w:val="single"/>
              </w:rPr>
              <w:t>Inclusion</w:t>
            </w:r>
            <w:r>
              <w:rPr>
                <w:rFonts w:eastAsia="MS Mincho"/>
              </w:rPr>
              <w:t xml:space="preserve">: </w:t>
            </w:r>
            <w:r w:rsidR="00406CA2">
              <w:rPr>
                <w:rFonts w:eastAsia="MS Mincho" w:cstheme="minorHAnsi"/>
              </w:rPr>
              <w:t>≥</w:t>
            </w:r>
            <w:r w:rsidR="00406CA2" w:rsidRPr="00406CA2">
              <w:rPr>
                <w:rFonts w:eastAsia="MS Mincho"/>
              </w:rPr>
              <w:t xml:space="preserve"> 18 years old</w:t>
            </w:r>
            <w:r w:rsidR="00406CA2">
              <w:rPr>
                <w:rFonts w:eastAsia="MS Mincho"/>
              </w:rPr>
              <w:t xml:space="preserve">, </w:t>
            </w:r>
            <w:r w:rsidR="00902E39">
              <w:rPr>
                <w:rFonts w:eastAsia="MS Mincho" w:cstheme="minorHAnsi"/>
              </w:rPr>
              <w:t>≥</w:t>
            </w:r>
            <w:r w:rsidR="00406CA2" w:rsidRPr="00406CA2">
              <w:rPr>
                <w:rFonts w:eastAsia="MS Mincho"/>
              </w:rPr>
              <w:t xml:space="preserve">10 cigarettes per day for </w:t>
            </w:r>
            <w:r w:rsidR="00902E39">
              <w:rPr>
                <w:rFonts w:eastAsia="MS Mincho" w:cstheme="minorHAnsi"/>
              </w:rPr>
              <w:t>≥</w:t>
            </w:r>
            <w:r w:rsidR="00406CA2" w:rsidRPr="00406CA2">
              <w:rPr>
                <w:rFonts w:eastAsia="MS Mincho"/>
              </w:rPr>
              <w:t>6 months</w:t>
            </w:r>
            <w:r w:rsidR="00902E39">
              <w:rPr>
                <w:rFonts w:eastAsia="MS Mincho"/>
              </w:rPr>
              <w:t>,</w:t>
            </w:r>
            <w:r w:rsidR="00406CA2" w:rsidRPr="00406CA2">
              <w:rPr>
                <w:rFonts w:eastAsia="MS Mincho"/>
              </w:rPr>
              <w:t xml:space="preserve"> alcohol dependence or abuse</w:t>
            </w:r>
            <w:r w:rsidR="0095536E">
              <w:rPr>
                <w:rFonts w:eastAsia="MS Mincho"/>
              </w:rPr>
              <w:t xml:space="preserve">, </w:t>
            </w:r>
            <w:r w:rsidR="00406CA2" w:rsidRPr="00406CA2">
              <w:rPr>
                <w:rFonts w:eastAsia="MS Mincho"/>
              </w:rPr>
              <w:t>interested in quitting smoking.</w:t>
            </w:r>
          </w:p>
          <w:p w:rsidR="00EF2313" w:rsidRPr="002C19B4" w:rsidRDefault="00EF2313" w:rsidP="002916A7">
            <w:pPr>
              <w:pStyle w:val="Tablewriting"/>
              <w:rPr>
                <w:rFonts w:eastAsia="MS Mincho"/>
                <w:u w:val="single"/>
              </w:rPr>
            </w:pPr>
            <w:r w:rsidRPr="007F28D7">
              <w:rPr>
                <w:rFonts w:eastAsia="MS Mincho"/>
                <w:u w:val="single"/>
              </w:rPr>
              <w:t>Exclusion</w:t>
            </w:r>
            <w:r>
              <w:rPr>
                <w:rFonts w:eastAsia="MS Mincho"/>
              </w:rPr>
              <w:t xml:space="preserve">: </w:t>
            </w:r>
            <w:r w:rsidR="00A82F47" w:rsidRPr="00A82F47">
              <w:rPr>
                <w:rFonts w:eastAsia="MS Mincho"/>
              </w:rPr>
              <w:t>had a cardiac condition</w:t>
            </w:r>
            <w:r w:rsidR="00C6101E">
              <w:rPr>
                <w:rFonts w:eastAsia="MS Mincho"/>
              </w:rPr>
              <w:t xml:space="preserve">, </w:t>
            </w:r>
            <w:r w:rsidR="00A82F47" w:rsidRPr="00A82F47">
              <w:rPr>
                <w:rFonts w:eastAsia="MS Mincho"/>
              </w:rPr>
              <w:t>an untreated cardiac dysrhythmia, kidney disease, or cancer; had psychosis, bipolar disorder, or unstable or untreated moderate or severe depression; had current nonspecific suicidal thoughts or had ever made a suicide attempt; had a varenicline allergy; another member of their household was already participating in the study; undergoing current treatment with another investigational drug within the past 30 days; had untreated hypertension or a baseline blood pressure higher than 180 mm Hg systolic or 100 mm Hg diastolic;</w:t>
            </w:r>
            <w:r w:rsidR="008F1983">
              <w:rPr>
                <w:rFonts w:eastAsia="MS Mincho"/>
              </w:rPr>
              <w:t xml:space="preserve"> </w:t>
            </w:r>
            <w:r w:rsidR="00A82F47" w:rsidRPr="00A82F47">
              <w:rPr>
                <w:rFonts w:eastAsia="MS Mincho"/>
              </w:rPr>
              <w:t xml:space="preserve">currently using a tobacco-dependence treatment involving a drug, </w:t>
            </w:r>
            <w:r w:rsidR="008F1983" w:rsidRPr="00A82F47">
              <w:rPr>
                <w:rFonts w:eastAsia="MS Mincho"/>
              </w:rPr>
              <w:t>behavioural</w:t>
            </w:r>
            <w:r w:rsidR="00A82F47" w:rsidRPr="00A82F47">
              <w:rPr>
                <w:rFonts w:eastAsia="MS Mincho"/>
              </w:rPr>
              <w:t xml:space="preserve"> intervention, or both; concurrently using another nicotine product other than cigarettes</w:t>
            </w:r>
            <w:r w:rsidR="008F1983">
              <w:rPr>
                <w:rFonts w:eastAsia="MS Mincho"/>
              </w:rPr>
              <w:t>;</w:t>
            </w:r>
            <w:r w:rsidR="00A82F47" w:rsidRPr="00A82F47">
              <w:rPr>
                <w:rFonts w:eastAsia="MS Mincho"/>
              </w:rPr>
              <w:t xml:space="preserve"> </w:t>
            </w:r>
            <w:r w:rsidR="008F1983">
              <w:rPr>
                <w:rFonts w:eastAsia="MS Mincho"/>
              </w:rPr>
              <w:t>w</w:t>
            </w:r>
            <w:r w:rsidR="00A82F47" w:rsidRPr="00A82F47">
              <w:rPr>
                <w:rFonts w:eastAsia="MS Mincho"/>
              </w:rPr>
              <w:t>omen of childbearing potential or women who were pregnant, breastfeeding, or likely to become pregnant and who were not willing to use contraception during the medication phase of the trial</w:t>
            </w:r>
            <w:r w:rsidR="008F1983">
              <w:rPr>
                <w:rFonts w:eastAsia="MS Mincho"/>
              </w:rPr>
              <w:t>.</w:t>
            </w:r>
          </w:p>
        </w:tc>
        <w:tc>
          <w:tcPr>
            <w:tcW w:w="920" w:type="pct"/>
          </w:tcPr>
          <w:p w:rsidR="00EF2313" w:rsidRDefault="00EF2313" w:rsidP="002916A7">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(i</w:t>
            </w:r>
            <w:r>
              <w:rPr>
                <w:rFonts w:eastAsia="MS Mincho"/>
              </w:rPr>
              <w:t>.</w:t>
            </w:r>
            <w:r w:rsidRPr="00372F18">
              <w:rPr>
                <w:rFonts w:eastAsia="MS Mincho"/>
              </w:rPr>
              <w:t>e</w:t>
            </w:r>
            <w:r>
              <w:rPr>
                <w:rFonts w:eastAsia="MS Mincho"/>
              </w:rPr>
              <w:t>.</w:t>
            </w:r>
            <w:r w:rsidRPr="00372F18">
              <w:rPr>
                <w:rFonts w:eastAsia="MS Mincho"/>
              </w:rPr>
              <w:t xml:space="preserve"> 0.5</w:t>
            </w:r>
            <w:r>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Pr>
                <w:rFonts w:eastAsia="MS Mincho"/>
              </w:rPr>
              <w:t xml:space="preserve"> </w:t>
            </w:r>
            <w:r w:rsidRPr="00372F18">
              <w:rPr>
                <w:rFonts w:eastAsia="MS Mincho"/>
              </w:rPr>
              <w:t>mg twice daily for 4 days, then 1</w:t>
            </w:r>
            <w:r>
              <w:rPr>
                <w:rFonts w:eastAsia="MS Mincho"/>
              </w:rPr>
              <w:t xml:space="preserve"> </w:t>
            </w:r>
            <w:r w:rsidRPr="00372F18">
              <w:rPr>
                <w:rFonts w:eastAsia="MS Mincho"/>
              </w:rPr>
              <w:t>mg twice daily)</w:t>
            </w:r>
            <w:r w:rsidR="004657DA">
              <w:rPr>
                <w:rFonts w:eastAsia="MS Mincho"/>
              </w:rPr>
              <w:t>;</w:t>
            </w:r>
          </w:p>
          <w:p w:rsidR="00EF2313" w:rsidRDefault="00EF2313" w:rsidP="002916A7">
            <w:pPr>
              <w:pStyle w:val="Tablewriting"/>
              <w:rPr>
                <w:rFonts w:eastAsia="MS Mincho"/>
              </w:rPr>
            </w:pPr>
            <w:r>
              <w:rPr>
                <w:rFonts w:eastAsia="MS Mincho"/>
              </w:rPr>
              <w:t>Placebo: placebo tablet for 12 weeks, same regimen</w:t>
            </w:r>
            <w:r w:rsidR="000F1E7A">
              <w:rPr>
                <w:rFonts w:eastAsia="MS Mincho"/>
              </w:rPr>
              <w:t>.</w:t>
            </w:r>
          </w:p>
          <w:p w:rsidR="00EF2313" w:rsidRDefault="00EF2313" w:rsidP="002916A7">
            <w:pPr>
              <w:pStyle w:val="Tablewriting"/>
              <w:rPr>
                <w:rFonts w:eastAsia="MS Mincho"/>
              </w:rPr>
            </w:pPr>
          </w:p>
          <w:p w:rsidR="00EF2313" w:rsidRDefault="00EF2313" w:rsidP="002916A7">
            <w:pPr>
              <w:pStyle w:val="Tablewriting"/>
              <w:rPr>
                <w:rFonts w:eastAsia="MS Mincho"/>
              </w:rPr>
            </w:pPr>
            <w:r w:rsidRPr="006C0130">
              <w:rPr>
                <w:rFonts w:eastAsia="MS Mincho"/>
              </w:rPr>
              <w:t>Behavioural support provided in both arms.</w:t>
            </w:r>
          </w:p>
        </w:tc>
        <w:tc>
          <w:tcPr>
            <w:tcW w:w="1140" w:type="pct"/>
            <w:tcMar>
              <w:left w:w="28" w:type="dxa"/>
              <w:right w:w="28" w:type="dxa"/>
            </w:tcMar>
          </w:tcPr>
          <w:p w:rsidR="00EF2313" w:rsidRDefault="00EF2313" w:rsidP="002916A7">
            <w:pPr>
              <w:pStyle w:val="Tablewriting"/>
              <w:rPr>
                <w:rFonts w:eastAsia="MS Mincho"/>
              </w:rPr>
            </w:pPr>
            <w:r w:rsidRPr="008C39E4">
              <w:rPr>
                <w:rFonts w:eastAsia="MS Mincho"/>
                <w:u w:val="single"/>
              </w:rPr>
              <w:t>Primary</w:t>
            </w:r>
            <w:r>
              <w:rPr>
                <w:rFonts w:eastAsia="MS Mincho"/>
              </w:rPr>
              <w:t xml:space="preserve">: </w:t>
            </w:r>
            <w:r w:rsidR="00FC351F">
              <w:rPr>
                <w:rFonts w:eastAsia="MS Mincho"/>
              </w:rPr>
              <w:t>7-day PPA at Week 1</w:t>
            </w:r>
            <w:r w:rsidR="008A058A">
              <w:rPr>
                <w:rFonts w:eastAsia="MS Mincho"/>
              </w:rPr>
              <w:t>2</w:t>
            </w:r>
            <w:r w:rsidR="00FC351F">
              <w:rPr>
                <w:rFonts w:eastAsia="MS Mincho"/>
              </w:rPr>
              <w:t xml:space="preserve">. Validated by CO </w:t>
            </w:r>
            <w:r w:rsidR="008A058A">
              <w:rPr>
                <w:rFonts w:eastAsia="MS Mincho" w:cstheme="minorHAnsi"/>
              </w:rPr>
              <w:t>≤</w:t>
            </w:r>
            <w:r w:rsidR="00FC351F">
              <w:rPr>
                <w:rFonts w:eastAsia="MS Mincho"/>
              </w:rPr>
              <w:t>8 ppm.</w:t>
            </w:r>
          </w:p>
          <w:p w:rsidR="00EF2313" w:rsidRPr="002D3A9F" w:rsidRDefault="00EF2313" w:rsidP="002916A7">
            <w:pPr>
              <w:pStyle w:val="Tablewriting"/>
              <w:rPr>
                <w:rFonts w:eastAsia="MS Mincho"/>
              </w:rPr>
            </w:pPr>
            <w:r w:rsidRPr="008C39E4">
              <w:rPr>
                <w:rFonts w:eastAsia="MS Mincho"/>
                <w:u w:val="single"/>
              </w:rPr>
              <w:t>Secondary</w:t>
            </w:r>
            <w:r>
              <w:rPr>
                <w:rFonts w:eastAsia="MS Mincho"/>
              </w:rPr>
              <w:t xml:space="preserve">: </w:t>
            </w:r>
            <w:r w:rsidR="005C553E">
              <w:rPr>
                <w:rFonts w:eastAsia="MS Mincho"/>
              </w:rPr>
              <w:t xml:space="preserve">7-day PPA at Week 26, adverse events, </w:t>
            </w:r>
            <w:r w:rsidR="002D3A9F">
              <w:rPr>
                <w:rFonts w:eastAsia="MS Mincho"/>
              </w:rPr>
              <w:t>alcohol use</w:t>
            </w:r>
            <w:r w:rsidR="000F1E7A">
              <w:rPr>
                <w:rFonts w:eastAsia="MS Mincho"/>
              </w:rPr>
              <w:t>.</w:t>
            </w:r>
          </w:p>
        </w:tc>
      </w:tr>
      <w:tr w:rsidR="00A2658D" w:rsidRPr="00061F78" w:rsidTr="00B537F7">
        <w:trPr>
          <w:trHeight w:val="149"/>
        </w:trPr>
        <w:tc>
          <w:tcPr>
            <w:tcW w:w="332" w:type="pct"/>
            <w:tcMar>
              <w:left w:w="28" w:type="dxa"/>
              <w:right w:w="28" w:type="dxa"/>
            </w:tcMar>
          </w:tcPr>
          <w:p w:rsidR="00A2658D" w:rsidRDefault="00A2658D" w:rsidP="002916A7">
            <w:pPr>
              <w:pStyle w:val="Tablewriting"/>
              <w:rPr>
                <w:rFonts w:eastAsia="MS Mincho"/>
              </w:rPr>
            </w:pPr>
            <w:r>
              <w:rPr>
                <w:rFonts w:eastAsia="MS Mincho"/>
              </w:rPr>
              <w:t>Mercie (2018)</w:t>
            </w:r>
          </w:p>
        </w:tc>
        <w:tc>
          <w:tcPr>
            <w:tcW w:w="395" w:type="pct"/>
          </w:tcPr>
          <w:p w:rsidR="00A2658D" w:rsidRDefault="00A2658D" w:rsidP="002916A7">
            <w:pPr>
              <w:pStyle w:val="Tablewriting"/>
              <w:rPr>
                <w:rFonts w:eastAsia="MS Mincho"/>
              </w:rPr>
            </w:pPr>
            <w:r>
              <w:rPr>
                <w:rFonts w:eastAsia="MS Mincho"/>
              </w:rPr>
              <w:t>RCT</w:t>
            </w:r>
          </w:p>
        </w:tc>
        <w:tc>
          <w:tcPr>
            <w:tcW w:w="347" w:type="pct"/>
            <w:tcMar>
              <w:left w:w="28" w:type="dxa"/>
              <w:right w:w="28" w:type="dxa"/>
            </w:tcMar>
          </w:tcPr>
          <w:p w:rsidR="00A2658D" w:rsidRDefault="00A2658D" w:rsidP="002916A7">
            <w:pPr>
              <w:pStyle w:val="Tablewriting"/>
              <w:rPr>
                <w:rFonts w:eastAsia="MS Mincho"/>
              </w:rPr>
            </w:pPr>
            <w:r>
              <w:rPr>
                <w:rFonts w:eastAsia="MS Mincho"/>
              </w:rPr>
              <w:t>N=248</w:t>
            </w:r>
          </w:p>
          <w:p w:rsidR="00A2658D" w:rsidRDefault="00A2658D" w:rsidP="002916A7">
            <w:pPr>
              <w:pStyle w:val="Tablewriting"/>
              <w:rPr>
                <w:rFonts w:eastAsia="MS Mincho"/>
              </w:rPr>
            </w:pPr>
            <w:r>
              <w:rPr>
                <w:rFonts w:eastAsia="MS Mincho"/>
              </w:rPr>
              <w:t>Varenicline (n=1</w:t>
            </w:r>
            <w:r w:rsidR="00026014">
              <w:rPr>
                <w:rFonts w:eastAsia="MS Mincho"/>
              </w:rPr>
              <w:t>23</w:t>
            </w:r>
            <w:r>
              <w:rPr>
                <w:rFonts w:eastAsia="MS Mincho"/>
              </w:rPr>
              <w:t>), Placebo (n=1</w:t>
            </w:r>
            <w:r w:rsidR="00026014">
              <w:rPr>
                <w:rFonts w:eastAsia="MS Mincho"/>
              </w:rPr>
              <w:t>25</w:t>
            </w:r>
            <w:r>
              <w:rPr>
                <w:rFonts w:eastAsia="MS Mincho"/>
              </w:rPr>
              <w:t>)</w:t>
            </w:r>
          </w:p>
        </w:tc>
        <w:tc>
          <w:tcPr>
            <w:tcW w:w="1866" w:type="pct"/>
            <w:tcMar>
              <w:left w:w="28" w:type="dxa"/>
              <w:right w:w="28" w:type="dxa"/>
            </w:tcMar>
          </w:tcPr>
          <w:p w:rsidR="00A2658D" w:rsidRDefault="00A2658D" w:rsidP="002916A7">
            <w:pPr>
              <w:pStyle w:val="Tablewriting"/>
              <w:rPr>
                <w:rFonts w:eastAsia="MS Mincho"/>
              </w:rPr>
            </w:pPr>
            <w:r w:rsidRPr="007F28D7">
              <w:rPr>
                <w:rFonts w:eastAsia="MS Mincho"/>
                <w:u w:val="single"/>
              </w:rPr>
              <w:t>Inclusion</w:t>
            </w:r>
            <w:r>
              <w:rPr>
                <w:rFonts w:eastAsia="MS Mincho"/>
              </w:rPr>
              <w:t xml:space="preserve">: </w:t>
            </w:r>
            <w:r w:rsidR="00784895">
              <w:rPr>
                <w:rFonts w:eastAsia="MS Mincho" w:cstheme="minorHAnsi"/>
              </w:rPr>
              <w:t>≥</w:t>
            </w:r>
            <w:r w:rsidR="00784895" w:rsidRPr="00784895">
              <w:rPr>
                <w:rFonts w:eastAsia="MS Mincho"/>
              </w:rPr>
              <w:t>18 years o</w:t>
            </w:r>
            <w:r w:rsidR="00784895">
              <w:rPr>
                <w:rFonts w:eastAsia="MS Mincho"/>
              </w:rPr>
              <w:t xml:space="preserve">ld </w:t>
            </w:r>
            <w:r w:rsidR="00784895" w:rsidRPr="00784895">
              <w:rPr>
                <w:rFonts w:eastAsia="MS Mincho"/>
              </w:rPr>
              <w:t>with documented HIV infectio</w:t>
            </w:r>
            <w:r w:rsidR="00784895">
              <w:rPr>
                <w:rFonts w:eastAsia="MS Mincho"/>
              </w:rPr>
              <w:t xml:space="preserve">n, </w:t>
            </w:r>
            <w:r w:rsidR="00784895">
              <w:rPr>
                <w:rFonts w:eastAsia="MS Mincho" w:cstheme="minorHAnsi"/>
              </w:rPr>
              <w:t>≥</w:t>
            </w:r>
            <w:r w:rsidR="00784895">
              <w:rPr>
                <w:rFonts w:eastAsia="MS Mincho"/>
              </w:rPr>
              <w:t>10</w:t>
            </w:r>
            <w:r w:rsidR="00784895" w:rsidRPr="00784895">
              <w:rPr>
                <w:rFonts w:eastAsia="MS Mincho"/>
              </w:rPr>
              <w:t xml:space="preserve"> cigarettes daily for a year or more, volunteered to stop smoking after completing a Q-MAT smoking cessation motivation questionnaire,</w:t>
            </w:r>
            <w:r w:rsidR="00EF4F71">
              <w:rPr>
                <w:rFonts w:eastAsia="MS Mincho"/>
              </w:rPr>
              <w:t xml:space="preserve"> </w:t>
            </w:r>
            <w:r w:rsidR="00784895" w:rsidRPr="00784895">
              <w:rPr>
                <w:rFonts w:eastAsia="MS Mincho"/>
              </w:rPr>
              <w:t>regularly followed up in one of the participating French hospitals.</w:t>
            </w:r>
          </w:p>
          <w:p w:rsidR="00A2658D" w:rsidRPr="007F28D7" w:rsidRDefault="00A2658D" w:rsidP="002916A7">
            <w:pPr>
              <w:pStyle w:val="Tablewriting"/>
              <w:rPr>
                <w:rFonts w:eastAsia="MS Mincho"/>
                <w:u w:val="single"/>
              </w:rPr>
            </w:pPr>
            <w:r w:rsidRPr="007F28D7">
              <w:rPr>
                <w:rFonts w:eastAsia="MS Mincho"/>
                <w:u w:val="single"/>
              </w:rPr>
              <w:t>Exclusion</w:t>
            </w:r>
            <w:r>
              <w:rPr>
                <w:rFonts w:eastAsia="MS Mincho"/>
              </w:rPr>
              <w:t xml:space="preserve">: </w:t>
            </w:r>
            <w:r w:rsidR="00EF4F71" w:rsidRPr="00EF4F71">
              <w:rPr>
                <w:rFonts w:eastAsia="MS Mincho"/>
              </w:rPr>
              <w:t xml:space="preserve">co-dependent on a psychoactive substance other than tobacco, had a depressive episode during enrolment diagnosed by a psychiatrist, had ever attempted suicide, were having ongoing treatment with interferon, had been taking </w:t>
            </w:r>
            <w:r w:rsidR="00EF4F71" w:rsidRPr="00EF4F71">
              <w:rPr>
                <w:rFonts w:eastAsia="MS Mincho"/>
              </w:rPr>
              <w:lastRenderedPageBreak/>
              <w:t>efavirenz for less than 3 months or</w:t>
            </w:r>
            <w:r w:rsidR="00EF4F71">
              <w:rPr>
                <w:rFonts w:eastAsia="MS Mincho"/>
              </w:rPr>
              <w:t xml:space="preserve"> </w:t>
            </w:r>
            <w:r w:rsidR="00EF4F71" w:rsidRPr="00EF4F71">
              <w:rPr>
                <w:rFonts w:eastAsia="MS Mincho"/>
              </w:rPr>
              <w:t>had neuropsychological drug-related adverse events while taking efavirenz</w:t>
            </w:r>
            <w:r w:rsidR="00EF4F71">
              <w:rPr>
                <w:rFonts w:eastAsia="MS Mincho"/>
              </w:rPr>
              <w:t>,</w:t>
            </w:r>
            <w:r w:rsidR="00EF4F71" w:rsidRPr="00EF4F71">
              <w:rPr>
                <w:rFonts w:eastAsia="MS Mincho"/>
              </w:rPr>
              <w:t xml:space="preserve"> previous treatment with varenicline (or known hypersensitivity to varenicline) or bupropion or ongoing nicotine replacement therapy, being pregnant, or ongoing breastfeeding</w:t>
            </w:r>
            <w:r w:rsidR="000F1E7A">
              <w:rPr>
                <w:rFonts w:eastAsia="MS Mincho"/>
              </w:rPr>
              <w:t>.</w:t>
            </w:r>
          </w:p>
        </w:tc>
        <w:tc>
          <w:tcPr>
            <w:tcW w:w="920" w:type="pct"/>
          </w:tcPr>
          <w:p w:rsidR="00A2658D" w:rsidRDefault="00A2658D" w:rsidP="002916A7">
            <w:pPr>
              <w:pStyle w:val="Tablewriting"/>
              <w:rPr>
                <w:rFonts w:eastAsia="MS Mincho"/>
              </w:rPr>
            </w:pPr>
            <w:r>
              <w:rPr>
                <w:rFonts w:eastAsia="MS Mincho"/>
              </w:rPr>
              <w:lastRenderedPageBreak/>
              <w:t>Varenicline</w:t>
            </w:r>
            <w:r w:rsidRPr="00A34E7B">
              <w:rPr>
                <w:rFonts w:eastAsia="MS Mincho"/>
              </w:rPr>
              <w:t xml:space="preserve">: </w:t>
            </w:r>
            <w:r w:rsidRPr="00372F18">
              <w:rPr>
                <w:rFonts w:eastAsia="MS Mincho"/>
              </w:rPr>
              <w:t>1</w:t>
            </w:r>
            <w:r>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(i</w:t>
            </w:r>
            <w:r>
              <w:rPr>
                <w:rFonts w:eastAsia="MS Mincho"/>
              </w:rPr>
              <w:t>.</w:t>
            </w:r>
            <w:r w:rsidRPr="00372F18">
              <w:rPr>
                <w:rFonts w:eastAsia="MS Mincho"/>
              </w:rPr>
              <w:t>e</w:t>
            </w:r>
            <w:r>
              <w:rPr>
                <w:rFonts w:eastAsia="MS Mincho"/>
              </w:rPr>
              <w:t>.</w:t>
            </w:r>
            <w:r w:rsidRPr="00372F18">
              <w:rPr>
                <w:rFonts w:eastAsia="MS Mincho"/>
              </w:rPr>
              <w:t xml:space="preserve"> 0.5</w:t>
            </w:r>
            <w:r>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Pr>
                <w:rFonts w:eastAsia="MS Mincho"/>
              </w:rPr>
              <w:t xml:space="preserve"> </w:t>
            </w:r>
            <w:r w:rsidRPr="00372F18">
              <w:rPr>
                <w:rFonts w:eastAsia="MS Mincho"/>
              </w:rPr>
              <w:t>mg twice daily for 4 days, then 1</w:t>
            </w:r>
            <w:r>
              <w:rPr>
                <w:rFonts w:eastAsia="MS Mincho"/>
              </w:rPr>
              <w:t xml:space="preserve"> </w:t>
            </w:r>
            <w:r w:rsidRPr="00372F18">
              <w:rPr>
                <w:rFonts w:eastAsia="MS Mincho"/>
              </w:rPr>
              <w:t>mg twice daily)</w:t>
            </w:r>
            <w:r w:rsidR="004657DA">
              <w:rPr>
                <w:rFonts w:eastAsia="MS Mincho"/>
              </w:rPr>
              <w:t>;</w:t>
            </w:r>
          </w:p>
          <w:p w:rsidR="00A2658D" w:rsidRDefault="00A2658D" w:rsidP="002916A7">
            <w:pPr>
              <w:pStyle w:val="Tablewriting"/>
              <w:rPr>
                <w:rFonts w:eastAsia="MS Mincho"/>
              </w:rPr>
            </w:pPr>
            <w:r>
              <w:rPr>
                <w:rFonts w:eastAsia="MS Mincho"/>
              </w:rPr>
              <w:t>Placebo: placebo tablet for 12 weeks, same regimen</w:t>
            </w:r>
            <w:r w:rsidR="000F1E7A">
              <w:rPr>
                <w:rFonts w:eastAsia="MS Mincho"/>
              </w:rPr>
              <w:t>.</w:t>
            </w:r>
          </w:p>
          <w:p w:rsidR="00A2658D" w:rsidRDefault="00A2658D" w:rsidP="002916A7">
            <w:pPr>
              <w:pStyle w:val="Tablewriting"/>
              <w:rPr>
                <w:rFonts w:eastAsia="MS Mincho"/>
              </w:rPr>
            </w:pPr>
          </w:p>
          <w:p w:rsidR="00A2658D" w:rsidRDefault="00A2658D" w:rsidP="002916A7">
            <w:pPr>
              <w:pStyle w:val="Tablewriting"/>
              <w:rPr>
                <w:rFonts w:eastAsia="MS Mincho"/>
              </w:rPr>
            </w:pPr>
            <w:r w:rsidRPr="006C0130">
              <w:rPr>
                <w:rFonts w:eastAsia="MS Mincho"/>
              </w:rPr>
              <w:lastRenderedPageBreak/>
              <w:t>Behavioural support provided in both arms.</w:t>
            </w:r>
          </w:p>
        </w:tc>
        <w:tc>
          <w:tcPr>
            <w:tcW w:w="1140" w:type="pct"/>
            <w:tcMar>
              <w:left w:w="28" w:type="dxa"/>
              <w:right w:w="28" w:type="dxa"/>
            </w:tcMar>
          </w:tcPr>
          <w:p w:rsidR="00A2658D" w:rsidRDefault="00A2658D" w:rsidP="002916A7">
            <w:pPr>
              <w:pStyle w:val="Tablewriting"/>
              <w:rPr>
                <w:rFonts w:eastAsia="MS Mincho"/>
              </w:rPr>
            </w:pPr>
            <w:r w:rsidRPr="008C39E4">
              <w:rPr>
                <w:rFonts w:eastAsia="MS Mincho"/>
                <w:u w:val="single"/>
              </w:rPr>
              <w:lastRenderedPageBreak/>
              <w:t>Primary</w:t>
            </w:r>
            <w:r>
              <w:rPr>
                <w:rFonts w:eastAsia="MS Mincho"/>
              </w:rPr>
              <w:t xml:space="preserve">: </w:t>
            </w:r>
            <w:r w:rsidR="003733B0">
              <w:rPr>
                <w:rFonts w:eastAsia="MS Mincho"/>
              </w:rPr>
              <w:t>CAR</w:t>
            </w:r>
            <w:r>
              <w:rPr>
                <w:rFonts w:eastAsia="MS Mincho"/>
              </w:rPr>
              <w:t xml:space="preserve"> at Week </w:t>
            </w:r>
            <w:r w:rsidR="003733B0">
              <w:rPr>
                <w:rFonts w:eastAsia="MS Mincho"/>
              </w:rPr>
              <w:t>9-48</w:t>
            </w:r>
            <w:r>
              <w:rPr>
                <w:rFonts w:eastAsia="MS Mincho"/>
              </w:rPr>
              <w:t xml:space="preserve">. Validated by CO </w:t>
            </w:r>
            <w:r>
              <w:rPr>
                <w:rFonts w:eastAsia="MS Mincho" w:cstheme="minorHAnsi"/>
              </w:rPr>
              <w:t>≤</w:t>
            </w:r>
            <w:r>
              <w:rPr>
                <w:rFonts w:eastAsia="MS Mincho"/>
              </w:rPr>
              <w:t>10 ppm.</w:t>
            </w:r>
          </w:p>
          <w:p w:rsidR="00A2658D" w:rsidRPr="008C39E4" w:rsidRDefault="00A2658D" w:rsidP="002916A7">
            <w:pPr>
              <w:pStyle w:val="Tablewriting"/>
              <w:rPr>
                <w:rFonts w:eastAsia="MS Mincho"/>
                <w:u w:val="single"/>
              </w:rPr>
            </w:pPr>
            <w:r>
              <w:rPr>
                <w:rFonts w:eastAsia="MS Mincho"/>
                <w:u w:val="single"/>
              </w:rPr>
              <w:t>Secondary</w:t>
            </w:r>
            <w:r>
              <w:rPr>
                <w:rFonts w:eastAsia="MS Mincho"/>
              </w:rPr>
              <w:t xml:space="preserve">: </w:t>
            </w:r>
            <w:r w:rsidR="005230D6">
              <w:rPr>
                <w:rFonts w:eastAsia="MS Mincho"/>
              </w:rPr>
              <w:t>CAR at Week 9-12</w:t>
            </w:r>
            <w:r w:rsidR="00AE5A27">
              <w:rPr>
                <w:rFonts w:eastAsia="MS Mincho"/>
              </w:rPr>
              <w:t>, incidence of episodes of depression, cardiovascular and cerebrovascular events</w:t>
            </w:r>
            <w:r w:rsidR="00CB3AC5">
              <w:rPr>
                <w:rFonts w:eastAsia="MS Mincho"/>
              </w:rPr>
              <w:t>, adverse events</w:t>
            </w:r>
            <w:r w:rsidR="000F1E7A">
              <w:rPr>
                <w:rFonts w:eastAsia="MS Mincho"/>
              </w:rPr>
              <w:t>.</w:t>
            </w:r>
          </w:p>
        </w:tc>
      </w:tr>
      <w:tr w:rsidR="00EF2313" w:rsidRPr="00061F78" w:rsidTr="00B537F7">
        <w:trPr>
          <w:trHeight w:val="149"/>
        </w:trPr>
        <w:tc>
          <w:tcPr>
            <w:tcW w:w="332" w:type="pct"/>
            <w:tcMar>
              <w:left w:w="28" w:type="dxa"/>
              <w:right w:w="28" w:type="dxa"/>
            </w:tcMar>
          </w:tcPr>
          <w:p w:rsidR="00EF2313" w:rsidRDefault="00EF2313" w:rsidP="002916A7">
            <w:pPr>
              <w:pStyle w:val="Tablewriting"/>
              <w:rPr>
                <w:rFonts w:eastAsia="MS Mincho"/>
              </w:rPr>
            </w:pPr>
            <w:r>
              <w:rPr>
                <w:rFonts w:eastAsia="MS Mincho"/>
              </w:rPr>
              <w:t>Windle (2018)</w:t>
            </w:r>
          </w:p>
        </w:tc>
        <w:tc>
          <w:tcPr>
            <w:tcW w:w="395" w:type="pct"/>
          </w:tcPr>
          <w:p w:rsidR="00EF2313" w:rsidRDefault="00EF2313" w:rsidP="002916A7">
            <w:pPr>
              <w:pStyle w:val="Tablewriting"/>
              <w:rPr>
                <w:rFonts w:eastAsia="MS Mincho"/>
              </w:rPr>
            </w:pPr>
            <w:r>
              <w:rPr>
                <w:rFonts w:eastAsia="MS Mincho"/>
              </w:rPr>
              <w:t>RCT</w:t>
            </w:r>
          </w:p>
        </w:tc>
        <w:tc>
          <w:tcPr>
            <w:tcW w:w="347" w:type="pct"/>
            <w:tcMar>
              <w:left w:w="28" w:type="dxa"/>
              <w:right w:w="28" w:type="dxa"/>
            </w:tcMar>
          </w:tcPr>
          <w:p w:rsidR="00EF2313" w:rsidRDefault="00EF2313" w:rsidP="002916A7">
            <w:pPr>
              <w:pStyle w:val="Tablewriting"/>
              <w:rPr>
                <w:rFonts w:eastAsia="MS Mincho"/>
              </w:rPr>
            </w:pPr>
            <w:r>
              <w:rPr>
                <w:rFonts w:eastAsia="MS Mincho"/>
              </w:rPr>
              <w:t>N=</w:t>
            </w:r>
            <w:r w:rsidR="00223726">
              <w:rPr>
                <w:rFonts w:eastAsia="MS Mincho"/>
              </w:rPr>
              <w:t>302</w:t>
            </w:r>
          </w:p>
          <w:p w:rsidR="00EF2313" w:rsidRDefault="00EF2313" w:rsidP="002916A7">
            <w:pPr>
              <w:pStyle w:val="Tablewriting"/>
              <w:rPr>
                <w:rFonts w:eastAsia="MS Mincho"/>
              </w:rPr>
            </w:pPr>
            <w:r>
              <w:rPr>
                <w:rFonts w:eastAsia="MS Mincho"/>
              </w:rPr>
              <w:t>Varenicline (n=</w:t>
            </w:r>
            <w:r w:rsidR="00223726">
              <w:rPr>
                <w:rFonts w:eastAsia="MS Mincho"/>
              </w:rPr>
              <w:t>151</w:t>
            </w:r>
            <w:r>
              <w:rPr>
                <w:rFonts w:eastAsia="MS Mincho"/>
              </w:rPr>
              <w:t>), Placebo (n=1</w:t>
            </w:r>
            <w:r w:rsidR="00223726">
              <w:rPr>
                <w:rFonts w:eastAsia="MS Mincho"/>
              </w:rPr>
              <w:t>51</w:t>
            </w:r>
            <w:r>
              <w:rPr>
                <w:rFonts w:eastAsia="MS Mincho"/>
              </w:rPr>
              <w:t>)</w:t>
            </w:r>
          </w:p>
        </w:tc>
        <w:tc>
          <w:tcPr>
            <w:tcW w:w="1866" w:type="pct"/>
            <w:tcMar>
              <w:left w:w="28" w:type="dxa"/>
              <w:right w:w="28" w:type="dxa"/>
            </w:tcMar>
          </w:tcPr>
          <w:p w:rsidR="00EF2313" w:rsidRDefault="00EF2313" w:rsidP="002916A7">
            <w:pPr>
              <w:pStyle w:val="Tablewriting"/>
              <w:rPr>
                <w:rFonts w:eastAsia="MS Mincho"/>
              </w:rPr>
            </w:pPr>
            <w:r w:rsidRPr="007F28D7">
              <w:rPr>
                <w:rFonts w:eastAsia="MS Mincho"/>
                <w:u w:val="single"/>
              </w:rPr>
              <w:t>Inclusion</w:t>
            </w:r>
            <w:r>
              <w:rPr>
                <w:rFonts w:eastAsia="MS Mincho"/>
              </w:rPr>
              <w:t xml:space="preserve">: </w:t>
            </w:r>
            <w:r w:rsidRPr="00C522B0">
              <w:rPr>
                <w:rFonts w:eastAsia="MS Mincho"/>
              </w:rPr>
              <w:t>≥10 cigarettes</w:t>
            </w:r>
            <w:r>
              <w:rPr>
                <w:rFonts w:eastAsia="MS Mincho"/>
              </w:rPr>
              <w:t xml:space="preserve"> per </w:t>
            </w:r>
            <w:r w:rsidRPr="00C522B0">
              <w:rPr>
                <w:rFonts w:eastAsia="MS Mincho"/>
              </w:rPr>
              <w:t xml:space="preserve">day </w:t>
            </w:r>
            <w:r w:rsidR="00D51829">
              <w:rPr>
                <w:rFonts w:eastAsia="MS Mincho"/>
              </w:rPr>
              <w:t>for the past year</w:t>
            </w:r>
            <w:r w:rsidRPr="00C522B0">
              <w:rPr>
                <w:rFonts w:eastAsia="MS Mincho"/>
              </w:rPr>
              <w:t xml:space="preserve">, motivated to </w:t>
            </w:r>
            <w:r w:rsidR="00D51829">
              <w:rPr>
                <w:rFonts w:eastAsia="MS Mincho"/>
              </w:rPr>
              <w:t>quit</w:t>
            </w:r>
            <w:r w:rsidRPr="00C522B0">
              <w:rPr>
                <w:rFonts w:eastAsia="MS Mincho"/>
              </w:rPr>
              <w:t>.</w:t>
            </w:r>
          </w:p>
          <w:p w:rsidR="00EF2313" w:rsidRPr="002C19B4" w:rsidRDefault="00EF2313" w:rsidP="002916A7">
            <w:pPr>
              <w:pStyle w:val="Tablewriting"/>
              <w:rPr>
                <w:rFonts w:eastAsia="MS Mincho"/>
                <w:u w:val="single"/>
              </w:rPr>
            </w:pPr>
            <w:r w:rsidRPr="007F28D7">
              <w:rPr>
                <w:rFonts w:eastAsia="MS Mincho"/>
                <w:u w:val="single"/>
              </w:rPr>
              <w:t>Exclusion</w:t>
            </w:r>
            <w:r>
              <w:rPr>
                <w:rFonts w:eastAsia="MS Mincho"/>
              </w:rPr>
              <w:t xml:space="preserve">: </w:t>
            </w:r>
            <w:r w:rsidR="007F051F" w:rsidRPr="007F051F">
              <w:rPr>
                <w:rFonts w:eastAsia="MS Mincho"/>
              </w:rPr>
              <w:t>history of mental illness</w:t>
            </w:r>
            <w:r w:rsidR="000F1E7A">
              <w:rPr>
                <w:rFonts w:eastAsia="MS Mincho"/>
              </w:rPr>
              <w:t>.</w:t>
            </w:r>
          </w:p>
        </w:tc>
        <w:tc>
          <w:tcPr>
            <w:tcW w:w="920" w:type="pct"/>
          </w:tcPr>
          <w:p w:rsidR="00EF2313" w:rsidRDefault="00EF2313" w:rsidP="002916A7">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(i</w:t>
            </w:r>
            <w:r>
              <w:rPr>
                <w:rFonts w:eastAsia="MS Mincho"/>
              </w:rPr>
              <w:t>.</w:t>
            </w:r>
            <w:r w:rsidRPr="00372F18">
              <w:rPr>
                <w:rFonts w:eastAsia="MS Mincho"/>
              </w:rPr>
              <w:t>e</w:t>
            </w:r>
            <w:r>
              <w:rPr>
                <w:rFonts w:eastAsia="MS Mincho"/>
              </w:rPr>
              <w:t>.</w:t>
            </w:r>
            <w:r w:rsidRPr="00372F18">
              <w:rPr>
                <w:rFonts w:eastAsia="MS Mincho"/>
              </w:rPr>
              <w:t xml:space="preserve"> 0.5</w:t>
            </w:r>
            <w:r>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Pr>
                <w:rFonts w:eastAsia="MS Mincho"/>
              </w:rPr>
              <w:t xml:space="preserve"> </w:t>
            </w:r>
            <w:r w:rsidRPr="00372F18">
              <w:rPr>
                <w:rFonts w:eastAsia="MS Mincho"/>
              </w:rPr>
              <w:t>mg twice daily for 4 days, then 1</w:t>
            </w:r>
            <w:r>
              <w:rPr>
                <w:rFonts w:eastAsia="MS Mincho"/>
              </w:rPr>
              <w:t xml:space="preserve"> </w:t>
            </w:r>
            <w:r w:rsidRPr="00372F18">
              <w:rPr>
                <w:rFonts w:eastAsia="MS Mincho"/>
              </w:rPr>
              <w:t>mg twice daily)</w:t>
            </w:r>
            <w:r w:rsidR="004657DA">
              <w:rPr>
                <w:rFonts w:eastAsia="MS Mincho"/>
              </w:rPr>
              <w:t>;</w:t>
            </w:r>
          </w:p>
          <w:p w:rsidR="00EF2313" w:rsidRDefault="00EF2313" w:rsidP="002916A7">
            <w:pPr>
              <w:pStyle w:val="Tablewriting"/>
              <w:rPr>
                <w:rFonts w:eastAsia="MS Mincho"/>
              </w:rPr>
            </w:pPr>
            <w:r>
              <w:rPr>
                <w:rFonts w:eastAsia="MS Mincho"/>
              </w:rPr>
              <w:t>Placebo: placebo tablet for 12 weeks, same regimen</w:t>
            </w:r>
            <w:r w:rsidR="000F1E7A">
              <w:rPr>
                <w:rFonts w:eastAsia="MS Mincho"/>
              </w:rPr>
              <w:t>.</w:t>
            </w:r>
          </w:p>
          <w:p w:rsidR="00EF2313" w:rsidRDefault="00EF2313" w:rsidP="002916A7">
            <w:pPr>
              <w:pStyle w:val="Tablewriting"/>
              <w:rPr>
                <w:rFonts w:eastAsia="MS Mincho"/>
              </w:rPr>
            </w:pPr>
          </w:p>
          <w:p w:rsidR="00EF2313" w:rsidRDefault="00EF2313" w:rsidP="002916A7">
            <w:pPr>
              <w:pStyle w:val="Tablewriting"/>
              <w:rPr>
                <w:rFonts w:eastAsia="MS Mincho"/>
              </w:rPr>
            </w:pPr>
            <w:r w:rsidRPr="006C0130">
              <w:rPr>
                <w:rFonts w:eastAsia="MS Mincho"/>
              </w:rPr>
              <w:t>Behavioural support provided in both arms.</w:t>
            </w:r>
          </w:p>
        </w:tc>
        <w:tc>
          <w:tcPr>
            <w:tcW w:w="1140" w:type="pct"/>
            <w:tcMar>
              <w:left w:w="28" w:type="dxa"/>
              <w:right w:w="28" w:type="dxa"/>
            </w:tcMar>
          </w:tcPr>
          <w:p w:rsidR="00EF2313" w:rsidRDefault="00EF2313" w:rsidP="002916A7">
            <w:pPr>
              <w:pStyle w:val="Tablewriting"/>
              <w:rPr>
                <w:rFonts w:eastAsia="MS Mincho"/>
              </w:rPr>
            </w:pPr>
            <w:r w:rsidRPr="008C39E4">
              <w:rPr>
                <w:rFonts w:eastAsia="MS Mincho"/>
                <w:u w:val="single"/>
              </w:rPr>
              <w:t>Primary</w:t>
            </w:r>
            <w:r>
              <w:rPr>
                <w:rFonts w:eastAsia="MS Mincho"/>
              </w:rPr>
              <w:t xml:space="preserve">: </w:t>
            </w:r>
            <w:r w:rsidR="00A041AB">
              <w:rPr>
                <w:rFonts w:eastAsia="MS Mincho"/>
              </w:rPr>
              <w:t>7-day PPA</w:t>
            </w:r>
            <w:r>
              <w:rPr>
                <w:rFonts w:eastAsia="MS Mincho"/>
              </w:rPr>
              <w:t xml:space="preserve"> at Week </w:t>
            </w:r>
            <w:r w:rsidR="000C5117">
              <w:rPr>
                <w:rFonts w:eastAsia="MS Mincho"/>
              </w:rPr>
              <w:t>24</w:t>
            </w:r>
            <w:r>
              <w:rPr>
                <w:rFonts w:eastAsia="MS Mincho"/>
              </w:rPr>
              <w:t xml:space="preserve">. Validated by CO </w:t>
            </w:r>
            <w:r>
              <w:rPr>
                <w:rFonts w:eastAsia="MS Mincho" w:cstheme="minorHAnsi"/>
              </w:rPr>
              <w:t>≤</w:t>
            </w:r>
            <w:r>
              <w:rPr>
                <w:rFonts w:eastAsia="MS Mincho"/>
              </w:rPr>
              <w:t>10 ppm.</w:t>
            </w:r>
          </w:p>
          <w:p w:rsidR="00EF2313" w:rsidRPr="0036499C" w:rsidRDefault="0071795F" w:rsidP="002916A7">
            <w:pPr>
              <w:pStyle w:val="Tablewriting"/>
              <w:rPr>
                <w:rFonts w:eastAsia="MS Mincho"/>
                <w:u w:val="single"/>
              </w:rPr>
            </w:pPr>
            <w:r>
              <w:rPr>
                <w:rFonts w:eastAsia="MS Mincho"/>
                <w:u w:val="single"/>
              </w:rPr>
              <w:t>Secondary</w:t>
            </w:r>
            <w:r w:rsidR="00EF2313">
              <w:rPr>
                <w:rFonts w:eastAsia="MS Mincho"/>
              </w:rPr>
              <w:t xml:space="preserve">: </w:t>
            </w:r>
            <w:r>
              <w:rPr>
                <w:rFonts w:eastAsia="MS Mincho"/>
              </w:rPr>
              <w:t>7-day PPA at all follow</w:t>
            </w:r>
            <w:r w:rsidR="0031665F">
              <w:rPr>
                <w:rFonts w:eastAsia="MS Mincho"/>
              </w:rPr>
              <w:t>-</w:t>
            </w:r>
            <w:r w:rsidR="00F96708">
              <w:rPr>
                <w:rFonts w:eastAsia="MS Mincho"/>
              </w:rPr>
              <w:t>ups</w:t>
            </w:r>
            <w:r w:rsidR="0077243F">
              <w:rPr>
                <w:rFonts w:eastAsia="MS Mincho"/>
              </w:rPr>
              <w:t xml:space="preserve"> (up to Week 52), reduction in daily cigarette consumption by </w:t>
            </w:r>
            <w:r w:rsidR="0077243F">
              <w:rPr>
                <w:rFonts w:eastAsia="MS Mincho" w:cstheme="minorHAnsi"/>
              </w:rPr>
              <w:t>≥</w:t>
            </w:r>
            <w:r w:rsidR="0077243F">
              <w:rPr>
                <w:rFonts w:eastAsia="MS Mincho"/>
              </w:rPr>
              <w:t xml:space="preserve">50%, </w:t>
            </w:r>
            <w:r w:rsidR="00EF2313">
              <w:rPr>
                <w:rFonts w:eastAsia="MS Mincho"/>
              </w:rPr>
              <w:t>a</w:t>
            </w:r>
            <w:r w:rsidR="00EF2313" w:rsidRPr="00B83AC1">
              <w:rPr>
                <w:rFonts w:eastAsia="MS Mincho"/>
              </w:rPr>
              <w:t xml:space="preserve">dverse events, </w:t>
            </w:r>
            <w:r w:rsidR="00EF2313">
              <w:rPr>
                <w:rFonts w:eastAsia="MS Mincho"/>
              </w:rPr>
              <w:t>serious adverse event</w:t>
            </w:r>
            <w:r w:rsidR="00EF2313" w:rsidRPr="00B83AC1">
              <w:rPr>
                <w:rFonts w:eastAsia="MS Mincho"/>
              </w:rPr>
              <w:t>s</w:t>
            </w:r>
            <w:r w:rsidR="000F1E7A">
              <w:rPr>
                <w:rFonts w:eastAsia="MS Mincho"/>
              </w:rPr>
              <w:t>.</w:t>
            </w:r>
          </w:p>
        </w:tc>
      </w:tr>
      <w:tr w:rsidR="00EF2313" w:rsidRPr="00061F78" w:rsidTr="00B537F7">
        <w:trPr>
          <w:trHeight w:val="149"/>
        </w:trPr>
        <w:tc>
          <w:tcPr>
            <w:tcW w:w="332" w:type="pct"/>
            <w:tcMar>
              <w:left w:w="28" w:type="dxa"/>
              <w:right w:w="28" w:type="dxa"/>
            </w:tcMar>
          </w:tcPr>
          <w:p w:rsidR="00EF2313" w:rsidRDefault="00EF2313" w:rsidP="002916A7">
            <w:pPr>
              <w:pStyle w:val="Tablewriting"/>
              <w:rPr>
                <w:rFonts w:eastAsia="MS Mincho"/>
              </w:rPr>
            </w:pPr>
            <w:r>
              <w:rPr>
                <w:rFonts w:eastAsia="MS Mincho"/>
              </w:rPr>
              <w:t>Ashare (2019)</w:t>
            </w:r>
          </w:p>
        </w:tc>
        <w:tc>
          <w:tcPr>
            <w:tcW w:w="395" w:type="pct"/>
          </w:tcPr>
          <w:p w:rsidR="00EF2313" w:rsidRDefault="00EF2313" w:rsidP="002916A7">
            <w:pPr>
              <w:pStyle w:val="Tablewriting"/>
              <w:rPr>
                <w:rFonts w:eastAsia="MS Mincho"/>
              </w:rPr>
            </w:pPr>
            <w:r>
              <w:rPr>
                <w:rFonts w:eastAsia="MS Mincho"/>
              </w:rPr>
              <w:t>RCT</w:t>
            </w:r>
          </w:p>
        </w:tc>
        <w:tc>
          <w:tcPr>
            <w:tcW w:w="347" w:type="pct"/>
            <w:tcMar>
              <w:left w:w="28" w:type="dxa"/>
              <w:right w:w="28" w:type="dxa"/>
            </w:tcMar>
          </w:tcPr>
          <w:p w:rsidR="00EF2313" w:rsidRDefault="00EF2313" w:rsidP="002916A7">
            <w:pPr>
              <w:pStyle w:val="Tablewriting"/>
              <w:rPr>
                <w:rFonts w:eastAsia="MS Mincho"/>
              </w:rPr>
            </w:pPr>
            <w:r>
              <w:rPr>
                <w:rFonts w:eastAsia="MS Mincho"/>
              </w:rPr>
              <w:t>N=</w:t>
            </w:r>
            <w:r w:rsidR="0027701C">
              <w:rPr>
                <w:rFonts w:eastAsia="MS Mincho"/>
              </w:rPr>
              <w:t>17</w:t>
            </w:r>
            <w:r>
              <w:rPr>
                <w:rFonts w:eastAsia="MS Mincho"/>
              </w:rPr>
              <w:t>9</w:t>
            </w:r>
          </w:p>
          <w:p w:rsidR="00EF2313" w:rsidRDefault="00EF2313" w:rsidP="002916A7">
            <w:pPr>
              <w:pStyle w:val="Tablewriting"/>
              <w:rPr>
                <w:rFonts w:eastAsia="MS Mincho"/>
              </w:rPr>
            </w:pPr>
            <w:r>
              <w:rPr>
                <w:rFonts w:eastAsia="MS Mincho"/>
              </w:rPr>
              <w:t>Varenicline (n=</w:t>
            </w:r>
            <w:r w:rsidR="001D0D30">
              <w:rPr>
                <w:rFonts w:eastAsia="MS Mincho"/>
              </w:rPr>
              <w:t>89</w:t>
            </w:r>
            <w:r>
              <w:rPr>
                <w:rFonts w:eastAsia="MS Mincho"/>
              </w:rPr>
              <w:t>), Placebo (n=</w:t>
            </w:r>
            <w:r w:rsidR="001D0D30">
              <w:rPr>
                <w:rFonts w:eastAsia="MS Mincho"/>
              </w:rPr>
              <w:t>90</w:t>
            </w:r>
            <w:r>
              <w:rPr>
                <w:rFonts w:eastAsia="MS Mincho"/>
              </w:rPr>
              <w:t>)</w:t>
            </w:r>
          </w:p>
        </w:tc>
        <w:tc>
          <w:tcPr>
            <w:tcW w:w="1866" w:type="pct"/>
            <w:tcMar>
              <w:left w:w="28" w:type="dxa"/>
              <w:right w:w="28" w:type="dxa"/>
            </w:tcMar>
          </w:tcPr>
          <w:p w:rsidR="00EF2313" w:rsidRDefault="00EF2313" w:rsidP="002916A7">
            <w:pPr>
              <w:pStyle w:val="Tablewriting"/>
              <w:rPr>
                <w:rFonts w:eastAsia="MS Mincho"/>
              </w:rPr>
            </w:pPr>
            <w:r w:rsidRPr="007F28D7">
              <w:rPr>
                <w:rFonts w:eastAsia="MS Mincho"/>
                <w:u w:val="single"/>
              </w:rPr>
              <w:t>Inclusion</w:t>
            </w:r>
            <w:r>
              <w:rPr>
                <w:rFonts w:eastAsia="MS Mincho"/>
              </w:rPr>
              <w:t xml:space="preserve">: </w:t>
            </w:r>
            <w:r w:rsidR="00D22935" w:rsidRPr="00D22935">
              <w:rPr>
                <w:rFonts w:eastAsia="MS Mincho"/>
              </w:rPr>
              <w:t>&gt;18</w:t>
            </w:r>
            <w:r w:rsidR="00D22935">
              <w:rPr>
                <w:rFonts w:eastAsia="MS Mincho"/>
              </w:rPr>
              <w:t xml:space="preserve"> years old</w:t>
            </w:r>
            <w:r w:rsidR="00D22935" w:rsidRPr="00D22935">
              <w:rPr>
                <w:rFonts w:eastAsia="MS Mincho"/>
              </w:rPr>
              <w:t>, confirmed HIV diagnosis, be treated with ART with HIV viral loads &lt;1000 copies/ml and CD4+ counts</w:t>
            </w:r>
            <w:r w:rsidR="00D22935">
              <w:rPr>
                <w:rFonts w:eastAsia="MS Mincho"/>
              </w:rPr>
              <w:t xml:space="preserve"> </w:t>
            </w:r>
            <w:r w:rsidR="00D22935" w:rsidRPr="00D22935">
              <w:rPr>
                <w:rFonts w:eastAsia="MS Mincho"/>
              </w:rPr>
              <w:t>&gt;200 cells/mm</w:t>
            </w:r>
            <w:r w:rsidR="00D22935" w:rsidRPr="00C5750D">
              <w:rPr>
                <w:rFonts w:eastAsia="MS Mincho"/>
                <w:vertAlign w:val="superscript"/>
              </w:rPr>
              <w:t>3</w:t>
            </w:r>
            <w:r w:rsidR="00D22935" w:rsidRPr="00D22935">
              <w:rPr>
                <w:rFonts w:eastAsia="MS Mincho"/>
              </w:rPr>
              <w:t>, report daily smoking, ALT and AST &lt;2 times upper limit of normal, and creatinine clearance &gt;50 mL/min.</w:t>
            </w:r>
          </w:p>
          <w:p w:rsidR="00EF2313" w:rsidRPr="002C19B4" w:rsidRDefault="00EF2313" w:rsidP="002916A7">
            <w:pPr>
              <w:pStyle w:val="Tablewriting"/>
              <w:rPr>
                <w:rFonts w:eastAsia="MS Mincho"/>
                <w:u w:val="single"/>
              </w:rPr>
            </w:pPr>
            <w:r w:rsidRPr="007F28D7">
              <w:rPr>
                <w:rFonts w:eastAsia="MS Mincho"/>
                <w:u w:val="single"/>
              </w:rPr>
              <w:t>Exclusion</w:t>
            </w:r>
            <w:r>
              <w:rPr>
                <w:rFonts w:eastAsia="MS Mincho"/>
              </w:rPr>
              <w:t xml:space="preserve">: </w:t>
            </w:r>
            <w:r w:rsidR="00C5750D" w:rsidRPr="00C5750D">
              <w:rPr>
                <w:rFonts w:eastAsia="MS Mincho"/>
              </w:rPr>
              <w:t>self-reported history of psychosis or a suicide attempt, self-reported current or planned pregnancy, self-reported current use of smoking cessation medications, unstable or untreated alcohol/substance abuse, and uncontrolled hypertension (systolic</w:t>
            </w:r>
            <w:r w:rsidR="00EE461C">
              <w:rPr>
                <w:rFonts w:eastAsia="MS Mincho"/>
              </w:rPr>
              <w:t xml:space="preserve"> </w:t>
            </w:r>
            <w:r w:rsidR="00C5750D" w:rsidRPr="00C5750D">
              <w:rPr>
                <w:rFonts w:eastAsia="MS Mincho"/>
              </w:rPr>
              <w:t>&gt;160 or diastolic</w:t>
            </w:r>
            <w:r w:rsidR="00EE461C">
              <w:rPr>
                <w:rFonts w:eastAsia="MS Mincho"/>
              </w:rPr>
              <w:t xml:space="preserve"> </w:t>
            </w:r>
            <w:r w:rsidR="00C5750D" w:rsidRPr="00C5750D">
              <w:rPr>
                <w:rFonts w:eastAsia="MS Mincho"/>
              </w:rPr>
              <w:t>&gt;100).</w:t>
            </w:r>
          </w:p>
        </w:tc>
        <w:tc>
          <w:tcPr>
            <w:tcW w:w="920" w:type="pct"/>
          </w:tcPr>
          <w:p w:rsidR="00EF2313" w:rsidRDefault="00EF2313" w:rsidP="002916A7">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(i</w:t>
            </w:r>
            <w:r>
              <w:rPr>
                <w:rFonts w:eastAsia="MS Mincho"/>
              </w:rPr>
              <w:t>.</w:t>
            </w:r>
            <w:r w:rsidRPr="00372F18">
              <w:rPr>
                <w:rFonts w:eastAsia="MS Mincho"/>
              </w:rPr>
              <w:t>e</w:t>
            </w:r>
            <w:r>
              <w:rPr>
                <w:rFonts w:eastAsia="MS Mincho"/>
              </w:rPr>
              <w:t>.</w:t>
            </w:r>
            <w:r w:rsidRPr="00372F18">
              <w:rPr>
                <w:rFonts w:eastAsia="MS Mincho"/>
              </w:rPr>
              <w:t xml:space="preserve"> 0.5</w:t>
            </w:r>
            <w:r>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Pr>
                <w:rFonts w:eastAsia="MS Mincho"/>
              </w:rPr>
              <w:t xml:space="preserve"> </w:t>
            </w:r>
            <w:r w:rsidRPr="00372F18">
              <w:rPr>
                <w:rFonts w:eastAsia="MS Mincho"/>
              </w:rPr>
              <w:t>mg twice daily for 4 days, then 1</w:t>
            </w:r>
            <w:r>
              <w:rPr>
                <w:rFonts w:eastAsia="MS Mincho"/>
              </w:rPr>
              <w:t xml:space="preserve"> </w:t>
            </w:r>
            <w:r w:rsidRPr="00372F18">
              <w:rPr>
                <w:rFonts w:eastAsia="MS Mincho"/>
              </w:rPr>
              <w:t>mg twice daily)</w:t>
            </w:r>
            <w:r w:rsidR="004657DA">
              <w:rPr>
                <w:rFonts w:eastAsia="MS Mincho"/>
              </w:rPr>
              <w:t>;</w:t>
            </w:r>
          </w:p>
          <w:p w:rsidR="00EF2313" w:rsidRDefault="00EF2313" w:rsidP="002916A7">
            <w:pPr>
              <w:pStyle w:val="Tablewriting"/>
              <w:rPr>
                <w:rFonts w:eastAsia="MS Mincho"/>
              </w:rPr>
            </w:pPr>
            <w:r>
              <w:rPr>
                <w:rFonts w:eastAsia="MS Mincho"/>
              </w:rPr>
              <w:t>Placebo: placebo tablet for 12 weeks, same regimen</w:t>
            </w:r>
          </w:p>
          <w:p w:rsidR="00EF2313" w:rsidRDefault="00EF2313" w:rsidP="002916A7">
            <w:pPr>
              <w:pStyle w:val="Tablewriting"/>
              <w:rPr>
                <w:rFonts w:eastAsia="MS Mincho"/>
              </w:rPr>
            </w:pPr>
          </w:p>
          <w:p w:rsidR="00EF2313" w:rsidRDefault="00EF2313" w:rsidP="002916A7">
            <w:pPr>
              <w:pStyle w:val="Tablewriting"/>
              <w:rPr>
                <w:rFonts w:eastAsia="MS Mincho"/>
              </w:rPr>
            </w:pPr>
            <w:r w:rsidRPr="006C0130">
              <w:rPr>
                <w:rFonts w:eastAsia="MS Mincho"/>
              </w:rPr>
              <w:t>Behavioural support provided in both arms.</w:t>
            </w:r>
          </w:p>
        </w:tc>
        <w:tc>
          <w:tcPr>
            <w:tcW w:w="1140" w:type="pct"/>
            <w:tcMar>
              <w:left w:w="28" w:type="dxa"/>
              <w:right w:w="28" w:type="dxa"/>
            </w:tcMar>
          </w:tcPr>
          <w:p w:rsidR="00EF2313" w:rsidRDefault="00EF2313" w:rsidP="002916A7">
            <w:pPr>
              <w:pStyle w:val="Tablewriting"/>
              <w:rPr>
                <w:rFonts w:eastAsia="MS Mincho"/>
              </w:rPr>
            </w:pPr>
            <w:r w:rsidRPr="008C39E4">
              <w:rPr>
                <w:rFonts w:eastAsia="MS Mincho"/>
                <w:u w:val="single"/>
              </w:rPr>
              <w:t>Primary</w:t>
            </w:r>
            <w:r>
              <w:rPr>
                <w:rFonts w:eastAsia="MS Mincho"/>
              </w:rPr>
              <w:t xml:space="preserve">: </w:t>
            </w:r>
            <w:r w:rsidR="007B5246">
              <w:rPr>
                <w:rFonts w:eastAsia="MS Mincho"/>
              </w:rPr>
              <w:t>7-day PPA at Week</w:t>
            </w:r>
            <w:r w:rsidR="00852AB0">
              <w:rPr>
                <w:rFonts w:eastAsia="MS Mincho"/>
              </w:rPr>
              <w:t xml:space="preserve"> 12 and</w:t>
            </w:r>
            <w:r w:rsidR="007B5246">
              <w:rPr>
                <w:rFonts w:eastAsia="MS Mincho"/>
              </w:rPr>
              <w:t xml:space="preserve"> 24. Validated by CO </w:t>
            </w:r>
            <w:r w:rsidR="007B5246">
              <w:rPr>
                <w:rFonts w:eastAsia="MS Mincho" w:cstheme="minorHAnsi"/>
              </w:rPr>
              <w:t>≤</w:t>
            </w:r>
            <w:r w:rsidR="00852AB0">
              <w:rPr>
                <w:rFonts w:eastAsia="MS Mincho"/>
              </w:rPr>
              <w:t>8</w:t>
            </w:r>
            <w:r w:rsidR="007B5246">
              <w:rPr>
                <w:rFonts w:eastAsia="MS Mincho"/>
              </w:rPr>
              <w:t xml:space="preserve"> ppm.</w:t>
            </w:r>
          </w:p>
          <w:p w:rsidR="00EF2313" w:rsidRDefault="00EF2313" w:rsidP="002916A7">
            <w:pPr>
              <w:pStyle w:val="Tablewriting"/>
              <w:rPr>
                <w:rFonts w:eastAsia="MS Mincho"/>
              </w:rPr>
            </w:pPr>
            <w:r w:rsidRPr="008C39E4">
              <w:rPr>
                <w:rFonts w:eastAsia="MS Mincho"/>
                <w:u w:val="single"/>
              </w:rPr>
              <w:t>Secondary</w:t>
            </w:r>
            <w:r>
              <w:rPr>
                <w:rFonts w:eastAsia="MS Mincho"/>
              </w:rPr>
              <w:t xml:space="preserve">: </w:t>
            </w:r>
            <w:r w:rsidRPr="00624207">
              <w:rPr>
                <w:rFonts w:eastAsia="MS Mincho"/>
              </w:rPr>
              <w:t xml:space="preserve">7-day PPA </w:t>
            </w:r>
            <w:r>
              <w:rPr>
                <w:rFonts w:eastAsia="MS Mincho"/>
              </w:rPr>
              <w:t>at Week 1</w:t>
            </w:r>
            <w:r w:rsidR="009E36A5">
              <w:rPr>
                <w:rFonts w:eastAsia="MS Mincho"/>
              </w:rPr>
              <w:t>8</w:t>
            </w:r>
            <w:r>
              <w:rPr>
                <w:rFonts w:eastAsia="MS Mincho"/>
              </w:rPr>
              <w:t xml:space="preserve">. </w:t>
            </w:r>
            <w:r w:rsidR="009E36A5">
              <w:rPr>
                <w:rFonts w:eastAsia="MS Mincho"/>
              </w:rPr>
              <w:t xml:space="preserve">CAR at Week 9-12, 9-18 and 9-24. </w:t>
            </w:r>
            <w:r>
              <w:rPr>
                <w:rFonts w:eastAsia="MS Mincho"/>
              </w:rPr>
              <w:t xml:space="preserve">Validated by CO </w:t>
            </w:r>
            <w:r>
              <w:rPr>
                <w:rFonts w:eastAsia="MS Mincho" w:cstheme="minorHAnsi"/>
              </w:rPr>
              <w:t>≤</w:t>
            </w:r>
            <w:r w:rsidR="00F50751">
              <w:rPr>
                <w:rFonts w:eastAsia="MS Mincho"/>
              </w:rPr>
              <w:t>8</w:t>
            </w:r>
            <w:r>
              <w:rPr>
                <w:rFonts w:eastAsia="MS Mincho"/>
              </w:rPr>
              <w:t xml:space="preserve"> ppm</w:t>
            </w:r>
            <w:r w:rsidR="00FF489F">
              <w:rPr>
                <w:rFonts w:eastAsia="MS Mincho"/>
              </w:rPr>
              <w:t>;</w:t>
            </w:r>
            <w:r w:rsidR="005E6091">
              <w:rPr>
                <w:rFonts w:eastAsia="MS Mincho"/>
              </w:rPr>
              <w:t xml:space="preserve"> Time to relapse across the 24-week trial.</w:t>
            </w:r>
          </w:p>
          <w:p w:rsidR="00EF2313" w:rsidRPr="0036499C" w:rsidRDefault="00EF2313" w:rsidP="002916A7">
            <w:pPr>
              <w:pStyle w:val="Tablewriting"/>
              <w:rPr>
                <w:rFonts w:eastAsia="MS Mincho"/>
                <w:u w:val="single"/>
              </w:rPr>
            </w:pPr>
            <w:r w:rsidRPr="0055171C">
              <w:rPr>
                <w:rFonts w:eastAsia="MS Mincho"/>
                <w:u w:val="single"/>
              </w:rPr>
              <w:t>Other</w:t>
            </w:r>
            <w:r>
              <w:rPr>
                <w:rFonts w:eastAsia="MS Mincho"/>
              </w:rPr>
              <w:t xml:space="preserve">: </w:t>
            </w:r>
            <w:r w:rsidR="00827CFE">
              <w:rPr>
                <w:rFonts w:eastAsia="MS Mincho"/>
              </w:rPr>
              <w:t>s</w:t>
            </w:r>
            <w:r w:rsidR="00827CFE" w:rsidRPr="00827CFE">
              <w:rPr>
                <w:rFonts w:eastAsia="MS Mincho"/>
              </w:rPr>
              <w:t xml:space="preserve">afety measures </w:t>
            </w:r>
            <w:r w:rsidR="00827CFE">
              <w:rPr>
                <w:rFonts w:eastAsia="MS Mincho"/>
              </w:rPr>
              <w:t>including</w:t>
            </w:r>
            <w:r w:rsidR="00827CFE" w:rsidRPr="00827CFE">
              <w:rPr>
                <w:rFonts w:eastAsia="MS Mincho"/>
              </w:rPr>
              <w:t xml:space="preserve"> treatment-related side effects, adverse events, blood pressure, viral load, and ART adherence.</w:t>
            </w:r>
          </w:p>
        </w:tc>
      </w:tr>
      <w:tr w:rsidR="00EF2313" w:rsidRPr="00061F78" w:rsidTr="00B537F7">
        <w:trPr>
          <w:trHeight w:val="149"/>
        </w:trPr>
        <w:tc>
          <w:tcPr>
            <w:tcW w:w="332" w:type="pct"/>
            <w:tcMar>
              <w:left w:w="28" w:type="dxa"/>
              <w:right w:w="28" w:type="dxa"/>
            </w:tcMar>
          </w:tcPr>
          <w:p w:rsidR="00EF2313" w:rsidRDefault="00EF2313" w:rsidP="002916A7">
            <w:pPr>
              <w:pStyle w:val="Tablewriting"/>
              <w:rPr>
                <w:rFonts w:eastAsia="MS Mincho"/>
              </w:rPr>
            </w:pPr>
            <w:r>
              <w:rPr>
                <w:rFonts w:eastAsia="MS Mincho"/>
              </w:rPr>
              <w:t>Chen (2020)</w:t>
            </w:r>
          </w:p>
        </w:tc>
        <w:tc>
          <w:tcPr>
            <w:tcW w:w="395" w:type="pct"/>
          </w:tcPr>
          <w:p w:rsidR="00EF2313" w:rsidRDefault="00EF2313" w:rsidP="002916A7">
            <w:pPr>
              <w:pStyle w:val="Tablewriting"/>
              <w:rPr>
                <w:rFonts w:eastAsia="MS Mincho"/>
              </w:rPr>
            </w:pPr>
            <w:r>
              <w:rPr>
                <w:rFonts w:eastAsia="MS Mincho"/>
              </w:rPr>
              <w:t>RCT</w:t>
            </w:r>
          </w:p>
        </w:tc>
        <w:tc>
          <w:tcPr>
            <w:tcW w:w="347" w:type="pct"/>
            <w:tcMar>
              <w:left w:w="28" w:type="dxa"/>
              <w:right w:w="28" w:type="dxa"/>
            </w:tcMar>
          </w:tcPr>
          <w:p w:rsidR="00EF2313" w:rsidRDefault="00EF2313" w:rsidP="002916A7">
            <w:pPr>
              <w:pStyle w:val="Tablewriting"/>
              <w:rPr>
                <w:rFonts w:eastAsia="MS Mincho"/>
              </w:rPr>
            </w:pPr>
            <w:r>
              <w:rPr>
                <w:rFonts w:eastAsia="MS Mincho"/>
              </w:rPr>
              <w:t>N=</w:t>
            </w:r>
            <w:r w:rsidR="00557809">
              <w:rPr>
                <w:rFonts w:eastAsia="MS Mincho"/>
              </w:rPr>
              <w:t>822</w:t>
            </w:r>
          </w:p>
          <w:p w:rsidR="00EF2313" w:rsidRDefault="00EF2313" w:rsidP="002916A7">
            <w:pPr>
              <w:pStyle w:val="Tablewriting"/>
              <w:rPr>
                <w:rFonts w:eastAsia="MS Mincho"/>
              </w:rPr>
            </w:pPr>
            <w:r>
              <w:rPr>
                <w:rFonts w:eastAsia="MS Mincho"/>
              </w:rPr>
              <w:t>Varenicline (n=</w:t>
            </w:r>
            <w:r w:rsidR="00557809">
              <w:rPr>
                <w:rFonts w:eastAsia="MS Mincho"/>
              </w:rPr>
              <w:t>274</w:t>
            </w:r>
            <w:r>
              <w:rPr>
                <w:rFonts w:eastAsia="MS Mincho"/>
              </w:rPr>
              <w:t>), Placebo (n=</w:t>
            </w:r>
            <w:r w:rsidR="00557809">
              <w:rPr>
                <w:rFonts w:eastAsia="MS Mincho"/>
              </w:rPr>
              <w:t>273</w:t>
            </w:r>
            <w:r>
              <w:rPr>
                <w:rFonts w:eastAsia="MS Mincho"/>
              </w:rPr>
              <w:t>)</w:t>
            </w:r>
          </w:p>
        </w:tc>
        <w:tc>
          <w:tcPr>
            <w:tcW w:w="1866" w:type="pct"/>
            <w:tcMar>
              <w:left w:w="28" w:type="dxa"/>
              <w:right w:w="28" w:type="dxa"/>
            </w:tcMar>
          </w:tcPr>
          <w:p w:rsidR="00EF2313" w:rsidRDefault="00EF2313" w:rsidP="002916A7">
            <w:pPr>
              <w:pStyle w:val="Tablewriting"/>
              <w:rPr>
                <w:rFonts w:eastAsia="MS Mincho"/>
              </w:rPr>
            </w:pPr>
            <w:r w:rsidRPr="007F28D7">
              <w:rPr>
                <w:rFonts w:eastAsia="MS Mincho"/>
                <w:u w:val="single"/>
              </w:rPr>
              <w:t>Inclusion</w:t>
            </w:r>
            <w:r>
              <w:rPr>
                <w:rFonts w:eastAsia="MS Mincho"/>
              </w:rPr>
              <w:t xml:space="preserve">: </w:t>
            </w:r>
            <w:r w:rsidR="004E4C62" w:rsidRPr="004E4C62">
              <w:rPr>
                <w:rFonts w:eastAsia="MS Mincho"/>
              </w:rPr>
              <w:t>≥21 years</w:t>
            </w:r>
            <w:r w:rsidR="004E4C62">
              <w:rPr>
                <w:rFonts w:eastAsia="MS Mincho"/>
              </w:rPr>
              <w:t xml:space="preserve"> old</w:t>
            </w:r>
            <w:r w:rsidR="004E4C62" w:rsidRPr="004E4C62">
              <w:rPr>
                <w:rFonts w:eastAsia="MS Mincho"/>
              </w:rPr>
              <w:t>, seeking treatment for smoking cessation</w:t>
            </w:r>
            <w:r w:rsidR="004E4C62">
              <w:rPr>
                <w:rFonts w:eastAsia="MS Mincho"/>
              </w:rPr>
              <w:t xml:space="preserve">, </w:t>
            </w:r>
            <w:r w:rsidR="004E4C62" w:rsidRPr="004E4C62">
              <w:rPr>
                <w:rFonts w:eastAsia="MS Mincho"/>
              </w:rPr>
              <w:t>≥5</w:t>
            </w:r>
            <w:r w:rsidR="004E4C62">
              <w:rPr>
                <w:rFonts w:eastAsia="MS Mincho"/>
              </w:rPr>
              <w:t xml:space="preserve"> cigarettes per day</w:t>
            </w:r>
            <w:r w:rsidR="004E4C62" w:rsidRPr="004E4C62">
              <w:rPr>
                <w:rFonts w:eastAsia="MS Mincho"/>
              </w:rPr>
              <w:t>, exhaled CO ≥8 ppm</w:t>
            </w:r>
            <w:r w:rsidR="000F1E7A">
              <w:rPr>
                <w:rFonts w:eastAsia="MS Mincho"/>
              </w:rPr>
              <w:t>.</w:t>
            </w:r>
          </w:p>
          <w:p w:rsidR="00EF2313" w:rsidRPr="002C19B4" w:rsidRDefault="00EF2313" w:rsidP="002916A7">
            <w:pPr>
              <w:pStyle w:val="Tablewriting"/>
              <w:rPr>
                <w:rFonts w:eastAsia="MS Mincho"/>
                <w:u w:val="single"/>
              </w:rPr>
            </w:pPr>
            <w:r w:rsidRPr="007F28D7">
              <w:rPr>
                <w:rFonts w:eastAsia="MS Mincho"/>
                <w:u w:val="single"/>
              </w:rPr>
              <w:t>Exclusion</w:t>
            </w:r>
            <w:r>
              <w:rPr>
                <w:rFonts w:eastAsia="MS Mincho"/>
              </w:rPr>
              <w:t xml:space="preserve">: </w:t>
            </w:r>
            <w:r w:rsidR="00362ABA">
              <w:rPr>
                <w:rFonts w:eastAsia="MS Mincho"/>
              </w:rPr>
              <w:t>p</w:t>
            </w:r>
            <w:r w:rsidR="00362ABA" w:rsidRPr="00362ABA">
              <w:rPr>
                <w:rFonts w:eastAsia="MS Mincho"/>
              </w:rPr>
              <w:t xml:space="preserve">regnancy or breast feeding, </w:t>
            </w:r>
            <w:r w:rsidR="00362ABA">
              <w:rPr>
                <w:rFonts w:eastAsia="MS Mincho"/>
              </w:rPr>
              <w:t>a</w:t>
            </w:r>
            <w:r w:rsidR="00362ABA" w:rsidRPr="00362ABA">
              <w:rPr>
                <w:rFonts w:eastAsia="MS Mincho"/>
              </w:rPr>
              <w:t xml:space="preserve">ctive use or recent use of medication or e-cigarettes for nicotine dependence/smoking cessation, or use of e-cigarettes for more than 9 days in the prior month, </w:t>
            </w:r>
            <w:r w:rsidR="00362ABA">
              <w:rPr>
                <w:rFonts w:eastAsia="MS Mincho"/>
              </w:rPr>
              <w:t>a</w:t>
            </w:r>
            <w:r w:rsidR="00362ABA" w:rsidRPr="00362ABA">
              <w:rPr>
                <w:rFonts w:eastAsia="MS Mincho"/>
              </w:rPr>
              <w:t xml:space="preserve">llergy to nicotine patch, lozenge, or varenicline, </w:t>
            </w:r>
            <w:r w:rsidR="00362ABA">
              <w:rPr>
                <w:rFonts w:eastAsia="MS Mincho"/>
              </w:rPr>
              <w:t>u</w:t>
            </w:r>
            <w:r w:rsidR="00362ABA" w:rsidRPr="00362ABA">
              <w:rPr>
                <w:rFonts w:eastAsia="MS Mincho"/>
              </w:rPr>
              <w:t xml:space="preserve">nwillingness to prevent pregnancy during the medication phase and 1 month afterwards (women </w:t>
            </w:r>
            <w:r w:rsidR="00362ABA" w:rsidRPr="00362ABA">
              <w:rPr>
                <w:rFonts w:eastAsia="MS Mincho"/>
              </w:rPr>
              <w:lastRenderedPageBreak/>
              <w:t xml:space="preserve">only), </w:t>
            </w:r>
            <w:r w:rsidR="00362ABA">
              <w:rPr>
                <w:rFonts w:eastAsia="MS Mincho"/>
              </w:rPr>
              <w:t>s</w:t>
            </w:r>
            <w:r w:rsidR="00362ABA" w:rsidRPr="00362ABA">
              <w:rPr>
                <w:rFonts w:eastAsia="MS Mincho"/>
              </w:rPr>
              <w:t xml:space="preserve">ignificant cardiac conditions or serious arrhythmia in past 6 months, </w:t>
            </w:r>
            <w:r w:rsidR="008B0E8E">
              <w:rPr>
                <w:rFonts w:eastAsia="MS Mincho"/>
              </w:rPr>
              <w:t>c</w:t>
            </w:r>
            <w:r w:rsidR="00362ABA" w:rsidRPr="00362ABA">
              <w:rPr>
                <w:rFonts w:eastAsia="MS Mincho"/>
              </w:rPr>
              <w:t xml:space="preserve">urrent heavy alcohol consumption (≥6 drinks/day, 6 days/week), </w:t>
            </w:r>
            <w:r w:rsidR="008B0E8E">
              <w:rPr>
                <w:rFonts w:eastAsia="MS Mincho"/>
              </w:rPr>
              <w:t>a</w:t>
            </w:r>
            <w:r w:rsidR="00362ABA" w:rsidRPr="00362ABA">
              <w:rPr>
                <w:rFonts w:eastAsia="MS Mincho"/>
              </w:rPr>
              <w:t xml:space="preserve">ctive psychosis or poorly controlled depression within the past 6 months, </w:t>
            </w:r>
            <w:r w:rsidR="008B0E8E">
              <w:rPr>
                <w:rFonts w:eastAsia="MS Mincho"/>
              </w:rPr>
              <w:t>a</w:t>
            </w:r>
            <w:r w:rsidR="00362ABA" w:rsidRPr="00362ABA">
              <w:rPr>
                <w:rFonts w:eastAsia="MS Mincho"/>
              </w:rPr>
              <w:t xml:space="preserve">ny prior suicide attempt or suicidal ideation within the past 6 months, </w:t>
            </w:r>
            <w:r w:rsidR="008B0E8E">
              <w:rPr>
                <w:rFonts w:eastAsia="MS Mincho"/>
              </w:rPr>
              <w:t>e</w:t>
            </w:r>
            <w:r w:rsidR="00362ABA" w:rsidRPr="00362ABA">
              <w:rPr>
                <w:rFonts w:eastAsia="MS Mincho"/>
              </w:rPr>
              <w:t>nd stage renal disease with h</w:t>
            </w:r>
            <w:r w:rsidR="008B0E8E">
              <w:rPr>
                <w:rFonts w:eastAsia="MS Mincho"/>
              </w:rPr>
              <w:t>a</w:t>
            </w:r>
            <w:r w:rsidR="00362ABA" w:rsidRPr="00362ABA">
              <w:rPr>
                <w:rFonts w:eastAsia="MS Mincho"/>
              </w:rPr>
              <w:t>emodialysis.</w:t>
            </w:r>
          </w:p>
        </w:tc>
        <w:tc>
          <w:tcPr>
            <w:tcW w:w="920" w:type="pct"/>
          </w:tcPr>
          <w:p w:rsidR="00EF2313" w:rsidRDefault="00EF2313" w:rsidP="002916A7">
            <w:pPr>
              <w:pStyle w:val="Tablewriting"/>
              <w:rPr>
                <w:rFonts w:eastAsia="MS Mincho"/>
              </w:rPr>
            </w:pPr>
            <w:r>
              <w:rPr>
                <w:rFonts w:eastAsia="MS Mincho"/>
              </w:rPr>
              <w:lastRenderedPageBreak/>
              <w:t>Varenicline</w:t>
            </w:r>
            <w:r w:rsidRPr="00A34E7B">
              <w:rPr>
                <w:rFonts w:eastAsia="MS Mincho"/>
              </w:rPr>
              <w:t xml:space="preserve">: </w:t>
            </w:r>
            <w:r w:rsidRPr="00372F18">
              <w:rPr>
                <w:rFonts w:eastAsia="MS Mincho"/>
              </w:rPr>
              <w:t>1</w:t>
            </w:r>
            <w:r>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(i</w:t>
            </w:r>
            <w:r>
              <w:rPr>
                <w:rFonts w:eastAsia="MS Mincho"/>
              </w:rPr>
              <w:t>.</w:t>
            </w:r>
            <w:r w:rsidRPr="00372F18">
              <w:rPr>
                <w:rFonts w:eastAsia="MS Mincho"/>
              </w:rPr>
              <w:t>e</w:t>
            </w:r>
            <w:r>
              <w:rPr>
                <w:rFonts w:eastAsia="MS Mincho"/>
              </w:rPr>
              <w:t>.</w:t>
            </w:r>
            <w:r w:rsidRPr="00372F18">
              <w:rPr>
                <w:rFonts w:eastAsia="MS Mincho"/>
              </w:rPr>
              <w:t xml:space="preserve"> 0.5</w:t>
            </w:r>
            <w:r>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Pr>
                <w:rFonts w:eastAsia="MS Mincho"/>
              </w:rPr>
              <w:t xml:space="preserve"> </w:t>
            </w:r>
            <w:r w:rsidRPr="00372F18">
              <w:rPr>
                <w:rFonts w:eastAsia="MS Mincho"/>
              </w:rPr>
              <w:t>mg twice daily for 4 days, then 1</w:t>
            </w:r>
            <w:r>
              <w:rPr>
                <w:rFonts w:eastAsia="MS Mincho"/>
              </w:rPr>
              <w:t xml:space="preserve"> </w:t>
            </w:r>
            <w:r w:rsidRPr="00372F18">
              <w:rPr>
                <w:rFonts w:eastAsia="MS Mincho"/>
              </w:rPr>
              <w:t>mg twice daily)</w:t>
            </w:r>
            <w:r w:rsidR="004657DA">
              <w:rPr>
                <w:rFonts w:eastAsia="MS Mincho"/>
              </w:rPr>
              <w:t>;</w:t>
            </w:r>
          </w:p>
          <w:p w:rsidR="00EF2313" w:rsidRDefault="00EF2313" w:rsidP="002916A7">
            <w:pPr>
              <w:pStyle w:val="Tablewriting"/>
              <w:rPr>
                <w:rFonts w:eastAsia="MS Mincho"/>
              </w:rPr>
            </w:pPr>
            <w:r>
              <w:rPr>
                <w:rFonts w:eastAsia="MS Mincho"/>
              </w:rPr>
              <w:t>Placebo: placebo tablet for 12 weeks, same regimen</w:t>
            </w:r>
            <w:r w:rsidR="008B0881">
              <w:rPr>
                <w:rFonts w:eastAsia="MS Mincho"/>
              </w:rPr>
              <w:t xml:space="preserve">; or </w:t>
            </w:r>
            <w:r w:rsidR="008B0881">
              <w:rPr>
                <w:rFonts w:eastAsia="MS Mincho"/>
              </w:rPr>
              <w:lastRenderedPageBreak/>
              <w:t xml:space="preserve">placebo </w:t>
            </w:r>
            <w:r w:rsidR="00A05CA6">
              <w:rPr>
                <w:rFonts w:eastAsia="MS Mincho"/>
              </w:rPr>
              <w:t>NRT lozenge/</w:t>
            </w:r>
            <w:r w:rsidR="008B0881">
              <w:rPr>
                <w:rFonts w:eastAsia="MS Mincho"/>
              </w:rPr>
              <w:t>patch</w:t>
            </w:r>
            <w:r w:rsidR="00A05CA6">
              <w:rPr>
                <w:rFonts w:eastAsia="MS Mincho"/>
              </w:rPr>
              <w:t xml:space="preserve"> for 12 weeks</w:t>
            </w:r>
            <w:r w:rsidR="000F1E7A">
              <w:rPr>
                <w:rFonts w:eastAsia="MS Mincho"/>
              </w:rPr>
              <w:t>.</w:t>
            </w:r>
          </w:p>
          <w:p w:rsidR="00EF2313" w:rsidRDefault="00EF2313" w:rsidP="002916A7">
            <w:pPr>
              <w:pStyle w:val="Tablewriting"/>
              <w:rPr>
                <w:rFonts w:eastAsia="MS Mincho"/>
              </w:rPr>
            </w:pPr>
          </w:p>
          <w:p w:rsidR="00EF2313" w:rsidRDefault="00EF2313" w:rsidP="002916A7">
            <w:pPr>
              <w:pStyle w:val="Tablewriting"/>
              <w:rPr>
                <w:rFonts w:eastAsia="MS Mincho"/>
              </w:rPr>
            </w:pPr>
            <w:r w:rsidRPr="006C0130">
              <w:rPr>
                <w:rFonts w:eastAsia="MS Mincho"/>
              </w:rPr>
              <w:t>Behavioural support provided in both arms.</w:t>
            </w:r>
          </w:p>
        </w:tc>
        <w:tc>
          <w:tcPr>
            <w:tcW w:w="1140" w:type="pct"/>
            <w:tcMar>
              <w:left w:w="28" w:type="dxa"/>
              <w:right w:w="28" w:type="dxa"/>
            </w:tcMar>
          </w:tcPr>
          <w:p w:rsidR="00EF2313" w:rsidRDefault="00EF2313" w:rsidP="002916A7">
            <w:pPr>
              <w:pStyle w:val="Tablewriting"/>
              <w:rPr>
                <w:rFonts w:eastAsia="MS Mincho"/>
              </w:rPr>
            </w:pPr>
            <w:r w:rsidRPr="008C39E4">
              <w:rPr>
                <w:rFonts w:eastAsia="MS Mincho"/>
                <w:u w:val="single"/>
              </w:rPr>
              <w:lastRenderedPageBreak/>
              <w:t>Primary</w:t>
            </w:r>
            <w:r>
              <w:rPr>
                <w:rFonts w:eastAsia="MS Mincho"/>
              </w:rPr>
              <w:t xml:space="preserve">: </w:t>
            </w:r>
            <w:r w:rsidR="000B0DFE">
              <w:rPr>
                <w:rFonts w:eastAsia="MS Mincho"/>
              </w:rPr>
              <w:t xml:space="preserve">7-day PPA at Week 12. Validated by CO </w:t>
            </w:r>
            <w:r w:rsidR="005E6091">
              <w:rPr>
                <w:rFonts w:eastAsia="MS Mincho"/>
              </w:rPr>
              <w:t>&lt;</w:t>
            </w:r>
            <w:r w:rsidR="000B0DFE">
              <w:rPr>
                <w:rFonts w:eastAsia="MS Mincho"/>
              </w:rPr>
              <w:t>8 ppm</w:t>
            </w:r>
            <w:r w:rsidR="005E6091">
              <w:rPr>
                <w:rFonts w:eastAsia="MS Mincho"/>
              </w:rPr>
              <w:t>.</w:t>
            </w:r>
          </w:p>
          <w:p w:rsidR="00EF2313" w:rsidRPr="00341A4F" w:rsidRDefault="00EF2313" w:rsidP="002916A7">
            <w:pPr>
              <w:pStyle w:val="Tablewriting"/>
              <w:rPr>
                <w:rFonts w:eastAsia="MS Mincho"/>
              </w:rPr>
            </w:pPr>
            <w:r w:rsidRPr="008C39E4">
              <w:rPr>
                <w:rFonts w:eastAsia="MS Mincho"/>
                <w:u w:val="single"/>
              </w:rPr>
              <w:t>Secondary</w:t>
            </w:r>
            <w:r>
              <w:rPr>
                <w:rFonts w:eastAsia="MS Mincho"/>
              </w:rPr>
              <w:t xml:space="preserve">: </w:t>
            </w:r>
            <w:r w:rsidRPr="00624207">
              <w:rPr>
                <w:rFonts w:eastAsia="MS Mincho"/>
              </w:rPr>
              <w:t xml:space="preserve">7-day PPA </w:t>
            </w:r>
            <w:r>
              <w:rPr>
                <w:rFonts w:eastAsia="MS Mincho"/>
              </w:rPr>
              <w:t xml:space="preserve">at </w:t>
            </w:r>
            <w:r w:rsidR="00FF489F">
              <w:rPr>
                <w:rFonts w:eastAsia="MS Mincho"/>
              </w:rPr>
              <w:t>6 months</w:t>
            </w:r>
            <w:r>
              <w:rPr>
                <w:rFonts w:eastAsia="MS Mincho"/>
              </w:rPr>
              <w:t xml:space="preserve">. Validated by CO </w:t>
            </w:r>
            <w:r w:rsidR="00FF489F">
              <w:rPr>
                <w:rFonts w:eastAsia="MS Mincho"/>
              </w:rPr>
              <w:t>&lt;8</w:t>
            </w:r>
            <w:r>
              <w:rPr>
                <w:rFonts w:eastAsia="MS Mincho"/>
              </w:rPr>
              <w:t xml:space="preserve"> ppm</w:t>
            </w:r>
            <w:r w:rsidR="005745B8">
              <w:rPr>
                <w:rFonts w:eastAsia="MS Mincho"/>
              </w:rPr>
              <w:t xml:space="preserve">; 7-day PPA at 1 year by self-report, adverse events, </w:t>
            </w:r>
            <w:r w:rsidR="00341A4F">
              <w:rPr>
                <w:rFonts w:eastAsia="MS Mincho"/>
              </w:rPr>
              <w:t>adherence</w:t>
            </w:r>
            <w:r w:rsidR="000F1E7A">
              <w:rPr>
                <w:rFonts w:eastAsia="MS Mincho"/>
              </w:rPr>
              <w:t>.</w:t>
            </w:r>
          </w:p>
        </w:tc>
      </w:tr>
    </w:tbl>
    <w:p w:rsidR="00A23D56" w:rsidRDefault="00F26E06" w:rsidP="00F26E06">
      <w:pPr>
        <w:pStyle w:val="TableFooter"/>
        <w:keepNext/>
      </w:pPr>
      <w:r>
        <w:t xml:space="preserve">Abbreviations: </w:t>
      </w:r>
      <w:r w:rsidR="00687E0D">
        <w:t>ART = antiretroviral therapy;</w:t>
      </w:r>
      <w:r>
        <w:t xml:space="preserve"> </w:t>
      </w:r>
      <w:bookmarkStart w:id="78" w:name="_Hlk55138532"/>
      <w:r w:rsidR="00A23D56">
        <w:t>BDI = Beck Depression Inventory; CAR = continuous abstinence rate; CO = carbon monoxide; COPD</w:t>
      </w:r>
      <w:r w:rsidR="00D6198D">
        <w:t xml:space="preserve"> = chronic obstructive pulmonary disease;</w:t>
      </w:r>
      <w:r w:rsidR="00A23D56">
        <w:t xml:space="preserve"> </w:t>
      </w:r>
      <w:r w:rsidR="009B4697">
        <w:t>CVD</w:t>
      </w:r>
      <w:r w:rsidR="00D6198D">
        <w:t xml:space="preserve"> = cardiovascular disease; </w:t>
      </w:r>
      <w:r w:rsidR="00037461">
        <w:t xml:space="preserve">mCEQ = </w:t>
      </w:r>
      <w:r w:rsidR="00037461" w:rsidRPr="00037461">
        <w:t>modified Cigarette Evaluation Questionnaire</w:t>
      </w:r>
      <w:r w:rsidR="00037461">
        <w:t xml:space="preserve">; </w:t>
      </w:r>
      <w:r w:rsidR="008E0A8D">
        <w:t xml:space="preserve">MNWS = </w:t>
      </w:r>
      <w:r w:rsidR="008E0A8D" w:rsidRPr="008E0A8D">
        <w:t>Minnesota Tobacco Withdrawal Scale</w:t>
      </w:r>
      <w:r w:rsidR="008E0A8D">
        <w:t xml:space="preserve">; </w:t>
      </w:r>
      <w:r w:rsidR="00A23D56">
        <w:t xml:space="preserve">NRT = nicotine replacement therapy; PPA = point prevalence abstinence; </w:t>
      </w:r>
      <w:r w:rsidR="00FB19DE">
        <w:t xml:space="preserve">QSU = </w:t>
      </w:r>
      <w:r w:rsidR="00FB19DE" w:rsidRPr="00FB19DE">
        <w:t>Questionnaire of Smoking Urges</w:t>
      </w:r>
      <w:r w:rsidR="00FB19DE">
        <w:t xml:space="preserve">; </w:t>
      </w:r>
      <w:r w:rsidR="00A23D56">
        <w:t>RCT = randomised controlled trial</w:t>
      </w:r>
      <w:r w:rsidR="00A23D56" w:rsidRPr="00061F78">
        <w:t xml:space="preserve"> </w:t>
      </w:r>
      <w:bookmarkEnd w:id="78"/>
    </w:p>
    <w:p w:rsidR="00F26E06" w:rsidRDefault="00F26E06" w:rsidP="00F26E06">
      <w:pPr>
        <w:pStyle w:val="TableFooter"/>
        <w:keepNext/>
      </w:pPr>
      <w:r w:rsidRPr="00061F78">
        <w:rPr>
          <w:highlight w:val="lightGray"/>
        </w:rPr>
        <w:t>Shaded</w:t>
      </w:r>
      <w:r w:rsidRPr="00061F78">
        <w:t xml:space="preserve"> = previously considered by the PBAC</w:t>
      </w:r>
    </w:p>
    <w:p w:rsidR="00F26E06" w:rsidRDefault="00F26E06" w:rsidP="00F26E06">
      <w:pPr>
        <w:pStyle w:val="TableFooter"/>
        <w:keepNext/>
      </w:pPr>
      <w:r>
        <w:t>1 Only the number of patients (n) in the relevant arms were included</w:t>
      </w:r>
      <w:r w:rsidR="000F1E7A">
        <w:t>.</w:t>
      </w:r>
      <w:r>
        <w:t xml:space="preserve"> </w:t>
      </w:r>
    </w:p>
    <w:p w:rsidR="00ED7A16" w:rsidRDefault="00ED7A16" w:rsidP="00F26E06">
      <w:pPr>
        <w:pStyle w:val="TableFooter"/>
        <w:keepNext/>
      </w:pPr>
      <w:r>
        <w:t xml:space="preserve">2 </w:t>
      </w:r>
      <w:r w:rsidR="00DF5CEC">
        <w:t xml:space="preserve">The </w:t>
      </w:r>
      <w:r w:rsidR="003052EB">
        <w:t xml:space="preserve">varenicline arm </w:t>
      </w:r>
      <w:r w:rsidR="00AF66EA">
        <w:t xml:space="preserve">includes 1mg </w:t>
      </w:r>
      <w:r w:rsidR="00AC3A77">
        <w:t>twice daily regimen</w:t>
      </w:r>
      <w:r w:rsidR="00952BED">
        <w:t xml:space="preserve"> of</w:t>
      </w:r>
      <w:r w:rsidR="00AC3A77">
        <w:t xml:space="preserve"> titrated and non-titrated</w:t>
      </w:r>
      <w:r w:rsidR="00952BED">
        <w:t xml:space="preserve"> (pooled)</w:t>
      </w:r>
      <w:r w:rsidR="000F1E7A">
        <w:t>.</w:t>
      </w:r>
    </w:p>
    <w:p w:rsidR="00D83CDA" w:rsidRDefault="00ED7A16" w:rsidP="00F26E06">
      <w:pPr>
        <w:pStyle w:val="TableFooter"/>
        <w:keepNext/>
      </w:pPr>
      <w:r>
        <w:t>3</w:t>
      </w:r>
      <w:r w:rsidR="00F26E06">
        <w:t xml:space="preserve"> </w:t>
      </w:r>
      <w:r w:rsidR="001507A4" w:rsidRPr="001507A4">
        <w:t>A total of 34 RCTs comparing varenicline with placebo were identified. Of the 34 RCTs, 27 RCTs were included in the primary efficacy analysis.</w:t>
      </w:r>
      <w:r w:rsidR="00F26E06">
        <w:t xml:space="preserve"> The characteristics of the individual studies comparing varenicline with placebo included in </w:t>
      </w:r>
      <w:r w:rsidR="006F58A5">
        <w:t>Cahill</w:t>
      </w:r>
      <w:r w:rsidR="00F26E06">
        <w:t xml:space="preserve"> et al. (20</w:t>
      </w:r>
      <w:r w:rsidR="006F58A5">
        <w:t>16</w:t>
      </w:r>
      <w:r w:rsidR="00F26E06">
        <w:t xml:space="preserve">) are presented in </w:t>
      </w:r>
      <w:r w:rsidR="00F26E06" w:rsidRPr="00BB4685">
        <w:t>Appendix</w:t>
      </w:r>
      <w:r w:rsidR="006F58A5">
        <w:t xml:space="preserve"> </w:t>
      </w:r>
      <w:r w:rsidR="003C4A1C">
        <w:t xml:space="preserve">Table </w:t>
      </w:r>
      <w:r w:rsidR="003C4A1C">
        <w:rPr>
          <w:noProof/>
        </w:rPr>
        <w:t>146</w:t>
      </w:r>
      <w:r w:rsidR="00F26E06">
        <w:t xml:space="preserve">. </w:t>
      </w:r>
      <w:r w:rsidR="00597A83">
        <w:t xml:space="preserve">11 studies </w:t>
      </w:r>
      <w:r w:rsidR="00F84183">
        <w:t>previously considered by the PBAC</w:t>
      </w:r>
      <w:r w:rsidR="00597A83">
        <w:t xml:space="preserve"> (</w:t>
      </w:r>
      <w:r w:rsidR="00597A83" w:rsidRPr="00597A83">
        <w:t xml:space="preserve">Gonzales et al. 2006, </w:t>
      </w:r>
      <w:r w:rsidR="00F26E06">
        <w:t xml:space="preserve">Jorenby et al. </w:t>
      </w:r>
      <w:r w:rsidR="00597A83" w:rsidRPr="00597A83">
        <w:t xml:space="preserve">2006, Oncken et al. 2006, Nakamura et al. 2007, Tsai et al. 2007, Wang et al. 2009, Bolliger et al. 2011, Rigotti et al. 2010, Tashkin et al. 2011, Rennard et al. 2012 and </w:t>
      </w:r>
      <w:r w:rsidR="009D7066">
        <w:t>EAGLES</w:t>
      </w:r>
      <w:r w:rsidR="00597A83" w:rsidRPr="00597A83">
        <w:t xml:space="preserve"> 2016</w:t>
      </w:r>
      <w:r w:rsidR="00F26E06" w:rsidRPr="005B2A6C">
        <w:t xml:space="preserve">) </w:t>
      </w:r>
      <w:r w:rsidR="00F26E06">
        <w:t xml:space="preserve">were included in the </w:t>
      </w:r>
      <w:r w:rsidR="00F84183">
        <w:t>primary efficacy analysis</w:t>
      </w:r>
      <w:r w:rsidR="00F26E06">
        <w:t xml:space="preserve"> of </w:t>
      </w:r>
      <w:r w:rsidR="00597A83">
        <w:t>Cahill</w:t>
      </w:r>
      <w:r w:rsidR="00F26E06">
        <w:t xml:space="preserve"> et al. (20</w:t>
      </w:r>
      <w:r w:rsidR="00597A83">
        <w:t>16</w:t>
      </w:r>
      <w:r w:rsidR="00F26E06">
        <w:t>).</w:t>
      </w:r>
    </w:p>
    <w:p w:rsidR="00FA7A8A" w:rsidRDefault="00D83CDA" w:rsidP="00605EAF">
      <w:pPr>
        <w:pStyle w:val="TableFooter"/>
        <w:keepNext/>
      </w:pPr>
      <w:r>
        <w:t xml:space="preserve">4 </w:t>
      </w:r>
      <w:r w:rsidR="00605EAF">
        <w:t>Hurt et al. (2018) was a publication of NCT</w:t>
      </w:r>
      <w:r w:rsidR="00356F89">
        <w:t>01347112</w:t>
      </w:r>
      <w:r w:rsidR="00A62229">
        <w:t>, of which the results were previously included in Cahill et al. (2016)</w:t>
      </w:r>
      <w:r w:rsidR="000F1E7A">
        <w:t>.</w:t>
      </w:r>
    </w:p>
    <w:p w:rsidR="001262BD" w:rsidRDefault="00FA7A8A" w:rsidP="00605EAF">
      <w:pPr>
        <w:pStyle w:val="TableFooter"/>
        <w:keepNext/>
      </w:pPr>
      <w:r>
        <w:t xml:space="preserve">5 </w:t>
      </w:r>
      <w:r w:rsidRPr="00FA7A8A">
        <w:t>Benowitz et al. (2018) was a non-treatment extension of EAGLES (Anthenelli et al. 2016) with a considerable amount of missing data due to lost to follow-up, extension study nonenrollees, no longer willing to participate and death.</w:t>
      </w:r>
      <w:r w:rsidR="00605EAF">
        <w:t xml:space="preserve"> </w:t>
      </w:r>
    </w:p>
    <w:p w:rsidR="001262BD" w:rsidRDefault="001262BD" w:rsidP="00D77C02">
      <w:pPr>
        <w:sectPr w:rsidR="001262BD" w:rsidSect="001262BD">
          <w:pgSz w:w="16838" w:h="11906" w:orient="landscape"/>
          <w:pgMar w:top="1440" w:right="1440" w:bottom="1440" w:left="1440" w:header="708" w:footer="708" w:gutter="0"/>
          <w:cols w:space="708"/>
          <w:titlePg/>
          <w:docGrid w:linePitch="360"/>
        </w:sectPr>
      </w:pPr>
    </w:p>
    <w:p w:rsidR="0049176A" w:rsidRPr="0073597F" w:rsidRDefault="0049176A" w:rsidP="0049176A">
      <w:pPr>
        <w:rPr>
          <w:u w:val="single"/>
        </w:rPr>
      </w:pPr>
      <w:r w:rsidRPr="0073597F">
        <w:rPr>
          <w:u w:val="single"/>
        </w:rPr>
        <w:lastRenderedPageBreak/>
        <w:t>Efficacy</w:t>
      </w:r>
    </w:p>
    <w:p w:rsidR="0090659E" w:rsidRDefault="0049176A" w:rsidP="0049176A">
      <w:r>
        <w:t xml:space="preserve">A summary of the smoking cessation rates </w:t>
      </w:r>
      <w:r w:rsidR="00AB3148">
        <w:t>for</w:t>
      </w:r>
      <w:r>
        <w:t xml:space="preserve"> at least six months follow-up </w:t>
      </w:r>
      <w:r w:rsidR="00320F9D">
        <w:t xml:space="preserve">comparing varenicline with placebo </w:t>
      </w:r>
      <w:r>
        <w:t xml:space="preserve">is presented in </w:t>
      </w:r>
      <w:r w:rsidR="003C4A1C">
        <w:t xml:space="preserve">Table </w:t>
      </w:r>
      <w:r w:rsidR="003C4A1C">
        <w:rPr>
          <w:noProof/>
        </w:rPr>
        <w:t>15</w:t>
      </w:r>
      <w:r>
        <w:t xml:space="preserve">. The results of </w:t>
      </w:r>
      <w:r w:rsidR="00551EF3" w:rsidRPr="00551EF3">
        <w:t>the 11 individual studies comparing varenicline with placebo previously considered by the PBAC</w:t>
      </w:r>
      <w:r>
        <w:t xml:space="preserve"> demonstrated a statistically significant difference in continuous abstinence rate, in favour of </w:t>
      </w:r>
      <w:r w:rsidR="00551EF3" w:rsidRPr="00551EF3">
        <w:t>varenicline. Similarly,</w:t>
      </w:r>
      <w:r>
        <w:t xml:space="preserve"> the results of the meta-analysis comprising </w:t>
      </w:r>
      <w:r w:rsidR="00551EF3" w:rsidRPr="00551EF3">
        <w:t>27</w:t>
      </w:r>
      <w:r>
        <w:t xml:space="preserve"> RCTs </w:t>
      </w:r>
      <w:r w:rsidR="00551EF3" w:rsidRPr="00551EF3">
        <w:t xml:space="preserve">by Cahill et al. (2016) </w:t>
      </w:r>
      <w:r>
        <w:t xml:space="preserve">demonstrated a </w:t>
      </w:r>
      <w:r w:rsidR="00551EF3" w:rsidRPr="00551EF3">
        <w:t xml:space="preserve">significantly higher rate of </w:t>
      </w:r>
      <w:r w:rsidR="000569B3">
        <w:t>long-term smoking cessation</w:t>
      </w:r>
      <w:r w:rsidR="00551EF3" w:rsidRPr="00551EF3">
        <w:t xml:space="preserve"> with varenicline compared with placebo.</w:t>
      </w:r>
      <w:r w:rsidR="002823AF">
        <w:t xml:space="preserve"> </w:t>
      </w:r>
    </w:p>
    <w:p w:rsidR="00580659" w:rsidRDefault="00624DC7" w:rsidP="0049176A">
      <w:r>
        <w:t>The results of the updated re-analysis comprising 3</w:t>
      </w:r>
      <w:r w:rsidR="00EB44E9">
        <w:t>2</w:t>
      </w:r>
      <w:r>
        <w:t xml:space="preserve"> RCTs</w:t>
      </w:r>
      <w:r w:rsidR="00552EBB">
        <w:t xml:space="preserve"> were consistent with the results from Cahill et al. (2016)</w:t>
      </w:r>
      <w:r w:rsidR="000774FB">
        <w:t xml:space="preserve"> (</w:t>
      </w:r>
      <w:r w:rsidR="00AC180C">
        <w:t>RR = 2.16, 95% CI</w:t>
      </w:r>
      <w:r w:rsidR="00F14F28">
        <w:t>: 1.8</w:t>
      </w:r>
      <w:r w:rsidR="00A661B1">
        <w:t>8</w:t>
      </w:r>
      <w:r w:rsidR="00F14F28">
        <w:t>, 2.4</w:t>
      </w:r>
      <w:r w:rsidR="00A661B1">
        <w:t>8</w:t>
      </w:r>
      <w:r w:rsidR="00F14F28">
        <w:t>; RD = 0.13, 95% CI: 0.1</w:t>
      </w:r>
      <w:r w:rsidR="003E2F01">
        <w:t>0</w:t>
      </w:r>
      <w:r w:rsidR="00F14F28">
        <w:t>, 0.15)</w:t>
      </w:r>
      <w:r w:rsidR="00552EBB">
        <w:t>.</w:t>
      </w:r>
    </w:p>
    <w:p w:rsidR="0049176A" w:rsidRDefault="0049176A" w:rsidP="0049176A">
      <w:pPr>
        <w:pStyle w:val="Caption"/>
        <w:keepNext/>
      </w:pPr>
      <w:bookmarkStart w:id="79" w:name="_Ref54000249"/>
      <w:r>
        <w:t xml:space="preserve">Table </w:t>
      </w:r>
      <w:r w:rsidR="003C4A1C">
        <w:rPr>
          <w:noProof/>
        </w:rPr>
        <w:t>15</w:t>
      </w:r>
      <w:bookmarkEnd w:id="79"/>
      <w:r>
        <w:t xml:space="preserve">: </w:t>
      </w:r>
      <w:r w:rsidRPr="006A7391">
        <w:t>Results of smoking cessation f</w:t>
      </w:r>
      <w:r w:rsidR="00A62229">
        <w:t>or</w:t>
      </w:r>
      <w:r w:rsidRPr="006A7391">
        <w:t xml:space="preserve"> at least six months follow-up, </w:t>
      </w:r>
      <w:r>
        <w:t>varenicline</w:t>
      </w:r>
      <w:r w:rsidRPr="006A7391">
        <w:t xml:space="preserve"> versus placebo</w:t>
      </w:r>
    </w:p>
    <w:tbl>
      <w:tblPr>
        <w:tblStyle w:val="TableGrid"/>
        <w:tblW w:w="5000" w:type="pct"/>
        <w:tblLook w:val="04A0" w:firstRow="1" w:lastRow="0" w:firstColumn="1" w:lastColumn="0" w:noHBand="0" w:noVBand="1"/>
        <w:tblCaption w:val="Efficacy results of adalimumab trials (PASI 75 and DLQI)"/>
      </w:tblPr>
      <w:tblGrid>
        <w:gridCol w:w="1299"/>
        <w:gridCol w:w="1659"/>
        <w:gridCol w:w="1533"/>
        <w:gridCol w:w="1535"/>
        <w:gridCol w:w="1535"/>
        <w:gridCol w:w="1455"/>
      </w:tblGrid>
      <w:tr w:rsidR="00FD1A77" w:rsidRPr="00061F78" w:rsidTr="003A20FB">
        <w:trPr>
          <w:cantSplit/>
          <w:trHeight w:val="299"/>
          <w:tblHeader/>
        </w:trPr>
        <w:tc>
          <w:tcPr>
            <w:tcW w:w="721" w:type="pct"/>
            <w:shd w:val="clear" w:color="auto" w:fill="BFBFBF" w:themeFill="background1" w:themeFillShade="BF"/>
            <w:tcMar>
              <w:left w:w="28" w:type="dxa"/>
              <w:right w:w="28" w:type="dxa"/>
            </w:tcMar>
          </w:tcPr>
          <w:p w:rsidR="0049176A" w:rsidRPr="00061F78" w:rsidRDefault="00126B7B" w:rsidP="007C4A70">
            <w:pPr>
              <w:pStyle w:val="Tableheading"/>
              <w:rPr>
                <w:rFonts w:eastAsia="MS Mincho"/>
              </w:rPr>
            </w:pPr>
            <w:r>
              <w:rPr>
                <w:rFonts w:eastAsia="MS Mincho"/>
              </w:rPr>
              <w:t>Study</w:t>
            </w:r>
          </w:p>
        </w:tc>
        <w:tc>
          <w:tcPr>
            <w:tcW w:w="920" w:type="pct"/>
            <w:shd w:val="clear" w:color="auto" w:fill="BFBFBF" w:themeFill="background1" w:themeFillShade="BF"/>
            <w:vAlign w:val="center"/>
          </w:tcPr>
          <w:p w:rsidR="0049176A" w:rsidRDefault="0049176A" w:rsidP="007C4A70">
            <w:pPr>
              <w:pStyle w:val="Tableheading"/>
              <w:jc w:val="center"/>
              <w:rPr>
                <w:rFonts w:eastAsia="MS Mincho"/>
              </w:rPr>
            </w:pPr>
            <w:r>
              <w:rPr>
                <w:rFonts w:eastAsia="MS Mincho"/>
              </w:rPr>
              <w:t>Study type</w:t>
            </w:r>
          </w:p>
        </w:tc>
        <w:tc>
          <w:tcPr>
            <w:tcW w:w="850" w:type="pct"/>
            <w:shd w:val="clear" w:color="auto" w:fill="BFBFBF" w:themeFill="background1" w:themeFillShade="BF"/>
            <w:tcMar>
              <w:left w:w="28" w:type="dxa"/>
              <w:right w:w="28" w:type="dxa"/>
            </w:tcMar>
            <w:vAlign w:val="center"/>
          </w:tcPr>
          <w:p w:rsidR="0049176A" w:rsidRPr="00061F78" w:rsidRDefault="003E100A" w:rsidP="007C4A70">
            <w:pPr>
              <w:pStyle w:val="Tableheading"/>
              <w:jc w:val="center"/>
              <w:rPr>
                <w:rFonts w:eastAsia="MS Mincho"/>
              </w:rPr>
            </w:pPr>
            <w:r>
              <w:rPr>
                <w:rFonts w:eastAsia="MS Mincho"/>
              </w:rPr>
              <w:t>Varenicline</w:t>
            </w:r>
          </w:p>
        </w:tc>
        <w:tc>
          <w:tcPr>
            <w:tcW w:w="851" w:type="pct"/>
            <w:shd w:val="clear" w:color="auto" w:fill="BFBFBF" w:themeFill="background1" w:themeFillShade="BF"/>
            <w:tcMar>
              <w:left w:w="28" w:type="dxa"/>
              <w:right w:w="28" w:type="dxa"/>
            </w:tcMar>
            <w:vAlign w:val="center"/>
          </w:tcPr>
          <w:p w:rsidR="0049176A" w:rsidRPr="00061F78" w:rsidRDefault="0049176A" w:rsidP="007C4A70">
            <w:pPr>
              <w:pStyle w:val="Tableheading"/>
              <w:jc w:val="center"/>
              <w:rPr>
                <w:rFonts w:eastAsia="MS Mincho"/>
              </w:rPr>
            </w:pPr>
            <w:r w:rsidRPr="00061F78">
              <w:rPr>
                <w:rFonts w:eastAsia="MS Mincho"/>
              </w:rPr>
              <w:t>Placebo</w:t>
            </w:r>
          </w:p>
        </w:tc>
        <w:tc>
          <w:tcPr>
            <w:tcW w:w="851" w:type="pct"/>
            <w:shd w:val="clear" w:color="auto" w:fill="BFBFBF" w:themeFill="background1" w:themeFillShade="BF"/>
            <w:tcMar>
              <w:left w:w="28" w:type="dxa"/>
              <w:right w:w="28" w:type="dxa"/>
            </w:tcMar>
            <w:vAlign w:val="center"/>
          </w:tcPr>
          <w:p w:rsidR="0049176A" w:rsidRPr="00D468CF" w:rsidRDefault="0049176A" w:rsidP="007C4A70">
            <w:pPr>
              <w:pStyle w:val="Tableheading"/>
              <w:jc w:val="center"/>
              <w:rPr>
                <w:rFonts w:eastAsia="MS Mincho"/>
                <w:vertAlign w:val="superscript"/>
              </w:rPr>
            </w:pPr>
            <w:r>
              <w:rPr>
                <w:rFonts w:eastAsia="MS Mincho"/>
              </w:rPr>
              <w:t>RR (95% CI)</w:t>
            </w:r>
          </w:p>
        </w:tc>
        <w:tc>
          <w:tcPr>
            <w:tcW w:w="807" w:type="pct"/>
            <w:shd w:val="clear" w:color="auto" w:fill="BFBFBF" w:themeFill="background1" w:themeFillShade="BF"/>
            <w:vAlign w:val="center"/>
          </w:tcPr>
          <w:p w:rsidR="0049176A" w:rsidRDefault="0049176A" w:rsidP="007C4A70">
            <w:pPr>
              <w:pStyle w:val="Tableheading"/>
              <w:jc w:val="center"/>
              <w:rPr>
                <w:rFonts w:eastAsia="MS Mincho"/>
              </w:rPr>
            </w:pPr>
            <w:r>
              <w:rPr>
                <w:rFonts w:eastAsia="MS Mincho"/>
              </w:rPr>
              <w:t>RD (95% CI)</w:t>
            </w:r>
          </w:p>
        </w:tc>
      </w:tr>
      <w:tr w:rsidR="00FD1A77" w:rsidRPr="00061F78" w:rsidTr="005346E0">
        <w:trPr>
          <w:cantSplit/>
          <w:trHeight w:val="99"/>
        </w:trPr>
        <w:tc>
          <w:tcPr>
            <w:tcW w:w="721" w:type="pct"/>
            <w:shd w:val="clear" w:color="auto" w:fill="D9D9D9" w:themeFill="background1" w:themeFillShade="D9"/>
            <w:tcMar>
              <w:left w:w="28" w:type="dxa"/>
              <w:right w:w="28" w:type="dxa"/>
            </w:tcMar>
          </w:tcPr>
          <w:p w:rsidR="0049176A" w:rsidRDefault="003E100A" w:rsidP="007C4A70">
            <w:pPr>
              <w:pStyle w:val="Tablewriting"/>
              <w:rPr>
                <w:rFonts w:eastAsia="MS Mincho"/>
              </w:rPr>
            </w:pPr>
            <w:r>
              <w:rPr>
                <w:rFonts w:eastAsia="MS Mincho"/>
              </w:rPr>
              <w:t>Gonzales (2006)</w:t>
            </w:r>
            <w:r w:rsidR="00571438">
              <w:rPr>
                <w:rFonts w:eastAsia="MS Mincho"/>
                <w:vertAlign w:val="superscript"/>
              </w:rPr>
              <w:t>1</w:t>
            </w:r>
            <w:r>
              <w:rPr>
                <w:rFonts w:eastAsia="MS Mincho"/>
              </w:rPr>
              <w:t xml:space="preserve"> </w:t>
            </w:r>
          </w:p>
        </w:tc>
        <w:tc>
          <w:tcPr>
            <w:tcW w:w="920" w:type="pct"/>
            <w:shd w:val="clear" w:color="auto" w:fill="D9D9D9" w:themeFill="background1" w:themeFillShade="D9"/>
            <w:vAlign w:val="center"/>
          </w:tcPr>
          <w:p w:rsidR="0049176A" w:rsidRDefault="003E100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rsidR="003E100A" w:rsidRDefault="00F36494" w:rsidP="007C4A70">
            <w:pPr>
              <w:pStyle w:val="Tablewriting"/>
              <w:jc w:val="center"/>
              <w:rPr>
                <w:rFonts w:eastAsia="MS Mincho"/>
              </w:rPr>
            </w:pPr>
            <w:r>
              <w:rPr>
                <w:rFonts w:eastAsia="MS Mincho"/>
              </w:rPr>
              <w:t>77/352</w:t>
            </w:r>
          </w:p>
          <w:p w:rsidR="0049176A" w:rsidRDefault="00F36494" w:rsidP="007C4A70">
            <w:pPr>
              <w:pStyle w:val="Tablewriting"/>
              <w:jc w:val="center"/>
              <w:rPr>
                <w:rFonts w:eastAsia="MS Mincho"/>
              </w:rPr>
            </w:pPr>
            <w:r>
              <w:rPr>
                <w:rFonts w:eastAsia="MS Mincho"/>
              </w:rPr>
              <w:t>(21.9%)</w:t>
            </w:r>
          </w:p>
        </w:tc>
        <w:tc>
          <w:tcPr>
            <w:tcW w:w="851" w:type="pct"/>
            <w:shd w:val="clear" w:color="auto" w:fill="D9D9D9" w:themeFill="background1" w:themeFillShade="D9"/>
            <w:tcMar>
              <w:left w:w="28" w:type="dxa"/>
              <w:right w:w="28" w:type="dxa"/>
            </w:tcMar>
            <w:vAlign w:val="center"/>
          </w:tcPr>
          <w:p w:rsidR="003E100A" w:rsidRDefault="00F36494" w:rsidP="007C4A70">
            <w:pPr>
              <w:pStyle w:val="Tablewriting"/>
              <w:jc w:val="center"/>
              <w:rPr>
                <w:rFonts w:eastAsia="MS Mincho"/>
              </w:rPr>
            </w:pPr>
            <w:r>
              <w:rPr>
                <w:rFonts w:eastAsia="MS Mincho"/>
              </w:rPr>
              <w:t>29/344</w:t>
            </w:r>
          </w:p>
          <w:p w:rsidR="0049176A" w:rsidRDefault="00F36494" w:rsidP="007C4A70">
            <w:pPr>
              <w:pStyle w:val="Tablewriting"/>
              <w:jc w:val="center"/>
              <w:rPr>
                <w:rFonts w:eastAsia="MS Mincho"/>
              </w:rPr>
            </w:pPr>
            <w:r>
              <w:rPr>
                <w:rFonts w:eastAsia="MS Mincho"/>
              </w:rPr>
              <w:t>(8.4%)</w:t>
            </w:r>
          </w:p>
        </w:tc>
        <w:tc>
          <w:tcPr>
            <w:tcW w:w="851" w:type="pct"/>
            <w:shd w:val="clear" w:color="auto" w:fill="D9D9D9" w:themeFill="background1" w:themeFillShade="D9"/>
            <w:tcMar>
              <w:left w:w="28" w:type="dxa"/>
              <w:right w:w="28" w:type="dxa"/>
            </w:tcMar>
            <w:vAlign w:val="center"/>
          </w:tcPr>
          <w:p w:rsidR="003E100A" w:rsidRPr="00F360FD" w:rsidRDefault="00A72B06" w:rsidP="007C4A70">
            <w:pPr>
              <w:pStyle w:val="Tablewriting"/>
              <w:jc w:val="center"/>
              <w:rPr>
                <w:rFonts w:eastAsia="MS Mincho"/>
                <w:b/>
                <w:bCs/>
              </w:rPr>
            </w:pPr>
            <w:r w:rsidRPr="00F360FD">
              <w:rPr>
                <w:rFonts w:eastAsia="MS Mincho"/>
                <w:b/>
                <w:bCs/>
              </w:rPr>
              <w:t>2.59</w:t>
            </w:r>
          </w:p>
          <w:p w:rsidR="0049176A" w:rsidRPr="00F360FD" w:rsidRDefault="00A72B06" w:rsidP="007C4A70">
            <w:pPr>
              <w:pStyle w:val="Tablewriting"/>
              <w:jc w:val="center"/>
              <w:rPr>
                <w:rFonts w:eastAsia="MS Mincho"/>
                <w:b/>
              </w:rPr>
            </w:pPr>
            <w:r w:rsidRPr="00F360FD">
              <w:rPr>
                <w:rFonts w:eastAsia="MS Mincho"/>
                <w:b/>
                <w:bCs/>
              </w:rPr>
              <w:t>(1.74, 3.87)</w:t>
            </w:r>
          </w:p>
        </w:tc>
        <w:tc>
          <w:tcPr>
            <w:tcW w:w="807" w:type="pct"/>
            <w:shd w:val="clear" w:color="auto" w:fill="D9D9D9" w:themeFill="background1" w:themeFillShade="D9"/>
            <w:vAlign w:val="center"/>
          </w:tcPr>
          <w:p w:rsidR="0049176A" w:rsidRPr="004536BC" w:rsidRDefault="007D14D3" w:rsidP="007C4A70">
            <w:pPr>
              <w:pStyle w:val="Tablewriting"/>
              <w:jc w:val="center"/>
              <w:rPr>
                <w:rFonts w:eastAsia="MS Mincho"/>
                <w:b/>
                <w:bCs/>
              </w:rPr>
            </w:pPr>
            <w:r w:rsidRPr="004536BC">
              <w:rPr>
                <w:rFonts w:eastAsia="MS Mincho"/>
                <w:b/>
                <w:bCs/>
              </w:rPr>
              <w:t>0.13</w:t>
            </w:r>
          </w:p>
          <w:p w:rsidR="0049176A" w:rsidRPr="004536BC" w:rsidRDefault="007D14D3" w:rsidP="007C4A70">
            <w:pPr>
              <w:pStyle w:val="Tablewriting"/>
              <w:jc w:val="center"/>
              <w:rPr>
                <w:rFonts w:eastAsia="MS Mincho"/>
                <w:b/>
              </w:rPr>
            </w:pPr>
            <w:r w:rsidRPr="004536BC">
              <w:rPr>
                <w:rFonts w:eastAsia="MS Mincho"/>
                <w:b/>
                <w:bCs/>
              </w:rPr>
              <w:t>(0</w:t>
            </w:r>
            <w:r w:rsidR="00223C74" w:rsidRPr="004536BC">
              <w:rPr>
                <w:rFonts w:eastAsia="MS Mincho"/>
                <w:b/>
                <w:bCs/>
              </w:rPr>
              <w:t>.08, 0.19)</w:t>
            </w:r>
          </w:p>
        </w:tc>
      </w:tr>
      <w:tr w:rsidR="00FD1A77" w:rsidRPr="00061F78" w:rsidTr="005346E0">
        <w:trPr>
          <w:cantSplit/>
          <w:trHeight w:val="99"/>
        </w:trPr>
        <w:tc>
          <w:tcPr>
            <w:tcW w:w="721" w:type="pct"/>
            <w:shd w:val="clear" w:color="auto" w:fill="D9D9D9" w:themeFill="background1" w:themeFillShade="D9"/>
            <w:tcMar>
              <w:left w:w="28" w:type="dxa"/>
              <w:right w:w="28" w:type="dxa"/>
            </w:tcMar>
          </w:tcPr>
          <w:p w:rsidR="0049176A" w:rsidRDefault="003E100A" w:rsidP="007C4A70">
            <w:pPr>
              <w:pStyle w:val="Tablewriting"/>
              <w:rPr>
                <w:rFonts w:eastAsia="MS Mincho"/>
              </w:rPr>
            </w:pPr>
            <w:r>
              <w:rPr>
                <w:rFonts w:eastAsia="MS Mincho"/>
              </w:rPr>
              <w:t>Jorenby (2006)</w:t>
            </w:r>
            <w:r w:rsidR="00571438">
              <w:rPr>
                <w:rFonts w:eastAsia="MS Mincho"/>
                <w:vertAlign w:val="superscript"/>
              </w:rPr>
              <w:t>1</w:t>
            </w:r>
            <w:r>
              <w:rPr>
                <w:rFonts w:eastAsia="MS Mincho"/>
              </w:rPr>
              <w:t xml:space="preserve"> </w:t>
            </w:r>
          </w:p>
        </w:tc>
        <w:tc>
          <w:tcPr>
            <w:tcW w:w="920" w:type="pct"/>
            <w:shd w:val="clear" w:color="auto" w:fill="D9D9D9" w:themeFill="background1" w:themeFillShade="D9"/>
            <w:vAlign w:val="center"/>
          </w:tcPr>
          <w:p w:rsidR="0049176A" w:rsidRDefault="003E100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rsidR="003E100A" w:rsidRDefault="00EF6935" w:rsidP="007C4A70">
            <w:pPr>
              <w:pStyle w:val="Tablewriting"/>
              <w:jc w:val="center"/>
              <w:rPr>
                <w:rFonts w:eastAsia="MS Mincho"/>
              </w:rPr>
            </w:pPr>
            <w:r>
              <w:rPr>
                <w:rFonts w:eastAsia="MS Mincho"/>
              </w:rPr>
              <w:t>79/344</w:t>
            </w:r>
          </w:p>
          <w:p w:rsidR="0049176A" w:rsidRDefault="00EF6935" w:rsidP="007C4A70">
            <w:pPr>
              <w:pStyle w:val="Tablewriting"/>
              <w:jc w:val="center"/>
              <w:rPr>
                <w:rFonts w:eastAsia="MS Mincho"/>
              </w:rPr>
            </w:pPr>
            <w:r>
              <w:rPr>
                <w:rFonts w:eastAsia="MS Mincho"/>
              </w:rPr>
              <w:t>(23.0%)</w:t>
            </w:r>
          </w:p>
        </w:tc>
        <w:tc>
          <w:tcPr>
            <w:tcW w:w="851" w:type="pct"/>
            <w:shd w:val="clear" w:color="auto" w:fill="D9D9D9" w:themeFill="background1" w:themeFillShade="D9"/>
            <w:tcMar>
              <w:left w:w="28" w:type="dxa"/>
              <w:right w:w="28" w:type="dxa"/>
            </w:tcMar>
            <w:vAlign w:val="center"/>
          </w:tcPr>
          <w:p w:rsidR="003E100A" w:rsidRDefault="007C35F7" w:rsidP="007C4A70">
            <w:pPr>
              <w:pStyle w:val="Tablewriting"/>
              <w:jc w:val="center"/>
              <w:rPr>
                <w:rFonts w:eastAsia="MS Mincho"/>
              </w:rPr>
            </w:pPr>
            <w:r>
              <w:rPr>
                <w:rFonts w:eastAsia="MS Mincho"/>
              </w:rPr>
              <w:t>35/341</w:t>
            </w:r>
          </w:p>
          <w:p w:rsidR="0049176A" w:rsidRDefault="007C35F7" w:rsidP="007C4A70">
            <w:pPr>
              <w:pStyle w:val="Tablewriting"/>
              <w:jc w:val="center"/>
              <w:rPr>
                <w:rFonts w:eastAsia="MS Mincho"/>
              </w:rPr>
            </w:pPr>
            <w:r>
              <w:rPr>
                <w:rFonts w:eastAsia="MS Mincho"/>
              </w:rPr>
              <w:t>(10.3%)</w:t>
            </w:r>
          </w:p>
        </w:tc>
        <w:tc>
          <w:tcPr>
            <w:tcW w:w="851" w:type="pct"/>
            <w:shd w:val="clear" w:color="auto" w:fill="D9D9D9" w:themeFill="background1" w:themeFillShade="D9"/>
            <w:tcMar>
              <w:left w:w="28" w:type="dxa"/>
              <w:right w:w="28" w:type="dxa"/>
            </w:tcMar>
            <w:vAlign w:val="center"/>
          </w:tcPr>
          <w:p w:rsidR="003E100A" w:rsidRPr="00F360FD" w:rsidRDefault="00365F9B" w:rsidP="007C4A70">
            <w:pPr>
              <w:pStyle w:val="Tablewriting"/>
              <w:jc w:val="center"/>
              <w:rPr>
                <w:rFonts w:eastAsia="MS Mincho"/>
                <w:b/>
                <w:bCs/>
              </w:rPr>
            </w:pPr>
            <w:r w:rsidRPr="00F360FD">
              <w:rPr>
                <w:rFonts w:eastAsia="MS Mincho"/>
                <w:b/>
                <w:bCs/>
              </w:rPr>
              <w:t>2.24</w:t>
            </w:r>
          </w:p>
          <w:p w:rsidR="0049176A" w:rsidRPr="00F360FD" w:rsidRDefault="00365F9B" w:rsidP="007C4A70">
            <w:pPr>
              <w:pStyle w:val="Tablewriting"/>
              <w:jc w:val="center"/>
              <w:rPr>
                <w:rFonts w:eastAsia="MS Mincho"/>
                <w:b/>
              </w:rPr>
            </w:pPr>
            <w:r w:rsidRPr="00F360FD">
              <w:rPr>
                <w:rFonts w:eastAsia="MS Mincho"/>
                <w:b/>
                <w:bCs/>
              </w:rPr>
              <w:t>(1.55, 3.24)</w:t>
            </w:r>
          </w:p>
        </w:tc>
        <w:tc>
          <w:tcPr>
            <w:tcW w:w="807" w:type="pct"/>
            <w:shd w:val="clear" w:color="auto" w:fill="D9D9D9" w:themeFill="background1" w:themeFillShade="D9"/>
            <w:vAlign w:val="center"/>
          </w:tcPr>
          <w:p w:rsidR="0049176A" w:rsidRPr="004536BC" w:rsidRDefault="00223C74" w:rsidP="007C4A70">
            <w:pPr>
              <w:pStyle w:val="Tablewriting"/>
              <w:jc w:val="center"/>
              <w:rPr>
                <w:rFonts w:eastAsia="MS Mincho"/>
                <w:b/>
                <w:bCs/>
              </w:rPr>
            </w:pPr>
            <w:r w:rsidRPr="004536BC">
              <w:rPr>
                <w:rFonts w:eastAsia="MS Mincho"/>
                <w:b/>
                <w:bCs/>
              </w:rPr>
              <w:t>0.13</w:t>
            </w:r>
          </w:p>
          <w:p w:rsidR="0049176A" w:rsidRPr="004536BC" w:rsidRDefault="00223C74" w:rsidP="007C4A70">
            <w:pPr>
              <w:pStyle w:val="Tablewriting"/>
              <w:jc w:val="center"/>
              <w:rPr>
                <w:rFonts w:eastAsia="MS Mincho"/>
                <w:b/>
              </w:rPr>
            </w:pPr>
            <w:r w:rsidRPr="004536BC">
              <w:rPr>
                <w:rFonts w:eastAsia="MS Mincho"/>
                <w:b/>
                <w:bCs/>
              </w:rPr>
              <w:t>(0.07, 0.18)</w:t>
            </w:r>
          </w:p>
        </w:tc>
      </w:tr>
      <w:tr w:rsidR="00FD1A77" w:rsidRPr="00061F78" w:rsidTr="005346E0">
        <w:trPr>
          <w:cantSplit/>
          <w:trHeight w:val="99"/>
        </w:trPr>
        <w:tc>
          <w:tcPr>
            <w:tcW w:w="721" w:type="pct"/>
            <w:shd w:val="clear" w:color="auto" w:fill="D9D9D9" w:themeFill="background1" w:themeFillShade="D9"/>
            <w:tcMar>
              <w:left w:w="28" w:type="dxa"/>
              <w:right w:w="28" w:type="dxa"/>
            </w:tcMar>
          </w:tcPr>
          <w:p w:rsidR="00E1420A" w:rsidRDefault="003E100A" w:rsidP="007C4A70">
            <w:pPr>
              <w:pStyle w:val="Tablewriting"/>
              <w:rPr>
                <w:rFonts w:eastAsia="MS Mincho"/>
              </w:rPr>
            </w:pPr>
            <w:r>
              <w:rPr>
                <w:rFonts w:eastAsia="MS Mincho"/>
              </w:rPr>
              <w:t xml:space="preserve">Oncken </w:t>
            </w:r>
          </w:p>
          <w:p w:rsidR="0049176A" w:rsidRDefault="003E100A" w:rsidP="007C4A70">
            <w:pPr>
              <w:pStyle w:val="Tablewriting"/>
              <w:rPr>
                <w:rFonts w:eastAsia="MS Mincho"/>
              </w:rPr>
            </w:pPr>
            <w:r>
              <w:rPr>
                <w:rFonts w:eastAsia="MS Mincho"/>
              </w:rPr>
              <w:t>(2006)</w:t>
            </w:r>
            <w:r w:rsidR="00571438">
              <w:rPr>
                <w:rFonts w:eastAsia="MS Mincho"/>
                <w:vertAlign w:val="superscript"/>
              </w:rPr>
              <w:t>1</w:t>
            </w:r>
            <w:r>
              <w:rPr>
                <w:rFonts w:eastAsia="MS Mincho"/>
              </w:rPr>
              <w:t xml:space="preserve"> </w:t>
            </w:r>
          </w:p>
        </w:tc>
        <w:tc>
          <w:tcPr>
            <w:tcW w:w="920" w:type="pct"/>
            <w:shd w:val="clear" w:color="auto" w:fill="D9D9D9" w:themeFill="background1" w:themeFillShade="D9"/>
            <w:vAlign w:val="center"/>
          </w:tcPr>
          <w:p w:rsidR="0049176A" w:rsidRDefault="003E100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rsidR="003E100A" w:rsidRDefault="004B23FB" w:rsidP="007C4A70">
            <w:pPr>
              <w:pStyle w:val="Tablewriting"/>
              <w:jc w:val="center"/>
              <w:rPr>
                <w:rFonts w:eastAsia="MS Mincho"/>
              </w:rPr>
            </w:pPr>
            <w:r>
              <w:rPr>
                <w:rFonts w:eastAsia="MS Mincho"/>
              </w:rPr>
              <w:t>58/259</w:t>
            </w:r>
          </w:p>
          <w:p w:rsidR="0049176A" w:rsidRDefault="004B23FB" w:rsidP="007C4A70">
            <w:pPr>
              <w:pStyle w:val="Tablewriting"/>
              <w:jc w:val="center"/>
              <w:rPr>
                <w:rFonts w:eastAsia="MS Mincho"/>
              </w:rPr>
            </w:pPr>
            <w:r>
              <w:rPr>
                <w:rFonts w:eastAsia="MS Mincho"/>
              </w:rPr>
              <w:t>(22.4%)</w:t>
            </w:r>
          </w:p>
        </w:tc>
        <w:tc>
          <w:tcPr>
            <w:tcW w:w="851" w:type="pct"/>
            <w:shd w:val="clear" w:color="auto" w:fill="D9D9D9" w:themeFill="background1" w:themeFillShade="D9"/>
            <w:tcMar>
              <w:left w:w="28" w:type="dxa"/>
              <w:right w:w="28" w:type="dxa"/>
            </w:tcMar>
            <w:vAlign w:val="center"/>
          </w:tcPr>
          <w:p w:rsidR="003E100A" w:rsidRDefault="00157E1E" w:rsidP="007C4A70">
            <w:pPr>
              <w:pStyle w:val="Tablewriting"/>
              <w:jc w:val="center"/>
              <w:rPr>
                <w:rFonts w:eastAsia="MS Mincho"/>
              </w:rPr>
            </w:pPr>
            <w:r>
              <w:rPr>
                <w:rFonts w:eastAsia="MS Mincho"/>
              </w:rPr>
              <w:t>5/129</w:t>
            </w:r>
          </w:p>
          <w:p w:rsidR="0049176A" w:rsidRDefault="00157E1E" w:rsidP="007C4A70">
            <w:pPr>
              <w:pStyle w:val="Tablewriting"/>
              <w:jc w:val="center"/>
              <w:rPr>
                <w:rFonts w:eastAsia="MS Mincho"/>
              </w:rPr>
            </w:pPr>
            <w:r>
              <w:rPr>
                <w:rFonts w:eastAsia="MS Mincho"/>
              </w:rPr>
              <w:t>(3.9%)</w:t>
            </w:r>
          </w:p>
        </w:tc>
        <w:tc>
          <w:tcPr>
            <w:tcW w:w="851" w:type="pct"/>
            <w:shd w:val="clear" w:color="auto" w:fill="D9D9D9" w:themeFill="background1" w:themeFillShade="D9"/>
            <w:tcMar>
              <w:left w:w="28" w:type="dxa"/>
              <w:right w:w="28" w:type="dxa"/>
            </w:tcMar>
            <w:vAlign w:val="center"/>
          </w:tcPr>
          <w:p w:rsidR="003E100A" w:rsidRPr="008859EB" w:rsidRDefault="00047FB0" w:rsidP="007C4A70">
            <w:pPr>
              <w:pStyle w:val="Tablewriting"/>
              <w:jc w:val="center"/>
              <w:rPr>
                <w:rFonts w:eastAsia="MS Mincho"/>
                <w:b/>
                <w:bCs/>
              </w:rPr>
            </w:pPr>
            <w:r w:rsidRPr="008859EB">
              <w:rPr>
                <w:rFonts w:eastAsia="MS Mincho"/>
                <w:b/>
                <w:bCs/>
              </w:rPr>
              <w:t>5.78</w:t>
            </w:r>
          </w:p>
          <w:p w:rsidR="0049176A" w:rsidRDefault="00047FB0" w:rsidP="007C4A70">
            <w:pPr>
              <w:pStyle w:val="Tablewriting"/>
              <w:jc w:val="center"/>
              <w:rPr>
                <w:rFonts w:eastAsia="MS Mincho"/>
              </w:rPr>
            </w:pPr>
            <w:r w:rsidRPr="008859EB">
              <w:rPr>
                <w:rFonts w:eastAsia="MS Mincho"/>
                <w:b/>
                <w:bCs/>
              </w:rPr>
              <w:t>(2.38, 14.</w:t>
            </w:r>
            <w:r w:rsidR="00F24207">
              <w:rPr>
                <w:rFonts w:eastAsia="MS Mincho"/>
                <w:b/>
                <w:bCs/>
              </w:rPr>
              <w:t>05</w:t>
            </w:r>
            <w:r w:rsidRPr="008859EB">
              <w:rPr>
                <w:rFonts w:eastAsia="MS Mincho"/>
                <w:b/>
                <w:bCs/>
              </w:rPr>
              <w:t>)</w:t>
            </w:r>
          </w:p>
        </w:tc>
        <w:tc>
          <w:tcPr>
            <w:tcW w:w="807" w:type="pct"/>
            <w:shd w:val="clear" w:color="auto" w:fill="D9D9D9" w:themeFill="background1" w:themeFillShade="D9"/>
            <w:vAlign w:val="center"/>
          </w:tcPr>
          <w:p w:rsidR="0049176A" w:rsidRPr="004536BC" w:rsidRDefault="00223C74" w:rsidP="007C4A70">
            <w:pPr>
              <w:pStyle w:val="Tablewriting"/>
              <w:jc w:val="center"/>
              <w:rPr>
                <w:rFonts w:eastAsia="MS Mincho"/>
                <w:b/>
                <w:bCs/>
              </w:rPr>
            </w:pPr>
            <w:r w:rsidRPr="004536BC">
              <w:rPr>
                <w:rFonts w:eastAsia="MS Mincho"/>
                <w:b/>
                <w:bCs/>
              </w:rPr>
              <w:t>0.19</w:t>
            </w:r>
          </w:p>
          <w:p w:rsidR="0049176A" w:rsidRPr="004536BC" w:rsidRDefault="00223C74" w:rsidP="007C4A70">
            <w:pPr>
              <w:pStyle w:val="Tablewriting"/>
              <w:jc w:val="center"/>
              <w:rPr>
                <w:rFonts w:eastAsia="MS Mincho"/>
                <w:b/>
              </w:rPr>
            </w:pPr>
            <w:r w:rsidRPr="004536BC">
              <w:rPr>
                <w:rFonts w:eastAsia="MS Mincho"/>
                <w:b/>
                <w:bCs/>
              </w:rPr>
              <w:t>(</w:t>
            </w:r>
            <w:r w:rsidR="00D00932" w:rsidRPr="004536BC">
              <w:rPr>
                <w:rFonts w:eastAsia="MS Mincho"/>
                <w:b/>
                <w:bCs/>
              </w:rPr>
              <w:t>0.12, 0.25)</w:t>
            </w:r>
          </w:p>
        </w:tc>
      </w:tr>
      <w:tr w:rsidR="00FD1A77" w:rsidRPr="00061F78" w:rsidTr="005346E0">
        <w:trPr>
          <w:cantSplit/>
          <w:trHeight w:val="99"/>
        </w:trPr>
        <w:tc>
          <w:tcPr>
            <w:tcW w:w="721" w:type="pct"/>
            <w:shd w:val="clear" w:color="auto" w:fill="D9D9D9" w:themeFill="background1" w:themeFillShade="D9"/>
            <w:tcMar>
              <w:left w:w="28" w:type="dxa"/>
              <w:right w:w="28" w:type="dxa"/>
            </w:tcMar>
          </w:tcPr>
          <w:p w:rsidR="0049176A" w:rsidRDefault="003E100A" w:rsidP="007C4A70">
            <w:pPr>
              <w:pStyle w:val="Tablewriting"/>
              <w:rPr>
                <w:rFonts w:eastAsia="MS Mincho"/>
              </w:rPr>
            </w:pPr>
            <w:r>
              <w:rPr>
                <w:rFonts w:eastAsia="MS Mincho"/>
              </w:rPr>
              <w:t>Nakamura (2007)</w:t>
            </w:r>
            <w:r w:rsidR="00571438">
              <w:rPr>
                <w:rFonts w:eastAsia="MS Mincho"/>
                <w:vertAlign w:val="superscript"/>
              </w:rPr>
              <w:t>1</w:t>
            </w:r>
            <w:r>
              <w:rPr>
                <w:rFonts w:eastAsia="MS Mincho"/>
              </w:rPr>
              <w:t xml:space="preserve"> </w:t>
            </w:r>
          </w:p>
        </w:tc>
        <w:tc>
          <w:tcPr>
            <w:tcW w:w="920" w:type="pct"/>
            <w:shd w:val="clear" w:color="auto" w:fill="D9D9D9" w:themeFill="background1" w:themeFillShade="D9"/>
            <w:vAlign w:val="center"/>
          </w:tcPr>
          <w:p w:rsidR="0049176A" w:rsidRDefault="003E100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rsidR="003E100A" w:rsidRPr="007B3D7F" w:rsidRDefault="008859EB" w:rsidP="007C4A70">
            <w:pPr>
              <w:pStyle w:val="Tablewriting"/>
              <w:jc w:val="center"/>
              <w:rPr>
                <w:rFonts w:eastAsia="MS Mincho"/>
                <w:vertAlign w:val="superscript"/>
              </w:rPr>
            </w:pPr>
            <w:r>
              <w:rPr>
                <w:rFonts w:eastAsia="MS Mincho"/>
              </w:rPr>
              <w:t>56/156</w:t>
            </w:r>
            <w:r w:rsidR="007B3D7F">
              <w:rPr>
                <w:rFonts w:eastAsia="MS Mincho"/>
                <w:vertAlign w:val="superscript"/>
              </w:rPr>
              <w:t>a</w:t>
            </w:r>
          </w:p>
          <w:p w:rsidR="0049176A" w:rsidRDefault="008859EB" w:rsidP="007C4A70">
            <w:pPr>
              <w:pStyle w:val="Tablewriting"/>
              <w:jc w:val="center"/>
              <w:rPr>
                <w:rFonts w:eastAsia="MS Mincho"/>
              </w:rPr>
            </w:pPr>
            <w:r>
              <w:rPr>
                <w:rFonts w:eastAsia="MS Mincho"/>
              </w:rPr>
              <w:t>(</w:t>
            </w:r>
            <w:r w:rsidR="00A60026">
              <w:rPr>
                <w:rFonts w:eastAsia="MS Mincho"/>
              </w:rPr>
              <w:t>35.9%)</w:t>
            </w:r>
          </w:p>
        </w:tc>
        <w:tc>
          <w:tcPr>
            <w:tcW w:w="851" w:type="pct"/>
            <w:shd w:val="clear" w:color="auto" w:fill="D9D9D9" w:themeFill="background1" w:themeFillShade="D9"/>
            <w:tcMar>
              <w:left w:w="28" w:type="dxa"/>
              <w:right w:w="28" w:type="dxa"/>
            </w:tcMar>
            <w:vAlign w:val="center"/>
          </w:tcPr>
          <w:p w:rsidR="003E100A" w:rsidRPr="007B3D7F" w:rsidRDefault="00A2515B" w:rsidP="007C4A70">
            <w:pPr>
              <w:pStyle w:val="Tablewriting"/>
              <w:jc w:val="center"/>
              <w:rPr>
                <w:rFonts w:eastAsia="MS Mincho"/>
                <w:vertAlign w:val="superscript"/>
              </w:rPr>
            </w:pPr>
            <w:r>
              <w:rPr>
                <w:rFonts w:eastAsia="MS Mincho"/>
              </w:rPr>
              <w:t>35/154</w:t>
            </w:r>
            <w:r w:rsidR="007B3D7F">
              <w:rPr>
                <w:rFonts w:eastAsia="MS Mincho"/>
                <w:vertAlign w:val="superscript"/>
              </w:rPr>
              <w:t>a</w:t>
            </w:r>
          </w:p>
          <w:p w:rsidR="0049176A" w:rsidRDefault="00A2515B" w:rsidP="007C4A70">
            <w:pPr>
              <w:pStyle w:val="Tablewriting"/>
              <w:jc w:val="center"/>
              <w:rPr>
                <w:rFonts w:eastAsia="MS Mincho"/>
              </w:rPr>
            </w:pPr>
            <w:r>
              <w:rPr>
                <w:rFonts w:eastAsia="MS Mincho"/>
              </w:rPr>
              <w:t>(22.7%)</w:t>
            </w:r>
          </w:p>
        </w:tc>
        <w:tc>
          <w:tcPr>
            <w:tcW w:w="851" w:type="pct"/>
            <w:shd w:val="clear" w:color="auto" w:fill="D9D9D9" w:themeFill="background1" w:themeFillShade="D9"/>
            <w:tcMar>
              <w:left w:w="28" w:type="dxa"/>
              <w:right w:w="28" w:type="dxa"/>
            </w:tcMar>
            <w:vAlign w:val="center"/>
          </w:tcPr>
          <w:p w:rsidR="003E100A" w:rsidRPr="00C81561" w:rsidRDefault="00A2515B" w:rsidP="007C4A70">
            <w:pPr>
              <w:pStyle w:val="Tablewriting"/>
              <w:jc w:val="center"/>
              <w:rPr>
                <w:rFonts w:eastAsia="MS Mincho"/>
                <w:b/>
                <w:bCs/>
              </w:rPr>
            </w:pPr>
            <w:r w:rsidRPr="00C81561">
              <w:rPr>
                <w:rFonts w:eastAsia="MS Mincho"/>
                <w:b/>
                <w:bCs/>
              </w:rPr>
              <w:t>1.58</w:t>
            </w:r>
          </w:p>
          <w:p w:rsidR="0049176A" w:rsidRDefault="00A2515B" w:rsidP="007C4A70">
            <w:pPr>
              <w:pStyle w:val="Tablewriting"/>
              <w:jc w:val="center"/>
              <w:rPr>
                <w:rFonts w:eastAsia="MS Mincho"/>
              </w:rPr>
            </w:pPr>
            <w:r w:rsidRPr="00C81561">
              <w:rPr>
                <w:rFonts w:eastAsia="MS Mincho"/>
                <w:b/>
                <w:bCs/>
              </w:rPr>
              <w:t>(1.10, 2.26)</w:t>
            </w:r>
          </w:p>
        </w:tc>
        <w:tc>
          <w:tcPr>
            <w:tcW w:w="807" w:type="pct"/>
            <w:shd w:val="clear" w:color="auto" w:fill="D9D9D9" w:themeFill="background1" w:themeFillShade="D9"/>
            <w:vAlign w:val="center"/>
          </w:tcPr>
          <w:p w:rsidR="0049176A" w:rsidRPr="004536BC" w:rsidRDefault="00D00932" w:rsidP="007C4A70">
            <w:pPr>
              <w:pStyle w:val="Tablewriting"/>
              <w:jc w:val="center"/>
              <w:rPr>
                <w:rFonts w:eastAsia="MS Mincho"/>
                <w:b/>
                <w:bCs/>
              </w:rPr>
            </w:pPr>
            <w:r w:rsidRPr="004536BC">
              <w:rPr>
                <w:rFonts w:eastAsia="MS Mincho"/>
                <w:b/>
                <w:bCs/>
              </w:rPr>
              <w:t>0.13</w:t>
            </w:r>
          </w:p>
          <w:p w:rsidR="0049176A" w:rsidRPr="004536BC" w:rsidRDefault="00D00932" w:rsidP="007C4A70">
            <w:pPr>
              <w:pStyle w:val="Tablewriting"/>
              <w:jc w:val="center"/>
              <w:rPr>
                <w:rFonts w:eastAsia="MS Mincho"/>
                <w:b/>
              </w:rPr>
            </w:pPr>
            <w:r w:rsidRPr="004536BC">
              <w:rPr>
                <w:rFonts w:eastAsia="MS Mincho"/>
                <w:b/>
                <w:bCs/>
              </w:rPr>
              <w:t>(0.03, 0.23)</w:t>
            </w:r>
          </w:p>
        </w:tc>
      </w:tr>
      <w:tr w:rsidR="00FD1A77" w:rsidRPr="00061F78" w:rsidTr="005346E0">
        <w:trPr>
          <w:cantSplit/>
          <w:trHeight w:val="99"/>
        </w:trPr>
        <w:tc>
          <w:tcPr>
            <w:tcW w:w="721" w:type="pct"/>
            <w:shd w:val="clear" w:color="auto" w:fill="D9D9D9" w:themeFill="background1" w:themeFillShade="D9"/>
            <w:tcMar>
              <w:left w:w="28" w:type="dxa"/>
              <w:right w:w="28" w:type="dxa"/>
            </w:tcMar>
          </w:tcPr>
          <w:p w:rsidR="003E100A" w:rsidRDefault="003E100A" w:rsidP="007C4A70">
            <w:pPr>
              <w:pStyle w:val="Tablewriting"/>
              <w:rPr>
                <w:rFonts w:eastAsia="MS Mincho"/>
              </w:rPr>
            </w:pPr>
            <w:r>
              <w:rPr>
                <w:rFonts w:eastAsia="MS Mincho"/>
              </w:rPr>
              <w:t xml:space="preserve">Tsai </w:t>
            </w:r>
          </w:p>
          <w:p w:rsidR="0049176A" w:rsidRDefault="003E100A" w:rsidP="007C4A70">
            <w:pPr>
              <w:pStyle w:val="Tablewriting"/>
              <w:rPr>
                <w:rFonts w:eastAsia="MS Mincho"/>
              </w:rPr>
            </w:pPr>
            <w:r>
              <w:rPr>
                <w:rFonts w:eastAsia="MS Mincho"/>
              </w:rPr>
              <w:t>(2007)</w:t>
            </w:r>
            <w:r w:rsidR="00551EF3">
              <w:rPr>
                <w:rFonts w:eastAsia="MS Mincho"/>
                <w:vertAlign w:val="superscript"/>
              </w:rPr>
              <w:t>2</w:t>
            </w:r>
            <w:r>
              <w:rPr>
                <w:rFonts w:eastAsia="MS Mincho"/>
              </w:rPr>
              <w:t xml:space="preserve"> </w:t>
            </w:r>
          </w:p>
        </w:tc>
        <w:tc>
          <w:tcPr>
            <w:tcW w:w="920" w:type="pct"/>
            <w:shd w:val="clear" w:color="auto" w:fill="D9D9D9" w:themeFill="background1" w:themeFillShade="D9"/>
            <w:vAlign w:val="center"/>
          </w:tcPr>
          <w:p w:rsidR="0049176A" w:rsidRDefault="003E100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rsidR="003E100A" w:rsidRDefault="00AE69D8" w:rsidP="007C4A70">
            <w:pPr>
              <w:pStyle w:val="Tablewriting"/>
              <w:jc w:val="center"/>
              <w:rPr>
                <w:rFonts w:eastAsia="MS Mincho"/>
              </w:rPr>
            </w:pPr>
            <w:r>
              <w:rPr>
                <w:rFonts w:eastAsia="MS Mincho"/>
              </w:rPr>
              <w:t>59/126</w:t>
            </w:r>
          </w:p>
          <w:p w:rsidR="0049176A" w:rsidRDefault="00AE69D8" w:rsidP="007C4A70">
            <w:pPr>
              <w:pStyle w:val="Tablewriting"/>
              <w:jc w:val="center"/>
              <w:rPr>
                <w:rFonts w:eastAsia="MS Mincho"/>
              </w:rPr>
            </w:pPr>
            <w:r>
              <w:rPr>
                <w:rFonts w:eastAsia="MS Mincho"/>
              </w:rPr>
              <w:t>(</w:t>
            </w:r>
            <w:r w:rsidR="00FF06B5">
              <w:rPr>
                <w:rFonts w:eastAsia="MS Mincho"/>
              </w:rPr>
              <w:t>46.8%)</w:t>
            </w:r>
          </w:p>
        </w:tc>
        <w:tc>
          <w:tcPr>
            <w:tcW w:w="851" w:type="pct"/>
            <w:shd w:val="clear" w:color="auto" w:fill="D9D9D9" w:themeFill="background1" w:themeFillShade="D9"/>
            <w:tcMar>
              <w:left w:w="28" w:type="dxa"/>
              <w:right w:w="28" w:type="dxa"/>
            </w:tcMar>
            <w:vAlign w:val="center"/>
          </w:tcPr>
          <w:p w:rsidR="003E100A" w:rsidRDefault="00CA7C26" w:rsidP="007C4A70">
            <w:pPr>
              <w:pStyle w:val="Tablewriting"/>
              <w:jc w:val="center"/>
              <w:rPr>
                <w:rFonts w:eastAsia="MS Mincho"/>
              </w:rPr>
            </w:pPr>
            <w:r>
              <w:rPr>
                <w:rFonts w:eastAsia="MS Mincho"/>
              </w:rPr>
              <w:t>27/124</w:t>
            </w:r>
          </w:p>
          <w:p w:rsidR="0049176A" w:rsidRDefault="008C7F0E" w:rsidP="007C4A70">
            <w:pPr>
              <w:pStyle w:val="Tablewriting"/>
              <w:jc w:val="center"/>
              <w:rPr>
                <w:rFonts w:eastAsia="MS Mincho"/>
              </w:rPr>
            </w:pPr>
            <w:r>
              <w:rPr>
                <w:rFonts w:eastAsia="MS Mincho"/>
              </w:rPr>
              <w:t>(21.8%)</w:t>
            </w:r>
          </w:p>
        </w:tc>
        <w:tc>
          <w:tcPr>
            <w:tcW w:w="851" w:type="pct"/>
            <w:shd w:val="clear" w:color="auto" w:fill="D9D9D9" w:themeFill="background1" w:themeFillShade="D9"/>
            <w:tcMar>
              <w:left w:w="28" w:type="dxa"/>
              <w:right w:w="28" w:type="dxa"/>
            </w:tcMar>
            <w:vAlign w:val="center"/>
          </w:tcPr>
          <w:p w:rsidR="003E100A" w:rsidRPr="00922884" w:rsidRDefault="00922884" w:rsidP="007C4A70">
            <w:pPr>
              <w:pStyle w:val="Tablewriting"/>
              <w:jc w:val="center"/>
              <w:rPr>
                <w:rFonts w:eastAsia="MS Mincho"/>
                <w:b/>
                <w:bCs/>
              </w:rPr>
            </w:pPr>
            <w:r w:rsidRPr="00922884">
              <w:rPr>
                <w:rFonts w:eastAsia="MS Mincho"/>
                <w:b/>
                <w:bCs/>
              </w:rPr>
              <w:t>2.15</w:t>
            </w:r>
          </w:p>
          <w:p w:rsidR="0049176A" w:rsidRDefault="00922884" w:rsidP="007C4A70">
            <w:pPr>
              <w:pStyle w:val="Tablewriting"/>
              <w:jc w:val="center"/>
              <w:rPr>
                <w:rFonts w:eastAsia="MS Mincho"/>
              </w:rPr>
            </w:pPr>
            <w:r w:rsidRPr="00922884">
              <w:rPr>
                <w:rFonts w:eastAsia="MS Mincho"/>
                <w:b/>
                <w:bCs/>
              </w:rPr>
              <w:t>(1.47, 3.15)</w:t>
            </w:r>
          </w:p>
        </w:tc>
        <w:tc>
          <w:tcPr>
            <w:tcW w:w="807" w:type="pct"/>
            <w:shd w:val="clear" w:color="auto" w:fill="D9D9D9" w:themeFill="background1" w:themeFillShade="D9"/>
            <w:vAlign w:val="center"/>
          </w:tcPr>
          <w:p w:rsidR="0049176A" w:rsidRPr="004536BC" w:rsidRDefault="00D00932" w:rsidP="007C4A70">
            <w:pPr>
              <w:pStyle w:val="Tablewriting"/>
              <w:jc w:val="center"/>
              <w:rPr>
                <w:rFonts w:eastAsia="MS Mincho"/>
                <w:b/>
                <w:bCs/>
              </w:rPr>
            </w:pPr>
            <w:r w:rsidRPr="004536BC">
              <w:rPr>
                <w:rFonts w:eastAsia="MS Mincho"/>
                <w:b/>
                <w:bCs/>
              </w:rPr>
              <w:t>0.25</w:t>
            </w:r>
          </w:p>
          <w:p w:rsidR="0049176A" w:rsidRPr="004536BC" w:rsidRDefault="00D00932" w:rsidP="007C4A70">
            <w:pPr>
              <w:pStyle w:val="Tablewriting"/>
              <w:jc w:val="center"/>
              <w:rPr>
                <w:rFonts w:eastAsia="MS Mincho"/>
                <w:b/>
              </w:rPr>
            </w:pPr>
            <w:r w:rsidRPr="004536BC">
              <w:rPr>
                <w:rFonts w:eastAsia="MS Mincho"/>
                <w:b/>
                <w:bCs/>
              </w:rPr>
              <w:t>(0.14, 0.36)</w:t>
            </w:r>
          </w:p>
        </w:tc>
      </w:tr>
      <w:tr w:rsidR="00FD1A77" w:rsidRPr="00061F78" w:rsidTr="005346E0">
        <w:trPr>
          <w:cantSplit/>
          <w:trHeight w:val="99"/>
        </w:trPr>
        <w:tc>
          <w:tcPr>
            <w:tcW w:w="721" w:type="pct"/>
            <w:shd w:val="clear" w:color="auto" w:fill="D9D9D9" w:themeFill="background1" w:themeFillShade="D9"/>
            <w:tcMar>
              <w:left w:w="28" w:type="dxa"/>
              <w:right w:w="28" w:type="dxa"/>
            </w:tcMar>
          </w:tcPr>
          <w:p w:rsidR="00E1420A" w:rsidRDefault="003E100A" w:rsidP="007C4A70">
            <w:pPr>
              <w:pStyle w:val="Tablewriting"/>
              <w:rPr>
                <w:rFonts w:eastAsia="MS Mincho"/>
              </w:rPr>
            </w:pPr>
            <w:r>
              <w:rPr>
                <w:rFonts w:eastAsia="MS Mincho"/>
              </w:rPr>
              <w:t xml:space="preserve">Wang </w:t>
            </w:r>
          </w:p>
          <w:p w:rsidR="0049176A" w:rsidRDefault="003E100A" w:rsidP="007C4A70">
            <w:pPr>
              <w:pStyle w:val="Tablewriting"/>
              <w:rPr>
                <w:rFonts w:eastAsia="MS Mincho"/>
              </w:rPr>
            </w:pPr>
            <w:r>
              <w:rPr>
                <w:rFonts w:eastAsia="MS Mincho"/>
              </w:rPr>
              <w:t>(2009)</w:t>
            </w:r>
            <w:r w:rsidR="00551EF3">
              <w:rPr>
                <w:rFonts w:eastAsia="MS Mincho"/>
                <w:vertAlign w:val="superscript"/>
              </w:rPr>
              <w:t>2</w:t>
            </w:r>
            <w:r>
              <w:rPr>
                <w:rFonts w:eastAsia="MS Mincho"/>
              </w:rPr>
              <w:t xml:space="preserve"> </w:t>
            </w:r>
          </w:p>
        </w:tc>
        <w:tc>
          <w:tcPr>
            <w:tcW w:w="920" w:type="pct"/>
            <w:shd w:val="clear" w:color="auto" w:fill="D9D9D9" w:themeFill="background1" w:themeFillShade="D9"/>
            <w:vAlign w:val="center"/>
          </w:tcPr>
          <w:p w:rsidR="0049176A" w:rsidRDefault="003E100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rsidR="003E100A" w:rsidRDefault="00922884" w:rsidP="007C4A70">
            <w:pPr>
              <w:pStyle w:val="Tablewriting"/>
              <w:jc w:val="center"/>
              <w:rPr>
                <w:rFonts w:eastAsia="MS Mincho"/>
              </w:rPr>
            </w:pPr>
            <w:r>
              <w:rPr>
                <w:rFonts w:eastAsia="MS Mincho"/>
              </w:rPr>
              <w:t>63/165</w:t>
            </w:r>
          </w:p>
          <w:p w:rsidR="0049176A" w:rsidRDefault="00176945" w:rsidP="007C4A70">
            <w:pPr>
              <w:pStyle w:val="Tablewriting"/>
              <w:jc w:val="center"/>
              <w:rPr>
                <w:rFonts w:eastAsia="MS Mincho"/>
              </w:rPr>
            </w:pPr>
            <w:r>
              <w:rPr>
                <w:rFonts w:eastAsia="MS Mincho"/>
              </w:rPr>
              <w:t>(38.2%)</w:t>
            </w:r>
          </w:p>
        </w:tc>
        <w:tc>
          <w:tcPr>
            <w:tcW w:w="851" w:type="pct"/>
            <w:shd w:val="clear" w:color="auto" w:fill="D9D9D9" w:themeFill="background1" w:themeFillShade="D9"/>
            <w:tcMar>
              <w:left w:w="28" w:type="dxa"/>
              <w:right w:w="28" w:type="dxa"/>
            </w:tcMar>
            <w:vAlign w:val="center"/>
          </w:tcPr>
          <w:p w:rsidR="003E100A" w:rsidRDefault="004567F5" w:rsidP="007C4A70">
            <w:pPr>
              <w:pStyle w:val="Tablewriting"/>
              <w:jc w:val="center"/>
              <w:rPr>
                <w:rFonts w:eastAsia="MS Mincho"/>
              </w:rPr>
            </w:pPr>
            <w:r>
              <w:rPr>
                <w:rFonts w:eastAsia="MS Mincho"/>
              </w:rPr>
              <w:t>42/168</w:t>
            </w:r>
          </w:p>
          <w:p w:rsidR="0049176A" w:rsidRDefault="00A72810" w:rsidP="007C4A70">
            <w:pPr>
              <w:pStyle w:val="Tablewriting"/>
              <w:jc w:val="center"/>
              <w:rPr>
                <w:rFonts w:eastAsia="MS Mincho"/>
              </w:rPr>
            </w:pPr>
            <w:r>
              <w:rPr>
                <w:rFonts w:eastAsia="MS Mincho"/>
              </w:rPr>
              <w:t>(25.0%)</w:t>
            </w:r>
          </w:p>
        </w:tc>
        <w:tc>
          <w:tcPr>
            <w:tcW w:w="851" w:type="pct"/>
            <w:shd w:val="clear" w:color="auto" w:fill="D9D9D9" w:themeFill="background1" w:themeFillShade="D9"/>
            <w:tcMar>
              <w:left w:w="28" w:type="dxa"/>
              <w:right w:w="28" w:type="dxa"/>
            </w:tcMar>
            <w:vAlign w:val="center"/>
          </w:tcPr>
          <w:p w:rsidR="003E100A" w:rsidRPr="00890F62" w:rsidRDefault="00890F62" w:rsidP="007C4A70">
            <w:pPr>
              <w:pStyle w:val="Tablewriting"/>
              <w:jc w:val="center"/>
              <w:rPr>
                <w:rFonts w:eastAsia="MS Mincho"/>
                <w:b/>
                <w:bCs/>
              </w:rPr>
            </w:pPr>
            <w:r w:rsidRPr="00890F62">
              <w:rPr>
                <w:rFonts w:eastAsia="MS Mincho"/>
                <w:b/>
                <w:bCs/>
              </w:rPr>
              <w:t>1.53</w:t>
            </w:r>
          </w:p>
          <w:p w:rsidR="0049176A" w:rsidRDefault="00890F62" w:rsidP="007C4A70">
            <w:pPr>
              <w:pStyle w:val="Tablewriting"/>
              <w:jc w:val="center"/>
              <w:rPr>
                <w:rFonts w:eastAsia="MS Mincho"/>
              </w:rPr>
            </w:pPr>
            <w:r w:rsidRPr="00890F62">
              <w:rPr>
                <w:rFonts w:eastAsia="MS Mincho"/>
                <w:b/>
                <w:bCs/>
              </w:rPr>
              <w:t>(1.1, 2.12)</w:t>
            </w:r>
          </w:p>
        </w:tc>
        <w:tc>
          <w:tcPr>
            <w:tcW w:w="807" w:type="pct"/>
            <w:shd w:val="clear" w:color="auto" w:fill="D9D9D9" w:themeFill="background1" w:themeFillShade="D9"/>
            <w:vAlign w:val="center"/>
          </w:tcPr>
          <w:p w:rsidR="0049176A" w:rsidRPr="004536BC" w:rsidRDefault="00F01A49" w:rsidP="007C4A70">
            <w:pPr>
              <w:pStyle w:val="Tablewriting"/>
              <w:jc w:val="center"/>
              <w:rPr>
                <w:rFonts w:eastAsia="MS Mincho"/>
                <w:b/>
                <w:bCs/>
              </w:rPr>
            </w:pPr>
            <w:r w:rsidRPr="004536BC">
              <w:rPr>
                <w:rFonts w:eastAsia="MS Mincho"/>
                <w:b/>
                <w:bCs/>
              </w:rPr>
              <w:t>0.13</w:t>
            </w:r>
          </w:p>
          <w:p w:rsidR="0049176A" w:rsidRPr="004536BC" w:rsidRDefault="00F01A49" w:rsidP="007C4A70">
            <w:pPr>
              <w:pStyle w:val="Tablewriting"/>
              <w:jc w:val="center"/>
              <w:rPr>
                <w:rFonts w:eastAsia="MS Mincho"/>
                <w:b/>
              </w:rPr>
            </w:pPr>
            <w:r w:rsidRPr="004536BC">
              <w:rPr>
                <w:rFonts w:eastAsia="MS Mincho"/>
                <w:b/>
                <w:bCs/>
              </w:rPr>
              <w:t>(0.03, 0.23)</w:t>
            </w:r>
          </w:p>
        </w:tc>
      </w:tr>
      <w:tr w:rsidR="00FD1A77" w:rsidRPr="00061F78" w:rsidTr="005346E0">
        <w:trPr>
          <w:cantSplit/>
          <w:trHeight w:val="99"/>
        </w:trPr>
        <w:tc>
          <w:tcPr>
            <w:tcW w:w="721" w:type="pct"/>
            <w:shd w:val="clear" w:color="auto" w:fill="D9D9D9" w:themeFill="background1" w:themeFillShade="D9"/>
            <w:tcMar>
              <w:left w:w="28" w:type="dxa"/>
              <w:right w:w="28" w:type="dxa"/>
            </w:tcMar>
          </w:tcPr>
          <w:p w:rsidR="00E1420A" w:rsidRDefault="003E100A" w:rsidP="007C4A70">
            <w:pPr>
              <w:pStyle w:val="Tablewriting"/>
              <w:rPr>
                <w:rFonts w:eastAsia="MS Mincho"/>
              </w:rPr>
            </w:pPr>
            <w:r>
              <w:rPr>
                <w:rFonts w:eastAsia="MS Mincho"/>
              </w:rPr>
              <w:t xml:space="preserve">Bolliger </w:t>
            </w:r>
          </w:p>
          <w:p w:rsidR="0049176A" w:rsidRDefault="003E100A" w:rsidP="007C4A70">
            <w:pPr>
              <w:pStyle w:val="Tablewriting"/>
              <w:rPr>
                <w:rFonts w:eastAsia="MS Mincho"/>
              </w:rPr>
            </w:pPr>
            <w:r>
              <w:rPr>
                <w:rFonts w:eastAsia="MS Mincho"/>
              </w:rPr>
              <w:t>(2011)</w:t>
            </w:r>
            <w:r w:rsidR="00551EF3">
              <w:rPr>
                <w:rFonts w:eastAsia="MS Mincho"/>
                <w:vertAlign w:val="superscript"/>
              </w:rPr>
              <w:t>2</w:t>
            </w:r>
            <w:r>
              <w:rPr>
                <w:rFonts w:eastAsia="MS Mincho"/>
              </w:rPr>
              <w:t xml:space="preserve"> </w:t>
            </w:r>
          </w:p>
        </w:tc>
        <w:tc>
          <w:tcPr>
            <w:tcW w:w="920" w:type="pct"/>
            <w:shd w:val="clear" w:color="auto" w:fill="D9D9D9" w:themeFill="background1" w:themeFillShade="D9"/>
            <w:vAlign w:val="center"/>
          </w:tcPr>
          <w:p w:rsidR="0049176A" w:rsidRDefault="003E100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rsidR="003E100A" w:rsidRDefault="0019157B" w:rsidP="007C4A70">
            <w:pPr>
              <w:pStyle w:val="Tablewriting"/>
              <w:jc w:val="center"/>
              <w:rPr>
                <w:rFonts w:eastAsia="MS Mincho"/>
              </w:rPr>
            </w:pPr>
            <w:r>
              <w:rPr>
                <w:rFonts w:eastAsia="MS Mincho"/>
              </w:rPr>
              <w:t>155/394</w:t>
            </w:r>
          </w:p>
          <w:p w:rsidR="0049176A" w:rsidRDefault="0019157B" w:rsidP="007C4A70">
            <w:pPr>
              <w:pStyle w:val="Tablewriting"/>
              <w:jc w:val="center"/>
              <w:rPr>
                <w:rFonts w:eastAsia="MS Mincho"/>
              </w:rPr>
            </w:pPr>
            <w:r>
              <w:rPr>
                <w:rFonts w:eastAsia="MS Mincho"/>
              </w:rPr>
              <w:t>(</w:t>
            </w:r>
            <w:r w:rsidR="00094F04">
              <w:rPr>
                <w:rFonts w:eastAsia="MS Mincho"/>
              </w:rPr>
              <w:t>39.3%)</w:t>
            </w:r>
          </w:p>
        </w:tc>
        <w:tc>
          <w:tcPr>
            <w:tcW w:w="851" w:type="pct"/>
            <w:shd w:val="clear" w:color="auto" w:fill="D9D9D9" w:themeFill="background1" w:themeFillShade="D9"/>
            <w:tcMar>
              <w:left w:w="28" w:type="dxa"/>
              <w:right w:w="28" w:type="dxa"/>
            </w:tcMar>
            <w:vAlign w:val="center"/>
          </w:tcPr>
          <w:p w:rsidR="003E100A" w:rsidRDefault="00A55B99" w:rsidP="007C4A70">
            <w:pPr>
              <w:pStyle w:val="Tablewriting"/>
              <w:jc w:val="center"/>
              <w:rPr>
                <w:rFonts w:eastAsia="MS Mincho"/>
              </w:rPr>
            </w:pPr>
            <w:r>
              <w:rPr>
                <w:rFonts w:eastAsia="MS Mincho"/>
              </w:rPr>
              <w:t>26/199</w:t>
            </w:r>
          </w:p>
          <w:p w:rsidR="0049176A" w:rsidRDefault="00A55B99" w:rsidP="007C4A70">
            <w:pPr>
              <w:pStyle w:val="Tablewriting"/>
              <w:jc w:val="center"/>
              <w:rPr>
                <w:rFonts w:eastAsia="MS Mincho"/>
              </w:rPr>
            </w:pPr>
            <w:r>
              <w:rPr>
                <w:rFonts w:eastAsia="MS Mincho"/>
              </w:rPr>
              <w:t>(</w:t>
            </w:r>
            <w:r w:rsidR="00781407">
              <w:rPr>
                <w:rFonts w:eastAsia="MS Mincho"/>
              </w:rPr>
              <w:t>13.</w:t>
            </w:r>
            <w:r w:rsidR="0090453D">
              <w:rPr>
                <w:rFonts w:eastAsia="MS Mincho"/>
              </w:rPr>
              <w:t>1</w:t>
            </w:r>
            <w:r w:rsidR="00781407">
              <w:rPr>
                <w:rFonts w:eastAsia="MS Mincho"/>
              </w:rPr>
              <w:t>%)</w:t>
            </w:r>
          </w:p>
        </w:tc>
        <w:tc>
          <w:tcPr>
            <w:tcW w:w="851" w:type="pct"/>
            <w:shd w:val="clear" w:color="auto" w:fill="D9D9D9" w:themeFill="background1" w:themeFillShade="D9"/>
            <w:tcMar>
              <w:left w:w="28" w:type="dxa"/>
              <w:right w:w="28" w:type="dxa"/>
            </w:tcMar>
            <w:vAlign w:val="center"/>
          </w:tcPr>
          <w:p w:rsidR="003E100A" w:rsidRPr="00CD34D6" w:rsidRDefault="00F31F6E" w:rsidP="007C4A70">
            <w:pPr>
              <w:pStyle w:val="Tablewriting"/>
              <w:jc w:val="center"/>
              <w:rPr>
                <w:rFonts w:eastAsia="MS Mincho"/>
                <w:b/>
                <w:bCs/>
              </w:rPr>
            </w:pPr>
            <w:r w:rsidRPr="00CD34D6">
              <w:rPr>
                <w:rFonts w:eastAsia="MS Mincho"/>
                <w:b/>
                <w:bCs/>
              </w:rPr>
              <w:t>3.01</w:t>
            </w:r>
          </w:p>
          <w:p w:rsidR="0049176A" w:rsidRDefault="00F31F6E" w:rsidP="007C4A70">
            <w:pPr>
              <w:pStyle w:val="Tablewriting"/>
              <w:jc w:val="center"/>
              <w:rPr>
                <w:rFonts w:eastAsia="MS Mincho"/>
              </w:rPr>
            </w:pPr>
            <w:r w:rsidRPr="00CD34D6">
              <w:rPr>
                <w:rFonts w:eastAsia="MS Mincho"/>
                <w:b/>
                <w:bCs/>
              </w:rPr>
              <w:t xml:space="preserve">(2.06, </w:t>
            </w:r>
            <w:r w:rsidR="00CD34D6" w:rsidRPr="00CD34D6">
              <w:rPr>
                <w:rFonts w:eastAsia="MS Mincho"/>
                <w:b/>
                <w:bCs/>
              </w:rPr>
              <w:t>4.4)</w:t>
            </w:r>
          </w:p>
        </w:tc>
        <w:tc>
          <w:tcPr>
            <w:tcW w:w="807" w:type="pct"/>
            <w:shd w:val="clear" w:color="auto" w:fill="D9D9D9" w:themeFill="background1" w:themeFillShade="D9"/>
            <w:vAlign w:val="center"/>
          </w:tcPr>
          <w:p w:rsidR="0049176A" w:rsidRPr="004536BC" w:rsidRDefault="00F01A49" w:rsidP="007C4A70">
            <w:pPr>
              <w:pStyle w:val="Tablewriting"/>
              <w:jc w:val="center"/>
              <w:rPr>
                <w:rFonts w:eastAsia="MS Mincho"/>
                <w:b/>
                <w:bCs/>
              </w:rPr>
            </w:pPr>
            <w:r w:rsidRPr="004536BC">
              <w:rPr>
                <w:rFonts w:eastAsia="MS Mincho"/>
                <w:b/>
                <w:bCs/>
              </w:rPr>
              <w:t>0.26</w:t>
            </w:r>
          </w:p>
          <w:p w:rsidR="0049176A" w:rsidRPr="004536BC" w:rsidRDefault="00F01A49" w:rsidP="007C4A70">
            <w:pPr>
              <w:pStyle w:val="Tablewriting"/>
              <w:jc w:val="center"/>
              <w:rPr>
                <w:rFonts w:eastAsia="MS Mincho"/>
                <w:b/>
              </w:rPr>
            </w:pPr>
            <w:r w:rsidRPr="004536BC">
              <w:rPr>
                <w:rFonts w:eastAsia="MS Mincho"/>
                <w:b/>
                <w:bCs/>
              </w:rPr>
              <w:t>(0.20, 0.33)</w:t>
            </w:r>
          </w:p>
        </w:tc>
      </w:tr>
      <w:tr w:rsidR="00FD1A77" w:rsidRPr="00061F78" w:rsidTr="005346E0">
        <w:trPr>
          <w:cantSplit/>
          <w:trHeight w:val="99"/>
        </w:trPr>
        <w:tc>
          <w:tcPr>
            <w:tcW w:w="721" w:type="pct"/>
            <w:shd w:val="clear" w:color="auto" w:fill="D9D9D9" w:themeFill="background1" w:themeFillShade="D9"/>
            <w:tcMar>
              <w:left w:w="28" w:type="dxa"/>
              <w:right w:w="28" w:type="dxa"/>
            </w:tcMar>
          </w:tcPr>
          <w:p w:rsidR="00E1420A" w:rsidRDefault="003E100A" w:rsidP="007C4A70">
            <w:pPr>
              <w:pStyle w:val="Tablewriting"/>
              <w:rPr>
                <w:rFonts w:eastAsia="MS Mincho"/>
              </w:rPr>
            </w:pPr>
            <w:r>
              <w:rPr>
                <w:rFonts w:eastAsia="MS Mincho"/>
              </w:rPr>
              <w:t xml:space="preserve">Rigotti </w:t>
            </w:r>
          </w:p>
          <w:p w:rsidR="0049176A" w:rsidRDefault="003E100A" w:rsidP="007C4A70">
            <w:pPr>
              <w:pStyle w:val="Tablewriting"/>
              <w:rPr>
                <w:rFonts w:eastAsia="MS Mincho"/>
              </w:rPr>
            </w:pPr>
            <w:r>
              <w:rPr>
                <w:rFonts w:eastAsia="MS Mincho"/>
              </w:rPr>
              <w:t>(2010)</w:t>
            </w:r>
            <w:r w:rsidR="00551EF3">
              <w:rPr>
                <w:rFonts w:eastAsia="MS Mincho"/>
                <w:vertAlign w:val="superscript"/>
              </w:rPr>
              <w:t>1</w:t>
            </w:r>
            <w:r>
              <w:rPr>
                <w:rFonts w:eastAsia="MS Mincho"/>
              </w:rPr>
              <w:t xml:space="preserve"> </w:t>
            </w:r>
          </w:p>
        </w:tc>
        <w:tc>
          <w:tcPr>
            <w:tcW w:w="920" w:type="pct"/>
            <w:shd w:val="clear" w:color="auto" w:fill="D9D9D9" w:themeFill="background1" w:themeFillShade="D9"/>
            <w:vAlign w:val="center"/>
          </w:tcPr>
          <w:p w:rsidR="0049176A" w:rsidRDefault="003E100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rsidR="003E100A" w:rsidRPr="007B3D7F" w:rsidRDefault="005D53F3" w:rsidP="007C4A70">
            <w:pPr>
              <w:pStyle w:val="Tablewriting"/>
              <w:jc w:val="center"/>
              <w:rPr>
                <w:rFonts w:eastAsia="MS Mincho"/>
                <w:vertAlign w:val="superscript"/>
              </w:rPr>
            </w:pPr>
            <w:r>
              <w:rPr>
                <w:rFonts w:eastAsia="MS Mincho"/>
              </w:rPr>
              <w:t>68/35</w:t>
            </w:r>
            <w:r w:rsidR="0098194E">
              <w:rPr>
                <w:rFonts w:eastAsia="MS Mincho"/>
              </w:rPr>
              <w:t>5</w:t>
            </w:r>
            <w:r w:rsidR="007B3D7F">
              <w:rPr>
                <w:rFonts w:eastAsia="MS Mincho"/>
                <w:vertAlign w:val="superscript"/>
              </w:rPr>
              <w:t>a</w:t>
            </w:r>
          </w:p>
          <w:p w:rsidR="0049176A" w:rsidRDefault="0098194E" w:rsidP="007C4A70">
            <w:pPr>
              <w:pStyle w:val="Tablewriting"/>
              <w:jc w:val="center"/>
              <w:rPr>
                <w:rFonts w:eastAsia="MS Mincho"/>
              </w:rPr>
            </w:pPr>
            <w:r>
              <w:rPr>
                <w:rFonts w:eastAsia="MS Mincho"/>
              </w:rPr>
              <w:t>(19.2%)</w:t>
            </w:r>
          </w:p>
        </w:tc>
        <w:tc>
          <w:tcPr>
            <w:tcW w:w="851" w:type="pct"/>
            <w:shd w:val="clear" w:color="auto" w:fill="D9D9D9" w:themeFill="background1" w:themeFillShade="D9"/>
            <w:tcMar>
              <w:left w:w="28" w:type="dxa"/>
              <w:right w:w="28" w:type="dxa"/>
            </w:tcMar>
            <w:vAlign w:val="center"/>
          </w:tcPr>
          <w:p w:rsidR="003E100A" w:rsidRPr="007B3D7F" w:rsidRDefault="0064723B" w:rsidP="007C4A70">
            <w:pPr>
              <w:pStyle w:val="Tablewriting"/>
              <w:jc w:val="center"/>
              <w:rPr>
                <w:rFonts w:eastAsia="MS Mincho"/>
                <w:vertAlign w:val="superscript"/>
              </w:rPr>
            </w:pPr>
            <w:r>
              <w:rPr>
                <w:rFonts w:eastAsia="MS Mincho"/>
              </w:rPr>
              <w:t>26/35</w:t>
            </w:r>
            <w:r w:rsidR="0098194E">
              <w:rPr>
                <w:rFonts w:eastAsia="MS Mincho"/>
              </w:rPr>
              <w:t>9</w:t>
            </w:r>
            <w:r w:rsidR="007B3D7F">
              <w:rPr>
                <w:rFonts w:eastAsia="MS Mincho"/>
                <w:vertAlign w:val="superscript"/>
              </w:rPr>
              <w:t>a</w:t>
            </w:r>
          </w:p>
          <w:p w:rsidR="0049176A" w:rsidRDefault="0098194E" w:rsidP="007C4A70">
            <w:pPr>
              <w:pStyle w:val="Tablewriting"/>
              <w:jc w:val="center"/>
              <w:rPr>
                <w:rFonts w:eastAsia="MS Mincho"/>
              </w:rPr>
            </w:pPr>
            <w:r>
              <w:rPr>
                <w:rFonts w:eastAsia="MS Mincho"/>
              </w:rPr>
              <w:t>(</w:t>
            </w:r>
            <w:r w:rsidR="00C93E82">
              <w:rPr>
                <w:rFonts w:eastAsia="MS Mincho"/>
              </w:rPr>
              <w:t>7.2%)</w:t>
            </w:r>
          </w:p>
        </w:tc>
        <w:tc>
          <w:tcPr>
            <w:tcW w:w="851" w:type="pct"/>
            <w:shd w:val="clear" w:color="auto" w:fill="D9D9D9" w:themeFill="background1" w:themeFillShade="D9"/>
            <w:tcMar>
              <w:left w:w="28" w:type="dxa"/>
              <w:right w:w="28" w:type="dxa"/>
            </w:tcMar>
            <w:vAlign w:val="center"/>
          </w:tcPr>
          <w:p w:rsidR="003E100A" w:rsidRPr="003D302F" w:rsidRDefault="003D302F" w:rsidP="007C4A70">
            <w:pPr>
              <w:pStyle w:val="Tablewriting"/>
              <w:jc w:val="center"/>
              <w:rPr>
                <w:rFonts w:eastAsia="MS Mincho"/>
                <w:b/>
                <w:bCs/>
              </w:rPr>
            </w:pPr>
            <w:r w:rsidRPr="003D302F">
              <w:rPr>
                <w:rFonts w:eastAsia="MS Mincho"/>
                <w:b/>
                <w:bCs/>
              </w:rPr>
              <w:t>2.64</w:t>
            </w:r>
          </w:p>
          <w:p w:rsidR="0049176A" w:rsidRPr="003D302F" w:rsidRDefault="003D302F" w:rsidP="007C4A70">
            <w:pPr>
              <w:pStyle w:val="Tablewriting"/>
              <w:jc w:val="center"/>
              <w:rPr>
                <w:rFonts w:eastAsia="MS Mincho"/>
                <w:b/>
              </w:rPr>
            </w:pPr>
            <w:r w:rsidRPr="003D302F">
              <w:rPr>
                <w:rFonts w:eastAsia="MS Mincho"/>
                <w:b/>
                <w:bCs/>
              </w:rPr>
              <w:t>(1.72, 4.06)</w:t>
            </w:r>
          </w:p>
        </w:tc>
        <w:tc>
          <w:tcPr>
            <w:tcW w:w="807" w:type="pct"/>
            <w:shd w:val="clear" w:color="auto" w:fill="D9D9D9" w:themeFill="background1" w:themeFillShade="D9"/>
            <w:vAlign w:val="center"/>
          </w:tcPr>
          <w:p w:rsidR="0049176A" w:rsidRPr="004536BC" w:rsidRDefault="006B2077" w:rsidP="007C4A70">
            <w:pPr>
              <w:pStyle w:val="Tablewriting"/>
              <w:jc w:val="center"/>
              <w:rPr>
                <w:rFonts w:eastAsia="MS Mincho"/>
                <w:b/>
                <w:bCs/>
              </w:rPr>
            </w:pPr>
            <w:r w:rsidRPr="004536BC">
              <w:rPr>
                <w:rFonts w:eastAsia="MS Mincho"/>
                <w:b/>
                <w:bCs/>
              </w:rPr>
              <w:t>0.12</w:t>
            </w:r>
          </w:p>
          <w:p w:rsidR="0049176A" w:rsidRPr="004536BC" w:rsidRDefault="006B2077" w:rsidP="007C4A70">
            <w:pPr>
              <w:pStyle w:val="Tablewriting"/>
              <w:jc w:val="center"/>
              <w:rPr>
                <w:rFonts w:eastAsia="MS Mincho"/>
                <w:b/>
              </w:rPr>
            </w:pPr>
            <w:r w:rsidRPr="004536BC">
              <w:rPr>
                <w:rFonts w:eastAsia="MS Mincho"/>
                <w:b/>
                <w:bCs/>
              </w:rPr>
              <w:t>(0.07, 0.17)</w:t>
            </w:r>
          </w:p>
        </w:tc>
      </w:tr>
      <w:tr w:rsidR="00FD1A77" w:rsidRPr="00061F78" w:rsidTr="005346E0">
        <w:trPr>
          <w:cantSplit/>
          <w:trHeight w:val="99"/>
        </w:trPr>
        <w:tc>
          <w:tcPr>
            <w:tcW w:w="721" w:type="pct"/>
            <w:shd w:val="clear" w:color="auto" w:fill="D9D9D9" w:themeFill="background1" w:themeFillShade="D9"/>
            <w:tcMar>
              <w:left w:w="28" w:type="dxa"/>
              <w:right w:w="28" w:type="dxa"/>
            </w:tcMar>
          </w:tcPr>
          <w:p w:rsidR="00E1420A" w:rsidRDefault="003E100A" w:rsidP="007C4A70">
            <w:pPr>
              <w:pStyle w:val="Tablewriting"/>
              <w:rPr>
                <w:rFonts w:eastAsia="MS Mincho"/>
              </w:rPr>
            </w:pPr>
            <w:r>
              <w:rPr>
                <w:rFonts w:eastAsia="MS Mincho"/>
              </w:rPr>
              <w:t xml:space="preserve">Tashkin </w:t>
            </w:r>
          </w:p>
          <w:p w:rsidR="0049176A" w:rsidRDefault="003E100A" w:rsidP="007C4A70">
            <w:pPr>
              <w:pStyle w:val="Tablewriting"/>
              <w:rPr>
                <w:rFonts w:eastAsia="MS Mincho"/>
              </w:rPr>
            </w:pPr>
            <w:r>
              <w:rPr>
                <w:rFonts w:eastAsia="MS Mincho"/>
              </w:rPr>
              <w:t>(2011)</w:t>
            </w:r>
            <w:r w:rsidR="00551EF3">
              <w:rPr>
                <w:rFonts w:eastAsia="MS Mincho"/>
                <w:vertAlign w:val="superscript"/>
              </w:rPr>
              <w:t>1</w:t>
            </w:r>
            <w:r>
              <w:rPr>
                <w:rFonts w:eastAsia="MS Mincho"/>
              </w:rPr>
              <w:t xml:space="preserve"> </w:t>
            </w:r>
          </w:p>
        </w:tc>
        <w:tc>
          <w:tcPr>
            <w:tcW w:w="920" w:type="pct"/>
            <w:shd w:val="clear" w:color="auto" w:fill="D9D9D9" w:themeFill="background1" w:themeFillShade="D9"/>
            <w:vAlign w:val="center"/>
          </w:tcPr>
          <w:p w:rsidR="0049176A" w:rsidRDefault="003E100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rsidR="0099608D" w:rsidRPr="007B3D7F" w:rsidRDefault="0099608D" w:rsidP="007C4A70">
            <w:pPr>
              <w:pStyle w:val="Tablewriting"/>
              <w:jc w:val="center"/>
              <w:rPr>
                <w:rFonts w:eastAsia="MS Mincho"/>
                <w:vertAlign w:val="superscript"/>
              </w:rPr>
            </w:pPr>
            <w:r>
              <w:rPr>
                <w:rFonts w:eastAsia="MS Mincho"/>
              </w:rPr>
              <w:t>46/250</w:t>
            </w:r>
            <w:r w:rsidR="007B3D7F">
              <w:rPr>
                <w:rFonts w:eastAsia="MS Mincho"/>
                <w:vertAlign w:val="superscript"/>
              </w:rPr>
              <w:t>a</w:t>
            </w:r>
          </w:p>
          <w:p w:rsidR="0049176A" w:rsidRDefault="0099608D" w:rsidP="007C4A70">
            <w:pPr>
              <w:pStyle w:val="Tablewriting"/>
              <w:jc w:val="center"/>
              <w:rPr>
                <w:rFonts w:eastAsia="MS Mincho"/>
              </w:rPr>
            </w:pPr>
            <w:r>
              <w:rPr>
                <w:rFonts w:eastAsia="MS Mincho"/>
              </w:rPr>
              <w:t>(</w:t>
            </w:r>
            <w:r w:rsidR="00D158FF">
              <w:rPr>
                <w:rFonts w:eastAsia="MS Mincho"/>
              </w:rPr>
              <w:t>18.4%)</w:t>
            </w:r>
          </w:p>
        </w:tc>
        <w:tc>
          <w:tcPr>
            <w:tcW w:w="851" w:type="pct"/>
            <w:shd w:val="clear" w:color="auto" w:fill="D9D9D9" w:themeFill="background1" w:themeFillShade="D9"/>
            <w:tcMar>
              <w:left w:w="28" w:type="dxa"/>
              <w:right w:w="28" w:type="dxa"/>
            </w:tcMar>
            <w:vAlign w:val="center"/>
          </w:tcPr>
          <w:p w:rsidR="003E100A" w:rsidRPr="007B3D7F" w:rsidRDefault="00D158FF" w:rsidP="007C4A70">
            <w:pPr>
              <w:pStyle w:val="Tablewriting"/>
              <w:jc w:val="center"/>
              <w:rPr>
                <w:rFonts w:eastAsia="MS Mincho"/>
                <w:vertAlign w:val="superscript"/>
              </w:rPr>
            </w:pPr>
            <w:r>
              <w:rPr>
                <w:rFonts w:eastAsia="MS Mincho"/>
              </w:rPr>
              <w:t>14/254</w:t>
            </w:r>
            <w:r w:rsidR="007B3D7F">
              <w:rPr>
                <w:rFonts w:eastAsia="MS Mincho"/>
                <w:vertAlign w:val="superscript"/>
              </w:rPr>
              <w:t>a</w:t>
            </w:r>
          </w:p>
          <w:p w:rsidR="0049176A" w:rsidRDefault="00D158FF" w:rsidP="007C4A70">
            <w:pPr>
              <w:pStyle w:val="Tablewriting"/>
              <w:jc w:val="center"/>
              <w:rPr>
                <w:rFonts w:eastAsia="MS Mincho"/>
              </w:rPr>
            </w:pPr>
            <w:r>
              <w:rPr>
                <w:rFonts w:eastAsia="MS Mincho"/>
              </w:rPr>
              <w:t>(5.5%)</w:t>
            </w:r>
          </w:p>
        </w:tc>
        <w:tc>
          <w:tcPr>
            <w:tcW w:w="851" w:type="pct"/>
            <w:shd w:val="clear" w:color="auto" w:fill="D9D9D9" w:themeFill="background1" w:themeFillShade="D9"/>
            <w:tcMar>
              <w:left w:w="28" w:type="dxa"/>
              <w:right w:w="28" w:type="dxa"/>
            </w:tcMar>
            <w:vAlign w:val="center"/>
          </w:tcPr>
          <w:p w:rsidR="003E100A" w:rsidRPr="003E1E58" w:rsidRDefault="003E1E58" w:rsidP="007C4A70">
            <w:pPr>
              <w:pStyle w:val="Tablewriting"/>
              <w:jc w:val="center"/>
              <w:rPr>
                <w:rFonts w:eastAsia="MS Mincho"/>
                <w:b/>
                <w:bCs/>
              </w:rPr>
            </w:pPr>
            <w:r w:rsidRPr="003E1E58">
              <w:rPr>
                <w:rFonts w:eastAsia="MS Mincho"/>
                <w:b/>
                <w:bCs/>
              </w:rPr>
              <w:t>3.34</w:t>
            </w:r>
          </w:p>
          <w:p w:rsidR="0049176A" w:rsidRDefault="003E1E58" w:rsidP="007C4A70">
            <w:pPr>
              <w:pStyle w:val="Tablewriting"/>
              <w:jc w:val="center"/>
              <w:rPr>
                <w:rFonts w:eastAsia="MS Mincho"/>
              </w:rPr>
            </w:pPr>
            <w:r w:rsidRPr="003E1E58">
              <w:rPr>
                <w:rFonts w:eastAsia="MS Mincho"/>
                <w:b/>
                <w:bCs/>
              </w:rPr>
              <w:t>(1.88, 5.92)</w:t>
            </w:r>
          </w:p>
        </w:tc>
        <w:tc>
          <w:tcPr>
            <w:tcW w:w="807" w:type="pct"/>
            <w:shd w:val="clear" w:color="auto" w:fill="D9D9D9" w:themeFill="background1" w:themeFillShade="D9"/>
            <w:vAlign w:val="center"/>
          </w:tcPr>
          <w:p w:rsidR="0049176A" w:rsidRPr="004536BC" w:rsidRDefault="00AE0F85" w:rsidP="007C4A70">
            <w:pPr>
              <w:pStyle w:val="Tablewriting"/>
              <w:jc w:val="center"/>
              <w:rPr>
                <w:rFonts w:eastAsia="MS Mincho"/>
                <w:b/>
                <w:bCs/>
              </w:rPr>
            </w:pPr>
            <w:r w:rsidRPr="004536BC">
              <w:rPr>
                <w:rFonts w:eastAsia="MS Mincho"/>
                <w:b/>
                <w:bCs/>
              </w:rPr>
              <w:t>0.13</w:t>
            </w:r>
          </w:p>
          <w:p w:rsidR="0049176A" w:rsidRPr="004536BC" w:rsidRDefault="00AE0F85" w:rsidP="007C4A70">
            <w:pPr>
              <w:pStyle w:val="Tablewriting"/>
              <w:jc w:val="center"/>
              <w:rPr>
                <w:rFonts w:eastAsia="MS Mincho"/>
                <w:b/>
              </w:rPr>
            </w:pPr>
            <w:r w:rsidRPr="004536BC">
              <w:rPr>
                <w:rFonts w:eastAsia="MS Mincho"/>
                <w:b/>
                <w:bCs/>
              </w:rPr>
              <w:t>(0.07, 0.18)</w:t>
            </w:r>
          </w:p>
        </w:tc>
      </w:tr>
      <w:tr w:rsidR="00FD1A77" w:rsidRPr="00061F78" w:rsidTr="005346E0">
        <w:trPr>
          <w:cantSplit/>
          <w:trHeight w:val="99"/>
        </w:trPr>
        <w:tc>
          <w:tcPr>
            <w:tcW w:w="721" w:type="pct"/>
            <w:shd w:val="clear" w:color="auto" w:fill="D9D9D9" w:themeFill="background1" w:themeFillShade="D9"/>
            <w:tcMar>
              <w:left w:w="28" w:type="dxa"/>
              <w:right w:w="28" w:type="dxa"/>
            </w:tcMar>
          </w:tcPr>
          <w:p w:rsidR="0049176A" w:rsidRPr="00D468CF" w:rsidRDefault="003E100A" w:rsidP="007C4A70">
            <w:pPr>
              <w:pStyle w:val="Tablewriting"/>
              <w:rPr>
                <w:rFonts w:eastAsia="MS Mincho"/>
                <w:vertAlign w:val="superscript"/>
              </w:rPr>
            </w:pPr>
            <w:r>
              <w:rPr>
                <w:rFonts w:eastAsia="MS Mincho"/>
              </w:rPr>
              <w:t>Rennard (2012)</w:t>
            </w:r>
            <w:r w:rsidR="00551EF3">
              <w:rPr>
                <w:rFonts w:eastAsia="MS Mincho"/>
                <w:vertAlign w:val="superscript"/>
              </w:rPr>
              <w:t>2</w:t>
            </w:r>
          </w:p>
        </w:tc>
        <w:tc>
          <w:tcPr>
            <w:tcW w:w="920" w:type="pct"/>
            <w:shd w:val="clear" w:color="auto" w:fill="D9D9D9" w:themeFill="background1" w:themeFillShade="D9"/>
            <w:vAlign w:val="center"/>
          </w:tcPr>
          <w:p w:rsidR="0049176A" w:rsidRDefault="0049176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rsidR="003E100A" w:rsidRDefault="005A76C1" w:rsidP="007C4A70">
            <w:pPr>
              <w:pStyle w:val="Tablewriting"/>
              <w:jc w:val="center"/>
              <w:rPr>
                <w:rFonts w:eastAsia="MS Mincho"/>
              </w:rPr>
            </w:pPr>
            <w:r>
              <w:rPr>
                <w:rFonts w:eastAsia="MS Mincho"/>
              </w:rPr>
              <w:t>171/493</w:t>
            </w:r>
          </w:p>
          <w:p w:rsidR="0049176A" w:rsidRDefault="005C520C" w:rsidP="007C4A70">
            <w:pPr>
              <w:pStyle w:val="Tablewriting"/>
              <w:jc w:val="center"/>
              <w:rPr>
                <w:rFonts w:eastAsia="MS Mincho"/>
              </w:rPr>
            </w:pPr>
            <w:r>
              <w:rPr>
                <w:rFonts w:eastAsia="MS Mincho"/>
              </w:rPr>
              <w:t>(34.7%)</w:t>
            </w:r>
          </w:p>
        </w:tc>
        <w:tc>
          <w:tcPr>
            <w:tcW w:w="851" w:type="pct"/>
            <w:shd w:val="clear" w:color="auto" w:fill="D9D9D9" w:themeFill="background1" w:themeFillShade="D9"/>
            <w:tcMar>
              <w:left w:w="28" w:type="dxa"/>
              <w:right w:w="28" w:type="dxa"/>
            </w:tcMar>
            <w:vAlign w:val="center"/>
          </w:tcPr>
          <w:p w:rsidR="003E100A" w:rsidRDefault="000C255A" w:rsidP="007C4A70">
            <w:pPr>
              <w:pStyle w:val="Tablewriting"/>
              <w:jc w:val="center"/>
              <w:rPr>
                <w:rFonts w:eastAsia="MS Mincho"/>
              </w:rPr>
            </w:pPr>
            <w:r>
              <w:rPr>
                <w:rFonts w:eastAsia="MS Mincho"/>
              </w:rPr>
              <w:t>21/166</w:t>
            </w:r>
          </w:p>
          <w:p w:rsidR="0049176A" w:rsidRDefault="009277BB" w:rsidP="007C4A70">
            <w:pPr>
              <w:pStyle w:val="Tablewriting"/>
              <w:jc w:val="center"/>
              <w:rPr>
                <w:rFonts w:eastAsia="MS Mincho"/>
              </w:rPr>
            </w:pPr>
            <w:r>
              <w:rPr>
                <w:rFonts w:eastAsia="MS Mincho"/>
              </w:rPr>
              <w:t>(12.7%)</w:t>
            </w:r>
          </w:p>
        </w:tc>
        <w:tc>
          <w:tcPr>
            <w:tcW w:w="851" w:type="pct"/>
            <w:shd w:val="clear" w:color="auto" w:fill="D9D9D9" w:themeFill="background1" w:themeFillShade="D9"/>
            <w:tcMar>
              <w:left w:w="28" w:type="dxa"/>
              <w:right w:w="28" w:type="dxa"/>
            </w:tcMar>
            <w:vAlign w:val="center"/>
          </w:tcPr>
          <w:p w:rsidR="003E100A" w:rsidRPr="00DF721E" w:rsidRDefault="00DF721E" w:rsidP="007C4A70">
            <w:pPr>
              <w:pStyle w:val="Tablewriting"/>
              <w:jc w:val="center"/>
              <w:rPr>
                <w:rFonts w:eastAsia="MS Mincho"/>
                <w:b/>
                <w:bCs/>
              </w:rPr>
            </w:pPr>
            <w:r w:rsidRPr="00DF721E">
              <w:rPr>
                <w:rFonts w:eastAsia="MS Mincho"/>
                <w:b/>
                <w:bCs/>
              </w:rPr>
              <w:t>2.74</w:t>
            </w:r>
          </w:p>
          <w:p w:rsidR="0049176A" w:rsidRPr="00061F78" w:rsidRDefault="00DF721E" w:rsidP="007C4A70">
            <w:pPr>
              <w:pStyle w:val="Tablewriting"/>
              <w:jc w:val="center"/>
              <w:rPr>
                <w:rFonts w:eastAsia="MS Mincho"/>
              </w:rPr>
            </w:pPr>
            <w:r w:rsidRPr="00DF721E">
              <w:rPr>
                <w:rFonts w:eastAsia="MS Mincho"/>
                <w:b/>
                <w:bCs/>
              </w:rPr>
              <w:t>(1.81, 4.16)</w:t>
            </w:r>
          </w:p>
        </w:tc>
        <w:tc>
          <w:tcPr>
            <w:tcW w:w="807" w:type="pct"/>
            <w:shd w:val="clear" w:color="auto" w:fill="D9D9D9" w:themeFill="background1" w:themeFillShade="D9"/>
            <w:vAlign w:val="center"/>
          </w:tcPr>
          <w:p w:rsidR="0049176A" w:rsidRPr="004536BC" w:rsidRDefault="002B32DE" w:rsidP="007C4A70">
            <w:pPr>
              <w:pStyle w:val="Tablewriting"/>
              <w:jc w:val="center"/>
              <w:rPr>
                <w:rFonts w:eastAsia="MS Mincho"/>
                <w:b/>
                <w:bCs/>
              </w:rPr>
            </w:pPr>
            <w:r w:rsidRPr="004536BC">
              <w:rPr>
                <w:rFonts w:eastAsia="MS Mincho"/>
                <w:b/>
                <w:bCs/>
              </w:rPr>
              <w:t>0.22</w:t>
            </w:r>
          </w:p>
          <w:p w:rsidR="0049176A" w:rsidRPr="004536BC" w:rsidRDefault="002B32DE" w:rsidP="007C4A70">
            <w:pPr>
              <w:pStyle w:val="Tablewriting"/>
              <w:jc w:val="center"/>
              <w:rPr>
                <w:rFonts w:eastAsia="MS Mincho"/>
                <w:b/>
              </w:rPr>
            </w:pPr>
            <w:r w:rsidRPr="004536BC">
              <w:rPr>
                <w:rFonts w:eastAsia="MS Mincho"/>
                <w:b/>
                <w:bCs/>
              </w:rPr>
              <w:t>(0.15, 0.29)</w:t>
            </w:r>
          </w:p>
        </w:tc>
      </w:tr>
      <w:tr w:rsidR="00FD1A77" w:rsidRPr="00061F78" w:rsidTr="005346E0">
        <w:trPr>
          <w:cantSplit/>
          <w:trHeight w:val="99"/>
        </w:trPr>
        <w:tc>
          <w:tcPr>
            <w:tcW w:w="721" w:type="pct"/>
            <w:shd w:val="clear" w:color="auto" w:fill="D9D9D9" w:themeFill="background1" w:themeFillShade="D9"/>
            <w:tcMar>
              <w:left w:w="28" w:type="dxa"/>
              <w:right w:w="28" w:type="dxa"/>
            </w:tcMar>
          </w:tcPr>
          <w:p w:rsidR="0049176A" w:rsidRPr="00D468CF" w:rsidRDefault="003E100A" w:rsidP="007C4A70">
            <w:pPr>
              <w:pStyle w:val="Tablewriting"/>
              <w:rPr>
                <w:rFonts w:eastAsia="MS Mincho"/>
                <w:vertAlign w:val="superscript"/>
              </w:rPr>
            </w:pPr>
            <w:r>
              <w:rPr>
                <w:rFonts w:eastAsia="MS Mincho"/>
              </w:rPr>
              <w:t>Anthenelli (EAGLES, 2016)</w:t>
            </w:r>
            <w:r w:rsidR="00551EF3">
              <w:rPr>
                <w:rFonts w:eastAsia="MS Mincho"/>
                <w:vertAlign w:val="superscript"/>
              </w:rPr>
              <w:t>2</w:t>
            </w:r>
          </w:p>
        </w:tc>
        <w:tc>
          <w:tcPr>
            <w:tcW w:w="920" w:type="pct"/>
            <w:shd w:val="clear" w:color="auto" w:fill="D9D9D9" w:themeFill="background1" w:themeFillShade="D9"/>
            <w:vAlign w:val="center"/>
          </w:tcPr>
          <w:p w:rsidR="0049176A" w:rsidRDefault="0049176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rsidR="003E100A" w:rsidRPr="007B3D7F" w:rsidRDefault="006565DF" w:rsidP="007C4A70">
            <w:pPr>
              <w:pStyle w:val="Tablewriting"/>
              <w:jc w:val="center"/>
              <w:rPr>
                <w:rFonts w:eastAsia="MS Mincho"/>
                <w:vertAlign w:val="superscript"/>
              </w:rPr>
            </w:pPr>
            <w:r>
              <w:rPr>
                <w:rFonts w:eastAsia="MS Mincho"/>
              </w:rPr>
              <w:t>44</w:t>
            </w:r>
            <w:r w:rsidR="00CE0B28">
              <w:rPr>
                <w:rFonts w:eastAsia="MS Mincho"/>
              </w:rPr>
              <w:t>5</w:t>
            </w:r>
            <w:r>
              <w:rPr>
                <w:rFonts w:eastAsia="MS Mincho"/>
              </w:rPr>
              <w:t>/2,037</w:t>
            </w:r>
            <w:r w:rsidR="007B3D7F">
              <w:rPr>
                <w:rFonts w:eastAsia="MS Mincho"/>
                <w:vertAlign w:val="superscript"/>
              </w:rPr>
              <w:t>a</w:t>
            </w:r>
          </w:p>
          <w:p w:rsidR="0049176A" w:rsidRPr="00061F78" w:rsidRDefault="00B0676E" w:rsidP="007C4A70">
            <w:pPr>
              <w:pStyle w:val="Tablewriting"/>
              <w:jc w:val="center"/>
              <w:rPr>
                <w:rFonts w:eastAsia="MS Mincho"/>
              </w:rPr>
            </w:pPr>
            <w:r>
              <w:rPr>
                <w:rFonts w:eastAsia="MS Mincho"/>
              </w:rPr>
              <w:t>(21.8%)</w:t>
            </w:r>
          </w:p>
        </w:tc>
        <w:tc>
          <w:tcPr>
            <w:tcW w:w="851" w:type="pct"/>
            <w:shd w:val="clear" w:color="auto" w:fill="D9D9D9" w:themeFill="background1" w:themeFillShade="D9"/>
            <w:tcMar>
              <w:left w:w="28" w:type="dxa"/>
              <w:right w:w="28" w:type="dxa"/>
            </w:tcMar>
            <w:vAlign w:val="center"/>
          </w:tcPr>
          <w:p w:rsidR="003E100A" w:rsidRPr="007B3D7F" w:rsidRDefault="00FD3ADC" w:rsidP="007C4A70">
            <w:pPr>
              <w:pStyle w:val="Tablewriting"/>
              <w:jc w:val="center"/>
              <w:rPr>
                <w:rFonts w:eastAsia="MS Mincho"/>
                <w:vertAlign w:val="superscript"/>
              </w:rPr>
            </w:pPr>
            <w:r>
              <w:rPr>
                <w:rFonts w:eastAsia="MS Mincho"/>
              </w:rPr>
              <w:t>191/2,035</w:t>
            </w:r>
            <w:r w:rsidR="007B3D7F">
              <w:rPr>
                <w:rFonts w:eastAsia="MS Mincho"/>
                <w:vertAlign w:val="superscript"/>
              </w:rPr>
              <w:t>a</w:t>
            </w:r>
          </w:p>
          <w:p w:rsidR="0049176A" w:rsidRPr="00061F78" w:rsidRDefault="00C02D38" w:rsidP="007C4A70">
            <w:pPr>
              <w:pStyle w:val="Tablewriting"/>
              <w:jc w:val="center"/>
              <w:rPr>
                <w:rFonts w:eastAsia="MS Mincho"/>
              </w:rPr>
            </w:pPr>
            <w:r>
              <w:rPr>
                <w:rFonts w:eastAsia="MS Mincho"/>
              </w:rPr>
              <w:t>(</w:t>
            </w:r>
            <w:r w:rsidR="0049176A">
              <w:rPr>
                <w:rFonts w:eastAsia="MS Mincho"/>
              </w:rPr>
              <w:t>9</w:t>
            </w:r>
            <w:r>
              <w:rPr>
                <w:rFonts w:eastAsia="MS Mincho"/>
              </w:rPr>
              <w:t>.</w:t>
            </w:r>
            <w:r w:rsidR="00553E24">
              <w:rPr>
                <w:rFonts w:eastAsia="MS Mincho"/>
              </w:rPr>
              <w:t>4</w:t>
            </w:r>
            <w:r w:rsidR="0049176A">
              <w:rPr>
                <w:rFonts w:eastAsia="MS Mincho"/>
              </w:rPr>
              <w:t>%)</w:t>
            </w:r>
          </w:p>
        </w:tc>
        <w:tc>
          <w:tcPr>
            <w:tcW w:w="851" w:type="pct"/>
            <w:shd w:val="clear" w:color="auto" w:fill="D9D9D9" w:themeFill="background1" w:themeFillShade="D9"/>
            <w:tcMar>
              <w:left w:w="28" w:type="dxa"/>
              <w:right w:w="28" w:type="dxa"/>
            </w:tcMar>
            <w:vAlign w:val="center"/>
          </w:tcPr>
          <w:p w:rsidR="003E100A" w:rsidRPr="00317F93" w:rsidRDefault="008F45E4" w:rsidP="007C4A70">
            <w:pPr>
              <w:pStyle w:val="Tablewriting"/>
              <w:jc w:val="center"/>
              <w:rPr>
                <w:rFonts w:eastAsia="MS Mincho"/>
                <w:b/>
              </w:rPr>
            </w:pPr>
            <w:r w:rsidRPr="00317F93">
              <w:rPr>
                <w:rFonts w:eastAsia="MS Mincho"/>
                <w:b/>
              </w:rPr>
              <w:t>2.3</w:t>
            </w:r>
            <w:r w:rsidR="00317F93" w:rsidRPr="00317F93">
              <w:rPr>
                <w:rFonts w:eastAsia="MS Mincho"/>
                <w:b/>
              </w:rPr>
              <w:t>3</w:t>
            </w:r>
          </w:p>
          <w:p w:rsidR="0049176A" w:rsidRPr="00061F78" w:rsidRDefault="008F45E4" w:rsidP="007C4A70">
            <w:pPr>
              <w:pStyle w:val="Tablewriting"/>
              <w:jc w:val="center"/>
              <w:rPr>
                <w:rFonts w:eastAsia="MS Mincho"/>
              </w:rPr>
            </w:pPr>
            <w:r w:rsidRPr="00317F93">
              <w:rPr>
                <w:rFonts w:eastAsia="MS Mincho"/>
                <w:b/>
              </w:rPr>
              <w:t>(1.98, 2.7</w:t>
            </w:r>
            <w:r w:rsidR="00317F93" w:rsidRPr="00317F93">
              <w:rPr>
                <w:rFonts w:eastAsia="MS Mincho"/>
                <w:b/>
              </w:rPr>
              <w:t>3</w:t>
            </w:r>
            <w:r w:rsidRPr="00317F93">
              <w:rPr>
                <w:rFonts w:eastAsia="MS Mincho"/>
                <w:b/>
              </w:rPr>
              <w:t>)</w:t>
            </w:r>
          </w:p>
        </w:tc>
        <w:tc>
          <w:tcPr>
            <w:tcW w:w="807" w:type="pct"/>
            <w:shd w:val="clear" w:color="auto" w:fill="D9D9D9" w:themeFill="background1" w:themeFillShade="D9"/>
            <w:vAlign w:val="center"/>
          </w:tcPr>
          <w:p w:rsidR="0049176A" w:rsidRPr="004536BC" w:rsidRDefault="002B32DE" w:rsidP="007C4A70">
            <w:pPr>
              <w:pStyle w:val="Tablewriting"/>
              <w:jc w:val="center"/>
              <w:rPr>
                <w:rFonts w:eastAsia="MS Mincho"/>
                <w:b/>
                <w:bCs/>
              </w:rPr>
            </w:pPr>
            <w:r w:rsidRPr="004536BC">
              <w:rPr>
                <w:rFonts w:eastAsia="MS Mincho"/>
                <w:b/>
                <w:bCs/>
              </w:rPr>
              <w:t>0.12</w:t>
            </w:r>
          </w:p>
          <w:p w:rsidR="0049176A" w:rsidRPr="004536BC" w:rsidRDefault="002B32DE" w:rsidP="007C4A70">
            <w:pPr>
              <w:pStyle w:val="Tablewriting"/>
              <w:jc w:val="center"/>
              <w:rPr>
                <w:rFonts w:eastAsia="MS Mincho"/>
                <w:b/>
              </w:rPr>
            </w:pPr>
            <w:r w:rsidRPr="004536BC">
              <w:rPr>
                <w:rFonts w:eastAsia="MS Mincho"/>
                <w:b/>
                <w:bCs/>
              </w:rPr>
              <w:t>(0.10, 0.15)</w:t>
            </w:r>
          </w:p>
        </w:tc>
      </w:tr>
      <w:tr w:rsidR="0049176A" w:rsidRPr="00061F78" w:rsidTr="009902FA">
        <w:trPr>
          <w:cantSplit/>
          <w:trHeight w:val="149"/>
        </w:trPr>
        <w:tc>
          <w:tcPr>
            <w:tcW w:w="721" w:type="pct"/>
            <w:tcMar>
              <w:left w:w="28" w:type="dxa"/>
              <w:right w:w="28" w:type="dxa"/>
            </w:tcMar>
          </w:tcPr>
          <w:p w:rsidR="0049176A" w:rsidRPr="00D468CF" w:rsidRDefault="003E100A" w:rsidP="007C4A70">
            <w:pPr>
              <w:pStyle w:val="Tablewriting"/>
              <w:rPr>
                <w:rFonts w:eastAsia="MS Mincho"/>
                <w:vertAlign w:val="superscript"/>
              </w:rPr>
            </w:pPr>
            <w:r>
              <w:rPr>
                <w:rFonts w:eastAsia="MS Mincho"/>
              </w:rPr>
              <w:t>Cahill (2016)</w:t>
            </w:r>
            <w:r w:rsidR="00551EF3">
              <w:rPr>
                <w:rFonts w:eastAsia="MS Mincho"/>
                <w:vertAlign w:val="superscript"/>
              </w:rPr>
              <w:t>3</w:t>
            </w:r>
            <w:r w:rsidR="009902FA">
              <w:rPr>
                <w:rFonts w:eastAsia="MS Mincho"/>
                <w:vertAlign w:val="superscript"/>
              </w:rPr>
              <w:t>,4</w:t>
            </w:r>
          </w:p>
        </w:tc>
        <w:tc>
          <w:tcPr>
            <w:tcW w:w="920" w:type="pct"/>
            <w:vAlign w:val="center"/>
          </w:tcPr>
          <w:p w:rsidR="0049176A" w:rsidRDefault="0049176A" w:rsidP="007C4A70">
            <w:pPr>
              <w:pStyle w:val="Tablewriting"/>
              <w:jc w:val="center"/>
              <w:rPr>
                <w:rFonts w:eastAsia="MS Mincho"/>
              </w:rPr>
            </w:pPr>
            <w:r>
              <w:rPr>
                <w:rFonts w:eastAsia="MS Mincho"/>
              </w:rPr>
              <w:t>Cochrane Review (</w:t>
            </w:r>
            <w:r w:rsidR="003E100A">
              <w:rPr>
                <w:rFonts w:eastAsia="MS Mincho"/>
              </w:rPr>
              <w:t>27</w:t>
            </w:r>
            <w:r>
              <w:rPr>
                <w:rFonts w:eastAsia="MS Mincho"/>
              </w:rPr>
              <w:t xml:space="preserve"> RCTs)</w:t>
            </w:r>
          </w:p>
        </w:tc>
        <w:tc>
          <w:tcPr>
            <w:tcW w:w="850" w:type="pct"/>
            <w:shd w:val="clear" w:color="auto" w:fill="auto"/>
            <w:tcMar>
              <w:left w:w="28" w:type="dxa"/>
              <w:right w:w="28" w:type="dxa"/>
            </w:tcMar>
            <w:vAlign w:val="center"/>
          </w:tcPr>
          <w:p w:rsidR="0049176A" w:rsidRPr="009902FA" w:rsidRDefault="00E1420A" w:rsidP="007C4A70">
            <w:pPr>
              <w:pStyle w:val="Tablewriting"/>
              <w:jc w:val="center"/>
              <w:rPr>
                <w:rFonts w:eastAsia="MS Mincho"/>
              </w:rPr>
            </w:pPr>
            <w:r w:rsidRPr="009902FA">
              <w:rPr>
                <w:rFonts w:eastAsia="MS Mincho"/>
              </w:rPr>
              <w:t>1</w:t>
            </w:r>
            <w:r w:rsidR="006D6595" w:rsidRPr="009902FA">
              <w:rPr>
                <w:rFonts w:eastAsia="MS Mincho"/>
              </w:rPr>
              <w:t>,</w:t>
            </w:r>
            <w:r w:rsidRPr="009902FA">
              <w:rPr>
                <w:rFonts w:eastAsia="MS Mincho"/>
              </w:rPr>
              <w:t>695/6</w:t>
            </w:r>
            <w:r w:rsidR="00C775DF" w:rsidRPr="009902FA">
              <w:rPr>
                <w:rFonts w:eastAsia="MS Mincho"/>
              </w:rPr>
              <w:t>,</w:t>
            </w:r>
            <w:r w:rsidRPr="009902FA">
              <w:rPr>
                <w:rFonts w:eastAsia="MS Mincho"/>
              </w:rPr>
              <w:t xml:space="preserve">632 </w:t>
            </w:r>
          </w:p>
          <w:p w:rsidR="0049176A" w:rsidRPr="009902FA" w:rsidRDefault="0049176A" w:rsidP="007C4A70">
            <w:pPr>
              <w:pStyle w:val="Tablewriting"/>
              <w:jc w:val="center"/>
              <w:rPr>
                <w:rFonts w:eastAsia="MS Mincho"/>
              </w:rPr>
            </w:pPr>
            <w:r w:rsidRPr="009902FA">
              <w:rPr>
                <w:rFonts w:eastAsia="MS Mincho"/>
              </w:rPr>
              <w:t>(</w:t>
            </w:r>
            <w:r w:rsidR="00ED13FE" w:rsidRPr="009902FA">
              <w:rPr>
                <w:rFonts w:eastAsia="MS Mincho"/>
              </w:rPr>
              <w:t>25.6</w:t>
            </w:r>
            <w:r w:rsidRPr="009902FA">
              <w:rPr>
                <w:rFonts w:eastAsia="MS Mincho"/>
              </w:rPr>
              <w:t>%)</w:t>
            </w:r>
          </w:p>
        </w:tc>
        <w:tc>
          <w:tcPr>
            <w:tcW w:w="851" w:type="pct"/>
            <w:shd w:val="clear" w:color="auto" w:fill="auto"/>
            <w:tcMar>
              <w:left w:w="28" w:type="dxa"/>
              <w:right w:w="28" w:type="dxa"/>
            </w:tcMar>
            <w:vAlign w:val="center"/>
          </w:tcPr>
          <w:p w:rsidR="0049176A" w:rsidRPr="009902FA" w:rsidRDefault="00A81A3E" w:rsidP="007C4A70">
            <w:pPr>
              <w:pStyle w:val="Tablewriting"/>
              <w:jc w:val="center"/>
              <w:rPr>
                <w:rFonts w:eastAsia="MS Mincho"/>
              </w:rPr>
            </w:pPr>
            <w:r w:rsidRPr="009902FA">
              <w:rPr>
                <w:rFonts w:eastAsia="MS Mincho"/>
              </w:rPr>
              <w:t>668</w:t>
            </w:r>
            <w:r w:rsidR="003E100A" w:rsidRPr="009902FA">
              <w:rPr>
                <w:rFonts w:eastAsia="MS Mincho"/>
              </w:rPr>
              <w:t>/</w:t>
            </w:r>
            <w:r w:rsidR="00E1420A" w:rsidRPr="009902FA">
              <w:rPr>
                <w:rFonts w:eastAsia="MS Mincho"/>
              </w:rPr>
              <w:t>5</w:t>
            </w:r>
            <w:r w:rsidR="00C775DF" w:rsidRPr="009902FA">
              <w:rPr>
                <w:rFonts w:eastAsia="MS Mincho"/>
              </w:rPr>
              <w:t>,</w:t>
            </w:r>
            <w:r w:rsidR="00E1420A" w:rsidRPr="009902FA">
              <w:rPr>
                <w:rFonts w:eastAsia="MS Mincho"/>
              </w:rPr>
              <w:t>993</w:t>
            </w:r>
            <w:r w:rsidR="003E100A" w:rsidRPr="009902FA">
              <w:rPr>
                <w:rFonts w:eastAsia="MS Mincho"/>
              </w:rPr>
              <w:t xml:space="preserve"> </w:t>
            </w:r>
          </w:p>
          <w:p w:rsidR="0049176A" w:rsidRPr="009902FA" w:rsidRDefault="0049176A" w:rsidP="007C4A70">
            <w:pPr>
              <w:pStyle w:val="Tablewriting"/>
              <w:jc w:val="center"/>
              <w:rPr>
                <w:rFonts w:eastAsia="MS Mincho"/>
              </w:rPr>
            </w:pPr>
            <w:r w:rsidRPr="009902FA">
              <w:rPr>
                <w:rFonts w:eastAsia="MS Mincho"/>
              </w:rPr>
              <w:t>(11.</w:t>
            </w:r>
            <w:r w:rsidR="009B060D" w:rsidRPr="009902FA">
              <w:rPr>
                <w:rFonts w:eastAsia="MS Mincho"/>
              </w:rPr>
              <w:t>1</w:t>
            </w:r>
            <w:r w:rsidRPr="009902FA">
              <w:rPr>
                <w:rFonts w:eastAsia="MS Mincho"/>
              </w:rPr>
              <w:t>%)</w:t>
            </w:r>
          </w:p>
        </w:tc>
        <w:tc>
          <w:tcPr>
            <w:tcW w:w="851" w:type="pct"/>
            <w:shd w:val="clear" w:color="auto" w:fill="auto"/>
            <w:tcMar>
              <w:left w:w="28" w:type="dxa"/>
              <w:right w:w="28" w:type="dxa"/>
            </w:tcMar>
            <w:vAlign w:val="center"/>
          </w:tcPr>
          <w:p w:rsidR="0049176A" w:rsidRPr="009902FA" w:rsidRDefault="009B060D" w:rsidP="007C4A70">
            <w:pPr>
              <w:pStyle w:val="Tablewriting"/>
              <w:jc w:val="center"/>
              <w:rPr>
                <w:rFonts w:eastAsia="MS Mincho"/>
                <w:b/>
                <w:vertAlign w:val="superscript"/>
              </w:rPr>
            </w:pPr>
            <w:r w:rsidRPr="009902FA">
              <w:rPr>
                <w:rFonts w:eastAsia="MS Mincho"/>
                <w:b/>
              </w:rPr>
              <w:t>2.24</w:t>
            </w:r>
          </w:p>
          <w:p w:rsidR="0049176A" w:rsidRPr="009902FA" w:rsidRDefault="003E100A" w:rsidP="007C4A70">
            <w:pPr>
              <w:pStyle w:val="Tablewriting"/>
              <w:jc w:val="center"/>
              <w:rPr>
                <w:rFonts w:eastAsia="MS Mincho"/>
              </w:rPr>
            </w:pPr>
            <w:r w:rsidRPr="009902FA">
              <w:rPr>
                <w:rFonts w:eastAsia="MS Mincho"/>
                <w:b/>
              </w:rPr>
              <w:t>(</w:t>
            </w:r>
            <w:r w:rsidR="009B060D" w:rsidRPr="009902FA">
              <w:rPr>
                <w:rFonts w:eastAsia="MS Mincho"/>
                <w:b/>
              </w:rPr>
              <w:t>2.06</w:t>
            </w:r>
            <w:r w:rsidRPr="009902FA">
              <w:rPr>
                <w:rFonts w:eastAsia="MS Mincho"/>
                <w:b/>
              </w:rPr>
              <w:t xml:space="preserve">, </w:t>
            </w:r>
            <w:r w:rsidR="009B060D" w:rsidRPr="009902FA">
              <w:rPr>
                <w:rFonts w:eastAsia="MS Mincho"/>
                <w:b/>
              </w:rPr>
              <w:t>2.43</w:t>
            </w:r>
            <w:r w:rsidRPr="009902FA">
              <w:rPr>
                <w:rFonts w:eastAsia="MS Mincho"/>
                <w:b/>
              </w:rPr>
              <w:t>)</w:t>
            </w:r>
          </w:p>
        </w:tc>
        <w:tc>
          <w:tcPr>
            <w:tcW w:w="807" w:type="pct"/>
            <w:vAlign w:val="center"/>
          </w:tcPr>
          <w:p w:rsidR="0049176A" w:rsidRPr="00061F78" w:rsidRDefault="00E204C6" w:rsidP="007C4A70">
            <w:pPr>
              <w:pStyle w:val="Tablewriting"/>
              <w:jc w:val="center"/>
              <w:rPr>
                <w:rFonts w:eastAsia="MS Mincho"/>
              </w:rPr>
            </w:pPr>
            <w:r>
              <w:rPr>
                <w:rFonts w:eastAsia="MS Mincho"/>
              </w:rPr>
              <w:t>NR</w:t>
            </w:r>
          </w:p>
        </w:tc>
      </w:tr>
      <w:tr w:rsidR="00D91781" w:rsidRPr="00061F78" w:rsidTr="007E0ABC">
        <w:trPr>
          <w:cantSplit/>
          <w:trHeight w:val="149"/>
        </w:trPr>
        <w:tc>
          <w:tcPr>
            <w:tcW w:w="5000" w:type="pct"/>
            <w:gridSpan w:val="6"/>
            <w:shd w:val="clear" w:color="auto" w:fill="auto"/>
            <w:tcMar>
              <w:left w:w="28" w:type="dxa"/>
              <w:right w:w="28" w:type="dxa"/>
            </w:tcMar>
          </w:tcPr>
          <w:p w:rsidR="00D91781" w:rsidRPr="003954C8" w:rsidRDefault="00D91781" w:rsidP="007C4A70">
            <w:pPr>
              <w:pStyle w:val="Tablewriting"/>
              <w:rPr>
                <w:rFonts w:eastAsia="MS Mincho"/>
                <w:b/>
                <w:bCs/>
              </w:rPr>
            </w:pPr>
            <w:r w:rsidRPr="003954C8">
              <w:rPr>
                <w:rFonts w:eastAsia="MS Mincho"/>
                <w:b/>
                <w:bCs/>
              </w:rPr>
              <w:t>Meta</w:t>
            </w:r>
            <w:r w:rsidR="009E22A2" w:rsidRPr="003954C8">
              <w:rPr>
                <w:rFonts w:eastAsia="MS Mincho"/>
                <w:b/>
                <w:bCs/>
              </w:rPr>
              <w:t>-analysis of Cahill (2016)</w:t>
            </w:r>
            <w:r w:rsidR="00265429" w:rsidRPr="003954C8">
              <w:rPr>
                <w:rFonts w:eastAsia="MS Mincho"/>
                <w:b/>
                <w:bCs/>
                <w:vertAlign w:val="superscript"/>
              </w:rPr>
              <w:t>6</w:t>
            </w:r>
            <w:r w:rsidR="009E22A2" w:rsidRPr="003954C8">
              <w:rPr>
                <w:rFonts w:eastAsia="MS Mincho"/>
                <w:b/>
                <w:bCs/>
              </w:rPr>
              <w:t xml:space="preserve"> and </w:t>
            </w:r>
            <w:r w:rsidR="00017D9F" w:rsidRPr="003954C8">
              <w:rPr>
                <w:rFonts w:eastAsia="MS Mincho"/>
                <w:b/>
                <w:bCs/>
              </w:rPr>
              <w:t>six</w:t>
            </w:r>
            <w:r w:rsidR="009E22A2" w:rsidRPr="003954C8">
              <w:rPr>
                <w:rFonts w:eastAsia="MS Mincho"/>
                <w:b/>
                <w:bCs/>
              </w:rPr>
              <w:t xml:space="preserve"> RCTs</w:t>
            </w:r>
            <w:r w:rsidR="00B930E5">
              <w:rPr>
                <w:rFonts w:eastAsia="MS Mincho"/>
                <w:b/>
                <w:bCs/>
                <w:vertAlign w:val="superscript"/>
              </w:rPr>
              <w:t>7</w:t>
            </w:r>
            <w:r w:rsidR="009E22A2" w:rsidRPr="003954C8">
              <w:rPr>
                <w:rFonts w:eastAsia="MS Mincho"/>
                <w:b/>
                <w:bCs/>
              </w:rPr>
              <w:t xml:space="preserve"> (Lerman</w:t>
            </w:r>
            <w:r w:rsidR="009E22A2" w:rsidRPr="003954C8">
              <w:rPr>
                <w:b/>
                <w:bCs/>
              </w:rPr>
              <w:t xml:space="preserve"> </w:t>
            </w:r>
            <w:r w:rsidR="009E22A2" w:rsidRPr="003954C8">
              <w:rPr>
                <w:rFonts w:eastAsia="MS Mincho"/>
                <w:b/>
                <w:bCs/>
              </w:rPr>
              <w:t xml:space="preserve">2015, </w:t>
            </w:r>
            <w:r w:rsidR="00116768" w:rsidRPr="003954C8">
              <w:rPr>
                <w:rFonts w:eastAsia="MS Mincho"/>
                <w:b/>
                <w:bCs/>
              </w:rPr>
              <w:t xml:space="preserve">Littlewood 2017, </w:t>
            </w:r>
            <w:r w:rsidR="00FC2C78" w:rsidRPr="003954C8">
              <w:rPr>
                <w:rFonts w:eastAsia="MS Mincho"/>
                <w:b/>
                <w:bCs/>
              </w:rPr>
              <w:t xml:space="preserve">Mercie 2018, </w:t>
            </w:r>
            <w:r w:rsidR="009E22A2" w:rsidRPr="003954C8">
              <w:rPr>
                <w:rFonts w:eastAsia="MS Mincho"/>
                <w:b/>
                <w:bCs/>
              </w:rPr>
              <w:t>Windle 2018, Ashare 2019, Chen 2020)</w:t>
            </w:r>
          </w:p>
        </w:tc>
      </w:tr>
      <w:tr w:rsidR="000724FF" w:rsidRPr="00061F78" w:rsidTr="003A20FB">
        <w:trPr>
          <w:cantSplit/>
          <w:trHeight w:val="149"/>
        </w:trPr>
        <w:tc>
          <w:tcPr>
            <w:tcW w:w="721" w:type="pct"/>
            <w:tcMar>
              <w:left w:w="28" w:type="dxa"/>
              <w:right w:w="28" w:type="dxa"/>
            </w:tcMar>
          </w:tcPr>
          <w:p w:rsidR="007E0ABC" w:rsidRDefault="00523E7C" w:rsidP="007C4A70">
            <w:pPr>
              <w:pStyle w:val="Tablewriting"/>
              <w:rPr>
                <w:rFonts w:eastAsia="MS Mincho"/>
              </w:rPr>
            </w:pPr>
            <w:r>
              <w:rPr>
                <w:rFonts w:eastAsia="MS Mincho"/>
              </w:rPr>
              <w:t xml:space="preserve">Updated </w:t>
            </w:r>
          </w:p>
          <w:p w:rsidR="000724FF" w:rsidRPr="009902FA" w:rsidRDefault="00523E7C" w:rsidP="007C4A70">
            <w:pPr>
              <w:pStyle w:val="Tablewriting"/>
              <w:rPr>
                <w:rFonts w:eastAsia="MS Mincho"/>
                <w:vertAlign w:val="superscript"/>
              </w:rPr>
            </w:pPr>
            <w:r>
              <w:rPr>
                <w:rFonts w:eastAsia="MS Mincho"/>
              </w:rPr>
              <w:t>re-analysis</w:t>
            </w:r>
            <w:r w:rsidR="009902FA">
              <w:rPr>
                <w:rFonts w:eastAsia="MS Mincho"/>
                <w:vertAlign w:val="superscript"/>
              </w:rPr>
              <w:t>5</w:t>
            </w:r>
          </w:p>
        </w:tc>
        <w:tc>
          <w:tcPr>
            <w:tcW w:w="920" w:type="pct"/>
            <w:vAlign w:val="center"/>
          </w:tcPr>
          <w:p w:rsidR="000724FF" w:rsidRDefault="00523E7C" w:rsidP="007C4A70">
            <w:pPr>
              <w:pStyle w:val="Tablewriting"/>
              <w:jc w:val="center"/>
              <w:rPr>
                <w:rFonts w:eastAsia="MS Mincho"/>
              </w:rPr>
            </w:pPr>
            <w:r>
              <w:rPr>
                <w:rFonts w:eastAsia="MS Mincho"/>
              </w:rPr>
              <w:t>3</w:t>
            </w:r>
            <w:r w:rsidR="00EB44E9">
              <w:rPr>
                <w:rFonts w:eastAsia="MS Mincho"/>
              </w:rPr>
              <w:t>2</w:t>
            </w:r>
            <w:r>
              <w:rPr>
                <w:rFonts w:eastAsia="MS Mincho"/>
              </w:rPr>
              <w:t xml:space="preserve"> RCTs</w:t>
            </w:r>
          </w:p>
        </w:tc>
        <w:tc>
          <w:tcPr>
            <w:tcW w:w="850" w:type="pct"/>
            <w:tcMar>
              <w:left w:w="28" w:type="dxa"/>
              <w:right w:w="28" w:type="dxa"/>
            </w:tcMar>
            <w:vAlign w:val="center"/>
          </w:tcPr>
          <w:p w:rsidR="000724FF" w:rsidRPr="00B74639" w:rsidRDefault="00707705" w:rsidP="007C4A70">
            <w:pPr>
              <w:pStyle w:val="Tablewriting"/>
              <w:jc w:val="center"/>
              <w:rPr>
                <w:rFonts w:eastAsia="MS Mincho"/>
              </w:rPr>
            </w:pPr>
            <w:r w:rsidRPr="00B74639">
              <w:rPr>
                <w:rFonts w:eastAsia="MS Mincho"/>
              </w:rPr>
              <w:t>1,8</w:t>
            </w:r>
            <w:r w:rsidR="00185266">
              <w:rPr>
                <w:rFonts w:eastAsia="MS Mincho"/>
              </w:rPr>
              <w:t>4</w:t>
            </w:r>
            <w:r w:rsidR="00AD1C9C">
              <w:rPr>
                <w:rFonts w:eastAsia="MS Mincho"/>
              </w:rPr>
              <w:t>1</w:t>
            </w:r>
            <w:r w:rsidRPr="00B74639">
              <w:rPr>
                <w:rFonts w:eastAsia="MS Mincho"/>
              </w:rPr>
              <w:t>/7,</w:t>
            </w:r>
            <w:r w:rsidR="00185266">
              <w:rPr>
                <w:rFonts w:eastAsia="MS Mincho"/>
              </w:rPr>
              <w:t>667</w:t>
            </w:r>
          </w:p>
          <w:p w:rsidR="00707705" w:rsidRPr="00B74639" w:rsidRDefault="00707705" w:rsidP="007C4A70">
            <w:pPr>
              <w:pStyle w:val="Tablewriting"/>
              <w:jc w:val="center"/>
              <w:rPr>
                <w:rFonts w:eastAsia="MS Mincho"/>
              </w:rPr>
            </w:pPr>
            <w:r w:rsidRPr="00B74639">
              <w:rPr>
                <w:rFonts w:eastAsia="MS Mincho"/>
              </w:rPr>
              <w:t>(</w:t>
            </w:r>
            <w:r w:rsidR="00DB0818">
              <w:rPr>
                <w:rFonts w:eastAsia="MS Mincho"/>
              </w:rPr>
              <w:t>24.0</w:t>
            </w:r>
            <w:r w:rsidR="00DF7E87" w:rsidRPr="00B74639">
              <w:rPr>
                <w:rFonts w:eastAsia="MS Mincho"/>
              </w:rPr>
              <w:t>%</w:t>
            </w:r>
            <w:r w:rsidRPr="00B74639">
              <w:rPr>
                <w:rFonts w:eastAsia="MS Mincho"/>
              </w:rPr>
              <w:t>)</w:t>
            </w:r>
          </w:p>
        </w:tc>
        <w:tc>
          <w:tcPr>
            <w:tcW w:w="851" w:type="pct"/>
            <w:tcMar>
              <w:left w:w="28" w:type="dxa"/>
              <w:right w:w="28" w:type="dxa"/>
            </w:tcMar>
            <w:vAlign w:val="center"/>
          </w:tcPr>
          <w:p w:rsidR="000724FF" w:rsidRPr="00B74639" w:rsidRDefault="00116768" w:rsidP="007C4A70">
            <w:pPr>
              <w:pStyle w:val="Tablewriting"/>
              <w:jc w:val="center"/>
              <w:rPr>
                <w:rFonts w:eastAsia="MS Mincho"/>
              </w:rPr>
            </w:pPr>
            <w:r>
              <w:rPr>
                <w:rFonts w:eastAsia="MS Mincho"/>
              </w:rPr>
              <w:t>7</w:t>
            </w:r>
            <w:r w:rsidR="00185266">
              <w:rPr>
                <w:rFonts w:eastAsia="MS Mincho"/>
              </w:rPr>
              <w:t>40</w:t>
            </w:r>
            <w:r w:rsidR="00707705" w:rsidRPr="00B74639">
              <w:rPr>
                <w:rFonts w:eastAsia="MS Mincho"/>
              </w:rPr>
              <w:t>/6,</w:t>
            </w:r>
            <w:r w:rsidR="00185266">
              <w:rPr>
                <w:rFonts w:eastAsia="MS Mincho"/>
              </w:rPr>
              <w:t>951</w:t>
            </w:r>
          </w:p>
          <w:p w:rsidR="00707705" w:rsidRPr="00B74639" w:rsidRDefault="00707705" w:rsidP="007C4A70">
            <w:pPr>
              <w:pStyle w:val="Tablewriting"/>
              <w:jc w:val="center"/>
              <w:rPr>
                <w:rFonts w:eastAsia="MS Mincho"/>
              </w:rPr>
            </w:pPr>
            <w:r w:rsidRPr="00B74639">
              <w:rPr>
                <w:rFonts w:eastAsia="MS Mincho"/>
              </w:rPr>
              <w:t>(</w:t>
            </w:r>
            <w:r w:rsidR="00FF1CDB">
              <w:rPr>
                <w:rFonts w:eastAsia="MS Mincho"/>
              </w:rPr>
              <w:t>10.6</w:t>
            </w:r>
            <w:r w:rsidR="00B74639" w:rsidRPr="00B74639">
              <w:rPr>
                <w:rFonts w:eastAsia="MS Mincho"/>
              </w:rPr>
              <w:t>%</w:t>
            </w:r>
            <w:r w:rsidRPr="00B74639">
              <w:rPr>
                <w:rFonts w:eastAsia="MS Mincho"/>
              </w:rPr>
              <w:t>)</w:t>
            </w:r>
          </w:p>
        </w:tc>
        <w:tc>
          <w:tcPr>
            <w:tcW w:w="851" w:type="pct"/>
            <w:tcMar>
              <w:left w:w="28" w:type="dxa"/>
              <w:right w:w="28" w:type="dxa"/>
            </w:tcMar>
            <w:vAlign w:val="center"/>
          </w:tcPr>
          <w:p w:rsidR="000724FF" w:rsidRPr="00B74639" w:rsidRDefault="00707705" w:rsidP="007C4A70">
            <w:pPr>
              <w:pStyle w:val="Tablewriting"/>
              <w:jc w:val="center"/>
              <w:rPr>
                <w:rFonts w:eastAsia="MS Mincho"/>
                <w:b/>
                <w:bCs/>
              </w:rPr>
            </w:pPr>
            <w:r w:rsidRPr="00B74639">
              <w:rPr>
                <w:rFonts w:eastAsia="MS Mincho"/>
                <w:b/>
                <w:bCs/>
              </w:rPr>
              <w:t>2.1</w:t>
            </w:r>
            <w:r w:rsidR="00BB6846">
              <w:rPr>
                <w:rFonts w:eastAsia="MS Mincho"/>
                <w:b/>
                <w:bCs/>
              </w:rPr>
              <w:t>6</w:t>
            </w:r>
          </w:p>
          <w:p w:rsidR="00707705" w:rsidRPr="00B74639" w:rsidRDefault="00707705" w:rsidP="007C4A70">
            <w:pPr>
              <w:pStyle w:val="Tablewriting"/>
              <w:jc w:val="center"/>
              <w:rPr>
                <w:rFonts w:eastAsia="MS Mincho"/>
                <w:b/>
                <w:bCs/>
              </w:rPr>
            </w:pPr>
            <w:r w:rsidRPr="00B74639">
              <w:rPr>
                <w:rFonts w:eastAsia="MS Mincho"/>
                <w:b/>
                <w:bCs/>
              </w:rPr>
              <w:t>(1.8</w:t>
            </w:r>
            <w:r w:rsidR="004008D4">
              <w:rPr>
                <w:rFonts w:eastAsia="MS Mincho"/>
                <w:b/>
                <w:bCs/>
              </w:rPr>
              <w:t>8</w:t>
            </w:r>
            <w:r w:rsidRPr="00B74639">
              <w:rPr>
                <w:rFonts w:eastAsia="MS Mincho"/>
                <w:b/>
                <w:bCs/>
              </w:rPr>
              <w:t>, 2.4</w:t>
            </w:r>
            <w:r w:rsidR="004008D4">
              <w:rPr>
                <w:rFonts w:eastAsia="MS Mincho"/>
                <w:b/>
                <w:bCs/>
              </w:rPr>
              <w:t>8</w:t>
            </w:r>
            <w:r w:rsidRPr="00B74639">
              <w:rPr>
                <w:rFonts w:eastAsia="MS Mincho"/>
                <w:b/>
                <w:bCs/>
              </w:rPr>
              <w:t>)</w:t>
            </w:r>
          </w:p>
        </w:tc>
        <w:tc>
          <w:tcPr>
            <w:tcW w:w="807" w:type="pct"/>
            <w:vAlign w:val="center"/>
          </w:tcPr>
          <w:p w:rsidR="000724FF" w:rsidRPr="004536BC" w:rsidRDefault="00E204C6" w:rsidP="007C4A70">
            <w:pPr>
              <w:pStyle w:val="Tablewriting"/>
              <w:jc w:val="center"/>
              <w:rPr>
                <w:rFonts w:eastAsia="MS Mincho"/>
                <w:b/>
                <w:bCs/>
              </w:rPr>
            </w:pPr>
            <w:r w:rsidRPr="004536BC">
              <w:rPr>
                <w:rFonts w:eastAsia="MS Mincho"/>
                <w:b/>
                <w:bCs/>
              </w:rPr>
              <w:t>0.13</w:t>
            </w:r>
          </w:p>
          <w:p w:rsidR="00E204C6" w:rsidRPr="00061F78" w:rsidRDefault="00E204C6" w:rsidP="007C4A70">
            <w:pPr>
              <w:pStyle w:val="Tablewriting"/>
              <w:jc w:val="center"/>
              <w:rPr>
                <w:rFonts w:eastAsia="MS Mincho"/>
              </w:rPr>
            </w:pPr>
            <w:r w:rsidRPr="004536BC">
              <w:rPr>
                <w:rFonts w:eastAsia="MS Mincho"/>
                <w:b/>
                <w:bCs/>
              </w:rPr>
              <w:t>(0.1</w:t>
            </w:r>
            <w:r w:rsidR="004008D4">
              <w:rPr>
                <w:rFonts w:eastAsia="MS Mincho"/>
                <w:b/>
                <w:bCs/>
              </w:rPr>
              <w:t>0</w:t>
            </w:r>
            <w:r w:rsidRPr="004536BC">
              <w:rPr>
                <w:rFonts w:eastAsia="MS Mincho"/>
                <w:b/>
                <w:bCs/>
              </w:rPr>
              <w:t>, 0.15)</w:t>
            </w:r>
          </w:p>
        </w:tc>
      </w:tr>
    </w:tbl>
    <w:p w:rsidR="0049176A" w:rsidRDefault="0049176A" w:rsidP="007C4A70">
      <w:pPr>
        <w:pStyle w:val="TableFooter"/>
      </w:pPr>
      <w:r>
        <w:t xml:space="preserve">Source: </w:t>
      </w:r>
      <w:r w:rsidR="003E100A">
        <w:t>Cahill</w:t>
      </w:r>
      <w:r>
        <w:t xml:space="preserve"> et al. (20</w:t>
      </w:r>
      <w:r w:rsidR="003E100A">
        <w:t>16</w:t>
      </w:r>
      <w:r>
        <w:t>)</w:t>
      </w:r>
      <w:r w:rsidR="00A550C6">
        <w:t>,</w:t>
      </w:r>
      <w:r w:rsidR="00A550C6" w:rsidRPr="00A550C6">
        <w:rPr>
          <w:rFonts w:eastAsia="MS Mincho"/>
        </w:rPr>
        <w:t xml:space="preserve"> </w:t>
      </w:r>
      <w:r w:rsidR="00A550C6">
        <w:rPr>
          <w:rFonts w:eastAsia="MS Mincho"/>
        </w:rPr>
        <w:t>Lerman</w:t>
      </w:r>
      <w:r w:rsidR="00A550C6">
        <w:t xml:space="preserve"> et al. (</w:t>
      </w:r>
      <w:r w:rsidR="00A550C6" w:rsidRPr="009E22A2">
        <w:rPr>
          <w:rFonts w:eastAsia="MS Mincho"/>
        </w:rPr>
        <w:t>2015</w:t>
      </w:r>
      <w:r w:rsidR="00A550C6">
        <w:rPr>
          <w:rFonts w:eastAsia="MS Mincho"/>
        </w:rPr>
        <w:t>)</w:t>
      </w:r>
      <w:r w:rsidR="00A550C6" w:rsidRPr="009E22A2">
        <w:rPr>
          <w:rFonts w:eastAsia="MS Mincho"/>
        </w:rPr>
        <w:t>,</w:t>
      </w:r>
      <w:r w:rsidR="00A550C6">
        <w:rPr>
          <w:rFonts w:eastAsia="MS Mincho"/>
        </w:rPr>
        <w:t xml:space="preserve"> Littlewood et al. (2017),</w:t>
      </w:r>
      <w:r w:rsidR="00A550C6" w:rsidRPr="009E22A2">
        <w:rPr>
          <w:rFonts w:eastAsia="MS Mincho"/>
        </w:rPr>
        <w:t xml:space="preserve"> Hurt </w:t>
      </w:r>
      <w:r w:rsidR="00A550C6">
        <w:rPr>
          <w:rFonts w:eastAsia="MS Mincho"/>
        </w:rPr>
        <w:t>et al. (</w:t>
      </w:r>
      <w:r w:rsidR="00A550C6" w:rsidRPr="009E22A2">
        <w:rPr>
          <w:rFonts w:eastAsia="MS Mincho"/>
        </w:rPr>
        <w:t>2018</w:t>
      </w:r>
      <w:r w:rsidR="00A550C6">
        <w:rPr>
          <w:rFonts w:eastAsia="MS Mincho"/>
        </w:rPr>
        <w:t>)</w:t>
      </w:r>
      <w:r w:rsidR="00A550C6" w:rsidRPr="009E22A2">
        <w:rPr>
          <w:rFonts w:eastAsia="MS Mincho"/>
        </w:rPr>
        <w:t>,</w:t>
      </w:r>
      <w:r w:rsidR="00FC2C78">
        <w:rPr>
          <w:rFonts w:eastAsia="MS Mincho"/>
        </w:rPr>
        <w:t xml:space="preserve"> Mercie et al. (2018),</w:t>
      </w:r>
      <w:r w:rsidR="00A550C6" w:rsidRPr="009E22A2">
        <w:rPr>
          <w:rFonts w:eastAsia="MS Mincho"/>
        </w:rPr>
        <w:t xml:space="preserve"> Windle</w:t>
      </w:r>
      <w:r w:rsidR="00A550C6">
        <w:rPr>
          <w:rFonts w:eastAsia="MS Mincho"/>
        </w:rPr>
        <w:t xml:space="preserve"> et al. (</w:t>
      </w:r>
      <w:r w:rsidR="00A550C6" w:rsidRPr="009E22A2">
        <w:rPr>
          <w:rFonts w:eastAsia="MS Mincho"/>
        </w:rPr>
        <w:t>2018</w:t>
      </w:r>
      <w:r w:rsidR="00A550C6">
        <w:rPr>
          <w:rFonts w:eastAsia="MS Mincho"/>
        </w:rPr>
        <w:t>)</w:t>
      </w:r>
      <w:r w:rsidR="00A550C6" w:rsidRPr="009E22A2">
        <w:rPr>
          <w:rFonts w:eastAsia="MS Mincho"/>
        </w:rPr>
        <w:t xml:space="preserve">, Ashare </w:t>
      </w:r>
      <w:r w:rsidR="00A550C6">
        <w:rPr>
          <w:rFonts w:eastAsia="MS Mincho"/>
        </w:rPr>
        <w:t>et al. (</w:t>
      </w:r>
      <w:r w:rsidR="00A550C6" w:rsidRPr="009E22A2">
        <w:rPr>
          <w:rFonts w:eastAsia="MS Mincho"/>
        </w:rPr>
        <w:t>2019</w:t>
      </w:r>
      <w:r w:rsidR="00A550C6">
        <w:rPr>
          <w:rFonts w:eastAsia="MS Mincho"/>
        </w:rPr>
        <w:t>)</w:t>
      </w:r>
      <w:r w:rsidR="00A550C6" w:rsidRPr="009E22A2">
        <w:rPr>
          <w:rFonts w:eastAsia="MS Mincho"/>
        </w:rPr>
        <w:t xml:space="preserve">, Chen </w:t>
      </w:r>
      <w:r w:rsidR="00A550C6">
        <w:rPr>
          <w:rFonts w:eastAsia="MS Mincho"/>
        </w:rPr>
        <w:t>et al. (</w:t>
      </w:r>
      <w:r w:rsidR="00A550C6" w:rsidRPr="009E22A2">
        <w:rPr>
          <w:rFonts w:eastAsia="MS Mincho"/>
        </w:rPr>
        <w:t>2020</w:t>
      </w:r>
      <w:r w:rsidR="00A550C6">
        <w:rPr>
          <w:rFonts w:eastAsia="MS Mincho"/>
        </w:rPr>
        <w:t>)</w:t>
      </w:r>
    </w:p>
    <w:p w:rsidR="0049176A" w:rsidRDefault="0049176A" w:rsidP="007C4A70">
      <w:pPr>
        <w:pStyle w:val="TableFooter"/>
        <w:rPr>
          <w:i/>
        </w:rPr>
      </w:pPr>
      <w:r>
        <w:t xml:space="preserve">Abbreviations: CI = confidence interval; </w:t>
      </w:r>
      <w:r w:rsidR="004536BC">
        <w:t>NR = not reported;</w:t>
      </w:r>
      <w:r>
        <w:t xml:space="preserve"> RCT = randomised controlled trial; RR = risk ratio</w:t>
      </w:r>
      <w:r w:rsidRPr="00061F78">
        <w:t xml:space="preserve"> </w:t>
      </w:r>
    </w:p>
    <w:p w:rsidR="0049176A" w:rsidRDefault="0049176A" w:rsidP="007C4A70">
      <w:pPr>
        <w:pStyle w:val="TableFooter"/>
      </w:pPr>
      <w:r w:rsidRPr="00061F78">
        <w:rPr>
          <w:highlight w:val="lightGray"/>
        </w:rPr>
        <w:t>Shaded</w:t>
      </w:r>
      <w:r w:rsidRPr="00061F78">
        <w:t xml:space="preserve"> = previously considered by the PBAC</w:t>
      </w:r>
    </w:p>
    <w:p w:rsidR="00DB77B8" w:rsidRDefault="0049176A" w:rsidP="007C4A70">
      <w:pPr>
        <w:pStyle w:val="TableFooter"/>
      </w:pPr>
      <w:r w:rsidRPr="00D468CF">
        <w:lastRenderedPageBreak/>
        <w:t>Note</w:t>
      </w:r>
      <w:r>
        <w:t>s</w:t>
      </w:r>
      <w:r w:rsidRPr="00D468CF">
        <w:t>: Bold indicates statistically significant difference.</w:t>
      </w:r>
      <w:r>
        <w:br/>
      </w:r>
      <w:r w:rsidR="00DB77B8">
        <w:t>1</w:t>
      </w:r>
      <w:r w:rsidR="00A23175">
        <w:t xml:space="preserve"> Continuous abstinence rate at 12 months</w:t>
      </w:r>
      <w:r w:rsidR="00571438">
        <w:t xml:space="preserve"> (Week 9-52)</w:t>
      </w:r>
      <w:r w:rsidR="000F1E7A">
        <w:t>.</w:t>
      </w:r>
    </w:p>
    <w:p w:rsidR="00551EF3" w:rsidRDefault="00DB77B8" w:rsidP="007C4A70">
      <w:pPr>
        <w:pStyle w:val="TableFooter"/>
      </w:pPr>
      <w:r>
        <w:t>2</w:t>
      </w:r>
      <w:r w:rsidR="0049176A">
        <w:t xml:space="preserve"> </w:t>
      </w:r>
      <w:r w:rsidR="00383947" w:rsidRPr="00383947">
        <w:t>Continuous abstinence rate at 6 months (Week 9-24)</w:t>
      </w:r>
      <w:r w:rsidR="000F1E7A">
        <w:t>.</w:t>
      </w:r>
    </w:p>
    <w:p w:rsidR="0049176A" w:rsidRDefault="00551EF3" w:rsidP="007C4A70">
      <w:pPr>
        <w:pStyle w:val="TableFooter"/>
      </w:pPr>
      <w:r>
        <w:t>3</w:t>
      </w:r>
      <w:r w:rsidR="0049176A">
        <w:t xml:space="preserve"> Where cessation was assessed at multiple intervals, the longest follow-up data were used. Where multiple definitions of abstinence were assessed, the strictest of these definitions was used (e.g. continuous/prolonged abstinence over point prevalence abstinence). See </w:t>
      </w:r>
      <w:r w:rsidR="0049176A" w:rsidRPr="008E13EE">
        <w:t xml:space="preserve">Appendix </w:t>
      </w:r>
      <w:r w:rsidR="003C4A1C">
        <w:t xml:space="preserve">Table </w:t>
      </w:r>
      <w:r w:rsidR="003C4A1C">
        <w:rPr>
          <w:noProof/>
        </w:rPr>
        <w:t>146</w:t>
      </w:r>
      <w:r w:rsidR="0049176A">
        <w:t xml:space="preserve"> for the definition used in each study. </w:t>
      </w:r>
      <w:r w:rsidR="0030225A" w:rsidRPr="0030225A">
        <w:t>Studies previously considered by the PBAC were included in the meta-analysis</w:t>
      </w:r>
      <w:r w:rsidR="0049176A" w:rsidRPr="008D2B80">
        <w:t xml:space="preserve"> of </w:t>
      </w:r>
      <w:r w:rsidR="00D7520F" w:rsidRPr="00D7520F">
        <w:t>Cahill</w:t>
      </w:r>
      <w:r w:rsidR="0049176A" w:rsidRPr="008D2B80">
        <w:t xml:space="preserve"> et al. (</w:t>
      </w:r>
      <w:r w:rsidR="00D7520F" w:rsidRPr="00D7520F">
        <w:t>2016</w:t>
      </w:r>
      <w:r w:rsidR="0049176A" w:rsidRPr="008D2B80">
        <w:t>).</w:t>
      </w:r>
    </w:p>
    <w:p w:rsidR="002C5D1C" w:rsidRDefault="002C5D1C" w:rsidP="002C5D1C">
      <w:pPr>
        <w:pStyle w:val="TableFooter"/>
      </w:pPr>
      <w:r w:rsidRPr="008E13EE">
        <w:t>4 Calculated by Cochrane Review authors using a fixed-effect model</w:t>
      </w:r>
      <w:r w:rsidR="000F1E7A">
        <w:t>.</w:t>
      </w:r>
    </w:p>
    <w:p w:rsidR="002C5D1C" w:rsidRDefault="002C5D1C" w:rsidP="002C5D1C">
      <w:pPr>
        <w:pStyle w:val="TableFooter"/>
      </w:pPr>
      <w:r w:rsidRPr="008E13EE">
        <w:t>5 Calculated during the review using a random-effect model</w:t>
      </w:r>
      <w:r w:rsidR="000F1E7A">
        <w:t>.</w:t>
      </w:r>
    </w:p>
    <w:p w:rsidR="00265429" w:rsidRDefault="00265429" w:rsidP="007C4A70">
      <w:pPr>
        <w:pStyle w:val="TableFooter"/>
      </w:pPr>
      <w:r>
        <w:t>6 Excluded 2 RCTs (</w:t>
      </w:r>
      <w:r w:rsidRPr="00ED4408">
        <w:t>NCT00828113</w:t>
      </w:r>
      <w:r>
        <w:t xml:space="preserve"> and Evins 2014</w:t>
      </w:r>
      <w:r w:rsidR="000D4CCD">
        <w:t xml:space="preserve">; </w:t>
      </w:r>
      <w:r w:rsidR="00FE5926">
        <w:t>exceeded standard 12 weeks treatment duration</w:t>
      </w:r>
      <w:r>
        <w:t xml:space="preserve">) </w:t>
      </w:r>
      <w:r w:rsidR="000A11EE">
        <w:t>and included 1 RCT (Williams</w:t>
      </w:r>
      <w:r w:rsidR="00394C5D">
        <w:t xml:space="preserve"> 2012</w:t>
      </w:r>
      <w:r w:rsidR="00B01CFB">
        <w:t xml:space="preserve">; </w:t>
      </w:r>
      <w:r w:rsidR="00DF7E87">
        <w:t>excluded by error in Cahill 2016</w:t>
      </w:r>
      <w:r w:rsidR="00394C5D">
        <w:t>)</w:t>
      </w:r>
      <w:r w:rsidR="00CA397B">
        <w:t>. Eisenberg et al. (2016) in Cahill et al. (2016)</w:t>
      </w:r>
      <w:r w:rsidR="00A93321">
        <w:t xml:space="preserve"> replaced by Windle et al. (2018); long-term data </w:t>
      </w:r>
      <w:r w:rsidR="0018541E">
        <w:t>from</w:t>
      </w:r>
      <w:r w:rsidR="00A93321">
        <w:t xml:space="preserve"> the same study.</w:t>
      </w:r>
    </w:p>
    <w:p w:rsidR="00B930E5" w:rsidRDefault="00B930E5" w:rsidP="007C4A70">
      <w:pPr>
        <w:pStyle w:val="TableFooter"/>
      </w:pPr>
      <w:r>
        <w:t xml:space="preserve">7 </w:t>
      </w:r>
      <w:r w:rsidRPr="00B930E5">
        <w:t>Hurt et al. (2018) was a publication of NCT01347112, of which the results were previously included in Cahill et al. (2016)</w:t>
      </w:r>
      <w:r w:rsidR="000F1E7A">
        <w:t>.</w:t>
      </w:r>
    </w:p>
    <w:p w:rsidR="003C3D3D" w:rsidRDefault="003C3D3D" w:rsidP="007C4A70">
      <w:pPr>
        <w:pStyle w:val="TableFooter"/>
      </w:pPr>
      <w:r>
        <w:t>a</w:t>
      </w:r>
      <w:r w:rsidR="007B3D7F">
        <w:t xml:space="preserve"> Corrected </w:t>
      </w:r>
      <w:r>
        <w:t xml:space="preserve">error identified in Cahill et al. (2016) for </w:t>
      </w:r>
      <w:r w:rsidR="007B3D7F">
        <w:t>n/N</w:t>
      </w:r>
      <w:r w:rsidR="000F1E7A">
        <w:t>.</w:t>
      </w:r>
    </w:p>
    <w:p w:rsidR="0049176A" w:rsidRDefault="0021047C" w:rsidP="0049176A">
      <w:r w:rsidRPr="0021047C">
        <w:t xml:space="preserve">The results of the individual studies included in </w:t>
      </w:r>
      <w:r w:rsidR="00014736">
        <w:t>the updated re-analysis</w:t>
      </w:r>
      <w:r w:rsidRPr="0021047C">
        <w:t xml:space="preserve"> are presented using a forest plot in </w:t>
      </w:r>
      <w:r w:rsidR="003C4A1C">
        <w:t xml:space="preserve">Figure </w:t>
      </w:r>
      <w:r w:rsidR="003C4A1C">
        <w:rPr>
          <w:noProof/>
        </w:rPr>
        <w:t>3</w:t>
      </w:r>
      <w:r w:rsidRPr="0021047C">
        <w:t xml:space="preserve">. </w:t>
      </w:r>
    </w:p>
    <w:p w:rsidR="00D92FD0" w:rsidRDefault="685E0F31" w:rsidP="00D92FD0">
      <w:pPr>
        <w:keepNext/>
      </w:pPr>
      <w:r>
        <w:rPr>
          <w:noProof/>
        </w:rPr>
        <w:drawing>
          <wp:inline distT="0" distB="0" distL="0" distR="0" wp14:anchorId="044C491E" wp14:editId="55732CE2">
            <wp:extent cx="5731510" cy="4685029"/>
            <wp:effectExtent l="0" t="0" r="2540" b="12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5029"/>
                    </a:xfrm>
                    <a:prstGeom prst="rect">
                      <a:avLst/>
                    </a:prstGeom>
                  </pic:spPr>
                </pic:pic>
              </a:graphicData>
            </a:graphic>
          </wp:inline>
        </w:drawing>
      </w:r>
    </w:p>
    <w:p w:rsidR="00676868" w:rsidRDefault="00D92FD0" w:rsidP="00D92FD0">
      <w:pPr>
        <w:pStyle w:val="Caption"/>
      </w:pPr>
      <w:bookmarkStart w:id="80" w:name="_Ref54021198"/>
      <w:r>
        <w:t xml:space="preserve">Figure </w:t>
      </w:r>
      <w:r w:rsidR="003C4A1C">
        <w:rPr>
          <w:noProof/>
        </w:rPr>
        <w:t>3</w:t>
      </w:r>
      <w:bookmarkEnd w:id="80"/>
      <w:r>
        <w:t xml:space="preserve">: </w:t>
      </w:r>
      <w:r w:rsidRPr="0086611F">
        <w:t>Results of smoking cessation f</w:t>
      </w:r>
      <w:r w:rsidR="00FD165D">
        <w:t>or</w:t>
      </w:r>
      <w:r w:rsidRPr="0086611F">
        <w:t xml:space="preserve"> at least six months follow-up </w:t>
      </w:r>
      <w:r w:rsidR="000B1A39">
        <w:t>based on updated re-analysis</w:t>
      </w:r>
      <w:r w:rsidRPr="0086611F">
        <w:t xml:space="preserve">, </w:t>
      </w:r>
      <w:r>
        <w:t>varenicline</w:t>
      </w:r>
      <w:r w:rsidRPr="0086611F">
        <w:t xml:space="preserve"> versus placebo</w:t>
      </w:r>
    </w:p>
    <w:p w:rsidR="00D041F9" w:rsidRDefault="00D041F9" w:rsidP="005D1283">
      <w:pPr>
        <w:pStyle w:val="FigureFooter"/>
      </w:pPr>
      <w:r>
        <w:t>Source: Cahill et al. (2016)</w:t>
      </w:r>
      <w:r w:rsidR="007311AE">
        <w:t>,</w:t>
      </w:r>
      <w:r w:rsidR="007311AE" w:rsidRPr="007311AE">
        <w:rPr>
          <w:rFonts w:eastAsia="MS Mincho"/>
        </w:rPr>
        <w:t xml:space="preserve"> </w:t>
      </w:r>
      <w:r w:rsidR="007311AE">
        <w:rPr>
          <w:rFonts w:eastAsia="MS Mincho"/>
        </w:rPr>
        <w:t>Lerman</w:t>
      </w:r>
      <w:r w:rsidR="007311AE">
        <w:t xml:space="preserve"> et al. (</w:t>
      </w:r>
      <w:r w:rsidR="007311AE" w:rsidRPr="009E22A2">
        <w:rPr>
          <w:rFonts w:eastAsia="MS Mincho"/>
        </w:rPr>
        <w:t>2015</w:t>
      </w:r>
      <w:r w:rsidR="007311AE">
        <w:rPr>
          <w:rFonts w:eastAsia="MS Mincho"/>
        </w:rPr>
        <w:t>)</w:t>
      </w:r>
      <w:r w:rsidR="007311AE" w:rsidRPr="009E22A2">
        <w:rPr>
          <w:rFonts w:eastAsia="MS Mincho"/>
        </w:rPr>
        <w:t>,</w:t>
      </w:r>
      <w:r w:rsidR="006E35C8">
        <w:rPr>
          <w:rFonts w:eastAsia="MS Mincho"/>
        </w:rPr>
        <w:t xml:space="preserve"> Littlewood et al. (2017),</w:t>
      </w:r>
      <w:r w:rsidR="007311AE" w:rsidRPr="009E22A2">
        <w:rPr>
          <w:rFonts w:eastAsia="MS Mincho"/>
        </w:rPr>
        <w:t xml:space="preserve"> Hurt </w:t>
      </w:r>
      <w:r w:rsidR="007311AE">
        <w:rPr>
          <w:rFonts w:eastAsia="MS Mincho"/>
        </w:rPr>
        <w:t>et al. (</w:t>
      </w:r>
      <w:r w:rsidR="007311AE" w:rsidRPr="009E22A2">
        <w:rPr>
          <w:rFonts w:eastAsia="MS Mincho"/>
        </w:rPr>
        <w:t>2018</w:t>
      </w:r>
      <w:r w:rsidR="007311AE">
        <w:rPr>
          <w:rFonts w:eastAsia="MS Mincho"/>
        </w:rPr>
        <w:t>)</w:t>
      </w:r>
      <w:r w:rsidR="007311AE" w:rsidRPr="009E22A2">
        <w:rPr>
          <w:rFonts w:eastAsia="MS Mincho"/>
        </w:rPr>
        <w:t>, Windle</w:t>
      </w:r>
      <w:r w:rsidR="007311AE">
        <w:rPr>
          <w:rFonts w:eastAsia="MS Mincho"/>
        </w:rPr>
        <w:t xml:space="preserve"> et al. (</w:t>
      </w:r>
      <w:r w:rsidR="007311AE" w:rsidRPr="009E22A2">
        <w:rPr>
          <w:rFonts w:eastAsia="MS Mincho"/>
        </w:rPr>
        <w:t>2018</w:t>
      </w:r>
      <w:r w:rsidR="007311AE">
        <w:rPr>
          <w:rFonts w:eastAsia="MS Mincho"/>
        </w:rPr>
        <w:t>)</w:t>
      </w:r>
      <w:r w:rsidR="007311AE" w:rsidRPr="009E22A2">
        <w:rPr>
          <w:rFonts w:eastAsia="MS Mincho"/>
        </w:rPr>
        <w:t xml:space="preserve">, </w:t>
      </w:r>
      <w:r w:rsidR="00522C6F">
        <w:rPr>
          <w:rFonts w:eastAsia="MS Mincho"/>
        </w:rPr>
        <w:t xml:space="preserve">Mercie et al. (2018), </w:t>
      </w:r>
      <w:r w:rsidR="007311AE" w:rsidRPr="009E22A2">
        <w:rPr>
          <w:rFonts w:eastAsia="MS Mincho"/>
        </w:rPr>
        <w:t xml:space="preserve">Ashare </w:t>
      </w:r>
      <w:r w:rsidR="007311AE">
        <w:rPr>
          <w:rFonts w:eastAsia="MS Mincho"/>
        </w:rPr>
        <w:t>et al. (</w:t>
      </w:r>
      <w:r w:rsidR="007311AE" w:rsidRPr="009E22A2">
        <w:rPr>
          <w:rFonts w:eastAsia="MS Mincho"/>
        </w:rPr>
        <w:t>2019</w:t>
      </w:r>
      <w:r w:rsidR="007311AE">
        <w:rPr>
          <w:rFonts w:eastAsia="MS Mincho"/>
        </w:rPr>
        <w:t>)</w:t>
      </w:r>
      <w:r w:rsidR="007311AE" w:rsidRPr="009E22A2">
        <w:rPr>
          <w:rFonts w:eastAsia="MS Mincho"/>
        </w:rPr>
        <w:t xml:space="preserve">, Chen </w:t>
      </w:r>
      <w:r w:rsidR="007311AE">
        <w:rPr>
          <w:rFonts w:eastAsia="MS Mincho"/>
        </w:rPr>
        <w:t>et al. (</w:t>
      </w:r>
      <w:r w:rsidR="007311AE" w:rsidRPr="009E22A2">
        <w:rPr>
          <w:rFonts w:eastAsia="MS Mincho"/>
        </w:rPr>
        <w:t>2020</w:t>
      </w:r>
      <w:r w:rsidR="007311AE">
        <w:rPr>
          <w:rFonts w:eastAsia="MS Mincho"/>
        </w:rPr>
        <w:t>)</w:t>
      </w:r>
    </w:p>
    <w:p w:rsidR="00D041F9" w:rsidRDefault="00D041F9" w:rsidP="005D1283">
      <w:pPr>
        <w:pStyle w:val="FigureFooter"/>
      </w:pPr>
      <w:r w:rsidRPr="00D041F9">
        <w:t>Abbreviations: CI = confidence interval</w:t>
      </w:r>
    </w:p>
    <w:p w:rsidR="00D77C02" w:rsidRPr="00D77C02" w:rsidRDefault="005D1283" w:rsidP="005D1283">
      <w:pPr>
        <w:pStyle w:val="FigureFooter"/>
      </w:pPr>
      <w:r>
        <w:lastRenderedPageBreak/>
        <w:t xml:space="preserve">Note: </w:t>
      </w:r>
      <w:r w:rsidR="00826256">
        <w:t xml:space="preserve">A sensitivity analysis </w:t>
      </w:r>
      <w:r w:rsidR="00FB4D2E">
        <w:t>was conducted during the review by removing Gonzales et al. (2014)</w:t>
      </w:r>
      <w:r w:rsidR="004E1AA6">
        <w:t xml:space="preserve">, a retreatment study in </w:t>
      </w:r>
      <w:r w:rsidR="00B60B5D">
        <w:t xml:space="preserve">patients who had previously failed varenicline. </w:t>
      </w:r>
      <w:r w:rsidR="00075A28">
        <w:t xml:space="preserve">The results remained statistically significant </w:t>
      </w:r>
      <w:r w:rsidR="00A65E7A">
        <w:t>in favour of varenicline</w:t>
      </w:r>
      <w:r w:rsidR="0012191D">
        <w:t xml:space="preserve">; </w:t>
      </w:r>
      <w:r w:rsidR="00075A28">
        <w:t>RR</w:t>
      </w:r>
      <w:r w:rsidR="00AC180C">
        <w:t xml:space="preserve"> =</w:t>
      </w:r>
      <w:r w:rsidR="0012191D">
        <w:t xml:space="preserve"> 2</w:t>
      </w:r>
      <w:r w:rsidR="00075A28">
        <w:t>.0</w:t>
      </w:r>
      <w:r w:rsidR="005B0DA9">
        <w:t>9</w:t>
      </w:r>
      <w:r w:rsidR="00075A28">
        <w:t xml:space="preserve"> (</w:t>
      </w:r>
      <w:r w:rsidR="00A65E7A">
        <w:t>1.</w:t>
      </w:r>
      <w:r w:rsidR="005B0DA9">
        <w:t>8</w:t>
      </w:r>
      <w:r w:rsidR="004D075C">
        <w:t>3</w:t>
      </w:r>
      <w:r w:rsidR="00A65E7A">
        <w:t>, 2.</w:t>
      </w:r>
      <w:r w:rsidR="004D075C">
        <w:t>39</w:t>
      </w:r>
      <w:r w:rsidR="00A65E7A">
        <w:t>)</w:t>
      </w:r>
      <w:r w:rsidR="004536BC">
        <w:t>, RD</w:t>
      </w:r>
      <w:r w:rsidR="00AC180C">
        <w:t xml:space="preserve"> =</w:t>
      </w:r>
      <w:r w:rsidR="004536BC">
        <w:t xml:space="preserve"> 0.1</w:t>
      </w:r>
      <w:r w:rsidR="002255E5">
        <w:t>2</w:t>
      </w:r>
      <w:r w:rsidR="004536BC">
        <w:t xml:space="preserve"> (0.10, 0.15)</w:t>
      </w:r>
      <w:r w:rsidR="0012191D">
        <w:t>.</w:t>
      </w:r>
    </w:p>
    <w:p w:rsidR="00936534" w:rsidRPr="0073597F" w:rsidRDefault="00936534" w:rsidP="00C83EDA">
      <w:pPr>
        <w:rPr>
          <w:u w:val="single"/>
        </w:rPr>
      </w:pPr>
      <w:r w:rsidRPr="0073597F">
        <w:rPr>
          <w:u w:val="single"/>
        </w:rPr>
        <w:t>Safety</w:t>
      </w:r>
    </w:p>
    <w:p w:rsidR="004803EB" w:rsidRDefault="009F3ED5" w:rsidP="00C83EDA">
      <w:r w:rsidRPr="009F3ED5">
        <w:t xml:space="preserve">A summary of key adverse events is presented in </w:t>
      </w:r>
      <w:r w:rsidR="003C4A1C">
        <w:t xml:space="preserve">Table </w:t>
      </w:r>
      <w:r w:rsidR="003C4A1C">
        <w:rPr>
          <w:noProof/>
        </w:rPr>
        <w:t>16</w:t>
      </w:r>
      <w:r w:rsidRPr="009F3ED5">
        <w:t xml:space="preserve">. Based on the meta-analysis conducted by </w:t>
      </w:r>
      <w:r w:rsidR="004F3845">
        <w:t>Cahill</w:t>
      </w:r>
      <w:r w:rsidRPr="009F3ED5">
        <w:t xml:space="preserve"> et al. (20</w:t>
      </w:r>
      <w:r w:rsidR="004F3845">
        <w:t>16</w:t>
      </w:r>
      <w:r w:rsidRPr="009F3ED5">
        <w:t xml:space="preserve">), </w:t>
      </w:r>
      <w:r w:rsidR="00165B1E">
        <w:t>a significantly higher</w:t>
      </w:r>
      <w:r w:rsidRPr="009F3ED5">
        <w:t xml:space="preserve"> proportion of patients</w:t>
      </w:r>
      <w:r w:rsidR="00311D78">
        <w:t xml:space="preserve"> in the varenicline arm</w:t>
      </w:r>
      <w:r w:rsidRPr="009F3ED5">
        <w:t xml:space="preserve"> experienc</w:t>
      </w:r>
      <w:r w:rsidR="00FE61C8">
        <w:t xml:space="preserve">ed adverse </w:t>
      </w:r>
      <w:r w:rsidR="00C52478">
        <w:t>event</w:t>
      </w:r>
      <w:r w:rsidR="001047F3">
        <w:t>s</w:t>
      </w:r>
      <w:r w:rsidR="00C52478">
        <w:t xml:space="preserve"> </w:t>
      </w:r>
      <w:r w:rsidR="001047F3">
        <w:t>(</w:t>
      </w:r>
      <w:r w:rsidR="004803EB">
        <w:t xml:space="preserve">nausea, insomnia, abnormal dreams, </w:t>
      </w:r>
      <w:r w:rsidR="00777459">
        <w:t>and headache</w:t>
      </w:r>
      <w:r w:rsidR="001047F3">
        <w:t xml:space="preserve">) and </w:t>
      </w:r>
      <w:r w:rsidR="00362FB7">
        <w:t xml:space="preserve">serious adverse events compared </w:t>
      </w:r>
      <w:r w:rsidR="00795C96">
        <w:t>to patients in the placebo arm.</w:t>
      </w:r>
      <w:r w:rsidR="00AC40C7">
        <w:t xml:space="preserve"> </w:t>
      </w:r>
      <w:r w:rsidR="0030696E">
        <w:t xml:space="preserve">There were no statistically significant differences </w:t>
      </w:r>
      <w:r w:rsidR="009D238B">
        <w:t xml:space="preserve">between the two treatment arms </w:t>
      </w:r>
      <w:r w:rsidR="0030696E">
        <w:t xml:space="preserve">for </w:t>
      </w:r>
      <w:r w:rsidR="00E364D3">
        <w:t xml:space="preserve">depression, suicidal ideation, </w:t>
      </w:r>
      <w:r w:rsidR="0030696E">
        <w:t xml:space="preserve">neuropsychiatric </w:t>
      </w:r>
      <w:r w:rsidR="00B171DA">
        <w:t>serious adverse events</w:t>
      </w:r>
      <w:r w:rsidR="0030696E">
        <w:t xml:space="preserve"> and cardiac serious adverse events.</w:t>
      </w:r>
      <w:r w:rsidR="008823BF">
        <w:t xml:space="preserve"> </w:t>
      </w:r>
      <w:r w:rsidR="008823BF" w:rsidRPr="001839B8">
        <w:t>The PBAC ha</w:t>
      </w:r>
      <w:r w:rsidR="00750274">
        <w:t>d</w:t>
      </w:r>
      <w:r w:rsidR="008823BF" w:rsidRPr="001839B8">
        <w:t xml:space="preserve"> previously considered that varenicline was inferior to</w:t>
      </w:r>
      <w:r w:rsidR="008823BF">
        <w:t xml:space="preserve"> </w:t>
      </w:r>
      <w:r w:rsidR="008823BF" w:rsidRPr="001839B8">
        <w:t xml:space="preserve">placebo with regards to safety. </w:t>
      </w:r>
      <w:r w:rsidR="00754185">
        <w:t>However</w:t>
      </w:r>
      <w:r w:rsidR="008823BF" w:rsidRPr="001839B8">
        <w:t xml:space="preserve">, </w:t>
      </w:r>
      <w:r w:rsidR="008823BF">
        <w:t>the PBAC considered t</w:t>
      </w:r>
      <w:r w:rsidR="008823BF" w:rsidRPr="001839B8">
        <w:t>hat varenicline was</w:t>
      </w:r>
      <w:r w:rsidR="008823BF">
        <w:t xml:space="preserve"> </w:t>
      </w:r>
      <w:r w:rsidR="008823BF" w:rsidRPr="001839B8">
        <w:t>likely to be non-inferior to placebo</w:t>
      </w:r>
      <w:r w:rsidR="0085145C">
        <w:t xml:space="preserve"> in terms of neuropsychiatric </w:t>
      </w:r>
      <w:r w:rsidR="00491FF4">
        <w:t>safety profile</w:t>
      </w:r>
      <w:r w:rsidR="00754185" w:rsidRPr="00754185">
        <w:t xml:space="preserve"> </w:t>
      </w:r>
      <w:r w:rsidR="00754185">
        <w:t>b</w:t>
      </w:r>
      <w:r w:rsidR="00754185" w:rsidRPr="001839B8">
        <w:t xml:space="preserve">ased on the </w:t>
      </w:r>
      <w:r w:rsidR="00754185">
        <w:t>EAGLES (2016) study</w:t>
      </w:r>
      <w:r w:rsidR="00754185" w:rsidRPr="001839B8">
        <w:t xml:space="preserve"> presented</w:t>
      </w:r>
      <w:r w:rsidR="00754185">
        <w:t xml:space="preserve"> in November 2016</w:t>
      </w:r>
      <w:r w:rsidR="008823BF">
        <w:t xml:space="preserve"> (</w:t>
      </w:r>
      <w:r w:rsidR="008823BF" w:rsidRPr="00491FF4">
        <w:t>Varenicline PSD, November 2016 PBAC meeting</w:t>
      </w:r>
      <w:r w:rsidR="008823BF">
        <w:t>).</w:t>
      </w:r>
    </w:p>
    <w:p w:rsidR="007C4F5E" w:rsidRDefault="008B07E6" w:rsidP="00C83EDA">
      <w:r>
        <w:t xml:space="preserve">In Cahill et al. (2016), studies assessing extended </w:t>
      </w:r>
      <w:r w:rsidR="00EF2B4B">
        <w:t xml:space="preserve">varenicline </w:t>
      </w:r>
      <w:r>
        <w:t xml:space="preserve">treatment </w:t>
      </w:r>
      <w:r w:rsidR="001C6D3F">
        <w:t xml:space="preserve">(i.e. greater than standard 12 weeks therapy) </w:t>
      </w:r>
      <w:r w:rsidR="00EF2B4B">
        <w:t xml:space="preserve">were excluded from the main efficacy analysis but </w:t>
      </w:r>
      <w:r w:rsidR="00C0064F">
        <w:t xml:space="preserve">were </w:t>
      </w:r>
      <w:r w:rsidR="00EF2B4B">
        <w:t>included in the safety analysis</w:t>
      </w:r>
      <w:r w:rsidR="00ED1AE9">
        <w:t xml:space="preserve"> (</w:t>
      </w:r>
      <w:r w:rsidR="00ED1AE9" w:rsidRPr="00ED1AE9">
        <w:t xml:space="preserve">NCT00828113, Williams 2007, Stein 2013, </w:t>
      </w:r>
      <w:r w:rsidR="00777459" w:rsidRPr="00ED1AE9">
        <w:t>and Ebbert</w:t>
      </w:r>
      <w:r w:rsidR="00ED1AE9" w:rsidRPr="00ED1AE9">
        <w:t xml:space="preserve"> 2015</w:t>
      </w:r>
      <w:r w:rsidR="001C6D3F">
        <w:t xml:space="preserve">). </w:t>
      </w:r>
      <w:r w:rsidR="004C63D2">
        <w:t xml:space="preserve">As the use of varenicline in these studies </w:t>
      </w:r>
      <w:r w:rsidR="00E47F7A">
        <w:t>wa</w:t>
      </w:r>
      <w:r w:rsidR="00E57ABA">
        <w:t>s not consistent with</w:t>
      </w:r>
      <w:r w:rsidR="004C63D2">
        <w:t xml:space="preserve"> the Australian </w:t>
      </w:r>
      <w:r w:rsidR="00E57ABA">
        <w:t>setting</w:t>
      </w:r>
      <w:r w:rsidR="004C63D2">
        <w:t>,</w:t>
      </w:r>
      <w:r w:rsidR="00024470">
        <w:t xml:space="preserve"> these studies were excluded from the updated re-analysis. In addition, the study by Evins et al. (2014)</w:t>
      </w:r>
      <w:r w:rsidR="00E57ABA">
        <w:t xml:space="preserve"> </w:t>
      </w:r>
      <w:r w:rsidR="00024470">
        <w:t xml:space="preserve">was excluded </w:t>
      </w:r>
      <w:r w:rsidR="00A31D93">
        <w:t>because varenicline was administered continuously over 52 weeks.</w:t>
      </w:r>
      <w:r w:rsidR="004C63D2">
        <w:t xml:space="preserve"> </w:t>
      </w:r>
    </w:p>
    <w:p w:rsidR="0090659E" w:rsidRDefault="00F14F28" w:rsidP="00C83EDA">
      <w:r w:rsidRPr="00F14F28">
        <w:t>The results of the updated re-analysis were consistent with the results from Cahill et al. (2016)</w:t>
      </w:r>
      <w:r w:rsidR="00AF5502">
        <w:t>, except for adverse event (headache) and serious adverse events which were no longer statistically significant</w:t>
      </w:r>
      <w:r w:rsidR="0086767C">
        <w:t>. T</w:t>
      </w:r>
      <w:r w:rsidR="00C33D83">
        <w:t>h</w:t>
      </w:r>
      <w:r w:rsidR="00D05306">
        <w:t>e proportion of patients experiencing these events w</w:t>
      </w:r>
      <w:r w:rsidR="003D72F6">
        <w:t>as</w:t>
      </w:r>
      <w:r w:rsidR="0086767C">
        <w:t xml:space="preserve"> observed to be</w:t>
      </w:r>
      <w:r w:rsidR="00D05306">
        <w:t xml:space="preserve"> numerically higher in the varenicline arm</w:t>
      </w:r>
      <w:r w:rsidR="0086767C">
        <w:t xml:space="preserve"> compared </w:t>
      </w:r>
      <w:r w:rsidR="00102D26">
        <w:t>to patients in the placebo arm</w:t>
      </w:r>
      <w:r w:rsidR="00AF5502">
        <w:t xml:space="preserve">. </w:t>
      </w:r>
    </w:p>
    <w:p w:rsidR="009963EB" w:rsidRDefault="009963EB" w:rsidP="009963EB">
      <w:pPr>
        <w:pStyle w:val="Caption"/>
        <w:keepNext/>
      </w:pPr>
      <w:bookmarkStart w:id="81" w:name="_Ref54088071"/>
      <w:r>
        <w:t xml:space="preserve">Table </w:t>
      </w:r>
      <w:r w:rsidR="003C4A1C">
        <w:rPr>
          <w:noProof/>
        </w:rPr>
        <w:t>16</w:t>
      </w:r>
      <w:bookmarkEnd w:id="81"/>
      <w:r>
        <w:t xml:space="preserve">: </w:t>
      </w:r>
      <w:r w:rsidRPr="00C262CA">
        <w:t xml:space="preserve">Summary of </w:t>
      </w:r>
      <w:r w:rsidR="00A038AD">
        <w:t xml:space="preserve">key </w:t>
      </w:r>
      <w:r w:rsidRPr="00C262CA">
        <w:t xml:space="preserve">adverse events, </w:t>
      </w:r>
      <w:r>
        <w:t>varenicline</w:t>
      </w:r>
      <w:r w:rsidRPr="00C262CA">
        <w:t xml:space="preserve"> versus placebo</w:t>
      </w:r>
    </w:p>
    <w:tbl>
      <w:tblPr>
        <w:tblStyle w:val="TableGrid"/>
        <w:tblW w:w="5000" w:type="pct"/>
        <w:tblLayout w:type="fixed"/>
        <w:tblLook w:val="04A0" w:firstRow="1" w:lastRow="0" w:firstColumn="1" w:lastColumn="0" w:noHBand="0" w:noVBand="1"/>
        <w:tblCaption w:val="Efficacy results of adalimumab trials (PASI 75 and DLQI)"/>
      </w:tblPr>
      <w:tblGrid>
        <w:gridCol w:w="1005"/>
        <w:gridCol w:w="1673"/>
        <w:gridCol w:w="1533"/>
        <w:gridCol w:w="1116"/>
        <w:gridCol w:w="1177"/>
        <w:gridCol w:w="1257"/>
        <w:gridCol w:w="1255"/>
      </w:tblGrid>
      <w:tr w:rsidR="00936534" w:rsidRPr="00061F78" w:rsidTr="0061135E">
        <w:trPr>
          <w:cantSplit/>
          <w:trHeight w:val="299"/>
          <w:tblHeader/>
        </w:trPr>
        <w:tc>
          <w:tcPr>
            <w:tcW w:w="557" w:type="pct"/>
            <w:shd w:val="clear" w:color="auto" w:fill="BFBFBF" w:themeFill="background1" w:themeFillShade="BF"/>
            <w:tcMar>
              <w:left w:w="28" w:type="dxa"/>
              <w:right w:w="28" w:type="dxa"/>
            </w:tcMar>
          </w:tcPr>
          <w:p w:rsidR="00936534" w:rsidRPr="00061F78" w:rsidRDefault="00126B7B" w:rsidP="00723730">
            <w:pPr>
              <w:pStyle w:val="Tableheading"/>
              <w:rPr>
                <w:rFonts w:eastAsia="MS Mincho"/>
              </w:rPr>
            </w:pPr>
            <w:r>
              <w:rPr>
                <w:rFonts w:eastAsia="MS Mincho"/>
              </w:rPr>
              <w:t>Study</w:t>
            </w:r>
          </w:p>
        </w:tc>
        <w:tc>
          <w:tcPr>
            <w:tcW w:w="928" w:type="pct"/>
            <w:shd w:val="clear" w:color="auto" w:fill="BFBFBF" w:themeFill="background1" w:themeFillShade="BF"/>
            <w:vAlign w:val="center"/>
          </w:tcPr>
          <w:p w:rsidR="00936534" w:rsidRDefault="00936534" w:rsidP="00723730">
            <w:pPr>
              <w:pStyle w:val="Tableheading"/>
              <w:jc w:val="center"/>
              <w:rPr>
                <w:rFonts w:eastAsia="MS Mincho"/>
              </w:rPr>
            </w:pPr>
            <w:r>
              <w:rPr>
                <w:rFonts w:eastAsia="MS Mincho"/>
              </w:rPr>
              <w:t>Study type</w:t>
            </w:r>
          </w:p>
        </w:tc>
        <w:tc>
          <w:tcPr>
            <w:tcW w:w="850" w:type="pct"/>
            <w:shd w:val="clear" w:color="auto" w:fill="BFBFBF" w:themeFill="background1" w:themeFillShade="BF"/>
            <w:tcMar>
              <w:left w:w="28" w:type="dxa"/>
              <w:right w:w="28" w:type="dxa"/>
            </w:tcMar>
            <w:vAlign w:val="center"/>
          </w:tcPr>
          <w:p w:rsidR="00936534" w:rsidRPr="00A038AD" w:rsidRDefault="0047506F" w:rsidP="00723730">
            <w:pPr>
              <w:pStyle w:val="Tableheading"/>
              <w:jc w:val="center"/>
              <w:rPr>
                <w:rFonts w:eastAsia="MS Mincho"/>
                <w:vertAlign w:val="superscript"/>
              </w:rPr>
            </w:pPr>
            <w:r>
              <w:rPr>
                <w:rFonts w:eastAsia="MS Mincho"/>
              </w:rPr>
              <w:t>Previously considered studies included</w:t>
            </w:r>
            <w:r w:rsidR="00A038AD">
              <w:rPr>
                <w:rFonts w:eastAsia="MS Mincho"/>
                <w:vertAlign w:val="superscript"/>
              </w:rPr>
              <w:t>1</w:t>
            </w:r>
          </w:p>
        </w:tc>
        <w:tc>
          <w:tcPr>
            <w:tcW w:w="619" w:type="pct"/>
            <w:shd w:val="clear" w:color="auto" w:fill="BFBFBF" w:themeFill="background1" w:themeFillShade="BF"/>
            <w:tcMar>
              <w:left w:w="28" w:type="dxa"/>
              <w:right w:w="28" w:type="dxa"/>
            </w:tcMar>
            <w:vAlign w:val="center"/>
          </w:tcPr>
          <w:p w:rsidR="00936534" w:rsidRPr="00061F78" w:rsidRDefault="0047506F" w:rsidP="00723730">
            <w:pPr>
              <w:pStyle w:val="Tableheading"/>
              <w:jc w:val="center"/>
              <w:rPr>
                <w:rFonts w:eastAsia="MS Mincho"/>
              </w:rPr>
            </w:pPr>
            <w:r>
              <w:rPr>
                <w:rFonts w:eastAsia="MS Mincho"/>
              </w:rPr>
              <w:t>Varenicline</w:t>
            </w:r>
          </w:p>
        </w:tc>
        <w:tc>
          <w:tcPr>
            <w:tcW w:w="653" w:type="pct"/>
            <w:shd w:val="clear" w:color="auto" w:fill="BFBFBF" w:themeFill="background1" w:themeFillShade="BF"/>
            <w:tcMar>
              <w:left w:w="28" w:type="dxa"/>
              <w:right w:w="28" w:type="dxa"/>
            </w:tcMar>
            <w:vAlign w:val="center"/>
          </w:tcPr>
          <w:p w:rsidR="00936534" w:rsidRPr="00061F78" w:rsidRDefault="0047506F" w:rsidP="00723730">
            <w:pPr>
              <w:pStyle w:val="Tableheading"/>
              <w:jc w:val="center"/>
              <w:rPr>
                <w:rFonts w:eastAsia="MS Mincho"/>
              </w:rPr>
            </w:pPr>
            <w:r w:rsidRPr="00061F78">
              <w:rPr>
                <w:rFonts w:eastAsia="MS Mincho"/>
              </w:rPr>
              <w:t>Placebo</w:t>
            </w:r>
          </w:p>
        </w:tc>
        <w:tc>
          <w:tcPr>
            <w:tcW w:w="697" w:type="pct"/>
            <w:shd w:val="clear" w:color="auto" w:fill="BFBFBF" w:themeFill="background1" w:themeFillShade="BF"/>
            <w:tcMar>
              <w:left w:w="28" w:type="dxa"/>
              <w:right w:w="28" w:type="dxa"/>
            </w:tcMar>
            <w:vAlign w:val="center"/>
          </w:tcPr>
          <w:p w:rsidR="00936534" w:rsidRPr="00D468CF" w:rsidRDefault="00936534" w:rsidP="00723730">
            <w:pPr>
              <w:pStyle w:val="Tableheading"/>
              <w:jc w:val="center"/>
              <w:rPr>
                <w:rFonts w:eastAsia="MS Mincho"/>
                <w:vertAlign w:val="superscript"/>
              </w:rPr>
            </w:pPr>
            <w:r>
              <w:rPr>
                <w:rFonts w:eastAsia="MS Mincho"/>
              </w:rPr>
              <w:t>RR (95% CI)</w:t>
            </w:r>
          </w:p>
        </w:tc>
        <w:tc>
          <w:tcPr>
            <w:tcW w:w="696" w:type="pct"/>
            <w:shd w:val="clear" w:color="auto" w:fill="BFBFBF" w:themeFill="background1" w:themeFillShade="BF"/>
            <w:vAlign w:val="center"/>
          </w:tcPr>
          <w:p w:rsidR="00936534" w:rsidRDefault="00936534" w:rsidP="00723730">
            <w:pPr>
              <w:pStyle w:val="Tableheading"/>
              <w:jc w:val="center"/>
              <w:rPr>
                <w:rFonts w:eastAsia="MS Mincho"/>
              </w:rPr>
            </w:pPr>
            <w:r>
              <w:rPr>
                <w:rFonts w:eastAsia="MS Mincho"/>
              </w:rPr>
              <w:t>RD (95% CI)</w:t>
            </w:r>
          </w:p>
        </w:tc>
      </w:tr>
      <w:tr w:rsidR="00936534" w:rsidRPr="00061F78" w:rsidTr="003954C8">
        <w:trPr>
          <w:cantSplit/>
          <w:trHeight w:val="99"/>
        </w:trPr>
        <w:tc>
          <w:tcPr>
            <w:tcW w:w="5000" w:type="pct"/>
            <w:gridSpan w:val="7"/>
            <w:shd w:val="clear" w:color="auto" w:fill="auto"/>
            <w:tcMar>
              <w:left w:w="28" w:type="dxa"/>
              <w:right w:w="28" w:type="dxa"/>
            </w:tcMar>
            <w:vAlign w:val="center"/>
          </w:tcPr>
          <w:p w:rsidR="00936534" w:rsidRPr="003954C8" w:rsidRDefault="00936534" w:rsidP="00723730">
            <w:pPr>
              <w:pStyle w:val="Tablewriting"/>
              <w:rPr>
                <w:rFonts w:eastAsia="MS Mincho"/>
                <w:b/>
                <w:bCs/>
              </w:rPr>
            </w:pPr>
            <w:r w:rsidRPr="003954C8">
              <w:rPr>
                <w:rFonts w:eastAsia="MS Mincho"/>
                <w:b/>
                <w:bCs/>
              </w:rPr>
              <w:t xml:space="preserve">Adverse event </w:t>
            </w:r>
            <w:r w:rsidR="00EE140C" w:rsidRPr="003954C8">
              <w:rPr>
                <w:rFonts w:eastAsia="MS Mincho"/>
                <w:b/>
                <w:bCs/>
              </w:rPr>
              <w:t>–</w:t>
            </w:r>
            <w:r w:rsidRPr="003954C8">
              <w:rPr>
                <w:rFonts w:eastAsia="MS Mincho"/>
                <w:b/>
                <w:bCs/>
              </w:rPr>
              <w:t xml:space="preserve"> nausea</w:t>
            </w:r>
          </w:p>
        </w:tc>
      </w:tr>
      <w:tr w:rsidR="00936534" w:rsidRPr="00061F78" w:rsidTr="0061135E">
        <w:trPr>
          <w:cantSplit/>
          <w:trHeight w:val="149"/>
        </w:trPr>
        <w:tc>
          <w:tcPr>
            <w:tcW w:w="557" w:type="pct"/>
            <w:tcMar>
              <w:left w:w="28" w:type="dxa"/>
              <w:right w:w="28" w:type="dxa"/>
            </w:tcMar>
          </w:tcPr>
          <w:p w:rsidR="00936534" w:rsidRDefault="00822751" w:rsidP="00723730">
            <w:pPr>
              <w:pStyle w:val="Tablewriting"/>
              <w:rPr>
                <w:rFonts w:eastAsia="MS Mincho"/>
              </w:rPr>
            </w:pPr>
            <w:r>
              <w:rPr>
                <w:rFonts w:eastAsia="MS Mincho"/>
              </w:rPr>
              <w:t>Cahill</w:t>
            </w:r>
            <w:r w:rsidR="00936534" w:rsidRPr="00061F78">
              <w:rPr>
                <w:rFonts w:eastAsia="MS Mincho"/>
              </w:rPr>
              <w:t xml:space="preserve"> </w:t>
            </w:r>
          </w:p>
          <w:p w:rsidR="00936534" w:rsidRPr="00D468CF" w:rsidRDefault="00936534" w:rsidP="00723730">
            <w:pPr>
              <w:pStyle w:val="Tablewriting"/>
              <w:rPr>
                <w:rFonts w:eastAsia="MS Mincho"/>
                <w:vertAlign w:val="superscript"/>
              </w:rPr>
            </w:pPr>
            <w:r w:rsidRPr="00061F78">
              <w:rPr>
                <w:rFonts w:eastAsia="MS Mincho"/>
              </w:rPr>
              <w:t>(20</w:t>
            </w:r>
            <w:r w:rsidR="00822751">
              <w:rPr>
                <w:rFonts w:eastAsia="MS Mincho"/>
              </w:rPr>
              <w:t>16</w:t>
            </w:r>
            <w:r w:rsidRPr="00061F78">
              <w:rPr>
                <w:rFonts w:eastAsia="MS Mincho"/>
              </w:rPr>
              <w:t>)</w:t>
            </w:r>
            <w:r w:rsidR="00037B11">
              <w:rPr>
                <w:rFonts w:eastAsia="MS Mincho"/>
                <w:vertAlign w:val="superscript"/>
              </w:rPr>
              <w:t>2</w:t>
            </w:r>
          </w:p>
        </w:tc>
        <w:tc>
          <w:tcPr>
            <w:tcW w:w="928" w:type="pct"/>
            <w:vAlign w:val="center"/>
          </w:tcPr>
          <w:p w:rsidR="00936534" w:rsidRDefault="00936534" w:rsidP="00723730">
            <w:pPr>
              <w:pStyle w:val="Tablewriting"/>
              <w:jc w:val="center"/>
              <w:rPr>
                <w:rFonts w:eastAsia="MS Mincho"/>
              </w:rPr>
            </w:pPr>
            <w:r>
              <w:rPr>
                <w:rFonts w:eastAsia="MS Mincho"/>
              </w:rPr>
              <w:t>Cochrane Review (32 RCTs)</w:t>
            </w:r>
          </w:p>
        </w:tc>
        <w:tc>
          <w:tcPr>
            <w:tcW w:w="850" w:type="pct"/>
            <w:vMerge w:val="restart"/>
            <w:tcMar>
              <w:left w:w="28" w:type="dxa"/>
              <w:right w:w="28" w:type="dxa"/>
            </w:tcMar>
            <w:vAlign w:val="center"/>
          </w:tcPr>
          <w:p w:rsidR="00936534" w:rsidRPr="00061F78" w:rsidRDefault="0047506F" w:rsidP="0061135E">
            <w:pPr>
              <w:pStyle w:val="Tablewriting"/>
              <w:jc w:val="center"/>
              <w:rPr>
                <w:rFonts w:eastAsia="MS Mincho"/>
              </w:rPr>
            </w:pPr>
            <w:r>
              <w:rPr>
                <w:rFonts w:eastAsia="MS Mincho"/>
              </w:rPr>
              <w:t>All studies</w:t>
            </w:r>
          </w:p>
        </w:tc>
        <w:tc>
          <w:tcPr>
            <w:tcW w:w="619" w:type="pct"/>
            <w:tcMar>
              <w:left w:w="28" w:type="dxa"/>
              <w:right w:w="28" w:type="dxa"/>
            </w:tcMar>
            <w:vAlign w:val="center"/>
          </w:tcPr>
          <w:p w:rsidR="0047506F" w:rsidRDefault="0047506F" w:rsidP="00723730">
            <w:pPr>
              <w:pStyle w:val="Tablewriting"/>
              <w:jc w:val="center"/>
              <w:rPr>
                <w:rFonts w:eastAsia="MS Mincho"/>
              </w:rPr>
            </w:pPr>
            <w:r>
              <w:rPr>
                <w:rFonts w:eastAsia="MS Mincho"/>
              </w:rPr>
              <w:t>2</w:t>
            </w:r>
            <w:r w:rsidR="00101917">
              <w:rPr>
                <w:rFonts w:eastAsia="MS Mincho"/>
              </w:rPr>
              <w:t>,</w:t>
            </w:r>
            <w:r>
              <w:rPr>
                <w:rFonts w:eastAsia="MS Mincho"/>
              </w:rPr>
              <w:t>207/7,929</w:t>
            </w:r>
          </w:p>
          <w:p w:rsidR="00936534" w:rsidRPr="00061F78" w:rsidRDefault="0054410B" w:rsidP="00723730">
            <w:pPr>
              <w:pStyle w:val="Tablewriting"/>
              <w:jc w:val="center"/>
              <w:rPr>
                <w:rFonts w:eastAsia="MS Mincho"/>
              </w:rPr>
            </w:pPr>
            <w:r>
              <w:rPr>
                <w:rFonts w:eastAsia="MS Mincho"/>
              </w:rPr>
              <w:t>(27.8%)</w:t>
            </w:r>
          </w:p>
        </w:tc>
        <w:tc>
          <w:tcPr>
            <w:tcW w:w="653" w:type="pct"/>
            <w:tcMar>
              <w:left w:w="28" w:type="dxa"/>
              <w:right w:w="28" w:type="dxa"/>
            </w:tcMar>
            <w:vAlign w:val="center"/>
          </w:tcPr>
          <w:p w:rsidR="0047506F" w:rsidRDefault="0047506F" w:rsidP="00723730">
            <w:pPr>
              <w:pStyle w:val="Tablewriting"/>
              <w:jc w:val="center"/>
              <w:rPr>
                <w:rFonts w:eastAsia="MS Mincho"/>
              </w:rPr>
            </w:pPr>
            <w:r>
              <w:rPr>
                <w:rFonts w:eastAsia="MS Mincho"/>
              </w:rPr>
              <w:t>596/7,034</w:t>
            </w:r>
          </w:p>
          <w:p w:rsidR="00936534" w:rsidRPr="00061F78" w:rsidRDefault="009F38A1" w:rsidP="00723730">
            <w:pPr>
              <w:pStyle w:val="Tablewriting"/>
              <w:jc w:val="center"/>
              <w:rPr>
                <w:rFonts w:eastAsia="MS Mincho"/>
              </w:rPr>
            </w:pPr>
            <w:r>
              <w:rPr>
                <w:rFonts w:eastAsia="MS Mincho"/>
              </w:rPr>
              <w:t>(8.5%)</w:t>
            </w:r>
          </w:p>
        </w:tc>
        <w:tc>
          <w:tcPr>
            <w:tcW w:w="697" w:type="pct"/>
            <w:tcMar>
              <w:left w:w="28" w:type="dxa"/>
              <w:right w:w="28" w:type="dxa"/>
            </w:tcMar>
            <w:vAlign w:val="center"/>
          </w:tcPr>
          <w:p w:rsidR="00936534" w:rsidRPr="00583196" w:rsidRDefault="00583196" w:rsidP="00723730">
            <w:pPr>
              <w:pStyle w:val="Tablewriting"/>
              <w:jc w:val="center"/>
              <w:rPr>
                <w:rFonts w:eastAsia="MS Mincho"/>
                <w:b/>
                <w:bCs/>
              </w:rPr>
            </w:pPr>
            <w:r w:rsidRPr="00583196">
              <w:rPr>
                <w:rFonts w:eastAsia="MS Mincho"/>
                <w:b/>
                <w:bCs/>
              </w:rPr>
              <w:t>3.27</w:t>
            </w:r>
          </w:p>
          <w:p w:rsidR="00936534" w:rsidRPr="00061F78" w:rsidRDefault="00583196" w:rsidP="00723730">
            <w:pPr>
              <w:pStyle w:val="Tablewriting"/>
              <w:jc w:val="center"/>
              <w:rPr>
                <w:rFonts w:eastAsia="MS Mincho"/>
              </w:rPr>
            </w:pPr>
            <w:r w:rsidRPr="00583196">
              <w:rPr>
                <w:rFonts w:eastAsia="MS Mincho"/>
                <w:b/>
                <w:bCs/>
              </w:rPr>
              <w:t>(3, 3.55)</w:t>
            </w:r>
          </w:p>
        </w:tc>
        <w:tc>
          <w:tcPr>
            <w:tcW w:w="696" w:type="pct"/>
            <w:vAlign w:val="center"/>
          </w:tcPr>
          <w:p w:rsidR="00936534" w:rsidRPr="00061F78" w:rsidRDefault="00037B11" w:rsidP="00723730">
            <w:pPr>
              <w:pStyle w:val="Tablewriting"/>
              <w:jc w:val="center"/>
              <w:rPr>
                <w:rFonts w:eastAsia="MS Mincho"/>
              </w:rPr>
            </w:pPr>
            <w:r>
              <w:rPr>
                <w:rFonts w:eastAsia="MS Mincho"/>
              </w:rPr>
              <w:t>NR</w:t>
            </w:r>
          </w:p>
        </w:tc>
      </w:tr>
      <w:tr w:rsidR="0061135E" w:rsidRPr="00061F78" w:rsidTr="0061135E">
        <w:trPr>
          <w:cantSplit/>
          <w:trHeight w:val="149"/>
        </w:trPr>
        <w:tc>
          <w:tcPr>
            <w:tcW w:w="557" w:type="pct"/>
            <w:tcMar>
              <w:left w:w="28" w:type="dxa"/>
              <w:right w:w="28" w:type="dxa"/>
            </w:tcMar>
          </w:tcPr>
          <w:p w:rsidR="0061135E" w:rsidRPr="00037B11" w:rsidRDefault="0061135E" w:rsidP="00723730">
            <w:pPr>
              <w:pStyle w:val="Tablewriting"/>
              <w:rPr>
                <w:rFonts w:eastAsia="MS Mincho"/>
                <w:vertAlign w:val="superscript"/>
              </w:rPr>
            </w:pPr>
            <w:r>
              <w:rPr>
                <w:rFonts w:eastAsia="MS Mincho"/>
              </w:rPr>
              <w:t>Updated re-analysis</w:t>
            </w:r>
            <w:r w:rsidR="00037B11">
              <w:rPr>
                <w:rFonts w:eastAsia="MS Mincho"/>
                <w:vertAlign w:val="superscript"/>
              </w:rPr>
              <w:t>3</w:t>
            </w:r>
          </w:p>
        </w:tc>
        <w:tc>
          <w:tcPr>
            <w:tcW w:w="928" w:type="pct"/>
            <w:vAlign w:val="center"/>
          </w:tcPr>
          <w:p w:rsidR="0061135E" w:rsidRDefault="0061135E" w:rsidP="00723730">
            <w:pPr>
              <w:pStyle w:val="Tablewriting"/>
              <w:jc w:val="center"/>
              <w:rPr>
                <w:rFonts w:eastAsia="MS Mincho"/>
              </w:rPr>
            </w:pPr>
            <w:r>
              <w:rPr>
                <w:rFonts w:eastAsia="MS Mincho"/>
              </w:rPr>
              <w:t>3</w:t>
            </w:r>
            <w:r w:rsidR="00F55C64">
              <w:rPr>
                <w:rFonts w:eastAsia="MS Mincho"/>
              </w:rPr>
              <w:t>0</w:t>
            </w:r>
            <w:r>
              <w:rPr>
                <w:rFonts w:eastAsia="MS Mincho"/>
              </w:rPr>
              <w:t xml:space="preserve"> RCTs</w:t>
            </w:r>
          </w:p>
        </w:tc>
        <w:tc>
          <w:tcPr>
            <w:tcW w:w="850" w:type="pct"/>
            <w:vMerge/>
            <w:tcMar>
              <w:left w:w="28" w:type="dxa"/>
              <w:right w:w="28" w:type="dxa"/>
            </w:tcMar>
            <w:vAlign w:val="center"/>
          </w:tcPr>
          <w:p w:rsidR="0061135E" w:rsidRDefault="0061135E" w:rsidP="00723730">
            <w:pPr>
              <w:pStyle w:val="Tablewriting"/>
              <w:jc w:val="center"/>
              <w:rPr>
                <w:rFonts w:eastAsia="MS Mincho"/>
              </w:rPr>
            </w:pPr>
          </w:p>
        </w:tc>
        <w:tc>
          <w:tcPr>
            <w:tcW w:w="619" w:type="pct"/>
            <w:tcMar>
              <w:left w:w="28" w:type="dxa"/>
              <w:right w:w="28" w:type="dxa"/>
            </w:tcMar>
            <w:vAlign w:val="center"/>
          </w:tcPr>
          <w:p w:rsidR="0061135E" w:rsidRDefault="0061135E" w:rsidP="00723730">
            <w:pPr>
              <w:pStyle w:val="Tablewriting"/>
              <w:jc w:val="center"/>
              <w:rPr>
                <w:rFonts w:eastAsia="MS Mincho"/>
              </w:rPr>
            </w:pPr>
            <w:r>
              <w:rPr>
                <w:rFonts w:eastAsia="MS Mincho"/>
              </w:rPr>
              <w:t>2,</w:t>
            </w:r>
            <w:r w:rsidR="00080E35">
              <w:rPr>
                <w:rFonts w:eastAsia="MS Mincho"/>
              </w:rPr>
              <w:t>208</w:t>
            </w:r>
            <w:r>
              <w:rPr>
                <w:rFonts w:eastAsia="MS Mincho"/>
              </w:rPr>
              <w:t>/</w:t>
            </w:r>
            <w:r w:rsidR="0060147B">
              <w:rPr>
                <w:rFonts w:eastAsia="MS Mincho"/>
              </w:rPr>
              <w:t>7,543</w:t>
            </w:r>
          </w:p>
          <w:p w:rsidR="0061135E" w:rsidRDefault="0061135E" w:rsidP="00723730">
            <w:pPr>
              <w:pStyle w:val="Tablewriting"/>
              <w:jc w:val="center"/>
              <w:rPr>
                <w:rFonts w:eastAsia="MS Mincho"/>
              </w:rPr>
            </w:pPr>
            <w:r>
              <w:rPr>
                <w:rFonts w:eastAsia="MS Mincho"/>
              </w:rPr>
              <w:t>(</w:t>
            </w:r>
            <w:r w:rsidR="00AB73DA">
              <w:rPr>
                <w:rFonts w:eastAsia="MS Mincho"/>
              </w:rPr>
              <w:t>29.3</w:t>
            </w:r>
            <w:r w:rsidR="00F3529F">
              <w:rPr>
                <w:rFonts w:eastAsia="MS Mincho"/>
              </w:rPr>
              <w:t>%</w:t>
            </w:r>
            <w:r>
              <w:rPr>
                <w:rFonts w:eastAsia="MS Mincho"/>
              </w:rPr>
              <w:t>)</w:t>
            </w:r>
          </w:p>
        </w:tc>
        <w:tc>
          <w:tcPr>
            <w:tcW w:w="653" w:type="pct"/>
            <w:tcMar>
              <w:left w:w="28" w:type="dxa"/>
              <w:right w:w="28" w:type="dxa"/>
            </w:tcMar>
            <w:vAlign w:val="center"/>
          </w:tcPr>
          <w:p w:rsidR="0061135E" w:rsidRDefault="0061135E" w:rsidP="00723730">
            <w:pPr>
              <w:pStyle w:val="Tablewriting"/>
              <w:jc w:val="center"/>
              <w:rPr>
                <w:rFonts w:eastAsia="MS Mincho"/>
              </w:rPr>
            </w:pPr>
            <w:r>
              <w:rPr>
                <w:rFonts w:eastAsia="MS Mincho"/>
              </w:rPr>
              <w:t>7</w:t>
            </w:r>
            <w:r w:rsidR="0060147B">
              <w:rPr>
                <w:rFonts w:eastAsia="MS Mincho"/>
              </w:rPr>
              <w:t>01</w:t>
            </w:r>
            <w:r>
              <w:rPr>
                <w:rFonts w:eastAsia="MS Mincho"/>
              </w:rPr>
              <w:t>/</w:t>
            </w:r>
            <w:r w:rsidR="0060147B">
              <w:rPr>
                <w:rFonts w:eastAsia="MS Mincho"/>
              </w:rPr>
              <w:t>6,820</w:t>
            </w:r>
          </w:p>
          <w:p w:rsidR="0061135E" w:rsidRDefault="0061135E" w:rsidP="00723730">
            <w:pPr>
              <w:pStyle w:val="Tablewriting"/>
              <w:jc w:val="center"/>
              <w:rPr>
                <w:rFonts w:eastAsia="MS Mincho"/>
              </w:rPr>
            </w:pPr>
            <w:r>
              <w:rPr>
                <w:rFonts w:eastAsia="MS Mincho"/>
              </w:rPr>
              <w:t>(</w:t>
            </w:r>
            <w:r w:rsidR="00447EA3">
              <w:rPr>
                <w:rFonts w:eastAsia="MS Mincho"/>
              </w:rPr>
              <w:t>10.3</w:t>
            </w:r>
            <w:r w:rsidR="00F3529F">
              <w:rPr>
                <w:rFonts w:eastAsia="MS Mincho"/>
              </w:rPr>
              <w:t>%</w:t>
            </w:r>
            <w:r>
              <w:rPr>
                <w:rFonts w:eastAsia="MS Mincho"/>
              </w:rPr>
              <w:t>)</w:t>
            </w:r>
          </w:p>
        </w:tc>
        <w:tc>
          <w:tcPr>
            <w:tcW w:w="697" w:type="pct"/>
            <w:tcMar>
              <w:left w:w="28" w:type="dxa"/>
              <w:right w:w="28" w:type="dxa"/>
            </w:tcMar>
            <w:vAlign w:val="center"/>
          </w:tcPr>
          <w:p w:rsidR="0061135E" w:rsidRDefault="0061135E" w:rsidP="00723730">
            <w:pPr>
              <w:pStyle w:val="Tablewriting"/>
              <w:jc w:val="center"/>
              <w:rPr>
                <w:rFonts w:eastAsia="MS Mincho"/>
                <w:b/>
                <w:bCs/>
              </w:rPr>
            </w:pPr>
            <w:r>
              <w:rPr>
                <w:rFonts w:eastAsia="MS Mincho"/>
                <w:b/>
                <w:bCs/>
              </w:rPr>
              <w:t>2.</w:t>
            </w:r>
            <w:r w:rsidR="0060147B">
              <w:rPr>
                <w:rFonts w:eastAsia="MS Mincho"/>
                <w:b/>
                <w:bCs/>
              </w:rPr>
              <w:t>82</w:t>
            </w:r>
          </w:p>
          <w:p w:rsidR="0061135E" w:rsidRPr="00583196" w:rsidRDefault="0061135E" w:rsidP="00723730">
            <w:pPr>
              <w:pStyle w:val="Tablewriting"/>
              <w:jc w:val="center"/>
              <w:rPr>
                <w:rFonts w:eastAsia="MS Mincho"/>
                <w:b/>
                <w:bCs/>
              </w:rPr>
            </w:pPr>
            <w:r>
              <w:rPr>
                <w:rFonts w:eastAsia="MS Mincho"/>
                <w:b/>
                <w:bCs/>
              </w:rPr>
              <w:t>(2.4</w:t>
            </w:r>
            <w:r w:rsidR="00037022">
              <w:rPr>
                <w:rFonts w:eastAsia="MS Mincho"/>
                <w:b/>
                <w:bCs/>
              </w:rPr>
              <w:t>1</w:t>
            </w:r>
            <w:r>
              <w:rPr>
                <w:rFonts w:eastAsia="MS Mincho"/>
                <w:b/>
                <w:bCs/>
              </w:rPr>
              <w:t>, 3.</w:t>
            </w:r>
            <w:r w:rsidR="00037022">
              <w:rPr>
                <w:rFonts w:eastAsia="MS Mincho"/>
                <w:b/>
                <w:bCs/>
              </w:rPr>
              <w:t>30</w:t>
            </w:r>
            <w:r>
              <w:rPr>
                <w:rFonts w:eastAsia="MS Mincho"/>
                <w:b/>
                <w:bCs/>
              </w:rPr>
              <w:t>)</w:t>
            </w:r>
          </w:p>
        </w:tc>
        <w:tc>
          <w:tcPr>
            <w:tcW w:w="696" w:type="pct"/>
            <w:vAlign w:val="center"/>
          </w:tcPr>
          <w:p w:rsidR="0061135E" w:rsidRPr="003A43F6" w:rsidRDefault="00D5516B" w:rsidP="00723730">
            <w:pPr>
              <w:pStyle w:val="Tablewriting"/>
              <w:jc w:val="center"/>
              <w:rPr>
                <w:rFonts w:eastAsia="MS Mincho"/>
                <w:b/>
                <w:bCs/>
              </w:rPr>
            </w:pPr>
            <w:r w:rsidRPr="003A43F6">
              <w:rPr>
                <w:rFonts w:eastAsia="MS Mincho"/>
                <w:b/>
                <w:bCs/>
              </w:rPr>
              <w:t>0.1</w:t>
            </w:r>
            <w:r w:rsidR="00037022">
              <w:rPr>
                <w:rFonts w:eastAsia="MS Mincho"/>
                <w:b/>
                <w:bCs/>
              </w:rPr>
              <w:t>9</w:t>
            </w:r>
          </w:p>
          <w:p w:rsidR="00D5516B" w:rsidRPr="00061F78" w:rsidRDefault="00D5516B" w:rsidP="00723730">
            <w:pPr>
              <w:pStyle w:val="Tablewriting"/>
              <w:jc w:val="center"/>
              <w:rPr>
                <w:rFonts w:eastAsia="MS Mincho"/>
              </w:rPr>
            </w:pPr>
            <w:r w:rsidRPr="003A43F6">
              <w:rPr>
                <w:rFonts w:eastAsia="MS Mincho"/>
                <w:b/>
                <w:bCs/>
              </w:rPr>
              <w:t>(0.1</w:t>
            </w:r>
            <w:r w:rsidR="00037022">
              <w:rPr>
                <w:rFonts w:eastAsia="MS Mincho"/>
                <w:b/>
                <w:bCs/>
              </w:rPr>
              <w:t>6</w:t>
            </w:r>
            <w:r w:rsidRPr="003A43F6">
              <w:rPr>
                <w:rFonts w:eastAsia="MS Mincho"/>
                <w:b/>
                <w:bCs/>
              </w:rPr>
              <w:t>, 0.2</w:t>
            </w:r>
            <w:r w:rsidR="00037022">
              <w:rPr>
                <w:rFonts w:eastAsia="MS Mincho"/>
                <w:b/>
                <w:bCs/>
              </w:rPr>
              <w:t>2</w:t>
            </w:r>
            <w:r w:rsidRPr="003A43F6">
              <w:rPr>
                <w:rFonts w:eastAsia="MS Mincho"/>
                <w:b/>
                <w:bCs/>
              </w:rPr>
              <w:t>)</w:t>
            </w:r>
          </w:p>
        </w:tc>
      </w:tr>
      <w:tr w:rsidR="008D1773" w:rsidRPr="00061F78" w:rsidTr="003954C8">
        <w:trPr>
          <w:cantSplit/>
          <w:trHeight w:val="149"/>
        </w:trPr>
        <w:tc>
          <w:tcPr>
            <w:tcW w:w="5000" w:type="pct"/>
            <w:gridSpan w:val="7"/>
            <w:shd w:val="clear" w:color="auto" w:fill="auto"/>
            <w:tcMar>
              <w:left w:w="28" w:type="dxa"/>
              <w:right w:w="28" w:type="dxa"/>
            </w:tcMar>
          </w:tcPr>
          <w:p w:rsidR="008D1773" w:rsidRPr="003954C8" w:rsidRDefault="00FD114D" w:rsidP="00723730">
            <w:pPr>
              <w:pStyle w:val="Tablewriting"/>
              <w:rPr>
                <w:rFonts w:eastAsia="MS Mincho"/>
                <w:b/>
                <w:bCs/>
              </w:rPr>
            </w:pPr>
            <w:r w:rsidRPr="003954C8">
              <w:rPr>
                <w:rFonts w:eastAsia="MS Mincho"/>
                <w:b/>
                <w:bCs/>
              </w:rPr>
              <w:t>Adverse event - insomnia</w:t>
            </w:r>
          </w:p>
        </w:tc>
      </w:tr>
      <w:tr w:rsidR="008D1773" w:rsidRPr="00061F78" w:rsidTr="0061135E">
        <w:trPr>
          <w:cantSplit/>
          <w:trHeight w:val="149"/>
        </w:trPr>
        <w:tc>
          <w:tcPr>
            <w:tcW w:w="557" w:type="pct"/>
            <w:tcMar>
              <w:left w:w="28" w:type="dxa"/>
              <w:right w:w="28" w:type="dxa"/>
            </w:tcMar>
          </w:tcPr>
          <w:p w:rsidR="008D1773" w:rsidRDefault="008D1773" w:rsidP="00037B11">
            <w:pPr>
              <w:pStyle w:val="Tablewriting"/>
              <w:rPr>
                <w:rFonts w:eastAsia="MS Mincho"/>
              </w:rPr>
            </w:pPr>
            <w:r>
              <w:rPr>
                <w:rFonts w:eastAsia="MS Mincho"/>
              </w:rPr>
              <w:t>Cahill</w:t>
            </w:r>
            <w:r w:rsidRPr="00061F78">
              <w:rPr>
                <w:rFonts w:eastAsia="MS Mincho"/>
              </w:rPr>
              <w:t xml:space="preserve"> </w:t>
            </w:r>
          </w:p>
          <w:p w:rsidR="008D1773" w:rsidRDefault="008D1773" w:rsidP="00037B11">
            <w:pPr>
              <w:pStyle w:val="Tablewriting"/>
              <w:rPr>
                <w:rFonts w:eastAsia="MS Mincho"/>
              </w:rPr>
            </w:pPr>
            <w:r w:rsidRPr="00061F78">
              <w:rPr>
                <w:rFonts w:eastAsia="MS Mincho"/>
              </w:rPr>
              <w:t>(20</w:t>
            </w:r>
            <w:r>
              <w:rPr>
                <w:rFonts w:eastAsia="MS Mincho"/>
              </w:rPr>
              <w:t>16</w:t>
            </w:r>
            <w:r w:rsidRPr="00061F78">
              <w:rPr>
                <w:rFonts w:eastAsia="MS Mincho"/>
              </w:rPr>
              <w:t>)</w:t>
            </w:r>
            <w:r w:rsidR="00037B11">
              <w:rPr>
                <w:rFonts w:eastAsia="MS Mincho"/>
                <w:vertAlign w:val="superscript"/>
              </w:rPr>
              <w:t>2</w:t>
            </w:r>
          </w:p>
        </w:tc>
        <w:tc>
          <w:tcPr>
            <w:tcW w:w="928" w:type="pct"/>
            <w:vAlign w:val="center"/>
          </w:tcPr>
          <w:p w:rsidR="008D1773" w:rsidRDefault="008D1773" w:rsidP="00037B11">
            <w:pPr>
              <w:pStyle w:val="Tablewriting"/>
              <w:jc w:val="center"/>
              <w:rPr>
                <w:rFonts w:eastAsia="MS Mincho"/>
              </w:rPr>
            </w:pPr>
            <w:r>
              <w:rPr>
                <w:rFonts w:eastAsia="MS Mincho"/>
              </w:rPr>
              <w:t>Cochrane Review (29 RCTs)</w:t>
            </w:r>
          </w:p>
        </w:tc>
        <w:tc>
          <w:tcPr>
            <w:tcW w:w="850" w:type="pct"/>
            <w:vMerge w:val="restart"/>
            <w:tcMar>
              <w:left w:w="28" w:type="dxa"/>
              <w:right w:w="28" w:type="dxa"/>
            </w:tcMar>
            <w:vAlign w:val="center"/>
          </w:tcPr>
          <w:p w:rsidR="008D1773" w:rsidRDefault="007A3D48" w:rsidP="00037B11">
            <w:pPr>
              <w:pStyle w:val="Tablewriting"/>
              <w:jc w:val="center"/>
              <w:rPr>
                <w:rFonts w:eastAsia="MS Mincho"/>
              </w:rPr>
            </w:pPr>
            <w:r>
              <w:rPr>
                <w:rFonts w:eastAsia="MS Mincho"/>
              </w:rPr>
              <w:t>All studies except Nakamura (2007)</w:t>
            </w:r>
            <w:r w:rsidR="00FD114D">
              <w:rPr>
                <w:rFonts w:eastAsia="MS Mincho"/>
              </w:rPr>
              <w:t xml:space="preserve"> </w:t>
            </w:r>
          </w:p>
        </w:tc>
        <w:tc>
          <w:tcPr>
            <w:tcW w:w="619" w:type="pct"/>
            <w:tcMar>
              <w:left w:w="28" w:type="dxa"/>
              <w:right w:w="28" w:type="dxa"/>
            </w:tcMar>
            <w:vAlign w:val="center"/>
          </w:tcPr>
          <w:p w:rsidR="008D1773" w:rsidRDefault="008D1773" w:rsidP="00037B11">
            <w:pPr>
              <w:pStyle w:val="Tablewriting"/>
              <w:jc w:val="center"/>
              <w:rPr>
                <w:rFonts w:eastAsia="MS Mincho"/>
              </w:rPr>
            </w:pPr>
            <w:r>
              <w:rPr>
                <w:rFonts w:eastAsia="MS Mincho"/>
              </w:rPr>
              <w:t>976/7,670</w:t>
            </w:r>
          </w:p>
          <w:p w:rsidR="008D1773" w:rsidRDefault="00F91D90" w:rsidP="00037B11">
            <w:pPr>
              <w:pStyle w:val="Tablewriting"/>
              <w:jc w:val="center"/>
              <w:rPr>
                <w:rFonts w:eastAsia="MS Mincho"/>
              </w:rPr>
            </w:pPr>
            <w:r>
              <w:rPr>
                <w:rFonts w:eastAsia="MS Mincho"/>
              </w:rPr>
              <w:t>(12.7%)</w:t>
            </w:r>
          </w:p>
        </w:tc>
        <w:tc>
          <w:tcPr>
            <w:tcW w:w="653" w:type="pct"/>
            <w:tcMar>
              <w:left w:w="28" w:type="dxa"/>
              <w:right w:w="28" w:type="dxa"/>
            </w:tcMar>
            <w:vAlign w:val="center"/>
          </w:tcPr>
          <w:p w:rsidR="008D1773" w:rsidRDefault="008D1773" w:rsidP="00037B11">
            <w:pPr>
              <w:pStyle w:val="Tablewriting"/>
              <w:jc w:val="center"/>
              <w:rPr>
                <w:rFonts w:eastAsia="MS Mincho"/>
              </w:rPr>
            </w:pPr>
            <w:r>
              <w:rPr>
                <w:rFonts w:eastAsia="MS Mincho"/>
              </w:rPr>
              <w:t>562/6,777</w:t>
            </w:r>
          </w:p>
          <w:p w:rsidR="008D1773" w:rsidRDefault="00332EC3" w:rsidP="00037B11">
            <w:pPr>
              <w:pStyle w:val="Tablewriting"/>
              <w:jc w:val="center"/>
              <w:rPr>
                <w:rFonts w:eastAsia="MS Mincho"/>
              </w:rPr>
            </w:pPr>
            <w:r>
              <w:rPr>
                <w:rFonts w:eastAsia="MS Mincho"/>
              </w:rPr>
              <w:t>(8.3%)</w:t>
            </w:r>
          </w:p>
        </w:tc>
        <w:tc>
          <w:tcPr>
            <w:tcW w:w="697" w:type="pct"/>
            <w:tcMar>
              <w:left w:w="28" w:type="dxa"/>
              <w:right w:w="28" w:type="dxa"/>
            </w:tcMar>
            <w:vAlign w:val="center"/>
          </w:tcPr>
          <w:p w:rsidR="008D1773" w:rsidRDefault="008D1773" w:rsidP="00037B11">
            <w:pPr>
              <w:pStyle w:val="Tablewriting"/>
              <w:jc w:val="center"/>
              <w:rPr>
                <w:rFonts w:eastAsia="MS Mincho"/>
                <w:b/>
                <w:bCs/>
              </w:rPr>
            </w:pPr>
            <w:r>
              <w:rPr>
                <w:rFonts w:eastAsia="MS Mincho"/>
                <w:b/>
                <w:bCs/>
              </w:rPr>
              <w:t>1.49</w:t>
            </w:r>
          </w:p>
          <w:p w:rsidR="008D1773" w:rsidRPr="00583196" w:rsidRDefault="008D1773" w:rsidP="00037B11">
            <w:pPr>
              <w:pStyle w:val="Tablewriting"/>
              <w:jc w:val="center"/>
              <w:rPr>
                <w:rFonts w:eastAsia="MS Mincho"/>
                <w:b/>
                <w:bCs/>
              </w:rPr>
            </w:pPr>
            <w:r>
              <w:rPr>
                <w:rFonts w:eastAsia="MS Mincho"/>
                <w:b/>
                <w:bCs/>
              </w:rPr>
              <w:t>(1.35, 1.65)</w:t>
            </w:r>
          </w:p>
        </w:tc>
        <w:tc>
          <w:tcPr>
            <w:tcW w:w="696" w:type="pct"/>
            <w:vAlign w:val="center"/>
          </w:tcPr>
          <w:p w:rsidR="008D1773" w:rsidRPr="00061F78" w:rsidRDefault="00037B11" w:rsidP="00037B11">
            <w:pPr>
              <w:pStyle w:val="Tablewriting"/>
              <w:jc w:val="center"/>
              <w:rPr>
                <w:rFonts w:eastAsia="MS Mincho"/>
              </w:rPr>
            </w:pPr>
            <w:r>
              <w:rPr>
                <w:rFonts w:eastAsia="MS Mincho"/>
              </w:rPr>
              <w:t>NR</w:t>
            </w:r>
          </w:p>
        </w:tc>
      </w:tr>
      <w:tr w:rsidR="00037B11" w:rsidRPr="00061F78" w:rsidTr="0061135E">
        <w:trPr>
          <w:cantSplit/>
          <w:trHeight w:val="149"/>
        </w:trPr>
        <w:tc>
          <w:tcPr>
            <w:tcW w:w="557" w:type="pct"/>
            <w:tcMar>
              <w:left w:w="28" w:type="dxa"/>
              <w:right w:w="28" w:type="dxa"/>
            </w:tcMar>
          </w:tcPr>
          <w:p w:rsidR="00037B11" w:rsidRDefault="00037B11" w:rsidP="00037B11">
            <w:pPr>
              <w:pStyle w:val="Tablewriting"/>
              <w:rPr>
                <w:rFonts w:eastAsia="MS Mincho"/>
              </w:rPr>
            </w:pPr>
            <w:r>
              <w:rPr>
                <w:rFonts w:eastAsia="MS Mincho"/>
              </w:rPr>
              <w:t>Updated re-analysis</w:t>
            </w:r>
            <w:r>
              <w:rPr>
                <w:rFonts w:eastAsia="MS Mincho"/>
                <w:vertAlign w:val="superscript"/>
              </w:rPr>
              <w:t>3</w:t>
            </w:r>
          </w:p>
        </w:tc>
        <w:tc>
          <w:tcPr>
            <w:tcW w:w="928" w:type="pct"/>
            <w:vAlign w:val="center"/>
          </w:tcPr>
          <w:p w:rsidR="00037B11" w:rsidRDefault="00136130" w:rsidP="00037B11">
            <w:pPr>
              <w:pStyle w:val="Tablewriting"/>
              <w:jc w:val="center"/>
              <w:rPr>
                <w:rFonts w:eastAsia="MS Mincho"/>
              </w:rPr>
            </w:pPr>
            <w:r>
              <w:rPr>
                <w:rFonts w:eastAsia="MS Mincho"/>
              </w:rPr>
              <w:t>29</w:t>
            </w:r>
            <w:r w:rsidR="00037B11">
              <w:rPr>
                <w:rFonts w:eastAsia="MS Mincho"/>
              </w:rPr>
              <w:t xml:space="preserve"> RCTs</w:t>
            </w:r>
          </w:p>
        </w:tc>
        <w:tc>
          <w:tcPr>
            <w:tcW w:w="850" w:type="pct"/>
            <w:vMerge/>
            <w:tcMar>
              <w:left w:w="28" w:type="dxa"/>
              <w:right w:w="28" w:type="dxa"/>
            </w:tcMar>
            <w:vAlign w:val="center"/>
          </w:tcPr>
          <w:p w:rsidR="00037B11" w:rsidRDefault="00037B11" w:rsidP="00037B11">
            <w:pPr>
              <w:pStyle w:val="Tablewriting"/>
              <w:jc w:val="center"/>
              <w:rPr>
                <w:rFonts w:eastAsia="MS Mincho"/>
              </w:rPr>
            </w:pPr>
          </w:p>
        </w:tc>
        <w:tc>
          <w:tcPr>
            <w:tcW w:w="619" w:type="pct"/>
            <w:tcMar>
              <w:left w:w="28" w:type="dxa"/>
              <w:right w:w="28" w:type="dxa"/>
            </w:tcMar>
            <w:vAlign w:val="center"/>
          </w:tcPr>
          <w:p w:rsidR="00037B11" w:rsidRDefault="00037B11" w:rsidP="00037B11">
            <w:pPr>
              <w:pStyle w:val="Tablewriting"/>
              <w:jc w:val="center"/>
              <w:rPr>
                <w:rFonts w:eastAsia="MS Mincho"/>
              </w:rPr>
            </w:pPr>
            <w:r>
              <w:rPr>
                <w:rFonts w:eastAsia="MS Mincho"/>
              </w:rPr>
              <w:t>1,</w:t>
            </w:r>
            <w:r w:rsidR="006342F0">
              <w:rPr>
                <w:rFonts w:eastAsia="MS Mincho"/>
              </w:rPr>
              <w:t>031</w:t>
            </w:r>
            <w:r>
              <w:rPr>
                <w:rFonts w:eastAsia="MS Mincho"/>
              </w:rPr>
              <w:t>/</w:t>
            </w:r>
            <w:r w:rsidR="00033533">
              <w:rPr>
                <w:rFonts w:eastAsia="MS Mincho"/>
              </w:rPr>
              <w:t>7,419</w:t>
            </w:r>
          </w:p>
          <w:p w:rsidR="00037B11" w:rsidRDefault="00037B11" w:rsidP="00037B11">
            <w:pPr>
              <w:pStyle w:val="Tablewriting"/>
              <w:jc w:val="center"/>
              <w:rPr>
                <w:rFonts w:eastAsia="MS Mincho"/>
              </w:rPr>
            </w:pPr>
            <w:r>
              <w:rPr>
                <w:rFonts w:eastAsia="MS Mincho"/>
              </w:rPr>
              <w:t>(</w:t>
            </w:r>
            <w:r w:rsidR="00A16DBD">
              <w:rPr>
                <w:rFonts w:eastAsia="MS Mincho"/>
              </w:rPr>
              <w:t>13.9</w:t>
            </w:r>
            <w:r>
              <w:rPr>
                <w:rFonts w:eastAsia="MS Mincho"/>
              </w:rPr>
              <w:t>%)</w:t>
            </w:r>
          </w:p>
        </w:tc>
        <w:tc>
          <w:tcPr>
            <w:tcW w:w="653" w:type="pct"/>
            <w:tcMar>
              <w:left w:w="28" w:type="dxa"/>
              <w:right w:w="28" w:type="dxa"/>
            </w:tcMar>
            <w:vAlign w:val="center"/>
          </w:tcPr>
          <w:p w:rsidR="00037B11" w:rsidRDefault="00033533" w:rsidP="00037B11">
            <w:pPr>
              <w:pStyle w:val="Tablewriting"/>
              <w:jc w:val="center"/>
              <w:rPr>
                <w:rFonts w:eastAsia="MS Mincho"/>
              </w:rPr>
            </w:pPr>
            <w:r>
              <w:rPr>
                <w:rFonts w:eastAsia="MS Mincho"/>
              </w:rPr>
              <w:t>667</w:t>
            </w:r>
            <w:r w:rsidR="00037B11">
              <w:rPr>
                <w:rFonts w:eastAsia="MS Mincho"/>
              </w:rPr>
              <w:t>/</w:t>
            </w:r>
            <w:r>
              <w:rPr>
                <w:rFonts w:eastAsia="MS Mincho"/>
              </w:rPr>
              <w:t>6,708</w:t>
            </w:r>
          </w:p>
          <w:p w:rsidR="00037B11" w:rsidRDefault="00037B11" w:rsidP="00037B11">
            <w:pPr>
              <w:pStyle w:val="Tablewriting"/>
              <w:jc w:val="center"/>
              <w:rPr>
                <w:rFonts w:eastAsia="MS Mincho"/>
              </w:rPr>
            </w:pPr>
            <w:r>
              <w:rPr>
                <w:rFonts w:eastAsia="MS Mincho"/>
              </w:rPr>
              <w:t>(</w:t>
            </w:r>
            <w:r w:rsidR="00D97B1B">
              <w:rPr>
                <w:rFonts w:eastAsia="MS Mincho"/>
              </w:rPr>
              <w:t>9.9</w:t>
            </w:r>
            <w:r>
              <w:rPr>
                <w:rFonts w:eastAsia="MS Mincho"/>
              </w:rPr>
              <w:t>%)</w:t>
            </w:r>
          </w:p>
        </w:tc>
        <w:tc>
          <w:tcPr>
            <w:tcW w:w="697" w:type="pct"/>
            <w:tcMar>
              <w:left w:w="28" w:type="dxa"/>
              <w:right w:w="28" w:type="dxa"/>
            </w:tcMar>
            <w:vAlign w:val="center"/>
          </w:tcPr>
          <w:p w:rsidR="00037B11" w:rsidRDefault="00033533" w:rsidP="00037B11">
            <w:pPr>
              <w:pStyle w:val="Tablewriting"/>
              <w:jc w:val="center"/>
              <w:rPr>
                <w:rFonts w:eastAsia="MS Mincho"/>
                <w:b/>
                <w:bCs/>
              </w:rPr>
            </w:pPr>
            <w:r>
              <w:rPr>
                <w:rFonts w:eastAsia="MS Mincho"/>
                <w:b/>
                <w:bCs/>
              </w:rPr>
              <w:t>1.42</w:t>
            </w:r>
          </w:p>
          <w:p w:rsidR="00037B11" w:rsidRDefault="00037B11" w:rsidP="00037B11">
            <w:pPr>
              <w:pStyle w:val="Tablewriting"/>
              <w:jc w:val="center"/>
              <w:rPr>
                <w:rFonts w:eastAsia="MS Mincho"/>
                <w:b/>
                <w:bCs/>
              </w:rPr>
            </w:pPr>
            <w:r>
              <w:rPr>
                <w:rFonts w:eastAsia="MS Mincho"/>
                <w:b/>
                <w:bCs/>
              </w:rPr>
              <w:t>(1.2</w:t>
            </w:r>
            <w:r w:rsidR="00033533">
              <w:rPr>
                <w:rFonts w:eastAsia="MS Mincho"/>
                <w:b/>
                <w:bCs/>
              </w:rPr>
              <w:t>7</w:t>
            </w:r>
            <w:r>
              <w:rPr>
                <w:rFonts w:eastAsia="MS Mincho"/>
                <w:b/>
                <w:bCs/>
              </w:rPr>
              <w:t>, 1.5</w:t>
            </w:r>
            <w:r w:rsidR="00033533">
              <w:rPr>
                <w:rFonts w:eastAsia="MS Mincho"/>
                <w:b/>
                <w:bCs/>
              </w:rPr>
              <w:t>9</w:t>
            </w:r>
            <w:r>
              <w:rPr>
                <w:rFonts w:eastAsia="MS Mincho"/>
                <w:b/>
                <w:bCs/>
              </w:rPr>
              <w:t>)</w:t>
            </w:r>
          </w:p>
        </w:tc>
        <w:tc>
          <w:tcPr>
            <w:tcW w:w="696" w:type="pct"/>
            <w:vAlign w:val="center"/>
          </w:tcPr>
          <w:p w:rsidR="00037B11" w:rsidRPr="003A43F6" w:rsidRDefault="00D41138" w:rsidP="00037B11">
            <w:pPr>
              <w:pStyle w:val="Tablewriting"/>
              <w:jc w:val="center"/>
              <w:rPr>
                <w:rFonts w:eastAsia="MS Mincho"/>
                <w:b/>
                <w:bCs/>
              </w:rPr>
            </w:pPr>
            <w:r w:rsidRPr="003A43F6">
              <w:rPr>
                <w:rFonts w:eastAsia="MS Mincho"/>
                <w:b/>
                <w:bCs/>
              </w:rPr>
              <w:t>0.04</w:t>
            </w:r>
          </w:p>
          <w:p w:rsidR="00D41138" w:rsidRPr="00061F78" w:rsidRDefault="00D41138" w:rsidP="00037B11">
            <w:pPr>
              <w:pStyle w:val="Tablewriting"/>
              <w:jc w:val="center"/>
              <w:rPr>
                <w:rFonts w:eastAsia="MS Mincho"/>
              </w:rPr>
            </w:pPr>
            <w:r w:rsidRPr="003A43F6">
              <w:rPr>
                <w:rFonts w:eastAsia="MS Mincho"/>
                <w:b/>
                <w:bCs/>
              </w:rPr>
              <w:t>(0.0</w:t>
            </w:r>
            <w:r w:rsidR="005A528F">
              <w:rPr>
                <w:rFonts w:eastAsia="MS Mincho"/>
                <w:b/>
                <w:bCs/>
              </w:rPr>
              <w:t>2</w:t>
            </w:r>
            <w:r w:rsidRPr="003A43F6">
              <w:rPr>
                <w:rFonts w:eastAsia="MS Mincho"/>
                <w:b/>
                <w:bCs/>
              </w:rPr>
              <w:t>, 0.05)</w:t>
            </w:r>
          </w:p>
        </w:tc>
      </w:tr>
      <w:tr w:rsidR="00FD114D" w:rsidRPr="00061F78" w:rsidTr="003954C8">
        <w:trPr>
          <w:cantSplit/>
          <w:trHeight w:val="149"/>
        </w:trPr>
        <w:tc>
          <w:tcPr>
            <w:tcW w:w="5000" w:type="pct"/>
            <w:gridSpan w:val="7"/>
            <w:shd w:val="clear" w:color="auto" w:fill="auto"/>
            <w:tcMar>
              <w:left w:w="28" w:type="dxa"/>
              <w:right w:w="28" w:type="dxa"/>
            </w:tcMar>
          </w:tcPr>
          <w:p w:rsidR="00FD114D" w:rsidRPr="003954C8" w:rsidRDefault="00426FB6" w:rsidP="00723730">
            <w:pPr>
              <w:pStyle w:val="Tablewriting"/>
              <w:rPr>
                <w:rFonts w:eastAsia="MS Mincho"/>
                <w:b/>
                <w:bCs/>
              </w:rPr>
            </w:pPr>
            <w:r w:rsidRPr="003954C8">
              <w:rPr>
                <w:rFonts w:eastAsia="MS Mincho"/>
                <w:b/>
                <w:bCs/>
              </w:rPr>
              <w:t>Adverse event – abnormal dreams</w:t>
            </w:r>
          </w:p>
        </w:tc>
      </w:tr>
      <w:tr w:rsidR="00FD114D" w:rsidRPr="00061F78" w:rsidTr="0061135E">
        <w:trPr>
          <w:cantSplit/>
          <w:trHeight w:val="149"/>
        </w:trPr>
        <w:tc>
          <w:tcPr>
            <w:tcW w:w="557" w:type="pct"/>
            <w:tcMar>
              <w:left w:w="28" w:type="dxa"/>
              <w:right w:w="28" w:type="dxa"/>
            </w:tcMar>
          </w:tcPr>
          <w:p w:rsidR="00880F28" w:rsidRDefault="00880F28" w:rsidP="00037B11">
            <w:pPr>
              <w:pStyle w:val="Tablewriting"/>
              <w:rPr>
                <w:rFonts w:eastAsia="MS Mincho"/>
              </w:rPr>
            </w:pPr>
            <w:r>
              <w:rPr>
                <w:rFonts w:eastAsia="MS Mincho"/>
              </w:rPr>
              <w:t>Cahill</w:t>
            </w:r>
            <w:r w:rsidRPr="00061F78">
              <w:rPr>
                <w:rFonts w:eastAsia="MS Mincho"/>
              </w:rPr>
              <w:t xml:space="preserve"> </w:t>
            </w:r>
          </w:p>
          <w:p w:rsidR="00FD114D" w:rsidRDefault="00880F28" w:rsidP="00037B11">
            <w:pPr>
              <w:pStyle w:val="Tablewriting"/>
              <w:rPr>
                <w:rFonts w:eastAsia="MS Mincho"/>
              </w:rPr>
            </w:pPr>
            <w:r w:rsidRPr="00061F78">
              <w:rPr>
                <w:rFonts w:eastAsia="MS Mincho"/>
              </w:rPr>
              <w:t>(20</w:t>
            </w:r>
            <w:r>
              <w:rPr>
                <w:rFonts w:eastAsia="MS Mincho"/>
              </w:rPr>
              <w:t>16</w:t>
            </w:r>
            <w:r w:rsidRPr="00061F78">
              <w:rPr>
                <w:rFonts w:eastAsia="MS Mincho"/>
              </w:rPr>
              <w:t>)</w:t>
            </w:r>
            <w:r w:rsidR="00037B11">
              <w:rPr>
                <w:rFonts w:eastAsia="MS Mincho"/>
                <w:vertAlign w:val="superscript"/>
              </w:rPr>
              <w:t>2</w:t>
            </w:r>
          </w:p>
        </w:tc>
        <w:tc>
          <w:tcPr>
            <w:tcW w:w="928" w:type="pct"/>
            <w:vAlign w:val="center"/>
          </w:tcPr>
          <w:p w:rsidR="00FD114D" w:rsidRDefault="00880F28" w:rsidP="00037B11">
            <w:pPr>
              <w:pStyle w:val="Tablewriting"/>
              <w:jc w:val="center"/>
              <w:rPr>
                <w:rFonts w:eastAsia="MS Mincho"/>
              </w:rPr>
            </w:pPr>
            <w:r>
              <w:rPr>
                <w:rFonts w:eastAsia="MS Mincho"/>
              </w:rPr>
              <w:t>Cochrane Review (26 RCTs)</w:t>
            </w:r>
          </w:p>
        </w:tc>
        <w:tc>
          <w:tcPr>
            <w:tcW w:w="850" w:type="pct"/>
            <w:vMerge w:val="restart"/>
            <w:tcMar>
              <w:left w:w="28" w:type="dxa"/>
              <w:right w:w="28" w:type="dxa"/>
            </w:tcMar>
            <w:vAlign w:val="center"/>
          </w:tcPr>
          <w:p w:rsidR="00FD114D" w:rsidRDefault="00880F28" w:rsidP="00037B11">
            <w:pPr>
              <w:pStyle w:val="Tablewriting"/>
              <w:jc w:val="center"/>
              <w:rPr>
                <w:rFonts w:eastAsia="MS Mincho"/>
              </w:rPr>
            </w:pPr>
            <w:r>
              <w:rPr>
                <w:rFonts w:eastAsia="MS Mincho"/>
              </w:rPr>
              <w:t xml:space="preserve">All studies except Nakamura (2007) </w:t>
            </w:r>
            <w:r w:rsidR="00426FB6">
              <w:rPr>
                <w:rFonts w:eastAsia="MS Mincho"/>
              </w:rPr>
              <w:t>and Wang (2009)</w:t>
            </w:r>
          </w:p>
        </w:tc>
        <w:tc>
          <w:tcPr>
            <w:tcW w:w="619" w:type="pct"/>
            <w:tcMar>
              <w:left w:w="28" w:type="dxa"/>
              <w:right w:w="28" w:type="dxa"/>
            </w:tcMar>
            <w:vAlign w:val="center"/>
          </w:tcPr>
          <w:p w:rsidR="00880F28" w:rsidRDefault="00880F28" w:rsidP="00037B11">
            <w:pPr>
              <w:pStyle w:val="Tablewriting"/>
              <w:jc w:val="center"/>
              <w:rPr>
                <w:rFonts w:eastAsia="MS Mincho"/>
              </w:rPr>
            </w:pPr>
            <w:r>
              <w:rPr>
                <w:rFonts w:eastAsia="MS Mincho"/>
              </w:rPr>
              <w:t>912/7,289</w:t>
            </w:r>
          </w:p>
          <w:p w:rsidR="00FD114D" w:rsidRDefault="00D4749F" w:rsidP="00037B11">
            <w:pPr>
              <w:pStyle w:val="Tablewriting"/>
              <w:jc w:val="center"/>
              <w:rPr>
                <w:rFonts w:eastAsia="MS Mincho"/>
              </w:rPr>
            </w:pPr>
            <w:r>
              <w:rPr>
                <w:rFonts w:eastAsia="MS Mincho"/>
              </w:rPr>
              <w:t>(12.5%)</w:t>
            </w:r>
          </w:p>
        </w:tc>
        <w:tc>
          <w:tcPr>
            <w:tcW w:w="653" w:type="pct"/>
            <w:tcMar>
              <w:left w:w="28" w:type="dxa"/>
              <w:right w:w="28" w:type="dxa"/>
            </w:tcMar>
            <w:vAlign w:val="center"/>
          </w:tcPr>
          <w:p w:rsidR="00880F28" w:rsidRDefault="00880F28" w:rsidP="00037B11">
            <w:pPr>
              <w:pStyle w:val="Tablewriting"/>
              <w:jc w:val="center"/>
              <w:rPr>
                <w:rFonts w:eastAsia="MS Mincho"/>
              </w:rPr>
            </w:pPr>
            <w:r>
              <w:rPr>
                <w:rFonts w:eastAsia="MS Mincho"/>
              </w:rPr>
              <w:t>365/6,393</w:t>
            </w:r>
          </w:p>
          <w:p w:rsidR="00FD114D" w:rsidRDefault="009C2425" w:rsidP="00037B11">
            <w:pPr>
              <w:pStyle w:val="Tablewriting"/>
              <w:jc w:val="center"/>
              <w:rPr>
                <w:rFonts w:eastAsia="MS Mincho"/>
              </w:rPr>
            </w:pPr>
            <w:r>
              <w:rPr>
                <w:rFonts w:eastAsia="MS Mincho"/>
              </w:rPr>
              <w:t>(5.7%)</w:t>
            </w:r>
          </w:p>
        </w:tc>
        <w:tc>
          <w:tcPr>
            <w:tcW w:w="697" w:type="pct"/>
            <w:tcMar>
              <w:left w:w="28" w:type="dxa"/>
              <w:right w:w="28" w:type="dxa"/>
            </w:tcMar>
            <w:vAlign w:val="center"/>
          </w:tcPr>
          <w:p w:rsidR="00880F28" w:rsidRDefault="00880F28" w:rsidP="00037B11">
            <w:pPr>
              <w:pStyle w:val="Tablewriting"/>
              <w:jc w:val="center"/>
              <w:rPr>
                <w:rFonts w:eastAsia="MS Mincho"/>
                <w:b/>
                <w:bCs/>
              </w:rPr>
            </w:pPr>
            <w:r>
              <w:rPr>
                <w:rFonts w:eastAsia="MS Mincho"/>
                <w:b/>
                <w:bCs/>
              </w:rPr>
              <w:t>2.12</w:t>
            </w:r>
          </w:p>
          <w:p w:rsidR="00FD114D" w:rsidRDefault="00880F28" w:rsidP="00037B11">
            <w:pPr>
              <w:pStyle w:val="Tablewriting"/>
              <w:jc w:val="center"/>
              <w:rPr>
                <w:rFonts w:eastAsia="MS Mincho"/>
                <w:b/>
                <w:bCs/>
              </w:rPr>
            </w:pPr>
            <w:r>
              <w:rPr>
                <w:rFonts w:eastAsia="MS Mincho"/>
                <w:b/>
                <w:bCs/>
              </w:rPr>
              <w:t>(1.88, 2.38)</w:t>
            </w:r>
          </w:p>
        </w:tc>
        <w:tc>
          <w:tcPr>
            <w:tcW w:w="696" w:type="pct"/>
            <w:vAlign w:val="center"/>
          </w:tcPr>
          <w:p w:rsidR="00FD114D" w:rsidRPr="00061F78" w:rsidRDefault="00037B11" w:rsidP="00037B11">
            <w:pPr>
              <w:pStyle w:val="Tablewriting"/>
              <w:jc w:val="center"/>
              <w:rPr>
                <w:rFonts w:eastAsia="MS Mincho"/>
              </w:rPr>
            </w:pPr>
            <w:r>
              <w:rPr>
                <w:rFonts w:eastAsia="MS Mincho"/>
              </w:rPr>
              <w:t>NR</w:t>
            </w:r>
          </w:p>
        </w:tc>
      </w:tr>
      <w:tr w:rsidR="00037B11" w:rsidRPr="00061F78" w:rsidTr="0061135E">
        <w:trPr>
          <w:cantSplit/>
          <w:trHeight w:val="149"/>
        </w:trPr>
        <w:tc>
          <w:tcPr>
            <w:tcW w:w="557" w:type="pct"/>
            <w:tcMar>
              <w:left w:w="28" w:type="dxa"/>
              <w:right w:w="28" w:type="dxa"/>
            </w:tcMar>
          </w:tcPr>
          <w:p w:rsidR="00037B11" w:rsidRDefault="00037B11" w:rsidP="00037B11">
            <w:pPr>
              <w:pStyle w:val="Tablewriting"/>
              <w:rPr>
                <w:rFonts w:eastAsia="MS Mincho"/>
              </w:rPr>
            </w:pPr>
            <w:r>
              <w:rPr>
                <w:rFonts w:eastAsia="MS Mincho"/>
              </w:rPr>
              <w:t>Updated re-analysis</w:t>
            </w:r>
            <w:r>
              <w:rPr>
                <w:rFonts w:eastAsia="MS Mincho"/>
                <w:vertAlign w:val="superscript"/>
              </w:rPr>
              <w:t>3</w:t>
            </w:r>
          </w:p>
        </w:tc>
        <w:tc>
          <w:tcPr>
            <w:tcW w:w="928" w:type="pct"/>
            <w:vAlign w:val="center"/>
          </w:tcPr>
          <w:p w:rsidR="00037B11" w:rsidRDefault="00037B11" w:rsidP="00037B11">
            <w:pPr>
              <w:pStyle w:val="Tablewriting"/>
              <w:jc w:val="center"/>
              <w:rPr>
                <w:rFonts w:eastAsia="MS Mincho"/>
              </w:rPr>
            </w:pPr>
            <w:r>
              <w:rPr>
                <w:rFonts w:eastAsia="MS Mincho"/>
              </w:rPr>
              <w:t>2</w:t>
            </w:r>
            <w:r w:rsidR="005A528F">
              <w:rPr>
                <w:rFonts w:eastAsia="MS Mincho"/>
              </w:rPr>
              <w:t>5</w:t>
            </w:r>
            <w:r>
              <w:rPr>
                <w:rFonts w:eastAsia="MS Mincho"/>
              </w:rPr>
              <w:t xml:space="preserve"> RCTs</w:t>
            </w:r>
          </w:p>
        </w:tc>
        <w:tc>
          <w:tcPr>
            <w:tcW w:w="850" w:type="pct"/>
            <w:vMerge/>
            <w:tcMar>
              <w:left w:w="28" w:type="dxa"/>
              <w:right w:w="28" w:type="dxa"/>
            </w:tcMar>
            <w:vAlign w:val="center"/>
          </w:tcPr>
          <w:p w:rsidR="00037B11" w:rsidRDefault="00037B11" w:rsidP="00037B11">
            <w:pPr>
              <w:pStyle w:val="Tablewriting"/>
              <w:jc w:val="center"/>
              <w:rPr>
                <w:rFonts w:eastAsia="MS Mincho"/>
              </w:rPr>
            </w:pPr>
          </w:p>
        </w:tc>
        <w:tc>
          <w:tcPr>
            <w:tcW w:w="619" w:type="pct"/>
            <w:tcMar>
              <w:left w:w="28" w:type="dxa"/>
              <w:right w:w="28" w:type="dxa"/>
            </w:tcMar>
            <w:vAlign w:val="center"/>
          </w:tcPr>
          <w:p w:rsidR="00037B11" w:rsidRDefault="00037B11" w:rsidP="00037B11">
            <w:pPr>
              <w:pStyle w:val="Tablewriting"/>
              <w:jc w:val="center"/>
              <w:rPr>
                <w:rFonts w:eastAsia="MS Mincho"/>
              </w:rPr>
            </w:pPr>
            <w:r>
              <w:rPr>
                <w:rFonts w:eastAsia="MS Mincho"/>
              </w:rPr>
              <w:t>1,</w:t>
            </w:r>
            <w:r w:rsidR="005A528F">
              <w:rPr>
                <w:rFonts w:eastAsia="MS Mincho"/>
              </w:rPr>
              <w:t>066</w:t>
            </w:r>
            <w:r>
              <w:rPr>
                <w:rFonts w:eastAsia="MS Mincho"/>
              </w:rPr>
              <w:t>/</w:t>
            </w:r>
            <w:r w:rsidR="00385B91">
              <w:rPr>
                <w:rFonts w:eastAsia="MS Mincho"/>
              </w:rPr>
              <w:t>6,936</w:t>
            </w:r>
          </w:p>
          <w:p w:rsidR="00037B11" w:rsidRDefault="00037B11" w:rsidP="00037B11">
            <w:pPr>
              <w:pStyle w:val="Tablewriting"/>
              <w:jc w:val="center"/>
              <w:rPr>
                <w:rFonts w:eastAsia="MS Mincho"/>
              </w:rPr>
            </w:pPr>
            <w:r>
              <w:rPr>
                <w:rFonts w:eastAsia="MS Mincho"/>
              </w:rPr>
              <w:t>(</w:t>
            </w:r>
            <w:r w:rsidR="00D97B1B">
              <w:rPr>
                <w:rFonts w:eastAsia="MS Mincho"/>
              </w:rPr>
              <w:t>15.4</w:t>
            </w:r>
            <w:r>
              <w:rPr>
                <w:rFonts w:eastAsia="MS Mincho"/>
              </w:rPr>
              <w:t>%)</w:t>
            </w:r>
          </w:p>
        </w:tc>
        <w:tc>
          <w:tcPr>
            <w:tcW w:w="653" w:type="pct"/>
            <w:tcMar>
              <w:left w:w="28" w:type="dxa"/>
              <w:right w:w="28" w:type="dxa"/>
            </w:tcMar>
            <w:vAlign w:val="center"/>
          </w:tcPr>
          <w:p w:rsidR="00037B11" w:rsidRDefault="00037B11" w:rsidP="00037B11">
            <w:pPr>
              <w:pStyle w:val="Tablewriting"/>
              <w:jc w:val="center"/>
              <w:rPr>
                <w:rFonts w:eastAsia="MS Mincho"/>
              </w:rPr>
            </w:pPr>
            <w:r>
              <w:rPr>
                <w:rFonts w:eastAsia="MS Mincho"/>
              </w:rPr>
              <w:t>5</w:t>
            </w:r>
            <w:r w:rsidR="00EE7EDC">
              <w:rPr>
                <w:rFonts w:eastAsia="MS Mincho"/>
              </w:rPr>
              <w:t>10</w:t>
            </w:r>
            <w:r>
              <w:rPr>
                <w:rFonts w:eastAsia="MS Mincho"/>
              </w:rPr>
              <w:t>/</w:t>
            </w:r>
            <w:r w:rsidR="00EE7EDC">
              <w:rPr>
                <w:rFonts w:eastAsia="MS Mincho"/>
              </w:rPr>
              <w:t>6,213</w:t>
            </w:r>
          </w:p>
          <w:p w:rsidR="00037B11" w:rsidRDefault="00037B11" w:rsidP="00037B11">
            <w:pPr>
              <w:pStyle w:val="Tablewriting"/>
              <w:jc w:val="center"/>
              <w:rPr>
                <w:rFonts w:eastAsia="MS Mincho"/>
              </w:rPr>
            </w:pPr>
            <w:r>
              <w:rPr>
                <w:rFonts w:eastAsia="MS Mincho"/>
              </w:rPr>
              <w:t>(</w:t>
            </w:r>
            <w:r w:rsidR="0032282B">
              <w:rPr>
                <w:rFonts w:eastAsia="MS Mincho"/>
              </w:rPr>
              <w:t>8.2</w:t>
            </w:r>
            <w:r>
              <w:rPr>
                <w:rFonts w:eastAsia="MS Mincho"/>
              </w:rPr>
              <w:t>%)</w:t>
            </w:r>
          </w:p>
        </w:tc>
        <w:tc>
          <w:tcPr>
            <w:tcW w:w="697" w:type="pct"/>
            <w:tcMar>
              <w:left w:w="28" w:type="dxa"/>
              <w:right w:w="28" w:type="dxa"/>
            </w:tcMar>
            <w:vAlign w:val="center"/>
          </w:tcPr>
          <w:p w:rsidR="00037B11" w:rsidRDefault="00037B11" w:rsidP="00037B11">
            <w:pPr>
              <w:pStyle w:val="Tablewriting"/>
              <w:jc w:val="center"/>
              <w:rPr>
                <w:rFonts w:eastAsia="MS Mincho"/>
                <w:b/>
                <w:bCs/>
              </w:rPr>
            </w:pPr>
            <w:r>
              <w:rPr>
                <w:rFonts w:eastAsia="MS Mincho"/>
                <w:b/>
                <w:bCs/>
              </w:rPr>
              <w:t>1.9</w:t>
            </w:r>
            <w:r w:rsidR="00EE7EDC">
              <w:rPr>
                <w:rFonts w:eastAsia="MS Mincho"/>
                <w:b/>
                <w:bCs/>
              </w:rPr>
              <w:t>8</w:t>
            </w:r>
          </w:p>
          <w:p w:rsidR="00037B11" w:rsidRDefault="00037B11" w:rsidP="00037B11">
            <w:pPr>
              <w:pStyle w:val="Tablewriting"/>
              <w:jc w:val="center"/>
              <w:rPr>
                <w:rFonts w:eastAsia="MS Mincho"/>
                <w:b/>
                <w:bCs/>
              </w:rPr>
            </w:pPr>
            <w:r>
              <w:rPr>
                <w:rFonts w:eastAsia="MS Mincho"/>
                <w:b/>
                <w:bCs/>
              </w:rPr>
              <w:t>(1.6</w:t>
            </w:r>
            <w:r w:rsidR="00EE7EDC">
              <w:rPr>
                <w:rFonts w:eastAsia="MS Mincho"/>
                <w:b/>
                <w:bCs/>
              </w:rPr>
              <w:t>3</w:t>
            </w:r>
            <w:r>
              <w:rPr>
                <w:rFonts w:eastAsia="MS Mincho"/>
                <w:b/>
                <w:bCs/>
              </w:rPr>
              <w:t>, 2.</w:t>
            </w:r>
            <w:r w:rsidR="00EE7EDC">
              <w:rPr>
                <w:rFonts w:eastAsia="MS Mincho"/>
                <w:b/>
                <w:bCs/>
              </w:rPr>
              <w:t>41</w:t>
            </w:r>
            <w:r>
              <w:rPr>
                <w:rFonts w:eastAsia="MS Mincho"/>
                <w:b/>
                <w:bCs/>
              </w:rPr>
              <w:t>)</w:t>
            </w:r>
          </w:p>
        </w:tc>
        <w:tc>
          <w:tcPr>
            <w:tcW w:w="696" w:type="pct"/>
            <w:vAlign w:val="center"/>
          </w:tcPr>
          <w:p w:rsidR="00037B11" w:rsidRPr="003A43F6" w:rsidRDefault="004D6C9B" w:rsidP="00037B11">
            <w:pPr>
              <w:pStyle w:val="Tablewriting"/>
              <w:jc w:val="center"/>
              <w:rPr>
                <w:rFonts w:eastAsia="MS Mincho"/>
                <w:b/>
                <w:bCs/>
              </w:rPr>
            </w:pPr>
            <w:r w:rsidRPr="003A43F6">
              <w:rPr>
                <w:rFonts w:eastAsia="MS Mincho"/>
                <w:b/>
                <w:bCs/>
              </w:rPr>
              <w:t>0.07</w:t>
            </w:r>
          </w:p>
          <w:p w:rsidR="004D6C9B" w:rsidRPr="00061F78" w:rsidRDefault="004D6C9B" w:rsidP="00037B11">
            <w:pPr>
              <w:pStyle w:val="Tablewriting"/>
              <w:jc w:val="center"/>
              <w:rPr>
                <w:rFonts w:eastAsia="MS Mincho"/>
              </w:rPr>
            </w:pPr>
            <w:r w:rsidRPr="003A43F6">
              <w:rPr>
                <w:rFonts w:eastAsia="MS Mincho"/>
                <w:b/>
                <w:bCs/>
              </w:rPr>
              <w:t>(0.05, 0.09)</w:t>
            </w:r>
          </w:p>
        </w:tc>
      </w:tr>
      <w:tr w:rsidR="00D17B7C" w:rsidRPr="00061F78" w:rsidTr="003954C8">
        <w:trPr>
          <w:cantSplit/>
          <w:trHeight w:val="149"/>
        </w:trPr>
        <w:tc>
          <w:tcPr>
            <w:tcW w:w="5000" w:type="pct"/>
            <w:gridSpan w:val="7"/>
            <w:shd w:val="clear" w:color="auto" w:fill="auto"/>
            <w:tcMar>
              <w:left w:w="28" w:type="dxa"/>
              <w:right w:w="28" w:type="dxa"/>
            </w:tcMar>
          </w:tcPr>
          <w:p w:rsidR="00D17B7C" w:rsidRPr="003954C8" w:rsidRDefault="00D17B7C" w:rsidP="00723730">
            <w:pPr>
              <w:pStyle w:val="Tablewriting"/>
              <w:rPr>
                <w:rFonts w:eastAsia="MS Mincho"/>
                <w:b/>
                <w:bCs/>
              </w:rPr>
            </w:pPr>
            <w:r w:rsidRPr="003954C8">
              <w:rPr>
                <w:rFonts w:eastAsia="MS Mincho"/>
                <w:b/>
                <w:bCs/>
              </w:rPr>
              <w:lastRenderedPageBreak/>
              <w:t>Adverse event – headache</w:t>
            </w:r>
          </w:p>
        </w:tc>
      </w:tr>
      <w:tr w:rsidR="00D17B7C" w:rsidRPr="00061F78" w:rsidTr="0061135E">
        <w:trPr>
          <w:cantSplit/>
          <w:trHeight w:val="149"/>
        </w:trPr>
        <w:tc>
          <w:tcPr>
            <w:tcW w:w="557" w:type="pct"/>
            <w:tcMar>
              <w:left w:w="28" w:type="dxa"/>
              <w:right w:w="28" w:type="dxa"/>
            </w:tcMar>
          </w:tcPr>
          <w:p w:rsidR="00D17B7C" w:rsidRDefault="00D17B7C" w:rsidP="00037B11">
            <w:pPr>
              <w:pStyle w:val="Tablewriting"/>
              <w:rPr>
                <w:rFonts w:eastAsia="MS Mincho"/>
              </w:rPr>
            </w:pPr>
            <w:r>
              <w:rPr>
                <w:rFonts w:eastAsia="MS Mincho"/>
              </w:rPr>
              <w:t>Cahill</w:t>
            </w:r>
            <w:r w:rsidRPr="00061F78">
              <w:rPr>
                <w:rFonts w:eastAsia="MS Mincho"/>
              </w:rPr>
              <w:t xml:space="preserve"> </w:t>
            </w:r>
          </w:p>
          <w:p w:rsidR="00D17B7C" w:rsidRDefault="00D17B7C" w:rsidP="00037B11">
            <w:pPr>
              <w:pStyle w:val="Tablewriting"/>
              <w:rPr>
                <w:rFonts w:eastAsia="MS Mincho"/>
              </w:rPr>
            </w:pPr>
            <w:r w:rsidRPr="00061F78">
              <w:rPr>
                <w:rFonts w:eastAsia="MS Mincho"/>
              </w:rPr>
              <w:t>(20</w:t>
            </w:r>
            <w:r>
              <w:rPr>
                <w:rFonts w:eastAsia="MS Mincho"/>
              </w:rPr>
              <w:t>16</w:t>
            </w:r>
            <w:r w:rsidRPr="00061F78">
              <w:rPr>
                <w:rFonts w:eastAsia="MS Mincho"/>
              </w:rPr>
              <w:t>)</w:t>
            </w:r>
            <w:r w:rsidR="00037B11">
              <w:rPr>
                <w:rFonts w:eastAsia="MS Mincho"/>
                <w:vertAlign w:val="superscript"/>
              </w:rPr>
              <w:t>2</w:t>
            </w:r>
          </w:p>
        </w:tc>
        <w:tc>
          <w:tcPr>
            <w:tcW w:w="928" w:type="pct"/>
            <w:vAlign w:val="center"/>
          </w:tcPr>
          <w:p w:rsidR="00D17B7C" w:rsidRDefault="00D17B7C" w:rsidP="00037B11">
            <w:pPr>
              <w:pStyle w:val="Tablewriting"/>
              <w:jc w:val="center"/>
              <w:rPr>
                <w:rFonts w:eastAsia="MS Mincho"/>
              </w:rPr>
            </w:pPr>
            <w:r>
              <w:rPr>
                <w:rFonts w:eastAsia="MS Mincho"/>
              </w:rPr>
              <w:t>Cochrane Review (25 RCTs)</w:t>
            </w:r>
          </w:p>
        </w:tc>
        <w:tc>
          <w:tcPr>
            <w:tcW w:w="850" w:type="pct"/>
            <w:vMerge w:val="restart"/>
            <w:tcMar>
              <w:left w:w="28" w:type="dxa"/>
              <w:right w:w="28" w:type="dxa"/>
            </w:tcMar>
            <w:vAlign w:val="center"/>
          </w:tcPr>
          <w:p w:rsidR="00D17B7C" w:rsidRDefault="00D17B7C" w:rsidP="00037B11">
            <w:pPr>
              <w:pStyle w:val="Tablewriting"/>
              <w:jc w:val="center"/>
              <w:rPr>
                <w:rFonts w:eastAsia="MS Mincho"/>
              </w:rPr>
            </w:pPr>
            <w:r>
              <w:rPr>
                <w:rFonts w:eastAsia="MS Mincho"/>
              </w:rPr>
              <w:t>All studies except Tsai (2007)</w:t>
            </w:r>
          </w:p>
        </w:tc>
        <w:tc>
          <w:tcPr>
            <w:tcW w:w="619" w:type="pct"/>
            <w:tcMar>
              <w:left w:w="28" w:type="dxa"/>
              <w:right w:w="28" w:type="dxa"/>
            </w:tcMar>
            <w:vAlign w:val="center"/>
          </w:tcPr>
          <w:p w:rsidR="00D17B7C" w:rsidRDefault="00D17B7C" w:rsidP="00037B11">
            <w:pPr>
              <w:pStyle w:val="Tablewriting"/>
              <w:jc w:val="center"/>
              <w:rPr>
                <w:rFonts w:eastAsia="MS Mincho"/>
              </w:rPr>
            </w:pPr>
            <w:r>
              <w:rPr>
                <w:rFonts w:eastAsia="MS Mincho"/>
              </w:rPr>
              <w:t>894/7,304</w:t>
            </w:r>
          </w:p>
          <w:p w:rsidR="00D17B7C" w:rsidRDefault="00241F91" w:rsidP="00037B11">
            <w:pPr>
              <w:pStyle w:val="Tablewriting"/>
              <w:jc w:val="center"/>
              <w:rPr>
                <w:rFonts w:eastAsia="MS Mincho"/>
              </w:rPr>
            </w:pPr>
            <w:r>
              <w:rPr>
                <w:rFonts w:eastAsia="MS Mincho"/>
              </w:rPr>
              <w:t>(12.2%)</w:t>
            </w:r>
          </w:p>
        </w:tc>
        <w:tc>
          <w:tcPr>
            <w:tcW w:w="653" w:type="pct"/>
            <w:tcMar>
              <w:left w:w="28" w:type="dxa"/>
              <w:right w:w="28" w:type="dxa"/>
            </w:tcMar>
            <w:vAlign w:val="center"/>
          </w:tcPr>
          <w:p w:rsidR="00D17B7C" w:rsidRDefault="00D17B7C" w:rsidP="00037B11">
            <w:pPr>
              <w:pStyle w:val="Tablewriting"/>
              <w:jc w:val="center"/>
              <w:rPr>
                <w:rFonts w:eastAsia="MS Mincho"/>
              </w:rPr>
            </w:pPr>
            <w:r>
              <w:rPr>
                <w:rFonts w:eastAsia="MS Mincho"/>
              </w:rPr>
              <w:t>668/6,531</w:t>
            </w:r>
          </w:p>
          <w:p w:rsidR="00D17B7C" w:rsidRDefault="000825AB" w:rsidP="00037B11">
            <w:pPr>
              <w:pStyle w:val="Tablewriting"/>
              <w:jc w:val="center"/>
              <w:rPr>
                <w:rFonts w:eastAsia="MS Mincho"/>
              </w:rPr>
            </w:pPr>
            <w:r>
              <w:rPr>
                <w:rFonts w:eastAsia="MS Mincho"/>
              </w:rPr>
              <w:t>(10.2%)</w:t>
            </w:r>
          </w:p>
        </w:tc>
        <w:tc>
          <w:tcPr>
            <w:tcW w:w="697" w:type="pct"/>
            <w:tcMar>
              <w:left w:w="28" w:type="dxa"/>
              <w:right w:w="28" w:type="dxa"/>
            </w:tcMar>
            <w:vAlign w:val="center"/>
          </w:tcPr>
          <w:p w:rsidR="00D17B7C" w:rsidRDefault="00D17B7C" w:rsidP="00037B11">
            <w:pPr>
              <w:pStyle w:val="Tablewriting"/>
              <w:jc w:val="center"/>
              <w:rPr>
                <w:rFonts w:eastAsia="MS Mincho"/>
                <w:b/>
                <w:bCs/>
              </w:rPr>
            </w:pPr>
            <w:r>
              <w:rPr>
                <w:rFonts w:eastAsia="MS Mincho"/>
                <w:b/>
                <w:bCs/>
              </w:rPr>
              <w:t>1.17</w:t>
            </w:r>
          </w:p>
          <w:p w:rsidR="00D17B7C" w:rsidRDefault="00D17B7C" w:rsidP="00037B11">
            <w:pPr>
              <w:pStyle w:val="Tablewriting"/>
              <w:jc w:val="center"/>
              <w:rPr>
                <w:rFonts w:eastAsia="MS Mincho"/>
                <w:b/>
                <w:bCs/>
              </w:rPr>
            </w:pPr>
            <w:r>
              <w:rPr>
                <w:rFonts w:eastAsia="MS Mincho"/>
                <w:b/>
                <w:bCs/>
              </w:rPr>
              <w:t>(1.07, 1.29)</w:t>
            </w:r>
          </w:p>
        </w:tc>
        <w:tc>
          <w:tcPr>
            <w:tcW w:w="696" w:type="pct"/>
            <w:vAlign w:val="center"/>
          </w:tcPr>
          <w:p w:rsidR="00D17B7C" w:rsidRPr="00061F78" w:rsidRDefault="00037B11" w:rsidP="00037B11">
            <w:pPr>
              <w:pStyle w:val="Tablewriting"/>
              <w:jc w:val="center"/>
              <w:rPr>
                <w:rFonts w:eastAsia="MS Mincho"/>
              </w:rPr>
            </w:pPr>
            <w:r>
              <w:rPr>
                <w:rFonts w:eastAsia="MS Mincho"/>
              </w:rPr>
              <w:t>NR</w:t>
            </w:r>
          </w:p>
        </w:tc>
      </w:tr>
      <w:tr w:rsidR="00037B11" w:rsidRPr="00061F78" w:rsidTr="0061135E">
        <w:trPr>
          <w:cantSplit/>
          <w:trHeight w:val="149"/>
        </w:trPr>
        <w:tc>
          <w:tcPr>
            <w:tcW w:w="557" w:type="pct"/>
            <w:tcMar>
              <w:left w:w="28" w:type="dxa"/>
              <w:right w:w="28" w:type="dxa"/>
            </w:tcMar>
          </w:tcPr>
          <w:p w:rsidR="00037B11" w:rsidRDefault="00037B11" w:rsidP="00037B11">
            <w:pPr>
              <w:pStyle w:val="Tablewriting"/>
              <w:rPr>
                <w:rFonts w:eastAsia="MS Mincho"/>
              </w:rPr>
            </w:pPr>
            <w:r>
              <w:rPr>
                <w:rFonts w:eastAsia="MS Mincho"/>
              </w:rPr>
              <w:t>Updated re-analysis</w:t>
            </w:r>
            <w:r>
              <w:rPr>
                <w:rFonts w:eastAsia="MS Mincho"/>
                <w:vertAlign w:val="superscript"/>
              </w:rPr>
              <w:t>3</w:t>
            </w:r>
          </w:p>
        </w:tc>
        <w:tc>
          <w:tcPr>
            <w:tcW w:w="928" w:type="pct"/>
            <w:vAlign w:val="center"/>
          </w:tcPr>
          <w:p w:rsidR="00037B11" w:rsidRDefault="006B6318" w:rsidP="00037B11">
            <w:pPr>
              <w:pStyle w:val="Tablewriting"/>
              <w:jc w:val="center"/>
              <w:rPr>
                <w:rFonts w:eastAsia="MS Mincho"/>
              </w:rPr>
            </w:pPr>
            <w:r>
              <w:rPr>
                <w:rFonts w:eastAsia="MS Mincho"/>
              </w:rPr>
              <w:t>27</w:t>
            </w:r>
            <w:r w:rsidR="00037B11">
              <w:rPr>
                <w:rFonts w:eastAsia="MS Mincho"/>
              </w:rPr>
              <w:t xml:space="preserve"> RCTs</w:t>
            </w:r>
          </w:p>
        </w:tc>
        <w:tc>
          <w:tcPr>
            <w:tcW w:w="850" w:type="pct"/>
            <w:vMerge/>
            <w:tcMar>
              <w:left w:w="28" w:type="dxa"/>
              <w:right w:w="28" w:type="dxa"/>
            </w:tcMar>
            <w:vAlign w:val="center"/>
          </w:tcPr>
          <w:p w:rsidR="00037B11" w:rsidRDefault="00037B11" w:rsidP="00037B11">
            <w:pPr>
              <w:pStyle w:val="Tablewriting"/>
              <w:jc w:val="center"/>
              <w:rPr>
                <w:rFonts w:eastAsia="MS Mincho"/>
              </w:rPr>
            </w:pPr>
          </w:p>
        </w:tc>
        <w:tc>
          <w:tcPr>
            <w:tcW w:w="619" w:type="pct"/>
            <w:tcMar>
              <w:left w:w="28" w:type="dxa"/>
              <w:right w:w="28" w:type="dxa"/>
            </w:tcMar>
            <w:vAlign w:val="center"/>
          </w:tcPr>
          <w:p w:rsidR="00037B11" w:rsidRDefault="00037B11" w:rsidP="00037B11">
            <w:pPr>
              <w:pStyle w:val="Tablewriting"/>
              <w:jc w:val="center"/>
              <w:rPr>
                <w:rFonts w:eastAsia="MS Mincho"/>
              </w:rPr>
            </w:pPr>
            <w:r>
              <w:rPr>
                <w:rFonts w:eastAsia="MS Mincho"/>
              </w:rPr>
              <w:t>1,</w:t>
            </w:r>
            <w:r w:rsidR="006B6318">
              <w:rPr>
                <w:rFonts w:eastAsia="MS Mincho"/>
              </w:rPr>
              <w:t>071</w:t>
            </w:r>
            <w:r>
              <w:rPr>
                <w:rFonts w:eastAsia="MS Mincho"/>
              </w:rPr>
              <w:t>/</w:t>
            </w:r>
            <w:r w:rsidR="006B6318">
              <w:rPr>
                <w:rFonts w:eastAsia="MS Mincho"/>
              </w:rPr>
              <w:t>7,409</w:t>
            </w:r>
          </w:p>
          <w:p w:rsidR="00037B11" w:rsidRDefault="00037B11" w:rsidP="00037B11">
            <w:pPr>
              <w:pStyle w:val="Tablewriting"/>
              <w:jc w:val="center"/>
              <w:rPr>
                <w:rFonts w:eastAsia="MS Mincho"/>
              </w:rPr>
            </w:pPr>
            <w:r>
              <w:rPr>
                <w:rFonts w:eastAsia="MS Mincho"/>
              </w:rPr>
              <w:t>(</w:t>
            </w:r>
            <w:r w:rsidR="0032282B">
              <w:rPr>
                <w:rFonts w:eastAsia="MS Mincho"/>
              </w:rPr>
              <w:t>14.5</w:t>
            </w:r>
            <w:r>
              <w:rPr>
                <w:rFonts w:eastAsia="MS Mincho"/>
              </w:rPr>
              <w:t>%)</w:t>
            </w:r>
          </w:p>
        </w:tc>
        <w:tc>
          <w:tcPr>
            <w:tcW w:w="653" w:type="pct"/>
            <w:tcMar>
              <w:left w:w="28" w:type="dxa"/>
              <w:right w:w="28" w:type="dxa"/>
            </w:tcMar>
            <w:vAlign w:val="center"/>
          </w:tcPr>
          <w:p w:rsidR="00037B11" w:rsidRDefault="006B6318" w:rsidP="00037B11">
            <w:pPr>
              <w:pStyle w:val="Tablewriting"/>
              <w:jc w:val="center"/>
              <w:rPr>
                <w:rFonts w:eastAsia="MS Mincho"/>
              </w:rPr>
            </w:pPr>
            <w:r>
              <w:rPr>
                <w:rFonts w:eastAsia="MS Mincho"/>
              </w:rPr>
              <w:t>855</w:t>
            </w:r>
            <w:r w:rsidR="00037B11">
              <w:rPr>
                <w:rFonts w:eastAsia="MS Mincho"/>
              </w:rPr>
              <w:t>/</w:t>
            </w:r>
            <w:r>
              <w:rPr>
                <w:rFonts w:eastAsia="MS Mincho"/>
              </w:rPr>
              <w:t>6,693</w:t>
            </w:r>
          </w:p>
          <w:p w:rsidR="00037B11" w:rsidRDefault="00037B11" w:rsidP="00037B11">
            <w:pPr>
              <w:pStyle w:val="Tablewriting"/>
              <w:jc w:val="center"/>
              <w:rPr>
                <w:rFonts w:eastAsia="MS Mincho"/>
              </w:rPr>
            </w:pPr>
            <w:r>
              <w:rPr>
                <w:rFonts w:eastAsia="MS Mincho"/>
              </w:rPr>
              <w:t>(</w:t>
            </w:r>
            <w:r w:rsidR="00184803">
              <w:rPr>
                <w:rFonts w:eastAsia="MS Mincho"/>
              </w:rPr>
              <w:t>12.8</w:t>
            </w:r>
            <w:r>
              <w:rPr>
                <w:rFonts w:eastAsia="MS Mincho"/>
              </w:rPr>
              <w:t>%)</w:t>
            </w:r>
          </w:p>
        </w:tc>
        <w:tc>
          <w:tcPr>
            <w:tcW w:w="697" w:type="pct"/>
            <w:tcMar>
              <w:left w:w="28" w:type="dxa"/>
              <w:right w:w="28" w:type="dxa"/>
            </w:tcMar>
            <w:vAlign w:val="center"/>
          </w:tcPr>
          <w:p w:rsidR="00037B11" w:rsidRPr="00BE7363" w:rsidRDefault="00037B11" w:rsidP="00037B11">
            <w:pPr>
              <w:pStyle w:val="Tablewriting"/>
              <w:jc w:val="center"/>
              <w:rPr>
                <w:rFonts w:eastAsia="MS Mincho"/>
              </w:rPr>
            </w:pPr>
            <w:r w:rsidRPr="00BE7363">
              <w:rPr>
                <w:rFonts w:eastAsia="MS Mincho"/>
              </w:rPr>
              <w:t>1.1</w:t>
            </w:r>
            <w:r w:rsidR="00EF17BC">
              <w:rPr>
                <w:rFonts w:eastAsia="MS Mincho"/>
              </w:rPr>
              <w:t>1</w:t>
            </w:r>
          </w:p>
          <w:p w:rsidR="00037B11" w:rsidRDefault="00037B11" w:rsidP="00037B11">
            <w:pPr>
              <w:pStyle w:val="Tablewriting"/>
              <w:jc w:val="center"/>
              <w:rPr>
                <w:rFonts w:eastAsia="MS Mincho"/>
                <w:b/>
                <w:bCs/>
              </w:rPr>
            </w:pPr>
            <w:r w:rsidRPr="00BE7363">
              <w:rPr>
                <w:rFonts w:eastAsia="MS Mincho"/>
              </w:rPr>
              <w:t>(</w:t>
            </w:r>
            <w:r w:rsidR="00EF17BC">
              <w:rPr>
                <w:rFonts w:eastAsia="MS Mincho"/>
              </w:rPr>
              <w:t>0.99</w:t>
            </w:r>
            <w:r w:rsidRPr="00BE7363">
              <w:rPr>
                <w:rFonts w:eastAsia="MS Mincho"/>
              </w:rPr>
              <w:t>, 1.</w:t>
            </w:r>
            <w:r w:rsidR="00EF17BC">
              <w:rPr>
                <w:rFonts w:eastAsia="MS Mincho"/>
              </w:rPr>
              <w:t>25</w:t>
            </w:r>
            <w:r w:rsidRPr="00BE7363">
              <w:rPr>
                <w:rFonts w:eastAsia="MS Mincho"/>
              </w:rPr>
              <w:t>)</w:t>
            </w:r>
          </w:p>
        </w:tc>
        <w:tc>
          <w:tcPr>
            <w:tcW w:w="696" w:type="pct"/>
            <w:vAlign w:val="center"/>
          </w:tcPr>
          <w:p w:rsidR="00037B11" w:rsidRPr="003A43F6" w:rsidRDefault="004D6C9B" w:rsidP="00037B11">
            <w:pPr>
              <w:pStyle w:val="Tablewriting"/>
              <w:jc w:val="center"/>
              <w:rPr>
                <w:rFonts w:eastAsia="MS Mincho"/>
                <w:b/>
                <w:bCs/>
              </w:rPr>
            </w:pPr>
            <w:r w:rsidRPr="003A43F6">
              <w:rPr>
                <w:rFonts w:eastAsia="MS Mincho"/>
                <w:b/>
                <w:bCs/>
              </w:rPr>
              <w:t>0.02</w:t>
            </w:r>
          </w:p>
          <w:p w:rsidR="004D6C9B" w:rsidRPr="00061F78" w:rsidRDefault="004D6C9B" w:rsidP="00037B11">
            <w:pPr>
              <w:pStyle w:val="Tablewriting"/>
              <w:jc w:val="center"/>
              <w:rPr>
                <w:rFonts w:eastAsia="MS Mincho"/>
              </w:rPr>
            </w:pPr>
            <w:r w:rsidRPr="003A43F6">
              <w:rPr>
                <w:rFonts w:eastAsia="MS Mincho"/>
                <w:b/>
                <w:bCs/>
              </w:rPr>
              <w:t>(0.01, 0.03)</w:t>
            </w:r>
          </w:p>
        </w:tc>
      </w:tr>
      <w:tr w:rsidR="008F7262" w:rsidRPr="00061F78" w:rsidTr="003954C8">
        <w:trPr>
          <w:cantSplit/>
          <w:trHeight w:val="149"/>
        </w:trPr>
        <w:tc>
          <w:tcPr>
            <w:tcW w:w="5000" w:type="pct"/>
            <w:gridSpan w:val="7"/>
            <w:shd w:val="clear" w:color="auto" w:fill="auto"/>
            <w:tcMar>
              <w:left w:w="28" w:type="dxa"/>
              <w:right w:w="28" w:type="dxa"/>
            </w:tcMar>
          </w:tcPr>
          <w:p w:rsidR="008F7262" w:rsidRPr="003954C8" w:rsidRDefault="008F7262" w:rsidP="00B930E5">
            <w:pPr>
              <w:pStyle w:val="Tablewriting"/>
              <w:rPr>
                <w:rFonts w:eastAsia="MS Mincho"/>
                <w:b/>
                <w:bCs/>
              </w:rPr>
            </w:pPr>
            <w:r w:rsidRPr="003954C8">
              <w:rPr>
                <w:rFonts w:eastAsia="MS Mincho"/>
                <w:b/>
                <w:bCs/>
              </w:rPr>
              <w:t xml:space="preserve">Adverse event – </w:t>
            </w:r>
            <w:r w:rsidR="008F172E" w:rsidRPr="003954C8">
              <w:rPr>
                <w:rFonts w:eastAsia="MS Mincho"/>
                <w:b/>
                <w:bCs/>
              </w:rPr>
              <w:t>depression</w:t>
            </w:r>
          </w:p>
        </w:tc>
      </w:tr>
      <w:tr w:rsidR="00666DDE" w:rsidRPr="00061F78" w:rsidTr="0061135E">
        <w:trPr>
          <w:cantSplit/>
          <w:trHeight w:val="149"/>
        </w:trPr>
        <w:tc>
          <w:tcPr>
            <w:tcW w:w="557" w:type="pct"/>
            <w:tcMar>
              <w:left w:w="28" w:type="dxa"/>
              <w:right w:w="28" w:type="dxa"/>
            </w:tcMar>
          </w:tcPr>
          <w:p w:rsidR="00666DDE" w:rsidRDefault="00666DDE" w:rsidP="008F172E">
            <w:pPr>
              <w:pStyle w:val="Tablewriting"/>
              <w:rPr>
                <w:rFonts w:eastAsia="MS Mincho"/>
              </w:rPr>
            </w:pPr>
            <w:r>
              <w:rPr>
                <w:rFonts w:eastAsia="MS Mincho"/>
              </w:rPr>
              <w:t>Cahill</w:t>
            </w:r>
            <w:r w:rsidRPr="00061F78">
              <w:rPr>
                <w:rFonts w:eastAsia="MS Mincho"/>
              </w:rPr>
              <w:t xml:space="preserve"> </w:t>
            </w:r>
          </w:p>
          <w:p w:rsidR="00666DDE" w:rsidRDefault="00666DDE" w:rsidP="008F172E">
            <w:pPr>
              <w:pStyle w:val="Tablewriting"/>
              <w:rPr>
                <w:rFonts w:eastAsia="MS Mincho"/>
              </w:rPr>
            </w:pPr>
            <w:r w:rsidRPr="00061F78">
              <w:rPr>
                <w:rFonts w:eastAsia="MS Mincho"/>
              </w:rPr>
              <w:t>(20</w:t>
            </w:r>
            <w:r>
              <w:rPr>
                <w:rFonts w:eastAsia="MS Mincho"/>
              </w:rPr>
              <w:t>16</w:t>
            </w:r>
            <w:r w:rsidRPr="00061F78">
              <w:rPr>
                <w:rFonts w:eastAsia="MS Mincho"/>
              </w:rPr>
              <w:t>)</w:t>
            </w:r>
            <w:r>
              <w:rPr>
                <w:rFonts w:eastAsia="MS Mincho"/>
                <w:vertAlign w:val="superscript"/>
              </w:rPr>
              <w:t>2</w:t>
            </w:r>
          </w:p>
        </w:tc>
        <w:tc>
          <w:tcPr>
            <w:tcW w:w="928" w:type="pct"/>
            <w:vAlign w:val="center"/>
          </w:tcPr>
          <w:p w:rsidR="00666DDE" w:rsidRDefault="00666DDE" w:rsidP="00037B11">
            <w:pPr>
              <w:pStyle w:val="Tablewriting"/>
              <w:jc w:val="center"/>
              <w:rPr>
                <w:rFonts w:eastAsia="MS Mincho"/>
              </w:rPr>
            </w:pPr>
            <w:r>
              <w:rPr>
                <w:rFonts w:eastAsia="MS Mincho"/>
              </w:rPr>
              <w:t>Cochrane Review (36 RCTs)</w:t>
            </w:r>
          </w:p>
        </w:tc>
        <w:tc>
          <w:tcPr>
            <w:tcW w:w="850" w:type="pct"/>
            <w:vMerge w:val="restart"/>
            <w:tcMar>
              <w:left w:w="28" w:type="dxa"/>
              <w:right w:w="28" w:type="dxa"/>
            </w:tcMar>
            <w:vAlign w:val="center"/>
          </w:tcPr>
          <w:p w:rsidR="00666DDE" w:rsidRDefault="00666DDE" w:rsidP="00037B11">
            <w:pPr>
              <w:pStyle w:val="Tablewriting"/>
              <w:jc w:val="center"/>
              <w:rPr>
                <w:rFonts w:eastAsia="MS Mincho"/>
              </w:rPr>
            </w:pPr>
            <w:r>
              <w:rPr>
                <w:rFonts w:eastAsia="MS Mincho"/>
              </w:rPr>
              <w:t xml:space="preserve">All studies except Nakamura (2007) and Wang (2009) </w:t>
            </w:r>
          </w:p>
        </w:tc>
        <w:tc>
          <w:tcPr>
            <w:tcW w:w="619" w:type="pct"/>
            <w:tcMar>
              <w:left w:w="28" w:type="dxa"/>
              <w:right w:w="28" w:type="dxa"/>
            </w:tcMar>
            <w:vAlign w:val="center"/>
          </w:tcPr>
          <w:p w:rsidR="00666DDE" w:rsidRDefault="00666DDE" w:rsidP="00037B11">
            <w:pPr>
              <w:pStyle w:val="Tablewriting"/>
              <w:jc w:val="center"/>
              <w:rPr>
                <w:rFonts w:eastAsia="MS Mincho"/>
              </w:rPr>
            </w:pPr>
            <w:r>
              <w:rPr>
                <w:rFonts w:eastAsia="MS Mincho"/>
              </w:rPr>
              <w:t>202/8,537</w:t>
            </w:r>
          </w:p>
          <w:p w:rsidR="00666DDE" w:rsidRDefault="00666DDE" w:rsidP="00037B11">
            <w:pPr>
              <w:pStyle w:val="Tablewriting"/>
              <w:jc w:val="center"/>
              <w:rPr>
                <w:rFonts w:eastAsia="MS Mincho"/>
              </w:rPr>
            </w:pPr>
            <w:r>
              <w:rPr>
                <w:rFonts w:eastAsia="MS Mincho"/>
              </w:rPr>
              <w:t>(%)</w:t>
            </w:r>
          </w:p>
        </w:tc>
        <w:tc>
          <w:tcPr>
            <w:tcW w:w="653" w:type="pct"/>
            <w:tcMar>
              <w:left w:w="28" w:type="dxa"/>
              <w:right w:w="28" w:type="dxa"/>
            </w:tcMar>
            <w:vAlign w:val="center"/>
          </w:tcPr>
          <w:p w:rsidR="00666DDE" w:rsidRDefault="00666DDE" w:rsidP="00037B11">
            <w:pPr>
              <w:pStyle w:val="Tablewriting"/>
              <w:jc w:val="center"/>
              <w:rPr>
                <w:rFonts w:eastAsia="MS Mincho"/>
              </w:rPr>
            </w:pPr>
            <w:r>
              <w:rPr>
                <w:rFonts w:eastAsia="MS Mincho"/>
              </w:rPr>
              <w:t>184/7,652</w:t>
            </w:r>
          </w:p>
          <w:p w:rsidR="00666DDE" w:rsidRDefault="00666DDE" w:rsidP="00037B11">
            <w:pPr>
              <w:pStyle w:val="Tablewriting"/>
              <w:jc w:val="center"/>
              <w:rPr>
                <w:rFonts w:eastAsia="MS Mincho"/>
              </w:rPr>
            </w:pPr>
            <w:r>
              <w:rPr>
                <w:rFonts w:eastAsia="MS Mincho"/>
              </w:rPr>
              <w:t>(%)</w:t>
            </w:r>
          </w:p>
        </w:tc>
        <w:tc>
          <w:tcPr>
            <w:tcW w:w="697" w:type="pct"/>
            <w:tcMar>
              <w:left w:w="28" w:type="dxa"/>
              <w:right w:w="28" w:type="dxa"/>
            </w:tcMar>
            <w:vAlign w:val="center"/>
          </w:tcPr>
          <w:p w:rsidR="00666DDE" w:rsidRPr="00E119DC" w:rsidRDefault="00666DDE" w:rsidP="00EA0552">
            <w:pPr>
              <w:pStyle w:val="Tablewriting"/>
              <w:jc w:val="center"/>
              <w:rPr>
                <w:rFonts w:eastAsia="MS Mincho"/>
              </w:rPr>
            </w:pPr>
            <w:r w:rsidRPr="00E119DC">
              <w:rPr>
                <w:rFonts w:eastAsia="MS Mincho"/>
              </w:rPr>
              <w:t>0.94</w:t>
            </w:r>
          </w:p>
          <w:p w:rsidR="00666DDE" w:rsidRPr="00BE7363" w:rsidRDefault="00666DDE" w:rsidP="00EA0552">
            <w:pPr>
              <w:pStyle w:val="Tablewriting"/>
              <w:jc w:val="center"/>
              <w:rPr>
                <w:rFonts w:eastAsia="MS Mincho"/>
              </w:rPr>
            </w:pPr>
            <w:r w:rsidRPr="00E119DC">
              <w:rPr>
                <w:rFonts w:eastAsia="MS Mincho"/>
              </w:rPr>
              <w:t>(0.77, 1.14)</w:t>
            </w:r>
          </w:p>
        </w:tc>
        <w:tc>
          <w:tcPr>
            <w:tcW w:w="696" w:type="pct"/>
            <w:vAlign w:val="center"/>
          </w:tcPr>
          <w:p w:rsidR="00666DDE" w:rsidRPr="00B930E5" w:rsidRDefault="00666DDE" w:rsidP="00037B11">
            <w:pPr>
              <w:pStyle w:val="Tablewriting"/>
              <w:jc w:val="center"/>
              <w:rPr>
                <w:rFonts w:eastAsia="MS Mincho"/>
              </w:rPr>
            </w:pPr>
            <w:r w:rsidRPr="00B930E5">
              <w:rPr>
                <w:rFonts w:eastAsia="MS Mincho"/>
              </w:rPr>
              <w:t>NR</w:t>
            </w:r>
          </w:p>
        </w:tc>
      </w:tr>
      <w:tr w:rsidR="00666DDE" w:rsidRPr="00061F78" w:rsidTr="0061135E">
        <w:trPr>
          <w:cantSplit/>
          <w:trHeight w:val="149"/>
        </w:trPr>
        <w:tc>
          <w:tcPr>
            <w:tcW w:w="557" w:type="pct"/>
            <w:tcMar>
              <w:left w:w="28" w:type="dxa"/>
              <w:right w:w="28" w:type="dxa"/>
            </w:tcMar>
          </w:tcPr>
          <w:p w:rsidR="00666DDE" w:rsidRDefault="00666DDE" w:rsidP="00037B11">
            <w:pPr>
              <w:pStyle w:val="Tablewriting"/>
              <w:rPr>
                <w:rFonts w:eastAsia="MS Mincho"/>
              </w:rPr>
            </w:pPr>
            <w:r>
              <w:rPr>
                <w:rFonts w:eastAsia="MS Mincho"/>
              </w:rPr>
              <w:t>Updated re-analysis</w:t>
            </w:r>
            <w:r>
              <w:rPr>
                <w:rFonts w:eastAsia="MS Mincho"/>
                <w:vertAlign w:val="superscript"/>
              </w:rPr>
              <w:t>3</w:t>
            </w:r>
          </w:p>
        </w:tc>
        <w:tc>
          <w:tcPr>
            <w:tcW w:w="928" w:type="pct"/>
            <w:vAlign w:val="center"/>
          </w:tcPr>
          <w:p w:rsidR="00666DDE" w:rsidRDefault="00571D1D" w:rsidP="00037B11">
            <w:pPr>
              <w:pStyle w:val="Tablewriting"/>
              <w:jc w:val="center"/>
              <w:rPr>
                <w:rFonts w:eastAsia="MS Mincho"/>
              </w:rPr>
            </w:pPr>
            <w:r>
              <w:rPr>
                <w:rFonts w:eastAsia="MS Mincho"/>
              </w:rPr>
              <w:t>36 RCTs</w:t>
            </w:r>
          </w:p>
        </w:tc>
        <w:tc>
          <w:tcPr>
            <w:tcW w:w="850" w:type="pct"/>
            <w:vMerge/>
            <w:tcMar>
              <w:left w:w="28" w:type="dxa"/>
              <w:right w:w="28" w:type="dxa"/>
            </w:tcMar>
            <w:vAlign w:val="center"/>
          </w:tcPr>
          <w:p w:rsidR="00666DDE" w:rsidRDefault="00666DDE" w:rsidP="00037B11">
            <w:pPr>
              <w:pStyle w:val="Tablewriting"/>
              <w:jc w:val="center"/>
              <w:rPr>
                <w:rFonts w:eastAsia="MS Mincho"/>
              </w:rPr>
            </w:pPr>
          </w:p>
        </w:tc>
        <w:tc>
          <w:tcPr>
            <w:tcW w:w="619" w:type="pct"/>
            <w:tcMar>
              <w:left w:w="28" w:type="dxa"/>
              <w:right w:w="28" w:type="dxa"/>
            </w:tcMar>
            <w:vAlign w:val="center"/>
          </w:tcPr>
          <w:p w:rsidR="00666DDE" w:rsidRDefault="00571D1D" w:rsidP="00037B11">
            <w:pPr>
              <w:pStyle w:val="Tablewriting"/>
              <w:jc w:val="center"/>
              <w:rPr>
                <w:rFonts w:eastAsia="MS Mincho"/>
              </w:rPr>
            </w:pPr>
            <w:r>
              <w:rPr>
                <w:rFonts w:eastAsia="MS Mincho"/>
              </w:rPr>
              <w:t>230/7,955</w:t>
            </w:r>
          </w:p>
          <w:p w:rsidR="00666DDE" w:rsidRDefault="00571D1D" w:rsidP="00037B11">
            <w:pPr>
              <w:pStyle w:val="Tablewriting"/>
              <w:jc w:val="center"/>
              <w:rPr>
                <w:rFonts w:eastAsia="MS Mincho"/>
              </w:rPr>
            </w:pPr>
            <w:r>
              <w:rPr>
                <w:rFonts w:eastAsia="MS Mincho"/>
              </w:rPr>
              <w:t>(</w:t>
            </w:r>
            <w:r w:rsidR="00861636">
              <w:rPr>
                <w:rFonts w:eastAsia="MS Mincho"/>
              </w:rPr>
              <w:t>2.9</w:t>
            </w:r>
            <w:r>
              <w:rPr>
                <w:rFonts w:eastAsia="MS Mincho"/>
              </w:rPr>
              <w:t>%)</w:t>
            </w:r>
          </w:p>
        </w:tc>
        <w:tc>
          <w:tcPr>
            <w:tcW w:w="653" w:type="pct"/>
            <w:tcMar>
              <w:left w:w="28" w:type="dxa"/>
              <w:right w:w="28" w:type="dxa"/>
            </w:tcMar>
            <w:vAlign w:val="center"/>
          </w:tcPr>
          <w:p w:rsidR="00666DDE" w:rsidRDefault="00571D1D" w:rsidP="00037B11">
            <w:pPr>
              <w:pStyle w:val="Tablewriting"/>
              <w:jc w:val="center"/>
              <w:rPr>
                <w:rFonts w:eastAsia="MS Mincho"/>
              </w:rPr>
            </w:pPr>
            <w:r>
              <w:rPr>
                <w:rFonts w:eastAsia="MS Mincho"/>
              </w:rPr>
              <w:t>208/7,265</w:t>
            </w:r>
          </w:p>
          <w:p w:rsidR="00666DDE" w:rsidRDefault="00571D1D" w:rsidP="00037B11">
            <w:pPr>
              <w:pStyle w:val="Tablewriting"/>
              <w:jc w:val="center"/>
              <w:rPr>
                <w:rFonts w:eastAsia="MS Mincho"/>
              </w:rPr>
            </w:pPr>
            <w:r>
              <w:rPr>
                <w:rFonts w:eastAsia="MS Mincho"/>
              </w:rPr>
              <w:t>(</w:t>
            </w:r>
            <w:r w:rsidR="00F66192">
              <w:rPr>
                <w:rFonts w:eastAsia="MS Mincho"/>
              </w:rPr>
              <w:t>2.9</w:t>
            </w:r>
            <w:r>
              <w:rPr>
                <w:rFonts w:eastAsia="MS Mincho"/>
              </w:rPr>
              <w:t>%)</w:t>
            </w:r>
          </w:p>
        </w:tc>
        <w:tc>
          <w:tcPr>
            <w:tcW w:w="697" w:type="pct"/>
            <w:tcMar>
              <w:left w:w="28" w:type="dxa"/>
              <w:right w:w="28" w:type="dxa"/>
            </w:tcMar>
            <w:vAlign w:val="center"/>
          </w:tcPr>
          <w:p w:rsidR="00666DDE" w:rsidRDefault="00571D1D" w:rsidP="00037B11">
            <w:pPr>
              <w:pStyle w:val="Tablewriting"/>
              <w:jc w:val="center"/>
              <w:rPr>
                <w:rFonts w:eastAsia="MS Mincho"/>
              </w:rPr>
            </w:pPr>
            <w:r>
              <w:rPr>
                <w:rFonts w:eastAsia="MS Mincho"/>
              </w:rPr>
              <w:t>1.02</w:t>
            </w:r>
          </w:p>
          <w:p w:rsidR="00666DDE" w:rsidRPr="00BE7363" w:rsidRDefault="00571D1D" w:rsidP="00037B11">
            <w:pPr>
              <w:pStyle w:val="Tablewriting"/>
              <w:jc w:val="center"/>
              <w:rPr>
                <w:rFonts w:eastAsia="MS Mincho"/>
              </w:rPr>
            </w:pPr>
            <w:r>
              <w:rPr>
                <w:rFonts w:eastAsia="MS Mincho"/>
              </w:rPr>
              <w:t>(0.86, 1.23)</w:t>
            </w:r>
          </w:p>
        </w:tc>
        <w:tc>
          <w:tcPr>
            <w:tcW w:w="696" w:type="pct"/>
            <w:vAlign w:val="center"/>
          </w:tcPr>
          <w:p w:rsidR="00666DDE" w:rsidRPr="00571D1D" w:rsidRDefault="00571D1D" w:rsidP="00037B11">
            <w:pPr>
              <w:pStyle w:val="Tablewriting"/>
              <w:jc w:val="center"/>
              <w:rPr>
                <w:rFonts w:eastAsia="MS Mincho"/>
              </w:rPr>
            </w:pPr>
            <w:r w:rsidRPr="00571D1D">
              <w:rPr>
                <w:rFonts w:eastAsia="MS Mincho"/>
              </w:rPr>
              <w:t>0</w:t>
            </w:r>
          </w:p>
          <w:p w:rsidR="00666DDE" w:rsidRPr="003A43F6" w:rsidRDefault="00571D1D" w:rsidP="00037B11">
            <w:pPr>
              <w:pStyle w:val="Tablewriting"/>
              <w:jc w:val="center"/>
              <w:rPr>
                <w:rFonts w:eastAsia="MS Mincho"/>
                <w:b/>
                <w:bCs/>
              </w:rPr>
            </w:pPr>
            <w:r w:rsidRPr="00571D1D">
              <w:rPr>
                <w:rFonts w:eastAsia="MS Mincho"/>
              </w:rPr>
              <w:t>(-0.00, 0.00)</w:t>
            </w:r>
          </w:p>
        </w:tc>
      </w:tr>
      <w:tr w:rsidR="008F7262" w:rsidRPr="00061F78" w:rsidTr="008F7262">
        <w:trPr>
          <w:cantSplit/>
          <w:trHeight w:val="149"/>
        </w:trPr>
        <w:tc>
          <w:tcPr>
            <w:tcW w:w="5000" w:type="pct"/>
            <w:gridSpan w:val="7"/>
            <w:tcMar>
              <w:left w:w="28" w:type="dxa"/>
              <w:right w:w="28" w:type="dxa"/>
            </w:tcMar>
          </w:tcPr>
          <w:p w:rsidR="008F7262" w:rsidRPr="00D4440C" w:rsidRDefault="008F7262" w:rsidP="00B930E5">
            <w:pPr>
              <w:pStyle w:val="Tablewriting"/>
              <w:rPr>
                <w:rFonts w:eastAsia="MS Mincho"/>
                <w:b/>
                <w:bCs/>
              </w:rPr>
            </w:pPr>
            <w:r w:rsidRPr="00D4440C">
              <w:rPr>
                <w:rFonts w:eastAsia="MS Mincho"/>
                <w:b/>
                <w:bCs/>
              </w:rPr>
              <w:t xml:space="preserve">Adverse event – </w:t>
            </w:r>
            <w:r w:rsidR="008F172E" w:rsidRPr="00D4440C">
              <w:rPr>
                <w:rFonts w:eastAsia="MS Mincho"/>
                <w:b/>
                <w:bCs/>
              </w:rPr>
              <w:t>suicidal ideation</w:t>
            </w:r>
          </w:p>
        </w:tc>
      </w:tr>
      <w:tr w:rsidR="00666DDE" w:rsidRPr="00061F78" w:rsidTr="0061135E">
        <w:trPr>
          <w:cantSplit/>
          <w:trHeight w:val="149"/>
        </w:trPr>
        <w:tc>
          <w:tcPr>
            <w:tcW w:w="557" w:type="pct"/>
            <w:tcMar>
              <w:left w:w="28" w:type="dxa"/>
              <w:right w:w="28" w:type="dxa"/>
            </w:tcMar>
          </w:tcPr>
          <w:p w:rsidR="00666DDE" w:rsidRDefault="00666DDE" w:rsidP="008F172E">
            <w:pPr>
              <w:pStyle w:val="Tablewriting"/>
              <w:rPr>
                <w:rFonts w:eastAsia="MS Mincho"/>
              </w:rPr>
            </w:pPr>
            <w:r>
              <w:rPr>
                <w:rFonts w:eastAsia="MS Mincho"/>
              </w:rPr>
              <w:t>Cahill</w:t>
            </w:r>
            <w:r w:rsidRPr="00061F78">
              <w:rPr>
                <w:rFonts w:eastAsia="MS Mincho"/>
              </w:rPr>
              <w:t xml:space="preserve"> </w:t>
            </w:r>
          </w:p>
          <w:p w:rsidR="00666DDE" w:rsidRDefault="00666DDE" w:rsidP="008F172E">
            <w:pPr>
              <w:pStyle w:val="Tablewriting"/>
              <w:rPr>
                <w:rFonts w:eastAsia="MS Mincho"/>
              </w:rPr>
            </w:pPr>
            <w:r w:rsidRPr="00061F78">
              <w:rPr>
                <w:rFonts w:eastAsia="MS Mincho"/>
              </w:rPr>
              <w:t>(20</w:t>
            </w:r>
            <w:r>
              <w:rPr>
                <w:rFonts w:eastAsia="MS Mincho"/>
              </w:rPr>
              <w:t>16</w:t>
            </w:r>
            <w:r w:rsidRPr="00061F78">
              <w:rPr>
                <w:rFonts w:eastAsia="MS Mincho"/>
              </w:rPr>
              <w:t>)</w:t>
            </w:r>
            <w:r>
              <w:rPr>
                <w:rFonts w:eastAsia="MS Mincho"/>
                <w:vertAlign w:val="superscript"/>
              </w:rPr>
              <w:t>2</w:t>
            </w:r>
          </w:p>
        </w:tc>
        <w:tc>
          <w:tcPr>
            <w:tcW w:w="928" w:type="pct"/>
            <w:vAlign w:val="center"/>
          </w:tcPr>
          <w:p w:rsidR="00666DDE" w:rsidRDefault="00666DDE" w:rsidP="00037B11">
            <w:pPr>
              <w:pStyle w:val="Tablewriting"/>
              <w:jc w:val="center"/>
              <w:rPr>
                <w:rFonts w:eastAsia="MS Mincho"/>
              </w:rPr>
            </w:pPr>
            <w:r>
              <w:rPr>
                <w:rFonts w:eastAsia="MS Mincho"/>
              </w:rPr>
              <w:t>Cochrane Review (24 RCTs)</w:t>
            </w:r>
          </w:p>
        </w:tc>
        <w:tc>
          <w:tcPr>
            <w:tcW w:w="850" w:type="pct"/>
            <w:vMerge w:val="restart"/>
            <w:tcMar>
              <w:left w:w="28" w:type="dxa"/>
              <w:right w:w="28" w:type="dxa"/>
            </w:tcMar>
            <w:vAlign w:val="center"/>
          </w:tcPr>
          <w:p w:rsidR="00666DDE" w:rsidRDefault="00666DDE" w:rsidP="00037B11">
            <w:pPr>
              <w:pStyle w:val="Tablewriting"/>
              <w:jc w:val="center"/>
              <w:rPr>
                <w:rFonts w:eastAsia="MS Mincho"/>
              </w:rPr>
            </w:pPr>
            <w:r>
              <w:rPr>
                <w:rFonts w:eastAsia="MS Mincho"/>
              </w:rPr>
              <w:t xml:space="preserve">Jorenby (2006), Bolliger (2011), </w:t>
            </w:r>
            <w:r w:rsidR="008F6D5F">
              <w:rPr>
                <w:rFonts w:eastAsia="MS Mincho"/>
              </w:rPr>
              <w:t>Tashkin (2011), Rennard (2012), EAGLES (2016)</w:t>
            </w:r>
          </w:p>
        </w:tc>
        <w:tc>
          <w:tcPr>
            <w:tcW w:w="619" w:type="pct"/>
            <w:tcMar>
              <w:left w:w="28" w:type="dxa"/>
              <w:right w:w="28" w:type="dxa"/>
            </w:tcMar>
            <w:vAlign w:val="center"/>
          </w:tcPr>
          <w:p w:rsidR="00666DDE" w:rsidRDefault="00666DDE" w:rsidP="00037B11">
            <w:pPr>
              <w:pStyle w:val="Tablewriting"/>
              <w:jc w:val="center"/>
              <w:rPr>
                <w:rFonts w:eastAsia="MS Mincho"/>
              </w:rPr>
            </w:pPr>
            <w:r>
              <w:rPr>
                <w:rFonts w:eastAsia="MS Mincho"/>
              </w:rPr>
              <w:t>29/5,905</w:t>
            </w:r>
          </w:p>
          <w:p w:rsidR="00666DDE" w:rsidRDefault="00666DDE" w:rsidP="00037B11">
            <w:pPr>
              <w:pStyle w:val="Tablewriting"/>
              <w:jc w:val="center"/>
              <w:rPr>
                <w:rFonts w:eastAsia="MS Mincho"/>
              </w:rPr>
            </w:pPr>
            <w:r>
              <w:rPr>
                <w:rFonts w:eastAsia="MS Mincho"/>
              </w:rPr>
              <w:t>(%)</w:t>
            </w:r>
          </w:p>
        </w:tc>
        <w:tc>
          <w:tcPr>
            <w:tcW w:w="653" w:type="pct"/>
            <w:tcMar>
              <w:left w:w="28" w:type="dxa"/>
              <w:right w:w="28" w:type="dxa"/>
            </w:tcMar>
            <w:vAlign w:val="center"/>
          </w:tcPr>
          <w:p w:rsidR="00666DDE" w:rsidRDefault="00666DDE" w:rsidP="00037B11">
            <w:pPr>
              <w:pStyle w:val="Tablewriting"/>
              <w:jc w:val="center"/>
              <w:rPr>
                <w:rFonts w:eastAsia="MS Mincho"/>
              </w:rPr>
            </w:pPr>
            <w:r>
              <w:rPr>
                <w:rFonts w:eastAsia="MS Mincho"/>
              </w:rPr>
              <w:t>37/5,288</w:t>
            </w:r>
          </w:p>
          <w:p w:rsidR="00666DDE" w:rsidRDefault="00666DDE" w:rsidP="00037B11">
            <w:pPr>
              <w:pStyle w:val="Tablewriting"/>
              <w:jc w:val="center"/>
              <w:rPr>
                <w:rFonts w:eastAsia="MS Mincho"/>
              </w:rPr>
            </w:pPr>
            <w:r>
              <w:rPr>
                <w:rFonts w:eastAsia="MS Mincho"/>
              </w:rPr>
              <w:t>(%)</w:t>
            </w:r>
          </w:p>
        </w:tc>
        <w:tc>
          <w:tcPr>
            <w:tcW w:w="697" w:type="pct"/>
            <w:tcMar>
              <w:left w:w="28" w:type="dxa"/>
              <w:right w:w="28" w:type="dxa"/>
            </w:tcMar>
            <w:vAlign w:val="center"/>
          </w:tcPr>
          <w:p w:rsidR="00666DDE" w:rsidRPr="00E119DC" w:rsidRDefault="00666DDE" w:rsidP="00EA0552">
            <w:pPr>
              <w:pStyle w:val="Tablewriting"/>
              <w:jc w:val="center"/>
              <w:rPr>
                <w:rFonts w:eastAsia="MS Mincho"/>
              </w:rPr>
            </w:pPr>
            <w:r w:rsidRPr="00E119DC">
              <w:rPr>
                <w:rFonts w:eastAsia="MS Mincho"/>
              </w:rPr>
              <w:t>0.68</w:t>
            </w:r>
          </w:p>
          <w:p w:rsidR="00666DDE" w:rsidRPr="00BE7363" w:rsidRDefault="00666DDE" w:rsidP="00EA0552">
            <w:pPr>
              <w:pStyle w:val="Tablewriting"/>
              <w:jc w:val="center"/>
              <w:rPr>
                <w:rFonts w:eastAsia="MS Mincho"/>
              </w:rPr>
            </w:pPr>
            <w:r w:rsidRPr="00E119DC">
              <w:rPr>
                <w:rFonts w:eastAsia="MS Mincho"/>
              </w:rPr>
              <w:t>(0.43, 1.07)</w:t>
            </w:r>
          </w:p>
        </w:tc>
        <w:tc>
          <w:tcPr>
            <w:tcW w:w="696" w:type="pct"/>
            <w:vAlign w:val="center"/>
          </w:tcPr>
          <w:p w:rsidR="00666DDE" w:rsidRPr="00B930E5" w:rsidRDefault="00666DDE" w:rsidP="00037B11">
            <w:pPr>
              <w:pStyle w:val="Tablewriting"/>
              <w:jc w:val="center"/>
              <w:rPr>
                <w:rFonts w:eastAsia="MS Mincho"/>
              </w:rPr>
            </w:pPr>
            <w:r w:rsidRPr="00B930E5">
              <w:rPr>
                <w:rFonts w:eastAsia="MS Mincho"/>
              </w:rPr>
              <w:t>NR</w:t>
            </w:r>
          </w:p>
        </w:tc>
      </w:tr>
      <w:tr w:rsidR="00666DDE" w:rsidRPr="00061F78" w:rsidTr="0061135E">
        <w:trPr>
          <w:cantSplit/>
          <w:trHeight w:val="149"/>
        </w:trPr>
        <w:tc>
          <w:tcPr>
            <w:tcW w:w="557" w:type="pct"/>
            <w:tcMar>
              <w:left w:w="28" w:type="dxa"/>
              <w:right w:w="28" w:type="dxa"/>
            </w:tcMar>
          </w:tcPr>
          <w:p w:rsidR="00666DDE" w:rsidRDefault="00666DDE" w:rsidP="00037B11">
            <w:pPr>
              <w:pStyle w:val="Tablewriting"/>
              <w:rPr>
                <w:rFonts w:eastAsia="MS Mincho"/>
              </w:rPr>
            </w:pPr>
            <w:r>
              <w:rPr>
                <w:rFonts w:eastAsia="MS Mincho"/>
              </w:rPr>
              <w:t>Updated re-analysis</w:t>
            </w:r>
            <w:r>
              <w:rPr>
                <w:rFonts w:eastAsia="MS Mincho"/>
                <w:vertAlign w:val="superscript"/>
              </w:rPr>
              <w:t>3</w:t>
            </w:r>
          </w:p>
        </w:tc>
        <w:tc>
          <w:tcPr>
            <w:tcW w:w="928" w:type="pct"/>
            <w:vAlign w:val="center"/>
          </w:tcPr>
          <w:p w:rsidR="00666DDE" w:rsidRDefault="00206BBC" w:rsidP="00037B11">
            <w:pPr>
              <w:pStyle w:val="Tablewriting"/>
              <w:jc w:val="center"/>
              <w:rPr>
                <w:rFonts w:eastAsia="MS Mincho"/>
              </w:rPr>
            </w:pPr>
            <w:r>
              <w:rPr>
                <w:rFonts w:eastAsia="MS Mincho"/>
              </w:rPr>
              <w:t>24 RCTs</w:t>
            </w:r>
          </w:p>
        </w:tc>
        <w:tc>
          <w:tcPr>
            <w:tcW w:w="850" w:type="pct"/>
            <w:vMerge/>
            <w:tcMar>
              <w:left w:w="28" w:type="dxa"/>
              <w:right w:w="28" w:type="dxa"/>
            </w:tcMar>
            <w:vAlign w:val="center"/>
          </w:tcPr>
          <w:p w:rsidR="00666DDE" w:rsidRDefault="00666DDE" w:rsidP="00037B11">
            <w:pPr>
              <w:pStyle w:val="Tablewriting"/>
              <w:jc w:val="center"/>
              <w:rPr>
                <w:rFonts w:eastAsia="MS Mincho"/>
              </w:rPr>
            </w:pPr>
          </w:p>
        </w:tc>
        <w:tc>
          <w:tcPr>
            <w:tcW w:w="619" w:type="pct"/>
            <w:tcMar>
              <w:left w:w="28" w:type="dxa"/>
              <w:right w:w="28" w:type="dxa"/>
            </w:tcMar>
            <w:vAlign w:val="center"/>
          </w:tcPr>
          <w:p w:rsidR="00666DDE" w:rsidRDefault="00206BBC" w:rsidP="00037B11">
            <w:pPr>
              <w:pStyle w:val="Tablewriting"/>
              <w:jc w:val="center"/>
              <w:rPr>
                <w:rFonts w:eastAsia="MS Mincho"/>
              </w:rPr>
            </w:pPr>
            <w:r>
              <w:rPr>
                <w:rFonts w:eastAsia="MS Mincho"/>
              </w:rPr>
              <w:t>23/5,512</w:t>
            </w:r>
          </w:p>
          <w:p w:rsidR="00666DDE" w:rsidRDefault="00206BBC" w:rsidP="00037B11">
            <w:pPr>
              <w:pStyle w:val="Tablewriting"/>
              <w:jc w:val="center"/>
              <w:rPr>
                <w:rFonts w:eastAsia="MS Mincho"/>
              </w:rPr>
            </w:pPr>
            <w:r>
              <w:rPr>
                <w:rFonts w:eastAsia="MS Mincho"/>
              </w:rPr>
              <w:t>(</w:t>
            </w:r>
            <w:r w:rsidR="00353E0A">
              <w:rPr>
                <w:rFonts w:eastAsia="MS Mincho"/>
              </w:rPr>
              <w:t>0.4</w:t>
            </w:r>
            <w:r>
              <w:rPr>
                <w:rFonts w:eastAsia="MS Mincho"/>
              </w:rPr>
              <w:t>%)</w:t>
            </w:r>
          </w:p>
        </w:tc>
        <w:tc>
          <w:tcPr>
            <w:tcW w:w="653" w:type="pct"/>
            <w:tcMar>
              <w:left w:w="28" w:type="dxa"/>
              <w:right w:w="28" w:type="dxa"/>
            </w:tcMar>
            <w:vAlign w:val="center"/>
          </w:tcPr>
          <w:p w:rsidR="00666DDE" w:rsidRDefault="00206BBC" w:rsidP="00037B11">
            <w:pPr>
              <w:pStyle w:val="Tablewriting"/>
              <w:jc w:val="center"/>
              <w:rPr>
                <w:rFonts w:eastAsia="MS Mincho"/>
              </w:rPr>
            </w:pPr>
            <w:r>
              <w:rPr>
                <w:rFonts w:eastAsia="MS Mincho"/>
              </w:rPr>
              <w:t>28/4,964</w:t>
            </w:r>
          </w:p>
          <w:p w:rsidR="00666DDE" w:rsidRDefault="00206BBC" w:rsidP="00037B11">
            <w:pPr>
              <w:pStyle w:val="Tablewriting"/>
              <w:jc w:val="center"/>
              <w:rPr>
                <w:rFonts w:eastAsia="MS Mincho"/>
              </w:rPr>
            </w:pPr>
            <w:r>
              <w:rPr>
                <w:rFonts w:eastAsia="MS Mincho"/>
              </w:rPr>
              <w:t>(</w:t>
            </w:r>
            <w:r w:rsidR="0058649D">
              <w:rPr>
                <w:rFonts w:eastAsia="MS Mincho"/>
              </w:rPr>
              <w:t>0.6</w:t>
            </w:r>
            <w:r>
              <w:rPr>
                <w:rFonts w:eastAsia="MS Mincho"/>
              </w:rPr>
              <w:t>%)</w:t>
            </w:r>
          </w:p>
        </w:tc>
        <w:tc>
          <w:tcPr>
            <w:tcW w:w="697" w:type="pct"/>
            <w:tcMar>
              <w:left w:w="28" w:type="dxa"/>
              <w:right w:w="28" w:type="dxa"/>
            </w:tcMar>
            <w:vAlign w:val="center"/>
          </w:tcPr>
          <w:p w:rsidR="00666DDE" w:rsidRDefault="00206BBC" w:rsidP="00037B11">
            <w:pPr>
              <w:pStyle w:val="Tablewriting"/>
              <w:jc w:val="center"/>
              <w:rPr>
                <w:rFonts w:eastAsia="MS Mincho"/>
              </w:rPr>
            </w:pPr>
            <w:r>
              <w:rPr>
                <w:rFonts w:eastAsia="MS Mincho"/>
              </w:rPr>
              <w:t>0.74</w:t>
            </w:r>
          </w:p>
          <w:p w:rsidR="00666DDE" w:rsidRPr="00BE7363" w:rsidRDefault="00206BBC" w:rsidP="00037B11">
            <w:pPr>
              <w:pStyle w:val="Tablewriting"/>
              <w:jc w:val="center"/>
              <w:rPr>
                <w:rFonts w:eastAsia="MS Mincho"/>
              </w:rPr>
            </w:pPr>
            <w:r>
              <w:rPr>
                <w:rFonts w:eastAsia="MS Mincho"/>
              </w:rPr>
              <w:t>(0.43, 1.26)</w:t>
            </w:r>
          </w:p>
        </w:tc>
        <w:tc>
          <w:tcPr>
            <w:tcW w:w="696" w:type="pct"/>
            <w:vAlign w:val="center"/>
          </w:tcPr>
          <w:p w:rsidR="00666DDE" w:rsidRPr="005C3E12" w:rsidRDefault="005C3E12" w:rsidP="00037B11">
            <w:pPr>
              <w:pStyle w:val="Tablewriting"/>
              <w:jc w:val="center"/>
              <w:rPr>
                <w:rFonts w:eastAsia="MS Mincho"/>
              </w:rPr>
            </w:pPr>
            <w:r w:rsidRPr="005C3E12">
              <w:rPr>
                <w:rFonts w:eastAsia="MS Mincho"/>
              </w:rPr>
              <w:t>-0.00</w:t>
            </w:r>
          </w:p>
          <w:p w:rsidR="00666DDE" w:rsidRPr="003A43F6" w:rsidRDefault="005C3E12" w:rsidP="00037B11">
            <w:pPr>
              <w:pStyle w:val="Tablewriting"/>
              <w:jc w:val="center"/>
              <w:rPr>
                <w:rFonts w:eastAsia="MS Mincho"/>
                <w:b/>
                <w:bCs/>
              </w:rPr>
            </w:pPr>
            <w:r w:rsidRPr="005C3E12">
              <w:rPr>
                <w:rFonts w:eastAsia="MS Mincho"/>
              </w:rPr>
              <w:t>(-0.00, 0.00)</w:t>
            </w:r>
          </w:p>
        </w:tc>
      </w:tr>
      <w:tr w:rsidR="00916D39" w:rsidRPr="00061F78" w:rsidTr="003954C8">
        <w:trPr>
          <w:cantSplit/>
          <w:trHeight w:val="149"/>
        </w:trPr>
        <w:tc>
          <w:tcPr>
            <w:tcW w:w="5000" w:type="pct"/>
            <w:gridSpan w:val="7"/>
            <w:shd w:val="clear" w:color="auto" w:fill="auto"/>
            <w:tcMar>
              <w:left w:w="28" w:type="dxa"/>
              <w:right w:w="28" w:type="dxa"/>
            </w:tcMar>
          </w:tcPr>
          <w:p w:rsidR="00916D39" w:rsidRPr="003954C8" w:rsidRDefault="00916D39" w:rsidP="00723730">
            <w:pPr>
              <w:pStyle w:val="Tablewriting"/>
              <w:rPr>
                <w:rFonts w:eastAsia="MS Mincho"/>
                <w:b/>
                <w:bCs/>
              </w:rPr>
            </w:pPr>
            <w:r w:rsidRPr="003954C8">
              <w:rPr>
                <w:rFonts w:eastAsia="MS Mincho"/>
                <w:b/>
                <w:bCs/>
              </w:rPr>
              <w:t>Serious adverse event</w:t>
            </w:r>
            <w:r w:rsidR="00425FD6" w:rsidRPr="003954C8">
              <w:rPr>
                <w:rFonts w:eastAsia="MS Mincho"/>
                <w:b/>
                <w:bCs/>
              </w:rPr>
              <w:t>s</w:t>
            </w:r>
          </w:p>
        </w:tc>
      </w:tr>
      <w:tr w:rsidR="00916D39" w:rsidRPr="00061F78" w:rsidTr="0061135E">
        <w:trPr>
          <w:cantSplit/>
          <w:trHeight w:val="149"/>
        </w:trPr>
        <w:tc>
          <w:tcPr>
            <w:tcW w:w="557" w:type="pct"/>
            <w:tcMar>
              <w:left w:w="28" w:type="dxa"/>
              <w:right w:w="28" w:type="dxa"/>
            </w:tcMar>
          </w:tcPr>
          <w:p w:rsidR="00916D39" w:rsidRDefault="00916D39" w:rsidP="00037B11">
            <w:pPr>
              <w:pStyle w:val="Tablewriting"/>
              <w:rPr>
                <w:rFonts w:eastAsia="MS Mincho"/>
              </w:rPr>
            </w:pPr>
            <w:r>
              <w:rPr>
                <w:rFonts w:eastAsia="MS Mincho"/>
              </w:rPr>
              <w:t>Cahill</w:t>
            </w:r>
            <w:r w:rsidRPr="00061F78">
              <w:rPr>
                <w:rFonts w:eastAsia="MS Mincho"/>
              </w:rPr>
              <w:t xml:space="preserve"> </w:t>
            </w:r>
          </w:p>
          <w:p w:rsidR="00916D39" w:rsidRDefault="00916D39" w:rsidP="00037B11">
            <w:pPr>
              <w:pStyle w:val="Tablewriting"/>
              <w:rPr>
                <w:rFonts w:eastAsia="MS Mincho"/>
              </w:rPr>
            </w:pPr>
            <w:r w:rsidRPr="00061F78">
              <w:rPr>
                <w:rFonts w:eastAsia="MS Mincho"/>
              </w:rPr>
              <w:t>(20</w:t>
            </w:r>
            <w:r>
              <w:rPr>
                <w:rFonts w:eastAsia="MS Mincho"/>
              </w:rPr>
              <w:t>16</w:t>
            </w:r>
            <w:r w:rsidRPr="00061F78">
              <w:rPr>
                <w:rFonts w:eastAsia="MS Mincho"/>
              </w:rPr>
              <w:t>)</w:t>
            </w:r>
            <w:r w:rsidR="00037B11">
              <w:rPr>
                <w:rFonts w:eastAsia="MS Mincho"/>
                <w:vertAlign w:val="superscript"/>
              </w:rPr>
              <w:t>2</w:t>
            </w:r>
          </w:p>
        </w:tc>
        <w:tc>
          <w:tcPr>
            <w:tcW w:w="928" w:type="pct"/>
            <w:vAlign w:val="center"/>
          </w:tcPr>
          <w:p w:rsidR="00916D39" w:rsidRDefault="00916D39" w:rsidP="00037B11">
            <w:pPr>
              <w:pStyle w:val="Tablewriting"/>
              <w:jc w:val="center"/>
              <w:rPr>
                <w:rFonts w:eastAsia="MS Mincho"/>
              </w:rPr>
            </w:pPr>
            <w:r>
              <w:rPr>
                <w:rFonts w:eastAsia="MS Mincho"/>
              </w:rPr>
              <w:t>Cochrane Review (2</w:t>
            </w:r>
            <w:r w:rsidR="00AA4983">
              <w:rPr>
                <w:rFonts w:eastAsia="MS Mincho"/>
              </w:rPr>
              <w:t>9</w:t>
            </w:r>
            <w:r>
              <w:rPr>
                <w:rFonts w:eastAsia="MS Mincho"/>
              </w:rPr>
              <w:t xml:space="preserve"> RCTs)</w:t>
            </w:r>
          </w:p>
        </w:tc>
        <w:tc>
          <w:tcPr>
            <w:tcW w:w="850" w:type="pct"/>
            <w:vMerge w:val="restart"/>
            <w:tcMar>
              <w:left w:w="28" w:type="dxa"/>
              <w:right w:w="28" w:type="dxa"/>
            </w:tcMar>
            <w:vAlign w:val="center"/>
          </w:tcPr>
          <w:p w:rsidR="00916D39" w:rsidRDefault="00916D39" w:rsidP="00037B11">
            <w:pPr>
              <w:pStyle w:val="Tablewriting"/>
              <w:jc w:val="center"/>
              <w:rPr>
                <w:rFonts w:eastAsia="MS Mincho"/>
              </w:rPr>
            </w:pPr>
            <w:r>
              <w:rPr>
                <w:rFonts w:eastAsia="MS Mincho"/>
              </w:rPr>
              <w:t>All studies</w:t>
            </w:r>
          </w:p>
        </w:tc>
        <w:tc>
          <w:tcPr>
            <w:tcW w:w="619" w:type="pct"/>
            <w:tcMar>
              <w:left w:w="28" w:type="dxa"/>
              <w:right w:w="28" w:type="dxa"/>
            </w:tcMar>
            <w:vAlign w:val="center"/>
          </w:tcPr>
          <w:p w:rsidR="00916D39" w:rsidRDefault="009A6A32" w:rsidP="00037B11">
            <w:pPr>
              <w:pStyle w:val="Tablewriting"/>
              <w:jc w:val="center"/>
              <w:rPr>
                <w:rFonts w:eastAsia="MS Mincho"/>
              </w:rPr>
            </w:pPr>
            <w:r>
              <w:rPr>
                <w:rFonts w:eastAsia="MS Mincho"/>
              </w:rPr>
              <w:t>269</w:t>
            </w:r>
            <w:r w:rsidR="00916D39">
              <w:rPr>
                <w:rFonts w:eastAsia="MS Mincho"/>
              </w:rPr>
              <w:t>/</w:t>
            </w:r>
            <w:r>
              <w:rPr>
                <w:rFonts w:eastAsia="MS Mincho"/>
              </w:rPr>
              <w:t>8,125</w:t>
            </w:r>
          </w:p>
          <w:p w:rsidR="00916D39" w:rsidRDefault="00EE5CB4" w:rsidP="00037B11">
            <w:pPr>
              <w:pStyle w:val="Tablewriting"/>
              <w:jc w:val="center"/>
              <w:rPr>
                <w:rFonts w:eastAsia="MS Mincho"/>
              </w:rPr>
            </w:pPr>
            <w:r>
              <w:rPr>
                <w:rFonts w:eastAsia="MS Mincho"/>
              </w:rPr>
              <w:t>(3.3%)</w:t>
            </w:r>
          </w:p>
        </w:tc>
        <w:tc>
          <w:tcPr>
            <w:tcW w:w="653" w:type="pct"/>
            <w:tcMar>
              <w:left w:w="28" w:type="dxa"/>
              <w:right w:w="28" w:type="dxa"/>
            </w:tcMar>
            <w:vAlign w:val="center"/>
          </w:tcPr>
          <w:p w:rsidR="00916D39" w:rsidRDefault="002A2809" w:rsidP="00037B11">
            <w:pPr>
              <w:pStyle w:val="Tablewriting"/>
              <w:jc w:val="center"/>
              <w:rPr>
                <w:rFonts w:eastAsia="MS Mincho"/>
              </w:rPr>
            </w:pPr>
            <w:r>
              <w:rPr>
                <w:rFonts w:eastAsia="MS Mincho"/>
              </w:rPr>
              <w:t>196</w:t>
            </w:r>
            <w:r w:rsidR="00916D39">
              <w:rPr>
                <w:rFonts w:eastAsia="MS Mincho"/>
              </w:rPr>
              <w:t>/</w:t>
            </w:r>
            <w:r>
              <w:rPr>
                <w:rFonts w:eastAsia="MS Mincho"/>
              </w:rPr>
              <w:t>7,245</w:t>
            </w:r>
          </w:p>
          <w:p w:rsidR="00916D39" w:rsidRDefault="00273ABC" w:rsidP="00037B11">
            <w:pPr>
              <w:pStyle w:val="Tablewriting"/>
              <w:jc w:val="center"/>
              <w:rPr>
                <w:rFonts w:eastAsia="MS Mincho"/>
              </w:rPr>
            </w:pPr>
            <w:r>
              <w:rPr>
                <w:rFonts w:eastAsia="MS Mincho"/>
              </w:rPr>
              <w:t>(2.7%)</w:t>
            </w:r>
          </w:p>
        </w:tc>
        <w:tc>
          <w:tcPr>
            <w:tcW w:w="697" w:type="pct"/>
            <w:tcMar>
              <w:left w:w="28" w:type="dxa"/>
              <w:right w:w="28" w:type="dxa"/>
            </w:tcMar>
            <w:vAlign w:val="center"/>
          </w:tcPr>
          <w:p w:rsidR="00916D39" w:rsidRDefault="00916D39" w:rsidP="00037B11">
            <w:pPr>
              <w:pStyle w:val="Tablewriting"/>
              <w:jc w:val="center"/>
              <w:rPr>
                <w:rFonts w:eastAsia="MS Mincho"/>
                <w:b/>
                <w:bCs/>
              </w:rPr>
            </w:pPr>
            <w:r>
              <w:rPr>
                <w:rFonts w:eastAsia="MS Mincho"/>
                <w:b/>
                <w:bCs/>
              </w:rPr>
              <w:t>1.</w:t>
            </w:r>
            <w:r w:rsidR="002A2809">
              <w:rPr>
                <w:rFonts w:eastAsia="MS Mincho"/>
                <w:b/>
                <w:bCs/>
              </w:rPr>
              <w:t>25</w:t>
            </w:r>
          </w:p>
          <w:p w:rsidR="00916D39" w:rsidRDefault="00916D39" w:rsidP="00037B11">
            <w:pPr>
              <w:pStyle w:val="Tablewriting"/>
              <w:jc w:val="center"/>
              <w:rPr>
                <w:rFonts w:eastAsia="MS Mincho"/>
                <w:b/>
                <w:bCs/>
              </w:rPr>
            </w:pPr>
            <w:r>
              <w:rPr>
                <w:rFonts w:eastAsia="MS Mincho"/>
                <w:b/>
                <w:bCs/>
              </w:rPr>
              <w:t>(1.0</w:t>
            </w:r>
            <w:r w:rsidR="002A2809">
              <w:rPr>
                <w:rFonts w:eastAsia="MS Mincho"/>
                <w:b/>
                <w:bCs/>
              </w:rPr>
              <w:t>4</w:t>
            </w:r>
            <w:r>
              <w:rPr>
                <w:rFonts w:eastAsia="MS Mincho"/>
                <w:b/>
                <w:bCs/>
              </w:rPr>
              <w:t>, 1.</w:t>
            </w:r>
            <w:r w:rsidR="002A2809">
              <w:rPr>
                <w:rFonts w:eastAsia="MS Mincho"/>
                <w:b/>
                <w:bCs/>
              </w:rPr>
              <w:t>4</w:t>
            </w:r>
            <w:r>
              <w:rPr>
                <w:rFonts w:eastAsia="MS Mincho"/>
                <w:b/>
                <w:bCs/>
              </w:rPr>
              <w:t>9)</w:t>
            </w:r>
          </w:p>
        </w:tc>
        <w:tc>
          <w:tcPr>
            <w:tcW w:w="696" w:type="pct"/>
            <w:vAlign w:val="center"/>
          </w:tcPr>
          <w:p w:rsidR="00916D39" w:rsidRPr="00061F78" w:rsidRDefault="00037B11" w:rsidP="00037B11">
            <w:pPr>
              <w:pStyle w:val="Tablewriting"/>
              <w:jc w:val="center"/>
              <w:rPr>
                <w:rFonts w:eastAsia="MS Mincho"/>
              </w:rPr>
            </w:pPr>
            <w:r>
              <w:rPr>
                <w:rFonts w:eastAsia="MS Mincho"/>
              </w:rPr>
              <w:t>NR</w:t>
            </w:r>
          </w:p>
        </w:tc>
      </w:tr>
      <w:tr w:rsidR="00037B11" w:rsidRPr="00061F78" w:rsidTr="0061135E">
        <w:trPr>
          <w:cantSplit/>
          <w:trHeight w:val="149"/>
        </w:trPr>
        <w:tc>
          <w:tcPr>
            <w:tcW w:w="557" w:type="pct"/>
            <w:tcMar>
              <w:left w:w="28" w:type="dxa"/>
              <w:right w:w="28" w:type="dxa"/>
            </w:tcMar>
          </w:tcPr>
          <w:p w:rsidR="00037B11" w:rsidRDefault="00037B11" w:rsidP="00037B11">
            <w:pPr>
              <w:pStyle w:val="Tablewriting"/>
              <w:rPr>
                <w:rFonts w:eastAsia="MS Mincho"/>
              </w:rPr>
            </w:pPr>
            <w:r>
              <w:rPr>
                <w:rFonts w:eastAsia="MS Mincho"/>
              </w:rPr>
              <w:t>Updated re-analysis</w:t>
            </w:r>
            <w:r>
              <w:rPr>
                <w:rFonts w:eastAsia="MS Mincho"/>
                <w:vertAlign w:val="superscript"/>
              </w:rPr>
              <w:t>3</w:t>
            </w:r>
          </w:p>
        </w:tc>
        <w:tc>
          <w:tcPr>
            <w:tcW w:w="928" w:type="pct"/>
            <w:vAlign w:val="center"/>
          </w:tcPr>
          <w:p w:rsidR="00037B11" w:rsidRDefault="00466045" w:rsidP="00037B11">
            <w:pPr>
              <w:pStyle w:val="Tablewriting"/>
              <w:jc w:val="center"/>
              <w:rPr>
                <w:rFonts w:eastAsia="MS Mincho"/>
              </w:rPr>
            </w:pPr>
            <w:r>
              <w:rPr>
                <w:rFonts w:eastAsia="MS Mincho"/>
              </w:rPr>
              <w:t>28</w:t>
            </w:r>
            <w:r w:rsidR="00037B11">
              <w:rPr>
                <w:rFonts w:eastAsia="MS Mincho"/>
              </w:rPr>
              <w:t xml:space="preserve"> RCTs</w:t>
            </w:r>
          </w:p>
        </w:tc>
        <w:tc>
          <w:tcPr>
            <w:tcW w:w="850" w:type="pct"/>
            <w:vMerge/>
            <w:tcMar>
              <w:left w:w="28" w:type="dxa"/>
              <w:right w:w="28" w:type="dxa"/>
            </w:tcMar>
            <w:vAlign w:val="center"/>
          </w:tcPr>
          <w:p w:rsidR="00037B11" w:rsidRDefault="00037B11" w:rsidP="00037B11">
            <w:pPr>
              <w:pStyle w:val="Tablewriting"/>
              <w:jc w:val="center"/>
              <w:rPr>
                <w:rFonts w:eastAsia="MS Mincho"/>
              </w:rPr>
            </w:pPr>
          </w:p>
        </w:tc>
        <w:tc>
          <w:tcPr>
            <w:tcW w:w="619" w:type="pct"/>
            <w:tcMar>
              <w:left w:w="28" w:type="dxa"/>
              <w:right w:w="28" w:type="dxa"/>
            </w:tcMar>
            <w:vAlign w:val="center"/>
          </w:tcPr>
          <w:p w:rsidR="00037B11" w:rsidRDefault="00466045" w:rsidP="00037B11">
            <w:pPr>
              <w:pStyle w:val="Tablewriting"/>
              <w:jc w:val="center"/>
              <w:rPr>
                <w:rFonts w:eastAsia="MS Mincho"/>
              </w:rPr>
            </w:pPr>
            <w:r>
              <w:rPr>
                <w:rFonts w:eastAsia="MS Mincho"/>
              </w:rPr>
              <w:t>283</w:t>
            </w:r>
            <w:r w:rsidR="00037B11">
              <w:rPr>
                <w:rFonts w:eastAsia="MS Mincho"/>
              </w:rPr>
              <w:t>/</w:t>
            </w:r>
            <w:r>
              <w:rPr>
                <w:rFonts w:eastAsia="MS Mincho"/>
              </w:rPr>
              <w:t>7,828</w:t>
            </w:r>
          </w:p>
          <w:p w:rsidR="00037B11" w:rsidRDefault="00037B11" w:rsidP="00037B11">
            <w:pPr>
              <w:pStyle w:val="Tablewriting"/>
              <w:jc w:val="center"/>
              <w:rPr>
                <w:rFonts w:eastAsia="MS Mincho"/>
              </w:rPr>
            </w:pPr>
            <w:r>
              <w:rPr>
                <w:rFonts w:eastAsia="MS Mincho"/>
              </w:rPr>
              <w:t>(</w:t>
            </w:r>
            <w:r w:rsidR="00184803">
              <w:rPr>
                <w:rFonts w:eastAsia="MS Mincho"/>
              </w:rPr>
              <w:t>3.6</w:t>
            </w:r>
            <w:r>
              <w:rPr>
                <w:rFonts w:eastAsia="MS Mincho"/>
              </w:rPr>
              <w:t>%)</w:t>
            </w:r>
          </w:p>
        </w:tc>
        <w:tc>
          <w:tcPr>
            <w:tcW w:w="653" w:type="pct"/>
            <w:tcMar>
              <w:left w:w="28" w:type="dxa"/>
              <w:right w:w="28" w:type="dxa"/>
            </w:tcMar>
            <w:vAlign w:val="center"/>
          </w:tcPr>
          <w:p w:rsidR="00037B11" w:rsidRDefault="00037B11" w:rsidP="00037B11">
            <w:pPr>
              <w:pStyle w:val="Tablewriting"/>
              <w:jc w:val="center"/>
              <w:rPr>
                <w:rFonts w:eastAsia="MS Mincho"/>
              </w:rPr>
            </w:pPr>
            <w:r>
              <w:rPr>
                <w:rFonts w:eastAsia="MS Mincho"/>
              </w:rPr>
              <w:t>2</w:t>
            </w:r>
            <w:r w:rsidR="001C0660">
              <w:rPr>
                <w:rFonts w:eastAsia="MS Mincho"/>
              </w:rPr>
              <w:t>42</w:t>
            </w:r>
            <w:r>
              <w:rPr>
                <w:rFonts w:eastAsia="MS Mincho"/>
              </w:rPr>
              <w:t>/</w:t>
            </w:r>
            <w:r w:rsidR="001C0660">
              <w:rPr>
                <w:rFonts w:eastAsia="MS Mincho"/>
              </w:rPr>
              <w:t>7,121</w:t>
            </w:r>
          </w:p>
          <w:p w:rsidR="00037B11" w:rsidRDefault="00037B11" w:rsidP="00037B11">
            <w:pPr>
              <w:pStyle w:val="Tablewriting"/>
              <w:jc w:val="center"/>
              <w:rPr>
                <w:rFonts w:eastAsia="MS Mincho"/>
              </w:rPr>
            </w:pPr>
            <w:r>
              <w:rPr>
                <w:rFonts w:eastAsia="MS Mincho"/>
              </w:rPr>
              <w:t>(</w:t>
            </w:r>
            <w:r w:rsidR="004070C5">
              <w:rPr>
                <w:rFonts w:eastAsia="MS Mincho"/>
              </w:rPr>
              <w:t>3.4</w:t>
            </w:r>
            <w:r>
              <w:rPr>
                <w:rFonts w:eastAsia="MS Mincho"/>
              </w:rPr>
              <w:t>%)</w:t>
            </w:r>
          </w:p>
        </w:tc>
        <w:tc>
          <w:tcPr>
            <w:tcW w:w="697" w:type="pct"/>
            <w:tcMar>
              <w:left w:w="28" w:type="dxa"/>
              <w:right w:w="28" w:type="dxa"/>
            </w:tcMar>
            <w:vAlign w:val="center"/>
          </w:tcPr>
          <w:p w:rsidR="00037B11" w:rsidRPr="00031F51" w:rsidRDefault="00037B11" w:rsidP="00037B11">
            <w:pPr>
              <w:pStyle w:val="Tablewriting"/>
              <w:jc w:val="center"/>
              <w:rPr>
                <w:rFonts w:eastAsia="MS Mincho"/>
              </w:rPr>
            </w:pPr>
            <w:r w:rsidRPr="00031F51">
              <w:rPr>
                <w:rFonts w:eastAsia="MS Mincho"/>
              </w:rPr>
              <w:t>1.08</w:t>
            </w:r>
          </w:p>
          <w:p w:rsidR="00037B11" w:rsidRDefault="00037B11" w:rsidP="00037B11">
            <w:pPr>
              <w:pStyle w:val="Tablewriting"/>
              <w:jc w:val="center"/>
              <w:rPr>
                <w:rFonts w:eastAsia="MS Mincho"/>
                <w:b/>
                <w:bCs/>
              </w:rPr>
            </w:pPr>
            <w:r w:rsidRPr="00031F51">
              <w:rPr>
                <w:rFonts w:eastAsia="MS Mincho"/>
              </w:rPr>
              <w:t>(0.9</w:t>
            </w:r>
            <w:r w:rsidR="001C0660">
              <w:rPr>
                <w:rFonts w:eastAsia="MS Mincho"/>
              </w:rPr>
              <w:t>1</w:t>
            </w:r>
            <w:r w:rsidRPr="00031F51">
              <w:rPr>
                <w:rFonts w:eastAsia="MS Mincho"/>
              </w:rPr>
              <w:t>, 1.2</w:t>
            </w:r>
            <w:r w:rsidR="001C0660">
              <w:rPr>
                <w:rFonts w:eastAsia="MS Mincho"/>
              </w:rPr>
              <w:t>7</w:t>
            </w:r>
            <w:r w:rsidRPr="00031F51">
              <w:rPr>
                <w:rFonts w:eastAsia="MS Mincho"/>
              </w:rPr>
              <w:t>)</w:t>
            </w:r>
          </w:p>
        </w:tc>
        <w:tc>
          <w:tcPr>
            <w:tcW w:w="696" w:type="pct"/>
            <w:vAlign w:val="center"/>
          </w:tcPr>
          <w:p w:rsidR="00037B11" w:rsidRDefault="00D175DB" w:rsidP="00037B11">
            <w:pPr>
              <w:pStyle w:val="Tablewriting"/>
              <w:jc w:val="center"/>
              <w:rPr>
                <w:rFonts w:eastAsia="MS Mincho"/>
              </w:rPr>
            </w:pPr>
            <w:r>
              <w:rPr>
                <w:rFonts w:eastAsia="MS Mincho"/>
              </w:rPr>
              <w:t>0.01</w:t>
            </w:r>
          </w:p>
          <w:p w:rsidR="00D175DB" w:rsidRPr="00061F78" w:rsidRDefault="00D175DB" w:rsidP="00037B11">
            <w:pPr>
              <w:pStyle w:val="Tablewriting"/>
              <w:jc w:val="center"/>
              <w:rPr>
                <w:rFonts w:eastAsia="MS Mincho"/>
              </w:rPr>
            </w:pPr>
            <w:r>
              <w:rPr>
                <w:rFonts w:eastAsia="MS Mincho"/>
              </w:rPr>
              <w:t>(</w:t>
            </w:r>
            <w:r w:rsidR="00D14FCE">
              <w:rPr>
                <w:rFonts w:eastAsia="MS Mincho"/>
              </w:rPr>
              <w:t>-</w:t>
            </w:r>
            <w:r>
              <w:rPr>
                <w:rFonts w:eastAsia="MS Mincho"/>
              </w:rPr>
              <w:t>0, 0.01)</w:t>
            </w:r>
          </w:p>
        </w:tc>
      </w:tr>
      <w:tr w:rsidR="002751EE" w:rsidRPr="00061F78" w:rsidTr="003954C8">
        <w:trPr>
          <w:cantSplit/>
          <w:trHeight w:val="149"/>
        </w:trPr>
        <w:tc>
          <w:tcPr>
            <w:tcW w:w="5000" w:type="pct"/>
            <w:gridSpan w:val="7"/>
            <w:shd w:val="clear" w:color="auto" w:fill="auto"/>
            <w:tcMar>
              <w:left w:w="28" w:type="dxa"/>
              <w:right w:w="28" w:type="dxa"/>
            </w:tcMar>
          </w:tcPr>
          <w:p w:rsidR="002751EE" w:rsidRPr="003954C8" w:rsidRDefault="002751EE" w:rsidP="00723730">
            <w:pPr>
              <w:pStyle w:val="Tablewriting"/>
              <w:jc w:val="both"/>
              <w:rPr>
                <w:rFonts w:eastAsia="MS Mincho"/>
                <w:b/>
                <w:bCs/>
              </w:rPr>
            </w:pPr>
            <w:r w:rsidRPr="003954C8">
              <w:rPr>
                <w:rFonts w:eastAsia="MS Mincho"/>
                <w:b/>
                <w:bCs/>
              </w:rPr>
              <w:t>Serious adverse event</w:t>
            </w:r>
            <w:r w:rsidR="00425FD6" w:rsidRPr="003954C8">
              <w:rPr>
                <w:rFonts w:eastAsia="MS Mincho"/>
                <w:b/>
                <w:bCs/>
              </w:rPr>
              <w:t>s – neuropsychiatric (</w:t>
            </w:r>
            <w:r w:rsidR="00773EDF" w:rsidRPr="003954C8">
              <w:rPr>
                <w:rFonts w:eastAsia="MS Mincho"/>
                <w:b/>
                <w:bCs/>
              </w:rPr>
              <w:t>excluding deaths)</w:t>
            </w:r>
          </w:p>
        </w:tc>
      </w:tr>
      <w:tr w:rsidR="00773EDF" w:rsidRPr="00061F78" w:rsidTr="0061135E">
        <w:trPr>
          <w:cantSplit/>
          <w:trHeight w:val="149"/>
        </w:trPr>
        <w:tc>
          <w:tcPr>
            <w:tcW w:w="557" w:type="pct"/>
            <w:tcMar>
              <w:left w:w="28" w:type="dxa"/>
              <w:right w:w="28" w:type="dxa"/>
            </w:tcMar>
          </w:tcPr>
          <w:p w:rsidR="00773EDF" w:rsidRDefault="00773EDF" w:rsidP="00037B11">
            <w:pPr>
              <w:pStyle w:val="Tablewriting"/>
              <w:rPr>
                <w:rFonts w:eastAsia="MS Mincho"/>
              </w:rPr>
            </w:pPr>
            <w:r>
              <w:rPr>
                <w:rFonts w:eastAsia="MS Mincho"/>
              </w:rPr>
              <w:t>Cahill</w:t>
            </w:r>
            <w:r w:rsidRPr="00061F78">
              <w:rPr>
                <w:rFonts w:eastAsia="MS Mincho"/>
              </w:rPr>
              <w:t xml:space="preserve"> </w:t>
            </w:r>
          </w:p>
          <w:p w:rsidR="00773EDF" w:rsidRDefault="00773EDF" w:rsidP="00037B11">
            <w:pPr>
              <w:pStyle w:val="Tablewriting"/>
              <w:rPr>
                <w:rFonts w:eastAsia="MS Mincho"/>
              </w:rPr>
            </w:pPr>
            <w:r w:rsidRPr="00061F78">
              <w:rPr>
                <w:rFonts w:eastAsia="MS Mincho"/>
              </w:rPr>
              <w:t>(20</w:t>
            </w:r>
            <w:r>
              <w:rPr>
                <w:rFonts w:eastAsia="MS Mincho"/>
              </w:rPr>
              <w:t>16</w:t>
            </w:r>
            <w:r w:rsidRPr="00061F78">
              <w:rPr>
                <w:rFonts w:eastAsia="MS Mincho"/>
              </w:rPr>
              <w:t>)</w:t>
            </w:r>
            <w:r w:rsidR="00037B11">
              <w:rPr>
                <w:rFonts w:eastAsia="MS Mincho"/>
                <w:vertAlign w:val="superscript"/>
              </w:rPr>
              <w:t>2</w:t>
            </w:r>
          </w:p>
        </w:tc>
        <w:tc>
          <w:tcPr>
            <w:tcW w:w="928" w:type="pct"/>
            <w:vAlign w:val="center"/>
          </w:tcPr>
          <w:p w:rsidR="00773EDF" w:rsidRDefault="00773EDF" w:rsidP="00037B11">
            <w:pPr>
              <w:pStyle w:val="Tablewriting"/>
              <w:jc w:val="center"/>
              <w:rPr>
                <w:rFonts w:eastAsia="MS Mincho"/>
              </w:rPr>
            </w:pPr>
            <w:r>
              <w:rPr>
                <w:rFonts w:eastAsia="MS Mincho"/>
              </w:rPr>
              <w:t>Cochrane Review (</w:t>
            </w:r>
            <w:r w:rsidR="005C42B4">
              <w:rPr>
                <w:rFonts w:eastAsia="MS Mincho"/>
              </w:rPr>
              <w:t>23</w:t>
            </w:r>
            <w:r>
              <w:rPr>
                <w:rFonts w:eastAsia="MS Mincho"/>
              </w:rPr>
              <w:t xml:space="preserve"> RCTs)</w:t>
            </w:r>
          </w:p>
        </w:tc>
        <w:tc>
          <w:tcPr>
            <w:tcW w:w="850" w:type="pct"/>
            <w:vMerge w:val="restart"/>
            <w:tcMar>
              <w:left w:w="28" w:type="dxa"/>
              <w:right w:w="28" w:type="dxa"/>
            </w:tcMar>
            <w:vAlign w:val="center"/>
          </w:tcPr>
          <w:p w:rsidR="00773EDF" w:rsidRDefault="00773EDF" w:rsidP="00037B11">
            <w:pPr>
              <w:pStyle w:val="Tablewriting"/>
              <w:jc w:val="center"/>
              <w:rPr>
                <w:rFonts w:eastAsia="MS Mincho"/>
              </w:rPr>
            </w:pPr>
            <w:r>
              <w:rPr>
                <w:rFonts w:eastAsia="MS Mincho"/>
              </w:rPr>
              <w:t>All studies</w:t>
            </w:r>
            <w:r w:rsidR="00FE57B1">
              <w:rPr>
                <w:rFonts w:eastAsia="MS Mincho"/>
              </w:rPr>
              <w:t xml:space="preserve"> except EAGLES (2016)</w:t>
            </w:r>
          </w:p>
        </w:tc>
        <w:tc>
          <w:tcPr>
            <w:tcW w:w="619" w:type="pct"/>
            <w:tcMar>
              <w:left w:w="28" w:type="dxa"/>
              <w:right w:w="28" w:type="dxa"/>
            </w:tcMar>
            <w:vAlign w:val="center"/>
          </w:tcPr>
          <w:p w:rsidR="00773EDF" w:rsidRDefault="004F73F2" w:rsidP="00037B11">
            <w:pPr>
              <w:pStyle w:val="Tablewriting"/>
              <w:jc w:val="center"/>
              <w:rPr>
                <w:rFonts w:eastAsia="MS Mincho"/>
              </w:rPr>
            </w:pPr>
            <w:r>
              <w:rPr>
                <w:rFonts w:eastAsia="MS Mincho"/>
              </w:rPr>
              <w:t>41</w:t>
            </w:r>
            <w:r w:rsidR="00773EDF">
              <w:rPr>
                <w:rFonts w:eastAsia="MS Mincho"/>
              </w:rPr>
              <w:t>/</w:t>
            </w:r>
            <w:r w:rsidR="00AB3123">
              <w:rPr>
                <w:rFonts w:eastAsia="MS Mincho"/>
              </w:rPr>
              <w:t>4,920</w:t>
            </w:r>
          </w:p>
          <w:p w:rsidR="00773EDF" w:rsidRDefault="006730CA" w:rsidP="00037B11">
            <w:pPr>
              <w:pStyle w:val="Tablewriting"/>
              <w:jc w:val="center"/>
              <w:rPr>
                <w:rFonts w:eastAsia="MS Mincho"/>
              </w:rPr>
            </w:pPr>
            <w:r>
              <w:rPr>
                <w:rFonts w:eastAsia="MS Mincho"/>
              </w:rPr>
              <w:t>(0.8%)</w:t>
            </w:r>
          </w:p>
        </w:tc>
        <w:tc>
          <w:tcPr>
            <w:tcW w:w="653" w:type="pct"/>
            <w:tcMar>
              <w:left w:w="28" w:type="dxa"/>
              <w:right w:w="28" w:type="dxa"/>
            </w:tcMar>
            <w:vAlign w:val="center"/>
          </w:tcPr>
          <w:p w:rsidR="00773EDF" w:rsidRDefault="00AB3123" w:rsidP="00037B11">
            <w:pPr>
              <w:pStyle w:val="Tablewriting"/>
              <w:jc w:val="center"/>
              <w:rPr>
                <w:rFonts w:eastAsia="MS Mincho"/>
              </w:rPr>
            </w:pPr>
            <w:r>
              <w:rPr>
                <w:rFonts w:eastAsia="MS Mincho"/>
              </w:rPr>
              <w:t>43</w:t>
            </w:r>
            <w:r w:rsidR="00773EDF">
              <w:rPr>
                <w:rFonts w:eastAsia="MS Mincho"/>
              </w:rPr>
              <w:t>/</w:t>
            </w:r>
            <w:r w:rsidR="0011768F">
              <w:rPr>
                <w:rFonts w:eastAsia="MS Mincho"/>
              </w:rPr>
              <w:t>4,035</w:t>
            </w:r>
          </w:p>
          <w:p w:rsidR="00773EDF" w:rsidRDefault="002D01F8" w:rsidP="00037B11">
            <w:pPr>
              <w:pStyle w:val="Tablewriting"/>
              <w:jc w:val="center"/>
              <w:rPr>
                <w:rFonts w:eastAsia="MS Mincho"/>
              </w:rPr>
            </w:pPr>
            <w:r>
              <w:rPr>
                <w:rFonts w:eastAsia="MS Mincho"/>
              </w:rPr>
              <w:t>(1.1%)</w:t>
            </w:r>
          </w:p>
        </w:tc>
        <w:tc>
          <w:tcPr>
            <w:tcW w:w="697" w:type="pct"/>
            <w:tcMar>
              <w:left w:w="28" w:type="dxa"/>
              <w:right w:w="28" w:type="dxa"/>
            </w:tcMar>
            <w:vAlign w:val="center"/>
          </w:tcPr>
          <w:p w:rsidR="00773EDF" w:rsidRPr="0011768F" w:rsidRDefault="0011768F" w:rsidP="00037B11">
            <w:pPr>
              <w:pStyle w:val="Tablewriting"/>
              <w:jc w:val="center"/>
              <w:rPr>
                <w:rFonts w:eastAsia="MS Mincho"/>
              </w:rPr>
            </w:pPr>
            <w:r w:rsidRPr="0011768F">
              <w:rPr>
                <w:rFonts w:eastAsia="MS Mincho"/>
              </w:rPr>
              <w:t>0.82</w:t>
            </w:r>
          </w:p>
          <w:p w:rsidR="0011768F" w:rsidRDefault="0011768F" w:rsidP="00037B11">
            <w:pPr>
              <w:pStyle w:val="Tablewriting"/>
              <w:jc w:val="center"/>
              <w:rPr>
                <w:rFonts w:eastAsia="MS Mincho"/>
                <w:b/>
                <w:bCs/>
              </w:rPr>
            </w:pPr>
            <w:r w:rsidRPr="0011768F">
              <w:rPr>
                <w:rFonts w:eastAsia="MS Mincho"/>
              </w:rPr>
              <w:t>(0.57, 1.19)</w:t>
            </w:r>
          </w:p>
        </w:tc>
        <w:tc>
          <w:tcPr>
            <w:tcW w:w="696" w:type="pct"/>
            <w:vAlign w:val="center"/>
          </w:tcPr>
          <w:p w:rsidR="00773EDF" w:rsidRPr="00061F78" w:rsidRDefault="00037B11" w:rsidP="00037B11">
            <w:pPr>
              <w:pStyle w:val="Tablewriting"/>
              <w:jc w:val="center"/>
              <w:rPr>
                <w:rFonts w:eastAsia="MS Mincho"/>
              </w:rPr>
            </w:pPr>
            <w:r>
              <w:rPr>
                <w:rFonts w:eastAsia="MS Mincho"/>
              </w:rPr>
              <w:t>NR</w:t>
            </w:r>
          </w:p>
        </w:tc>
      </w:tr>
      <w:tr w:rsidR="00037B11" w:rsidRPr="00061F78" w:rsidTr="0061135E">
        <w:trPr>
          <w:cantSplit/>
          <w:trHeight w:val="149"/>
        </w:trPr>
        <w:tc>
          <w:tcPr>
            <w:tcW w:w="557" w:type="pct"/>
            <w:tcMar>
              <w:left w:w="28" w:type="dxa"/>
              <w:right w:w="28" w:type="dxa"/>
            </w:tcMar>
          </w:tcPr>
          <w:p w:rsidR="00037B11" w:rsidRDefault="00037B11" w:rsidP="00037B11">
            <w:pPr>
              <w:pStyle w:val="Tablewriting"/>
              <w:rPr>
                <w:rFonts w:eastAsia="MS Mincho"/>
              </w:rPr>
            </w:pPr>
            <w:r>
              <w:rPr>
                <w:rFonts w:eastAsia="MS Mincho"/>
              </w:rPr>
              <w:t>Updated re-analysis</w:t>
            </w:r>
            <w:r>
              <w:rPr>
                <w:rFonts w:eastAsia="MS Mincho"/>
                <w:vertAlign w:val="superscript"/>
              </w:rPr>
              <w:t>3</w:t>
            </w:r>
          </w:p>
        </w:tc>
        <w:tc>
          <w:tcPr>
            <w:tcW w:w="928" w:type="pct"/>
            <w:vAlign w:val="center"/>
          </w:tcPr>
          <w:p w:rsidR="00037B11" w:rsidRDefault="005C42B4" w:rsidP="00037B11">
            <w:pPr>
              <w:pStyle w:val="Tablewriting"/>
              <w:jc w:val="center"/>
              <w:rPr>
                <w:rFonts w:eastAsia="MS Mincho"/>
              </w:rPr>
            </w:pPr>
            <w:r>
              <w:rPr>
                <w:rFonts w:eastAsia="MS Mincho"/>
              </w:rPr>
              <w:t>22</w:t>
            </w:r>
            <w:r w:rsidR="00037B11">
              <w:rPr>
                <w:rFonts w:eastAsia="MS Mincho"/>
              </w:rPr>
              <w:t xml:space="preserve"> RCTs</w:t>
            </w:r>
          </w:p>
        </w:tc>
        <w:tc>
          <w:tcPr>
            <w:tcW w:w="850" w:type="pct"/>
            <w:vMerge/>
            <w:tcMar>
              <w:left w:w="28" w:type="dxa"/>
              <w:right w:w="28" w:type="dxa"/>
            </w:tcMar>
            <w:vAlign w:val="center"/>
          </w:tcPr>
          <w:p w:rsidR="00037B11" w:rsidRDefault="00037B11" w:rsidP="00037B11">
            <w:pPr>
              <w:pStyle w:val="Tablewriting"/>
              <w:jc w:val="center"/>
              <w:rPr>
                <w:rFonts w:eastAsia="MS Mincho"/>
              </w:rPr>
            </w:pPr>
          </w:p>
        </w:tc>
        <w:tc>
          <w:tcPr>
            <w:tcW w:w="619" w:type="pct"/>
            <w:tcMar>
              <w:left w:w="28" w:type="dxa"/>
              <w:right w:w="28" w:type="dxa"/>
            </w:tcMar>
            <w:vAlign w:val="center"/>
          </w:tcPr>
          <w:p w:rsidR="00037B11" w:rsidRDefault="00037B11" w:rsidP="00037B11">
            <w:pPr>
              <w:pStyle w:val="Tablewriting"/>
              <w:jc w:val="center"/>
              <w:rPr>
                <w:rFonts w:eastAsia="MS Mincho"/>
              </w:rPr>
            </w:pPr>
            <w:r>
              <w:rPr>
                <w:rFonts w:eastAsia="MS Mincho"/>
              </w:rPr>
              <w:t>4</w:t>
            </w:r>
            <w:r w:rsidR="00D14FCE">
              <w:rPr>
                <w:rFonts w:eastAsia="MS Mincho"/>
              </w:rPr>
              <w:t>1</w:t>
            </w:r>
            <w:r>
              <w:rPr>
                <w:rFonts w:eastAsia="MS Mincho"/>
              </w:rPr>
              <w:t>/5,</w:t>
            </w:r>
            <w:r w:rsidR="00D14FCE">
              <w:rPr>
                <w:rFonts w:eastAsia="MS Mincho"/>
              </w:rPr>
              <w:t>027</w:t>
            </w:r>
          </w:p>
          <w:p w:rsidR="00037B11" w:rsidRDefault="00037B11" w:rsidP="00037B11">
            <w:pPr>
              <w:pStyle w:val="Tablewriting"/>
              <w:jc w:val="center"/>
              <w:rPr>
                <w:rFonts w:eastAsia="MS Mincho"/>
              </w:rPr>
            </w:pPr>
            <w:r>
              <w:rPr>
                <w:rFonts w:eastAsia="MS Mincho"/>
              </w:rPr>
              <w:t>(</w:t>
            </w:r>
            <w:r w:rsidR="004070C5">
              <w:rPr>
                <w:rFonts w:eastAsia="MS Mincho"/>
              </w:rPr>
              <w:t>0.8</w:t>
            </w:r>
            <w:r>
              <w:rPr>
                <w:rFonts w:eastAsia="MS Mincho"/>
              </w:rPr>
              <w:t>%)</w:t>
            </w:r>
          </w:p>
        </w:tc>
        <w:tc>
          <w:tcPr>
            <w:tcW w:w="653" w:type="pct"/>
            <w:tcMar>
              <w:left w:w="28" w:type="dxa"/>
              <w:right w:w="28" w:type="dxa"/>
            </w:tcMar>
            <w:vAlign w:val="center"/>
          </w:tcPr>
          <w:p w:rsidR="00037B11" w:rsidRDefault="00037B11" w:rsidP="00037B11">
            <w:pPr>
              <w:pStyle w:val="Tablewriting"/>
              <w:jc w:val="center"/>
              <w:rPr>
                <w:rFonts w:eastAsia="MS Mincho"/>
              </w:rPr>
            </w:pPr>
            <w:r>
              <w:rPr>
                <w:rFonts w:eastAsia="MS Mincho"/>
              </w:rPr>
              <w:t>4</w:t>
            </w:r>
            <w:r w:rsidR="009452DB">
              <w:rPr>
                <w:rFonts w:eastAsia="MS Mincho"/>
              </w:rPr>
              <w:t>1</w:t>
            </w:r>
            <w:r>
              <w:rPr>
                <w:rFonts w:eastAsia="MS Mincho"/>
              </w:rPr>
              <w:t>/4,</w:t>
            </w:r>
            <w:r w:rsidR="009452DB">
              <w:rPr>
                <w:rFonts w:eastAsia="MS Mincho"/>
              </w:rPr>
              <w:t>327</w:t>
            </w:r>
          </w:p>
          <w:p w:rsidR="00037B11" w:rsidRDefault="00037B11" w:rsidP="00037B11">
            <w:pPr>
              <w:pStyle w:val="Tablewriting"/>
              <w:jc w:val="center"/>
              <w:rPr>
                <w:rFonts w:eastAsia="MS Mincho"/>
              </w:rPr>
            </w:pPr>
            <w:r>
              <w:rPr>
                <w:rFonts w:eastAsia="MS Mincho"/>
              </w:rPr>
              <w:t>(</w:t>
            </w:r>
            <w:r w:rsidR="005809AB">
              <w:rPr>
                <w:rFonts w:eastAsia="MS Mincho"/>
              </w:rPr>
              <w:t>0.9</w:t>
            </w:r>
            <w:r>
              <w:rPr>
                <w:rFonts w:eastAsia="MS Mincho"/>
              </w:rPr>
              <w:t>%)</w:t>
            </w:r>
          </w:p>
        </w:tc>
        <w:tc>
          <w:tcPr>
            <w:tcW w:w="697" w:type="pct"/>
            <w:tcMar>
              <w:left w:w="28" w:type="dxa"/>
              <w:right w:w="28" w:type="dxa"/>
            </w:tcMar>
            <w:vAlign w:val="center"/>
          </w:tcPr>
          <w:p w:rsidR="00037B11" w:rsidRDefault="00037B11" w:rsidP="00037B11">
            <w:pPr>
              <w:pStyle w:val="Tablewriting"/>
              <w:jc w:val="center"/>
              <w:rPr>
                <w:rFonts w:eastAsia="MS Mincho"/>
              </w:rPr>
            </w:pPr>
            <w:r>
              <w:rPr>
                <w:rFonts w:eastAsia="MS Mincho"/>
              </w:rPr>
              <w:t>0.80</w:t>
            </w:r>
          </w:p>
          <w:p w:rsidR="00037B11" w:rsidRPr="0011768F" w:rsidRDefault="00037B11" w:rsidP="00037B11">
            <w:pPr>
              <w:pStyle w:val="Tablewriting"/>
              <w:jc w:val="center"/>
              <w:rPr>
                <w:rFonts w:eastAsia="MS Mincho"/>
              </w:rPr>
            </w:pPr>
            <w:r>
              <w:rPr>
                <w:rFonts w:eastAsia="MS Mincho"/>
              </w:rPr>
              <w:t>(0.5</w:t>
            </w:r>
            <w:r w:rsidR="009452DB">
              <w:rPr>
                <w:rFonts w:eastAsia="MS Mincho"/>
              </w:rPr>
              <w:t>5</w:t>
            </w:r>
            <w:r>
              <w:rPr>
                <w:rFonts w:eastAsia="MS Mincho"/>
              </w:rPr>
              <w:t>, 1.1</w:t>
            </w:r>
            <w:r w:rsidR="009452DB">
              <w:rPr>
                <w:rFonts w:eastAsia="MS Mincho"/>
              </w:rPr>
              <w:t>8</w:t>
            </w:r>
            <w:r>
              <w:rPr>
                <w:rFonts w:eastAsia="MS Mincho"/>
              </w:rPr>
              <w:t>)</w:t>
            </w:r>
          </w:p>
        </w:tc>
        <w:tc>
          <w:tcPr>
            <w:tcW w:w="696" w:type="pct"/>
            <w:vAlign w:val="center"/>
          </w:tcPr>
          <w:p w:rsidR="00037B11" w:rsidRDefault="00984D71" w:rsidP="00037B11">
            <w:pPr>
              <w:pStyle w:val="Tablewriting"/>
              <w:jc w:val="center"/>
              <w:rPr>
                <w:rFonts w:eastAsia="MS Mincho"/>
              </w:rPr>
            </w:pPr>
            <w:r>
              <w:rPr>
                <w:rFonts w:eastAsia="MS Mincho"/>
              </w:rPr>
              <w:t>0</w:t>
            </w:r>
          </w:p>
          <w:p w:rsidR="00984D71" w:rsidRPr="00061F78" w:rsidRDefault="00984D71" w:rsidP="00037B11">
            <w:pPr>
              <w:pStyle w:val="Tablewriting"/>
              <w:jc w:val="center"/>
              <w:rPr>
                <w:rFonts w:eastAsia="MS Mincho"/>
              </w:rPr>
            </w:pPr>
            <w:r>
              <w:rPr>
                <w:rFonts w:eastAsia="MS Mincho"/>
              </w:rPr>
              <w:t>(-0, 0)</w:t>
            </w:r>
          </w:p>
        </w:tc>
      </w:tr>
      <w:tr w:rsidR="0011768F" w:rsidRPr="00061F78" w:rsidTr="003954C8">
        <w:trPr>
          <w:cantSplit/>
          <w:trHeight w:val="149"/>
        </w:trPr>
        <w:tc>
          <w:tcPr>
            <w:tcW w:w="5000" w:type="pct"/>
            <w:gridSpan w:val="7"/>
            <w:shd w:val="clear" w:color="auto" w:fill="auto"/>
            <w:tcMar>
              <w:left w:w="28" w:type="dxa"/>
              <w:right w:w="28" w:type="dxa"/>
            </w:tcMar>
          </w:tcPr>
          <w:p w:rsidR="0011768F" w:rsidRPr="003954C8" w:rsidRDefault="0011768F" w:rsidP="00723730">
            <w:pPr>
              <w:pStyle w:val="Tablewriting"/>
              <w:rPr>
                <w:rFonts w:eastAsia="MS Mincho"/>
                <w:b/>
                <w:bCs/>
              </w:rPr>
            </w:pPr>
            <w:r w:rsidRPr="003954C8">
              <w:rPr>
                <w:rFonts w:eastAsia="MS Mincho"/>
                <w:b/>
                <w:bCs/>
              </w:rPr>
              <w:t>Serious adverse events – cardiac (including deaths)</w:t>
            </w:r>
          </w:p>
        </w:tc>
      </w:tr>
      <w:tr w:rsidR="0011768F" w:rsidRPr="00061F78" w:rsidTr="0061135E">
        <w:trPr>
          <w:cantSplit/>
          <w:trHeight w:val="149"/>
        </w:trPr>
        <w:tc>
          <w:tcPr>
            <w:tcW w:w="557" w:type="pct"/>
            <w:tcMar>
              <w:left w:w="28" w:type="dxa"/>
              <w:right w:w="28" w:type="dxa"/>
            </w:tcMar>
          </w:tcPr>
          <w:p w:rsidR="0011768F" w:rsidRDefault="0011768F" w:rsidP="00037B11">
            <w:pPr>
              <w:pStyle w:val="Tablewriting"/>
              <w:rPr>
                <w:rFonts w:eastAsia="MS Mincho"/>
              </w:rPr>
            </w:pPr>
            <w:r>
              <w:rPr>
                <w:rFonts w:eastAsia="MS Mincho"/>
              </w:rPr>
              <w:t>Cahill</w:t>
            </w:r>
            <w:r w:rsidRPr="00061F78">
              <w:rPr>
                <w:rFonts w:eastAsia="MS Mincho"/>
              </w:rPr>
              <w:t xml:space="preserve"> </w:t>
            </w:r>
          </w:p>
          <w:p w:rsidR="0011768F" w:rsidRDefault="0011768F" w:rsidP="00037B11">
            <w:pPr>
              <w:pStyle w:val="Tablewriting"/>
              <w:rPr>
                <w:rFonts w:eastAsia="MS Mincho"/>
              </w:rPr>
            </w:pPr>
            <w:r w:rsidRPr="00061F78">
              <w:rPr>
                <w:rFonts w:eastAsia="MS Mincho"/>
              </w:rPr>
              <w:t>(20</w:t>
            </w:r>
            <w:r>
              <w:rPr>
                <w:rFonts w:eastAsia="MS Mincho"/>
              </w:rPr>
              <w:t>16</w:t>
            </w:r>
            <w:r w:rsidRPr="00061F78">
              <w:rPr>
                <w:rFonts w:eastAsia="MS Mincho"/>
              </w:rPr>
              <w:t>)</w:t>
            </w:r>
            <w:r w:rsidR="00037B11">
              <w:rPr>
                <w:rFonts w:eastAsia="MS Mincho"/>
                <w:vertAlign w:val="superscript"/>
              </w:rPr>
              <w:t>2</w:t>
            </w:r>
          </w:p>
        </w:tc>
        <w:tc>
          <w:tcPr>
            <w:tcW w:w="928" w:type="pct"/>
            <w:vAlign w:val="center"/>
          </w:tcPr>
          <w:p w:rsidR="0011768F" w:rsidRDefault="0011768F" w:rsidP="00037B11">
            <w:pPr>
              <w:pStyle w:val="Tablewriting"/>
              <w:jc w:val="center"/>
              <w:rPr>
                <w:rFonts w:eastAsia="MS Mincho"/>
              </w:rPr>
            </w:pPr>
            <w:r>
              <w:rPr>
                <w:rFonts w:eastAsia="MS Mincho"/>
              </w:rPr>
              <w:t>Cochrane Review (21 RCTs)</w:t>
            </w:r>
          </w:p>
        </w:tc>
        <w:tc>
          <w:tcPr>
            <w:tcW w:w="850" w:type="pct"/>
            <w:vMerge w:val="restart"/>
            <w:tcMar>
              <w:left w:w="28" w:type="dxa"/>
              <w:right w:w="28" w:type="dxa"/>
            </w:tcMar>
            <w:vAlign w:val="center"/>
          </w:tcPr>
          <w:p w:rsidR="0011768F" w:rsidRDefault="0011768F" w:rsidP="00037B11">
            <w:pPr>
              <w:pStyle w:val="Tablewriting"/>
              <w:jc w:val="center"/>
              <w:rPr>
                <w:rFonts w:eastAsia="MS Mincho"/>
              </w:rPr>
            </w:pPr>
            <w:r>
              <w:rPr>
                <w:rFonts w:eastAsia="MS Mincho"/>
              </w:rPr>
              <w:t xml:space="preserve">All studies except </w:t>
            </w:r>
            <w:r w:rsidR="00CF38B7">
              <w:rPr>
                <w:rFonts w:eastAsia="MS Mincho"/>
              </w:rPr>
              <w:t xml:space="preserve">Wang (2009) and </w:t>
            </w:r>
            <w:r>
              <w:rPr>
                <w:rFonts w:eastAsia="MS Mincho"/>
              </w:rPr>
              <w:t>EAGLES (2016)</w:t>
            </w:r>
          </w:p>
        </w:tc>
        <w:tc>
          <w:tcPr>
            <w:tcW w:w="619" w:type="pct"/>
            <w:tcMar>
              <w:left w:w="28" w:type="dxa"/>
              <w:right w:w="28" w:type="dxa"/>
            </w:tcMar>
            <w:vAlign w:val="center"/>
          </w:tcPr>
          <w:p w:rsidR="0011768F" w:rsidRDefault="008E28B8" w:rsidP="00037B11">
            <w:pPr>
              <w:pStyle w:val="Tablewriting"/>
              <w:jc w:val="center"/>
              <w:rPr>
                <w:rFonts w:eastAsia="MS Mincho"/>
              </w:rPr>
            </w:pPr>
            <w:r>
              <w:rPr>
                <w:rFonts w:eastAsia="MS Mincho"/>
              </w:rPr>
              <w:t>57</w:t>
            </w:r>
            <w:r w:rsidR="0011768F">
              <w:rPr>
                <w:rFonts w:eastAsia="MS Mincho"/>
              </w:rPr>
              <w:t>/</w:t>
            </w:r>
            <w:r w:rsidR="00F86C54">
              <w:rPr>
                <w:rFonts w:eastAsia="MS Mincho"/>
              </w:rPr>
              <w:t>4,696</w:t>
            </w:r>
          </w:p>
          <w:p w:rsidR="0011768F" w:rsidRDefault="009A375D" w:rsidP="00037B11">
            <w:pPr>
              <w:pStyle w:val="Tablewriting"/>
              <w:jc w:val="center"/>
              <w:rPr>
                <w:rFonts w:eastAsia="MS Mincho"/>
              </w:rPr>
            </w:pPr>
            <w:r>
              <w:rPr>
                <w:rFonts w:eastAsia="MS Mincho"/>
              </w:rPr>
              <w:t>(1.2%)</w:t>
            </w:r>
          </w:p>
        </w:tc>
        <w:tc>
          <w:tcPr>
            <w:tcW w:w="653" w:type="pct"/>
            <w:tcMar>
              <w:left w:w="28" w:type="dxa"/>
              <w:right w:w="28" w:type="dxa"/>
            </w:tcMar>
            <w:vAlign w:val="center"/>
          </w:tcPr>
          <w:p w:rsidR="0011768F" w:rsidRDefault="00A038AD" w:rsidP="00037B11">
            <w:pPr>
              <w:pStyle w:val="Tablewriting"/>
              <w:jc w:val="center"/>
              <w:rPr>
                <w:rFonts w:eastAsia="MS Mincho"/>
              </w:rPr>
            </w:pPr>
            <w:r>
              <w:rPr>
                <w:rFonts w:eastAsia="MS Mincho"/>
              </w:rPr>
              <w:t>35</w:t>
            </w:r>
            <w:r w:rsidR="0011768F">
              <w:rPr>
                <w:rFonts w:eastAsia="MS Mincho"/>
              </w:rPr>
              <w:t>/</w:t>
            </w:r>
            <w:r>
              <w:rPr>
                <w:rFonts w:eastAsia="MS Mincho"/>
              </w:rPr>
              <w:t>3,891</w:t>
            </w:r>
          </w:p>
          <w:p w:rsidR="0011768F" w:rsidRDefault="001F01DC" w:rsidP="00037B11">
            <w:pPr>
              <w:pStyle w:val="Tablewriting"/>
              <w:jc w:val="center"/>
              <w:rPr>
                <w:rFonts w:eastAsia="MS Mincho"/>
              </w:rPr>
            </w:pPr>
            <w:r>
              <w:rPr>
                <w:rFonts w:eastAsia="MS Mincho"/>
              </w:rPr>
              <w:t>(0.9%)</w:t>
            </w:r>
          </w:p>
        </w:tc>
        <w:tc>
          <w:tcPr>
            <w:tcW w:w="697" w:type="pct"/>
            <w:tcMar>
              <w:left w:w="28" w:type="dxa"/>
              <w:right w:w="28" w:type="dxa"/>
            </w:tcMar>
            <w:vAlign w:val="center"/>
          </w:tcPr>
          <w:p w:rsidR="0011768F" w:rsidRPr="00A038AD" w:rsidRDefault="00A038AD" w:rsidP="00037B11">
            <w:pPr>
              <w:pStyle w:val="Tablewriting"/>
              <w:jc w:val="center"/>
              <w:rPr>
                <w:rFonts w:eastAsia="MS Mincho"/>
              </w:rPr>
            </w:pPr>
            <w:r w:rsidRPr="00A038AD">
              <w:rPr>
                <w:rFonts w:eastAsia="MS Mincho"/>
              </w:rPr>
              <w:t>1.36</w:t>
            </w:r>
          </w:p>
          <w:p w:rsidR="00A038AD" w:rsidRDefault="00A038AD" w:rsidP="00037B11">
            <w:pPr>
              <w:pStyle w:val="Tablewriting"/>
              <w:jc w:val="center"/>
              <w:rPr>
                <w:rFonts w:eastAsia="MS Mincho"/>
                <w:b/>
                <w:bCs/>
              </w:rPr>
            </w:pPr>
            <w:r w:rsidRPr="00A038AD">
              <w:rPr>
                <w:rFonts w:eastAsia="MS Mincho"/>
              </w:rPr>
              <w:t>(0.91, 2.04)</w:t>
            </w:r>
          </w:p>
        </w:tc>
        <w:tc>
          <w:tcPr>
            <w:tcW w:w="696" w:type="pct"/>
            <w:vAlign w:val="center"/>
          </w:tcPr>
          <w:p w:rsidR="0011768F" w:rsidRPr="00061F78" w:rsidRDefault="00037B11" w:rsidP="00037B11">
            <w:pPr>
              <w:pStyle w:val="Tablewriting"/>
              <w:jc w:val="center"/>
              <w:rPr>
                <w:rFonts w:eastAsia="MS Mincho"/>
              </w:rPr>
            </w:pPr>
            <w:r>
              <w:rPr>
                <w:rFonts w:eastAsia="MS Mincho"/>
              </w:rPr>
              <w:t>NR</w:t>
            </w:r>
          </w:p>
        </w:tc>
      </w:tr>
      <w:tr w:rsidR="00037B11" w:rsidRPr="00061F78" w:rsidTr="0061135E">
        <w:trPr>
          <w:cantSplit/>
          <w:trHeight w:val="149"/>
        </w:trPr>
        <w:tc>
          <w:tcPr>
            <w:tcW w:w="557" w:type="pct"/>
            <w:tcMar>
              <w:left w:w="28" w:type="dxa"/>
              <w:right w:w="28" w:type="dxa"/>
            </w:tcMar>
          </w:tcPr>
          <w:p w:rsidR="00037B11" w:rsidRDefault="00037B11" w:rsidP="00037B11">
            <w:pPr>
              <w:pStyle w:val="Tablewriting"/>
              <w:rPr>
                <w:rFonts w:eastAsia="MS Mincho"/>
              </w:rPr>
            </w:pPr>
            <w:r>
              <w:rPr>
                <w:rFonts w:eastAsia="MS Mincho"/>
              </w:rPr>
              <w:t>Updated re-analysis</w:t>
            </w:r>
            <w:r>
              <w:rPr>
                <w:rFonts w:eastAsia="MS Mincho"/>
                <w:vertAlign w:val="superscript"/>
              </w:rPr>
              <w:t>3</w:t>
            </w:r>
          </w:p>
        </w:tc>
        <w:tc>
          <w:tcPr>
            <w:tcW w:w="928" w:type="pct"/>
            <w:vAlign w:val="center"/>
          </w:tcPr>
          <w:p w:rsidR="00037B11" w:rsidRDefault="00037B11" w:rsidP="00037B11">
            <w:pPr>
              <w:pStyle w:val="Tablewriting"/>
              <w:jc w:val="center"/>
              <w:rPr>
                <w:rFonts w:eastAsia="MS Mincho"/>
              </w:rPr>
            </w:pPr>
            <w:r>
              <w:rPr>
                <w:rFonts w:eastAsia="MS Mincho"/>
              </w:rPr>
              <w:t>2</w:t>
            </w:r>
            <w:r w:rsidR="009452DB">
              <w:rPr>
                <w:rFonts w:eastAsia="MS Mincho"/>
              </w:rPr>
              <w:t>2</w:t>
            </w:r>
            <w:r>
              <w:rPr>
                <w:rFonts w:eastAsia="MS Mincho"/>
              </w:rPr>
              <w:t xml:space="preserve"> RCTs</w:t>
            </w:r>
          </w:p>
        </w:tc>
        <w:tc>
          <w:tcPr>
            <w:tcW w:w="850" w:type="pct"/>
            <w:vMerge/>
            <w:tcMar>
              <w:left w:w="28" w:type="dxa"/>
              <w:right w:w="28" w:type="dxa"/>
            </w:tcMar>
            <w:vAlign w:val="center"/>
          </w:tcPr>
          <w:p w:rsidR="00037B11" w:rsidRDefault="00037B11" w:rsidP="00037B11">
            <w:pPr>
              <w:pStyle w:val="Tablewriting"/>
              <w:jc w:val="center"/>
              <w:rPr>
                <w:rFonts w:eastAsia="MS Mincho"/>
              </w:rPr>
            </w:pPr>
          </w:p>
        </w:tc>
        <w:tc>
          <w:tcPr>
            <w:tcW w:w="619" w:type="pct"/>
            <w:tcMar>
              <w:left w:w="28" w:type="dxa"/>
              <w:right w:w="28" w:type="dxa"/>
            </w:tcMar>
            <w:vAlign w:val="center"/>
          </w:tcPr>
          <w:p w:rsidR="00037B11" w:rsidRDefault="009452DB" w:rsidP="00037B11">
            <w:pPr>
              <w:pStyle w:val="Tablewriting"/>
              <w:jc w:val="center"/>
              <w:rPr>
                <w:rFonts w:eastAsia="MS Mincho"/>
              </w:rPr>
            </w:pPr>
            <w:r>
              <w:rPr>
                <w:rFonts w:eastAsia="MS Mincho"/>
              </w:rPr>
              <w:t>62</w:t>
            </w:r>
            <w:r w:rsidR="00037B11">
              <w:rPr>
                <w:rFonts w:eastAsia="MS Mincho"/>
              </w:rPr>
              <w:t>/7,</w:t>
            </w:r>
            <w:r>
              <w:rPr>
                <w:rFonts w:eastAsia="MS Mincho"/>
              </w:rPr>
              <w:t>115</w:t>
            </w:r>
          </w:p>
          <w:p w:rsidR="00037B11" w:rsidRDefault="00037B11" w:rsidP="00037B11">
            <w:pPr>
              <w:pStyle w:val="Tablewriting"/>
              <w:jc w:val="center"/>
              <w:rPr>
                <w:rFonts w:eastAsia="MS Mincho"/>
              </w:rPr>
            </w:pPr>
            <w:r>
              <w:rPr>
                <w:rFonts w:eastAsia="MS Mincho"/>
              </w:rPr>
              <w:t>(</w:t>
            </w:r>
            <w:r w:rsidR="003547EA">
              <w:rPr>
                <w:rFonts w:eastAsia="MS Mincho"/>
              </w:rPr>
              <w:t>0.9</w:t>
            </w:r>
            <w:r>
              <w:rPr>
                <w:rFonts w:eastAsia="MS Mincho"/>
              </w:rPr>
              <w:t>%)</w:t>
            </w:r>
          </w:p>
        </w:tc>
        <w:tc>
          <w:tcPr>
            <w:tcW w:w="653" w:type="pct"/>
            <w:tcMar>
              <w:left w:w="28" w:type="dxa"/>
              <w:right w:w="28" w:type="dxa"/>
            </w:tcMar>
            <w:vAlign w:val="center"/>
          </w:tcPr>
          <w:p w:rsidR="00037B11" w:rsidRDefault="00A0067F" w:rsidP="00037B11">
            <w:pPr>
              <w:pStyle w:val="Tablewriting"/>
              <w:jc w:val="center"/>
              <w:rPr>
                <w:rFonts w:eastAsia="MS Mincho"/>
              </w:rPr>
            </w:pPr>
            <w:r>
              <w:rPr>
                <w:rFonts w:eastAsia="MS Mincho"/>
              </w:rPr>
              <w:t>42</w:t>
            </w:r>
            <w:r w:rsidR="00037B11">
              <w:rPr>
                <w:rFonts w:eastAsia="MS Mincho"/>
              </w:rPr>
              <w:t>/6,</w:t>
            </w:r>
            <w:r>
              <w:rPr>
                <w:rFonts w:eastAsia="MS Mincho"/>
              </w:rPr>
              <w:t>413</w:t>
            </w:r>
          </w:p>
          <w:p w:rsidR="00037B11" w:rsidRDefault="00037B11" w:rsidP="00037B11">
            <w:pPr>
              <w:pStyle w:val="Tablewriting"/>
              <w:jc w:val="center"/>
              <w:rPr>
                <w:rFonts w:eastAsia="MS Mincho"/>
              </w:rPr>
            </w:pPr>
            <w:r>
              <w:rPr>
                <w:rFonts w:eastAsia="MS Mincho"/>
              </w:rPr>
              <w:t>(</w:t>
            </w:r>
            <w:r w:rsidR="004C4D86">
              <w:rPr>
                <w:rFonts w:eastAsia="MS Mincho"/>
              </w:rPr>
              <w:t>0.7</w:t>
            </w:r>
            <w:r>
              <w:rPr>
                <w:rFonts w:eastAsia="MS Mincho"/>
              </w:rPr>
              <w:t>%)</w:t>
            </w:r>
          </w:p>
        </w:tc>
        <w:tc>
          <w:tcPr>
            <w:tcW w:w="697" w:type="pct"/>
            <w:tcMar>
              <w:left w:w="28" w:type="dxa"/>
              <w:right w:w="28" w:type="dxa"/>
            </w:tcMar>
            <w:vAlign w:val="center"/>
          </w:tcPr>
          <w:p w:rsidR="00037B11" w:rsidRDefault="00037B11" w:rsidP="00037B11">
            <w:pPr>
              <w:pStyle w:val="Tablewriting"/>
              <w:jc w:val="center"/>
              <w:rPr>
                <w:rFonts w:eastAsia="MS Mincho"/>
              </w:rPr>
            </w:pPr>
            <w:r>
              <w:rPr>
                <w:rFonts w:eastAsia="MS Mincho"/>
              </w:rPr>
              <w:t>1.</w:t>
            </w:r>
            <w:r w:rsidR="00A0067F">
              <w:rPr>
                <w:rFonts w:eastAsia="MS Mincho"/>
              </w:rPr>
              <w:t>27</w:t>
            </w:r>
          </w:p>
          <w:p w:rsidR="00037B11" w:rsidRPr="00A038AD" w:rsidRDefault="00037B11" w:rsidP="00037B11">
            <w:pPr>
              <w:pStyle w:val="Tablewriting"/>
              <w:jc w:val="center"/>
              <w:rPr>
                <w:rFonts w:eastAsia="MS Mincho"/>
              </w:rPr>
            </w:pPr>
            <w:r>
              <w:rPr>
                <w:rFonts w:eastAsia="MS Mincho"/>
              </w:rPr>
              <w:t>(0.8</w:t>
            </w:r>
            <w:r w:rsidR="00A0067F">
              <w:rPr>
                <w:rFonts w:eastAsia="MS Mincho"/>
              </w:rPr>
              <w:t>5</w:t>
            </w:r>
            <w:r>
              <w:rPr>
                <w:rFonts w:eastAsia="MS Mincho"/>
              </w:rPr>
              <w:t>, 1.</w:t>
            </w:r>
            <w:r w:rsidR="00A0067F">
              <w:rPr>
                <w:rFonts w:eastAsia="MS Mincho"/>
              </w:rPr>
              <w:t>89</w:t>
            </w:r>
            <w:r>
              <w:rPr>
                <w:rFonts w:eastAsia="MS Mincho"/>
              </w:rPr>
              <w:t>)</w:t>
            </w:r>
          </w:p>
        </w:tc>
        <w:tc>
          <w:tcPr>
            <w:tcW w:w="696" w:type="pct"/>
            <w:vAlign w:val="center"/>
          </w:tcPr>
          <w:p w:rsidR="00037B11" w:rsidRDefault="003A43F6" w:rsidP="00037B11">
            <w:pPr>
              <w:pStyle w:val="Tablewriting"/>
              <w:jc w:val="center"/>
              <w:rPr>
                <w:rFonts w:eastAsia="MS Mincho"/>
              </w:rPr>
            </w:pPr>
            <w:r>
              <w:rPr>
                <w:rFonts w:eastAsia="MS Mincho"/>
              </w:rPr>
              <w:t>0</w:t>
            </w:r>
          </w:p>
          <w:p w:rsidR="003A43F6" w:rsidRPr="00061F78" w:rsidRDefault="003A43F6" w:rsidP="00037B11">
            <w:pPr>
              <w:pStyle w:val="Tablewriting"/>
              <w:jc w:val="center"/>
              <w:rPr>
                <w:rFonts w:eastAsia="MS Mincho"/>
              </w:rPr>
            </w:pPr>
            <w:r>
              <w:rPr>
                <w:rFonts w:eastAsia="MS Mincho"/>
              </w:rPr>
              <w:t>(0, 0.01)</w:t>
            </w:r>
          </w:p>
        </w:tc>
      </w:tr>
    </w:tbl>
    <w:p w:rsidR="00A550C6" w:rsidRDefault="00DA4E98" w:rsidP="00723730">
      <w:pPr>
        <w:pStyle w:val="TableFooter"/>
        <w:rPr>
          <w:rFonts w:eastAsia="MS Mincho"/>
        </w:rPr>
      </w:pPr>
      <w:r>
        <w:t xml:space="preserve">Source: </w:t>
      </w:r>
      <w:r w:rsidR="00A550C6">
        <w:t>Cahill et al. (2016),</w:t>
      </w:r>
      <w:r w:rsidR="00A550C6" w:rsidRPr="00A550C6">
        <w:rPr>
          <w:rFonts w:eastAsia="MS Mincho"/>
        </w:rPr>
        <w:t xml:space="preserve"> </w:t>
      </w:r>
      <w:r w:rsidR="00A550C6">
        <w:rPr>
          <w:rFonts w:eastAsia="MS Mincho"/>
        </w:rPr>
        <w:t>Lerman</w:t>
      </w:r>
      <w:r w:rsidR="00A550C6">
        <w:t xml:space="preserve"> et al. (</w:t>
      </w:r>
      <w:r w:rsidR="00A550C6" w:rsidRPr="009E22A2">
        <w:rPr>
          <w:rFonts w:eastAsia="MS Mincho"/>
        </w:rPr>
        <w:t>2015</w:t>
      </w:r>
      <w:r w:rsidR="00A550C6">
        <w:rPr>
          <w:rFonts w:eastAsia="MS Mincho"/>
        </w:rPr>
        <w:t>)</w:t>
      </w:r>
      <w:r w:rsidR="00A550C6" w:rsidRPr="009E22A2">
        <w:rPr>
          <w:rFonts w:eastAsia="MS Mincho"/>
        </w:rPr>
        <w:t>,</w:t>
      </w:r>
      <w:r w:rsidR="00A550C6">
        <w:rPr>
          <w:rFonts w:eastAsia="MS Mincho"/>
        </w:rPr>
        <w:t xml:space="preserve"> Littlewood et al. (2017),</w:t>
      </w:r>
      <w:r w:rsidR="00A550C6" w:rsidRPr="009E22A2">
        <w:rPr>
          <w:rFonts w:eastAsia="MS Mincho"/>
        </w:rPr>
        <w:t xml:space="preserve"> </w:t>
      </w:r>
      <w:r w:rsidR="000728E4">
        <w:rPr>
          <w:rFonts w:eastAsia="MS Mincho"/>
        </w:rPr>
        <w:t xml:space="preserve">Benowitz et al. (2018), </w:t>
      </w:r>
      <w:r w:rsidR="00A550C6" w:rsidRPr="009E22A2">
        <w:rPr>
          <w:rFonts w:eastAsia="MS Mincho"/>
        </w:rPr>
        <w:t xml:space="preserve">Hurt </w:t>
      </w:r>
      <w:r w:rsidR="00A550C6">
        <w:rPr>
          <w:rFonts w:eastAsia="MS Mincho"/>
        </w:rPr>
        <w:t>et al. (</w:t>
      </w:r>
      <w:r w:rsidR="00A550C6" w:rsidRPr="009E22A2">
        <w:rPr>
          <w:rFonts w:eastAsia="MS Mincho"/>
        </w:rPr>
        <w:t>2018</w:t>
      </w:r>
      <w:r w:rsidR="00A550C6">
        <w:rPr>
          <w:rFonts w:eastAsia="MS Mincho"/>
        </w:rPr>
        <w:t>)</w:t>
      </w:r>
      <w:r w:rsidR="00A550C6" w:rsidRPr="009E22A2">
        <w:rPr>
          <w:rFonts w:eastAsia="MS Mincho"/>
        </w:rPr>
        <w:t xml:space="preserve">, </w:t>
      </w:r>
      <w:r w:rsidR="00800BE4">
        <w:rPr>
          <w:rFonts w:eastAsia="MS Mincho"/>
        </w:rPr>
        <w:t xml:space="preserve">Mercie et al. (2018), </w:t>
      </w:r>
      <w:r w:rsidR="00A550C6" w:rsidRPr="009E22A2">
        <w:rPr>
          <w:rFonts w:eastAsia="MS Mincho"/>
        </w:rPr>
        <w:t>Windle</w:t>
      </w:r>
      <w:r w:rsidR="00A550C6">
        <w:rPr>
          <w:rFonts w:eastAsia="MS Mincho"/>
        </w:rPr>
        <w:t xml:space="preserve"> et al. (</w:t>
      </w:r>
      <w:r w:rsidR="00A550C6" w:rsidRPr="009E22A2">
        <w:rPr>
          <w:rFonts w:eastAsia="MS Mincho"/>
        </w:rPr>
        <w:t>2018</w:t>
      </w:r>
      <w:r w:rsidR="00A550C6">
        <w:rPr>
          <w:rFonts w:eastAsia="MS Mincho"/>
        </w:rPr>
        <w:t>)</w:t>
      </w:r>
      <w:r w:rsidR="00A550C6" w:rsidRPr="009E22A2">
        <w:rPr>
          <w:rFonts w:eastAsia="MS Mincho"/>
        </w:rPr>
        <w:t xml:space="preserve">, Ashare </w:t>
      </w:r>
      <w:r w:rsidR="00A550C6">
        <w:rPr>
          <w:rFonts w:eastAsia="MS Mincho"/>
        </w:rPr>
        <w:t>et al. (</w:t>
      </w:r>
      <w:r w:rsidR="00A550C6" w:rsidRPr="009E22A2">
        <w:rPr>
          <w:rFonts w:eastAsia="MS Mincho"/>
        </w:rPr>
        <w:t>2019</w:t>
      </w:r>
      <w:r w:rsidR="00A550C6">
        <w:rPr>
          <w:rFonts w:eastAsia="MS Mincho"/>
        </w:rPr>
        <w:t>)</w:t>
      </w:r>
      <w:r w:rsidR="000728E4">
        <w:rPr>
          <w:rFonts w:eastAsia="MS Mincho"/>
        </w:rPr>
        <w:t>,</w:t>
      </w:r>
      <w:r w:rsidR="00A550C6" w:rsidRPr="009E22A2">
        <w:rPr>
          <w:rFonts w:eastAsia="MS Mincho"/>
        </w:rPr>
        <w:t xml:space="preserve"> Chen </w:t>
      </w:r>
      <w:r w:rsidR="00A550C6">
        <w:rPr>
          <w:rFonts w:eastAsia="MS Mincho"/>
        </w:rPr>
        <w:t>et al. (</w:t>
      </w:r>
      <w:r w:rsidR="00A550C6" w:rsidRPr="009E22A2">
        <w:rPr>
          <w:rFonts w:eastAsia="MS Mincho"/>
        </w:rPr>
        <w:t>2020</w:t>
      </w:r>
      <w:r w:rsidR="00A550C6">
        <w:rPr>
          <w:rFonts w:eastAsia="MS Mincho"/>
        </w:rPr>
        <w:t>)</w:t>
      </w:r>
    </w:p>
    <w:p w:rsidR="00DA4E98" w:rsidRDefault="00DA4E98" w:rsidP="00723730">
      <w:pPr>
        <w:pStyle w:val="TableFooter"/>
      </w:pPr>
      <w:r>
        <w:t xml:space="preserve">Abbreviations: CI = confidence interval; </w:t>
      </w:r>
      <w:r w:rsidR="002842A4">
        <w:t xml:space="preserve">NR = not reported; </w:t>
      </w:r>
      <w:r>
        <w:t>RCT = randomised controlled trial; RR = risk ratio</w:t>
      </w:r>
    </w:p>
    <w:p w:rsidR="00405602" w:rsidRDefault="00DA4E98" w:rsidP="00723730">
      <w:pPr>
        <w:pStyle w:val="TableFooter"/>
      </w:pPr>
      <w:r w:rsidRPr="00FD4061">
        <w:t>Note</w:t>
      </w:r>
      <w:r>
        <w:t>s</w:t>
      </w:r>
      <w:r w:rsidRPr="00FD4061">
        <w:t>: Bold indicates statistically significant difference.</w:t>
      </w:r>
      <w:r w:rsidR="00A038AD" w:rsidRPr="00A038AD">
        <w:t xml:space="preserve"> </w:t>
      </w:r>
      <w:r w:rsidR="00A038AD">
        <w:t xml:space="preserve">See </w:t>
      </w:r>
      <w:r w:rsidR="00A038AD" w:rsidRPr="00F619B7">
        <w:t>Appendix</w:t>
      </w:r>
      <w:r w:rsidR="00A038AD">
        <w:t xml:space="preserve"> </w:t>
      </w:r>
      <w:r w:rsidR="003C4A1C">
        <w:t xml:space="preserve">Figure </w:t>
      </w:r>
      <w:r w:rsidR="003C4A1C">
        <w:rPr>
          <w:noProof/>
        </w:rPr>
        <w:t>56</w:t>
      </w:r>
      <w:r w:rsidR="00876F50">
        <w:t xml:space="preserve"> to </w:t>
      </w:r>
      <w:r w:rsidR="003C4A1C">
        <w:t xml:space="preserve">Figure </w:t>
      </w:r>
      <w:r w:rsidR="003C4A1C">
        <w:rPr>
          <w:noProof/>
        </w:rPr>
        <w:t>64</w:t>
      </w:r>
      <w:r w:rsidR="00876F50">
        <w:t xml:space="preserve"> </w:t>
      </w:r>
      <w:r w:rsidR="00A038AD">
        <w:t xml:space="preserve">for forest plots </w:t>
      </w:r>
      <w:r w:rsidR="00405602" w:rsidRPr="00405602">
        <w:t>of the respective outcomes which included the results of individual studies.</w:t>
      </w:r>
    </w:p>
    <w:p w:rsidR="00DA4E98" w:rsidRDefault="00A038AD" w:rsidP="00723730">
      <w:pPr>
        <w:pStyle w:val="TableFooter"/>
      </w:pPr>
      <w:r>
        <w:t>1 Where previously considered studies were not included, this was due to the outcome not being reported</w:t>
      </w:r>
      <w:r w:rsidR="000F1E7A">
        <w:t>.</w:t>
      </w:r>
    </w:p>
    <w:p w:rsidR="00DA4E98" w:rsidRDefault="00A038AD" w:rsidP="00723730">
      <w:pPr>
        <w:pStyle w:val="TableFooter"/>
      </w:pPr>
      <w:r w:rsidRPr="00F619B7">
        <w:t>2</w:t>
      </w:r>
      <w:r w:rsidR="00DA4E98" w:rsidRPr="00F619B7">
        <w:t xml:space="preserve"> Calculated </w:t>
      </w:r>
      <w:r w:rsidR="009609E3" w:rsidRPr="00F619B7">
        <w:t>by Cochrane Review</w:t>
      </w:r>
      <w:r w:rsidR="002C5D1C" w:rsidRPr="00F619B7">
        <w:t xml:space="preserve"> authors</w:t>
      </w:r>
      <w:r w:rsidR="00DA4E98" w:rsidRPr="00F619B7">
        <w:t xml:space="preserve"> using a fixed-effect model</w:t>
      </w:r>
      <w:r w:rsidR="000F1E7A">
        <w:t>.</w:t>
      </w:r>
    </w:p>
    <w:p w:rsidR="00046096" w:rsidRDefault="00046096" w:rsidP="00723730">
      <w:pPr>
        <w:pStyle w:val="TableFooter"/>
      </w:pPr>
      <w:r w:rsidRPr="00F619B7">
        <w:t xml:space="preserve">3 Calculated </w:t>
      </w:r>
      <w:r w:rsidR="009609E3" w:rsidRPr="00F619B7">
        <w:t xml:space="preserve">during the review </w:t>
      </w:r>
      <w:r w:rsidRPr="00F619B7">
        <w:t>using a random-effect model</w:t>
      </w:r>
      <w:r w:rsidR="001360A4">
        <w:t>. Excluded</w:t>
      </w:r>
      <w:r w:rsidR="00522C6F">
        <w:t xml:space="preserve"> the following</w:t>
      </w:r>
      <w:r w:rsidR="001360A4">
        <w:t xml:space="preserve"> studies</w:t>
      </w:r>
      <w:r w:rsidR="00522C6F">
        <w:t xml:space="preserve"> from</w:t>
      </w:r>
      <w:r w:rsidR="00267BAA">
        <w:t xml:space="preserve"> updated</w:t>
      </w:r>
      <w:r w:rsidR="00522C6F">
        <w:t xml:space="preserve"> </w:t>
      </w:r>
      <w:r w:rsidR="00254E07">
        <w:t>safety re-analysis due to incorrect treatment duration (</w:t>
      </w:r>
      <w:r w:rsidR="00FE5926" w:rsidRPr="00ED4408">
        <w:t>NCT00828113</w:t>
      </w:r>
      <w:r w:rsidR="00FE5926">
        <w:t xml:space="preserve">, </w:t>
      </w:r>
      <w:r w:rsidR="006E4F58">
        <w:t xml:space="preserve">Williams 2007, Stein 2013, </w:t>
      </w:r>
      <w:r w:rsidR="00FE5926">
        <w:t>Evins 2014</w:t>
      </w:r>
      <w:r w:rsidR="006E4F58">
        <w:t xml:space="preserve">, </w:t>
      </w:r>
      <w:r w:rsidR="00254E07">
        <w:t>Ebbert 2015</w:t>
      </w:r>
      <w:r w:rsidR="00300C86">
        <w:t>; exceeded standard 12 weeks</w:t>
      </w:r>
      <w:r w:rsidR="00FA10A9">
        <w:t xml:space="preserve"> therapy</w:t>
      </w:r>
      <w:r w:rsidR="00116BF7">
        <w:t>)</w:t>
      </w:r>
      <w:r w:rsidR="00FA10A9">
        <w:t>.</w:t>
      </w:r>
      <w:r w:rsidR="001360A4">
        <w:t xml:space="preserve"> </w:t>
      </w:r>
      <w:r w:rsidR="00C40DF6">
        <w:t>A sensitivity analysis was conducted during the review by including these studies</w:t>
      </w:r>
      <w:r w:rsidR="00872280">
        <w:t xml:space="preserve"> (as per Cahill 2014) and</w:t>
      </w:r>
      <w:r w:rsidR="00C40DF6">
        <w:t xml:space="preserve"> </w:t>
      </w:r>
      <w:r w:rsidR="00872280">
        <w:t>t</w:t>
      </w:r>
      <w:r w:rsidR="00C40DF6">
        <w:t>he results</w:t>
      </w:r>
      <w:r w:rsidR="003359AA">
        <w:t xml:space="preserve"> were</w:t>
      </w:r>
      <w:r w:rsidR="00C40DF6">
        <w:t xml:space="preserve"> </w:t>
      </w:r>
      <w:r w:rsidR="00872280">
        <w:t xml:space="preserve">consistent </w:t>
      </w:r>
      <w:r w:rsidR="00A23B78">
        <w:t xml:space="preserve">(in terms of statistical significance) </w:t>
      </w:r>
      <w:r w:rsidR="00872280">
        <w:t>wi</w:t>
      </w:r>
      <w:r w:rsidR="00A23B78">
        <w:t>th the updated re-analysis for all outcomes</w:t>
      </w:r>
      <w:r w:rsidR="00C40DF6">
        <w:t>.</w:t>
      </w:r>
    </w:p>
    <w:p w:rsidR="004C7519" w:rsidRDefault="004C7519" w:rsidP="004C7519">
      <w:pPr>
        <w:rPr>
          <w:b/>
          <w:bCs/>
        </w:rPr>
      </w:pPr>
      <w:r w:rsidRPr="00D77C02">
        <w:rPr>
          <w:b/>
          <w:bCs/>
        </w:rPr>
        <w:t xml:space="preserve">Varenicline versus </w:t>
      </w:r>
      <w:r>
        <w:rPr>
          <w:b/>
          <w:bCs/>
        </w:rPr>
        <w:t>bupropion</w:t>
      </w:r>
    </w:p>
    <w:p w:rsidR="0029363D" w:rsidRDefault="004C7519" w:rsidP="0029363D">
      <w:r w:rsidRPr="004C7519">
        <w:lastRenderedPageBreak/>
        <w:t xml:space="preserve">A summary of the citation details for the studies comparing varenicline with </w:t>
      </w:r>
      <w:r w:rsidR="00D35F4F">
        <w:t>bupropion</w:t>
      </w:r>
      <w:r w:rsidRPr="004C7519">
        <w:t xml:space="preserve"> is presented in </w:t>
      </w:r>
      <w:r w:rsidR="003C4A1C">
        <w:t xml:space="preserve">Table </w:t>
      </w:r>
      <w:r w:rsidR="003C4A1C">
        <w:rPr>
          <w:noProof/>
        </w:rPr>
        <w:t>17</w:t>
      </w:r>
      <w:r w:rsidRPr="004C7519">
        <w:t xml:space="preserve">. </w:t>
      </w:r>
      <w:r w:rsidR="00D35F4F">
        <w:t>Three</w:t>
      </w:r>
      <w:r w:rsidRPr="004C7519">
        <w:t xml:space="preserve"> studies were previously considered by the PBAC (Gonzales et al. 2006, Jorenby et al. 2006 and </w:t>
      </w:r>
      <w:r w:rsidR="00CE5752">
        <w:t>EAGLES</w:t>
      </w:r>
      <w:r w:rsidRPr="004C7519">
        <w:t xml:space="preserve"> 2016). A recently conducted Cochrane </w:t>
      </w:r>
      <w:r w:rsidR="00072566">
        <w:t>R</w:t>
      </w:r>
      <w:r w:rsidRPr="004C7519">
        <w:t xml:space="preserve">eview by </w:t>
      </w:r>
      <w:r w:rsidR="00D35F4F">
        <w:t>Howes</w:t>
      </w:r>
      <w:r w:rsidRPr="004C7519">
        <w:t xml:space="preserve"> et al. (20</w:t>
      </w:r>
      <w:r w:rsidR="00D35F4F">
        <w:t>20</w:t>
      </w:r>
      <w:r w:rsidRPr="004C7519">
        <w:t xml:space="preserve">) was identified in the systematic literature review that compared varenicline </w:t>
      </w:r>
      <w:r w:rsidR="00AA72C7">
        <w:t>with bupropion</w:t>
      </w:r>
      <w:r w:rsidRPr="004C7519">
        <w:t xml:space="preserve"> and was included in this report.</w:t>
      </w:r>
      <w:r w:rsidR="0031648B">
        <w:t xml:space="preserve"> </w:t>
      </w:r>
      <w:r w:rsidR="0029363D">
        <w:t>One new study</w:t>
      </w:r>
      <w:r w:rsidR="0029363D" w:rsidRPr="001E6534">
        <w:t xml:space="preserve"> w</w:t>
      </w:r>
      <w:r w:rsidR="0029363D">
        <w:t>as</w:t>
      </w:r>
      <w:r w:rsidR="0029363D" w:rsidRPr="001E6534">
        <w:t xml:space="preserve"> identified in the supplemental literature search t</w:t>
      </w:r>
      <w:r w:rsidR="0029363D">
        <w:t>hat</w:t>
      </w:r>
      <w:r w:rsidR="0029363D" w:rsidRPr="001E6534">
        <w:t xml:space="preserve"> inform</w:t>
      </w:r>
      <w:r w:rsidR="0029363D">
        <w:t>ed</w:t>
      </w:r>
      <w:r w:rsidR="0029363D" w:rsidRPr="001E6534">
        <w:t xml:space="preserve"> this comparison and w</w:t>
      </w:r>
      <w:r w:rsidR="0029363D">
        <w:t>as</w:t>
      </w:r>
      <w:r w:rsidR="0029363D" w:rsidRPr="001E6534">
        <w:t xml:space="preserve"> included </w:t>
      </w:r>
      <w:r w:rsidR="0029363D">
        <w:t>in this re</w:t>
      </w:r>
      <w:r w:rsidR="00632962">
        <w:t>port</w:t>
      </w:r>
      <w:r w:rsidR="0029363D">
        <w:t xml:space="preserve"> </w:t>
      </w:r>
      <w:r w:rsidR="0029363D" w:rsidRPr="001E6534">
        <w:t xml:space="preserve">(Benowitz et al. 2018).  </w:t>
      </w:r>
    </w:p>
    <w:p w:rsidR="00506C67" w:rsidRDefault="00506C67" w:rsidP="00506C67">
      <w:pPr>
        <w:pStyle w:val="Caption"/>
        <w:keepNext/>
      </w:pPr>
      <w:bookmarkStart w:id="82" w:name="_Ref54090599"/>
      <w:r>
        <w:t xml:space="preserve">Table </w:t>
      </w:r>
      <w:r w:rsidR="003C4A1C">
        <w:rPr>
          <w:noProof/>
        </w:rPr>
        <w:t>17</w:t>
      </w:r>
      <w:bookmarkEnd w:id="82"/>
      <w:r>
        <w:t xml:space="preserve">: </w:t>
      </w:r>
      <w:r w:rsidRPr="000D2E03">
        <w:t xml:space="preserve">List of studies comparing varenicline with </w:t>
      </w:r>
      <w:r>
        <w:t>bupropion</w:t>
      </w:r>
    </w:p>
    <w:tbl>
      <w:tblPr>
        <w:tblStyle w:val="TableGrid"/>
        <w:tblW w:w="5000" w:type="pct"/>
        <w:tblLook w:val="04A0" w:firstRow="1" w:lastRow="0" w:firstColumn="1" w:lastColumn="0" w:noHBand="0" w:noVBand="1"/>
        <w:tblCaption w:val="Efficacy results of adalimumab trials (PASI 75 and DLQI)"/>
      </w:tblPr>
      <w:tblGrid>
        <w:gridCol w:w="891"/>
        <w:gridCol w:w="8125"/>
      </w:tblGrid>
      <w:tr w:rsidR="0039468B" w:rsidRPr="00061F78" w:rsidTr="0093783B">
        <w:trPr>
          <w:cantSplit/>
          <w:trHeight w:val="329"/>
          <w:tblHeader/>
        </w:trPr>
        <w:tc>
          <w:tcPr>
            <w:tcW w:w="490" w:type="pct"/>
            <w:shd w:val="clear" w:color="auto" w:fill="BFBFBF" w:themeFill="background1" w:themeFillShade="BF"/>
            <w:tcMar>
              <w:left w:w="28" w:type="dxa"/>
              <w:right w:w="28" w:type="dxa"/>
            </w:tcMar>
          </w:tcPr>
          <w:p w:rsidR="004C7519" w:rsidRPr="00061F78" w:rsidRDefault="00126B7B" w:rsidP="00BE3B4B">
            <w:pPr>
              <w:pStyle w:val="Tableheading"/>
              <w:rPr>
                <w:rFonts w:eastAsia="MS Mincho"/>
              </w:rPr>
            </w:pPr>
            <w:r>
              <w:rPr>
                <w:rFonts w:eastAsia="MS Mincho"/>
              </w:rPr>
              <w:t>Study</w:t>
            </w:r>
          </w:p>
        </w:tc>
        <w:tc>
          <w:tcPr>
            <w:tcW w:w="4510" w:type="pct"/>
            <w:shd w:val="clear" w:color="auto" w:fill="BFBFBF" w:themeFill="background1" w:themeFillShade="BF"/>
          </w:tcPr>
          <w:p w:rsidR="004C7519" w:rsidRDefault="004C7519" w:rsidP="00BE3B4B">
            <w:pPr>
              <w:pStyle w:val="Tableheading"/>
              <w:jc w:val="center"/>
              <w:rPr>
                <w:rFonts w:eastAsia="MS Mincho"/>
              </w:rPr>
            </w:pPr>
            <w:r>
              <w:rPr>
                <w:rFonts w:eastAsia="MS Mincho"/>
              </w:rPr>
              <w:t>Citation</w:t>
            </w:r>
          </w:p>
        </w:tc>
      </w:tr>
      <w:tr w:rsidR="0039468B" w:rsidRPr="00061F78" w:rsidTr="005346E0">
        <w:trPr>
          <w:cantSplit/>
          <w:trHeight w:val="109"/>
        </w:trPr>
        <w:tc>
          <w:tcPr>
            <w:tcW w:w="490" w:type="pct"/>
            <w:shd w:val="clear" w:color="auto" w:fill="D9D9D9" w:themeFill="background1" w:themeFillShade="D9"/>
            <w:tcMar>
              <w:left w:w="28" w:type="dxa"/>
              <w:right w:w="28" w:type="dxa"/>
            </w:tcMar>
          </w:tcPr>
          <w:p w:rsidR="004C7519" w:rsidRDefault="004C7519" w:rsidP="00BE3B4B">
            <w:pPr>
              <w:pStyle w:val="Tablewriting"/>
              <w:rPr>
                <w:rFonts w:eastAsia="MS Mincho"/>
              </w:rPr>
            </w:pPr>
            <w:r>
              <w:rPr>
                <w:rFonts w:eastAsia="MS Mincho"/>
              </w:rPr>
              <w:t>Gonzales (2006)</w:t>
            </w:r>
            <w:r w:rsidR="0039468B" w:rsidRPr="00527212">
              <w:rPr>
                <w:rFonts w:eastAsia="MS Mincho"/>
                <w:noProof/>
                <w:vertAlign w:val="superscript"/>
              </w:rPr>
              <w:t>8</w:t>
            </w:r>
          </w:p>
        </w:tc>
        <w:tc>
          <w:tcPr>
            <w:tcW w:w="4510" w:type="pct"/>
            <w:shd w:val="clear" w:color="auto" w:fill="D9D9D9" w:themeFill="background1" w:themeFillShade="D9"/>
          </w:tcPr>
          <w:p w:rsidR="004C7519" w:rsidRPr="00B90A70" w:rsidRDefault="004C7519" w:rsidP="00BE3B4B">
            <w:pPr>
              <w:pStyle w:val="Tablewriting"/>
              <w:rPr>
                <w:rFonts w:eastAsia="MS Mincho"/>
              </w:rPr>
            </w:pPr>
            <w:r w:rsidRPr="000554FE">
              <w:rPr>
                <w:rFonts w:eastAsia="MS Mincho"/>
              </w:rPr>
              <w:t>Gonzales D, Rennard SI, Nides M, Oncken C, Azoulay S, Billing CB, Watsky EJ, Gong J, Williams KE, Reeves KR, Varenicline Phase 3 Study Group. Varenicline, an α4β2 nicotinic acetylcholine receptor partial agonist, vs sustained-release bupropion and placebo for smoking cessation: a randomized controlled trial. Jama. 2006 Jul 5;296(1):47-55.</w:t>
            </w:r>
          </w:p>
        </w:tc>
      </w:tr>
      <w:tr w:rsidR="0039468B" w:rsidRPr="00061F78" w:rsidTr="005346E0">
        <w:trPr>
          <w:cantSplit/>
          <w:trHeight w:val="109"/>
        </w:trPr>
        <w:tc>
          <w:tcPr>
            <w:tcW w:w="490" w:type="pct"/>
            <w:shd w:val="clear" w:color="auto" w:fill="D9D9D9" w:themeFill="background1" w:themeFillShade="D9"/>
            <w:tcMar>
              <w:left w:w="28" w:type="dxa"/>
              <w:right w:w="28" w:type="dxa"/>
            </w:tcMar>
          </w:tcPr>
          <w:p w:rsidR="004C7519" w:rsidRDefault="004C7519" w:rsidP="00BE3B4B">
            <w:pPr>
              <w:pStyle w:val="Tablewriting"/>
              <w:rPr>
                <w:rFonts w:eastAsia="MS Mincho"/>
              </w:rPr>
            </w:pPr>
            <w:r>
              <w:rPr>
                <w:rFonts w:eastAsia="MS Mincho"/>
              </w:rPr>
              <w:t>Jorenby (2006)</w:t>
            </w:r>
            <w:r w:rsidR="0039468B" w:rsidRPr="00527212">
              <w:rPr>
                <w:rFonts w:eastAsia="MS Mincho"/>
                <w:noProof/>
                <w:vertAlign w:val="superscript"/>
              </w:rPr>
              <w:t>9</w:t>
            </w:r>
          </w:p>
        </w:tc>
        <w:tc>
          <w:tcPr>
            <w:tcW w:w="4510" w:type="pct"/>
            <w:shd w:val="clear" w:color="auto" w:fill="D9D9D9" w:themeFill="background1" w:themeFillShade="D9"/>
          </w:tcPr>
          <w:p w:rsidR="004C7519" w:rsidRPr="00B90A70" w:rsidRDefault="004C7519" w:rsidP="00BE3B4B">
            <w:pPr>
              <w:pStyle w:val="Tablewriting"/>
              <w:rPr>
                <w:rFonts w:eastAsia="MS Mincho"/>
              </w:rPr>
            </w:pPr>
            <w:r w:rsidRPr="00FD5577">
              <w:rPr>
                <w:rFonts w:eastAsia="MS Mincho"/>
              </w:rPr>
              <w:t>Jorenby DE, Hays JT, Rigotti NA, Azoulay S, Watsky EJ, Williams KE, Billing CB, Gong J, Reeves KR, Varenicline Phase 3 Study Group. Efficacy of varenicline, an α4β2 nicotinic acetylcholine receptor partial agonist, vs placebo or sustained-release bupropion for smoking cessation: a randomized controlled trial. Jama. 2006 Jul 5;296(1):56-63.</w:t>
            </w:r>
          </w:p>
        </w:tc>
      </w:tr>
      <w:tr w:rsidR="0039468B" w:rsidRPr="00061F78" w:rsidTr="005346E0">
        <w:trPr>
          <w:cantSplit/>
          <w:trHeight w:val="109"/>
        </w:trPr>
        <w:tc>
          <w:tcPr>
            <w:tcW w:w="490" w:type="pct"/>
            <w:shd w:val="clear" w:color="auto" w:fill="D9D9D9" w:themeFill="background1" w:themeFillShade="D9"/>
            <w:tcMar>
              <w:left w:w="28" w:type="dxa"/>
              <w:right w:w="28" w:type="dxa"/>
            </w:tcMar>
          </w:tcPr>
          <w:p w:rsidR="004C7519" w:rsidRDefault="004C7519" w:rsidP="00BE3B4B">
            <w:pPr>
              <w:pStyle w:val="Tablewriting"/>
              <w:rPr>
                <w:rFonts w:eastAsia="MS Mincho"/>
              </w:rPr>
            </w:pPr>
            <w:r>
              <w:rPr>
                <w:rFonts w:eastAsia="MS Mincho"/>
              </w:rPr>
              <w:t>Anthenelli (EAGLES, 2016)</w:t>
            </w:r>
            <w:r w:rsidR="0039468B" w:rsidRPr="00527212">
              <w:rPr>
                <w:rFonts w:eastAsia="MS Mincho"/>
                <w:noProof/>
                <w:vertAlign w:val="superscript"/>
              </w:rPr>
              <w:t>18</w:t>
            </w:r>
          </w:p>
        </w:tc>
        <w:tc>
          <w:tcPr>
            <w:tcW w:w="4510" w:type="pct"/>
            <w:shd w:val="clear" w:color="auto" w:fill="D9D9D9" w:themeFill="background1" w:themeFillShade="D9"/>
          </w:tcPr>
          <w:p w:rsidR="004C7519" w:rsidRPr="003B6CC8" w:rsidRDefault="004C7519" w:rsidP="00BE3B4B">
            <w:pPr>
              <w:pStyle w:val="Tablewriting"/>
              <w:rPr>
                <w:rFonts w:eastAsia="MS Mincho"/>
              </w:rPr>
            </w:pPr>
            <w:r w:rsidRPr="00B90A70">
              <w:rPr>
                <w:rFonts w:eastAsia="MS Mincho"/>
              </w:rPr>
              <w:t>Anthenelli RM, Benowitz NL, West R, St Aubin L, McRae T, Lawrence D, Ascher J, Russ C, Krishen A, Evins AE. Neuropsychiatric safety and efficacy of varenicline, bupropion, and nicotine patch in smokers with and without psychiatric disorders (EAGLES): a double-blind, randomised, placebo-controlled clinical trial. Lancet. 2016 Jun 18;387(10037):2507-20.</w:t>
            </w:r>
          </w:p>
        </w:tc>
      </w:tr>
      <w:tr w:rsidR="00324959" w:rsidRPr="00061F78" w:rsidTr="0093783B">
        <w:trPr>
          <w:cantSplit/>
          <w:trHeight w:val="164"/>
        </w:trPr>
        <w:tc>
          <w:tcPr>
            <w:tcW w:w="490" w:type="pct"/>
            <w:tcMar>
              <w:left w:w="28" w:type="dxa"/>
              <w:right w:w="28" w:type="dxa"/>
            </w:tcMar>
          </w:tcPr>
          <w:p w:rsidR="004C7519" w:rsidRPr="00D07303" w:rsidRDefault="00D35F4F" w:rsidP="00BE3B4B">
            <w:pPr>
              <w:pStyle w:val="Tablewriting"/>
              <w:rPr>
                <w:rFonts w:eastAsia="MS Mincho"/>
                <w:vertAlign w:val="superscript"/>
              </w:rPr>
            </w:pPr>
            <w:r>
              <w:rPr>
                <w:rFonts w:eastAsia="MS Mincho"/>
              </w:rPr>
              <w:t>Howes</w:t>
            </w:r>
            <w:r w:rsidRPr="00061F78">
              <w:rPr>
                <w:rFonts w:eastAsia="MS Mincho"/>
              </w:rPr>
              <w:t xml:space="preserve"> (20</w:t>
            </w:r>
            <w:r>
              <w:rPr>
                <w:rFonts w:eastAsia="MS Mincho"/>
              </w:rPr>
              <w:t>20</w:t>
            </w:r>
            <w:r w:rsidRPr="00061F78">
              <w:rPr>
                <w:rFonts w:eastAsia="MS Mincho"/>
              </w:rPr>
              <w:t>)</w:t>
            </w:r>
            <w:r w:rsidR="0039468B" w:rsidRPr="007A3AB0">
              <w:rPr>
                <w:rFonts w:eastAsia="MS Mincho"/>
                <w:noProof/>
                <w:vertAlign w:val="superscript"/>
              </w:rPr>
              <w:t>3</w:t>
            </w:r>
            <w:r w:rsidRPr="00D07303">
              <w:rPr>
                <w:rFonts w:eastAsia="MS Mincho"/>
                <w:vertAlign w:val="superscript"/>
              </w:rPr>
              <w:t xml:space="preserve"> </w:t>
            </w:r>
          </w:p>
        </w:tc>
        <w:tc>
          <w:tcPr>
            <w:tcW w:w="4510" w:type="pct"/>
          </w:tcPr>
          <w:p w:rsidR="004C7519" w:rsidRDefault="00D35F4F" w:rsidP="00BE3B4B">
            <w:pPr>
              <w:pStyle w:val="Tablewriting"/>
              <w:rPr>
                <w:rFonts w:eastAsia="MS Mincho"/>
              </w:rPr>
            </w:pPr>
            <w:r w:rsidRPr="002764E0">
              <w:rPr>
                <w:rFonts w:eastAsia="MS Mincho"/>
              </w:rPr>
              <w:t>Howes  S, Hartmann‐Boyce  J, Livingstone‐Banks  J, Hong  B, Lindson  N. Antidepressants for smoking cessation. Cochrane Database of Systematic Reviews 2020, Issue 4. Art. No.: CD000031.</w:t>
            </w:r>
          </w:p>
        </w:tc>
      </w:tr>
      <w:tr w:rsidR="00324959" w:rsidRPr="00061F78" w:rsidTr="0093783B">
        <w:trPr>
          <w:cantSplit/>
          <w:trHeight w:val="164"/>
        </w:trPr>
        <w:tc>
          <w:tcPr>
            <w:tcW w:w="490" w:type="pct"/>
            <w:tcMar>
              <w:left w:w="28" w:type="dxa"/>
              <w:right w:w="28" w:type="dxa"/>
            </w:tcMar>
          </w:tcPr>
          <w:p w:rsidR="00211F9F" w:rsidRDefault="00211F9F" w:rsidP="00BE3B4B">
            <w:pPr>
              <w:pStyle w:val="Tablewriting"/>
              <w:rPr>
                <w:rFonts w:eastAsia="MS Mincho"/>
              </w:rPr>
            </w:pPr>
            <w:r>
              <w:rPr>
                <w:rFonts w:eastAsia="MS Mincho"/>
              </w:rPr>
              <w:t>Benowitz (2018)</w:t>
            </w:r>
            <w:r w:rsidR="0039468B" w:rsidRPr="00527212">
              <w:rPr>
                <w:rFonts w:eastAsia="MS Mincho"/>
                <w:noProof/>
                <w:vertAlign w:val="superscript"/>
              </w:rPr>
              <w:t>4</w:t>
            </w:r>
          </w:p>
        </w:tc>
        <w:tc>
          <w:tcPr>
            <w:tcW w:w="4510" w:type="pct"/>
          </w:tcPr>
          <w:p w:rsidR="00211F9F" w:rsidRPr="002764E0" w:rsidRDefault="00211F9F" w:rsidP="00BE3B4B">
            <w:pPr>
              <w:pStyle w:val="Tablewriting"/>
              <w:rPr>
                <w:rFonts w:eastAsia="MS Mincho"/>
              </w:rPr>
            </w:pPr>
            <w:r w:rsidRPr="00C4557B">
              <w:rPr>
                <w:rFonts w:eastAsia="MS Mincho"/>
              </w:rPr>
              <w:t>Benowitz NL, Pipe A, West R, Hays JT, Tonstad S, McRae T, Lawrence D, St Aubin L, Anthenelli RM. Cardiovascular Safety of Varenicline, Bupropion, and Nicotine Patch in Smokers: A Randomized Clinical Trial. JAMA Intern Med. 2018 May 1;178(5):622-631.</w:t>
            </w:r>
          </w:p>
        </w:tc>
      </w:tr>
    </w:tbl>
    <w:p w:rsidR="00D35F4F" w:rsidRDefault="00D35F4F" w:rsidP="00D35F4F">
      <w:pPr>
        <w:pStyle w:val="TableFooter"/>
      </w:pPr>
      <w:r w:rsidRPr="00061F78">
        <w:rPr>
          <w:highlight w:val="lightGray"/>
        </w:rPr>
        <w:t>Shaded</w:t>
      </w:r>
      <w:r w:rsidRPr="00061F78">
        <w:t xml:space="preserve"> = previously considered by the PBAC</w:t>
      </w:r>
    </w:p>
    <w:p w:rsidR="0099691F" w:rsidRDefault="0099691F" w:rsidP="00934F81">
      <w:pPr>
        <w:pStyle w:val="TableFooter"/>
        <w:keepNext/>
      </w:pPr>
      <w:r>
        <w:t xml:space="preserve">Notes: Gonzales et al. (2006) and Jorenby et al. (2006) were considered </w:t>
      </w:r>
      <w:r w:rsidR="001B0165">
        <w:t>at</w:t>
      </w:r>
      <w:r>
        <w:t xml:space="preserve"> the July 2007 PBAC meeting. EAGLES (2016) was considered </w:t>
      </w:r>
      <w:r w:rsidR="001B0165">
        <w:t>at</w:t>
      </w:r>
      <w:r>
        <w:t xml:space="preserve"> the November 2016 PBAC meeting.</w:t>
      </w:r>
    </w:p>
    <w:p w:rsidR="004C7519" w:rsidRPr="004C7519" w:rsidRDefault="00041FF4" w:rsidP="004C7519">
      <w:r w:rsidRPr="00041FF4">
        <w:t xml:space="preserve">A summary of the characteristics of the studies comparing varenicline with </w:t>
      </w:r>
      <w:r>
        <w:t>bupropion</w:t>
      </w:r>
      <w:r w:rsidRPr="00041FF4">
        <w:t xml:space="preserve"> is presented in </w:t>
      </w:r>
      <w:r w:rsidR="003C4A1C">
        <w:t xml:space="preserve">Table </w:t>
      </w:r>
      <w:r w:rsidR="003C4A1C">
        <w:rPr>
          <w:noProof/>
        </w:rPr>
        <w:t>18</w:t>
      </w:r>
      <w:r w:rsidRPr="00041FF4">
        <w:t xml:space="preserve">. A total of </w:t>
      </w:r>
      <w:r w:rsidR="00F84183">
        <w:t>10</w:t>
      </w:r>
      <w:r w:rsidRPr="00041FF4">
        <w:t xml:space="preserve"> RCTs comparing varenicline with </w:t>
      </w:r>
      <w:r w:rsidR="00F84183">
        <w:t>bupropion</w:t>
      </w:r>
      <w:r w:rsidRPr="00041FF4">
        <w:t xml:space="preserve"> were identified by </w:t>
      </w:r>
      <w:r w:rsidR="00F84183">
        <w:t>Howes</w:t>
      </w:r>
      <w:r w:rsidRPr="00041FF4">
        <w:t xml:space="preserve"> et al. (20</w:t>
      </w:r>
      <w:r w:rsidR="00F84183">
        <w:t>20</w:t>
      </w:r>
      <w:r w:rsidRPr="00041FF4">
        <w:t>)</w:t>
      </w:r>
      <w:r w:rsidR="00F84183">
        <w:t>, with six RCTs included in the primary efficacy analysis</w:t>
      </w:r>
      <w:r w:rsidRPr="00041FF4">
        <w:t>. Of the</w:t>
      </w:r>
      <w:r w:rsidR="00F84183">
        <w:t xml:space="preserve"> six RCTs</w:t>
      </w:r>
      <w:r w:rsidRPr="00041FF4">
        <w:t xml:space="preserve">, </w:t>
      </w:r>
      <w:r w:rsidR="00F84183">
        <w:t>three</w:t>
      </w:r>
      <w:r w:rsidRPr="00041FF4">
        <w:t xml:space="preserve"> studies were the studies previously considered by the PBAC</w:t>
      </w:r>
      <w:r w:rsidR="0041337B">
        <w:t xml:space="preserve"> (Gonzales et al. 2006, Jorenby et al. 2006 and EAGLES 2016)</w:t>
      </w:r>
      <w:r w:rsidRPr="00041FF4">
        <w:t xml:space="preserve">. The characteristics of the individual studies are presented in </w:t>
      </w:r>
      <w:r w:rsidRPr="00B62C26">
        <w:t>Appendix</w:t>
      </w:r>
      <w:r w:rsidRPr="00041FF4">
        <w:t xml:space="preserve"> </w:t>
      </w:r>
      <w:r w:rsidR="003C4A1C">
        <w:t xml:space="preserve">Table </w:t>
      </w:r>
      <w:r w:rsidR="003C4A1C">
        <w:rPr>
          <w:noProof/>
        </w:rPr>
        <w:t>147</w:t>
      </w:r>
      <w:r w:rsidRPr="00041FF4">
        <w:t>.</w:t>
      </w:r>
    </w:p>
    <w:p w:rsidR="0029363D" w:rsidRDefault="0029363D" w:rsidP="0029363D">
      <w:r>
        <w:t>Benowitz et al. (2018) was a safety study (n</w:t>
      </w:r>
      <w:r w:rsidRPr="00A95E3C">
        <w:t>on-treatment extension</w:t>
      </w:r>
      <w:r>
        <w:t>)</w:t>
      </w:r>
      <w:r w:rsidRPr="00A95E3C">
        <w:t xml:space="preserve"> </w:t>
      </w:r>
      <w:r>
        <w:t>of</w:t>
      </w:r>
      <w:r w:rsidRPr="00A95E3C">
        <w:t xml:space="preserve"> </w:t>
      </w:r>
      <w:r>
        <w:t>EAGLES (Anthenelli et al. 2016) comparing NRT</w:t>
      </w:r>
      <w:r w:rsidRPr="00F42E00">
        <w:t xml:space="preserve"> </w:t>
      </w:r>
      <w:r w:rsidR="00573F59">
        <w:t>patches</w:t>
      </w:r>
      <w:r>
        <w:t xml:space="preserve"> (</w:t>
      </w:r>
      <w:r w:rsidRPr="00F42E00">
        <w:t>21 mg per day with taper)</w:t>
      </w:r>
      <w:r>
        <w:t xml:space="preserve">, </w:t>
      </w:r>
      <w:r w:rsidRPr="00F42E00">
        <w:t>varenicline (1 mg twice a day)</w:t>
      </w:r>
      <w:r>
        <w:t xml:space="preserve">, </w:t>
      </w:r>
      <w:r w:rsidRPr="00F42E00">
        <w:t>bupropion (150 mg twice a day)</w:t>
      </w:r>
      <w:r>
        <w:t xml:space="preserve"> and placebo. The study</w:t>
      </w:r>
      <w:r w:rsidRPr="00A95E3C">
        <w:t xml:space="preserve"> aimed </w:t>
      </w:r>
      <w:r>
        <w:t>to collect</w:t>
      </w:r>
      <w:r w:rsidRPr="00A95E3C">
        <w:t xml:space="preserve"> data on cardiovascular safety for all participants in </w:t>
      </w:r>
      <w:r>
        <w:t>EAGLES</w:t>
      </w:r>
      <w:r w:rsidRPr="00A95E3C">
        <w:t xml:space="preserve"> </w:t>
      </w:r>
      <w:r>
        <w:t xml:space="preserve">(2016) </w:t>
      </w:r>
      <w:r w:rsidRPr="00A95E3C">
        <w:t>for an additional 28 weeks, allowing for a total of 52 weeks of cardiovascular safety data collection</w:t>
      </w:r>
      <w:r>
        <w:t xml:space="preserve">.  </w:t>
      </w:r>
    </w:p>
    <w:p w:rsidR="0029363D" w:rsidRPr="004C7519" w:rsidRDefault="0029363D" w:rsidP="004C7519"/>
    <w:p w:rsidR="004E6099" w:rsidRPr="004E6099" w:rsidRDefault="004E6099" w:rsidP="004E6099">
      <w:pPr>
        <w:rPr>
          <w:b/>
          <w:bCs/>
        </w:rPr>
      </w:pPr>
    </w:p>
    <w:p w:rsidR="00B0603F" w:rsidRDefault="00B0603F" w:rsidP="00C83EDA">
      <w:pPr>
        <w:rPr>
          <w:b/>
          <w:bCs/>
        </w:rPr>
        <w:sectPr w:rsidR="00B0603F" w:rsidSect="006356D2">
          <w:pgSz w:w="11906" w:h="16838"/>
          <w:pgMar w:top="1440" w:right="1440" w:bottom="1440" w:left="1440" w:header="708" w:footer="708" w:gutter="0"/>
          <w:cols w:space="708"/>
          <w:titlePg/>
          <w:docGrid w:linePitch="360"/>
        </w:sectPr>
      </w:pPr>
    </w:p>
    <w:p w:rsidR="00F84183" w:rsidRDefault="00F84183" w:rsidP="00F84183">
      <w:pPr>
        <w:pStyle w:val="Caption"/>
        <w:keepNext/>
      </w:pPr>
      <w:bookmarkStart w:id="83" w:name="_Ref54098760"/>
      <w:r>
        <w:lastRenderedPageBreak/>
        <w:t xml:space="preserve">Table </w:t>
      </w:r>
      <w:r w:rsidR="003C4A1C">
        <w:rPr>
          <w:noProof/>
        </w:rPr>
        <w:t>18</w:t>
      </w:r>
      <w:bookmarkEnd w:id="83"/>
      <w:r>
        <w:t xml:space="preserve">: </w:t>
      </w:r>
      <w:r w:rsidRPr="000434DF">
        <w:t xml:space="preserve">Characteristics of the studies comparing varenicline with </w:t>
      </w:r>
      <w:r>
        <w:t>bupropion</w:t>
      </w:r>
    </w:p>
    <w:tbl>
      <w:tblPr>
        <w:tblStyle w:val="TableGrid"/>
        <w:tblW w:w="5000" w:type="pct"/>
        <w:tblLook w:val="04A0" w:firstRow="1" w:lastRow="0" w:firstColumn="1" w:lastColumn="0" w:noHBand="0" w:noVBand="1"/>
        <w:tblCaption w:val="Efficacy results of adalimumab trials (PASI 75 and DLQI)"/>
      </w:tblPr>
      <w:tblGrid>
        <w:gridCol w:w="894"/>
        <w:gridCol w:w="1114"/>
        <w:gridCol w:w="969"/>
        <w:gridCol w:w="4960"/>
        <w:gridCol w:w="2831"/>
        <w:gridCol w:w="3180"/>
      </w:tblGrid>
      <w:tr w:rsidR="00260CD7" w:rsidRPr="00061F78" w:rsidTr="003218B0">
        <w:trPr>
          <w:trHeight w:val="299"/>
          <w:tblHeader/>
        </w:trPr>
        <w:tc>
          <w:tcPr>
            <w:tcW w:w="320" w:type="pct"/>
            <w:shd w:val="clear" w:color="auto" w:fill="BFBFBF" w:themeFill="background1" w:themeFillShade="BF"/>
            <w:tcMar>
              <w:left w:w="28" w:type="dxa"/>
              <w:right w:w="28" w:type="dxa"/>
            </w:tcMar>
          </w:tcPr>
          <w:p w:rsidR="006E61FA" w:rsidRPr="00061F78" w:rsidRDefault="00126B7B" w:rsidP="00BE3B4B">
            <w:pPr>
              <w:pStyle w:val="Tableheading"/>
              <w:rPr>
                <w:rFonts w:eastAsia="MS Mincho"/>
              </w:rPr>
            </w:pPr>
            <w:r>
              <w:rPr>
                <w:rFonts w:eastAsia="MS Mincho"/>
              </w:rPr>
              <w:t>Study</w:t>
            </w:r>
          </w:p>
        </w:tc>
        <w:tc>
          <w:tcPr>
            <w:tcW w:w="399" w:type="pct"/>
            <w:shd w:val="clear" w:color="auto" w:fill="BFBFBF" w:themeFill="background1" w:themeFillShade="BF"/>
          </w:tcPr>
          <w:p w:rsidR="006E61FA" w:rsidRDefault="006E61FA" w:rsidP="00BE3B4B">
            <w:pPr>
              <w:pStyle w:val="Tableheading"/>
              <w:jc w:val="center"/>
              <w:rPr>
                <w:rFonts w:eastAsia="MS Mincho"/>
              </w:rPr>
            </w:pPr>
            <w:r>
              <w:rPr>
                <w:rFonts w:eastAsia="MS Mincho"/>
              </w:rPr>
              <w:t>Study type</w:t>
            </w:r>
          </w:p>
        </w:tc>
        <w:tc>
          <w:tcPr>
            <w:tcW w:w="347" w:type="pct"/>
            <w:shd w:val="clear" w:color="auto" w:fill="BFBFBF" w:themeFill="background1" w:themeFillShade="BF"/>
            <w:tcMar>
              <w:left w:w="28" w:type="dxa"/>
              <w:right w:w="28" w:type="dxa"/>
            </w:tcMar>
          </w:tcPr>
          <w:p w:rsidR="006E61FA" w:rsidRPr="00AE21E9" w:rsidRDefault="006E61FA" w:rsidP="00BE3B4B">
            <w:pPr>
              <w:pStyle w:val="Tableheading"/>
              <w:jc w:val="center"/>
              <w:rPr>
                <w:rFonts w:eastAsia="MS Mincho"/>
                <w:vertAlign w:val="superscript"/>
              </w:rPr>
            </w:pPr>
            <w:r>
              <w:rPr>
                <w:rFonts w:eastAsia="MS Mincho"/>
              </w:rPr>
              <w:t>N</w:t>
            </w:r>
            <w:r>
              <w:rPr>
                <w:rFonts w:eastAsia="MS Mincho"/>
                <w:vertAlign w:val="superscript"/>
              </w:rPr>
              <w:t>1</w:t>
            </w:r>
          </w:p>
        </w:tc>
        <w:tc>
          <w:tcPr>
            <w:tcW w:w="1778" w:type="pct"/>
            <w:shd w:val="clear" w:color="auto" w:fill="BFBFBF" w:themeFill="background1" w:themeFillShade="BF"/>
            <w:tcMar>
              <w:left w:w="28" w:type="dxa"/>
              <w:right w:w="28" w:type="dxa"/>
            </w:tcMar>
          </w:tcPr>
          <w:p w:rsidR="006E61FA" w:rsidRPr="00061F78" w:rsidRDefault="006E61FA" w:rsidP="00BE3B4B">
            <w:pPr>
              <w:pStyle w:val="Tableheading"/>
              <w:jc w:val="center"/>
              <w:rPr>
                <w:rFonts w:eastAsia="MS Mincho"/>
              </w:rPr>
            </w:pPr>
            <w:r w:rsidRPr="00061F78">
              <w:rPr>
                <w:rFonts w:eastAsia="MS Mincho"/>
              </w:rPr>
              <w:t>P</w:t>
            </w:r>
            <w:r>
              <w:rPr>
                <w:rFonts w:eastAsia="MS Mincho"/>
              </w:rPr>
              <w:t>opulation</w:t>
            </w:r>
          </w:p>
        </w:tc>
        <w:tc>
          <w:tcPr>
            <w:tcW w:w="1015" w:type="pct"/>
            <w:shd w:val="clear" w:color="auto" w:fill="BFBFBF" w:themeFill="background1" w:themeFillShade="BF"/>
          </w:tcPr>
          <w:p w:rsidR="006E61FA" w:rsidRDefault="006E61FA" w:rsidP="00BE3B4B">
            <w:pPr>
              <w:pStyle w:val="Tableheading"/>
              <w:jc w:val="center"/>
              <w:rPr>
                <w:rFonts w:eastAsia="MS Mincho"/>
              </w:rPr>
            </w:pPr>
            <w:r>
              <w:rPr>
                <w:rFonts w:eastAsia="MS Mincho"/>
              </w:rPr>
              <w:t>Intervention and comparator</w:t>
            </w:r>
          </w:p>
        </w:tc>
        <w:tc>
          <w:tcPr>
            <w:tcW w:w="1140" w:type="pct"/>
            <w:shd w:val="clear" w:color="auto" w:fill="BFBFBF" w:themeFill="background1" w:themeFillShade="BF"/>
            <w:tcMar>
              <w:left w:w="28" w:type="dxa"/>
              <w:right w:w="28" w:type="dxa"/>
            </w:tcMar>
          </w:tcPr>
          <w:p w:rsidR="006E61FA" w:rsidRPr="00061F78" w:rsidRDefault="006E61FA" w:rsidP="00BE3B4B">
            <w:pPr>
              <w:pStyle w:val="Tableheading"/>
              <w:jc w:val="center"/>
              <w:rPr>
                <w:rFonts w:eastAsia="MS Mincho"/>
              </w:rPr>
            </w:pPr>
            <w:r>
              <w:rPr>
                <w:rFonts w:eastAsia="MS Mincho"/>
              </w:rPr>
              <w:t>Outcomes</w:t>
            </w:r>
          </w:p>
        </w:tc>
      </w:tr>
      <w:tr w:rsidR="00260CD7" w:rsidRPr="00061F78" w:rsidTr="005346E0">
        <w:trPr>
          <w:trHeight w:val="99"/>
        </w:trPr>
        <w:tc>
          <w:tcPr>
            <w:tcW w:w="320" w:type="pct"/>
            <w:shd w:val="clear" w:color="auto" w:fill="D9D9D9" w:themeFill="background1" w:themeFillShade="D9"/>
            <w:tcMar>
              <w:left w:w="28" w:type="dxa"/>
              <w:right w:w="28" w:type="dxa"/>
            </w:tcMar>
          </w:tcPr>
          <w:p w:rsidR="00B3413C" w:rsidRDefault="00B3413C" w:rsidP="00BE3B4B">
            <w:pPr>
              <w:pStyle w:val="Tablewriting"/>
              <w:rPr>
                <w:rFonts w:eastAsia="MS Mincho"/>
              </w:rPr>
            </w:pPr>
            <w:r>
              <w:rPr>
                <w:rFonts w:eastAsia="MS Mincho"/>
              </w:rPr>
              <w:t>Gonzales</w:t>
            </w:r>
          </w:p>
          <w:p w:rsidR="00B3413C" w:rsidRDefault="00B3413C" w:rsidP="00BE3B4B">
            <w:pPr>
              <w:pStyle w:val="Tablewriting"/>
              <w:rPr>
                <w:rFonts w:eastAsia="MS Mincho"/>
              </w:rPr>
            </w:pPr>
            <w:r>
              <w:rPr>
                <w:rFonts w:eastAsia="MS Mincho"/>
              </w:rPr>
              <w:t xml:space="preserve">(2006) </w:t>
            </w:r>
          </w:p>
        </w:tc>
        <w:tc>
          <w:tcPr>
            <w:tcW w:w="399" w:type="pct"/>
            <w:shd w:val="clear" w:color="auto" w:fill="D9D9D9" w:themeFill="background1" w:themeFillShade="D9"/>
          </w:tcPr>
          <w:p w:rsidR="00B3413C" w:rsidRDefault="00B3413C" w:rsidP="00BE3B4B">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rsidR="00B3413C" w:rsidRDefault="00B3413C" w:rsidP="00BE3B4B">
            <w:pPr>
              <w:pStyle w:val="Tablewriting"/>
              <w:rPr>
                <w:rFonts w:eastAsia="MS Mincho"/>
              </w:rPr>
            </w:pPr>
            <w:r>
              <w:rPr>
                <w:rFonts w:eastAsia="MS Mincho"/>
              </w:rPr>
              <w:t>N=1025</w:t>
            </w:r>
          </w:p>
          <w:p w:rsidR="00B3413C" w:rsidRDefault="00B3413C" w:rsidP="00BE3B4B">
            <w:pPr>
              <w:pStyle w:val="Tablewriting"/>
              <w:rPr>
                <w:rFonts w:eastAsia="MS Mincho"/>
              </w:rPr>
            </w:pPr>
            <w:r>
              <w:rPr>
                <w:rFonts w:eastAsia="MS Mincho"/>
              </w:rPr>
              <w:t>Varenicline (n=352), Bupropion (n=329)</w:t>
            </w:r>
          </w:p>
        </w:tc>
        <w:tc>
          <w:tcPr>
            <w:tcW w:w="1778" w:type="pct"/>
            <w:shd w:val="clear" w:color="auto" w:fill="D9D9D9" w:themeFill="background1" w:themeFillShade="D9"/>
            <w:tcMar>
              <w:left w:w="28" w:type="dxa"/>
              <w:right w:w="28" w:type="dxa"/>
            </w:tcMar>
          </w:tcPr>
          <w:p w:rsidR="00B3413C" w:rsidRPr="00061F78" w:rsidRDefault="000C4B32" w:rsidP="00BE3B4B">
            <w:pPr>
              <w:pStyle w:val="Tablewriting"/>
              <w:rPr>
                <w:rFonts w:eastAsia="MS Mincho"/>
              </w:rPr>
            </w:pPr>
            <w:r>
              <w:rPr>
                <w:rFonts w:eastAsia="MS Mincho"/>
              </w:rPr>
              <w:t xml:space="preserve">See </w:t>
            </w:r>
            <w:r w:rsidR="003C4A1C">
              <w:t xml:space="preserve">Table </w:t>
            </w:r>
            <w:r w:rsidR="003C4A1C">
              <w:rPr>
                <w:noProof/>
              </w:rPr>
              <w:t>14</w:t>
            </w:r>
            <w:r>
              <w:rPr>
                <w:rFonts w:eastAsia="MS Mincho"/>
              </w:rPr>
              <w:t xml:space="preserve"> for inclusion and exclusion criteria of this study</w:t>
            </w:r>
            <w:r w:rsidR="00004245">
              <w:rPr>
                <w:rFonts w:eastAsia="MS Mincho"/>
              </w:rPr>
              <w:t>.</w:t>
            </w:r>
          </w:p>
        </w:tc>
        <w:tc>
          <w:tcPr>
            <w:tcW w:w="1015" w:type="pct"/>
            <w:shd w:val="clear" w:color="auto" w:fill="D9D9D9" w:themeFill="background1" w:themeFillShade="D9"/>
          </w:tcPr>
          <w:p w:rsidR="00B3413C" w:rsidRDefault="00B3413C" w:rsidP="00BE3B4B">
            <w:pPr>
              <w:pStyle w:val="Tablewriting"/>
              <w:rPr>
                <w:rFonts w:eastAsia="MS Mincho"/>
              </w:rPr>
            </w:pPr>
            <w:r>
              <w:rPr>
                <w:rFonts w:eastAsia="MS Mincho"/>
              </w:rPr>
              <w:t>Varenicline</w:t>
            </w:r>
            <w:r w:rsidRPr="00A34E7B">
              <w:rPr>
                <w:rFonts w:eastAsia="MS Mincho"/>
              </w:rPr>
              <w:t xml:space="preserve">: </w:t>
            </w:r>
            <w:r>
              <w:rPr>
                <w:rFonts w:eastAsia="MS Mincho"/>
              </w:rPr>
              <w:t>0.5</w:t>
            </w:r>
            <w:r w:rsidR="00A333B7">
              <w:rPr>
                <w:rFonts w:eastAsia="MS Mincho"/>
              </w:rPr>
              <w:t xml:space="preserve"> </w:t>
            </w:r>
            <w:r w:rsidRPr="00985785">
              <w:rPr>
                <w:rFonts w:eastAsia="MS Mincho"/>
              </w:rPr>
              <w:t xml:space="preserve">mg/d for </w:t>
            </w:r>
            <w:r>
              <w:rPr>
                <w:rFonts w:eastAsia="MS Mincho"/>
              </w:rPr>
              <w:t>Day</w:t>
            </w:r>
            <w:r w:rsidRPr="00985785">
              <w:rPr>
                <w:rFonts w:eastAsia="MS Mincho"/>
              </w:rPr>
              <w:t xml:space="preserve"> 1</w:t>
            </w:r>
            <w:r>
              <w:rPr>
                <w:rFonts w:eastAsia="MS Mincho"/>
              </w:rPr>
              <w:t>-</w:t>
            </w:r>
            <w:r w:rsidRPr="00985785">
              <w:rPr>
                <w:rFonts w:eastAsia="MS Mincho"/>
              </w:rPr>
              <w:t>3, 0.5 mg twice per</w:t>
            </w:r>
            <w:r w:rsidR="003218B0">
              <w:rPr>
                <w:rFonts w:eastAsia="MS Mincho"/>
              </w:rPr>
              <w:t xml:space="preserve"> </w:t>
            </w:r>
            <w:r w:rsidRPr="00985785">
              <w:rPr>
                <w:rFonts w:eastAsia="MS Mincho"/>
              </w:rPr>
              <w:t xml:space="preserve">day for </w:t>
            </w:r>
            <w:r>
              <w:rPr>
                <w:rFonts w:eastAsia="MS Mincho"/>
              </w:rPr>
              <w:t xml:space="preserve">Day </w:t>
            </w:r>
            <w:r w:rsidRPr="00985785">
              <w:rPr>
                <w:rFonts w:eastAsia="MS Mincho"/>
              </w:rPr>
              <w:t>4</w:t>
            </w:r>
            <w:r>
              <w:rPr>
                <w:rFonts w:eastAsia="MS Mincho"/>
              </w:rPr>
              <w:t>-</w:t>
            </w:r>
            <w:r w:rsidRPr="00985785">
              <w:rPr>
                <w:rFonts w:eastAsia="MS Mincho"/>
              </w:rPr>
              <w:t>7, then 1</w:t>
            </w:r>
            <w:r w:rsidR="00A333B7">
              <w:rPr>
                <w:rFonts w:eastAsia="MS Mincho"/>
              </w:rPr>
              <w:t xml:space="preserve"> </w:t>
            </w:r>
            <w:r w:rsidRPr="00985785">
              <w:rPr>
                <w:rFonts w:eastAsia="MS Mincho"/>
              </w:rPr>
              <w:t>mg twice per</w:t>
            </w:r>
            <w:r>
              <w:rPr>
                <w:rFonts w:eastAsia="MS Mincho"/>
              </w:rPr>
              <w:t xml:space="preserve"> </w:t>
            </w:r>
            <w:r w:rsidRPr="00985785">
              <w:rPr>
                <w:rFonts w:eastAsia="MS Mincho"/>
              </w:rPr>
              <w:t>day through week 12</w:t>
            </w:r>
            <w:r w:rsidR="003218B0">
              <w:rPr>
                <w:rFonts w:eastAsia="MS Mincho"/>
              </w:rPr>
              <w:t xml:space="preserve">; </w:t>
            </w:r>
            <w:r>
              <w:rPr>
                <w:rFonts w:eastAsia="MS Mincho"/>
              </w:rPr>
              <w:t>Bupropion: 150</w:t>
            </w:r>
            <w:r w:rsidR="00A333B7">
              <w:rPr>
                <w:rFonts w:eastAsia="MS Mincho"/>
              </w:rPr>
              <w:t xml:space="preserve"> </w:t>
            </w:r>
            <w:r>
              <w:rPr>
                <w:rFonts w:eastAsia="MS Mincho"/>
              </w:rPr>
              <w:t>mg Day 1-3, followed by 150</w:t>
            </w:r>
            <w:r w:rsidR="00A333B7">
              <w:rPr>
                <w:rFonts w:eastAsia="MS Mincho"/>
              </w:rPr>
              <w:t xml:space="preserve"> </w:t>
            </w:r>
            <w:r>
              <w:rPr>
                <w:rFonts w:eastAsia="MS Mincho"/>
              </w:rPr>
              <w:t>mg twice per day through week 12</w:t>
            </w:r>
            <w:r w:rsidR="00004245">
              <w:rPr>
                <w:rFonts w:eastAsia="MS Mincho"/>
              </w:rPr>
              <w:t>.</w:t>
            </w:r>
          </w:p>
          <w:p w:rsidR="00C115B1" w:rsidRDefault="00C115B1" w:rsidP="00BE3B4B">
            <w:pPr>
              <w:pStyle w:val="Tablewriting"/>
              <w:rPr>
                <w:rFonts w:eastAsia="MS Mincho"/>
              </w:rPr>
            </w:pPr>
          </w:p>
          <w:p w:rsidR="00C115B1" w:rsidRPr="00061F78" w:rsidRDefault="00C115B1" w:rsidP="00BE3B4B">
            <w:pPr>
              <w:pStyle w:val="Tablewriting"/>
              <w:rPr>
                <w:rFonts w:eastAsia="MS Mincho"/>
              </w:rPr>
            </w:pPr>
            <w:r w:rsidRPr="00C115B1">
              <w:rPr>
                <w:rFonts w:eastAsia="MS Mincho"/>
              </w:rPr>
              <w:t>Behavioural support provided in both arms.</w:t>
            </w:r>
          </w:p>
        </w:tc>
        <w:tc>
          <w:tcPr>
            <w:tcW w:w="1140" w:type="pct"/>
            <w:shd w:val="clear" w:color="auto" w:fill="D9D9D9" w:themeFill="background1" w:themeFillShade="D9"/>
            <w:tcMar>
              <w:left w:w="28" w:type="dxa"/>
              <w:right w:w="28" w:type="dxa"/>
            </w:tcMar>
          </w:tcPr>
          <w:p w:rsidR="00B3413C" w:rsidRDefault="00B3413C" w:rsidP="00BE3B4B">
            <w:pPr>
              <w:pStyle w:val="Tablewriting"/>
              <w:rPr>
                <w:rFonts w:eastAsia="MS Mincho"/>
              </w:rPr>
            </w:pPr>
            <w:r w:rsidRPr="008C39E4">
              <w:rPr>
                <w:rFonts w:eastAsia="MS Mincho"/>
                <w:u w:val="single"/>
              </w:rPr>
              <w:t>Primary</w:t>
            </w:r>
            <w:r>
              <w:rPr>
                <w:rFonts w:eastAsia="MS Mincho"/>
              </w:rPr>
              <w:t xml:space="preserve">: </w:t>
            </w:r>
            <w:r w:rsidR="000C4B32">
              <w:rPr>
                <w:rFonts w:eastAsia="MS Mincho"/>
              </w:rPr>
              <w:t>CAR</w:t>
            </w:r>
            <w:r>
              <w:rPr>
                <w:rFonts w:eastAsia="MS Mincho"/>
              </w:rPr>
              <w:t xml:space="preserve"> at Week 9-12. Validated by CO</w:t>
            </w:r>
            <w:r w:rsidR="000C4B32">
              <w:rPr>
                <w:rFonts w:eastAsia="MS Mincho"/>
              </w:rPr>
              <w:t xml:space="preserve"> </w:t>
            </w:r>
            <w:r>
              <w:rPr>
                <w:rFonts w:eastAsia="MS Mincho" w:cstheme="minorHAnsi"/>
              </w:rPr>
              <w:t>≤</w:t>
            </w:r>
            <w:r>
              <w:rPr>
                <w:rFonts w:eastAsia="MS Mincho"/>
              </w:rPr>
              <w:t>10</w:t>
            </w:r>
            <w:r w:rsidR="00803DA6">
              <w:rPr>
                <w:rFonts w:eastAsia="MS Mincho"/>
              </w:rPr>
              <w:t xml:space="preserve"> </w:t>
            </w:r>
            <w:r>
              <w:rPr>
                <w:rFonts w:eastAsia="MS Mincho"/>
              </w:rPr>
              <w:t>ppm.</w:t>
            </w:r>
          </w:p>
          <w:p w:rsidR="00B3413C" w:rsidRDefault="00B3413C" w:rsidP="00BE3B4B">
            <w:pPr>
              <w:pStyle w:val="Tablewriting"/>
              <w:rPr>
                <w:rFonts w:eastAsia="MS Mincho"/>
              </w:rPr>
            </w:pPr>
            <w:r w:rsidRPr="008C39E4">
              <w:rPr>
                <w:rFonts w:eastAsia="MS Mincho"/>
                <w:u w:val="single"/>
              </w:rPr>
              <w:t>Secondary</w:t>
            </w:r>
            <w:r>
              <w:rPr>
                <w:rFonts w:eastAsia="MS Mincho"/>
              </w:rPr>
              <w:t xml:space="preserve">: </w:t>
            </w:r>
            <w:r w:rsidRPr="005B56AA">
              <w:rPr>
                <w:rFonts w:eastAsia="MS Mincho"/>
              </w:rPr>
              <w:t>CAR at</w:t>
            </w:r>
            <w:r>
              <w:rPr>
                <w:rFonts w:eastAsia="MS Mincho"/>
              </w:rPr>
              <w:t xml:space="preserve"> Week</w:t>
            </w:r>
            <w:r w:rsidRPr="005B56AA">
              <w:rPr>
                <w:rFonts w:eastAsia="MS Mincho"/>
              </w:rPr>
              <w:t xml:space="preserve"> 9-24 </w:t>
            </w:r>
            <w:r>
              <w:rPr>
                <w:rFonts w:eastAsia="MS Mincho"/>
              </w:rPr>
              <w:t>and Week</w:t>
            </w:r>
            <w:r w:rsidRPr="005B56AA">
              <w:rPr>
                <w:rFonts w:eastAsia="MS Mincho"/>
              </w:rPr>
              <w:t xml:space="preserve"> 9-52; 7-day PPA at </w:t>
            </w:r>
            <w:r>
              <w:rPr>
                <w:rFonts w:eastAsia="MS Mincho"/>
              </w:rPr>
              <w:t>Week</w:t>
            </w:r>
            <w:r w:rsidRPr="005B56AA">
              <w:rPr>
                <w:rFonts w:eastAsia="MS Mincho"/>
              </w:rPr>
              <w:t xml:space="preserve"> 12, 24 and 52</w:t>
            </w:r>
            <w:r w:rsidR="00E50264">
              <w:rPr>
                <w:rFonts w:eastAsia="MS Mincho"/>
              </w:rPr>
              <w:t xml:space="preserve">. Validated by CO </w:t>
            </w:r>
            <w:r w:rsidR="00E50264">
              <w:rPr>
                <w:rFonts w:eastAsia="MS Mincho" w:cstheme="minorHAnsi"/>
              </w:rPr>
              <w:t>≤</w:t>
            </w:r>
            <w:r w:rsidR="00E50264">
              <w:rPr>
                <w:rFonts w:eastAsia="MS Mincho"/>
              </w:rPr>
              <w:t>10</w:t>
            </w:r>
            <w:r w:rsidR="00803DA6">
              <w:rPr>
                <w:rFonts w:eastAsia="MS Mincho"/>
              </w:rPr>
              <w:t xml:space="preserve"> </w:t>
            </w:r>
            <w:r w:rsidR="00E50264">
              <w:rPr>
                <w:rFonts w:eastAsia="MS Mincho"/>
              </w:rPr>
              <w:t>ppm.</w:t>
            </w:r>
          </w:p>
          <w:p w:rsidR="00B3413C" w:rsidRPr="00061F78" w:rsidRDefault="00B3413C" w:rsidP="00BE3B4B">
            <w:pPr>
              <w:pStyle w:val="Tablewriting"/>
              <w:rPr>
                <w:rFonts w:eastAsia="MS Mincho"/>
              </w:rPr>
            </w:pPr>
            <w:r w:rsidRPr="0055171C">
              <w:rPr>
                <w:rFonts w:eastAsia="MS Mincho"/>
                <w:u w:val="single"/>
              </w:rPr>
              <w:t>Other</w:t>
            </w:r>
            <w:r>
              <w:rPr>
                <w:rFonts w:eastAsia="MS Mincho"/>
              </w:rPr>
              <w:t>: w</w:t>
            </w:r>
            <w:r w:rsidRPr="00EC37F8">
              <w:rPr>
                <w:rFonts w:eastAsia="MS Mincho"/>
              </w:rPr>
              <w:t>eight change, withdrawal symptoms (using MNWS, QSU-brief and mCEQ), adverse</w:t>
            </w:r>
            <w:r>
              <w:rPr>
                <w:rFonts w:eastAsia="MS Mincho"/>
              </w:rPr>
              <w:t xml:space="preserve"> </w:t>
            </w:r>
            <w:r w:rsidRPr="00EC37F8">
              <w:rPr>
                <w:rFonts w:eastAsia="MS Mincho"/>
              </w:rPr>
              <w:t>events</w:t>
            </w:r>
            <w:r w:rsidR="00004245">
              <w:rPr>
                <w:rFonts w:eastAsia="MS Mincho"/>
              </w:rPr>
              <w:t>.</w:t>
            </w:r>
          </w:p>
        </w:tc>
      </w:tr>
      <w:tr w:rsidR="00260CD7" w:rsidRPr="00061F78" w:rsidTr="005346E0">
        <w:trPr>
          <w:trHeight w:val="99"/>
        </w:trPr>
        <w:tc>
          <w:tcPr>
            <w:tcW w:w="320" w:type="pct"/>
            <w:shd w:val="clear" w:color="auto" w:fill="D9D9D9" w:themeFill="background1" w:themeFillShade="D9"/>
            <w:tcMar>
              <w:left w:w="28" w:type="dxa"/>
              <w:right w:w="28" w:type="dxa"/>
            </w:tcMar>
          </w:tcPr>
          <w:p w:rsidR="000C4B32" w:rsidRDefault="000C4B32" w:rsidP="00BE3B4B">
            <w:pPr>
              <w:pStyle w:val="Tablewriting"/>
              <w:rPr>
                <w:rFonts w:eastAsia="MS Mincho"/>
              </w:rPr>
            </w:pPr>
            <w:r>
              <w:rPr>
                <w:rFonts w:eastAsia="MS Mincho"/>
              </w:rPr>
              <w:t>Jorenby</w:t>
            </w:r>
          </w:p>
          <w:p w:rsidR="000C4B32" w:rsidRPr="00061F78" w:rsidRDefault="000C4B32" w:rsidP="00BE3B4B">
            <w:pPr>
              <w:pStyle w:val="Tablewriting"/>
              <w:rPr>
                <w:rFonts w:eastAsia="MS Mincho"/>
              </w:rPr>
            </w:pPr>
            <w:r>
              <w:rPr>
                <w:rFonts w:eastAsia="MS Mincho"/>
              </w:rPr>
              <w:t>(2006)</w:t>
            </w:r>
          </w:p>
        </w:tc>
        <w:tc>
          <w:tcPr>
            <w:tcW w:w="399" w:type="pct"/>
            <w:shd w:val="clear" w:color="auto" w:fill="D9D9D9" w:themeFill="background1" w:themeFillShade="D9"/>
          </w:tcPr>
          <w:p w:rsidR="000C4B32" w:rsidRDefault="000C4B32" w:rsidP="00BE3B4B">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rsidR="000C4B32" w:rsidRDefault="000C4B32" w:rsidP="00BE3B4B">
            <w:pPr>
              <w:pStyle w:val="Tablewriting"/>
              <w:rPr>
                <w:rFonts w:eastAsia="MS Mincho"/>
              </w:rPr>
            </w:pPr>
            <w:r>
              <w:rPr>
                <w:rFonts w:eastAsia="MS Mincho"/>
              </w:rPr>
              <w:t>N=1027</w:t>
            </w:r>
          </w:p>
          <w:p w:rsidR="000C4B32" w:rsidRPr="00061F78" w:rsidRDefault="000C4B32" w:rsidP="00BE3B4B">
            <w:pPr>
              <w:pStyle w:val="Tablewriting"/>
              <w:rPr>
                <w:rFonts w:eastAsia="MS Mincho"/>
              </w:rPr>
            </w:pPr>
            <w:r>
              <w:rPr>
                <w:rFonts w:eastAsia="MS Mincho"/>
              </w:rPr>
              <w:t>Varenicline (n=344), Bupropion (n=342)</w:t>
            </w:r>
          </w:p>
        </w:tc>
        <w:tc>
          <w:tcPr>
            <w:tcW w:w="1778" w:type="pct"/>
            <w:shd w:val="clear" w:color="auto" w:fill="D9D9D9" w:themeFill="background1" w:themeFillShade="D9"/>
            <w:tcMar>
              <w:left w:w="28" w:type="dxa"/>
              <w:right w:w="28" w:type="dxa"/>
            </w:tcMar>
          </w:tcPr>
          <w:p w:rsidR="000C4B32" w:rsidRPr="00061F78" w:rsidRDefault="000C4B32" w:rsidP="00BE3B4B">
            <w:pPr>
              <w:pStyle w:val="Tablewriting"/>
              <w:rPr>
                <w:rFonts w:eastAsia="MS Mincho"/>
              </w:rPr>
            </w:pPr>
            <w:r>
              <w:rPr>
                <w:rFonts w:eastAsia="MS Mincho"/>
              </w:rPr>
              <w:t xml:space="preserve">See </w:t>
            </w:r>
            <w:r w:rsidR="003C4A1C">
              <w:t xml:space="preserve">Table </w:t>
            </w:r>
            <w:r w:rsidR="003C4A1C">
              <w:rPr>
                <w:noProof/>
              </w:rPr>
              <w:t>14</w:t>
            </w:r>
            <w:r>
              <w:rPr>
                <w:rFonts w:eastAsia="MS Mincho"/>
              </w:rPr>
              <w:t xml:space="preserve"> for inclusion and exclusion criteria of this study</w:t>
            </w:r>
            <w:r w:rsidR="00004245">
              <w:rPr>
                <w:rFonts w:eastAsia="MS Mincho"/>
              </w:rPr>
              <w:t>.</w:t>
            </w:r>
          </w:p>
        </w:tc>
        <w:tc>
          <w:tcPr>
            <w:tcW w:w="1015" w:type="pct"/>
            <w:shd w:val="clear" w:color="auto" w:fill="D9D9D9" w:themeFill="background1" w:themeFillShade="D9"/>
          </w:tcPr>
          <w:p w:rsidR="000C4B32" w:rsidRDefault="000C4B32" w:rsidP="00BE3B4B">
            <w:pPr>
              <w:pStyle w:val="Tablewriting"/>
              <w:rPr>
                <w:rFonts w:eastAsia="MS Mincho"/>
              </w:rPr>
            </w:pPr>
            <w:r>
              <w:rPr>
                <w:rFonts w:eastAsia="MS Mincho"/>
              </w:rPr>
              <w:t>Varenicline</w:t>
            </w:r>
            <w:r w:rsidRPr="00A34E7B">
              <w:rPr>
                <w:rFonts w:eastAsia="MS Mincho"/>
              </w:rPr>
              <w:t xml:space="preserve">: </w:t>
            </w:r>
            <w:r>
              <w:rPr>
                <w:rFonts w:eastAsia="MS Mincho"/>
              </w:rPr>
              <w:t>0.5</w:t>
            </w:r>
            <w:r w:rsidR="00A333B7">
              <w:rPr>
                <w:rFonts w:eastAsia="MS Mincho"/>
              </w:rPr>
              <w:t xml:space="preserve"> </w:t>
            </w:r>
            <w:r w:rsidRPr="00985785">
              <w:rPr>
                <w:rFonts w:eastAsia="MS Mincho"/>
              </w:rPr>
              <w:t xml:space="preserve">mg/d for </w:t>
            </w:r>
            <w:r>
              <w:rPr>
                <w:rFonts w:eastAsia="MS Mincho"/>
              </w:rPr>
              <w:t>Day</w:t>
            </w:r>
            <w:r w:rsidRPr="00985785">
              <w:rPr>
                <w:rFonts w:eastAsia="MS Mincho"/>
              </w:rPr>
              <w:t xml:space="preserve"> 1</w:t>
            </w:r>
            <w:r>
              <w:rPr>
                <w:rFonts w:eastAsia="MS Mincho"/>
              </w:rPr>
              <w:t>-</w:t>
            </w:r>
            <w:r w:rsidRPr="00985785">
              <w:rPr>
                <w:rFonts w:eastAsia="MS Mincho"/>
              </w:rPr>
              <w:t>3, 0.5 mg twice per</w:t>
            </w:r>
            <w:r w:rsidR="003218B0">
              <w:rPr>
                <w:rFonts w:eastAsia="MS Mincho"/>
              </w:rPr>
              <w:t xml:space="preserve"> </w:t>
            </w:r>
            <w:r w:rsidRPr="00985785">
              <w:rPr>
                <w:rFonts w:eastAsia="MS Mincho"/>
              </w:rPr>
              <w:t xml:space="preserve">day for </w:t>
            </w:r>
            <w:r>
              <w:rPr>
                <w:rFonts w:eastAsia="MS Mincho"/>
              </w:rPr>
              <w:t xml:space="preserve">Day </w:t>
            </w:r>
            <w:r w:rsidRPr="00985785">
              <w:rPr>
                <w:rFonts w:eastAsia="MS Mincho"/>
              </w:rPr>
              <w:t>4</w:t>
            </w:r>
            <w:r>
              <w:rPr>
                <w:rFonts w:eastAsia="MS Mincho"/>
              </w:rPr>
              <w:t>-</w:t>
            </w:r>
            <w:r w:rsidRPr="00985785">
              <w:rPr>
                <w:rFonts w:eastAsia="MS Mincho"/>
              </w:rPr>
              <w:t>7, then 1</w:t>
            </w:r>
            <w:r w:rsidR="00A333B7">
              <w:rPr>
                <w:rFonts w:eastAsia="MS Mincho"/>
              </w:rPr>
              <w:t xml:space="preserve"> </w:t>
            </w:r>
            <w:r w:rsidRPr="00985785">
              <w:rPr>
                <w:rFonts w:eastAsia="MS Mincho"/>
              </w:rPr>
              <w:t>mg twice per</w:t>
            </w:r>
            <w:r>
              <w:rPr>
                <w:rFonts w:eastAsia="MS Mincho"/>
              </w:rPr>
              <w:t xml:space="preserve"> </w:t>
            </w:r>
            <w:r w:rsidRPr="00985785">
              <w:rPr>
                <w:rFonts w:eastAsia="MS Mincho"/>
              </w:rPr>
              <w:t>day through week 12</w:t>
            </w:r>
            <w:r w:rsidR="003218B0">
              <w:rPr>
                <w:rFonts w:eastAsia="MS Mincho"/>
              </w:rPr>
              <w:t xml:space="preserve">; </w:t>
            </w:r>
            <w:r>
              <w:rPr>
                <w:rFonts w:eastAsia="MS Mincho"/>
              </w:rPr>
              <w:t>Bupropion: 150</w:t>
            </w:r>
            <w:r w:rsidR="00A333B7">
              <w:rPr>
                <w:rFonts w:eastAsia="MS Mincho"/>
              </w:rPr>
              <w:t xml:space="preserve"> </w:t>
            </w:r>
            <w:r>
              <w:rPr>
                <w:rFonts w:eastAsia="MS Mincho"/>
              </w:rPr>
              <w:t>mg twice daily including titration through week 12</w:t>
            </w:r>
            <w:r w:rsidR="00004245">
              <w:rPr>
                <w:rFonts w:eastAsia="MS Mincho"/>
              </w:rPr>
              <w:t>.</w:t>
            </w:r>
          </w:p>
          <w:p w:rsidR="00C115B1" w:rsidRDefault="00C115B1" w:rsidP="00BE3B4B">
            <w:pPr>
              <w:pStyle w:val="Tablewriting"/>
              <w:rPr>
                <w:rFonts w:eastAsia="MS Mincho"/>
              </w:rPr>
            </w:pPr>
          </w:p>
          <w:p w:rsidR="00C115B1" w:rsidRPr="00A34E7B" w:rsidRDefault="00C115B1" w:rsidP="00BE3B4B">
            <w:pPr>
              <w:pStyle w:val="Tablewriting"/>
              <w:rPr>
                <w:rFonts w:eastAsia="MS Mincho"/>
              </w:rPr>
            </w:pPr>
            <w:r w:rsidRPr="00C115B1">
              <w:rPr>
                <w:rFonts w:eastAsia="MS Mincho"/>
              </w:rPr>
              <w:t>Behavioural support provided in both arms.</w:t>
            </w:r>
          </w:p>
        </w:tc>
        <w:tc>
          <w:tcPr>
            <w:tcW w:w="1140" w:type="pct"/>
            <w:shd w:val="clear" w:color="auto" w:fill="D9D9D9" w:themeFill="background1" w:themeFillShade="D9"/>
            <w:tcMar>
              <w:left w:w="28" w:type="dxa"/>
              <w:right w:w="28" w:type="dxa"/>
            </w:tcMar>
          </w:tcPr>
          <w:p w:rsidR="000C4B32" w:rsidRDefault="000C4B32" w:rsidP="00BE3B4B">
            <w:pPr>
              <w:pStyle w:val="Tablewriting"/>
              <w:rPr>
                <w:rFonts w:eastAsia="MS Mincho"/>
              </w:rPr>
            </w:pPr>
            <w:r w:rsidRPr="008C39E4">
              <w:rPr>
                <w:rFonts w:eastAsia="MS Mincho"/>
                <w:u w:val="single"/>
              </w:rPr>
              <w:t>Primary</w:t>
            </w:r>
            <w:r>
              <w:rPr>
                <w:rFonts w:eastAsia="MS Mincho"/>
              </w:rPr>
              <w:t>: C</w:t>
            </w:r>
            <w:r w:rsidR="00FB19DE">
              <w:rPr>
                <w:rFonts w:eastAsia="MS Mincho"/>
              </w:rPr>
              <w:t>AR</w:t>
            </w:r>
            <w:r>
              <w:rPr>
                <w:rFonts w:eastAsia="MS Mincho"/>
              </w:rPr>
              <w:t xml:space="preserve"> at Week 9-12. Validated by CO</w:t>
            </w:r>
            <w:r w:rsidR="00FB19DE">
              <w:rPr>
                <w:rFonts w:eastAsia="MS Mincho"/>
              </w:rPr>
              <w:t xml:space="preserve"> </w:t>
            </w:r>
            <w:r>
              <w:rPr>
                <w:rFonts w:eastAsia="MS Mincho" w:cstheme="minorHAnsi"/>
              </w:rPr>
              <w:t>≤</w:t>
            </w:r>
            <w:r>
              <w:rPr>
                <w:rFonts w:eastAsia="MS Mincho"/>
              </w:rPr>
              <w:t>10</w:t>
            </w:r>
            <w:r w:rsidR="00803DA6">
              <w:rPr>
                <w:rFonts w:eastAsia="MS Mincho"/>
              </w:rPr>
              <w:t xml:space="preserve"> </w:t>
            </w:r>
            <w:r>
              <w:rPr>
                <w:rFonts w:eastAsia="MS Mincho"/>
              </w:rPr>
              <w:t>ppm.</w:t>
            </w:r>
          </w:p>
          <w:p w:rsidR="000C4B32" w:rsidRDefault="000C4B32" w:rsidP="00BE3B4B">
            <w:pPr>
              <w:pStyle w:val="Tablewriting"/>
              <w:rPr>
                <w:rFonts w:eastAsia="MS Mincho"/>
              </w:rPr>
            </w:pPr>
            <w:r w:rsidRPr="008C39E4">
              <w:rPr>
                <w:rFonts w:eastAsia="MS Mincho"/>
                <w:u w:val="single"/>
              </w:rPr>
              <w:t>Secondary</w:t>
            </w:r>
            <w:r>
              <w:rPr>
                <w:rFonts w:eastAsia="MS Mincho"/>
              </w:rPr>
              <w:t xml:space="preserve">: </w:t>
            </w:r>
            <w:r w:rsidRPr="005B56AA">
              <w:rPr>
                <w:rFonts w:eastAsia="MS Mincho"/>
              </w:rPr>
              <w:t>CAR at</w:t>
            </w:r>
            <w:r>
              <w:rPr>
                <w:rFonts w:eastAsia="MS Mincho"/>
              </w:rPr>
              <w:t xml:space="preserve"> Week</w:t>
            </w:r>
            <w:r w:rsidRPr="005B56AA">
              <w:rPr>
                <w:rFonts w:eastAsia="MS Mincho"/>
              </w:rPr>
              <w:t xml:space="preserve"> 9-24 </w:t>
            </w:r>
            <w:r>
              <w:rPr>
                <w:rFonts w:eastAsia="MS Mincho"/>
              </w:rPr>
              <w:t>and Week</w:t>
            </w:r>
            <w:r w:rsidRPr="005B56AA">
              <w:rPr>
                <w:rFonts w:eastAsia="MS Mincho"/>
              </w:rPr>
              <w:t xml:space="preserve"> 9-52; 7-day PPA at </w:t>
            </w:r>
            <w:r>
              <w:rPr>
                <w:rFonts w:eastAsia="MS Mincho"/>
              </w:rPr>
              <w:t>Week</w:t>
            </w:r>
            <w:r w:rsidRPr="005B56AA">
              <w:rPr>
                <w:rFonts w:eastAsia="MS Mincho"/>
              </w:rPr>
              <w:t xml:space="preserve"> 12, 24 and 52</w:t>
            </w:r>
            <w:r w:rsidR="00E50264">
              <w:rPr>
                <w:rFonts w:eastAsia="MS Mincho"/>
              </w:rPr>
              <w:t xml:space="preserve">. Validated by CO </w:t>
            </w:r>
            <w:r w:rsidR="00E50264">
              <w:rPr>
                <w:rFonts w:eastAsia="MS Mincho" w:cstheme="minorHAnsi"/>
              </w:rPr>
              <w:t>≤</w:t>
            </w:r>
            <w:r w:rsidR="00E50264">
              <w:rPr>
                <w:rFonts w:eastAsia="MS Mincho"/>
              </w:rPr>
              <w:t>10</w:t>
            </w:r>
            <w:r w:rsidR="00803DA6">
              <w:rPr>
                <w:rFonts w:eastAsia="MS Mincho"/>
              </w:rPr>
              <w:t xml:space="preserve"> </w:t>
            </w:r>
            <w:r w:rsidR="00E50264">
              <w:rPr>
                <w:rFonts w:eastAsia="MS Mincho"/>
              </w:rPr>
              <w:t>ppm.</w:t>
            </w:r>
          </w:p>
          <w:p w:rsidR="000C4B32" w:rsidRPr="00061F78" w:rsidRDefault="000C4B32" w:rsidP="00BE3B4B">
            <w:pPr>
              <w:pStyle w:val="Tablewriting"/>
              <w:rPr>
                <w:rFonts w:eastAsia="MS Mincho"/>
              </w:rPr>
            </w:pPr>
            <w:r w:rsidRPr="0055171C">
              <w:rPr>
                <w:rFonts w:eastAsia="MS Mincho"/>
                <w:u w:val="single"/>
              </w:rPr>
              <w:t>Other</w:t>
            </w:r>
            <w:r>
              <w:rPr>
                <w:rFonts w:eastAsia="MS Mincho"/>
              </w:rPr>
              <w:t>: w</w:t>
            </w:r>
            <w:r w:rsidRPr="00EC37F8">
              <w:rPr>
                <w:rFonts w:eastAsia="MS Mincho"/>
              </w:rPr>
              <w:t>eight change, withdrawal symptoms (using MNWS, QSU-brief and mCEQ), adverse</w:t>
            </w:r>
            <w:r>
              <w:rPr>
                <w:rFonts w:eastAsia="MS Mincho"/>
              </w:rPr>
              <w:t xml:space="preserve"> </w:t>
            </w:r>
            <w:r w:rsidRPr="00EC37F8">
              <w:rPr>
                <w:rFonts w:eastAsia="MS Mincho"/>
              </w:rPr>
              <w:t>events</w:t>
            </w:r>
            <w:r w:rsidR="00004245">
              <w:rPr>
                <w:rFonts w:eastAsia="MS Mincho"/>
              </w:rPr>
              <w:t>.</w:t>
            </w:r>
          </w:p>
        </w:tc>
      </w:tr>
      <w:tr w:rsidR="00260CD7" w:rsidRPr="00061F78" w:rsidTr="005346E0">
        <w:trPr>
          <w:trHeight w:val="99"/>
        </w:trPr>
        <w:tc>
          <w:tcPr>
            <w:tcW w:w="320" w:type="pct"/>
            <w:shd w:val="clear" w:color="auto" w:fill="D9D9D9" w:themeFill="background1" w:themeFillShade="D9"/>
            <w:tcMar>
              <w:left w:w="28" w:type="dxa"/>
              <w:right w:w="28" w:type="dxa"/>
            </w:tcMar>
          </w:tcPr>
          <w:p w:rsidR="000C4B32" w:rsidRPr="00061F78" w:rsidRDefault="000C4B32" w:rsidP="00BE3B4B">
            <w:pPr>
              <w:pStyle w:val="Tablewriting"/>
              <w:rPr>
                <w:rFonts w:eastAsia="MS Mincho"/>
              </w:rPr>
            </w:pPr>
            <w:r w:rsidRPr="00B83AC1">
              <w:rPr>
                <w:rFonts w:eastAsia="MS Mincho"/>
              </w:rPr>
              <w:t>Anthenelli (EAGLES, 2016)</w:t>
            </w:r>
          </w:p>
        </w:tc>
        <w:tc>
          <w:tcPr>
            <w:tcW w:w="399" w:type="pct"/>
            <w:shd w:val="clear" w:color="auto" w:fill="D9D9D9" w:themeFill="background1" w:themeFillShade="D9"/>
          </w:tcPr>
          <w:p w:rsidR="000C4B32" w:rsidRDefault="000C4B32" w:rsidP="00BE3B4B">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rsidR="000C4B32" w:rsidRDefault="000C4B32" w:rsidP="00BE3B4B">
            <w:pPr>
              <w:pStyle w:val="Tablewriting"/>
              <w:rPr>
                <w:rFonts w:eastAsia="MS Mincho"/>
              </w:rPr>
            </w:pPr>
            <w:r>
              <w:rPr>
                <w:rFonts w:eastAsia="MS Mincho"/>
              </w:rPr>
              <w:t>N=8,144</w:t>
            </w:r>
          </w:p>
          <w:p w:rsidR="000C4B32" w:rsidRPr="00061F78" w:rsidRDefault="000C4B32" w:rsidP="00BE3B4B">
            <w:pPr>
              <w:pStyle w:val="Tablewriting"/>
              <w:rPr>
                <w:rFonts w:eastAsia="MS Mincho"/>
              </w:rPr>
            </w:pPr>
            <w:r>
              <w:rPr>
                <w:rFonts w:eastAsia="MS Mincho"/>
              </w:rPr>
              <w:t>Varenicline (n=2,037), Bupropion (n=2,034)</w:t>
            </w:r>
          </w:p>
        </w:tc>
        <w:tc>
          <w:tcPr>
            <w:tcW w:w="1778" w:type="pct"/>
            <w:shd w:val="clear" w:color="auto" w:fill="D9D9D9" w:themeFill="background1" w:themeFillShade="D9"/>
            <w:tcMar>
              <w:left w:w="28" w:type="dxa"/>
              <w:right w:w="28" w:type="dxa"/>
            </w:tcMar>
          </w:tcPr>
          <w:p w:rsidR="000C4B32" w:rsidRPr="00061F78" w:rsidRDefault="000C4B32" w:rsidP="00BE3B4B">
            <w:pPr>
              <w:pStyle w:val="Tablewriting"/>
              <w:rPr>
                <w:rFonts w:eastAsia="MS Mincho"/>
              </w:rPr>
            </w:pPr>
            <w:r>
              <w:rPr>
                <w:rFonts w:eastAsia="MS Mincho"/>
              </w:rPr>
              <w:t xml:space="preserve">See </w:t>
            </w:r>
            <w:r w:rsidR="003C4A1C">
              <w:t xml:space="preserve">Table </w:t>
            </w:r>
            <w:r w:rsidR="003C4A1C">
              <w:rPr>
                <w:noProof/>
              </w:rPr>
              <w:t>14</w:t>
            </w:r>
            <w:r>
              <w:rPr>
                <w:rFonts w:eastAsia="MS Mincho"/>
              </w:rPr>
              <w:t xml:space="preserve"> for inclusion and exclusion criteria of this study</w:t>
            </w:r>
            <w:r w:rsidR="00004245">
              <w:rPr>
                <w:rFonts w:eastAsia="MS Mincho"/>
              </w:rPr>
              <w:t>.</w:t>
            </w:r>
          </w:p>
        </w:tc>
        <w:tc>
          <w:tcPr>
            <w:tcW w:w="1015" w:type="pct"/>
            <w:shd w:val="clear" w:color="auto" w:fill="D9D9D9" w:themeFill="background1" w:themeFillShade="D9"/>
          </w:tcPr>
          <w:p w:rsidR="000C4B32" w:rsidRDefault="000C4B32" w:rsidP="00BE3B4B">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sidR="00A333B7">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(i</w:t>
            </w:r>
            <w:r>
              <w:rPr>
                <w:rFonts w:eastAsia="MS Mincho"/>
              </w:rPr>
              <w:t>.</w:t>
            </w:r>
            <w:r w:rsidRPr="00372F18">
              <w:rPr>
                <w:rFonts w:eastAsia="MS Mincho"/>
              </w:rPr>
              <w:t>e</w:t>
            </w:r>
            <w:r>
              <w:rPr>
                <w:rFonts w:eastAsia="MS Mincho"/>
              </w:rPr>
              <w:t>.</w:t>
            </w:r>
            <w:r w:rsidRPr="00372F18">
              <w:rPr>
                <w:rFonts w:eastAsia="MS Mincho"/>
              </w:rPr>
              <w:t xml:space="preserve"> 0.5</w:t>
            </w:r>
            <w:r w:rsidR="00A333B7">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sidR="00A333B7">
              <w:rPr>
                <w:rFonts w:eastAsia="MS Mincho"/>
              </w:rPr>
              <w:t xml:space="preserve"> </w:t>
            </w:r>
            <w:r w:rsidRPr="00372F18">
              <w:rPr>
                <w:rFonts w:eastAsia="MS Mincho"/>
              </w:rPr>
              <w:t>mg twice daily for 4 days, then 1mg twice daily)</w:t>
            </w:r>
            <w:r w:rsidR="003218B0">
              <w:rPr>
                <w:rFonts w:eastAsia="MS Mincho"/>
              </w:rPr>
              <w:t>;</w:t>
            </w:r>
          </w:p>
          <w:p w:rsidR="000C4B32" w:rsidRDefault="000C4B32" w:rsidP="00BE3B4B">
            <w:pPr>
              <w:pStyle w:val="Tablewriting"/>
              <w:rPr>
                <w:rFonts w:eastAsia="MS Mincho"/>
              </w:rPr>
            </w:pPr>
            <w:r>
              <w:rPr>
                <w:rFonts w:eastAsia="MS Mincho"/>
              </w:rPr>
              <w:t>Bupropion: 150</w:t>
            </w:r>
            <w:r w:rsidR="005E28DE">
              <w:rPr>
                <w:rFonts w:eastAsia="MS Mincho"/>
              </w:rPr>
              <w:t xml:space="preserve"> </w:t>
            </w:r>
            <w:r>
              <w:rPr>
                <w:rFonts w:eastAsia="MS Mincho"/>
              </w:rPr>
              <w:t>mg twice daily including titration over 12 weeks</w:t>
            </w:r>
            <w:r w:rsidR="00004245">
              <w:rPr>
                <w:rFonts w:eastAsia="MS Mincho"/>
              </w:rPr>
              <w:t>.</w:t>
            </w:r>
          </w:p>
          <w:p w:rsidR="00C115B1" w:rsidRDefault="00C115B1" w:rsidP="00BE3B4B">
            <w:pPr>
              <w:pStyle w:val="Tablewriting"/>
              <w:rPr>
                <w:rFonts w:eastAsia="MS Mincho"/>
              </w:rPr>
            </w:pPr>
          </w:p>
          <w:p w:rsidR="00C115B1" w:rsidRPr="00A34E7B" w:rsidRDefault="00C115B1" w:rsidP="00BE3B4B">
            <w:pPr>
              <w:pStyle w:val="Tablewriting"/>
              <w:rPr>
                <w:rFonts w:eastAsia="MS Mincho"/>
              </w:rPr>
            </w:pPr>
            <w:r w:rsidRPr="00C115B1">
              <w:rPr>
                <w:rFonts w:eastAsia="MS Mincho"/>
              </w:rPr>
              <w:t>Behavioural support provided in both arms.</w:t>
            </w:r>
          </w:p>
        </w:tc>
        <w:tc>
          <w:tcPr>
            <w:tcW w:w="1140" w:type="pct"/>
            <w:shd w:val="clear" w:color="auto" w:fill="D9D9D9" w:themeFill="background1" w:themeFillShade="D9"/>
            <w:tcMar>
              <w:left w:w="28" w:type="dxa"/>
              <w:right w:w="28" w:type="dxa"/>
            </w:tcMar>
          </w:tcPr>
          <w:p w:rsidR="000C4B32" w:rsidRDefault="000C4B32" w:rsidP="00BE3B4B">
            <w:pPr>
              <w:pStyle w:val="Tablewriting"/>
              <w:rPr>
                <w:rFonts w:eastAsia="MS Mincho"/>
              </w:rPr>
            </w:pPr>
            <w:r w:rsidRPr="008C39E4">
              <w:rPr>
                <w:rFonts w:eastAsia="MS Mincho"/>
                <w:u w:val="single"/>
              </w:rPr>
              <w:t>Primary</w:t>
            </w:r>
            <w:r>
              <w:rPr>
                <w:rFonts w:eastAsia="MS Mincho"/>
              </w:rPr>
              <w:t>: safety including adverse events</w:t>
            </w:r>
            <w:r w:rsidR="00004245">
              <w:rPr>
                <w:rFonts w:eastAsia="MS Mincho"/>
              </w:rPr>
              <w:t>.</w:t>
            </w:r>
          </w:p>
          <w:p w:rsidR="000C4B32" w:rsidRDefault="000C4B32" w:rsidP="00BE3B4B">
            <w:pPr>
              <w:pStyle w:val="Tablewriting"/>
              <w:rPr>
                <w:rFonts w:eastAsia="MS Mincho"/>
              </w:rPr>
            </w:pPr>
            <w:r w:rsidRPr="00C1753E">
              <w:rPr>
                <w:rFonts w:eastAsia="MS Mincho"/>
                <w:u w:val="single"/>
              </w:rPr>
              <w:t>Primary efficacy</w:t>
            </w:r>
            <w:r>
              <w:rPr>
                <w:rFonts w:eastAsia="MS Mincho"/>
              </w:rPr>
              <w:t>:</w:t>
            </w:r>
            <w:r>
              <w:t xml:space="preserve"> </w:t>
            </w:r>
            <w:r w:rsidR="00FB19DE">
              <w:rPr>
                <w:rFonts w:eastAsia="MS Mincho"/>
              </w:rPr>
              <w:t xml:space="preserve">CAR </w:t>
            </w:r>
            <w:r w:rsidRPr="00C1753E">
              <w:rPr>
                <w:rFonts w:eastAsia="MS Mincho"/>
              </w:rPr>
              <w:t>at Week 9-12. Validated by CO</w:t>
            </w:r>
            <w:r w:rsidR="00FB19DE">
              <w:rPr>
                <w:rFonts w:eastAsia="MS Mincho"/>
              </w:rPr>
              <w:t xml:space="preserve"> </w:t>
            </w:r>
            <w:r w:rsidRPr="00C1753E">
              <w:rPr>
                <w:rFonts w:eastAsia="MS Mincho"/>
              </w:rPr>
              <w:t>≤10</w:t>
            </w:r>
            <w:r w:rsidR="00803DA6">
              <w:rPr>
                <w:rFonts w:eastAsia="MS Mincho"/>
              </w:rPr>
              <w:t xml:space="preserve"> </w:t>
            </w:r>
            <w:r w:rsidRPr="00C1753E">
              <w:rPr>
                <w:rFonts w:eastAsia="MS Mincho"/>
              </w:rPr>
              <w:t>ppm.</w:t>
            </w:r>
            <w:r>
              <w:rPr>
                <w:rFonts w:eastAsia="MS Mincho"/>
              </w:rPr>
              <w:t xml:space="preserve"> </w:t>
            </w:r>
          </w:p>
          <w:p w:rsidR="000C4B32" w:rsidRPr="00061F78" w:rsidRDefault="000C4B32" w:rsidP="00BE3B4B">
            <w:pPr>
              <w:pStyle w:val="Tablewriting"/>
              <w:rPr>
                <w:rFonts w:eastAsia="MS Mincho"/>
              </w:rPr>
            </w:pPr>
            <w:r w:rsidRPr="00EF3594">
              <w:rPr>
                <w:rFonts w:eastAsia="MS Mincho"/>
                <w:u w:val="single"/>
              </w:rPr>
              <w:t>Secondary efficacy</w:t>
            </w:r>
            <w:r>
              <w:rPr>
                <w:rFonts w:eastAsia="MS Mincho"/>
              </w:rPr>
              <w:t xml:space="preserve">: </w:t>
            </w:r>
            <w:r w:rsidR="00FB19DE">
              <w:rPr>
                <w:rFonts w:eastAsia="MS Mincho"/>
              </w:rPr>
              <w:t>CAR</w:t>
            </w:r>
            <w:r>
              <w:rPr>
                <w:rFonts w:eastAsia="MS Mincho"/>
              </w:rPr>
              <w:t xml:space="preserve"> at Week 9-24. </w:t>
            </w:r>
            <w:r w:rsidRPr="00624207">
              <w:rPr>
                <w:rFonts w:eastAsia="MS Mincho"/>
              </w:rPr>
              <w:t xml:space="preserve">7-day PPA </w:t>
            </w:r>
            <w:r>
              <w:rPr>
                <w:rFonts w:eastAsia="MS Mincho"/>
              </w:rPr>
              <w:t>at all visits.</w:t>
            </w:r>
            <w:r w:rsidR="00E50264">
              <w:rPr>
                <w:rFonts w:eastAsia="MS Mincho"/>
              </w:rPr>
              <w:t xml:space="preserve"> Validated by CO </w:t>
            </w:r>
            <w:r w:rsidR="00E50264">
              <w:rPr>
                <w:rFonts w:eastAsia="MS Mincho" w:cstheme="minorHAnsi"/>
              </w:rPr>
              <w:t>≤</w:t>
            </w:r>
            <w:r w:rsidR="00E50264">
              <w:rPr>
                <w:rFonts w:eastAsia="MS Mincho"/>
              </w:rPr>
              <w:t>10</w:t>
            </w:r>
            <w:r w:rsidR="00803DA6">
              <w:rPr>
                <w:rFonts w:eastAsia="MS Mincho"/>
              </w:rPr>
              <w:t xml:space="preserve"> </w:t>
            </w:r>
            <w:r w:rsidR="00E50264">
              <w:rPr>
                <w:rFonts w:eastAsia="MS Mincho"/>
              </w:rPr>
              <w:t>ppm.</w:t>
            </w:r>
          </w:p>
        </w:tc>
      </w:tr>
      <w:tr w:rsidR="00260CD7" w:rsidRPr="00061F78" w:rsidTr="003218B0">
        <w:trPr>
          <w:trHeight w:val="149"/>
        </w:trPr>
        <w:tc>
          <w:tcPr>
            <w:tcW w:w="320" w:type="pct"/>
            <w:tcMar>
              <w:left w:w="28" w:type="dxa"/>
              <w:right w:w="28" w:type="dxa"/>
            </w:tcMar>
          </w:tcPr>
          <w:p w:rsidR="000C4B32" w:rsidRPr="004F1864" w:rsidRDefault="000C4B32" w:rsidP="00BE3B4B">
            <w:pPr>
              <w:pStyle w:val="Tablewriting"/>
              <w:rPr>
                <w:rFonts w:eastAsia="MS Mincho"/>
              </w:rPr>
            </w:pPr>
            <w:r>
              <w:rPr>
                <w:rFonts w:eastAsia="MS Mincho"/>
              </w:rPr>
              <w:t>Howes</w:t>
            </w:r>
            <w:r w:rsidRPr="00061F78">
              <w:rPr>
                <w:rFonts w:eastAsia="MS Mincho"/>
              </w:rPr>
              <w:t xml:space="preserve"> (20</w:t>
            </w:r>
            <w:r>
              <w:rPr>
                <w:rFonts w:eastAsia="MS Mincho"/>
              </w:rPr>
              <w:t>20</w:t>
            </w:r>
            <w:r w:rsidRPr="00061F78">
              <w:rPr>
                <w:rFonts w:eastAsia="MS Mincho"/>
              </w:rPr>
              <w:t>)</w:t>
            </w:r>
            <w:r w:rsidRPr="00D07303">
              <w:rPr>
                <w:rFonts w:eastAsia="MS Mincho"/>
                <w:vertAlign w:val="superscript"/>
              </w:rPr>
              <w:t xml:space="preserve"> </w:t>
            </w:r>
          </w:p>
        </w:tc>
        <w:tc>
          <w:tcPr>
            <w:tcW w:w="399" w:type="pct"/>
          </w:tcPr>
          <w:p w:rsidR="000C4B32" w:rsidRDefault="000C4B32" w:rsidP="00BE3B4B">
            <w:pPr>
              <w:pStyle w:val="Tablewriting"/>
              <w:rPr>
                <w:rFonts w:eastAsia="MS Mincho"/>
              </w:rPr>
            </w:pPr>
            <w:r>
              <w:rPr>
                <w:rFonts w:eastAsia="MS Mincho"/>
              </w:rPr>
              <w:t xml:space="preserve">Cochrane </w:t>
            </w:r>
            <w:r w:rsidR="00072566">
              <w:rPr>
                <w:rFonts w:eastAsia="MS Mincho"/>
              </w:rPr>
              <w:t>R</w:t>
            </w:r>
            <w:r>
              <w:rPr>
                <w:rFonts w:eastAsia="MS Mincho"/>
              </w:rPr>
              <w:t xml:space="preserve">eview    </w:t>
            </w:r>
          </w:p>
          <w:p w:rsidR="000C4B32" w:rsidRDefault="000C4B32" w:rsidP="00BE3B4B">
            <w:pPr>
              <w:pStyle w:val="Tablewriting"/>
              <w:rPr>
                <w:rFonts w:eastAsia="MS Mincho"/>
              </w:rPr>
            </w:pPr>
            <w:r>
              <w:rPr>
                <w:rFonts w:eastAsia="MS Mincho"/>
              </w:rPr>
              <w:t>(</w:t>
            </w:r>
            <w:r w:rsidR="00934850">
              <w:rPr>
                <w:rFonts w:eastAsia="MS Mincho"/>
              </w:rPr>
              <w:t>10</w:t>
            </w:r>
            <w:r>
              <w:rPr>
                <w:rFonts w:eastAsia="MS Mincho"/>
              </w:rPr>
              <w:t xml:space="preserve"> RCTs</w:t>
            </w:r>
            <w:r w:rsidRPr="00AB145F">
              <w:rPr>
                <w:rFonts w:eastAsia="MS Mincho"/>
                <w:vertAlign w:val="superscript"/>
              </w:rPr>
              <w:t>2</w:t>
            </w:r>
            <w:r>
              <w:rPr>
                <w:rFonts w:eastAsia="MS Mincho"/>
              </w:rPr>
              <w:t>)</w:t>
            </w:r>
          </w:p>
        </w:tc>
        <w:tc>
          <w:tcPr>
            <w:tcW w:w="347" w:type="pct"/>
            <w:tcMar>
              <w:left w:w="28" w:type="dxa"/>
              <w:right w:w="28" w:type="dxa"/>
            </w:tcMar>
          </w:tcPr>
          <w:p w:rsidR="00C3342E" w:rsidRPr="00C3342E" w:rsidRDefault="00C3342E" w:rsidP="00BE3B4B">
            <w:pPr>
              <w:pStyle w:val="Tablewriting"/>
              <w:rPr>
                <w:rFonts w:eastAsia="MS Mincho"/>
                <w:u w:val="single"/>
              </w:rPr>
            </w:pPr>
            <w:r w:rsidRPr="00C3342E">
              <w:rPr>
                <w:rFonts w:eastAsia="MS Mincho"/>
                <w:u w:val="single"/>
              </w:rPr>
              <w:t>Efficacy</w:t>
            </w:r>
          </w:p>
          <w:p w:rsidR="00C3342E" w:rsidRPr="00C3342E" w:rsidRDefault="00C3342E" w:rsidP="00BE3B4B">
            <w:pPr>
              <w:pStyle w:val="Tablewriting"/>
              <w:rPr>
                <w:rFonts w:eastAsia="MS Mincho"/>
                <w:u w:val="single"/>
              </w:rPr>
            </w:pPr>
            <w:r w:rsidRPr="00C3342E">
              <w:rPr>
                <w:rFonts w:eastAsia="MS Mincho"/>
                <w:u w:val="single"/>
              </w:rPr>
              <w:t>(6 RCTs)</w:t>
            </w:r>
          </w:p>
          <w:p w:rsidR="000C4B32" w:rsidRDefault="000C4B32" w:rsidP="00BE3B4B">
            <w:pPr>
              <w:pStyle w:val="Tablewriting"/>
              <w:rPr>
                <w:rFonts w:eastAsia="MS Mincho"/>
              </w:rPr>
            </w:pPr>
            <w:r>
              <w:rPr>
                <w:rFonts w:eastAsia="MS Mincho"/>
              </w:rPr>
              <w:t>N=6,286</w:t>
            </w:r>
          </w:p>
          <w:p w:rsidR="000C4B32" w:rsidRDefault="000C4B32" w:rsidP="00BE3B4B">
            <w:pPr>
              <w:pStyle w:val="Tablewriting"/>
              <w:rPr>
                <w:rFonts w:eastAsia="MS Mincho"/>
              </w:rPr>
            </w:pPr>
            <w:r>
              <w:rPr>
                <w:rFonts w:eastAsia="MS Mincho"/>
              </w:rPr>
              <w:lastRenderedPageBreak/>
              <w:t>Varenicline (n=3,190),</w:t>
            </w:r>
          </w:p>
          <w:p w:rsidR="000C4B32" w:rsidRPr="00061F78" w:rsidRDefault="000C4B32" w:rsidP="00BE3B4B">
            <w:pPr>
              <w:pStyle w:val="Tablewriting"/>
              <w:rPr>
                <w:rFonts w:eastAsia="MS Mincho"/>
              </w:rPr>
            </w:pPr>
            <w:r>
              <w:rPr>
                <w:rFonts w:eastAsia="MS Mincho"/>
              </w:rPr>
              <w:t>Bupropion (n=3,096)</w:t>
            </w:r>
          </w:p>
        </w:tc>
        <w:tc>
          <w:tcPr>
            <w:tcW w:w="1778" w:type="pct"/>
            <w:tcMar>
              <w:left w:w="28" w:type="dxa"/>
              <w:right w:w="28" w:type="dxa"/>
            </w:tcMar>
          </w:tcPr>
          <w:p w:rsidR="000C4B32" w:rsidRDefault="000C4B32" w:rsidP="00BE3B4B">
            <w:pPr>
              <w:pStyle w:val="Tablewriting"/>
              <w:rPr>
                <w:rFonts w:eastAsia="MS Mincho"/>
              </w:rPr>
            </w:pPr>
            <w:r w:rsidRPr="002C19B4">
              <w:rPr>
                <w:rFonts w:eastAsia="MS Mincho"/>
                <w:u w:val="single"/>
              </w:rPr>
              <w:lastRenderedPageBreak/>
              <w:t>Inclusion</w:t>
            </w:r>
            <w:r>
              <w:rPr>
                <w:rFonts w:eastAsia="MS Mincho"/>
              </w:rPr>
              <w:t>: t</w:t>
            </w:r>
            <w:r w:rsidRPr="002C19B4">
              <w:rPr>
                <w:rFonts w:eastAsia="MS Mincho"/>
              </w:rPr>
              <w:t>obacco smokers of any age, with or without a history</w:t>
            </w:r>
            <w:r>
              <w:rPr>
                <w:rFonts w:eastAsia="MS Mincho"/>
              </w:rPr>
              <w:t xml:space="preserve"> </w:t>
            </w:r>
            <w:r w:rsidRPr="002C19B4">
              <w:rPr>
                <w:rFonts w:eastAsia="MS Mincho"/>
              </w:rPr>
              <w:t>of mental illness.</w:t>
            </w:r>
          </w:p>
          <w:p w:rsidR="000C4B32" w:rsidRPr="00061F78" w:rsidRDefault="000C4B32" w:rsidP="00BE3B4B">
            <w:pPr>
              <w:pStyle w:val="Tablewriting"/>
              <w:rPr>
                <w:rFonts w:eastAsia="MS Mincho"/>
              </w:rPr>
            </w:pPr>
            <w:r w:rsidRPr="002C19B4">
              <w:rPr>
                <w:rFonts w:eastAsia="MS Mincho"/>
                <w:u w:val="single"/>
              </w:rPr>
              <w:lastRenderedPageBreak/>
              <w:t>Exclusion</w:t>
            </w:r>
            <w:r>
              <w:rPr>
                <w:rFonts w:eastAsia="MS Mincho"/>
              </w:rPr>
              <w:t>: p</w:t>
            </w:r>
            <w:r w:rsidRPr="002C19B4">
              <w:rPr>
                <w:rFonts w:eastAsia="MS Mincho"/>
              </w:rPr>
              <w:t>regnant women</w:t>
            </w:r>
            <w:r>
              <w:rPr>
                <w:rFonts w:eastAsia="MS Mincho"/>
              </w:rPr>
              <w:t xml:space="preserve"> and</w:t>
            </w:r>
            <w:r>
              <w:t xml:space="preserve"> </w:t>
            </w:r>
            <w:r w:rsidRPr="00593CA5">
              <w:rPr>
                <w:rFonts w:eastAsia="MS Mincho"/>
              </w:rPr>
              <w:t>trials investigating use for smoking harm reduction</w:t>
            </w:r>
            <w:r>
              <w:rPr>
                <w:rFonts w:eastAsia="MS Mincho"/>
              </w:rPr>
              <w:t xml:space="preserve"> </w:t>
            </w:r>
            <w:r w:rsidRPr="00593CA5">
              <w:rPr>
                <w:rFonts w:eastAsia="MS Mincho"/>
              </w:rPr>
              <w:t>or relapse prevention</w:t>
            </w:r>
            <w:r>
              <w:rPr>
                <w:rFonts w:eastAsia="MS Mincho"/>
              </w:rPr>
              <w:t>.</w:t>
            </w:r>
          </w:p>
        </w:tc>
        <w:tc>
          <w:tcPr>
            <w:tcW w:w="1015" w:type="pct"/>
          </w:tcPr>
          <w:p w:rsidR="000C4B32" w:rsidRDefault="000C4B32" w:rsidP="00BE3B4B">
            <w:pPr>
              <w:pStyle w:val="Tablewriting"/>
              <w:rPr>
                <w:rFonts w:eastAsia="MS Mincho"/>
              </w:rPr>
            </w:pPr>
            <w:r w:rsidRPr="00792D51">
              <w:rPr>
                <w:rFonts w:eastAsia="MS Mincho"/>
              </w:rPr>
              <w:lastRenderedPageBreak/>
              <w:t>Varenicline: 1</w:t>
            </w:r>
            <w:r w:rsidR="005E28DE">
              <w:rPr>
                <w:rFonts w:eastAsia="MS Mincho"/>
              </w:rPr>
              <w:t xml:space="preserve"> </w:t>
            </w:r>
            <w:r w:rsidRPr="00792D51">
              <w:rPr>
                <w:rFonts w:eastAsia="MS Mincho"/>
              </w:rPr>
              <w:t xml:space="preserve">mg twice daily </w:t>
            </w:r>
            <w:r>
              <w:rPr>
                <w:rFonts w:eastAsia="MS Mincho"/>
              </w:rPr>
              <w:t xml:space="preserve">including </w:t>
            </w:r>
            <w:r w:rsidRPr="00792D51">
              <w:rPr>
                <w:rFonts w:eastAsia="MS Mincho"/>
              </w:rPr>
              <w:t>titrat</w:t>
            </w:r>
            <w:r>
              <w:rPr>
                <w:rFonts w:eastAsia="MS Mincho"/>
              </w:rPr>
              <w:t>ion</w:t>
            </w:r>
            <w:r w:rsidRPr="00792D51">
              <w:rPr>
                <w:rFonts w:eastAsia="MS Mincho"/>
              </w:rPr>
              <w:t xml:space="preserve"> (i.e. 0.5</w:t>
            </w:r>
            <w:r w:rsidR="005E28DE">
              <w:rPr>
                <w:rFonts w:eastAsia="MS Mincho"/>
              </w:rPr>
              <w:t xml:space="preserve"> </w:t>
            </w:r>
            <w:r w:rsidRPr="00792D51">
              <w:rPr>
                <w:rFonts w:eastAsia="MS Mincho"/>
              </w:rPr>
              <w:t>mg once daily for 3 days, then 0.5</w:t>
            </w:r>
            <w:r w:rsidR="005E28DE">
              <w:rPr>
                <w:rFonts w:eastAsia="MS Mincho"/>
              </w:rPr>
              <w:t xml:space="preserve"> </w:t>
            </w:r>
            <w:r w:rsidRPr="00792D51">
              <w:rPr>
                <w:rFonts w:eastAsia="MS Mincho"/>
              </w:rPr>
              <w:lastRenderedPageBreak/>
              <w:t>mg twice daily for 4 days, then 1</w:t>
            </w:r>
            <w:r w:rsidR="005E28DE">
              <w:rPr>
                <w:rFonts w:eastAsia="MS Mincho"/>
              </w:rPr>
              <w:t xml:space="preserve"> </w:t>
            </w:r>
            <w:r w:rsidRPr="00792D51">
              <w:rPr>
                <w:rFonts w:eastAsia="MS Mincho"/>
              </w:rPr>
              <w:t>mg twice daily)</w:t>
            </w:r>
            <w:r w:rsidR="003218B0">
              <w:rPr>
                <w:rFonts w:eastAsia="MS Mincho"/>
              </w:rPr>
              <w:t>;</w:t>
            </w:r>
          </w:p>
          <w:p w:rsidR="000C4B32" w:rsidRPr="00061F78" w:rsidRDefault="000C4B32" w:rsidP="00BE3B4B">
            <w:pPr>
              <w:pStyle w:val="Tablewriting"/>
              <w:rPr>
                <w:rFonts w:eastAsia="MS Mincho"/>
              </w:rPr>
            </w:pPr>
            <w:r>
              <w:rPr>
                <w:rFonts w:eastAsia="MS Mincho"/>
              </w:rPr>
              <w:t>Bupropion: 150</w:t>
            </w:r>
            <w:r w:rsidR="005E28DE">
              <w:rPr>
                <w:rFonts w:eastAsia="MS Mincho"/>
              </w:rPr>
              <w:t xml:space="preserve"> </w:t>
            </w:r>
            <w:r>
              <w:rPr>
                <w:rFonts w:eastAsia="MS Mincho"/>
              </w:rPr>
              <w:t>mg twice daily including titration (i.e. 150</w:t>
            </w:r>
            <w:r w:rsidR="005E28DE">
              <w:rPr>
                <w:rFonts w:eastAsia="MS Mincho"/>
              </w:rPr>
              <w:t xml:space="preserve"> </w:t>
            </w:r>
            <w:r>
              <w:rPr>
                <w:rFonts w:eastAsia="MS Mincho"/>
              </w:rPr>
              <w:t>mg once daily for 3 days, then 150</w:t>
            </w:r>
            <w:r w:rsidR="005E28DE">
              <w:rPr>
                <w:rFonts w:eastAsia="MS Mincho"/>
              </w:rPr>
              <w:t xml:space="preserve"> </w:t>
            </w:r>
            <w:r>
              <w:rPr>
                <w:rFonts w:eastAsia="MS Mincho"/>
              </w:rPr>
              <w:t>mg twice daily)</w:t>
            </w:r>
            <w:r w:rsidR="00004245">
              <w:rPr>
                <w:rFonts w:eastAsia="MS Mincho"/>
              </w:rPr>
              <w:t>.</w:t>
            </w:r>
          </w:p>
        </w:tc>
        <w:tc>
          <w:tcPr>
            <w:tcW w:w="1140" w:type="pct"/>
            <w:tcMar>
              <w:left w:w="28" w:type="dxa"/>
              <w:right w:w="28" w:type="dxa"/>
            </w:tcMar>
          </w:tcPr>
          <w:p w:rsidR="000C4B32" w:rsidRDefault="000C4B32" w:rsidP="00BE3B4B">
            <w:pPr>
              <w:pStyle w:val="Tablewriting"/>
              <w:rPr>
                <w:rFonts w:eastAsia="MS Mincho"/>
              </w:rPr>
            </w:pPr>
            <w:r w:rsidRPr="0036499C">
              <w:rPr>
                <w:rFonts w:eastAsia="MS Mincho"/>
                <w:u w:val="single"/>
              </w:rPr>
              <w:lastRenderedPageBreak/>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004245">
              <w:rPr>
                <w:rFonts w:eastAsia="MS Mincho"/>
              </w:rPr>
              <w:t>.</w:t>
            </w:r>
          </w:p>
          <w:p w:rsidR="000C4B32" w:rsidRPr="00061F78" w:rsidRDefault="000C4B32" w:rsidP="00BE3B4B">
            <w:pPr>
              <w:pStyle w:val="Tablewriting"/>
              <w:rPr>
                <w:rFonts w:eastAsia="MS Mincho"/>
              </w:rPr>
            </w:pPr>
            <w:r w:rsidRPr="0036499C">
              <w:rPr>
                <w:rFonts w:eastAsia="MS Mincho"/>
                <w:u w:val="single"/>
              </w:rPr>
              <w:lastRenderedPageBreak/>
              <w:t>Secondary</w:t>
            </w:r>
            <w:r>
              <w:rPr>
                <w:rFonts w:eastAsia="MS Mincho"/>
              </w:rPr>
              <w:t>: safety including any adverse events, psychiatric adverse events, serious adverse events and dropouts due to adverse events</w:t>
            </w:r>
            <w:r w:rsidR="00004245">
              <w:rPr>
                <w:rFonts w:eastAsia="MS Mincho"/>
              </w:rPr>
              <w:t>.</w:t>
            </w:r>
          </w:p>
        </w:tc>
      </w:tr>
      <w:tr w:rsidR="00BE6154" w:rsidRPr="00061F78" w:rsidTr="003218B0">
        <w:trPr>
          <w:trHeight w:val="149"/>
        </w:trPr>
        <w:tc>
          <w:tcPr>
            <w:tcW w:w="320" w:type="pct"/>
            <w:tcMar>
              <w:left w:w="28" w:type="dxa"/>
              <w:right w:w="28" w:type="dxa"/>
            </w:tcMar>
          </w:tcPr>
          <w:p w:rsidR="00BE6154" w:rsidRDefault="00BE6154" w:rsidP="00BE3B4B">
            <w:pPr>
              <w:pStyle w:val="Tablewriting"/>
              <w:rPr>
                <w:rFonts w:eastAsia="MS Mincho"/>
              </w:rPr>
            </w:pPr>
            <w:r>
              <w:rPr>
                <w:rFonts w:eastAsia="MS Mincho"/>
              </w:rPr>
              <w:lastRenderedPageBreak/>
              <w:t>Benowitz (2018)</w:t>
            </w:r>
          </w:p>
        </w:tc>
        <w:tc>
          <w:tcPr>
            <w:tcW w:w="399" w:type="pct"/>
          </w:tcPr>
          <w:p w:rsidR="00BE6154" w:rsidRPr="005E64E8" w:rsidRDefault="00BE6154" w:rsidP="00BE3B4B">
            <w:pPr>
              <w:pStyle w:val="Tablewriting"/>
              <w:rPr>
                <w:rFonts w:eastAsia="MS Mincho"/>
                <w:vertAlign w:val="superscript"/>
              </w:rPr>
            </w:pPr>
            <w:r>
              <w:rPr>
                <w:rFonts w:eastAsia="MS Mincho"/>
              </w:rPr>
              <w:t>Non-treatment extension safety study of EAGLES (2016)</w:t>
            </w:r>
            <w:r w:rsidR="00B068FE">
              <w:rPr>
                <w:rFonts w:eastAsia="MS Mincho"/>
                <w:vertAlign w:val="superscript"/>
              </w:rPr>
              <w:t>3</w:t>
            </w:r>
          </w:p>
        </w:tc>
        <w:tc>
          <w:tcPr>
            <w:tcW w:w="347" w:type="pct"/>
            <w:tcMar>
              <w:left w:w="28" w:type="dxa"/>
              <w:right w:w="28" w:type="dxa"/>
            </w:tcMar>
          </w:tcPr>
          <w:p w:rsidR="00BE6154" w:rsidRDefault="00BE6154" w:rsidP="00BE3B4B">
            <w:pPr>
              <w:pStyle w:val="Tablewriting"/>
              <w:rPr>
                <w:rFonts w:eastAsia="MS Mincho"/>
              </w:rPr>
            </w:pPr>
            <w:r>
              <w:rPr>
                <w:rFonts w:eastAsia="MS Mincho"/>
              </w:rPr>
              <w:t>N=4,595</w:t>
            </w:r>
          </w:p>
          <w:p w:rsidR="00BE6154" w:rsidRDefault="00BE6154" w:rsidP="00BE3B4B">
            <w:pPr>
              <w:pStyle w:val="Tablewriting"/>
              <w:rPr>
                <w:rFonts w:eastAsia="MS Mincho"/>
              </w:rPr>
            </w:pPr>
            <w:r>
              <w:rPr>
                <w:rFonts w:eastAsia="MS Mincho"/>
              </w:rPr>
              <w:t>Varenicline (n=1,192), Bupropion (n=1,1</w:t>
            </w:r>
            <w:r w:rsidR="00FB0063">
              <w:rPr>
                <w:rFonts w:eastAsia="MS Mincho"/>
              </w:rPr>
              <w:t>66</w:t>
            </w:r>
            <w:r>
              <w:rPr>
                <w:rFonts w:eastAsia="MS Mincho"/>
              </w:rPr>
              <w:t>)</w:t>
            </w:r>
          </w:p>
        </w:tc>
        <w:tc>
          <w:tcPr>
            <w:tcW w:w="1778" w:type="pct"/>
            <w:tcMar>
              <w:left w:w="28" w:type="dxa"/>
              <w:right w:w="28" w:type="dxa"/>
            </w:tcMar>
          </w:tcPr>
          <w:p w:rsidR="00BE6154" w:rsidRDefault="00BE6154" w:rsidP="00BE3B4B">
            <w:pPr>
              <w:pStyle w:val="Tablewriting"/>
              <w:rPr>
                <w:rFonts w:eastAsia="MS Mincho" w:cstheme="minorHAnsi"/>
              </w:rPr>
            </w:pPr>
            <w:r w:rsidRPr="007F28D7">
              <w:rPr>
                <w:rFonts w:eastAsia="MS Mincho"/>
                <w:u w:val="single"/>
              </w:rPr>
              <w:t>Inclusion</w:t>
            </w:r>
            <w:r>
              <w:rPr>
                <w:rFonts w:eastAsia="MS Mincho"/>
              </w:rPr>
              <w:t xml:space="preserve">: </w:t>
            </w:r>
            <w:r w:rsidRPr="000A14FA">
              <w:rPr>
                <w:rFonts w:eastAsia="MS Mincho" w:cstheme="minorHAnsi"/>
              </w:rPr>
              <w:t>18</w:t>
            </w:r>
            <w:r>
              <w:rPr>
                <w:rFonts w:eastAsia="MS Mincho" w:cstheme="minorHAnsi"/>
              </w:rPr>
              <w:t>-</w:t>
            </w:r>
            <w:r w:rsidRPr="000A14FA">
              <w:rPr>
                <w:rFonts w:eastAsia="MS Mincho" w:cstheme="minorHAnsi"/>
              </w:rPr>
              <w:t>75 years</w:t>
            </w:r>
            <w:r>
              <w:rPr>
                <w:rFonts w:eastAsia="MS Mincho" w:cstheme="minorHAnsi"/>
              </w:rPr>
              <w:t xml:space="preserve"> old</w:t>
            </w:r>
            <w:r w:rsidRPr="000A14FA">
              <w:rPr>
                <w:rFonts w:eastAsia="MS Mincho" w:cstheme="minorHAnsi"/>
              </w:rPr>
              <w:t xml:space="preserve">, </w:t>
            </w:r>
            <w:r>
              <w:rPr>
                <w:rFonts w:eastAsia="MS Mincho" w:cstheme="minorHAnsi"/>
              </w:rPr>
              <w:t>≥</w:t>
            </w:r>
            <w:r w:rsidRPr="000A14FA">
              <w:rPr>
                <w:rFonts w:eastAsia="MS Mincho" w:cstheme="minorHAnsi"/>
              </w:rPr>
              <w:t>10</w:t>
            </w:r>
            <w:r>
              <w:rPr>
                <w:rFonts w:eastAsia="MS Mincho" w:cstheme="minorHAnsi"/>
              </w:rPr>
              <w:t xml:space="preserve"> </w:t>
            </w:r>
            <w:r w:rsidRPr="000A14FA">
              <w:rPr>
                <w:rFonts w:eastAsia="MS Mincho" w:cstheme="minorHAnsi"/>
              </w:rPr>
              <w:t>cigarettes per day, interested in quitting smoking, had been randomi</w:t>
            </w:r>
            <w:r>
              <w:rPr>
                <w:rFonts w:eastAsia="MS Mincho" w:cstheme="minorHAnsi"/>
              </w:rPr>
              <w:t>s</w:t>
            </w:r>
            <w:r w:rsidRPr="000A14FA">
              <w:rPr>
                <w:rFonts w:eastAsia="MS Mincho" w:cstheme="minorHAnsi"/>
              </w:rPr>
              <w:t>ed to treatment in</w:t>
            </w:r>
            <w:r>
              <w:rPr>
                <w:rFonts w:eastAsia="MS Mincho" w:cstheme="minorHAnsi"/>
              </w:rPr>
              <w:t xml:space="preserve"> </w:t>
            </w:r>
            <w:r w:rsidRPr="000A14FA">
              <w:rPr>
                <w:rFonts w:eastAsia="MS Mincho" w:cstheme="minorHAnsi"/>
              </w:rPr>
              <w:t>and had completed the week 24 visit of</w:t>
            </w:r>
            <w:r>
              <w:rPr>
                <w:rFonts w:eastAsia="MS Mincho" w:cstheme="minorHAnsi"/>
              </w:rPr>
              <w:t xml:space="preserve"> </w:t>
            </w:r>
            <w:r w:rsidRPr="000A14FA">
              <w:rPr>
                <w:rFonts w:eastAsia="MS Mincho" w:cstheme="minorHAnsi"/>
              </w:rPr>
              <w:t>EAGLES</w:t>
            </w:r>
            <w:r w:rsidR="00AB5FA3">
              <w:rPr>
                <w:rFonts w:eastAsia="MS Mincho" w:cstheme="minorHAnsi"/>
              </w:rPr>
              <w:t>.</w:t>
            </w:r>
          </w:p>
          <w:p w:rsidR="00BE6154" w:rsidRPr="002C19B4" w:rsidRDefault="00BE6154" w:rsidP="00BE3B4B">
            <w:pPr>
              <w:pStyle w:val="Tablewriting"/>
              <w:rPr>
                <w:rFonts w:eastAsia="MS Mincho"/>
                <w:u w:val="single"/>
              </w:rPr>
            </w:pPr>
            <w:r w:rsidRPr="007F28D7">
              <w:rPr>
                <w:rFonts w:eastAsia="MS Mincho"/>
                <w:u w:val="single"/>
              </w:rPr>
              <w:t>Exclusion</w:t>
            </w:r>
            <w:r>
              <w:rPr>
                <w:rFonts w:eastAsia="MS Mincho"/>
              </w:rPr>
              <w:t xml:space="preserve">: </w:t>
            </w:r>
            <w:r w:rsidRPr="00661FFC">
              <w:rPr>
                <w:rFonts w:eastAsia="MS Mincho"/>
              </w:rPr>
              <w:t>unstable psychiatric illness, active substance abuse, clinically significant CVD in the 2 months prior to study entry, clinically significant cerebrovascular disease in the 2 months prior to study entry, or inadequate control of hypertens</w:t>
            </w:r>
            <w:r>
              <w:rPr>
                <w:rFonts w:eastAsia="MS Mincho"/>
              </w:rPr>
              <w:t>ion</w:t>
            </w:r>
            <w:r w:rsidRPr="00661FFC">
              <w:rPr>
                <w:rFonts w:eastAsia="MS Mincho"/>
              </w:rPr>
              <w:t>.</w:t>
            </w:r>
          </w:p>
        </w:tc>
        <w:tc>
          <w:tcPr>
            <w:tcW w:w="1015" w:type="pct"/>
          </w:tcPr>
          <w:p w:rsidR="00BE6154" w:rsidRPr="00792D51" w:rsidRDefault="00BE6154" w:rsidP="00BE3B4B">
            <w:pPr>
              <w:pStyle w:val="Tablewriting"/>
              <w:rPr>
                <w:rFonts w:eastAsia="MS Mincho"/>
              </w:rPr>
            </w:pPr>
            <w:r>
              <w:rPr>
                <w:rFonts w:eastAsia="MS Mincho"/>
              </w:rPr>
              <w:t>No treatment was provided during this study. Prior varenicline and bupropion treatments were administered in EAGLES (2016).</w:t>
            </w:r>
          </w:p>
        </w:tc>
        <w:tc>
          <w:tcPr>
            <w:tcW w:w="1140" w:type="pct"/>
            <w:tcMar>
              <w:left w:w="28" w:type="dxa"/>
              <w:right w:w="28" w:type="dxa"/>
            </w:tcMar>
          </w:tcPr>
          <w:p w:rsidR="00BE6154" w:rsidRDefault="00BE6154" w:rsidP="00BE3B4B">
            <w:pPr>
              <w:pStyle w:val="Tablewriting"/>
              <w:rPr>
                <w:rFonts w:eastAsia="MS Mincho"/>
              </w:rPr>
            </w:pPr>
            <w:r w:rsidRPr="008C39E4">
              <w:rPr>
                <w:rFonts w:eastAsia="MS Mincho"/>
                <w:u w:val="single"/>
              </w:rPr>
              <w:t>Primary</w:t>
            </w:r>
            <w:r>
              <w:rPr>
                <w:rFonts w:eastAsia="MS Mincho"/>
              </w:rPr>
              <w:t>: Time to major adverse cardiovascular event</w:t>
            </w:r>
            <w:r w:rsidR="00004245">
              <w:rPr>
                <w:rFonts w:eastAsia="MS Mincho"/>
              </w:rPr>
              <w:t>.</w:t>
            </w:r>
          </w:p>
          <w:p w:rsidR="00BE6154" w:rsidRPr="0036499C" w:rsidRDefault="00BE6154" w:rsidP="00BE3B4B">
            <w:pPr>
              <w:pStyle w:val="Tablewriting"/>
              <w:rPr>
                <w:rFonts w:eastAsia="MS Mincho"/>
                <w:u w:val="single"/>
              </w:rPr>
            </w:pPr>
            <w:r w:rsidRPr="008C39E4">
              <w:rPr>
                <w:rFonts w:eastAsia="MS Mincho"/>
                <w:u w:val="single"/>
              </w:rPr>
              <w:t>Secondary</w:t>
            </w:r>
            <w:r>
              <w:rPr>
                <w:rFonts w:eastAsia="MS Mincho"/>
              </w:rPr>
              <w:t>: Occurrence of major adverse cardiovascular event</w:t>
            </w:r>
            <w:r w:rsidR="00004245">
              <w:rPr>
                <w:rFonts w:eastAsia="MS Mincho"/>
              </w:rPr>
              <w:t>.</w:t>
            </w:r>
          </w:p>
        </w:tc>
      </w:tr>
    </w:tbl>
    <w:p w:rsidR="00FB19DE" w:rsidRDefault="00F84183" w:rsidP="00F84183">
      <w:pPr>
        <w:pStyle w:val="TableFooter"/>
        <w:keepNext/>
      </w:pPr>
      <w:r>
        <w:t xml:space="preserve">Abbreviations: </w:t>
      </w:r>
      <w:r w:rsidR="00FB19DE">
        <w:t xml:space="preserve">CAR = continuous abstinence rate; CO = carbon monoxide; mCEQ = </w:t>
      </w:r>
      <w:r w:rsidR="00FB19DE" w:rsidRPr="00037461">
        <w:t>modified Cigarette Evaluation Questionnaire</w:t>
      </w:r>
      <w:r w:rsidR="00FB19DE">
        <w:t xml:space="preserve">; MNWS = </w:t>
      </w:r>
      <w:r w:rsidR="00FB19DE" w:rsidRPr="008E0A8D">
        <w:t>Minnesota Tobacco Withdrawal Scale</w:t>
      </w:r>
      <w:r w:rsidR="00FB19DE">
        <w:t xml:space="preserve">; NRT = nicotine replacement therapy; PPA = point prevalence abstinence; QSU = </w:t>
      </w:r>
      <w:r w:rsidR="00FB19DE" w:rsidRPr="00FB19DE">
        <w:t>Questionnaire of Smoking Urges</w:t>
      </w:r>
      <w:r w:rsidR="00FB19DE">
        <w:t>; RCT = randomised controlled trial</w:t>
      </w:r>
      <w:r w:rsidR="00FB19DE" w:rsidRPr="00061F78">
        <w:t xml:space="preserve"> </w:t>
      </w:r>
    </w:p>
    <w:p w:rsidR="00F84183" w:rsidRDefault="00F84183" w:rsidP="00F84183">
      <w:pPr>
        <w:pStyle w:val="TableFooter"/>
        <w:keepNext/>
      </w:pPr>
      <w:r w:rsidRPr="00061F78">
        <w:rPr>
          <w:highlight w:val="lightGray"/>
        </w:rPr>
        <w:t>Shaded</w:t>
      </w:r>
      <w:r w:rsidRPr="00061F78">
        <w:t xml:space="preserve"> = previously considered by the PBAC</w:t>
      </w:r>
    </w:p>
    <w:p w:rsidR="00F84183" w:rsidRDefault="00F84183" w:rsidP="00F84183">
      <w:pPr>
        <w:pStyle w:val="TableFooter"/>
        <w:keepNext/>
      </w:pPr>
      <w:r>
        <w:t>1 Only the number of patients (n) in the relevant arms were included</w:t>
      </w:r>
      <w:r w:rsidR="00AB5FA3">
        <w:t>.</w:t>
      </w:r>
      <w:r>
        <w:t xml:space="preserve"> </w:t>
      </w:r>
    </w:p>
    <w:p w:rsidR="00B068FE" w:rsidRDefault="00F84183" w:rsidP="00F84183">
      <w:pPr>
        <w:pStyle w:val="TableFooter"/>
        <w:keepNext/>
      </w:pPr>
      <w:r>
        <w:t xml:space="preserve">2 </w:t>
      </w:r>
      <w:r w:rsidRPr="001507A4">
        <w:t xml:space="preserve">A total of </w:t>
      </w:r>
      <w:r>
        <w:t>10</w:t>
      </w:r>
      <w:r w:rsidRPr="001507A4">
        <w:t xml:space="preserve"> RCTs comparing varenicline with </w:t>
      </w:r>
      <w:r>
        <w:t>bupropion</w:t>
      </w:r>
      <w:r w:rsidRPr="001507A4">
        <w:t xml:space="preserve"> were identified. Of the </w:t>
      </w:r>
      <w:r>
        <w:t>10</w:t>
      </w:r>
      <w:r w:rsidRPr="001507A4">
        <w:t xml:space="preserve"> RCTs, </w:t>
      </w:r>
      <w:r>
        <w:t>6</w:t>
      </w:r>
      <w:r w:rsidRPr="001507A4">
        <w:t xml:space="preserve"> RCTs were included in the primary efficacy analysis.</w:t>
      </w:r>
      <w:r>
        <w:t xml:space="preserve"> The characteristics of the individual studies comparing varenicline with bupropion included in Howes et al. (2020) are presented in </w:t>
      </w:r>
      <w:r w:rsidRPr="00B62C26">
        <w:t>Appendix</w:t>
      </w:r>
      <w:r>
        <w:t xml:space="preserve"> </w:t>
      </w:r>
      <w:r w:rsidR="003C4A1C">
        <w:t xml:space="preserve">Table </w:t>
      </w:r>
      <w:r w:rsidR="003C4A1C">
        <w:rPr>
          <w:noProof/>
        </w:rPr>
        <w:t>147</w:t>
      </w:r>
      <w:r>
        <w:t>. Three studies previously considered by the PBAC (</w:t>
      </w:r>
      <w:r w:rsidRPr="00597A83">
        <w:t>Gonzales et al. 2006, Jorenby et al. 2006</w:t>
      </w:r>
      <w:r>
        <w:t xml:space="preserve"> </w:t>
      </w:r>
      <w:r w:rsidRPr="00597A83">
        <w:t>and Anthenelli et al. 2016</w:t>
      </w:r>
      <w:r>
        <w:t>) were included in the primary efficacy analysis of Howes et al. (2020).</w:t>
      </w:r>
    </w:p>
    <w:p w:rsidR="00F84183" w:rsidRPr="00061F78" w:rsidRDefault="00B068FE" w:rsidP="00F84183">
      <w:pPr>
        <w:pStyle w:val="TableFooter"/>
        <w:keepNext/>
      </w:pPr>
      <w:r>
        <w:t xml:space="preserve">3 </w:t>
      </w:r>
      <w:r w:rsidRPr="00B068FE">
        <w:t>Benowitz et al. (2018) was a non-treatment extension of EAGLES (Anthenelli et al. 2016) with a considerable amount of missing data due to lost to follow-up, extension study nonenrollees, no longer willing to participate and death.</w:t>
      </w:r>
      <w:r w:rsidR="00F84183">
        <w:t xml:space="preserve"> </w:t>
      </w:r>
    </w:p>
    <w:p w:rsidR="00B0603F" w:rsidRDefault="00B0603F" w:rsidP="00C83EDA">
      <w:pPr>
        <w:rPr>
          <w:b/>
          <w:bCs/>
        </w:rPr>
      </w:pPr>
    </w:p>
    <w:p w:rsidR="00B0603F" w:rsidRDefault="00B0603F" w:rsidP="00C83EDA">
      <w:pPr>
        <w:rPr>
          <w:b/>
          <w:bCs/>
        </w:rPr>
      </w:pPr>
    </w:p>
    <w:p w:rsidR="00B0603F" w:rsidRDefault="00B0603F" w:rsidP="00C83EDA">
      <w:pPr>
        <w:rPr>
          <w:b/>
          <w:bCs/>
        </w:rPr>
        <w:sectPr w:rsidR="00B0603F" w:rsidSect="00B0603F">
          <w:pgSz w:w="16838" w:h="11906" w:orient="landscape"/>
          <w:pgMar w:top="1440" w:right="1440" w:bottom="1440" w:left="1440" w:header="708" w:footer="708" w:gutter="0"/>
          <w:cols w:space="708"/>
          <w:titlePg/>
          <w:docGrid w:linePitch="360"/>
        </w:sectPr>
      </w:pPr>
    </w:p>
    <w:p w:rsidR="00B567C0" w:rsidRPr="0073597F" w:rsidRDefault="00B567C0" w:rsidP="00B567C0">
      <w:pPr>
        <w:rPr>
          <w:u w:val="single"/>
        </w:rPr>
      </w:pPr>
      <w:r w:rsidRPr="0073597F">
        <w:rPr>
          <w:u w:val="single"/>
        </w:rPr>
        <w:lastRenderedPageBreak/>
        <w:t>Efficacy</w:t>
      </w:r>
    </w:p>
    <w:p w:rsidR="00773BA8" w:rsidRDefault="00B567C0" w:rsidP="00B567C0">
      <w:r w:rsidRPr="00264887">
        <w:t>A summary of the smoking cessation rates</w:t>
      </w:r>
      <w:r w:rsidRPr="00264887" w:rsidDel="005773D3">
        <w:t xml:space="preserve"> </w:t>
      </w:r>
      <w:r w:rsidR="005773D3">
        <w:t>for</w:t>
      </w:r>
      <w:r w:rsidRPr="00264887">
        <w:t xml:space="preserve"> at least six months follow-up </w:t>
      </w:r>
      <w:r w:rsidR="00A51A9C">
        <w:t xml:space="preserve">comparing varenicline with bupropion </w:t>
      </w:r>
      <w:r w:rsidRPr="00264887">
        <w:t xml:space="preserve">is presented in </w:t>
      </w:r>
      <w:r w:rsidR="003C4A1C">
        <w:t xml:space="preserve">Table </w:t>
      </w:r>
      <w:r w:rsidR="003C4A1C">
        <w:rPr>
          <w:noProof/>
        </w:rPr>
        <w:t>19</w:t>
      </w:r>
      <w:r w:rsidRPr="00264887">
        <w:t xml:space="preserve">. The results of </w:t>
      </w:r>
      <w:r w:rsidR="00AC0D8B">
        <w:t>Jorenby et al. (2006) and EAGLES (2016)</w:t>
      </w:r>
      <w:r w:rsidRPr="00264887">
        <w:t xml:space="preserve"> demonstrated a statistically significant difference in continuous abstinence rate, in favour of varenicline. </w:t>
      </w:r>
      <w:r w:rsidR="00773BA8">
        <w:t>However, there was no statistically significant difference</w:t>
      </w:r>
      <w:r w:rsidR="000C6D50">
        <w:t xml:space="preserve"> between the two treatment arms </w:t>
      </w:r>
      <w:r w:rsidR="00903744">
        <w:t>in Gonzales et al. (2006)</w:t>
      </w:r>
      <w:r w:rsidR="008C048C">
        <w:t>, although the results numerically favoured varenicline</w:t>
      </w:r>
      <w:r w:rsidR="00903744">
        <w:t>.</w:t>
      </w:r>
      <w:r w:rsidR="0048757A">
        <w:t xml:space="preserve"> In </w:t>
      </w:r>
      <w:r w:rsidR="00672F10">
        <w:t>July 2007</w:t>
      </w:r>
      <w:r w:rsidR="001A10DB">
        <w:t xml:space="preserve"> and </w:t>
      </w:r>
      <w:r w:rsidR="0048757A">
        <w:t xml:space="preserve">November 2016, </w:t>
      </w:r>
      <w:r w:rsidR="0048757A" w:rsidRPr="0048757A">
        <w:t>the PBAC considered that varenicline was superior to bupropion (</w:t>
      </w:r>
      <w:r w:rsidR="0048757A" w:rsidRPr="00730536">
        <w:t xml:space="preserve">Varenicline PSD, </w:t>
      </w:r>
      <w:r w:rsidR="00297F35">
        <w:t xml:space="preserve">July 2007 and </w:t>
      </w:r>
      <w:r w:rsidR="0048757A" w:rsidRPr="00730536">
        <w:t>November 2016 PBAC meeting</w:t>
      </w:r>
      <w:r w:rsidR="00297F35">
        <w:t>s</w:t>
      </w:r>
      <w:r w:rsidR="0048757A" w:rsidRPr="0048757A">
        <w:t>).</w:t>
      </w:r>
      <w:r w:rsidR="00085F58">
        <w:t xml:space="preserve"> The meta-analysis </w:t>
      </w:r>
      <w:r w:rsidR="009D5A44">
        <w:t>comprising Gonzales et al. (2006) and Jorenby et al. (2006)</w:t>
      </w:r>
      <w:r w:rsidR="00085F58">
        <w:t xml:space="preserve"> </w:t>
      </w:r>
      <w:r w:rsidR="003C2C1F" w:rsidRPr="003C2C1F">
        <w:t xml:space="preserve">presented in the July 2007 </w:t>
      </w:r>
      <w:r w:rsidR="00875A40">
        <w:t>submission</w:t>
      </w:r>
      <w:r w:rsidR="003C2C1F" w:rsidRPr="003C2C1F">
        <w:t xml:space="preserve"> </w:t>
      </w:r>
      <w:r w:rsidR="002E45D9">
        <w:t xml:space="preserve">demonstrated a statistically significant difference in </w:t>
      </w:r>
      <w:r w:rsidR="00045CD8">
        <w:t>continuous abstinence rate from Weeks 9 to 52, in favour of varenicline (RR: 1.43; 95% CI: 1.14, 1.79).</w:t>
      </w:r>
      <w:r w:rsidR="00085F58">
        <w:t xml:space="preserve"> </w:t>
      </w:r>
    </w:p>
    <w:p w:rsidR="0038011C" w:rsidRPr="00264887" w:rsidRDefault="00652507" w:rsidP="00B567C0">
      <w:r w:rsidRPr="00652507">
        <w:t xml:space="preserve">Based on the Cochrane </w:t>
      </w:r>
      <w:r w:rsidR="00B70C7D">
        <w:t>R</w:t>
      </w:r>
      <w:r w:rsidRPr="00652507">
        <w:t>eview by Howes et al. (2020),</w:t>
      </w:r>
      <w:r w:rsidR="00B567C0" w:rsidRPr="00264887">
        <w:t xml:space="preserve"> the results of the meta-analysis comprising </w:t>
      </w:r>
      <w:r>
        <w:t>six</w:t>
      </w:r>
      <w:r w:rsidR="00B567C0" w:rsidRPr="00264887">
        <w:t xml:space="preserve"> RCTs demonstrated a </w:t>
      </w:r>
      <w:r w:rsidRPr="00652507">
        <w:t xml:space="preserve">statistically significant difference in </w:t>
      </w:r>
      <w:r w:rsidR="000569B3">
        <w:t xml:space="preserve">long-term </w:t>
      </w:r>
      <w:r w:rsidRPr="00652507">
        <w:t>smoking cessation rates, in favour</w:t>
      </w:r>
      <w:r w:rsidR="00B567C0" w:rsidRPr="00264887">
        <w:t xml:space="preserve"> of varenicline</w:t>
      </w:r>
      <w:r w:rsidRPr="00652507">
        <w:t>.</w:t>
      </w:r>
    </w:p>
    <w:p w:rsidR="002F05DB" w:rsidRDefault="002F05DB" w:rsidP="002F05DB">
      <w:pPr>
        <w:pStyle w:val="Caption"/>
        <w:keepNext/>
      </w:pPr>
      <w:bookmarkStart w:id="84" w:name="_Ref54100872"/>
      <w:r>
        <w:t xml:space="preserve">Table </w:t>
      </w:r>
      <w:r w:rsidR="003C4A1C">
        <w:rPr>
          <w:noProof/>
        </w:rPr>
        <w:t>19</w:t>
      </w:r>
      <w:bookmarkEnd w:id="84"/>
      <w:r>
        <w:t xml:space="preserve">: </w:t>
      </w:r>
      <w:r w:rsidRPr="00D42576">
        <w:t>Results of smoking cessation f</w:t>
      </w:r>
      <w:r w:rsidR="00B930E5">
        <w:t>or</w:t>
      </w:r>
      <w:r w:rsidRPr="00D42576">
        <w:t xml:space="preserve"> at least six months follow-up, varenicline versus </w:t>
      </w:r>
      <w:r>
        <w:t>bupropion</w:t>
      </w:r>
    </w:p>
    <w:tbl>
      <w:tblPr>
        <w:tblStyle w:val="TableGrid"/>
        <w:tblW w:w="5000" w:type="pct"/>
        <w:tblLook w:val="04A0" w:firstRow="1" w:lastRow="0" w:firstColumn="1" w:lastColumn="0" w:noHBand="0" w:noVBand="1"/>
        <w:tblCaption w:val="Efficacy results of adalimumab trials (PASI 75 and DLQI)"/>
      </w:tblPr>
      <w:tblGrid>
        <w:gridCol w:w="1299"/>
        <w:gridCol w:w="1659"/>
        <w:gridCol w:w="1533"/>
        <w:gridCol w:w="1535"/>
        <w:gridCol w:w="1535"/>
        <w:gridCol w:w="1455"/>
      </w:tblGrid>
      <w:tr w:rsidR="00264887" w:rsidRPr="00061F78" w:rsidTr="003F4EED">
        <w:trPr>
          <w:cantSplit/>
          <w:trHeight w:val="299"/>
          <w:tblHeader/>
        </w:trPr>
        <w:tc>
          <w:tcPr>
            <w:tcW w:w="721" w:type="pct"/>
            <w:shd w:val="clear" w:color="auto" w:fill="BFBFBF" w:themeFill="background1" w:themeFillShade="BF"/>
            <w:tcMar>
              <w:left w:w="28" w:type="dxa"/>
              <w:right w:w="28" w:type="dxa"/>
            </w:tcMar>
          </w:tcPr>
          <w:p w:rsidR="00264887" w:rsidRPr="00061F78" w:rsidRDefault="00126B7B" w:rsidP="003F4EED">
            <w:pPr>
              <w:pStyle w:val="Tableheading"/>
              <w:keepNext/>
              <w:rPr>
                <w:rFonts w:eastAsia="MS Mincho"/>
              </w:rPr>
            </w:pPr>
            <w:bookmarkStart w:id="85" w:name="_Hlk54100121"/>
            <w:r>
              <w:rPr>
                <w:rFonts w:eastAsia="MS Mincho"/>
              </w:rPr>
              <w:t>Study</w:t>
            </w:r>
          </w:p>
        </w:tc>
        <w:tc>
          <w:tcPr>
            <w:tcW w:w="920" w:type="pct"/>
            <w:shd w:val="clear" w:color="auto" w:fill="BFBFBF" w:themeFill="background1" w:themeFillShade="BF"/>
            <w:vAlign w:val="center"/>
          </w:tcPr>
          <w:p w:rsidR="00264887" w:rsidRDefault="00264887" w:rsidP="003F4EED">
            <w:pPr>
              <w:pStyle w:val="Tableheading"/>
              <w:keepNext/>
              <w:jc w:val="center"/>
              <w:rPr>
                <w:rFonts w:eastAsia="MS Mincho"/>
              </w:rPr>
            </w:pPr>
            <w:r>
              <w:rPr>
                <w:rFonts w:eastAsia="MS Mincho"/>
              </w:rPr>
              <w:t>Study type</w:t>
            </w:r>
          </w:p>
        </w:tc>
        <w:tc>
          <w:tcPr>
            <w:tcW w:w="850" w:type="pct"/>
            <w:shd w:val="clear" w:color="auto" w:fill="BFBFBF" w:themeFill="background1" w:themeFillShade="BF"/>
            <w:tcMar>
              <w:left w:w="28" w:type="dxa"/>
              <w:right w:w="28" w:type="dxa"/>
            </w:tcMar>
            <w:vAlign w:val="center"/>
          </w:tcPr>
          <w:p w:rsidR="00264887" w:rsidRPr="00061F78" w:rsidRDefault="00264887" w:rsidP="003F4EED">
            <w:pPr>
              <w:pStyle w:val="Tableheading"/>
              <w:keepNext/>
              <w:jc w:val="center"/>
              <w:rPr>
                <w:rFonts w:eastAsia="MS Mincho"/>
              </w:rPr>
            </w:pPr>
            <w:r>
              <w:rPr>
                <w:rFonts w:eastAsia="MS Mincho"/>
              </w:rPr>
              <w:t>Varenicline</w:t>
            </w:r>
          </w:p>
        </w:tc>
        <w:tc>
          <w:tcPr>
            <w:tcW w:w="851" w:type="pct"/>
            <w:shd w:val="clear" w:color="auto" w:fill="BFBFBF" w:themeFill="background1" w:themeFillShade="BF"/>
            <w:tcMar>
              <w:left w:w="28" w:type="dxa"/>
              <w:right w:w="28" w:type="dxa"/>
            </w:tcMar>
            <w:vAlign w:val="center"/>
          </w:tcPr>
          <w:p w:rsidR="00264887" w:rsidRPr="00061F78" w:rsidRDefault="0038011C" w:rsidP="003F4EED">
            <w:pPr>
              <w:pStyle w:val="Tableheading"/>
              <w:keepNext/>
              <w:jc w:val="center"/>
              <w:rPr>
                <w:rFonts w:eastAsia="MS Mincho"/>
              </w:rPr>
            </w:pPr>
            <w:r>
              <w:rPr>
                <w:rFonts w:eastAsia="MS Mincho"/>
              </w:rPr>
              <w:t>Bupropion</w:t>
            </w:r>
          </w:p>
        </w:tc>
        <w:tc>
          <w:tcPr>
            <w:tcW w:w="851" w:type="pct"/>
            <w:shd w:val="clear" w:color="auto" w:fill="BFBFBF" w:themeFill="background1" w:themeFillShade="BF"/>
            <w:tcMar>
              <w:left w:w="28" w:type="dxa"/>
              <w:right w:w="28" w:type="dxa"/>
            </w:tcMar>
            <w:vAlign w:val="center"/>
          </w:tcPr>
          <w:p w:rsidR="00264887" w:rsidRPr="00D468CF" w:rsidRDefault="00264887" w:rsidP="003F4EED">
            <w:pPr>
              <w:pStyle w:val="Tableheading"/>
              <w:keepNext/>
              <w:jc w:val="center"/>
              <w:rPr>
                <w:rFonts w:eastAsia="MS Mincho"/>
                <w:vertAlign w:val="superscript"/>
              </w:rPr>
            </w:pPr>
            <w:r>
              <w:rPr>
                <w:rFonts w:eastAsia="MS Mincho"/>
              </w:rPr>
              <w:t>RR (95% CI)</w:t>
            </w:r>
          </w:p>
        </w:tc>
        <w:tc>
          <w:tcPr>
            <w:tcW w:w="807" w:type="pct"/>
            <w:shd w:val="clear" w:color="auto" w:fill="BFBFBF" w:themeFill="background1" w:themeFillShade="BF"/>
            <w:vAlign w:val="center"/>
          </w:tcPr>
          <w:p w:rsidR="00264887" w:rsidRDefault="00264887" w:rsidP="003F4EED">
            <w:pPr>
              <w:pStyle w:val="Tableheading"/>
              <w:keepNext/>
              <w:jc w:val="center"/>
              <w:rPr>
                <w:rFonts w:eastAsia="MS Mincho"/>
              </w:rPr>
            </w:pPr>
            <w:r>
              <w:rPr>
                <w:rFonts w:eastAsia="MS Mincho"/>
              </w:rPr>
              <w:t>RD (95% CI)</w:t>
            </w:r>
          </w:p>
        </w:tc>
      </w:tr>
      <w:tr w:rsidR="00264887" w:rsidRPr="00061F78" w:rsidTr="005346E0">
        <w:trPr>
          <w:cantSplit/>
          <w:trHeight w:val="99"/>
        </w:trPr>
        <w:tc>
          <w:tcPr>
            <w:tcW w:w="721" w:type="pct"/>
            <w:shd w:val="clear" w:color="auto" w:fill="D9D9D9" w:themeFill="background1" w:themeFillShade="D9"/>
            <w:tcMar>
              <w:left w:w="28" w:type="dxa"/>
              <w:right w:w="28" w:type="dxa"/>
            </w:tcMar>
          </w:tcPr>
          <w:p w:rsidR="00264887" w:rsidRDefault="00264887" w:rsidP="003F4EED">
            <w:pPr>
              <w:pStyle w:val="Tablewriting"/>
              <w:keepNext/>
              <w:rPr>
                <w:rFonts w:eastAsia="MS Mincho"/>
              </w:rPr>
            </w:pPr>
            <w:r>
              <w:rPr>
                <w:rFonts w:eastAsia="MS Mincho"/>
              </w:rPr>
              <w:t>Gonzales (2006)</w:t>
            </w:r>
            <w:r>
              <w:rPr>
                <w:rFonts w:eastAsia="MS Mincho"/>
                <w:vertAlign w:val="superscript"/>
              </w:rPr>
              <w:t>1</w:t>
            </w:r>
            <w:r>
              <w:rPr>
                <w:rFonts w:eastAsia="MS Mincho"/>
              </w:rPr>
              <w:t xml:space="preserve"> </w:t>
            </w:r>
          </w:p>
        </w:tc>
        <w:tc>
          <w:tcPr>
            <w:tcW w:w="920" w:type="pct"/>
            <w:shd w:val="clear" w:color="auto" w:fill="D9D9D9" w:themeFill="background1" w:themeFillShade="D9"/>
            <w:vAlign w:val="center"/>
          </w:tcPr>
          <w:p w:rsidR="00264887" w:rsidRDefault="00264887" w:rsidP="003F4EED">
            <w:pPr>
              <w:pStyle w:val="Tablewriting"/>
              <w:keepNext/>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rsidR="00264887" w:rsidRDefault="00264887" w:rsidP="003F4EED">
            <w:pPr>
              <w:pStyle w:val="Tablewriting"/>
              <w:keepNext/>
              <w:jc w:val="center"/>
              <w:rPr>
                <w:rFonts w:eastAsia="MS Mincho"/>
              </w:rPr>
            </w:pPr>
            <w:r>
              <w:rPr>
                <w:rFonts w:eastAsia="MS Mincho"/>
              </w:rPr>
              <w:t>77/352</w:t>
            </w:r>
          </w:p>
          <w:p w:rsidR="00264887" w:rsidRDefault="00264887" w:rsidP="003F4EED">
            <w:pPr>
              <w:pStyle w:val="Tablewriting"/>
              <w:keepNext/>
              <w:jc w:val="center"/>
              <w:rPr>
                <w:rFonts w:eastAsia="MS Mincho"/>
              </w:rPr>
            </w:pPr>
            <w:r>
              <w:rPr>
                <w:rFonts w:eastAsia="MS Mincho"/>
              </w:rPr>
              <w:t>(21.9%)</w:t>
            </w:r>
          </w:p>
        </w:tc>
        <w:tc>
          <w:tcPr>
            <w:tcW w:w="851" w:type="pct"/>
            <w:shd w:val="clear" w:color="auto" w:fill="D9D9D9" w:themeFill="background1" w:themeFillShade="D9"/>
            <w:tcMar>
              <w:left w:w="28" w:type="dxa"/>
              <w:right w:w="28" w:type="dxa"/>
            </w:tcMar>
            <w:vAlign w:val="center"/>
          </w:tcPr>
          <w:p w:rsidR="00264887" w:rsidRPr="0027405A" w:rsidRDefault="00F70CA7" w:rsidP="003F4EED">
            <w:pPr>
              <w:pStyle w:val="Tablewriting"/>
              <w:keepNext/>
              <w:jc w:val="center"/>
              <w:rPr>
                <w:rFonts w:eastAsia="MS Mincho"/>
                <w:vertAlign w:val="superscript"/>
              </w:rPr>
            </w:pPr>
            <w:r>
              <w:rPr>
                <w:rFonts w:eastAsia="MS Mincho"/>
              </w:rPr>
              <w:t>53</w:t>
            </w:r>
            <w:r w:rsidR="00264887">
              <w:rPr>
                <w:rFonts w:eastAsia="MS Mincho"/>
              </w:rPr>
              <w:t>/3</w:t>
            </w:r>
            <w:r>
              <w:rPr>
                <w:rFonts w:eastAsia="MS Mincho"/>
              </w:rPr>
              <w:t>29</w:t>
            </w:r>
            <w:r w:rsidR="0027405A">
              <w:rPr>
                <w:rFonts w:eastAsia="MS Mincho"/>
                <w:vertAlign w:val="superscript"/>
              </w:rPr>
              <w:t>5</w:t>
            </w:r>
          </w:p>
          <w:p w:rsidR="00264887" w:rsidRDefault="00264887" w:rsidP="003F4EED">
            <w:pPr>
              <w:pStyle w:val="Tablewriting"/>
              <w:keepNext/>
              <w:jc w:val="center"/>
              <w:rPr>
                <w:rFonts w:eastAsia="MS Mincho"/>
              </w:rPr>
            </w:pPr>
            <w:r>
              <w:rPr>
                <w:rFonts w:eastAsia="MS Mincho"/>
              </w:rPr>
              <w:t>(</w:t>
            </w:r>
            <w:r w:rsidR="00D467F6">
              <w:rPr>
                <w:rFonts w:eastAsia="MS Mincho"/>
              </w:rPr>
              <w:t>16.1</w:t>
            </w:r>
            <w:r>
              <w:rPr>
                <w:rFonts w:eastAsia="MS Mincho"/>
              </w:rPr>
              <w:t>%)</w:t>
            </w:r>
          </w:p>
        </w:tc>
        <w:tc>
          <w:tcPr>
            <w:tcW w:w="851" w:type="pct"/>
            <w:shd w:val="clear" w:color="auto" w:fill="D9D9D9" w:themeFill="background1" w:themeFillShade="D9"/>
            <w:tcMar>
              <w:left w:w="28" w:type="dxa"/>
              <w:right w:w="28" w:type="dxa"/>
            </w:tcMar>
            <w:vAlign w:val="center"/>
          </w:tcPr>
          <w:p w:rsidR="00264887" w:rsidRDefault="0057416C" w:rsidP="003F4EED">
            <w:pPr>
              <w:pStyle w:val="Tablewriting"/>
              <w:keepNext/>
              <w:jc w:val="center"/>
              <w:rPr>
                <w:rFonts w:eastAsia="MS Mincho"/>
              </w:rPr>
            </w:pPr>
            <w:r>
              <w:rPr>
                <w:rFonts w:eastAsia="MS Mincho"/>
              </w:rPr>
              <w:t>1.36</w:t>
            </w:r>
          </w:p>
          <w:p w:rsidR="00264887" w:rsidRPr="005F415A" w:rsidRDefault="0057416C" w:rsidP="003F4EED">
            <w:pPr>
              <w:pStyle w:val="Tablewriting"/>
              <w:keepNext/>
              <w:jc w:val="center"/>
              <w:rPr>
                <w:rFonts w:eastAsia="MS Mincho"/>
              </w:rPr>
            </w:pPr>
            <w:r>
              <w:rPr>
                <w:rFonts w:eastAsia="MS Mincho"/>
              </w:rPr>
              <w:t>(0.99, 1.86)</w:t>
            </w:r>
          </w:p>
        </w:tc>
        <w:tc>
          <w:tcPr>
            <w:tcW w:w="807" w:type="pct"/>
            <w:shd w:val="clear" w:color="auto" w:fill="D9D9D9" w:themeFill="background1" w:themeFillShade="D9"/>
            <w:vAlign w:val="center"/>
          </w:tcPr>
          <w:p w:rsidR="00932D7A" w:rsidRDefault="00932D7A" w:rsidP="00932D7A">
            <w:pPr>
              <w:pStyle w:val="Tablewriting"/>
              <w:keepNext/>
              <w:jc w:val="center"/>
              <w:rPr>
                <w:rFonts w:eastAsia="MS Mincho"/>
              </w:rPr>
            </w:pPr>
            <w:r>
              <w:rPr>
                <w:rFonts w:eastAsia="MS Mincho"/>
              </w:rPr>
              <w:t>0.0</w:t>
            </w:r>
            <w:r w:rsidR="00B70C7D">
              <w:rPr>
                <w:rFonts w:eastAsia="MS Mincho"/>
              </w:rPr>
              <w:t>6</w:t>
            </w:r>
          </w:p>
          <w:p w:rsidR="00264887" w:rsidRPr="00061F78" w:rsidRDefault="00B70C7D" w:rsidP="003F4EED">
            <w:pPr>
              <w:pStyle w:val="Tablewriting"/>
              <w:keepNext/>
              <w:jc w:val="center"/>
              <w:rPr>
                <w:rFonts w:eastAsia="MS Mincho"/>
              </w:rPr>
            </w:pPr>
            <w:r>
              <w:rPr>
                <w:rFonts w:eastAsia="MS Mincho"/>
              </w:rPr>
              <w:t>(-0, 0.12)</w:t>
            </w:r>
          </w:p>
        </w:tc>
      </w:tr>
      <w:tr w:rsidR="00264887" w:rsidRPr="00061F78" w:rsidTr="005346E0">
        <w:trPr>
          <w:cantSplit/>
          <w:trHeight w:val="99"/>
        </w:trPr>
        <w:tc>
          <w:tcPr>
            <w:tcW w:w="721" w:type="pct"/>
            <w:shd w:val="clear" w:color="auto" w:fill="D9D9D9" w:themeFill="background1" w:themeFillShade="D9"/>
            <w:tcMar>
              <w:left w:w="28" w:type="dxa"/>
              <w:right w:w="28" w:type="dxa"/>
            </w:tcMar>
          </w:tcPr>
          <w:p w:rsidR="00264887" w:rsidRDefault="00264887" w:rsidP="003F4EED">
            <w:pPr>
              <w:pStyle w:val="Tablewriting"/>
              <w:keepNext/>
              <w:rPr>
                <w:rFonts w:eastAsia="MS Mincho"/>
              </w:rPr>
            </w:pPr>
            <w:r>
              <w:rPr>
                <w:rFonts w:eastAsia="MS Mincho"/>
              </w:rPr>
              <w:t>Jorenby (2006)</w:t>
            </w:r>
            <w:r>
              <w:rPr>
                <w:rFonts w:eastAsia="MS Mincho"/>
                <w:vertAlign w:val="superscript"/>
              </w:rPr>
              <w:t>1</w:t>
            </w:r>
            <w:r>
              <w:rPr>
                <w:rFonts w:eastAsia="MS Mincho"/>
              </w:rPr>
              <w:t xml:space="preserve"> </w:t>
            </w:r>
          </w:p>
        </w:tc>
        <w:tc>
          <w:tcPr>
            <w:tcW w:w="920" w:type="pct"/>
            <w:shd w:val="clear" w:color="auto" w:fill="D9D9D9" w:themeFill="background1" w:themeFillShade="D9"/>
            <w:vAlign w:val="center"/>
          </w:tcPr>
          <w:p w:rsidR="00264887" w:rsidRDefault="00264887" w:rsidP="003F4EED">
            <w:pPr>
              <w:pStyle w:val="Tablewriting"/>
              <w:keepNext/>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rsidR="00264887" w:rsidRDefault="00264887" w:rsidP="003F4EED">
            <w:pPr>
              <w:pStyle w:val="Tablewriting"/>
              <w:keepNext/>
              <w:jc w:val="center"/>
              <w:rPr>
                <w:rFonts w:eastAsia="MS Mincho"/>
              </w:rPr>
            </w:pPr>
            <w:r>
              <w:rPr>
                <w:rFonts w:eastAsia="MS Mincho"/>
              </w:rPr>
              <w:t>79/344</w:t>
            </w:r>
          </w:p>
          <w:p w:rsidR="00264887" w:rsidRDefault="00264887" w:rsidP="003F4EED">
            <w:pPr>
              <w:pStyle w:val="Tablewriting"/>
              <w:keepNext/>
              <w:jc w:val="center"/>
              <w:rPr>
                <w:rFonts w:eastAsia="MS Mincho"/>
              </w:rPr>
            </w:pPr>
            <w:r>
              <w:rPr>
                <w:rFonts w:eastAsia="MS Mincho"/>
              </w:rPr>
              <w:t>(23.0%)</w:t>
            </w:r>
          </w:p>
        </w:tc>
        <w:tc>
          <w:tcPr>
            <w:tcW w:w="851" w:type="pct"/>
            <w:shd w:val="clear" w:color="auto" w:fill="D9D9D9" w:themeFill="background1" w:themeFillShade="D9"/>
            <w:tcMar>
              <w:left w:w="28" w:type="dxa"/>
              <w:right w:w="28" w:type="dxa"/>
            </w:tcMar>
            <w:vAlign w:val="center"/>
          </w:tcPr>
          <w:p w:rsidR="00264887" w:rsidRPr="0027405A" w:rsidRDefault="000768F1" w:rsidP="003F4EED">
            <w:pPr>
              <w:pStyle w:val="Tablewriting"/>
              <w:keepNext/>
              <w:jc w:val="center"/>
              <w:rPr>
                <w:rFonts w:eastAsia="MS Mincho"/>
                <w:vertAlign w:val="superscript"/>
              </w:rPr>
            </w:pPr>
            <w:r>
              <w:rPr>
                <w:rFonts w:eastAsia="MS Mincho"/>
              </w:rPr>
              <w:t>50</w:t>
            </w:r>
            <w:r w:rsidR="00264887">
              <w:rPr>
                <w:rFonts w:eastAsia="MS Mincho"/>
              </w:rPr>
              <w:t>/34</w:t>
            </w:r>
            <w:r>
              <w:rPr>
                <w:rFonts w:eastAsia="MS Mincho"/>
              </w:rPr>
              <w:t>2</w:t>
            </w:r>
            <w:r w:rsidR="0027405A">
              <w:rPr>
                <w:rFonts w:eastAsia="MS Mincho"/>
                <w:vertAlign w:val="superscript"/>
              </w:rPr>
              <w:t>5</w:t>
            </w:r>
          </w:p>
          <w:p w:rsidR="00264887" w:rsidRDefault="00264887" w:rsidP="003F4EED">
            <w:pPr>
              <w:pStyle w:val="Tablewriting"/>
              <w:keepNext/>
              <w:jc w:val="center"/>
              <w:rPr>
                <w:rFonts w:eastAsia="MS Mincho"/>
              </w:rPr>
            </w:pPr>
            <w:r>
              <w:rPr>
                <w:rFonts w:eastAsia="MS Mincho"/>
              </w:rPr>
              <w:t>(1</w:t>
            </w:r>
            <w:r w:rsidR="00A22333">
              <w:rPr>
                <w:rFonts w:eastAsia="MS Mincho"/>
              </w:rPr>
              <w:t>4.6</w:t>
            </w:r>
            <w:r>
              <w:rPr>
                <w:rFonts w:eastAsia="MS Mincho"/>
              </w:rPr>
              <w:t>%)</w:t>
            </w:r>
          </w:p>
        </w:tc>
        <w:tc>
          <w:tcPr>
            <w:tcW w:w="851" w:type="pct"/>
            <w:shd w:val="clear" w:color="auto" w:fill="D9D9D9" w:themeFill="background1" w:themeFillShade="D9"/>
            <w:tcMar>
              <w:left w:w="28" w:type="dxa"/>
              <w:right w:w="28" w:type="dxa"/>
            </w:tcMar>
            <w:vAlign w:val="center"/>
          </w:tcPr>
          <w:p w:rsidR="00264887" w:rsidRDefault="0057416C" w:rsidP="003F4EED">
            <w:pPr>
              <w:pStyle w:val="Tablewriting"/>
              <w:keepNext/>
              <w:jc w:val="center"/>
              <w:rPr>
                <w:rFonts w:eastAsia="MS Mincho"/>
                <w:b/>
                <w:bCs/>
              </w:rPr>
            </w:pPr>
            <w:r>
              <w:rPr>
                <w:rFonts w:eastAsia="MS Mincho"/>
                <w:b/>
                <w:bCs/>
              </w:rPr>
              <w:t>1.57</w:t>
            </w:r>
          </w:p>
          <w:p w:rsidR="00264887" w:rsidRPr="005F415A" w:rsidRDefault="0057416C" w:rsidP="003F4EED">
            <w:pPr>
              <w:pStyle w:val="Tablewriting"/>
              <w:keepNext/>
              <w:jc w:val="center"/>
              <w:rPr>
                <w:rFonts w:eastAsia="MS Mincho"/>
                <w:b/>
              </w:rPr>
            </w:pPr>
            <w:r>
              <w:rPr>
                <w:rFonts w:eastAsia="MS Mincho"/>
                <w:b/>
                <w:bCs/>
              </w:rPr>
              <w:t>(1.14, 2.17)</w:t>
            </w:r>
          </w:p>
        </w:tc>
        <w:tc>
          <w:tcPr>
            <w:tcW w:w="807" w:type="pct"/>
            <w:shd w:val="clear" w:color="auto" w:fill="D9D9D9" w:themeFill="background1" w:themeFillShade="D9"/>
            <w:vAlign w:val="center"/>
          </w:tcPr>
          <w:p w:rsidR="00264887" w:rsidRPr="00B70C7D" w:rsidRDefault="00B70C7D" w:rsidP="003F4EED">
            <w:pPr>
              <w:pStyle w:val="Tablewriting"/>
              <w:keepNext/>
              <w:jc w:val="center"/>
              <w:rPr>
                <w:rFonts w:eastAsia="MS Mincho"/>
                <w:b/>
                <w:bCs/>
              </w:rPr>
            </w:pPr>
            <w:r w:rsidRPr="00B70C7D">
              <w:rPr>
                <w:rFonts w:eastAsia="MS Mincho"/>
                <w:b/>
                <w:bCs/>
              </w:rPr>
              <w:t>0.08</w:t>
            </w:r>
          </w:p>
          <w:p w:rsidR="00264887" w:rsidRPr="00B70C7D" w:rsidRDefault="00B70C7D" w:rsidP="003F4EED">
            <w:pPr>
              <w:pStyle w:val="Tablewriting"/>
              <w:keepNext/>
              <w:jc w:val="center"/>
              <w:rPr>
                <w:rFonts w:eastAsia="MS Mincho"/>
                <w:b/>
              </w:rPr>
            </w:pPr>
            <w:r w:rsidRPr="00B70C7D">
              <w:rPr>
                <w:rFonts w:eastAsia="MS Mincho"/>
                <w:b/>
                <w:bCs/>
              </w:rPr>
              <w:t>(0.03, 0.14)</w:t>
            </w:r>
          </w:p>
        </w:tc>
      </w:tr>
      <w:tr w:rsidR="00264887" w:rsidRPr="00061F78" w:rsidTr="005346E0">
        <w:trPr>
          <w:cantSplit/>
          <w:trHeight w:val="99"/>
        </w:trPr>
        <w:tc>
          <w:tcPr>
            <w:tcW w:w="721" w:type="pct"/>
            <w:shd w:val="clear" w:color="auto" w:fill="D9D9D9" w:themeFill="background1" w:themeFillShade="D9"/>
            <w:tcMar>
              <w:left w:w="28" w:type="dxa"/>
              <w:right w:w="28" w:type="dxa"/>
            </w:tcMar>
          </w:tcPr>
          <w:p w:rsidR="00264887" w:rsidRPr="00D468CF" w:rsidRDefault="00264887" w:rsidP="003F4EED">
            <w:pPr>
              <w:pStyle w:val="Tablewriting"/>
              <w:keepNext/>
              <w:rPr>
                <w:rFonts w:eastAsia="MS Mincho"/>
                <w:vertAlign w:val="superscript"/>
              </w:rPr>
            </w:pPr>
            <w:r>
              <w:rPr>
                <w:rFonts w:eastAsia="MS Mincho"/>
              </w:rPr>
              <w:t>Anthenelli (EAGLES, 2016)</w:t>
            </w:r>
            <w:r>
              <w:rPr>
                <w:rFonts w:eastAsia="MS Mincho"/>
                <w:vertAlign w:val="superscript"/>
              </w:rPr>
              <w:t>2</w:t>
            </w:r>
          </w:p>
        </w:tc>
        <w:tc>
          <w:tcPr>
            <w:tcW w:w="920" w:type="pct"/>
            <w:shd w:val="clear" w:color="auto" w:fill="D9D9D9" w:themeFill="background1" w:themeFillShade="D9"/>
            <w:vAlign w:val="center"/>
          </w:tcPr>
          <w:p w:rsidR="00264887" w:rsidRDefault="00264887" w:rsidP="003F4EED">
            <w:pPr>
              <w:pStyle w:val="Tablewriting"/>
              <w:keepNext/>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rsidR="00264887" w:rsidRDefault="00264887" w:rsidP="003F4EED">
            <w:pPr>
              <w:pStyle w:val="Tablewriting"/>
              <w:keepNext/>
              <w:jc w:val="center"/>
              <w:rPr>
                <w:rFonts w:eastAsia="MS Mincho"/>
              </w:rPr>
            </w:pPr>
            <w:r>
              <w:rPr>
                <w:rFonts w:eastAsia="MS Mincho"/>
              </w:rPr>
              <w:t>445/2,037</w:t>
            </w:r>
          </w:p>
          <w:p w:rsidR="00264887" w:rsidRPr="00061F78" w:rsidRDefault="00264887" w:rsidP="003F4EED">
            <w:pPr>
              <w:pStyle w:val="Tablewriting"/>
              <w:keepNext/>
              <w:jc w:val="center"/>
              <w:rPr>
                <w:rFonts w:eastAsia="MS Mincho"/>
              </w:rPr>
            </w:pPr>
            <w:r>
              <w:rPr>
                <w:rFonts w:eastAsia="MS Mincho"/>
              </w:rPr>
              <w:t>(21.8%)</w:t>
            </w:r>
          </w:p>
        </w:tc>
        <w:tc>
          <w:tcPr>
            <w:tcW w:w="851" w:type="pct"/>
            <w:shd w:val="clear" w:color="auto" w:fill="D9D9D9" w:themeFill="background1" w:themeFillShade="D9"/>
            <w:tcMar>
              <w:left w:w="28" w:type="dxa"/>
              <w:right w:w="28" w:type="dxa"/>
            </w:tcMar>
            <w:vAlign w:val="center"/>
          </w:tcPr>
          <w:p w:rsidR="00264887" w:rsidRDefault="00771B81" w:rsidP="003F4EED">
            <w:pPr>
              <w:pStyle w:val="Tablewriting"/>
              <w:keepNext/>
              <w:jc w:val="center"/>
              <w:rPr>
                <w:rFonts w:eastAsia="MS Mincho"/>
              </w:rPr>
            </w:pPr>
            <w:r>
              <w:rPr>
                <w:rFonts w:eastAsia="MS Mincho"/>
              </w:rPr>
              <w:t>330</w:t>
            </w:r>
            <w:r w:rsidR="00264887">
              <w:rPr>
                <w:rFonts w:eastAsia="MS Mincho"/>
              </w:rPr>
              <w:t>/2,03</w:t>
            </w:r>
            <w:r>
              <w:rPr>
                <w:rFonts w:eastAsia="MS Mincho"/>
              </w:rPr>
              <w:t>4</w:t>
            </w:r>
          </w:p>
          <w:p w:rsidR="00264887" w:rsidRPr="00061F78" w:rsidRDefault="00264887" w:rsidP="003F4EED">
            <w:pPr>
              <w:pStyle w:val="Tablewriting"/>
              <w:keepNext/>
              <w:jc w:val="center"/>
              <w:rPr>
                <w:rFonts w:eastAsia="MS Mincho"/>
              </w:rPr>
            </w:pPr>
            <w:r>
              <w:rPr>
                <w:rFonts w:eastAsia="MS Mincho"/>
              </w:rPr>
              <w:t>(</w:t>
            </w:r>
            <w:r w:rsidR="00732BB4">
              <w:rPr>
                <w:rFonts w:eastAsia="MS Mincho"/>
              </w:rPr>
              <w:t>16.2</w:t>
            </w:r>
            <w:r>
              <w:rPr>
                <w:rFonts w:eastAsia="MS Mincho"/>
              </w:rPr>
              <w:t>%)</w:t>
            </w:r>
          </w:p>
        </w:tc>
        <w:tc>
          <w:tcPr>
            <w:tcW w:w="851" w:type="pct"/>
            <w:shd w:val="clear" w:color="auto" w:fill="D9D9D9" w:themeFill="background1" w:themeFillShade="D9"/>
            <w:tcMar>
              <w:left w:w="28" w:type="dxa"/>
              <w:right w:w="28" w:type="dxa"/>
            </w:tcMar>
            <w:vAlign w:val="center"/>
          </w:tcPr>
          <w:p w:rsidR="00264887" w:rsidRDefault="0057416C" w:rsidP="003F4EED">
            <w:pPr>
              <w:pStyle w:val="Tablewriting"/>
              <w:keepNext/>
              <w:jc w:val="center"/>
              <w:rPr>
                <w:rFonts w:eastAsia="MS Mincho"/>
                <w:b/>
                <w:bCs/>
              </w:rPr>
            </w:pPr>
            <w:r>
              <w:rPr>
                <w:rFonts w:eastAsia="MS Mincho"/>
                <w:b/>
                <w:bCs/>
              </w:rPr>
              <w:t>1.35</w:t>
            </w:r>
          </w:p>
          <w:p w:rsidR="00264887" w:rsidRPr="005F415A" w:rsidRDefault="0057416C" w:rsidP="003F4EED">
            <w:pPr>
              <w:pStyle w:val="Tablewriting"/>
              <w:keepNext/>
              <w:jc w:val="center"/>
              <w:rPr>
                <w:rFonts w:eastAsia="MS Mincho"/>
              </w:rPr>
            </w:pPr>
            <w:r>
              <w:rPr>
                <w:rFonts w:eastAsia="MS Mincho"/>
                <w:b/>
                <w:bCs/>
              </w:rPr>
              <w:t>(1.18, 1.53)</w:t>
            </w:r>
          </w:p>
        </w:tc>
        <w:tc>
          <w:tcPr>
            <w:tcW w:w="807" w:type="pct"/>
            <w:shd w:val="clear" w:color="auto" w:fill="D9D9D9" w:themeFill="background1" w:themeFillShade="D9"/>
            <w:vAlign w:val="center"/>
          </w:tcPr>
          <w:p w:rsidR="00264887" w:rsidRPr="00B70C7D" w:rsidRDefault="00B70C7D" w:rsidP="003F4EED">
            <w:pPr>
              <w:pStyle w:val="Tablewriting"/>
              <w:keepNext/>
              <w:jc w:val="center"/>
              <w:rPr>
                <w:rFonts w:eastAsia="MS Mincho"/>
                <w:b/>
                <w:bCs/>
              </w:rPr>
            </w:pPr>
            <w:r w:rsidRPr="00B70C7D">
              <w:rPr>
                <w:rFonts w:eastAsia="MS Mincho"/>
                <w:b/>
                <w:bCs/>
              </w:rPr>
              <w:t>0.06</w:t>
            </w:r>
          </w:p>
          <w:p w:rsidR="00264887" w:rsidRPr="00B70C7D" w:rsidRDefault="00B70C7D" w:rsidP="003F4EED">
            <w:pPr>
              <w:pStyle w:val="Tablewriting"/>
              <w:keepNext/>
              <w:jc w:val="center"/>
              <w:rPr>
                <w:rFonts w:eastAsia="MS Mincho"/>
                <w:b/>
              </w:rPr>
            </w:pPr>
            <w:r w:rsidRPr="00B70C7D">
              <w:rPr>
                <w:rFonts w:eastAsia="MS Mincho"/>
                <w:b/>
                <w:bCs/>
              </w:rPr>
              <w:t>(0.03, 0.08)</w:t>
            </w:r>
          </w:p>
        </w:tc>
      </w:tr>
      <w:tr w:rsidR="00264887" w:rsidRPr="00061F78" w:rsidTr="003F4EED">
        <w:trPr>
          <w:cantSplit/>
          <w:trHeight w:val="149"/>
        </w:trPr>
        <w:tc>
          <w:tcPr>
            <w:tcW w:w="721" w:type="pct"/>
            <w:tcMar>
              <w:left w:w="28" w:type="dxa"/>
              <w:right w:w="28" w:type="dxa"/>
            </w:tcMar>
          </w:tcPr>
          <w:p w:rsidR="00771B81" w:rsidRDefault="00F57360" w:rsidP="003F4EED">
            <w:pPr>
              <w:pStyle w:val="Tablewriting"/>
              <w:keepNext/>
              <w:rPr>
                <w:rFonts w:eastAsia="MS Mincho"/>
              </w:rPr>
            </w:pPr>
            <w:r>
              <w:rPr>
                <w:rFonts w:eastAsia="MS Mincho"/>
              </w:rPr>
              <w:t>Howes</w:t>
            </w:r>
            <w:r w:rsidR="00264887">
              <w:rPr>
                <w:rFonts w:eastAsia="MS Mincho"/>
              </w:rPr>
              <w:t xml:space="preserve"> </w:t>
            </w:r>
          </w:p>
          <w:p w:rsidR="00264887" w:rsidRPr="00D468CF" w:rsidRDefault="00264887" w:rsidP="003F4EED">
            <w:pPr>
              <w:pStyle w:val="Tablewriting"/>
              <w:keepNext/>
              <w:rPr>
                <w:rFonts w:eastAsia="MS Mincho"/>
                <w:vertAlign w:val="superscript"/>
              </w:rPr>
            </w:pPr>
            <w:r>
              <w:rPr>
                <w:rFonts w:eastAsia="MS Mincho"/>
              </w:rPr>
              <w:t>(20</w:t>
            </w:r>
            <w:r w:rsidR="00F57360">
              <w:rPr>
                <w:rFonts w:eastAsia="MS Mincho"/>
              </w:rPr>
              <w:t>20</w:t>
            </w:r>
            <w:r>
              <w:rPr>
                <w:rFonts w:eastAsia="MS Mincho"/>
              </w:rPr>
              <w:t>)</w:t>
            </w:r>
            <w:r>
              <w:rPr>
                <w:rFonts w:eastAsia="MS Mincho"/>
                <w:vertAlign w:val="superscript"/>
              </w:rPr>
              <w:t>3</w:t>
            </w:r>
            <w:r w:rsidR="00B828F8">
              <w:rPr>
                <w:rFonts w:eastAsia="MS Mincho"/>
                <w:vertAlign w:val="superscript"/>
              </w:rPr>
              <w:t>,4</w:t>
            </w:r>
          </w:p>
        </w:tc>
        <w:tc>
          <w:tcPr>
            <w:tcW w:w="920" w:type="pct"/>
            <w:vAlign w:val="center"/>
          </w:tcPr>
          <w:p w:rsidR="00264887" w:rsidRDefault="00264887" w:rsidP="003F4EED">
            <w:pPr>
              <w:pStyle w:val="Tablewriting"/>
              <w:keepNext/>
              <w:jc w:val="center"/>
              <w:rPr>
                <w:rFonts w:eastAsia="MS Mincho"/>
              </w:rPr>
            </w:pPr>
            <w:r>
              <w:rPr>
                <w:rFonts w:eastAsia="MS Mincho"/>
              </w:rPr>
              <w:t>Cochrane Review (</w:t>
            </w:r>
            <w:r w:rsidR="00771B81">
              <w:rPr>
                <w:rFonts w:eastAsia="MS Mincho"/>
              </w:rPr>
              <w:t>6</w:t>
            </w:r>
            <w:r>
              <w:rPr>
                <w:rFonts w:eastAsia="MS Mincho"/>
              </w:rPr>
              <w:t xml:space="preserve"> RCTs)</w:t>
            </w:r>
          </w:p>
        </w:tc>
        <w:tc>
          <w:tcPr>
            <w:tcW w:w="850" w:type="pct"/>
            <w:tcMar>
              <w:left w:w="28" w:type="dxa"/>
              <w:right w:w="28" w:type="dxa"/>
            </w:tcMar>
            <w:vAlign w:val="center"/>
          </w:tcPr>
          <w:p w:rsidR="00264887" w:rsidRPr="00C5346E" w:rsidRDefault="00C775DF" w:rsidP="003F4EED">
            <w:pPr>
              <w:pStyle w:val="Tablewriting"/>
              <w:keepNext/>
              <w:jc w:val="center"/>
              <w:rPr>
                <w:rFonts w:eastAsia="MS Mincho"/>
              </w:rPr>
            </w:pPr>
            <w:r w:rsidRPr="00C5346E">
              <w:rPr>
                <w:rFonts w:eastAsia="MS Mincho"/>
              </w:rPr>
              <w:t>677</w:t>
            </w:r>
            <w:r w:rsidR="00264887" w:rsidRPr="00C5346E">
              <w:rPr>
                <w:rFonts w:eastAsia="MS Mincho"/>
              </w:rPr>
              <w:t>/</w:t>
            </w:r>
            <w:r w:rsidRPr="00C5346E">
              <w:rPr>
                <w:rFonts w:eastAsia="MS Mincho"/>
              </w:rPr>
              <w:t>3,190</w:t>
            </w:r>
            <w:r w:rsidR="00264887" w:rsidRPr="00C5346E">
              <w:rPr>
                <w:rFonts w:eastAsia="MS Mincho"/>
              </w:rPr>
              <w:t xml:space="preserve"> </w:t>
            </w:r>
          </w:p>
          <w:p w:rsidR="00264887" w:rsidRPr="00C5346E" w:rsidRDefault="00264887" w:rsidP="003F4EED">
            <w:pPr>
              <w:pStyle w:val="Tablewriting"/>
              <w:keepNext/>
              <w:jc w:val="center"/>
              <w:rPr>
                <w:rFonts w:eastAsia="MS Mincho"/>
              </w:rPr>
            </w:pPr>
            <w:r w:rsidRPr="00C5346E">
              <w:rPr>
                <w:rFonts w:eastAsia="MS Mincho"/>
              </w:rPr>
              <w:t>(2</w:t>
            </w:r>
            <w:r w:rsidR="008C5997">
              <w:rPr>
                <w:rFonts w:eastAsia="MS Mincho"/>
              </w:rPr>
              <w:t>1.2</w:t>
            </w:r>
            <w:r w:rsidRPr="00C5346E">
              <w:rPr>
                <w:rFonts w:eastAsia="MS Mincho"/>
              </w:rPr>
              <w:t>%)</w:t>
            </w:r>
          </w:p>
        </w:tc>
        <w:tc>
          <w:tcPr>
            <w:tcW w:w="851" w:type="pct"/>
            <w:tcMar>
              <w:left w:w="28" w:type="dxa"/>
              <w:right w:w="28" w:type="dxa"/>
            </w:tcMar>
            <w:vAlign w:val="center"/>
          </w:tcPr>
          <w:p w:rsidR="00264887" w:rsidRPr="00C5346E" w:rsidRDefault="00C775DF" w:rsidP="003F4EED">
            <w:pPr>
              <w:pStyle w:val="Tablewriting"/>
              <w:keepNext/>
              <w:jc w:val="center"/>
              <w:rPr>
                <w:rFonts w:eastAsia="MS Mincho"/>
              </w:rPr>
            </w:pPr>
            <w:r w:rsidRPr="00C5346E">
              <w:rPr>
                <w:rFonts w:eastAsia="MS Mincho"/>
              </w:rPr>
              <w:t>474</w:t>
            </w:r>
            <w:r w:rsidR="00264887" w:rsidRPr="00C5346E">
              <w:rPr>
                <w:rFonts w:eastAsia="MS Mincho"/>
              </w:rPr>
              <w:t>/</w:t>
            </w:r>
            <w:r w:rsidR="00C5346E" w:rsidRPr="00C5346E">
              <w:rPr>
                <w:rFonts w:eastAsia="MS Mincho"/>
              </w:rPr>
              <w:t>3,096</w:t>
            </w:r>
            <w:r w:rsidR="00264887" w:rsidRPr="00C5346E">
              <w:rPr>
                <w:rFonts w:eastAsia="MS Mincho"/>
              </w:rPr>
              <w:t xml:space="preserve"> </w:t>
            </w:r>
          </w:p>
          <w:p w:rsidR="00264887" w:rsidRPr="00C5346E" w:rsidRDefault="00264887" w:rsidP="003F4EED">
            <w:pPr>
              <w:pStyle w:val="Tablewriting"/>
              <w:keepNext/>
              <w:jc w:val="center"/>
              <w:rPr>
                <w:rFonts w:eastAsia="MS Mincho"/>
              </w:rPr>
            </w:pPr>
            <w:r w:rsidRPr="00C5346E">
              <w:rPr>
                <w:rFonts w:eastAsia="MS Mincho"/>
              </w:rPr>
              <w:t>(1</w:t>
            </w:r>
            <w:r w:rsidR="008C5997">
              <w:rPr>
                <w:rFonts w:eastAsia="MS Mincho"/>
              </w:rPr>
              <w:t>5.3</w:t>
            </w:r>
            <w:r w:rsidRPr="00C5346E">
              <w:rPr>
                <w:rFonts w:eastAsia="MS Mincho"/>
              </w:rPr>
              <w:t>%)</w:t>
            </w:r>
          </w:p>
        </w:tc>
        <w:tc>
          <w:tcPr>
            <w:tcW w:w="851" w:type="pct"/>
            <w:tcMar>
              <w:left w:w="28" w:type="dxa"/>
              <w:right w:w="28" w:type="dxa"/>
            </w:tcMar>
            <w:vAlign w:val="center"/>
          </w:tcPr>
          <w:p w:rsidR="00B828F8" w:rsidRDefault="00B828F8" w:rsidP="003F4EED">
            <w:pPr>
              <w:pStyle w:val="Tablewriting"/>
              <w:keepNext/>
              <w:jc w:val="center"/>
              <w:rPr>
                <w:rFonts w:eastAsia="MS Mincho"/>
                <w:b/>
                <w:bCs/>
              </w:rPr>
            </w:pPr>
            <w:r>
              <w:rPr>
                <w:rFonts w:eastAsia="MS Mincho"/>
                <w:b/>
                <w:bCs/>
              </w:rPr>
              <w:t>1.40</w:t>
            </w:r>
          </w:p>
          <w:p w:rsidR="00264887" w:rsidRPr="005F415A" w:rsidRDefault="00B828F8" w:rsidP="003F4EED">
            <w:pPr>
              <w:pStyle w:val="Tablewriting"/>
              <w:keepNext/>
              <w:jc w:val="center"/>
              <w:rPr>
                <w:rFonts w:eastAsia="MS Mincho"/>
              </w:rPr>
            </w:pPr>
            <w:r>
              <w:rPr>
                <w:rFonts w:eastAsia="MS Mincho"/>
                <w:b/>
                <w:bCs/>
              </w:rPr>
              <w:t>(1.25, 1.55)</w:t>
            </w:r>
          </w:p>
        </w:tc>
        <w:tc>
          <w:tcPr>
            <w:tcW w:w="807" w:type="pct"/>
            <w:vAlign w:val="center"/>
          </w:tcPr>
          <w:p w:rsidR="00264887" w:rsidRPr="00B70C7D" w:rsidRDefault="00B70C7D" w:rsidP="003F4EED">
            <w:pPr>
              <w:pStyle w:val="Tablewriting"/>
              <w:keepNext/>
              <w:jc w:val="center"/>
              <w:rPr>
                <w:rFonts w:eastAsia="MS Mincho"/>
                <w:b/>
                <w:bCs/>
              </w:rPr>
            </w:pPr>
            <w:r w:rsidRPr="00B70C7D">
              <w:rPr>
                <w:rFonts w:eastAsia="MS Mincho"/>
                <w:b/>
                <w:bCs/>
              </w:rPr>
              <w:t>0.06</w:t>
            </w:r>
          </w:p>
          <w:p w:rsidR="00264887" w:rsidRPr="00B70C7D" w:rsidRDefault="00B70C7D" w:rsidP="003F4EED">
            <w:pPr>
              <w:pStyle w:val="Tablewriting"/>
              <w:keepNext/>
              <w:jc w:val="center"/>
              <w:rPr>
                <w:rFonts w:eastAsia="MS Mincho"/>
                <w:b/>
              </w:rPr>
            </w:pPr>
            <w:r w:rsidRPr="00B70C7D">
              <w:rPr>
                <w:rFonts w:eastAsia="MS Mincho"/>
                <w:b/>
                <w:bCs/>
              </w:rPr>
              <w:t>(0.04, 0.08)</w:t>
            </w:r>
          </w:p>
        </w:tc>
      </w:tr>
    </w:tbl>
    <w:bookmarkEnd w:id="85"/>
    <w:p w:rsidR="002F05DB" w:rsidRDefault="002F05DB" w:rsidP="002F05DB">
      <w:pPr>
        <w:pStyle w:val="TableFooter"/>
        <w:keepNext/>
      </w:pPr>
      <w:r>
        <w:t xml:space="preserve">Source: </w:t>
      </w:r>
      <w:r w:rsidR="00C06274">
        <w:t>Howes</w:t>
      </w:r>
      <w:r>
        <w:t xml:space="preserve"> et al. (20</w:t>
      </w:r>
      <w:r w:rsidR="00C06274">
        <w:t>20</w:t>
      </w:r>
      <w:r>
        <w:t>)</w:t>
      </w:r>
    </w:p>
    <w:p w:rsidR="002F05DB" w:rsidRDefault="002F05DB" w:rsidP="002F05DB">
      <w:pPr>
        <w:pStyle w:val="TableFooter"/>
        <w:keepNext/>
        <w:rPr>
          <w:i/>
        </w:rPr>
      </w:pPr>
      <w:r>
        <w:t>Abbreviations: CI = confidence interval; RCT = randomised controlled trial; RR = risk ratio</w:t>
      </w:r>
      <w:r w:rsidRPr="00061F78">
        <w:t xml:space="preserve"> </w:t>
      </w:r>
    </w:p>
    <w:p w:rsidR="002F05DB" w:rsidRDefault="002F05DB" w:rsidP="002F05DB">
      <w:pPr>
        <w:pStyle w:val="TableFooter"/>
        <w:keepNext/>
      </w:pPr>
      <w:r w:rsidRPr="00061F78">
        <w:rPr>
          <w:highlight w:val="lightGray"/>
        </w:rPr>
        <w:t>Shaded</w:t>
      </w:r>
      <w:r w:rsidRPr="00061F78">
        <w:t xml:space="preserve"> = previously considered by the PBAC</w:t>
      </w:r>
    </w:p>
    <w:p w:rsidR="002F05DB" w:rsidRDefault="002F05DB" w:rsidP="002F05DB">
      <w:pPr>
        <w:pStyle w:val="TableFooter"/>
        <w:keepNext/>
      </w:pPr>
      <w:r w:rsidRPr="00D468CF">
        <w:t>Note</w:t>
      </w:r>
      <w:r>
        <w:t>s</w:t>
      </w:r>
      <w:r w:rsidRPr="00D468CF">
        <w:t>: Bold indicates statistically significant difference.</w:t>
      </w:r>
      <w:r>
        <w:br/>
        <w:t>1 Continuous abstinence rate at 12 months (Week 9-52)</w:t>
      </w:r>
      <w:r w:rsidR="00004245">
        <w:t>.</w:t>
      </w:r>
    </w:p>
    <w:p w:rsidR="002F05DB" w:rsidRDefault="002F05DB" w:rsidP="002F05DB">
      <w:pPr>
        <w:pStyle w:val="TableFooter"/>
        <w:keepNext/>
      </w:pPr>
      <w:r>
        <w:t xml:space="preserve">2 </w:t>
      </w:r>
      <w:r w:rsidRPr="00383947">
        <w:t>Continuous abstinence rate at 6 months (Week 9-24)</w:t>
      </w:r>
      <w:r w:rsidR="00004245">
        <w:t>.</w:t>
      </w:r>
    </w:p>
    <w:p w:rsidR="002F05DB" w:rsidRDefault="002F05DB" w:rsidP="002F05DB">
      <w:pPr>
        <w:pStyle w:val="TableFooter"/>
        <w:keepNext/>
      </w:pPr>
      <w:r>
        <w:t xml:space="preserve">3 Where cessation was assessed at multiple intervals, the longest follow-up data were used. Where multiple definitions of abstinence were assessed, the strictest of these definitions was used (e.g. continuous/prolonged abstinence over point prevalence abstinence). See </w:t>
      </w:r>
      <w:r w:rsidRPr="005C1B1D">
        <w:t xml:space="preserve">Appendix </w:t>
      </w:r>
      <w:r w:rsidR="003C4A1C">
        <w:t xml:space="preserve">Table </w:t>
      </w:r>
      <w:r w:rsidR="003C4A1C">
        <w:rPr>
          <w:noProof/>
        </w:rPr>
        <w:t>147</w:t>
      </w:r>
      <w:r>
        <w:t xml:space="preserve"> for the definition used in each study.</w:t>
      </w:r>
      <w:r w:rsidR="00D868CB">
        <w:t xml:space="preserve"> </w:t>
      </w:r>
      <w:r w:rsidR="0030225A" w:rsidRPr="0030225A">
        <w:t>Studies previously considered by the PBAC were included in the meta-analysis</w:t>
      </w:r>
      <w:r w:rsidR="00D868CB" w:rsidRPr="00D868CB">
        <w:t xml:space="preserve"> of </w:t>
      </w:r>
      <w:r w:rsidR="00F57360">
        <w:t>Howes</w:t>
      </w:r>
      <w:r w:rsidR="00D868CB" w:rsidRPr="00D868CB">
        <w:t xml:space="preserve"> et al. (20</w:t>
      </w:r>
      <w:r w:rsidR="00F57360">
        <w:t>20</w:t>
      </w:r>
      <w:r w:rsidR="00D868CB" w:rsidRPr="00D868CB">
        <w:t>).</w:t>
      </w:r>
    </w:p>
    <w:p w:rsidR="002F05DB" w:rsidRDefault="002F05DB" w:rsidP="002F05DB">
      <w:pPr>
        <w:pStyle w:val="TableFooter"/>
        <w:keepNext/>
      </w:pPr>
      <w:r w:rsidRPr="005C1B1D">
        <w:t xml:space="preserve">4 </w:t>
      </w:r>
      <w:r w:rsidR="00B828F8" w:rsidRPr="005C1B1D">
        <w:t>Howes et al. (2020)</w:t>
      </w:r>
      <w:r w:rsidR="00C06274" w:rsidRPr="005C1B1D">
        <w:t xml:space="preserve"> presented this comparison as bupropion versus varenicline (inverse) using a fixed-effect model.</w:t>
      </w:r>
      <w:r w:rsidR="00960A15" w:rsidRPr="005C1B1D">
        <w:t xml:space="preserve"> Re-calculated during the review for varenicline versus bupropion using a random-effect model.</w:t>
      </w:r>
    </w:p>
    <w:p w:rsidR="0027405A" w:rsidRDefault="0027405A" w:rsidP="002F05DB">
      <w:pPr>
        <w:pStyle w:val="TableFooter"/>
        <w:keepNext/>
      </w:pPr>
      <w:r>
        <w:t xml:space="preserve">5 The number of events (n) reported in </w:t>
      </w:r>
      <w:r w:rsidR="006D3AE3">
        <w:t xml:space="preserve">Howes et al. (2020) </w:t>
      </w:r>
      <w:r w:rsidR="001A4C96">
        <w:t>differed from th</w:t>
      </w:r>
      <w:r w:rsidR="0015598F">
        <w:t xml:space="preserve">e numbers stated in the </w:t>
      </w:r>
      <w:r w:rsidR="007F3079">
        <w:t xml:space="preserve">Varenicline </w:t>
      </w:r>
      <w:r w:rsidR="0015598F">
        <w:t>PSD</w:t>
      </w:r>
      <w:r w:rsidR="007F3079">
        <w:t xml:space="preserve"> (2007)</w:t>
      </w:r>
      <w:r w:rsidR="00657583">
        <w:t>; (Gonzales 2006</w:t>
      </w:r>
      <w:r w:rsidR="000538F8">
        <w:t>,</w:t>
      </w:r>
      <w:r w:rsidR="00657583">
        <w:t xml:space="preserve"> n=53 versus </w:t>
      </w:r>
      <w:r w:rsidR="000B433A">
        <w:t xml:space="preserve">54; </w:t>
      </w:r>
      <w:r w:rsidR="000538F8">
        <w:t>Jorenby 2006, n=50 versus 51)</w:t>
      </w:r>
      <w:r w:rsidR="007F3079">
        <w:t>.</w:t>
      </w:r>
      <w:r w:rsidR="00AC3D5D">
        <w:t xml:space="preserve"> </w:t>
      </w:r>
      <w:r w:rsidR="009859A0">
        <w:t>The numbers reported in Howe</w:t>
      </w:r>
      <w:r w:rsidR="00C073B8">
        <w:t xml:space="preserve">s </w:t>
      </w:r>
      <w:r w:rsidR="009A5F63">
        <w:t xml:space="preserve">et al. (2020) </w:t>
      </w:r>
      <w:r w:rsidR="00C073B8">
        <w:t>were used</w:t>
      </w:r>
      <w:r w:rsidR="003023D2">
        <w:t xml:space="preserve"> as th</w:t>
      </w:r>
      <w:r w:rsidR="005769D3">
        <w:t>ese numbers corresponded with the percentages reported in the key publications.</w:t>
      </w:r>
      <w:r w:rsidR="007F3079">
        <w:t xml:space="preserve"> </w:t>
      </w:r>
    </w:p>
    <w:p w:rsidR="00583F03" w:rsidRDefault="000F18B2" w:rsidP="00583F03">
      <w:r w:rsidRPr="000F18B2">
        <w:t xml:space="preserve">The results of the individual studies included in </w:t>
      </w:r>
      <w:r w:rsidR="00E019B5">
        <w:t>Howes</w:t>
      </w:r>
      <w:r w:rsidRPr="000F18B2">
        <w:t xml:space="preserve"> et al. (20</w:t>
      </w:r>
      <w:r w:rsidR="00E019B5">
        <w:t>20</w:t>
      </w:r>
      <w:r w:rsidRPr="000F18B2">
        <w:t xml:space="preserve">) are presented using a forest plot in </w:t>
      </w:r>
      <w:r w:rsidR="003C4A1C">
        <w:t xml:space="preserve">Figure </w:t>
      </w:r>
      <w:r w:rsidR="003C4A1C">
        <w:rPr>
          <w:noProof/>
        </w:rPr>
        <w:t>4</w:t>
      </w:r>
      <w:r w:rsidRPr="000F18B2">
        <w:t xml:space="preserve">. </w:t>
      </w:r>
    </w:p>
    <w:p w:rsidR="00E019B5" w:rsidRDefault="00680621" w:rsidP="00E019B5">
      <w:pPr>
        <w:keepNext/>
      </w:pPr>
      <w:r>
        <w:rPr>
          <w:noProof/>
        </w:rPr>
        <w:lastRenderedPageBreak/>
        <w:drawing>
          <wp:inline distT="0" distB="0" distL="0" distR="0" wp14:anchorId="4919F1B4" wp14:editId="797B5F5A">
            <wp:extent cx="5731510" cy="1612900"/>
            <wp:effectExtent l="0" t="0" r="254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23">
                      <a:extLst>
                        <a:ext uri="{28A0092B-C50C-407E-A947-70E740481C1C}">
                          <a14:useLocalDpi xmlns:a14="http://schemas.microsoft.com/office/drawing/2010/main" val="0"/>
                        </a:ext>
                      </a:extLst>
                    </a:blip>
                    <a:stretch>
                      <a:fillRect/>
                    </a:stretch>
                  </pic:blipFill>
                  <pic:spPr>
                    <a:xfrm>
                      <a:off x="0" y="0"/>
                      <a:ext cx="5731510" cy="1612900"/>
                    </a:xfrm>
                    <a:prstGeom prst="rect">
                      <a:avLst/>
                    </a:prstGeom>
                  </pic:spPr>
                </pic:pic>
              </a:graphicData>
            </a:graphic>
          </wp:inline>
        </w:drawing>
      </w:r>
    </w:p>
    <w:p w:rsidR="000F18B2" w:rsidRPr="000F18B2" w:rsidRDefault="00E019B5" w:rsidP="00E019B5">
      <w:pPr>
        <w:pStyle w:val="Caption"/>
      </w:pPr>
      <w:bookmarkStart w:id="86" w:name="_Ref54103289"/>
      <w:r>
        <w:t xml:space="preserve">Figure </w:t>
      </w:r>
      <w:r w:rsidR="003C4A1C">
        <w:rPr>
          <w:noProof/>
        </w:rPr>
        <w:t>4</w:t>
      </w:r>
      <w:bookmarkEnd w:id="86"/>
      <w:r>
        <w:t xml:space="preserve">: </w:t>
      </w:r>
      <w:r w:rsidRPr="0082705D">
        <w:t>Results of smoking cessation f</w:t>
      </w:r>
      <w:r w:rsidR="00B930E5">
        <w:t>or</w:t>
      </w:r>
      <w:r w:rsidRPr="0082705D">
        <w:t xml:space="preserve"> at least six months follow-up in </w:t>
      </w:r>
      <w:r>
        <w:t>Howes</w:t>
      </w:r>
      <w:r w:rsidRPr="0082705D">
        <w:t xml:space="preserve"> et al. (20</w:t>
      </w:r>
      <w:r>
        <w:t>20</w:t>
      </w:r>
      <w:r w:rsidRPr="0082705D">
        <w:t xml:space="preserve">), varenicline versus </w:t>
      </w:r>
      <w:r>
        <w:t>bupropion</w:t>
      </w:r>
    </w:p>
    <w:p w:rsidR="00E019B5" w:rsidRDefault="00E019B5" w:rsidP="00E019B5">
      <w:pPr>
        <w:pStyle w:val="FigureFooter"/>
      </w:pPr>
      <w:r>
        <w:t>Source: Howes et al. (2020)</w:t>
      </w:r>
    </w:p>
    <w:p w:rsidR="002C14B9" w:rsidRDefault="00E019B5" w:rsidP="00E019B5">
      <w:pPr>
        <w:pStyle w:val="FigureFooter"/>
      </w:pPr>
      <w:r w:rsidRPr="00D041F9">
        <w:t>Abbreviations: CI = confidence interval</w:t>
      </w:r>
    </w:p>
    <w:p w:rsidR="003D7F65" w:rsidRDefault="002C14B9" w:rsidP="00E019B5">
      <w:pPr>
        <w:pStyle w:val="FigureFooter"/>
      </w:pPr>
      <w:r w:rsidRPr="005C1B1D">
        <w:t>Note: Howes et al. (2020) presented this comparison as bupropion versus varenicline (inverse) using a fixed-effect model.</w:t>
      </w:r>
      <w:r w:rsidR="00477302" w:rsidRPr="005C1B1D">
        <w:t xml:space="preserve"> Re-calculated during the review for varenicline versus bupropion using a random-effect model.</w:t>
      </w:r>
      <w:r w:rsidR="00477302" w:rsidRPr="002C14B9">
        <w:t xml:space="preserve"> </w:t>
      </w:r>
    </w:p>
    <w:p w:rsidR="00E019B5" w:rsidRPr="00D77C02" w:rsidRDefault="00E019B5" w:rsidP="00E019B5">
      <w:pPr>
        <w:pStyle w:val="FigureFooter"/>
      </w:pPr>
      <w:r>
        <w:t xml:space="preserve"> </w:t>
      </w:r>
    </w:p>
    <w:p w:rsidR="00491473" w:rsidRPr="0073597F" w:rsidRDefault="00491473" w:rsidP="00491473">
      <w:pPr>
        <w:rPr>
          <w:u w:val="single"/>
        </w:rPr>
      </w:pPr>
      <w:r w:rsidRPr="0073597F">
        <w:rPr>
          <w:u w:val="single"/>
        </w:rPr>
        <w:t>Safety</w:t>
      </w:r>
    </w:p>
    <w:p w:rsidR="007C18A0" w:rsidRPr="007C18A0" w:rsidRDefault="00491473" w:rsidP="007C18A0">
      <w:r w:rsidRPr="00491473">
        <w:t xml:space="preserve">A summary of key adverse events </w:t>
      </w:r>
      <w:r w:rsidR="002556D1">
        <w:t>comparing varenicline with bupropion</w:t>
      </w:r>
      <w:r w:rsidRPr="00491473">
        <w:t xml:space="preserve"> is presented in </w:t>
      </w:r>
      <w:r w:rsidR="003C4A1C">
        <w:t xml:space="preserve">Table </w:t>
      </w:r>
      <w:r w:rsidR="003C4A1C">
        <w:rPr>
          <w:noProof/>
        </w:rPr>
        <w:t>20</w:t>
      </w:r>
      <w:r w:rsidRPr="00491473">
        <w:t xml:space="preserve">. Based on the meta-analysis conducted by </w:t>
      </w:r>
      <w:r w:rsidR="00D978BC">
        <w:t>Howes</w:t>
      </w:r>
      <w:r w:rsidRPr="00491473">
        <w:t xml:space="preserve"> et al. (20</w:t>
      </w:r>
      <w:r w:rsidR="00D978BC">
        <w:t>20</w:t>
      </w:r>
      <w:r w:rsidRPr="00491473">
        <w:t xml:space="preserve">), </w:t>
      </w:r>
      <w:r w:rsidR="00D978BC">
        <w:t>there</w:t>
      </w:r>
      <w:r w:rsidRPr="00491473">
        <w:t xml:space="preserve"> were no statistically significant differences between </w:t>
      </w:r>
      <w:r w:rsidR="00D978BC">
        <w:t>varenicline and bupropion</w:t>
      </w:r>
      <w:r w:rsidRPr="00491473">
        <w:t xml:space="preserve"> </w:t>
      </w:r>
      <w:r w:rsidR="007D13B7">
        <w:t xml:space="preserve">in terms of </w:t>
      </w:r>
      <w:r w:rsidR="00F12D2B">
        <w:t>any</w:t>
      </w:r>
      <w:r w:rsidRPr="00491473">
        <w:t xml:space="preserve"> adverse events</w:t>
      </w:r>
      <w:r w:rsidR="007D13B7">
        <w:t>, psychiatric adverse events</w:t>
      </w:r>
      <w:r w:rsidR="00F12D2B">
        <w:t xml:space="preserve">, </w:t>
      </w:r>
      <w:r w:rsidR="007D13B7">
        <w:t>serious adverse events and discontinuation due to adverse events</w:t>
      </w:r>
      <w:r w:rsidRPr="00491473">
        <w:t>.</w:t>
      </w:r>
      <w:r w:rsidR="00DF2B1A" w:rsidRPr="00DF2B1A">
        <w:t xml:space="preserve"> The PBAC had previously considered that varenicline was </w:t>
      </w:r>
      <w:r w:rsidR="00DF2B1A">
        <w:t>non-</w:t>
      </w:r>
      <w:r w:rsidR="00DF2B1A" w:rsidRPr="00DF2B1A">
        <w:t xml:space="preserve">inferior to </w:t>
      </w:r>
      <w:r w:rsidR="00DF2B1A">
        <w:t>bupropion</w:t>
      </w:r>
      <w:r w:rsidR="00DF2B1A" w:rsidRPr="00DF2B1A">
        <w:t xml:space="preserve"> with regards to safety (</w:t>
      </w:r>
      <w:r w:rsidR="00DF2B1A" w:rsidRPr="002556D1">
        <w:t>Varenicline PSD, November 2016 PBAC meeting</w:t>
      </w:r>
      <w:r w:rsidR="00DF2B1A" w:rsidRPr="00DF2B1A">
        <w:t>).</w:t>
      </w:r>
    </w:p>
    <w:p w:rsidR="00D978BC" w:rsidRDefault="00D978BC" w:rsidP="00D978BC">
      <w:pPr>
        <w:pStyle w:val="Caption"/>
        <w:keepNext/>
      </w:pPr>
      <w:bookmarkStart w:id="87" w:name="_Ref54105112"/>
      <w:r>
        <w:t xml:space="preserve">Table </w:t>
      </w:r>
      <w:r w:rsidR="003C4A1C">
        <w:rPr>
          <w:noProof/>
        </w:rPr>
        <w:t>20</w:t>
      </w:r>
      <w:bookmarkEnd w:id="87"/>
      <w:r>
        <w:t xml:space="preserve">: </w:t>
      </w:r>
      <w:r w:rsidRPr="006E6794">
        <w:t xml:space="preserve">Summary of key adverse events, varenicline versus </w:t>
      </w:r>
      <w:r>
        <w:t>bupropion</w:t>
      </w:r>
    </w:p>
    <w:tbl>
      <w:tblPr>
        <w:tblStyle w:val="TableGrid"/>
        <w:tblW w:w="5000" w:type="pct"/>
        <w:tblLayout w:type="fixed"/>
        <w:tblLook w:val="04A0" w:firstRow="1" w:lastRow="0" w:firstColumn="1" w:lastColumn="0" w:noHBand="0" w:noVBand="1"/>
        <w:tblCaption w:val="Efficacy results of adalimumab trials (PASI 75 and DLQI)"/>
      </w:tblPr>
      <w:tblGrid>
        <w:gridCol w:w="867"/>
        <w:gridCol w:w="1673"/>
        <w:gridCol w:w="1673"/>
        <w:gridCol w:w="1116"/>
        <w:gridCol w:w="1177"/>
        <w:gridCol w:w="1257"/>
        <w:gridCol w:w="1253"/>
      </w:tblGrid>
      <w:tr w:rsidR="00491473" w:rsidRPr="00061F78" w:rsidTr="00B6509C">
        <w:trPr>
          <w:cantSplit/>
          <w:trHeight w:val="299"/>
          <w:tblHeader/>
        </w:trPr>
        <w:tc>
          <w:tcPr>
            <w:tcW w:w="480" w:type="pct"/>
            <w:shd w:val="clear" w:color="auto" w:fill="BFBFBF" w:themeFill="background1" w:themeFillShade="BF"/>
            <w:tcMar>
              <w:left w:w="28" w:type="dxa"/>
              <w:right w:w="28" w:type="dxa"/>
            </w:tcMar>
            <w:vAlign w:val="center"/>
          </w:tcPr>
          <w:p w:rsidR="00491473" w:rsidRPr="00061F78" w:rsidRDefault="00126B7B" w:rsidP="00B17D07">
            <w:pPr>
              <w:pStyle w:val="Tableheading"/>
              <w:rPr>
                <w:rFonts w:eastAsia="MS Mincho"/>
              </w:rPr>
            </w:pPr>
            <w:r>
              <w:rPr>
                <w:rFonts w:eastAsia="MS Mincho"/>
              </w:rPr>
              <w:t>Study</w:t>
            </w:r>
          </w:p>
        </w:tc>
        <w:tc>
          <w:tcPr>
            <w:tcW w:w="928" w:type="pct"/>
            <w:shd w:val="clear" w:color="auto" w:fill="BFBFBF" w:themeFill="background1" w:themeFillShade="BF"/>
            <w:vAlign w:val="center"/>
          </w:tcPr>
          <w:p w:rsidR="00491473" w:rsidRDefault="00491473" w:rsidP="00B17D07">
            <w:pPr>
              <w:pStyle w:val="Tableheading"/>
              <w:jc w:val="center"/>
              <w:rPr>
                <w:rFonts w:eastAsia="MS Mincho"/>
              </w:rPr>
            </w:pPr>
            <w:r>
              <w:rPr>
                <w:rFonts w:eastAsia="MS Mincho"/>
              </w:rPr>
              <w:t>Study type</w:t>
            </w:r>
          </w:p>
        </w:tc>
        <w:tc>
          <w:tcPr>
            <w:tcW w:w="928" w:type="pct"/>
            <w:shd w:val="clear" w:color="auto" w:fill="BFBFBF" w:themeFill="background1" w:themeFillShade="BF"/>
            <w:tcMar>
              <w:left w:w="28" w:type="dxa"/>
              <w:right w:w="28" w:type="dxa"/>
            </w:tcMar>
            <w:vAlign w:val="center"/>
          </w:tcPr>
          <w:p w:rsidR="00491473" w:rsidRPr="002D7608" w:rsidRDefault="00491473" w:rsidP="00B17D07">
            <w:pPr>
              <w:pStyle w:val="Tableheading"/>
              <w:jc w:val="center"/>
              <w:rPr>
                <w:rFonts w:eastAsia="MS Mincho"/>
                <w:vertAlign w:val="superscript"/>
              </w:rPr>
            </w:pPr>
            <w:r>
              <w:rPr>
                <w:rFonts w:eastAsia="MS Mincho"/>
              </w:rPr>
              <w:t>Previously considered studies included</w:t>
            </w:r>
            <w:r>
              <w:rPr>
                <w:rFonts w:eastAsia="MS Mincho"/>
                <w:vertAlign w:val="superscript"/>
              </w:rPr>
              <w:t>1</w:t>
            </w:r>
          </w:p>
        </w:tc>
        <w:tc>
          <w:tcPr>
            <w:tcW w:w="619" w:type="pct"/>
            <w:shd w:val="clear" w:color="auto" w:fill="BFBFBF" w:themeFill="background1" w:themeFillShade="BF"/>
            <w:tcMar>
              <w:left w:w="28" w:type="dxa"/>
              <w:right w:w="28" w:type="dxa"/>
            </w:tcMar>
            <w:vAlign w:val="center"/>
          </w:tcPr>
          <w:p w:rsidR="00491473" w:rsidRPr="00061F78" w:rsidRDefault="00B828EC" w:rsidP="00B17D07">
            <w:pPr>
              <w:pStyle w:val="Tableheading"/>
              <w:jc w:val="center"/>
              <w:rPr>
                <w:rFonts w:eastAsia="MS Mincho"/>
              </w:rPr>
            </w:pPr>
            <w:r>
              <w:rPr>
                <w:rFonts w:eastAsia="MS Mincho"/>
              </w:rPr>
              <w:t>Varenicline</w:t>
            </w:r>
          </w:p>
        </w:tc>
        <w:tc>
          <w:tcPr>
            <w:tcW w:w="653" w:type="pct"/>
            <w:shd w:val="clear" w:color="auto" w:fill="BFBFBF" w:themeFill="background1" w:themeFillShade="BF"/>
            <w:tcMar>
              <w:left w:w="28" w:type="dxa"/>
              <w:right w:w="28" w:type="dxa"/>
            </w:tcMar>
            <w:vAlign w:val="center"/>
          </w:tcPr>
          <w:p w:rsidR="00491473" w:rsidRPr="00061F78" w:rsidRDefault="00B828EC" w:rsidP="00B17D07">
            <w:pPr>
              <w:pStyle w:val="Tableheading"/>
              <w:jc w:val="center"/>
              <w:rPr>
                <w:rFonts w:eastAsia="MS Mincho"/>
              </w:rPr>
            </w:pPr>
            <w:r>
              <w:rPr>
                <w:rFonts w:eastAsia="MS Mincho"/>
              </w:rPr>
              <w:t>Bupropion</w:t>
            </w:r>
          </w:p>
        </w:tc>
        <w:tc>
          <w:tcPr>
            <w:tcW w:w="697" w:type="pct"/>
            <w:shd w:val="clear" w:color="auto" w:fill="BFBFBF" w:themeFill="background1" w:themeFillShade="BF"/>
            <w:tcMar>
              <w:left w:w="28" w:type="dxa"/>
              <w:right w:w="28" w:type="dxa"/>
            </w:tcMar>
            <w:vAlign w:val="center"/>
          </w:tcPr>
          <w:p w:rsidR="00491473" w:rsidRPr="00D468CF" w:rsidRDefault="00491473" w:rsidP="00B17D07">
            <w:pPr>
              <w:pStyle w:val="Tableheading"/>
              <w:jc w:val="center"/>
              <w:rPr>
                <w:rFonts w:eastAsia="MS Mincho"/>
                <w:vertAlign w:val="superscript"/>
              </w:rPr>
            </w:pPr>
            <w:r>
              <w:rPr>
                <w:rFonts w:eastAsia="MS Mincho"/>
              </w:rPr>
              <w:t>RR (95% CI)</w:t>
            </w:r>
          </w:p>
        </w:tc>
        <w:tc>
          <w:tcPr>
            <w:tcW w:w="695" w:type="pct"/>
            <w:shd w:val="clear" w:color="auto" w:fill="BFBFBF" w:themeFill="background1" w:themeFillShade="BF"/>
            <w:vAlign w:val="center"/>
          </w:tcPr>
          <w:p w:rsidR="00491473" w:rsidRDefault="00491473" w:rsidP="00B17D07">
            <w:pPr>
              <w:pStyle w:val="Tableheading"/>
              <w:jc w:val="center"/>
              <w:rPr>
                <w:rFonts w:eastAsia="MS Mincho"/>
              </w:rPr>
            </w:pPr>
            <w:r>
              <w:rPr>
                <w:rFonts w:eastAsia="MS Mincho"/>
              </w:rPr>
              <w:t>RD (95% CI)</w:t>
            </w:r>
          </w:p>
        </w:tc>
      </w:tr>
      <w:tr w:rsidR="00491473" w:rsidRPr="00061F78" w:rsidTr="003954C8">
        <w:trPr>
          <w:cantSplit/>
          <w:trHeight w:val="99"/>
        </w:trPr>
        <w:tc>
          <w:tcPr>
            <w:tcW w:w="5000" w:type="pct"/>
            <w:gridSpan w:val="7"/>
            <w:shd w:val="clear" w:color="auto" w:fill="auto"/>
            <w:tcMar>
              <w:left w:w="28" w:type="dxa"/>
              <w:right w:w="28" w:type="dxa"/>
            </w:tcMar>
            <w:vAlign w:val="center"/>
          </w:tcPr>
          <w:p w:rsidR="00491473" w:rsidRPr="003954C8" w:rsidRDefault="00491473" w:rsidP="00B17D07">
            <w:pPr>
              <w:pStyle w:val="Tablewriting"/>
              <w:rPr>
                <w:rFonts w:eastAsia="MS Mincho"/>
                <w:b/>
                <w:bCs/>
              </w:rPr>
            </w:pPr>
            <w:r w:rsidRPr="003954C8">
              <w:rPr>
                <w:rFonts w:eastAsia="MS Mincho"/>
                <w:b/>
                <w:bCs/>
              </w:rPr>
              <w:t>Adverse events</w:t>
            </w:r>
          </w:p>
        </w:tc>
      </w:tr>
      <w:tr w:rsidR="00491473" w:rsidRPr="00061F78" w:rsidTr="00491473">
        <w:trPr>
          <w:cantSplit/>
          <w:trHeight w:val="149"/>
        </w:trPr>
        <w:tc>
          <w:tcPr>
            <w:tcW w:w="480" w:type="pct"/>
            <w:tcMar>
              <w:left w:w="28" w:type="dxa"/>
              <w:right w:w="28" w:type="dxa"/>
            </w:tcMar>
          </w:tcPr>
          <w:p w:rsidR="00491473" w:rsidRDefault="00491473" w:rsidP="00B17D07">
            <w:pPr>
              <w:pStyle w:val="Tablewriting"/>
              <w:rPr>
                <w:rFonts w:eastAsia="MS Mincho"/>
              </w:rPr>
            </w:pPr>
            <w:r>
              <w:rPr>
                <w:rFonts w:eastAsia="MS Mincho"/>
              </w:rPr>
              <w:t>Howes</w:t>
            </w:r>
            <w:r w:rsidRPr="00061F78">
              <w:rPr>
                <w:rFonts w:eastAsia="MS Mincho"/>
              </w:rPr>
              <w:t xml:space="preserve"> </w:t>
            </w:r>
          </w:p>
          <w:p w:rsidR="00491473" w:rsidRPr="00D468CF" w:rsidRDefault="00491473" w:rsidP="00B17D07">
            <w:pPr>
              <w:pStyle w:val="Tablewriting"/>
              <w:rPr>
                <w:rFonts w:eastAsia="MS Mincho"/>
                <w:vertAlign w:val="superscript"/>
              </w:rPr>
            </w:pPr>
            <w:r w:rsidRPr="00061F78">
              <w:rPr>
                <w:rFonts w:eastAsia="MS Mincho"/>
              </w:rPr>
              <w:t>(20</w:t>
            </w:r>
            <w:r>
              <w:rPr>
                <w:rFonts w:eastAsia="MS Mincho"/>
              </w:rPr>
              <w:t>20</w:t>
            </w:r>
            <w:r w:rsidRPr="00061F78">
              <w:rPr>
                <w:rFonts w:eastAsia="MS Mincho"/>
              </w:rPr>
              <w:t>)</w:t>
            </w:r>
            <w:r w:rsidR="00960A15">
              <w:rPr>
                <w:rFonts w:eastAsia="MS Mincho"/>
                <w:vertAlign w:val="superscript"/>
              </w:rPr>
              <w:t>2</w:t>
            </w:r>
          </w:p>
        </w:tc>
        <w:tc>
          <w:tcPr>
            <w:tcW w:w="928" w:type="pct"/>
            <w:vAlign w:val="center"/>
          </w:tcPr>
          <w:p w:rsidR="00491473" w:rsidRDefault="00491473" w:rsidP="00B17D07">
            <w:pPr>
              <w:pStyle w:val="Tablewriting"/>
              <w:jc w:val="center"/>
              <w:rPr>
                <w:rFonts w:eastAsia="MS Mincho"/>
              </w:rPr>
            </w:pPr>
            <w:r>
              <w:rPr>
                <w:rFonts w:eastAsia="MS Mincho"/>
              </w:rPr>
              <w:t>Cochrane Review (</w:t>
            </w:r>
            <w:r w:rsidR="00B828EC">
              <w:rPr>
                <w:rFonts w:eastAsia="MS Mincho"/>
              </w:rPr>
              <w:t>5</w:t>
            </w:r>
            <w:r>
              <w:rPr>
                <w:rFonts w:eastAsia="MS Mincho"/>
              </w:rPr>
              <w:t xml:space="preserve"> RCTs)</w:t>
            </w:r>
          </w:p>
        </w:tc>
        <w:tc>
          <w:tcPr>
            <w:tcW w:w="928" w:type="pct"/>
            <w:tcMar>
              <w:left w:w="28" w:type="dxa"/>
              <w:right w:w="28" w:type="dxa"/>
            </w:tcMar>
            <w:vAlign w:val="center"/>
          </w:tcPr>
          <w:p w:rsidR="00491473" w:rsidRPr="00061F78" w:rsidRDefault="00B828EC" w:rsidP="00B17D07">
            <w:pPr>
              <w:pStyle w:val="Tablewriting"/>
              <w:jc w:val="center"/>
              <w:rPr>
                <w:rFonts w:eastAsia="MS Mincho"/>
              </w:rPr>
            </w:pPr>
            <w:r>
              <w:rPr>
                <w:rFonts w:eastAsia="MS Mincho"/>
              </w:rPr>
              <w:t>Gonzales (2006) and EAGLES (2016)</w:t>
            </w:r>
          </w:p>
        </w:tc>
        <w:tc>
          <w:tcPr>
            <w:tcW w:w="619" w:type="pct"/>
            <w:tcMar>
              <w:left w:w="28" w:type="dxa"/>
              <w:right w:w="28" w:type="dxa"/>
            </w:tcMar>
            <w:vAlign w:val="center"/>
          </w:tcPr>
          <w:p w:rsidR="00491473" w:rsidRDefault="007261E0" w:rsidP="00B17D07">
            <w:pPr>
              <w:pStyle w:val="Tablewriting"/>
              <w:jc w:val="center"/>
              <w:rPr>
                <w:rFonts w:eastAsia="MS Mincho"/>
              </w:rPr>
            </w:pPr>
            <w:r>
              <w:rPr>
                <w:rFonts w:eastAsia="MS Mincho"/>
              </w:rPr>
              <w:t>2,335</w:t>
            </w:r>
            <w:r w:rsidR="00491473" w:rsidRPr="00061F78">
              <w:rPr>
                <w:rFonts w:eastAsia="MS Mincho"/>
              </w:rPr>
              <w:t>/</w:t>
            </w:r>
            <w:r>
              <w:rPr>
                <w:rFonts w:eastAsia="MS Mincho"/>
              </w:rPr>
              <w:t>3,062</w:t>
            </w:r>
            <w:r w:rsidR="00491473" w:rsidRPr="00061F78">
              <w:rPr>
                <w:rFonts w:eastAsia="MS Mincho"/>
              </w:rPr>
              <w:t xml:space="preserve"> </w:t>
            </w:r>
          </w:p>
          <w:p w:rsidR="00491473" w:rsidRPr="00061F78" w:rsidRDefault="00491473" w:rsidP="00B17D07">
            <w:pPr>
              <w:pStyle w:val="Tablewriting"/>
              <w:jc w:val="center"/>
              <w:rPr>
                <w:rFonts w:eastAsia="MS Mincho"/>
              </w:rPr>
            </w:pPr>
            <w:r w:rsidRPr="00061F78">
              <w:rPr>
                <w:rFonts w:eastAsia="MS Mincho"/>
              </w:rPr>
              <w:t>(</w:t>
            </w:r>
            <w:r w:rsidR="00B6509C">
              <w:rPr>
                <w:rFonts w:eastAsia="MS Mincho"/>
              </w:rPr>
              <w:t>76.3</w:t>
            </w:r>
            <w:r w:rsidRPr="00061F78">
              <w:rPr>
                <w:rFonts w:eastAsia="MS Mincho"/>
              </w:rPr>
              <w:t>%)</w:t>
            </w:r>
          </w:p>
        </w:tc>
        <w:tc>
          <w:tcPr>
            <w:tcW w:w="653" w:type="pct"/>
            <w:tcMar>
              <w:left w:w="28" w:type="dxa"/>
              <w:right w:w="28" w:type="dxa"/>
            </w:tcMar>
            <w:vAlign w:val="center"/>
          </w:tcPr>
          <w:p w:rsidR="00491473" w:rsidRDefault="007261E0" w:rsidP="00B17D07">
            <w:pPr>
              <w:pStyle w:val="Tablewriting"/>
              <w:jc w:val="center"/>
              <w:rPr>
                <w:rFonts w:eastAsia="MS Mincho"/>
              </w:rPr>
            </w:pPr>
            <w:r>
              <w:rPr>
                <w:rFonts w:eastAsia="MS Mincho"/>
              </w:rPr>
              <w:t>1,997</w:t>
            </w:r>
            <w:r w:rsidR="00491473" w:rsidRPr="00061F78">
              <w:rPr>
                <w:rFonts w:eastAsia="MS Mincho"/>
              </w:rPr>
              <w:t>/</w:t>
            </w:r>
            <w:r>
              <w:rPr>
                <w:rFonts w:eastAsia="MS Mincho"/>
              </w:rPr>
              <w:t>2,718</w:t>
            </w:r>
            <w:r w:rsidR="00491473" w:rsidRPr="00061F78">
              <w:rPr>
                <w:rFonts w:eastAsia="MS Mincho"/>
              </w:rPr>
              <w:t xml:space="preserve"> </w:t>
            </w:r>
          </w:p>
          <w:p w:rsidR="00491473" w:rsidRPr="00061F78" w:rsidRDefault="00491473" w:rsidP="00B17D07">
            <w:pPr>
              <w:pStyle w:val="Tablewriting"/>
              <w:jc w:val="center"/>
              <w:rPr>
                <w:rFonts w:eastAsia="MS Mincho"/>
              </w:rPr>
            </w:pPr>
            <w:r w:rsidRPr="00061F78">
              <w:rPr>
                <w:rFonts w:eastAsia="MS Mincho"/>
              </w:rPr>
              <w:t>(</w:t>
            </w:r>
            <w:r w:rsidR="00B6509C">
              <w:rPr>
                <w:rFonts w:eastAsia="MS Mincho"/>
              </w:rPr>
              <w:t>73.5</w:t>
            </w:r>
            <w:r w:rsidRPr="00061F78">
              <w:rPr>
                <w:rFonts w:eastAsia="MS Mincho"/>
              </w:rPr>
              <w:t>%)</w:t>
            </w:r>
          </w:p>
        </w:tc>
        <w:tc>
          <w:tcPr>
            <w:tcW w:w="697" w:type="pct"/>
            <w:tcMar>
              <w:left w:w="28" w:type="dxa"/>
              <w:right w:w="28" w:type="dxa"/>
            </w:tcMar>
            <w:vAlign w:val="center"/>
          </w:tcPr>
          <w:p w:rsidR="00491473" w:rsidRDefault="00931FD8" w:rsidP="00B17D07">
            <w:pPr>
              <w:pStyle w:val="Tablewriting"/>
              <w:jc w:val="center"/>
              <w:rPr>
                <w:rFonts w:eastAsia="MS Mincho"/>
              </w:rPr>
            </w:pPr>
            <w:r>
              <w:rPr>
                <w:rFonts w:eastAsia="MS Mincho"/>
              </w:rPr>
              <w:t>1.03</w:t>
            </w:r>
          </w:p>
          <w:p w:rsidR="00491473" w:rsidRPr="00061F78" w:rsidRDefault="00960A15" w:rsidP="00B17D07">
            <w:pPr>
              <w:pStyle w:val="Tablewriting"/>
              <w:jc w:val="center"/>
              <w:rPr>
                <w:rFonts w:eastAsia="MS Mincho"/>
              </w:rPr>
            </w:pPr>
            <w:r>
              <w:rPr>
                <w:rFonts w:eastAsia="MS Mincho"/>
              </w:rPr>
              <w:t>(1.00, 1.06)</w:t>
            </w:r>
          </w:p>
        </w:tc>
        <w:tc>
          <w:tcPr>
            <w:tcW w:w="695" w:type="pct"/>
            <w:vAlign w:val="center"/>
          </w:tcPr>
          <w:p w:rsidR="00491473" w:rsidRDefault="000250BB" w:rsidP="00B17D07">
            <w:pPr>
              <w:pStyle w:val="Tablewriting"/>
              <w:jc w:val="center"/>
              <w:rPr>
                <w:rFonts w:eastAsia="MS Mincho"/>
              </w:rPr>
            </w:pPr>
            <w:r>
              <w:rPr>
                <w:rFonts w:eastAsia="MS Mincho"/>
              </w:rPr>
              <w:t>0.02</w:t>
            </w:r>
          </w:p>
          <w:p w:rsidR="00491473" w:rsidRPr="00061F78" w:rsidRDefault="000250BB" w:rsidP="00B17D07">
            <w:pPr>
              <w:pStyle w:val="Tablewriting"/>
              <w:jc w:val="center"/>
              <w:rPr>
                <w:rFonts w:eastAsia="MS Mincho"/>
              </w:rPr>
            </w:pPr>
            <w:r>
              <w:rPr>
                <w:rFonts w:eastAsia="MS Mincho"/>
              </w:rPr>
              <w:t>(-0, 0.04)</w:t>
            </w:r>
          </w:p>
        </w:tc>
      </w:tr>
      <w:tr w:rsidR="00F12D2B" w:rsidRPr="00061F78" w:rsidTr="003954C8">
        <w:trPr>
          <w:cantSplit/>
          <w:trHeight w:val="149"/>
        </w:trPr>
        <w:tc>
          <w:tcPr>
            <w:tcW w:w="5000" w:type="pct"/>
            <w:gridSpan w:val="7"/>
            <w:shd w:val="clear" w:color="auto" w:fill="auto"/>
            <w:tcMar>
              <w:left w:w="28" w:type="dxa"/>
              <w:right w:w="28" w:type="dxa"/>
            </w:tcMar>
          </w:tcPr>
          <w:p w:rsidR="00F12D2B" w:rsidRPr="003954C8" w:rsidRDefault="00F12D2B" w:rsidP="00B17D07">
            <w:pPr>
              <w:pStyle w:val="Tablewriting"/>
              <w:rPr>
                <w:rFonts w:eastAsia="MS Mincho"/>
                <w:b/>
                <w:bCs/>
              </w:rPr>
            </w:pPr>
            <w:r w:rsidRPr="003954C8">
              <w:rPr>
                <w:rFonts w:eastAsia="MS Mincho"/>
                <w:b/>
                <w:bCs/>
              </w:rPr>
              <w:t>Psychiatric adverse events</w:t>
            </w:r>
          </w:p>
        </w:tc>
      </w:tr>
      <w:tr w:rsidR="00F12D2B" w:rsidRPr="00061F78" w:rsidTr="00F12D2B">
        <w:trPr>
          <w:cantSplit/>
          <w:trHeight w:val="149"/>
        </w:trPr>
        <w:tc>
          <w:tcPr>
            <w:tcW w:w="480" w:type="pct"/>
            <w:tcMar>
              <w:left w:w="28" w:type="dxa"/>
              <w:right w:w="28" w:type="dxa"/>
            </w:tcMar>
          </w:tcPr>
          <w:p w:rsidR="00F12D2B" w:rsidRDefault="00F12D2B" w:rsidP="00B17D07">
            <w:pPr>
              <w:pStyle w:val="Tablewriting"/>
              <w:rPr>
                <w:rFonts w:eastAsia="MS Mincho"/>
              </w:rPr>
            </w:pPr>
            <w:r>
              <w:rPr>
                <w:rFonts w:eastAsia="MS Mincho"/>
              </w:rPr>
              <w:t>Howes</w:t>
            </w:r>
            <w:r w:rsidRPr="00061F78">
              <w:rPr>
                <w:rFonts w:eastAsia="MS Mincho"/>
              </w:rPr>
              <w:t xml:space="preserve"> </w:t>
            </w:r>
          </w:p>
          <w:p w:rsidR="00F12D2B" w:rsidRDefault="00F12D2B" w:rsidP="00B17D07">
            <w:pPr>
              <w:pStyle w:val="Tablewriting"/>
              <w:rPr>
                <w:rFonts w:eastAsia="MS Mincho"/>
              </w:rPr>
            </w:pPr>
            <w:r w:rsidRPr="00061F78">
              <w:rPr>
                <w:rFonts w:eastAsia="MS Mincho"/>
              </w:rPr>
              <w:t>(20</w:t>
            </w:r>
            <w:r>
              <w:rPr>
                <w:rFonts w:eastAsia="MS Mincho"/>
              </w:rPr>
              <w:t>20</w:t>
            </w:r>
            <w:r w:rsidRPr="00061F78">
              <w:rPr>
                <w:rFonts w:eastAsia="MS Mincho"/>
              </w:rPr>
              <w:t>)</w:t>
            </w:r>
            <w:r w:rsidR="00960A15" w:rsidRPr="00960A15">
              <w:rPr>
                <w:rFonts w:eastAsia="MS Mincho"/>
                <w:vertAlign w:val="superscript"/>
              </w:rPr>
              <w:t>2</w:t>
            </w:r>
          </w:p>
        </w:tc>
        <w:tc>
          <w:tcPr>
            <w:tcW w:w="928" w:type="pct"/>
            <w:vAlign w:val="center"/>
          </w:tcPr>
          <w:p w:rsidR="00F12D2B" w:rsidRDefault="00F12D2B" w:rsidP="00B17D07">
            <w:pPr>
              <w:pStyle w:val="Tablewriting"/>
              <w:jc w:val="center"/>
              <w:rPr>
                <w:rFonts w:eastAsia="MS Mincho"/>
              </w:rPr>
            </w:pPr>
            <w:r>
              <w:rPr>
                <w:rFonts w:eastAsia="MS Mincho"/>
              </w:rPr>
              <w:t>Cochrane Review (2 RCTs)</w:t>
            </w:r>
          </w:p>
        </w:tc>
        <w:tc>
          <w:tcPr>
            <w:tcW w:w="928" w:type="pct"/>
            <w:tcMar>
              <w:left w:w="28" w:type="dxa"/>
              <w:right w:w="28" w:type="dxa"/>
            </w:tcMar>
            <w:vAlign w:val="center"/>
          </w:tcPr>
          <w:p w:rsidR="00F12D2B" w:rsidRDefault="00F12D2B" w:rsidP="00B17D07">
            <w:pPr>
              <w:pStyle w:val="Tablewriting"/>
              <w:jc w:val="center"/>
              <w:rPr>
                <w:rFonts w:eastAsia="MS Mincho"/>
              </w:rPr>
            </w:pPr>
            <w:r>
              <w:rPr>
                <w:rFonts w:eastAsia="MS Mincho"/>
              </w:rPr>
              <w:t>EAGLES (2016)</w:t>
            </w:r>
          </w:p>
        </w:tc>
        <w:tc>
          <w:tcPr>
            <w:tcW w:w="619" w:type="pct"/>
            <w:tcMar>
              <w:left w:w="28" w:type="dxa"/>
              <w:right w:w="28" w:type="dxa"/>
            </w:tcMar>
            <w:vAlign w:val="center"/>
          </w:tcPr>
          <w:p w:rsidR="00F12D2B" w:rsidRDefault="00F12D2B" w:rsidP="00B17D07">
            <w:pPr>
              <w:pStyle w:val="Tablewriting"/>
              <w:jc w:val="center"/>
              <w:rPr>
                <w:rFonts w:eastAsia="MS Mincho"/>
              </w:rPr>
            </w:pPr>
            <w:r>
              <w:rPr>
                <w:rFonts w:eastAsia="MS Mincho"/>
              </w:rPr>
              <w:t>724</w:t>
            </w:r>
            <w:r w:rsidRPr="00061F78">
              <w:rPr>
                <w:rFonts w:eastAsia="MS Mincho"/>
              </w:rPr>
              <w:t>/</w:t>
            </w:r>
            <w:r>
              <w:rPr>
                <w:rFonts w:eastAsia="MS Mincho"/>
              </w:rPr>
              <w:t>2,031</w:t>
            </w:r>
            <w:r w:rsidRPr="00061F78">
              <w:rPr>
                <w:rFonts w:eastAsia="MS Mincho"/>
              </w:rPr>
              <w:t xml:space="preserve"> </w:t>
            </w:r>
          </w:p>
          <w:p w:rsidR="00F12D2B" w:rsidRDefault="00F12D2B" w:rsidP="00B17D07">
            <w:pPr>
              <w:pStyle w:val="Tablewriting"/>
              <w:jc w:val="center"/>
              <w:rPr>
                <w:rFonts w:eastAsia="MS Mincho"/>
              </w:rPr>
            </w:pPr>
            <w:r w:rsidRPr="00061F78">
              <w:rPr>
                <w:rFonts w:eastAsia="MS Mincho"/>
              </w:rPr>
              <w:t>(</w:t>
            </w:r>
            <w:r w:rsidR="00E75FF1">
              <w:rPr>
                <w:rFonts w:eastAsia="MS Mincho"/>
              </w:rPr>
              <w:t>35.6</w:t>
            </w:r>
            <w:r w:rsidRPr="00061F78">
              <w:rPr>
                <w:rFonts w:eastAsia="MS Mincho"/>
              </w:rPr>
              <w:t>%)</w:t>
            </w:r>
          </w:p>
        </w:tc>
        <w:tc>
          <w:tcPr>
            <w:tcW w:w="653" w:type="pct"/>
            <w:tcMar>
              <w:left w:w="28" w:type="dxa"/>
              <w:right w:w="28" w:type="dxa"/>
            </w:tcMar>
            <w:vAlign w:val="center"/>
          </w:tcPr>
          <w:p w:rsidR="00F12D2B" w:rsidRDefault="00F12D2B" w:rsidP="00B17D07">
            <w:pPr>
              <w:pStyle w:val="Tablewriting"/>
              <w:jc w:val="center"/>
              <w:rPr>
                <w:rFonts w:eastAsia="MS Mincho"/>
              </w:rPr>
            </w:pPr>
            <w:r>
              <w:rPr>
                <w:rFonts w:eastAsia="MS Mincho"/>
              </w:rPr>
              <w:t>771</w:t>
            </w:r>
            <w:r w:rsidRPr="00061F78">
              <w:rPr>
                <w:rFonts w:eastAsia="MS Mincho"/>
              </w:rPr>
              <w:t>/</w:t>
            </w:r>
            <w:r>
              <w:rPr>
                <w:rFonts w:eastAsia="MS Mincho"/>
              </w:rPr>
              <w:t>2,020</w:t>
            </w:r>
            <w:r w:rsidRPr="00061F78">
              <w:rPr>
                <w:rFonts w:eastAsia="MS Mincho"/>
              </w:rPr>
              <w:t xml:space="preserve"> </w:t>
            </w:r>
          </w:p>
          <w:p w:rsidR="00F12D2B" w:rsidRDefault="00F12D2B" w:rsidP="00B17D07">
            <w:pPr>
              <w:pStyle w:val="Tablewriting"/>
              <w:jc w:val="center"/>
              <w:rPr>
                <w:rFonts w:eastAsia="MS Mincho"/>
              </w:rPr>
            </w:pPr>
            <w:r w:rsidRPr="00061F78">
              <w:rPr>
                <w:rFonts w:eastAsia="MS Mincho"/>
              </w:rPr>
              <w:t>(</w:t>
            </w:r>
            <w:r w:rsidR="00E75FF1">
              <w:rPr>
                <w:rFonts w:eastAsia="MS Mincho"/>
              </w:rPr>
              <w:t>38.2</w:t>
            </w:r>
            <w:r w:rsidRPr="00061F78">
              <w:rPr>
                <w:rFonts w:eastAsia="MS Mincho"/>
              </w:rPr>
              <w:t>%)</w:t>
            </w:r>
          </w:p>
        </w:tc>
        <w:tc>
          <w:tcPr>
            <w:tcW w:w="697" w:type="pct"/>
            <w:tcMar>
              <w:left w:w="28" w:type="dxa"/>
              <w:right w:w="28" w:type="dxa"/>
            </w:tcMar>
            <w:vAlign w:val="center"/>
          </w:tcPr>
          <w:p w:rsidR="00F12D2B" w:rsidRDefault="00246A0B" w:rsidP="00B17D07">
            <w:pPr>
              <w:pStyle w:val="Tablewriting"/>
              <w:jc w:val="center"/>
              <w:rPr>
                <w:rFonts w:eastAsia="MS Mincho"/>
              </w:rPr>
            </w:pPr>
            <w:r>
              <w:rPr>
                <w:rFonts w:eastAsia="MS Mincho"/>
              </w:rPr>
              <w:t>0.93</w:t>
            </w:r>
          </w:p>
          <w:p w:rsidR="00F12D2B" w:rsidRPr="007261E0" w:rsidRDefault="00246A0B" w:rsidP="00B17D07">
            <w:pPr>
              <w:pStyle w:val="Tablewriting"/>
              <w:jc w:val="center"/>
              <w:rPr>
                <w:rFonts w:eastAsia="MS Mincho"/>
              </w:rPr>
            </w:pPr>
            <w:r>
              <w:rPr>
                <w:rFonts w:eastAsia="MS Mincho"/>
              </w:rPr>
              <w:t>(0.86, 1.01)</w:t>
            </w:r>
          </w:p>
        </w:tc>
        <w:tc>
          <w:tcPr>
            <w:tcW w:w="695" w:type="pct"/>
            <w:vAlign w:val="center"/>
          </w:tcPr>
          <w:p w:rsidR="00F12D2B" w:rsidRDefault="005F10B3" w:rsidP="00B17D07">
            <w:pPr>
              <w:pStyle w:val="Tablewriting"/>
              <w:jc w:val="center"/>
              <w:rPr>
                <w:rFonts w:eastAsia="MS Mincho"/>
              </w:rPr>
            </w:pPr>
            <w:r>
              <w:rPr>
                <w:rFonts w:eastAsia="MS Mincho"/>
              </w:rPr>
              <w:t>-0.02</w:t>
            </w:r>
          </w:p>
          <w:p w:rsidR="00F12D2B" w:rsidRPr="00061F78" w:rsidRDefault="005F10B3" w:rsidP="00B17D07">
            <w:pPr>
              <w:pStyle w:val="Tablewriting"/>
              <w:jc w:val="center"/>
              <w:rPr>
                <w:rFonts w:eastAsia="MS Mincho"/>
              </w:rPr>
            </w:pPr>
            <w:r>
              <w:rPr>
                <w:rFonts w:eastAsia="MS Mincho"/>
              </w:rPr>
              <w:t>(-0.05, 0)</w:t>
            </w:r>
          </w:p>
        </w:tc>
      </w:tr>
      <w:tr w:rsidR="00491473" w:rsidRPr="00061F78" w:rsidTr="003954C8">
        <w:trPr>
          <w:cantSplit/>
          <w:trHeight w:val="149"/>
        </w:trPr>
        <w:tc>
          <w:tcPr>
            <w:tcW w:w="5000" w:type="pct"/>
            <w:gridSpan w:val="7"/>
            <w:shd w:val="clear" w:color="auto" w:fill="auto"/>
            <w:tcMar>
              <w:left w:w="28" w:type="dxa"/>
              <w:right w:w="28" w:type="dxa"/>
            </w:tcMar>
            <w:vAlign w:val="center"/>
          </w:tcPr>
          <w:p w:rsidR="00491473" w:rsidRPr="003954C8" w:rsidRDefault="00491473" w:rsidP="00B17D07">
            <w:pPr>
              <w:pStyle w:val="Tablewriting"/>
              <w:rPr>
                <w:rFonts w:eastAsia="MS Mincho"/>
                <w:b/>
                <w:bCs/>
              </w:rPr>
            </w:pPr>
            <w:r w:rsidRPr="003954C8">
              <w:rPr>
                <w:rFonts w:eastAsia="MS Mincho"/>
                <w:b/>
                <w:bCs/>
              </w:rPr>
              <w:t>Serious adverse events</w:t>
            </w:r>
          </w:p>
        </w:tc>
      </w:tr>
      <w:tr w:rsidR="00491473" w:rsidRPr="00061F78" w:rsidTr="00491473">
        <w:trPr>
          <w:cantSplit/>
          <w:trHeight w:val="149"/>
        </w:trPr>
        <w:tc>
          <w:tcPr>
            <w:tcW w:w="480" w:type="pct"/>
            <w:tcMar>
              <w:left w:w="28" w:type="dxa"/>
              <w:right w:w="28" w:type="dxa"/>
            </w:tcMar>
          </w:tcPr>
          <w:p w:rsidR="00491473" w:rsidRDefault="00491473" w:rsidP="00B17D07">
            <w:pPr>
              <w:pStyle w:val="Tablewriting"/>
              <w:rPr>
                <w:rFonts w:eastAsia="MS Mincho"/>
              </w:rPr>
            </w:pPr>
            <w:r>
              <w:rPr>
                <w:rFonts w:eastAsia="MS Mincho"/>
              </w:rPr>
              <w:t>Howes</w:t>
            </w:r>
            <w:r w:rsidRPr="00061F78">
              <w:rPr>
                <w:rFonts w:eastAsia="MS Mincho"/>
              </w:rPr>
              <w:t xml:space="preserve"> </w:t>
            </w:r>
          </w:p>
          <w:p w:rsidR="00491473" w:rsidRPr="00960A15" w:rsidRDefault="00491473" w:rsidP="00B17D07">
            <w:pPr>
              <w:pStyle w:val="Tablewriting"/>
              <w:rPr>
                <w:rFonts w:eastAsia="MS Mincho"/>
                <w:vertAlign w:val="superscript"/>
              </w:rPr>
            </w:pPr>
            <w:r w:rsidRPr="00061F78">
              <w:rPr>
                <w:rFonts w:eastAsia="MS Mincho"/>
              </w:rPr>
              <w:t>(20</w:t>
            </w:r>
            <w:r>
              <w:rPr>
                <w:rFonts w:eastAsia="MS Mincho"/>
              </w:rPr>
              <w:t>20</w:t>
            </w:r>
            <w:r w:rsidRPr="00061F78">
              <w:rPr>
                <w:rFonts w:eastAsia="MS Mincho"/>
              </w:rPr>
              <w:t>)</w:t>
            </w:r>
            <w:r w:rsidR="00960A15">
              <w:rPr>
                <w:rFonts w:eastAsia="MS Mincho"/>
                <w:vertAlign w:val="superscript"/>
              </w:rPr>
              <w:t>2</w:t>
            </w:r>
          </w:p>
        </w:tc>
        <w:tc>
          <w:tcPr>
            <w:tcW w:w="928" w:type="pct"/>
            <w:vAlign w:val="center"/>
          </w:tcPr>
          <w:p w:rsidR="00491473" w:rsidRDefault="00491473" w:rsidP="00B17D07">
            <w:pPr>
              <w:pStyle w:val="Tablewriting"/>
              <w:jc w:val="center"/>
              <w:rPr>
                <w:rFonts w:eastAsia="MS Mincho"/>
              </w:rPr>
            </w:pPr>
            <w:r>
              <w:rPr>
                <w:rFonts w:eastAsia="MS Mincho"/>
              </w:rPr>
              <w:t>Cochrane Review (</w:t>
            </w:r>
            <w:r w:rsidR="007261E0">
              <w:rPr>
                <w:rFonts w:eastAsia="MS Mincho"/>
              </w:rPr>
              <w:t>4</w:t>
            </w:r>
            <w:r>
              <w:rPr>
                <w:rFonts w:eastAsia="MS Mincho"/>
              </w:rPr>
              <w:t xml:space="preserve"> RCTs)</w:t>
            </w:r>
          </w:p>
        </w:tc>
        <w:tc>
          <w:tcPr>
            <w:tcW w:w="928" w:type="pct"/>
            <w:tcMar>
              <w:left w:w="28" w:type="dxa"/>
              <w:right w:w="28" w:type="dxa"/>
            </w:tcMar>
            <w:vAlign w:val="center"/>
          </w:tcPr>
          <w:p w:rsidR="00491473" w:rsidRDefault="007261E0" w:rsidP="00B17D07">
            <w:pPr>
              <w:pStyle w:val="Tablewriting"/>
              <w:jc w:val="center"/>
              <w:rPr>
                <w:rFonts w:eastAsia="MS Mincho"/>
              </w:rPr>
            </w:pPr>
            <w:r>
              <w:rPr>
                <w:rFonts w:eastAsia="MS Mincho"/>
              </w:rPr>
              <w:t>EAGLES (2016)</w:t>
            </w:r>
          </w:p>
        </w:tc>
        <w:tc>
          <w:tcPr>
            <w:tcW w:w="619" w:type="pct"/>
            <w:tcMar>
              <w:left w:w="28" w:type="dxa"/>
              <w:right w:w="28" w:type="dxa"/>
            </w:tcMar>
            <w:vAlign w:val="center"/>
          </w:tcPr>
          <w:p w:rsidR="00491473" w:rsidRDefault="007261E0" w:rsidP="00B17D07">
            <w:pPr>
              <w:pStyle w:val="Tablewriting"/>
              <w:jc w:val="center"/>
              <w:rPr>
                <w:rFonts w:eastAsia="MS Mincho"/>
              </w:rPr>
            </w:pPr>
            <w:r>
              <w:rPr>
                <w:rFonts w:eastAsia="MS Mincho"/>
              </w:rPr>
              <w:t>42</w:t>
            </w:r>
            <w:r w:rsidR="00491473" w:rsidRPr="00061F78">
              <w:rPr>
                <w:rFonts w:eastAsia="MS Mincho"/>
              </w:rPr>
              <w:t>/</w:t>
            </w:r>
            <w:r>
              <w:rPr>
                <w:rFonts w:eastAsia="MS Mincho"/>
              </w:rPr>
              <w:t>2,494</w:t>
            </w:r>
            <w:r w:rsidR="00491473" w:rsidRPr="00061F78">
              <w:rPr>
                <w:rFonts w:eastAsia="MS Mincho"/>
              </w:rPr>
              <w:t xml:space="preserve"> </w:t>
            </w:r>
          </w:p>
          <w:p w:rsidR="00491473" w:rsidRDefault="00491473" w:rsidP="00B17D07">
            <w:pPr>
              <w:pStyle w:val="Tablewriting"/>
              <w:jc w:val="center"/>
              <w:rPr>
                <w:rFonts w:eastAsia="MS Mincho"/>
              </w:rPr>
            </w:pPr>
            <w:r w:rsidRPr="00061F78">
              <w:rPr>
                <w:rFonts w:eastAsia="MS Mincho"/>
              </w:rPr>
              <w:t>(</w:t>
            </w:r>
            <w:r w:rsidR="00E75FF1">
              <w:rPr>
                <w:rFonts w:eastAsia="MS Mincho"/>
              </w:rPr>
              <w:t>1.7</w:t>
            </w:r>
            <w:r w:rsidRPr="00061F78">
              <w:rPr>
                <w:rFonts w:eastAsia="MS Mincho"/>
              </w:rPr>
              <w:t>%)</w:t>
            </w:r>
          </w:p>
        </w:tc>
        <w:tc>
          <w:tcPr>
            <w:tcW w:w="653" w:type="pct"/>
            <w:tcMar>
              <w:left w:w="28" w:type="dxa"/>
              <w:right w:w="28" w:type="dxa"/>
            </w:tcMar>
            <w:vAlign w:val="center"/>
          </w:tcPr>
          <w:p w:rsidR="00491473" w:rsidRDefault="007261E0" w:rsidP="00B17D07">
            <w:pPr>
              <w:pStyle w:val="Tablewriting"/>
              <w:jc w:val="center"/>
              <w:rPr>
                <w:rFonts w:eastAsia="MS Mincho"/>
              </w:rPr>
            </w:pPr>
            <w:r>
              <w:rPr>
                <w:rFonts w:eastAsia="MS Mincho"/>
              </w:rPr>
              <w:t>55</w:t>
            </w:r>
            <w:r w:rsidR="00491473" w:rsidRPr="00061F78">
              <w:rPr>
                <w:rFonts w:eastAsia="MS Mincho"/>
              </w:rPr>
              <w:t>/</w:t>
            </w:r>
            <w:r>
              <w:rPr>
                <w:rFonts w:eastAsia="MS Mincho"/>
              </w:rPr>
              <w:t>2,248</w:t>
            </w:r>
            <w:r w:rsidR="00491473" w:rsidRPr="00061F78">
              <w:rPr>
                <w:rFonts w:eastAsia="MS Mincho"/>
              </w:rPr>
              <w:t xml:space="preserve"> </w:t>
            </w:r>
          </w:p>
          <w:p w:rsidR="00491473" w:rsidRPr="00061F78" w:rsidRDefault="00491473" w:rsidP="00B17D07">
            <w:pPr>
              <w:pStyle w:val="Tablewriting"/>
              <w:jc w:val="center"/>
              <w:rPr>
                <w:rFonts w:eastAsia="MS Mincho"/>
              </w:rPr>
            </w:pPr>
            <w:r w:rsidRPr="00061F78">
              <w:rPr>
                <w:rFonts w:eastAsia="MS Mincho"/>
              </w:rPr>
              <w:t>(</w:t>
            </w:r>
            <w:r w:rsidR="00E75FF1">
              <w:rPr>
                <w:rFonts w:eastAsia="MS Mincho"/>
              </w:rPr>
              <w:t>2.4</w:t>
            </w:r>
            <w:r w:rsidRPr="00061F78">
              <w:rPr>
                <w:rFonts w:eastAsia="MS Mincho"/>
              </w:rPr>
              <w:t>%)</w:t>
            </w:r>
          </w:p>
        </w:tc>
        <w:tc>
          <w:tcPr>
            <w:tcW w:w="697" w:type="pct"/>
            <w:tcMar>
              <w:left w:w="28" w:type="dxa"/>
              <w:right w:w="28" w:type="dxa"/>
            </w:tcMar>
            <w:vAlign w:val="center"/>
          </w:tcPr>
          <w:p w:rsidR="00491473" w:rsidRDefault="00CF2731" w:rsidP="00B17D07">
            <w:pPr>
              <w:pStyle w:val="Tablewriting"/>
              <w:jc w:val="center"/>
              <w:rPr>
                <w:rFonts w:eastAsia="MS Mincho"/>
              </w:rPr>
            </w:pPr>
            <w:r>
              <w:rPr>
                <w:rFonts w:eastAsia="MS Mincho"/>
              </w:rPr>
              <w:t>0.73</w:t>
            </w:r>
          </w:p>
          <w:p w:rsidR="00491473" w:rsidRPr="00275BAC" w:rsidRDefault="00CF2731" w:rsidP="00B17D07">
            <w:pPr>
              <w:pStyle w:val="Tablewriting"/>
              <w:jc w:val="center"/>
              <w:rPr>
                <w:rFonts w:eastAsia="MS Mincho"/>
              </w:rPr>
            </w:pPr>
            <w:r>
              <w:rPr>
                <w:rFonts w:eastAsia="MS Mincho"/>
              </w:rPr>
              <w:t>(0.49, 1.08)</w:t>
            </w:r>
          </w:p>
        </w:tc>
        <w:tc>
          <w:tcPr>
            <w:tcW w:w="695" w:type="pct"/>
            <w:vAlign w:val="center"/>
          </w:tcPr>
          <w:p w:rsidR="00491473" w:rsidRDefault="00CF2731" w:rsidP="00B17D07">
            <w:pPr>
              <w:pStyle w:val="Tablewriting"/>
              <w:jc w:val="center"/>
              <w:rPr>
                <w:rFonts w:eastAsia="MS Mincho"/>
              </w:rPr>
            </w:pPr>
            <w:r>
              <w:rPr>
                <w:rFonts w:eastAsia="MS Mincho"/>
              </w:rPr>
              <w:t>-0.01</w:t>
            </w:r>
          </w:p>
          <w:p w:rsidR="00491473" w:rsidRPr="00061F78" w:rsidRDefault="00CF2731" w:rsidP="00B17D07">
            <w:pPr>
              <w:pStyle w:val="Tablewriting"/>
              <w:jc w:val="center"/>
              <w:rPr>
                <w:rFonts w:eastAsia="MS Mincho"/>
              </w:rPr>
            </w:pPr>
            <w:r>
              <w:rPr>
                <w:rFonts w:eastAsia="MS Mincho"/>
              </w:rPr>
              <w:t>(-0.01, 0)</w:t>
            </w:r>
          </w:p>
        </w:tc>
      </w:tr>
      <w:tr w:rsidR="00491473" w:rsidRPr="00061F78" w:rsidTr="003954C8">
        <w:trPr>
          <w:cantSplit/>
          <w:trHeight w:val="149"/>
        </w:trPr>
        <w:tc>
          <w:tcPr>
            <w:tcW w:w="5000" w:type="pct"/>
            <w:gridSpan w:val="7"/>
            <w:shd w:val="clear" w:color="auto" w:fill="auto"/>
            <w:tcMar>
              <w:left w:w="28" w:type="dxa"/>
              <w:right w:w="28" w:type="dxa"/>
            </w:tcMar>
          </w:tcPr>
          <w:p w:rsidR="00491473" w:rsidRPr="003954C8" w:rsidRDefault="00491473" w:rsidP="00B17D07">
            <w:pPr>
              <w:pStyle w:val="Tablewriting"/>
              <w:rPr>
                <w:rFonts w:eastAsia="MS Mincho"/>
                <w:b/>
                <w:bCs/>
              </w:rPr>
            </w:pPr>
            <w:r w:rsidRPr="003954C8">
              <w:rPr>
                <w:rFonts w:eastAsia="MS Mincho"/>
                <w:b/>
                <w:bCs/>
              </w:rPr>
              <w:t>Discontinuation due to adverse events</w:t>
            </w:r>
          </w:p>
        </w:tc>
      </w:tr>
      <w:tr w:rsidR="00491473" w:rsidRPr="00061F78" w:rsidTr="00491473">
        <w:trPr>
          <w:cantSplit/>
          <w:trHeight w:val="149"/>
        </w:trPr>
        <w:tc>
          <w:tcPr>
            <w:tcW w:w="480" w:type="pct"/>
            <w:tcMar>
              <w:left w:w="28" w:type="dxa"/>
              <w:right w:w="28" w:type="dxa"/>
            </w:tcMar>
          </w:tcPr>
          <w:p w:rsidR="00491473" w:rsidRDefault="00491473" w:rsidP="00B17D07">
            <w:pPr>
              <w:pStyle w:val="Tablewriting"/>
              <w:rPr>
                <w:rFonts w:eastAsia="MS Mincho"/>
              </w:rPr>
            </w:pPr>
            <w:r>
              <w:rPr>
                <w:rFonts w:eastAsia="MS Mincho"/>
              </w:rPr>
              <w:t>Howes</w:t>
            </w:r>
            <w:r w:rsidRPr="00061F78">
              <w:rPr>
                <w:rFonts w:eastAsia="MS Mincho"/>
              </w:rPr>
              <w:t xml:space="preserve"> </w:t>
            </w:r>
          </w:p>
          <w:p w:rsidR="00491473" w:rsidRPr="00B17D07" w:rsidRDefault="00491473" w:rsidP="00B17D07">
            <w:pPr>
              <w:pStyle w:val="Tablewriting"/>
              <w:rPr>
                <w:rFonts w:eastAsia="MS Mincho"/>
                <w:vertAlign w:val="superscript"/>
              </w:rPr>
            </w:pPr>
            <w:r w:rsidRPr="00061F78">
              <w:rPr>
                <w:rFonts w:eastAsia="MS Mincho"/>
              </w:rPr>
              <w:t>(20</w:t>
            </w:r>
            <w:r>
              <w:rPr>
                <w:rFonts w:eastAsia="MS Mincho"/>
              </w:rPr>
              <w:t>20</w:t>
            </w:r>
            <w:r w:rsidRPr="00061F78">
              <w:rPr>
                <w:rFonts w:eastAsia="MS Mincho"/>
              </w:rPr>
              <w:t>)</w:t>
            </w:r>
            <w:r w:rsidR="00B17D07">
              <w:rPr>
                <w:rFonts w:eastAsia="MS Mincho"/>
                <w:vertAlign w:val="superscript"/>
              </w:rPr>
              <w:t>2</w:t>
            </w:r>
          </w:p>
        </w:tc>
        <w:tc>
          <w:tcPr>
            <w:tcW w:w="928" w:type="pct"/>
            <w:vAlign w:val="center"/>
          </w:tcPr>
          <w:p w:rsidR="00491473" w:rsidRDefault="00491473" w:rsidP="00B17D07">
            <w:pPr>
              <w:pStyle w:val="Tablewriting"/>
              <w:jc w:val="center"/>
              <w:rPr>
                <w:rFonts w:eastAsia="MS Mincho"/>
              </w:rPr>
            </w:pPr>
            <w:r>
              <w:rPr>
                <w:rFonts w:eastAsia="MS Mincho"/>
              </w:rPr>
              <w:t>Cochrane Review (</w:t>
            </w:r>
            <w:r w:rsidR="007261E0">
              <w:rPr>
                <w:rFonts w:eastAsia="MS Mincho"/>
              </w:rPr>
              <w:t>6</w:t>
            </w:r>
            <w:r>
              <w:rPr>
                <w:rFonts w:eastAsia="MS Mincho"/>
              </w:rPr>
              <w:t xml:space="preserve"> RCTs)</w:t>
            </w:r>
          </w:p>
        </w:tc>
        <w:tc>
          <w:tcPr>
            <w:tcW w:w="928" w:type="pct"/>
            <w:tcMar>
              <w:left w:w="28" w:type="dxa"/>
              <w:right w:w="28" w:type="dxa"/>
            </w:tcMar>
            <w:vAlign w:val="center"/>
          </w:tcPr>
          <w:p w:rsidR="00491473" w:rsidRDefault="007261E0" w:rsidP="00B17D07">
            <w:pPr>
              <w:pStyle w:val="Tablewriting"/>
              <w:jc w:val="center"/>
              <w:rPr>
                <w:rFonts w:eastAsia="MS Mincho"/>
              </w:rPr>
            </w:pPr>
            <w:r>
              <w:rPr>
                <w:rFonts w:eastAsia="MS Mincho"/>
              </w:rPr>
              <w:t xml:space="preserve">Gonzales (2006), Jorenby (2006) and </w:t>
            </w:r>
            <w:r w:rsidRPr="007261E0">
              <w:rPr>
                <w:rFonts w:eastAsia="MS Mincho"/>
              </w:rPr>
              <w:t>EAGLES (2016)</w:t>
            </w:r>
          </w:p>
        </w:tc>
        <w:tc>
          <w:tcPr>
            <w:tcW w:w="619" w:type="pct"/>
            <w:tcMar>
              <w:left w:w="28" w:type="dxa"/>
              <w:right w:w="28" w:type="dxa"/>
            </w:tcMar>
            <w:vAlign w:val="center"/>
          </w:tcPr>
          <w:p w:rsidR="00491473" w:rsidRDefault="007261E0" w:rsidP="00B17D07">
            <w:pPr>
              <w:pStyle w:val="Tablewriting"/>
              <w:jc w:val="center"/>
              <w:rPr>
                <w:rFonts w:eastAsia="MS Mincho"/>
              </w:rPr>
            </w:pPr>
            <w:r>
              <w:rPr>
                <w:rFonts w:eastAsia="MS Mincho"/>
              </w:rPr>
              <w:t>328</w:t>
            </w:r>
            <w:r w:rsidR="00491473" w:rsidRPr="00061F78">
              <w:rPr>
                <w:rFonts w:eastAsia="MS Mincho"/>
              </w:rPr>
              <w:t>/</w:t>
            </w:r>
            <w:r>
              <w:rPr>
                <w:rFonts w:eastAsia="MS Mincho"/>
              </w:rPr>
              <w:t>3,186</w:t>
            </w:r>
            <w:r w:rsidR="00491473" w:rsidRPr="00061F78">
              <w:rPr>
                <w:rFonts w:eastAsia="MS Mincho"/>
              </w:rPr>
              <w:t xml:space="preserve"> </w:t>
            </w:r>
          </w:p>
          <w:p w:rsidR="00491473" w:rsidRDefault="00491473" w:rsidP="00B17D07">
            <w:pPr>
              <w:pStyle w:val="Tablewriting"/>
              <w:jc w:val="center"/>
              <w:rPr>
                <w:rFonts w:eastAsia="MS Mincho"/>
              </w:rPr>
            </w:pPr>
            <w:r w:rsidRPr="00061F78">
              <w:rPr>
                <w:rFonts w:eastAsia="MS Mincho"/>
              </w:rPr>
              <w:t>(</w:t>
            </w:r>
            <w:r w:rsidR="00E75FF1">
              <w:rPr>
                <w:rFonts w:eastAsia="MS Mincho"/>
              </w:rPr>
              <w:t>10.3</w:t>
            </w:r>
            <w:r w:rsidRPr="00061F78">
              <w:rPr>
                <w:rFonts w:eastAsia="MS Mincho"/>
              </w:rPr>
              <w:t>%)</w:t>
            </w:r>
          </w:p>
        </w:tc>
        <w:tc>
          <w:tcPr>
            <w:tcW w:w="653" w:type="pct"/>
            <w:tcMar>
              <w:left w:w="28" w:type="dxa"/>
              <w:right w:w="28" w:type="dxa"/>
            </w:tcMar>
            <w:vAlign w:val="center"/>
          </w:tcPr>
          <w:p w:rsidR="00491473" w:rsidRDefault="007261E0" w:rsidP="00B17D07">
            <w:pPr>
              <w:pStyle w:val="Tablewriting"/>
              <w:jc w:val="center"/>
              <w:rPr>
                <w:rFonts w:eastAsia="MS Mincho"/>
              </w:rPr>
            </w:pPr>
            <w:r>
              <w:rPr>
                <w:rFonts w:eastAsia="MS Mincho"/>
              </w:rPr>
              <w:t>281</w:t>
            </w:r>
            <w:r w:rsidR="00491473" w:rsidRPr="00061F78">
              <w:rPr>
                <w:rFonts w:eastAsia="MS Mincho"/>
              </w:rPr>
              <w:t>/</w:t>
            </w:r>
            <w:r>
              <w:rPr>
                <w:rFonts w:eastAsia="MS Mincho"/>
              </w:rPr>
              <w:t>2,917</w:t>
            </w:r>
            <w:r w:rsidR="00491473" w:rsidRPr="00061F78">
              <w:rPr>
                <w:rFonts w:eastAsia="MS Mincho"/>
              </w:rPr>
              <w:t xml:space="preserve"> </w:t>
            </w:r>
          </w:p>
          <w:p w:rsidR="00491473" w:rsidRPr="00061F78" w:rsidRDefault="00491473" w:rsidP="00B17D07">
            <w:pPr>
              <w:pStyle w:val="Tablewriting"/>
              <w:jc w:val="center"/>
              <w:rPr>
                <w:rFonts w:eastAsia="MS Mincho"/>
              </w:rPr>
            </w:pPr>
            <w:r w:rsidRPr="00061F78">
              <w:rPr>
                <w:rFonts w:eastAsia="MS Mincho"/>
              </w:rPr>
              <w:t>(</w:t>
            </w:r>
            <w:r w:rsidR="00E75FF1">
              <w:rPr>
                <w:rFonts w:eastAsia="MS Mincho"/>
              </w:rPr>
              <w:t>9.6</w:t>
            </w:r>
            <w:r w:rsidRPr="00061F78">
              <w:rPr>
                <w:rFonts w:eastAsia="MS Mincho"/>
              </w:rPr>
              <w:t>%)</w:t>
            </w:r>
          </w:p>
        </w:tc>
        <w:tc>
          <w:tcPr>
            <w:tcW w:w="697" w:type="pct"/>
            <w:tcMar>
              <w:left w:w="28" w:type="dxa"/>
              <w:right w:w="28" w:type="dxa"/>
            </w:tcMar>
            <w:vAlign w:val="center"/>
          </w:tcPr>
          <w:p w:rsidR="00491473" w:rsidRPr="003079B0" w:rsidRDefault="003079B0" w:rsidP="00B17D07">
            <w:pPr>
              <w:pStyle w:val="Tablewriting"/>
              <w:jc w:val="center"/>
              <w:rPr>
                <w:rFonts w:eastAsia="MS Mincho"/>
              </w:rPr>
            </w:pPr>
            <w:r w:rsidRPr="003079B0">
              <w:rPr>
                <w:rFonts w:eastAsia="MS Mincho"/>
              </w:rPr>
              <w:t>0.90</w:t>
            </w:r>
          </w:p>
          <w:p w:rsidR="00491473" w:rsidRPr="00D468CF" w:rsidRDefault="003079B0" w:rsidP="00B17D07">
            <w:pPr>
              <w:pStyle w:val="Tablewriting"/>
              <w:jc w:val="center"/>
              <w:rPr>
                <w:rFonts w:eastAsia="MS Mincho"/>
                <w:b/>
                <w:bCs/>
              </w:rPr>
            </w:pPr>
            <w:r w:rsidRPr="003079B0">
              <w:rPr>
                <w:rFonts w:eastAsia="MS Mincho"/>
              </w:rPr>
              <w:t>(0.74, 1.09)</w:t>
            </w:r>
          </w:p>
        </w:tc>
        <w:tc>
          <w:tcPr>
            <w:tcW w:w="695" w:type="pct"/>
            <w:vAlign w:val="center"/>
          </w:tcPr>
          <w:p w:rsidR="00491473" w:rsidRDefault="003079B0" w:rsidP="00B17D07">
            <w:pPr>
              <w:pStyle w:val="Tablewriting"/>
              <w:jc w:val="center"/>
              <w:rPr>
                <w:rFonts w:eastAsia="MS Mincho"/>
              </w:rPr>
            </w:pPr>
            <w:r>
              <w:rPr>
                <w:rFonts w:eastAsia="MS Mincho"/>
              </w:rPr>
              <w:t>-0.01</w:t>
            </w:r>
          </w:p>
          <w:p w:rsidR="00491473" w:rsidRPr="00061F78" w:rsidRDefault="003079B0" w:rsidP="00B17D07">
            <w:pPr>
              <w:pStyle w:val="Tablewriting"/>
              <w:jc w:val="center"/>
              <w:rPr>
                <w:rFonts w:eastAsia="MS Mincho"/>
              </w:rPr>
            </w:pPr>
            <w:r>
              <w:rPr>
                <w:rFonts w:eastAsia="MS Mincho"/>
              </w:rPr>
              <w:t>(-0.03, 0.01)</w:t>
            </w:r>
          </w:p>
        </w:tc>
      </w:tr>
    </w:tbl>
    <w:p w:rsidR="00D978BC" w:rsidRDefault="00D978BC" w:rsidP="00B17D07">
      <w:pPr>
        <w:pStyle w:val="TableFooter"/>
      </w:pPr>
      <w:r>
        <w:t>Source: Howes et al. (2020)</w:t>
      </w:r>
    </w:p>
    <w:p w:rsidR="00D978BC" w:rsidRDefault="00D978BC" w:rsidP="00B17D07">
      <w:pPr>
        <w:pStyle w:val="TableFooter"/>
      </w:pPr>
      <w:r>
        <w:t>Abbreviations: CI = confidence interval; RCT = randomised controlled trial; RR = risk ratio</w:t>
      </w:r>
    </w:p>
    <w:p w:rsidR="00D978BC" w:rsidRDefault="00D978BC" w:rsidP="00B17D07">
      <w:pPr>
        <w:pStyle w:val="TableFooter"/>
      </w:pPr>
      <w:r w:rsidRPr="00FD4061">
        <w:t>Note</w:t>
      </w:r>
      <w:r>
        <w:t>s</w:t>
      </w:r>
      <w:r w:rsidRPr="00FD4061">
        <w:t>: Bold indicates statistically significant difference.</w:t>
      </w:r>
      <w:r w:rsidRPr="00A038AD">
        <w:t xml:space="preserve"> </w:t>
      </w:r>
      <w:r>
        <w:t xml:space="preserve">See </w:t>
      </w:r>
      <w:r w:rsidRPr="00804A52">
        <w:t>Appendix</w:t>
      </w:r>
      <w:r w:rsidR="003F398E">
        <w:t xml:space="preserve"> </w:t>
      </w:r>
      <w:r w:rsidR="003C4A1C">
        <w:t xml:space="preserve">Figure </w:t>
      </w:r>
      <w:r w:rsidR="003C4A1C">
        <w:rPr>
          <w:noProof/>
        </w:rPr>
        <w:t>65</w:t>
      </w:r>
      <w:r w:rsidR="003F398E" w:rsidRPr="003F398E">
        <w:t xml:space="preserve"> to </w:t>
      </w:r>
      <w:r w:rsidR="003C4A1C">
        <w:t xml:space="preserve">Figure </w:t>
      </w:r>
      <w:r w:rsidR="003C4A1C">
        <w:rPr>
          <w:noProof/>
        </w:rPr>
        <w:t>68</w:t>
      </w:r>
      <w:r>
        <w:t xml:space="preserve"> for forest plots </w:t>
      </w:r>
      <w:r w:rsidR="0047538B" w:rsidRPr="0047538B">
        <w:t>of the respective outcomes which included the results of individual studies.</w:t>
      </w:r>
    </w:p>
    <w:p w:rsidR="00D978BC" w:rsidRDefault="00D978BC" w:rsidP="00B17D07">
      <w:pPr>
        <w:pStyle w:val="TableFooter"/>
      </w:pPr>
      <w:r>
        <w:t>1 Where previously considered studies were not included, this was due to the outcome not being reported</w:t>
      </w:r>
      <w:r w:rsidR="00AB5FA3">
        <w:t>.</w:t>
      </w:r>
    </w:p>
    <w:p w:rsidR="00D978BC" w:rsidRDefault="00D978BC" w:rsidP="00B17D07">
      <w:pPr>
        <w:pStyle w:val="TableFooter"/>
      </w:pPr>
      <w:r w:rsidRPr="00804A52">
        <w:t xml:space="preserve">2 </w:t>
      </w:r>
      <w:r w:rsidR="00B17D07" w:rsidRPr="00804A52">
        <w:t>Howes et al. (2020) presented this comparison as bupropion versus varenicline (inverse) using a fixed-effect model.</w:t>
      </w:r>
      <w:r w:rsidR="00960A15" w:rsidRPr="00804A52">
        <w:t xml:space="preserve"> Re-calculated during the review for varenicline versus bupropion using a random-effect model.</w:t>
      </w:r>
    </w:p>
    <w:p w:rsidR="005A0440" w:rsidRDefault="005A0440" w:rsidP="005A0440">
      <w:r w:rsidRPr="005A0440">
        <w:lastRenderedPageBreak/>
        <w:t xml:space="preserve">In a recently conducted study (EAGLES extension) comparing the relative cardiovascular safety risk of smoking cessation treatments using a placebo comparator, no significant treatment differences were observed in time to cardiovascular events, blood pressure, or heart rate between </w:t>
      </w:r>
      <w:r w:rsidR="0068673E">
        <w:t xml:space="preserve">varenicline and </w:t>
      </w:r>
      <w:r w:rsidRPr="005A0440">
        <w:t>bupropion (Benowitz et al. 2018).</w:t>
      </w:r>
    </w:p>
    <w:p w:rsidR="00F238A2" w:rsidRDefault="00F238A2" w:rsidP="00D02475">
      <w:pPr>
        <w:pStyle w:val="Heading5"/>
        <w:numPr>
          <w:ilvl w:val="0"/>
          <w:numId w:val="0"/>
        </w:numPr>
      </w:pPr>
      <w:r>
        <w:t>N</w:t>
      </w:r>
      <w:r w:rsidR="000A4217">
        <w:t>icotine replacement therapy</w:t>
      </w:r>
    </w:p>
    <w:p w:rsidR="00926A3F" w:rsidRDefault="00A46C68" w:rsidP="00BC475B">
      <w:r w:rsidRPr="00AA60CD">
        <w:t>N</w:t>
      </w:r>
      <w:r w:rsidR="008E38BA" w:rsidRPr="00AA60CD">
        <w:t>icotine replacement therapy (N</w:t>
      </w:r>
      <w:r w:rsidRPr="00AA60CD">
        <w:t>RT</w:t>
      </w:r>
      <w:r w:rsidR="008E38BA" w:rsidRPr="00AA60CD">
        <w:t>)</w:t>
      </w:r>
      <w:r w:rsidR="00BC475B" w:rsidRPr="00AA60CD">
        <w:t xml:space="preserve"> </w:t>
      </w:r>
      <w:r w:rsidR="00573F59" w:rsidRPr="00AA60CD">
        <w:t>patches</w:t>
      </w:r>
      <w:r w:rsidR="0043065C" w:rsidRPr="00AA60CD">
        <w:t xml:space="preserve"> </w:t>
      </w:r>
      <w:r w:rsidR="00CF0171" w:rsidRPr="00AA60CD">
        <w:t xml:space="preserve">15 mg per 16 hours </w:t>
      </w:r>
      <w:r w:rsidR="00BC475B" w:rsidRPr="00AA60CD">
        <w:t>w</w:t>
      </w:r>
      <w:r w:rsidR="00573F59" w:rsidRPr="00AA60CD">
        <w:t>ere</w:t>
      </w:r>
      <w:r w:rsidR="00BC475B" w:rsidRPr="00AA60CD">
        <w:t xml:space="preserve"> recommended for listing</w:t>
      </w:r>
      <w:r w:rsidR="00EE5F19" w:rsidRPr="00AA60CD">
        <w:t xml:space="preserve"> on the PBS</w:t>
      </w:r>
      <w:r w:rsidR="00BC475B" w:rsidRPr="00AA60CD">
        <w:t xml:space="preserve"> in </w:t>
      </w:r>
      <w:r w:rsidR="00C729D6" w:rsidRPr="00AA60CD">
        <w:t>March 2008</w:t>
      </w:r>
      <w:r w:rsidR="00503602" w:rsidRPr="00AA60CD">
        <w:t xml:space="preserve"> for the Aboriginal and Torres Strait Islander population</w:t>
      </w:r>
      <w:r w:rsidR="00BC475B" w:rsidRPr="00AA60CD">
        <w:t xml:space="preserve"> </w:t>
      </w:r>
      <w:r w:rsidR="008846EB">
        <w:rPr>
          <w:noProof/>
          <w:color w:val="000000"/>
          <w:highlight w:val="black"/>
        </w:rPr>
        <w:t>'''''''''''' ''''' ''' ''''''''''''''''' ''''''''''''''' ''''''''''' '''' '''' ''''''''''' ''''''' '''''''''' ''''''''''''''''''''''''''''''' ''''''''''''' ''''''''''' '''' ''''' '''''''''' '''''''''' ''''' ''''' '''''''''' ''''''' '''''''''''''' '''' ''''' ''''''''''''' ''''''' ''''''''''''''''''''''''''''''''''' '''''''''''' '''''''' '''' ''''''' ''''''''' '''''' ''''''''''''''''''''''''''' '''''''''''' '''' '''''''''''''' ''''''''''''' ''''' '''''''''''''''''''''''''' ''''''''''' '''''' ''''''' '''''''''''''''''' ''''''' ''''''''''' ''''''''' ''''''''''''''' ''''''''''''''''''''' ''''''' ''''''''''''''''''''' ''''' ''''''' ''''''''' '''''''''' '''' ''''''' '''''''''''''''''''''' ''''''' ''''''''''' '''''''''''' ''''''' ''''''' '''''''''''''''''' ''''''' ''''''''''''' ''''''''' '''''''''''''' '''''''''''''''''''''' '''''''''''''''''' ''''''' ''''' '''''' ''''''''''''''''''' '''''''' ''''''' ''''''' ''''''' '''''''''''''''''''' ''''''''''' '''''''''''''''''''' ''''''' ''''''' ''''''''' ''''''''''''''''''''''''' ''''''''''''' ''''''''''' '''''''''''' '''''''' '''''''''''' '''''''''''''''''''''' '''' ''''''' '''''''''''''''''''''' ''''''''' '''''''''''''''''''''''' '''''''''''''''' '''''''''''' '''''''''' ''''''''''' ''''''''''''''''''''</w:t>
      </w:r>
      <w:r w:rsidR="000957A6" w:rsidRPr="000957A6">
        <w:t xml:space="preserve"> </w:t>
      </w:r>
      <w:r w:rsidR="00B951FA">
        <w:t>The listing allowed</w:t>
      </w:r>
      <w:r w:rsidR="007A5D41" w:rsidRPr="007A5D41">
        <w:t xml:space="preserve"> Aboriginal and Torres Strait Islander</w:t>
      </w:r>
      <w:r w:rsidR="00B951FA">
        <w:t xml:space="preserve"> for</w:t>
      </w:r>
      <w:r w:rsidR="001E3DD6">
        <w:t xml:space="preserve"> a maximum of</w:t>
      </w:r>
      <w:r w:rsidR="00B951FA">
        <w:t xml:space="preserve"> </w:t>
      </w:r>
      <w:r w:rsidR="001E3DD6">
        <w:t>two courses</w:t>
      </w:r>
      <w:r w:rsidR="00F40DED">
        <w:t xml:space="preserve"> of PBS-subsidised NRT </w:t>
      </w:r>
      <w:r w:rsidR="00D27697">
        <w:t>per year.</w:t>
      </w:r>
    </w:p>
    <w:p w:rsidR="004B0CC6" w:rsidRPr="004B0CC6" w:rsidRDefault="004B0CC6" w:rsidP="00BC475B">
      <w:pPr>
        <w:rPr>
          <w:u w:val="single"/>
        </w:rPr>
      </w:pPr>
      <w:r w:rsidRPr="004B0CC6">
        <w:rPr>
          <w:u w:val="single"/>
        </w:rPr>
        <w:t>General population</w:t>
      </w:r>
    </w:p>
    <w:p w:rsidR="002717E9" w:rsidRDefault="000957A6" w:rsidP="000957A6">
      <w:r>
        <w:t xml:space="preserve">In March 2010, the PBAC </w:t>
      </w:r>
      <w:r w:rsidR="002717E9">
        <w:t>recommended</w:t>
      </w:r>
      <w:r>
        <w:t xml:space="preserve"> </w:t>
      </w:r>
      <w:r w:rsidR="00876316">
        <w:t>the</w:t>
      </w:r>
      <w:r>
        <w:t xml:space="preserve"> </w:t>
      </w:r>
      <w:r w:rsidR="00876316" w:rsidRPr="00876316">
        <w:t xml:space="preserve">listing of </w:t>
      </w:r>
      <w:r w:rsidR="00E1141F">
        <w:t>NRT</w:t>
      </w:r>
      <w:r w:rsidR="00876316" w:rsidRPr="00876316">
        <w:t xml:space="preserve"> </w:t>
      </w:r>
      <w:r w:rsidR="00573F59">
        <w:t>patches</w:t>
      </w:r>
      <w:r w:rsidR="00643281">
        <w:t xml:space="preserve"> </w:t>
      </w:r>
      <w:r w:rsidR="00643281" w:rsidRPr="002E66C5">
        <w:t>15 mg per 16 hours</w:t>
      </w:r>
      <w:r w:rsidR="00876316" w:rsidRPr="00876316">
        <w:t xml:space="preserve"> on the PBS as an Authority </w:t>
      </w:r>
      <w:r w:rsidR="00E1141F">
        <w:t>R</w:t>
      </w:r>
      <w:r w:rsidR="00876316" w:rsidRPr="00876316">
        <w:t>equired listing as an aid to cessation of smoking in patients who have entered or are entering a comprehensive support and counselling program in the context of a public health priority area</w:t>
      </w:r>
      <w:r>
        <w:t>.</w:t>
      </w:r>
      <w:r w:rsidR="002717E9">
        <w:t xml:space="preserve"> One study comparing NRT </w:t>
      </w:r>
      <w:r w:rsidR="00573F59">
        <w:t>patches</w:t>
      </w:r>
      <w:r w:rsidR="002717E9">
        <w:t xml:space="preserve"> </w:t>
      </w:r>
      <w:r w:rsidR="00683BF7">
        <w:t>with</w:t>
      </w:r>
      <w:r w:rsidR="002717E9">
        <w:t xml:space="preserve"> varenicline (Aubin et al. 2008), four studies comparing NRT </w:t>
      </w:r>
      <w:r w:rsidR="00573F59">
        <w:t>patches</w:t>
      </w:r>
      <w:r w:rsidR="002717E9">
        <w:t xml:space="preserve"> </w:t>
      </w:r>
      <w:r w:rsidR="00683BF7">
        <w:t>with</w:t>
      </w:r>
      <w:r w:rsidR="002717E9">
        <w:t xml:space="preserve"> bupropion </w:t>
      </w:r>
      <w:r w:rsidR="002717E9" w:rsidRPr="002717E9">
        <w:t>(Jorenby et al. 1999, Gorecka et al. 2003, Uyar et al. 2007 and Piper et al. 2009)</w:t>
      </w:r>
      <w:r w:rsidR="002717E9">
        <w:t xml:space="preserve"> and one Cochrane </w:t>
      </w:r>
      <w:r w:rsidR="00C82058">
        <w:t>R</w:t>
      </w:r>
      <w:r w:rsidR="002717E9">
        <w:t xml:space="preserve">eview comparing NRT </w:t>
      </w:r>
      <w:r w:rsidR="001D0847">
        <w:t>with</w:t>
      </w:r>
      <w:r w:rsidR="002717E9">
        <w:t xml:space="preserve"> placebo (Stead et al. 2008) were considered by the PBAC at this meeting. </w:t>
      </w:r>
    </w:p>
    <w:p w:rsidR="00536A63" w:rsidRDefault="002717E9" w:rsidP="002717E9">
      <w:r>
        <w:t>Based on the totality of the evidence, the PBAC considered that the claim of non-inferiority of NRT patches to varenicline to be uncertain with the evidence suggesting that varenicline was more effective and more toxic, that the evidence supported NRT patches being more effective and less safe than placebo, and that NRT patches were of non-inferior efficacy to bupropion and of superior safety (</w:t>
      </w:r>
      <w:r w:rsidRPr="00D91520">
        <w:t xml:space="preserve">NRT PSD, </w:t>
      </w:r>
      <w:r w:rsidR="00F16024" w:rsidRPr="00D91520">
        <w:t xml:space="preserve">March </w:t>
      </w:r>
      <w:r w:rsidRPr="00D91520">
        <w:t>2010</w:t>
      </w:r>
      <w:r w:rsidR="00F16024" w:rsidRPr="00D91520">
        <w:t xml:space="preserve"> PBAC meeting</w:t>
      </w:r>
      <w:r>
        <w:t>).</w:t>
      </w:r>
      <w:r w:rsidR="00D27697">
        <w:t xml:space="preserve"> The listing allowed for a maximum of </w:t>
      </w:r>
      <w:r w:rsidR="0007571C">
        <w:t>12 weeks</w:t>
      </w:r>
      <w:r w:rsidR="004B0CC7">
        <w:t xml:space="preserve"> </w:t>
      </w:r>
      <w:r w:rsidR="00EA00C8">
        <w:t xml:space="preserve">of </w:t>
      </w:r>
      <w:r w:rsidR="004B0CC7">
        <w:t>PBS-</w:t>
      </w:r>
      <w:r w:rsidR="004A21F6">
        <w:t xml:space="preserve">subsidised NRT </w:t>
      </w:r>
      <w:r w:rsidR="0007571C">
        <w:t xml:space="preserve">treatment </w:t>
      </w:r>
      <w:r w:rsidR="00D27697">
        <w:t>per year.</w:t>
      </w:r>
      <w:r w:rsidR="003C155B">
        <w:t xml:space="preserve"> </w:t>
      </w:r>
    </w:p>
    <w:p w:rsidR="00BC475B" w:rsidRDefault="003C155B" w:rsidP="00536A63">
      <w:r>
        <w:t xml:space="preserve">It was noted </w:t>
      </w:r>
      <w:r w:rsidR="00593700">
        <w:t xml:space="preserve">that </w:t>
      </w:r>
      <w:r>
        <w:t xml:space="preserve">the </w:t>
      </w:r>
      <w:r w:rsidR="00592887">
        <w:t xml:space="preserve">listing was </w:t>
      </w:r>
      <w:r w:rsidR="004A19BD">
        <w:t xml:space="preserve">implemented in February 2011 and was </w:t>
      </w:r>
      <w:r w:rsidR="00592887">
        <w:t xml:space="preserve">for </w:t>
      </w:r>
      <w:r w:rsidR="00D91520">
        <w:t xml:space="preserve">the </w:t>
      </w:r>
      <w:r w:rsidR="00592887">
        <w:t xml:space="preserve">21 mg per 24 hours NRT </w:t>
      </w:r>
      <w:r w:rsidR="00573F59">
        <w:t>patches</w:t>
      </w:r>
      <w:r w:rsidR="004A19BD">
        <w:t>.</w:t>
      </w:r>
      <w:r w:rsidR="00536A63">
        <w:t xml:space="preserve"> The PBAC previously noted that the use of different strength patches such as 21 mg for 24 hours or</w:t>
      </w:r>
      <w:r w:rsidR="008502D8">
        <w:t xml:space="preserve"> </w:t>
      </w:r>
      <w:r w:rsidR="00536A63">
        <w:t>15 mg for 16 hours, and gradual tapering compared with abrupt withdrawal, are likely to</w:t>
      </w:r>
      <w:r w:rsidR="008502D8">
        <w:t xml:space="preserve"> </w:t>
      </w:r>
      <w:r w:rsidR="00536A63">
        <w:t>result in minimal changes in clinical outcomes</w:t>
      </w:r>
      <w:r w:rsidR="008502D8">
        <w:t xml:space="preserve"> (</w:t>
      </w:r>
      <w:r w:rsidR="008502D8" w:rsidRPr="00496800">
        <w:t xml:space="preserve">NRT PSD, </w:t>
      </w:r>
      <w:r w:rsidR="00CF2DA4" w:rsidRPr="00496800">
        <w:t xml:space="preserve">March </w:t>
      </w:r>
      <w:r w:rsidR="008502D8" w:rsidRPr="00496800">
        <w:t>2010</w:t>
      </w:r>
      <w:r w:rsidR="00CF2DA4" w:rsidRPr="00496800">
        <w:t xml:space="preserve"> PBAC meeting</w:t>
      </w:r>
      <w:r w:rsidR="008502D8">
        <w:t>)</w:t>
      </w:r>
      <w:r w:rsidR="00536A63">
        <w:t>.</w:t>
      </w:r>
    </w:p>
    <w:p w:rsidR="00D61ECC" w:rsidRPr="0096632A" w:rsidRDefault="00D61ECC" w:rsidP="00536A63">
      <w:pPr>
        <w:rPr>
          <w:u w:val="single"/>
        </w:rPr>
      </w:pPr>
      <w:r w:rsidRPr="0096632A">
        <w:rPr>
          <w:u w:val="single"/>
        </w:rPr>
        <w:t xml:space="preserve">Lower strength </w:t>
      </w:r>
      <w:r w:rsidR="0096632A" w:rsidRPr="0096632A">
        <w:rPr>
          <w:u w:val="single"/>
        </w:rPr>
        <w:t>–</w:t>
      </w:r>
      <w:r w:rsidRPr="0096632A">
        <w:rPr>
          <w:u w:val="single"/>
        </w:rPr>
        <w:t xml:space="preserve"> </w:t>
      </w:r>
      <w:r w:rsidR="0096632A" w:rsidRPr="0096632A">
        <w:rPr>
          <w:u w:val="single"/>
        </w:rPr>
        <w:t>14 mg per 24 hours and 7 mg per 24 hours NRT patch</w:t>
      </w:r>
      <w:r w:rsidR="00D67C9C">
        <w:rPr>
          <w:u w:val="single"/>
        </w:rPr>
        <w:t>es</w:t>
      </w:r>
    </w:p>
    <w:p w:rsidR="0096632A" w:rsidRDefault="0096632A" w:rsidP="00536A63">
      <w:r>
        <w:t xml:space="preserve">In August 2011, </w:t>
      </w:r>
      <w:r w:rsidR="00D67C9C" w:rsidRPr="00C324F3">
        <w:t>the PBAC recommended the listing of two new lower strength NRT patches that release approximately 14 mg of nicotine per 24 hours and approximately 7 mg nicotine per 24 hours</w:t>
      </w:r>
      <w:r w:rsidR="0018415A" w:rsidRPr="006E6179">
        <w:rPr>
          <w:highlight w:val="lightGray"/>
        </w:rPr>
        <w:t xml:space="preserve"> </w:t>
      </w:r>
      <w:r w:rsidR="008846EB">
        <w:rPr>
          <w:noProof/>
          <w:color w:val="000000"/>
          <w:highlight w:val="black"/>
        </w:rPr>
        <w:t xml:space="preserve">'''''''''' '''''''''''''''''''''' ''''''''''''''''' ''''''''''''' '''''''''' ''''''''' ''''''''''''''''' </w:t>
      </w:r>
      <w:r w:rsidR="008C61A4" w:rsidRPr="00C324F3">
        <w:t>The listing allowed for a maximum of 12 weeks</w:t>
      </w:r>
      <w:r w:rsidR="004A21F6" w:rsidRPr="00C324F3">
        <w:t xml:space="preserve"> </w:t>
      </w:r>
      <w:r w:rsidR="00EA00C8" w:rsidRPr="00C324F3">
        <w:t xml:space="preserve">of </w:t>
      </w:r>
      <w:r w:rsidR="004A21F6" w:rsidRPr="00C324F3">
        <w:t>PBS-subsidised NRT</w:t>
      </w:r>
      <w:r w:rsidR="008C61A4" w:rsidRPr="00C324F3">
        <w:t xml:space="preserve"> treatment per year</w:t>
      </w:r>
      <w:r w:rsidR="0018415A" w:rsidRPr="00C324F3">
        <w:t>.</w:t>
      </w:r>
      <w:r w:rsidR="00F71544" w:rsidRPr="00C324F3">
        <w:t xml:space="preserve"> </w:t>
      </w:r>
    </w:p>
    <w:p w:rsidR="00A06D77" w:rsidRDefault="00A06D77" w:rsidP="002717E9">
      <w:pPr>
        <w:rPr>
          <w:u w:val="single"/>
        </w:rPr>
      </w:pPr>
      <w:r w:rsidRPr="00A06D77">
        <w:rPr>
          <w:u w:val="single"/>
        </w:rPr>
        <w:t>Higher strength – 25 mg per 16 hour</w:t>
      </w:r>
      <w:r w:rsidR="001E2A6A">
        <w:rPr>
          <w:u w:val="single"/>
        </w:rPr>
        <w:t>s</w:t>
      </w:r>
      <w:r w:rsidRPr="00A06D77">
        <w:rPr>
          <w:u w:val="single"/>
        </w:rPr>
        <w:t xml:space="preserve"> NRT </w:t>
      </w:r>
      <w:r w:rsidR="00573F59">
        <w:rPr>
          <w:u w:val="single"/>
        </w:rPr>
        <w:t>patches</w:t>
      </w:r>
    </w:p>
    <w:p w:rsidR="00A06D77" w:rsidRDefault="00A06D77" w:rsidP="002717E9">
      <w:r>
        <w:lastRenderedPageBreak/>
        <w:t xml:space="preserve">In November 2011, </w:t>
      </w:r>
      <w:r w:rsidR="005F1C9A" w:rsidRPr="005F1C9A">
        <w:t xml:space="preserve">the PBAC recommended </w:t>
      </w:r>
      <w:r w:rsidR="0018415A">
        <w:t xml:space="preserve">the </w:t>
      </w:r>
      <w:r w:rsidR="005F1C9A" w:rsidRPr="005F1C9A">
        <w:t xml:space="preserve">listing </w:t>
      </w:r>
      <w:r w:rsidR="0018415A">
        <w:t xml:space="preserve">of </w:t>
      </w:r>
      <w:r w:rsidR="005F1C9A" w:rsidRPr="005F1C9A">
        <w:t>a 25 mg per 16 hour</w:t>
      </w:r>
      <w:r w:rsidR="00222895">
        <w:t>s</w:t>
      </w:r>
      <w:r w:rsidR="005F1C9A" w:rsidRPr="005F1C9A">
        <w:t xml:space="preserve"> </w:t>
      </w:r>
      <w:r w:rsidR="005F1C9A">
        <w:t xml:space="preserve">NRT </w:t>
      </w:r>
      <w:r w:rsidR="00573F59">
        <w:t>patches</w:t>
      </w:r>
      <w:r w:rsidR="005F1C9A" w:rsidRPr="005F1C9A">
        <w:t xml:space="preserve"> on the PBS as an Authority Required benefit under the same listing conditions as 21 mg per 24 hour</w:t>
      </w:r>
      <w:r w:rsidR="00222895">
        <w:t>s</w:t>
      </w:r>
      <w:r w:rsidR="005F1C9A" w:rsidRPr="005F1C9A">
        <w:t xml:space="preserve"> </w:t>
      </w:r>
      <w:r w:rsidR="007A5372">
        <w:t xml:space="preserve">NRT </w:t>
      </w:r>
      <w:r w:rsidR="00573F59">
        <w:t>patches</w:t>
      </w:r>
      <w:r w:rsidR="00B9236D">
        <w:t xml:space="preserve"> (</w:t>
      </w:r>
      <w:r w:rsidR="00B9236D" w:rsidRPr="00EC6AFA">
        <w:t xml:space="preserve">PBAC Outcomes, </w:t>
      </w:r>
      <w:r w:rsidR="0018415A" w:rsidRPr="00EC6AFA">
        <w:t xml:space="preserve">November </w:t>
      </w:r>
      <w:r w:rsidR="00B9236D" w:rsidRPr="00EC6AFA">
        <w:t>2011</w:t>
      </w:r>
      <w:r w:rsidR="0018415A" w:rsidRPr="00EC6AFA">
        <w:t xml:space="preserve"> PBAC meeting</w:t>
      </w:r>
      <w:r w:rsidR="00B9236D">
        <w:t>)</w:t>
      </w:r>
      <w:r w:rsidR="00B9236D" w:rsidRPr="001E2216">
        <w:t>.</w:t>
      </w:r>
      <w:r w:rsidR="00A41601">
        <w:t xml:space="preserve"> </w:t>
      </w:r>
      <w:r w:rsidR="008846EB">
        <w:rPr>
          <w:noProof/>
          <w:color w:val="000000"/>
          <w:highlight w:val="black"/>
        </w:rPr>
        <w:t>'''' ''''''' ''''''''' '''''' ''''' '''''' ''''''' '''''' '''''''''''' '''''''' ''''''''''''''' '''''''''' ''''''' '''''''''''''''' ''''' ''''''' '''''''''''''''''''' ''''''' ''''''''''' '''''''''' ''''''''''''''' '''''''''''''''''''' '''''''' ''''''''' ''''''''''''''''''''' '''''''' '''''''''''''''' '''''''' '''''''''''''' '''''''''''''''''''' '''' ''''' ''''''''''' '''''''''' '''''''' ''''''''''''''''''' ''''' ''''''' ''''''''' '''' ''''''' '''''''''''''''' '''''''' '''''''''''''''''' ''''''''''' '''''''' '''''' '''''''''''''''''''''' '''''''''' '''''''''''''''''''' '''''''''''' '''''''''''' '''''' ''''''' '''''''''' ''''''' '''''''''''''''''''''' '''' ''''''' '''''' '''''' ''''''' ''''' '''''''''' ''''''''''''''''' ''''''''''' ''''''''''''''''''''''''' ''''''''''''''' ''''''''''''''''''' '''' ''''''' ''''''''''''' '''''''''''''''''''''' '''''''' ''''''' '''''''''''''''''' ''''''' ''''''''''''' '''''''''' '''''''''''''' '''''''''''''''''''' ''''''''' ''''' ''''''' '''''' '''''' ''''''''''' '''''''''''''''' ''''''''''''''''''''''''''''' '''' ''''''''''' ''''''''' '''''' ''''''''''''' '''''''''''''''''' ''''''''' ''''''''''''''''''''''''' ''''''''''' '''' '''''' '''''' '''''' ''''' '''''''''' '''''''''''''''''' ''' '''''''' ''''''''''''''' ''''''''' '''''' '''''''''''''''''''''' ''''''''' '''''''''' ''''''''''''''''''''''''''''''' ''''''''''''' ''''''' '''''''''' ''''' '''''' ''''''''''''''''''''' '''''''' '''''''''''' '''''''''' ''''''''''''''' ''''''''''''''''''''' ''''''''' '''''''''''''' '''''''''''''''''' '''''''''''''''''''' ''''''''' ''''''''''' ''''''''''''''''''</w:t>
      </w:r>
    </w:p>
    <w:p w:rsidR="00395295" w:rsidRDefault="00E7116F" w:rsidP="002717E9">
      <w:pPr>
        <w:rPr>
          <w:u w:val="single"/>
        </w:rPr>
      </w:pPr>
      <w:r w:rsidRPr="00E7116F">
        <w:rPr>
          <w:u w:val="single"/>
        </w:rPr>
        <w:t>Authority Required (STREAMLINED) listing</w:t>
      </w:r>
    </w:p>
    <w:p w:rsidR="00EA0B4A" w:rsidRPr="008846EB" w:rsidRDefault="00EA0B4A" w:rsidP="002717E9">
      <w:pPr>
        <w:rPr>
          <w:highlight w:val="blue"/>
        </w:rPr>
      </w:pPr>
      <w:r w:rsidRPr="00C324F3">
        <w:t xml:space="preserve">In December 2012, </w:t>
      </w:r>
      <w:r w:rsidR="00A5386C" w:rsidRPr="00C324F3">
        <w:t>the PBAC recommended the Authority required listings for NRT patches be made Authority required (STREAMLINED)</w:t>
      </w:r>
      <w:r w:rsidR="00B970D4" w:rsidRPr="00C324F3">
        <w:t xml:space="preserve"> </w:t>
      </w:r>
      <w:r w:rsidR="008846EB">
        <w:rPr>
          <w:noProof/>
          <w:color w:val="000000"/>
          <w:highlight w:val="black"/>
        </w:rPr>
        <w:t>''''''''''' '''''' ''''''' '''''''''''''''' '''' '''''' '''''''''''''''' '''''''''' '''''''''' ''''''''''''''''''''' '''''''''''''''''''''''''''''' ''''''''''''' '''''''''''' '''' ''''''''' ''''''''''''''''''' '''''''''' '''''''''''''' '' ''''''''''' '''''''''' '''''''''''''''' ''''''''''''''''''' ''''' '''''' ''''''''''''' ''''''''' ''' '''''''''''''''''' ''''''''''' ''''' ''''' ''''''''''''''''' ''''''''' '''''''''' '''''''''''''''' '''''''''''''''''' ''''''''''''''''''''' ''''''''''' '''''''''' ''''''''''''''''</w:t>
      </w:r>
    </w:p>
    <w:p w:rsidR="00A5386C" w:rsidRPr="008846EB" w:rsidRDefault="008846EB" w:rsidP="00917425">
      <w:pPr>
        <w:rPr>
          <w:highlight w:val="black"/>
        </w:rPr>
      </w:pPr>
      <w:r>
        <w:rPr>
          <w:noProof/>
          <w:color w:val="000000"/>
          <w:highlight w:val="black"/>
        </w:rPr>
        <w:t>'''''''' ''''''''''' '''''''''''''''''''''''''''''' '''''''' '''''' '''''''''''''''''''' ''''''''''''''' ''''' ''''''''''''''''''' '''' ''''''''''''' '''''''''''''' ''''' '''''' '''''''''''''' '''''''' '''''''''''''''''''' '''''''''''''''' '''''''''''''''''''''''''''''' ''''' ''''''' ''''''''''''' ''''' ''''' ''''''''''''''''''''''''' '''' ''''''' ''''''''''''''' '''''''''''''''' '''''''''''''''  '''' '''''''''''''''' ''''''' ''''''''' ''''''''''''''''''''''''''' ''''''' ''''''''''''''''''''' ''''''''''''''' ''''''''''''''' ''''''''''''''''''''' ''''' ''' ''''''''''''''''' '''' ''''' ''''''''''' '''' '''''''''''''''''''''''''''' '''''''' '''''''' '''''''''' ''''' '''''''''''''''' '''' '''''''' ''''''''''''''''''' ''''''''''''' '''' '''''''''''''''' ''''''''''''' ''''''' ''''''''' '''''''' ''''''''''''''''''''''''''' '''''''' ''' '''''''''''''''''''' '''' ''' '''''''''''''' '''''''''''''' ''''' '''''''''''''''' '''' ''''''' '''''''''''''' ''''' ''''''''' '''''''''''''''''' '''''''' '''''''''''' ''''''''' '''''''''''''''' '''''''''''''''''</w:t>
      </w:r>
    </w:p>
    <w:p w:rsidR="00E7116F" w:rsidRPr="008846EB" w:rsidRDefault="008846EB" w:rsidP="002717E9">
      <w:pPr>
        <w:rPr>
          <w:highlight w:val="black"/>
        </w:rPr>
      </w:pPr>
      <w:r>
        <w:rPr>
          <w:noProof/>
          <w:color w:val="000000"/>
          <w:highlight w:val="black"/>
        </w:rPr>
        <w:t>'''' '''''''''''''''''''''' ''''''''''' ''''''' '''''''''' ''''''''''''''''''''''''''' '''''' '''''''''''''''''''''' ''''''''''' ''''' ''''''''''''' '''' ''''''' '''''''''''''''''''''' '''''''''' ''''''''' ''''''''''''''''''''''''''''''''''' '''''' ''''' ''''''' ''''''' '''''' '''''''''''' '''''''''''''' '''''''' '''''''''''''''' '''' ''''''''''''' '''''' '''''''''''''''''''' '''''''' '''''''''''' '''''''''' '''''''''''''''' '''''''''''''''''''''' '''''''''' '''''''''''''' ''''''''''''''''' '''''''''''''''''''''' ''''''''' ''''''''' '''''''''''''''''</w:t>
      </w:r>
    </w:p>
    <w:p w:rsidR="004B0CC6" w:rsidRPr="004B0CC6" w:rsidRDefault="004B0CC6" w:rsidP="002717E9">
      <w:pPr>
        <w:rPr>
          <w:u w:val="single"/>
        </w:rPr>
      </w:pPr>
      <w:r w:rsidRPr="004B0CC6">
        <w:rPr>
          <w:u w:val="single"/>
        </w:rPr>
        <w:t>NRT lozenge</w:t>
      </w:r>
      <w:r w:rsidR="00F44630">
        <w:rPr>
          <w:u w:val="single"/>
        </w:rPr>
        <w:t xml:space="preserve"> and gum</w:t>
      </w:r>
    </w:p>
    <w:p w:rsidR="000A4217" w:rsidRDefault="00BC475B" w:rsidP="000A4217">
      <w:r>
        <w:t xml:space="preserve">In </w:t>
      </w:r>
      <w:r w:rsidR="000A4217">
        <w:t xml:space="preserve">July 2017 and March 2018, the PBAC considered a request that NRT </w:t>
      </w:r>
      <w:r w:rsidR="00573F59">
        <w:t>lozenges</w:t>
      </w:r>
      <w:r w:rsidR="00F44630">
        <w:t xml:space="preserve"> and </w:t>
      </w:r>
      <w:r w:rsidR="000A4217">
        <w:t xml:space="preserve">gum be listed as monotherapies on the PBS as a restricted benefit for treating nicotine dependence in cigarette smokers who wish to quit and enter into a behavioural support program. In March 2018, the PBAC recommended the listing of nicotine </w:t>
      </w:r>
      <w:r w:rsidR="00573F59">
        <w:t>lozenges</w:t>
      </w:r>
      <w:r w:rsidR="00F44630">
        <w:t xml:space="preserve"> and </w:t>
      </w:r>
      <w:r w:rsidR="000A4217">
        <w:t>gum, as monotherapies on the PBS (</w:t>
      </w:r>
      <w:r w:rsidR="000A4217" w:rsidRPr="00B2265B">
        <w:t xml:space="preserve">NRT PSD, </w:t>
      </w:r>
      <w:r w:rsidR="00187503" w:rsidRPr="00B2265B">
        <w:t xml:space="preserve">July </w:t>
      </w:r>
      <w:r w:rsidR="000A4217" w:rsidRPr="00B2265B">
        <w:t xml:space="preserve">2017 </w:t>
      </w:r>
      <w:r w:rsidR="00777459" w:rsidRPr="00B2265B">
        <w:t>and March</w:t>
      </w:r>
      <w:r w:rsidR="000A4217" w:rsidRPr="00B2265B">
        <w:t xml:space="preserve"> 2018</w:t>
      </w:r>
      <w:r w:rsidR="00187503" w:rsidRPr="00B2265B">
        <w:t xml:space="preserve"> PBAC meetings</w:t>
      </w:r>
      <w:r w:rsidR="000A4217">
        <w:t xml:space="preserve">). </w:t>
      </w:r>
    </w:p>
    <w:p w:rsidR="000A4217" w:rsidRDefault="000A4217" w:rsidP="00146708">
      <w:r>
        <w:t xml:space="preserve">For the comparison </w:t>
      </w:r>
      <w:r w:rsidR="006D7194">
        <w:t>of</w:t>
      </w:r>
      <w:r>
        <w:t xml:space="preserve"> NRT </w:t>
      </w:r>
      <w:r w:rsidR="00573F59">
        <w:t>lozenges</w:t>
      </w:r>
      <w:r>
        <w:t xml:space="preserve"> with NRT </w:t>
      </w:r>
      <w:r w:rsidR="00573F59">
        <w:t>patches</w:t>
      </w:r>
      <w:r>
        <w:t xml:space="preserve">, three direct head-to-head RCTs were considered by the PBAC (Piper et al. 2009, Smith et al. 2009 and Schnoll et al. 2010). </w:t>
      </w:r>
      <w:r w:rsidR="008846EB">
        <w:rPr>
          <w:noProof/>
          <w:color w:val="000000"/>
          <w:highlight w:val="black"/>
        </w:rPr>
        <w:t>''''''''''' ''''''' ''''''''''''''''''''' '''''' '''''' ''''''' ''''''''' '''''''''' '''''''''''''''''' ''' '''''''' ''''''''''' '''''''''' '''''''' ''''''''''''''''' ''''''''''''''''''''' ''''''' '''''''''''''''''' ''''''''' ''''''''' '''''''''' '''''''''''' ''''''' '''''''''' '''' ''''''''''''' ''''' '''''''''''''''''''' ''''''''''''''' '''''''''''''''''''''' '''''''''''''''''' ''''''''' ''''''''''''''' ''''''' '''''''' ''''''''''''''' '''''''''' '''''''' ''''''''' '''' '''''' ''''''''''''''''' ''''''''''''''''''''''' ''''''''' ''''''''''''''''''''''''''' ''''''' '''''''''' '''''''''' ''''''''''''''''''</w:t>
      </w:r>
      <w:r w:rsidR="005740DB">
        <w:t xml:space="preserve"> </w:t>
      </w:r>
      <w:r>
        <w:t xml:space="preserve">For the comparison </w:t>
      </w:r>
      <w:r w:rsidR="006D7194">
        <w:t>of</w:t>
      </w:r>
      <w:r>
        <w:t xml:space="preserve"> </w:t>
      </w:r>
      <w:r>
        <w:lastRenderedPageBreak/>
        <w:t xml:space="preserve">NRT </w:t>
      </w:r>
      <w:r w:rsidR="008A2F8B">
        <w:t>gum</w:t>
      </w:r>
      <w:r>
        <w:t xml:space="preserve"> with NRT </w:t>
      </w:r>
      <w:r w:rsidR="00573F59">
        <w:t>patches</w:t>
      </w:r>
      <w:r w:rsidR="00AB7014">
        <w:t>,</w:t>
      </w:r>
      <w:r w:rsidR="008A2F8B">
        <w:t xml:space="preserve"> an indirect comparison was conducted using control as a common reference. The studies of NRT gum </w:t>
      </w:r>
      <w:r w:rsidR="00146708">
        <w:t>versus control (n=56) and NRT</w:t>
      </w:r>
      <w:r w:rsidR="008A2F8B">
        <w:t xml:space="preserve"> </w:t>
      </w:r>
      <w:r w:rsidR="00573F59">
        <w:t>patches</w:t>
      </w:r>
      <w:r w:rsidR="008A2F8B">
        <w:t xml:space="preserve"> versus control</w:t>
      </w:r>
      <w:r w:rsidR="00146708">
        <w:t xml:space="preserve"> (n=54)</w:t>
      </w:r>
      <w:r w:rsidR="008A2F8B">
        <w:t xml:space="preserve"> were based on a meta-analysis from a Cochrane </w:t>
      </w:r>
      <w:r w:rsidR="00B2265B">
        <w:t>R</w:t>
      </w:r>
      <w:r w:rsidR="008A2F8B">
        <w:t xml:space="preserve">eview (Stead et al. 2012), which was updated </w:t>
      </w:r>
      <w:r w:rsidR="009D2A03">
        <w:t>in the subm</w:t>
      </w:r>
      <w:r w:rsidR="009241C9">
        <w:t>i</w:t>
      </w:r>
      <w:r w:rsidR="009D2A03">
        <w:t>ssion</w:t>
      </w:r>
      <w:r w:rsidR="008A2F8B">
        <w:t xml:space="preserve"> with an additional 11 studies comparing NRT </w:t>
      </w:r>
      <w:r w:rsidR="00573F59">
        <w:t>patches</w:t>
      </w:r>
      <w:r w:rsidR="008A2F8B">
        <w:t xml:space="preserve"> with control. </w:t>
      </w:r>
      <w:r w:rsidR="00146708">
        <w:t xml:space="preserve">A single direct RCT of NRT gum versus </w:t>
      </w:r>
      <w:r w:rsidR="00573F59">
        <w:t>patches</w:t>
      </w:r>
      <w:r w:rsidR="00146708">
        <w:t xml:space="preserve"> (Moolchan et al. 2005) was identified by the submission and was considered to provide inadequate evidence for the relative efficacy and safety of NRT gum to </w:t>
      </w:r>
      <w:r w:rsidR="00573F59">
        <w:t>patches</w:t>
      </w:r>
      <w:r w:rsidR="00146708">
        <w:t xml:space="preserve"> (</w:t>
      </w:r>
      <w:r w:rsidR="00146708" w:rsidRPr="00B2265B">
        <w:t xml:space="preserve">NRT PSD, </w:t>
      </w:r>
      <w:r w:rsidR="0076226A" w:rsidRPr="00B2265B">
        <w:t xml:space="preserve">July </w:t>
      </w:r>
      <w:r w:rsidR="00146708" w:rsidRPr="00B2265B">
        <w:t>2017</w:t>
      </w:r>
      <w:r w:rsidR="0076226A" w:rsidRPr="00B2265B">
        <w:t xml:space="preserve"> PBAC meeting</w:t>
      </w:r>
      <w:r w:rsidR="00146708">
        <w:t>).</w:t>
      </w:r>
      <w:r w:rsidR="00D900DC">
        <w:t xml:space="preserve"> </w:t>
      </w:r>
      <w:r w:rsidR="00146708">
        <w:t xml:space="preserve">The PBAC considered that on balance, </w:t>
      </w:r>
      <w:r w:rsidR="00B640D6">
        <w:t>despite the</w:t>
      </w:r>
      <w:r w:rsidR="001D332D">
        <w:t xml:space="preserve"> absence of a non-inferiority margin</w:t>
      </w:r>
      <w:r w:rsidR="00146708">
        <w:t xml:space="preserve">, the submission’s overall claim of non-inferiority in terms of comparative efficacy and safety for NRT </w:t>
      </w:r>
      <w:r w:rsidR="00573F59">
        <w:t>lozenges</w:t>
      </w:r>
      <w:r w:rsidR="00F35D70">
        <w:t xml:space="preserve"> and </w:t>
      </w:r>
      <w:r w:rsidR="00146708">
        <w:t xml:space="preserve">gum compared with NRT </w:t>
      </w:r>
      <w:r w:rsidR="00573F59">
        <w:t>patches</w:t>
      </w:r>
      <w:r w:rsidR="00146708">
        <w:t>, was reasonable (</w:t>
      </w:r>
      <w:r w:rsidR="00146708" w:rsidRPr="00961DD7">
        <w:t xml:space="preserve">NRT PSD, </w:t>
      </w:r>
      <w:r w:rsidR="0076226A" w:rsidRPr="00961DD7">
        <w:t xml:space="preserve">July 2017 </w:t>
      </w:r>
      <w:r w:rsidR="00777459" w:rsidRPr="00961DD7">
        <w:t>and March</w:t>
      </w:r>
      <w:r w:rsidR="0076226A" w:rsidRPr="00961DD7">
        <w:t xml:space="preserve"> 2018 PBAC meetings</w:t>
      </w:r>
      <w:r w:rsidR="00146708">
        <w:t>).</w:t>
      </w:r>
    </w:p>
    <w:p w:rsidR="008E38BA" w:rsidRDefault="00C83EDA" w:rsidP="00C83EDA">
      <w:pPr>
        <w:rPr>
          <w:b/>
          <w:bCs/>
        </w:rPr>
      </w:pPr>
      <w:r w:rsidRPr="001A7D76">
        <w:rPr>
          <w:b/>
          <w:bCs/>
        </w:rPr>
        <w:t xml:space="preserve">NRT </w:t>
      </w:r>
      <w:r w:rsidR="008E38BA">
        <w:rPr>
          <w:b/>
          <w:bCs/>
        </w:rPr>
        <w:t xml:space="preserve">patch </w:t>
      </w:r>
      <w:r w:rsidRPr="001A7D76">
        <w:rPr>
          <w:b/>
          <w:bCs/>
        </w:rPr>
        <w:t>versus placebo</w:t>
      </w:r>
    </w:p>
    <w:p w:rsidR="003D7844" w:rsidRDefault="008E38BA" w:rsidP="00C83EDA">
      <w:r w:rsidRPr="008E38BA">
        <w:t xml:space="preserve">A summary of the citation details for the studies comparing </w:t>
      </w:r>
      <w:r w:rsidR="00A67ADE">
        <w:t xml:space="preserve">NRT </w:t>
      </w:r>
      <w:r w:rsidR="00573F59">
        <w:t>patches</w:t>
      </w:r>
      <w:r w:rsidRPr="008E38BA">
        <w:t xml:space="preserve"> with placebo is presented in </w:t>
      </w:r>
      <w:r w:rsidR="003C4A1C">
        <w:t xml:space="preserve">Table </w:t>
      </w:r>
      <w:r w:rsidR="003C4A1C">
        <w:rPr>
          <w:noProof/>
        </w:rPr>
        <w:t>21</w:t>
      </w:r>
      <w:r w:rsidRPr="008E38BA">
        <w:t xml:space="preserve">. </w:t>
      </w:r>
      <w:r w:rsidR="008846EB">
        <w:rPr>
          <w:noProof/>
          <w:color w:val="000000"/>
          <w:highlight w:val="black"/>
        </w:rPr>
        <w:t>'''''''''</w:t>
      </w:r>
      <w:r w:rsidRPr="008E38BA">
        <w:t xml:space="preserve"> </w:t>
      </w:r>
      <w:r w:rsidR="000838AA">
        <w:t xml:space="preserve">Cochrane </w:t>
      </w:r>
      <w:r w:rsidR="00072566">
        <w:t>R</w:t>
      </w:r>
      <w:r w:rsidR="000838AA">
        <w:t>eviews</w:t>
      </w:r>
      <w:r w:rsidR="008E021C">
        <w:t xml:space="preserve"> comprising studies that compared NRT </w:t>
      </w:r>
      <w:r w:rsidR="00573F59">
        <w:t>patches</w:t>
      </w:r>
      <w:r w:rsidR="008E021C">
        <w:t xml:space="preserve"> with placebo</w:t>
      </w:r>
      <w:r w:rsidRPr="008E38BA">
        <w:t xml:space="preserve"> </w:t>
      </w:r>
      <w:r w:rsidR="008846EB">
        <w:rPr>
          <w:noProof/>
          <w:color w:val="000000"/>
          <w:highlight w:val="black"/>
        </w:rPr>
        <w:t>''''''''''''' '''' ''''' ''''''''' '''''''</w:t>
      </w:r>
      <w:r w:rsidR="002860AF" w:rsidRPr="008E38BA">
        <w:t xml:space="preserve"> </w:t>
      </w:r>
      <w:r w:rsidR="002860AF">
        <w:t>Stead et al. 2008</w:t>
      </w:r>
      <w:r w:rsidR="002860AF" w:rsidRPr="008E38BA">
        <w:t>)</w:t>
      </w:r>
      <w:r w:rsidR="002860AF">
        <w:t xml:space="preserve"> </w:t>
      </w:r>
      <w:r w:rsidR="00CC44C1">
        <w:t xml:space="preserve">and </w:t>
      </w:r>
      <w:r w:rsidR="008846EB">
        <w:rPr>
          <w:noProof/>
          <w:color w:val="000000"/>
          <w:highlight w:val="black"/>
        </w:rPr>
        <w:t>'''''''' '''''''' '''''''''''''''''''' ''''''''''' ''''''''''' ''''' ''''''' '''''''''''''' '''''''' ''''''''''''''' '''''''''''''' '''''''''''</w:t>
      </w:r>
      <w:r w:rsidR="002860AF">
        <w:t xml:space="preserve"> </w:t>
      </w:r>
      <w:r w:rsidRPr="008E38BA">
        <w:t xml:space="preserve">were previously considered by the PBAC. A recently conducted Cochrane </w:t>
      </w:r>
      <w:r w:rsidR="004B3FC7">
        <w:t>R</w:t>
      </w:r>
      <w:r w:rsidRPr="008E38BA">
        <w:t>eview by H</w:t>
      </w:r>
      <w:r w:rsidR="000838AA">
        <w:t>artmann-Boyce</w:t>
      </w:r>
      <w:r w:rsidRPr="008E38BA">
        <w:t xml:space="preserve"> et al. (20</w:t>
      </w:r>
      <w:r w:rsidR="000838AA">
        <w:t>18</w:t>
      </w:r>
      <w:r w:rsidRPr="008E38BA">
        <w:t xml:space="preserve">) was identified in the systematic literature review that compared </w:t>
      </w:r>
      <w:r w:rsidR="00603673">
        <w:t xml:space="preserve">NRT </w:t>
      </w:r>
      <w:r w:rsidR="00573F59">
        <w:t>patches</w:t>
      </w:r>
      <w:r w:rsidRPr="008E38BA">
        <w:t xml:space="preserve"> with placebo and was included in this report.</w:t>
      </w:r>
      <w:r w:rsidR="00603673">
        <w:t xml:space="preserve"> </w:t>
      </w:r>
      <w:r w:rsidR="00CB2F72" w:rsidRPr="00CB2F72">
        <w:t>One new study was identified in the supplemental literature search that informed this comparison and was included in this report (Benowitz et al. 2018).</w:t>
      </w:r>
    </w:p>
    <w:p w:rsidR="008E38BA" w:rsidRDefault="00603673" w:rsidP="00C83EDA">
      <w:r>
        <w:t xml:space="preserve">Hartmann-Boyce et al. (2018) was an updated review of </w:t>
      </w:r>
      <w:r w:rsidR="008846EB">
        <w:rPr>
          <w:noProof/>
          <w:color w:val="000000"/>
          <w:highlight w:val="black"/>
        </w:rPr>
        <w:t>'''''''''''' '''' ''''' ''''''''''' '''''''</w:t>
      </w:r>
      <w:r>
        <w:t xml:space="preserve"> Stead et al. (2008). </w:t>
      </w:r>
      <w:r w:rsidR="003C3FF4" w:rsidRPr="003C3FF4">
        <w:t>This review was first published over 20 years ago, in 1996, and</w:t>
      </w:r>
      <w:r w:rsidR="003C3FF4">
        <w:t xml:space="preserve"> </w:t>
      </w:r>
      <w:r w:rsidR="003C3FF4" w:rsidRPr="003C3FF4">
        <w:t>has been regularly updated since. In previous versions, this review</w:t>
      </w:r>
      <w:r w:rsidR="003C3FF4">
        <w:t xml:space="preserve"> </w:t>
      </w:r>
      <w:r w:rsidR="003C3FF4" w:rsidRPr="003C3FF4">
        <w:t>addressed not only the e</w:t>
      </w:r>
      <w:r w:rsidR="003C3FF4">
        <w:t>ff</w:t>
      </w:r>
      <w:r w:rsidR="003C3FF4" w:rsidRPr="003C3FF4">
        <w:t>ect of NRT in comparison to placebo</w:t>
      </w:r>
      <w:r w:rsidR="003C3FF4">
        <w:t xml:space="preserve"> </w:t>
      </w:r>
      <w:r w:rsidR="003C3FF4" w:rsidRPr="003C3FF4">
        <w:t>for helping people stop smoking, but also looked at comparisons</w:t>
      </w:r>
      <w:r w:rsidR="003C3FF4">
        <w:t xml:space="preserve">  </w:t>
      </w:r>
      <w:r w:rsidR="003C3FF4" w:rsidRPr="003C3FF4">
        <w:t>between di</w:t>
      </w:r>
      <w:r w:rsidR="003C3FF4">
        <w:t>ff</w:t>
      </w:r>
      <w:r w:rsidR="003C3FF4" w:rsidRPr="003C3FF4">
        <w:t>erent forms and doses of NRT, and between NRT and</w:t>
      </w:r>
      <w:r w:rsidR="003C3FF4">
        <w:t xml:space="preserve"> </w:t>
      </w:r>
      <w:r w:rsidR="003C3FF4" w:rsidRPr="003C3FF4">
        <w:t>di</w:t>
      </w:r>
      <w:r w:rsidR="003C3FF4">
        <w:t>ff</w:t>
      </w:r>
      <w:r w:rsidR="003C3FF4" w:rsidRPr="003C3FF4">
        <w:t>erent</w:t>
      </w:r>
      <w:r w:rsidR="003C3FF4">
        <w:t xml:space="preserve"> </w:t>
      </w:r>
      <w:r w:rsidR="003C3FF4" w:rsidRPr="003C3FF4">
        <w:t>pharmacotherapies.</w:t>
      </w:r>
      <w:r w:rsidR="00A0028F">
        <w:t xml:space="preserve"> </w:t>
      </w:r>
      <w:r w:rsidR="005E2ADD">
        <w:t xml:space="preserve">Hartmann-Boyce </w:t>
      </w:r>
      <w:r w:rsidR="00045DF5">
        <w:t>et al. (2018) have</w:t>
      </w:r>
      <w:r w:rsidR="00537D33" w:rsidRPr="00537D33">
        <w:t xml:space="preserve"> split the previous version of th</w:t>
      </w:r>
      <w:r w:rsidR="0066305E">
        <w:t>is</w:t>
      </w:r>
      <w:r w:rsidR="00045DF5">
        <w:t xml:space="preserve"> </w:t>
      </w:r>
      <w:r w:rsidR="00537D33" w:rsidRPr="00537D33">
        <w:t>review</w:t>
      </w:r>
      <w:r w:rsidR="00A0028F">
        <w:t xml:space="preserve"> on the basis that t</w:t>
      </w:r>
      <w:r w:rsidR="00A0028F" w:rsidRPr="00A0028F">
        <w:t xml:space="preserve">he evidence </w:t>
      </w:r>
      <w:r w:rsidR="00DD6053">
        <w:t>of</w:t>
      </w:r>
      <w:r w:rsidR="00A0028F" w:rsidRPr="00A0028F">
        <w:t xml:space="preserve"> NRT </w:t>
      </w:r>
      <w:r w:rsidR="00DD6053">
        <w:t>in smoking cessation is well established</w:t>
      </w:r>
      <w:r w:rsidR="00A0028F" w:rsidRPr="00A0028F">
        <w:t xml:space="preserve"> and many clinical guidelines recommend NRT as a first-line treatment for people seeking pharmacological help to stop smoking</w:t>
      </w:r>
      <w:r w:rsidR="004C17A8">
        <w:t>.</w:t>
      </w:r>
      <w:r w:rsidR="00537D33" w:rsidRPr="00537D33">
        <w:t xml:space="preserve"> </w:t>
      </w:r>
      <w:r w:rsidR="004C17A8">
        <w:t>T</w:t>
      </w:r>
      <w:r w:rsidR="00537D33" w:rsidRPr="00537D33">
        <w:t>his</w:t>
      </w:r>
      <w:r w:rsidR="004C17A8">
        <w:t xml:space="preserve"> updated</w:t>
      </w:r>
      <w:r w:rsidR="00537D33" w:rsidRPr="00537D33">
        <w:t xml:space="preserve"> review now only looks at NRT versus placebo or no</w:t>
      </w:r>
      <w:r w:rsidR="004C17A8">
        <w:t xml:space="preserve"> </w:t>
      </w:r>
      <w:r w:rsidR="00537D33" w:rsidRPr="00537D33">
        <w:t>pharmacotherapy, with the intention that, given the stability of</w:t>
      </w:r>
      <w:r w:rsidR="004C17A8">
        <w:t xml:space="preserve"> </w:t>
      </w:r>
      <w:r w:rsidR="00537D33" w:rsidRPr="00537D33">
        <w:t>this</w:t>
      </w:r>
      <w:r w:rsidR="004C17A8">
        <w:t xml:space="preserve"> </w:t>
      </w:r>
      <w:r w:rsidR="00537D33" w:rsidRPr="00537D33">
        <w:t>comparison, this review will no longer require regular updates.</w:t>
      </w:r>
    </w:p>
    <w:p w:rsidR="00CC17A6" w:rsidRDefault="00CC17A6" w:rsidP="00CC17A6">
      <w:pPr>
        <w:pStyle w:val="Caption"/>
        <w:keepNext/>
      </w:pPr>
      <w:bookmarkStart w:id="88" w:name="_Ref54193586"/>
      <w:r>
        <w:lastRenderedPageBreak/>
        <w:t xml:space="preserve">Table </w:t>
      </w:r>
      <w:r w:rsidR="003C4A1C">
        <w:rPr>
          <w:noProof/>
        </w:rPr>
        <w:t>21</w:t>
      </w:r>
      <w:bookmarkEnd w:id="88"/>
      <w:r>
        <w:t xml:space="preserve">: </w:t>
      </w:r>
      <w:r w:rsidRPr="00527162">
        <w:t xml:space="preserve">List of studies comparing </w:t>
      </w:r>
      <w:r>
        <w:t>NRT patch</w:t>
      </w:r>
      <w:r w:rsidRPr="00527162">
        <w:t xml:space="preserve"> with placebo</w:t>
      </w:r>
    </w:p>
    <w:tbl>
      <w:tblPr>
        <w:tblStyle w:val="TableGrid"/>
        <w:tblW w:w="5000" w:type="pct"/>
        <w:tblLook w:val="04A0" w:firstRow="1" w:lastRow="0" w:firstColumn="1" w:lastColumn="0" w:noHBand="0" w:noVBand="1"/>
        <w:tblCaption w:val="Efficacy results of adalimumab trials (PASI 75 and DLQI)"/>
      </w:tblPr>
      <w:tblGrid>
        <w:gridCol w:w="1554"/>
        <w:gridCol w:w="7462"/>
      </w:tblGrid>
      <w:tr w:rsidR="0039468B" w:rsidRPr="00061F78" w:rsidTr="00961DD7">
        <w:trPr>
          <w:cantSplit/>
          <w:trHeight w:val="329"/>
          <w:tblHeader/>
        </w:trPr>
        <w:tc>
          <w:tcPr>
            <w:tcW w:w="862" w:type="pct"/>
            <w:shd w:val="clear" w:color="auto" w:fill="BFBFBF" w:themeFill="background1" w:themeFillShade="BF"/>
            <w:tcMar>
              <w:left w:w="28" w:type="dxa"/>
              <w:right w:w="28" w:type="dxa"/>
            </w:tcMar>
          </w:tcPr>
          <w:p w:rsidR="008E38BA" w:rsidRPr="00061F78" w:rsidRDefault="00126B7B" w:rsidP="00B96866">
            <w:pPr>
              <w:pStyle w:val="Tableheading"/>
              <w:keepNext/>
              <w:rPr>
                <w:rFonts w:eastAsia="MS Mincho"/>
              </w:rPr>
            </w:pPr>
            <w:r>
              <w:rPr>
                <w:rFonts w:eastAsia="MS Mincho"/>
              </w:rPr>
              <w:t>Study</w:t>
            </w:r>
          </w:p>
        </w:tc>
        <w:tc>
          <w:tcPr>
            <w:tcW w:w="4138" w:type="pct"/>
            <w:shd w:val="clear" w:color="auto" w:fill="BFBFBF" w:themeFill="background1" w:themeFillShade="BF"/>
          </w:tcPr>
          <w:p w:rsidR="008E38BA" w:rsidRDefault="008E38BA" w:rsidP="00B96866">
            <w:pPr>
              <w:pStyle w:val="Tableheading"/>
              <w:keepNext/>
              <w:jc w:val="center"/>
              <w:rPr>
                <w:rFonts w:eastAsia="MS Mincho"/>
              </w:rPr>
            </w:pPr>
            <w:r>
              <w:rPr>
                <w:rFonts w:eastAsia="MS Mincho"/>
              </w:rPr>
              <w:t>Citation</w:t>
            </w:r>
          </w:p>
        </w:tc>
      </w:tr>
      <w:tr w:rsidR="0039468B" w:rsidRPr="00061F78" w:rsidTr="00231319">
        <w:trPr>
          <w:cantSplit/>
          <w:trHeight w:val="109"/>
        </w:trPr>
        <w:tc>
          <w:tcPr>
            <w:tcW w:w="862" w:type="pct"/>
            <w:shd w:val="clear" w:color="auto" w:fill="FFFFFF" w:themeFill="background1"/>
            <w:tcMar>
              <w:left w:w="28" w:type="dxa"/>
              <w:right w:w="28" w:type="dxa"/>
            </w:tcMar>
          </w:tcPr>
          <w:p w:rsidR="00482C36" w:rsidRPr="00231319" w:rsidRDefault="00482C36" w:rsidP="00B96866">
            <w:pPr>
              <w:pStyle w:val="Tablewriting"/>
              <w:keepNext/>
              <w:rPr>
                <w:rFonts w:eastAsia="MS Mincho"/>
              </w:rPr>
            </w:pPr>
            <w:r w:rsidRPr="00231319">
              <w:rPr>
                <w:rFonts w:eastAsia="MS Mincho"/>
              </w:rPr>
              <w:t>Tonnesen</w:t>
            </w:r>
          </w:p>
          <w:p w:rsidR="00482C36" w:rsidRPr="00231319" w:rsidRDefault="00482C36" w:rsidP="00B96866">
            <w:pPr>
              <w:pStyle w:val="Tablewriting"/>
              <w:keepNext/>
              <w:rPr>
                <w:rFonts w:eastAsia="MS Mincho"/>
              </w:rPr>
            </w:pPr>
            <w:r w:rsidRPr="00231319">
              <w:rPr>
                <w:rFonts w:eastAsia="MS Mincho"/>
              </w:rPr>
              <w:t>(CEASE, 1999)</w:t>
            </w:r>
            <w:r w:rsidR="0039468B" w:rsidRPr="00231319">
              <w:rPr>
                <w:rFonts w:eastAsia="MS Mincho"/>
                <w:vertAlign w:val="superscript"/>
              </w:rPr>
              <w:t>27</w:t>
            </w:r>
          </w:p>
        </w:tc>
        <w:tc>
          <w:tcPr>
            <w:tcW w:w="4138" w:type="pct"/>
            <w:shd w:val="clear" w:color="auto" w:fill="FFFFFF" w:themeFill="background1"/>
          </w:tcPr>
          <w:p w:rsidR="00482C36" w:rsidRPr="00231319" w:rsidRDefault="00460E26" w:rsidP="00B96866">
            <w:pPr>
              <w:pStyle w:val="Tablewriting"/>
              <w:keepNext/>
              <w:rPr>
                <w:rFonts w:eastAsia="MS Mincho"/>
              </w:rPr>
            </w:pPr>
            <w:r w:rsidRPr="00231319">
              <w:rPr>
                <w:rFonts w:eastAsia="MS Mincho"/>
              </w:rPr>
              <w:t>Tønnesen P, Paoletti P, Gustavsson G, Russell MA, Saracci R, Gulsvik A, Rijcken B, Sawe U. Higher dosage nicotine patches increase one-year smoking cessation rates: results from the European CEASE trial. Collaborative European Anti-Smoking Evaluation. European Respiratory Society. Eur Respir J. 1999 Feb;13(2):238-46.</w:t>
            </w:r>
          </w:p>
        </w:tc>
      </w:tr>
      <w:tr w:rsidR="0039468B" w:rsidRPr="00061F78" w:rsidTr="00231319">
        <w:trPr>
          <w:cantSplit/>
          <w:trHeight w:val="109"/>
        </w:trPr>
        <w:tc>
          <w:tcPr>
            <w:tcW w:w="862" w:type="pct"/>
            <w:shd w:val="clear" w:color="auto" w:fill="FFFFFF" w:themeFill="background1"/>
            <w:tcMar>
              <w:left w:w="28" w:type="dxa"/>
              <w:right w:w="28" w:type="dxa"/>
            </w:tcMar>
          </w:tcPr>
          <w:p w:rsidR="008E38BA" w:rsidRPr="00231319" w:rsidRDefault="008E38BA" w:rsidP="00B96866">
            <w:pPr>
              <w:pStyle w:val="Tablewriting"/>
              <w:keepNext/>
              <w:rPr>
                <w:rFonts w:eastAsia="MS Mincho"/>
              </w:rPr>
            </w:pPr>
            <w:r w:rsidRPr="00231319">
              <w:rPr>
                <w:rFonts w:eastAsia="MS Mincho"/>
              </w:rPr>
              <w:t>Si</w:t>
            </w:r>
            <w:r w:rsidR="00A67ADE" w:rsidRPr="00231319">
              <w:rPr>
                <w:rFonts w:eastAsia="MS Mincho"/>
              </w:rPr>
              <w:t>la</w:t>
            </w:r>
            <w:r w:rsidRPr="00231319">
              <w:rPr>
                <w:rFonts w:eastAsia="MS Mincho"/>
              </w:rPr>
              <w:t>g</w:t>
            </w:r>
            <w:r w:rsidR="00A67ADE" w:rsidRPr="00231319">
              <w:rPr>
                <w:rFonts w:eastAsia="MS Mincho"/>
              </w:rPr>
              <w:t>y</w:t>
            </w:r>
          </w:p>
          <w:p w:rsidR="008E38BA" w:rsidRPr="00231319" w:rsidRDefault="008E38BA" w:rsidP="00B96866">
            <w:pPr>
              <w:pStyle w:val="Tablewriting"/>
              <w:keepNext/>
              <w:rPr>
                <w:rFonts w:eastAsia="MS Mincho"/>
              </w:rPr>
            </w:pPr>
            <w:r w:rsidRPr="00231319">
              <w:rPr>
                <w:rFonts w:eastAsia="MS Mincho"/>
              </w:rPr>
              <w:t>(2004)</w:t>
            </w:r>
            <w:r w:rsidR="0039468B" w:rsidRPr="00231319">
              <w:rPr>
                <w:rFonts w:eastAsia="MS Mincho"/>
                <w:vertAlign w:val="superscript"/>
              </w:rPr>
              <w:t>28</w:t>
            </w:r>
            <w:r w:rsidRPr="00231319">
              <w:rPr>
                <w:rFonts w:eastAsia="MS Mincho"/>
              </w:rPr>
              <w:t xml:space="preserve"> </w:t>
            </w:r>
          </w:p>
        </w:tc>
        <w:tc>
          <w:tcPr>
            <w:tcW w:w="4138" w:type="pct"/>
            <w:shd w:val="clear" w:color="auto" w:fill="FFFFFF" w:themeFill="background1"/>
          </w:tcPr>
          <w:p w:rsidR="008E38BA" w:rsidRPr="00231319" w:rsidRDefault="008E38BA" w:rsidP="00B96866">
            <w:pPr>
              <w:pStyle w:val="Tablewriting"/>
              <w:keepNext/>
              <w:rPr>
                <w:rFonts w:eastAsia="MS Mincho"/>
              </w:rPr>
            </w:pPr>
            <w:r w:rsidRPr="00231319">
              <w:rPr>
                <w:rFonts w:eastAsia="MS Mincho"/>
              </w:rPr>
              <w:t>Silagy  C, Lancaster  T, Stead  LF, Mant  D, Fowler  G. Nicotine replacement therapy for smoking cessation. Cochrane Database of Systematic Reviews 2004, Issue 3. Art. No.: CD000146.</w:t>
            </w:r>
          </w:p>
        </w:tc>
      </w:tr>
      <w:tr w:rsidR="0039468B" w:rsidRPr="00061F78" w:rsidTr="00231319">
        <w:trPr>
          <w:cantSplit/>
          <w:trHeight w:val="109"/>
        </w:trPr>
        <w:tc>
          <w:tcPr>
            <w:tcW w:w="862" w:type="pct"/>
            <w:shd w:val="clear" w:color="auto" w:fill="FFFFFF" w:themeFill="background1"/>
            <w:tcMar>
              <w:left w:w="28" w:type="dxa"/>
              <w:right w:w="28" w:type="dxa"/>
            </w:tcMar>
          </w:tcPr>
          <w:p w:rsidR="008E38BA" w:rsidRDefault="008E38BA" w:rsidP="00B96866">
            <w:pPr>
              <w:pStyle w:val="Tablewriting"/>
              <w:keepNext/>
              <w:rPr>
                <w:rFonts w:eastAsia="MS Mincho"/>
              </w:rPr>
            </w:pPr>
            <w:r>
              <w:rPr>
                <w:rFonts w:eastAsia="MS Mincho"/>
              </w:rPr>
              <w:t>Stead</w:t>
            </w:r>
          </w:p>
          <w:p w:rsidR="008E38BA" w:rsidRDefault="008E38BA" w:rsidP="00B96866">
            <w:pPr>
              <w:pStyle w:val="Tablewriting"/>
              <w:keepNext/>
              <w:rPr>
                <w:rFonts w:eastAsia="MS Mincho"/>
              </w:rPr>
            </w:pPr>
            <w:r>
              <w:rPr>
                <w:rFonts w:eastAsia="MS Mincho"/>
              </w:rPr>
              <w:t>(2008)</w:t>
            </w:r>
            <w:r w:rsidR="0039468B" w:rsidRPr="001E01A4">
              <w:rPr>
                <w:rFonts w:eastAsia="MS Mincho"/>
                <w:noProof/>
                <w:vertAlign w:val="superscript"/>
              </w:rPr>
              <w:t>29</w:t>
            </w:r>
          </w:p>
        </w:tc>
        <w:tc>
          <w:tcPr>
            <w:tcW w:w="4138" w:type="pct"/>
            <w:shd w:val="clear" w:color="auto" w:fill="FFFFFF" w:themeFill="background1"/>
          </w:tcPr>
          <w:p w:rsidR="008E38BA" w:rsidRPr="002764E0" w:rsidRDefault="008E38BA" w:rsidP="00B96866">
            <w:pPr>
              <w:pStyle w:val="Tablewriting"/>
              <w:keepNext/>
              <w:rPr>
                <w:rFonts w:eastAsia="MS Mincho"/>
              </w:rPr>
            </w:pPr>
            <w:r w:rsidRPr="008E38BA">
              <w:rPr>
                <w:rFonts w:eastAsia="MS Mincho"/>
              </w:rPr>
              <w:t>Stead  LF, Perera  R, Bullen  C, Mant  D, Lancaster  T. Nicotine replacement therapy for smoking cessation. Cochrane Database of Systematic Reviews 2008, Issue 1. Art. No.: CD000146.</w:t>
            </w:r>
          </w:p>
        </w:tc>
      </w:tr>
      <w:tr w:rsidR="0039468B" w:rsidRPr="00061F78" w:rsidTr="00961DD7">
        <w:trPr>
          <w:cantSplit/>
          <w:trHeight w:val="164"/>
        </w:trPr>
        <w:tc>
          <w:tcPr>
            <w:tcW w:w="862" w:type="pct"/>
            <w:tcMar>
              <w:left w:w="28" w:type="dxa"/>
              <w:right w:w="28" w:type="dxa"/>
            </w:tcMar>
          </w:tcPr>
          <w:p w:rsidR="00961DD7" w:rsidRDefault="008E38BA" w:rsidP="00B96866">
            <w:pPr>
              <w:pStyle w:val="Tablewriting"/>
              <w:keepNext/>
              <w:rPr>
                <w:rFonts w:eastAsia="MS Mincho"/>
              </w:rPr>
            </w:pPr>
            <w:r>
              <w:rPr>
                <w:rFonts w:eastAsia="MS Mincho"/>
              </w:rPr>
              <w:t>Hartmann-Boyce</w:t>
            </w:r>
            <w:r w:rsidRPr="00061F78">
              <w:rPr>
                <w:rFonts w:eastAsia="MS Mincho"/>
              </w:rPr>
              <w:t xml:space="preserve"> </w:t>
            </w:r>
          </w:p>
          <w:p w:rsidR="008E38BA" w:rsidRPr="00D07303" w:rsidRDefault="008E38BA" w:rsidP="00B96866">
            <w:pPr>
              <w:pStyle w:val="Tablewriting"/>
              <w:keepNext/>
              <w:rPr>
                <w:rFonts w:eastAsia="MS Mincho"/>
                <w:vertAlign w:val="superscript"/>
              </w:rPr>
            </w:pPr>
            <w:r w:rsidRPr="00061F78">
              <w:rPr>
                <w:rFonts w:eastAsia="MS Mincho"/>
              </w:rPr>
              <w:t>(20</w:t>
            </w:r>
            <w:r>
              <w:rPr>
                <w:rFonts w:eastAsia="MS Mincho"/>
              </w:rPr>
              <w:t>18</w:t>
            </w:r>
            <w:r w:rsidRPr="00061F78">
              <w:rPr>
                <w:rFonts w:eastAsia="MS Mincho"/>
              </w:rPr>
              <w:t>)</w:t>
            </w:r>
            <w:r w:rsidR="0039468B" w:rsidRPr="00693911">
              <w:rPr>
                <w:rFonts w:eastAsia="MS Mincho"/>
                <w:noProof/>
                <w:vertAlign w:val="superscript"/>
              </w:rPr>
              <w:t>30</w:t>
            </w:r>
            <w:r w:rsidRPr="00D07303">
              <w:rPr>
                <w:rFonts w:eastAsia="MS Mincho"/>
                <w:vertAlign w:val="superscript"/>
              </w:rPr>
              <w:t xml:space="preserve"> </w:t>
            </w:r>
          </w:p>
        </w:tc>
        <w:tc>
          <w:tcPr>
            <w:tcW w:w="4138" w:type="pct"/>
          </w:tcPr>
          <w:p w:rsidR="008E38BA" w:rsidRDefault="008E38BA" w:rsidP="00B96866">
            <w:pPr>
              <w:pStyle w:val="Tablewriting"/>
              <w:keepNext/>
              <w:rPr>
                <w:rFonts w:eastAsia="MS Mincho"/>
              </w:rPr>
            </w:pPr>
            <w:r w:rsidRPr="008E38BA">
              <w:rPr>
                <w:rFonts w:eastAsia="MS Mincho"/>
              </w:rPr>
              <w:t>Hartmann‐Boyce  J, Chepkin  SC, Ye  W, Bullen  C, Lancaster  T. Nicotine replacement therapy versus control for smoking cessation. Cochrane Database of Systematic Reviews 2018, Issue 5. Art. No.: CD000146.</w:t>
            </w:r>
          </w:p>
        </w:tc>
      </w:tr>
      <w:tr w:rsidR="0039468B" w:rsidRPr="00061F78" w:rsidTr="00961DD7">
        <w:trPr>
          <w:cantSplit/>
          <w:trHeight w:val="164"/>
        </w:trPr>
        <w:tc>
          <w:tcPr>
            <w:tcW w:w="862" w:type="pct"/>
            <w:tcMar>
              <w:left w:w="28" w:type="dxa"/>
              <w:right w:w="28" w:type="dxa"/>
            </w:tcMar>
          </w:tcPr>
          <w:p w:rsidR="00961DD7" w:rsidRDefault="00CB2F72" w:rsidP="00CB2F72">
            <w:pPr>
              <w:pStyle w:val="Tablewriting"/>
              <w:keepNext/>
              <w:rPr>
                <w:rFonts w:eastAsia="MS Mincho"/>
              </w:rPr>
            </w:pPr>
            <w:r>
              <w:rPr>
                <w:rFonts w:eastAsia="MS Mincho"/>
              </w:rPr>
              <w:t xml:space="preserve">Benowitz </w:t>
            </w:r>
          </w:p>
          <w:p w:rsidR="00CB2F72" w:rsidRDefault="00CB2F72" w:rsidP="00CB2F72">
            <w:pPr>
              <w:pStyle w:val="Tablewriting"/>
              <w:keepNext/>
              <w:rPr>
                <w:rFonts w:eastAsia="MS Mincho"/>
              </w:rPr>
            </w:pPr>
            <w:r>
              <w:rPr>
                <w:rFonts w:eastAsia="MS Mincho"/>
              </w:rPr>
              <w:t>(2018)</w:t>
            </w:r>
            <w:r w:rsidR="0039468B" w:rsidRPr="00527212">
              <w:rPr>
                <w:rFonts w:eastAsia="MS Mincho"/>
                <w:noProof/>
                <w:vertAlign w:val="superscript"/>
              </w:rPr>
              <w:t>4</w:t>
            </w:r>
          </w:p>
        </w:tc>
        <w:tc>
          <w:tcPr>
            <w:tcW w:w="4138" w:type="pct"/>
          </w:tcPr>
          <w:p w:rsidR="00CB2F72" w:rsidRPr="008E38BA" w:rsidRDefault="00CB2F72" w:rsidP="00CB2F72">
            <w:pPr>
              <w:pStyle w:val="Tablewriting"/>
              <w:keepNext/>
              <w:rPr>
                <w:rFonts w:eastAsia="MS Mincho"/>
              </w:rPr>
            </w:pPr>
            <w:r w:rsidRPr="00C4557B">
              <w:rPr>
                <w:rFonts w:eastAsia="MS Mincho"/>
              </w:rPr>
              <w:t>Benowitz NL, Pipe A, West R, Hays JT, Tonstad S, McRae T, Lawrence D, St Aubin L, Anthenelli RM. Cardiovascular Safety of Varenicline, Bupropion, and Nicotine Patch in Smokers: A Randomized Clinical Trial. JAMA Intern Med. 2018 May 1;178(5):622-631.</w:t>
            </w:r>
          </w:p>
        </w:tc>
      </w:tr>
    </w:tbl>
    <w:p w:rsidR="00CC17A6" w:rsidRDefault="00CC17A6" w:rsidP="00CC17A6">
      <w:pPr>
        <w:pStyle w:val="TableFooter"/>
      </w:pPr>
      <w:r w:rsidRPr="00F84183">
        <w:t xml:space="preserve">Notes: </w:t>
      </w:r>
      <w:r w:rsidR="008846EB">
        <w:rPr>
          <w:noProof/>
          <w:color w:val="000000"/>
          <w:highlight w:val="black"/>
        </w:rPr>
        <w:t>''''''''''' '''' '''' ''''''''''' ''''''' ''''''''''''''''''''' '''' ''''''' ''''''''''' ''''''''' '''''''''' ''''''''''''''''</w:t>
      </w:r>
      <w:r w:rsidRPr="00F84183">
        <w:t>.</w:t>
      </w:r>
      <w:r>
        <w:t xml:space="preserve"> Stead et al. (2008) was considered at the March 2010 PBAC meeting.</w:t>
      </w:r>
      <w:r w:rsidR="00CD31CE">
        <w:t xml:space="preserve"> </w:t>
      </w:r>
      <w:r w:rsidR="008846EB">
        <w:rPr>
          <w:noProof/>
          <w:color w:val="000000"/>
          <w:highlight w:val="black"/>
        </w:rPr>
        <w:t>''''''''''''' ''''''''''' ''''''' ''''''''''''''''''''' '''' '''''' '''''''''''''''''' ''''''''' '''''''''' ''''''''''''''''''</w:t>
      </w:r>
    </w:p>
    <w:p w:rsidR="00780D6A" w:rsidRDefault="00603673" w:rsidP="004C17A8">
      <w:r w:rsidRPr="00603673">
        <w:t xml:space="preserve">A summary of the characteristics of the studies comparing </w:t>
      </w:r>
      <w:r>
        <w:t xml:space="preserve">NRT </w:t>
      </w:r>
      <w:r w:rsidR="00573F59">
        <w:t>patches</w:t>
      </w:r>
      <w:r w:rsidRPr="00603673">
        <w:t xml:space="preserve"> with placebo is presented in </w:t>
      </w:r>
      <w:r w:rsidR="003C4A1C">
        <w:t xml:space="preserve">Table </w:t>
      </w:r>
      <w:r w:rsidR="003C4A1C">
        <w:rPr>
          <w:noProof/>
        </w:rPr>
        <w:t>22</w:t>
      </w:r>
      <w:r w:rsidRPr="00603673">
        <w:t xml:space="preserve">. A total of </w:t>
      </w:r>
      <w:r w:rsidR="00EF57E9">
        <w:t>51</w:t>
      </w:r>
      <w:r w:rsidRPr="00603673">
        <w:t xml:space="preserve"> RCTs comparing </w:t>
      </w:r>
      <w:r w:rsidR="00EF57E9">
        <w:t xml:space="preserve">NRT </w:t>
      </w:r>
      <w:r w:rsidR="00573F59">
        <w:t>patches</w:t>
      </w:r>
      <w:r w:rsidRPr="00603673">
        <w:t xml:space="preserve"> with placebo were identified by H</w:t>
      </w:r>
      <w:r w:rsidR="00EF57E9">
        <w:t>artmann-Boyce</w:t>
      </w:r>
      <w:r w:rsidRPr="00603673">
        <w:t xml:space="preserve"> et al. (20</w:t>
      </w:r>
      <w:r w:rsidR="00EF57E9">
        <w:t>18</w:t>
      </w:r>
      <w:r w:rsidRPr="00603673">
        <w:t xml:space="preserve">). Of these, </w:t>
      </w:r>
      <w:r w:rsidR="00EF57E9">
        <w:t>3</w:t>
      </w:r>
      <w:r w:rsidR="0051503C">
        <w:t>9</w:t>
      </w:r>
      <w:r w:rsidR="00EF57E9">
        <w:t xml:space="preserve"> RCTs were st</w:t>
      </w:r>
      <w:r w:rsidRPr="00603673">
        <w:t xml:space="preserve">udies </w:t>
      </w:r>
      <w:r w:rsidR="00EF57E9">
        <w:t>included in</w:t>
      </w:r>
      <w:r w:rsidR="00DD0239">
        <w:t xml:space="preserve"> </w:t>
      </w:r>
      <w:r w:rsidR="008846EB">
        <w:rPr>
          <w:noProof/>
          <w:color w:val="000000"/>
          <w:highlight w:val="black"/>
        </w:rPr>
        <w:t>''''''''''''' '''' ''''''' '''''''</w:t>
      </w:r>
      <w:r w:rsidR="00EF57E9">
        <w:t xml:space="preserve"> Cochrane </w:t>
      </w:r>
      <w:r w:rsidR="00A50F45">
        <w:t>R</w:t>
      </w:r>
      <w:r w:rsidR="00EF57E9">
        <w:t>eviews previously considered by the PBAC (</w:t>
      </w:r>
      <w:r w:rsidR="008846EB">
        <w:rPr>
          <w:noProof/>
          <w:color w:val="000000"/>
          <w:highlight w:val="black"/>
        </w:rPr>
        <w:t>''''''''''' ''''' ''''' '''''''''</w:t>
      </w:r>
      <w:r w:rsidR="00EF57E9" w:rsidRPr="00231319">
        <w:rPr>
          <w:highlight w:val="red"/>
        </w:rPr>
        <w:t xml:space="preserve"> </w:t>
      </w:r>
      <w:r w:rsidR="00EF57E9" w:rsidRPr="00EF57E9">
        <w:t>and Stead et al. 2008)</w:t>
      </w:r>
      <w:r w:rsidRPr="00603673">
        <w:t xml:space="preserve">. </w:t>
      </w:r>
      <w:r w:rsidR="008846EB">
        <w:rPr>
          <w:noProof/>
          <w:color w:val="000000"/>
          <w:highlight w:val="black"/>
        </w:rPr>
        <w:t>''''''''''''' '''''''''''''' '''''''' ''''''''''''''' '''' ''''''' ''''''''''''' '''''''''''''''' ''''''''''''' '''' '''''''''' '''' ''''' '''''''''''''' ''''''' ''''''''''' '''' ''''' '''''''''''' '''''' '''''' ''''''''''''''''''''''''''''' '''' ''''' '''''''''''' ''''''''''' '''''''''''''' ''''''' ''''''''''''''' '''' '''''' '''''''''' ''''''''''''''' '''' '''''''''''''''''''''''''''''''''' '''' ''''' '''''''''''''</w:t>
      </w:r>
      <w:r w:rsidR="00A72308">
        <w:t xml:space="preserve"> </w:t>
      </w:r>
      <w:r w:rsidRPr="00603673">
        <w:t xml:space="preserve">The characteristics of the individual studies are presented in </w:t>
      </w:r>
      <w:r w:rsidRPr="009B6876">
        <w:t>Appendix</w:t>
      </w:r>
      <w:r w:rsidR="000B1FEA">
        <w:t xml:space="preserve"> </w:t>
      </w:r>
      <w:r w:rsidR="003C4A1C">
        <w:t xml:space="preserve">Table </w:t>
      </w:r>
      <w:r w:rsidR="003C4A1C">
        <w:rPr>
          <w:noProof/>
        </w:rPr>
        <w:t>148</w:t>
      </w:r>
      <w:r w:rsidRPr="00603673">
        <w:t>.</w:t>
      </w:r>
    </w:p>
    <w:p w:rsidR="004B779D" w:rsidRDefault="004B779D" w:rsidP="004B779D">
      <w:r>
        <w:t>Benowitz et al. (2018) was a safety study (n</w:t>
      </w:r>
      <w:r w:rsidRPr="00A95E3C">
        <w:t>on-treatment extension</w:t>
      </w:r>
      <w:r>
        <w:t>)</w:t>
      </w:r>
      <w:r w:rsidRPr="00A95E3C">
        <w:t xml:space="preserve"> </w:t>
      </w:r>
      <w:r>
        <w:t>of</w:t>
      </w:r>
      <w:r w:rsidRPr="00A95E3C">
        <w:t xml:space="preserve"> </w:t>
      </w:r>
      <w:r>
        <w:t>EAGLES (Anthenelli et al. 2016) comparing NRT</w:t>
      </w:r>
      <w:r w:rsidRPr="00F42E00">
        <w:t xml:space="preserve"> </w:t>
      </w:r>
      <w:r w:rsidR="00573F59">
        <w:t>patches</w:t>
      </w:r>
      <w:r>
        <w:t xml:space="preserve"> (</w:t>
      </w:r>
      <w:r w:rsidRPr="00F42E00">
        <w:t>21 mg per day with taper)</w:t>
      </w:r>
      <w:r>
        <w:t xml:space="preserve">, </w:t>
      </w:r>
      <w:r w:rsidRPr="00F42E00">
        <w:t>varenicline (1 mg twice a day)</w:t>
      </w:r>
      <w:r>
        <w:t xml:space="preserve">, </w:t>
      </w:r>
      <w:r w:rsidRPr="00F42E00">
        <w:t>bupropion (150 mg twice a day)</w:t>
      </w:r>
      <w:r>
        <w:t xml:space="preserve"> and placebo. The study</w:t>
      </w:r>
      <w:r w:rsidRPr="00A95E3C">
        <w:t xml:space="preserve"> aimed </w:t>
      </w:r>
      <w:r>
        <w:t>to collect</w:t>
      </w:r>
      <w:r w:rsidRPr="00A95E3C">
        <w:t xml:space="preserve"> data on cardiovascular safety for all participants in </w:t>
      </w:r>
      <w:r>
        <w:t>EAGLES</w:t>
      </w:r>
      <w:r w:rsidRPr="00A95E3C">
        <w:t xml:space="preserve"> </w:t>
      </w:r>
      <w:r>
        <w:t xml:space="preserve">(2016) </w:t>
      </w:r>
      <w:r w:rsidRPr="00A95E3C">
        <w:t>for an additional 28 weeks, allowing for a total of 52 weeks of cardiovascular safety data collection</w:t>
      </w:r>
      <w:r>
        <w:t xml:space="preserve">.  </w:t>
      </w:r>
    </w:p>
    <w:p w:rsidR="004B779D" w:rsidRDefault="004B779D" w:rsidP="004C17A8"/>
    <w:p w:rsidR="00603673" w:rsidRDefault="00603673" w:rsidP="00C83EDA">
      <w:pPr>
        <w:sectPr w:rsidR="00603673" w:rsidSect="006356D2">
          <w:pgSz w:w="11906" w:h="16838"/>
          <w:pgMar w:top="1440" w:right="1440" w:bottom="1440" w:left="1440" w:header="708" w:footer="708" w:gutter="0"/>
          <w:cols w:space="708"/>
          <w:titlePg/>
          <w:docGrid w:linePitch="360"/>
        </w:sectPr>
      </w:pPr>
    </w:p>
    <w:p w:rsidR="00603673" w:rsidRDefault="00603673" w:rsidP="00603673">
      <w:pPr>
        <w:pStyle w:val="Caption"/>
        <w:keepNext/>
      </w:pPr>
      <w:bookmarkStart w:id="89" w:name="_Ref54260143"/>
      <w:r>
        <w:lastRenderedPageBreak/>
        <w:t xml:space="preserve">Table </w:t>
      </w:r>
      <w:r w:rsidR="003C4A1C">
        <w:rPr>
          <w:noProof/>
        </w:rPr>
        <w:t>22</w:t>
      </w:r>
      <w:bookmarkEnd w:id="89"/>
      <w:r>
        <w:t xml:space="preserve">: </w:t>
      </w:r>
      <w:r w:rsidRPr="00F57C4D">
        <w:t xml:space="preserve">Characteristics of the studies comparing </w:t>
      </w:r>
      <w:r>
        <w:t>NRT patch</w:t>
      </w:r>
      <w:r w:rsidRPr="00F57C4D">
        <w:t xml:space="preserve"> with placebo</w:t>
      </w:r>
    </w:p>
    <w:tbl>
      <w:tblPr>
        <w:tblStyle w:val="TableGrid"/>
        <w:tblW w:w="5000" w:type="pct"/>
        <w:tblLook w:val="04A0" w:firstRow="1" w:lastRow="0" w:firstColumn="1" w:lastColumn="0" w:noHBand="0" w:noVBand="1"/>
        <w:tblCaption w:val="Efficacy results of adalimumab trials (PASI 75 and DLQI)"/>
      </w:tblPr>
      <w:tblGrid>
        <w:gridCol w:w="941"/>
        <w:gridCol w:w="1101"/>
        <w:gridCol w:w="990"/>
        <w:gridCol w:w="5468"/>
        <w:gridCol w:w="2552"/>
        <w:gridCol w:w="2896"/>
      </w:tblGrid>
      <w:tr w:rsidR="00260CD7" w:rsidRPr="00061F78" w:rsidTr="001217F0">
        <w:trPr>
          <w:trHeight w:val="299"/>
          <w:tblHeader/>
        </w:trPr>
        <w:tc>
          <w:tcPr>
            <w:tcW w:w="337" w:type="pct"/>
            <w:shd w:val="clear" w:color="auto" w:fill="BFBFBF" w:themeFill="background1" w:themeFillShade="BF"/>
            <w:tcMar>
              <w:left w:w="28" w:type="dxa"/>
              <w:right w:w="28" w:type="dxa"/>
            </w:tcMar>
          </w:tcPr>
          <w:p w:rsidR="00603673" w:rsidRPr="00061F78" w:rsidRDefault="00126B7B" w:rsidP="008E021C">
            <w:pPr>
              <w:pStyle w:val="Tableheading"/>
              <w:keepNext/>
              <w:rPr>
                <w:rFonts w:eastAsia="MS Mincho"/>
              </w:rPr>
            </w:pPr>
            <w:r>
              <w:rPr>
                <w:rFonts w:eastAsia="MS Mincho"/>
              </w:rPr>
              <w:t>Study</w:t>
            </w:r>
          </w:p>
        </w:tc>
        <w:tc>
          <w:tcPr>
            <w:tcW w:w="395" w:type="pct"/>
            <w:shd w:val="clear" w:color="auto" w:fill="BFBFBF" w:themeFill="background1" w:themeFillShade="BF"/>
          </w:tcPr>
          <w:p w:rsidR="00603673" w:rsidRDefault="00603673" w:rsidP="008E021C">
            <w:pPr>
              <w:pStyle w:val="Tableheading"/>
              <w:keepNext/>
              <w:jc w:val="center"/>
              <w:rPr>
                <w:rFonts w:eastAsia="MS Mincho"/>
              </w:rPr>
            </w:pPr>
            <w:r>
              <w:rPr>
                <w:rFonts w:eastAsia="MS Mincho"/>
              </w:rPr>
              <w:t>Study type</w:t>
            </w:r>
          </w:p>
        </w:tc>
        <w:tc>
          <w:tcPr>
            <w:tcW w:w="355" w:type="pct"/>
            <w:shd w:val="clear" w:color="auto" w:fill="BFBFBF" w:themeFill="background1" w:themeFillShade="BF"/>
            <w:tcMar>
              <w:left w:w="28" w:type="dxa"/>
              <w:right w:w="28" w:type="dxa"/>
            </w:tcMar>
          </w:tcPr>
          <w:p w:rsidR="00603673" w:rsidRPr="00AB145F" w:rsidRDefault="00603673" w:rsidP="008E021C">
            <w:pPr>
              <w:pStyle w:val="Tableheading"/>
              <w:keepNext/>
              <w:jc w:val="center"/>
              <w:rPr>
                <w:rFonts w:eastAsia="MS Mincho"/>
                <w:vertAlign w:val="superscript"/>
              </w:rPr>
            </w:pPr>
            <w:r>
              <w:rPr>
                <w:rFonts w:eastAsia="MS Mincho"/>
              </w:rPr>
              <w:t>N</w:t>
            </w:r>
            <w:r>
              <w:rPr>
                <w:rFonts w:eastAsia="MS Mincho"/>
                <w:vertAlign w:val="superscript"/>
              </w:rPr>
              <w:t>1</w:t>
            </w:r>
          </w:p>
        </w:tc>
        <w:tc>
          <w:tcPr>
            <w:tcW w:w="1960" w:type="pct"/>
            <w:shd w:val="clear" w:color="auto" w:fill="BFBFBF" w:themeFill="background1" w:themeFillShade="BF"/>
            <w:tcMar>
              <w:left w:w="28" w:type="dxa"/>
              <w:right w:w="28" w:type="dxa"/>
            </w:tcMar>
          </w:tcPr>
          <w:p w:rsidR="00603673" w:rsidRPr="00061F78" w:rsidRDefault="00603673" w:rsidP="008E021C">
            <w:pPr>
              <w:pStyle w:val="Tableheading"/>
              <w:keepNext/>
              <w:jc w:val="center"/>
              <w:rPr>
                <w:rFonts w:eastAsia="MS Mincho"/>
              </w:rPr>
            </w:pPr>
            <w:r w:rsidRPr="00061F78">
              <w:rPr>
                <w:rFonts w:eastAsia="MS Mincho"/>
              </w:rPr>
              <w:t>P</w:t>
            </w:r>
            <w:r>
              <w:rPr>
                <w:rFonts w:eastAsia="MS Mincho"/>
              </w:rPr>
              <w:t>opulation</w:t>
            </w:r>
          </w:p>
        </w:tc>
        <w:tc>
          <w:tcPr>
            <w:tcW w:w="915" w:type="pct"/>
            <w:shd w:val="clear" w:color="auto" w:fill="BFBFBF" w:themeFill="background1" w:themeFillShade="BF"/>
          </w:tcPr>
          <w:p w:rsidR="00603673" w:rsidRDefault="00603673" w:rsidP="008E021C">
            <w:pPr>
              <w:pStyle w:val="Tableheading"/>
              <w:keepNext/>
              <w:jc w:val="center"/>
              <w:rPr>
                <w:rFonts w:eastAsia="MS Mincho"/>
              </w:rPr>
            </w:pPr>
            <w:r>
              <w:rPr>
                <w:rFonts w:eastAsia="MS Mincho"/>
              </w:rPr>
              <w:t>Intervention and comparator</w:t>
            </w:r>
          </w:p>
        </w:tc>
        <w:tc>
          <w:tcPr>
            <w:tcW w:w="1038" w:type="pct"/>
            <w:shd w:val="clear" w:color="auto" w:fill="BFBFBF" w:themeFill="background1" w:themeFillShade="BF"/>
            <w:tcMar>
              <w:left w:w="28" w:type="dxa"/>
              <w:right w:w="28" w:type="dxa"/>
            </w:tcMar>
          </w:tcPr>
          <w:p w:rsidR="00603673" w:rsidRPr="00061F78" w:rsidRDefault="00603673" w:rsidP="008E021C">
            <w:pPr>
              <w:pStyle w:val="Tableheading"/>
              <w:keepNext/>
              <w:jc w:val="center"/>
              <w:rPr>
                <w:rFonts w:eastAsia="MS Mincho"/>
              </w:rPr>
            </w:pPr>
            <w:r>
              <w:rPr>
                <w:rFonts w:eastAsia="MS Mincho"/>
              </w:rPr>
              <w:t>Outcomes</w:t>
            </w:r>
          </w:p>
        </w:tc>
      </w:tr>
      <w:tr w:rsidR="00260CD7" w:rsidRPr="00061F78" w:rsidTr="00231319">
        <w:trPr>
          <w:trHeight w:val="99"/>
        </w:trPr>
        <w:tc>
          <w:tcPr>
            <w:tcW w:w="337" w:type="pct"/>
            <w:shd w:val="clear" w:color="auto" w:fill="FFFFFF" w:themeFill="background1"/>
            <w:tcMar>
              <w:left w:w="28" w:type="dxa"/>
              <w:right w:w="28" w:type="dxa"/>
            </w:tcMar>
          </w:tcPr>
          <w:p w:rsidR="005D1C69" w:rsidRPr="00231319" w:rsidRDefault="005D1C69" w:rsidP="005D1C69">
            <w:pPr>
              <w:pStyle w:val="Tablewriting"/>
              <w:keepNext/>
              <w:rPr>
                <w:rFonts w:eastAsia="MS Mincho"/>
              </w:rPr>
            </w:pPr>
            <w:r w:rsidRPr="00231319">
              <w:rPr>
                <w:rFonts w:eastAsia="MS Mincho"/>
              </w:rPr>
              <w:t>Tonnesen</w:t>
            </w:r>
          </w:p>
          <w:p w:rsidR="005D1C69" w:rsidRPr="00231319" w:rsidRDefault="005D1C69" w:rsidP="005D1C69">
            <w:pPr>
              <w:pStyle w:val="Tablewriting"/>
              <w:keepNext/>
              <w:rPr>
                <w:rFonts w:eastAsia="MS Mincho"/>
              </w:rPr>
            </w:pPr>
            <w:r w:rsidRPr="00231319">
              <w:rPr>
                <w:rFonts w:eastAsia="MS Mincho"/>
              </w:rPr>
              <w:t>(CEASE, 1999)</w:t>
            </w:r>
          </w:p>
        </w:tc>
        <w:tc>
          <w:tcPr>
            <w:tcW w:w="395" w:type="pct"/>
            <w:shd w:val="clear" w:color="auto" w:fill="FFFFFF" w:themeFill="background1"/>
          </w:tcPr>
          <w:p w:rsidR="005D1C69" w:rsidRPr="00231319" w:rsidRDefault="005D1C69" w:rsidP="005D1C69">
            <w:pPr>
              <w:pStyle w:val="Tablewriting"/>
              <w:keepNext/>
              <w:rPr>
                <w:rFonts w:eastAsia="MS Mincho"/>
              </w:rPr>
            </w:pPr>
            <w:r w:rsidRPr="00231319">
              <w:rPr>
                <w:rFonts w:eastAsia="MS Mincho"/>
              </w:rPr>
              <w:t>RCT</w:t>
            </w:r>
          </w:p>
        </w:tc>
        <w:tc>
          <w:tcPr>
            <w:tcW w:w="355" w:type="pct"/>
            <w:shd w:val="clear" w:color="auto" w:fill="FFFFFF" w:themeFill="background1"/>
            <w:tcMar>
              <w:left w:w="28" w:type="dxa"/>
              <w:right w:w="28" w:type="dxa"/>
            </w:tcMar>
          </w:tcPr>
          <w:p w:rsidR="005D1C69" w:rsidRPr="00231319" w:rsidRDefault="005D1C69" w:rsidP="005D1C69">
            <w:pPr>
              <w:pStyle w:val="Tablewriting"/>
              <w:keepNext/>
              <w:rPr>
                <w:rFonts w:eastAsia="MS Mincho"/>
              </w:rPr>
            </w:pPr>
            <w:r w:rsidRPr="00231319">
              <w:rPr>
                <w:rFonts w:eastAsia="MS Mincho"/>
              </w:rPr>
              <w:t>N=</w:t>
            </w:r>
            <w:r w:rsidR="00C30FA4" w:rsidRPr="00231319">
              <w:rPr>
                <w:rFonts w:eastAsia="MS Mincho"/>
              </w:rPr>
              <w:t>3,575</w:t>
            </w:r>
          </w:p>
          <w:p w:rsidR="005D1C69" w:rsidRPr="00231319" w:rsidRDefault="005D1C69" w:rsidP="005D1C69">
            <w:pPr>
              <w:pStyle w:val="Tablewriting"/>
              <w:keepNext/>
              <w:rPr>
                <w:rFonts w:eastAsia="MS Mincho"/>
              </w:rPr>
            </w:pPr>
            <w:r w:rsidRPr="00231319">
              <w:rPr>
                <w:rFonts w:eastAsia="MS Mincho"/>
              </w:rPr>
              <w:t>NRT patch (n=</w:t>
            </w:r>
            <w:r w:rsidR="00C30FA4" w:rsidRPr="00231319">
              <w:rPr>
                <w:rFonts w:eastAsia="MS Mincho"/>
              </w:rPr>
              <w:t>2,861</w:t>
            </w:r>
            <w:r w:rsidRPr="00231319">
              <w:rPr>
                <w:rFonts w:eastAsia="MS Mincho"/>
              </w:rPr>
              <w:t>),</w:t>
            </w:r>
          </w:p>
          <w:p w:rsidR="005D1C69" w:rsidRPr="00231319" w:rsidRDefault="005D1C69" w:rsidP="005D1C69">
            <w:pPr>
              <w:pStyle w:val="Tablewriting"/>
              <w:keepNext/>
              <w:rPr>
                <w:rFonts w:eastAsia="MS Mincho"/>
              </w:rPr>
            </w:pPr>
            <w:r w:rsidRPr="00231319">
              <w:rPr>
                <w:rFonts w:eastAsia="MS Mincho"/>
              </w:rPr>
              <w:t>Placebo (n=</w:t>
            </w:r>
            <w:r w:rsidR="00C30FA4" w:rsidRPr="00231319">
              <w:rPr>
                <w:rFonts w:eastAsia="MS Mincho"/>
              </w:rPr>
              <w:t>714</w:t>
            </w:r>
            <w:r w:rsidRPr="00231319">
              <w:rPr>
                <w:rFonts w:eastAsia="MS Mincho"/>
              </w:rPr>
              <w:t>)</w:t>
            </w:r>
          </w:p>
        </w:tc>
        <w:tc>
          <w:tcPr>
            <w:tcW w:w="1960" w:type="pct"/>
            <w:shd w:val="clear" w:color="auto" w:fill="FFFFFF" w:themeFill="background1"/>
            <w:tcMar>
              <w:left w:w="28" w:type="dxa"/>
              <w:right w:w="28" w:type="dxa"/>
            </w:tcMar>
          </w:tcPr>
          <w:p w:rsidR="003F546A" w:rsidRPr="00231319" w:rsidRDefault="005D1C69" w:rsidP="005D1C69">
            <w:pPr>
              <w:pStyle w:val="Tablewriting"/>
              <w:keepNext/>
              <w:rPr>
                <w:rFonts w:eastAsia="MS Mincho"/>
              </w:rPr>
            </w:pPr>
            <w:r w:rsidRPr="00231319">
              <w:rPr>
                <w:rFonts w:eastAsia="MS Mincho"/>
                <w:u w:val="single"/>
              </w:rPr>
              <w:t>Inclusion</w:t>
            </w:r>
            <w:r w:rsidRPr="00231319">
              <w:rPr>
                <w:rFonts w:eastAsia="MS Mincho"/>
              </w:rPr>
              <w:t xml:space="preserve">: </w:t>
            </w:r>
            <w:r w:rsidR="00DE7ED8" w:rsidRPr="00231319">
              <w:rPr>
                <w:rFonts w:eastAsia="MS Mincho"/>
              </w:rPr>
              <w:t>20-70 years old, &gt;14 cigarettes</w:t>
            </w:r>
            <w:r w:rsidR="00A352C6" w:rsidRPr="00231319">
              <w:rPr>
                <w:rFonts w:eastAsia="MS Mincho"/>
              </w:rPr>
              <w:t xml:space="preserve"> per </w:t>
            </w:r>
            <w:r w:rsidR="00DE7ED8" w:rsidRPr="00231319">
              <w:rPr>
                <w:rFonts w:eastAsia="MS Mincho"/>
              </w:rPr>
              <w:t>day for at least 3 y</w:t>
            </w:r>
            <w:r w:rsidR="00A352C6" w:rsidRPr="00231319">
              <w:rPr>
                <w:rFonts w:eastAsia="MS Mincho"/>
              </w:rPr>
              <w:t>ear</w:t>
            </w:r>
            <w:r w:rsidR="00DE7ED8" w:rsidRPr="00231319">
              <w:rPr>
                <w:rFonts w:eastAsia="MS Mincho"/>
              </w:rPr>
              <w:t>s</w:t>
            </w:r>
            <w:r w:rsidR="003121D3" w:rsidRPr="00231319">
              <w:rPr>
                <w:rFonts w:eastAsia="MS Mincho"/>
              </w:rPr>
              <w:t>,</w:t>
            </w:r>
            <w:r w:rsidR="00DE7ED8" w:rsidRPr="00231319">
              <w:rPr>
                <w:rFonts w:eastAsia="MS Mincho"/>
              </w:rPr>
              <w:t xml:space="preserve"> motivated to stop smoking</w:t>
            </w:r>
            <w:r w:rsidR="00A92ECD" w:rsidRPr="00231319">
              <w:rPr>
                <w:rFonts w:eastAsia="MS Mincho"/>
              </w:rPr>
              <w:t>,</w:t>
            </w:r>
            <w:r w:rsidR="00DE7ED8" w:rsidRPr="00231319">
              <w:rPr>
                <w:rFonts w:eastAsia="MS Mincho"/>
              </w:rPr>
              <w:t xml:space="preserve"> made at least one prior quit attempt.</w:t>
            </w:r>
          </w:p>
          <w:p w:rsidR="005D1C69" w:rsidRPr="00231319" w:rsidRDefault="005D1C69" w:rsidP="005D1C69">
            <w:pPr>
              <w:pStyle w:val="Tablewriting"/>
              <w:keepNext/>
              <w:rPr>
                <w:rFonts w:eastAsia="MS Mincho"/>
                <w:u w:val="single"/>
              </w:rPr>
            </w:pPr>
            <w:r w:rsidRPr="00231319">
              <w:rPr>
                <w:rFonts w:eastAsia="MS Mincho"/>
                <w:u w:val="single"/>
              </w:rPr>
              <w:t>Exclusion</w:t>
            </w:r>
            <w:r w:rsidRPr="00231319">
              <w:rPr>
                <w:rFonts w:eastAsia="MS Mincho"/>
              </w:rPr>
              <w:t xml:space="preserve">: </w:t>
            </w:r>
            <w:r w:rsidR="00F56E9D" w:rsidRPr="00231319">
              <w:rPr>
                <w:rFonts w:eastAsia="MS Mincho"/>
              </w:rPr>
              <w:t>myocardial infarction in the preceding 3 months; unstable angina, severe cardiac arrhythmia</w:t>
            </w:r>
            <w:r w:rsidR="00B80967" w:rsidRPr="00231319">
              <w:rPr>
                <w:rFonts w:eastAsia="MS Mincho"/>
              </w:rPr>
              <w:t>,</w:t>
            </w:r>
            <w:r w:rsidR="00F56E9D" w:rsidRPr="00231319">
              <w:rPr>
                <w:rFonts w:eastAsia="MS Mincho"/>
              </w:rPr>
              <w:t xml:space="preserve"> pregnant or lactating females, under psychiatric care or medication, alcohol or any other drug abuse, eczema</w:t>
            </w:r>
            <w:r w:rsidR="00E718E9" w:rsidRPr="00231319">
              <w:rPr>
                <w:rFonts w:eastAsia="MS Mincho"/>
              </w:rPr>
              <w:t xml:space="preserve">, </w:t>
            </w:r>
            <w:r w:rsidR="00F56E9D" w:rsidRPr="00231319">
              <w:rPr>
                <w:rFonts w:eastAsia="MS Mincho"/>
              </w:rPr>
              <w:t>severe or malignant disease</w:t>
            </w:r>
            <w:r w:rsidR="00E718E9" w:rsidRPr="00231319">
              <w:rPr>
                <w:rFonts w:eastAsia="MS Mincho"/>
              </w:rPr>
              <w:t>,</w:t>
            </w:r>
            <w:r w:rsidR="00F56E9D" w:rsidRPr="00231319">
              <w:rPr>
                <w:rFonts w:eastAsia="MS Mincho"/>
              </w:rPr>
              <w:t xml:space="preserve"> existing use of nicotine</w:t>
            </w:r>
            <w:r w:rsidR="00942AFB" w:rsidRPr="00231319">
              <w:rPr>
                <w:rFonts w:eastAsia="MS Mincho"/>
              </w:rPr>
              <w:t xml:space="preserve"> </w:t>
            </w:r>
            <w:r w:rsidR="00F56E9D" w:rsidRPr="00231319">
              <w:rPr>
                <w:rFonts w:eastAsia="MS Mincho"/>
              </w:rPr>
              <w:t>substitution products and/or participation in formal smoking</w:t>
            </w:r>
            <w:r w:rsidR="00942AFB" w:rsidRPr="00231319">
              <w:rPr>
                <w:rFonts w:eastAsia="MS Mincho"/>
              </w:rPr>
              <w:t xml:space="preserve"> </w:t>
            </w:r>
            <w:r w:rsidR="00F56E9D" w:rsidRPr="00231319">
              <w:rPr>
                <w:rFonts w:eastAsia="MS Mincho"/>
              </w:rPr>
              <w:t>cessation programmes in the last 6 months.</w:t>
            </w:r>
          </w:p>
        </w:tc>
        <w:tc>
          <w:tcPr>
            <w:tcW w:w="915" w:type="pct"/>
            <w:shd w:val="clear" w:color="auto" w:fill="FFFFFF" w:themeFill="background1"/>
          </w:tcPr>
          <w:p w:rsidR="00FB6E6E" w:rsidRPr="00231319" w:rsidRDefault="005D1C69" w:rsidP="005D1C69">
            <w:pPr>
              <w:pStyle w:val="Tablewriting"/>
              <w:keepNext/>
              <w:rPr>
                <w:rFonts w:eastAsia="MS Mincho"/>
              </w:rPr>
            </w:pPr>
            <w:r w:rsidRPr="00231319">
              <w:rPr>
                <w:rFonts w:eastAsia="MS Mincho"/>
              </w:rPr>
              <w:t xml:space="preserve">NRT: </w:t>
            </w:r>
            <w:r w:rsidR="00485F2F" w:rsidRPr="00231319">
              <w:rPr>
                <w:rFonts w:eastAsia="MS Mincho"/>
              </w:rPr>
              <w:t xml:space="preserve">2 patch doses and 2 treatment durations. </w:t>
            </w:r>
            <w:r w:rsidR="00291D9B" w:rsidRPr="00231319">
              <w:rPr>
                <w:rFonts w:eastAsia="MS Mincho"/>
              </w:rPr>
              <w:t>(</w:t>
            </w:r>
            <w:r w:rsidR="00485F2F" w:rsidRPr="00231319">
              <w:rPr>
                <w:rFonts w:eastAsia="MS Mincho"/>
              </w:rPr>
              <w:t>1</w:t>
            </w:r>
            <w:r w:rsidR="00291D9B" w:rsidRPr="00231319">
              <w:rPr>
                <w:rFonts w:eastAsia="MS Mincho"/>
              </w:rPr>
              <w:t>)</w:t>
            </w:r>
            <w:r w:rsidR="00485F2F" w:rsidRPr="00231319">
              <w:rPr>
                <w:rFonts w:eastAsia="MS Mincho"/>
              </w:rPr>
              <w:t xml:space="preserve"> 25</w:t>
            </w:r>
            <w:r w:rsidR="00803DA6" w:rsidRPr="00231319">
              <w:rPr>
                <w:rFonts w:eastAsia="MS Mincho"/>
              </w:rPr>
              <w:t xml:space="preserve"> </w:t>
            </w:r>
            <w:r w:rsidR="00485F2F" w:rsidRPr="00231319">
              <w:rPr>
                <w:rFonts w:eastAsia="MS Mincho"/>
              </w:rPr>
              <w:t>mg for 28 w</w:t>
            </w:r>
            <w:r w:rsidR="00291D9B" w:rsidRPr="00231319">
              <w:rPr>
                <w:rFonts w:eastAsia="MS Mincho"/>
              </w:rPr>
              <w:t>ee</w:t>
            </w:r>
            <w:r w:rsidR="00485F2F" w:rsidRPr="00231319">
              <w:rPr>
                <w:rFonts w:eastAsia="MS Mincho"/>
              </w:rPr>
              <w:t>ks</w:t>
            </w:r>
            <w:r w:rsidR="00A96666" w:rsidRPr="00231319">
              <w:rPr>
                <w:rFonts w:eastAsia="MS Mincho"/>
              </w:rPr>
              <w:t>,</w:t>
            </w:r>
            <w:r w:rsidR="0097687F" w:rsidRPr="00231319">
              <w:rPr>
                <w:rFonts w:eastAsia="MS Mincho"/>
              </w:rPr>
              <w:t xml:space="preserve"> (</w:t>
            </w:r>
            <w:r w:rsidR="00485F2F" w:rsidRPr="00231319">
              <w:rPr>
                <w:rFonts w:eastAsia="MS Mincho"/>
              </w:rPr>
              <w:t>2</w:t>
            </w:r>
            <w:r w:rsidR="0097687F" w:rsidRPr="00231319">
              <w:rPr>
                <w:rFonts w:eastAsia="MS Mincho"/>
              </w:rPr>
              <w:t>)</w:t>
            </w:r>
            <w:r w:rsidR="00485F2F" w:rsidRPr="00231319">
              <w:rPr>
                <w:rFonts w:eastAsia="MS Mincho"/>
              </w:rPr>
              <w:t xml:space="preserve"> 25</w:t>
            </w:r>
            <w:r w:rsidR="00803DA6" w:rsidRPr="00231319">
              <w:rPr>
                <w:rFonts w:eastAsia="MS Mincho"/>
              </w:rPr>
              <w:t xml:space="preserve"> </w:t>
            </w:r>
            <w:r w:rsidR="00485F2F" w:rsidRPr="00231319">
              <w:rPr>
                <w:rFonts w:eastAsia="MS Mincho"/>
              </w:rPr>
              <w:t>mg for 12 w</w:t>
            </w:r>
            <w:r w:rsidR="0097687F" w:rsidRPr="00231319">
              <w:rPr>
                <w:rFonts w:eastAsia="MS Mincho"/>
              </w:rPr>
              <w:t>ee</w:t>
            </w:r>
            <w:r w:rsidR="00485F2F" w:rsidRPr="00231319">
              <w:rPr>
                <w:rFonts w:eastAsia="MS Mincho"/>
              </w:rPr>
              <w:t>ks</w:t>
            </w:r>
            <w:r w:rsidR="00A96666" w:rsidRPr="00231319">
              <w:rPr>
                <w:rFonts w:eastAsia="MS Mincho"/>
              </w:rPr>
              <w:t>,</w:t>
            </w:r>
            <w:r w:rsidR="00485F2F" w:rsidRPr="00231319">
              <w:rPr>
                <w:rFonts w:eastAsia="MS Mincho"/>
              </w:rPr>
              <w:t xml:space="preserve"> </w:t>
            </w:r>
            <w:r w:rsidR="0097687F" w:rsidRPr="00231319">
              <w:rPr>
                <w:rFonts w:eastAsia="MS Mincho"/>
              </w:rPr>
              <w:t>(</w:t>
            </w:r>
            <w:r w:rsidR="00485F2F" w:rsidRPr="00231319">
              <w:rPr>
                <w:rFonts w:eastAsia="MS Mincho"/>
              </w:rPr>
              <w:t>3</w:t>
            </w:r>
            <w:r w:rsidR="0097687F" w:rsidRPr="00231319">
              <w:rPr>
                <w:rFonts w:eastAsia="MS Mincho"/>
              </w:rPr>
              <w:t>)</w:t>
            </w:r>
            <w:r w:rsidR="00485F2F" w:rsidRPr="00231319">
              <w:rPr>
                <w:rFonts w:eastAsia="MS Mincho"/>
              </w:rPr>
              <w:t xml:space="preserve"> 15</w:t>
            </w:r>
            <w:r w:rsidR="00803DA6" w:rsidRPr="00231319">
              <w:rPr>
                <w:rFonts w:eastAsia="MS Mincho"/>
              </w:rPr>
              <w:t xml:space="preserve"> </w:t>
            </w:r>
            <w:r w:rsidR="00485F2F" w:rsidRPr="00231319">
              <w:rPr>
                <w:rFonts w:eastAsia="MS Mincho"/>
              </w:rPr>
              <w:t xml:space="preserve">mg </w:t>
            </w:r>
            <w:r w:rsidR="00C858D7" w:rsidRPr="00231319">
              <w:rPr>
                <w:rFonts w:eastAsia="MS Mincho"/>
              </w:rPr>
              <w:t>f</w:t>
            </w:r>
            <w:r w:rsidR="00485F2F" w:rsidRPr="00231319">
              <w:rPr>
                <w:rFonts w:eastAsia="MS Mincho"/>
              </w:rPr>
              <w:t>or 28 w</w:t>
            </w:r>
            <w:r w:rsidR="0097687F" w:rsidRPr="00231319">
              <w:rPr>
                <w:rFonts w:eastAsia="MS Mincho"/>
              </w:rPr>
              <w:t>ee</w:t>
            </w:r>
            <w:r w:rsidR="00485F2F" w:rsidRPr="00231319">
              <w:rPr>
                <w:rFonts w:eastAsia="MS Mincho"/>
              </w:rPr>
              <w:t>ks</w:t>
            </w:r>
            <w:r w:rsidR="00A96666" w:rsidRPr="00231319">
              <w:rPr>
                <w:rFonts w:eastAsia="MS Mincho"/>
              </w:rPr>
              <w:t>,</w:t>
            </w:r>
            <w:r w:rsidR="00485F2F" w:rsidRPr="00231319">
              <w:rPr>
                <w:rFonts w:eastAsia="MS Mincho"/>
              </w:rPr>
              <w:t xml:space="preserve"> </w:t>
            </w:r>
            <w:r w:rsidR="0097687F" w:rsidRPr="00231319">
              <w:rPr>
                <w:rFonts w:eastAsia="MS Mincho"/>
              </w:rPr>
              <w:t>(</w:t>
            </w:r>
            <w:r w:rsidR="00485F2F" w:rsidRPr="00231319">
              <w:rPr>
                <w:rFonts w:eastAsia="MS Mincho"/>
              </w:rPr>
              <w:t>4</w:t>
            </w:r>
            <w:r w:rsidR="0097687F" w:rsidRPr="00231319">
              <w:rPr>
                <w:rFonts w:eastAsia="MS Mincho"/>
              </w:rPr>
              <w:t>)</w:t>
            </w:r>
            <w:r w:rsidR="00485F2F" w:rsidRPr="00231319">
              <w:rPr>
                <w:rFonts w:eastAsia="MS Mincho"/>
              </w:rPr>
              <w:t xml:space="preserve"> 15</w:t>
            </w:r>
            <w:r w:rsidR="00803DA6" w:rsidRPr="00231319">
              <w:rPr>
                <w:rFonts w:eastAsia="MS Mincho"/>
              </w:rPr>
              <w:t xml:space="preserve"> </w:t>
            </w:r>
            <w:r w:rsidR="00485F2F" w:rsidRPr="00231319">
              <w:rPr>
                <w:rFonts w:eastAsia="MS Mincho"/>
              </w:rPr>
              <w:t>mg for 12 w</w:t>
            </w:r>
            <w:r w:rsidR="0097687F" w:rsidRPr="00231319">
              <w:rPr>
                <w:rFonts w:eastAsia="MS Mincho"/>
              </w:rPr>
              <w:t>ee</w:t>
            </w:r>
            <w:r w:rsidR="00485F2F" w:rsidRPr="00231319">
              <w:rPr>
                <w:rFonts w:eastAsia="MS Mincho"/>
              </w:rPr>
              <w:t>ks</w:t>
            </w:r>
            <w:r w:rsidR="00366BE5" w:rsidRPr="00231319">
              <w:rPr>
                <w:rFonts w:eastAsia="MS Mincho"/>
              </w:rPr>
              <w:t xml:space="preserve">; </w:t>
            </w:r>
            <w:r w:rsidRPr="00231319">
              <w:rPr>
                <w:rFonts w:eastAsia="MS Mincho"/>
              </w:rPr>
              <w:t xml:space="preserve">Placebo: placebo </w:t>
            </w:r>
            <w:r w:rsidR="00481242" w:rsidRPr="00231319">
              <w:rPr>
                <w:rFonts w:eastAsia="MS Mincho"/>
              </w:rPr>
              <w:t>patch</w:t>
            </w:r>
            <w:r w:rsidR="00570534" w:rsidRPr="00231319">
              <w:rPr>
                <w:rFonts w:eastAsia="MS Mincho"/>
              </w:rPr>
              <w:t xml:space="preserve"> for 26 weeks</w:t>
            </w:r>
            <w:r w:rsidR="006727E9" w:rsidRPr="00231319">
              <w:rPr>
                <w:rFonts w:eastAsia="MS Mincho"/>
              </w:rPr>
              <w:t xml:space="preserve">. </w:t>
            </w:r>
            <w:r w:rsidR="00FB6E6E" w:rsidRPr="00231319">
              <w:rPr>
                <w:rFonts w:eastAsia="MS Mincho"/>
              </w:rPr>
              <w:t>Behavioural support provided in both arms.</w:t>
            </w:r>
          </w:p>
        </w:tc>
        <w:tc>
          <w:tcPr>
            <w:tcW w:w="1038" w:type="pct"/>
            <w:shd w:val="clear" w:color="auto" w:fill="FFFFFF" w:themeFill="background1"/>
            <w:tcMar>
              <w:left w:w="28" w:type="dxa"/>
              <w:right w:w="28" w:type="dxa"/>
            </w:tcMar>
          </w:tcPr>
          <w:p w:rsidR="005D1C69" w:rsidRPr="00231319" w:rsidRDefault="005D1C69" w:rsidP="005D1C69">
            <w:pPr>
              <w:pStyle w:val="Tablewriting"/>
              <w:keepNext/>
              <w:rPr>
                <w:rFonts w:eastAsia="MS Mincho"/>
              </w:rPr>
            </w:pPr>
            <w:r w:rsidRPr="00231319">
              <w:rPr>
                <w:rFonts w:eastAsia="MS Mincho"/>
                <w:u w:val="single"/>
              </w:rPr>
              <w:t>Primary</w:t>
            </w:r>
            <w:r w:rsidRPr="00231319">
              <w:rPr>
                <w:rFonts w:eastAsia="MS Mincho"/>
              </w:rPr>
              <w:t xml:space="preserve">: </w:t>
            </w:r>
            <w:r w:rsidR="00B5455E" w:rsidRPr="00231319">
              <w:rPr>
                <w:rFonts w:eastAsia="MS Mincho"/>
              </w:rPr>
              <w:t>prolonged abstinence</w:t>
            </w:r>
            <w:r w:rsidR="003A6A4C" w:rsidRPr="00231319">
              <w:rPr>
                <w:rFonts w:eastAsia="MS Mincho"/>
              </w:rPr>
              <w:t xml:space="preserve"> at 12 months</w:t>
            </w:r>
            <w:r w:rsidR="00F467C6" w:rsidRPr="00231319">
              <w:rPr>
                <w:rFonts w:eastAsia="MS Mincho"/>
              </w:rPr>
              <w:t xml:space="preserve"> (from Week 2)</w:t>
            </w:r>
            <w:r w:rsidR="00AB1153" w:rsidRPr="00231319">
              <w:rPr>
                <w:rFonts w:eastAsia="MS Mincho"/>
              </w:rPr>
              <w:t>. Validated by CO ≤10</w:t>
            </w:r>
            <w:r w:rsidR="00803DA6" w:rsidRPr="00231319">
              <w:rPr>
                <w:rFonts w:eastAsia="MS Mincho"/>
              </w:rPr>
              <w:t xml:space="preserve"> </w:t>
            </w:r>
            <w:r w:rsidR="00AB1153" w:rsidRPr="00231319">
              <w:rPr>
                <w:rFonts w:eastAsia="MS Mincho"/>
              </w:rPr>
              <w:t>ppm.</w:t>
            </w:r>
          </w:p>
          <w:p w:rsidR="005D1C69" w:rsidRPr="00231319" w:rsidRDefault="00AB1153" w:rsidP="005D1C69">
            <w:pPr>
              <w:pStyle w:val="Tablewriting"/>
              <w:keepNext/>
              <w:rPr>
                <w:rFonts w:eastAsia="MS Mincho"/>
              </w:rPr>
            </w:pPr>
            <w:r w:rsidRPr="00231319">
              <w:rPr>
                <w:rFonts w:eastAsia="MS Mincho"/>
                <w:u w:val="single"/>
              </w:rPr>
              <w:t>Secondary</w:t>
            </w:r>
            <w:r w:rsidRPr="00231319">
              <w:rPr>
                <w:rFonts w:eastAsia="MS Mincho"/>
              </w:rPr>
              <w:t xml:space="preserve">: </w:t>
            </w:r>
            <w:r w:rsidR="00893CA9" w:rsidRPr="00231319">
              <w:rPr>
                <w:rFonts w:eastAsia="MS Mincho"/>
              </w:rPr>
              <w:t xml:space="preserve">withdrawal symptoms, </w:t>
            </w:r>
            <w:r w:rsidR="00A96666" w:rsidRPr="00231319">
              <w:rPr>
                <w:rFonts w:eastAsia="MS Mincho"/>
              </w:rPr>
              <w:t>compliance, body weight change, adverse events</w:t>
            </w:r>
            <w:r w:rsidR="002D5E67" w:rsidRPr="00231319">
              <w:rPr>
                <w:rFonts w:eastAsia="MS Mincho"/>
              </w:rPr>
              <w:t>.</w:t>
            </w:r>
          </w:p>
        </w:tc>
      </w:tr>
      <w:tr w:rsidR="00260CD7" w:rsidRPr="00061F78" w:rsidTr="00231319">
        <w:trPr>
          <w:trHeight w:val="99"/>
        </w:trPr>
        <w:tc>
          <w:tcPr>
            <w:tcW w:w="337" w:type="pct"/>
            <w:shd w:val="clear" w:color="auto" w:fill="FFFFFF" w:themeFill="background1"/>
            <w:tcMar>
              <w:left w:w="28" w:type="dxa"/>
              <w:right w:w="28" w:type="dxa"/>
            </w:tcMar>
          </w:tcPr>
          <w:p w:rsidR="00E14E51" w:rsidRPr="00231319" w:rsidRDefault="00E14E51" w:rsidP="00E14E51">
            <w:pPr>
              <w:pStyle w:val="Tablewriting"/>
              <w:keepNext/>
              <w:rPr>
                <w:rFonts w:eastAsia="MS Mincho"/>
              </w:rPr>
            </w:pPr>
            <w:r w:rsidRPr="00231319">
              <w:rPr>
                <w:rFonts w:eastAsia="MS Mincho"/>
              </w:rPr>
              <w:t>Silagy (2004)</w:t>
            </w:r>
          </w:p>
        </w:tc>
        <w:tc>
          <w:tcPr>
            <w:tcW w:w="395" w:type="pct"/>
            <w:shd w:val="clear" w:color="auto" w:fill="FFFFFF" w:themeFill="background1"/>
          </w:tcPr>
          <w:p w:rsidR="00E14E51" w:rsidRPr="00231319" w:rsidRDefault="00E14E51" w:rsidP="00E14E51">
            <w:pPr>
              <w:pStyle w:val="Tablewriting"/>
              <w:keepNext/>
              <w:rPr>
                <w:rFonts w:eastAsia="MS Mincho"/>
              </w:rPr>
            </w:pPr>
            <w:r w:rsidRPr="00231319">
              <w:rPr>
                <w:rFonts w:eastAsia="MS Mincho"/>
              </w:rPr>
              <w:t xml:space="preserve">Cochrane </w:t>
            </w:r>
            <w:r w:rsidR="00F101EC" w:rsidRPr="00231319">
              <w:rPr>
                <w:rFonts w:eastAsia="MS Mincho"/>
              </w:rPr>
              <w:t>R</w:t>
            </w:r>
            <w:r w:rsidRPr="00231319">
              <w:rPr>
                <w:rFonts w:eastAsia="MS Mincho"/>
              </w:rPr>
              <w:t>eview    (</w:t>
            </w:r>
            <w:r w:rsidR="00DF4CFE" w:rsidRPr="00231319">
              <w:rPr>
                <w:rFonts w:eastAsia="MS Mincho"/>
              </w:rPr>
              <w:t>38</w:t>
            </w:r>
            <w:r w:rsidRPr="00231319">
              <w:rPr>
                <w:rFonts w:eastAsia="MS Mincho"/>
              </w:rPr>
              <w:t xml:space="preserve"> RCTs</w:t>
            </w:r>
            <w:r w:rsidRPr="00231319">
              <w:rPr>
                <w:rFonts w:eastAsia="MS Mincho"/>
                <w:vertAlign w:val="superscript"/>
              </w:rPr>
              <w:t>2</w:t>
            </w:r>
            <w:r w:rsidRPr="00231319">
              <w:rPr>
                <w:rFonts w:eastAsia="MS Mincho"/>
              </w:rPr>
              <w:t>)</w:t>
            </w:r>
          </w:p>
        </w:tc>
        <w:tc>
          <w:tcPr>
            <w:tcW w:w="355" w:type="pct"/>
            <w:shd w:val="clear" w:color="auto" w:fill="FFFFFF" w:themeFill="background1"/>
            <w:tcMar>
              <w:left w:w="28" w:type="dxa"/>
              <w:right w:w="28" w:type="dxa"/>
            </w:tcMar>
          </w:tcPr>
          <w:p w:rsidR="00E14E51" w:rsidRPr="00231319" w:rsidRDefault="00E14E51" w:rsidP="00E14E51">
            <w:pPr>
              <w:pStyle w:val="Tablewriting"/>
              <w:keepNext/>
              <w:rPr>
                <w:rFonts w:eastAsia="MS Mincho"/>
              </w:rPr>
            </w:pPr>
            <w:r w:rsidRPr="00231319">
              <w:rPr>
                <w:rFonts w:eastAsia="MS Mincho"/>
              </w:rPr>
              <w:t>N=</w:t>
            </w:r>
            <w:r w:rsidR="00C871DD" w:rsidRPr="00231319">
              <w:rPr>
                <w:rFonts w:eastAsia="MS Mincho"/>
              </w:rPr>
              <w:t>16,691</w:t>
            </w:r>
          </w:p>
          <w:p w:rsidR="00E14E51" w:rsidRPr="00231319" w:rsidRDefault="00E14E51" w:rsidP="00E14E51">
            <w:pPr>
              <w:pStyle w:val="Tablewriting"/>
              <w:keepNext/>
              <w:rPr>
                <w:rFonts w:eastAsia="MS Mincho"/>
              </w:rPr>
            </w:pPr>
            <w:r w:rsidRPr="00231319">
              <w:rPr>
                <w:rFonts w:eastAsia="MS Mincho"/>
              </w:rPr>
              <w:t>NRT patch (n=1</w:t>
            </w:r>
            <w:r w:rsidR="00C871DD" w:rsidRPr="00231319">
              <w:rPr>
                <w:rFonts w:eastAsia="MS Mincho"/>
              </w:rPr>
              <w:t>0,216</w:t>
            </w:r>
            <w:r w:rsidRPr="00231319">
              <w:rPr>
                <w:rFonts w:eastAsia="MS Mincho"/>
              </w:rPr>
              <w:t>),</w:t>
            </w:r>
          </w:p>
          <w:p w:rsidR="00E14E51" w:rsidRPr="00231319" w:rsidRDefault="00E14E51" w:rsidP="00E14E51">
            <w:pPr>
              <w:pStyle w:val="Tablewriting"/>
              <w:keepNext/>
              <w:rPr>
                <w:rFonts w:eastAsia="MS Mincho"/>
              </w:rPr>
            </w:pPr>
            <w:r w:rsidRPr="00231319">
              <w:rPr>
                <w:rFonts w:eastAsia="MS Mincho"/>
              </w:rPr>
              <w:t>Placebo (n=</w:t>
            </w:r>
            <w:r w:rsidR="00C871DD" w:rsidRPr="00231319">
              <w:rPr>
                <w:rFonts w:eastAsia="MS Mincho"/>
              </w:rPr>
              <w:t>6,475</w:t>
            </w:r>
            <w:r w:rsidRPr="00231319">
              <w:rPr>
                <w:rFonts w:eastAsia="MS Mincho"/>
              </w:rPr>
              <w:t>)</w:t>
            </w:r>
          </w:p>
        </w:tc>
        <w:tc>
          <w:tcPr>
            <w:tcW w:w="1960" w:type="pct"/>
            <w:shd w:val="clear" w:color="auto" w:fill="FFFFFF" w:themeFill="background1"/>
            <w:tcMar>
              <w:left w:w="28" w:type="dxa"/>
              <w:right w:w="28" w:type="dxa"/>
            </w:tcMar>
          </w:tcPr>
          <w:p w:rsidR="00E14E51" w:rsidRPr="00231319" w:rsidRDefault="00E14E51" w:rsidP="00E14E51">
            <w:pPr>
              <w:pStyle w:val="Tablewriting"/>
              <w:keepNext/>
              <w:rPr>
                <w:rFonts w:eastAsia="MS Mincho"/>
              </w:rPr>
            </w:pPr>
            <w:r w:rsidRPr="00231319">
              <w:rPr>
                <w:rFonts w:eastAsia="MS Mincho"/>
                <w:u w:val="single"/>
              </w:rPr>
              <w:t>Inclusion</w:t>
            </w:r>
            <w:r w:rsidRPr="00231319">
              <w:rPr>
                <w:rFonts w:eastAsia="MS Mincho"/>
              </w:rPr>
              <w:t>: men or women who smoked and were motivated to</w:t>
            </w:r>
          </w:p>
          <w:p w:rsidR="00E14E51" w:rsidRPr="00231319" w:rsidRDefault="00E14E51" w:rsidP="00E14E51">
            <w:pPr>
              <w:pStyle w:val="Tablewriting"/>
              <w:keepNext/>
              <w:rPr>
                <w:rFonts w:eastAsia="MS Mincho"/>
              </w:rPr>
            </w:pPr>
            <w:r w:rsidRPr="00231319">
              <w:rPr>
                <w:rFonts w:eastAsia="MS Mincho"/>
              </w:rPr>
              <w:t>quit, irrespective of the setting from which they were recruited</w:t>
            </w:r>
          </w:p>
          <w:p w:rsidR="00E14E51" w:rsidRPr="00231319" w:rsidRDefault="00E14E51" w:rsidP="00E14E51">
            <w:pPr>
              <w:pStyle w:val="Tablewriting"/>
              <w:keepNext/>
              <w:rPr>
                <w:rFonts w:eastAsia="MS Mincho"/>
              </w:rPr>
            </w:pPr>
            <w:r w:rsidRPr="00231319">
              <w:rPr>
                <w:rFonts w:eastAsia="MS Mincho"/>
              </w:rPr>
              <w:t>or their initial level of nicotine dependence, or both.</w:t>
            </w:r>
          </w:p>
          <w:p w:rsidR="00E14E51" w:rsidRPr="00231319" w:rsidRDefault="00E14E51" w:rsidP="00E14E51">
            <w:pPr>
              <w:pStyle w:val="Tablewriting"/>
              <w:keepNext/>
              <w:rPr>
                <w:rFonts w:eastAsia="MS Mincho"/>
              </w:rPr>
            </w:pPr>
            <w:r w:rsidRPr="00231319">
              <w:rPr>
                <w:rFonts w:eastAsia="MS Mincho"/>
                <w:u w:val="single"/>
              </w:rPr>
              <w:t>Exclusion</w:t>
            </w:r>
            <w:r w:rsidRPr="00231319">
              <w:rPr>
                <w:rFonts w:eastAsia="MS Mincho"/>
              </w:rPr>
              <w:t>: trials that randomised physicians or other therapists to receive an educational intervention, which included encouraging their patients to use NRT</w:t>
            </w:r>
            <w:r w:rsidR="002D5E67" w:rsidRPr="00231319">
              <w:rPr>
                <w:rFonts w:eastAsia="MS Mincho"/>
              </w:rPr>
              <w:t>.</w:t>
            </w:r>
          </w:p>
        </w:tc>
        <w:tc>
          <w:tcPr>
            <w:tcW w:w="915" w:type="pct"/>
            <w:shd w:val="clear" w:color="auto" w:fill="FFFFFF" w:themeFill="background1"/>
          </w:tcPr>
          <w:p w:rsidR="00E14E51" w:rsidRPr="00231319" w:rsidRDefault="00E14E51" w:rsidP="00E14E51">
            <w:pPr>
              <w:pStyle w:val="Tablewriting"/>
              <w:keepNext/>
              <w:rPr>
                <w:rFonts w:eastAsia="MS Mincho"/>
              </w:rPr>
            </w:pPr>
            <w:r w:rsidRPr="00231319">
              <w:rPr>
                <w:rFonts w:eastAsia="MS Mincho"/>
              </w:rPr>
              <w:t>NRT: NRT patch</w:t>
            </w:r>
            <w:r w:rsidR="00366BE5" w:rsidRPr="00231319">
              <w:rPr>
                <w:rFonts w:eastAsia="MS Mincho"/>
              </w:rPr>
              <w:t xml:space="preserve">; </w:t>
            </w:r>
            <w:r w:rsidRPr="00231319">
              <w:rPr>
                <w:rFonts w:eastAsia="MS Mincho"/>
              </w:rPr>
              <w:t>Placebo: placebo or no NRT control</w:t>
            </w:r>
            <w:r w:rsidR="00AB5FA3" w:rsidRPr="00231319">
              <w:rPr>
                <w:rFonts w:eastAsia="MS Mincho"/>
              </w:rPr>
              <w:t>.</w:t>
            </w:r>
          </w:p>
        </w:tc>
        <w:tc>
          <w:tcPr>
            <w:tcW w:w="1038" w:type="pct"/>
            <w:shd w:val="clear" w:color="auto" w:fill="FFFFFF" w:themeFill="background1"/>
            <w:tcMar>
              <w:left w:w="28" w:type="dxa"/>
              <w:right w:w="28" w:type="dxa"/>
            </w:tcMar>
          </w:tcPr>
          <w:p w:rsidR="00E14E51" w:rsidRPr="00231319" w:rsidRDefault="00E14E51" w:rsidP="00E14E51">
            <w:pPr>
              <w:pStyle w:val="Tablewriting"/>
              <w:keepNext/>
              <w:rPr>
                <w:rFonts w:eastAsia="MS Mincho"/>
              </w:rPr>
            </w:pPr>
            <w:r w:rsidRPr="00231319">
              <w:rPr>
                <w:rFonts w:eastAsia="MS Mincho"/>
                <w:u w:val="single"/>
              </w:rPr>
              <w:t>Primary</w:t>
            </w:r>
            <w:r w:rsidRPr="00231319">
              <w:rPr>
                <w:rFonts w:eastAsia="MS Mincho"/>
              </w:rPr>
              <w:t>: smoking cessation rates of at least six months after baseline</w:t>
            </w:r>
            <w:r w:rsidR="002D5E67" w:rsidRPr="00231319">
              <w:rPr>
                <w:rFonts w:eastAsia="MS Mincho"/>
              </w:rPr>
              <w:t>.</w:t>
            </w:r>
          </w:p>
          <w:p w:rsidR="00E14E51" w:rsidRPr="00231319" w:rsidRDefault="00E14E51" w:rsidP="00E14E51">
            <w:pPr>
              <w:pStyle w:val="Tablewriting"/>
              <w:keepNext/>
              <w:rPr>
                <w:rFonts w:eastAsia="MS Mincho"/>
              </w:rPr>
            </w:pPr>
          </w:p>
        </w:tc>
      </w:tr>
      <w:tr w:rsidR="00260CD7" w:rsidRPr="00061F78" w:rsidTr="00231319">
        <w:trPr>
          <w:trHeight w:val="99"/>
        </w:trPr>
        <w:tc>
          <w:tcPr>
            <w:tcW w:w="337" w:type="pct"/>
            <w:shd w:val="clear" w:color="auto" w:fill="FFFFFF" w:themeFill="background1"/>
            <w:tcMar>
              <w:left w:w="28" w:type="dxa"/>
              <w:right w:w="28" w:type="dxa"/>
            </w:tcMar>
          </w:tcPr>
          <w:p w:rsidR="00E14E51" w:rsidRDefault="00E14E51" w:rsidP="00E14E51">
            <w:pPr>
              <w:pStyle w:val="Tablewriting"/>
              <w:keepNext/>
              <w:rPr>
                <w:rFonts w:eastAsia="MS Mincho"/>
              </w:rPr>
            </w:pPr>
            <w:r>
              <w:rPr>
                <w:rFonts w:eastAsia="MS Mincho"/>
              </w:rPr>
              <w:t>Stead</w:t>
            </w:r>
          </w:p>
          <w:p w:rsidR="00E14E51" w:rsidRPr="00061F78" w:rsidRDefault="00E14E51" w:rsidP="00E14E51">
            <w:pPr>
              <w:pStyle w:val="Tablewriting"/>
              <w:keepNext/>
              <w:rPr>
                <w:rFonts w:eastAsia="MS Mincho"/>
              </w:rPr>
            </w:pPr>
            <w:r>
              <w:rPr>
                <w:rFonts w:eastAsia="MS Mincho"/>
              </w:rPr>
              <w:t>(2008)</w:t>
            </w:r>
          </w:p>
        </w:tc>
        <w:tc>
          <w:tcPr>
            <w:tcW w:w="395" w:type="pct"/>
            <w:shd w:val="clear" w:color="auto" w:fill="FFFFFF" w:themeFill="background1"/>
          </w:tcPr>
          <w:p w:rsidR="00E14E51" w:rsidRDefault="00E14E51" w:rsidP="00E14E51">
            <w:pPr>
              <w:pStyle w:val="Tablewriting"/>
              <w:keepNext/>
              <w:rPr>
                <w:rFonts w:eastAsia="MS Mincho"/>
              </w:rPr>
            </w:pPr>
            <w:r>
              <w:rPr>
                <w:rFonts w:eastAsia="MS Mincho"/>
              </w:rPr>
              <w:t xml:space="preserve">Cochrane </w:t>
            </w:r>
            <w:r w:rsidR="00F101EC">
              <w:rPr>
                <w:rFonts w:eastAsia="MS Mincho"/>
              </w:rPr>
              <w:t>R</w:t>
            </w:r>
            <w:r>
              <w:rPr>
                <w:rFonts w:eastAsia="MS Mincho"/>
              </w:rPr>
              <w:t>eview    (</w:t>
            </w:r>
            <w:r w:rsidR="000A4FBF">
              <w:rPr>
                <w:rFonts w:eastAsia="MS Mincho"/>
              </w:rPr>
              <w:t>4</w:t>
            </w:r>
            <w:r>
              <w:rPr>
                <w:rFonts w:eastAsia="MS Mincho"/>
              </w:rPr>
              <w:t>1 RCTs</w:t>
            </w:r>
            <w:r w:rsidRPr="00AB145F">
              <w:rPr>
                <w:rFonts w:eastAsia="MS Mincho"/>
                <w:vertAlign w:val="superscript"/>
              </w:rPr>
              <w:t>2</w:t>
            </w:r>
            <w:r>
              <w:rPr>
                <w:rFonts w:eastAsia="MS Mincho"/>
              </w:rPr>
              <w:t>)</w:t>
            </w:r>
          </w:p>
        </w:tc>
        <w:tc>
          <w:tcPr>
            <w:tcW w:w="355" w:type="pct"/>
            <w:shd w:val="clear" w:color="auto" w:fill="FFFFFF" w:themeFill="background1"/>
            <w:tcMar>
              <w:left w:w="28" w:type="dxa"/>
              <w:right w:w="28" w:type="dxa"/>
            </w:tcMar>
          </w:tcPr>
          <w:p w:rsidR="00E14E51" w:rsidRDefault="00E14E51" w:rsidP="00E14E51">
            <w:pPr>
              <w:pStyle w:val="Tablewriting"/>
              <w:keepNext/>
              <w:rPr>
                <w:rFonts w:eastAsia="MS Mincho"/>
              </w:rPr>
            </w:pPr>
            <w:r>
              <w:rPr>
                <w:rFonts w:eastAsia="MS Mincho"/>
              </w:rPr>
              <w:t>N=</w:t>
            </w:r>
            <w:r w:rsidR="00C85A00">
              <w:rPr>
                <w:rFonts w:eastAsia="MS Mincho"/>
              </w:rPr>
              <w:t>18,237</w:t>
            </w:r>
          </w:p>
          <w:p w:rsidR="00E14E51" w:rsidRDefault="00E14E51" w:rsidP="00E14E51">
            <w:pPr>
              <w:pStyle w:val="Tablewriting"/>
              <w:keepNext/>
              <w:rPr>
                <w:rFonts w:eastAsia="MS Mincho"/>
              </w:rPr>
            </w:pPr>
            <w:r>
              <w:rPr>
                <w:rFonts w:eastAsia="MS Mincho"/>
              </w:rPr>
              <w:t>NRT patch (n=1</w:t>
            </w:r>
            <w:r w:rsidR="00C85A00">
              <w:rPr>
                <w:rFonts w:eastAsia="MS Mincho"/>
              </w:rPr>
              <w:t>0,963</w:t>
            </w:r>
            <w:r>
              <w:rPr>
                <w:rFonts w:eastAsia="MS Mincho"/>
              </w:rPr>
              <w:t>),</w:t>
            </w:r>
          </w:p>
          <w:p w:rsidR="00E14E51" w:rsidRPr="00061F78" w:rsidRDefault="00E14E51" w:rsidP="00E14E51">
            <w:pPr>
              <w:pStyle w:val="Tablewriting"/>
              <w:keepNext/>
              <w:rPr>
                <w:rFonts w:eastAsia="MS Mincho"/>
              </w:rPr>
            </w:pPr>
            <w:r>
              <w:rPr>
                <w:rFonts w:eastAsia="MS Mincho"/>
              </w:rPr>
              <w:t>Placebo (n=</w:t>
            </w:r>
            <w:r w:rsidR="00C85A00">
              <w:rPr>
                <w:rFonts w:eastAsia="MS Mincho"/>
              </w:rPr>
              <w:t>7,274</w:t>
            </w:r>
            <w:r>
              <w:rPr>
                <w:rFonts w:eastAsia="MS Mincho"/>
              </w:rPr>
              <w:t>)</w:t>
            </w:r>
          </w:p>
        </w:tc>
        <w:tc>
          <w:tcPr>
            <w:tcW w:w="1960" w:type="pct"/>
            <w:shd w:val="clear" w:color="auto" w:fill="FFFFFF" w:themeFill="background1"/>
            <w:tcMar>
              <w:left w:w="28" w:type="dxa"/>
              <w:right w:w="28" w:type="dxa"/>
            </w:tcMar>
          </w:tcPr>
          <w:p w:rsidR="00E14E51" w:rsidRPr="00061F78" w:rsidRDefault="003E3843" w:rsidP="00E14E51">
            <w:pPr>
              <w:pStyle w:val="Tablewriting"/>
              <w:keepNext/>
              <w:rPr>
                <w:rFonts w:eastAsia="MS Mincho"/>
              </w:rPr>
            </w:pPr>
            <w:r w:rsidRPr="003E3843">
              <w:rPr>
                <w:rFonts w:eastAsia="MS Mincho"/>
              </w:rPr>
              <w:t xml:space="preserve">Same inclusion and exclusion criteria </w:t>
            </w:r>
            <w:r w:rsidRPr="00231319">
              <w:rPr>
                <w:rFonts w:eastAsia="MS Mincho"/>
              </w:rPr>
              <w:t>as Silag</w:t>
            </w:r>
            <w:r w:rsidR="001217F0" w:rsidRPr="00231319">
              <w:rPr>
                <w:rFonts w:eastAsia="MS Mincho"/>
              </w:rPr>
              <w:t>y</w:t>
            </w:r>
            <w:r w:rsidRPr="00231319">
              <w:rPr>
                <w:rFonts w:eastAsia="MS Mincho"/>
              </w:rPr>
              <w:t xml:space="preserve"> (2004)</w:t>
            </w:r>
            <w:r w:rsidR="002D5E67" w:rsidRPr="00231319">
              <w:rPr>
                <w:rFonts w:eastAsia="MS Mincho"/>
              </w:rPr>
              <w:t>.</w:t>
            </w:r>
          </w:p>
        </w:tc>
        <w:tc>
          <w:tcPr>
            <w:tcW w:w="915" w:type="pct"/>
            <w:shd w:val="clear" w:color="auto" w:fill="FFFFFF" w:themeFill="background1"/>
          </w:tcPr>
          <w:p w:rsidR="00E14E51" w:rsidRPr="00A34E7B" w:rsidRDefault="00E14E51" w:rsidP="00E14E51">
            <w:pPr>
              <w:pStyle w:val="Tablewriting"/>
              <w:keepNext/>
              <w:rPr>
                <w:rFonts w:eastAsia="MS Mincho"/>
              </w:rPr>
            </w:pPr>
            <w:r>
              <w:rPr>
                <w:rFonts w:eastAsia="MS Mincho"/>
              </w:rPr>
              <w:t>NRT: NRT patch</w:t>
            </w:r>
            <w:r w:rsidR="00366BE5">
              <w:rPr>
                <w:rFonts w:eastAsia="MS Mincho"/>
              </w:rPr>
              <w:t xml:space="preserve">; </w:t>
            </w:r>
            <w:r>
              <w:rPr>
                <w:rFonts w:eastAsia="MS Mincho"/>
              </w:rPr>
              <w:t>Placebo: placebo or no NRT control</w:t>
            </w:r>
            <w:r w:rsidR="002D5E67">
              <w:rPr>
                <w:rFonts w:eastAsia="MS Mincho"/>
              </w:rPr>
              <w:t>.</w:t>
            </w:r>
          </w:p>
        </w:tc>
        <w:tc>
          <w:tcPr>
            <w:tcW w:w="1038" w:type="pct"/>
            <w:shd w:val="clear" w:color="auto" w:fill="FFFFFF" w:themeFill="background1"/>
            <w:tcMar>
              <w:left w:w="28" w:type="dxa"/>
              <w:right w:w="28" w:type="dxa"/>
            </w:tcMar>
          </w:tcPr>
          <w:p w:rsidR="00E14E51" w:rsidRDefault="00E14E51" w:rsidP="00E14E51">
            <w:pPr>
              <w:pStyle w:val="Tablewriting"/>
              <w:keepNext/>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2D5E67">
              <w:rPr>
                <w:rFonts w:eastAsia="MS Mincho"/>
              </w:rPr>
              <w:t>.</w:t>
            </w:r>
          </w:p>
          <w:p w:rsidR="00E14E51" w:rsidRPr="00061F78" w:rsidRDefault="00E14E51" w:rsidP="00E14E51">
            <w:pPr>
              <w:pStyle w:val="Tablewriting"/>
              <w:keepNext/>
              <w:rPr>
                <w:rFonts w:eastAsia="MS Mincho"/>
              </w:rPr>
            </w:pPr>
          </w:p>
        </w:tc>
      </w:tr>
      <w:tr w:rsidR="00260CD7" w:rsidRPr="00061F78" w:rsidTr="001217F0">
        <w:trPr>
          <w:trHeight w:val="149"/>
        </w:trPr>
        <w:tc>
          <w:tcPr>
            <w:tcW w:w="337" w:type="pct"/>
            <w:tcMar>
              <w:left w:w="28" w:type="dxa"/>
              <w:right w:w="28" w:type="dxa"/>
            </w:tcMar>
          </w:tcPr>
          <w:p w:rsidR="00603673" w:rsidRPr="00014C33" w:rsidRDefault="00014C33" w:rsidP="008E021C">
            <w:pPr>
              <w:pStyle w:val="Tablewriting"/>
              <w:keepNext/>
              <w:rPr>
                <w:rFonts w:eastAsia="MS Mincho"/>
              </w:rPr>
            </w:pPr>
            <w:r>
              <w:rPr>
                <w:rFonts w:eastAsia="MS Mincho"/>
              </w:rPr>
              <w:t>Hartmann-Boyce</w:t>
            </w:r>
            <w:r w:rsidRPr="00061F78">
              <w:rPr>
                <w:rFonts w:eastAsia="MS Mincho"/>
              </w:rPr>
              <w:t xml:space="preserve"> (20</w:t>
            </w:r>
            <w:r>
              <w:rPr>
                <w:rFonts w:eastAsia="MS Mincho"/>
              </w:rPr>
              <w:t>18</w:t>
            </w:r>
            <w:r w:rsidRPr="00061F78">
              <w:rPr>
                <w:rFonts w:eastAsia="MS Mincho"/>
              </w:rPr>
              <w:t>)</w:t>
            </w:r>
          </w:p>
        </w:tc>
        <w:tc>
          <w:tcPr>
            <w:tcW w:w="395" w:type="pct"/>
          </w:tcPr>
          <w:p w:rsidR="00603673" w:rsidRDefault="00603673" w:rsidP="008E021C">
            <w:pPr>
              <w:pStyle w:val="Tablewriting"/>
              <w:keepNext/>
              <w:rPr>
                <w:rFonts w:eastAsia="MS Mincho"/>
              </w:rPr>
            </w:pPr>
            <w:r>
              <w:rPr>
                <w:rFonts w:eastAsia="MS Mincho"/>
              </w:rPr>
              <w:t xml:space="preserve">Cochrane </w:t>
            </w:r>
            <w:r w:rsidR="00F101EC">
              <w:rPr>
                <w:rFonts w:eastAsia="MS Mincho"/>
              </w:rPr>
              <w:t>R</w:t>
            </w:r>
            <w:r>
              <w:rPr>
                <w:rFonts w:eastAsia="MS Mincho"/>
              </w:rPr>
              <w:t>eview    (</w:t>
            </w:r>
            <w:r w:rsidR="0032586C">
              <w:rPr>
                <w:rFonts w:eastAsia="MS Mincho"/>
              </w:rPr>
              <w:t>51</w:t>
            </w:r>
            <w:r>
              <w:rPr>
                <w:rFonts w:eastAsia="MS Mincho"/>
              </w:rPr>
              <w:t xml:space="preserve"> RCTs</w:t>
            </w:r>
            <w:r w:rsidRPr="00AB145F">
              <w:rPr>
                <w:rFonts w:eastAsia="MS Mincho"/>
                <w:vertAlign w:val="superscript"/>
              </w:rPr>
              <w:t>2</w:t>
            </w:r>
            <w:r>
              <w:rPr>
                <w:rFonts w:eastAsia="MS Mincho"/>
              </w:rPr>
              <w:t>)</w:t>
            </w:r>
          </w:p>
        </w:tc>
        <w:tc>
          <w:tcPr>
            <w:tcW w:w="355" w:type="pct"/>
            <w:tcMar>
              <w:left w:w="28" w:type="dxa"/>
              <w:right w:w="28" w:type="dxa"/>
            </w:tcMar>
          </w:tcPr>
          <w:p w:rsidR="00603673" w:rsidRDefault="00603673" w:rsidP="008E021C">
            <w:pPr>
              <w:pStyle w:val="Tablewriting"/>
              <w:keepNext/>
              <w:rPr>
                <w:rFonts w:eastAsia="MS Mincho"/>
              </w:rPr>
            </w:pPr>
            <w:r>
              <w:rPr>
                <w:rFonts w:eastAsia="MS Mincho"/>
              </w:rPr>
              <w:t>N=</w:t>
            </w:r>
            <w:r w:rsidR="00B22645">
              <w:rPr>
                <w:rFonts w:eastAsia="MS Mincho"/>
              </w:rPr>
              <w:t>25,754</w:t>
            </w:r>
          </w:p>
          <w:p w:rsidR="00603673" w:rsidRDefault="0032586C" w:rsidP="008E021C">
            <w:pPr>
              <w:pStyle w:val="Tablewriting"/>
              <w:keepNext/>
              <w:rPr>
                <w:rFonts w:eastAsia="MS Mincho"/>
              </w:rPr>
            </w:pPr>
            <w:r>
              <w:rPr>
                <w:rFonts w:eastAsia="MS Mincho"/>
              </w:rPr>
              <w:t>NRT patch</w:t>
            </w:r>
            <w:r w:rsidR="00603673">
              <w:rPr>
                <w:rFonts w:eastAsia="MS Mincho"/>
              </w:rPr>
              <w:t xml:space="preserve"> (n=</w:t>
            </w:r>
            <w:r>
              <w:rPr>
                <w:rFonts w:eastAsia="MS Mincho"/>
              </w:rPr>
              <w:t>13,773</w:t>
            </w:r>
            <w:r w:rsidR="00603673">
              <w:rPr>
                <w:rFonts w:eastAsia="MS Mincho"/>
              </w:rPr>
              <w:t>),</w:t>
            </w:r>
          </w:p>
          <w:p w:rsidR="00603673" w:rsidRPr="00061F78" w:rsidRDefault="00603673" w:rsidP="008E021C">
            <w:pPr>
              <w:pStyle w:val="Tablewriting"/>
              <w:keepNext/>
              <w:rPr>
                <w:rFonts w:eastAsia="MS Mincho"/>
              </w:rPr>
            </w:pPr>
            <w:r>
              <w:rPr>
                <w:rFonts w:eastAsia="MS Mincho"/>
              </w:rPr>
              <w:t>Placebo (n=</w:t>
            </w:r>
            <w:r w:rsidR="00B22645">
              <w:rPr>
                <w:rFonts w:eastAsia="MS Mincho"/>
              </w:rPr>
              <w:t>11,981</w:t>
            </w:r>
            <w:r>
              <w:rPr>
                <w:rFonts w:eastAsia="MS Mincho"/>
              </w:rPr>
              <w:t>)</w:t>
            </w:r>
          </w:p>
        </w:tc>
        <w:tc>
          <w:tcPr>
            <w:tcW w:w="1960" w:type="pct"/>
            <w:tcMar>
              <w:left w:w="28" w:type="dxa"/>
              <w:right w:w="28" w:type="dxa"/>
            </w:tcMar>
          </w:tcPr>
          <w:p w:rsidR="00603673" w:rsidRPr="00061F78" w:rsidRDefault="003E3843" w:rsidP="00D8489B">
            <w:pPr>
              <w:pStyle w:val="Tablewriting"/>
              <w:keepNext/>
              <w:rPr>
                <w:rFonts w:eastAsia="MS Mincho"/>
              </w:rPr>
            </w:pPr>
            <w:r w:rsidRPr="003E3843">
              <w:rPr>
                <w:rFonts w:eastAsia="MS Mincho"/>
              </w:rPr>
              <w:t xml:space="preserve">Same inclusion and exclusion criteria as </w:t>
            </w:r>
            <w:r w:rsidRPr="00231319">
              <w:rPr>
                <w:rFonts w:eastAsia="MS Mincho"/>
              </w:rPr>
              <w:t>Silag</w:t>
            </w:r>
            <w:r w:rsidR="001217F0" w:rsidRPr="00231319">
              <w:rPr>
                <w:rFonts w:eastAsia="MS Mincho"/>
              </w:rPr>
              <w:t>y</w:t>
            </w:r>
            <w:r w:rsidRPr="00231319">
              <w:rPr>
                <w:rFonts w:eastAsia="MS Mincho"/>
              </w:rPr>
              <w:t xml:space="preserve"> (2004)</w:t>
            </w:r>
            <w:r w:rsidR="002D5E67" w:rsidRPr="00231319">
              <w:rPr>
                <w:rFonts w:eastAsia="MS Mincho"/>
              </w:rPr>
              <w:t>.</w:t>
            </w:r>
          </w:p>
        </w:tc>
        <w:tc>
          <w:tcPr>
            <w:tcW w:w="915" w:type="pct"/>
          </w:tcPr>
          <w:p w:rsidR="00603673" w:rsidRPr="00061F78" w:rsidRDefault="00654783" w:rsidP="008E021C">
            <w:pPr>
              <w:pStyle w:val="Tablewriting"/>
              <w:keepNext/>
              <w:rPr>
                <w:rFonts w:eastAsia="MS Mincho"/>
              </w:rPr>
            </w:pPr>
            <w:r>
              <w:rPr>
                <w:rFonts w:eastAsia="MS Mincho"/>
              </w:rPr>
              <w:t>NRT: NRT patch</w:t>
            </w:r>
            <w:r w:rsidR="00366BE5">
              <w:rPr>
                <w:rFonts w:eastAsia="MS Mincho"/>
              </w:rPr>
              <w:t xml:space="preserve">; </w:t>
            </w:r>
            <w:r w:rsidR="00603673">
              <w:rPr>
                <w:rFonts w:eastAsia="MS Mincho"/>
              </w:rPr>
              <w:t xml:space="preserve">Placebo: placebo </w:t>
            </w:r>
            <w:r>
              <w:rPr>
                <w:rFonts w:eastAsia="MS Mincho"/>
              </w:rPr>
              <w:t>or no NRT control</w:t>
            </w:r>
            <w:r w:rsidR="002D5E67">
              <w:rPr>
                <w:rFonts w:eastAsia="MS Mincho"/>
              </w:rPr>
              <w:t>.</w:t>
            </w:r>
          </w:p>
        </w:tc>
        <w:tc>
          <w:tcPr>
            <w:tcW w:w="1038" w:type="pct"/>
            <w:tcMar>
              <w:left w:w="28" w:type="dxa"/>
              <w:right w:w="28" w:type="dxa"/>
            </w:tcMar>
          </w:tcPr>
          <w:p w:rsidR="00603673" w:rsidRDefault="00603673" w:rsidP="008E021C">
            <w:pPr>
              <w:pStyle w:val="Tablewriting"/>
              <w:keepNext/>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2D5E67">
              <w:rPr>
                <w:rFonts w:eastAsia="MS Mincho"/>
              </w:rPr>
              <w:t>.</w:t>
            </w:r>
          </w:p>
          <w:p w:rsidR="00603673" w:rsidRPr="00061F78" w:rsidRDefault="00603673" w:rsidP="008E021C">
            <w:pPr>
              <w:pStyle w:val="Tablewriting"/>
              <w:keepNext/>
              <w:rPr>
                <w:rFonts w:eastAsia="MS Mincho"/>
              </w:rPr>
            </w:pPr>
            <w:r w:rsidRPr="0036499C">
              <w:rPr>
                <w:rFonts w:eastAsia="MS Mincho"/>
                <w:u w:val="single"/>
              </w:rPr>
              <w:t>Secondary</w:t>
            </w:r>
            <w:r>
              <w:rPr>
                <w:rFonts w:eastAsia="MS Mincho"/>
              </w:rPr>
              <w:t xml:space="preserve">: </w:t>
            </w:r>
            <w:r w:rsidR="006352CC">
              <w:rPr>
                <w:rFonts w:eastAsia="MS Mincho"/>
              </w:rPr>
              <w:t>adverse event</w:t>
            </w:r>
            <w:r w:rsidR="008B429B">
              <w:rPr>
                <w:rFonts w:eastAsia="MS Mincho"/>
              </w:rPr>
              <w:t xml:space="preserve"> including palpitations/chest pains</w:t>
            </w:r>
            <w:r w:rsidR="002D5E67">
              <w:rPr>
                <w:rFonts w:eastAsia="MS Mincho"/>
              </w:rPr>
              <w:t>.</w:t>
            </w:r>
          </w:p>
        </w:tc>
      </w:tr>
      <w:tr w:rsidR="004B779D" w:rsidRPr="00061F78" w:rsidTr="001217F0">
        <w:trPr>
          <w:trHeight w:val="149"/>
        </w:trPr>
        <w:tc>
          <w:tcPr>
            <w:tcW w:w="337" w:type="pct"/>
            <w:tcMar>
              <w:left w:w="28" w:type="dxa"/>
              <w:right w:w="28" w:type="dxa"/>
            </w:tcMar>
          </w:tcPr>
          <w:p w:rsidR="004B779D" w:rsidRDefault="004B779D" w:rsidP="004B779D">
            <w:pPr>
              <w:pStyle w:val="Tablewriting"/>
              <w:keepNext/>
              <w:rPr>
                <w:rFonts w:eastAsia="MS Mincho"/>
              </w:rPr>
            </w:pPr>
            <w:r>
              <w:rPr>
                <w:rFonts w:eastAsia="MS Mincho"/>
              </w:rPr>
              <w:t>Benowitz (2018)</w:t>
            </w:r>
          </w:p>
        </w:tc>
        <w:tc>
          <w:tcPr>
            <w:tcW w:w="395" w:type="pct"/>
          </w:tcPr>
          <w:p w:rsidR="004B779D" w:rsidRPr="005E64E8" w:rsidRDefault="004B779D" w:rsidP="004B779D">
            <w:pPr>
              <w:pStyle w:val="Tablewriting"/>
              <w:keepNext/>
              <w:rPr>
                <w:rFonts w:eastAsia="MS Mincho"/>
                <w:vertAlign w:val="superscript"/>
              </w:rPr>
            </w:pPr>
            <w:r>
              <w:rPr>
                <w:rFonts w:eastAsia="MS Mincho"/>
              </w:rPr>
              <w:t>Non-treatment extension safety study of EAGLES (2016)</w:t>
            </w:r>
            <w:r w:rsidR="00B068FE">
              <w:rPr>
                <w:rFonts w:eastAsia="MS Mincho"/>
                <w:vertAlign w:val="superscript"/>
              </w:rPr>
              <w:t>3</w:t>
            </w:r>
          </w:p>
        </w:tc>
        <w:tc>
          <w:tcPr>
            <w:tcW w:w="355" w:type="pct"/>
            <w:tcMar>
              <w:left w:w="28" w:type="dxa"/>
              <w:right w:w="28" w:type="dxa"/>
            </w:tcMar>
          </w:tcPr>
          <w:p w:rsidR="004B779D" w:rsidRDefault="004B779D" w:rsidP="004B779D">
            <w:pPr>
              <w:pStyle w:val="Tablewriting"/>
              <w:rPr>
                <w:rFonts w:eastAsia="MS Mincho"/>
              </w:rPr>
            </w:pPr>
            <w:r>
              <w:rPr>
                <w:rFonts w:eastAsia="MS Mincho"/>
              </w:rPr>
              <w:t>N=4,595</w:t>
            </w:r>
          </w:p>
          <w:p w:rsidR="004B779D" w:rsidRDefault="004B779D" w:rsidP="004B779D">
            <w:pPr>
              <w:pStyle w:val="Tablewriting"/>
              <w:keepNext/>
              <w:rPr>
                <w:rFonts w:eastAsia="MS Mincho"/>
              </w:rPr>
            </w:pPr>
            <w:r>
              <w:rPr>
                <w:rFonts w:eastAsia="MS Mincho"/>
              </w:rPr>
              <w:t>Bupropion (n=1,166), Placebo (n=1,121)</w:t>
            </w:r>
          </w:p>
        </w:tc>
        <w:tc>
          <w:tcPr>
            <w:tcW w:w="1960" w:type="pct"/>
            <w:tcMar>
              <w:left w:w="28" w:type="dxa"/>
              <w:right w:w="28" w:type="dxa"/>
            </w:tcMar>
          </w:tcPr>
          <w:p w:rsidR="004B779D" w:rsidRDefault="004B779D" w:rsidP="004B779D">
            <w:pPr>
              <w:pStyle w:val="Tablewriting"/>
              <w:rPr>
                <w:rFonts w:eastAsia="MS Mincho" w:cstheme="minorHAnsi"/>
              </w:rPr>
            </w:pPr>
            <w:r w:rsidRPr="007F28D7">
              <w:rPr>
                <w:rFonts w:eastAsia="MS Mincho"/>
                <w:u w:val="single"/>
              </w:rPr>
              <w:t>Inclusion</w:t>
            </w:r>
            <w:r>
              <w:rPr>
                <w:rFonts w:eastAsia="MS Mincho"/>
              </w:rPr>
              <w:t xml:space="preserve">: </w:t>
            </w:r>
            <w:r w:rsidRPr="000A14FA">
              <w:rPr>
                <w:rFonts w:eastAsia="MS Mincho" w:cstheme="minorHAnsi"/>
              </w:rPr>
              <w:t>18</w:t>
            </w:r>
            <w:r>
              <w:rPr>
                <w:rFonts w:eastAsia="MS Mincho" w:cstheme="minorHAnsi"/>
              </w:rPr>
              <w:t>-</w:t>
            </w:r>
            <w:r w:rsidRPr="000A14FA">
              <w:rPr>
                <w:rFonts w:eastAsia="MS Mincho" w:cstheme="minorHAnsi"/>
              </w:rPr>
              <w:t>75 years</w:t>
            </w:r>
            <w:r>
              <w:rPr>
                <w:rFonts w:eastAsia="MS Mincho" w:cstheme="minorHAnsi"/>
              </w:rPr>
              <w:t xml:space="preserve"> old</w:t>
            </w:r>
            <w:r w:rsidRPr="000A14FA">
              <w:rPr>
                <w:rFonts w:eastAsia="MS Mincho" w:cstheme="minorHAnsi"/>
              </w:rPr>
              <w:t xml:space="preserve">, </w:t>
            </w:r>
            <w:r>
              <w:rPr>
                <w:rFonts w:eastAsia="MS Mincho" w:cstheme="minorHAnsi"/>
              </w:rPr>
              <w:t>≥</w:t>
            </w:r>
            <w:r w:rsidRPr="000A14FA">
              <w:rPr>
                <w:rFonts w:eastAsia="MS Mincho" w:cstheme="minorHAnsi"/>
              </w:rPr>
              <w:t>10</w:t>
            </w:r>
            <w:r>
              <w:rPr>
                <w:rFonts w:eastAsia="MS Mincho" w:cstheme="minorHAnsi"/>
              </w:rPr>
              <w:t xml:space="preserve"> </w:t>
            </w:r>
            <w:r w:rsidRPr="000A14FA">
              <w:rPr>
                <w:rFonts w:eastAsia="MS Mincho" w:cstheme="minorHAnsi"/>
              </w:rPr>
              <w:t>cigarettes per day, interested in quitting smoking, had been randomi</w:t>
            </w:r>
            <w:r>
              <w:rPr>
                <w:rFonts w:eastAsia="MS Mincho" w:cstheme="minorHAnsi"/>
              </w:rPr>
              <w:t>s</w:t>
            </w:r>
            <w:r w:rsidRPr="000A14FA">
              <w:rPr>
                <w:rFonts w:eastAsia="MS Mincho" w:cstheme="minorHAnsi"/>
              </w:rPr>
              <w:t>ed to treatment in</w:t>
            </w:r>
            <w:r>
              <w:rPr>
                <w:rFonts w:eastAsia="MS Mincho" w:cstheme="minorHAnsi"/>
              </w:rPr>
              <w:t xml:space="preserve"> </w:t>
            </w:r>
            <w:r w:rsidRPr="000A14FA">
              <w:rPr>
                <w:rFonts w:eastAsia="MS Mincho" w:cstheme="minorHAnsi"/>
              </w:rPr>
              <w:t>and had completed the week 24 visit of</w:t>
            </w:r>
            <w:r>
              <w:rPr>
                <w:rFonts w:eastAsia="MS Mincho" w:cstheme="minorHAnsi"/>
              </w:rPr>
              <w:t xml:space="preserve"> </w:t>
            </w:r>
            <w:r w:rsidRPr="000A14FA">
              <w:rPr>
                <w:rFonts w:eastAsia="MS Mincho" w:cstheme="minorHAnsi"/>
              </w:rPr>
              <w:t>EAGLES</w:t>
            </w:r>
            <w:r w:rsidR="00AB5FA3">
              <w:rPr>
                <w:rFonts w:eastAsia="MS Mincho" w:cstheme="minorHAnsi"/>
              </w:rPr>
              <w:t>.</w:t>
            </w:r>
          </w:p>
          <w:p w:rsidR="004B779D" w:rsidRPr="003E3843" w:rsidRDefault="004B779D" w:rsidP="004B779D">
            <w:pPr>
              <w:pStyle w:val="Tablewriting"/>
              <w:keepNext/>
              <w:rPr>
                <w:rFonts w:eastAsia="MS Mincho"/>
              </w:rPr>
            </w:pPr>
            <w:r w:rsidRPr="007F28D7">
              <w:rPr>
                <w:rFonts w:eastAsia="MS Mincho"/>
                <w:u w:val="single"/>
              </w:rPr>
              <w:t>Exclusion</w:t>
            </w:r>
            <w:r>
              <w:rPr>
                <w:rFonts w:eastAsia="MS Mincho"/>
              </w:rPr>
              <w:t xml:space="preserve">: </w:t>
            </w:r>
            <w:r w:rsidRPr="00661FFC">
              <w:rPr>
                <w:rFonts w:eastAsia="MS Mincho"/>
              </w:rPr>
              <w:t>unstable psychiatric illness, active substance abuse, clinically significant CVD in the 2 months prior to study entry, clinically significant cerebrovascular disease in the 2 months prior to study entry, or inadequate control of hypertens</w:t>
            </w:r>
            <w:r>
              <w:rPr>
                <w:rFonts w:eastAsia="MS Mincho"/>
              </w:rPr>
              <w:t>ion</w:t>
            </w:r>
            <w:r w:rsidRPr="00661FFC">
              <w:rPr>
                <w:rFonts w:eastAsia="MS Mincho"/>
              </w:rPr>
              <w:t>.</w:t>
            </w:r>
          </w:p>
        </w:tc>
        <w:tc>
          <w:tcPr>
            <w:tcW w:w="915" w:type="pct"/>
          </w:tcPr>
          <w:p w:rsidR="004B779D" w:rsidRDefault="004B779D" w:rsidP="004B779D">
            <w:pPr>
              <w:pStyle w:val="Tablewriting"/>
              <w:keepNext/>
              <w:rPr>
                <w:rFonts w:eastAsia="MS Mincho"/>
              </w:rPr>
            </w:pPr>
            <w:r>
              <w:rPr>
                <w:rFonts w:eastAsia="MS Mincho"/>
              </w:rPr>
              <w:t xml:space="preserve">No treatment was provided during this study. Prior </w:t>
            </w:r>
            <w:r w:rsidR="009A6504">
              <w:rPr>
                <w:rFonts w:eastAsia="MS Mincho"/>
              </w:rPr>
              <w:t>NRT</w:t>
            </w:r>
            <w:r>
              <w:rPr>
                <w:rFonts w:eastAsia="MS Mincho"/>
              </w:rPr>
              <w:t xml:space="preserve"> and placebo treatments were administered in EAGLES (2016).</w:t>
            </w:r>
          </w:p>
        </w:tc>
        <w:tc>
          <w:tcPr>
            <w:tcW w:w="1038" w:type="pct"/>
            <w:tcMar>
              <w:left w:w="28" w:type="dxa"/>
              <w:right w:w="28" w:type="dxa"/>
            </w:tcMar>
          </w:tcPr>
          <w:p w:rsidR="004B779D" w:rsidRDefault="004B779D" w:rsidP="004B779D">
            <w:pPr>
              <w:pStyle w:val="Tablewriting"/>
              <w:rPr>
                <w:rFonts w:eastAsia="MS Mincho"/>
              </w:rPr>
            </w:pPr>
            <w:r w:rsidRPr="008C39E4">
              <w:rPr>
                <w:rFonts w:eastAsia="MS Mincho"/>
                <w:u w:val="single"/>
              </w:rPr>
              <w:t>Primary</w:t>
            </w:r>
            <w:r>
              <w:rPr>
                <w:rFonts w:eastAsia="MS Mincho"/>
              </w:rPr>
              <w:t>: Time to major adverse cardiovascular event</w:t>
            </w:r>
            <w:r w:rsidR="002D5E67">
              <w:rPr>
                <w:rFonts w:eastAsia="MS Mincho"/>
              </w:rPr>
              <w:t>.</w:t>
            </w:r>
          </w:p>
          <w:p w:rsidR="004B779D" w:rsidRPr="0036499C" w:rsidRDefault="004B779D" w:rsidP="004B779D">
            <w:pPr>
              <w:pStyle w:val="Tablewriting"/>
              <w:keepNext/>
              <w:rPr>
                <w:rFonts w:eastAsia="MS Mincho"/>
                <w:u w:val="single"/>
              </w:rPr>
            </w:pPr>
            <w:r w:rsidRPr="008C39E4">
              <w:rPr>
                <w:rFonts w:eastAsia="MS Mincho"/>
                <w:u w:val="single"/>
              </w:rPr>
              <w:t>Secondary</w:t>
            </w:r>
            <w:r>
              <w:rPr>
                <w:rFonts w:eastAsia="MS Mincho"/>
              </w:rPr>
              <w:t>: Occurrence of major adverse cardiovascular event</w:t>
            </w:r>
            <w:r w:rsidR="002D5E67">
              <w:rPr>
                <w:rFonts w:eastAsia="MS Mincho"/>
              </w:rPr>
              <w:t>.</w:t>
            </w:r>
          </w:p>
        </w:tc>
      </w:tr>
    </w:tbl>
    <w:p w:rsidR="007F2310" w:rsidRPr="00231319" w:rsidRDefault="007F2310" w:rsidP="007F2310">
      <w:pPr>
        <w:pStyle w:val="TableFooter"/>
        <w:keepNext/>
        <w:rPr>
          <w:i/>
        </w:rPr>
      </w:pPr>
      <w:r>
        <w:lastRenderedPageBreak/>
        <w:t xml:space="preserve">Abbreviations: </w:t>
      </w:r>
      <w:r w:rsidR="00C5551B">
        <w:t xml:space="preserve">NRT = nicotine replacement therapy; </w:t>
      </w:r>
      <w:r>
        <w:t>RCT = randomised controlled trial</w:t>
      </w:r>
      <w:r w:rsidRPr="00061F78">
        <w:t xml:space="preserve"> </w:t>
      </w:r>
    </w:p>
    <w:p w:rsidR="00666D39" w:rsidRDefault="007F2310" w:rsidP="00666D39">
      <w:pPr>
        <w:pStyle w:val="TableFooter"/>
        <w:keepNext/>
      </w:pPr>
      <w:r>
        <w:t>1 Only the number of patients (n) in the relevant arms were included</w:t>
      </w:r>
      <w:r w:rsidR="002D5E67">
        <w:t>.</w:t>
      </w:r>
    </w:p>
    <w:p w:rsidR="00603673" w:rsidRDefault="007F2310" w:rsidP="00666D39">
      <w:pPr>
        <w:pStyle w:val="TableFooter"/>
        <w:keepNext/>
      </w:pPr>
      <w:r>
        <w:t xml:space="preserve">2 The characteristics of the individual studies comparing </w:t>
      </w:r>
      <w:r w:rsidR="00CD64B1">
        <w:t>NRT patch</w:t>
      </w:r>
      <w:r>
        <w:t xml:space="preserve"> with placebo</w:t>
      </w:r>
      <w:r w:rsidR="00EF57E9">
        <w:t xml:space="preserve"> (or no NRT control)</w:t>
      </w:r>
      <w:r>
        <w:t xml:space="preserve"> included in </w:t>
      </w:r>
      <w:r w:rsidR="00CD64B1">
        <w:t>Hartmann-Boyce</w:t>
      </w:r>
      <w:r>
        <w:t xml:space="preserve"> et al. (20</w:t>
      </w:r>
      <w:r w:rsidR="00CD64B1">
        <w:t>18</w:t>
      </w:r>
      <w:r>
        <w:t xml:space="preserve">) are presented in </w:t>
      </w:r>
      <w:r w:rsidRPr="000D7743">
        <w:t>Appendix</w:t>
      </w:r>
      <w:r w:rsidR="00666D39">
        <w:t xml:space="preserve"> </w:t>
      </w:r>
      <w:r w:rsidR="003C4A1C">
        <w:t xml:space="preserve">Table </w:t>
      </w:r>
      <w:r w:rsidR="003C4A1C">
        <w:rPr>
          <w:noProof/>
        </w:rPr>
        <w:t>148</w:t>
      </w:r>
      <w:r w:rsidR="00666D39">
        <w:t>.</w:t>
      </w:r>
      <w:r w:rsidR="008846EB">
        <w:rPr>
          <w:noProof/>
          <w:color w:val="000000"/>
          <w:highlight w:val="black"/>
        </w:rPr>
        <w:t xml:space="preserve"> '''''''''</w:t>
      </w:r>
      <w:r>
        <w:t xml:space="preserve"> </w:t>
      </w:r>
      <w:r w:rsidR="00EF57E9">
        <w:t>Cochrane reviews were</w:t>
      </w:r>
      <w:r>
        <w:t xml:space="preserve"> previously considered by the PBAC (</w:t>
      </w:r>
      <w:r w:rsidR="008846EB">
        <w:rPr>
          <w:noProof/>
          <w:color w:val="000000"/>
          <w:highlight w:val="black"/>
        </w:rPr>
        <w:t>'''''''''''' '''' ''''' '''''''''' '''''''</w:t>
      </w:r>
      <w:r>
        <w:t xml:space="preserve"> </w:t>
      </w:r>
      <w:r w:rsidR="00EF57E9">
        <w:t>Stead</w:t>
      </w:r>
      <w:r w:rsidRPr="005B2A6C">
        <w:t xml:space="preserve"> et al. </w:t>
      </w:r>
      <w:r w:rsidR="00EF57E9">
        <w:t>2008</w:t>
      </w:r>
      <w:r w:rsidRPr="005B2A6C">
        <w:t>)</w:t>
      </w:r>
      <w:r w:rsidR="00EF57E9">
        <w:t xml:space="preserve">. </w:t>
      </w:r>
      <w:r w:rsidR="009E29BF">
        <w:t>Three studies in</w:t>
      </w:r>
      <w:r w:rsidR="00EF57E9">
        <w:t xml:space="preserve"> </w:t>
      </w:r>
      <w:r w:rsidR="008846EB">
        <w:rPr>
          <w:noProof/>
          <w:color w:val="000000"/>
          <w:highlight w:val="black"/>
        </w:rPr>
        <w:t>'''''''''''' '''' ''''' ''''''''''' '''''''</w:t>
      </w:r>
      <w:r w:rsidR="00EF57E9">
        <w:t xml:space="preserve"> Stead et al. (2008)</w:t>
      </w:r>
      <w:r w:rsidR="009E29BF">
        <w:t xml:space="preserve"> were ex</w:t>
      </w:r>
      <w:r>
        <w:t xml:space="preserve">cluded </w:t>
      </w:r>
      <w:r w:rsidR="009E29BF">
        <w:t>from</w:t>
      </w:r>
      <w:r>
        <w:t xml:space="preserve"> </w:t>
      </w:r>
      <w:r w:rsidR="00EF57E9">
        <w:t>the primary efficacy analysis of Hartmann-Boyce et al. (2018).</w:t>
      </w:r>
    </w:p>
    <w:p w:rsidR="00B068FE" w:rsidRDefault="00B068FE" w:rsidP="00666D39">
      <w:pPr>
        <w:pStyle w:val="TableFooter"/>
        <w:keepNext/>
      </w:pPr>
      <w:r>
        <w:t xml:space="preserve">3 </w:t>
      </w:r>
      <w:r w:rsidRPr="00B068FE">
        <w:t>Benowitz et al. (2018) was a non-treatment extension of EAGLES (Anthenelli et al. 2016) with a considerable amount of missing data due to lost to follow-up, extension study nonenrollees, no longer willing to participate and death.</w:t>
      </w:r>
    </w:p>
    <w:p w:rsidR="00603673" w:rsidRDefault="00603673" w:rsidP="00C83EDA">
      <w:pPr>
        <w:sectPr w:rsidR="00603673" w:rsidSect="00603673">
          <w:pgSz w:w="16838" w:h="11906" w:orient="landscape"/>
          <w:pgMar w:top="1440" w:right="1440" w:bottom="1440" w:left="1440" w:header="708" w:footer="708" w:gutter="0"/>
          <w:cols w:space="708"/>
          <w:titlePg/>
          <w:docGrid w:linePitch="360"/>
        </w:sectPr>
      </w:pPr>
    </w:p>
    <w:p w:rsidR="007C59F5" w:rsidRPr="0073597F" w:rsidRDefault="007C59F5" w:rsidP="007C59F5">
      <w:pPr>
        <w:rPr>
          <w:u w:val="single"/>
        </w:rPr>
      </w:pPr>
      <w:r w:rsidRPr="0073597F">
        <w:rPr>
          <w:u w:val="single"/>
        </w:rPr>
        <w:lastRenderedPageBreak/>
        <w:t>Efficacy</w:t>
      </w:r>
    </w:p>
    <w:p w:rsidR="007C59F5" w:rsidRPr="007C59F5" w:rsidRDefault="007C59F5" w:rsidP="007C59F5">
      <w:r w:rsidRPr="007C59F5">
        <w:t xml:space="preserve">A summary of the smoking cessation rates </w:t>
      </w:r>
      <w:r w:rsidR="009676F1">
        <w:t>for</w:t>
      </w:r>
      <w:r w:rsidRPr="007C59F5">
        <w:t xml:space="preserve"> at least six months follow-up </w:t>
      </w:r>
      <w:r w:rsidR="001217F0">
        <w:t xml:space="preserve">comparing NRT </w:t>
      </w:r>
      <w:r w:rsidR="00573F59">
        <w:t>patches</w:t>
      </w:r>
      <w:r w:rsidR="001217F0">
        <w:t xml:space="preserve"> with placebo</w:t>
      </w:r>
      <w:r w:rsidRPr="007C59F5">
        <w:t xml:space="preserve"> is presented in </w:t>
      </w:r>
      <w:r w:rsidR="003C4A1C">
        <w:t xml:space="preserve">Table </w:t>
      </w:r>
      <w:r w:rsidR="003C4A1C">
        <w:rPr>
          <w:noProof/>
        </w:rPr>
        <w:t>23</w:t>
      </w:r>
      <w:r w:rsidRPr="007C59F5">
        <w:t>. The results of</w:t>
      </w:r>
      <w:r w:rsidR="009A3AFB">
        <w:t xml:space="preserve"> </w:t>
      </w:r>
      <w:r w:rsidR="008846EB">
        <w:rPr>
          <w:noProof/>
          <w:color w:val="000000"/>
          <w:highlight w:val="black"/>
        </w:rPr>
        <w:t>''''''''''' ''''''''''''</w:t>
      </w:r>
      <w:r w:rsidR="009A3AFB">
        <w:t xml:space="preserve"> and</w:t>
      </w:r>
      <w:r w:rsidRPr="007C59F5">
        <w:t xml:space="preserve"> </w:t>
      </w:r>
      <w:r w:rsidR="000569B3">
        <w:t xml:space="preserve">the meta-analysis by </w:t>
      </w:r>
      <w:r w:rsidR="008846EB">
        <w:rPr>
          <w:noProof/>
          <w:color w:val="000000"/>
          <w:highlight w:val="black"/>
        </w:rPr>
        <w:t>'''''''''' ''''' '''' ''''''''''' '''''''</w:t>
      </w:r>
      <w:r w:rsidR="000569B3">
        <w:t xml:space="preserve"> Stead et</w:t>
      </w:r>
      <w:r w:rsidRPr="007C59F5">
        <w:t xml:space="preserve"> al. (</w:t>
      </w:r>
      <w:r w:rsidR="000569B3">
        <w:t>2008</w:t>
      </w:r>
      <w:r w:rsidRPr="007C59F5">
        <w:t xml:space="preserve">) demonstrated a statistically significant difference in </w:t>
      </w:r>
      <w:r w:rsidR="000569B3">
        <w:t>long-term smoking cessation</w:t>
      </w:r>
      <w:r w:rsidRPr="007C59F5">
        <w:t xml:space="preserve"> rate</w:t>
      </w:r>
      <w:r w:rsidR="000569B3">
        <w:t>s</w:t>
      </w:r>
      <w:r w:rsidRPr="007C59F5">
        <w:t xml:space="preserve">, in favour of </w:t>
      </w:r>
      <w:r w:rsidR="000569B3">
        <w:t xml:space="preserve">NRT </w:t>
      </w:r>
      <w:r w:rsidR="00573F59">
        <w:t>patches</w:t>
      </w:r>
      <w:r w:rsidRPr="007C59F5">
        <w:t>.</w:t>
      </w:r>
      <w:r w:rsidR="00D900DC">
        <w:t xml:space="preserve"> Similarly</w:t>
      </w:r>
      <w:r w:rsidRPr="007C59F5">
        <w:t xml:space="preserve">, the results of the meta-analysis comprising </w:t>
      </w:r>
      <w:r w:rsidR="00D900DC">
        <w:t xml:space="preserve">51 </w:t>
      </w:r>
      <w:r w:rsidRPr="007C59F5">
        <w:t xml:space="preserve">RCTs </w:t>
      </w:r>
      <w:r w:rsidR="00D900DC">
        <w:t>b</w:t>
      </w:r>
      <w:r w:rsidR="00D900DC" w:rsidRPr="00D900DC">
        <w:t xml:space="preserve">ased on the updated Cochrane </w:t>
      </w:r>
      <w:r w:rsidR="00461784" w:rsidRPr="00D900DC">
        <w:t>R</w:t>
      </w:r>
      <w:r w:rsidR="00D900DC" w:rsidRPr="00D900DC">
        <w:t>eview by Hartmann-Boyce et al. (2018)</w:t>
      </w:r>
      <w:r w:rsidR="00D900DC">
        <w:t xml:space="preserve"> </w:t>
      </w:r>
      <w:r w:rsidRPr="007C59F5">
        <w:t xml:space="preserve">demonstrated a statistically significant difference in </w:t>
      </w:r>
      <w:r w:rsidR="00D900DC">
        <w:t xml:space="preserve">long-term </w:t>
      </w:r>
      <w:r w:rsidRPr="007C59F5">
        <w:t xml:space="preserve">smoking cessation rates, in favour of </w:t>
      </w:r>
      <w:r w:rsidR="00D900DC">
        <w:t xml:space="preserve">NRT </w:t>
      </w:r>
      <w:r w:rsidR="00573F59">
        <w:t>patches</w:t>
      </w:r>
      <w:r w:rsidRPr="007C59F5">
        <w:t>.</w:t>
      </w:r>
    </w:p>
    <w:p w:rsidR="0078171D" w:rsidRDefault="0078171D" w:rsidP="0078171D">
      <w:pPr>
        <w:pStyle w:val="Caption"/>
        <w:keepNext/>
      </w:pPr>
      <w:bookmarkStart w:id="90" w:name="_Ref54263777"/>
      <w:r>
        <w:t xml:space="preserve">Table </w:t>
      </w:r>
      <w:r w:rsidR="003C4A1C">
        <w:rPr>
          <w:noProof/>
        </w:rPr>
        <w:t>23</w:t>
      </w:r>
      <w:bookmarkEnd w:id="90"/>
      <w:r>
        <w:t xml:space="preserve">: </w:t>
      </w:r>
      <w:r w:rsidRPr="00051316">
        <w:t>Results of smoking cessation f</w:t>
      </w:r>
      <w:r w:rsidR="009241C9">
        <w:t>or</w:t>
      </w:r>
      <w:r w:rsidRPr="00051316">
        <w:t xml:space="preserve"> at least six months follow-up, </w:t>
      </w:r>
      <w:r w:rsidR="00F1191B">
        <w:t>NRT patch</w:t>
      </w:r>
      <w:r w:rsidRPr="00051316">
        <w:t xml:space="preserve"> versus placebo</w:t>
      </w:r>
    </w:p>
    <w:tbl>
      <w:tblPr>
        <w:tblStyle w:val="TableGrid"/>
        <w:tblW w:w="5000" w:type="pct"/>
        <w:tblLook w:val="04A0" w:firstRow="1" w:lastRow="0" w:firstColumn="1" w:lastColumn="0" w:noHBand="0" w:noVBand="1"/>
        <w:tblCaption w:val="Efficacy results of adalimumab trials (PASI 75 and DLQI)"/>
      </w:tblPr>
      <w:tblGrid>
        <w:gridCol w:w="1703"/>
        <w:gridCol w:w="1845"/>
        <w:gridCol w:w="1812"/>
        <w:gridCol w:w="1828"/>
        <w:gridCol w:w="1828"/>
      </w:tblGrid>
      <w:tr w:rsidR="00F1191B" w:rsidRPr="00061F78" w:rsidTr="00803DA6">
        <w:trPr>
          <w:cantSplit/>
          <w:trHeight w:val="299"/>
          <w:tblHeader/>
        </w:trPr>
        <w:tc>
          <w:tcPr>
            <w:tcW w:w="944" w:type="pct"/>
            <w:shd w:val="clear" w:color="auto" w:fill="BFBFBF" w:themeFill="background1" w:themeFillShade="BF"/>
            <w:tcMar>
              <w:left w:w="28" w:type="dxa"/>
              <w:right w:w="28" w:type="dxa"/>
            </w:tcMar>
          </w:tcPr>
          <w:p w:rsidR="0078171D" w:rsidRPr="00061F78" w:rsidRDefault="00126B7B" w:rsidP="00D900DC">
            <w:pPr>
              <w:pStyle w:val="Tableheading"/>
              <w:keepNext/>
              <w:rPr>
                <w:rFonts w:eastAsia="MS Mincho"/>
              </w:rPr>
            </w:pPr>
            <w:r>
              <w:rPr>
                <w:rFonts w:eastAsia="MS Mincho"/>
              </w:rPr>
              <w:t>Study</w:t>
            </w:r>
          </w:p>
        </w:tc>
        <w:tc>
          <w:tcPr>
            <w:tcW w:w="1023" w:type="pct"/>
            <w:shd w:val="clear" w:color="auto" w:fill="BFBFBF" w:themeFill="background1" w:themeFillShade="BF"/>
            <w:vAlign w:val="center"/>
          </w:tcPr>
          <w:p w:rsidR="0078171D" w:rsidRDefault="0078171D" w:rsidP="00D900DC">
            <w:pPr>
              <w:pStyle w:val="Tableheading"/>
              <w:keepNext/>
              <w:jc w:val="center"/>
              <w:rPr>
                <w:rFonts w:eastAsia="MS Mincho"/>
              </w:rPr>
            </w:pPr>
            <w:r>
              <w:rPr>
                <w:rFonts w:eastAsia="MS Mincho"/>
              </w:rPr>
              <w:t>Study type</w:t>
            </w:r>
          </w:p>
        </w:tc>
        <w:tc>
          <w:tcPr>
            <w:tcW w:w="1005" w:type="pct"/>
            <w:shd w:val="clear" w:color="auto" w:fill="BFBFBF" w:themeFill="background1" w:themeFillShade="BF"/>
            <w:tcMar>
              <w:left w:w="28" w:type="dxa"/>
              <w:right w:w="28" w:type="dxa"/>
            </w:tcMar>
            <w:vAlign w:val="center"/>
          </w:tcPr>
          <w:p w:rsidR="0078171D" w:rsidRPr="00061F78" w:rsidRDefault="0078171D" w:rsidP="00D900DC">
            <w:pPr>
              <w:pStyle w:val="Tableheading"/>
              <w:keepNext/>
              <w:jc w:val="center"/>
              <w:rPr>
                <w:rFonts w:eastAsia="MS Mincho"/>
              </w:rPr>
            </w:pPr>
            <w:r>
              <w:rPr>
                <w:rFonts w:eastAsia="MS Mincho"/>
              </w:rPr>
              <w:t>NRT patch</w:t>
            </w:r>
          </w:p>
        </w:tc>
        <w:tc>
          <w:tcPr>
            <w:tcW w:w="1014" w:type="pct"/>
            <w:shd w:val="clear" w:color="auto" w:fill="BFBFBF" w:themeFill="background1" w:themeFillShade="BF"/>
            <w:tcMar>
              <w:left w:w="28" w:type="dxa"/>
              <w:right w:w="28" w:type="dxa"/>
            </w:tcMar>
            <w:vAlign w:val="center"/>
          </w:tcPr>
          <w:p w:rsidR="0078171D" w:rsidRPr="00061F78" w:rsidRDefault="0078171D" w:rsidP="00D900DC">
            <w:pPr>
              <w:pStyle w:val="Tableheading"/>
              <w:keepNext/>
              <w:jc w:val="center"/>
              <w:rPr>
                <w:rFonts w:eastAsia="MS Mincho"/>
              </w:rPr>
            </w:pPr>
            <w:r w:rsidRPr="00061F78">
              <w:rPr>
                <w:rFonts w:eastAsia="MS Mincho"/>
              </w:rPr>
              <w:t>Placebo</w:t>
            </w:r>
          </w:p>
        </w:tc>
        <w:tc>
          <w:tcPr>
            <w:tcW w:w="1014" w:type="pct"/>
            <w:shd w:val="clear" w:color="auto" w:fill="BFBFBF" w:themeFill="background1" w:themeFillShade="BF"/>
            <w:tcMar>
              <w:left w:w="28" w:type="dxa"/>
              <w:right w:w="28" w:type="dxa"/>
            </w:tcMar>
            <w:vAlign w:val="center"/>
          </w:tcPr>
          <w:p w:rsidR="0078171D" w:rsidRPr="00D468CF" w:rsidRDefault="0078171D" w:rsidP="00D900DC">
            <w:pPr>
              <w:pStyle w:val="Tableheading"/>
              <w:keepNext/>
              <w:jc w:val="center"/>
              <w:rPr>
                <w:rFonts w:eastAsia="MS Mincho"/>
                <w:vertAlign w:val="superscript"/>
              </w:rPr>
            </w:pPr>
            <w:r>
              <w:rPr>
                <w:rFonts w:eastAsia="MS Mincho"/>
              </w:rPr>
              <w:t>RR (95% CI)</w:t>
            </w:r>
          </w:p>
        </w:tc>
      </w:tr>
      <w:tr w:rsidR="00E45614" w:rsidRPr="00061F78" w:rsidTr="00231319">
        <w:trPr>
          <w:cantSplit/>
          <w:trHeight w:val="99"/>
        </w:trPr>
        <w:tc>
          <w:tcPr>
            <w:tcW w:w="944" w:type="pct"/>
            <w:shd w:val="clear" w:color="auto" w:fill="FFFFFF" w:themeFill="background1"/>
            <w:tcMar>
              <w:left w:w="28" w:type="dxa"/>
              <w:right w:w="28" w:type="dxa"/>
            </w:tcMar>
          </w:tcPr>
          <w:p w:rsidR="00E45614" w:rsidRPr="00231319" w:rsidRDefault="00E45614" w:rsidP="00E45614">
            <w:pPr>
              <w:pStyle w:val="Tablewriting"/>
              <w:keepNext/>
              <w:rPr>
                <w:rFonts w:eastAsia="MS Mincho"/>
              </w:rPr>
            </w:pPr>
            <w:r w:rsidRPr="00231319">
              <w:rPr>
                <w:rFonts w:eastAsia="MS Mincho"/>
              </w:rPr>
              <w:t>Tonnesen</w:t>
            </w:r>
          </w:p>
          <w:p w:rsidR="00E45614" w:rsidRPr="00231319" w:rsidRDefault="00E45614" w:rsidP="00E45614">
            <w:pPr>
              <w:pStyle w:val="Tablewriting"/>
              <w:keepNext/>
              <w:rPr>
                <w:rFonts w:eastAsia="MS Mincho"/>
                <w:vertAlign w:val="superscript"/>
              </w:rPr>
            </w:pPr>
            <w:r w:rsidRPr="00231319">
              <w:rPr>
                <w:rFonts w:eastAsia="MS Mincho"/>
              </w:rPr>
              <w:t>(CEASE, 1999)</w:t>
            </w:r>
            <w:r w:rsidR="004579DA" w:rsidRPr="00231319">
              <w:rPr>
                <w:rFonts w:eastAsia="MS Mincho"/>
                <w:vertAlign w:val="superscript"/>
              </w:rPr>
              <w:t>1</w:t>
            </w:r>
          </w:p>
        </w:tc>
        <w:tc>
          <w:tcPr>
            <w:tcW w:w="1023" w:type="pct"/>
            <w:shd w:val="clear" w:color="auto" w:fill="FFFFFF" w:themeFill="background1"/>
            <w:vAlign w:val="center"/>
          </w:tcPr>
          <w:p w:rsidR="00E45614" w:rsidRPr="00231319" w:rsidRDefault="00E45614" w:rsidP="0078171D">
            <w:pPr>
              <w:pStyle w:val="Tablewriting"/>
              <w:keepNext/>
              <w:jc w:val="center"/>
              <w:rPr>
                <w:rFonts w:eastAsia="MS Mincho"/>
              </w:rPr>
            </w:pPr>
            <w:r w:rsidRPr="00231319">
              <w:rPr>
                <w:rFonts w:eastAsia="MS Mincho"/>
              </w:rPr>
              <w:t>RCT</w:t>
            </w:r>
          </w:p>
        </w:tc>
        <w:tc>
          <w:tcPr>
            <w:tcW w:w="1005" w:type="pct"/>
            <w:shd w:val="clear" w:color="auto" w:fill="FFFFFF" w:themeFill="background1"/>
            <w:tcMar>
              <w:left w:w="28" w:type="dxa"/>
              <w:right w:w="28" w:type="dxa"/>
            </w:tcMar>
            <w:vAlign w:val="center"/>
          </w:tcPr>
          <w:p w:rsidR="00E45614" w:rsidRPr="00231319" w:rsidRDefault="00A9617E" w:rsidP="0078171D">
            <w:pPr>
              <w:pStyle w:val="Tablewriting"/>
              <w:keepNext/>
              <w:jc w:val="center"/>
              <w:rPr>
                <w:rFonts w:eastAsia="MS Mincho"/>
              </w:rPr>
            </w:pPr>
            <w:r w:rsidRPr="00231319">
              <w:rPr>
                <w:rFonts w:eastAsia="MS Mincho"/>
              </w:rPr>
              <w:t>406/2,861</w:t>
            </w:r>
          </w:p>
          <w:p w:rsidR="00A9617E" w:rsidRPr="00231319" w:rsidRDefault="001565D9" w:rsidP="0078171D">
            <w:pPr>
              <w:pStyle w:val="Tablewriting"/>
              <w:keepNext/>
              <w:jc w:val="center"/>
              <w:rPr>
                <w:rFonts w:eastAsia="MS Mincho"/>
              </w:rPr>
            </w:pPr>
            <w:r w:rsidRPr="00231319">
              <w:rPr>
                <w:rFonts w:eastAsia="MS Mincho"/>
              </w:rPr>
              <w:t>(14.2%)</w:t>
            </w:r>
          </w:p>
        </w:tc>
        <w:tc>
          <w:tcPr>
            <w:tcW w:w="1014" w:type="pct"/>
            <w:shd w:val="clear" w:color="auto" w:fill="FFFFFF" w:themeFill="background1"/>
            <w:tcMar>
              <w:left w:w="28" w:type="dxa"/>
              <w:right w:w="28" w:type="dxa"/>
            </w:tcMar>
            <w:vAlign w:val="center"/>
          </w:tcPr>
          <w:p w:rsidR="00E45614" w:rsidRPr="00231319" w:rsidRDefault="00962F92" w:rsidP="0078171D">
            <w:pPr>
              <w:pStyle w:val="Tablewriting"/>
              <w:keepNext/>
              <w:jc w:val="center"/>
              <w:rPr>
                <w:rFonts w:eastAsia="MS Mincho"/>
              </w:rPr>
            </w:pPr>
            <w:r w:rsidRPr="00231319">
              <w:rPr>
                <w:rFonts w:eastAsia="MS Mincho"/>
              </w:rPr>
              <w:t>71/714</w:t>
            </w:r>
          </w:p>
          <w:p w:rsidR="00962F92" w:rsidRPr="00231319" w:rsidRDefault="00DB33D5" w:rsidP="0078171D">
            <w:pPr>
              <w:pStyle w:val="Tablewriting"/>
              <w:keepNext/>
              <w:jc w:val="center"/>
              <w:rPr>
                <w:rFonts w:eastAsia="MS Mincho"/>
              </w:rPr>
            </w:pPr>
            <w:r w:rsidRPr="00231319">
              <w:rPr>
                <w:rFonts w:eastAsia="MS Mincho"/>
              </w:rPr>
              <w:t>(9.9%)</w:t>
            </w:r>
          </w:p>
        </w:tc>
        <w:tc>
          <w:tcPr>
            <w:tcW w:w="1014" w:type="pct"/>
            <w:shd w:val="clear" w:color="auto" w:fill="FFFFFF" w:themeFill="background1"/>
            <w:tcMar>
              <w:left w:w="28" w:type="dxa"/>
              <w:right w:w="28" w:type="dxa"/>
            </w:tcMar>
            <w:vAlign w:val="center"/>
          </w:tcPr>
          <w:p w:rsidR="00E45614" w:rsidRPr="00231319" w:rsidRDefault="00F47A86" w:rsidP="0078171D">
            <w:pPr>
              <w:pStyle w:val="Tablewriting"/>
              <w:keepNext/>
              <w:jc w:val="center"/>
              <w:rPr>
                <w:rFonts w:eastAsia="MS Mincho"/>
                <w:b/>
              </w:rPr>
            </w:pPr>
            <w:r w:rsidRPr="00231319">
              <w:rPr>
                <w:rFonts w:eastAsia="MS Mincho"/>
                <w:b/>
              </w:rPr>
              <w:t>1.43</w:t>
            </w:r>
          </w:p>
          <w:p w:rsidR="00F47A86" w:rsidRPr="00231319" w:rsidRDefault="00F47A86" w:rsidP="0078171D">
            <w:pPr>
              <w:pStyle w:val="Tablewriting"/>
              <w:keepNext/>
              <w:jc w:val="center"/>
              <w:rPr>
                <w:rFonts w:eastAsia="MS Mincho"/>
                <w:b/>
              </w:rPr>
            </w:pPr>
            <w:r w:rsidRPr="00231319">
              <w:rPr>
                <w:rFonts w:eastAsia="MS Mincho"/>
                <w:b/>
              </w:rPr>
              <w:t>(1.12, 1.81)</w:t>
            </w:r>
          </w:p>
        </w:tc>
      </w:tr>
      <w:tr w:rsidR="00F1191B" w:rsidRPr="00061F78" w:rsidTr="00231319">
        <w:trPr>
          <w:cantSplit/>
          <w:trHeight w:val="99"/>
        </w:trPr>
        <w:tc>
          <w:tcPr>
            <w:tcW w:w="944" w:type="pct"/>
            <w:shd w:val="clear" w:color="auto" w:fill="FFFFFF" w:themeFill="background1"/>
            <w:tcMar>
              <w:left w:w="28" w:type="dxa"/>
              <w:right w:w="28" w:type="dxa"/>
            </w:tcMar>
          </w:tcPr>
          <w:p w:rsidR="00F1191B" w:rsidRPr="00231319" w:rsidRDefault="00F1191B" w:rsidP="0078171D">
            <w:pPr>
              <w:pStyle w:val="Tablewriting"/>
              <w:keepNext/>
              <w:rPr>
                <w:rFonts w:eastAsia="MS Mincho"/>
              </w:rPr>
            </w:pPr>
            <w:r w:rsidRPr="00231319">
              <w:rPr>
                <w:rFonts w:eastAsia="MS Mincho"/>
              </w:rPr>
              <w:t>Silagy</w:t>
            </w:r>
            <w:r w:rsidR="0078171D" w:rsidRPr="00231319">
              <w:rPr>
                <w:rFonts w:eastAsia="MS Mincho"/>
              </w:rPr>
              <w:t xml:space="preserve"> </w:t>
            </w:r>
          </w:p>
          <w:p w:rsidR="0078171D" w:rsidRPr="00231319" w:rsidRDefault="0078171D" w:rsidP="0078171D">
            <w:pPr>
              <w:pStyle w:val="Tablewriting"/>
              <w:keepNext/>
              <w:rPr>
                <w:rFonts w:eastAsia="MS Mincho"/>
                <w:vertAlign w:val="superscript"/>
              </w:rPr>
            </w:pPr>
            <w:r w:rsidRPr="00231319">
              <w:rPr>
                <w:rFonts w:eastAsia="MS Mincho"/>
              </w:rPr>
              <w:t>(20</w:t>
            </w:r>
            <w:r w:rsidR="00F1191B" w:rsidRPr="00231319">
              <w:rPr>
                <w:rFonts w:eastAsia="MS Mincho"/>
              </w:rPr>
              <w:t>04</w:t>
            </w:r>
            <w:r w:rsidRPr="00231319">
              <w:rPr>
                <w:rFonts w:eastAsia="MS Mincho"/>
              </w:rPr>
              <w:t>)</w:t>
            </w:r>
            <w:r w:rsidR="004579DA" w:rsidRPr="00231319">
              <w:rPr>
                <w:rFonts w:eastAsia="MS Mincho"/>
                <w:vertAlign w:val="superscript"/>
              </w:rPr>
              <w:t>2</w:t>
            </w:r>
          </w:p>
        </w:tc>
        <w:tc>
          <w:tcPr>
            <w:tcW w:w="1023" w:type="pct"/>
            <w:shd w:val="clear" w:color="auto" w:fill="FFFFFF" w:themeFill="background1"/>
            <w:vAlign w:val="center"/>
          </w:tcPr>
          <w:p w:rsidR="0078171D" w:rsidRPr="00231319" w:rsidRDefault="0078171D" w:rsidP="0078171D">
            <w:pPr>
              <w:pStyle w:val="Tablewriting"/>
              <w:keepNext/>
              <w:jc w:val="center"/>
              <w:rPr>
                <w:rFonts w:eastAsia="MS Mincho"/>
              </w:rPr>
            </w:pPr>
            <w:r w:rsidRPr="00231319">
              <w:rPr>
                <w:rFonts w:eastAsia="MS Mincho"/>
              </w:rPr>
              <w:t>Cochrane Review (</w:t>
            </w:r>
            <w:r w:rsidR="00F1191B" w:rsidRPr="00231319">
              <w:rPr>
                <w:rFonts w:eastAsia="MS Mincho"/>
              </w:rPr>
              <w:t>38</w:t>
            </w:r>
            <w:r w:rsidRPr="00231319">
              <w:rPr>
                <w:rFonts w:eastAsia="MS Mincho"/>
              </w:rPr>
              <w:t xml:space="preserve"> RCTs)</w:t>
            </w:r>
          </w:p>
        </w:tc>
        <w:tc>
          <w:tcPr>
            <w:tcW w:w="1005" w:type="pct"/>
            <w:shd w:val="clear" w:color="auto" w:fill="FFFFFF" w:themeFill="background1"/>
            <w:tcMar>
              <w:left w:w="28" w:type="dxa"/>
              <w:right w:w="28" w:type="dxa"/>
            </w:tcMar>
            <w:vAlign w:val="center"/>
          </w:tcPr>
          <w:p w:rsidR="0078171D" w:rsidRPr="00231319" w:rsidRDefault="0078171D" w:rsidP="0078171D">
            <w:pPr>
              <w:pStyle w:val="Tablewriting"/>
              <w:keepNext/>
              <w:jc w:val="center"/>
              <w:rPr>
                <w:rFonts w:eastAsia="MS Mincho"/>
              </w:rPr>
            </w:pPr>
            <w:r w:rsidRPr="00231319">
              <w:rPr>
                <w:rFonts w:eastAsia="MS Mincho"/>
              </w:rPr>
              <w:t>1,</w:t>
            </w:r>
            <w:r w:rsidR="00F1191B" w:rsidRPr="00231319">
              <w:rPr>
                <w:rFonts w:eastAsia="MS Mincho"/>
              </w:rPr>
              <w:t>493</w:t>
            </w:r>
            <w:r w:rsidRPr="00231319">
              <w:rPr>
                <w:rFonts w:eastAsia="MS Mincho"/>
              </w:rPr>
              <w:t>/</w:t>
            </w:r>
            <w:r w:rsidR="00F1191B" w:rsidRPr="00231319">
              <w:rPr>
                <w:rFonts w:eastAsia="MS Mincho"/>
              </w:rPr>
              <w:t>10,216</w:t>
            </w:r>
            <w:r w:rsidRPr="00231319">
              <w:rPr>
                <w:rFonts w:eastAsia="MS Mincho"/>
              </w:rPr>
              <w:t xml:space="preserve"> </w:t>
            </w:r>
          </w:p>
          <w:p w:rsidR="0078171D" w:rsidRPr="00231319" w:rsidRDefault="0078171D" w:rsidP="0078171D">
            <w:pPr>
              <w:pStyle w:val="Tablewriting"/>
              <w:keepNext/>
              <w:jc w:val="center"/>
              <w:rPr>
                <w:rFonts w:eastAsia="MS Mincho"/>
              </w:rPr>
            </w:pPr>
            <w:r w:rsidRPr="00231319">
              <w:rPr>
                <w:rFonts w:eastAsia="MS Mincho"/>
              </w:rPr>
              <w:t>(</w:t>
            </w:r>
            <w:r w:rsidR="00FD339F" w:rsidRPr="00231319">
              <w:rPr>
                <w:rFonts w:eastAsia="MS Mincho"/>
              </w:rPr>
              <w:t>14.6</w:t>
            </w:r>
            <w:r w:rsidRPr="00231319">
              <w:rPr>
                <w:rFonts w:eastAsia="MS Mincho"/>
              </w:rPr>
              <w:t>%)</w:t>
            </w:r>
          </w:p>
        </w:tc>
        <w:tc>
          <w:tcPr>
            <w:tcW w:w="1014" w:type="pct"/>
            <w:shd w:val="clear" w:color="auto" w:fill="FFFFFF" w:themeFill="background1"/>
            <w:tcMar>
              <w:left w:w="28" w:type="dxa"/>
              <w:right w:w="28" w:type="dxa"/>
            </w:tcMar>
            <w:vAlign w:val="center"/>
          </w:tcPr>
          <w:p w:rsidR="0078171D" w:rsidRPr="00231319" w:rsidRDefault="00F1191B" w:rsidP="0078171D">
            <w:pPr>
              <w:pStyle w:val="Tablewriting"/>
              <w:keepNext/>
              <w:jc w:val="center"/>
              <w:rPr>
                <w:rFonts w:eastAsia="MS Mincho"/>
              </w:rPr>
            </w:pPr>
            <w:r w:rsidRPr="00231319">
              <w:rPr>
                <w:rFonts w:eastAsia="MS Mincho"/>
              </w:rPr>
              <w:t>555</w:t>
            </w:r>
            <w:r w:rsidR="0078171D" w:rsidRPr="00231319">
              <w:rPr>
                <w:rFonts w:eastAsia="MS Mincho"/>
              </w:rPr>
              <w:t>/</w:t>
            </w:r>
            <w:r w:rsidRPr="00231319">
              <w:rPr>
                <w:rFonts w:eastAsia="MS Mincho"/>
              </w:rPr>
              <w:t>6,475</w:t>
            </w:r>
            <w:r w:rsidR="0078171D" w:rsidRPr="00231319">
              <w:rPr>
                <w:rFonts w:eastAsia="MS Mincho"/>
              </w:rPr>
              <w:t xml:space="preserve"> </w:t>
            </w:r>
          </w:p>
          <w:p w:rsidR="0078171D" w:rsidRPr="00231319" w:rsidRDefault="0078171D" w:rsidP="0078171D">
            <w:pPr>
              <w:pStyle w:val="Tablewriting"/>
              <w:keepNext/>
              <w:jc w:val="center"/>
              <w:rPr>
                <w:rFonts w:eastAsia="MS Mincho"/>
              </w:rPr>
            </w:pPr>
            <w:r w:rsidRPr="00231319">
              <w:rPr>
                <w:rFonts w:eastAsia="MS Mincho"/>
              </w:rPr>
              <w:t>(</w:t>
            </w:r>
            <w:r w:rsidR="00FD339F" w:rsidRPr="00231319">
              <w:rPr>
                <w:rFonts w:eastAsia="MS Mincho"/>
              </w:rPr>
              <w:t>8.6</w:t>
            </w:r>
            <w:r w:rsidRPr="00231319">
              <w:rPr>
                <w:rFonts w:eastAsia="MS Mincho"/>
              </w:rPr>
              <w:t>%)</w:t>
            </w:r>
          </w:p>
        </w:tc>
        <w:tc>
          <w:tcPr>
            <w:tcW w:w="1014" w:type="pct"/>
            <w:shd w:val="clear" w:color="auto" w:fill="FFFFFF" w:themeFill="background1"/>
            <w:tcMar>
              <w:left w:w="28" w:type="dxa"/>
              <w:right w:w="28" w:type="dxa"/>
            </w:tcMar>
            <w:vAlign w:val="center"/>
          </w:tcPr>
          <w:p w:rsidR="0078171D" w:rsidRPr="00231319" w:rsidRDefault="00F1191B" w:rsidP="0078171D">
            <w:pPr>
              <w:pStyle w:val="Tablewriting"/>
              <w:keepNext/>
              <w:jc w:val="center"/>
              <w:rPr>
                <w:rFonts w:eastAsia="MS Mincho"/>
                <w:b/>
              </w:rPr>
            </w:pPr>
            <w:r w:rsidRPr="00231319">
              <w:rPr>
                <w:rFonts w:eastAsia="MS Mincho"/>
                <w:b/>
              </w:rPr>
              <w:t>1.81</w:t>
            </w:r>
          </w:p>
          <w:p w:rsidR="0078171D" w:rsidRPr="00231319" w:rsidRDefault="0078171D" w:rsidP="0078171D">
            <w:pPr>
              <w:pStyle w:val="Tablewriting"/>
              <w:keepNext/>
              <w:jc w:val="center"/>
              <w:rPr>
                <w:rFonts w:eastAsia="MS Mincho"/>
                <w:b/>
              </w:rPr>
            </w:pPr>
            <w:r w:rsidRPr="00231319">
              <w:rPr>
                <w:rFonts w:eastAsia="MS Mincho"/>
                <w:b/>
              </w:rPr>
              <w:t>(</w:t>
            </w:r>
            <w:r w:rsidR="00F1191B" w:rsidRPr="00231319">
              <w:rPr>
                <w:rFonts w:eastAsia="MS Mincho"/>
                <w:b/>
              </w:rPr>
              <w:t>1.63</w:t>
            </w:r>
            <w:r w:rsidRPr="00231319">
              <w:rPr>
                <w:rFonts w:eastAsia="MS Mincho"/>
                <w:b/>
              </w:rPr>
              <w:t xml:space="preserve">, </w:t>
            </w:r>
            <w:r w:rsidR="00F1191B" w:rsidRPr="00231319">
              <w:rPr>
                <w:rFonts w:eastAsia="MS Mincho"/>
                <w:b/>
              </w:rPr>
              <w:t>2.02</w:t>
            </w:r>
            <w:r w:rsidRPr="00231319">
              <w:rPr>
                <w:rFonts w:eastAsia="MS Mincho"/>
                <w:b/>
              </w:rPr>
              <w:t>)</w:t>
            </w:r>
          </w:p>
        </w:tc>
      </w:tr>
      <w:tr w:rsidR="00F1191B" w:rsidRPr="00061F78" w:rsidTr="00231319">
        <w:trPr>
          <w:cantSplit/>
          <w:trHeight w:val="99"/>
        </w:trPr>
        <w:tc>
          <w:tcPr>
            <w:tcW w:w="944" w:type="pct"/>
            <w:shd w:val="clear" w:color="auto" w:fill="FFFFFF" w:themeFill="background1"/>
            <w:tcMar>
              <w:left w:w="28" w:type="dxa"/>
              <w:right w:w="28" w:type="dxa"/>
            </w:tcMar>
          </w:tcPr>
          <w:p w:rsidR="00F1191B" w:rsidRDefault="00F1191B" w:rsidP="0078171D">
            <w:pPr>
              <w:pStyle w:val="Tablewriting"/>
              <w:keepNext/>
              <w:rPr>
                <w:rFonts w:eastAsia="MS Mincho"/>
              </w:rPr>
            </w:pPr>
            <w:r>
              <w:rPr>
                <w:rFonts w:eastAsia="MS Mincho"/>
              </w:rPr>
              <w:t>Stead</w:t>
            </w:r>
          </w:p>
          <w:p w:rsidR="0078171D" w:rsidRDefault="0078171D" w:rsidP="0078171D">
            <w:pPr>
              <w:pStyle w:val="Tablewriting"/>
              <w:keepNext/>
              <w:rPr>
                <w:rFonts w:eastAsia="MS Mincho"/>
              </w:rPr>
            </w:pPr>
            <w:r>
              <w:rPr>
                <w:rFonts w:eastAsia="MS Mincho"/>
              </w:rPr>
              <w:t>(20</w:t>
            </w:r>
            <w:r w:rsidR="00F1191B">
              <w:rPr>
                <w:rFonts w:eastAsia="MS Mincho"/>
              </w:rPr>
              <w:t>08</w:t>
            </w:r>
            <w:r>
              <w:rPr>
                <w:rFonts w:eastAsia="MS Mincho"/>
              </w:rPr>
              <w:t>)</w:t>
            </w:r>
            <w:r w:rsidR="004579DA">
              <w:rPr>
                <w:rFonts w:eastAsia="MS Mincho"/>
                <w:vertAlign w:val="superscript"/>
              </w:rPr>
              <w:t>2</w:t>
            </w:r>
          </w:p>
        </w:tc>
        <w:tc>
          <w:tcPr>
            <w:tcW w:w="1023" w:type="pct"/>
            <w:shd w:val="clear" w:color="auto" w:fill="FFFFFF" w:themeFill="background1"/>
            <w:vAlign w:val="center"/>
          </w:tcPr>
          <w:p w:rsidR="0078171D" w:rsidRDefault="0078171D" w:rsidP="0078171D">
            <w:pPr>
              <w:pStyle w:val="Tablewriting"/>
              <w:keepNext/>
              <w:jc w:val="center"/>
              <w:rPr>
                <w:rFonts w:eastAsia="MS Mincho"/>
              </w:rPr>
            </w:pPr>
            <w:r>
              <w:rPr>
                <w:rFonts w:eastAsia="MS Mincho"/>
              </w:rPr>
              <w:t>Cochrane Review (</w:t>
            </w:r>
            <w:r w:rsidR="00F1191B">
              <w:rPr>
                <w:rFonts w:eastAsia="MS Mincho"/>
              </w:rPr>
              <w:t>41</w:t>
            </w:r>
            <w:r>
              <w:rPr>
                <w:rFonts w:eastAsia="MS Mincho"/>
              </w:rPr>
              <w:t xml:space="preserve"> RCTs)</w:t>
            </w:r>
          </w:p>
        </w:tc>
        <w:tc>
          <w:tcPr>
            <w:tcW w:w="1005" w:type="pct"/>
            <w:shd w:val="clear" w:color="auto" w:fill="FFFFFF" w:themeFill="background1"/>
            <w:tcMar>
              <w:left w:w="28" w:type="dxa"/>
              <w:right w:w="28" w:type="dxa"/>
            </w:tcMar>
            <w:vAlign w:val="center"/>
          </w:tcPr>
          <w:p w:rsidR="0078171D" w:rsidRPr="0078171D" w:rsidRDefault="0078171D" w:rsidP="0078171D">
            <w:pPr>
              <w:pStyle w:val="Tablewriting"/>
              <w:keepNext/>
              <w:jc w:val="center"/>
              <w:rPr>
                <w:rFonts w:eastAsia="MS Mincho"/>
              </w:rPr>
            </w:pPr>
            <w:r w:rsidRPr="0078171D">
              <w:rPr>
                <w:rFonts w:eastAsia="MS Mincho"/>
              </w:rPr>
              <w:t>1,</w:t>
            </w:r>
            <w:r w:rsidR="00F1191B">
              <w:rPr>
                <w:rFonts w:eastAsia="MS Mincho"/>
              </w:rPr>
              <w:t>734</w:t>
            </w:r>
            <w:r w:rsidRPr="0078171D">
              <w:rPr>
                <w:rFonts w:eastAsia="MS Mincho"/>
              </w:rPr>
              <w:t>/</w:t>
            </w:r>
            <w:r w:rsidR="00F1191B">
              <w:rPr>
                <w:rFonts w:eastAsia="MS Mincho"/>
              </w:rPr>
              <w:t>10,963</w:t>
            </w:r>
            <w:r w:rsidRPr="0078171D">
              <w:rPr>
                <w:rFonts w:eastAsia="MS Mincho"/>
              </w:rPr>
              <w:t xml:space="preserve"> </w:t>
            </w:r>
          </w:p>
          <w:p w:rsidR="0078171D" w:rsidRPr="0078171D" w:rsidRDefault="0078171D" w:rsidP="0078171D">
            <w:pPr>
              <w:pStyle w:val="Tablewriting"/>
              <w:keepNext/>
              <w:jc w:val="center"/>
              <w:rPr>
                <w:rFonts w:eastAsia="MS Mincho"/>
              </w:rPr>
            </w:pPr>
            <w:r w:rsidRPr="0078171D">
              <w:rPr>
                <w:rFonts w:eastAsia="MS Mincho"/>
              </w:rPr>
              <w:t>(</w:t>
            </w:r>
            <w:r w:rsidR="00FD339F">
              <w:rPr>
                <w:rFonts w:eastAsia="MS Mincho"/>
              </w:rPr>
              <w:t>15.8</w:t>
            </w:r>
            <w:r w:rsidRPr="0078171D">
              <w:rPr>
                <w:rFonts w:eastAsia="MS Mincho"/>
              </w:rPr>
              <w:t>%)</w:t>
            </w:r>
          </w:p>
        </w:tc>
        <w:tc>
          <w:tcPr>
            <w:tcW w:w="1014" w:type="pct"/>
            <w:shd w:val="clear" w:color="auto" w:fill="FFFFFF" w:themeFill="background1"/>
            <w:tcMar>
              <w:left w:w="28" w:type="dxa"/>
              <w:right w:w="28" w:type="dxa"/>
            </w:tcMar>
            <w:vAlign w:val="center"/>
          </w:tcPr>
          <w:p w:rsidR="0078171D" w:rsidRPr="0078171D" w:rsidRDefault="00F1191B" w:rsidP="0078171D">
            <w:pPr>
              <w:pStyle w:val="Tablewriting"/>
              <w:keepNext/>
              <w:jc w:val="center"/>
              <w:rPr>
                <w:rFonts w:eastAsia="MS Mincho"/>
              </w:rPr>
            </w:pPr>
            <w:r>
              <w:rPr>
                <w:rFonts w:eastAsia="MS Mincho"/>
              </w:rPr>
              <w:t>718</w:t>
            </w:r>
            <w:r w:rsidR="0078171D" w:rsidRPr="0078171D">
              <w:rPr>
                <w:rFonts w:eastAsia="MS Mincho"/>
              </w:rPr>
              <w:t>/</w:t>
            </w:r>
            <w:r>
              <w:rPr>
                <w:rFonts w:eastAsia="MS Mincho"/>
              </w:rPr>
              <w:t>7,274</w:t>
            </w:r>
            <w:r w:rsidR="0078171D" w:rsidRPr="0078171D">
              <w:rPr>
                <w:rFonts w:eastAsia="MS Mincho"/>
              </w:rPr>
              <w:t xml:space="preserve"> </w:t>
            </w:r>
          </w:p>
          <w:p w:rsidR="0078171D" w:rsidRPr="0078171D" w:rsidRDefault="0078171D" w:rsidP="0078171D">
            <w:pPr>
              <w:pStyle w:val="Tablewriting"/>
              <w:keepNext/>
              <w:jc w:val="center"/>
              <w:rPr>
                <w:rFonts w:eastAsia="MS Mincho"/>
              </w:rPr>
            </w:pPr>
            <w:r w:rsidRPr="0078171D">
              <w:rPr>
                <w:rFonts w:eastAsia="MS Mincho"/>
              </w:rPr>
              <w:t>(</w:t>
            </w:r>
            <w:r w:rsidR="00FD339F">
              <w:rPr>
                <w:rFonts w:eastAsia="MS Mincho"/>
              </w:rPr>
              <w:t>9.9</w:t>
            </w:r>
            <w:r w:rsidRPr="0078171D">
              <w:rPr>
                <w:rFonts w:eastAsia="MS Mincho"/>
              </w:rPr>
              <w:t>%)</w:t>
            </w:r>
          </w:p>
        </w:tc>
        <w:tc>
          <w:tcPr>
            <w:tcW w:w="1014" w:type="pct"/>
            <w:shd w:val="clear" w:color="auto" w:fill="FFFFFF" w:themeFill="background1"/>
            <w:tcMar>
              <w:left w:w="28" w:type="dxa"/>
              <w:right w:w="28" w:type="dxa"/>
            </w:tcMar>
            <w:vAlign w:val="center"/>
          </w:tcPr>
          <w:p w:rsidR="0078171D" w:rsidRPr="0078171D" w:rsidRDefault="00F1191B" w:rsidP="0078171D">
            <w:pPr>
              <w:pStyle w:val="Tablewriting"/>
              <w:keepNext/>
              <w:jc w:val="center"/>
              <w:rPr>
                <w:rFonts w:eastAsia="MS Mincho"/>
                <w:b/>
              </w:rPr>
            </w:pPr>
            <w:r>
              <w:rPr>
                <w:rFonts w:eastAsia="MS Mincho"/>
                <w:b/>
                <w:bCs/>
              </w:rPr>
              <w:t>1.66</w:t>
            </w:r>
          </w:p>
          <w:p w:rsidR="0078171D" w:rsidRPr="0078171D" w:rsidRDefault="0078171D" w:rsidP="0078171D">
            <w:pPr>
              <w:pStyle w:val="Tablewriting"/>
              <w:keepNext/>
              <w:jc w:val="center"/>
              <w:rPr>
                <w:rFonts w:eastAsia="MS Mincho"/>
                <w:b/>
              </w:rPr>
            </w:pPr>
            <w:r w:rsidRPr="0078171D">
              <w:rPr>
                <w:rFonts w:eastAsia="MS Mincho"/>
                <w:b/>
                <w:bCs/>
              </w:rPr>
              <w:t>(</w:t>
            </w:r>
            <w:r w:rsidR="00F1191B">
              <w:rPr>
                <w:rFonts w:eastAsia="MS Mincho"/>
                <w:b/>
                <w:bCs/>
              </w:rPr>
              <w:t>1.53</w:t>
            </w:r>
            <w:r w:rsidRPr="0078171D">
              <w:rPr>
                <w:rFonts w:eastAsia="MS Mincho"/>
                <w:b/>
                <w:bCs/>
              </w:rPr>
              <w:t xml:space="preserve">, </w:t>
            </w:r>
            <w:r w:rsidR="00F1191B">
              <w:rPr>
                <w:rFonts w:eastAsia="MS Mincho"/>
                <w:b/>
                <w:bCs/>
              </w:rPr>
              <w:t>1.81</w:t>
            </w:r>
            <w:r w:rsidRPr="0078171D">
              <w:rPr>
                <w:rFonts w:eastAsia="MS Mincho"/>
                <w:b/>
                <w:bCs/>
              </w:rPr>
              <w:t>)</w:t>
            </w:r>
          </w:p>
        </w:tc>
      </w:tr>
      <w:tr w:rsidR="00F1191B" w:rsidRPr="00061F78" w:rsidTr="00803DA6">
        <w:trPr>
          <w:cantSplit/>
          <w:trHeight w:val="149"/>
        </w:trPr>
        <w:tc>
          <w:tcPr>
            <w:tcW w:w="944" w:type="pct"/>
            <w:tcMar>
              <w:left w:w="28" w:type="dxa"/>
              <w:right w:w="28" w:type="dxa"/>
            </w:tcMar>
          </w:tcPr>
          <w:p w:rsidR="0078171D" w:rsidRDefault="0078171D" w:rsidP="00D900DC">
            <w:pPr>
              <w:pStyle w:val="Tablewriting"/>
              <w:keepNext/>
              <w:rPr>
                <w:rFonts w:eastAsia="MS Mincho"/>
              </w:rPr>
            </w:pPr>
            <w:r>
              <w:rPr>
                <w:rFonts w:eastAsia="MS Mincho"/>
              </w:rPr>
              <w:t xml:space="preserve">Hartmann-Boyce </w:t>
            </w:r>
          </w:p>
          <w:p w:rsidR="0078171D" w:rsidRPr="00D468CF" w:rsidRDefault="0078171D" w:rsidP="00D900DC">
            <w:pPr>
              <w:pStyle w:val="Tablewriting"/>
              <w:keepNext/>
              <w:rPr>
                <w:rFonts w:eastAsia="MS Mincho"/>
                <w:vertAlign w:val="superscript"/>
              </w:rPr>
            </w:pPr>
            <w:r>
              <w:rPr>
                <w:rFonts w:eastAsia="MS Mincho"/>
              </w:rPr>
              <w:t>(2018)</w:t>
            </w:r>
            <w:r w:rsidR="004579DA">
              <w:rPr>
                <w:rFonts w:eastAsia="MS Mincho"/>
                <w:vertAlign w:val="superscript"/>
              </w:rPr>
              <w:t>2</w:t>
            </w:r>
            <w:r w:rsidR="004B3FC7">
              <w:rPr>
                <w:rFonts w:eastAsia="MS Mincho"/>
                <w:vertAlign w:val="superscript"/>
              </w:rPr>
              <w:t>,3</w:t>
            </w:r>
          </w:p>
        </w:tc>
        <w:tc>
          <w:tcPr>
            <w:tcW w:w="1023" w:type="pct"/>
            <w:vAlign w:val="center"/>
          </w:tcPr>
          <w:p w:rsidR="0078171D" w:rsidRDefault="0078171D" w:rsidP="00D900DC">
            <w:pPr>
              <w:pStyle w:val="Tablewriting"/>
              <w:keepNext/>
              <w:jc w:val="center"/>
              <w:rPr>
                <w:rFonts w:eastAsia="MS Mincho"/>
              </w:rPr>
            </w:pPr>
            <w:r>
              <w:rPr>
                <w:rFonts w:eastAsia="MS Mincho"/>
              </w:rPr>
              <w:t>Cochrane Review (51 RCTs)</w:t>
            </w:r>
          </w:p>
        </w:tc>
        <w:tc>
          <w:tcPr>
            <w:tcW w:w="1005" w:type="pct"/>
            <w:tcMar>
              <w:left w:w="28" w:type="dxa"/>
              <w:right w:w="28" w:type="dxa"/>
            </w:tcMar>
            <w:vAlign w:val="center"/>
          </w:tcPr>
          <w:p w:rsidR="0078171D" w:rsidRPr="0078171D" w:rsidRDefault="0078171D" w:rsidP="00D900DC">
            <w:pPr>
              <w:pStyle w:val="Tablewriting"/>
              <w:keepNext/>
              <w:jc w:val="center"/>
              <w:rPr>
                <w:rFonts w:eastAsia="MS Mincho"/>
              </w:rPr>
            </w:pPr>
            <w:r>
              <w:rPr>
                <w:rFonts w:eastAsia="MS Mincho"/>
              </w:rPr>
              <w:t>2,160</w:t>
            </w:r>
            <w:r w:rsidRPr="0078171D">
              <w:rPr>
                <w:rFonts w:eastAsia="MS Mincho"/>
              </w:rPr>
              <w:t>/</w:t>
            </w:r>
            <w:r>
              <w:rPr>
                <w:rFonts w:eastAsia="MS Mincho"/>
              </w:rPr>
              <w:t>13,773</w:t>
            </w:r>
            <w:r w:rsidRPr="0078171D">
              <w:rPr>
                <w:rFonts w:eastAsia="MS Mincho"/>
              </w:rPr>
              <w:t xml:space="preserve"> </w:t>
            </w:r>
          </w:p>
          <w:p w:rsidR="0078171D" w:rsidRPr="0078171D" w:rsidRDefault="0078171D" w:rsidP="00D900DC">
            <w:pPr>
              <w:pStyle w:val="Tablewriting"/>
              <w:keepNext/>
              <w:jc w:val="center"/>
              <w:rPr>
                <w:rFonts w:eastAsia="MS Mincho"/>
              </w:rPr>
            </w:pPr>
            <w:r w:rsidRPr="0078171D">
              <w:rPr>
                <w:rFonts w:eastAsia="MS Mincho"/>
              </w:rPr>
              <w:t>(</w:t>
            </w:r>
            <w:r w:rsidR="00FD339F">
              <w:rPr>
                <w:rFonts w:eastAsia="MS Mincho"/>
              </w:rPr>
              <w:t>15.7</w:t>
            </w:r>
            <w:r w:rsidRPr="0078171D">
              <w:rPr>
                <w:rFonts w:eastAsia="MS Mincho"/>
              </w:rPr>
              <w:t>%)</w:t>
            </w:r>
          </w:p>
        </w:tc>
        <w:tc>
          <w:tcPr>
            <w:tcW w:w="1014" w:type="pct"/>
            <w:tcMar>
              <w:left w:w="28" w:type="dxa"/>
              <w:right w:w="28" w:type="dxa"/>
            </w:tcMar>
            <w:vAlign w:val="center"/>
          </w:tcPr>
          <w:p w:rsidR="0078171D" w:rsidRPr="0078171D" w:rsidRDefault="0078171D" w:rsidP="00D900DC">
            <w:pPr>
              <w:pStyle w:val="Tablewriting"/>
              <w:keepNext/>
              <w:jc w:val="center"/>
              <w:rPr>
                <w:rFonts w:eastAsia="MS Mincho"/>
              </w:rPr>
            </w:pPr>
            <w:r>
              <w:rPr>
                <w:rFonts w:eastAsia="MS Mincho"/>
              </w:rPr>
              <w:t>1,131</w:t>
            </w:r>
            <w:r w:rsidRPr="0078171D">
              <w:rPr>
                <w:rFonts w:eastAsia="MS Mincho"/>
              </w:rPr>
              <w:t>/</w:t>
            </w:r>
            <w:r>
              <w:rPr>
                <w:rFonts w:eastAsia="MS Mincho"/>
              </w:rPr>
              <w:t>11,981</w:t>
            </w:r>
            <w:r w:rsidRPr="0078171D">
              <w:rPr>
                <w:rFonts w:eastAsia="MS Mincho"/>
              </w:rPr>
              <w:t xml:space="preserve"> </w:t>
            </w:r>
          </w:p>
          <w:p w:rsidR="0078171D" w:rsidRPr="0078171D" w:rsidRDefault="0078171D" w:rsidP="00D900DC">
            <w:pPr>
              <w:pStyle w:val="Tablewriting"/>
              <w:keepNext/>
              <w:jc w:val="center"/>
              <w:rPr>
                <w:rFonts w:eastAsia="MS Mincho"/>
              </w:rPr>
            </w:pPr>
            <w:r w:rsidRPr="0078171D">
              <w:rPr>
                <w:rFonts w:eastAsia="MS Mincho"/>
              </w:rPr>
              <w:t>(</w:t>
            </w:r>
            <w:r w:rsidR="00FD339F">
              <w:rPr>
                <w:rFonts w:eastAsia="MS Mincho"/>
              </w:rPr>
              <w:t>9.4</w:t>
            </w:r>
            <w:r w:rsidRPr="0078171D">
              <w:rPr>
                <w:rFonts w:eastAsia="MS Mincho"/>
              </w:rPr>
              <w:t>%)</w:t>
            </w:r>
          </w:p>
        </w:tc>
        <w:tc>
          <w:tcPr>
            <w:tcW w:w="1014" w:type="pct"/>
            <w:tcMar>
              <w:left w:w="28" w:type="dxa"/>
              <w:right w:w="28" w:type="dxa"/>
            </w:tcMar>
            <w:vAlign w:val="center"/>
          </w:tcPr>
          <w:p w:rsidR="0078171D" w:rsidRDefault="0078171D" w:rsidP="00D900DC">
            <w:pPr>
              <w:pStyle w:val="Tablewriting"/>
              <w:keepNext/>
              <w:jc w:val="center"/>
              <w:rPr>
                <w:rFonts w:eastAsia="MS Mincho"/>
                <w:b/>
                <w:bCs/>
              </w:rPr>
            </w:pPr>
            <w:r>
              <w:rPr>
                <w:rFonts w:eastAsia="MS Mincho"/>
                <w:b/>
                <w:bCs/>
              </w:rPr>
              <w:t>1.64</w:t>
            </w:r>
          </w:p>
          <w:p w:rsidR="0078171D" w:rsidRPr="0078171D" w:rsidRDefault="0078171D" w:rsidP="00D900DC">
            <w:pPr>
              <w:pStyle w:val="Tablewriting"/>
              <w:keepNext/>
              <w:jc w:val="center"/>
              <w:rPr>
                <w:rFonts w:eastAsia="MS Mincho"/>
              </w:rPr>
            </w:pPr>
            <w:r>
              <w:rPr>
                <w:rFonts w:eastAsia="MS Mincho"/>
                <w:b/>
                <w:bCs/>
              </w:rPr>
              <w:t>(1.53, 1.75)</w:t>
            </w:r>
          </w:p>
        </w:tc>
      </w:tr>
    </w:tbl>
    <w:p w:rsidR="00F1191B" w:rsidRDefault="00F1191B" w:rsidP="00F1191B">
      <w:pPr>
        <w:pStyle w:val="TableFooter"/>
        <w:keepNext/>
      </w:pPr>
      <w:r>
        <w:t>Source: Hartmann-Boyce et al. (2018), Stead et al. (2008)</w:t>
      </w:r>
      <w:r w:rsidR="00A337E8">
        <w:t xml:space="preserve"> </w:t>
      </w:r>
      <w:r w:rsidR="008846EB">
        <w:rPr>
          <w:noProof/>
          <w:color w:val="000000"/>
          <w:highlight w:val="black"/>
        </w:rPr>
        <w:t>''''''' ''''''''''' '''' ''''' ''''''''''''</w:t>
      </w:r>
    </w:p>
    <w:p w:rsidR="00F1191B" w:rsidRPr="00231319" w:rsidRDefault="00F1191B" w:rsidP="00F1191B">
      <w:pPr>
        <w:pStyle w:val="TableFooter"/>
        <w:keepNext/>
        <w:rPr>
          <w:i/>
        </w:rPr>
      </w:pPr>
      <w:r>
        <w:t>Abbreviations: CI = confidence interval; RCT = randomised controlled trial; RD = risk difference; RR = risk ratio</w:t>
      </w:r>
      <w:r w:rsidRPr="00061F78">
        <w:t xml:space="preserve"> </w:t>
      </w:r>
    </w:p>
    <w:p w:rsidR="004579DA" w:rsidRPr="008846EB" w:rsidRDefault="00F1191B" w:rsidP="00062394">
      <w:pPr>
        <w:pStyle w:val="TableFooter"/>
      </w:pPr>
      <w:r w:rsidRPr="00D468CF">
        <w:t>Note</w:t>
      </w:r>
      <w:r>
        <w:t>s</w:t>
      </w:r>
      <w:r w:rsidRPr="00D468CF">
        <w:t>: Bold indicates statistically significant difference.</w:t>
      </w:r>
      <w:r>
        <w:br/>
      </w:r>
      <w:r w:rsidR="008846EB">
        <w:rPr>
          <w:noProof/>
          <w:color w:val="000000"/>
          <w:highlight w:val="black"/>
        </w:rPr>
        <w:t>''' ''''''''''''''''''''' '''''''''''''''''''''' '''' ''''' ''''''''''''''''' '''''''''' '''' ''''' '''''''''''' '''''''' '''''''''' '''' ''''' ''''''''''''' '''''''''''' '''''' '''''''' ''''''''' '''' '''''''' '''''''''''''''''</w:t>
      </w:r>
    </w:p>
    <w:p w:rsidR="00F1191B" w:rsidRDefault="004579DA" w:rsidP="00062394">
      <w:pPr>
        <w:pStyle w:val="TableFooter"/>
      </w:pPr>
      <w:r>
        <w:t xml:space="preserve">2 </w:t>
      </w:r>
      <w:r w:rsidR="00F1191B">
        <w:t xml:space="preserve">Where cessation was assessed at multiple intervals, the longest follow-up data were used. Where multiple definitions of abstinence were assessed, the strictest of these definitions was used (e.g. continuous/prolonged abstinence over point prevalence abstinence). See </w:t>
      </w:r>
      <w:r w:rsidR="00F1191B" w:rsidRPr="00BB5100">
        <w:t>Appendix</w:t>
      </w:r>
      <w:r w:rsidR="00DA3920">
        <w:t xml:space="preserve"> </w:t>
      </w:r>
      <w:r w:rsidR="003C4A1C">
        <w:t xml:space="preserve">Table </w:t>
      </w:r>
      <w:r w:rsidR="003C4A1C">
        <w:rPr>
          <w:noProof/>
        </w:rPr>
        <w:t>148</w:t>
      </w:r>
      <w:r w:rsidR="00F1191B">
        <w:t xml:space="preserve"> for the definition used in each study. </w:t>
      </w:r>
    </w:p>
    <w:p w:rsidR="00F1191B" w:rsidRDefault="004579DA" w:rsidP="00F1191B">
      <w:pPr>
        <w:pStyle w:val="TableFooter"/>
        <w:keepNext/>
      </w:pPr>
      <w:r w:rsidRPr="00BB5100">
        <w:t>3</w:t>
      </w:r>
      <w:r w:rsidR="00F1191B" w:rsidRPr="00BB5100">
        <w:t xml:space="preserve"> Calculated </w:t>
      </w:r>
      <w:r w:rsidR="004B3FC7" w:rsidRPr="00BB5100">
        <w:t>by Cochrane Review authors</w:t>
      </w:r>
      <w:r w:rsidR="00F1191B" w:rsidRPr="00BB5100">
        <w:t xml:space="preserve"> using a fixed-effect model</w:t>
      </w:r>
    </w:p>
    <w:p w:rsidR="00842C6A" w:rsidRDefault="00842C6A" w:rsidP="00842C6A">
      <w:r w:rsidRPr="00842C6A">
        <w:t xml:space="preserve">The results of the individual studies included in </w:t>
      </w:r>
      <w:r>
        <w:t>Hartmann-Boyce</w:t>
      </w:r>
      <w:r w:rsidRPr="00842C6A">
        <w:t xml:space="preserve"> et al. (201</w:t>
      </w:r>
      <w:r>
        <w:t>8</w:t>
      </w:r>
      <w:r w:rsidRPr="00842C6A">
        <w:t xml:space="preserve">) are presented using a forest plot in </w:t>
      </w:r>
      <w:r w:rsidR="003C4A1C">
        <w:t xml:space="preserve">Figure </w:t>
      </w:r>
      <w:r w:rsidR="003C4A1C">
        <w:rPr>
          <w:noProof/>
        </w:rPr>
        <w:t>5</w:t>
      </w:r>
      <w:r w:rsidRPr="00842C6A">
        <w:t xml:space="preserve">. </w:t>
      </w:r>
      <w:r w:rsidR="00AA2AC3" w:rsidRPr="00AA2AC3">
        <w:t>Of the 51 RCTs in Hartmann-Boyce et al. (2018), 3</w:t>
      </w:r>
      <w:r w:rsidR="004D325B">
        <w:t>9</w:t>
      </w:r>
      <w:r w:rsidR="00AA2AC3" w:rsidRPr="00AA2AC3">
        <w:t xml:space="preserve"> RCTs were studies included in</w:t>
      </w:r>
      <w:r w:rsidR="00947F98">
        <w:t xml:space="preserve"> </w:t>
      </w:r>
      <w:r w:rsidR="008846EB">
        <w:rPr>
          <w:noProof/>
          <w:color w:val="000000"/>
          <w:highlight w:val="black"/>
        </w:rPr>
        <w:t>'''''''''''' ''''' '''''' '''''''</w:t>
      </w:r>
      <w:r w:rsidR="00AA2AC3" w:rsidRPr="00AA2AC3">
        <w:t xml:space="preserve"> Cochrane reviews previously considered by the PBAC </w:t>
      </w:r>
      <w:r w:rsidR="008846EB">
        <w:rPr>
          <w:noProof/>
          <w:color w:val="000000"/>
          <w:highlight w:val="black"/>
        </w:rPr>
        <w:t>'''''''''''' '''' ''''' '''''''''' ''''''''</w:t>
      </w:r>
      <w:r w:rsidR="00AA2AC3" w:rsidRPr="00AA2AC3">
        <w:t xml:space="preserve"> Stead et al. 2008).</w:t>
      </w:r>
    </w:p>
    <w:p w:rsidR="00AA2AC3" w:rsidRDefault="00741D42" w:rsidP="00AA2AC3">
      <w:pPr>
        <w:keepNext/>
      </w:pPr>
      <w:r>
        <w:rPr>
          <w:noProof/>
        </w:rPr>
        <w:lastRenderedPageBreak/>
        <w:drawing>
          <wp:inline distT="0" distB="0" distL="0" distR="0" wp14:anchorId="2133EC2E" wp14:editId="44DD8A74">
            <wp:extent cx="5730875" cy="6895465"/>
            <wp:effectExtent l="0" t="0" r="3175"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0875" cy="6895465"/>
                    </a:xfrm>
                    <a:prstGeom prst="rect">
                      <a:avLst/>
                    </a:prstGeom>
                    <a:noFill/>
                  </pic:spPr>
                </pic:pic>
              </a:graphicData>
            </a:graphic>
          </wp:inline>
        </w:drawing>
      </w:r>
    </w:p>
    <w:p w:rsidR="007C59F5" w:rsidRPr="00775AB8" w:rsidRDefault="00AA2AC3" w:rsidP="00AA2AC3">
      <w:pPr>
        <w:pStyle w:val="Caption"/>
      </w:pPr>
      <w:bookmarkStart w:id="91" w:name="_Ref54265638"/>
      <w:r>
        <w:t xml:space="preserve">Figure </w:t>
      </w:r>
      <w:r w:rsidR="003C4A1C">
        <w:rPr>
          <w:noProof/>
        </w:rPr>
        <w:t>5</w:t>
      </w:r>
      <w:bookmarkEnd w:id="91"/>
      <w:r>
        <w:t xml:space="preserve">: </w:t>
      </w:r>
      <w:r w:rsidRPr="00BD0B2D">
        <w:t>Results</w:t>
      </w:r>
      <w:r w:rsidR="00DD5064" w:rsidRPr="00DD5064">
        <w:t xml:space="preserve"> </w:t>
      </w:r>
      <w:r w:rsidRPr="00BD0B2D">
        <w:t>of smoking cessation f</w:t>
      </w:r>
      <w:r w:rsidR="009241C9">
        <w:t>or</w:t>
      </w:r>
      <w:r w:rsidRPr="00BD0B2D">
        <w:t xml:space="preserve"> at least six months follow-up in </w:t>
      </w:r>
      <w:r>
        <w:t>Hartmann-Boyce</w:t>
      </w:r>
      <w:r w:rsidRPr="00BD0B2D">
        <w:t xml:space="preserve"> et al. (201</w:t>
      </w:r>
      <w:r>
        <w:t>8</w:t>
      </w:r>
      <w:r w:rsidRPr="00BD0B2D">
        <w:t xml:space="preserve">), </w:t>
      </w:r>
      <w:r>
        <w:t>NRT patch</w:t>
      </w:r>
      <w:r w:rsidRPr="00BD0B2D">
        <w:t xml:space="preserve"> versus placebo</w:t>
      </w:r>
    </w:p>
    <w:p w:rsidR="00E0486C" w:rsidRDefault="00E0486C" w:rsidP="00E0486C">
      <w:pPr>
        <w:pStyle w:val="FigureFooter"/>
      </w:pPr>
      <w:r>
        <w:t>Source: Hartmann-Boyce et al. (2018)</w:t>
      </w:r>
    </w:p>
    <w:p w:rsidR="00E0486C" w:rsidRDefault="00E0486C" w:rsidP="00E0486C">
      <w:pPr>
        <w:pStyle w:val="FigureFooter"/>
      </w:pPr>
      <w:r>
        <w:t>Abbreviations: CI = confidence interval</w:t>
      </w:r>
    </w:p>
    <w:p w:rsidR="00011FD1" w:rsidRDefault="00E55811" w:rsidP="0000627D">
      <w:r w:rsidRPr="00E55811">
        <w:t>Hartmann-Boyce et al. (2018)</w:t>
      </w:r>
      <w:r>
        <w:t xml:space="preserve"> </w:t>
      </w:r>
      <w:r w:rsidR="00B56E8A">
        <w:t>also perform</w:t>
      </w:r>
      <w:r>
        <w:t xml:space="preserve">ed </w:t>
      </w:r>
      <w:r w:rsidR="00FE7B06">
        <w:t xml:space="preserve">meta-analyses comparing NRT gum </w:t>
      </w:r>
      <w:r w:rsidR="00B40AD3">
        <w:t>versus placebo and NRT tablets/lozenges versus placebo.</w:t>
      </w:r>
      <w:r w:rsidR="00B56E8A">
        <w:t xml:space="preserve"> </w:t>
      </w:r>
      <w:r w:rsidR="001764FA">
        <w:t>The results of th</w:t>
      </w:r>
      <w:r w:rsidR="001E5C2C">
        <w:t>ese comparisons</w:t>
      </w:r>
      <w:r w:rsidR="002618CE">
        <w:t xml:space="preserve"> are presented in </w:t>
      </w:r>
      <w:r w:rsidR="003C4A1C">
        <w:t xml:space="preserve">Table </w:t>
      </w:r>
      <w:r w:rsidR="003C4A1C">
        <w:rPr>
          <w:noProof/>
        </w:rPr>
        <w:t>24</w:t>
      </w:r>
      <w:r w:rsidR="001E5C2C">
        <w:t xml:space="preserve"> for information purposes. </w:t>
      </w:r>
      <w:r w:rsidR="00327ACD" w:rsidRPr="00327ACD">
        <w:t>The results of the meta-analys</w:t>
      </w:r>
      <w:r w:rsidR="00327ACD">
        <w:t>e</w:t>
      </w:r>
      <w:r w:rsidR="00327ACD" w:rsidRPr="00327ACD">
        <w:t xml:space="preserve">s </w:t>
      </w:r>
      <w:r w:rsidR="00327ACD">
        <w:t>de</w:t>
      </w:r>
      <w:r w:rsidR="00327ACD" w:rsidRPr="00327ACD">
        <w:t>monstrated a statistically significant difference in long-term smoking cessation rates</w:t>
      </w:r>
      <w:r w:rsidR="005F38D4">
        <w:t xml:space="preserve">, in favour of NRT irrespective of the </w:t>
      </w:r>
      <w:r w:rsidR="007E3B7B">
        <w:t>type of formulation.</w:t>
      </w:r>
    </w:p>
    <w:p w:rsidR="00A33831" w:rsidRDefault="00A33831" w:rsidP="0000627D">
      <w:r>
        <w:lastRenderedPageBreak/>
        <w:t>T</w:t>
      </w:r>
      <w:r w:rsidRPr="00A33831">
        <w:t xml:space="preserve">wo </w:t>
      </w:r>
      <w:r w:rsidR="00266C50">
        <w:t xml:space="preserve">new </w:t>
      </w:r>
      <w:r w:rsidRPr="00A33831">
        <w:t xml:space="preserve">studies comparing NRT gum or </w:t>
      </w:r>
      <w:r w:rsidR="00573F59">
        <w:t>lozenges</w:t>
      </w:r>
      <w:r w:rsidRPr="00A33831">
        <w:t xml:space="preserve"> with placebo were identified in th</w:t>
      </w:r>
      <w:r>
        <w:t>e supplemental literature</w:t>
      </w:r>
      <w:r w:rsidRPr="00A33831">
        <w:t xml:space="preserve"> search and were included </w:t>
      </w:r>
      <w:r>
        <w:t xml:space="preserve">in the updated re-analysis for </w:t>
      </w:r>
      <w:r w:rsidR="00266C50">
        <w:t>this comparison</w:t>
      </w:r>
      <w:r w:rsidRPr="00A33831">
        <w:t xml:space="preserve"> (Shiffman et al. 2020,</w:t>
      </w:r>
      <w:r w:rsidR="00F77B76">
        <w:t xml:space="preserve"> NRT gum versus placebo;</w:t>
      </w:r>
      <w:r w:rsidRPr="00A33831">
        <w:t xml:space="preserve"> Xiao et al. 2020</w:t>
      </w:r>
      <w:r w:rsidR="00F77B76">
        <w:t xml:space="preserve">, NRT </w:t>
      </w:r>
      <w:r w:rsidR="00573F59">
        <w:t>lozenges</w:t>
      </w:r>
      <w:r w:rsidR="00F77B76">
        <w:t xml:space="preserve"> versus placebo</w:t>
      </w:r>
      <w:r w:rsidRPr="00A33831">
        <w:t xml:space="preserve">). </w:t>
      </w:r>
      <w:r w:rsidR="00B31B4F" w:rsidRPr="00B31B4F">
        <w:t>The results of the updated re-analysis were consistent with the results</w:t>
      </w:r>
      <w:r w:rsidR="00B31B4F">
        <w:t xml:space="preserve"> from Hartmann-Boyce et al. (2018).</w:t>
      </w:r>
      <w:r w:rsidRPr="00A33831">
        <w:t xml:space="preserve"> </w:t>
      </w:r>
    </w:p>
    <w:p w:rsidR="000D552A" w:rsidRDefault="000D552A" w:rsidP="000D552A">
      <w:pPr>
        <w:pStyle w:val="Caption"/>
        <w:keepNext/>
      </w:pPr>
      <w:bookmarkStart w:id="92" w:name="_Ref54278033"/>
      <w:r>
        <w:t xml:space="preserve">Table </w:t>
      </w:r>
      <w:r w:rsidR="003C4A1C">
        <w:rPr>
          <w:noProof/>
        </w:rPr>
        <w:t>24</w:t>
      </w:r>
      <w:bookmarkEnd w:id="92"/>
      <w:r>
        <w:t xml:space="preserve">: </w:t>
      </w:r>
      <w:r w:rsidRPr="002941CA">
        <w:t>Results of smoking cessation of at least six months follow-up in Hartmann-Boyce et al. (2018)</w:t>
      </w:r>
      <w:r w:rsidR="003E71D2">
        <w:t xml:space="preserve"> and updated re-analysis</w:t>
      </w:r>
      <w:r w:rsidRPr="002941CA">
        <w:t>,</w:t>
      </w:r>
      <w:r w:rsidR="006F1DC1">
        <w:t xml:space="preserve"> </w:t>
      </w:r>
      <w:r w:rsidR="00D900DF">
        <w:t>different</w:t>
      </w:r>
      <w:r w:rsidR="00390D4D">
        <w:t xml:space="preserve"> </w:t>
      </w:r>
      <w:r w:rsidR="006F1DC1">
        <w:t xml:space="preserve">NRT </w:t>
      </w:r>
      <w:r w:rsidR="00D900DF">
        <w:t xml:space="preserve">formulations </w:t>
      </w:r>
      <w:r w:rsidR="00805956">
        <w:t>versus placebo</w:t>
      </w:r>
    </w:p>
    <w:tbl>
      <w:tblPr>
        <w:tblStyle w:val="TableGrid"/>
        <w:tblW w:w="5000" w:type="pct"/>
        <w:tblLook w:val="04A0" w:firstRow="1" w:lastRow="0" w:firstColumn="1" w:lastColumn="0" w:noHBand="0" w:noVBand="1"/>
        <w:tblCaption w:val="Efficacy results of adalimumab trials (PASI 75 and DLQI)"/>
      </w:tblPr>
      <w:tblGrid>
        <w:gridCol w:w="1129"/>
        <w:gridCol w:w="1975"/>
        <w:gridCol w:w="1396"/>
        <w:gridCol w:w="1535"/>
        <w:gridCol w:w="1535"/>
        <w:gridCol w:w="1446"/>
      </w:tblGrid>
      <w:tr w:rsidR="001B56E6" w:rsidRPr="00061F78" w:rsidTr="001B309A">
        <w:trPr>
          <w:cantSplit/>
          <w:trHeight w:val="299"/>
          <w:tblHeader/>
        </w:trPr>
        <w:tc>
          <w:tcPr>
            <w:tcW w:w="626" w:type="pct"/>
            <w:shd w:val="clear" w:color="auto" w:fill="BFBFBF" w:themeFill="background1" w:themeFillShade="BF"/>
            <w:tcMar>
              <w:left w:w="28" w:type="dxa"/>
              <w:right w:w="28" w:type="dxa"/>
            </w:tcMar>
          </w:tcPr>
          <w:p w:rsidR="001B56E6" w:rsidRPr="00061F78" w:rsidRDefault="00011FD1" w:rsidP="00AF46B1">
            <w:pPr>
              <w:pStyle w:val="Tableheading"/>
              <w:keepNext/>
              <w:rPr>
                <w:rFonts w:eastAsia="MS Mincho"/>
              </w:rPr>
            </w:pPr>
            <w:r>
              <w:rPr>
                <w:rFonts w:eastAsia="MS Mincho"/>
              </w:rPr>
              <w:t>Formulation</w:t>
            </w:r>
          </w:p>
        </w:tc>
        <w:tc>
          <w:tcPr>
            <w:tcW w:w="1095" w:type="pct"/>
            <w:shd w:val="clear" w:color="auto" w:fill="BFBFBF" w:themeFill="background1" w:themeFillShade="BF"/>
            <w:vAlign w:val="center"/>
          </w:tcPr>
          <w:p w:rsidR="001B56E6" w:rsidRDefault="00011FD1" w:rsidP="00AF46B1">
            <w:pPr>
              <w:pStyle w:val="Tableheading"/>
              <w:keepNext/>
              <w:jc w:val="center"/>
              <w:rPr>
                <w:rFonts w:eastAsia="MS Mincho"/>
              </w:rPr>
            </w:pPr>
            <w:r>
              <w:rPr>
                <w:rFonts w:eastAsia="MS Mincho"/>
              </w:rPr>
              <w:t>No. of studies</w:t>
            </w:r>
          </w:p>
        </w:tc>
        <w:tc>
          <w:tcPr>
            <w:tcW w:w="774" w:type="pct"/>
            <w:shd w:val="clear" w:color="auto" w:fill="BFBFBF" w:themeFill="background1" w:themeFillShade="BF"/>
            <w:tcMar>
              <w:left w:w="28" w:type="dxa"/>
              <w:right w:w="28" w:type="dxa"/>
            </w:tcMar>
            <w:vAlign w:val="center"/>
          </w:tcPr>
          <w:p w:rsidR="001B56E6" w:rsidRPr="00061F78" w:rsidRDefault="001B56E6" w:rsidP="00AF46B1">
            <w:pPr>
              <w:pStyle w:val="Tableheading"/>
              <w:keepNext/>
              <w:jc w:val="center"/>
              <w:rPr>
                <w:rFonts w:eastAsia="MS Mincho"/>
              </w:rPr>
            </w:pPr>
            <w:r>
              <w:rPr>
                <w:rFonts w:eastAsia="MS Mincho"/>
              </w:rPr>
              <w:t>NRT</w:t>
            </w:r>
          </w:p>
        </w:tc>
        <w:tc>
          <w:tcPr>
            <w:tcW w:w="851" w:type="pct"/>
            <w:shd w:val="clear" w:color="auto" w:fill="BFBFBF" w:themeFill="background1" w:themeFillShade="BF"/>
            <w:tcMar>
              <w:left w:w="28" w:type="dxa"/>
              <w:right w:w="28" w:type="dxa"/>
            </w:tcMar>
            <w:vAlign w:val="center"/>
          </w:tcPr>
          <w:p w:rsidR="001B56E6" w:rsidRPr="00061F78" w:rsidRDefault="001B56E6" w:rsidP="00AF46B1">
            <w:pPr>
              <w:pStyle w:val="Tableheading"/>
              <w:keepNext/>
              <w:jc w:val="center"/>
              <w:rPr>
                <w:rFonts w:eastAsia="MS Mincho"/>
              </w:rPr>
            </w:pPr>
            <w:r w:rsidRPr="00061F78">
              <w:rPr>
                <w:rFonts w:eastAsia="MS Mincho"/>
              </w:rPr>
              <w:t>Placebo</w:t>
            </w:r>
          </w:p>
        </w:tc>
        <w:tc>
          <w:tcPr>
            <w:tcW w:w="851" w:type="pct"/>
            <w:shd w:val="clear" w:color="auto" w:fill="BFBFBF" w:themeFill="background1" w:themeFillShade="BF"/>
            <w:tcMar>
              <w:left w:w="28" w:type="dxa"/>
              <w:right w:w="28" w:type="dxa"/>
            </w:tcMar>
            <w:vAlign w:val="center"/>
          </w:tcPr>
          <w:p w:rsidR="001B56E6" w:rsidRPr="00D468CF" w:rsidRDefault="001B56E6" w:rsidP="00AF46B1">
            <w:pPr>
              <w:pStyle w:val="Tableheading"/>
              <w:keepNext/>
              <w:jc w:val="center"/>
              <w:rPr>
                <w:rFonts w:eastAsia="MS Mincho"/>
                <w:vertAlign w:val="superscript"/>
              </w:rPr>
            </w:pPr>
            <w:r>
              <w:rPr>
                <w:rFonts w:eastAsia="MS Mincho"/>
              </w:rPr>
              <w:t>RR (95% CI)</w:t>
            </w:r>
          </w:p>
        </w:tc>
        <w:tc>
          <w:tcPr>
            <w:tcW w:w="802" w:type="pct"/>
            <w:shd w:val="clear" w:color="auto" w:fill="BFBFBF" w:themeFill="background1" w:themeFillShade="BF"/>
            <w:vAlign w:val="center"/>
          </w:tcPr>
          <w:p w:rsidR="001B56E6" w:rsidRDefault="001B56E6" w:rsidP="00AF46B1">
            <w:pPr>
              <w:pStyle w:val="Tableheading"/>
              <w:keepNext/>
              <w:jc w:val="center"/>
              <w:rPr>
                <w:rFonts w:eastAsia="MS Mincho"/>
              </w:rPr>
            </w:pPr>
            <w:r>
              <w:rPr>
                <w:rFonts w:eastAsia="MS Mincho"/>
              </w:rPr>
              <w:t>RD (95% CI)</w:t>
            </w:r>
          </w:p>
        </w:tc>
      </w:tr>
      <w:tr w:rsidR="001E03CA" w:rsidRPr="00061F78" w:rsidTr="001B309A">
        <w:trPr>
          <w:cantSplit/>
          <w:trHeight w:val="99"/>
        </w:trPr>
        <w:tc>
          <w:tcPr>
            <w:tcW w:w="626" w:type="pct"/>
            <w:shd w:val="clear" w:color="auto" w:fill="auto"/>
            <w:tcMar>
              <w:left w:w="28" w:type="dxa"/>
              <w:right w:w="28" w:type="dxa"/>
            </w:tcMar>
          </w:tcPr>
          <w:p w:rsidR="001E03CA" w:rsidRPr="00011FD1" w:rsidRDefault="001E03CA" w:rsidP="001E03CA">
            <w:pPr>
              <w:pStyle w:val="Tablewriting"/>
              <w:keepNext/>
              <w:rPr>
                <w:rFonts w:eastAsia="MS Mincho"/>
              </w:rPr>
            </w:pPr>
            <w:r>
              <w:rPr>
                <w:rFonts w:eastAsia="MS Mincho"/>
              </w:rPr>
              <w:t>NRT patch</w:t>
            </w:r>
          </w:p>
        </w:tc>
        <w:tc>
          <w:tcPr>
            <w:tcW w:w="1095" w:type="pct"/>
            <w:shd w:val="clear" w:color="auto" w:fill="auto"/>
            <w:vAlign w:val="center"/>
          </w:tcPr>
          <w:p w:rsidR="00471A04" w:rsidRDefault="00471A04" w:rsidP="001E03CA">
            <w:pPr>
              <w:pStyle w:val="Tablewriting"/>
              <w:keepNext/>
              <w:jc w:val="center"/>
              <w:rPr>
                <w:rFonts w:eastAsia="MS Mincho"/>
              </w:rPr>
            </w:pPr>
            <w:r>
              <w:rPr>
                <w:rFonts w:eastAsia="MS Mincho"/>
              </w:rPr>
              <w:t>Cochrane Review</w:t>
            </w:r>
          </w:p>
          <w:p w:rsidR="001E03CA" w:rsidRPr="00471A04" w:rsidRDefault="00471A04" w:rsidP="001E03CA">
            <w:pPr>
              <w:pStyle w:val="Tablewriting"/>
              <w:keepNext/>
              <w:jc w:val="center"/>
              <w:rPr>
                <w:rFonts w:eastAsia="MS Mincho"/>
                <w:vertAlign w:val="superscript"/>
              </w:rPr>
            </w:pPr>
            <w:r>
              <w:rPr>
                <w:rFonts w:eastAsia="MS Mincho"/>
              </w:rPr>
              <w:t>(</w:t>
            </w:r>
            <w:r w:rsidR="001E03CA">
              <w:rPr>
                <w:rFonts w:eastAsia="MS Mincho"/>
              </w:rPr>
              <w:t>51 RCTs</w:t>
            </w:r>
            <w:r>
              <w:rPr>
                <w:rFonts w:eastAsia="MS Mincho"/>
              </w:rPr>
              <w:t>)</w:t>
            </w:r>
            <w:r>
              <w:rPr>
                <w:rFonts w:eastAsia="MS Mincho"/>
                <w:vertAlign w:val="superscript"/>
              </w:rPr>
              <w:t>1</w:t>
            </w:r>
          </w:p>
        </w:tc>
        <w:tc>
          <w:tcPr>
            <w:tcW w:w="774" w:type="pct"/>
            <w:shd w:val="clear" w:color="auto" w:fill="auto"/>
            <w:tcMar>
              <w:left w:w="28" w:type="dxa"/>
              <w:right w:w="28" w:type="dxa"/>
            </w:tcMar>
            <w:vAlign w:val="center"/>
          </w:tcPr>
          <w:p w:rsidR="001E03CA" w:rsidRPr="0078171D" w:rsidRDefault="001E03CA" w:rsidP="001E03CA">
            <w:pPr>
              <w:pStyle w:val="Tablewriting"/>
              <w:keepNext/>
              <w:jc w:val="center"/>
              <w:rPr>
                <w:rFonts w:eastAsia="MS Mincho"/>
              </w:rPr>
            </w:pPr>
            <w:r>
              <w:rPr>
                <w:rFonts w:eastAsia="MS Mincho"/>
              </w:rPr>
              <w:t>2,160</w:t>
            </w:r>
            <w:r w:rsidRPr="0078171D">
              <w:rPr>
                <w:rFonts w:eastAsia="MS Mincho"/>
              </w:rPr>
              <w:t>/</w:t>
            </w:r>
            <w:r>
              <w:rPr>
                <w:rFonts w:eastAsia="MS Mincho"/>
              </w:rPr>
              <w:t>13,773</w:t>
            </w:r>
            <w:r w:rsidRPr="0078171D">
              <w:rPr>
                <w:rFonts w:eastAsia="MS Mincho"/>
              </w:rPr>
              <w:t xml:space="preserve"> </w:t>
            </w:r>
          </w:p>
          <w:p w:rsidR="001E03CA" w:rsidRPr="0078171D" w:rsidRDefault="001E03CA" w:rsidP="001E03CA">
            <w:pPr>
              <w:pStyle w:val="Tablewriting"/>
              <w:keepNext/>
              <w:jc w:val="center"/>
              <w:rPr>
                <w:rFonts w:eastAsia="MS Mincho"/>
              </w:rPr>
            </w:pPr>
            <w:r w:rsidRPr="0078171D">
              <w:rPr>
                <w:rFonts w:eastAsia="MS Mincho"/>
              </w:rPr>
              <w:t>(</w:t>
            </w:r>
            <w:r w:rsidR="00FD339F">
              <w:rPr>
                <w:rFonts w:eastAsia="MS Mincho"/>
              </w:rPr>
              <w:t>15.7</w:t>
            </w:r>
            <w:r w:rsidRPr="0078171D">
              <w:rPr>
                <w:rFonts w:eastAsia="MS Mincho"/>
              </w:rPr>
              <w:t>%)</w:t>
            </w:r>
          </w:p>
        </w:tc>
        <w:tc>
          <w:tcPr>
            <w:tcW w:w="851" w:type="pct"/>
            <w:shd w:val="clear" w:color="auto" w:fill="auto"/>
            <w:tcMar>
              <w:left w:w="28" w:type="dxa"/>
              <w:right w:w="28" w:type="dxa"/>
            </w:tcMar>
            <w:vAlign w:val="center"/>
          </w:tcPr>
          <w:p w:rsidR="001E03CA" w:rsidRPr="0078171D" w:rsidRDefault="001E03CA" w:rsidP="001E03CA">
            <w:pPr>
              <w:pStyle w:val="Tablewriting"/>
              <w:keepNext/>
              <w:jc w:val="center"/>
              <w:rPr>
                <w:rFonts w:eastAsia="MS Mincho"/>
              </w:rPr>
            </w:pPr>
            <w:r>
              <w:rPr>
                <w:rFonts w:eastAsia="MS Mincho"/>
              </w:rPr>
              <w:t>1,131</w:t>
            </w:r>
            <w:r w:rsidRPr="0078171D">
              <w:rPr>
                <w:rFonts w:eastAsia="MS Mincho"/>
              </w:rPr>
              <w:t>/</w:t>
            </w:r>
            <w:r>
              <w:rPr>
                <w:rFonts w:eastAsia="MS Mincho"/>
              </w:rPr>
              <w:t>11,981</w:t>
            </w:r>
            <w:r w:rsidRPr="0078171D">
              <w:rPr>
                <w:rFonts w:eastAsia="MS Mincho"/>
              </w:rPr>
              <w:t xml:space="preserve"> </w:t>
            </w:r>
          </w:p>
          <w:p w:rsidR="001E03CA" w:rsidRPr="0078171D" w:rsidRDefault="001E03CA" w:rsidP="001E03CA">
            <w:pPr>
              <w:pStyle w:val="Tablewriting"/>
              <w:keepNext/>
              <w:jc w:val="center"/>
              <w:rPr>
                <w:rFonts w:eastAsia="MS Mincho"/>
              </w:rPr>
            </w:pPr>
            <w:r w:rsidRPr="0078171D">
              <w:rPr>
                <w:rFonts w:eastAsia="MS Mincho"/>
              </w:rPr>
              <w:t>(</w:t>
            </w:r>
            <w:r w:rsidR="00FD339F">
              <w:rPr>
                <w:rFonts w:eastAsia="MS Mincho"/>
              </w:rPr>
              <w:t>9.4</w:t>
            </w:r>
            <w:r w:rsidRPr="0078171D">
              <w:rPr>
                <w:rFonts w:eastAsia="MS Mincho"/>
              </w:rPr>
              <w:t>%)</w:t>
            </w:r>
          </w:p>
        </w:tc>
        <w:tc>
          <w:tcPr>
            <w:tcW w:w="851" w:type="pct"/>
            <w:shd w:val="clear" w:color="auto" w:fill="auto"/>
            <w:tcMar>
              <w:left w:w="28" w:type="dxa"/>
              <w:right w:w="28" w:type="dxa"/>
            </w:tcMar>
            <w:vAlign w:val="center"/>
          </w:tcPr>
          <w:p w:rsidR="001E03CA" w:rsidRDefault="001E03CA" w:rsidP="001E03CA">
            <w:pPr>
              <w:pStyle w:val="Tablewriting"/>
              <w:keepNext/>
              <w:jc w:val="center"/>
              <w:rPr>
                <w:rFonts w:eastAsia="MS Mincho"/>
                <w:b/>
                <w:bCs/>
              </w:rPr>
            </w:pPr>
            <w:r>
              <w:rPr>
                <w:rFonts w:eastAsia="MS Mincho"/>
                <w:b/>
                <w:bCs/>
              </w:rPr>
              <w:t>1.64</w:t>
            </w:r>
          </w:p>
          <w:p w:rsidR="001E03CA" w:rsidRPr="0078171D" w:rsidRDefault="001E03CA" w:rsidP="001E03CA">
            <w:pPr>
              <w:pStyle w:val="Tablewriting"/>
              <w:keepNext/>
              <w:jc w:val="center"/>
              <w:rPr>
                <w:rFonts w:eastAsia="MS Mincho"/>
                <w:b/>
              </w:rPr>
            </w:pPr>
            <w:r>
              <w:rPr>
                <w:rFonts w:eastAsia="MS Mincho"/>
                <w:b/>
                <w:bCs/>
              </w:rPr>
              <w:t>(1.53, 1.75)</w:t>
            </w:r>
          </w:p>
        </w:tc>
        <w:tc>
          <w:tcPr>
            <w:tcW w:w="802" w:type="pct"/>
            <w:shd w:val="clear" w:color="auto" w:fill="auto"/>
            <w:vAlign w:val="center"/>
          </w:tcPr>
          <w:p w:rsidR="001E03CA" w:rsidRPr="00061F78" w:rsidRDefault="00471A04" w:rsidP="001E03CA">
            <w:pPr>
              <w:pStyle w:val="Tablewriting"/>
              <w:keepNext/>
              <w:jc w:val="center"/>
              <w:rPr>
                <w:rFonts w:eastAsia="MS Mincho"/>
              </w:rPr>
            </w:pPr>
            <w:r>
              <w:rPr>
                <w:rFonts w:eastAsia="MS Mincho"/>
              </w:rPr>
              <w:t>NR</w:t>
            </w:r>
          </w:p>
        </w:tc>
      </w:tr>
      <w:tr w:rsidR="001B56E6" w:rsidRPr="00061F78" w:rsidTr="001B309A">
        <w:trPr>
          <w:cantSplit/>
          <w:trHeight w:val="99"/>
        </w:trPr>
        <w:tc>
          <w:tcPr>
            <w:tcW w:w="626" w:type="pct"/>
            <w:vMerge w:val="restart"/>
            <w:shd w:val="clear" w:color="auto" w:fill="auto"/>
            <w:tcMar>
              <w:left w:w="28" w:type="dxa"/>
              <w:right w:w="28" w:type="dxa"/>
            </w:tcMar>
          </w:tcPr>
          <w:p w:rsidR="001B56E6" w:rsidRDefault="00011FD1" w:rsidP="00AF46B1">
            <w:pPr>
              <w:pStyle w:val="Tablewriting"/>
              <w:keepNext/>
              <w:rPr>
                <w:rFonts w:eastAsia="MS Mincho"/>
              </w:rPr>
            </w:pPr>
            <w:r>
              <w:rPr>
                <w:rFonts w:eastAsia="MS Mincho"/>
              </w:rPr>
              <w:t>NRT gum</w:t>
            </w:r>
          </w:p>
        </w:tc>
        <w:tc>
          <w:tcPr>
            <w:tcW w:w="1095" w:type="pct"/>
            <w:shd w:val="clear" w:color="auto" w:fill="auto"/>
            <w:vAlign w:val="center"/>
          </w:tcPr>
          <w:p w:rsidR="00471A04" w:rsidRDefault="00471A04" w:rsidP="00AF46B1">
            <w:pPr>
              <w:pStyle w:val="Tablewriting"/>
              <w:keepNext/>
              <w:jc w:val="center"/>
              <w:rPr>
                <w:rFonts w:eastAsia="MS Mincho"/>
              </w:rPr>
            </w:pPr>
            <w:r>
              <w:rPr>
                <w:rFonts w:eastAsia="MS Mincho"/>
              </w:rPr>
              <w:t>Cochrane Review</w:t>
            </w:r>
          </w:p>
          <w:p w:rsidR="001B56E6" w:rsidRPr="00471A04" w:rsidRDefault="00471A04" w:rsidP="00AF46B1">
            <w:pPr>
              <w:pStyle w:val="Tablewriting"/>
              <w:keepNext/>
              <w:jc w:val="center"/>
              <w:rPr>
                <w:rFonts w:eastAsia="MS Mincho"/>
                <w:vertAlign w:val="superscript"/>
              </w:rPr>
            </w:pPr>
            <w:r>
              <w:rPr>
                <w:rFonts w:eastAsia="MS Mincho"/>
              </w:rPr>
              <w:t>(</w:t>
            </w:r>
            <w:r w:rsidR="009F4894">
              <w:rPr>
                <w:rFonts w:eastAsia="MS Mincho"/>
              </w:rPr>
              <w:t>56 RCTs</w:t>
            </w:r>
            <w:r>
              <w:rPr>
                <w:rFonts w:eastAsia="MS Mincho"/>
              </w:rPr>
              <w:t>)</w:t>
            </w:r>
            <w:r>
              <w:rPr>
                <w:rFonts w:eastAsia="MS Mincho"/>
                <w:vertAlign w:val="superscript"/>
              </w:rPr>
              <w:t>1</w:t>
            </w:r>
          </w:p>
        </w:tc>
        <w:tc>
          <w:tcPr>
            <w:tcW w:w="774" w:type="pct"/>
            <w:shd w:val="clear" w:color="auto" w:fill="auto"/>
            <w:tcMar>
              <w:left w:w="28" w:type="dxa"/>
              <w:right w:w="28" w:type="dxa"/>
            </w:tcMar>
            <w:vAlign w:val="center"/>
          </w:tcPr>
          <w:p w:rsidR="001B56E6" w:rsidRPr="0078171D" w:rsidRDefault="001B56E6" w:rsidP="00AF46B1">
            <w:pPr>
              <w:pStyle w:val="Tablewriting"/>
              <w:keepNext/>
              <w:jc w:val="center"/>
              <w:rPr>
                <w:rFonts w:eastAsia="MS Mincho"/>
              </w:rPr>
            </w:pPr>
            <w:r w:rsidRPr="0078171D">
              <w:rPr>
                <w:rFonts w:eastAsia="MS Mincho"/>
              </w:rPr>
              <w:t>1,</w:t>
            </w:r>
            <w:r w:rsidR="006935EA">
              <w:rPr>
                <w:rFonts w:eastAsia="MS Mincho"/>
              </w:rPr>
              <w:t>732</w:t>
            </w:r>
            <w:r w:rsidRPr="0078171D">
              <w:rPr>
                <w:rFonts w:eastAsia="MS Mincho"/>
              </w:rPr>
              <w:t>/</w:t>
            </w:r>
            <w:r>
              <w:rPr>
                <w:rFonts w:eastAsia="MS Mincho"/>
              </w:rPr>
              <w:t>10,</w:t>
            </w:r>
            <w:r w:rsidR="006935EA">
              <w:rPr>
                <w:rFonts w:eastAsia="MS Mincho"/>
              </w:rPr>
              <w:t>596</w:t>
            </w:r>
            <w:r w:rsidRPr="0078171D">
              <w:rPr>
                <w:rFonts w:eastAsia="MS Mincho"/>
              </w:rPr>
              <w:t xml:space="preserve"> </w:t>
            </w:r>
          </w:p>
          <w:p w:rsidR="001B56E6" w:rsidRPr="0078171D" w:rsidRDefault="001B56E6" w:rsidP="00AF46B1">
            <w:pPr>
              <w:pStyle w:val="Tablewriting"/>
              <w:keepNext/>
              <w:jc w:val="center"/>
              <w:rPr>
                <w:rFonts w:eastAsia="MS Mincho"/>
              </w:rPr>
            </w:pPr>
            <w:r w:rsidRPr="0078171D">
              <w:rPr>
                <w:rFonts w:eastAsia="MS Mincho"/>
              </w:rPr>
              <w:t>(</w:t>
            </w:r>
            <w:r w:rsidR="00FD339F">
              <w:rPr>
                <w:rFonts w:eastAsia="MS Mincho"/>
              </w:rPr>
              <w:t>16.3</w:t>
            </w:r>
            <w:r w:rsidRPr="0078171D">
              <w:rPr>
                <w:rFonts w:eastAsia="MS Mincho"/>
              </w:rPr>
              <w:t>%)</w:t>
            </w:r>
          </w:p>
        </w:tc>
        <w:tc>
          <w:tcPr>
            <w:tcW w:w="851" w:type="pct"/>
            <w:shd w:val="clear" w:color="auto" w:fill="auto"/>
            <w:tcMar>
              <w:left w:w="28" w:type="dxa"/>
              <w:right w:w="28" w:type="dxa"/>
            </w:tcMar>
            <w:vAlign w:val="center"/>
          </w:tcPr>
          <w:p w:rsidR="001B56E6" w:rsidRPr="0078171D" w:rsidRDefault="000D552A" w:rsidP="00AF46B1">
            <w:pPr>
              <w:pStyle w:val="Tablewriting"/>
              <w:keepNext/>
              <w:jc w:val="center"/>
              <w:rPr>
                <w:rFonts w:eastAsia="MS Mincho"/>
              </w:rPr>
            </w:pPr>
            <w:r>
              <w:rPr>
                <w:rFonts w:eastAsia="MS Mincho"/>
              </w:rPr>
              <w:t>1,196</w:t>
            </w:r>
            <w:r w:rsidR="001B56E6" w:rsidRPr="0078171D">
              <w:rPr>
                <w:rFonts w:eastAsia="MS Mincho"/>
              </w:rPr>
              <w:t>/</w:t>
            </w:r>
            <w:r>
              <w:rPr>
                <w:rFonts w:eastAsia="MS Mincho"/>
              </w:rPr>
              <w:t>11,985</w:t>
            </w:r>
            <w:r w:rsidR="001B56E6" w:rsidRPr="0078171D">
              <w:rPr>
                <w:rFonts w:eastAsia="MS Mincho"/>
              </w:rPr>
              <w:t xml:space="preserve"> </w:t>
            </w:r>
          </w:p>
          <w:p w:rsidR="001B56E6" w:rsidRPr="0078171D" w:rsidRDefault="001B56E6" w:rsidP="00AF46B1">
            <w:pPr>
              <w:pStyle w:val="Tablewriting"/>
              <w:keepNext/>
              <w:jc w:val="center"/>
              <w:rPr>
                <w:rFonts w:eastAsia="MS Mincho"/>
              </w:rPr>
            </w:pPr>
            <w:r w:rsidRPr="0078171D">
              <w:rPr>
                <w:rFonts w:eastAsia="MS Mincho"/>
              </w:rPr>
              <w:t>(</w:t>
            </w:r>
            <w:r w:rsidR="00FD339F">
              <w:rPr>
                <w:rFonts w:eastAsia="MS Mincho"/>
              </w:rPr>
              <w:t>10.0</w:t>
            </w:r>
            <w:r w:rsidRPr="0078171D">
              <w:rPr>
                <w:rFonts w:eastAsia="MS Mincho"/>
              </w:rPr>
              <w:t>%)</w:t>
            </w:r>
          </w:p>
        </w:tc>
        <w:tc>
          <w:tcPr>
            <w:tcW w:w="851" w:type="pct"/>
            <w:shd w:val="clear" w:color="auto" w:fill="auto"/>
            <w:tcMar>
              <w:left w:w="28" w:type="dxa"/>
              <w:right w:w="28" w:type="dxa"/>
            </w:tcMar>
            <w:vAlign w:val="center"/>
          </w:tcPr>
          <w:p w:rsidR="001B56E6" w:rsidRPr="0078171D" w:rsidRDefault="009B374D" w:rsidP="00AF46B1">
            <w:pPr>
              <w:pStyle w:val="Tablewriting"/>
              <w:keepNext/>
              <w:jc w:val="center"/>
              <w:rPr>
                <w:rFonts w:eastAsia="MS Mincho"/>
                <w:b/>
              </w:rPr>
            </w:pPr>
            <w:r>
              <w:rPr>
                <w:rFonts w:eastAsia="MS Mincho"/>
                <w:b/>
                <w:bCs/>
              </w:rPr>
              <w:t>1.49</w:t>
            </w:r>
          </w:p>
          <w:p w:rsidR="001B56E6" w:rsidRPr="0078171D" w:rsidRDefault="001B56E6" w:rsidP="00AF46B1">
            <w:pPr>
              <w:pStyle w:val="Tablewriting"/>
              <w:keepNext/>
              <w:jc w:val="center"/>
              <w:rPr>
                <w:rFonts w:eastAsia="MS Mincho"/>
                <w:b/>
              </w:rPr>
            </w:pPr>
            <w:r w:rsidRPr="0078171D">
              <w:rPr>
                <w:rFonts w:eastAsia="MS Mincho"/>
                <w:b/>
                <w:bCs/>
              </w:rPr>
              <w:t>(</w:t>
            </w:r>
            <w:r>
              <w:rPr>
                <w:rFonts w:eastAsia="MS Mincho"/>
                <w:b/>
                <w:bCs/>
              </w:rPr>
              <w:t>1.</w:t>
            </w:r>
            <w:r w:rsidR="007875A2">
              <w:rPr>
                <w:rFonts w:eastAsia="MS Mincho"/>
                <w:b/>
                <w:bCs/>
              </w:rPr>
              <w:t>40</w:t>
            </w:r>
            <w:r w:rsidRPr="0078171D">
              <w:rPr>
                <w:rFonts w:eastAsia="MS Mincho"/>
                <w:b/>
                <w:bCs/>
              </w:rPr>
              <w:t xml:space="preserve">, </w:t>
            </w:r>
            <w:r>
              <w:rPr>
                <w:rFonts w:eastAsia="MS Mincho"/>
                <w:b/>
                <w:bCs/>
              </w:rPr>
              <w:t>1.</w:t>
            </w:r>
            <w:r w:rsidR="007875A2">
              <w:rPr>
                <w:rFonts w:eastAsia="MS Mincho"/>
                <w:b/>
                <w:bCs/>
              </w:rPr>
              <w:t>60</w:t>
            </w:r>
            <w:r w:rsidRPr="0078171D">
              <w:rPr>
                <w:rFonts w:eastAsia="MS Mincho"/>
                <w:b/>
                <w:bCs/>
              </w:rPr>
              <w:t>)</w:t>
            </w:r>
          </w:p>
        </w:tc>
        <w:tc>
          <w:tcPr>
            <w:tcW w:w="802" w:type="pct"/>
            <w:shd w:val="clear" w:color="auto" w:fill="auto"/>
            <w:vAlign w:val="center"/>
          </w:tcPr>
          <w:p w:rsidR="001B56E6" w:rsidRPr="00061F78" w:rsidRDefault="00471A04" w:rsidP="00AF46B1">
            <w:pPr>
              <w:pStyle w:val="Tablewriting"/>
              <w:keepNext/>
              <w:jc w:val="center"/>
              <w:rPr>
                <w:rFonts w:eastAsia="MS Mincho"/>
              </w:rPr>
            </w:pPr>
            <w:r>
              <w:rPr>
                <w:rFonts w:eastAsia="MS Mincho"/>
              </w:rPr>
              <w:t>NR</w:t>
            </w:r>
          </w:p>
        </w:tc>
      </w:tr>
      <w:tr w:rsidR="00A367DA" w:rsidRPr="00061F78" w:rsidTr="001B309A">
        <w:trPr>
          <w:cantSplit/>
          <w:trHeight w:val="99"/>
        </w:trPr>
        <w:tc>
          <w:tcPr>
            <w:tcW w:w="626" w:type="pct"/>
            <w:vMerge/>
            <w:shd w:val="clear" w:color="auto" w:fill="auto"/>
            <w:tcMar>
              <w:left w:w="28" w:type="dxa"/>
              <w:right w:w="28" w:type="dxa"/>
            </w:tcMar>
          </w:tcPr>
          <w:p w:rsidR="00A367DA" w:rsidRDefault="00A367DA" w:rsidP="00AF46B1">
            <w:pPr>
              <w:pStyle w:val="Tablewriting"/>
              <w:keepNext/>
              <w:rPr>
                <w:rFonts w:eastAsia="MS Mincho"/>
              </w:rPr>
            </w:pPr>
          </w:p>
        </w:tc>
        <w:tc>
          <w:tcPr>
            <w:tcW w:w="1095" w:type="pct"/>
            <w:shd w:val="clear" w:color="auto" w:fill="auto"/>
            <w:vAlign w:val="center"/>
          </w:tcPr>
          <w:p w:rsidR="00A367DA" w:rsidRPr="00471A04" w:rsidRDefault="00A367DA" w:rsidP="00AF46B1">
            <w:pPr>
              <w:pStyle w:val="Tablewriting"/>
              <w:keepNext/>
              <w:jc w:val="center"/>
              <w:rPr>
                <w:rFonts w:eastAsia="MS Mincho"/>
                <w:vertAlign w:val="superscript"/>
              </w:rPr>
            </w:pPr>
            <w:r>
              <w:rPr>
                <w:rFonts w:eastAsia="MS Mincho"/>
              </w:rPr>
              <w:t>Updated re-analysis (</w:t>
            </w:r>
            <w:r w:rsidR="00445771">
              <w:rPr>
                <w:rFonts w:eastAsia="MS Mincho"/>
              </w:rPr>
              <w:t>57 RCTs)</w:t>
            </w:r>
            <w:r w:rsidR="00471A04">
              <w:rPr>
                <w:rFonts w:eastAsia="MS Mincho"/>
                <w:vertAlign w:val="superscript"/>
              </w:rPr>
              <w:t>2</w:t>
            </w:r>
          </w:p>
        </w:tc>
        <w:tc>
          <w:tcPr>
            <w:tcW w:w="774" w:type="pct"/>
            <w:shd w:val="clear" w:color="auto" w:fill="auto"/>
            <w:tcMar>
              <w:left w:w="28" w:type="dxa"/>
              <w:right w:w="28" w:type="dxa"/>
            </w:tcMar>
            <w:vAlign w:val="center"/>
          </w:tcPr>
          <w:p w:rsidR="00A367DA" w:rsidRDefault="00126491" w:rsidP="00AF46B1">
            <w:pPr>
              <w:pStyle w:val="Tablewriting"/>
              <w:keepNext/>
              <w:jc w:val="center"/>
              <w:rPr>
                <w:rFonts w:eastAsia="MS Mincho"/>
              </w:rPr>
            </w:pPr>
            <w:r>
              <w:rPr>
                <w:rFonts w:eastAsia="MS Mincho"/>
              </w:rPr>
              <w:t>1,745/10,777</w:t>
            </w:r>
          </w:p>
          <w:p w:rsidR="00126491" w:rsidRPr="0078171D" w:rsidRDefault="00126491" w:rsidP="00AF46B1">
            <w:pPr>
              <w:pStyle w:val="Tablewriting"/>
              <w:keepNext/>
              <w:jc w:val="center"/>
              <w:rPr>
                <w:rFonts w:eastAsia="MS Mincho"/>
              </w:rPr>
            </w:pPr>
            <w:r>
              <w:rPr>
                <w:rFonts w:eastAsia="MS Mincho"/>
              </w:rPr>
              <w:t>(</w:t>
            </w:r>
            <w:r w:rsidR="00C120A4">
              <w:rPr>
                <w:rFonts w:eastAsia="MS Mincho"/>
              </w:rPr>
              <w:t>16.2</w:t>
            </w:r>
            <w:r>
              <w:rPr>
                <w:rFonts w:eastAsia="MS Mincho"/>
              </w:rPr>
              <w:t>%)</w:t>
            </w:r>
          </w:p>
        </w:tc>
        <w:tc>
          <w:tcPr>
            <w:tcW w:w="851" w:type="pct"/>
            <w:shd w:val="clear" w:color="auto" w:fill="auto"/>
            <w:tcMar>
              <w:left w:w="28" w:type="dxa"/>
              <w:right w:w="28" w:type="dxa"/>
            </w:tcMar>
            <w:vAlign w:val="center"/>
          </w:tcPr>
          <w:p w:rsidR="00A367DA" w:rsidRDefault="00FA00CE" w:rsidP="00AF46B1">
            <w:pPr>
              <w:pStyle w:val="Tablewriting"/>
              <w:keepNext/>
              <w:jc w:val="center"/>
              <w:rPr>
                <w:rFonts w:eastAsia="MS Mincho"/>
              </w:rPr>
            </w:pPr>
            <w:r>
              <w:rPr>
                <w:rFonts w:eastAsia="MS Mincho"/>
              </w:rPr>
              <w:t>1,206/12,173</w:t>
            </w:r>
          </w:p>
          <w:p w:rsidR="00FA00CE" w:rsidRDefault="00FA00CE" w:rsidP="00AF46B1">
            <w:pPr>
              <w:pStyle w:val="Tablewriting"/>
              <w:keepNext/>
              <w:jc w:val="center"/>
              <w:rPr>
                <w:rFonts w:eastAsia="MS Mincho"/>
              </w:rPr>
            </w:pPr>
            <w:r>
              <w:rPr>
                <w:rFonts w:eastAsia="MS Mincho"/>
              </w:rPr>
              <w:t>(</w:t>
            </w:r>
            <w:r w:rsidR="00F1764B">
              <w:rPr>
                <w:rFonts w:eastAsia="MS Mincho"/>
              </w:rPr>
              <w:t>9.9</w:t>
            </w:r>
            <w:r>
              <w:rPr>
                <w:rFonts w:eastAsia="MS Mincho"/>
              </w:rPr>
              <w:t>%)</w:t>
            </w:r>
          </w:p>
        </w:tc>
        <w:tc>
          <w:tcPr>
            <w:tcW w:w="851" w:type="pct"/>
            <w:shd w:val="clear" w:color="auto" w:fill="auto"/>
            <w:tcMar>
              <w:left w:w="28" w:type="dxa"/>
              <w:right w:w="28" w:type="dxa"/>
            </w:tcMar>
            <w:vAlign w:val="center"/>
          </w:tcPr>
          <w:p w:rsidR="00A367DA" w:rsidRDefault="00FA00CE" w:rsidP="00AF46B1">
            <w:pPr>
              <w:pStyle w:val="Tablewriting"/>
              <w:keepNext/>
              <w:jc w:val="center"/>
              <w:rPr>
                <w:rFonts w:eastAsia="MS Mincho"/>
                <w:b/>
                <w:bCs/>
              </w:rPr>
            </w:pPr>
            <w:r>
              <w:rPr>
                <w:rFonts w:eastAsia="MS Mincho"/>
                <w:b/>
                <w:bCs/>
              </w:rPr>
              <w:t>1.49</w:t>
            </w:r>
          </w:p>
          <w:p w:rsidR="00FA00CE" w:rsidRDefault="00FA00CE" w:rsidP="00AF46B1">
            <w:pPr>
              <w:pStyle w:val="Tablewriting"/>
              <w:keepNext/>
              <w:jc w:val="center"/>
              <w:rPr>
                <w:rFonts w:eastAsia="MS Mincho"/>
                <w:b/>
                <w:bCs/>
              </w:rPr>
            </w:pPr>
            <w:r>
              <w:rPr>
                <w:rFonts w:eastAsia="MS Mincho"/>
                <w:b/>
                <w:bCs/>
              </w:rPr>
              <w:t>(1.35,</w:t>
            </w:r>
            <w:r w:rsidR="00737499">
              <w:rPr>
                <w:rFonts w:eastAsia="MS Mincho"/>
                <w:b/>
                <w:bCs/>
              </w:rPr>
              <w:t xml:space="preserve"> </w:t>
            </w:r>
            <w:r>
              <w:rPr>
                <w:rFonts w:eastAsia="MS Mincho"/>
                <w:b/>
                <w:bCs/>
              </w:rPr>
              <w:t>1.64)</w:t>
            </w:r>
          </w:p>
        </w:tc>
        <w:tc>
          <w:tcPr>
            <w:tcW w:w="802" w:type="pct"/>
            <w:shd w:val="clear" w:color="auto" w:fill="auto"/>
            <w:vAlign w:val="center"/>
          </w:tcPr>
          <w:p w:rsidR="00A367DA" w:rsidRPr="00AA7977" w:rsidRDefault="00AA7977" w:rsidP="00AF46B1">
            <w:pPr>
              <w:pStyle w:val="Tablewriting"/>
              <w:keepNext/>
              <w:jc w:val="center"/>
              <w:rPr>
                <w:rFonts w:eastAsia="MS Mincho"/>
                <w:b/>
                <w:bCs/>
              </w:rPr>
            </w:pPr>
            <w:r w:rsidRPr="00AA7977">
              <w:rPr>
                <w:rFonts w:eastAsia="MS Mincho"/>
                <w:b/>
                <w:bCs/>
              </w:rPr>
              <w:t>0.05</w:t>
            </w:r>
          </w:p>
          <w:p w:rsidR="00AA7977" w:rsidRPr="00061F78" w:rsidRDefault="00AA7977" w:rsidP="00AF46B1">
            <w:pPr>
              <w:pStyle w:val="Tablewriting"/>
              <w:keepNext/>
              <w:jc w:val="center"/>
              <w:rPr>
                <w:rFonts w:eastAsia="MS Mincho"/>
              </w:rPr>
            </w:pPr>
            <w:r w:rsidRPr="00AA7977">
              <w:rPr>
                <w:rFonts w:eastAsia="MS Mincho"/>
                <w:b/>
                <w:bCs/>
              </w:rPr>
              <w:t>(0.04, 0.07)</w:t>
            </w:r>
          </w:p>
        </w:tc>
      </w:tr>
      <w:tr w:rsidR="001B56E6" w:rsidRPr="00061F78" w:rsidTr="001B309A">
        <w:trPr>
          <w:cantSplit/>
          <w:trHeight w:val="149"/>
        </w:trPr>
        <w:tc>
          <w:tcPr>
            <w:tcW w:w="626" w:type="pct"/>
            <w:vMerge w:val="restart"/>
            <w:tcMar>
              <w:left w:w="28" w:type="dxa"/>
              <w:right w:w="28" w:type="dxa"/>
            </w:tcMar>
          </w:tcPr>
          <w:p w:rsidR="001B56E6" w:rsidRPr="00011FD1" w:rsidRDefault="00011FD1" w:rsidP="00AF46B1">
            <w:pPr>
              <w:pStyle w:val="Tablewriting"/>
              <w:keepNext/>
              <w:rPr>
                <w:rFonts w:eastAsia="MS Mincho"/>
              </w:rPr>
            </w:pPr>
            <w:r>
              <w:rPr>
                <w:rFonts w:eastAsia="MS Mincho"/>
              </w:rPr>
              <w:t>NRT tablets/</w:t>
            </w:r>
            <w:r w:rsidR="00FD339F">
              <w:rPr>
                <w:rFonts w:eastAsia="MS Mincho"/>
              </w:rPr>
              <w:t xml:space="preserve"> </w:t>
            </w:r>
            <w:r>
              <w:rPr>
                <w:rFonts w:eastAsia="MS Mincho"/>
              </w:rPr>
              <w:t>lozenges</w:t>
            </w:r>
          </w:p>
        </w:tc>
        <w:tc>
          <w:tcPr>
            <w:tcW w:w="1095" w:type="pct"/>
            <w:vAlign w:val="center"/>
          </w:tcPr>
          <w:p w:rsidR="00471A04" w:rsidRDefault="00471A04" w:rsidP="00AF46B1">
            <w:pPr>
              <w:pStyle w:val="Tablewriting"/>
              <w:keepNext/>
              <w:jc w:val="center"/>
              <w:rPr>
                <w:rFonts w:eastAsia="MS Mincho"/>
              </w:rPr>
            </w:pPr>
            <w:r>
              <w:rPr>
                <w:rFonts w:eastAsia="MS Mincho"/>
              </w:rPr>
              <w:t>Cochrane Review</w:t>
            </w:r>
          </w:p>
          <w:p w:rsidR="001B56E6" w:rsidRPr="00471A04" w:rsidRDefault="00471A04" w:rsidP="00AF46B1">
            <w:pPr>
              <w:pStyle w:val="Tablewriting"/>
              <w:keepNext/>
              <w:jc w:val="center"/>
              <w:rPr>
                <w:rFonts w:eastAsia="MS Mincho"/>
                <w:vertAlign w:val="superscript"/>
              </w:rPr>
            </w:pPr>
            <w:r>
              <w:rPr>
                <w:rFonts w:eastAsia="MS Mincho"/>
              </w:rPr>
              <w:t>(</w:t>
            </w:r>
            <w:r w:rsidR="009F4894">
              <w:rPr>
                <w:rFonts w:eastAsia="MS Mincho"/>
              </w:rPr>
              <w:t>8 RCTs</w:t>
            </w:r>
            <w:r>
              <w:rPr>
                <w:rFonts w:eastAsia="MS Mincho"/>
              </w:rPr>
              <w:t>)</w:t>
            </w:r>
            <w:r>
              <w:rPr>
                <w:rFonts w:eastAsia="MS Mincho"/>
                <w:vertAlign w:val="superscript"/>
              </w:rPr>
              <w:t>1</w:t>
            </w:r>
          </w:p>
        </w:tc>
        <w:tc>
          <w:tcPr>
            <w:tcW w:w="774" w:type="pct"/>
            <w:tcMar>
              <w:left w:w="28" w:type="dxa"/>
              <w:right w:w="28" w:type="dxa"/>
            </w:tcMar>
            <w:vAlign w:val="center"/>
          </w:tcPr>
          <w:p w:rsidR="001B56E6" w:rsidRPr="0078171D" w:rsidRDefault="00FD7F1C" w:rsidP="00AF46B1">
            <w:pPr>
              <w:pStyle w:val="Tablewriting"/>
              <w:keepNext/>
              <w:jc w:val="center"/>
              <w:rPr>
                <w:rFonts w:eastAsia="MS Mincho"/>
              </w:rPr>
            </w:pPr>
            <w:r>
              <w:rPr>
                <w:rFonts w:eastAsia="MS Mincho"/>
              </w:rPr>
              <w:t>488</w:t>
            </w:r>
            <w:r w:rsidR="001B56E6" w:rsidRPr="0078171D">
              <w:rPr>
                <w:rFonts w:eastAsia="MS Mincho"/>
              </w:rPr>
              <w:t>/</w:t>
            </w:r>
            <w:r w:rsidR="001407D2">
              <w:rPr>
                <w:rFonts w:eastAsia="MS Mincho"/>
              </w:rPr>
              <w:t>2,326</w:t>
            </w:r>
            <w:r w:rsidR="001B56E6" w:rsidRPr="0078171D">
              <w:rPr>
                <w:rFonts w:eastAsia="MS Mincho"/>
              </w:rPr>
              <w:t xml:space="preserve"> </w:t>
            </w:r>
          </w:p>
          <w:p w:rsidR="001B56E6" w:rsidRPr="0078171D" w:rsidRDefault="001B56E6" w:rsidP="00AF46B1">
            <w:pPr>
              <w:pStyle w:val="Tablewriting"/>
              <w:keepNext/>
              <w:jc w:val="center"/>
              <w:rPr>
                <w:rFonts w:eastAsia="MS Mincho"/>
              </w:rPr>
            </w:pPr>
            <w:r w:rsidRPr="0078171D">
              <w:rPr>
                <w:rFonts w:eastAsia="MS Mincho"/>
              </w:rPr>
              <w:t>(</w:t>
            </w:r>
            <w:r w:rsidR="00FD339F">
              <w:rPr>
                <w:rFonts w:eastAsia="MS Mincho"/>
              </w:rPr>
              <w:t>21.0</w:t>
            </w:r>
            <w:r w:rsidRPr="0078171D">
              <w:rPr>
                <w:rFonts w:eastAsia="MS Mincho"/>
              </w:rPr>
              <w:t>%)</w:t>
            </w:r>
          </w:p>
        </w:tc>
        <w:tc>
          <w:tcPr>
            <w:tcW w:w="851" w:type="pct"/>
            <w:tcMar>
              <w:left w:w="28" w:type="dxa"/>
              <w:right w:w="28" w:type="dxa"/>
            </w:tcMar>
            <w:vAlign w:val="center"/>
          </w:tcPr>
          <w:p w:rsidR="001B56E6" w:rsidRPr="0078171D" w:rsidRDefault="00283AC6" w:rsidP="00AF46B1">
            <w:pPr>
              <w:pStyle w:val="Tablewriting"/>
              <w:keepNext/>
              <w:jc w:val="center"/>
              <w:rPr>
                <w:rFonts w:eastAsia="MS Mincho"/>
              </w:rPr>
            </w:pPr>
            <w:r>
              <w:rPr>
                <w:rFonts w:eastAsia="MS Mincho"/>
              </w:rPr>
              <w:t>273</w:t>
            </w:r>
            <w:r w:rsidR="001B56E6" w:rsidRPr="0078171D">
              <w:rPr>
                <w:rFonts w:eastAsia="MS Mincho"/>
              </w:rPr>
              <w:t>/</w:t>
            </w:r>
            <w:r w:rsidR="00892202">
              <w:rPr>
                <w:rFonts w:eastAsia="MS Mincho"/>
              </w:rPr>
              <w:t>2,113</w:t>
            </w:r>
            <w:r w:rsidR="001B56E6" w:rsidRPr="0078171D">
              <w:rPr>
                <w:rFonts w:eastAsia="MS Mincho"/>
              </w:rPr>
              <w:t xml:space="preserve"> </w:t>
            </w:r>
          </w:p>
          <w:p w:rsidR="001B56E6" w:rsidRPr="0078171D" w:rsidRDefault="001B56E6" w:rsidP="00AF46B1">
            <w:pPr>
              <w:pStyle w:val="Tablewriting"/>
              <w:keepNext/>
              <w:jc w:val="center"/>
              <w:rPr>
                <w:rFonts w:eastAsia="MS Mincho"/>
              </w:rPr>
            </w:pPr>
            <w:r w:rsidRPr="0078171D">
              <w:rPr>
                <w:rFonts w:eastAsia="MS Mincho"/>
              </w:rPr>
              <w:t>(</w:t>
            </w:r>
            <w:r w:rsidR="00FD339F">
              <w:rPr>
                <w:rFonts w:eastAsia="MS Mincho"/>
              </w:rPr>
              <w:t>12.9</w:t>
            </w:r>
            <w:r w:rsidRPr="0078171D">
              <w:rPr>
                <w:rFonts w:eastAsia="MS Mincho"/>
              </w:rPr>
              <w:t>%)</w:t>
            </w:r>
          </w:p>
        </w:tc>
        <w:tc>
          <w:tcPr>
            <w:tcW w:w="851" w:type="pct"/>
            <w:tcMar>
              <w:left w:w="28" w:type="dxa"/>
              <w:right w:w="28" w:type="dxa"/>
            </w:tcMar>
            <w:vAlign w:val="center"/>
          </w:tcPr>
          <w:p w:rsidR="001B56E6" w:rsidRDefault="001B56E6" w:rsidP="00AF46B1">
            <w:pPr>
              <w:pStyle w:val="Tablewriting"/>
              <w:keepNext/>
              <w:jc w:val="center"/>
              <w:rPr>
                <w:rFonts w:eastAsia="MS Mincho"/>
                <w:b/>
                <w:bCs/>
              </w:rPr>
            </w:pPr>
            <w:r>
              <w:rPr>
                <w:rFonts w:eastAsia="MS Mincho"/>
                <w:b/>
                <w:bCs/>
              </w:rPr>
              <w:t>1.</w:t>
            </w:r>
            <w:r w:rsidR="007C4A1E">
              <w:rPr>
                <w:rFonts w:eastAsia="MS Mincho"/>
                <w:b/>
                <w:bCs/>
              </w:rPr>
              <w:t>52</w:t>
            </w:r>
          </w:p>
          <w:p w:rsidR="001B56E6" w:rsidRPr="0078171D" w:rsidRDefault="001B56E6" w:rsidP="00AF46B1">
            <w:pPr>
              <w:pStyle w:val="Tablewriting"/>
              <w:keepNext/>
              <w:jc w:val="center"/>
              <w:rPr>
                <w:rFonts w:eastAsia="MS Mincho"/>
              </w:rPr>
            </w:pPr>
            <w:r>
              <w:rPr>
                <w:rFonts w:eastAsia="MS Mincho"/>
                <w:b/>
                <w:bCs/>
              </w:rPr>
              <w:t>(1.</w:t>
            </w:r>
            <w:r w:rsidR="007C4A1E">
              <w:rPr>
                <w:rFonts w:eastAsia="MS Mincho"/>
                <w:b/>
                <w:bCs/>
              </w:rPr>
              <w:t>32</w:t>
            </w:r>
            <w:r>
              <w:rPr>
                <w:rFonts w:eastAsia="MS Mincho"/>
                <w:b/>
                <w:bCs/>
              </w:rPr>
              <w:t>, 1.7</w:t>
            </w:r>
            <w:r w:rsidR="00891331">
              <w:rPr>
                <w:rFonts w:eastAsia="MS Mincho"/>
                <w:b/>
                <w:bCs/>
              </w:rPr>
              <w:t>4</w:t>
            </w:r>
            <w:r>
              <w:rPr>
                <w:rFonts w:eastAsia="MS Mincho"/>
                <w:b/>
                <w:bCs/>
              </w:rPr>
              <w:t>)</w:t>
            </w:r>
          </w:p>
        </w:tc>
        <w:tc>
          <w:tcPr>
            <w:tcW w:w="802" w:type="pct"/>
            <w:vAlign w:val="center"/>
          </w:tcPr>
          <w:p w:rsidR="001B56E6" w:rsidRPr="00061F78" w:rsidRDefault="00471A04" w:rsidP="00AF46B1">
            <w:pPr>
              <w:pStyle w:val="Tablewriting"/>
              <w:keepNext/>
              <w:jc w:val="center"/>
              <w:rPr>
                <w:rFonts w:eastAsia="MS Mincho"/>
              </w:rPr>
            </w:pPr>
            <w:r>
              <w:rPr>
                <w:rFonts w:eastAsia="MS Mincho"/>
              </w:rPr>
              <w:t>NR</w:t>
            </w:r>
          </w:p>
        </w:tc>
      </w:tr>
      <w:tr w:rsidR="00445771" w:rsidRPr="00061F78" w:rsidTr="001B309A">
        <w:trPr>
          <w:cantSplit/>
          <w:trHeight w:val="149"/>
        </w:trPr>
        <w:tc>
          <w:tcPr>
            <w:tcW w:w="626" w:type="pct"/>
            <w:vMerge/>
            <w:tcMar>
              <w:left w:w="28" w:type="dxa"/>
              <w:right w:w="28" w:type="dxa"/>
            </w:tcMar>
          </w:tcPr>
          <w:p w:rsidR="00445771" w:rsidRDefault="00445771" w:rsidP="00AF46B1">
            <w:pPr>
              <w:pStyle w:val="Tablewriting"/>
              <w:keepNext/>
              <w:rPr>
                <w:rFonts w:eastAsia="MS Mincho"/>
              </w:rPr>
            </w:pPr>
          </w:p>
        </w:tc>
        <w:tc>
          <w:tcPr>
            <w:tcW w:w="1095" w:type="pct"/>
            <w:vAlign w:val="center"/>
          </w:tcPr>
          <w:p w:rsidR="00445771" w:rsidRPr="00471A04" w:rsidRDefault="00445771" w:rsidP="00AF46B1">
            <w:pPr>
              <w:pStyle w:val="Tablewriting"/>
              <w:keepNext/>
              <w:jc w:val="center"/>
              <w:rPr>
                <w:rFonts w:eastAsia="MS Mincho"/>
                <w:vertAlign w:val="superscript"/>
              </w:rPr>
            </w:pPr>
            <w:r>
              <w:rPr>
                <w:rFonts w:eastAsia="MS Mincho"/>
              </w:rPr>
              <w:t>Updated re-analysis (9 RCTs)</w:t>
            </w:r>
            <w:r w:rsidR="00471A04">
              <w:rPr>
                <w:rFonts w:eastAsia="MS Mincho"/>
                <w:vertAlign w:val="superscript"/>
              </w:rPr>
              <w:t>2</w:t>
            </w:r>
          </w:p>
        </w:tc>
        <w:tc>
          <w:tcPr>
            <w:tcW w:w="774" w:type="pct"/>
            <w:tcMar>
              <w:left w:w="28" w:type="dxa"/>
              <w:right w:w="28" w:type="dxa"/>
            </w:tcMar>
            <w:vAlign w:val="center"/>
          </w:tcPr>
          <w:p w:rsidR="00445771" w:rsidRDefault="00EC4B33" w:rsidP="00AF46B1">
            <w:pPr>
              <w:pStyle w:val="Tablewriting"/>
              <w:keepNext/>
              <w:jc w:val="center"/>
              <w:rPr>
                <w:rFonts w:eastAsia="MS Mincho"/>
              </w:rPr>
            </w:pPr>
            <w:r>
              <w:rPr>
                <w:rFonts w:eastAsia="MS Mincho"/>
              </w:rPr>
              <w:t>533/</w:t>
            </w:r>
            <w:r w:rsidR="00E9376B">
              <w:rPr>
                <w:rFonts w:eastAsia="MS Mincho"/>
              </w:rPr>
              <w:t>2,687</w:t>
            </w:r>
          </w:p>
          <w:p w:rsidR="00E9376B" w:rsidRDefault="00E9376B" w:rsidP="00AF46B1">
            <w:pPr>
              <w:pStyle w:val="Tablewriting"/>
              <w:keepNext/>
              <w:jc w:val="center"/>
              <w:rPr>
                <w:rFonts w:eastAsia="MS Mincho"/>
              </w:rPr>
            </w:pPr>
            <w:r>
              <w:rPr>
                <w:rFonts w:eastAsia="MS Mincho"/>
              </w:rPr>
              <w:t>(</w:t>
            </w:r>
            <w:r w:rsidR="00F1764B">
              <w:rPr>
                <w:rFonts w:eastAsia="MS Mincho"/>
              </w:rPr>
              <w:t>19.8</w:t>
            </w:r>
            <w:r>
              <w:rPr>
                <w:rFonts w:eastAsia="MS Mincho"/>
              </w:rPr>
              <w:t>%)</w:t>
            </w:r>
          </w:p>
        </w:tc>
        <w:tc>
          <w:tcPr>
            <w:tcW w:w="851" w:type="pct"/>
            <w:tcMar>
              <w:left w:w="28" w:type="dxa"/>
              <w:right w:w="28" w:type="dxa"/>
            </w:tcMar>
            <w:vAlign w:val="center"/>
          </w:tcPr>
          <w:p w:rsidR="00445771" w:rsidRDefault="00E9376B" w:rsidP="00AF46B1">
            <w:pPr>
              <w:pStyle w:val="Tablewriting"/>
              <w:keepNext/>
              <w:jc w:val="center"/>
              <w:rPr>
                <w:rFonts w:eastAsia="MS Mincho"/>
              </w:rPr>
            </w:pPr>
            <w:r>
              <w:rPr>
                <w:rFonts w:eastAsia="MS Mincho"/>
              </w:rPr>
              <w:t>312/2,475</w:t>
            </w:r>
          </w:p>
          <w:p w:rsidR="00E9376B" w:rsidRDefault="00E9376B" w:rsidP="00AF46B1">
            <w:pPr>
              <w:pStyle w:val="Tablewriting"/>
              <w:keepNext/>
              <w:jc w:val="center"/>
              <w:rPr>
                <w:rFonts w:eastAsia="MS Mincho"/>
              </w:rPr>
            </w:pPr>
            <w:r>
              <w:rPr>
                <w:rFonts w:eastAsia="MS Mincho"/>
              </w:rPr>
              <w:t>(</w:t>
            </w:r>
            <w:r w:rsidR="00F1764B">
              <w:rPr>
                <w:rFonts w:eastAsia="MS Mincho"/>
              </w:rPr>
              <w:t>12.6</w:t>
            </w:r>
            <w:r>
              <w:rPr>
                <w:rFonts w:eastAsia="MS Mincho"/>
              </w:rPr>
              <w:t>%)</w:t>
            </w:r>
          </w:p>
        </w:tc>
        <w:tc>
          <w:tcPr>
            <w:tcW w:w="851" w:type="pct"/>
            <w:tcMar>
              <w:left w:w="28" w:type="dxa"/>
              <w:right w:w="28" w:type="dxa"/>
            </w:tcMar>
            <w:vAlign w:val="center"/>
          </w:tcPr>
          <w:p w:rsidR="00445771" w:rsidRDefault="00E9376B" w:rsidP="00AF46B1">
            <w:pPr>
              <w:pStyle w:val="Tablewriting"/>
              <w:keepNext/>
              <w:jc w:val="center"/>
              <w:rPr>
                <w:rFonts w:eastAsia="MS Mincho"/>
                <w:b/>
                <w:bCs/>
              </w:rPr>
            </w:pPr>
            <w:r>
              <w:rPr>
                <w:rFonts w:eastAsia="MS Mincho"/>
                <w:b/>
                <w:bCs/>
              </w:rPr>
              <w:t>1.62</w:t>
            </w:r>
          </w:p>
          <w:p w:rsidR="00E9376B" w:rsidRDefault="00E9376B" w:rsidP="00AF46B1">
            <w:pPr>
              <w:pStyle w:val="Tablewriting"/>
              <w:keepNext/>
              <w:jc w:val="center"/>
              <w:rPr>
                <w:rFonts w:eastAsia="MS Mincho"/>
                <w:b/>
                <w:bCs/>
              </w:rPr>
            </w:pPr>
            <w:r>
              <w:rPr>
                <w:rFonts w:eastAsia="MS Mincho"/>
                <w:b/>
                <w:bCs/>
              </w:rPr>
              <w:t>(1.24, 2.10)</w:t>
            </w:r>
          </w:p>
        </w:tc>
        <w:tc>
          <w:tcPr>
            <w:tcW w:w="802" w:type="pct"/>
            <w:vAlign w:val="center"/>
          </w:tcPr>
          <w:p w:rsidR="00445771" w:rsidRPr="00E12B9B" w:rsidRDefault="00E12B9B" w:rsidP="00AF46B1">
            <w:pPr>
              <w:pStyle w:val="Tablewriting"/>
              <w:keepNext/>
              <w:jc w:val="center"/>
              <w:rPr>
                <w:rFonts w:eastAsia="MS Mincho"/>
                <w:b/>
                <w:bCs/>
              </w:rPr>
            </w:pPr>
            <w:r w:rsidRPr="00E12B9B">
              <w:rPr>
                <w:rFonts w:eastAsia="MS Mincho"/>
                <w:b/>
                <w:bCs/>
              </w:rPr>
              <w:t>0.06</w:t>
            </w:r>
          </w:p>
          <w:p w:rsidR="00E12B9B" w:rsidRPr="00061F78" w:rsidRDefault="00E12B9B" w:rsidP="00AF46B1">
            <w:pPr>
              <w:pStyle w:val="Tablewriting"/>
              <w:keepNext/>
              <w:jc w:val="center"/>
              <w:rPr>
                <w:rFonts w:eastAsia="MS Mincho"/>
              </w:rPr>
            </w:pPr>
            <w:r w:rsidRPr="00E12B9B">
              <w:rPr>
                <w:rFonts w:eastAsia="MS Mincho"/>
                <w:b/>
                <w:bCs/>
              </w:rPr>
              <w:t>(0.04, 0.09)</w:t>
            </w:r>
          </w:p>
        </w:tc>
      </w:tr>
    </w:tbl>
    <w:p w:rsidR="005F1AFB" w:rsidRDefault="005F1AFB" w:rsidP="005F1AFB">
      <w:pPr>
        <w:pStyle w:val="TableFooter"/>
        <w:keepNext/>
      </w:pPr>
      <w:r>
        <w:t>Source: Hartmann-Boyce et al. (2018)</w:t>
      </w:r>
      <w:r w:rsidR="004261A1">
        <w:t>, Shiffman et al. (2020), Xiao et al. (2020)</w:t>
      </w:r>
    </w:p>
    <w:p w:rsidR="00261067" w:rsidRDefault="00261067" w:rsidP="00261067">
      <w:pPr>
        <w:pStyle w:val="TableFooter"/>
        <w:keepNext/>
        <w:rPr>
          <w:i/>
        </w:rPr>
      </w:pPr>
      <w:r>
        <w:t xml:space="preserve">Abbreviations: CI = confidence interval; </w:t>
      </w:r>
      <w:r w:rsidR="0070588D">
        <w:t xml:space="preserve">NR = not reported; </w:t>
      </w:r>
      <w:r>
        <w:t>RCT = randomised controlled trial; RD = risk difference; RR = risk ratio</w:t>
      </w:r>
      <w:r w:rsidRPr="00061F78">
        <w:t xml:space="preserve"> </w:t>
      </w:r>
    </w:p>
    <w:p w:rsidR="00261067" w:rsidRDefault="00261067" w:rsidP="00261067">
      <w:pPr>
        <w:pStyle w:val="TableFooter"/>
        <w:keepNext/>
      </w:pPr>
      <w:r w:rsidRPr="00D468CF">
        <w:t>Note</w:t>
      </w:r>
      <w:r>
        <w:t>s</w:t>
      </w:r>
      <w:r w:rsidRPr="00D468CF">
        <w:t>: Bold indicates statistically significant difference.</w:t>
      </w:r>
      <w:r w:rsidR="00E21170">
        <w:t xml:space="preserve"> </w:t>
      </w:r>
      <w:r w:rsidR="00E21170" w:rsidRPr="00E21170">
        <w:t xml:space="preserve">See </w:t>
      </w:r>
      <w:r w:rsidR="00E21170" w:rsidRPr="00BB5100">
        <w:t>Appendix</w:t>
      </w:r>
      <w:r w:rsidR="00E21170">
        <w:t xml:space="preserve"> </w:t>
      </w:r>
      <w:r w:rsidR="003C4A1C">
        <w:t xml:space="preserve">Figure </w:t>
      </w:r>
      <w:r w:rsidR="003C4A1C">
        <w:rPr>
          <w:noProof/>
        </w:rPr>
        <w:t>69</w:t>
      </w:r>
      <w:r w:rsidR="00E21170" w:rsidRPr="00E21170">
        <w:t xml:space="preserve"> </w:t>
      </w:r>
      <w:r w:rsidR="00B31B4F">
        <w:t xml:space="preserve">and </w:t>
      </w:r>
      <w:r w:rsidR="003C4A1C">
        <w:t xml:space="preserve">Figure </w:t>
      </w:r>
      <w:r w:rsidR="003C4A1C">
        <w:rPr>
          <w:noProof/>
        </w:rPr>
        <w:t>70</w:t>
      </w:r>
      <w:r w:rsidR="00B31B4F">
        <w:t xml:space="preserve"> </w:t>
      </w:r>
      <w:r w:rsidR="00E21170" w:rsidRPr="00E21170">
        <w:t xml:space="preserve">for forest plots of </w:t>
      </w:r>
      <w:r w:rsidR="00413A2B">
        <w:t>the updated re-analysis</w:t>
      </w:r>
      <w:r w:rsidR="00E21170" w:rsidRPr="00E21170">
        <w:t xml:space="preserve"> which included the results of individual studies.</w:t>
      </w:r>
    </w:p>
    <w:p w:rsidR="00261067" w:rsidRDefault="00BB1CB3" w:rsidP="00261067">
      <w:pPr>
        <w:pStyle w:val="TableFooter"/>
        <w:keepNext/>
      </w:pPr>
      <w:r w:rsidRPr="00BB5100">
        <w:t>1</w:t>
      </w:r>
      <w:r w:rsidR="00261067" w:rsidRPr="00BB5100">
        <w:t xml:space="preserve"> Calculated </w:t>
      </w:r>
      <w:r w:rsidR="00471A04" w:rsidRPr="00BB5100">
        <w:t xml:space="preserve">by Cochrane Review authors </w:t>
      </w:r>
      <w:r w:rsidR="00261067" w:rsidRPr="00BB5100">
        <w:t>using a fixed-effect model</w:t>
      </w:r>
      <w:r w:rsidR="00AB5FA3">
        <w:t>.</w:t>
      </w:r>
    </w:p>
    <w:p w:rsidR="001E4A5F" w:rsidRDefault="001E4A5F" w:rsidP="00261067">
      <w:pPr>
        <w:pStyle w:val="TableFooter"/>
        <w:keepNext/>
      </w:pPr>
      <w:r w:rsidRPr="00BB5100">
        <w:t xml:space="preserve">2 </w:t>
      </w:r>
      <w:r w:rsidR="006244FB" w:rsidRPr="00BB5100">
        <w:t>Calculated during the review using a random-effect model</w:t>
      </w:r>
      <w:r w:rsidR="006244FB">
        <w:t>.</w:t>
      </w:r>
    </w:p>
    <w:p w:rsidR="00261067" w:rsidRDefault="000A139F" w:rsidP="000A139F">
      <w:r w:rsidRPr="00E55811">
        <w:t>Hartmann-Boyce et al. (2018)</w:t>
      </w:r>
      <w:r>
        <w:t xml:space="preserve"> conducted subgroup analyses to determine whether </w:t>
      </w:r>
      <w:r w:rsidR="00C37078">
        <w:t xml:space="preserve">NRT </w:t>
      </w:r>
      <w:r w:rsidR="00573F59">
        <w:t>patches</w:t>
      </w:r>
      <w:r w:rsidR="00C37078">
        <w:t xml:space="preserve"> or gum</w:t>
      </w:r>
      <w:r>
        <w:t xml:space="preserve"> had differential effects based on the </w:t>
      </w:r>
      <w:r w:rsidR="00C37078">
        <w:t xml:space="preserve">definition of abstinence and </w:t>
      </w:r>
      <w:r>
        <w:t xml:space="preserve">level of behavioural support. </w:t>
      </w:r>
      <w:r w:rsidR="00FC53CC">
        <w:t xml:space="preserve">For </w:t>
      </w:r>
      <w:r w:rsidR="005F7611">
        <w:t xml:space="preserve">NRT </w:t>
      </w:r>
      <w:r w:rsidR="00573F59">
        <w:t>patches</w:t>
      </w:r>
      <w:r w:rsidR="00FC53CC">
        <w:t>, t</w:t>
      </w:r>
      <w:r>
        <w:t>he authors stated that there was no evidence of a differential effect on smoking cessation between subgroups. The test for subgroup differences was not significant in both subgroup analyses (</w:t>
      </w:r>
      <w:r w:rsidR="0038411E">
        <w:t>P</w:t>
      </w:r>
      <w:r>
        <w:t>=0.</w:t>
      </w:r>
      <w:r w:rsidR="008767E6">
        <w:t>66</w:t>
      </w:r>
      <w:r>
        <w:t xml:space="preserve"> </w:t>
      </w:r>
      <w:r w:rsidR="008767E6">
        <w:t xml:space="preserve">for definition of abstinence and </w:t>
      </w:r>
      <w:r w:rsidR="0038411E">
        <w:t>P</w:t>
      </w:r>
      <w:r w:rsidR="008767E6">
        <w:t xml:space="preserve">=0.65 </w:t>
      </w:r>
      <w:r>
        <w:t xml:space="preserve">for behavioural support). </w:t>
      </w:r>
    </w:p>
    <w:p w:rsidR="008767E6" w:rsidRDefault="008767E6" w:rsidP="00562F3C">
      <w:r>
        <w:t xml:space="preserve">For NRT gum, </w:t>
      </w:r>
      <w:r w:rsidR="00BB1E80">
        <w:t>the test for subgroup differences was significant in both subgroup analyses (</w:t>
      </w:r>
      <w:r w:rsidR="00161709">
        <w:t>P</w:t>
      </w:r>
      <w:r w:rsidR="00BB1E80">
        <w:t xml:space="preserve">&lt;0.0001 for definition of abstinence and </w:t>
      </w:r>
      <w:r w:rsidR="00161709">
        <w:t>P</w:t>
      </w:r>
      <w:r w:rsidR="00BB1E80">
        <w:t xml:space="preserve">=0.03 for behavioural support). </w:t>
      </w:r>
      <w:r w:rsidR="0098203E">
        <w:t>For definition of abstinence, t</w:t>
      </w:r>
      <w:r w:rsidR="008F0B3A">
        <w:t>h</w:t>
      </w:r>
      <w:r w:rsidR="00562F3C">
        <w:t>e</w:t>
      </w:r>
      <w:r w:rsidR="007662F4">
        <w:t xml:space="preserve"> confidence interval of the</w:t>
      </w:r>
      <w:r w:rsidR="00562F3C">
        <w:t xml:space="preserve"> subgroup reporting sustained abstinence at six months</w:t>
      </w:r>
      <w:r w:rsidR="001B07DF">
        <w:t xml:space="preserve"> did not overlap</w:t>
      </w:r>
      <w:r w:rsidR="00CB7A3D">
        <w:t xml:space="preserve"> with</w:t>
      </w:r>
      <w:r w:rsidR="006E22FE">
        <w:t xml:space="preserve"> sustained abstinence at 12 months</w:t>
      </w:r>
      <w:r w:rsidR="00F64D55">
        <w:t>,</w:t>
      </w:r>
      <w:r w:rsidR="00F64D55" w:rsidRPr="00F64D55">
        <w:t xml:space="preserve"> point prevalence or unclear definition at 12 months, and point prevalence</w:t>
      </w:r>
      <w:r w:rsidR="00F64D55">
        <w:t xml:space="preserve"> or </w:t>
      </w:r>
      <w:r w:rsidR="00F64D55" w:rsidRPr="00F64D55">
        <w:t>unclear</w:t>
      </w:r>
      <w:r w:rsidR="00F64D55">
        <w:t xml:space="preserve"> definition</w:t>
      </w:r>
      <w:r w:rsidR="00F64D55" w:rsidRPr="00F64D55">
        <w:t xml:space="preserve"> at six months</w:t>
      </w:r>
      <w:r w:rsidR="00F64D55">
        <w:t xml:space="preserve"> subgroups</w:t>
      </w:r>
      <w:r w:rsidR="007F7E3C">
        <w:t xml:space="preserve">. </w:t>
      </w:r>
      <w:r w:rsidR="00B84DDD">
        <w:t xml:space="preserve">For level of behavioural support, </w:t>
      </w:r>
      <w:r w:rsidR="00FD5C21">
        <w:t xml:space="preserve">the authors stated there was no evidence of a significantly different effect between groups. It was observed that </w:t>
      </w:r>
      <w:r w:rsidR="0088166B">
        <w:t xml:space="preserve">all subgroups were statistically significant, in favour of NRT gum, </w:t>
      </w:r>
      <w:r w:rsidR="003C0620">
        <w:t xml:space="preserve">irrespective of </w:t>
      </w:r>
      <w:r w:rsidR="000943EA">
        <w:t xml:space="preserve">the </w:t>
      </w:r>
      <w:r w:rsidR="003C0620" w:rsidRPr="003C0620">
        <w:t>definition of abstinence and level of behavioural support</w:t>
      </w:r>
      <w:r w:rsidR="003C0620">
        <w:t>.</w:t>
      </w:r>
      <w:r w:rsidR="000A40B0">
        <w:t xml:space="preserve"> However, the test for subgroup differences was statistically significant</w:t>
      </w:r>
      <w:r w:rsidR="007F751E">
        <w:t xml:space="preserve"> and </w:t>
      </w:r>
      <w:r w:rsidR="00015CD6">
        <w:t xml:space="preserve">this </w:t>
      </w:r>
      <w:r w:rsidR="007F751E">
        <w:t>may be attributed to the high level of heterogeneity across studies (I</w:t>
      </w:r>
      <w:r w:rsidR="007F751E" w:rsidRPr="00015CD6">
        <w:rPr>
          <w:vertAlign w:val="superscript"/>
        </w:rPr>
        <w:t>2</w:t>
      </w:r>
      <w:r w:rsidR="007F751E">
        <w:t>=72.83%)</w:t>
      </w:r>
      <w:r w:rsidR="000A40B0">
        <w:t>.</w:t>
      </w:r>
    </w:p>
    <w:p w:rsidR="0000627D" w:rsidRPr="0073597F" w:rsidRDefault="00AB155B" w:rsidP="00AB155B">
      <w:pPr>
        <w:rPr>
          <w:u w:val="single"/>
        </w:rPr>
      </w:pPr>
      <w:r w:rsidRPr="0073597F">
        <w:rPr>
          <w:u w:val="single"/>
        </w:rPr>
        <w:t>Safety</w:t>
      </w:r>
    </w:p>
    <w:p w:rsidR="00917069" w:rsidRDefault="00465285" w:rsidP="00917069">
      <w:r>
        <w:t>T</w:t>
      </w:r>
      <w:r w:rsidR="00917069">
        <w:t>he incidence of</w:t>
      </w:r>
      <w:r w:rsidR="000203C8">
        <w:t xml:space="preserve"> any</w:t>
      </w:r>
      <w:r w:rsidR="00917069">
        <w:t xml:space="preserve"> adverse events</w:t>
      </w:r>
      <w:r>
        <w:t xml:space="preserve"> was not </w:t>
      </w:r>
      <w:r w:rsidR="00DF086E">
        <w:t xml:space="preserve">synthesised quantitatively </w:t>
      </w:r>
      <w:r w:rsidR="003876BC">
        <w:t xml:space="preserve">by either of the Cochrane </w:t>
      </w:r>
      <w:r w:rsidR="00C852C6">
        <w:t>R</w:t>
      </w:r>
      <w:r w:rsidR="003876BC">
        <w:t>eviews due to the</w:t>
      </w:r>
      <w:r w:rsidR="00917069">
        <w:t xml:space="preserve"> extensive variation in reporting of the nature, timing and duration of symptoms.</w:t>
      </w:r>
    </w:p>
    <w:p w:rsidR="00C81B4E" w:rsidRDefault="00D776EA" w:rsidP="00621B0D">
      <w:r>
        <w:lastRenderedPageBreak/>
        <w:t xml:space="preserve">Hartmann-Boyce et al. (2018) </w:t>
      </w:r>
      <w:r w:rsidR="00621B0D">
        <w:t xml:space="preserve">stated that the </w:t>
      </w:r>
      <w:r w:rsidR="004A7254" w:rsidRPr="004A7254">
        <w:t>only</w:t>
      </w:r>
      <w:r w:rsidR="004A7254">
        <w:t xml:space="preserve"> </w:t>
      </w:r>
      <w:r w:rsidR="004A7254" w:rsidRPr="004A7254">
        <w:t>adverse event that appear</w:t>
      </w:r>
      <w:r w:rsidR="00E72B91">
        <w:t>ed</w:t>
      </w:r>
      <w:r w:rsidR="004A7254" w:rsidRPr="004A7254">
        <w:t xml:space="preserve"> to interfere with use of the patch </w:t>
      </w:r>
      <w:r w:rsidR="008446EA">
        <w:t>wa</w:t>
      </w:r>
      <w:r w:rsidR="004A7254" w:rsidRPr="004A7254">
        <w:t>s skin</w:t>
      </w:r>
      <w:r w:rsidR="004A7254">
        <w:t xml:space="preserve"> </w:t>
      </w:r>
      <w:r w:rsidR="004A7254" w:rsidRPr="004A7254">
        <w:t xml:space="preserve">sensitivity and local skin irritation; this may </w:t>
      </w:r>
      <w:r w:rsidR="008446EA">
        <w:t xml:space="preserve">have </w:t>
      </w:r>
      <w:r w:rsidR="004A7254" w:rsidRPr="004A7254">
        <w:t>a</w:t>
      </w:r>
      <w:r w:rsidR="004A7254">
        <w:t>ff</w:t>
      </w:r>
      <w:r w:rsidR="004A7254" w:rsidRPr="004A7254">
        <w:t>ect</w:t>
      </w:r>
      <w:r w:rsidR="008446EA">
        <w:t>ed</w:t>
      </w:r>
      <w:r w:rsidR="004A7254" w:rsidRPr="004A7254">
        <w:t xml:space="preserve"> up to 54% of</w:t>
      </w:r>
      <w:r w:rsidR="004A7254">
        <w:t xml:space="preserve"> </w:t>
      </w:r>
      <w:r w:rsidR="004A7254" w:rsidRPr="004A7254">
        <w:t xml:space="preserve">patch users, but it </w:t>
      </w:r>
      <w:r w:rsidR="008446EA">
        <w:t>wa</w:t>
      </w:r>
      <w:r w:rsidR="004A7254" w:rsidRPr="004A7254">
        <w:t>s usually mild and rarely led to withdrawal</w:t>
      </w:r>
      <w:r w:rsidR="004A7254">
        <w:t xml:space="preserve"> </w:t>
      </w:r>
      <w:r w:rsidR="004A7254" w:rsidRPr="004A7254">
        <w:t>of patch use.</w:t>
      </w:r>
      <w:r w:rsidR="00621B0D">
        <w:t xml:space="preserve"> The most common adverse events usually reported with nicotine gum include hiccoughs, gastrointestinal disturbances, jaw pain, and orodental problems.</w:t>
      </w:r>
    </w:p>
    <w:p w:rsidR="00AB155B" w:rsidRDefault="00AA0F3C" w:rsidP="00AB155B">
      <w:r>
        <w:t xml:space="preserve">The results of the meta-analysis of </w:t>
      </w:r>
      <w:r w:rsidR="00FE4BEB">
        <w:t xml:space="preserve">reports of palpitations, tachycardia or chest pains </w:t>
      </w:r>
      <w:r w:rsidR="007F751E">
        <w:t>based on the updated re-analysis of</w:t>
      </w:r>
      <w:r w:rsidR="00FE4BEB">
        <w:t xml:space="preserve"> </w:t>
      </w:r>
      <w:r w:rsidR="001131F1">
        <w:t xml:space="preserve">Hartmann-Boyce et al. (2018) are presented in </w:t>
      </w:r>
      <w:r w:rsidR="003C4A1C">
        <w:t xml:space="preserve">Figure </w:t>
      </w:r>
      <w:r w:rsidR="003C4A1C">
        <w:rPr>
          <w:noProof/>
        </w:rPr>
        <w:t>6</w:t>
      </w:r>
      <w:r w:rsidR="00AA6694">
        <w:t xml:space="preserve">, noting that the studies included in this analysis comprised </w:t>
      </w:r>
      <w:r w:rsidR="000D0D86">
        <w:t>various forms of NRT</w:t>
      </w:r>
      <w:r w:rsidR="00626C68">
        <w:t>s</w:t>
      </w:r>
      <w:r w:rsidR="001131F1">
        <w:t>.</w:t>
      </w:r>
      <w:r w:rsidR="000D0D86">
        <w:t xml:space="preserve"> The odds ratio of chest pains or palpitations for any form of NRT relative to control was</w:t>
      </w:r>
      <w:r w:rsidR="00803F79">
        <w:t xml:space="preserve"> statistically significant</w:t>
      </w:r>
      <w:r w:rsidR="000D0D86">
        <w:t xml:space="preserve"> </w:t>
      </w:r>
      <w:r w:rsidR="0062498E">
        <w:t xml:space="preserve">(OR: </w:t>
      </w:r>
      <w:r w:rsidR="000D0D86">
        <w:t>1.8</w:t>
      </w:r>
      <w:r w:rsidR="00713BC2">
        <w:t>4</w:t>
      </w:r>
      <w:r w:rsidR="0062498E">
        <w:t xml:space="preserve">; </w:t>
      </w:r>
      <w:r w:rsidR="000D0D86">
        <w:t>95% CI: 1.3</w:t>
      </w:r>
      <w:r w:rsidR="00713BC2">
        <w:t>2</w:t>
      </w:r>
      <w:r w:rsidR="000D0D86">
        <w:t>, 2.5</w:t>
      </w:r>
      <w:r w:rsidR="00713BC2">
        <w:t>6</w:t>
      </w:r>
      <w:r w:rsidR="000D0D86">
        <w:t xml:space="preserve">). </w:t>
      </w:r>
      <w:r w:rsidR="008E5DB3">
        <w:t xml:space="preserve">The authors of the study </w:t>
      </w:r>
      <w:r w:rsidR="00F251F4">
        <w:t>highlighted that c</w:t>
      </w:r>
      <w:r w:rsidR="008E5DB3">
        <w:t>hest pains and heart palpitations were an</w:t>
      </w:r>
      <w:r w:rsidR="00F251F4">
        <w:t xml:space="preserve"> </w:t>
      </w:r>
      <w:r w:rsidR="008E5DB3">
        <w:t>extremely</w:t>
      </w:r>
      <w:r w:rsidR="00F251F4">
        <w:t xml:space="preserve"> </w:t>
      </w:r>
      <w:r w:rsidR="008E5DB3">
        <w:t>rare event, occurring at a rate of 2.5% in the NRT groups compared</w:t>
      </w:r>
      <w:r w:rsidR="00F251F4">
        <w:t xml:space="preserve"> </w:t>
      </w:r>
      <w:r w:rsidR="008E5DB3">
        <w:t xml:space="preserve">with 1.4% in the control groups in the 15 trials </w:t>
      </w:r>
      <w:r w:rsidR="00626C68">
        <w:t xml:space="preserve">in </w:t>
      </w:r>
      <w:r w:rsidR="008E5DB3">
        <w:t>which</w:t>
      </w:r>
      <w:r w:rsidR="00626C68">
        <w:t xml:space="preserve"> they</w:t>
      </w:r>
      <w:r w:rsidR="008E5DB3">
        <w:t xml:space="preserve"> were</w:t>
      </w:r>
      <w:r w:rsidR="00F251F4">
        <w:t xml:space="preserve"> </w:t>
      </w:r>
      <w:r w:rsidR="008E5DB3">
        <w:t>reporte</w:t>
      </w:r>
      <w:r w:rsidR="009D3F32">
        <w:t>d</w:t>
      </w:r>
      <w:r w:rsidR="008E5DB3">
        <w:t>.</w:t>
      </w:r>
    </w:p>
    <w:p w:rsidR="00FE4BEB" w:rsidRDefault="004D1740" w:rsidP="00FE4BEB">
      <w:pPr>
        <w:keepNext/>
      </w:pPr>
      <w:r w:rsidRPr="004D1740">
        <w:t xml:space="preserve"> </w:t>
      </w:r>
      <w:r>
        <w:rPr>
          <w:noProof/>
        </w:rPr>
        <w:drawing>
          <wp:inline distT="0" distB="0" distL="0" distR="0" wp14:anchorId="4D465FC3" wp14:editId="1219B51E">
            <wp:extent cx="5731510" cy="2768600"/>
            <wp:effectExtent l="0" t="0" r="254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2768600"/>
                    </a:xfrm>
                    <a:prstGeom prst="rect">
                      <a:avLst/>
                    </a:prstGeom>
                    <a:noFill/>
                    <a:ln>
                      <a:noFill/>
                    </a:ln>
                  </pic:spPr>
                </pic:pic>
              </a:graphicData>
            </a:graphic>
          </wp:inline>
        </w:drawing>
      </w:r>
    </w:p>
    <w:p w:rsidR="00046A12" w:rsidRDefault="00FE4BEB" w:rsidP="00FE4BEB">
      <w:pPr>
        <w:pStyle w:val="Caption"/>
      </w:pPr>
      <w:bookmarkStart w:id="93" w:name="_Ref54340348"/>
      <w:r>
        <w:t xml:space="preserve">Figure </w:t>
      </w:r>
      <w:r w:rsidR="003C4A1C">
        <w:rPr>
          <w:noProof/>
        </w:rPr>
        <w:t>6</w:t>
      </w:r>
      <w:bookmarkEnd w:id="93"/>
      <w:r>
        <w:t xml:space="preserve">: </w:t>
      </w:r>
      <w:r w:rsidRPr="00485CBD">
        <w:t xml:space="preserve">Results of </w:t>
      </w:r>
      <w:r w:rsidR="007D610D">
        <w:t>palpitations or chest pains</w:t>
      </w:r>
      <w:r w:rsidRPr="00485CBD">
        <w:t xml:space="preserve"> </w:t>
      </w:r>
      <w:r w:rsidR="00F12D7B">
        <w:t>based on updated re-analysis</w:t>
      </w:r>
      <w:r w:rsidRPr="00485CBD">
        <w:t>, NRT versus placebo</w:t>
      </w:r>
    </w:p>
    <w:p w:rsidR="0021385C" w:rsidRDefault="0021385C" w:rsidP="0021385C">
      <w:pPr>
        <w:pStyle w:val="FigureFooter"/>
      </w:pPr>
      <w:r>
        <w:t>Source: Hartmann-Boyce et al. (2018)</w:t>
      </w:r>
      <w:r w:rsidR="004D6CEE">
        <w:t>, Xiao et al. (2020)</w:t>
      </w:r>
    </w:p>
    <w:p w:rsidR="0021385C" w:rsidRDefault="0021385C" w:rsidP="00C324F3">
      <w:pPr>
        <w:pStyle w:val="FigureFooter"/>
        <w:spacing w:before="0" w:after="0"/>
      </w:pPr>
      <w:r>
        <w:t>Abbreviations: CI = confidence interval</w:t>
      </w:r>
    </w:p>
    <w:p w:rsidR="004D6CEE" w:rsidRDefault="004D6CEE" w:rsidP="004D6CEE">
      <w:pPr>
        <w:pStyle w:val="TableFooter"/>
        <w:keepNext/>
      </w:pPr>
      <w:r w:rsidRPr="00BB5100">
        <w:t>Note: Calculated during the review using a random-effect model</w:t>
      </w:r>
      <w:r>
        <w:t>.</w:t>
      </w:r>
      <w:r w:rsidR="002B3173">
        <w:t xml:space="preserve"> </w:t>
      </w:r>
      <w:r w:rsidR="00904965">
        <w:t xml:space="preserve">Hartmann-Boyce et al. (2018) calculated odds ratio using a fixed-effect </w:t>
      </w:r>
      <w:r w:rsidR="00777459">
        <w:t>model (</w:t>
      </w:r>
      <w:r w:rsidR="00904965">
        <w:t>OR: 1.88</w:t>
      </w:r>
      <w:r w:rsidR="00CC7CA1">
        <w:t>;</w:t>
      </w:r>
      <w:r w:rsidR="00904965">
        <w:t xml:space="preserve"> 95% CI: 1.37, 2.57</w:t>
      </w:r>
      <w:r w:rsidR="00CC7CA1">
        <w:t>).</w:t>
      </w:r>
    </w:p>
    <w:p w:rsidR="00D8491C" w:rsidRPr="00D8491C" w:rsidRDefault="009A6504" w:rsidP="00D8491C">
      <w:r>
        <w:t xml:space="preserve">In a recently conducted study (EAGLES extension) </w:t>
      </w:r>
      <w:r w:rsidRPr="008E46BB">
        <w:t>compar</w:t>
      </w:r>
      <w:r>
        <w:t>ing</w:t>
      </w:r>
      <w:r w:rsidRPr="008E46BB">
        <w:t xml:space="preserve"> the relative cardiovascular safety risk of smoking cessation treatments</w:t>
      </w:r>
      <w:r>
        <w:t xml:space="preserve"> using a placebo comparator, n</w:t>
      </w:r>
      <w:r w:rsidRPr="004B7F16">
        <w:t>o significant treatment differences were observed in time to cardiovascular events, blood pressure, or heart rate</w:t>
      </w:r>
      <w:r>
        <w:t xml:space="preserve"> between </w:t>
      </w:r>
      <w:r w:rsidR="00EF1E16">
        <w:t xml:space="preserve">NRT </w:t>
      </w:r>
      <w:r w:rsidR="00573F59">
        <w:t>patches</w:t>
      </w:r>
      <w:r>
        <w:t xml:space="preserve"> and placebo (Benowitz et al. 2018)</w:t>
      </w:r>
      <w:r w:rsidRPr="004B7F16">
        <w:t>.</w:t>
      </w:r>
    </w:p>
    <w:p w:rsidR="00AF46B1" w:rsidRDefault="008E38BA" w:rsidP="00C83EDA">
      <w:pPr>
        <w:rPr>
          <w:b/>
          <w:bCs/>
        </w:rPr>
      </w:pPr>
      <w:r>
        <w:rPr>
          <w:b/>
          <w:bCs/>
        </w:rPr>
        <w:t xml:space="preserve">NRT </w:t>
      </w:r>
      <w:r w:rsidR="00C5551B">
        <w:rPr>
          <w:b/>
          <w:bCs/>
        </w:rPr>
        <w:t xml:space="preserve">patch </w:t>
      </w:r>
      <w:r>
        <w:rPr>
          <w:b/>
          <w:bCs/>
        </w:rPr>
        <w:t xml:space="preserve">versus </w:t>
      </w:r>
      <w:r w:rsidR="007D0B62" w:rsidRPr="001A7D76">
        <w:rPr>
          <w:b/>
          <w:bCs/>
        </w:rPr>
        <w:t>varenicline</w:t>
      </w:r>
    </w:p>
    <w:p w:rsidR="00AF46B1" w:rsidRPr="00AF46B1" w:rsidRDefault="00AF46B1" w:rsidP="00C83EDA">
      <w:r w:rsidRPr="00AF46B1">
        <w:t xml:space="preserve">A summary of the citation details for the studies comparing </w:t>
      </w:r>
      <w:r w:rsidR="00AE4C6E">
        <w:t xml:space="preserve">NRT </w:t>
      </w:r>
      <w:r w:rsidR="00573F59">
        <w:t>patches</w:t>
      </w:r>
      <w:r w:rsidR="00AE4C6E">
        <w:t xml:space="preserve"> with </w:t>
      </w:r>
      <w:r w:rsidRPr="00AF46B1">
        <w:t xml:space="preserve">varenicline is presented in </w:t>
      </w:r>
      <w:r w:rsidR="003C4A1C">
        <w:t xml:space="preserve">Table </w:t>
      </w:r>
      <w:r w:rsidR="003C4A1C">
        <w:rPr>
          <w:noProof/>
        </w:rPr>
        <w:t>25</w:t>
      </w:r>
      <w:r w:rsidRPr="00AF46B1">
        <w:t xml:space="preserve">. </w:t>
      </w:r>
      <w:r w:rsidR="004E1A9D">
        <w:t>Two</w:t>
      </w:r>
      <w:r w:rsidRPr="00AF46B1">
        <w:t xml:space="preserve"> studies were previously considered by the PBAC (</w:t>
      </w:r>
      <w:r w:rsidR="004E1A9D">
        <w:t>Aubin et al. 2008</w:t>
      </w:r>
      <w:r w:rsidRPr="00AF46B1">
        <w:t xml:space="preserve"> and Anthenelli et al. 2016). A recently conducted Cochrane </w:t>
      </w:r>
      <w:r w:rsidR="00DC6241">
        <w:t>R</w:t>
      </w:r>
      <w:r w:rsidRPr="00AF46B1">
        <w:t xml:space="preserve">eview by Cahill et al. </w:t>
      </w:r>
      <w:r w:rsidRPr="00AF46B1">
        <w:lastRenderedPageBreak/>
        <w:t xml:space="preserve">(2016) was identified in the systematic literature review that compared </w:t>
      </w:r>
      <w:r w:rsidR="004E1A9D">
        <w:t xml:space="preserve">NRT </w:t>
      </w:r>
      <w:r w:rsidR="00573F59">
        <w:t>patches</w:t>
      </w:r>
      <w:r w:rsidR="004E1A9D">
        <w:t xml:space="preserve"> with </w:t>
      </w:r>
      <w:r w:rsidRPr="00AF46B1">
        <w:t>varenicline and was included in this report.</w:t>
      </w:r>
    </w:p>
    <w:p w:rsidR="00C4055F" w:rsidRPr="00AF46B1" w:rsidRDefault="00FB7F99" w:rsidP="00C83EDA">
      <w:r>
        <w:t>Four</w:t>
      </w:r>
      <w:r w:rsidR="00C4055F" w:rsidRPr="00C4055F">
        <w:t xml:space="preserve"> new studies were identified in the supplemental literature search that informed this comparison and were included in the updated re-analysis of the Cochrane Review (Lerman et al. 2015, </w:t>
      </w:r>
      <w:r w:rsidR="0040530A">
        <w:t xml:space="preserve">Tulloch et al. 2016, Rohsenow et al. 2017, </w:t>
      </w:r>
      <w:r w:rsidR="00777459" w:rsidRPr="00C4055F">
        <w:t>and Benowitz</w:t>
      </w:r>
      <w:r w:rsidR="00C4055F" w:rsidRPr="00C4055F">
        <w:t xml:space="preserve"> et al. 2018).  </w:t>
      </w:r>
    </w:p>
    <w:p w:rsidR="00AE4C6E" w:rsidRDefault="00AE4C6E" w:rsidP="00C5551B">
      <w:pPr>
        <w:pStyle w:val="Caption"/>
        <w:keepNext/>
      </w:pPr>
      <w:bookmarkStart w:id="94" w:name="_Ref54355586"/>
      <w:r>
        <w:t xml:space="preserve">Table </w:t>
      </w:r>
      <w:r w:rsidR="003C4A1C">
        <w:rPr>
          <w:noProof/>
        </w:rPr>
        <w:t>25</w:t>
      </w:r>
      <w:bookmarkEnd w:id="94"/>
      <w:r>
        <w:t xml:space="preserve">: </w:t>
      </w:r>
      <w:r w:rsidRPr="007B678F">
        <w:t xml:space="preserve">List of studies comparing </w:t>
      </w:r>
      <w:r>
        <w:t xml:space="preserve">NRT patch with </w:t>
      </w:r>
      <w:r w:rsidRPr="007B678F">
        <w:t>varenicline</w:t>
      </w:r>
    </w:p>
    <w:tbl>
      <w:tblPr>
        <w:tblStyle w:val="TableGrid"/>
        <w:tblW w:w="5000" w:type="pct"/>
        <w:tblLook w:val="04A0" w:firstRow="1" w:lastRow="0" w:firstColumn="1" w:lastColumn="0" w:noHBand="0" w:noVBand="1"/>
        <w:tblCaption w:val="Efficacy results of adalimumab trials (PASI 75 and DLQI)"/>
      </w:tblPr>
      <w:tblGrid>
        <w:gridCol w:w="1004"/>
        <w:gridCol w:w="8012"/>
      </w:tblGrid>
      <w:tr w:rsidR="0039468B" w:rsidRPr="00061F78" w:rsidTr="00C5551B">
        <w:trPr>
          <w:cantSplit/>
          <w:trHeight w:val="287"/>
          <w:tblHeader/>
        </w:trPr>
        <w:tc>
          <w:tcPr>
            <w:tcW w:w="557" w:type="pct"/>
            <w:shd w:val="clear" w:color="auto" w:fill="BFBFBF" w:themeFill="background1" w:themeFillShade="BF"/>
            <w:tcMar>
              <w:left w:w="28" w:type="dxa"/>
              <w:right w:w="28" w:type="dxa"/>
            </w:tcMar>
          </w:tcPr>
          <w:p w:rsidR="00AF46B1" w:rsidRPr="00061F78" w:rsidRDefault="00126B7B" w:rsidP="00C5551B">
            <w:pPr>
              <w:pStyle w:val="Tableheading"/>
              <w:keepNext/>
              <w:rPr>
                <w:rFonts w:eastAsia="MS Mincho"/>
              </w:rPr>
            </w:pPr>
            <w:r>
              <w:rPr>
                <w:rFonts w:eastAsia="MS Mincho"/>
              </w:rPr>
              <w:t>Study</w:t>
            </w:r>
          </w:p>
        </w:tc>
        <w:tc>
          <w:tcPr>
            <w:tcW w:w="4443" w:type="pct"/>
            <w:shd w:val="clear" w:color="auto" w:fill="BFBFBF" w:themeFill="background1" w:themeFillShade="BF"/>
          </w:tcPr>
          <w:p w:rsidR="00AF46B1" w:rsidRDefault="00AF46B1" w:rsidP="00C5551B">
            <w:pPr>
              <w:pStyle w:val="Tableheading"/>
              <w:keepNext/>
              <w:jc w:val="center"/>
              <w:rPr>
                <w:rFonts w:eastAsia="MS Mincho"/>
              </w:rPr>
            </w:pPr>
            <w:r>
              <w:rPr>
                <w:rFonts w:eastAsia="MS Mincho"/>
              </w:rPr>
              <w:t>Citation</w:t>
            </w:r>
          </w:p>
        </w:tc>
      </w:tr>
      <w:tr w:rsidR="0039468B" w:rsidRPr="00061F78" w:rsidTr="00015CD6">
        <w:trPr>
          <w:cantSplit/>
          <w:trHeight w:val="109"/>
        </w:trPr>
        <w:tc>
          <w:tcPr>
            <w:tcW w:w="557" w:type="pct"/>
            <w:shd w:val="clear" w:color="auto" w:fill="D9D9D9" w:themeFill="background1" w:themeFillShade="D9"/>
            <w:tcMar>
              <w:left w:w="28" w:type="dxa"/>
              <w:right w:w="28" w:type="dxa"/>
            </w:tcMar>
          </w:tcPr>
          <w:p w:rsidR="00AF46B1" w:rsidRDefault="00AE4C6E" w:rsidP="00C5551B">
            <w:pPr>
              <w:pStyle w:val="Tablewriting"/>
              <w:keepNext/>
              <w:rPr>
                <w:rFonts w:eastAsia="MS Mincho"/>
              </w:rPr>
            </w:pPr>
            <w:r>
              <w:rPr>
                <w:rFonts w:eastAsia="MS Mincho"/>
              </w:rPr>
              <w:t>Aubin</w:t>
            </w:r>
          </w:p>
          <w:p w:rsidR="00AE4C6E" w:rsidRDefault="00AE4C6E" w:rsidP="00C5551B">
            <w:pPr>
              <w:pStyle w:val="Tablewriting"/>
              <w:keepNext/>
              <w:rPr>
                <w:rFonts w:eastAsia="MS Mincho"/>
              </w:rPr>
            </w:pPr>
            <w:r>
              <w:rPr>
                <w:rFonts w:eastAsia="MS Mincho"/>
              </w:rPr>
              <w:t>(2008)</w:t>
            </w:r>
            <w:r w:rsidR="0039468B" w:rsidRPr="00693911">
              <w:rPr>
                <w:rFonts w:eastAsia="MS Mincho"/>
                <w:noProof/>
                <w:vertAlign w:val="superscript"/>
              </w:rPr>
              <w:t>31</w:t>
            </w:r>
          </w:p>
        </w:tc>
        <w:tc>
          <w:tcPr>
            <w:tcW w:w="4443" w:type="pct"/>
            <w:shd w:val="clear" w:color="auto" w:fill="D9D9D9" w:themeFill="background1" w:themeFillShade="D9"/>
          </w:tcPr>
          <w:p w:rsidR="00AF46B1" w:rsidRPr="008E38BA" w:rsidRDefault="00AE4C6E" w:rsidP="00C5551B">
            <w:pPr>
              <w:pStyle w:val="Tablewriting"/>
              <w:keepNext/>
              <w:rPr>
                <w:rFonts w:eastAsia="MS Mincho"/>
              </w:rPr>
            </w:pPr>
            <w:r w:rsidRPr="00AE4C6E">
              <w:rPr>
                <w:rFonts w:eastAsia="MS Mincho"/>
              </w:rPr>
              <w:t xml:space="preserve">Aubin HJ, Bobak A, Britton JR, Oncken C, Billing CB Jr, Gong J, Williams KE, Reeves KR. Varenicline versus transdermal nicotine patch for smoking cessation: results from a randomised open-label trial. Thorax. 2008 Aug;63(8):717-24. </w:t>
            </w:r>
          </w:p>
        </w:tc>
      </w:tr>
      <w:tr w:rsidR="0039468B" w:rsidRPr="00061F78" w:rsidTr="00015CD6">
        <w:trPr>
          <w:cantSplit/>
          <w:trHeight w:val="109"/>
        </w:trPr>
        <w:tc>
          <w:tcPr>
            <w:tcW w:w="557" w:type="pct"/>
            <w:shd w:val="clear" w:color="auto" w:fill="D9D9D9" w:themeFill="background1" w:themeFillShade="D9"/>
            <w:tcMar>
              <w:left w:w="28" w:type="dxa"/>
              <w:right w:w="28" w:type="dxa"/>
            </w:tcMar>
          </w:tcPr>
          <w:p w:rsidR="00AE4C6E" w:rsidRDefault="00AE4C6E" w:rsidP="00C5551B">
            <w:pPr>
              <w:pStyle w:val="Tablewriting"/>
              <w:keepNext/>
              <w:rPr>
                <w:rFonts w:eastAsia="MS Mincho"/>
              </w:rPr>
            </w:pPr>
            <w:r>
              <w:rPr>
                <w:rFonts w:eastAsia="MS Mincho"/>
              </w:rPr>
              <w:t>Anthenelli (EAGLES, 2016)</w:t>
            </w:r>
            <w:r w:rsidR="0039468B" w:rsidRPr="00527212">
              <w:rPr>
                <w:rFonts w:eastAsia="MS Mincho"/>
                <w:noProof/>
                <w:vertAlign w:val="superscript"/>
              </w:rPr>
              <w:t>18</w:t>
            </w:r>
          </w:p>
        </w:tc>
        <w:tc>
          <w:tcPr>
            <w:tcW w:w="4443" w:type="pct"/>
            <w:shd w:val="clear" w:color="auto" w:fill="D9D9D9" w:themeFill="background1" w:themeFillShade="D9"/>
          </w:tcPr>
          <w:p w:rsidR="00AE4C6E" w:rsidRPr="002764E0" w:rsidRDefault="00AE4C6E" w:rsidP="00C5551B">
            <w:pPr>
              <w:pStyle w:val="Tablewriting"/>
              <w:keepNext/>
              <w:rPr>
                <w:rFonts w:eastAsia="MS Mincho"/>
              </w:rPr>
            </w:pPr>
            <w:r w:rsidRPr="00B90A70">
              <w:rPr>
                <w:rFonts w:eastAsia="MS Mincho"/>
              </w:rPr>
              <w:t>Anthenelli RM, Benowitz NL, West R, St Aubin L, McRae T, Lawrence D, Ascher J, Russ C, Krishen A, Evins AE. Neuropsychiatric safety and efficacy of varenicline, bupropion, and nicotine patch in smokers with and without psychiatric disorders (EAGLES): a double-blind, randomised, placebo-controlled clinical trial. Lancet. 2016 Jun 18;387(10037):2507-20.</w:t>
            </w:r>
          </w:p>
        </w:tc>
      </w:tr>
      <w:tr w:rsidR="0039468B" w:rsidRPr="00061F78" w:rsidTr="00AF46B1">
        <w:trPr>
          <w:cantSplit/>
          <w:trHeight w:val="164"/>
        </w:trPr>
        <w:tc>
          <w:tcPr>
            <w:tcW w:w="557" w:type="pct"/>
            <w:tcMar>
              <w:left w:w="28" w:type="dxa"/>
              <w:right w:w="28" w:type="dxa"/>
            </w:tcMar>
          </w:tcPr>
          <w:p w:rsidR="00AE4C6E" w:rsidRPr="00D07303" w:rsidRDefault="00AE4C6E" w:rsidP="00C5551B">
            <w:pPr>
              <w:pStyle w:val="Tablewriting"/>
              <w:keepNext/>
              <w:rPr>
                <w:rFonts w:eastAsia="MS Mincho"/>
                <w:vertAlign w:val="superscript"/>
              </w:rPr>
            </w:pPr>
            <w:r>
              <w:rPr>
                <w:rFonts w:eastAsia="MS Mincho"/>
              </w:rPr>
              <w:t>Cahill (2016)</w:t>
            </w:r>
            <w:r w:rsidR="0039468B">
              <w:rPr>
                <w:rFonts w:eastAsia="MS Mincho"/>
                <w:noProof/>
                <w:vertAlign w:val="superscript"/>
              </w:rPr>
              <w:t>19</w:t>
            </w:r>
          </w:p>
        </w:tc>
        <w:tc>
          <w:tcPr>
            <w:tcW w:w="4443" w:type="pct"/>
          </w:tcPr>
          <w:p w:rsidR="00AE4C6E" w:rsidRDefault="00AE4C6E" w:rsidP="00C5551B">
            <w:pPr>
              <w:pStyle w:val="Tablewriting"/>
              <w:keepNext/>
              <w:rPr>
                <w:rFonts w:eastAsia="MS Mincho"/>
              </w:rPr>
            </w:pPr>
            <w:r w:rsidRPr="00C01E20">
              <w:rPr>
                <w:rFonts w:eastAsia="MS Mincho"/>
              </w:rPr>
              <w:t>Cahill  K, Lindson‐Hawley  N, Thomas  KH, Fanshawe  TR, Lancaster  T. Nicotine receptor partial agonists for smoking cessation. Cochrane Database of Systematic Reviews 2016, Issue 5. Art. No.: CD006103.</w:t>
            </w:r>
          </w:p>
        </w:tc>
      </w:tr>
      <w:tr w:rsidR="0039468B" w:rsidRPr="00061F78" w:rsidTr="00AF46B1">
        <w:trPr>
          <w:cantSplit/>
          <w:trHeight w:val="164"/>
        </w:trPr>
        <w:tc>
          <w:tcPr>
            <w:tcW w:w="557" w:type="pct"/>
            <w:tcMar>
              <w:left w:w="28" w:type="dxa"/>
              <w:right w:w="28" w:type="dxa"/>
            </w:tcMar>
          </w:tcPr>
          <w:p w:rsidR="003D3295" w:rsidRDefault="003D3295" w:rsidP="003D3295">
            <w:pPr>
              <w:pStyle w:val="Tablewriting"/>
              <w:keepNext/>
              <w:rPr>
                <w:rFonts w:eastAsia="MS Mincho"/>
              </w:rPr>
            </w:pPr>
            <w:r>
              <w:rPr>
                <w:rFonts w:eastAsia="MS Mincho"/>
              </w:rPr>
              <w:t>Lerman (2015)</w:t>
            </w:r>
            <w:r w:rsidR="0039468B" w:rsidRPr="00527212">
              <w:rPr>
                <w:rFonts w:eastAsia="MS Mincho"/>
                <w:noProof/>
                <w:vertAlign w:val="superscript"/>
              </w:rPr>
              <w:t>20</w:t>
            </w:r>
          </w:p>
        </w:tc>
        <w:tc>
          <w:tcPr>
            <w:tcW w:w="4443" w:type="pct"/>
          </w:tcPr>
          <w:p w:rsidR="003D3295" w:rsidRPr="00C01E20" w:rsidRDefault="003D3295" w:rsidP="003D3295">
            <w:pPr>
              <w:pStyle w:val="Tablewriting"/>
              <w:keepNext/>
              <w:rPr>
                <w:rFonts w:eastAsia="MS Mincho"/>
              </w:rPr>
            </w:pPr>
            <w:r w:rsidRPr="00AB23F3">
              <w:rPr>
                <w:rFonts w:eastAsia="MS Mincho"/>
              </w:rPr>
              <w:t xml:space="preserve">Lerman C, Schnoll RA, Hawk LW Jr, Cinciripini P, George TP, Wileyto EP, Swan GE, Benowitz NL, Heitjan DF, Tyndale RF; PGRN-PNAT Research Group. Use of the nicotine metabolite ratio as a genetically informed biomarker of response to nicotine patch or varenicline for smoking cessation: a randomised, double-blind placebo-controlled trial. Lancet Respir Med. 2015 Feb;3(2):131-138. </w:t>
            </w:r>
          </w:p>
        </w:tc>
      </w:tr>
      <w:tr w:rsidR="0039468B" w:rsidRPr="00061F78" w:rsidTr="00AF46B1">
        <w:trPr>
          <w:cantSplit/>
          <w:trHeight w:val="164"/>
        </w:trPr>
        <w:tc>
          <w:tcPr>
            <w:tcW w:w="557" w:type="pct"/>
            <w:tcMar>
              <w:left w:w="28" w:type="dxa"/>
              <w:right w:w="28" w:type="dxa"/>
            </w:tcMar>
          </w:tcPr>
          <w:p w:rsidR="0040530A" w:rsidRDefault="0049144D" w:rsidP="00C5551B">
            <w:pPr>
              <w:pStyle w:val="Tablewriting"/>
              <w:keepNext/>
              <w:rPr>
                <w:rFonts w:eastAsia="MS Mincho"/>
              </w:rPr>
            </w:pPr>
            <w:r>
              <w:rPr>
                <w:rFonts w:eastAsia="MS Mincho"/>
              </w:rPr>
              <w:t>Tulloch</w:t>
            </w:r>
          </w:p>
          <w:p w:rsidR="0049144D" w:rsidRDefault="0049144D" w:rsidP="00C5551B">
            <w:pPr>
              <w:pStyle w:val="Tablewriting"/>
              <w:keepNext/>
              <w:rPr>
                <w:rFonts w:eastAsia="MS Mincho"/>
              </w:rPr>
            </w:pPr>
            <w:r>
              <w:rPr>
                <w:rFonts w:eastAsia="MS Mincho"/>
              </w:rPr>
              <w:t>(2016)</w:t>
            </w:r>
            <w:r w:rsidR="0039468B" w:rsidRPr="00693911">
              <w:rPr>
                <w:rFonts w:eastAsia="MS Mincho"/>
                <w:noProof/>
                <w:vertAlign w:val="superscript"/>
              </w:rPr>
              <w:t>32</w:t>
            </w:r>
          </w:p>
        </w:tc>
        <w:tc>
          <w:tcPr>
            <w:tcW w:w="4443" w:type="pct"/>
          </w:tcPr>
          <w:p w:rsidR="0040530A" w:rsidRPr="00C01E20" w:rsidRDefault="000E1DF3" w:rsidP="00C5551B">
            <w:pPr>
              <w:pStyle w:val="Tablewriting"/>
              <w:keepNext/>
              <w:rPr>
                <w:rFonts w:eastAsia="MS Mincho"/>
              </w:rPr>
            </w:pPr>
            <w:r w:rsidRPr="000E1DF3">
              <w:rPr>
                <w:rFonts w:eastAsia="MS Mincho"/>
              </w:rPr>
              <w:t>Tulloch HE, Pipe AL, Els C, Clyde MJ, Reid RD. Flexible, dual-form nicotine replacement therapy or varenicline in comparison with nicotine patch for smoking cessation: a randomized controlled trial. BMC Med. 2016 Jun 7;14:80.</w:t>
            </w:r>
          </w:p>
        </w:tc>
      </w:tr>
      <w:tr w:rsidR="0039468B" w:rsidRPr="00061F78" w:rsidTr="00AF46B1">
        <w:trPr>
          <w:cantSplit/>
          <w:trHeight w:val="164"/>
        </w:trPr>
        <w:tc>
          <w:tcPr>
            <w:tcW w:w="557" w:type="pct"/>
            <w:tcMar>
              <w:left w:w="28" w:type="dxa"/>
              <w:right w:w="28" w:type="dxa"/>
            </w:tcMar>
          </w:tcPr>
          <w:p w:rsidR="0040530A" w:rsidRDefault="0049144D" w:rsidP="00C5551B">
            <w:pPr>
              <w:pStyle w:val="Tablewriting"/>
              <w:keepNext/>
              <w:rPr>
                <w:rFonts w:eastAsia="MS Mincho"/>
              </w:rPr>
            </w:pPr>
            <w:r>
              <w:rPr>
                <w:rFonts w:eastAsia="MS Mincho"/>
              </w:rPr>
              <w:t>Rohsenow (2017)</w:t>
            </w:r>
            <w:r w:rsidR="0039468B" w:rsidRPr="00693911">
              <w:rPr>
                <w:rFonts w:eastAsia="MS Mincho"/>
                <w:noProof/>
                <w:vertAlign w:val="superscript"/>
              </w:rPr>
              <w:t>33</w:t>
            </w:r>
          </w:p>
        </w:tc>
        <w:tc>
          <w:tcPr>
            <w:tcW w:w="4443" w:type="pct"/>
          </w:tcPr>
          <w:p w:rsidR="0040530A" w:rsidRPr="00C01E20" w:rsidRDefault="00A203D3" w:rsidP="00C5551B">
            <w:pPr>
              <w:pStyle w:val="Tablewriting"/>
              <w:keepNext/>
              <w:rPr>
                <w:rFonts w:eastAsia="MS Mincho"/>
              </w:rPr>
            </w:pPr>
            <w:r w:rsidRPr="00A203D3">
              <w:rPr>
                <w:rFonts w:eastAsia="MS Mincho"/>
              </w:rPr>
              <w:t>Rohsenow DJ, Tidey JW, Martin RA, Colby SM, Swift RM, Leggio L, Monti PM. Varenicline versus nicotine patch with brief advice for smokers with substance use disorders with or without depression: effects on smoking, substance use and depressive symptoms. Addiction. 2017 Oct;112(10):1808-1820.</w:t>
            </w:r>
          </w:p>
        </w:tc>
      </w:tr>
      <w:tr w:rsidR="0039468B" w:rsidRPr="00061F78" w:rsidTr="00AF46B1">
        <w:trPr>
          <w:cantSplit/>
          <w:trHeight w:val="164"/>
        </w:trPr>
        <w:tc>
          <w:tcPr>
            <w:tcW w:w="557" w:type="pct"/>
            <w:tcMar>
              <w:left w:w="28" w:type="dxa"/>
              <w:right w:w="28" w:type="dxa"/>
            </w:tcMar>
          </w:tcPr>
          <w:p w:rsidR="003D3295" w:rsidRDefault="003D3295" w:rsidP="003D3295">
            <w:pPr>
              <w:pStyle w:val="Tablewriting"/>
              <w:keepNext/>
              <w:rPr>
                <w:rFonts w:eastAsia="MS Mincho"/>
              </w:rPr>
            </w:pPr>
            <w:r>
              <w:rPr>
                <w:rFonts w:eastAsia="MS Mincho"/>
              </w:rPr>
              <w:t>Benowitz (2018)</w:t>
            </w:r>
            <w:r w:rsidR="0039468B" w:rsidRPr="00527212">
              <w:rPr>
                <w:rFonts w:eastAsia="MS Mincho"/>
                <w:noProof/>
                <w:vertAlign w:val="superscript"/>
              </w:rPr>
              <w:t>4</w:t>
            </w:r>
          </w:p>
        </w:tc>
        <w:tc>
          <w:tcPr>
            <w:tcW w:w="4443" w:type="pct"/>
          </w:tcPr>
          <w:p w:rsidR="003D3295" w:rsidRPr="00C01E20" w:rsidRDefault="003D3295" w:rsidP="003D3295">
            <w:pPr>
              <w:pStyle w:val="Tablewriting"/>
              <w:keepNext/>
              <w:rPr>
                <w:rFonts w:eastAsia="MS Mincho"/>
              </w:rPr>
            </w:pPr>
            <w:r w:rsidRPr="00C4557B">
              <w:rPr>
                <w:rFonts w:eastAsia="MS Mincho"/>
              </w:rPr>
              <w:t>Benowitz NL, Pipe A, West R, Hays JT, Tonstad S, McRae T, Lawrence D, St Aubin L, Anthenelli RM. Cardiovascular Safety of Varenicline, Bupropion, and Nicotine Patch in Smokers: A Randomized Clinical Trial. JAMA Intern Med. 2018 May 1;178(5):622-631.</w:t>
            </w:r>
          </w:p>
        </w:tc>
      </w:tr>
    </w:tbl>
    <w:p w:rsidR="00AE4C6E" w:rsidRPr="00D14993" w:rsidRDefault="00AE4C6E" w:rsidP="00C5551B">
      <w:pPr>
        <w:pStyle w:val="TableFooter"/>
        <w:keepNext/>
      </w:pPr>
      <w:r w:rsidRPr="00061F78">
        <w:rPr>
          <w:highlight w:val="lightGray"/>
        </w:rPr>
        <w:t>Shaded</w:t>
      </w:r>
      <w:r w:rsidRPr="00061F78">
        <w:t xml:space="preserve"> = previously considered by the PBAC</w:t>
      </w:r>
    </w:p>
    <w:p w:rsidR="00AF46B1" w:rsidRDefault="00AE4C6E" w:rsidP="00C5551B">
      <w:pPr>
        <w:pStyle w:val="TableFooter"/>
        <w:keepNext/>
      </w:pPr>
      <w:r>
        <w:t xml:space="preserve">Notes: </w:t>
      </w:r>
      <w:r w:rsidR="00C5551B">
        <w:t>Aubin et al. (2008)</w:t>
      </w:r>
      <w:r>
        <w:t xml:space="preserve"> w</w:t>
      </w:r>
      <w:r w:rsidR="00C5551B">
        <w:t>as</w:t>
      </w:r>
      <w:r>
        <w:t xml:space="preserve"> considered at the </w:t>
      </w:r>
      <w:r w:rsidR="00C5551B">
        <w:t>March 2010</w:t>
      </w:r>
      <w:r>
        <w:t xml:space="preserve"> PBAC meeting. EAGLES (2016) was considered at the November 2016 PBAC meeting.</w:t>
      </w:r>
    </w:p>
    <w:p w:rsidR="00C5551B" w:rsidRPr="00C5551B" w:rsidRDefault="00C5551B" w:rsidP="00C5551B">
      <w:r w:rsidRPr="00C5551B">
        <w:t xml:space="preserve">A summary of the characteristics of the studies comparing </w:t>
      </w:r>
      <w:r w:rsidR="00C3700A">
        <w:t xml:space="preserve">NRT </w:t>
      </w:r>
      <w:r w:rsidR="00573F59">
        <w:t>patches</w:t>
      </w:r>
      <w:r w:rsidR="00C3700A">
        <w:t xml:space="preserve"> with </w:t>
      </w:r>
      <w:r w:rsidRPr="00C5551B">
        <w:t xml:space="preserve">varenicline is presented in </w:t>
      </w:r>
      <w:r w:rsidR="003C4A1C">
        <w:t xml:space="preserve">Table </w:t>
      </w:r>
      <w:r w:rsidR="003C4A1C">
        <w:rPr>
          <w:noProof/>
        </w:rPr>
        <w:t>26</w:t>
      </w:r>
      <w:r w:rsidRPr="00C5551B">
        <w:t xml:space="preserve">. A total of </w:t>
      </w:r>
      <w:r w:rsidR="00C3700A">
        <w:t>eight</w:t>
      </w:r>
      <w:r w:rsidRPr="00C5551B">
        <w:t xml:space="preserve"> RCTs comparing </w:t>
      </w:r>
      <w:r w:rsidR="00C3700A">
        <w:t xml:space="preserve">NRT </w:t>
      </w:r>
      <w:r w:rsidR="00573F59">
        <w:t>patches</w:t>
      </w:r>
      <w:r w:rsidR="00C3700A">
        <w:t xml:space="preserve"> with </w:t>
      </w:r>
      <w:r w:rsidRPr="00C5551B">
        <w:t>varenicline were identified by Cahill et al. (2016)</w:t>
      </w:r>
      <w:r w:rsidR="00C3700A">
        <w:t xml:space="preserve"> and were</w:t>
      </w:r>
      <w:r w:rsidRPr="00C5551B">
        <w:t xml:space="preserve"> included in the efficacy analysis. The characteristics of the individual studies are presented in </w:t>
      </w:r>
      <w:r w:rsidRPr="00A93262">
        <w:t>Appendix</w:t>
      </w:r>
      <w:r w:rsidRPr="00C5551B">
        <w:t xml:space="preserve"> </w:t>
      </w:r>
      <w:r w:rsidR="003C4A1C">
        <w:t xml:space="preserve">Table </w:t>
      </w:r>
      <w:r w:rsidR="003C4A1C">
        <w:rPr>
          <w:noProof/>
        </w:rPr>
        <w:t>149</w:t>
      </w:r>
      <w:r w:rsidRPr="00C5551B">
        <w:t>.</w:t>
      </w:r>
    </w:p>
    <w:p w:rsidR="00E470DE" w:rsidRPr="00C5551B" w:rsidRDefault="00E470DE" w:rsidP="00C5551B">
      <w:r w:rsidRPr="00E470DE">
        <w:t xml:space="preserve">Of the </w:t>
      </w:r>
      <w:r>
        <w:t>four</w:t>
      </w:r>
      <w:r w:rsidRPr="00E470DE">
        <w:t xml:space="preserve"> new studies identified in the supplemental literature search, </w:t>
      </w:r>
      <w:r>
        <w:t>three</w:t>
      </w:r>
      <w:r w:rsidRPr="00E470DE">
        <w:t xml:space="preserve"> studies were included in the updated efficacy re-analysis (</w:t>
      </w:r>
      <w:r w:rsidRPr="00C4055F">
        <w:t xml:space="preserve">Lerman et al. 2015, </w:t>
      </w:r>
      <w:r>
        <w:t xml:space="preserve">Tulloch et al. 2016, </w:t>
      </w:r>
      <w:r w:rsidR="00777459">
        <w:t>and Rohsenow</w:t>
      </w:r>
      <w:r>
        <w:t xml:space="preserve"> et al. 2017</w:t>
      </w:r>
      <w:r w:rsidRPr="00E470DE">
        <w:t>). One study was a safety study with no efficacy outcomes reported (Benowitz et al. 2018).</w:t>
      </w:r>
    </w:p>
    <w:p w:rsidR="00C5551B" w:rsidRDefault="00C5551B" w:rsidP="00C83EDA">
      <w:pPr>
        <w:rPr>
          <w:b/>
          <w:bCs/>
        </w:rPr>
        <w:sectPr w:rsidR="00C5551B" w:rsidSect="006356D2">
          <w:pgSz w:w="11906" w:h="16838"/>
          <w:pgMar w:top="1440" w:right="1440" w:bottom="1440" w:left="1440" w:header="708" w:footer="708" w:gutter="0"/>
          <w:cols w:space="708"/>
          <w:titlePg/>
          <w:docGrid w:linePitch="360"/>
        </w:sectPr>
      </w:pPr>
    </w:p>
    <w:p w:rsidR="00C3700A" w:rsidRDefault="00C3700A" w:rsidP="00C3700A">
      <w:pPr>
        <w:pStyle w:val="Caption"/>
        <w:keepNext/>
      </w:pPr>
      <w:bookmarkStart w:id="95" w:name="_Ref54359212"/>
      <w:r>
        <w:lastRenderedPageBreak/>
        <w:t xml:space="preserve">Table </w:t>
      </w:r>
      <w:r w:rsidR="003C4A1C">
        <w:rPr>
          <w:noProof/>
        </w:rPr>
        <w:t>26</w:t>
      </w:r>
      <w:bookmarkEnd w:id="95"/>
      <w:r>
        <w:t xml:space="preserve">: </w:t>
      </w:r>
      <w:r w:rsidRPr="00AA2F00">
        <w:t xml:space="preserve">Characteristics of the studies comparing NRT patch with </w:t>
      </w:r>
      <w:r>
        <w:t>varenicline</w:t>
      </w:r>
    </w:p>
    <w:tbl>
      <w:tblPr>
        <w:tblStyle w:val="TableGrid"/>
        <w:tblW w:w="5000" w:type="pct"/>
        <w:tblLook w:val="04A0" w:firstRow="1" w:lastRow="0" w:firstColumn="1" w:lastColumn="0" w:noHBand="0" w:noVBand="1"/>
        <w:tblCaption w:val="Efficacy results of adalimumab trials (PASI 75 and DLQI)"/>
      </w:tblPr>
      <w:tblGrid>
        <w:gridCol w:w="907"/>
        <w:gridCol w:w="1108"/>
        <w:gridCol w:w="967"/>
        <w:gridCol w:w="5212"/>
        <w:gridCol w:w="2338"/>
        <w:gridCol w:w="3416"/>
      </w:tblGrid>
      <w:tr w:rsidR="00260CD7" w:rsidRPr="00061F78" w:rsidTr="00043556">
        <w:trPr>
          <w:trHeight w:val="299"/>
          <w:tblHeader/>
        </w:trPr>
        <w:tc>
          <w:tcPr>
            <w:tcW w:w="324" w:type="pct"/>
            <w:shd w:val="clear" w:color="auto" w:fill="BFBFBF" w:themeFill="background1" w:themeFillShade="BF"/>
            <w:tcMar>
              <w:left w:w="28" w:type="dxa"/>
              <w:right w:w="28" w:type="dxa"/>
            </w:tcMar>
          </w:tcPr>
          <w:p w:rsidR="00C5551B" w:rsidRPr="00061F78" w:rsidRDefault="00126B7B" w:rsidP="00F207DC">
            <w:pPr>
              <w:pStyle w:val="Tableheading"/>
              <w:rPr>
                <w:rFonts w:eastAsia="MS Mincho"/>
              </w:rPr>
            </w:pPr>
            <w:r>
              <w:rPr>
                <w:rFonts w:eastAsia="MS Mincho"/>
              </w:rPr>
              <w:t>Study</w:t>
            </w:r>
          </w:p>
        </w:tc>
        <w:tc>
          <w:tcPr>
            <w:tcW w:w="398" w:type="pct"/>
            <w:shd w:val="clear" w:color="auto" w:fill="BFBFBF" w:themeFill="background1" w:themeFillShade="BF"/>
          </w:tcPr>
          <w:p w:rsidR="00C5551B" w:rsidRDefault="00C5551B" w:rsidP="00F207DC">
            <w:pPr>
              <w:pStyle w:val="Tableheading"/>
              <w:jc w:val="center"/>
              <w:rPr>
                <w:rFonts w:eastAsia="MS Mincho"/>
              </w:rPr>
            </w:pPr>
            <w:r>
              <w:rPr>
                <w:rFonts w:eastAsia="MS Mincho"/>
              </w:rPr>
              <w:t>Study type</w:t>
            </w:r>
          </w:p>
        </w:tc>
        <w:tc>
          <w:tcPr>
            <w:tcW w:w="345" w:type="pct"/>
            <w:shd w:val="clear" w:color="auto" w:fill="BFBFBF" w:themeFill="background1" w:themeFillShade="BF"/>
            <w:tcMar>
              <w:left w:w="28" w:type="dxa"/>
              <w:right w:w="28" w:type="dxa"/>
            </w:tcMar>
          </w:tcPr>
          <w:p w:rsidR="00C5551B" w:rsidRPr="00AE21E9" w:rsidRDefault="00C5551B" w:rsidP="00F207DC">
            <w:pPr>
              <w:pStyle w:val="Tableheading"/>
              <w:jc w:val="center"/>
              <w:rPr>
                <w:rFonts w:eastAsia="MS Mincho"/>
                <w:vertAlign w:val="superscript"/>
              </w:rPr>
            </w:pPr>
            <w:r>
              <w:rPr>
                <w:rFonts w:eastAsia="MS Mincho"/>
              </w:rPr>
              <w:t>N</w:t>
            </w:r>
            <w:r>
              <w:rPr>
                <w:rFonts w:eastAsia="MS Mincho"/>
                <w:vertAlign w:val="superscript"/>
              </w:rPr>
              <w:t>1</w:t>
            </w:r>
          </w:p>
        </w:tc>
        <w:tc>
          <w:tcPr>
            <w:tcW w:w="1869" w:type="pct"/>
            <w:shd w:val="clear" w:color="auto" w:fill="BFBFBF" w:themeFill="background1" w:themeFillShade="BF"/>
            <w:tcMar>
              <w:left w:w="28" w:type="dxa"/>
              <w:right w:w="28" w:type="dxa"/>
            </w:tcMar>
          </w:tcPr>
          <w:p w:rsidR="00C5551B" w:rsidRPr="00061F78" w:rsidRDefault="00C5551B" w:rsidP="00F207DC">
            <w:pPr>
              <w:pStyle w:val="Tableheading"/>
              <w:jc w:val="center"/>
              <w:rPr>
                <w:rFonts w:eastAsia="MS Mincho"/>
              </w:rPr>
            </w:pPr>
            <w:r w:rsidRPr="00061F78">
              <w:rPr>
                <w:rFonts w:eastAsia="MS Mincho"/>
              </w:rPr>
              <w:t>P</w:t>
            </w:r>
            <w:r>
              <w:rPr>
                <w:rFonts w:eastAsia="MS Mincho"/>
              </w:rPr>
              <w:t>opulation</w:t>
            </w:r>
          </w:p>
        </w:tc>
        <w:tc>
          <w:tcPr>
            <w:tcW w:w="839" w:type="pct"/>
            <w:shd w:val="clear" w:color="auto" w:fill="BFBFBF" w:themeFill="background1" w:themeFillShade="BF"/>
          </w:tcPr>
          <w:p w:rsidR="00C5551B" w:rsidRDefault="00C5551B" w:rsidP="00F207DC">
            <w:pPr>
              <w:pStyle w:val="Tableheading"/>
              <w:jc w:val="center"/>
              <w:rPr>
                <w:rFonts w:eastAsia="MS Mincho"/>
              </w:rPr>
            </w:pPr>
            <w:r>
              <w:rPr>
                <w:rFonts w:eastAsia="MS Mincho"/>
              </w:rPr>
              <w:t>Intervention and comparator</w:t>
            </w:r>
          </w:p>
        </w:tc>
        <w:tc>
          <w:tcPr>
            <w:tcW w:w="1225" w:type="pct"/>
            <w:shd w:val="clear" w:color="auto" w:fill="BFBFBF" w:themeFill="background1" w:themeFillShade="BF"/>
            <w:tcMar>
              <w:left w:w="28" w:type="dxa"/>
              <w:right w:w="28" w:type="dxa"/>
            </w:tcMar>
          </w:tcPr>
          <w:p w:rsidR="00C5551B" w:rsidRPr="00061F78" w:rsidRDefault="00C5551B" w:rsidP="00F207DC">
            <w:pPr>
              <w:pStyle w:val="Tableheading"/>
              <w:jc w:val="center"/>
              <w:rPr>
                <w:rFonts w:eastAsia="MS Mincho"/>
              </w:rPr>
            </w:pPr>
            <w:r>
              <w:rPr>
                <w:rFonts w:eastAsia="MS Mincho"/>
              </w:rPr>
              <w:t>Outcomes</w:t>
            </w:r>
          </w:p>
        </w:tc>
      </w:tr>
      <w:tr w:rsidR="00260CD7" w:rsidRPr="00061F78" w:rsidTr="00015CD6">
        <w:trPr>
          <w:trHeight w:val="99"/>
        </w:trPr>
        <w:tc>
          <w:tcPr>
            <w:tcW w:w="324" w:type="pct"/>
            <w:shd w:val="clear" w:color="auto" w:fill="D9D9D9" w:themeFill="background1" w:themeFillShade="D9"/>
            <w:tcMar>
              <w:left w:w="28" w:type="dxa"/>
              <w:right w:w="28" w:type="dxa"/>
            </w:tcMar>
          </w:tcPr>
          <w:p w:rsidR="00C5551B" w:rsidRDefault="00C5551B" w:rsidP="00F207DC">
            <w:pPr>
              <w:pStyle w:val="Tablewriting"/>
              <w:rPr>
                <w:rFonts w:eastAsia="MS Mincho"/>
              </w:rPr>
            </w:pPr>
            <w:r>
              <w:rPr>
                <w:rFonts w:eastAsia="MS Mincho"/>
              </w:rPr>
              <w:t>Aubin</w:t>
            </w:r>
          </w:p>
          <w:p w:rsidR="00C5551B" w:rsidRDefault="00C5551B" w:rsidP="00F207DC">
            <w:pPr>
              <w:pStyle w:val="Tablewriting"/>
              <w:rPr>
                <w:rFonts w:eastAsia="MS Mincho"/>
              </w:rPr>
            </w:pPr>
            <w:r>
              <w:rPr>
                <w:rFonts w:eastAsia="MS Mincho"/>
              </w:rPr>
              <w:t xml:space="preserve">(2008) </w:t>
            </w:r>
          </w:p>
        </w:tc>
        <w:tc>
          <w:tcPr>
            <w:tcW w:w="398" w:type="pct"/>
            <w:shd w:val="clear" w:color="auto" w:fill="D9D9D9" w:themeFill="background1" w:themeFillShade="D9"/>
          </w:tcPr>
          <w:p w:rsidR="00C5551B" w:rsidRDefault="00C5551B" w:rsidP="00F207DC">
            <w:pPr>
              <w:pStyle w:val="Tablewriting"/>
              <w:rPr>
                <w:rFonts w:eastAsia="MS Mincho"/>
              </w:rPr>
            </w:pPr>
            <w:r>
              <w:rPr>
                <w:rFonts w:eastAsia="MS Mincho"/>
              </w:rPr>
              <w:t>RCT</w:t>
            </w:r>
          </w:p>
        </w:tc>
        <w:tc>
          <w:tcPr>
            <w:tcW w:w="345" w:type="pct"/>
            <w:shd w:val="clear" w:color="auto" w:fill="D9D9D9" w:themeFill="background1" w:themeFillShade="D9"/>
            <w:tcMar>
              <w:left w:w="28" w:type="dxa"/>
              <w:right w:w="28" w:type="dxa"/>
            </w:tcMar>
          </w:tcPr>
          <w:p w:rsidR="00C5551B" w:rsidRDefault="00C5551B" w:rsidP="00F207DC">
            <w:pPr>
              <w:pStyle w:val="Tablewriting"/>
              <w:rPr>
                <w:rFonts w:eastAsia="MS Mincho"/>
              </w:rPr>
            </w:pPr>
            <w:r>
              <w:rPr>
                <w:rFonts w:eastAsia="MS Mincho"/>
              </w:rPr>
              <w:t>N=</w:t>
            </w:r>
            <w:r w:rsidR="0087144C">
              <w:rPr>
                <w:rFonts w:eastAsia="MS Mincho"/>
              </w:rPr>
              <w:t>757</w:t>
            </w:r>
          </w:p>
          <w:p w:rsidR="0087144C" w:rsidRDefault="0087144C" w:rsidP="00F207DC">
            <w:pPr>
              <w:pStyle w:val="Tablewriting"/>
              <w:rPr>
                <w:rFonts w:eastAsia="MS Mincho"/>
              </w:rPr>
            </w:pPr>
            <w:r>
              <w:rPr>
                <w:rFonts w:eastAsia="MS Mincho"/>
              </w:rPr>
              <w:t>NRT (n=379),</w:t>
            </w:r>
          </w:p>
          <w:p w:rsidR="00C5551B" w:rsidRDefault="0087144C" w:rsidP="00F207DC">
            <w:pPr>
              <w:pStyle w:val="Tablewriting"/>
              <w:rPr>
                <w:rFonts w:eastAsia="MS Mincho"/>
              </w:rPr>
            </w:pPr>
            <w:r>
              <w:rPr>
                <w:rFonts w:eastAsia="MS Mincho"/>
              </w:rPr>
              <w:t>Varenicline (n=378)</w:t>
            </w:r>
          </w:p>
        </w:tc>
        <w:tc>
          <w:tcPr>
            <w:tcW w:w="1869" w:type="pct"/>
            <w:shd w:val="clear" w:color="auto" w:fill="D9D9D9" w:themeFill="background1" w:themeFillShade="D9"/>
            <w:tcMar>
              <w:left w:w="28" w:type="dxa"/>
              <w:right w:w="28" w:type="dxa"/>
            </w:tcMar>
          </w:tcPr>
          <w:p w:rsidR="00C5551B" w:rsidRDefault="00C5551B" w:rsidP="00F207DC">
            <w:pPr>
              <w:pStyle w:val="Tablewriting"/>
              <w:rPr>
                <w:rFonts w:eastAsia="MS Mincho"/>
              </w:rPr>
            </w:pPr>
            <w:r w:rsidRPr="007F28D7">
              <w:rPr>
                <w:rFonts w:eastAsia="MS Mincho"/>
                <w:u w:val="single"/>
              </w:rPr>
              <w:t>Inclusion</w:t>
            </w:r>
            <w:r>
              <w:rPr>
                <w:rFonts w:eastAsia="MS Mincho"/>
              </w:rPr>
              <w:t xml:space="preserve">: </w:t>
            </w:r>
            <w:r w:rsidR="0087144C" w:rsidRPr="0087144C">
              <w:rPr>
                <w:rFonts w:eastAsia="MS Mincho"/>
              </w:rPr>
              <w:t>18–75</w:t>
            </w:r>
            <w:r w:rsidR="0087144C">
              <w:rPr>
                <w:rFonts w:eastAsia="MS Mincho"/>
              </w:rPr>
              <w:t xml:space="preserve"> </w:t>
            </w:r>
            <w:r w:rsidR="0087144C" w:rsidRPr="0087144C">
              <w:rPr>
                <w:rFonts w:eastAsia="MS Mincho"/>
              </w:rPr>
              <w:t xml:space="preserve">years </w:t>
            </w:r>
            <w:r w:rsidR="004A2711">
              <w:rPr>
                <w:rFonts w:eastAsia="MS Mincho"/>
              </w:rPr>
              <w:t>old</w:t>
            </w:r>
            <w:r w:rsidR="0087144C" w:rsidRPr="0087144C">
              <w:rPr>
                <w:rFonts w:eastAsia="MS Mincho"/>
              </w:rPr>
              <w:t xml:space="preserve">, weight </w:t>
            </w:r>
            <w:r w:rsidR="0087144C">
              <w:rPr>
                <w:rFonts w:eastAsia="MS Mincho"/>
              </w:rPr>
              <w:t>&gt;</w:t>
            </w:r>
            <w:r w:rsidR="0087144C" w:rsidRPr="0087144C">
              <w:rPr>
                <w:rFonts w:eastAsia="MS Mincho"/>
              </w:rPr>
              <w:t>45.5 kg and body mass index</w:t>
            </w:r>
            <w:r w:rsidR="0087144C">
              <w:rPr>
                <w:rFonts w:eastAsia="MS Mincho"/>
              </w:rPr>
              <w:t xml:space="preserve"> </w:t>
            </w:r>
            <w:r w:rsidR="0087144C" w:rsidRPr="0087144C">
              <w:rPr>
                <w:rFonts w:eastAsia="MS Mincho"/>
              </w:rPr>
              <w:t>15–38 kg/m</w:t>
            </w:r>
            <w:r w:rsidR="0087144C" w:rsidRPr="0087144C">
              <w:rPr>
                <w:rFonts w:eastAsia="MS Mincho"/>
                <w:vertAlign w:val="superscript"/>
              </w:rPr>
              <w:t>2</w:t>
            </w:r>
            <w:r w:rsidR="004A2711">
              <w:rPr>
                <w:rFonts w:eastAsia="MS Mincho"/>
                <w:vertAlign w:val="superscript"/>
              </w:rPr>
              <w:t xml:space="preserve">, </w:t>
            </w:r>
            <w:r w:rsidR="004A2711">
              <w:rPr>
                <w:rFonts w:eastAsia="MS Mincho" w:cstheme="minorHAnsi"/>
              </w:rPr>
              <w:t>≥</w:t>
            </w:r>
            <w:r w:rsidR="0087144C" w:rsidRPr="0087144C">
              <w:rPr>
                <w:rFonts w:eastAsia="MS Mincho"/>
              </w:rPr>
              <w:t>15</w:t>
            </w:r>
            <w:r w:rsidR="0087144C">
              <w:rPr>
                <w:rFonts w:eastAsia="MS Mincho"/>
              </w:rPr>
              <w:t xml:space="preserve"> </w:t>
            </w:r>
            <w:r w:rsidR="0087144C" w:rsidRPr="0087144C">
              <w:rPr>
                <w:rFonts w:eastAsia="MS Mincho"/>
              </w:rPr>
              <w:t>cigarettes per day with no period of abstinence</w:t>
            </w:r>
            <w:r w:rsidR="0087144C">
              <w:rPr>
                <w:rFonts w:eastAsia="MS Mincho"/>
              </w:rPr>
              <w:t xml:space="preserve"> &gt;</w:t>
            </w:r>
            <w:r w:rsidR="0087144C" w:rsidRPr="0087144C">
              <w:rPr>
                <w:rFonts w:eastAsia="MS Mincho"/>
              </w:rPr>
              <w:t>3 months in the previous yea</w:t>
            </w:r>
            <w:r w:rsidR="0087144C">
              <w:rPr>
                <w:rFonts w:eastAsia="MS Mincho"/>
              </w:rPr>
              <w:t>r; motivated to stop smoking.</w:t>
            </w:r>
          </w:p>
          <w:p w:rsidR="00C5551B" w:rsidRPr="00061F78" w:rsidRDefault="00C5551B" w:rsidP="00F207DC">
            <w:pPr>
              <w:pStyle w:val="Tablewriting"/>
              <w:rPr>
                <w:rFonts w:eastAsia="MS Mincho"/>
              </w:rPr>
            </w:pPr>
            <w:r w:rsidRPr="007F28D7">
              <w:rPr>
                <w:rFonts w:eastAsia="MS Mincho"/>
                <w:u w:val="single"/>
              </w:rPr>
              <w:t>Exclusion</w:t>
            </w:r>
            <w:r>
              <w:rPr>
                <w:rFonts w:eastAsia="MS Mincho"/>
              </w:rPr>
              <w:t xml:space="preserve">: </w:t>
            </w:r>
            <w:r w:rsidR="0087144C" w:rsidRPr="0087144C">
              <w:rPr>
                <w:rFonts w:eastAsia="MS Mincho"/>
              </w:rPr>
              <w:t>a history of cancer, any</w:t>
            </w:r>
            <w:r w:rsidR="0087144C">
              <w:rPr>
                <w:rFonts w:eastAsia="MS Mincho"/>
              </w:rPr>
              <w:t xml:space="preserve"> </w:t>
            </w:r>
            <w:r w:rsidR="0087144C" w:rsidRPr="0087144C">
              <w:rPr>
                <w:rFonts w:eastAsia="MS Mincho"/>
              </w:rPr>
              <w:t>other serious or unstable disease within the previous</w:t>
            </w:r>
            <w:r w:rsidR="0087144C">
              <w:rPr>
                <w:rFonts w:eastAsia="MS Mincho"/>
              </w:rPr>
              <w:t xml:space="preserve"> </w:t>
            </w:r>
            <w:r w:rsidR="0087144C" w:rsidRPr="0087144C">
              <w:rPr>
                <w:rFonts w:eastAsia="MS Mincho"/>
              </w:rPr>
              <w:t>6 months, diagnoses of or treatment for depression or other</w:t>
            </w:r>
            <w:r w:rsidR="0087144C">
              <w:rPr>
                <w:rFonts w:eastAsia="MS Mincho"/>
              </w:rPr>
              <w:t xml:space="preserve"> </w:t>
            </w:r>
            <w:r w:rsidR="0087144C" w:rsidRPr="0087144C">
              <w:rPr>
                <w:rFonts w:eastAsia="MS Mincho"/>
              </w:rPr>
              <w:t>psychological disorder, or drug or alcohol dependence within</w:t>
            </w:r>
            <w:r w:rsidR="0087144C">
              <w:rPr>
                <w:rFonts w:eastAsia="MS Mincho"/>
              </w:rPr>
              <w:t xml:space="preserve"> </w:t>
            </w:r>
            <w:r w:rsidR="0087144C" w:rsidRPr="0087144C">
              <w:rPr>
                <w:rFonts w:eastAsia="MS Mincho"/>
              </w:rPr>
              <w:t>the previous 12 months</w:t>
            </w:r>
            <w:r w:rsidR="004A2711">
              <w:rPr>
                <w:rFonts w:eastAsia="MS Mincho"/>
              </w:rPr>
              <w:t>,</w:t>
            </w:r>
            <w:r w:rsidR="0087144C">
              <w:rPr>
                <w:rFonts w:eastAsia="MS Mincho"/>
              </w:rPr>
              <w:t xml:space="preserve"> </w:t>
            </w:r>
            <w:r w:rsidR="0087144C" w:rsidRPr="0087144C">
              <w:rPr>
                <w:rFonts w:eastAsia="MS Mincho"/>
              </w:rPr>
              <w:t>clinically significant allergic reactions to drugs or adhesive</w:t>
            </w:r>
            <w:r w:rsidR="0087144C">
              <w:rPr>
                <w:rFonts w:eastAsia="MS Mincho"/>
              </w:rPr>
              <w:t xml:space="preserve"> </w:t>
            </w:r>
            <w:r w:rsidR="0087144C" w:rsidRPr="0087144C">
              <w:rPr>
                <w:rFonts w:eastAsia="MS Mincho"/>
              </w:rPr>
              <w:t xml:space="preserve">tapes, skin disorders, systolic blood pressure </w:t>
            </w:r>
            <w:r w:rsidR="0087144C">
              <w:rPr>
                <w:rFonts w:eastAsia="MS Mincho"/>
              </w:rPr>
              <w:t>&gt;</w:t>
            </w:r>
            <w:r w:rsidR="0087144C" w:rsidRPr="0087144C">
              <w:rPr>
                <w:rFonts w:eastAsia="MS Mincho"/>
              </w:rPr>
              <w:t>150 mmHg or</w:t>
            </w:r>
            <w:r w:rsidR="0087144C">
              <w:rPr>
                <w:rFonts w:eastAsia="MS Mincho"/>
              </w:rPr>
              <w:t xml:space="preserve"> </w:t>
            </w:r>
            <w:r w:rsidR="0087144C" w:rsidRPr="0087144C">
              <w:rPr>
                <w:rFonts w:eastAsia="MS Mincho"/>
              </w:rPr>
              <w:t xml:space="preserve">diastolic blood pressure </w:t>
            </w:r>
            <w:r w:rsidR="0087144C">
              <w:rPr>
                <w:rFonts w:eastAsia="MS Mincho"/>
              </w:rPr>
              <w:t>&gt;</w:t>
            </w:r>
            <w:r w:rsidR="0087144C" w:rsidRPr="0087144C">
              <w:rPr>
                <w:rFonts w:eastAsia="MS Mincho"/>
              </w:rPr>
              <w:t>95 mm Hg, clinically significant</w:t>
            </w:r>
            <w:r w:rsidR="0087144C">
              <w:rPr>
                <w:rFonts w:eastAsia="MS Mincho"/>
              </w:rPr>
              <w:t xml:space="preserve"> </w:t>
            </w:r>
            <w:r w:rsidR="0087144C" w:rsidRPr="0087144C">
              <w:rPr>
                <w:rFonts w:eastAsia="MS Mincho"/>
              </w:rPr>
              <w:t>renal or hepatic impairment, evidence of liver dysfunction or</w:t>
            </w:r>
            <w:r w:rsidR="0087144C">
              <w:rPr>
                <w:rFonts w:eastAsia="MS Mincho"/>
              </w:rPr>
              <w:t xml:space="preserve"> </w:t>
            </w:r>
            <w:r w:rsidR="0087144C" w:rsidRPr="0087144C">
              <w:rPr>
                <w:rFonts w:eastAsia="MS Mincho"/>
              </w:rPr>
              <w:t>other abnormal laboratory tests</w:t>
            </w:r>
            <w:r w:rsidR="00214B8E">
              <w:rPr>
                <w:rFonts w:eastAsia="MS Mincho"/>
              </w:rPr>
              <w:t>,</w:t>
            </w:r>
            <w:r w:rsidR="0087144C" w:rsidRPr="0087144C">
              <w:rPr>
                <w:rFonts w:eastAsia="MS Mincho"/>
              </w:rPr>
              <w:t xml:space="preserve"> taking medication that may interfere</w:t>
            </w:r>
            <w:r w:rsidR="0087144C">
              <w:rPr>
                <w:rFonts w:eastAsia="MS Mincho"/>
              </w:rPr>
              <w:t xml:space="preserve"> </w:t>
            </w:r>
            <w:r w:rsidR="0087144C" w:rsidRPr="0087144C">
              <w:rPr>
                <w:rFonts w:eastAsia="MS Mincho"/>
              </w:rPr>
              <w:t>with the study outcome, had previously participated in a</w:t>
            </w:r>
            <w:r w:rsidR="0087144C">
              <w:rPr>
                <w:rFonts w:eastAsia="MS Mincho"/>
              </w:rPr>
              <w:t xml:space="preserve"> </w:t>
            </w:r>
            <w:r w:rsidR="0087144C" w:rsidRPr="0087144C">
              <w:rPr>
                <w:rFonts w:eastAsia="MS Mincho"/>
              </w:rPr>
              <w:t>varenicline study in the previous year or had used of any form</w:t>
            </w:r>
            <w:r w:rsidR="0087144C">
              <w:rPr>
                <w:rFonts w:eastAsia="MS Mincho"/>
              </w:rPr>
              <w:t xml:space="preserve"> </w:t>
            </w:r>
            <w:r w:rsidR="0087144C" w:rsidRPr="0087144C">
              <w:rPr>
                <w:rFonts w:eastAsia="MS Mincho"/>
              </w:rPr>
              <w:t>of NRT in the previous 6 months</w:t>
            </w:r>
            <w:r w:rsidR="00214B8E">
              <w:rPr>
                <w:rFonts w:eastAsia="MS Mincho"/>
              </w:rPr>
              <w:t>,</w:t>
            </w:r>
            <w:r w:rsidR="0087144C">
              <w:rPr>
                <w:rFonts w:eastAsia="MS Mincho"/>
              </w:rPr>
              <w:t xml:space="preserve"> </w:t>
            </w:r>
            <w:r>
              <w:rPr>
                <w:rFonts w:eastAsia="MS Mincho"/>
              </w:rPr>
              <w:t>pregnancy and breastfeeding.</w:t>
            </w:r>
          </w:p>
        </w:tc>
        <w:tc>
          <w:tcPr>
            <w:tcW w:w="839" w:type="pct"/>
            <w:shd w:val="clear" w:color="auto" w:fill="D9D9D9" w:themeFill="background1" w:themeFillShade="D9"/>
          </w:tcPr>
          <w:p w:rsidR="00C5551B" w:rsidRDefault="0087144C" w:rsidP="00F207DC">
            <w:pPr>
              <w:pStyle w:val="Tablewriting"/>
              <w:rPr>
                <w:rFonts w:eastAsia="MS Mincho"/>
              </w:rPr>
            </w:pPr>
            <w:r w:rsidRPr="00C5551B">
              <w:rPr>
                <w:rFonts w:eastAsia="MS Mincho"/>
              </w:rPr>
              <w:t>NRT: NRT patch</w:t>
            </w:r>
            <w:r>
              <w:rPr>
                <w:rFonts w:eastAsia="MS Mincho"/>
              </w:rPr>
              <w:t xml:space="preserve"> over 10 weeks (21</w:t>
            </w:r>
            <w:r w:rsidR="00545740">
              <w:rPr>
                <w:rFonts w:eastAsia="MS Mincho"/>
              </w:rPr>
              <w:t xml:space="preserve"> </w:t>
            </w:r>
            <w:r>
              <w:rPr>
                <w:rFonts w:eastAsia="MS Mincho"/>
              </w:rPr>
              <w:t>mg/day first 6 weeks, 14</w:t>
            </w:r>
            <w:r w:rsidR="00545740">
              <w:rPr>
                <w:rFonts w:eastAsia="MS Mincho"/>
              </w:rPr>
              <w:t xml:space="preserve"> </w:t>
            </w:r>
            <w:r>
              <w:rPr>
                <w:rFonts w:eastAsia="MS Mincho"/>
              </w:rPr>
              <w:t>mg/day for 2 weeks then 7</w:t>
            </w:r>
            <w:r w:rsidR="00545740">
              <w:rPr>
                <w:rFonts w:eastAsia="MS Mincho"/>
              </w:rPr>
              <w:t xml:space="preserve"> </w:t>
            </w:r>
            <w:r>
              <w:rPr>
                <w:rFonts w:eastAsia="MS Mincho"/>
              </w:rPr>
              <w:t>mg/day for 2 weeks)</w:t>
            </w:r>
            <w:r w:rsidR="00663000">
              <w:rPr>
                <w:rFonts w:eastAsia="MS Mincho"/>
              </w:rPr>
              <w:t>;</w:t>
            </w:r>
            <w:r w:rsidR="003E6726">
              <w:rPr>
                <w:rFonts w:eastAsia="MS Mincho"/>
              </w:rPr>
              <w:t xml:space="preserve"> </w:t>
            </w:r>
            <w:r w:rsidRPr="00C5551B">
              <w:rPr>
                <w:rFonts w:eastAsia="MS Mincho"/>
              </w:rPr>
              <w:t>Varenicline: 1</w:t>
            </w:r>
            <w:r w:rsidR="00545740">
              <w:rPr>
                <w:rFonts w:eastAsia="MS Mincho"/>
              </w:rPr>
              <w:t xml:space="preserve"> </w:t>
            </w:r>
            <w:r w:rsidRPr="00C5551B">
              <w:rPr>
                <w:rFonts w:eastAsia="MS Mincho"/>
              </w:rPr>
              <w:t xml:space="preserve">mg twice daily including titration </w:t>
            </w:r>
            <w:r>
              <w:rPr>
                <w:rFonts w:eastAsia="MS Mincho"/>
              </w:rPr>
              <w:t xml:space="preserve">over 12 weeks </w:t>
            </w:r>
            <w:r w:rsidRPr="00C5551B">
              <w:rPr>
                <w:rFonts w:eastAsia="MS Mincho"/>
              </w:rPr>
              <w:t>(i.e. 0.5</w:t>
            </w:r>
            <w:r w:rsidR="00545740">
              <w:rPr>
                <w:rFonts w:eastAsia="MS Mincho"/>
              </w:rPr>
              <w:t xml:space="preserve"> </w:t>
            </w:r>
            <w:r w:rsidRPr="00C5551B">
              <w:rPr>
                <w:rFonts w:eastAsia="MS Mincho"/>
              </w:rPr>
              <w:t>mg once daily for 3 days, then 0.5</w:t>
            </w:r>
            <w:r w:rsidR="00545740">
              <w:rPr>
                <w:rFonts w:eastAsia="MS Mincho"/>
              </w:rPr>
              <w:t xml:space="preserve"> </w:t>
            </w:r>
            <w:r w:rsidRPr="00C5551B">
              <w:rPr>
                <w:rFonts w:eastAsia="MS Mincho"/>
              </w:rPr>
              <w:t>mg twice daily for 4 days, then 1</w:t>
            </w:r>
            <w:r w:rsidR="00545740">
              <w:rPr>
                <w:rFonts w:eastAsia="MS Mincho"/>
              </w:rPr>
              <w:t xml:space="preserve"> </w:t>
            </w:r>
            <w:r w:rsidRPr="00C5551B">
              <w:rPr>
                <w:rFonts w:eastAsia="MS Mincho"/>
              </w:rPr>
              <w:t>mg twice daily)</w:t>
            </w:r>
            <w:r w:rsidR="00AB5FA3">
              <w:rPr>
                <w:rFonts w:eastAsia="MS Mincho"/>
              </w:rPr>
              <w:t>.</w:t>
            </w:r>
          </w:p>
          <w:p w:rsidR="0091456E" w:rsidRDefault="0091456E" w:rsidP="00F207DC">
            <w:pPr>
              <w:pStyle w:val="Tablewriting"/>
              <w:rPr>
                <w:rFonts w:eastAsia="MS Mincho"/>
              </w:rPr>
            </w:pPr>
          </w:p>
          <w:p w:rsidR="0091456E" w:rsidRPr="00061F78" w:rsidRDefault="0091456E" w:rsidP="00F207DC">
            <w:pPr>
              <w:pStyle w:val="Tablewriting"/>
              <w:rPr>
                <w:rFonts w:eastAsia="MS Mincho"/>
              </w:rPr>
            </w:pPr>
            <w:r w:rsidRPr="0091456E">
              <w:rPr>
                <w:rFonts w:eastAsia="MS Mincho"/>
              </w:rPr>
              <w:t>Behavioural support provided in both arms.</w:t>
            </w:r>
          </w:p>
        </w:tc>
        <w:tc>
          <w:tcPr>
            <w:tcW w:w="1225" w:type="pct"/>
            <w:shd w:val="clear" w:color="auto" w:fill="D9D9D9" w:themeFill="background1" w:themeFillShade="D9"/>
            <w:tcMar>
              <w:left w:w="28" w:type="dxa"/>
              <w:right w:w="28" w:type="dxa"/>
            </w:tcMar>
          </w:tcPr>
          <w:p w:rsidR="00C5551B" w:rsidRDefault="00C5551B" w:rsidP="00F207DC">
            <w:pPr>
              <w:pStyle w:val="Tablewriting"/>
              <w:rPr>
                <w:rFonts w:eastAsia="MS Mincho"/>
              </w:rPr>
            </w:pPr>
            <w:r w:rsidRPr="008C39E4">
              <w:rPr>
                <w:rFonts w:eastAsia="MS Mincho"/>
                <w:u w:val="single"/>
              </w:rPr>
              <w:t>Primary</w:t>
            </w:r>
            <w:r>
              <w:rPr>
                <w:rFonts w:eastAsia="MS Mincho"/>
              </w:rPr>
              <w:t xml:space="preserve">: </w:t>
            </w:r>
            <w:r w:rsidR="00214B8E">
              <w:rPr>
                <w:rFonts w:eastAsia="MS Mincho"/>
              </w:rPr>
              <w:t>CAR</w:t>
            </w:r>
            <w:r>
              <w:rPr>
                <w:rFonts w:eastAsia="MS Mincho"/>
              </w:rPr>
              <w:t xml:space="preserve"> at Week 9-12. Validated by CO</w:t>
            </w:r>
            <w:r w:rsidR="00AB1153">
              <w:rPr>
                <w:rFonts w:eastAsia="MS Mincho"/>
              </w:rPr>
              <w:t xml:space="preserve"> </w:t>
            </w:r>
            <w:r>
              <w:rPr>
                <w:rFonts w:eastAsia="MS Mincho" w:cstheme="minorHAnsi"/>
              </w:rPr>
              <w:t>≤</w:t>
            </w:r>
            <w:r>
              <w:rPr>
                <w:rFonts w:eastAsia="MS Mincho"/>
              </w:rPr>
              <w:t>10</w:t>
            </w:r>
            <w:r w:rsidR="009E40F4">
              <w:rPr>
                <w:rFonts w:eastAsia="MS Mincho"/>
              </w:rPr>
              <w:t xml:space="preserve"> </w:t>
            </w:r>
            <w:r>
              <w:rPr>
                <w:rFonts w:eastAsia="MS Mincho"/>
              </w:rPr>
              <w:t>ppm.</w:t>
            </w:r>
          </w:p>
          <w:p w:rsidR="00C5551B" w:rsidRDefault="00C5551B" w:rsidP="00F207DC">
            <w:pPr>
              <w:pStyle w:val="Tablewriting"/>
              <w:rPr>
                <w:rFonts w:eastAsia="MS Mincho"/>
              </w:rPr>
            </w:pPr>
            <w:r w:rsidRPr="008C39E4">
              <w:rPr>
                <w:rFonts w:eastAsia="MS Mincho"/>
                <w:u w:val="single"/>
              </w:rPr>
              <w:t>Secondary</w:t>
            </w:r>
            <w:r>
              <w:rPr>
                <w:rFonts w:eastAsia="MS Mincho"/>
              </w:rPr>
              <w:t xml:space="preserve">: </w:t>
            </w:r>
            <w:r w:rsidRPr="005B56AA">
              <w:rPr>
                <w:rFonts w:eastAsia="MS Mincho"/>
              </w:rPr>
              <w:t xml:space="preserve">CAR </w:t>
            </w:r>
            <w:r w:rsidR="0087144C">
              <w:rPr>
                <w:rFonts w:eastAsia="MS Mincho"/>
              </w:rPr>
              <w:t xml:space="preserve">(NRT, Week 8-24 and 8-52; Varenicline, </w:t>
            </w:r>
            <w:r>
              <w:rPr>
                <w:rFonts w:eastAsia="MS Mincho"/>
              </w:rPr>
              <w:t>Week</w:t>
            </w:r>
            <w:r w:rsidRPr="005B56AA">
              <w:rPr>
                <w:rFonts w:eastAsia="MS Mincho"/>
              </w:rPr>
              <w:t xml:space="preserve"> 9-24 </w:t>
            </w:r>
            <w:r>
              <w:rPr>
                <w:rFonts w:eastAsia="MS Mincho"/>
              </w:rPr>
              <w:t xml:space="preserve">and </w:t>
            </w:r>
            <w:r w:rsidRPr="005B56AA">
              <w:rPr>
                <w:rFonts w:eastAsia="MS Mincho"/>
              </w:rPr>
              <w:t>9-52</w:t>
            </w:r>
            <w:r w:rsidR="0087144C">
              <w:rPr>
                <w:rFonts w:eastAsia="MS Mincho"/>
              </w:rPr>
              <w:t>)</w:t>
            </w:r>
            <w:r w:rsidRPr="005B56AA">
              <w:rPr>
                <w:rFonts w:eastAsia="MS Mincho"/>
              </w:rPr>
              <w:t xml:space="preserve">; 7-day PPA at </w:t>
            </w:r>
            <w:r>
              <w:rPr>
                <w:rFonts w:eastAsia="MS Mincho"/>
              </w:rPr>
              <w:t>Week</w:t>
            </w:r>
            <w:r w:rsidRPr="005B56AA">
              <w:rPr>
                <w:rFonts w:eastAsia="MS Mincho"/>
              </w:rPr>
              <w:t xml:space="preserve"> 24 and 52</w:t>
            </w:r>
            <w:r w:rsidR="002A7862">
              <w:rPr>
                <w:rFonts w:eastAsia="MS Mincho"/>
              </w:rPr>
              <w:t xml:space="preserve">. Validated by CO </w:t>
            </w:r>
            <w:r w:rsidR="002A7862">
              <w:rPr>
                <w:rFonts w:eastAsia="MS Mincho" w:cstheme="minorHAnsi"/>
              </w:rPr>
              <w:t>≤</w:t>
            </w:r>
            <w:r w:rsidR="002A7862">
              <w:rPr>
                <w:rFonts w:eastAsia="MS Mincho"/>
              </w:rPr>
              <w:t>10</w:t>
            </w:r>
            <w:r w:rsidR="009E40F4">
              <w:rPr>
                <w:rFonts w:eastAsia="MS Mincho"/>
              </w:rPr>
              <w:t xml:space="preserve"> </w:t>
            </w:r>
            <w:r w:rsidR="002A7862">
              <w:rPr>
                <w:rFonts w:eastAsia="MS Mincho"/>
              </w:rPr>
              <w:t>ppm.</w:t>
            </w:r>
          </w:p>
          <w:p w:rsidR="00C5551B" w:rsidRPr="00061F78" w:rsidRDefault="00C5551B" w:rsidP="00F207DC">
            <w:pPr>
              <w:pStyle w:val="Tablewriting"/>
              <w:rPr>
                <w:rFonts w:eastAsia="MS Mincho"/>
              </w:rPr>
            </w:pPr>
            <w:r w:rsidRPr="0055171C">
              <w:rPr>
                <w:rFonts w:eastAsia="MS Mincho"/>
                <w:u w:val="single"/>
              </w:rPr>
              <w:t>Other</w:t>
            </w:r>
            <w:r>
              <w:rPr>
                <w:rFonts w:eastAsia="MS Mincho"/>
              </w:rPr>
              <w:t xml:space="preserve">: </w:t>
            </w:r>
            <w:r w:rsidR="0087144C">
              <w:rPr>
                <w:rFonts w:eastAsia="MS Mincho"/>
              </w:rPr>
              <w:t>w</w:t>
            </w:r>
            <w:r w:rsidR="0087144C" w:rsidRPr="0087144C">
              <w:rPr>
                <w:rFonts w:eastAsia="MS Mincho"/>
              </w:rPr>
              <w:t>eight change, withdrawal symptoms (using MNWS and mCEQ), adverse events</w:t>
            </w:r>
            <w:r w:rsidR="00AB5FA3">
              <w:rPr>
                <w:rFonts w:eastAsia="MS Mincho"/>
              </w:rPr>
              <w:t>.</w:t>
            </w:r>
          </w:p>
        </w:tc>
      </w:tr>
      <w:tr w:rsidR="00260CD7" w:rsidRPr="00061F78" w:rsidTr="00015CD6">
        <w:trPr>
          <w:trHeight w:val="99"/>
        </w:trPr>
        <w:tc>
          <w:tcPr>
            <w:tcW w:w="324" w:type="pct"/>
            <w:shd w:val="clear" w:color="auto" w:fill="D9D9D9" w:themeFill="background1" w:themeFillShade="D9"/>
            <w:tcMar>
              <w:left w:w="28" w:type="dxa"/>
              <w:right w:w="28" w:type="dxa"/>
            </w:tcMar>
          </w:tcPr>
          <w:p w:rsidR="00C5551B" w:rsidRPr="00061F78" w:rsidRDefault="00C5551B" w:rsidP="00F207DC">
            <w:pPr>
              <w:pStyle w:val="Tablewriting"/>
              <w:rPr>
                <w:rFonts w:eastAsia="MS Mincho"/>
              </w:rPr>
            </w:pPr>
            <w:r w:rsidRPr="00B83AC1">
              <w:rPr>
                <w:rFonts w:eastAsia="MS Mincho"/>
              </w:rPr>
              <w:t>Anthenelli (EAGLES, 2016)</w:t>
            </w:r>
          </w:p>
        </w:tc>
        <w:tc>
          <w:tcPr>
            <w:tcW w:w="398" w:type="pct"/>
            <w:shd w:val="clear" w:color="auto" w:fill="D9D9D9" w:themeFill="background1" w:themeFillShade="D9"/>
          </w:tcPr>
          <w:p w:rsidR="00C5551B" w:rsidRDefault="00C5551B" w:rsidP="00F207DC">
            <w:pPr>
              <w:pStyle w:val="Tablewriting"/>
              <w:rPr>
                <w:rFonts w:eastAsia="MS Mincho"/>
              </w:rPr>
            </w:pPr>
            <w:r>
              <w:rPr>
                <w:rFonts w:eastAsia="MS Mincho"/>
              </w:rPr>
              <w:t>RCT</w:t>
            </w:r>
          </w:p>
        </w:tc>
        <w:tc>
          <w:tcPr>
            <w:tcW w:w="345" w:type="pct"/>
            <w:shd w:val="clear" w:color="auto" w:fill="D9D9D9" w:themeFill="background1" w:themeFillShade="D9"/>
            <w:tcMar>
              <w:left w:w="28" w:type="dxa"/>
              <w:right w:w="28" w:type="dxa"/>
            </w:tcMar>
          </w:tcPr>
          <w:p w:rsidR="00C5551B" w:rsidRDefault="00C5551B" w:rsidP="00F207DC">
            <w:pPr>
              <w:pStyle w:val="Tablewriting"/>
              <w:rPr>
                <w:rFonts w:eastAsia="MS Mincho"/>
              </w:rPr>
            </w:pPr>
            <w:r>
              <w:rPr>
                <w:rFonts w:eastAsia="MS Mincho"/>
              </w:rPr>
              <w:t>N=8,144</w:t>
            </w:r>
          </w:p>
          <w:p w:rsidR="00C5551B" w:rsidRDefault="00C5551B" w:rsidP="00F207DC">
            <w:pPr>
              <w:pStyle w:val="Tablewriting"/>
              <w:rPr>
                <w:rFonts w:eastAsia="MS Mincho"/>
              </w:rPr>
            </w:pPr>
            <w:r>
              <w:rPr>
                <w:rFonts w:eastAsia="MS Mincho"/>
              </w:rPr>
              <w:t>NRT (n=2,038)</w:t>
            </w:r>
            <w:r w:rsidR="0087144C">
              <w:rPr>
                <w:rFonts w:eastAsia="MS Mincho"/>
              </w:rPr>
              <w:t>,</w:t>
            </w:r>
          </w:p>
          <w:p w:rsidR="00C5551B" w:rsidRPr="00061F78" w:rsidRDefault="00C5551B" w:rsidP="00F207DC">
            <w:pPr>
              <w:pStyle w:val="Tablewriting"/>
              <w:rPr>
                <w:rFonts w:eastAsia="MS Mincho"/>
              </w:rPr>
            </w:pPr>
            <w:r>
              <w:rPr>
                <w:rFonts w:eastAsia="MS Mincho"/>
              </w:rPr>
              <w:t xml:space="preserve">Varenicline (n=2,037) </w:t>
            </w:r>
          </w:p>
        </w:tc>
        <w:tc>
          <w:tcPr>
            <w:tcW w:w="1869" w:type="pct"/>
            <w:shd w:val="clear" w:color="auto" w:fill="D9D9D9" w:themeFill="background1" w:themeFillShade="D9"/>
            <w:tcMar>
              <w:left w:w="28" w:type="dxa"/>
              <w:right w:w="28" w:type="dxa"/>
            </w:tcMar>
          </w:tcPr>
          <w:p w:rsidR="00C5551B" w:rsidRPr="00061F78" w:rsidRDefault="00214B8E" w:rsidP="00F207DC">
            <w:pPr>
              <w:pStyle w:val="Tablewriting"/>
              <w:rPr>
                <w:rFonts w:eastAsia="MS Mincho"/>
              </w:rPr>
            </w:pPr>
            <w:r>
              <w:rPr>
                <w:rFonts w:eastAsia="MS Mincho"/>
              </w:rPr>
              <w:t xml:space="preserve">See </w:t>
            </w:r>
            <w:r w:rsidR="003C4A1C">
              <w:t xml:space="preserve">Table </w:t>
            </w:r>
            <w:r w:rsidR="003C4A1C">
              <w:rPr>
                <w:noProof/>
              </w:rPr>
              <w:t>14</w:t>
            </w:r>
            <w:r>
              <w:rPr>
                <w:rFonts w:eastAsia="MS Mincho"/>
              </w:rPr>
              <w:t xml:space="preserve"> for inclusion and exclusion criteria of this study</w:t>
            </w:r>
            <w:r w:rsidR="00AB5FA3">
              <w:rPr>
                <w:rFonts w:eastAsia="MS Mincho"/>
              </w:rPr>
              <w:t>.</w:t>
            </w:r>
          </w:p>
        </w:tc>
        <w:tc>
          <w:tcPr>
            <w:tcW w:w="839" w:type="pct"/>
            <w:shd w:val="clear" w:color="auto" w:fill="D9D9D9" w:themeFill="background1" w:themeFillShade="D9"/>
          </w:tcPr>
          <w:p w:rsidR="00C5551B" w:rsidRDefault="00C5551B" w:rsidP="00F207DC">
            <w:pPr>
              <w:pStyle w:val="Tablewriting"/>
              <w:rPr>
                <w:rFonts w:eastAsia="MS Mincho"/>
              </w:rPr>
            </w:pPr>
            <w:r w:rsidRPr="00C5551B">
              <w:rPr>
                <w:rFonts w:eastAsia="MS Mincho"/>
              </w:rPr>
              <w:t>NRT: NRT patch</w:t>
            </w:r>
            <w:r w:rsidR="00C3700A">
              <w:rPr>
                <w:rFonts w:eastAsia="MS Mincho"/>
              </w:rPr>
              <w:t xml:space="preserve"> 21</w:t>
            </w:r>
            <w:r w:rsidR="009E40F4">
              <w:rPr>
                <w:rFonts w:eastAsia="MS Mincho"/>
              </w:rPr>
              <w:t xml:space="preserve"> </w:t>
            </w:r>
            <w:r w:rsidR="00C3700A">
              <w:rPr>
                <w:rFonts w:eastAsia="MS Mincho"/>
              </w:rPr>
              <w:t>mg/day with taper over 12 weeks</w:t>
            </w:r>
            <w:r w:rsidR="002B152C">
              <w:rPr>
                <w:rFonts w:eastAsia="MS Mincho"/>
              </w:rPr>
              <w:t>;</w:t>
            </w:r>
            <w:r w:rsidR="003E6726">
              <w:rPr>
                <w:rFonts w:eastAsia="MS Mincho"/>
              </w:rPr>
              <w:t xml:space="preserve"> </w:t>
            </w:r>
            <w:r w:rsidRPr="00C5551B">
              <w:rPr>
                <w:rFonts w:eastAsia="MS Mincho"/>
              </w:rPr>
              <w:t>Varenicline: 1</w:t>
            </w:r>
            <w:r w:rsidR="009E40F4">
              <w:rPr>
                <w:rFonts w:eastAsia="MS Mincho"/>
              </w:rPr>
              <w:t xml:space="preserve"> </w:t>
            </w:r>
            <w:r w:rsidRPr="00C5551B">
              <w:rPr>
                <w:rFonts w:eastAsia="MS Mincho"/>
              </w:rPr>
              <w:t xml:space="preserve">mg twice daily including titration </w:t>
            </w:r>
            <w:r w:rsidR="00C3700A">
              <w:rPr>
                <w:rFonts w:eastAsia="MS Mincho"/>
              </w:rPr>
              <w:t xml:space="preserve">over 12 weeks </w:t>
            </w:r>
            <w:r w:rsidRPr="00C5551B">
              <w:rPr>
                <w:rFonts w:eastAsia="MS Mincho"/>
              </w:rPr>
              <w:t>(i.e. 0.5</w:t>
            </w:r>
            <w:r w:rsidR="009E40F4">
              <w:rPr>
                <w:rFonts w:eastAsia="MS Mincho"/>
              </w:rPr>
              <w:t xml:space="preserve"> </w:t>
            </w:r>
            <w:r w:rsidRPr="00C5551B">
              <w:rPr>
                <w:rFonts w:eastAsia="MS Mincho"/>
              </w:rPr>
              <w:t>mg once daily for 3 days, then 0.5</w:t>
            </w:r>
            <w:r w:rsidR="009E40F4">
              <w:rPr>
                <w:rFonts w:eastAsia="MS Mincho"/>
              </w:rPr>
              <w:t xml:space="preserve"> </w:t>
            </w:r>
            <w:r w:rsidRPr="00C5551B">
              <w:rPr>
                <w:rFonts w:eastAsia="MS Mincho"/>
              </w:rPr>
              <w:t>mg twice daily for 4 days, then 1</w:t>
            </w:r>
            <w:r w:rsidR="009E40F4">
              <w:rPr>
                <w:rFonts w:eastAsia="MS Mincho"/>
              </w:rPr>
              <w:t xml:space="preserve"> </w:t>
            </w:r>
            <w:r w:rsidRPr="00C5551B">
              <w:rPr>
                <w:rFonts w:eastAsia="MS Mincho"/>
              </w:rPr>
              <w:t>mg twice daily)</w:t>
            </w:r>
            <w:r w:rsidR="00AB5FA3">
              <w:rPr>
                <w:rFonts w:eastAsia="MS Mincho"/>
              </w:rPr>
              <w:t>.</w:t>
            </w:r>
          </w:p>
          <w:p w:rsidR="0091456E" w:rsidRDefault="0091456E" w:rsidP="00F207DC">
            <w:pPr>
              <w:pStyle w:val="Tablewriting"/>
              <w:rPr>
                <w:rFonts w:eastAsia="MS Mincho"/>
              </w:rPr>
            </w:pPr>
          </w:p>
          <w:p w:rsidR="0091456E" w:rsidRPr="00A34E7B" w:rsidRDefault="0091456E" w:rsidP="00F207DC">
            <w:pPr>
              <w:pStyle w:val="Tablewriting"/>
              <w:rPr>
                <w:rFonts w:eastAsia="MS Mincho"/>
              </w:rPr>
            </w:pPr>
            <w:r w:rsidRPr="0091456E">
              <w:rPr>
                <w:rFonts w:eastAsia="MS Mincho"/>
              </w:rPr>
              <w:t>Behavioural support provided in both arms.</w:t>
            </w:r>
          </w:p>
        </w:tc>
        <w:tc>
          <w:tcPr>
            <w:tcW w:w="1225" w:type="pct"/>
            <w:shd w:val="clear" w:color="auto" w:fill="D9D9D9" w:themeFill="background1" w:themeFillShade="D9"/>
            <w:tcMar>
              <w:left w:w="28" w:type="dxa"/>
              <w:right w:w="28" w:type="dxa"/>
            </w:tcMar>
          </w:tcPr>
          <w:p w:rsidR="00C5551B" w:rsidRDefault="00C5551B" w:rsidP="00F207DC">
            <w:pPr>
              <w:pStyle w:val="Tablewriting"/>
              <w:rPr>
                <w:rFonts w:eastAsia="MS Mincho"/>
              </w:rPr>
            </w:pPr>
            <w:r w:rsidRPr="008C39E4">
              <w:rPr>
                <w:rFonts w:eastAsia="MS Mincho"/>
                <w:u w:val="single"/>
              </w:rPr>
              <w:t>Primary</w:t>
            </w:r>
            <w:r>
              <w:rPr>
                <w:rFonts w:eastAsia="MS Mincho"/>
              </w:rPr>
              <w:t>: safety including adverse events</w:t>
            </w:r>
          </w:p>
          <w:p w:rsidR="00C5551B" w:rsidRDefault="00C5551B" w:rsidP="00F207DC">
            <w:pPr>
              <w:pStyle w:val="Tablewriting"/>
              <w:rPr>
                <w:rFonts w:eastAsia="MS Mincho"/>
              </w:rPr>
            </w:pPr>
            <w:r w:rsidRPr="00C1753E">
              <w:rPr>
                <w:rFonts w:eastAsia="MS Mincho"/>
                <w:u w:val="single"/>
              </w:rPr>
              <w:t>Primary efficacy</w:t>
            </w:r>
            <w:r>
              <w:rPr>
                <w:rFonts w:eastAsia="MS Mincho"/>
              </w:rPr>
              <w:t>:</w:t>
            </w:r>
            <w:r>
              <w:t xml:space="preserve"> </w:t>
            </w:r>
            <w:r w:rsidR="00214B8E">
              <w:rPr>
                <w:rFonts w:eastAsia="MS Mincho"/>
              </w:rPr>
              <w:t>CAR</w:t>
            </w:r>
            <w:r w:rsidRPr="00C1753E">
              <w:rPr>
                <w:rFonts w:eastAsia="MS Mincho"/>
              </w:rPr>
              <w:t xml:space="preserve"> at Week 9-12. Validated by CO</w:t>
            </w:r>
            <w:r w:rsidR="00AB1153">
              <w:rPr>
                <w:rFonts w:eastAsia="MS Mincho"/>
              </w:rPr>
              <w:t xml:space="preserve"> </w:t>
            </w:r>
            <w:r w:rsidRPr="00C1753E">
              <w:rPr>
                <w:rFonts w:eastAsia="MS Mincho"/>
              </w:rPr>
              <w:t>≤10</w:t>
            </w:r>
            <w:r w:rsidR="009E40F4">
              <w:rPr>
                <w:rFonts w:eastAsia="MS Mincho"/>
              </w:rPr>
              <w:t xml:space="preserve"> </w:t>
            </w:r>
            <w:r w:rsidRPr="00C1753E">
              <w:rPr>
                <w:rFonts w:eastAsia="MS Mincho"/>
              </w:rPr>
              <w:t>ppm.</w:t>
            </w:r>
            <w:r>
              <w:rPr>
                <w:rFonts w:eastAsia="MS Mincho"/>
              </w:rPr>
              <w:t xml:space="preserve"> </w:t>
            </w:r>
          </w:p>
          <w:p w:rsidR="00C5551B" w:rsidRPr="00061F78" w:rsidRDefault="00C5551B" w:rsidP="00F207DC">
            <w:pPr>
              <w:pStyle w:val="Tablewriting"/>
              <w:rPr>
                <w:rFonts w:eastAsia="MS Mincho"/>
              </w:rPr>
            </w:pPr>
            <w:r w:rsidRPr="00EF3594">
              <w:rPr>
                <w:rFonts w:eastAsia="MS Mincho"/>
                <w:u w:val="single"/>
              </w:rPr>
              <w:t>Secondary efficacy</w:t>
            </w:r>
            <w:r>
              <w:rPr>
                <w:rFonts w:eastAsia="MS Mincho"/>
              </w:rPr>
              <w:t xml:space="preserve">: </w:t>
            </w:r>
            <w:r w:rsidR="00214B8E">
              <w:rPr>
                <w:rFonts w:eastAsia="MS Mincho"/>
              </w:rPr>
              <w:t>CAR</w:t>
            </w:r>
            <w:r>
              <w:rPr>
                <w:rFonts w:eastAsia="MS Mincho"/>
              </w:rPr>
              <w:t xml:space="preserve"> at Week 9-24. </w:t>
            </w:r>
            <w:r w:rsidRPr="00624207">
              <w:rPr>
                <w:rFonts w:eastAsia="MS Mincho"/>
              </w:rPr>
              <w:t xml:space="preserve">7-day PPA </w:t>
            </w:r>
            <w:r>
              <w:rPr>
                <w:rFonts w:eastAsia="MS Mincho"/>
              </w:rPr>
              <w:t>at all visits.</w:t>
            </w:r>
            <w:r w:rsidR="002A7862">
              <w:rPr>
                <w:rFonts w:eastAsia="MS Mincho"/>
              </w:rPr>
              <w:t xml:space="preserve"> Validated by CO </w:t>
            </w:r>
            <w:r w:rsidR="002A7862">
              <w:rPr>
                <w:rFonts w:eastAsia="MS Mincho" w:cstheme="minorHAnsi"/>
              </w:rPr>
              <w:t>≤</w:t>
            </w:r>
            <w:r w:rsidR="002A7862">
              <w:rPr>
                <w:rFonts w:eastAsia="MS Mincho"/>
              </w:rPr>
              <w:t>10</w:t>
            </w:r>
            <w:r w:rsidR="009E40F4">
              <w:rPr>
                <w:rFonts w:eastAsia="MS Mincho"/>
              </w:rPr>
              <w:t xml:space="preserve"> </w:t>
            </w:r>
            <w:r w:rsidR="002A7862">
              <w:rPr>
                <w:rFonts w:eastAsia="MS Mincho"/>
              </w:rPr>
              <w:t>ppm.</w:t>
            </w:r>
          </w:p>
        </w:tc>
      </w:tr>
      <w:tr w:rsidR="00260CD7" w:rsidRPr="00061F78" w:rsidTr="00043556">
        <w:trPr>
          <w:trHeight w:val="149"/>
        </w:trPr>
        <w:tc>
          <w:tcPr>
            <w:tcW w:w="324" w:type="pct"/>
            <w:tcMar>
              <w:left w:w="28" w:type="dxa"/>
              <w:right w:w="28" w:type="dxa"/>
            </w:tcMar>
          </w:tcPr>
          <w:p w:rsidR="00C5551B" w:rsidRDefault="00C5551B" w:rsidP="00F207DC">
            <w:pPr>
              <w:pStyle w:val="Tablewriting"/>
              <w:rPr>
                <w:rFonts w:eastAsia="MS Mincho"/>
              </w:rPr>
            </w:pPr>
            <w:r>
              <w:rPr>
                <w:rFonts w:eastAsia="MS Mincho"/>
              </w:rPr>
              <w:t>Cahill</w:t>
            </w:r>
          </w:p>
          <w:p w:rsidR="00C5551B" w:rsidRPr="004F1864" w:rsidRDefault="00C5551B" w:rsidP="00F207DC">
            <w:pPr>
              <w:pStyle w:val="Tablewriting"/>
              <w:rPr>
                <w:rFonts w:eastAsia="MS Mincho"/>
              </w:rPr>
            </w:pPr>
            <w:r>
              <w:rPr>
                <w:rFonts w:eastAsia="MS Mincho"/>
              </w:rPr>
              <w:t>(2016)</w:t>
            </w:r>
          </w:p>
        </w:tc>
        <w:tc>
          <w:tcPr>
            <w:tcW w:w="398" w:type="pct"/>
          </w:tcPr>
          <w:p w:rsidR="00C5551B" w:rsidRDefault="00C5551B" w:rsidP="00F207DC">
            <w:pPr>
              <w:pStyle w:val="Tablewriting"/>
              <w:rPr>
                <w:rFonts w:eastAsia="MS Mincho"/>
              </w:rPr>
            </w:pPr>
            <w:r>
              <w:rPr>
                <w:rFonts w:eastAsia="MS Mincho"/>
              </w:rPr>
              <w:t xml:space="preserve">Cochrane </w:t>
            </w:r>
            <w:r w:rsidR="00DC6241">
              <w:rPr>
                <w:rFonts w:eastAsia="MS Mincho"/>
              </w:rPr>
              <w:t>R</w:t>
            </w:r>
            <w:r>
              <w:rPr>
                <w:rFonts w:eastAsia="MS Mincho"/>
              </w:rPr>
              <w:t xml:space="preserve">eview    </w:t>
            </w:r>
          </w:p>
          <w:p w:rsidR="00C5551B" w:rsidRDefault="00C5551B" w:rsidP="00F207DC">
            <w:pPr>
              <w:pStyle w:val="Tablewriting"/>
              <w:rPr>
                <w:rFonts w:eastAsia="MS Mincho"/>
              </w:rPr>
            </w:pPr>
            <w:r>
              <w:rPr>
                <w:rFonts w:eastAsia="MS Mincho"/>
              </w:rPr>
              <w:t>(8 RCTs</w:t>
            </w:r>
            <w:r w:rsidR="00C3700A">
              <w:rPr>
                <w:rFonts w:eastAsia="MS Mincho"/>
                <w:vertAlign w:val="superscript"/>
              </w:rPr>
              <w:t>2</w:t>
            </w:r>
            <w:r>
              <w:rPr>
                <w:rFonts w:eastAsia="MS Mincho"/>
              </w:rPr>
              <w:t>)</w:t>
            </w:r>
          </w:p>
          <w:p w:rsidR="00C5551B" w:rsidRDefault="00C5551B" w:rsidP="00F207DC">
            <w:pPr>
              <w:pStyle w:val="Tablewriting"/>
              <w:rPr>
                <w:rFonts w:eastAsia="MS Mincho"/>
              </w:rPr>
            </w:pPr>
          </w:p>
        </w:tc>
        <w:tc>
          <w:tcPr>
            <w:tcW w:w="345" w:type="pct"/>
            <w:tcMar>
              <w:left w:w="28" w:type="dxa"/>
              <w:right w:w="28" w:type="dxa"/>
            </w:tcMar>
          </w:tcPr>
          <w:p w:rsidR="00C5551B" w:rsidRDefault="00C5551B" w:rsidP="00F207DC">
            <w:pPr>
              <w:pStyle w:val="Tablewriting"/>
              <w:rPr>
                <w:rFonts w:eastAsia="MS Mincho"/>
              </w:rPr>
            </w:pPr>
            <w:r>
              <w:rPr>
                <w:rFonts w:eastAsia="MS Mincho"/>
              </w:rPr>
              <w:lastRenderedPageBreak/>
              <w:t>N=6,264</w:t>
            </w:r>
          </w:p>
          <w:p w:rsidR="00C5551B" w:rsidRDefault="00C5551B" w:rsidP="00F207DC">
            <w:pPr>
              <w:pStyle w:val="Tablewriting"/>
              <w:rPr>
                <w:rFonts w:eastAsia="MS Mincho"/>
              </w:rPr>
            </w:pPr>
            <w:r>
              <w:rPr>
                <w:rFonts w:eastAsia="MS Mincho"/>
              </w:rPr>
              <w:t>NRT (n=3,037),</w:t>
            </w:r>
          </w:p>
          <w:p w:rsidR="00C5551B" w:rsidRPr="00061F78" w:rsidRDefault="00C5551B" w:rsidP="00F207DC">
            <w:pPr>
              <w:pStyle w:val="Tablewriting"/>
              <w:rPr>
                <w:rFonts w:eastAsia="MS Mincho"/>
              </w:rPr>
            </w:pPr>
            <w:r>
              <w:rPr>
                <w:rFonts w:eastAsia="MS Mincho"/>
              </w:rPr>
              <w:lastRenderedPageBreak/>
              <w:t>Varenicline (n=3,227)</w:t>
            </w:r>
          </w:p>
        </w:tc>
        <w:tc>
          <w:tcPr>
            <w:tcW w:w="1869" w:type="pct"/>
            <w:tcMar>
              <w:left w:w="28" w:type="dxa"/>
              <w:right w:w="28" w:type="dxa"/>
            </w:tcMar>
          </w:tcPr>
          <w:p w:rsidR="00C5551B" w:rsidRDefault="00C5551B" w:rsidP="00F207DC">
            <w:pPr>
              <w:pStyle w:val="Tablewriting"/>
              <w:rPr>
                <w:rFonts w:eastAsia="MS Mincho"/>
              </w:rPr>
            </w:pPr>
            <w:r w:rsidRPr="002C19B4">
              <w:rPr>
                <w:rFonts w:eastAsia="MS Mincho"/>
                <w:u w:val="single"/>
              </w:rPr>
              <w:lastRenderedPageBreak/>
              <w:t>Inclusion</w:t>
            </w:r>
            <w:r>
              <w:rPr>
                <w:rFonts w:eastAsia="MS Mincho"/>
              </w:rPr>
              <w:t>: a</w:t>
            </w:r>
            <w:r w:rsidRPr="00054702">
              <w:rPr>
                <w:rFonts w:eastAsia="MS Mincho"/>
              </w:rPr>
              <w:t>dult smokers</w:t>
            </w:r>
            <w:r w:rsidR="00AB5FA3">
              <w:rPr>
                <w:rFonts w:eastAsia="MS Mincho"/>
              </w:rPr>
              <w:t>.</w:t>
            </w:r>
            <w:r>
              <w:rPr>
                <w:rFonts w:eastAsia="MS Mincho"/>
              </w:rPr>
              <w:t xml:space="preserve"> </w:t>
            </w:r>
          </w:p>
          <w:p w:rsidR="00C5551B" w:rsidRPr="00061F78" w:rsidRDefault="00C5551B" w:rsidP="00F207DC">
            <w:pPr>
              <w:pStyle w:val="Tablewriting"/>
              <w:rPr>
                <w:rFonts w:eastAsia="MS Mincho"/>
              </w:rPr>
            </w:pPr>
            <w:r w:rsidRPr="002C19B4">
              <w:rPr>
                <w:rFonts w:eastAsia="MS Mincho"/>
                <w:u w:val="single"/>
              </w:rPr>
              <w:t>Exclusion</w:t>
            </w:r>
            <w:r>
              <w:rPr>
                <w:rFonts w:eastAsia="MS Mincho"/>
              </w:rPr>
              <w:t>: t</w:t>
            </w:r>
            <w:r w:rsidRPr="00490E8A">
              <w:rPr>
                <w:rFonts w:eastAsia="MS Mincho"/>
              </w:rPr>
              <w:t>rials which target users of smokeless tobacco</w:t>
            </w:r>
            <w:r w:rsidR="00AB5FA3">
              <w:rPr>
                <w:rFonts w:eastAsia="MS Mincho"/>
              </w:rPr>
              <w:t>.</w:t>
            </w:r>
          </w:p>
        </w:tc>
        <w:tc>
          <w:tcPr>
            <w:tcW w:w="839" w:type="pct"/>
          </w:tcPr>
          <w:p w:rsidR="00C5551B" w:rsidRPr="00061F78" w:rsidRDefault="00C5551B" w:rsidP="00F207DC">
            <w:pPr>
              <w:pStyle w:val="Tablewriting"/>
              <w:rPr>
                <w:rFonts w:eastAsia="MS Mincho"/>
              </w:rPr>
            </w:pPr>
            <w:r>
              <w:rPr>
                <w:rFonts w:eastAsia="MS Mincho"/>
              </w:rPr>
              <w:t>NRT: NRT patch</w:t>
            </w:r>
            <w:r w:rsidR="002B152C">
              <w:rPr>
                <w:rFonts w:eastAsia="MS Mincho"/>
              </w:rPr>
              <w:t>;</w:t>
            </w:r>
            <w:r w:rsidR="003E6726">
              <w:rPr>
                <w:rFonts w:eastAsia="MS Mincho"/>
              </w:rPr>
              <w:t xml:space="preserve"> </w:t>
            </w:r>
            <w:r>
              <w:rPr>
                <w:rFonts w:eastAsia="MS Mincho"/>
              </w:rPr>
              <w:t>Varenicline: 1mg twice daily including titration</w:t>
            </w:r>
            <w:r w:rsidRPr="001B0165">
              <w:rPr>
                <w:rFonts w:eastAsia="MS Mincho"/>
              </w:rPr>
              <w:t xml:space="preserve"> </w:t>
            </w:r>
            <w:r w:rsidRPr="001B0165">
              <w:rPr>
                <w:rFonts w:eastAsia="MS Mincho"/>
              </w:rPr>
              <w:lastRenderedPageBreak/>
              <w:t>(i.e. 0.5</w:t>
            </w:r>
            <w:r w:rsidR="009E40F4">
              <w:rPr>
                <w:rFonts w:eastAsia="MS Mincho"/>
              </w:rPr>
              <w:t xml:space="preserve"> </w:t>
            </w:r>
            <w:r w:rsidRPr="001B0165">
              <w:rPr>
                <w:rFonts w:eastAsia="MS Mincho"/>
              </w:rPr>
              <w:t>mg once daily for 3 days, then 0.5</w:t>
            </w:r>
            <w:r w:rsidR="009E40F4">
              <w:rPr>
                <w:rFonts w:eastAsia="MS Mincho"/>
              </w:rPr>
              <w:t xml:space="preserve"> </w:t>
            </w:r>
            <w:r w:rsidRPr="001B0165">
              <w:rPr>
                <w:rFonts w:eastAsia="MS Mincho"/>
              </w:rPr>
              <w:t>mg twice daily for 4 days, then 1</w:t>
            </w:r>
            <w:r w:rsidR="009E40F4">
              <w:rPr>
                <w:rFonts w:eastAsia="MS Mincho"/>
              </w:rPr>
              <w:t xml:space="preserve"> </w:t>
            </w:r>
            <w:r w:rsidRPr="001B0165">
              <w:rPr>
                <w:rFonts w:eastAsia="MS Mincho"/>
              </w:rPr>
              <w:t>mg twice daily)</w:t>
            </w:r>
            <w:r w:rsidR="00AB5FA3">
              <w:rPr>
                <w:rFonts w:eastAsia="MS Mincho"/>
              </w:rPr>
              <w:t>.</w:t>
            </w:r>
          </w:p>
        </w:tc>
        <w:tc>
          <w:tcPr>
            <w:tcW w:w="1225" w:type="pct"/>
            <w:tcMar>
              <w:left w:w="28" w:type="dxa"/>
              <w:right w:w="28" w:type="dxa"/>
            </w:tcMar>
          </w:tcPr>
          <w:p w:rsidR="00C5551B" w:rsidRDefault="00C5551B" w:rsidP="00F207DC">
            <w:pPr>
              <w:pStyle w:val="Tablewriting"/>
              <w:rPr>
                <w:rFonts w:eastAsia="MS Mincho"/>
              </w:rPr>
            </w:pPr>
            <w:r w:rsidRPr="0036499C">
              <w:rPr>
                <w:rFonts w:eastAsia="MS Mincho"/>
                <w:u w:val="single"/>
              </w:rPr>
              <w:lastRenderedPageBreak/>
              <w:t>Primary</w:t>
            </w:r>
            <w:r>
              <w:rPr>
                <w:rFonts w:eastAsia="MS Mincho"/>
              </w:rPr>
              <w:t>: point prevalence abstinence at 24 weeks</w:t>
            </w:r>
            <w:r w:rsidR="00AB5FA3">
              <w:rPr>
                <w:rFonts w:eastAsia="MS Mincho"/>
              </w:rPr>
              <w:t>.</w:t>
            </w:r>
          </w:p>
          <w:p w:rsidR="00C5551B" w:rsidRPr="00061F78" w:rsidRDefault="00C5551B" w:rsidP="00F207DC">
            <w:pPr>
              <w:pStyle w:val="Tablewriting"/>
              <w:rPr>
                <w:rFonts w:eastAsia="MS Mincho"/>
              </w:rPr>
            </w:pPr>
          </w:p>
        </w:tc>
      </w:tr>
      <w:tr w:rsidR="00742219" w:rsidRPr="00061F78" w:rsidTr="00043556">
        <w:trPr>
          <w:trHeight w:val="149"/>
        </w:trPr>
        <w:tc>
          <w:tcPr>
            <w:tcW w:w="324" w:type="pct"/>
            <w:tcMar>
              <w:left w:w="28" w:type="dxa"/>
              <w:right w:w="28" w:type="dxa"/>
            </w:tcMar>
          </w:tcPr>
          <w:p w:rsidR="008E2DD1" w:rsidRDefault="520F43DA" w:rsidP="00F207DC">
            <w:pPr>
              <w:pStyle w:val="Tablewriting"/>
              <w:rPr>
                <w:rFonts w:eastAsia="MS Mincho"/>
              </w:rPr>
            </w:pPr>
            <w:r>
              <w:rPr>
                <w:rFonts w:eastAsia="MS Mincho"/>
              </w:rPr>
              <w:t>Lerman (2015)</w:t>
            </w:r>
          </w:p>
        </w:tc>
        <w:tc>
          <w:tcPr>
            <w:tcW w:w="398" w:type="pct"/>
          </w:tcPr>
          <w:p w:rsidR="008E2DD1" w:rsidRDefault="008E2DD1" w:rsidP="00F207DC">
            <w:pPr>
              <w:pStyle w:val="Tablewriting"/>
              <w:rPr>
                <w:rFonts w:eastAsia="MS Mincho"/>
              </w:rPr>
            </w:pPr>
            <w:r>
              <w:rPr>
                <w:rFonts w:eastAsia="MS Mincho"/>
              </w:rPr>
              <w:t>RCT</w:t>
            </w:r>
          </w:p>
        </w:tc>
        <w:tc>
          <w:tcPr>
            <w:tcW w:w="345" w:type="pct"/>
            <w:tcMar>
              <w:left w:w="28" w:type="dxa"/>
              <w:right w:w="28" w:type="dxa"/>
            </w:tcMar>
          </w:tcPr>
          <w:p w:rsidR="00545740" w:rsidRDefault="008E2DD1" w:rsidP="00F207DC">
            <w:pPr>
              <w:pStyle w:val="Tablewriting"/>
              <w:rPr>
                <w:rFonts w:eastAsia="MS Mincho"/>
              </w:rPr>
            </w:pPr>
            <w:r>
              <w:rPr>
                <w:rFonts w:eastAsia="MS Mincho"/>
              </w:rPr>
              <w:t>N=1,246</w:t>
            </w:r>
          </w:p>
          <w:p w:rsidR="00545740" w:rsidRDefault="00545740" w:rsidP="00F207DC">
            <w:pPr>
              <w:pStyle w:val="Tablewriting"/>
              <w:rPr>
                <w:rFonts w:eastAsia="MS Mincho"/>
              </w:rPr>
            </w:pPr>
            <w:r>
              <w:rPr>
                <w:rFonts w:eastAsia="MS Mincho"/>
              </w:rPr>
              <w:t>NRT (n=418),</w:t>
            </w:r>
          </w:p>
          <w:p w:rsidR="008E2DD1" w:rsidRDefault="00545740" w:rsidP="00F207DC">
            <w:pPr>
              <w:pStyle w:val="Tablewriting"/>
              <w:rPr>
                <w:rFonts w:eastAsia="MS Mincho"/>
              </w:rPr>
            </w:pPr>
            <w:r>
              <w:rPr>
                <w:rFonts w:eastAsia="MS Mincho"/>
              </w:rPr>
              <w:t>Varenicline (n=420)</w:t>
            </w:r>
          </w:p>
        </w:tc>
        <w:tc>
          <w:tcPr>
            <w:tcW w:w="1869" w:type="pct"/>
            <w:tcMar>
              <w:left w:w="28" w:type="dxa"/>
              <w:right w:w="28" w:type="dxa"/>
            </w:tcMar>
          </w:tcPr>
          <w:p w:rsidR="008E2DD1" w:rsidRDefault="008E2DD1" w:rsidP="00F207DC">
            <w:pPr>
              <w:pStyle w:val="Tablewriting"/>
              <w:rPr>
                <w:rFonts w:eastAsia="MS Mincho"/>
              </w:rPr>
            </w:pPr>
            <w:r w:rsidRPr="007F28D7">
              <w:rPr>
                <w:rFonts w:eastAsia="MS Mincho"/>
                <w:u w:val="single"/>
              </w:rPr>
              <w:t>Inclusion</w:t>
            </w:r>
            <w:r>
              <w:rPr>
                <w:rFonts w:eastAsia="MS Mincho"/>
              </w:rPr>
              <w:t xml:space="preserve">: </w:t>
            </w:r>
            <w:r w:rsidRPr="00C522B0">
              <w:rPr>
                <w:rFonts w:eastAsia="MS Mincho"/>
              </w:rPr>
              <w:t>18</w:t>
            </w:r>
            <w:r>
              <w:rPr>
                <w:rFonts w:eastAsia="MS Mincho"/>
              </w:rPr>
              <w:t>-6</w:t>
            </w:r>
            <w:r w:rsidRPr="00C522B0">
              <w:rPr>
                <w:rFonts w:eastAsia="MS Mincho"/>
              </w:rPr>
              <w:t>5 years</w:t>
            </w:r>
            <w:r>
              <w:rPr>
                <w:rFonts w:eastAsia="MS Mincho"/>
              </w:rPr>
              <w:t xml:space="preserve"> old</w:t>
            </w:r>
            <w:r w:rsidRPr="00C522B0">
              <w:rPr>
                <w:rFonts w:eastAsia="MS Mincho"/>
              </w:rPr>
              <w:t>, ≥10 cigarettes</w:t>
            </w:r>
            <w:r>
              <w:rPr>
                <w:rFonts w:eastAsia="MS Mincho"/>
              </w:rPr>
              <w:t xml:space="preserve"> per </w:t>
            </w:r>
            <w:r w:rsidRPr="00C522B0">
              <w:rPr>
                <w:rFonts w:eastAsia="MS Mincho"/>
              </w:rPr>
              <w:t xml:space="preserve">day </w:t>
            </w:r>
            <w:r>
              <w:rPr>
                <w:rFonts w:eastAsia="MS Mincho"/>
              </w:rPr>
              <w:t xml:space="preserve">for </w:t>
            </w:r>
            <w:r>
              <w:rPr>
                <w:rFonts w:eastAsia="MS Mincho" w:cstheme="minorHAnsi"/>
              </w:rPr>
              <w:t>≥</w:t>
            </w:r>
            <w:r>
              <w:rPr>
                <w:rFonts w:eastAsia="MS Mincho"/>
              </w:rPr>
              <w:t>6 months (verified by CO &gt;10 ppm)</w:t>
            </w:r>
            <w:r w:rsidR="00AB5FA3">
              <w:rPr>
                <w:rFonts w:eastAsia="MS Mincho"/>
              </w:rPr>
              <w:t>.</w:t>
            </w:r>
          </w:p>
          <w:p w:rsidR="008E2DD1" w:rsidRPr="002C19B4" w:rsidRDefault="008E2DD1" w:rsidP="00F207DC">
            <w:pPr>
              <w:pStyle w:val="Tablewriting"/>
              <w:rPr>
                <w:rFonts w:eastAsia="MS Mincho"/>
                <w:u w:val="single"/>
              </w:rPr>
            </w:pPr>
            <w:r w:rsidRPr="007F28D7">
              <w:rPr>
                <w:rFonts w:eastAsia="MS Mincho"/>
                <w:u w:val="single"/>
              </w:rPr>
              <w:t>Exclusion</w:t>
            </w:r>
            <w:r>
              <w:rPr>
                <w:rFonts w:eastAsia="MS Mincho"/>
              </w:rPr>
              <w:t xml:space="preserve">: </w:t>
            </w:r>
            <w:r w:rsidRPr="002674DD">
              <w:rPr>
                <w:rFonts w:eastAsia="MS Mincho"/>
              </w:rPr>
              <w:t>use of non-cigarette tobacco products, e-cigarettes, or current smoking treatment;</w:t>
            </w:r>
            <w:r>
              <w:rPr>
                <w:rFonts w:eastAsia="MS Mincho"/>
              </w:rPr>
              <w:t xml:space="preserve"> </w:t>
            </w:r>
            <w:r w:rsidRPr="002674DD">
              <w:rPr>
                <w:rFonts w:eastAsia="MS Mincho"/>
              </w:rPr>
              <w:t>history of substance abuse treatment, current use of cocaine or methamphetamine, or &gt;25 alcoholic drinks/week; medical contraindication</w:t>
            </w:r>
            <w:r>
              <w:rPr>
                <w:rFonts w:eastAsia="MS Mincho"/>
              </w:rPr>
              <w:t>s</w:t>
            </w:r>
            <w:r w:rsidRPr="002674DD">
              <w:rPr>
                <w:rFonts w:eastAsia="MS Mincho"/>
              </w:rPr>
              <w:t>; history of DSM-IV Axis 1 psychiatric disorder or suicide risk score on the MINI International Neuropsychiatric Interview (MINI)&gt;1,or current major depression; current use of anti-psychotics, stimulants, opiate medications, anti-coagulants, rescue inhalers, anti</w:t>
            </w:r>
            <w:r>
              <w:rPr>
                <w:rFonts w:eastAsia="MS Mincho"/>
              </w:rPr>
              <w:t>-</w:t>
            </w:r>
            <w:r w:rsidRPr="002674DD">
              <w:rPr>
                <w:rFonts w:eastAsia="MS Mincho"/>
              </w:rPr>
              <w:t>arrythmics, or medications altering CYP2A6 activi</w:t>
            </w:r>
            <w:r>
              <w:rPr>
                <w:rFonts w:eastAsia="MS Mincho"/>
              </w:rPr>
              <w:t>ty</w:t>
            </w:r>
            <w:r w:rsidRPr="002674DD">
              <w:rPr>
                <w:rFonts w:eastAsia="MS Mincho"/>
              </w:rPr>
              <w:t>; and</w:t>
            </w:r>
            <w:r>
              <w:rPr>
                <w:rFonts w:eastAsia="MS Mincho"/>
              </w:rPr>
              <w:t xml:space="preserve"> </w:t>
            </w:r>
            <w:r w:rsidRPr="002674DD">
              <w:rPr>
                <w:rFonts w:eastAsia="MS Mincho"/>
              </w:rPr>
              <w:t>inability to provide informed consent or any condition that could compromise safety.</w:t>
            </w:r>
          </w:p>
        </w:tc>
        <w:tc>
          <w:tcPr>
            <w:tcW w:w="839" w:type="pct"/>
          </w:tcPr>
          <w:p w:rsidR="00545740" w:rsidRDefault="00545740" w:rsidP="00F207DC">
            <w:pPr>
              <w:pStyle w:val="Tablewriting"/>
              <w:rPr>
                <w:rFonts w:eastAsia="MS Mincho"/>
              </w:rPr>
            </w:pPr>
            <w:r w:rsidRPr="00C5551B">
              <w:rPr>
                <w:rFonts w:eastAsia="MS Mincho"/>
              </w:rPr>
              <w:t>NRT: NRT patch</w:t>
            </w:r>
            <w:r>
              <w:rPr>
                <w:rFonts w:eastAsia="MS Mincho"/>
              </w:rPr>
              <w:t xml:space="preserve"> over 1</w:t>
            </w:r>
            <w:r w:rsidR="00DE02EF">
              <w:rPr>
                <w:rFonts w:eastAsia="MS Mincho"/>
              </w:rPr>
              <w:t>1</w:t>
            </w:r>
            <w:r>
              <w:rPr>
                <w:rFonts w:eastAsia="MS Mincho"/>
              </w:rPr>
              <w:t xml:space="preserve"> weeks (21</w:t>
            </w:r>
            <w:r w:rsidR="009E40F4">
              <w:rPr>
                <w:rFonts w:eastAsia="MS Mincho"/>
              </w:rPr>
              <w:t xml:space="preserve"> </w:t>
            </w:r>
            <w:r>
              <w:rPr>
                <w:rFonts w:eastAsia="MS Mincho"/>
              </w:rPr>
              <w:t>mg/day first 6 weeks, 14</w:t>
            </w:r>
            <w:r w:rsidR="00DE02EF">
              <w:rPr>
                <w:rFonts w:eastAsia="MS Mincho"/>
              </w:rPr>
              <w:t xml:space="preserve"> </w:t>
            </w:r>
            <w:r>
              <w:rPr>
                <w:rFonts w:eastAsia="MS Mincho"/>
              </w:rPr>
              <w:t>mg/day for 2 weeks then 7</w:t>
            </w:r>
            <w:r w:rsidR="00DE02EF">
              <w:rPr>
                <w:rFonts w:eastAsia="MS Mincho"/>
              </w:rPr>
              <w:t xml:space="preserve"> </w:t>
            </w:r>
            <w:r>
              <w:rPr>
                <w:rFonts w:eastAsia="MS Mincho"/>
              </w:rPr>
              <w:t xml:space="preserve">mg/day for </w:t>
            </w:r>
            <w:r w:rsidR="00DE02EF">
              <w:rPr>
                <w:rFonts w:eastAsia="MS Mincho"/>
              </w:rPr>
              <w:t>3</w:t>
            </w:r>
            <w:r>
              <w:rPr>
                <w:rFonts w:eastAsia="MS Mincho"/>
              </w:rPr>
              <w:t xml:space="preserve"> weeks)</w:t>
            </w:r>
            <w:r w:rsidR="002B152C">
              <w:rPr>
                <w:rFonts w:eastAsia="MS Mincho"/>
              </w:rPr>
              <w:t>;</w:t>
            </w:r>
            <w:r w:rsidR="003E6726">
              <w:rPr>
                <w:rFonts w:eastAsia="MS Mincho"/>
              </w:rPr>
              <w:t xml:space="preserve"> </w:t>
            </w:r>
            <w:r w:rsidRPr="00C5551B">
              <w:rPr>
                <w:rFonts w:eastAsia="MS Mincho"/>
              </w:rPr>
              <w:t>Varenicline: 1</w:t>
            </w:r>
            <w:r w:rsidR="00DE02EF">
              <w:rPr>
                <w:rFonts w:eastAsia="MS Mincho"/>
              </w:rPr>
              <w:t xml:space="preserve"> </w:t>
            </w:r>
            <w:r w:rsidRPr="00C5551B">
              <w:rPr>
                <w:rFonts w:eastAsia="MS Mincho"/>
              </w:rPr>
              <w:t xml:space="preserve">mg twice daily including titration </w:t>
            </w:r>
            <w:r>
              <w:rPr>
                <w:rFonts w:eastAsia="MS Mincho"/>
              </w:rPr>
              <w:t xml:space="preserve">over 12 weeks </w:t>
            </w:r>
            <w:r w:rsidRPr="00C5551B">
              <w:rPr>
                <w:rFonts w:eastAsia="MS Mincho"/>
              </w:rPr>
              <w:t>(i.e. 0.5</w:t>
            </w:r>
            <w:r w:rsidR="00DE02EF">
              <w:rPr>
                <w:rFonts w:eastAsia="MS Mincho"/>
              </w:rPr>
              <w:t xml:space="preserve"> </w:t>
            </w:r>
            <w:r w:rsidRPr="00C5551B">
              <w:rPr>
                <w:rFonts w:eastAsia="MS Mincho"/>
              </w:rPr>
              <w:t>mg once daily for 3 days, then 0.5</w:t>
            </w:r>
            <w:r w:rsidR="00DE02EF">
              <w:rPr>
                <w:rFonts w:eastAsia="MS Mincho"/>
              </w:rPr>
              <w:t xml:space="preserve"> </w:t>
            </w:r>
            <w:r w:rsidRPr="00C5551B">
              <w:rPr>
                <w:rFonts w:eastAsia="MS Mincho"/>
              </w:rPr>
              <w:t>mg twice daily for 4 days, then 1</w:t>
            </w:r>
            <w:r w:rsidR="00DE02EF">
              <w:rPr>
                <w:rFonts w:eastAsia="MS Mincho"/>
              </w:rPr>
              <w:t xml:space="preserve"> </w:t>
            </w:r>
            <w:r w:rsidRPr="00C5551B">
              <w:rPr>
                <w:rFonts w:eastAsia="MS Mincho"/>
              </w:rPr>
              <w:t>mg twice daily)</w:t>
            </w:r>
            <w:r w:rsidR="00AB5FA3">
              <w:rPr>
                <w:rFonts w:eastAsia="MS Mincho"/>
              </w:rPr>
              <w:t>.</w:t>
            </w:r>
          </w:p>
          <w:p w:rsidR="008E2DD1" w:rsidRDefault="008E2DD1" w:rsidP="00F207DC">
            <w:pPr>
              <w:pStyle w:val="Tablewriting"/>
              <w:rPr>
                <w:rFonts w:eastAsia="MS Mincho"/>
              </w:rPr>
            </w:pPr>
          </w:p>
          <w:p w:rsidR="008E2DD1" w:rsidRDefault="008E2DD1" w:rsidP="00F207DC">
            <w:pPr>
              <w:pStyle w:val="Tablewriting"/>
              <w:rPr>
                <w:rFonts w:eastAsia="MS Mincho"/>
              </w:rPr>
            </w:pPr>
            <w:r w:rsidRPr="006C0130">
              <w:rPr>
                <w:rFonts w:eastAsia="MS Mincho"/>
              </w:rPr>
              <w:t>Behavioural support provided in both arms.</w:t>
            </w:r>
          </w:p>
        </w:tc>
        <w:tc>
          <w:tcPr>
            <w:tcW w:w="1225" w:type="pct"/>
            <w:tcMar>
              <w:left w:w="28" w:type="dxa"/>
              <w:right w:w="28" w:type="dxa"/>
            </w:tcMar>
          </w:tcPr>
          <w:p w:rsidR="008E2DD1" w:rsidRDefault="008E2DD1" w:rsidP="00F207DC">
            <w:pPr>
              <w:pStyle w:val="Tablewriting"/>
              <w:rPr>
                <w:rFonts w:eastAsia="MS Mincho"/>
              </w:rPr>
            </w:pPr>
            <w:r w:rsidRPr="008C39E4">
              <w:rPr>
                <w:rFonts w:eastAsia="MS Mincho"/>
                <w:u w:val="single"/>
              </w:rPr>
              <w:t>Primary</w:t>
            </w:r>
            <w:r>
              <w:rPr>
                <w:rFonts w:eastAsia="MS Mincho"/>
              </w:rPr>
              <w:t>: 7-day PPA at Week 11 (end of treatment). Validated by CO &lt;8 ppm.</w:t>
            </w:r>
          </w:p>
          <w:p w:rsidR="008E2DD1" w:rsidRPr="0036499C" w:rsidRDefault="008E2DD1" w:rsidP="00F207DC">
            <w:pPr>
              <w:pStyle w:val="Tablewriting"/>
              <w:rPr>
                <w:rFonts w:eastAsia="MS Mincho"/>
                <w:u w:val="single"/>
              </w:rPr>
            </w:pPr>
            <w:r w:rsidRPr="008C39E4">
              <w:rPr>
                <w:rFonts w:eastAsia="MS Mincho"/>
                <w:u w:val="single"/>
              </w:rPr>
              <w:t>Secondary</w:t>
            </w:r>
            <w:r>
              <w:rPr>
                <w:rFonts w:eastAsia="MS Mincho"/>
              </w:rPr>
              <w:t>: 7-day PPA at 6 and 12 months, adverse events, w</w:t>
            </w:r>
            <w:r w:rsidRPr="00C6077A">
              <w:rPr>
                <w:rFonts w:eastAsia="MS Mincho"/>
              </w:rPr>
              <w:t>ithdrawal symptoms (using MNWS)</w:t>
            </w:r>
            <w:r w:rsidR="00AB5FA3">
              <w:rPr>
                <w:rFonts w:eastAsia="MS Mincho"/>
              </w:rPr>
              <w:t>.</w:t>
            </w:r>
          </w:p>
        </w:tc>
      </w:tr>
      <w:tr w:rsidR="00043556" w:rsidRPr="00061F78" w:rsidTr="00043556">
        <w:trPr>
          <w:trHeight w:val="149"/>
        </w:trPr>
        <w:tc>
          <w:tcPr>
            <w:tcW w:w="324" w:type="pct"/>
            <w:tcMar>
              <w:left w:w="28" w:type="dxa"/>
              <w:right w:w="28" w:type="dxa"/>
            </w:tcMar>
          </w:tcPr>
          <w:p w:rsidR="00043556" w:rsidRDefault="00043556" w:rsidP="00F207DC">
            <w:pPr>
              <w:pStyle w:val="Tablewriting"/>
              <w:rPr>
                <w:rFonts w:eastAsia="MS Mincho"/>
              </w:rPr>
            </w:pPr>
            <w:r>
              <w:rPr>
                <w:rFonts w:eastAsia="MS Mincho"/>
              </w:rPr>
              <w:t>Tulloch</w:t>
            </w:r>
          </w:p>
          <w:p w:rsidR="00043556" w:rsidRDefault="176D82EB" w:rsidP="00F207DC">
            <w:pPr>
              <w:pStyle w:val="Tablewriting"/>
              <w:rPr>
                <w:rFonts w:eastAsia="MS Mincho"/>
              </w:rPr>
            </w:pPr>
            <w:r>
              <w:rPr>
                <w:rFonts w:eastAsia="MS Mincho"/>
              </w:rPr>
              <w:t>(2016)</w:t>
            </w:r>
          </w:p>
        </w:tc>
        <w:tc>
          <w:tcPr>
            <w:tcW w:w="398" w:type="pct"/>
          </w:tcPr>
          <w:p w:rsidR="00043556" w:rsidRDefault="00043556" w:rsidP="00F207DC">
            <w:pPr>
              <w:pStyle w:val="Tablewriting"/>
              <w:rPr>
                <w:rFonts w:eastAsia="MS Mincho"/>
              </w:rPr>
            </w:pPr>
            <w:r>
              <w:rPr>
                <w:rFonts w:eastAsia="MS Mincho"/>
              </w:rPr>
              <w:t>RCT</w:t>
            </w:r>
          </w:p>
        </w:tc>
        <w:tc>
          <w:tcPr>
            <w:tcW w:w="345" w:type="pct"/>
            <w:tcMar>
              <w:left w:w="28" w:type="dxa"/>
              <w:right w:w="28" w:type="dxa"/>
            </w:tcMar>
          </w:tcPr>
          <w:p w:rsidR="00043556" w:rsidRDefault="00043556" w:rsidP="00F207DC">
            <w:pPr>
              <w:pStyle w:val="Tablewriting"/>
              <w:rPr>
                <w:rFonts w:eastAsia="MS Mincho"/>
              </w:rPr>
            </w:pPr>
            <w:r>
              <w:rPr>
                <w:rFonts w:eastAsia="MS Mincho"/>
              </w:rPr>
              <w:t>N=737</w:t>
            </w:r>
          </w:p>
          <w:p w:rsidR="00043556" w:rsidRDefault="00043556" w:rsidP="00F207DC">
            <w:pPr>
              <w:pStyle w:val="Tablewriting"/>
              <w:rPr>
                <w:rFonts w:eastAsia="MS Mincho"/>
              </w:rPr>
            </w:pPr>
            <w:r>
              <w:rPr>
                <w:rFonts w:eastAsia="MS Mincho"/>
              </w:rPr>
              <w:t>NRT (n=245),</w:t>
            </w:r>
          </w:p>
          <w:p w:rsidR="00043556" w:rsidRDefault="00043556" w:rsidP="00F207DC">
            <w:pPr>
              <w:pStyle w:val="Tablewriting"/>
              <w:rPr>
                <w:rFonts w:eastAsia="MS Mincho"/>
              </w:rPr>
            </w:pPr>
            <w:r>
              <w:rPr>
                <w:rFonts w:eastAsia="MS Mincho"/>
              </w:rPr>
              <w:t>Varenicline (n=247)</w:t>
            </w:r>
          </w:p>
        </w:tc>
        <w:tc>
          <w:tcPr>
            <w:tcW w:w="1869" w:type="pct"/>
            <w:tcMar>
              <w:left w:w="28" w:type="dxa"/>
              <w:right w:w="28" w:type="dxa"/>
            </w:tcMar>
          </w:tcPr>
          <w:p w:rsidR="00043556" w:rsidRDefault="00043556" w:rsidP="00F207DC">
            <w:pPr>
              <w:pStyle w:val="Tablewriting"/>
              <w:rPr>
                <w:rFonts w:eastAsia="MS Mincho"/>
              </w:rPr>
            </w:pPr>
            <w:r w:rsidRPr="007F28D7">
              <w:rPr>
                <w:rFonts w:eastAsia="MS Mincho"/>
                <w:u w:val="single"/>
              </w:rPr>
              <w:t>Inclusion</w:t>
            </w:r>
            <w:r>
              <w:rPr>
                <w:rFonts w:eastAsia="MS Mincho"/>
              </w:rPr>
              <w:t xml:space="preserve">: </w:t>
            </w:r>
            <w:r w:rsidR="00DB39BC">
              <w:rPr>
                <w:rFonts w:eastAsia="MS Mincho" w:cstheme="minorHAnsi"/>
              </w:rPr>
              <w:t>≥</w:t>
            </w:r>
            <w:r w:rsidR="00DB39BC">
              <w:rPr>
                <w:rFonts w:eastAsia="MS Mincho"/>
              </w:rPr>
              <w:t>1</w:t>
            </w:r>
            <w:r w:rsidR="00DB39BC" w:rsidRPr="00DB39BC">
              <w:rPr>
                <w:rFonts w:eastAsia="MS Mincho"/>
              </w:rPr>
              <w:t>8 years old, ≥10 cigarettes per day, willing to make a quit attempt in the next 2–4 weeks.</w:t>
            </w:r>
          </w:p>
          <w:p w:rsidR="00043556" w:rsidRPr="002C19B4" w:rsidRDefault="00043556" w:rsidP="00F207DC">
            <w:pPr>
              <w:pStyle w:val="Tablewriting"/>
              <w:rPr>
                <w:rFonts w:eastAsia="MS Mincho"/>
                <w:u w:val="single"/>
              </w:rPr>
            </w:pPr>
            <w:r w:rsidRPr="007F28D7">
              <w:rPr>
                <w:rFonts w:eastAsia="MS Mincho"/>
                <w:u w:val="single"/>
              </w:rPr>
              <w:t>Exclusion</w:t>
            </w:r>
            <w:r>
              <w:rPr>
                <w:rFonts w:eastAsia="MS Mincho"/>
              </w:rPr>
              <w:t xml:space="preserve">: </w:t>
            </w:r>
            <w:r w:rsidR="00046CAD" w:rsidRPr="00046CAD">
              <w:rPr>
                <w:rFonts w:eastAsia="MS Mincho"/>
              </w:rPr>
              <w:t>use of NRT or varenicline for more than 72</w:t>
            </w:r>
            <w:r w:rsidR="00046CAD">
              <w:rPr>
                <w:rFonts w:eastAsia="MS Mincho"/>
              </w:rPr>
              <w:t xml:space="preserve"> </w:t>
            </w:r>
            <w:r w:rsidR="00046CAD" w:rsidRPr="00046CAD">
              <w:rPr>
                <w:rFonts w:eastAsia="MS Mincho"/>
              </w:rPr>
              <w:t>consecutive hours in the past month; presence of contra-indications to the use of study medications; serious cardiac arrhythmias or a myocardial infarction or cerebral vascular accident within the previous 10 days; severe or unstable angina pectoris; end-stage renal disease or use of cimetidine; alcohol or substance abuse in the previous 3 months; unstable psychiatric symptoms precluding informed consent;</w:t>
            </w:r>
            <w:r w:rsidR="00EF06C9">
              <w:rPr>
                <w:rFonts w:eastAsia="MS Mincho"/>
              </w:rPr>
              <w:t xml:space="preserve"> </w:t>
            </w:r>
            <w:r w:rsidR="00046CAD" w:rsidRPr="00046CAD">
              <w:rPr>
                <w:rFonts w:eastAsia="MS Mincho"/>
              </w:rPr>
              <w:t>pregnant, lactating, or likely to become pregnant in the next y</w:t>
            </w:r>
            <w:r w:rsidR="00EF06C9">
              <w:rPr>
                <w:rFonts w:eastAsia="MS Mincho"/>
              </w:rPr>
              <w:t>ear.</w:t>
            </w:r>
          </w:p>
        </w:tc>
        <w:tc>
          <w:tcPr>
            <w:tcW w:w="839" w:type="pct"/>
          </w:tcPr>
          <w:p w:rsidR="00043556" w:rsidRDefault="00043556" w:rsidP="00F207DC">
            <w:pPr>
              <w:pStyle w:val="Tablewriting"/>
              <w:rPr>
                <w:rFonts w:eastAsia="MS Mincho"/>
              </w:rPr>
            </w:pPr>
            <w:r w:rsidRPr="00C5551B">
              <w:rPr>
                <w:rFonts w:eastAsia="MS Mincho"/>
              </w:rPr>
              <w:t>NRT: NRT patch</w:t>
            </w:r>
            <w:r>
              <w:rPr>
                <w:rFonts w:eastAsia="MS Mincho"/>
              </w:rPr>
              <w:t xml:space="preserve"> over 1</w:t>
            </w:r>
            <w:r w:rsidR="00EF06C9">
              <w:rPr>
                <w:rFonts w:eastAsia="MS Mincho"/>
              </w:rPr>
              <w:t>0</w:t>
            </w:r>
            <w:r>
              <w:rPr>
                <w:rFonts w:eastAsia="MS Mincho"/>
              </w:rPr>
              <w:t xml:space="preserve"> weeks (</w:t>
            </w:r>
            <w:r w:rsidR="0080219B">
              <w:rPr>
                <w:rFonts w:eastAsia="MS Mincho" w:cstheme="minorHAnsi"/>
              </w:rPr>
              <w:t>≥</w:t>
            </w:r>
            <w:r w:rsidR="0080219B">
              <w:rPr>
                <w:rFonts w:eastAsia="MS Mincho"/>
              </w:rPr>
              <w:t xml:space="preserve">20 cigarettes per day: </w:t>
            </w:r>
            <w:r>
              <w:rPr>
                <w:rFonts w:eastAsia="MS Mincho"/>
              </w:rPr>
              <w:t xml:space="preserve">21 mg/day first 6 weeks, 14 mg/day for 2 weeks then 7 mg/day for </w:t>
            </w:r>
            <w:r w:rsidR="0080219B">
              <w:rPr>
                <w:rFonts w:eastAsia="MS Mincho"/>
              </w:rPr>
              <w:t>2</w:t>
            </w:r>
            <w:r>
              <w:rPr>
                <w:rFonts w:eastAsia="MS Mincho"/>
              </w:rPr>
              <w:t xml:space="preserve"> weeks</w:t>
            </w:r>
            <w:r w:rsidR="0080219B">
              <w:rPr>
                <w:rFonts w:eastAsia="MS Mincho"/>
              </w:rPr>
              <w:t xml:space="preserve">; </w:t>
            </w:r>
            <w:r w:rsidR="00261D63">
              <w:rPr>
                <w:rFonts w:eastAsia="MS Mincho"/>
              </w:rPr>
              <w:t>&lt;20 cigarettes per day: 14 mg/day for 6 weeks then 7 mg/day for 4 weeks</w:t>
            </w:r>
            <w:r>
              <w:rPr>
                <w:rFonts w:eastAsia="MS Mincho"/>
              </w:rPr>
              <w:t>)</w:t>
            </w:r>
            <w:r w:rsidR="002B152C">
              <w:rPr>
                <w:rFonts w:eastAsia="MS Mincho"/>
              </w:rPr>
              <w:t>;</w:t>
            </w:r>
            <w:r w:rsidR="003E6726">
              <w:rPr>
                <w:rFonts w:eastAsia="MS Mincho"/>
              </w:rPr>
              <w:t xml:space="preserve"> </w:t>
            </w:r>
            <w:r w:rsidRPr="00C5551B">
              <w:rPr>
                <w:rFonts w:eastAsia="MS Mincho"/>
              </w:rPr>
              <w:t>Varenicline: 1</w:t>
            </w:r>
            <w:r>
              <w:rPr>
                <w:rFonts w:eastAsia="MS Mincho"/>
              </w:rPr>
              <w:t xml:space="preserve"> </w:t>
            </w:r>
            <w:r w:rsidRPr="00C5551B">
              <w:rPr>
                <w:rFonts w:eastAsia="MS Mincho"/>
              </w:rPr>
              <w:t xml:space="preserve">mg twice daily including titration </w:t>
            </w:r>
            <w:r>
              <w:rPr>
                <w:rFonts w:eastAsia="MS Mincho"/>
              </w:rPr>
              <w:t xml:space="preserve">over 12 weeks </w:t>
            </w:r>
            <w:r w:rsidRPr="00C5551B">
              <w:rPr>
                <w:rFonts w:eastAsia="MS Mincho"/>
              </w:rPr>
              <w:t>(i.e. 0.5</w:t>
            </w:r>
            <w:r>
              <w:rPr>
                <w:rFonts w:eastAsia="MS Mincho"/>
              </w:rPr>
              <w:t xml:space="preserve"> </w:t>
            </w:r>
            <w:r w:rsidRPr="00C5551B">
              <w:rPr>
                <w:rFonts w:eastAsia="MS Mincho"/>
              </w:rPr>
              <w:t>mg once daily for 3 days, then 0.5</w:t>
            </w:r>
            <w:r>
              <w:rPr>
                <w:rFonts w:eastAsia="MS Mincho"/>
              </w:rPr>
              <w:t xml:space="preserve"> </w:t>
            </w:r>
            <w:r w:rsidRPr="00C5551B">
              <w:rPr>
                <w:rFonts w:eastAsia="MS Mincho"/>
              </w:rPr>
              <w:t>mg twice daily for 4 days, then 1</w:t>
            </w:r>
            <w:r>
              <w:rPr>
                <w:rFonts w:eastAsia="MS Mincho"/>
              </w:rPr>
              <w:t xml:space="preserve"> </w:t>
            </w:r>
            <w:r w:rsidRPr="00C5551B">
              <w:rPr>
                <w:rFonts w:eastAsia="MS Mincho"/>
              </w:rPr>
              <w:t>mg twice daily)</w:t>
            </w:r>
            <w:r w:rsidR="00AB5FA3">
              <w:rPr>
                <w:rFonts w:eastAsia="MS Mincho"/>
              </w:rPr>
              <w:t>.</w:t>
            </w:r>
          </w:p>
          <w:p w:rsidR="00043556" w:rsidRDefault="00043556" w:rsidP="00F207DC">
            <w:pPr>
              <w:pStyle w:val="Tablewriting"/>
              <w:rPr>
                <w:rFonts w:eastAsia="MS Mincho"/>
              </w:rPr>
            </w:pPr>
          </w:p>
          <w:p w:rsidR="00043556" w:rsidRDefault="00043556" w:rsidP="00F207DC">
            <w:pPr>
              <w:pStyle w:val="Tablewriting"/>
              <w:rPr>
                <w:rFonts w:eastAsia="MS Mincho"/>
              </w:rPr>
            </w:pPr>
            <w:r w:rsidRPr="006C0130">
              <w:rPr>
                <w:rFonts w:eastAsia="MS Mincho"/>
              </w:rPr>
              <w:lastRenderedPageBreak/>
              <w:t>Behavioural support provided in both arms.</w:t>
            </w:r>
          </w:p>
        </w:tc>
        <w:tc>
          <w:tcPr>
            <w:tcW w:w="1225" w:type="pct"/>
            <w:tcMar>
              <w:left w:w="28" w:type="dxa"/>
              <w:right w:w="28" w:type="dxa"/>
            </w:tcMar>
          </w:tcPr>
          <w:p w:rsidR="00043556" w:rsidRDefault="00043556" w:rsidP="00F207DC">
            <w:pPr>
              <w:pStyle w:val="Tablewriting"/>
              <w:rPr>
                <w:rFonts w:eastAsia="MS Mincho"/>
              </w:rPr>
            </w:pPr>
            <w:r w:rsidRPr="008C39E4">
              <w:rPr>
                <w:rFonts w:eastAsia="MS Mincho"/>
                <w:u w:val="single"/>
              </w:rPr>
              <w:lastRenderedPageBreak/>
              <w:t>Primary</w:t>
            </w:r>
            <w:r>
              <w:rPr>
                <w:rFonts w:eastAsia="MS Mincho"/>
              </w:rPr>
              <w:t xml:space="preserve">: </w:t>
            </w:r>
            <w:r w:rsidR="005A23B1">
              <w:rPr>
                <w:rFonts w:eastAsia="MS Mincho"/>
              </w:rPr>
              <w:t>CAR at Week 5-52</w:t>
            </w:r>
            <w:r>
              <w:rPr>
                <w:rFonts w:eastAsia="MS Mincho"/>
              </w:rPr>
              <w:t xml:space="preserve">. Validated by CO </w:t>
            </w:r>
            <w:r w:rsidR="00F83110">
              <w:rPr>
                <w:rFonts w:eastAsia="MS Mincho" w:cstheme="minorHAnsi"/>
              </w:rPr>
              <w:t>≤</w:t>
            </w:r>
            <w:r w:rsidR="00F83110">
              <w:rPr>
                <w:rFonts w:eastAsia="MS Mincho"/>
              </w:rPr>
              <w:t>9</w:t>
            </w:r>
            <w:r>
              <w:rPr>
                <w:rFonts w:eastAsia="MS Mincho"/>
              </w:rPr>
              <w:t xml:space="preserve"> ppm.</w:t>
            </w:r>
          </w:p>
          <w:p w:rsidR="00043556" w:rsidRPr="0036499C" w:rsidRDefault="00043556" w:rsidP="00F207DC">
            <w:pPr>
              <w:pStyle w:val="Tablewriting"/>
              <w:rPr>
                <w:rFonts w:eastAsia="MS Mincho"/>
                <w:u w:val="single"/>
              </w:rPr>
            </w:pPr>
            <w:r w:rsidRPr="008C39E4">
              <w:rPr>
                <w:rFonts w:eastAsia="MS Mincho"/>
                <w:u w:val="single"/>
              </w:rPr>
              <w:t>Secondary</w:t>
            </w:r>
            <w:r>
              <w:rPr>
                <w:rFonts w:eastAsia="MS Mincho"/>
              </w:rPr>
              <w:t xml:space="preserve">: </w:t>
            </w:r>
            <w:r w:rsidR="00051693">
              <w:rPr>
                <w:rFonts w:eastAsia="MS Mincho"/>
              </w:rPr>
              <w:t>CAR at Week 5-10 and 5-22, 7-day PPA at Week 1-, 22 and 52</w:t>
            </w:r>
            <w:r>
              <w:rPr>
                <w:rFonts w:eastAsia="MS Mincho"/>
              </w:rPr>
              <w:t>,</w:t>
            </w:r>
            <w:r w:rsidR="00F83110">
              <w:rPr>
                <w:rFonts w:eastAsia="MS Mincho"/>
              </w:rPr>
              <w:t xml:space="preserve"> </w:t>
            </w:r>
            <w:r w:rsidR="003A5698">
              <w:rPr>
                <w:rFonts w:eastAsia="MS Mincho"/>
              </w:rPr>
              <w:t>v</w:t>
            </w:r>
            <w:r w:rsidR="00F83110">
              <w:rPr>
                <w:rFonts w:eastAsia="MS Mincho"/>
              </w:rPr>
              <w:t xml:space="preserve">alidated by CO </w:t>
            </w:r>
            <w:r w:rsidR="00F83110">
              <w:rPr>
                <w:rFonts w:eastAsia="MS Mincho" w:cstheme="minorHAnsi"/>
              </w:rPr>
              <w:t>≤</w:t>
            </w:r>
            <w:r w:rsidR="00F83110">
              <w:rPr>
                <w:rFonts w:eastAsia="MS Mincho"/>
              </w:rPr>
              <w:t>9 ppm;</w:t>
            </w:r>
            <w:r>
              <w:rPr>
                <w:rFonts w:eastAsia="MS Mincho"/>
              </w:rPr>
              <w:t xml:space="preserve"> adverse events</w:t>
            </w:r>
            <w:r w:rsidR="00AB5FA3">
              <w:rPr>
                <w:rFonts w:eastAsia="MS Mincho"/>
              </w:rPr>
              <w:t>.</w:t>
            </w:r>
          </w:p>
        </w:tc>
      </w:tr>
      <w:tr w:rsidR="007F7437" w:rsidRPr="00061F78" w:rsidTr="00043556">
        <w:trPr>
          <w:trHeight w:val="149"/>
        </w:trPr>
        <w:tc>
          <w:tcPr>
            <w:tcW w:w="324" w:type="pct"/>
            <w:tcMar>
              <w:left w:w="28" w:type="dxa"/>
              <w:right w:w="28" w:type="dxa"/>
            </w:tcMar>
          </w:tcPr>
          <w:p w:rsidR="007F7437" w:rsidRDefault="007F7437" w:rsidP="00F207DC">
            <w:pPr>
              <w:pStyle w:val="Tablewriting"/>
              <w:rPr>
                <w:rFonts w:eastAsia="MS Mincho"/>
              </w:rPr>
            </w:pPr>
            <w:r>
              <w:rPr>
                <w:rFonts w:eastAsia="MS Mincho"/>
              </w:rPr>
              <w:t>Rohsenow (2017)</w:t>
            </w:r>
          </w:p>
        </w:tc>
        <w:tc>
          <w:tcPr>
            <w:tcW w:w="398" w:type="pct"/>
          </w:tcPr>
          <w:p w:rsidR="007F7437" w:rsidRDefault="007F7437" w:rsidP="00F207DC">
            <w:pPr>
              <w:pStyle w:val="Tablewriting"/>
              <w:rPr>
                <w:rFonts w:eastAsia="MS Mincho"/>
              </w:rPr>
            </w:pPr>
            <w:r>
              <w:rPr>
                <w:rFonts w:eastAsia="MS Mincho"/>
              </w:rPr>
              <w:t>RCT</w:t>
            </w:r>
          </w:p>
        </w:tc>
        <w:tc>
          <w:tcPr>
            <w:tcW w:w="345" w:type="pct"/>
            <w:tcMar>
              <w:left w:w="28" w:type="dxa"/>
              <w:right w:w="28" w:type="dxa"/>
            </w:tcMar>
          </w:tcPr>
          <w:p w:rsidR="007F7437" w:rsidRDefault="007F7437" w:rsidP="00F207DC">
            <w:pPr>
              <w:pStyle w:val="Tablewriting"/>
              <w:rPr>
                <w:rFonts w:eastAsia="MS Mincho"/>
              </w:rPr>
            </w:pPr>
            <w:r>
              <w:rPr>
                <w:rFonts w:eastAsia="MS Mincho"/>
              </w:rPr>
              <w:t>N=137</w:t>
            </w:r>
          </w:p>
          <w:p w:rsidR="007F7437" w:rsidRDefault="007F7437" w:rsidP="00F207DC">
            <w:pPr>
              <w:pStyle w:val="Tablewriting"/>
              <w:rPr>
                <w:rFonts w:eastAsia="MS Mincho"/>
              </w:rPr>
            </w:pPr>
            <w:r>
              <w:rPr>
                <w:rFonts w:eastAsia="MS Mincho"/>
              </w:rPr>
              <w:t>NRT (n=60),</w:t>
            </w:r>
          </w:p>
          <w:p w:rsidR="007F7437" w:rsidRDefault="007F7437" w:rsidP="00F207DC">
            <w:pPr>
              <w:pStyle w:val="Tablewriting"/>
              <w:rPr>
                <w:rFonts w:eastAsia="MS Mincho"/>
              </w:rPr>
            </w:pPr>
            <w:r>
              <w:rPr>
                <w:rFonts w:eastAsia="MS Mincho"/>
              </w:rPr>
              <w:t>Varenicline (n=77)</w:t>
            </w:r>
          </w:p>
        </w:tc>
        <w:tc>
          <w:tcPr>
            <w:tcW w:w="1869" w:type="pct"/>
            <w:tcMar>
              <w:left w:w="28" w:type="dxa"/>
              <w:right w:w="28" w:type="dxa"/>
            </w:tcMar>
          </w:tcPr>
          <w:p w:rsidR="007F7437" w:rsidRDefault="007F7437" w:rsidP="00F207DC">
            <w:pPr>
              <w:pStyle w:val="Tablewriting"/>
              <w:rPr>
                <w:rFonts w:eastAsia="MS Mincho"/>
              </w:rPr>
            </w:pPr>
            <w:r w:rsidRPr="007F28D7">
              <w:rPr>
                <w:rFonts w:eastAsia="MS Mincho"/>
                <w:u w:val="single"/>
              </w:rPr>
              <w:t>Inclusion</w:t>
            </w:r>
            <w:r>
              <w:rPr>
                <w:rFonts w:eastAsia="MS Mincho"/>
              </w:rPr>
              <w:t>:</w:t>
            </w:r>
            <w:r w:rsidR="00E31C2F">
              <w:rPr>
                <w:rFonts w:eastAsia="MS Mincho"/>
              </w:rPr>
              <w:t xml:space="preserve"> </w:t>
            </w:r>
            <w:r w:rsidR="00F1186E" w:rsidRPr="00F1186E">
              <w:rPr>
                <w:rFonts w:eastAsia="MS Mincho" w:cstheme="minorHAnsi"/>
              </w:rPr>
              <w:t>aged 18–75 years</w:t>
            </w:r>
            <w:r w:rsidR="00B61304">
              <w:rPr>
                <w:rFonts w:eastAsia="MS Mincho" w:cstheme="minorHAnsi"/>
              </w:rPr>
              <w:t xml:space="preserve"> old, </w:t>
            </w:r>
            <w:r w:rsidR="00E31C2F">
              <w:rPr>
                <w:rFonts w:eastAsia="MS Mincho" w:cstheme="minorHAnsi"/>
              </w:rPr>
              <w:t>≥</w:t>
            </w:r>
            <w:r w:rsidR="00E31C2F" w:rsidRPr="000A14FA">
              <w:rPr>
                <w:rFonts w:eastAsia="MS Mincho" w:cstheme="minorHAnsi"/>
              </w:rPr>
              <w:t>10</w:t>
            </w:r>
            <w:r w:rsidR="00E31C2F">
              <w:rPr>
                <w:rFonts w:eastAsia="MS Mincho" w:cstheme="minorHAnsi"/>
              </w:rPr>
              <w:t xml:space="preserve"> </w:t>
            </w:r>
            <w:r w:rsidR="00E31C2F" w:rsidRPr="000A14FA">
              <w:rPr>
                <w:rFonts w:eastAsia="MS Mincho" w:cstheme="minorHAnsi"/>
              </w:rPr>
              <w:t>cigarettes per day</w:t>
            </w:r>
            <w:r w:rsidR="00E31C2F">
              <w:rPr>
                <w:rFonts w:eastAsia="MS Mincho" w:cstheme="minorHAnsi"/>
              </w:rPr>
              <w:t xml:space="preserve"> for the past 6 months</w:t>
            </w:r>
            <w:r w:rsidR="00272C56">
              <w:rPr>
                <w:rFonts w:eastAsia="MS Mincho" w:cstheme="minorHAnsi"/>
              </w:rPr>
              <w:t>, substance use disorder diagnosis</w:t>
            </w:r>
            <w:r w:rsidR="00AB5FA3">
              <w:rPr>
                <w:rFonts w:eastAsia="MS Mincho" w:cstheme="minorHAnsi"/>
              </w:rPr>
              <w:t>.</w:t>
            </w:r>
          </w:p>
          <w:p w:rsidR="007F7437" w:rsidRPr="002C19B4" w:rsidRDefault="007F7437" w:rsidP="00F207DC">
            <w:pPr>
              <w:pStyle w:val="Tablewriting"/>
              <w:rPr>
                <w:rFonts w:eastAsia="MS Mincho"/>
                <w:u w:val="single"/>
              </w:rPr>
            </w:pPr>
            <w:r w:rsidRPr="007F28D7">
              <w:rPr>
                <w:rFonts w:eastAsia="MS Mincho"/>
                <w:u w:val="single"/>
              </w:rPr>
              <w:t>Exclusion</w:t>
            </w:r>
            <w:r>
              <w:rPr>
                <w:rFonts w:eastAsia="MS Mincho"/>
              </w:rPr>
              <w:t xml:space="preserve">: </w:t>
            </w:r>
            <w:r w:rsidR="006909BF" w:rsidRPr="006909BF">
              <w:rPr>
                <w:rFonts w:eastAsia="MS Mincho"/>
              </w:rPr>
              <w:t>evidence of hallucinations or delusions, current smoking cessation treatment, contraindications for either medication, using medications affected by smoking cessation, suicidal plan or attempts in past 5 years, not willing to try to quit smoking</w:t>
            </w:r>
            <w:r w:rsidR="00845723">
              <w:rPr>
                <w:rFonts w:eastAsia="MS Mincho"/>
              </w:rPr>
              <w:t xml:space="preserve">, </w:t>
            </w:r>
            <w:r w:rsidR="006909BF" w:rsidRPr="006909BF">
              <w:rPr>
                <w:rFonts w:eastAsia="MS Mincho"/>
              </w:rPr>
              <w:t>substance use reported on the day of or before recruitment or positive breath alcohol at recruitment.</w:t>
            </w:r>
          </w:p>
        </w:tc>
        <w:tc>
          <w:tcPr>
            <w:tcW w:w="839" w:type="pct"/>
          </w:tcPr>
          <w:p w:rsidR="007F7437" w:rsidRDefault="007F7437" w:rsidP="00F207DC">
            <w:pPr>
              <w:pStyle w:val="Tablewriting"/>
              <w:rPr>
                <w:rFonts w:eastAsia="MS Mincho"/>
              </w:rPr>
            </w:pPr>
            <w:r w:rsidRPr="00C5551B">
              <w:rPr>
                <w:rFonts w:eastAsia="MS Mincho"/>
              </w:rPr>
              <w:t>NRT: NRT patch</w:t>
            </w:r>
            <w:r>
              <w:rPr>
                <w:rFonts w:eastAsia="MS Mincho"/>
              </w:rPr>
              <w:t xml:space="preserve"> over 1</w:t>
            </w:r>
            <w:r w:rsidR="00DD08CC">
              <w:rPr>
                <w:rFonts w:eastAsia="MS Mincho"/>
              </w:rPr>
              <w:t>2</w:t>
            </w:r>
            <w:r>
              <w:rPr>
                <w:rFonts w:eastAsia="MS Mincho"/>
              </w:rPr>
              <w:t xml:space="preserve"> weeks (21 mg/day first </w:t>
            </w:r>
            <w:r w:rsidR="00DD08CC">
              <w:rPr>
                <w:rFonts w:eastAsia="MS Mincho"/>
              </w:rPr>
              <w:t>4</w:t>
            </w:r>
            <w:r>
              <w:rPr>
                <w:rFonts w:eastAsia="MS Mincho"/>
              </w:rPr>
              <w:t xml:space="preserve"> weeks, 14 mg/day for </w:t>
            </w:r>
            <w:r w:rsidR="005E3765">
              <w:rPr>
                <w:rFonts w:eastAsia="MS Mincho"/>
              </w:rPr>
              <w:t>4</w:t>
            </w:r>
            <w:r>
              <w:rPr>
                <w:rFonts w:eastAsia="MS Mincho"/>
              </w:rPr>
              <w:t xml:space="preserve"> weeks then 7 mg/day for 4 weeks)</w:t>
            </w:r>
            <w:r w:rsidR="002B152C">
              <w:rPr>
                <w:rFonts w:eastAsia="MS Mincho"/>
              </w:rPr>
              <w:t>;</w:t>
            </w:r>
            <w:r w:rsidR="003E6726">
              <w:rPr>
                <w:rFonts w:eastAsia="MS Mincho"/>
              </w:rPr>
              <w:t xml:space="preserve"> </w:t>
            </w:r>
            <w:r w:rsidRPr="00C5551B">
              <w:rPr>
                <w:rFonts w:eastAsia="MS Mincho"/>
              </w:rPr>
              <w:t>Varenicline: 1</w:t>
            </w:r>
            <w:r>
              <w:rPr>
                <w:rFonts w:eastAsia="MS Mincho"/>
              </w:rPr>
              <w:t xml:space="preserve"> </w:t>
            </w:r>
            <w:r w:rsidRPr="00C5551B">
              <w:rPr>
                <w:rFonts w:eastAsia="MS Mincho"/>
              </w:rPr>
              <w:t xml:space="preserve">mg twice daily including titration </w:t>
            </w:r>
            <w:r>
              <w:rPr>
                <w:rFonts w:eastAsia="MS Mincho"/>
              </w:rPr>
              <w:t xml:space="preserve">over 12 weeks </w:t>
            </w:r>
            <w:r w:rsidRPr="00C5551B">
              <w:rPr>
                <w:rFonts w:eastAsia="MS Mincho"/>
              </w:rPr>
              <w:t>(i.e. 0.5</w:t>
            </w:r>
            <w:r>
              <w:rPr>
                <w:rFonts w:eastAsia="MS Mincho"/>
              </w:rPr>
              <w:t xml:space="preserve"> </w:t>
            </w:r>
            <w:r w:rsidRPr="00C5551B">
              <w:rPr>
                <w:rFonts w:eastAsia="MS Mincho"/>
              </w:rPr>
              <w:t>mg once daily for 3 days, then 0.5</w:t>
            </w:r>
            <w:r>
              <w:rPr>
                <w:rFonts w:eastAsia="MS Mincho"/>
              </w:rPr>
              <w:t xml:space="preserve"> </w:t>
            </w:r>
            <w:r w:rsidRPr="00C5551B">
              <w:rPr>
                <w:rFonts w:eastAsia="MS Mincho"/>
              </w:rPr>
              <w:t>mg twice daily for 4 days, then 1</w:t>
            </w:r>
            <w:r>
              <w:rPr>
                <w:rFonts w:eastAsia="MS Mincho"/>
              </w:rPr>
              <w:t xml:space="preserve"> </w:t>
            </w:r>
            <w:r w:rsidRPr="00C5551B">
              <w:rPr>
                <w:rFonts w:eastAsia="MS Mincho"/>
              </w:rPr>
              <w:t>mg twice daily)</w:t>
            </w:r>
            <w:r w:rsidR="00AB5FA3">
              <w:rPr>
                <w:rFonts w:eastAsia="MS Mincho"/>
              </w:rPr>
              <w:t>.</w:t>
            </w:r>
          </w:p>
          <w:p w:rsidR="007F7437" w:rsidRDefault="007F7437" w:rsidP="00F207DC">
            <w:pPr>
              <w:pStyle w:val="Tablewriting"/>
              <w:rPr>
                <w:rFonts w:eastAsia="MS Mincho"/>
              </w:rPr>
            </w:pPr>
          </w:p>
          <w:p w:rsidR="007F7437" w:rsidRDefault="007F7437" w:rsidP="00F207DC">
            <w:pPr>
              <w:pStyle w:val="Tablewriting"/>
              <w:rPr>
                <w:rFonts w:eastAsia="MS Mincho"/>
              </w:rPr>
            </w:pPr>
            <w:r w:rsidRPr="006C0130">
              <w:rPr>
                <w:rFonts w:eastAsia="MS Mincho"/>
              </w:rPr>
              <w:t>Behavioural support provided in both arms.</w:t>
            </w:r>
          </w:p>
        </w:tc>
        <w:tc>
          <w:tcPr>
            <w:tcW w:w="1225" w:type="pct"/>
            <w:tcMar>
              <w:left w:w="28" w:type="dxa"/>
              <w:right w:w="28" w:type="dxa"/>
            </w:tcMar>
          </w:tcPr>
          <w:p w:rsidR="007F7437" w:rsidRDefault="007F7437" w:rsidP="00F207DC">
            <w:pPr>
              <w:pStyle w:val="Tablewriting"/>
              <w:rPr>
                <w:rFonts w:eastAsia="MS Mincho"/>
              </w:rPr>
            </w:pPr>
            <w:r w:rsidRPr="008C39E4">
              <w:rPr>
                <w:rFonts w:eastAsia="MS Mincho"/>
                <w:u w:val="single"/>
              </w:rPr>
              <w:t>Primary</w:t>
            </w:r>
            <w:r>
              <w:rPr>
                <w:rFonts w:eastAsia="MS Mincho"/>
              </w:rPr>
              <w:t xml:space="preserve">: </w:t>
            </w:r>
            <w:r w:rsidR="00C76038">
              <w:rPr>
                <w:rFonts w:eastAsia="MS Mincho"/>
              </w:rPr>
              <w:t>7-day PPA</w:t>
            </w:r>
            <w:r>
              <w:rPr>
                <w:rFonts w:eastAsia="MS Mincho"/>
              </w:rPr>
              <w:t xml:space="preserve"> at </w:t>
            </w:r>
            <w:r w:rsidR="00497F0E">
              <w:rPr>
                <w:rFonts w:eastAsia="MS Mincho"/>
              </w:rPr>
              <w:t xml:space="preserve">3 </w:t>
            </w:r>
            <w:r w:rsidR="00D22928">
              <w:rPr>
                <w:rFonts w:eastAsia="MS Mincho"/>
              </w:rPr>
              <w:t>months (</w:t>
            </w:r>
            <w:r>
              <w:rPr>
                <w:rFonts w:eastAsia="MS Mincho"/>
              </w:rPr>
              <w:t xml:space="preserve">Week </w:t>
            </w:r>
            <w:r w:rsidR="00D22928">
              <w:rPr>
                <w:rFonts w:eastAsia="MS Mincho"/>
              </w:rPr>
              <w:t>12)</w:t>
            </w:r>
            <w:r>
              <w:rPr>
                <w:rFonts w:eastAsia="MS Mincho"/>
              </w:rPr>
              <w:t xml:space="preserve">. Validated by CO </w:t>
            </w:r>
            <w:r>
              <w:rPr>
                <w:rFonts w:eastAsia="MS Mincho" w:cstheme="minorHAnsi"/>
              </w:rPr>
              <w:t>≤</w:t>
            </w:r>
            <w:r w:rsidR="00D22928">
              <w:rPr>
                <w:rFonts w:eastAsia="MS Mincho"/>
              </w:rPr>
              <w:t>4</w:t>
            </w:r>
            <w:r>
              <w:rPr>
                <w:rFonts w:eastAsia="MS Mincho"/>
              </w:rPr>
              <w:t xml:space="preserve"> ppm.</w:t>
            </w:r>
          </w:p>
          <w:p w:rsidR="007F7437" w:rsidRPr="0036499C" w:rsidRDefault="007F7437" w:rsidP="00F207DC">
            <w:pPr>
              <w:pStyle w:val="Tablewriting"/>
              <w:rPr>
                <w:rFonts w:eastAsia="MS Mincho"/>
                <w:u w:val="single"/>
              </w:rPr>
            </w:pPr>
            <w:r w:rsidRPr="008C39E4">
              <w:rPr>
                <w:rFonts w:eastAsia="MS Mincho"/>
                <w:u w:val="single"/>
              </w:rPr>
              <w:t>Secondary</w:t>
            </w:r>
            <w:r>
              <w:rPr>
                <w:rFonts w:eastAsia="MS Mincho"/>
              </w:rPr>
              <w:t xml:space="preserve">: 7-day PPA at </w:t>
            </w:r>
            <w:r w:rsidR="00A47892">
              <w:rPr>
                <w:rFonts w:eastAsia="MS Mincho"/>
              </w:rPr>
              <w:t>6 months</w:t>
            </w:r>
            <w:r>
              <w:rPr>
                <w:rFonts w:eastAsia="MS Mincho"/>
              </w:rPr>
              <w:t xml:space="preserve">, </w:t>
            </w:r>
            <w:r w:rsidR="003A5698">
              <w:rPr>
                <w:rFonts w:eastAsia="MS Mincho"/>
              </w:rPr>
              <w:t>v</w:t>
            </w:r>
            <w:r>
              <w:rPr>
                <w:rFonts w:eastAsia="MS Mincho"/>
              </w:rPr>
              <w:t xml:space="preserve">alidated by CO </w:t>
            </w:r>
            <w:r>
              <w:rPr>
                <w:rFonts w:eastAsia="MS Mincho" w:cstheme="minorHAnsi"/>
              </w:rPr>
              <w:t>≤</w:t>
            </w:r>
            <w:r w:rsidR="003A5698">
              <w:rPr>
                <w:rFonts w:eastAsia="MS Mincho"/>
              </w:rPr>
              <w:t>4</w:t>
            </w:r>
            <w:r>
              <w:rPr>
                <w:rFonts w:eastAsia="MS Mincho"/>
              </w:rPr>
              <w:t xml:space="preserve"> ppm; </w:t>
            </w:r>
            <w:r w:rsidR="00931518">
              <w:rPr>
                <w:rFonts w:eastAsia="MS Mincho"/>
              </w:rPr>
              <w:t>average number of cigarettes per day at 3 and 6 months</w:t>
            </w:r>
            <w:r w:rsidR="00CC3E4F">
              <w:rPr>
                <w:rFonts w:eastAsia="MS Mincho"/>
              </w:rPr>
              <w:t>, percentage of smoking days,</w:t>
            </w:r>
            <w:r>
              <w:rPr>
                <w:rFonts w:eastAsia="MS Mincho"/>
              </w:rPr>
              <w:t xml:space="preserve"> adverse events</w:t>
            </w:r>
            <w:r w:rsidR="0019056D">
              <w:rPr>
                <w:rFonts w:eastAsia="MS Mincho"/>
              </w:rPr>
              <w:t>, depressive symptoms, substance use</w:t>
            </w:r>
            <w:r w:rsidR="00F10977">
              <w:rPr>
                <w:rFonts w:eastAsia="MS Mincho"/>
              </w:rPr>
              <w:t>, medication adherence</w:t>
            </w:r>
            <w:r w:rsidR="00AB5FA3">
              <w:rPr>
                <w:rFonts w:eastAsia="MS Mincho"/>
              </w:rPr>
              <w:t>.</w:t>
            </w:r>
          </w:p>
        </w:tc>
      </w:tr>
      <w:tr w:rsidR="00742219" w:rsidRPr="00061F78" w:rsidTr="00043556">
        <w:trPr>
          <w:trHeight w:val="149"/>
        </w:trPr>
        <w:tc>
          <w:tcPr>
            <w:tcW w:w="324" w:type="pct"/>
            <w:tcMar>
              <w:left w:w="28" w:type="dxa"/>
              <w:right w:w="28" w:type="dxa"/>
            </w:tcMar>
          </w:tcPr>
          <w:p w:rsidR="008E2DD1" w:rsidRDefault="520F43DA" w:rsidP="00F207DC">
            <w:pPr>
              <w:pStyle w:val="Tablewriting"/>
              <w:rPr>
                <w:rFonts w:eastAsia="MS Mincho"/>
              </w:rPr>
            </w:pPr>
            <w:r>
              <w:rPr>
                <w:rFonts w:eastAsia="MS Mincho"/>
              </w:rPr>
              <w:t>Benowitz (2018)</w:t>
            </w:r>
          </w:p>
        </w:tc>
        <w:tc>
          <w:tcPr>
            <w:tcW w:w="398" w:type="pct"/>
          </w:tcPr>
          <w:p w:rsidR="008E2DD1" w:rsidRPr="005E64E8" w:rsidRDefault="008E2DD1" w:rsidP="00F207DC">
            <w:pPr>
              <w:pStyle w:val="Tablewriting"/>
              <w:rPr>
                <w:rFonts w:eastAsia="MS Mincho"/>
                <w:vertAlign w:val="superscript"/>
              </w:rPr>
            </w:pPr>
            <w:r>
              <w:rPr>
                <w:rFonts w:eastAsia="MS Mincho"/>
              </w:rPr>
              <w:t>Non-treatment extension safety study of EAGLES (2016)</w:t>
            </w:r>
            <w:r w:rsidR="00B068FE">
              <w:rPr>
                <w:rFonts w:eastAsia="MS Mincho"/>
                <w:vertAlign w:val="superscript"/>
              </w:rPr>
              <w:t>3</w:t>
            </w:r>
          </w:p>
        </w:tc>
        <w:tc>
          <w:tcPr>
            <w:tcW w:w="345" w:type="pct"/>
            <w:tcMar>
              <w:left w:w="28" w:type="dxa"/>
              <w:right w:w="28" w:type="dxa"/>
            </w:tcMar>
          </w:tcPr>
          <w:p w:rsidR="008E2DD1" w:rsidRDefault="008E2DD1" w:rsidP="00F207DC">
            <w:pPr>
              <w:pStyle w:val="Tablewriting"/>
              <w:rPr>
                <w:rFonts w:eastAsia="MS Mincho"/>
              </w:rPr>
            </w:pPr>
            <w:r>
              <w:rPr>
                <w:rFonts w:eastAsia="MS Mincho"/>
              </w:rPr>
              <w:t>N=4,595</w:t>
            </w:r>
          </w:p>
          <w:p w:rsidR="00742219" w:rsidRDefault="00742219" w:rsidP="00F207DC">
            <w:pPr>
              <w:pStyle w:val="Tablewriting"/>
              <w:rPr>
                <w:rFonts w:eastAsia="MS Mincho"/>
              </w:rPr>
            </w:pPr>
            <w:r>
              <w:rPr>
                <w:rFonts w:eastAsia="MS Mincho"/>
              </w:rPr>
              <w:t>NRT</w:t>
            </w:r>
          </w:p>
          <w:p w:rsidR="00742219" w:rsidRDefault="00742219" w:rsidP="00F207DC">
            <w:pPr>
              <w:pStyle w:val="Tablewriting"/>
              <w:rPr>
                <w:rFonts w:eastAsia="MS Mincho"/>
              </w:rPr>
            </w:pPr>
            <w:r>
              <w:rPr>
                <w:rFonts w:eastAsia="MS Mincho"/>
              </w:rPr>
              <w:t>(n=1,116),</w:t>
            </w:r>
          </w:p>
          <w:p w:rsidR="008E2DD1" w:rsidRDefault="008E2DD1" w:rsidP="00F207DC">
            <w:pPr>
              <w:pStyle w:val="Tablewriting"/>
              <w:rPr>
                <w:rFonts w:eastAsia="MS Mincho"/>
              </w:rPr>
            </w:pPr>
            <w:r>
              <w:rPr>
                <w:rFonts w:eastAsia="MS Mincho"/>
              </w:rPr>
              <w:t>Varenicline (n=1,192)</w:t>
            </w:r>
          </w:p>
        </w:tc>
        <w:tc>
          <w:tcPr>
            <w:tcW w:w="1869" w:type="pct"/>
            <w:tcMar>
              <w:left w:w="28" w:type="dxa"/>
              <w:right w:w="28" w:type="dxa"/>
            </w:tcMar>
          </w:tcPr>
          <w:p w:rsidR="008E2DD1" w:rsidRDefault="008E2DD1" w:rsidP="00F207DC">
            <w:pPr>
              <w:pStyle w:val="Tablewriting"/>
              <w:rPr>
                <w:rFonts w:eastAsia="MS Mincho" w:cstheme="minorHAnsi"/>
              </w:rPr>
            </w:pPr>
            <w:r w:rsidRPr="007F28D7">
              <w:rPr>
                <w:rFonts w:eastAsia="MS Mincho"/>
                <w:u w:val="single"/>
              </w:rPr>
              <w:t>Inclusion</w:t>
            </w:r>
            <w:r>
              <w:rPr>
                <w:rFonts w:eastAsia="MS Mincho"/>
              </w:rPr>
              <w:t xml:space="preserve">: </w:t>
            </w:r>
            <w:r w:rsidRPr="000A14FA">
              <w:rPr>
                <w:rFonts w:eastAsia="MS Mincho" w:cstheme="minorHAnsi"/>
              </w:rPr>
              <w:t>18</w:t>
            </w:r>
            <w:r>
              <w:rPr>
                <w:rFonts w:eastAsia="MS Mincho" w:cstheme="minorHAnsi"/>
              </w:rPr>
              <w:t>-</w:t>
            </w:r>
            <w:r w:rsidRPr="000A14FA">
              <w:rPr>
                <w:rFonts w:eastAsia="MS Mincho" w:cstheme="minorHAnsi"/>
              </w:rPr>
              <w:t>75 years</w:t>
            </w:r>
            <w:r>
              <w:rPr>
                <w:rFonts w:eastAsia="MS Mincho" w:cstheme="minorHAnsi"/>
              </w:rPr>
              <w:t xml:space="preserve"> old</w:t>
            </w:r>
            <w:r w:rsidRPr="000A14FA">
              <w:rPr>
                <w:rFonts w:eastAsia="MS Mincho" w:cstheme="minorHAnsi"/>
              </w:rPr>
              <w:t xml:space="preserve">, </w:t>
            </w:r>
            <w:r>
              <w:rPr>
                <w:rFonts w:eastAsia="MS Mincho" w:cstheme="minorHAnsi"/>
              </w:rPr>
              <w:t>≥</w:t>
            </w:r>
            <w:r w:rsidRPr="000A14FA">
              <w:rPr>
                <w:rFonts w:eastAsia="MS Mincho" w:cstheme="minorHAnsi"/>
              </w:rPr>
              <w:t>10</w:t>
            </w:r>
            <w:r>
              <w:rPr>
                <w:rFonts w:eastAsia="MS Mincho" w:cstheme="minorHAnsi"/>
              </w:rPr>
              <w:t xml:space="preserve"> </w:t>
            </w:r>
            <w:r w:rsidRPr="000A14FA">
              <w:rPr>
                <w:rFonts w:eastAsia="MS Mincho" w:cstheme="minorHAnsi"/>
              </w:rPr>
              <w:t>cigarettes per day, interested in quitting smoking, had been randomi</w:t>
            </w:r>
            <w:r>
              <w:rPr>
                <w:rFonts w:eastAsia="MS Mincho" w:cstheme="minorHAnsi"/>
              </w:rPr>
              <w:t>s</w:t>
            </w:r>
            <w:r w:rsidRPr="000A14FA">
              <w:rPr>
                <w:rFonts w:eastAsia="MS Mincho" w:cstheme="minorHAnsi"/>
              </w:rPr>
              <w:t>ed to treatment in</w:t>
            </w:r>
            <w:r>
              <w:rPr>
                <w:rFonts w:eastAsia="MS Mincho" w:cstheme="minorHAnsi"/>
              </w:rPr>
              <w:t xml:space="preserve"> </w:t>
            </w:r>
            <w:r w:rsidRPr="000A14FA">
              <w:rPr>
                <w:rFonts w:eastAsia="MS Mincho" w:cstheme="minorHAnsi"/>
              </w:rPr>
              <w:t>and had completed the week 24 visit of</w:t>
            </w:r>
            <w:r>
              <w:rPr>
                <w:rFonts w:eastAsia="MS Mincho" w:cstheme="minorHAnsi"/>
              </w:rPr>
              <w:t xml:space="preserve"> </w:t>
            </w:r>
            <w:r w:rsidRPr="000A14FA">
              <w:rPr>
                <w:rFonts w:eastAsia="MS Mincho" w:cstheme="minorHAnsi"/>
              </w:rPr>
              <w:t>EAGLES</w:t>
            </w:r>
            <w:r w:rsidR="00AB5FA3">
              <w:rPr>
                <w:rFonts w:eastAsia="MS Mincho" w:cstheme="minorHAnsi"/>
              </w:rPr>
              <w:t>.</w:t>
            </w:r>
          </w:p>
          <w:p w:rsidR="008E2DD1" w:rsidRPr="002C19B4" w:rsidRDefault="008E2DD1" w:rsidP="00F207DC">
            <w:pPr>
              <w:pStyle w:val="Tablewriting"/>
              <w:rPr>
                <w:rFonts w:eastAsia="MS Mincho"/>
                <w:u w:val="single"/>
              </w:rPr>
            </w:pPr>
            <w:r w:rsidRPr="007F28D7">
              <w:rPr>
                <w:rFonts w:eastAsia="MS Mincho"/>
                <w:u w:val="single"/>
              </w:rPr>
              <w:t>Exclusion</w:t>
            </w:r>
            <w:r>
              <w:rPr>
                <w:rFonts w:eastAsia="MS Mincho"/>
              </w:rPr>
              <w:t xml:space="preserve">: </w:t>
            </w:r>
            <w:r w:rsidRPr="00661FFC">
              <w:rPr>
                <w:rFonts w:eastAsia="MS Mincho"/>
              </w:rPr>
              <w:t>unstable psychiatric illness, active substance abuse, clinically significant CVD in the 2 months prior to study entry, clinically significant cerebrovascular disease in the 2 months prior to study entry, or inadequate control of hypertens</w:t>
            </w:r>
            <w:r>
              <w:rPr>
                <w:rFonts w:eastAsia="MS Mincho"/>
              </w:rPr>
              <w:t>ion</w:t>
            </w:r>
            <w:r w:rsidRPr="00661FFC">
              <w:rPr>
                <w:rFonts w:eastAsia="MS Mincho"/>
              </w:rPr>
              <w:t>.</w:t>
            </w:r>
          </w:p>
        </w:tc>
        <w:tc>
          <w:tcPr>
            <w:tcW w:w="839" w:type="pct"/>
          </w:tcPr>
          <w:p w:rsidR="008E2DD1" w:rsidRDefault="008E2DD1" w:rsidP="00F207DC">
            <w:pPr>
              <w:pStyle w:val="Tablewriting"/>
              <w:rPr>
                <w:rFonts w:eastAsia="MS Mincho"/>
              </w:rPr>
            </w:pPr>
            <w:r>
              <w:rPr>
                <w:rFonts w:eastAsia="MS Mincho"/>
              </w:rPr>
              <w:t>No treatment was provided during this study. Prior</w:t>
            </w:r>
            <w:r w:rsidR="00742219">
              <w:rPr>
                <w:rFonts w:eastAsia="MS Mincho"/>
              </w:rPr>
              <w:t xml:space="preserve"> NRT and</w:t>
            </w:r>
            <w:r>
              <w:rPr>
                <w:rFonts w:eastAsia="MS Mincho"/>
              </w:rPr>
              <w:t xml:space="preserve"> varenicline treatments were administered in EAGLES (2016).</w:t>
            </w:r>
          </w:p>
        </w:tc>
        <w:tc>
          <w:tcPr>
            <w:tcW w:w="1225" w:type="pct"/>
            <w:tcMar>
              <w:left w:w="28" w:type="dxa"/>
              <w:right w:w="28" w:type="dxa"/>
            </w:tcMar>
          </w:tcPr>
          <w:p w:rsidR="008E2DD1" w:rsidRDefault="008E2DD1" w:rsidP="00F207DC">
            <w:pPr>
              <w:pStyle w:val="Tablewriting"/>
              <w:rPr>
                <w:rFonts w:eastAsia="MS Mincho"/>
              </w:rPr>
            </w:pPr>
            <w:r w:rsidRPr="008C39E4">
              <w:rPr>
                <w:rFonts w:eastAsia="MS Mincho"/>
                <w:u w:val="single"/>
              </w:rPr>
              <w:t>Primary</w:t>
            </w:r>
            <w:r>
              <w:rPr>
                <w:rFonts w:eastAsia="MS Mincho"/>
              </w:rPr>
              <w:t>: Time to major adverse cardiovascular event</w:t>
            </w:r>
            <w:r w:rsidR="00AB5FA3">
              <w:rPr>
                <w:rFonts w:eastAsia="MS Mincho"/>
              </w:rPr>
              <w:t>.</w:t>
            </w:r>
          </w:p>
          <w:p w:rsidR="008E2DD1" w:rsidRPr="0036499C" w:rsidRDefault="008E2DD1" w:rsidP="00F207DC">
            <w:pPr>
              <w:pStyle w:val="Tablewriting"/>
              <w:rPr>
                <w:rFonts w:eastAsia="MS Mincho"/>
                <w:u w:val="single"/>
              </w:rPr>
            </w:pPr>
            <w:r w:rsidRPr="008C39E4">
              <w:rPr>
                <w:rFonts w:eastAsia="MS Mincho"/>
                <w:u w:val="single"/>
              </w:rPr>
              <w:t>Secondary</w:t>
            </w:r>
            <w:r>
              <w:rPr>
                <w:rFonts w:eastAsia="MS Mincho"/>
              </w:rPr>
              <w:t>: Occurrence of major adverse cardiovascular event</w:t>
            </w:r>
            <w:r w:rsidR="00AB5FA3">
              <w:rPr>
                <w:rFonts w:eastAsia="MS Mincho"/>
              </w:rPr>
              <w:t>.</w:t>
            </w:r>
          </w:p>
        </w:tc>
      </w:tr>
    </w:tbl>
    <w:p w:rsidR="00214B8E" w:rsidRDefault="00C5551B" w:rsidP="00C5551B">
      <w:pPr>
        <w:pStyle w:val="TableFooter"/>
        <w:keepNext/>
      </w:pPr>
      <w:r>
        <w:t xml:space="preserve">Abbreviations: </w:t>
      </w:r>
      <w:r w:rsidR="00214B8E">
        <w:t xml:space="preserve">CAR = continuous abstinence rate; CO = carbon monoxide; mCEQ = </w:t>
      </w:r>
      <w:r w:rsidR="00214B8E" w:rsidRPr="00037461">
        <w:t>modified Cigarette Evaluation Questionnaire</w:t>
      </w:r>
      <w:r w:rsidR="00214B8E">
        <w:t xml:space="preserve">; MNWS = </w:t>
      </w:r>
      <w:r w:rsidR="00214B8E" w:rsidRPr="008E0A8D">
        <w:t>Minnesota Tobacco Withdrawal Scale</w:t>
      </w:r>
      <w:r w:rsidR="00214B8E">
        <w:t>; NRT = nicotine replacement therapy; PPA = point prevalence abstinence; RCT = randomised controlled trial</w:t>
      </w:r>
      <w:r w:rsidR="00214B8E" w:rsidRPr="00061F78">
        <w:t xml:space="preserve"> </w:t>
      </w:r>
    </w:p>
    <w:p w:rsidR="00C5551B" w:rsidRDefault="00C5551B" w:rsidP="00C5551B">
      <w:pPr>
        <w:pStyle w:val="TableFooter"/>
        <w:keepNext/>
      </w:pPr>
      <w:r w:rsidRPr="00061F78">
        <w:rPr>
          <w:highlight w:val="lightGray"/>
        </w:rPr>
        <w:t>Shaded</w:t>
      </w:r>
      <w:r w:rsidRPr="00061F78">
        <w:t xml:space="preserve"> = previously considered by the PBAC</w:t>
      </w:r>
    </w:p>
    <w:p w:rsidR="00C5551B" w:rsidRDefault="00C5551B" w:rsidP="00C5551B">
      <w:pPr>
        <w:pStyle w:val="TableFooter"/>
        <w:keepNext/>
      </w:pPr>
      <w:r>
        <w:t>1 Only the number of patients (n) in the relevant arms were included</w:t>
      </w:r>
      <w:r w:rsidR="00AB5FA3">
        <w:t>.</w:t>
      </w:r>
      <w:r>
        <w:t xml:space="preserve"> </w:t>
      </w:r>
    </w:p>
    <w:p w:rsidR="00C5551B" w:rsidRDefault="00C5551B" w:rsidP="00C52E2F">
      <w:pPr>
        <w:pStyle w:val="TableFooter"/>
        <w:keepNext/>
      </w:pPr>
      <w:r>
        <w:t xml:space="preserve">2 The characteristics of the individual studies comparing </w:t>
      </w:r>
      <w:r w:rsidR="00C3700A">
        <w:t xml:space="preserve">NRT </w:t>
      </w:r>
      <w:r w:rsidR="00573F59">
        <w:t>patches</w:t>
      </w:r>
      <w:r w:rsidR="00C3700A">
        <w:t xml:space="preserve"> with </w:t>
      </w:r>
      <w:r>
        <w:t xml:space="preserve">varenicline included in Cahill et al. (2016) are presented in </w:t>
      </w:r>
      <w:r w:rsidRPr="00A93262">
        <w:t>Appendix</w:t>
      </w:r>
      <w:r w:rsidR="00C3700A">
        <w:t xml:space="preserve"> </w:t>
      </w:r>
      <w:r w:rsidR="003C4A1C">
        <w:t xml:space="preserve">Table </w:t>
      </w:r>
      <w:r w:rsidR="003C4A1C">
        <w:rPr>
          <w:noProof/>
        </w:rPr>
        <w:t>149</w:t>
      </w:r>
      <w:r>
        <w:t xml:space="preserve">. </w:t>
      </w:r>
      <w:r w:rsidR="00C3700A">
        <w:t>Two</w:t>
      </w:r>
      <w:r>
        <w:t xml:space="preserve"> studies previously considered by the PBAC (</w:t>
      </w:r>
      <w:r w:rsidR="00C3700A">
        <w:t>Aubin et al. 2008</w:t>
      </w:r>
      <w:r w:rsidRPr="00597A83">
        <w:t xml:space="preserve"> and </w:t>
      </w:r>
      <w:r>
        <w:t>EAGLES</w:t>
      </w:r>
      <w:r w:rsidRPr="00597A83">
        <w:t xml:space="preserve"> 2016</w:t>
      </w:r>
      <w:r w:rsidRPr="005B2A6C">
        <w:t xml:space="preserve">) </w:t>
      </w:r>
      <w:r>
        <w:t>were included in the efficacy analysis of Cahill et al. (2016).</w:t>
      </w:r>
    </w:p>
    <w:p w:rsidR="00B068FE" w:rsidRPr="005E64E8" w:rsidRDefault="00B068FE" w:rsidP="00C52E2F">
      <w:pPr>
        <w:pStyle w:val="TableFooter"/>
        <w:keepNext/>
      </w:pPr>
      <w:r w:rsidRPr="005E64E8">
        <w:t>3 Benowitz et al. (2018) was a non-treatment extension of EAGLES (Anthenelli et al. 2016) with a considerable amount of missing data due to lost to follow-up, extension study nonenrollees, no longer willing to participate and death.</w:t>
      </w:r>
    </w:p>
    <w:p w:rsidR="00C5551B" w:rsidRDefault="00C5551B" w:rsidP="00C83EDA">
      <w:pPr>
        <w:rPr>
          <w:b/>
          <w:bCs/>
        </w:rPr>
        <w:sectPr w:rsidR="00C5551B" w:rsidSect="00C5551B">
          <w:pgSz w:w="16838" w:h="11906" w:orient="landscape"/>
          <w:pgMar w:top="1440" w:right="1440" w:bottom="1440" w:left="1440" w:header="708" w:footer="708" w:gutter="0"/>
          <w:cols w:space="708"/>
          <w:titlePg/>
          <w:docGrid w:linePitch="360"/>
        </w:sectPr>
      </w:pPr>
    </w:p>
    <w:p w:rsidR="00C43DAB" w:rsidRPr="0073597F" w:rsidRDefault="00C43DAB" w:rsidP="00C43DAB">
      <w:pPr>
        <w:rPr>
          <w:u w:val="single"/>
        </w:rPr>
      </w:pPr>
      <w:r w:rsidRPr="0073597F">
        <w:rPr>
          <w:u w:val="single"/>
        </w:rPr>
        <w:lastRenderedPageBreak/>
        <w:t>Efficacy</w:t>
      </w:r>
    </w:p>
    <w:p w:rsidR="000005A0" w:rsidRDefault="00C43DAB" w:rsidP="00D821EF">
      <w:r w:rsidRPr="00C43DAB">
        <w:t xml:space="preserve">A summary of the </w:t>
      </w:r>
      <w:r w:rsidR="00FB6FC9">
        <w:t>point prevalence abstinence at 24 weeks</w:t>
      </w:r>
      <w:r w:rsidRPr="00C43DAB">
        <w:t xml:space="preserve"> </w:t>
      </w:r>
      <w:r w:rsidR="00357E6D">
        <w:t xml:space="preserve">comparing NRT </w:t>
      </w:r>
      <w:r w:rsidR="00573F59">
        <w:t>patches</w:t>
      </w:r>
      <w:r w:rsidR="00357E6D">
        <w:t xml:space="preserve"> with varenicline</w:t>
      </w:r>
      <w:r w:rsidRPr="00C43DAB">
        <w:t xml:space="preserve"> is presented in </w:t>
      </w:r>
      <w:r w:rsidR="003C4A1C">
        <w:t xml:space="preserve">Table </w:t>
      </w:r>
      <w:r w:rsidR="003C4A1C">
        <w:rPr>
          <w:noProof/>
        </w:rPr>
        <w:t>27</w:t>
      </w:r>
      <w:r w:rsidRPr="00C43DAB">
        <w:t xml:space="preserve">. </w:t>
      </w:r>
      <w:r w:rsidR="00DF7986" w:rsidRPr="00DF7986">
        <w:t xml:space="preserve">The results of </w:t>
      </w:r>
      <w:r w:rsidR="00DF7986">
        <w:t>EAGLES</w:t>
      </w:r>
      <w:r w:rsidR="00DF7986" w:rsidRPr="00DF7986">
        <w:t xml:space="preserve"> (</w:t>
      </w:r>
      <w:r w:rsidR="00DF7986">
        <w:t>2016</w:t>
      </w:r>
      <w:r w:rsidR="00DF7986" w:rsidRPr="00DF7986">
        <w:t xml:space="preserve">) demonstrated a statistically significant difference in </w:t>
      </w:r>
      <w:r w:rsidR="00456980">
        <w:t>point prevalence abstinence at 24 weeks,</w:t>
      </w:r>
      <w:r w:rsidR="00DF7986" w:rsidRPr="00DF7986">
        <w:t xml:space="preserve"> in favour of </w:t>
      </w:r>
      <w:r w:rsidR="007B3F2A">
        <w:t xml:space="preserve">varenicline, noting that the </w:t>
      </w:r>
      <w:r w:rsidR="0050427C">
        <w:t>outcome used was continuous abstinence rate</w:t>
      </w:r>
      <w:r w:rsidR="00DF7986" w:rsidRPr="00DF7986">
        <w:t xml:space="preserve">. In contrast, no statistically significant difference was observed between the two treatment arms in </w:t>
      </w:r>
      <w:r w:rsidR="001748E4">
        <w:t>Aubin</w:t>
      </w:r>
      <w:r w:rsidR="00DF7986" w:rsidRPr="00DF7986">
        <w:t xml:space="preserve"> et al. (</w:t>
      </w:r>
      <w:r w:rsidR="001748E4">
        <w:t>2008</w:t>
      </w:r>
      <w:r w:rsidR="00DF7986" w:rsidRPr="00DF7986">
        <w:t xml:space="preserve">), although the results numerically favoured </w:t>
      </w:r>
      <w:r w:rsidR="001748E4">
        <w:t>varenicline</w:t>
      </w:r>
      <w:r w:rsidR="00DF7986" w:rsidRPr="00DF7986">
        <w:t>.</w:t>
      </w:r>
      <w:r w:rsidR="00D821EF">
        <w:t xml:space="preserve"> </w:t>
      </w:r>
    </w:p>
    <w:p w:rsidR="00BD5951" w:rsidRDefault="00D821EF" w:rsidP="00D821EF">
      <w:r>
        <w:t xml:space="preserve">The PBAC had previously considered that the evidence </w:t>
      </w:r>
      <w:r w:rsidR="004C3E6E">
        <w:t xml:space="preserve">from Aubin et al. (2008) </w:t>
      </w:r>
      <w:r>
        <w:t>suggest</w:t>
      </w:r>
      <w:r w:rsidR="004C3E6E">
        <w:t xml:space="preserve">ed </w:t>
      </w:r>
      <w:r>
        <w:t xml:space="preserve">that varenicline </w:t>
      </w:r>
      <w:r w:rsidR="0074184A">
        <w:t>wa</w:t>
      </w:r>
      <w:r>
        <w:t>s more effective</w:t>
      </w:r>
      <w:r w:rsidR="001F6827">
        <w:t xml:space="preserve"> based on the </w:t>
      </w:r>
      <w:r w:rsidR="00404F36">
        <w:t xml:space="preserve">statistically significant results of the primary outcome </w:t>
      </w:r>
      <w:r w:rsidR="001F0F28">
        <w:t>in the trial</w:t>
      </w:r>
      <w:r w:rsidR="00104B96">
        <w:t xml:space="preserve"> (i.e. continuous abstinence rate in last four weeks of treatment)</w:t>
      </w:r>
      <w:r w:rsidR="001F0F28">
        <w:t xml:space="preserve">. It was noted that point prevalence abstinence at 24 weeks was a secondary outcome in Aubin et al. (2008). As such, </w:t>
      </w:r>
      <w:r w:rsidR="000005A0">
        <w:t>the trial may not have been powered for this endpoint (</w:t>
      </w:r>
      <w:r w:rsidR="00F72DEA" w:rsidRPr="00A93262">
        <w:t xml:space="preserve">NRT PSD, </w:t>
      </w:r>
      <w:r w:rsidR="002479DE" w:rsidRPr="00A93262">
        <w:t xml:space="preserve">March </w:t>
      </w:r>
      <w:r w:rsidR="00F72DEA" w:rsidRPr="00A93262">
        <w:t>2010</w:t>
      </w:r>
      <w:r w:rsidR="002479DE" w:rsidRPr="00A93262">
        <w:t xml:space="preserve"> PBAC meeting</w:t>
      </w:r>
      <w:r w:rsidR="00F72DEA">
        <w:t>)</w:t>
      </w:r>
      <w:r w:rsidR="000005A0">
        <w:t>.</w:t>
      </w:r>
    </w:p>
    <w:p w:rsidR="00864FCE" w:rsidRPr="00C43DAB" w:rsidRDefault="00B71DBF" w:rsidP="00C43DAB">
      <w:r w:rsidRPr="00B71DBF">
        <w:t xml:space="preserve">Based on the Cochrane </w:t>
      </w:r>
      <w:r w:rsidR="00690E8D" w:rsidRPr="00B71DBF">
        <w:t>R</w:t>
      </w:r>
      <w:r w:rsidRPr="00B71DBF">
        <w:t xml:space="preserve">eview by </w:t>
      </w:r>
      <w:r w:rsidR="00104B96">
        <w:t>Cahill</w:t>
      </w:r>
      <w:r w:rsidRPr="00B71DBF">
        <w:t xml:space="preserve"> et al. (20</w:t>
      </w:r>
      <w:r w:rsidR="00104B96">
        <w:t>16</w:t>
      </w:r>
      <w:r w:rsidRPr="00B71DBF">
        <w:t xml:space="preserve">), the results of the meta-analysis comprising </w:t>
      </w:r>
      <w:r w:rsidR="00104B96">
        <w:t>eight</w:t>
      </w:r>
      <w:r w:rsidRPr="00B71DBF">
        <w:t xml:space="preserve"> RCTs demonstrated a statistically significant difference in </w:t>
      </w:r>
      <w:r w:rsidR="00104B96">
        <w:t>point prevalence abstinence</w:t>
      </w:r>
      <w:r w:rsidR="0024527D">
        <w:t xml:space="preserve"> at 24 weeks</w:t>
      </w:r>
      <w:r w:rsidRPr="00B71DBF">
        <w:t xml:space="preserve">, in favour of </w:t>
      </w:r>
      <w:r w:rsidR="00104B96">
        <w:t>varenicline</w:t>
      </w:r>
      <w:r w:rsidRPr="00B71DBF">
        <w:t>.</w:t>
      </w:r>
      <w:r w:rsidR="008E4AE4">
        <w:t xml:space="preserve"> </w:t>
      </w:r>
      <w:r w:rsidR="00864FCE">
        <w:t xml:space="preserve">The results of the updated re-analysis comprising nine RCTs were consistent with the results from Cahill et al. (2016) (RR = 0.83, 95% CI: 0.71, 0.96; RD = -0.05, 95% CI: </w:t>
      </w:r>
      <w:r w:rsidR="00765547">
        <w:t>-0.08</w:t>
      </w:r>
      <w:r w:rsidR="00864FCE">
        <w:t xml:space="preserve">, </w:t>
      </w:r>
      <w:r w:rsidR="00765547">
        <w:t>-0.01</w:t>
      </w:r>
      <w:r w:rsidR="00864FCE">
        <w:t>).</w:t>
      </w:r>
    </w:p>
    <w:p w:rsidR="004B58D4" w:rsidRDefault="004B58D4" w:rsidP="004B58D4">
      <w:pPr>
        <w:pStyle w:val="Caption"/>
        <w:keepNext/>
      </w:pPr>
      <w:bookmarkStart w:id="96" w:name="_Ref54361845"/>
      <w:r>
        <w:t xml:space="preserve">Table </w:t>
      </w:r>
      <w:r w:rsidR="003C4A1C">
        <w:rPr>
          <w:noProof/>
        </w:rPr>
        <w:t>27</w:t>
      </w:r>
      <w:bookmarkEnd w:id="96"/>
      <w:r>
        <w:t xml:space="preserve">: </w:t>
      </w:r>
      <w:r w:rsidRPr="00591811">
        <w:t xml:space="preserve">Results of </w:t>
      </w:r>
      <w:r>
        <w:t xml:space="preserve">point prevalence abstinence </w:t>
      </w:r>
      <w:r w:rsidRPr="00591811">
        <w:t xml:space="preserve">at </w:t>
      </w:r>
      <w:r>
        <w:t>24 weeks</w:t>
      </w:r>
      <w:r w:rsidRPr="00591811">
        <w:t xml:space="preserve">, </w:t>
      </w:r>
      <w:r>
        <w:t>NRT patch versus vare</w:t>
      </w:r>
      <w:r w:rsidRPr="00591811">
        <w:t>nicline</w:t>
      </w:r>
    </w:p>
    <w:tbl>
      <w:tblPr>
        <w:tblStyle w:val="TableGrid"/>
        <w:tblW w:w="5000" w:type="pct"/>
        <w:tblLook w:val="04A0" w:firstRow="1" w:lastRow="0" w:firstColumn="1" w:lastColumn="0" w:noHBand="0" w:noVBand="1"/>
        <w:tblCaption w:val="Efficacy results of adalimumab trials (PASI 75 and DLQI)"/>
      </w:tblPr>
      <w:tblGrid>
        <w:gridCol w:w="1299"/>
        <w:gridCol w:w="1659"/>
        <w:gridCol w:w="1533"/>
        <w:gridCol w:w="1535"/>
        <w:gridCol w:w="1535"/>
        <w:gridCol w:w="1455"/>
      </w:tblGrid>
      <w:tr w:rsidR="00D8637F" w:rsidRPr="00061F78" w:rsidTr="00D8637F">
        <w:trPr>
          <w:cantSplit/>
          <w:trHeight w:val="299"/>
          <w:tblHeader/>
        </w:trPr>
        <w:tc>
          <w:tcPr>
            <w:tcW w:w="721" w:type="pct"/>
            <w:shd w:val="clear" w:color="auto" w:fill="BFBFBF" w:themeFill="background1" w:themeFillShade="BF"/>
            <w:tcMar>
              <w:left w:w="28" w:type="dxa"/>
              <w:right w:w="28" w:type="dxa"/>
            </w:tcMar>
          </w:tcPr>
          <w:p w:rsidR="00D8637F" w:rsidRPr="00061F78" w:rsidRDefault="00D8637F" w:rsidP="00D8637F">
            <w:pPr>
              <w:pStyle w:val="Tableheading"/>
              <w:keepNext/>
              <w:rPr>
                <w:rFonts w:eastAsia="MS Mincho"/>
              </w:rPr>
            </w:pPr>
            <w:r>
              <w:rPr>
                <w:rFonts w:eastAsia="MS Mincho"/>
              </w:rPr>
              <w:t>Trial</w:t>
            </w:r>
          </w:p>
        </w:tc>
        <w:tc>
          <w:tcPr>
            <w:tcW w:w="920" w:type="pct"/>
            <w:shd w:val="clear" w:color="auto" w:fill="BFBFBF" w:themeFill="background1" w:themeFillShade="BF"/>
            <w:vAlign w:val="center"/>
          </w:tcPr>
          <w:p w:rsidR="00D8637F" w:rsidRDefault="00D8637F" w:rsidP="00D8637F">
            <w:pPr>
              <w:pStyle w:val="Tableheading"/>
              <w:keepNext/>
              <w:jc w:val="center"/>
              <w:rPr>
                <w:rFonts w:eastAsia="MS Mincho"/>
              </w:rPr>
            </w:pPr>
            <w:r>
              <w:rPr>
                <w:rFonts w:eastAsia="MS Mincho"/>
              </w:rPr>
              <w:t>Study type</w:t>
            </w:r>
          </w:p>
        </w:tc>
        <w:tc>
          <w:tcPr>
            <w:tcW w:w="850" w:type="pct"/>
            <w:shd w:val="clear" w:color="auto" w:fill="BFBFBF" w:themeFill="background1" w:themeFillShade="BF"/>
            <w:tcMar>
              <w:left w:w="28" w:type="dxa"/>
              <w:right w:w="28" w:type="dxa"/>
            </w:tcMar>
            <w:vAlign w:val="center"/>
          </w:tcPr>
          <w:p w:rsidR="00D8637F" w:rsidRPr="00061F78" w:rsidRDefault="004B58D4" w:rsidP="00D8637F">
            <w:pPr>
              <w:pStyle w:val="Tableheading"/>
              <w:keepNext/>
              <w:jc w:val="center"/>
              <w:rPr>
                <w:rFonts w:eastAsia="MS Mincho"/>
              </w:rPr>
            </w:pPr>
            <w:r>
              <w:rPr>
                <w:rFonts w:eastAsia="MS Mincho"/>
              </w:rPr>
              <w:t>NRT patch</w:t>
            </w:r>
          </w:p>
        </w:tc>
        <w:tc>
          <w:tcPr>
            <w:tcW w:w="851" w:type="pct"/>
            <w:shd w:val="clear" w:color="auto" w:fill="BFBFBF" w:themeFill="background1" w:themeFillShade="BF"/>
            <w:tcMar>
              <w:left w:w="28" w:type="dxa"/>
              <w:right w:w="28" w:type="dxa"/>
            </w:tcMar>
            <w:vAlign w:val="center"/>
          </w:tcPr>
          <w:p w:rsidR="00D8637F" w:rsidRPr="00061F78" w:rsidRDefault="004B58D4" w:rsidP="00D8637F">
            <w:pPr>
              <w:pStyle w:val="Tableheading"/>
              <w:keepNext/>
              <w:jc w:val="center"/>
              <w:rPr>
                <w:rFonts w:eastAsia="MS Mincho"/>
              </w:rPr>
            </w:pPr>
            <w:r>
              <w:rPr>
                <w:rFonts w:eastAsia="MS Mincho"/>
              </w:rPr>
              <w:t>Varenicline</w:t>
            </w:r>
          </w:p>
        </w:tc>
        <w:tc>
          <w:tcPr>
            <w:tcW w:w="851" w:type="pct"/>
            <w:shd w:val="clear" w:color="auto" w:fill="BFBFBF" w:themeFill="background1" w:themeFillShade="BF"/>
            <w:tcMar>
              <w:left w:w="28" w:type="dxa"/>
              <w:right w:w="28" w:type="dxa"/>
            </w:tcMar>
            <w:vAlign w:val="center"/>
          </w:tcPr>
          <w:p w:rsidR="00D8637F" w:rsidRPr="00D468CF" w:rsidRDefault="00D8637F" w:rsidP="00D8637F">
            <w:pPr>
              <w:pStyle w:val="Tableheading"/>
              <w:keepNext/>
              <w:jc w:val="center"/>
              <w:rPr>
                <w:rFonts w:eastAsia="MS Mincho"/>
                <w:vertAlign w:val="superscript"/>
              </w:rPr>
            </w:pPr>
            <w:r>
              <w:rPr>
                <w:rFonts w:eastAsia="MS Mincho"/>
              </w:rPr>
              <w:t>RR (95% CI)</w:t>
            </w:r>
          </w:p>
        </w:tc>
        <w:tc>
          <w:tcPr>
            <w:tcW w:w="807" w:type="pct"/>
            <w:shd w:val="clear" w:color="auto" w:fill="BFBFBF" w:themeFill="background1" w:themeFillShade="BF"/>
            <w:vAlign w:val="center"/>
          </w:tcPr>
          <w:p w:rsidR="00D8637F" w:rsidRDefault="00D8637F" w:rsidP="00D8637F">
            <w:pPr>
              <w:pStyle w:val="Tableheading"/>
              <w:keepNext/>
              <w:jc w:val="center"/>
              <w:rPr>
                <w:rFonts w:eastAsia="MS Mincho"/>
              </w:rPr>
            </w:pPr>
            <w:r>
              <w:rPr>
                <w:rFonts w:eastAsia="MS Mincho"/>
              </w:rPr>
              <w:t>RD (95% CI)</w:t>
            </w:r>
          </w:p>
        </w:tc>
      </w:tr>
      <w:tr w:rsidR="00D8637F" w:rsidRPr="00061F78" w:rsidTr="00015CD6">
        <w:trPr>
          <w:cantSplit/>
          <w:trHeight w:val="99"/>
        </w:trPr>
        <w:tc>
          <w:tcPr>
            <w:tcW w:w="721" w:type="pct"/>
            <w:shd w:val="clear" w:color="auto" w:fill="D9D9D9" w:themeFill="background1" w:themeFillShade="D9"/>
            <w:tcMar>
              <w:left w:w="28" w:type="dxa"/>
              <w:right w:w="28" w:type="dxa"/>
            </w:tcMar>
          </w:tcPr>
          <w:p w:rsidR="00FD339F" w:rsidRDefault="00FD339F" w:rsidP="00D8637F">
            <w:pPr>
              <w:pStyle w:val="Tablewriting"/>
              <w:keepNext/>
              <w:rPr>
                <w:rFonts w:eastAsia="MS Mincho"/>
              </w:rPr>
            </w:pPr>
            <w:r>
              <w:rPr>
                <w:rFonts w:eastAsia="MS Mincho"/>
              </w:rPr>
              <w:t>Aubin</w:t>
            </w:r>
          </w:p>
          <w:p w:rsidR="00D8637F" w:rsidRDefault="00D8637F" w:rsidP="00D8637F">
            <w:pPr>
              <w:pStyle w:val="Tablewriting"/>
              <w:keepNext/>
              <w:rPr>
                <w:rFonts w:eastAsia="MS Mincho"/>
              </w:rPr>
            </w:pPr>
            <w:r>
              <w:rPr>
                <w:rFonts w:eastAsia="MS Mincho"/>
              </w:rPr>
              <w:t>(200</w:t>
            </w:r>
            <w:r w:rsidR="00FD339F">
              <w:rPr>
                <w:rFonts w:eastAsia="MS Mincho"/>
              </w:rPr>
              <w:t>8</w:t>
            </w:r>
            <w:r>
              <w:rPr>
                <w:rFonts w:eastAsia="MS Mincho"/>
              </w:rPr>
              <w:t>)</w:t>
            </w:r>
            <w:r>
              <w:rPr>
                <w:rFonts w:eastAsia="MS Mincho"/>
                <w:vertAlign w:val="superscript"/>
              </w:rPr>
              <w:t>1</w:t>
            </w:r>
            <w:r>
              <w:rPr>
                <w:rFonts w:eastAsia="MS Mincho"/>
              </w:rPr>
              <w:t xml:space="preserve"> </w:t>
            </w:r>
          </w:p>
        </w:tc>
        <w:tc>
          <w:tcPr>
            <w:tcW w:w="920" w:type="pct"/>
            <w:shd w:val="clear" w:color="auto" w:fill="D9D9D9" w:themeFill="background1" w:themeFillShade="D9"/>
            <w:vAlign w:val="center"/>
          </w:tcPr>
          <w:p w:rsidR="00D8637F" w:rsidRDefault="00D8637F" w:rsidP="00D8637F">
            <w:pPr>
              <w:pStyle w:val="Tablewriting"/>
              <w:keepNext/>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rsidR="00D8637F" w:rsidRDefault="004B58D4" w:rsidP="00D8637F">
            <w:pPr>
              <w:pStyle w:val="Tablewriting"/>
              <w:keepNext/>
              <w:jc w:val="center"/>
              <w:rPr>
                <w:rFonts w:eastAsia="MS Mincho"/>
              </w:rPr>
            </w:pPr>
            <w:r>
              <w:rPr>
                <w:rFonts w:eastAsia="MS Mincho"/>
              </w:rPr>
              <w:t>126</w:t>
            </w:r>
            <w:r w:rsidR="00D8637F">
              <w:rPr>
                <w:rFonts w:eastAsia="MS Mincho"/>
              </w:rPr>
              <w:t>/3</w:t>
            </w:r>
            <w:r>
              <w:rPr>
                <w:rFonts w:eastAsia="MS Mincho"/>
              </w:rPr>
              <w:t>7</w:t>
            </w:r>
            <w:r w:rsidR="004B0E0B">
              <w:rPr>
                <w:rFonts w:eastAsia="MS Mincho"/>
              </w:rPr>
              <w:t>9</w:t>
            </w:r>
            <w:r w:rsidR="00E61CFC">
              <w:rPr>
                <w:rFonts w:eastAsia="MS Mincho"/>
                <w:vertAlign w:val="superscript"/>
              </w:rPr>
              <w:t>a</w:t>
            </w:r>
          </w:p>
          <w:p w:rsidR="00D8637F" w:rsidRDefault="00D8637F" w:rsidP="00D8637F">
            <w:pPr>
              <w:pStyle w:val="Tablewriting"/>
              <w:keepNext/>
              <w:jc w:val="center"/>
              <w:rPr>
                <w:rFonts w:eastAsia="MS Mincho"/>
              </w:rPr>
            </w:pPr>
            <w:r>
              <w:rPr>
                <w:rFonts w:eastAsia="MS Mincho"/>
              </w:rPr>
              <w:t>(</w:t>
            </w:r>
            <w:r w:rsidR="00CD6A97">
              <w:rPr>
                <w:rFonts w:eastAsia="MS Mincho"/>
              </w:rPr>
              <w:t>33.2</w:t>
            </w:r>
            <w:r>
              <w:rPr>
                <w:rFonts w:eastAsia="MS Mincho"/>
              </w:rPr>
              <w:t>%)</w:t>
            </w:r>
          </w:p>
        </w:tc>
        <w:tc>
          <w:tcPr>
            <w:tcW w:w="851" w:type="pct"/>
            <w:shd w:val="clear" w:color="auto" w:fill="D9D9D9" w:themeFill="background1" w:themeFillShade="D9"/>
            <w:tcMar>
              <w:left w:w="28" w:type="dxa"/>
              <w:right w:w="28" w:type="dxa"/>
            </w:tcMar>
            <w:vAlign w:val="center"/>
          </w:tcPr>
          <w:p w:rsidR="00FD339F" w:rsidRDefault="004B58D4" w:rsidP="00FD339F">
            <w:pPr>
              <w:pStyle w:val="Tablewriting"/>
              <w:keepNext/>
              <w:jc w:val="center"/>
              <w:rPr>
                <w:rFonts w:eastAsia="MS Mincho"/>
              </w:rPr>
            </w:pPr>
            <w:r>
              <w:rPr>
                <w:rFonts w:eastAsia="MS Mincho"/>
              </w:rPr>
              <w:t>145</w:t>
            </w:r>
            <w:r w:rsidR="00FD339F">
              <w:rPr>
                <w:rFonts w:eastAsia="MS Mincho"/>
              </w:rPr>
              <w:t>/3</w:t>
            </w:r>
            <w:r>
              <w:rPr>
                <w:rFonts w:eastAsia="MS Mincho"/>
              </w:rPr>
              <w:t>7</w:t>
            </w:r>
            <w:r w:rsidR="004B0E0B">
              <w:rPr>
                <w:rFonts w:eastAsia="MS Mincho"/>
              </w:rPr>
              <w:t>8</w:t>
            </w:r>
            <w:r w:rsidR="00E61CFC">
              <w:rPr>
                <w:rFonts w:eastAsia="MS Mincho"/>
                <w:vertAlign w:val="superscript"/>
              </w:rPr>
              <w:t>a</w:t>
            </w:r>
          </w:p>
          <w:p w:rsidR="00D8637F" w:rsidRDefault="00FD339F" w:rsidP="00FD339F">
            <w:pPr>
              <w:pStyle w:val="Tablewriting"/>
              <w:keepNext/>
              <w:jc w:val="center"/>
              <w:rPr>
                <w:rFonts w:eastAsia="MS Mincho"/>
              </w:rPr>
            </w:pPr>
            <w:r>
              <w:rPr>
                <w:rFonts w:eastAsia="MS Mincho"/>
              </w:rPr>
              <w:t>(</w:t>
            </w:r>
            <w:r w:rsidR="00CD6A97">
              <w:rPr>
                <w:rFonts w:eastAsia="MS Mincho"/>
              </w:rPr>
              <w:t>38.4</w:t>
            </w:r>
            <w:r>
              <w:rPr>
                <w:rFonts w:eastAsia="MS Mincho"/>
              </w:rPr>
              <w:t>%)</w:t>
            </w:r>
          </w:p>
        </w:tc>
        <w:tc>
          <w:tcPr>
            <w:tcW w:w="851" w:type="pct"/>
            <w:shd w:val="clear" w:color="auto" w:fill="D9D9D9" w:themeFill="background1" w:themeFillShade="D9"/>
            <w:tcMar>
              <w:left w:w="28" w:type="dxa"/>
              <w:right w:w="28" w:type="dxa"/>
            </w:tcMar>
            <w:vAlign w:val="center"/>
          </w:tcPr>
          <w:p w:rsidR="00D8637F" w:rsidRPr="006E70FC" w:rsidRDefault="00AF67D6" w:rsidP="00D8637F">
            <w:pPr>
              <w:pStyle w:val="Tablewriting"/>
              <w:keepNext/>
              <w:jc w:val="center"/>
              <w:rPr>
                <w:rFonts w:eastAsia="MS Mincho"/>
              </w:rPr>
            </w:pPr>
            <w:r w:rsidRPr="006E70FC">
              <w:rPr>
                <w:rFonts w:eastAsia="MS Mincho"/>
              </w:rPr>
              <w:t>0.87</w:t>
            </w:r>
          </w:p>
          <w:p w:rsidR="00AF67D6" w:rsidRPr="00F360FD" w:rsidRDefault="00AF67D6" w:rsidP="00D8637F">
            <w:pPr>
              <w:pStyle w:val="Tablewriting"/>
              <w:keepNext/>
              <w:jc w:val="center"/>
              <w:rPr>
                <w:rFonts w:eastAsia="MS Mincho"/>
                <w:b/>
              </w:rPr>
            </w:pPr>
            <w:r w:rsidRPr="006E70FC">
              <w:rPr>
                <w:rFonts w:eastAsia="MS Mincho"/>
              </w:rPr>
              <w:t>(0.72, 1.05)</w:t>
            </w:r>
          </w:p>
        </w:tc>
        <w:tc>
          <w:tcPr>
            <w:tcW w:w="807" w:type="pct"/>
            <w:shd w:val="clear" w:color="auto" w:fill="D9D9D9" w:themeFill="background1" w:themeFillShade="D9"/>
            <w:vAlign w:val="center"/>
          </w:tcPr>
          <w:p w:rsidR="00D8637F" w:rsidRDefault="009843F9" w:rsidP="00D8637F">
            <w:pPr>
              <w:pStyle w:val="Tablewriting"/>
              <w:keepNext/>
              <w:jc w:val="center"/>
              <w:rPr>
                <w:rFonts w:eastAsia="MS Mincho"/>
              </w:rPr>
            </w:pPr>
            <w:r>
              <w:rPr>
                <w:rFonts w:eastAsia="MS Mincho"/>
              </w:rPr>
              <w:t>-0.05</w:t>
            </w:r>
          </w:p>
          <w:p w:rsidR="009843F9" w:rsidRPr="00061F78" w:rsidRDefault="009843F9" w:rsidP="00D8637F">
            <w:pPr>
              <w:pStyle w:val="Tablewriting"/>
              <w:keepNext/>
              <w:jc w:val="center"/>
              <w:rPr>
                <w:rFonts w:eastAsia="MS Mincho"/>
              </w:rPr>
            </w:pPr>
            <w:r>
              <w:rPr>
                <w:rFonts w:eastAsia="MS Mincho"/>
              </w:rPr>
              <w:t>(</w:t>
            </w:r>
            <w:r w:rsidR="00AE1268">
              <w:rPr>
                <w:rFonts w:eastAsia="MS Mincho"/>
              </w:rPr>
              <w:t>-0.12, 0.02)</w:t>
            </w:r>
          </w:p>
        </w:tc>
      </w:tr>
      <w:tr w:rsidR="00D8637F" w:rsidRPr="00061F78" w:rsidTr="00015CD6">
        <w:trPr>
          <w:cantSplit/>
          <w:trHeight w:val="99"/>
        </w:trPr>
        <w:tc>
          <w:tcPr>
            <w:tcW w:w="721" w:type="pct"/>
            <w:shd w:val="clear" w:color="auto" w:fill="D9D9D9" w:themeFill="background1" w:themeFillShade="D9"/>
            <w:tcMar>
              <w:left w:w="28" w:type="dxa"/>
              <w:right w:w="28" w:type="dxa"/>
            </w:tcMar>
          </w:tcPr>
          <w:p w:rsidR="00D8637F" w:rsidRPr="00D468CF" w:rsidRDefault="00D8637F" w:rsidP="00D8637F">
            <w:pPr>
              <w:pStyle w:val="Tablewriting"/>
              <w:keepNext/>
              <w:rPr>
                <w:rFonts w:eastAsia="MS Mincho"/>
                <w:vertAlign w:val="superscript"/>
              </w:rPr>
            </w:pPr>
            <w:r>
              <w:rPr>
                <w:rFonts w:eastAsia="MS Mincho"/>
              </w:rPr>
              <w:t>Anthenelli (EAGLES, 2016)</w:t>
            </w:r>
            <w:r>
              <w:rPr>
                <w:rFonts w:eastAsia="MS Mincho"/>
                <w:vertAlign w:val="superscript"/>
              </w:rPr>
              <w:t>2</w:t>
            </w:r>
          </w:p>
        </w:tc>
        <w:tc>
          <w:tcPr>
            <w:tcW w:w="920" w:type="pct"/>
            <w:shd w:val="clear" w:color="auto" w:fill="D9D9D9" w:themeFill="background1" w:themeFillShade="D9"/>
            <w:vAlign w:val="center"/>
          </w:tcPr>
          <w:p w:rsidR="00D8637F" w:rsidRDefault="00D8637F" w:rsidP="00D8637F">
            <w:pPr>
              <w:pStyle w:val="Tablewriting"/>
              <w:keepNext/>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rsidR="00D8637F" w:rsidRPr="00A6179F" w:rsidRDefault="004B58D4" w:rsidP="00D8637F">
            <w:pPr>
              <w:pStyle w:val="Tablewriting"/>
              <w:keepNext/>
              <w:jc w:val="center"/>
              <w:rPr>
                <w:rFonts w:eastAsia="MS Mincho"/>
                <w:vertAlign w:val="superscript"/>
              </w:rPr>
            </w:pPr>
            <w:r>
              <w:rPr>
                <w:rFonts w:eastAsia="MS Mincho"/>
              </w:rPr>
              <w:t>320</w:t>
            </w:r>
            <w:r w:rsidR="00D8637F">
              <w:rPr>
                <w:rFonts w:eastAsia="MS Mincho"/>
              </w:rPr>
              <w:t>/2,03</w:t>
            </w:r>
            <w:r>
              <w:rPr>
                <w:rFonts w:eastAsia="MS Mincho"/>
              </w:rPr>
              <w:t>8</w:t>
            </w:r>
            <w:r w:rsidR="00A6179F">
              <w:rPr>
                <w:rFonts w:eastAsia="MS Mincho"/>
                <w:vertAlign w:val="superscript"/>
              </w:rPr>
              <w:t>a</w:t>
            </w:r>
          </w:p>
          <w:p w:rsidR="00D8637F" w:rsidRPr="00061F78" w:rsidRDefault="00D8637F" w:rsidP="00D8637F">
            <w:pPr>
              <w:pStyle w:val="Tablewriting"/>
              <w:keepNext/>
              <w:jc w:val="center"/>
              <w:rPr>
                <w:rFonts w:eastAsia="MS Mincho"/>
              </w:rPr>
            </w:pPr>
            <w:r>
              <w:rPr>
                <w:rFonts w:eastAsia="MS Mincho"/>
              </w:rPr>
              <w:t>(</w:t>
            </w:r>
            <w:r w:rsidR="004B58D4">
              <w:rPr>
                <w:rFonts w:eastAsia="MS Mincho"/>
              </w:rPr>
              <w:t>15.7</w:t>
            </w:r>
            <w:r>
              <w:rPr>
                <w:rFonts w:eastAsia="MS Mincho"/>
              </w:rPr>
              <w:t>%)</w:t>
            </w:r>
          </w:p>
        </w:tc>
        <w:tc>
          <w:tcPr>
            <w:tcW w:w="851" w:type="pct"/>
            <w:shd w:val="clear" w:color="auto" w:fill="D9D9D9" w:themeFill="background1" w:themeFillShade="D9"/>
            <w:tcMar>
              <w:left w:w="28" w:type="dxa"/>
              <w:right w:w="28" w:type="dxa"/>
            </w:tcMar>
            <w:vAlign w:val="center"/>
          </w:tcPr>
          <w:p w:rsidR="00FD339F" w:rsidRPr="00A6179F" w:rsidRDefault="00FD339F" w:rsidP="00FD339F">
            <w:pPr>
              <w:pStyle w:val="Tablewriting"/>
              <w:keepNext/>
              <w:jc w:val="center"/>
              <w:rPr>
                <w:rFonts w:eastAsia="MS Mincho"/>
                <w:vertAlign w:val="superscript"/>
              </w:rPr>
            </w:pPr>
            <w:r>
              <w:rPr>
                <w:rFonts w:eastAsia="MS Mincho"/>
              </w:rPr>
              <w:t>445/2,037</w:t>
            </w:r>
            <w:r w:rsidR="00A6179F">
              <w:rPr>
                <w:rFonts w:eastAsia="MS Mincho"/>
                <w:vertAlign w:val="superscript"/>
              </w:rPr>
              <w:t>a</w:t>
            </w:r>
          </w:p>
          <w:p w:rsidR="00D8637F" w:rsidRPr="00061F78" w:rsidRDefault="00FD339F" w:rsidP="00FD339F">
            <w:pPr>
              <w:pStyle w:val="Tablewriting"/>
              <w:keepNext/>
              <w:jc w:val="center"/>
              <w:rPr>
                <w:rFonts w:eastAsia="MS Mincho"/>
              </w:rPr>
            </w:pPr>
            <w:r>
              <w:rPr>
                <w:rFonts w:eastAsia="MS Mincho"/>
              </w:rPr>
              <w:t>(21.8%)</w:t>
            </w:r>
          </w:p>
        </w:tc>
        <w:tc>
          <w:tcPr>
            <w:tcW w:w="851" w:type="pct"/>
            <w:shd w:val="clear" w:color="auto" w:fill="D9D9D9" w:themeFill="background1" w:themeFillShade="D9"/>
            <w:tcMar>
              <w:left w:w="28" w:type="dxa"/>
              <w:right w:w="28" w:type="dxa"/>
            </w:tcMar>
            <w:vAlign w:val="center"/>
          </w:tcPr>
          <w:p w:rsidR="00D8637F" w:rsidRDefault="006E70FC" w:rsidP="00D8637F">
            <w:pPr>
              <w:pStyle w:val="Tablewriting"/>
              <w:keepNext/>
              <w:jc w:val="center"/>
              <w:rPr>
                <w:rFonts w:eastAsia="MS Mincho"/>
                <w:b/>
              </w:rPr>
            </w:pPr>
            <w:r>
              <w:rPr>
                <w:rFonts w:eastAsia="MS Mincho"/>
                <w:b/>
              </w:rPr>
              <w:t>0.72</w:t>
            </w:r>
          </w:p>
          <w:p w:rsidR="006E70FC" w:rsidRPr="00061F78" w:rsidRDefault="006E70FC" w:rsidP="00D8637F">
            <w:pPr>
              <w:pStyle w:val="Tablewriting"/>
              <w:keepNext/>
              <w:jc w:val="center"/>
              <w:rPr>
                <w:rFonts w:eastAsia="MS Mincho"/>
              </w:rPr>
            </w:pPr>
            <w:r>
              <w:rPr>
                <w:rFonts w:eastAsia="MS Mincho"/>
                <w:b/>
              </w:rPr>
              <w:t>(0.</w:t>
            </w:r>
            <w:r w:rsidR="009843F9">
              <w:rPr>
                <w:rFonts w:eastAsia="MS Mincho"/>
                <w:b/>
              </w:rPr>
              <w:t>63, 0.82)</w:t>
            </w:r>
          </w:p>
        </w:tc>
        <w:tc>
          <w:tcPr>
            <w:tcW w:w="807" w:type="pct"/>
            <w:shd w:val="clear" w:color="auto" w:fill="D9D9D9" w:themeFill="background1" w:themeFillShade="D9"/>
            <w:vAlign w:val="center"/>
          </w:tcPr>
          <w:p w:rsidR="00D8637F" w:rsidRPr="009D1E1E" w:rsidRDefault="00AE1268" w:rsidP="00D8637F">
            <w:pPr>
              <w:pStyle w:val="Tablewriting"/>
              <w:keepNext/>
              <w:jc w:val="center"/>
              <w:rPr>
                <w:rFonts w:eastAsia="MS Mincho"/>
                <w:b/>
                <w:bCs/>
              </w:rPr>
            </w:pPr>
            <w:r w:rsidRPr="009D1E1E">
              <w:rPr>
                <w:rFonts w:eastAsia="MS Mincho"/>
                <w:b/>
                <w:bCs/>
              </w:rPr>
              <w:t>-0.06</w:t>
            </w:r>
          </w:p>
          <w:p w:rsidR="00AE1268" w:rsidRPr="00061F78" w:rsidRDefault="00AE1268" w:rsidP="00D8637F">
            <w:pPr>
              <w:pStyle w:val="Tablewriting"/>
              <w:keepNext/>
              <w:jc w:val="center"/>
              <w:rPr>
                <w:rFonts w:eastAsia="MS Mincho"/>
              </w:rPr>
            </w:pPr>
            <w:r w:rsidRPr="009D1E1E">
              <w:rPr>
                <w:rFonts w:eastAsia="MS Mincho"/>
                <w:b/>
                <w:bCs/>
              </w:rPr>
              <w:t>(-0.09, -0.04)</w:t>
            </w:r>
          </w:p>
        </w:tc>
      </w:tr>
      <w:tr w:rsidR="00D8637F" w:rsidRPr="00061F78" w:rsidTr="00D8637F">
        <w:trPr>
          <w:cantSplit/>
          <w:trHeight w:val="149"/>
        </w:trPr>
        <w:tc>
          <w:tcPr>
            <w:tcW w:w="721" w:type="pct"/>
            <w:tcMar>
              <w:left w:w="28" w:type="dxa"/>
              <w:right w:w="28" w:type="dxa"/>
            </w:tcMar>
          </w:tcPr>
          <w:p w:rsidR="00FD339F" w:rsidRDefault="00D8637F" w:rsidP="00D8637F">
            <w:pPr>
              <w:pStyle w:val="Tablewriting"/>
              <w:keepNext/>
              <w:rPr>
                <w:rFonts w:eastAsia="MS Mincho"/>
              </w:rPr>
            </w:pPr>
            <w:r>
              <w:rPr>
                <w:rFonts w:eastAsia="MS Mincho"/>
              </w:rPr>
              <w:t xml:space="preserve">Cahill </w:t>
            </w:r>
          </w:p>
          <w:p w:rsidR="00D8637F" w:rsidRPr="00D468CF" w:rsidRDefault="00D8637F" w:rsidP="00D8637F">
            <w:pPr>
              <w:pStyle w:val="Tablewriting"/>
              <w:keepNext/>
              <w:rPr>
                <w:rFonts w:eastAsia="MS Mincho"/>
                <w:vertAlign w:val="superscript"/>
              </w:rPr>
            </w:pPr>
            <w:r>
              <w:rPr>
                <w:rFonts w:eastAsia="MS Mincho"/>
              </w:rPr>
              <w:t>(2016)</w:t>
            </w:r>
            <w:r>
              <w:rPr>
                <w:rFonts w:eastAsia="MS Mincho"/>
                <w:vertAlign w:val="superscript"/>
              </w:rPr>
              <w:t>3</w:t>
            </w:r>
            <w:r w:rsidR="002777C2">
              <w:rPr>
                <w:rFonts w:eastAsia="MS Mincho"/>
                <w:vertAlign w:val="superscript"/>
              </w:rPr>
              <w:t>,4</w:t>
            </w:r>
          </w:p>
        </w:tc>
        <w:tc>
          <w:tcPr>
            <w:tcW w:w="920" w:type="pct"/>
            <w:vAlign w:val="center"/>
          </w:tcPr>
          <w:p w:rsidR="00D8637F" w:rsidRDefault="00D8637F" w:rsidP="00D8637F">
            <w:pPr>
              <w:pStyle w:val="Tablewriting"/>
              <w:keepNext/>
              <w:jc w:val="center"/>
              <w:rPr>
                <w:rFonts w:eastAsia="MS Mincho"/>
              </w:rPr>
            </w:pPr>
            <w:r>
              <w:rPr>
                <w:rFonts w:eastAsia="MS Mincho"/>
              </w:rPr>
              <w:t>Cochrane Review (</w:t>
            </w:r>
            <w:r w:rsidR="00FD339F">
              <w:rPr>
                <w:rFonts w:eastAsia="MS Mincho"/>
              </w:rPr>
              <w:t>8</w:t>
            </w:r>
            <w:r>
              <w:rPr>
                <w:rFonts w:eastAsia="MS Mincho"/>
              </w:rPr>
              <w:t xml:space="preserve"> RCTs)</w:t>
            </w:r>
          </w:p>
        </w:tc>
        <w:tc>
          <w:tcPr>
            <w:tcW w:w="850" w:type="pct"/>
            <w:tcMar>
              <w:left w:w="28" w:type="dxa"/>
              <w:right w:w="28" w:type="dxa"/>
            </w:tcMar>
            <w:vAlign w:val="center"/>
          </w:tcPr>
          <w:p w:rsidR="00D8637F" w:rsidRPr="009843F9" w:rsidRDefault="004B58D4" w:rsidP="00D8637F">
            <w:pPr>
              <w:pStyle w:val="Tablewriting"/>
              <w:keepNext/>
              <w:jc w:val="center"/>
              <w:rPr>
                <w:rFonts w:eastAsia="MS Mincho"/>
              </w:rPr>
            </w:pPr>
            <w:r w:rsidRPr="009843F9">
              <w:rPr>
                <w:rFonts w:eastAsia="MS Mincho"/>
              </w:rPr>
              <w:t>575</w:t>
            </w:r>
            <w:r w:rsidR="00D8637F" w:rsidRPr="009843F9">
              <w:rPr>
                <w:rFonts w:eastAsia="MS Mincho"/>
              </w:rPr>
              <w:t>/</w:t>
            </w:r>
            <w:r w:rsidRPr="009843F9">
              <w:rPr>
                <w:rFonts w:eastAsia="MS Mincho"/>
              </w:rPr>
              <w:t>3</w:t>
            </w:r>
            <w:r w:rsidR="00D8637F" w:rsidRPr="009843F9">
              <w:rPr>
                <w:rFonts w:eastAsia="MS Mincho"/>
              </w:rPr>
              <w:t>,</w:t>
            </w:r>
            <w:r w:rsidRPr="009843F9">
              <w:rPr>
                <w:rFonts w:eastAsia="MS Mincho"/>
              </w:rPr>
              <w:t>0</w:t>
            </w:r>
            <w:r w:rsidR="001C4F9D">
              <w:rPr>
                <w:rFonts w:eastAsia="MS Mincho"/>
              </w:rPr>
              <w:t>59</w:t>
            </w:r>
            <w:r w:rsidR="000B5F01">
              <w:rPr>
                <w:rFonts w:eastAsia="MS Mincho"/>
                <w:vertAlign w:val="superscript"/>
              </w:rPr>
              <w:t>a</w:t>
            </w:r>
            <w:r w:rsidR="00D8637F" w:rsidRPr="009843F9">
              <w:rPr>
                <w:rFonts w:eastAsia="MS Mincho"/>
              </w:rPr>
              <w:t xml:space="preserve"> </w:t>
            </w:r>
          </w:p>
          <w:p w:rsidR="00D8637F" w:rsidRPr="009843F9" w:rsidRDefault="00D8637F" w:rsidP="00D8637F">
            <w:pPr>
              <w:pStyle w:val="Tablewriting"/>
              <w:keepNext/>
              <w:jc w:val="center"/>
              <w:rPr>
                <w:rFonts w:eastAsia="MS Mincho"/>
              </w:rPr>
            </w:pPr>
            <w:r w:rsidRPr="009843F9">
              <w:rPr>
                <w:rFonts w:eastAsia="MS Mincho"/>
              </w:rPr>
              <w:t>(</w:t>
            </w:r>
            <w:r w:rsidR="00210FD6">
              <w:rPr>
                <w:rFonts w:eastAsia="MS Mincho"/>
              </w:rPr>
              <w:t>18.8</w:t>
            </w:r>
            <w:r w:rsidRPr="009843F9">
              <w:rPr>
                <w:rFonts w:eastAsia="MS Mincho"/>
              </w:rPr>
              <w:t>%)</w:t>
            </w:r>
          </w:p>
        </w:tc>
        <w:tc>
          <w:tcPr>
            <w:tcW w:w="851" w:type="pct"/>
            <w:tcMar>
              <w:left w:w="28" w:type="dxa"/>
              <w:right w:w="28" w:type="dxa"/>
            </w:tcMar>
            <w:vAlign w:val="center"/>
          </w:tcPr>
          <w:p w:rsidR="00D8637F" w:rsidRPr="009843F9" w:rsidRDefault="004B58D4" w:rsidP="00D8637F">
            <w:pPr>
              <w:pStyle w:val="Tablewriting"/>
              <w:keepNext/>
              <w:jc w:val="center"/>
              <w:rPr>
                <w:rFonts w:eastAsia="MS Mincho"/>
              </w:rPr>
            </w:pPr>
            <w:r w:rsidRPr="009843F9">
              <w:rPr>
                <w:rFonts w:eastAsia="MS Mincho"/>
              </w:rPr>
              <w:t>76</w:t>
            </w:r>
            <w:r w:rsidR="005077AD" w:rsidRPr="009843F9">
              <w:rPr>
                <w:rFonts w:eastAsia="MS Mincho"/>
              </w:rPr>
              <w:t>8</w:t>
            </w:r>
            <w:r w:rsidR="00D8637F" w:rsidRPr="009843F9">
              <w:rPr>
                <w:rFonts w:eastAsia="MS Mincho"/>
              </w:rPr>
              <w:t>/</w:t>
            </w:r>
            <w:r w:rsidRPr="009843F9">
              <w:rPr>
                <w:rFonts w:eastAsia="MS Mincho"/>
              </w:rPr>
              <w:t>3,2</w:t>
            </w:r>
            <w:r w:rsidR="005077AD" w:rsidRPr="009843F9">
              <w:rPr>
                <w:rFonts w:eastAsia="MS Mincho"/>
              </w:rPr>
              <w:t>3</w:t>
            </w:r>
            <w:r w:rsidR="004764B2">
              <w:rPr>
                <w:rFonts w:eastAsia="MS Mincho"/>
              </w:rPr>
              <w:t>9</w:t>
            </w:r>
            <w:r w:rsidR="000B5F01">
              <w:rPr>
                <w:rFonts w:eastAsia="MS Mincho"/>
                <w:vertAlign w:val="superscript"/>
              </w:rPr>
              <w:t>a</w:t>
            </w:r>
            <w:r w:rsidR="00D8637F" w:rsidRPr="009843F9">
              <w:rPr>
                <w:rFonts w:eastAsia="MS Mincho"/>
              </w:rPr>
              <w:t xml:space="preserve"> </w:t>
            </w:r>
          </w:p>
          <w:p w:rsidR="00D8637F" w:rsidRPr="009843F9" w:rsidRDefault="00D8637F" w:rsidP="00D8637F">
            <w:pPr>
              <w:pStyle w:val="Tablewriting"/>
              <w:keepNext/>
              <w:jc w:val="center"/>
              <w:rPr>
                <w:rFonts w:eastAsia="MS Mincho"/>
              </w:rPr>
            </w:pPr>
            <w:r w:rsidRPr="009843F9">
              <w:rPr>
                <w:rFonts w:eastAsia="MS Mincho"/>
              </w:rPr>
              <w:t>(</w:t>
            </w:r>
            <w:r w:rsidR="00210FD6">
              <w:rPr>
                <w:rFonts w:eastAsia="MS Mincho"/>
              </w:rPr>
              <w:t>23.7</w:t>
            </w:r>
            <w:r w:rsidRPr="009843F9">
              <w:rPr>
                <w:rFonts w:eastAsia="MS Mincho"/>
              </w:rPr>
              <w:t>%)</w:t>
            </w:r>
          </w:p>
        </w:tc>
        <w:tc>
          <w:tcPr>
            <w:tcW w:w="851" w:type="pct"/>
            <w:tcMar>
              <w:left w:w="28" w:type="dxa"/>
              <w:right w:w="28" w:type="dxa"/>
            </w:tcMar>
            <w:vAlign w:val="center"/>
          </w:tcPr>
          <w:p w:rsidR="00D8637F" w:rsidRPr="009843F9" w:rsidRDefault="00EA7A43" w:rsidP="00D8637F">
            <w:pPr>
              <w:pStyle w:val="Tablewriting"/>
              <w:keepNext/>
              <w:jc w:val="center"/>
              <w:rPr>
                <w:rFonts w:eastAsia="MS Mincho"/>
                <w:b/>
                <w:bCs/>
              </w:rPr>
            </w:pPr>
            <w:r w:rsidRPr="009843F9">
              <w:rPr>
                <w:rFonts w:eastAsia="MS Mincho"/>
                <w:b/>
                <w:bCs/>
              </w:rPr>
              <w:t>0.8</w:t>
            </w:r>
            <w:r w:rsidR="0094507B" w:rsidRPr="009843F9">
              <w:rPr>
                <w:rFonts w:eastAsia="MS Mincho"/>
                <w:b/>
                <w:bCs/>
              </w:rPr>
              <w:t>5</w:t>
            </w:r>
          </w:p>
          <w:p w:rsidR="00546406" w:rsidRPr="009843F9" w:rsidRDefault="00546406" w:rsidP="00D8637F">
            <w:pPr>
              <w:pStyle w:val="Tablewriting"/>
              <w:keepNext/>
              <w:jc w:val="center"/>
              <w:rPr>
                <w:rFonts w:eastAsia="MS Mincho"/>
              </w:rPr>
            </w:pPr>
            <w:r w:rsidRPr="009843F9">
              <w:rPr>
                <w:rFonts w:eastAsia="MS Mincho"/>
                <w:b/>
                <w:bCs/>
              </w:rPr>
              <w:t>(0.73, 0.</w:t>
            </w:r>
            <w:r w:rsidR="0094507B" w:rsidRPr="009843F9">
              <w:rPr>
                <w:rFonts w:eastAsia="MS Mincho"/>
                <w:b/>
                <w:bCs/>
              </w:rPr>
              <w:t>99</w:t>
            </w:r>
            <w:r w:rsidRPr="009843F9">
              <w:rPr>
                <w:rFonts w:eastAsia="MS Mincho"/>
                <w:b/>
                <w:bCs/>
              </w:rPr>
              <w:t>)</w:t>
            </w:r>
          </w:p>
        </w:tc>
        <w:tc>
          <w:tcPr>
            <w:tcW w:w="807" w:type="pct"/>
            <w:vAlign w:val="center"/>
          </w:tcPr>
          <w:p w:rsidR="00D8637F" w:rsidRPr="00061F78" w:rsidRDefault="002777C2" w:rsidP="00D8637F">
            <w:pPr>
              <w:pStyle w:val="Tablewriting"/>
              <w:keepNext/>
              <w:jc w:val="center"/>
              <w:rPr>
                <w:rFonts w:eastAsia="MS Mincho"/>
              </w:rPr>
            </w:pPr>
            <w:r>
              <w:rPr>
                <w:rFonts w:eastAsia="MS Mincho"/>
              </w:rPr>
              <w:t>NR</w:t>
            </w:r>
          </w:p>
        </w:tc>
      </w:tr>
      <w:tr w:rsidR="002777C2" w:rsidRPr="00061F78" w:rsidTr="002777C2">
        <w:trPr>
          <w:cantSplit/>
          <w:trHeight w:val="149"/>
        </w:trPr>
        <w:tc>
          <w:tcPr>
            <w:tcW w:w="5000" w:type="pct"/>
            <w:gridSpan w:val="6"/>
            <w:tcMar>
              <w:left w:w="28" w:type="dxa"/>
              <w:right w:w="28" w:type="dxa"/>
            </w:tcMar>
          </w:tcPr>
          <w:p w:rsidR="002777C2" w:rsidRPr="00E97C7D" w:rsidRDefault="002777C2" w:rsidP="002777C2">
            <w:pPr>
              <w:pStyle w:val="Tablewriting"/>
              <w:keepNext/>
              <w:rPr>
                <w:rFonts w:eastAsia="MS Mincho"/>
                <w:b/>
                <w:bCs/>
              </w:rPr>
            </w:pPr>
            <w:r w:rsidRPr="00E97C7D">
              <w:rPr>
                <w:rFonts w:eastAsia="MS Mincho"/>
                <w:b/>
                <w:bCs/>
              </w:rPr>
              <w:t>Meta-analysis of Cahill (2016)</w:t>
            </w:r>
            <w:r w:rsidRPr="00E97C7D">
              <w:rPr>
                <w:rFonts w:eastAsia="MS Mincho"/>
                <w:b/>
                <w:bCs/>
                <w:vertAlign w:val="superscript"/>
              </w:rPr>
              <w:t>6</w:t>
            </w:r>
            <w:r w:rsidRPr="00E97C7D">
              <w:rPr>
                <w:rFonts w:eastAsia="MS Mincho"/>
                <w:b/>
                <w:bCs/>
              </w:rPr>
              <w:t xml:space="preserve"> and three RCTs (Lerman</w:t>
            </w:r>
            <w:r w:rsidRPr="00E97C7D">
              <w:rPr>
                <w:b/>
                <w:bCs/>
              </w:rPr>
              <w:t xml:space="preserve"> </w:t>
            </w:r>
            <w:r w:rsidRPr="00E97C7D">
              <w:rPr>
                <w:rFonts w:eastAsia="MS Mincho"/>
                <w:b/>
                <w:bCs/>
              </w:rPr>
              <w:t>2015, Tulloch 2016, Rohsenow 2017)</w:t>
            </w:r>
          </w:p>
        </w:tc>
      </w:tr>
      <w:tr w:rsidR="002777C2" w:rsidRPr="00061F78" w:rsidTr="00D8637F">
        <w:trPr>
          <w:cantSplit/>
          <w:trHeight w:val="149"/>
        </w:trPr>
        <w:tc>
          <w:tcPr>
            <w:tcW w:w="721" w:type="pct"/>
            <w:tcMar>
              <w:left w:w="28" w:type="dxa"/>
              <w:right w:w="28" w:type="dxa"/>
            </w:tcMar>
          </w:tcPr>
          <w:p w:rsidR="002777C2" w:rsidRDefault="002777C2" w:rsidP="00D8637F">
            <w:pPr>
              <w:pStyle w:val="Tablewriting"/>
              <w:keepNext/>
              <w:rPr>
                <w:rFonts w:eastAsia="MS Mincho"/>
              </w:rPr>
            </w:pPr>
            <w:r>
              <w:rPr>
                <w:rFonts w:eastAsia="MS Mincho"/>
              </w:rPr>
              <w:t xml:space="preserve">Updated </w:t>
            </w:r>
          </w:p>
          <w:p w:rsidR="002777C2" w:rsidRPr="002777C2" w:rsidRDefault="002777C2" w:rsidP="00D8637F">
            <w:pPr>
              <w:pStyle w:val="Tablewriting"/>
              <w:keepNext/>
              <w:rPr>
                <w:rFonts w:eastAsia="MS Mincho"/>
                <w:vertAlign w:val="superscript"/>
              </w:rPr>
            </w:pPr>
            <w:r>
              <w:rPr>
                <w:rFonts w:eastAsia="MS Mincho"/>
              </w:rPr>
              <w:t>re-analysis</w:t>
            </w:r>
            <w:r>
              <w:rPr>
                <w:rFonts w:eastAsia="MS Mincho"/>
                <w:vertAlign w:val="superscript"/>
              </w:rPr>
              <w:t>5</w:t>
            </w:r>
          </w:p>
        </w:tc>
        <w:tc>
          <w:tcPr>
            <w:tcW w:w="920" w:type="pct"/>
            <w:vAlign w:val="center"/>
          </w:tcPr>
          <w:p w:rsidR="002777C2" w:rsidRDefault="008B586E" w:rsidP="00D8637F">
            <w:pPr>
              <w:pStyle w:val="Tablewriting"/>
              <w:keepNext/>
              <w:jc w:val="center"/>
              <w:rPr>
                <w:rFonts w:eastAsia="MS Mincho"/>
              </w:rPr>
            </w:pPr>
            <w:r>
              <w:rPr>
                <w:rFonts w:eastAsia="MS Mincho"/>
              </w:rPr>
              <w:t>9</w:t>
            </w:r>
            <w:r w:rsidR="006B76A1">
              <w:rPr>
                <w:rFonts w:eastAsia="MS Mincho"/>
              </w:rPr>
              <w:t xml:space="preserve"> RCTs</w:t>
            </w:r>
          </w:p>
        </w:tc>
        <w:tc>
          <w:tcPr>
            <w:tcW w:w="850" w:type="pct"/>
            <w:tcMar>
              <w:left w:w="28" w:type="dxa"/>
              <w:right w:w="28" w:type="dxa"/>
            </w:tcMar>
            <w:vAlign w:val="center"/>
          </w:tcPr>
          <w:p w:rsidR="002777C2" w:rsidRPr="00E314A1" w:rsidRDefault="00BB4615" w:rsidP="00D8637F">
            <w:pPr>
              <w:pStyle w:val="Tablewriting"/>
              <w:keepNext/>
              <w:jc w:val="center"/>
              <w:rPr>
                <w:rFonts w:eastAsia="MS Mincho"/>
              </w:rPr>
            </w:pPr>
            <w:r w:rsidRPr="00E314A1">
              <w:rPr>
                <w:rFonts w:eastAsia="MS Mincho"/>
              </w:rPr>
              <w:t>6</w:t>
            </w:r>
            <w:r w:rsidR="00743E78">
              <w:rPr>
                <w:rFonts w:eastAsia="MS Mincho"/>
              </w:rPr>
              <w:t>6</w:t>
            </w:r>
            <w:r w:rsidRPr="00E314A1">
              <w:rPr>
                <w:rFonts w:eastAsia="MS Mincho"/>
              </w:rPr>
              <w:t>4/3,</w:t>
            </w:r>
            <w:r w:rsidR="00717120">
              <w:rPr>
                <w:rFonts w:eastAsia="MS Mincho"/>
              </w:rPr>
              <w:t>500</w:t>
            </w:r>
          </w:p>
          <w:p w:rsidR="00BB4615" w:rsidRPr="00E314A1" w:rsidRDefault="00BB4615" w:rsidP="00D8637F">
            <w:pPr>
              <w:pStyle w:val="Tablewriting"/>
              <w:keepNext/>
              <w:jc w:val="center"/>
              <w:rPr>
                <w:rFonts w:eastAsia="MS Mincho"/>
              </w:rPr>
            </w:pPr>
            <w:r w:rsidRPr="00E314A1">
              <w:rPr>
                <w:rFonts w:eastAsia="MS Mincho"/>
              </w:rPr>
              <w:t>(</w:t>
            </w:r>
            <w:r w:rsidR="00210FD6">
              <w:rPr>
                <w:rFonts w:eastAsia="MS Mincho"/>
              </w:rPr>
              <w:t>19.0</w:t>
            </w:r>
            <w:r w:rsidRPr="00E314A1">
              <w:rPr>
                <w:rFonts w:eastAsia="MS Mincho"/>
              </w:rPr>
              <w:t>%)</w:t>
            </w:r>
          </w:p>
        </w:tc>
        <w:tc>
          <w:tcPr>
            <w:tcW w:w="851" w:type="pct"/>
            <w:tcMar>
              <w:left w:w="28" w:type="dxa"/>
              <w:right w:w="28" w:type="dxa"/>
            </w:tcMar>
            <w:vAlign w:val="center"/>
          </w:tcPr>
          <w:p w:rsidR="002777C2" w:rsidRPr="00E314A1" w:rsidRDefault="00717120" w:rsidP="00D8637F">
            <w:pPr>
              <w:pStyle w:val="Tablewriting"/>
              <w:keepNext/>
              <w:jc w:val="center"/>
              <w:rPr>
                <w:rFonts w:eastAsia="MS Mincho"/>
              </w:rPr>
            </w:pPr>
            <w:r>
              <w:rPr>
                <w:rFonts w:eastAsia="MS Mincho"/>
              </w:rPr>
              <w:t>887</w:t>
            </w:r>
            <w:r w:rsidR="00BB4615" w:rsidRPr="00E314A1">
              <w:rPr>
                <w:rFonts w:eastAsia="MS Mincho"/>
              </w:rPr>
              <w:t>/3,</w:t>
            </w:r>
            <w:r>
              <w:rPr>
                <w:rFonts w:eastAsia="MS Mincho"/>
              </w:rPr>
              <w:t>698</w:t>
            </w:r>
          </w:p>
          <w:p w:rsidR="00BB4615" w:rsidRPr="00E314A1" w:rsidRDefault="00BB4615" w:rsidP="00D8637F">
            <w:pPr>
              <w:pStyle w:val="Tablewriting"/>
              <w:keepNext/>
              <w:jc w:val="center"/>
              <w:rPr>
                <w:rFonts w:eastAsia="MS Mincho"/>
              </w:rPr>
            </w:pPr>
            <w:r w:rsidRPr="00E314A1">
              <w:rPr>
                <w:rFonts w:eastAsia="MS Mincho"/>
              </w:rPr>
              <w:t>(</w:t>
            </w:r>
            <w:r w:rsidR="00003AAA">
              <w:rPr>
                <w:rFonts w:eastAsia="MS Mincho"/>
              </w:rPr>
              <w:t>24.0</w:t>
            </w:r>
            <w:r w:rsidRPr="00E314A1">
              <w:rPr>
                <w:rFonts w:eastAsia="MS Mincho"/>
              </w:rPr>
              <w:t>%)</w:t>
            </w:r>
          </w:p>
        </w:tc>
        <w:tc>
          <w:tcPr>
            <w:tcW w:w="851" w:type="pct"/>
            <w:tcMar>
              <w:left w:w="28" w:type="dxa"/>
              <w:right w:w="28" w:type="dxa"/>
            </w:tcMar>
            <w:vAlign w:val="center"/>
          </w:tcPr>
          <w:p w:rsidR="002777C2" w:rsidRPr="00E314A1" w:rsidRDefault="00AB31FF" w:rsidP="00D8637F">
            <w:pPr>
              <w:pStyle w:val="Tablewriting"/>
              <w:keepNext/>
              <w:jc w:val="center"/>
              <w:rPr>
                <w:rFonts w:eastAsia="MS Mincho"/>
                <w:b/>
                <w:bCs/>
              </w:rPr>
            </w:pPr>
            <w:r w:rsidRPr="00E314A1">
              <w:rPr>
                <w:rFonts w:eastAsia="MS Mincho"/>
                <w:b/>
                <w:bCs/>
              </w:rPr>
              <w:t>0.8</w:t>
            </w:r>
            <w:r w:rsidR="002E5001" w:rsidRPr="00E314A1">
              <w:rPr>
                <w:rFonts w:eastAsia="MS Mincho"/>
                <w:b/>
                <w:bCs/>
              </w:rPr>
              <w:t>3</w:t>
            </w:r>
          </w:p>
          <w:p w:rsidR="00AB31FF" w:rsidRPr="00E314A1" w:rsidRDefault="00AB31FF" w:rsidP="00D8637F">
            <w:pPr>
              <w:pStyle w:val="Tablewriting"/>
              <w:keepNext/>
              <w:jc w:val="center"/>
              <w:rPr>
                <w:rFonts w:eastAsia="MS Mincho"/>
                <w:b/>
                <w:bCs/>
              </w:rPr>
            </w:pPr>
            <w:r w:rsidRPr="00E314A1">
              <w:rPr>
                <w:rFonts w:eastAsia="MS Mincho"/>
                <w:b/>
                <w:bCs/>
              </w:rPr>
              <w:t>(0.7</w:t>
            </w:r>
            <w:r w:rsidR="00880397" w:rsidRPr="00E314A1">
              <w:rPr>
                <w:rFonts w:eastAsia="MS Mincho"/>
                <w:b/>
                <w:bCs/>
              </w:rPr>
              <w:t>1</w:t>
            </w:r>
            <w:r w:rsidRPr="00E314A1">
              <w:rPr>
                <w:rFonts w:eastAsia="MS Mincho"/>
                <w:b/>
                <w:bCs/>
              </w:rPr>
              <w:t>, 0.9</w:t>
            </w:r>
            <w:r w:rsidR="00880397" w:rsidRPr="00E314A1">
              <w:rPr>
                <w:rFonts w:eastAsia="MS Mincho"/>
                <w:b/>
                <w:bCs/>
              </w:rPr>
              <w:t>6</w:t>
            </w:r>
            <w:r w:rsidRPr="00E314A1">
              <w:rPr>
                <w:rFonts w:eastAsia="MS Mincho"/>
                <w:b/>
                <w:bCs/>
              </w:rPr>
              <w:t>)</w:t>
            </w:r>
          </w:p>
        </w:tc>
        <w:tc>
          <w:tcPr>
            <w:tcW w:w="807" w:type="pct"/>
            <w:vAlign w:val="center"/>
          </w:tcPr>
          <w:p w:rsidR="002777C2" w:rsidRPr="00E314A1" w:rsidRDefault="00AB31FF" w:rsidP="00D8637F">
            <w:pPr>
              <w:pStyle w:val="Tablewriting"/>
              <w:keepNext/>
              <w:jc w:val="center"/>
              <w:rPr>
                <w:rFonts w:eastAsia="MS Mincho"/>
                <w:b/>
                <w:bCs/>
              </w:rPr>
            </w:pPr>
            <w:r w:rsidRPr="00E314A1">
              <w:rPr>
                <w:rFonts w:eastAsia="MS Mincho"/>
                <w:b/>
                <w:bCs/>
              </w:rPr>
              <w:t>-0.0</w:t>
            </w:r>
            <w:r w:rsidR="00E314A1" w:rsidRPr="00E314A1">
              <w:rPr>
                <w:rFonts w:eastAsia="MS Mincho"/>
                <w:b/>
                <w:bCs/>
              </w:rPr>
              <w:t>5</w:t>
            </w:r>
          </w:p>
          <w:p w:rsidR="00AB31FF" w:rsidRPr="00E314A1" w:rsidRDefault="00AB31FF" w:rsidP="00D8637F">
            <w:pPr>
              <w:pStyle w:val="Tablewriting"/>
              <w:keepNext/>
              <w:jc w:val="center"/>
              <w:rPr>
                <w:rFonts w:eastAsia="MS Mincho"/>
              </w:rPr>
            </w:pPr>
            <w:r w:rsidRPr="00E314A1">
              <w:rPr>
                <w:rFonts w:eastAsia="MS Mincho"/>
                <w:b/>
                <w:bCs/>
              </w:rPr>
              <w:t>(-0.0</w:t>
            </w:r>
            <w:r w:rsidR="00E314A1" w:rsidRPr="00E314A1">
              <w:rPr>
                <w:rFonts w:eastAsia="MS Mincho"/>
                <w:b/>
                <w:bCs/>
              </w:rPr>
              <w:t>8</w:t>
            </w:r>
            <w:r w:rsidRPr="00E314A1">
              <w:rPr>
                <w:rFonts w:eastAsia="MS Mincho"/>
                <w:b/>
                <w:bCs/>
              </w:rPr>
              <w:t xml:space="preserve">, </w:t>
            </w:r>
            <w:r w:rsidR="00E314A1" w:rsidRPr="00E314A1">
              <w:rPr>
                <w:rFonts w:eastAsia="MS Mincho"/>
                <w:b/>
                <w:bCs/>
              </w:rPr>
              <w:t>-0.</w:t>
            </w:r>
            <w:r w:rsidRPr="00E314A1">
              <w:rPr>
                <w:rFonts w:eastAsia="MS Mincho"/>
                <w:b/>
                <w:bCs/>
              </w:rPr>
              <w:t>0</w:t>
            </w:r>
            <w:r w:rsidR="00E314A1" w:rsidRPr="00E314A1">
              <w:rPr>
                <w:rFonts w:eastAsia="MS Mincho"/>
                <w:b/>
                <w:bCs/>
              </w:rPr>
              <w:t>1</w:t>
            </w:r>
            <w:r w:rsidRPr="00E314A1">
              <w:rPr>
                <w:rFonts w:eastAsia="MS Mincho"/>
                <w:b/>
                <w:bCs/>
              </w:rPr>
              <w:t>)</w:t>
            </w:r>
          </w:p>
        </w:tc>
      </w:tr>
    </w:tbl>
    <w:p w:rsidR="004B58D4" w:rsidRDefault="004B58D4" w:rsidP="004B58D4">
      <w:pPr>
        <w:pStyle w:val="TableFooter"/>
        <w:keepNext/>
      </w:pPr>
      <w:r>
        <w:t>Source: Cahill et al. (2016)</w:t>
      </w:r>
      <w:r w:rsidR="005E2ED9">
        <w:t xml:space="preserve">, </w:t>
      </w:r>
      <w:r w:rsidR="005E2ED9">
        <w:rPr>
          <w:rFonts w:eastAsia="MS Mincho"/>
        </w:rPr>
        <w:t>Lerman</w:t>
      </w:r>
      <w:r w:rsidR="005E2ED9">
        <w:t xml:space="preserve"> </w:t>
      </w:r>
      <w:r w:rsidR="005E2ED9" w:rsidRPr="009E22A2">
        <w:rPr>
          <w:rFonts w:eastAsia="MS Mincho"/>
        </w:rPr>
        <w:t>2015,</w:t>
      </w:r>
      <w:r w:rsidR="005E2ED9">
        <w:rPr>
          <w:rFonts w:eastAsia="MS Mincho"/>
        </w:rPr>
        <w:t xml:space="preserve"> Tulloch 2016, Rohsenow 2017</w:t>
      </w:r>
    </w:p>
    <w:p w:rsidR="004B58D4" w:rsidRDefault="004B58D4" w:rsidP="004B58D4">
      <w:pPr>
        <w:pStyle w:val="TableFooter"/>
        <w:keepNext/>
        <w:rPr>
          <w:i/>
        </w:rPr>
      </w:pPr>
      <w:r>
        <w:t xml:space="preserve">Abbreviations: CI = confidence interval; </w:t>
      </w:r>
      <w:r w:rsidR="00CB2F8C">
        <w:t xml:space="preserve">NR = not reported; </w:t>
      </w:r>
      <w:r>
        <w:t xml:space="preserve">RCT = randomised controlled trial; </w:t>
      </w:r>
      <w:r w:rsidR="00CB2F8C">
        <w:t xml:space="preserve">RD = risk difference; </w:t>
      </w:r>
      <w:r>
        <w:t>RR = risk ratio</w:t>
      </w:r>
      <w:r w:rsidRPr="00061F78">
        <w:t xml:space="preserve"> </w:t>
      </w:r>
    </w:p>
    <w:p w:rsidR="004B58D4" w:rsidRDefault="004B58D4" w:rsidP="004B58D4">
      <w:pPr>
        <w:pStyle w:val="TableFooter"/>
        <w:keepNext/>
      </w:pPr>
      <w:r w:rsidRPr="00061F78">
        <w:rPr>
          <w:highlight w:val="lightGray"/>
        </w:rPr>
        <w:t>Shaded</w:t>
      </w:r>
      <w:r w:rsidRPr="00061F78">
        <w:t xml:space="preserve"> = previously considered by the PBAC</w:t>
      </w:r>
    </w:p>
    <w:p w:rsidR="004B58D4" w:rsidRDefault="004B58D4" w:rsidP="004B58D4">
      <w:pPr>
        <w:pStyle w:val="TableFooter"/>
        <w:keepNext/>
      </w:pPr>
      <w:r w:rsidRPr="00D468CF">
        <w:t>Note</w:t>
      </w:r>
      <w:r>
        <w:t>s</w:t>
      </w:r>
      <w:r w:rsidRPr="00D468CF">
        <w:t>: Bold indicates statistically significant difference.</w:t>
      </w:r>
      <w:r>
        <w:br/>
        <w:t>1 Primary analysis set (randomised and treated patients) was used instead of ITT (randomised patients)</w:t>
      </w:r>
      <w:r w:rsidR="00AB5FA3">
        <w:t>.</w:t>
      </w:r>
    </w:p>
    <w:p w:rsidR="004B58D4" w:rsidRDefault="004B58D4" w:rsidP="004B58D4">
      <w:pPr>
        <w:pStyle w:val="TableFooter"/>
        <w:keepNext/>
      </w:pPr>
      <w:r>
        <w:t xml:space="preserve">2 </w:t>
      </w:r>
      <w:r w:rsidRPr="00383947">
        <w:t>Continuous abstinence rate at 6 months (Week 9-24)</w:t>
      </w:r>
      <w:r w:rsidR="00FB07ED">
        <w:t>,</w:t>
      </w:r>
      <w:r w:rsidR="00147506">
        <w:t xml:space="preserve"> </w:t>
      </w:r>
      <w:r w:rsidR="00FB07ED">
        <w:t>p</w:t>
      </w:r>
      <w:r w:rsidR="00147506">
        <w:t>oint prevalence abstinence was not an outcome</w:t>
      </w:r>
      <w:r w:rsidR="00FB07ED">
        <w:t xml:space="preserve"> in EAGLES (2016).</w:t>
      </w:r>
      <w:r w:rsidR="00D221FC">
        <w:t xml:space="preserve"> Cahill et al. (2016) used </w:t>
      </w:r>
      <w:r w:rsidR="001A469D">
        <w:t>continuous abstinence rate instead.</w:t>
      </w:r>
      <w:r w:rsidR="007637A9">
        <w:t xml:space="preserve"> </w:t>
      </w:r>
    </w:p>
    <w:p w:rsidR="004B58D4" w:rsidRDefault="004B58D4" w:rsidP="004B58D4">
      <w:pPr>
        <w:pStyle w:val="TableFooter"/>
        <w:keepNext/>
      </w:pPr>
      <w:r>
        <w:t xml:space="preserve">3 </w:t>
      </w:r>
      <w:r w:rsidR="00E2106E" w:rsidRPr="00E2106E">
        <w:t xml:space="preserve">Studies previously considered by the PBAC were included in the meta-analysis </w:t>
      </w:r>
      <w:r w:rsidRPr="008D2B80">
        <w:t xml:space="preserve">of </w:t>
      </w:r>
      <w:r w:rsidRPr="00D7520F">
        <w:t>Cahill</w:t>
      </w:r>
      <w:r w:rsidRPr="008D2B80">
        <w:t xml:space="preserve"> et al. (</w:t>
      </w:r>
      <w:r w:rsidRPr="00D7520F">
        <w:t>2016</w:t>
      </w:r>
      <w:r w:rsidRPr="008D2B80">
        <w:t>)</w:t>
      </w:r>
    </w:p>
    <w:p w:rsidR="002777C2" w:rsidRDefault="002777C2" w:rsidP="002777C2">
      <w:pPr>
        <w:pStyle w:val="TableFooter"/>
      </w:pPr>
      <w:r w:rsidRPr="000A2778">
        <w:t xml:space="preserve">4 </w:t>
      </w:r>
      <w:r w:rsidR="006D481C" w:rsidRPr="000A2778">
        <w:t>Cahill et al. (2016) presented this comparison as varenicline versus NRT patch (inverse) using a fixed-effect model. Re-calculated during the review for</w:t>
      </w:r>
      <w:r w:rsidR="00C530D2" w:rsidRPr="000A2778">
        <w:t xml:space="preserve"> NRT patch versus</w:t>
      </w:r>
      <w:r w:rsidR="006D481C" w:rsidRPr="000A2778">
        <w:t xml:space="preserve"> varenicline using a random-effect model</w:t>
      </w:r>
      <w:r w:rsidR="00F57896" w:rsidRPr="000A2778">
        <w:t xml:space="preserve">, </w:t>
      </w:r>
      <w:r w:rsidR="006E36EB" w:rsidRPr="000A2778">
        <w:t>corrected n/N for Aubin 2008, EAGLES 2016</w:t>
      </w:r>
      <w:r w:rsidR="00A35B03" w:rsidRPr="000A2778">
        <w:t xml:space="preserve"> and Rose 2013</w:t>
      </w:r>
      <w:r w:rsidR="006D481C" w:rsidRPr="000A2778">
        <w:t>.</w:t>
      </w:r>
    </w:p>
    <w:p w:rsidR="00E314A1" w:rsidRDefault="002777C2" w:rsidP="002777C2">
      <w:pPr>
        <w:pStyle w:val="TableFooter"/>
      </w:pPr>
      <w:r w:rsidRPr="000A2778">
        <w:t>5 Calculated during the review using a random-effect model</w:t>
      </w:r>
      <w:r w:rsidR="00011A3B">
        <w:t xml:space="preserve">. </w:t>
      </w:r>
    </w:p>
    <w:p w:rsidR="002777C2" w:rsidRDefault="00E314A1" w:rsidP="002777C2">
      <w:pPr>
        <w:pStyle w:val="TableFooter"/>
      </w:pPr>
      <w:r>
        <w:t xml:space="preserve">6 </w:t>
      </w:r>
      <w:r w:rsidR="00011A3B" w:rsidRPr="00011A3B">
        <w:t xml:space="preserve">Excluded </w:t>
      </w:r>
      <w:r w:rsidR="000E00D3">
        <w:t>Stein (2013)</w:t>
      </w:r>
      <w:r w:rsidR="000B120A">
        <w:t xml:space="preserve"> due to incorrect treatment duration</w:t>
      </w:r>
      <w:r w:rsidR="00011A3B" w:rsidRPr="00011A3B">
        <w:t xml:space="preserve"> (exceeded standard 12 weeks treatment duration)</w:t>
      </w:r>
      <w:r w:rsidR="0059281C">
        <w:t xml:space="preserve"> and </w:t>
      </w:r>
      <w:r w:rsidR="00CF6AA5">
        <w:t xml:space="preserve">Rose (2013) </w:t>
      </w:r>
      <w:r w:rsidR="00ED5128">
        <w:t xml:space="preserve">due to incorrect </w:t>
      </w:r>
      <w:r w:rsidR="00CF0B29">
        <w:t>comparator</w:t>
      </w:r>
      <w:r w:rsidR="0044214E">
        <w:t xml:space="preserve"> (</w:t>
      </w:r>
      <w:r w:rsidR="00CF0B29">
        <w:t xml:space="preserve">NRT for </w:t>
      </w:r>
      <w:r w:rsidR="00E15E51">
        <w:t>pre-cessation NRT non-responders)</w:t>
      </w:r>
      <w:r w:rsidR="00AB5FA3">
        <w:t>.</w:t>
      </w:r>
    </w:p>
    <w:p w:rsidR="00A6179F" w:rsidRDefault="00A6179F" w:rsidP="004B58D4">
      <w:pPr>
        <w:pStyle w:val="TableFooter"/>
        <w:keepNext/>
      </w:pPr>
      <w:r>
        <w:lastRenderedPageBreak/>
        <w:t>a Corrected error identified in Cahill et al. (2016) for n/N</w:t>
      </w:r>
      <w:r w:rsidR="00AB5FA3">
        <w:t>.</w:t>
      </w:r>
    </w:p>
    <w:p w:rsidR="000C4761" w:rsidRDefault="000C4761" w:rsidP="000C4761">
      <w:r w:rsidRPr="000C4761">
        <w:t xml:space="preserve">The results of the individual studies included in </w:t>
      </w:r>
      <w:r w:rsidR="002E444B">
        <w:t>the updated re-analysis</w:t>
      </w:r>
      <w:r w:rsidRPr="000C4761">
        <w:t xml:space="preserve"> are presented using a forest plot in </w:t>
      </w:r>
      <w:r w:rsidR="003C4A1C">
        <w:t xml:space="preserve">Figure </w:t>
      </w:r>
      <w:r w:rsidR="003C4A1C">
        <w:rPr>
          <w:noProof/>
        </w:rPr>
        <w:t>7</w:t>
      </w:r>
      <w:r w:rsidRPr="000C4761">
        <w:t xml:space="preserve">. </w:t>
      </w:r>
      <w:r w:rsidR="00104B96">
        <w:t xml:space="preserve">Of the </w:t>
      </w:r>
      <w:r w:rsidR="00481E7E">
        <w:t>nine</w:t>
      </w:r>
      <w:r w:rsidR="00104B96">
        <w:t xml:space="preserve"> RCTs, the outcome used in the meta-analysis for EAGLES (2016) was based on continuous abstinence rate at 24 weeks as the absolute numbers for the point prevalence abstinence were not reported. </w:t>
      </w:r>
    </w:p>
    <w:p w:rsidR="000C4761" w:rsidRDefault="000E304E" w:rsidP="000C4761">
      <w:pPr>
        <w:keepNext/>
      </w:pPr>
      <w:r>
        <w:rPr>
          <w:noProof/>
        </w:rPr>
        <w:drawing>
          <wp:inline distT="0" distB="0" distL="0" distR="0" wp14:anchorId="426B833A" wp14:editId="64B843D3">
            <wp:extent cx="5731510" cy="2035175"/>
            <wp:effectExtent l="0" t="0" r="254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6">
                      <a:extLst>
                        <a:ext uri="{28A0092B-C50C-407E-A947-70E740481C1C}">
                          <a14:useLocalDpi xmlns:a14="http://schemas.microsoft.com/office/drawing/2010/main" val="0"/>
                        </a:ext>
                      </a:extLst>
                    </a:blip>
                    <a:stretch>
                      <a:fillRect/>
                    </a:stretch>
                  </pic:blipFill>
                  <pic:spPr>
                    <a:xfrm>
                      <a:off x="0" y="0"/>
                      <a:ext cx="5731510" cy="2035175"/>
                    </a:xfrm>
                    <a:prstGeom prst="rect">
                      <a:avLst/>
                    </a:prstGeom>
                  </pic:spPr>
                </pic:pic>
              </a:graphicData>
            </a:graphic>
          </wp:inline>
        </w:drawing>
      </w:r>
    </w:p>
    <w:p w:rsidR="00D8637F" w:rsidRDefault="000C4761" w:rsidP="000C4761">
      <w:pPr>
        <w:pStyle w:val="Caption"/>
        <w:rPr>
          <w:b w:val="0"/>
          <w:bCs w:val="0"/>
        </w:rPr>
      </w:pPr>
      <w:bookmarkStart w:id="97" w:name="_Ref54362935"/>
      <w:r>
        <w:t xml:space="preserve">Figure </w:t>
      </w:r>
      <w:r w:rsidR="003C4A1C">
        <w:rPr>
          <w:noProof/>
        </w:rPr>
        <w:t>7</w:t>
      </w:r>
      <w:bookmarkEnd w:id="97"/>
      <w:r>
        <w:t xml:space="preserve">: </w:t>
      </w:r>
      <w:r w:rsidRPr="00CA0167">
        <w:t xml:space="preserve">Results </w:t>
      </w:r>
      <w:r w:rsidR="00690557">
        <w:t xml:space="preserve">for </w:t>
      </w:r>
      <w:r>
        <w:t xml:space="preserve">point prevalence abstinence at 24 weeks </w:t>
      </w:r>
      <w:r w:rsidR="005E2ED9">
        <w:t>based on updated re-analysis</w:t>
      </w:r>
      <w:r w:rsidRPr="00CA0167">
        <w:t xml:space="preserve">, </w:t>
      </w:r>
      <w:r>
        <w:t xml:space="preserve">NRT patch versus </w:t>
      </w:r>
      <w:r w:rsidRPr="00CA0167">
        <w:t>varenicline</w:t>
      </w:r>
    </w:p>
    <w:p w:rsidR="00EC367F" w:rsidRDefault="000C4761" w:rsidP="000C4761">
      <w:pPr>
        <w:pStyle w:val="FigureFooter"/>
        <w:rPr>
          <w:rFonts w:eastAsia="MS Mincho"/>
        </w:rPr>
      </w:pPr>
      <w:r>
        <w:t>Source: Cahill et al. (2016)</w:t>
      </w:r>
      <w:r w:rsidR="005E2ED9">
        <w:t xml:space="preserve">, </w:t>
      </w:r>
      <w:r w:rsidR="005E2ED9">
        <w:rPr>
          <w:rFonts w:eastAsia="MS Mincho"/>
        </w:rPr>
        <w:t>Lerman</w:t>
      </w:r>
      <w:r w:rsidR="005E2ED9">
        <w:t xml:space="preserve"> </w:t>
      </w:r>
      <w:r w:rsidR="005E2ED9" w:rsidRPr="009E22A2">
        <w:rPr>
          <w:rFonts w:eastAsia="MS Mincho"/>
        </w:rPr>
        <w:t>2015,</w:t>
      </w:r>
      <w:r w:rsidR="005E2ED9">
        <w:rPr>
          <w:rFonts w:eastAsia="MS Mincho"/>
        </w:rPr>
        <w:t xml:space="preserve"> Tulloch 2016, Rohsenow 2017</w:t>
      </w:r>
    </w:p>
    <w:p w:rsidR="00E21CBC" w:rsidRDefault="00E21CBC" w:rsidP="000C4761">
      <w:pPr>
        <w:pStyle w:val="FigureFooter"/>
        <w:rPr>
          <w:rFonts w:eastAsia="MS Mincho"/>
        </w:rPr>
      </w:pPr>
      <w:r>
        <w:rPr>
          <w:rFonts w:eastAsia="MS Mincho"/>
        </w:rPr>
        <w:t>Abbreviations: CI = confidence interval</w:t>
      </w:r>
    </w:p>
    <w:p w:rsidR="000C4761" w:rsidRPr="00864FCE" w:rsidRDefault="00E21CBC" w:rsidP="000C4761">
      <w:pPr>
        <w:pStyle w:val="FigureFooter"/>
        <w:rPr>
          <w:rFonts w:eastAsia="MS Mincho"/>
        </w:rPr>
      </w:pPr>
      <w:r>
        <w:t>Note: A sensitivity analysis was conducted during the review</w:t>
      </w:r>
      <w:r w:rsidR="00CA02B8">
        <w:t xml:space="preserve"> by</w:t>
      </w:r>
      <w:r>
        <w:t xml:space="preserve"> using </w:t>
      </w:r>
      <w:r w:rsidR="00C14BBB">
        <w:t xml:space="preserve">continuous abstinence rate </w:t>
      </w:r>
      <w:r w:rsidR="007C66E1">
        <w:t>(</w:t>
      </w:r>
      <w:r w:rsidR="00F91CBD">
        <w:t>where reported</w:t>
      </w:r>
      <w:r w:rsidR="007C66E1">
        <w:t>)</w:t>
      </w:r>
      <w:r w:rsidR="00F91CBD">
        <w:t xml:space="preserve"> at longest follow-up.</w:t>
      </w:r>
      <w:r>
        <w:t xml:space="preserve"> The results remained statistically significant in favour of varenicline; RR = </w:t>
      </w:r>
      <w:r w:rsidR="007C66E1">
        <w:t>0.79</w:t>
      </w:r>
      <w:r>
        <w:t xml:space="preserve"> (</w:t>
      </w:r>
      <w:r w:rsidR="007C66E1">
        <w:t>0.69</w:t>
      </w:r>
      <w:r>
        <w:t xml:space="preserve">, </w:t>
      </w:r>
      <w:r w:rsidR="007C66E1">
        <w:t>0.91</w:t>
      </w:r>
      <w:r>
        <w:t xml:space="preserve">), RD = </w:t>
      </w:r>
      <w:r w:rsidR="00864FCE">
        <w:t>-0.04</w:t>
      </w:r>
      <w:r>
        <w:t xml:space="preserve"> (</w:t>
      </w:r>
      <w:r w:rsidR="00864FCE">
        <w:t>-0.07</w:t>
      </w:r>
      <w:r>
        <w:t xml:space="preserve">, </w:t>
      </w:r>
      <w:r w:rsidR="00864FCE">
        <w:t>-0.02</w:t>
      </w:r>
      <w:r>
        <w:t>).</w:t>
      </w:r>
    </w:p>
    <w:p w:rsidR="00D8637F" w:rsidRDefault="00D8637F" w:rsidP="00C83EDA">
      <w:pPr>
        <w:rPr>
          <w:b/>
          <w:bCs/>
        </w:rPr>
      </w:pPr>
    </w:p>
    <w:p w:rsidR="00321147" w:rsidRPr="00BC25B1" w:rsidRDefault="00321147" w:rsidP="00321147">
      <w:pPr>
        <w:rPr>
          <w:u w:val="single"/>
        </w:rPr>
      </w:pPr>
      <w:r w:rsidRPr="00BC25B1">
        <w:rPr>
          <w:u w:val="single"/>
        </w:rPr>
        <w:t>Safety</w:t>
      </w:r>
    </w:p>
    <w:p w:rsidR="006E66AE" w:rsidRDefault="007466D7" w:rsidP="00321147">
      <w:r w:rsidRPr="007466D7">
        <w:t>The incidence of adverse events</w:t>
      </w:r>
      <w:r>
        <w:t xml:space="preserve"> comparing NRT </w:t>
      </w:r>
      <w:r w:rsidR="00573F59">
        <w:t>patches</w:t>
      </w:r>
      <w:r>
        <w:t xml:space="preserve"> with varenicline</w:t>
      </w:r>
      <w:r w:rsidRPr="007466D7">
        <w:t xml:space="preserve"> was not synthesised quantitatively by </w:t>
      </w:r>
      <w:r>
        <w:t>Cahill et al. (2016). In March 2010, the PBAC considered that NRT patches were less toxic than varenicline based on the evidence from Aubin et al. (2008) (</w:t>
      </w:r>
      <w:r w:rsidRPr="00F54F10">
        <w:t xml:space="preserve">NRT PSD, </w:t>
      </w:r>
      <w:r w:rsidR="008C12A1" w:rsidRPr="00F54F10">
        <w:t xml:space="preserve">March </w:t>
      </w:r>
      <w:r w:rsidRPr="00F54F10">
        <w:t>2010</w:t>
      </w:r>
      <w:r w:rsidR="008C12A1" w:rsidRPr="00F54F10">
        <w:t xml:space="preserve"> PBAC meeting</w:t>
      </w:r>
      <w:r>
        <w:t xml:space="preserve">). In November 2016, the PBAC considered that varenicline </w:t>
      </w:r>
      <w:r w:rsidR="000B7D66">
        <w:t>may</w:t>
      </w:r>
      <w:r>
        <w:t xml:space="preserve"> be non-inferior to NRT patches based on the evidence from EAGLES (2016) (</w:t>
      </w:r>
      <w:r w:rsidRPr="00F54F10">
        <w:t xml:space="preserve">Varenicline PSD, </w:t>
      </w:r>
      <w:r w:rsidR="008C12A1" w:rsidRPr="00F54F10">
        <w:t xml:space="preserve">November </w:t>
      </w:r>
      <w:r w:rsidRPr="00F54F10">
        <w:t>2016</w:t>
      </w:r>
      <w:r w:rsidR="008C12A1" w:rsidRPr="00F54F10">
        <w:t xml:space="preserve"> PBAC meeting</w:t>
      </w:r>
      <w:r>
        <w:t>).</w:t>
      </w:r>
      <w:r w:rsidR="00EE1826">
        <w:t xml:space="preserve"> </w:t>
      </w:r>
    </w:p>
    <w:p w:rsidR="008F029B" w:rsidRDefault="008F029B" w:rsidP="00321147">
      <w:r w:rsidRPr="008F029B">
        <w:t>In a recently conducted study (EAGLES extension) comparing the relative cardiovascular safety risk of smoking cessation treatments using a placebo comparator, no significant treatment differences were observed in time to cardiovascular events, blood pressure, or heart rate between</w:t>
      </w:r>
      <w:r>
        <w:t xml:space="preserve"> NRT </w:t>
      </w:r>
      <w:r w:rsidR="00573F59">
        <w:t>patches</w:t>
      </w:r>
      <w:r>
        <w:t xml:space="preserve"> and varenicline</w:t>
      </w:r>
      <w:r w:rsidRPr="008F029B">
        <w:t xml:space="preserve"> (Benowitz et al. 2018).</w:t>
      </w:r>
    </w:p>
    <w:p w:rsidR="00321147" w:rsidRPr="007466D7" w:rsidRDefault="00A3333B" w:rsidP="00C446FD">
      <w:r>
        <w:t xml:space="preserve">In Lerman et al. (2015), </w:t>
      </w:r>
      <w:r w:rsidR="004F1AE2">
        <w:t>a significant nicotine metabolite ratio</w:t>
      </w:r>
      <w:r w:rsidR="00D756DD">
        <w:t xml:space="preserve"> (NMR)-by-treatment interaction</w:t>
      </w:r>
      <w:r w:rsidR="006E66AE">
        <w:t xml:space="preserve"> </w:t>
      </w:r>
      <w:r w:rsidR="00D756DD">
        <w:t xml:space="preserve">was observed in side effects for varenicline </w:t>
      </w:r>
      <w:r w:rsidR="00205D3B">
        <w:t xml:space="preserve">versus placebo while it was not significant for NRT </w:t>
      </w:r>
      <w:r w:rsidR="00573F59">
        <w:t>patches</w:t>
      </w:r>
      <w:r w:rsidR="00205D3B">
        <w:t xml:space="preserve"> versus placebo. </w:t>
      </w:r>
      <w:r w:rsidR="0091159A">
        <w:t xml:space="preserve">In Tulloch et al. (2016), </w:t>
      </w:r>
      <w:r w:rsidR="0076178A" w:rsidRPr="0076178A">
        <w:t>p</w:t>
      </w:r>
      <w:r w:rsidR="0076178A">
        <w:t>atients</w:t>
      </w:r>
      <w:r w:rsidR="0076178A" w:rsidRPr="0076178A">
        <w:t xml:space="preserve"> in the </w:t>
      </w:r>
      <w:r w:rsidR="0076178A">
        <w:t>varenicline</w:t>
      </w:r>
      <w:r w:rsidR="0076178A" w:rsidRPr="0076178A">
        <w:t xml:space="preserve"> group experienced more fatigue, digestive symptoms (e.g. nausea, diarrho</w:t>
      </w:r>
      <w:r w:rsidR="0076178A">
        <w:t>e</w:t>
      </w:r>
      <w:r w:rsidR="0076178A" w:rsidRPr="0076178A">
        <w:t>a), and sleep-related concerns (e.g. abnormal dreams, insomnia), but less dermatologic symptoms than those in the NRT</w:t>
      </w:r>
      <w:r w:rsidR="00F83703">
        <w:t xml:space="preserve"> </w:t>
      </w:r>
      <w:r w:rsidR="00573F59">
        <w:t>patches</w:t>
      </w:r>
      <w:r w:rsidR="00F83703">
        <w:t xml:space="preserve"> group. In Rohsenow et al. (2017),</w:t>
      </w:r>
      <w:r w:rsidR="000F6DCC">
        <w:t xml:space="preserve"> there were no medication-attributable serious adverse events</w:t>
      </w:r>
      <w:r w:rsidR="0030241F">
        <w:t xml:space="preserve"> reported</w:t>
      </w:r>
      <w:r w:rsidR="000F6DCC">
        <w:t xml:space="preserve"> in both arms</w:t>
      </w:r>
      <w:r w:rsidR="00C446FD">
        <w:t xml:space="preserve">; 20 patients were </w:t>
      </w:r>
      <w:r w:rsidR="00C446FD">
        <w:lastRenderedPageBreak/>
        <w:t xml:space="preserve">discontinued from treatment due to non-serious adverse events, 11 </w:t>
      </w:r>
      <w:r w:rsidR="00443A3C">
        <w:t xml:space="preserve">in </w:t>
      </w:r>
      <w:r w:rsidR="00C446FD">
        <w:t>varenicline</w:t>
      </w:r>
      <w:r w:rsidR="00443A3C">
        <w:t xml:space="preserve"> arm and eight in NRT</w:t>
      </w:r>
      <w:r w:rsidR="0030241F">
        <w:t xml:space="preserve"> </w:t>
      </w:r>
      <w:r w:rsidR="00573F59">
        <w:t>patches</w:t>
      </w:r>
      <w:r w:rsidR="00443A3C">
        <w:t xml:space="preserve"> arm.</w:t>
      </w:r>
    </w:p>
    <w:p w:rsidR="00C83EDA" w:rsidRDefault="00AF46B1" w:rsidP="00C83EDA">
      <w:pPr>
        <w:rPr>
          <w:b/>
          <w:bCs/>
        </w:rPr>
      </w:pPr>
      <w:r>
        <w:rPr>
          <w:b/>
          <w:bCs/>
        </w:rPr>
        <w:t xml:space="preserve">NRT </w:t>
      </w:r>
      <w:r w:rsidR="003D33C1">
        <w:rPr>
          <w:b/>
          <w:bCs/>
        </w:rPr>
        <w:t>(lozenge</w:t>
      </w:r>
      <w:r w:rsidR="00F44630">
        <w:rPr>
          <w:b/>
          <w:bCs/>
        </w:rPr>
        <w:t>/gum</w:t>
      </w:r>
      <w:r w:rsidR="003D33C1">
        <w:rPr>
          <w:b/>
          <w:bCs/>
        </w:rPr>
        <w:t xml:space="preserve">) </w:t>
      </w:r>
      <w:r>
        <w:rPr>
          <w:b/>
          <w:bCs/>
        </w:rPr>
        <w:t xml:space="preserve">versus </w:t>
      </w:r>
      <w:r w:rsidR="00C83EDA" w:rsidRPr="001A7D76">
        <w:rPr>
          <w:b/>
          <w:bCs/>
        </w:rPr>
        <w:t xml:space="preserve">NRT </w:t>
      </w:r>
      <w:r w:rsidR="003D33C1">
        <w:rPr>
          <w:b/>
          <w:bCs/>
        </w:rPr>
        <w:t>patch</w:t>
      </w:r>
    </w:p>
    <w:p w:rsidR="001C5576" w:rsidRDefault="003D33C1" w:rsidP="00C83EDA">
      <w:r w:rsidRPr="003D33C1">
        <w:t>A summary of the citation details for the studies comparing NRT</w:t>
      </w:r>
      <w:r w:rsidR="004C3556">
        <w:t xml:space="preserve"> </w:t>
      </w:r>
      <w:r w:rsidR="00573F59">
        <w:t>lozenges</w:t>
      </w:r>
      <w:r w:rsidR="00F44630">
        <w:t>/gum</w:t>
      </w:r>
      <w:r w:rsidR="004C3556">
        <w:t xml:space="preserve"> with NRT</w:t>
      </w:r>
      <w:r w:rsidRPr="003D33C1">
        <w:t xml:space="preserve"> </w:t>
      </w:r>
      <w:r w:rsidR="00573F59">
        <w:t>patches</w:t>
      </w:r>
      <w:r w:rsidRPr="003D33C1">
        <w:t xml:space="preserve"> is presented in </w:t>
      </w:r>
      <w:r w:rsidR="003C4A1C">
        <w:t xml:space="preserve">Table </w:t>
      </w:r>
      <w:r w:rsidR="003C4A1C">
        <w:rPr>
          <w:noProof/>
        </w:rPr>
        <w:t>28</w:t>
      </w:r>
      <w:r w:rsidRPr="003D33C1">
        <w:t xml:space="preserve">. </w:t>
      </w:r>
      <w:r w:rsidR="00BC3022">
        <w:t>Three</w:t>
      </w:r>
      <w:r w:rsidRPr="003D33C1">
        <w:t xml:space="preserve"> studies compar</w:t>
      </w:r>
      <w:r w:rsidR="005E597D">
        <w:t>ing</w:t>
      </w:r>
      <w:r w:rsidRPr="003D33C1">
        <w:t xml:space="preserve"> NRT </w:t>
      </w:r>
      <w:r w:rsidR="00573F59">
        <w:t>lozenges</w:t>
      </w:r>
      <w:r w:rsidR="00BC3022">
        <w:t xml:space="preserve"> with NRT </w:t>
      </w:r>
      <w:r w:rsidR="00573F59">
        <w:t>patches</w:t>
      </w:r>
      <w:r w:rsidRPr="003D33C1">
        <w:t xml:space="preserve"> were previously considered by the PBAC (</w:t>
      </w:r>
      <w:r w:rsidR="005E597D" w:rsidRPr="005E597D">
        <w:t>Piper et al. 2009, Smith et al. 2009 and Schnoll et al. 2010</w:t>
      </w:r>
      <w:r w:rsidRPr="003D33C1">
        <w:t xml:space="preserve">). </w:t>
      </w:r>
      <w:r w:rsidR="008846EB">
        <w:rPr>
          <w:noProof/>
          <w:color w:val="000000"/>
          <w:highlight w:val="black"/>
        </w:rPr>
        <w:t>'''''''''''' ''''''' ''''''''''''''''''' '''''' '''''' '''''''' ''''''''' ''''''''''' '''''''''''''''' '' ''''''' '''''''''' ''''''''''' '''''''' ''''''''''''''''' ''''''''''''''''''' ''''''' '''''''''''''''''' '''''''' '''''''' ''''''''' '''''''''''' '''''''' '''''''''' '''' '''''''''''''''' ''''' ''''''''''''''''' '''''''''''''' ''''''''''''''''''''''' '''''''''''''''''' '''''''' '''''''''''''''' ''''''' '''''''' '''''''''''''' '''''''''' '''''''' '''''''' '''' '''''' ''''''''''''''''' '''''''''''''''''''''''' ''''''''' ''''''''''''''''''''''''''' '''''''' '''''''''' ''''''''''' '''''''''''''''''''</w:t>
      </w:r>
      <w:r w:rsidRPr="003D33C1">
        <w:t xml:space="preserve"> </w:t>
      </w:r>
      <w:r w:rsidR="00DF612C" w:rsidRPr="00DF612C">
        <w:t xml:space="preserve">For the comparison </w:t>
      </w:r>
      <w:r w:rsidR="009D327F">
        <w:t>of</w:t>
      </w:r>
      <w:r w:rsidR="00DF612C" w:rsidRPr="00DF612C">
        <w:t xml:space="preserve"> NRT gum with NRT </w:t>
      </w:r>
      <w:r w:rsidR="00573F59">
        <w:t>patches</w:t>
      </w:r>
      <w:r w:rsidR="00DF612C" w:rsidRPr="00DF612C">
        <w:t xml:space="preserve">, </w:t>
      </w:r>
      <w:r w:rsidR="00355C2C" w:rsidRPr="00355C2C">
        <w:t>a single direct RCT</w:t>
      </w:r>
      <w:r w:rsidR="00510E0F">
        <w:t xml:space="preserve"> was identified</w:t>
      </w:r>
      <w:r w:rsidR="007650E4">
        <w:t xml:space="preserve"> previously</w:t>
      </w:r>
      <w:r w:rsidR="00355C2C" w:rsidRPr="00355C2C">
        <w:t xml:space="preserve"> (Moolchan et al. 2005). </w:t>
      </w:r>
      <w:r w:rsidR="00E20C56">
        <w:t>Due to inadequate evidence</w:t>
      </w:r>
      <w:r w:rsidR="00EE4C0C">
        <w:t xml:space="preserve"> </w:t>
      </w:r>
      <w:r w:rsidR="00687B53">
        <w:t>from Moolchan (2005)</w:t>
      </w:r>
      <w:r w:rsidR="00E20C56">
        <w:t xml:space="preserve">, </w:t>
      </w:r>
      <w:r w:rsidR="00DF612C" w:rsidRPr="00DF612C">
        <w:t xml:space="preserve">an indirect comparison </w:t>
      </w:r>
      <w:r w:rsidR="006F5FDC">
        <w:t>using</w:t>
      </w:r>
      <w:r w:rsidR="00947240">
        <w:t xml:space="preserve"> </w:t>
      </w:r>
      <w:r w:rsidR="00AE2DB5">
        <w:t>a</w:t>
      </w:r>
      <w:r w:rsidR="00147EDF">
        <w:t xml:space="preserve"> Cochrane </w:t>
      </w:r>
      <w:r w:rsidR="00C75F4A">
        <w:t>R</w:t>
      </w:r>
      <w:r w:rsidR="00147EDF">
        <w:t xml:space="preserve">eview </w:t>
      </w:r>
      <w:r w:rsidR="00E20A69">
        <w:t xml:space="preserve">of </w:t>
      </w:r>
      <w:r w:rsidR="0074436E">
        <w:t>NRT</w:t>
      </w:r>
      <w:r w:rsidR="00AE2DB5">
        <w:t xml:space="preserve"> (Stead</w:t>
      </w:r>
      <w:r w:rsidR="003B0257">
        <w:t xml:space="preserve"> et al.</w:t>
      </w:r>
      <w:r w:rsidR="001B34A4">
        <w:t xml:space="preserve"> 2012)</w:t>
      </w:r>
      <w:r w:rsidR="00882B2E">
        <w:t>,</w:t>
      </w:r>
      <w:r w:rsidR="001B34A4">
        <w:t xml:space="preserve"> updated with an additional 11 studies</w:t>
      </w:r>
      <w:r w:rsidR="00882B2E">
        <w:t xml:space="preserve">, </w:t>
      </w:r>
      <w:r w:rsidR="00DF612C" w:rsidRPr="00DF612C">
        <w:t>was conducted using control as a common reference</w:t>
      </w:r>
      <w:r w:rsidR="008D10B7">
        <w:t xml:space="preserve"> </w:t>
      </w:r>
      <w:r w:rsidR="001540F3">
        <w:t>and presented to the PBAC for consideration</w:t>
      </w:r>
      <w:r w:rsidR="008D10B7">
        <w:t xml:space="preserve">. </w:t>
      </w:r>
      <w:r w:rsidRPr="003D33C1">
        <w:t xml:space="preserve">A recently conducted Cochrane </w:t>
      </w:r>
      <w:r w:rsidR="00DC6241">
        <w:t>R</w:t>
      </w:r>
      <w:r w:rsidRPr="003D33C1">
        <w:t>eview by</w:t>
      </w:r>
      <w:r w:rsidR="003A51C6">
        <w:t xml:space="preserve"> Lindson</w:t>
      </w:r>
      <w:r w:rsidRPr="003D33C1">
        <w:t xml:space="preserve"> et al. (201</w:t>
      </w:r>
      <w:r w:rsidR="00CC4BA2">
        <w:t>9</w:t>
      </w:r>
      <w:r w:rsidRPr="003D33C1">
        <w:t xml:space="preserve">) was identified in the systematic literature review that </w:t>
      </w:r>
      <w:r w:rsidR="005F7290">
        <w:t xml:space="preserve">specifically </w:t>
      </w:r>
      <w:r w:rsidRPr="003D33C1">
        <w:t xml:space="preserve">compared </w:t>
      </w:r>
      <w:r w:rsidR="009B2B58">
        <w:t>different formulation</w:t>
      </w:r>
      <w:r w:rsidR="00E95846">
        <w:t>s</w:t>
      </w:r>
      <w:r w:rsidR="009B2B58">
        <w:t xml:space="preserve"> of </w:t>
      </w:r>
      <w:r w:rsidRPr="003D33C1">
        <w:t>NRT</w:t>
      </w:r>
      <w:r w:rsidR="00F35D70">
        <w:t xml:space="preserve"> (including </w:t>
      </w:r>
      <w:r w:rsidR="00573F59">
        <w:t>lozenges</w:t>
      </w:r>
      <w:r w:rsidR="00F35D70">
        <w:t xml:space="preserve"> and gum)</w:t>
      </w:r>
      <w:r w:rsidRPr="003D33C1">
        <w:t xml:space="preserve"> </w:t>
      </w:r>
      <w:r w:rsidR="009B2B58">
        <w:t xml:space="preserve">with NRT </w:t>
      </w:r>
      <w:r w:rsidR="00573F59">
        <w:t>patches</w:t>
      </w:r>
      <w:r w:rsidRPr="003D33C1">
        <w:t xml:space="preserve"> </w:t>
      </w:r>
      <w:r w:rsidR="009B2B58">
        <w:t>a</w:t>
      </w:r>
      <w:r w:rsidRPr="003D33C1">
        <w:t>nd was included in this report.</w:t>
      </w:r>
      <w:r w:rsidR="009B2D79">
        <w:t xml:space="preserve"> </w:t>
      </w:r>
      <w:r w:rsidR="006935E4">
        <w:t>Additionally</w:t>
      </w:r>
      <w:r w:rsidR="003E4EE5">
        <w:t>,</w:t>
      </w:r>
      <w:r w:rsidR="006935E4">
        <w:t xml:space="preserve"> Hartmann-Boyce et al. (2018) was identified </w:t>
      </w:r>
      <w:r w:rsidR="00DD0097">
        <w:t xml:space="preserve">in the systematic review that compared different formulations of NRT (including lozenges, gum and patches) to placebo. </w:t>
      </w:r>
      <w:r w:rsidR="003E4EE5">
        <w:t>Collectively, Lindson</w:t>
      </w:r>
      <w:r w:rsidR="00F5250A">
        <w:t xml:space="preserve"> et al. (2019) and Hartmann-Boyce et al. (2018) represent the most recent update</w:t>
      </w:r>
      <w:r w:rsidR="00091D15">
        <w:t xml:space="preserve"> to Stead et al. (2012)</w:t>
      </w:r>
      <w:r w:rsidR="00162DC1">
        <w:t xml:space="preserve"> </w:t>
      </w:r>
      <w:r w:rsidR="003C2FF7">
        <w:t>which</w:t>
      </w:r>
      <w:r w:rsidR="00162DC1">
        <w:t>,</w:t>
      </w:r>
      <w:r w:rsidR="003C2FF7">
        <w:t xml:space="preserve"> in 2017 was split into these two reviews</w:t>
      </w:r>
      <w:r w:rsidR="003E4EE5">
        <w:t xml:space="preserve"> </w:t>
      </w:r>
      <w:r w:rsidR="00162DC1">
        <w:t xml:space="preserve">of NRT versus control and NRT versus NRT. </w:t>
      </w:r>
      <w:r w:rsidR="009B2D79" w:rsidRPr="009B2D79">
        <w:t xml:space="preserve">No new studies comparing NRT </w:t>
      </w:r>
      <w:r w:rsidR="00573F59">
        <w:t>lozenges</w:t>
      </w:r>
      <w:r w:rsidR="009B2D79">
        <w:t xml:space="preserve"> or gum</w:t>
      </w:r>
      <w:r w:rsidR="009B2D79" w:rsidRPr="009B2D79">
        <w:t xml:space="preserve"> with </w:t>
      </w:r>
      <w:r w:rsidR="009B2D79">
        <w:t>patch</w:t>
      </w:r>
      <w:r w:rsidR="00115B86">
        <w:t>es</w:t>
      </w:r>
      <w:r w:rsidR="009B2D79" w:rsidRPr="009B2D79">
        <w:t xml:space="preserve"> were identified in the supplemental literature search.</w:t>
      </w:r>
    </w:p>
    <w:p w:rsidR="003D33C1" w:rsidRDefault="003D33C1" w:rsidP="003D33C1">
      <w:pPr>
        <w:pStyle w:val="Caption"/>
        <w:keepNext/>
      </w:pPr>
      <w:bookmarkStart w:id="98" w:name="_Ref54602923"/>
      <w:r>
        <w:t xml:space="preserve">Table </w:t>
      </w:r>
      <w:r w:rsidR="003C4A1C">
        <w:rPr>
          <w:noProof/>
        </w:rPr>
        <w:t>28</w:t>
      </w:r>
      <w:bookmarkEnd w:id="98"/>
      <w:r>
        <w:t xml:space="preserve">: </w:t>
      </w:r>
      <w:r w:rsidRPr="00C74EF1">
        <w:t xml:space="preserve">List of studies comparing NRT </w:t>
      </w:r>
      <w:r w:rsidR="007E12F0">
        <w:t>lozenge or gum</w:t>
      </w:r>
      <w:r w:rsidRPr="00C74EF1">
        <w:t xml:space="preserve"> with </w:t>
      </w:r>
      <w:r>
        <w:t>NRT patch</w:t>
      </w:r>
    </w:p>
    <w:tbl>
      <w:tblPr>
        <w:tblStyle w:val="TableGrid"/>
        <w:tblW w:w="5000" w:type="pct"/>
        <w:tblLook w:val="04A0" w:firstRow="1" w:lastRow="0" w:firstColumn="1" w:lastColumn="0" w:noHBand="0" w:noVBand="1"/>
        <w:tblCaption w:val="Efficacy results of adalimumab trials (PASI 75 and DLQI)"/>
      </w:tblPr>
      <w:tblGrid>
        <w:gridCol w:w="1004"/>
        <w:gridCol w:w="8012"/>
      </w:tblGrid>
      <w:tr w:rsidR="0039468B" w:rsidRPr="00061F78" w:rsidTr="001D389E">
        <w:trPr>
          <w:cantSplit/>
          <w:trHeight w:val="329"/>
          <w:tblHeader/>
        </w:trPr>
        <w:tc>
          <w:tcPr>
            <w:tcW w:w="557" w:type="pct"/>
            <w:shd w:val="clear" w:color="auto" w:fill="BFBFBF" w:themeFill="background1" w:themeFillShade="BF"/>
            <w:tcMar>
              <w:left w:w="28" w:type="dxa"/>
              <w:right w:w="28" w:type="dxa"/>
            </w:tcMar>
          </w:tcPr>
          <w:p w:rsidR="003D33C1" w:rsidRPr="00061F78" w:rsidRDefault="00126B7B" w:rsidP="003D33C1">
            <w:pPr>
              <w:pStyle w:val="Tableheading"/>
              <w:keepNext/>
              <w:rPr>
                <w:rFonts w:eastAsia="MS Mincho"/>
              </w:rPr>
            </w:pPr>
            <w:r>
              <w:rPr>
                <w:rFonts w:eastAsia="MS Mincho"/>
              </w:rPr>
              <w:t>Study</w:t>
            </w:r>
          </w:p>
        </w:tc>
        <w:tc>
          <w:tcPr>
            <w:tcW w:w="4443" w:type="pct"/>
            <w:shd w:val="clear" w:color="auto" w:fill="BFBFBF" w:themeFill="background1" w:themeFillShade="BF"/>
          </w:tcPr>
          <w:p w:rsidR="003D33C1" w:rsidRDefault="003D33C1" w:rsidP="003D33C1">
            <w:pPr>
              <w:pStyle w:val="Tableheading"/>
              <w:keepNext/>
              <w:jc w:val="center"/>
              <w:rPr>
                <w:rFonts w:eastAsia="MS Mincho"/>
              </w:rPr>
            </w:pPr>
            <w:r>
              <w:rPr>
                <w:rFonts w:eastAsia="MS Mincho"/>
              </w:rPr>
              <w:t>Citation</w:t>
            </w:r>
          </w:p>
        </w:tc>
      </w:tr>
      <w:tr w:rsidR="0039468B" w:rsidRPr="00061F78" w:rsidTr="00015CD6">
        <w:trPr>
          <w:cantSplit/>
          <w:trHeight w:val="109"/>
        </w:trPr>
        <w:tc>
          <w:tcPr>
            <w:tcW w:w="557" w:type="pct"/>
            <w:shd w:val="clear" w:color="auto" w:fill="D9D9D9" w:themeFill="background1" w:themeFillShade="D9"/>
            <w:tcMar>
              <w:left w:w="28" w:type="dxa"/>
              <w:right w:w="28" w:type="dxa"/>
            </w:tcMar>
          </w:tcPr>
          <w:p w:rsidR="003D33C1" w:rsidRDefault="003D33C1" w:rsidP="003D33C1">
            <w:pPr>
              <w:pStyle w:val="Tablewriting"/>
              <w:keepNext/>
              <w:rPr>
                <w:rFonts w:eastAsia="MS Mincho"/>
              </w:rPr>
            </w:pPr>
            <w:r>
              <w:rPr>
                <w:rFonts w:eastAsia="MS Mincho"/>
              </w:rPr>
              <w:t>Moolchan (2005)</w:t>
            </w:r>
            <w:r w:rsidR="0039468B" w:rsidRPr="00693911">
              <w:rPr>
                <w:rFonts w:eastAsia="MS Mincho"/>
                <w:noProof/>
                <w:vertAlign w:val="superscript"/>
              </w:rPr>
              <w:t>34</w:t>
            </w:r>
          </w:p>
        </w:tc>
        <w:tc>
          <w:tcPr>
            <w:tcW w:w="4443" w:type="pct"/>
            <w:shd w:val="clear" w:color="auto" w:fill="D9D9D9" w:themeFill="background1" w:themeFillShade="D9"/>
          </w:tcPr>
          <w:p w:rsidR="003D33C1" w:rsidRPr="008E38BA" w:rsidRDefault="00C41462" w:rsidP="003D33C1">
            <w:pPr>
              <w:pStyle w:val="Tablewriting"/>
              <w:keepNext/>
              <w:rPr>
                <w:rFonts w:eastAsia="MS Mincho"/>
              </w:rPr>
            </w:pPr>
            <w:r w:rsidRPr="00C41462">
              <w:rPr>
                <w:rFonts w:eastAsia="MS Mincho"/>
              </w:rPr>
              <w:t>Moolchan ET, Robinson ML, Ernst M, Cadet JL, Pickworth WB, Heishman SJ, Schroeder JR. Safety and efficacy of the nicotine patch and gum for the treatment of adolescent tobacco addiction. Pediatrics. 2005 Apr;115(4):e407-14.</w:t>
            </w:r>
          </w:p>
        </w:tc>
      </w:tr>
      <w:tr w:rsidR="0039468B" w:rsidRPr="00061F78" w:rsidTr="00015CD6">
        <w:trPr>
          <w:cantSplit/>
          <w:trHeight w:val="109"/>
        </w:trPr>
        <w:tc>
          <w:tcPr>
            <w:tcW w:w="557" w:type="pct"/>
            <w:shd w:val="clear" w:color="auto" w:fill="D9D9D9" w:themeFill="background1" w:themeFillShade="D9"/>
            <w:tcMar>
              <w:left w:w="28" w:type="dxa"/>
              <w:right w:w="28" w:type="dxa"/>
            </w:tcMar>
          </w:tcPr>
          <w:p w:rsidR="003D33C1" w:rsidRDefault="003D33C1" w:rsidP="003D33C1">
            <w:pPr>
              <w:pStyle w:val="Tablewriting"/>
              <w:keepNext/>
              <w:rPr>
                <w:rFonts w:eastAsia="MS Mincho"/>
              </w:rPr>
            </w:pPr>
            <w:r>
              <w:rPr>
                <w:rFonts w:eastAsia="MS Mincho"/>
              </w:rPr>
              <w:t>Piper (2009)</w:t>
            </w:r>
            <w:r w:rsidR="0039468B" w:rsidRPr="00527212">
              <w:rPr>
                <w:rFonts w:eastAsia="MS Mincho"/>
                <w:noProof/>
                <w:vertAlign w:val="superscript"/>
              </w:rPr>
              <w:t>7</w:t>
            </w:r>
          </w:p>
        </w:tc>
        <w:tc>
          <w:tcPr>
            <w:tcW w:w="4443" w:type="pct"/>
            <w:shd w:val="clear" w:color="auto" w:fill="D9D9D9" w:themeFill="background1" w:themeFillShade="D9"/>
          </w:tcPr>
          <w:p w:rsidR="003D33C1" w:rsidRPr="002764E0" w:rsidRDefault="00C41462" w:rsidP="003D33C1">
            <w:pPr>
              <w:pStyle w:val="Tablewriting"/>
              <w:keepNext/>
              <w:rPr>
                <w:rFonts w:eastAsia="MS Mincho"/>
              </w:rPr>
            </w:pPr>
            <w:r w:rsidRPr="00C41462">
              <w:rPr>
                <w:rFonts w:eastAsia="MS Mincho"/>
              </w:rPr>
              <w:t>Piper ME, Smith SS, Schlam TR, Fiore MC, Jorenby DE, Fraser D, Baker TB. A randomized placebo-controlled clinical trial of 5 smoking cessation pharmacotherapies. Arch Gen Psychiatry. 2009 Nov;66(11):1253-62.</w:t>
            </w:r>
          </w:p>
        </w:tc>
      </w:tr>
      <w:tr w:rsidR="0039468B" w:rsidRPr="00061F78" w:rsidTr="00015CD6">
        <w:trPr>
          <w:cantSplit/>
          <w:trHeight w:val="109"/>
        </w:trPr>
        <w:tc>
          <w:tcPr>
            <w:tcW w:w="557" w:type="pct"/>
            <w:shd w:val="clear" w:color="auto" w:fill="D9D9D9" w:themeFill="background1" w:themeFillShade="D9"/>
            <w:tcMar>
              <w:left w:w="28" w:type="dxa"/>
              <w:right w:w="28" w:type="dxa"/>
            </w:tcMar>
          </w:tcPr>
          <w:p w:rsidR="003D33C1" w:rsidRDefault="003D33C1" w:rsidP="003D33C1">
            <w:pPr>
              <w:pStyle w:val="Tablewriting"/>
              <w:keepNext/>
              <w:rPr>
                <w:rFonts w:eastAsia="MS Mincho"/>
              </w:rPr>
            </w:pPr>
            <w:r>
              <w:rPr>
                <w:rFonts w:eastAsia="MS Mincho"/>
              </w:rPr>
              <w:t>Smith (2009)</w:t>
            </w:r>
            <w:r w:rsidR="0039468B" w:rsidRPr="00693911">
              <w:rPr>
                <w:rFonts w:eastAsia="MS Mincho"/>
                <w:noProof/>
                <w:vertAlign w:val="superscript"/>
              </w:rPr>
              <w:t>35</w:t>
            </w:r>
          </w:p>
        </w:tc>
        <w:tc>
          <w:tcPr>
            <w:tcW w:w="4443" w:type="pct"/>
            <w:shd w:val="clear" w:color="auto" w:fill="D9D9D9" w:themeFill="background1" w:themeFillShade="D9"/>
          </w:tcPr>
          <w:p w:rsidR="003D33C1" w:rsidRPr="002764E0" w:rsidRDefault="00C41462" w:rsidP="003D33C1">
            <w:pPr>
              <w:pStyle w:val="Tablewriting"/>
              <w:keepNext/>
              <w:rPr>
                <w:rFonts w:eastAsia="MS Mincho"/>
              </w:rPr>
            </w:pPr>
            <w:r w:rsidRPr="00C41462">
              <w:rPr>
                <w:rFonts w:eastAsia="MS Mincho"/>
              </w:rPr>
              <w:t>Smith SS, McCarthy DE, Japuntich SJ, Christiansen B, Piper ME, Jorenby DE, Fraser DL, Fiore MC, Baker TB, Jackson TC. Comparative effectiveness of 5 smoking cessation pharmacotherapies in primary care clinics. Arch Intern Med. 2009 Dec 14;169(22):2148-55.</w:t>
            </w:r>
          </w:p>
        </w:tc>
      </w:tr>
      <w:tr w:rsidR="0039468B" w:rsidRPr="00061F78" w:rsidTr="00015CD6">
        <w:trPr>
          <w:cantSplit/>
          <w:trHeight w:val="109"/>
        </w:trPr>
        <w:tc>
          <w:tcPr>
            <w:tcW w:w="557" w:type="pct"/>
            <w:shd w:val="clear" w:color="auto" w:fill="D9D9D9" w:themeFill="background1" w:themeFillShade="D9"/>
            <w:tcMar>
              <w:left w:w="28" w:type="dxa"/>
              <w:right w:w="28" w:type="dxa"/>
            </w:tcMar>
          </w:tcPr>
          <w:p w:rsidR="003D33C1" w:rsidRDefault="003D33C1" w:rsidP="003D33C1">
            <w:pPr>
              <w:pStyle w:val="Tablewriting"/>
              <w:keepNext/>
              <w:rPr>
                <w:rFonts w:eastAsia="MS Mincho"/>
              </w:rPr>
            </w:pPr>
            <w:r>
              <w:rPr>
                <w:rFonts w:eastAsia="MS Mincho"/>
              </w:rPr>
              <w:t>Schnoll (2010)</w:t>
            </w:r>
            <w:r w:rsidR="0039468B" w:rsidRPr="00693911">
              <w:rPr>
                <w:rFonts w:eastAsia="MS Mincho"/>
                <w:noProof/>
                <w:vertAlign w:val="superscript"/>
              </w:rPr>
              <w:t>36</w:t>
            </w:r>
          </w:p>
        </w:tc>
        <w:tc>
          <w:tcPr>
            <w:tcW w:w="4443" w:type="pct"/>
            <w:shd w:val="clear" w:color="auto" w:fill="D9D9D9" w:themeFill="background1" w:themeFillShade="D9"/>
          </w:tcPr>
          <w:p w:rsidR="003D33C1" w:rsidRPr="002764E0" w:rsidRDefault="001D389E" w:rsidP="003D33C1">
            <w:pPr>
              <w:pStyle w:val="Tablewriting"/>
              <w:keepNext/>
              <w:rPr>
                <w:rFonts w:eastAsia="MS Mincho"/>
              </w:rPr>
            </w:pPr>
            <w:r w:rsidRPr="001D389E">
              <w:rPr>
                <w:rFonts w:eastAsia="MS Mincho"/>
              </w:rPr>
              <w:t>Schnoll RA, Martinez E, Tatum KL, Glass M, Bernath A, Ferris D, Reynolds P. Nicotine patch vs. nicotine lozenge for smoking cessation: an effectiveness trial coordinated by the Community Clinical Oncology Program. Drug Alcohol Depend. 2010 Mar 1;107(2-3):237-43.</w:t>
            </w:r>
          </w:p>
        </w:tc>
      </w:tr>
      <w:tr w:rsidR="0039468B" w:rsidRPr="00061F78" w:rsidTr="00015CD6">
        <w:trPr>
          <w:cantSplit/>
          <w:trHeight w:val="109"/>
        </w:trPr>
        <w:tc>
          <w:tcPr>
            <w:tcW w:w="557" w:type="pct"/>
            <w:shd w:val="clear" w:color="auto" w:fill="D9D9D9" w:themeFill="background1" w:themeFillShade="D9"/>
            <w:tcMar>
              <w:left w:w="28" w:type="dxa"/>
              <w:right w:w="28" w:type="dxa"/>
            </w:tcMar>
          </w:tcPr>
          <w:p w:rsidR="00882B2E" w:rsidRDefault="00882B2E" w:rsidP="003D33C1">
            <w:pPr>
              <w:pStyle w:val="Tablewriting"/>
              <w:keepNext/>
              <w:rPr>
                <w:rFonts w:eastAsia="MS Mincho"/>
              </w:rPr>
            </w:pPr>
            <w:r>
              <w:rPr>
                <w:rFonts w:eastAsia="MS Mincho"/>
              </w:rPr>
              <w:t>Stead</w:t>
            </w:r>
            <w:r w:rsidR="007510A5">
              <w:rPr>
                <w:rFonts w:eastAsia="MS Mincho"/>
              </w:rPr>
              <w:t xml:space="preserve"> (2012)</w:t>
            </w:r>
            <w:r w:rsidR="0039468B" w:rsidRPr="00693911">
              <w:rPr>
                <w:rFonts w:eastAsia="MS Mincho"/>
                <w:noProof/>
                <w:vertAlign w:val="superscript"/>
              </w:rPr>
              <w:t>37</w:t>
            </w:r>
          </w:p>
        </w:tc>
        <w:tc>
          <w:tcPr>
            <w:tcW w:w="4443" w:type="pct"/>
            <w:shd w:val="clear" w:color="auto" w:fill="D9D9D9" w:themeFill="background1" w:themeFillShade="D9"/>
          </w:tcPr>
          <w:p w:rsidR="00882B2E" w:rsidRPr="001D389E" w:rsidRDefault="007510A5" w:rsidP="007510A5">
            <w:pPr>
              <w:pStyle w:val="Tablewriting"/>
              <w:keepNext/>
              <w:rPr>
                <w:rFonts w:eastAsia="MS Mincho"/>
              </w:rPr>
            </w:pPr>
            <w:r w:rsidRPr="007510A5">
              <w:rPr>
                <w:rFonts w:eastAsia="MS Mincho"/>
              </w:rPr>
              <w:t>Stead, Lindsay F, et al. Nicotine Replacement Therapy for</w:t>
            </w:r>
            <w:r>
              <w:rPr>
                <w:rFonts w:eastAsia="MS Mincho"/>
              </w:rPr>
              <w:t xml:space="preserve"> </w:t>
            </w:r>
            <w:r w:rsidRPr="007510A5">
              <w:rPr>
                <w:rFonts w:eastAsia="MS Mincho"/>
              </w:rPr>
              <w:t>Smoking Cessation.</w:t>
            </w:r>
            <w:r w:rsidR="00035E1F">
              <w:rPr>
                <w:rFonts w:eastAsia="MS Mincho"/>
              </w:rPr>
              <w:t xml:space="preserve"> </w:t>
            </w:r>
            <w:r w:rsidR="00035E1F">
              <w:t>Cochrane Database of Systematic Reviews 2012; 11</w:t>
            </w:r>
          </w:p>
        </w:tc>
      </w:tr>
      <w:tr w:rsidR="0039468B" w:rsidRPr="00061F78" w:rsidTr="001D389E">
        <w:trPr>
          <w:cantSplit/>
          <w:trHeight w:val="164"/>
        </w:trPr>
        <w:tc>
          <w:tcPr>
            <w:tcW w:w="557" w:type="pct"/>
            <w:tcMar>
              <w:left w:w="28" w:type="dxa"/>
              <w:right w:w="28" w:type="dxa"/>
            </w:tcMar>
          </w:tcPr>
          <w:p w:rsidR="003D33C1" w:rsidRPr="003D33C1" w:rsidRDefault="003D33C1" w:rsidP="003D33C1">
            <w:pPr>
              <w:pStyle w:val="Tablewriting"/>
              <w:keepNext/>
              <w:rPr>
                <w:rFonts w:eastAsia="MS Mincho"/>
              </w:rPr>
            </w:pPr>
            <w:r>
              <w:rPr>
                <w:rFonts w:eastAsia="MS Mincho"/>
              </w:rPr>
              <w:t>Lindson</w:t>
            </w:r>
            <w:r w:rsidRPr="00061F78">
              <w:rPr>
                <w:rFonts w:eastAsia="MS Mincho"/>
              </w:rPr>
              <w:t xml:space="preserve"> (20</w:t>
            </w:r>
            <w:r>
              <w:rPr>
                <w:rFonts w:eastAsia="MS Mincho"/>
              </w:rPr>
              <w:t>19</w:t>
            </w:r>
            <w:r w:rsidRPr="00061F78">
              <w:rPr>
                <w:rFonts w:eastAsia="MS Mincho"/>
              </w:rPr>
              <w:t>)</w:t>
            </w:r>
            <w:r w:rsidR="0039468B" w:rsidRPr="00693911">
              <w:rPr>
                <w:rFonts w:eastAsia="MS Mincho"/>
                <w:noProof/>
                <w:vertAlign w:val="superscript"/>
              </w:rPr>
              <w:t>38</w:t>
            </w:r>
            <w:r w:rsidRPr="003D33C1">
              <w:rPr>
                <w:rFonts w:eastAsia="MS Mincho"/>
              </w:rPr>
              <w:t xml:space="preserve"> </w:t>
            </w:r>
          </w:p>
        </w:tc>
        <w:tc>
          <w:tcPr>
            <w:tcW w:w="4443" w:type="pct"/>
          </w:tcPr>
          <w:p w:rsidR="003D33C1" w:rsidRDefault="003D33C1" w:rsidP="003D33C1">
            <w:pPr>
              <w:pStyle w:val="Tablewriting"/>
              <w:keepNext/>
              <w:rPr>
                <w:rFonts w:eastAsia="MS Mincho"/>
              </w:rPr>
            </w:pPr>
            <w:r w:rsidRPr="003D33C1">
              <w:rPr>
                <w:rFonts w:eastAsia="MS Mincho"/>
              </w:rPr>
              <w:t>Lindson  N, Chepkin  SC, Ye  W, Fanshawe  TR, Bullen  C, Hartmann‐Boyce  J. Different doses, durations and modes of delivery of nicotine replacement therapy for smoking cessation. Cochrane Database of Systematic Reviews 2019, Issue 4. Art. No.: CD013308.</w:t>
            </w:r>
          </w:p>
        </w:tc>
      </w:tr>
    </w:tbl>
    <w:p w:rsidR="003D33C1" w:rsidRDefault="003D33C1" w:rsidP="003D33C1">
      <w:pPr>
        <w:pStyle w:val="TableFooter"/>
      </w:pPr>
      <w:r w:rsidRPr="00061F78">
        <w:rPr>
          <w:highlight w:val="lightGray"/>
        </w:rPr>
        <w:t>Shaded</w:t>
      </w:r>
      <w:r w:rsidRPr="00061F78">
        <w:t xml:space="preserve"> = previously considered by the PBAC</w:t>
      </w:r>
    </w:p>
    <w:p w:rsidR="003D33C1" w:rsidRDefault="003D33C1" w:rsidP="003D33C1">
      <w:pPr>
        <w:pStyle w:val="TableFooter"/>
      </w:pPr>
      <w:r w:rsidRPr="00F84183">
        <w:t xml:space="preserve">Notes: </w:t>
      </w:r>
      <w:r>
        <w:t>Moolchan e</w:t>
      </w:r>
      <w:r w:rsidRPr="00F84183">
        <w:t>t al. (</w:t>
      </w:r>
      <w:r>
        <w:t>2005</w:t>
      </w:r>
      <w:r w:rsidRPr="00F84183">
        <w:t>)</w:t>
      </w:r>
      <w:r>
        <w:t>, Piper et al. (2009), Smith et al. (2009) and Schnoll et al. (2010)</w:t>
      </w:r>
      <w:r w:rsidRPr="00F84183">
        <w:t xml:space="preserve"> w</w:t>
      </w:r>
      <w:r>
        <w:t>ere</w:t>
      </w:r>
      <w:r w:rsidRPr="00F84183">
        <w:t xml:space="preserve"> considered at the </w:t>
      </w:r>
      <w:r>
        <w:t>July 2017 and March 2018</w:t>
      </w:r>
      <w:r w:rsidRPr="00F84183">
        <w:t xml:space="preserve"> PBAC meeting.</w:t>
      </w:r>
    </w:p>
    <w:p w:rsidR="003D33C1" w:rsidRDefault="00790AF1" w:rsidP="00C83EDA">
      <w:r w:rsidRPr="00790AF1">
        <w:lastRenderedPageBreak/>
        <w:t xml:space="preserve">A summary of the characteristics of the studies comparing </w:t>
      </w:r>
      <w:r>
        <w:t xml:space="preserve">NRT </w:t>
      </w:r>
      <w:r w:rsidR="00573F59">
        <w:t>lozenges</w:t>
      </w:r>
      <w:r w:rsidR="00A22D79">
        <w:t>/gum with</w:t>
      </w:r>
      <w:r>
        <w:t xml:space="preserve"> </w:t>
      </w:r>
      <w:r w:rsidRPr="00790AF1">
        <w:t xml:space="preserve">NRT </w:t>
      </w:r>
      <w:r w:rsidR="00573F59">
        <w:t>patches</w:t>
      </w:r>
      <w:r w:rsidRPr="00790AF1">
        <w:t xml:space="preserve"> is presented in </w:t>
      </w:r>
      <w:r w:rsidR="003C4A1C">
        <w:t xml:space="preserve">Table </w:t>
      </w:r>
      <w:r w:rsidR="003C4A1C">
        <w:rPr>
          <w:noProof/>
        </w:rPr>
        <w:t>29</w:t>
      </w:r>
      <w:r w:rsidRPr="00790AF1">
        <w:t xml:space="preserve">. A total of </w:t>
      </w:r>
      <w:r w:rsidR="001A4BF8">
        <w:t>three</w:t>
      </w:r>
      <w:r w:rsidRPr="00790AF1">
        <w:t xml:space="preserve"> RCTs comparing NRT</w:t>
      </w:r>
      <w:r w:rsidR="00A22D79">
        <w:t xml:space="preserve"> </w:t>
      </w:r>
      <w:r w:rsidR="00573F59">
        <w:t>lozenges</w:t>
      </w:r>
      <w:r w:rsidR="00A22D79">
        <w:t xml:space="preserve"> </w:t>
      </w:r>
      <w:r w:rsidR="00BB1CF9">
        <w:t>with NRT</w:t>
      </w:r>
      <w:r w:rsidRPr="00790AF1">
        <w:t xml:space="preserve"> </w:t>
      </w:r>
      <w:r w:rsidR="00573F59">
        <w:t>patches</w:t>
      </w:r>
      <w:r w:rsidRPr="00790AF1">
        <w:t xml:space="preserve"> </w:t>
      </w:r>
      <w:r w:rsidR="00BB1CF9">
        <w:t xml:space="preserve">and </w:t>
      </w:r>
      <w:r w:rsidR="001A4BF8">
        <w:t>two</w:t>
      </w:r>
      <w:r w:rsidR="00BB1CF9">
        <w:t xml:space="preserve"> RCTs comparing NRT gum with NRT </w:t>
      </w:r>
      <w:r w:rsidR="00573F59">
        <w:t>patches</w:t>
      </w:r>
      <w:r w:rsidRPr="00790AF1">
        <w:t xml:space="preserve"> were identified by </w:t>
      </w:r>
      <w:r w:rsidR="00BB1CF9">
        <w:t>Lindson</w:t>
      </w:r>
      <w:r w:rsidRPr="00790AF1">
        <w:t xml:space="preserve"> et al. (201</w:t>
      </w:r>
      <w:r w:rsidR="00ED44EE">
        <w:t>9)</w:t>
      </w:r>
      <w:r w:rsidRPr="00790AF1">
        <w:t xml:space="preserve">. Of these, </w:t>
      </w:r>
      <w:r w:rsidR="001A4BF8">
        <w:t>all three</w:t>
      </w:r>
      <w:r w:rsidRPr="00790AF1">
        <w:t xml:space="preserve"> RCTs</w:t>
      </w:r>
      <w:r w:rsidR="0002262A">
        <w:t xml:space="preserve"> </w:t>
      </w:r>
      <w:r w:rsidR="00E1569E">
        <w:t xml:space="preserve">comparing NRT </w:t>
      </w:r>
      <w:r w:rsidR="00573F59">
        <w:t>lozenges</w:t>
      </w:r>
      <w:r w:rsidR="00E1569E">
        <w:t xml:space="preserve"> with NRT </w:t>
      </w:r>
      <w:r w:rsidR="00573F59">
        <w:t>patches</w:t>
      </w:r>
      <w:r w:rsidRPr="00790AF1">
        <w:t xml:space="preserve"> </w:t>
      </w:r>
      <w:r w:rsidR="0002262A" w:rsidRPr="003D33C1">
        <w:t>(</w:t>
      </w:r>
      <w:r w:rsidR="0002262A" w:rsidRPr="005E597D">
        <w:t>Piper et al. 2009, Smith et al. 2009 and Schnoll et al. 2010</w:t>
      </w:r>
      <w:r w:rsidR="0002262A" w:rsidRPr="003D33C1">
        <w:t>)</w:t>
      </w:r>
      <w:r w:rsidR="00E1569E">
        <w:t xml:space="preserve"> and one RCT comparing </w:t>
      </w:r>
      <w:r w:rsidR="00940009">
        <w:t>NRT</w:t>
      </w:r>
      <w:r w:rsidR="00E1569E">
        <w:t xml:space="preserve"> gum with NRT </w:t>
      </w:r>
      <w:r w:rsidR="00573F59">
        <w:t>patches</w:t>
      </w:r>
      <w:r w:rsidR="0002262A">
        <w:t xml:space="preserve"> </w:t>
      </w:r>
      <w:r w:rsidR="00E1569E">
        <w:t>(</w:t>
      </w:r>
      <w:r w:rsidR="00E1569E" w:rsidRPr="00355C2C">
        <w:t>Moolchan et al. 2005</w:t>
      </w:r>
      <w:r w:rsidR="00E1569E">
        <w:t xml:space="preserve">) </w:t>
      </w:r>
      <w:r w:rsidRPr="00790AF1">
        <w:t xml:space="preserve">were studies previously considered by the PBAC. </w:t>
      </w:r>
      <w:r w:rsidR="0097627E">
        <w:t>The additional study</w:t>
      </w:r>
      <w:r w:rsidR="00940009">
        <w:t xml:space="preserve"> comparing NRT gum with NRT patches (</w:t>
      </w:r>
      <w:r w:rsidR="009F451F">
        <w:t>Kupecz</w:t>
      </w:r>
      <w:r w:rsidR="00E763A2">
        <w:t xml:space="preserve"> et al. 1996) that was included in Lindson et al. </w:t>
      </w:r>
      <w:r w:rsidR="00D525E9">
        <w:t>(</w:t>
      </w:r>
      <w:r w:rsidR="00E763A2">
        <w:t>2019</w:t>
      </w:r>
      <w:r w:rsidR="00D525E9">
        <w:t>)</w:t>
      </w:r>
      <w:r w:rsidR="00BC70C4">
        <w:t xml:space="preserve"> was judged as high risk of bias </w:t>
      </w:r>
      <w:r w:rsidR="00100268">
        <w:t>as it was described as quasi-experimental</w:t>
      </w:r>
      <w:r w:rsidR="00D2295D">
        <w:t>, with mo</w:t>
      </w:r>
      <w:r w:rsidR="003844F3">
        <w:t>n</w:t>
      </w:r>
      <w:r w:rsidR="00D2295D">
        <w:t>th of recruitment randomi</w:t>
      </w:r>
      <w:r w:rsidR="0094476F">
        <w:t>s</w:t>
      </w:r>
      <w:r w:rsidR="00D2295D">
        <w:t xml:space="preserve">ed to study arm, and all people recruited in each month provided with </w:t>
      </w:r>
      <w:r w:rsidR="00762DF1">
        <w:t>the allotted treatment. This study</w:t>
      </w:r>
      <w:r w:rsidR="0095402E">
        <w:t xml:space="preserve"> was excluded from Hartmann-Boyce</w:t>
      </w:r>
      <w:r w:rsidR="0081066C">
        <w:t xml:space="preserve"> et al.</w:t>
      </w:r>
      <w:r w:rsidR="0095402E">
        <w:t xml:space="preserve"> </w:t>
      </w:r>
      <w:r w:rsidR="003239D6">
        <w:t>(</w:t>
      </w:r>
      <w:r w:rsidR="0095402E">
        <w:t>2018</w:t>
      </w:r>
      <w:r w:rsidR="003239D6">
        <w:t>)</w:t>
      </w:r>
      <w:r w:rsidR="0081066C">
        <w:t xml:space="preserve"> </w:t>
      </w:r>
      <w:r w:rsidR="00BC70C4">
        <w:t xml:space="preserve">and </w:t>
      </w:r>
      <w:r w:rsidR="00762DF1">
        <w:t xml:space="preserve">Stead et al. </w:t>
      </w:r>
      <w:r w:rsidR="003239D6">
        <w:t>(</w:t>
      </w:r>
      <w:r w:rsidR="00762DF1">
        <w:t>2018</w:t>
      </w:r>
      <w:r w:rsidR="003239D6">
        <w:t>)</w:t>
      </w:r>
      <w:r w:rsidR="00493F57">
        <w:t xml:space="preserve"> and has thus not been considered by the PBAC. </w:t>
      </w:r>
      <w:r w:rsidR="00BC70C4">
        <w:t xml:space="preserve"> </w:t>
      </w:r>
      <w:r w:rsidR="0095402E">
        <w:t xml:space="preserve"> </w:t>
      </w:r>
      <w:r w:rsidRPr="00790AF1">
        <w:t xml:space="preserve">The characteristics of the individual studies are presented in </w:t>
      </w:r>
      <w:r w:rsidRPr="0079330A">
        <w:t>Appendix</w:t>
      </w:r>
      <w:r w:rsidRPr="00790AF1">
        <w:t xml:space="preserve"> </w:t>
      </w:r>
      <w:r w:rsidR="003C4A1C">
        <w:t xml:space="preserve">Table </w:t>
      </w:r>
      <w:r w:rsidR="003C4A1C">
        <w:rPr>
          <w:noProof/>
        </w:rPr>
        <w:t>150</w:t>
      </w:r>
      <w:r w:rsidRPr="00790AF1">
        <w:t>.</w:t>
      </w:r>
    </w:p>
    <w:p w:rsidR="00790AF1" w:rsidRDefault="00790AF1" w:rsidP="00C83EDA">
      <w:pPr>
        <w:sectPr w:rsidR="00790AF1" w:rsidSect="006356D2">
          <w:pgSz w:w="11906" w:h="16838"/>
          <w:pgMar w:top="1440" w:right="1440" w:bottom="1440" w:left="1440" w:header="708" w:footer="708" w:gutter="0"/>
          <w:cols w:space="708"/>
          <w:titlePg/>
          <w:docGrid w:linePitch="360"/>
        </w:sectPr>
      </w:pPr>
    </w:p>
    <w:p w:rsidR="00FB4A7A" w:rsidRDefault="00FB4A7A" w:rsidP="00FB4A7A">
      <w:pPr>
        <w:pStyle w:val="Caption"/>
        <w:keepNext/>
      </w:pPr>
      <w:bookmarkStart w:id="99" w:name="_Ref54610904"/>
      <w:r>
        <w:lastRenderedPageBreak/>
        <w:t xml:space="preserve">Table </w:t>
      </w:r>
      <w:r w:rsidR="003C4A1C">
        <w:rPr>
          <w:noProof/>
        </w:rPr>
        <w:t>29</w:t>
      </w:r>
      <w:bookmarkEnd w:id="99"/>
      <w:r>
        <w:t xml:space="preserve">: </w:t>
      </w:r>
      <w:r w:rsidRPr="00A67575">
        <w:t xml:space="preserve">Characteristics of the studies comparing NRT </w:t>
      </w:r>
      <w:r>
        <w:t xml:space="preserve">lozenge or gum with NRT </w:t>
      </w:r>
      <w:r w:rsidRPr="00A67575">
        <w:t>patch</w:t>
      </w:r>
    </w:p>
    <w:tbl>
      <w:tblPr>
        <w:tblStyle w:val="TableGrid"/>
        <w:tblW w:w="5000" w:type="pct"/>
        <w:tblLook w:val="04A0" w:firstRow="1" w:lastRow="0" w:firstColumn="1" w:lastColumn="0" w:noHBand="0" w:noVBand="1"/>
        <w:tblCaption w:val="Efficacy results of adalimumab trials (PASI 75 and DLQI)"/>
      </w:tblPr>
      <w:tblGrid>
        <w:gridCol w:w="893"/>
        <w:gridCol w:w="1113"/>
        <w:gridCol w:w="962"/>
        <w:gridCol w:w="5217"/>
        <w:gridCol w:w="2706"/>
        <w:gridCol w:w="3057"/>
      </w:tblGrid>
      <w:tr w:rsidR="00260CD7" w:rsidRPr="00061F78" w:rsidTr="004C2B01">
        <w:trPr>
          <w:trHeight w:val="299"/>
          <w:tblHeader/>
        </w:trPr>
        <w:tc>
          <w:tcPr>
            <w:tcW w:w="320" w:type="pct"/>
            <w:shd w:val="clear" w:color="auto" w:fill="BFBFBF" w:themeFill="background1" w:themeFillShade="BF"/>
            <w:tcMar>
              <w:left w:w="28" w:type="dxa"/>
              <w:right w:w="28" w:type="dxa"/>
            </w:tcMar>
          </w:tcPr>
          <w:p w:rsidR="00BB2792" w:rsidRPr="00061F78" w:rsidRDefault="00126B7B" w:rsidP="00F207DC">
            <w:pPr>
              <w:pStyle w:val="Tableheading"/>
              <w:rPr>
                <w:rFonts w:eastAsia="MS Mincho"/>
              </w:rPr>
            </w:pPr>
            <w:r>
              <w:rPr>
                <w:rFonts w:eastAsia="MS Mincho"/>
              </w:rPr>
              <w:t>Study</w:t>
            </w:r>
          </w:p>
        </w:tc>
        <w:tc>
          <w:tcPr>
            <w:tcW w:w="399" w:type="pct"/>
            <w:shd w:val="clear" w:color="auto" w:fill="BFBFBF" w:themeFill="background1" w:themeFillShade="BF"/>
          </w:tcPr>
          <w:p w:rsidR="00BB2792" w:rsidRDefault="00BB2792" w:rsidP="00F207DC">
            <w:pPr>
              <w:pStyle w:val="Tableheading"/>
              <w:jc w:val="center"/>
              <w:rPr>
                <w:rFonts w:eastAsia="MS Mincho"/>
              </w:rPr>
            </w:pPr>
            <w:r>
              <w:rPr>
                <w:rFonts w:eastAsia="MS Mincho"/>
              </w:rPr>
              <w:t>Study type</w:t>
            </w:r>
          </w:p>
        </w:tc>
        <w:tc>
          <w:tcPr>
            <w:tcW w:w="345" w:type="pct"/>
            <w:shd w:val="clear" w:color="auto" w:fill="BFBFBF" w:themeFill="background1" w:themeFillShade="BF"/>
            <w:tcMar>
              <w:left w:w="28" w:type="dxa"/>
              <w:right w:w="28" w:type="dxa"/>
            </w:tcMar>
          </w:tcPr>
          <w:p w:rsidR="00BB2792" w:rsidRPr="00AE21E9" w:rsidRDefault="00BB2792" w:rsidP="00F207DC">
            <w:pPr>
              <w:pStyle w:val="Tableheading"/>
              <w:jc w:val="center"/>
              <w:rPr>
                <w:rFonts w:eastAsia="MS Mincho"/>
                <w:vertAlign w:val="superscript"/>
              </w:rPr>
            </w:pPr>
            <w:r>
              <w:rPr>
                <w:rFonts w:eastAsia="MS Mincho"/>
              </w:rPr>
              <w:t>N</w:t>
            </w:r>
            <w:r>
              <w:rPr>
                <w:rFonts w:eastAsia="MS Mincho"/>
                <w:vertAlign w:val="superscript"/>
              </w:rPr>
              <w:t>1</w:t>
            </w:r>
          </w:p>
        </w:tc>
        <w:tc>
          <w:tcPr>
            <w:tcW w:w="1870" w:type="pct"/>
            <w:shd w:val="clear" w:color="auto" w:fill="BFBFBF" w:themeFill="background1" w:themeFillShade="BF"/>
            <w:tcMar>
              <w:left w:w="28" w:type="dxa"/>
              <w:right w:w="28" w:type="dxa"/>
            </w:tcMar>
          </w:tcPr>
          <w:p w:rsidR="00BB2792" w:rsidRPr="00061F78" w:rsidRDefault="00BB2792" w:rsidP="00F207DC">
            <w:pPr>
              <w:pStyle w:val="Tableheading"/>
              <w:jc w:val="center"/>
              <w:rPr>
                <w:rFonts w:eastAsia="MS Mincho"/>
              </w:rPr>
            </w:pPr>
            <w:r w:rsidRPr="00061F78">
              <w:rPr>
                <w:rFonts w:eastAsia="MS Mincho"/>
              </w:rPr>
              <w:t>P</w:t>
            </w:r>
            <w:r>
              <w:rPr>
                <w:rFonts w:eastAsia="MS Mincho"/>
              </w:rPr>
              <w:t>opulation</w:t>
            </w:r>
          </w:p>
        </w:tc>
        <w:tc>
          <w:tcPr>
            <w:tcW w:w="970" w:type="pct"/>
            <w:shd w:val="clear" w:color="auto" w:fill="BFBFBF" w:themeFill="background1" w:themeFillShade="BF"/>
          </w:tcPr>
          <w:p w:rsidR="00BB2792" w:rsidRDefault="00BB2792" w:rsidP="00F207DC">
            <w:pPr>
              <w:pStyle w:val="Tableheading"/>
              <w:jc w:val="center"/>
              <w:rPr>
                <w:rFonts w:eastAsia="MS Mincho"/>
              </w:rPr>
            </w:pPr>
            <w:r>
              <w:rPr>
                <w:rFonts w:eastAsia="MS Mincho"/>
              </w:rPr>
              <w:t>Intervention and comparator</w:t>
            </w:r>
          </w:p>
        </w:tc>
        <w:tc>
          <w:tcPr>
            <w:tcW w:w="1096" w:type="pct"/>
            <w:shd w:val="clear" w:color="auto" w:fill="BFBFBF" w:themeFill="background1" w:themeFillShade="BF"/>
            <w:tcMar>
              <w:left w:w="28" w:type="dxa"/>
              <w:right w:w="28" w:type="dxa"/>
            </w:tcMar>
          </w:tcPr>
          <w:p w:rsidR="00BB2792" w:rsidRPr="00061F78" w:rsidRDefault="00BB2792" w:rsidP="00F207DC">
            <w:pPr>
              <w:pStyle w:val="Tableheading"/>
              <w:jc w:val="center"/>
              <w:rPr>
                <w:rFonts w:eastAsia="MS Mincho"/>
              </w:rPr>
            </w:pPr>
            <w:r>
              <w:rPr>
                <w:rFonts w:eastAsia="MS Mincho"/>
              </w:rPr>
              <w:t>Outcomes</w:t>
            </w:r>
          </w:p>
        </w:tc>
      </w:tr>
      <w:tr w:rsidR="00260CD7" w:rsidRPr="00061F78" w:rsidTr="00015CD6">
        <w:trPr>
          <w:trHeight w:val="99"/>
        </w:trPr>
        <w:tc>
          <w:tcPr>
            <w:tcW w:w="320" w:type="pct"/>
            <w:shd w:val="clear" w:color="auto" w:fill="D9D9D9" w:themeFill="background1" w:themeFillShade="D9"/>
            <w:tcMar>
              <w:left w:w="28" w:type="dxa"/>
              <w:right w:w="28" w:type="dxa"/>
            </w:tcMar>
          </w:tcPr>
          <w:p w:rsidR="00FF1436" w:rsidRDefault="7F039E10" w:rsidP="00F207DC">
            <w:pPr>
              <w:pStyle w:val="Tablewriting"/>
              <w:rPr>
                <w:rFonts w:eastAsia="MS Mincho"/>
              </w:rPr>
            </w:pPr>
            <w:r>
              <w:rPr>
                <w:rFonts w:eastAsia="MS Mincho"/>
              </w:rPr>
              <w:t>Moolchan (2005)</w:t>
            </w:r>
          </w:p>
        </w:tc>
        <w:tc>
          <w:tcPr>
            <w:tcW w:w="399" w:type="pct"/>
            <w:shd w:val="clear" w:color="auto" w:fill="D9D9D9" w:themeFill="background1" w:themeFillShade="D9"/>
          </w:tcPr>
          <w:p w:rsidR="00FF1436" w:rsidRDefault="00FF1436" w:rsidP="00F207DC">
            <w:pPr>
              <w:pStyle w:val="Tablewriting"/>
              <w:rPr>
                <w:rFonts w:eastAsia="MS Mincho"/>
              </w:rPr>
            </w:pPr>
            <w:r>
              <w:rPr>
                <w:rFonts w:eastAsia="MS Mincho"/>
              </w:rPr>
              <w:t>RCT</w:t>
            </w:r>
          </w:p>
        </w:tc>
        <w:tc>
          <w:tcPr>
            <w:tcW w:w="345" w:type="pct"/>
            <w:shd w:val="clear" w:color="auto" w:fill="D9D9D9" w:themeFill="background1" w:themeFillShade="D9"/>
            <w:tcMar>
              <w:left w:w="28" w:type="dxa"/>
              <w:right w:w="28" w:type="dxa"/>
            </w:tcMar>
          </w:tcPr>
          <w:p w:rsidR="00FF1436" w:rsidRDefault="00FF1436" w:rsidP="00F207DC">
            <w:pPr>
              <w:pStyle w:val="Tablewriting"/>
              <w:rPr>
                <w:rFonts w:eastAsia="MS Mincho"/>
              </w:rPr>
            </w:pPr>
            <w:r>
              <w:rPr>
                <w:rFonts w:eastAsia="MS Mincho"/>
              </w:rPr>
              <w:t>N=</w:t>
            </w:r>
            <w:r w:rsidR="00C64EA8">
              <w:rPr>
                <w:rFonts w:eastAsia="MS Mincho"/>
              </w:rPr>
              <w:t>120</w:t>
            </w:r>
          </w:p>
          <w:p w:rsidR="00FF1436" w:rsidRDefault="00FF1436" w:rsidP="00F207DC">
            <w:pPr>
              <w:pStyle w:val="Tablewriting"/>
              <w:rPr>
                <w:rFonts w:eastAsia="MS Mincho"/>
              </w:rPr>
            </w:pPr>
            <w:r>
              <w:rPr>
                <w:rFonts w:eastAsia="MS Mincho"/>
              </w:rPr>
              <w:t xml:space="preserve">NRT </w:t>
            </w:r>
            <w:r w:rsidR="00C64EA8">
              <w:rPr>
                <w:rFonts w:eastAsia="MS Mincho"/>
              </w:rPr>
              <w:t xml:space="preserve">gum </w:t>
            </w:r>
            <w:r>
              <w:rPr>
                <w:rFonts w:eastAsia="MS Mincho"/>
              </w:rPr>
              <w:t>(n=</w:t>
            </w:r>
            <w:r w:rsidR="00C64EA8">
              <w:rPr>
                <w:rFonts w:eastAsia="MS Mincho"/>
              </w:rPr>
              <w:t>46</w:t>
            </w:r>
            <w:r>
              <w:rPr>
                <w:rFonts w:eastAsia="MS Mincho"/>
              </w:rPr>
              <w:t>),</w:t>
            </w:r>
          </w:p>
          <w:p w:rsidR="00FF1436" w:rsidRDefault="00C64EA8" w:rsidP="00F207DC">
            <w:pPr>
              <w:pStyle w:val="Tablewriting"/>
              <w:rPr>
                <w:rFonts w:eastAsia="MS Mincho"/>
              </w:rPr>
            </w:pPr>
            <w:r>
              <w:rPr>
                <w:rFonts w:eastAsia="MS Mincho"/>
              </w:rPr>
              <w:t>NRT patch</w:t>
            </w:r>
            <w:r w:rsidR="00FF1436">
              <w:rPr>
                <w:rFonts w:eastAsia="MS Mincho"/>
              </w:rPr>
              <w:t xml:space="preserve"> (n=</w:t>
            </w:r>
            <w:r>
              <w:rPr>
                <w:rFonts w:eastAsia="MS Mincho"/>
              </w:rPr>
              <w:t>34</w:t>
            </w:r>
            <w:r w:rsidR="00FF1436">
              <w:rPr>
                <w:rFonts w:eastAsia="MS Mincho"/>
              </w:rPr>
              <w:t>)</w:t>
            </w:r>
          </w:p>
        </w:tc>
        <w:tc>
          <w:tcPr>
            <w:tcW w:w="1870" w:type="pct"/>
            <w:shd w:val="clear" w:color="auto" w:fill="D9D9D9" w:themeFill="background1" w:themeFillShade="D9"/>
            <w:tcMar>
              <w:left w:w="28" w:type="dxa"/>
              <w:right w:w="28" w:type="dxa"/>
            </w:tcMar>
          </w:tcPr>
          <w:p w:rsidR="00FF1436" w:rsidRDefault="00FF1436" w:rsidP="00F207DC">
            <w:pPr>
              <w:pStyle w:val="Tablewriting"/>
              <w:rPr>
                <w:rFonts w:eastAsia="MS Mincho"/>
              </w:rPr>
            </w:pPr>
            <w:r w:rsidRPr="007F28D7">
              <w:rPr>
                <w:rFonts w:eastAsia="MS Mincho"/>
                <w:u w:val="single"/>
              </w:rPr>
              <w:t>Inclusion</w:t>
            </w:r>
            <w:r>
              <w:rPr>
                <w:rFonts w:eastAsia="MS Mincho"/>
              </w:rPr>
              <w:t xml:space="preserve">: </w:t>
            </w:r>
            <w:r w:rsidR="00C64ED4" w:rsidRPr="00C64ED4">
              <w:rPr>
                <w:rFonts w:eastAsia="MS Mincho"/>
              </w:rPr>
              <w:t>13</w:t>
            </w:r>
            <w:r w:rsidR="00C64ED4">
              <w:rPr>
                <w:rFonts w:eastAsia="MS Mincho"/>
              </w:rPr>
              <w:t>-</w:t>
            </w:r>
            <w:r w:rsidR="00C64ED4" w:rsidRPr="00C64ED4">
              <w:rPr>
                <w:rFonts w:eastAsia="MS Mincho"/>
              </w:rPr>
              <w:t xml:space="preserve">17 years </w:t>
            </w:r>
            <w:r w:rsidR="00392F95">
              <w:rPr>
                <w:rFonts w:eastAsia="MS Mincho"/>
              </w:rPr>
              <w:t>old,</w:t>
            </w:r>
            <w:r w:rsidR="00C64ED4" w:rsidRPr="00C64ED4">
              <w:rPr>
                <w:rFonts w:eastAsia="MS Mincho"/>
              </w:rPr>
              <w:t xml:space="preserve"> </w:t>
            </w:r>
            <w:r w:rsidR="00C64ED4">
              <w:rPr>
                <w:rFonts w:eastAsia="MS Mincho" w:cstheme="minorHAnsi"/>
              </w:rPr>
              <w:t>≥</w:t>
            </w:r>
            <w:r w:rsidR="00C64ED4" w:rsidRPr="00C64ED4">
              <w:rPr>
                <w:rFonts w:eastAsia="MS Mincho"/>
              </w:rPr>
              <w:t xml:space="preserve">10 CPD for </w:t>
            </w:r>
            <w:r w:rsidR="00C64ED4">
              <w:rPr>
                <w:rFonts w:eastAsia="MS Mincho" w:cstheme="minorHAnsi"/>
              </w:rPr>
              <w:t>≥</w:t>
            </w:r>
            <w:r w:rsidR="00C64ED4" w:rsidRPr="00C64ED4">
              <w:rPr>
                <w:rFonts w:eastAsia="MS Mincho"/>
              </w:rPr>
              <w:t>6 months,</w:t>
            </w:r>
            <w:r w:rsidR="0074346D">
              <w:rPr>
                <w:rFonts w:eastAsia="MS Mincho"/>
              </w:rPr>
              <w:t xml:space="preserve"> a</w:t>
            </w:r>
            <w:r w:rsidR="00C64ED4" w:rsidRPr="00C64ED4">
              <w:rPr>
                <w:rFonts w:eastAsia="MS Mincho"/>
              </w:rPr>
              <w:t xml:space="preserve"> minimal score</w:t>
            </w:r>
            <w:r w:rsidR="00C64ED4">
              <w:rPr>
                <w:rFonts w:eastAsia="MS Mincho"/>
              </w:rPr>
              <w:t xml:space="preserve"> </w:t>
            </w:r>
            <w:r w:rsidR="00C64ED4" w:rsidRPr="00C64ED4">
              <w:rPr>
                <w:rFonts w:eastAsia="MS Mincho"/>
              </w:rPr>
              <w:t>of 5 on the Fagerstrom Test of Nicotine Depende</w:t>
            </w:r>
            <w:r w:rsidR="0074346D">
              <w:rPr>
                <w:rFonts w:eastAsia="MS Mincho"/>
              </w:rPr>
              <w:t xml:space="preserve">nce, </w:t>
            </w:r>
            <w:r w:rsidR="00C64ED4" w:rsidRPr="00C64ED4">
              <w:rPr>
                <w:rFonts w:eastAsia="MS Mincho"/>
              </w:rPr>
              <w:t>motivated to stop smoking</w:t>
            </w:r>
            <w:r w:rsidR="00AB5FA3">
              <w:rPr>
                <w:rFonts w:eastAsia="MS Mincho"/>
              </w:rPr>
              <w:t>.</w:t>
            </w:r>
          </w:p>
          <w:p w:rsidR="00FF1436" w:rsidRPr="007F28D7" w:rsidRDefault="00FF1436" w:rsidP="00F207DC">
            <w:pPr>
              <w:pStyle w:val="Tablewriting"/>
              <w:rPr>
                <w:rFonts w:eastAsia="MS Mincho"/>
                <w:u w:val="single"/>
              </w:rPr>
            </w:pPr>
            <w:r w:rsidRPr="007F28D7">
              <w:rPr>
                <w:rFonts w:eastAsia="MS Mincho"/>
                <w:u w:val="single"/>
              </w:rPr>
              <w:t>Exclusion</w:t>
            </w:r>
            <w:r>
              <w:rPr>
                <w:rFonts w:eastAsia="MS Mincho"/>
              </w:rPr>
              <w:t xml:space="preserve">: </w:t>
            </w:r>
            <w:r w:rsidR="008501EE">
              <w:rPr>
                <w:rFonts w:eastAsia="MS Mincho"/>
              </w:rPr>
              <w:t>p</w:t>
            </w:r>
            <w:r w:rsidR="008501EE" w:rsidRPr="008501EE">
              <w:rPr>
                <w:rFonts w:eastAsia="MS Mincho"/>
              </w:rPr>
              <w:t>regnancy,</w:t>
            </w:r>
            <w:r w:rsidR="008501EE">
              <w:rPr>
                <w:rFonts w:eastAsia="MS Mincho"/>
              </w:rPr>
              <w:t xml:space="preserve"> </w:t>
            </w:r>
            <w:r w:rsidR="008501EE" w:rsidRPr="008501EE">
              <w:rPr>
                <w:rFonts w:eastAsia="MS Mincho"/>
              </w:rPr>
              <w:t>lactation, chronic skin conditions, use of other tobacco</w:t>
            </w:r>
            <w:r w:rsidR="008501EE">
              <w:rPr>
                <w:rFonts w:eastAsia="MS Mincho"/>
              </w:rPr>
              <w:t xml:space="preserve"> </w:t>
            </w:r>
            <w:r w:rsidR="008501EE" w:rsidRPr="008501EE">
              <w:rPr>
                <w:rFonts w:eastAsia="MS Mincho"/>
              </w:rPr>
              <w:t>products, and current use (within the past 30 days) of medications</w:t>
            </w:r>
            <w:r w:rsidR="008501EE">
              <w:rPr>
                <w:rFonts w:eastAsia="MS Mincho"/>
              </w:rPr>
              <w:t xml:space="preserve"> </w:t>
            </w:r>
            <w:r w:rsidR="008501EE" w:rsidRPr="008501EE">
              <w:rPr>
                <w:rFonts w:eastAsia="MS Mincho"/>
              </w:rPr>
              <w:t>for smoking cessation (e</w:t>
            </w:r>
            <w:r w:rsidR="008501EE">
              <w:rPr>
                <w:rFonts w:eastAsia="MS Mincho"/>
              </w:rPr>
              <w:t>.</w:t>
            </w:r>
            <w:r w:rsidR="008501EE" w:rsidRPr="008501EE">
              <w:rPr>
                <w:rFonts w:eastAsia="MS Mincho"/>
              </w:rPr>
              <w:t>g</w:t>
            </w:r>
            <w:r w:rsidR="008501EE">
              <w:rPr>
                <w:rFonts w:eastAsia="MS Mincho"/>
              </w:rPr>
              <w:t>.</w:t>
            </w:r>
            <w:r w:rsidR="008501EE" w:rsidRPr="008501EE">
              <w:rPr>
                <w:rFonts w:eastAsia="MS Mincho"/>
              </w:rPr>
              <w:t xml:space="preserve"> NRT or bupropion)</w:t>
            </w:r>
            <w:r w:rsidR="009E1A65">
              <w:rPr>
                <w:rFonts w:eastAsia="MS Mincho"/>
              </w:rPr>
              <w:t>; d</w:t>
            </w:r>
            <w:r w:rsidR="008501EE" w:rsidRPr="008501EE">
              <w:rPr>
                <w:rFonts w:eastAsia="MS Mincho"/>
              </w:rPr>
              <w:t>rug or alcohol dependence other than nicotine and</w:t>
            </w:r>
            <w:r w:rsidR="009E1A65">
              <w:rPr>
                <w:rFonts w:eastAsia="MS Mincho"/>
              </w:rPr>
              <w:t xml:space="preserve"> </w:t>
            </w:r>
            <w:r w:rsidR="008501EE" w:rsidRPr="008501EE">
              <w:rPr>
                <w:rFonts w:eastAsia="MS Mincho"/>
              </w:rPr>
              <w:t>current mania, psychosis, and acute depression, according to the</w:t>
            </w:r>
            <w:r w:rsidR="009E1A65">
              <w:rPr>
                <w:rFonts w:eastAsia="MS Mincho"/>
              </w:rPr>
              <w:t xml:space="preserve"> </w:t>
            </w:r>
            <w:r w:rsidR="008501EE" w:rsidRPr="008501EE">
              <w:rPr>
                <w:rFonts w:eastAsia="MS Mincho"/>
              </w:rPr>
              <w:t>Diagnostic Interview of Children and Adolescents, which was</w:t>
            </w:r>
            <w:r w:rsidR="00FC5A21">
              <w:rPr>
                <w:rFonts w:eastAsia="MS Mincho"/>
              </w:rPr>
              <w:t xml:space="preserve"> </w:t>
            </w:r>
            <w:r w:rsidR="008501EE" w:rsidRPr="008501EE">
              <w:rPr>
                <w:rFonts w:eastAsia="MS Mincho"/>
              </w:rPr>
              <w:t>based on the Diagnostic and Statistical Manual of Mental Disorders,</w:t>
            </w:r>
            <w:r w:rsidR="00FC5A21">
              <w:rPr>
                <w:rFonts w:eastAsia="MS Mincho"/>
              </w:rPr>
              <w:t xml:space="preserve"> </w:t>
            </w:r>
            <w:r w:rsidR="008501EE" w:rsidRPr="008501EE">
              <w:rPr>
                <w:rFonts w:eastAsia="MS Mincho"/>
              </w:rPr>
              <w:t>Fourth Edition</w:t>
            </w:r>
            <w:r w:rsidR="00FC5A21">
              <w:rPr>
                <w:rFonts w:eastAsia="MS Mincho"/>
              </w:rPr>
              <w:t>.</w:t>
            </w:r>
          </w:p>
        </w:tc>
        <w:tc>
          <w:tcPr>
            <w:tcW w:w="970" w:type="pct"/>
            <w:shd w:val="clear" w:color="auto" w:fill="D9D9D9" w:themeFill="background1" w:themeFillShade="D9"/>
          </w:tcPr>
          <w:p w:rsidR="00FF1436" w:rsidRDefault="00FF1436" w:rsidP="00F207DC">
            <w:pPr>
              <w:pStyle w:val="Tablewriting"/>
              <w:rPr>
                <w:rFonts w:eastAsia="MS Mincho"/>
              </w:rPr>
            </w:pPr>
            <w:r w:rsidRPr="00C5551B">
              <w:rPr>
                <w:rFonts w:eastAsia="MS Mincho"/>
              </w:rPr>
              <w:t>NRT</w:t>
            </w:r>
            <w:r w:rsidR="0055007B">
              <w:rPr>
                <w:rFonts w:eastAsia="MS Mincho"/>
              </w:rPr>
              <w:t xml:space="preserve"> gum</w:t>
            </w:r>
            <w:r w:rsidRPr="00C5551B">
              <w:rPr>
                <w:rFonts w:eastAsia="MS Mincho"/>
              </w:rPr>
              <w:t xml:space="preserve">: </w:t>
            </w:r>
            <w:r w:rsidR="009B45B1" w:rsidRPr="009B45B1">
              <w:rPr>
                <w:rFonts w:eastAsia="MS Mincho"/>
              </w:rPr>
              <w:t>4</w:t>
            </w:r>
            <w:r w:rsidR="009B2D79">
              <w:rPr>
                <w:rFonts w:eastAsia="MS Mincho"/>
              </w:rPr>
              <w:t xml:space="preserve"> </w:t>
            </w:r>
            <w:r w:rsidR="009B45B1" w:rsidRPr="009B45B1">
              <w:rPr>
                <w:rFonts w:eastAsia="MS Mincho"/>
              </w:rPr>
              <w:t>mg or 2</w:t>
            </w:r>
            <w:r w:rsidR="009B2D79">
              <w:rPr>
                <w:rFonts w:eastAsia="MS Mincho"/>
              </w:rPr>
              <w:t xml:space="preserve"> </w:t>
            </w:r>
            <w:r w:rsidR="009B45B1" w:rsidRPr="009B45B1">
              <w:rPr>
                <w:rFonts w:eastAsia="MS Mincho"/>
              </w:rPr>
              <w:t xml:space="preserve">mg </w:t>
            </w:r>
            <w:r w:rsidR="009B45B1">
              <w:rPr>
                <w:rFonts w:eastAsia="MS Mincho"/>
              </w:rPr>
              <w:t>(</w:t>
            </w:r>
            <w:r w:rsidR="009B45B1" w:rsidRPr="009B45B1">
              <w:rPr>
                <w:rFonts w:eastAsia="MS Mincho"/>
              </w:rPr>
              <w:t>for &lt;24 c</w:t>
            </w:r>
            <w:r w:rsidR="00746468">
              <w:rPr>
                <w:rFonts w:eastAsia="MS Mincho"/>
              </w:rPr>
              <w:t>igarettes/</w:t>
            </w:r>
            <w:r w:rsidR="009B45B1" w:rsidRPr="009B45B1">
              <w:rPr>
                <w:rFonts w:eastAsia="MS Mincho"/>
              </w:rPr>
              <w:t>d</w:t>
            </w:r>
            <w:r w:rsidR="00746468">
              <w:rPr>
                <w:rFonts w:eastAsia="MS Mincho"/>
              </w:rPr>
              <w:t>ay</w:t>
            </w:r>
            <w:r w:rsidR="009B45B1" w:rsidRPr="009B45B1">
              <w:rPr>
                <w:rFonts w:eastAsia="MS Mincho"/>
              </w:rPr>
              <w:t>) for 6 w</w:t>
            </w:r>
            <w:r w:rsidR="009B45B1">
              <w:rPr>
                <w:rFonts w:eastAsia="MS Mincho"/>
              </w:rPr>
              <w:t>ee</w:t>
            </w:r>
            <w:r w:rsidR="009B45B1" w:rsidRPr="009B45B1">
              <w:rPr>
                <w:rFonts w:eastAsia="MS Mincho"/>
              </w:rPr>
              <w:t>ks + placebo patch</w:t>
            </w:r>
            <w:r w:rsidR="002A7957">
              <w:rPr>
                <w:rFonts w:eastAsia="MS Mincho"/>
              </w:rPr>
              <w:t>;</w:t>
            </w:r>
            <w:r w:rsidR="008C1099">
              <w:rPr>
                <w:rFonts w:eastAsia="MS Mincho"/>
              </w:rPr>
              <w:t xml:space="preserve"> </w:t>
            </w:r>
            <w:r w:rsidR="0055007B">
              <w:rPr>
                <w:rFonts w:eastAsia="MS Mincho"/>
              </w:rPr>
              <w:t>NRT patch</w:t>
            </w:r>
            <w:r w:rsidRPr="00C5551B">
              <w:rPr>
                <w:rFonts w:eastAsia="MS Mincho"/>
              </w:rPr>
              <w:t xml:space="preserve">: </w:t>
            </w:r>
            <w:r w:rsidR="001F7D24" w:rsidRPr="001F7D24">
              <w:rPr>
                <w:rFonts w:eastAsia="MS Mincho"/>
              </w:rPr>
              <w:t>21</w:t>
            </w:r>
            <w:r w:rsidR="009B2D79">
              <w:rPr>
                <w:rFonts w:eastAsia="MS Mincho"/>
              </w:rPr>
              <w:t xml:space="preserve"> </w:t>
            </w:r>
            <w:r w:rsidR="001F7D24" w:rsidRPr="001F7D24">
              <w:rPr>
                <w:rFonts w:eastAsia="MS Mincho"/>
              </w:rPr>
              <w:t>mg, or 14</w:t>
            </w:r>
            <w:r w:rsidR="009B2D79">
              <w:rPr>
                <w:rFonts w:eastAsia="MS Mincho"/>
              </w:rPr>
              <w:t xml:space="preserve"> </w:t>
            </w:r>
            <w:r w:rsidR="001F7D24" w:rsidRPr="001F7D24">
              <w:rPr>
                <w:rFonts w:eastAsia="MS Mincho"/>
              </w:rPr>
              <w:t xml:space="preserve">mg </w:t>
            </w:r>
            <w:r w:rsidR="001F7D24">
              <w:rPr>
                <w:rFonts w:eastAsia="MS Mincho"/>
              </w:rPr>
              <w:t>(</w:t>
            </w:r>
            <w:r w:rsidR="001F7D24" w:rsidRPr="001F7D24">
              <w:rPr>
                <w:rFonts w:eastAsia="MS Mincho"/>
              </w:rPr>
              <w:t>for &lt;20 c</w:t>
            </w:r>
            <w:r w:rsidR="00B815D1">
              <w:rPr>
                <w:rFonts w:eastAsia="MS Mincho"/>
              </w:rPr>
              <w:t>igarettes/</w:t>
            </w:r>
            <w:r w:rsidR="001F7D24" w:rsidRPr="001F7D24">
              <w:rPr>
                <w:rFonts w:eastAsia="MS Mincho"/>
              </w:rPr>
              <w:t>d</w:t>
            </w:r>
            <w:r w:rsidR="00B815D1">
              <w:rPr>
                <w:rFonts w:eastAsia="MS Mincho"/>
              </w:rPr>
              <w:t>ay</w:t>
            </w:r>
            <w:r w:rsidR="001F7D24" w:rsidRPr="001F7D24">
              <w:rPr>
                <w:rFonts w:eastAsia="MS Mincho"/>
              </w:rPr>
              <w:t>) for 6 w</w:t>
            </w:r>
            <w:r w:rsidR="001F7D24">
              <w:rPr>
                <w:rFonts w:eastAsia="MS Mincho"/>
              </w:rPr>
              <w:t>ee</w:t>
            </w:r>
            <w:r w:rsidR="001F7D24" w:rsidRPr="001F7D24">
              <w:rPr>
                <w:rFonts w:eastAsia="MS Mincho"/>
              </w:rPr>
              <w:t>ks +</w:t>
            </w:r>
            <w:r w:rsidR="00B815D1">
              <w:rPr>
                <w:rFonts w:eastAsia="MS Mincho"/>
              </w:rPr>
              <w:t xml:space="preserve"> </w:t>
            </w:r>
            <w:r w:rsidR="001F7D24" w:rsidRPr="001F7D24">
              <w:rPr>
                <w:rFonts w:eastAsia="MS Mincho"/>
              </w:rPr>
              <w:t>placebo gum</w:t>
            </w:r>
            <w:r w:rsidR="00AB5FA3">
              <w:rPr>
                <w:rFonts w:eastAsia="MS Mincho"/>
              </w:rPr>
              <w:t>.</w:t>
            </w:r>
          </w:p>
          <w:p w:rsidR="006A3769" w:rsidRDefault="006A3769" w:rsidP="00F207DC">
            <w:pPr>
              <w:pStyle w:val="Tablewriting"/>
              <w:rPr>
                <w:rFonts w:eastAsia="MS Mincho"/>
              </w:rPr>
            </w:pPr>
          </w:p>
          <w:p w:rsidR="006A3769" w:rsidRPr="00C5551B" w:rsidRDefault="006A3769" w:rsidP="00F207DC">
            <w:pPr>
              <w:pStyle w:val="Tablewriting"/>
              <w:rPr>
                <w:rFonts w:eastAsia="MS Mincho"/>
              </w:rPr>
            </w:pPr>
            <w:r w:rsidRPr="006A3769">
              <w:rPr>
                <w:rFonts w:eastAsia="MS Mincho"/>
              </w:rPr>
              <w:t>Behavioural support provided in both arms.</w:t>
            </w:r>
          </w:p>
        </w:tc>
        <w:tc>
          <w:tcPr>
            <w:tcW w:w="1096" w:type="pct"/>
            <w:shd w:val="clear" w:color="auto" w:fill="D9D9D9" w:themeFill="background1" w:themeFillShade="D9"/>
            <w:tcMar>
              <w:left w:w="28" w:type="dxa"/>
              <w:right w:w="28" w:type="dxa"/>
            </w:tcMar>
          </w:tcPr>
          <w:p w:rsidR="00FF1436" w:rsidRDefault="00FF1436" w:rsidP="00F207DC">
            <w:pPr>
              <w:pStyle w:val="Tablewriting"/>
              <w:rPr>
                <w:rFonts w:eastAsia="MS Mincho"/>
              </w:rPr>
            </w:pPr>
            <w:r w:rsidRPr="008C39E4">
              <w:rPr>
                <w:rFonts w:eastAsia="MS Mincho"/>
                <w:u w:val="single"/>
              </w:rPr>
              <w:t>Primary</w:t>
            </w:r>
            <w:r>
              <w:rPr>
                <w:rFonts w:eastAsia="MS Mincho"/>
              </w:rPr>
              <w:t xml:space="preserve">: </w:t>
            </w:r>
            <w:r w:rsidR="009F0D06">
              <w:rPr>
                <w:rFonts w:eastAsia="MS Mincho"/>
              </w:rPr>
              <w:t>Adverse events measured during treatment visits</w:t>
            </w:r>
            <w:r w:rsidR="00AB5FA3">
              <w:rPr>
                <w:rFonts w:eastAsia="MS Mincho"/>
              </w:rPr>
              <w:t>.</w:t>
            </w:r>
          </w:p>
          <w:p w:rsidR="00FF1436" w:rsidRPr="008016A3" w:rsidRDefault="00FF1436" w:rsidP="00F207DC">
            <w:pPr>
              <w:pStyle w:val="Tablewriting"/>
              <w:rPr>
                <w:rFonts w:eastAsia="MS Mincho"/>
              </w:rPr>
            </w:pPr>
            <w:r w:rsidRPr="008C39E4">
              <w:rPr>
                <w:rFonts w:eastAsia="MS Mincho"/>
                <w:u w:val="single"/>
              </w:rPr>
              <w:t>Secondary</w:t>
            </w:r>
            <w:r>
              <w:rPr>
                <w:rFonts w:eastAsia="MS Mincho"/>
              </w:rPr>
              <w:t xml:space="preserve">: </w:t>
            </w:r>
            <w:r w:rsidRPr="005B56AA">
              <w:rPr>
                <w:rFonts w:eastAsia="MS Mincho"/>
              </w:rPr>
              <w:t xml:space="preserve">CO-validated </w:t>
            </w:r>
            <w:r w:rsidR="00761761">
              <w:rPr>
                <w:rFonts w:eastAsia="MS Mincho"/>
              </w:rPr>
              <w:t>prolonged abstinence at 3 months</w:t>
            </w:r>
            <w:r w:rsidRPr="005B56AA">
              <w:rPr>
                <w:rFonts w:eastAsia="MS Mincho"/>
              </w:rPr>
              <w:t xml:space="preserve">; 7-day PPA at </w:t>
            </w:r>
            <w:r w:rsidR="00605BCD">
              <w:rPr>
                <w:rFonts w:eastAsia="MS Mincho"/>
              </w:rPr>
              <w:t xml:space="preserve">Week 1, </w:t>
            </w:r>
            <w:r>
              <w:rPr>
                <w:rFonts w:eastAsia="MS Mincho"/>
              </w:rPr>
              <w:t>Week</w:t>
            </w:r>
            <w:r w:rsidRPr="005B56AA">
              <w:rPr>
                <w:rFonts w:eastAsia="MS Mincho"/>
              </w:rPr>
              <w:t xml:space="preserve"> </w:t>
            </w:r>
            <w:r w:rsidR="001C2260">
              <w:rPr>
                <w:rFonts w:eastAsia="MS Mincho"/>
              </w:rPr>
              <w:t>12</w:t>
            </w:r>
            <w:r w:rsidRPr="005B56AA">
              <w:rPr>
                <w:rFonts w:eastAsia="MS Mincho"/>
              </w:rPr>
              <w:t xml:space="preserve"> and </w:t>
            </w:r>
            <w:r w:rsidR="001B60D5">
              <w:rPr>
                <w:rFonts w:eastAsia="MS Mincho"/>
              </w:rPr>
              <w:t>26</w:t>
            </w:r>
            <w:r w:rsidR="006B760C">
              <w:rPr>
                <w:rFonts w:eastAsia="MS Mincho"/>
              </w:rPr>
              <w:t xml:space="preserve">. </w:t>
            </w:r>
            <w:r w:rsidR="007D12BF">
              <w:rPr>
                <w:rFonts w:eastAsia="MS Mincho"/>
              </w:rPr>
              <w:t xml:space="preserve">Validated by CO </w:t>
            </w:r>
            <w:r w:rsidR="007D12BF">
              <w:rPr>
                <w:rFonts w:eastAsia="MS Mincho" w:cstheme="minorHAnsi"/>
              </w:rPr>
              <w:t>≤</w:t>
            </w:r>
            <w:r w:rsidR="00F85B83">
              <w:rPr>
                <w:rFonts w:eastAsia="MS Mincho"/>
              </w:rPr>
              <w:t>6</w:t>
            </w:r>
            <w:r w:rsidR="009B2D79">
              <w:rPr>
                <w:rFonts w:eastAsia="MS Mincho"/>
              </w:rPr>
              <w:t xml:space="preserve"> </w:t>
            </w:r>
            <w:r w:rsidR="007D12BF">
              <w:rPr>
                <w:rFonts w:eastAsia="MS Mincho"/>
              </w:rPr>
              <w:t>ppm.</w:t>
            </w:r>
          </w:p>
        </w:tc>
      </w:tr>
      <w:tr w:rsidR="00260CD7" w:rsidRPr="00061F78" w:rsidTr="00015CD6">
        <w:trPr>
          <w:trHeight w:val="99"/>
        </w:trPr>
        <w:tc>
          <w:tcPr>
            <w:tcW w:w="320" w:type="pct"/>
            <w:shd w:val="clear" w:color="auto" w:fill="D9D9D9" w:themeFill="background1" w:themeFillShade="D9"/>
            <w:tcMar>
              <w:left w:w="28" w:type="dxa"/>
              <w:right w:w="28" w:type="dxa"/>
            </w:tcMar>
          </w:tcPr>
          <w:p w:rsidR="00FF1436" w:rsidRDefault="0A6C8F35" w:rsidP="00F207DC">
            <w:pPr>
              <w:pStyle w:val="Tablewriting"/>
              <w:rPr>
                <w:rFonts w:eastAsia="MS Mincho"/>
              </w:rPr>
            </w:pPr>
            <w:r>
              <w:rPr>
                <w:rFonts w:eastAsia="MS Mincho"/>
              </w:rPr>
              <w:t>Piper (2009)</w:t>
            </w:r>
          </w:p>
        </w:tc>
        <w:tc>
          <w:tcPr>
            <w:tcW w:w="399" w:type="pct"/>
            <w:shd w:val="clear" w:color="auto" w:fill="D9D9D9" w:themeFill="background1" w:themeFillShade="D9"/>
          </w:tcPr>
          <w:p w:rsidR="00FF1436" w:rsidRDefault="00FF1436" w:rsidP="00F207DC">
            <w:pPr>
              <w:pStyle w:val="Tablewriting"/>
              <w:rPr>
                <w:rFonts w:eastAsia="MS Mincho"/>
              </w:rPr>
            </w:pPr>
            <w:r>
              <w:rPr>
                <w:rFonts w:eastAsia="MS Mincho"/>
              </w:rPr>
              <w:t>RCT</w:t>
            </w:r>
          </w:p>
        </w:tc>
        <w:tc>
          <w:tcPr>
            <w:tcW w:w="345" w:type="pct"/>
            <w:shd w:val="clear" w:color="auto" w:fill="D9D9D9" w:themeFill="background1" w:themeFillShade="D9"/>
            <w:tcMar>
              <w:left w:w="28" w:type="dxa"/>
              <w:right w:w="28" w:type="dxa"/>
            </w:tcMar>
          </w:tcPr>
          <w:p w:rsidR="00FF1436" w:rsidRDefault="00FF1436" w:rsidP="00F207DC">
            <w:pPr>
              <w:pStyle w:val="Tablewriting"/>
              <w:rPr>
                <w:rFonts w:eastAsia="MS Mincho"/>
              </w:rPr>
            </w:pPr>
            <w:r>
              <w:rPr>
                <w:rFonts w:eastAsia="MS Mincho"/>
              </w:rPr>
              <w:t>N=</w:t>
            </w:r>
            <w:r w:rsidR="00E83992">
              <w:rPr>
                <w:rFonts w:eastAsia="MS Mincho"/>
              </w:rPr>
              <w:t>1,504</w:t>
            </w:r>
          </w:p>
          <w:p w:rsidR="00FF1436" w:rsidRDefault="00FF1436" w:rsidP="00F207DC">
            <w:pPr>
              <w:pStyle w:val="Tablewriting"/>
              <w:rPr>
                <w:rFonts w:eastAsia="MS Mincho"/>
              </w:rPr>
            </w:pPr>
            <w:r>
              <w:rPr>
                <w:rFonts w:eastAsia="MS Mincho"/>
              </w:rPr>
              <w:t xml:space="preserve">NRT </w:t>
            </w:r>
            <w:r w:rsidR="009B0BCB">
              <w:rPr>
                <w:rFonts w:eastAsia="MS Mincho"/>
              </w:rPr>
              <w:t xml:space="preserve">lozenge </w:t>
            </w:r>
            <w:r>
              <w:rPr>
                <w:rFonts w:eastAsia="MS Mincho"/>
              </w:rPr>
              <w:t>(n=</w:t>
            </w:r>
            <w:r w:rsidR="009B0BCB">
              <w:rPr>
                <w:rFonts w:eastAsia="MS Mincho"/>
              </w:rPr>
              <w:t>260</w:t>
            </w:r>
            <w:r>
              <w:rPr>
                <w:rFonts w:eastAsia="MS Mincho"/>
              </w:rPr>
              <w:t>),</w:t>
            </w:r>
          </w:p>
          <w:p w:rsidR="00FF1436" w:rsidRDefault="009B0BCB" w:rsidP="00F207DC">
            <w:pPr>
              <w:pStyle w:val="Tablewriting"/>
              <w:rPr>
                <w:rFonts w:eastAsia="MS Mincho"/>
              </w:rPr>
            </w:pPr>
            <w:r>
              <w:rPr>
                <w:rFonts w:eastAsia="MS Mincho"/>
              </w:rPr>
              <w:t>NRT patch</w:t>
            </w:r>
            <w:r w:rsidR="00FF1436">
              <w:rPr>
                <w:rFonts w:eastAsia="MS Mincho"/>
              </w:rPr>
              <w:t xml:space="preserve"> (n=</w:t>
            </w:r>
            <w:r>
              <w:rPr>
                <w:rFonts w:eastAsia="MS Mincho"/>
              </w:rPr>
              <w:t>262</w:t>
            </w:r>
            <w:r w:rsidR="00FF1436">
              <w:rPr>
                <w:rFonts w:eastAsia="MS Mincho"/>
              </w:rPr>
              <w:t>)</w:t>
            </w:r>
          </w:p>
        </w:tc>
        <w:tc>
          <w:tcPr>
            <w:tcW w:w="1870" w:type="pct"/>
            <w:shd w:val="clear" w:color="auto" w:fill="D9D9D9" w:themeFill="background1" w:themeFillShade="D9"/>
            <w:tcMar>
              <w:left w:w="28" w:type="dxa"/>
              <w:right w:w="28" w:type="dxa"/>
            </w:tcMar>
          </w:tcPr>
          <w:p w:rsidR="00FF1436" w:rsidRPr="00392F95" w:rsidRDefault="00392F95" w:rsidP="00F207DC">
            <w:pPr>
              <w:pStyle w:val="Tablewriting"/>
              <w:rPr>
                <w:rFonts w:eastAsia="MS Mincho"/>
              </w:rPr>
            </w:pPr>
            <w:r>
              <w:rPr>
                <w:rFonts w:eastAsia="MS Mincho"/>
              </w:rPr>
              <w:t xml:space="preserve">See </w:t>
            </w:r>
            <w:r w:rsidR="003C4A1C">
              <w:t xml:space="preserve">Table </w:t>
            </w:r>
            <w:r w:rsidR="003C4A1C">
              <w:rPr>
                <w:noProof/>
              </w:rPr>
              <w:t>10</w:t>
            </w:r>
            <w:r>
              <w:rPr>
                <w:rFonts w:eastAsia="MS Mincho"/>
              </w:rPr>
              <w:t xml:space="preserve"> for inclusion and exclusion criteria of this study</w:t>
            </w:r>
            <w:r w:rsidR="00AB5FA3">
              <w:rPr>
                <w:rFonts w:eastAsia="MS Mincho"/>
              </w:rPr>
              <w:t>.</w:t>
            </w:r>
          </w:p>
        </w:tc>
        <w:tc>
          <w:tcPr>
            <w:tcW w:w="970" w:type="pct"/>
            <w:shd w:val="clear" w:color="auto" w:fill="D9D9D9" w:themeFill="background1" w:themeFillShade="D9"/>
          </w:tcPr>
          <w:p w:rsidR="00FF1436" w:rsidRDefault="00FF1436" w:rsidP="00F207DC">
            <w:pPr>
              <w:pStyle w:val="Tablewriting"/>
              <w:rPr>
                <w:rFonts w:eastAsia="MS Mincho"/>
              </w:rPr>
            </w:pPr>
            <w:r w:rsidRPr="00C5551B">
              <w:rPr>
                <w:rFonts w:eastAsia="MS Mincho"/>
              </w:rPr>
              <w:t>NRT</w:t>
            </w:r>
            <w:r w:rsidR="007E12F0">
              <w:rPr>
                <w:rFonts w:eastAsia="MS Mincho"/>
              </w:rPr>
              <w:t xml:space="preserve"> lozenge</w:t>
            </w:r>
            <w:r w:rsidRPr="00C5551B">
              <w:rPr>
                <w:rFonts w:eastAsia="MS Mincho"/>
              </w:rPr>
              <w:t xml:space="preserve">: </w:t>
            </w:r>
            <w:r w:rsidR="003B43BA" w:rsidRPr="003B43BA">
              <w:rPr>
                <w:rFonts w:eastAsia="MS Mincho"/>
              </w:rPr>
              <w:t>2</w:t>
            </w:r>
            <w:r w:rsidR="009B2D79">
              <w:rPr>
                <w:rFonts w:eastAsia="MS Mincho"/>
              </w:rPr>
              <w:t xml:space="preserve"> </w:t>
            </w:r>
            <w:r w:rsidR="002F5A52">
              <w:rPr>
                <w:rFonts w:eastAsia="MS Mincho"/>
              </w:rPr>
              <w:t>mg</w:t>
            </w:r>
            <w:r w:rsidR="003B43BA" w:rsidRPr="003B43BA">
              <w:rPr>
                <w:rFonts w:eastAsia="MS Mincho"/>
              </w:rPr>
              <w:t xml:space="preserve"> or 4</w:t>
            </w:r>
            <w:r w:rsidR="009B2D79">
              <w:rPr>
                <w:rFonts w:eastAsia="MS Mincho"/>
              </w:rPr>
              <w:t xml:space="preserve"> </w:t>
            </w:r>
            <w:r w:rsidR="003B43BA" w:rsidRPr="003B43BA">
              <w:rPr>
                <w:rFonts w:eastAsia="MS Mincho"/>
              </w:rPr>
              <w:t>mg for 12 w</w:t>
            </w:r>
            <w:r w:rsidR="002F5A52">
              <w:rPr>
                <w:rFonts w:eastAsia="MS Mincho"/>
              </w:rPr>
              <w:t>ee</w:t>
            </w:r>
            <w:r w:rsidR="003B43BA" w:rsidRPr="003B43BA">
              <w:rPr>
                <w:rFonts w:eastAsia="MS Mincho"/>
              </w:rPr>
              <w:t>ks (based on dose-for-dependence level as per instructions)</w:t>
            </w:r>
            <w:r w:rsidR="008C1099">
              <w:rPr>
                <w:rFonts w:eastAsia="MS Mincho"/>
              </w:rPr>
              <w:t xml:space="preserve">; </w:t>
            </w:r>
            <w:r w:rsidR="007E12F0">
              <w:rPr>
                <w:rFonts w:eastAsia="MS Mincho"/>
              </w:rPr>
              <w:t>NRT patch</w:t>
            </w:r>
            <w:r w:rsidRPr="00C5551B">
              <w:rPr>
                <w:rFonts w:eastAsia="MS Mincho"/>
              </w:rPr>
              <w:t xml:space="preserve">: </w:t>
            </w:r>
            <w:r w:rsidR="0087237A">
              <w:rPr>
                <w:rFonts w:eastAsia="MS Mincho"/>
              </w:rPr>
              <w:t xml:space="preserve">24-hour patch; </w:t>
            </w:r>
            <w:r w:rsidR="00D349D5" w:rsidRPr="00D349D5">
              <w:rPr>
                <w:rFonts w:eastAsia="MS Mincho"/>
              </w:rPr>
              <w:t>21</w:t>
            </w:r>
            <w:r w:rsidR="009B2D79">
              <w:rPr>
                <w:rFonts w:eastAsia="MS Mincho"/>
              </w:rPr>
              <w:t xml:space="preserve"> </w:t>
            </w:r>
            <w:r w:rsidR="0087237A">
              <w:rPr>
                <w:rFonts w:eastAsia="MS Mincho"/>
              </w:rPr>
              <w:t>mg</w:t>
            </w:r>
            <w:r w:rsidR="00D349D5" w:rsidRPr="00D349D5">
              <w:rPr>
                <w:rFonts w:eastAsia="MS Mincho"/>
              </w:rPr>
              <w:t>, 14</w:t>
            </w:r>
            <w:r w:rsidR="009B2D79">
              <w:rPr>
                <w:rFonts w:eastAsia="MS Mincho"/>
              </w:rPr>
              <w:t xml:space="preserve"> </w:t>
            </w:r>
            <w:r w:rsidR="0087237A">
              <w:rPr>
                <w:rFonts w:eastAsia="MS Mincho"/>
              </w:rPr>
              <w:t>mg</w:t>
            </w:r>
            <w:r w:rsidR="00D349D5" w:rsidRPr="00D349D5">
              <w:rPr>
                <w:rFonts w:eastAsia="MS Mincho"/>
              </w:rPr>
              <w:t>, and 7</w:t>
            </w:r>
            <w:r w:rsidR="009B2D79">
              <w:rPr>
                <w:rFonts w:eastAsia="MS Mincho"/>
              </w:rPr>
              <w:t xml:space="preserve"> </w:t>
            </w:r>
            <w:r w:rsidR="00D349D5" w:rsidRPr="00D349D5">
              <w:rPr>
                <w:rFonts w:eastAsia="MS Mincho"/>
              </w:rPr>
              <w:t>mg titrated down over 8-w</w:t>
            </w:r>
            <w:r w:rsidR="006A2DD4">
              <w:rPr>
                <w:rFonts w:eastAsia="MS Mincho"/>
              </w:rPr>
              <w:t>ee</w:t>
            </w:r>
            <w:r w:rsidR="00D349D5" w:rsidRPr="00D349D5">
              <w:rPr>
                <w:rFonts w:eastAsia="MS Mincho"/>
              </w:rPr>
              <w:t>k period post-quit</w:t>
            </w:r>
            <w:r w:rsidR="00AB5FA3">
              <w:rPr>
                <w:rFonts w:eastAsia="MS Mincho"/>
              </w:rPr>
              <w:t>.</w:t>
            </w:r>
          </w:p>
          <w:p w:rsidR="00533F00" w:rsidRDefault="00533F00" w:rsidP="00F207DC">
            <w:pPr>
              <w:pStyle w:val="Tablewriting"/>
              <w:rPr>
                <w:rFonts w:eastAsia="MS Mincho"/>
              </w:rPr>
            </w:pPr>
          </w:p>
          <w:p w:rsidR="00533F00" w:rsidRPr="00C5551B" w:rsidRDefault="00533F00" w:rsidP="00F207DC">
            <w:pPr>
              <w:pStyle w:val="Tablewriting"/>
              <w:rPr>
                <w:rFonts w:eastAsia="MS Mincho"/>
              </w:rPr>
            </w:pPr>
            <w:r w:rsidRPr="00533F00">
              <w:rPr>
                <w:rFonts w:eastAsia="MS Mincho"/>
              </w:rPr>
              <w:t>Behavioural support provided in both arms.</w:t>
            </w:r>
          </w:p>
        </w:tc>
        <w:tc>
          <w:tcPr>
            <w:tcW w:w="1096" w:type="pct"/>
            <w:shd w:val="clear" w:color="auto" w:fill="D9D9D9" w:themeFill="background1" w:themeFillShade="D9"/>
            <w:tcMar>
              <w:left w:w="28" w:type="dxa"/>
              <w:right w:w="28" w:type="dxa"/>
            </w:tcMar>
          </w:tcPr>
          <w:p w:rsidR="00DE1164" w:rsidRDefault="00DE1164" w:rsidP="00F207DC">
            <w:pPr>
              <w:pStyle w:val="Tablewriting"/>
              <w:rPr>
                <w:rFonts w:eastAsia="MS Mincho"/>
              </w:rPr>
            </w:pPr>
            <w:r w:rsidRPr="0036499C">
              <w:rPr>
                <w:rFonts w:eastAsia="MS Mincho"/>
                <w:u w:val="single"/>
              </w:rPr>
              <w:t>Primary</w:t>
            </w:r>
            <w:r>
              <w:rPr>
                <w:rFonts w:eastAsia="MS Mincho"/>
              </w:rPr>
              <w:t>: 7</w:t>
            </w:r>
            <w:r w:rsidR="00CB2537">
              <w:rPr>
                <w:rFonts w:eastAsia="MS Mincho"/>
              </w:rPr>
              <w:t>-</w:t>
            </w:r>
            <w:r>
              <w:rPr>
                <w:rFonts w:eastAsia="MS Mincho"/>
              </w:rPr>
              <w:t xml:space="preserve">day </w:t>
            </w:r>
            <w:r w:rsidR="00CB2537">
              <w:rPr>
                <w:rFonts w:eastAsia="MS Mincho"/>
              </w:rPr>
              <w:t xml:space="preserve">PPA </w:t>
            </w:r>
            <w:r>
              <w:rPr>
                <w:rFonts w:eastAsia="MS Mincho"/>
              </w:rPr>
              <w:t>at 6 months. Validated by CO</w:t>
            </w:r>
            <w:r w:rsidR="00A4752C">
              <w:rPr>
                <w:rFonts w:eastAsia="MS Mincho"/>
              </w:rPr>
              <w:t xml:space="preserve"> </w:t>
            </w:r>
            <w:r>
              <w:rPr>
                <w:rFonts w:eastAsia="MS Mincho"/>
              </w:rPr>
              <w:t>&lt;10</w:t>
            </w:r>
            <w:r w:rsidR="009B2D79">
              <w:rPr>
                <w:rFonts w:eastAsia="MS Mincho"/>
              </w:rPr>
              <w:t xml:space="preserve"> </w:t>
            </w:r>
            <w:r>
              <w:rPr>
                <w:rFonts w:eastAsia="MS Mincho"/>
              </w:rPr>
              <w:t>ppm.</w:t>
            </w:r>
          </w:p>
          <w:p w:rsidR="00FF1436" w:rsidRPr="008C39E4" w:rsidRDefault="00DE1164" w:rsidP="00F207DC">
            <w:pPr>
              <w:pStyle w:val="Tablewriting"/>
              <w:rPr>
                <w:rFonts w:eastAsia="MS Mincho"/>
                <w:u w:val="single"/>
              </w:rPr>
            </w:pPr>
            <w:r w:rsidRPr="0036499C">
              <w:rPr>
                <w:rFonts w:eastAsia="MS Mincho"/>
                <w:u w:val="single"/>
              </w:rPr>
              <w:t>Secondary</w:t>
            </w:r>
            <w:r>
              <w:rPr>
                <w:rFonts w:eastAsia="MS Mincho"/>
              </w:rPr>
              <w:t>: adverse events measured for 10 weeks</w:t>
            </w:r>
            <w:r w:rsidR="00AB5FA3">
              <w:rPr>
                <w:rFonts w:eastAsia="MS Mincho"/>
              </w:rPr>
              <w:t>.</w:t>
            </w:r>
          </w:p>
        </w:tc>
      </w:tr>
      <w:tr w:rsidR="00260CD7" w:rsidRPr="00061F78" w:rsidTr="00015CD6">
        <w:trPr>
          <w:trHeight w:val="99"/>
        </w:trPr>
        <w:tc>
          <w:tcPr>
            <w:tcW w:w="320" w:type="pct"/>
            <w:shd w:val="clear" w:color="auto" w:fill="D9D9D9" w:themeFill="background1" w:themeFillShade="D9"/>
            <w:tcMar>
              <w:left w:w="28" w:type="dxa"/>
              <w:right w:w="28" w:type="dxa"/>
            </w:tcMar>
          </w:tcPr>
          <w:p w:rsidR="002C50B9" w:rsidRDefault="66686F8A" w:rsidP="00F207DC">
            <w:pPr>
              <w:pStyle w:val="Tablewriting"/>
              <w:rPr>
                <w:rFonts w:eastAsia="MS Mincho"/>
              </w:rPr>
            </w:pPr>
            <w:r w:rsidRPr="0890AA69">
              <w:rPr>
                <w:rFonts w:eastAsia="MS Mincho"/>
              </w:rPr>
              <w:t>Smith (2009)</w:t>
            </w:r>
          </w:p>
        </w:tc>
        <w:tc>
          <w:tcPr>
            <w:tcW w:w="399" w:type="pct"/>
            <w:shd w:val="clear" w:color="auto" w:fill="D9D9D9" w:themeFill="background1" w:themeFillShade="D9"/>
          </w:tcPr>
          <w:p w:rsidR="002C50B9" w:rsidRDefault="002C50B9" w:rsidP="00F207DC">
            <w:pPr>
              <w:pStyle w:val="Tablewriting"/>
              <w:rPr>
                <w:rFonts w:eastAsia="MS Mincho"/>
              </w:rPr>
            </w:pPr>
            <w:r>
              <w:rPr>
                <w:rFonts w:eastAsia="MS Mincho"/>
              </w:rPr>
              <w:t>RCT</w:t>
            </w:r>
          </w:p>
        </w:tc>
        <w:tc>
          <w:tcPr>
            <w:tcW w:w="345" w:type="pct"/>
            <w:shd w:val="clear" w:color="auto" w:fill="D9D9D9" w:themeFill="background1" w:themeFillShade="D9"/>
            <w:tcMar>
              <w:left w:w="28" w:type="dxa"/>
              <w:right w:w="28" w:type="dxa"/>
            </w:tcMar>
          </w:tcPr>
          <w:p w:rsidR="002C50B9" w:rsidRDefault="002C50B9" w:rsidP="00F207DC">
            <w:pPr>
              <w:pStyle w:val="Tablewriting"/>
              <w:rPr>
                <w:rFonts w:eastAsia="MS Mincho"/>
              </w:rPr>
            </w:pPr>
            <w:r>
              <w:rPr>
                <w:rFonts w:eastAsia="MS Mincho"/>
              </w:rPr>
              <w:t>N=1,346</w:t>
            </w:r>
          </w:p>
          <w:p w:rsidR="002C50B9" w:rsidRDefault="002C50B9" w:rsidP="00F207DC">
            <w:pPr>
              <w:pStyle w:val="Tablewriting"/>
              <w:rPr>
                <w:rFonts w:eastAsia="MS Mincho"/>
              </w:rPr>
            </w:pPr>
            <w:r>
              <w:rPr>
                <w:rFonts w:eastAsia="MS Mincho"/>
              </w:rPr>
              <w:t>NRT lozenge (n=26</w:t>
            </w:r>
            <w:r w:rsidR="00D45082">
              <w:rPr>
                <w:rFonts w:eastAsia="MS Mincho"/>
              </w:rPr>
              <w:t>1</w:t>
            </w:r>
            <w:r>
              <w:rPr>
                <w:rFonts w:eastAsia="MS Mincho"/>
              </w:rPr>
              <w:t>),</w:t>
            </w:r>
          </w:p>
          <w:p w:rsidR="002C50B9" w:rsidRDefault="002C50B9" w:rsidP="00F207DC">
            <w:pPr>
              <w:pStyle w:val="Tablewriting"/>
              <w:rPr>
                <w:rFonts w:eastAsia="MS Mincho"/>
              </w:rPr>
            </w:pPr>
            <w:r>
              <w:rPr>
                <w:rFonts w:eastAsia="MS Mincho"/>
              </w:rPr>
              <w:t>NRT patch (n=2</w:t>
            </w:r>
            <w:r w:rsidR="00D45082">
              <w:rPr>
                <w:rFonts w:eastAsia="MS Mincho"/>
              </w:rPr>
              <w:t>8</w:t>
            </w:r>
            <w:r>
              <w:rPr>
                <w:rFonts w:eastAsia="MS Mincho"/>
              </w:rPr>
              <w:t>2)</w:t>
            </w:r>
          </w:p>
        </w:tc>
        <w:tc>
          <w:tcPr>
            <w:tcW w:w="1870" w:type="pct"/>
            <w:shd w:val="clear" w:color="auto" w:fill="D9D9D9" w:themeFill="background1" w:themeFillShade="D9"/>
            <w:tcMar>
              <w:left w:w="28" w:type="dxa"/>
              <w:right w:w="28" w:type="dxa"/>
            </w:tcMar>
          </w:tcPr>
          <w:p w:rsidR="002C50B9" w:rsidRDefault="002C50B9" w:rsidP="00F207DC">
            <w:pPr>
              <w:pStyle w:val="Tablewriting"/>
              <w:rPr>
                <w:rFonts w:eastAsia="MS Mincho"/>
              </w:rPr>
            </w:pPr>
            <w:r w:rsidRPr="007F28D7">
              <w:rPr>
                <w:rFonts w:eastAsia="MS Mincho"/>
                <w:u w:val="single"/>
              </w:rPr>
              <w:t>Inclusion</w:t>
            </w:r>
            <w:r>
              <w:rPr>
                <w:rFonts w:eastAsia="MS Mincho"/>
              </w:rPr>
              <w:t xml:space="preserve">: </w:t>
            </w:r>
            <w:r w:rsidR="0074346D">
              <w:rPr>
                <w:rFonts w:eastAsia="MS Mincho" w:cstheme="minorHAnsi"/>
              </w:rPr>
              <w:t>≥</w:t>
            </w:r>
            <w:r w:rsidR="001E33DA" w:rsidRPr="001E33DA">
              <w:rPr>
                <w:rFonts w:eastAsia="MS Mincho"/>
              </w:rPr>
              <w:t xml:space="preserve">18 years </w:t>
            </w:r>
            <w:r w:rsidR="0074346D">
              <w:rPr>
                <w:rFonts w:eastAsia="MS Mincho"/>
              </w:rPr>
              <w:t>old,</w:t>
            </w:r>
            <w:r w:rsidR="001E33DA" w:rsidRPr="001E33DA">
              <w:rPr>
                <w:rFonts w:eastAsia="MS Mincho"/>
              </w:rPr>
              <w:t xml:space="preserve"> </w:t>
            </w:r>
            <w:r w:rsidR="0074346D">
              <w:rPr>
                <w:rFonts w:eastAsia="MS Mincho" w:cstheme="minorHAnsi"/>
              </w:rPr>
              <w:t>≥</w:t>
            </w:r>
            <w:r w:rsidR="001E33DA" w:rsidRPr="001E33DA">
              <w:rPr>
                <w:rFonts w:eastAsia="MS Mincho"/>
              </w:rPr>
              <w:t>10 cigarettes per day</w:t>
            </w:r>
            <w:r w:rsidR="001E33DA">
              <w:rPr>
                <w:rFonts w:eastAsia="MS Mincho"/>
              </w:rPr>
              <w:t xml:space="preserve"> </w:t>
            </w:r>
            <w:r w:rsidR="001E33DA" w:rsidRPr="001E33DA">
              <w:rPr>
                <w:rFonts w:eastAsia="MS Mincho"/>
              </w:rPr>
              <w:t>for the past 6 months; motivated</w:t>
            </w:r>
            <w:r w:rsidR="001E33DA">
              <w:rPr>
                <w:rFonts w:eastAsia="MS Mincho"/>
              </w:rPr>
              <w:t xml:space="preserve"> </w:t>
            </w:r>
            <w:r w:rsidR="001E33DA" w:rsidRPr="001E33DA">
              <w:rPr>
                <w:rFonts w:eastAsia="MS Mincho"/>
              </w:rPr>
              <w:t>to quit smoking</w:t>
            </w:r>
            <w:r w:rsidR="0074346D">
              <w:rPr>
                <w:rFonts w:eastAsia="MS Mincho"/>
              </w:rPr>
              <w:t>.</w:t>
            </w:r>
          </w:p>
          <w:p w:rsidR="002C50B9" w:rsidRPr="007F28D7" w:rsidRDefault="002C50B9" w:rsidP="00F207DC">
            <w:pPr>
              <w:pStyle w:val="Tablewriting"/>
              <w:rPr>
                <w:rFonts w:eastAsia="MS Mincho"/>
                <w:u w:val="single"/>
              </w:rPr>
            </w:pPr>
            <w:r w:rsidRPr="007F28D7">
              <w:rPr>
                <w:rFonts w:eastAsia="MS Mincho"/>
                <w:u w:val="single"/>
              </w:rPr>
              <w:t>Exclusion</w:t>
            </w:r>
            <w:r>
              <w:rPr>
                <w:rFonts w:eastAsia="MS Mincho"/>
              </w:rPr>
              <w:t xml:space="preserve">: </w:t>
            </w:r>
            <w:r w:rsidR="006F6985" w:rsidRPr="006F6985">
              <w:rPr>
                <w:rFonts w:eastAsia="MS Mincho"/>
              </w:rPr>
              <w:t>history of seizures or</w:t>
            </w:r>
            <w:r w:rsidR="006F6985">
              <w:rPr>
                <w:rFonts w:eastAsia="MS Mincho"/>
              </w:rPr>
              <w:t xml:space="preserve"> </w:t>
            </w:r>
            <w:r w:rsidR="006F6985" w:rsidRPr="006F6985">
              <w:rPr>
                <w:rFonts w:eastAsia="MS Mincho"/>
              </w:rPr>
              <w:t>convulsions, bipolar disorder, psychosis, bulimia, or anorexia nervosa</w:t>
            </w:r>
            <w:r w:rsidR="0074346D">
              <w:rPr>
                <w:rFonts w:eastAsia="MS Mincho"/>
              </w:rPr>
              <w:t>,</w:t>
            </w:r>
            <w:r w:rsidR="006F6985">
              <w:rPr>
                <w:rFonts w:eastAsia="MS Mincho"/>
              </w:rPr>
              <w:t xml:space="preserve"> </w:t>
            </w:r>
            <w:r w:rsidR="006F6985" w:rsidRPr="006F6985">
              <w:rPr>
                <w:rFonts w:eastAsia="MS Mincho"/>
              </w:rPr>
              <w:t>head injury requiring hospitali</w:t>
            </w:r>
            <w:r w:rsidR="0074346D">
              <w:rPr>
                <w:rFonts w:eastAsia="MS Mincho"/>
              </w:rPr>
              <w:t>s</w:t>
            </w:r>
            <w:r w:rsidR="006F6985" w:rsidRPr="006F6985">
              <w:rPr>
                <w:rFonts w:eastAsia="MS Mincho"/>
              </w:rPr>
              <w:t>ation</w:t>
            </w:r>
            <w:r w:rsidR="0074346D">
              <w:rPr>
                <w:rFonts w:eastAsia="MS Mincho"/>
              </w:rPr>
              <w:t>,</w:t>
            </w:r>
            <w:r w:rsidR="006F6985" w:rsidRPr="006F6985">
              <w:rPr>
                <w:rFonts w:eastAsia="MS Mincho"/>
              </w:rPr>
              <w:t xml:space="preserve"> myocardial</w:t>
            </w:r>
            <w:r w:rsidR="006F6985">
              <w:rPr>
                <w:rFonts w:eastAsia="MS Mincho"/>
              </w:rPr>
              <w:t xml:space="preserve"> </w:t>
            </w:r>
            <w:r w:rsidR="006F6985" w:rsidRPr="006F6985">
              <w:rPr>
                <w:rFonts w:eastAsia="MS Mincho"/>
              </w:rPr>
              <w:t>infarction in past month</w:t>
            </w:r>
            <w:r w:rsidR="0074346D">
              <w:rPr>
                <w:rFonts w:eastAsia="MS Mincho"/>
              </w:rPr>
              <w:t>,</w:t>
            </w:r>
            <w:r w:rsidR="006F6985" w:rsidRPr="006F6985">
              <w:rPr>
                <w:rFonts w:eastAsia="MS Mincho"/>
              </w:rPr>
              <w:t xml:space="preserve"> current use of bupropion or use of</w:t>
            </w:r>
            <w:r w:rsidR="006F6985">
              <w:rPr>
                <w:rFonts w:eastAsia="MS Mincho"/>
              </w:rPr>
              <w:t xml:space="preserve"> </w:t>
            </w:r>
            <w:r w:rsidR="006F6985" w:rsidRPr="006F6985">
              <w:rPr>
                <w:rFonts w:eastAsia="MS Mincho"/>
              </w:rPr>
              <w:t xml:space="preserve">a monoamine oxidase inhibitor in the previous 2 weeks; blood pressure </w:t>
            </w:r>
            <w:r w:rsidR="00114214">
              <w:rPr>
                <w:rFonts w:eastAsia="MS Mincho"/>
              </w:rPr>
              <w:t>&gt;</w:t>
            </w:r>
            <w:r w:rsidR="006F6985" w:rsidRPr="006F6985">
              <w:rPr>
                <w:rFonts w:eastAsia="MS Mincho"/>
              </w:rPr>
              <w:t>160/100 mmHg</w:t>
            </w:r>
            <w:r w:rsidR="00114214">
              <w:rPr>
                <w:rFonts w:eastAsia="MS Mincho"/>
              </w:rPr>
              <w:t>,</w:t>
            </w:r>
            <w:r w:rsidR="006F6985" w:rsidRPr="006F6985">
              <w:rPr>
                <w:rFonts w:eastAsia="MS Mincho"/>
              </w:rPr>
              <w:t xml:space="preserve"> allergy to</w:t>
            </w:r>
            <w:r w:rsidR="006F6985">
              <w:rPr>
                <w:rFonts w:eastAsia="MS Mincho"/>
              </w:rPr>
              <w:t xml:space="preserve"> </w:t>
            </w:r>
            <w:r w:rsidR="006F6985" w:rsidRPr="006F6985">
              <w:rPr>
                <w:rFonts w:eastAsia="MS Mincho"/>
              </w:rPr>
              <w:t>any of the study medications</w:t>
            </w:r>
            <w:r w:rsidR="00114214">
              <w:rPr>
                <w:rFonts w:eastAsia="MS Mincho"/>
              </w:rPr>
              <w:t>,</w:t>
            </w:r>
            <w:r w:rsidR="006F6985" w:rsidRPr="006F6985">
              <w:rPr>
                <w:rFonts w:eastAsia="MS Mincho"/>
              </w:rPr>
              <w:t xml:space="preserve"> serious thoughts of self-harm</w:t>
            </w:r>
            <w:r w:rsidR="006F6985">
              <w:rPr>
                <w:rFonts w:eastAsia="MS Mincho"/>
              </w:rPr>
              <w:t xml:space="preserve"> </w:t>
            </w:r>
            <w:r w:rsidR="006F6985" w:rsidRPr="006F6985">
              <w:rPr>
                <w:rFonts w:eastAsia="MS Mincho"/>
              </w:rPr>
              <w:t>in the previous 2 weeks</w:t>
            </w:r>
            <w:r w:rsidR="00114214">
              <w:rPr>
                <w:rFonts w:eastAsia="MS Mincho"/>
              </w:rPr>
              <w:t>,</w:t>
            </w:r>
            <w:r w:rsidR="006F6985" w:rsidRPr="006F6985">
              <w:rPr>
                <w:rFonts w:eastAsia="MS Mincho"/>
              </w:rPr>
              <w:t xml:space="preserve"> drug or alcohol dependence in the</w:t>
            </w:r>
            <w:r w:rsidR="006F6985">
              <w:rPr>
                <w:rFonts w:eastAsia="MS Mincho"/>
              </w:rPr>
              <w:t xml:space="preserve"> </w:t>
            </w:r>
            <w:r w:rsidR="006F6985" w:rsidRPr="006F6985">
              <w:rPr>
                <w:rFonts w:eastAsia="MS Mincho"/>
              </w:rPr>
              <w:t>past 6 months</w:t>
            </w:r>
            <w:r w:rsidR="00114214">
              <w:rPr>
                <w:rFonts w:eastAsia="MS Mincho"/>
              </w:rPr>
              <w:t>,</w:t>
            </w:r>
            <w:r w:rsidR="006F6985" w:rsidRPr="006F6985">
              <w:rPr>
                <w:rFonts w:eastAsia="MS Mincho"/>
              </w:rPr>
              <w:t xml:space="preserve"> currently pregnant or breastfeeding or</w:t>
            </w:r>
            <w:r w:rsidR="006F6985">
              <w:rPr>
                <w:rFonts w:eastAsia="MS Mincho"/>
              </w:rPr>
              <w:t xml:space="preserve"> </w:t>
            </w:r>
            <w:r w:rsidR="006F6985" w:rsidRPr="006F6985">
              <w:rPr>
                <w:rFonts w:eastAsia="MS Mincho"/>
              </w:rPr>
              <w:t>planning to become pregnant within the next 3 months</w:t>
            </w:r>
            <w:r w:rsidR="006F6985">
              <w:rPr>
                <w:rFonts w:eastAsia="MS Mincho"/>
              </w:rPr>
              <w:t>.</w:t>
            </w:r>
          </w:p>
        </w:tc>
        <w:tc>
          <w:tcPr>
            <w:tcW w:w="970" w:type="pct"/>
            <w:shd w:val="clear" w:color="auto" w:fill="D9D9D9" w:themeFill="background1" w:themeFillShade="D9"/>
          </w:tcPr>
          <w:p w:rsidR="001715E1" w:rsidRDefault="002C50B9" w:rsidP="00F207DC">
            <w:pPr>
              <w:pStyle w:val="Tablewriting"/>
              <w:rPr>
                <w:rFonts w:eastAsia="MS Mincho"/>
              </w:rPr>
            </w:pPr>
            <w:r w:rsidRPr="00C5551B">
              <w:rPr>
                <w:rFonts w:eastAsia="MS Mincho"/>
              </w:rPr>
              <w:t>NRT</w:t>
            </w:r>
            <w:r>
              <w:rPr>
                <w:rFonts w:eastAsia="MS Mincho"/>
              </w:rPr>
              <w:t xml:space="preserve"> lozenge</w:t>
            </w:r>
            <w:r w:rsidRPr="00C5551B">
              <w:rPr>
                <w:rFonts w:eastAsia="MS Mincho"/>
              </w:rPr>
              <w:t xml:space="preserve">: </w:t>
            </w:r>
            <w:r w:rsidR="00152763" w:rsidRPr="00152763">
              <w:rPr>
                <w:rFonts w:eastAsia="MS Mincho"/>
              </w:rPr>
              <w:t>4</w:t>
            </w:r>
            <w:r w:rsidR="009B2D79">
              <w:rPr>
                <w:rFonts w:eastAsia="MS Mincho"/>
              </w:rPr>
              <w:t xml:space="preserve"> </w:t>
            </w:r>
            <w:r w:rsidR="00152763" w:rsidRPr="00152763">
              <w:rPr>
                <w:rFonts w:eastAsia="MS Mincho"/>
              </w:rPr>
              <w:t>mg for participants who smoked first cig</w:t>
            </w:r>
            <w:r w:rsidR="00152763">
              <w:rPr>
                <w:rFonts w:eastAsia="MS Mincho"/>
              </w:rPr>
              <w:t>arette</w:t>
            </w:r>
            <w:r w:rsidR="00152763" w:rsidRPr="00152763">
              <w:rPr>
                <w:rFonts w:eastAsia="MS Mincho"/>
              </w:rPr>
              <w:t xml:space="preserve"> of day within 30 mins of waking; 2</w:t>
            </w:r>
            <w:r w:rsidR="009B2D79">
              <w:rPr>
                <w:rFonts w:eastAsia="MS Mincho"/>
              </w:rPr>
              <w:t xml:space="preserve"> </w:t>
            </w:r>
            <w:r w:rsidR="00152763" w:rsidRPr="00152763">
              <w:rPr>
                <w:rFonts w:eastAsia="MS Mincho"/>
              </w:rPr>
              <w:t>mg for all other</w:t>
            </w:r>
            <w:r w:rsidR="00152763">
              <w:rPr>
                <w:rFonts w:eastAsia="MS Mincho"/>
              </w:rPr>
              <w:t xml:space="preserve"> </w:t>
            </w:r>
            <w:r w:rsidR="00152763" w:rsidRPr="00152763">
              <w:rPr>
                <w:rFonts w:eastAsia="MS Mincho"/>
              </w:rPr>
              <w:t>participants. 9/day for first 6 w</w:t>
            </w:r>
            <w:r w:rsidR="00DE50A6">
              <w:rPr>
                <w:rFonts w:eastAsia="MS Mincho"/>
              </w:rPr>
              <w:t>ee</w:t>
            </w:r>
            <w:r w:rsidR="00152763" w:rsidRPr="00152763">
              <w:rPr>
                <w:rFonts w:eastAsia="MS Mincho"/>
              </w:rPr>
              <w:t xml:space="preserve">ks, 5/day for </w:t>
            </w:r>
            <w:r w:rsidR="00DE50A6">
              <w:rPr>
                <w:rFonts w:eastAsia="MS Mincho"/>
              </w:rPr>
              <w:t>Week</w:t>
            </w:r>
            <w:r w:rsidR="00152763" w:rsidRPr="00152763">
              <w:rPr>
                <w:rFonts w:eastAsia="MS Mincho"/>
              </w:rPr>
              <w:t xml:space="preserve"> 7-9, 3/day for </w:t>
            </w:r>
            <w:r w:rsidR="00DE50A6">
              <w:rPr>
                <w:rFonts w:eastAsia="MS Mincho"/>
              </w:rPr>
              <w:t>Week</w:t>
            </w:r>
            <w:r w:rsidR="00152763" w:rsidRPr="00152763">
              <w:rPr>
                <w:rFonts w:eastAsia="MS Mincho"/>
              </w:rPr>
              <w:t xml:space="preserve"> 10-12</w:t>
            </w:r>
            <w:r w:rsidR="008C1099">
              <w:rPr>
                <w:rFonts w:eastAsia="MS Mincho"/>
              </w:rPr>
              <w:t xml:space="preserve">; </w:t>
            </w:r>
            <w:r>
              <w:rPr>
                <w:rFonts w:eastAsia="MS Mincho"/>
              </w:rPr>
              <w:t>NRT patch</w:t>
            </w:r>
            <w:r w:rsidRPr="00C5551B">
              <w:rPr>
                <w:rFonts w:eastAsia="MS Mincho"/>
              </w:rPr>
              <w:t xml:space="preserve">: </w:t>
            </w:r>
            <w:r w:rsidR="00CD5E85" w:rsidRPr="00CD5E85">
              <w:rPr>
                <w:rFonts w:eastAsia="MS Mincho"/>
              </w:rPr>
              <w:t>21</w:t>
            </w:r>
            <w:r w:rsidR="009B2D79">
              <w:rPr>
                <w:rFonts w:eastAsia="MS Mincho"/>
              </w:rPr>
              <w:t xml:space="preserve"> </w:t>
            </w:r>
            <w:r w:rsidR="00CD5E85" w:rsidRPr="00CD5E85">
              <w:rPr>
                <w:rFonts w:eastAsia="MS Mincho"/>
              </w:rPr>
              <w:t>mg/day for first 6 w</w:t>
            </w:r>
            <w:r w:rsidR="00CD5E85">
              <w:rPr>
                <w:rFonts w:eastAsia="MS Mincho"/>
              </w:rPr>
              <w:t>ee</w:t>
            </w:r>
            <w:r w:rsidR="00CD5E85" w:rsidRPr="00CD5E85">
              <w:rPr>
                <w:rFonts w:eastAsia="MS Mincho"/>
              </w:rPr>
              <w:t>ks, 14</w:t>
            </w:r>
            <w:r w:rsidR="009B2D79">
              <w:rPr>
                <w:rFonts w:eastAsia="MS Mincho"/>
              </w:rPr>
              <w:t xml:space="preserve"> </w:t>
            </w:r>
            <w:r w:rsidR="00CD5E85" w:rsidRPr="00CD5E85">
              <w:rPr>
                <w:rFonts w:eastAsia="MS Mincho"/>
              </w:rPr>
              <w:t xml:space="preserve">mg/day for </w:t>
            </w:r>
            <w:r w:rsidR="00CD5E85">
              <w:rPr>
                <w:rFonts w:eastAsia="MS Mincho"/>
              </w:rPr>
              <w:t>Week</w:t>
            </w:r>
            <w:r w:rsidR="00CD5E85" w:rsidRPr="00CD5E85">
              <w:rPr>
                <w:rFonts w:eastAsia="MS Mincho"/>
              </w:rPr>
              <w:t xml:space="preserve"> 7+8, 7</w:t>
            </w:r>
            <w:r w:rsidR="009B2D79">
              <w:rPr>
                <w:rFonts w:eastAsia="MS Mincho"/>
              </w:rPr>
              <w:t xml:space="preserve"> </w:t>
            </w:r>
            <w:r w:rsidR="00CD5E85" w:rsidRPr="00CD5E85">
              <w:rPr>
                <w:rFonts w:eastAsia="MS Mincho"/>
              </w:rPr>
              <w:t xml:space="preserve">mg/day for </w:t>
            </w:r>
            <w:r w:rsidR="00CD5E85">
              <w:rPr>
                <w:rFonts w:eastAsia="MS Mincho"/>
              </w:rPr>
              <w:t>Week</w:t>
            </w:r>
            <w:r w:rsidR="00CD5E85" w:rsidRPr="00CD5E85">
              <w:rPr>
                <w:rFonts w:eastAsia="MS Mincho"/>
              </w:rPr>
              <w:t xml:space="preserve"> 9-12</w:t>
            </w:r>
            <w:r w:rsidR="00AB5FA3">
              <w:rPr>
                <w:rFonts w:eastAsia="MS Mincho"/>
              </w:rPr>
              <w:t>.</w:t>
            </w:r>
          </w:p>
          <w:p w:rsidR="001715E1" w:rsidRDefault="001715E1" w:rsidP="00F207DC">
            <w:pPr>
              <w:pStyle w:val="Tablewriting"/>
              <w:rPr>
                <w:rFonts w:eastAsia="MS Mincho"/>
              </w:rPr>
            </w:pPr>
          </w:p>
          <w:p w:rsidR="001715E1" w:rsidRPr="00C5551B" w:rsidRDefault="001715E1" w:rsidP="00F207DC">
            <w:pPr>
              <w:pStyle w:val="Tablewriting"/>
              <w:rPr>
                <w:rFonts w:eastAsia="MS Mincho"/>
              </w:rPr>
            </w:pPr>
            <w:r w:rsidRPr="001715E1">
              <w:rPr>
                <w:rFonts w:eastAsia="MS Mincho"/>
              </w:rPr>
              <w:lastRenderedPageBreak/>
              <w:t>Behavioural support provided in both arms.</w:t>
            </w:r>
          </w:p>
        </w:tc>
        <w:tc>
          <w:tcPr>
            <w:tcW w:w="1096" w:type="pct"/>
            <w:shd w:val="clear" w:color="auto" w:fill="D9D9D9" w:themeFill="background1" w:themeFillShade="D9"/>
            <w:tcMar>
              <w:left w:w="28" w:type="dxa"/>
              <w:right w:w="28" w:type="dxa"/>
            </w:tcMar>
          </w:tcPr>
          <w:p w:rsidR="002C50B9" w:rsidRDefault="002C50B9" w:rsidP="00F207DC">
            <w:pPr>
              <w:pStyle w:val="Tablewriting"/>
              <w:rPr>
                <w:rFonts w:eastAsia="MS Mincho"/>
              </w:rPr>
            </w:pPr>
            <w:r w:rsidRPr="0036499C">
              <w:rPr>
                <w:rFonts w:eastAsia="MS Mincho"/>
                <w:u w:val="single"/>
              </w:rPr>
              <w:lastRenderedPageBreak/>
              <w:t>Primary</w:t>
            </w:r>
            <w:r>
              <w:rPr>
                <w:rFonts w:eastAsia="MS Mincho"/>
              </w:rPr>
              <w:t>: 7</w:t>
            </w:r>
            <w:r w:rsidR="00CB2537">
              <w:rPr>
                <w:rFonts w:eastAsia="MS Mincho"/>
              </w:rPr>
              <w:t>-</w:t>
            </w:r>
            <w:r>
              <w:rPr>
                <w:rFonts w:eastAsia="MS Mincho"/>
              </w:rPr>
              <w:t xml:space="preserve">day </w:t>
            </w:r>
            <w:r w:rsidR="00CB2537">
              <w:rPr>
                <w:rFonts w:eastAsia="MS Mincho"/>
              </w:rPr>
              <w:t>PPA</w:t>
            </w:r>
            <w:r>
              <w:rPr>
                <w:rFonts w:eastAsia="MS Mincho"/>
              </w:rPr>
              <w:t xml:space="preserve"> at</w:t>
            </w:r>
            <w:r w:rsidR="00DF6A5E">
              <w:rPr>
                <w:rFonts w:eastAsia="MS Mincho"/>
              </w:rPr>
              <w:t xml:space="preserve"> Week 1, Week 8 and</w:t>
            </w:r>
            <w:r>
              <w:rPr>
                <w:rFonts w:eastAsia="MS Mincho"/>
              </w:rPr>
              <w:t xml:space="preserve"> 6 months. </w:t>
            </w:r>
            <w:r w:rsidR="008744FE">
              <w:rPr>
                <w:rFonts w:eastAsia="MS Mincho"/>
              </w:rPr>
              <w:t xml:space="preserve">Number of days to relapse. </w:t>
            </w:r>
            <w:r w:rsidR="002664A9">
              <w:rPr>
                <w:rFonts w:eastAsia="MS Mincho"/>
              </w:rPr>
              <w:t>No va</w:t>
            </w:r>
            <w:r>
              <w:rPr>
                <w:rFonts w:eastAsia="MS Mincho"/>
              </w:rPr>
              <w:t>lidat</w:t>
            </w:r>
            <w:r w:rsidR="002664A9">
              <w:rPr>
                <w:rFonts w:eastAsia="MS Mincho"/>
              </w:rPr>
              <w:t>ion</w:t>
            </w:r>
            <w:r>
              <w:rPr>
                <w:rFonts w:eastAsia="MS Mincho"/>
              </w:rPr>
              <w:t>.</w:t>
            </w:r>
          </w:p>
          <w:p w:rsidR="002C50B9" w:rsidRPr="008C39E4" w:rsidRDefault="002C50B9" w:rsidP="00F207DC">
            <w:pPr>
              <w:pStyle w:val="Tablewriting"/>
              <w:rPr>
                <w:rFonts w:eastAsia="MS Mincho"/>
                <w:u w:val="single"/>
              </w:rPr>
            </w:pPr>
            <w:r w:rsidRPr="0036499C">
              <w:rPr>
                <w:rFonts w:eastAsia="MS Mincho"/>
                <w:u w:val="single"/>
              </w:rPr>
              <w:t>Secondary</w:t>
            </w:r>
            <w:r>
              <w:rPr>
                <w:rFonts w:eastAsia="MS Mincho"/>
              </w:rPr>
              <w:t xml:space="preserve">: </w:t>
            </w:r>
            <w:r w:rsidR="00A86D98">
              <w:rPr>
                <w:rFonts w:eastAsia="MS Mincho"/>
              </w:rPr>
              <w:t xml:space="preserve">use of </w:t>
            </w:r>
            <w:r w:rsidR="00A86D98" w:rsidRPr="00A86D98">
              <w:rPr>
                <w:rFonts w:eastAsia="MS Mincho"/>
              </w:rPr>
              <w:t>Wisconsin Tobacco Quit Lin</w:t>
            </w:r>
            <w:r w:rsidR="00A86D98">
              <w:rPr>
                <w:rFonts w:eastAsia="MS Mincho"/>
              </w:rPr>
              <w:t>e</w:t>
            </w:r>
            <w:r w:rsidR="00AB5FA3">
              <w:rPr>
                <w:rFonts w:eastAsia="MS Mincho"/>
              </w:rPr>
              <w:t>.</w:t>
            </w:r>
          </w:p>
        </w:tc>
      </w:tr>
      <w:tr w:rsidR="00260CD7" w:rsidRPr="00061F78" w:rsidTr="00015CD6">
        <w:trPr>
          <w:trHeight w:val="99"/>
        </w:trPr>
        <w:tc>
          <w:tcPr>
            <w:tcW w:w="320" w:type="pct"/>
            <w:shd w:val="clear" w:color="auto" w:fill="D9D9D9" w:themeFill="background1" w:themeFillShade="D9"/>
            <w:tcMar>
              <w:left w:w="28" w:type="dxa"/>
              <w:right w:w="28" w:type="dxa"/>
            </w:tcMar>
          </w:tcPr>
          <w:p w:rsidR="00FC0601" w:rsidRDefault="1F9154D4" w:rsidP="00F207DC">
            <w:pPr>
              <w:pStyle w:val="Tablewriting"/>
              <w:rPr>
                <w:rFonts w:eastAsia="MS Mincho"/>
              </w:rPr>
            </w:pPr>
            <w:r>
              <w:rPr>
                <w:rFonts w:eastAsia="MS Mincho"/>
              </w:rPr>
              <w:t>Schnoll (2010)</w:t>
            </w:r>
          </w:p>
        </w:tc>
        <w:tc>
          <w:tcPr>
            <w:tcW w:w="399" w:type="pct"/>
            <w:shd w:val="clear" w:color="auto" w:fill="D9D9D9" w:themeFill="background1" w:themeFillShade="D9"/>
          </w:tcPr>
          <w:p w:rsidR="00FC0601" w:rsidRDefault="00FC0601" w:rsidP="00F207DC">
            <w:pPr>
              <w:pStyle w:val="Tablewriting"/>
              <w:rPr>
                <w:rFonts w:eastAsia="MS Mincho"/>
              </w:rPr>
            </w:pPr>
            <w:r>
              <w:rPr>
                <w:rFonts w:eastAsia="MS Mincho"/>
              </w:rPr>
              <w:t>RCT</w:t>
            </w:r>
          </w:p>
        </w:tc>
        <w:tc>
          <w:tcPr>
            <w:tcW w:w="345" w:type="pct"/>
            <w:shd w:val="clear" w:color="auto" w:fill="D9D9D9" w:themeFill="background1" w:themeFillShade="D9"/>
            <w:tcMar>
              <w:left w:w="28" w:type="dxa"/>
              <w:right w:w="28" w:type="dxa"/>
            </w:tcMar>
          </w:tcPr>
          <w:p w:rsidR="00FC0601" w:rsidRDefault="00FC0601" w:rsidP="00F207DC">
            <w:pPr>
              <w:pStyle w:val="Tablewriting"/>
              <w:rPr>
                <w:rFonts w:eastAsia="MS Mincho"/>
              </w:rPr>
            </w:pPr>
            <w:r>
              <w:rPr>
                <w:rFonts w:eastAsia="MS Mincho"/>
              </w:rPr>
              <w:t>N=</w:t>
            </w:r>
            <w:r w:rsidR="004614A2">
              <w:rPr>
                <w:rFonts w:eastAsia="MS Mincho"/>
              </w:rPr>
              <w:t>642</w:t>
            </w:r>
          </w:p>
          <w:p w:rsidR="00FC0601" w:rsidRDefault="00FC0601" w:rsidP="00F207DC">
            <w:pPr>
              <w:pStyle w:val="Tablewriting"/>
              <w:rPr>
                <w:rFonts w:eastAsia="MS Mincho"/>
              </w:rPr>
            </w:pPr>
            <w:r>
              <w:rPr>
                <w:rFonts w:eastAsia="MS Mincho"/>
              </w:rPr>
              <w:t>NRT lozenge (n=</w:t>
            </w:r>
            <w:r w:rsidR="009F718F">
              <w:rPr>
                <w:rFonts w:eastAsia="MS Mincho"/>
              </w:rPr>
              <w:t>321</w:t>
            </w:r>
            <w:r>
              <w:rPr>
                <w:rFonts w:eastAsia="MS Mincho"/>
              </w:rPr>
              <w:t>),</w:t>
            </w:r>
          </w:p>
          <w:p w:rsidR="00FC0601" w:rsidRDefault="00FC0601" w:rsidP="00F207DC">
            <w:pPr>
              <w:pStyle w:val="Tablewriting"/>
              <w:rPr>
                <w:rFonts w:eastAsia="MS Mincho"/>
              </w:rPr>
            </w:pPr>
            <w:r>
              <w:rPr>
                <w:rFonts w:eastAsia="MS Mincho"/>
              </w:rPr>
              <w:t>NRT patch (n=</w:t>
            </w:r>
            <w:r w:rsidR="009F718F">
              <w:rPr>
                <w:rFonts w:eastAsia="MS Mincho"/>
              </w:rPr>
              <w:t>321</w:t>
            </w:r>
            <w:r>
              <w:rPr>
                <w:rFonts w:eastAsia="MS Mincho"/>
              </w:rPr>
              <w:t>)</w:t>
            </w:r>
          </w:p>
        </w:tc>
        <w:tc>
          <w:tcPr>
            <w:tcW w:w="1870" w:type="pct"/>
            <w:shd w:val="clear" w:color="auto" w:fill="D9D9D9" w:themeFill="background1" w:themeFillShade="D9"/>
            <w:tcMar>
              <w:left w:w="28" w:type="dxa"/>
              <w:right w:w="28" w:type="dxa"/>
            </w:tcMar>
          </w:tcPr>
          <w:p w:rsidR="00FC0601" w:rsidRDefault="00FC0601" w:rsidP="00F207DC">
            <w:pPr>
              <w:pStyle w:val="Tablewriting"/>
              <w:rPr>
                <w:rFonts w:eastAsia="MS Mincho"/>
              </w:rPr>
            </w:pPr>
            <w:r w:rsidRPr="007F28D7">
              <w:rPr>
                <w:rFonts w:eastAsia="MS Mincho"/>
                <w:u w:val="single"/>
              </w:rPr>
              <w:t>Inclusion</w:t>
            </w:r>
            <w:r>
              <w:rPr>
                <w:rFonts w:eastAsia="MS Mincho"/>
              </w:rPr>
              <w:t xml:space="preserve">: </w:t>
            </w:r>
            <w:r w:rsidR="005B1922" w:rsidRPr="005B1922">
              <w:rPr>
                <w:rFonts w:eastAsia="MS Mincho"/>
              </w:rPr>
              <w:t>≥18 years of age, plan to reside in the geographic</w:t>
            </w:r>
            <w:r w:rsidR="005B1922">
              <w:rPr>
                <w:rFonts w:eastAsia="MS Mincho"/>
              </w:rPr>
              <w:t xml:space="preserve"> </w:t>
            </w:r>
            <w:r w:rsidR="005B1922" w:rsidRPr="005B1922">
              <w:rPr>
                <w:rFonts w:eastAsia="MS Mincho"/>
              </w:rPr>
              <w:t>area for ≥6</w:t>
            </w:r>
            <w:r w:rsidR="009C5976">
              <w:rPr>
                <w:rFonts w:eastAsia="MS Mincho"/>
              </w:rPr>
              <w:t xml:space="preserve"> </w:t>
            </w:r>
            <w:r w:rsidR="005B1922" w:rsidRPr="005B1922">
              <w:rPr>
                <w:rFonts w:eastAsia="MS Mincho"/>
              </w:rPr>
              <w:t xml:space="preserve">months, ≥10 cigarettes </w:t>
            </w:r>
            <w:r w:rsidR="00114214">
              <w:rPr>
                <w:rFonts w:eastAsia="MS Mincho"/>
              </w:rPr>
              <w:t xml:space="preserve">per </w:t>
            </w:r>
            <w:r w:rsidR="005B1922" w:rsidRPr="005B1922">
              <w:rPr>
                <w:rFonts w:eastAsia="MS Mincho"/>
              </w:rPr>
              <w:t>day, and be willing to</w:t>
            </w:r>
            <w:r w:rsidR="009C5976">
              <w:rPr>
                <w:rFonts w:eastAsia="MS Mincho"/>
              </w:rPr>
              <w:t xml:space="preserve"> </w:t>
            </w:r>
            <w:r w:rsidR="005B1922" w:rsidRPr="005B1922">
              <w:rPr>
                <w:rFonts w:eastAsia="MS Mincho"/>
              </w:rPr>
              <w:t>defer use of other forms of smoking cessation treatments for 6 months</w:t>
            </w:r>
            <w:r w:rsidR="009C5976">
              <w:rPr>
                <w:rFonts w:eastAsia="MS Mincho"/>
              </w:rPr>
              <w:t>.</w:t>
            </w:r>
          </w:p>
          <w:p w:rsidR="00FC0601" w:rsidRPr="00061F78" w:rsidRDefault="00FC0601" w:rsidP="00F207DC">
            <w:pPr>
              <w:pStyle w:val="Tablewriting"/>
              <w:rPr>
                <w:rFonts w:eastAsia="MS Mincho"/>
              </w:rPr>
            </w:pPr>
            <w:r w:rsidRPr="007F28D7">
              <w:rPr>
                <w:rFonts w:eastAsia="MS Mincho"/>
                <w:u w:val="single"/>
              </w:rPr>
              <w:t>Exclusion</w:t>
            </w:r>
            <w:r>
              <w:rPr>
                <w:rFonts w:eastAsia="MS Mincho"/>
              </w:rPr>
              <w:t xml:space="preserve">: </w:t>
            </w:r>
            <w:r w:rsidR="006171A5" w:rsidRPr="006171A5">
              <w:rPr>
                <w:rFonts w:eastAsia="MS Mincho"/>
              </w:rPr>
              <w:t>allergy to adhesive tape or latex, had been diagnosed</w:t>
            </w:r>
            <w:r w:rsidR="006171A5">
              <w:rPr>
                <w:rFonts w:eastAsia="MS Mincho"/>
              </w:rPr>
              <w:t xml:space="preserve"> </w:t>
            </w:r>
            <w:r w:rsidR="006171A5" w:rsidRPr="006171A5">
              <w:rPr>
                <w:rFonts w:eastAsia="MS Mincho"/>
              </w:rPr>
              <w:t>with cancer within the previous 5 years, were HIV positive, had taken an antidepressant</w:t>
            </w:r>
            <w:r w:rsidR="006171A5">
              <w:rPr>
                <w:rFonts w:eastAsia="MS Mincho"/>
              </w:rPr>
              <w:t xml:space="preserve"> </w:t>
            </w:r>
            <w:r w:rsidR="006171A5" w:rsidRPr="006171A5">
              <w:rPr>
                <w:rFonts w:eastAsia="MS Mincho"/>
              </w:rPr>
              <w:t>within the past 6 months, were pregnant, nursing, or planning on becoming</w:t>
            </w:r>
            <w:r w:rsidR="006171A5">
              <w:rPr>
                <w:rFonts w:eastAsia="MS Mincho"/>
              </w:rPr>
              <w:t xml:space="preserve"> </w:t>
            </w:r>
            <w:r w:rsidR="006171A5" w:rsidRPr="006171A5">
              <w:rPr>
                <w:rFonts w:eastAsia="MS Mincho"/>
              </w:rPr>
              <w:t>pregnant during the course of the study, or were taking bupropion, monoamine</w:t>
            </w:r>
            <w:r w:rsidR="006171A5">
              <w:rPr>
                <w:rFonts w:eastAsia="MS Mincho"/>
              </w:rPr>
              <w:t xml:space="preserve"> </w:t>
            </w:r>
            <w:r w:rsidR="006171A5" w:rsidRPr="006171A5">
              <w:rPr>
                <w:rFonts w:eastAsia="MS Mincho"/>
              </w:rPr>
              <w:t>oxidase inhibitors, benzodiazepines, or antipsychotics</w:t>
            </w:r>
            <w:r w:rsidR="00114214">
              <w:rPr>
                <w:rFonts w:eastAsia="MS Mincho"/>
              </w:rPr>
              <w:t>,</w:t>
            </w:r>
            <w:r w:rsidR="006171A5" w:rsidRPr="006171A5">
              <w:rPr>
                <w:rFonts w:eastAsia="MS Mincho"/>
              </w:rPr>
              <w:t xml:space="preserve"> current alcohol dependence/abus</w:t>
            </w:r>
            <w:r w:rsidR="00A63BF2">
              <w:rPr>
                <w:rFonts w:eastAsia="MS Mincho"/>
              </w:rPr>
              <w:t>e</w:t>
            </w:r>
            <w:r w:rsidR="006171A5" w:rsidRPr="006171A5">
              <w:rPr>
                <w:rFonts w:eastAsia="MS Mincho"/>
              </w:rPr>
              <w:t>.</w:t>
            </w:r>
          </w:p>
        </w:tc>
        <w:tc>
          <w:tcPr>
            <w:tcW w:w="970" w:type="pct"/>
            <w:shd w:val="clear" w:color="auto" w:fill="D9D9D9" w:themeFill="background1" w:themeFillShade="D9"/>
          </w:tcPr>
          <w:p w:rsidR="00FC0601" w:rsidRDefault="00FC0601" w:rsidP="00F207DC">
            <w:pPr>
              <w:pStyle w:val="Tablewriting"/>
              <w:rPr>
                <w:rFonts w:eastAsia="MS Mincho"/>
              </w:rPr>
            </w:pPr>
            <w:r w:rsidRPr="00C5551B">
              <w:rPr>
                <w:rFonts w:eastAsia="MS Mincho"/>
              </w:rPr>
              <w:t>NRT</w:t>
            </w:r>
            <w:r>
              <w:rPr>
                <w:rFonts w:eastAsia="MS Mincho"/>
              </w:rPr>
              <w:t xml:space="preserve"> lozenge</w:t>
            </w:r>
            <w:r w:rsidRPr="00C5551B">
              <w:rPr>
                <w:rFonts w:eastAsia="MS Mincho"/>
              </w:rPr>
              <w:t xml:space="preserve">: </w:t>
            </w:r>
            <w:r>
              <w:rPr>
                <w:rFonts w:eastAsia="MS Mincho"/>
              </w:rPr>
              <w:t>4</w:t>
            </w:r>
            <w:r w:rsidR="009B2D79">
              <w:rPr>
                <w:rFonts w:eastAsia="MS Mincho"/>
              </w:rPr>
              <w:t xml:space="preserve"> </w:t>
            </w:r>
            <w:r w:rsidRPr="007E4813">
              <w:rPr>
                <w:rFonts w:eastAsia="MS Mincho"/>
              </w:rPr>
              <w:t>mg if first cig</w:t>
            </w:r>
            <w:r>
              <w:rPr>
                <w:rFonts w:eastAsia="MS Mincho"/>
              </w:rPr>
              <w:t>arette</w:t>
            </w:r>
            <w:r w:rsidRPr="007E4813">
              <w:rPr>
                <w:rFonts w:eastAsia="MS Mincho"/>
              </w:rPr>
              <w:t xml:space="preserve"> of day smoked &gt;30 mins after waking, 2</w:t>
            </w:r>
            <w:r w:rsidR="009B2D79">
              <w:rPr>
                <w:rFonts w:eastAsia="MS Mincho"/>
              </w:rPr>
              <w:t xml:space="preserve"> </w:t>
            </w:r>
            <w:r w:rsidRPr="007E4813">
              <w:rPr>
                <w:rFonts w:eastAsia="MS Mincho"/>
              </w:rPr>
              <w:t>mg otherwise.</w:t>
            </w:r>
            <w:r>
              <w:rPr>
                <w:rFonts w:eastAsia="MS Mincho"/>
              </w:rPr>
              <w:t xml:space="preserve"> </w:t>
            </w:r>
            <w:r w:rsidRPr="007E4813">
              <w:rPr>
                <w:rFonts w:eastAsia="MS Mincho"/>
              </w:rPr>
              <w:t xml:space="preserve">1 lozenge every 1-2 hrs post-quit </w:t>
            </w:r>
            <w:r>
              <w:rPr>
                <w:rFonts w:eastAsia="MS Mincho"/>
              </w:rPr>
              <w:t>(Wee</w:t>
            </w:r>
            <w:r w:rsidRPr="007E4813">
              <w:rPr>
                <w:rFonts w:eastAsia="MS Mincho"/>
              </w:rPr>
              <w:t>k 1-6</w:t>
            </w:r>
            <w:r>
              <w:rPr>
                <w:rFonts w:eastAsia="MS Mincho"/>
              </w:rPr>
              <w:t>)</w:t>
            </w:r>
            <w:r w:rsidRPr="007E4813">
              <w:rPr>
                <w:rFonts w:eastAsia="MS Mincho"/>
              </w:rPr>
              <w:t xml:space="preserve">; 1 lozenge every 2-4 hrs </w:t>
            </w:r>
            <w:r>
              <w:rPr>
                <w:rFonts w:eastAsia="MS Mincho"/>
              </w:rPr>
              <w:t>(Wee</w:t>
            </w:r>
            <w:r w:rsidRPr="007E4813">
              <w:rPr>
                <w:rFonts w:eastAsia="MS Mincho"/>
              </w:rPr>
              <w:t>k 7-9</w:t>
            </w:r>
            <w:r>
              <w:rPr>
                <w:rFonts w:eastAsia="MS Mincho"/>
              </w:rPr>
              <w:t>)</w:t>
            </w:r>
            <w:r w:rsidRPr="007E4813">
              <w:rPr>
                <w:rFonts w:eastAsia="MS Mincho"/>
              </w:rPr>
              <w:t xml:space="preserve">; 1 lozenge every 4-8 hrs </w:t>
            </w:r>
            <w:r>
              <w:rPr>
                <w:rFonts w:eastAsia="MS Mincho"/>
              </w:rPr>
              <w:t>(Wee</w:t>
            </w:r>
            <w:r w:rsidRPr="007E4813">
              <w:rPr>
                <w:rFonts w:eastAsia="MS Mincho"/>
              </w:rPr>
              <w:t>k</w:t>
            </w:r>
            <w:r>
              <w:rPr>
                <w:rFonts w:eastAsia="MS Mincho"/>
              </w:rPr>
              <w:t xml:space="preserve"> </w:t>
            </w:r>
            <w:r w:rsidRPr="007E4813">
              <w:rPr>
                <w:rFonts w:eastAsia="MS Mincho"/>
              </w:rPr>
              <w:t>10-12)</w:t>
            </w:r>
            <w:r w:rsidR="008C1099">
              <w:rPr>
                <w:rFonts w:eastAsia="MS Mincho"/>
              </w:rPr>
              <w:t xml:space="preserve">; </w:t>
            </w:r>
            <w:r>
              <w:rPr>
                <w:rFonts w:eastAsia="MS Mincho"/>
              </w:rPr>
              <w:t>NRT patch</w:t>
            </w:r>
            <w:r w:rsidRPr="00C5551B">
              <w:rPr>
                <w:rFonts w:eastAsia="MS Mincho"/>
              </w:rPr>
              <w:t xml:space="preserve">: </w:t>
            </w:r>
            <w:r w:rsidRPr="00F2485E">
              <w:rPr>
                <w:rFonts w:eastAsia="MS Mincho"/>
              </w:rPr>
              <w:t>21</w:t>
            </w:r>
            <w:r w:rsidR="009B2D79">
              <w:rPr>
                <w:rFonts w:eastAsia="MS Mincho"/>
              </w:rPr>
              <w:t xml:space="preserve"> </w:t>
            </w:r>
            <w:r w:rsidRPr="00F2485E">
              <w:rPr>
                <w:rFonts w:eastAsia="MS Mincho"/>
              </w:rPr>
              <w:t xml:space="preserve">mg post-quit </w:t>
            </w:r>
            <w:r>
              <w:rPr>
                <w:rFonts w:eastAsia="MS Mincho"/>
              </w:rPr>
              <w:t>Wee</w:t>
            </w:r>
            <w:r w:rsidRPr="00F2485E">
              <w:rPr>
                <w:rFonts w:eastAsia="MS Mincho"/>
              </w:rPr>
              <w:t>k 1-4; 14</w:t>
            </w:r>
            <w:r w:rsidR="009B2D79">
              <w:rPr>
                <w:rFonts w:eastAsia="MS Mincho"/>
              </w:rPr>
              <w:t xml:space="preserve"> </w:t>
            </w:r>
            <w:r w:rsidRPr="00F2485E">
              <w:rPr>
                <w:rFonts w:eastAsia="MS Mincho"/>
              </w:rPr>
              <w:t xml:space="preserve">mg </w:t>
            </w:r>
            <w:r>
              <w:rPr>
                <w:rFonts w:eastAsia="MS Mincho"/>
              </w:rPr>
              <w:t>Wee</w:t>
            </w:r>
            <w:r w:rsidRPr="00F2485E">
              <w:rPr>
                <w:rFonts w:eastAsia="MS Mincho"/>
              </w:rPr>
              <w:t>k 5-6; 7</w:t>
            </w:r>
            <w:r w:rsidR="009B2D79">
              <w:rPr>
                <w:rFonts w:eastAsia="MS Mincho"/>
              </w:rPr>
              <w:t xml:space="preserve"> </w:t>
            </w:r>
            <w:r w:rsidRPr="00F2485E">
              <w:rPr>
                <w:rFonts w:eastAsia="MS Mincho"/>
              </w:rPr>
              <w:t xml:space="preserve">mg </w:t>
            </w:r>
            <w:r>
              <w:rPr>
                <w:rFonts w:eastAsia="MS Mincho"/>
              </w:rPr>
              <w:t>Wee</w:t>
            </w:r>
            <w:r w:rsidRPr="00F2485E">
              <w:rPr>
                <w:rFonts w:eastAsia="MS Mincho"/>
              </w:rPr>
              <w:t>k 7-8</w:t>
            </w:r>
            <w:r w:rsidR="00AB5FA3">
              <w:rPr>
                <w:rFonts w:eastAsia="MS Mincho"/>
              </w:rPr>
              <w:t>.</w:t>
            </w:r>
          </w:p>
          <w:p w:rsidR="00282B43" w:rsidRDefault="00282B43" w:rsidP="00F207DC">
            <w:pPr>
              <w:pStyle w:val="Tablewriting"/>
              <w:rPr>
                <w:rFonts w:eastAsia="MS Mincho"/>
              </w:rPr>
            </w:pPr>
          </w:p>
          <w:p w:rsidR="00282B43" w:rsidRPr="00061F78" w:rsidRDefault="00282B43" w:rsidP="00F207DC">
            <w:pPr>
              <w:pStyle w:val="Tablewriting"/>
              <w:rPr>
                <w:rFonts w:eastAsia="MS Mincho"/>
              </w:rPr>
            </w:pPr>
            <w:r w:rsidRPr="00282B43">
              <w:rPr>
                <w:rFonts w:eastAsia="MS Mincho"/>
              </w:rPr>
              <w:t>Behavioural support provided in both arms.</w:t>
            </w:r>
          </w:p>
        </w:tc>
        <w:tc>
          <w:tcPr>
            <w:tcW w:w="1096" w:type="pct"/>
            <w:shd w:val="clear" w:color="auto" w:fill="D9D9D9" w:themeFill="background1" w:themeFillShade="D9"/>
            <w:tcMar>
              <w:left w:w="28" w:type="dxa"/>
              <w:right w:w="28" w:type="dxa"/>
            </w:tcMar>
          </w:tcPr>
          <w:p w:rsidR="00FC0601" w:rsidRDefault="00FC0601" w:rsidP="00F207DC">
            <w:pPr>
              <w:pStyle w:val="Tablewriting"/>
              <w:rPr>
                <w:rFonts w:eastAsia="MS Mincho"/>
              </w:rPr>
            </w:pPr>
            <w:r w:rsidRPr="0036499C">
              <w:rPr>
                <w:rFonts w:eastAsia="MS Mincho"/>
                <w:u w:val="single"/>
              </w:rPr>
              <w:t>Primary</w:t>
            </w:r>
            <w:r>
              <w:rPr>
                <w:rFonts w:eastAsia="MS Mincho"/>
              </w:rPr>
              <w:t xml:space="preserve">: </w:t>
            </w:r>
            <w:r w:rsidR="00CB2537">
              <w:rPr>
                <w:rFonts w:eastAsia="MS Mincho"/>
              </w:rPr>
              <w:t>24-hour PPA</w:t>
            </w:r>
            <w:r>
              <w:rPr>
                <w:rFonts w:eastAsia="MS Mincho"/>
              </w:rPr>
              <w:t xml:space="preserve"> at </w:t>
            </w:r>
            <w:r w:rsidR="00315F02">
              <w:rPr>
                <w:rFonts w:eastAsia="MS Mincho"/>
              </w:rPr>
              <w:t xml:space="preserve">end of treatment </w:t>
            </w:r>
            <w:r>
              <w:rPr>
                <w:rFonts w:eastAsia="MS Mincho"/>
              </w:rPr>
              <w:t xml:space="preserve">and 6 months. </w:t>
            </w:r>
            <w:r w:rsidR="00315F02">
              <w:rPr>
                <w:rFonts w:eastAsia="MS Mincho"/>
              </w:rPr>
              <w:t>Validated by CO</w:t>
            </w:r>
            <w:r w:rsidR="00A4752C">
              <w:rPr>
                <w:rFonts w:eastAsia="MS Mincho"/>
              </w:rPr>
              <w:t xml:space="preserve"> </w:t>
            </w:r>
            <w:r w:rsidR="00315F02">
              <w:rPr>
                <w:rFonts w:eastAsia="MS Mincho"/>
              </w:rPr>
              <w:t>&lt;10</w:t>
            </w:r>
            <w:r w:rsidR="009B2D79">
              <w:rPr>
                <w:rFonts w:eastAsia="MS Mincho"/>
              </w:rPr>
              <w:t xml:space="preserve"> </w:t>
            </w:r>
            <w:r w:rsidR="00315F02">
              <w:rPr>
                <w:rFonts w:eastAsia="MS Mincho"/>
              </w:rPr>
              <w:t>ppm.</w:t>
            </w:r>
          </w:p>
          <w:p w:rsidR="00FC0601" w:rsidRPr="00061F78" w:rsidRDefault="00FC0601" w:rsidP="00F207DC">
            <w:pPr>
              <w:pStyle w:val="Tablewriting"/>
              <w:rPr>
                <w:rFonts w:eastAsia="MS Mincho"/>
              </w:rPr>
            </w:pPr>
            <w:r w:rsidRPr="0036499C">
              <w:rPr>
                <w:rFonts w:eastAsia="MS Mincho"/>
                <w:u w:val="single"/>
              </w:rPr>
              <w:t>Secondary</w:t>
            </w:r>
            <w:r>
              <w:rPr>
                <w:rFonts w:eastAsia="MS Mincho"/>
              </w:rPr>
              <w:t xml:space="preserve">: </w:t>
            </w:r>
            <w:r w:rsidR="000F033C">
              <w:rPr>
                <w:rFonts w:eastAsia="MS Mincho"/>
              </w:rPr>
              <w:t xml:space="preserve">adverse events measured </w:t>
            </w:r>
            <w:r w:rsidR="00FB4A7A" w:rsidRPr="00FB4A7A">
              <w:rPr>
                <w:rFonts w:eastAsia="MS Mincho"/>
              </w:rPr>
              <w:t>at end of treatment (12 weeks) and at 6 m</w:t>
            </w:r>
            <w:r w:rsidR="00FB4A7A">
              <w:rPr>
                <w:rFonts w:eastAsia="MS Mincho"/>
              </w:rPr>
              <w:t>onths</w:t>
            </w:r>
            <w:r w:rsidR="00FB4A7A" w:rsidRPr="00FB4A7A">
              <w:rPr>
                <w:rFonts w:eastAsia="MS Mincho"/>
              </w:rPr>
              <w:t xml:space="preserve"> follow-up</w:t>
            </w:r>
            <w:r w:rsidR="00AB5FA3">
              <w:rPr>
                <w:rFonts w:eastAsia="MS Mincho"/>
              </w:rPr>
              <w:t>.</w:t>
            </w:r>
          </w:p>
        </w:tc>
      </w:tr>
      <w:tr w:rsidR="00700FFA" w:rsidRPr="00061F78" w:rsidTr="00152F79">
        <w:trPr>
          <w:trHeight w:val="149"/>
        </w:trPr>
        <w:tc>
          <w:tcPr>
            <w:tcW w:w="320" w:type="pct"/>
            <w:shd w:val="clear" w:color="auto" w:fill="D9D9D9" w:themeFill="background1" w:themeFillShade="D9"/>
            <w:tcMar>
              <w:left w:w="28" w:type="dxa"/>
              <w:right w:w="28" w:type="dxa"/>
            </w:tcMar>
          </w:tcPr>
          <w:p w:rsidR="00700FFA" w:rsidRDefault="00700FFA" w:rsidP="00F207DC">
            <w:pPr>
              <w:pStyle w:val="Tablewriting"/>
              <w:rPr>
                <w:rFonts w:eastAsia="MS Mincho"/>
              </w:rPr>
            </w:pPr>
            <w:r>
              <w:rPr>
                <w:rFonts w:eastAsia="MS Mincho"/>
              </w:rPr>
              <w:t>Stead (2012)</w:t>
            </w:r>
            <w:r w:rsidR="00154CDD">
              <w:rPr>
                <w:rFonts w:eastAsia="MS Mincho"/>
              </w:rPr>
              <w:t xml:space="preserve"> </w:t>
            </w:r>
          </w:p>
        </w:tc>
        <w:tc>
          <w:tcPr>
            <w:tcW w:w="399" w:type="pct"/>
            <w:shd w:val="clear" w:color="auto" w:fill="D9D9D9" w:themeFill="background1" w:themeFillShade="D9"/>
          </w:tcPr>
          <w:p w:rsidR="00700FFA" w:rsidRPr="00C14F02" w:rsidRDefault="00493F57" w:rsidP="00F207DC">
            <w:pPr>
              <w:pStyle w:val="Tablewriting"/>
              <w:rPr>
                <w:rFonts w:eastAsia="MS Mincho"/>
                <w:vertAlign w:val="superscript"/>
              </w:rPr>
            </w:pPr>
            <w:r>
              <w:rPr>
                <w:rFonts w:eastAsia="MS Mincho"/>
              </w:rPr>
              <w:t>Cochrane Review</w:t>
            </w:r>
            <w:r w:rsidR="00016B50">
              <w:rPr>
                <w:rFonts w:eastAsia="MS Mincho"/>
                <w:vertAlign w:val="superscript"/>
              </w:rPr>
              <w:t>2</w:t>
            </w:r>
          </w:p>
        </w:tc>
        <w:tc>
          <w:tcPr>
            <w:tcW w:w="345" w:type="pct"/>
            <w:shd w:val="clear" w:color="auto" w:fill="D9D9D9" w:themeFill="background1" w:themeFillShade="D9"/>
            <w:tcMar>
              <w:left w:w="28" w:type="dxa"/>
              <w:right w:w="28" w:type="dxa"/>
            </w:tcMar>
          </w:tcPr>
          <w:p w:rsidR="00700FFA" w:rsidRDefault="00154CDD" w:rsidP="00F207DC">
            <w:pPr>
              <w:pStyle w:val="Tablewriting"/>
              <w:rPr>
                <w:rFonts w:eastAsia="MS Mincho"/>
              </w:rPr>
            </w:pPr>
            <w:r>
              <w:rPr>
                <w:rFonts w:eastAsia="MS Mincho"/>
              </w:rPr>
              <w:t>N=</w:t>
            </w:r>
            <w:r w:rsidR="00593067">
              <w:rPr>
                <w:rFonts w:eastAsia="MS Mincho"/>
              </w:rPr>
              <w:t>52,593</w:t>
            </w:r>
          </w:p>
          <w:p w:rsidR="00593067" w:rsidRDefault="00593067" w:rsidP="00F207DC">
            <w:pPr>
              <w:pStyle w:val="Tablewriting"/>
              <w:rPr>
                <w:rFonts w:eastAsia="MS Mincho"/>
              </w:rPr>
            </w:pPr>
            <w:r>
              <w:rPr>
                <w:rFonts w:eastAsia="MS Mincho"/>
              </w:rPr>
              <w:t xml:space="preserve">NRT </w:t>
            </w:r>
            <w:r w:rsidR="00B92C23">
              <w:rPr>
                <w:rFonts w:eastAsia="MS Mincho"/>
              </w:rPr>
              <w:t>gum v control (n=24, 534)</w:t>
            </w:r>
          </w:p>
          <w:p w:rsidR="00BD0CC9" w:rsidRDefault="00BD0CC9" w:rsidP="00F207DC">
            <w:pPr>
              <w:pStyle w:val="Tablewriting"/>
              <w:rPr>
                <w:rFonts w:eastAsia="MS Mincho"/>
              </w:rPr>
            </w:pPr>
            <w:r>
              <w:rPr>
                <w:rFonts w:eastAsia="MS Mincho"/>
              </w:rPr>
              <w:t>NRT patch v control (n=28,059)</w:t>
            </w:r>
          </w:p>
        </w:tc>
        <w:tc>
          <w:tcPr>
            <w:tcW w:w="1870" w:type="pct"/>
            <w:shd w:val="clear" w:color="auto" w:fill="D9D9D9" w:themeFill="background1" w:themeFillShade="D9"/>
            <w:tcMar>
              <w:left w:w="28" w:type="dxa"/>
              <w:right w:w="28" w:type="dxa"/>
            </w:tcMar>
          </w:tcPr>
          <w:p w:rsidR="007A2825" w:rsidRDefault="00720596" w:rsidP="00F207DC">
            <w:pPr>
              <w:pStyle w:val="Tablewriting"/>
              <w:rPr>
                <w:rFonts w:eastAsia="MS Mincho"/>
              </w:rPr>
            </w:pPr>
            <w:r>
              <w:rPr>
                <w:rFonts w:eastAsia="MS Mincho"/>
              </w:rPr>
              <w:t>Inclusion: m</w:t>
            </w:r>
            <w:r w:rsidRPr="00720596">
              <w:rPr>
                <w:rFonts w:eastAsia="MS Mincho"/>
              </w:rPr>
              <w:t xml:space="preserve">en or women who smoked and were motivated to quit were included irrespective of the setting from which they were recruited and/or their initial level of nicotine dependence. </w:t>
            </w:r>
          </w:p>
          <w:p w:rsidR="00700FFA" w:rsidRPr="00963F7C" w:rsidRDefault="007A2825" w:rsidP="00F207DC">
            <w:pPr>
              <w:pStyle w:val="Tablewriting"/>
              <w:rPr>
                <w:rFonts w:eastAsia="MS Mincho"/>
              </w:rPr>
            </w:pPr>
            <w:r>
              <w:rPr>
                <w:rFonts w:eastAsia="MS Mincho"/>
              </w:rPr>
              <w:t>Exclusion: t</w:t>
            </w:r>
            <w:r w:rsidR="00720596" w:rsidRPr="00720596">
              <w:rPr>
                <w:rFonts w:eastAsia="MS Mincho"/>
              </w:rPr>
              <w:t>rials that randomized physicians or other therapists to receive an educational intervention, which included encouraging their patients to use NRT</w:t>
            </w:r>
            <w:r w:rsidR="00AB5FA3">
              <w:rPr>
                <w:rFonts w:eastAsia="MS Mincho"/>
              </w:rPr>
              <w:t>.</w:t>
            </w:r>
          </w:p>
        </w:tc>
        <w:tc>
          <w:tcPr>
            <w:tcW w:w="970" w:type="pct"/>
            <w:shd w:val="clear" w:color="auto" w:fill="D9D9D9" w:themeFill="background1" w:themeFillShade="D9"/>
          </w:tcPr>
          <w:p w:rsidR="00700FFA" w:rsidRDefault="007A2825" w:rsidP="00F207DC">
            <w:pPr>
              <w:pStyle w:val="Tablewriting"/>
              <w:rPr>
                <w:rFonts w:eastAsia="MS Mincho"/>
              </w:rPr>
            </w:pPr>
            <w:r>
              <w:rPr>
                <w:rFonts w:eastAsia="MS Mincho"/>
              </w:rPr>
              <w:t xml:space="preserve">NRT: </w:t>
            </w:r>
            <w:r w:rsidR="009F1DEA">
              <w:rPr>
                <w:rFonts w:eastAsia="MS Mincho"/>
              </w:rPr>
              <w:t>c</w:t>
            </w:r>
            <w:r w:rsidR="009F1DEA" w:rsidRPr="009F1DEA">
              <w:rPr>
                <w:rFonts w:eastAsia="MS Mincho"/>
              </w:rPr>
              <w:t xml:space="preserve">omparisons of </w:t>
            </w:r>
            <w:r w:rsidR="009F1DEA">
              <w:rPr>
                <w:rFonts w:eastAsia="MS Mincho"/>
              </w:rPr>
              <w:t xml:space="preserve">any type </w:t>
            </w:r>
            <w:r w:rsidR="00265A4D">
              <w:rPr>
                <w:rFonts w:eastAsia="MS Mincho"/>
              </w:rPr>
              <w:t xml:space="preserve">of </w:t>
            </w:r>
            <w:r w:rsidR="009F1DEA" w:rsidRPr="009F1DEA">
              <w:rPr>
                <w:rFonts w:eastAsia="MS Mincho"/>
              </w:rPr>
              <w:t>NRT versus placebo or no NRT control</w:t>
            </w:r>
            <w:r w:rsidR="001D5B56">
              <w:rPr>
                <w:rFonts w:eastAsia="MS Mincho"/>
              </w:rPr>
              <w:t xml:space="preserve"> and c</w:t>
            </w:r>
            <w:r w:rsidR="004410CC" w:rsidRPr="004410CC">
              <w:rPr>
                <w:rFonts w:eastAsia="MS Mincho"/>
              </w:rPr>
              <w:t>ompari</w:t>
            </w:r>
            <w:r w:rsidR="001D5B56">
              <w:rPr>
                <w:rFonts w:eastAsia="MS Mincho"/>
              </w:rPr>
              <w:t xml:space="preserve">sons of </w:t>
            </w:r>
            <w:r w:rsidR="004410CC" w:rsidRPr="004410CC">
              <w:rPr>
                <w:rFonts w:eastAsia="MS Mincho"/>
              </w:rPr>
              <w:t>different doses of NRT, comparing more than one type of NRT to a single type, comparing NRT with bupropion and combinations of the two, and comparing use of NRT prior to quit date as opposed to from quit date only</w:t>
            </w:r>
            <w:r w:rsidR="001D5B56">
              <w:rPr>
                <w:rFonts w:eastAsia="MS Mincho"/>
              </w:rPr>
              <w:t>.</w:t>
            </w:r>
          </w:p>
        </w:tc>
        <w:tc>
          <w:tcPr>
            <w:tcW w:w="1096" w:type="pct"/>
            <w:shd w:val="clear" w:color="auto" w:fill="D9D9D9" w:themeFill="background1" w:themeFillShade="D9"/>
            <w:tcMar>
              <w:left w:w="28" w:type="dxa"/>
              <w:right w:w="28" w:type="dxa"/>
            </w:tcMar>
          </w:tcPr>
          <w:p w:rsidR="00700FFA" w:rsidRDefault="001D5B56" w:rsidP="00F207DC">
            <w:pPr>
              <w:pStyle w:val="Tablewriting"/>
              <w:rPr>
                <w:rFonts w:eastAsia="MS Mincho"/>
              </w:rPr>
            </w:pPr>
            <w:r>
              <w:rPr>
                <w:rFonts w:eastAsia="MS Mincho"/>
                <w:u w:val="single"/>
              </w:rPr>
              <w:t xml:space="preserve">Primary: </w:t>
            </w:r>
            <w:r w:rsidR="00261435" w:rsidRPr="002C19B4">
              <w:rPr>
                <w:rFonts w:eastAsia="MS Mincho"/>
              </w:rPr>
              <w:t>smoking cessation rates</w:t>
            </w:r>
            <w:r w:rsidR="00261435">
              <w:rPr>
                <w:rFonts w:eastAsia="MS Mincho"/>
              </w:rPr>
              <w:t xml:space="preserve"> of</w:t>
            </w:r>
            <w:r w:rsidR="00261435" w:rsidRPr="002C19B4">
              <w:rPr>
                <w:rFonts w:eastAsia="MS Mincho"/>
              </w:rPr>
              <w:t xml:space="preserve"> at least six months a</w:t>
            </w:r>
            <w:r w:rsidR="00261435">
              <w:rPr>
                <w:rFonts w:eastAsia="MS Mincho"/>
              </w:rPr>
              <w:t>ft</w:t>
            </w:r>
            <w:r w:rsidR="00261435" w:rsidRPr="002C19B4">
              <w:rPr>
                <w:rFonts w:eastAsia="MS Mincho"/>
              </w:rPr>
              <w:t>er baseline</w:t>
            </w:r>
            <w:r w:rsidR="00AB5FA3">
              <w:rPr>
                <w:rFonts w:eastAsia="MS Mincho"/>
              </w:rPr>
              <w:t>.</w:t>
            </w:r>
          </w:p>
          <w:p w:rsidR="00AD0730" w:rsidRPr="0036499C" w:rsidRDefault="00AD0730" w:rsidP="00F207DC">
            <w:pPr>
              <w:pStyle w:val="Tablewriting"/>
              <w:rPr>
                <w:rFonts w:eastAsia="MS Mincho"/>
                <w:u w:val="single"/>
              </w:rPr>
            </w:pPr>
            <w:r w:rsidRPr="0036499C">
              <w:rPr>
                <w:rFonts w:eastAsia="MS Mincho"/>
                <w:u w:val="single"/>
              </w:rPr>
              <w:t>Secondary</w:t>
            </w:r>
            <w:r>
              <w:rPr>
                <w:rFonts w:eastAsia="MS Mincho"/>
              </w:rPr>
              <w:t>: safety including cardiac adverse events, serious adverse events and withdrawals due to treatment</w:t>
            </w:r>
            <w:r w:rsidR="00AB5FA3">
              <w:rPr>
                <w:rFonts w:eastAsia="MS Mincho"/>
              </w:rPr>
              <w:t>.</w:t>
            </w:r>
          </w:p>
        </w:tc>
      </w:tr>
      <w:tr w:rsidR="00260CD7" w:rsidRPr="00061F78" w:rsidTr="004C2B01">
        <w:trPr>
          <w:trHeight w:val="149"/>
        </w:trPr>
        <w:tc>
          <w:tcPr>
            <w:tcW w:w="320" w:type="pct"/>
            <w:tcMar>
              <w:left w:w="28" w:type="dxa"/>
              <w:right w:w="28" w:type="dxa"/>
            </w:tcMar>
          </w:tcPr>
          <w:p w:rsidR="00BB2792" w:rsidRDefault="005F4502" w:rsidP="00F207DC">
            <w:pPr>
              <w:pStyle w:val="Tablewriting"/>
              <w:rPr>
                <w:rFonts w:eastAsia="MS Mincho"/>
              </w:rPr>
            </w:pPr>
            <w:r>
              <w:rPr>
                <w:rFonts w:eastAsia="MS Mincho"/>
              </w:rPr>
              <w:t>Lindson</w:t>
            </w:r>
          </w:p>
          <w:p w:rsidR="005F4502" w:rsidRPr="004F1864" w:rsidRDefault="2297D542" w:rsidP="00F207DC">
            <w:pPr>
              <w:pStyle w:val="Tablewriting"/>
              <w:rPr>
                <w:rFonts w:eastAsia="MS Mincho"/>
              </w:rPr>
            </w:pPr>
            <w:r w:rsidRPr="0890AA69">
              <w:rPr>
                <w:rFonts w:eastAsia="MS Mincho"/>
              </w:rPr>
              <w:t>(2019)</w:t>
            </w:r>
          </w:p>
        </w:tc>
        <w:tc>
          <w:tcPr>
            <w:tcW w:w="399" w:type="pct"/>
          </w:tcPr>
          <w:p w:rsidR="00BB2792" w:rsidRDefault="00BB2792" w:rsidP="00F207DC">
            <w:pPr>
              <w:pStyle w:val="Tablewriting"/>
              <w:rPr>
                <w:rFonts w:eastAsia="MS Mincho"/>
              </w:rPr>
            </w:pPr>
            <w:r>
              <w:rPr>
                <w:rFonts w:eastAsia="MS Mincho"/>
              </w:rPr>
              <w:t xml:space="preserve">Cochrane </w:t>
            </w:r>
            <w:r w:rsidR="00DC6241">
              <w:rPr>
                <w:rFonts w:eastAsia="MS Mincho"/>
              </w:rPr>
              <w:t>R</w:t>
            </w:r>
            <w:r>
              <w:rPr>
                <w:rFonts w:eastAsia="MS Mincho"/>
              </w:rPr>
              <w:t xml:space="preserve">eview    </w:t>
            </w:r>
          </w:p>
          <w:p w:rsidR="00BB2792" w:rsidRPr="00C14F02" w:rsidRDefault="00BB2792" w:rsidP="00F207DC">
            <w:pPr>
              <w:pStyle w:val="Tablewriting"/>
              <w:rPr>
                <w:rFonts w:eastAsia="MS Mincho"/>
                <w:vertAlign w:val="superscript"/>
              </w:rPr>
            </w:pPr>
            <w:r>
              <w:rPr>
                <w:rFonts w:eastAsia="MS Mincho"/>
              </w:rPr>
              <w:t>(</w:t>
            </w:r>
            <w:r w:rsidR="00CF0451">
              <w:rPr>
                <w:rFonts w:eastAsia="MS Mincho"/>
              </w:rPr>
              <w:t>3</w:t>
            </w:r>
            <w:r>
              <w:rPr>
                <w:rFonts w:eastAsia="MS Mincho"/>
              </w:rPr>
              <w:t xml:space="preserve"> RCTs</w:t>
            </w:r>
            <w:r w:rsidR="00C52BD5">
              <w:rPr>
                <w:rFonts w:eastAsia="MS Mincho"/>
              </w:rPr>
              <w:t xml:space="preserve"> of lozenge versus patch, 2 RCTs of gum </w:t>
            </w:r>
            <w:r w:rsidR="00C52BD5">
              <w:rPr>
                <w:rFonts w:eastAsia="MS Mincho"/>
              </w:rPr>
              <w:lastRenderedPageBreak/>
              <w:t>versus patch)</w:t>
            </w:r>
            <w:r w:rsidR="00152F79">
              <w:rPr>
                <w:rFonts w:eastAsia="MS Mincho"/>
                <w:vertAlign w:val="superscript"/>
              </w:rPr>
              <w:t>3</w:t>
            </w:r>
          </w:p>
          <w:p w:rsidR="00BB2792" w:rsidRDefault="00BB2792" w:rsidP="00F207DC">
            <w:pPr>
              <w:pStyle w:val="Tablewriting"/>
              <w:rPr>
                <w:rFonts w:eastAsia="MS Mincho"/>
              </w:rPr>
            </w:pPr>
          </w:p>
        </w:tc>
        <w:tc>
          <w:tcPr>
            <w:tcW w:w="345" w:type="pct"/>
            <w:tcMar>
              <w:left w:w="28" w:type="dxa"/>
              <w:right w:w="28" w:type="dxa"/>
            </w:tcMar>
          </w:tcPr>
          <w:p w:rsidR="00BB2792" w:rsidRDefault="00BB2792" w:rsidP="00F207DC">
            <w:pPr>
              <w:pStyle w:val="Tablewriting"/>
              <w:rPr>
                <w:rFonts w:eastAsia="MS Mincho"/>
              </w:rPr>
            </w:pPr>
            <w:r>
              <w:rPr>
                <w:rFonts w:eastAsia="MS Mincho"/>
              </w:rPr>
              <w:lastRenderedPageBreak/>
              <w:t>N=</w:t>
            </w:r>
            <w:r w:rsidR="00320046">
              <w:rPr>
                <w:rFonts w:eastAsia="MS Mincho"/>
              </w:rPr>
              <w:t>3,319</w:t>
            </w:r>
          </w:p>
          <w:p w:rsidR="00320046" w:rsidRDefault="00BB2792" w:rsidP="00F207DC">
            <w:pPr>
              <w:pStyle w:val="Tablewriting"/>
              <w:rPr>
                <w:rFonts w:eastAsia="MS Mincho"/>
              </w:rPr>
            </w:pPr>
            <w:r>
              <w:rPr>
                <w:rFonts w:eastAsia="MS Mincho"/>
              </w:rPr>
              <w:t xml:space="preserve">NRT </w:t>
            </w:r>
            <w:r w:rsidR="00320046">
              <w:rPr>
                <w:rFonts w:eastAsia="MS Mincho"/>
              </w:rPr>
              <w:t>lozenge</w:t>
            </w:r>
          </w:p>
          <w:p w:rsidR="00BB2792" w:rsidRDefault="00BB2792" w:rsidP="00F207DC">
            <w:pPr>
              <w:pStyle w:val="Tablewriting"/>
              <w:rPr>
                <w:rFonts w:eastAsia="MS Mincho"/>
              </w:rPr>
            </w:pPr>
            <w:r>
              <w:rPr>
                <w:rFonts w:eastAsia="MS Mincho"/>
              </w:rPr>
              <w:t>(n=</w:t>
            </w:r>
            <w:r w:rsidR="00C17C63">
              <w:rPr>
                <w:rFonts w:eastAsia="MS Mincho"/>
              </w:rPr>
              <w:t>842</w:t>
            </w:r>
            <w:r>
              <w:rPr>
                <w:rFonts w:eastAsia="MS Mincho"/>
              </w:rPr>
              <w:t>),</w:t>
            </w:r>
          </w:p>
          <w:p w:rsidR="00BB2792" w:rsidRPr="00061F78" w:rsidRDefault="00C17C63" w:rsidP="00F207DC">
            <w:pPr>
              <w:pStyle w:val="Tablewriting"/>
              <w:rPr>
                <w:rFonts w:eastAsia="MS Mincho"/>
              </w:rPr>
            </w:pPr>
            <w:r>
              <w:rPr>
                <w:rFonts w:eastAsia="MS Mincho"/>
              </w:rPr>
              <w:t>NRT patch</w:t>
            </w:r>
            <w:r w:rsidR="00BB2792">
              <w:rPr>
                <w:rFonts w:eastAsia="MS Mincho"/>
              </w:rPr>
              <w:t xml:space="preserve"> (n=</w:t>
            </w:r>
            <w:r>
              <w:rPr>
                <w:rFonts w:eastAsia="MS Mincho"/>
              </w:rPr>
              <w:t>865</w:t>
            </w:r>
            <w:r w:rsidR="00BB2792">
              <w:rPr>
                <w:rFonts w:eastAsia="MS Mincho"/>
              </w:rPr>
              <w:t>)</w:t>
            </w:r>
            <w:r w:rsidR="00C22C97">
              <w:rPr>
                <w:rFonts w:eastAsia="MS Mincho"/>
              </w:rPr>
              <w:t xml:space="preserve">; NRT gum (n=63), </w:t>
            </w:r>
            <w:r w:rsidR="00C22C97">
              <w:rPr>
                <w:rFonts w:eastAsia="MS Mincho"/>
              </w:rPr>
              <w:lastRenderedPageBreak/>
              <w:t>NRT patch (n=55)</w:t>
            </w:r>
          </w:p>
        </w:tc>
        <w:tc>
          <w:tcPr>
            <w:tcW w:w="1870" w:type="pct"/>
            <w:tcMar>
              <w:left w:w="28" w:type="dxa"/>
              <w:right w:w="28" w:type="dxa"/>
            </w:tcMar>
          </w:tcPr>
          <w:p w:rsidR="006B4845" w:rsidRPr="007B7C66" w:rsidRDefault="006B4845" w:rsidP="00F207DC">
            <w:pPr>
              <w:pStyle w:val="Tablewriting"/>
              <w:rPr>
                <w:rFonts w:eastAsia="MS Mincho"/>
              </w:rPr>
            </w:pPr>
            <w:r w:rsidRPr="002C19B4">
              <w:rPr>
                <w:rFonts w:eastAsia="MS Mincho"/>
                <w:u w:val="single"/>
              </w:rPr>
              <w:lastRenderedPageBreak/>
              <w:t>Inclusion</w:t>
            </w:r>
            <w:r>
              <w:rPr>
                <w:rFonts w:eastAsia="MS Mincho"/>
              </w:rPr>
              <w:t xml:space="preserve">: </w:t>
            </w:r>
            <w:r w:rsidRPr="007B7C66">
              <w:rPr>
                <w:rFonts w:eastAsia="MS Mincho"/>
              </w:rPr>
              <w:t>men or women who smoked and were motivated to</w:t>
            </w:r>
          </w:p>
          <w:p w:rsidR="006B4845" w:rsidRPr="007B7C66" w:rsidRDefault="006B4845" w:rsidP="00F207DC">
            <w:pPr>
              <w:pStyle w:val="Tablewriting"/>
              <w:rPr>
                <w:rFonts w:eastAsia="MS Mincho"/>
              </w:rPr>
            </w:pPr>
            <w:r w:rsidRPr="007B7C66">
              <w:rPr>
                <w:rFonts w:eastAsia="MS Mincho"/>
              </w:rPr>
              <w:t>quit, irrespective of the setting from which they were recruited</w:t>
            </w:r>
          </w:p>
          <w:p w:rsidR="006B4845" w:rsidRDefault="006B4845" w:rsidP="00F207DC">
            <w:pPr>
              <w:pStyle w:val="Tablewriting"/>
              <w:rPr>
                <w:rFonts w:eastAsia="MS Mincho"/>
              </w:rPr>
            </w:pPr>
            <w:r w:rsidRPr="007B7C66">
              <w:rPr>
                <w:rFonts w:eastAsia="MS Mincho"/>
              </w:rPr>
              <w:t>or their initial level of nicotine dependence, or both</w:t>
            </w:r>
            <w:r>
              <w:rPr>
                <w:rFonts w:eastAsia="MS Mincho"/>
              </w:rPr>
              <w:t>.</w:t>
            </w:r>
          </w:p>
          <w:p w:rsidR="00BB2792" w:rsidRPr="00061F78" w:rsidRDefault="006B4845" w:rsidP="00F207DC">
            <w:pPr>
              <w:pStyle w:val="Tablewriting"/>
              <w:rPr>
                <w:rFonts w:eastAsia="MS Mincho"/>
              </w:rPr>
            </w:pPr>
            <w:r w:rsidRPr="002C19B4">
              <w:rPr>
                <w:rFonts w:eastAsia="MS Mincho"/>
                <w:u w:val="single"/>
              </w:rPr>
              <w:t>Exclusion</w:t>
            </w:r>
            <w:r>
              <w:rPr>
                <w:rFonts w:eastAsia="MS Mincho"/>
              </w:rPr>
              <w:t xml:space="preserve">: trials that </w:t>
            </w:r>
            <w:r w:rsidRPr="00D8489B">
              <w:rPr>
                <w:rFonts w:eastAsia="MS Mincho"/>
              </w:rPr>
              <w:t>randomi</w:t>
            </w:r>
            <w:r>
              <w:rPr>
                <w:rFonts w:eastAsia="MS Mincho"/>
              </w:rPr>
              <w:t>s</w:t>
            </w:r>
            <w:r w:rsidRPr="00D8489B">
              <w:rPr>
                <w:rFonts w:eastAsia="MS Mincho"/>
              </w:rPr>
              <w:t>ed physicians or other therapists to</w:t>
            </w:r>
            <w:r>
              <w:rPr>
                <w:rFonts w:eastAsia="MS Mincho"/>
              </w:rPr>
              <w:t xml:space="preserve"> </w:t>
            </w:r>
            <w:r w:rsidRPr="00D8489B">
              <w:rPr>
                <w:rFonts w:eastAsia="MS Mincho"/>
              </w:rPr>
              <w:t>receive an educational intervention, which included encouraging</w:t>
            </w:r>
            <w:r>
              <w:rPr>
                <w:rFonts w:eastAsia="MS Mincho"/>
              </w:rPr>
              <w:t xml:space="preserve"> </w:t>
            </w:r>
            <w:r w:rsidRPr="00D8489B">
              <w:rPr>
                <w:rFonts w:eastAsia="MS Mincho"/>
              </w:rPr>
              <w:t>their patients to use NRT</w:t>
            </w:r>
            <w:r w:rsidR="00AB5FA3">
              <w:rPr>
                <w:rFonts w:eastAsia="MS Mincho"/>
              </w:rPr>
              <w:t>.</w:t>
            </w:r>
          </w:p>
        </w:tc>
        <w:tc>
          <w:tcPr>
            <w:tcW w:w="970" w:type="pct"/>
          </w:tcPr>
          <w:p w:rsidR="00BB2792" w:rsidRPr="00061F78" w:rsidRDefault="00BB2792" w:rsidP="00F207DC">
            <w:pPr>
              <w:pStyle w:val="Tablewriting"/>
              <w:rPr>
                <w:rFonts w:eastAsia="MS Mincho"/>
              </w:rPr>
            </w:pPr>
            <w:r>
              <w:rPr>
                <w:rFonts w:eastAsia="MS Mincho"/>
              </w:rPr>
              <w:t xml:space="preserve">NRT: </w:t>
            </w:r>
            <w:r w:rsidR="00014636">
              <w:rPr>
                <w:rFonts w:eastAsia="MS Mincho"/>
              </w:rPr>
              <w:t xml:space="preserve">comparison of </w:t>
            </w:r>
            <w:r w:rsidR="007E20B5">
              <w:rPr>
                <w:rFonts w:eastAsia="MS Mincho"/>
              </w:rPr>
              <w:t>any type of NRT</w:t>
            </w:r>
            <w:r w:rsidR="00014636">
              <w:rPr>
                <w:rFonts w:eastAsia="MS Mincho"/>
              </w:rPr>
              <w:t xml:space="preserve"> with another type of NRT</w:t>
            </w:r>
            <w:r w:rsidR="00E21D70">
              <w:rPr>
                <w:rFonts w:eastAsia="MS Mincho"/>
              </w:rPr>
              <w:t xml:space="preserve">, i.e. </w:t>
            </w:r>
            <w:r w:rsidR="00014636">
              <w:rPr>
                <w:rFonts w:eastAsia="MS Mincho"/>
              </w:rPr>
              <w:t xml:space="preserve">patch, </w:t>
            </w:r>
            <w:r w:rsidR="00E21D70">
              <w:rPr>
                <w:rFonts w:eastAsia="MS Mincho"/>
              </w:rPr>
              <w:t>lozenge, gum etc.</w:t>
            </w:r>
          </w:p>
        </w:tc>
        <w:tc>
          <w:tcPr>
            <w:tcW w:w="1096" w:type="pct"/>
            <w:tcMar>
              <w:left w:w="28" w:type="dxa"/>
              <w:right w:w="28" w:type="dxa"/>
            </w:tcMar>
          </w:tcPr>
          <w:p w:rsidR="00F64D0A" w:rsidRDefault="00F64D0A" w:rsidP="00F207DC">
            <w:pPr>
              <w:pStyle w:val="Tablewriting"/>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AB5FA3">
              <w:rPr>
                <w:rFonts w:eastAsia="MS Mincho"/>
              </w:rPr>
              <w:t>.</w:t>
            </w:r>
          </w:p>
          <w:p w:rsidR="00BB2792" w:rsidRPr="00061F78" w:rsidRDefault="00F64D0A" w:rsidP="00F207DC">
            <w:pPr>
              <w:pStyle w:val="Tablewriting"/>
              <w:rPr>
                <w:rFonts w:eastAsia="MS Mincho"/>
              </w:rPr>
            </w:pPr>
            <w:r w:rsidRPr="0036499C">
              <w:rPr>
                <w:rFonts w:eastAsia="MS Mincho"/>
                <w:u w:val="single"/>
              </w:rPr>
              <w:t>Secondary</w:t>
            </w:r>
            <w:r>
              <w:rPr>
                <w:rFonts w:eastAsia="MS Mincho"/>
              </w:rPr>
              <w:t xml:space="preserve">: safety including </w:t>
            </w:r>
            <w:r w:rsidR="002C4725">
              <w:rPr>
                <w:rFonts w:eastAsia="MS Mincho"/>
              </w:rPr>
              <w:t>cardiac</w:t>
            </w:r>
            <w:r>
              <w:rPr>
                <w:rFonts w:eastAsia="MS Mincho"/>
              </w:rPr>
              <w:t xml:space="preserve"> adverse events, serious adverse events and </w:t>
            </w:r>
            <w:r w:rsidR="00691239">
              <w:rPr>
                <w:rFonts w:eastAsia="MS Mincho"/>
              </w:rPr>
              <w:t>withdrawals</w:t>
            </w:r>
            <w:r>
              <w:rPr>
                <w:rFonts w:eastAsia="MS Mincho"/>
              </w:rPr>
              <w:t xml:space="preserve"> due to </w:t>
            </w:r>
            <w:r w:rsidR="00691239">
              <w:rPr>
                <w:rFonts w:eastAsia="MS Mincho"/>
              </w:rPr>
              <w:t>treatment</w:t>
            </w:r>
            <w:r w:rsidR="00AB5FA3">
              <w:rPr>
                <w:rFonts w:eastAsia="MS Mincho"/>
              </w:rPr>
              <w:t>.</w:t>
            </w:r>
          </w:p>
        </w:tc>
      </w:tr>
    </w:tbl>
    <w:p w:rsidR="0017445B" w:rsidRDefault="00FB4A7A" w:rsidP="00FB4A7A">
      <w:pPr>
        <w:pStyle w:val="TableFooter"/>
        <w:keepNext/>
      </w:pPr>
      <w:r>
        <w:t xml:space="preserve">Abbreviations: </w:t>
      </w:r>
      <w:r w:rsidR="0017445B">
        <w:t>CAR = continuous abstinence rate; CO = carbon monoxide; NRT = nicotine replacement therapy; PPA = point prevalence abstinence; RCT = randomised controlled trial</w:t>
      </w:r>
      <w:r w:rsidR="0017445B" w:rsidRPr="00061F78">
        <w:t xml:space="preserve"> </w:t>
      </w:r>
    </w:p>
    <w:p w:rsidR="00FB4A7A" w:rsidRDefault="00FB4A7A" w:rsidP="00FB4A7A">
      <w:pPr>
        <w:pStyle w:val="TableFooter"/>
        <w:keepNext/>
      </w:pPr>
      <w:r w:rsidRPr="00061F78">
        <w:rPr>
          <w:highlight w:val="lightGray"/>
        </w:rPr>
        <w:t>Shaded</w:t>
      </w:r>
      <w:r w:rsidRPr="00061F78">
        <w:t xml:space="preserve"> = previously considered by the PBAC</w:t>
      </w:r>
    </w:p>
    <w:p w:rsidR="00FB4A7A" w:rsidRDefault="00FB4A7A" w:rsidP="00FB4A7A">
      <w:pPr>
        <w:pStyle w:val="TableFooter"/>
        <w:keepNext/>
      </w:pPr>
      <w:r>
        <w:t>1 Only the number of patients (n) in the relevant arms were included</w:t>
      </w:r>
      <w:r w:rsidR="00AB5FA3">
        <w:t>.</w:t>
      </w:r>
      <w:r>
        <w:t xml:space="preserve"> </w:t>
      </w:r>
    </w:p>
    <w:p w:rsidR="00016B50" w:rsidRDefault="00FB4A7A" w:rsidP="0030565B">
      <w:pPr>
        <w:pStyle w:val="TableFooter"/>
        <w:keepNext/>
      </w:pPr>
      <w:r>
        <w:t xml:space="preserve">2 </w:t>
      </w:r>
      <w:r w:rsidR="003874E1" w:rsidRPr="003874E1">
        <w:t>The studies of NRT gum versus control (n=56) and NRT patches versus control (n=54) w</w:t>
      </w:r>
      <w:r w:rsidR="00C14F02">
        <w:t>ere</w:t>
      </w:r>
      <w:r w:rsidR="003874E1" w:rsidRPr="003874E1">
        <w:t xml:space="preserve"> updated in the </w:t>
      </w:r>
      <w:r w:rsidR="003874E1">
        <w:t xml:space="preserve">July 2017 </w:t>
      </w:r>
      <w:r w:rsidR="003874E1" w:rsidRPr="003874E1">
        <w:t>submission with an additional 11 studies comparing NRT patches with control</w:t>
      </w:r>
      <w:r w:rsidR="00AB5FA3">
        <w:t>.</w:t>
      </w:r>
    </w:p>
    <w:p w:rsidR="00790AF1" w:rsidRDefault="00016B50" w:rsidP="0030565B">
      <w:pPr>
        <w:pStyle w:val="TableFooter"/>
        <w:keepNext/>
      </w:pPr>
      <w:r>
        <w:t xml:space="preserve">3 </w:t>
      </w:r>
      <w:r w:rsidR="00FB4A7A">
        <w:t xml:space="preserve">The characteristics of the individual studies comparing NRT lozenge or gum with NRT </w:t>
      </w:r>
      <w:r w:rsidR="00573F59">
        <w:t>patches</w:t>
      </w:r>
      <w:r w:rsidR="00FB4A7A">
        <w:t xml:space="preserve"> included in Lindson et al. (2019) are presented in </w:t>
      </w:r>
      <w:r w:rsidR="00FB4A7A" w:rsidRPr="0079330A">
        <w:t>Appendix</w:t>
      </w:r>
      <w:r w:rsidR="00DA2A06" w:rsidRPr="0079330A">
        <w:t xml:space="preserve"> </w:t>
      </w:r>
      <w:r w:rsidR="003C4A1C">
        <w:t xml:space="preserve">Table </w:t>
      </w:r>
      <w:r w:rsidR="003C4A1C">
        <w:rPr>
          <w:noProof/>
        </w:rPr>
        <w:t>150</w:t>
      </w:r>
      <w:r w:rsidR="00FB4A7A">
        <w:t xml:space="preserve">. </w:t>
      </w:r>
      <w:r w:rsidR="00A10F8C">
        <w:t>Four studies</w:t>
      </w:r>
      <w:r w:rsidR="00FB4A7A">
        <w:t xml:space="preserve"> previously considered by the PBAC (</w:t>
      </w:r>
      <w:r w:rsidR="00723239">
        <w:t xml:space="preserve">Moolchan et al. 2005, </w:t>
      </w:r>
      <w:r w:rsidR="0030565B" w:rsidRPr="0030565B">
        <w:t>Piper et al. 2009, Smith et al. 2009</w:t>
      </w:r>
      <w:r w:rsidR="00723239">
        <w:t xml:space="preserve"> and</w:t>
      </w:r>
      <w:r w:rsidR="0030565B" w:rsidRPr="0030565B">
        <w:t xml:space="preserve"> Schnoll et al. 2010</w:t>
      </w:r>
      <w:r w:rsidR="00FB4A7A" w:rsidRPr="005B2A6C">
        <w:t>)</w:t>
      </w:r>
      <w:r w:rsidR="00FB4A7A">
        <w:t xml:space="preserve"> were </w:t>
      </w:r>
      <w:r w:rsidR="00A10F8C">
        <w:t>included in</w:t>
      </w:r>
      <w:r w:rsidR="00FB4A7A">
        <w:t xml:space="preserve"> the</w:t>
      </w:r>
      <w:r w:rsidR="00A10F8C">
        <w:t xml:space="preserve"> </w:t>
      </w:r>
      <w:r w:rsidR="0030565B">
        <w:t xml:space="preserve">primary </w:t>
      </w:r>
      <w:r w:rsidR="00FB4A7A">
        <w:t xml:space="preserve">efficacy analysis of </w:t>
      </w:r>
      <w:r w:rsidR="00A10F8C">
        <w:t>Lindson</w:t>
      </w:r>
      <w:r w:rsidR="00FB4A7A">
        <w:t xml:space="preserve"> et al. (201</w:t>
      </w:r>
      <w:r w:rsidR="005279EB">
        <w:t>9</w:t>
      </w:r>
      <w:r w:rsidR="00FB4A7A">
        <w:t>).</w:t>
      </w:r>
    </w:p>
    <w:p w:rsidR="00790AF1" w:rsidRDefault="00790AF1" w:rsidP="00C83EDA">
      <w:pPr>
        <w:sectPr w:rsidR="00790AF1" w:rsidSect="00790AF1">
          <w:pgSz w:w="16838" w:h="11906" w:orient="landscape"/>
          <w:pgMar w:top="1440" w:right="1440" w:bottom="1440" w:left="1440" w:header="708" w:footer="708" w:gutter="0"/>
          <w:cols w:space="708"/>
          <w:titlePg/>
          <w:docGrid w:linePitch="360"/>
        </w:sectPr>
      </w:pPr>
    </w:p>
    <w:p w:rsidR="005E6DBB" w:rsidRPr="005E6DBB" w:rsidRDefault="005E6DBB" w:rsidP="005E6DBB">
      <w:pPr>
        <w:rPr>
          <w:u w:val="single"/>
        </w:rPr>
      </w:pPr>
      <w:r w:rsidRPr="005E6DBB">
        <w:rPr>
          <w:u w:val="single"/>
        </w:rPr>
        <w:lastRenderedPageBreak/>
        <w:t>Efficacy</w:t>
      </w:r>
    </w:p>
    <w:p w:rsidR="00AA58F4" w:rsidRDefault="005E6DBB" w:rsidP="00BC44F3">
      <w:r>
        <w:t xml:space="preserve">A summary of the smoking cessation rates </w:t>
      </w:r>
      <w:r w:rsidR="00B317AF">
        <w:t>for</w:t>
      </w:r>
      <w:r>
        <w:t xml:space="preserve"> at least six months follow-up </w:t>
      </w:r>
      <w:r w:rsidR="00552AA0">
        <w:t xml:space="preserve">comparing NRT </w:t>
      </w:r>
      <w:r w:rsidR="00573F59">
        <w:t>lozenges</w:t>
      </w:r>
      <w:r w:rsidR="00552AA0">
        <w:t xml:space="preserve"> or gum with NRT </w:t>
      </w:r>
      <w:r w:rsidR="00573F59">
        <w:t>patches</w:t>
      </w:r>
      <w:r>
        <w:t xml:space="preserve"> is presented in </w:t>
      </w:r>
      <w:r w:rsidR="003C4A1C">
        <w:t xml:space="preserve">Table </w:t>
      </w:r>
      <w:r w:rsidR="003C4A1C">
        <w:rPr>
          <w:noProof/>
        </w:rPr>
        <w:t>30</w:t>
      </w:r>
      <w:r>
        <w:t xml:space="preserve">. The results of the </w:t>
      </w:r>
      <w:r w:rsidR="00BC44F3">
        <w:t xml:space="preserve">four studies previously considered by the PBAC demonstrated no statistically significant difference in long-term cessation rates between NRT </w:t>
      </w:r>
      <w:r w:rsidR="00573F59">
        <w:t>lozenges</w:t>
      </w:r>
      <w:r w:rsidR="00BC44F3">
        <w:t xml:space="preserve"> or gum and NRT </w:t>
      </w:r>
      <w:r w:rsidR="00573F59">
        <w:t>patches</w:t>
      </w:r>
      <w:r>
        <w:t>.</w:t>
      </w:r>
    </w:p>
    <w:p w:rsidR="00AA58F4" w:rsidRDefault="00AA58F4" w:rsidP="00BC44F3">
      <w:r>
        <w:t>For NRT lozenges versus NRT patches, t</w:t>
      </w:r>
      <w:r w:rsidR="00B46E24">
        <w:t>he meta-analys</w:t>
      </w:r>
      <w:r w:rsidR="004A3DC8">
        <w:t>i</w:t>
      </w:r>
      <w:r w:rsidR="006030F7">
        <w:t>s</w:t>
      </w:r>
      <w:r w:rsidR="00B46E24">
        <w:t xml:space="preserve"> of the </w:t>
      </w:r>
      <w:r w:rsidR="00D73986">
        <w:t>three studies comparing NRT lozenge</w:t>
      </w:r>
      <w:r w:rsidR="008957D4">
        <w:t>s</w:t>
      </w:r>
      <w:r w:rsidR="00D73986">
        <w:t xml:space="preserve"> to NRT patches </w:t>
      </w:r>
      <w:r w:rsidR="00E03366">
        <w:t>(</w:t>
      </w:r>
      <w:r w:rsidR="006030F7">
        <w:t>RR</w:t>
      </w:r>
      <w:r w:rsidR="008957D4">
        <w:t>:</w:t>
      </w:r>
      <w:r w:rsidR="006030F7">
        <w:t xml:space="preserve"> 0.94</w:t>
      </w:r>
      <w:r w:rsidR="008957D4">
        <w:t>;</w:t>
      </w:r>
      <w:r w:rsidR="006030F7">
        <w:t xml:space="preserve"> 95%</w:t>
      </w:r>
      <w:r w:rsidR="008957D4">
        <w:t xml:space="preserve"> </w:t>
      </w:r>
      <w:r w:rsidR="006030F7">
        <w:t>CI</w:t>
      </w:r>
      <w:r w:rsidR="008957D4">
        <w:t>:</w:t>
      </w:r>
      <w:r w:rsidR="006030F7">
        <w:t xml:space="preserve"> 0.74, 1.18) </w:t>
      </w:r>
      <w:r w:rsidR="00AC3888">
        <w:t xml:space="preserve">that was previously considered by the PBAC </w:t>
      </w:r>
      <w:r w:rsidR="001D0EC7">
        <w:t xml:space="preserve">to support </w:t>
      </w:r>
      <w:r w:rsidR="00A004BF">
        <w:t xml:space="preserve">the claim of non-inferiority </w:t>
      </w:r>
      <w:r w:rsidR="008D384D">
        <w:t>wa</w:t>
      </w:r>
      <w:r w:rsidR="00333B5C">
        <w:t xml:space="preserve">s </w:t>
      </w:r>
      <w:r w:rsidR="007C259B">
        <w:t>c</w:t>
      </w:r>
      <w:r w:rsidR="00F248A6">
        <w:t>om</w:t>
      </w:r>
      <w:r w:rsidR="007C259B">
        <w:t xml:space="preserve">posed of </w:t>
      </w:r>
      <w:r w:rsidR="00333B5C">
        <w:t xml:space="preserve">the same </w:t>
      </w:r>
      <w:r w:rsidR="007C259B">
        <w:t xml:space="preserve">studies that were included </w:t>
      </w:r>
      <w:r w:rsidR="00333B5C">
        <w:t>in</w:t>
      </w:r>
      <w:r w:rsidR="007C259B">
        <w:t xml:space="preserve"> the meta-analysis by</w:t>
      </w:r>
      <w:r w:rsidR="00333B5C">
        <w:t xml:space="preserve"> Lindson et al. (2019)</w:t>
      </w:r>
      <w:r w:rsidR="008D384D">
        <w:t xml:space="preserve"> </w:t>
      </w:r>
      <w:r w:rsidR="00A004BF">
        <w:t>identified in this review</w:t>
      </w:r>
      <w:r w:rsidR="008D384D">
        <w:t>.</w:t>
      </w:r>
      <w:r w:rsidR="007C259B">
        <w:t xml:space="preserve"> </w:t>
      </w:r>
      <w:r w:rsidR="00407C59">
        <w:t>The slight difference in 95%</w:t>
      </w:r>
      <w:r w:rsidR="00713487">
        <w:t xml:space="preserve"> </w:t>
      </w:r>
      <w:r w:rsidR="00407C59">
        <w:t xml:space="preserve">CI </w:t>
      </w:r>
      <w:r w:rsidR="00C50B6D">
        <w:t>wa</w:t>
      </w:r>
      <w:r w:rsidR="00407C59">
        <w:t>s likely due to the application of a fixed</w:t>
      </w:r>
      <w:r w:rsidR="00713487">
        <w:t>-</w:t>
      </w:r>
      <w:r w:rsidR="00407C59">
        <w:t xml:space="preserve">effects model by Lindson et al. (2019). </w:t>
      </w:r>
    </w:p>
    <w:p w:rsidR="00E953F2" w:rsidRDefault="002B1433" w:rsidP="00BC44F3">
      <w:r>
        <w:t>For NRT gum versus NRT patches, t</w:t>
      </w:r>
      <w:r w:rsidR="00F248A6">
        <w:t>he</w:t>
      </w:r>
      <w:r w:rsidR="004A3DC8">
        <w:t xml:space="preserve"> indirect comparison of NRT gum to NRT patches (RR</w:t>
      </w:r>
      <w:r w:rsidR="00713487">
        <w:t>:</w:t>
      </w:r>
      <w:r w:rsidR="004A3DC8">
        <w:t xml:space="preserve"> </w:t>
      </w:r>
      <w:r w:rsidR="00811404">
        <w:t>0.91</w:t>
      </w:r>
      <w:r w:rsidR="00713487">
        <w:t>;</w:t>
      </w:r>
      <w:r w:rsidR="00811404">
        <w:t xml:space="preserve"> 95%</w:t>
      </w:r>
      <w:r w:rsidR="00713487">
        <w:t xml:space="preserve"> </w:t>
      </w:r>
      <w:r w:rsidR="00811404">
        <w:t>CI</w:t>
      </w:r>
      <w:r w:rsidR="00713487">
        <w:t>:</w:t>
      </w:r>
      <w:r w:rsidR="00811404">
        <w:t xml:space="preserve"> 0.80</w:t>
      </w:r>
      <w:r w:rsidR="00713487">
        <w:t>,</w:t>
      </w:r>
      <w:r w:rsidR="00811404">
        <w:t xml:space="preserve"> 1.04) </w:t>
      </w:r>
      <w:r w:rsidR="00217B42">
        <w:t xml:space="preserve">using </w:t>
      </w:r>
      <w:r w:rsidR="0027158E">
        <w:t xml:space="preserve">evidence from the Cochrane </w:t>
      </w:r>
      <w:r w:rsidR="00713487">
        <w:t>R</w:t>
      </w:r>
      <w:r w:rsidR="0027158E">
        <w:t>eview by Stead et al</w:t>
      </w:r>
      <w:r w:rsidR="00713487">
        <w:t>.</w:t>
      </w:r>
      <w:r w:rsidR="0027158E">
        <w:t xml:space="preserve"> (2012) and </w:t>
      </w:r>
      <w:r w:rsidR="0013609C">
        <w:t xml:space="preserve">considered by the PBAC </w:t>
      </w:r>
      <w:r w:rsidR="00D73986">
        <w:t>demonstrated no statistically significant difference</w:t>
      </w:r>
      <w:r w:rsidR="0013609C">
        <w:t>s</w:t>
      </w:r>
      <w:r w:rsidR="001E7BAF">
        <w:t xml:space="preserve"> and </w:t>
      </w:r>
      <w:r w:rsidR="00975E83">
        <w:t xml:space="preserve">was considered </w:t>
      </w:r>
      <w:r w:rsidR="001E7BAF">
        <w:t xml:space="preserve">to support </w:t>
      </w:r>
      <w:r w:rsidR="0077421C">
        <w:t>the claim of non-inferiority</w:t>
      </w:r>
      <w:r w:rsidR="00811404">
        <w:t>.</w:t>
      </w:r>
      <w:r w:rsidR="005E6DBB">
        <w:t xml:space="preserve"> Similarly, the results of the meta-analysis based on the Cochrane </w:t>
      </w:r>
      <w:r w:rsidR="00DC6241">
        <w:t>R</w:t>
      </w:r>
      <w:r w:rsidR="005E6DBB">
        <w:t xml:space="preserve">eview by </w:t>
      </w:r>
      <w:r w:rsidR="00BC44F3">
        <w:t>Lindson</w:t>
      </w:r>
      <w:r w:rsidR="005E6DBB">
        <w:t xml:space="preserve"> et al. (201</w:t>
      </w:r>
      <w:r w:rsidR="00BC44F3">
        <w:t>9</w:t>
      </w:r>
      <w:r w:rsidR="005E6DBB">
        <w:t>)</w:t>
      </w:r>
      <w:r w:rsidR="008575A4">
        <w:t xml:space="preserve"> </w:t>
      </w:r>
      <w:r w:rsidR="005E6DBB">
        <w:t xml:space="preserve">demonstrated </w:t>
      </w:r>
      <w:r w:rsidR="00BC44F3">
        <w:t>no</w:t>
      </w:r>
      <w:r w:rsidR="005E6DBB">
        <w:t xml:space="preserve"> statistically significant difference in long-term smoking cessation rates</w:t>
      </w:r>
      <w:r w:rsidR="00BC44F3">
        <w:t xml:space="preserve"> between the two treatment arms</w:t>
      </w:r>
      <w:r w:rsidR="0077421C">
        <w:t xml:space="preserve"> however </w:t>
      </w:r>
      <w:r w:rsidR="002C3B20">
        <w:t>with a less precise estimate</w:t>
      </w:r>
      <w:r w:rsidR="00E03D5B">
        <w:t>.</w:t>
      </w:r>
      <w:r w:rsidR="0011143D">
        <w:t xml:space="preserve"> </w:t>
      </w:r>
      <w:r w:rsidR="00550DD5">
        <w:t>However,</w:t>
      </w:r>
      <w:r w:rsidR="0011143D">
        <w:t xml:space="preserve"> </w:t>
      </w:r>
      <w:r w:rsidR="00465758">
        <w:t xml:space="preserve">only </w:t>
      </w:r>
      <w:r w:rsidR="0011143D">
        <w:t xml:space="preserve">two studies </w:t>
      </w:r>
      <w:r w:rsidR="00465758">
        <w:t xml:space="preserve">were </w:t>
      </w:r>
      <w:r w:rsidR="0011143D">
        <w:t>included in the meta-analysis by Lindson et al. (2019)</w:t>
      </w:r>
      <w:r w:rsidR="00465758">
        <w:t xml:space="preserve">, as compared to the </w:t>
      </w:r>
      <w:r w:rsidR="00D0248F">
        <w:t>110 trials included in the indirect comparison considered by the PBAC. Furthermore, the two studies included in the meta-analysis by Lindson et al. (2019)</w:t>
      </w:r>
      <w:r w:rsidR="0011143D">
        <w:t xml:space="preserve"> </w:t>
      </w:r>
      <w:r w:rsidR="00F437BF">
        <w:t>ha</w:t>
      </w:r>
      <w:r w:rsidR="00D0248F">
        <w:t>d</w:t>
      </w:r>
      <w:r w:rsidR="00F437BF">
        <w:t xml:space="preserve"> small sample sizes, </w:t>
      </w:r>
      <w:r w:rsidR="00D0248F">
        <w:t>w</w:t>
      </w:r>
      <w:r w:rsidR="00AF51ED">
        <w:t>as</w:t>
      </w:r>
      <w:r w:rsidR="00F437BF">
        <w:t xml:space="preserve"> at high risk of bias (</w:t>
      </w:r>
      <w:r w:rsidR="005A6F38">
        <w:t>Kupe</w:t>
      </w:r>
      <w:r w:rsidR="00F52116">
        <w:t xml:space="preserve">cz 2006) </w:t>
      </w:r>
      <w:r w:rsidR="0060679A">
        <w:t>or wa</w:t>
      </w:r>
      <w:r w:rsidR="00AF51ED">
        <w:t>s</w:t>
      </w:r>
      <w:r w:rsidR="00F52116">
        <w:t xml:space="preserve"> </w:t>
      </w:r>
      <w:r w:rsidR="00AF51ED">
        <w:t xml:space="preserve">previously </w:t>
      </w:r>
      <w:r w:rsidR="00F52116">
        <w:t xml:space="preserve">considered </w:t>
      </w:r>
      <w:r w:rsidR="0060679A">
        <w:t xml:space="preserve">by the PBAC to </w:t>
      </w:r>
      <w:r w:rsidR="00084B08">
        <w:t>provide inadequate evidence for the relative efficacy and safety of NRT gum to patches</w:t>
      </w:r>
      <w:r w:rsidR="0056073E">
        <w:t xml:space="preserve"> (Moolchan 200</w:t>
      </w:r>
      <w:r w:rsidR="003D6922">
        <w:t>5</w:t>
      </w:r>
      <w:r w:rsidR="0056073E">
        <w:t>)</w:t>
      </w:r>
      <w:r w:rsidR="00084B08">
        <w:t xml:space="preserve">. </w:t>
      </w:r>
    </w:p>
    <w:p w:rsidR="00790AF1" w:rsidRDefault="009C4266" w:rsidP="00BC44F3">
      <w:r>
        <w:t>As reported in</w:t>
      </w:r>
      <w:r w:rsidR="008575A4">
        <w:t xml:space="preserve"> the NRT patches versus placebo section</w:t>
      </w:r>
      <w:r w:rsidR="009907B5">
        <w:t>, t</w:t>
      </w:r>
      <w:r w:rsidR="00192001">
        <w:t>he</w:t>
      </w:r>
      <w:r w:rsidR="001A15DB">
        <w:t xml:space="preserve"> effect estimate</w:t>
      </w:r>
      <w:r w:rsidR="00824AA0">
        <w:t>s</w:t>
      </w:r>
      <w:r w:rsidR="001A15DB">
        <w:t xml:space="preserve"> </w:t>
      </w:r>
      <w:r w:rsidR="00783099">
        <w:t xml:space="preserve">(RR) </w:t>
      </w:r>
      <w:r w:rsidR="001A15DB">
        <w:t xml:space="preserve">for NRT patches </w:t>
      </w:r>
      <w:r w:rsidR="00773677">
        <w:t xml:space="preserve">and gum </w:t>
      </w:r>
      <w:r w:rsidR="001A15DB">
        <w:t xml:space="preserve">versus placebo/control </w:t>
      </w:r>
      <w:r w:rsidR="00773677">
        <w:t>reported in</w:t>
      </w:r>
      <w:r w:rsidR="00192001">
        <w:t xml:space="preserve"> Hartmann-Boyce et al. (2018) </w:t>
      </w:r>
      <w:r w:rsidR="00783099">
        <w:t>w</w:t>
      </w:r>
      <w:r w:rsidR="008B5F8F">
        <w:t>ere</w:t>
      </w:r>
      <w:r w:rsidR="00783099">
        <w:t xml:space="preserve"> </w:t>
      </w:r>
      <w:r w:rsidR="004C7837">
        <w:t>1.64 (95%</w:t>
      </w:r>
      <w:r w:rsidR="003D6922">
        <w:t xml:space="preserve"> </w:t>
      </w:r>
      <w:r w:rsidR="004C7837">
        <w:t>CI</w:t>
      </w:r>
      <w:r w:rsidR="003D6922">
        <w:t>:</w:t>
      </w:r>
      <w:r w:rsidR="004C7837">
        <w:t xml:space="preserve"> 1.53, 1.75)</w:t>
      </w:r>
      <w:r w:rsidR="00081139">
        <w:t xml:space="preserve"> and 1.49 (95%</w:t>
      </w:r>
      <w:r w:rsidR="003D6922">
        <w:t xml:space="preserve"> </w:t>
      </w:r>
      <w:r w:rsidR="00081139">
        <w:t>CI</w:t>
      </w:r>
      <w:r w:rsidR="003D6922">
        <w:t>:</w:t>
      </w:r>
      <w:r w:rsidR="00081139">
        <w:t xml:space="preserve"> 1.40, 1.60)</w:t>
      </w:r>
      <w:r w:rsidR="003D6922">
        <w:t>,</w:t>
      </w:r>
      <w:r w:rsidR="00773677">
        <w:t xml:space="preserve"> respectively</w:t>
      </w:r>
      <w:r w:rsidR="00081139">
        <w:t>.</w:t>
      </w:r>
      <w:r w:rsidR="004C7837">
        <w:t xml:space="preserve"> Th</w:t>
      </w:r>
      <w:r w:rsidR="002311CE">
        <w:t>e</w:t>
      </w:r>
      <w:r w:rsidR="004C7837">
        <w:t>s</w:t>
      </w:r>
      <w:r w:rsidR="002311CE">
        <w:t>e</w:t>
      </w:r>
      <w:r w:rsidR="004C7837">
        <w:t xml:space="preserve"> w</w:t>
      </w:r>
      <w:r w:rsidR="002311CE">
        <w:t>ere</w:t>
      </w:r>
      <w:r w:rsidR="004C7837">
        <w:t xml:space="preserve"> </w:t>
      </w:r>
      <w:r w:rsidR="006D193F">
        <w:t xml:space="preserve">consistent </w:t>
      </w:r>
      <w:r w:rsidR="00E93BF2">
        <w:t>with the effect estimate</w:t>
      </w:r>
      <w:r w:rsidR="002311CE">
        <w:t>s</w:t>
      </w:r>
      <w:r w:rsidR="004C7837">
        <w:t xml:space="preserve"> for NRT patches</w:t>
      </w:r>
      <w:r w:rsidR="00B84EA9">
        <w:t xml:space="preserve"> (RR</w:t>
      </w:r>
      <w:r w:rsidR="003D6922">
        <w:t>:</w:t>
      </w:r>
      <w:r w:rsidR="00B84EA9">
        <w:t xml:space="preserve"> 1.63</w:t>
      </w:r>
      <w:r w:rsidR="003D6922">
        <w:t>;</w:t>
      </w:r>
      <w:r w:rsidR="00B84EA9">
        <w:t xml:space="preserve"> 95%</w:t>
      </w:r>
      <w:r w:rsidR="003D6922">
        <w:t xml:space="preserve"> </w:t>
      </w:r>
      <w:r w:rsidR="00B84EA9">
        <w:t>CI</w:t>
      </w:r>
      <w:r w:rsidR="003D6922">
        <w:t>:</w:t>
      </w:r>
      <w:r w:rsidR="00B84EA9">
        <w:t xml:space="preserve"> 1.49, 1.79) and NRT gum (RR</w:t>
      </w:r>
      <w:r w:rsidR="003D6922">
        <w:t>:</w:t>
      </w:r>
      <w:r w:rsidR="00B84EA9">
        <w:t xml:space="preserve"> 1.49</w:t>
      </w:r>
      <w:r w:rsidR="003D6922">
        <w:t>;</w:t>
      </w:r>
      <w:r w:rsidR="00B84EA9">
        <w:t xml:space="preserve"> 95%</w:t>
      </w:r>
      <w:r w:rsidR="003D6922">
        <w:t xml:space="preserve"> </w:t>
      </w:r>
      <w:r w:rsidR="00B84EA9">
        <w:t>CI</w:t>
      </w:r>
      <w:r w:rsidR="003D6922">
        <w:t>:</w:t>
      </w:r>
      <w:r w:rsidR="00B84EA9">
        <w:t xml:space="preserve"> 1.36, 1.64)</w:t>
      </w:r>
      <w:r w:rsidR="002311CE">
        <w:t xml:space="preserve"> </w:t>
      </w:r>
      <w:r w:rsidR="00C91CD6">
        <w:t>that</w:t>
      </w:r>
      <w:r w:rsidR="002F1CCF">
        <w:t xml:space="preserve"> were </w:t>
      </w:r>
      <w:r w:rsidR="009D790E">
        <w:t>updated</w:t>
      </w:r>
      <w:r w:rsidR="00841773">
        <w:t xml:space="preserve"> from </w:t>
      </w:r>
      <w:r w:rsidR="008B5F8F">
        <w:t xml:space="preserve">Stead et al. (2012) - </w:t>
      </w:r>
      <w:r w:rsidR="00841773">
        <w:t>an earlier version of Hartmann-Boyce et al. (2018)</w:t>
      </w:r>
      <w:r w:rsidR="008B5F8F">
        <w:t xml:space="preserve"> -</w:t>
      </w:r>
      <w:r w:rsidR="00841773">
        <w:t xml:space="preserve"> and used to</w:t>
      </w:r>
      <w:r w:rsidR="00C91CD6">
        <w:t xml:space="preserve"> inform</w:t>
      </w:r>
      <w:r w:rsidR="00841773">
        <w:t xml:space="preserve"> </w:t>
      </w:r>
      <w:r w:rsidR="00D675C6">
        <w:t>the</w:t>
      </w:r>
      <w:r w:rsidR="00A31703">
        <w:t xml:space="preserve"> indirect comparison </w:t>
      </w:r>
      <w:r w:rsidR="0038570D">
        <w:t xml:space="preserve">of NRT gum to NRT patches </w:t>
      </w:r>
      <w:r w:rsidR="00A31703">
        <w:t>considered by the PBAC</w:t>
      </w:r>
      <w:r w:rsidR="00B84EA9">
        <w:t xml:space="preserve">. </w:t>
      </w:r>
      <w:r w:rsidR="00D03B0A">
        <w:t>Th</w:t>
      </w:r>
      <w:r w:rsidR="00843F5B">
        <w:t>e</w:t>
      </w:r>
      <w:r w:rsidR="00D03B0A">
        <w:t xml:space="preserve"> </w:t>
      </w:r>
      <w:r w:rsidR="00015419">
        <w:t>stability of this evidence base</w:t>
      </w:r>
      <w:r w:rsidR="006338D2">
        <w:t xml:space="preserve"> between updates</w:t>
      </w:r>
      <w:r w:rsidR="00015419">
        <w:t xml:space="preserve"> </w:t>
      </w:r>
      <w:r w:rsidR="00D03B0A">
        <w:t xml:space="preserve">is consistent with the conclusions drawn by </w:t>
      </w:r>
      <w:r w:rsidR="00B84EA9">
        <w:t>Hartmann-Boyce et al</w:t>
      </w:r>
      <w:r w:rsidR="003D6922">
        <w:t>.</w:t>
      </w:r>
      <w:r w:rsidR="00773677">
        <w:t xml:space="preserve"> (2018)</w:t>
      </w:r>
      <w:r w:rsidR="00D73EAA">
        <w:t xml:space="preserve">, and subsequent decision for Hartmann-Boyce et al. (2018) to </w:t>
      </w:r>
      <w:r w:rsidR="00600B1F">
        <w:t>cease</w:t>
      </w:r>
      <w:r w:rsidR="00D73EAA">
        <w:t xml:space="preserve"> updat</w:t>
      </w:r>
      <w:r w:rsidR="00600B1F">
        <w:t>ing</w:t>
      </w:r>
      <w:r w:rsidR="00D73EAA">
        <w:t xml:space="preserve"> this Cochrane review.</w:t>
      </w:r>
    </w:p>
    <w:p w:rsidR="005E6DBB" w:rsidRDefault="005E6DBB" w:rsidP="005E6DBB">
      <w:pPr>
        <w:pStyle w:val="Caption"/>
        <w:keepNext/>
      </w:pPr>
      <w:bookmarkStart w:id="100" w:name="_Ref54622259"/>
      <w:r>
        <w:lastRenderedPageBreak/>
        <w:t xml:space="preserve">Table </w:t>
      </w:r>
      <w:r w:rsidR="003C4A1C">
        <w:rPr>
          <w:noProof/>
        </w:rPr>
        <w:t>30</w:t>
      </w:r>
      <w:bookmarkEnd w:id="100"/>
      <w:r>
        <w:t xml:space="preserve">: </w:t>
      </w:r>
      <w:r w:rsidRPr="00767182">
        <w:t>Results of smoking cessation f</w:t>
      </w:r>
      <w:r w:rsidR="00584A53">
        <w:t>or</w:t>
      </w:r>
      <w:r w:rsidRPr="00767182">
        <w:t xml:space="preserve"> at least six months follow-up, NRT </w:t>
      </w:r>
      <w:r>
        <w:t xml:space="preserve">lozenge or gum versus NRT </w:t>
      </w:r>
      <w:r w:rsidRPr="00767182">
        <w:t>patch</w:t>
      </w:r>
    </w:p>
    <w:tbl>
      <w:tblPr>
        <w:tblStyle w:val="TableGrid"/>
        <w:tblW w:w="5000" w:type="pct"/>
        <w:tblLook w:val="04A0" w:firstRow="1" w:lastRow="0" w:firstColumn="1" w:lastColumn="0" w:noHBand="0" w:noVBand="1"/>
        <w:tblCaption w:val="Efficacy results of adalimumab trials (PASI 75 and DLQI)"/>
      </w:tblPr>
      <w:tblGrid>
        <w:gridCol w:w="1702"/>
        <w:gridCol w:w="1702"/>
        <w:gridCol w:w="1971"/>
        <w:gridCol w:w="1814"/>
        <w:gridCol w:w="1827"/>
      </w:tblGrid>
      <w:tr w:rsidR="00F16EB9" w:rsidRPr="00061F78" w:rsidTr="00F16EB9">
        <w:trPr>
          <w:cantSplit/>
          <w:trHeight w:val="299"/>
          <w:tblHeader/>
        </w:trPr>
        <w:tc>
          <w:tcPr>
            <w:tcW w:w="944" w:type="pct"/>
            <w:shd w:val="clear" w:color="auto" w:fill="BFBFBF" w:themeFill="background1" w:themeFillShade="BF"/>
            <w:tcMar>
              <w:left w:w="28" w:type="dxa"/>
              <w:right w:w="28" w:type="dxa"/>
            </w:tcMar>
          </w:tcPr>
          <w:p w:rsidR="00F16EB9" w:rsidRPr="00061F78" w:rsidRDefault="00F16EB9" w:rsidP="00A833AE">
            <w:pPr>
              <w:pStyle w:val="Tableheading"/>
              <w:keepNext/>
              <w:rPr>
                <w:rFonts w:eastAsia="MS Mincho"/>
              </w:rPr>
            </w:pPr>
            <w:r>
              <w:rPr>
                <w:rFonts w:eastAsia="MS Mincho"/>
              </w:rPr>
              <w:t>Study</w:t>
            </w:r>
          </w:p>
        </w:tc>
        <w:tc>
          <w:tcPr>
            <w:tcW w:w="944" w:type="pct"/>
            <w:shd w:val="clear" w:color="auto" w:fill="BFBFBF" w:themeFill="background1" w:themeFillShade="BF"/>
            <w:vAlign w:val="center"/>
          </w:tcPr>
          <w:p w:rsidR="00F16EB9" w:rsidRDefault="00F16EB9" w:rsidP="00A833AE">
            <w:pPr>
              <w:pStyle w:val="Tableheading"/>
              <w:keepNext/>
              <w:jc w:val="center"/>
              <w:rPr>
                <w:rFonts w:eastAsia="MS Mincho"/>
              </w:rPr>
            </w:pPr>
            <w:r>
              <w:rPr>
                <w:rFonts w:eastAsia="MS Mincho"/>
              </w:rPr>
              <w:t>Study type</w:t>
            </w:r>
          </w:p>
        </w:tc>
        <w:tc>
          <w:tcPr>
            <w:tcW w:w="1093" w:type="pct"/>
            <w:shd w:val="clear" w:color="auto" w:fill="BFBFBF" w:themeFill="background1" w:themeFillShade="BF"/>
            <w:tcMar>
              <w:left w:w="28" w:type="dxa"/>
              <w:right w:w="28" w:type="dxa"/>
            </w:tcMar>
            <w:vAlign w:val="center"/>
          </w:tcPr>
          <w:p w:rsidR="00F16EB9" w:rsidRPr="00061F78" w:rsidRDefault="00F16EB9" w:rsidP="00A833AE">
            <w:pPr>
              <w:pStyle w:val="Tableheading"/>
              <w:keepNext/>
              <w:jc w:val="center"/>
              <w:rPr>
                <w:rFonts w:eastAsia="MS Mincho"/>
              </w:rPr>
            </w:pPr>
            <w:r>
              <w:rPr>
                <w:rFonts w:eastAsia="MS Mincho"/>
              </w:rPr>
              <w:t>NRT lozenge/gum</w:t>
            </w:r>
          </w:p>
        </w:tc>
        <w:tc>
          <w:tcPr>
            <w:tcW w:w="1006" w:type="pct"/>
            <w:shd w:val="clear" w:color="auto" w:fill="BFBFBF" w:themeFill="background1" w:themeFillShade="BF"/>
            <w:tcMar>
              <w:left w:w="28" w:type="dxa"/>
              <w:right w:w="28" w:type="dxa"/>
            </w:tcMar>
            <w:vAlign w:val="center"/>
          </w:tcPr>
          <w:p w:rsidR="00F16EB9" w:rsidRPr="00061F78" w:rsidRDefault="00F16EB9" w:rsidP="00A833AE">
            <w:pPr>
              <w:pStyle w:val="Tableheading"/>
              <w:keepNext/>
              <w:jc w:val="center"/>
              <w:rPr>
                <w:rFonts w:eastAsia="MS Mincho"/>
              </w:rPr>
            </w:pPr>
            <w:r>
              <w:rPr>
                <w:rFonts w:eastAsia="MS Mincho"/>
              </w:rPr>
              <w:t>NRT patch</w:t>
            </w:r>
          </w:p>
        </w:tc>
        <w:tc>
          <w:tcPr>
            <w:tcW w:w="1013" w:type="pct"/>
            <w:shd w:val="clear" w:color="auto" w:fill="BFBFBF" w:themeFill="background1" w:themeFillShade="BF"/>
            <w:tcMar>
              <w:left w:w="28" w:type="dxa"/>
              <w:right w:w="28" w:type="dxa"/>
            </w:tcMar>
            <w:vAlign w:val="center"/>
          </w:tcPr>
          <w:p w:rsidR="00F16EB9" w:rsidRPr="00D468CF" w:rsidRDefault="00F16EB9" w:rsidP="00A833AE">
            <w:pPr>
              <w:pStyle w:val="Tableheading"/>
              <w:keepNext/>
              <w:jc w:val="center"/>
              <w:rPr>
                <w:rFonts w:eastAsia="MS Mincho"/>
                <w:vertAlign w:val="superscript"/>
              </w:rPr>
            </w:pPr>
            <w:r>
              <w:rPr>
                <w:rFonts w:eastAsia="MS Mincho"/>
              </w:rPr>
              <w:t>RR (95% CI)</w:t>
            </w:r>
          </w:p>
        </w:tc>
      </w:tr>
      <w:tr w:rsidR="00F16EB9" w:rsidRPr="00061F78" w:rsidTr="00E97C7D">
        <w:trPr>
          <w:cantSplit/>
          <w:trHeight w:val="99"/>
        </w:trPr>
        <w:tc>
          <w:tcPr>
            <w:tcW w:w="5000" w:type="pct"/>
            <w:gridSpan w:val="5"/>
            <w:shd w:val="clear" w:color="auto" w:fill="auto"/>
            <w:tcMar>
              <w:left w:w="28" w:type="dxa"/>
              <w:right w:w="28" w:type="dxa"/>
            </w:tcMar>
          </w:tcPr>
          <w:p w:rsidR="00F16EB9" w:rsidRPr="00C324F3" w:rsidRDefault="00F16EB9" w:rsidP="005E6DBB">
            <w:pPr>
              <w:pStyle w:val="Tablewriting"/>
              <w:keepNext/>
              <w:rPr>
                <w:rFonts w:eastAsia="MS Mincho"/>
                <w:b/>
                <w:vertAlign w:val="superscript"/>
              </w:rPr>
            </w:pPr>
            <w:r w:rsidRPr="00E97C7D">
              <w:rPr>
                <w:rFonts w:eastAsia="MS Mincho"/>
                <w:b/>
                <w:bCs/>
              </w:rPr>
              <w:t>NRT lozenge versus NRT patch</w:t>
            </w:r>
            <w:r w:rsidR="00D35E6F">
              <w:rPr>
                <w:rFonts w:eastAsia="MS Mincho"/>
                <w:b/>
                <w:bCs/>
                <w:vertAlign w:val="superscript"/>
              </w:rPr>
              <w:t>6</w:t>
            </w:r>
          </w:p>
        </w:tc>
      </w:tr>
      <w:tr w:rsidR="00F16EB9" w:rsidRPr="00061F78" w:rsidTr="00015CD6">
        <w:trPr>
          <w:cantSplit/>
          <w:trHeight w:val="99"/>
        </w:trPr>
        <w:tc>
          <w:tcPr>
            <w:tcW w:w="944" w:type="pct"/>
            <w:shd w:val="clear" w:color="auto" w:fill="D9D9D9" w:themeFill="background1" w:themeFillShade="D9"/>
            <w:tcMar>
              <w:left w:w="28" w:type="dxa"/>
              <w:right w:w="28" w:type="dxa"/>
            </w:tcMar>
          </w:tcPr>
          <w:p w:rsidR="00F16EB9" w:rsidRDefault="00F16EB9" w:rsidP="00A833AE">
            <w:pPr>
              <w:pStyle w:val="Tablewriting"/>
              <w:keepNext/>
              <w:rPr>
                <w:rFonts w:eastAsia="MS Mincho"/>
              </w:rPr>
            </w:pPr>
            <w:r>
              <w:rPr>
                <w:rFonts w:eastAsia="MS Mincho"/>
              </w:rPr>
              <w:t>Piper</w:t>
            </w:r>
          </w:p>
          <w:p w:rsidR="00F16EB9" w:rsidRPr="005E6DBB" w:rsidRDefault="00F16EB9" w:rsidP="00A833AE">
            <w:pPr>
              <w:pStyle w:val="Tablewriting"/>
              <w:keepNext/>
              <w:rPr>
                <w:rFonts w:eastAsia="MS Mincho"/>
                <w:vertAlign w:val="superscript"/>
              </w:rPr>
            </w:pPr>
            <w:r>
              <w:rPr>
                <w:rFonts w:eastAsia="MS Mincho"/>
              </w:rPr>
              <w:t>(2009)</w:t>
            </w:r>
            <w:r>
              <w:rPr>
                <w:rFonts w:eastAsia="MS Mincho"/>
                <w:vertAlign w:val="superscript"/>
              </w:rPr>
              <w:t>1</w:t>
            </w:r>
          </w:p>
        </w:tc>
        <w:tc>
          <w:tcPr>
            <w:tcW w:w="944" w:type="pct"/>
            <w:shd w:val="clear" w:color="auto" w:fill="D9D9D9" w:themeFill="background1" w:themeFillShade="D9"/>
            <w:vAlign w:val="center"/>
          </w:tcPr>
          <w:p w:rsidR="00F16EB9" w:rsidRDefault="00F16EB9" w:rsidP="00A833AE">
            <w:pPr>
              <w:pStyle w:val="Tablewriting"/>
              <w:keepNext/>
              <w:jc w:val="center"/>
              <w:rPr>
                <w:rFonts w:eastAsia="MS Mincho"/>
              </w:rPr>
            </w:pPr>
            <w:r>
              <w:rPr>
                <w:rFonts w:eastAsia="MS Mincho"/>
              </w:rPr>
              <w:t>RCT</w:t>
            </w:r>
          </w:p>
        </w:tc>
        <w:tc>
          <w:tcPr>
            <w:tcW w:w="1093" w:type="pct"/>
            <w:shd w:val="clear" w:color="auto" w:fill="D9D9D9" w:themeFill="background1" w:themeFillShade="D9"/>
            <w:tcMar>
              <w:left w:w="28" w:type="dxa"/>
              <w:right w:w="28" w:type="dxa"/>
            </w:tcMar>
            <w:vAlign w:val="center"/>
          </w:tcPr>
          <w:p w:rsidR="00F16EB9" w:rsidRPr="0078171D" w:rsidRDefault="00F16EB9" w:rsidP="00A833AE">
            <w:pPr>
              <w:pStyle w:val="Tablewriting"/>
              <w:keepNext/>
              <w:jc w:val="center"/>
              <w:rPr>
                <w:rFonts w:eastAsia="MS Mincho"/>
              </w:rPr>
            </w:pPr>
            <w:r>
              <w:rPr>
                <w:rFonts w:eastAsia="MS Mincho"/>
              </w:rPr>
              <w:t>87</w:t>
            </w:r>
            <w:r w:rsidRPr="0078171D">
              <w:rPr>
                <w:rFonts w:eastAsia="MS Mincho"/>
              </w:rPr>
              <w:t>/</w:t>
            </w:r>
            <w:r>
              <w:rPr>
                <w:rFonts w:eastAsia="MS Mincho"/>
              </w:rPr>
              <w:t>260</w:t>
            </w:r>
            <w:r w:rsidRPr="0078171D">
              <w:rPr>
                <w:rFonts w:eastAsia="MS Mincho"/>
              </w:rPr>
              <w:t xml:space="preserve"> </w:t>
            </w:r>
          </w:p>
          <w:p w:rsidR="00F16EB9" w:rsidRPr="0078171D" w:rsidRDefault="00F16EB9" w:rsidP="00A833AE">
            <w:pPr>
              <w:pStyle w:val="Tablewriting"/>
              <w:keepNext/>
              <w:jc w:val="center"/>
              <w:rPr>
                <w:rFonts w:eastAsia="MS Mincho"/>
              </w:rPr>
            </w:pPr>
            <w:r w:rsidRPr="0078171D">
              <w:rPr>
                <w:rFonts w:eastAsia="MS Mincho"/>
              </w:rPr>
              <w:t>(</w:t>
            </w:r>
            <w:r>
              <w:rPr>
                <w:rFonts w:eastAsia="MS Mincho"/>
              </w:rPr>
              <w:t>33.5</w:t>
            </w:r>
            <w:r w:rsidRPr="0078171D">
              <w:rPr>
                <w:rFonts w:eastAsia="MS Mincho"/>
              </w:rPr>
              <w:t>%)</w:t>
            </w:r>
          </w:p>
        </w:tc>
        <w:tc>
          <w:tcPr>
            <w:tcW w:w="1006" w:type="pct"/>
            <w:shd w:val="clear" w:color="auto" w:fill="D9D9D9" w:themeFill="background1" w:themeFillShade="D9"/>
            <w:tcMar>
              <w:left w:w="28" w:type="dxa"/>
              <w:right w:w="28" w:type="dxa"/>
            </w:tcMar>
            <w:vAlign w:val="center"/>
          </w:tcPr>
          <w:p w:rsidR="00F16EB9" w:rsidRPr="0078171D" w:rsidRDefault="00F16EB9" w:rsidP="00A833AE">
            <w:pPr>
              <w:pStyle w:val="Tablewriting"/>
              <w:keepNext/>
              <w:jc w:val="center"/>
              <w:rPr>
                <w:rFonts w:eastAsia="MS Mincho"/>
              </w:rPr>
            </w:pPr>
            <w:r>
              <w:rPr>
                <w:rFonts w:eastAsia="MS Mincho"/>
              </w:rPr>
              <w:t>90</w:t>
            </w:r>
            <w:r w:rsidRPr="0078171D">
              <w:rPr>
                <w:rFonts w:eastAsia="MS Mincho"/>
              </w:rPr>
              <w:t>/</w:t>
            </w:r>
            <w:r>
              <w:rPr>
                <w:rFonts w:eastAsia="MS Mincho"/>
              </w:rPr>
              <w:t>262</w:t>
            </w:r>
            <w:r w:rsidRPr="0078171D">
              <w:rPr>
                <w:rFonts w:eastAsia="MS Mincho"/>
              </w:rPr>
              <w:t xml:space="preserve"> </w:t>
            </w:r>
          </w:p>
          <w:p w:rsidR="00F16EB9" w:rsidRPr="0078171D" w:rsidRDefault="00F16EB9" w:rsidP="00A833AE">
            <w:pPr>
              <w:pStyle w:val="Tablewriting"/>
              <w:keepNext/>
              <w:jc w:val="center"/>
              <w:rPr>
                <w:rFonts w:eastAsia="MS Mincho"/>
              </w:rPr>
            </w:pPr>
            <w:r w:rsidRPr="0078171D">
              <w:rPr>
                <w:rFonts w:eastAsia="MS Mincho"/>
              </w:rPr>
              <w:t>(</w:t>
            </w:r>
            <w:r>
              <w:rPr>
                <w:rFonts w:eastAsia="MS Mincho"/>
              </w:rPr>
              <w:t>34.4</w:t>
            </w:r>
            <w:r w:rsidRPr="0078171D">
              <w:rPr>
                <w:rFonts w:eastAsia="MS Mincho"/>
              </w:rPr>
              <w:t>%)</w:t>
            </w:r>
          </w:p>
        </w:tc>
        <w:tc>
          <w:tcPr>
            <w:tcW w:w="1013" w:type="pct"/>
            <w:shd w:val="clear" w:color="auto" w:fill="D9D9D9" w:themeFill="background1" w:themeFillShade="D9"/>
            <w:tcMar>
              <w:left w:w="28" w:type="dxa"/>
              <w:right w:w="28" w:type="dxa"/>
            </w:tcMar>
            <w:vAlign w:val="center"/>
          </w:tcPr>
          <w:p w:rsidR="00F16EB9" w:rsidRPr="00BC44F3" w:rsidRDefault="00F16EB9" w:rsidP="00A833AE">
            <w:pPr>
              <w:pStyle w:val="Tablewriting"/>
              <w:keepNext/>
              <w:jc w:val="center"/>
              <w:rPr>
                <w:rFonts w:eastAsia="MS Mincho"/>
              </w:rPr>
            </w:pPr>
            <w:r w:rsidRPr="00BC44F3">
              <w:rPr>
                <w:rFonts w:eastAsia="MS Mincho"/>
              </w:rPr>
              <w:t>0.97</w:t>
            </w:r>
          </w:p>
          <w:p w:rsidR="00F16EB9" w:rsidRPr="00BC44F3" w:rsidRDefault="00F16EB9" w:rsidP="00A833AE">
            <w:pPr>
              <w:pStyle w:val="Tablewriting"/>
              <w:keepNext/>
              <w:jc w:val="center"/>
              <w:rPr>
                <w:rFonts w:eastAsia="MS Mincho"/>
              </w:rPr>
            </w:pPr>
            <w:r w:rsidRPr="00BC44F3">
              <w:rPr>
                <w:rFonts w:eastAsia="MS Mincho"/>
              </w:rPr>
              <w:t>(0.77, 1.24)</w:t>
            </w:r>
          </w:p>
        </w:tc>
      </w:tr>
      <w:tr w:rsidR="00F16EB9" w:rsidRPr="00061F78" w:rsidTr="00015CD6">
        <w:trPr>
          <w:cantSplit/>
          <w:trHeight w:val="99"/>
        </w:trPr>
        <w:tc>
          <w:tcPr>
            <w:tcW w:w="944" w:type="pct"/>
            <w:shd w:val="clear" w:color="auto" w:fill="D9D9D9" w:themeFill="background1" w:themeFillShade="D9"/>
            <w:tcMar>
              <w:left w:w="28" w:type="dxa"/>
              <w:right w:w="28" w:type="dxa"/>
            </w:tcMar>
          </w:tcPr>
          <w:p w:rsidR="00F16EB9" w:rsidRDefault="00F16EB9" w:rsidP="005E6DBB">
            <w:pPr>
              <w:pStyle w:val="Tablewriting"/>
              <w:keepNext/>
              <w:rPr>
                <w:rFonts w:eastAsia="MS Mincho"/>
              </w:rPr>
            </w:pPr>
            <w:r>
              <w:rPr>
                <w:rFonts w:eastAsia="MS Mincho"/>
              </w:rPr>
              <w:t>Smith</w:t>
            </w:r>
          </w:p>
          <w:p w:rsidR="00F16EB9" w:rsidRPr="005E6DBB" w:rsidRDefault="00F16EB9" w:rsidP="005E6DBB">
            <w:pPr>
              <w:pStyle w:val="Tablewriting"/>
              <w:keepNext/>
              <w:rPr>
                <w:rFonts w:eastAsia="MS Mincho"/>
                <w:vertAlign w:val="superscript"/>
              </w:rPr>
            </w:pPr>
            <w:r>
              <w:rPr>
                <w:rFonts w:eastAsia="MS Mincho"/>
              </w:rPr>
              <w:t>(2009)</w:t>
            </w:r>
            <w:r>
              <w:rPr>
                <w:rFonts w:eastAsia="MS Mincho"/>
                <w:vertAlign w:val="superscript"/>
              </w:rPr>
              <w:t>1</w:t>
            </w:r>
          </w:p>
        </w:tc>
        <w:tc>
          <w:tcPr>
            <w:tcW w:w="944" w:type="pct"/>
            <w:shd w:val="clear" w:color="auto" w:fill="D9D9D9" w:themeFill="background1" w:themeFillShade="D9"/>
            <w:vAlign w:val="center"/>
          </w:tcPr>
          <w:p w:rsidR="00F16EB9" w:rsidRDefault="00F16EB9" w:rsidP="005E6DBB">
            <w:pPr>
              <w:pStyle w:val="Tablewriting"/>
              <w:keepNext/>
              <w:jc w:val="center"/>
              <w:rPr>
                <w:rFonts w:eastAsia="MS Mincho"/>
              </w:rPr>
            </w:pPr>
            <w:r>
              <w:rPr>
                <w:rFonts w:eastAsia="MS Mincho"/>
              </w:rPr>
              <w:t>RCT</w:t>
            </w:r>
          </w:p>
        </w:tc>
        <w:tc>
          <w:tcPr>
            <w:tcW w:w="1093" w:type="pct"/>
            <w:shd w:val="clear" w:color="auto" w:fill="D9D9D9" w:themeFill="background1" w:themeFillShade="D9"/>
            <w:tcMar>
              <w:left w:w="28" w:type="dxa"/>
              <w:right w:w="28" w:type="dxa"/>
            </w:tcMar>
            <w:vAlign w:val="center"/>
          </w:tcPr>
          <w:p w:rsidR="00F16EB9" w:rsidRPr="0078171D" w:rsidRDefault="00F16EB9" w:rsidP="005E6DBB">
            <w:pPr>
              <w:pStyle w:val="Tablewriting"/>
              <w:keepNext/>
              <w:jc w:val="center"/>
              <w:rPr>
                <w:rFonts w:eastAsia="MS Mincho"/>
              </w:rPr>
            </w:pPr>
            <w:r>
              <w:rPr>
                <w:rFonts w:eastAsia="MS Mincho"/>
              </w:rPr>
              <w:t>52</w:t>
            </w:r>
            <w:r w:rsidRPr="0078171D">
              <w:rPr>
                <w:rFonts w:eastAsia="MS Mincho"/>
              </w:rPr>
              <w:t>/</w:t>
            </w:r>
            <w:r>
              <w:rPr>
                <w:rFonts w:eastAsia="MS Mincho"/>
              </w:rPr>
              <w:t>261</w:t>
            </w:r>
            <w:r w:rsidRPr="0078171D">
              <w:rPr>
                <w:rFonts w:eastAsia="MS Mincho"/>
              </w:rPr>
              <w:t xml:space="preserve"> </w:t>
            </w:r>
          </w:p>
          <w:p w:rsidR="00F16EB9" w:rsidRPr="0078171D" w:rsidRDefault="00F16EB9" w:rsidP="005E6DBB">
            <w:pPr>
              <w:pStyle w:val="Tablewriting"/>
              <w:keepNext/>
              <w:jc w:val="center"/>
              <w:rPr>
                <w:rFonts w:eastAsia="MS Mincho"/>
              </w:rPr>
            </w:pPr>
            <w:r w:rsidRPr="0078171D">
              <w:rPr>
                <w:rFonts w:eastAsia="MS Mincho"/>
              </w:rPr>
              <w:t>(</w:t>
            </w:r>
            <w:r>
              <w:rPr>
                <w:rFonts w:eastAsia="MS Mincho"/>
              </w:rPr>
              <w:t>19.9</w:t>
            </w:r>
            <w:r w:rsidRPr="0078171D">
              <w:rPr>
                <w:rFonts w:eastAsia="MS Mincho"/>
              </w:rPr>
              <w:t>%)</w:t>
            </w:r>
          </w:p>
        </w:tc>
        <w:tc>
          <w:tcPr>
            <w:tcW w:w="1006" w:type="pct"/>
            <w:shd w:val="clear" w:color="auto" w:fill="D9D9D9" w:themeFill="background1" w:themeFillShade="D9"/>
            <w:tcMar>
              <w:left w:w="28" w:type="dxa"/>
              <w:right w:w="28" w:type="dxa"/>
            </w:tcMar>
            <w:vAlign w:val="center"/>
          </w:tcPr>
          <w:p w:rsidR="00F16EB9" w:rsidRPr="0078171D" w:rsidRDefault="00F16EB9" w:rsidP="005E6DBB">
            <w:pPr>
              <w:pStyle w:val="Tablewriting"/>
              <w:keepNext/>
              <w:jc w:val="center"/>
              <w:rPr>
                <w:rFonts w:eastAsia="MS Mincho"/>
              </w:rPr>
            </w:pPr>
            <w:r>
              <w:rPr>
                <w:rFonts w:eastAsia="MS Mincho"/>
              </w:rPr>
              <w:t>50</w:t>
            </w:r>
            <w:r w:rsidRPr="0078171D">
              <w:rPr>
                <w:rFonts w:eastAsia="MS Mincho"/>
              </w:rPr>
              <w:t>/</w:t>
            </w:r>
            <w:r>
              <w:rPr>
                <w:rFonts w:eastAsia="MS Mincho"/>
              </w:rPr>
              <w:t>282</w:t>
            </w:r>
            <w:r w:rsidRPr="0078171D">
              <w:rPr>
                <w:rFonts w:eastAsia="MS Mincho"/>
              </w:rPr>
              <w:t xml:space="preserve"> </w:t>
            </w:r>
          </w:p>
          <w:p w:rsidR="00F16EB9" w:rsidRDefault="00F16EB9" w:rsidP="005E6DBB">
            <w:pPr>
              <w:pStyle w:val="Tablewriting"/>
              <w:keepNext/>
              <w:jc w:val="center"/>
              <w:rPr>
                <w:rFonts w:eastAsia="MS Mincho"/>
              </w:rPr>
            </w:pPr>
            <w:r w:rsidRPr="0078171D">
              <w:rPr>
                <w:rFonts w:eastAsia="MS Mincho"/>
              </w:rPr>
              <w:t>(</w:t>
            </w:r>
            <w:r>
              <w:rPr>
                <w:rFonts w:eastAsia="MS Mincho"/>
              </w:rPr>
              <w:t>17.7</w:t>
            </w:r>
            <w:r w:rsidRPr="0078171D">
              <w:rPr>
                <w:rFonts w:eastAsia="MS Mincho"/>
              </w:rPr>
              <w:t>%)</w:t>
            </w:r>
          </w:p>
        </w:tc>
        <w:tc>
          <w:tcPr>
            <w:tcW w:w="1013" w:type="pct"/>
            <w:shd w:val="clear" w:color="auto" w:fill="D9D9D9" w:themeFill="background1" w:themeFillShade="D9"/>
            <w:tcMar>
              <w:left w:w="28" w:type="dxa"/>
              <w:right w:w="28" w:type="dxa"/>
            </w:tcMar>
            <w:vAlign w:val="center"/>
          </w:tcPr>
          <w:p w:rsidR="00F16EB9" w:rsidRPr="00BC44F3" w:rsidRDefault="00F16EB9" w:rsidP="005E6DBB">
            <w:pPr>
              <w:pStyle w:val="Tablewriting"/>
              <w:keepNext/>
              <w:jc w:val="center"/>
              <w:rPr>
                <w:rFonts w:eastAsia="MS Mincho"/>
              </w:rPr>
            </w:pPr>
            <w:r w:rsidRPr="00BC44F3">
              <w:rPr>
                <w:rFonts w:eastAsia="MS Mincho"/>
              </w:rPr>
              <w:t>1.12</w:t>
            </w:r>
          </w:p>
          <w:p w:rsidR="00F16EB9" w:rsidRPr="00BC44F3" w:rsidRDefault="00F16EB9" w:rsidP="005E6DBB">
            <w:pPr>
              <w:pStyle w:val="Tablewriting"/>
              <w:keepNext/>
              <w:jc w:val="center"/>
              <w:rPr>
                <w:rFonts w:eastAsia="MS Mincho"/>
              </w:rPr>
            </w:pPr>
            <w:r w:rsidRPr="00BC44F3">
              <w:rPr>
                <w:rFonts w:eastAsia="MS Mincho"/>
              </w:rPr>
              <w:t>(0.79, 1.59)</w:t>
            </w:r>
          </w:p>
        </w:tc>
      </w:tr>
      <w:tr w:rsidR="00F16EB9" w:rsidRPr="00061F78" w:rsidTr="00015CD6">
        <w:trPr>
          <w:cantSplit/>
          <w:trHeight w:val="99"/>
        </w:trPr>
        <w:tc>
          <w:tcPr>
            <w:tcW w:w="944" w:type="pct"/>
            <w:shd w:val="clear" w:color="auto" w:fill="D9D9D9" w:themeFill="background1" w:themeFillShade="D9"/>
            <w:tcMar>
              <w:left w:w="28" w:type="dxa"/>
              <w:right w:w="28" w:type="dxa"/>
            </w:tcMar>
          </w:tcPr>
          <w:p w:rsidR="00F16EB9" w:rsidRDefault="00F16EB9" w:rsidP="00A833AE">
            <w:pPr>
              <w:pStyle w:val="Tablewriting"/>
              <w:keepNext/>
              <w:rPr>
                <w:rFonts w:eastAsia="MS Mincho"/>
              </w:rPr>
            </w:pPr>
            <w:bookmarkStart w:id="101" w:name="_Hlk54620267"/>
            <w:r>
              <w:rPr>
                <w:rFonts w:eastAsia="MS Mincho"/>
              </w:rPr>
              <w:t>Schnoll</w:t>
            </w:r>
          </w:p>
          <w:p w:rsidR="00F16EB9" w:rsidRPr="005E6DBB" w:rsidRDefault="00F16EB9" w:rsidP="00A833AE">
            <w:pPr>
              <w:pStyle w:val="Tablewriting"/>
              <w:keepNext/>
              <w:rPr>
                <w:rFonts w:eastAsia="MS Mincho"/>
                <w:vertAlign w:val="superscript"/>
              </w:rPr>
            </w:pPr>
            <w:r>
              <w:rPr>
                <w:rFonts w:eastAsia="MS Mincho"/>
              </w:rPr>
              <w:t>(2010)</w:t>
            </w:r>
            <w:r>
              <w:rPr>
                <w:rFonts w:eastAsia="MS Mincho"/>
                <w:vertAlign w:val="superscript"/>
              </w:rPr>
              <w:t>2</w:t>
            </w:r>
          </w:p>
        </w:tc>
        <w:tc>
          <w:tcPr>
            <w:tcW w:w="944" w:type="pct"/>
            <w:shd w:val="clear" w:color="auto" w:fill="D9D9D9" w:themeFill="background1" w:themeFillShade="D9"/>
            <w:vAlign w:val="center"/>
          </w:tcPr>
          <w:p w:rsidR="00F16EB9" w:rsidRDefault="00F16EB9" w:rsidP="00A833AE">
            <w:pPr>
              <w:pStyle w:val="Tablewriting"/>
              <w:keepNext/>
              <w:jc w:val="center"/>
              <w:rPr>
                <w:rFonts w:eastAsia="MS Mincho"/>
              </w:rPr>
            </w:pPr>
            <w:r>
              <w:rPr>
                <w:rFonts w:eastAsia="MS Mincho"/>
              </w:rPr>
              <w:t>RCT</w:t>
            </w:r>
          </w:p>
        </w:tc>
        <w:tc>
          <w:tcPr>
            <w:tcW w:w="1093" w:type="pct"/>
            <w:shd w:val="clear" w:color="auto" w:fill="D9D9D9" w:themeFill="background1" w:themeFillShade="D9"/>
            <w:tcMar>
              <w:left w:w="28" w:type="dxa"/>
              <w:right w:w="28" w:type="dxa"/>
            </w:tcMar>
            <w:vAlign w:val="center"/>
          </w:tcPr>
          <w:p w:rsidR="00F16EB9" w:rsidRPr="0078171D" w:rsidRDefault="00F16EB9" w:rsidP="00A833AE">
            <w:pPr>
              <w:pStyle w:val="Tablewriting"/>
              <w:keepNext/>
              <w:jc w:val="center"/>
              <w:rPr>
                <w:rFonts w:eastAsia="MS Mincho"/>
              </w:rPr>
            </w:pPr>
            <w:r>
              <w:rPr>
                <w:rFonts w:eastAsia="MS Mincho"/>
              </w:rPr>
              <w:t>35</w:t>
            </w:r>
            <w:r w:rsidRPr="0078171D">
              <w:rPr>
                <w:rFonts w:eastAsia="MS Mincho"/>
              </w:rPr>
              <w:t>/</w:t>
            </w:r>
            <w:r>
              <w:rPr>
                <w:rFonts w:eastAsia="MS Mincho"/>
              </w:rPr>
              <w:t>321</w:t>
            </w:r>
            <w:r w:rsidRPr="0078171D">
              <w:rPr>
                <w:rFonts w:eastAsia="MS Mincho"/>
              </w:rPr>
              <w:t xml:space="preserve"> </w:t>
            </w:r>
          </w:p>
          <w:p w:rsidR="00F16EB9" w:rsidRPr="0078171D" w:rsidRDefault="00F16EB9" w:rsidP="00A833AE">
            <w:pPr>
              <w:pStyle w:val="Tablewriting"/>
              <w:keepNext/>
              <w:jc w:val="center"/>
              <w:rPr>
                <w:rFonts w:eastAsia="MS Mincho"/>
              </w:rPr>
            </w:pPr>
            <w:r w:rsidRPr="0078171D">
              <w:rPr>
                <w:rFonts w:eastAsia="MS Mincho"/>
              </w:rPr>
              <w:t>(</w:t>
            </w:r>
            <w:r>
              <w:rPr>
                <w:rFonts w:eastAsia="MS Mincho"/>
              </w:rPr>
              <w:t>10.9</w:t>
            </w:r>
            <w:r w:rsidRPr="0078171D">
              <w:rPr>
                <w:rFonts w:eastAsia="MS Mincho"/>
              </w:rPr>
              <w:t>%)</w:t>
            </w:r>
          </w:p>
        </w:tc>
        <w:tc>
          <w:tcPr>
            <w:tcW w:w="1006" w:type="pct"/>
            <w:shd w:val="clear" w:color="auto" w:fill="D9D9D9" w:themeFill="background1" w:themeFillShade="D9"/>
            <w:tcMar>
              <w:left w:w="28" w:type="dxa"/>
              <w:right w:w="28" w:type="dxa"/>
            </w:tcMar>
            <w:vAlign w:val="center"/>
          </w:tcPr>
          <w:p w:rsidR="00F16EB9" w:rsidRPr="0078171D" w:rsidRDefault="00F16EB9" w:rsidP="00A833AE">
            <w:pPr>
              <w:pStyle w:val="Tablewriting"/>
              <w:keepNext/>
              <w:jc w:val="center"/>
              <w:rPr>
                <w:rFonts w:eastAsia="MS Mincho"/>
              </w:rPr>
            </w:pPr>
            <w:r>
              <w:rPr>
                <w:rFonts w:eastAsia="MS Mincho"/>
              </w:rPr>
              <w:t>50</w:t>
            </w:r>
            <w:r w:rsidRPr="0078171D">
              <w:rPr>
                <w:rFonts w:eastAsia="MS Mincho"/>
              </w:rPr>
              <w:t>/</w:t>
            </w:r>
            <w:r>
              <w:rPr>
                <w:rFonts w:eastAsia="MS Mincho"/>
              </w:rPr>
              <w:t>321</w:t>
            </w:r>
            <w:r w:rsidRPr="0078171D">
              <w:rPr>
                <w:rFonts w:eastAsia="MS Mincho"/>
              </w:rPr>
              <w:t xml:space="preserve"> </w:t>
            </w:r>
          </w:p>
          <w:p w:rsidR="00F16EB9" w:rsidRPr="0078171D" w:rsidRDefault="00F16EB9" w:rsidP="00A833AE">
            <w:pPr>
              <w:pStyle w:val="Tablewriting"/>
              <w:keepNext/>
              <w:jc w:val="center"/>
              <w:rPr>
                <w:rFonts w:eastAsia="MS Mincho"/>
              </w:rPr>
            </w:pPr>
            <w:r w:rsidRPr="0078171D">
              <w:rPr>
                <w:rFonts w:eastAsia="MS Mincho"/>
              </w:rPr>
              <w:t>(</w:t>
            </w:r>
            <w:r>
              <w:rPr>
                <w:rFonts w:eastAsia="MS Mincho"/>
              </w:rPr>
              <w:t>15.6</w:t>
            </w:r>
            <w:r w:rsidRPr="0078171D">
              <w:rPr>
                <w:rFonts w:eastAsia="MS Mincho"/>
              </w:rPr>
              <w:t>%)</w:t>
            </w:r>
          </w:p>
        </w:tc>
        <w:tc>
          <w:tcPr>
            <w:tcW w:w="1013" w:type="pct"/>
            <w:shd w:val="clear" w:color="auto" w:fill="D9D9D9" w:themeFill="background1" w:themeFillShade="D9"/>
            <w:tcMar>
              <w:left w:w="28" w:type="dxa"/>
              <w:right w:w="28" w:type="dxa"/>
            </w:tcMar>
            <w:vAlign w:val="center"/>
          </w:tcPr>
          <w:p w:rsidR="00F16EB9" w:rsidRPr="00BC44F3" w:rsidRDefault="00F16EB9" w:rsidP="00A833AE">
            <w:pPr>
              <w:pStyle w:val="Tablewriting"/>
              <w:keepNext/>
              <w:jc w:val="center"/>
              <w:rPr>
                <w:rFonts w:eastAsia="MS Mincho"/>
              </w:rPr>
            </w:pPr>
            <w:r w:rsidRPr="00BC44F3">
              <w:rPr>
                <w:rFonts w:eastAsia="MS Mincho"/>
              </w:rPr>
              <w:t>0.7</w:t>
            </w:r>
          </w:p>
          <w:p w:rsidR="00F16EB9" w:rsidRPr="00BC44F3" w:rsidRDefault="00F16EB9" w:rsidP="00A833AE">
            <w:pPr>
              <w:pStyle w:val="Tablewriting"/>
              <w:keepNext/>
              <w:jc w:val="center"/>
              <w:rPr>
                <w:rFonts w:eastAsia="MS Mincho"/>
              </w:rPr>
            </w:pPr>
            <w:r w:rsidRPr="00BC44F3">
              <w:rPr>
                <w:rFonts w:eastAsia="MS Mincho"/>
              </w:rPr>
              <w:t>(0.47, 1.05)</w:t>
            </w:r>
          </w:p>
        </w:tc>
      </w:tr>
      <w:tr w:rsidR="00F16EB9" w:rsidRPr="00061F78" w:rsidTr="00F16EB9">
        <w:trPr>
          <w:cantSplit/>
          <w:trHeight w:val="149"/>
        </w:trPr>
        <w:tc>
          <w:tcPr>
            <w:tcW w:w="944" w:type="pct"/>
            <w:tcMar>
              <w:left w:w="28" w:type="dxa"/>
              <w:right w:w="28" w:type="dxa"/>
            </w:tcMar>
          </w:tcPr>
          <w:p w:rsidR="00F16EB9" w:rsidRDefault="00F16EB9" w:rsidP="00A833AE">
            <w:pPr>
              <w:pStyle w:val="Tablewriting"/>
              <w:keepNext/>
              <w:rPr>
                <w:rFonts w:eastAsia="MS Mincho"/>
              </w:rPr>
            </w:pPr>
            <w:r>
              <w:rPr>
                <w:rFonts w:eastAsia="MS Mincho"/>
              </w:rPr>
              <w:t xml:space="preserve">Lindson </w:t>
            </w:r>
          </w:p>
          <w:p w:rsidR="00F16EB9" w:rsidRPr="00D468CF" w:rsidRDefault="00F16EB9" w:rsidP="00A833AE">
            <w:pPr>
              <w:pStyle w:val="Tablewriting"/>
              <w:keepNext/>
              <w:rPr>
                <w:rFonts w:eastAsia="MS Mincho"/>
                <w:vertAlign w:val="superscript"/>
              </w:rPr>
            </w:pPr>
            <w:r>
              <w:rPr>
                <w:rFonts w:eastAsia="MS Mincho"/>
              </w:rPr>
              <w:t>(2019)</w:t>
            </w:r>
            <w:r>
              <w:rPr>
                <w:rFonts w:eastAsia="MS Mincho"/>
                <w:vertAlign w:val="superscript"/>
              </w:rPr>
              <w:t>3,5</w:t>
            </w:r>
          </w:p>
        </w:tc>
        <w:tc>
          <w:tcPr>
            <w:tcW w:w="944" w:type="pct"/>
            <w:vAlign w:val="center"/>
          </w:tcPr>
          <w:p w:rsidR="00F16EB9" w:rsidRDefault="00F16EB9" w:rsidP="00A833AE">
            <w:pPr>
              <w:pStyle w:val="Tablewriting"/>
              <w:keepNext/>
              <w:jc w:val="center"/>
              <w:rPr>
                <w:rFonts w:eastAsia="MS Mincho"/>
              </w:rPr>
            </w:pPr>
            <w:r>
              <w:rPr>
                <w:rFonts w:eastAsia="MS Mincho"/>
              </w:rPr>
              <w:t>Cochrane Review (3 RCTs)</w:t>
            </w:r>
          </w:p>
        </w:tc>
        <w:tc>
          <w:tcPr>
            <w:tcW w:w="1093" w:type="pct"/>
            <w:tcMar>
              <w:left w:w="28" w:type="dxa"/>
              <w:right w:w="28" w:type="dxa"/>
            </w:tcMar>
            <w:vAlign w:val="center"/>
          </w:tcPr>
          <w:p w:rsidR="00F16EB9" w:rsidRPr="0078171D" w:rsidRDefault="00F16EB9" w:rsidP="00A833AE">
            <w:pPr>
              <w:pStyle w:val="Tablewriting"/>
              <w:keepNext/>
              <w:jc w:val="center"/>
              <w:rPr>
                <w:rFonts w:eastAsia="MS Mincho"/>
              </w:rPr>
            </w:pPr>
            <w:r>
              <w:rPr>
                <w:rFonts w:eastAsia="MS Mincho"/>
              </w:rPr>
              <w:t>174</w:t>
            </w:r>
            <w:r w:rsidRPr="0078171D">
              <w:rPr>
                <w:rFonts w:eastAsia="MS Mincho"/>
              </w:rPr>
              <w:t>/</w:t>
            </w:r>
            <w:r>
              <w:rPr>
                <w:rFonts w:eastAsia="MS Mincho"/>
              </w:rPr>
              <w:t>842</w:t>
            </w:r>
            <w:r w:rsidRPr="0078171D">
              <w:rPr>
                <w:rFonts w:eastAsia="MS Mincho"/>
              </w:rPr>
              <w:t xml:space="preserve"> </w:t>
            </w:r>
          </w:p>
          <w:p w:rsidR="00F16EB9" w:rsidRPr="0078171D" w:rsidRDefault="00F16EB9" w:rsidP="00A833AE">
            <w:pPr>
              <w:pStyle w:val="Tablewriting"/>
              <w:keepNext/>
              <w:jc w:val="center"/>
              <w:rPr>
                <w:rFonts w:eastAsia="MS Mincho"/>
              </w:rPr>
            </w:pPr>
            <w:r w:rsidRPr="0078171D">
              <w:rPr>
                <w:rFonts w:eastAsia="MS Mincho"/>
              </w:rPr>
              <w:t>(</w:t>
            </w:r>
            <w:r>
              <w:rPr>
                <w:rFonts w:eastAsia="MS Mincho"/>
              </w:rPr>
              <w:t>20.7</w:t>
            </w:r>
            <w:r w:rsidRPr="0078171D">
              <w:rPr>
                <w:rFonts w:eastAsia="MS Mincho"/>
              </w:rPr>
              <w:t>%)</w:t>
            </w:r>
          </w:p>
        </w:tc>
        <w:tc>
          <w:tcPr>
            <w:tcW w:w="1006" w:type="pct"/>
            <w:tcMar>
              <w:left w:w="28" w:type="dxa"/>
              <w:right w:w="28" w:type="dxa"/>
            </w:tcMar>
            <w:vAlign w:val="center"/>
          </w:tcPr>
          <w:p w:rsidR="00F16EB9" w:rsidRPr="0078171D" w:rsidRDefault="00F16EB9" w:rsidP="00A833AE">
            <w:pPr>
              <w:pStyle w:val="Tablewriting"/>
              <w:keepNext/>
              <w:jc w:val="center"/>
              <w:rPr>
                <w:rFonts w:eastAsia="MS Mincho"/>
              </w:rPr>
            </w:pPr>
            <w:r>
              <w:rPr>
                <w:rFonts w:eastAsia="MS Mincho"/>
              </w:rPr>
              <w:t>190</w:t>
            </w:r>
            <w:r w:rsidRPr="0078171D">
              <w:rPr>
                <w:rFonts w:eastAsia="MS Mincho"/>
              </w:rPr>
              <w:t>/</w:t>
            </w:r>
            <w:r>
              <w:rPr>
                <w:rFonts w:eastAsia="MS Mincho"/>
              </w:rPr>
              <w:t>865</w:t>
            </w:r>
            <w:r w:rsidRPr="0078171D">
              <w:rPr>
                <w:rFonts w:eastAsia="MS Mincho"/>
              </w:rPr>
              <w:t xml:space="preserve"> </w:t>
            </w:r>
          </w:p>
          <w:p w:rsidR="00F16EB9" w:rsidRPr="0078171D" w:rsidRDefault="00F16EB9" w:rsidP="00A833AE">
            <w:pPr>
              <w:pStyle w:val="Tablewriting"/>
              <w:keepNext/>
              <w:jc w:val="center"/>
              <w:rPr>
                <w:rFonts w:eastAsia="MS Mincho"/>
              </w:rPr>
            </w:pPr>
            <w:r w:rsidRPr="0078171D">
              <w:rPr>
                <w:rFonts w:eastAsia="MS Mincho"/>
              </w:rPr>
              <w:t>(</w:t>
            </w:r>
            <w:r>
              <w:rPr>
                <w:rFonts w:eastAsia="MS Mincho"/>
              </w:rPr>
              <w:t>22.0</w:t>
            </w:r>
            <w:r w:rsidRPr="0078171D">
              <w:rPr>
                <w:rFonts w:eastAsia="MS Mincho"/>
              </w:rPr>
              <w:t>%)</w:t>
            </w:r>
          </w:p>
        </w:tc>
        <w:tc>
          <w:tcPr>
            <w:tcW w:w="1013" w:type="pct"/>
            <w:tcMar>
              <w:left w:w="28" w:type="dxa"/>
              <w:right w:w="28" w:type="dxa"/>
            </w:tcMar>
            <w:vAlign w:val="center"/>
          </w:tcPr>
          <w:p w:rsidR="00F16EB9" w:rsidRPr="00BC44F3" w:rsidRDefault="00F16EB9" w:rsidP="00A833AE">
            <w:pPr>
              <w:pStyle w:val="Tablewriting"/>
              <w:keepNext/>
              <w:jc w:val="center"/>
              <w:rPr>
                <w:rFonts w:eastAsia="MS Mincho"/>
              </w:rPr>
            </w:pPr>
            <w:r w:rsidRPr="00BC44F3">
              <w:rPr>
                <w:rFonts w:eastAsia="MS Mincho"/>
              </w:rPr>
              <w:t>0.94</w:t>
            </w:r>
          </w:p>
          <w:p w:rsidR="00F16EB9" w:rsidRPr="00BC44F3" w:rsidRDefault="00F16EB9" w:rsidP="00A833AE">
            <w:pPr>
              <w:pStyle w:val="Tablewriting"/>
              <w:keepNext/>
              <w:jc w:val="center"/>
              <w:rPr>
                <w:rFonts w:eastAsia="MS Mincho"/>
              </w:rPr>
            </w:pPr>
            <w:r w:rsidRPr="00BC44F3">
              <w:rPr>
                <w:rFonts w:eastAsia="MS Mincho"/>
              </w:rPr>
              <w:t>(0.79, 1.12)</w:t>
            </w:r>
          </w:p>
        </w:tc>
      </w:tr>
      <w:tr w:rsidR="00F16EB9" w:rsidRPr="00061F78" w:rsidTr="00E97C7D">
        <w:trPr>
          <w:cantSplit/>
          <w:trHeight w:val="99"/>
        </w:trPr>
        <w:tc>
          <w:tcPr>
            <w:tcW w:w="5000" w:type="pct"/>
            <w:gridSpan w:val="5"/>
            <w:shd w:val="clear" w:color="auto" w:fill="auto"/>
            <w:tcMar>
              <w:left w:w="28" w:type="dxa"/>
              <w:right w:w="28" w:type="dxa"/>
            </w:tcMar>
          </w:tcPr>
          <w:p w:rsidR="00F16EB9" w:rsidRPr="00E97C7D" w:rsidRDefault="00F16EB9" w:rsidP="005E6DBB">
            <w:pPr>
              <w:pStyle w:val="Tablewriting"/>
              <w:keepNext/>
              <w:rPr>
                <w:rFonts w:eastAsia="MS Mincho"/>
                <w:b/>
                <w:bCs/>
              </w:rPr>
            </w:pPr>
            <w:r w:rsidRPr="00E97C7D">
              <w:rPr>
                <w:rFonts w:eastAsia="MS Mincho"/>
                <w:b/>
                <w:bCs/>
              </w:rPr>
              <w:t>NRT gum versus NRT patch</w:t>
            </w:r>
            <w:r w:rsidR="00D35E6F">
              <w:rPr>
                <w:rFonts w:eastAsia="MS Mincho"/>
                <w:b/>
                <w:bCs/>
                <w:vertAlign w:val="superscript"/>
              </w:rPr>
              <w:t>7</w:t>
            </w:r>
          </w:p>
        </w:tc>
      </w:tr>
      <w:bookmarkEnd w:id="101"/>
      <w:tr w:rsidR="00F16EB9" w:rsidRPr="00061F78" w:rsidTr="00015CD6">
        <w:trPr>
          <w:cantSplit/>
          <w:trHeight w:val="99"/>
        </w:trPr>
        <w:tc>
          <w:tcPr>
            <w:tcW w:w="944" w:type="pct"/>
            <w:shd w:val="clear" w:color="auto" w:fill="D9D9D9" w:themeFill="background1" w:themeFillShade="D9"/>
            <w:tcMar>
              <w:left w:w="28" w:type="dxa"/>
              <w:right w:w="28" w:type="dxa"/>
            </w:tcMar>
          </w:tcPr>
          <w:p w:rsidR="00F16EB9" w:rsidRDefault="00F16EB9" w:rsidP="00A833AE">
            <w:pPr>
              <w:pStyle w:val="Tablewriting"/>
              <w:keepNext/>
              <w:rPr>
                <w:rFonts w:eastAsia="MS Mincho"/>
              </w:rPr>
            </w:pPr>
            <w:r>
              <w:rPr>
                <w:rFonts w:eastAsia="MS Mincho"/>
              </w:rPr>
              <w:t>Moolchan</w:t>
            </w:r>
          </w:p>
          <w:p w:rsidR="00F16EB9" w:rsidRPr="005E6DBB" w:rsidRDefault="00F16EB9" w:rsidP="00A833AE">
            <w:pPr>
              <w:pStyle w:val="Tablewriting"/>
              <w:keepNext/>
              <w:rPr>
                <w:rFonts w:eastAsia="MS Mincho"/>
                <w:vertAlign w:val="superscript"/>
              </w:rPr>
            </w:pPr>
            <w:r>
              <w:rPr>
                <w:rFonts w:eastAsia="MS Mincho"/>
              </w:rPr>
              <w:t>(2005)</w:t>
            </w:r>
            <w:r>
              <w:rPr>
                <w:rFonts w:eastAsia="MS Mincho"/>
                <w:vertAlign w:val="superscript"/>
              </w:rPr>
              <w:t>4</w:t>
            </w:r>
          </w:p>
        </w:tc>
        <w:tc>
          <w:tcPr>
            <w:tcW w:w="944" w:type="pct"/>
            <w:shd w:val="clear" w:color="auto" w:fill="D9D9D9" w:themeFill="background1" w:themeFillShade="D9"/>
            <w:vAlign w:val="center"/>
          </w:tcPr>
          <w:p w:rsidR="00F16EB9" w:rsidRDefault="00F16EB9" w:rsidP="00A833AE">
            <w:pPr>
              <w:pStyle w:val="Tablewriting"/>
              <w:keepNext/>
              <w:jc w:val="center"/>
              <w:rPr>
                <w:rFonts w:eastAsia="MS Mincho"/>
              </w:rPr>
            </w:pPr>
            <w:r>
              <w:rPr>
                <w:rFonts w:eastAsia="MS Mincho"/>
              </w:rPr>
              <w:t>RCT</w:t>
            </w:r>
          </w:p>
        </w:tc>
        <w:tc>
          <w:tcPr>
            <w:tcW w:w="1093" w:type="pct"/>
            <w:shd w:val="clear" w:color="auto" w:fill="D9D9D9" w:themeFill="background1" w:themeFillShade="D9"/>
            <w:tcMar>
              <w:left w:w="28" w:type="dxa"/>
              <w:right w:w="28" w:type="dxa"/>
            </w:tcMar>
            <w:vAlign w:val="center"/>
          </w:tcPr>
          <w:p w:rsidR="00F16EB9" w:rsidRPr="0078171D" w:rsidRDefault="00F16EB9" w:rsidP="00A833AE">
            <w:pPr>
              <w:pStyle w:val="Tablewriting"/>
              <w:keepNext/>
              <w:jc w:val="center"/>
              <w:rPr>
                <w:rFonts w:eastAsia="MS Mincho"/>
              </w:rPr>
            </w:pPr>
            <w:r>
              <w:rPr>
                <w:rFonts w:eastAsia="MS Mincho"/>
              </w:rPr>
              <w:t>8</w:t>
            </w:r>
            <w:r w:rsidRPr="0078171D">
              <w:rPr>
                <w:rFonts w:eastAsia="MS Mincho"/>
              </w:rPr>
              <w:t>/</w:t>
            </w:r>
            <w:r>
              <w:rPr>
                <w:rFonts w:eastAsia="MS Mincho"/>
              </w:rPr>
              <w:t>46</w:t>
            </w:r>
          </w:p>
          <w:p w:rsidR="00F16EB9" w:rsidRPr="0078171D" w:rsidRDefault="00F16EB9" w:rsidP="00A833AE">
            <w:pPr>
              <w:pStyle w:val="Tablewriting"/>
              <w:keepNext/>
              <w:jc w:val="center"/>
              <w:rPr>
                <w:rFonts w:eastAsia="MS Mincho"/>
              </w:rPr>
            </w:pPr>
            <w:r w:rsidRPr="0078171D">
              <w:rPr>
                <w:rFonts w:eastAsia="MS Mincho"/>
              </w:rPr>
              <w:t>(</w:t>
            </w:r>
            <w:r>
              <w:rPr>
                <w:rFonts w:eastAsia="MS Mincho"/>
              </w:rPr>
              <w:t>17.4</w:t>
            </w:r>
            <w:r w:rsidRPr="0078171D">
              <w:rPr>
                <w:rFonts w:eastAsia="MS Mincho"/>
              </w:rPr>
              <w:t>%)</w:t>
            </w:r>
          </w:p>
        </w:tc>
        <w:tc>
          <w:tcPr>
            <w:tcW w:w="1006" w:type="pct"/>
            <w:shd w:val="clear" w:color="auto" w:fill="D9D9D9" w:themeFill="background1" w:themeFillShade="D9"/>
            <w:tcMar>
              <w:left w:w="28" w:type="dxa"/>
              <w:right w:w="28" w:type="dxa"/>
            </w:tcMar>
            <w:vAlign w:val="center"/>
          </w:tcPr>
          <w:p w:rsidR="00F16EB9" w:rsidRPr="0078171D" w:rsidRDefault="00F16EB9" w:rsidP="00A833AE">
            <w:pPr>
              <w:pStyle w:val="Tablewriting"/>
              <w:keepNext/>
              <w:jc w:val="center"/>
              <w:rPr>
                <w:rFonts w:eastAsia="MS Mincho"/>
              </w:rPr>
            </w:pPr>
            <w:r>
              <w:rPr>
                <w:rFonts w:eastAsia="MS Mincho"/>
              </w:rPr>
              <w:t>9</w:t>
            </w:r>
            <w:r w:rsidRPr="0078171D">
              <w:rPr>
                <w:rFonts w:eastAsia="MS Mincho"/>
              </w:rPr>
              <w:t>/</w:t>
            </w:r>
            <w:r>
              <w:rPr>
                <w:rFonts w:eastAsia="MS Mincho"/>
              </w:rPr>
              <w:t>34</w:t>
            </w:r>
            <w:r w:rsidRPr="0078171D">
              <w:rPr>
                <w:rFonts w:eastAsia="MS Mincho"/>
              </w:rPr>
              <w:t xml:space="preserve"> </w:t>
            </w:r>
          </w:p>
          <w:p w:rsidR="00F16EB9" w:rsidRPr="0078171D" w:rsidRDefault="00F16EB9" w:rsidP="00A833AE">
            <w:pPr>
              <w:pStyle w:val="Tablewriting"/>
              <w:keepNext/>
              <w:jc w:val="center"/>
              <w:rPr>
                <w:rFonts w:eastAsia="MS Mincho"/>
              </w:rPr>
            </w:pPr>
            <w:r w:rsidRPr="0078171D">
              <w:rPr>
                <w:rFonts w:eastAsia="MS Mincho"/>
              </w:rPr>
              <w:t>(</w:t>
            </w:r>
            <w:r>
              <w:rPr>
                <w:rFonts w:eastAsia="MS Mincho"/>
              </w:rPr>
              <w:t>26.5</w:t>
            </w:r>
            <w:r w:rsidRPr="0078171D">
              <w:rPr>
                <w:rFonts w:eastAsia="MS Mincho"/>
              </w:rPr>
              <w:t>%)</w:t>
            </w:r>
          </w:p>
        </w:tc>
        <w:tc>
          <w:tcPr>
            <w:tcW w:w="1013" w:type="pct"/>
            <w:shd w:val="clear" w:color="auto" w:fill="D9D9D9" w:themeFill="background1" w:themeFillShade="D9"/>
            <w:tcMar>
              <w:left w:w="28" w:type="dxa"/>
              <w:right w:w="28" w:type="dxa"/>
            </w:tcMar>
            <w:vAlign w:val="center"/>
          </w:tcPr>
          <w:p w:rsidR="00F16EB9" w:rsidRPr="00BC44F3" w:rsidRDefault="00F16EB9" w:rsidP="00A833AE">
            <w:pPr>
              <w:pStyle w:val="Tablewriting"/>
              <w:keepNext/>
              <w:jc w:val="center"/>
              <w:rPr>
                <w:rFonts w:eastAsia="MS Mincho"/>
              </w:rPr>
            </w:pPr>
            <w:r w:rsidRPr="00BC44F3">
              <w:rPr>
                <w:rFonts w:eastAsia="MS Mincho"/>
              </w:rPr>
              <w:t>0.66</w:t>
            </w:r>
          </w:p>
          <w:p w:rsidR="00F16EB9" w:rsidRPr="00BC44F3" w:rsidRDefault="00F16EB9" w:rsidP="00A833AE">
            <w:pPr>
              <w:pStyle w:val="Tablewriting"/>
              <w:keepNext/>
              <w:jc w:val="center"/>
              <w:rPr>
                <w:rFonts w:eastAsia="MS Mincho"/>
              </w:rPr>
            </w:pPr>
            <w:r w:rsidRPr="00BC44F3">
              <w:rPr>
                <w:rFonts w:eastAsia="MS Mincho"/>
              </w:rPr>
              <w:t>(0.28, 1.53)</w:t>
            </w:r>
          </w:p>
        </w:tc>
      </w:tr>
      <w:tr w:rsidR="00F16EB9" w:rsidRPr="00061F78" w:rsidTr="00F16EB9">
        <w:trPr>
          <w:cantSplit/>
          <w:trHeight w:val="149"/>
        </w:trPr>
        <w:tc>
          <w:tcPr>
            <w:tcW w:w="944" w:type="pct"/>
            <w:tcMar>
              <w:left w:w="28" w:type="dxa"/>
              <w:right w:w="28" w:type="dxa"/>
            </w:tcMar>
          </w:tcPr>
          <w:p w:rsidR="00F16EB9" w:rsidRDefault="00F16EB9" w:rsidP="00A833AE">
            <w:pPr>
              <w:pStyle w:val="Tablewriting"/>
              <w:keepNext/>
              <w:rPr>
                <w:rFonts w:eastAsia="MS Mincho"/>
              </w:rPr>
            </w:pPr>
            <w:r>
              <w:rPr>
                <w:rFonts w:eastAsia="MS Mincho"/>
              </w:rPr>
              <w:t xml:space="preserve">Lindson </w:t>
            </w:r>
          </w:p>
          <w:p w:rsidR="00F16EB9" w:rsidRPr="00D468CF" w:rsidRDefault="00F16EB9" w:rsidP="00A833AE">
            <w:pPr>
              <w:pStyle w:val="Tablewriting"/>
              <w:keepNext/>
              <w:rPr>
                <w:rFonts w:eastAsia="MS Mincho"/>
                <w:vertAlign w:val="superscript"/>
              </w:rPr>
            </w:pPr>
            <w:r>
              <w:rPr>
                <w:rFonts w:eastAsia="MS Mincho"/>
              </w:rPr>
              <w:t>(2019)</w:t>
            </w:r>
            <w:r>
              <w:rPr>
                <w:rFonts w:eastAsia="MS Mincho"/>
                <w:vertAlign w:val="superscript"/>
              </w:rPr>
              <w:t>3,5</w:t>
            </w:r>
          </w:p>
        </w:tc>
        <w:tc>
          <w:tcPr>
            <w:tcW w:w="944" w:type="pct"/>
            <w:vAlign w:val="center"/>
          </w:tcPr>
          <w:p w:rsidR="00F16EB9" w:rsidRDefault="00F16EB9" w:rsidP="00A833AE">
            <w:pPr>
              <w:pStyle w:val="Tablewriting"/>
              <w:keepNext/>
              <w:jc w:val="center"/>
              <w:rPr>
                <w:rFonts w:eastAsia="MS Mincho"/>
              </w:rPr>
            </w:pPr>
            <w:r>
              <w:rPr>
                <w:rFonts w:eastAsia="MS Mincho"/>
              </w:rPr>
              <w:t>Cochrane Review (2 RCTs)</w:t>
            </w:r>
          </w:p>
        </w:tc>
        <w:tc>
          <w:tcPr>
            <w:tcW w:w="1093" w:type="pct"/>
            <w:tcMar>
              <w:left w:w="28" w:type="dxa"/>
              <w:right w:w="28" w:type="dxa"/>
            </w:tcMar>
            <w:vAlign w:val="center"/>
          </w:tcPr>
          <w:p w:rsidR="00F16EB9" w:rsidRPr="0078171D" w:rsidRDefault="00F16EB9" w:rsidP="00A833AE">
            <w:pPr>
              <w:pStyle w:val="Tablewriting"/>
              <w:keepNext/>
              <w:jc w:val="center"/>
              <w:rPr>
                <w:rFonts w:eastAsia="MS Mincho"/>
              </w:rPr>
            </w:pPr>
            <w:r>
              <w:rPr>
                <w:rFonts w:eastAsia="MS Mincho"/>
              </w:rPr>
              <w:t>8/63</w:t>
            </w:r>
            <w:r w:rsidRPr="0078171D">
              <w:rPr>
                <w:rFonts w:eastAsia="MS Mincho"/>
              </w:rPr>
              <w:t xml:space="preserve"> </w:t>
            </w:r>
          </w:p>
          <w:p w:rsidR="00F16EB9" w:rsidRPr="0078171D" w:rsidRDefault="00F16EB9" w:rsidP="00A833AE">
            <w:pPr>
              <w:pStyle w:val="Tablewriting"/>
              <w:keepNext/>
              <w:jc w:val="center"/>
              <w:rPr>
                <w:rFonts w:eastAsia="MS Mincho"/>
              </w:rPr>
            </w:pPr>
            <w:r w:rsidRPr="0078171D">
              <w:rPr>
                <w:rFonts w:eastAsia="MS Mincho"/>
              </w:rPr>
              <w:t>(</w:t>
            </w:r>
            <w:r>
              <w:rPr>
                <w:rFonts w:eastAsia="MS Mincho"/>
              </w:rPr>
              <w:t>12.7</w:t>
            </w:r>
            <w:r w:rsidRPr="0078171D">
              <w:rPr>
                <w:rFonts w:eastAsia="MS Mincho"/>
              </w:rPr>
              <w:t>%)</w:t>
            </w:r>
          </w:p>
        </w:tc>
        <w:tc>
          <w:tcPr>
            <w:tcW w:w="1006" w:type="pct"/>
            <w:tcMar>
              <w:left w:w="28" w:type="dxa"/>
              <w:right w:w="28" w:type="dxa"/>
            </w:tcMar>
            <w:vAlign w:val="center"/>
          </w:tcPr>
          <w:p w:rsidR="00F16EB9" w:rsidRPr="0078171D" w:rsidRDefault="00F16EB9" w:rsidP="00A833AE">
            <w:pPr>
              <w:pStyle w:val="Tablewriting"/>
              <w:keepNext/>
              <w:jc w:val="center"/>
              <w:rPr>
                <w:rFonts w:eastAsia="MS Mincho"/>
              </w:rPr>
            </w:pPr>
            <w:r>
              <w:rPr>
                <w:rFonts w:eastAsia="MS Mincho"/>
              </w:rPr>
              <w:t>11</w:t>
            </w:r>
            <w:r w:rsidRPr="0078171D">
              <w:rPr>
                <w:rFonts w:eastAsia="MS Mincho"/>
              </w:rPr>
              <w:t>/</w:t>
            </w:r>
            <w:r>
              <w:rPr>
                <w:rFonts w:eastAsia="MS Mincho"/>
              </w:rPr>
              <w:t>55</w:t>
            </w:r>
            <w:r w:rsidRPr="0078171D">
              <w:rPr>
                <w:rFonts w:eastAsia="MS Mincho"/>
              </w:rPr>
              <w:t xml:space="preserve"> </w:t>
            </w:r>
          </w:p>
          <w:p w:rsidR="00F16EB9" w:rsidRPr="0078171D" w:rsidRDefault="00F16EB9" w:rsidP="00A833AE">
            <w:pPr>
              <w:pStyle w:val="Tablewriting"/>
              <w:keepNext/>
              <w:jc w:val="center"/>
              <w:rPr>
                <w:rFonts w:eastAsia="MS Mincho"/>
              </w:rPr>
            </w:pPr>
            <w:r w:rsidRPr="0078171D">
              <w:rPr>
                <w:rFonts w:eastAsia="MS Mincho"/>
              </w:rPr>
              <w:t>(</w:t>
            </w:r>
            <w:r>
              <w:rPr>
                <w:rFonts w:eastAsia="MS Mincho"/>
              </w:rPr>
              <w:t>20.0</w:t>
            </w:r>
            <w:r w:rsidRPr="0078171D">
              <w:rPr>
                <w:rFonts w:eastAsia="MS Mincho"/>
              </w:rPr>
              <w:t>%)</w:t>
            </w:r>
          </w:p>
        </w:tc>
        <w:tc>
          <w:tcPr>
            <w:tcW w:w="1013" w:type="pct"/>
            <w:tcMar>
              <w:left w:w="28" w:type="dxa"/>
              <w:right w:w="28" w:type="dxa"/>
            </w:tcMar>
            <w:vAlign w:val="center"/>
          </w:tcPr>
          <w:p w:rsidR="00F16EB9" w:rsidRPr="00BC44F3" w:rsidRDefault="00F16EB9" w:rsidP="00A833AE">
            <w:pPr>
              <w:pStyle w:val="Tablewriting"/>
              <w:keepNext/>
              <w:jc w:val="center"/>
              <w:rPr>
                <w:rFonts w:eastAsia="MS Mincho"/>
              </w:rPr>
            </w:pPr>
            <w:r w:rsidRPr="00BC44F3">
              <w:rPr>
                <w:rFonts w:eastAsia="MS Mincho"/>
              </w:rPr>
              <w:t>0.58</w:t>
            </w:r>
          </w:p>
          <w:p w:rsidR="00F16EB9" w:rsidRPr="00BC44F3" w:rsidRDefault="00F16EB9" w:rsidP="00A833AE">
            <w:pPr>
              <w:pStyle w:val="Tablewriting"/>
              <w:keepNext/>
              <w:jc w:val="center"/>
              <w:rPr>
                <w:rFonts w:eastAsia="MS Mincho"/>
              </w:rPr>
            </w:pPr>
            <w:r w:rsidRPr="00BC44F3">
              <w:rPr>
                <w:rFonts w:eastAsia="MS Mincho"/>
              </w:rPr>
              <w:t>(0.26, 1.31)</w:t>
            </w:r>
          </w:p>
        </w:tc>
      </w:tr>
    </w:tbl>
    <w:p w:rsidR="005E6DBB" w:rsidRDefault="005E6DBB" w:rsidP="005E6DBB">
      <w:pPr>
        <w:pStyle w:val="TableFooter"/>
        <w:keepNext/>
      </w:pPr>
      <w:r>
        <w:t>Source: Lindson et al. (2019)</w:t>
      </w:r>
    </w:p>
    <w:p w:rsidR="005E6DBB" w:rsidRDefault="005E6DBB" w:rsidP="005E6DBB">
      <w:pPr>
        <w:pStyle w:val="TableFooter"/>
        <w:keepNext/>
        <w:rPr>
          <w:i/>
        </w:rPr>
      </w:pPr>
      <w:r>
        <w:t>Abbreviations: CI = confidence interval; RCT = randomised controlled trial; RD = risk difference; RR = risk ratio</w:t>
      </w:r>
      <w:r w:rsidRPr="00061F78">
        <w:t xml:space="preserve"> </w:t>
      </w:r>
    </w:p>
    <w:p w:rsidR="005E6DBB" w:rsidRDefault="005E6DBB" w:rsidP="005E6DBB">
      <w:pPr>
        <w:pStyle w:val="TableFooter"/>
        <w:keepNext/>
      </w:pPr>
      <w:r w:rsidRPr="00061F78">
        <w:rPr>
          <w:highlight w:val="lightGray"/>
        </w:rPr>
        <w:t>Shaded</w:t>
      </w:r>
      <w:r w:rsidRPr="00061F78">
        <w:t xml:space="preserve"> = previously considered by the PBAC</w:t>
      </w:r>
    </w:p>
    <w:p w:rsidR="005E6DBB" w:rsidRDefault="005E6DBB" w:rsidP="005E6DBB">
      <w:pPr>
        <w:pStyle w:val="TableFooter"/>
        <w:keepNext/>
      </w:pPr>
      <w:r w:rsidRPr="00D468CF">
        <w:t>Note</w:t>
      </w:r>
      <w:r>
        <w:t>s</w:t>
      </w:r>
      <w:r w:rsidRPr="00D468CF">
        <w:t>: Bold indicates statistically significant difference.</w:t>
      </w:r>
      <w:r>
        <w:br/>
        <w:t>1 7-day point prevalen</w:t>
      </w:r>
      <w:r w:rsidR="004677E9">
        <w:t>ce</w:t>
      </w:r>
      <w:r>
        <w:t xml:space="preserve"> abstinence at 6 months</w:t>
      </w:r>
      <w:r w:rsidR="00AB5FA3">
        <w:t>.</w:t>
      </w:r>
    </w:p>
    <w:p w:rsidR="005E6DBB" w:rsidRDefault="005E6DBB" w:rsidP="005E6DBB">
      <w:pPr>
        <w:pStyle w:val="TableFooter"/>
        <w:keepNext/>
      </w:pPr>
      <w:r>
        <w:t>2 24-hour point prevalen</w:t>
      </w:r>
      <w:r w:rsidR="004677E9">
        <w:t>ce</w:t>
      </w:r>
      <w:r>
        <w:t xml:space="preserve"> abstinence at 6 months</w:t>
      </w:r>
      <w:r w:rsidR="00AB5FA3">
        <w:t>.</w:t>
      </w:r>
    </w:p>
    <w:p w:rsidR="005E6DBB" w:rsidRDefault="005E6DBB" w:rsidP="005E6DBB">
      <w:pPr>
        <w:pStyle w:val="TableFooter"/>
        <w:keepNext/>
      </w:pPr>
      <w:r>
        <w:t xml:space="preserve">3 Where cessation was assessed at multiple intervals, the longest follow-up data were used. Where multiple definitions of abstinence were assessed, the strictest of these definitions was used (e.g. continuous/prolonged abstinence over point prevalence abstinence). See </w:t>
      </w:r>
      <w:r w:rsidRPr="0079330A">
        <w:t xml:space="preserve">Appendix </w:t>
      </w:r>
      <w:r w:rsidR="003C4A1C">
        <w:t xml:space="preserve">Table </w:t>
      </w:r>
      <w:r w:rsidR="003C4A1C">
        <w:rPr>
          <w:noProof/>
        </w:rPr>
        <w:t>150</w:t>
      </w:r>
      <w:r w:rsidR="00A833AE">
        <w:t xml:space="preserve"> </w:t>
      </w:r>
      <w:r>
        <w:t>for the definition used in each study.</w:t>
      </w:r>
      <w:r w:rsidR="007D52F7" w:rsidRPr="007D52F7">
        <w:t xml:space="preserve"> </w:t>
      </w:r>
      <w:bookmarkStart w:id="102" w:name="_Hlk55138285"/>
      <w:r w:rsidR="00896F78">
        <w:t>S</w:t>
      </w:r>
      <w:r w:rsidR="007D52F7" w:rsidRPr="007D52F7">
        <w:t xml:space="preserve">tudies previously considered by the PBAC were included in the </w:t>
      </w:r>
      <w:r w:rsidR="00896F78">
        <w:t>meta-analysis</w:t>
      </w:r>
      <w:r w:rsidR="007D52F7" w:rsidRPr="007D52F7">
        <w:t xml:space="preserve"> </w:t>
      </w:r>
      <w:bookmarkEnd w:id="102"/>
      <w:r w:rsidR="007D52F7" w:rsidRPr="007D52F7">
        <w:t xml:space="preserve">of </w:t>
      </w:r>
      <w:r w:rsidR="00896F78">
        <w:t>Lindson</w:t>
      </w:r>
      <w:r w:rsidR="007D52F7" w:rsidRPr="007D52F7">
        <w:t xml:space="preserve"> et al. (201</w:t>
      </w:r>
      <w:r w:rsidR="00896F78">
        <w:t>9</w:t>
      </w:r>
      <w:r w:rsidR="007D52F7" w:rsidRPr="007D52F7">
        <w:t>)</w:t>
      </w:r>
      <w:r w:rsidR="00896F78">
        <w:t>.</w:t>
      </w:r>
    </w:p>
    <w:p w:rsidR="005E6DBB" w:rsidRDefault="005E6DBB" w:rsidP="005E6DBB">
      <w:pPr>
        <w:pStyle w:val="TableFooter"/>
        <w:keepNext/>
      </w:pPr>
      <w:r>
        <w:t>4 7-day point prevalen</w:t>
      </w:r>
      <w:r w:rsidR="004677E9">
        <w:t>ce</w:t>
      </w:r>
      <w:r>
        <w:t xml:space="preserve"> abstinence at 1 week after quit date</w:t>
      </w:r>
      <w:r w:rsidR="00AB5FA3">
        <w:t>.</w:t>
      </w:r>
    </w:p>
    <w:p w:rsidR="005E6DBB" w:rsidRDefault="005E6DBB" w:rsidP="005E6DBB">
      <w:pPr>
        <w:pStyle w:val="TableFooter"/>
        <w:keepNext/>
      </w:pPr>
      <w:r w:rsidRPr="0079330A">
        <w:t>5 Calculated</w:t>
      </w:r>
      <w:r w:rsidR="00F16EB9" w:rsidRPr="0079330A">
        <w:t xml:space="preserve"> by Cochrane Review authors</w:t>
      </w:r>
      <w:r w:rsidRPr="0079330A">
        <w:t xml:space="preserve"> using a fixed-effect model</w:t>
      </w:r>
      <w:r w:rsidR="00AB5FA3">
        <w:t>.</w:t>
      </w:r>
    </w:p>
    <w:p w:rsidR="00D35E6F" w:rsidRDefault="00F350D4" w:rsidP="005E6DBB">
      <w:pPr>
        <w:pStyle w:val="TableFooter"/>
        <w:keepNext/>
      </w:pPr>
      <w:r>
        <w:t xml:space="preserve">6 </w:t>
      </w:r>
      <w:r w:rsidR="008846EB">
        <w:rPr>
          <w:noProof/>
          <w:color w:val="000000"/>
          <w:highlight w:val="black"/>
        </w:rPr>
        <w:t>''''''' '''''''''' '''''''''' ''''' '''''' '''''''''''''' '''''''''''''''''''' '''''''''' ''''''''' '''' ''''''' ''''''''''''''' ''''''''''''''''''''''''' '''''''''''''''''''' ''''''''''''' ''''''' '''''''''''''''''' '''''' ''''''' '''''''' ''''''''' ''''''''''''''''''' '''''''' '''''''' ''''''''' ''''' ''''''''' ''''''''''' '''''''''' ''''''''''''''''''''''' '''''''' ''''''''' '''''''''' ''''''''''''''''''</w:t>
      </w:r>
    </w:p>
    <w:p w:rsidR="00F350D4" w:rsidRDefault="00D35E6F" w:rsidP="005E6DBB">
      <w:pPr>
        <w:pStyle w:val="TableFooter"/>
        <w:keepNext/>
      </w:pPr>
      <w:r>
        <w:t>7</w:t>
      </w:r>
      <w:r w:rsidR="00F350D4">
        <w:t xml:space="preserve"> The risk ratio of the indirect comparison conducted for the July 2017 submission was 0.91 (95% CI: 0.80, 1.04) (</w:t>
      </w:r>
      <w:r w:rsidR="00F350D4" w:rsidRPr="0079330A">
        <w:t xml:space="preserve">NRT PSD, </w:t>
      </w:r>
      <w:r w:rsidR="0054731C" w:rsidRPr="0079330A">
        <w:t xml:space="preserve">July </w:t>
      </w:r>
      <w:r w:rsidR="00F350D4" w:rsidRPr="0079330A">
        <w:t>2017</w:t>
      </w:r>
      <w:r w:rsidR="0054731C" w:rsidRPr="0079330A">
        <w:t xml:space="preserve"> PBAC meeting</w:t>
      </w:r>
      <w:r w:rsidR="00F350D4">
        <w:t>).</w:t>
      </w:r>
    </w:p>
    <w:p w:rsidR="005E6DBB" w:rsidRDefault="00BC44F3" w:rsidP="00C83EDA">
      <w:r w:rsidRPr="00BC44F3">
        <w:t xml:space="preserve">The results of the individual studies included in </w:t>
      </w:r>
      <w:r w:rsidR="00A833AE">
        <w:t>Lindson</w:t>
      </w:r>
      <w:r w:rsidRPr="00BC44F3">
        <w:t xml:space="preserve"> et al. (201</w:t>
      </w:r>
      <w:r w:rsidR="00A833AE">
        <w:t>9</w:t>
      </w:r>
      <w:r w:rsidRPr="00BC44F3">
        <w:t xml:space="preserve">) are presented using a forest plot in </w:t>
      </w:r>
      <w:r w:rsidR="003C4A1C">
        <w:t xml:space="preserve">Figure </w:t>
      </w:r>
      <w:r w:rsidR="003C4A1C">
        <w:rPr>
          <w:noProof/>
        </w:rPr>
        <w:t>8</w:t>
      </w:r>
      <w:r w:rsidRPr="00BC44F3">
        <w:t xml:space="preserve">. </w:t>
      </w:r>
      <w:r w:rsidR="00A833AE" w:rsidRPr="00A833AE">
        <w:t xml:space="preserve">The results comparing </w:t>
      </w:r>
      <w:r w:rsidR="00A833AE">
        <w:t>other NRT formulation</w:t>
      </w:r>
      <w:r w:rsidR="00D110A1">
        <w:t>s</w:t>
      </w:r>
      <w:r w:rsidR="00A833AE">
        <w:t xml:space="preserve"> (e.g. inhaler) are </w:t>
      </w:r>
      <w:r w:rsidR="00A833AE" w:rsidRPr="00A833AE">
        <w:t xml:space="preserve">discussed in </w:t>
      </w:r>
      <w:r w:rsidR="00A833AE" w:rsidRPr="0079330A">
        <w:t xml:space="preserve">Section </w:t>
      </w:r>
      <w:r w:rsidR="003C4A1C">
        <w:t>3.3.3</w:t>
      </w:r>
      <w:r w:rsidR="00A833AE" w:rsidRPr="0079330A">
        <w:t>.</w:t>
      </w:r>
    </w:p>
    <w:p w:rsidR="00BC44F3" w:rsidRDefault="00BC44F3" w:rsidP="00BC44F3">
      <w:pPr>
        <w:keepNext/>
      </w:pPr>
      <w:r>
        <w:rPr>
          <w:noProof/>
        </w:rPr>
        <w:lastRenderedPageBreak/>
        <w:drawing>
          <wp:inline distT="0" distB="0" distL="0" distR="0" wp14:anchorId="1A9FE1D7" wp14:editId="0B6A084A">
            <wp:extent cx="5731510" cy="392430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27">
                      <a:extLst>
                        <a:ext uri="{28A0092B-C50C-407E-A947-70E740481C1C}">
                          <a14:useLocalDpi xmlns:a14="http://schemas.microsoft.com/office/drawing/2010/main" val="0"/>
                        </a:ext>
                      </a:extLst>
                    </a:blip>
                    <a:stretch>
                      <a:fillRect/>
                    </a:stretch>
                  </pic:blipFill>
                  <pic:spPr>
                    <a:xfrm>
                      <a:off x="0" y="0"/>
                      <a:ext cx="5731510" cy="3924300"/>
                    </a:xfrm>
                    <a:prstGeom prst="rect">
                      <a:avLst/>
                    </a:prstGeom>
                  </pic:spPr>
                </pic:pic>
              </a:graphicData>
            </a:graphic>
          </wp:inline>
        </w:drawing>
      </w:r>
    </w:p>
    <w:p w:rsidR="00BC44F3" w:rsidRDefault="00BC44F3" w:rsidP="00BC44F3">
      <w:pPr>
        <w:pStyle w:val="Caption"/>
      </w:pPr>
      <w:bookmarkStart w:id="103" w:name="_Ref54622919"/>
      <w:r>
        <w:t xml:space="preserve">Figure </w:t>
      </w:r>
      <w:r w:rsidR="003C4A1C">
        <w:rPr>
          <w:noProof/>
        </w:rPr>
        <w:t>8</w:t>
      </w:r>
      <w:bookmarkEnd w:id="103"/>
      <w:r>
        <w:t xml:space="preserve">: </w:t>
      </w:r>
      <w:r w:rsidRPr="00C966EB">
        <w:t>Results of smoking cessation f</w:t>
      </w:r>
      <w:r w:rsidR="00584A53">
        <w:t>or</w:t>
      </w:r>
      <w:r w:rsidRPr="00C966EB">
        <w:t xml:space="preserve"> at least six months follow-up in </w:t>
      </w:r>
      <w:r>
        <w:t>Lindson</w:t>
      </w:r>
      <w:r w:rsidRPr="00C966EB">
        <w:t xml:space="preserve"> et al. (201</w:t>
      </w:r>
      <w:r>
        <w:t>9</w:t>
      </w:r>
      <w:r w:rsidRPr="00C966EB">
        <w:t xml:space="preserve">), </w:t>
      </w:r>
      <w:r>
        <w:t>NRT lozenge or gum versus NRT patch</w:t>
      </w:r>
    </w:p>
    <w:p w:rsidR="00BC44F3" w:rsidRDefault="00BC44F3" w:rsidP="00BC44F3">
      <w:pPr>
        <w:pStyle w:val="FigureFooter"/>
      </w:pPr>
      <w:r>
        <w:t>Source: Lindson et al. (2019)</w:t>
      </w:r>
    </w:p>
    <w:p w:rsidR="00BC44F3" w:rsidRDefault="00BC44F3" w:rsidP="00A833AE">
      <w:pPr>
        <w:pStyle w:val="FigureFooter"/>
      </w:pPr>
      <w:r w:rsidRPr="00D041F9">
        <w:t>Abbreviations: CI = confidence interval</w:t>
      </w:r>
    </w:p>
    <w:p w:rsidR="007D2A70" w:rsidRPr="007D2A70" w:rsidRDefault="007D2A70" w:rsidP="00C83EDA">
      <w:pPr>
        <w:rPr>
          <w:u w:val="single"/>
        </w:rPr>
      </w:pPr>
      <w:r w:rsidRPr="007D2A70">
        <w:rPr>
          <w:u w:val="single"/>
        </w:rPr>
        <w:t>Safety</w:t>
      </w:r>
    </w:p>
    <w:p w:rsidR="00BC44F3" w:rsidRDefault="007D2A70" w:rsidP="00C83EDA">
      <w:r w:rsidRPr="007D2A70">
        <w:t xml:space="preserve">A summary of key adverse events </w:t>
      </w:r>
      <w:r w:rsidR="00AE4767">
        <w:t xml:space="preserve">comparing NRT </w:t>
      </w:r>
      <w:r w:rsidR="00573F59">
        <w:t>lozenges</w:t>
      </w:r>
      <w:r w:rsidR="00AE4767">
        <w:t xml:space="preserve"> or gum with NRT </w:t>
      </w:r>
      <w:r w:rsidR="00573F59">
        <w:t>patches</w:t>
      </w:r>
      <w:r w:rsidR="00AE4767">
        <w:t xml:space="preserve"> </w:t>
      </w:r>
      <w:r w:rsidRPr="007D2A70">
        <w:t xml:space="preserve">is presented in </w:t>
      </w:r>
      <w:r w:rsidR="003C4A1C">
        <w:t xml:space="preserve">Table </w:t>
      </w:r>
      <w:r w:rsidR="003C4A1C">
        <w:rPr>
          <w:noProof/>
        </w:rPr>
        <w:t>31</w:t>
      </w:r>
      <w:r w:rsidRPr="007D2A70">
        <w:t xml:space="preserve">. Based on the </w:t>
      </w:r>
      <w:r w:rsidR="00F61EDA">
        <w:t xml:space="preserve">Cochrane </w:t>
      </w:r>
      <w:r w:rsidR="00DC6241">
        <w:t>R</w:t>
      </w:r>
      <w:r w:rsidR="00F61EDA">
        <w:t xml:space="preserve">eview </w:t>
      </w:r>
      <w:r w:rsidRPr="007D2A70">
        <w:t xml:space="preserve">by </w:t>
      </w:r>
      <w:r w:rsidR="00F61EDA">
        <w:t>Lindson</w:t>
      </w:r>
      <w:r w:rsidRPr="007D2A70">
        <w:t xml:space="preserve"> et al. (20</w:t>
      </w:r>
      <w:r w:rsidR="00E174EF">
        <w:t>19</w:t>
      </w:r>
      <w:r w:rsidRPr="007D2A70">
        <w:t xml:space="preserve">), </w:t>
      </w:r>
      <w:r w:rsidR="00E174EF">
        <w:t>t</w:t>
      </w:r>
      <w:r w:rsidRPr="007D2A70">
        <w:t xml:space="preserve">here were no statistically significant differences </w:t>
      </w:r>
      <w:r w:rsidR="009A27D8" w:rsidRPr="007D2A70">
        <w:t>in</w:t>
      </w:r>
      <w:r w:rsidRPr="007D2A70">
        <w:t xml:space="preserve"> serious adverse events </w:t>
      </w:r>
      <w:r w:rsidR="00E174EF">
        <w:t>and withdrawals due to treatment</w:t>
      </w:r>
      <w:r w:rsidR="009A27D8" w:rsidRPr="007D2A70">
        <w:t xml:space="preserve"> </w:t>
      </w:r>
      <w:r w:rsidRPr="007D2A70">
        <w:t xml:space="preserve">between </w:t>
      </w:r>
      <w:r w:rsidR="00E174EF">
        <w:t xml:space="preserve">NRT </w:t>
      </w:r>
      <w:r w:rsidR="00573F59">
        <w:t>lozenges</w:t>
      </w:r>
      <w:r w:rsidR="00E174EF">
        <w:t xml:space="preserve"> or gum and NRT </w:t>
      </w:r>
      <w:r w:rsidR="00573F59">
        <w:t>patches</w:t>
      </w:r>
      <w:r w:rsidR="00E174EF">
        <w:t xml:space="preserve">. For cardiac adverse events, only one small study comparing NRT gum with NRT </w:t>
      </w:r>
      <w:r w:rsidR="00573F59">
        <w:t>patches</w:t>
      </w:r>
      <w:r w:rsidR="00E174EF">
        <w:t xml:space="preserve"> reported this outcome (Kupecz et al. 1996). In this study, there were no events in either the NRT gum or </w:t>
      </w:r>
      <w:r w:rsidR="00573F59">
        <w:t>patches</w:t>
      </w:r>
      <w:r w:rsidR="00E174EF">
        <w:t xml:space="preserve"> groups. It was </w:t>
      </w:r>
      <w:r w:rsidR="007D51E9">
        <w:t>not</w:t>
      </w:r>
      <w:r w:rsidR="00E174EF">
        <w:t xml:space="preserve">ed that only a limited number of studies reported the key safety outcomes. </w:t>
      </w:r>
    </w:p>
    <w:p w:rsidR="00F61EDA" w:rsidRDefault="00F61EDA" w:rsidP="00F61EDA">
      <w:pPr>
        <w:pStyle w:val="Caption"/>
        <w:keepNext/>
      </w:pPr>
      <w:bookmarkStart w:id="104" w:name="_Ref54625637"/>
      <w:r>
        <w:t xml:space="preserve">Table </w:t>
      </w:r>
      <w:r w:rsidR="003C4A1C">
        <w:rPr>
          <w:noProof/>
        </w:rPr>
        <w:t>31</w:t>
      </w:r>
      <w:bookmarkEnd w:id="104"/>
      <w:r>
        <w:t xml:space="preserve">: </w:t>
      </w:r>
      <w:r w:rsidRPr="00897E72">
        <w:t xml:space="preserve">Summary of key adverse events, </w:t>
      </w:r>
      <w:r>
        <w:t>NRT lozenge or gum</w:t>
      </w:r>
      <w:r w:rsidRPr="00897E72">
        <w:t xml:space="preserve"> versus </w:t>
      </w:r>
      <w:r w:rsidR="000D7B54">
        <w:t>NRT patch</w:t>
      </w:r>
    </w:p>
    <w:tbl>
      <w:tblPr>
        <w:tblStyle w:val="TableGrid"/>
        <w:tblW w:w="5000" w:type="pct"/>
        <w:tblLook w:val="04A0" w:firstRow="1" w:lastRow="0" w:firstColumn="1" w:lastColumn="0" w:noHBand="0" w:noVBand="1"/>
        <w:tblCaption w:val="Efficacy results of adalimumab trials (PASI 75 and DLQI)"/>
      </w:tblPr>
      <w:tblGrid>
        <w:gridCol w:w="999"/>
        <w:gridCol w:w="1702"/>
        <w:gridCol w:w="2146"/>
        <w:gridCol w:w="1446"/>
        <w:gridCol w:w="1282"/>
        <w:gridCol w:w="1441"/>
      </w:tblGrid>
      <w:tr w:rsidR="00C1384E" w:rsidRPr="00061F78" w:rsidTr="00C1384E">
        <w:trPr>
          <w:cantSplit/>
          <w:trHeight w:val="299"/>
          <w:tblHeader/>
        </w:trPr>
        <w:tc>
          <w:tcPr>
            <w:tcW w:w="554" w:type="pct"/>
            <w:shd w:val="clear" w:color="auto" w:fill="BFBFBF" w:themeFill="background1" w:themeFillShade="BF"/>
            <w:tcMar>
              <w:left w:w="28" w:type="dxa"/>
              <w:right w:w="28" w:type="dxa"/>
            </w:tcMar>
            <w:vAlign w:val="center"/>
          </w:tcPr>
          <w:p w:rsidR="00C1384E" w:rsidRPr="00061F78" w:rsidRDefault="00C1384E" w:rsidP="00884DBF">
            <w:pPr>
              <w:pStyle w:val="Tableheading"/>
              <w:rPr>
                <w:rFonts w:eastAsia="MS Mincho"/>
              </w:rPr>
            </w:pPr>
            <w:r>
              <w:rPr>
                <w:rFonts w:eastAsia="MS Mincho"/>
              </w:rPr>
              <w:t>Study</w:t>
            </w:r>
          </w:p>
        </w:tc>
        <w:tc>
          <w:tcPr>
            <w:tcW w:w="944" w:type="pct"/>
            <w:shd w:val="clear" w:color="auto" w:fill="BFBFBF" w:themeFill="background1" w:themeFillShade="BF"/>
            <w:vAlign w:val="center"/>
          </w:tcPr>
          <w:p w:rsidR="00C1384E" w:rsidRDefault="00C1384E" w:rsidP="00884DBF">
            <w:pPr>
              <w:pStyle w:val="Tableheading"/>
              <w:jc w:val="center"/>
              <w:rPr>
                <w:rFonts w:eastAsia="MS Mincho"/>
              </w:rPr>
            </w:pPr>
            <w:r>
              <w:rPr>
                <w:rFonts w:eastAsia="MS Mincho"/>
              </w:rPr>
              <w:t>Study type</w:t>
            </w:r>
          </w:p>
        </w:tc>
        <w:tc>
          <w:tcPr>
            <w:tcW w:w="1190" w:type="pct"/>
            <w:shd w:val="clear" w:color="auto" w:fill="BFBFBF" w:themeFill="background1" w:themeFillShade="BF"/>
            <w:tcMar>
              <w:left w:w="28" w:type="dxa"/>
              <w:right w:w="28" w:type="dxa"/>
            </w:tcMar>
            <w:vAlign w:val="center"/>
          </w:tcPr>
          <w:p w:rsidR="00C1384E" w:rsidRPr="002D7608" w:rsidRDefault="00C1384E" w:rsidP="00884DBF">
            <w:pPr>
              <w:pStyle w:val="Tableheading"/>
              <w:jc w:val="center"/>
              <w:rPr>
                <w:rFonts w:eastAsia="MS Mincho"/>
                <w:vertAlign w:val="superscript"/>
              </w:rPr>
            </w:pPr>
            <w:r>
              <w:rPr>
                <w:rFonts w:eastAsia="MS Mincho"/>
              </w:rPr>
              <w:t>Previously considered studies included</w:t>
            </w:r>
            <w:r>
              <w:rPr>
                <w:rFonts w:eastAsia="MS Mincho"/>
                <w:vertAlign w:val="superscript"/>
              </w:rPr>
              <w:t>1</w:t>
            </w:r>
          </w:p>
        </w:tc>
        <w:tc>
          <w:tcPr>
            <w:tcW w:w="802" w:type="pct"/>
            <w:shd w:val="clear" w:color="auto" w:fill="BFBFBF" w:themeFill="background1" w:themeFillShade="BF"/>
            <w:tcMar>
              <w:left w:w="28" w:type="dxa"/>
              <w:right w:w="28" w:type="dxa"/>
            </w:tcMar>
            <w:vAlign w:val="center"/>
          </w:tcPr>
          <w:p w:rsidR="00C1384E" w:rsidRPr="00061F78" w:rsidRDefault="00C1384E" w:rsidP="00884DBF">
            <w:pPr>
              <w:pStyle w:val="Tableheading"/>
              <w:jc w:val="center"/>
              <w:rPr>
                <w:rFonts w:eastAsia="MS Mincho"/>
              </w:rPr>
            </w:pPr>
            <w:r>
              <w:rPr>
                <w:rFonts w:eastAsia="MS Mincho"/>
              </w:rPr>
              <w:t>NRT lozenge/gum</w:t>
            </w:r>
          </w:p>
        </w:tc>
        <w:tc>
          <w:tcPr>
            <w:tcW w:w="711" w:type="pct"/>
            <w:shd w:val="clear" w:color="auto" w:fill="BFBFBF" w:themeFill="background1" w:themeFillShade="BF"/>
            <w:tcMar>
              <w:left w:w="28" w:type="dxa"/>
              <w:right w:w="28" w:type="dxa"/>
            </w:tcMar>
            <w:vAlign w:val="center"/>
          </w:tcPr>
          <w:p w:rsidR="00C1384E" w:rsidRPr="00061F78" w:rsidRDefault="00C1384E" w:rsidP="00884DBF">
            <w:pPr>
              <w:pStyle w:val="Tableheading"/>
              <w:jc w:val="center"/>
              <w:rPr>
                <w:rFonts w:eastAsia="MS Mincho"/>
              </w:rPr>
            </w:pPr>
            <w:r>
              <w:rPr>
                <w:rFonts w:eastAsia="MS Mincho"/>
              </w:rPr>
              <w:t>NRT patch</w:t>
            </w:r>
          </w:p>
        </w:tc>
        <w:tc>
          <w:tcPr>
            <w:tcW w:w="799" w:type="pct"/>
            <w:shd w:val="clear" w:color="auto" w:fill="BFBFBF" w:themeFill="background1" w:themeFillShade="BF"/>
            <w:tcMar>
              <w:left w:w="28" w:type="dxa"/>
              <w:right w:w="28" w:type="dxa"/>
            </w:tcMar>
            <w:vAlign w:val="center"/>
          </w:tcPr>
          <w:p w:rsidR="00C1384E" w:rsidRPr="00D468CF" w:rsidRDefault="00C1384E" w:rsidP="00884DBF">
            <w:pPr>
              <w:pStyle w:val="Tableheading"/>
              <w:jc w:val="center"/>
              <w:rPr>
                <w:rFonts w:eastAsia="MS Mincho"/>
                <w:vertAlign w:val="superscript"/>
              </w:rPr>
            </w:pPr>
            <w:r>
              <w:rPr>
                <w:rFonts w:eastAsia="MS Mincho"/>
              </w:rPr>
              <w:t>RR (95% CI)</w:t>
            </w:r>
            <w:r>
              <w:rPr>
                <w:rFonts w:eastAsia="MS Mincho"/>
                <w:vertAlign w:val="superscript"/>
              </w:rPr>
              <w:t>2</w:t>
            </w:r>
          </w:p>
        </w:tc>
      </w:tr>
      <w:tr w:rsidR="00C1384E" w:rsidRPr="00061F78" w:rsidTr="00E97C7D">
        <w:trPr>
          <w:cantSplit/>
          <w:trHeight w:val="99"/>
        </w:trPr>
        <w:tc>
          <w:tcPr>
            <w:tcW w:w="5000" w:type="pct"/>
            <w:gridSpan w:val="6"/>
            <w:shd w:val="clear" w:color="auto" w:fill="auto"/>
            <w:tcMar>
              <w:left w:w="28" w:type="dxa"/>
              <w:right w:w="28" w:type="dxa"/>
            </w:tcMar>
            <w:vAlign w:val="center"/>
          </w:tcPr>
          <w:p w:rsidR="00C1384E" w:rsidRPr="00E97C7D" w:rsidRDefault="00C1384E" w:rsidP="00884DBF">
            <w:pPr>
              <w:pStyle w:val="Tablewriting"/>
              <w:rPr>
                <w:rFonts w:eastAsia="MS Mincho"/>
                <w:b/>
                <w:bCs/>
              </w:rPr>
            </w:pPr>
            <w:r w:rsidRPr="00E97C7D">
              <w:rPr>
                <w:rFonts w:eastAsia="MS Mincho"/>
                <w:b/>
                <w:bCs/>
              </w:rPr>
              <w:t>Cardiac adverse event</w:t>
            </w:r>
          </w:p>
        </w:tc>
      </w:tr>
      <w:tr w:rsidR="00C1384E" w:rsidRPr="00061F78" w:rsidTr="00C1384E">
        <w:trPr>
          <w:cantSplit/>
          <w:trHeight w:val="149"/>
        </w:trPr>
        <w:tc>
          <w:tcPr>
            <w:tcW w:w="554" w:type="pct"/>
            <w:tcMar>
              <w:left w:w="28" w:type="dxa"/>
              <w:right w:w="28" w:type="dxa"/>
            </w:tcMar>
          </w:tcPr>
          <w:p w:rsidR="00C1384E" w:rsidRDefault="00C1384E" w:rsidP="00884DBF">
            <w:pPr>
              <w:pStyle w:val="Tablewriting"/>
              <w:rPr>
                <w:rFonts w:eastAsia="MS Mincho"/>
              </w:rPr>
            </w:pPr>
            <w:r>
              <w:rPr>
                <w:rFonts w:eastAsia="MS Mincho"/>
              </w:rPr>
              <w:t>Lozenge</w:t>
            </w:r>
          </w:p>
        </w:tc>
        <w:tc>
          <w:tcPr>
            <w:tcW w:w="944" w:type="pct"/>
            <w:vAlign w:val="center"/>
          </w:tcPr>
          <w:p w:rsidR="00C1384E" w:rsidRDefault="00C1384E" w:rsidP="00884DBF">
            <w:pPr>
              <w:pStyle w:val="Tablewriting"/>
              <w:jc w:val="center"/>
              <w:rPr>
                <w:rFonts w:eastAsia="MS Mincho"/>
              </w:rPr>
            </w:pPr>
            <w:r>
              <w:rPr>
                <w:rFonts w:eastAsia="MS Mincho"/>
              </w:rPr>
              <w:t>NR</w:t>
            </w:r>
          </w:p>
        </w:tc>
        <w:tc>
          <w:tcPr>
            <w:tcW w:w="1190" w:type="pct"/>
            <w:tcMar>
              <w:left w:w="28" w:type="dxa"/>
              <w:right w:w="28" w:type="dxa"/>
            </w:tcMar>
            <w:vAlign w:val="center"/>
          </w:tcPr>
          <w:p w:rsidR="00C1384E" w:rsidRDefault="00C1384E" w:rsidP="00884DBF">
            <w:pPr>
              <w:pStyle w:val="Tablewriting"/>
              <w:jc w:val="center"/>
              <w:rPr>
                <w:rFonts w:eastAsia="MS Mincho"/>
              </w:rPr>
            </w:pPr>
            <w:r>
              <w:rPr>
                <w:rFonts w:eastAsia="MS Mincho"/>
              </w:rPr>
              <w:t>NR</w:t>
            </w:r>
          </w:p>
        </w:tc>
        <w:tc>
          <w:tcPr>
            <w:tcW w:w="802" w:type="pct"/>
            <w:tcMar>
              <w:left w:w="28" w:type="dxa"/>
              <w:right w:w="28" w:type="dxa"/>
            </w:tcMar>
            <w:vAlign w:val="center"/>
          </w:tcPr>
          <w:p w:rsidR="00C1384E" w:rsidRDefault="00C1384E" w:rsidP="00884DBF">
            <w:pPr>
              <w:pStyle w:val="Tablewriting"/>
              <w:jc w:val="center"/>
              <w:rPr>
                <w:rFonts w:eastAsia="MS Mincho"/>
              </w:rPr>
            </w:pPr>
            <w:r>
              <w:rPr>
                <w:rFonts w:eastAsia="MS Mincho"/>
              </w:rPr>
              <w:t>NR</w:t>
            </w:r>
          </w:p>
        </w:tc>
        <w:tc>
          <w:tcPr>
            <w:tcW w:w="711" w:type="pct"/>
            <w:tcMar>
              <w:left w:w="28" w:type="dxa"/>
              <w:right w:w="28" w:type="dxa"/>
            </w:tcMar>
            <w:vAlign w:val="center"/>
          </w:tcPr>
          <w:p w:rsidR="00C1384E" w:rsidRDefault="00C1384E" w:rsidP="00884DBF">
            <w:pPr>
              <w:pStyle w:val="Tablewriting"/>
              <w:jc w:val="center"/>
              <w:rPr>
                <w:rFonts w:eastAsia="MS Mincho"/>
              </w:rPr>
            </w:pPr>
            <w:r>
              <w:rPr>
                <w:rFonts w:eastAsia="MS Mincho"/>
              </w:rPr>
              <w:t>NR</w:t>
            </w:r>
          </w:p>
        </w:tc>
        <w:tc>
          <w:tcPr>
            <w:tcW w:w="799" w:type="pct"/>
            <w:tcMar>
              <w:left w:w="28" w:type="dxa"/>
              <w:right w:w="28" w:type="dxa"/>
            </w:tcMar>
            <w:vAlign w:val="center"/>
          </w:tcPr>
          <w:p w:rsidR="00C1384E" w:rsidRPr="002F73AB" w:rsidRDefault="00C1384E" w:rsidP="00884DBF">
            <w:pPr>
              <w:pStyle w:val="Tablewriting"/>
              <w:jc w:val="center"/>
              <w:rPr>
                <w:rFonts w:eastAsia="MS Mincho"/>
              </w:rPr>
            </w:pPr>
            <w:r w:rsidRPr="002F73AB">
              <w:rPr>
                <w:rFonts w:eastAsia="MS Mincho"/>
              </w:rPr>
              <w:t>NR</w:t>
            </w:r>
          </w:p>
        </w:tc>
      </w:tr>
      <w:tr w:rsidR="00C1384E" w:rsidRPr="00061F78" w:rsidTr="00C1384E">
        <w:trPr>
          <w:cantSplit/>
          <w:trHeight w:val="149"/>
        </w:trPr>
        <w:tc>
          <w:tcPr>
            <w:tcW w:w="554" w:type="pct"/>
            <w:tcMar>
              <w:left w:w="28" w:type="dxa"/>
              <w:right w:w="28" w:type="dxa"/>
            </w:tcMar>
          </w:tcPr>
          <w:p w:rsidR="00C1384E" w:rsidRDefault="00C1384E" w:rsidP="00884DBF">
            <w:pPr>
              <w:pStyle w:val="Tablewriting"/>
              <w:rPr>
                <w:rFonts w:eastAsia="MS Mincho"/>
              </w:rPr>
            </w:pPr>
            <w:r>
              <w:rPr>
                <w:rFonts w:eastAsia="MS Mincho"/>
              </w:rPr>
              <w:t>Gum; Lindson</w:t>
            </w:r>
            <w:r w:rsidRPr="00061F78">
              <w:rPr>
                <w:rFonts w:eastAsia="MS Mincho"/>
              </w:rPr>
              <w:t xml:space="preserve"> </w:t>
            </w:r>
          </w:p>
          <w:p w:rsidR="00C1384E" w:rsidRPr="00D468CF" w:rsidRDefault="00C1384E" w:rsidP="00884DBF">
            <w:pPr>
              <w:pStyle w:val="Tablewriting"/>
              <w:rPr>
                <w:rFonts w:eastAsia="MS Mincho"/>
                <w:vertAlign w:val="superscript"/>
              </w:rPr>
            </w:pPr>
            <w:r w:rsidRPr="00061F78">
              <w:rPr>
                <w:rFonts w:eastAsia="MS Mincho"/>
              </w:rPr>
              <w:t>(20</w:t>
            </w:r>
            <w:r>
              <w:rPr>
                <w:rFonts w:eastAsia="MS Mincho"/>
              </w:rPr>
              <w:t>19)</w:t>
            </w:r>
          </w:p>
        </w:tc>
        <w:tc>
          <w:tcPr>
            <w:tcW w:w="944" w:type="pct"/>
            <w:vAlign w:val="center"/>
          </w:tcPr>
          <w:p w:rsidR="00C1384E" w:rsidRDefault="00C1384E" w:rsidP="00884DBF">
            <w:pPr>
              <w:pStyle w:val="Tablewriting"/>
              <w:jc w:val="center"/>
              <w:rPr>
                <w:rFonts w:eastAsia="MS Mincho"/>
              </w:rPr>
            </w:pPr>
            <w:r>
              <w:rPr>
                <w:rFonts w:eastAsia="MS Mincho"/>
              </w:rPr>
              <w:t>Cochrane Review (1 RCT)</w:t>
            </w:r>
          </w:p>
        </w:tc>
        <w:tc>
          <w:tcPr>
            <w:tcW w:w="1190" w:type="pct"/>
            <w:tcMar>
              <w:left w:w="28" w:type="dxa"/>
              <w:right w:w="28" w:type="dxa"/>
            </w:tcMar>
            <w:vAlign w:val="center"/>
          </w:tcPr>
          <w:p w:rsidR="00C1384E" w:rsidRPr="00061F78" w:rsidRDefault="00C1384E" w:rsidP="00884DBF">
            <w:pPr>
              <w:pStyle w:val="Tablewriting"/>
              <w:jc w:val="center"/>
              <w:rPr>
                <w:rFonts w:eastAsia="MS Mincho"/>
              </w:rPr>
            </w:pPr>
            <w:r>
              <w:rPr>
                <w:rFonts w:eastAsia="MS Mincho"/>
              </w:rPr>
              <w:t>No</w:t>
            </w:r>
          </w:p>
        </w:tc>
        <w:tc>
          <w:tcPr>
            <w:tcW w:w="802" w:type="pct"/>
            <w:tcMar>
              <w:left w:w="28" w:type="dxa"/>
              <w:right w:w="28" w:type="dxa"/>
            </w:tcMar>
            <w:vAlign w:val="center"/>
          </w:tcPr>
          <w:p w:rsidR="00C1384E" w:rsidRDefault="00C1384E" w:rsidP="00884DBF">
            <w:pPr>
              <w:pStyle w:val="Tablewriting"/>
              <w:jc w:val="center"/>
              <w:rPr>
                <w:rFonts w:eastAsia="MS Mincho"/>
              </w:rPr>
            </w:pPr>
            <w:r>
              <w:rPr>
                <w:rFonts w:eastAsia="MS Mincho"/>
              </w:rPr>
              <w:t>0</w:t>
            </w:r>
            <w:r w:rsidRPr="00061F78">
              <w:rPr>
                <w:rFonts w:eastAsia="MS Mincho"/>
              </w:rPr>
              <w:t>/</w:t>
            </w:r>
            <w:r>
              <w:rPr>
                <w:rFonts w:eastAsia="MS Mincho"/>
              </w:rPr>
              <w:t>17</w:t>
            </w:r>
            <w:r w:rsidRPr="00061F78">
              <w:rPr>
                <w:rFonts w:eastAsia="MS Mincho"/>
              </w:rPr>
              <w:t xml:space="preserve"> </w:t>
            </w:r>
          </w:p>
          <w:p w:rsidR="00C1384E" w:rsidRPr="00061F78" w:rsidRDefault="00C1384E" w:rsidP="00884DBF">
            <w:pPr>
              <w:pStyle w:val="Tablewriting"/>
              <w:jc w:val="center"/>
              <w:rPr>
                <w:rFonts w:eastAsia="MS Mincho"/>
              </w:rPr>
            </w:pPr>
            <w:r w:rsidRPr="00061F78">
              <w:rPr>
                <w:rFonts w:eastAsia="MS Mincho"/>
              </w:rPr>
              <w:t>(</w:t>
            </w:r>
            <w:r>
              <w:rPr>
                <w:rFonts w:eastAsia="MS Mincho"/>
              </w:rPr>
              <w:t>0</w:t>
            </w:r>
            <w:r w:rsidRPr="00061F78">
              <w:rPr>
                <w:rFonts w:eastAsia="MS Mincho"/>
              </w:rPr>
              <w:t>%)</w:t>
            </w:r>
          </w:p>
        </w:tc>
        <w:tc>
          <w:tcPr>
            <w:tcW w:w="711" w:type="pct"/>
            <w:tcMar>
              <w:left w:w="28" w:type="dxa"/>
              <w:right w:w="28" w:type="dxa"/>
            </w:tcMar>
            <w:vAlign w:val="center"/>
          </w:tcPr>
          <w:p w:rsidR="00C1384E" w:rsidRDefault="00C1384E" w:rsidP="00884DBF">
            <w:pPr>
              <w:pStyle w:val="Tablewriting"/>
              <w:jc w:val="center"/>
              <w:rPr>
                <w:rFonts w:eastAsia="MS Mincho"/>
              </w:rPr>
            </w:pPr>
            <w:r>
              <w:rPr>
                <w:rFonts w:eastAsia="MS Mincho"/>
              </w:rPr>
              <w:t>0</w:t>
            </w:r>
            <w:r w:rsidRPr="00061F78">
              <w:rPr>
                <w:rFonts w:eastAsia="MS Mincho"/>
              </w:rPr>
              <w:t>/</w:t>
            </w:r>
            <w:r>
              <w:rPr>
                <w:rFonts w:eastAsia="MS Mincho"/>
              </w:rPr>
              <w:t>21</w:t>
            </w:r>
            <w:r w:rsidRPr="00061F78">
              <w:rPr>
                <w:rFonts w:eastAsia="MS Mincho"/>
              </w:rPr>
              <w:t xml:space="preserve"> </w:t>
            </w:r>
          </w:p>
          <w:p w:rsidR="00C1384E" w:rsidRPr="00061F78" w:rsidRDefault="00C1384E" w:rsidP="00884DBF">
            <w:pPr>
              <w:pStyle w:val="Tablewriting"/>
              <w:jc w:val="center"/>
              <w:rPr>
                <w:rFonts w:eastAsia="MS Mincho"/>
              </w:rPr>
            </w:pPr>
            <w:r w:rsidRPr="00061F78">
              <w:rPr>
                <w:rFonts w:eastAsia="MS Mincho"/>
              </w:rPr>
              <w:t>(</w:t>
            </w:r>
            <w:r>
              <w:rPr>
                <w:rFonts w:eastAsia="MS Mincho"/>
              </w:rPr>
              <w:t>0</w:t>
            </w:r>
            <w:r w:rsidRPr="00061F78">
              <w:rPr>
                <w:rFonts w:eastAsia="MS Mincho"/>
              </w:rPr>
              <w:t>%)</w:t>
            </w:r>
          </w:p>
        </w:tc>
        <w:tc>
          <w:tcPr>
            <w:tcW w:w="799" w:type="pct"/>
            <w:tcMar>
              <w:left w:w="28" w:type="dxa"/>
              <w:right w:w="28" w:type="dxa"/>
            </w:tcMar>
            <w:vAlign w:val="center"/>
          </w:tcPr>
          <w:p w:rsidR="00C1384E" w:rsidRPr="00F61EDA" w:rsidRDefault="00C1384E" w:rsidP="00884DBF">
            <w:pPr>
              <w:pStyle w:val="Tablewriting"/>
              <w:jc w:val="center"/>
              <w:rPr>
                <w:rFonts w:eastAsia="MS Mincho"/>
              </w:rPr>
            </w:pPr>
            <w:r w:rsidRPr="00F61EDA">
              <w:rPr>
                <w:rFonts w:eastAsia="MS Mincho"/>
              </w:rPr>
              <w:t>NE</w:t>
            </w:r>
          </w:p>
        </w:tc>
      </w:tr>
      <w:tr w:rsidR="00C1384E" w:rsidRPr="00061F78" w:rsidTr="00E97C7D">
        <w:trPr>
          <w:cantSplit/>
          <w:trHeight w:val="149"/>
        </w:trPr>
        <w:tc>
          <w:tcPr>
            <w:tcW w:w="5000" w:type="pct"/>
            <w:gridSpan w:val="6"/>
            <w:shd w:val="clear" w:color="auto" w:fill="auto"/>
            <w:tcMar>
              <w:left w:w="28" w:type="dxa"/>
              <w:right w:w="28" w:type="dxa"/>
            </w:tcMar>
          </w:tcPr>
          <w:p w:rsidR="00C1384E" w:rsidRPr="00E97C7D" w:rsidRDefault="00C1384E" w:rsidP="00884DBF">
            <w:pPr>
              <w:pStyle w:val="Tablewriting"/>
              <w:rPr>
                <w:rFonts w:eastAsia="MS Mincho"/>
                <w:b/>
                <w:bCs/>
              </w:rPr>
            </w:pPr>
            <w:r w:rsidRPr="00E97C7D">
              <w:rPr>
                <w:rFonts w:eastAsia="MS Mincho"/>
                <w:b/>
                <w:bCs/>
              </w:rPr>
              <w:t>Serious adverse events</w:t>
            </w:r>
          </w:p>
        </w:tc>
      </w:tr>
      <w:tr w:rsidR="00C1384E" w:rsidRPr="00061F78" w:rsidTr="00C1384E">
        <w:trPr>
          <w:cantSplit/>
          <w:trHeight w:val="149"/>
        </w:trPr>
        <w:tc>
          <w:tcPr>
            <w:tcW w:w="554" w:type="pct"/>
            <w:tcMar>
              <w:left w:w="28" w:type="dxa"/>
              <w:right w:w="28" w:type="dxa"/>
            </w:tcMar>
          </w:tcPr>
          <w:p w:rsidR="00C1384E" w:rsidRDefault="00C1384E" w:rsidP="00884DBF">
            <w:pPr>
              <w:pStyle w:val="Tablewriting"/>
              <w:rPr>
                <w:rFonts w:eastAsia="MS Mincho"/>
              </w:rPr>
            </w:pPr>
            <w:r>
              <w:rPr>
                <w:rFonts w:eastAsia="MS Mincho"/>
              </w:rPr>
              <w:t>Lozenge; Lindson</w:t>
            </w:r>
            <w:r w:rsidRPr="00061F78">
              <w:rPr>
                <w:rFonts w:eastAsia="MS Mincho"/>
              </w:rPr>
              <w:t xml:space="preserve"> </w:t>
            </w:r>
          </w:p>
          <w:p w:rsidR="00C1384E" w:rsidRDefault="00C1384E" w:rsidP="00884DBF">
            <w:pPr>
              <w:pStyle w:val="Tablewriting"/>
              <w:rPr>
                <w:rFonts w:eastAsia="MS Mincho"/>
              </w:rPr>
            </w:pPr>
            <w:r w:rsidRPr="00061F78">
              <w:rPr>
                <w:rFonts w:eastAsia="MS Mincho"/>
              </w:rPr>
              <w:t>(20</w:t>
            </w:r>
            <w:r>
              <w:rPr>
                <w:rFonts w:eastAsia="MS Mincho"/>
              </w:rPr>
              <w:t>19</w:t>
            </w:r>
            <w:r w:rsidRPr="00061F78">
              <w:rPr>
                <w:rFonts w:eastAsia="MS Mincho"/>
              </w:rPr>
              <w:t>)</w:t>
            </w:r>
          </w:p>
        </w:tc>
        <w:tc>
          <w:tcPr>
            <w:tcW w:w="944" w:type="pct"/>
            <w:vAlign w:val="center"/>
          </w:tcPr>
          <w:p w:rsidR="00C1384E" w:rsidRDefault="00C1384E" w:rsidP="00884DBF">
            <w:pPr>
              <w:pStyle w:val="Tablewriting"/>
              <w:jc w:val="center"/>
              <w:rPr>
                <w:rFonts w:eastAsia="MS Mincho"/>
              </w:rPr>
            </w:pPr>
            <w:r>
              <w:rPr>
                <w:rFonts w:eastAsia="MS Mincho"/>
              </w:rPr>
              <w:t>Cochrane Review (1 RCT)</w:t>
            </w:r>
          </w:p>
        </w:tc>
        <w:tc>
          <w:tcPr>
            <w:tcW w:w="1190" w:type="pct"/>
            <w:tcMar>
              <w:left w:w="28" w:type="dxa"/>
              <w:right w:w="28" w:type="dxa"/>
            </w:tcMar>
            <w:vAlign w:val="center"/>
          </w:tcPr>
          <w:p w:rsidR="00C1384E" w:rsidRDefault="00C1384E" w:rsidP="00884DBF">
            <w:pPr>
              <w:pStyle w:val="Tablewriting"/>
              <w:jc w:val="center"/>
              <w:rPr>
                <w:rFonts w:eastAsia="MS Mincho"/>
              </w:rPr>
            </w:pPr>
            <w:r>
              <w:rPr>
                <w:rFonts w:eastAsia="MS Mincho"/>
              </w:rPr>
              <w:t>Schnoll (2010)</w:t>
            </w:r>
          </w:p>
        </w:tc>
        <w:tc>
          <w:tcPr>
            <w:tcW w:w="802" w:type="pct"/>
            <w:tcMar>
              <w:left w:w="28" w:type="dxa"/>
              <w:right w:w="28" w:type="dxa"/>
            </w:tcMar>
            <w:vAlign w:val="center"/>
          </w:tcPr>
          <w:p w:rsidR="00C1384E" w:rsidRDefault="00C1384E" w:rsidP="00884DBF">
            <w:pPr>
              <w:pStyle w:val="Tablewriting"/>
              <w:jc w:val="center"/>
              <w:rPr>
                <w:rFonts w:eastAsia="MS Mincho"/>
              </w:rPr>
            </w:pPr>
            <w:r>
              <w:rPr>
                <w:rFonts w:eastAsia="MS Mincho"/>
              </w:rPr>
              <w:t>7</w:t>
            </w:r>
            <w:r w:rsidRPr="00061F78">
              <w:rPr>
                <w:rFonts w:eastAsia="MS Mincho"/>
              </w:rPr>
              <w:t>/</w:t>
            </w:r>
            <w:r>
              <w:rPr>
                <w:rFonts w:eastAsia="MS Mincho"/>
              </w:rPr>
              <w:t>321</w:t>
            </w:r>
            <w:r w:rsidRPr="00061F78">
              <w:rPr>
                <w:rFonts w:eastAsia="MS Mincho"/>
              </w:rPr>
              <w:t xml:space="preserve"> </w:t>
            </w:r>
          </w:p>
          <w:p w:rsidR="00C1384E" w:rsidRDefault="00C1384E" w:rsidP="00884DBF">
            <w:pPr>
              <w:pStyle w:val="Tablewriting"/>
              <w:jc w:val="center"/>
              <w:rPr>
                <w:rFonts w:eastAsia="MS Mincho"/>
              </w:rPr>
            </w:pPr>
            <w:r w:rsidRPr="00061F78">
              <w:rPr>
                <w:rFonts w:eastAsia="MS Mincho"/>
              </w:rPr>
              <w:t>(</w:t>
            </w:r>
            <w:r>
              <w:rPr>
                <w:rFonts w:eastAsia="MS Mincho"/>
              </w:rPr>
              <w:t>21.8</w:t>
            </w:r>
            <w:r w:rsidRPr="00061F78">
              <w:rPr>
                <w:rFonts w:eastAsia="MS Mincho"/>
              </w:rPr>
              <w:t>%)</w:t>
            </w:r>
          </w:p>
        </w:tc>
        <w:tc>
          <w:tcPr>
            <w:tcW w:w="711" w:type="pct"/>
            <w:tcMar>
              <w:left w:w="28" w:type="dxa"/>
              <w:right w:w="28" w:type="dxa"/>
            </w:tcMar>
            <w:vAlign w:val="center"/>
          </w:tcPr>
          <w:p w:rsidR="00C1384E" w:rsidRDefault="00C1384E" w:rsidP="00884DBF">
            <w:pPr>
              <w:pStyle w:val="Tablewriting"/>
              <w:jc w:val="center"/>
              <w:rPr>
                <w:rFonts w:eastAsia="MS Mincho"/>
              </w:rPr>
            </w:pPr>
            <w:r>
              <w:rPr>
                <w:rFonts w:eastAsia="MS Mincho"/>
              </w:rPr>
              <w:t>4</w:t>
            </w:r>
            <w:r w:rsidRPr="00061F78">
              <w:rPr>
                <w:rFonts w:eastAsia="MS Mincho"/>
              </w:rPr>
              <w:t>/</w:t>
            </w:r>
            <w:r>
              <w:rPr>
                <w:rFonts w:eastAsia="MS Mincho"/>
              </w:rPr>
              <w:t>321</w:t>
            </w:r>
            <w:r w:rsidRPr="00061F78">
              <w:rPr>
                <w:rFonts w:eastAsia="MS Mincho"/>
              </w:rPr>
              <w:t xml:space="preserve"> </w:t>
            </w:r>
          </w:p>
          <w:p w:rsidR="00C1384E" w:rsidRDefault="00C1384E" w:rsidP="00884DBF">
            <w:pPr>
              <w:pStyle w:val="Tablewriting"/>
              <w:jc w:val="center"/>
              <w:rPr>
                <w:rFonts w:eastAsia="MS Mincho"/>
              </w:rPr>
            </w:pPr>
            <w:r w:rsidRPr="00061F78">
              <w:rPr>
                <w:rFonts w:eastAsia="MS Mincho"/>
              </w:rPr>
              <w:t>(</w:t>
            </w:r>
            <w:r>
              <w:rPr>
                <w:rFonts w:eastAsia="MS Mincho"/>
              </w:rPr>
              <w:t>1.2</w:t>
            </w:r>
            <w:r w:rsidRPr="00061F78">
              <w:rPr>
                <w:rFonts w:eastAsia="MS Mincho"/>
              </w:rPr>
              <w:t>%)</w:t>
            </w:r>
          </w:p>
        </w:tc>
        <w:tc>
          <w:tcPr>
            <w:tcW w:w="799" w:type="pct"/>
            <w:tcMar>
              <w:left w:w="28" w:type="dxa"/>
              <w:right w:w="28" w:type="dxa"/>
            </w:tcMar>
            <w:vAlign w:val="center"/>
          </w:tcPr>
          <w:p w:rsidR="00C1384E" w:rsidRPr="00F61EDA" w:rsidRDefault="00C1384E" w:rsidP="00884DBF">
            <w:pPr>
              <w:pStyle w:val="Tablewriting"/>
              <w:jc w:val="center"/>
              <w:rPr>
                <w:rFonts w:eastAsia="MS Mincho"/>
              </w:rPr>
            </w:pPr>
            <w:r w:rsidRPr="00F61EDA">
              <w:rPr>
                <w:rFonts w:eastAsia="MS Mincho"/>
              </w:rPr>
              <w:t>1.75</w:t>
            </w:r>
          </w:p>
          <w:p w:rsidR="00C1384E" w:rsidRPr="00893F2B" w:rsidRDefault="00C1384E" w:rsidP="00884DBF">
            <w:pPr>
              <w:pStyle w:val="Tablewriting"/>
              <w:jc w:val="center"/>
              <w:rPr>
                <w:rFonts w:eastAsia="MS Mincho"/>
                <w:b/>
                <w:bCs/>
              </w:rPr>
            </w:pPr>
            <w:r w:rsidRPr="00F61EDA">
              <w:rPr>
                <w:rFonts w:eastAsia="MS Mincho"/>
              </w:rPr>
              <w:t>(0.52, 5.92)</w:t>
            </w:r>
          </w:p>
        </w:tc>
      </w:tr>
      <w:tr w:rsidR="00C1384E" w:rsidRPr="00061F78" w:rsidTr="00C1384E">
        <w:trPr>
          <w:cantSplit/>
          <w:trHeight w:val="149"/>
        </w:trPr>
        <w:tc>
          <w:tcPr>
            <w:tcW w:w="554" w:type="pct"/>
            <w:tcMar>
              <w:left w:w="28" w:type="dxa"/>
              <w:right w:w="28" w:type="dxa"/>
            </w:tcMar>
          </w:tcPr>
          <w:p w:rsidR="00C1384E" w:rsidRDefault="00C1384E" w:rsidP="00884DBF">
            <w:pPr>
              <w:pStyle w:val="Tablewriting"/>
              <w:rPr>
                <w:rFonts w:eastAsia="MS Mincho"/>
              </w:rPr>
            </w:pPr>
            <w:r>
              <w:rPr>
                <w:rFonts w:eastAsia="MS Mincho"/>
              </w:rPr>
              <w:lastRenderedPageBreak/>
              <w:t>Gum; Lindson</w:t>
            </w:r>
            <w:r w:rsidRPr="00061F78">
              <w:rPr>
                <w:rFonts w:eastAsia="MS Mincho"/>
              </w:rPr>
              <w:t xml:space="preserve"> </w:t>
            </w:r>
          </w:p>
          <w:p w:rsidR="00C1384E" w:rsidRDefault="00C1384E" w:rsidP="00884DBF">
            <w:pPr>
              <w:pStyle w:val="Tablewriting"/>
              <w:rPr>
                <w:rFonts w:eastAsia="MS Mincho"/>
              </w:rPr>
            </w:pPr>
            <w:r w:rsidRPr="00061F78">
              <w:rPr>
                <w:rFonts w:eastAsia="MS Mincho"/>
              </w:rPr>
              <w:t>(20</w:t>
            </w:r>
            <w:r>
              <w:rPr>
                <w:rFonts w:eastAsia="MS Mincho"/>
              </w:rPr>
              <w:t>19</w:t>
            </w:r>
            <w:r w:rsidRPr="00061F78">
              <w:rPr>
                <w:rFonts w:eastAsia="MS Mincho"/>
              </w:rPr>
              <w:t>)</w:t>
            </w:r>
          </w:p>
        </w:tc>
        <w:tc>
          <w:tcPr>
            <w:tcW w:w="944" w:type="pct"/>
            <w:vAlign w:val="center"/>
          </w:tcPr>
          <w:p w:rsidR="00C1384E" w:rsidRDefault="00C1384E" w:rsidP="00884DBF">
            <w:pPr>
              <w:pStyle w:val="Tablewriting"/>
              <w:jc w:val="center"/>
              <w:rPr>
                <w:rFonts w:eastAsia="MS Mincho"/>
              </w:rPr>
            </w:pPr>
            <w:r>
              <w:rPr>
                <w:rFonts w:eastAsia="MS Mincho"/>
              </w:rPr>
              <w:t>Cochrane Review (1 RCT)</w:t>
            </w:r>
          </w:p>
        </w:tc>
        <w:tc>
          <w:tcPr>
            <w:tcW w:w="1190" w:type="pct"/>
            <w:tcMar>
              <w:left w:w="28" w:type="dxa"/>
              <w:right w:w="28" w:type="dxa"/>
            </w:tcMar>
            <w:vAlign w:val="center"/>
          </w:tcPr>
          <w:p w:rsidR="00C1384E" w:rsidRDefault="00C1384E" w:rsidP="00884DBF">
            <w:pPr>
              <w:pStyle w:val="Tablewriting"/>
              <w:jc w:val="center"/>
              <w:rPr>
                <w:rFonts w:eastAsia="MS Mincho"/>
              </w:rPr>
            </w:pPr>
            <w:r>
              <w:rPr>
                <w:rFonts w:eastAsia="MS Mincho"/>
              </w:rPr>
              <w:t>No</w:t>
            </w:r>
          </w:p>
        </w:tc>
        <w:tc>
          <w:tcPr>
            <w:tcW w:w="802" w:type="pct"/>
            <w:tcMar>
              <w:left w:w="28" w:type="dxa"/>
              <w:right w:w="28" w:type="dxa"/>
            </w:tcMar>
            <w:vAlign w:val="center"/>
          </w:tcPr>
          <w:p w:rsidR="00C1384E" w:rsidRDefault="00C1384E" w:rsidP="00884DBF">
            <w:pPr>
              <w:pStyle w:val="Tablewriting"/>
              <w:jc w:val="center"/>
              <w:rPr>
                <w:rFonts w:eastAsia="MS Mincho"/>
              </w:rPr>
            </w:pPr>
            <w:r>
              <w:rPr>
                <w:rFonts w:eastAsia="MS Mincho"/>
              </w:rPr>
              <w:t>0/17</w:t>
            </w:r>
            <w:r w:rsidRPr="00061F78">
              <w:rPr>
                <w:rFonts w:eastAsia="MS Mincho"/>
              </w:rPr>
              <w:t xml:space="preserve"> </w:t>
            </w:r>
          </w:p>
          <w:p w:rsidR="00C1384E" w:rsidRDefault="00C1384E" w:rsidP="00884DBF">
            <w:pPr>
              <w:pStyle w:val="Tablewriting"/>
              <w:jc w:val="center"/>
              <w:rPr>
                <w:rFonts w:eastAsia="MS Mincho"/>
              </w:rPr>
            </w:pPr>
            <w:r w:rsidRPr="00061F78">
              <w:rPr>
                <w:rFonts w:eastAsia="MS Mincho"/>
              </w:rPr>
              <w:t>(</w:t>
            </w:r>
            <w:r>
              <w:rPr>
                <w:rFonts w:eastAsia="MS Mincho"/>
              </w:rPr>
              <w:t>0</w:t>
            </w:r>
            <w:r w:rsidRPr="00061F78">
              <w:rPr>
                <w:rFonts w:eastAsia="MS Mincho"/>
              </w:rPr>
              <w:t>%)</w:t>
            </w:r>
          </w:p>
        </w:tc>
        <w:tc>
          <w:tcPr>
            <w:tcW w:w="711" w:type="pct"/>
            <w:tcMar>
              <w:left w:w="28" w:type="dxa"/>
              <w:right w:w="28" w:type="dxa"/>
            </w:tcMar>
            <w:vAlign w:val="center"/>
          </w:tcPr>
          <w:p w:rsidR="00C1384E" w:rsidRDefault="00C1384E" w:rsidP="00884DBF">
            <w:pPr>
              <w:pStyle w:val="Tablewriting"/>
              <w:jc w:val="center"/>
              <w:rPr>
                <w:rFonts w:eastAsia="MS Mincho"/>
              </w:rPr>
            </w:pPr>
            <w:r>
              <w:rPr>
                <w:rFonts w:eastAsia="MS Mincho"/>
              </w:rPr>
              <w:t>0/21</w:t>
            </w:r>
            <w:r w:rsidRPr="00061F78">
              <w:rPr>
                <w:rFonts w:eastAsia="MS Mincho"/>
              </w:rPr>
              <w:t xml:space="preserve"> </w:t>
            </w:r>
          </w:p>
          <w:p w:rsidR="00C1384E" w:rsidRDefault="00C1384E" w:rsidP="00884DBF">
            <w:pPr>
              <w:pStyle w:val="Tablewriting"/>
              <w:jc w:val="center"/>
              <w:rPr>
                <w:rFonts w:eastAsia="MS Mincho"/>
              </w:rPr>
            </w:pPr>
            <w:r w:rsidRPr="00061F78">
              <w:rPr>
                <w:rFonts w:eastAsia="MS Mincho"/>
              </w:rPr>
              <w:t>(</w:t>
            </w:r>
            <w:r>
              <w:rPr>
                <w:rFonts w:eastAsia="MS Mincho"/>
              </w:rPr>
              <w:t>0</w:t>
            </w:r>
            <w:r w:rsidRPr="00061F78">
              <w:rPr>
                <w:rFonts w:eastAsia="MS Mincho"/>
              </w:rPr>
              <w:t>%)</w:t>
            </w:r>
          </w:p>
        </w:tc>
        <w:tc>
          <w:tcPr>
            <w:tcW w:w="799" w:type="pct"/>
            <w:tcMar>
              <w:left w:w="28" w:type="dxa"/>
              <w:right w:w="28" w:type="dxa"/>
            </w:tcMar>
            <w:vAlign w:val="center"/>
          </w:tcPr>
          <w:p w:rsidR="00C1384E" w:rsidRPr="00F61EDA" w:rsidRDefault="00C1384E" w:rsidP="00884DBF">
            <w:pPr>
              <w:pStyle w:val="Tablewriting"/>
              <w:jc w:val="center"/>
              <w:rPr>
                <w:rFonts w:eastAsia="MS Mincho"/>
              </w:rPr>
            </w:pPr>
            <w:r w:rsidRPr="00F61EDA">
              <w:rPr>
                <w:rFonts w:eastAsia="MS Mincho"/>
              </w:rPr>
              <w:t>NE</w:t>
            </w:r>
          </w:p>
        </w:tc>
      </w:tr>
      <w:tr w:rsidR="00C1384E" w:rsidRPr="00061F78" w:rsidTr="00E97C7D">
        <w:trPr>
          <w:cantSplit/>
          <w:trHeight w:val="149"/>
        </w:trPr>
        <w:tc>
          <w:tcPr>
            <w:tcW w:w="5000" w:type="pct"/>
            <w:gridSpan w:val="6"/>
            <w:shd w:val="clear" w:color="auto" w:fill="auto"/>
            <w:tcMar>
              <w:left w:w="28" w:type="dxa"/>
              <w:right w:w="28" w:type="dxa"/>
            </w:tcMar>
          </w:tcPr>
          <w:p w:rsidR="00C1384E" w:rsidRPr="00E97C7D" w:rsidRDefault="00C1384E" w:rsidP="00884DBF">
            <w:pPr>
              <w:pStyle w:val="Tablewriting"/>
              <w:rPr>
                <w:rFonts w:eastAsia="MS Mincho"/>
                <w:b/>
                <w:bCs/>
              </w:rPr>
            </w:pPr>
            <w:r w:rsidRPr="00E97C7D">
              <w:rPr>
                <w:rFonts w:eastAsia="MS Mincho"/>
                <w:b/>
                <w:bCs/>
              </w:rPr>
              <w:t>Withdrawals due to treatment</w:t>
            </w:r>
          </w:p>
        </w:tc>
      </w:tr>
      <w:tr w:rsidR="00C1384E" w:rsidRPr="00061F78" w:rsidTr="00C1384E">
        <w:trPr>
          <w:cantSplit/>
          <w:trHeight w:val="149"/>
        </w:trPr>
        <w:tc>
          <w:tcPr>
            <w:tcW w:w="554" w:type="pct"/>
            <w:tcMar>
              <w:left w:w="28" w:type="dxa"/>
              <w:right w:w="28" w:type="dxa"/>
            </w:tcMar>
          </w:tcPr>
          <w:p w:rsidR="00C1384E" w:rsidRDefault="00C1384E" w:rsidP="00884DBF">
            <w:pPr>
              <w:pStyle w:val="Tablewriting"/>
              <w:rPr>
                <w:rFonts w:eastAsia="MS Mincho"/>
              </w:rPr>
            </w:pPr>
            <w:r>
              <w:rPr>
                <w:rFonts w:eastAsia="MS Mincho"/>
              </w:rPr>
              <w:t>Lozenge; Lindson</w:t>
            </w:r>
            <w:r w:rsidRPr="00061F78">
              <w:rPr>
                <w:rFonts w:eastAsia="MS Mincho"/>
              </w:rPr>
              <w:t xml:space="preserve"> </w:t>
            </w:r>
          </w:p>
          <w:p w:rsidR="00C1384E" w:rsidRDefault="00C1384E" w:rsidP="00884DBF">
            <w:pPr>
              <w:pStyle w:val="Tablewriting"/>
              <w:rPr>
                <w:rFonts w:eastAsia="MS Mincho"/>
              </w:rPr>
            </w:pPr>
            <w:r w:rsidRPr="00061F78">
              <w:rPr>
                <w:rFonts w:eastAsia="MS Mincho"/>
              </w:rPr>
              <w:t>(20</w:t>
            </w:r>
            <w:r>
              <w:rPr>
                <w:rFonts w:eastAsia="MS Mincho"/>
              </w:rPr>
              <w:t>19</w:t>
            </w:r>
            <w:r w:rsidRPr="00061F78">
              <w:rPr>
                <w:rFonts w:eastAsia="MS Mincho"/>
              </w:rPr>
              <w:t>)</w:t>
            </w:r>
          </w:p>
        </w:tc>
        <w:tc>
          <w:tcPr>
            <w:tcW w:w="944" w:type="pct"/>
            <w:vAlign w:val="center"/>
          </w:tcPr>
          <w:p w:rsidR="00C1384E" w:rsidRDefault="00C1384E" w:rsidP="00884DBF">
            <w:pPr>
              <w:pStyle w:val="Tablewriting"/>
              <w:jc w:val="center"/>
              <w:rPr>
                <w:rFonts w:eastAsia="MS Mincho"/>
              </w:rPr>
            </w:pPr>
            <w:r>
              <w:rPr>
                <w:rFonts w:eastAsia="MS Mincho"/>
              </w:rPr>
              <w:t>Cochrane Review (1 RCT)</w:t>
            </w:r>
          </w:p>
        </w:tc>
        <w:tc>
          <w:tcPr>
            <w:tcW w:w="1190" w:type="pct"/>
            <w:tcMar>
              <w:left w:w="28" w:type="dxa"/>
              <w:right w:w="28" w:type="dxa"/>
            </w:tcMar>
            <w:vAlign w:val="center"/>
          </w:tcPr>
          <w:p w:rsidR="00C1384E" w:rsidRDefault="00C1384E" w:rsidP="00884DBF">
            <w:pPr>
              <w:pStyle w:val="Tablewriting"/>
              <w:jc w:val="center"/>
              <w:rPr>
                <w:rFonts w:eastAsia="MS Mincho"/>
              </w:rPr>
            </w:pPr>
            <w:r>
              <w:rPr>
                <w:rFonts w:eastAsia="MS Mincho"/>
              </w:rPr>
              <w:t>Piper (2009)</w:t>
            </w:r>
          </w:p>
        </w:tc>
        <w:tc>
          <w:tcPr>
            <w:tcW w:w="802" w:type="pct"/>
            <w:tcMar>
              <w:left w:w="28" w:type="dxa"/>
              <w:right w:w="28" w:type="dxa"/>
            </w:tcMar>
            <w:vAlign w:val="center"/>
          </w:tcPr>
          <w:p w:rsidR="00C1384E" w:rsidRDefault="00C1384E" w:rsidP="00884DBF">
            <w:pPr>
              <w:pStyle w:val="Tablewriting"/>
              <w:jc w:val="center"/>
              <w:rPr>
                <w:rFonts w:eastAsia="MS Mincho"/>
              </w:rPr>
            </w:pPr>
            <w:r>
              <w:rPr>
                <w:rFonts w:eastAsia="MS Mincho"/>
              </w:rPr>
              <w:t>0</w:t>
            </w:r>
            <w:r w:rsidRPr="00061F78">
              <w:rPr>
                <w:rFonts w:eastAsia="MS Mincho"/>
              </w:rPr>
              <w:t>/</w:t>
            </w:r>
            <w:r>
              <w:rPr>
                <w:rFonts w:eastAsia="MS Mincho"/>
              </w:rPr>
              <w:t>260</w:t>
            </w:r>
            <w:r w:rsidRPr="00061F78">
              <w:rPr>
                <w:rFonts w:eastAsia="MS Mincho"/>
              </w:rPr>
              <w:t xml:space="preserve"> </w:t>
            </w:r>
          </w:p>
          <w:p w:rsidR="00C1384E" w:rsidRDefault="00C1384E" w:rsidP="00884DBF">
            <w:pPr>
              <w:pStyle w:val="Tablewriting"/>
              <w:jc w:val="center"/>
              <w:rPr>
                <w:rFonts w:eastAsia="MS Mincho"/>
              </w:rPr>
            </w:pPr>
            <w:r w:rsidRPr="00061F78">
              <w:rPr>
                <w:rFonts w:eastAsia="MS Mincho"/>
              </w:rPr>
              <w:t>(</w:t>
            </w:r>
            <w:r>
              <w:rPr>
                <w:rFonts w:eastAsia="MS Mincho"/>
              </w:rPr>
              <w:t>0</w:t>
            </w:r>
            <w:r w:rsidRPr="00061F78">
              <w:rPr>
                <w:rFonts w:eastAsia="MS Mincho"/>
              </w:rPr>
              <w:t>%)</w:t>
            </w:r>
          </w:p>
        </w:tc>
        <w:tc>
          <w:tcPr>
            <w:tcW w:w="711" w:type="pct"/>
            <w:tcMar>
              <w:left w:w="28" w:type="dxa"/>
              <w:right w:w="28" w:type="dxa"/>
            </w:tcMar>
            <w:vAlign w:val="center"/>
          </w:tcPr>
          <w:p w:rsidR="00C1384E" w:rsidRDefault="00C1384E" w:rsidP="00884DBF">
            <w:pPr>
              <w:pStyle w:val="Tablewriting"/>
              <w:jc w:val="center"/>
              <w:rPr>
                <w:rFonts w:eastAsia="MS Mincho"/>
              </w:rPr>
            </w:pPr>
            <w:r>
              <w:rPr>
                <w:rFonts w:eastAsia="MS Mincho"/>
              </w:rPr>
              <w:t>0</w:t>
            </w:r>
            <w:r w:rsidRPr="00061F78">
              <w:rPr>
                <w:rFonts w:eastAsia="MS Mincho"/>
              </w:rPr>
              <w:t>/</w:t>
            </w:r>
            <w:r>
              <w:rPr>
                <w:rFonts w:eastAsia="MS Mincho"/>
              </w:rPr>
              <w:t>262</w:t>
            </w:r>
            <w:r w:rsidRPr="00061F78">
              <w:rPr>
                <w:rFonts w:eastAsia="MS Mincho"/>
              </w:rPr>
              <w:t xml:space="preserve"> </w:t>
            </w:r>
          </w:p>
          <w:p w:rsidR="00C1384E" w:rsidRDefault="00C1384E" w:rsidP="00884DBF">
            <w:pPr>
              <w:pStyle w:val="Tablewriting"/>
              <w:jc w:val="center"/>
              <w:rPr>
                <w:rFonts w:eastAsia="MS Mincho"/>
              </w:rPr>
            </w:pPr>
            <w:r w:rsidRPr="00061F78">
              <w:rPr>
                <w:rFonts w:eastAsia="MS Mincho"/>
              </w:rPr>
              <w:t>(</w:t>
            </w:r>
            <w:r>
              <w:rPr>
                <w:rFonts w:eastAsia="MS Mincho"/>
              </w:rPr>
              <w:t>0</w:t>
            </w:r>
            <w:r w:rsidRPr="00061F78">
              <w:rPr>
                <w:rFonts w:eastAsia="MS Mincho"/>
              </w:rPr>
              <w:t>%)</w:t>
            </w:r>
          </w:p>
        </w:tc>
        <w:tc>
          <w:tcPr>
            <w:tcW w:w="799" w:type="pct"/>
            <w:tcMar>
              <w:left w:w="28" w:type="dxa"/>
              <w:right w:w="28" w:type="dxa"/>
            </w:tcMar>
            <w:vAlign w:val="center"/>
          </w:tcPr>
          <w:p w:rsidR="00C1384E" w:rsidRPr="00F61EDA" w:rsidRDefault="00C1384E" w:rsidP="00884DBF">
            <w:pPr>
              <w:pStyle w:val="Tablewriting"/>
              <w:jc w:val="center"/>
              <w:rPr>
                <w:rFonts w:eastAsia="MS Mincho"/>
              </w:rPr>
            </w:pPr>
            <w:r w:rsidRPr="00F61EDA">
              <w:rPr>
                <w:rFonts w:eastAsia="MS Mincho"/>
              </w:rPr>
              <w:t>NE</w:t>
            </w:r>
          </w:p>
        </w:tc>
      </w:tr>
      <w:tr w:rsidR="00C1384E" w:rsidRPr="00061F78" w:rsidTr="00C1384E">
        <w:trPr>
          <w:cantSplit/>
          <w:trHeight w:val="149"/>
        </w:trPr>
        <w:tc>
          <w:tcPr>
            <w:tcW w:w="554" w:type="pct"/>
            <w:tcMar>
              <w:left w:w="28" w:type="dxa"/>
              <w:right w:w="28" w:type="dxa"/>
            </w:tcMar>
          </w:tcPr>
          <w:p w:rsidR="00C1384E" w:rsidRDefault="00C1384E" w:rsidP="00884DBF">
            <w:pPr>
              <w:pStyle w:val="Tablewriting"/>
              <w:rPr>
                <w:rFonts w:eastAsia="MS Mincho"/>
              </w:rPr>
            </w:pPr>
            <w:r>
              <w:rPr>
                <w:rFonts w:eastAsia="MS Mincho"/>
              </w:rPr>
              <w:t>Gum; Lindson</w:t>
            </w:r>
            <w:r w:rsidRPr="00061F78">
              <w:rPr>
                <w:rFonts w:eastAsia="MS Mincho"/>
              </w:rPr>
              <w:t xml:space="preserve"> </w:t>
            </w:r>
          </w:p>
          <w:p w:rsidR="00C1384E" w:rsidRDefault="00C1384E" w:rsidP="00884DBF">
            <w:pPr>
              <w:pStyle w:val="Tablewriting"/>
              <w:rPr>
                <w:rFonts w:eastAsia="MS Mincho"/>
              </w:rPr>
            </w:pPr>
            <w:r w:rsidRPr="00061F78">
              <w:rPr>
                <w:rFonts w:eastAsia="MS Mincho"/>
              </w:rPr>
              <w:t>(20</w:t>
            </w:r>
            <w:r>
              <w:rPr>
                <w:rFonts w:eastAsia="MS Mincho"/>
              </w:rPr>
              <w:t>19</w:t>
            </w:r>
            <w:r w:rsidRPr="00061F78">
              <w:rPr>
                <w:rFonts w:eastAsia="MS Mincho"/>
              </w:rPr>
              <w:t>)</w:t>
            </w:r>
          </w:p>
        </w:tc>
        <w:tc>
          <w:tcPr>
            <w:tcW w:w="944" w:type="pct"/>
            <w:vAlign w:val="center"/>
          </w:tcPr>
          <w:p w:rsidR="00C1384E" w:rsidRDefault="00C1384E" w:rsidP="00884DBF">
            <w:pPr>
              <w:pStyle w:val="Tablewriting"/>
              <w:jc w:val="center"/>
              <w:rPr>
                <w:rFonts w:eastAsia="MS Mincho"/>
              </w:rPr>
            </w:pPr>
            <w:r>
              <w:rPr>
                <w:rFonts w:eastAsia="MS Mincho"/>
              </w:rPr>
              <w:t>Cochrane Review (1 RCT)</w:t>
            </w:r>
          </w:p>
        </w:tc>
        <w:tc>
          <w:tcPr>
            <w:tcW w:w="1190" w:type="pct"/>
            <w:tcMar>
              <w:left w:w="28" w:type="dxa"/>
              <w:right w:w="28" w:type="dxa"/>
            </w:tcMar>
            <w:vAlign w:val="center"/>
          </w:tcPr>
          <w:p w:rsidR="00C1384E" w:rsidRDefault="00C1384E" w:rsidP="00884DBF">
            <w:pPr>
              <w:pStyle w:val="Tablewriting"/>
              <w:jc w:val="center"/>
              <w:rPr>
                <w:rFonts w:eastAsia="MS Mincho"/>
              </w:rPr>
            </w:pPr>
            <w:r>
              <w:rPr>
                <w:rFonts w:eastAsia="MS Mincho"/>
              </w:rPr>
              <w:t>No</w:t>
            </w:r>
          </w:p>
        </w:tc>
        <w:tc>
          <w:tcPr>
            <w:tcW w:w="802" w:type="pct"/>
            <w:tcMar>
              <w:left w:w="28" w:type="dxa"/>
              <w:right w:w="28" w:type="dxa"/>
            </w:tcMar>
            <w:vAlign w:val="center"/>
          </w:tcPr>
          <w:p w:rsidR="00C1384E" w:rsidRDefault="00C1384E" w:rsidP="00884DBF">
            <w:pPr>
              <w:pStyle w:val="Tablewriting"/>
              <w:jc w:val="center"/>
              <w:rPr>
                <w:rFonts w:eastAsia="MS Mincho"/>
              </w:rPr>
            </w:pPr>
            <w:r>
              <w:rPr>
                <w:rFonts w:eastAsia="MS Mincho"/>
              </w:rPr>
              <w:t>4</w:t>
            </w:r>
            <w:r w:rsidRPr="00061F78">
              <w:rPr>
                <w:rFonts w:eastAsia="MS Mincho"/>
              </w:rPr>
              <w:t>/</w:t>
            </w:r>
            <w:r>
              <w:rPr>
                <w:rFonts w:eastAsia="MS Mincho"/>
              </w:rPr>
              <w:t>17</w:t>
            </w:r>
            <w:r w:rsidRPr="00061F78">
              <w:rPr>
                <w:rFonts w:eastAsia="MS Mincho"/>
              </w:rPr>
              <w:t xml:space="preserve"> </w:t>
            </w:r>
          </w:p>
          <w:p w:rsidR="00C1384E" w:rsidRDefault="00C1384E" w:rsidP="00884DBF">
            <w:pPr>
              <w:pStyle w:val="Tablewriting"/>
              <w:jc w:val="center"/>
              <w:rPr>
                <w:rFonts w:eastAsia="MS Mincho"/>
              </w:rPr>
            </w:pPr>
            <w:r w:rsidRPr="00061F78">
              <w:rPr>
                <w:rFonts w:eastAsia="MS Mincho"/>
              </w:rPr>
              <w:t>(</w:t>
            </w:r>
            <w:r>
              <w:rPr>
                <w:rFonts w:eastAsia="MS Mincho"/>
              </w:rPr>
              <w:t>23.5</w:t>
            </w:r>
            <w:r w:rsidRPr="00061F78">
              <w:rPr>
                <w:rFonts w:eastAsia="MS Mincho"/>
              </w:rPr>
              <w:t>%)</w:t>
            </w:r>
          </w:p>
        </w:tc>
        <w:tc>
          <w:tcPr>
            <w:tcW w:w="711" w:type="pct"/>
            <w:tcMar>
              <w:left w:w="28" w:type="dxa"/>
              <w:right w:w="28" w:type="dxa"/>
            </w:tcMar>
            <w:vAlign w:val="center"/>
          </w:tcPr>
          <w:p w:rsidR="00C1384E" w:rsidRDefault="00C1384E" w:rsidP="00884DBF">
            <w:pPr>
              <w:pStyle w:val="Tablewriting"/>
              <w:jc w:val="center"/>
              <w:rPr>
                <w:rFonts w:eastAsia="MS Mincho"/>
              </w:rPr>
            </w:pPr>
            <w:r>
              <w:rPr>
                <w:rFonts w:eastAsia="MS Mincho"/>
              </w:rPr>
              <w:t>0</w:t>
            </w:r>
            <w:r w:rsidRPr="00061F78">
              <w:rPr>
                <w:rFonts w:eastAsia="MS Mincho"/>
              </w:rPr>
              <w:t>/</w:t>
            </w:r>
            <w:r>
              <w:rPr>
                <w:rFonts w:eastAsia="MS Mincho"/>
              </w:rPr>
              <w:t>21</w:t>
            </w:r>
            <w:r w:rsidRPr="00061F78">
              <w:rPr>
                <w:rFonts w:eastAsia="MS Mincho"/>
              </w:rPr>
              <w:t xml:space="preserve"> </w:t>
            </w:r>
          </w:p>
          <w:p w:rsidR="00C1384E" w:rsidRPr="00061F78" w:rsidRDefault="00C1384E" w:rsidP="00884DBF">
            <w:pPr>
              <w:pStyle w:val="Tablewriting"/>
              <w:jc w:val="center"/>
              <w:rPr>
                <w:rFonts w:eastAsia="MS Mincho"/>
              </w:rPr>
            </w:pPr>
            <w:r w:rsidRPr="00061F78">
              <w:rPr>
                <w:rFonts w:eastAsia="MS Mincho"/>
              </w:rPr>
              <w:t>(</w:t>
            </w:r>
            <w:r>
              <w:rPr>
                <w:rFonts w:eastAsia="MS Mincho"/>
              </w:rPr>
              <w:t>0</w:t>
            </w:r>
            <w:r w:rsidRPr="00061F78">
              <w:rPr>
                <w:rFonts w:eastAsia="MS Mincho"/>
              </w:rPr>
              <w:t>%)</w:t>
            </w:r>
          </w:p>
        </w:tc>
        <w:tc>
          <w:tcPr>
            <w:tcW w:w="799" w:type="pct"/>
            <w:tcMar>
              <w:left w:w="28" w:type="dxa"/>
              <w:right w:w="28" w:type="dxa"/>
            </w:tcMar>
            <w:vAlign w:val="center"/>
          </w:tcPr>
          <w:p w:rsidR="00C1384E" w:rsidRPr="00F61EDA" w:rsidRDefault="00C1384E" w:rsidP="00884DBF">
            <w:pPr>
              <w:pStyle w:val="Tablewriting"/>
              <w:jc w:val="center"/>
              <w:rPr>
                <w:rFonts w:eastAsia="MS Mincho"/>
              </w:rPr>
            </w:pPr>
            <w:r w:rsidRPr="00F61EDA">
              <w:rPr>
                <w:rFonts w:eastAsia="MS Mincho"/>
              </w:rPr>
              <w:t>11</w:t>
            </w:r>
          </w:p>
          <w:p w:rsidR="00C1384E" w:rsidRPr="00D468CF" w:rsidRDefault="00C1384E" w:rsidP="00884DBF">
            <w:pPr>
              <w:pStyle w:val="Tablewriting"/>
              <w:jc w:val="center"/>
              <w:rPr>
                <w:rFonts w:eastAsia="MS Mincho"/>
                <w:b/>
                <w:bCs/>
              </w:rPr>
            </w:pPr>
            <w:r w:rsidRPr="00F61EDA">
              <w:rPr>
                <w:rFonts w:eastAsia="MS Mincho"/>
              </w:rPr>
              <w:t>(0.63, 191.04)</w:t>
            </w:r>
          </w:p>
        </w:tc>
      </w:tr>
    </w:tbl>
    <w:p w:rsidR="002F73AB" w:rsidRDefault="002F73AB" w:rsidP="002F73AB">
      <w:pPr>
        <w:pStyle w:val="TableFooter"/>
        <w:keepNext/>
      </w:pPr>
      <w:r>
        <w:t>Source: Lindson et al. (2019)</w:t>
      </w:r>
    </w:p>
    <w:p w:rsidR="002F73AB" w:rsidRDefault="002F73AB" w:rsidP="002F73AB">
      <w:pPr>
        <w:pStyle w:val="TableFooter"/>
        <w:keepNext/>
      </w:pPr>
      <w:r>
        <w:t xml:space="preserve">Abbreviations: CI = confidence interval; </w:t>
      </w:r>
      <w:r w:rsidR="00F61EDA">
        <w:t xml:space="preserve">NE = not estimable; </w:t>
      </w:r>
      <w:r>
        <w:t>NR = not reported; RCT = randomised controlled trial; RR = risk ratio</w:t>
      </w:r>
    </w:p>
    <w:p w:rsidR="002F73AB" w:rsidRDefault="002F73AB" w:rsidP="002F73AB">
      <w:pPr>
        <w:pStyle w:val="TableFooter"/>
        <w:keepNext/>
      </w:pPr>
      <w:r w:rsidRPr="00FD4061">
        <w:t>Note</w:t>
      </w:r>
      <w:r>
        <w:t>s</w:t>
      </w:r>
      <w:r w:rsidRPr="00FD4061">
        <w:t>: Bold indicates statistically significant difference.</w:t>
      </w:r>
      <w:r>
        <w:t xml:space="preserve"> See </w:t>
      </w:r>
      <w:r w:rsidRPr="009A27D8">
        <w:t>Appendix</w:t>
      </w:r>
      <w:r>
        <w:t xml:space="preserve"> </w:t>
      </w:r>
      <w:r w:rsidR="003C4A1C">
        <w:t xml:space="preserve">Figure </w:t>
      </w:r>
      <w:r w:rsidR="003C4A1C">
        <w:rPr>
          <w:noProof/>
        </w:rPr>
        <w:t>71</w:t>
      </w:r>
      <w:r w:rsidR="003808BC">
        <w:t xml:space="preserve"> to </w:t>
      </w:r>
      <w:r w:rsidR="003C4A1C">
        <w:t xml:space="preserve">Figure </w:t>
      </w:r>
      <w:r w:rsidR="003C4A1C">
        <w:rPr>
          <w:noProof/>
        </w:rPr>
        <w:t>73</w:t>
      </w:r>
      <w:r w:rsidR="003808BC">
        <w:t xml:space="preserve"> f</w:t>
      </w:r>
      <w:r>
        <w:t xml:space="preserve">or forest plots </w:t>
      </w:r>
      <w:r w:rsidR="0054731C" w:rsidRPr="0054731C">
        <w:t>of the respective outcomes which included the results of individual studies.</w:t>
      </w:r>
    </w:p>
    <w:p w:rsidR="002F73AB" w:rsidRDefault="002F73AB" w:rsidP="002F73AB">
      <w:pPr>
        <w:pStyle w:val="TableFooter"/>
        <w:keepNext/>
      </w:pPr>
      <w:r>
        <w:t>1 Where previously considered studies were not included, this was due to the outcome not being reported</w:t>
      </w:r>
      <w:r w:rsidR="00AB5FA3">
        <w:t>.</w:t>
      </w:r>
    </w:p>
    <w:p w:rsidR="002F73AB" w:rsidRDefault="002F73AB" w:rsidP="002F73AB">
      <w:pPr>
        <w:pStyle w:val="TableFooter"/>
        <w:keepNext/>
      </w:pPr>
      <w:r w:rsidRPr="009A27D8">
        <w:t xml:space="preserve">2 Calculated </w:t>
      </w:r>
      <w:r w:rsidR="00982E98" w:rsidRPr="009A27D8">
        <w:t xml:space="preserve">by Cochrane Review authors </w:t>
      </w:r>
      <w:r w:rsidRPr="009A27D8">
        <w:t>using a fixed-effect model</w:t>
      </w:r>
      <w:r w:rsidR="00AB5FA3">
        <w:t>.</w:t>
      </w:r>
    </w:p>
    <w:p w:rsidR="00470EC3" w:rsidRDefault="00470EC3" w:rsidP="00D02475">
      <w:pPr>
        <w:pStyle w:val="Heading4"/>
        <w:numPr>
          <w:ilvl w:val="0"/>
          <w:numId w:val="0"/>
        </w:numPr>
      </w:pPr>
      <w:r>
        <w:t>Treatment-experienced population</w:t>
      </w:r>
    </w:p>
    <w:p w:rsidR="00470EC3" w:rsidRDefault="00470EC3" w:rsidP="00D02475">
      <w:pPr>
        <w:pStyle w:val="Heading5"/>
        <w:numPr>
          <w:ilvl w:val="0"/>
          <w:numId w:val="0"/>
        </w:numPr>
      </w:pPr>
      <w:r>
        <w:t>Varenicline</w:t>
      </w:r>
    </w:p>
    <w:p w:rsidR="003B4B27" w:rsidRDefault="003B4B27" w:rsidP="003B4B27">
      <w:r>
        <w:t xml:space="preserve">In November 2009, the PBAC recommended the listing of varenicline on the PBS be extended to make available a second 12-week course for patients who have successfully completed an initial 12-week course of varenicline, but require a further 12-week course to aid in maintaining abstinence (i.e. treatment-experienced patients). The </w:t>
      </w:r>
      <w:r w:rsidR="005267D8">
        <w:t xml:space="preserve">recommendation was based on </w:t>
      </w:r>
      <w:r w:rsidR="009C163F">
        <w:t>a</w:t>
      </w:r>
      <w:r w:rsidR="000801BA">
        <w:t>n</w:t>
      </w:r>
      <w:r w:rsidR="009C163F">
        <w:t xml:space="preserve"> </w:t>
      </w:r>
      <w:r w:rsidR="00B86304">
        <w:t>RCT</w:t>
      </w:r>
      <w:r w:rsidR="009C163F">
        <w:t xml:space="preserve"> comparing varenicline 1 mg twice a day with placebo in patients </w:t>
      </w:r>
      <w:r w:rsidR="00BB6EF8">
        <w:t xml:space="preserve">who were </w:t>
      </w:r>
      <w:r w:rsidR="009C163F">
        <w:t>abstinent after an initial 12 weeks of treatment with varenicline (Tonstad et al. 2006).</w:t>
      </w:r>
      <w:r w:rsidR="000801BA">
        <w:t xml:space="preserve"> The PBAC accepted the clinical claim that varenicline </w:t>
      </w:r>
      <w:r w:rsidR="00D24CEE">
        <w:t>was</w:t>
      </w:r>
      <w:r w:rsidR="000801BA">
        <w:t xml:space="preserve"> of superior efficacy and inferior safety to placebo</w:t>
      </w:r>
      <w:r w:rsidR="00701677">
        <w:t xml:space="preserve"> (</w:t>
      </w:r>
      <w:r w:rsidR="00701677" w:rsidRPr="009A27D8">
        <w:t xml:space="preserve">Varenicline PSD, </w:t>
      </w:r>
      <w:r w:rsidR="00146DD7" w:rsidRPr="009A27D8">
        <w:t xml:space="preserve">November </w:t>
      </w:r>
      <w:r w:rsidR="00701677" w:rsidRPr="009A27D8">
        <w:t>2009</w:t>
      </w:r>
      <w:r w:rsidR="00146DD7" w:rsidRPr="009A27D8">
        <w:t xml:space="preserve"> PBAC meeting</w:t>
      </w:r>
      <w:r w:rsidR="00701677">
        <w:t>)</w:t>
      </w:r>
      <w:r w:rsidR="000801BA">
        <w:t>.</w:t>
      </w:r>
      <w:r w:rsidR="00502018">
        <w:t xml:space="preserve"> </w:t>
      </w:r>
      <w:r w:rsidR="00502018" w:rsidRPr="00502018">
        <w:t xml:space="preserve">The </w:t>
      </w:r>
      <w:r w:rsidR="004B5F17">
        <w:t>updated</w:t>
      </w:r>
      <w:r w:rsidR="00990805">
        <w:t xml:space="preserve"> </w:t>
      </w:r>
      <w:r w:rsidR="00502018" w:rsidRPr="00502018">
        <w:t>listing allowed for only one 12-24 week course of varenicline per year (i.e. an additional 12 weeks of treatment for those who ha</w:t>
      </w:r>
      <w:r w:rsidR="00F67E13">
        <w:t>d</w:t>
      </w:r>
      <w:r w:rsidR="00502018" w:rsidRPr="00502018">
        <w:t xml:space="preserve"> abstained from smoking)</w:t>
      </w:r>
      <w:r w:rsidR="00990805">
        <w:t>.</w:t>
      </w:r>
    </w:p>
    <w:p w:rsidR="003F229D" w:rsidRDefault="003B4B27" w:rsidP="003B4B27">
      <w:r>
        <w:t xml:space="preserve">In November 2012 and March 2014, the PBAC considered a request to reduce the time to retreatment with varenicline from 12 to 6 months. In March 2014, the PBAC recommended a change to the listing of varenicline to allow an additional course within a 12-month period for patients who </w:t>
      </w:r>
      <w:r w:rsidR="00F67E13">
        <w:t>were</w:t>
      </w:r>
      <w:r>
        <w:t xml:space="preserve"> unsuccessful in achieving abstinence from smoking during or after a course of PBS-subsidised varenicline. The</w:t>
      </w:r>
      <w:r w:rsidR="00F56D7D">
        <w:t xml:space="preserve"> recommendation was based on</w:t>
      </w:r>
      <w:r w:rsidR="00F02E09">
        <w:t xml:space="preserve"> a pivotal trial</w:t>
      </w:r>
      <w:r w:rsidR="001001F6">
        <w:t xml:space="preserve"> which compared varenicline with placebo in a varenicline experienced population</w:t>
      </w:r>
      <w:r w:rsidR="00140BE8">
        <w:t xml:space="preserve"> (</w:t>
      </w:r>
      <w:r w:rsidR="00293135">
        <w:t>Gonzales et al. 2014</w:t>
      </w:r>
      <w:r w:rsidR="00DD2E6B">
        <w:t>; referred to as Trial A3051139 in March 2014 PBAC meeting</w:t>
      </w:r>
      <w:r w:rsidR="00293135">
        <w:t>)</w:t>
      </w:r>
      <w:r w:rsidR="00C06CAF">
        <w:t xml:space="preserve"> and </w:t>
      </w:r>
      <w:r>
        <w:t>trial evidence in varenicline-naïve patients as supportive evidence.</w:t>
      </w:r>
      <w:r w:rsidR="003040EA">
        <w:t xml:space="preserve"> </w:t>
      </w:r>
      <w:r w:rsidR="0086505C">
        <w:t xml:space="preserve">The PBAC accepted the clinical claim that </w:t>
      </w:r>
      <w:r w:rsidR="0086505C" w:rsidRPr="0086505C">
        <w:t xml:space="preserve">varenicline </w:t>
      </w:r>
      <w:r w:rsidR="00F67E13">
        <w:t>wa</w:t>
      </w:r>
      <w:r w:rsidR="0086505C" w:rsidRPr="0086505C">
        <w:t>s of superior efficacy to placebo, bupropion and NRT, and no worse in terms of safety to bupropion</w:t>
      </w:r>
      <w:r w:rsidR="0086505C">
        <w:t xml:space="preserve">. </w:t>
      </w:r>
      <w:r w:rsidR="00A948E2" w:rsidRPr="00A948E2">
        <w:t xml:space="preserve">The PBAC considered that varenicline </w:t>
      </w:r>
      <w:r w:rsidR="00F67E13">
        <w:t>wa</w:t>
      </w:r>
      <w:r w:rsidR="00A948E2" w:rsidRPr="00A948E2">
        <w:t>s of inferior safety to placebo and NRT</w:t>
      </w:r>
      <w:r w:rsidR="00A948E2">
        <w:t xml:space="preserve"> (</w:t>
      </w:r>
      <w:r w:rsidR="00A948E2" w:rsidRPr="00CE7A46">
        <w:t xml:space="preserve">Varenicline PSD, </w:t>
      </w:r>
      <w:r w:rsidR="00B45ECB" w:rsidRPr="00CE7A46">
        <w:t xml:space="preserve">March </w:t>
      </w:r>
      <w:r w:rsidR="00A948E2" w:rsidRPr="00CE7A46">
        <w:t>2014</w:t>
      </w:r>
      <w:r w:rsidR="00B45ECB" w:rsidRPr="00CE7A46">
        <w:t xml:space="preserve"> PBAC meeting</w:t>
      </w:r>
      <w:r w:rsidR="00A948E2">
        <w:t>)</w:t>
      </w:r>
      <w:r w:rsidR="00A948E2" w:rsidRPr="00A948E2">
        <w:t>.</w:t>
      </w:r>
      <w:r w:rsidR="00990805">
        <w:t xml:space="preserve"> </w:t>
      </w:r>
      <w:r w:rsidR="00990805" w:rsidRPr="00990805">
        <w:t xml:space="preserve">The </w:t>
      </w:r>
      <w:r w:rsidR="00990805">
        <w:t xml:space="preserve">current </w:t>
      </w:r>
      <w:r w:rsidR="00990805" w:rsidRPr="00990805">
        <w:t>listing required the period between commencing varenicline and a further course of varenicline</w:t>
      </w:r>
      <w:r w:rsidR="00E71C9A">
        <w:t xml:space="preserve"> for non-abstainer</w:t>
      </w:r>
      <w:r w:rsidR="00630B4D">
        <w:t>s</w:t>
      </w:r>
      <w:r w:rsidR="00990805" w:rsidRPr="00990805">
        <w:t xml:space="preserve"> to be at least 6 months, with a total of 24 weeks of PBS-subsidised varenicline allowed per 12-month period.</w:t>
      </w:r>
    </w:p>
    <w:p w:rsidR="00B953C7" w:rsidRDefault="00F20770" w:rsidP="003B4B27">
      <w:pPr>
        <w:rPr>
          <w:b/>
          <w:bCs/>
        </w:rPr>
      </w:pPr>
      <w:r w:rsidRPr="00F20770">
        <w:rPr>
          <w:b/>
          <w:bCs/>
        </w:rPr>
        <w:t>Varenicline versus placebo – a</w:t>
      </w:r>
      <w:r w:rsidR="00B953C7" w:rsidRPr="00F20770">
        <w:rPr>
          <w:b/>
          <w:bCs/>
        </w:rPr>
        <w:t>b</w:t>
      </w:r>
      <w:r w:rsidR="00C44BA5">
        <w:rPr>
          <w:b/>
          <w:bCs/>
        </w:rPr>
        <w:t>stainers (relapse prevention</w:t>
      </w:r>
      <w:r w:rsidR="003B297F">
        <w:rPr>
          <w:b/>
          <w:bCs/>
        </w:rPr>
        <w:t>)</w:t>
      </w:r>
    </w:p>
    <w:p w:rsidR="00297534" w:rsidRDefault="009F67CC" w:rsidP="003B4B27">
      <w:r w:rsidRPr="009F67CC">
        <w:lastRenderedPageBreak/>
        <w:t>A summary of the citation details for the studies comparing varenicline with placebo</w:t>
      </w:r>
      <w:r w:rsidR="00CE778E">
        <w:t xml:space="preserve"> in abstainers for relapse prevention</w:t>
      </w:r>
      <w:r w:rsidRPr="009F67CC">
        <w:t xml:space="preserve"> is presented in </w:t>
      </w:r>
      <w:r w:rsidR="003C4A1C">
        <w:t xml:space="preserve">Table </w:t>
      </w:r>
      <w:r w:rsidR="003C4A1C">
        <w:rPr>
          <w:noProof/>
        </w:rPr>
        <w:t>32</w:t>
      </w:r>
      <w:r w:rsidRPr="009F67CC">
        <w:t xml:space="preserve">. </w:t>
      </w:r>
      <w:r w:rsidR="00DF2D84">
        <w:t>One study</w:t>
      </w:r>
      <w:r w:rsidRPr="009F67CC">
        <w:t xml:space="preserve"> w</w:t>
      </w:r>
      <w:r w:rsidR="00DF670B">
        <w:t>as</w:t>
      </w:r>
      <w:r w:rsidRPr="009F67CC">
        <w:t xml:space="preserve"> previously considered by the PBAC (</w:t>
      </w:r>
      <w:r w:rsidR="00E4529D">
        <w:t>Tonstad et al. 2006</w:t>
      </w:r>
      <w:r w:rsidRPr="009F67CC">
        <w:t xml:space="preserve">). A recently conducted Cochrane </w:t>
      </w:r>
      <w:r w:rsidR="0006534B">
        <w:t>R</w:t>
      </w:r>
      <w:r w:rsidRPr="009F67CC">
        <w:t xml:space="preserve">eview by </w:t>
      </w:r>
      <w:r w:rsidR="0022351F">
        <w:t>Livingstone-Banks</w:t>
      </w:r>
      <w:r w:rsidRPr="009F67CC">
        <w:t xml:space="preserve"> et al. (201</w:t>
      </w:r>
      <w:r w:rsidR="0022351F">
        <w:t>9</w:t>
      </w:r>
      <w:r w:rsidRPr="009F67CC">
        <w:t xml:space="preserve">) was identified in the systematic literature review that compared varenicline </w:t>
      </w:r>
      <w:r w:rsidR="00405973">
        <w:t>with</w:t>
      </w:r>
      <w:r w:rsidRPr="009F67CC">
        <w:t xml:space="preserve"> placebo</w:t>
      </w:r>
      <w:r w:rsidR="00CF66E4">
        <w:t xml:space="preserve"> for relapse prevention</w:t>
      </w:r>
      <w:r w:rsidRPr="009F67CC">
        <w:t xml:space="preserve"> and was included in this report.</w:t>
      </w:r>
      <w:r w:rsidR="00D4641D">
        <w:t xml:space="preserve"> </w:t>
      </w:r>
      <w:r w:rsidR="00297534" w:rsidRPr="00297534">
        <w:t>One new study was identified in the supplemental literature search that informed this comparison and was included in this report (</w:t>
      </w:r>
      <w:r w:rsidR="00297534">
        <w:t>Schnoll</w:t>
      </w:r>
      <w:r w:rsidR="00297534" w:rsidRPr="00297534">
        <w:t xml:space="preserve"> et al. 201</w:t>
      </w:r>
      <w:r w:rsidR="00297534">
        <w:t>9</w:t>
      </w:r>
      <w:r w:rsidR="00297534" w:rsidRPr="00297534">
        <w:t xml:space="preserve">).  </w:t>
      </w:r>
    </w:p>
    <w:p w:rsidR="0071295C" w:rsidRDefault="0071295C" w:rsidP="0071295C">
      <w:pPr>
        <w:pStyle w:val="Caption"/>
        <w:keepNext/>
      </w:pPr>
      <w:bookmarkStart w:id="105" w:name="_Ref54709980"/>
      <w:r>
        <w:t xml:space="preserve">Table </w:t>
      </w:r>
      <w:r w:rsidR="003C4A1C">
        <w:rPr>
          <w:noProof/>
        </w:rPr>
        <w:t>32</w:t>
      </w:r>
      <w:bookmarkEnd w:id="105"/>
      <w:r>
        <w:t xml:space="preserve">: </w:t>
      </w:r>
      <w:r w:rsidRPr="00CC02B6">
        <w:t>List of studies comparing varenicline with placebo</w:t>
      </w:r>
      <w:r>
        <w:t xml:space="preserve"> </w:t>
      </w:r>
      <w:r w:rsidR="0066615D">
        <w:t xml:space="preserve">in </w:t>
      </w:r>
      <w:r w:rsidR="0017182A">
        <w:t>abstainers</w:t>
      </w:r>
      <w:r w:rsidR="0066615D">
        <w:t xml:space="preserve"> for relapse prevention</w:t>
      </w:r>
    </w:p>
    <w:tbl>
      <w:tblPr>
        <w:tblStyle w:val="TableGrid"/>
        <w:tblW w:w="5000" w:type="pct"/>
        <w:tblLook w:val="04A0" w:firstRow="1" w:lastRow="0" w:firstColumn="1" w:lastColumn="0" w:noHBand="0" w:noVBand="1"/>
        <w:tblCaption w:val="Efficacy results of adalimumab trials (PASI 75 and DLQI)"/>
      </w:tblPr>
      <w:tblGrid>
        <w:gridCol w:w="1038"/>
        <w:gridCol w:w="7978"/>
      </w:tblGrid>
      <w:tr w:rsidR="00324959" w:rsidRPr="00061F78" w:rsidTr="0071295C">
        <w:trPr>
          <w:cantSplit/>
          <w:trHeight w:val="329"/>
          <w:tblHeader/>
        </w:trPr>
        <w:tc>
          <w:tcPr>
            <w:tcW w:w="566" w:type="pct"/>
            <w:shd w:val="clear" w:color="auto" w:fill="BFBFBF" w:themeFill="background1" w:themeFillShade="BF"/>
            <w:tcMar>
              <w:left w:w="28" w:type="dxa"/>
              <w:right w:w="28" w:type="dxa"/>
            </w:tcMar>
          </w:tcPr>
          <w:p w:rsidR="007401AE" w:rsidRPr="00061F78" w:rsidRDefault="00126B7B" w:rsidP="008078D4">
            <w:pPr>
              <w:pStyle w:val="Tableheading"/>
              <w:keepNext/>
              <w:rPr>
                <w:rFonts w:eastAsia="MS Mincho"/>
              </w:rPr>
            </w:pPr>
            <w:r>
              <w:rPr>
                <w:rFonts w:eastAsia="MS Mincho"/>
              </w:rPr>
              <w:t>Study</w:t>
            </w:r>
          </w:p>
        </w:tc>
        <w:tc>
          <w:tcPr>
            <w:tcW w:w="4434" w:type="pct"/>
            <w:shd w:val="clear" w:color="auto" w:fill="BFBFBF" w:themeFill="background1" w:themeFillShade="BF"/>
          </w:tcPr>
          <w:p w:rsidR="007401AE" w:rsidRDefault="007401AE" w:rsidP="008078D4">
            <w:pPr>
              <w:pStyle w:val="Tableheading"/>
              <w:keepNext/>
              <w:jc w:val="center"/>
              <w:rPr>
                <w:rFonts w:eastAsia="MS Mincho"/>
              </w:rPr>
            </w:pPr>
            <w:r>
              <w:rPr>
                <w:rFonts w:eastAsia="MS Mincho"/>
              </w:rPr>
              <w:t>Citation</w:t>
            </w:r>
          </w:p>
        </w:tc>
      </w:tr>
      <w:tr w:rsidR="00324959" w:rsidRPr="00061F78" w:rsidTr="00015CD6">
        <w:trPr>
          <w:cantSplit/>
          <w:trHeight w:val="109"/>
        </w:trPr>
        <w:tc>
          <w:tcPr>
            <w:tcW w:w="566" w:type="pct"/>
            <w:shd w:val="clear" w:color="auto" w:fill="D9D9D9" w:themeFill="background1" w:themeFillShade="D9"/>
            <w:tcMar>
              <w:left w:w="28" w:type="dxa"/>
              <w:right w:w="28" w:type="dxa"/>
            </w:tcMar>
          </w:tcPr>
          <w:p w:rsidR="007401AE" w:rsidRDefault="00F45F4F" w:rsidP="008078D4">
            <w:pPr>
              <w:pStyle w:val="Tablewriting"/>
              <w:keepNext/>
              <w:rPr>
                <w:rFonts w:eastAsia="MS Mincho"/>
              </w:rPr>
            </w:pPr>
            <w:r>
              <w:rPr>
                <w:rFonts w:eastAsia="MS Mincho"/>
              </w:rPr>
              <w:t>Tonstad</w:t>
            </w:r>
          </w:p>
          <w:p w:rsidR="00F45F4F" w:rsidRDefault="00F45F4F" w:rsidP="008078D4">
            <w:pPr>
              <w:pStyle w:val="Tablewriting"/>
              <w:keepNext/>
              <w:rPr>
                <w:rFonts w:eastAsia="MS Mincho"/>
              </w:rPr>
            </w:pPr>
            <w:r>
              <w:rPr>
                <w:rFonts w:eastAsia="MS Mincho"/>
              </w:rPr>
              <w:t>(2006)</w:t>
            </w:r>
            <w:r w:rsidR="0039468B" w:rsidRPr="00693911">
              <w:rPr>
                <w:rFonts w:eastAsia="MS Mincho"/>
                <w:noProof/>
                <w:vertAlign w:val="superscript"/>
              </w:rPr>
              <w:t>39</w:t>
            </w:r>
          </w:p>
        </w:tc>
        <w:tc>
          <w:tcPr>
            <w:tcW w:w="4434" w:type="pct"/>
            <w:shd w:val="clear" w:color="auto" w:fill="D9D9D9" w:themeFill="background1" w:themeFillShade="D9"/>
          </w:tcPr>
          <w:p w:rsidR="007401AE" w:rsidRPr="003B6CC8" w:rsidRDefault="007A6C7D" w:rsidP="008078D4">
            <w:pPr>
              <w:pStyle w:val="Tablewriting"/>
              <w:keepNext/>
              <w:rPr>
                <w:rFonts w:eastAsia="MS Mincho"/>
              </w:rPr>
            </w:pPr>
            <w:r w:rsidRPr="007A6C7D">
              <w:rPr>
                <w:rFonts w:eastAsia="MS Mincho"/>
              </w:rPr>
              <w:t>Tonstad S, Tønnesen P, Hajek P, Williams KE, Billing CB, Reeves KR; Varenicline Phase 3 Study Group. Effect of maintenance therapy with varenicline on smoking cessation: a randomized controlled trial. JAMA. 2006 Jul 5;296(1):64-71.</w:t>
            </w:r>
          </w:p>
        </w:tc>
      </w:tr>
      <w:tr w:rsidR="00324959" w:rsidRPr="00061F78" w:rsidTr="0071295C">
        <w:trPr>
          <w:cantSplit/>
          <w:trHeight w:val="164"/>
        </w:trPr>
        <w:tc>
          <w:tcPr>
            <w:tcW w:w="566" w:type="pct"/>
            <w:tcMar>
              <w:left w:w="28" w:type="dxa"/>
              <w:right w:w="28" w:type="dxa"/>
            </w:tcMar>
          </w:tcPr>
          <w:p w:rsidR="007401AE" w:rsidRPr="00D07303" w:rsidRDefault="004212B9" w:rsidP="008078D4">
            <w:pPr>
              <w:pStyle w:val="Tablewriting"/>
              <w:keepNext/>
              <w:rPr>
                <w:rFonts w:eastAsia="MS Mincho"/>
                <w:vertAlign w:val="superscript"/>
              </w:rPr>
            </w:pPr>
            <w:r>
              <w:rPr>
                <w:rFonts w:eastAsia="MS Mincho"/>
              </w:rPr>
              <w:t>Livingstone-Banks</w:t>
            </w:r>
            <w:r w:rsidR="007401AE">
              <w:rPr>
                <w:rFonts w:eastAsia="MS Mincho"/>
              </w:rPr>
              <w:t xml:space="preserve"> (201</w:t>
            </w:r>
            <w:r>
              <w:rPr>
                <w:rFonts w:eastAsia="MS Mincho"/>
              </w:rPr>
              <w:t>9</w:t>
            </w:r>
            <w:r w:rsidR="007401AE">
              <w:rPr>
                <w:rFonts w:eastAsia="MS Mincho"/>
              </w:rPr>
              <w:t>)</w:t>
            </w:r>
            <w:r w:rsidR="0039468B" w:rsidRPr="00693911">
              <w:rPr>
                <w:rFonts w:eastAsia="MS Mincho"/>
                <w:noProof/>
                <w:vertAlign w:val="superscript"/>
              </w:rPr>
              <w:t>40</w:t>
            </w:r>
            <w:r w:rsidR="00322560" w:rsidRPr="00D07303">
              <w:rPr>
                <w:rFonts w:eastAsia="MS Mincho"/>
                <w:vertAlign w:val="superscript"/>
              </w:rPr>
              <w:t xml:space="preserve"> </w:t>
            </w:r>
          </w:p>
        </w:tc>
        <w:tc>
          <w:tcPr>
            <w:tcW w:w="4434" w:type="pct"/>
          </w:tcPr>
          <w:p w:rsidR="007401AE" w:rsidRDefault="00CE2EF9" w:rsidP="008078D4">
            <w:pPr>
              <w:pStyle w:val="Tablewriting"/>
              <w:keepNext/>
              <w:rPr>
                <w:rFonts w:eastAsia="MS Mincho"/>
              </w:rPr>
            </w:pPr>
            <w:r w:rsidRPr="00CE2EF9">
              <w:rPr>
                <w:rFonts w:eastAsia="MS Mincho"/>
              </w:rPr>
              <w:t>Livingstone‐Banks  J, Norris  E, Hartmann‐Boyce  J, West  R, Jarvis  M, Hajek  P. Relapse prevention interventions for smoking cessation. Cochrane Database of Systematic Reviews 2019, Issue 2. Art. No.: CD003999.</w:t>
            </w:r>
          </w:p>
        </w:tc>
      </w:tr>
      <w:tr w:rsidR="00324959" w:rsidRPr="00061F78" w:rsidTr="0071295C">
        <w:trPr>
          <w:cantSplit/>
          <w:trHeight w:val="164"/>
        </w:trPr>
        <w:tc>
          <w:tcPr>
            <w:tcW w:w="566" w:type="pct"/>
            <w:tcMar>
              <w:left w:w="28" w:type="dxa"/>
              <w:right w:w="28" w:type="dxa"/>
            </w:tcMar>
          </w:tcPr>
          <w:p w:rsidR="00297534" w:rsidRDefault="00297534" w:rsidP="008078D4">
            <w:pPr>
              <w:pStyle w:val="Tablewriting"/>
              <w:keepNext/>
              <w:rPr>
                <w:rFonts w:eastAsia="MS Mincho"/>
              </w:rPr>
            </w:pPr>
            <w:r>
              <w:rPr>
                <w:rFonts w:eastAsia="MS Mincho"/>
              </w:rPr>
              <w:t>Schnoll</w:t>
            </w:r>
            <w:r w:rsidR="00395849">
              <w:rPr>
                <w:rFonts w:eastAsia="MS Mincho"/>
              </w:rPr>
              <w:t xml:space="preserve"> (2019)</w:t>
            </w:r>
            <w:r w:rsidR="0039468B" w:rsidRPr="00693911">
              <w:rPr>
                <w:rFonts w:eastAsia="MS Mincho"/>
                <w:noProof/>
                <w:vertAlign w:val="superscript"/>
              </w:rPr>
              <w:t>41</w:t>
            </w:r>
          </w:p>
        </w:tc>
        <w:tc>
          <w:tcPr>
            <w:tcW w:w="4434" w:type="pct"/>
          </w:tcPr>
          <w:p w:rsidR="00297534" w:rsidRPr="00CE2EF9" w:rsidRDefault="00743810" w:rsidP="008078D4">
            <w:pPr>
              <w:pStyle w:val="Tablewriting"/>
              <w:keepNext/>
              <w:rPr>
                <w:rFonts w:eastAsia="MS Mincho"/>
              </w:rPr>
            </w:pPr>
            <w:r w:rsidRPr="00743810">
              <w:rPr>
                <w:rFonts w:eastAsia="MS Mincho"/>
              </w:rPr>
              <w:t>Schnoll R, Leone F, Veluz-Wilkins A, Miele A, Hole A, Jao NC, Paul Wileyto E, Carroll AJ, Kalhan R, Patel J, Langer C, Lubitz SF, Hitsman B. A randomized controlled trial of 24 weeks of varenicline for tobacco use among cancer patients: Efficacy, safety, and adherence. Psychooncology. 2019 Mar;28(3):561-569</w:t>
            </w:r>
          </w:p>
        </w:tc>
      </w:tr>
    </w:tbl>
    <w:p w:rsidR="00BB64D9" w:rsidRPr="00D14993" w:rsidRDefault="00BB64D9" w:rsidP="00BB64D9">
      <w:pPr>
        <w:pStyle w:val="TableFooter"/>
        <w:keepNext/>
      </w:pPr>
      <w:r w:rsidRPr="00061F78">
        <w:rPr>
          <w:highlight w:val="lightGray"/>
        </w:rPr>
        <w:t>Shaded</w:t>
      </w:r>
      <w:r w:rsidRPr="00061F78">
        <w:t xml:space="preserve"> = previously considered by the PBAC</w:t>
      </w:r>
    </w:p>
    <w:p w:rsidR="00BB64D9" w:rsidRDefault="00BB64D9" w:rsidP="00BB64D9">
      <w:pPr>
        <w:pStyle w:val="TableFooter"/>
        <w:keepNext/>
      </w:pPr>
      <w:r>
        <w:t xml:space="preserve">Notes: </w:t>
      </w:r>
      <w:r w:rsidR="00BD2843">
        <w:t>Tonstad</w:t>
      </w:r>
      <w:r>
        <w:t xml:space="preserve"> et al. (2006) w</w:t>
      </w:r>
      <w:r w:rsidR="00BD2843">
        <w:t>as</w:t>
      </w:r>
      <w:r>
        <w:t xml:space="preserve"> considered at the </w:t>
      </w:r>
      <w:r w:rsidR="009136C5">
        <w:t>November</w:t>
      </w:r>
      <w:r>
        <w:t xml:space="preserve"> 200</w:t>
      </w:r>
      <w:r w:rsidR="009136C5">
        <w:t>9</w:t>
      </w:r>
      <w:r>
        <w:t xml:space="preserve"> PBAC meeting</w:t>
      </w:r>
      <w:r w:rsidR="009136C5">
        <w:t>.</w:t>
      </w:r>
    </w:p>
    <w:p w:rsidR="009F67CC" w:rsidRPr="009F67CC" w:rsidRDefault="00B932E4" w:rsidP="003B4B27">
      <w:r w:rsidRPr="00B932E4">
        <w:t xml:space="preserve">A summary of the characteristics of the studies comparing varenicline with placebo </w:t>
      </w:r>
      <w:r w:rsidR="00FC193A">
        <w:t xml:space="preserve">in abstainers for relapse prevention </w:t>
      </w:r>
      <w:r w:rsidRPr="00B932E4">
        <w:t xml:space="preserve">is presented in </w:t>
      </w:r>
      <w:r w:rsidR="003C4A1C">
        <w:t xml:space="preserve">Table </w:t>
      </w:r>
      <w:r w:rsidR="003C4A1C">
        <w:rPr>
          <w:noProof/>
        </w:rPr>
        <w:t>33</w:t>
      </w:r>
      <w:r w:rsidRPr="00B932E4">
        <w:t xml:space="preserve">. </w:t>
      </w:r>
      <w:r w:rsidR="00CA0239" w:rsidRPr="00CA0239">
        <w:t xml:space="preserve">A total of </w:t>
      </w:r>
      <w:r w:rsidR="00CA0239">
        <w:t>two</w:t>
      </w:r>
      <w:r w:rsidR="00CA0239" w:rsidRPr="00CA0239">
        <w:t xml:space="preserve"> RCTs comparing </w:t>
      </w:r>
      <w:r w:rsidR="00CA0239">
        <w:t>varenicline</w:t>
      </w:r>
      <w:r w:rsidR="00CA0239" w:rsidRPr="00CA0239">
        <w:t xml:space="preserve"> with placebo were identified by </w:t>
      </w:r>
      <w:r w:rsidR="00CA0239">
        <w:t>Livingstone-Banks</w:t>
      </w:r>
      <w:r w:rsidR="00CA0239" w:rsidRPr="00CA0239">
        <w:t xml:space="preserve"> et al. (20</w:t>
      </w:r>
      <w:r w:rsidR="00CA0239">
        <w:t>19</w:t>
      </w:r>
      <w:r w:rsidR="00CA0239" w:rsidRPr="00CA0239">
        <w:t xml:space="preserve">). </w:t>
      </w:r>
      <w:r w:rsidR="00FC193A">
        <w:t>O</w:t>
      </w:r>
      <w:r w:rsidR="00CA0239">
        <w:t>f these, o</w:t>
      </w:r>
      <w:r w:rsidR="00FC193A">
        <w:t xml:space="preserve">ne </w:t>
      </w:r>
      <w:r w:rsidR="00D8784F">
        <w:t>study</w:t>
      </w:r>
      <w:r w:rsidR="00FC193A">
        <w:t xml:space="preserve"> was</w:t>
      </w:r>
      <w:r w:rsidRPr="00B932E4">
        <w:t xml:space="preserve"> previously considered by the PBAC</w:t>
      </w:r>
      <w:r w:rsidR="00FC193A">
        <w:t xml:space="preserve"> (Tonstad et al. 2006)</w:t>
      </w:r>
      <w:r w:rsidRPr="00B932E4">
        <w:t xml:space="preserve">. The characteristics of the individual studies are presented in </w:t>
      </w:r>
      <w:r w:rsidRPr="00F65ABC">
        <w:t>Appendix</w:t>
      </w:r>
      <w:r w:rsidR="00FC193A">
        <w:t xml:space="preserve"> </w:t>
      </w:r>
      <w:r w:rsidR="003C4A1C">
        <w:t xml:space="preserve">Table </w:t>
      </w:r>
      <w:r w:rsidR="003C4A1C">
        <w:rPr>
          <w:noProof/>
        </w:rPr>
        <w:t>151</w:t>
      </w:r>
      <w:r w:rsidR="00FC193A">
        <w:t>.</w:t>
      </w:r>
    </w:p>
    <w:p w:rsidR="000806F4" w:rsidRPr="009F67CC" w:rsidRDefault="000806F4" w:rsidP="003B4B27">
      <w:r>
        <w:t>Schnoll et al. (2019) was a</w:t>
      </w:r>
      <w:r w:rsidRPr="000806F4">
        <w:t xml:space="preserve"> placebo-controlled randomi</w:t>
      </w:r>
      <w:r>
        <w:t>s</w:t>
      </w:r>
      <w:r w:rsidRPr="000806F4">
        <w:t xml:space="preserve">ed trial </w:t>
      </w:r>
      <w:r w:rsidR="00A5403A">
        <w:t>comparing</w:t>
      </w:r>
      <w:r w:rsidRPr="000806F4">
        <w:t xml:space="preserve"> 12 weeks of varenicline plus 12 weeks of placebo v</w:t>
      </w:r>
      <w:r w:rsidR="00CD0B33">
        <w:t>ersus</w:t>
      </w:r>
      <w:r w:rsidRPr="000806F4">
        <w:t xml:space="preserve"> 24 weeks of varenicline </w:t>
      </w:r>
      <w:r w:rsidR="00CD0B33">
        <w:t>in</w:t>
      </w:r>
      <w:r w:rsidRPr="000806F4">
        <w:t xml:space="preserve"> treatment-seeking cancer patients who smoke</w:t>
      </w:r>
      <w:r w:rsidR="00862E17">
        <w:t>d</w:t>
      </w:r>
      <w:r w:rsidRPr="000806F4">
        <w:t xml:space="preserve"> (N=207).</w:t>
      </w:r>
      <w:r w:rsidR="009B6B3A">
        <w:t xml:space="preserve"> </w:t>
      </w:r>
      <w:r w:rsidR="003309CF">
        <w:t xml:space="preserve">In this study, patients were not </w:t>
      </w:r>
      <w:r w:rsidR="00E97DAE">
        <w:t xml:space="preserve">required to </w:t>
      </w:r>
      <w:r w:rsidR="00A90059">
        <w:t>have successfully abstained</w:t>
      </w:r>
      <w:r w:rsidR="00E97DAE">
        <w:t xml:space="preserve"> at 12 weeks to receive another 12 weeks of</w:t>
      </w:r>
      <w:r w:rsidR="000A6FEB">
        <w:t xml:space="preserve"> varenicline</w:t>
      </w:r>
      <w:r w:rsidR="005412CF">
        <w:t xml:space="preserve"> or placebo</w:t>
      </w:r>
      <w:r w:rsidR="00E97DAE">
        <w:t xml:space="preserve"> treatment.</w:t>
      </w:r>
      <w:r w:rsidR="008D6462">
        <w:t xml:space="preserve"> As such, both arms of the study may</w:t>
      </w:r>
      <w:r w:rsidR="00862E17">
        <w:t xml:space="preserve"> have</w:t>
      </w:r>
      <w:r w:rsidR="008D6462">
        <w:t xml:space="preserve"> include</w:t>
      </w:r>
      <w:r w:rsidR="00862E17">
        <w:t>d</w:t>
      </w:r>
      <w:r w:rsidR="008D6462">
        <w:t xml:space="preserve"> both abstainer</w:t>
      </w:r>
      <w:r w:rsidR="00826CB5">
        <w:t>s</w:t>
      </w:r>
      <w:r w:rsidR="008D6462">
        <w:t xml:space="preserve"> and non-abstainer</w:t>
      </w:r>
      <w:r w:rsidR="00826CB5">
        <w:t>s</w:t>
      </w:r>
      <w:r w:rsidR="0037789D">
        <w:t xml:space="preserve"> after receiving 12 weeks of varenicline treatment</w:t>
      </w:r>
      <w:r w:rsidR="008D6462">
        <w:t>.</w:t>
      </w:r>
    </w:p>
    <w:p w:rsidR="00F20770" w:rsidRDefault="00F20770" w:rsidP="003B4B27"/>
    <w:p w:rsidR="000970B9" w:rsidRDefault="000970B9" w:rsidP="003B4B27">
      <w:pPr>
        <w:sectPr w:rsidR="000970B9" w:rsidSect="006356D2">
          <w:pgSz w:w="11906" w:h="16838"/>
          <w:pgMar w:top="1440" w:right="1440" w:bottom="1440" w:left="1440" w:header="708" w:footer="708" w:gutter="0"/>
          <w:cols w:space="708"/>
          <w:titlePg/>
          <w:docGrid w:linePitch="360"/>
        </w:sectPr>
      </w:pPr>
    </w:p>
    <w:p w:rsidR="00C3237A" w:rsidRDefault="00C3237A" w:rsidP="00C3237A">
      <w:pPr>
        <w:pStyle w:val="Caption"/>
        <w:keepNext/>
      </w:pPr>
      <w:bookmarkStart w:id="106" w:name="_Ref54782181"/>
      <w:r>
        <w:lastRenderedPageBreak/>
        <w:t xml:space="preserve">Table </w:t>
      </w:r>
      <w:r w:rsidR="003C4A1C">
        <w:rPr>
          <w:noProof/>
        </w:rPr>
        <w:t>33</w:t>
      </w:r>
      <w:bookmarkEnd w:id="106"/>
      <w:r>
        <w:t xml:space="preserve">: </w:t>
      </w:r>
      <w:r w:rsidRPr="003F5487">
        <w:t>Characteristics of the studies comparing varenicline with placebo</w:t>
      </w:r>
      <w:r w:rsidR="00555061">
        <w:t xml:space="preserve"> </w:t>
      </w:r>
      <w:r w:rsidR="00555061" w:rsidRPr="00555061">
        <w:t>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038"/>
        <w:gridCol w:w="1075"/>
        <w:gridCol w:w="967"/>
        <w:gridCol w:w="5181"/>
        <w:gridCol w:w="2305"/>
        <w:gridCol w:w="3382"/>
      </w:tblGrid>
      <w:tr w:rsidR="00260CD7" w:rsidRPr="00061F78" w:rsidTr="00C3237A">
        <w:trPr>
          <w:trHeight w:val="299"/>
          <w:tblHeader/>
        </w:trPr>
        <w:tc>
          <w:tcPr>
            <w:tcW w:w="371" w:type="pct"/>
            <w:shd w:val="clear" w:color="auto" w:fill="BFBFBF" w:themeFill="background1" w:themeFillShade="BF"/>
            <w:tcMar>
              <w:left w:w="28" w:type="dxa"/>
              <w:right w:w="28" w:type="dxa"/>
            </w:tcMar>
          </w:tcPr>
          <w:p w:rsidR="000970B9" w:rsidRPr="00061F78" w:rsidRDefault="00126B7B" w:rsidP="00576F26">
            <w:pPr>
              <w:pStyle w:val="Tableheading"/>
              <w:rPr>
                <w:rFonts w:eastAsia="MS Mincho"/>
              </w:rPr>
            </w:pPr>
            <w:r>
              <w:rPr>
                <w:rFonts w:eastAsia="MS Mincho"/>
              </w:rPr>
              <w:t>Study</w:t>
            </w:r>
          </w:p>
        </w:tc>
        <w:tc>
          <w:tcPr>
            <w:tcW w:w="386" w:type="pct"/>
            <w:shd w:val="clear" w:color="auto" w:fill="BFBFBF" w:themeFill="background1" w:themeFillShade="BF"/>
          </w:tcPr>
          <w:p w:rsidR="000970B9" w:rsidRDefault="000970B9" w:rsidP="00576F26">
            <w:pPr>
              <w:pStyle w:val="Tableheading"/>
              <w:jc w:val="center"/>
              <w:rPr>
                <w:rFonts w:eastAsia="MS Mincho"/>
              </w:rPr>
            </w:pPr>
            <w:r>
              <w:rPr>
                <w:rFonts w:eastAsia="MS Mincho"/>
              </w:rPr>
              <w:t>Study type</w:t>
            </w:r>
          </w:p>
        </w:tc>
        <w:tc>
          <w:tcPr>
            <w:tcW w:w="345" w:type="pct"/>
            <w:shd w:val="clear" w:color="auto" w:fill="BFBFBF" w:themeFill="background1" w:themeFillShade="BF"/>
            <w:tcMar>
              <w:left w:w="28" w:type="dxa"/>
              <w:right w:w="28" w:type="dxa"/>
            </w:tcMar>
          </w:tcPr>
          <w:p w:rsidR="000970B9" w:rsidRPr="00AE21E9" w:rsidRDefault="000970B9" w:rsidP="00576F26">
            <w:pPr>
              <w:pStyle w:val="Tableheading"/>
              <w:jc w:val="center"/>
              <w:rPr>
                <w:rFonts w:eastAsia="MS Mincho"/>
                <w:vertAlign w:val="superscript"/>
              </w:rPr>
            </w:pPr>
            <w:r>
              <w:rPr>
                <w:rFonts w:eastAsia="MS Mincho"/>
              </w:rPr>
              <w:t>N</w:t>
            </w:r>
            <w:r>
              <w:rPr>
                <w:rFonts w:eastAsia="MS Mincho"/>
                <w:vertAlign w:val="superscript"/>
              </w:rPr>
              <w:t>1</w:t>
            </w:r>
          </w:p>
        </w:tc>
        <w:tc>
          <w:tcPr>
            <w:tcW w:w="1858" w:type="pct"/>
            <w:shd w:val="clear" w:color="auto" w:fill="BFBFBF" w:themeFill="background1" w:themeFillShade="BF"/>
            <w:tcMar>
              <w:left w:w="28" w:type="dxa"/>
              <w:right w:w="28" w:type="dxa"/>
            </w:tcMar>
          </w:tcPr>
          <w:p w:rsidR="000970B9" w:rsidRPr="00061F78" w:rsidRDefault="000970B9" w:rsidP="00576F26">
            <w:pPr>
              <w:pStyle w:val="Tableheading"/>
              <w:jc w:val="center"/>
              <w:rPr>
                <w:rFonts w:eastAsia="MS Mincho"/>
              </w:rPr>
            </w:pPr>
            <w:r w:rsidRPr="00061F78">
              <w:rPr>
                <w:rFonts w:eastAsia="MS Mincho"/>
              </w:rPr>
              <w:t>P</w:t>
            </w:r>
            <w:r>
              <w:rPr>
                <w:rFonts w:eastAsia="MS Mincho"/>
              </w:rPr>
              <w:t>opulation</w:t>
            </w:r>
          </w:p>
        </w:tc>
        <w:tc>
          <w:tcPr>
            <w:tcW w:w="827" w:type="pct"/>
            <w:shd w:val="clear" w:color="auto" w:fill="BFBFBF" w:themeFill="background1" w:themeFillShade="BF"/>
          </w:tcPr>
          <w:p w:rsidR="000970B9" w:rsidRDefault="000970B9" w:rsidP="00576F26">
            <w:pPr>
              <w:pStyle w:val="Tableheading"/>
              <w:jc w:val="center"/>
              <w:rPr>
                <w:rFonts w:eastAsia="MS Mincho"/>
              </w:rPr>
            </w:pPr>
            <w:r>
              <w:rPr>
                <w:rFonts w:eastAsia="MS Mincho"/>
              </w:rPr>
              <w:t>Intervention and comparator</w:t>
            </w:r>
          </w:p>
        </w:tc>
        <w:tc>
          <w:tcPr>
            <w:tcW w:w="1213" w:type="pct"/>
            <w:shd w:val="clear" w:color="auto" w:fill="BFBFBF" w:themeFill="background1" w:themeFillShade="BF"/>
            <w:tcMar>
              <w:left w:w="28" w:type="dxa"/>
              <w:right w:w="28" w:type="dxa"/>
            </w:tcMar>
          </w:tcPr>
          <w:p w:rsidR="000970B9" w:rsidRPr="00061F78" w:rsidRDefault="000970B9" w:rsidP="00576F26">
            <w:pPr>
              <w:pStyle w:val="Tableheading"/>
              <w:jc w:val="center"/>
              <w:rPr>
                <w:rFonts w:eastAsia="MS Mincho"/>
              </w:rPr>
            </w:pPr>
            <w:r>
              <w:rPr>
                <w:rFonts w:eastAsia="MS Mincho"/>
              </w:rPr>
              <w:t>Outcomes</w:t>
            </w:r>
          </w:p>
        </w:tc>
      </w:tr>
      <w:tr w:rsidR="00260CD7" w:rsidRPr="00061F78" w:rsidTr="00015CD6">
        <w:trPr>
          <w:trHeight w:val="99"/>
        </w:trPr>
        <w:tc>
          <w:tcPr>
            <w:tcW w:w="371" w:type="pct"/>
            <w:shd w:val="clear" w:color="auto" w:fill="D9D9D9" w:themeFill="background1" w:themeFillShade="D9"/>
            <w:tcMar>
              <w:left w:w="28" w:type="dxa"/>
              <w:right w:w="28" w:type="dxa"/>
            </w:tcMar>
          </w:tcPr>
          <w:p w:rsidR="000970B9" w:rsidRDefault="000970B9" w:rsidP="00576F26">
            <w:pPr>
              <w:pStyle w:val="Tablewriting"/>
              <w:rPr>
                <w:rFonts w:eastAsia="MS Mincho"/>
              </w:rPr>
            </w:pPr>
            <w:r>
              <w:rPr>
                <w:rFonts w:eastAsia="MS Mincho"/>
              </w:rPr>
              <w:t>Tonstad</w:t>
            </w:r>
          </w:p>
          <w:p w:rsidR="000970B9" w:rsidRDefault="000970B9" w:rsidP="00576F26">
            <w:pPr>
              <w:pStyle w:val="Tablewriting"/>
              <w:rPr>
                <w:rFonts w:eastAsia="MS Mincho"/>
              </w:rPr>
            </w:pPr>
            <w:r>
              <w:rPr>
                <w:rFonts w:eastAsia="MS Mincho"/>
              </w:rPr>
              <w:t>(2006)</w:t>
            </w:r>
          </w:p>
        </w:tc>
        <w:tc>
          <w:tcPr>
            <w:tcW w:w="386" w:type="pct"/>
            <w:shd w:val="clear" w:color="auto" w:fill="D9D9D9" w:themeFill="background1" w:themeFillShade="D9"/>
          </w:tcPr>
          <w:p w:rsidR="000970B9" w:rsidRDefault="000970B9" w:rsidP="00576F26">
            <w:pPr>
              <w:pStyle w:val="Tablewriting"/>
              <w:rPr>
                <w:rFonts w:eastAsia="MS Mincho"/>
              </w:rPr>
            </w:pPr>
            <w:r>
              <w:rPr>
                <w:rFonts w:eastAsia="MS Mincho"/>
              </w:rPr>
              <w:t>RCT</w:t>
            </w:r>
          </w:p>
        </w:tc>
        <w:tc>
          <w:tcPr>
            <w:tcW w:w="345" w:type="pct"/>
            <w:shd w:val="clear" w:color="auto" w:fill="D9D9D9" w:themeFill="background1" w:themeFillShade="D9"/>
            <w:tcMar>
              <w:left w:w="28" w:type="dxa"/>
              <w:right w:w="28" w:type="dxa"/>
            </w:tcMar>
          </w:tcPr>
          <w:p w:rsidR="000970B9" w:rsidRDefault="000970B9" w:rsidP="00576F26">
            <w:pPr>
              <w:pStyle w:val="Tablewriting"/>
              <w:rPr>
                <w:rFonts w:eastAsia="MS Mincho"/>
              </w:rPr>
            </w:pPr>
            <w:r>
              <w:rPr>
                <w:rFonts w:eastAsia="MS Mincho"/>
              </w:rPr>
              <w:t>N=1</w:t>
            </w:r>
            <w:r w:rsidR="005814A2">
              <w:rPr>
                <w:rFonts w:eastAsia="MS Mincho"/>
              </w:rPr>
              <w:t>,210</w:t>
            </w:r>
          </w:p>
          <w:p w:rsidR="000970B9" w:rsidRDefault="000970B9" w:rsidP="00576F26">
            <w:pPr>
              <w:pStyle w:val="Tablewriting"/>
              <w:rPr>
                <w:rFonts w:eastAsia="MS Mincho"/>
              </w:rPr>
            </w:pPr>
            <w:r>
              <w:rPr>
                <w:rFonts w:eastAsia="MS Mincho"/>
              </w:rPr>
              <w:t>Varenicline (n=</w:t>
            </w:r>
            <w:r w:rsidR="005814A2">
              <w:rPr>
                <w:rFonts w:eastAsia="MS Mincho"/>
              </w:rPr>
              <w:t>603</w:t>
            </w:r>
            <w:r>
              <w:rPr>
                <w:rFonts w:eastAsia="MS Mincho"/>
              </w:rPr>
              <w:t>), Placebo (n=</w:t>
            </w:r>
            <w:r w:rsidR="005814A2">
              <w:rPr>
                <w:rFonts w:eastAsia="MS Mincho"/>
              </w:rPr>
              <w:t>607</w:t>
            </w:r>
            <w:r>
              <w:rPr>
                <w:rFonts w:eastAsia="MS Mincho"/>
              </w:rPr>
              <w:t>)</w:t>
            </w:r>
          </w:p>
        </w:tc>
        <w:tc>
          <w:tcPr>
            <w:tcW w:w="1858" w:type="pct"/>
            <w:shd w:val="clear" w:color="auto" w:fill="D9D9D9" w:themeFill="background1" w:themeFillShade="D9"/>
            <w:tcMar>
              <w:left w:w="28" w:type="dxa"/>
              <w:right w:w="28" w:type="dxa"/>
            </w:tcMar>
          </w:tcPr>
          <w:p w:rsidR="000970B9" w:rsidRDefault="000970B9" w:rsidP="00576F26">
            <w:pPr>
              <w:pStyle w:val="Tablewriting"/>
              <w:rPr>
                <w:rFonts w:eastAsia="MS Mincho"/>
              </w:rPr>
            </w:pPr>
            <w:r w:rsidRPr="007F28D7">
              <w:rPr>
                <w:rFonts w:eastAsia="MS Mincho"/>
                <w:u w:val="single"/>
              </w:rPr>
              <w:t>Inclusion</w:t>
            </w:r>
            <w:r>
              <w:rPr>
                <w:rFonts w:eastAsia="MS Mincho"/>
              </w:rPr>
              <w:t xml:space="preserve">: </w:t>
            </w:r>
            <w:r w:rsidR="005814A2">
              <w:rPr>
                <w:rFonts w:eastAsia="MS Mincho"/>
              </w:rPr>
              <w:t>18-75 years</w:t>
            </w:r>
            <w:r w:rsidR="005814A2" w:rsidRPr="005814A2">
              <w:rPr>
                <w:rFonts w:eastAsia="MS Mincho"/>
              </w:rPr>
              <w:t xml:space="preserve"> </w:t>
            </w:r>
            <w:r w:rsidR="00B45ECB">
              <w:rPr>
                <w:rFonts w:eastAsia="MS Mincho"/>
              </w:rPr>
              <w:t xml:space="preserve">old, </w:t>
            </w:r>
            <w:r w:rsidR="00B45ECB">
              <w:rPr>
                <w:rFonts w:eastAsia="MS Mincho" w:cstheme="minorHAnsi"/>
              </w:rPr>
              <w:t>≥</w:t>
            </w:r>
            <w:r w:rsidR="005814A2" w:rsidRPr="005814A2">
              <w:rPr>
                <w:rFonts w:eastAsia="MS Mincho"/>
              </w:rPr>
              <w:t>10 cigarettes per day</w:t>
            </w:r>
            <w:r w:rsidR="005814A2">
              <w:rPr>
                <w:rFonts w:eastAsia="MS Mincho"/>
              </w:rPr>
              <w:t xml:space="preserve"> </w:t>
            </w:r>
            <w:r w:rsidR="005814A2" w:rsidRPr="005814A2">
              <w:rPr>
                <w:rFonts w:eastAsia="MS Mincho"/>
              </w:rPr>
              <w:t>during the past year and over the month</w:t>
            </w:r>
            <w:r w:rsidR="005814A2">
              <w:rPr>
                <w:rFonts w:eastAsia="MS Mincho"/>
              </w:rPr>
              <w:t xml:space="preserve"> </w:t>
            </w:r>
            <w:r w:rsidR="005814A2" w:rsidRPr="005814A2">
              <w:rPr>
                <w:rFonts w:eastAsia="MS Mincho"/>
              </w:rPr>
              <w:t>prior to the screening visit with no period</w:t>
            </w:r>
            <w:r w:rsidR="005814A2">
              <w:rPr>
                <w:rFonts w:eastAsia="MS Mincho"/>
              </w:rPr>
              <w:t xml:space="preserve"> </w:t>
            </w:r>
            <w:r w:rsidR="005814A2" w:rsidRPr="005814A2">
              <w:rPr>
                <w:rFonts w:eastAsia="MS Mincho"/>
              </w:rPr>
              <w:t>of abstinence longer than 3 months</w:t>
            </w:r>
            <w:r w:rsidR="005814A2">
              <w:rPr>
                <w:rFonts w:eastAsia="MS Mincho"/>
              </w:rPr>
              <w:t xml:space="preserve"> </w:t>
            </w:r>
            <w:r w:rsidR="005814A2" w:rsidRPr="005814A2">
              <w:rPr>
                <w:rFonts w:eastAsia="MS Mincho"/>
              </w:rPr>
              <w:t>in the past year</w:t>
            </w:r>
            <w:r w:rsidR="00BB5E7F">
              <w:rPr>
                <w:rFonts w:eastAsia="MS Mincho"/>
              </w:rPr>
              <w:t>,</w:t>
            </w:r>
            <w:r w:rsidR="005814A2" w:rsidRPr="005814A2">
              <w:rPr>
                <w:rFonts w:eastAsia="MS Mincho"/>
              </w:rPr>
              <w:t xml:space="preserve"> motivated</w:t>
            </w:r>
            <w:r w:rsidR="005814A2">
              <w:rPr>
                <w:rFonts w:eastAsia="MS Mincho"/>
              </w:rPr>
              <w:t xml:space="preserve"> </w:t>
            </w:r>
            <w:r w:rsidR="005814A2" w:rsidRPr="005814A2">
              <w:rPr>
                <w:rFonts w:eastAsia="MS Mincho"/>
              </w:rPr>
              <w:t>to quit.</w:t>
            </w:r>
          </w:p>
          <w:p w:rsidR="000970B9" w:rsidRPr="00061F78" w:rsidRDefault="000970B9" w:rsidP="00576F26">
            <w:pPr>
              <w:pStyle w:val="Tablewriting"/>
              <w:rPr>
                <w:rFonts w:eastAsia="MS Mincho"/>
              </w:rPr>
            </w:pPr>
            <w:r w:rsidRPr="007F28D7">
              <w:rPr>
                <w:rFonts w:eastAsia="MS Mincho"/>
                <w:u w:val="single"/>
              </w:rPr>
              <w:t>Exclusion</w:t>
            </w:r>
            <w:r>
              <w:rPr>
                <w:rFonts w:eastAsia="MS Mincho"/>
              </w:rPr>
              <w:t xml:space="preserve">: </w:t>
            </w:r>
            <w:r w:rsidR="005814A2" w:rsidRPr="005814A2">
              <w:rPr>
                <w:rFonts w:eastAsia="MS Mincho"/>
              </w:rPr>
              <w:t>serious or unstable disease within the</w:t>
            </w:r>
            <w:r w:rsidR="00824735">
              <w:rPr>
                <w:rFonts w:eastAsia="MS Mincho"/>
              </w:rPr>
              <w:t xml:space="preserve"> </w:t>
            </w:r>
            <w:r w:rsidR="005814A2" w:rsidRPr="005814A2">
              <w:rPr>
                <w:rFonts w:eastAsia="MS Mincho"/>
              </w:rPr>
              <w:t>past 6 months</w:t>
            </w:r>
            <w:r w:rsidR="00BB5E7F">
              <w:rPr>
                <w:rFonts w:eastAsia="MS Mincho"/>
              </w:rPr>
              <w:t>,</w:t>
            </w:r>
            <w:r w:rsidR="005814A2" w:rsidRPr="005814A2">
              <w:rPr>
                <w:rFonts w:eastAsia="MS Mincho"/>
              </w:rPr>
              <w:t xml:space="preserve"> required treatment for</w:t>
            </w:r>
            <w:r w:rsidR="00824735">
              <w:rPr>
                <w:rFonts w:eastAsia="MS Mincho"/>
              </w:rPr>
              <w:t xml:space="preserve"> </w:t>
            </w:r>
            <w:r w:rsidR="005814A2" w:rsidRPr="005814A2">
              <w:rPr>
                <w:rFonts w:eastAsia="MS Mincho"/>
              </w:rPr>
              <w:t>depression within the past 12 months</w:t>
            </w:r>
            <w:r w:rsidR="00BB5E7F">
              <w:rPr>
                <w:rFonts w:eastAsia="MS Mincho"/>
              </w:rPr>
              <w:t>,</w:t>
            </w:r>
            <w:r w:rsidR="00824735">
              <w:rPr>
                <w:rFonts w:eastAsia="MS Mincho"/>
              </w:rPr>
              <w:t xml:space="preserve"> </w:t>
            </w:r>
            <w:r w:rsidR="005814A2" w:rsidRPr="005814A2">
              <w:rPr>
                <w:rFonts w:eastAsia="MS Mincho"/>
              </w:rPr>
              <w:t>a history of or current panic disorder,</w:t>
            </w:r>
            <w:r w:rsidR="00824735">
              <w:rPr>
                <w:rFonts w:eastAsia="MS Mincho"/>
              </w:rPr>
              <w:t xml:space="preserve"> </w:t>
            </w:r>
            <w:r w:rsidR="005814A2" w:rsidRPr="005814A2">
              <w:rPr>
                <w:rFonts w:eastAsia="MS Mincho"/>
              </w:rPr>
              <w:t>psychosis, or bipolar disorder</w:t>
            </w:r>
            <w:r w:rsidR="00BB5E7F">
              <w:rPr>
                <w:rFonts w:eastAsia="MS Mincho"/>
              </w:rPr>
              <w:t>,</w:t>
            </w:r>
            <w:r w:rsidR="00824735">
              <w:rPr>
                <w:rFonts w:eastAsia="MS Mincho"/>
              </w:rPr>
              <w:t xml:space="preserve"> </w:t>
            </w:r>
            <w:r w:rsidR="005814A2" w:rsidRPr="005814A2">
              <w:rPr>
                <w:rFonts w:eastAsia="MS Mincho"/>
              </w:rPr>
              <w:t xml:space="preserve">severe </w:t>
            </w:r>
            <w:r w:rsidR="00BB5E7F">
              <w:rPr>
                <w:rFonts w:eastAsia="MS Mincho"/>
              </w:rPr>
              <w:t>COPD</w:t>
            </w:r>
            <w:r w:rsidR="005814A2" w:rsidRPr="005814A2">
              <w:rPr>
                <w:rFonts w:eastAsia="MS Mincho"/>
              </w:rPr>
              <w:t>, a history of cancer, evidence</w:t>
            </w:r>
            <w:r w:rsidR="00824735">
              <w:rPr>
                <w:rFonts w:eastAsia="MS Mincho"/>
              </w:rPr>
              <w:t xml:space="preserve"> </w:t>
            </w:r>
            <w:r w:rsidR="005814A2" w:rsidRPr="005814A2">
              <w:rPr>
                <w:rFonts w:eastAsia="MS Mincho"/>
              </w:rPr>
              <w:t>or history of clinically significant</w:t>
            </w:r>
            <w:r w:rsidR="00824735">
              <w:rPr>
                <w:rFonts w:eastAsia="MS Mincho"/>
              </w:rPr>
              <w:t xml:space="preserve"> </w:t>
            </w:r>
            <w:r w:rsidR="005814A2" w:rsidRPr="005814A2">
              <w:rPr>
                <w:rFonts w:eastAsia="MS Mincho"/>
              </w:rPr>
              <w:t>allergic reactions, laboratory</w:t>
            </w:r>
            <w:r w:rsidR="00824735">
              <w:rPr>
                <w:rFonts w:eastAsia="MS Mincho"/>
              </w:rPr>
              <w:t xml:space="preserve"> </w:t>
            </w:r>
            <w:r w:rsidR="005814A2" w:rsidRPr="005814A2">
              <w:rPr>
                <w:rFonts w:eastAsia="MS Mincho"/>
              </w:rPr>
              <w:t>abnormalities, cardiovascular disease</w:t>
            </w:r>
            <w:r w:rsidR="005814A2">
              <w:rPr>
                <w:rFonts w:eastAsia="MS Mincho"/>
              </w:rPr>
              <w:t xml:space="preserve"> </w:t>
            </w:r>
            <w:r w:rsidR="005814A2" w:rsidRPr="005814A2">
              <w:rPr>
                <w:rFonts w:eastAsia="MS Mincho"/>
              </w:rPr>
              <w:t>within the past 6 months, uncontrolled</w:t>
            </w:r>
            <w:r w:rsidR="00824735">
              <w:rPr>
                <w:rFonts w:eastAsia="MS Mincho"/>
              </w:rPr>
              <w:t xml:space="preserve"> </w:t>
            </w:r>
            <w:r w:rsidR="005814A2" w:rsidRPr="005814A2">
              <w:rPr>
                <w:rFonts w:eastAsia="MS Mincho"/>
              </w:rPr>
              <w:t>hypertension, or a history of</w:t>
            </w:r>
            <w:r w:rsidR="00824735">
              <w:rPr>
                <w:rFonts w:eastAsia="MS Mincho"/>
              </w:rPr>
              <w:t xml:space="preserve"> </w:t>
            </w:r>
            <w:r w:rsidR="005814A2" w:rsidRPr="005814A2">
              <w:rPr>
                <w:rFonts w:eastAsia="MS Mincho"/>
              </w:rPr>
              <w:t>drug or alcohol abuse or dependence</w:t>
            </w:r>
            <w:r w:rsidR="00824735">
              <w:rPr>
                <w:rFonts w:eastAsia="MS Mincho"/>
              </w:rPr>
              <w:t xml:space="preserve"> </w:t>
            </w:r>
            <w:r w:rsidR="005814A2" w:rsidRPr="005814A2">
              <w:rPr>
                <w:rFonts w:eastAsia="MS Mincho"/>
              </w:rPr>
              <w:t>within the past 12 months</w:t>
            </w:r>
            <w:r w:rsidR="009C0FE3">
              <w:rPr>
                <w:rFonts w:eastAsia="MS Mincho"/>
              </w:rPr>
              <w:t>,</w:t>
            </w:r>
            <w:r w:rsidR="005814A2" w:rsidRPr="005814A2">
              <w:rPr>
                <w:rFonts w:eastAsia="MS Mincho"/>
              </w:rPr>
              <w:t xml:space="preserve"> used a</w:t>
            </w:r>
            <w:r w:rsidR="00824735">
              <w:rPr>
                <w:rFonts w:eastAsia="MS Mincho"/>
              </w:rPr>
              <w:t xml:space="preserve"> </w:t>
            </w:r>
            <w:r w:rsidR="005814A2" w:rsidRPr="005814A2">
              <w:rPr>
                <w:rFonts w:eastAsia="MS Mincho"/>
              </w:rPr>
              <w:t>smoking cessation aid (i</w:t>
            </w:r>
            <w:r w:rsidR="00824735">
              <w:rPr>
                <w:rFonts w:eastAsia="MS Mincho"/>
              </w:rPr>
              <w:t>.</w:t>
            </w:r>
            <w:r w:rsidR="005814A2" w:rsidRPr="005814A2">
              <w:rPr>
                <w:rFonts w:eastAsia="MS Mincho"/>
              </w:rPr>
              <w:t>e</w:t>
            </w:r>
            <w:r w:rsidR="00824735">
              <w:rPr>
                <w:rFonts w:eastAsia="MS Mincho"/>
              </w:rPr>
              <w:t>.</w:t>
            </w:r>
            <w:r w:rsidR="005814A2" w:rsidRPr="005814A2">
              <w:rPr>
                <w:rFonts w:eastAsia="MS Mincho"/>
              </w:rPr>
              <w:t xml:space="preserve"> NRT, bupropion,</w:t>
            </w:r>
            <w:r w:rsidR="00824735">
              <w:rPr>
                <w:rFonts w:eastAsia="MS Mincho"/>
              </w:rPr>
              <w:t xml:space="preserve"> </w:t>
            </w:r>
            <w:r w:rsidR="005814A2" w:rsidRPr="005814A2">
              <w:rPr>
                <w:rFonts w:eastAsia="MS Mincho"/>
              </w:rPr>
              <w:t>clonidine, or nortriptyline) within</w:t>
            </w:r>
            <w:r w:rsidR="00824735">
              <w:rPr>
                <w:rFonts w:eastAsia="MS Mincho"/>
              </w:rPr>
              <w:t xml:space="preserve"> </w:t>
            </w:r>
            <w:r w:rsidR="005814A2" w:rsidRPr="005814A2">
              <w:rPr>
                <w:rFonts w:eastAsia="MS Mincho"/>
              </w:rPr>
              <w:t>the previous month</w:t>
            </w:r>
            <w:r w:rsidR="009C0FE3">
              <w:rPr>
                <w:rFonts w:eastAsia="MS Mincho"/>
              </w:rPr>
              <w:t>,</w:t>
            </w:r>
            <w:r w:rsidR="005814A2" w:rsidRPr="005814A2">
              <w:rPr>
                <w:rFonts w:eastAsia="MS Mincho"/>
              </w:rPr>
              <w:t xml:space="preserve"> used tobacco products</w:t>
            </w:r>
            <w:r w:rsidR="00824735">
              <w:rPr>
                <w:rFonts w:eastAsia="MS Mincho"/>
              </w:rPr>
              <w:t xml:space="preserve"> </w:t>
            </w:r>
            <w:r w:rsidR="005814A2" w:rsidRPr="005814A2">
              <w:rPr>
                <w:rFonts w:eastAsia="MS Mincho"/>
              </w:rPr>
              <w:t>other than cigarettes or marijuana</w:t>
            </w:r>
            <w:r w:rsidR="00824735">
              <w:rPr>
                <w:rFonts w:eastAsia="MS Mincho"/>
              </w:rPr>
              <w:t xml:space="preserve"> </w:t>
            </w:r>
            <w:r w:rsidR="005814A2" w:rsidRPr="005814A2">
              <w:rPr>
                <w:rFonts w:eastAsia="MS Mincho"/>
              </w:rPr>
              <w:t>within the past month and did not</w:t>
            </w:r>
            <w:r w:rsidR="00824735">
              <w:rPr>
                <w:rFonts w:eastAsia="MS Mincho"/>
              </w:rPr>
              <w:t xml:space="preserve"> </w:t>
            </w:r>
            <w:r w:rsidR="005814A2" w:rsidRPr="005814A2">
              <w:rPr>
                <w:rFonts w:eastAsia="MS Mincho"/>
              </w:rPr>
              <w:t>agree to abstain from use of these products</w:t>
            </w:r>
            <w:r w:rsidR="00824735">
              <w:rPr>
                <w:rFonts w:eastAsia="MS Mincho"/>
              </w:rPr>
              <w:t xml:space="preserve"> </w:t>
            </w:r>
            <w:r w:rsidR="005814A2" w:rsidRPr="005814A2">
              <w:rPr>
                <w:rFonts w:eastAsia="MS Mincho"/>
              </w:rPr>
              <w:t>during study participation</w:t>
            </w:r>
            <w:r w:rsidR="009C0FE3">
              <w:rPr>
                <w:rFonts w:eastAsia="MS Mincho"/>
              </w:rPr>
              <w:t>,</w:t>
            </w:r>
            <w:r w:rsidR="005814A2" w:rsidRPr="005814A2">
              <w:rPr>
                <w:rFonts w:eastAsia="MS Mincho"/>
              </w:rPr>
              <w:t xml:space="preserve"> a</w:t>
            </w:r>
            <w:r w:rsidR="00824735">
              <w:rPr>
                <w:rFonts w:eastAsia="MS Mincho"/>
              </w:rPr>
              <w:t xml:space="preserve"> </w:t>
            </w:r>
            <w:r w:rsidR="005814A2" w:rsidRPr="005814A2">
              <w:rPr>
                <w:rFonts w:eastAsia="MS Mincho"/>
              </w:rPr>
              <w:t xml:space="preserve">body mass index of </w:t>
            </w:r>
            <w:r w:rsidR="009C0FE3">
              <w:rPr>
                <w:rFonts w:eastAsia="MS Mincho"/>
              </w:rPr>
              <w:t>&lt;</w:t>
            </w:r>
            <w:r w:rsidR="005814A2" w:rsidRPr="005814A2">
              <w:rPr>
                <w:rFonts w:eastAsia="MS Mincho"/>
              </w:rPr>
              <w:t xml:space="preserve">15 or </w:t>
            </w:r>
            <w:r w:rsidR="009C0FE3">
              <w:rPr>
                <w:rFonts w:eastAsia="MS Mincho"/>
              </w:rPr>
              <w:t>&gt;</w:t>
            </w:r>
            <w:r w:rsidR="005814A2" w:rsidRPr="005814A2">
              <w:rPr>
                <w:rFonts w:eastAsia="MS Mincho"/>
              </w:rPr>
              <w:t>38</w:t>
            </w:r>
            <w:r w:rsidR="009C0FE3">
              <w:rPr>
                <w:rFonts w:eastAsia="MS Mincho"/>
              </w:rPr>
              <w:t>,</w:t>
            </w:r>
            <w:r w:rsidR="005814A2" w:rsidRPr="005814A2">
              <w:rPr>
                <w:rFonts w:eastAsia="MS Mincho"/>
              </w:rPr>
              <w:t xml:space="preserve"> used any of the following</w:t>
            </w:r>
            <w:r w:rsidR="00824735">
              <w:rPr>
                <w:rFonts w:eastAsia="MS Mincho"/>
              </w:rPr>
              <w:t xml:space="preserve"> </w:t>
            </w:r>
            <w:r w:rsidR="005814A2" w:rsidRPr="005814A2">
              <w:rPr>
                <w:rFonts w:eastAsia="MS Mincho"/>
              </w:rPr>
              <w:t>medications: NRT, antidepressants,</w:t>
            </w:r>
            <w:r w:rsidR="00824735">
              <w:rPr>
                <w:rFonts w:eastAsia="MS Mincho"/>
              </w:rPr>
              <w:t xml:space="preserve"> </w:t>
            </w:r>
            <w:r w:rsidR="005814A2" w:rsidRPr="005814A2">
              <w:rPr>
                <w:rFonts w:eastAsia="MS Mincho"/>
              </w:rPr>
              <w:t>antipsychotics, mood stabilizers/anticonvulsants, naltrexone, steroids,</w:t>
            </w:r>
            <w:r w:rsidR="00824735">
              <w:rPr>
                <w:rFonts w:eastAsia="MS Mincho"/>
              </w:rPr>
              <w:t xml:space="preserve"> </w:t>
            </w:r>
            <w:r w:rsidR="005814A2" w:rsidRPr="005814A2">
              <w:rPr>
                <w:rFonts w:eastAsia="MS Mincho"/>
              </w:rPr>
              <w:t>or insulin</w:t>
            </w:r>
            <w:r w:rsidR="009C0FE3">
              <w:rPr>
                <w:rFonts w:eastAsia="MS Mincho"/>
              </w:rPr>
              <w:t>,</w:t>
            </w:r>
            <w:r w:rsidR="00824735">
              <w:rPr>
                <w:rFonts w:eastAsia="MS Mincho"/>
              </w:rPr>
              <w:t xml:space="preserve"> pregnancy.</w:t>
            </w:r>
          </w:p>
        </w:tc>
        <w:tc>
          <w:tcPr>
            <w:tcW w:w="827" w:type="pct"/>
            <w:shd w:val="clear" w:color="auto" w:fill="D9D9D9" w:themeFill="background1" w:themeFillShade="D9"/>
          </w:tcPr>
          <w:p w:rsidR="000970B9" w:rsidRDefault="000970B9" w:rsidP="00576F26">
            <w:pPr>
              <w:pStyle w:val="Tablewriting"/>
              <w:rPr>
                <w:rFonts w:eastAsia="MS Mincho"/>
              </w:rPr>
            </w:pPr>
            <w:r>
              <w:rPr>
                <w:rFonts w:eastAsia="MS Mincho"/>
              </w:rPr>
              <w:t>Varenicline</w:t>
            </w:r>
            <w:r w:rsidRPr="00A34E7B">
              <w:rPr>
                <w:rFonts w:eastAsia="MS Mincho"/>
              </w:rPr>
              <w:t xml:space="preserve">: </w:t>
            </w:r>
            <w:r w:rsidRPr="00985785">
              <w:rPr>
                <w:rFonts w:eastAsia="MS Mincho"/>
              </w:rPr>
              <w:t>1</w:t>
            </w:r>
            <w:r w:rsidR="0047142A">
              <w:rPr>
                <w:rFonts w:eastAsia="MS Mincho"/>
              </w:rPr>
              <w:t xml:space="preserve"> </w:t>
            </w:r>
            <w:r w:rsidRPr="00985785">
              <w:rPr>
                <w:rFonts w:eastAsia="MS Mincho"/>
              </w:rPr>
              <w:t>mg twice per</w:t>
            </w:r>
            <w:r>
              <w:rPr>
                <w:rFonts w:eastAsia="MS Mincho"/>
              </w:rPr>
              <w:t xml:space="preserve"> </w:t>
            </w:r>
            <w:r w:rsidRPr="00985785">
              <w:rPr>
                <w:rFonts w:eastAsia="MS Mincho"/>
              </w:rPr>
              <w:t xml:space="preserve">day </w:t>
            </w:r>
            <w:r w:rsidR="00824735">
              <w:rPr>
                <w:rFonts w:eastAsia="MS Mincho"/>
              </w:rPr>
              <w:t xml:space="preserve">for </w:t>
            </w:r>
            <w:r w:rsidRPr="00985785">
              <w:rPr>
                <w:rFonts w:eastAsia="MS Mincho"/>
              </w:rPr>
              <w:t>12</w:t>
            </w:r>
            <w:r w:rsidR="00824735">
              <w:rPr>
                <w:rFonts w:eastAsia="MS Mincho"/>
              </w:rPr>
              <w:t xml:space="preserve"> weeks</w:t>
            </w:r>
            <w:r w:rsidR="002C5CB8">
              <w:rPr>
                <w:rFonts w:eastAsia="MS Mincho"/>
              </w:rPr>
              <w:t>;</w:t>
            </w:r>
          </w:p>
          <w:p w:rsidR="000970B9" w:rsidRDefault="000970B9" w:rsidP="00576F26">
            <w:pPr>
              <w:pStyle w:val="Tablewriting"/>
              <w:rPr>
                <w:rFonts w:eastAsia="MS Mincho"/>
              </w:rPr>
            </w:pPr>
            <w:r>
              <w:rPr>
                <w:rFonts w:eastAsia="MS Mincho"/>
              </w:rPr>
              <w:t>Placebo: placebo tablet for 12 weeks, same regimen</w:t>
            </w:r>
            <w:r w:rsidR="00AB5FA3">
              <w:rPr>
                <w:rFonts w:eastAsia="MS Mincho"/>
              </w:rPr>
              <w:t>.</w:t>
            </w:r>
          </w:p>
          <w:p w:rsidR="00267C15" w:rsidRDefault="00267C15" w:rsidP="00576F26">
            <w:pPr>
              <w:pStyle w:val="Tablewriting"/>
              <w:rPr>
                <w:rFonts w:eastAsia="MS Mincho"/>
              </w:rPr>
            </w:pPr>
          </w:p>
          <w:p w:rsidR="00267C15" w:rsidRDefault="00267C15" w:rsidP="00576F26">
            <w:pPr>
              <w:pStyle w:val="Tablewriting"/>
              <w:rPr>
                <w:rFonts w:eastAsia="MS Mincho"/>
              </w:rPr>
            </w:pPr>
            <w:r w:rsidRPr="00267C15">
              <w:rPr>
                <w:rFonts w:eastAsia="MS Mincho"/>
              </w:rPr>
              <w:t>Behavioural support provided in both arms.</w:t>
            </w:r>
          </w:p>
          <w:p w:rsidR="00824735" w:rsidRDefault="00824735" w:rsidP="00576F26">
            <w:pPr>
              <w:pStyle w:val="Tablewriting"/>
              <w:rPr>
                <w:rFonts w:eastAsia="MS Mincho"/>
              </w:rPr>
            </w:pPr>
          </w:p>
          <w:p w:rsidR="00824735" w:rsidRPr="00061F78" w:rsidRDefault="00824735" w:rsidP="00576F26">
            <w:pPr>
              <w:pStyle w:val="Tablewriting"/>
              <w:rPr>
                <w:rFonts w:eastAsia="MS Mincho"/>
              </w:rPr>
            </w:pPr>
            <w:r>
              <w:rPr>
                <w:rFonts w:eastAsia="MS Mincho"/>
              </w:rPr>
              <w:t>Prior to randomisation, all participants had 12 weeks of open-label treatment with varenicline. Only participants who had successfully abstained from smoking and use of tobacco and NRT for at least the last 7 days of the treatment period were eligible.</w:t>
            </w:r>
          </w:p>
        </w:tc>
        <w:tc>
          <w:tcPr>
            <w:tcW w:w="1213" w:type="pct"/>
            <w:shd w:val="clear" w:color="auto" w:fill="D9D9D9" w:themeFill="background1" w:themeFillShade="D9"/>
            <w:tcMar>
              <w:left w:w="28" w:type="dxa"/>
              <w:right w:w="28" w:type="dxa"/>
            </w:tcMar>
          </w:tcPr>
          <w:p w:rsidR="000970B9" w:rsidRDefault="000970B9" w:rsidP="00576F26">
            <w:pPr>
              <w:pStyle w:val="Tablewriting"/>
              <w:rPr>
                <w:rFonts w:eastAsia="MS Mincho"/>
              </w:rPr>
            </w:pPr>
            <w:r w:rsidRPr="008C39E4">
              <w:rPr>
                <w:rFonts w:eastAsia="MS Mincho"/>
                <w:u w:val="single"/>
              </w:rPr>
              <w:t>Primary</w:t>
            </w:r>
            <w:r>
              <w:rPr>
                <w:rFonts w:eastAsia="MS Mincho"/>
              </w:rPr>
              <w:t xml:space="preserve">: </w:t>
            </w:r>
            <w:r w:rsidR="009C0FE3">
              <w:rPr>
                <w:rFonts w:eastAsia="MS Mincho"/>
              </w:rPr>
              <w:t>CAR</w:t>
            </w:r>
            <w:r>
              <w:rPr>
                <w:rFonts w:eastAsia="MS Mincho"/>
              </w:rPr>
              <w:t xml:space="preserve"> at Week </w:t>
            </w:r>
            <w:r w:rsidR="00824735">
              <w:rPr>
                <w:rFonts w:eastAsia="MS Mincho"/>
              </w:rPr>
              <w:t>13-24</w:t>
            </w:r>
            <w:r>
              <w:rPr>
                <w:rFonts w:eastAsia="MS Mincho"/>
              </w:rPr>
              <w:t>. Validated by CO</w:t>
            </w:r>
            <w:r w:rsidR="008B0FD1">
              <w:rPr>
                <w:rFonts w:eastAsia="MS Mincho"/>
              </w:rPr>
              <w:t xml:space="preserve"> </w:t>
            </w:r>
            <w:r>
              <w:rPr>
                <w:rFonts w:eastAsia="MS Mincho" w:cstheme="minorHAnsi"/>
              </w:rPr>
              <w:t>≤</w:t>
            </w:r>
            <w:r>
              <w:rPr>
                <w:rFonts w:eastAsia="MS Mincho"/>
              </w:rPr>
              <w:t>10</w:t>
            </w:r>
            <w:r w:rsidR="0047142A">
              <w:rPr>
                <w:rFonts w:eastAsia="MS Mincho"/>
              </w:rPr>
              <w:t xml:space="preserve"> </w:t>
            </w:r>
            <w:r>
              <w:rPr>
                <w:rFonts w:eastAsia="MS Mincho"/>
              </w:rPr>
              <w:t>ppm.</w:t>
            </w:r>
          </w:p>
          <w:p w:rsidR="000970B9" w:rsidRDefault="000970B9" w:rsidP="00576F26">
            <w:pPr>
              <w:pStyle w:val="Tablewriting"/>
              <w:rPr>
                <w:rFonts w:eastAsia="MS Mincho"/>
              </w:rPr>
            </w:pPr>
            <w:r w:rsidRPr="008C39E4">
              <w:rPr>
                <w:rFonts w:eastAsia="MS Mincho"/>
                <w:u w:val="single"/>
              </w:rPr>
              <w:t>Secondary</w:t>
            </w:r>
            <w:r>
              <w:rPr>
                <w:rFonts w:eastAsia="MS Mincho"/>
              </w:rPr>
              <w:t xml:space="preserve">: </w:t>
            </w:r>
            <w:r w:rsidRPr="005B56AA">
              <w:rPr>
                <w:rFonts w:eastAsia="MS Mincho"/>
              </w:rPr>
              <w:t>CAR at</w:t>
            </w:r>
            <w:r>
              <w:rPr>
                <w:rFonts w:eastAsia="MS Mincho"/>
              </w:rPr>
              <w:t xml:space="preserve"> Week</w:t>
            </w:r>
            <w:r w:rsidRPr="005B56AA">
              <w:rPr>
                <w:rFonts w:eastAsia="MS Mincho"/>
              </w:rPr>
              <w:t xml:space="preserve"> </w:t>
            </w:r>
            <w:r w:rsidR="00824735">
              <w:rPr>
                <w:rFonts w:eastAsia="MS Mincho"/>
              </w:rPr>
              <w:t>13-52</w:t>
            </w:r>
            <w:r w:rsidRPr="005B56AA">
              <w:rPr>
                <w:rFonts w:eastAsia="MS Mincho"/>
              </w:rPr>
              <w:t xml:space="preserve">; 7-day PPA at </w:t>
            </w:r>
            <w:r>
              <w:rPr>
                <w:rFonts w:eastAsia="MS Mincho"/>
              </w:rPr>
              <w:t>Week</w:t>
            </w:r>
            <w:r w:rsidR="00824735">
              <w:rPr>
                <w:rFonts w:eastAsia="MS Mincho"/>
              </w:rPr>
              <w:t xml:space="preserve"> </w:t>
            </w:r>
            <w:r w:rsidRPr="005B56AA">
              <w:rPr>
                <w:rFonts w:eastAsia="MS Mincho"/>
              </w:rPr>
              <w:t>24 and 52</w:t>
            </w:r>
            <w:r w:rsidR="00A4752C">
              <w:rPr>
                <w:rFonts w:eastAsia="MS Mincho"/>
              </w:rPr>
              <w:t xml:space="preserve">. </w:t>
            </w:r>
            <w:r w:rsidR="00AF43A1">
              <w:rPr>
                <w:rFonts w:eastAsia="MS Mincho"/>
              </w:rPr>
              <w:t xml:space="preserve">Validated by CO </w:t>
            </w:r>
            <w:r w:rsidR="00AF43A1">
              <w:rPr>
                <w:rFonts w:eastAsia="MS Mincho" w:cstheme="minorHAnsi"/>
              </w:rPr>
              <w:t>≤</w:t>
            </w:r>
            <w:r w:rsidR="00AF43A1">
              <w:rPr>
                <w:rFonts w:eastAsia="MS Mincho"/>
              </w:rPr>
              <w:t>10</w:t>
            </w:r>
            <w:r w:rsidR="0047142A">
              <w:rPr>
                <w:rFonts w:eastAsia="MS Mincho"/>
              </w:rPr>
              <w:t xml:space="preserve"> </w:t>
            </w:r>
            <w:r w:rsidR="00AF43A1">
              <w:rPr>
                <w:rFonts w:eastAsia="MS Mincho"/>
              </w:rPr>
              <w:t>ppm.</w:t>
            </w:r>
          </w:p>
          <w:p w:rsidR="000970B9" w:rsidRPr="00061F78" w:rsidRDefault="000970B9" w:rsidP="00576F26">
            <w:pPr>
              <w:pStyle w:val="Tablewriting"/>
              <w:rPr>
                <w:rFonts w:eastAsia="MS Mincho"/>
              </w:rPr>
            </w:pPr>
            <w:r w:rsidRPr="0055171C">
              <w:rPr>
                <w:rFonts w:eastAsia="MS Mincho"/>
                <w:u w:val="single"/>
              </w:rPr>
              <w:t>Other</w:t>
            </w:r>
            <w:r>
              <w:rPr>
                <w:rFonts w:eastAsia="MS Mincho"/>
              </w:rPr>
              <w:t xml:space="preserve">: </w:t>
            </w:r>
            <w:r w:rsidR="00824735">
              <w:rPr>
                <w:rFonts w:eastAsia="MS Mincho"/>
              </w:rPr>
              <w:t>time to first lapse</w:t>
            </w:r>
            <w:r w:rsidRPr="00EC37F8">
              <w:rPr>
                <w:rFonts w:eastAsia="MS Mincho"/>
              </w:rPr>
              <w:t>, withdrawal symptoms (using MNWS), adverse</w:t>
            </w:r>
            <w:r>
              <w:rPr>
                <w:rFonts w:eastAsia="MS Mincho"/>
              </w:rPr>
              <w:t xml:space="preserve"> </w:t>
            </w:r>
            <w:r w:rsidRPr="00EC37F8">
              <w:rPr>
                <w:rFonts w:eastAsia="MS Mincho"/>
              </w:rPr>
              <w:t>events</w:t>
            </w:r>
            <w:r w:rsidR="00AB5FA3">
              <w:rPr>
                <w:rFonts w:eastAsia="MS Mincho"/>
              </w:rPr>
              <w:t>.</w:t>
            </w:r>
          </w:p>
        </w:tc>
      </w:tr>
      <w:tr w:rsidR="00260CD7" w:rsidRPr="00061F78" w:rsidTr="00C3237A">
        <w:trPr>
          <w:trHeight w:val="149"/>
        </w:trPr>
        <w:tc>
          <w:tcPr>
            <w:tcW w:w="371" w:type="pct"/>
            <w:tcMar>
              <w:left w:w="28" w:type="dxa"/>
              <w:right w:w="28" w:type="dxa"/>
            </w:tcMar>
          </w:tcPr>
          <w:p w:rsidR="000970B9" w:rsidRPr="004F1864" w:rsidRDefault="000970B9" w:rsidP="00576F26">
            <w:pPr>
              <w:pStyle w:val="Tablewriting"/>
              <w:rPr>
                <w:rFonts w:eastAsia="MS Mincho"/>
              </w:rPr>
            </w:pPr>
            <w:r>
              <w:rPr>
                <w:rFonts w:eastAsia="MS Mincho"/>
              </w:rPr>
              <w:t>Livingstone-Banks (2019)</w:t>
            </w:r>
            <w:r w:rsidR="00322560" w:rsidRPr="004F1864">
              <w:rPr>
                <w:rFonts w:eastAsia="MS Mincho"/>
              </w:rPr>
              <w:t xml:space="preserve"> </w:t>
            </w:r>
          </w:p>
        </w:tc>
        <w:tc>
          <w:tcPr>
            <w:tcW w:w="386" w:type="pct"/>
          </w:tcPr>
          <w:p w:rsidR="000970B9" w:rsidRDefault="000970B9" w:rsidP="00576F26">
            <w:pPr>
              <w:pStyle w:val="Tablewriting"/>
              <w:rPr>
                <w:rFonts w:eastAsia="MS Mincho"/>
              </w:rPr>
            </w:pPr>
            <w:r>
              <w:rPr>
                <w:rFonts w:eastAsia="MS Mincho"/>
              </w:rPr>
              <w:t xml:space="preserve">Cochrane </w:t>
            </w:r>
            <w:r w:rsidR="0006534B">
              <w:rPr>
                <w:rFonts w:eastAsia="MS Mincho"/>
              </w:rPr>
              <w:t>R</w:t>
            </w:r>
            <w:r>
              <w:rPr>
                <w:rFonts w:eastAsia="MS Mincho"/>
              </w:rPr>
              <w:t>eview    (2 RCTs</w:t>
            </w:r>
            <w:r w:rsidR="00B621E0">
              <w:rPr>
                <w:rFonts w:eastAsia="MS Mincho"/>
                <w:vertAlign w:val="superscript"/>
              </w:rPr>
              <w:t>2</w:t>
            </w:r>
            <w:r>
              <w:rPr>
                <w:rFonts w:eastAsia="MS Mincho"/>
              </w:rPr>
              <w:t>)</w:t>
            </w:r>
          </w:p>
          <w:p w:rsidR="000970B9" w:rsidRDefault="000970B9" w:rsidP="00576F26">
            <w:pPr>
              <w:pStyle w:val="Tablewriting"/>
              <w:rPr>
                <w:rFonts w:eastAsia="MS Mincho"/>
              </w:rPr>
            </w:pPr>
          </w:p>
        </w:tc>
        <w:tc>
          <w:tcPr>
            <w:tcW w:w="345" w:type="pct"/>
            <w:tcMar>
              <w:left w:w="28" w:type="dxa"/>
              <w:right w:w="28" w:type="dxa"/>
            </w:tcMar>
          </w:tcPr>
          <w:p w:rsidR="000970B9" w:rsidRDefault="000970B9" w:rsidP="00576F26">
            <w:pPr>
              <w:pStyle w:val="Tablewriting"/>
              <w:rPr>
                <w:rFonts w:eastAsia="MS Mincho"/>
              </w:rPr>
            </w:pPr>
            <w:r>
              <w:rPr>
                <w:rFonts w:eastAsia="MS Mincho"/>
              </w:rPr>
              <w:t>N=1,297</w:t>
            </w:r>
          </w:p>
          <w:p w:rsidR="000970B9" w:rsidRDefault="000970B9" w:rsidP="00576F26">
            <w:pPr>
              <w:pStyle w:val="Tablewriting"/>
              <w:rPr>
                <w:rFonts w:eastAsia="MS Mincho"/>
              </w:rPr>
            </w:pPr>
            <w:r>
              <w:rPr>
                <w:rFonts w:eastAsia="MS Mincho"/>
              </w:rPr>
              <w:t>Varenicline (n=6</w:t>
            </w:r>
            <w:r w:rsidR="00B40A4F">
              <w:rPr>
                <w:rFonts w:eastAsia="MS Mincho"/>
              </w:rPr>
              <w:t>43</w:t>
            </w:r>
            <w:r>
              <w:rPr>
                <w:rFonts w:eastAsia="MS Mincho"/>
              </w:rPr>
              <w:t>),</w:t>
            </w:r>
          </w:p>
          <w:p w:rsidR="000970B9" w:rsidRPr="00061F78" w:rsidRDefault="000970B9" w:rsidP="00576F26">
            <w:pPr>
              <w:pStyle w:val="Tablewriting"/>
              <w:rPr>
                <w:rFonts w:eastAsia="MS Mincho"/>
              </w:rPr>
            </w:pPr>
            <w:r>
              <w:rPr>
                <w:rFonts w:eastAsia="MS Mincho"/>
              </w:rPr>
              <w:t>Placebo (n=</w:t>
            </w:r>
            <w:r w:rsidR="00B40A4F">
              <w:rPr>
                <w:rFonts w:eastAsia="MS Mincho"/>
              </w:rPr>
              <w:t>654</w:t>
            </w:r>
            <w:r>
              <w:rPr>
                <w:rFonts w:eastAsia="MS Mincho"/>
              </w:rPr>
              <w:t>)</w:t>
            </w:r>
          </w:p>
        </w:tc>
        <w:tc>
          <w:tcPr>
            <w:tcW w:w="1858" w:type="pct"/>
            <w:tcMar>
              <w:left w:w="28" w:type="dxa"/>
              <w:right w:w="28" w:type="dxa"/>
            </w:tcMar>
          </w:tcPr>
          <w:p w:rsidR="000970B9" w:rsidRDefault="000970B9" w:rsidP="00576F26">
            <w:pPr>
              <w:pStyle w:val="Tablewriting"/>
              <w:rPr>
                <w:rFonts w:eastAsia="MS Mincho"/>
              </w:rPr>
            </w:pPr>
            <w:r w:rsidRPr="002C19B4">
              <w:rPr>
                <w:rFonts w:eastAsia="MS Mincho"/>
                <w:u w:val="single"/>
              </w:rPr>
              <w:t>Inclusion</w:t>
            </w:r>
            <w:r>
              <w:rPr>
                <w:rFonts w:eastAsia="MS Mincho"/>
              </w:rPr>
              <w:t xml:space="preserve">: </w:t>
            </w:r>
            <w:r w:rsidR="0015031A" w:rsidRPr="0015031A">
              <w:rPr>
                <w:rFonts w:eastAsia="MS Mincho"/>
              </w:rPr>
              <w:t>smokers who quit on their own, were undergoing enforced abstinence, or were participating in treatment programmes</w:t>
            </w:r>
            <w:r w:rsidR="001E685B">
              <w:rPr>
                <w:rFonts w:eastAsia="MS Mincho"/>
              </w:rPr>
              <w:t xml:space="preserve"> to assist initial cessation</w:t>
            </w:r>
            <w:r w:rsidR="006A3243">
              <w:rPr>
                <w:rFonts w:eastAsia="MS Mincho"/>
              </w:rPr>
              <w:t>.</w:t>
            </w:r>
          </w:p>
          <w:p w:rsidR="000970B9" w:rsidRPr="00061F78" w:rsidRDefault="000970B9" w:rsidP="00576F26">
            <w:pPr>
              <w:pStyle w:val="Tablewriting"/>
              <w:rPr>
                <w:rFonts w:eastAsia="MS Mincho"/>
              </w:rPr>
            </w:pPr>
            <w:r w:rsidRPr="002C19B4">
              <w:rPr>
                <w:rFonts w:eastAsia="MS Mincho"/>
                <w:u w:val="single"/>
              </w:rPr>
              <w:t>Exclusion</w:t>
            </w:r>
            <w:r>
              <w:rPr>
                <w:rFonts w:eastAsia="MS Mincho"/>
              </w:rPr>
              <w:t xml:space="preserve">: </w:t>
            </w:r>
            <w:r w:rsidR="001E685B">
              <w:rPr>
                <w:rFonts w:eastAsia="MS Mincho"/>
              </w:rPr>
              <w:t>NR</w:t>
            </w:r>
            <w:r w:rsidR="00AB5FA3">
              <w:rPr>
                <w:rFonts w:eastAsia="MS Mincho"/>
              </w:rPr>
              <w:t>.</w:t>
            </w:r>
          </w:p>
        </w:tc>
        <w:tc>
          <w:tcPr>
            <w:tcW w:w="827" w:type="pct"/>
          </w:tcPr>
          <w:p w:rsidR="000970B9" w:rsidRPr="00061F78" w:rsidRDefault="000970B9" w:rsidP="00576F26">
            <w:pPr>
              <w:pStyle w:val="Tablewriting"/>
              <w:rPr>
                <w:rFonts w:eastAsia="MS Mincho"/>
              </w:rPr>
            </w:pPr>
            <w:r>
              <w:rPr>
                <w:rFonts w:eastAsia="MS Mincho"/>
              </w:rPr>
              <w:t>Varenicline: 1</w:t>
            </w:r>
            <w:r w:rsidR="0047142A">
              <w:rPr>
                <w:rFonts w:eastAsia="MS Mincho"/>
              </w:rPr>
              <w:t xml:space="preserve"> </w:t>
            </w:r>
            <w:r>
              <w:rPr>
                <w:rFonts w:eastAsia="MS Mincho"/>
              </w:rPr>
              <w:t>mg twice daily</w:t>
            </w:r>
            <w:r w:rsidR="002C5CB8">
              <w:rPr>
                <w:rFonts w:eastAsia="MS Mincho"/>
              </w:rPr>
              <w:t xml:space="preserve">; </w:t>
            </w:r>
            <w:r>
              <w:rPr>
                <w:rFonts w:eastAsia="MS Mincho"/>
              </w:rPr>
              <w:t>Placebo: placebo tablets, same regimen</w:t>
            </w:r>
            <w:r w:rsidR="00AB5FA3">
              <w:rPr>
                <w:rFonts w:eastAsia="MS Mincho"/>
              </w:rPr>
              <w:t>.</w:t>
            </w:r>
          </w:p>
        </w:tc>
        <w:tc>
          <w:tcPr>
            <w:tcW w:w="1213" w:type="pct"/>
            <w:tcMar>
              <w:left w:w="28" w:type="dxa"/>
              <w:right w:w="28" w:type="dxa"/>
            </w:tcMar>
          </w:tcPr>
          <w:p w:rsidR="000970B9" w:rsidRDefault="000970B9" w:rsidP="00576F26">
            <w:pPr>
              <w:pStyle w:val="Tablewriting"/>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AB5FA3">
              <w:rPr>
                <w:rFonts w:eastAsia="MS Mincho"/>
              </w:rPr>
              <w:t>.</w:t>
            </w:r>
          </w:p>
          <w:p w:rsidR="000970B9" w:rsidRPr="00061F78" w:rsidRDefault="000970B9" w:rsidP="00576F26">
            <w:pPr>
              <w:pStyle w:val="Tablewriting"/>
              <w:rPr>
                <w:rFonts w:eastAsia="MS Mincho"/>
              </w:rPr>
            </w:pPr>
          </w:p>
        </w:tc>
      </w:tr>
      <w:tr w:rsidR="001A0C32" w:rsidRPr="00061F78" w:rsidTr="00C3237A">
        <w:trPr>
          <w:trHeight w:val="149"/>
        </w:trPr>
        <w:tc>
          <w:tcPr>
            <w:tcW w:w="371" w:type="pct"/>
            <w:tcMar>
              <w:left w:w="28" w:type="dxa"/>
              <w:right w:w="28" w:type="dxa"/>
            </w:tcMar>
          </w:tcPr>
          <w:p w:rsidR="001A0C32" w:rsidRDefault="001A0C32" w:rsidP="00576F26">
            <w:pPr>
              <w:pStyle w:val="Tablewriting"/>
              <w:rPr>
                <w:rFonts w:eastAsia="MS Mincho"/>
              </w:rPr>
            </w:pPr>
            <w:r>
              <w:rPr>
                <w:rFonts w:eastAsia="MS Mincho"/>
              </w:rPr>
              <w:t>Schnoll (2019)</w:t>
            </w:r>
          </w:p>
        </w:tc>
        <w:tc>
          <w:tcPr>
            <w:tcW w:w="386" w:type="pct"/>
          </w:tcPr>
          <w:p w:rsidR="001A0C32" w:rsidRPr="005E64E8" w:rsidRDefault="001A0C32" w:rsidP="00576F26">
            <w:pPr>
              <w:pStyle w:val="Tablewriting"/>
              <w:rPr>
                <w:rFonts w:eastAsia="MS Mincho"/>
                <w:vertAlign w:val="superscript"/>
              </w:rPr>
            </w:pPr>
            <w:r>
              <w:rPr>
                <w:rFonts w:eastAsia="MS Mincho"/>
              </w:rPr>
              <w:t>RCT</w:t>
            </w:r>
            <w:r w:rsidR="000C0FCC">
              <w:rPr>
                <w:rFonts w:eastAsia="MS Mincho"/>
                <w:vertAlign w:val="superscript"/>
              </w:rPr>
              <w:t>3</w:t>
            </w:r>
          </w:p>
        </w:tc>
        <w:tc>
          <w:tcPr>
            <w:tcW w:w="345" w:type="pct"/>
            <w:tcMar>
              <w:left w:w="28" w:type="dxa"/>
              <w:right w:w="28" w:type="dxa"/>
            </w:tcMar>
          </w:tcPr>
          <w:p w:rsidR="001A0C32" w:rsidRDefault="001A0C32" w:rsidP="00576F26">
            <w:pPr>
              <w:pStyle w:val="Tablewriting"/>
              <w:rPr>
                <w:rFonts w:eastAsia="MS Mincho"/>
              </w:rPr>
            </w:pPr>
            <w:r>
              <w:rPr>
                <w:rFonts w:eastAsia="MS Mincho"/>
              </w:rPr>
              <w:t>N=207</w:t>
            </w:r>
          </w:p>
          <w:p w:rsidR="001A0C32" w:rsidRDefault="001A0C32" w:rsidP="00576F26">
            <w:pPr>
              <w:pStyle w:val="Tablewriting"/>
              <w:rPr>
                <w:rFonts w:eastAsia="MS Mincho"/>
              </w:rPr>
            </w:pPr>
            <w:r>
              <w:rPr>
                <w:rFonts w:eastAsia="MS Mincho"/>
              </w:rPr>
              <w:t>Varenicline</w:t>
            </w:r>
            <w:r w:rsidR="009C5856">
              <w:rPr>
                <w:rFonts w:eastAsia="MS Mincho"/>
              </w:rPr>
              <w:t xml:space="preserve"> </w:t>
            </w:r>
            <w:r>
              <w:rPr>
                <w:rFonts w:eastAsia="MS Mincho"/>
              </w:rPr>
              <w:t xml:space="preserve"> (n=</w:t>
            </w:r>
            <w:r w:rsidR="009C5856">
              <w:rPr>
                <w:rFonts w:eastAsia="MS Mincho"/>
              </w:rPr>
              <w:t>105</w:t>
            </w:r>
            <w:r>
              <w:rPr>
                <w:rFonts w:eastAsia="MS Mincho"/>
              </w:rPr>
              <w:t>), Placebo (n=</w:t>
            </w:r>
            <w:r w:rsidR="009C5856">
              <w:rPr>
                <w:rFonts w:eastAsia="MS Mincho"/>
              </w:rPr>
              <w:t>102</w:t>
            </w:r>
            <w:r>
              <w:rPr>
                <w:rFonts w:eastAsia="MS Mincho"/>
              </w:rPr>
              <w:t>)</w:t>
            </w:r>
          </w:p>
        </w:tc>
        <w:tc>
          <w:tcPr>
            <w:tcW w:w="1858" w:type="pct"/>
            <w:tcMar>
              <w:left w:w="28" w:type="dxa"/>
              <w:right w:w="28" w:type="dxa"/>
            </w:tcMar>
          </w:tcPr>
          <w:p w:rsidR="001A0C32" w:rsidRDefault="001A0C32" w:rsidP="00576F26">
            <w:pPr>
              <w:pStyle w:val="Tablewriting"/>
              <w:rPr>
                <w:rFonts w:eastAsia="MS Mincho"/>
              </w:rPr>
            </w:pPr>
            <w:r w:rsidRPr="007F28D7">
              <w:rPr>
                <w:rFonts w:eastAsia="MS Mincho"/>
                <w:u w:val="single"/>
              </w:rPr>
              <w:t>Inclusion</w:t>
            </w:r>
            <w:r>
              <w:rPr>
                <w:rFonts w:eastAsia="MS Mincho"/>
              </w:rPr>
              <w:t xml:space="preserve">: </w:t>
            </w:r>
            <w:r w:rsidR="00D46C90" w:rsidRPr="00D46C90">
              <w:rPr>
                <w:rFonts w:eastAsia="MS Mincho"/>
              </w:rPr>
              <w:t>≥18 years o</w:t>
            </w:r>
            <w:r w:rsidR="00D46C90">
              <w:rPr>
                <w:rFonts w:eastAsia="MS Mincho"/>
              </w:rPr>
              <w:t>ld</w:t>
            </w:r>
            <w:r w:rsidR="00D46C90" w:rsidRPr="00D46C90">
              <w:rPr>
                <w:rFonts w:eastAsia="MS Mincho"/>
              </w:rPr>
              <w:t>, diagnosis of cancer or a recurrence within the past 5 years, ≥5 cigarettes per week, self-report an interest in quitting smoking</w:t>
            </w:r>
            <w:r w:rsidR="00AB5FA3">
              <w:rPr>
                <w:rFonts w:eastAsia="MS Mincho"/>
              </w:rPr>
              <w:t>.</w:t>
            </w:r>
          </w:p>
          <w:p w:rsidR="001A0C32" w:rsidRPr="002C19B4" w:rsidRDefault="001A0C32" w:rsidP="00576F26">
            <w:pPr>
              <w:pStyle w:val="Tablewriting"/>
              <w:rPr>
                <w:rFonts w:eastAsia="MS Mincho"/>
                <w:u w:val="single"/>
              </w:rPr>
            </w:pPr>
            <w:r w:rsidRPr="007F28D7">
              <w:rPr>
                <w:rFonts w:eastAsia="MS Mincho"/>
                <w:u w:val="single"/>
              </w:rPr>
              <w:t>Exclusion</w:t>
            </w:r>
            <w:r>
              <w:rPr>
                <w:rFonts w:eastAsia="MS Mincho"/>
              </w:rPr>
              <w:t xml:space="preserve">: </w:t>
            </w:r>
            <w:r w:rsidR="009F2BAC" w:rsidRPr="009F2BAC">
              <w:rPr>
                <w:rFonts w:eastAsia="MS Mincho"/>
              </w:rPr>
              <w:t>daily use of nicotine products other than cigarettes, and unstable substance abuse/dependence in the last year</w:t>
            </w:r>
            <w:r w:rsidR="00AB5FA3">
              <w:rPr>
                <w:rFonts w:eastAsia="MS Mincho"/>
              </w:rPr>
              <w:t>.</w:t>
            </w:r>
          </w:p>
        </w:tc>
        <w:tc>
          <w:tcPr>
            <w:tcW w:w="827" w:type="pct"/>
          </w:tcPr>
          <w:p w:rsidR="001A0C32" w:rsidRDefault="001A0C32" w:rsidP="00576F26">
            <w:pPr>
              <w:pStyle w:val="Tablewriting"/>
              <w:rPr>
                <w:rFonts w:eastAsia="MS Mincho"/>
              </w:rPr>
            </w:pPr>
            <w:r>
              <w:rPr>
                <w:rFonts w:eastAsia="MS Mincho"/>
              </w:rPr>
              <w:t>Varenicline</w:t>
            </w:r>
            <w:r w:rsidRPr="00A34E7B">
              <w:rPr>
                <w:rFonts w:eastAsia="MS Mincho"/>
              </w:rPr>
              <w:t xml:space="preserve">: </w:t>
            </w:r>
            <w:r w:rsidR="009F2BAC" w:rsidRPr="00372F18">
              <w:rPr>
                <w:rFonts w:eastAsia="MS Mincho"/>
              </w:rPr>
              <w:t>1</w:t>
            </w:r>
            <w:r w:rsidR="009F2BAC">
              <w:rPr>
                <w:rFonts w:eastAsia="MS Mincho"/>
              </w:rPr>
              <w:t xml:space="preserve"> </w:t>
            </w:r>
            <w:r w:rsidR="009F2BAC" w:rsidRPr="00372F18">
              <w:rPr>
                <w:rFonts w:eastAsia="MS Mincho"/>
              </w:rPr>
              <w:t>mg twice daily titrated</w:t>
            </w:r>
            <w:r w:rsidR="009F2BAC">
              <w:rPr>
                <w:rFonts w:eastAsia="MS Mincho"/>
              </w:rPr>
              <w:t xml:space="preserve"> over 12 weeks</w:t>
            </w:r>
            <w:r w:rsidR="009F2BAC" w:rsidRPr="00372F18">
              <w:rPr>
                <w:rFonts w:eastAsia="MS Mincho"/>
              </w:rPr>
              <w:t xml:space="preserve"> (i</w:t>
            </w:r>
            <w:r w:rsidR="009F2BAC">
              <w:rPr>
                <w:rFonts w:eastAsia="MS Mincho"/>
              </w:rPr>
              <w:t>.</w:t>
            </w:r>
            <w:r w:rsidR="009F2BAC" w:rsidRPr="00372F18">
              <w:rPr>
                <w:rFonts w:eastAsia="MS Mincho"/>
              </w:rPr>
              <w:t>e</w:t>
            </w:r>
            <w:r w:rsidR="009F2BAC">
              <w:rPr>
                <w:rFonts w:eastAsia="MS Mincho"/>
              </w:rPr>
              <w:t>.</w:t>
            </w:r>
            <w:r w:rsidR="009F2BAC" w:rsidRPr="00372F18">
              <w:rPr>
                <w:rFonts w:eastAsia="MS Mincho"/>
              </w:rPr>
              <w:t xml:space="preserve"> 0.5</w:t>
            </w:r>
            <w:r w:rsidR="009F2BAC">
              <w:rPr>
                <w:rFonts w:eastAsia="MS Mincho"/>
              </w:rPr>
              <w:t xml:space="preserve"> </w:t>
            </w:r>
            <w:r w:rsidR="009F2BAC" w:rsidRPr="00372F18">
              <w:rPr>
                <w:rFonts w:eastAsia="MS Mincho"/>
              </w:rPr>
              <w:t>mg once</w:t>
            </w:r>
            <w:r w:rsidR="009F2BAC">
              <w:rPr>
                <w:rFonts w:eastAsia="MS Mincho"/>
              </w:rPr>
              <w:t xml:space="preserve"> </w:t>
            </w:r>
            <w:r w:rsidR="009F2BAC" w:rsidRPr="00372F18">
              <w:rPr>
                <w:rFonts w:eastAsia="MS Mincho"/>
              </w:rPr>
              <w:t>daily for 3 days, then 0.5</w:t>
            </w:r>
            <w:r w:rsidR="009F2BAC">
              <w:rPr>
                <w:rFonts w:eastAsia="MS Mincho"/>
              </w:rPr>
              <w:t xml:space="preserve"> </w:t>
            </w:r>
            <w:r w:rsidR="009F2BAC" w:rsidRPr="00372F18">
              <w:rPr>
                <w:rFonts w:eastAsia="MS Mincho"/>
              </w:rPr>
              <w:t>mg twice daily for 4 days, then 1</w:t>
            </w:r>
            <w:r w:rsidR="009F2BAC">
              <w:rPr>
                <w:rFonts w:eastAsia="MS Mincho"/>
              </w:rPr>
              <w:t xml:space="preserve"> </w:t>
            </w:r>
            <w:r w:rsidR="009F2BAC" w:rsidRPr="00372F18">
              <w:rPr>
                <w:rFonts w:eastAsia="MS Mincho"/>
              </w:rPr>
              <w:t>mg twice daily)</w:t>
            </w:r>
            <w:r w:rsidR="009F2BAC">
              <w:rPr>
                <w:rFonts w:eastAsia="MS Mincho"/>
              </w:rPr>
              <w:t xml:space="preserve"> </w:t>
            </w:r>
            <w:r w:rsidR="009F2BAC">
              <w:rPr>
                <w:rFonts w:eastAsia="MS Mincho"/>
              </w:rPr>
              <w:lastRenderedPageBreak/>
              <w:t xml:space="preserve">followed by </w:t>
            </w:r>
            <w:r w:rsidRPr="00985785">
              <w:rPr>
                <w:rFonts w:eastAsia="MS Mincho"/>
              </w:rPr>
              <w:t>1</w:t>
            </w:r>
            <w:r>
              <w:rPr>
                <w:rFonts w:eastAsia="MS Mincho"/>
              </w:rPr>
              <w:t xml:space="preserve"> </w:t>
            </w:r>
            <w:r w:rsidRPr="00985785">
              <w:rPr>
                <w:rFonts w:eastAsia="MS Mincho"/>
              </w:rPr>
              <w:t>mg twice per</w:t>
            </w:r>
            <w:r>
              <w:rPr>
                <w:rFonts w:eastAsia="MS Mincho"/>
              </w:rPr>
              <w:t xml:space="preserve"> </w:t>
            </w:r>
            <w:r w:rsidRPr="00985785">
              <w:rPr>
                <w:rFonts w:eastAsia="MS Mincho"/>
              </w:rPr>
              <w:t xml:space="preserve">day </w:t>
            </w:r>
            <w:r>
              <w:rPr>
                <w:rFonts w:eastAsia="MS Mincho"/>
              </w:rPr>
              <w:t xml:space="preserve">for </w:t>
            </w:r>
            <w:r w:rsidRPr="00985785">
              <w:rPr>
                <w:rFonts w:eastAsia="MS Mincho"/>
              </w:rPr>
              <w:t>12</w:t>
            </w:r>
            <w:r>
              <w:rPr>
                <w:rFonts w:eastAsia="MS Mincho"/>
              </w:rPr>
              <w:t xml:space="preserve"> weeks</w:t>
            </w:r>
            <w:r w:rsidR="002C5CB8">
              <w:rPr>
                <w:rFonts w:eastAsia="MS Mincho"/>
              </w:rPr>
              <w:t>;</w:t>
            </w:r>
          </w:p>
          <w:p w:rsidR="001A0C32" w:rsidRDefault="001A0C32" w:rsidP="00576F26">
            <w:pPr>
              <w:pStyle w:val="Tablewriting"/>
              <w:rPr>
                <w:rFonts w:eastAsia="MS Mincho"/>
              </w:rPr>
            </w:pPr>
            <w:r>
              <w:rPr>
                <w:rFonts w:eastAsia="MS Mincho"/>
              </w:rPr>
              <w:t xml:space="preserve">Placebo: </w:t>
            </w:r>
            <w:r w:rsidR="00DC7416" w:rsidRPr="00372F18">
              <w:rPr>
                <w:rFonts w:eastAsia="MS Mincho"/>
              </w:rPr>
              <w:t>1</w:t>
            </w:r>
            <w:r w:rsidR="00DC7416">
              <w:rPr>
                <w:rFonts w:eastAsia="MS Mincho"/>
              </w:rPr>
              <w:t xml:space="preserve"> </w:t>
            </w:r>
            <w:r w:rsidR="00DC7416" w:rsidRPr="00372F18">
              <w:rPr>
                <w:rFonts w:eastAsia="MS Mincho"/>
              </w:rPr>
              <w:t>mg twice daily titrated</w:t>
            </w:r>
            <w:r w:rsidR="00DC7416">
              <w:rPr>
                <w:rFonts w:eastAsia="MS Mincho"/>
              </w:rPr>
              <w:t xml:space="preserve"> over 12 weeks</w:t>
            </w:r>
            <w:r w:rsidR="00DC7416" w:rsidRPr="00372F18">
              <w:rPr>
                <w:rFonts w:eastAsia="MS Mincho"/>
              </w:rPr>
              <w:t xml:space="preserve"> (i</w:t>
            </w:r>
            <w:r w:rsidR="00DC7416">
              <w:rPr>
                <w:rFonts w:eastAsia="MS Mincho"/>
              </w:rPr>
              <w:t>.</w:t>
            </w:r>
            <w:r w:rsidR="00DC7416" w:rsidRPr="00372F18">
              <w:rPr>
                <w:rFonts w:eastAsia="MS Mincho"/>
              </w:rPr>
              <w:t>e</w:t>
            </w:r>
            <w:r w:rsidR="00DC7416">
              <w:rPr>
                <w:rFonts w:eastAsia="MS Mincho"/>
              </w:rPr>
              <w:t>.</w:t>
            </w:r>
            <w:r w:rsidR="00DC7416" w:rsidRPr="00372F18">
              <w:rPr>
                <w:rFonts w:eastAsia="MS Mincho"/>
              </w:rPr>
              <w:t xml:space="preserve"> 0.5</w:t>
            </w:r>
            <w:r w:rsidR="00DC7416">
              <w:rPr>
                <w:rFonts w:eastAsia="MS Mincho"/>
              </w:rPr>
              <w:t xml:space="preserve"> </w:t>
            </w:r>
            <w:r w:rsidR="00DC7416" w:rsidRPr="00372F18">
              <w:rPr>
                <w:rFonts w:eastAsia="MS Mincho"/>
              </w:rPr>
              <w:t>mg once</w:t>
            </w:r>
            <w:r w:rsidR="00DC7416">
              <w:rPr>
                <w:rFonts w:eastAsia="MS Mincho"/>
              </w:rPr>
              <w:t xml:space="preserve"> </w:t>
            </w:r>
            <w:r w:rsidR="00DC7416" w:rsidRPr="00372F18">
              <w:rPr>
                <w:rFonts w:eastAsia="MS Mincho"/>
              </w:rPr>
              <w:t>daily for 3 days, then 0.5</w:t>
            </w:r>
            <w:r w:rsidR="00DC7416">
              <w:rPr>
                <w:rFonts w:eastAsia="MS Mincho"/>
              </w:rPr>
              <w:t xml:space="preserve"> </w:t>
            </w:r>
            <w:r w:rsidR="00DC7416" w:rsidRPr="00372F18">
              <w:rPr>
                <w:rFonts w:eastAsia="MS Mincho"/>
              </w:rPr>
              <w:t>mg twice daily for 4 days, then 1</w:t>
            </w:r>
            <w:r w:rsidR="00DC7416">
              <w:rPr>
                <w:rFonts w:eastAsia="MS Mincho"/>
              </w:rPr>
              <w:t xml:space="preserve"> </w:t>
            </w:r>
            <w:r w:rsidR="00DC7416" w:rsidRPr="00372F18">
              <w:rPr>
                <w:rFonts w:eastAsia="MS Mincho"/>
              </w:rPr>
              <w:t>mg twice daily)</w:t>
            </w:r>
            <w:r w:rsidR="00DC7416">
              <w:rPr>
                <w:rFonts w:eastAsia="MS Mincho"/>
              </w:rPr>
              <w:t xml:space="preserve"> followed by </w:t>
            </w:r>
            <w:r>
              <w:rPr>
                <w:rFonts w:eastAsia="MS Mincho"/>
              </w:rPr>
              <w:t>placebo tablet for 12 weeks, same regimen</w:t>
            </w:r>
            <w:r w:rsidR="00AB5FA3">
              <w:rPr>
                <w:rFonts w:eastAsia="MS Mincho"/>
              </w:rPr>
              <w:t>.</w:t>
            </w:r>
          </w:p>
          <w:p w:rsidR="001A0C32" w:rsidRDefault="001A0C32" w:rsidP="00576F26">
            <w:pPr>
              <w:pStyle w:val="Tablewriting"/>
              <w:rPr>
                <w:rFonts w:eastAsia="MS Mincho"/>
              </w:rPr>
            </w:pPr>
          </w:p>
          <w:p w:rsidR="001A0C32" w:rsidRDefault="001A0C32" w:rsidP="00576F26">
            <w:pPr>
              <w:pStyle w:val="Tablewriting"/>
              <w:rPr>
                <w:rFonts w:eastAsia="MS Mincho"/>
              </w:rPr>
            </w:pPr>
            <w:r w:rsidRPr="00267C15">
              <w:rPr>
                <w:rFonts w:eastAsia="MS Mincho"/>
              </w:rPr>
              <w:t>Behavioural support provided in both arms.</w:t>
            </w:r>
          </w:p>
        </w:tc>
        <w:tc>
          <w:tcPr>
            <w:tcW w:w="1213" w:type="pct"/>
            <w:tcMar>
              <w:left w:w="28" w:type="dxa"/>
              <w:right w:w="28" w:type="dxa"/>
            </w:tcMar>
          </w:tcPr>
          <w:p w:rsidR="001A0C32" w:rsidRDefault="001A0C32" w:rsidP="00576F26">
            <w:pPr>
              <w:pStyle w:val="Tablewriting"/>
              <w:rPr>
                <w:rFonts w:eastAsia="MS Mincho"/>
              </w:rPr>
            </w:pPr>
            <w:r w:rsidRPr="008C39E4">
              <w:rPr>
                <w:rFonts w:eastAsia="MS Mincho"/>
                <w:u w:val="single"/>
              </w:rPr>
              <w:lastRenderedPageBreak/>
              <w:t>Primary</w:t>
            </w:r>
            <w:r>
              <w:rPr>
                <w:rFonts w:eastAsia="MS Mincho"/>
              </w:rPr>
              <w:t xml:space="preserve">: </w:t>
            </w:r>
            <w:r w:rsidR="00631C7B">
              <w:rPr>
                <w:rFonts w:eastAsia="MS Mincho"/>
              </w:rPr>
              <w:t>7-day PPA</w:t>
            </w:r>
            <w:r w:rsidR="00A25BE2">
              <w:rPr>
                <w:rFonts w:eastAsia="MS Mincho"/>
              </w:rPr>
              <w:t xml:space="preserve"> at Week 24 and 52</w:t>
            </w:r>
            <w:r>
              <w:rPr>
                <w:rFonts w:eastAsia="MS Mincho"/>
              </w:rPr>
              <w:t xml:space="preserve">. Validated by CO </w:t>
            </w:r>
            <w:r w:rsidR="00A25BE2">
              <w:rPr>
                <w:rFonts w:eastAsia="MS Mincho"/>
              </w:rPr>
              <w:t>&lt;</w:t>
            </w:r>
            <w:r>
              <w:rPr>
                <w:rFonts w:eastAsia="MS Mincho"/>
              </w:rPr>
              <w:t>10 ppm.</w:t>
            </w:r>
          </w:p>
          <w:p w:rsidR="001A0C32" w:rsidRDefault="001A0C32" w:rsidP="00576F26">
            <w:pPr>
              <w:pStyle w:val="Tablewriting"/>
              <w:rPr>
                <w:rFonts w:eastAsia="MS Mincho"/>
              </w:rPr>
            </w:pPr>
            <w:r w:rsidRPr="008C39E4">
              <w:rPr>
                <w:rFonts w:eastAsia="MS Mincho"/>
                <w:u w:val="single"/>
              </w:rPr>
              <w:t>Secondary</w:t>
            </w:r>
            <w:r>
              <w:rPr>
                <w:rFonts w:eastAsia="MS Mincho"/>
              </w:rPr>
              <w:t xml:space="preserve">: </w:t>
            </w:r>
            <w:r w:rsidRPr="005B56AA">
              <w:rPr>
                <w:rFonts w:eastAsia="MS Mincho"/>
              </w:rPr>
              <w:t>CAR at</w:t>
            </w:r>
            <w:r>
              <w:rPr>
                <w:rFonts w:eastAsia="MS Mincho"/>
              </w:rPr>
              <w:t xml:space="preserve"> Week</w:t>
            </w:r>
            <w:r w:rsidRPr="005B56AA">
              <w:rPr>
                <w:rFonts w:eastAsia="MS Mincho"/>
              </w:rPr>
              <w:t xml:space="preserve"> </w:t>
            </w:r>
            <w:r w:rsidR="00A25BE2">
              <w:rPr>
                <w:rFonts w:eastAsia="MS Mincho"/>
              </w:rPr>
              <w:t>9-24 and 9</w:t>
            </w:r>
            <w:r>
              <w:rPr>
                <w:rFonts w:eastAsia="MS Mincho"/>
              </w:rPr>
              <w:t xml:space="preserve">-52. Validated by CO </w:t>
            </w:r>
            <w:r w:rsidR="008223CA">
              <w:rPr>
                <w:rFonts w:eastAsia="MS Mincho"/>
              </w:rPr>
              <w:t>&lt;</w:t>
            </w:r>
            <w:r>
              <w:rPr>
                <w:rFonts w:eastAsia="MS Mincho"/>
              </w:rPr>
              <w:t>10 ppm.</w:t>
            </w:r>
          </w:p>
          <w:p w:rsidR="001A0C32" w:rsidRPr="0036499C" w:rsidRDefault="001A0C32" w:rsidP="00576F26">
            <w:pPr>
              <w:pStyle w:val="Tablewriting"/>
              <w:rPr>
                <w:rFonts w:eastAsia="MS Mincho"/>
                <w:u w:val="single"/>
              </w:rPr>
            </w:pPr>
            <w:r w:rsidRPr="0055171C">
              <w:rPr>
                <w:rFonts w:eastAsia="MS Mincho"/>
                <w:u w:val="single"/>
              </w:rPr>
              <w:t>Other</w:t>
            </w:r>
            <w:r>
              <w:rPr>
                <w:rFonts w:eastAsia="MS Mincho"/>
              </w:rPr>
              <w:t xml:space="preserve">: </w:t>
            </w:r>
            <w:r w:rsidR="008223CA">
              <w:rPr>
                <w:rFonts w:eastAsia="MS Mincho"/>
              </w:rPr>
              <w:t>treatment adherence, adverse events</w:t>
            </w:r>
            <w:r w:rsidR="00AB5FA3">
              <w:rPr>
                <w:rFonts w:eastAsia="MS Mincho"/>
              </w:rPr>
              <w:t>.</w:t>
            </w:r>
          </w:p>
        </w:tc>
      </w:tr>
    </w:tbl>
    <w:p w:rsidR="002C7300" w:rsidRDefault="005814A2" w:rsidP="005814A2">
      <w:pPr>
        <w:pStyle w:val="TableFooter"/>
        <w:keepNext/>
      </w:pPr>
      <w:r>
        <w:t xml:space="preserve">Abbreviations: </w:t>
      </w:r>
      <w:r w:rsidR="002C7300" w:rsidRPr="002C7300">
        <w:t xml:space="preserve">CAR = continuous abstinence rate; CO = carbon monoxide; COPD = chronic obstructive pulmonary disease; MNWS = Minnesota Tobacco Withdrawal Scale; NRT = nicotine replacement therapy; PPA = point prevalence abstinence; RCT = randomised controlled trial </w:t>
      </w:r>
    </w:p>
    <w:p w:rsidR="005814A2" w:rsidRDefault="005814A2" w:rsidP="005814A2">
      <w:pPr>
        <w:pStyle w:val="TableFooter"/>
        <w:keepNext/>
      </w:pPr>
      <w:r w:rsidRPr="00061F78">
        <w:rPr>
          <w:highlight w:val="lightGray"/>
        </w:rPr>
        <w:t>Shaded</w:t>
      </w:r>
      <w:r w:rsidRPr="00061F78">
        <w:t xml:space="preserve"> = previously considered by the PBAC</w:t>
      </w:r>
    </w:p>
    <w:p w:rsidR="005814A2" w:rsidRDefault="005814A2" w:rsidP="005814A2">
      <w:pPr>
        <w:pStyle w:val="TableFooter"/>
        <w:keepNext/>
      </w:pPr>
      <w:r>
        <w:t>1 Only the number of patients (n) in the relevant arms were included</w:t>
      </w:r>
      <w:r w:rsidR="00AB5FA3">
        <w:t>.</w:t>
      </w:r>
      <w:r>
        <w:t xml:space="preserve"> </w:t>
      </w:r>
    </w:p>
    <w:p w:rsidR="000970B9" w:rsidRDefault="00B621E0" w:rsidP="00267C15">
      <w:pPr>
        <w:pStyle w:val="TableFooter"/>
        <w:keepNext/>
      </w:pPr>
      <w:r>
        <w:t>2</w:t>
      </w:r>
      <w:r w:rsidR="005814A2">
        <w:t xml:space="preserve"> The characteristics of the individual studies comparing varenicline with placebo included in </w:t>
      </w:r>
      <w:r w:rsidR="00555061">
        <w:t xml:space="preserve">Livingstone-Banks </w:t>
      </w:r>
      <w:r w:rsidR="005814A2">
        <w:t>et al. (201</w:t>
      </w:r>
      <w:r w:rsidR="00555061">
        <w:t>9</w:t>
      </w:r>
      <w:r w:rsidR="005814A2">
        <w:t xml:space="preserve">) are presented in </w:t>
      </w:r>
      <w:r w:rsidR="005814A2" w:rsidRPr="009E4D54">
        <w:t>Appendix</w:t>
      </w:r>
      <w:r w:rsidR="005F51B3">
        <w:t xml:space="preserve"> </w:t>
      </w:r>
      <w:r w:rsidR="003C4A1C">
        <w:t xml:space="preserve">Table </w:t>
      </w:r>
      <w:r w:rsidR="003C4A1C">
        <w:rPr>
          <w:noProof/>
        </w:rPr>
        <w:t>151</w:t>
      </w:r>
      <w:r w:rsidR="005814A2">
        <w:t xml:space="preserve">. </w:t>
      </w:r>
      <w:r w:rsidR="00D76C1C">
        <w:t>One study</w:t>
      </w:r>
      <w:r w:rsidR="005814A2">
        <w:t xml:space="preserve"> previously considered by the PBAC (</w:t>
      </w:r>
      <w:r w:rsidR="00D76C1C">
        <w:t>Tonstad et al. 2006</w:t>
      </w:r>
      <w:r w:rsidR="005814A2" w:rsidRPr="005B2A6C">
        <w:t xml:space="preserve">) </w:t>
      </w:r>
      <w:r w:rsidR="005814A2">
        <w:t>w</w:t>
      </w:r>
      <w:r w:rsidR="00D76C1C">
        <w:t>as</w:t>
      </w:r>
      <w:r w:rsidR="005814A2">
        <w:t xml:space="preserve"> included in the primary efficacy analysis of </w:t>
      </w:r>
      <w:r w:rsidR="00D76C1C">
        <w:t>Livingstone-Banks et al. (2019)</w:t>
      </w:r>
      <w:r w:rsidR="005814A2">
        <w:t>.</w:t>
      </w:r>
    </w:p>
    <w:p w:rsidR="0087198D" w:rsidRDefault="000228C8" w:rsidP="00267C15">
      <w:pPr>
        <w:pStyle w:val="TableFooter"/>
        <w:keepNext/>
      </w:pPr>
      <w:r>
        <w:t>3 I</w:t>
      </w:r>
      <w:r w:rsidRPr="000228C8">
        <w:t>n Schnoll et al. (2019)</w:t>
      </w:r>
      <w:r>
        <w:t>, there w</w:t>
      </w:r>
      <w:r w:rsidR="008C349E">
        <w:t>as</w:t>
      </w:r>
      <w:r>
        <w:t xml:space="preserve"> no information reported on the</w:t>
      </w:r>
      <w:r w:rsidRPr="000228C8">
        <w:t xml:space="preserve"> blinding of patients</w:t>
      </w:r>
      <w:r>
        <w:t>.</w:t>
      </w:r>
    </w:p>
    <w:p w:rsidR="000970B9" w:rsidRDefault="000970B9" w:rsidP="003B4B27">
      <w:pPr>
        <w:sectPr w:rsidR="000970B9" w:rsidSect="000970B9">
          <w:pgSz w:w="16838" w:h="11906" w:orient="landscape"/>
          <w:pgMar w:top="1440" w:right="1440" w:bottom="1440" w:left="1440" w:header="708" w:footer="708" w:gutter="0"/>
          <w:cols w:space="708"/>
          <w:titlePg/>
          <w:docGrid w:linePitch="360"/>
        </w:sectPr>
      </w:pPr>
    </w:p>
    <w:p w:rsidR="00FC193A" w:rsidRPr="00FC193A" w:rsidRDefault="00FC193A" w:rsidP="00FC193A">
      <w:pPr>
        <w:rPr>
          <w:u w:val="single"/>
        </w:rPr>
      </w:pPr>
      <w:r w:rsidRPr="00FC193A">
        <w:rPr>
          <w:u w:val="single"/>
        </w:rPr>
        <w:lastRenderedPageBreak/>
        <w:t>Efficacy</w:t>
      </w:r>
    </w:p>
    <w:p w:rsidR="00FD71B4" w:rsidRDefault="00FC193A" w:rsidP="00FD71B4">
      <w:r>
        <w:t xml:space="preserve">A summary of the smoking cessation rates at </w:t>
      </w:r>
      <w:r w:rsidR="00FD71B4">
        <w:t>12 months</w:t>
      </w:r>
      <w:r>
        <w:t xml:space="preserve"> </w:t>
      </w:r>
      <w:r w:rsidR="003E6D80">
        <w:t xml:space="preserve">comparing varenicline with placebo </w:t>
      </w:r>
      <w:r w:rsidR="009E4D54">
        <w:t xml:space="preserve">in abstainers for relapse prevention </w:t>
      </w:r>
      <w:r>
        <w:t xml:space="preserve">is presented in </w:t>
      </w:r>
      <w:r w:rsidR="003C4A1C">
        <w:t xml:space="preserve">Table </w:t>
      </w:r>
      <w:r w:rsidR="003C4A1C">
        <w:rPr>
          <w:noProof/>
        </w:rPr>
        <w:t>34</w:t>
      </w:r>
      <w:r>
        <w:t xml:space="preserve">. </w:t>
      </w:r>
      <w:r w:rsidR="00FD71B4">
        <w:t xml:space="preserve">The results of Tonstad et al. (2006) demonstrated a statistically significant difference in continuous abstinence rate, in favour of varenicline. Similarly, the results of the meta-analysis comprising two RCTs </w:t>
      </w:r>
      <w:r w:rsidR="00377C0D">
        <w:t xml:space="preserve">conducted </w:t>
      </w:r>
      <w:r w:rsidR="00FD71B4">
        <w:t xml:space="preserve">by </w:t>
      </w:r>
      <w:r w:rsidR="00FD71B4" w:rsidRPr="00FD71B4">
        <w:t>Livingstone-Banks et al. (2019)</w:t>
      </w:r>
      <w:r w:rsidR="00FD71B4">
        <w:t xml:space="preserve"> demonstrated a statistically significant difference in long-term smoking cessation rates, in favour of varenicline.</w:t>
      </w:r>
    </w:p>
    <w:p w:rsidR="00FD71B4" w:rsidRDefault="00FD71B4" w:rsidP="00FD71B4">
      <w:pPr>
        <w:pStyle w:val="Caption"/>
        <w:keepNext/>
      </w:pPr>
      <w:bookmarkStart w:id="107" w:name="_Ref54783364"/>
      <w:r>
        <w:t xml:space="preserve">Table </w:t>
      </w:r>
      <w:r w:rsidR="003C4A1C">
        <w:rPr>
          <w:noProof/>
        </w:rPr>
        <w:t>34</w:t>
      </w:r>
      <w:bookmarkEnd w:id="107"/>
      <w:r>
        <w:t xml:space="preserve">: </w:t>
      </w:r>
      <w:r w:rsidRPr="00BB4A53">
        <w:t>Results of smoking cessation</w:t>
      </w:r>
      <w:r>
        <w:t xml:space="preserve"> </w:t>
      </w:r>
      <w:r w:rsidRPr="00BB4A53">
        <w:t xml:space="preserve">at </w:t>
      </w:r>
      <w:r>
        <w:t>12</w:t>
      </w:r>
      <w:r w:rsidRPr="00BB4A53">
        <w:t xml:space="preserve"> months </w:t>
      </w:r>
      <w:r>
        <w:t>after quit date</w:t>
      </w:r>
      <w:r w:rsidRPr="00BB4A53">
        <w:t>, varenicline versus placebo</w:t>
      </w:r>
      <w:r w:rsidR="002F03FD">
        <w:t xml:space="preserve"> </w:t>
      </w:r>
      <w:r w:rsidR="002F03FD" w:rsidRPr="00555061">
        <w:t>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550"/>
        <w:gridCol w:w="1716"/>
        <w:gridCol w:w="2092"/>
        <w:gridCol w:w="1830"/>
        <w:gridCol w:w="1828"/>
      </w:tblGrid>
      <w:tr w:rsidR="00FD71B4" w:rsidRPr="00061F78" w:rsidTr="00523CCB">
        <w:trPr>
          <w:cantSplit/>
          <w:trHeight w:val="299"/>
          <w:tblHeader/>
        </w:trPr>
        <w:tc>
          <w:tcPr>
            <w:tcW w:w="859" w:type="pct"/>
            <w:shd w:val="clear" w:color="auto" w:fill="BFBFBF" w:themeFill="background1" w:themeFillShade="BF"/>
            <w:tcMar>
              <w:left w:w="28" w:type="dxa"/>
              <w:right w:w="28" w:type="dxa"/>
            </w:tcMar>
          </w:tcPr>
          <w:p w:rsidR="00FD71B4" w:rsidRPr="00061F78" w:rsidRDefault="00126B7B" w:rsidP="002C1625">
            <w:pPr>
              <w:pStyle w:val="Tableheading"/>
              <w:keepNext/>
              <w:rPr>
                <w:rFonts w:eastAsia="MS Mincho"/>
              </w:rPr>
            </w:pPr>
            <w:r>
              <w:rPr>
                <w:rFonts w:eastAsia="MS Mincho"/>
              </w:rPr>
              <w:t>Study</w:t>
            </w:r>
          </w:p>
        </w:tc>
        <w:tc>
          <w:tcPr>
            <w:tcW w:w="951" w:type="pct"/>
            <w:shd w:val="clear" w:color="auto" w:fill="BFBFBF" w:themeFill="background1" w:themeFillShade="BF"/>
            <w:vAlign w:val="center"/>
          </w:tcPr>
          <w:p w:rsidR="00FD71B4" w:rsidRDefault="00FD71B4" w:rsidP="002C1625">
            <w:pPr>
              <w:pStyle w:val="Tableheading"/>
              <w:keepNext/>
              <w:jc w:val="center"/>
              <w:rPr>
                <w:rFonts w:eastAsia="MS Mincho"/>
              </w:rPr>
            </w:pPr>
            <w:r>
              <w:rPr>
                <w:rFonts w:eastAsia="MS Mincho"/>
              </w:rPr>
              <w:t>Study type</w:t>
            </w:r>
          </w:p>
        </w:tc>
        <w:tc>
          <w:tcPr>
            <w:tcW w:w="1160" w:type="pct"/>
            <w:shd w:val="clear" w:color="auto" w:fill="BFBFBF" w:themeFill="background1" w:themeFillShade="BF"/>
            <w:tcMar>
              <w:left w:w="28" w:type="dxa"/>
              <w:right w:w="28" w:type="dxa"/>
            </w:tcMar>
            <w:vAlign w:val="center"/>
          </w:tcPr>
          <w:p w:rsidR="00FD71B4" w:rsidRPr="00061F78" w:rsidRDefault="00FD71B4" w:rsidP="002C1625">
            <w:pPr>
              <w:pStyle w:val="Tableheading"/>
              <w:keepNext/>
              <w:jc w:val="center"/>
              <w:rPr>
                <w:rFonts w:eastAsia="MS Mincho"/>
              </w:rPr>
            </w:pPr>
            <w:r>
              <w:rPr>
                <w:rFonts w:eastAsia="MS Mincho"/>
              </w:rPr>
              <w:t>Varenicline</w:t>
            </w:r>
          </w:p>
        </w:tc>
        <w:tc>
          <w:tcPr>
            <w:tcW w:w="1015" w:type="pct"/>
            <w:shd w:val="clear" w:color="auto" w:fill="BFBFBF" w:themeFill="background1" w:themeFillShade="BF"/>
            <w:tcMar>
              <w:left w:w="28" w:type="dxa"/>
              <w:right w:w="28" w:type="dxa"/>
            </w:tcMar>
            <w:vAlign w:val="center"/>
          </w:tcPr>
          <w:p w:rsidR="00FD71B4" w:rsidRPr="00061F78" w:rsidRDefault="00FD71B4" w:rsidP="002C1625">
            <w:pPr>
              <w:pStyle w:val="Tableheading"/>
              <w:keepNext/>
              <w:jc w:val="center"/>
              <w:rPr>
                <w:rFonts w:eastAsia="MS Mincho"/>
              </w:rPr>
            </w:pPr>
            <w:r w:rsidRPr="00061F78">
              <w:rPr>
                <w:rFonts w:eastAsia="MS Mincho"/>
              </w:rPr>
              <w:t>Placebo</w:t>
            </w:r>
          </w:p>
        </w:tc>
        <w:tc>
          <w:tcPr>
            <w:tcW w:w="1014" w:type="pct"/>
            <w:shd w:val="clear" w:color="auto" w:fill="BFBFBF" w:themeFill="background1" w:themeFillShade="BF"/>
            <w:tcMar>
              <w:left w:w="28" w:type="dxa"/>
              <w:right w:w="28" w:type="dxa"/>
            </w:tcMar>
            <w:vAlign w:val="center"/>
          </w:tcPr>
          <w:p w:rsidR="00FD71B4" w:rsidRPr="00D468CF" w:rsidRDefault="00FD71B4" w:rsidP="002C1625">
            <w:pPr>
              <w:pStyle w:val="Tableheading"/>
              <w:keepNext/>
              <w:jc w:val="center"/>
              <w:rPr>
                <w:rFonts w:eastAsia="MS Mincho"/>
                <w:vertAlign w:val="superscript"/>
              </w:rPr>
            </w:pPr>
            <w:r>
              <w:rPr>
                <w:rFonts w:eastAsia="MS Mincho"/>
              </w:rPr>
              <w:t>RR (95% CI)</w:t>
            </w:r>
          </w:p>
        </w:tc>
      </w:tr>
      <w:tr w:rsidR="00FD71B4" w:rsidRPr="00061F78" w:rsidTr="00015CD6">
        <w:trPr>
          <w:cantSplit/>
          <w:trHeight w:val="99"/>
        </w:trPr>
        <w:tc>
          <w:tcPr>
            <w:tcW w:w="859" w:type="pct"/>
            <w:shd w:val="clear" w:color="auto" w:fill="D9D9D9" w:themeFill="background1" w:themeFillShade="D9"/>
            <w:tcMar>
              <w:left w:w="28" w:type="dxa"/>
              <w:right w:w="28" w:type="dxa"/>
            </w:tcMar>
          </w:tcPr>
          <w:p w:rsidR="00FD71B4" w:rsidRDefault="00FD71B4" w:rsidP="002C1625">
            <w:pPr>
              <w:pStyle w:val="Tablewriting"/>
              <w:keepNext/>
              <w:rPr>
                <w:rFonts w:eastAsia="MS Mincho"/>
              </w:rPr>
            </w:pPr>
            <w:r>
              <w:rPr>
                <w:rFonts w:eastAsia="MS Mincho"/>
              </w:rPr>
              <w:t>Tonstad (2006)</w:t>
            </w:r>
            <w:r>
              <w:rPr>
                <w:rFonts w:eastAsia="MS Mincho"/>
                <w:vertAlign w:val="superscript"/>
              </w:rPr>
              <w:t>1</w:t>
            </w:r>
            <w:r>
              <w:rPr>
                <w:rFonts w:eastAsia="MS Mincho"/>
              </w:rPr>
              <w:t xml:space="preserve"> </w:t>
            </w:r>
          </w:p>
        </w:tc>
        <w:tc>
          <w:tcPr>
            <w:tcW w:w="951" w:type="pct"/>
            <w:shd w:val="clear" w:color="auto" w:fill="D9D9D9" w:themeFill="background1" w:themeFillShade="D9"/>
            <w:vAlign w:val="center"/>
          </w:tcPr>
          <w:p w:rsidR="00FD71B4" w:rsidRDefault="00FD71B4" w:rsidP="002C1625">
            <w:pPr>
              <w:pStyle w:val="Tablewriting"/>
              <w:keepNext/>
              <w:jc w:val="center"/>
              <w:rPr>
                <w:rFonts w:eastAsia="MS Mincho"/>
              </w:rPr>
            </w:pPr>
            <w:r>
              <w:rPr>
                <w:rFonts w:eastAsia="MS Mincho"/>
              </w:rPr>
              <w:t>RCT</w:t>
            </w:r>
          </w:p>
        </w:tc>
        <w:tc>
          <w:tcPr>
            <w:tcW w:w="1160" w:type="pct"/>
            <w:shd w:val="clear" w:color="auto" w:fill="D9D9D9" w:themeFill="background1" w:themeFillShade="D9"/>
            <w:tcMar>
              <w:left w:w="28" w:type="dxa"/>
              <w:right w:w="28" w:type="dxa"/>
            </w:tcMar>
            <w:vAlign w:val="center"/>
          </w:tcPr>
          <w:p w:rsidR="00FD71B4" w:rsidRPr="00F423F8" w:rsidRDefault="00FD71B4" w:rsidP="002C1625">
            <w:pPr>
              <w:pStyle w:val="Tablewriting"/>
              <w:keepNext/>
              <w:jc w:val="center"/>
              <w:rPr>
                <w:rFonts w:eastAsia="MS Mincho"/>
                <w:vertAlign w:val="superscript"/>
              </w:rPr>
            </w:pPr>
            <w:r>
              <w:rPr>
                <w:rFonts w:eastAsia="MS Mincho"/>
              </w:rPr>
              <w:t>263/603</w:t>
            </w:r>
            <w:r w:rsidR="00F423F8">
              <w:rPr>
                <w:rFonts w:eastAsia="MS Mincho"/>
                <w:vertAlign w:val="superscript"/>
              </w:rPr>
              <w:t>4</w:t>
            </w:r>
          </w:p>
          <w:p w:rsidR="00FD71B4" w:rsidRDefault="00FD71B4" w:rsidP="002C1625">
            <w:pPr>
              <w:pStyle w:val="Tablewriting"/>
              <w:keepNext/>
              <w:jc w:val="center"/>
              <w:rPr>
                <w:rFonts w:eastAsia="MS Mincho"/>
              </w:rPr>
            </w:pPr>
            <w:r>
              <w:rPr>
                <w:rFonts w:eastAsia="MS Mincho"/>
              </w:rPr>
              <w:t>(</w:t>
            </w:r>
            <w:r w:rsidR="00F423F8">
              <w:rPr>
                <w:rFonts w:eastAsia="MS Mincho"/>
              </w:rPr>
              <w:t>43.6</w:t>
            </w:r>
            <w:r>
              <w:rPr>
                <w:rFonts w:eastAsia="MS Mincho"/>
              </w:rPr>
              <w:t>%)</w:t>
            </w:r>
          </w:p>
        </w:tc>
        <w:tc>
          <w:tcPr>
            <w:tcW w:w="1015" w:type="pct"/>
            <w:shd w:val="clear" w:color="auto" w:fill="D9D9D9" w:themeFill="background1" w:themeFillShade="D9"/>
            <w:tcMar>
              <w:left w:w="28" w:type="dxa"/>
              <w:right w:w="28" w:type="dxa"/>
            </w:tcMar>
            <w:vAlign w:val="center"/>
          </w:tcPr>
          <w:p w:rsidR="00FD71B4" w:rsidRDefault="00FD71B4" w:rsidP="002C1625">
            <w:pPr>
              <w:pStyle w:val="Tablewriting"/>
              <w:keepNext/>
              <w:jc w:val="center"/>
              <w:rPr>
                <w:rFonts w:eastAsia="MS Mincho"/>
              </w:rPr>
            </w:pPr>
            <w:r>
              <w:rPr>
                <w:rFonts w:eastAsia="MS Mincho"/>
              </w:rPr>
              <w:t>224/607</w:t>
            </w:r>
          </w:p>
          <w:p w:rsidR="00FD71B4" w:rsidRDefault="00FD71B4" w:rsidP="002C1625">
            <w:pPr>
              <w:pStyle w:val="Tablewriting"/>
              <w:keepNext/>
              <w:jc w:val="center"/>
              <w:rPr>
                <w:rFonts w:eastAsia="MS Mincho"/>
              </w:rPr>
            </w:pPr>
            <w:r>
              <w:rPr>
                <w:rFonts w:eastAsia="MS Mincho"/>
              </w:rPr>
              <w:t>(</w:t>
            </w:r>
            <w:r w:rsidR="00F423F8">
              <w:rPr>
                <w:rFonts w:eastAsia="MS Mincho"/>
              </w:rPr>
              <w:t>36.9</w:t>
            </w:r>
            <w:r>
              <w:rPr>
                <w:rFonts w:eastAsia="MS Mincho"/>
              </w:rPr>
              <w:t>%)</w:t>
            </w:r>
          </w:p>
        </w:tc>
        <w:tc>
          <w:tcPr>
            <w:tcW w:w="1014" w:type="pct"/>
            <w:shd w:val="clear" w:color="auto" w:fill="D9D9D9" w:themeFill="background1" w:themeFillShade="D9"/>
            <w:tcMar>
              <w:left w:w="28" w:type="dxa"/>
              <w:right w:w="28" w:type="dxa"/>
            </w:tcMar>
            <w:vAlign w:val="center"/>
          </w:tcPr>
          <w:p w:rsidR="00FD71B4" w:rsidRPr="00F360FD" w:rsidRDefault="00FD71B4" w:rsidP="002C1625">
            <w:pPr>
              <w:pStyle w:val="Tablewriting"/>
              <w:keepNext/>
              <w:jc w:val="center"/>
              <w:rPr>
                <w:rFonts w:eastAsia="MS Mincho"/>
                <w:b/>
                <w:bCs/>
              </w:rPr>
            </w:pPr>
            <w:r>
              <w:rPr>
                <w:rFonts w:eastAsia="MS Mincho"/>
                <w:b/>
                <w:bCs/>
              </w:rPr>
              <w:t>1.18</w:t>
            </w:r>
          </w:p>
          <w:p w:rsidR="00FD71B4" w:rsidRPr="00F360FD" w:rsidRDefault="00FD71B4" w:rsidP="002C1625">
            <w:pPr>
              <w:pStyle w:val="Tablewriting"/>
              <w:keepNext/>
              <w:jc w:val="center"/>
              <w:rPr>
                <w:rFonts w:eastAsia="MS Mincho"/>
                <w:b/>
              </w:rPr>
            </w:pPr>
            <w:r w:rsidRPr="00F360FD">
              <w:rPr>
                <w:rFonts w:eastAsia="MS Mincho"/>
                <w:b/>
                <w:bCs/>
              </w:rPr>
              <w:t>(</w:t>
            </w:r>
            <w:r>
              <w:rPr>
                <w:rFonts w:eastAsia="MS Mincho"/>
                <w:b/>
                <w:bCs/>
              </w:rPr>
              <w:t>1.03</w:t>
            </w:r>
            <w:r w:rsidRPr="00F360FD">
              <w:rPr>
                <w:rFonts w:eastAsia="MS Mincho"/>
                <w:b/>
                <w:bCs/>
              </w:rPr>
              <w:t xml:space="preserve">, </w:t>
            </w:r>
            <w:r>
              <w:rPr>
                <w:rFonts w:eastAsia="MS Mincho"/>
                <w:b/>
                <w:bCs/>
              </w:rPr>
              <w:t>1.36</w:t>
            </w:r>
            <w:r w:rsidRPr="00F360FD">
              <w:rPr>
                <w:rFonts w:eastAsia="MS Mincho"/>
                <w:b/>
                <w:bCs/>
              </w:rPr>
              <w:t>)</w:t>
            </w:r>
          </w:p>
        </w:tc>
      </w:tr>
      <w:tr w:rsidR="00FD71B4" w:rsidRPr="00061F78" w:rsidTr="00523CCB">
        <w:trPr>
          <w:cantSplit/>
          <w:trHeight w:val="149"/>
        </w:trPr>
        <w:tc>
          <w:tcPr>
            <w:tcW w:w="859" w:type="pct"/>
            <w:tcMar>
              <w:left w:w="28" w:type="dxa"/>
              <w:right w:w="28" w:type="dxa"/>
            </w:tcMar>
          </w:tcPr>
          <w:p w:rsidR="00FD71B4" w:rsidRDefault="00FD71B4" w:rsidP="002C1625">
            <w:pPr>
              <w:pStyle w:val="Tablewriting"/>
              <w:keepNext/>
              <w:rPr>
                <w:rFonts w:eastAsia="MS Mincho"/>
              </w:rPr>
            </w:pPr>
            <w:r>
              <w:rPr>
                <w:rFonts w:eastAsia="MS Mincho"/>
              </w:rPr>
              <w:t xml:space="preserve">Livingstone-Banks </w:t>
            </w:r>
          </w:p>
          <w:p w:rsidR="00FD71B4" w:rsidRPr="00D468CF" w:rsidRDefault="00FD71B4" w:rsidP="002C1625">
            <w:pPr>
              <w:pStyle w:val="Tablewriting"/>
              <w:keepNext/>
              <w:rPr>
                <w:rFonts w:eastAsia="MS Mincho"/>
                <w:vertAlign w:val="superscript"/>
              </w:rPr>
            </w:pPr>
            <w:r>
              <w:rPr>
                <w:rFonts w:eastAsia="MS Mincho"/>
              </w:rPr>
              <w:t>(2019)</w:t>
            </w:r>
            <w:r>
              <w:rPr>
                <w:rFonts w:eastAsia="MS Mincho"/>
                <w:vertAlign w:val="superscript"/>
              </w:rPr>
              <w:t>2</w:t>
            </w:r>
            <w:r w:rsidR="00523CCB">
              <w:rPr>
                <w:rFonts w:eastAsia="MS Mincho"/>
                <w:vertAlign w:val="superscript"/>
              </w:rPr>
              <w:t>,3</w:t>
            </w:r>
          </w:p>
        </w:tc>
        <w:tc>
          <w:tcPr>
            <w:tcW w:w="951" w:type="pct"/>
            <w:vAlign w:val="center"/>
          </w:tcPr>
          <w:p w:rsidR="00FD71B4" w:rsidRDefault="00FD71B4" w:rsidP="002C1625">
            <w:pPr>
              <w:pStyle w:val="Tablewriting"/>
              <w:keepNext/>
              <w:jc w:val="center"/>
              <w:rPr>
                <w:rFonts w:eastAsia="MS Mincho"/>
              </w:rPr>
            </w:pPr>
            <w:r>
              <w:rPr>
                <w:rFonts w:eastAsia="MS Mincho"/>
              </w:rPr>
              <w:t>Cochrane Review (2 RCTs)</w:t>
            </w:r>
          </w:p>
        </w:tc>
        <w:tc>
          <w:tcPr>
            <w:tcW w:w="1160" w:type="pct"/>
            <w:tcMar>
              <w:left w:w="28" w:type="dxa"/>
              <w:right w:w="28" w:type="dxa"/>
            </w:tcMar>
            <w:vAlign w:val="center"/>
          </w:tcPr>
          <w:p w:rsidR="00FD71B4" w:rsidRPr="00FD71B4" w:rsidRDefault="00FD71B4" w:rsidP="002C1625">
            <w:pPr>
              <w:pStyle w:val="Tablewriting"/>
              <w:keepNext/>
              <w:jc w:val="center"/>
              <w:rPr>
                <w:rFonts w:eastAsia="MS Mincho"/>
              </w:rPr>
            </w:pPr>
            <w:r>
              <w:rPr>
                <w:rFonts w:eastAsia="MS Mincho"/>
              </w:rPr>
              <w:t>281/643</w:t>
            </w:r>
            <w:r w:rsidRPr="00FD71B4">
              <w:rPr>
                <w:rFonts w:eastAsia="MS Mincho"/>
              </w:rPr>
              <w:t xml:space="preserve"> </w:t>
            </w:r>
          </w:p>
          <w:p w:rsidR="00FD71B4" w:rsidRPr="00FD71B4" w:rsidRDefault="00FD71B4" w:rsidP="002C1625">
            <w:pPr>
              <w:pStyle w:val="Tablewriting"/>
              <w:keepNext/>
              <w:jc w:val="center"/>
              <w:rPr>
                <w:rFonts w:eastAsia="MS Mincho"/>
              </w:rPr>
            </w:pPr>
            <w:r w:rsidRPr="00FD71B4">
              <w:rPr>
                <w:rFonts w:eastAsia="MS Mincho"/>
              </w:rPr>
              <w:t>(</w:t>
            </w:r>
            <w:r w:rsidR="00F423F8">
              <w:rPr>
                <w:rFonts w:eastAsia="MS Mincho"/>
              </w:rPr>
              <w:t>43.7</w:t>
            </w:r>
            <w:r w:rsidRPr="00FD71B4">
              <w:rPr>
                <w:rFonts w:eastAsia="MS Mincho"/>
              </w:rPr>
              <w:t>%)</w:t>
            </w:r>
          </w:p>
        </w:tc>
        <w:tc>
          <w:tcPr>
            <w:tcW w:w="1015" w:type="pct"/>
            <w:tcMar>
              <w:left w:w="28" w:type="dxa"/>
              <w:right w:w="28" w:type="dxa"/>
            </w:tcMar>
            <w:vAlign w:val="center"/>
          </w:tcPr>
          <w:p w:rsidR="00FD71B4" w:rsidRPr="00FD71B4" w:rsidRDefault="00FD71B4" w:rsidP="002C1625">
            <w:pPr>
              <w:pStyle w:val="Tablewriting"/>
              <w:keepNext/>
              <w:jc w:val="center"/>
              <w:rPr>
                <w:rFonts w:eastAsia="MS Mincho"/>
              </w:rPr>
            </w:pPr>
            <w:r>
              <w:rPr>
                <w:rFonts w:eastAsia="MS Mincho"/>
              </w:rPr>
              <w:t>231/654</w:t>
            </w:r>
            <w:r w:rsidRPr="00FD71B4">
              <w:rPr>
                <w:rFonts w:eastAsia="MS Mincho"/>
              </w:rPr>
              <w:t xml:space="preserve"> </w:t>
            </w:r>
          </w:p>
          <w:p w:rsidR="00FD71B4" w:rsidRPr="00FD71B4" w:rsidRDefault="00FD71B4" w:rsidP="002C1625">
            <w:pPr>
              <w:pStyle w:val="Tablewriting"/>
              <w:keepNext/>
              <w:jc w:val="center"/>
              <w:rPr>
                <w:rFonts w:eastAsia="MS Mincho"/>
              </w:rPr>
            </w:pPr>
            <w:r w:rsidRPr="00FD71B4">
              <w:rPr>
                <w:rFonts w:eastAsia="MS Mincho"/>
              </w:rPr>
              <w:t>(</w:t>
            </w:r>
            <w:r w:rsidR="00F423F8">
              <w:rPr>
                <w:rFonts w:eastAsia="MS Mincho"/>
              </w:rPr>
              <w:t>35.3</w:t>
            </w:r>
            <w:r w:rsidRPr="00FD71B4">
              <w:rPr>
                <w:rFonts w:eastAsia="MS Mincho"/>
              </w:rPr>
              <w:t>%)</w:t>
            </w:r>
          </w:p>
        </w:tc>
        <w:tc>
          <w:tcPr>
            <w:tcW w:w="1014" w:type="pct"/>
            <w:tcMar>
              <w:left w:w="28" w:type="dxa"/>
              <w:right w:w="28" w:type="dxa"/>
            </w:tcMar>
            <w:vAlign w:val="center"/>
          </w:tcPr>
          <w:p w:rsidR="00FD71B4" w:rsidRPr="00FD71B4" w:rsidRDefault="00FD71B4" w:rsidP="002C1625">
            <w:pPr>
              <w:pStyle w:val="Tablewriting"/>
              <w:keepNext/>
              <w:jc w:val="center"/>
              <w:rPr>
                <w:rFonts w:eastAsia="MS Mincho"/>
                <w:b/>
              </w:rPr>
            </w:pPr>
            <w:r>
              <w:rPr>
                <w:rFonts w:eastAsia="MS Mincho"/>
                <w:b/>
                <w:bCs/>
              </w:rPr>
              <w:t>1.23</w:t>
            </w:r>
          </w:p>
          <w:p w:rsidR="00FD71B4" w:rsidRPr="00FD71B4" w:rsidRDefault="00FD71B4" w:rsidP="002C1625">
            <w:pPr>
              <w:pStyle w:val="Tablewriting"/>
              <w:keepNext/>
              <w:jc w:val="center"/>
              <w:rPr>
                <w:rFonts w:eastAsia="MS Mincho"/>
              </w:rPr>
            </w:pPr>
            <w:r w:rsidRPr="00FD71B4">
              <w:rPr>
                <w:rFonts w:eastAsia="MS Mincho"/>
                <w:b/>
                <w:bCs/>
              </w:rPr>
              <w:t>(</w:t>
            </w:r>
            <w:r>
              <w:rPr>
                <w:rFonts w:eastAsia="MS Mincho"/>
                <w:b/>
                <w:bCs/>
              </w:rPr>
              <w:t>1.08</w:t>
            </w:r>
            <w:r w:rsidRPr="00FD71B4">
              <w:rPr>
                <w:rFonts w:eastAsia="MS Mincho"/>
                <w:b/>
                <w:bCs/>
              </w:rPr>
              <w:t xml:space="preserve">, </w:t>
            </w:r>
            <w:r>
              <w:rPr>
                <w:rFonts w:eastAsia="MS Mincho"/>
                <w:b/>
                <w:bCs/>
              </w:rPr>
              <w:t>1</w:t>
            </w:r>
            <w:r w:rsidRPr="00FD71B4">
              <w:rPr>
                <w:rFonts w:eastAsia="MS Mincho"/>
                <w:b/>
                <w:bCs/>
              </w:rPr>
              <w:t>.4</w:t>
            </w:r>
            <w:r>
              <w:rPr>
                <w:rFonts w:eastAsia="MS Mincho"/>
                <w:b/>
                <w:bCs/>
              </w:rPr>
              <w:t>1</w:t>
            </w:r>
            <w:r w:rsidRPr="00FD71B4">
              <w:rPr>
                <w:rFonts w:eastAsia="MS Mincho"/>
                <w:b/>
                <w:bCs/>
              </w:rPr>
              <w:t>)</w:t>
            </w:r>
          </w:p>
        </w:tc>
      </w:tr>
    </w:tbl>
    <w:p w:rsidR="00FD71B4" w:rsidRDefault="00FD71B4" w:rsidP="00FD71B4">
      <w:pPr>
        <w:pStyle w:val="TableFooter"/>
        <w:keepNext/>
      </w:pPr>
      <w:r>
        <w:t>Source: Livingstone-Banks et al. (2019)</w:t>
      </w:r>
    </w:p>
    <w:p w:rsidR="00FD71B4" w:rsidRDefault="00FD71B4" w:rsidP="00FD71B4">
      <w:pPr>
        <w:pStyle w:val="TableFooter"/>
        <w:keepNext/>
        <w:rPr>
          <w:i/>
        </w:rPr>
      </w:pPr>
      <w:r>
        <w:t>Abbreviations: CI = confidence interval; RCT = randomised controlled trial; RR = risk ratio</w:t>
      </w:r>
      <w:r w:rsidRPr="00061F78">
        <w:t xml:space="preserve"> </w:t>
      </w:r>
    </w:p>
    <w:p w:rsidR="00FD71B4" w:rsidRDefault="00FD71B4" w:rsidP="00FD71B4">
      <w:pPr>
        <w:pStyle w:val="TableFooter"/>
        <w:keepNext/>
      </w:pPr>
      <w:r w:rsidRPr="00061F78">
        <w:rPr>
          <w:highlight w:val="lightGray"/>
        </w:rPr>
        <w:t>Shaded</w:t>
      </w:r>
      <w:r w:rsidRPr="00061F78">
        <w:t xml:space="preserve"> = previously considered by the PBAC</w:t>
      </w:r>
    </w:p>
    <w:p w:rsidR="00FD71B4" w:rsidRDefault="00FD71B4" w:rsidP="00FD71B4">
      <w:pPr>
        <w:pStyle w:val="TableFooter"/>
        <w:keepNext/>
      </w:pPr>
      <w:r w:rsidRPr="00D468CF">
        <w:t>Note</w:t>
      </w:r>
      <w:r>
        <w:t>s</w:t>
      </w:r>
      <w:r w:rsidRPr="00D468CF">
        <w:t>: Bold indicates statistically significant difference.</w:t>
      </w:r>
      <w:r>
        <w:br/>
        <w:t>1 Continuous abstinence rate at 12 months (Week 13-52)</w:t>
      </w:r>
      <w:r w:rsidR="00AB5FA3">
        <w:t>.</w:t>
      </w:r>
    </w:p>
    <w:p w:rsidR="00FD71B4" w:rsidRDefault="00FD71B4" w:rsidP="00FD71B4">
      <w:pPr>
        <w:pStyle w:val="TableFooter"/>
        <w:keepNext/>
      </w:pPr>
      <w:r>
        <w:t xml:space="preserve">2 Where cessation was assessed at multiple intervals, the longest follow-up data were used. Where multiple definitions of abstinence were assessed, the strictest of these definitions was used (e.g. continuous/prolonged abstinence over point prevalence abstinence). See </w:t>
      </w:r>
      <w:r w:rsidRPr="009E4D54">
        <w:t xml:space="preserve">Appendix </w:t>
      </w:r>
      <w:r w:rsidR="003C4A1C">
        <w:t xml:space="preserve">Table </w:t>
      </w:r>
      <w:r w:rsidR="003C4A1C">
        <w:rPr>
          <w:noProof/>
        </w:rPr>
        <w:t>151</w:t>
      </w:r>
      <w:r>
        <w:t xml:space="preserve"> for the definition used in each study.</w:t>
      </w:r>
      <w:r w:rsidR="002C2A52" w:rsidRPr="002C2A52">
        <w:t xml:space="preserve"> Stud</w:t>
      </w:r>
      <w:r w:rsidR="00F75AB4">
        <w:t>y</w:t>
      </w:r>
      <w:r w:rsidR="002C2A52" w:rsidRPr="002C2A52">
        <w:t xml:space="preserve"> previously considered by the PBAC w</w:t>
      </w:r>
      <w:r w:rsidR="00F75AB4">
        <w:t>as</w:t>
      </w:r>
      <w:r w:rsidR="002C2A52" w:rsidRPr="002C2A52">
        <w:t xml:space="preserve"> included in the meta-analysis</w:t>
      </w:r>
      <w:r w:rsidR="002C2A52">
        <w:t xml:space="preserve"> of Livingstone-Banks et al. (2019).</w:t>
      </w:r>
    </w:p>
    <w:p w:rsidR="00FD71B4" w:rsidRDefault="00FD71B4" w:rsidP="00FD71B4">
      <w:pPr>
        <w:pStyle w:val="TableFooter"/>
        <w:keepNext/>
      </w:pPr>
      <w:r w:rsidRPr="009E4D54">
        <w:t xml:space="preserve">3 Calculated </w:t>
      </w:r>
      <w:r w:rsidR="00523CCB" w:rsidRPr="009E4D54">
        <w:t>by Cochrane Review authors</w:t>
      </w:r>
      <w:r w:rsidRPr="009E4D54">
        <w:t xml:space="preserve"> using a fixed-effect model</w:t>
      </w:r>
      <w:r w:rsidR="00AB5FA3">
        <w:t>.</w:t>
      </w:r>
    </w:p>
    <w:p w:rsidR="00F423F8" w:rsidRDefault="00F423F8" w:rsidP="00FD71B4">
      <w:pPr>
        <w:pStyle w:val="TableFooter"/>
        <w:keepNext/>
      </w:pPr>
      <w:r>
        <w:t xml:space="preserve">4 </w:t>
      </w:r>
      <w:r w:rsidRPr="00F423F8">
        <w:t xml:space="preserve">The number of events (n) reported in </w:t>
      </w:r>
      <w:r>
        <w:t>Livingstone-Banks</w:t>
      </w:r>
      <w:r w:rsidRPr="00F423F8">
        <w:t xml:space="preserve"> et al. (201</w:t>
      </w:r>
      <w:r>
        <w:t>9</w:t>
      </w:r>
      <w:r w:rsidRPr="00F423F8">
        <w:t>) differed from the number stated in the Varenicline PSD (200</w:t>
      </w:r>
      <w:r>
        <w:t>9</w:t>
      </w:r>
      <w:r w:rsidRPr="00F423F8">
        <w:t>); (</w:t>
      </w:r>
      <w:r>
        <w:t>Varenicline</w:t>
      </w:r>
      <w:r w:rsidRPr="00F423F8">
        <w:t>, n=</w:t>
      </w:r>
      <w:r>
        <w:t>263</w:t>
      </w:r>
      <w:r w:rsidRPr="00F423F8">
        <w:t xml:space="preserve"> versus </w:t>
      </w:r>
      <w:r>
        <w:t>265</w:t>
      </w:r>
      <w:r w:rsidRPr="00F423F8">
        <w:t xml:space="preserve">). The number reported in </w:t>
      </w:r>
      <w:r>
        <w:t>Livingstone-Banks</w:t>
      </w:r>
      <w:r w:rsidRPr="00F423F8">
        <w:t xml:space="preserve"> et al. (20</w:t>
      </w:r>
      <w:r>
        <w:t>19</w:t>
      </w:r>
      <w:r w:rsidRPr="00F423F8">
        <w:t>) w</w:t>
      </w:r>
      <w:r>
        <w:t>as</w:t>
      </w:r>
      <w:r w:rsidRPr="00F423F8">
        <w:t xml:space="preserve"> used as th</w:t>
      </w:r>
      <w:r>
        <w:t xml:space="preserve">is number </w:t>
      </w:r>
      <w:r w:rsidRPr="00F423F8">
        <w:t xml:space="preserve">corresponded with the </w:t>
      </w:r>
      <w:r>
        <w:t>number</w:t>
      </w:r>
      <w:r w:rsidRPr="00F423F8">
        <w:t xml:space="preserve"> reported in the key publication.</w:t>
      </w:r>
    </w:p>
    <w:p w:rsidR="00F423F8" w:rsidRDefault="00F423F8" w:rsidP="003B4B27">
      <w:r w:rsidRPr="00F423F8">
        <w:t xml:space="preserve">The results of the individual studies included in </w:t>
      </w:r>
      <w:r>
        <w:t>Livingstone-Banks</w:t>
      </w:r>
      <w:r w:rsidRPr="00F423F8">
        <w:t xml:space="preserve"> et al. (201</w:t>
      </w:r>
      <w:r>
        <w:t>9</w:t>
      </w:r>
      <w:r w:rsidRPr="00F423F8">
        <w:t xml:space="preserve">) are presented using a forest plot in </w:t>
      </w:r>
      <w:r w:rsidR="003C4A1C">
        <w:t xml:space="preserve">Figure </w:t>
      </w:r>
      <w:r w:rsidR="003C4A1C">
        <w:rPr>
          <w:noProof/>
        </w:rPr>
        <w:t>9</w:t>
      </w:r>
      <w:r w:rsidRPr="00F423F8">
        <w:t xml:space="preserve">. </w:t>
      </w:r>
      <w:r>
        <w:t>It was noted the other RCT that was included in the meta-analysis (Evins et al. 2014) administered varenicline over 40 weeks (Week 12 to 52) as a relapse prevention treatment instead of a standard 12-week treatment regimen.</w:t>
      </w:r>
    </w:p>
    <w:p w:rsidR="00F423F8" w:rsidRDefault="00F423F8" w:rsidP="00F423F8">
      <w:pPr>
        <w:keepNext/>
      </w:pPr>
      <w:r>
        <w:rPr>
          <w:noProof/>
        </w:rPr>
        <w:drawing>
          <wp:inline distT="0" distB="0" distL="0" distR="0" wp14:anchorId="45ACF894" wp14:editId="42B1C868">
            <wp:extent cx="5731510" cy="1591310"/>
            <wp:effectExtent l="0" t="0" r="254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28">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rsidR="00ED79C1" w:rsidRDefault="00F423F8" w:rsidP="00F423F8">
      <w:pPr>
        <w:pStyle w:val="Caption"/>
      </w:pPr>
      <w:bookmarkStart w:id="108" w:name="_Ref54784071"/>
      <w:r>
        <w:t xml:space="preserve">Figure </w:t>
      </w:r>
      <w:r w:rsidR="003C4A1C">
        <w:rPr>
          <w:noProof/>
        </w:rPr>
        <w:t>9</w:t>
      </w:r>
      <w:bookmarkEnd w:id="108"/>
      <w:r>
        <w:t xml:space="preserve">: </w:t>
      </w:r>
      <w:r w:rsidRPr="00F20B2A">
        <w:t xml:space="preserve">Results of smoking cessation at </w:t>
      </w:r>
      <w:r>
        <w:t>12</w:t>
      </w:r>
      <w:r w:rsidRPr="00F20B2A">
        <w:t xml:space="preserve"> months </w:t>
      </w:r>
      <w:r>
        <w:t xml:space="preserve">after quit date </w:t>
      </w:r>
      <w:r w:rsidRPr="00F20B2A">
        <w:t xml:space="preserve">in </w:t>
      </w:r>
      <w:r>
        <w:t>Livingstone-Banks</w:t>
      </w:r>
      <w:r w:rsidRPr="00F20B2A">
        <w:t xml:space="preserve"> et al. (201</w:t>
      </w:r>
      <w:r>
        <w:t>9</w:t>
      </w:r>
      <w:r w:rsidRPr="00F20B2A">
        <w:t>), varenicline versus placebo</w:t>
      </w:r>
      <w:r w:rsidR="002F03FD">
        <w:t xml:space="preserve"> </w:t>
      </w:r>
      <w:r w:rsidR="002F03FD" w:rsidRPr="00555061">
        <w:t>in abstainers for relapse prevention</w:t>
      </w:r>
    </w:p>
    <w:p w:rsidR="00F423F8" w:rsidRDefault="00F423F8" w:rsidP="00F423F8">
      <w:pPr>
        <w:pStyle w:val="FigureFooter"/>
      </w:pPr>
      <w:r>
        <w:t>Source: Livingstone-Banks et al. (2019)</w:t>
      </w:r>
    </w:p>
    <w:p w:rsidR="00F423F8" w:rsidRDefault="00F423F8" w:rsidP="00F423F8">
      <w:pPr>
        <w:pStyle w:val="FigureFooter"/>
      </w:pPr>
      <w:r w:rsidRPr="00D041F9">
        <w:t>Abbreviations: CI = confidence interval</w:t>
      </w:r>
    </w:p>
    <w:p w:rsidR="001C1416" w:rsidRDefault="00D7564C" w:rsidP="00B92197">
      <w:r>
        <w:t xml:space="preserve">As Schnoll et al. (2019) did not require </w:t>
      </w:r>
      <w:r w:rsidRPr="00D7564C">
        <w:t xml:space="preserve">patients to </w:t>
      </w:r>
      <w:r w:rsidR="00D92764">
        <w:t>have</w:t>
      </w:r>
      <w:r w:rsidRPr="00D7564C">
        <w:t xml:space="preserve"> successfully abstained at 12 weeks to receive another 12 weeks of varenicline or placebo treatment</w:t>
      </w:r>
      <w:r>
        <w:t xml:space="preserve">, the results of this study </w:t>
      </w:r>
      <w:r>
        <w:lastRenderedPageBreak/>
        <w:t xml:space="preserve">were </w:t>
      </w:r>
      <w:r w:rsidR="007C584E">
        <w:t xml:space="preserve">not directly applicable in the Australian setting and were </w:t>
      </w:r>
      <w:r w:rsidR="00960001">
        <w:t>presented separately</w:t>
      </w:r>
      <w:r w:rsidR="003C799A">
        <w:t xml:space="preserve">. </w:t>
      </w:r>
      <w:r w:rsidR="00FA68C6">
        <w:t xml:space="preserve">The </w:t>
      </w:r>
      <w:r w:rsidR="005F7EF5">
        <w:t>p</w:t>
      </w:r>
      <w:r w:rsidR="005F7EF5" w:rsidRPr="005F7EF5">
        <w:t>oint prevalence and continuous abstinence quit rates at weeks 24 and 52 were not significantly different across</w:t>
      </w:r>
      <w:r w:rsidR="005F7EF5">
        <w:t xml:space="preserve"> the two</w:t>
      </w:r>
      <w:r w:rsidR="005F7EF5" w:rsidRPr="005F7EF5">
        <w:t xml:space="preserve"> treatment arms</w:t>
      </w:r>
      <w:r w:rsidR="005F7EF5">
        <w:t xml:space="preserve">. </w:t>
      </w:r>
      <w:r w:rsidR="0058276E">
        <w:t xml:space="preserve">When stratified based on medication adherence, adherent patients who received </w:t>
      </w:r>
      <w:r w:rsidR="00BC57FE">
        <w:t>24 weeks of varenicline reported significantly higher abstinence rates compared with adherent patients who received 12 weeks of varenicline plus 12 weeks of placebo; the</w:t>
      </w:r>
      <w:r w:rsidR="0051578E">
        <w:t xml:space="preserve"> results were not statistically significant between treatment arms in non-adherent patients</w:t>
      </w:r>
      <w:r w:rsidR="00BC57FE">
        <w:t>.</w:t>
      </w:r>
      <w:r w:rsidR="00333269">
        <w:t xml:space="preserve"> </w:t>
      </w:r>
      <w:r w:rsidR="001C1416">
        <w:t xml:space="preserve">A sensitivity analysis was conducted during the review by meta-analysing </w:t>
      </w:r>
      <w:r w:rsidR="00960001">
        <w:t xml:space="preserve">Schnoll et al. (2019) with Evins et al. (2014) and Tonstad et al. (2006). </w:t>
      </w:r>
      <w:r w:rsidR="00C62403">
        <w:t>The results of the meta-analysis were no longer statistically significant</w:t>
      </w:r>
      <w:r w:rsidR="000658DD">
        <w:t xml:space="preserve"> between </w:t>
      </w:r>
      <w:r w:rsidR="00DF194C">
        <w:t>the two treatment arms</w:t>
      </w:r>
      <w:r w:rsidR="000658DD">
        <w:t>, although the results numerically favoured vareniclin</w:t>
      </w:r>
      <w:r w:rsidR="0040513B">
        <w:t>e</w:t>
      </w:r>
      <w:r w:rsidR="00C62403">
        <w:t xml:space="preserve"> (RR: 1.30, 95% CI: 0.69, 2.45).</w:t>
      </w:r>
    </w:p>
    <w:p w:rsidR="00F423F8" w:rsidRPr="0073597F" w:rsidRDefault="00F423F8" w:rsidP="00F423F8">
      <w:pPr>
        <w:rPr>
          <w:u w:val="single"/>
        </w:rPr>
      </w:pPr>
      <w:r w:rsidRPr="0073597F">
        <w:rPr>
          <w:u w:val="single"/>
        </w:rPr>
        <w:t>Safety</w:t>
      </w:r>
    </w:p>
    <w:p w:rsidR="005D6AA0" w:rsidRDefault="00F423F8" w:rsidP="002C1625">
      <w:r w:rsidRPr="00F423F8">
        <w:t xml:space="preserve">The </w:t>
      </w:r>
      <w:r w:rsidR="00573F59">
        <w:t xml:space="preserve">safety </w:t>
      </w:r>
      <w:r w:rsidR="00B05DCD" w:rsidRPr="00F423F8">
        <w:t>of varenicline</w:t>
      </w:r>
      <w:r w:rsidR="002C1625">
        <w:t xml:space="preserve"> </w:t>
      </w:r>
      <w:r w:rsidR="00573F59">
        <w:t>versus</w:t>
      </w:r>
      <w:r w:rsidR="002C1625">
        <w:t xml:space="preserve"> placebo</w:t>
      </w:r>
      <w:r w:rsidRPr="00F423F8">
        <w:t xml:space="preserve"> </w:t>
      </w:r>
      <w:r w:rsidR="00F15CF6">
        <w:t>in abstainers for relapse prevention</w:t>
      </w:r>
      <w:r w:rsidRPr="00F423F8">
        <w:t xml:space="preserve"> was not </w:t>
      </w:r>
      <w:r w:rsidR="003B47EB">
        <w:t>assessed</w:t>
      </w:r>
      <w:r w:rsidRPr="00F423F8">
        <w:t xml:space="preserve"> by </w:t>
      </w:r>
      <w:r w:rsidR="002C1625" w:rsidRPr="002C1625">
        <w:t>Livingstone-Banks et al. (2019)</w:t>
      </w:r>
      <w:r w:rsidRPr="00F423F8">
        <w:t>.</w:t>
      </w:r>
      <w:r w:rsidR="002C1625">
        <w:t xml:space="preserve"> In November 2009, t</w:t>
      </w:r>
      <w:r w:rsidR="002C1625" w:rsidRPr="002C1625">
        <w:t xml:space="preserve">he PBAC accepted the clinical claim that varenicline </w:t>
      </w:r>
      <w:r w:rsidR="00601B80">
        <w:t>was</w:t>
      </w:r>
      <w:r w:rsidR="002C1625">
        <w:t xml:space="preserve"> </w:t>
      </w:r>
      <w:r w:rsidR="002C1625" w:rsidRPr="002C1625">
        <w:t>inferior to placebo</w:t>
      </w:r>
      <w:r w:rsidR="002C1625">
        <w:t xml:space="preserve"> in terms of comparative safety in patients who </w:t>
      </w:r>
      <w:r w:rsidR="00601B80">
        <w:t>we</w:t>
      </w:r>
      <w:r w:rsidR="002C1625">
        <w:t>re abstinent from smoking after an initial 12</w:t>
      </w:r>
      <w:r w:rsidR="00AD2ECD">
        <w:t>-</w:t>
      </w:r>
      <w:r w:rsidR="002C1625">
        <w:t>week course of varenicline</w:t>
      </w:r>
      <w:r w:rsidR="002C1625" w:rsidRPr="002C1625">
        <w:t xml:space="preserve"> (</w:t>
      </w:r>
      <w:r w:rsidR="002C1625" w:rsidRPr="005B09B5">
        <w:t>Varenicline PSD,</w:t>
      </w:r>
      <w:r w:rsidR="00B92197" w:rsidRPr="005B09B5">
        <w:t xml:space="preserve"> November </w:t>
      </w:r>
      <w:r w:rsidR="002C1625" w:rsidRPr="005B09B5">
        <w:t>2009</w:t>
      </w:r>
      <w:r w:rsidR="00B92197" w:rsidRPr="005B09B5">
        <w:t xml:space="preserve"> PBAC meeting</w:t>
      </w:r>
      <w:r w:rsidR="002C1625" w:rsidRPr="002C1625">
        <w:t>).</w:t>
      </w:r>
      <w:r w:rsidR="00333269">
        <w:t xml:space="preserve"> </w:t>
      </w:r>
    </w:p>
    <w:p w:rsidR="006A6AC2" w:rsidRDefault="00B5560F" w:rsidP="002C1625">
      <w:r>
        <w:t xml:space="preserve">In </w:t>
      </w:r>
      <w:r w:rsidR="00E45493">
        <w:t>Tonstad et al. (2006), t</w:t>
      </w:r>
      <w:r w:rsidR="00E45493" w:rsidRPr="00E45493">
        <w:t xml:space="preserve">he most commonly reported adverse events during </w:t>
      </w:r>
      <w:r w:rsidR="00D34F2A">
        <w:t xml:space="preserve">the initial </w:t>
      </w:r>
      <w:r w:rsidR="00E45493" w:rsidRPr="00E45493">
        <w:t>open</w:t>
      </w:r>
      <w:r w:rsidR="00E45493">
        <w:t>-</w:t>
      </w:r>
      <w:r w:rsidR="00E45493" w:rsidRPr="00E45493">
        <w:t xml:space="preserve">label varenicline treatment </w:t>
      </w:r>
      <w:r w:rsidR="00D34F2A">
        <w:t xml:space="preserve">phase </w:t>
      </w:r>
      <w:r w:rsidR="00E45493" w:rsidRPr="00E45493">
        <w:t>were nausea (3</w:t>
      </w:r>
      <w:r w:rsidR="00252055">
        <w:t>3.5</w:t>
      </w:r>
      <w:r w:rsidR="00E45493" w:rsidRPr="00E45493">
        <w:t>%), insomnia (1</w:t>
      </w:r>
      <w:r w:rsidR="00252055">
        <w:t>9</w:t>
      </w:r>
      <w:r w:rsidR="00E45493" w:rsidRPr="00E45493">
        <w:t>.6%), abnormal dreams (14</w:t>
      </w:r>
      <w:r w:rsidR="00252055">
        <w:t>.3</w:t>
      </w:r>
      <w:r w:rsidR="00E45493" w:rsidRPr="00E45493">
        <w:t>%) and headache (1</w:t>
      </w:r>
      <w:r w:rsidR="00AD185A">
        <w:t>5.8</w:t>
      </w:r>
      <w:r w:rsidR="00E45493" w:rsidRPr="00E45493">
        <w:t>%)</w:t>
      </w:r>
      <w:r w:rsidR="00AD185A">
        <w:t>.</w:t>
      </w:r>
      <w:r w:rsidR="006A6AC2">
        <w:t xml:space="preserve"> </w:t>
      </w:r>
      <w:r w:rsidR="006A6AC2" w:rsidRPr="006A6AC2">
        <w:t>The incidence of adverse events during the double-blind treatment phase was similar for the varenicline and placebo groups (46% and 45%, respectively).</w:t>
      </w:r>
      <w:r w:rsidR="00E45493" w:rsidRPr="00E45493">
        <w:t xml:space="preserve"> </w:t>
      </w:r>
    </w:p>
    <w:p w:rsidR="006A6AC2" w:rsidRDefault="006A6AC2" w:rsidP="002C1625">
      <w:r>
        <w:t xml:space="preserve">In Evins et al. (2014), </w:t>
      </w:r>
      <w:r w:rsidR="001D5BC7">
        <w:t>t</w:t>
      </w:r>
      <w:r w:rsidR="001D5BC7" w:rsidRPr="00E45493">
        <w:t>he most commonly reported adverse events during open</w:t>
      </w:r>
      <w:r w:rsidR="001D5BC7">
        <w:t>-</w:t>
      </w:r>
      <w:r w:rsidR="001D5BC7" w:rsidRPr="00E45493">
        <w:t xml:space="preserve">label varenicline treatment </w:t>
      </w:r>
      <w:r w:rsidR="001D5BC7">
        <w:t xml:space="preserve">(after quit date, week 5 to 12) </w:t>
      </w:r>
      <w:r w:rsidR="001D5BC7" w:rsidRPr="00E45493">
        <w:t xml:space="preserve">were </w:t>
      </w:r>
      <w:r w:rsidR="00022937">
        <w:t>agitation (32%), anxiety (30%), headache (30%) and excitement (28%)</w:t>
      </w:r>
      <w:r w:rsidR="001D5BC7">
        <w:t>.</w:t>
      </w:r>
      <w:r w:rsidR="008447D5">
        <w:t xml:space="preserve"> There were no statistically significant differences in nausea, insomnia, abnormal dreams, headache, depression, suicidal ideation</w:t>
      </w:r>
      <w:r w:rsidR="008C32C3">
        <w:t xml:space="preserve"> and serious adverse events during the double-blind treatment phase, as reported by Cahill et al. (2016).</w:t>
      </w:r>
    </w:p>
    <w:p w:rsidR="00B5560F" w:rsidRDefault="00B5560F" w:rsidP="002C1625">
      <w:r>
        <w:t xml:space="preserve">In Schnoll et al. (2019), </w:t>
      </w:r>
      <w:r w:rsidR="006927EA">
        <w:t xml:space="preserve">there were no significant differences </w:t>
      </w:r>
      <w:r w:rsidR="004D2711">
        <w:t>in</w:t>
      </w:r>
      <w:r w:rsidR="006927EA" w:rsidRPr="006927EA">
        <w:t xml:space="preserve"> side effects, adverse and serious adverse events and rates of high blood pres</w:t>
      </w:r>
      <w:r w:rsidR="006927EA">
        <w:t>sure</w:t>
      </w:r>
      <w:r w:rsidR="004D2711" w:rsidRPr="004D2711">
        <w:t xml:space="preserve"> between </w:t>
      </w:r>
      <w:r w:rsidR="008E106B">
        <w:t xml:space="preserve">patients receiving </w:t>
      </w:r>
      <w:r w:rsidR="002B10E8" w:rsidRPr="002B10E8">
        <w:t>12 weeks of varenicline plus 12 weeks of placebo versus 24 weeks of varenicline</w:t>
      </w:r>
      <w:r w:rsidR="006927EA">
        <w:t xml:space="preserve">. </w:t>
      </w:r>
    </w:p>
    <w:p w:rsidR="002C1625" w:rsidRDefault="002C1625" w:rsidP="002C1625">
      <w:pPr>
        <w:rPr>
          <w:b/>
          <w:bCs/>
        </w:rPr>
      </w:pPr>
      <w:r w:rsidRPr="00F20770">
        <w:rPr>
          <w:b/>
          <w:bCs/>
        </w:rPr>
        <w:t xml:space="preserve">Varenicline versus placebo – </w:t>
      </w:r>
      <w:r w:rsidR="00FB365D">
        <w:rPr>
          <w:b/>
          <w:bCs/>
        </w:rPr>
        <w:t>non-</w:t>
      </w:r>
      <w:r w:rsidRPr="00F20770">
        <w:rPr>
          <w:b/>
          <w:bCs/>
        </w:rPr>
        <w:t>ab</w:t>
      </w:r>
      <w:r>
        <w:rPr>
          <w:b/>
          <w:bCs/>
        </w:rPr>
        <w:t>stainers (retreatment)</w:t>
      </w:r>
    </w:p>
    <w:p w:rsidR="002C1625" w:rsidRDefault="00FB365D" w:rsidP="002C1625">
      <w:r w:rsidRPr="00FB365D">
        <w:t xml:space="preserve">A summary of the citation details for the studies comparing varenicline with placebo in </w:t>
      </w:r>
      <w:r>
        <w:t>non-</w:t>
      </w:r>
      <w:r w:rsidRPr="00FB365D">
        <w:t xml:space="preserve">abstainers </w:t>
      </w:r>
      <w:r>
        <w:t>as</w:t>
      </w:r>
      <w:r w:rsidRPr="00FB365D">
        <w:t xml:space="preserve"> re</w:t>
      </w:r>
      <w:r>
        <w:t>treatment</w:t>
      </w:r>
      <w:r w:rsidRPr="00FB365D">
        <w:t xml:space="preserve"> is presented in </w:t>
      </w:r>
      <w:r w:rsidR="003C4A1C">
        <w:t xml:space="preserve">Table </w:t>
      </w:r>
      <w:r w:rsidR="003C4A1C">
        <w:rPr>
          <w:noProof/>
        </w:rPr>
        <w:t>35</w:t>
      </w:r>
      <w:r w:rsidRPr="00FB365D">
        <w:t>. One study was previously considered by the PBAC (</w:t>
      </w:r>
      <w:r>
        <w:t>Gonzales</w:t>
      </w:r>
      <w:r w:rsidRPr="00FB365D">
        <w:t xml:space="preserve"> et al. 20</w:t>
      </w:r>
      <w:r>
        <w:t>14</w:t>
      </w:r>
      <w:r w:rsidR="00877F36">
        <w:t>; referred to as Trial A3051139 in March 2014 PBAC meeting</w:t>
      </w:r>
      <w:r w:rsidRPr="00FB365D">
        <w:t xml:space="preserve">). A recently conducted Cochrane </w:t>
      </w:r>
      <w:r w:rsidR="00BB7AD6">
        <w:t>R</w:t>
      </w:r>
      <w:r w:rsidRPr="00FB365D">
        <w:t xml:space="preserve">eview by </w:t>
      </w:r>
      <w:r>
        <w:t>Cahill</w:t>
      </w:r>
      <w:r w:rsidRPr="00FB365D">
        <w:t xml:space="preserve"> et al. (201</w:t>
      </w:r>
      <w:r>
        <w:t>6</w:t>
      </w:r>
      <w:r w:rsidRPr="00FB365D">
        <w:t xml:space="preserve">) was identified in the systematic literature review that compared varenicline with placebo </w:t>
      </w:r>
      <w:r>
        <w:t>as retreatment</w:t>
      </w:r>
      <w:r w:rsidRPr="00FB365D">
        <w:t xml:space="preserve"> and was included in this report.</w:t>
      </w:r>
      <w:r w:rsidR="006927EA">
        <w:t xml:space="preserve"> </w:t>
      </w:r>
      <w:r w:rsidR="006927EA" w:rsidRPr="006927EA">
        <w:t xml:space="preserve">No new studies comparing </w:t>
      </w:r>
      <w:r w:rsidR="006927EA">
        <w:t xml:space="preserve">varenicline </w:t>
      </w:r>
      <w:r w:rsidR="006927EA" w:rsidRPr="006927EA">
        <w:t>with placebo</w:t>
      </w:r>
      <w:r w:rsidR="006927EA">
        <w:t xml:space="preserve"> </w:t>
      </w:r>
      <w:r w:rsidR="00457F7E">
        <w:t>in non-abstainers as retreatment</w:t>
      </w:r>
      <w:r w:rsidR="006927EA" w:rsidRPr="006927EA">
        <w:t xml:space="preserve"> were identified in the supplemental literature search.</w:t>
      </w:r>
    </w:p>
    <w:p w:rsidR="00FB365D" w:rsidRDefault="00FB365D" w:rsidP="00FB365D">
      <w:pPr>
        <w:pStyle w:val="Caption"/>
        <w:keepNext/>
      </w:pPr>
      <w:bookmarkStart w:id="109" w:name="_Ref54786319"/>
      <w:r>
        <w:lastRenderedPageBreak/>
        <w:t xml:space="preserve">Table </w:t>
      </w:r>
      <w:r w:rsidR="003C4A1C">
        <w:rPr>
          <w:noProof/>
        </w:rPr>
        <w:t>35</w:t>
      </w:r>
      <w:bookmarkEnd w:id="109"/>
      <w:r>
        <w:t xml:space="preserve">: </w:t>
      </w:r>
      <w:r w:rsidRPr="003756F6">
        <w:t xml:space="preserve">List of studies comparing varenicline with placebo in </w:t>
      </w:r>
      <w:r>
        <w:t>non-</w:t>
      </w:r>
      <w:r w:rsidRPr="003756F6">
        <w:t xml:space="preserve">abstainers </w:t>
      </w:r>
      <w:r w:rsidR="004250A7">
        <w:t>as</w:t>
      </w:r>
      <w:r w:rsidRPr="003756F6">
        <w:t xml:space="preserve"> re</w:t>
      </w:r>
      <w:r>
        <w:t>treatment</w:t>
      </w:r>
    </w:p>
    <w:tbl>
      <w:tblPr>
        <w:tblStyle w:val="TableGrid"/>
        <w:tblW w:w="5000" w:type="pct"/>
        <w:tblLook w:val="04A0" w:firstRow="1" w:lastRow="0" w:firstColumn="1" w:lastColumn="0" w:noHBand="0" w:noVBand="1"/>
        <w:tblCaption w:val="Efficacy results of adalimumab trials (PASI 75 and DLQI)"/>
      </w:tblPr>
      <w:tblGrid>
        <w:gridCol w:w="1021"/>
        <w:gridCol w:w="7995"/>
      </w:tblGrid>
      <w:tr w:rsidR="00843C2E" w:rsidRPr="00061F78" w:rsidTr="00FB365D">
        <w:trPr>
          <w:cantSplit/>
          <w:trHeight w:val="329"/>
          <w:tblHeader/>
        </w:trPr>
        <w:tc>
          <w:tcPr>
            <w:tcW w:w="566" w:type="pct"/>
            <w:shd w:val="clear" w:color="auto" w:fill="BFBFBF" w:themeFill="background1" w:themeFillShade="BF"/>
            <w:tcMar>
              <w:left w:w="28" w:type="dxa"/>
              <w:right w:w="28" w:type="dxa"/>
            </w:tcMar>
          </w:tcPr>
          <w:p w:rsidR="00FB365D" w:rsidRPr="00061F78" w:rsidRDefault="00126B7B" w:rsidP="00FB365D">
            <w:pPr>
              <w:pStyle w:val="Tableheading"/>
              <w:keepNext/>
              <w:rPr>
                <w:rFonts w:eastAsia="MS Mincho"/>
              </w:rPr>
            </w:pPr>
            <w:r>
              <w:rPr>
                <w:rFonts w:eastAsia="MS Mincho"/>
              </w:rPr>
              <w:t>Study</w:t>
            </w:r>
          </w:p>
        </w:tc>
        <w:tc>
          <w:tcPr>
            <w:tcW w:w="4434" w:type="pct"/>
            <w:shd w:val="clear" w:color="auto" w:fill="BFBFBF" w:themeFill="background1" w:themeFillShade="BF"/>
          </w:tcPr>
          <w:p w:rsidR="00FB365D" w:rsidRDefault="00FB365D" w:rsidP="00FB365D">
            <w:pPr>
              <w:pStyle w:val="Tableheading"/>
              <w:keepNext/>
              <w:jc w:val="center"/>
              <w:rPr>
                <w:rFonts w:eastAsia="MS Mincho"/>
              </w:rPr>
            </w:pPr>
            <w:r>
              <w:rPr>
                <w:rFonts w:eastAsia="MS Mincho"/>
              </w:rPr>
              <w:t>Citation</w:t>
            </w:r>
          </w:p>
        </w:tc>
      </w:tr>
      <w:tr w:rsidR="00843C2E" w:rsidRPr="00061F78" w:rsidTr="00015CD6">
        <w:trPr>
          <w:cantSplit/>
          <w:trHeight w:val="109"/>
        </w:trPr>
        <w:tc>
          <w:tcPr>
            <w:tcW w:w="566" w:type="pct"/>
            <w:shd w:val="clear" w:color="auto" w:fill="D9D9D9" w:themeFill="background1" w:themeFillShade="D9"/>
            <w:tcMar>
              <w:left w:w="28" w:type="dxa"/>
              <w:right w:w="28" w:type="dxa"/>
            </w:tcMar>
          </w:tcPr>
          <w:p w:rsidR="00FB365D" w:rsidRDefault="00FB365D" w:rsidP="00FB365D">
            <w:pPr>
              <w:pStyle w:val="Tablewriting"/>
              <w:keepNext/>
              <w:rPr>
                <w:rFonts w:eastAsia="MS Mincho"/>
              </w:rPr>
            </w:pPr>
            <w:r>
              <w:rPr>
                <w:rFonts w:eastAsia="MS Mincho"/>
              </w:rPr>
              <w:t>Gonzales</w:t>
            </w:r>
          </w:p>
          <w:p w:rsidR="00FB365D" w:rsidRDefault="00FB365D" w:rsidP="00FB365D">
            <w:pPr>
              <w:pStyle w:val="Tablewriting"/>
              <w:keepNext/>
              <w:rPr>
                <w:rFonts w:eastAsia="MS Mincho"/>
              </w:rPr>
            </w:pPr>
            <w:r>
              <w:rPr>
                <w:rFonts w:eastAsia="MS Mincho"/>
              </w:rPr>
              <w:t>(2014)</w:t>
            </w:r>
            <w:r w:rsidR="0039468B" w:rsidRPr="00693911">
              <w:rPr>
                <w:rFonts w:eastAsia="MS Mincho"/>
                <w:noProof/>
                <w:vertAlign w:val="superscript"/>
              </w:rPr>
              <w:t>42</w:t>
            </w:r>
          </w:p>
        </w:tc>
        <w:tc>
          <w:tcPr>
            <w:tcW w:w="4434" w:type="pct"/>
            <w:shd w:val="clear" w:color="auto" w:fill="D9D9D9" w:themeFill="background1" w:themeFillShade="D9"/>
          </w:tcPr>
          <w:p w:rsidR="00FB365D" w:rsidRPr="003B6CC8" w:rsidRDefault="00FB365D" w:rsidP="00FB365D">
            <w:pPr>
              <w:pStyle w:val="Tablewriting"/>
              <w:keepNext/>
              <w:rPr>
                <w:rFonts w:eastAsia="MS Mincho"/>
              </w:rPr>
            </w:pPr>
            <w:r w:rsidRPr="00FB365D">
              <w:rPr>
                <w:rFonts w:eastAsia="MS Mincho"/>
              </w:rPr>
              <w:t>Gonzales D, Hajek P, Pliamm L, Nackaerts K, Tseng LJ, McRae TD, Treadow J. Retreatment with varenicline for smoking cessation in smokers who have previously taken varenicline: a randomized, placebo-controlled trial. Clin Pharmacol Ther. 2014 Sep;96(3):390-6.</w:t>
            </w:r>
          </w:p>
        </w:tc>
      </w:tr>
      <w:tr w:rsidR="00843C2E" w:rsidRPr="00061F78" w:rsidTr="00FB365D">
        <w:trPr>
          <w:cantSplit/>
          <w:trHeight w:val="164"/>
        </w:trPr>
        <w:tc>
          <w:tcPr>
            <w:tcW w:w="566" w:type="pct"/>
            <w:tcMar>
              <w:left w:w="28" w:type="dxa"/>
              <w:right w:w="28" w:type="dxa"/>
            </w:tcMar>
          </w:tcPr>
          <w:p w:rsidR="00FB365D" w:rsidRPr="00D07303" w:rsidRDefault="00FB365D" w:rsidP="00FB365D">
            <w:pPr>
              <w:pStyle w:val="Tablewriting"/>
              <w:keepNext/>
              <w:rPr>
                <w:rFonts w:eastAsia="MS Mincho"/>
                <w:vertAlign w:val="superscript"/>
              </w:rPr>
            </w:pPr>
            <w:r>
              <w:rPr>
                <w:rFonts w:eastAsia="MS Mincho"/>
              </w:rPr>
              <w:t>Cahill (2016)</w:t>
            </w:r>
            <w:r w:rsidR="0039468B">
              <w:rPr>
                <w:rFonts w:eastAsia="MS Mincho"/>
                <w:noProof/>
                <w:vertAlign w:val="superscript"/>
              </w:rPr>
              <w:t>19</w:t>
            </w:r>
          </w:p>
        </w:tc>
        <w:tc>
          <w:tcPr>
            <w:tcW w:w="4434" w:type="pct"/>
          </w:tcPr>
          <w:p w:rsidR="00FB365D" w:rsidRDefault="00FB365D" w:rsidP="00FB365D">
            <w:pPr>
              <w:pStyle w:val="Tablewriting"/>
              <w:keepNext/>
              <w:rPr>
                <w:rFonts w:eastAsia="MS Mincho"/>
              </w:rPr>
            </w:pPr>
            <w:r w:rsidRPr="00C01E20">
              <w:rPr>
                <w:rFonts w:eastAsia="MS Mincho"/>
              </w:rPr>
              <w:t>Cahill  K, Lindson‐Hawley  N, Thomas  KH, Fanshawe  TR, Lancaster  T. Nicotine receptor partial agonists for smoking cessation. Cochrane Database of Systematic Reviews 2016, Issue 5. Art. No.: CD006103.</w:t>
            </w:r>
          </w:p>
        </w:tc>
      </w:tr>
    </w:tbl>
    <w:p w:rsidR="004250A7" w:rsidRPr="00D14993" w:rsidRDefault="004250A7" w:rsidP="004250A7">
      <w:pPr>
        <w:pStyle w:val="TableFooter"/>
        <w:keepNext/>
      </w:pPr>
      <w:r w:rsidRPr="00061F78">
        <w:rPr>
          <w:highlight w:val="lightGray"/>
        </w:rPr>
        <w:t>Shaded</w:t>
      </w:r>
      <w:r w:rsidRPr="00061F78">
        <w:t xml:space="preserve"> = previously considered by the PBAC</w:t>
      </w:r>
    </w:p>
    <w:p w:rsidR="004250A7" w:rsidRDefault="004250A7" w:rsidP="004250A7">
      <w:pPr>
        <w:pStyle w:val="TableFooter"/>
        <w:keepNext/>
      </w:pPr>
      <w:r>
        <w:t>Notes: Gonzales et al. (2014</w:t>
      </w:r>
      <w:r w:rsidR="00787A58">
        <w:t>; referred to as Trial A3051139</w:t>
      </w:r>
      <w:r>
        <w:t>) was considered at the March 2014 PBAC meeting.</w:t>
      </w:r>
    </w:p>
    <w:p w:rsidR="002C1625" w:rsidRDefault="00FA6470" w:rsidP="002C1625">
      <w:r w:rsidRPr="00FA6470">
        <w:t xml:space="preserve">A summary of the characteristics of the studies comparing varenicline with placebo in </w:t>
      </w:r>
      <w:r w:rsidR="001D6DCC">
        <w:t>non-</w:t>
      </w:r>
      <w:r w:rsidRPr="00FA6470">
        <w:t xml:space="preserve">abstainers </w:t>
      </w:r>
      <w:r w:rsidR="001D6DCC">
        <w:t>as retreatment</w:t>
      </w:r>
      <w:r w:rsidRPr="00FA6470">
        <w:t xml:space="preserve"> is presented in </w:t>
      </w:r>
      <w:r w:rsidR="003C4A1C">
        <w:t xml:space="preserve">Table </w:t>
      </w:r>
      <w:r w:rsidR="003C4A1C">
        <w:rPr>
          <w:noProof/>
        </w:rPr>
        <w:t>36</w:t>
      </w:r>
      <w:r w:rsidRPr="00FA6470">
        <w:t xml:space="preserve">. </w:t>
      </w:r>
      <w:r w:rsidR="00CA0239">
        <w:t>One</w:t>
      </w:r>
      <w:r w:rsidR="00CA0239" w:rsidRPr="00CA0239">
        <w:t xml:space="preserve"> </w:t>
      </w:r>
      <w:r w:rsidR="00CA0239">
        <w:t>RCT</w:t>
      </w:r>
      <w:r w:rsidR="00CA0239" w:rsidRPr="00CA0239">
        <w:t xml:space="preserve"> comparing </w:t>
      </w:r>
      <w:r w:rsidR="00CA0239">
        <w:t>varenicline</w:t>
      </w:r>
      <w:r w:rsidR="00CA0239" w:rsidRPr="00CA0239">
        <w:t xml:space="preserve"> with </w:t>
      </w:r>
      <w:r w:rsidR="00CA0239">
        <w:t>p</w:t>
      </w:r>
      <w:r w:rsidR="00CA0239" w:rsidRPr="00CA0239">
        <w:t>lacebo w</w:t>
      </w:r>
      <w:r w:rsidR="00CA0239">
        <w:t>as</w:t>
      </w:r>
      <w:r w:rsidR="00CA0239" w:rsidRPr="00CA0239">
        <w:t xml:space="preserve"> identified by </w:t>
      </w:r>
      <w:r w:rsidR="00CA0239">
        <w:t>Cahill</w:t>
      </w:r>
      <w:r w:rsidR="00CA0239" w:rsidRPr="00CA0239">
        <w:t xml:space="preserve"> et al. (20</w:t>
      </w:r>
      <w:r w:rsidR="00CA0239">
        <w:t>16</w:t>
      </w:r>
      <w:r w:rsidR="00CA0239" w:rsidRPr="00CA0239">
        <w:t xml:space="preserve">). </w:t>
      </w:r>
      <w:r w:rsidR="0097632B">
        <w:t>This</w:t>
      </w:r>
      <w:r w:rsidRPr="00FA6470">
        <w:t xml:space="preserve"> </w:t>
      </w:r>
      <w:r w:rsidR="00D8784F">
        <w:t>study</w:t>
      </w:r>
      <w:r w:rsidRPr="00FA6470">
        <w:t xml:space="preserve"> was previously considered by the PBAC (</w:t>
      </w:r>
      <w:r w:rsidR="001D6DCC">
        <w:t>Gonzales</w:t>
      </w:r>
      <w:r w:rsidRPr="00FA6470">
        <w:t xml:space="preserve"> et al. 20</w:t>
      </w:r>
      <w:r w:rsidR="001D6DCC">
        <w:t>14</w:t>
      </w:r>
      <w:r w:rsidR="002352EF">
        <w:t>; referred to as Trial A3051139</w:t>
      </w:r>
      <w:r w:rsidRPr="00FA6470">
        <w:t xml:space="preserve">). The characteristics of the individual studies are presented in </w:t>
      </w:r>
      <w:r w:rsidRPr="00AD2ECD">
        <w:t>Appendix</w:t>
      </w:r>
      <w:r w:rsidRPr="00FA6470">
        <w:t xml:space="preserve"> </w:t>
      </w:r>
      <w:r w:rsidR="003C4A1C">
        <w:t xml:space="preserve">Table </w:t>
      </w:r>
      <w:r w:rsidR="003C4A1C">
        <w:rPr>
          <w:noProof/>
        </w:rPr>
        <w:t>152</w:t>
      </w:r>
      <w:r w:rsidRPr="00FA6470">
        <w:t>.</w:t>
      </w:r>
    </w:p>
    <w:p w:rsidR="00FA6470" w:rsidRDefault="00FA6470" w:rsidP="002C1625">
      <w:pPr>
        <w:sectPr w:rsidR="00FA6470" w:rsidSect="006356D2">
          <w:pgSz w:w="11906" w:h="16838"/>
          <w:pgMar w:top="1440" w:right="1440" w:bottom="1440" w:left="1440" w:header="708" w:footer="708" w:gutter="0"/>
          <w:cols w:space="708"/>
          <w:titlePg/>
          <w:docGrid w:linePitch="360"/>
        </w:sectPr>
      </w:pPr>
    </w:p>
    <w:p w:rsidR="001D6DCC" w:rsidRDefault="001D6DCC" w:rsidP="001D6DCC">
      <w:pPr>
        <w:pStyle w:val="Caption"/>
        <w:keepNext/>
      </w:pPr>
      <w:bookmarkStart w:id="110" w:name="_Ref54789752"/>
      <w:r>
        <w:lastRenderedPageBreak/>
        <w:t xml:space="preserve">Table </w:t>
      </w:r>
      <w:r w:rsidR="003C4A1C">
        <w:rPr>
          <w:noProof/>
        </w:rPr>
        <w:t>36</w:t>
      </w:r>
      <w:bookmarkEnd w:id="110"/>
      <w:r>
        <w:t xml:space="preserve">: </w:t>
      </w:r>
      <w:r w:rsidRPr="003E6838">
        <w:t xml:space="preserve">Characteristics of the studies comparing varenicline with placebo in </w:t>
      </w:r>
      <w:r>
        <w:t>non-</w:t>
      </w:r>
      <w:r w:rsidRPr="003E6838">
        <w:t xml:space="preserve">abstainers </w:t>
      </w:r>
      <w:r>
        <w:t>as retreatment</w:t>
      </w:r>
    </w:p>
    <w:tbl>
      <w:tblPr>
        <w:tblStyle w:val="TableGrid"/>
        <w:tblW w:w="5000" w:type="pct"/>
        <w:tblLook w:val="04A0" w:firstRow="1" w:lastRow="0" w:firstColumn="1" w:lastColumn="0" w:noHBand="0" w:noVBand="1"/>
        <w:tblCaption w:val="Efficacy results of adalimumab trials (PASI 75 and DLQI)"/>
      </w:tblPr>
      <w:tblGrid>
        <w:gridCol w:w="1034"/>
        <w:gridCol w:w="1076"/>
        <w:gridCol w:w="967"/>
        <w:gridCol w:w="6123"/>
        <w:gridCol w:w="2396"/>
        <w:gridCol w:w="2352"/>
      </w:tblGrid>
      <w:tr w:rsidR="00F64373" w:rsidRPr="00061F78" w:rsidTr="00670E78">
        <w:trPr>
          <w:trHeight w:val="299"/>
          <w:tblHeader/>
        </w:trPr>
        <w:tc>
          <w:tcPr>
            <w:tcW w:w="371" w:type="pct"/>
            <w:shd w:val="clear" w:color="auto" w:fill="BFBFBF" w:themeFill="background1" w:themeFillShade="BF"/>
            <w:tcMar>
              <w:left w:w="28" w:type="dxa"/>
              <w:right w:w="28" w:type="dxa"/>
            </w:tcMar>
          </w:tcPr>
          <w:p w:rsidR="00FA6470" w:rsidRPr="00061F78" w:rsidRDefault="00126B7B" w:rsidP="00FC6133">
            <w:pPr>
              <w:pStyle w:val="Tableheading"/>
              <w:keepNext/>
              <w:rPr>
                <w:rFonts w:eastAsia="MS Mincho"/>
              </w:rPr>
            </w:pPr>
            <w:r>
              <w:rPr>
                <w:rFonts w:eastAsia="MS Mincho"/>
              </w:rPr>
              <w:t>Study</w:t>
            </w:r>
          </w:p>
        </w:tc>
        <w:tc>
          <w:tcPr>
            <w:tcW w:w="386" w:type="pct"/>
            <w:shd w:val="clear" w:color="auto" w:fill="BFBFBF" w:themeFill="background1" w:themeFillShade="BF"/>
          </w:tcPr>
          <w:p w:rsidR="00FA6470" w:rsidRDefault="00FA6470" w:rsidP="00FC6133">
            <w:pPr>
              <w:pStyle w:val="Tableheading"/>
              <w:keepNext/>
              <w:jc w:val="center"/>
              <w:rPr>
                <w:rFonts w:eastAsia="MS Mincho"/>
              </w:rPr>
            </w:pPr>
            <w:r>
              <w:rPr>
                <w:rFonts w:eastAsia="MS Mincho"/>
              </w:rPr>
              <w:t>Study type</w:t>
            </w:r>
          </w:p>
        </w:tc>
        <w:tc>
          <w:tcPr>
            <w:tcW w:w="345" w:type="pct"/>
            <w:shd w:val="clear" w:color="auto" w:fill="BFBFBF" w:themeFill="background1" w:themeFillShade="BF"/>
            <w:tcMar>
              <w:left w:w="28" w:type="dxa"/>
              <w:right w:w="28" w:type="dxa"/>
            </w:tcMar>
          </w:tcPr>
          <w:p w:rsidR="00FA6470" w:rsidRPr="00AE21E9" w:rsidRDefault="00FA6470" w:rsidP="00FC6133">
            <w:pPr>
              <w:pStyle w:val="Tableheading"/>
              <w:keepNext/>
              <w:jc w:val="center"/>
              <w:rPr>
                <w:rFonts w:eastAsia="MS Mincho"/>
                <w:vertAlign w:val="superscript"/>
              </w:rPr>
            </w:pPr>
            <w:r>
              <w:rPr>
                <w:rFonts w:eastAsia="MS Mincho"/>
              </w:rPr>
              <w:t>N</w:t>
            </w:r>
            <w:r>
              <w:rPr>
                <w:rFonts w:eastAsia="MS Mincho"/>
                <w:vertAlign w:val="superscript"/>
              </w:rPr>
              <w:t>1</w:t>
            </w:r>
          </w:p>
        </w:tc>
        <w:tc>
          <w:tcPr>
            <w:tcW w:w="2195" w:type="pct"/>
            <w:shd w:val="clear" w:color="auto" w:fill="BFBFBF" w:themeFill="background1" w:themeFillShade="BF"/>
            <w:tcMar>
              <w:left w:w="28" w:type="dxa"/>
              <w:right w:w="28" w:type="dxa"/>
            </w:tcMar>
          </w:tcPr>
          <w:p w:rsidR="00FA6470" w:rsidRPr="00061F78" w:rsidRDefault="00FA6470" w:rsidP="00FC6133">
            <w:pPr>
              <w:pStyle w:val="Tableheading"/>
              <w:keepNext/>
              <w:jc w:val="center"/>
              <w:rPr>
                <w:rFonts w:eastAsia="MS Mincho"/>
              </w:rPr>
            </w:pPr>
            <w:r w:rsidRPr="00061F78">
              <w:rPr>
                <w:rFonts w:eastAsia="MS Mincho"/>
              </w:rPr>
              <w:t>P</w:t>
            </w:r>
            <w:r>
              <w:rPr>
                <w:rFonts w:eastAsia="MS Mincho"/>
              </w:rPr>
              <w:t>opulation</w:t>
            </w:r>
          </w:p>
        </w:tc>
        <w:tc>
          <w:tcPr>
            <w:tcW w:w="859" w:type="pct"/>
            <w:shd w:val="clear" w:color="auto" w:fill="BFBFBF" w:themeFill="background1" w:themeFillShade="BF"/>
          </w:tcPr>
          <w:p w:rsidR="00FA6470" w:rsidRDefault="00FA6470" w:rsidP="00FC6133">
            <w:pPr>
              <w:pStyle w:val="Tableheading"/>
              <w:keepNext/>
              <w:jc w:val="center"/>
              <w:rPr>
                <w:rFonts w:eastAsia="MS Mincho"/>
              </w:rPr>
            </w:pPr>
            <w:r>
              <w:rPr>
                <w:rFonts w:eastAsia="MS Mincho"/>
              </w:rPr>
              <w:t>Intervention and comparator</w:t>
            </w:r>
          </w:p>
        </w:tc>
        <w:tc>
          <w:tcPr>
            <w:tcW w:w="843" w:type="pct"/>
            <w:shd w:val="clear" w:color="auto" w:fill="BFBFBF" w:themeFill="background1" w:themeFillShade="BF"/>
            <w:tcMar>
              <w:left w:w="28" w:type="dxa"/>
              <w:right w:w="28" w:type="dxa"/>
            </w:tcMar>
          </w:tcPr>
          <w:p w:rsidR="00FA6470" w:rsidRPr="00061F78" w:rsidRDefault="00FA6470" w:rsidP="00FC6133">
            <w:pPr>
              <w:pStyle w:val="Tableheading"/>
              <w:keepNext/>
              <w:jc w:val="center"/>
              <w:rPr>
                <w:rFonts w:eastAsia="MS Mincho"/>
              </w:rPr>
            </w:pPr>
            <w:r>
              <w:rPr>
                <w:rFonts w:eastAsia="MS Mincho"/>
              </w:rPr>
              <w:t>Outcomes</w:t>
            </w:r>
          </w:p>
        </w:tc>
      </w:tr>
      <w:tr w:rsidR="00F64373" w:rsidRPr="00061F78" w:rsidTr="00015CD6">
        <w:trPr>
          <w:trHeight w:val="99"/>
        </w:trPr>
        <w:tc>
          <w:tcPr>
            <w:tcW w:w="371" w:type="pct"/>
            <w:shd w:val="clear" w:color="auto" w:fill="D9D9D9" w:themeFill="background1" w:themeFillShade="D9"/>
            <w:tcMar>
              <w:left w:w="28" w:type="dxa"/>
              <w:right w:w="28" w:type="dxa"/>
            </w:tcMar>
          </w:tcPr>
          <w:p w:rsidR="001D6DCC" w:rsidRDefault="001D6DCC" w:rsidP="001D6DCC">
            <w:pPr>
              <w:pStyle w:val="Tablewriting"/>
              <w:keepNext/>
              <w:rPr>
                <w:rFonts w:eastAsia="MS Mincho"/>
              </w:rPr>
            </w:pPr>
            <w:r>
              <w:rPr>
                <w:rFonts w:eastAsia="MS Mincho"/>
              </w:rPr>
              <w:t>Gonzales</w:t>
            </w:r>
          </w:p>
          <w:p w:rsidR="00FA6470" w:rsidRDefault="001D6DCC" w:rsidP="001D6DCC">
            <w:pPr>
              <w:pStyle w:val="Tablewriting"/>
              <w:keepNext/>
              <w:rPr>
                <w:rFonts w:eastAsia="MS Mincho"/>
              </w:rPr>
            </w:pPr>
            <w:r>
              <w:rPr>
                <w:rFonts w:eastAsia="MS Mincho"/>
              </w:rPr>
              <w:t>(2014)</w:t>
            </w:r>
          </w:p>
        </w:tc>
        <w:tc>
          <w:tcPr>
            <w:tcW w:w="386" w:type="pct"/>
            <w:shd w:val="clear" w:color="auto" w:fill="D9D9D9" w:themeFill="background1" w:themeFillShade="D9"/>
          </w:tcPr>
          <w:p w:rsidR="00FA6470" w:rsidRDefault="00FA6470" w:rsidP="00FC6133">
            <w:pPr>
              <w:pStyle w:val="Tablewriting"/>
              <w:keepNext/>
              <w:rPr>
                <w:rFonts w:eastAsia="MS Mincho"/>
              </w:rPr>
            </w:pPr>
            <w:r>
              <w:rPr>
                <w:rFonts w:eastAsia="MS Mincho"/>
              </w:rPr>
              <w:t>RCT</w:t>
            </w:r>
          </w:p>
        </w:tc>
        <w:tc>
          <w:tcPr>
            <w:tcW w:w="345" w:type="pct"/>
            <w:shd w:val="clear" w:color="auto" w:fill="D9D9D9" w:themeFill="background1" w:themeFillShade="D9"/>
            <w:tcMar>
              <w:left w:w="28" w:type="dxa"/>
              <w:right w:w="28" w:type="dxa"/>
            </w:tcMar>
          </w:tcPr>
          <w:p w:rsidR="00F10711" w:rsidRDefault="00F10711" w:rsidP="00F10711">
            <w:pPr>
              <w:pStyle w:val="Tablewriting"/>
              <w:keepNext/>
              <w:rPr>
                <w:rFonts w:eastAsia="MS Mincho"/>
              </w:rPr>
            </w:pPr>
            <w:r>
              <w:rPr>
                <w:rFonts w:eastAsia="MS Mincho"/>
              </w:rPr>
              <w:t>N=498</w:t>
            </w:r>
          </w:p>
          <w:p w:rsidR="00F10711" w:rsidRDefault="00F10711" w:rsidP="00F10711">
            <w:pPr>
              <w:pStyle w:val="Tablewriting"/>
              <w:keepNext/>
              <w:rPr>
                <w:rFonts w:eastAsia="MS Mincho"/>
              </w:rPr>
            </w:pPr>
            <w:r>
              <w:rPr>
                <w:rFonts w:eastAsia="MS Mincho"/>
              </w:rPr>
              <w:t>Varenicline (n=251),</w:t>
            </w:r>
          </w:p>
          <w:p w:rsidR="00FA6470" w:rsidRDefault="00F10711" w:rsidP="00F10711">
            <w:pPr>
              <w:pStyle w:val="Tablewriting"/>
              <w:keepNext/>
              <w:rPr>
                <w:rFonts w:eastAsia="MS Mincho"/>
              </w:rPr>
            </w:pPr>
            <w:r>
              <w:rPr>
                <w:rFonts w:eastAsia="MS Mincho"/>
              </w:rPr>
              <w:t>Placebo (n=247)</w:t>
            </w:r>
          </w:p>
        </w:tc>
        <w:tc>
          <w:tcPr>
            <w:tcW w:w="2195" w:type="pct"/>
            <w:shd w:val="clear" w:color="auto" w:fill="D9D9D9" w:themeFill="background1" w:themeFillShade="D9"/>
            <w:tcMar>
              <w:left w:w="28" w:type="dxa"/>
              <w:right w:w="28" w:type="dxa"/>
            </w:tcMar>
          </w:tcPr>
          <w:p w:rsidR="00FA6470" w:rsidRDefault="00FA6470" w:rsidP="00FC6133">
            <w:pPr>
              <w:pStyle w:val="Tablewriting"/>
              <w:keepNext/>
              <w:rPr>
                <w:rFonts w:eastAsia="MS Mincho"/>
              </w:rPr>
            </w:pPr>
            <w:r w:rsidRPr="007F28D7">
              <w:rPr>
                <w:rFonts w:eastAsia="MS Mincho"/>
                <w:u w:val="single"/>
              </w:rPr>
              <w:t>Inclusion</w:t>
            </w:r>
            <w:r>
              <w:rPr>
                <w:rFonts w:eastAsia="MS Mincho"/>
              </w:rPr>
              <w:t xml:space="preserve">: </w:t>
            </w:r>
            <w:r w:rsidR="000A6E6B">
              <w:rPr>
                <w:rFonts w:eastAsia="MS Mincho" w:cstheme="minorHAnsi"/>
              </w:rPr>
              <w:t>≥</w:t>
            </w:r>
            <w:r w:rsidR="000A6E6B" w:rsidRPr="000A6E6B">
              <w:rPr>
                <w:rFonts w:eastAsia="MS Mincho"/>
              </w:rPr>
              <w:t xml:space="preserve">18 years of age, smoked </w:t>
            </w:r>
            <w:r w:rsidR="00F75AB4">
              <w:rPr>
                <w:rFonts w:eastAsia="MS Mincho" w:cstheme="minorHAnsi"/>
              </w:rPr>
              <w:t>≥</w:t>
            </w:r>
            <w:r w:rsidR="000A6E6B" w:rsidRPr="000A6E6B">
              <w:rPr>
                <w:rFonts w:eastAsia="MS Mincho"/>
              </w:rPr>
              <w:t>10 cigarettes</w:t>
            </w:r>
            <w:r w:rsidR="00F75AB4">
              <w:rPr>
                <w:rFonts w:eastAsia="MS Mincho"/>
              </w:rPr>
              <w:t xml:space="preserve"> per </w:t>
            </w:r>
            <w:r w:rsidR="000A6E6B" w:rsidRPr="000A6E6B">
              <w:rPr>
                <w:rFonts w:eastAsia="MS Mincho"/>
              </w:rPr>
              <w:t>day during the 4 weeks before</w:t>
            </w:r>
            <w:r w:rsidR="000A6E6B">
              <w:rPr>
                <w:rFonts w:eastAsia="MS Mincho"/>
              </w:rPr>
              <w:t xml:space="preserve"> </w:t>
            </w:r>
            <w:r w:rsidR="000A6E6B" w:rsidRPr="000A6E6B">
              <w:rPr>
                <w:rFonts w:eastAsia="MS Mincho"/>
              </w:rPr>
              <w:t xml:space="preserve">screening, exhaled </w:t>
            </w:r>
            <w:r w:rsidR="00F75AB4">
              <w:rPr>
                <w:rFonts w:eastAsia="MS Mincho"/>
              </w:rPr>
              <w:t>CO</w:t>
            </w:r>
            <w:r w:rsidR="000A6E6B" w:rsidRPr="000A6E6B">
              <w:rPr>
                <w:rFonts w:eastAsia="MS Mincho"/>
              </w:rPr>
              <w:t xml:space="preserve"> &gt;10ppm at screening, no quit attempts in the previous</w:t>
            </w:r>
            <w:r w:rsidR="007578CC">
              <w:rPr>
                <w:rFonts w:eastAsia="MS Mincho"/>
              </w:rPr>
              <w:t xml:space="preserve"> </w:t>
            </w:r>
            <w:r w:rsidR="000A6E6B" w:rsidRPr="000A6E6B">
              <w:rPr>
                <w:rFonts w:eastAsia="MS Mincho"/>
              </w:rPr>
              <w:t>3 months, previously taken varenicline for 2 or more weeks, with</w:t>
            </w:r>
            <w:r w:rsidR="007578CC">
              <w:rPr>
                <w:rFonts w:eastAsia="MS Mincho"/>
              </w:rPr>
              <w:t xml:space="preserve"> </w:t>
            </w:r>
            <w:r w:rsidR="000A6E6B" w:rsidRPr="000A6E6B">
              <w:rPr>
                <w:rFonts w:eastAsia="MS Mincho"/>
              </w:rPr>
              <w:t>the last dose taken ≥3 months before screening, motivate</w:t>
            </w:r>
            <w:r w:rsidR="002C7300">
              <w:rPr>
                <w:rFonts w:eastAsia="MS Mincho"/>
              </w:rPr>
              <w:t xml:space="preserve">d </w:t>
            </w:r>
            <w:r w:rsidR="000A6E6B" w:rsidRPr="000A6E6B">
              <w:rPr>
                <w:rFonts w:eastAsia="MS Mincho"/>
              </w:rPr>
              <w:t>to</w:t>
            </w:r>
            <w:r w:rsidR="007578CC">
              <w:rPr>
                <w:rFonts w:eastAsia="MS Mincho"/>
              </w:rPr>
              <w:t xml:space="preserve"> </w:t>
            </w:r>
            <w:r w:rsidR="000A6E6B" w:rsidRPr="000A6E6B">
              <w:rPr>
                <w:rFonts w:eastAsia="MS Mincho"/>
              </w:rPr>
              <w:t>stop smoking</w:t>
            </w:r>
            <w:r w:rsidR="00AB5FA3">
              <w:rPr>
                <w:rFonts w:eastAsia="MS Mincho"/>
              </w:rPr>
              <w:t>.</w:t>
            </w:r>
          </w:p>
          <w:p w:rsidR="00FA6470" w:rsidRPr="00061F78" w:rsidRDefault="00FA6470" w:rsidP="00FC6133">
            <w:pPr>
              <w:pStyle w:val="Tablewriting"/>
              <w:keepNext/>
              <w:rPr>
                <w:rFonts w:eastAsia="MS Mincho"/>
              </w:rPr>
            </w:pPr>
            <w:r w:rsidRPr="007F28D7">
              <w:rPr>
                <w:rFonts w:eastAsia="MS Mincho"/>
                <w:u w:val="single"/>
              </w:rPr>
              <w:t>Exclusion</w:t>
            </w:r>
            <w:r>
              <w:rPr>
                <w:rFonts w:eastAsia="MS Mincho"/>
              </w:rPr>
              <w:t xml:space="preserve">: </w:t>
            </w:r>
            <w:r w:rsidR="00253936" w:rsidRPr="00253936">
              <w:rPr>
                <w:rFonts w:eastAsia="MS Mincho"/>
              </w:rPr>
              <w:t>any previous significant adverse</w:t>
            </w:r>
            <w:r w:rsidR="00253936">
              <w:rPr>
                <w:rFonts w:eastAsia="MS Mincho"/>
              </w:rPr>
              <w:t xml:space="preserve"> </w:t>
            </w:r>
            <w:r w:rsidR="00253936" w:rsidRPr="00253936">
              <w:rPr>
                <w:rFonts w:eastAsia="MS Mincho"/>
              </w:rPr>
              <w:t>reaction to varenicline</w:t>
            </w:r>
            <w:r w:rsidR="002C7300">
              <w:rPr>
                <w:rFonts w:eastAsia="MS Mincho"/>
              </w:rPr>
              <w:t>,</w:t>
            </w:r>
            <w:r w:rsidR="00253936" w:rsidRPr="00253936">
              <w:rPr>
                <w:rFonts w:eastAsia="MS Mincho"/>
              </w:rPr>
              <w:t xml:space="preserve"> previous participation in a varenicline study,</w:t>
            </w:r>
            <w:r w:rsidR="00253936">
              <w:rPr>
                <w:rFonts w:eastAsia="MS Mincho"/>
              </w:rPr>
              <w:t xml:space="preserve"> </w:t>
            </w:r>
            <w:r w:rsidR="00253936" w:rsidRPr="00253936">
              <w:rPr>
                <w:rFonts w:eastAsia="MS Mincho"/>
              </w:rPr>
              <w:t>severe</w:t>
            </w:r>
            <w:r w:rsidR="002C7300">
              <w:rPr>
                <w:rFonts w:eastAsia="MS Mincho"/>
              </w:rPr>
              <w:t xml:space="preserve"> COPD,</w:t>
            </w:r>
            <w:r w:rsidR="00253936" w:rsidRPr="00253936">
              <w:rPr>
                <w:rFonts w:eastAsia="MS Mincho"/>
              </w:rPr>
              <w:t xml:space="preserve"> recent history</w:t>
            </w:r>
            <w:r w:rsidR="004A62B8">
              <w:rPr>
                <w:rFonts w:eastAsia="MS Mincho"/>
              </w:rPr>
              <w:t xml:space="preserve"> </w:t>
            </w:r>
            <w:r w:rsidR="00253936" w:rsidRPr="00253936">
              <w:rPr>
                <w:rFonts w:eastAsia="MS Mincho"/>
              </w:rPr>
              <w:t>of cancer</w:t>
            </w:r>
            <w:r w:rsidR="002C7300">
              <w:rPr>
                <w:rFonts w:eastAsia="MS Mincho"/>
              </w:rPr>
              <w:t>,</w:t>
            </w:r>
            <w:r w:rsidR="00253936" w:rsidRPr="00253936">
              <w:rPr>
                <w:rFonts w:eastAsia="MS Mincho"/>
              </w:rPr>
              <w:t xml:space="preserve"> clinically significant cardiovascular disease or cerebrovascular</w:t>
            </w:r>
            <w:r w:rsidR="004A62B8">
              <w:rPr>
                <w:rFonts w:eastAsia="MS Mincho"/>
              </w:rPr>
              <w:t xml:space="preserve"> </w:t>
            </w:r>
            <w:r w:rsidR="00253936" w:rsidRPr="00253936">
              <w:rPr>
                <w:rFonts w:eastAsia="MS Mincho"/>
              </w:rPr>
              <w:t>disease in the previous 2 months</w:t>
            </w:r>
            <w:r w:rsidR="002C7300">
              <w:rPr>
                <w:rFonts w:eastAsia="MS Mincho"/>
              </w:rPr>
              <w:t>,</w:t>
            </w:r>
            <w:r w:rsidR="00253936" w:rsidRPr="00253936">
              <w:rPr>
                <w:rFonts w:eastAsia="MS Mincho"/>
              </w:rPr>
              <w:t xml:space="preserve"> history of a suicide attempt or any</w:t>
            </w:r>
            <w:r w:rsidR="004A62B8">
              <w:rPr>
                <w:rFonts w:eastAsia="MS Mincho"/>
              </w:rPr>
              <w:t xml:space="preserve"> </w:t>
            </w:r>
            <w:r w:rsidR="00253936" w:rsidRPr="00253936">
              <w:rPr>
                <w:rFonts w:eastAsia="MS Mincho"/>
              </w:rPr>
              <w:t xml:space="preserve">suicidal </w:t>
            </w:r>
            <w:r w:rsidR="004A62B8" w:rsidRPr="00253936">
              <w:rPr>
                <w:rFonts w:eastAsia="MS Mincho"/>
              </w:rPr>
              <w:t>behaviour</w:t>
            </w:r>
            <w:r w:rsidR="00253936" w:rsidRPr="00253936">
              <w:rPr>
                <w:rFonts w:eastAsia="MS Mincho"/>
              </w:rPr>
              <w:t xml:space="preserve"> in the past 2 years or current suicidal ideation</w:t>
            </w:r>
            <w:r w:rsidR="00A8184F">
              <w:rPr>
                <w:rFonts w:eastAsia="MS Mincho"/>
              </w:rPr>
              <w:t>,</w:t>
            </w:r>
            <w:r w:rsidR="00253936" w:rsidRPr="00253936">
              <w:rPr>
                <w:rFonts w:eastAsia="MS Mincho"/>
              </w:rPr>
              <w:t xml:space="preserve"> current depression </w:t>
            </w:r>
            <w:r w:rsidR="00166B24" w:rsidRPr="00253936">
              <w:rPr>
                <w:rFonts w:eastAsia="MS Mincho"/>
              </w:rPr>
              <w:t>sel</w:t>
            </w:r>
            <w:r w:rsidR="00166B24">
              <w:rPr>
                <w:rFonts w:eastAsia="MS Mincho"/>
              </w:rPr>
              <w:t>f-</w:t>
            </w:r>
            <w:r w:rsidR="00166B24" w:rsidRPr="00253936">
              <w:rPr>
                <w:rFonts w:eastAsia="MS Mincho"/>
              </w:rPr>
              <w:t>reported</w:t>
            </w:r>
            <w:r w:rsidR="004A62B8">
              <w:rPr>
                <w:rFonts w:eastAsia="MS Mincho"/>
              </w:rPr>
              <w:t xml:space="preserve"> </w:t>
            </w:r>
            <w:r w:rsidR="00253936" w:rsidRPr="00253936">
              <w:rPr>
                <w:rFonts w:eastAsia="MS Mincho"/>
              </w:rPr>
              <w:t>at screening or with a diagnosis of depression or treatment</w:t>
            </w:r>
            <w:r w:rsidR="004A62B8">
              <w:rPr>
                <w:rFonts w:eastAsia="MS Mincho"/>
              </w:rPr>
              <w:t xml:space="preserve"> </w:t>
            </w:r>
            <w:r w:rsidR="00253936" w:rsidRPr="00253936">
              <w:rPr>
                <w:rFonts w:eastAsia="MS Mincho"/>
              </w:rPr>
              <w:t>with antidepressants during the previous 12 month</w:t>
            </w:r>
            <w:r w:rsidR="00A8184F">
              <w:rPr>
                <w:rFonts w:eastAsia="MS Mincho"/>
              </w:rPr>
              <w:t>s,</w:t>
            </w:r>
            <w:r w:rsidR="00253936" w:rsidRPr="00253936">
              <w:rPr>
                <w:rFonts w:eastAsia="MS Mincho"/>
              </w:rPr>
              <w:t xml:space="preserve"> lifetime diagnosis of psychosis, panic disorder, other anxiety</w:t>
            </w:r>
            <w:r w:rsidR="00166B24">
              <w:rPr>
                <w:rFonts w:eastAsia="MS Mincho"/>
              </w:rPr>
              <w:t xml:space="preserve"> </w:t>
            </w:r>
            <w:r w:rsidR="00253936" w:rsidRPr="00253936">
              <w:rPr>
                <w:rFonts w:eastAsia="MS Mincho"/>
              </w:rPr>
              <w:t>disorders, or bipolar disorder</w:t>
            </w:r>
            <w:r w:rsidR="00A8184F">
              <w:rPr>
                <w:rFonts w:eastAsia="MS Mincho"/>
              </w:rPr>
              <w:t>,</w:t>
            </w:r>
            <w:r w:rsidR="00253936" w:rsidRPr="00253936">
              <w:rPr>
                <w:rFonts w:eastAsia="MS Mincho"/>
              </w:rPr>
              <w:t xml:space="preserve"> active alcohol or substance abuse/dependence (except nicotine) within the past 12 months</w:t>
            </w:r>
            <w:r w:rsidR="00A8184F">
              <w:rPr>
                <w:rFonts w:eastAsia="MS Mincho"/>
              </w:rPr>
              <w:t>,</w:t>
            </w:r>
            <w:r w:rsidR="00253936" w:rsidRPr="00253936">
              <w:rPr>
                <w:rFonts w:eastAsia="MS Mincho"/>
              </w:rPr>
              <w:t xml:space="preserve"> severe</w:t>
            </w:r>
            <w:r w:rsidR="00166B24">
              <w:rPr>
                <w:rFonts w:eastAsia="MS Mincho"/>
              </w:rPr>
              <w:t xml:space="preserve"> </w:t>
            </w:r>
            <w:r w:rsidR="00253936" w:rsidRPr="00253936">
              <w:rPr>
                <w:rFonts w:eastAsia="MS Mincho"/>
              </w:rPr>
              <w:t>medical or psychiatric condition or laboratory abnormality</w:t>
            </w:r>
            <w:r w:rsidR="00A8184F">
              <w:rPr>
                <w:rFonts w:eastAsia="MS Mincho"/>
              </w:rPr>
              <w:t>,</w:t>
            </w:r>
            <w:r w:rsidR="00166B24">
              <w:rPr>
                <w:rFonts w:eastAsia="MS Mincho"/>
              </w:rPr>
              <w:t xml:space="preserve"> </w:t>
            </w:r>
            <w:r w:rsidR="00253936" w:rsidRPr="00253936">
              <w:rPr>
                <w:rFonts w:eastAsia="MS Mincho"/>
              </w:rPr>
              <w:t>use of NRT, bupropion, or other smoking cessation aids during</w:t>
            </w:r>
            <w:r w:rsidR="00166B24">
              <w:rPr>
                <w:rFonts w:eastAsia="MS Mincho"/>
              </w:rPr>
              <w:t xml:space="preserve"> </w:t>
            </w:r>
            <w:r w:rsidR="00253936" w:rsidRPr="00253936">
              <w:rPr>
                <w:rFonts w:eastAsia="MS Mincho"/>
              </w:rPr>
              <w:t>treatment</w:t>
            </w:r>
            <w:r w:rsidR="00A8184F">
              <w:rPr>
                <w:rFonts w:eastAsia="MS Mincho"/>
              </w:rPr>
              <w:t>,</w:t>
            </w:r>
            <w:r w:rsidR="00253936" w:rsidRPr="00253936">
              <w:rPr>
                <w:rFonts w:eastAsia="MS Mincho"/>
              </w:rPr>
              <w:t xml:space="preserve"> and use of other tobacco products,</w:t>
            </w:r>
            <w:r w:rsidR="00166B24">
              <w:rPr>
                <w:rFonts w:eastAsia="MS Mincho"/>
              </w:rPr>
              <w:t xml:space="preserve"> </w:t>
            </w:r>
            <w:r w:rsidR="00253936" w:rsidRPr="00253936">
              <w:rPr>
                <w:rFonts w:eastAsia="MS Mincho"/>
              </w:rPr>
              <w:t>electronic cigarettes, marijuana, or illegal or street drugs at any time</w:t>
            </w:r>
            <w:r w:rsidR="00166B24">
              <w:rPr>
                <w:rFonts w:eastAsia="MS Mincho"/>
              </w:rPr>
              <w:t xml:space="preserve"> </w:t>
            </w:r>
            <w:r w:rsidR="00253936" w:rsidRPr="00253936">
              <w:rPr>
                <w:rFonts w:eastAsia="MS Mincho"/>
              </w:rPr>
              <w:t>during the study</w:t>
            </w:r>
            <w:r w:rsidR="00A8184F">
              <w:rPr>
                <w:rFonts w:eastAsia="MS Mincho"/>
              </w:rPr>
              <w:t>,</w:t>
            </w:r>
            <w:r w:rsidR="00D20A1B">
              <w:rPr>
                <w:rFonts w:eastAsia="MS Mincho"/>
              </w:rPr>
              <w:t xml:space="preserve"> pregnancy and breastfeeding.</w:t>
            </w:r>
          </w:p>
        </w:tc>
        <w:tc>
          <w:tcPr>
            <w:tcW w:w="859" w:type="pct"/>
            <w:shd w:val="clear" w:color="auto" w:fill="D9D9D9" w:themeFill="background1" w:themeFillShade="D9"/>
          </w:tcPr>
          <w:p w:rsidR="00FA6470" w:rsidRDefault="00FA6470" w:rsidP="00FC6133">
            <w:pPr>
              <w:pStyle w:val="Tablewriting"/>
              <w:keepNext/>
              <w:rPr>
                <w:rFonts w:eastAsia="MS Mincho"/>
              </w:rPr>
            </w:pPr>
            <w:r>
              <w:rPr>
                <w:rFonts w:eastAsia="MS Mincho"/>
              </w:rPr>
              <w:t>Varenicline</w:t>
            </w:r>
            <w:r w:rsidRPr="00A34E7B">
              <w:rPr>
                <w:rFonts w:eastAsia="MS Mincho"/>
              </w:rPr>
              <w:t xml:space="preserve">: </w:t>
            </w:r>
            <w:r w:rsidR="00807C27" w:rsidRPr="00372F18">
              <w:rPr>
                <w:rFonts w:eastAsia="MS Mincho"/>
              </w:rPr>
              <w:t>1</w:t>
            </w:r>
            <w:r w:rsidR="00EB3600">
              <w:rPr>
                <w:rFonts w:eastAsia="MS Mincho"/>
              </w:rPr>
              <w:t xml:space="preserve"> </w:t>
            </w:r>
            <w:r w:rsidR="00807C27" w:rsidRPr="00372F18">
              <w:rPr>
                <w:rFonts w:eastAsia="MS Mincho"/>
              </w:rPr>
              <w:t>mg twice daily titrated</w:t>
            </w:r>
            <w:r w:rsidR="00807C27">
              <w:rPr>
                <w:rFonts w:eastAsia="MS Mincho"/>
              </w:rPr>
              <w:t xml:space="preserve"> over 12 weeks</w:t>
            </w:r>
            <w:r w:rsidR="00807C27" w:rsidRPr="00372F18">
              <w:rPr>
                <w:rFonts w:eastAsia="MS Mincho"/>
              </w:rPr>
              <w:t xml:space="preserve"> (i</w:t>
            </w:r>
            <w:r w:rsidR="00807C27">
              <w:rPr>
                <w:rFonts w:eastAsia="MS Mincho"/>
              </w:rPr>
              <w:t>.</w:t>
            </w:r>
            <w:r w:rsidR="00807C27" w:rsidRPr="00372F18">
              <w:rPr>
                <w:rFonts w:eastAsia="MS Mincho"/>
              </w:rPr>
              <w:t>e</w:t>
            </w:r>
            <w:r w:rsidR="00807C27">
              <w:rPr>
                <w:rFonts w:eastAsia="MS Mincho"/>
              </w:rPr>
              <w:t>.</w:t>
            </w:r>
            <w:r w:rsidR="00807C27" w:rsidRPr="00372F18">
              <w:rPr>
                <w:rFonts w:eastAsia="MS Mincho"/>
              </w:rPr>
              <w:t xml:space="preserve"> 0.5</w:t>
            </w:r>
            <w:r w:rsidR="00EB3600">
              <w:rPr>
                <w:rFonts w:eastAsia="MS Mincho"/>
              </w:rPr>
              <w:t xml:space="preserve"> </w:t>
            </w:r>
            <w:r w:rsidR="00807C27" w:rsidRPr="00372F18">
              <w:rPr>
                <w:rFonts w:eastAsia="MS Mincho"/>
              </w:rPr>
              <w:t>mg once</w:t>
            </w:r>
            <w:r w:rsidR="00807C27">
              <w:rPr>
                <w:rFonts w:eastAsia="MS Mincho"/>
              </w:rPr>
              <w:t xml:space="preserve"> </w:t>
            </w:r>
            <w:r w:rsidR="00807C27" w:rsidRPr="00372F18">
              <w:rPr>
                <w:rFonts w:eastAsia="MS Mincho"/>
              </w:rPr>
              <w:t>daily for 3 days, then 0.5</w:t>
            </w:r>
            <w:r w:rsidR="00EB3600">
              <w:rPr>
                <w:rFonts w:eastAsia="MS Mincho"/>
              </w:rPr>
              <w:t xml:space="preserve"> </w:t>
            </w:r>
            <w:r w:rsidR="00807C27" w:rsidRPr="00372F18">
              <w:rPr>
                <w:rFonts w:eastAsia="MS Mincho"/>
              </w:rPr>
              <w:t>mg twice daily for 4 days, then 1</w:t>
            </w:r>
            <w:r w:rsidR="00EB3600">
              <w:rPr>
                <w:rFonts w:eastAsia="MS Mincho"/>
              </w:rPr>
              <w:t xml:space="preserve"> </w:t>
            </w:r>
            <w:r w:rsidR="00807C27" w:rsidRPr="00372F18">
              <w:rPr>
                <w:rFonts w:eastAsia="MS Mincho"/>
              </w:rPr>
              <w:t>mg twice daily)</w:t>
            </w:r>
            <w:r w:rsidR="003E68B5">
              <w:rPr>
                <w:rFonts w:eastAsia="MS Mincho"/>
              </w:rPr>
              <w:t>;</w:t>
            </w:r>
          </w:p>
          <w:p w:rsidR="00FA6470" w:rsidRDefault="00FA6470" w:rsidP="00FC6133">
            <w:pPr>
              <w:pStyle w:val="Tablewriting"/>
              <w:keepNext/>
              <w:rPr>
                <w:rFonts w:eastAsia="MS Mincho"/>
              </w:rPr>
            </w:pPr>
            <w:r>
              <w:rPr>
                <w:rFonts w:eastAsia="MS Mincho"/>
              </w:rPr>
              <w:t>Placebo: placebo tablet for 12 weeks, same regimen</w:t>
            </w:r>
            <w:r w:rsidR="00AB5FA3">
              <w:rPr>
                <w:rFonts w:eastAsia="MS Mincho"/>
              </w:rPr>
              <w:t>.</w:t>
            </w:r>
          </w:p>
          <w:p w:rsidR="00670E78" w:rsidRDefault="00670E78" w:rsidP="00FC6133">
            <w:pPr>
              <w:pStyle w:val="Tablewriting"/>
              <w:keepNext/>
              <w:rPr>
                <w:rFonts w:eastAsia="MS Mincho"/>
              </w:rPr>
            </w:pPr>
          </w:p>
          <w:p w:rsidR="00670E78" w:rsidRPr="00061F78" w:rsidRDefault="00670E78" w:rsidP="00FC6133">
            <w:pPr>
              <w:pStyle w:val="Tablewriting"/>
              <w:keepNext/>
              <w:rPr>
                <w:rFonts w:eastAsia="MS Mincho"/>
              </w:rPr>
            </w:pPr>
            <w:r w:rsidRPr="00670E78">
              <w:rPr>
                <w:rFonts w:eastAsia="MS Mincho"/>
              </w:rPr>
              <w:t>Behavioural support provided in both arms.</w:t>
            </w:r>
          </w:p>
        </w:tc>
        <w:tc>
          <w:tcPr>
            <w:tcW w:w="843" w:type="pct"/>
            <w:shd w:val="clear" w:color="auto" w:fill="D9D9D9" w:themeFill="background1" w:themeFillShade="D9"/>
            <w:tcMar>
              <w:left w:w="28" w:type="dxa"/>
              <w:right w:w="28" w:type="dxa"/>
            </w:tcMar>
          </w:tcPr>
          <w:p w:rsidR="00FA6470" w:rsidRDefault="00FA6470" w:rsidP="00FC6133">
            <w:pPr>
              <w:pStyle w:val="Tablewriting"/>
              <w:keepNext/>
              <w:rPr>
                <w:rFonts w:eastAsia="MS Mincho"/>
              </w:rPr>
            </w:pPr>
            <w:r w:rsidRPr="008C39E4">
              <w:rPr>
                <w:rFonts w:eastAsia="MS Mincho"/>
                <w:u w:val="single"/>
              </w:rPr>
              <w:t>Primary</w:t>
            </w:r>
            <w:r>
              <w:rPr>
                <w:rFonts w:eastAsia="MS Mincho"/>
              </w:rPr>
              <w:t xml:space="preserve">: </w:t>
            </w:r>
            <w:r w:rsidR="008B0FD1">
              <w:rPr>
                <w:rFonts w:eastAsia="MS Mincho"/>
              </w:rPr>
              <w:t>CAR</w:t>
            </w:r>
            <w:r>
              <w:rPr>
                <w:rFonts w:eastAsia="MS Mincho"/>
              </w:rPr>
              <w:t xml:space="preserve"> at Week </w:t>
            </w:r>
            <w:r w:rsidR="00266065">
              <w:rPr>
                <w:rFonts w:eastAsia="MS Mincho"/>
              </w:rPr>
              <w:t>9-12</w:t>
            </w:r>
            <w:r>
              <w:rPr>
                <w:rFonts w:eastAsia="MS Mincho"/>
              </w:rPr>
              <w:t>. Validated by CO</w:t>
            </w:r>
            <w:r w:rsidR="008B0FD1">
              <w:rPr>
                <w:rFonts w:eastAsia="MS Mincho"/>
              </w:rPr>
              <w:t xml:space="preserve"> </w:t>
            </w:r>
            <w:r>
              <w:rPr>
                <w:rFonts w:eastAsia="MS Mincho" w:cstheme="minorHAnsi"/>
              </w:rPr>
              <w:t>≤</w:t>
            </w:r>
            <w:r>
              <w:rPr>
                <w:rFonts w:eastAsia="MS Mincho"/>
              </w:rPr>
              <w:t>10</w:t>
            </w:r>
            <w:r w:rsidR="00EB3600">
              <w:rPr>
                <w:rFonts w:eastAsia="MS Mincho"/>
              </w:rPr>
              <w:t xml:space="preserve"> </w:t>
            </w:r>
            <w:r>
              <w:rPr>
                <w:rFonts w:eastAsia="MS Mincho"/>
              </w:rPr>
              <w:t>ppm.</w:t>
            </w:r>
          </w:p>
          <w:p w:rsidR="00FA6470" w:rsidRDefault="00FA6470" w:rsidP="00FC6133">
            <w:pPr>
              <w:pStyle w:val="Tablewriting"/>
              <w:keepNext/>
              <w:rPr>
                <w:rFonts w:eastAsia="MS Mincho"/>
              </w:rPr>
            </w:pPr>
            <w:r w:rsidRPr="008C39E4">
              <w:rPr>
                <w:rFonts w:eastAsia="MS Mincho"/>
                <w:u w:val="single"/>
              </w:rPr>
              <w:t>Secondary</w:t>
            </w:r>
            <w:r>
              <w:rPr>
                <w:rFonts w:eastAsia="MS Mincho"/>
              </w:rPr>
              <w:t xml:space="preserve">: </w:t>
            </w:r>
            <w:r w:rsidRPr="005B56AA">
              <w:rPr>
                <w:rFonts w:eastAsia="MS Mincho"/>
              </w:rPr>
              <w:t>CAR at</w:t>
            </w:r>
            <w:r>
              <w:rPr>
                <w:rFonts w:eastAsia="MS Mincho"/>
              </w:rPr>
              <w:t xml:space="preserve"> Week</w:t>
            </w:r>
            <w:r w:rsidRPr="005B56AA">
              <w:rPr>
                <w:rFonts w:eastAsia="MS Mincho"/>
              </w:rPr>
              <w:t xml:space="preserve"> </w:t>
            </w:r>
            <w:r w:rsidR="00C62B08">
              <w:rPr>
                <w:rFonts w:eastAsia="MS Mincho"/>
              </w:rPr>
              <w:t xml:space="preserve">9-24 and </w:t>
            </w:r>
            <w:r w:rsidR="008B4636">
              <w:rPr>
                <w:rFonts w:eastAsia="MS Mincho"/>
              </w:rPr>
              <w:t>9</w:t>
            </w:r>
            <w:r>
              <w:rPr>
                <w:rFonts w:eastAsia="MS Mincho"/>
              </w:rPr>
              <w:t>-52</w:t>
            </w:r>
            <w:r w:rsidRPr="005B56AA">
              <w:rPr>
                <w:rFonts w:eastAsia="MS Mincho"/>
              </w:rPr>
              <w:t xml:space="preserve">; 7-day PPA at </w:t>
            </w:r>
            <w:r>
              <w:rPr>
                <w:rFonts w:eastAsia="MS Mincho"/>
              </w:rPr>
              <w:t xml:space="preserve">Week </w:t>
            </w:r>
            <w:r w:rsidR="00C62B08">
              <w:rPr>
                <w:rFonts w:eastAsia="MS Mincho"/>
              </w:rPr>
              <w:t xml:space="preserve">12, </w:t>
            </w:r>
            <w:r w:rsidRPr="005B56AA">
              <w:rPr>
                <w:rFonts w:eastAsia="MS Mincho"/>
              </w:rPr>
              <w:t>24 and 52</w:t>
            </w:r>
            <w:r w:rsidR="00AF43A1">
              <w:rPr>
                <w:rFonts w:eastAsia="MS Mincho"/>
              </w:rPr>
              <w:t xml:space="preserve">. </w:t>
            </w:r>
            <w:r w:rsidR="007E1903">
              <w:rPr>
                <w:rFonts w:eastAsia="MS Mincho"/>
              </w:rPr>
              <w:t xml:space="preserve">Validated by CO </w:t>
            </w:r>
            <w:r w:rsidR="007E1903">
              <w:rPr>
                <w:rFonts w:eastAsia="MS Mincho" w:cstheme="minorHAnsi"/>
              </w:rPr>
              <w:t>≤</w:t>
            </w:r>
            <w:r w:rsidR="007E1903">
              <w:rPr>
                <w:rFonts w:eastAsia="MS Mincho"/>
              </w:rPr>
              <w:t>10</w:t>
            </w:r>
            <w:r w:rsidR="00EB3600">
              <w:rPr>
                <w:rFonts w:eastAsia="MS Mincho"/>
              </w:rPr>
              <w:t xml:space="preserve"> </w:t>
            </w:r>
            <w:r w:rsidR="007E1903">
              <w:rPr>
                <w:rFonts w:eastAsia="MS Mincho"/>
              </w:rPr>
              <w:t>ppm.</w:t>
            </w:r>
          </w:p>
          <w:p w:rsidR="00FA6470" w:rsidRPr="00061F78" w:rsidRDefault="00FA6470" w:rsidP="00FC6133">
            <w:pPr>
              <w:pStyle w:val="Tablewriting"/>
              <w:keepNext/>
              <w:rPr>
                <w:rFonts w:eastAsia="MS Mincho"/>
              </w:rPr>
            </w:pPr>
            <w:r w:rsidRPr="0055171C">
              <w:rPr>
                <w:rFonts w:eastAsia="MS Mincho"/>
                <w:u w:val="single"/>
              </w:rPr>
              <w:t>Other</w:t>
            </w:r>
            <w:r>
              <w:rPr>
                <w:rFonts w:eastAsia="MS Mincho"/>
              </w:rPr>
              <w:t xml:space="preserve">: </w:t>
            </w:r>
            <w:r w:rsidRPr="00EC37F8">
              <w:rPr>
                <w:rFonts w:eastAsia="MS Mincho"/>
              </w:rPr>
              <w:t>adverse</w:t>
            </w:r>
            <w:r>
              <w:rPr>
                <w:rFonts w:eastAsia="MS Mincho"/>
              </w:rPr>
              <w:t xml:space="preserve"> </w:t>
            </w:r>
            <w:r w:rsidRPr="00EC37F8">
              <w:rPr>
                <w:rFonts w:eastAsia="MS Mincho"/>
              </w:rPr>
              <w:t>events</w:t>
            </w:r>
          </w:p>
        </w:tc>
      </w:tr>
      <w:tr w:rsidR="002C7950" w:rsidRPr="00061F78" w:rsidTr="00670E78">
        <w:trPr>
          <w:trHeight w:val="149"/>
        </w:trPr>
        <w:tc>
          <w:tcPr>
            <w:tcW w:w="371" w:type="pct"/>
            <w:tcMar>
              <w:left w:w="28" w:type="dxa"/>
              <w:right w:w="28" w:type="dxa"/>
            </w:tcMar>
          </w:tcPr>
          <w:p w:rsidR="001D6DCC" w:rsidRDefault="001D6DCC" w:rsidP="001D6DCC">
            <w:pPr>
              <w:pStyle w:val="Tablewriting"/>
              <w:keepNext/>
              <w:rPr>
                <w:rFonts w:eastAsia="MS Mincho"/>
              </w:rPr>
            </w:pPr>
            <w:r>
              <w:rPr>
                <w:rFonts w:eastAsia="MS Mincho"/>
              </w:rPr>
              <w:t>Cahill</w:t>
            </w:r>
          </w:p>
          <w:p w:rsidR="001D6DCC" w:rsidRPr="004F1864" w:rsidRDefault="001D6DCC" w:rsidP="001D6DCC">
            <w:pPr>
              <w:pStyle w:val="Tablewriting"/>
              <w:keepNext/>
              <w:rPr>
                <w:rFonts w:eastAsia="MS Mincho"/>
              </w:rPr>
            </w:pPr>
            <w:r>
              <w:rPr>
                <w:rFonts w:eastAsia="MS Mincho"/>
              </w:rPr>
              <w:t>(2016)</w:t>
            </w:r>
          </w:p>
        </w:tc>
        <w:tc>
          <w:tcPr>
            <w:tcW w:w="386" w:type="pct"/>
          </w:tcPr>
          <w:p w:rsidR="001D6DCC" w:rsidRDefault="001D6DCC" w:rsidP="001D6DCC">
            <w:pPr>
              <w:pStyle w:val="Tablewriting"/>
              <w:keepNext/>
              <w:rPr>
                <w:rFonts w:eastAsia="MS Mincho"/>
              </w:rPr>
            </w:pPr>
            <w:r>
              <w:rPr>
                <w:rFonts w:eastAsia="MS Mincho"/>
              </w:rPr>
              <w:t xml:space="preserve">Cochrane </w:t>
            </w:r>
            <w:r w:rsidR="00EB3600">
              <w:rPr>
                <w:rFonts w:eastAsia="MS Mincho"/>
              </w:rPr>
              <w:t>R</w:t>
            </w:r>
            <w:r>
              <w:rPr>
                <w:rFonts w:eastAsia="MS Mincho"/>
              </w:rPr>
              <w:t>eview    (</w:t>
            </w:r>
            <w:r w:rsidR="00714E70">
              <w:rPr>
                <w:rFonts w:eastAsia="MS Mincho"/>
              </w:rPr>
              <w:t>1</w:t>
            </w:r>
            <w:r>
              <w:rPr>
                <w:rFonts w:eastAsia="MS Mincho"/>
              </w:rPr>
              <w:t xml:space="preserve"> RCT</w:t>
            </w:r>
            <w:r w:rsidR="009F2A08">
              <w:rPr>
                <w:rFonts w:eastAsia="MS Mincho"/>
                <w:vertAlign w:val="superscript"/>
              </w:rPr>
              <w:t>2</w:t>
            </w:r>
            <w:r>
              <w:rPr>
                <w:rFonts w:eastAsia="MS Mincho"/>
              </w:rPr>
              <w:t>)</w:t>
            </w:r>
          </w:p>
          <w:p w:rsidR="001D6DCC" w:rsidRDefault="001D6DCC" w:rsidP="001D6DCC">
            <w:pPr>
              <w:pStyle w:val="Tablewriting"/>
              <w:keepNext/>
              <w:rPr>
                <w:rFonts w:eastAsia="MS Mincho"/>
              </w:rPr>
            </w:pPr>
          </w:p>
        </w:tc>
        <w:tc>
          <w:tcPr>
            <w:tcW w:w="345" w:type="pct"/>
            <w:tcMar>
              <w:left w:w="28" w:type="dxa"/>
              <w:right w:w="28" w:type="dxa"/>
            </w:tcMar>
          </w:tcPr>
          <w:p w:rsidR="001D6DCC" w:rsidRDefault="001D6DCC" w:rsidP="001D6DCC">
            <w:pPr>
              <w:pStyle w:val="Tablewriting"/>
              <w:keepNext/>
              <w:rPr>
                <w:rFonts w:eastAsia="MS Mincho"/>
              </w:rPr>
            </w:pPr>
            <w:r>
              <w:rPr>
                <w:rFonts w:eastAsia="MS Mincho"/>
              </w:rPr>
              <w:t>N=</w:t>
            </w:r>
            <w:r w:rsidR="007432E3">
              <w:rPr>
                <w:rFonts w:eastAsia="MS Mincho"/>
              </w:rPr>
              <w:t>49</w:t>
            </w:r>
            <w:r w:rsidR="00F10711">
              <w:rPr>
                <w:rFonts w:eastAsia="MS Mincho"/>
              </w:rPr>
              <w:t>8</w:t>
            </w:r>
          </w:p>
          <w:p w:rsidR="001D6DCC" w:rsidRDefault="001D6DCC" w:rsidP="001D6DCC">
            <w:pPr>
              <w:pStyle w:val="Tablewriting"/>
              <w:keepNext/>
              <w:rPr>
                <w:rFonts w:eastAsia="MS Mincho"/>
              </w:rPr>
            </w:pPr>
            <w:r>
              <w:rPr>
                <w:rFonts w:eastAsia="MS Mincho"/>
              </w:rPr>
              <w:t>Varenicline (n=</w:t>
            </w:r>
            <w:r w:rsidR="007432E3">
              <w:rPr>
                <w:rFonts w:eastAsia="MS Mincho"/>
              </w:rPr>
              <w:t>2</w:t>
            </w:r>
            <w:r w:rsidR="00F10711">
              <w:rPr>
                <w:rFonts w:eastAsia="MS Mincho"/>
              </w:rPr>
              <w:t>51</w:t>
            </w:r>
            <w:r>
              <w:rPr>
                <w:rFonts w:eastAsia="MS Mincho"/>
              </w:rPr>
              <w:t>),</w:t>
            </w:r>
          </w:p>
          <w:p w:rsidR="001D6DCC" w:rsidRPr="00061F78" w:rsidRDefault="001D6DCC" w:rsidP="001D6DCC">
            <w:pPr>
              <w:pStyle w:val="Tablewriting"/>
              <w:keepNext/>
              <w:rPr>
                <w:rFonts w:eastAsia="MS Mincho"/>
              </w:rPr>
            </w:pPr>
            <w:r>
              <w:rPr>
                <w:rFonts w:eastAsia="MS Mincho"/>
              </w:rPr>
              <w:t>Placebo (n=</w:t>
            </w:r>
            <w:r w:rsidR="007432E3">
              <w:rPr>
                <w:rFonts w:eastAsia="MS Mincho"/>
              </w:rPr>
              <w:t>24</w:t>
            </w:r>
            <w:r w:rsidR="00F10711">
              <w:rPr>
                <w:rFonts w:eastAsia="MS Mincho"/>
              </w:rPr>
              <w:t>7</w:t>
            </w:r>
            <w:r>
              <w:rPr>
                <w:rFonts w:eastAsia="MS Mincho"/>
              </w:rPr>
              <w:t>)</w:t>
            </w:r>
          </w:p>
        </w:tc>
        <w:tc>
          <w:tcPr>
            <w:tcW w:w="2195" w:type="pct"/>
            <w:tcMar>
              <w:left w:w="28" w:type="dxa"/>
              <w:right w:w="28" w:type="dxa"/>
            </w:tcMar>
          </w:tcPr>
          <w:p w:rsidR="001D6DCC" w:rsidRDefault="001D6DCC" w:rsidP="001D6DCC">
            <w:pPr>
              <w:pStyle w:val="Tablewriting"/>
              <w:keepNext/>
              <w:rPr>
                <w:rFonts w:eastAsia="MS Mincho"/>
              </w:rPr>
            </w:pPr>
            <w:r w:rsidRPr="002C19B4">
              <w:rPr>
                <w:rFonts w:eastAsia="MS Mincho"/>
                <w:u w:val="single"/>
              </w:rPr>
              <w:t>Inclusion</w:t>
            </w:r>
            <w:r>
              <w:rPr>
                <w:rFonts w:eastAsia="MS Mincho"/>
              </w:rPr>
              <w:t>: a</w:t>
            </w:r>
            <w:r w:rsidRPr="00054702">
              <w:rPr>
                <w:rFonts w:eastAsia="MS Mincho"/>
              </w:rPr>
              <w:t>dult smokers</w:t>
            </w:r>
            <w:r w:rsidR="00AB5FA3">
              <w:rPr>
                <w:rFonts w:eastAsia="MS Mincho"/>
              </w:rPr>
              <w:t>.</w:t>
            </w:r>
            <w:r>
              <w:rPr>
                <w:rFonts w:eastAsia="MS Mincho"/>
              </w:rPr>
              <w:t xml:space="preserve"> </w:t>
            </w:r>
          </w:p>
          <w:p w:rsidR="001D6DCC" w:rsidRPr="00061F78" w:rsidRDefault="001D6DCC" w:rsidP="001D6DCC">
            <w:pPr>
              <w:pStyle w:val="Tablewriting"/>
              <w:keepNext/>
              <w:rPr>
                <w:rFonts w:eastAsia="MS Mincho"/>
              </w:rPr>
            </w:pPr>
            <w:r w:rsidRPr="002C19B4">
              <w:rPr>
                <w:rFonts w:eastAsia="MS Mincho"/>
                <w:u w:val="single"/>
              </w:rPr>
              <w:t>Exclusion</w:t>
            </w:r>
            <w:r>
              <w:rPr>
                <w:rFonts w:eastAsia="MS Mincho"/>
              </w:rPr>
              <w:t>: t</w:t>
            </w:r>
            <w:r w:rsidRPr="00490E8A">
              <w:rPr>
                <w:rFonts w:eastAsia="MS Mincho"/>
              </w:rPr>
              <w:t>rials which target users of smokeless tobacco</w:t>
            </w:r>
            <w:r w:rsidR="00AB5FA3">
              <w:rPr>
                <w:rFonts w:eastAsia="MS Mincho"/>
              </w:rPr>
              <w:t>.</w:t>
            </w:r>
          </w:p>
        </w:tc>
        <w:tc>
          <w:tcPr>
            <w:tcW w:w="859" w:type="pct"/>
          </w:tcPr>
          <w:p w:rsidR="001D6DCC" w:rsidRPr="00061F78" w:rsidRDefault="001D6DCC" w:rsidP="001D6DCC">
            <w:pPr>
              <w:pStyle w:val="Tablewriting"/>
              <w:keepNext/>
              <w:rPr>
                <w:rFonts w:eastAsia="MS Mincho"/>
              </w:rPr>
            </w:pPr>
            <w:r>
              <w:rPr>
                <w:rFonts w:eastAsia="MS Mincho"/>
              </w:rPr>
              <w:t>Varenicline: 1</w:t>
            </w:r>
            <w:r w:rsidR="00EB3600">
              <w:rPr>
                <w:rFonts w:eastAsia="MS Mincho"/>
              </w:rPr>
              <w:t xml:space="preserve"> </w:t>
            </w:r>
            <w:r>
              <w:rPr>
                <w:rFonts w:eastAsia="MS Mincho"/>
              </w:rPr>
              <w:t>mg twice daily including titration</w:t>
            </w:r>
            <w:r w:rsidRPr="001B0165">
              <w:rPr>
                <w:rFonts w:eastAsia="MS Mincho"/>
              </w:rPr>
              <w:t xml:space="preserve"> (i.e. 0.5</w:t>
            </w:r>
            <w:r w:rsidR="00EB3600">
              <w:rPr>
                <w:rFonts w:eastAsia="MS Mincho"/>
              </w:rPr>
              <w:t xml:space="preserve"> </w:t>
            </w:r>
            <w:r w:rsidRPr="001B0165">
              <w:rPr>
                <w:rFonts w:eastAsia="MS Mincho"/>
              </w:rPr>
              <w:t>mg once daily for 3 days, then 0.5</w:t>
            </w:r>
            <w:r w:rsidR="00EB3600">
              <w:rPr>
                <w:rFonts w:eastAsia="MS Mincho"/>
              </w:rPr>
              <w:t xml:space="preserve"> </w:t>
            </w:r>
            <w:r w:rsidRPr="001B0165">
              <w:rPr>
                <w:rFonts w:eastAsia="MS Mincho"/>
              </w:rPr>
              <w:t>mg twice daily for 4 days, then 1</w:t>
            </w:r>
            <w:r w:rsidR="00EB3600">
              <w:rPr>
                <w:rFonts w:eastAsia="MS Mincho"/>
              </w:rPr>
              <w:t xml:space="preserve"> </w:t>
            </w:r>
            <w:r w:rsidRPr="001B0165">
              <w:rPr>
                <w:rFonts w:eastAsia="MS Mincho"/>
              </w:rPr>
              <w:t>mg twice daily)</w:t>
            </w:r>
            <w:r w:rsidR="003E68B5">
              <w:rPr>
                <w:rFonts w:eastAsia="MS Mincho"/>
              </w:rPr>
              <w:t xml:space="preserve">; </w:t>
            </w:r>
            <w:r>
              <w:rPr>
                <w:rFonts w:eastAsia="MS Mincho"/>
              </w:rPr>
              <w:t>Placebo: placebo tablets, same regimen</w:t>
            </w:r>
            <w:r w:rsidR="00AB5FA3">
              <w:rPr>
                <w:rFonts w:eastAsia="MS Mincho"/>
              </w:rPr>
              <w:t>.</w:t>
            </w:r>
          </w:p>
        </w:tc>
        <w:tc>
          <w:tcPr>
            <w:tcW w:w="843" w:type="pct"/>
            <w:tcMar>
              <w:left w:w="28" w:type="dxa"/>
              <w:right w:w="28" w:type="dxa"/>
            </w:tcMar>
          </w:tcPr>
          <w:p w:rsidR="001D6DCC" w:rsidRPr="00061F78" w:rsidRDefault="001D6DCC" w:rsidP="001D6DCC">
            <w:pPr>
              <w:pStyle w:val="Tablewriting"/>
              <w:keepNext/>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AB5FA3">
              <w:rPr>
                <w:rFonts w:eastAsia="MS Mincho"/>
              </w:rPr>
              <w:t>.</w:t>
            </w:r>
          </w:p>
        </w:tc>
      </w:tr>
    </w:tbl>
    <w:p w:rsidR="002C7300" w:rsidRDefault="009F2A08" w:rsidP="009F2A08">
      <w:pPr>
        <w:pStyle w:val="TableFooter"/>
        <w:keepNext/>
      </w:pPr>
      <w:r>
        <w:t xml:space="preserve">Abbreviations: </w:t>
      </w:r>
      <w:r w:rsidR="002C7300" w:rsidRPr="002C7300">
        <w:t xml:space="preserve">CAR = continuous abstinence rate; CO = carbon monoxide; COPD = chronic obstructive pulmonary disease; NRT = nicotine replacement therapy; PPA = point prevalence abstinence; RCT = randomised controlled trial </w:t>
      </w:r>
    </w:p>
    <w:p w:rsidR="009F2A08" w:rsidRDefault="009F2A08" w:rsidP="009F2A08">
      <w:pPr>
        <w:pStyle w:val="TableFooter"/>
        <w:keepNext/>
      </w:pPr>
      <w:r w:rsidRPr="00061F78">
        <w:rPr>
          <w:highlight w:val="lightGray"/>
        </w:rPr>
        <w:t>Shaded</w:t>
      </w:r>
      <w:r w:rsidRPr="00061F78">
        <w:t xml:space="preserve"> = previously considered by the PBAC</w:t>
      </w:r>
    </w:p>
    <w:p w:rsidR="009F2A08" w:rsidRDefault="009F2A08" w:rsidP="009F2A08">
      <w:pPr>
        <w:pStyle w:val="TableFooter"/>
        <w:keepNext/>
      </w:pPr>
      <w:r>
        <w:t xml:space="preserve">1 Only the number of patients (n) in the relevant arms were included </w:t>
      </w:r>
    </w:p>
    <w:p w:rsidR="00FA6470" w:rsidRDefault="009F2A08" w:rsidP="00547192">
      <w:pPr>
        <w:pStyle w:val="TableFooter"/>
        <w:keepNext/>
      </w:pPr>
      <w:r>
        <w:t xml:space="preserve">2 The characteristics of the individual studies comparing varenicline with placebo included in Cahill et al. (2016) are presented in </w:t>
      </w:r>
      <w:r w:rsidRPr="00960710">
        <w:t>Appendix</w:t>
      </w:r>
      <w:r w:rsidR="00CA7B9A">
        <w:t xml:space="preserve"> </w:t>
      </w:r>
      <w:r w:rsidR="003C4A1C">
        <w:t xml:space="preserve">Table </w:t>
      </w:r>
      <w:r w:rsidR="003C4A1C">
        <w:rPr>
          <w:noProof/>
        </w:rPr>
        <w:t>152</w:t>
      </w:r>
      <w:r>
        <w:t>. One study previously considered by the PBAC (</w:t>
      </w:r>
      <w:r w:rsidR="00F76390">
        <w:t>Gonzales</w:t>
      </w:r>
      <w:r>
        <w:t xml:space="preserve"> et al. 20</w:t>
      </w:r>
      <w:r w:rsidR="00F76390">
        <w:t>14</w:t>
      </w:r>
      <w:r w:rsidR="002352EF">
        <w:t>; referred to as Trial A3051139</w:t>
      </w:r>
      <w:r w:rsidRPr="005B2A6C">
        <w:t xml:space="preserve">) </w:t>
      </w:r>
      <w:r>
        <w:t xml:space="preserve">was included in the primary efficacy analysis of </w:t>
      </w:r>
      <w:r w:rsidR="00F76390">
        <w:t>Cahill</w:t>
      </w:r>
      <w:r>
        <w:t xml:space="preserve"> et al. (201</w:t>
      </w:r>
      <w:r w:rsidR="00F76390">
        <w:t>6</w:t>
      </w:r>
      <w:r>
        <w:t>).</w:t>
      </w:r>
    </w:p>
    <w:p w:rsidR="00FA6470" w:rsidRDefault="00FA6470" w:rsidP="002C1625">
      <w:pPr>
        <w:sectPr w:rsidR="00FA6470" w:rsidSect="00FA6470">
          <w:pgSz w:w="16838" w:h="11906" w:orient="landscape"/>
          <w:pgMar w:top="1440" w:right="1440" w:bottom="1440" w:left="1440" w:header="708" w:footer="708" w:gutter="0"/>
          <w:cols w:space="708"/>
          <w:titlePg/>
          <w:docGrid w:linePitch="360"/>
        </w:sectPr>
      </w:pPr>
    </w:p>
    <w:p w:rsidR="002A0473" w:rsidRPr="00F618DC" w:rsidRDefault="002A0473" w:rsidP="002A0473">
      <w:pPr>
        <w:rPr>
          <w:u w:val="single"/>
        </w:rPr>
      </w:pPr>
      <w:r w:rsidRPr="00F618DC">
        <w:rPr>
          <w:u w:val="single"/>
        </w:rPr>
        <w:lastRenderedPageBreak/>
        <w:t>Efficacy</w:t>
      </w:r>
    </w:p>
    <w:p w:rsidR="00FA6470" w:rsidRDefault="002A0473" w:rsidP="002A0473">
      <w:r>
        <w:t xml:space="preserve">A summary of the smoking cessation rates at 12 months </w:t>
      </w:r>
      <w:r w:rsidR="00960710">
        <w:t xml:space="preserve">comparing varenicline with placebo in non-abstainers as retreatment </w:t>
      </w:r>
      <w:r>
        <w:t xml:space="preserve">is presented in </w:t>
      </w:r>
      <w:r w:rsidR="003C4A1C">
        <w:t xml:space="preserve">Table </w:t>
      </w:r>
      <w:r w:rsidR="003C4A1C">
        <w:rPr>
          <w:noProof/>
        </w:rPr>
        <w:t>37</w:t>
      </w:r>
      <w:r>
        <w:t xml:space="preserve">. The results of </w:t>
      </w:r>
      <w:r w:rsidR="00C5041C">
        <w:t>Gonzales</w:t>
      </w:r>
      <w:r>
        <w:t xml:space="preserve"> et al. (20</w:t>
      </w:r>
      <w:r w:rsidR="00C5041C">
        <w:t>14</w:t>
      </w:r>
      <w:r>
        <w:t>)</w:t>
      </w:r>
      <w:r w:rsidR="00305316">
        <w:t>,</w:t>
      </w:r>
      <w:r>
        <w:t xml:space="preserve"> </w:t>
      </w:r>
      <w:r w:rsidR="005F2542">
        <w:t>which was the only study identified by Cahill et al. (2016)</w:t>
      </w:r>
      <w:r w:rsidR="00305316">
        <w:t>,</w:t>
      </w:r>
      <w:r>
        <w:t xml:space="preserve"> demonstrated a statistically significant difference in continuous abstinence rate, in favour of varenicline. </w:t>
      </w:r>
      <w:r w:rsidR="00B55608" w:rsidRPr="00B55608">
        <w:t>It was noted that the results of th</w:t>
      </w:r>
      <w:r w:rsidR="00743955">
        <w:t>is study</w:t>
      </w:r>
      <w:r w:rsidR="00B55608" w:rsidRPr="00B55608">
        <w:t xml:space="preserve"> were included in the primary efficacy analysis of </w:t>
      </w:r>
      <w:r w:rsidR="00743955">
        <w:t>varenicline</w:t>
      </w:r>
      <w:r w:rsidR="00B55608" w:rsidRPr="00B55608">
        <w:t xml:space="preserve"> versus placebo conducted by</w:t>
      </w:r>
      <w:r w:rsidR="00743955">
        <w:t xml:space="preserve"> Cahill</w:t>
      </w:r>
      <w:r w:rsidR="00B55608" w:rsidRPr="00B55608">
        <w:t xml:space="preserve"> et al. (20</w:t>
      </w:r>
      <w:r w:rsidR="00743955">
        <w:t>16</w:t>
      </w:r>
      <w:r w:rsidR="00B55608" w:rsidRPr="00B55608">
        <w:t>),</w:t>
      </w:r>
      <w:r w:rsidR="00250E8A">
        <w:t xml:space="preserve"> as</w:t>
      </w:r>
      <w:r w:rsidR="00B55608" w:rsidRPr="00B55608">
        <w:t xml:space="preserve"> presented in the treatment-naïve population section</w:t>
      </w:r>
      <w:r w:rsidR="00743955">
        <w:t>.</w:t>
      </w:r>
    </w:p>
    <w:p w:rsidR="006A6520" w:rsidRDefault="006A6520" w:rsidP="006A6520">
      <w:pPr>
        <w:pStyle w:val="Caption"/>
        <w:keepNext/>
      </w:pPr>
      <w:bookmarkStart w:id="111" w:name="_Ref54792390"/>
      <w:r>
        <w:t xml:space="preserve">Table </w:t>
      </w:r>
      <w:r w:rsidR="003C4A1C">
        <w:rPr>
          <w:noProof/>
        </w:rPr>
        <w:t>37</w:t>
      </w:r>
      <w:bookmarkEnd w:id="111"/>
      <w:r>
        <w:t xml:space="preserve">: </w:t>
      </w:r>
      <w:r w:rsidRPr="003002E7">
        <w:t>Results of smoking cessation at 12 months, varenicline versus placebo</w:t>
      </w:r>
      <w:r w:rsidR="003E68B5">
        <w:t xml:space="preserve"> in non-</w:t>
      </w:r>
      <w:r w:rsidR="003E68B5" w:rsidRPr="003756F6">
        <w:t xml:space="preserve">abstainers </w:t>
      </w:r>
      <w:r w:rsidR="003E68B5">
        <w:t>as</w:t>
      </w:r>
      <w:r w:rsidR="003E68B5" w:rsidRPr="003756F6">
        <w:t xml:space="preserve"> re</w:t>
      </w:r>
      <w:r w:rsidR="003E68B5">
        <w:t>treatment</w:t>
      </w:r>
    </w:p>
    <w:tbl>
      <w:tblPr>
        <w:tblStyle w:val="TableGrid"/>
        <w:tblW w:w="5000" w:type="pct"/>
        <w:tblLook w:val="04A0" w:firstRow="1" w:lastRow="0" w:firstColumn="1" w:lastColumn="0" w:noHBand="0" w:noVBand="1"/>
        <w:tblCaption w:val="Efficacy results of adalimumab trials (PASI 75 and DLQI)"/>
      </w:tblPr>
      <w:tblGrid>
        <w:gridCol w:w="1296"/>
        <w:gridCol w:w="1818"/>
        <w:gridCol w:w="1984"/>
        <w:gridCol w:w="2090"/>
        <w:gridCol w:w="1828"/>
      </w:tblGrid>
      <w:tr w:rsidR="00EC49F4" w:rsidRPr="00061F78" w:rsidTr="00AB0402">
        <w:trPr>
          <w:cantSplit/>
          <w:trHeight w:val="299"/>
          <w:tblHeader/>
        </w:trPr>
        <w:tc>
          <w:tcPr>
            <w:tcW w:w="719" w:type="pct"/>
            <w:shd w:val="clear" w:color="auto" w:fill="BFBFBF" w:themeFill="background1" w:themeFillShade="BF"/>
            <w:tcMar>
              <w:left w:w="28" w:type="dxa"/>
              <w:right w:w="28" w:type="dxa"/>
            </w:tcMar>
          </w:tcPr>
          <w:p w:rsidR="00EC49F4" w:rsidRPr="00061F78" w:rsidRDefault="00126B7B" w:rsidP="00FC6133">
            <w:pPr>
              <w:pStyle w:val="Tableheading"/>
              <w:keepNext/>
              <w:rPr>
                <w:rFonts w:eastAsia="MS Mincho"/>
              </w:rPr>
            </w:pPr>
            <w:r>
              <w:rPr>
                <w:rFonts w:eastAsia="MS Mincho"/>
              </w:rPr>
              <w:t>Study</w:t>
            </w:r>
          </w:p>
        </w:tc>
        <w:tc>
          <w:tcPr>
            <w:tcW w:w="1008" w:type="pct"/>
            <w:shd w:val="clear" w:color="auto" w:fill="BFBFBF" w:themeFill="background1" w:themeFillShade="BF"/>
            <w:vAlign w:val="center"/>
          </w:tcPr>
          <w:p w:rsidR="00EC49F4" w:rsidRDefault="00EC49F4" w:rsidP="00FC6133">
            <w:pPr>
              <w:pStyle w:val="Tableheading"/>
              <w:keepNext/>
              <w:jc w:val="center"/>
              <w:rPr>
                <w:rFonts w:eastAsia="MS Mincho"/>
              </w:rPr>
            </w:pPr>
            <w:r>
              <w:rPr>
                <w:rFonts w:eastAsia="MS Mincho"/>
              </w:rPr>
              <w:t>Study type</w:t>
            </w:r>
          </w:p>
        </w:tc>
        <w:tc>
          <w:tcPr>
            <w:tcW w:w="1100" w:type="pct"/>
            <w:shd w:val="clear" w:color="auto" w:fill="BFBFBF" w:themeFill="background1" w:themeFillShade="BF"/>
            <w:tcMar>
              <w:left w:w="28" w:type="dxa"/>
              <w:right w:w="28" w:type="dxa"/>
            </w:tcMar>
            <w:vAlign w:val="center"/>
          </w:tcPr>
          <w:p w:rsidR="00EC49F4" w:rsidRPr="00061F78" w:rsidRDefault="00EC49F4" w:rsidP="00FC6133">
            <w:pPr>
              <w:pStyle w:val="Tableheading"/>
              <w:keepNext/>
              <w:jc w:val="center"/>
              <w:rPr>
                <w:rFonts w:eastAsia="MS Mincho"/>
              </w:rPr>
            </w:pPr>
            <w:r>
              <w:rPr>
                <w:rFonts w:eastAsia="MS Mincho"/>
              </w:rPr>
              <w:t>Varenicline</w:t>
            </w:r>
          </w:p>
        </w:tc>
        <w:tc>
          <w:tcPr>
            <w:tcW w:w="1159" w:type="pct"/>
            <w:shd w:val="clear" w:color="auto" w:fill="BFBFBF" w:themeFill="background1" w:themeFillShade="BF"/>
            <w:tcMar>
              <w:left w:w="28" w:type="dxa"/>
              <w:right w:w="28" w:type="dxa"/>
            </w:tcMar>
            <w:vAlign w:val="center"/>
          </w:tcPr>
          <w:p w:rsidR="00EC49F4" w:rsidRPr="00061F78" w:rsidRDefault="00EC49F4" w:rsidP="00FC6133">
            <w:pPr>
              <w:pStyle w:val="Tableheading"/>
              <w:keepNext/>
              <w:jc w:val="center"/>
              <w:rPr>
                <w:rFonts w:eastAsia="MS Mincho"/>
              </w:rPr>
            </w:pPr>
            <w:r w:rsidRPr="00061F78">
              <w:rPr>
                <w:rFonts w:eastAsia="MS Mincho"/>
              </w:rPr>
              <w:t>Placebo</w:t>
            </w:r>
          </w:p>
        </w:tc>
        <w:tc>
          <w:tcPr>
            <w:tcW w:w="1014" w:type="pct"/>
            <w:shd w:val="clear" w:color="auto" w:fill="BFBFBF" w:themeFill="background1" w:themeFillShade="BF"/>
            <w:tcMar>
              <w:left w:w="28" w:type="dxa"/>
              <w:right w:w="28" w:type="dxa"/>
            </w:tcMar>
            <w:vAlign w:val="center"/>
          </w:tcPr>
          <w:p w:rsidR="00EC49F4" w:rsidRPr="00D468CF" w:rsidRDefault="00EC49F4" w:rsidP="00FC6133">
            <w:pPr>
              <w:pStyle w:val="Tableheading"/>
              <w:keepNext/>
              <w:jc w:val="center"/>
              <w:rPr>
                <w:rFonts w:eastAsia="MS Mincho"/>
                <w:vertAlign w:val="superscript"/>
              </w:rPr>
            </w:pPr>
            <w:r>
              <w:rPr>
                <w:rFonts w:eastAsia="MS Mincho"/>
              </w:rPr>
              <w:t>RR (95% CI)</w:t>
            </w:r>
          </w:p>
        </w:tc>
      </w:tr>
      <w:tr w:rsidR="00EC49F4" w:rsidRPr="00061F78" w:rsidTr="00015CD6">
        <w:trPr>
          <w:cantSplit/>
          <w:trHeight w:val="99"/>
        </w:trPr>
        <w:tc>
          <w:tcPr>
            <w:tcW w:w="719" w:type="pct"/>
            <w:shd w:val="clear" w:color="auto" w:fill="D9D9D9" w:themeFill="background1" w:themeFillShade="D9"/>
            <w:tcMar>
              <w:left w:w="28" w:type="dxa"/>
              <w:right w:w="28" w:type="dxa"/>
            </w:tcMar>
          </w:tcPr>
          <w:p w:rsidR="00EC49F4" w:rsidRDefault="0061540B" w:rsidP="00FC6133">
            <w:pPr>
              <w:pStyle w:val="Tablewriting"/>
              <w:keepNext/>
              <w:rPr>
                <w:rFonts w:eastAsia="MS Mincho"/>
              </w:rPr>
            </w:pPr>
            <w:r>
              <w:rPr>
                <w:rFonts w:eastAsia="MS Mincho"/>
              </w:rPr>
              <w:t>Gonzales</w:t>
            </w:r>
            <w:r w:rsidR="00EC49F4">
              <w:rPr>
                <w:rFonts w:eastAsia="MS Mincho"/>
              </w:rPr>
              <w:t xml:space="preserve"> (20</w:t>
            </w:r>
            <w:r>
              <w:rPr>
                <w:rFonts w:eastAsia="MS Mincho"/>
              </w:rPr>
              <w:t>14</w:t>
            </w:r>
            <w:r w:rsidR="00EC49F4">
              <w:rPr>
                <w:rFonts w:eastAsia="MS Mincho"/>
              </w:rPr>
              <w:t>)</w:t>
            </w:r>
            <w:r w:rsidR="00EC49F4">
              <w:rPr>
                <w:rFonts w:eastAsia="MS Mincho"/>
                <w:vertAlign w:val="superscript"/>
              </w:rPr>
              <w:t>1</w:t>
            </w:r>
            <w:r w:rsidR="00EC49F4">
              <w:rPr>
                <w:rFonts w:eastAsia="MS Mincho"/>
              </w:rPr>
              <w:t xml:space="preserve"> </w:t>
            </w:r>
          </w:p>
        </w:tc>
        <w:tc>
          <w:tcPr>
            <w:tcW w:w="1008" w:type="pct"/>
            <w:shd w:val="clear" w:color="auto" w:fill="D9D9D9" w:themeFill="background1" w:themeFillShade="D9"/>
            <w:vAlign w:val="center"/>
          </w:tcPr>
          <w:p w:rsidR="00EC49F4" w:rsidRDefault="00EC49F4" w:rsidP="00FC6133">
            <w:pPr>
              <w:pStyle w:val="Tablewriting"/>
              <w:keepNext/>
              <w:jc w:val="center"/>
              <w:rPr>
                <w:rFonts w:eastAsia="MS Mincho"/>
              </w:rPr>
            </w:pPr>
            <w:r>
              <w:rPr>
                <w:rFonts w:eastAsia="MS Mincho"/>
              </w:rPr>
              <w:t>RCT</w:t>
            </w:r>
          </w:p>
        </w:tc>
        <w:tc>
          <w:tcPr>
            <w:tcW w:w="1100" w:type="pct"/>
            <w:shd w:val="clear" w:color="auto" w:fill="D9D9D9" w:themeFill="background1" w:themeFillShade="D9"/>
            <w:tcMar>
              <w:left w:w="28" w:type="dxa"/>
              <w:right w:w="28" w:type="dxa"/>
            </w:tcMar>
            <w:vAlign w:val="center"/>
          </w:tcPr>
          <w:p w:rsidR="00EC49F4" w:rsidRPr="00F423F8" w:rsidRDefault="00E175D2" w:rsidP="00FC6133">
            <w:pPr>
              <w:pStyle w:val="Tablewriting"/>
              <w:keepNext/>
              <w:jc w:val="center"/>
              <w:rPr>
                <w:rFonts w:eastAsia="MS Mincho"/>
                <w:vertAlign w:val="superscript"/>
              </w:rPr>
            </w:pPr>
            <w:r>
              <w:rPr>
                <w:rFonts w:eastAsia="MS Mincho"/>
              </w:rPr>
              <w:t>50</w:t>
            </w:r>
            <w:r w:rsidR="00EC49F4">
              <w:rPr>
                <w:rFonts w:eastAsia="MS Mincho"/>
              </w:rPr>
              <w:t>/</w:t>
            </w:r>
            <w:r>
              <w:rPr>
                <w:rFonts w:eastAsia="MS Mincho"/>
              </w:rPr>
              <w:t>251</w:t>
            </w:r>
          </w:p>
          <w:p w:rsidR="00EC49F4" w:rsidRDefault="00EC49F4" w:rsidP="00FC6133">
            <w:pPr>
              <w:pStyle w:val="Tablewriting"/>
              <w:keepNext/>
              <w:jc w:val="center"/>
              <w:rPr>
                <w:rFonts w:eastAsia="MS Mincho"/>
              </w:rPr>
            </w:pPr>
            <w:r>
              <w:rPr>
                <w:rFonts w:eastAsia="MS Mincho"/>
              </w:rPr>
              <w:t>(</w:t>
            </w:r>
            <w:r w:rsidR="00497986">
              <w:rPr>
                <w:rFonts w:eastAsia="MS Mincho"/>
              </w:rPr>
              <w:t>19.9</w:t>
            </w:r>
            <w:r>
              <w:rPr>
                <w:rFonts w:eastAsia="MS Mincho"/>
              </w:rPr>
              <w:t>%)</w:t>
            </w:r>
          </w:p>
        </w:tc>
        <w:tc>
          <w:tcPr>
            <w:tcW w:w="1159" w:type="pct"/>
            <w:shd w:val="clear" w:color="auto" w:fill="D9D9D9" w:themeFill="background1" w:themeFillShade="D9"/>
            <w:tcMar>
              <w:left w:w="28" w:type="dxa"/>
              <w:right w:w="28" w:type="dxa"/>
            </w:tcMar>
            <w:vAlign w:val="center"/>
          </w:tcPr>
          <w:p w:rsidR="00EC49F4" w:rsidRDefault="00E175D2" w:rsidP="00FC6133">
            <w:pPr>
              <w:pStyle w:val="Tablewriting"/>
              <w:keepNext/>
              <w:jc w:val="center"/>
              <w:rPr>
                <w:rFonts w:eastAsia="MS Mincho"/>
              </w:rPr>
            </w:pPr>
            <w:r>
              <w:rPr>
                <w:rFonts w:eastAsia="MS Mincho"/>
              </w:rPr>
              <w:t>8</w:t>
            </w:r>
            <w:r w:rsidR="00EC49F4">
              <w:rPr>
                <w:rFonts w:eastAsia="MS Mincho"/>
              </w:rPr>
              <w:t>/</w:t>
            </w:r>
            <w:r>
              <w:rPr>
                <w:rFonts w:eastAsia="MS Mincho"/>
              </w:rPr>
              <w:t>247</w:t>
            </w:r>
          </w:p>
          <w:p w:rsidR="00EC49F4" w:rsidRDefault="00EC49F4" w:rsidP="00FC6133">
            <w:pPr>
              <w:pStyle w:val="Tablewriting"/>
              <w:keepNext/>
              <w:jc w:val="center"/>
              <w:rPr>
                <w:rFonts w:eastAsia="MS Mincho"/>
              </w:rPr>
            </w:pPr>
            <w:r>
              <w:rPr>
                <w:rFonts w:eastAsia="MS Mincho"/>
              </w:rPr>
              <w:t>(3</w:t>
            </w:r>
            <w:r w:rsidR="00F06115">
              <w:rPr>
                <w:rFonts w:eastAsia="MS Mincho"/>
              </w:rPr>
              <w:t>.2</w:t>
            </w:r>
            <w:r>
              <w:rPr>
                <w:rFonts w:eastAsia="MS Mincho"/>
              </w:rPr>
              <w:t>%)</w:t>
            </w:r>
          </w:p>
        </w:tc>
        <w:tc>
          <w:tcPr>
            <w:tcW w:w="1014" w:type="pct"/>
            <w:shd w:val="clear" w:color="auto" w:fill="D9D9D9" w:themeFill="background1" w:themeFillShade="D9"/>
            <w:tcMar>
              <w:left w:w="28" w:type="dxa"/>
              <w:right w:w="28" w:type="dxa"/>
            </w:tcMar>
            <w:vAlign w:val="center"/>
          </w:tcPr>
          <w:p w:rsidR="00EC49F4" w:rsidRPr="00F360FD" w:rsidRDefault="007B67DB" w:rsidP="00FC6133">
            <w:pPr>
              <w:pStyle w:val="Tablewriting"/>
              <w:keepNext/>
              <w:jc w:val="center"/>
              <w:rPr>
                <w:rFonts w:eastAsia="MS Mincho"/>
                <w:b/>
                <w:bCs/>
              </w:rPr>
            </w:pPr>
            <w:r>
              <w:rPr>
                <w:rFonts w:eastAsia="MS Mincho"/>
                <w:b/>
                <w:bCs/>
              </w:rPr>
              <w:t>6.15</w:t>
            </w:r>
          </w:p>
          <w:p w:rsidR="00EC49F4" w:rsidRPr="00F360FD" w:rsidRDefault="00EC49F4" w:rsidP="00FC6133">
            <w:pPr>
              <w:pStyle w:val="Tablewriting"/>
              <w:keepNext/>
              <w:jc w:val="center"/>
              <w:rPr>
                <w:rFonts w:eastAsia="MS Mincho"/>
                <w:b/>
              </w:rPr>
            </w:pPr>
            <w:r w:rsidRPr="00F360FD">
              <w:rPr>
                <w:rFonts w:eastAsia="MS Mincho"/>
                <w:b/>
                <w:bCs/>
              </w:rPr>
              <w:t>(</w:t>
            </w:r>
            <w:r w:rsidR="007B67DB">
              <w:rPr>
                <w:rFonts w:eastAsia="MS Mincho"/>
                <w:b/>
                <w:bCs/>
              </w:rPr>
              <w:t>2.98</w:t>
            </w:r>
            <w:r w:rsidRPr="00F360FD">
              <w:rPr>
                <w:rFonts w:eastAsia="MS Mincho"/>
                <w:b/>
                <w:bCs/>
              </w:rPr>
              <w:t xml:space="preserve">, </w:t>
            </w:r>
            <w:r w:rsidR="007B67DB">
              <w:rPr>
                <w:rFonts w:eastAsia="MS Mincho"/>
                <w:b/>
                <w:bCs/>
              </w:rPr>
              <w:t>12.7</w:t>
            </w:r>
            <w:r w:rsidRPr="00F360FD">
              <w:rPr>
                <w:rFonts w:eastAsia="MS Mincho"/>
                <w:b/>
                <w:bCs/>
              </w:rPr>
              <w:t>)</w:t>
            </w:r>
          </w:p>
        </w:tc>
      </w:tr>
      <w:tr w:rsidR="00EC49F4" w:rsidRPr="00061F78" w:rsidTr="00AB0402">
        <w:trPr>
          <w:cantSplit/>
          <w:trHeight w:val="149"/>
        </w:trPr>
        <w:tc>
          <w:tcPr>
            <w:tcW w:w="719" w:type="pct"/>
            <w:tcMar>
              <w:left w:w="28" w:type="dxa"/>
              <w:right w:w="28" w:type="dxa"/>
            </w:tcMar>
          </w:tcPr>
          <w:p w:rsidR="00EC49F4" w:rsidRDefault="0061540B" w:rsidP="00FC6133">
            <w:pPr>
              <w:pStyle w:val="Tablewriting"/>
              <w:keepNext/>
              <w:rPr>
                <w:rFonts w:eastAsia="MS Mincho"/>
              </w:rPr>
            </w:pPr>
            <w:r>
              <w:rPr>
                <w:rFonts w:eastAsia="MS Mincho"/>
              </w:rPr>
              <w:t>Cahill</w:t>
            </w:r>
          </w:p>
          <w:p w:rsidR="00EC49F4" w:rsidRPr="00D468CF" w:rsidRDefault="00EC49F4" w:rsidP="00FC6133">
            <w:pPr>
              <w:pStyle w:val="Tablewriting"/>
              <w:keepNext/>
              <w:rPr>
                <w:rFonts w:eastAsia="MS Mincho"/>
                <w:vertAlign w:val="superscript"/>
              </w:rPr>
            </w:pPr>
            <w:r>
              <w:rPr>
                <w:rFonts w:eastAsia="MS Mincho"/>
              </w:rPr>
              <w:t>(201</w:t>
            </w:r>
            <w:r w:rsidR="0061540B">
              <w:rPr>
                <w:rFonts w:eastAsia="MS Mincho"/>
              </w:rPr>
              <w:t>6</w:t>
            </w:r>
            <w:r>
              <w:rPr>
                <w:rFonts w:eastAsia="MS Mincho"/>
              </w:rPr>
              <w:t>)</w:t>
            </w:r>
            <w:r>
              <w:rPr>
                <w:rFonts w:eastAsia="MS Mincho"/>
                <w:vertAlign w:val="superscript"/>
              </w:rPr>
              <w:t>2</w:t>
            </w:r>
          </w:p>
        </w:tc>
        <w:tc>
          <w:tcPr>
            <w:tcW w:w="1008" w:type="pct"/>
            <w:vAlign w:val="center"/>
          </w:tcPr>
          <w:p w:rsidR="00EC49F4" w:rsidRDefault="00EC49F4" w:rsidP="00FC6133">
            <w:pPr>
              <w:pStyle w:val="Tablewriting"/>
              <w:keepNext/>
              <w:jc w:val="center"/>
              <w:rPr>
                <w:rFonts w:eastAsia="MS Mincho"/>
              </w:rPr>
            </w:pPr>
            <w:r>
              <w:rPr>
                <w:rFonts w:eastAsia="MS Mincho"/>
              </w:rPr>
              <w:t>Cochrane Review (</w:t>
            </w:r>
            <w:r w:rsidR="001D583E">
              <w:rPr>
                <w:rFonts w:eastAsia="MS Mincho"/>
              </w:rPr>
              <w:t>1</w:t>
            </w:r>
            <w:r>
              <w:rPr>
                <w:rFonts w:eastAsia="MS Mincho"/>
              </w:rPr>
              <w:t xml:space="preserve"> RCT)</w:t>
            </w:r>
          </w:p>
        </w:tc>
        <w:tc>
          <w:tcPr>
            <w:tcW w:w="1100" w:type="pct"/>
            <w:tcMar>
              <w:left w:w="28" w:type="dxa"/>
              <w:right w:w="28" w:type="dxa"/>
            </w:tcMar>
            <w:vAlign w:val="center"/>
          </w:tcPr>
          <w:p w:rsidR="00EC49F4" w:rsidRPr="00923953" w:rsidRDefault="006A6520" w:rsidP="00FC6133">
            <w:pPr>
              <w:pStyle w:val="Tablewriting"/>
              <w:keepNext/>
              <w:jc w:val="center"/>
              <w:rPr>
                <w:rFonts w:eastAsia="MS Mincho"/>
                <w:vertAlign w:val="superscript"/>
              </w:rPr>
            </w:pPr>
            <w:r w:rsidRPr="006A6520">
              <w:rPr>
                <w:rFonts w:eastAsia="MS Mincho"/>
              </w:rPr>
              <w:t>See above</w:t>
            </w:r>
            <w:r w:rsidR="00923953">
              <w:rPr>
                <w:rFonts w:eastAsia="MS Mincho"/>
                <w:vertAlign w:val="superscript"/>
              </w:rPr>
              <w:t>3</w:t>
            </w:r>
          </w:p>
        </w:tc>
        <w:tc>
          <w:tcPr>
            <w:tcW w:w="1159" w:type="pct"/>
            <w:tcMar>
              <w:left w:w="28" w:type="dxa"/>
              <w:right w:w="28" w:type="dxa"/>
            </w:tcMar>
            <w:vAlign w:val="center"/>
          </w:tcPr>
          <w:p w:rsidR="00EC49F4" w:rsidRPr="00923953" w:rsidRDefault="006A6520" w:rsidP="00FC6133">
            <w:pPr>
              <w:pStyle w:val="Tablewriting"/>
              <w:keepNext/>
              <w:jc w:val="center"/>
              <w:rPr>
                <w:rFonts w:eastAsia="MS Mincho"/>
                <w:vertAlign w:val="superscript"/>
              </w:rPr>
            </w:pPr>
            <w:r w:rsidRPr="006A6520">
              <w:rPr>
                <w:rFonts w:eastAsia="MS Mincho"/>
              </w:rPr>
              <w:t>See above</w:t>
            </w:r>
            <w:r w:rsidR="00923953">
              <w:rPr>
                <w:rFonts w:eastAsia="MS Mincho"/>
                <w:vertAlign w:val="superscript"/>
              </w:rPr>
              <w:t>3</w:t>
            </w:r>
          </w:p>
        </w:tc>
        <w:tc>
          <w:tcPr>
            <w:tcW w:w="1014" w:type="pct"/>
            <w:tcMar>
              <w:left w:w="28" w:type="dxa"/>
              <w:right w:w="28" w:type="dxa"/>
            </w:tcMar>
            <w:vAlign w:val="center"/>
          </w:tcPr>
          <w:p w:rsidR="00EC49F4" w:rsidRPr="00FD71B4" w:rsidRDefault="006A6520" w:rsidP="00FC6133">
            <w:pPr>
              <w:pStyle w:val="Tablewriting"/>
              <w:keepNext/>
              <w:jc w:val="center"/>
              <w:rPr>
                <w:rFonts w:eastAsia="MS Mincho"/>
              </w:rPr>
            </w:pPr>
            <w:r w:rsidRPr="006A6520">
              <w:rPr>
                <w:rFonts w:eastAsia="MS Mincho"/>
              </w:rPr>
              <w:t>See above</w:t>
            </w:r>
          </w:p>
        </w:tc>
      </w:tr>
    </w:tbl>
    <w:p w:rsidR="006A6520" w:rsidRDefault="006A6520" w:rsidP="006A6520">
      <w:pPr>
        <w:pStyle w:val="TableFooter"/>
        <w:keepNext/>
      </w:pPr>
      <w:r>
        <w:t xml:space="preserve">Source: </w:t>
      </w:r>
      <w:r w:rsidR="00FE076B">
        <w:t>Cahill</w:t>
      </w:r>
      <w:r>
        <w:t xml:space="preserve"> et al. (201</w:t>
      </w:r>
      <w:r w:rsidR="00FE076B">
        <w:t>6</w:t>
      </w:r>
      <w:r>
        <w:t>)</w:t>
      </w:r>
    </w:p>
    <w:p w:rsidR="006A6520" w:rsidRDefault="006A6520" w:rsidP="006A6520">
      <w:pPr>
        <w:pStyle w:val="TableFooter"/>
        <w:keepNext/>
        <w:rPr>
          <w:i/>
        </w:rPr>
      </w:pPr>
      <w:r>
        <w:t xml:space="preserve">Abbreviations: CI = confidence interval; RCT = randomised controlled trial; </w:t>
      </w:r>
      <w:r w:rsidR="00755A16">
        <w:t xml:space="preserve">RD = risk difference; </w:t>
      </w:r>
      <w:r>
        <w:t>RR = risk ratio</w:t>
      </w:r>
      <w:r w:rsidRPr="00061F78">
        <w:t xml:space="preserve"> </w:t>
      </w:r>
    </w:p>
    <w:p w:rsidR="006A6520" w:rsidRDefault="006A6520" w:rsidP="006A6520">
      <w:pPr>
        <w:pStyle w:val="TableFooter"/>
        <w:keepNext/>
      </w:pPr>
      <w:r w:rsidRPr="00061F78">
        <w:rPr>
          <w:highlight w:val="lightGray"/>
        </w:rPr>
        <w:t>Shaded</w:t>
      </w:r>
      <w:r w:rsidRPr="00061F78">
        <w:t xml:space="preserve"> = previously considered by the PBAC</w:t>
      </w:r>
    </w:p>
    <w:p w:rsidR="006A6520" w:rsidRDefault="006A6520" w:rsidP="006A6520">
      <w:pPr>
        <w:pStyle w:val="TableFooter"/>
        <w:keepNext/>
      </w:pPr>
      <w:r w:rsidRPr="00D468CF">
        <w:t>Note</w:t>
      </w:r>
      <w:r>
        <w:t>s</w:t>
      </w:r>
      <w:r w:rsidRPr="00D468CF">
        <w:t>: Bold indicates statistically significant difference.</w:t>
      </w:r>
      <w:r>
        <w:br/>
        <w:t xml:space="preserve">1 Continuous abstinence rate at 12 months (Week </w:t>
      </w:r>
      <w:r w:rsidR="009A0C19">
        <w:t>9</w:t>
      </w:r>
      <w:r>
        <w:t>-52)</w:t>
      </w:r>
      <w:r w:rsidR="00914B81">
        <w:t>.</w:t>
      </w:r>
    </w:p>
    <w:p w:rsidR="006A6520" w:rsidRDefault="006A6520" w:rsidP="006A6520">
      <w:pPr>
        <w:pStyle w:val="TableFooter"/>
        <w:keepNext/>
      </w:pPr>
      <w:r>
        <w:t xml:space="preserve">2 </w:t>
      </w:r>
      <w:r w:rsidR="007B0E52">
        <w:t>The RCT included in Cahill et al. (2016) is the same study previously considered by the PBAC (Gonzales et al. 2014</w:t>
      </w:r>
      <w:r w:rsidR="00914B81">
        <w:t>; referred to as Trial A3051139</w:t>
      </w:r>
      <w:r w:rsidR="007B0E52">
        <w:t>)</w:t>
      </w:r>
      <w:r w:rsidR="00914B81">
        <w:t>.</w:t>
      </w:r>
    </w:p>
    <w:p w:rsidR="006A6520" w:rsidRDefault="00923953" w:rsidP="006A6520">
      <w:pPr>
        <w:pStyle w:val="TableFooter"/>
        <w:keepNext/>
      </w:pPr>
      <w:r>
        <w:t>3</w:t>
      </w:r>
      <w:r w:rsidR="006A6520">
        <w:t xml:space="preserve"> </w:t>
      </w:r>
      <w:r w:rsidR="006A6520" w:rsidRPr="00F423F8">
        <w:t xml:space="preserve">The number of </w:t>
      </w:r>
      <w:r w:rsidR="00234A7A">
        <w:t>patients (N)</w:t>
      </w:r>
      <w:r w:rsidR="006A6520" w:rsidRPr="00F423F8">
        <w:t xml:space="preserve"> reported in </w:t>
      </w:r>
      <w:r w:rsidR="00234A7A">
        <w:t>Cahill</w:t>
      </w:r>
      <w:r w:rsidR="006A6520" w:rsidRPr="00F423F8">
        <w:t xml:space="preserve"> et al. (201</w:t>
      </w:r>
      <w:r w:rsidR="004A5105">
        <w:t>6</w:t>
      </w:r>
      <w:r w:rsidR="006A6520" w:rsidRPr="00F423F8">
        <w:t xml:space="preserve">) </w:t>
      </w:r>
      <w:r w:rsidR="004A5105">
        <w:t xml:space="preserve">was based on </w:t>
      </w:r>
      <w:r w:rsidR="00E42C27">
        <w:t>t</w:t>
      </w:r>
      <w:r w:rsidR="00221B47">
        <w:t>reated patients instead of randomised patients</w:t>
      </w:r>
      <w:r w:rsidR="006A6520" w:rsidRPr="00F423F8">
        <w:t xml:space="preserve"> (</w:t>
      </w:r>
      <w:r w:rsidR="006A6520">
        <w:t>Varenicline</w:t>
      </w:r>
      <w:r w:rsidR="006A6520" w:rsidRPr="00F423F8">
        <w:t xml:space="preserve">, </w:t>
      </w:r>
      <w:r w:rsidR="002775B8">
        <w:t>N</w:t>
      </w:r>
      <w:r w:rsidR="006A6520" w:rsidRPr="00F423F8">
        <w:t>=</w:t>
      </w:r>
      <w:r w:rsidR="006A6520">
        <w:t>2</w:t>
      </w:r>
      <w:r w:rsidR="00622017">
        <w:t>49</w:t>
      </w:r>
      <w:r w:rsidR="006A6520" w:rsidRPr="00F423F8">
        <w:t xml:space="preserve"> versus </w:t>
      </w:r>
      <w:r w:rsidR="006A6520">
        <w:t>2</w:t>
      </w:r>
      <w:r w:rsidR="00622017">
        <w:t>51</w:t>
      </w:r>
      <w:r w:rsidR="00155E0F">
        <w:t xml:space="preserve">; Placebo, </w:t>
      </w:r>
      <w:r w:rsidR="002775B8">
        <w:t>N</w:t>
      </w:r>
      <w:r w:rsidR="00155E0F">
        <w:t>=245 versus 247</w:t>
      </w:r>
      <w:r w:rsidR="006A6520" w:rsidRPr="00F423F8">
        <w:t xml:space="preserve">). The number </w:t>
      </w:r>
      <w:r w:rsidR="002814D4">
        <w:t xml:space="preserve">of randomised patients </w:t>
      </w:r>
      <w:r w:rsidR="006A6520" w:rsidRPr="00F423F8">
        <w:t>w</w:t>
      </w:r>
      <w:r w:rsidR="006A6520">
        <w:t>as</w:t>
      </w:r>
      <w:r w:rsidR="006A6520" w:rsidRPr="00F423F8">
        <w:t xml:space="preserve"> used </w:t>
      </w:r>
      <w:r w:rsidR="003F0760">
        <w:t>instead as this represents the ITT population.</w:t>
      </w:r>
    </w:p>
    <w:p w:rsidR="00F15CF6" w:rsidRPr="0073597F" w:rsidRDefault="00F15CF6" w:rsidP="00F15CF6">
      <w:pPr>
        <w:rPr>
          <w:u w:val="single"/>
        </w:rPr>
      </w:pPr>
      <w:r w:rsidRPr="0073597F">
        <w:rPr>
          <w:u w:val="single"/>
        </w:rPr>
        <w:t>Safety</w:t>
      </w:r>
    </w:p>
    <w:p w:rsidR="00CD3351" w:rsidRDefault="00F15CF6" w:rsidP="00F15CF6">
      <w:r w:rsidRPr="00F423F8">
        <w:t xml:space="preserve">The incidence of adverse events comparing </w:t>
      </w:r>
      <w:r>
        <w:t>varenicline with placebo in non-abstainers as retreatment</w:t>
      </w:r>
      <w:r w:rsidRPr="00F423F8">
        <w:t xml:space="preserve"> was not synthesised quantitatively by </w:t>
      </w:r>
      <w:r w:rsidR="006B234B">
        <w:t>Cahill</w:t>
      </w:r>
      <w:r w:rsidRPr="002C1625">
        <w:t xml:space="preserve"> et al. (201</w:t>
      </w:r>
      <w:r w:rsidR="006B234B">
        <w:t>6</w:t>
      </w:r>
      <w:r w:rsidRPr="002C1625">
        <w:t>)</w:t>
      </w:r>
      <w:r w:rsidRPr="00F423F8">
        <w:t>.</w:t>
      </w:r>
      <w:r>
        <w:t xml:space="preserve"> </w:t>
      </w:r>
      <w:r w:rsidR="00370D48" w:rsidRPr="00370D48">
        <w:t>It was noted that the safety results of Gonzales et al. (20</w:t>
      </w:r>
      <w:r w:rsidR="00370D48">
        <w:t>14</w:t>
      </w:r>
      <w:r w:rsidR="00370D48" w:rsidRPr="00370D48">
        <w:t>) w</w:t>
      </w:r>
      <w:r w:rsidR="00370D48">
        <w:t>ere</w:t>
      </w:r>
      <w:r w:rsidR="00370D48" w:rsidRPr="00370D48">
        <w:t xml:space="preserve"> included in the overall safety analysis of </w:t>
      </w:r>
      <w:r w:rsidR="00BB7AD6">
        <w:t>varenicline</w:t>
      </w:r>
      <w:r w:rsidR="00370D48" w:rsidRPr="00370D48">
        <w:t xml:space="preserve"> versus placebo conducted by </w:t>
      </w:r>
      <w:r w:rsidR="00BB7AD6">
        <w:t>Cahill</w:t>
      </w:r>
      <w:r w:rsidR="00370D48" w:rsidRPr="00370D48">
        <w:t xml:space="preserve"> et al. (20</w:t>
      </w:r>
      <w:r w:rsidR="00BB7AD6">
        <w:t>16</w:t>
      </w:r>
      <w:r w:rsidR="00370D48" w:rsidRPr="00370D48">
        <w:t xml:space="preserve">), </w:t>
      </w:r>
      <w:r w:rsidR="00250E8A">
        <w:t>as</w:t>
      </w:r>
      <w:r w:rsidR="00370D48" w:rsidRPr="00370D48">
        <w:t xml:space="preserve"> presented in the treatment-naïve population section.</w:t>
      </w:r>
      <w:r w:rsidR="00BB7AD6">
        <w:t xml:space="preserve"> </w:t>
      </w:r>
      <w:r>
        <w:t xml:space="preserve">In </w:t>
      </w:r>
      <w:r w:rsidR="009B17FE">
        <w:t>March 2014,</w:t>
      </w:r>
      <w:r>
        <w:t xml:space="preserve"> </w:t>
      </w:r>
      <w:r w:rsidR="009B17FE">
        <w:t>t</w:t>
      </w:r>
      <w:r w:rsidR="009B17FE" w:rsidRPr="00A948E2">
        <w:t xml:space="preserve">he PBAC considered that varenicline </w:t>
      </w:r>
      <w:r w:rsidR="002769AD">
        <w:t>wa</w:t>
      </w:r>
      <w:r w:rsidR="009B17FE" w:rsidRPr="00A948E2">
        <w:t>s of inferior safety to placebo</w:t>
      </w:r>
      <w:r w:rsidR="009B17FE">
        <w:t xml:space="preserve"> (</w:t>
      </w:r>
      <w:r w:rsidR="009B17FE" w:rsidRPr="00AE0738">
        <w:t>Varenicline PSD, 2014</w:t>
      </w:r>
      <w:r w:rsidR="009B17FE">
        <w:t>)</w:t>
      </w:r>
      <w:r w:rsidR="009B17FE" w:rsidRPr="00A948E2">
        <w:t>.</w:t>
      </w:r>
    </w:p>
    <w:p w:rsidR="00487D59" w:rsidRDefault="00487D59" w:rsidP="00F15CF6">
      <w:r w:rsidRPr="00487D59">
        <w:t xml:space="preserve">Based on the </w:t>
      </w:r>
      <w:r>
        <w:t>study by</w:t>
      </w:r>
      <w:r w:rsidRPr="00487D59">
        <w:t xml:space="preserve"> Gonzales et al. (20</w:t>
      </w:r>
      <w:r>
        <w:t>14</w:t>
      </w:r>
      <w:r w:rsidRPr="00487D59">
        <w:t xml:space="preserve">), a significantly higher proportion of patients in the </w:t>
      </w:r>
      <w:r>
        <w:t>varenicline</w:t>
      </w:r>
      <w:r w:rsidRPr="00487D59">
        <w:t xml:space="preserve"> arm experienced </w:t>
      </w:r>
      <w:r>
        <w:t>nausea and abnormal dreams</w:t>
      </w:r>
      <w:r w:rsidRPr="00487D59">
        <w:t xml:space="preserve"> compared to patients in the placebo arm (</w:t>
      </w:r>
      <w:r w:rsidR="003C4A1C">
        <w:t xml:space="preserve">Table </w:t>
      </w:r>
      <w:r w:rsidR="003C4A1C">
        <w:rPr>
          <w:noProof/>
        </w:rPr>
        <w:t>38</w:t>
      </w:r>
      <w:r w:rsidRPr="00487D59">
        <w:t xml:space="preserve">). There were no statistically significant differences between the two treatment arms for </w:t>
      </w:r>
      <w:r>
        <w:t>insomnia, headache, depression</w:t>
      </w:r>
      <w:r w:rsidR="00506E5D">
        <w:t>, serious adverse events a</w:t>
      </w:r>
      <w:r w:rsidR="00997DFD">
        <w:t>nd cardiac serious adverse events</w:t>
      </w:r>
      <w:r w:rsidRPr="00487D59">
        <w:t xml:space="preserve">, although a numerically higher incidence rate was observed in the </w:t>
      </w:r>
      <w:r w:rsidR="00997DFD">
        <w:t>varenicline</w:t>
      </w:r>
      <w:r w:rsidRPr="00487D59">
        <w:t xml:space="preserve"> arm</w:t>
      </w:r>
      <w:r w:rsidR="00997DFD">
        <w:t xml:space="preserve"> except for cardiac serious adverse events. There were no </w:t>
      </w:r>
      <w:r w:rsidR="00B05DCD">
        <w:t>suicidal</w:t>
      </w:r>
      <w:r w:rsidR="00997DFD">
        <w:t xml:space="preserve"> ideation events</w:t>
      </w:r>
      <w:r w:rsidR="00D41669">
        <w:t xml:space="preserve"> observed</w:t>
      </w:r>
      <w:r w:rsidR="00997DFD">
        <w:t xml:space="preserve"> in either arm</w:t>
      </w:r>
      <w:r w:rsidRPr="00487D59">
        <w:t>.</w:t>
      </w:r>
    </w:p>
    <w:p w:rsidR="00487D59" w:rsidRDefault="00487D59" w:rsidP="00487D59">
      <w:pPr>
        <w:pStyle w:val="Caption"/>
        <w:keepNext/>
      </w:pPr>
      <w:bookmarkStart w:id="112" w:name="_Ref62070798"/>
      <w:r>
        <w:t xml:space="preserve">Table </w:t>
      </w:r>
      <w:r w:rsidR="003C4A1C">
        <w:rPr>
          <w:noProof/>
        </w:rPr>
        <w:t>38</w:t>
      </w:r>
      <w:bookmarkEnd w:id="112"/>
      <w:r>
        <w:t xml:space="preserve">: </w:t>
      </w:r>
      <w:r w:rsidRPr="00C07E55">
        <w:t xml:space="preserve">Summary of key adverse events, </w:t>
      </w:r>
      <w:r>
        <w:t>varenicline</w:t>
      </w:r>
      <w:r w:rsidRPr="00C07E55">
        <w:t xml:space="preserve"> versus placebo in non-abstainers as retreatment</w:t>
      </w:r>
    </w:p>
    <w:tbl>
      <w:tblPr>
        <w:tblStyle w:val="TableGrid"/>
        <w:tblW w:w="5000" w:type="pct"/>
        <w:tblLook w:val="04A0" w:firstRow="1" w:lastRow="0" w:firstColumn="1" w:lastColumn="0" w:noHBand="0" w:noVBand="1"/>
        <w:tblCaption w:val="Efficacy results of adalimumab trials (PASI 75 and DLQI)"/>
      </w:tblPr>
      <w:tblGrid>
        <w:gridCol w:w="2972"/>
        <w:gridCol w:w="1484"/>
        <w:gridCol w:w="1520"/>
        <w:gridCol w:w="1520"/>
        <w:gridCol w:w="1520"/>
      </w:tblGrid>
      <w:tr w:rsidR="00FC0EF0" w:rsidRPr="00061F78" w:rsidTr="0005238C">
        <w:trPr>
          <w:cantSplit/>
          <w:trHeight w:val="299"/>
          <w:tblHeader/>
        </w:trPr>
        <w:tc>
          <w:tcPr>
            <w:tcW w:w="1648" w:type="pct"/>
            <w:shd w:val="clear" w:color="auto" w:fill="BFBFBF" w:themeFill="background1" w:themeFillShade="BF"/>
            <w:tcMar>
              <w:left w:w="28" w:type="dxa"/>
              <w:right w:w="28" w:type="dxa"/>
            </w:tcMar>
          </w:tcPr>
          <w:p w:rsidR="00FC0EF0" w:rsidRDefault="00FC0EF0" w:rsidP="00C52073">
            <w:pPr>
              <w:pStyle w:val="Tableheading"/>
              <w:rPr>
                <w:rFonts w:eastAsia="MS Mincho"/>
              </w:rPr>
            </w:pPr>
            <w:r>
              <w:rPr>
                <w:rFonts w:eastAsia="MS Mincho"/>
              </w:rPr>
              <w:t>Outcome</w:t>
            </w:r>
          </w:p>
        </w:tc>
        <w:tc>
          <w:tcPr>
            <w:tcW w:w="823" w:type="pct"/>
            <w:shd w:val="clear" w:color="auto" w:fill="BFBFBF" w:themeFill="background1" w:themeFillShade="BF"/>
          </w:tcPr>
          <w:p w:rsidR="00FC0EF0" w:rsidRDefault="00FC0EF0" w:rsidP="00C52073">
            <w:pPr>
              <w:pStyle w:val="Tableheading"/>
              <w:jc w:val="center"/>
              <w:rPr>
                <w:rFonts w:eastAsia="MS Mincho"/>
              </w:rPr>
            </w:pPr>
            <w:r>
              <w:rPr>
                <w:rFonts w:eastAsia="MS Mincho"/>
              </w:rPr>
              <w:t>Study type</w:t>
            </w:r>
          </w:p>
        </w:tc>
        <w:tc>
          <w:tcPr>
            <w:tcW w:w="843" w:type="pct"/>
            <w:shd w:val="clear" w:color="auto" w:fill="BFBFBF" w:themeFill="background1" w:themeFillShade="BF"/>
            <w:tcMar>
              <w:left w:w="28" w:type="dxa"/>
              <w:right w:w="28" w:type="dxa"/>
            </w:tcMar>
            <w:vAlign w:val="center"/>
          </w:tcPr>
          <w:p w:rsidR="00FC0EF0" w:rsidRPr="00061F78" w:rsidRDefault="00FC0EF0" w:rsidP="00C52073">
            <w:pPr>
              <w:pStyle w:val="Tableheading"/>
              <w:jc w:val="center"/>
              <w:rPr>
                <w:rFonts w:eastAsia="MS Mincho"/>
              </w:rPr>
            </w:pPr>
            <w:r>
              <w:rPr>
                <w:rFonts w:eastAsia="MS Mincho"/>
              </w:rPr>
              <w:t>Varenicline</w:t>
            </w:r>
          </w:p>
        </w:tc>
        <w:tc>
          <w:tcPr>
            <w:tcW w:w="843" w:type="pct"/>
            <w:shd w:val="clear" w:color="auto" w:fill="BFBFBF" w:themeFill="background1" w:themeFillShade="BF"/>
            <w:tcMar>
              <w:left w:w="28" w:type="dxa"/>
              <w:right w:w="28" w:type="dxa"/>
            </w:tcMar>
            <w:vAlign w:val="center"/>
          </w:tcPr>
          <w:p w:rsidR="00FC0EF0" w:rsidRPr="00061F78" w:rsidRDefault="00FC0EF0" w:rsidP="00C52073">
            <w:pPr>
              <w:pStyle w:val="Tableheading"/>
              <w:jc w:val="center"/>
              <w:rPr>
                <w:rFonts w:eastAsia="MS Mincho"/>
              </w:rPr>
            </w:pPr>
            <w:r w:rsidRPr="00061F78">
              <w:rPr>
                <w:rFonts w:eastAsia="MS Mincho"/>
              </w:rPr>
              <w:t>Placebo</w:t>
            </w:r>
          </w:p>
        </w:tc>
        <w:tc>
          <w:tcPr>
            <w:tcW w:w="843" w:type="pct"/>
            <w:shd w:val="clear" w:color="auto" w:fill="BFBFBF" w:themeFill="background1" w:themeFillShade="BF"/>
            <w:tcMar>
              <w:left w:w="28" w:type="dxa"/>
              <w:right w:w="28" w:type="dxa"/>
            </w:tcMar>
            <w:vAlign w:val="center"/>
          </w:tcPr>
          <w:p w:rsidR="00FC0EF0" w:rsidRPr="00487D59" w:rsidRDefault="00FC0EF0" w:rsidP="00C52073">
            <w:pPr>
              <w:pStyle w:val="Tableheading"/>
              <w:jc w:val="center"/>
              <w:rPr>
                <w:rFonts w:eastAsia="MS Mincho"/>
                <w:vertAlign w:val="superscript"/>
              </w:rPr>
            </w:pPr>
            <w:r>
              <w:rPr>
                <w:rFonts w:eastAsia="MS Mincho"/>
              </w:rPr>
              <w:t>RR (95% CI)</w:t>
            </w:r>
            <w:r w:rsidR="00487D59">
              <w:rPr>
                <w:rFonts w:eastAsia="MS Mincho"/>
                <w:vertAlign w:val="superscript"/>
              </w:rPr>
              <w:t>1</w:t>
            </w:r>
          </w:p>
        </w:tc>
      </w:tr>
      <w:tr w:rsidR="00FC0EF0" w:rsidRPr="00061F78" w:rsidTr="0005238C">
        <w:trPr>
          <w:cantSplit/>
          <w:trHeight w:val="99"/>
        </w:trPr>
        <w:tc>
          <w:tcPr>
            <w:tcW w:w="1648" w:type="pct"/>
            <w:shd w:val="clear" w:color="auto" w:fill="auto"/>
            <w:tcMar>
              <w:left w:w="28" w:type="dxa"/>
              <w:right w:w="28" w:type="dxa"/>
            </w:tcMar>
          </w:tcPr>
          <w:p w:rsidR="00FC0EF0" w:rsidRPr="001B4846" w:rsidRDefault="00FC0EF0" w:rsidP="00C52073">
            <w:pPr>
              <w:pStyle w:val="Tablewriting"/>
              <w:rPr>
                <w:rFonts w:eastAsia="MS Mincho"/>
                <w:vertAlign w:val="superscript"/>
              </w:rPr>
            </w:pPr>
            <w:r>
              <w:rPr>
                <w:rFonts w:eastAsia="MS Mincho"/>
              </w:rPr>
              <w:t>Adverse event – nausea</w:t>
            </w:r>
          </w:p>
        </w:tc>
        <w:tc>
          <w:tcPr>
            <w:tcW w:w="823" w:type="pct"/>
            <w:vAlign w:val="center"/>
          </w:tcPr>
          <w:p w:rsidR="00FC0EF0" w:rsidRDefault="00FC0EF0" w:rsidP="00C52073">
            <w:pPr>
              <w:pStyle w:val="Tablewriting"/>
              <w:jc w:val="center"/>
              <w:rPr>
                <w:rFonts w:eastAsia="MS Mincho"/>
              </w:rPr>
            </w:pPr>
            <w:r>
              <w:rPr>
                <w:rFonts w:eastAsia="MS Mincho"/>
              </w:rPr>
              <w:t>RCT</w:t>
            </w:r>
          </w:p>
        </w:tc>
        <w:tc>
          <w:tcPr>
            <w:tcW w:w="843" w:type="pct"/>
            <w:shd w:val="clear" w:color="auto" w:fill="auto"/>
            <w:tcMar>
              <w:left w:w="28" w:type="dxa"/>
              <w:right w:w="28" w:type="dxa"/>
            </w:tcMar>
            <w:vAlign w:val="center"/>
          </w:tcPr>
          <w:p w:rsidR="00FC0EF0" w:rsidRDefault="00FC0EF0" w:rsidP="00C52073">
            <w:pPr>
              <w:pStyle w:val="Tablewriting"/>
              <w:jc w:val="center"/>
              <w:rPr>
                <w:rFonts w:eastAsia="MS Mincho"/>
              </w:rPr>
            </w:pPr>
            <w:r>
              <w:rPr>
                <w:rFonts w:eastAsia="MS Mincho"/>
              </w:rPr>
              <w:t>66/249</w:t>
            </w:r>
          </w:p>
          <w:p w:rsidR="00FC0EF0" w:rsidRDefault="00FC0EF0" w:rsidP="00C52073">
            <w:pPr>
              <w:pStyle w:val="Tablewriting"/>
              <w:jc w:val="center"/>
              <w:rPr>
                <w:rFonts w:eastAsia="MS Mincho"/>
              </w:rPr>
            </w:pPr>
            <w:r>
              <w:rPr>
                <w:rFonts w:eastAsia="MS Mincho"/>
              </w:rPr>
              <w:t>(</w:t>
            </w:r>
            <w:r w:rsidR="000D6252">
              <w:rPr>
                <w:rFonts w:eastAsia="MS Mincho"/>
              </w:rPr>
              <w:t>26.5</w:t>
            </w:r>
            <w:r>
              <w:rPr>
                <w:rFonts w:eastAsia="MS Mincho"/>
              </w:rPr>
              <w:t>%)</w:t>
            </w:r>
          </w:p>
        </w:tc>
        <w:tc>
          <w:tcPr>
            <w:tcW w:w="843" w:type="pct"/>
            <w:shd w:val="clear" w:color="auto" w:fill="auto"/>
            <w:tcMar>
              <w:left w:w="28" w:type="dxa"/>
              <w:right w:w="28" w:type="dxa"/>
            </w:tcMar>
            <w:vAlign w:val="center"/>
          </w:tcPr>
          <w:p w:rsidR="00FC0EF0" w:rsidRDefault="00FC0EF0" w:rsidP="00C52073">
            <w:pPr>
              <w:pStyle w:val="Tablewriting"/>
              <w:jc w:val="center"/>
              <w:rPr>
                <w:rFonts w:eastAsia="MS Mincho"/>
              </w:rPr>
            </w:pPr>
            <w:r>
              <w:rPr>
                <w:rFonts w:eastAsia="MS Mincho"/>
              </w:rPr>
              <w:t>22/245</w:t>
            </w:r>
          </w:p>
          <w:p w:rsidR="00FC0EF0" w:rsidRDefault="00FC0EF0" w:rsidP="00C52073">
            <w:pPr>
              <w:pStyle w:val="Tablewriting"/>
              <w:jc w:val="center"/>
              <w:rPr>
                <w:rFonts w:eastAsia="MS Mincho"/>
              </w:rPr>
            </w:pPr>
            <w:r>
              <w:rPr>
                <w:rFonts w:eastAsia="MS Mincho"/>
              </w:rPr>
              <w:t>(</w:t>
            </w:r>
            <w:r w:rsidR="000D6252">
              <w:rPr>
                <w:rFonts w:eastAsia="MS Mincho"/>
              </w:rPr>
              <w:t>9.0</w:t>
            </w:r>
            <w:r>
              <w:rPr>
                <w:rFonts w:eastAsia="MS Mincho"/>
              </w:rPr>
              <w:t>%)</w:t>
            </w:r>
          </w:p>
        </w:tc>
        <w:tc>
          <w:tcPr>
            <w:tcW w:w="843" w:type="pct"/>
            <w:shd w:val="clear" w:color="auto" w:fill="auto"/>
            <w:tcMar>
              <w:left w:w="28" w:type="dxa"/>
              <w:right w:w="28" w:type="dxa"/>
            </w:tcMar>
            <w:vAlign w:val="center"/>
          </w:tcPr>
          <w:p w:rsidR="00FC0EF0" w:rsidRDefault="006D0B48" w:rsidP="00C52073">
            <w:pPr>
              <w:pStyle w:val="Tablewriting"/>
              <w:jc w:val="center"/>
              <w:rPr>
                <w:rFonts w:eastAsia="MS Mincho"/>
                <w:b/>
              </w:rPr>
            </w:pPr>
            <w:r>
              <w:rPr>
                <w:rFonts w:eastAsia="MS Mincho"/>
                <w:b/>
              </w:rPr>
              <w:t>2.95</w:t>
            </w:r>
          </w:p>
          <w:p w:rsidR="006D0B48" w:rsidRPr="00F360FD" w:rsidRDefault="006D0B48" w:rsidP="00C52073">
            <w:pPr>
              <w:pStyle w:val="Tablewriting"/>
              <w:jc w:val="center"/>
              <w:rPr>
                <w:rFonts w:eastAsia="MS Mincho"/>
                <w:b/>
              </w:rPr>
            </w:pPr>
            <w:r>
              <w:rPr>
                <w:rFonts w:eastAsia="MS Mincho"/>
                <w:b/>
              </w:rPr>
              <w:t>(1.88, 4.63)</w:t>
            </w:r>
          </w:p>
        </w:tc>
      </w:tr>
      <w:tr w:rsidR="00FC0EF0" w:rsidRPr="00061F78" w:rsidTr="0005238C">
        <w:trPr>
          <w:cantSplit/>
          <w:trHeight w:val="149"/>
        </w:trPr>
        <w:tc>
          <w:tcPr>
            <w:tcW w:w="1648" w:type="pct"/>
            <w:tcMar>
              <w:left w:w="28" w:type="dxa"/>
              <w:right w:w="28" w:type="dxa"/>
            </w:tcMar>
          </w:tcPr>
          <w:p w:rsidR="00FC0EF0" w:rsidRPr="001B4846" w:rsidRDefault="006D0B48" w:rsidP="00C52073">
            <w:pPr>
              <w:pStyle w:val="Tablewriting"/>
              <w:rPr>
                <w:rFonts w:eastAsia="MS Mincho"/>
                <w:vertAlign w:val="superscript"/>
              </w:rPr>
            </w:pPr>
            <w:r>
              <w:rPr>
                <w:rFonts w:eastAsia="MS Mincho"/>
              </w:rPr>
              <w:lastRenderedPageBreak/>
              <w:t>Adverse event – insomnia</w:t>
            </w:r>
          </w:p>
        </w:tc>
        <w:tc>
          <w:tcPr>
            <w:tcW w:w="823" w:type="pct"/>
            <w:vAlign w:val="center"/>
          </w:tcPr>
          <w:p w:rsidR="00FC0EF0" w:rsidRDefault="00FC0EF0" w:rsidP="00C52073">
            <w:pPr>
              <w:pStyle w:val="Tablewriting"/>
              <w:jc w:val="center"/>
              <w:rPr>
                <w:rFonts w:eastAsia="MS Mincho"/>
              </w:rPr>
            </w:pPr>
            <w:r>
              <w:rPr>
                <w:rFonts w:eastAsia="MS Mincho"/>
              </w:rPr>
              <w:t>RCT</w:t>
            </w:r>
          </w:p>
        </w:tc>
        <w:tc>
          <w:tcPr>
            <w:tcW w:w="843" w:type="pct"/>
            <w:tcMar>
              <w:left w:w="28" w:type="dxa"/>
              <w:right w:w="28" w:type="dxa"/>
            </w:tcMar>
            <w:vAlign w:val="center"/>
          </w:tcPr>
          <w:p w:rsidR="00FC0EF0" w:rsidRPr="00F77D35" w:rsidRDefault="00F77D35" w:rsidP="00C52073">
            <w:pPr>
              <w:pStyle w:val="Tablewriting"/>
              <w:jc w:val="center"/>
              <w:rPr>
                <w:rFonts w:eastAsia="MS Mincho"/>
              </w:rPr>
            </w:pPr>
            <w:r w:rsidRPr="00F77D35">
              <w:rPr>
                <w:rFonts w:eastAsia="MS Mincho"/>
              </w:rPr>
              <w:t>17/249</w:t>
            </w:r>
          </w:p>
          <w:p w:rsidR="00F77D35" w:rsidRPr="00F77D35" w:rsidRDefault="00F77D35" w:rsidP="00C52073">
            <w:pPr>
              <w:pStyle w:val="Tablewriting"/>
              <w:jc w:val="center"/>
              <w:rPr>
                <w:rFonts w:eastAsia="MS Mincho"/>
              </w:rPr>
            </w:pPr>
            <w:r w:rsidRPr="00F77D35">
              <w:rPr>
                <w:rFonts w:eastAsia="MS Mincho"/>
              </w:rPr>
              <w:t>(</w:t>
            </w:r>
            <w:r w:rsidR="000D6252">
              <w:rPr>
                <w:rFonts w:eastAsia="MS Mincho"/>
              </w:rPr>
              <w:t>6.8</w:t>
            </w:r>
            <w:r w:rsidRPr="00F77D35">
              <w:rPr>
                <w:rFonts w:eastAsia="MS Mincho"/>
              </w:rPr>
              <w:t>%)</w:t>
            </w:r>
          </w:p>
        </w:tc>
        <w:tc>
          <w:tcPr>
            <w:tcW w:w="843" w:type="pct"/>
            <w:tcMar>
              <w:left w:w="28" w:type="dxa"/>
              <w:right w:w="28" w:type="dxa"/>
            </w:tcMar>
            <w:vAlign w:val="center"/>
          </w:tcPr>
          <w:p w:rsidR="00FC0EF0" w:rsidRDefault="00F77D35" w:rsidP="00C52073">
            <w:pPr>
              <w:pStyle w:val="Tablewriting"/>
              <w:jc w:val="center"/>
              <w:rPr>
                <w:rFonts w:eastAsia="MS Mincho"/>
              </w:rPr>
            </w:pPr>
            <w:r>
              <w:rPr>
                <w:rFonts w:eastAsia="MS Mincho"/>
              </w:rPr>
              <w:t>10/245</w:t>
            </w:r>
          </w:p>
          <w:p w:rsidR="00F77D35" w:rsidRPr="00F77D35" w:rsidRDefault="00F77D35" w:rsidP="00C52073">
            <w:pPr>
              <w:pStyle w:val="Tablewriting"/>
              <w:jc w:val="center"/>
              <w:rPr>
                <w:rFonts w:eastAsia="MS Mincho"/>
              </w:rPr>
            </w:pPr>
            <w:r>
              <w:rPr>
                <w:rFonts w:eastAsia="MS Mincho"/>
              </w:rPr>
              <w:t>(</w:t>
            </w:r>
            <w:r w:rsidR="00B15B38">
              <w:rPr>
                <w:rFonts w:eastAsia="MS Mincho"/>
              </w:rPr>
              <w:t>4.1</w:t>
            </w:r>
            <w:r>
              <w:rPr>
                <w:rFonts w:eastAsia="MS Mincho"/>
              </w:rPr>
              <w:t>%)</w:t>
            </w:r>
          </w:p>
        </w:tc>
        <w:tc>
          <w:tcPr>
            <w:tcW w:w="843" w:type="pct"/>
            <w:tcMar>
              <w:left w:w="28" w:type="dxa"/>
              <w:right w:w="28" w:type="dxa"/>
            </w:tcMar>
            <w:vAlign w:val="center"/>
          </w:tcPr>
          <w:p w:rsidR="00FC0EF0" w:rsidRDefault="005063A3" w:rsidP="00C52073">
            <w:pPr>
              <w:pStyle w:val="Tablewriting"/>
              <w:jc w:val="center"/>
              <w:rPr>
                <w:rFonts w:eastAsia="MS Mincho"/>
              </w:rPr>
            </w:pPr>
            <w:r>
              <w:rPr>
                <w:rFonts w:eastAsia="MS Mincho"/>
              </w:rPr>
              <w:t>1.67</w:t>
            </w:r>
          </w:p>
          <w:p w:rsidR="005063A3" w:rsidRPr="00F77D35" w:rsidRDefault="005063A3" w:rsidP="00C52073">
            <w:pPr>
              <w:pStyle w:val="Tablewriting"/>
              <w:jc w:val="center"/>
              <w:rPr>
                <w:rFonts w:eastAsia="MS Mincho"/>
              </w:rPr>
            </w:pPr>
            <w:r>
              <w:rPr>
                <w:rFonts w:eastAsia="MS Mincho"/>
              </w:rPr>
              <w:t>(0.78, 3.58)</w:t>
            </w:r>
          </w:p>
        </w:tc>
      </w:tr>
      <w:tr w:rsidR="00FC0EF0" w:rsidRPr="00061F78" w:rsidTr="0005238C">
        <w:trPr>
          <w:cantSplit/>
          <w:trHeight w:val="149"/>
        </w:trPr>
        <w:tc>
          <w:tcPr>
            <w:tcW w:w="1648" w:type="pct"/>
            <w:tcMar>
              <w:left w:w="28" w:type="dxa"/>
              <w:right w:w="28" w:type="dxa"/>
            </w:tcMar>
          </w:tcPr>
          <w:p w:rsidR="00FC0EF0" w:rsidRDefault="005063A3" w:rsidP="00C52073">
            <w:pPr>
              <w:pStyle w:val="Tablewriting"/>
              <w:rPr>
                <w:rFonts w:eastAsia="MS Mincho"/>
              </w:rPr>
            </w:pPr>
            <w:r>
              <w:rPr>
                <w:rFonts w:eastAsia="MS Mincho"/>
              </w:rPr>
              <w:t>Adverse event – abnormal dreams</w:t>
            </w:r>
          </w:p>
        </w:tc>
        <w:tc>
          <w:tcPr>
            <w:tcW w:w="823" w:type="pct"/>
            <w:vAlign w:val="center"/>
          </w:tcPr>
          <w:p w:rsidR="00FC0EF0" w:rsidRDefault="00FC0EF0" w:rsidP="00C52073">
            <w:pPr>
              <w:pStyle w:val="Tablewriting"/>
              <w:jc w:val="center"/>
              <w:rPr>
                <w:rFonts w:eastAsia="MS Mincho"/>
              </w:rPr>
            </w:pPr>
            <w:r>
              <w:rPr>
                <w:rFonts w:eastAsia="MS Mincho"/>
              </w:rPr>
              <w:t>RCT</w:t>
            </w:r>
          </w:p>
        </w:tc>
        <w:tc>
          <w:tcPr>
            <w:tcW w:w="843" w:type="pct"/>
            <w:tcMar>
              <w:left w:w="28" w:type="dxa"/>
              <w:right w:w="28" w:type="dxa"/>
            </w:tcMar>
            <w:vAlign w:val="center"/>
          </w:tcPr>
          <w:p w:rsidR="00FC0EF0" w:rsidRPr="00764279" w:rsidRDefault="0043058F" w:rsidP="00C52073">
            <w:pPr>
              <w:pStyle w:val="Tablewriting"/>
              <w:jc w:val="center"/>
              <w:rPr>
                <w:rFonts w:eastAsia="MS Mincho"/>
              </w:rPr>
            </w:pPr>
            <w:r w:rsidRPr="00764279">
              <w:rPr>
                <w:rFonts w:eastAsia="MS Mincho"/>
              </w:rPr>
              <w:t>36/249</w:t>
            </w:r>
          </w:p>
          <w:p w:rsidR="0043058F" w:rsidRPr="00764279" w:rsidRDefault="0043058F" w:rsidP="00C52073">
            <w:pPr>
              <w:pStyle w:val="Tablewriting"/>
              <w:jc w:val="center"/>
              <w:rPr>
                <w:rFonts w:eastAsia="MS Mincho"/>
              </w:rPr>
            </w:pPr>
            <w:r w:rsidRPr="00764279">
              <w:rPr>
                <w:rFonts w:eastAsia="MS Mincho"/>
              </w:rPr>
              <w:t>(</w:t>
            </w:r>
            <w:r w:rsidR="00B15B38">
              <w:rPr>
                <w:rFonts w:eastAsia="MS Mincho"/>
              </w:rPr>
              <w:t>14.5</w:t>
            </w:r>
            <w:r w:rsidRPr="00764279">
              <w:rPr>
                <w:rFonts w:eastAsia="MS Mincho"/>
              </w:rPr>
              <w:t>%)</w:t>
            </w:r>
          </w:p>
        </w:tc>
        <w:tc>
          <w:tcPr>
            <w:tcW w:w="843" w:type="pct"/>
            <w:tcMar>
              <w:left w:w="28" w:type="dxa"/>
              <w:right w:w="28" w:type="dxa"/>
            </w:tcMar>
            <w:vAlign w:val="center"/>
          </w:tcPr>
          <w:p w:rsidR="00FC0EF0" w:rsidRDefault="0043058F" w:rsidP="00C52073">
            <w:pPr>
              <w:pStyle w:val="Tablewriting"/>
              <w:jc w:val="center"/>
              <w:rPr>
                <w:rFonts w:eastAsia="MS Mincho"/>
              </w:rPr>
            </w:pPr>
            <w:r>
              <w:rPr>
                <w:rFonts w:eastAsia="MS Mincho"/>
              </w:rPr>
              <w:t>8/245</w:t>
            </w:r>
          </w:p>
          <w:p w:rsidR="0043058F" w:rsidRPr="00764279" w:rsidRDefault="0043058F" w:rsidP="00C52073">
            <w:pPr>
              <w:pStyle w:val="Tablewriting"/>
              <w:jc w:val="center"/>
              <w:rPr>
                <w:rFonts w:eastAsia="MS Mincho"/>
              </w:rPr>
            </w:pPr>
            <w:r>
              <w:rPr>
                <w:rFonts w:eastAsia="MS Mincho"/>
              </w:rPr>
              <w:t>(</w:t>
            </w:r>
            <w:r w:rsidR="00B15B38">
              <w:rPr>
                <w:rFonts w:eastAsia="MS Mincho"/>
              </w:rPr>
              <w:t>3.3</w:t>
            </w:r>
            <w:r>
              <w:rPr>
                <w:rFonts w:eastAsia="MS Mincho"/>
              </w:rPr>
              <w:t>%)</w:t>
            </w:r>
          </w:p>
        </w:tc>
        <w:tc>
          <w:tcPr>
            <w:tcW w:w="843" w:type="pct"/>
            <w:tcMar>
              <w:left w:w="28" w:type="dxa"/>
              <w:right w:w="28" w:type="dxa"/>
            </w:tcMar>
            <w:vAlign w:val="center"/>
          </w:tcPr>
          <w:p w:rsidR="00FC0EF0" w:rsidRPr="00764279" w:rsidRDefault="0043058F" w:rsidP="00C52073">
            <w:pPr>
              <w:pStyle w:val="Tablewriting"/>
              <w:jc w:val="center"/>
              <w:rPr>
                <w:rFonts w:eastAsia="MS Mincho"/>
                <w:b/>
                <w:bCs/>
              </w:rPr>
            </w:pPr>
            <w:r w:rsidRPr="00764279">
              <w:rPr>
                <w:rFonts w:eastAsia="MS Mincho"/>
                <w:b/>
                <w:bCs/>
              </w:rPr>
              <w:t>4.43</w:t>
            </w:r>
          </w:p>
          <w:p w:rsidR="0043058F" w:rsidRPr="0043058F" w:rsidRDefault="0043058F" w:rsidP="00C52073">
            <w:pPr>
              <w:pStyle w:val="Tablewriting"/>
              <w:jc w:val="center"/>
              <w:rPr>
                <w:rFonts w:eastAsia="MS Mincho"/>
              </w:rPr>
            </w:pPr>
            <w:r w:rsidRPr="00764279">
              <w:rPr>
                <w:rFonts w:eastAsia="MS Mincho"/>
                <w:b/>
                <w:bCs/>
              </w:rPr>
              <w:t>(2.1, 9.33)</w:t>
            </w:r>
          </w:p>
        </w:tc>
      </w:tr>
      <w:tr w:rsidR="00FC0EF0" w:rsidRPr="00061F78" w:rsidTr="0005238C">
        <w:trPr>
          <w:cantSplit/>
          <w:trHeight w:val="149"/>
        </w:trPr>
        <w:tc>
          <w:tcPr>
            <w:tcW w:w="1648" w:type="pct"/>
            <w:tcMar>
              <w:left w:w="28" w:type="dxa"/>
              <w:right w:w="28" w:type="dxa"/>
            </w:tcMar>
          </w:tcPr>
          <w:p w:rsidR="00FC0EF0" w:rsidRDefault="0043058F" w:rsidP="00C52073">
            <w:pPr>
              <w:pStyle w:val="Tablewriting"/>
              <w:rPr>
                <w:rFonts w:eastAsia="MS Mincho"/>
              </w:rPr>
            </w:pPr>
            <w:r>
              <w:rPr>
                <w:rFonts w:eastAsia="MS Mincho"/>
              </w:rPr>
              <w:t>Adverse event – headache</w:t>
            </w:r>
          </w:p>
        </w:tc>
        <w:tc>
          <w:tcPr>
            <w:tcW w:w="823" w:type="pct"/>
            <w:vAlign w:val="center"/>
          </w:tcPr>
          <w:p w:rsidR="00FC0EF0" w:rsidRDefault="0043058F" w:rsidP="00C52073">
            <w:pPr>
              <w:pStyle w:val="Tablewriting"/>
              <w:jc w:val="center"/>
              <w:rPr>
                <w:rFonts w:eastAsia="MS Mincho"/>
              </w:rPr>
            </w:pPr>
            <w:r>
              <w:rPr>
                <w:rFonts w:eastAsia="MS Mincho"/>
              </w:rPr>
              <w:t>RCT</w:t>
            </w:r>
          </w:p>
        </w:tc>
        <w:tc>
          <w:tcPr>
            <w:tcW w:w="843" w:type="pct"/>
            <w:tcMar>
              <w:left w:w="28" w:type="dxa"/>
              <w:right w:w="28" w:type="dxa"/>
            </w:tcMar>
            <w:vAlign w:val="center"/>
          </w:tcPr>
          <w:p w:rsidR="00FC0EF0" w:rsidRPr="00764279" w:rsidRDefault="00764279" w:rsidP="00C52073">
            <w:pPr>
              <w:pStyle w:val="Tablewriting"/>
              <w:jc w:val="center"/>
              <w:rPr>
                <w:rFonts w:eastAsia="MS Mincho"/>
              </w:rPr>
            </w:pPr>
            <w:r w:rsidRPr="00764279">
              <w:rPr>
                <w:rFonts w:eastAsia="MS Mincho"/>
              </w:rPr>
              <w:t>26/249</w:t>
            </w:r>
          </w:p>
          <w:p w:rsidR="00764279" w:rsidRPr="00764279" w:rsidRDefault="00764279" w:rsidP="00C52073">
            <w:pPr>
              <w:pStyle w:val="Tablewriting"/>
              <w:jc w:val="center"/>
              <w:rPr>
                <w:rFonts w:eastAsia="MS Mincho"/>
              </w:rPr>
            </w:pPr>
            <w:r w:rsidRPr="00764279">
              <w:rPr>
                <w:rFonts w:eastAsia="MS Mincho"/>
              </w:rPr>
              <w:t>(</w:t>
            </w:r>
            <w:r w:rsidR="00B15B38">
              <w:rPr>
                <w:rFonts w:eastAsia="MS Mincho"/>
              </w:rPr>
              <w:t>10.4</w:t>
            </w:r>
            <w:r w:rsidRPr="00764279">
              <w:rPr>
                <w:rFonts w:eastAsia="MS Mincho"/>
              </w:rPr>
              <w:t>%)</w:t>
            </w:r>
          </w:p>
        </w:tc>
        <w:tc>
          <w:tcPr>
            <w:tcW w:w="843" w:type="pct"/>
            <w:tcMar>
              <w:left w:w="28" w:type="dxa"/>
              <w:right w:w="28" w:type="dxa"/>
            </w:tcMar>
            <w:vAlign w:val="center"/>
          </w:tcPr>
          <w:p w:rsidR="00FC0EF0" w:rsidRDefault="00764279" w:rsidP="00C52073">
            <w:pPr>
              <w:pStyle w:val="Tablewriting"/>
              <w:jc w:val="center"/>
              <w:rPr>
                <w:rFonts w:eastAsia="MS Mincho"/>
              </w:rPr>
            </w:pPr>
            <w:r>
              <w:rPr>
                <w:rFonts w:eastAsia="MS Mincho"/>
              </w:rPr>
              <w:t>24/245</w:t>
            </w:r>
          </w:p>
          <w:p w:rsidR="00764279" w:rsidRPr="00764279" w:rsidRDefault="00764279" w:rsidP="00C52073">
            <w:pPr>
              <w:pStyle w:val="Tablewriting"/>
              <w:jc w:val="center"/>
              <w:rPr>
                <w:rFonts w:eastAsia="MS Mincho"/>
              </w:rPr>
            </w:pPr>
            <w:r>
              <w:rPr>
                <w:rFonts w:eastAsia="MS Mincho"/>
              </w:rPr>
              <w:t>(</w:t>
            </w:r>
            <w:r w:rsidR="00D41669">
              <w:rPr>
                <w:rFonts w:eastAsia="MS Mincho"/>
              </w:rPr>
              <w:t>9.8</w:t>
            </w:r>
            <w:r>
              <w:rPr>
                <w:rFonts w:eastAsia="MS Mincho"/>
              </w:rPr>
              <w:t>%)</w:t>
            </w:r>
          </w:p>
        </w:tc>
        <w:tc>
          <w:tcPr>
            <w:tcW w:w="843" w:type="pct"/>
            <w:tcMar>
              <w:left w:w="28" w:type="dxa"/>
              <w:right w:w="28" w:type="dxa"/>
            </w:tcMar>
            <w:vAlign w:val="center"/>
          </w:tcPr>
          <w:p w:rsidR="00FC0EF0" w:rsidRDefault="00764279" w:rsidP="00C52073">
            <w:pPr>
              <w:pStyle w:val="Tablewriting"/>
              <w:jc w:val="center"/>
              <w:rPr>
                <w:rFonts w:eastAsia="MS Mincho"/>
              </w:rPr>
            </w:pPr>
            <w:r>
              <w:rPr>
                <w:rFonts w:eastAsia="MS Mincho"/>
              </w:rPr>
              <w:t>1.07</w:t>
            </w:r>
          </w:p>
          <w:p w:rsidR="00764279" w:rsidRPr="00764279" w:rsidRDefault="00764279" w:rsidP="00C52073">
            <w:pPr>
              <w:pStyle w:val="Tablewriting"/>
              <w:jc w:val="center"/>
              <w:rPr>
                <w:rFonts w:eastAsia="MS Mincho"/>
              </w:rPr>
            </w:pPr>
            <w:r>
              <w:rPr>
                <w:rFonts w:eastAsia="MS Mincho"/>
              </w:rPr>
              <w:t>(0.63, 1.8)</w:t>
            </w:r>
          </w:p>
        </w:tc>
      </w:tr>
      <w:tr w:rsidR="00FC0EF0" w:rsidRPr="00061F78" w:rsidTr="0005238C">
        <w:trPr>
          <w:cantSplit/>
          <w:trHeight w:val="149"/>
        </w:trPr>
        <w:tc>
          <w:tcPr>
            <w:tcW w:w="1648" w:type="pct"/>
            <w:tcMar>
              <w:left w:w="28" w:type="dxa"/>
              <w:right w:w="28" w:type="dxa"/>
            </w:tcMar>
          </w:tcPr>
          <w:p w:rsidR="00FC0EF0" w:rsidRDefault="00764279" w:rsidP="00C52073">
            <w:pPr>
              <w:pStyle w:val="Tablewriting"/>
              <w:rPr>
                <w:rFonts w:eastAsia="MS Mincho"/>
              </w:rPr>
            </w:pPr>
            <w:r>
              <w:rPr>
                <w:rFonts w:eastAsia="MS Mincho"/>
              </w:rPr>
              <w:t>Adverse event – depression</w:t>
            </w:r>
          </w:p>
        </w:tc>
        <w:tc>
          <w:tcPr>
            <w:tcW w:w="823" w:type="pct"/>
            <w:vAlign w:val="center"/>
          </w:tcPr>
          <w:p w:rsidR="00FC0EF0" w:rsidRDefault="00764279" w:rsidP="00C52073">
            <w:pPr>
              <w:pStyle w:val="Tablewriting"/>
              <w:jc w:val="center"/>
              <w:rPr>
                <w:rFonts w:eastAsia="MS Mincho"/>
              </w:rPr>
            </w:pPr>
            <w:r>
              <w:rPr>
                <w:rFonts w:eastAsia="MS Mincho"/>
              </w:rPr>
              <w:t>RCT</w:t>
            </w:r>
          </w:p>
        </w:tc>
        <w:tc>
          <w:tcPr>
            <w:tcW w:w="843" w:type="pct"/>
            <w:tcMar>
              <w:left w:w="28" w:type="dxa"/>
              <w:right w:w="28" w:type="dxa"/>
            </w:tcMar>
            <w:vAlign w:val="center"/>
          </w:tcPr>
          <w:p w:rsidR="00FC0EF0" w:rsidRPr="0005238C" w:rsidRDefault="0005238C" w:rsidP="00C52073">
            <w:pPr>
              <w:pStyle w:val="Tablewriting"/>
              <w:jc w:val="center"/>
              <w:rPr>
                <w:rFonts w:eastAsia="MS Mincho"/>
              </w:rPr>
            </w:pPr>
            <w:r w:rsidRPr="0005238C">
              <w:rPr>
                <w:rFonts w:eastAsia="MS Mincho"/>
              </w:rPr>
              <w:t>5/249</w:t>
            </w:r>
          </w:p>
          <w:p w:rsidR="0005238C" w:rsidRPr="0005238C" w:rsidRDefault="0005238C" w:rsidP="00C52073">
            <w:pPr>
              <w:pStyle w:val="Tablewriting"/>
              <w:jc w:val="center"/>
              <w:rPr>
                <w:rFonts w:eastAsia="MS Mincho"/>
              </w:rPr>
            </w:pPr>
            <w:r w:rsidRPr="0005238C">
              <w:rPr>
                <w:rFonts w:eastAsia="MS Mincho"/>
              </w:rPr>
              <w:t>(</w:t>
            </w:r>
            <w:r w:rsidR="00D41669">
              <w:rPr>
                <w:rFonts w:eastAsia="MS Mincho"/>
              </w:rPr>
              <w:t>2.0</w:t>
            </w:r>
            <w:r w:rsidRPr="0005238C">
              <w:rPr>
                <w:rFonts w:eastAsia="MS Mincho"/>
              </w:rPr>
              <w:t>%)</w:t>
            </w:r>
          </w:p>
        </w:tc>
        <w:tc>
          <w:tcPr>
            <w:tcW w:w="843" w:type="pct"/>
            <w:tcMar>
              <w:left w:w="28" w:type="dxa"/>
              <w:right w:w="28" w:type="dxa"/>
            </w:tcMar>
            <w:vAlign w:val="center"/>
          </w:tcPr>
          <w:p w:rsidR="00FC0EF0" w:rsidRPr="0005238C" w:rsidRDefault="0005238C" w:rsidP="00C52073">
            <w:pPr>
              <w:pStyle w:val="Tablewriting"/>
              <w:jc w:val="center"/>
              <w:rPr>
                <w:rFonts w:eastAsia="MS Mincho"/>
              </w:rPr>
            </w:pPr>
            <w:r w:rsidRPr="0005238C">
              <w:rPr>
                <w:rFonts w:eastAsia="MS Mincho"/>
              </w:rPr>
              <w:t>2/245</w:t>
            </w:r>
          </w:p>
          <w:p w:rsidR="0005238C" w:rsidRPr="0005238C" w:rsidRDefault="0005238C" w:rsidP="00C52073">
            <w:pPr>
              <w:pStyle w:val="Tablewriting"/>
              <w:jc w:val="center"/>
              <w:rPr>
                <w:rFonts w:eastAsia="MS Mincho"/>
              </w:rPr>
            </w:pPr>
            <w:r w:rsidRPr="0005238C">
              <w:rPr>
                <w:rFonts w:eastAsia="MS Mincho"/>
              </w:rPr>
              <w:t>(</w:t>
            </w:r>
            <w:r w:rsidR="00D41669">
              <w:rPr>
                <w:rFonts w:eastAsia="MS Mincho"/>
              </w:rPr>
              <w:t>0.8</w:t>
            </w:r>
            <w:r w:rsidRPr="0005238C">
              <w:rPr>
                <w:rFonts w:eastAsia="MS Mincho"/>
              </w:rPr>
              <w:t>%)</w:t>
            </w:r>
          </w:p>
        </w:tc>
        <w:tc>
          <w:tcPr>
            <w:tcW w:w="843" w:type="pct"/>
            <w:tcMar>
              <w:left w:w="28" w:type="dxa"/>
              <w:right w:w="28" w:type="dxa"/>
            </w:tcMar>
            <w:vAlign w:val="center"/>
          </w:tcPr>
          <w:p w:rsidR="00FC0EF0" w:rsidRPr="0005238C" w:rsidRDefault="0005238C" w:rsidP="00C52073">
            <w:pPr>
              <w:pStyle w:val="Tablewriting"/>
              <w:jc w:val="center"/>
              <w:rPr>
                <w:rFonts w:eastAsia="MS Mincho"/>
              </w:rPr>
            </w:pPr>
            <w:r w:rsidRPr="0005238C">
              <w:rPr>
                <w:rFonts w:eastAsia="MS Mincho"/>
              </w:rPr>
              <w:t>2.46</w:t>
            </w:r>
          </w:p>
          <w:p w:rsidR="0005238C" w:rsidRPr="0005238C" w:rsidRDefault="0005238C" w:rsidP="00C52073">
            <w:pPr>
              <w:pStyle w:val="Tablewriting"/>
              <w:jc w:val="center"/>
              <w:rPr>
                <w:rFonts w:eastAsia="MS Mincho"/>
              </w:rPr>
            </w:pPr>
            <w:r w:rsidRPr="0005238C">
              <w:rPr>
                <w:rFonts w:eastAsia="MS Mincho"/>
              </w:rPr>
              <w:t>(0.48, 12.56)</w:t>
            </w:r>
          </w:p>
        </w:tc>
      </w:tr>
      <w:tr w:rsidR="0005238C" w:rsidRPr="00061F78" w:rsidTr="0005238C">
        <w:trPr>
          <w:cantSplit/>
          <w:trHeight w:val="149"/>
        </w:trPr>
        <w:tc>
          <w:tcPr>
            <w:tcW w:w="1648" w:type="pct"/>
            <w:tcMar>
              <w:left w:w="28" w:type="dxa"/>
              <w:right w:w="28" w:type="dxa"/>
            </w:tcMar>
          </w:tcPr>
          <w:p w:rsidR="0005238C" w:rsidRDefault="0005238C" w:rsidP="00C52073">
            <w:pPr>
              <w:pStyle w:val="Tablewriting"/>
              <w:rPr>
                <w:rFonts w:eastAsia="MS Mincho"/>
              </w:rPr>
            </w:pPr>
            <w:r>
              <w:rPr>
                <w:rFonts w:eastAsia="MS Mincho"/>
              </w:rPr>
              <w:t>Adverse event – suicidal ideation</w:t>
            </w:r>
          </w:p>
        </w:tc>
        <w:tc>
          <w:tcPr>
            <w:tcW w:w="823" w:type="pct"/>
            <w:vAlign w:val="center"/>
          </w:tcPr>
          <w:p w:rsidR="0005238C" w:rsidRDefault="0005238C" w:rsidP="00C52073">
            <w:pPr>
              <w:pStyle w:val="Tablewriting"/>
              <w:jc w:val="center"/>
              <w:rPr>
                <w:rFonts w:eastAsia="MS Mincho"/>
              </w:rPr>
            </w:pPr>
            <w:r>
              <w:rPr>
                <w:rFonts w:eastAsia="MS Mincho"/>
              </w:rPr>
              <w:t>RCT</w:t>
            </w:r>
          </w:p>
        </w:tc>
        <w:tc>
          <w:tcPr>
            <w:tcW w:w="843" w:type="pct"/>
            <w:tcMar>
              <w:left w:w="28" w:type="dxa"/>
              <w:right w:w="28" w:type="dxa"/>
            </w:tcMar>
            <w:vAlign w:val="center"/>
          </w:tcPr>
          <w:p w:rsidR="0005238C" w:rsidRDefault="0021254E" w:rsidP="00C52073">
            <w:pPr>
              <w:pStyle w:val="Tablewriting"/>
              <w:jc w:val="center"/>
              <w:rPr>
                <w:rFonts w:eastAsia="MS Mincho"/>
              </w:rPr>
            </w:pPr>
            <w:r>
              <w:rPr>
                <w:rFonts w:eastAsia="MS Mincho"/>
              </w:rPr>
              <w:t>0/249</w:t>
            </w:r>
          </w:p>
          <w:p w:rsidR="0021254E" w:rsidRPr="0005238C" w:rsidRDefault="0021254E" w:rsidP="00C52073">
            <w:pPr>
              <w:pStyle w:val="Tablewriting"/>
              <w:jc w:val="center"/>
              <w:rPr>
                <w:rFonts w:eastAsia="MS Mincho"/>
              </w:rPr>
            </w:pPr>
            <w:r>
              <w:rPr>
                <w:rFonts w:eastAsia="MS Mincho"/>
              </w:rPr>
              <w:t>(</w:t>
            </w:r>
            <w:r w:rsidR="00D41669">
              <w:rPr>
                <w:rFonts w:eastAsia="MS Mincho"/>
              </w:rPr>
              <w:t>0</w:t>
            </w:r>
            <w:r>
              <w:rPr>
                <w:rFonts w:eastAsia="MS Mincho"/>
              </w:rPr>
              <w:t>%)</w:t>
            </w:r>
          </w:p>
        </w:tc>
        <w:tc>
          <w:tcPr>
            <w:tcW w:w="843" w:type="pct"/>
            <w:tcMar>
              <w:left w:w="28" w:type="dxa"/>
              <w:right w:w="28" w:type="dxa"/>
            </w:tcMar>
            <w:vAlign w:val="center"/>
          </w:tcPr>
          <w:p w:rsidR="0005238C" w:rsidRDefault="0021254E" w:rsidP="00C52073">
            <w:pPr>
              <w:pStyle w:val="Tablewriting"/>
              <w:jc w:val="center"/>
              <w:rPr>
                <w:rFonts w:eastAsia="MS Mincho"/>
              </w:rPr>
            </w:pPr>
            <w:r>
              <w:rPr>
                <w:rFonts w:eastAsia="MS Mincho"/>
              </w:rPr>
              <w:t>0/245</w:t>
            </w:r>
          </w:p>
          <w:p w:rsidR="0021254E" w:rsidRPr="0005238C" w:rsidRDefault="0021254E" w:rsidP="00C52073">
            <w:pPr>
              <w:pStyle w:val="Tablewriting"/>
              <w:jc w:val="center"/>
              <w:rPr>
                <w:rFonts w:eastAsia="MS Mincho"/>
              </w:rPr>
            </w:pPr>
            <w:r>
              <w:rPr>
                <w:rFonts w:eastAsia="MS Mincho"/>
              </w:rPr>
              <w:t>(</w:t>
            </w:r>
            <w:r w:rsidR="00D41669">
              <w:rPr>
                <w:rFonts w:eastAsia="MS Mincho"/>
              </w:rPr>
              <w:t>0</w:t>
            </w:r>
            <w:r>
              <w:rPr>
                <w:rFonts w:eastAsia="MS Mincho"/>
              </w:rPr>
              <w:t>%)</w:t>
            </w:r>
          </w:p>
        </w:tc>
        <w:tc>
          <w:tcPr>
            <w:tcW w:w="843" w:type="pct"/>
            <w:tcMar>
              <w:left w:w="28" w:type="dxa"/>
              <w:right w:w="28" w:type="dxa"/>
            </w:tcMar>
            <w:vAlign w:val="center"/>
          </w:tcPr>
          <w:p w:rsidR="0005238C" w:rsidRPr="0005238C" w:rsidRDefault="0021254E" w:rsidP="00C52073">
            <w:pPr>
              <w:pStyle w:val="Tablewriting"/>
              <w:jc w:val="center"/>
              <w:rPr>
                <w:rFonts w:eastAsia="MS Mincho"/>
              </w:rPr>
            </w:pPr>
            <w:r>
              <w:rPr>
                <w:rFonts w:eastAsia="MS Mincho"/>
              </w:rPr>
              <w:t>NE</w:t>
            </w:r>
          </w:p>
        </w:tc>
      </w:tr>
      <w:tr w:rsidR="0005238C" w:rsidRPr="00061F78" w:rsidTr="0005238C">
        <w:trPr>
          <w:cantSplit/>
          <w:trHeight w:val="149"/>
        </w:trPr>
        <w:tc>
          <w:tcPr>
            <w:tcW w:w="1648" w:type="pct"/>
            <w:tcMar>
              <w:left w:w="28" w:type="dxa"/>
              <w:right w:w="28" w:type="dxa"/>
            </w:tcMar>
          </w:tcPr>
          <w:p w:rsidR="0005238C" w:rsidRDefault="0021254E" w:rsidP="00C52073">
            <w:pPr>
              <w:pStyle w:val="Tablewriting"/>
              <w:rPr>
                <w:rFonts w:eastAsia="MS Mincho"/>
              </w:rPr>
            </w:pPr>
            <w:r>
              <w:rPr>
                <w:rFonts w:eastAsia="MS Mincho"/>
              </w:rPr>
              <w:t>Serious adverse events</w:t>
            </w:r>
          </w:p>
        </w:tc>
        <w:tc>
          <w:tcPr>
            <w:tcW w:w="823" w:type="pct"/>
            <w:vAlign w:val="center"/>
          </w:tcPr>
          <w:p w:rsidR="0005238C" w:rsidRDefault="0021254E" w:rsidP="00C52073">
            <w:pPr>
              <w:pStyle w:val="Tablewriting"/>
              <w:jc w:val="center"/>
              <w:rPr>
                <w:rFonts w:eastAsia="MS Mincho"/>
              </w:rPr>
            </w:pPr>
            <w:r>
              <w:rPr>
                <w:rFonts w:eastAsia="MS Mincho"/>
              </w:rPr>
              <w:t>RCT</w:t>
            </w:r>
          </w:p>
        </w:tc>
        <w:tc>
          <w:tcPr>
            <w:tcW w:w="843" w:type="pct"/>
            <w:tcMar>
              <w:left w:w="28" w:type="dxa"/>
              <w:right w:w="28" w:type="dxa"/>
            </w:tcMar>
            <w:vAlign w:val="center"/>
          </w:tcPr>
          <w:p w:rsidR="0005238C" w:rsidRDefault="001E2564" w:rsidP="00C52073">
            <w:pPr>
              <w:pStyle w:val="Tablewriting"/>
              <w:jc w:val="center"/>
              <w:rPr>
                <w:rFonts w:eastAsia="MS Mincho"/>
              </w:rPr>
            </w:pPr>
            <w:r>
              <w:rPr>
                <w:rFonts w:eastAsia="MS Mincho"/>
              </w:rPr>
              <w:t>7/249</w:t>
            </w:r>
          </w:p>
          <w:p w:rsidR="001E2564" w:rsidRPr="0005238C" w:rsidRDefault="001E2564" w:rsidP="00C52073">
            <w:pPr>
              <w:pStyle w:val="Tablewriting"/>
              <w:jc w:val="center"/>
              <w:rPr>
                <w:rFonts w:eastAsia="MS Mincho"/>
              </w:rPr>
            </w:pPr>
            <w:r>
              <w:rPr>
                <w:rFonts w:eastAsia="MS Mincho"/>
              </w:rPr>
              <w:t>(</w:t>
            </w:r>
            <w:r w:rsidR="006E1C4F">
              <w:rPr>
                <w:rFonts w:eastAsia="MS Mincho"/>
              </w:rPr>
              <w:t>2.8</w:t>
            </w:r>
            <w:r>
              <w:rPr>
                <w:rFonts w:eastAsia="MS Mincho"/>
              </w:rPr>
              <w:t>%)</w:t>
            </w:r>
          </w:p>
        </w:tc>
        <w:tc>
          <w:tcPr>
            <w:tcW w:w="843" w:type="pct"/>
            <w:tcMar>
              <w:left w:w="28" w:type="dxa"/>
              <w:right w:w="28" w:type="dxa"/>
            </w:tcMar>
            <w:vAlign w:val="center"/>
          </w:tcPr>
          <w:p w:rsidR="0005238C" w:rsidRDefault="001E2564" w:rsidP="00C52073">
            <w:pPr>
              <w:pStyle w:val="Tablewriting"/>
              <w:jc w:val="center"/>
              <w:rPr>
                <w:rFonts w:eastAsia="MS Mincho"/>
              </w:rPr>
            </w:pPr>
            <w:r>
              <w:rPr>
                <w:rFonts w:eastAsia="MS Mincho"/>
              </w:rPr>
              <w:t>4/245</w:t>
            </w:r>
          </w:p>
          <w:p w:rsidR="001E2564" w:rsidRPr="0005238C" w:rsidRDefault="001E2564" w:rsidP="00C52073">
            <w:pPr>
              <w:pStyle w:val="Tablewriting"/>
              <w:jc w:val="center"/>
              <w:rPr>
                <w:rFonts w:eastAsia="MS Mincho"/>
              </w:rPr>
            </w:pPr>
            <w:r>
              <w:rPr>
                <w:rFonts w:eastAsia="MS Mincho"/>
              </w:rPr>
              <w:t>(</w:t>
            </w:r>
            <w:r w:rsidR="006E1C4F">
              <w:rPr>
                <w:rFonts w:eastAsia="MS Mincho"/>
              </w:rPr>
              <w:t>1.6</w:t>
            </w:r>
            <w:r>
              <w:rPr>
                <w:rFonts w:eastAsia="MS Mincho"/>
              </w:rPr>
              <w:t>%)</w:t>
            </w:r>
          </w:p>
        </w:tc>
        <w:tc>
          <w:tcPr>
            <w:tcW w:w="843" w:type="pct"/>
            <w:tcMar>
              <w:left w:w="28" w:type="dxa"/>
              <w:right w:w="28" w:type="dxa"/>
            </w:tcMar>
            <w:vAlign w:val="center"/>
          </w:tcPr>
          <w:p w:rsidR="0005238C" w:rsidRDefault="00F46BC1" w:rsidP="00C52073">
            <w:pPr>
              <w:pStyle w:val="Tablewriting"/>
              <w:jc w:val="center"/>
              <w:rPr>
                <w:rFonts w:eastAsia="MS Mincho"/>
              </w:rPr>
            </w:pPr>
            <w:r>
              <w:rPr>
                <w:rFonts w:eastAsia="MS Mincho"/>
              </w:rPr>
              <w:t>1.72</w:t>
            </w:r>
          </w:p>
          <w:p w:rsidR="00F46BC1" w:rsidRPr="0005238C" w:rsidRDefault="00F46BC1" w:rsidP="00C52073">
            <w:pPr>
              <w:pStyle w:val="Tablewriting"/>
              <w:jc w:val="center"/>
              <w:rPr>
                <w:rFonts w:eastAsia="MS Mincho"/>
              </w:rPr>
            </w:pPr>
            <w:r>
              <w:rPr>
                <w:rFonts w:eastAsia="MS Mincho"/>
              </w:rPr>
              <w:t>(0.51, 5.81)</w:t>
            </w:r>
          </w:p>
        </w:tc>
      </w:tr>
      <w:tr w:rsidR="00557FA9" w:rsidRPr="00061F78" w:rsidTr="0005238C">
        <w:trPr>
          <w:cantSplit/>
          <w:trHeight w:val="149"/>
        </w:trPr>
        <w:tc>
          <w:tcPr>
            <w:tcW w:w="1648" w:type="pct"/>
            <w:tcMar>
              <w:left w:w="28" w:type="dxa"/>
              <w:right w:w="28" w:type="dxa"/>
            </w:tcMar>
          </w:tcPr>
          <w:p w:rsidR="00557FA9" w:rsidRDefault="00557FA9" w:rsidP="00C52073">
            <w:pPr>
              <w:pStyle w:val="Tablewriting"/>
              <w:rPr>
                <w:rFonts w:eastAsia="MS Mincho"/>
              </w:rPr>
            </w:pPr>
            <w:r>
              <w:rPr>
                <w:rFonts w:eastAsia="MS Mincho"/>
              </w:rPr>
              <w:t>Serious a</w:t>
            </w:r>
            <w:r w:rsidRPr="00426FB6">
              <w:rPr>
                <w:rFonts w:eastAsia="MS Mincho"/>
              </w:rPr>
              <w:t>dverse event</w:t>
            </w:r>
            <w:r>
              <w:rPr>
                <w:rFonts w:eastAsia="MS Mincho"/>
              </w:rPr>
              <w:t>s – cardiac (including deaths)</w:t>
            </w:r>
          </w:p>
        </w:tc>
        <w:tc>
          <w:tcPr>
            <w:tcW w:w="823" w:type="pct"/>
            <w:vAlign w:val="center"/>
          </w:tcPr>
          <w:p w:rsidR="00557FA9" w:rsidRDefault="00557FA9" w:rsidP="00C52073">
            <w:pPr>
              <w:pStyle w:val="Tablewriting"/>
              <w:jc w:val="center"/>
              <w:rPr>
                <w:rFonts w:eastAsia="MS Mincho"/>
              </w:rPr>
            </w:pPr>
            <w:r>
              <w:rPr>
                <w:rFonts w:eastAsia="MS Mincho"/>
              </w:rPr>
              <w:t>RCT</w:t>
            </w:r>
          </w:p>
        </w:tc>
        <w:tc>
          <w:tcPr>
            <w:tcW w:w="843" w:type="pct"/>
            <w:tcMar>
              <w:left w:w="28" w:type="dxa"/>
              <w:right w:w="28" w:type="dxa"/>
            </w:tcMar>
            <w:vAlign w:val="center"/>
          </w:tcPr>
          <w:p w:rsidR="00557FA9" w:rsidRPr="00487D59" w:rsidRDefault="00557FA9" w:rsidP="00C52073">
            <w:pPr>
              <w:pStyle w:val="Tablewriting"/>
              <w:jc w:val="center"/>
              <w:rPr>
                <w:rFonts w:eastAsia="MS Mincho"/>
              </w:rPr>
            </w:pPr>
            <w:r w:rsidRPr="00487D59">
              <w:rPr>
                <w:rFonts w:eastAsia="MS Mincho"/>
              </w:rPr>
              <w:t>1/249</w:t>
            </w:r>
          </w:p>
          <w:p w:rsidR="00557FA9" w:rsidRPr="00487D59" w:rsidRDefault="00557FA9" w:rsidP="00C52073">
            <w:pPr>
              <w:pStyle w:val="Tablewriting"/>
              <w:jc w:val="center"/>
              <w:rPr>
                <w:rFonts w:eastAsia="MS Mincho"/>
              </w:rPr>
            </w:pPr>
            <w:r w:rsidRPr="00487D59">
              <w:rPr>
                <w:rFonts w:eastAsia="MS Mincho"/>
              </w:rPr>
              <w:t>(</w:t>
            </w:r>
            <w:r w:rsidR="006E1C4F">
              <w:rPr>
                <w:rFonts w:eastAsia="MS Mincho"/>
              </w:rPr>
              <w:t>0.4</w:t>
            </w:r>
            <w:r w:rsidRPr="00487D59">
              <w:rPr>
                <w:rFonts w:eastAsia="MS Mincho"/>
              </w:rPr>
              <w:t>%)</w:t>
            </w:r>
          </w:p>
        </w:tc>
        <w:tc>
          <w:tcPr>
            <w:tcW w:w="843" w:type="pct"/>
            <w:tcMar>
              <w:left w:w="28" w:type="dxa"/>
              <w:right w:w="28" w:type="dxa"/>
            </w:tcMar>
            <w:vAlign w:val="center"/>
          </w:tcPr>
          <w:p w:rsidR="00557FA9" w:rsidRPr="00487D59" w:rsidRDefault="00487D59" w:rsidP="00C52073">
            <w:pPr>
              <w:pStyle w:val="Tablewriting"/>
              <w:jc w:val="center"/>
              <w:rPr>
                <w:rFonts w:eastAsia="MS Mincho"/>
              </w:rPr>
            </w:pPr>
            <w:r w:rsidRPr="00487D59">
              <w:rPr>
                <w:rFonts w:eastAsia="MS Mincho"/>
              </w:rPr>
              <w:t>1/245</w:t>
            </w:r>
          </w:p>
          <w:p w:rsidR="00487D59" w:rsidRPr="00487D59" w:rsidRDefault="00487D59" w:rsidP="00C52073">
            <w:pPr>
              <w:pStyle w:val="Tablewriting"/>
              <w:jc w:val="center"/>
              <w:rPr>
                <w:rFonts w:eastAsia="MS Mincho"/>
              </w:rPr>
            </w:pPr>
            <w:r w:rsidRPr="00487D59">
              <w:rPr>
                <w:rFonts w:eastAsia="MS Mincho"/>
              </w:rPr>
              <w:t>(</w:t>
            </w:r>
            <w:r w:rsidR="006E1C4F">
              <w:rPr>
                <w:rFonts w:eastAsia="MS Mincho"/>
              </w:rPr>
              <w:t>0.4</w:t>
            </w:r>
            <w:r w:rsidRPr="00487D59">
              <w:rPr>
                <w:rFonts w:eastAsia="MS Mincho"/>
              </w:rPr>
              <w:t>%)</w:t>
            </w:r>
          </w:p>
        </w:tc>
        <w:tc>
          <w:tcPr>
            <w:tcW w:w="843" w:type="pct"/>
            <w:tcMar>
              <w:left w:w="28" w:type="dxa"/>
              <w:right w:w="28" w:type="dxa"/>
            </w:tcMar>
            <w:vAlign w:val="center"/>
          </w:tcPr>
          <w:p w:rsidR="00557FA9" w:rsidRDefault="00487D59" w:rsidP="00C52073">
            <w:pPr>
              <w:pStyle w:val="Tablewriting"/>
              <w:jc w:val="center"/>
              <w:rPr>
                <w:rFonts w:eastAsia="MS Mincho"/>
              </w:rPr>
            </w:pPr>
            <w:r>
              <w:rPr>
                <w:rFonts w:eastAsia="MS Mincho"/>
              </w:rPr>
              <w:t>0.98</w:t>
            </w:r>
          </w:p>
          <w:p w:rsidR="00487D59" w:rsidRPr="006A6520" w:rsidRDefault="00487D59" w:rsidP="00C52073">
            <w:pPr>
              <w:pStyle w:val="Tablewriting"/>
              <w:jc w:val="center"/>
              <w:rPr>
                <w:rFonts w:eastAsia="MS Mincho"/>
              </w:rPr>
            </w:pPr>
            <w:r>
              <w:rPr>
                <w:rFonts w:eastAsia="MS Mincho"/>
              </w:rPr>
              <w:t>(0.06, 15.64)</w:t>
            </w:r>
          </w:p>
        </w:tc>
      </w:tr>
    </w:tbl>
    <w:p w:rsidR="00487D59" w:rsidRDefault="00487D59" w:rsidP="00487D59">
      <w:pPr>
        <w:pStyle w:val="TableFooter"/>
        <w:keepNext/>
      </w:pPr>
      <w:r>
        <w:t>Source: Cahill et al. (2016)</w:t>
      </w:r>
    </w:p>
    <w:p w:rsidR="00487D59" w:rsidRDefault="00487D59" w:rsidP="00487D59">
      <w:pPr>
        <w:pStyle w:val="TableFooter"/>
        <w:keepNext/>
      </w:pPr>
      <w:r>
        <w:t>Abbreviations: CI = confidence interval; RR = risk ratio</w:t>
      </w:r>
    </w:p>
    <w:p w:rsidR="00487D59" w:rsidRDefault="00487D59" w:rsidP="00487D59">
      <w:pPr>
        <w:pStyle w:val="TableFooter"/>
        <w:keepNext/>
      </w:pPr>
      <w:r w:rsidRPr="00FD4061">
        <w:t>Note</w:t>
      </w:r>
      <w:r>
        <w:t>s</w:t>
      </w:r>
      <w:r w:rsidRPr="00FD4061">
        <w:t>: Bold indicates statistically significant difference.</w:t>
      </w:r>
      <w:r w:rsidRPr="001B4846">
        <w:t xml:space="preserve"> </w:t>
      </w:r>
    </w:p>
    <w:p w:rsidR="00487D59" w:rsidRDefault="00487D59" w:rsidP="00487D59">
      <w:pPr>
        <w:pStyle w:val="TableFooter"/>
        <w:keepNext/>
      </w:pPr>
      <w:r w:rsidRPr="001E7610">
        <w:t xml:space="preserve">1 Calculated </w:t>
      </w:r>
      <w:r>
        <w:t>by Cochrane Review authors using a fixed-effect model</w:t>
      </w:r>
      <w:r w:rsidR="00AB5FA3">
        <w:t>.</w:t>
      </w:r>
    </w:p>
    <w:p w:rsidR="00EC49F4" w:rsidRDefault="00F2656C" w:rsidP="00D02475">
      <w:pPr>
        <w:pStyle w:val="Heading5"/>
        <w:numPr>
          <w:ilvl w:val="0"/>
          <w:numId w:val="0"/>
        </w:numPr>
      </w:pPr>
      <w:r>
        <w:t>Bupropion</w:t>
      </w:r>
    </w:p>
    <w:p w:rsidR="00F2656C" w:rsidRPr="00F2656C" w:rsidRDefault="004809E0" w:rsidP="00F2656C">
      <w:r>
        <w:t xml:space="preserve">Bupropion has not been previously considered by the PBAC for relapse prevention </w:t>
      </w:r>
      <w:r w:rsidR="00A20C9E">
        <w:t>in abstainers</w:t>
      </w:r>
      <w:r>
        <w:t xml:space="preserve"> </w:t>
      </w:r>
      <w:r w:rsidR="00E021BC">
        <w:t>or retreatment</w:t>
      </w:r>
      <w:r w:rsidR="00A20C9E">
        <w:t xml:space="preserve"> in non-abstainers</w:t>
      </w:r>
      <w:r w:rsidR="00E021BC">
        <w:t xml:space="preserve">. </w:t>
      </w:r>
      <w:r w:rsidR="00EA00C8">
        <w:t>As previously noted, t</w:t>
      </w:r>
      <w:r w:rsidR="00EA00C8" w:rsidRPr="00EA00C8">
        <w:t xml:space="preserve">he </w:t>
      </w:r>
      <w:r w:rsidR="000973E7">
        <w:t xml:space="preserve">current </w:t>
      </w:r>
      <w:r w:rsidR="00EA00C8" w:rsidRPr="00EA00C8">
        <w:t>listing allowed for a maximum of 9 weeks of PBS-subsidised bupropion treatment per year.</w:t>
      </w:r>
      <w:r w:rsidR="000F4C18">
        <w:t xml:space="preserve"> Accordingly, patients who </w:t>
      </w:r>
      <w:r w:rsidR="00286C7D" w:rsidRPr="00286C7D">
        <w:t xml:space="preserve">have been unsuccessful in achieving abstinence from smoking during or after a course of PBS-subsidised </w:t>
      </w:r>
      <w:r w:rsidR="00286C7D">
        <w:t>bupropion may</w:t>
      </w:r>
      <w:r w:rsidR="003E4D4B">
        <w:t xml:space="preserve"> access another course of PBS-subsidised bupropion </w:t>
      </w:r>
      <w:r w:rsidR="008B0EB2">
        <w:t>have to wait for a</w:t>
      </w:r>
      <w:r w:rsidR="00A65490">
        <w:t xml:space="preserve"> subsequent 12</w:t>
      </w:r>
      <w:r w:rsidR="00081D4B">
        <w:t>-</w:t>
      </w:r>
      <w:r w:rsidR="00A65490">
        <w:t>month period</w:t>
      </w:r>
      <w:r w:rsidR="003E4D4B">
        <w:t>.</w:t>
      </w:r>
    </w:p>
    <w:p w:rsidR="00A32C0D" w:rsidRDefault="00A32C0D" w:rsidP="00A32C0D">
      <w:pPr>
        <w:rPr>
          <w:b/>
          <w:bCs/>
        </w:rPr>
      </w:pPr>
      <w:r>
        <w:rPr>
          <w:b/>
          <w:bCs/>
        </w:rPr>
        <w:t>Bupropion</w:t>
      </w:r>
      <w:r w:rsidRPr="00F20770">
        <w:rPr>
          <w:b/>
          <w:bCs/>
        </w:rPr>
        <w:t xml:space="preserve"> versus placebo – ab</w:t>
      </w:r>
      <w:r>
        <w:rPr>
          <w:b/>
          <w:bCs/>
        </w:rPr>
        <w:t>stainers (relapse prevention)</w:t>
      </w:r>
    </w:p>
    <w:p w:rsidR="00EC49F4" w:rsidRDefault="00227CA8" w:rsidP="002A0473">
      <w:r w:rsidRPr="00227CA8">
        <w:t xml:space="preserve">A summary of the citation details for the studies comparing </w:t>
      </w:r>
      <w:r w:rsidR="00393E6A">
        <w:t>bupropion</w:t>
      </w:r>
      <w:r w:rsidRPr="00227CA8">
        <w:t xml:space="preserve"> with placebo in abstainers for relapse prevention is presented in </w:t>
      </w:r>
      <w:r w:rsidR="003C4A1C">
        <w:t xml:space="preserve">Table </w:t>
      </w:r>
      <w:r w:rsidR="003C4A1C">
        <w:rPr>
          <w:noProof/>
        </w:rPr>
        <w:t>39</w:t>
      </w:r>
      <w:r w:rsidRPr="00227CA8">
        <w:t xml:space="preserve">. A recently conducted Cochrane </w:t>
      </w:r>
      <w:r w:rsidR="00736B4F">
        <w:t>R</w:t>
      </w:r>
      <w:r w:rsidRPr="00227CA8">
        <w:t xml:space="preserve">eview by Livingstone-Banks et al. (2019) was identified in the systematic literature review that compared </w:t>
      </w:r>
      <w:r w:rsidR="001207B7">
        <w:t>bupropion</w:t>
      </w:r>
      <w:r w:rsidRPr="00227CA8">
        <w:t xml:space="preserve"> with placebo for relapse prevention and was included in this report.</w:t>
      </w:r>
      <w:r w:rsidR="00457F7E">
        <w:t xml:space="preserve"> </w:t>
      </w:r>
      <w:r w:rsidR="00457F7E" w:rsidRPr="00457F7E">
        <w:t xml:space="preserve">No new studies comparing </w:t>
      </w:r>
      <w:r w:rsidR="00457F7E">
        <w:t>bupropion</w:t>
      </w:r>
      <w:r w:rsidR="00457F7E" w:rsidRPr="00457F7E">
        <w:t xml:space="preserve"> with placebo</w:t>
      </w:r>
      <w:r w:rsidR="00457F7E">
        <w:t xml:space="preserve"> in abstainers for relapse prevention</w:t>
      </w:r>
      <w:r w:rsidR="00457F7E" w:rsidRPr="00457F7E">
        <w:t xml:space="preserve"> were identified in the supplemental literature search.</w:t>
      </w:r>
    </w:p>
    <w:p w:rsidR="00944F4B" w:rsidRDefault="00944F4B" w:rsidP="00944F4B">
      <w:pPr>
        <w:pStyle w:val="Caption"/>
        <w:keepNext/>
      </w:pPr>
      <w:bookmarkStart w:id="113" w:name="_Ref54865040"/>
      <w:r>
        <w:t xml:space="preserve">Table </w:t>
      </w:r>
      <w:r w:rsidR="003C4A1C">
        <w:rPr>
          <w:noProof/>
        </w:rPr>
        <w:t>39</w:t>
      </w:r>
      <w:bookmarkEnd w:id="113"/>
      <w:r>
        <w:t xml:space="preserve">: </w:t>
      </w:r>
      <w:r w:rsidRPr="000A7C67">
        <w:t xml:space="preserve">List of studies comparing </w:t>
      </w:r>
      <w:r>
        <w:t>bupropion</w:t>
      </w:r>
      <w:r w:rsidRPr="000A7C67">
        <w:t xml:space="preserve"> with placebo 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038"/>
        <w:gridCol w:w="7978"/>
      </w:tblGrid>
      <w:tr w:rsidR="0085037A" w:rsidRPr="00061F78" w:rsidTr="00731548">
        <w:trPr>
          <w:cantSplit/>
          <w:trHeight w:val="329"/>
          <w:tblHeader/>
        </w:trPr>
        <w:tc>
          <w:tcPr>
            <w:tcW w:w="566" w:type="pct"/>
            <w:shd w:val="clear" w:color="auto" w:fill="BFBFBF" w:themeFill="background1" w:themeFillShade="BF"/>
            <w:tcMar>
              <w:left w:w="28" w:type="dxa"/>
              <w:right w:w="28" w:type="dxa"/>
            </w:tcMar>
          </w:tcPr>
          <w:p w:rsidR="00D96EB2" w:rsidRPr="00061F78" w:rsidRDefault="00126B7B" w:rsidP="00731548">
            <w:pPr>
              <w:pStyle w:val="Tableheading"/>
              <w:keepNext/>
              <w:rPr>
                <w:rFonts w:eastAsia="MS Mincho"/>
              </w:rPr>
            </w:pPr>
            <w:r>
              <w:rPr>
                <w:rFonts w:eastAsia="MS Mincho"/>
              </w:rPr>
              <w:t>Study</w:t>
            </w:r>
          </w:p>
        </w:tc>
        <w:tc>
          <w:tcPr>
            <w:tcW w:w="4434" w:type="pct"/>
            <w:shd w:val="clear" w:color="auto" w:fill="BFBFBF" w:themeFill="background1" w:themeFillShade="BF"/>
          </w:tcPr>
          <w:p w:rsidR="00D96EB2" w:rsidRDefault="00D96EB2" w:rsidP="00731548">
            <w:pPr>
              <w:pStyle w:val="Tableheading"/>
              <w:keepNext/>
              <w:jc w:val="center"/>
              <w:rPr>
                <w:rFonts w:eastAsia="MS Mincho"/>
              </w:rPr>
            </w:pPr>
            <w:r>
              <w:rPr>
                <w:rFonts w:eastAsia="MS Mincho"/>
              </w:rPr>
              <w:t>Citation</w:t>
            </w:r>
          </w:p>
        </w:tc>
      </w:tr>
      <w:tr w:rsidR="0085037A" w:rsidRPr="00061F78" w:rsidTr="00731548">
        <w:trPr>
          <w:cantSplit/>
          <w:trHeight w:val="164"/>
        </w:trPr>
        <w:tc>
          <w:tcPr>
            <w:tcW w:w="566" w:type="pct"/>
            <w:tcMar>
              <w:left w:w="28" w:type="dxa"/>
              <w:right w:w="28" w:type="dxa"/>
            </w:tcMar>
          </w:tcPr>
          <w:p w:rsidR="00D96EB2" w:rsidRPr="00D07303" w:rsidRDefault="00D96EB2" w:rsidP="00731548">
            <w:pPr>
              <w:pStyle w:val="Tablewriting"/>
              <w:keepNext/>
              <w:rPr>
                <w:rFonts w:eastAsia="MS Mincho"/>
                <w:vertAlign w:val="superscript"/>
              </w:rPr>
            </w:pPr>
            <w:r>
              <w:rPr>
                <w:rFonts w:eastAsia="MS Mincho"/>
              </w:rPr>
              <w:t>Livingstone-Banks (2019)</w:t>
            </w:r>
            <w:r w:rsidR="0039468B" w:rsidRPr="00693911">
              <w:rPr>
                <w:rFonts w:eastAsia="MS Mincho"/>
                <w:noProof/>
                <w:vertAlign w:val="superscript"/>
              </w:rPr>
              <w:t>40</w:t>
            </w:r>
            <w:r w:rsidR="00322560" w:rsidRPr="00D07303">
              <w:rPr>
                <w:rFonts w:eastAsia="MS Mincho"/>
                <w:vertAlign w:val="superscript"/>
              </w:rPr>
              <w:t xml:space="preserve"> </w:t>
            </w:r>
          </w:p>
        </w:tc>
        <w:tc>
          <w:tcPr>
            <w:tcW w:w="4434" w:type="pct"/>
          </w:tcPr>
          <w:p w:rsidR="00D96EB2" w:rsidRDefault="00D96EB2" w:rsidP="00731548">
            <w:pPr>
              <w:pStyle w:val="Tablewriting"/>
              <w:keepNext/>
              <w:rPr>
                <w:rFonts w:eastAsia="MS Mincho"/>
              </w:rPr>
            </w:pPr>
            <w:r w:rsidRPr="00CE2EF9">
              <w:rPr>
                <w:rFonts w:eastAsia="MS Mincho"/>
              </w:rPr>
              <w:t>Livingstone‐Banks  J, Norris  E, Hartmann‐Boyce  J, West  R, Jarvis  M, Hajek  P. Relapse prevention interventions for smoking cessation. Cochrane Database of Systematic Reviews 2019, Issue 2. Art. No.: CD003999.</w:t>
            </w:r>
          </w:p>
        </w:tc>
      </w:tr>
    </w:tbl>
    <w:p w:rsidR="00227CA8" w:rsidRDefault="00227CA8" w:rsidP="002A0473"/>
    <w:p w:rsidR="00A3760B" w:rsidRDefault="00A3760B" w:rsidP="002A0473">
      <w:r w:rsidRPr="00A3760B">
        <w:t xml:space="preserve">A summary of the characteristics of the studies comparing </w:t>
      </w:r>
      <w:r w:rsidR="00EA3AC5">
        <w:t>bupropion</w:t>
      </w:r>
      <w:r w:rsidRPr="00A3760B">
        <w:t xml:space="preserve"> with placebo in abstainers for relapse prevention is presented in </w:t>
      </w:r>
      <w:r w:rsidR="003C4A1C">
        <w:t xml:space="preserve">Table </w:t>
      </w:r>
      <w:r w:rsidR="003C4A1C">
        <w:rPr>
          <w:noProof/>
        </w:rPr>
        <w:t>40</w:t>
      </w:r>
      <w:r w:rsidR="00EA3AC5">
        <w:t>.</w:t>
      </w:r>
      <w:r w:rsidRPr="00A3760B">
        <w:t xml:space="preserve"> A total of </w:t>
      </w:r>
      <w:r w:rsidR="00EA3AC5">
        <w:t>six</w:t>
      </w:r>
      <w:r w:rsidRPr="00A3760B">
        <w:t xml:space="preserve"> RCTs comparing </w:t>
      </w:r>
      <w:r w:rsidR="00EA3AC5">
        <w:t>bupropion</w:t>
      </w:r>
      <w:r w:rsidRPr="00A3760B">
        <w:t xml:space="preserve"> with placebo were identified by Livingstone-Banks et al. (2019). The characteristics of the individual studies are presented in </w:t>
      </w:r>
      <w:r w:rsidRPr="00A638FB">
        <w:t>Appendix</w:t>
      </w:r>
      <w:r w:rsidRPr="00A3760B">
        <w:t xml:space="preserve"> </w:t>
      </w:r>
      <w:r w:rsidR="003C4A1C">
        <w:t xml:space="preserve">Table </w:t>
      </w:r>
      <w:r w:rsidR="003C4A1C">
        <w:rPr>
          <w:noProof/>
        </w:rPr>
        <w:t>153</w:t>
      </w:r>
      <w:r w:rsidRPr="00A3760B">
        <w:t>.</w:t>
      </w:r>
    </w:p>
    <w:p w:rsidR="00B621E0" w:rsidRDefault="00B621E0" w:rsidP="00B621E0">
      <w:pPr>
        <w:pStyle w:val="Caption"/>
        <w:keepNext/>
      </w:pPr>
      <w:bookmarkStart w:id="114" w:name="_Ref54868402"/>
      <w:r>
        <w:lastRenderedPageBreak/>
        <w:t xml:space="preserve">Table </w:t>
      </w:r>
      <w:r w:rsidR="003C4A1C">
        <w:rPr>
          <w:noProof/>
        </w:rPr>
        <w:t>40</w:t>
      </w:r>
      <w:bookmarkEnd w:id="114"/>
      <w:r>
        <w:t xml:space="preserve">: </w:t>
      </w:r>
      <w:r w:rsidRPr="00731DD1">
        <w:t xml:space="preserve">Characteristics of the studies comparing </w:t>
      </w:r>
      <w:r>
        <w:t xml:space="preserve">bupropion </w:t>
      </w:r>
      <w:r w:rsidRPr="00731DD1">
        <w:t>with placebo 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038"/>
        <w:gridCol w:w="988"/>
        <w:gridCol w:w="912"/>
        <w:gridCol w:w="2169"/>
        <w:gridCol w:w="2101"/>
        <w:gridCol w:w="1808"/>
      </w:tblGrid>
      <w:tr w:rsidR="00F64373" w:rsidRPr="00061F78" w:rsidTr="007177ED">
        <w:trPr>
          <w:trHeight w:val="299"/>
          <w:tblHeader/>
        </w:trPr>
        <w:tc>
          <w:tcPr>
            <w:tcW w:w="571" w:type="pct"/>
            <w:shd w:val="clear" w:color="auto" w:fill="BFBFBF" w:themeFill="background1" w:themeFillShade="BF"/>
            <w:tcMar>
              <w:left w:w="28" w:type="dxa"/>
              <w:right w:w="28" w:type="dxa"/>
            </w:tcMar>
          </w:tcPr>
          <w:p w:rsidR="00A3760B" w:rsidRPr="00061F78" w:rsidRDefault="00126B7B" w:rsidP="001814E0">
            <w:pPr>
              <w:pStyle w:val="Tableheading"/>
              <w:keepNext/>
              <w:rPr>
                <w:rFonts w:eastAsia="MS Mincho"/>
              </w:rPr>
            </w:pPr>
            <w:r>
              <w:rPr>
                <w:rFonts w:eastAsia="MS Mincho"/>
              </w:rPr>
              <w:t>Study</w:t>
            </w:r>
          </w:p>
        </w:tc>
        <w:tc>
          <w:tcPr>
            <w:tcW w:w="544" w:type="pct"/>
            <w:shd w:val="clear" w:color="auto" w:fill="BFBFBF" w:themeFill="background1" w:themeFillShade="BF"/>
          </w:tcPr>
          <w:p w:rsidR="00A3760B" w:rsidRDefault="00A3760B" w:rsidP="001814E0">
            <w:pPr>
              <w:pStyle w:val="Tableheading"/>
              <w:keepNext/>
              <w:jc w:val="center"/>
              <w:rPr>
                <w:rFonts w:eastAsia="MS Mincho"/>
              </w:rPr>
            </w:pPr>
            <w:r>
              <w:rPr>
                <w:rFonts w:eastAsia="MS Mincho"/>
              </w:rPr>
              <w:t>Study type</w:t>
            </w:r>
          </w:p>
        </w:tc>
        <w:tc>
          <w:tcPr>
            <w:tcW w:w="502" w:type="pct"/>
            <w:shd w:val="clear" w:color="auto" w:fill="BFBFBF" w:themeFill="background1" w:themeFillShade="BF"/>
            <w:tcMar>
              <w:left w:w="28" w:type="dxa"/>
              <w:right w:w="28" w:type="dxa"/>
            </w:tcMar>
          </w:tcPr>
          <w:p w:rsidR="00A3760B" w:rsidRPr="00AE21E9" w:rsidRDefault="00A3760B" w:rsidP="001814E0">
            <w:pPr>
              <w:pStyle w:val="Tableheading"/>
              <w:keepNext/>
              <w:jc w:val="center"/>
              <w:rPr>
                <w:rFonts w:eastAsia="MS Mincho"/>
                <w:vertAlign w:val="superscript"/>
              </w:rPr>
            </w:pPr>
            <w:r>
              <w:rPr>
                <w:rFonts w:eastAsia="MS Mincho"/>
              </w:rPr>
              <w:t>N</w:t>
            </w:r>
            <w:r>
              <w:rPr>
                <w:rFonts w:eastAsia="MS Mincho"/>
                <w:vertAlign w:val="superscript"/>
              </w:rPr>
              <w:t>1</w:t>
            </w:r>
          </w:p>
        </w:tc>
        <w:tc>
          <w:tcPr>
            <w:tcW w:w="1207" w:type="pct"/>
            <w:shd w:val="clear" w:color="auto" w:fill="BFBFBF" w:themeFill="background1" w:themeFillShade="BF"/>
            <w:tcMar>
              <w:left w:w="28" w:type="dxa"/>
              <w:right w:w="28" w:type="dxa"/>
            </w:tcMar>
          </w:tcPr>
          <w:p w:rsidR="00A3760B" w:rsidRPr="00061F78" w:rsidRDefault="00A3760B" w:rsidP="001814E0">
            <w:pPr>
              <w:pStyle w:val="Tableheading"/>
              <w:keepNext/>
              <w:jc w:val="center"/>
              <w:rPr>
                <w:rFonts w:eastAsia="MS Mincho"/>
              </w:rPr>
            </w:pPr>
            <w:r w:rsidRPr="00061F78">
              <w:rPr>
                <w:rFonts w:eastAsia="MS Mincho"/>
              </w:rPr>
              <w:t>P</w:t>
            </w:r>
            <w:r>
              <w:rPr>
                <w:rFonts w:eastAsia="MS Mincho"/>
              </w:rPr>
              <w:t>opulation</w:t>
            </w:r>
          </w:p>
        </w:tc>
        <w:tc>
          <w:tcPr>
            <w:tcW w:w="1169" w:type="pct"/>
            <w:shd w:val="clear" w:color="auto" w:fill="BFBFBF" w:themeFill="background1" w:themeFillShade="BF"/>
          </w:tcPr>
          <w:p w:rsidR="00A3760B" w:rsidRDefault="00A3760B" w:rsidP="001814E0">
            <w:pPr>
              <w:pStyle w:val="Tableheading"/>
              <w:keepNext/>
              <w:jc w:val="center"/>
              <w:rPr>
                <w:rFonts w:eastAsia="MS Mincho"/>
              </w:rPr>
            </w:pPr>
            <w:r>
              <w:rPr>
                <w:rFonts w:eastAsia="MS Mincho"/>
              </w:rPr>
              <w:t>Intervention and comparator</w:t>
            </w:r>
          </w:p>
        </w:tc>
        <w:tc>
          <w:tcPr>
            <w:tcW w:w="1006" w:type="pct"/>
            <w:shd w:val="clear" w:color="auto" w:fill="BFBFBF" w:themeFill="background1" w:themeFillShade="BF"/>
            <w:tcMar>
              <w:left w:w="28" w:type="dxa"/>
              <w:right w:w="28" w:type="dxa"/>
            </w:tcMar>
          </w:tcPr>
          <w:p w:rsidR="00A3760B" w:rsidRPr="00061F78" w:rsidRDefault="00A3760B" w:rsidP="001814E0">
            <w:pPr>
              <w:pStyle w:val="Tableheading"/>
              <w:keepNext/>
              <w:jc w:val="center"/>
              <w:rPr>
                <w:rFonts w:eastAsia="MS Mincho"/>
              </w:rPr>
            </w:pPr>
            <w:r>
              <w:rPr>
                <w:rFonts w:eastAsia="MS Mincho"/>
              </w:rPr>
              <w:t>Outcomes</w:t>
            </w:r>
          </w:p>
        </w:tc>
      </w:tr>
      <w:tr w:rsidR="00F64373" w:rsidRPr="00061F78" w:rsidTr="007177ED">
        <w:trPr>
          <w:trHeight w:val="149"/>
        </w:trPr>
        <w:tc>
          <w:tcPr>
            <w:tcW w:w="571" w:type="pct"/>
            <w:tcMar>
              <w:left w:w="28" w:type="dxa"/>
              <w:right w:w="28" w:type="dxa"/>
            </w:tcMar>
          </w:tcPr>
          <w:p w:rsidR="00A3760B" w:rsidRPr="004F1864" w:rsidRDefault="00A3760B" w:rsidP="001814E0">
            <w:pPr>
              <w:pStyle w:val="Tablewriting"/>
              <w:keepNext/>
              <w:rPr>
                <w:rFonts w:eastAsia="MS Mincho"/>
              </w:rPr>
            </w:pPr>
            <w:r>
              <w:rPr>
                <w:rFonts w:eastAsia="MS Mincho"/>
              </w:rPr>
              <w:t>Livingstone-Banks (2019)</w:t>
            </w:r>
            <w:r w:rsidR="00322560" w:rsidRPr="004F1864">
              <w:rPr>
                <w:rFonts w:eastAsia="MS Mincho"/>
              </w:rPr>
              <w:t xml:space="preserve"> </w:t>
            </w:r>
          </w:p>
        </w:tc>
        <w:tc>
          <w:tcPr>
            <w:tcW w:w="544" w:type="pct"/>
          </w:tcPr>
          <w:p w:rsidR="00A3760B" w:rsidRDefault="00A3760B" w:rsidP="001814E0">
            <w:pPr>
              <w:pStyle w:val="Tablewriting"/>
              <w:keepNext/>
              <w:rPr>
                <w:rFonts w:eastAsia="MS Mincho"/>
              </w:rPr>
            </w:pPr>
            <w:r>
              <w:rPr>
                <w:rFonts w:eastAsia="MS Mincho"/>
              </w:rPr>
              <w:t xml:space="preserve">Cochrane </w:t>
            </w:r>
            <w:r w:rsidR="00736B4F">
              <w:rPr>
                <w:rFonts w:eastAsia="MS Mincho"/>
              </w:rPr>
              <w:t>R</w:t>
            </w:r>
            <w:r>
              <w:rPr>
                <w:rFonts w:eastAsia="MS Mincho"/>
              </w:rPr>
              <w:t>eview    (</w:t>
            </w:r>
            <w:r w:rsidR="00176C0F">
              <w:rPr>
                <w:rFonts w:eastAsia="MS Mincho"/>
              </w:rPr>
              <w:t>6</w:t>
            </w:r>
            <w:r>
              <w:rPr>
                <w:rFonts w:eastAsia="MS Mincho"/>
              </w:rPr>
              <w:t xml:space="preserve"> RCTs</w:t>
            </w:r>
            <w:r>
              <w:rPr>
                <w:rFonts w:eastAsia="MS Mincho"/>
                <w:vertAlign w:val="superscript"/>
              </w:rPr>
              <w:t>3</w:t>
            </w:r>
            <w:r>
              <w:rPr>
                <w:rFonts w:eastAsia="MS Mincho"/>
              </w:rPr>
              <w:t>)</w:t>
            </w:r>
          </w:p>
          <w:p w:rsidR="00A3760B" w:rsidRDefault="00A3760B" w:rsidP="001814E0">
            <w:pPr>
              <w:pStyle w:val="Tablewriting"/>
              <w:keepNext/>
              <w:rPr>
                <w:rFonts w:eastAsia="MS Mincho"/>
              </w:rPr>
            </w:pPr>
          </w:p>
        </w:tc>
        <w:tc>
          <w:tcPr>
            <w:tcW w:w="502" w:type="pct"/>
            <w:tcMar>
              <w:left w:w="28" w:type="dxa"/>
              <w:right w:w="28" w:type="dxa"/>
            </w:tcMar>
          </w:tcPr>
          <w:p w:rsidR="00A3760B" w:rsidRDefault="00A3760B" w:rsidP="001814E0">
            <w:pPr>
              <w:pStyle w:val="Tablewriting"/>
              <w:keepNext/>
              <w:rPr>
                <w:rFonts w:eastAsia="MS Mincho"/>
              </w:rPr>
            </w:pPr>
            <w:r>
              <w:rPr>
                <w:rFonts w:eastAsia="MS Mincho"/>
              </w:rPr>
              <w:t>N=1,</w:t>
            </w:r>
            <w:r w:rsidR="00176C0F">
              <w:rPr>
                <w:rFonts w:eastAsia="MS Mincho"/>
              </w:rPr>
              <w:t>6</w:t>
            </w:r>
            <w:r>
              <w:rPr>
                <w:rFonts w:eastAsia="MS Mincho"/>
              </w:rPr>
              <w:t>97</w:t>
            </w:r>
          </w:p>
          <w:p w:rsidR="00A3760B" w:rsidRDefault="00980AF2" w:rsidP="001814E0">
            <w:pPr>
              <w:pStyle w:val="Tablewriting"/>
              <w:keepNext/>
              <w:rPr>
                <w:rFonts w:eastAsia="MS Mincho"/>
              </w:rPr>
            </w:pPr>
            <w:r>
              <w:rPr>
                <w:rFonts w:eastAsia="MS Mincho"/>
              </w:rPr>
              <w:t>Bupropion</w:t>
            </w:r>
            <w:r w:rsidR="00A3760B">
              <w:rPr>
                <w:rFonts w:eastAsia="MS Mincho"/>
              </w:rPr>
              <w:t xml:space="preserve"> (n=</w:t>
            </w:r>
            <w:r w:rsidR="006A1407">
              <w:rPr>
                <w:rFonts w:eastAsia="MS Mincho"/>
              </w:rPr>
              <w:t>852</w:t>
            </w:r>
            <w:r w:rsidR="00A3760B">
              <w:rPr>
                <w:rFonts w:eastAsia="MS Mincho"/>
              </w:rPr>
              <w:t>),</w:t>
            </w:r>
          </w:p>
          <w:p w:rsidR="00A3760B" w:rsidRPr="00061F78" w:rsidRDefault="00A3760B" w:rsidP="001814E0">
            <w:pPr>
              <w:pStyle w:val="Tablewriting"/>
              <w:keepNext/>
              <w:rPr>
                <w:rFonts w:eastAsia="MS Mincho"/>
              </w:rPr>
            </w:pPr>
            <w:r>
              <w:rPr>
                <w:rFonts w:eastAsia="MS Mincho"/>
              </w:rPr>
              <w:t>Placebo (n=</w:t>
            </w:r>
            <w:r w:rsidR="006A1407">
              <w:rPr>
                <w:rFonts w:eastAsia="MS Mincho"/>
              </w:rPr>
              <w:t>845</w:t>
            </w:r>
            <w:r>
              <w:rPr>
                <w:rFonts w:eastAsia="MS Mincho"/>
              </w:rPr>
              <w:t>)</w:t>
            </w:r>
          </w:p>
        </w:tc>
        <w:tc>
          <w:tcPr>
            <w:tcW w:w="1207" w:type="pct"/>
            <w:tcMar>
              <w:left w:w="28" w:type="dxa"/>
              <w:right w:w="28" w:type="dxa"/>
            </w:tcMar>
          </w:tcPr>
          <w:p w:rsidR="00A3760B" w:rsidRDefault="00A3760B" w:rsidP="001814E0">
            <w:pPr>
              <w:pStyle w:val="Tablewriting"/>
              <w:keepNext/>
              <w:rPr>
                <w:rFonts w:eastAsia="MS Mincho"/>
              </w:rPr>
            </w:pPr>
            <w:r w:rsidRPr="002C19B4">
              <w:rPr>
                <w:rFonts w:eastAsia="MS Mincho"/>
                <w:u w:val="single"/>
              </w:rPr>
              <w:t>Inclusion</w:t>
            </w:r>
            <w:r>
              <w:rPr>
                <w:rFonts w:eastAsia="MS Mincho"/>
              </w:rPr>
              <w:t xml:space="preserve">: </w:t>
            </w:r>
            <w:r w:rsidRPr="0015031A">
              <w:rPr>
                <w:rFonts w:eastAsia="MS Mincho"/>
              </w:rPr>
              <w:t>smokers who quit on their own, were undergoing enforced abstinence, or were participating in treatment programmes</w:t>
            </w:r>
            <w:r>
              <w:rPr>
                <w:rFonts w:eastAsia="MS Mincho"/>
              </w:rPr>
              <w:t xml:space="preserve"> to assist initial cessation.</w:t>
            </w:r>
          </w:p>
          <w:p w:rsidR="00A3760B" w:rsidRPr="00061F78" w:rsidRDefault="00A3760B" w:rsidP="001814E0">
            <w:pPr>
              <w:pStyle w:val="Tablewriting"/>
              <w:keepNext/>
              <w:rPr>
                <w:rFonts w:eastAsia="MS Mincho"/>
              </w:rPr>
            </w:pPr>
            <w:r w:rsidRPr="002C19B4">
              <w:rPr>
                <w:rFonts w:eastAsia="MS Mincho"/>
                <w:u w:val="single"/>
              </w:rPr>
              <w:t>Exclusion</w:t>
            </w:r>
            <w:r>
              <w:rPr>
                <w:rFonts w:eastAsia="MS Mincho"/>
              </w:rPr>
              <w:t>: NR</w:t>
            </w:r>
          </w:p>
        </w:tc>
        <w:tc>
          <w:tcPr>
            <w:tcW w:w="1169" w:type="pct"/>
          </w:tcPr>
          <w:p w:rsidR="00A3760B" w:rsidRPr="00061F78" w:rsidRDefault="006A1407" w:rsidP="001814E0">
            <w:pPr>
              <w:pStyle w:val="Tablewriting"/>
              <w:keepNext/>
              <w:rPr>
                <w:rFonts w:eastAsia="MS Mincho"/>
              </w:rPr>
            </w:pPr>
            <w:r w:rsidRPr="006A1407">
              <w:rPr>
                <w:rFonts w:eastAsia="MS Mincho"/>
              </w:rPr>
              <w:t>Bupropion: 150</w:t>
            </w:r>
            <w:r w:rsidR="00736B4F">
              <w:rPr>
                <w:rFonts w:eastAsia="MS Mincho"/>
              </w:rPr>
              <w:t xml:space="preserve"> </w:t>
            </w:r>
            <w:r w:rsidRPr="006A1407">
              <w:rPr>
                <w:rFonts w:eastAsia="MS Mincho"/>
              </w:rPr>
              <w:t>mg twice daily including titration (i.e. 150</w:t>
            </w:r>
            <w:r w:rsidR="00736B4F">
              <w:rPr>
                <w:rFonts w:eastAsia="MS Mincho"/>
              </w:rPr>
              <w:t xml:space="preserve"> </w:t>
            </w:r>
            <w:r w:rsidRPr="006A1407">
              <w:rPr>
                <w:rFonts w:eastAsia="MS Mincho"/>
              </w:rPr>
              <w:t>mg once daily for 3 days, then 150</w:t>
            </w:r>
            <w:r w:rsidR="00736B4F">
              <w:rPr>
                <w:rFonts w:eastAsia="MS Mincho"/>
              </w:rPr>
              <w:t xml:space="preserve"> </w:t>
            </w:r>
            <w:r w:rsidRPr="006A1407">
              <w:rPr>
                <w:rFonts w:eastAsia="MS Mincho"/>
              </w:rPr>
              <w:t>mg twice daily)</w:t>
            </w:r>
            <w:r w:rsidR="00E2370E">
              <w:rPr>
                <w:rFonts w:eastAsia="MS Mincho"/>
              </w:rPr>
              <w:t xml:space="preserve">; </w:t>
            </w:r>
            <w:r w:rsidR="00A3760B">
              <w:rPr>
                <w:rFonts w:eastAsia="MS Mincho"/>
              </w:rPr>
              <w:t>Placebo: placebo tablets, same regimen</w:t>
            </w:r>
            <w:r w:rsidR="00AB5FA3">
              <w:rPr>
                <w:rFonts w:eastAsia="MS Mincho"/>
              </w:rPr>
              <w:t>.</w:t>
            </w:r>
          </w:p>
        </w:tc>
        <w:tc>
          <w:tcPr>
            <w:tcW w:w="1006" w:type="pct"/>
            <w:tcMar>
              <w:left w:w="28" w:type="dxa"/>
              <w:right w:w="28" w:type="dxa"/>
            </w:tcMar>
          </w:tcPr>
          <w:p w:rsidR="00A3760B" w:rsidRDefault="00A3760B" w:rsidP="001814E0">
            <w:pPr>
              <w:pStyle w:val="Tablewriting"/>
              <w:keepNext/>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AB5FA3">
              <w:rPr>
                <w:rFonts w:eastAsia="MS Mincho"/>
              </w:rPr>
              <w:t>.</w:t>
            </w:r>
          </w:p>
          <w:p w:rsidR="00A3760B" w:rsidRPr="00061F78" w:rsidRDefault="00A3760B" w:rsidP="001814E0">
            <w:pPr>
              <w:pStyle w:val="Tablewriting"/>
              <w:keepNext/>
              <w:rPr>
                <w:rFonts w:eastAsia="MS Mincho"/>
              </w:rPr>
            </w:pPr>
          </w:p>
        </w:tc>
      </w:tr>
    </w:tbl>
    <w:p w:rsidR="00496F11" w:rsidRDefault="00496F11" w:rsidP="00496F11">
      <w:pPr>
        <w:pStyle w:val="TableFooter"/>
        <w:keepNext/>
        <w:rPr>
          <w:i/>
        </w:rPr>
      </w:pPr>
      <w:r>
        <w:t>Abbreviations: NR = not reported; RCT = randomised controlled trial</w:t>
      </w:r>
      <w:r w:rsidRPr="00061F78">
        <w:t xml:space="preserve"> </w:t>
      </w:r>
    </w:p>
    <w:p w:rsidR="00496F11" w:rsidRDefault="00496F11" w:rsidP="00496F11">
      <w:pPr>
        <w:pStyle w:val="TableFooter"/>
        <w:keepNext/>
      </w:pPr>
      <w:r>
        <w:t>1 Only the number of patients (n) in the relevant arms were included</w:t>
      </w:r>
      <w:r w:rsidR="00AB5FA3">
        <w:t>.</w:t>
      </w:r>
      <w:r>
        <w:t xml:space="preserve"> </w:t>
      </w:r>
    </w:p>
    <w:p w:rsidR="00496F11" w:rsidRPr="00061F78" w:rsidRDefault="00496F11" w:rsidP="00496F11">
      <w:pPr>
        <w:pStyle w:val="TableFooter"/>
        <w:keepNext/>
      </w:pPr>
      <w:r>
        <w:t xml:space="preserve">2 The characteristics of the individual studies comparing </w:t>
      </w:r>
      <w:r w:rsidR="00B621E0">
        <w:t>bupropion</w:t>
      </w:r>
      <w:r>
        <w:t xml:space="preserve"> with placebo included in Livingstone-Banks et al. (2019) are presented in </w:t>
      </w:r>
      <w:r w:rsidRPr="00A638FB">
        <w:t>Appendix</w:t>
      </w:r>
      <w:r>
        <w:t xml:space="preserve"> </w:t>
      </w:r>
      <w:r w:rsidR="003C4A1C">
        <w:t xml:space="preserve">Table </w:t>
      </w:r>
      <w:r w:rsidR="003C4A1C">
        <w:rPr>
          <w:noProof/>
        </w:rPr>
        <w:t>153</w:t>
      </w:r>
      <w:r>
        <w:t>.</w:t>
      </w:r>
    </w:p>
    <w:p w:rsidR="00EA3AC5" w:rsidRPr="00EA3AC5" w:rsidRDefault="00EA3AC5" w:rsidP="00EA3AC5">
      <w:pPr>
        <w:rPr>
          <w:u w:val="single"/>
        </w:rPr>
      </w:pPr>
      <w:r w:rsidRPr="00EA3AC5">
        <w:rPr>
          <w:u w:val="single"/>
        </w:rPr>
        <w:t>Efficacy</w:t>
      </w:r>
    </w:p>
    <w:p w:rsidR="004C53DE" w:rsidRPr="004C53DE" w:rsidRDefault="00EA3AC5" w:rsidP="004C53DE">
      <w:r>
        <w:t xml:space="preserve">A summary of the smoking cessation rates at 12 months </w:t>
      </w:r>
      <w:r w:rsidR="001E02D1">
        <w:t>comparing bupropion with placebo</w:t>
      </w:r>
      <w:r>
        <w:t xml:space="preserve"> </w:t>
      </w:r>
      <w:r w:rsidR="0093566D">
        <w:t xml:space="preserve">in abstainers for relapse prevention </w:t>
      </w:r>
      <w:r>
        <w:t xml:space="preserve">is presented in </w:t>
      </w:r>
      <w:r w:rsidR="003C4A1C">
        <w:t xml:space="preserve">Table </w:t>
      </w:r>
      <w:r w:rsidR="003C4A1C">
        <w:rPr>
          <w:noProof/>
        </w:rPr>
        <w:t>41</w:t>
      </w:r>
      <w:r>
        <w:t xml:space="preserve">. The results of the meta-analysis comprising </w:t>
      </w:r>
      <w:r w:rsidR="004E3996">
        <w:t>six</w:t>
      </w:r>
      <w:r>
        <w:t xml:space="preserve"> RCTs by Livingstone-Banks et al. (2019) demonstrated </w:t>
      </w:r>
      <w:r w:rsidR="004E3996">
        <w:t>no</w:t>
      </w:r>
      <w:r>
        <w:t xml:space="preserve"> statistically significant difference in long-term smoking cessation rates</w:t>
      </w:r>
      <w:r w:rsidR="004E3996">
        <w:t xml:space="preserve"> between </w:t>
      </w:r>
      <w:r w:rsidR="002C2327">
        <w:t>bupropion and placebo for relapse prevention</w:t>
      </w:r>
      <w:r>
        <w:t>.</w:t>
      </w:r>
    </w:p>
    <w:p w:rsidR="004E3996" w:rsidRDefault="004E3996" w:rsidP="004E3996">
      <w:pPr>
        <w:pStyle w:val="Caption"/>
        <w:keepNext/>
      </w:pPr>
      <w:bookmarkStart w:id="115" w:name="_Ref54868868"/>
      <w:r>
        <w:t xml:space="preserve">Table </w:t>
      </w:r>
      <w:r w:rsidR="003C4A1C">
        <w:rPr>
          <w:noProof/>
        </w:rPr>
        <w:t>41</w:t>
      </w:r>
      <w:bookmarkEnd w:id="115"/>
      <w:r>
        <w:t xml:space="preserve">: </w:t>
      </w:r>
      <w:r w:rsidRPr="00330D48">
        <w:t xml:space="preserve">Results of smoking cessation at 12 months after quit date, </w:t>
      </w:r>
      <w:r>
        <w:t>bupropion</w:t>
      </w:r>
      <w:r w:rsidRPr="00330D48">
        <w:t xml:space="preserve"> versus placebo</w:t>
      </w:r>
      <w:r w:rsidR="00267C5C">
        <w:t xml:space="preserve"> 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550"/>
        <w:gridCol w:w="1716"/>
        <w:gridCol w:w="1969"/>
        <w:gridCol w:w="1953"/>
        <w:gridCol w:w="1828"/>
      </w:tblGrid>
      <w:tr w:rsidR="00EA3AC5" w:rsidRPr="00061F78" w:rsidTr="002775B8">
        <w:trPr>
          <w:cantSplit/>
          <w:trHeight w:val="299"/>
          <w:tblHeader/>
        </w:trPr>
        <w:tc>
          <w:tcPr>
            <w:tcW w:w="859" w:type="pct"/>
            <w:shd w:val="clear" w:color="auto" w:fill="BFBFBF" w:themeFill="background1" w:themeFillShade="BF"/>
            <w:tcMar>
              <w:left w:w="28" w:type="dxa"/>
              <w:right w:w="28" w:type="dxa"/>
            </w:tcMar>
          </w:tcPr>
          <w:p w:rsidR="00EA3AC5" w:rsidRPr="00061F78" w:rsidRDefault="00126B7B" w:rsidP="00EA3AC5">
            <w:pPr>
              <w:pStyle w:val="Tableheading"/>
              <w:keepNext/>
              <w:rPr>
                <w:rFonts w:eastAsia="MS Mincho"/>
              </w:rPr>
            </w:pPr>
            <w:r>
              <w:rPr>
                <w:rFonts w:eastAsia="MS Mincho"/>
              </w:rPr>
              <w:t>Study</w:t>
            </w:r>
          </w:p>
        </w:tc>
        <w:tc>
          <w:tcPr>
            <w:tcW w:w="951" w:type="pct"/>
            <w:shd w:val="clear" w:color="auto" w:fill="BFBFBF" w:themeFill="background1" w:themeFillShade="BF"/>
            <w:vAlign w:val="center"/>
          </w:tcPr>
          <w:p w:rsidR="00EA3AC5" w:rsidRDefault="00EA3AC5" w:rsidP="00EA3AC5">
            <w:pPr>
              <w:pStyle w:val="Tableheading"/>
              <w:keepNext/>
              <w:jc w:val="center"/>
              <w:rPr>
                <w:rFonts w:eastAsia="MS Mincho"/>
              </w:rPr>
            </w:pPr>
            <w:r>
              <w:rPr>
                <w:rFonts w:eastAsia="MS Mincho"/>
              </w:rPr>
              <w:t>Study type</w:t>
            </w:r>
          </w:p>
        </w:tc>
        <w:tc>
          <w:tcPr>
            <w:tcW w:w="1092" w:type="pct"/>
            <w:shd w:val="clear" w:color="auto" w:fill="BFBFBF" w:themeFill="background1" w:themeFillShade="BF"/>
            <w:tcMar>
              <w:left w:w="28" w:type="dxa"/>
              <w:right w:w="28" w:type="dxa"/>
            </w:tcMar>
            <w:vAlign w:val="center"/>
          </w:tcPr>
          <w:p w:rsidR="00EA3AC5" w:rsidRPr="00061F78" w:rsidRDefault="004E3996" w:rsidP="00EA3AC5">
            <w:pPr>
              <w:pStyle w:val="Tableheading"/>
              <w:keepNext/>
              <w:jc w:val="center"/>
              <w:rPr>
                <w:rFonts w:eastAsia="MS Mincho"/>
              </w:rPr>
            </w:pPr>
            <w:r>
              <w:rPr>
                <w:rFonts w:eastAsia="MS Mincho"/>
              </w:rPr>
              <w:t>Bupropion</w:t>
            </w:r>
          </w:p>
        </w:tc>
        <w:tc>
          <w:tcPr>
            <w:tcW w:w="1083" w:type="pct"/>
            <w:shd w:val="clear" w:color="auto" w:fill="BFBFBF" w:themeFill="background1" w:themeFillShade="BF"/>
            <w:tcMar>
              <w:left w:w="28" w:type="dxa"/>
              <w:right w:w="28" w:type="dxa"/>
            </w:tcMar>
            <w:vAlign w:val="center"/>
          </w:tcPr>
          <w:p w:rsidR="00EA3AC5" w:rsidRPr="00061F78" w:rsidRDefault="00EA3AC5" w:rsidP="00EA3AC5">
            <w:pPr>
              <w:pStyle w:val="Tableheading"/>
              <w:keepNext/>
              <w:jc w:val="center"/>
              <w:rPr>
                <w:rFonts w:eastAsia="MS Mincho"/>
              </w:rPr>
            </w:pPr>
            <w:r w:rsidRPr="00061F78">
              <w:rPr>
                <w:rFonts w:eastAsia="MS Mincho"/>
              </w:rPr>
              <w:t>Placebo</w:t>
            </w:r>
          </w:p>
        </w:tc>
        <w:tc>
          <w:tcPr>
            <w:tcW w:w="1014" w:type="pct"/>
            <w:shd w:val="clear" w:color="auto" w:fill="BFBFBF" w:themeFill="background1" w:themeFillShade="BF"/>
            <w:tcMar>
              <w:left w:w="28" w:type="dxa"/>
              <w:right w:w="28" w:type="dxa"/>
            </w:tcMar>
            <w:vAlign w:val="center"/>
          </w:tcPr>
          <w:p w:rsidR="00EA3AC5" w:rsidRPr="00D468CF" w:rsidRDefault="00EA3AC5" w:rsidP="00EA3AC5">
            <w:pPr>
              <w:pStyle w:val="Tableheading"/>
              <w:keepNext/>
              <w:jc w:val="center"/>
              <w:rPr>
                <w:rFonts w:eastAsia="MS Mincho"/>
                <w:vertAlign w:val="superscript"/>
              </w:rPr>
            </w:pPr>
            <w:r>
              <w:rPr>
                <w:rFonts w:eastAsia="MS Mincho"/>
              </w:rPr>
              <w:t>RR (95% CI)</w:t>
            </w:r>
            <w:r w:rsidR="004E3996">
              <w:rPr>
                <w:rFonts w:eastAsia="MS Mincho"/>
                <w:vertAlign w:val="superscript"/>
              </w:rPr>
              <w:t>2</w:t>
            </w:r>
          </w:p>
        </w:tc>
      </w:tr>
      <w:tr w:rsidR="00EA3AC5" w:rsidRPr="00061F78" w:rsidTr="002775B8">
        <w:trPr>
          <w:cantSplit/>
          <w:trHeight w:val="149"/>
        </w:trPr>
        <w:tc>
          <w:tcPr>
            <w:tcW w:w="859" w:type="pct"/>
            <w:tcMar>
              <w:left w:w="28" w:type="dxa"/>
              <w:right w:w="28" w:type="dxa"/>
            </w:tcMar>
          </w:tcPr>
          <w:p w:rsidR="00EA3AC5" w:rsidRDefault="00EA3AC5" w:rsidP="00EA3AC5">
            <w:pPr>
              <w:pStyle w:val="Tablewriting"/>
              <w:keepNext/>
              <w:rPr>
                <w:rFonts w:eastAsia="MS Mincho"/>
              </w:rPr>
            </w:pPr>
            <w:r>
              <w:rPr>
                <w:rFonts w:eastAsia="MS Mincho"/>
              </w:rPr>
              <w:t xml:space="preserve">Livingstone-Banks </w:t>
            </w:r>
          </w:p>
          <w:p w:rsidR="00EA3AC5" w:rsidRPr="00D468CF" w:rsidRDefault="00EA3AC5" w:rsidP="00EA3AC5">
            <w:pPr>
              <w:pStyle w:val="Tablewriting"/>
              <w:keepNext/>
              <w:rPr>
                <w:rFonts w:eastAsia="MS Mincho"/>
                <w:vertAlign w:val="superscript"/>
              </w:rPr>
            </w:pPr>
            <w:r>
              <w:rPr>
                <w:rFonts w:eastAsia="MS Mincho"/>
              </w:rPr>
              <w:t>(2019)</w:t>
            </w:r>
            <w:r w:rsidR="002775B8">
              <w:rPr>
                <w:rFonts w:eastAsia="MS Mincho"/>
                <w:vertAlign w:val="superscript"/>
              </w:rPr>
              <w:t>1</w:t>
            </w:r>
          </w:p>
        </w:tc>
        <w:tc>
          <w:tcPr>
            <w:tcW w:w="951" w:type="pct"/>
            <w:vAlign w:val="center"/>
          </w:tcPr>
          <w:p w:rsidR="00EA3AC5" w:rsidRDefault="00EA3AC5" w:rsidP="00EA3AC5">
            <w:pPr>
              <w:pStyle w:val="Tablewriting"/>
              <w:keepNext/>
              <w:jc w:val="center"/>
              <w:rPr>
                <w:rFonts w:eastAsia="MS Mincho"/>
              </w:rPr>
            </w:pPr>
            <w:r>
              <w:rPr>
                <w:rFonts w:eastAsia="MS Mincho"/>
              </w:rPr>
              <w:t>Cochrane Review (</w:t>
            </w:r>
            <w:r w:rsidR="004E3996">
              <w:rPr>
                <w:rFonts w:eastAsia="MS Mincho"/>
              </w:rPr>
              <w:t>6</w:t>
            </w:r>
            <w:r>
              <w:rPr>
                <w:rFonts w:eastAsia="MS Mincho"/>
              </w:rPr>
              <w:t xml:space="preserve"> RCTs)</w:t>
            </w:r>
          </w:p>
        </w:tc>
        <w:tc>
          <w:tcPr>
            <w:tcW w:w="1092" w:type="pct"/>
            <w:tcMar>
              <w:left w:w="28" w:type="dxa"/>
              <w:right w:w="28" w:type="dxa"/>
            </w:tcMar>
            <w:vAlign w:val="center"/>
          </w:tcPr>
          <w:p w:rsidR="00EA3AC5" w:rsidRPr="00FD71B4" w:rsidRDefault="00EA3AC5" w:rsidP="00EA3AC5">
            <w:pPr>
              <w:pStyle w:val="Tablewriting"/>
              <w:keepNext/>
              <w:jc w:val="center"/>
              <w:rPr>
                <w:rFonts w:eastAsia="MS Mincho"/>
              </w:rPr>
            </w:pPr>
            <w:r>
              <w:rPr>
                <w:rFonts w:eastAsia="MS Mincho"/>
              </w:rPr>
              <w:t>2</w:t>
            </w:r>
            <w:r w:rsidR="004E3996">
              <w:rPr>
                <w:rFonts w:eastAsia="MS Mincho"/>
              </w:rPr>
              <w:t>38</w:t>
            </w:r>
            <w:r>
              <w:rPr>
                <w:rFonts w:eastAsia="MS Mincho"/>
              </w:rPr>
              <w:t>/</w:t>
            </w:r>
            <w:r w:rsidR="004E3996">
              <w:rPr>
                <w:rFonts w:eastAsia="MS Mincho"/>
              </w:rPr>
              <w:t>852</w:t>
            </w:r>
            <w:r w:rsidRPr="00FD71B4">
              <w:rPr>
                <w:rFonts w:eastAsia="MS Mincho"/>
              </w:rPr>
              <w:t xml:space="preserve"> </w:t>
            </w:r>
          </w:p>
          <w:p w:rsidR="00EA3AC5" w:rsidRPr="00FD71B4" w:rsidRDefault="00EA3AC5" w:rsidP="00EA3AC5">
            <w:pPr>
              <w:pStyle w:val="Tablewriting"/>
              <w:keepNext/>
              <w:jc w:val="center"/>
              <w:rPr>
                <w:rFonts w:eastAsia="MS Mincho"/>
              </w:rPr>
            </w:pPr>
            <w:r w:rsidRPr="00FD71B4">
              <w:rPr>
                <w:rFonts w:eastAsia="MS Mincho"/>
              </w:rPr>
              <w:t>(</w:t>
            </w:r>
            <w:r w:rsidR="00146544">
              <w:rPr>
                <w:rFonts w:eastAsia="MS Mincho"/>
              </w:rPr>
              <w:t>27.9</w:t>
            </w:r>
            <w:r w:rsidRPr="00FD71B4">
              <w:rPr>
                <w:rFonts w:eastAsia="MS Mincho"/>
              </w:rPr>
              <w:t>%)</w:t>
            </w:r>
          </w:p>
        </w:tc>
        <w:tc>
          <w:tcPr>
            <w:tcW w:w="1083" w:type="pct"/>
            <w:tcMar>
              <w:left w:w="28" w:type="dxa"/>
              <w:right w:w="28" w:type="dxa"/>
            </w:tcMar>
            <w:vAlign w:val="center"/>
          </w:tcPr>
          <w:p w:rsidR="00EA3AC5" w:rsidRPr="00FD71B4" w:rsidRDefault="00EA3AC5" w:rsidP="00EA3AC5">
            <w:pPr>
              <w:pStyle w:val="Tablewriting"/>
              <w:keepNext/>
              <w:jc w:val="center"/>
              <w:rPr>
                <w:rFonts w:eastAsia="MS Mincho"/>
              </w:rPr>
            </w:pPr>
            <w:r>
              <w:rPr>
                <w:rFonts w:eastAsia="MS Mincho"/>
              </w:rPr>
              <w:t>2</w:t>
            </w:r>
            <w:r w:rsidR="004E3996">
              <w:rPr>
                <w:rFonts w:eastAsia="MS Mincho"/>
              </w:rPr>
              <w:t>05</w:t>
            </w:r>
            <w:r>
              <w:rPr>
                <w:rFonts w:eastAsia="MS Mincho"/>
              </w:rPr>
              <w:t>/</w:t>
            </w:r>
            <w:r w:rsidR="004E3996">
              <w:rPr>
                <w:rFonts w:eastAsia="MS Mincho"/>
              </w:rPr>
              <w:t>845</w:t>
            </w:r>
            <w:r w:rsidRPr="00FD71B4">
              <w:rPr>
                <w:rFonts w:eastAsia="MS Mincho"/>
              </w:rPr>
              <w:t xml:space="preserve"> </w:t>
            </w:r>
          </w:p>
          <w:p w:rsidR="00EA3AC5" w:rsidRPr="00FD71B4" w:rsidRDefault="00EA3AC5" w:rsidP="00EA3AC5">
            <w:pPr>
              <w:pStyle w:val="Tablewriting"/>
              <w:keepNext/>
              <w:jc w:val="center"/>
              <w:rPr>
                <w:rFonts w:eastAsia="MS Mincho"/>
              </w:rPr>
            </w:pPr>
            <w:r w:rsidRPr="00FD71B4">
              <w:rPr>
                <w:rFonts w:eastAsia="MS Mincho"/>
              </w:rPr>
              <w:t>(</w:t>
            </w:r>
            <w:r w:rsidR="00146544">
              <w:rPr>
                <w:rFonts w:eastAsia="MS Mincho"/>
              </w:rPr>
              <w:t>24.3</w:t>
            </w:r>
            <w:r w:rsidRPr="00FD71B4">
              <w:rPr>
                <w:rFonts w:eastAsia="MS Mincho"/>
              </w:rPr>
              <w:t>%)</w:t>
            </w:r>
          </w:p>
        </w:tc>
        <w:tc>
          <w:tcPr>
            <w:tcW w:w="1014" w:type="pct"/>
            <w:tcMar>
              <w:left w:w="28" w:type="dxa"/>
              <w:right w:w="28" w:type="dxa"/>
            </w:tcMar>
            <w:vAlign w:val="center"/>
          </w:tcPr>
          <w:p w:rsidR="00EA3AC5" w:rsidRPr="004E3996" w:rsidRDefault="00EA3AC5" w:rsidP="00EA3AC5">
            <w:pPr>
              <w:pStyle w:val="Tablewriting"/>
              <w:keepNext/>
              <w:jc w:val="center"/>
              <w:rPr>
                <w:rFonts w:eastAsia="MS Mincho"/>
              </w:rPr>
            </w:pPr>
            <w:r w:rsidRPr="004E3996">
              <w:rPr>
                <w:rFonts w:eastAsia="MS Mincho"/>
              </w:rPr>
              <w:t>1.</w:t>
            </w:r>
            <w:r w:rsidR="004E3996" w:rsidRPr="004E3996">
              <w:rPr>
                <w:rFonts w:eastAsia="MS Mincho"/>
              </w:rPr>
              <w:t>15</w:t>
            </w:r>
          </w:p>
          <w:p w:rsidR="00EA3AC5" w:rsidRPr="00FD71B4" w:rsidRDefault="00EA3AC5" w:rsidP="00EA3AC5">
            <w:pPr>
              <w:pStyle w:val="Tablewriting"/>
              <w:keepNext/>
              <w:jc w:val="center"/>
              <w:rPr>
                <w:rFonts w:eastAsia="MS Mincho"/>
              </w:rPr>
            </w:pPr>
            <w:r w:rsidRPr="004E3996">
              <w:rPr>
                <w:rFonts w:eastAsia="MS Mincho"/>
              </w:rPr>
              <w:t>(</w:t>
            </w:r>
            <w:r w:rsidR="004E3996" w:rsidRPr="004E3996">
              <w:rPr>
                <w:rFonts w:eastAsia="MS Mincho"/>
              </w:rPr>
              <w:t>0.98</w:t>
            </w:r>
            <w:r w:rsidRPr="004E3996">
              <w:rPr>
                <w:rFonts w:eastAsia="MS Mincho"/>
              </w:rPr>
              <w:t>, 1.</w:t>
            </w:r>
            <w:r w:rsidR="004E3996" w:rsidRPr="004E3996">
              <w:rPr>
                <w:rFonts w:eastAsia="MS Mincho"/>
              </w:rPr>
              <w:t>35</w:t>
            </w:r>
            <w:r w:rsidRPr="004E3996">
              <w:rPr>
                <w:rFonts w:eastAsia="MS Mincho"/>
              </w:rPr>
              <w:t>)</w:t>
            </w:r>
          </w:p>
        </w:tc>
      </w:tr>
    </w:tbl>
    <w:p w:rsidR="004E3996" w:rsidRDefault="004E3996" w:rsidP="004E3996">
      <w:pPr>
        <w:pStyle w:val="TableFooter"/>
        <w:keepNext/>
      </w:pPr>
      <w:r>
        <w:t>Source: Livingstone-Banks et al. (2019)</w:t>
      </w:r>
    </w:p>
    <w:p w:rsidR="004E3996" w:rsidRDefault="004E3996" w:rsidP="004E3996">
      <w:pPr>
        <w:pStyle w:val="TableFooter"/>
        <w:keepNext/>
        <w:rPr>
          <w:i/>
        </w:rPr>
      </w:pPr>
      <w:r>
        <w:t>Abbreviations: CI = confidence interval; RCT = randomised controlled trial; RD = risk difference; RR = risk ratio</w:t>
      </w:r>
      <w:r w:rsidRPr="00061F78">
        <w:t xml:space="preserve"> </w:t>
      </w:r>
    </w:p>
    <w:p w:rsidR="004E3996" w:rsidRDefault="004E3996" w:rsidP="004E3996">
      <w:pPr>
        <w:pStyle w:val="TableFooter"/>
        <w:keepNext/>
      </w:pPr>
      <w:r w:rsidRPr="00D468CF">
        <w:t>Note</w:t>
      </w:r>
      <w:r>
        <w:t>s</w:t>
      </w:r>
      <w:r w:rsidRPr="00D468CF">
        <w:t>: Bold indicates statistically significant difference.</w:t>
      </w:r>
      <w:r>
        <w:br/>
        <w:t xml:space="preserve">1 Where cessation was assessed at multiple intervals, the longest follow-up data were used. Where multiple definitions of abstinence were assessed, the strictest of these definitions was used (e.g. continuous/prolonged abstinence over point prevalence abstinence). See </w:t>
      </w:r>
      <w:r w:rsidRPr="00A61634">
        <w:t xml:space="preserve">Appendix </w:t>
      </w:r>
      <w:r w:rsidR="003C4A1C">
        <w:t xml:space="preserve">Table </w:t>
      </w:r>
      <w:r w:rsidR="003C4A1C">
        <w:rPr>
          <w:noProof/>
        </w:rPr>
        <w:t>153</w:t>
      </w:r>
      <w:r>
        <w:t xml:space="preserve"> for the definition used in each study.</w:t>
      </w:r>
    </w:p>
    <w:p w:rsidR="004E3996" w:rsidRDefault="004E3996" w:rsidP="004E3996">
      <w:pPr>
        <w:pStyle w:val="TableFooter"/>
        <w:keepNext/>
      </w:pPr>
      <w:r w:rsidRPr="00A61634">
        <w:t xml:space="preserve">2 Calculated </w:t>
      </w:r>
      <w:r w:rsidR="009439B1" w:rsidRPr="00A61634">
        <w:t xml:space="preserve">by Cochrane Review authors </w:t>
      </w:r>
      <w:r w:rsidRPr="00A61634">
        <w:t>using a fixed-effect model</w:t>
      </w:r>
      <w:r w:rsidR="00AB5FA3">
        <w:t>.</w:t>
      </w:r>
    </w:p>
    <w:p w:rsidR="00EA3AC5" w:rsidRDefault="004E3996" w:rsidP="00EA3AC5">
      <w:r w:rsidRPr="004E3996">
        <w:t xml:space="preserve">The results of the individual studies included in Livingstone-Banks et al. (2019) are presented using a forest plot in </w:t>
      </w:r>
      <w:r w:rsidR="003C4A1C">
        <w:t xml:space="preserve">Figure </w:t>
      </w:r>
      <w:r w:rsidR="003C4A1C">
        <w:rPr>
          <w:noProof/>
        </w:rPr>
        <w:t>10</w:t>
      </w:r>
      <w:r w:rsidRPr="004E3996">
        <w:t>.</w:t>
      </w:r>
      <w:r w:rsidR="00146544">
        <w:t xml:space="preserve"> </w:t>
      </w:r>
      <w:r w:rsidR="00C04CB6">
        <w:t>T</w:t>
      </w:r>
      <w:r w:rsidR="00146544">
        <w:t>here w</w:t>
      </w:r>
      <w:r w:rsidR="00CF1004">
        <w:t>ere</w:t>
      </w:r>
      <w:r w:rsidR="00146544">
        <w:t xml:space="preserve"> no statistically significant difference</w:t>
      </w:r>
      <w:r w:rsidR="00CF1004">
        <w:t>s</w:t>
      </w:r>
      <w:r w:rsidR="00146544">
        <w:t xml:space="preserve"> </w:t>
      </w:r>
      <w:r w:rsidR="00351296">
        <w:t xml:space="preserve">detected </w:t>
      </w:r>
      <w:r w:rsidR="00146544">
        <w:t xml:space="preserve">in </w:t>
      </w:r>
      <w:r w:rsidR="00743DB7">
        <w:t>any</w:t>
      </w:r>
      <w:r w:rsidR="001B5A6B">
        <w:t xml:space="preserve"> of</w:t>
      </w:r>
      <w:r w:rsidR="00146544">
        <w:t xml:space="preserve"> </w:t>
      </w:r>
      <w:r w:rsidR="00F0656C">
        <w:t>the individual RCTs included in the meta-analysis</w:t>
      </w:r>
      <w:r w:rsidR="00146544">
        <w:t>.</w:t>
      </w:r>
      <w:r w:rsidR="004B20AD">
        <w:t xml:space="preserve"> The authors of the review stated that w</w:t>
      </w:r>
      <w:r w:rsidR="004B20AD" w:rsidRPr="004B20AD">
        <w:t>hil</w:t>
      </w:r>
      <w:r w:rsidR="004B20AD">
        <w:t>e</w:t>
      </w:r>
      <w:r w:rsidR="004B20AD" w:rsidRPr="004B20AD">
        <w:t xml:space="preserve"> there was no evidence of statistical heterogeneity, some clinical heterogeneity was noted in the intervention used for the cessation induction phase, the duration of treatment, and the duration of follow-up a</w:t>
      </w:r>
      <w:r w:rsidR="007F275E">
        <w:t>ft</w:t>
      </w:r>
      <w:r w:rsidR="004B20AD" w:rsidRPr="004B20AD">
        <w:t>er cessation of medication.</w:t>
      </w:r>
    </w:p>
    <w:p w:rsidR="004E3996" w:rsidRDefault="004E3996" w:rsidP="004E3996">
      <w:pPr>
        <w:keepNext/>
      </w:pPr>
      <w:r>
        <w:rPr>
          <w:noProof/>
        </w:rPr>
        <w:lastRenderedPageBreak/>
        <w:drawing>
          <wp:inline distT="0" distB="0" distL="0" distR="0" wp14:anchorId="0018414F" wp14:editId="6E6D50D2">
            <wp:extent cx="5731510" cy="5947408"/>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29">
                      <a:extLst>
                        <a:ext uri="{28A0092B-C50C-407E-A947-70E740481C1C}">
                          <a14:useLocalDpi xmlns:a14="http://schemas.microsoft.com/office/drawing/2010/main" val="0"/>
                        </a:ext>
                      </a:extLst>
                    </a:blip>
                    <a:stretch>
                      <a:fillRect/>
                    </a:stretch>
                  </pic:blipFill>
                  <pic:spPr>
                    <a:xfrm>
                      <a:off x="0" y="0"/>
                      <a:ext cx="5731510" cy="5947408"/>
                    </a:xfrm>
                    <a:prstGeom prst="rect">
                      <a:avLst/>
                    </a:prstGeom>
                  </pic:spPr>
                </pic:pic>
              </a:graphicData>
            </a:graphic>
          </wp:inline>
        </w:drawing>
      </w:r>
    </w:p>
    <w:p w:rsidR="004E3996" w:rsidRDefault="004E3996" w:rsidP="004E3996">
      <w:pPr>
        <w:pStyle w:val="Caption"/>
      </w:pPr>
      <w:bookmarkStart w:id="116" w:name="_Ref54884608"/>
      <w:r>
        <w:t xml:space="preserve">Figure </w:t>
      </w:r>
      <w:r w:rsidR="003C4A1C">
        <w:rPr>
          <w:noProof/>
        </w:rPr>
        <w:t>10</w:t>
      </w:r>
      <w:bookmarkEnd w:id="116"/>
      <w:r>
        <w:t xml:space="preserve">: </w:t>
      </w:r>
      <w:r w:rsidRPr="00431891">
        <w:t xml:space="preserve">Results of smoking cessation at 12 months after quit date in Livingstone-Banks et al. (2019), </w:t>
      </w:r>
      <w:r>
        <w:t>bupropion</w:t>
      </w:r>
      <w:r w:rsidRPr="00431891">
        <w:t xml:space="preserve"> versus placebo</w:t>
      </w:r>
      <w:r w:rsidR="00267C5C">
        <w:t xml:space="preserve"> in abstainers for relapse prevention</w:t>
      </w:r>
    </w:p>
    <w:p w:rsidR="004E3996" w:rsidRDefault="004E3996" w:rsidP="004E3996">
      <w:pPr>
        <w:pStyle w:val="FigureFooter"/>
      </w:pPr>
      <w:r>
        <w:t>Source: Livingstone-Banks et al. (2019)</w:t>
      </w:r>
    </w:p>
    <w:p w:rsidR="004E3996" w:rsidRDefault="004E3996" w:rsidP="004E3996">
      <w:pPr>
        <w:pStyle w:val="FigureFooter"/>
      </w:pPr>
      <w:r w:rsidRPr="00D041F9">
        <w:t>Abbreviations: CI = confidence interval</w:t>
      </w:r>
    </w:p>
    <w:p w:rsidR="00D14FC3" w:rsidRDefault="00D14FC3" w:rsidP="004E3996">
      <w:pPr>
        <w:pStyle w:val="FigureFooter"/>
      </w:pPr>
      <w:r>
        <w:t>Note: In Hays et al. (2009) and Hurt et al. (2003), patients were provided NRT patches in the open-label treatment phase</w:t>
      </w:r>
      <w:r w:rsidR="003D4BF8">
        <w:t xml:space="preserve"> followed by bupropion and placebo in the double-blind treatment phase</w:t>
      </w:r>
      <w:r>
        <w:t xml:space="preserve">. </w:t>
      </w:r>
      <w:r w:rsidR="003D1CEF">
        <w:t>In Covey et al. (2007), patients were provided bupropion and NRT patch</w:t>
      </w:r>
      <w:r w:rsidR="003B5A21">
        <w:t>es</w:t>
      </w:r>
      <w:r w:rsidR="003D1CEF">
        <w:t xml:space="preserve"> in the open-label treatment phase</w:t>
      </w:r>
      <w:r w:rsidR="003D4BF8">
        <w:t xml:space="preserve"> followed by bupropion, NRT gum, or both and placebo in the double-blind treatment phase</w:t>
      </w:r>
      <w:r w:rsidR="003B5A21">
        <w:t>.</w:t>
      </w:r>
      <w:r w:rsidR="003D1CEF">
        <w:t xml:space="preserve"> </w:t>
      </w:r>
      <w:r w:rsidR="0045562A">
        <w:t>In Croghan et al. (2007), patients were provided bupropion, NRT inhaler or both, followed by the same medications or placebo in the double-blind treatment phase.</w:t>
      </w:r>
      <w:r w:rsidR="00C86A06">
        <w:t xml:space="preserve"> In Killen et al. (2006), patients were provided bupropion and NRT patches in the open-label phase followed by bupropion and placebo in the double-blind treatment phase.</w:t>
      </w:r>
    </w:p>
    <w:p w:rsidR="00655CCE" w:rsidRPr="000F3331" w:rsidRDefault="00655CCE" w:rsidP="00B849C6">
      <w:r>
        <w:t xml:space="preserve">Of the </w:t>
      </w:r>
      <w:r w:rsidR="001D6826">
        <w:t xml:space="preserve">studies identified </w:t>
      </w:r>
      <w:r w:rsidR="00110394">
        <w:t xml:space="preserve">by Livingstone-Banks et al. (2019), </w:t>
      </w:r>
      <w:r w:rsidR="00A451D0">
        <w:t xml:space="preserve">Croghan et al. (2007) was the only study that </w:t>
      </w:r>
      <w:r w:rsidR="00B775DE">
        <w:t>co</w:t>
      </w:r>
      <w:r w:rsidR="00946748">
        <w:t>mpared</w:t>
      </w:r>
      <w:r w:rsidR="00701356">
        <w:t xml:space="preserve"> bupropion</w:t>
      </w:r>
      <w:r w:rsidR="00946748">
        <w:t xml:space="preserve"> with placebo in patients who </w:t>
      </w:r>
      <w:r w:rsidR="00FC0A8A">
        <w:t xml:space="preserve">achieved abstinence </w:t>
      </w:r>
      <w:r w:rsidR="00CE2F1B">
        <w:t xml:space="preserve">after </w:t>
      </w:r>
      <w:r w:rsidR="001518E0">
        <w:t xml:space="preserve">initial </w:t>
      </w:r>
      <w:r w:rsidR="00CE2F1B">
        <w:t>treatment with bupropion monotherapy</w:t>
      </w:r>
      <w:r w:rsidR="00526E04">
        <w:t>; t</w:t>
      </w:r>
      <w:r w:rsidR="001518E0">
        <w:t xml:space="preserve">he other studies provided either </w:t>
      </w:r>
      <w:r w:rsidR="00DA547B">
        <w:t xml:space="preserve">NRT patches or bupropion plus NRT patches in the initial treatment phase. </w:t>
      </w:r>
      <w:r w:rsidR="004718C8">
        <w:t xml:space="preserve">The key limitation of Croghan et al. (2007) </w:t>
      </w:r>
      <w:r w:rsidR="0057477B">
        <w:t xml:space="preserve">was </w:t>
      </w:r>
      <w:r w:rsidR="00526E04">
        <w:t>related to the duration of</w:t>
      </w:r>
      <w:r w:rsidR="0057477B">
        <w:t xml:space="preserve"> bupropion monotherapy </w:t>
      </w:r>
      <w:r w:rsidR="00526E04">
        <w:t xml:space="preserve">administered </w:t>
      </w:r>
      <w:r w:rsidR="0057477B">
        <w:lastRenderedPageBreak/>
        <w:t xml:space="preserve">in the initial treatment phase </w:t>
      </w:r>
      <w:r w:rsidR="003B32DA">
        <w:t>(3</w:t>
      </w:r>
      <w:r w:rsidR="0057477B">
        <w:t xml:space="preserve"> months versus 9 weeks on the PBS) </w:t>
      </w:r>
      <w:r w:rsidR="00526E04">
        <w:t xml:space="preserve">and </w:t>
      </w:r>
      <w:r w:rsidR="003B32DA">
        <w:t>the relapse prevention phase (9 months).</w:t>
      </w:r>
      <w:r w:rsidR="004718C8">
        <w:t xml:space="preserve"> </w:t>
      </w:r>
      <w:r w:rsidR="00A30077">
        <w:t xml:space="preserve">No evidence was identified </w:t>
      </w:r>
      <w:r w:rsidR="00AB091F">
        <w:t>comparing</w:t>
      </w:r>
      <w:r w:rsidR="00A30077">
        <w:t xml:space="preserve"> bupropion with placebo as relapse prevention treatment</w:t>
      </w:r>
      <w:r w:rsidR="00AB091F">
        <w:t xml:space="preserve"> (9 weeks)</w:t>
      </w:r>
      <w:r w:rsidR="00A30077">
        <w:t xml:space="preserve"> in abstainers</w:t>
      </w:r>
      <w:r w:rsidR="00AB091F">
        <w:t xml:space="preserve"> who completed a 9-week course of initial bupropion monotherapy treatment.</w:t>
      </w:r>
      <w:r w:rsidR="00CE2F1B">
        <w:t xml:space="preserve"> </w:t>
      </w:r>
    </w:p>
    <w:p w:rsidR="00B849C6" w:rsidRPr="0073597F" w:rsidRDefault="00B849C6" w:rsidP="00B849C6">
      <w:pPr>
        <w:rPr>
          <w:u w:val="single"/>
        </w:rPr>
      </w:pPr>
      <w:r w:rsidRPr="0073597F">
        <w:rPr>
          <w:u w:val="single"/>
        </w:rPr>
        <w:t>Safety</w:t>
      </w:r>
    </w:p>
    <w:p w:rsidR="004E3996" w:rsidRDefault="00B849C6" w:rsidP="004E3996">
      <w:r w:rsidRPr="00F423F8">
        <w:t xml:space="preserve">The </w:t>
      </w:r>
      <w:r w:rsidR="00573F59">
        <w:t>safety</w:t>
      </w:r>
      <w:r w:rsidRPr="00F423F8">
        <w:t xml:space="preserve"> of </w:t>
      </w:r>
      <w:r>
        <w:t xml:space="preserve">bupropion </w:t>
      </w:r>
      <w:r w:rsidR="00573F59">
        <w:t>versus</w:t>
      </w:r>
      <w:r>
        <w:t xml:space="preserve"> placebo in abstainers for relapse prevention</w:t>
      </w:r>
      <w:r w:rsidRPr="00F423F8">
        <w:t xml:space="preserve"> was not </w:t>
      </w:r>
      <w:r w:rsidR="00300FEF">
        <w:t>assessed</w:t>
      </w:r>
      <w:r w:rsidRPr="00F423F8">
        <w:t xml:space="preserve"> by </w:t>
      </w:r>
      <w:r w:rsidRPr="002C1625">
        <w:t>Livingstone-Banks et al. (2019)</w:t>
      </w:r>
      <w:r w:rsidR="00C86A06">
        <w:t xml:space="preserve"> and Croghan et al. (2007)</w:t>
      </w:r>
      <w:r w:rsidRPr="00F423F8">
        <w:t>.</w:t>
      </w:r>
      <w:r w:rsidR="006364FD">
        <w:t xml:space="preserve"> </w:t>
      </w:r>
    </w:p>
    <w:p w:rsidR="008C32C3" w:rsidRDefault="008C32C3" w:rsidP="004E3996">
      <w:r>
        <w:t xml:space="preserve">In Hays et al. (2009), </w:t>
      </w:r>
      <w:r w:rsidR="0083206C">
        <w:t xml:space="preserve">there were no </w:t>
      </w:r>
      <w:r w:rsidR="0083206C" w:rsidRPr="0083206C">
        <w:t>significant differences between bupropion and placebo in the rates of any adverse events. No serious adverse events no</w:t>
      </w:r>
      <w:r w:rsidR="00954545">
        <w:t>r</w:t>
      </w:r>
      <w:r w:rsidR="0083206C" w:rsidRPr="0083206C">
        <w:t xml:space="preserve"> deaths occurred during the randomi</w:t>
      </w:r>
      <w:r w:rsidR="0083206C">
        <w:t>s</w:t>
      </w:r>
      <w:r w:rsidR="0083206C" w:rsidRPr="0083206C">
        <w:t xml:space="preserve">ed phase of the trial. </w:t>
      </w:r>
      <w:r w:rsidR="0083206C">
        <w:t>However, f</w:t>
      </w:r>
      <w:r w:rsidR="0083206C" w:rsidRPr="0083206C">
        <w:t>our participants dropped out of the study due to adverse events (all assigned to bupropion).</w:t>
      </w:r>
      <w:r w:rsidR="00F342E4">
        <w:t xml:space="preserve"> </w:t>
      </w:r>
    </w:p>
    <w:p w:rsidR="0083206C" w:rsidRDefault="0083206C" w:rsidP="004E3996">
      <w:r>
        <w:t xml:space="preserve">In Hays et al. (2001), </w:t>
      </w:r>
      <w:r w:rsidR="00A62107" w:rsidRPr="00A62107">
        <w:t xml:space="preserve">the most commonly reported adverse events during open-label </w:t>
      </w:r>
      <w:r w:rsidR="00A62107">
        <w:t>bupropion</w:t>
      </w:r>
      <w:r w:rsidR="00A62107" w:rsidRPr="00A62107">
        <w:t xml:space="preserve"> treatment were</w:t>
      </w:r>
      <w:r w:rsidR="00A62107">
        <w:t xml:space="preserve"> insomnia (49.5%), headache (33.3%), dry mouth (15.3%), nausea (12.9%) and restlessness (12.0%). </w:t>
      </w:r>
      <w:r w:rsidR="007D3354" w:rsidRPr="007D3354">
        <w:t xml:space="preserve">There were no statistically significant differences in </w:t>
      </w:r>
      <w:r w:rsidR="007D3354">
        <w:t>the frequency of any adverse events</w:t>
      </w:r>
      <w:r w:rsidR="007D3354" w:rsidRPr="007D3354">
        <w:t xml:space="preserve"> during the double-blind treatment phase</w:t>
      </w:r>
      <w:r w:rsidR="007D3354">
        <w:t>.</w:t>
      </w:r>
    </w:p>
    <w:p w:rsidR="003B5A21" w:rsidRDefault="003B5A21" w:rsidP="004E3996">
      <w:r>
        <w:t xml:space="preserve">In Hurt et al. (2003), there were no statistically significant differences between bupropion and placebo in the reported adverse events during the double-blind treatment phase. </w:t>
      </w:r>
      <w:r w:rsidR="003D4BF8">
        <w:t>In</w:t>
      </w:r>
      <w:r>
        <w:t xml:space="preserve"> Covey et al. (2007), t</w:t>
      </w:r>
      <w:r w:rsidRPr="003B5A21">
        <w:t xml:space="preserve">he number of reported </w:t>
      </w:r>
      <w:r>
        <w:t>adverse events</w:t>
      </w:r>
      <w:r w:rsidRPr="003B5A21">
        <w:t xml:space="preserve"> </w:t>
      </w:r>
      <w:r w:rsidR="00B927AF">
        <w:t>such as</w:t>
      </w:r>
      <w:r w:rsidRPr="003B5A21">
        <w:t xml:space="preserve"> nervousness, constipation, insomnia, stomach-ache</w:t>
      </w:r>
      <w:r w:rsidR="00B927AF">
        <w:t xml:space="preserve"> and</w:t>
      </w:r>
      <w:r w:rsidRPr="003B5A21">
        <w:t xml:space="preserve"> depressed mood was low, and did not vary by treatment group (P = 0.69)</w:t>
      </w:r>
      <w:r w:rsidR="00B927AF">
        <w:t>.</w:t>
      </w:r>
    </w:p>
    <w:p w:rsidR="00C86A06" w:rsidRDefault="00C86A06" w:rsidP="004E3996">
      <w:r>
        <w:t>In Killen et al. (2006)</w:t>
      </w:r>
      <w:r w:rsidR="00D71FD5">
        <w:t>,</w:t>
      </w:r>
      <w:r w:rsidR="00D71FD5" w:rsidRPr="00D71FD5">
        <w:t xml:space="preserve"> </w:t>
      </w:r>
      <w:r w:rsidR="00D71FD5" w:rsidRPr="00A62107">
        <w:t xml:space="preserve">the most commonly reported adverse events during open-label </w:t>
      </w:r>
      <w:r w:rsidR="00D71FD5">
        <w:t>bupropion and NRT patches</w:t>
      </w:r>
      <w:r w:rsidR="00D71FD5" w:rsidRPr="00A62107">
        <w:t xml:space="preserve"> treatment were</w:t>
      </w:r>
      <w:r w:rsidR="00D71FD5">
        <w:t xml:space="preserve"> insomnia (53%), dry mouth (47%), vivid dreams (44%), nausea (23%) and headache (22%). </w:t>
      </w:r>
      <w:r w:rsidR="004002E8" w:rsidRPr="004002E8">
        <w:t>A total of 13 adverse events were reported by p</w:t>
      </w:r>
      <w:r w:rsidR="004002E8">
        <w:t>atient</w:t>
      </w:r>
      <w:r w:rsidR="004002E8" w:rsidRPr="004002E8">
        <w:t>s in the bupropion treatment group, and a total of 17 adverse events were reported by those receiving placebo during extended treatment.</w:t>
      </w:r>
    </w:p>
    <w:p w:rsidR="007E481B" w:rsidRPr="007E481B" w:rsidRDefault="007E481B" w:rsidP="007E481B">
      <w:pPr>
        <w:rPr>
          <w:b/>
          <w:bCs/>
        </w:rPr>
      </w:pPr>
      <w:r>
        <w:rPr>
          <w:b/>
          <w:bCs/>
        </w:rPr>
        <w:t>Bupropion</w:t>
      </w:r>
      <w:r w:rsidRPr="007E481B">
        <w:rPr>
          <w:b/>
          <w:bCs/>
        </w:rPr>
        <w:t xml:space="preserve"> versus placebo – non-abstainers (retreatment)</w:t>
      </w:r>
    </w:p>
    <w:p w:rsidR="00E3098F" w:rsidRDefault="007E481B" w:rsidP="007E481B">
      <w:r>
        <w:t xml:space="preserve">A summary of the citation details for the studies comparing </w:t>
      </w:r>
      <w:r w:rsidR="004E328D">
        <w:t>bupropion</w:t>
      </w:r>
      <w:r>
        <w:t xml:space="preserve"> with placebo in non-abstainers as retreatment is presented in </w:t>
      </w:r>
      <w:r w:rsidR="003C4A1C">
        <w:t xml:space="preserve">Table </w:t>
      </w:r>
      <w:r w:rsidR="003C4A1C">
        <w:rPr>
          <w:noProof/>
        </w:rPr>
        <w:t>42</w:t>
      </w:r>
      <w:r>
        <w:t xml:space="preserve">. </w:t>
      </w:r>
      <w:r w:rsidR="007F2276">
        <w:t>Two RCTs</w:t>
      </w:r>
      <w:r w:rsidR="00E01BB9">
        <w:t xml:space="preserve"> that compared bupropion with placebo as retreatment</w:t>
      </w:r>
      <w:r w:rsidR="007F2276">
        <w:t xml:space="preserve"> </w:t>
      </w:r>
      <w:r w:rsidR="00422789">
        <w:t xml:space="preserve">(Gonzales et al. 2001 and Selby et al. 2003) </w:t>
      </w:r>
      <w:r w:rsidR="007F2276">
        <w:t xml:space="preserve">were identified </w:t>
      </w:r>
      <w:r w:rsidR="0012734D" w:rsidRPr="0012734D">
        <w:t xml:space="preserve">in a recently conducted Cochrane </w:t>
      </w:r>
      <w:r w:rsidR="00565611">
        <w:t>R</w:t>
      </w:r>
      <w:r w:rsidR="0012734D" w:rsidRPr="0012734D">
        <w:t>eview</w:t>
      </w:r>
      <w:r w:rsidR="00565611" w:rsidRPr="00565611">
        <w:t xml:space="preserve"> </w:t>
      </w:r>
      <w:r w:rsidR="00565611">
        <w:t>by Howes et al. (2020)</w:t>
      </w:r>
      <w:r w:rsidR="0012734D" w:rsidRPr="0012734D">
        <w:t xml:space="preserve"> </w:t>
      </w:r>
      <w:r>
        <w:t>and w</w:t>
      </w:r>
      <w:r w:rsidR="00565611">
        <w:t>ere</w:t>
      </w:r>
      <w:r>
        <w:t xml:space="preserve"> included in this report.</w:t>
      </w:r>
      <w:r w:rsidR="00966977">
        <w:t xml:space="preserve"> These studies enrolled smokers who had previously </w:t>
      </w:r>
      <w:r w:rsidR="00B05E01">
        <w:t xml:space="preserve">failed to quit smoking using bupropion. </w:t>
      </w:r>
      <w:r w:rsidR="002775B8" w:rsidRPr="002775B8">
        <w:t xml:space="preserve">No new studies comparing bupropion with placebo in </w:t>
      </w:r>
      <w:r w:rsidR="002775B8">
        <w:t>non-</w:t>
      </w:r>
      <w:r w:rsidR="002775B8" w:rsidRPr="002775B8">
        <w:t xml:space="preserve">abstainers </w:t>
      </w:r>
      <w:r w:rsidR="002775B8">
        <w:t>as retreatment</w:t>
      </w:r>
      <w:r w:rsidR="002775B8" w:rsidRPr="002775B8">
        <w:t xml:space="preserve"> were identified in the supplemental literature search</w:t>
      </w:r>
      <w:r w:rsidR="002775B8">
        <w:t>.</w:t>
      </w:r>
    </w:p>
    <w:p w:rsidR="001168F7" w:rsidRDefault="001168F7" w:rsidP="001168F7">
      <w:pPr>
        <w:pStyle w:val="Caption"/>
        <w:keepNext/>
      </w:pPr>
      <w:bookmarkStart w:id="117" w:name="_Ref54955557"/>
      <w:r>
        <w:lastRenderedPageBreak/>
        <w:t xml:space="preserve">Table </w:t>
      </w:r>
      <w:r w:rsidR="003C4A1C">
        <w:rPr>
          <w:noProof/>
        </w:rPr>
        <w:t>42</w:t>
      </w:r>
      <w:bookmarkEnd w:id="117"/>
      <w:r>
        <w:t xml:space="preserve">: </w:t>
      </w:r>
      <w:r w:rsidRPr="0074518D">
        <w:t xml:space="preserve">List of studies comparing </w:t>
      </w:r>
      <w:r>
        <w:t>bupropion</w:t>
      </w:r>
      <w:r w:rsidRPr="0074518D">
        <w:t xml:space="preserve"> with placebo in non-abstainers as retreatment</w:t>
      </w:r>
    </w:p>
    <w:tbl>
      <w:tblPr>
        <w:tblStyle w:val="TableGrid"/>
        <w:tblW w:w="5000" w:type="pct"/>
        <w:tblLook w:val="04A0" w:firstRow="1" w:lastRow="0" w:firstColumn="1" w:lastColumn="0" w:noHBand="0" w:noVBand="1"/>
        <w:tblCaption w:val="Efficacy results of adalimumab trials (PASI 75 and DLQI)"/>
      </w:tblPr>
      <w:tblGrid>
        <w:gridCol w:w="1021"/>
        <w:gridCol w:w="7995"/>
      </w:tblGrid>
      <w:tr w:rsidR="0085037A" w:rsidRPr="00061F78" w:rsidTr="00245D9D">
        <w:trPr>
          <w:cantSplit/>
          <w:trHeight w:val="329"/>
          <w:tblHeader/>
        </w:trPr>
        <w:tc>
          <w:tcPr>
            <w:tcW w:w="566" w:type="pct"/>
            <w:shd w:val="clear" w:color="auto" w:fill="BFBFBF" w:themeFill="background1" w:themeFillShade="BF"/>
            <w:tcMar>
              <w:left w:w="28" w:type="dxa"/>
              <w:right w:w="28" w:type="dxa"/>
            </w:tcMar>
          </w:tcPr>
          <w:p w:rsidR="00E52A41" w:rsidRPr="00061F78" w:rsidRDefault="00126B7B" w:rsidP="00245D9D">
            <w:pPr>
              <w:pStyle w:val="Tableheading"/>
              <w:keepNext/>
              <w:rPr>
                <w:rFonts w:eastAsia="MS Mincho"/>
              </w:rPr>
            </w:pPr>
            <w:r>
              <w:rPr>
                <w:rFonts w:eastAsia="MS Mincho"/>
              </w:rPr>
              <w:t>Study</w:t>
            </w:r>
          </w:p>
        </w:tc>
        <w:tc>
          <w:tcPr>
            <w:tcW w:w="4434" w:type="pct"/>
            <w:shd w:val="clear" w:color="auto" w:fill="BFBFBF" w:themeFill="background1" w:themeFillShade="BF"/>
          </w:tcPr>
          <w:p w:rsidR="00E52A41" w:rsidRDefault="00E52A41" w:rsidP="00245D9D">
            <w:pPr>
              <w:pStyle w:val="Tableheading"/>
              <w:keepNext/>
              <w:jc w:val="center"/>
              <w:rPr>
                <w:rFonts w:eastAsia="MS Mincho"/>
              </w:rPr>
            </w:pPr>
            <w:r>
              <w:rPr>
                <w:rFonts w:eastAsia="MS Mincho"/>
              </w:rPr>
              <w:t>Citation</w:t>
            </w:r>
          </w:p>
        </w:tc>
      </w:tr>
      <w:tr w:rsidR="0085037A" w:rsidRPr="00061F78" w:rsidTr="00245D9D">
        <w:trPr>
          <w:cantSplit/>
          <w:trHeight w:val="164"/>
        </w:trPr>
        <w:tc>
          <w:tcPr>
            <w:tcW w:w="566" w:type="pct"/>
            <w:tcMar>
              <w:left w:w="28" w:type="dxa"/>
              <w:right w:w="28" w:type="dxa"/>
            </w:tcMar>
          </w:tcPr>
          <w:p w:rsidR="004E328D" w:rsidRDefault="00CB6040" w:rsidP="004E328D">
            <w:pPr>
              <w:pStyle w:val="Tablewriting"/>
              <w:keepNext/>
              <w:rPr>
                <w:rFonts w:eastAsia="MS Mincho"/>
              </w:rPr>
            </w:pPr>
            <w:r>
              <w:rPr>
                <w:rFonts w:eastAsia="MS Mincho"/>
              </w:rPr>
              <w:t>Gonzales</w:t>
            </w:r>
          </w:p>
          <w:p w:rsidR="00CB6040" w:rsidRPr="00CB6040" w:rsidRDefault="00CB6040" w:rsidP="004E328D">
            <w:pPr>
              <w:pStyle w:val="Tablewriting"/>
              <w:keepNext/>
              <w:rPr>
                <w:rFonts w:eastAsia="MS Mincho"/>
              </w:rPr>
            </w:pPr>
            <w:r>
              <w:rPr>
                <w:rFonts w:eastAsia="MS Mincho"/>
              </w:rPr>
              <w:t>(2001)</w:t>
            </w:r>
            <w:r w:rsidR="0039468B" w:rsidRPr="00693911">
              <w:rPr>
                <w:rFonts w:eastAsia="MS Mincho"/>
                <w:noProof/>
                <w:vertAlign w:val="superscript"/>
              </w:rPr>
              <w:t>43</w:t>
            </w:r>
          </w:p>
        </w:tc>
        <w:tc>
          <w:tcPr>
            <w:tcW w:w="4434" w:type="pct"/>
          </w:tcPr>
          <w:p w:rsidR="00960634" w:rsidRDefault="00572526" w:rsidP="004E328D">
            <w:pPr>
              <w:pStyle w:val="Tablewriting"/>
              <w:keepNext/>
              <w:rPr>
                <w:rFonts w:eastAsia="MS Mincho"/>
              </w:rPr>
            </w:pPr>
            <w:r w:rsidRPr="00572526">
              <w:rPr>
                <w:rFonts w:eastAsia="MS Mincho"/>
              </w:rPr>
              <w:t>Gonzales DH, Nides MA, Ferry LH, Kustra RP, Jamerson BD, Segall N, Herrero LA, Krishen A, Sweeney A, Buaron K, Metz A. Bupropion SR as an aid to smoking cessation in smokers treated previously with bupropion: a randomized placebo-controlled study. Clin Pharmacol Ther. 2001 Jun;69(6):438-44.</w:t>
            </w:r>
          </w:p>
        </w:tc>
      </w:tr>
      <w:tr w:rsidR="0085037A" w:rsidRPr="00061F78" w:rsidTr="00245D9D">
        <w:trPr>
          <w:cantSplit/>
          <w:trHeight w:val="164"/>
        </w:trPr>
        <w:tc>
          <w:tcPr>
            <w:tcW w:w="566" w:type="pct"/>
            <w:tcMar>
              <w:left w:w="28" w:type="dxa"/>
              <w:right w:w="28" w:type="dxa"/>
            </w:tcMar>
          </w:tcPr>
          <w:p w:rsidR="00CB6040" w:rsidRDefault="00CB6040" w:rsidP="004E328D">
            <w:pPr>
              <w:pStyle w:val="Tablewriting"/>
              <w:keepNext/>
              <w:rPr>
                <w:rFonts w:eastAsia="MS Mincho"/>
              </w:rPr>
            </w:pPr>
            <w:r>
              <w:rPr>
                <w:rFonts w:eastAsia="MS Mincho"/>
              </w:rPr>
              <w:t>Selby</w:t>
            </w:r>
          </w:p>
          <w:p w:rsidR="00CB6040" w:rsidRDefault="00CB6040" w:rsidP="004E328D">
            <w:pPr>
              <w:pStyle w:val="Tablewriting"/>
              <w:keepNext/>
              <w:rPr>
                <w:rFonts w:eastAsia="MS Mincho"/>
              </w:rPr>
            </w:pPr>
            <w:r>
              <w:rPr>
                <w:rFonts w:eastAsia="MS Mincho"/>
              </w:rPr>
              <w:t>(2003)</w:t>
            </w:r>
            <w:r w:rsidR="0039468B" w:rsidRPr="00693911">
              <w:rPr>
                <w:rFonts w:eastAsia="MS Mincho"/>
                <w:noProof/>
                <w:vertAlign w:val="superscript"/>
              </w:rPr>
              <w:t>44</w:t>
            </w:r>
          </w:p>
        </w:tc>
        <w:tc>
          <w:tcPr>
            <w:tcW w:w="4434" w:type="pct"/>
          </w:tcPr>
          <w:p w:rsidR="00CB6040" w:rsidRDefault="001168F7" w:rsidP="004E328D">
            <w:pPr>
              <w:pStyle w:val="Tablewriting"/>
              <w:keepNext/>
              <w:rPr>
                <w:rFonts w:eastAsia="MS Mincho"/>
              </w:rPr>
            </w:pPr>
            <w:r w:rsidRPr="001168F7">
              <w:rPr>
                <w:rFonts w:eastAsia="MS Mincho"/>
              </w:rPr>
              <w:t>Selby P, Ainslie M, Stepner N, Roberts J. Sustained‐release bupropion (Zybanr) is effective in the re‐treatment of relapsed adult smokers. American Journal of Respiratory and Critical Care Medicine. 2003;167(7):A47.</w:t>
            </w:r>
          </w:p>
        </w:tc>
      </w:tr>
    </w:tbl>
    <w:p w:rsidR="00CF0A36" w:rsidRDefault="00CF0A36" w:rsidP="00CF0A36">
      <w:pPr>
        <w:pStyle w:val="TableFooter"/>
        <w:keepNext/>
      </w:pPr>
      <w:r>
        <w:t xml:space="preserve">Notes: Gonzales et al. (2001) and Selby et al. (2003) were included in the Cochrane </w:t>
      </w:r>
      <w:r w:rsidR="0092387D" w:rsidRPr="0092387D">
        <w:t>R</w:t>
      </w:r>
      <w:r>
        <w:t>eview by Howes et al. (2020).</w:t>
      </w:r>
      <w:r w:rsidR="00714997">
        <w:t xml:space="preserve"> Howes et al. (2020) did not conduct a subgroup</w:t>
      </w:r>
      <w:r w:rsidR="004B6214">
        <w:t xml:space="preserve"> analysis</w:t>
      </w:r>
      <w:r w:rsidR="00B23BCA">
        <w:t xml:space="preserve"> on retreatment.</w:t>
      </w:r>
    </w:p>
    <w:p w:rsidR="00380A0B" w:rsidRDefault="00350FFA" w:rsidP="007E481B">
      <w:r w:rsidRPr="00350FFA">
        <w:t xml:space="preserve">A summary of the characteristics of the studies comparing </w:t>
      </w:r>
      <w:r>
        <w:t>bupropion</w:t>
      </w:r>
      <w:r w:rsidRPr="00350FFA">
        <w:t xml:space="preserve"> with placebo in non-abstainers as retreatment is presented in </w:t>
      </w:r>
      <w:r w:rsidR="003C4A1C">
        <w:t xml:space="preserve">Table </w:t>
      </w:r>
      <w:r w:rsidR="003C4A1C">
        <w:rPr>
          <w:noProof/>
        </w:rPr>
        <w:t>43</w:t>
      </w:r>
      <w:r w:rsidRPr="00350FFA">
        <w:t xml:space="preserve">. </w:t>
      </w:r>
    </w:p>
    <w:p w:rsidR="00380A0B" w:rsidRDefault="00380A0B" w:rsidP="007E481B">
      <w:pPr>
        <w:sectPr w:rsidR="00380A0B" w:rsidSect="006356D2">
          <w:pgSz w:w="11906" w:h="16838"/>
          <w:pgMar w:top="1440" w:right="1440" w:bottom="1440" w:left="1440" w:header="708" w:footer="708" w:gutter="0"/>
          <w:cols w:space="708"/>
          <w:titlePg/>
          <w:docGrid w:linePitch="360"/>
        </w:sectPr>
      </w:pPr>
    </w:p>
    <w:p w:rsidR="00386CC2" w:rsidRDefault="00386CC2" w:rsidP="00386CC2">
      <w:pPr>
        <w:pStyle w:val="Caption"/>
        <w:keepNext/>
      </w:pPr>
      <w:bookmarkStart w:id="118" w:name="_Ref54957147"/>
      <w:r>
        <w:lastRenderedPageBreak/>
        <w:t xml:space="preserve">Table </w:t>
      </w:r>
      <w:r w:rsidR="003C4A1C">
        <w:rPr>
          <w:noProof/>
        </w:rPr>
        <w:t>43</w:t>
      </w:r>
      <w:bookmarkEnd w:id="118"/>
      <w:r>
        <w:t xml:space="preserve">: </w:t>
      </w:r>
      <w:r w:rsidRPr="003F3F3A">
        <w:t xml:space="preserve">Characteristics of the studies comparing </w:t>
      </w:r>
      <w:r w:rsidR="00724DAD">
        <w:t>bupropion</w:t>
      </w:r>
      <w:r w:rsidRPr="003F3F3A">
        <w:t xml:space="preserve"> with placebo in non-abstainers as retreatment</w:t>
      </w:r>
    </w:p>
    <w:tbl>
      <w:tblPr>
        <w:tblStyle w:val="TableGrid"/>
        <w:tblW w:w="5000" w:type="pct"/>
        <w:tblLook w:val="04A0" w:firstRow="1" w:lastRow="0" w:firstColumn="1" w:lastColumn="0" w:noHBand="0" w:noVBand="1"/>
        <w:tblCaption w:val="Efficacy results of adalimumab trials (PASI 75 and DLQI)"/>
      </w:tblPr>
      <w:tblGrid>
        <w:gridCol w:w="1016"/>
        <w:gridCol w:w="1058"/>
        <w:gridCol w:w="1055"/>
        <w:gridCol w:w="5165"/>
        <w:gridCol w:w="2287"/>
        <w:gridCol w:w="3367"/>
      </w:tblGrid>
      <w:tr w:rsidR="00F64373" w:rsidRPr="00061F78" w:rsidTr="00EC1350">
        <w:trPr>
          <w:trHeight w:val="299"/>
          <w:tblHeader/>
        </w:trPr>
        <w:tc>
          <w:tcPr>
            <w:tcW w:w="364" w:type="pct"/>
            <w:shd w:val="clear" w:color="auto" w:fill="BFBFBF" w:themeFill="background1" w:themeFillShade="BF"/>
            <w:tcMar>
              <w:left w:w="28" w:type="dxa"/>
              <w:right w:w="28" w:type="dxa"/>
            </w:tcMar>
          </w:tcPr>
          <w:p w:rsidR="00380A0B" w:rsidRPr="00061F78" w:rsidRDefault="00126B7B" w:rsidP="00245D9D">
            <w:pPr>
              <w:pStyle w:val="Tableheading"/>
              <w:keepNext/>
              <w:rPr>
                <w:rFonts w:eastAsia="MS Mincho"/>
              </w:rPr>
            </w:pPr>
            <w:r>
              <w:rPr>
                <w:rFonts w:eastAsia="MS Mincho"/>
              </w:rPr>
              <w:t>Study</w:t>
            </w:r>
          </w:p>
        </w:tc>
        <w:tc>
          <w:tcPr>
            <w:tcW w:w="379" w:type="pct"/>
            <w:shd w:val="clear" w:color="auto" w:fill="BFBFBF" w:themeFill="background1" w:themeFillShade="BF"/>
          </w:tcPr>
          <w:p w:rsidR="00380A0B" w:rsidRDefault="00380A0B" w:rsidP="00245D9D">
            <w:pPr>
              <w:pStyle w:val="Tableheading"/>
              <w:keepNext/>
              <w:jc w:val="center"/>
              <w:rPr>
                <w:rFonts w:eastAsia="MS Mincho"/>
              </w:rPr>
            </w:pPr>
            <w:r>
              <w:rPr>
                <w:rFonts w:eastAsia="MS Mincho"/>
              </w:rPr>
              <w:t>Study type</w:t>
            </w:r>
          </w:p>
        </w:tc>
        <w:tc>
          <w:tcPr>
            <w:tcW w:w="378" w:type="pct"/>
            <w:shd w:val="clear" w:color="auto" w:fill="BFBFBF" w:themeFill="background1" w:themeFillShade="BF"/>
            <w:tcMar>
              <w:left w:w="28" w:type="dxa"/>
              <w:right w:w="28" w:type="dxa"/>
            </w:tcMar>
          </w:tcPr>
          <w:p w:rsidR="00380A0B" w:rsidRPr="00AE21E9" w:rsidRDefault="00380A0B" w:rsidP="00245D9D">
            <w:pPr>
              <w:pStyle w:val="Tableheading"/>
              <w:keepNext/>
              <w:jc w:val="center"/>
              <w:rPr>
                <w:rFonts w:eastAsia="MS Mincho"/>
                <w:vertAlign w:val="superscript"/>
              </w:rPr>
            </w:pPr>
            <w:r>
              <w:rPr>
                <w:rFonts w:eastAsia="MS Mincho"/>
              </w:rPr>
              <w:t>N</w:t>
            </w:r>
            <w:r>
              <w:rPr>
                <w:rFonts w:eastAsia="MS Mincho"/>
                <w:vertAlign w:val="superscript"/>
              </w:rPr>
              <w:t>1</w:t>
            </w:r>
          </w:p>
        </w:tc>
        <w:tc>
          <w:tcPr>
            <w:tcW w:w="1851" w:type="pct"/>
            <w:shd w:val="clear" w:color="auto" w:fill="BFBFBF" w:themeFill="background1" w:themeFillShade="BF"/>
            <w:tcMar>
              <w:left w:w="28" w:type="dxa"/>
              <w:right w:w="28" w:type="dxa"/>
            </w:tcMar>
          </w:tcPr>
          <w:p w:rsidR="00380A0B" w:rsidRPr="00061F78" w:rsidRDefault="00380A0B" w:rsidP="00245D9D">
            <w:pPr>
              <w:pStyle w:val="Tableheading"/>
              <w:keepNext/>
              <w:jc w:val="center"/>
              <w:rPr>
                <w:rFonts w:eastAsia="MS Mincho"/>
              </w:rPr>
            </w:pPr>
            <w:r w:rsidRPr="00061F78">
              <w:rPr>
                <w:rFonts w:eastAsia="MS Mincho"/>
              </w:rPr>
              <w:t>P</w:t>
            </w:r>
            <w:r>
              <w:rPr>
                <w:rFonts w:eastAsia="MS Mincho"/>
              </w:rPr>
              <w:t>opulation</w:t>
            </w:r>
          </w:p>
        </w:tc>
        <w:tc>
          <w:tcPr>
            <w:tcW w:w="820" w:type="pct"/>
            <w:shd w:val="clear" w:color="auto" w:fill="BFBFBF" w:themeFill="background1" w:themeFillShade="BF"/>
          </w:tcPr>
          <w:p w:rsidR="00380A0B" w:rsidRDefault="00380A0B" w:rsidP="00245D9D">
            <w:pPr>
              <w:pStyle w:val="Tableheading"/>
              <w:keepNext/>
              <w:jc w:val="center"/>
              <w:rPr>
                <w:rFonts w:eastAsia="MS Mincho"/>
              </w:rPr>
            </w:pPr>
            <w:r>
              <w:rPr>
                <w:rFonts w:eastAsia="MS Mincho"/>
              </w:rPr>
              <w:t>Intervention and comparator</w:t>
            </w:r>
          </w:p>
        </w:tc>
        <w:tc>
          <w:tcPr>
            <w:tcW w:w="1207" w:type="pct"/>
            <w:shd w:val="clear" w:color="auto" w:fill="BFBFBF" w:themeFill="background1" w:themeFillShade="BF"/>
            <w:tcMar>
              <w:left w:w="28" w:type="dxa"/>
              <w:right w:w="28" w:type="dxa"/>
            </w:tcMar>
          </w:tcPr>
          <w:p w:rsidR="00380A0B" w:rsidRPr="00061F78" w:rsidRDefault="00380A0B" w:rsidP="00245D9D">
            <w:pPr>
              <w:pStyle w:val="Tableheading"/>
              <w:keepNext/>
              <w:jc w:val="center"/>
              <w:rPr>
                <w:rFonts w:eastAsia="MS Mincho"/>
              </w:rPr>
            </w:pPr>
            <w:r>
              <w:rPr>
                <w:rFonts w:eastAsia="MS Mincho"/>
              </w:rPr>
              <w:t>Outcomes</w:t>
            </w:r>
          </w:p>
        </w:tc>
      </w:tr>
      <w:tr w:rsidR="00305930" w:rsidRPr="00061F78" w:rsidTr="00EC1350">
        <w:trPr>
          <w:trHeight w:val="149"/>
        </w:trPr>
        <w:tc>
          <w:tcPr>
            <w:tcW w:w="364" w:type="pct"/>
            <w:tcMar>
              <w:left w:w="28" w:type="dxa"/>
              <w:right w:w="28" w:type="dxa"/>
            </w:tcMar>
          </w:tcPr>
          <w:p w:rsidR="00812E4D" w:rsidRDefault="00812E4D" w:rsidP="00812E4D">
            <w:pPr>
              <w:pStyle w:val="Tablewriting"/>
              <w:keepNext/>
              <w:rPr>
                <w:rFonts w:eastAsia="MS Mincho"/>
              </w:rPr>
            </w:pPr>
            <w:r>
              <w:rPr>
                <w:rFonts w:eastAsia="MS Mincho"/>
              </w:rPr>
              <w:t>Gonzales</w:t>
            </w:r>
          </w:p>
          <w:p w:rsidR="00380A0B" w:rsidRPr="004F1864" w:rsidRDefault="00812E4D" w:rsidP="00812E4D">
            <w:pPr>
              <w:pStyle w:val="Tablewriting"/>
              <w:keepNext/>
              <w:rPr>
                <w:rFonts w:eastAsia="MS Mincho"/>
              </w:rPr>
            </w:pPr>
            <w:r>
              <w:rPr>
                <w:rFonts w:eastAsia="MS Mincho"/>
              </w:rPr>
              <w:t>(2001)</w:t>
            </w:r>
          </w:p>
        </w:tc>
        <w:tc>
          <w:tcPr>
            <w:tcW w:w="379" w:type="pct"/>
          </w:tcPr>
          <w:p w:rsidR="00380A0B" w:rsidRDefault="00812E4D" w:rsidP="00245D9D">
            <w:pPr>
              <w:pStyle w:val="Tablewriting"/>
              <w:keepNext/>
              <w:rPr>
                <w:rFonts w:eastAsia="MS Mincho"/>
              </w:rPr>
            </w:pPr>
            <w:r>
              <w:rPr>
                <w:rFonts w:eastAsia="MS Mincho"/>
              </w:rPr>
              <w:t>RCT</w:t>
            </w:r>
          </w:p>
          <w:p w:rsidR="00380A0B" w:rsidRDefault="00380A0B" w:rsidP="00245D9D">
            <w:pPr>
              <w:pStyle w:val="Tablewriting"/>
              <w:keepNext/>
              <w:rPr>
                <w:rFonts w:eastAsia="MS Mincho"/>
              </w:rPr>
            </w:pPr>
          </w:p>
        </w:tc>
        <w:tc>
          <w:tcPr>
            <w:tcW w:w="378" w:type="pct"/>
            <w:tcMar>
              <w:left w:w="28" w:type="dxa"/>
              <w:right w:w="28" w:type="dxa"/>
            </w:tcMar>
          </w:tcPr>
          <w:p w:rsidR="00380A0B" w:rsidRPr="003B53A1" w:rsidRDefault="00380A0B" w:rsidP="00245D9D">
            <w:pPr>
              <w:pStyle w:val="Tablewriting"/>
              <w:keepNext/>
              <w:rPr>
                <w:rFonts w:eastAsia="MS Mincho"/>
              </w:rPr>
            </w:pPr>
            <w:r w:rsidRPr="003B53A1">
              <w:rPr>
                <w:rFonts w:eastAsia="MS Mincho"/>
              </w:rPr>
              <w:t>N=</w:t>
            </w:r>
            <w:r w:rsidR="003B53A1" w:rsidRPr="003B53A1">
              <w:rPr>
                <w:rFonts w:eastAsia="MS Mincho"/>
              </w:rPr>
              <w:t>450</w:t>
            </w:r>
          </w:p>
          <w:p w:rsidR="00380A0B" w:rsidRPr="003B53A1" w:rsidRDefault="00380A0B" w:rsidP="00245D9D">
            <w:pPr>
              <w:pStyle w:val="Tablewriting"/>
              <w:keepNext/>
              <w:rPr>
                <w:rFonts w:eastAsia="MS Mincho"/>
              </w:rPr>
            </w:pPr>
            <w:r w:rsidRPr="003B53A1">
              <w:rPr>
                <w:rFonts w:eastAsia="MS Mincho"/>
              </w:rPr>
              <w:t>Bupropion (n=</w:t>
            </w:r>
            <w:r w:rsidR="00E4397A" w:rsidRPr="003B53A1">
              <w:rPr>
                <w:rFonts w:eastAsia="MS Mincho"/>
              </w:rPr>
              <w:t>226</w:t>
            </w:r>
            <w:r w:rsidRPr="003B53A1">
              <w:rPr>
                <w:rFonts w:eastAsia="MS Mincho"/>
              </w:rPr>
              <w:t>),</w:t>
            </w:r>
          </w:p>
          <w:p w:rsidR="00380A0B" w:rsidRPr="004B359D" w:rsidRDefault="00380A0B" w:rsidP="00245D9D">
            <w:pPr>
              <w:pStyle w:val="Tablewriting"/>
              <w:keepNext/>
              <w:rPr>
                <w:rFonts w:eastAsia="MS Mincho"/>
                <w:highlight w:val="yellow"/>
              </w:rPr>
            </w:pPr>
            <w:r w:rsidRPr="003B53A1">
              <w:rPr>
                <w:rFonts w:eastAsia="MS Mincho"/>
              </w:rPr>
              <w:t>Placebo (n=</w:t>
            </w:r>
            <w:r w:rsidR="00110F80" w:rsidRPr="003B53A1">
              <w:rPr>
                <w:rFonts w:eastAsia="MS Mincho"/>
              </w:rPr>
              <w:t>224</w:t>
            </w:r>
            <w:r w:rsidRPr="003B53A1">
              <w:rPr>
                <w:rFonts w:eastAsia="MS Mincho"/>
              </w:rPr>
              <w:t>)</w:t>
            </w:r>
          </w:p>
        </w:tc>
        <w:tc>
          <w:tcPr>
            <w:tcW w:w="1851" w:type="pct"/>
            <w:tcMar>
              <w:left w:w="28" w:type="dxa"/>
              <w:right w:w="28" w:type="dxa"/>
            </w:tcMar>
          </w:tcPr>
          <w:p w:rsidR="008C01AD" w:rsidRPr="003B53A1" w:rsidRDefault="003B3E2A" w:rsidP="008C01AD">
            <w:pPr>
              <w:pStyle w:val="Tablewriting"/>
              <w:keepNext/>
              <w:rPr>
                <w:rFonts w:eastAsia="MS Mincho"/>
              </w:rPr>
            </w:pPr>
            <w:r w:rsidRPr="003B53A1">
              <w:rPr>
                <w:rFonts w:eastAsia="MS Mincho"/>
                <w:u w:val="single"/>
              </w:rPr>
              <w:t>Inclusion</w:t>
            </w:r>
            <w:r w:rsidRPr="003B53A1">
              <w:rPr>
                <w:rFonts w:eastAsia="MS Mincho"/>
              </w:rPr>
              <w:t xml:space="preserve">: </w:t>
            </w:r>
            <w:r w:rsidR="008C01AD" w:rsidRPr="003B53A1">
              <w:rPr>
                <w:rFonts w:eastAsia="MS Mincho"/>
              </w:rPr>
              <w:t>≥18 years</w:t>
            </w:r>
            <w:r w:rsidR="00B83909" w:rsidRPr="003B53A1">
              <w:rPr>
                <w:rFonts w:eastAsia="MS Mincho"/>
              </w:rPr>
              <w:t xml:space="preserve"> </w:t>
            </w:r>
            <w:r w:rsidR="00DC2774">
              <w:rPr>
                <w:rFonts w:eastAsia="MS Mincho"/>
              </w:rPr>
              <w:t>old,</w:t>
            </w:r>
            <w:r w:rsidR="00B83909" w:rsidRPr="003B53A1">
              <w:rPr>
                <w:rFonts w:eastAsia="MS Mincho"/>
              </w:rPr>
              <w:t xml:space="preserve"> </w:t>
            </w:r>
            <w:r w:rsidR="00DC2774">
              <w:rPr>
                <w:rFonts w:eastAsia="MS Mincho" w:cstheme="minorHAnsi"/>
              </w:rPr>
              <w:t>≥</w:t>
            </w:r>
            <w:r w:rsidR="008C01AD" w:rsidRPr="003B53A1">
              <w:rPr>
                <w:rFonts w:eastAsia="MS Mincho"/>
              </w:rPr>
              <w:t>15</w:t>
            </w:r>
            <w:r w:rsidR="00B83909" w:rsidRPr="003B53A1">
              <w:rPr>
                <w:rFonts w:eastAsia="MS Mincho"/>
              </w:rPr>
              <w:t xml:space="preserve"> </w:t>
            </w:r>
            <w:r w:rsidR="008C01AD" w:rsidRPr="003B53A1">
              <w:rPr>
                <w:rFonts w:eastAsia="MS Mincho"/>
              </w:rPr>
              <w:t xml:space="preserve">cigarettes per day during the previous </w:t>
            </w:r>
            <w:r w:rsidR="00DC5DE5" w:rsidRPr="003B53A1">
              <w:rPr>
                <w:rFonts w:eastAsia="MS Mincho"/>
              </w:rPr>
              <w:t xml:space="preserve">month, </w:t>
            </w:r>
            <w:r w:rsidR="008C01AD" w:rsidRPr="003B53A1">
              <w:rPr>
                <w:rFonts w:eastAsia="MS Mincho"/>
              </w:rPr>
              <w:t xml:space="preserve">exhaled CO </w:t>
            </w:r>
            <w:r w:rsidR="00DC2774">
              <w:rPr>
                <w:rFonts w:eastAsia="MS Mincho"/>
              </w:rPr>
              <w:t>&gt;</w:t>
            </w:r>
            <w:r w:rsidR="008C01AD" w:rsidRPr="003B53A1">
              <w:rPr>
                <w:rFonts w:eastAsia="MS Mincho"/>
              </w:rPr>
              <w:t>10 ppm</w:t>
            </w:r>
            <w:r w:rsidR="006649A6">
              <w:rPr>
                <w:rFonts w:eastAsia="MS Mincho"/>
              </w:rPr>
              <w:t>,</w:t>
            </w:r>
            <w:r w:rsidR="008C01AD" w:rsidRPr="003B53A1">
              <w:rPr>
                <w:rFonts w:eastAsia="MS Mincho"/>
              </w:rPr>
              <w:t xml:space="preserve"> motivated to stop smoking, not had</w:t>
            </w:r>
            <w:r w:rsidR="00DC5DE5" w:rsidRPr="003B53A1">
              <w:rPr>
                <w:rFonts w:eastAsia="MS Mincho"/>
              </w:rPr>
              <w:t xml:space="preserve"> </w:t>
            </w:r>
            <w:r w:rsidR="008C01AD" w:rsidRPr="003B53A1">
              <w:rPr>
                <w:rFonts w:eastAsia="MS Mincho"/>
              </w:rPr>
              <w:t>more than 24 hours’ abstinence during the previous</w:t>
            </w:r>
            <w:r w:rsidR="00DC5DE5" w:rsidRPr="003B53A1">
              <w:rPr>
                <w:rFonts w:eastAsia="MS Mincho"/>
              </w:rPr>
              <w:t xml:space="preserve"> </w:t>
            </w:r>
            <w:r w:rsidR="008C01AD" w:rsidRPr="003B53A1">
              <w:rPr>
                <w:rFonts w:eastAsia="MS Mincho"/>
              </w:rPr>
              <w:t>month</w:t>
            </w:r>
            <w:r w:rsidR="00DC2774">
              <w:rPr>
                <w:rFonts w:eastAsia="MS Mincho"/>
              </w:rPr>
              <w:t>,</w:t>
            </w:r>
            <w:r w:rsidR="008C01AD" w:rsidRPr="003B53A1">
              <w:rPr>
                <w:rFonts w:eastAsia="MS Mincho"/>
              </w:rPr>
              <w:t xml:space="preserve"> used bupropion</w:t>
            </w:r>
            <w:r w:rsidR="00DC2774">
              <w:rPr>
                <w:rFonts w:eastAsia="MS Mincho"/>
              </w:rPr>
              <w:t xml:space="preserve"> </w:t>
            </w:r>
            <w:r w:rsidR="008C01AD" w:rsidRPr="003B53A1">
              <w:rPr>
                <w:rFonts w:eastAsia="MS Mincho"/>
              </w:rPr>
              <w:t>as an aid to smoking cessation for at least 2 weeks</w:t>
            </w:r>
            <w:r w:rsidR="0090488A">
              <w:rPr>
                <w:rFonts w:eastAsia="MS Mincho"/>
              </w:rPr>
              <w:t xml:space="preserve"> </w:t>
            </w:r>
            <w:r w:rsidR="008C01AD" w:rsidRPr="003B53A1">
              <w:rPr>
                <w:rFonts w:eastAsia="MS Mincho"/>
              </w:rPr>
              <w:t>without experiencing serious adverse events.</w:t>
            </w:r>
          </w:p>
          <w:p w:rsidR="005067FD" w:rsidRPr="003B53A1" w:rsidRDefault="003B3E2A" w:rsidP="005067FD">
            <w:pPr>
              <w:pStyle w:val="Tablewriting"/>
              <w:keepNext/>
              <w:rPr>
                <w:rFonts w:eastAsia="MS Mincho"/>
                <w:highlight w:val="yellow"/>
              </w:rPr>
            </w:pPr>
            <w:r w:rsidRPr="003B53A1">
              <w:rPr>
                <w:rFonts w:eastAsia="MS Mincho"/>
                <w:u w:val="single"/>
              </w:rPr>
              <w:t>Exclusion</w:t>
            </w:r>
            <w:r w:rsidRPr="003B53A1">
              <w:rPr>
                <w:rFonts w:eastAsia="MS Mincho"/>
              </w:rPr>
              <w:t>:</w:t>
            </w:r>
            <w:r w:rsidR="00715B7B">
              <w:rPr>
                <w:rFonts w:eastAsia="MS Mincho"/>
              </w:rPr>
              <w:t xml:space="preserve"> any</w:t>
            </w:r>
            <w:r w:rsidR="004E30F8" w:rsidRPr="003B53A1">
              <w:rPr>
                <w:rFonts w:eastAsia="MS Mincho"/>
              </w:rPr>
              <w:t xml:space="preserve"> </w:t>
            </w:r>
            <w:r w:rsidR="005067FD" w:rsidRPr="003B53A1">
              <w:rPr>
                <w:rFonts w:eastAsia="MS Mincho"/>
              </w:rPr>
              <w:t>predispos</w:t>
            </w:r>
            <w:r w:rsidR="004D7137">
              <w:rPr>
                <w:rFonts w:eastAsia="MS Mincho"/>
              </w:rPr>
              <w:t>ition</w:t>
            </w:r>
            <w:r w:rsidR="005067FD" w:rsidRPr="003B53A1">
              <w:rPr>
                <w:rFonts w:eastAsia="MS Mincho"/>
              </w:rPr>
              <w:t xml:space="preserve"> to seizure, history of bulimia or anorexia nervosa, history of severe renal, hepatic, neurologic</w:t>
            </w:r>
            <w:r w:rsidR="005067FD" w:rsidRPr="005067FD">
              <w:rPr>
                <w:rFonts w:eastAsia="MS Mincho"/>
              </w:rPr>
              <w:t>, or</w:t>
            </w:r>
            <w:r w:rsidR="005067FD">
              <w:rPr>
                <w:rFonts w:eastAsia="MS Mincho"/>
              </w:rPr>
              <w:t xml:space="preserve"> </w:t>
            </w:r>
            <w:r w:rsidR="005067FD" w:rsidRPr="005067FD">
              <w:rPr>
                <w:rFonts w:eastAsia="MS Mincho"/>
              </w:rPr>
              <w:t>chronic pulmonary disease, current diagnosis of</w:t>
            </w:r>
            <w:r w:rsidR="00827CF0">
              <w:rPr>
                <w:rFonts w:eastAsia="MS Mincho"/>
              </w:rPr>
              <w:t xml:space="preserve"> </w:t>
            </w:r>
            <w:r w:rsidR="005067FD" w:rsidRPr="005067FD">
              <w:rPr>
                <w:rFonts w:eastAsia="MS Mincho"/>
              </w:rPr>
              <w:t>major depression, or were currently using another treatment</w:t>
            </w:r>
            <w:r w:rsidR="00827CF0">
              <w:rPr>
                <w:rFonts w:eastAsia="MS Mincho"/>
              </w:rPr>
              <w:t xml:space="preserve"> </w:t>
            </w:r>
            <w:r w:rsidR="005067FD" w:rsidRPr="005067FD">
              <w:rPr>
                <w:rFonts w:eastAsia="MS Mincho"/>
              </w:rPr>
              <w:t>for smoking cessation.</w:t>
            </w:r>
          </w:p>
          <w:p w:rsidR="00027A90" w:rsidRPr="003B0E29" w:rsidRDefault="00027A90" w:rsidP="003B3E2A">
            <w:pPr>
              <w:pStyle w:val="Tablewriting"/>
              <w:keepNext/>
              <w:rPr>
                <w:rFonts w:eastAsia="MS Mincho"/>
              </w:rPr>
            </w:pPr>
          </w:p>
          <w:p w:rsidR="00027A90" w:rsidRPr="004B359D" w:rsidRDefault="00027A90" w:rsidP="003B3E2A">
            <w:pPr>
              <w:pStyle w:val="Tablewriting"/>
              <w:keepNext/>
              <w:rPr>
                <w:rFonts w:eastAsia="MS Mincho"/>
                <w:highlight w:val="yellow"/>
              </w:rPr>
            </w:pPr>
            <w:r w:rsidRPr="003B0E29">
              <w:rPr>
                <w:rFonts w:eastAsia="MS Mincho"/>
              </w:rPr>
              <w:t xml:space="preserve">The </w:t>
            </w:r>
            <w:r w:rsidR="009F3027" w:rsidRPr="003B0E29">
              <w:rPr>
                <w:rFonts w:eastAsia="MS Mincho"/>
              </w:rPr>
              <w:t>duration</w:t>
            </w:r>
            <w:r w:rsidRPr="003B0E29">
              <w:rPr>
                <w:rFonts w:eastAsia="MS Mincho"/>
              </w:rPr>
              <w:t xml:space="preserve"> between </w:t>
            </w:r>
            <w:r w:rsidR="001252BC" w:rsidRPr="003B0E29">
              <w:rPr>
                <w:rFonts w:eastAsia="MS Mincho"/>
              </w:rPr>
              <w:t xml:space="preserve">previous </w:t>
            </w:r>
            <w:r w:rsidR="009508DB" w:rsidRPr="003B0E29">
              <w:rPr>
                <w:rFonts w:eastAsia="MS Mincho"/>
              </w:rPr>
              <w:t>bupropion treatment</w:t>
            </w:r>
            <w:r w:rsidRPr="003B0E29">
              <w:rPr>
                <w:rFonts w:eastAsia="MS Mincho"/>
              </w:rPr>
              <w:t xml:space="preserve"> and retreatment was </w:t>
            </w:r>
            <w:r w:rsidR="009508DB" w:rsidRPr="003B0E29">
              <w:rPr>
                <w:rFonts w:eastAsia="MS Mincho"/>
              </w:rPr>
              <w:t>not reported</w:t>
            </w:r>
            <w:r w:rsidRPr="003B0E29">
              <w:rPr>
                <w:rFonts w:eastAsia="MS Mincho"/>
              </w:rPr>
              <w:t>.</w:t>
            </w:r>
            <w:r w:rsidR="00FC7A1A">
              <w:rPr>
                <w:rFonts w:eastAsia="MS Mincho"/>
              </w:rPr>
              <w:t xml:space="preserve"> </w:t>
            </w:r>
            <w:r w:rsidR="00727ED0">
              <w:rPr>
                <w:rFonts w:eastAsia="MS Mincho"/>
              </w:rPr>
              <w:t xml:space="preserve">Mean duration of previous bupropion treatment </w:t>
            </w:r>
            <w:r w:rsidR="00057D5F">
              <w:rPr>
                <w:rFonts w:eastAsia="MS Mincho"/>
              </w:rPr>
              <w:t xml:space="preserve">was </w:t>
            </w:r>
            <w:r w:rsidR="0047323B">
              <w:rPr>
                <w:rFonts w:eastAsia="MS Mincho"/>
              </w:rPr>
              <w:t>6.5 weeks</w:t>
            </w:r>
            <w:r w:rsidR="007B36B7">
              <w:rPr>
                <w:rFonts w:eastAsia="MS Mincho"/>
              </w:rPr>
              <w:t xml:space="preserve"> (bupropion arm) and </w:t>
            </w:r>
            <w:r w:rsidR="00C12A33">
              <w:rPr>
                <w:rFonts w:eastAsia="MS Mincho"/>
              </w:rPr>
              <w:t>6.3 weeks (placebo arm).</w:t>
            </w:r>
          </w:p>
        </w:tc>
        <w:tc>
          <w:tcPr>
            <w:tcW w:w="820" w:type="pct"/>
            <w:shd w:val="clear" w:color="auto" w:fill="auto"/>
          </w:tcPr>
          <w:p w:rsidR="00380A0B" w:rsidRPr="00907FD8" w:rsidRDefault="00380A0B" w:rsidP="00245D9D">
            <w:pPr>
              <w:pStyle w:val="Tablewriting"/>
              <w:keepNext/>
              <w:rPr>
                <w:rFonts w:eastAsia="MS Mincho"/>
              </w:rPr>
            </w:pPr>
            <w:r w:rsidRPr="00907FD8">
              <w:rPr>
                <w:rFonts w:eastAsia="MS Mincho"/>
              </w:rPr>
              <w:t>Bupropion: 150</w:t>
            </w:r>
            <w:r w:rsidR="00565611">
              <w:rPr>
                <w:rFonts w:eastAsia="MS Mincho"/>
              </w:rPr>
              <w:t xml:space="preserve"> </w:t>
            </w:r>
            <w:r w:rsidRPr="00907FD8">
              <w:rPr>
                <w:rFonts w:eastAsia="MS Mincho"/>
              </w:rPr>
              <w:t>mg twice daily including titration</w:t>
            </w:r>
            <w:r w:rsidR="003B3E2A" w:rsidRPr="00907FD8">
              <w:rPr>
                <w:rFonts w:eastAsia="MS Mincho"/>
              </w:rPr>
              <w:t xml:space="preserve"> over </w:t>
            </w:r>
            <w:r w:rsidR="00D07817">
              <w:rPr>
                <w:rFonts w:eastAsia="MS Mincho"/>
              </w:rPr>
              <w:t>12</w:t>
            </w:r>
            <w:r w:rsidR="003B3E2A" w:rsidRPr="00907FD8">
              <w:rPr>
                <w:rFonts w:eastAsia="MS Mincho"/>
              </w:rPr>
              <w:t xml:space="preserve"> weeks</w:t>
            </w:r>
            <w:r w:rsidRPr="00907FD8">
              <w:rPr>
                <w:rFonts w:eastAsia="MS Mincho"/>
              </w:rPr>
              <w:t xml:space="preserve"> (i.e. 150</w:t>
            </w:r>
            <w:r w:rsidR="00565611">
              <w:rPr>
                <w:rFonts w:eastAsia="MS Mincho"/>
              </w:rPr>
              <w:t xml:space="preserve"> </w:t>
            </w:r>
            <w:r w:rsidRPr="00907FD8">
              <w:rPr>
                <w:rFonts w:eastAsia="MS Mincho"/>
              </w:rPr>
              <w:t>mg once daily for 3 days, then 150</w:t>
            </w:r>
            <w:r w:rsidR="00565611">
              <w:rPr>
                <w:rFonts w:eastAsia="MS Mincho"/>
              </w:rPr>
              <w:t xml:space="preserve"> </w:t>
            </w:r>
            <w:r w:rsidRPr="00907FD8">
              <w:rPr>
                <w:rFonts w:eastAsia="MS Mincho"/>
              </w:rPr>
              <w:t>mg twice daily)</w:t>
            </w:r>
            <w:r w:rsidR="00155324">
              <w:rPr>
                <w:rFonts w:eastAsia="MS Mincho"/>
              </w:rPr>
              <w:t>;</w:t>
            </w:r>
          </w:p>
          <w:p w:rsidR="00380A0B" w:rsidRDefault="00380A0B" w:rsidP="00245D9D">
            <w:pPr>
              <w:pStyle w:val="Tablewriting"/>
              <w:keepNext/>
              <w:rPr>
                <w:rFonts w:eastAsia="MS Mincho"/>
              </w:rPr>
            </w:pPr>
            <w:r w:rsidRPr="00907FD8">
              <w:rPr>
                <w:rFonts w:eastAsia="MS Mincho"/>
              </w:rPr>
              <w:t>Placebo: placebo tablets, same regimen</w:t>
            </w:r>
            <w:r w:rsidR="00AB5FA3">
              <w:rPr>
                <w:rFonts w:eastAsia="MS Mincho"/>
              </w:rPr>
              <w:t>.</w:t>
            </w:r>
          </w:p>
          <w:p w:rsidR="00E81F2B" w:rsidRDefault="00E81F2B" w:rsidP="00245D9D">
            <w:pPr>
              <w:pStyle w:val="Tablewriting"/>
              <w:keepNext/>
              <w:rPr>
                <w:rFonts w:eastAsia="MS Mincho"/>
                <w:highlight w:val="yellow"/>
              </w:rPr>
            </w:pPr>
          </w:p>
          <w:p w:rsidR="00E81F2B" w:rsidRPr="004B359D" w:rsidRDefault="00E81F2B" w:rsidP="00245D9D">
            <w:pPr>
              <w:pStyle w:val="Tablewriting"/>
              <w:keepNext/>
              <w:rPr>
                <w:rFonts w:eastAsia="MS Mincho"/>
                <w:highlight w:val="yellow"/>
              </w:rPr>
            </w:pPr>
            <w:r w:rsidRPr="00E81F2B">
              <w:rPr>
                <w:rFonts w:eastAsia="MS Mincho"/>
              </w:rPr>
              <w:t>Behavioural support provided in both arms.</w:t>
            </w:r>
          </w:p>
        </w:tc>
        <w:tc>
          <w:tcPr>
            <w:tcW w:w="1207" w:type="pct"/>
            <w:tcMar>
              <w:left w:w="28" w:type="dxa"/>
              <w:right w:w="28" w:type="dxa"/>
            </w:tcMar>
          </w:tcPr>
          <w:p w:rsidR="00A15FCF" w:rsidRPr="003E0470" w:rsidRDefault="003B3E2A" w:rsidP="00A15FCF">
            <w:pPr>
              <w:pStyle w:val="Tablewriting"/>
              <w:keepNext/>
              <w:rPr>
                <w:rFonts w:eastAsia="MS Mincho"/>
              </w:rPr>
            </w:pPr>
            <w:r w:rsidRPr="003E0470">
              <w:rPr>
                <w:rFonts w:eastAsia="MS Mincho"/>
                <w:u w:val="single"/>
              </w:rPr>
              <w:t>Primary</w:t>
            </w:r>
            <w:r w:rsidRPr="003E0470">
              <w:rPr>
                <w:rFonts w:eastAsia="MS Mincho"/>
              </w:rPr>
              <w:t xml:space="preserve">: </w:t>
            </w:r>
            <w:r w:rsidR="00047182" w:rsidRPr="003E0470">
              <w:rPr>
                <w:rFonts w:eastAsia="MS Mincho"/>
              </w:rPr>
              <w:t>C</w:t>
            </w:r>
            <w:r w:rsidR="00020630">
              <w:rPr>
                <w:rFonts w:eastAsia="MS Mincho"/>
              </w:rPr>
              <w:t xml:space="preserve">AR </w:t>
            </w:r>
            <w:r w:rsidR="008871B7">
              <w:rPr>
                <w:rFonts w:eastAsia="MS Mincho"/>
              </w:rPr>
              <w:t xml:space="preserve">at </w:t>
            </w:r>
            <w:r w:rsidR="00020630">
              <w:rPr>
                <w:rFonts w:eastAsia="MS Mincho"/>
              </w:rPr>
              <w:t>W</w:t>
            </w:r>
            <w:r w:rsidR="00CD334E" w:rsidRPr="003E0470">
              <w:rPr>
                <w:rFonts w:eastAsia="MS Mincho"/>
              </w:rPr>
              <w:t>eek 4</w:t>
            </w:r>
            <w:r w:rsidR="00020630">
              <w:rPr>
                <w:rFonts w:eastAsia="MS Mincho"/>
              </w:rPr>
              <w:t>-7</w:t>
            </w:r>
            <w:r w:rsidR="00A15FCF" w:rsidRPr="003E0470">
              <w:rPr>
                <w:rFonts w:eastAsia="MS Mincho"/>
              </w:rPr>
              <w:t xml:space="preserve">. </w:t>
            </w:r>
            <w:r w:rsidR="00F662C0" w:rsidRPr="003E0470">
              <w:rPr>
                <w:rFonts w:eastAsia="MS Mincho"/>
              </w:rPr>
              <w:t xml:space="preserve">Validated </w:t>
            </w:r>
            <w:r w:rsidR="00705BC9" w:rsidRPr="003E0470">
              <w:rPr>
                <w:rFonts w:eastAsia="MS Mincho"/>
              </w:rPr>
              <w:t>by expired CO</w:t>
            </w:r>
            <w:r w:rsidR="00F662C0" w:rsidRPr="003E0470">
              <w:rPr>
                <w:rFonts w:eastAsia="MS Mincho"/>
              </w:rPr>
              <w:t xml:space="preserve"> </w:t>
            </w:r>
            <w:r w:rsidR="00705BC9" w:rsidRPr="003E0470">
              <w:rPr>
                <w:rFonts w:eastAsia="MS Mincho"/>
              </w:rPr>
              <w:t>≤10 ppm.</w:t>
            </w:r>
          </w:p>
          <w:p w:rsidR="00705BC9" w:rsidRPr="00BA1D94" w:rsidRDefault="003B3E2A" w:rsidP="00705BC9">
            <w:pPr>
              <w:pStyle w:val="Tablewriting"/>
              <w:keepNext/>
              <w:rPr>
                <w:rFonts w:eastAsia="MS Mincho"/>
              </w:rPr>
            </w:pPr>
            <w:r w:rsidRPr="003E0470">
              <w:rPr>
                <w:rFonts w:eastAsia="MS Mincho"/>
                <w:u w:val="single"/>
              </w:rPr>
              <w:t>Secondary</w:t>
            </w:r>
            <w:r w:rsidR="003E0470" w:rsidRPr="003E0470">
              <w:rPr>
                <w:rFonts w:eastAsia="MS Mincho"/>
                <w:u w:val="single"/>
              </w:rPr>
              <w:t xml:space="preserve">: </w:t>
            </w:r>
            <w:r w:rsidR="00C91F5E" w:rsidRPr="003E0470">
              <w:rPr>
                <w:rFonts w:eastAsia="MS Mincho"/>
              </w:rPr>
              <w:t>C</w:t>
            </w:r>
            <w:r w:rsidR="00020630">
              <w:rPr>
                <w:rFonts w:eastAsia="MS Mincho"/>
              </w:rPr>
              <w:t>AR</w:t>
            </w:r>
            <w:r w:rsidR="008871B7">
              <w:rPr>
                <w:rFonts w:eastAsia="MS Mincho"/>
              </w:rPr>
              <w:t xml:space="preserve"> at</w:t>
            </w:r>
            <w:r w:rsidR="00705BC9" w:rsidRPr="003E0470">
              <w:rPr>
                <w:rFonts w:eastAsia="MS Mincho"/>
              </w:rPr>
              <w:t xml:space="preserve"> </w:t>
            </w:r>
            <w:r w:rsidR="00020630">
              <w:rPr>
                <w:rFonts w:eastAsia="MS Mincho"/>
              </w:rPr>
              <w:t>W</w:t>
            </w:r>
            <w:r w:rsidR="00705BC9" w:rsidRPr="003E0470">
              <w:rPr>
                <w:rFonts w:eastAsia="MS Mincho"/>
              </w:rPr>
              <w:t>eek 9</w:t>
            </w:r>
            <w:r w:rsidR="001C3604" w:rsidRPr="003E0470">
              <w:rPr>
                <w:rFonts w:eastAsia="MS Mincho"/>
              </w:rPr>
              <w:t>-</w:t>
            </w:r>
            <w:r w:rsidR="00705BC9" w:rsidRPr="003E0470">
              <w:rPr>
                <w:rFonts w:eastAsia="MS Mincho"/>
              </w:rPr>
              <w:t xml:space="preserve">12 and </w:t>
            </w:r>
            <w:r w:rsidR="00BF3924">
              <w:rPr>
                <w:rFonts w:eastAsia="MS Mincho"/>
              </w:rPr>
              <w:t>W</w:t>
            </w:r>
            <w:r w:rsidR="00705BC9" w:rsidRPr="003E0470">
              <w:rPr>
                <w:rFonts w:eastAsia="MS Mincho"/>
              </w:rPr>
              <w:t>eek 4</w:t>
            </w:r>
            <w:r w:rsidR="001C3604" w:rsidRPr="003E0470">
              <w:rPr>
                <w:rFonts w:eastAsia="MS Mincho"/>
              </w:rPr>
              <w:t>-</w:t>
            </w:r>
            <w:r w:rsidR="00705BC9" w:rsidRPr="003E0470">
              <w:rPr>
                <w:rFonts w:eastAsia="MS Mincho"/>
              </w:rPr>
              <w:t xml:space="preserve">26. </w:t>
            </w:r>
            <w:r w:rsidR="0034211B">
              <w:rPr>
                <w:rFonts w:eastAsia="MS Mincho"/>
              </w:rPr>
              <w:t>7-day PPA</w:t>
            </w:r>
            <w:r w:rsidR="00FF527B">
              <w:rPr>
                <w:rFonts w:eastAsia="MS Mincho"/>
              </w:rPr>
              <w:t xml:space="preserve"> a</w:t>
            </w:r>
            <w:r w:rsidR="00705BC9" w:rsidRPr="00705BC9">
              <w:rPr>
                <w:rFonts w:eastAsia="MS Mincho"/>
              </w:rPr>
              <w:t>t each clinic visit</w:t>
            </w:r>
            <w:r w:rsidR="001C3604">
              <w:rPr>
                <w:rFonts w:eastAsia="MS Mincho"/>
              </w:rPr>
              <w:t xml:space="preserve"> </w:t>
            </w:r>
            <w:r w:rsidR="00705BC9" w:rsidRPr="00705BC9">
              <w:rPr>
                <w:rFonts w:eastAsia="MS Mincho"/>
              </w:rPr>
              <w:t>throughout the treatment phase and at the follow-up</w:t>
            </w:r>
            <w:r w:rsidR="00E06302">
              <w:rPr>
                <w:rFonts w:eastAsia="MS Mincho"/>
              </w:rPr>
              <w:t xml:space="preserve"> </w:t>
            </w:r>
            <w:r w:rsidR="00705BC9" w:rsidRPr="00705BC9">
              <w:rPr>
                <w:rFonts w:eastAsia="MS Mincho"/>
              </w:rPr>
              <w:t>visit at month 6.</w:t>
            </w:r>
            <w:r w:rsidR="00EC1350">
              <w:rPr>
                <w:rFonts w:eastAsia="MS Mincho"/>
              </w:rPr>
              <w:t xml:space="preserve"> </w:t>
            </w:r>
            <w:r w:rsidR="00705BC9" w:rsidRPr="00705BC9">
              <w:rPr>
                <w:rFonts w:eastAsia="MS Mincho"/>
              </w:rPr>
              <w:t>C</w:t>
            </w:r>
            <w:r w:rsidR="00EC1350">
              <w:rPr>
                <w:rFonts w:eastAsia="MS Mincho"/>
              </w:rPr>
              <w:t>AR</w:t>
            </w:r>
            <w:r w:rsidR="00705BC9" w:rsidRPr="00705BC9">
              <w:rPr>
                <w:rFonts w:eastAsia="MS Mincho"/>
              </w:rPr>
              <w:t xml:space="preserve"> from day 22 through each</w:t>
            </w:r>
            <w:r w:rsidR="00BA1D94">
              <w:rPr>
                <w:rFonts w:eastAsia="MS Mincho"/>
              </w:rPr>
              <w:t xml:space="preserve"> </w:t>
            </w:r>
            <w:r w:rsidR="00705BC9" w:rsidRPr="00705BC9">
              <w:rPr>
                <w:rFonts w:eastAsia="MS Mincho"/>
              </w:rPr>
              <w:t>clinic visit during</w:t>
            </w:r>
            <w:r w:rsidR="00BA1D94">
              <w:rPr>
                <w:rFonts w:eastAsia="MS Mincho"/>
              </w:rPr>
              <w:t xml:space="preserve"> </w:t>
            </w:r>
            <w:r w:rsidR="00705BC9" w:rsidRPr="00705BC9">
              <w:rPr>
                <w:rFonts w:eastAsia="MS Mincho"/>
              </w:rPr>
              <w:t>the treatment phase.</w:t>
            </w:r>
            <w:r w:rsidR="00391926">
              <w:rPr>
                <w:rFonts w:eastAsia="MS Mincho"/>
              </w:rPr>
              <w:t xml:space="preserve"> Validated by CO </w:t>
            </w:r>
            <w:r w:rsidR="00391926">
              <w:rPr>
                <w:rFonts w:eastAsia="MS Mincho" w:cstheme="minorHAnsi"/>
              </w:rPr>
              <w:t>≤</w:t>
            </w:r>
            <w:r w:rsidR="00391926">
              <w:rPr>
                <w:rFonts w:eastAsia="MS Mincho"/>
              </w:rPr>
              <w:t>10</w:t>
            </w:r>
            <w:r w:rsidR="00565611">
              <w:rPr>
                <w:rFonts w:eastAsia="MS Mincho"/>
              </w:rPr>
              <w:t xml:space="preserve"> </w:t>
            </w:r>
            <w:r w:rsidR="00391926">
              <w:rPr>
                <w:rFonts w:eastAsia="MS Mincho"/>
              </w:rPr>
              <w:t>ppm.</w:t>
            </w:r>
          </w:p>
        </w:tc>
      </w:tr>
      <w:tr w:rsidR="00305930" w:rsidRPr="00061F78" w:rsidTr="00EC1350">
        <w:trPr>
          <w:trHeight w:val="149"/>
        </w:trPr>
        <w:tc>
          <w:tcPr>
            <w:tcW w:w="364" w:type="pct"/>
            <w:tcMar>
              <w:left w:w="28" w:type="dxa"/>
              <w:right w:w="28" w:type="dxa"/>
            </w:tcMar>
          </w:tcPr>
          <w:p w:rsidR="00812E4D" w:rsidRDefault="00812E4D" w:rsidP="00812E4D">
            <w:pPr>
              <w:pStyle w:val="Tablewriting"/>
              <w:keepNext/>
              <w:rPr>
                <w:rFonts w:eastAsia="MS Mincho"/>
              </w:rPr>
            </w:pPr>
            <w:r>
              <w:rPr>
                <w:rFonts w:eastAsia="MS Mincho"/>
              </w:rPr>
              <w:t>Selby</w:t>
            </w:r>
          </w:p>
          <w:p w:rsidR="00812E4D" w:rsidRDefault="00812E4D" w:rsidP="00812E4D">
            <w:pPr>
              <w:pStyle w:val="Tablewriting"/>
              <w:keepNext/>
              <w:rPr>
                <w:rFonts w:eastAsia="MS Mincho"/>
              </w:rPr>
            </w:pPr>
            <w:r>
              <w:rPr>
                <w:rFonts w:eastAsia="MS Mincho"/>
              </w:rPr>
              <w:t>(2003)</w:t>
            </w:r>
          </w:p>
        </w:tc>
        <w:tc>
          <w:tcPr>
            <w:tcW w:w="379" w:type="pct"/>
          </w:tcPr>
          <w:p w:rsidR="00812E4D" w:rsidRDefault="00812E4D" w:rsidP="00812E4D">
            <w:pPr>
              <w:pStyle w:val="Tablewriting"/>
              <w:keepNext/>
              <w:rPr>
                <w:rFonts w:eastAsia="MS Mincho"/>
              </w:rPr>
            </w:pPr>
            <w:r>
              <w:rPr>
                <w:rFonts w:eastAsia="MS Mincho"/>
              </w:rPr>
              <w:t>RCT</w:t>
            </w:r>
          </w:p>
        </w:tc>
        <w:tc>
          <w:tcPr>
            <w:tcW w:w="378" w:type="pct"/>
            <w:tcMar>
              <w:left w:w="28" w:type="dxa"/>
              <w:right w:w="28" w:type="dxa"/>
            </w:tcMar>
          </w:tcPr>
          <w:p w:rsidR="00812E4D" w:rsidRPr="00AB3DCB" w:rsidRDefault="00812E4D" w:rsidP="00812E4D">
            <w:pPr>
              <w:pStyle w:val="Tablewriting"/>
              <w:keepNext/>
              <w:rPr>
                <w:rFonts w:eastAsia="MS Mincho"/>
              </w:rPr>
            </w:pPr>
            <w:r w:rsidRPr="00AB3DCB">
              <w:rPr>
                <w:rFonts w:eastAsia="MS Mincho"/>
              </w:rPr>
              <w:t>N=</w:t>
            </w:r>
            <w:r w:rsidR="00AB3DCB" w:rsidRPr="00AB3DCB">
              <w:rPr>
                <w:rFonts w:eastAsia="MS Mincho"/>
              </w:rPr>
              <w:t>284</w:t>
            </w:r>
          </w:p>
          <w:p w:rsidR="00812E4D" w:rsidRPr="00AB3DCB" w:rsidRDefault="00812E4D" w:rsidP="00812E4D">
            <w:pPr>
              <w:pStyle w:val="Tablewriting"/>
              <w:keepNext/>
              <w:rPr>
                <w:rFonts w:eastAsia="MS Mincho"/>
              </w:rPr>
            </w:pPr>
            <w:r w:rsidRPr="00AB3DCB">
              <w:rPr>
                <w:rFonts w:eastAsia="MS Mincho"/>
              </w:rPr>
              <w:t>Bupropion (n=</w:t>
            </w:r>
            <w:r w:rsidR="00A42D7F" w:rsidRPr="00AB3DCB">
              <w:rPr>
                <w:rFonts w:eastAsia="MS Mincho"/>
              </w:rPr>
              <w:t>141</w:t>
            </w:r>
            <w:r w:rsidRPr="00AB3DCB">
              <w:rPr>
                <w:rFonts w:eastAsia="MS Mincho"/>
              </w:rPr>
              <w:t>),</w:t>
            </w:r>
          </w:p>
          <w:p w:rsidR="00812E4D" w:rsidRPr="004B359D" w:rsidRDefault="00812E4D" w:rsidP="00812E4D">
            <w:pPr>
              <w:pStyle w:val="Tablewriting"/>
              <w:keepNext/>
              <w:rPr>
                <w:rFonts w:eastAsia="MS Mincho"/>
                <w:highlight w:val="yellow"/>
              </w:rPr>
            </w:pPr>
            <w:r w:rsidRPr="00AB3DCB">
              <w:rPr>
                <w:rFonts w:eastAsia="MS Mincho"/>
              </w:rPr>
              <w:t>Placebo (n=</w:t>
            </w:r>
            <w:r w:rsidR="00AB3DCB" w:rsidRPr="00AB3DCB">
              <w:rPr>
                <w:rFonts w:eastAsia="MS Mincho"/>
              </w:rPr>
              <w:t>143</w:t>
            </w:r>
            <w:r w:rsidRPr="00AB3DCB">
              <w:rPr>
                <w:rFonts w:eastAsia="MS Mincho"/>
              </w:rPr>
              <w:t>)</w:t>
            </w:r>
          </w:p>
        </w:tc>
        <w:tc>
          <w:tcPr>
            <w:tcW w:w="1851" w:type="pct"/>
            <w:tcMar>
              <w:left w:w="28" w:type="dxa"/>
              <w:right w:w="28" w:type="dxa"/>
            </w:tcMar>
          </w:tcPr>
          <w:p w:rsidR="001221BB" w:rsidRPr="001937EF" w:rsidRDefault="003B3E2A" w:rsidP="003B3E2A">
            <w:pPr>
              <w:pStyle w:val="Tablewriting"/>
              <w:keepNext/>
              <w:rPr>
                <w:rFonts w:eastAsia="MS Mincho"/>
              </w:rPr>
            </w:pPr>
            <w:r w:rsidRPr="001937EF">
              <w:rPr>
                <w:rFonts w:eastAsia="MS Mincho"/>
                <w:u w:val="single"/>
              </w:rPr>
              <w:t>Inclusion</w:t>
            </w:r>
            <w:r w:rsidRPr="001937EF">
              <w:rPr>
                <w:rFonts w:eastAsia="MS Mincho"/>
              </w:rPr>
              <w:t xml:space="preserve">: </w:t>
            </w:r>
            <w:r w:rsidR="0039699B" w:rsidRPr="003B53A1">
              <w:rPr>
                <w:rFonts w:eastAsia="MS Mincho"/>
              </w:rPr>
              <w:t>≥</w:t>
            </w:r>
            <w:r w:rsidR="001221BB">
              <w:rPr>
                <w:rFonts w:eastAsia="MS Mincho"/>
              </w:rPr>
              <w:t xml:space="preserve">18 years </w:t>
            </w:r>
            <w:r w:rsidR="0039699B">
              <w:rPr>
                <w:rFonts w:eastAsia="MS Mincho"/>
              </w:rPr>
              <w:t>old</w:t>
            </w:r>
            <w:r w:rsidR="001221BB">
              <w:rPr>
                <w:rFonts w:eastAsia="MS Mincho"/>
              </w:rPr>
              <w:t xml:space="preserve">, </w:t>
            </w:r>
            <w:r w:rsidR="0039699B">
              <w:rPr>
                <w:rFonts w:eastAsia="MS Mincho" w:cstheme="minorHAnsi"/>
              </w:rPr>
              <w:t>≥</w:t>
            </w:r>
            <w:r w:rsidR="001221BB">
              <w:rPr>
                <w:rFonts w:eastAsia="MS Mincho"/>
              </w:rPr>
              <w:t>15 cigarettes</w:t>
            </w:r>
            <w:r w:rsidR="0039699B">
              <w:rPr>
                <w:rFonts w:eastAsia="MS Mincho"/>
              </w:rPr>
              <w:t xml:space="preserve"> per </w:t>
            </w:r>
            <w:r w:rsidR="00CD6682">
              <w:rPr>
                <w:rFonts w:eastAsia="MS Mincho"/>
              </w:rPr>
              <w:t>day during the previous month and not to have quit for more than 24 hours during that month, previous exposure to bupropion for a minimum of 2 weeks</w:t>
            </w:r>
            <w:r w:rsidR="000F5997">
              <w:rPr>
                <w:rFonts w:eastAsia="MS Mincho"/>
              </w:rPr>
              <w:t xml:space="preserve">, </w:t>
            </w:r>
            <w:r w:rsidR="00D7115F">
              <w:rPr>
                <w:rFonts w:eastAsia="MS Mincho"/>
              </w:rPr>
              <w:t>motivated to quit smoking.</w:t>
            </w:r>
          </w:p>
          <w:p w:rsidR="00C12A33" w:rsidRDefault="003B3E2A" w:rsidP="003B3E2A">
            <w:pPr>
              <w:pStyle w:val="Tablewriting"/>
              <w:keepNext/>
              <w:rPr>
                <w:rFonts w:eastAsia="MS Mincho"/>
              </w:rPr>
            </w:pPr>
            <w:r w:rsidRPr="001937EF">
              <w:rPr>
                <w:rFonts w:eastAsia="MS Mincho"/>
                <w:u w:val="single"/>
              </w:rPr>
              <w:t>Exclusion</w:t>
            </w:r>
            <w:r w:rsidRPr="001937EF">
              <w:rPr>
                <w:rFonts w:eastAsia="MS Mincho"/>
              </w:rPr>
              <w:t xml:space="preserve">: </w:t>
            </w:r>
            <w:r w:rsidR="00D7115F" w:rsidRPr="001937EF">
              <w:rPr>
                <w:rFonts w:eastAsia="MS Mincho"/>
              </w:rPr>
              <w:t xml:space="preserve">Uncontrolled chronic </w:t>
            </w:r>
            <w:r w:rsidR="00C54B71" w:rsidRPr="001937EF">
              <w:rPr>
                <w:rFonts w:eastAsia="MS Mincho"/>
              </w:rPr>
              <w:t xml:space="preserve">disease, any predisposition to seizures, a history of psychiatric disorder, or a current </w:t>
            </w:r>
            <w:r w:rsidR="001937EF" w:rsidRPr="001937EF">
              <w:rPr>
                <w:rFonts w:eastAsia="MS Mincho"/>
              </w:rPr>
              <w:t xml:space="preserve">history of </w:t>
            </w:r>
            <w:r w:rsidR="00C54B71" w:rsidRPr="001937EF">
              <w:rPr>
                <w:rFonts w:eastAsia="MS Mincho"/>
              </w:rPr>
              <w:t>chemical dependency, including alcohol.</w:t>
            </w:r>
          </w:p>
          <w:p w:rsidR="00C12A33" w:rsidRDefault="00C12A33" w:rsidP="003B3E2A">
            <w:pPr>
              <w:pStyle w:val="Tablewriting"/>
              <w:keepNext/>
              <w:rPr>
                <w:rFonts w:eastAsia="MS Mincho"/>
              </w:rPr>
            </w:pPr>
          </w:p>
          <w:p w:rsidR="003B3E2A" w:rsidRPr="004B359D" w:rsidRDefault="00C12A33" w:rsidP="003B3E2A">
            <w:pPr>
              <w:pStyle w:val="Tablewriting"/>
              <w:keepNext/>
              <w:rPr>
                <w:rFonts w:eastAsia="MS Mincho"/>
                <w:highlight w:val="yellow"/>
                <w:u w:val="single"/>
              </w:rPr>
            </w:pPr>
            <w:r>
              <w:rPr>
                <w:rFonts w:eastAsia="MS Mincho"/>
              </w:rPr>
              <w:t xml:space="preserve">The </w:t>
            </w:r>
            <w:r w:rsidR="0095082B">
              <w:rPr>
                <w:rFonts w:eastAsia="MS Mincho"/>
              </w:rPr>
              <w:t>duration</w:t>
            </w:r>
            <w:r>
              <w:rPr>
                <w:rFonts w:eastAsia="MS Mincho"/>
              </w:rPr>
              <w:t xml:space="preserve"> between previous bupropion treatment and retreatment</w:t>
            </w:r>
            <w:r w:rsidR="004E596C">
              <w:rPr>
                <w:rFonts w:eastAsia="MS Mincho"/>
              </w:rPr>
              <w:t xml:space="preserve"> </w:t>
            </w:r>
            <w:r>
              <w:rPr>
                <w:rFonts w:eastAsia="MS Mincho"/>
              </w:rPr>
              <w:t>was not reported.</w:t>
            </w:r>
            <w:r w:rsidR="004E596C">
              <w:rPr>
                <w:rFonts w:eastAsia="MS Mincho"/>
              </w:rPr>
              <w:t xml:space="preserve"> D</w:t>
            </w:r>
            <w:r w:rsidR="00C71432">
              <w:rPr>
                <w:rFonts w:eastAsia="MS Mincho"/>
              </w:rPr>
              <w:t>uration of previous bupropion treatment was at least 2 weeks.</w:t>
            </w:r>
            <w:r>
              <w:rPr>
                <w:rFonts w:eastAsia="MS Mincho"/>
              </w:rPr>
              <w:t xml:space="preserve"> </w:t>
            </w:r>
            <w:r w:rsidR="00C54B71" w:rsidRPr="001937EF">
              <w:rPr>
                <w:rFonts w:eastAsia="MS Mincho"/>
              </w:rPr>
              <w:t xml:space="preserve"> </w:t>
            </w:r>
            <w:r w:rsidR="00D7115F" w:rsidRPr="001937EF">
              <w:rPr>
                <w:rFonts w:eastAsia="MS Mincho"/>
              </w:rPr>
              <w:t xml:space="preserve"> </w:t>
            </w:r>
          </w:p>
        </w:tc>
        <w:tc>
          <w:tcPr>
            <w:tcW w:w="820" w:type="pct"/>
          </w:tcPr>
          <w:p w:rsidR="00812E4D" w:rsidRPr="00907FD8" w:rsidRDefault="00812E4D" w:rsidP="00812E4D">
            <w:pPr>
              <w:pStyle w:val="Tablewriting"/>
              <w:keepNext/>
              <w:rPr>
                <w:rFonts w:eastAsia="MS Mincho"/>
              </w:rPr>
            </w:pPr>
            <w:r w:rsidRPr="00907FD8">
              <w:rPr>
                <w:rFonts w:eastAsia="MS Mincho"/>
              </w:rPr>
              <w:t>Bupropion: 150</w:t>
            </w:r>
            <w:r w:rsidR="00565611">
              <w:rPr>
                <w:rFonts w:eastAsia="MS Mincho"/>
              </w:rPr>
              <w:t xml:space="preserve"> </w:t>
            </w:r>
            <w:r w:rsidRPr="00907FD8">
              <w:rPr>
                <w:rFonts w:eastAsia="MS Mincho"/>
              </w:rPr>
              <w:t xml:space="preserve">mg twice daily including titration </w:t>
            </w:r>
            <w:r w:rsidR="004D60BF" w:rsidRPr="004D60BF">
              <w:rPr>
                <w:rFonts w:eastAsia="MS Mincho"/>
              </w:rPr>
              <w:t xml:space="preserve">over </w:t>
            </w:r>
            <w:r w:rsidR="00313854">
              <w:rPr>
                <w:rFonts w:eastAsia="MS Mincho"/>
              </w:rPr>
              <w:t>12</w:t>
            </w:r>
            <w:r w:rsidR="004D60BF" w:rsidRPr="004D60BF">
              <w:rPr>
                <w:rFonts w:eastAsia="MS Mincho"/>
              </w:rPr>
              <w:t xml:space="preserve"> weeks </w:t>
            </w:r>
            <w:r w:rsidRPr="00907FD8">
              <w:rPr>
                <w:rFonts w:eastAsia="MS Mincho"/>
              </w:rPr>
              <w:t>(i.e. 150</w:t>
            </w:r>
            <w:r w:rsidR="00565611">
              <w:rPr>
                <w:rFonts w:eastAsia="MS Mincho"/>
              </w:rPr>
              <w:t xml:space="preserve"> </w:t>
            </w:r>
            <w:r w:rsidRPr="00907FD8">
              <w:rPr>
                <w:rFonts w:eastAsia="MS Mincho"/>
              </w:rPr>
              <w:t>mg once daily for 3 days, then 150</w:t>
            </w:r>
            <w:r w:rsidR="00565611">
              <w:rPr>
                <w:rFonts w:eastAsia="MS Mincho"/>
              </w:rPr>
              <w:t xml:space="preserve"> </w:t>
            </w:r>
            <w:r w:rsidRPr="00907FD8">
              <w:rPr>
                <w:rFonts w:eastAsia="MS Mincho"/>
              </w:rPr>
              <w:t>mg twice daily)</w:t>
            </w:r>
            <w:r w:rsidR="00155324">
              <w:rPr>
                <w:rFonts w:eastAsia="MS Mincho"/>
              </w:rPr>
              <w:t>;</w:t>
            </w:r>
            <w:r w:rsidR="003B3E2A" w:rsidRPr="00907FD8">
              <w:rPr>
                <w:rFonts w:eastAsia="MS Mincho"/>
              </w:rPr>
              <w:t xml:space="preserve"> </w:t>
            </w:r>
          </w:p>
          <w:p w:rsidR="00812E4D" w:rsidRDefault="00812E4D" w:rsidP="00812E4D">
            <w:pPr>
              <w:pStyle w:val="Tablewriting"/>
              <w:keepNext/>
              <w:rPr>
                <w:rFonts w:eastAsia="MS Mincho"/>
              </w:rPr>
            </w:pPr>
            <w:r w:rsidRPr="00907FD8">
              <w:rPr>
                <w:rFonts w:eastAsia="MS Mincho"/>
              </w:rPr>
              <w:t>Placebo: placebo tablets, same regimen</w:t>
            </w:r>
            <w:r w:rsidR="00AB5FA3">
              <w:rPr>
                <w:rFonts w:eastAsia="MS Mincho"/>
              </w:rPr>
              <w:t>.</w:t>
            </w:r>
          </w:p>
          <w:p w:rsidR="00E81F2B" w:rsidRDefault="00E81F2B" w:rsidP="00812E4D">
            <w:pPr>
              <w:pStyle w:val="Tablewriting"/>
              <w:keepNext/>
              <w:rPr>
                <w:rFonts w:eastAsia="MS Mincho"/>
                <w:highlight w:val="yellow"/>
              </w:rPr>
            </w:pPr>
          </w:p>
          <w:p w:rsidR="00E81F2B" w:rsidRPr="004B359D" w:rsidRDefault="00E81F2B" w:rsidP="00812E4D">
            <w:pPr>
              <w:pStyle w:val="Tablewriting"/>
              <w:keepNext/>
              <w:rPr>
                <w:rFonts w:eastAsia="MS Mincho"/>
                <w:highlight w:val="yellow"/>
              </w:rPr>
            </w:pPr>
            <w:r w:rsidRPr="00E81F2B">
              <w:rPr>
                <w:rFonts w:eastAsia="MS Mincho"/>
              </w:rPr>
              <w:t xml:space="preserve">Behavioural support </w:t>
            </w:r>
            <w:r>
              <w:rPr>
                <w:rFonts w:eastAsia="MS Mincho"/>
              </w:rPr>
              <w:t>not described</w:t>
            </w:r>
            <w:r w:rsidRPr="00E81F2B">
              <w:rPr>
                <w:rFonts w:eastAsia="MS Mincho"/>
              </w:rPr>
              <w:t>.</w:t>
            </w:r>
          </w:p>
        </w:tc>
        <w:tc>
          <w:tcPr>
            <w:tcW w:w="1207" w:type="pct"/>
            <w:tcMar>
              <w:left w:w="28" w:type="dxa"/>
              <w:right w:w="28" w:type="dxa"/>
            </w:tcMar>
          </w:tcPr>
          <w:p w:rsidR="00555487" w:rsidRPr="00D046AB" w:rsidRDefault="003B3E2A" w:rsidP="00555487">
            <w:pPr>
              <w:pStyle w:val="Tablewriting"/>
              <w:keepNext/>
              <w:rPr>
                <w:rFonts w:eastAsia="MS Mincho"/>
              </w:rPr>
            </w:pPr>
            <w:r w:rsidRPr="00D046AB">
              <w:rPr>
                <w:rFonts w:eastAsia="MS Mincho"/>
                <w:u w:val="single"/>
              </w:rPr>
              <w:t>Primary</w:t>
            </w:r>
            <w:r w:rsidRPr="00D046AB">
              <w:rPr>
                <w:rFonts w:eastAsia="MS Mincho"/>
              </w:rPr>
              <w:t>: C</w:t>
            </w:r>
            <w:r w:rsidR="004A2E16">
              <w:rPr>
                <w:rFonts w:eastAsia="MS Mincho"/>
              </w:rPr>
              <w:t>AR</w:t>
            </w:r>
            <w:r w:rsidR="008871B7">
              <w:rPr>
                <w:rFonts w:eastAsia="MS Mincho"/>
              </w:rPr>
              <w:t xml:space="preserve"> </w:t>
            </w:r>
            <w:r w:rsidRPr="00D046AB">
              <w:rPr>
                <w:rFonts w:eastAsia="MS Mincho"/>
              </w:rPr>
              <w:t xml:space="preserve">at Week </w:t>
            </w:r>
            <w:r w:rsidR="00AE509D" w:rsidRPr="00D046AB">
              <w:rPr>
                <w:rFonts w:eastAsia="MS Mincho"/>
              </w:rPr>
              <w:t>4-7</w:t>
            </w:r>
            <w:r w:rsidRPr="00D046AB">
              <w:rPr>
                <w:rFonts w:eastAsia="MS Mincho"/>
              </w:rPr>
              <w:t>. Validated by CO</w:t>
            </w:r>
            <w:r w:rsidR="00A8344A">
              <w:rPr>
                <w:rFonts w:eastAsia="MS Mincho"/>
              </w:rPr>
              <w:t xml:space="preserve"> </w:t>
            </w:r>
            <w:r w:rsidRPr="00D046AB">
              <w:rPr>
                <w:rFonts w:eastAsia="MS Mincho" w:cstheme="minorHAnsi"/>
              </w:rPr>
              <w:t>≤</w:t>
            </w:r>
            <w:r w:rsidRPr="00D046AB">
              <w:rPr>
                <w:rFonts w:eastAsia="MS Mincho"/>
              </w:rPr>
              <w:t>10</w:t>
            </w:r>
            <w:r w:rsidR="00565611">
              <w:rPr>
                <w:rFonts w:eastAsia="MS Mincho"/>
              </w:rPr>
              <w:t xml:space="preserve"> </w:t>
            </w:r>
            <w:r w:rsidRPr="00D046AB">
              <w:rPr>
                <w:rFonts w:eastAsia="MS Mincho"/>
              </w:rPr>
              <w:t>ppm.</w:t>
            </w:r>
          </w:p>
          <w:p w:rsidR="00555487" w:rsidRPr="00D046AB" w:rsidRDefault="003B3E2A" w:rsidP="00555487">
            <w:pPr>
              <w:pStyle w:val="Tablewriting"/>
              <w:keepNext/>
              <w:rPr>
                <w:rFonts w:eastAsia="MS Mincho"/>
              </w:rPr>
            </w:pPr>
            <w:r w:rsidRPr="00D046AB">
              <w:rPr>
                <w:rFonts w:eastAsia="MS Mincho"/>
                <w:u w:val="single"/>
              </w:rPr>
              <w:t>Secondary</w:t>
            </w:r>
            <w:r w:rsidRPr="00D046AB">
              <w:rPr>
                <w:rFonts w:eastAsia="MS Mincho"/>
              </w:rPr>
              <w:t>: C</w:t>
            </w:r>
            <w:r w:rsidR="008871B7">
              <w:rPr>
                <w:rFonts w:eastAsia="MS Mincho"/>
              </w:rPr>
              <w:t>AR</w:t>
            </w:r>
            <w:r w:rsidRPr="00D046AB">
              <w:rPr>
                <w:rFonts w:eastAsia="MS Mincho"/>
              </w:rPr>
              <w:t xml:space="preserve"> at Week </w:t>
            </w:r>
            <w:r w:rsidR="00D052A1" w:rsidRPr="00D046AB">
              <w:rPr>
                <w:rFonts w:eastAsia="MS Mincho"/>
              </w:rPr>
              <w:t>9-12</w:t>
            </w:r>
            <w:r w:rsidR="0039699B">
              <w:rPr>
                <w:rFonts w:eastAsia="MS Mincho"/>
              </w:rPr>
              <w:t>.</w:t>
            </w:r>
            <w:r w:rsidRPr="00D046AB">
              <w:rPr>
                <w:rFonts w:eastAsia="MS Mincho"/>
              </w:rPr>
              <w:t xml:space="preserve"> 7-day PPA </w:t>
            </w:r>
            <w:r w:rsidR="00D052A1" w:rsidRPr="00D046AB">
              <w:rPr>
                <w:rFonts w:eastAsia="MS Mincho"/>
              </w:rPr>
              <w:t>during the treatment period</w:t>
            </w:r>
            <w:r w:rsidR="00313854">
              <w:rPr>
                <w:rFonts w:eastAsia="MS Mincho"/>
              </w:rPr>
              <w:t xml:space="preserve"> </w:t>
            </w:r>
            <w:r w:rsidR="00EC6B19">
              <w:rPr>
                <w:rFonts w:eastAsia="MS Mincho"/>
              </w:rPr>
              <w:t xml:space="preserve"> and at </w:t>
            </w:r>
            <w:r w:rsidR="00313854">
              <w:rPr>
                <w:rFonts w:eastAsia="MS Mincho"/>
              </w:rPr>
              <w:t>12</w:t>
            </w:r>
            <w:r w:rsidR="00EC6B19">
              <w:rPr>
                <w:rFonts w:eastAsia="MS Mincho"/>
              </w:rPr>
              <w:t xml:space="preserve"> months</w:t>
            </w:r>
            <w:r w:rsidR="00D046AB" w:rsidRPr="00D046AB">
              <w:rPr>
                <w:rFonts w:eastAsia="MS Mincho"/>
              </w:rPr>
              <w:t>.</w:t>
            </w:r>
            <w:r w:rsidR="00B838F6">
              <w:rPr>
                <w:rFonts w:eastAsia="MS Mincho"/>
              </w:rPr>
              <w:t xml:space="preserve"> Validated by CO </w:t>
            </w:r>
            <w:r w:rsidR="00B838F6">
              <w:rPr>
                <w:rFonts w:eastAsia="MS Mincho" w:cstheme="minorHAnsi"/>
              </w:rPr>
              <w:t>≤</w:t>
            </w:r>
            <w:r w:rsidR="00B838F6">
              <w:rPr>
                <w:rFonts w:eastAsia="MS Mincho"/>
              </w:rPr>
              <w:t>10</w:t>
            </w:r>
            <w:r w:rsidR="00565611">
              <w:rPr>
                <w:rFonts w:eastAsia="MS Mincho"/>
              </w:rPr>
              <w:t xml:space="preserve"> </w:t>
            </w:r>
            <w:r w:rsidR="00B838F6">
              <w:rPr>
                <w:rFonts w:eastAsia="MS Mincho"/>
              </w:rPr>
              <w:t>ppm.</w:t>
            </w:r>
          </w:p>
          <w:p w:rsidR="00812E4D" w:rsidRPr="004B359D" w:rsidRDefault="00812E4D" w:rsidP="003B3E2A">
            <w:pPr>
              <w:pStyle w:val="Tablewriting"/>
              <w:keepNext/>
              <w:rPr>
                <w:rFonts w:eastAsia="MS Mincho"/>
                <w:highlight w:val="yellow"/>
                <w:u w:val="single"/>
              </w:rPr>
            </w:pPr>
          </w:p>
        </w:tc>
      </w:tr>
    </w:tbl>
    <w:p w:rsidR="00EC1350" w:rsidRDefault="00EC1350" w:rsidP="002D09A1">
      <w:pPr>
        <w:pStyle w:val="TableFooter"/>
        <w:keepNext/>
      </w:pPr>
      <w:r w:rsidRPr="00EC1350">
        <w:t xml:space="preserve">Abbreviations: CAR = continuous abstinence rate; CO = carbon monoxide; PPA = point prevalence abstinence; RCT = randomised controlled trial </w:t>
      </w:r>
    </w:p>
    <w:p w:rsidR="002D09A1" w:rsidRDefault="002D09A1" w:rsidP="002D09A1">
      <w:pPr>
        <w:pStyle w:val="TableFooter"/>
        <w:keepNext/>
      </w:pPr>
      <w:r>
        <w:t xml:space="preserve">Notes: Gonzales et al. (2001) and Selby et al. (2003) were included in the Cochrane </w:t>
      </w:r>
      <w:r w:rsidR="00565611">
        <w:t>R</w:t>
      </w:r>
      <w:r>
        <w:t>eview by Howes et al. (2020).</w:t>
      </w:r>
    </w:p>
    <w:p w:rsidR="00380A0B" w:rsidRDefault="00724DAD" w:rsidP="00724DAD">
      <w:pPr>
        <w:pStyle w:val="TableFooter"/>
        <w:keepNext/>
        <w:sectPr w:rsidR="00380A0B" w:rsidSect="00380A0B">
          <w:pgSz w:w="16838" w:h="11906" w:orient="landscape"/>
          <w:pgMar w:top="1440" w:right="1440" w:bottom="1440" w:left="1440" w:header="708" w:footer="708" w:gutter="0"/>
          <w:cols w:space="708"/>
          <w:titlePg/>
          <w:docGrid w:linePitch="360"/>
        </w:sectPr>
      </w:pPr>
      <w:r>
        <w:t>1 Only the number of patients (n) in the relevant arms were included</w:t>
      </w:r>
      <w:r w:rsidR="00AB5FA3">
        <w:t>.</w:t>
      </w:r>
      <w:r>
        <w:t xml:space="preserve">  </w:t>
      </w:r>
    </w:p>
    <w:p w:rsidR="00181041" w:rsidRPr="00181041" w:rsidRDefault="00181041" w:rsidP="00181041">
      <w:pPr>
        <w:rPr>
          <w:u w:val="single"/>
        </w:rPr>
      </w:pPr>
      <w:r w:rsidRPr="00181041">
        <w:rPr>
          <w:u w:val="single"/>
        </w:rPr>
        <w:lastRenderedPageBreak/>
        <w:t>Efficacy</w:t>
      </w:r>
    </w:p>
    <w:p w:rsidR="00380A0B" w:rsidRDefault="00181041" w:rsidP="00181041">
      <w:r>
        <w:t xml:space="preserve">A summary of the smoking cessation rates at 12 months </w:t>
      </w:r>
      <w:r w:rsidR="00155324">
        <w:t xml:space="preserve">comparing bupropion with placebo </w:t>
      </w:r>
      <w:r w:rsidR="00EA06F7">
        <w:t xml:space="preserve">in non-abstainers as retreatment </w:t>
      </w:r>
      <w:r>
        <w:t xml:space="preserve">is presented in </w:t>
      </w:r>
      <w:r w:rsidR="003C4A1C">
        <w:t xml:space="preserve">Table </w:t>
      </w:r>
      <w:r w:rsidR="003C4A1C">
        <w:rPr>
          <w:noProof/>
        </w:rPr>
        <w:t>44</w:t>
      </w:r>
      <w:r>
        <w:t xml:space="preserve">. </w:t>
      </w:r>
      <w:r w:rsidR="0053108C" w:rsidRPr="0053108C">
        <w:t xml:space="preserve">The results of </w:t>
      </w:r>
      <w:r w:rsidR="0053108C">
        <w:t>Gonzales</w:t>
      </w:r>
      <w:r w:rsidR="0053108C" w:rsidRPr="0053108C">
        <w:t xml:space="preserve"> et al. (</w:t>
      </w:r>
      <w:r w:rsidR="0053108C">
        <w:t>2001</w:t>
      </w:r>
      <w:r w:rsidR="0053108C" w:rsidRPr="0053108C">
        <w:t xml:space="preserve">) demonstrated a statistically significant difference in continuous abstinence rate, in favour of bupropion. In contrast, no statistically significant difference was observed between the two treatment arms in </w:t>
      </w:r>
      <w:r w:rsidR="00B82CE0">
        <w:t>Selby</w:t>
      </w:r>
      <w:r w:rsidR="0053108C" w:rsidRPr="0053108C">
        <w:t xml:space="preserve"> et al. (</w:t>
      </w:r>
      <w:r w:rsidR="00B82CE0">
        <w:t>2003</w:t>
      </w:r>
      <w:r w:rsidR="0053108C" w:rsidRPr="0053108C">
        <w:t>), although the results numerically favoured bupropion.</w:t>
      </w:r>
      <w:r w:rsidR="00182F86">
        <w:t xml:space="preserve"> It was noted that the results of these studies were included in the primary efficacy analysis of bupropion versus placebo</w:t>
      </w:r>
      <w:r w:rsidR="0024305F">
        <w:t xml:space="preserve"> conducted by Howes et al. (2020)</w:t>
      </w:r>
      <w:r w:rsidR="00245D9D">
        <w:t>,</w:t>
      </w:r>
      <w:r w:rsidR="00182F86">
        <w:t xml:space="preserve"> </w:t>
      </w:r>
      <w:r w:rsidR="00245D9D">
        <w:t xml:space="preserve">presented </w:t>
      </w:r>
      <w:r w:rsidR="00182F86">
        <w:t xml:space="preserve">in the </w:t>
      </w:r>
      <w:r w:rsidR="00F171AF">
        <w:t xml:space="preserve">treatment-naïve </w:t>
      </w:r>
      <w:r w:rsidR="00182F86">
        <w:t>population</w:t>
      </w:r>
      <w:r w:rsidR="00245D9D">
        <w:t xml:space="preserve"> section</w:t>
      </w:r>
      <w:r w:rsidR="00182F86">
        <w:t>.</w:t>
      </w:r>
    </w:p>
    <w:p w:rsidR="00D07C34" w:rsidRDefault="00D07C34" w:rsidP="00181041">
      <w:r>
        <w:t>The results of the meta-analysis of the two studies conducted during the review demonstrated</w:t>
      </w:r>
      <w:r w:rsidR="009C001F">
        <w:t xml:space="preserve"> no statistically significant difference between the two treatment arms </w:t>
      </w:r>
      <w:r w:rsidR="004D2EA4">
        <w:t xml:space="preserve">in terms of risk ratio. However, the results were </w:t>
      </w:r>
      <w:r w:rsidR="00147CAF">
        <w:t xml:space="preserve">statistically </w:t>
      </w:r>
      <w:r w:rsidR="004D2EA4">
        <w:t>significant</w:t>
      </w:r>
      <w:r w:rsidR="00CC69C7">
        <w:t>, in favour of bupropion,</w:t>
      </w:r>
      <w:r w:rsidR="004D2EA4">
        <w:t xml:space="preserve"> when </w:t>
      </w:r>
      <w:r w:rsidR="00321CCB">
        <w:t>risk difference</w:t>
      </w:r>
      <w:r w:rsidR="00770F4C">
        <w:t xml:space="preserve"> (</w:t>
      </w:r>
      <w:r w:rsidR="00321CCB">
        <w:t xml:space="preserve">absolute </w:t>
      </w:r>
      <w:r w:rsidR="006401E7">
        <w:t xml:space="preserve">measure of </w:t>
      </w:r>
      <w:r w:rsidR="00321CCB">
        <w:t>effect) was used.</w:t>
      </w:r>
    </w:p>
    <w:p w:rsidR="00690C66" w:rsidRDefault="00690C66" w:rsidP="00690C66">
      <w:pPr>
        <w:pStyle w:val="Caption"/>
        <w:keepNext/>
      </w:pPr>
      <w:bookmarkStart w:id="119" w:name="_Ref54959353"/>
      <w:r>
        <w:t xml:space="preserve">Table </w:t>
      </w:r>
      <w:r w:rsidR="003C4A1C">
        <w:rPr>
          <w:noProof/>
        </w:rPr>
        <w:t>44</w:t>
      </w:r>
      <w:bookmarkEnd w:id="119"/>
      <w:r>
        <w:t xml:space="preserve">: </w:t>
      </w:r>
      <w:r w:rsidRPr="00924F11">
        <w:t xml:space="preserve">Results </w:t>
      </w:r>
      <w:r w:rsidR="00A164FE">
        <w:t xml:space="preserve">of </w:t>
      </w:r>
      <w:r w:rsidR="00A164FE" w:rsidRPr="00A164FE">
        <w:t xml:space="preserve">smoking cessation at </w:t>
      </w:r>
      <w:r w:rsidR="00656636">
        <w:t>12 months</w:t>
      </w:r>
      <w:r w:rsidR="00A164FE" w:rsidRPr="00A164FE">
        <w:t>, bupropion versus placebo</w:t>
      </w:r>
      <w:r w:rsidR="00267C5C">
        <w:t xml:space="preserve"> </w:t>
      </w:r>
      <w:r w:rsidR="00267C5C" w:rsidRPr="0074518D">
        <w:t>in non-abstainers as retreatment</w:t>
      </w:r>
    </w:p>
    <w:tbl>
      <w:tblPr>
        <w:tblStyle w:val="TableGrid"/>
        <w:tblW w:w="5000" w:type="pct"/>
        <w:tblLook w:val="04A0" w:firstRow="1" w:lastRow="0" w:firstColumn="1" w:lastColumn="0" w:noHBand="0" w:noVBand="1"/>
        <w:tblCaption w:val="Efficacy results of adalimumab trials (PASI 75 and DLQI)"/>
      </w:tblPr>
      <w:tblGrid>
        <w:gridCol w:w="1299"/>
        <w:gridCol w:w="1659"/>
        <w:gridCol w:w="1533"/>
        <w:gridCol w:w="1535"/>
        <w:gridCol w:w="1535"/>
        <w:gridCol w:w="1455"/>
      </w:tblGrid>
      <w:tr w:rsidR="003A784A" w:rsidRPr="00061F78" w:rsidTr="00245D9D">
        <w:trPr>
          <w:cantSplit/>
          <w:trHeight w:val="299"/>
          <w:tblHeader/>
        </w:trPr>
        <w:tc>
          <w:tcPr>
            <w:tcW w:w="721" w:type="pct"/>
            <w:shd w:val="clear" w:color="auto" w:fill="BFBFBF" w:themeFill="background1" w:themeFillShade="BF"/>
            <w:tcMar>
              <w:left w:w="28" w:type="dxa"/>
              <w:right w:w="28" w:type="dxa"/>
            </w:tcMar>
          </w:tcPr>
          <w:p w:rsidR="003A784A" w:rsidRPr="00061F78" w:rsidRDefault="00126B7B" w:rsidP="00245D9D">
            <w:pPr>
              <w:pStyle w:val="Tableheading"/>
              <w:keepNext/>
              <w:rPr>
                <w:rFonts w:eastAsia="MS Mincho"/>
              </w:rPr>
            </w:pPr>
            <w:r>
              <w:rPr>
                <w:rFonts w:eastAsia="MS Mincho"/>
              </w:rPr>
              <w:t>Study</w:t>
            </w:r>
          </w:p>
        </w:tc>
        <w:tc>
          <w:tcPr>
            <w:tcW w:w="920" w:type="pct"/>
            <w:shd w:val="clear" w:color="auto" w:fill="BFBFBF" w:themeFill="background1" w:themeFillShade="BF"/>
            <w:vAlign w:val="center"/>
          </w:tcPr>
          <w:p w:rsidR="003A784A" w:rsidRDefault="003A784A" w:rsidP="00245D9D">
            <w:pPr>
              <w:pStyle w:val="Tableheading"/>
              <w:keepNext/>
              <w:jc w:val="center"/>
              <w:rPr>
                <w:rFonts w:eastAsia="MS Mincho"/>
              </w:rPr>
            </w:pPr>
            <w:r>
              <w:rPr>
                <w:rFonts w:eastAsia="MS Mincho"/>
              </w:rPr>
              <w:t>Study type</w:t>
            </w:r>
          </w:p>
        </w:tc>
        <w:tc>
          <w:tcPr>
            <w:tcW w:w="850" w:type="pct"/>
            <w:shd w:val="clear" w:color="auto" w:fill="BFBFBF" w:themeFill="background1" w:themeFillShade="BF"/>
            <w:tcMar>
              <w:left w:w="28" w:type="dxa"/>
              <w:right w:w="28" w:type="dxa"/>
            </w:tcMar>
            <w:vAlign w:val="center"/>
          </w:tcPr>
          <w:p w:rsidR="003A784A" w:rsidRPr="00061F78" w:rsidRDefault="00143B65" w:rsidP="00245D9D">
            <w:pPr>
              <w:pStyle w:val="Tableheading"/>
              <w:keepNext/>
              <w:jc w:val="center"/>
              <w:rPr>
                <w:rFonts w:eastAsia="MS Mincho"/>
              </w:rPr>
            </w:pPr>
            <w:r>
              <w:rPr>
                <w:rFonts w:eastAsia="MS Mincho"/>
              </w:rPr>
              <w:t>Bupropion</w:t>
            </w:r>
          </w:p>
        </w:tc>
        <w:tc>
          <w:tcPr>
            <w:tcW w:w="851" w:type="pct"/>
            <w:shd w:val="clear" w:color="auto" w:fill="BFBFBF" w:themeFill="background1" w:themeFillShade="BF"/>
            <w:tcMar>
              <w:left w:w="28" w:type="dxa"/>
              <w:right w:w="28" w:type="dxa"/>
            </w:tcMar>
            <w:vAlign w:val="center"/>
          </w:tcPr>
          <w:p w:rsidR="003A784A" w:rsidRPr="00061F78" w:rsidRDefault="003A784A" w:rsidP="00245D9D">
            <w:pPr>
              <w:pStyle w:val="Tableheading"/>
              <w:keepNext/>
              <w:jc w:val="center"/>
              <w:rPr>
                <w:rFonts w:eastAsia="MS Mincho"/>
              </w:rPr>
            </w:pPr>
            <w:r w:rsidRPr="00061F78">
              <w:rPr>
                <w:rFonts w:eastAsia="MS Mincho"/>
              </w:rPr>
              <w:t>Placebo</w:t>
            </w:r>
          </w:p>
        </w:tc>
        <w:tc>
          <w:tcPr>
            <w:tcW w:w="851" w:type="pct"/>
            <w:shd w:val="clear" w:color="auto" w:fill="BFBFBF" w:themeFill="background1" w:themeFillShade="BF"/>
            <w:tcMar>
              <w:left w:w="28" w:type="dxa"/>
              <w:right w:w="28" w:type="dxa"/>
            </w:tcMar>
            <w:vAlign w:val="center"/>
          </w:tcPr>
          <w:p w:rsidR="003A784A" w:rsidRPr="002D09A1" w:rsidRDefault="003A784A" w:rsidP="00245D9D">
            <w:pPr>
              <w:pStyle w:val="Tableheading"/>
              <w:keepNext/>
              <w:jc w:val="center"/>
              <w:rPr>
                <w:rFonts w:eastAsia="MS Mincho"/>
                <w:vertAlign w:val="superscript"/>
              </w:rPr>
            </w:pPr>
            <w:r>
              <w:rPr>
                <w:rFonts w:eastAsia="MS Mincho"/>
              </w:rPr>
              <w:t>RR (95% CI)</w:t>
            </w:r>
          </w:p>
        </w:tc>
        <w:tc>
          <w:tcPr>
            <w:tcW w:w="807" w:type="pct"/>
            <w:shd w:val="clear" w:color="auto" w:fill="BFBFBF" w:themeFill="background1" w:themeFillShade="BF"/>
            <w:vAlign w:val="center"/>
          </w:tcPr>
          <w:p w:rsidR="003A784A" w:rsidRDefault="003A784A" w:rsidP="00245D9D">
            <w:pPr>
              <w:pStyle w:val="Tableheading"/>
              <w:keepNext/>
              <w:jc w:val="center"/>
              <w:rPr>
                <w:rFonts w:eastAsia="MS Mincho"/>
              </w:rPr>
            </w:pPr>
            <w:r>
              <w:rPr>
                <w:rFonts w:eastAsia="MS Mincho"/>
              </w:rPr>
              <w:t>RD (95% CI)</w:t>
            </w:r>
          </w:p>
        </w:tc>
      </w:tr>
      <w:tr w:rsidR="003A784A" w:rsidRPr="00061F78" w:rsidTr="00251B64">
        <w:trPr>
          <w:cantSplit/>
          <w:trHeight w:val="99"/>
        </w:trPr>
        <w:tc>
          <w:tcPr>
            <w:tcW w:w="721" w:type="pct"/>
            <w:shd w:val="clear" w:color="auto" w:fill="auto"/>
            <w:tcMar>
              <w:left w:w="28" w:type="dxa"/>
              <w:right w:w="28" w:type="dxa"/>
            </w:tcMar>
          </w:tcPr>
          <w:p w:rsidR="003A784A" w:rsidRPr="00251B64" w:rsidRDefault="003A784A" w:rsidP="00245D9D">
            <w:pPr>
              <w:pStyle w:val="Tablewriting"/>
              <w:keepNext/>
              <w:rPr>
                <w:rFonts w:eastAsia="MS Mincho"/>
              </w:rPr>
            </w:pPr>
            <w:r w:rsidRPr="00251B64">
              <w:rPr>
                <w:rFonts w:eastAsia="MS Mincho"/>
              </w:rPr>
              <w:t>Gonzales (20</w:t>
            </w:r>
            <w:r w:rsidR="00251B64">
              <w:rPr>
                <w:rFonts w:eastAsia="MS Mincho"/>
              </w:rPr>
              <w:t>01</w:t>
            </w:r>
            <w:r w:rsidRPr="00251B64">
              <w:rPr>
                <w:rFonts w:eastAsia="MS Mincho"/>
              </w:rPr>
              <w:t>)</w:t>
            </w:r>
            <w:r w:rsidRPr="00251B64">
              <w:rPr>
                <w:rFonts w:eastAsia="MS Mincho"/>
                <w:vertAlign w:val="superscript"/>
              </w:rPr>
              <w:t>1</w:t>
            </w:r>
            <w:r w:rsidRPr="00251B64">
              <w:rPr>
                <w:rFonts w:eastAsia="MS Mincho"/>
              </w:rPr>
              <w:t xml:space="preserve"> </w:t>
            </w:r>
          </w:p>
        </w:tc>
        <w:tc>
          <w:tcPr>
            <w:tcW w:w="920" w:type="pct"/>
            <w:shd w:val="clear" w:color="auto" w:fill="auto"/>
            <w:vAlign w:val="center"/>
          </w:tcPr>
          <w:p w:rsidR="003A784A" w:rsidRPr="00251B64" w:rsidRDefault="003A784A" w:rsidP="00245D9D">
            <w:pPr>
              <w:pStyle w:val="Tablewriting"/>
              <w:keepNext/>
              <w:jc w:val="center"/>
              <w:rPr>
                <w:rFonts w:eastAsia="MS Mincho"/>
              </w:rPr>
            </w:pPr>
            <w:r w:rsidRPr="00251B64">
              <w:rPr>
                <w:rFonts w:eastAsia="MS Mincho"/>
              </w:rPr>
              <w:t>RCT</w:t>
            </w:r>
          </w:p>
        </w:tc>
        <w:tc>
          <w:tcPr>
            <w:tcW w:w="850" w:type="pct"/>
            <w:shd w:val="clear" w:color="auto" w:fill="auto"/>
            <w:tcMar>
              <w:left w:w="28" w:type="dxa"/>
              <w:right w:w="28" w:type="dxa"/>
            </w:tcMar>
            <w:vAlign w:val="center"/>
          </w:tcPr>
          <w:p w:rsidR="003A784A" w:rsidRPr="00251B64" w:rsidRDefault="00E40D59" w:rsidP="00245D9D">
            <w:pPr>
              <w:pStyle w:val="Tablewriting"/>
              <w:keepNext/>
              <w:jc w:val="center"/>
              <w:rPr>
                <w:rFonts w:eastAsia="MS Mincho"/>
                <w:vertAlign w:val="superscript"/>
              </w:rPr>
            </w:pPr>
            <w:r>
              <w:rPr>
                <w:rFonts w:eastAsia="MS Mincho"/>
              </w:rPr>
              <w:t>20</w:t>
            </w:r>
            <w:r w:rsidR="003A784A" w:rsidRPr="00251B64">
              <w:rPr>
                <w:rFonts w:eastAsia="MS Mincho"/>
              </w:rPr>
              <w:t>/</w:t>
            </w:r>
            <w:r>
              <w:rPr>
                <w:rFonts w:eastAsia="MS Mincho"/>
              </w:rPr>
              <w:t>226</w:t>
            </w:r>
          </w:p>
          <w:p w:rsidR="003A784A" w:rsidRPr="00251B64" w:rsidRDefault="003A784A" w:rsidP="00245D9D">
            <w:pPr>
              <w:pStyle w:val="Tablewriting"/>
              <w:keepNext/>
              <w:jc w:val="center"/>
              <w:rPr>
                <w:rFonts w:eastAsia="MS Mincho"/>
              </w:rPr>
            </w:pPr>
            <w:r w:rsidRPr="00251B64">
              <w:rPr>
                <w:rFonts w:eastAsia="MS Mincho"/>
              </w:rPr>
              <w:t>(</w:t>
            </w:r>
            <w:r w:rsidR="00A02BB2">
              <w:rPr>
                <w:rFonts w:eastAsia="MS Mincho"/>
              </w:rPr>
              <w:t>8.8</w:t>
            </w:r>
            <w:r w:rsidRPr="00251B64">
              <w:rPr>
                <w:rFonts w:eastAsia="MS Mincho"/>
              </w:rPr>
              <w:t>%)</w:t>
            </w:r>
          </w:p>
        </w:tc>
        <w:tc>
          <w:tcPr>
            <w:tcW w:w="851" w:type="pct"/>
            <w:shd w:val="clear" w:color="auto" w:fill="auto"/>
            <w:tcMar>
              <w:left w:w="28" w:type="dxa"/>
              <w:right w:w="28" w:type="dxa"/>
            </w:tcMar>
            <w:vAlign w:val="center"/>
          </w:tcPr>
          <w:p w:rsidR="003A784A" w:rsidRPr="00251B64" w:rsidRDefault="00340F5D" w:rsidP="00245D9D">
            <w:pPr>
              <w:pStyle w:val="Tablewriting"/>
              <w:keepNext/>
              <w:jc w:val="center"/>
              <w:rPr>
                <w:rFonts w:eastAsia="MS Mincho"/>
              </w:rPr>
            </w:pPr>
            <w:r>
              <w:rPr>
                <w:rFonts w:eastAsia="MS Mincho"/>
              </w:rPr>
              <w:t>5</w:t>
            </w:r>
            <w:r w:rsidR="003A784A" w:rsidRPr="00251B64">
              <w:rPr>
                <w:rFonts w:eastAsia="MS Mincho"/>
              </w:rPr>
              <w:t>/2</w:t>
            </w:r>
            <w:r>
              <w:rPr>
                <w:rFonts w:eastAsia="MS Mincho"/>
              </w:rPr>
              <w:t>2</w:t>
            </w:r>
            <w:r w:rsidR="003A784A" w:rsidRPr="00251B64">
              <w:rPr>
                <w:rFonts w:eastAsia="MS Mincho"/>
              </w:rPr>
              <w:t>4</w:t>
            </w:r>
          </w:p>
          <w:p w:rsidR="003A784A" w:rsidRPr="00251B64" w:rsidRDefault="003A784A" w:rsidP="00245D9D">
            <w:pPr>
              <w:pStyle w:val="Tablewriting"/>
              <w:keepNext/>
              <w:jc w:val="center"/>
              <w:rPr>
                <w:rFonts w:eastAsia="MS Mincho"/>
              </w:rPr>
            </w:pPr>
            <w:r w:rsidRPr="00251B64">
              <w:rPr>
                <w:rFonts w:eastAsia="MS Mincho"/>
              </w:rPr>
              <w:t>(</w:t>
            </w:r>
            <w:r w:rsidR="00B8237C">
              <w:rPr>
                <w:rFonts w:eastAsia="MS Mincho"/>
              </w:rPr>
              <w:t>2.2</w:t>
            </w:r>
            <w:r w:rsidRPr="00251B64">
              <w:rPr>
                <w:rFonts w:eastAsia="MS Mincho"/>
              </w:rPr>
              <w:t>%)</w:t>
            </w:r>
          </w:p>
        </w:tc>
        <w:tc>
          <w:tcPr>
            <w:tcW w:w="851" w:type="pct"/>
            <w:shd w:val="clear" w:color="auto" w:fill="auto"/>
            <w:tcMar>
              <w:left w:w="28" w:type="dxa"/>
              <w:right w:w="28" w:type="dxa"/>
            </w:tcMar>
            <w:vAlign w:val="center"/>
          </w:tcPr>
          <w:p w:rsidR="003A784A" w:rsidRPr="00251B64" w:rsidRDefault="00C62BDB" w:rsidP="00245D9D">
            <w:pPr>
              <w:pStyle w:val="Tablewriting"/>
              <w:keepNext/>
              <w:jc w:val="center"/>
              <w:rPr>
                <w:rFonts w:eastAsia="MS Mincho"/>
                <w:b/>
                <w:bCs/>
              </w:rPr>
            </w:pPr>
            <w:r>
              <w:rPr>
                <w:rFonts w:eastAsia="MS Mincho"/>
                <w:b/>
                <w:bCs/>
              </w:rPr>
              <w:t>3.96</w:t>
            </w:r>
          </w:p>
          <w:p w:rsidR="003A784A" w:rsidRPr="00251B64" w:rsidRDefault="003A784A" w:rsidP="00245D9D">
            <w:pPr>
              <w:pStyle w:val="Tablewriting"/>
              <w:keepNext/>
              <w:jc w:val="center"/>
              <w:rPr>
                <w:rFonts w:eastAsia="MS Mincho"/>
                <w:b/>
              </w:rPr>
            </w:pPr>
            <w:r w:rsidRPr="00251B64">
              <w:rPr>
                <w:rFonts w:eastAsia="MS Mincho"/>
                <w:b/>
                <w:bCs/>
              </w:rPr>
              <w:t>(</w:t>
            </w:r>
            <w:r w:rsidR="00DA255A">
              <w:rPr>
                <w:rFonts w:eastAsia="MS Mincho"/>
                <w:b/>
                <w:bCs/>
              </w:rPr>
              <w:t>1.51</w:t>
            </w:r>
            <w:r w:rsidRPr="00251B64">
              <w:rPr>
                <w:rFonts w:eastAsia="MS Mincho"/>
                <w:b/>
                <w:bCs/>
              </w:rPr>
              <w:t>, 1</w:t>
            </w:r>
            <w:r w:rsidR="00DA255A">
              <w:rPr>
                <w:rFonts w:eastAsia="MS Mincho"/>
                <w:b/>
                <w:bCs/>
              </w:rPr>
              <w:t>0.38</w:t>
            </w:r>
            <w:r w:rsidRPr="00251B64">
              <w:rPr>
                <w:rFonts w:eastAsia="MS Mincho"/>
                <w:b/>
                <w:bCs/>
              </w:rPr>
              <w:t>)</w:t>
            </w:r>
          </w:p>
        </w:tc>
        <w:tc>
          <w:tcPr>
            <w:tcW w:w="807" w:type="pct"/>
            <w:shd w:val="clear" w:color="auto" w:fill="auto"/>
            <w:vAlign w:val="center"/>
          </w:tcPr>
          <w:p w:rsidR="003A784A" w:rsidRDefault="00D849A1" w:rsidP="00245D9D">
            <w:pPr>
              <w:pStyle w:val="Tablewriting"/>
              <w:keepNext/>
              <w:jc w:val="center"/>
              <w:rPr>
                <w:rFonts w:eastAsia="MS Mincho"/>
                <w:b/>
                <w:bCs/>
              </w:rPr>
            </w:pPr>
            <w:r>
              <w:rPr>
                <w:rFonts w:eastAsia="MS Mincho"/>
                <w:b/>
                <w:bCs/>
              </w:rPr>
              <w:t>0.07</w:t>
            </w:r>
          </w:p>
          <w:p w:rsidR="003A784A" w:rsidRPr="00251B64" w:rsidRDefault="00D849A1" w:rsidP="00245D9D">
            <w:pPr>
              <w:pStyle w:val="Tablewriting"/>
              <w:keepNext/>
              <w:jc w:val="center"/>
              <w:rPr>
                <w:rFonts w:eastAsia="MS Mincho"/>
              </w:rPr>
            </w:pPr>
            <w:r>
              <w:rPr>
                <w:rFonts w:eastAsia="MS Mincho"/>
                <w:b/>
                <w:bCs/>
              </w:rPr>
              <w:t>(0.02, 0.11)</w:t>
            </w:r>
          </w:p>
        </w:tc>
      </w:tr>
      <w:tr w:rsidR="00690C66" w:rsidRPr="00061F78" w:rsidTr="00245D9D">
        <w:trPr>
          <w:cantSplit/>
          <w:trHeight w:val="149"/>
        </w:trPr>
        <w:tc>
          <w:tcPr>
            <w:tcW w:w="721" w:type="pct"/>
            <w:tcMar>
              <w:left w:w="28" w:type="dxa"/>
              <w:right w:w="28" w:type="dxa"/>
            </w:tcMar>
          </w:tcPr>
          <w:p w:rsidR="00690C66" w:rsidRDefault="00690C66" w:rsidP="00690C66">
            <w:pPr>
              <w:pStyle w:val="Tablewriting"/>
              <w:keepNext/>
              <w:rPr>
                <w:rFonts w:eastAsia="MS Mincho"/>
              </w:rPr>
            </w:pPr>
            <w:r>
              <w:rPr>
                <w:rFonts w:eastAsia="MS Mincho"/>
              </w:rPr>
              <w:t>Selby</w:t>
            </w:r>
          </w:p>
          <w:p w:rsidR="00690C66" w:rsidRPr="00D468CF" w:rsidRDefault="00690C66" w:rsidP="00690C66">
            <w:pPr>
              <w:pStyle w:val="Tablewriting"/>
              <w:keepNext/>
              <w:rPr>
                <w:rFonts w:eastAsia="MS Mincho"/>
                <w:vertAlign w:val="superscript"/>
              </w:rPr>
            </w:pPr>
            <w:r>
              <w:rPr>
                <w:rFonts w:eastAsia="MS Mincho"/>
              </w:rPr>
              <w:t>(2003)</w:t>
            </w:r>
            <w:r>
              <w:rPr>
                <w:rFonts w:eastAsia="MS Mincho"/>
                <w:vertAlign w:val="superscript"/>
              </w:rPr>
              <w:t>2</w:t>
            </w:r>
          </w:p>
        </w:tc>
        <w:tc>
          <w:tcPr>
            <w:tcW w:w="920" w:type="pct"/>
            <w:vAlign w:val="center"/>
          </w:tcPr>
          <w:p w:rsidR="00690C66" w:rsidRDefault="00690C66" w:rsidP="00690C66">
            <w:pPr>
              <w:pStyle w:val="Tablewriting"/>
              <w:keepNext/>
              <w:jc w:val="center"/>
              <w:rPr>
                <w:rFonts w:eastAsia="MS Mincho"/>
              </w:rPr>
            </w:pPr>
            <w:r>
              <w:rPr>
                <w:rFonts w:eastAsia="MS Mincho"/>
              </w:rPr>
              <w:t>RCT</w:t>
            </w:r>
          </w:p>
        </w:tc>
        <w:tc>
          <w:tcPr>
            <w:tcW w:w="850" w:type="pct"/>
            <w:tcMar>
              <w:left w:w="28" w:type="dxa"/>
              <w:right w:w="28" w:type="dxa"/>
            </w:tcMar>
            <w:vAlign w:val="center"/>
          </w:tcPr>
          <w:p w:rsidR="00690C66" w:rsidRPr="00251B64" w:rsidRDefault="002C5370" w:rsidP="00690C66">
            <w:pPr>
              <w:pStyle w:val="Tablewriting"/>
              <w:keepNext/>
              <w:jc w:val="center"/>
              <w:rPr>
                <w:rFonts w:eastAsia="MS Mincho"/>
                <w:vertAlign w:val="superscript"/>
              </w:rPr>
            </w:pPr>
            <w:r>
              <w:rPr>
                <w:rFonts w:eastAsia="MS Mincho"/>
              </w:rPr>
              <w:t>18</w:t>
            </w:r>
            <w:r w:rsidR="00690C66" w:rsidRPr="00251B64">
              <w:rPr>
                <w:rFonts w:eastAsia="MS Mincho"/>
              </w:rPr>
              <w:t>/</w:t>
            </w:r>
            <w:r>
              <w:rPr>
                <w:rFonts w:eastAsia="MS Mincho"/>
              </w:rPr>
              <w:t>141</w:t>
            </w:r>
          </w:p>
          <w:p w:rsidR="00690C66" w:rsidRPr="00923953" w:rsidRDefault="00690C66" w:rsidP="00690C66">
            <w:pPr>
              <w:pStyle w:val="Tablewriting"/>
              <w:keepNext/>
              <w:jc w:val="center"/>
              <w:rPr>
                <w:rFonts w:eastAsia="MS Mincho"/>
                <w:vertAlign w:val="superscript"/>
              </w:rPr>
            </w:pPr>
            <w:r w:rsidRPr="00251B64">
              <w:rPr>
                <w:rFonts w:eastAsia="MS Mincho"/>
              </w:rPr>
              <w:t>(</w:t>
            </w:r>
            <w:r w:rsidR="00BF7692">
              <w:rPr>
                <w:rFonts w:eastAsia="MS Mincho"/>
              </w:rPr>
              <w:t>12.8</w:t>
            </w:r>
            <w:r w:rsidRPr="00251B64">
              <w:rPr>
                <w:rFonts w:eastAsia="MS Mincho"/>
              </w:rPr>
              <w:t>%)</w:t>
            </w:r>
          </w:p>
        </w:tc>
        <w:tc>
          <w:tcPr>
            <w:tcW w:w="851" w:type="pct"/>
            <w:tcMar>
              <w:left w:w="28" w:type="dxa"/>
              <w:right w:w="28" w:type="dxa"/>
            </w:tcMar>
            <w:vAlign w:val="center"/>
          </w:tcPr>
          <w:p w:rsidR="00690C66" w:rsidRPr="00251B64" w:rsidRDefault="006C6690" w:rsidP="00690C66">
            <w:pPr>
              <w:pStyle w:val="Tablewriting"/>
              <w:keepNext/>
              <w:jc w:val="center"/>
              <w:rPr>
                <w:rFonts w:eastAsia="MS Mincho"/>
              </w:rPr>
            </w:pPr>
            <w:r>
              <w:rPr>
                <w:rFonts w:eastAsia="MS Mincho"/>
              </w:rPr>
              <w:t>12</w:t>
            </w:r>
            <w:r w:rsidR="00690C66" w:rsidRPr="00251B64">
              <w:rPr>
                <w:rFonts w:eastAsia="MS Mincho"/>
              </w:rPr>
              <w:t>/</w:t>
            </w:r>
            <w:r>
              <w:rPr>
                <w:rFonts w:eastAsia="MS Mincho"/>
              </w:rPr>
              <w:t>143</w:t>
            </w:r>
          </w:p>
          <w:p w:rsidR="00690C66" w:rsidRPr="00923953" w:rsidRDefault="00690C66" w:rsidP="00690C66">
            <w:pPr>
              <w:pStyle w:val="Tablewriting"/>
              <w:keepNext/>
              <w:jc w:val="center"/>
              <w:rPr>
                <w:rFonts w:eastAsia="MS Mincho"/>
                <w:vertAlign w:val="superscript"/>
              </w:rPr>
            </w:pPr>
            <w:r w:rsidRPr="00251B64">
              <w:rPr>
                <w:rFonts w:eastAsia="MS Mincho"/>
              </w:rPr>
              <w:t>(</w:t>
            </w:r>
            <w:r w:rsidR="00E246E2">
              <w:rPr>
                <w:rFonts w:eastAsia="MS Mincho"/>
              </w:rPr>
              <w:t>8.4</w:t>
            </w:r>
            <w:r w:rsidRPr="00251B64">
              <w:rPr>
                <w:rFonts w:eastAsia="MS Mincho"/>
              </w:rPr>
              <w:t>%)</w:t>
            </w:r>
          </w:p>
        </w:tc>
        <w:tc>
          <w:tcPr>
            <w:tcW w:w="851" w:type="pct"/>
            <w:tcMar>
              <w:left w:w="28" w:type="dxa"/>
              <w:right w:w="28" w:type="dxa"/>
            </w:tcMar>
            <w:vAlign w:val="center"/>
          </w:tcPr>
          <w:p w:rsidR="00690C66" w:rsidRPr="008A019D" w:rsidRDefault="006C0A11" w:rsidP="00690C66">
            <w:pPr>
              <w:pStyle w:val="Tablewriting"/>
              <w:keepNext/>
              <w:jc w:val="center"/>
              <w:rPr>
                <w:rFonts w:eastAsia="MS Mincho"/>
              </w:rPr>
            </w:pPr>
            <w:r w:rsidRPr="008A019D">
              <w:rPr>
                <w:rFonts w:eastAsia="MS Mincho"/>
              </w:rPr>
              <w:t>1.52</w:t>
            </w:r>
          </w:p>
          <w:p w:rsidR="00690C66" w:rsidRPr="006A6520" w:rsidRDefault="00690C66" w:rsidP="00690C66">
            <w:pPr>
              <w:pStyle w:val="Tablewriting"/>
              <w:keepNext/>
              <w:jc w:val="center"/>
              <w:rPr>
                <w:rFonts w:eastAsia="MS Mincho"/>
              </w:rPr>
            </w:pPr>
            <w:r w:rsidRPr="008A019D">
              <w:rPr>
                <w:rFonts w:eastAsia="MS Mincho"/>
              </w:rPr>
              <w:t>(</w:t>
            </w:r>
            <w:r w:rsidR="008A019D" w:rsidRPr="008A019D">
              <w:rPr>
                <w:rFonts w:eastAsia="MS Mincho"/>
              </w:rPr>
              <w:t>0.76</w:t>
            </w:r>
            <w:r w:rsidRPr="008A019D">
              <w:rPr>
                <w:rFonts w:eastAsia="MS Mincho"/>
              </w:rPr>
              <w:t xml:space="preserve">, </w:t>
            </w:r>
            <w:r w:rsidR="008A019D" w:rsidRPr="008A019D">
              <w:rPr>
                <w:rFonts w:eastAsia="MS Mincho"/>
              </w:rPr>
              <w:t>3.04</w:t>
            </w:r>
            <w:r w:rsidRPr="008A019D">
              <w:rPr>
                <w:rFonts w:eastAsia="MS Mincho"/>
              </w:rPr>
              <w:t>)</w:t>
            </w:r>
          </w:p>
        </w:tc>
        <w:tc>
          <w:tcPr>
            <w:tcW w:w="807" w:type="pct"/>
            <w:vAlign w:val="center"/>
          </w:tcPr>
          <w:p w:rsidR="00690C66" w:rsidRPr="00D849A1" w:rsidRDefault="00D849A1" w:rsidP="00690C66">
            <w:pPr>
              <w:pStyle w:val="Tablewriting"/>
              <w:keepNext/>
              <w:jc w:val="center"/>
              <w:rPr>
                <w:rFonts w:eastAsia="MS Mincho"/>
              </w:rPr>
            </w:pPr>
            <w:r w:rsidRPr="00D849A1">
              <w:rPr>
                <w:rFonts w:eastAsia="MS Mincho"/>
              </w:rPr>
              <w:t>0.04</w:t>
            </w:r>
          </w:p>
          <w:p w:rsidR="00690C66" w:rsidRPr="006A6520" w:rsidRDefault="00D849A1" w:rsidP="00690C66">
            <w:pPr>
              <w:pStyle w:val="Tablewriting"/>
              <w:keepNext/>
              <w:jc w:val="center"/>
              <w:rPr>
                <w:rFonts w:eastAsia="MS Mincho"/>
              </w:rPr>
            </w:pPr>
            <w:r w:rsidRPr="00D849A1">
              <w:rPr>
                <w:rFonts w:eastAsia="MS Mincho"/>
              </w:rPr>
              <w:t>(-0.03, 0.12)</w:t>
            </w:r>
          </w:p>
        </w:tc>
      </w:tr>
      <w:tr w:rsidR="009D7BEC" w:rsidRPr="00061F78" w:rsidTr="00245D9D">
        <w:trPr>
          <w:cantSplit/>
          <w:trHeight w:val="149"/>
        </w:trPr>
        <w:tc>
          <w:tcPr>
            <w:tcW w:w="721" w:type="pct"/>
            <w:tcMar>
              <w:left w:w="28" w:type="dxa"/>
              <w:right w:w="28" w:type="dxa"/>
            </w:tcMar>
          </w:tcPr>
          <w:p w:rsidR="009D7BEC" w:rsidRPr="009439B1" w:rsidRDefault="009D7BEC" w:rsidP="00690C66">
            <w:pPr>
              <w:pStyle w:val="Tablewriting"/>
              <w:keepNext/>
              <w:rPr>
                <w:rFonts w:eastAsia="MS Mincho"/>
                <w:vertAlign w:val="superscript"/>
              </w:rPr>
            </w:pPr>
            <w:r w:rsidRPr="006771BE">
              <w:rPr>
                <w:rFonts w:eastAsia="MS Mincho"/>
              </w:rPr>
              <w:t>Meta-analysis</w:t>
            </w:r>
            <w:r w:rsidR="009439B1">
              <w:rPr>
                <w:rFonts w:eastAsia="MS Mincho"/>
                <w:vertAlign w:val="superscript"/>
              </w:rPr>
              <w:t>3</w:t>
            </w:r>
          </w:p>
        </w:tc>
        <w:tc>
          <w:tcPr>
            <w:tcW w:w="920" w:type="pct"/>
            <w:vAlign w:val="center"/>
          </w:tcPr>
          <w:p w:rsidR="009D7BEC" w:rsidRDefault="006771BE" w:rsidP="00690C66">
            <w:pPr>
              <w:pStyle w:val="Tablewriting"/>
              <w:keepNext/>
              <w:jc w:val="center"/>
              <w:rPr>
                <w:rFonts w:eastAsia="MS Mincho"/>
              </w:rPr>
            </w:pPr>
            <w:r>
              <w:rPr>
                <w:rFonts w:eastAsia="MS Mincho"/>
              </w:rPr>
              <w:t>2 RCTs</w:t>
            </w:r>
          </w:p>
        </w:tc>
        <w:tc>
          <w:tcPr>
            <w:tcW w:w="850" w:type="pct"/>
            <w:tcMar>
              <w:left w:w="28" w:type="dxa"/>
              <w:right w:w="28" w:type="dxa"/>
            </w:tcMar>
            <w:vAlign w:val="center"/>
          </w:tcPr>
          <w:p w:rsidR="009D7BEC" w:rsidRDefault="003027F2" w:rsidP="00690C66">
            <w:pPr>
              <w:pStyle w:val="Tablewriting"/>
              <w:keepNext/>
              <w:jc w:val="center"/>
              <w:rPr>
                <w:rFonts w:eastAsia="MS Mincho"/>
              </w:rPr>
            </w:pPr>
            <w:r>
              <w:rPr>
                <w:rFonts w:eastAsia="MS Mincho"/>
              </w:rPr>
              <w:t>38/367</w:t>
            </w:r>
          </w:p>
          <w:p w:rsidR="009D7BEC" w:rsidRDefault="003027F2" w:rsidP="00690C66">
            <w:pPr>
              <w:pStyle w:val="Tablewriting"/>
              <w:keepNext/>
              <w:jc w:val="center"/>
              <w:rPr>
                <w:rFonts w:eastAsia="MS Mincho"/>
              </w:rPr>
            </w:pPr>
            <w:r>
              <w:rPr>
                <w:rFonts w:eastAsia="MS Mincho"/>
              </w:rPr>
              <w:t>(</w:t>
            </w:r>
            <w:r w:rsidR="00D37A5C">
              <w:rPr>
                <w:rFonts w:eastAsia="MS Mincho"/>
              </w:rPr>
              <w:t>10.4</w:t>
            </w:r>
            <w:r>
              <w:rPr>
                <w:rFonts w:eastAsia="MS Mincho"/>
              </w:rPr>
              <w:t>%)</w:t>
            </w:r>
          </w:p>
        </w:tc>
        <w:tc>
          <w:tcPr>
            <w:tcW w:w="851" w:type="pct"/>
            <w:tcMar>
              <w:left w:w="28" w:type="dxa"/>
              <w:right w:w="28" w:type="dxa"/>
            </w:tcMar>
            <w:vAlign w:val="center"/>
          </w:tcPr>
          <w:p w:rsidR="009D7BEC" w:rsidRDefault="003027F2" w:rsidP="00690C66">
            <w:pPr>
              <w:pStyle w:val="Tablewriting"/>
              <w:keepNext/>
              <w:jc w:val="center"/>
              <w:rPr>
                <w:rFonts w:eastAsia="MS Mincho"/>
              </w:rPr>
            </w:pPr>
            <w:r>
              <w:rPr>
                <w:rFonts w:eastAsia="MS Mincho"/>
              </w:rPr>
              <w:t>17/367</w:t>
            </w:r>
          </w:p>
          <w:p w:rsidR="009D7BEC" w:rsidRDefault="003027F2" w:rsidP="00690C66">
            <w:pPr>
              <w:pStyle w:val="Tablewriting"/>
              <w:keepNext/>
              <w:jc w:val="center"/>
              <w:rPr>
                <w:rFonts w:eastAsia="MS Mincho"/>
              </w:rPr>
            </w:pPr>
            <w:r>
              <w:rPr>
                <w:rFonts w:eastAsia="MS Mincho"/>
              </w:rPr>
              <w:t>(</w:t>
            </w:r>
            <w:r w:rsidR="00D37A5C">
              <w:rPr>
                <w:rFonts w:eastAsia="MS Mincho"/>
              </w:rPr>
              <w:t>4.6</w:t>
            </w:r>
            <w:r>
              <w:rPr>
                <w:rFonts w:eastAsia="MS Mincho"/>
              </w:rPr>
              <w:t>%)</w:t>
            </w:r>
          </w:p>
        </w:tc>
        <w:tc>
          <w:tcPr>
            <w:tcW w:w="851" w:type="pct"/>
            <w:tcMar>
              <w:left w:w="28" w:type="dxa"/>
              <w:right w:w="28" w:type="dxa"/>
            </w:tcMar>
            <w:vAlign w:val="center"/>
          </w:tcPr>
          <w:p w:rsidR="009D7BEC" w:rsidRDefault="009A2217" w:rsidP="00690C66">
            <w:pPr>
              <w:pStyle w:val="Tablewriting"/>
              <w:keepNext/>
              <w:jc w:val="center"/>
              <w:rPr>
                <w:rFonts w:eastAsia="MS Mincho"/>
              </w:rPr>
            </w:pPr>
            <w:r>
              <w:rPr>
                <w:rFonts w:eastAsia="MS Mincho"/>
              </w:rPr>
              <w:t>2.31</w:t>
            </w:r>
          </w:p>
          <w:p w:rsidR="009D7BEC" w:rsidRPr="008A019D" w:rsidRDefault="009A2217" w:rsidP="00690C66">
            <w:pPr>
              <w:pStyle w:val="Tablewriting"/>
              <w:keepNext/>
              <w:jc w:val="center"/>
              <w:rPr>
                <w:rFonts w:eastAsia="MS Mincho"/>
              </w:rPr>
            </w:pPr>
            <w:r>
              <w:rPr>
                <w:rFonts w:eastAsia="MS Mincho"/>
              </w:rPr>
              <w:t>(0.90, 5.92)</w:t>
            </w:r>
          </w:p>
        </w:tc>
        <w:tc>
          <w:tcPr>
            <w:tcW w:w="807" w:type="pct"/>
            <w:vAlign w:val="center"/>
          </w:tcPr>
          <w:p w:rsidR="009D7BEC" w:rsidRDefault="00D849A1" w:rsidP="00690C66">
            <w:pPr>
              <w:pStyle w:val="Tablewriting"/>
              <w:keepNext/>
              <w:jc w:val="center"/>
              <w:rPr>
                <w:rFonts w:eastAsia="MS Mincho"/>
                <w:b/>
                <w:bCs/>
              </w:rPr>
            </w:pPr>
            <w:r>
              <w:rPr>
                <w:rFonts w:eastAsia="MS Mincho"/>
                <w:b/>
                <w:bCs/>
              </w:rPr>
              <w:t>0.06</w:t>
            </w:r>
          </w:p>
          <w:p w:rsidR="009D7BEC" w:rsidRDefault="00D849A1" w:rsidP="00690C66">
            <w:pPr>
              <w:pStyle w:val="Tablewriting"/>
              <w:keepNext/>
              <w:jc w:val="center"/>
              <w:rPr>
                <w:rFonts w:eastAsia="MS Mincho"/>
                <w:b/>
                <w:bCs/>
              </w:rPr>
            </w:pPr>
            <w:r>
              <w:rPr>
                <w:rFonts w:eastAsia="MS Mincho"/>
                <w:b/>
                <w:bCs/>
              </w:rPr>
              <w:t>(0.02, 0.10)</w:t>
            </w:r>
          </w:p>
        </w:tc>
      </w:tr>
    </w:tbl>
    <w:p w:rsidR="002D09A1" w:rsidRDefault="002D09A1" w:rsidP="002D09A1">
      <w:pPr>
        <w:pStyle w:val="TableFooter"/>
        <w:keepNext/>
      </w:pPr>
      <w:r>
        <w:t>Source: Howes et al. (2020)</w:t>
      </w:r>
    </w:p>
    <w:p w:rsidR="002D09A1" w:rsidRDefault="002D09A1" w:rsidP="002D09A1">
      <w:pPr>
        <w:pStyle w:val="TableFooter"/>
        <w:keepNext/>
        <w:rPr>
          <w:i/>
        </w:rPr>
      </w:pPr>
      <w:r>
        <w:t>Abbreviations: CI = confidence interval; RCT = randomised controlled trial; RR = risk ratio</w:t>
      </w:r>
      <w:r w:rsidRPr="00061F78">
        <w:t xml:space="preserve"> </w:t>
      </w:r>
    </w:p>
    <w:p w:rsidR="002D09A1" w:rsidRDefault="002D09A1" w:rsidP="002D09A1">
      <w:pPr>
        <w:pStyle w:val="TableFooter"/>
        <w:keepNext/>
      </w:pPr>
      <w:r w:rsidRPr="00D468CF">
        <w:t>Note</w:t>
      </w:r>
      <w:r>
        <w:t>s</w:t>
      </w:r>
      <w:r w:rsidRPr="00D468CF">
        <w:t>: Bold indicates statistically significant difference.</w:t>
      </w:r>
      <w:r>
        <w:br/>
        <w:t>1 Continuous abstinence rate at 12 months (</w:t>
      </w:r>
      <w:r w:rsidRPr="004A7BDC">
        <w:t xml:space="preserve">Week </w:t>
      </w:r>
      <w:r w:rsidR="004A7BDC" w:rsidRPr="004A7BDC">
        <w:t>4</w:t>
      </w:r>
      <w:r w:rsidRPr="004A7BDC">
        <w:t>-52</w:t>
      </w:r>
      <w:r>
        <w:t>)</w:t>
      </w:r>
      <w:r w:rsidR="00AB5FA3">
        <w:t>.</w:t>
      </w:r>
    </w:p>
    <w:p w:rsidR="002D09A1" w:rsidRDefault="002D09A1" w:rsidP="002D09A1">
      <w:pPr>
        <w:pStyle w:val="TableFooter"/>
        <w:keepNext/>
      </w:pPr>
      <w:r>
        <w:t xml:space="preserve">2 </w:t>
      </w:r>
      <w:r w:rsidR="00412409">
        <w:t>Point prevalen</w:t>
      </w:r>
      <w:r w:rsidR="004677E9">
        <w:t>ce</w:t>
      </w:r>
      <w:r w:rsidR="00412409">
        <w:t xml:space="preserve"> abstinence</w:t>
      </w:r>
      <w:r w:rsidRPr="00383947">
        <w:t xml:space="preserve"> at </w:t>
      </w:r>
      <w:r w:rsidR="00412409">
        <w:t>12</w:t>
      </w:r>
      <w:r w:rsidRPr="00383947">
        <w:t xml:space="preserve"> months</w:t>
      </w:r>
      <w:r w:rsidR="00AB5FA3">
        <w:t>.</w:t>
      </w:r>
    </w:p>
    <w:p w:rsidR="009A2217" w:rsidRDefault="009A2217" w:rsidP="002D09A1">
      <w:pPr>
        <w:pStyle w:val="TableFooter"/>
        <w:keepNext/>
      </w:pPr>
      <w:r w:rsidRPr="00A304FC">
        <w:t>3 Calculated during the review using a random-effect model</w:t>
      </w:r>
      <w:r w:rsidR="00AB5FA3">
        <w:t>.</w:t>
      </w:r>
    </w:p>
    <w:p w:rsidR="00233626" w:rsidRDefault="00233626" w:rsidP="00233626">
      <w:r w:rsidRPr="004E3996">
        <w:t xml:space="preserve">The results of the individual studies included in </w:t>
      </w:r>
      <w:r>
        <w:t>the meta-analysis</w:t>
      </w:r>
      <w:r w:rsidR="00323EA3">
        <w:t xml:space="preserve"> </w:t>
      </w:r>
      <w:r w:rsidRPr="004E3996">
        <w:t>are presented using a forest plot</w:t>
      </w:r>
      <w:r w:rsidR="00323EA3">
        <w:t xml:space="preserve"> in </w:t>
      </w:r>
      <w:r w:rsidR="003C4A1C">
        <w:t xml:space="preserve">Figure </w:t>
      </w:r>
      <w:r w:rsidR="003C4A1C">
        <w:rPr>
          <w:noProof/>
        </w:rPr>
        <w:t>11</w:t>
      </w:r>
      <w:r w:rsidR="00323EA3">
        <w:t>.</w:t>
      </w:r>
    </w:p>
    <w:p w:rsidR="009C7DA8" w:rsidRDefault="00A9520E" w:rsidP="009C7DA8">
      <w:pPr>
        <w:keepNext/>
      </w:pPr>
      <w:r>
        <w:rPr>
          <w:noProof/>
        </w:rPr>
        <w:drawing>
          <wp:inline distT="0" distB="0" distL="0" distR="0" wp14:anchorId="4861F15E" wp14:editId="3FB6F225">
            <wp:extent cx="5731510" cy="1180465"/>
            <wp:effectExtent l="0" t="0" r="254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0">
                      <a:extLst>
                        <a:ext uri="{28A0092B-C50C-407E-A947-70E740481C1C}">
                          <a14:useLocalDpi xmlns:a14="http://schemas.microsoft.com/office/drawing/2010/main" val="0"/>
                        </a:ext>
                      </a:extLst>
                    </a:blip>
                    <a:stretch>
                      <a:fillRect/>
                    </a:stretch>
                  </pic:blipFill>
                  <pic:spPr>
                    <a:xfrm>
                      <a:off x="0" y="0"/>
                      <a:ext cx="5731510" cy="1180465"/>
                    </a:xfrm>
                    <a:prstGeom prst="rect">
                      <a:avLst/>
                    </a:prstGeom>
                  </pic:spPr>
                </pic:pic>
              </a:graphicData>
            </a:graphic>
          </wp:inline>
        </w:drawing>
      </w:r>
    </w:p>
    <w:p w:rsidR="00A9520E" w:rsidRDefault="009C7DA8" w:rsidP="009C7DA8">
      <w:pPr>
        <w:pStyle w:val="Caption"/>
      </w:pPr>
      <w:bookmarkStart w:id="120" w:name="_Ref61204312"/>
      <w:r>
        <w:t xml:space="preserve">Figure </w:t>
      </w:r>
      <w:r w:rsidR="003C4A1C">
        <w:rPr>
          <w:noProof/>
        </w:rPr>
        <w:t>11</w:t>
      </w:r>
      <w:bookmarkEnd w:id="120"/>
      <w:r>
        <w:t xml:space="preserve">: </w:t>
      </w:r>
      <w:r w:rsidRPr="00712294">
        <w:t xml:space="preserve">Results of smoking cessation at 12 months, </w:t>
      </w:r>
      <w:r w:rsidR="00233626">
        <w:t>bupropion</w:t>
      </w:r>
      <w:r w:rsidRPr="00712294">
        <w:t xml:space="preserve"> versus placebo</w:t>
      </w:r>
      <w:r w:rsidR="00C90A5F">
        <w:t xml:space="preserve"> </w:t>
      </w:r>
      <w:r w:rsidR="00C90A5F" w:rsidRPr="0074518D">
        <w:t>in non-abstainers as retreatment</w:t>
      </w:r>
    </w:p>
    <w:p w:rsidR="00233626" w:rsidRDefault="00233626" w:rsidP="00233626">
      <w:pPr>
        <w:pStyle w:val="FigureFooter"/>
      </w:pPr>
      <w:r>
        <w:t>Source: Howes et al. (2020)</w:t>
      </w:r>
    </w:p>
    <w:p w:rsidR="00233626" w:rsidRPr="00233626" w:rsidRDefault="00233626" w:rsidP="00853D24">
      <w:pPr>
        <w:pStyle w:val="FigureFooter"/>
      </w:pPr>
      <w:r w:rsidRPr="00D041F9">
        <w:t>Abbreviations: CI = confidence interval</w:t>
      </w:r>
    </w:p>
    <w:p w:rsidR="00FD745A" w:rsidRPr="0073597F" w:rsidRDefault="00FD745A" w:rsidP="00FD745A">
      <w:pPr>
        <w:rPr>
          <w:u w:val="single"/>
        </w:rPr>
      </w:pPr>
      <w:r w:rsidRPr="0073597F">
        <w:rPr>
          <w:u w:val="single"/>
        </w:rPr>
        <w:t>Safety</w:t>
      </w:r>
    </w:p>
    <w:p w:rsidR="00A770B3" w:rsidRPr="00A770B3" w:rsidRDefault="00FD745A" w:rsidP="00A770B3">
      <w:r w:rsidRPr="00F423F8">
        <w:t xml:space="preserve">The incidence of adverse events comparing </w:t>
      </w:r>
      <w:r>
        <w:t>bupropion with placebo in non-abstainers as retreatment</w:t>
      </w:r>
      <w:r w:rsidRPr="00F423F8">
        <w:t xml:space="preserve"> was not synthesised quantitatively by </w:t>
      </w:r>
      <w:r w:rsidR="00135CD6">
        <w:t>Howes</w:t>
      </w:r>
      <w:r w:rsidRPr="002C1625">
        <w:t xml:space="preserve"> et al. (20</w:t>
      </w:r>
      <w:r w:rsidR="00135CD6">
        <w:t>20</w:t>
      </w:r>
      <w:r w:rsidRPr="002C1625">
        <w:t>)</w:t>
      </w:r>
      <w:r w:rsidRPr="00F423F8">
        <w:t>.</w:t>
      </w:r>
      <w:r w:rsidR="00680920">
        <w:t xml:space="preserve"> It was noted that </w:t>
      </w:r>
      <w:r w:rsidR="00DA1357">
        <w:t xml:space="preserve">the </w:t>
      </w:r>
      <w:r w:rsidR="00F70B11">
        <w:lastRenderedPageBreak/>
        <w:t xml:space="preserve">safety </w:t>
      </w:r>
      <w:r w:rsidR="00DA1357">
        <w:t xml:space="preserve">results </w:t>
      </w:r>
      <w:r w:rsidR="00F70B11">
        <w:t xml:space="preserve">of Gonzales et al. (2001) were included in the </w:t>
      </w:r>
      <w:r w:rsidR="00D9419B">
        <w:t>overall</w:t>
      </w:r>
      <w:r w:rsidR="00C96C82">
        <w:t xml:space="preserve"> </w:t>
      </w:r>
      <w:r w:rsidR="006313B1">
        <w:t>safety analysis of bupropion versus placebo conducted by Howes</w:t>
      </w:r>
      <w:r w:rsidR="00DE013D">
        <w:t xml:space="preserve"> et al. (2020), presented in the treatment-naïve population section.</w:t>
      </w:r>
    </w:p>
    <w:p w:rsidR="004A7AD0" w:rsidRDefault="004A7AD0" w:rsidP="00FD745A">
      <w:r w:rsidRPr="004A7AD0">
        <w:t xml:space="preserve">Based on the </w:t>
      </w:r>
      <w:r w:rsidR="00BA484B">
        <w:t>meta-analysis of</w:t>
      </w:r>
      <w:r w:rsidRPr="004A7AD0">
        <w:t xml:space="preserve"> Gonzales et al. (20</w:t>
      </w:r>
      <w:r>
        <w:t>01</w:t>
      </w:r>
      <w:r w:rsidRPr="004A7AD0">
        <w:t>)</w:t>
      </w:r>
      <w:r w:rsidR="00BA484B">
        <w:t xml:space="preserve"> and Selby et al. (2003</w:t>
      </w:r>
      <w:r w:rsidRPr="004A7AD0">
        <w:t xml:space="preserve">), a significantly higher proportion of patients in the </w:t>
      </w:r>
      <w:r w:rsidR="00926621">
        <w:t>bupropion</w:t>
      </w:r>
      <w:r w:rsidRPr="004A7AD0">
        <w:t xml:space="preserve"> arm experienced a</w:t>
      </w:r>
      <w:r w:rsidR="00926621">
        <w:t>ny a</w:t>
      </w:r>
      <w:r w:rsidRPr="004A7AD0">
        <w:t>dverse events compared to patients in the placebo arm (</w:t>
      </w:r>
      <w:r w:rsidR="003C4A1C">
        <w:t xml:space="preserve">Table </w:t>
      </w:r>
      <w:r w:rsidR="003C4A1C">
        <w:rPr>
          <w:noProof/>
        </w:rPr>
        <w:t>45</w:t>
      </w:r>
      <w:r w:rsidRPr="004A7AD0">
        <w:t>). There were no statistically significant differences between the two treatment arms for serious adverse events</w:t>
      </w:r>
      <w:r w:rsidR="003E0E40">
        <w:t xml:space="preserve"> and discontinuation due to adverse events</w:t>
      </w:r>
      <w:r w:rsidRPr="004A7AD0">
        <w:t xml:space="preserve">, although a </w:t>
      </w:r>
      <w:r w:rsidR="00FF6D45">
        <w:t xml:space="preserve">numerically </w:t>
      </w:r>
      <w:r w:rsidRPr="004A7AD0">
        <w:t>higher incidence</w:t>
      </w:r>
      <w:r w:rsidR="00FF6D45">
        <w:t xml:space="preserve"> rate</w:t>
      </w:r>
      <w:r w:rsidRPr="004A7AD0">
        <w:t xml:space="preserve"> was observed in the </w:t>
      </w:r>
      <w:r w:rsidR="00DA2039">
        <w:t>bupropion</w:t>
      </w:r>
      <w:r w:rsidRPr="004A7AD0">
        <w:t xml:space="preserve"> arm</w:t>
      </w:r>
      <w:r w:rsidR="002D22C9">
        <w:t xml:space="preserve">, noting that </w:t>
      </w:r>
      <w:r w:rsidR="00D6117E">
        <w:t>the outcome of discontinuation due to adverse events was not reported in Selby et al. (2003).</w:t>
      </w:r>
    </w:p>
    <w:p w:rsidR="00DA2039" w:rsidRDefault="00DA2039" w:rsidP="00DA2039">
      <w:pPr>
        <w:pStyle w:val="Caption"/>
        <w:keepNext/>
      </w:pPr>
      <w:bookmarkStart w:id="121" w:name="_Ref54968727"/>
      <w:r>
        <w:t xml:space="preserve">Table </w:t>
      </w:r>
      <w:r w:rsidR="003C4A1C">
        <w:rPr>
          <w:noProof/>
        </w:rPr>
        <w:t>45</w:t>
      </w:r>
      <w:bookmarkEnd w:id="121"/>
      <w:r>
        <w:t xml:space="preserve">: </w:t>
      </w:r>
      <w:r w:rsidRPr="001E6825">
        <w:t xml:space="preserve">Summary of key adverse events, </w:t>
      </w:r>
      <w:r>
        <w:t>bupropion</w:t>
      </w:r>
      <w:r w:rsidRPr="001E6825">
        <w:t xml:space="preserve"> versus placebo</w:t>
      </w:r>
      <w:r w:rsidR="00C90A5F">
        <w:t xml:space="preserve"> </w:t>
      </w:r>
      <w:r w:rsidR="00C90A5F" w:rsidRPr="0074518D">
        <w:t>in non-abstainers as retreatment</w:t>
      </w:r>
    </w:p>
    <w:tbl>
      <w:tblPr>
        <w:tblStyle w:val="TableGrid"/>
        <w:tblW w:w="5000" w:type="pct"/>
        <w:tblLook w:val="04A0" w:firstRow="1" w:lastRow="0" w:firstColumn="1" w:lastColumn="0" w:noHBand="0" w:noVBand="1"/>
        <w:tblCaption w:val="Efficacy results of adalimumab trials (PASI 75 and DLQI)"/>
      </w:tblPr>
      <w:tblGrid>
        <w:gridCol w:w="2260"/>
        <w:gridCol w:w="1581"/>
        <w:gridCol w:w="1311"/>
        <w:gridCol w:w="1311"/>
        <w:gridCol w:w="1311"/>
        <w:gridCol w:w="1242"/>
      </w:tblGrid>
      <w:tr w:rsidR="00861780" w:rsidRPr="00061F78" w:rsidTr="006418CF">
        <w:trPr>
          <w:cantSplit/>
          <w:trHeight w:val="299"/>
          <w:tblHeader/>
        </w:trPr>
        <w:tc>
          <w:tcPr>
            <w:tcW w:w="1253" w:type="pct"/>
            <w:shd w:val="clear" w:color="auto" w:fill="BFBFBF" w:themeFill="background1" w:themeFillShade="BF"/>
            <w:tcMar>
              <w:left w:w="28" w:type="dxa"/>
              <w:right w:w="28" w:type="dxa"/>
            </w:tcMar>
          </w:tcPr>
          <w:p w:rsidR="00861780" w:rsidRDefault="00861780" w:rsidP="004766D2">
            <w:pPr>
              <w:pStyle w:val="Tableheading"/>
              <w:keepNext/>
              <w:rPr>
                <w:rFonts w:eastAsia="MS Mincho"/>
              </w:rPr>
            </w:pPr>
            <w:r>
              <w:rPr>
                <w:rFonts w:eastAsia="MS Mincho"/>
              </w:rPr>
              <w:t>Outcome</w:t>
            </w:r>
          </w:p>
        </w:tc>
        <w:tc>
          <w:tcPr>
            <w:tcW w:w="877" w:type="pct"/>
            <w:shd w:val="clear" w:color="auto" w:fill="BFBFBF" w:themeFill="background1" w:themeFillShade="BF"/>
          </w:tcPr>
          <w:p w:rsidR="00DB4B70" w:rsidRDefault="00DB4B70" w:rsidP="004766D2">
            <w:pPr>
              <w:pStyle w:val="Tableheading"/>
              <w:keepNext/>
              <w:jc w:val="center"/>
              <w:rPr>
                <w:rFonts w:eastAsia="MS Mincho"/>
              </w:rPr>
            </w:pPr>
            <w:r>
              <w:rPr>
                <w:rFonts w:eastAsia="MS Mincho"/>
              </w:rPr>
              <w:t>Study type</w:t>
            </w:r>
          </w:p>
        </w:tc>
        <w:tc>
          <w:tcPr>
            <w:tcW w:w="727" w:type="pct"/>
            <w:shd w:val="clear" w:color="auto" w:fill="BFBFBF" w:themeFill="background1" w:themeFillShade="BF"/>
            <w:tcMar>
              <w:left w:w="28" w:type="dxa"/>
              <w:right w:w="28" w:type="dxa"/>
            </w:tcMar>
            <w:vAlign w:val="center"/>
          </w:tcPr>
          <w:p w:rsidR="00861780" w:rsidRPr="00061F78" w:rsidRDefault="00861780" w:rsidP="004766D2">
            <w:pPr>
              <w:pStyle w:val="Tableheading"/>
              <w:keepNext/>
              <w:jc w:val="center"/>
              <w:rPr>
                <w:rFonts w:eastAsia="MS Mincho"/>
              </w:rPr>
            </w:pPr>
            <w:r>
              <w:rPr>
                <w:rFonts w:eastAsia="MS Mincho"/>
              </w:rPr>
              <w:t>Bupropion</w:t>
            </w:r>
          </w:p>
        </w:tc>
        <w:tc>
          <w:tcPr>
            <w:tcW w:w="727" w:type="pct"/>
            <w:shd w:val="clear" w:color="auto" w:fill="BFBFBF" w:themeFill="background1" w:themeFillShade="BF"/>
            <w:tcMar>
              <w:left w:w="28" w:type="dxa"/>
              <w:right w:w="28" w:type="dxa"/>
            </w:tcMar>
            <w:vAlign w:val="center"/>
          </w:tcPr>
          <w:p w:rsidR="00861780" w:rsidRPr="00061F78" w:rsidRDefault="00861780" w:rsidP="004766D2">
            <w:pPr>
              <w:pStyle w:val="Tableheading"/>
              <w:keepNext/>
              <w:jc w:val="center"/>
              <w:rPr>
                <w:rFonts w:eastAsia="MS Mincho"/>
              </w:rPr>
            </w:pPr>
            <w:r w:rsidRPr="00061F78">
              <w:rPr>
                <w:rFonts w:eastAsia="MS Mincho"/>
              </w:rPr>
              <w:t>Placebo</w:t>
            </w:r>
          </w:p>
        </w:tc>
        <w:tc>
          <w:tcPr>
            <w:tcW w:w="727" w:type="pct"/>
            <w:shd w:val="clear" w:color="auto" w:fill="BFBFBF" w:themeFill="background1" w:themeFillShade="BF"/>
            <w:tcMar>
              <w:left w:w="28" w:type="dxa"/>
              <w:right w:w="28" w:type="dxa"/>
            </w:tcMar>
            <w:vAlign w:val="center"/>
          </w:tcPr>
          <w:p w:rsidR="00861780" w:rsidRPr="00D468CF" w:rsidRDefault="00861780" w:rsidP="004766D2">
            <w:pPr>
              <w:pStyle w:val="Tableheading"/>
              <w:keepNext/>
              <w:jc w:val="center"/>
              <w:rPr>
                <w:rFonts w:eastAsia="MS Mincho"/>
                <w:vertAlign w:val="superscript"/>
              </w:rPr>
            </w:pPr>
            <w:r>
              <w:rPr>
                <w:rFonts w:eastAsia="MS Mincho"/>
              </w:rPr>
              <w:t>RR (95% CI)</w:t>
            </w:r>
          </w:p>
        </w:tc>
        <w:tc>
          <w:tcPr>
            <w:tcW w:w="689" w:type="pct"/>
            <w:shd w:val="clear" w:color="auto" w:fill="BFBFBF" w:themeFill="background1" w:themeFillShade="BF"/>
            <w:vAlign w:val="center"/>
          </w:tcPr>
          <w:p w:rsidR="00861780" w:rsidRDefault="00861780" w:rsidP="004766D2">
            <w:pPr>
              <w:pStyle w:val="Tableheading"/>
              <w:keepNext/>
              <w:jc w:val="center"/>
              <w:rPr>
                <w:rFonts w:eastAsia="MS Mincho"/>
              </w:rPr>
            </w:pPr>
            <w:r>
              <w:rPr>
                <w:rFonts w:eastAsia="MS Mincho"/>
              </w:rPr>
              <w:t>RD (95% CI)</w:t>
            </w:r>
          </w:p>
        </w:tc>
      </w:tr>
      <w:tr w:rsidR="00861780" w:rsidRPr="00061F78" w:rsidTr="006418CF">
        <w:trPr>
          <w:cantSplit/>
          <w:trHeight w:val="99"/>
        </w:trPr>
        <w:tc>
          <w:tcPr>
            <w:tcW w:w="1253" w:type="pct"/>
            <w:shd w:val="clear" w:color="auto" w:fill="auto"/>
            <w:tcMar>
              <w:left w:w="28" w:type="dxa"/>
              <w:right w:w="28" w:type="dxa"/>
            </w:tcMar>
          </w:tcPr>
          <w:p w:rsidR="00861780" w:rsidRPr="001B4846" w:rsidRDefault="00861780" w:rsidP="004766D2">
            <w:pPr>
              <w:pStyle w:val="Tablewriting"/>
              <w:keepNext/>
              <w:rPr>
                <w:rFonts w:eastAsia="MS Mincho"/>
                <w:vertAlign w:val="superscript"/>
              </w:rPr>
            </w:pPr>
            <w:r>
              <w:rPr>
                <w:rFonts w:eastAsia="MS Mincho"/>
              </w:rPr>
              <w:t xml:space="preserve">Adverse </w:t>
            </w:r>
            <w:r w:rsidR="00DB4B70">
              <w:rPr>
                <w:rFonts w:eastAsia="MS Mincho"/>
              </w:rPr>
              <w:t>events</w:t>
            </w:r>
            <w:r w:rsidR="001B4846">
              <w:rPr>
                <w:rFonts w:eastAsia="MS Mincho"/>
                <w:vertAlign w:val="superscript"/>
              </w:rPr>
              <w:t>1</w:t>
            </w:r>
          </w:p>
        </w:tc>
        <w:tc>
          <w:tcPr>
            <w:tcW w:w="877" w:type="pct"/>
            <w:vAlign w:val="center"/>
          </w:tcPr>
          <w:p w:rsidR="00DB4B70" w:rsidRDefault="00DB4B70" w:rsidP="00DB4B70">
            <w:pPr>
              <w:pStyle w:val="Tablewriting"/>
              <w:keepNext/>
              <w:jc w:val="center"/>
              <w:rPr>
                <w:rFonts w:eastAsia="MS Mincho"/>
              </w:rPr>
            </w:pPr>
            <w:r>
              <w:rPr>
                <w:rFonts w:eastAsia="MS Mincho"/>
              </w:rPr>
              <w:t>2 RCTs</w:t>
            </w:r>
          </w:p>
        </w:tc>
        <w:tc>
          <w:tcPr>
            <w:tcW w:w="727" w:type="pct"/>
            <w:shd w:val="clear" w:color="auto" w:fill="auto"/>
            <w:tcMar>
              <w:left w:w="28" w:type="dxa"/>
              <w:right w:w="28" w:type="dxa"/>
            </w:tcMar>
            <w:vAlign w:val="center"/>
          </w:tcPr>
          <w:p w:rsidR="00861780" w:rsidRPr="00F423F8" w:rsidRDefault="001B5EE3" w:rsidP="004766D2">
            <w:pPr>
              <w:pStyle w:val="Tablewriting"/>
              <w:keepNext/>
              <w:jc w:val="center"/>
              <w:rPr>
                <w:rFonts w:eastAsia="MS Mincho"/>
                <w:vertAlign w:val="superscript"/>
              </w:rPr>
            </w:pPr>
            <w:r>
              <w:rPr>
                <w:rFonts w:eastAsia="MS Mincho"/>
              </w:rPr>
              <w:t>284</w:t>
            </w:r>
            <w:r w:rsidR="00DB4B70">
              <w:rPr>
                <w:rFonts w:eastAsia="MS Mincho"/>
              </w:rPr>
              <w:t>/</w:t>
            </w:r>
            <w:r>
              <w:rPr>
                <w:rFonts w:eastAsia="MS Mincho"/>
              </w:rPr>
              <w:t>367</w:t>
            </w:r>
          </w:p>
          <w:p w:rsidR="00861780" w:rsidRDefault="00861780" w:rsidP="004766D2">
            <w:pPr>
              <w:pStyle w:val="Tablewriting"/>
              <w:keepNext/>
              <w:jc w:val="center"/>
              <w:rPr>
                <w:rFonts w:eastAsia="MS Mincho"/>
              </w:rPr>
            </w:pPr>
            <w:r>
              <w:rPr>
                <w:rFonts w:eastAsia="MS Mincho"/>
              </w:rPr>
              <w:t>(</w:t>
            </w:r>
            <w:r w:rsidR="005C39B1">
              <w:rPr>
                <w:rFonts w:eastAsia="MS Mincho"/>
              </w:rPr>
              <w:t>77.4</w:t>
            </w:r>
            <w:r>
              <w:rPr>
                <w:rFonts w:eastAsia="MS Mincho"/>
              </w:rPr>
              <w:t>%)</w:t>
            </w:r>
          </w:p>
        </w:tc>
        <w:tc>
          <w:tcPr>
            <w:tcW w:w="727" w:type="pct"/>
            <w:shd w:val="clear" w:color="auto" w:fill="auto"/>
            <w:tcMar>
              <w:left w:w="28" w:type="dxa"/>
              <w:right w:w="28" w:type="dxa"/>
            </w:tcMar>
            <w:vAlign w:val="center"/>
          </w:tcPr>
          <w:p w:rsidR="00861780" w:rsidRDefault="00490129" w:rsidP="004766D2">
            <w:pPr>
              <w:pStyle w:val="Tablewriting"/>
              <w:keepNext/>
              <w:jc w:val="center"/>
              <w:rPr>
                <w:rFonts w:eastAsia="MS Mincho"/>
              </w:rPr>
            </w:pPr>
            <w:r>
              <w:rPr>
                <w:rFonts w:eastAsia="MS Mincho"/>
              </w:rPr>
              <w:t>229</w:t>
            </w:r>
            <w:r w:rsidR="00DB4B70">
              <w:rPr>
                <w:rFonts w:eastAsia="MS Mincho"/>
              </w:rPr>
              <w:t>/</w:t>
            </w:r>
            <w:r>
              <w:rPr>
                <w:rFonts w:eastAsia="MS Mincho"/>
              </w:rPr>
              <w:t>367</w:t>
            </w:r>
          </w:p>
          <w:p w:rsidR="00861780" w:rsidRDefault="00861780" w:rsidP="004766D2">
            <w:pPr>
              <w:pStyle w:val="Tablewriting"/>
              <w:keepNext/>
              <w:jc w:val="center"/>
              <w:rPr>
                <w:rFonts w:eastAsia="MS Mincho"/>
              </w:rPr>
            </w:pPr>
            <w:r>
              <w:rPr>
                <w:rFonts w:eastAsia="MS Mincho"/>
              </w:rPr>
              <w:t>(</w:t>
            </w:r>
            <w:r w:rsidR="00DD6A90">
              <w:rPr>
                <w:rFonts w:eastAsia="MS Mincho"/>
              </w:rPr>
              <w:t>62.4</w:t>
            </w:r>
            <w:r>
              <w:rPr>
                <w:rFonts w:eastAsia="MS Mincho"/>
              </w:rPr>
              <w:t>%)</w:t>
            </w:r>
          </w:p>
        </w:tc>
        <w:tc>
          <w:tcPr>
            <w:tcW w:w="727" w:type="pct"/>
            <w:shd w:val="clear" w:color="auto" w:fill="auto"/>
            <w:tcMar>
              <w:left w:w="28" w:type="dxa"/>
              <w:right w:w="28" w:type="dxa"/>
            </w:tcMar>
            <w:vAlign w:val="center"/>
          </w:tcPr>
          <w:p w:rsidR="00DB4B70" w:rsidRDefault="00490129" w:rsidP="004766D2">
            <w:pPr>
              <w:pStyle w:val="Tablewriting"/>
              <w:keepNext/>
              <w:jc w:val="center"/>
              <w:rPr>
                <w:rFonts w:eastAsia="MS Mincho"/>
                <w:b/>
                <w:bCs/>
              </w:rPr>
            </w:pPr>
            <w:r>
              <w:rPr>
                <w:rFonts w:eastAsia="MS Mincho"/>
                <w:b/>
                <w:bCs/>
              </w:rPr>
              <w:t>1.25</w:t>
            </w:r>
          </w:p>
          <w:p w:rsidR="00861780" w:rsidRPr="00F360FD" w:rsidRDefault="00861780" w:rsidP="004766D2">
            <w:pPr>
              <w:pStyle w:val="Tablewriting"/>
              <w:keepNext/>
              <w:jc w:val="center"/>
              <w:rPr>
                <w:rFonts w:eastAsia="MS Mincho"/>
                <w:b/>
              </w:rPr>
            </w:pPr>
            <w:r w:rsidRPr="00F360FD">
              <w:rPr>
                <w:rFonts w:eastAsia="MS Mincho"/>
                <w:b/>
                <w:bCs/>
              </w:rPr>
              <w:t>(</w:t>
            </w:r>
            <w:r>
              <w:rPr>
                <w:rFonts w:eastAsia="MS Mincho"/>
                <w:b/>
                <w:bCs/>
              </w:rPr>
              <w:t>1.</w:t>
            </w:r>
            <w:r w:rsidR="00490129">
              <w:rPr>
                <w:rFonts w:eastAsia="MS Mincho"/>
                <w:b/>
                <w:bCs/>
              </w:rPr>
              <w:t>13</w:t>
            </w:r>
            <w:r w:rsidRPr="00F360FD">
              <w:rPr>
                <w:rFonts w:eastAsia="MS Mincho"/>
                <w:b/>
                <w:bCs/>
              </w:rPr>
              <w:t xml:space="preserve">, </w:t>
            </w:r>
            <w:r>
              <w:rPr>
                <w:rFonts w:eastAsia="MS Mincho"/>
                <w:b/>
                <w:bCs/>
              </w:rPr>
              <w:t>1.</w:t>
            </w:r>
            <w:r w:rsidR="00490129">
              <w:rPr>
                <w:rFonts w:eastAsia="MS Mincho"/>
                <w:b/>
                <w:bCs/>
              </w:rPr>
              <w:t>37</w:t>
            </w:r>
            <w:r w:rsidRPr="00F360FD">
              <w:rPr>
                <w:rFonts w:eastAsia="MS Mincho"/>
                <w:b/>
                <w:bCs/>
              </w:rPr>
              <w:t>)</w:t>
            </w:r>
          </w:p>
        </w:tc>
        <w:tc>
          <w:tcPr>
            <w:tcW w:w="689" w:type="pct"/>
            <w:shd w:val="clear" w:color="auto" w:fill="auto"/>
            <w:vAlign w:val="center"/>
          </w:tcPr>
          <w:p w:rsidR="00DB4B70" w:rsidRPr="001B4846" w:rsidRDefault="00490129" w:rsidP="004766D2">
            <w:pPr>
              <w:pStyle w:val="Tablewriting"/>
              <w:keepNext/>
              <w:jc w:val="center"/>
              <w:rPr>
                <w:rFonts w:eastAsia="MS Mincho"/>
                <w:b/>
                <w:bCs/>
              </w:rPr>
            </w:pPr>
            <w:r w:rsidRPr="001B4846">
              <w:rPr>
                <w:rFonts w:eastAsia="MS Mincho"/>
                <w:b/>
                <w:bCs/>
              </w:rPr>
              <w:t>0.15</w:t>
            </w:r>
          </w:p>
          <w:p w:rsidR="00861780" w:rsidRPr="00061F78" w:rsidRDefault="00490129" w:rsidP="004766D2">
            <w:pPr>
              <w:pStyle w:val="Tablewriting"/>
              <w:keepNext/>
              <w:jc w:val="center"/>
              <w:rPr>
                <w:rFonts w:eastAsia="MS Mincho"/>
              </w:rPr>
            </w:pPr>
            <w:r w:rsidRPr="001B4846">
              <w:rPr>
                <w:rFonts w:eastAsia="MS Mincho"/>
                <w:b/>
                <w:bCs/>
              </w:rPr>
              <w:t>(0.09, 0.22)</w:t>
            </w:r>
          </w:p>
        </w:tc>
      </w:tr>
      <w:tr w:rsidR="00861780" w:rsidRPr="00061F78" w:rsidTr="006418CF">
        <w:trPr>
          <w:cantSplit/>
          <w:trHeight w:val="149"/>
        </w:trPr>
        <w:tc>
          <w:tcPr>
            <w:tcW w:w="1253" w:type="pct"/>
            <w:tcMar>
              <w:left w:w="28" w:type="dxa"/>
              <w:right w:w="28" w:type="dxa"/>
            </w:tcMar>
          </w:tcPr>
          <w:p w:rsidR="00861780" w:rsidRPr="001B4846" w:rsidRDefault="00861780" w:rsidP="004766D2">
            <w:pPr>
              <w:pStyle w:val="Tablewriting"/>
              <w:keepNext/>
              <w:rPr>
                <w:rFonts w:eastAsia="MS Mincho"/>
                <w:vertAlign w:val="superscript"/>
              </w:rPr>
            </w:pPr>
            <w:r>
              <w:rPr>
                <w:rFonts w:eastAsia="MS Mincho"/>
              </w:rPr>
              <w:t xml:space="preserve">Serious adverse </w:t>
            </w:r>
            <w:r w:rsidR="00DB4B70">
              <w:rPr>
                <w:rFonts w:eastAsia="MS Mincho"/>
              </w:rPr>
              <w:t>events</w:t>
            </w:r>
            <w:r w:rsidR="001B4846">
              <w:rPr>
                <w:rFonts w:eastAsia="MS Mincho"/>
                <w:vertAlign w:val="superscript"/>
              </w:rPr>
              <w:t>1</w:t>
            </w:r>
          </w:p>
        </w:tc>
        <w:tc>
          <w:tcPr>
            <w:tcW w:w="877" w:type="pct"/>
            <w:vAlign w:val="center"/>
          </w:tcPr>
          <w:p w:rsidR="00DB4B70" w:rsidRDefault="00DB4B70" w:rsidP="00DB4B70">
            <w:pPr>
              <w:pStyle w:val="Tablewriting"/>
              <w:keepNext/>
              <w:jc w:val="center"/>
              <w:rPr>
                <w:rFonts w:eastAsia="MS Mincho"/>
              </w:rPr>
            </w:pPr>
            <w:r>
              <w:rPr>
                <w:rFonts w:eastAsia="MS Mincho"/>
              </w:rPr>
              <w:t>2 RCTs</w:t>
            </w:r>
          </w:p>
        </w:tc>
        <w:tc>
          <w:tcPr>
            <w:tcW w:w="727" w:type="pct"/>
            <w:tcMar>
              <w:left w:w="28" w:type="dxa"/>
              <w:right w:w="28" w:type="dxa"/>
            </w:tcMar>
            <w:vAlign w:val="center"/>
          </w:tcPr>
          <w:p w:rsidR="00861780" w:rsidRPr="00F423F8" w:rsidRDefault="001025F6" w:rsidP="004766D2">
            <w:pPr>
              <w:pStyle w:val="Tablewriting"/>
              <w:keepNext/>
              <w:jc w:val="center"/>
              <w:rPr>
                <w:rFonts w:eastAsia="MS Mincho"/>
                <w:vertAlign w:val="superscript"/>
              </w:rPr>
            </w:pPr>
            <w:r>
              <w:rPr>
                <w:rFonts w:eastAsia="MS Mincho"/>
              </w:rPr>
              <w:t>6</w:t>
            </w:r>
            <w:r w:rsidR="00DB4B70">
              <w:rPr>
                <w:rFonts w:eastAsia="MS Mincho"/>
              </w:rPr>
              <w:t>/</w:t>
            </w:r>
            <w:r>
              <w:rPr>
                <w:rFonts w:eastAsia="MS Mincho"/>
              </w:rPr>
              <w:t>367</w:t>
            </w:r>
          </w:p>
          <w:p w:rsidR="00861780" w:rsidRPr="00923953" w:rsidRDefault="00861780" w:rsidP="004766D2">
            <w:pPr>
              <w:pStyle w:val="Tablewriting"/>
              <w:keepNext/>
              <w:jc w:val="center"/>
              <w:rPr>
                <w:rFonts w:eastAsia="MS Mincho"/>
                <w:vertAlign w:val="superscript"/>
              </w:rPr>
            </w:pPr>
            <w:r>
              <w:rPr>
                <w:rFonts w:eastAsia="MS Mincho"/>
              </w:rPr>
              <w:t>(</w:t>
            </w:r>
            <w:r w:rsidR="00CA2340">
              <w:rPr>
                <w:rFonts w:eastAsia="MS Mincho"/>
              </w:rPr>
              <w:t>1.</w:t>
            </w:r>
            <w:r w:rsidR="00DD6A90">
              <w:rPr>
                <w:rFonts w:eastAsia="MS Mincho"/>
              </w:rPr>
              <w:t>6</w:t>
            </w:r>
            <w:r>
              <w:rPr>
                <w:rFonts w:eastAsia="MS Mincho"/>
              </w:rPr>
              <w:t>%)</w:t>
            </w:r>
          </w:p>
        </w:tc>
        <w:tc>
          <w:tcPr>
            <w:tcW w:w="727" w:type="pct"/>
            <w:tcMar>
              <w:left w:w="28" w:type="dxa"/>
              <w:right w:w="28" w:type="dxa"/>
            </w:tcMar>
            <w:vAlign w:val="center"/>
          </w:tcPr>
          <w:p w:rsidR="00861780" w:rsidRDefault="001025F6" w:rsidP="004766D2">
            <w:pPr>
              <w:pStyle w:val="Tablewriting"/>
              <w:keepNext/>
              <w:jc w:val="center"/>
              <w:rPr>
                <w:rFonts w:eastAsia="MS Mincho"/>
              </w:rPr>
            </w:pPr>
            <w:r>
              <w:rPr>
                <w:rFonts w:eastAsia="MS Mincho"/>
              </w:rPr>
              <w:t>4</w:t>
            </w:r>
            <w:r w:rsidR="00DB4B70">
              <w:rPr>
                <w:rFonts w:eastAsia="MS Mincho"/>
              </w:rPr>
              <w:t>/</w:t>
            </w:r>
            <w:r>
              <w:rPr>
                <w:rFonts w:eastAsia="MS Mincho"/>
              </w:rPr>
              <w:t>367</w:t>
            </w:r>
          </w:p>
          <w:p w:rsidR="00861780" w:rsidRPr="00923953" w:rsidRDefault="00861780" w:rsidP="004766D2">
            <w:pPr>
              <w:pStyle w:val="Tablewriting"/>
              <w:keepNext/>
              <w:jc w:val="center"/>
              <w:rPr>
                <w:rFonts w:eastAsia="MS Mincho"/>
                <w:vertAlign w:val="superscript"/>
              </w:rPr>
            </w:pPr>
            <w:r>
              <w:rPr>
                <w:rFonts w:eastAsia="MS Mincho"/>
              </w:rPr>
              <w:t>(</w:t>
            </w:r>
            <w:r w:rsidR="00DD6A90">
              <w:rPr>
                <w:rFonts w:eastAsia="MS Mincho"/>
              </w:rPr>
              <w:t>1.1</w:t>
            </w:r>
            <w:r>
              <w:rPr>
                <w:rFonts w:eastAsia="MS Mincho"/>
              </w:rPr>
              <w:t>%)</w:t>
            </w:r>
          </w:p>
        </w:tc>
        <w:tc>
          <w:tcPr>
            <w:tcW w:w="727" w:type="pct"/>
            <w:tcMar>
              <w:left w:w="28" w:type="dxa"/>
              <w:right w:w="28" w:type="dxa"/>
            </w:tcMar>
            <w:vAlign w:val="center"/>
          </w:tcPr>
          <w:p w:rsidR="00861780" w:rsidRPr="00A0110E" w:rsidRDefault="00861780" w:rsidP="004766D2">
            <w:pPr>
              <w:pStyle w:val="Tablewriting"/>
              <w:keepNext/>
              <w:jc w:val="center"/>
              <w:rPr>
                <w:rFonts w:eastAsia="MS Mincho"/>
              </w:rPr>
            </w:pPr>
            <w:r w:rsidRPr="00A0110E">
              <w:rPr>
                <w:rFonts w:eastAsia="MS Mincho"/>
              </w:rPr>
              <w:t>1.</w:t>
            </w:r>
            <w:r w:rsidR="001025F6">
              <w:rPr>
                <w:rFonts w:eastAsia="MS Mincho"/>
              </w:rPr>
              <w:t>49</w:t>
            </w:r>
          </w:p>
          <w:p w:rsidR="00861780" w:rsidRPr="00A0110E" w:rsidRDefault="00DB4B70" w:rsidP="004766D2">
            <w:pPr>
              <w:pStyle w:val="Tablewriting"/>
              <w:keepNext/>
              <w:jc w:val="center"/>
              <w:rPr>
                <w:rFonts w:eastAsia="MS Mincho"/>
              </w:rPr>
            </w:pPr>
            <w:r w:rsidRPr="00A0110E">
              <w:rPr>
                <w:rFonts w:eastAsia="MS Mincho"/>
              </w:rPr>
              <w:t>(0.</w:t>
            </w:r>
            <w:r w:rsidR="001025F6">
              <w:rPr>
                <w:rFonts w:eastAsia="MS Mincho"/>
              </w:rPr>
              <w:t>42</w:t>
            </w:r>
            <w:r w:rsidRPr="00A0110E">
              <w:rPr>
                <w:rFonts w:eastAsia="MS Mincho"/>
              </w:rPr>
              <w:t xml:space="preserve">, </w:t>
            </w:r>
            <w:r w:rsidR="001025F6">
              <w:rPr>
                <w:rFonts w:eastAsia="MS Mincho"/>
              </w:rPr>
              <w:t>5.32</w:t>
            </w:r>
            <w:r w:rsidRPr="00A0110E">
              <w:rPr>
                <w:rFonts w:eastAsia="MS Mincho"/>
              </w:rPr>
              <w:t>)</w:t>
            </w:r>
          </w:p>
        </w:tc>
        <w:tc>
          <w:tcPr>
            <w:tcW w:w="689" w:type="pct"/>
            <w:vAlign w:val="center"/>
          </w:tcPr>
          <w:p w:rsidR="00DB4B70" w:rsidRDefault="001025F6" w:rsidP="004766D2">
            <w:pPr>
              <w:pStyle w:val="Tablewriting"/>
              <w:keepNext/>
              <w:jc w:val="center"/>
              <w:rPr>
                <w:rFonts w:eastAsia="MS Mincho"/>
              </w:rPr>
            </w:pPr>
            <w:r>
              <w:rPr>
                <w:rFonts w:eastAsia="MS Mincho"/>
              </w:rPr>
              <w:t>0.01</w:t>
            </w:r>
          </w:p>
          <w:p w:rsidR="00861780" w:rsidRPr="00A0110E" w:rsidRDefault="001025F6" w:rsidP="004766D2">
            <w:pPr>
              <w:pStyle w:val="Tablewriting"/>
              <w:keepNext/>
              <w:jc w:val="center"/>
              <w:rPr>
                <w:rFonts w:eastAsia="MS Mincho"/>
              </w:rPr>
            </w:pPr>
            <w:r>
              <w:rPr>
                <w:rFonts w:eastAsia="MS Mincho"/>
              </w:rPr>
              <w:t>(-0.01, 0.02)</w:t>
            </w:r>
          </w:p>
        </w:tc>
      </w:tr>
      <w:tr w:rsidR="00861780" w:rsidRPr="00061F78" w:rsidTr="006418CF">
        <w:trPr>
          <w:cantSplit/>
          <w:trHeight w:val="149"/>
        </w:trPr>
        <w:tc>
          <w:tcPr>
            <w:tcW w:w="1253" w:type="pct"/>
            <w:tcMar>
              <w:left w:w="28" w:type="dxa"/>
              <w:right w:w="28" w:type="dxa"/>
            </w:tcMar>
          </w:tcPr>
          <w:p w:rsidR="00861780" w:rsidRDefault="00861780" w:rsidP="004766D2">
            <w:pPr>
              <w:pStyle w:val="Tablewriting"/>
              <w:keepNext/>
              <w:rPr>
                <w:rFonts w:eastAsia="MS Mincho"/>
              </w:rPr>
            </w:pPr>
            <w:r>
              <w:rPr>
                <w:rFonts w:eastAsia="MS Mincho"/>
              </w:rPr>
              <w:t>Discontinuation due to adverse events</w:t>
            </w:r>
          </w:p>
        </w:tc>
        <w:tc>
          <w:tcPr>
            <w:tcW w:w="877" w:type="pct"/>
            <w:vAlign w:val="center"/>
          </w:tcPr>
          <w:p w:rsidR="006418CF" w:rsidRDefault="006418CF" w:rsidP="00DB4B70">
            <w:pPr>
              <w:pStyle w:val="Tablewriting"/>
              <w:keepNext/>
              <w:jc w:val="center"/>
              <w:rPr>
                <w:rFonts w:eastAsia="MS Mincho"/>
              </w:rPr>
            </w:pPr>
            <w:r>
              <w:rPr>
                <w:rFonts w:eastAsia="MS Mincho"/>
              </w:rPr>
              <w:t>1 RCT</w:t>
            </w:r>
          </w:p>
          <w:p w:rsidR="006418CF" w:rsidRDefault="006418CF" w:rsidP="00DB4B70">
            <w:pPr>
              <w:pStyle w:val="Tablewriting"/>
              <w:keepNext/>
              <w:jc w:val="center"/>
              <w:rPr>
                <w:rFonts w:eastAsia="MS Mincho"/>
              </w:rPr>
            </w:pPr>
            <w:r>
              <w:rPr>
                <w:rFonts w:eastAsia="MS Mincho"/>
              </w:rPr>
              <w:t>(</w:t>
            </w:r>
            <w:r w:rsidR="00DB4B70">
              <w:rPr>
                <w:rFonts w:eastAsia="MS Mincho"/>
              </w:rPr>
              <w:t>Gonzales</w:t>
            </w:r>
            <w:r>
              <w:rPr>
                <w:rFonts w:eastAsia="MS Mincho"/>
              </w:rPr>
              <w:t xml:space="preserve"> </w:t>
            </w:r>
            <w:r w:rsidR="00DB4B70">
              <w:rPr>
                <w:rFonts w:eastAsia="MS Mincho"/>
              </w:rPr>
              <w:t>2001)</w:t>
            </w:r>
          </w:p>
        </w:tc>
        <w:tc>
          <w:tcPr>
            <w:tcW w:w="727" w:type="pct"/>
            <w:tcMar>
              <w:left w:w="28" w:type="dxa"/>
              <w:right w:w="28" w:type="dxa"/>
            </w:tcMar>
            <w:vAlign w:val="center"/>
          </w:tcPr>
          <w:p w:rsidR="00861780" w:rsidRPr="00F423F8" w:rsidRDefault="00861780" w:rsidP="004766D2">
            <w:pPr>
              <w:pStyle w:val="Tablewriting"/>
              <w:keepNext/>
              <w:jc w:val="center"/>
              <w:rPr>
                <w:rFonts w:eastAsia="MS Mincho"/>
                <w:vertAlign w:val="superscript"/>
              </w:rPr>
            </w:pPr>
            <w:r>
              <w:rPr>
                <w:rFonts w:eastAsia="MS Mincho"/>
              </w:rPr>
              <w:t>1</w:t>
            </w:r>
            <w:r w:rsidR="009E2FD0">
              <w:rPr>
                <w:rFonts w:eastAsia="MS Mincho"/>
              </w:rPr>
              <w:t>9</w:t>
            </w:r>
            <w:r>
              <w:rPr>
                <w:rFonts w:eastAsia="MS Mincho"/>
              </w:rPr>
              <w:t>/2</w:t>
            </w:r>
            <w:r w:rsidR="009E2FD0">
              <w:rPr>
                <w:rFonts w:eastAsia="MS Mincho"/>
              </w:rPr>
              <w:t>26</w:t>
            </w:r>
          </w:p>
          <w:p w:rsidR="00861780" w:rsidRPr="00923953" w:rsidRDefault="00861780" w:rsidP="004766D2">
            <w:pPr>
              <w:pStyle w:val="Tablewriting"/>
              <w:keepNext/>
              <w:jc w:val="center"/>
              <w:rPr>
                <w:rFonts w:eastAsia="MS Mincho"/>
                <w:vertAlign w:val="superscript"/>
              </w:rPr>
            </w:pPr>
            <w:r>
              <w:rPr>
                <w:rFonts w:eastAsia="MS Mincho"/>
              </w:rPr>
              <w:t>(</w:t>
            </w:r>
            <w:r w:rsidR="00116A84">
              <w:rPr>
                <w:rFonts w:eastAsia="MS Mincho"/>
              </w:rPr>
              <w:t>8.4</w:t>
            </w:r>
            <w:r>
              <w:rPr>
                <w:rFonts w:eastAsia="MS Mincho"/>
              </w:rPr>
              <w:t>%)</w:t>
            </w:r>
          </w:p>
        </w:tc>
        <w:tc>
          <w:tcPr>
            <w:tcW w:w="727" w:type="pct"/>
            <w:tcMar>
              <w:left w:w="28" w:type="dxa"/>
              <w:right w:w="28" w:type="dxa"/>
            </w:tcMar>
            <w:vAlign w:val="center"/>
          </w:tcPr>
          <w:p w:rsidR="00861780" w:rsidRDefault="009E2FD0" w:rsidP="004766D2">
            <w:pPr>
              <w:pStyle w:val="Tablewriting"/>
              <w:keepNext/>
              <w:jc w:val="center"/>
              <w:rPr>
                <w:rFonts w:eastAsia="MS Mincho"/>
              </w:rPr>
            </w:pPr>
            <w:r>
              <w:rPr>
                <w:rFonts w:eastAsia="MS Mincho"/>
              </w:rPr>
              <w:t>11</w:t>
            </w:r>
            <w:r w:rsidR="00861780">
              <w:rPr>
                <w:rFonts w:eastAsia="MS Mincho"/>
              </w:rPr>
              <w:t>/2</w:t>
            </w:r>
            <w:r>
              <w:rPr>
                <w:rFonts w:eastAsia="MS Mincho"/>
              </w:rPr>
              <w:t>2</w:t>
            </w:r>
            <w:r w:rsidR="00861780">
              <w:rPr>
                <w:rFonts w:eastAsia="MS Mincho"/>
              </w:rPr>
              <w:t>4</w:t>
            </w:r>
          </w:p>
          <w:p w:rsidR="00861780" w:rsidRPr="00923953" w:rsidRDefault="00861780" w:rsidP="004766D2">
            <w:pPr>
              <w:pStyle w:val="Tablewriting"/>
              <w:keepNext/>
              <w:jc w:val="center"/>
              <w:rPr>
                <w:rFonts w:eastAsia="MS Mincho"/>
                <w:vertAlign w:val="superscript"/>
              </w:rPr>
            </w:pPr>
            <w:r>
              <w:rPr>
                <w:rFonts w:eastAsia="MS Mincho"/>
              </w:rPr>
              <w:t>(</w:t>
            </w:r>
            <w:r w:rsidR="008F2886">
              <w:rPr>
                <w:rFonts w:eastAsia="MS Mincho"/>
              </w:rPr>
              <w:t>4.9</w:t>
            </w:r>
            <w:r>
              <w:rPr>
                <w:rFonts w:eastAsia="MS Mincho"/>
              </w:rPr>
              <w:t>%)</w:t>
            </w:r>
          </w:p>
        </w:tc>
        <w:tc>
          <w:tcPr>
            <w:tcW w:w="727" w:type="pct"/>
            <w:tcMar>
              <w:left w:w="28" w:type="dxa"/>
              <w:right w:w="28" w:type="dxa"/>
            </w:tcMar>
            <w:vAlign w:val="center"/>
          </w:tcPr>
          <w:p w:rsidR="00861780" w:rsidRPr="00682ACE" w:rsidRDefault="006E6BAC" w:rsidP="004766D2">
            <w:pPr>
              <w:pStyle w:val="Tablewriting"/>
              <w:keepNext/>
              <w:jc w:val="center"/>
              <w:rPr>
                <w:rFonts w:eastAsia="MS Mincho"/>
              </w:rPr>
            </w:pPr>
            <w:r w:rsidRPr="00682ACE">
              <w:rPr>
                <w:rFonts w:eastAsia="MS Mincho"/>
              </w:rPr>
              <w:t>1.71</w:t>
            </w:r>
          </w:p>
          <w:p w:rsidR="00861780" w:rsidRPr="006A6520" w:rsidRDefault="00861780" w:rsidP="004766D2">
            <w:pPr>
              <w:pStyle w:val="Tablewriting"/>
              <w:keepNext/>
              <w:jc w:val="center"/>
              <w:rPr>
                <w:rFonts w:eastAsia="MS Mincho"/>
              </w:rPr>
            </w:pPr>
            <w:r w:rsidRPr="00682ACE">
              <w:rPr>
                <w:rFonts w:eastAsia="MS Mincho"/>
              </w:rPr>
              <w:t>(</w:t>
            </w:r>
            <w:r w:rsidR="006E6BAC" w:rsidRPr="00682ACE">
              <w:rPr>
                <w:rFonts w:eastAsia="MS Mincho"/>
              </w:rPr>
              <w:t>0.83</w:t>
            </w:r>
            <w:r w:rsidRPr="00682ACE">
              <w:rPr>
                <w:rFonts w:eastAsia="MS Mincho"/>
              </w:rPr>
              <w:t xml:space="preserve">, </w:t>
            </w:r>
            <w:r w:rsidR="006E6BAC" w:rsidRPr="00682ACE">
              <w:rPr>
                <w:rFonts w:eastAsia="MS Mincho"/>
              </w:rPr>
              <w:t>3.51</w:t>
            </w:r>
            <w:r w:rsidRPr="00682ACE">
              <w:rPr>
                <w:rFonts w:eastAsia="MS Mincho"/>
              </w:rPr>
              <w:t>)</w:t>
            </w:r>
          </w:p>
        </w:tc>
        <w:tc>
          <w:tcPr>
            <w:tcW w:w="689" w:type="pct"/>
            <w:vAlign w:val="center"/>
          </w:tcPr>
          <w:p w:rsidR="00DB4B70" w:rsidRDefault="001B4846" w:rsidP="004766D2">
            <w:pPr>
              <w:pStyle w:val="Tablewriting"/>
              <w:keepNext/>
              <w:jc w:val="center"/>
              <w:rPr>
                <w:rFonts w:eastAsia="MS Mincho"/>
              </w:rPr>
            </w:pPr>
            <w:r>
              <w:rPr>
                <w:rFonts w:eastAsia="MS Mincho"/>
              </w:rPr>
              <w:t>0.03</w:t>
            </w:r>
          </w:p>
          <w:p w:rsidR="00861780" w:rsidRPr="006A6520" w:rsidRDefault="001B4846" w:rsidP="004766D2">
            <w:pPr>
              <w:pStyle w:val="Tablewriting"/>
              <w:keepNext/>
              <w:jc w:val="center"/>
              <w:rPr>
                <w:rFonts w:eastAsia="MS Mincho"/>
              </w:rPr>
            </w:pPr>
            <w:r>
              <w:rPr>
                <w:rFonts w:eastAsia="MS Mincho"/>
              </w:rPr>
              <w:t>(-0.01, 0.08)</w:t>
            </w:r>
          </w:p>
        </w:tc>
      </w:tr>
    </w:tbl>
    <w:p w:rsidR="00833725" w:rsidRDefault="00833725" w:rsidP="00833725">
      <w:pPr>
        <w:pStyle w:val="TableFooter"/>
        <w:keepNext/>
      </w:pPr>
      <w:r>
        <w:t>Source: Howes et al. (2020)</w:t>
      </w:r>
      <w:r w:rsidR="001B5EE3">
        <w:t>, Gonzales et al. (2001), Selby et al. (2003)</w:t>
      </w:r>
    </w:p>
    <w:p w:rsidR="00833725" w:rsidRDefault="00833725" w:rsidP="00833725">
      <w:pPr>
        <w:pStyle w:val="TableFooter"/>
        <w:keepNext/>
      </w:pPr>
      <w:r>
        <w:t>Abbreviations: CI = confidence interval; RD = risk difference; RR = risk ratio</w:t>
      </w:r>
    </w:p>
    <w:p w:rsidR="003A784A" w:rsidRDefault="00833725" w:rsidP="00833725">
      <w:pPr>
        <w:pStyle w:val="TableFooter"/>
        <w:keepNext/>
      </w:pPr>
      <w:r w:rsidRPr="00FD4061">
        <w:t>Note</w:t>
      </w:r>
      <w:r>
        <w:t>s</w:t>
      </w:r>
      <w:r w:rsidRPr="00FD4061">
        <w:t>: Bold indicates statistically significant difference.</w:t>
      </w:r>
      <w:r w:rsidR="001B4846" w:rsidRPr="001B4846">
        <w:t xml:space="preserve"> See </w:t>
      </w:r>
      <w:r w:rsidR="001B4846" w:rsidRPr="001E7610">
        <w:t>Appendix</w:t>
      </w:r>
      <w:r w:rsidR="001B4846" w:rsidRPr="001B4846">
        <w:t xml:space="preserve"> </w:t>
      </w:r>
      <w:r w:rsidR="003C4A1C">
        <w:t xml:space="preserve">Figure </w:t>
      </w:r>
      <w:r w:rsidR="003C4A1C">
        <w:rPr>
          <w:noProof/>
        </w:rPr>
        <w:t>74</w:t>
      </w:r>
      <w:r w:rsidR="00A63ACE">
        <w:t xml:space="preserve"> and </w:t>
      </w:r>
      <w:r w:rsidR="003C4A1C">
        <w:t xml:space="preserve">Figure </w:t>
      </w:r>
      <w:r w:rsidR="003C4A1C">
        <w:rPr>
          <w:noProof/>
        </w:rPr>
        <w:t>75</w:t>
      </w:r>
      <w:r w:rsidR="001B4846" w:rsidRPr="001B4846">
        <w:t xml:space="preserve"> for forest plots of the respective outcomes which included the results of individual studies.</w:t>
      </w:r>
    </w:p>
    <w:p w:rsidR="003E4921" w:rsidRDefault="001B4846" w:rsidP="00A63ACE">
      <w:pPr>
        <w:pStyle w:val="TableFooter"/>
        <w:keepNext/>
      </w:pPr>
      <w:r w:rsidRPr="001E7610">
        <w:t>1 Calculated during the review using a random-effect model</w:t>
      </w:r>
      <w:r w:rsidR="00AB5FA3">
        <w:t>.</w:t>
      </w:r>
    </w:p>
    <w:p w:rsidR="00FC6439" w:rsidRDefault="00FC6439" w:rsidP="00D02475">
      <w:pPr>
        <w:pStyle w:val="Heading5"/>
        <w:numPr>
          <w:ilvl w:val="0"/>
          <w:numId w:val="0"/>
        </w:numPr>
      </w:pPr>
      <w:r>
        <w:t>Nicotine replacement therapy</w:t>
      </w:r>
    </w:p>
    <w:p w:rsidR="00FC6439" w:rsidRDefault="00FC6439" w:rsidP="00FC6439">
      <w:r>
        <w:t xml:space="preserve">NRT has not been previously considered by the PBAC for relapse prevention in abstainers or retreatment in non-abstainers. As previously noted, </w:t>
      </w:r>
      <w:r w:rsidR="004C0C32">
        <w:t>t</w:t>
      </w:r>
      <w:r w:rsidR="004C0C32" w:rsidRPr="004C0C32">
        <w:t xml:space="preserve">he </w:t>
      </w:r>
      <w:r w:rsidR="000973E7">
        <w:t xml:space="preserve">current </w:t>
      </w:r>
      <w:r w:rsidR="004C0C32" w:rsidRPr="004C0C32">
        <w:t>listing</w:t>
      </w:r>
      <w:r w:rsidR="00F2612B">
        <w:t xml:space="preserve"> </w:t>
      </w:r>
      <w:r w:rsidR="004C0C32" w:rsidRPr="004C0C32">
        <w:t xml:space="preserve">allowed for a maximum of </w:t>
      </w:r>
      <w:r w:rsidR="004C0C32">
        <w:t xml:space="preserve">2 courses of PBS-subsidised NRT treatment per 12-month period in the </w:t>
      </w:r>
      <w:r w:rsidR="00D26229" w:rsidRPr="00D26229">
        <w:t>Aboriginal and Torres Strait Islander</w:t>
      </w:r>
      <w:r w:rsidR="00D26229" w:rsidRPr="00D26229" w:rsidDel="00D26229">
        <w:t xml:space="preserve"> </w:t>
      </w:r>
      <w:r w:rsidR="004C0C32">
        <w:t xml:space="preserve">population or </w:t>
      </w:r>
      <w:r w:rsidR="004C0C32" w:rsidRPr="004C0C32">
        <w:t xml:space="preserve">12 weeks of PBS-subsidised NRT treatment per </w:t>
      </w:r>
      <w:r w:rsidR="004C0C32">
        <w:t>12-month period in the general population</w:t>
      </w:r>
      <w:r w:rsidR="00F2612B">
        <w:t>, irrespective of formulation (patch, lozenge or gum)</w:t>
      </w:r>
      <w:r w:rsidRPr="00EA00C8">
        <w:t>.</w:t>
      </w:r>
      <w:r>
        <w:t xml:space="preserve"> Accordingly, patients who </w:t>
      </w:r>
      <w:r w:rsidRPr="00286C7D">
        <w:t xml:space="preserve">have been unsuccessful in achieving abstinence from smoking after a course of PBS-subsidised </w:t>
      </w:r>
      <w:r w:rsidR="004C0C32">
        <w:t>NRT</w:t>
      </w:r>
      <w:r>
        <w:t xml:space="preserve"> may access another course of PBS-subsidised </w:t>
      </w:r>
      <w:r w:rsidR="004C0C32">
        <w:t>NRT</w:t>
      </w:r>
      <w:r>
        <w:t xml:space="preserve"> </w:t>
      </w:r>
      <w:r w:rsidR="004C0C32">
        <w:t>after 12 months</w:t>
      </w:r>
      <w:r>
        <w:t>.</w:t>
      </w:r>
    </w:p>
    <w:p w:rsidR="004C0C32" w:rsidRPr="004C0C32" w:rsidRDefault="004C0C32" w:rsidP="004C0C32">
      <w:pPr>
        <w:rPr>
          <w:b/>
          <w:bCs/>
        </w:rPr>
      </w:pPr>
      <w:r>
        <w:rPr>
          <w:b/>
          <w:bCs/>
        </w:rPr>
        <w:t>NRT</w:t>
      </w:r>
      <w:r w:rsidRPr="004C0C32">
        <w:rPr>
          <w:b/>
          <w:bCs/>
        </w:rPr>
        <w:t xml:space="preserve"> versus placebo – abstainers (relapse prevention)</w:t>
      </w:r>
    </w:p>
    <w:p w:rsidR="00B849C6" w:rsidRDefault="004C0C32" w:rsidP="00B849C6">
      <w:r>
        <w:t xml:space="preserve">A summary of the citation details for the studies comparing </w:t>
      </w:r>
      <w:r w:rsidR="00F2612B">
        <w:t>NRT</w:t>
      </w:r>
      <w:r>
        <w:t xml:space="preserve"> with placebo in abstainers for relapse prevention is presented in </w:t>
      </w:r>
      <w:r w:rsidR="003C4A1C">
        <w:t xml:space="preserve">Table </w:t>
      </w:r>
      <w:r w:rsidR="003C4A1C">
        <w:rPr>
          <w:noProof/>
        </w:rPr>
        <w:t>46</w:t>
      </w:r>
      <w:r>
        <w:t xml:space="preserve">. A recently conducted Cochrane </w:t>
      </w:r>
      <w:r w:rsidR="00105434">
        <w:t>R</w:t>
      </w:r>
      <w:r>
        <w:t xml:space="preserve">eview by Livingstone-Banks et al. (2019) was identified in the systematic literature review that compared </w:t>
      </w:r>
      <w:r w:rsidR="00F2612B">
        <w:t>NRT</w:t>
      </w:r>
      <w:r>
        <w:t xml:space="preserve"> with placebo for relapse prevention and was included in this report.</w:t>
      </w:r>
      <w:r w:rsidR="00105434">
        <w:t xml:space="preserve"> </w:t>
      </w:r>
      <w:r w:rsidR="00105434" w:rsidRPr="002775B8">
        <w:t xml:space="preserve">No new studies comparing </w:t>
      </w:r>
      <w:r w:rsidR="00105434">
        <w:t>NRT</w:t>
      </w:r>
      <w:r w:rsidR="00105434" w:rsidRPr="002775B8">
        <w:t xml:space="preserve"> with placebo in abstainers </w:t>
      </w:r>
      <w:r w:rsidR="00105434">
        <w:t>for relapse prevention</w:t>
      </w:r>
      <w:r w:rsidR="00105434" w:rsidRPr="002775B8">
        <w:t xml:space="preserve"> were identified in the supplemental literature search</w:t>
      </w:r>
      <w:r w:rsidR="00105434">
        <w:t>.</w:t>
      </w:r>
    </w:p>
    <w:p w:rsidR="004C0C32" w:rsidRDefault="004C0C32" w:rsidP="004C0C32">
      <w:pPr>
        <w:pStyle w:val="Caption"/>
        <w:keepNext/>
      </w:pPr>
      <w:bookmarkStart w:id="122" w:name="_Ref54888450"/>
      <w:r>
        <w:lastRenderedPageBreak/>
        <w:t xml:space="preserve">Table </w:t>
      </w:r>
      <w:r w:rsidR="003C4A1C">
        <w:rPr>
          <w:noProof/>
        </w:rPr>
        <w:t>46</w:t>
      </w:r>
      <w:bookmarkEnd w:id="122"/>
      <w:r>
        <w:t xml:space="preserve">: </w:t>
      </w:r>
      <w:r w:rsidRPr="00222BCC">
        <w:t xml:space="preserve">List of studies comparing </w:t>
      </w:r>
      <w:r>
        <w:t>NRT</w:t>
      </w:r>
      <w:r w:rsidRPr="00222BCC">
        <w:t xml:space="preserve"> with placebo 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038"/>
        <w:gridCol w:w="7978"/>
      </w:tblGrid>
      <w:tr w:rsidR="00483C3A" w:rsidRPr="00061F78" w:rsidTr="00ED247A">
        <w:trPr>
          <w:cantSplit/>
          <w:trHeight w:val="95"/>
          <w:tblHeader/>
        </w:trPr>
        <w:tc>
          <w:tcPr>
            <w:tcW w:w="566" w:type="pct"/>
            <w:shd w:val="clear" w:color="auto" w:fill="BFBFBF" w:themeFill="background1" w:themeFillShade="BF"/>
            <w:tcMar>
              <w:left w:w="28" w:type="dxa"/>
              <w:right w:w="28" w:type="dxa"/>
            </w:tcMar>
          </w:tcPr>
          <w:p w:rsidR="004C0C32" w:rsidRPr="00061F78" w:rsidRDefault="00126B7B" w:rsidP="00ED247A">
            <w:pPr>
              <w:pStyle w:val="Tableheading"/>
              <w:rPr>
                <w:rFonts w:eastAsia="MS Mincho"/>
              </w:rPr>
            </w:pPr>
            <w:r>
              <w:rPr>
                <w:rFonts w:eastAsia="MS Mincho"/>
              </w:rPr>
              <w:t>Study</w:t>
            </w:r>
          </w:p>
        </w:tc>
        <w:tc>
          <w:tcPr>
            <w:tcW w:w="4434" w:type="pct"/>
            <w:shd w:val="clear" w:color="auto" w:fill="BFBFBF" w:themeFill="background1" w:themeFillShade="BF"/>
          </w:tcPr>
          <w:p w:rsidR="004C0C32" w:rsidRDefault="004C0C32" w:rsidP="00ED247A">
            <w:pPr>
              <w:pStyle w:val="Tableheading"/>
              <w:jc w:val="center"/>
              <w:rPr>
                <w:rFonts w:eastAsia="MS Mincho"/>
              </w:rPr>
            </w:pPr>
            <w:r>
              <w:rPr>
                <w:rFonts w:eastAsia="MS Mincho"/>
              </w:rPr>
              <w:t>Citation</w:t>
            </w:r>
          </w:p>
        </w:tc>
      </w:tr>
      <w:tr w:rsidR="00483C3A" w:rsidRPr="00061F78" w:rsidTr="00FF4A1C">
        <w:trPr>
          <w:cantSplit/>
          <w:trHeight w:val="164"/>
        </w:trPr>
        <w:tc>
          <w:tcPr>
            <w:tcW w:w="566" w:type="pct"/>
            <w:tcMar>
              <w:left w:w="28" w:type="dxa"/>
              <w:right w:w="28" w:type="dxa"/>
            </w:tcMar>
          </w:tcPr>
          <w:p w:rsidR="004C0C32" w:rsidRPr="00D07303" w:rsidRDefault="004C0C32" w:rsidP="00ED247A">
            <w:pPr>
              <w:pStyle w:val="Tablewriting"/>
              <w:rPr>
                <w:rFonts w:eastAsia="MS Mincho"/>
                <w:vertAlign w:val="superscript"/>
              </w:rPr>
            </w:pPr>
            <w:r>
              <w:rPr>
                <w:rFonts w:eastAsia="MS Mincho"/>
              </w:rPr>
              <w:t>Livingstone-Banks (2019)</w:t>
            </w:r>
            <w:r w:rsidR="0039468B" w:rsidRPr="00693911">
              <w:rPr>
                <w:rFonts w:eastAsia="MS Mincho"/>
                <w:noProof/>
                <w:vertAlign w:val="superscript"/>
              </w:rPr>
              <w:t>40</w:t>
            </w:r>
            <w:r w:rsidR="00322560" w:rsidRPr="00D07303">
              <w:rPr>
                <w:rFonts w:eastAsia="MS Mincho"/>
                <w:vertAlign w:val="superscript"/>
              </w:rPr>
              <w:t xml:space="preserve"> </w:t>
            </w:r>
          </w:p>
        </w:tc>
        <w:tc>
          <w:tcPr>
            <w:tcW w:w="4434" w:type="pct"/>
          </w:tcPr>
          <w:p w:rsidR="004C0C32" w:rsidRDefault="004C0C32" w:rsidP="00ED247A">
            <w:pPr>
              <w:pStyle w:val="Tablewriting"/>
              <w:rPr>
                <w:rFonts w:eastAsia="MS Mincho"/>
              </w:rPr>
            </w:pPr>
            <w:r w:rsidRPr="00CE2EF9">
              <w:rPr>
                <w:rFonts w:eastAsia="MS Mincho"/>
              </w:rPr>
              <w:t>Livingstone‐Banks  J, Norris  E, Hartmann‐Boyce  J, West  R, Jarvis  M, Hajek  P. Relapse prevention interventions for smoking cessation. Cochrane Database of Systematic Reviews 2019, Issue 2. Art. No.: CD003999.</w:t>
            </w:r>
          </w:p>
        </w:tc>
      </w:tr>
    </w:tbl>
    <w:p w:rsidR="004E3996" w:rsidRDefault="00F2612B" w:rsidP="004E3996">
      <w:r w:rsidRPr="00F2612B">
        <w:t xml:space="preserve">A summary of the characteristics of the studies comparing </w:t>
      </w:r>
      <w:r>
        <w:t>NRT</w:t>
      </w:r>
      <w:r w:rsidRPr="00F2612B">
        <w:t xml:space="preserve"> with placebo in abstainers for relapse prevention is presented in </w:t>
      </w:r>
      <w:r w:rsidR="003C4A1C">
        <w:t xml:space="preserve">Table </w:t>
      </w:r>
      <w:r w:rsidR="003C4A1C">
        <w:rPr>
          <w:noProof/>
        </w:rPr>
        <w:t>47</w:t>
      </w:r>
      <w:r w:rsidRPr="00F2612B">
        <w:t xml:space="preserve">. A total of </w:t>
      </w:r>
      <w:r w:rsidR="002C2327">
        <w:t>two</w:t>
      </w:r>
      <w:r w:rsidRPr="00F2612B">
        <w:t xml:space="preserve"> RCTs comparing </w:t>
      </w:r>
      <w:r w:rsidR="002C2327">
        <w:t>NRT</w:t>
      </w:r>
      <w:r w:rsidRPr="00F2612B">
        <w:t xml:space="preserve"> with placebo were identified by Livingstone-Banks et al. (2019). The characteristics of the individual studies are presented in </w:t>
      </w:r>
      <w:r w:rsidRPr="00E32C5A">
        <w:t>Appendix</w:t>
      </w:r>
      <w:r w:rsidRPr="00F2612B">
        <w:t xml:space="preserve"> </w:t>
      </w:r>
      <w:r w:rsidR="003C4A1C">
        <w:t xml:space="preserve">Table </w:t>
      </w:r>
      <w:r w:rsidR="003C4A1C">
        <w:rPr>
          <w:noProof/>
        </w:rPr>
        <w:t>154</w:t>
      </w:r>
      <w:r w:rsidRPr="00F2612B">
        <w:t>.</w:t>
      </w:r>
    </w:p>
    <w:p w:rsidR="00F2612B" w:rsidRDefault="00F2612B" w:rsidP="00F2612B">
      <w:pPr>
        <w:pStyle w:val="Caption"/>
        <w:keepNext/>
      </w:pPr>
      <w:bookmarkStart w:id="123" w:name="_Ref54888930"/>
      <w:r>
        <w:t xml:space="preserve">Table </w:t>
      </w:r>
      <w:r w:rsidR="003C4A1C">
        <w:rPr>
          <w:noProof/>
        </w:rPr>
        <w:t>47</w:t>
      </w:r>
      <w:bookmarkEnd w:id="123"/>
      <w:r>
        <w:t xml:space="preserve">: </w:t>
      </w:r>
      <w:r w:rsidRPr="00B62DB4">
        <w:t xml:space="preserve">Characteristics of the studies comparing </w:t>
      </w:r>
      <w:r>
        <w:t>NRT</w:t>
      </w:r>
      <w:r w:rsidRPr="00B62DB4">
        <w:t xml:space="preserve"> with placebo 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038"/>
        <w:gridCol w:w="988"/>
        <w:gridCol w:w="736"/>
        <w:gridCol w:w="2626"/>
        <w:gridCol w:w="1703"/>
        <w:gridCol w:w="1925"/>
      </w:tblGrid>
      <w:tr w:rsidR="00F64373" w:rsidRPr="00061F78" w:rsidTr="00915371">
        <w:trPr>
          <w:trHeight w:val="299"/>
          <w:tblHeader/>
        </w:trPr>
        <w:tc>
          <w:tcPr>
            <w:tcW w:w="572" w:type="pct"/>
            <w:shd w:val="clear" w:color="auto" w:fill="BFBFBF" w:themeFill="background1" w:themeFillShade="BF"/>
            <w:tcMar>
              <w:left w:w="28" w:type="dxa"/>
              <w:right w:w="28" w:type="dxa"/>
            </w:tcMar>
          </w:tcPr>
          <w:p w:rsidR="00F2612B" w:rsidRPr="00061F78" w:rsidRDefault="00126B7B" w:rsidP="00FF4A1C">
            <w:pPr>
              <w:pStyle w:val="Tableheading"/>
              <w:keepNext/>
              <w:rPr>
                <w:rFonts w:eastAsia="MS Mincho"/>
              </w:rPr>
            </w:pPr>
            <w:r>
              <w:rPr>
                <w:rFonts w:eastAsia="MS Mincho"/>
              </w:rPr>
              <w:t>Study</w:t>
            </w:r>
          </w:p>
        </w:tc>
        <w:tc>
          <w:tcPr>
            <w:tcW w:w="544" w:type="pct"/>
            <w:shd w:val="clear" w:color="auto" w:fill="BFBFBF" w:themeFill="background1" w:themeFillShade="BF"/>
          </w:tcPr>
          <w:p w:rsidR="00F2612B" w:rsidRDefault="00F2612B" w:rsidP="00FF4A1C">
            <w:pPr>
              <w:pStyle w:val="Tableheading"/>
              <w:keepNext/>
              <w:jc w:val="center"/>
              <w:rPr>
                <w:rFonts w:eastAsia="MS Mincho"/>
              </w:rPr>
            </w:pPr>
            <w:r>
              <w:rPr>
                <w:rFonts w:eastAsia="MS Mincho"/>
              </w:rPr>
              <w:t>Study type</w:t>
            </w:r>
          </w:p>
        </w:tc>
        <w:tc>
          <w:tcPr>
            <w:tcW w:w="405" w:type="pct"/>
            <w:shd w:val="clear" w:color="auto" w:fill="BFBFBF" w:themeFill="background1" w:themeFillShade="BF"/>
            <w:tcMar>
              <w:left w:w="28" w:type="dxa"/>
              <w:right w:w="28" w:type="dxa"/>
            </w:tcMar>
          </w:tcPr>
          <w:p w:rsidR="00F2612B" w:rsidRPr="00AE21E9" w:rsidRDefault="00F2612B" w:rsidP="00FF4A1C">
            <w:pPr>
              <w:pStyle w:val="Tableheading"/>
              <w:keepNext/>
              <w:jc w:val="center"/>
              <w:rPr>
                <w:rFonts w:eastAsia="MS Mincho"/>
                <w:vertAlign w:val="superscript"/>
              </w:rPr>
            </w:pPr>
            <w:r>
              <w:rPr>
                <w:rFonts w:eastAsia="MS Mincho"/>
              </w:rPr>
              <w:t>N</w:t>
            </w:r>
            <w:r>
              <w:rPr>
                <w:rFonts w:eastAsia="MS Mincho"/>
                <w:vertAlign w:val="superscript"/>
              </w:rPr>
              <w:t>1</w:t>
            </w:r>
          </w:p>
        </w:tc>
        <w:tc>
          <w:tcPr>
            <w:tcW w:w="1460" w:type="pct"/>
            <w:shd w:val="clear" w:color="auto" w:fill="BFBFBF" w:themeFill="background1" w:themeFillShade="BF"/>
            <w:tcMar>
              <w:left w:w="28" w:type="dxa"/>
              <w:right w:w="28" w:type="dxa"/>
            </w:tcMar>
          </w:tcPr>
          <w:p w:rsidR="00F2612B" w:rsidRPr="00061F78" w:rsidRDefault="00F2612B" w:rsidP="00FF4A1C">
            <w:pPr>
              <w:pStyle w:val="Tableheading"/>
              <w:keepNext/>
              <w:jc w:val="center"/>
              <w:rPr>
                <w:rFonts w:eastAsia="MS Mincho"/>
              </w:rPr>
            </w:pPr>
            <w:r w:rsidRPr="00061F78">
              <w:rPr>
                <w:rFonts w:eastAsia="MS Mincho"/>
              </w:rPr>
              <w:t>P</w:t>
            </w:r>
            <w:r>
              <w:rPr>
                <w:rFonts w:eastAsia="MS Mincho"/>
              </w:rPr>
              <w:t>opulation</w:t>
            </w:r>
          </w:p>
        </w:tc>
        <w:tc>
          <w:tcPr>
            <w:tcW w:w="948" w:type="pct"/>
            <w:shd w:val="clear" w:color="auto" w:fill="BFBFBF" w:themeFill="background1" w:themeFillShade="BF"/>
          </w:tcPr>
          <w:p w:rsidR="00F2612B" w:rsidRDefault="00F2612B" w:rsidP="00FF4A1C">
            <w:pPr>
              <w:pStyle w:val="Tableheading"/>
              <w:keepNext/>
              <w:jc w:val="center"/>
              <w:rPr>
                <w:rFonts w:eastAsia="MS Mincho"/>
              </w:rPr>
            </w:pPr>
            <w:r>
              <w:rPr>
                <w:rFonts w:eastAsia="MS Mincho"/>
              </w:rPr>
              <w:t>Intervention and comparator</w:t>
            </w:r>
          </w:p>
        </w:tc>
        <w:tc>
          <w:tcPr>
            <w:tcW w:w="1071" w:type="pct"/>
            <w:shd w:val="clear" w:color="auto" w:fill="BFBFBF" w:themeFill="background1" w:themeFillShade="BF"/>
            <w:tcMar>
              <w:left w:w="28" w:type="dxa"/>
              <w:right w:w="28" w:type="dxa"/>
            </w:tcMar>
          </w:tcPr>
          <w:p w:rsidR="00F2612B" w:rsidRPr="00061F78" w:rsidRDefault="00F2612B" w:rsidP="00FF4A1C">
            <w:pPr>
              <w:pStyle w:val="Tableheading"/>
              <w:keepNext/>
              <w:jc w:val="center"/>
              <w:rPr>
                <w:rFonts w:eastAsia="MS Mincho"/>
              </w:rPr>
            </w:pPr>
            <w:r>
              <w:rPr>
                <w:rFonts w:eastAsia="MS Mincho"/>
              </w:rPr>
              <w:t>Outcomes</w:t>
            </w:r>
          </w:p>
        </w:tc>
      </w:tr>
      <w:tr w:rsidR="00F64373" w:rsidRPr="00061F78" w:rsidTr="00915371">
        <w:trPr>
          <w:trHeight w:val="149"/>
        </w:trPr>
        <w:tc>
          <w:tcPr>
            <w:tcW w:w="572" w:type="pct"/>
            <w:tcMar>
              <w:left w:w="28" w:type="dxa"/>
              <w:right w:w="28" w:type="dxa"/>
            </w:tcMar>
          </w:tcPr>
          <w:p w:rsidR="00F2612B" w:rsidRPr="004F1864" w:rsidRDefault="00F2612B" w:rsidP="00FF4A1C">
            <w:pPr>
              <w:pStyle w:val="Tablewriting"/>
              <w:keepNext/>
              <w:rPr>
                <w:rFonts w:eastAsia="MS Mincho"/>
              </w:rPr>
            </w:pPr>
            <w:r>
              <w:rPr>
                <w:rFonts w:eastAsia="MS Mincho"/>
              </w:rPr>
              <w:t>Livingstone-Banks (2019)</w:t>
            </w:r>
            <w:r w:rsidR="00322560" w:rsidRPr="004F1864">
              <w:rPr>
                <w:rFonts w:eastAsia="MS Mincho"/>
              </w:rPr>
              <w:t xml:space="preserve"> </w:t>
            </w:r>
          </w:p>
        </w:tc>
        <w:tc>
          <w:tcPr>
            <w:tcW w:w="544" w:type="pct"/>
          </w:tcPr>
          <w:p w:rsidR="00F2612B" w:rsidRDefault="00F2612B" w:rsidP="00FF4A1C">
            <w:pPr>
              <w:pStyle w:val="Tablewriting"/>
              <w:keepNext/>
              <w:rPr>
                <w:rFonts w:eastAsia="MS Mincho"/>
              </w:rPr>
            </w:pPr>
            <w:r>
              <w:rPr>
                <w:rFonts w:eastAsia="MS Mincho"/>
              </w:rPr>
              <w:t xml:space="preserve">Cochrane </w:t>
            </w:r>
            <w:r w:rsidR="00105434">
              <w:rPr>
                <w:rFonts w:eastAsia="MS Mincho"/>
              </w:rPr>
              <w:t>R</w:t>
            </w:r>
            <w:r>
              <w:rPr>
                <w:rFonts w:eastAsia="MS Mincho"/>
              </w:rPr>
              <w:t>eview    (2 RCTs</w:t>
            </w:r>
            <w:r w:rsidR="003363A6">
              <w:rPr>
                <w:rFonts w:eastAsia="MS Mincho"/>
                <w:vertAlign w:val="superscript"/>
              </w:rPr>
              <w:t>2</w:t>
            </w:r>
            <w:r>
              <w:rPr>
                <w:rFonts w:eastAsia="MS Mincho"/>
              </w:rPr>
              <w:t>)</w:t>
            </w:r>
          </w:p>
          <w:p w:rsidR="00F2612B" w:rsidRDefault="00F2612B" w:rsidP="00FF4A1C">
            <w:pPr>
              <w:pStyle w:val="Tablewriting"/>
              <w:keepNext/>
              <w:rPr>
                <w:rFonts w:eastAsia="MS Mincho"/>
              </w:rPr>
            </w:pPr>
          </w:p>
        </w:tc>
        <w:tc>
          <w:tcPr>
            <w:tcW w:w="405" w:type="pct"/>
            <w:tcMar>
              <w:left w:w="28" w:type="dxa"/>
              <w:right w:w="28" w:type="dxa"/>
            </w:tcMar>
          </w:tcPr>
          <w:p w:rsidR="00F2612B" w:rsidRDefault="00F2612B" w:rsidP="00FF4A1C">
            <w:pPr>
              <w:pStyle w:val="Tablewriting"/>
              <w:keepNext/>
              <w:rPr>
                <w:rFonts w:eastAsia="MS Mincho"/>
              </w:rPr>
            </w:pPr>
            <w:r>
              <w:rPr>
                <w:rFonts w:eastAsia="MS Mincho"/>
              </w:rPr>
              <w:t>N=553</w:t>
            </w:r>
          </w:p>
          <w:p w:rsidR="00F2612B" w:rsidRDefault="00F2612B" w:rsidP="00FF4A1C">
            <w:pPr>
              <w:pStyle w:val="Tablewriting"/>
              <w:keepNext/>
              <w:rPr>
                <w:rFonts w:eastAsia="MS Mincho"/>
              </w:rPr>
            </w:pPr>
            <w:r>
              <w:rPr>
                <w:rFonts w:eastAsia="MS Mincho"/>
              </w:rPr>
              <w:t>NRT (n=275),</w:t>
            </w:r>
          </w:p>
          <w:p w:rsidR="00F2612B" w:rsidRPr="00061F78" w:rsidRDefault="00F2612B" w:rsidP="00FF4A1C">
            <w:pPr>
              <w:pStyle w:val="Tablewriting"/>
              <w:keepNext/>
              <w:rPr>
                <w:rFonts w:eastAsia="MS Mincho"/>
              </w:rPr>
            </w:pPr>
            <w:r>
              <w:rPr>
                <w:rFonts w:eastAsia="MS Mincho"/>
              </w:rPr>
              <w:t>Placebo (n=278)</w:t>
            </w:r>
          </w:p>
        </w:tc>
        <w:tc>
          <w:tcPr>
            <w:tcW w:w="1460" w:type="pct"/>
            <w:tcMar>
              <w:left w:w="28" w:type="dxa"/>
              <w:right w:w="28" w:type="dxa"/>
            </w:tcMar>
          </w:tcPr>
          <w:p w:rsidR="00F2612B" w:rsidRDefault="00F2612B" w:rsidP="00FF4A1C">
            <w:pPr>
              <w:pStyle w:val="Tablewriting"/>
              <w:keepNext/>
              <w:rPr>
                <w:rFonts w:eastAsia="MS Mincho"/>
              </w:rPr>
            </w:pPr>
            <w:r w:rsidRPr="002C19B4">
              <w:rPr>
                <w:rFonts w:eastAsia="MS Mincho"/>
                <w:u w:val="single"/>
              </w:rPr>
              <w:t>Inclusion</w:t>
            </w:r>
            <w:r>
              <w:rPr>
                <w:rFonts w:eastAsia="MS Mincho"/>
              </w:rPr>
              <w:t xml:space="preserve">: </w:t>
            </w:r>
            <w:r w:rsidRPr="0015031A">
              <w:rPr>
                <w:rFonts w:eastAsia="MS Mincho"/>
              </w:rPr>
              <w:t>smokers who quit on their own, were undergoing enforced abstinence, or were participating in treatment programmes</w:t>
            </w:r>
            <w:r>
              <w:rPr>
                <w:rFonts w:eastAsia="MS Mincho"/>
              </w:rPr>
              <w:t xml:space="preserve"> to assist initial cessation.</w:t>
            </w:r>
          </w:p>
          <w:p w:rsidR="00F2612B" w:rsidRPr="00061F78" w:rsidRDefault="00F2612B" w:rsidP="00FF4A1C">
            <w:pPr>
              <w:pStyle w:val="Tablewriting"/>
              <w:keepNext/>
              <w:rPr>
                <w:rFonts w:eastAsia="MS Mincho"/>
              </w:rPr>
            </w:pPr>
            <w:r w:rsidRPr="002C19B4">
              <w:rPr>
                <w:rFonts w:eastAsia="MS Mincho"/>
                <w:u w:val="single"/>
              </w:rPr>
              <w:t>Exclusion</w:t>
            </w:r>
            <w:r>
              <w:rPr>
                <w:rFonts w:eastAsia="MS Mincho"/>
              </w:rPr>
              <w:t>: NR</w:t>
            </w:r>
            <w:r w:rsidR="00AB5FA3">
              <w:rPr>
                <w:rFonts w:eastAsia="MS Mincho"/>
              </w:rPr>
              <w:t>.</w:t>
            </w:r>
          </w:p>
        </w:tc>
        <w:tc>
          <w:tcPr>
            <w:tcW w:w="948" w:type="pct"/>
          </w:tcPr>
          <w:p w:rsidR="00F2612B" w:rsidRDefault="00F2612B" w:rsidP="00FF4A1C">
            <w:pPr>
              <w:pStyle w:val="Tablewriting"/>
              <w:keepNext/>
              <w:rPr>
                <w:rFonts w:eastAsia="MS Mincho"/>
              </w:rPr>
            </w:pPr>
            <w:r>
              <w:rPr>
                <w:rFonts w:eastAsia="MS Mincho"/>
              </w:rPr>
              <w:t>NRT: NRT of various formulation</w:t>
            </w:r>
            <w:r w:rsidR="0065088C">
              <w:rPr>
                <w:rFonts w:eastAsia="MS Mincho"/>
              </w:rPr>
              <w:t>;</w:t>
            </w:r>
          </w:p>
          <w:p w:rsidR="00F2612B" w:rsidRPr="00061F78" w:rsidRDefault="00F2612B" w:rsidP="00FF4A1C">
            <w:pPr>
              <w:pStyle w:val="Tablewriting"/>
              <w:keepNext/>
              <w:rPr>
                <w:rFonts w:eastAsia="MS Mincho"/>
              </w:rPr>
            </w:pPr>
            <w:r>
              <w:rPr>
                <w:rFonts w:eastAsia="MS Mincho"/>
              </w:rPr>
              <w:t>Placebo: placebo, same regimen</w:t>
            </w:r>
            <w:r w:rsidR="00AB5FA3">
              <w:rPr>
                <w:rFonts w:eastAsia="MS Mincho"/>
              </w:rPr>
              <w:t>.</w:t>
            </w:r>
          </w:p>
        </w:tc>
        <w:tc>
          <w:tcPr>
            <w:tcW w:w="1071" w:type="pct"/>
            <w:tcMar>
              <w:left w:w="28" w:type="dxa"/>
              <w:right w:w="28" w:type="dxa"/>
            </w:tcMar>
          </w:tcPr>
          <w:p w:rsidR="00F2612B" w:rsidRDefault="00F2612B" w:rsidP="00FF4A1C">
            <w:pPr>
              <w:pStyle w:val="Tablewriting"/>
              <w:keepNext/>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AB5FA3">
              <w:rPr>
                <w:rFonts w:eastAsia="MS Mincho"/>
              </w:rPr>
              <w:t>.</w:t>
            </w:r>
          </w:p>
          <w:p w:rsidR="00F2612B" w:rsidRPr="00061F78" w:rsidRDefault="00F2612B" w:rsidP="00FF4A1C">
            <w:pPr>
              <w:pStyle w:val="Tablewriting"/>
              <w:keepNext/>
              <w:rPr>
                <w:rFonts w:eastAsia="MS Mincho"/>
              </w:rPr>
            </w:pPr>
          </w:p>
        </w:tc>
      </w:tr>
    </w:tbl>
    <w:p w:rsidR="00F2612B" w:rsidRDefault="00F2612B" w:rsidP="00F2612B">
      <w:pPr>
        <w:pStyle w:val="TableFooter"/>
        <w:keepNext/>
        <w:rPr>
          <w:i/>
        </w:rPr>
      </w:pPr>
      <w:r>
        <w:t>Abbreviations: NR = not reported; RCT = randomised controlled trial</w:t>
      </w:r>
      <w:r w:rsidRPr="00061F78">
        <w:t xml:space="preserve"> </w:t>
      </w:r>
    </w:p>
    <w:p w:rsidR="00F2612B" w:rsidRDefault="00F2612B" w:rsidP="00F2612B">
      <w:pPr>
        <w:pStyle w:val="TableFooter"/>
        <w:keepNext/>
      </w:pPr>
      <w:r>
        <w:t>1 Only the number of patients (n) in the relevant arms were included</w:t>
      </w:r>
      <w:r w:rsidR="00AB5FA3">
        <w:t>.</w:t>
      </w:r>
      <w:r>
        <w:t xml:space="preserve"> </w:t>
      </w:r>
    </w:p>
    <w:p w:rsidR="00F2612B" w:rsidRPr="00061F78" w:rsidRDefault="00F2612B" w:rsidP="00F2612B">
      <w:pPr>
        <w:pStyle w:val="TableFooter"/>
        <w:keepNext/>
      </w:pPr>
      <w:r>
        <w:t xml:space="preserve">2 The characteristics of the individual studies comparing NRT with placebo included in Livingstone-Banks et al. (2019) are presented in </w:t>
      </w:r>
      <w:r w:rsidRPr="00E32C5A">
        <w:t>Appendix</w:t>
      </w:r>
      <w:r w:rsidR="002C2327">
        <w:t xml:space="preserve"> </w:t>
      </w:r>
      <w:r w:rsidR="003C4A1C">
        <w:t xml:space="preserve">Table </w:t>
      </w:r>
      <w:r w:rsidR="003C4A1C">
        <w:rPr>
          <w:noProof/>
        </w:rPr>
        <w:t>154</w:t>
      </w:r>
      <w:r>
        <w:t>.</w:t>
      </w:r>
    </w:p>
    <w:p w:rsidR="002C2327" w:rsidRPr="00C52253" w:rsidRDefault="002C2327" w:rsidP="002C2327">
      <w:pPr>
        <w:rPr>
          <w:u w:val="single"/>
        </w:rPr>
      </w:pPr>
      <w:r w:rsidRPr="00C52253">
        <w:rPr>
          <w:u w:val="single"/>
        </w:rPr>
        <w:t>Efficacy</w:t>
      </w:r>
    </w:p>
    <w:p w:rsidR="00F2612B" w:rsidRDefault="002C2327" w:rsidP="002C2327">
      <w:r>
        <w:t xml:space="preserve">A summary of the smoking cessation rates at 12 months </w:t>
      </w:r>
      <w:r w:rsidR="0065088C">
        <w:t xml:space="preserve">comparing NRT </w:t>
      </w:r>
      <w:r w:rsidR="0019005E">
        <w:t>with placebo</w:t>
      </w:r>
      <w:r w:rsidR="009E1A97">
        <w:t xml:space="preserve"> in abstainers for relapse prevention</w:t>
      </w:r>
      <w:r>
        <w:t xml:space="preserve"> is presented in </w:t>
      </w:r>
      <w:r w:rsidR="003C4A1C">
        <w:t xml:space="preserve">Table </w:t>
      </w:r>
      <w:r w:rsidR="003C4A1C">
        <w:rPr>
          <w:noProof/>
        </w:rPr>
        <w:t>48</w:t>
      </w:r>
      <w:r>
        <w:t>. The results of the meta-analysis comprising two RCTs by Livingstone-Banks et al. (2019) demonstrated no statistically significant difference in long-term smoking cessation rates between NRT and placebo for relapse prevention.</w:t>
      </w:r>
    </w:p>
    <w:p w:rsidR="002C2327" w:rsidRDefault="002C2327" w:rsidP="002C2327">
      <w:pPr>
        <w:pStyle w:val="Caption"/>
        <w:keepNext/>
      </w:pPr>
      <w:bookmarkStart w:id="124" w:name="_Ref54889114"/>
      <w:r>
        <w:t xml:space="preserve">Table </w:t>
      </w:r>
      <w:r w:rsidR="003C4A1C">
        <w:rPr>
          <w:noProof/>
        </w:rPr>
        <w:t>48</w:t>
      </w:r>
      <w:bookmarkEnd w:id="124"/>
      <w:r>
        <w:t xml:space="preserve">: </w:t>
      </w:r>
      <w:r w:rsidRPr="009916CA">
        <w:t xml:space="preserve">Results of smoking cessation at 12 months after quit date, </w:t>
      </w:r>
      <w:r>
        <w:t>NRT</w:t>
      </w:r>
      <w:r w:rsidRPr="009916CA">
        <w:t xml:space="preserve"> versus placebo</w:t>
      </w:r>
      <w:r w:rsidR="0065088C">
        <w:t xml:space="preserve"> </w:t>
      </w:r>
      <w:r w:rsidR="0065088C" w:rsidRPr="00B62DB4">
        <w:t>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550"/>
        <w:gridCol w:w="1716"/>
        <w:gridCol w:w="1969"/>
        <w:gridCol w:w="1953"/>
        <w:gridCol w:w="1828"/>
      </w:tblGrid>
      <w:tr w:rsidR="002C2327" w:rsidRPr="00061F78" w:rsidTr="00296D30">
        <w:trPr>
          <w:cantSplit/>
          <w:trHeight w:val="299"/>
          <w:tblHeader/>
        </w:trPr>
        <w:tc>
          <w:tcPr>
            <w:tcW w:w="859" w:type="pct"/>
            <w:shd w:val="clear" w:color="auto" w:fill="BFBFBF" w:themeFill="background1" w:themeFillShade="BF"/>
            <w:tcMar>
              <w:left w:w="28" w:type="dxa"/>
              <w:right w:w="28" w:type="dxa"/>
            </w:tcMar>
          </w:tcPr>
          <w:p w:rsidR="002C2327" w:rsidRPr="00061F78" w:rsidRDefault="00126B7B" w:rsidP="00FF4A1C">
            <w:pPr>
              <w:pStyle w:val="Tableheading"/>
              <w:keepNext/>
              <w:rPr>
                <w:rFonts w:eastAsia="MS Mincho"/>
              </w:rPr>
            </w:pPr>
            <w:r>
              <w:rPr>
                <w:rFonts w:eastAsia="MS Mincho"/>
              </w:rPr>
              <w:t>Study</w:t>
            </w:r>
          </w:p>
        </w:tc>
        <w:tc>
          <w:tcPr>
            <w:tcW w:w="951" w:type="pct"/>
            <w:shd w:val="clear" w:color="auto" w:fill="BFBFBF" w:themeFill="background1" w:themeFillShade="BF"/>
            <w:vAlign w:val="center"/>
          </w:tcPr>
          <w:p w:rsidR="002C2327" w:rsidRDefault="002C2327" w:rsidP="00FF4A1C">
            <w:pPr>
              <w:pStyle w:val="Tableheading"/>
              <w:keepNext/>
              <w:jc w:val="center"/>
              <w:rPr>
                <w:rFonts w:eastAsia="MS Mincho"/>
              </w:rPr>
            </w:pPr>
            <w:r>
              <w:rPr>
                <w:rFonts w:eastAsia="MS Mincho"/>
              </w:rPr>
              <w:t>Study type</w:t>
            </w:r>
          </w:p>
        </w:tc>
        <w:tc>
          <w:tcPr>
            <w:tcW w:w="1092" w:type="pct"/>
            <w:shd w:val="clear" w:color="auto" w:fill="BFBFBF" w:themeFill="background1" w:themeFillShade="BF"/>
            <w:tcMar>
              <w:left w:w="28" w:type="dxa"/>
              <w:right w:w="28" w:type="dxa"/>
            </w:tcMar>
            <w:vAlign w:val="center"/>
          </w:tcPr>
          <w:p w:rsidR="002C2327" w:rsidRPr="00061F78" w:rsidRDefault="002C2327" w:rsidP="00FF4A1C">
            <w:pPr>
              <w:pStyle w:val="Tableheading"/>
              <w:keepNext/>
              <w:jc w:val="center"/>
              <w:rPr>
                <w:rFonts w:eastAsia="MS Mincho"/>
              </w:rPr>
            </w:pPr>
            <w:r>
              <w:rPr>
                <w:rFonts w:eastAsia="MS Mincho"/>
              </w:rPr>
              <w:t>NRT</w:t>
            </w:r>
          </w:p>
        </w:tc>
        <w:tc>
          <w:tcPr>
            <w:tcW w:w="1083" w:type="pct"/>
            <w:shd w:val="clear" w:color="auto" w:fill="BFBFBF" w:themeFill="background1" w:themeFillShade="BF"/>
            <w:tcMar>
              <w:left w:w="28" w:type="dxa"/>
              <w:right w:w="28" w:type="dxa"/>
            </w:tcMar>
            <w:vAlign w:val="center"/>
          </w:tcPr>
          <w:p w:rsidR="002C2327" w:rsidRPr="00061F78" w:rsidRDefault="002C2327" w:rsidP="00FF4A1C">
            <w:pPr>
              <w:pStyle w:val="Tableheading"/>
              <w:keepNext/>
              <w:jc w:val="center"/>
              <w:rPr>
                <w:rFonts w:eastAsia="MS Mincho"/>
              </w:rPr>
            </w:pPr>
            <w:r w:rsidRPr="00061F78">
              <w:rPr>
                <w:rFonts w:eastAsia="MS Mincho"/>
              </w:rPr>
              <w:t>Placebo</w:t>
            </w:r>
          </w:p>
        </w:tc>
        <w:tc>
          <w:tcPr>
            <w:tcW w:w="1014" w:type="pct"/>
            <w:shd w:val="clear" w:color="auto" w:fill="BFBFBF" w:themeFill="background1" w:themeFillShade="BF"/>
            <w:tcMar>
              <w:left w:w="28" w:type="dxa"/>
              <w:right w:w="28" w:type="dxa"/>
            </w:tcMar>
            <w:vAlign w:val="center"/>
          </w:tcPr>
          <w:p w:rsidR="002C2327" w:rsidRPr="00D468CF" w:rsidRDefault="002C2327" w:rsidP="00FF4A1C">
            <w:pPr>
              <w:pStyle w:val="Tableheading"/>
              <w:keepNext/>
              <w:jc w:val="center"/>
              <w:rPr>
                <w:rFonts w:eastAsia="MS Mincho"/>
                <w:vertAlign w:val="superscript"/>
              </w:rPr>
            </w:pPr>
            <w:r>
              <w:rPr>
                <w:rFonts w:eastAsia="MS Mincho"/>
              </w:rPr>
              <w:t>RR (95% CI)</w:t>
            </w:r>
          </w:p>
        </w:tc>
      </w:tr>
      <w:tr w:rsidR="002C2327" w:rsidRPr="00061F78" w:rsidTr="00296D30">
        <w:trPr>
          <w:cantSplit/>
          <w:trHeight w:val="149"/>
        </w:trPr>
        <w:tc>
          <w:tcPr>
            <w:tcW w:w="859" w:type="pct"/>
            <w:tcMar>
              <w:left w:w="28" w:type="dxa"/>
              <w:right w:w="28" w:type="dxa"/>
            </w:tcMar>
          </w:tcPr>
          <w:p w:rsidR="002C2327" w:rsidRDefault="002C2327" w:rsidP="00FF4A1C">
            <w:pPr>
              <w:pStyle w:val="Tablewriting"/>
              <w:keepNext/>
              <w:rPr>
                <w:rFonts w:eastAsia="MS Mincho"/>
              </w:rPr>
            </w:pPr>
            <w:r>
              <w:rPr>
                <w:rFonts w:eastAsia="MS Mincho"/>
              </w:rPr>
              <w:t xml:space="preserve">Livingstone-Banks </w:t>
            </w:r>
          </w:p>
          <w:p w:rsidR="002C2327" w:rsidRPr="00D468CF" w:rsidRDefault="002C2327" w:rsidP="00FF4A1C">
            <w:pPr>
              <w:pStyle w:val="Tablewriting"/>
              <w:keepNext/>
              <w:rPr>
                <w:rFonts w:eastAsia="MS Mincho"/>
                <w:vertAlign w:val="superscript"/>
              </w:rPr>
            </w:pPr>
            <w:r>
              <w:rPr>
                <w:rFonts w:eastAsia="MS Mincho"/>
              </w:rPr>
              <w:t>(2019)</w:t>
            </w:r>
            <w:r w:rsidR="00296D30">
              <w:rPr>
                <w:rFonts w:eastAsia="MS Mincho"/>
                <w:vertAlign w:val="superscript"/>
              </w:rPr>
              <w:t>1,</w:t>
            </w:r>
            <w:r>
              <w:rPr>
                <w:rFonts w:eastAsia="MS Mincho"/>
                <w:vertAlign w:val="superscript"/>
              </w:rPr>
              <w:t>2</w:t>
            </w:r>
          </w:p>
        </w:tc>
        <w:tc>
          <w:tcPr>
            <w:tcW w:w="951" w:type="pct"/>
            <w:vAlign w:val="center"/>
          </w:tcPr>
          <w:p w:rsidR="002C2327" w:rsidRDefault="002C2327" w:rsidP="00FF4A1C">
            <w:pPr>
              <w:pStyle w:val="Tablewriting"/>
              <w:keepNext/>
              <w:jc w:val="center"/>
              <w:rPr>
                <w:rFonts w:eastAsia="MS Mincho"/>
              </w:rPr>
            </w:pPr>
            <w:r>
              <w:rPr>
                <w:rFonts w:eastAsia="MS Mincho"/>
              </w:rPr>
              <w:t>Cochrane Review (2 RCTs)</w:t>
            </w:r>
          </w:p>
        </w:tc>
        <w:tc>
          <w:tcPr>
            <w:tcW w:w="1092" w:type="pct"/>
            <w:tcMar>
              <w:left w:w="28" w:type="dxa"/>
              <w:right w:w="28" w:type="dxa"/>
            </w:tcMar>
            <w:vAlign w:val="center"/>
          </w:tcPr>
          <w:p w:rsidR="002C2327" w:rsidRPr="00FD71B4" w:rsidRDefault="002C2327" w:rsidP="00FF4A1C">
            <w:pPr>
              <w:pStyle w:val="Tablewriting"/>
              <w:keepNext/>
              <w:jc w:val="center"/>
              <w:rPr>
                <w:rFonts w:eastAsia="MS Mincho"/>
              </w:rPr>
            </w:pPr>
            <w:r>
              <w:rPr>
                <w:rFonts w:eastAsia="MS Mincho"/>
              </w:rPr>
              <w:t>67/275</w:t>
            </w:r>
            <w:r w:rsidRPr="00FD71B4">
              <w:rPr>
                <w:rFonts w:eastAsia="MS Mincho"/>
              </w:rPr>
              <w:t xml:space="preserve"> </w:t>
            </w:r>
          </w:p>
          <w:p w:rsidR="002C2327" w:rsidRPr="00FD71B4" w:rsidRDefault="002C2327" w:rsidP="00FF4A1C">
            <w:pPr>
              <w:pStyle w:val="Tablewriting"/>
              <w:keepNext/>
              <w:jc w:val="center"/>
              <w:rPr>
                <w:rFonts w:eastAsia="MS Mincho"/>
              </w:rPr>
            </w:pPr>
            <w:r w:rsidRPr="00FD71B4">
              <w:rPr>
                <w:rFonts w:eastAsia="MS Mincho"/>
              </w:rPr>
              <w:t>(</w:t>
            </w:r>
            <w:r>
              <w:rPr>
                <w:rFonts w:eastAsia="MS Mincho"/>
              </w:rPr>
              <w:t>24.4</w:t>
            </w:r>
            <w:r w:rsidRPr="00FD71B4">
              <w:rPr>
                <w:rFonts w:eastAsia="MS Mincho"/>
              </w:rPr>
              <w:t>%)</w:t>
            </w:r>
          </w:p>
        </w:tc>
        <w:tc>
          <w:tcPr>
            <w:tcW w:w="1083" w:type="pct"/>
            <w:tcMar>
              <w:left w:w="28" w:type="dxa"/>
              <w:right w:w="28" w:type="dxa"/>
            </w:tcMar>
            <w:vAlign w:val="center"/>
          </w:tcPr>
          <w:p w:rsidR="002C2327" w:rsidRPr="00FD71B4" w:rsidRDefault="002C2327" w:rsidP="00FF4A1C">
            <w:pPr>
              <w:pStyle w:val="Tablewriting"/>
              <w:keepNext/>
              <w:jc w:val="center"/>
              <w:rPr>
                <w:rFonts w:eastAsia="MS Mincho"/>
              </w:rPr>
            </w:pPr>
            <w:r>
              <w:rPr>
                <w:rFonts w:eastAsia="MS Mincho"/>
              </w:rPr>
              <w:t>65/278</w:t>
            </w:r>
            <w:r w:rsidRPr="00FD71B4">
              <w:rPr>
                <w:rFonts w:eastAsia="MS Mincho"/>
              </w:rPr>
              <w:t xml:space="preserve"> </w:t>
            </w:r>
          </w:p>
          <w:p w:rsidR="002C2327" w:rsidRPr="00FD71B4" w:rsidRDefault="002C2327" w:rsidP="00FF4A1C">
            <w:pPr>
              <w:pStyle w:val="Tablewriting"/>
              <w:keepNext/>
              <w:jc w:val="center"/>
              <w:rPr>
                <w:rFonts w:eastAsia="MS Mincho"/>
              </w:rPr>
            </w:pPr>
            <w:r w:rsidRPr="00FD71B4">
              <w:rPr>
                <w:rFonts w:eastAsia="MS Mincho"/>
              </w:rPr>
              <w:t>(</w:t>
            </w:r>
            <w:r>
              <w:rPr>
                <w:rFonts w:eastAsia="MS Mincho"/>
              </w:rPr>
              <w:t>23.4</w:t>
            </w:r>
            <w:r w:rsidRPr="00FD71B4">
              <w:rPr>
                <w:rFonts w:eastAsia="MS Mincho"/>
              </w:rPr>
              <w:t>%)</w:t>
            </w:r>
          </w:p>
        </w:tc>
        <w:tc>
          <w:tcPr>
            <w:tcW w:w="1014" w:type="pct"/>
            <w:tcMar>
              <w:left w:w="28" w:type="dxa"/>
              <w:right w:w="28" w:type="dxa"/>
            </w:tcMar>
            <w:vAlign w:val="center"/>
          </w:tcPr>
          <w:p w:rsidR="002C2327" w:rsidRPr="004E3996" w:rsidRDefault="002C2327" w:rsidP="00FF4A1C">
            <w:pPr>
              <w:pStyle w:val="Tablewriting"/>
              <w:keepNext/>
              <w:jc w:val="center"/>
              <w:rPr>
                <w:rFonts w:eastAsia="MS Mincho"/>
              </w:rPr>
            </w:pPr>
            <w:r w:rsidRPr="004E3996">
              <w:rPr>
                <w:rFonts w:eastAsia="MS Mincho"/>
              </w:rPr>
              <w:t>1.</w:t>
            </w:r>
            <w:r>
              <w:rPr>
                <w:rFonts w:eastAsia="MS Mincho"/>
              </w:rPr>
              <w:t>04</w:t>
            </w:r>
          </w:p>
          <w:p w:rsidR="002C2327" w:rsidRPr="00FD71B4" w:rsidRDefault="002C2327" w:rsidP="00FF4A1C">
            <w:pPr>
              <w:pStyle w:val="Tablewriting"/>
              <w:keepNext/>
              <w:jc w:val="center"/>
              <w:rPr>
                <w:rFonts w:eastAsia="MS Mincho"/>
              </w:rPr>
            </w:pPr>
            <w:r w:rsidRPr="004E3996">
              <w:rPr>
                <w:rFonts w:eastAsia="MS Mincho"/>
              </w:rPr>
              <w:t>(</w:t>
            </w:r>
            <w:r>
              <w:rPr>
                <w:rFonts w:eastAsia="MS Mincho"/>
              </w:rPr>
              <w:t>0.77</w:t>
            </w:r>
            <w:r w:rsidRPr="004E3996">
              <w:rPr>
                <w:rFonts w:eastAsia="MS Mincho"/>
              </w:rPr>
              <w:t>, 1.</w:t>
            </w:r>
            <w:r>
              <w:rPr>
                <w:rFonts w:eastAsia="MS Mincho"/>
              </w:rPr>
              <w:t>4</w:t>
            </w:r>
            <w:r w:rsidRPr="004E3996">
              <w:rPr>
                <w:rFonts w:eastAsia="MS Mincho"/>
              </w:rPr>
              <w:t>)</w:t>
            </w:r>
          </w:p>
        </w:tc>
      </w:tr>
    </w:tbl>
    <w:p w:rsidR="002C2327" w:rsidRDefault="002C2327" w:rsidP="002C2327">
      <w:pPr>
        <w:pStyle w:val="TableFooter"/>
        <w:keepNext/>
      </w:pPr>
      <w:r>
        <w:t>Source: Livingstone-Banks et al. (2019)</w:t>
      </w:r>
    </w:p>
    <w:p w:rsidR="002C2327" w:rsidRDefault="002C2327" w:rsidP="002C2327">
      <w:pPr>
        <w:pStyle w:val="TableFooter"/>
        <w:keepNext/>
        <w:rPr>
          <w:i/>
        </w:rPr>
      </w:pPr>
      <w:r>
        <w:t>Abbreviations: CI = confidence interval; RCT = randomised controlled trial; RD = risk difference; RR = risk ratio</w:t>
      </w:r>
      <w:r w:rsidRPr="00061F78">
        <w:t xml:space="preserve"> </w:t>
      </w:r>
    </w:p>
    <w:p w:rsidR="002C2327" w:rsidRDefault="002C2327" w:rsidP="002C2327">
      <w:pPr>
        <w:pStyle w:val="TableFooter"/>
        <w:keepNext/>
      </w:pPr>
      <w:r w:rsidRPr="00D468CF">
        <w:t>Note</w:t>
      </w:r>
      <w:r>
        <w:t>s</w:t>
      </w:r>
      <w:r w:rsidRPr="00D468CF">
        <w:t>: Bold indicates statistically significant difference.</w:t>
      </w:r>
      <w:r>
        <w:br/>
        <w:t xml:space="preserve">1 Where cessation was assessed at multiple intervals, the longest follow-up data were used. Where multiple definitions of abstinence were assessed, the strictest of these definitions was used (e.g. continuous/prolonged abstinence over point prevalence abstinence). See </w:t>
      </w:r>
      <w:r w:rsidRPr="00E32C5A">
        <w:t xml:space="preserve">Appendix </w:t>
      </w:r>
      <w:r w:rsidR="003C4A1C">
        <w:t xml:space="preserve">Table </w:t>
      </w:r>
      <w:r w:rsidR="003C4A1C">
        <w:rPr>
          <w:noProof/>
        </w:rPr>
        <w:t>154</w:t>
      </w:r>
      <w:r>
        <w:t xml:space="preserve"> for the definition used in each study.</w:t>
      </w:r>
    </w:p>
    <w:p w:rsidR="002C2327" w:rsidRDefault="002C2327" w:rsidP="002C2327">
      <w:pPr>
        <w:pStyle w:val="TableFooter"/>
        <w:keepNext/>
      </w:pPr>
      <w:r w:rsidRPr="00E32C5A">
        <w:t xml:space="preserve">2 Calculated </w:t>
      </w:r>
      <w:r w:rsidR="00296D30" w:rsidRPr="00E32C5A">
        <w:t>by Cochrane Review authors</w:t>
      </w:r>
      <w:r w:rsidRPr="00E32C5A">
        <w:t xml:space="preserve"> using a fixed-effect model</w:t>
      </w:r>
      <w:r w:rsidR="00AB5FA3">
        <w:t>.</w:t>
      </w:r>
    </w:p>
    <w:p w:rsidR="002C2327" w:rsidRDefault="00FF4A1C" w:rsidP="002C2327">
      <w:r w:rsidRPr="00FF4A1C">
        <w:t xml:space="preserve">The results of the individual studies included in Livingstone-Banks et al. (2019) are presented using a forest plot in </w:t>
      </w:r>
      <w:r w:rsidR="003C4A1C">
        <w:t xml:space="preserve">Figure </w:t>
      </w:r>
      <w:r w:rsidR="003C4A1C">
        <w:rPr>
          <w:noProof/>
        </w:rPr>
        <w:t>12</w:t>
      </w:r>
      <w:r w:rsidRPr="00FF4A1C">
        <w:t xml:space="preserve">. </w:t>
      </w:r>
      <w:r w:rsidR="009B06A7" w:rsidRPr="00FF4A1C">
        <w:t>T</w:t>
      </w:r>
      <w:r w:rsidRPr="00FF4A1C">
        <w:t>here w</w:t>
      </w:r>
      <w:r w:rsidR="000231A1">
        <w:t>ere</w:t>
      </w:r>
      <w:r w:rsidRPr="00FF4A1C">
        <w:t xml:space="preserve"> no statistically significant difference</w:t>
      </w:r>
      <w:r w:rsidR="00A03FAF">
        <w:t>s</w:t>
      </w:r>
      <w:r w:rsidRPr="00FF4A1C">
        <w:t xml:space="preserve"> between </w:t>
      </w:r>
      <w:r>
        <w:t>NRT</w:t>
      </w:r>
      <w:r w:rsidRPr="00FF4A1C">
        <w:t xml:space="preserve"> and placebo in </w:t>
      </w:r>
      <w:r w:rsidR="009B06A7">
        <w:t>any</w:t>
      </w:r>
      <w:r w:rsidRPr="00FF4A1C">
        <w:t xml:space="preserve"> of the individual RCTs included in the meta-analysis</w:t>
      </w:r>
      <w:r w:rsidR="009B06A7">
        <w:t xml:space="preserve">, noting that </w:t>
      </w:r>
      <w:r w:rsidR="009B06A7" w:rsidRPr="009B06A7">
        <w:t>the formulation and duration of NRT treatment differed across the RCTs</w:t>
      </w:r>
      <w:r w:rsidRPr="00FF4A1C">
        <w:t>.</w:t>
      </w:r>
    </w:p>
    <w:p w:rsidR="00FF4A1C" w:rsidRDefault="00FF4A1C" w:rsidP="00FF4A1C">
      <w:pPr>
        <w:keepNext/>
      </w:pPr>
      <w:r>
        <w:rPr>
          <w:noProof/>
        </w:rPr>
        <w:lastRenderedPageBreak/>
        <w:drawing>
          <wp:inline distT="0" distB="0" distL="0" distR="0" wp14:anchorId="647AB024" wp14:editId="0E4279A3">
            <wp:extent cx="5731510" cy="3317240"/>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31">
                      <a:extLst>
                        <a:ext uri="{28A0092B-C50C-407E-A947-70E740481C1C}">
                          <a14:useLocalDpi xmlns:a14="http://schemas.microsoft.com/office/drawing/2010/main" val="0"/>
                        </a:ext>
                      </a:extLst>
                    </a:blip>
                    <a:stretch>
                      <a:fillRect/>
                    </a:stretch>
                  </pic:blipFill>
                  <pic:spPr>
                    <a:xfrm>
                      <a:off x="0" y="0"/>
                      <a:ext cx="5731510" cy="3317240"/>
                    </a:xfrm>
                    <a:prstGeom prst="rect">
                      <a:avLst/>
                    </a:prstGeom>
                  </pic:spPr>
                </pic:pic>
              </a:graphicData>
            </a:graphic>
          </wp:inline>
        </w:drawing>
      </w:r>
    </w:p>
    <w:p w:rsidR="00FF4A1C" w:rsidRDefault="00FF4A1C" w:rsidP="00FF4A1C">
      <w:pPr>
        <w:pStyle w:val="Caption"/>
      </w:pPr>
      <w:bookmarkStart w:id="125" w:name="_Ref54889389"/>
      <w:r>
        <w:t xml:space="preserve">Figure </w:t>
      </w:r>
      <w:r w:rsidR="003C4A1C">
        <w:rPr>
          <w:noProof/>
        </w:rPr>
        <w:t>12</w:t>
      </w:r>
      <w:bookmarkEnd w:id="125"/>
      <w:r>
        <w:t xml:space="preserve">: </w:t>
      </w:r>
      <w:r w:rsidRPr="002E7882">
        <w:t xml:space="preserve">Results of smoking cessation at 12 months after quit date in Livingstone-Banks et al. (2019), </w:t>
      </w:r>
      <w:r>
        <w:t>NRT</w:t>
      </w:r>
      <w:r w:rsidRPr="002E7882">
        <w:t xml:space="preserve"> versus placebo</w:t>
      </w:r>
      <w:r w:rsidR="00A03FAF">
        <w:t xml:space="preserve"> </w:t>
      </w:r>
      <w:r w:rsidR="00A03FAF" w:rsidRPr="00B62DB4">
        <w:t>in abstainers for relapse prevention</w:t>
      </w:r>
    </w:p>
    <w:p w:rsidR="00FF4A1C" w:rsidRDefault="00FF4A1C" w:rsidP="00FF4A1C">
      <w:pPr>
        <w:pStyle w:val="FigureFooter"/>
      </w:pPr>
      <w:r>
        <w:t>Source: Livingstone-Banks et al. (2019)</w:t>
      </w:r>
    </w:p>
    <w:p w:rsidR="00FF4A1C" w:rsidRDefault="00FF4A1C" w:rsidP="00FF4A1C">
      <w:pPr>
        <w:pStyle w:val="FigureFooter"/>
      </w:pPr>
      <w:r w:rsidRPr="00D041F9">
        <w:t>Abbreviations: CI = confidence interval</w:t>
      </w:r>
    </w:p>
    <w:p w:rsidR="004002E8" w:rsidRDefault="004002E8" w:rsidP="00FF4A1C">
      <w:pPr>
        <w:pStyle w:val="FigureFooter"/>
      </w:pPr>
      <w:r>
        <w:t>Notes: In Covey et al. (2007), patients were provided bupropion and NRT patches in the open-label treatment phase followed by bupropion, NRT gum, or both and placebo in the double-blind treatment phase. In Croghan et al. (2007), patients were provided bupropion, NRT inhaler or both, followed by the same medications or placebo in the double-blind treatment phase.</w:t>
      </w:r>
    </w:p>
    <w:p w:rsidR="009B06A7" w:rsidRPr="000F3331" w:rsidRDefault="00B05046" w:rsidP="00FF4A1C">
      <w:bookmarkStart w:id="126" w:name="_Hlk66271398"/>
      <w:r>
        <w:t>None o</w:t>
      </w:r>
      <w:r w:rsidR="009B06A7" w:rsidRPr="009B06A7">
        <w:t>f the studies identified by Livingstone-Banks et al. (2019)</w:t>
      </w:r>
      <w:r>
        <w:t xml:space="preserve"> compared NRT </w:t>
      </w:r>
      <w:r w:rsidR="003B3817">
        <w:t>monotherapy (either as patch, gum or lozenge)</w:t>
      </w:r>
      <w:r w:rsidR="009B06A7" w:rsidRPr="009B06A7">
        <w:t xml:space="preserve"> with placebo in patients who achieved abstinence after initial treatment with </w:t>
      </w:r>
      <w:r w:rsidR="003B3817">
        <w:t xml:space="preserve">NRT monotherapy using the same formulation. In Covey et al. (2007), patients were provided bupropion plus NRT patches in the initial treatment phase while patients were provided NRT inhaler in </w:t>
      </w:r>
      <w:r w:rsidR="00D100BF">
        <w:t>Croghan et al. (2007)</w:t>
      </w:r>
      <w:bookmarkEnd w:id="126"/>
      <w:r w:rsidR="00D100BF">
        <w:t>.</w:t>
      </w:r>
    </w:p>
    <w:p w:rsidR="00FF4A1C" w:rsidRPr="0073597F" w:rsidRDefault="00FF4A1C" w:rsidP="00FF4A1C">
      <w:pPr>
        <w:rPr>
          <w:u w:val="single"/>
        </w:rPr>
      </w:pPr>
      <w:r w:rsidRPr="0073597F">
        <w:rPr>
          <w:u w:val="single"/>
        </w:rPr>
        <w:t>Safety</w:t>
      </w:r>
    </w:p>
    <w:p w:rsidR="00FF4A1C" w:rsidRDefault="00FF4A1C" w:rsidP="00FF4A1C">
      <w:r w:rsidRPr="00F423F8">
        <w:t xml:space="preserve">The </w:t>
      </w:r>
      <w:r w:rsidR="00573F59">
        <w:t>safety</w:t>
      </w:r>
      <w:r w:rsidRPr="00F423F8">
        <w:t xml:space="preserve"> of </w:t>
      </w:r>
      <w:r>
        <w:t xml:space="preserve">NRT </w:t>
      </w:r>
      <w:r w:rsidR="00573F59">
        <w:t>versus</w:t>
      </w:r>
      <w:r>
        <w:t xml:space="preserve"> placebo in abstainers for relapse prevention</w:t>
      </w:r>
      <w:r w:rsidRPr="00F423F8">
        <w:t xml:space="preserve"> was not </w:t>
      </w:r>
      <w:r w:rsidR="00A03FAF">
        <w:t>assessed</w:t>
      </w:r>
      <w:r w:rsidRPr="00F423F8">
        <w:t xml:space="preserve"> by </w:t>
      </w:r>
      <w:r w:rsidRPr="002C1625">
        <w:t>Livingstone-Banks et al. (2019)</w:t>
      </w:r>
      <w:r w:rsidR="004002E8">
        <w:t xml:space="preserve"> and Croghan et al. (2007)</w:t>
      </w:r>
      <w:r w:rsidRPr="00F423F8">
        <w:t>.</w:t>
      </w:r>
    </w:p>
    <w:p w:rsidR="004002E8" w:rsidRDefault="004002E8" w:rsidP="00FF4A1C">
      <w:r>
        <w:t>In Covey et al. (2007), t</w:t>
      </w:r>
      <w:r w:rsidRPr="003B5A21">
        <w:t xml:space="preserve">he number of reported </w:t>
      </w:r>
      <w:r>
        <w:t>adverse events</w:t>
      </w:r>
      <w:r w:rsidRPr="003B5A21">
        <w:t xml:space="preserve"> </w:t>
      </w:r>
      <w:r>
        <w:t>such as</w:t>
      </w:r>
      <w:r w:rsidRPr="003B5A21">
        <w:t xml:space="preserve"> nervousness, constipation, insomnia, stomach-ache</w:t>
      </w:r>
      <w:r>
        <w:t xml:space="preserve"> and</w:t>
      </w:r>
      <w:r w:rsidRPr="003B5A21">
        <w:t xml:space="preserve"> depressed mood was low, and did not vary by treatment group (P = 0.69)</w:t>
      </w:r>
      <w:r>
        <w:t>.</w:t>
      </w:r>
    </w:p>
    <w:p w:rsidR="006607A6" w:rsidRPr="006607A6" w:rsidRDefault="006D3125" w:rsidP="006607A6">
      <w:pPr>
        <w:rPr>
          <w:b/>
          <w:bCs/>
        </w:rPr>
      </w:pPr>
      <w:r>
        <w:rPr>
          <w:b/>
          <w:bCs/>
        </w:rPr>
        <w:t>NRT</w:t>
      </w:r>
      <w:r w:rsidR="006607A6" w:rsidRPr="006607A6">
        <w:rPr>
          <w:b/>
          <w:bCs/>
        </w:rPr>
        <w:t xml:space="preserve"> versus placebo – non-abstainers (retreatment)</w:t>
      </w:r>
    </w:p>
    <w:p w:rsidR="006607A6" w:rsidRDefault="006607A6" w:rsidP="006607A6">
      <w:r>
        <w:t xml:space="preserve">A summary of the citation details for the studies comparing </w:t>
      </w:r>
      <w:r w:rsidR="006C34A4">
        <w:t>NRT</w:t>
      </w:r>
      <w:r>
        <w:t xml:space="preserve"> with placebo in non-abstainers as retreatment is presented in </w:t>
      </w:r>
      <w:r w:rsidR="003C4A1C">
        <w:t xml:space="preserve">Table </w:t>
      </w:r>
      <w:r w:rsidR="003C4A1C">
        <w:rPr>
          <w:noProof/>
        </w:rPr>
        <w:t>49</w:t>
      </w:r>
      <w:r>
        <w:t xml:space="preserve">. </w:t>
      </w:r>
      <w:r w:rsidR="00370DE9">
        <w:t>One</w:t>
      </w:r>
      <w:r>
        <w:t xml:space="preserve"> RCT that compared </w:t>
      </w:r>
      <w:r w:rsidR="00370DE9">
        <w:t xml:space="preserve">NRT </w:t>
      </w:r>
      <w:r w:rsidR="00573F59">
        <w:t>patches</w:t>
      </w:r>
      <w:r>
        <w:t xml:space="preserve"> with placebo as retreatment </w:t>
      </w:r>
      <w:r w:rsidR="00710FE9">
        <w:t>(Gourlay et al. 1995)</w:t>
      </w:r>
      <w:r>
        <w:t xml:space="preserve"> w</w:t>
      </w:r>
      <w:r w:rsidR="0007332A">
        <w:t>as</w:t>
      </w:r>
      <w:r>
        <w:t xml:space="preserve"> identified </w:t>
      </w:r>
      <w:r w:rsidR="0058624F" w:rsidRPr="0058624F">
        <w:t xml:space="preserve">in a recently conducted Cochrane </w:t>
      </w:r>
      <w:r w:rsidR="00296D30">
        <w:t>R</w:t>
      </w:r>
      <w:r w:rsidR="0058624F" w:rsidRPr="0058624F">
        <w:t xml:space="preserve">eview </w:t>
      </w:r>
      <w:r w:rsidR="00296D30">
        <w:t xml:space="preserve">by Hartmann-Boyce et al. (2018) </w:t>
      </w:r>
      <w:r>
        <w:t xml:space="preserve">and was included in this report. </w:t>
      </w:r>
      <w:r w:rsidR="00710FE9">
        <w:t>Gourlay et al. (1995)</w:t>
      </w:r>
      <w:r>
        <w:t xml:space="preserve"> enrolled smokers who had previously failed to quit smoking using </w:t>
      </w:r>
      <w:r w:rsidR="006600EE">
        <w:t xml:space="preserve">NRT </w:t>
      </w:r>
      <w:r w:rsidR="00573F59">
        <w:t>patches</w:t>
      </w:r>
      <w:r>
        <w:t>.</w:t>
      </w:r>
      <w:r w:rsidR="00296D30" w:rsidRPr="00296D30">
        <w:t xml:space="preserve"> </w:t>
      </w:r>
      <w:r w:rsidR="00296D30" w:rsidRPr="00296D30">
        <w:lastRenderedPageBreak/>
        <w:t xml:space="preserve">No new studies comparing </w:t>
      </w:r>
      <w:r w:rsidR="00296D30">
        <w:t>NRT</w:t>
      </w:r>
      <w:r w:rsidR="00296D30" w:rsidRPr="00296D30">
        <w:t xml:space="preserve"> with placebo in non-abstainers as retreatment were identified in the supplemental literature search</w:t>
      </w:r>
      <w:r w:rsidR="00296D30">
        <w:t>.</w:t>
      </w:r>
    </w:p>
    <w:p w:rsidR="00C52253" w:rsidRDefault="00C52253" w:rsidP="00C52253">
      <w:pPr>
        <w:pStyle w:val="Caption"/>
        <w:keepNext/>
      </w:pPr>
      <w:bookmarkStart w:id="127" w:name="_Ref54968998"/>
      <w:r>
        <w:t xml:space="preserve">Table </w:t>
      </w:r>
      <w:r w:rsidR="003C4A1C">
        <w:rPr>
          <w:noProof/>
        </w:rPr>
        <w:t>49</w:t>
      </w:r>
      <w:bookmarkEnd w:id="127"/>
      <w:r>
        <w:t xml:space="preserve">: </w:t>
      </w:r>
      <w:r w:rsidRPr="009A0BAA">
        <w:t>List of studies comparing bupropion with placebo in non-abstainers as retreatment</w:t>
      </w:r>
    </w:p>
    <w:tbl>
      <w:tblPr>
        <w:tblStyle w:val="TableGrid"/>
        <w:tblW w:w="5000" w:type="pct"/>
        <w:tblLook w:val="04A0" w:firstRow="1" w:lastRow="0" w:firstColumn="1" w:lastColumn="0" w:noHBand="0" w:noVBand="1"/>
        <w:tblCaption w:val="Efficacy results of adalimumab trials (PASI 75 and DLQI)"/>
      </w:tblPr>
      <w:tblGrid>
        <w:gridCol w:w="1021"/>
        <w:gridCol w:w="7995"/>
      </w:tblGrid>
      <w:tr w:rsidR="00483C3A" w:rsidRPr="00061F78" w:rsidTr="00AB6056">
        <w:trPr>
          <w:cantSplit/>
          <w:trHeight w:val="329"/>
          <w:tblHeader/>
        </w:trPr>
        <w:tc>
          <w:tcPr>
            <w:tcW w:w="566" w:type="pct"/>
            <w:shd w:val="clear" w:color="auto" w:fill="BFBFBF" w:themeFill="background1" w:themeFillShade="BF"/>
            <w:tcMar>
              <w:left w:w="28" w:type="dxa"/>
              <w:right w:w="28" w:type="dxa"/>
            </w:tcMar>
          </w:tcPr>
          <w:p w:rsidR="006D3125" w:rsidRPr="00061F78" w:rsidRDefault="00126B7B" w:rsidP="00DC7A3C">
            <w:pPr>
              <w:pStyle w:val="Tableheading"/>
              <w:rPr>
                <w:rFonts w:eastAsia="MS Mincho"/>
              </w:rPr>
            </w:pPr>
            <w:r>
              <w:rPr>
                <w:rFonts w:eastAsia="MS Mincho"/>
              </w:rPr>
              <w:t>Study</w:t>
            </w:r>
          </w:p>
        </w:tc>
        <w:tc>
          <w:tcPr>
            <w:tcW w:w="4434" w:type="pct"/>
            <w:shd w:val="clear" w:color="auto" w:fill="BFBFBF" w:themeFill="background1" w:themeFillShade="BF"/>
          </w:tcPr>
          <w:p w:rsidR="006D3125" w:rsidRDefault="006D3125" w:rsidP="00DC7A3C">
            <w:pPr>
              <w:pStyle w:val="Tableheading"/>
              <w:jc w:val="center"/>
              <w:rPr>
                <w:rFonts w:eastAsia="MS Mincho"/>
              </w:rPr>
            </w:pPr>
            <w:r>
              <w:rPr>
                <w:rFonts w:eastAsia="MS Mincho"/>
              </w:rPr>
              <w:t>Citation</w:t>
            </w:r>
          </w:p>
        </w:tc>
      </w:tr>
      <w:tr w:rsidR="00483C3A" w:rsidRPr="00061F78" w:rsidTr="00AB6056">
        <w:trPr>
          <w:cantSplit/>
          <w:trHeight w:val="164"/>
        </w:trPr>
        <w:tc>
          <w:tcPr>
            <w:tcW w:w="566" w:type="pct"/>
            <w:tcMar>
              <w:left w:w="28" w:type="dxa"/>
              <w:right w:w="28" w:type="dxa"/>
            </w:tcMar>
          </w:tcPr>
          <w:p w:rsidR="006D3125" w:rsidRDefault="001666D1" w:rsidP="00DC7A3C">
            <w:pPr>
              <w:pStyle w:val="Tablewriting"/>
              <w:rPr>
                <w:rFonts w:eastAsia="MS Mincho"/>
              </w:rPr>
            </w:pPr>
            <w:r>
              <w:rPr>
                <w:rFonts w:eastAsia="MS Mincho"/>
              </w:rPr>
              <w:t>Gourlay</w:t>
            </w:r>
          </w:p>
          <w:p w:rsidR="006D3125" w:rsidRPr="00CB6040" w:rsidRDefault="001666D1" w:rsidP="00DC7A3C">
            <w:pPr>
              <w:pStyle w:val="Tablewriting"/>
              <w:rPr>
                <w:rFonts w:eastAsia="MS Mincho"/>
              </w:rPr>
            </w:pPr>
            <w:r>
              <w:rPr>
                <w:rFonts w:eastAsia="MS Mincho"/>
              </w:rPr>
              <w:t>(1995)</w:t>
            </w:r>
            <w:r w:rsidR="0039468B" w:rsidRPr="00693911">
              <w:rPr>
                <w:rFonts w:eastAsia="MS Mincho"/>
                <w:noProof/>
                <w:vertAlign w:val="superscript"/>
              </w:rPr>
              <w:t>45</w:t>
            </w:r>
            <w:r w:rsidR="00436D7C" w:rsidRPr="00CB6040">
              <w:rPr>
                <w:rFonts w:eastAsia="MS Mincho"/>
              </w:rPr>
              <w:t xml:space="preserve"> </w:t>
            </w:r>
          </w:p>
        </w:tc>
        <w:tc>
          <w:tcPr>
            <w:tcW w:w="4434" w:type="pct"/>
          </w:tcPr>
          <w:p w:rsidR="006D3125" w:rsidRDefault="008F3878" w:rsidP="00DC7A3C">
            <w:pPr>
              <w:pStyle w:val="Tablewriting"/>
              <w:rPr>
                <w:rFonts w:eastAsia="MS Mincho"/>
              </w:rPr>
            </w:pPr>
            <w:r w:rsidRPr="008F3878">
              <w:rPr>
                <w:rFonts w:eastAsia="MS Mincho"/>
              </w:rPr>
              <w:t xml:space="preserve">Gourlay SG, Forbes A, Marriner T, Pethica D, McNeil JJ. Double blind trial of repeated treatment with transdermal nicotine for relapsed smokers. </w:t>
            </w:r>
            <w:r w:rsidR="00A67513" w:rsidRPr="00A67513">
              <w:rPr>
                <w:rFonts w:eastAsia="MS Mincho"/>
              </w:rPr>
              <w:t>BMJ</w:t>
            </w:r>
            <w:r w:rsidRPr="008F3878">
              <w:rPr>
                <w:rFonts w:eastAsia="MS Mincho"/>
              </w:rPr>
              <w:t>. 1995 Aug 5;311(7001):363-6.</w:t>
            </w:r>
          </w:p>
        </w:tc>
      </w:tr>
    </w:tbl>
    <w:p w:rsidR="006600EE" w:rsidRDefault="006600EE" w:rsidP="00DC7A3C">
      <w:pPr>
        <w:pStyle w:val="TableFooter"/>
      </w:pPr>
      <w:r>
        <w:t>Notes: Go</w:t>
      </w:r>
      <w:r w:rsidR="006A7126">
        <w:t>urlay</w:t>
      </w:r>
      <w:r>
        <w:t xml:space="preserve"> et al. (</w:t>
      </w:r>
      <w:r w:rsidR="0014291B">
        <w:t>1995</w:t>
      </w:r>
      <w:r>
        <w:t>) w</w:t>
      </w:r>
      <w:r w:rsidR="0014291B">
        <w:t>as</w:t>
      </w:r>
      <w:r>
        <w:t xml:space="preserve"> included in the Cochrane </w:t>
      </w:r>
      <w:r w:rsidR="00FD650E">
        <w:t>R</w:t>
      </w:r>
      <w:r>
        <w:t>eview by H</w:t>
      </w:r>
      <w:r w:rsidR="0014291B">
        <w:t>artmann-Boyce</w:t>
      </w:r>
      <w:r>
        <w:t xml:space="preserve"> et al. (20</w:t>
      </w:r>
      <w:r w:rsidR="0014291B">
        <w:t>18</w:t>
      </w:r>
      <w:r>
        <w:t>).</w:t>
      </w:r>
      <w:r w:rsidR="005460C9" w:rsidRPr="005460C9">
        <w:t xml:space="preserve"> H</w:t>
      </w:r>
      <w:r w:rsidR="005460C9">
        <w:t xml:space="preserve">artmann-Boyce </w:t>
      </w:r>
      <w:r w:rsidR="005460C9" w:rsidRPr="005460C9">
        <w:t>et al. (20</w:t>
      </w:r>
      <w:r w:rsidR="005460C9">
        <w:t>18</w:t>
      </w:r>
      <w:r w:rsidR="005460C9" w:rsidRPr="005460C9">
        <w:t>) did not conduct a subgroup analysis on retreatment</w:t>
      </w:r>
      <w:r w:rsidR="005460C9">
        <w:t xml:space="preserve"> (summarised qualitatively)</w:t>
      </w:r>
      <w:r w:rsidR="005460C9" w:rsidRPr="005460C9">
        <w:t>.</w:t>
      </w:r>
    </w:p>
    <w:p w:rsidR="002177BB" w:rsidRPr="002177BB" w:rsidRDefault="00BA0A3D" w:rsidP="002177BB">
      <w:r w:rsidRPr="00BA0A3D">
        <w:t xml:space="preserve">A summary of the characteristics of the studies comparing </w:t>
      </w:r>
      <w:r w:rsidR="00717046">
        <w:t xml:space="preserve">NRT </w:t>
      </w:r>
      <w:r w:rsidR="00573F59">
        <w:t>patches</w:t>
      </w:r>
      <w:r w:rsidRPr="00BA0A3D">
        <w:t xml:space="preserve"> with placebo in non-abstainers as retreatment is presented in </w:t>
      </w:r>
      <w:r w:rsidR="003C4A1C">
        <w:t xml:space="preserve">Table </w:t>
      </w:r>
      <w:r w:rsidR="003C4A1C">
        <w:rPr>
          <w:noProof/>
        </w:rPr>
        <w:t>50</w:t>
      </w:r>
      <w:r w:rsidRPr="00BA0A3D">
        <w:t>.</w:t>
      </w:r>
    </w:p>
    <w:p w:rsidR="00BA0A3D" w:rsidRDefault="00BA0A3D" w:rsidP="006607A6">
      <w:pPr>
        <w:sectPr w:rsidR="00BA0A3D" w:rsidSect="006356D2">
          <w:pgSz w:w="11906" w:h="16838"/>
          <w:pgMar w:top="1440" w:right="1440" w:bottom="1440" w:left="1440" w:header="708" w:footer="708" w:gutter="0"/>
          <w:cols w:space="708"/>
          <w:titlePg/>
          <w:docGrid w:linePitch="360"/>
        </w:sectPr>
      </w:pPr>
    </w:p>
    <w:p w:rsidR="00717046" w:rsidRDefault="00717046" w:rsidP="00717046">
      <w:pPr>
        <w:pStyle w:val="Caption"/>
        <w:keepNext/>
      </w:pPr>
      <w:bookmarkStart w:id="128" w:name="_Ref54969974"/>
      <w:r>
        <w:lastRenderedPageBreak/>
        <w:t xml:space="preserve">Table </w:t>
      </w:r>
      <w:r w:rsidR="003C4A1C">
        <w:rPr>
          <w:noProof/>
        </w:rPr>
        <w:t>50</w:t>
      </w:r>
      <w:bookmarkEnd w:id="128"/>
      <w:r>
        <w:t xml:space="preserve">: </w:t>
      </w:r>
      <w:r w:rsidRPr="00B57492">
        <w:t xml:space="preserve">Characteristics of the studies comparing </w:t>
      </w:r>
      <w:r>
        <w:t>NRT patch</w:t>
      </w:r>
      <w:r w:rsidRPr="00B57492">
        <w:t xml:space="preserve"> with placebo in non-abstainers as retreatment</w:t>
      </w:r>
    </w:p>
    <w:tbl>
      <w:tblPr>
        <w:tblStyle w:val="TableGrid"/>
        <w:tblW w:w="5000" w:type="pct"/>
        <w:tblLook w:val="04A0" w:firstRow="1" w:lastRow="0" w:firstColumn="1" w:lastColumn="0" w:noHBand="0" w:noVBand="1"/>
        <w:tblCaption w:val="Efficacy results of adalimumab trials (PASI 75 and DLQI)"/>
      </w:tblPr>
      <w:tblGrid>
        <w:gridCol w:w="1113"/>
        <w:gridCol w:w="1060"/>
        <w:gridCol w:w="946"/>
        <w:gridCol w:w="5166"/>
        <w:gridCol w:w="2293"/>
        <w:gridCol w:w="3370"/>
      </w:tblGrid>
      <w:tr w:rsidR="00305930" w:rsidRPr="00061F78" w:rsidTr="00717046">
        <w:trPr>
          <w:trHeight w:val="299"/>
          <w:tblHeader/>
        </w:trPr>
        <w:tc>
          <w:tcPr>
            <w:tcW w:w="399" w:type="pct"/>
            <w:shd w:val="clear" w:color="auto" w:fill="BFBFBF" w:themeFill="background1" w:themeFillShade="BF"/>
            <w:tcMar>
              <w:left w:w="28" w:type="dxa"/>
              <w:right w:w="28" w:type="dxa"/>
            </w:tcMar>
          </w:tcPr>
          <w:p w:rsidR="007B2CD5" w:rsidRPr="00061F78" w:rsidRDefault="00126B7B" w:rsidP="00863B57">
            <w:pPr>
              <w:pStyle w:val="Tableheading"/>
              <w:keepNext/>
              <w:rPr>
                <w:rFonts w:eastAsia="MS Mincho"/>
              </w:rPr>
            </w:pPr>
            <w:r>
              <w:rPr>
                <w:rFonts w:eastAsia="MS Mincho"/>
              </w:rPr>
              <w:t>Study</w:t>
            </w:r>
          </w:p>
        </w:tc>
        <w:tc>
          <w:tcPr>
            <w:tcW w:w="380" w:type="pct"/>
            <w:shd w:val="clear" w:color="auto" w:fill="BFBFBF" w:themeFill="background1" w:themeFillShade="BF"/>
          </w:tcPr>
          <w:p w:rsidR="007B2CD5" w:rsidRDefault="007B2CD5" w:rsidP="00863B57">
            <w:pPr>
              <w:pStyle w:val="Tableheading"/>
              <w:keepNext/>
              <w:jc w:val="center"/>
              <w:rPr>
                <w:rFonts w:eastAsia="MS Mincho"/>
              </w:rPr>
            </w:pPr>
            <w:r>
              <w:rPr>
                <w:rFonts w:eastAsia="MS Mincho"/>
              </w:rPr>
              <w:t>Study type</w:t>
            </w:r>
          </w:p>
        </w:tc>
        <w:tc>
          <w:tcPr>
            <w:tcW w:w="339" w:type="pct"/>
            <w:shd w:val="clear" w:color="auto" w:fill="BFBFBF" w:themeFill="background1" w:themeFillShade="BF"/>
            <w:tcMar>
              <w:left w:w="28" w:type="dxa"/>
              <w:right w:w="28" w:type="dxa"/>
            </w:tcMar>
          </w:tcPr>
          <w:p w:rsidR="007B2CD5" w:rsidRPr="00AE21E9" w:rsidRDefault="007B2CD5" w:rsidP="00863B57">
            <w:pPr>
              <w:pStyle w:val="Tableheading"/>
              <w:keepNext/>
              <w:jc w:val="center"/>
              <w:rPr>
                <w:rFonts w:eastAsia="MS Mincho"/>
                <w:vertAlign w:val="superscript"/>
              </w:rPr>
            </w:pPr>
            <w:r>
              <w:rPr>
                <w:rFonts w:eastAsia="MS Mincho"/>
              </w:rPr>
              <w:t>N</w:t>
            </w:r>
            <w:r>
              <w:rPr>
                <w:rFonts w:eastAsia="MS Mincho"/>
                <w:vertAlign w:val="superscript"/>
              </w:rPr>
              <w:t>1</w:t>
            </w:r>
          </w:p>
        </w:tc>
        <w:tc>
          <w:tcPr>
            <w:tcW w:w="1852" w:type="pct"/>
            <w:shd w:val="clear" w:color="auto" w:fill="BFBFBF" w:themeFill="background1" w:themeFillShade="BF"/>
            <w:tcMar>
              <w:left w:w="28" w:type="dxa"/>
              <w:right w:w="28" w:type="dxa"/>
            </w:tcMar>
          </w:tcPr>
          <w:p w:rsidR="007B2CD5" w:rsidRPr="00061F78" w:rsidRDefault="007B2CD5" w:rsidP="00863B57">
            <w:pPr>
              <w:pStyle w:val="Tableheading"/>
              <w:keepNext/>
              <w:jc w:val="center"/>
              <w:rPr>
                <w:rFonts w:eastAsia="MS Mincho"/>
              </w:rPr>
            </w:pPr>
            <w:r w:rsidRPr="00061F78">
              <w:rPr>
                <w:rFonts w:eastAsia="MS Mincho"/>
              </w:rPr>
              <w:t>P</w:t>
            </w:r>
            <w:r>
              <w:rPr>
                <w:rFonts w:eastAsia="MS Mincho"/>
              </w:rPr>
              <w:t>opulation</w:t>
            </w:r>
          </w:p>
        </w:tc>
        <w:tc>
          <w:tcPr>
            <w:tcW w:w="822" w:type="pct"/>
            <w:shd w:val="clear" w:color="auto" w:fill="BFBFBF" w:themeFill="background1" w:themeFillShade="BF"/>
          </w:tcPr>
          <w:p w:rsidR="007B2CD5" w:rsidRDefault="007B2CD5" w:rsidP="00863B57">
            <w:pPr>
              <w:pStyle w:val="Tableheading"/>
              <w:keepNext/>
              <w:jc w:val="center"/>
              <w:rPr>
                <w:rFonts w:eastAsia="MS Mincho"/>
              </w:rPr>
            </w:pPr>
            <w:r>
              <w:rPr>
                <w:rFonts w:eastAsia="MS Mincho"/>
              </w:rPr>
              <w:t>Intervention and comparator</w:t>
            </w:r>
          </w:p>
        </w:tc>
        <w:tc>
          <w:tcPr>
            <w:tcW w:w="1208" w:type="pct"/>
            <w:shd w:val="clear" w:color="auto" w:fill="BFBFBF" w:themeFill="background1" w:themeFillShade="BF"/>
            <w:tcMar>
              <w:left w:w="28" w:type="dxa"/>
              <w:right w:w="28" w:type="dxa"/>
            </w:tcMar>
          </w:tcPr>
          <w:p w:rsidR="007B2CD5" w:rsidRPr="00061F78" w:rsidRDefault="007B2CD5" w:rsidP="00863B57">
            <w:pPr>
              <w:pStyle w:val="Tableheading"/>
              <w:keepNext/>
              <w:jc w:val="center"/>
              <w:rPr>
                <w:rFonts w:eastAsia="MS Mincho"/>
              </w:rPr>
            </w:pPr>
            <w:r>
              <w:rPr>
                <w:rFonts w:eastAsia="MS Mincho"/>
              </w:rPr>
              <w:t>Outcomes</w:t>
            </w:r>
          </w:p>
        </w:tc>
      </w:tr>
      <w:tr w:rsidR="002C7950" w:rsidRPr="00061F78" w:rsidTr="00717046">
        <w:trPr>
          <w:trHeight w:val="149"/>
        </w:trPr>
        <w:tc>
          <w:tcPr>
            <w:tcW w:w="399" w:type="pct"/>
            <w:tcMar>
              <w:left w:w="28" w:type="dxa"/>
              <w:right w:w="28" w:type="dxa"/>
            </w:tcMar>
          </w:tcPr>
          <w:p w:rsidR="007B2CD5" w:rsidRDefault="00717046" w:rsidP="00802504">
            <w:pPr>
              <w:pStyle w:val="Tablewriting"/>
              <w:keepNext/>
              <w:rPr>
                <w:rFonts w:eastAsia="MS Mincho"/>
              </w:rPr>
            </w:pPr>
            <w:r>
              <w:rPr>
                <w:rFonts w:eastAsia="MS Mincho"/>
              </w:rPr>
              <w:t>Gourlay</w:t>
            </w:r>
          </w:p>
          <w:p w:rsidR="007B2CD5" w:rsidRDefault="00717046" w:rsidP="00863B57">
            <w:pPr>
              <w:pStyle w:val="Tablewriting"/>
              <w:keepNext/>
              <w:rPr>
                <w:rFonts w:eastAsia="MS Mincho"/>
              </w:rPr>
            </w:pPr>
            <w:r>
              <w:rPr>
                <w:rFonts w:eastAsia="MS Mincho"/>
              </w:rPr>
              <w:t>(1995)</w:t>
            </w:r>
          </w:p>
        </w:tc>
        <w:tc>
          <w:tcPr>
            <w:tcW w:w="380" w:type="pct"/>
          </w:tcPr>
          <w:p w:rsidR="007B2CD5" w:rsidRDefault="007B2CD5" w:rsidP="00863B57">
            <w:pPr>
              <w:pStyle w:val="Tablewriting"/>
              <w:keepNext/>
              <w:rPr>
                <w:rFonts w:eastAsia="MS Mincho"/>
              </w:rPr>
            </w:pPr>
            <w:r>
              <w:rPr>
                <w:rFonts w:eastAsia="MS Mincho"/>
              </w:rPr>
              <w:t>RCT</w:t>
            </w:r>
          </w:p>
        </w:tc>
        <w:tc>
          <w:tcPr>
            <w:tcW w:w="339" w:type="pct"/>
            <w:tcMar>
              <w:left w:w="28" w:type="dxa"/>
              <w:right w:w="28" w:type="dxa"/>
            </w:tcMar>
          </w:tcPr>
          <w:p w:rsidR="007B2CD5" w:rsidRPr="00D873BD" w:rsidRDefault="007B2CD5" w:rsidP="00863B57">
            <w:pPr>
              <w:pStyle w:val="Tablewriting"/>
              <w:keepNext/>
              <w:rPr>
                <w:rFonts w:eastAsia="MS Mincho"/>
              </w:rPr>
            </w:pPr>
            <w:r w:rsidRPr="00D873BD">
              <w:rPr>
                <w:rFonts w:eastAsia="MS Mincho"/>
              </w:rPr>
              <w:t>N=</w:t>
            </w:r>
            <w:r w:rsidR="00D873BD" w:rsidRPr="00D873BD">
              <w:rPr>
                <w:rFonts w:eastAsia="MS Mincho"/>
              </w:rPr>
              <w:t>629</w:t>
            </w:r>
          </w:p>
          <w:p w:rsidR="007B2CD5" w:rsidRPr="00D873BD" w:rsidRDefault="00717046" w:rsidP="00863B57">
            <w:pPr>
              <w:pStyle w:val="Tablewriting"/>
              <w:keepNext/>
              <w:rPr>
                <w:rFonts w:eastAsia="MS Mincho"/>
              </w:rPr>
            </w:pPr>
            <w:r w:rsidRPr="00D873BD">
              <w:rPr>
                <w:rFonts w:eastAsia="MS Mincho"/>
              </w:rPr>
              <w:t>NRT patch</w:t>
            </w:r>
            <w:r w:rsidR="007B2CD5" w:rsidRPr="00D873BD">
              <w:rPr>
                <w:rFonts w:eastAsia="MS Mincho"/>
              </w:rPr>
              <w:t xml:space="preserve"> (n=</w:t>
            </w:r>
            <w:r w:rsidR="00D873BD" w:rsidRPr="00D873BD">
              <w:rPr>
                <w:rFonts w:eastAsia="MS Mincho"/>
              </w:rPr>
              <w:t>315</w:t>
            </w:r>
            <w:r w:rsidR="007B2CD5" w:rsidRPr="00D873BD">
              <w:rPr>
                <w:rFonts w:eastAsia="MS Mincho"/>
              </w:rPr>
              <w:t>),</w:t>
            </w:r>
          </w:p>
          <w:p w:rsidR="007B2CD5" w:rsidRPr="004B359D" w:rsidRDefault="007B2CD5" w:rsidP="00863B57">
            <w:pPr>
              <w:pStyle w:val="Tablewriting"/>
              <w:keepNext/>
              <w:rPr>
                <w:rFonts w:eastAsia="MS Mincho"/>
                <w:highlight w:val="yellow"/>
              </w:rPr>
            </w:pPr>
            <w:r w:rsidRPr="00D873BD">
              <w:rPr>
                <w:rFonts w:eastAsia="MS Mincho"/>
              </w:rPr>
              <w:t>Placebo (n=</w:t>
            </w:r>
            <w:r w:rsidR="00D873BD" w:rsidRPr="00D873BD">
              <w:rPr>
                <w:rFonts w:eastAsia="MS Mincho"/>
              </w:rPr>
              <w:t>314</w:t>
            </w:r>
            <w:r w:rsidRPr="00D873BD">
              <w:rPr>
                <w:rFonts w:eastAsia="MS Mincho"/>
              </w:rPr>
              <w:t>)</w:t>
            </w:r>
          </w:p>
        </w:tc>
        <w:tc>
          <w:tcPr>
            <w:tcW w:w="1852" w:type="pct"/>
            <w:tcMar>
              <w:left w:w="28" w:type="dxa"/>
              <w:right w:w="28" w:type="dxa"/>
            </w:tcMar>
          </w:tcPr>
          <w:p w:rsidR="00C90FBE" w:rsidRPr="00CE6D3C" w:rsidRDefault="007B2CD5" w:rsidP="00863B57">
            <w:pPr>
              <w:pStyle w:val="Tablewriting"/>
              <w:keepNext/>
              <w:rPr>
                <w:rFonts w:eastAsia="MS Mincho"/>
              </w:rPr>
            </w:pPr>
            <w:r w:rsidRPr="00CE6D3C">
              <w:rPr>
                <w:rFonts w:eastAsia="MS Mincho"/>
                <w:u w:val="single"/>
              </w:rPr>
              <w:t>Inclusion</w:t>
            </w:r>
            <w:r w:rsidRPr="00CE6D3C">
              <w:rPr>
                <w:rFonts w:eastAsia="MS Mincho"/>
              </w:rPr>
              <w:t xml:space="preserve">: </w:t>
            </w:r>
            <w:r w:rsidR="009C5363" w:rsidRPr="00CE6D3C">
              <w:rPr>
                <w:rFonts w:eastAsia="MS Mincho"/>
              </w:rPr>
              <w:t>s</w:t>
            </w:r>
            <w:r w:rsidR="00C90FBE" w:rsidRPr="00CE6D3C">
              <w:rPr>
                <w:rFonts w:eastAsia="MS Mincho"/>
              </w:rPr>
              <w:t xml:space="preserve">mokers who </w:t>
            </w:r>
            <w:r w:rsidR="00A251AD" w:rsidRPr="00CE6D3C">
              <w:rPr>
                <w:rFonts w:eastAsia="MS Mincho"/>
              </w:rPr>
              <w:t>are motivated to quit again and had rela</w:t>
            </w:r>
            <w:r w:rsidR="0027609A" w:rsidRPr="00CE6D3C">
              <w:rPr>
                <w:rFonts w:eastAsia="MS Mincho"/>
              </w:rPr>
              <w:t>p</w:t>
            </w:r>
            <w:r w:rsidR="00A251AD" w:rsidRPr="00CE6D3C">
              <w:rPr>
                <w:rFonts w:eastAsia="MS Mincho"/>
              </w:rPr>
              <w:t xml:space="preserve">sed to regular smoking </w:t>
            </w:r>
            <w:r w:rsidR="0027609A" w:rsidRPr="00CE6D3C">
              <w:rPr>
                <w:rFonts w:eastAsia="MS Mincho"/>
              </w:rPr>
              <w:t xml:space="preserve">of </w:t>
            </w:r>
            <w:r w:rsidR="002C797B" w:rsidRPr="00CE6D3C">
              <w:rPr>
                <w:rFonts w:eastAsia="MS Mincho"/>
              </w:rPr>
              <w:t>≥</w:t>
            </w:r>
            <w:r w:rsidR="0027609A" w:rsidRPr="00CE6D3C">
              <w:rPr>
                <w:rFonts w:eastAsia="MS Mincho"/>
              </w:rPr>
              <w:t>15 cigarettes a day</w:t>
            </w:r>
            <w:r w:rsidR="00034276">
              <w:rPr>
                <w:rFonts w:eastAsia="MS Mincho"/>
              </w:rPr>
              <w:t xml:space="preserve"> (from Phase I of the study)</w:t>
            </w:r>
            <w:r w:rsidR="0027609A" w:rsidRPr="00CE6D3C">
              <w:rPr>
                <w:rFonts w:eastAsia="MS Mincho"/>
              </w:rPr>
              <w:t xml:space="preserve">. </w:t>
            </w:r>
          </w:p>
          <w:p w:rsidR="00717046" w:rsidRPr="0058278D" w:rsidRDefault="007B2CD5" w:rsidP="00802504">
            <w:pPr>
              <w:pStyle w:val="Tablewriting"/>
              <w:keepNext/>
              <w:rPr>
                <w:rFonts w:eastAsia="MS Mincho"/>
                <w:highlight w:val="yellow"/>
              </w:rPr>
            </w:pPr>
            <w:r w:rsidRPr="00CE6D3C">
              <w:rPr>
                <w:rFonts w:eastAsia="MS Mincho"/>
                <w:u w:val="single"/>
              </w:rPr>
              <w:t>Exclusion</w:t>
            </w:r>
            <w:r w:rsidRPr="00CE6D3C">
              <w:rPr>
                <w:rFonts w:eastAsia="MS Mincho"/>
              </w:rPr>
              <w:t xml:space="preserve">: </w:t>
            </w:r>
            <w:r w:rsidR="00B10C99" w:rsidRPr="00CE6D3C">
              <w:rPr>
                <w:rFonts w:eastAsia="MS Mincho"/>
              </w:rPr>
              <w:t>medications that might interfere with symptoms of tobacco withdrawal</w:t>
            </w:r>
            <w:r w:rsidR="00730805" w:rsidRPr="00CE6D3C">
              <w:rPr>
                <w:rFonts w:eastAsia="MS Mincho"/>
              </w:rPr>
              <w:t>,</w:t>
            </w:r>
            <w:r w:rsidR="00B10C99" w:rsidRPr="00CE6D3C">
              <w:rPr>
                <w:rFonts w:eastAsia="MS Mincho"/>
              </w:rPr>
              <w:t xml:space="preserve"> pregnancy</w:t>
            </w:r>
            <w:r w:rsidR="00B10C99" w:rsidRPr="00F40D76">
              <w:rPr>
                <w:rFonts w:eastAsia="MS Mincho"/>
              </w:rPr>
              <w:t>, lactation, or potential pregnancy</w:t>
            </w:r>
            <w:r w:rsidR="00730805" w:rsidRPr="00F40D76">
              <w:rPr>
                <w:rFonts w:eastAsia="MS Mincho"/>
              </w:rPr>
              <w:t xml:space="preserve">, </w:t>
            </w:r>
            <w:r w:rsidR="00B10C99" w:rsidRPr="00F40D76">
              <w:rPr>
                <w:rFonts w:eastAsia="MS Mincho"/>
              </w:rPr>
              <w:t>mental or psychiatric</w:t>
            </w:r>
            <w:r w:rsidR="00DB0A5F" w:rsidRPr="00F40D76">
              <w:rPr>
                <w:rFonts w:eastAsia="MS Mincho"/>
              </w:rPr>
              <w:t xml:space="preserve"> i</w:t>
            </w:r>
            <w:r w:rsidR="00B10C99" w:rsidRPr="00F40D76">
              <w:rPr>
                <w:rFonts w:eastAsia="MS Mincho"/>
              </w:rPr>
              <w:t>llness</w:t>
            </w:r>
            <w:r w:rsidR="00730805" w:rsidRPr="00F40D76">
              <w:rPr>
                <w:rFonts w:eastAsia="MS Mincho"/>
              </w:rPr>
              <w:t xml:space="preserve">, </w:t>
            </w:r>
            <w:r w:rsidR="00B10C99" w:rsidRPr="00F40D76">
              <w:rPr>
                <w:rFonts w:eastAsia="MS Mincho"/>
              </w:rPr>
              <w:t>symptomatic ischaemic heart disease or</w:t>
            </w:r>
            <w:r w:rsidR="00DB0A5F" w:rsidRPr="00F40D76">
              <w:rPr>
                <w:rFonts w:eastAsia="MS Mincho"/>
              </w:rPr>
              <w:t xml:space="preserve"> </w:t>
            </w:r>
            <w:r w:rsidR="00B10C99" w:rsidRPr="00F40D76">
              <w:rPr>
                <w:rFonts w:eastAsia="MS Mincho"/>
              </w:rPr>
              <w:t>cerebrovascular disease within the past three months</w:t>
            </w:r>
            <w:r w:rsidR="00730805" w:rsidRPr="00F40D76">
              <w:rPr>
                <w:rFonts w:eastAsia="MS Mincho"/>
              </w:rPr>
              <w:t>,</w:t>
            </w:r>
            <w:r w:rsidR="00DB0A5F" w:rsidRPr="00F40D76">
              <w:rPr>
                <w:rFonts w:eastAsia="MS Mincho"/>
              </w:rPr>
              <w:t xml:space="preserve"> </w:t>
            </w:r>
            <w:r w:rsidR="00B10C99" w:rsidRPr="00F40D76">
              <w:rPr>
                <w:rFonts w:eastAsia="MS Mincho"/>
              </w:rPr>
              <w:t>alcoholism</w:t>
            </w:r>
            <w:r w:rsidR="00730805" w:rsidRPr="00F40D76">
              <w:rPr>
                <w:rFonts w:eastAsia="MS Mincho"/>
              </w:rPr>
              <w:t>,</w:t>
            </w:r>
            <w:r w:rsidR="00B10C99" w:rsidRPr="00F40D76">
              <w:rPr>
                <w:rFonts w:eastAsia="MS Mincho"/>
              </w:rPr>
              <w:t xml:space="preserve"> active malignancy</w:t>
            </w:r>
            <w:r w:rsidR="00730805" w:rsidRPr="00F40D76">
              <w:rPr>
                <w:rFonts w:eastAsia="MS Mincho"/>
              </w:rPr>
              <w:t>,</w:t>
            </w:r>
            <w:r w:rsidR="00B10C99" w:rsidRPr="00F40D76">
              <w:rPr>
                <w:rFonts w:eastAsia="MS Mincho"/>
              </w:rPr>
              <w:t xml:space="preserve"> major medical disorders</w:t>
            </w:r>
            <w:r w:rsidR="00730805">
              <w:rPr>
                <w:rFonts w:eastAsia="MS Mincho"/>
              </w:rPr>
              <w:t>,</w:t>
            </w:r>
            <w:r w:rsidR="00DB0A5F">
              <w:rPr>
                <w:rFonts w:eastAsia="MS Mincho"/>
              </w:rPr>
              <w:t xml:space="preserve"> </w:t>
            </w:r>
            <w:r w:rsidR="00B10C99" w:rsidRPr="00B10C99">
              <w:rPr>
                <w:rFonts w:eastAsia="MS Mincho"/>
              </w:rPr>
              <w:t>extensive skin lesions precluding application</w:t>
            </w:r>
            <w:r w:rsidR="00DB0A5F">
              <w:rPr>
                <w:rFonts w:eastAsia="MS Mincho"/>
              </w:rPr>
              <w:t xml:space="preserve"> </w:t>
            </w:r>
            <w:r w:rsidR="00B10C99" w:rsidRPr="00B10C99">
              <w:rPr>
                <w:rFonts w:eastAsia="MS Mincho"/>
              </w:rPr>
              <w:t>of patches</w:t>
            </w:r>
            <w:r w:rsidR="0058278D">
              <w:rPr>
                <w:rFonts w:eastAsia="MS Mincho"/>
              </w:rPr>
              <w:t xml:space="preserve">, </w:t>
            </w:r>
            <w:r w:rsidR="00B10C99" w:rsidRPr="00B10C99">
              <w:rPr>
                <w:rFonts w:eastAsia="MS Mincho"/>
              </w:rPr>
              <w:t>had experienced adverse reactions to transdermal</w:t>
            </w:r>
            <w:r w:rsidR="00DB0A5F">
              <w:rPr>
                <w:rFonts w:eastAsia="MS Mincho"/>
              </w:rPr>
              <w:t xml:space="preserve"> </w:t>
            </w:r>
            <w:r w:rsidR="00B10C99" w:rsidRPr="00B10C99">
              <w:rPr>
                <w:rFonts w:eastAsia="MS Mincho"/>
              </w:rPr>
              <w:t>nicotine that caused permanent</w:t>
            </w:r>
            <w:r w:rsidR="00AA400F">
              <w:rPr>
                <w:rFonts w:eastAsia="MS Mincho"/>
              </w:rPr>
              <w:t xml:space="preserve"> </w:t>
            </w:r>
            <w:r w:rsidR="00B10C99" w:rsidRPr="00B10C99">
              <w:rPr>
                <w:rFonts w:eastAsia="MS Mincho"/>
              </w:rPr>
              <w:t>discontinuation of</w:t>
            </w:r>
            <w:r w:rsidR="00093678">
              <w:rPr>
                <w:rFonts w:eastAsia="MS Mincho"/>
              </w:rPr>
              <w:t xml:space="preserve"> the initial</w:t>
            </w:r>
            <w:r w:rsidR="00AA400F">
              <w:rPr>
                <w:rFonts w:eastAsia="MS Mincho"/>
              </w:rPr>
              <w:t xml:space="preserve"> </w:t>
            </w:r>
            <w:r w:rsidR="00B10C99" w:rsidRPr="00B10C99">
              <w:rPr>
                <w:rFonts w:eastAsia="MS Mincho"/>
              </w:rPr>
              <w:t xml:space="preserve">treatment. </w:t>
            </w:r>
          </w:p>
          <w:p w:rsidR="00F40D76" w:rsidRPr="00AA400F" w:rsidRDefault="00F40D76" w:rsidP="00B10C99">
            <w:pPr>
              <w:pStyle w:val="Tablewriting"/>
              <w:keepNext/>
              <w:rPr>
                <w:rFonts w:eastAsia="MS Mincho"/>
              </w:rPr>
            </w:pPr>
          </w:p>
          <w:p w:rsidR="007B2CD5" w:rsidRPr="004B359D" w:rsidRDefault="00717046" w:rsidP="00863B57">
            <w:pPr>
              <w:pStyle w:val="Tablewriting"/>
              <w:keepNext/>
              <w:rPr>
                <w:rFonts w:eastAsia="MS Mincho"/>
                <w:highlight w:val="yellow"/>
                <w:u w:val="single"/>
              </w:rPr>
            </w:pPr>
            <w:r w:rsidRPr="00C16ECA">
              <w:rPr>
                <w:rFonts w:eastAsia="MS Mincho"/>
              </w:rPr>
              <w:t xml:space="preserve">The </w:t>
            </w:r>
            <w:r w:rsidR="00D6765D" w:rsidRPr="00C16ECA">
              <w:rPr>
                <w:rFonts w:eastAsia="MS Mincho"/>
              </w:rPr>
              <w:t>duration</w:t>
            </w:r>
            <w:r w:rsidRPr="00C16ECA">
              <w:rPr>
                <w:rFonts w:eastAsia="MS Mincho"/>
              </w:rPr>
              <w:t xml:space="preserve"> between </w:t>
            </w:r>
            <w:r w:rsidR="00D6765D" w:rsidRPr="00C16ECA">
              <w:rPr>
                <w:rFonts w:eastAsia="MS Mincho"/>
              </w:rPr>
              <w:t>previous NRT treatment</w:t>
            </w:r>
            <w:r w:rsidRPr="00C16ECA">
              <w:rPr>
                <w:rFonts w:eastAsia="MS Mincho"/>
              </w:rPr>
              <w:t xml:space="preserve"> and retreatment was</w:t>
            </w:r>
            <w:r w:rsidR="006D3832" w:rsidRPr="00C16ECA">
              <w:rPr>
                <w:rFonts w:eastAsia="MS Mincho"/>
              </w:rPr>
              <w:t xml:space="preserve"> </w:t>
            </w:r>
            <w:r w:rsidR="0013285F" w:rsidRPr="00C16ECA">
              <w:rPr>
                <w:rFonts w:eastAsia="MS Mincho"/>
              </w:rPr>
              <w:t>around 17-30 weeks</w:t>
            </w:r>
            <w:r w:rsidR="009928FD">
              <w:rPr>
                <w:rFonts w:eastAsia="MS Mincho"/>
              </w:rPr>
              <w:t xml:space="preserve"> (first quit date to second attempt at qui</w:t>
            </w:r>
            <w:r w:rsidR="0091068A">
              <w:rPr>
                <w:rFonts w:eastAsia="MS Mincho"/>
              </w:rPr>
              <w:t>t</w:t>
            </w:r>
            <w:r w:rsidR="009928FD">
              <w:rPr>
                <w:rFonts w:eastAsia="MS Mincho"/>
              </w:rPr>
              <w:t>ting)</w:t>
            </w:r>
            <w:r w:rsidRPr="00C16ECA">
              <w:rPr>
                <w:rFonts w:eastAsia="MS Mincho"/>
              </w:rPr>
              <w:t>.</w:t>
            </w:r>
            <w:r w:rsidR="007D3AE9" w:rsidRPr="00C16ECA">
              <w:rPr>
                <w:rFonts w:eastAsia="MS Mincho"/>
              </w:rPr>
              <w:t xml:space="preserve"> Duration of previous NRT treatment was 12 weeks.</w:t>
            </w:r>
          </w:p>
        </w:tc>
        <w:tc>
          <w:tcPr>
            <w:tcW w:w="822" w:type="pct"/>
          </w:tcPr>
          <w:p w:rsidR="000D2EE8" w:rsidRDefault="0049667D" w:rsidP="001F431C">
            <w:pPr>
              <w:pStyle w:val="Tablewriting"/>
              <w:keepNext/>
              <w:rPr>
                <w:rFonts w:eastAsia="MS Mincho"/>
              </w:rPr>
            </w:pPr>
            <w:r>
              <w:rPr>
                <w:rFonts w:eastAsia="MS Mincho"/>
              </w:rPr>
              <w:t>NRT patch</w:t>
            </w:r>
            <w:r w:rsidR="0068056E">
              <w:rPr>
                <w:rFonts w:eastAsia="MS Mincho"/>
              </w:rPr>
              <w:t>:</w:t>
            </w:r>
            <w:r w:rsidR="00300ED3">
              <w:rPr>
                <w:rFonts w:eastAsia="MS Mincho"/>
              </w:rPr>
              <w:t xml:space="preserve"> </w:t>
            </w:r>
            <w:r w:rsidR="001F431C" w:rsidRPr="001F431C">
              <w:rPr>
                <w:rFonts w:eastAsia="MS Mincho"/>
              </w:rPr>
              <w:t>four weeks</w:t>
            </w:r>
            <w:r w:rsidR="001F431C">
              <w:rPr>
                <w:rFonts w:eastAsia="MS Mincho"/>
              </w:rPr>
              <w:t xml:space="preserve"> </w:t>
            </w:r>
            <w:r w:rsidR="001F431C" w:rsidRPr="001F431C">
              <w:rPr>
                <w:rFonts w:eastAsia="MS Mincho"/>
              </w:rPr>
              <w:t>each of a</w:t>
            </w:r>
            <w:r w:rsidR="001F431C">
              <w:rPr>
                <w:rFonts w:eastAsia="MS Mincho"/>
              </w:rPr>
              <w:t xml:space="preserve"> </w:t>
            </w:r>
            <w:r w:rsidR="007E7CAA" w:rsidRPr="007E7CAA">
              <w:rPr>
                <w:rFonts w:eastAsia="MS Mincho"/>
              </w:rPr>
              <w:t>30 cm</w:t>
            </w:r>
            <w:r w:rsidR="007E7CAA" w:rsidRPr="007E7CAA">
              <w:rPr>
                <w:rFonts w:eastAsia="MS Mincho"/>
                <w:vertAlign w:val="superscript"/>
              </w:rPr>
              <w:t>2</w:t>
            </w:r>
            <w:r w:rsidR="007E7CAA" w:rsidRPr="007E7CAA">
              <w:rPr>
                <w:rFonts w:eastAsia="MS Mincho"/>
              </w:rPr>
              <w:t xml:space="preserve"> patch (active 21 mg/24 hour</w:t>
            </w:r>
            <w:r w:rsidR="000D2EE8">
              <w:rPr>
                <w:rFonts w:eastAsia="MS Mincho"/>
              </w:rPr>
              <w:t>s</w:t>
            </w:r>
            <w:r w:rsidR="007E7CAA" w:rsidRPr="007E7CAA">
              <w:rPr>
                <w:rFonts w:eastAsia="MS Mincho"/>
              </w:rPr>
              <w:t>), a 20 cm</w:t>
            </w:r>
            <w:r w:rsidR="007E7CAA" w:rsidRPr="007E7CAA">
              <w:rPr>
                <w:rFonts w:eastAsia="MS Mincho"/>
                <w:vertAlign w:val="superscript"/>
              </w:rPr>
              <w:t>2</w:t>
            </w:r>
            <w:r w:rsidR="007E7CAA" w:rsidRPr="007E7CAA">
              <w:rPr>
                <w:rFonts w:eastAsia="MS Mincho"/>
              </w:rPr>
              <w:t xml:space="preserve"> patch (active 14 mg/24 hours), and a 10 cm</w:t>
            </w:r>
            <w:r w:rsidR="007E7CAA" w:rsidRPr="007E7CAA">
              <w:rPr>
                <w:rFonts w:eastAsia="MS Mincho"/>
                <w:vertAlign w:val="superscript"/>
              </w:rPr>
              <w:t>2</w:t>
            </w:r>
            <w:r w:rsidR="007E7CAA">
              <w:rPr>
                <w:rFonts w:eastAsia="MS Mincho"/>
                <w:vertAlign w:val="superscript"/>
              </w:rPr>
              <w:t xml:space="preserve"> </w:t>
            </w:r>
            <w:r w:rsidR="007E7CAA" w:rsidRPr="007E7CAA">
              <w:rPr>
                <w:rFonts w:eastAsia="MS Mincho"/>
              </w:rPr>
              <w:t>patch (active 7 mg/24 hours)</w:t>
            </w:r>
            <w:r w:rsidR="00C16ECA">
              <w:rPr>
                <w:rFonts w:eastAsia="MS Mincho"/>
              </w:rPr>
              <w:t>, over 12 weeks</w:t>
            </w:r>
            <w:r w:rsidR="007E7CAA" w:rsidRPr="007E7CAA">
              <w:rPr>
                <w:rFonts w:eastAsia="MS Mincho"/>
              </w:rPr>
              <w:t>.</w:t>
            </w:r>
            <w:r w:rsidR="00DC7A3C">
              <w:rPr>
                <w:rFonts w:eastAsia="MS Mincho"/>
              </w:rPr>
              <w:t xml:space="preserve">; </w:t>
            </w:r>
            <w:r w:rsidR="000D2EE8">
              <w:rPr>
                <w:rFonts w:eastAsia="MS Mincho"/>
              </w:rPr>
              <w:t>Placebo:</w:t>
            </w:r>
            <w:r w:rsidR="000D2EE8">
              <w:t xml:space="preserve"> </w:t>
            </w:r>
            <w:r w:rsidR="000D2EE8" w:rsidRPr="000D2EE8">
              <w:rPr>
                <w:rFonts w:eastAsia="MS Mincho"/>
              </w:rPr>
              <w:t>four weeks each of a 30 cm</w:t>
            </w:r>
            <w:r w:rsidR="000D2EE8" w:rsidRPr="004C7920">
              <w:rPr>
                <w:rFonts w:eastAsia="MS Mincho"/>
                <w:vertAlign w:val="superscript"/>
              </w:rPr>
              <w:t>2</w:t>
            </w:r>
            <w:r w:rsidR="000D2EE8" w:rsidRPr="000D2EE8">
              <w:rPr>
                <w:rFonts w:eastAsia="MS Mincho"/>
              </w:rPr>
              <w:t xml:space="preserve"> patch (placebo 2-7 mg/24 hours), a 20 cm</w:t>
            </w:r>
            <w:r w:rsidR="000D2EE8" w:rsidRPr="004C7920">
              <w:rPr>
                <w:rFonts w:eastAsia="MS Mincho"/>
                <w:vertAlign w:val="superscript"/>
              </w:rPr>
              <w:t>2</w:t>
            </w:r>
            <w:r w:rsidR="000D2EE8" w:rsidRPr="000D2EE8">
              <w:rPr>
                <w:rFonts w:eastAsia="MS Mincho"/>
              </w:rPr>
              <w:t xml:space="preserve"> patch (placebo 1.8 mg/24 hours), and a 10 cm</w:t>
            </w:r>
            <w:r w:rsidR="000D2EE8" w:rsidRPr="004C7920">
              <w:rPr>
                <w:rFonts w:eastAsia="MS Mincho"/>
                <w:vertAlign w:val="superscript"/>
              </w:rPr>
              <w:t>2</w:t>
            </w:r>
            <w:r w:rsidR="000D2EE8" w:rsidRPr="000D2EE8">
              <w:rPr>
                <w:rFonts w:eastAsia="MS Mincho"/>
              </w:rPr>
              <w:t xml:space="preserve"> patch (placebo 0.9 mg/24 hours)</w:t>
            </w:r>
            <w:r w:rsidR="00C16ECA">
              <w:rPr>
                <w:rFonts w:eastAsia="MS Mincho"/>
              </w:rPr>
              <w:t>, over 12 weeks</w:t>
            </w:r>
            <w:r w:rsidR="000D2EE8" w:rsidRPr="000D2EE8">
              <w:rPr>
                <w:rFonts w:eastAsia="MS Mincho"/>
              </w:rPr>
              <w:t>.</w:t>
            </w:r>
          </w:p>
          <w:p w:rsidR="00B33E8A" w:rsidRDefault="00B33E8A" w:rsidP="001F431C">
            <w:pPr>
              <w:pStyle w:val="Tablewriting"/>
              <w:keepNext/>
              <w:rPr>
                <w:rFonts w:eastAsia="MS Mincho"/>
              </w:rPr>
            </w:pPr>
          </w:p>
          <w:p w:rsidR="007B2CD5" w:rsidRPr="007E7CAA" w:rsidRDefault="00424C81" w:rsidP="00863B57">
            <w:pPr>
              <w:pStyle w:val="Tablewriting"/>
              <w:keepNext/>
              <w:rPr>
                <w:rFonts w:eastAsia="MS Mincho"/>
              </w:rPr>
            </w:pPr>
            <w:r>
              <w:rPr>
                <w:rFonts w:eastAsia="MS Mincho"/>
              </w:rPr>
              <w:t>B</w:t>
            </w:r>
            <w:r w:rsidR="00B33E8A" w:rsidRPr="00B33E8A">
              <w:rPr>
                <w:rFonts w:eastAsia="MS Mincho"/>
              </w:rPr>
              <w:t>ehavioural</w:t>
            </w:r>
            <w:r w:rsidR="00B33E8A">
              <w:rPr>
                <w:rFonts w:eastAsia="MS Mincho"/>
              </w:rPr>
              <w:t xml:space="preserve"> </w:t>
            </w:r>
            <w:r w:rsidR="00954AB2">
              <w:rPr>
                <w:rFonts w:eastAsia="MS Mincho"/>
              </w:rPr>
              <w:t>support</w:t>
            </w:r>
            <w:r w:rsidR="0087534A">
              <w:rPr>
                <w:rFonts w:eastAsia="MS Mincho"/>
              </w:rPr>
              <w:t xml:space="preserve"> </w:t>
            </w:r>
            <w:r w:rsidR="00280F92">
              <w:rPr>
                <w:rFonts w:eastAsia="MS Mincho"/>
              </w:rPr>
              <w:t>provid</w:t>
            </w:r>
            <w:r w:rsidR="0087534A">
              <w:rPr>
                <w:rFonts w:eastAsia="MS Mincho"/>
              </w:rPr>
              <w:t>ed in both arms</w:t>
            </w:r>
            <w:r w:rsidR="00B33E8A" w:rsidRPr="00B33E8A">
              <w:rPr>
                <w:rFonts w:eastAsia="MS Mincho"/>
              </w:rPr>
              <w:t>.</w:t>
            </w:r>
          </w:p>
        </w:tc>
        <w:tc>
          <w:tcPr>
            <w:tcW w:w="1208" w:type="pct"/>
            <w:tcMar>
              <w:left w:w="28" w:type="dxa"/>
              <w:right w:w="28" w:type="dxa"/>
            </w:tcMar>
          </w:tcPr>
          <w:p w:rsidR="007B2CD5" w:rsidRPr="00BC2FEB" w:rsidRDefault="007B2CD5" w:rsidP="00863B57">
            <w:pPr>
              <w:pStyle w:val="Tablewriting"/>
              <w:keepNext/>
              <w:rPr>
                <w:rFonts w:eastAsia="MS Mincho"/>
              </w:rPr>
            </w:pPr>
            <w:r w:rsidRPr="00BC2FEB">
              <w:rPr>
                <w:rFonts w:eastAsia="MS Mincho"/>
                <w:u w:val="single"/>
              </w:rPr>
              <w:t>Primary</w:t>
            </w:r>
            <w:r w:rsidRPr="00BC2FEB">
              <w:rPr>
                <w:rFonts w:eastAsia="MS Mincho"/>
              </w:rPr>
              <w:t xml:space="preserve">: </w:t>
            </w:r>
            <w:r w:rsidR="00D2692C" w:rsidRPr="00BC2FEB">
              <w:rPr>
                <w:rFonts w:eastAsia="MS Mincho"/>
              </w:rPr>
              <w:t xml:space="preserve">Sustained </w:t>
            </w:r>
            <w:r w:rsidR="00E15635">
              <w:rPr>
                <w:rFonts w:eastAsia="MS Mincho"/>
              </w:rPr>
              <w:t>abstinence</w:t>
            </w:r>
            <w:r w:rsidR="00D2692C" w:rsidRPr="00BC2FEB">
              <w:rPr>
                <w:rFonts w:eastAsia="MS Mincho"/>
              </w:rPr>
              <w:t xml:space="preserve"> for 28 days before visit at week 12</w:t>
            </w:r>
            <w:r w:rsidR="007F77C4" w:rsidRPr="00BC2FEB">
              <w:rPr>
                <w:rFonts w:eastAsia="MS Mincho"/>
              </w:rPr>
              <w:t>.</w:t>
            </w:r>
            <w:r w:rsidR="00BC2FEB" w:rsidRPr="00BC2FEB">
              <w:rPr>
                <w:rFonts w:eastAsia="MS Mincho"/>
              </w:rPr>
              <w:t xml:space="preserve"> </w:t>
            </w:r>
            <w:r w:rsidRPr="00BC2FEB">
              <w:rPr>
                <w:rFonts w:eastAsia="MS Mincho"/>
              </w:rPr>
              <w:t>Validated by CO</w:t>
            </w:r>
            <w:r w:rsidR="00077687">
              <w:rPr>
                <w:rFonts w:eastAsia="MS Mincho"/>
              </w:rPr>
              <w:t xml:space="preserve"> </w:t>
            </w:r>
            <w:r w:rsidRPr="00BC2FEB">
              <w:rPr>
                <w:rFonts w:eastAsia="MS Mincho" w:cstheme="minorHAnsi"/>
              </w:rPr>
              <w:t>≤</w:t>
            </w:r>
            <w:r w:rsidR="00F77BEF" w:rsidRPr="00BC2FEB">
              <w:rPr>
                <w:rFonts w:eastAsia="MS Mincho"/>
              </w:rPr>
              <w:t>8</w:t>
            </w:r>
            <w:r w:rsidR="00296D30">
              <w:rPr>
                <w:rFonts w:eastAsia="MS Mincho"/>
              </w:rPr>
              <w:t xml:space="preserve"> </w:t>
            </w:r>
            <w:r w:rsidRPr="00BC2FEB">
              <w:rPr>
                <w:rFonts w:eastAsia="MS Mincho"/>
              </w:rPr>
              <w:t>ppm.</w:t>
            </w:r>
          </w:p>
          <w:p w:rsidR="006E72B3" w:rsidRDefault="007B2CD5" w:rsidP="006E72B3">
            <w:pPr>
              <w:pStyle w:val="Tablewriting"/>
              <w:keepNext/>
              <w:rPr>
                <w:rFonts w:eastAsia="MS Mincho"/>
              </w:rPr>
            </w:pPr>
            <w:r w:rsidRPr="00BC2FEB">
              <w:rPr>
                <w:rFonts w:eastAsia="MS Mincho"/>
                <w:u w:val="single"/>
              </w:rPr>
              <w:t>Secondary</w:t>
            </w:r>
            <w:r w:rsidRPr="00BC2FEB">
              <w:rPr>
                <w:rFonts w:eastAsia="MS Mincho"/>
              </w:rPr>
              <w:t xml:space="preserve">: </w:t>
            </w:r>
            <w:r w:rsidR="006E72B3" w:rsidRPr="00BC2FEB">
              <w:rPr>
                <w:rFonts w:eastAsia="MS Mincho"/>
              </w:rPr>
              <w:t>C</w:t>
            </w:r>
            <w:r w:rsidR="00077687">
              <w:rPr>
                <w:rFonts w:eastAsia="MS Mincho"/>
              </w:rPr>
              <w:t xml:space="preserve">AR </w:t>
            </w:r>
            <w:r w:rsidR="006E72B3" w:rsidRPr="00BC2FEB">
              <w:rPr>
                <w:rFonts w:eastAsia="MS Mincho"/>
              </w:rPr>
              <w:t xml:space="preserve">at Week </w:t>
            </w:r>
            <w:r w:rsidR="00C634CB">
              <w:rPr>
                <w:rFonts w:eastAsia="MS Mincho"/>
              </w:rPr>
              <w:t>4, 8, 12 and 26</w:t>
            </w:r>
            <w:r w:rsidR="006E72B3" w:rsidRPr="00BC2FEB">
              <w:rPr>
                <w:rFonts w:eastAsia="MS Mincho"/>
              </w:rPr>
              <w:t xml:space="preserve">. </w:t>
            </w:r>
            <w:r w:rsidR="005C302F" w:rsidRPr="00BC2FEB">
              <w:rPr>
                <w:rFonts w:eastAsia="MS Mincho"/>
              </w:rPr>
              <w:t>Validated by CO</w:t>
            </w:r>
            <w:r w:rsidR="005C302F">
              <w:rPr>
                <w:rFonts w:eastAsia="MS Mincho"/>
              </w:rPr>
              <w:t xml:space="preserve"> </w:t>
            </w:r>
            <w:r w:rsidR="005C302F" w:rsidRPr="00BC2FEB">
              <w:rPr>
                <w:rFonts w:eastAsia="MS Mincho" w:cstheme="minorHAnsi"/>
              </w:rPr>
              <w:t>≤</w:t>
            </w:r>
            <w:r w:rsidR="005C302F" w:rsidRPr="00BC2FEB">
              <w:rPr>
                <w:rFonts w:eastAsia="MS Mincho"/>
              </w:rPr>
              <w:t>8</w:t>
            </w:r>
            <w:r w:rsidR="00296D30">
              <w:rPr>
                <w:rFonts w:eastAsia="MS Mincho"/>
              </w:rPr>
              <w:t xml:space="preserve"> </w:t>
            </w:r>
            <w:r w:rsidR="005C302F" w:rsidRPr="00BC2FEB">
              <w:rPr>
                <w:rFonts w:eastAsia="MS Mincho"/>
              </w:rPr>
              <w:t>ppm.</w:t>
            </w:r>
            <w:r w:rsidR="006E72B3" w:rsidRPr="00BC2FEB">
              <w:rPr>
                <w:rFonts w:eastAsia="MS Mincho"/>
              </w:rPr>
              <w:t xml:space="preserve"> </w:t>
            </w:r>
          </w:p>
          <w:p w:rsidR="007B2CD5" w:rsidRPr="004B359D" w:rsidRDefault="007B2CD5" w:rsidP="00863B57">
            <w:pPr>
              <w:pStyle w:val="Tablewriting"/>
              <w:keepNext/>
              <w:rPr>
                <w:rFonts w:eastAsia="MS Mincho"/>
                <w:highlight w:val="yellow"/>
                <w:u w:val="single"/>
              </w:rPr>
            </w:pPr>
          </w:p>
        </w:tc>
      </w:tr>
    </w:tbl>
    <w:p w:rsidR="00D95814" w:rsidRDefault="00717046" w:rsidP="00717046">
      <w:pPr>
        <w:pStyle w:val="TableFooter"/>
        <w:keepNext/>
      </w:pPr>
      <w:r>
        <w:t xml:space="preserve">Abbreviations: </w:t>
      </w:r>
      <w:r w:rsidR="00D95814" w:rsidRPr="00D95814">
        <w:t xml:space="preserve">CAR = continuous abstinence rate; CO = carbon monoxide; RCT = randomised controlled trial </w:t>
      </w:r>
    </w:p>
    <w:p w:rsidR="00717046" w:rsidRDefault="00717046" w:rsidP="00717046">
      <w:pPr>
        <w:pStyle w:val="TableFooter"/>
        <w:keepNext/>
      </w:pPr>
      <w:r>
        <w:t>Notes: G</w:t>
      </w:r>
      <w:r w:rsidR="00E15720">
        <w:t>ourlay et al. (1995) was included</w:t>
      </w:r>
      <w:r>
        <w:t xml:space="preserve"> in the Cochrane review by H</w:t>
      </w:r>
      <w:r w:rsidR="00E15720">
        <w:t>artmann-Boyce</w:t>
      </w:r>
      <w:r>
        <w:t xml:space="preserve"> et al. (20</w:t>
      </w:r>
      <w:r w:rsidR="00E15720">
        <w:t>18</w:t>
      </w:r>
      <w:r>
        <w:t>).</w:t>
      </w:r>
    </w:p>
    <w:p w:rsidR="00BA0A3D" w:rsidRDefault="00717046" w:rsidP="00717046">
      <w:pPr>
        <w:pStyle w:val="TableFooter"/>
        <w:keepNext/>
      </w:pPr>
      <w:r>
        <w:t>1 Only the number of patients (n) in the relevant arms were included</w:t>
      </w:r>
      <w:r w:rsidR="00AB5FA3">
        <w:t>.</w:t>
      </w:r>
    </w:p>
    <w:p w:rsidR="001B1668" w:rsidRPr="001B1668" w:rsidRDefault="001B1668" w:rsidP="001B1668"/>
    <w:p w:rsidR="00BA0A3D" w:rsidRDefault="00BA0A3D" w:rsidP="006607A6">
      <w:pPr>
        <w:sectPr w:rsidR="00BA0A3D" w:rsidSect="00BA0A3D">
          <w:pgSz w:w="16838" w:h="11906" w:orient="landscape"/>
          <w:pgMar w:top="1440" w:right="1440" w:bottom="1440" w:left="1440" w:header="708" w:footer="708" w:gutter="0"/>
          <w:cols w:space="708"/>
          <w:titlePg/>
          <w:docGrid w:linePitch="360"/>
        </w:sectPr>
      </w:pPr>
    </w:p>
    <w:p w:rsidR="00422789" w:rsidRPr="00422789" w:rsidRDefault="00422789" w:rsidP="00422789">
      <w:pPr>
        <w:rPr>
          <w:u w:val="single"/>
        </w:rPr>
      </w:pPr>
      <w:r w:rsidRPr="00422789">
        <w:rPr>
          <w:u w:val="single"/>
        </w:rPr>
        <w:lastRenderedPageBreak/>
        <w:t>Efficacy</w:t>
      </w:r>
    </w:p>
    <w:p w:rsidR="00422789" w:rsidRDefault="00422789" w:rsidP="00422789">
      <w:r>
        <w:t xml:space="preserve">A summary of the smoking cessation rates at </w:t>
      </w:r>
      <w:r w:rsidR="00FA0CE9">
        <w:t>6 months</w:t>
      </w:r>
      <w:r>
        <w:t xml:space="preserve"> </w:t>
      </w:r>
      <w:r w:rsidR="00DC7A3C">
        <w:t xml:space="preserve">comparing NRT </w:t>
      </w:r>
      <w:r w:rsidR="00573F59">
        <w:t>patches</w:t>
      </w:r>
      <w:r w:rsidR="00DC7A3C">
        <w:t xml:space="preserve"> with placebo</w:t>
      </w:r>
      <w:r>
        <w:t xml:space="preserve"> is presented in </w:t>
      </w:r>
      <w:r w:rsidR="003C4A1C">
        <w:t xml:space="preserve">Table </w:t>
      </w:r>
      <w:r w:rsidR="003C4A1C">
        <w:rPr>
          <w:noProof/>
        </w:rPr>
        <w:t>51</w:t>
      </w:r>
      <w:r>
        <w:t>. The results of Go</w:t>
      </w:r>
      <w:r w:rsidR="00CC304C">
        <w:t xml:space="preserve">urlay </w:t>
      </w:r>
      <w:r>
        <w:t>et al. (</w:t>
      </w:r>
      <w:r w:rsidR="00CC304C">
        <w:t>1995</w:t>
      </w:r>
      <w:r>
        <w:t xml:space="preserve">) </w:t>
      </w:r>
      <w:r w:rsidR="0087425A">
        <w:t xml:space="preserve">based on continuous abstinence rate </w:t>
      </w:r>
      <w:r>
        <w:t xml:space="preserve">demonstrated no statistically significant difference </w:t>
      </w:r>
      <w:r w:rsidR="00FD56B2">
        <w:t>b</w:t>
      </w:r>
      <w:r>
        <w:t xml:space="preserve">etween </w:t>
      </w:r>
      <w:r w:rsidR="00FD56B2">
        <w:t xml:space="preserve">NRT </w:t>
      </w:r>
      <w:r w:rsidR="00573F59">
        <w:t>patches</w:t>
      </w:r>
      <w:r w:rsidR="00FD56B2">
        <w:t xml:space="preserve"> and placebo</w:t>
      </w:r>
      <w:r w:rsidR="00554771">
        <w:t xml:space="preserve"> in non-abstainers as retreatment</w:t>
      </w:r>
      <w:r>
        <w:t>.</w:t>
      </w:r>
      <w:r w:rsidR="0087425A">
        <w:t xml:space="preserve"> However, </w:t>
      </w:r>
      <w:r w:rsidR="0073257E">
        <w:t xml:space="preserve">there was </w:t>
      </w:r>
      <w:r w:rsidR="000508C7">
        <w:t xml:space="preserve">a </w:t>
      </w:r>
      <w:r w:rsidR="0073257E">
        <w:t xml:space="preserve">statistically </w:t>
      </w:r>
      <w:r w:rsidR="000508C7">
        <w:t>significant improvement in smokin</w:t>
      </w:r>
      <w:r w:rsidR="000721C2">
        <w:t xml:space="preserve">g cessation rates </w:t>
      </w:r>
      <w:r w:rsidR="006C610D">
        <w:t xml:space="preserve">using NRT patches </w:t>
      </w:r>
      <w:r w:rsidR="00D64A34">
        <w:t>based on 28-day point prevalence abstinence</w:t>
      </w:r>
      <w:r w:rsidR="00DA52D8">
        <w:t xml:space="preserve"> (RR</w:t>
      </w:r>
      <w:r w:rsidR="003107B9">
        <w:t>:</w:t>
      </w:r>
      <w:r w:rsidR="00DA52D8">
        <w:t xml:space="preserve"> 2.49; 95% CI: </w:t>
      </w:r>
      <w:r w:rsidR="00AC1DD7">
        <w:t>1.11, 5.57)</w:t>
      </w:r>
      <w:r w:rsidR="00D64A34">
        <w:t>.</w:t>
      </w:r>
      <w:r w:rsidR="00AB2087">
        <w:t xml:space="preserve"> </w:t>
      </w:r>
      <w:r w:rsidR="00803755">
        <w:t>It was noted that the quit rate</w:t>
      </w:r>
      <w:r w:rsidR="001C2CBB">
        <w:t>s</w:t>
      </w:r>
      <w:r w:rsidR="00803755">
        <w:t xml:space="preserve"> were low in both groups with either definition of abstinence.</w:t>
      </w:r>
    </w:p>
    <w:p w:rsidR="00FB5C43" w:rsidRDefault="00FB5C43" w:rsidP="00FB5C43">
      <w:pPr>
        <w:pStyle w:val="Caption"/>
        <w:keepNext/>
      </w:pPr>
      <w:bookmarkStart w:id="129" w:name="_Ref54972831"/>
      <w:r>
        <w:t xml:space="preserve">Table </w:t>
      </w:r>
      <w:r w:rsidR="003C4A1C">
        <w:rPr>
          <w:noProof/>
        </w:rPr>
        <w:t>51</w:t>
      </w:r>
      <w:bookmarkEnd w:id="129"/>
      <w:r>
        <w:t xml:space="preserve">: </w:t>
      </w:r>
      <w:r w:rsidRPr="006D581C">
        <w:t xml:space="preserve">Results of smoking cessation at </w:t>
      </w:r>
      <w:r w:rsidR="00FA0CE9">
        <w:t>6 months</w:t>
      </w:r>
      <w:r w:rsidRPr="006D581C">
        <w:t xml:space="preserve">, </w:t>
      </w:r>
      <w:r w:rsidR="00FA0CE9">
        <w:t>NRT patch</w:t>
      </w:r>
      <w:r w:rsidRPr="006D581C">
        <w:t xml:space="preserve"> versus placebo</w:t>
      </w:r>
      <w:r w:rsidR="00DC7A3C">
        <w:t xml:space="preserve"> </w:t>
      </w:r>
      <w:r w:rsidR="00DC7A3C" w:rsidRPr="009A0BAA">
        <w:t>in non-abstainers as retreatment</w:t>
      </w:r>
    </w:p>
    <w:tbl>
      <w:tblPr>
        <w:tblStyle w:val="TableGrid"/>
        <w:tblW w:w="5000" w:type="pct"/>
        <w:tblLook w:val="04A0" w:firstRow="1" w:lastRow="0" w:firstColumn="1" w:lastColumn="0" w:noHBand="0" w:noVBand="1"/>
        <w:tblCaption w:val="Efficacy results of adalimumab trials (PASI 75 and DLQI)"/>
      </w:tblPr>
      <w:tblGrid>
        <w:gridCol w:w="1299"/>
        <w:gridCol w:w="1659"/>
        <w:gridCol w:w="1533"/>
        <w:gridCol w:w="1535"/>
        <w:gridCol w:w="1535"/>
        <w:gridCol w:w="1455"/>
      </w:tblGrid>
      <w:tr w:rsidR="0070249F" w:rsidRPr="00061F78" w:rsidTr="0070249F">
        <w:trPr>
          <w:cantSplit/>
          <w:trHeight w:val="299"/>
          <w:tblHeader/>
        </w:trPr>
        <w:tc>
          <w:tcPr>
            <w:tcW w:w="721" w:type="pct"/>
            <w:shd w:val="clear" w:color="auto" w:fill="BFBFBF" w:themeFill="background1" w:themeFillShade="BF"/>
            <w:tcMar>
              <w:left w:w="28" w:type="dxa"/>
              <w:right w:w="28" w:type="dxa"/>
            </w:tcMar>
          </w:tcPr>
          <w:p w:rsidR="0070249F" w:rsidRPr="00061F78" w:rsidRDefault="00126B7B" w:rsidP="0070249F">
            <w:pPr>
              <w:pStyle w:val="Tableheading"/>
              <w:keepNext/>
              <w:rPr>
                <w:rFonts w:eastAsia="MS Mincho"/>
              </w:rPr>
            </w:pPr>
            <w:r>
              <w:rPr>
                <w:rFonts w:eastAsia="MS Mincho"/>
              </w:rPr>
              <w:t>Study</w:t>
            </w:r>
          </w:p>
        </w:tc>
        <w:tc>
          <w:tcPr>
            <w:tcW w:w="920" w:type="pct"/>
            <w:shd w:val="clear" w:color="auto" w:fill="BFBFBF" w:themeFill="background1" w:themeFillShade="BF"/>
            <w:vAlign w:val="center"/>
          </w:tcPr>
          <w:p w:rsidR="0070249F" w:rsidRDefault="0070249F" w:rsidP="0070249F">
            <w:pPr>
              <w:pStyle w:val="Tableheading"/>
              <w:keepNext/>
              <w:jc w:val="center"/>
              <w:rPr>
                <w:rFonts w:eastAsia="MS Mincho"/>
              </w:rPr>
            </w:pPr>
            <w:r>
              <w:rPr>
                <w:rFonts w:eastAsia="MS Mincho"/>
              </w:rPr>
              <w:t>Study type</w:t>
            </w:r>
          </w:p>
        </w:tc>
        <w:tc>
          <w:tcPr>
            <w:tcW w:w="850" w:type="pct"/>
            <w:shd w:val="clear" w:color="auto" w:fill="BFBFBF" w:themeFill="background1" w:themeFillShade="BF"/>
            <w:tcMar>
              <w:left w:w="28" w:type="dxa"/>
              <w:right w:w="28" w:type="dxa"/>
            </w:tcMar>
            <w:vAlign w:val="center"/>
          </w:tcPr>
          <w:p w:rsidR="0070249F" w:rsidRPr="00061F78" w:rsidRDefault="009246A3" w:rsidP="0070249F">
            <w:pPr>
              <w:pStyle w:val="Tableheading"/>
              <w:keepNext/>
              <w:jc w:val="center"/>
              <w:rPr>
                <w:rFonts w:eastAsia="MS Mincho"/>
              </w:rPr>
            </w:pPr>
            <w:r>
              <w:rPr>
                <w:rFonts w:eastAsia="MS Mincho"/>
              </w:rPr>
              <w:t>NRT patch</w:t>
            </w:r>
          </w:p>
        </w:tc>
        <w:tc>
          <w:tcPr>
            <w:tcW w:w="851" w:type="pct"/>
            <w:shd w:val="clear" w:color="auto" w:fill="BFBFBF" w:themeFill="background1" w:themeFillShade="BF"/>
            <w:tcMar>
              <w:left w:w="28" w:type="dxa"/>
              <w:right w:w="28" w:type="dxa"/>
            </w:tcMar>
            <w:vAlign w:val="center"/>
          </w:tcPr>
          <w:p w:rsidR="0070249F" w:rsidRPr="00061F78" w:rsidRDefault="0070249F" w:rsidP="0070249F">
            <w:pPr>
              <w:pStyle w:val="Tableheading"/>
              <w:keepNext/>
              <w:jc w:val="center"/>
              <w:rPr>
                <w:rFonts w:eastAsia="MS Mincho"/>
              </w:rPr>
            </w:pPr>
            <w:r w:rsidRPr="00061F78">
              <w:rPr>
                <w:rFonts w:eastAsia="MS Mincho"/>
              </w:rPr>
              <w:t>Placebo</w:t>
            </w:r>
          </w:p>
        </w:tc>
        <w:tc>
          <w:tcPr>
            <w:tcW w:w="851" w:type="pct"/>
            <w:shd w:val="clear" w:color="auto" w:fill="BFBFBF" w:themeFill="background1" w:themeFillShade="BF"/>
            <w:tcMar>
              <w:left w:w="28" w:type="dxa"/>
              <w:right w:w="28" w:type="dxa"/>
            </w:tcMar>
            <w:vAlign w:val="center"/>
          </w:tcPr>
          <w:p w:rsidR="0070249F" w:rsidRPr="002D09A1" w:rsidRDefault="0070249F" w:rsidP="0070249F">
            <w:pPr>
              <w:pStyle w:val="Tableheading"/>
              <w:keepNext/>
              <w:jc w:val="center"/>
              <w:rPr>
                <w:rFonts w:eastAsia="MS Mincho"/>
                <w:vertAlign w:val="superscript"/>
              </w:rPr>
            </w:pPr>
            <w:r>
              <w:rPr>
                <w:rFonts w:eastAsia="MS Mincho"/>
              </w:rPr>
              <w:t>RR (95% CI)</w:t>
            </w:r>
          </w:p>
        </w:tc>
        <w:tc>
          <w:tcPr>
            <w:tcW w:w="807" w:type="pct"/>
            <w:shd w:val="clear" w:color="auto" w:fill="BFBFBF" w:themeFill="background1" w:themeFillShade="BF"/>
            <w:vAlign w:val="center"/>
          </w:tcPr>
          <w:p w:rsidR="0070249F" w:rsidRDefault="0070249F" w:rsidP="0070249F">
            <w:pPr>
              <w:pStyle w:val="Tableheading"/>
              <w:keepNext/>
              <w:jc w:val="center"/>
              <w:rPr>
                <w:rFonts w:eastAsia="MS Mincho"/>
              </w:rPr>
            </w:pPr>
            <w:r>
              <w:rPr>
                <w:rFonts w:eastAsia="MS Mincho"/>
              </w:rPr>
              <w:t>RD (95% CI)</w:t>
            </w:r>
          </w:p>
        </w:tc>
      </w:tr>
      <w:tr w:rsidR="0070249F" w:rsidRPr="00061F78" w:rsidTr="0070249F">
        <w:trPr>
          <w:cantSplit/>
          <w:trHeight w:val="99"/>
        </w:trPr>
        <w:tc>
          <w:tcPr>
            <w:tcW w:w="721" w:type="pct"/>
            <w:shd w:val="clear" w:color="auto" w:fill="auto"/>
            <w:tcMar>
              <w:left w:w="28" w:type="dxa"/>
              <w:right w:w="28" w:type="dxa"/>
            </w:tcMar>
          </w:tcPr>
          <w:p w:rsidR="0070249F" w:rsidRPr="00251B64" w:rsidRDefault="0070249F" w:rsidP="0070249F">
            <w:pPr>
              <w:pStyle w:val="Tablewriting"/>
              <w:keepNext/>
              <w:rPr>
                <w:rFonts w:eastAsia="MS Mincho"/>
              </w:rPr>
            </w:pPr>
            <w:r w:rsidRPr="00251B64">
              <w:rPr>
                <w:rFonts w:eastAsia="MS Mincho"/>
              </w:rPr>
              <w:t>Go</w:t>
            </w:r>
            <w:r w:rsidR="00BC7A82">
              <w:rPr>
                <w:rFonts w:eastAsia="MS Mincho"/>
              </w:rPr>
              <w:t>urlay</w:t>
            </w:r>
            <w:r w:rsidRPr="00251B64">
              <w:rPr>
                <w:rFonts w:eastAsia="MS Mincho"/>
              </w:rPr>
              <w:t xml:space="preserve"> (</w:t>
            </w:r>
            <w:r w:rsidR="00BC7A82">
              <w:rPr>
                <w:rFonts w:eastAsia="MS Mincho"/>
              </w:rPr>
              <w:t>1995</w:t>
            </w:r>
            <w:r w:rsidRPr="00251B64">
              <w:rPr>
                <w:rFonts w:eastAsia="MS Mincho"/>
              </w:rPr>
              <w:t>)</w:t>
            </w:r>
            <w:r w:rsidRPr="00251B64">
              <w:rPr>
                <w:rFonts w:eastAsia="MS Mincho"/>
                <w:vertAlign w:val="superscript"/>
              </w:rPr>
              <w:t>1</w:t>
            </w:r>
            <w:r w:rsidR="00A939AD">
              <w:rPr>
                <w:rFonts w:eastAsia="MS Mincho"/>
                <w:vertAlign w:val="superscript"/>
              </w:rPr>
              <w:t>,2</w:t>
            </w:r>
            <w:r w:rsidRPr="00251B64">
              <w:rPr>
                <w:rFonts w:eastAsia="MS Mincho"/>
              </w:rPr>
              <w:t xml:space="preserve"> </w:t>
            </w:r>
          </w:p>
        </w:tc>
        <w:tc>
          <w:tcPr>
            <w:tcW w:w="920" w:type="pct"/>
            <w:shd w:val="clear" w:color="auto" w:fill="auto"/>
            <w:vAlign w:val="center"/>
          </w:tcPr>
          <w:p w:rsidR="0070249F" w:rsidRPr="00251B64" w:rsidRDefault="0070249F" w:rsidP="0070249F">
            <w:pPr>
              <w:pStyle w:val="Tablewriting"/>
              <w:keepNext/>
              <w:jc w:val="center"/>
              <w:rPr>
                <w:rFonts w:eastAsia="MS Mincho"/>
              </w:rPr>
            </w:pPr>
            <w:r w:rsidRPr="00251B64">
              <w:rPr>
                <w:rFonts w:eastAsia="MS Mincho"/>
              </w:rPr>
              <w:t>RCT</w:t>
            </w:r>
          </w:p>
        </w:tc>
        <w:tc>
          <w:tcPr>
            <w:tcW w:w="850" w:type="pct"/>
            <w:shd w:val="clear" w:color="auto" w:fill="auto"/>
            <w:tcMar>
              <w:left w:w="28" w:type="dxa"/>
              <w:right w:w="28" w:type="dxa"/>
            </w:tcMar>
            <w:vAlign w:val="center"/>
          </w:tcPr>
          <w:p w:rsidR="0070249F" w:rsidRPr="00251B64" w:rsidRDefault="001900FF" w:rsidP="0070249F">
            <w:pPr>
              <w:pStyle w:val="Tablewriting"/>
              <w:keepNext/>
              <w:jc w:val="center"/>
              <w:rPr>
                <w:rFonts w:eastAsia="MS Mincho"/>
                <w:vertAlign w:val="superscript"/>
              </w:rPr>
            </w:pPr>
            <w:r>
              <w:rPr>
                <w:rFonts w:eastAsia="MS Mincho"/>
              </w:rPr>
              <w:t>5</w:t>
            </w:r>
            <w:r w:rsidR="0070249F" w:rsidRPr="00251B64">
              <w:rPr>
                <w:rFonts w:eastAsia="MS Mincho"/>
              </w:rPr>
              <w:t>/</w:t>
            </w:r>
            <w:r w:rsidR="00205540">
              <w:rPr>
                <w:rFonts w:eastAsia="MS Mincho"/>
              </w:rPr>
              <w:t>315</w:t>
            </w:r>
          </w:p>
          <w:p w:rsidR="0070249F" w:rsidRPr="00251B64" w:rsidRDefault="0070249F" w:rsidP="0070249F">
            <w:pPr>
              <w:pStyle w:val="Tablewriting"/>
              <w:keepNext/>
              <w:jc w:val="center"/>
              <w:rPr>
                <w:rFonts w:eastAsia="MS Mincho"/>
              </w:rPr>
            </w:pPr>
            <w:r w:rsidRPr="00251B64">
              <w:rPr>
                <w:rFonts w:eastAsia="MS Mincho"/>
              </w:rPr>
              <w:t>(</w:t>
            </w:r>
            <w:r w:rsidR="00494296">
              <w:rPr>
                <w:rFonts w:eastAsia="MS Mincho"/>
              </w:rPr>
              <w:t>1.6</w:t>
            </w:r>
            <w:r w:rsidRPr="00251B64">
              <w:rPr>
                <w:rFonts w:eastAsia="MS Mincho"/>
              </w:rPr>
              <w:t>%)</w:t>
            </w:r>
          </w:p>
        </w:tc>
        <w:tc>
          <w:tcPr>
            <w:tcW w:w="851" w:type="pct"/>
            <w:shd w:val="clear" w:color="auto" w:fill="auto"/>
            <w:tcMar>
              <w:left w:w="28" w:type="dxa"/>
              <w:right w:w="28" w:type="dxa"/>
            </w:tcMar>
            <w:vAlign w:val="center"/>
          </w:tcPr>
          <w:p w:rsidR="0070249F" w:rsidRPr="00251B64" w:rsidRDefault="001900FF" w:rsidP="0070249F">
            <w:pPr>
              <w:pStyle w:val="Tablewriting"/>
              <w:keepNext/>
              <w:jc w:val="center"/>
              <w:rPr>
                <w:rFonts w:eastAsia="MS Mincho"/>
              </w:rPr>
            </w:pPr>
            <w:r>
              <w:rPr>
                <w:rFonts w:eastAsia="MS Mincho"/>
              </w:rPr>
              <w:t>4</w:t>
            </w:r>
            <w:r w:rsidR="0070249F" w:rsidRPr="00251B64">
              <w:rPr>
                <w:rFonts w:eastAsia="MS Mincho"/>
              </w:rPr>
              <w:t>/</w:t>
            </w:r>
            <w:r w:rsidR="00205540">
              <w:rPr>
                <w:rFonts w:eastAsia="MS Mincho"/>
              </w:rPr>
              <w:t>314</w:t>
            </w:r>
          </w:p>
          <w:p w:rsidR="0070249F" w:rsidRPr="00251B64" w:rsidRDefault="0070249F" w:rsidP="0070249F">
            <w:pPr>
              <w:pStyle w:val="Tablewriting"/>
              <w:keepNext/>
              <w:jc w:val="center"/>
              <w:rPr>
                <w:rFonts w:eastAsia="MS Mincho"/>
              </w:rPr>
            </w:pPr>
            <w:r w:rsidRPr="00251B64">
              <w:rPr>
                <w:rFonts w:eastAsia="MS Mincho"/>
              </w:rPr>
              <w:t>(</w:t>
            </w:r>
            <w:r w:rsidR="00494296">
              <w:rPr>
                <w:rFonts w:eastAsia="MS Mincho"/>
              </w:rPr>
              <w:t>1.3</w:t>
            </w:r>
            <w:r w:rsidRPr="00251B64">
              <w:rPr>
                <w:rFonts w:eastAsia="MS Mincho"/>
              </w:rPr>
              <w:t>%)</w:t>
            </w:r>
          </w:p>
        </w:tc>
        <w:tc>
          <w:tcPr>
            <w:tcW w:w="851" w:type="pct"/>
            <w:shd w:val="clear" w:color="auto" w:fill="auto"/>
            <w:tcMar>
              <w:left w:w="28" w:type="dxa"/>
              <w:right w:w="28" w:type="dxa"/>
            </w:tcMar>
            <w:vAlign w:val="center"/>
          </w:tcPr>
          <w:p w:rsidR="0070249F" w:rsidRDefault="00A939AD" w:rsidP="0070249F">
            <w:pPr>
              <w:pStyle w:val="Tablewriting"/>
              <w:keepNext/>
              <w:jc w:val="center"/>
              <w:rPr>
                <w:rFonts w:eastAsia="MS Mincho"/>
              </w:rPr>
            </w:pPr>
            <w:r>
              <w:rPr>
                <w:rFonts w:eastAsia="MS Mincho"/>
              </w:rPr>
              <w:t>1.</w:t>
            </w:r>
            <w:r w:rsidR="00860A43">
              <w:rPr>
                <w:rFonts w:eastAsia="MS Mincho"/>
              </w:rPr>
              <w:t>25</w:t>
            </w:r>
          </w:p>
          <w:p w:rsidR="0070249F" w:rsidRPr="00D56406" w:rsidRDefault="00A939AD" w:rsidP="0070249F">
            <w:pPr>
              <w:pStyle w:val="Tablewriting"/>
              <w:keepNext/>
              <w:jc w:val="center"/>
              <w:rPr>
                <w:rFonts w:eastAsia="MS Mincho"/>
              </w:rPr>
            </w:pPr>
            <w:r>
              <w:rPr>
                <w:rFonts w:eastAsia="MS Mincho"/>
              </w:rPr>
              <w:t>(0.</w:t>
            </w:r>
            <w:r w:rsidR="00860A43">
              <w:rPr>
                <w:rFonts w:eastAsia="MS Mincho"/>
              </w:rPr>
              <w:t>34</w:t>
            </w:r>
            <w:r>
              <w:rPr>
                <w:rFonts w:eastAsia="MS Mincho"/>
              </w:rPr>
              <w:t xml:space="preserve">, </w:t>
            </w:r>
            <w:r w:rsidR="00860A43">
              <w:rPr>
                <w:rFonts w:eastAsia="MS Mincho"/>
              </w:rPr>
              <w:t>4.60</w:t>
            </w:r>
            <w:r>
              <w:rPr>
                <w:rFonts w:eastAsia="MS Mincho"/>
              </w:rPr>
              <w:t>)</w:t>
            </w:r>
          </w:p>
        </w:tc>
        <w:tc>
          <w:tcPr>
            <w:tcW w:w="807" w:type="pct"/>
            <w:shd w:val="clear" w:color="auto" w:fill="auto"/>
            <w:vAlign w:val="center"/>
          </w:tcPr>
          <w:p w:rsidR="0070249F" w:rsidRDefault="00A939AD" w:rsidP="0070249F">
            <w:pPr>
              <w:pStyle w:val="Tablewriting"/>
              <w:keepNext/>
              <w:jc w:val="center"/>
              <w:rPr>
                <w:rFonts w:eastAsia="MS Mincho"/>
              </w:rPr>
            </w:pPr>
            <w:r>
              <w:rPr>
                <w:rFonts w:eastAsia="MS Mincho"/>
              </w:rPr>
              <w:t>0.00</w:t>
            </w:r>
          </w:p>
          <w:p w:rsidR="0070249F" w:rsidRPr="00D56406" w:rsidRDefault="00A939AD" w:rsidP="0070249F">
            <w:pPr>
              <w:pStyle w:val="Tablewriting"/>
              <w:keepNext/>
              <w:jc w:val="center"/>
              <w:rPr>
                <w:rFonts w:eastAsia="MS Mincho"/>
              </w:rPr>
            </w:pPr>
            <w:r>
              <w:rPr>
                <w:rFonts w:eastAsia="MS Mincho"/>
              </w:rPr>
              <w:t>(-0.0</w:t>
            </w:r>
            <w:r w:rsidR="00860A43">
              <w:rPr>
                <w:rFonts w:eastAsia="MS Mincho"/>
              </w:rPr>
              <w:t>2</w:t>
            </w:r>
            <w:r>
              <w:rPr>
                <w:rFonts w:eastAsia="MS Mincho"/>
              </w:rPr>
              <w:t>, 0.0</w:t>
            </w:r>
            <w:r w:rsidR="00860A43">
              <w:rPr>
                <w:rFonts w:eastAsia="MS Mincho"/>
              </w:rPr>
              <w:t>2</w:t>
            </w:r>
            <w:r>
              <w:rPr>
                <w:rFonts w:eastAsia="MS Mincho"/>
              </w:rPr>
              <w:t>)</w:t>
            </w:r>
          </w:p>
        </w:tc>
      </w:tr>
    </w:tbl>
    <w:p w:rsidR="005417BD" w:rsidRDefault="005417BD" w:rsidP="005417BD">
      <w:pPr>
        <w:pStyle w:val="TableFooter"/>
        <w:keepNext/>
      </w:pPr>
      <w:r>
        <w:t>Source: Hartmann-Boyce et al. (2018) and Gourlay et al. (1995)</w:t>
      </w:r>
    </w:p>
    <w:p w:rsidR="005417BD" w:rsidRDefault="005417BD" w:rsidP="005417BD">
      <w:pPr>
        <w:pStyle w:val="TableFooter"/>
        <w:keepNext/>
        <w:rPr>
          <w:i/>
        </w:rPr>
      </w:pPr>
      <w:r>
        <w:t>Abbreviations: CI = confidence interval; RCT = randomised controlled trial; RR = risk ratio</w:t>
      </w:r>
      <w:r w:rsidRPr="00061F78">
        <w:t xml:space="preserve"> </w:t>
      </w:r>
    </w:p>
    <w:p w:rsidR="005417BD" w:rsidRDefault="005417BD" w:rsidP="005417BD">
      <w:pPr>
        <w:pStyle w:val="TableFooter"/>
        <w:keepNext/>
      </w:pPr>
      <w:r w:rsidRPr="00D468CF">
        <w:t>Note</w:t>
      </w:r>
      <w:r>
        <w:t>s</w:t>
      </w:r>
      <w:r w:rsidRPr="00D468CF">
        <w:t>: Bold indicates statistically significant difference.</w:t>
      </w:r>
      <w:r>
        <w:br/>
        <w:t xml:space="preserve">1 Continuous abstinence rate at </w:t>
      </w:r>
      <w:r w:rsidR="00FA0CE9">
        <w:t>6</w:t>
      </w:r>
      <w:r>
        <w:t xml:space="preserve"> months (</w:t>
      </w:r>
      <w:r w:rsidR="00CC304C">
        <w:t xml:space="preserve">Quit day to </w:t>
      </w:r>
      <w:r w:rsidRPr="004A7BDC">
        <w:t xml:space="preserve">Week </w:t>
      </w:r>
      <w:r w:rsidR="00CC304C">
        <w:t>26</w:t>
      </w:r>
      <w:r>
        <w:t>)</w:t>
      </w:r>
      <w:r w:rsidR="00AB5FA3">
        <w:t>.</w:t>
      </w:r>
    </w:p>
    <w:p w:rsidR="00A939AD" w:rsidRDefault="00A939AD" w:rsidP="005417BD">
      <w:pPr>
        <w:pStyle w:val="TableFooter"/>
        <w:keepNext/>
      </w:pPr>
      <w:r>
        <w:t>2 Calculated during the review</w:t>
      </w:r>
      <w:r w:rsidR="00AB5FA3">
        <w:t>.</w:t>
      </w:r>
    </w:p>
    <w:p w:rsidR="00D52359" w:rsidRPr="0073597F" w:rsidRDefault="00D52359" w:rsidP="00D52359">
      <w:pPr>
        <w:rPr>
          <w:u w:val="single"/>
        </w:rPr>
      </w:pPr>
      <w:r w:rsidRPr="0073597F">
        <w:rPr>
          <w:u w:val="single"/>
        </w:rPr>
        <w:t>Safety</w:t>
      </w:r>
    </w:p>
    <w:p w:rsidR="00D52359" w:rsidRDefault="00D52359" w:rsidP="00D52359">
      <w:r w:rsidRPr="00F423F8">
        <w:t xml:space="preserve">The incidence of adverse events comparing </w:t>
      </w:r>
      <w:r w:rsidR="00AB2ACB">
        <w:t>NRT</w:t>
      </w:r>
      <w:r>
        <w:t xml:space="preserve"> with placebo in non-abstainers as retreatment</w:t>
      </w:r>
      <w:r w:rsidRPr="00F423F8">
        <w:t xml:space="preserve"> was not synthesised quantitatively by </w:t>
      </w:r>
      <w:r>
        <w:t>H</w:t>
      </w:r>
      <w:r w:rsidR="00AB2ACB">
        <w:t>artmann-Boyce</w:t>
      </w:r>
      <w:r w:rsidRPr="002C1625">
        <w:t xml:space="preserve"> et al. (20</w:t>
      </w:r>
      <w:r w:rsidR="00AB2ACB">
        <w:t>18</w:t>
      </w:r>
      <w:r w:rsidRPr="002C1625">
        <w:t>)</w:t>
      </w:r>
      <w:r w:rsidRPr="00F423F8">
        <w:t>.</w:t>
      </w:r>
      <w:r>
        <w:t xml:space="preserve"> It was noted that the safety results of Go</w:t>
      </w:r>
      <w:r w:rsidR="00332315">
        <w:t>urlay</w:t>
      </w:r>
      <w:r>
        <w:t xml:space="preserve"> et al. (</w:t>
      </w:r>
      <w:r w:rsidR="00332315">
        <w:t>1995</w:t>
      </w:r>
      <w:r>
        <w:t xml:space="preserve">) were included in the general safety analysis of </w:t>
      </w:r>
      <w:r w:rsidR="00AB2ACB">
        <w:t>NRT</w:t>
      </w:r>
      <w:r>
        <w:t xml:space="preserve"> versus placebo conducted by H</w:t>
      </w:r>
      <w:r w:rsidR="00291B11">
        <w:t>artmann-Boyce</w:t>
      </w:r>
      <w:r>
        <w:t xml:space="preserve"> et al. (20</w:t>
      </w:r>
      <w:r w:rsidR="00291B11">
        <w:t>18</w:t>
      </w:r>
      <w:r>
        <w:t xml:space="preserve">), </w:t>
      </w:r>
      <w:r w:rsidR="00491FB0">
        <w:t>as</w:t>
      </w:r>
      <w:r>
        <w:t xml:space="preserve"> presented in the treatment-naïve population section.</w:t>
      </w:r>
    </w:p>
    <w:p w:rsidR="00E77D6A" w:rsidRDefault="00E77D6A" w:rsidP="00D52359">
      <w:r w:rsidRPr="00E77D6A">
        <w:t>Based on the study by Go</w:t>
      </w:r>
      <w:r>
        <w:t>urlay</w:t>
      </w:r>
      <w:r w:rsidRPr="00E77D6A">
        <w:t xml:space="preserve"> et al. (</w:t>
      </w:r>
      <w:r>
        <w:t>1995</w:t>
      </w:r>
      <w:r w:rsidRPr="00E77D6A">
        <w:t xml:space="preserve">), </w:t>
      </w:r>
      <w:r w:rsidR="004629CA">
        <w:t>t</w:t>
      </w:r>
      <w:r w:rsidR="004629CA" w:rsidRPr="004629CA">
        <w:t>here were no statistically significant differences between the two treatment arms</w:t>
      </w:r>
      <w:r w:rsidR="004629CA">
        <w:t xml:space="preserve"> for </w:t>
      </w:r>
      <w:r w:rsidR="004629CA" w:rsidRPr="004629CA">
        <w:t>palpitations, tachycardia or chest pain</w:t>
      </w:r>
      <w:r w:rsidR="002B57EA">
        <w:t xml:space="preserve">, although a </w:t>
      </w:r>
      <w:r w:rsidR="00FF6D45">
        <w:t xml:space="preserve">numerically </w:t>
      </w:r>
      <w:r w:rsidR="002B57EA">
        <w:t>higher incidence</w:t>
      </w:r>
      <w:r w:rsidR="00FF6D45">
        <w:t xml:space="preserve"> rate</w:t>
      </w:r>
      <w:r w:rsidR="002B57EA">
        <w:t xml:space="preserve"> was observed in the NRT </w:t>
      </w:r>
      <w:r w:rsidR="00573F59">
        <w:t>patches</w:t>
      </w:r>
      <w:r w:rsidR="002B57EA">
        <w:t xml:space="preserve"> arm</w:t>
      </w:r>
      <w:r w:rsidR="004629CA" w:rsidRPr="004629CA">
        <w:t xml:space="preserve"> </w:t>
      </w:r>
      <w:r w:rsidRPr="00E77D6A">
        <w:t>(</w:t>
      </w:r>
      <w:r w:rsidR="003C4A1C">
        <w:t xml:space="preserve">Table </w:t>
      </w:r>
      <w:r w:rsidR="003C4A1C">
        <w:rPr>
          <w:noProof/>
        </w:rPr>
        <w:t>52</w:t>
      </w:r>
      <w:r w:rsidRPr="00E77D6A">
        <w:t xml:space="preserve">). </w:t>
      </w:r>
    </w:p>
    <w:p w:rsidR="00445E2E" w:rsidRDefault="00445E2E" w:rsidP="00445E2E">
      <w:pPr>
        <w:pStyle w:val="Caption"/>
        <w:keepNext/>
      </w:pPr>
      <w:bookmarkStart w:id="130" w:name="_Ref55396884"/>
      <w:r>
        <w:t xml:space="preserve">Table </w:t>
      </w:r>
      <w:r w:rsidR="003C4A1C">
        <w:rPr>
          <w:noProof/>
        </w:rPr>
        <w:t>52</w:t>
      </w:r>
      <w:bookmarkEnd w:id="130"/>
      <w:r>
        <w:t xml:space="preserve">: </w:t>
      </w:r>
      <w:r w:rsidRPr="002D314D">
        <w:t xml:space="preserve">Results of palpitations or chest pains in </w:t>
      </w:r>
      <w:r>
        <w:t>Gourlay</w:t>
      </w:r>
      <w:r w:rsidRPr="002D314D">
        <w:t xml:space="preserve"> et al. (</w:t>
      </w:r>
      <w:r>
        <w:t>1995</w:t>
      </w:r>
      <w:r w:rsidRPr="002D314D">
        <w:t>), NRT</w:t>
      </w:r>
      <w:r>
        <w:t xml:space="preserve"> patch</w:t>
      </w:r>
      <w:r w:rsidRPr="002D314D">
        <w:t xml:space="preserve"> versus placebo</w:t>
      </w:r>
      <w:r w:rsidR="00DC7A3C">
        <w:t xml:space="preserve"> </w:t>
      </w:r>
      <w:r w:rsidR="00DC7A3C" w:rsidRPr="009A0BAA">
        <w:t>in non-abstainers as retreatment</w:t>
      </w:r>
    </w:p>
    <w:tbl>
      <w:tblPr>
        <w:tblStyle w:val="TableGrid"/>
        <w:tblW w:w="5000" w:type="pct"/>
        <w:tblLook w:val="04A0" w:firstRow="1" w:lastRow="0" w:firstColumn="1" w:lastColumn="0" w:noHBand="0" w:noVBand="1"/>
        <w:tblCaption w:val="Efficacy results of adalimumab trials (PASI 75 and DLQI)"/>
      </w:tblPr>
      <w:tblGrid>
        <w:gridCol w:w="2958"/>
        <w:gridCol w:w="1533"/>
        <w:gridCol w:w="1535"/>
        <w:gridCol w:w="1535"/>
        <w:gridCol w:w="1455"/>
      </w:tblGrid>
      <w:tr w:rsidR="00445E2E" w:rsidRPr="00061F78" w:rsidTr="0025105B">
        <w:trPr>
          <w:cantSplit/>
          <w:trHeight w:val="299"/>
          <w:tblHeader/>
        </w:trPr>
        <w:tc>
          <w:tcPr>
            <w:tcW w:w="1641" w:type="pct"/>
            <w:shd w:val="clear" w:color="auto" w:fill="BFBFBF" w:themeFill="background1" w:themeFillShade="BF"/>
            <w:tcMar>
              <w:left w:w="28" w:type="dxa"/>
              <w:right w:w="28" w:type="dxa"/>
            </w:tcMar>
          </w:tcPr>
          <w:p w:rsidR="00445E2E" w:rsidRDefault="00445E2E" w:rsidP="0025105B">
            <w:pPr>
              <w:pStyle w:val="Tableheading"/>
              <w:keepNext/>
              <w:rPr>
                <w:rFonts w:eastAsia="MS Mincho"/>
              </w:rPr>
            </w:pPr>
            <w:r>
              <w:rPr>
                <w:rFonts w:eastAsia="MS Mincho"/>
              </w:rPr>
              <w:t>Outcome</w:t>
            </w:r>
          </w:p>
        </w:tc>
        <w:tc>
          <w:tcPr>
            <w:tcW w:w="850" w:type="pct"/>
            <w:shd w:val="clear" w:color="auto" w:fill="BFBFBF" w:themeFill="background1" w:themeFillShade="BF"/>
            <w:tcMar>
              <w:left w:w="28" w:type="dxa"/>
              <w:right w:w="28" w:type="dxa"/>
            </w:tcMar>
            <w:vAlign w:val="center"/>
          </w:tcPr>
          <w:p w:rsidR="00445E2E" w:rsidRPr="00061F78" w:rsidRDefault="00CC2947" w:rsidP="0025105B">
            <w:pPr>
              <w:pStyle w:val="Tableheading"/>
              <w:keepNext/>
              <w:jc w:val="center"/>
              <w:rPr>
                <w:rFonts w:eastAsia="MS Mincho"/>
              </w:rPr>
            </w:pPr>
            <w:r>
              <w:rPr>
                <w:rFonts w:eastAsia="MS Mincho"/>
              </w:rPr>
              <w:t>NRT patch</w:t>
            </w:r>
          </w:p>
        </w:tc>
        <w:tc>
          <w:tcPr>
            <w:tcW w:w="851" w:type="pct"/>
            <w:shd w:val="clear" w:color="auto" w:fill="BFBFBF" w:themeFill="background1" w:themeFillShade="BF"/>
            <w:tcMar>
              <w:left w:w="28" w:type="dxa"/>
              <w:right w:w="28" w:type="dxa"/>
            </w:tcMar>
            <w:vAlign w:val="center"/>
          </w:tcPr>
          <w:p w:rsidR="00445E2E" w:rsidRPr="00061F78" w:rsidRDefault="00445E2E" w:rsidP="0025105B">
            <w:pPr>
              <w:pStyle w:val="Tableheading"/>
              <w:keepNext/>
              <w:jc w:val="center"/>
              <w:rPr>
                <w:rFonts w:eastAsia="MS Mincho"/>
              </w:rPr>
            </w:pPr>
            <w:r w:rsidRPr="00061F78">
              <w:rPr>
                <w:rFonts w:eastAsia="MS Mincho"/>
              </w:rPr>
              <w:t>Placebo</w:t>
            </w:r>
          </w:p>
        </w:tc>
        <w:tc>
          <w:tcPr>
            <w:tcW w:w="851" w:type="pct"/>
            <w:shd w:val="clear" w:color="auto" w:fill="BFBFBF" w:themeFill="background1" w:themeFillShade="BF"/>
            <w:tcMar>
              <w:left w:w="28" w:type="dxa"/>
              <w:right w:w="28" w:type="dxa"/>
            </w:tcMar>
            <w:vAlign w:val="center"/>
          </w:tcPr>
          <w:p w:rsidR="00445E2E" w:rsidRPr="00D468CF" w:rsidRDefault="00445E2E" w:rsidP="0025105B">
            <w:pPr>
              <w:pStyle w:val="Tableheading"/>
              <w:keepNext/>
              <w:jc w:val="center"/>
              <w:rPr>
                <w:rFonts w:eastAsia="MS Mincho"/>
                <w:vertAlign w:val="superscript"/>
              </w:rPr>
            </w:pPr>
            <w:r>
              <w:rPr>
                <w:rFonts w:eastAsia="MS Mincho"/>
              </w:rPr>
              <w:t>RR (95% CI)</w:t>
            </w:r>
          </w:p>
        </w:tc>
        <w:tc>
          <w:tcPr>
            <w:tcW w:w="807" w:type="pct"/>
            <w:shd w:val="clear" w:color="auto" w:fill="BFBFBF" w:themeFill="background1" w:themeFillShade="BF"/>
            <w:vAlign w:val="center"/>
          </w:tcPr>
          <w:p w:rsidR="00445E2E" w:rsidRDefault="00445E2E" w:rsidP="0025105B">
            <w:pPr>
              <w:pStyle w:val="Tableheading"/>
              <w:keepNext/>
              <w:jc w:val="center"/>
              <w:rPr>
                <w:rFonts w:eastAsia="MS Mincho"/>
              </w:rPr>
            </w:pPr>
            <w:r>
              <w:rPr>
                <w:rFonts w:eastAsia="MS Mincho"/>
              </w:rPr>
              <w:t>RD (95% CI)</w:t>
            </w:r>
          </w:p>
        </w:tc>
      </w:tr>
      <w:tr w:rsidR="00445E2E" w:rsidRPr="00061F78" w:rsidTr="0025105B">
        <w:trPr>
          <w:cantSplit/>
          <w:trHeight w:val="99"/>
        </w:trPr>
        <w:tc>
          <w:tcPr>
            <w:tcW w:w="1641" w:type="pct"/>
            <w:shd w:val="clear" w:color="auto" w:fill="auto"/>
            <w:tcMar>
              <w:left w:w="28" w:type="dxa"/>
              <w:right w:w="28" w:type="dxa"/>
            </w:tcMar>
          </w:tcPr>
          <w:p w:rsidR="00445E2E" w:rsidRPr="000345E0" w:rsidRDefault="00445E2E" w:rsidP="0025105B">
            <w:pPr>
              <w:pStyle w:val="Tablewriting"/>
              <w:keepNext/>
              <w:rPr>
                <w:rFonts w:eastAsia="MS Mincho"/>
                <w:vertAlign w:val="superscript"/>
              </w:rPr>
            </w:pPr>
            <w:r>
              <w:rPr>
                <w:rFonts w:eastAsia="MS Mincho"/>
              </w:rPr>
              <w:t>Palpitations</w:t>
            </w:r>
            <w:r w:rsidR="00544265">
              <w:rPr>
                <w:rFonts w:eastAsia="MS Mincho"/>
              </w:rPr>
              <w:t xml:space="preserve"> or chest pain</w:t>
            </w:r>
            <w:r w:rsidR="000345E0">
              <w:rPr>
                <w:rFonts w:eastAsia="MS Mincho"/>
                <w:vertAlign w:val="superscript"/>
              </w:rPr>
              <w:t>1</w:t>
            </w:r>
          </w:p>
        </w:tc>
        <w:tc>
          <w:tcPr>
            <w:tcW w:w="850" w:type="pct"/>
            <w:shd w:val="clear" w:color="auto" w:fill="auto"/>
            <w:tcMar>
              <w:left w:w="28" w:type="dxa"/>
              <w:right w:w="28" w:type="dxa"/>
            </w:tcMar>
            <w:vAlign w:val="center"/>
          </w:tcPr>
          <w:p w:rsidR="00445E2E" w:rsidRPr="00F423F8" w:rsidRDefault="00CC2947" w:rsidP="0025105B">
            <w:pPr>
              <w:pStyle w:val="Tablewriting"/>
              <w:keepNext/>
              <w:jc w:val="center"/>
              <w:rPr>
                <w:rFonts w:eastAsia="MS Mincho"/>
                <w:vertAlign w:val="superscript"/>
              </w:rPr>
            </w:pPr>
            <w:r>
              <w:rPr>
                <w:rFonts w:eastAsia="MS Mincho"/>
              </w:rPr>
              <w:t>5</w:t>
            </w:r>
            <w:r w:rsidR="00445E2E">
              <w:rPr>
                <w:rFonts w:eastAsia="MS Mincho"/>
              </w:rPr>
              <w:t>/</w:t>
            </w:r>
            <w:r>
              <w:rPr>
                <w:rFonts w:eastAsia="MS Mincho"/>
              </w:rPr>
              <w:t>179</w:t>
            </w:r>
          </w:p>
          <w:p w:rsidR="00445E2E" w:rsidRDefault="00445E2E" w:rsidP="0025105B">
            <w:pPr>
              <w:pStyle w:val="Tablewriting"/>
              <w:keepNext/>
              <w:jc w:val="center"/>
              <w:rPr>
                <w:rFonts w:eastAsia="MS Mincho"/>
              </w:rPr>
            </w:pPr>
            <w:r>
              <w:rPr>
                <w:rFonts w:eastAsia="MS Mincho"/>
              </w:rPr>
              <w:t>(</w:t>
            </w:r>
            <w:r w:rsidR="00696B89">
              <w:rPr>
                <w:rFonts w:eastAsia="MS Mincho"/>
              </w:rPr>
              <w:t>2.8</w:t>
            </w:r>
            <w:r>
              <w:rPr>
                <w:rFonts w:eastAsia="MS Mincho"/>
              </w:rPr>
              <w:t>%)</w:t>
            </w:r>
          </w:p>
        </w:tc>
        <w:tc>
          <w:tcPr>
            <w:tcW w:w="851" w:type="pct"/>
            <w:shd w:val="clear" w:color="auto" w:fill="auto"/>
            <w:tcMar>
              <w:left w:w="28" w:type="dxa"/>
              <w:right w:w="28" w:type="dxa"/>
            </w:tcMar>
            <w:vAlign w:val="center"/>
          </w:tcPr>
          <w:p w:rsidR="00445E2E" w:rsidRDefault="00CC2947" w:rsidP="0025105B">
            <w:pPr>
              <w:pStyle w:val="Tablewriting"/>
              <w:keepNext/>
              <w:jc w:val="center"/>
              <w:rPr>
                <w:rFonts w:eastAsia="MS Mincho"/>
              </w:rPr>
            </w:pPr>
            <w:r>
              <w:rPr>
                <w:rFonts w:eastAsia="MS Mincho"/>
              </w:rPr>
              <w:t>3</w:t>
            </w:r>
            <w:r w:rsidR="00445E2E">
              <w:rPr>
                <w:rFonts w:eastAsia="MS Mincho"/>
              </w:rPr>
              <w:t>/</w:t>
            </w:r>
            <w:r>
              <w:rPr>
                <w:rFonts w:eastAsia="MS Mincho"/>
              </w:rPr>
              <w:t>143</w:t>
            </w:r>
          </w:p>
          <w:p w:rsidR="00445E2E" w:rsidRDefault="00445E2E" w:rsidP="0025105B">
            <w:pPr>
              <w:pStyle w:val="Tablewriting"/>
              <w:keepNext/>
              <w:jc w:val="center"/>
              <w:rPr>
                <w:rFonts w:eastAsia="MS Mincho"/>
              </w:rPr>
            </w:pPr>
            <w:r>
              <w:rPr>
                <w:rFonts w:eastAsia="MS Mincho"/>
              </w:rPr>
              <w:t>(</w:t>
            </w:r>
            <w:r w:rsidR="00E77D6A">
              <w:rPr>
                <w:rFonts w:eastAsia="MS Mincho"/>
              </w:rPr>
              <w:t>2.1</w:t>
            </w:r>
            <w:r>
              <w:rPr>
                <w:rFonts w:eastAsia="MS Mincho"/>
              </w:rPr>
              <w:t>%)</w:t>
            </w:r>
          </w:p>
        </w:tc>
        <w:tc>
          <w:tcPr>
            <w:tcW w:w="851" w:type="pct"/>
            <w:shd w:val="clear" w:color="auto" w:fill="auto"/>
            <w:tcMar>
              <w:left w:w="28" w:type="dxa"/>
              <w:right w:w="28" w:type="dxa"/>
            </w:tcMar>
            <w:vAlign w:val="center"/>
          </w:tcPr>
          <w:p w:rsidR="00445E2E" w:rsidRPr="00D56406" w:rsidRDefault="00D56406" w:rsidP="0025105B">
            <w:pPr>
              <w:pStyle w:val="Tablewriting"/>
              <w:keepNext/>
              <w:jc w:val="center"/>
              <w:rPr>
                <w:rFonts w:eastAsia="MS Mincho"/>
              </w:rPr>
            </w:pPr>
            <w:r w:rsidRPr="00D56406">
              <w:rPr>
                <w:rFonts w:eastAsia="MS Mincho"/>
              </w:rPr>
              <w:t>1.3</w:t>
            </w:r>
            <w:r w:rsidR="000345E0">
              <w:rPr>
                <w:rFonts w:eastAsia="MS Mincho"/>
              </w:rPr>
              <w:t>3</w:t>
            </w:r>
          </w:p>
          <w:p w:rsidR="00D56406" w:rsidRPr="00F360FD" w:rsidRDefault="00D56406" w:rsidP="0025105B">
            <w:pPr>
              <w:pStyle w:val="Tablewriting"/>
              <w:keepNext/>
              <w:jc w:val="center"/>
              <w:rPr>
                <w:rFonts w:eastAsia="MS Mincho"/>
                <w:b/>
              </w:rPr>
            </w:pPr>
            <w:r w:rsidRPr="00D56406">
              <w:rPr>
                <w:rFonts w:eastAsia="MS Mincho"/>
              </w:rPr>
              <w:t>(0.32, 5.</w:t>
            </w:r>
            <w:r w:rsidR="000345E0">
              <w:rPr>
                <w:rFonts w:eastAsia="MS Mincho"/>
              </w:rPr>
              <w:t>48</w:t>
            </w:r>
            <w:r w:rsidRPr="00D56406">
              <w:rPr>
                <w:rFonts w:eastAsia="MS Mincho"/>
              </w:rPr>
              <w:t>)</w:t>
            </w:r>
          </w:p>
        </w:tc>
        <w:tc>
          <w:tcPr>
            <w:tcW w:w="807" w:type="pct"/>
            <w:shd w:val="clear" w:color="auto" w:fill="auto"/>
            <w:vAlign w:val="center"/>
          </w:tcPr>
          <w:p w:rsidR="00445E2E" w:rsidRDefault="000345E0" w:rsidP="0025105B">
            <w:pPr>
              <w:pStyle w:val="Tablewriting"/>
              <w:keepNext/>
              <w:jc w:val="center"/>
              <w:rPr>
                <w:rFonts w:eastAsia="MS Mincho"/>
              </w:rPr>
            </w:pPr>
            <w:r>
              <w:rPr>
                <w:rFonts w:eastAsia="MS Mincho"/>
              </w:rPr>
              <w:t>0.01</w:t>
            </w:r>
          </w:p>
          <w:p w:rsidR="00445E2E" w:rsidRPr="00061F78" w:rsidRDefault="000345E0" w:rsidP="0025105B">
            <w:pPr>
              <w:pStyle w:val="Tablewriting"/>
              <w:keepNext/>
              <w:jc w:val="center"/>
              <w:rPr>
                <w:rFonts w:eastAsia="MS Mincho"/>
              </w:rPr>
            </w:pPr>
            <w:r>
              <w:rPr>
                <w:rFonts w:eastAsia="MS Mincho"/>
              </w:rPr>
              <w:t>(-0.03, 0.04)</w:t>
            </w:r>
          </w:p>
        </w:tc>
      </w:tr>
    </w:tbl>
    <w:p w:rsidR="00D56406" w:rsidRDefault="00D56406" w:rsidP="00D56406">
      <w:pPr>
        <w:pStyle w:val="TableFooter"/>
        <w:keepNext/>
      </w:pPr>
      <w:r>
        <w:t>Source: Hartmann-Boyce et al. (2018) and Gourlay et al. (1995)</w:t>
      </w:r>
    </w:p>
    <w:p w:rsidR="00D56406" w:rsidRDefault="00D56406" w:rsidP="00D56406">
      <w:pPr>
        <w:pStyle w:val="TableFooter"/>
        <w:keepNext/>
        <w:rPr>
          <w:i/>
        </w:rPr>
      </w:pPr>
      <w:r>
        <w:t>Abbreviations: CI = confidence interval; RCT = randomised controlled trial; RR = risk ratio</w:t>
      </w:r>
      <w:r w:rsidRPr="00061F78">
        <w:t xml:space="preserve"> </w:t>
      </w:r>
    </w:p>
    <w:p w:rsidR="00D22260" w:rsidRDefault="00D56406" w:rsidP="00D013A0">
      <w:pPr>
        <w:pStyle w:val="TableFooter"/>
        <w:keepNext/>
      </w:pPr>
      <w:r w:rsidRPr="00D468CF">
        <w:t>Note</w:t>
      </w:r>
      <w:r>
        <w:t>s</w:t>
      </w:r>
      <w:r w:rsidRPr="00D468CF">
        <w:t>: Bold indicates statistically significant difference.</w:t>
      </w:r>
    </w:p>
    <w:p w:rsidR="000345E0" w:rsidRDefault="000345E0" w:rsidP="00D013A0">
      <w:pPr>
        <w:pStyle w:val="TableFooter"/>
        <w:keepNext/>
      </w:pPr>
      <w:r>
        <w:t>1 Calculated during the review</w:t>
      </w:r>
      <w:r w:rsidR="00AB5FA3">
        <w:t>.</w:t>
      </w:r>
    </w:p>
    <w:p w:rsidR="00D22260" w:rsidRDefault="00E800F8" w:rsidP="00D02475">
      <w:pPr>
        <w:pStyle w:val="Heading4"/>
        <w:numPr>
          <w:ilvl w:val="0"/>
          <w:numId w:val="0"/>
        </w:numPr>
      </w:pPr>
      <w:r>
        <w:t>Summary of evidence for monotherapy</w:t>
      </w:r>
    </w:p>
    <w:p w:rsidR="007D193F" w:rsidRDefault="00F53D6D" w:rsidP="006C2F88">
      <w:pPr>
        <w:rPr>
          <w:b/>
        </w:rPr>
      </w:pPr>
      <w:r w:rsidRPr="00D27D4A">
        <w:rPr>
          <w:b/>
        </w:rPr>
        <w:t>Bupropion</w:t>
      </w:r>
    </w:p>
    <w:p w:rsidR="00D27D4A" w:rsidRPr="00D27D4A" w:rsidRDefault="00D27D4A" w:rsidP="006C2F88">
      <w:pPr>
        <w:rPr>
          <w:i/>
          <w:iCs/>
        </w:rPr>
      </w:pPr>
      <w:r w:rsidRPr="00D27D4A">
        <w:rPr>
          <w:i/>
          <w:iCs/>
        </w:rPr>
        <w:t xml:space="preserve">Treatment-naïve population </w:t>
      </w:r>
    </w:p>
    <w:p w:rsidR="0073226A" w:rsidRDefault="00F53D6D" w:rsidP="006C2F88">
      <w:r>
        <w:t>Based on the evidence</w:t>
      </w:r>
      <w:r w:rsidR="000F54C7">
        <w:t xml:space="preserve"> presented</w:t>
      </w:r>
      <w:r w:rsidR="000C4092">
        <w:t xml:space="preserve"> (Howes et al. </w:t>
      </w:r>
      <w:r w:rsidR="0073043C">
        <w:t>2020, Benowitz et al. 2018)</w:t>
      </w:r>
      <w:r w:rsidR="000F54C7">
        <w:t xml:space="preserve">, bupropion </w:t>
      </w:r>
      <w:r w:rsidR="00542C96">
        <w:t>was shown to provide a</w:t>
      </w:r>
      <w:r w:rsidR="001E131F">
        <w:t xml:space="preserve"> </w:t>
      </w:r>
      <w:r w:rsidR="00361A2C">
        <w:t xml:space="preserve">statistically significant improvement in long-term smoking cessation </w:t>
      </w:r>
      <w:r w:rsidR="00361A2C">
        <w:lastRenderedPageBreak/>
        <w:t>rates compared with placebo</w:t>
      </w:r>
      <w:r w:rsidR="00FB6449">
        <w:t>,</w:t>
      </w:r>
      <w:r w:rsidR="00B263CD">
        <w:t xml:space="preserve"> noting the significantly higher incidence of </w:t>
      </w:r>
      <w:r w:rsidR="00B26489">
        <w:t xml:space="preserve">adverse events, psychiatric adverse events and </w:t>
      </w:r>
      <w:r w:rsidR="00FB6449">
        <w:t>discontinuation due to adverse events in the bupropion arm</w:t>
      </w:r>
      <w:r w:rsidR="00B55E3F">
        <w:t xml:space="preserve">. </w:t>
      </w:r>
      <w:r w:rsidR="00BD5B88">
        <w:t xml:space="preserve">This </w:t>
      </w:r>
      <w:r w:rsidR="00E251BA">
        <w:t>is</w:t>
      </w:r>
      <w:r w:rsidR="00BD5B88">
        <w:t xml:space="preserve"> consistent with the</w:t>
      </w:r>
      <w:r w:rsidR="00D9635D">
        <w:t xml:space="preserve"> evidence previously considered by the PBAC</w:t>
      </w:r>
      <w:r w:rsidR="0073043C">
        <w:t xml:space="preserve"> </w:t>
      </w:r>
      <w:r w:rsidR="008846EB">
        <w:rPr>
          <w:noProof/>
          <w:color w:val="000000"/>
          <w:highlight w:val="black"/>
        </w:rPr>
        <w:t>''''''''''''''''' ''''' ''''' ''''''''''' ''''''''' ''''' ''''' '''''''''''</w:t>
      </w:r>
      <w:r w:rsidR="007776D3">
        <w:t xml:space="preserve"> </w:t>
      </w:r>
    </w:p>
    <w:p w:rsidR="007776D3" w:rsidRDefault="000B5B2E" w:rsidP="006C2F88">
      <w:r>
        <w:t>For the comparison of bupropion versus NRT</w:t>
      </w:r>
      <w:r w:rsidR="0093754A">
        <w:t xml:space="preserve"> (either as patch, lozenge or choice of NRT)</w:t>
      </w:r>
      <w:r>
        <w:t xml:space="preserve">, </w:t>
      </w:r>
      <w:r w:rsidR="00A763EC">
        <w:t>t</w:t>
      </w:r>
      <w:r w:rsidR="00B34E9A">
        <w:t xml:space="preserve">here were no statistically significant differences in </w:t>
      </w:r>
      <w:r w:rsidR="002C0D9B">
        <w:t xml:space="preserve">long-term </w:t>
      </w:r>
      <w:r w:rsidR="00B34E9A">
        <w:t xml:space="preserve">smoking cessation rates, adverse events, </w:t>
      </w:r>
      <w:r w:rsidR="00F35A6B">
        <w:t>serious adverse events</w:t>
      </w:r>
      <w:r w:rsidR="00352841">
        <w:t xml:space="preserve"> and</w:t>
      </w:r>
      <w:r w:rsidR="00F35A6B">
        <w:t xml:space="preserve"> discontinuation due to adverse events</w:t>
      </w:r>
      <w:r w:rsidR="00EE2CBC">
        <w:t xml:space="preserve"> between the two treatment arms</w:t>
      </w:r>
      <w:r w:rsidR="00A763EC">
        <w:t xml:space="preserve"> </w:t>
      </w:r>
      <w:r w:rsidR="00A763EC" w:rsidRPr="00A763EC">
        <w:t>(Howes et al. 2020, Benowitz et al. 2018)</w:t>
      </w:r>
      <w:r w:rsidR="00F35A6B">
        <w:t xml:space="preserve">. </w:t>
      </w:r>
      <w:r w:rsidR="000A3374">
        <w:t>This is consistent with the evidence previously considered by the PBAC</w:t>
      </w:r>
      <w:r w:rsidR="00FE7FC4">
        <w:t xml:space="preserve"> to support non-inferiority</w:t>
      </w:r>
      <w:r w:rsidR="000A3374">
        <w:t xml:space="preserve"> (</w:t>
      </w:r>
      <w:r w:rsidR="00860B07" w:rsidRPr="00860B07">
        <w:t>Jorenby et al. 1999, Gorecka et al. 2003, Uyar et al. 2007</w:t>
      </w:r>
      <w:r w:rsidR="002D536F">
        <w:t>,</w:t>
      </w:r>
      <w:r w:rsidR="00860B07" w:rsidRPr="00860B07">
        <w:t xml:space="preserve"> Piper et al. 2009</w:t>
      </w:r>
      <w:r w:rsidR="000A3374">
        <w:t>).</w:t>
      </w:r>
    </w:p>
    <w:p w:rsidR="0092484C" w:rsidRPr="00D27D4A" w:rsidRDefault="0092484C" w:rsidP="0092484C">
      <w:pPr>
        <w:rPr>
          <w:i/>
          <w:iCs/>
        </w:rPr>
      </w:pPr>
      <w:r w:rsidRPr="00D27D4A">
        <w:rPr>
          <w:i/>
          <w:iCs/>
        </w:rPr>
        <w:t>Treatment-</w:t>
      </w:r>
      <w:r>
        <w:rPr>
          <w:i/>
          <w:iCs/>
        </w:rPr>
        <w:t>experienced</w:t>
      </w:r>
      <w:r w:rsidRPr="00D27D4A">
        <w:rPr>
          <w:i/>
          <w:iCs/>
        </w:rPr>
        <w:t xml:space="preserve"> population </w:t>
      </w:r>
    </w:p>
    <w:p w:rsidR="00702DFF" w:rsidRDefault="003E01DA" w:rsidP="006C2F88">
      <w:r>
        <w:t xml:space="preserve">Bupropion has not been previously considered by the PBAC for relapse prevention in abstainers or retreatment in non-abstainers. Based on the evidence presented (Livingstone-Banks et al. 2019), </w:t>
      </w:r>
      <w:r w:rsidR="00CC4C25" w:rsidRPr="00CC4C25">
        <w:t xml:space="preserve">there were no statistically significant differences in </w:t>
      </w:r>
      <w:r w:rsidR="00D42A15">
        <w:t xml:space="preserve">long-term smoking cessation rates between </w:t>
      </w:r>
      <w:r>
        <w:t xml:space="preserve">bupropion </w:t>
      </w:r>
      <w:r w:rsidR="00D42A15">
        <w:t>and</w:t>
      </w:r>
      <w:r>
        <w:t xml:space="preserve"> placebo</w:t>
      </w:r>
      <w:r w:rsidDel="00D42A15">
        <w:t xml:space="preserve"> </w:t>
      </w:r>
      <w:r w:rsidR="00641104">
        <w:t>as a</w:t>
      </w:r>
      <w:r w:rsidR="0068629C" w:rsidRPr="0068629C">
        <w:t xml:space="preserve"> relapse prevention</w:t>
      </w:r>
      <w:r w:rsidR="00641104">
        <w:t xml:space="preserve"> treatment in abstainers</w:t>
      </w:r>
      <w:r w:rsidR="00C91D45">
        <w:t>, irrespective of treatment duration</w:t>
      </w:r>
      <w:r w:rsidR="0068629C">
        <w:t>.</w:t>
      </w:r>
      <w:r w:rsidR="00436A90" w:rsidRPr="00436A90">
        <w:t xml:space="preserve"> </w:t>
      </w:r>
      <w:r w:rsidR="00436A90">
        <w:t>The safety of</w:t>
      </w:r>
      <w:r w:rsidR="00436A90" w:rsidRPr="00436A90">
        <w:t xml:space="preserve"> bupropion</w:t>
      </w:r>
      <w:r w:rsidR="00436A90">
        <w:t xml:space="preserve"> versus</w:t>
      </w:r>
      <w:r w:rsidR="00436A90" w:rsidRPr="00436A90">
        <w:t xml:space="preserve"> placebo in abstainers for relapse prevention was not assessed by Livingstone-Banks et al. </w:t>
      </w:r>
      <w:r w:rsidR="00436A90" w:rsidRPr="00055555">
        <w:t>(2019)</w:t>
      </w:r>
      <w:r w:rsidR="0058458C" w:rsidRPr="005A14C0">
        <w:t xml:space="preserve"> and Croghan et al. (2007), however the adverse events reported were consistent with those expected of bupropion</w:t>
      </w:r>
      <w:r w:rsidR="00436A90" w:rsidRPr="00055555">
        <w:t>.</w:t>
      </w:r>
      <w:r w:rsidR="007175C4">
        <w:t xml:space="preserve"> </w:t>
      </w:r>
      <w:r w:rsidR="0000573E" w:rsidRPr="0000573E">
        <w:t>No evidence was identified comparing bupropion with placebo as relapse prevention treatment (9 weeks) in abstainers who completed a 9-week course of initial bupropion monotherapy treatment.</w:t>
      </w:r>
    </w:p>
    <w:p w:rsidR="0092484C" w:rsidRDefault="007175C4" w:rsidP="006C2F88">
      <w:r>
        <w:t xml:space="preserve">For use as retreatment in non-abstainers, </w:t>
      </w:r>
      <w:r w:rsidR="008A354F" w:rsidRPr="008A354F">
        <w:t>there were no statistically significant differences</w:t>
      </w:r>
      <w:r w:rsidR="00DE5426">
        <w:t xml:space="preserve"> (risk ratio)</w:t>
      </w:r>
      <w:r w:rsidR="008A354F" w:rsidRPr="008A354F">
        <w:t xml:space="preserve"> in </w:t>
      </w:r>
      <w:r w:rsidR="008A354F">
        <w:t xml:space="preserve">long-term smoking cessation rates between </w:t>
      </w:r>
      <w:r>
        <w:t xml:space="preserve">bupropion </w:t>
      </w:r>
      <w:r w:rsidR="008A354F">
        <w:t>and</w:t>
      </w:r>
      <w:r w:rsidR="00287F8C">
        <w:t xml:space="preserve"> placebo</w:t>
      </w:r>
      <w:r w:rsidR="00287F8C" w:rsidDel="00DE5426">
        <w:t xml:space="preserve"> </w:t>
      </w:r>
      <w:r w:rsidR="00816CC2">
        <w:t>based on</w:t>
      </w:r>
      <w:r w:rsidR="00136FBB">
        <w:t xml:space="preserve"> the</w:t>
      </w:r>
      <w:r w:rsidR="00816CC2">
        <w:t xml:space="preserve"> </w:t>
      </w:r>
      <w:r w:rsidR="00136FBB">
        <w:t xml:space="preserve">meta-analysis of </w:t>
      </w:r>
      <w:r w:rsidR="00136FBB" w:rsidRPr="004A7AD0">
        <w:t>Gonzales et al. (20</w:t>
      </w:r>
      <w:r w:rsidR="00136FBB">
        <w:t>01</w:t>
      </w:r>
      <w:r w:rsidR="00136FBB" w:rsidRPr="004A7AD0">
        <w:t>)</w:t>
      </w:r>
      <w:r w:rsidR="00136FBB">
        <w:t xml:space="preserve"> and Selby et al. (2003)</w:t>
      </w:r>
      <w:r w:rsidR="00B4696F">
        <w:t>, noting that the results were statistically significant</w:t>
      </w:r>
      <w:r w:rsidR="00B4696F" w:rsidDel="00DE5426">
        <w:t xml:space="preserve"> based on risk </w:t>
      </w:r>
      <w:r w:rsidR="00B4696F">
        <w:t>difference</w:t>
      </w:r>
      <w:r w:rsidR="00136FBB">
        <w:t>.</w:t>
      </w:r>
      <w:r w:rsidR="00CE7D8C">
        <w:t xml:space="preserve"> </w:t>
      </w:r>
      <w:r w:rsidR="00B72D99">
        <w:t>While</w:t>
      </w:r>
      <w:r w:rsidR="00CE7D8C">
        <w:t xml:space="preserve"> </w:t>
      </w:r>
      <w:r w:rsidR="00CE7D8C" w:rsidRPr="00CE7D8C">
        <w:t>a significantly higher proportion of patients in the bupropion arm experienced any adverse events compared to patients in the placebo arm</w:t>
      </w:r>
      <w:r w:rsidR="00B72D99">
        <w:t>,</w:t>
      </w:r>
      <w:r w:rsidR="00EE2CBC">
        <w:t xml:space="preserve"> </w:t>
      </w:r>
      <w:r w:rsidR="00B72D99">
        <w:t>t</w:t>
      </w:r>
      <w:r w:rsidR="00EE2CBC">
        <w:t xml:space="preserve">here were no statistically significant differences in serious adverse events and discontinuation due to adverse events. </w:t>
      </w:r>
    </w:p>
    <w:p w:rsidR="003727F6" w:rsidRPr="003727F6" w:rsidRDefault="003727F6" w:rsidP="006C2F88">
      <w:pPr>
        <w:rPr>
          <w:b/>
          <w:bCs/>
        </w:rPr>
      </w:pPr>
      <w:r w:rsidRPr="003727F6">
        <w:rPr>
          <w:b/>
          <w:bCs/>
        </w:rPr>
        <w:t>Varenicline</w:t>
      </w:r>
    </w:p>
    <w:p w:rsidR="003727F6" w:rsidRPr="00D27D4A" w:rsidRDefault="003727F6" w:rsidP="003727F6">
      <w:pPr>
        <w:rPr>
          <w:i/>
          <w:iCs/>
        </w:rPr>
      </w:pPr>
      <w:r w:rsidRPr="00D27D4A">
        <w:rPr>
          <w:i/>
          <w:iCs/>
        </w:rPr>
        <w:t xml:space="preserve">Treatment-naïve population </w:t>
      </w:r>
    </w:p>
    <w:p w:rsidR="006D4D66" w:rsidRDefault="003727F6" w:rsidP="003727F6">
      <w:r>
        <w:t>Based on the evidence presented (</w:t>
      </w:r>
      <w:r w:rsidR="0049450E" w:rsidRPr="0049450E">
        <w:t>Lerman et al. 2015, Littlewood et al. 2017, Benowitz et al. 2018, Hurt et al. 2018, Mercie et al. 2018, Windle et al. 2018, Ashare et al. 2019, Chen et al. 2020</w:t>
      </w:r>
      <w:r>
        <w:t xml:space="preserve">), </w:t>
      </w:r>
      <w:r w:rsidR="0049450E">
        <w:t>varenicline</w:t>
      </w:r>
      <w:r>
        <w:t xml:space="preserve"> was shown to provide a statistically significant improvement in long-term smoking cessation rates compared with placebo</w:t>
      </w:r>
      <w:r w:rsidR="006B69F3">
        <w:t>. In terms of safety</w:t>
      </w:r>
      <w:r>
        <w:t xml:space="preserve">, </w:t>
      </w:r>
      <w:r w:rsidR="006B69F3">
        <w:t>a</w:t>
      </w:r>
      <w:r>
        <w:t xml:space="preserve"> significantly higher incidence rate of </w:t>
      </w:r>
      <w:r w:rsidR="00E953A5" w:rsidRPr="00E953A5">
        <w:t xml:space="preserve">adverse events (nausea, insomnia, abnormal dreams, </w:t>
      </w:r>
      <w:r w:rsidR="00B05DCD" w:rsidRPr="00E953A5">
        <w:t>and headache</w:t>
      </w:r>
      <w:r w:rsidR="00E953A5" w:rsidRPr="00E953A5">
        <w:t>) and serious adverse events</w:t>
      </w:r>
      <w:r w:rsidR="00E953A5">
        <w:t xml:space="preserve"> </w:t>
      </w:r>
      <w:r w:rsidR="00EC6189">
        <w:t>w</w:t>
      </w:r>
      <w:r w:rsidR="005D07D2">
        <w:t>ere</w:t>
      </w:r>
      <w:r w:rsidR="00EC6189">
        <w:t xml:space="preserve"> observed</w:t>
      </w:r>
      <w:r w:rsidR="00E953A5">
        <w:t xml:space="preserve"> in the varenicline a</w:t>
      </w:r>
      <w:r>
        <w:t>rm</w:t>
      </w:r>
      <w:r w:rsidR="00EC6189">
        <w:t>, noting that the results for headache and serious adverse events were no longer statistically significant in the updated re-analysis</w:t>
      </w:r>
      <w:r>
        <w:t xml:space="preserve">. </w:t>
      </w:r>
      <w:r w:rsidR="00804A76">
        <w:t xml:space="preserve">There were no statistically significant differences between the two treatment arms for </w:t>
      </w:r>
      <w:r w:rsidR="005D776C">
        <w:t xml:space="preserve">depression, suicidal ideation, </w:t>
      </w:r>
      <w:r w:rsidR="00804A76">
        <w:t xml:space="preserve">neuropsychiatric </w:t>
      </w:r>
      <w:r w:rsidR="005D776C">
        <w:t>serious adverse events</w:t>
      </w:r>
      <w:r w:rsidR="00804A76">
        <w:t xml:space="preserve"> and cardiac serious adverse events.</w:t>
      </w:r>
      <w:r>
        <w:t xml:space="preserve"> This is consistent with the evidence previously considered by the PBAC (</w:t>
      </w:r>
      <w:r w:rsidR="00275681" w:rsidRPr="00275681">
        <w:t xml:space="preserve">Gonzales et al. 2006, Jorenby et al. 2006, Oncken et al. 2006, Nakamura et al. 2007, </w:t>
      </w:r>
      <w:r w:rsidR="00275681" w:rsidRPr="00275681">
        <w:lastRenderedPageBreak/>
        <w:t>Tsai et al. 2007, Wang et al. 2009, Bolliger et al. 2011, Rigotti et al. 2010, Tashkin et al. 2011, Rennard et al. 2012</w:t>
      </w:r>
      <w:r w:rsidR="002D536F">
        <w:t>,</w:t>
      </w:r>
      <w:r w:rsidR="00275681" w:rsidRPr="00275681">
        <w:t xml:space="preserve"> EAGLES 2016</w:t>
      </w:r>
      <w:r>
        <w:t>).</w:t>
      </w:r>
    </w:p>
    <w:p w:rsidR="003727F6" w:rsidRDefault="006D4D66" w:rsidP="003727F6">
      <w:r>
        <w:t xml:space="preserve">For the comparison of varenicline versus bupropion, </w:t>
      </w:r>
      <w:r w:rsidR="00304C4A">
        <w:t>t</w:t>
      </w:r>
      <w:r w:rsidR="005D07D2">
        <w:t xml:space="preserve">here was </w:t>
      </w:r>
      <w:r w:rsidR="005D07D2" w:rsidRPr="006843FB">
        <w:t xml:space="preserve">a statistically significant difference in </w:t>
      </w:r>
      <w:r w:rsidR="00BC4FFD">
        <w:t>long-term</w:t>
      </w:r>
      <w:r w:rsidR="006843FB" w:rsidRPr="006843FB">
        <w:t xml:space="preserve"> smoking cessation rates, in favour of varenicline</w:t>
      </w:r>
      <w:r w:rsidR="006843FB">
        <w:t>, while</w:t>
      </w:r>
      <w:r w:rsidR="006843FB" w:rsidRPr="006843FB">
        <w:t xml:space="preserve"> </w:t>
      </w:r>
      <w:r w:rsidR="006843FB">
        <w:t>t</w:t>
      </w:r>
      <w:r w:rsidR="00642823" w:rsidRPr="00642823">
        <w:t xml:space="preserve">here were no statistically significant differences </w:t>
      </w:r>
      <w:r w:rsidR="00642823">
        <w:t>in</w:t>
      </w:r>
      <w:r w:rsidR="00642823" w:rsidRPr="00642823">
        <w:t xml:space="preserve"> adverse events, psychiatric adverse events, serious adverse events and discontinuation due to adverse events</w:t>
      </w:r>
      <w:r w:rsidR="00186278">
        <w:t xml:space="preserve"> between the two treatment arms</w:t>
      </w:r>
      <w:r w:rsidR="00304C4A">
        <w:t xml:space="preserve"> </w:t>
      </w:r>
      <w:r w:rsidR="00E32CDE">
        <w:t>(Howes et al. 2020, Benowitz et al. 2018). This is consistent with the evidence previously considered by the PBAC (</w:t>
      </w:r>
      <w:r w:rsidR="00526F1D" w:rsidRPr="004C7519">
        <w:t>Gonzales et al. 2006, Jorenby et al. 2006</w:t>
      </w:r>
      <w:r w:rsidR="002D536F">
        <w:t>,</w:t>
      </w:r>
      <w:r w:rsidR="00526F1D" w:rsidRPr="004C7519">
        <w:t xml:space="preserve"> </w:t>
      </w:r>
      <w:r w:rsidR="00B05DCD">
        <w:t>and EAGLES</w:t>
      </w:r>
      <w:r w:rsidR="00526F1D" w:rsidRPr="004C7519">
        <w:t xml:space="preserve"> 2016</w:t>
      </w:r>
      <w:r w:rsidR="00E32CDE">
        <w:t>).</w:t>
      </w:r>
    </w:p>
    <w:p w:rsidR="00836893" w:rsidRPr="00D27D4A" w:rsidRDefault="00836893" w:rsidP="00836893">
      <w:pPr>
        <w:rPr>
          <w:i/>
          <w:iCs/>
        </w:rPr>
      </w:pPr>
      <w:r w:rsidRPr="00D27D4A">
        <w:rPr>
          <w:i/>
          <w:iCs/>
        </w:rPr>
        <w:t>Treatment-</w:t>
      </w:r>
      <w:r>
        <w:rPr>
          <w:i/>
          <w:iCs/>
        </w:rPr>
        <w:t>experienced</w:t>
      </w:r>
      <w:r w:rsidRPr="00D27D4A">
        <w:rPr>
          <w:i/>
          <w:iCs/>
        </w:rPr>
        <w:t xml:space="preserve"> population </w:t>
      </w:r>
    </w:p>
    <w:p w:rsidR="003727F6" w:rsidRDefault="005D7273" w:rsidP="006C2F88">
      <w:r>
        <w:t>Based on the evidence presented (Livingstone-Banks et al. 2019), varenicline was shown to provide a statistically significant improvement in long-term smoking cessation rates compared with placebo as a</w:t>
      </w:r>
      <w:r w:rsidRPr="0068629C">
        <w:t xml:space="preserve"> relapse prevention</w:t>
      </w:r>
      <w:r>
        <w:t xml:space="preserve"> treatment in abstainers.</w:t>
      </w:r>
      <w:r w:rsidR="00B8738A">
        <w:t xml:space="preserve"> This is </w:t>
      </w:r>
      <w:r w:rsidR="00034551">
        <w:t xml:space="preserve">largely based </w:t>
      </w:r>
      <w:r w:rsidR="0037396F">
        <w:t>on</w:t>
      </w:r>
      <w:r w:rsidR="00034551">
        <w:t xml:space="preserve"> and thus</w:t>
      </w:r>
      <w:r w:rsidR="00B8738A">
        <w:t xml:space="preserve"> is consistent with the evidence previously considered by the PBAC (</w:t>
      </w:r>
      <w:r w:rsidR="00286ABF">
        <w:t>Tonstad</w:t>
      </w:r>
      <w:r w:rsidR="00B8738A" w:rsidRPr="004C7519">
        <w:t xml:space="preserve"> et al. 2006</w:t>
      </w:r>
      <w:r w:rsidR="00B8738A">
        <w:t>).</w:t>
      </w:r>
      <w:r w:rsidR="00436A90">
        <w:t xml:space="preserve"> The safety of</w:t>
      </w:r>
      <w:r w:rsidR="00436A90" w:rsidRPr="00436A90">
        <w:t xml:space="preserve"> </w:t>
      </w:r>
      <w:r w:rsidR="00304C4A">
        <w:t>varenicline</w:t>
      </w:r>
      <w:r w:rsidR="00436A90">
        <w:t xml:space="preserve"> versus</w:t>
      </w:r>
      <w:r w:rsidR="00436A90" w:rsidRPr="00436A90">
        <w:t xml:space="preserve"> placebo in abstainers for relapse prevention was not assessed by Livingstone-Banks et al. </w:t>
      </w:r>
      <w:r w:rsidR="00436A90" w:rsidRPr="00055555">
        <w:t>(2019)</w:t>
      </w:r>
      <w:r w:rsidR="00B906BA" w:rsidRPr="00C454A4">
        <w:t>, however the adverse events reported were consistent with those expected of varenicline</w:t>
      </w:r>
      <w:r w:rsidR="00436A90" w:rsidRPr="00055555">
        <w:t>.</w:t>
      </w:r>
    </w:p>
    <w:p w:rsidR="00286ABF" w:rsidRDefault="00286ABF" w:rsidP="006C2F88">
      <w:pPr>
        <w:rPr>
          <w:i/>
        </w:rPr>
      </w:pPr>
      <w:r>
        <w:t>For use as retreatment in non-abstainers</w:t>
      </w:r>
      <w:r w:rsidR="008B5CA0">
        <w:t xml:space="preserve">, </w:t>
      </w:r>
      <w:r w:rsidR="00250E8A">
        <w:t>varenicline was shown to provide a statistically significant improvement in long-term smoking cessation rates compared with placebo</w:t>
      </w:r>
      <w:r w:rsidR="00692E48">
        <w:t xml:space="preserve"> (Cahill et al. 2016)</w:t>
      </w:r>
      <w:r w:rsidR="00250E8A">
        <w:t>.</w:t>
      </w:r>
      <w:r w:rsidR="00692E48">
        <w:t xml:space="preserve"> </w:t>
      </w:r>
      <w:r w:rsidR="00EB087B">
        <w:t>A</w:t>
      </w:r>
      <w:r w:rsidR="00EB087B" w:rsidRPr="00EB087B">
        <w:t xml:space="preserve"> significantly higher proportion of patients in the varenicline arm experienced nausea and abnormal dreams compared to patients in the placebo arm</w:t>
      </w:r>
      <w:r w:rsidR="00E35230">
        <w:t>, while t</w:t>
      </w:r>
      <w:r w:rsidR="00EB087B" w:rsidRPr="00EB087B">
        <w:t xml:space="preserve">here were no statistically significant differences </w:t>
      </w:r>
      <w:r w:rsidR="00256142">
        <w:t xml:space="preserve">between the two treatment arms </w:t>
      </w:r>
      <w:r w:rsidR="00EB087B" w:rsidRPr="00EB087B">
        <w:t>for insomnia, headache, depression, serious adverse events and cardiac serious adverse events, although a numerically higher incidence rate was observed in the varenicline arm except for cardiac serious adverse events</w:t>
      </w:r>
      <w:r w:rsidR="00E35230">
        <w:t xml:space="preserve">. </w:t>
      </w:r>
      <w:r w:rsidR="00692E48">
        <w:t>This is consistent with the evidence previously considered by the PBAC (Gonzales</w:t>
      </w:r>
      <w:r w:rsidR="00692E48" w:rsidRPr="004C7519">
        <w:t xml:space="preserve"> et al. 20</w:t>
      </w:r>
      <w:r w:rsidR="00692E48">
        <w:t>14</w:t>
      </w:r>
      <w:r w:rsidR="009D19F2">
        <w:t>; referred to as Trial A3051139</w:t>
      </w:r>
      <w:r w:rsidR="00242E43">
        <w:t xml:space="preserve"> in March 2014 PBAC meeting</w:t>
      </w:r>
      <w:r w:rsidR="00692E48">
        <w:t>).</w:t>
      </w:r>
      <w:r w:rsidR="00062E61" w:rsidRPr="00062E61">
        <w:t xml:space="preserve"> It was noted </w:t>
      </w:r>
      <w:r w:rsidR="007577DE">
        <w:t>that</w:t>
      </w:r>
      <w:r w:rsidR="00062E61" w:rsidRPr="00062E61">
        <w:t xml:space="preserve"> the one study (Gonzales et al. 2014) identified by Cahill et al. (2014) required patients to have had previously taken varenicline for two or more weeks, with the last dose taken ≥3 months before screening.</w:t>
      </w:r>
    </w:p>
    <w:p w:rsidR="000B7B40" w:rsidRPr="000B7B40" w:rsidRDefault="000B7B40" w:rsidP="000B7B40">
      <w:pPr>
        <w:rPr>
          <w:b/>
          <w:bCs/>
        </w:rPr>
      </w:pPr>
      <w:r w:rsidRPr="000B7B40">
        <w:rPr>
          <w:b/>
          <w:bCs/>
        </w:rPr>
        <w:t>N</w:t>
      </w:r>
      <w:r w:rsidR="00C73F66">
        <w:rPr>
          <w:b/>
          <w:bCs/>
        </w:rPr>
        <w:t xml:space="preserve">icotine </w:t>
      </w:r>
      <w:r w:rsidRPr="000B7B40">
        <w:rPr>
          <w:b/>
          <w:bCs/>
        </w:rPr>
        <w:t>R</w:t>
      </w:r>
      <w:r w:rsidR="00C73F66">
        <w:rPr>
          <w:b/>
          <w:bCs/>
        </w:rPr>
        <w:t xml:space="preserve">eplacement </w:t>
      </w:r>
      <w:r w:rsidRPr="000B7B40">
        <w:rPr>
          <w:b/>
          <w:bCs/>
        </w:rPr>
        <w:t>T</w:t>
      </w:r>
      <w:r w:rsidR="00C73F66">
        <w:rPr>
          <w:b/>
          <w:bCs/>
        </w:rPr>
        <w:t>herapy</w:t>
      </w:r>
    </w:p>
    <w:p w:rsidR="000B7B40" w:rsidRPr="00D27D4A" w:rsidRDefault="000B7B40" w:rsidP="000B7B40">
      <w:pPr>
        <w:rPr>
          <w:i/>
          <w:iCs/>
        </w:rPr>
      </w:pPr>
      <w:r>
        <w:rPr>
          <w:i/>
          <w:iCs/>
        </w:rPr>
        <w:t>Treatment-naïve population</w:t>
      </w:r>
    </w:p>
    <w:p w:rsidR="00C852C6" w:rsidRDefault="00C852C6" w:rsidP="00C852C6">
      <w:r>
        <w:t>Based on the evidence presented (H</w:t>
      </w:r>
      <w:r w:rsidR="00D83992">
        <w:t>artmann-Boyce</w:t>
      </w:r>
      <w:r>
        <w:t xml:space="preserve"> et al. 20</w:t>
      </w:r>
      <w:r w:rsidR="00D83992">
        <w:t>18</w:t>
      </w:r>
      <w:r>
        <w:t xml:space="preserve">), </w:t>
      </w:r>
      <w:r w:rsidR="00D83992">
        <w:t>NRT patch</w:t>
      </w:r>
      <w:r w:rsidR="007577DE">
        <w:t>es</w:t>
      </w:r>
      <w:r>
        <w:t xml:space="preserve"> w</w:t>
      </w:r>
      <w:r w:rsidR="007577DE">
        <w:t>ere</w:t>
      </w:r>
      <w:r>
        <w:t xml:space="preserve"> shown to provide a statistically significant improvement in long-term smoking cessation rates compared with placebo, noting th</w:t>
      </w:r>
      <w:r w:rsidR="00FA46E8">
        <w:t xml:space="preserve">at similar results were observed for NRT gum or </w:t>
      </w:r>
      <w:r w:rsidR="00573F59">
        <w:t>lozenges</w:t>
      </w:r>
      <w:r w:rsidR="00FA46E8">
        <w:t xml:space="preserve"> versus placebo. </w:t>
      </w:r>
      <w:r w:rsidR="00D420E0">
        <w:t>There were</w:t>
      </w:r>
      <w:r>
        <w:t xml:space="preserve"> significantly higher incidence of </w:t>
      </w:r>
      <w:r w:rsidR="000F6000" w:rsidRPr="000F6000">
        <w:t>palpitations, tachycardia or chest pains</w:t>
      </w:r>
      <w:r>
        <w:t xml:space="preserve"> </w:t>
      </w:r>
      <w:r w:rsidR="002C2E68">
        <w:t>with</w:t>
      </w:r>
      <w:r>
        <w:t xml:space="preserve"> </w:t>
      </w:r>
      <w:r w:rsidR="000F6000">
        <w:t>NRT</w:t>
      </w:r>
      <w:r>
        <w:t xml:space="preserve"> </w:t>
      </w:r>
      <w:r w:rsidR="002C2E68">
        <w:t>(</w:t>
      </w:r>
      <w:r w:rsidR="00711A4F">
        <w:t>various formulation</w:t>
      </w:r>
      <w:r w:rsidR="002C2E68">
        <w:t>)</w:t>
      </w:r>
      <w:r w:rsidR="00D420E0">
        <w:t xml:space="preserve"> compared with placebo</w:t>
      </w:r>
      <w:r>
        <w:t>. This is consistent with the evidence previously considered by the PBAC (</w:t>
      </w:r>
      <w:r w:rsidR="008846EB">
        <w:rPr>
          <w:noProof/>
          <w:color w:val="000000"/>
          <w:highlight w:val="black"/>
        </w:rPr>
        <w:t>''''''''''' ''''''''''''</w:t>
      </w:r>
      <w:r>
        <w:t xml:space="preserve"> </w:t>
      </w:r>
      <w:r w:rsidR="00404408" w:rsidRPr="00404408">
        <w:t>Stead et al. 2008</w:t>
      </w:r>
      <w:r w:rsidR="00404408">
        <w:t>,</w:t>
      </w:r>
      <w:r w:rsidR="00404408" w:rsidRPr="00404408">
        <w:t xml:space="preserve"> </w:t>
      </w:r>
      <w:r w:rsidR="008846EB">
        <w:rPr>
          <w:noProof/>
          <w:color w:val="000000"/>
          <w:highlight w:val="black"/>
        </w:rPr>
        <w:t>''''''''''' '''' ''''' ''''''''''</w:t>
      </w:r>
      <w:r>
        <w:t xml:space="preserve">). </w:t>
      </w:r>
    </w:p>
    <w:p w:rsidR="00663000" w:rsidRDefault="00663000" w:rsidP="00663000">
      <w:r>
        <w:t xml:space="preserve">For the comparison of NRT </w:t>
      </w:r>
      <w:r w:rsidR="00573F59">
        <w:t>patches</w:t>
      </w:r>
      <w:r>
        <w:t xml:space="preserve"> versus varenicline, </w:t>
      </w:r>
      <w:r w:rsidR="00481910">
        <w:t>NRT</w:t>
      </w:r>
      <w:r w:rsidR="000857B5">
        <w:t xml:space="preserve"> </w:t>
      </w:r>
      <w:r w:rsidR="00573F59">
        <w:t>patches</w:t>
      </w:r>
      <w:r>
        <w:t xml:space="preserve"> was shown to be </w:t>
      </w:r>
      <w:r w:rsidR="000857B5">
        <w:t>inferior to varenicline</w:t>
      </w:r>
      <w:r>
        <w:t xml:space="preserve"> in terms of efficacy </w:t>
      </w:r>
      <w:r w:rsidR="003A4345">
        <w:t xml:space="preserve">based on </w:t>
      </w:r>
      <w:r w:rsidR="006B6036" w:rsidRPr="006B6036">
        <w:t xml:space="preserve">a statistically significant difference in point prevalence abstinence at 24 weeks, in favour of varenicline </w:t>
      </w:r>
      <w:r>
        <w:t>(</w:t>
      </w:r>
      <w:r w:rsidR="00632646" w:rsidRPr="00632646">
        <w:t>Cahill et al. 2016, Lerman</w:t>
      </w:r>
      <w:r w:rsidR="00632646">
        <w:t xml:space="preserve"> et al.</w:t>
      </w:r>
      <w:r w:rsidR="00632646" w:rsidRPr="00632646">
        <w:t xml:space="preserve"> 2015, Tulloch</w:t>
      </w:r>
      <w:r w:rsidR="00632646">
        <w:t xml:space="preserve"> et al.</w:t>
      </w:r>
      <w:r w:rsidR="00632646" w:rsidRPr="00632646">
        <w:t xml:space="preserve"> 2016, Rohsenow </w:t>
      </w:r>
      <w:r w:rsidR="00632646">
        <w:t xml:space="preserve">et al. </w:t>
      </w:r>
      <w:r w:rsidR="00632646" w:rsidRPr="00632646">
        <w:t>2017</w:t>
      </w:r>
      <w:r>
        <w:t xml:space="preserve">, Benowitz et al. 2018). </w:t>
      </w:r>
      <w:r w:rsidR="003A4345">
        <w:t>In terms of safety,</w:t>
      </w:r>
      <w:r w:rsidR="00C3176E" w:rsidDel="003A4345">
        <w:t xml:space="preserve"> </w:t>
      </w:r>
      <w:r w:rsidR="00C3176E">
        <w:t>there</w:t>
      </w:r>
      <w:r w:rsidR="00C3176E" w:rsidRPr="00C3176E">
        <w:t xml:space="preserve"> </w:t>
      </w:r>
      <w:r w:rsidR="00C3176E" w:rsidRPr="00642823">
        <w:t xml:space="preserve">were no statistically significant differences </w:t>
      </w:r>
      <w:r w:rsidR="00C3176E">
        <w:t>in</w:t>
      </w:r>
      <w:r w:rsidR="00C3176E" w:rsidRPr="00642823">
        <w:t xml:space="preserve"> </w:t>
      </w:r>
      <w:r w:rsidR="00C3176E">
        <w:t xml:space="preserve">side effects (including </w:t>
      </w:r>
      <w:r w:rsidR="00C3176E">
        <w:lastRenderedPageBreak/>
        <w:t xml:space="preserve">neuropsychiatric and cardiovascular safety profile) between the two treatment arms. </w:t>
      </w:r>
      <w:r>
        <w:t>This is consistent with the evidence previously considered by the PBAC (</w:t>
      </w:r>
      <w:r w:rsidR="008B73A0" w:rsidRPr="008B73A0">
        <w:t>Aubin</w:t>
      </w:r>
      <w:r w:rsidRPr="004C7519">
        <w:t xml:space="preserve"> et al. </w:t>
      </w:r>
      <w:r w:rsidR="008B73A0" w:rsidRPr="008B73A0">
        <w:t>2008</w:t>
      </w:r>
      <w:r>
        <w:t>,</w:t>
      </w:r>
      <w:r w:rsidRPr="004C7519">
        <w:t xml:space="preserve"> </w:t>
      </w:r>
      <w:r>
        <w:t>EAGLES</w:t>
      </w:r>
      <w:r w:rsidRPr="004C7519">
        <w:t xml:space="preserve"> 2016</w:t>
      </w:r>
      <w:r>
        <w:t>).</w:t>
      </w:r>
    </w:p>
    <w:p w:rsidR="00884DBF" w:rsidRDefault="001D4E53" w:rsidP="00884DBF">
      <w:r>
        <w:t>T</w:t>
      </w:r>
      <w:r w:rsidR="00D818A6" w:rsidRPr="00D818A6">
        <w:t xml:space="preserve">here were no statistically significant differences in </w:t>
      </w:r>
      <w:r w:rsidR="00486D27">
        <w:t xml:space="preserve">long-term </w:t>
      </w:r>
      <w:r w:rsidR="00D818A6">
        <w:t xml:space="preserve">smoking cessation rates, </w:t>
      </w:r>
      <w:r w:rsidR="00D818A6" w:rsidRPr="00D818A6">
        <w:t>serious adverse events and withdrawals due to treatment</w:t>
      </w:r>
      <w:r w:rsidR="00D818A6">
        <w:t xml:space="preserve"> between </w:t>
      </w:r>
      <w:r w:rsidR="00C73F66" w:rsidRPr="00C73F66">
        <w:t>NRT lozenges or gum (as a monotherapy) versus NRT patches</w:t>
      </w:r>
      <w:r w:rsidR="003A79E5">
        <w:t xml:space="preserve"> </w:t>
      </w:r>
      <w:r w:rsidR="003A79E5" w:rsidRPr="003A79E5">
        <w:t>(Lindson et al. 2019)</w:t>
      </w:r>
      <w:r w:rsidR="00D818A6">
        <w:t>.</w:t>
      </w:r>
      <w:r w:rsidR="00D818A6" w:rsidRPr="00D818A6">
        <w:t xml:space="preserve"> </w:t>
      </w:r>
      <w:r w:rsidR="00884DBF">
        <w:t>This is consistent with the evidence previously considered by the PBAC</w:t>
      </w:r>
      <w:r w:rsidR="003E2EE1">
        <w:t xml:space="preserve"> to support non-inferiority</w:t>
      </w:r>
      <w:r w:rsidR="00884DBF">
        <w:t xml:space="preserve"> (</w:t>
      </w:r>
      <w:r w:rsidR="00C03A45" w:rsidRPr="00C03A45">
        <w:t>Piper et al. 2009, Smith et al. 2009</w:t>
      </w:r>
      <w:r w:rsidR="00C03A45">
        <w:t>,</w:t>
      </w:r>
      <w:r w:rsidR="00C03A45" w:rsidRPr="00C03A45">
        <w:t xml:space="preserve"> Schnoll et al. 2010</w:t>
      </w:r>
      <w:r w:rsidR="00C03A45">
        <w:t xml:space="preserve">, </w:t>
      </w:r>
      <w:r w:rsidR="00B05DCD">
        <w:t>and Moolchan</w:t>
      </w:r>
      <w:r w:rsidR="00C03A45">
        <w:t xml:space="preserve"> et al. 20</w:t>
      </w:r>
      <w:r w:rsidR="0018344E">
        <w:t>0</w:t>
      </w:r>
      <w:r w:rsidR="00C03A45">
        <w:t>5</w:t>
      </w:r>
      <w:r w:rsidR="00884DBF">
        <w:t>).</w:t>
      </w:r>
    </w:p>
    <w:p w:rsidR="00C03A45" w:rsidRPr="00D53AD2" w:rsidRDefault="00C03A45" w:rsidP="00884DBF">
      <w:pPr>
        <w:rPr>
          <w:i/>
        </w:rPr>
      </w:pPr>
      <w:r w:rsidRPr="00D53AD2">
        <w:rPr>
          <w:i/>
        </w:rPr>
        <w:t>Treatment-experienced population</w:t>
      </w:r>
    </w:p>
    <w:p w:rsidR="00F9502D" w:rsidRDefault="00F9502D" w:rsidP="00F9502D">
      <w:r w:rsidRPr="00F9502D">
        <w:t>NRT has not been previously considered by the PBAC for relapse prevention in abstainers or retreatment in non-abstainers</w:t>
      </w:r>
      <w:r>
        <w:t>.</w:t>
      </w:r>
      <w:r w:rsidRPr="00F9502D">
        <w:t xml:space="preserve"> </w:t>
      </w:r>
      <w:r>
        <w:t xml:space="preserve">Based on the evidence presented (Livingstone-Banks et al. 2019), </w:t>
      </w:r>
      <w:r w:rsidR="00DA6678" w:rsidRPr="00DA6678">
        <w:t xml:space="preserve">there were no statistically significant differences in </w:t>
      </w:r>
      <w:r w:rsidR="00DA6678">
        <w:t xml:space="preserve">long-term smoking cessation rates between </w:t>
      </w:r>
      <w:r w:rsidR="00A03FAF">
        <w:t xml:space="preserve">NRT </w:t>
      </w:r>
      <w:r w:rsidR="00AC611B">
        <w:t>(</w:t>
      </w:r>
      <w:r w:rsidR="00DA6678">
        <w:t xml:space="preserve">either as </w:t>
      </w:r>
      <w:r w:rsidR="00AC611B">
        <w:t>gum</w:t>
      </w:r>
      <w:r w:rsidR="00DA6678">
        <w:t xml:space="preserve"> or</w:t>
      </w:r>
      <w:r w:rsidR="00AC611B">
        <w:t xml:space="preserve"> inhaler)</w:t>
      </w:r>
      <w:r>
        <w:t xml:space="preserve"> </w:t>
      </w:r>
      <w:r w:rsidR="00700977">
        <w:t>and</w:t>
      </w:r>
      <w:r>
        <w:t xml:space="preserve"> placebo as a</w:t>
      </w:r>
      <w:r w:rsidRPr="0068629C">
        <w:t xml:space="preserve"> relapse prevention</w:t>
      </w:r>
      <w:r>
        <w:t xml:space="preserve"> treatment in abstainers. </w:t>
      </w:r>
      <w:r w:rsidR="00436A90">
        <w:t>The safety of</w:t>
      </w:r>
      <w:r w:rsidR="00436A90" w:rsidRPr="00436A90">
        <w:t xml:space="preserve"> </w:t>
      </w:r>
      <w:r w:rsidR="00304C4A">
        <w:t xml:space="preserve">NRT </w:t>
      </w:r>
      <w:r w:rsidR="00AC611B">
        <w:t>(</w:t>
      </w:r>
      <w:r w:rsidR="00700977">
        <w:t xml:space="preserve">either as </w:t>
      </w:r>
      <w:r w:rsidR="00AC611B">
        <w:t>gum</w:t>
      </w:r>
      <w:r w:rsidR="00700977">
        <w:t xml:space="preserve"> or</w:t>
      </w:r>
      <w:r w:rsidR="00AC611B">
        <w:t xml:space="preserve"> inhaler)</w:t>
      </w:r>
      <w:r w:rsidR="00436A90">
        <w:t xml:space="preserve"> versus</w:t>
      </w:r>
      <w:r w:rsidR="00436A90" w:rsidRPr="00436A90">
        <w:t xml:space="preserve"> placebo in abstainers for relapse prevention was not assessed by Livingstone-Banks et al. (2019)</w:t>
      </w:r>
      <w:r w:rsidR="001634E5">
        <w:t xml:space="preserve"> and Croghan et al. 2007, however </w:t>
      </w:r>
      <w:r w:rsidR="001634E5" w:rsidRPr="00C454A4">
        <w:t>the adverse events reported were consistent with those expected of NRT</w:t>
      </w:r>
      <w:r w:rsidR="00436A90" w:rsidRPr="00055555">
        <w:t>.</w:t>
      </w:r>
      <w:r w:rsidR="000978B7" w:rsidRPr="000978B7">
        <w:t xml:space="preserve"> No</w:t>
      </w:r>
      <w:r w:rsidR="000978B7">
        <w:t xml:space="preserve"> evidence was identified</w:t>
      </w:r>
      <w:r w:rsidR="000978B7" w:rsidRPr="000978B7">
        <w:t xml:space="preserve"> compar</w:t>
      </w:r>
      <w:r w:rsidR="000978B7">
        <w:t>ing</w:t>
      </w:r>
      <w:r w:rsidR="000978B7" w:rsidRPr="000978B7">
        <w:t xml:space="preserve"> NRT monotherapy (either as patch, gum or lozenge) with placebo in patients who achieved abstinence after initial treatment with NRT monotherapy using the same formulation.</w:t>
      </w:r>
    </w:p>
    <w:p w:rsidR="006C2F88" w:rsidRDefault="00F9502D" w:rsidP="006C2F88">
      <w:r>
        <w:t xml:space="preserve">For use as retreatment in non-abstainers, </w:t>
      </w:r>
      <w:r w:rsidR="00700977" w:rsidRPr="00700977">
        <w:t xml:space="preserve">there were no statistically significant differences in </w:t>
      </w:r>
      <w:r w:rsidR="00700977">
        <w:t>long-term smoking cessation rates</w:t>
      </w:r>
      <w:r w:rsidR="000124D4">
        <w:t xml:space="preserve"> </w:t>
      </w:r>
      <w:r w:rsidR="00574E4E">
        <w:t>(</w:t>
      </w:r>
      <w:r w:rsidR="000124D4">
        <w:t>continuous abstinence rate</w:t>
      </w:r>
      <w:r w:rsidR="00574E4E">
        <w:t>)</w:t>
      </w:r>
      <w:r w:rsidR="00700977">
        <w:t xml:space="preserve"> between </w:t>
      </w:r>
      <w:r w:rsidR="00D236D0">
        <w:t xml:space="preserve">NRT </w:t>
      </w:r>
      <w:r w:rsidR="00573F59">
        <w:t>patches</w:t>
      </w:r>
      <w:r>
        <w:t xml:space="preserve"> </w:t>
      </w:r>
      <w:r w:rsidR="00700977">
        <w:t>and</w:t>
      </w:r>
      <w:r>
        <w:t xml:space="preserve"> placebo based on </w:t>
      </w:r>
      <w:r w:rsidR="000E49B9">
        <w:t>one RCT (Gourlay</w:t>
      </w:r>
      <w:r w:rsidRPr="004A7AD0">
        <w:t xml:space="preserve"> et al. </w:t>
      </w:r>
      <w:r w:rsidR="000E49B9">
        <w:t>1995) identified by Hartmann-Boyce et al. (2018)</w:t>
      </w:r>
      <w:r>
        <w:t>.</w:t>
      </w:r>
      <w:r w:rsidR="00280431">
        <w:t xml:space="preserve"> </w:t>
      </w:r>
      <w:r w:rsidR="003A7817" w:rsidRPr="003A7817">
        <w:t>However, there was a statistically significant improvement in smoking cessation rates using NRT patches based on 28-day point prevalence abstinence (RR: 2.49; 95% CI: 1.11, 5.57). It was noted that the quit rates were low in both groups with either definition of abstinence.</w:t>
      </w:r>
      <w:r w:rsidR="000124D4">
        <w:t xml:space="preserve"> </w:t>
      </w:r>
      <w:r w:rsidR="00280431">
        <w:t xml:space="preserve">For safety, </w:t>
      </w:r>
      <w:r w:rsidR="00280431" w:rsidRPr="00280431">
        <w:t>there were no statistically significant differences between the two treatment arms for palpitations, tachycardia or chest pains</w:t>
      </w:r>
      <w:r w:rsidR="00280431">
        <w:t>.</w:t>
      </w:r>
    </w:p>
    <w:p w:rsidR="00002FC2" w:rsidRPr="006C2F88" w:rsidRDefault="00002FC2" w:rsidP="006C2F88"/>
    <w:p w:rsidR="00D22260" w:rsidRDefault="00D22260" w:rsidP="00D56406">
      <w:pPr>
        <w:pStyle w:val="TableFooter"/>
        <w:keepNext/>
      </w:pPr>
    </w:p>
    <w:p w:rsidR="002B57EA" w:rsidRDefault="002B57EA" w:rsidP="002B57EA">
      <w:pPr>
        <w:sectPr w:rsidR="002B57EA" w:rsidSect="006356D2">
          <w:pgSz w:w="11906" w:h="16838"/>
          <w:pgMar w:top="1440" w:right="1440" w:bottom="1440" w:left="1440" w:header="708" w:footer="708" w:gutter="0"/>
          <w:cols w:space="708"/>
          <w:titlePg/>
          <w:docGrid w:linePitch="360"/>
        </w:sectPr>
      </w:pPr>
    </w:p>
    <w:p w:rsidR="009252AD" w:rsidRPr="009252AD" w:rsidRDefault="008E0F8C" w:rsidP="009252AD">
      <w:pPr>
        <w:pStyle w:val="Heading3"/>
      </w:pPr>
      <w:bookmarkStart w:id="131" w:name="_Ref61966664"/>
      <w:bookmarkStart w:id="132" w:name="_Ref61966744"/>
      <w:bookmarkStart w:id="133" w:name="_Ref62112579"/>
      <w:bookmarkStart w:id="134" w:name="_Toc72850859"/>
      <w:bookmarkStart w:id="135" w:name="_Toc73525624"/>
      <w:r>
        <w:lastRenderedPageBreak/>
        <w:t>Combination therap</w:t>
      </w:r>
      <w:r w:rsidR="003045D2">
        <w:t>y</w:t>
      </w:r>
      <w:r>
        <w:t xml:space="preserve"> in </w:t>
      </w:r>
      <w:r w:rsidR="0023207B">
        <w:t xml:space="preserve">the </w:t>
      </w:r>
      <w:r>
        <w:t>general population</w:t>
      </w:r>
      <w:bookmarkEnd w:id="131"/>
      <w:bookmarkEnd w:id="132"/>
      <w:bookmarkEnd w:id="133"/>
      <w:bookmarkEnd w:id="134"/>
      <w:bookmarkEnd w:id="135"/>
    </w:p>
    <w:p w:rsidR="002C1C20" w:rsidRDefault="002C1C20" w:rsidP="005457DC">
      <w:r>
        <w:t>The aim of this section was to s</w:t>
      </w:r>
      <w:r w:rsidRPr="002C1C20">
        <w:t>ummarise the comparative efficacy and safety of PBS-listed treatments when used as combination therapy</w:t>
      </w:r>
      <w:r>
        <w:t>.</w:t>
      </w:r>
    </w:p>
    <w:p w:rsidR="008F0D17" w:rsidRDefault="005457DC" w:rsidP="005457DC">
      <w:r>
        <w:t xml:space="preserve">A summary of the new evidence identified </w:t>
      </w:r>
      <w:r w:rsidR="000A4AA8">
        <w:t>assessing the use of</w:t>
      </w:r>
      <w:r>
        <w:t xml:space="preserve"> </w:t>
      </w:r>
      <w:r w:rsidR="00AD6683">
        <w:t>combination therap</w:t>
      </w:r>
      <w:r w:rsidR="00C6766A">
        <w:t>ies</w:t>
      </w:r>
      <w:r w:rsidR="000F223E">
        <w:t xml:space="preserve"> </w:t>
      </w:r>
      <w:r w:rsidR="004E1031">
        <w:t>for</w:t>
      </w:r>
      <w:r>
        <w:t xml:space="preserve"> smoking cessation is presented in </w:t>
      </w:r>
      <w:r w:rsidR="003C4A1C">
        <w:t xml:space="preserve">Table </w:t>
      </w:r>
      <w:r w:rsidR="003C4A1C">
        <w:rPr>
          <w:noProof/>
        </w:rPr>
        <w:t>53</w:t>
      </w:r>
      <w:r>
        <w:t xml:space="preserve">. </w:t>
      </w:r>
      <w:r w:rsidR="008F0D17" w:rsidRPr="008F0D17">
        <w:t>The evidence is presented according to the population type (treatment-naïve or treatment-experienced)</w:t>
      </w:r>
      <w:r w:rsidR="008F0D17">
        <w:t>.</w:t>
      </w:r>
      <w:r w:rsidR="008F0D17" w:rsidRPr="008F0D17">
        <w:t xml:space="preserve"> </w:t>
      </w:r>
    </w:p>
    <w:p w:rsidR="00CD36A3" w:rsidRDefault="008F0D17" w:rsidP="005457DC">
      <w:r w:rsidRPr="008F0D17">
        <w:t xml:space="preserve">Combination therapies for smoking cessation have not been previously considered by the PBAC. </w:t>
      </w:r>
      <w:r w:rsidR="008E2F8C">
        <w:t>In March 2018, the PBAC noted</w:t>
      </w:r>
      <w:r>
        <w:t xml:space="preserve"> that</w:t>
      </w:r>
      <w:r w:rsidR="005A41C9">
        <w:t xml:space="preserve"> the latest clinical guidelines </w:t>
      </w:r>
      <w:r w:rsidR="00CF2559">
        <w:t>encourage</w:t>
      </w:r>
      <w:r w:rsidR="00ED39E2">
        <w:t>d</w:t>
      </w:r>
      <w:r w:rsidR="00CD61C1">
        <w:t xml:space="preserve"> health professionals to</w:t>
      </w:r>
      <w:r w:rsidR="00B76A2D">
        <w:t xml:space="preserve"> consider recommending the use of combination NRT</w:t>
      </w:r>
      <w:r w:rsidR="00F90497">
        <w:t xml:space="preserve"> (e.g. NRT patch with NRT gum</w:t>
      </w:r>
      <w:r w:rsidR="002F651E">
        <w:t xml:space="preserve"> or </w:t>
      </w:r>
      <w:r w:rsidR="00573F59">
        <w:t>lozenges</w:t>
      </w:r>
      <w:r w:rsidR="00F90497">
        <w:t>)</w:t>
      </w:r>
      <w:r w:rsidR="0064608A">
        <w:t xml:space="preserve"> (</w:t>
      </w:r>
      <w:r w:rsidR="0064608A" w:rsidRPr="00136998">
        <w:t xml:space="preserve">NRT PSD, </w:t>
      </w:r>
      <w:r w:rsidR="00962255" w:rsidRPr="00136998">
        <w:t xml:space="preserve">March </w:t>
      </w:r>
      <w:r w:rsidR="0064608A" w:rsidRPr="00136998">
        <w:t>2018</w:t>
      </w:r>
      <w:r w:rsidR="00962255" w:rsidRPr="00136998">
        <w:t xml:space="preserve"> PBAC meeting</w:t>
      </w:r>
      <w:r w:rsidR="0064608A">
        <w:t>)</w:t>
      </w:r>
      <w:r w:rsidR="002F651E">
        <w:t xml:space="preserve">. </w:t>
      </w:r>
      <w:r w:rsidR="00727C7E">
        <w:t>As such, t</w:t>
      </w:r>
      <w:r w:rsidR="007E611F">
        <w:t xml:space="preserve">he comparison of </w:t>
      </w:r>
      <w:r w:rsidR="008E48E7">
        <w:t xml:space="preserve">combination </w:t>
      </w:r>
      <w:r w:rsidR="007E611F">
        <w:t xml:space="preserve">NRT </w:t>
      </w:r>
      <w:r w:rsidR="00CD36A3">
        <w:t xml:space="preserve">is presented first, followed by </w:t>
      </w:r>
      <w:r w:rsidR="00317AB1">
        <w:t xml:space="preserve">different </w:t>
      </w:r>
      <w:r w:rsidR="008E48E7">
        <w:t>combination</w:t>
      </w:r>
      <w:r w:rsidR="00317AB1">
        <w:t>s</w:t>
      </w:r>
      <w:r w:rsidR="008E48E7">
        <w:t xml:space="preserve"> </w:t>
      </w:r>
      <w:r w:rsidR="00317AB1">
        <w:t>including</w:t>
      </w:r>
      <w:r w:rsidR="008E48E7">
        <w:t xml:space="preserve"> v</w:t>
      </w:r>
      <w:r w:rsidR="00CD36A3">
        <w:t xml:space="preserve">arenicline and </w:t>
      </w:r>
      <w:r w:rsidR="00317AB1">
        <w:t xml:space="preserve">different </w:t>
      </w:r>
      <w:r w:rsidR="008E48E7">
        <w:t>combination</w:t>
      </w:r>
      <w:r w:rsidR="00317AB1">
        <w:t xml:space="preserve">s </w:t>
      </w:r>
      <w:r w:rsidR="00B05DCD">
        <w:t>including</w:t>
      </w:r>
      <w:r w:rsidR="008E48E7">
        <w:t xml:space="preserve"> </w:t>
      </w:r>
      <w:r w:rsidR="00CD36A3">
        <w:t xml:space="preserve">bupropion. </w:t>
      </w:r>
    </w:p>
    <w:p w:rsidR="0064608A" w:rsidRDefault="0064608A" w:rsidP="0064608A">
      <w:pPr>
        <w:pStyle w:val="Caption"/>
        <w:keepNext/>
      </w:pPr>
      <w:bookmarkStart w:id="136" w:name="_Ref58491140"/>
      <w:r>
        <w:t xml:space="preserve">Table </w:t>
      </w:r>
      <w:r w:rsidR="003C4A1C">
        <w:rPr>
          <w:noProof/>
        </w:rPr>
        <w:t>53</w:t>
      </w:r>
      <w:bookmarkEnd w:id="136"/>
      <w:r>
        <w:t xml:space="preserve">: </w:t>
      </w:r>
      <w:r w:rsidRPr="00BB5494">
        <w:t xml:space="preserve">New evidence identified comparing </w:t>
      </w:r>
      <w:r w:rsidR="00DA051E">
        <w:t xml:space="preserve">combination </w:t>
      </w:r>
      <w:r w:rsidRPr="00BB5494">
        <w:t>therapy intervention in smoking cessation</w:t>
      </w:r>
    </w:p>
    <w:tbl>
      <w:tblPr>
        <w:tblStyle w:val="TableGrid"/>
        <w:tblW w:w="5000" w:type="pct"/>
        <w:tblLook w:val="04A0" w:firstRow="1" w:lastRow="0" w:firstColumn="1" w:lastColumn="0" w:noHBand="0" w:noVBand="1"/>
      </w:tblPr>
      <w:tblGrid>
        <w:gridCol w:w="1288"/>
        <w:gridCol w:w="3163"/>
        <w:gridCol w:w="2283"/>
        <w:gridCol w:w="2282"/>
      </w:tblGrid>
      <w:tr w:rsidR="00EF18B9" w:rsidTr="006E4F2B">
        <w:trPr>
          <w:trHeight w:val="241"/>
        </w:trPr>
        <w:tc>
          <w:tcPr>
            <w:tcW w:w="697" w:type="pct"/>
            <w:tcBorders>
              <w:tl2br w:val="nil"/>
            </w:tcBorders>
            <w:shd w:val="clear" w:color="auto" w:fill="BFBFBF" w:themeFill="background1" w:themeFillShade="BF"/>
          </w:tcPr>
          <w:p w:rsidR="00EF18B9" w:rsidRDefault="00EF18B9" w:rsidP="00255AF9">
            <w:pPr>
              <w:pStyle w:val="Tableheading"/>
              <w:keepNext/>
            </w:pPr>
            <w:r>
              <w:t>Intervention</w:t>
            </w:r>
          </w:p>
        </w:tc>
        <w:tc>
          <w:tcPr>
            <w:tcW w:w="1760" w:type="pct"/>
            <w:shd w:val="clear" w:color="auto" w:fill="BFBFBF" w:themeFill="background1" w:themeFillShade="BF"/>
          </w:tcPr>
          <w:p w:rsidR="00EF18B9" w:rsidRDefault="00EF18B9" w:rsidP="00255AF9">
            <w:pPr>
              <w:pStyle w:val="Tableheading"/>
              <w:keepNext/>
              <w:jc w:val="center"/>
            </w:pPr>
            <w:r>
              <w:t>Intervention and comparator</w:t>
            </w:r>
          </w:p>
        </w:tc>
        <w:tc>
          <w:tcPr>
            <w:tcW w:w="1272" w:type="pct"/>
            <w:shd w:val="clear" w:color="auto" w:fill="BFBFBF" w:themeFill="background1" w:themeFillShade="BF"/>
          </w:tcPr>
          <w:p w:rsidR="00EF18B9" w:rsidRDefault="00EF18B9" w:rsidP="00255AF9">
            <w:pPr>
              <w:pStyle w:val="Tableheading"/>
              <w:keepNext/>
              <w:jc w:val="center"/>
            </w:pPr>
            <w:r>
              <w:t>New evidence identified</w:t>
            </w:r>
          </w:p>
          <w:p w:rsidR="00EF18B9" w:rsidRDefault="00EF18B9" w:rsidP="00255AF9">
            <w:pPr>
              <w:pStyle w:val="Tableheading"/>
              <w:keepNext/>
              <w:jc w:val="center"/>
            </w:pPr>
            <w:r>
              <w:t>(Cochrane Review)</w:t>
            </w:r>
          </w:p>
        </w:tc>
        <w:tc>
          <w:tcPr>
            <w:tcW w:w="1271" w:type="pct"/>
            <w:shd w:val="clear" w:color="auto" w:fill="BFBFBF" w:themeFill="background1" w:themeFillShade="BF"/>
          </w:tcPr>
          <w:p w:rsidR="00EF18B9" w:rsidRDefault="008D6C59" w:rsidP="00255AF9">
            <w:pPr>
              <w:pStyle w:val="Tableheading"/>
              <w:keepNext/>
              <w:jc w:val="center"/>
            </w:pPr>
            <w:r>
              <w:t>Additional empirical evidence identified</w:t>
            </w:r>
          </w:p>
        </w:tc>
      </w:tr>
      <w:tr w:rsidR="006E4F2B" w:rsidTr="004B53F8">
        <w:tc>
          <w:tcPr>
            <w:tcW w:w="5000" w:type="pct"/>
            <w:gridSpan w:val="4"/>
            <w:shd w:val="clear" w:color="auto" w:fill="auto"/>
          </w:tcPr>
          <w:p w:rsidR="006E4F2B" w:rsidRPr="005E265F" w:rsidRDefault="006E4F2B" w:rsidP="00255AF9">
            <w:pPr>
              <w:pStyle w:val="Tablewriting"/>
              <w:keepNext/>
              <w:rPr>
                <w:b/>
              </w:rPr>
            </w:pPr>
            <w:r w:rsidRPr="005E265F">
              <w:rPr>
                <w:b/>
              </w:rPr>
              <w:t>Treatment-naïve population</w:t>
            </w:r>
          </w:p>
        </w:tc>
      </w:tr>
      <w:tr w:rsidR="00EF18B9" w:rsidTr="006E4F2B">
        <w:tc>
          <w:tcPr>
            <w:tcW w:w="697" w:type="pct"/>
            <w:vMerge w:val="restart"/>
          </w:tcPr>
          <w:p w:rsidR="00EF18B9" w:rsidRDefault="00EF18B9" w:rsidP="00255AF9">
            <w:pPr>
              <w:pStyle w:val="Tablewriting"/>
              <w:keepNext/>
              <w:rPr>
                <w:b/>
                <w:bCs/>
              </w:rPr>
            </w:pPr>
            <w:r>
              <w:rPr>
                <w:b/>
                <w:bCs/>
              </w:rPr>
              <w:t>Combination NRT</w:t>
            </w:r>
          </w:p>
        </w:tc>
        <w:tc>
          <w:tcPr>
            <w:tcW w:w="1760" w:type="pct"/>
          </w:tcPr>
          <w:p w:rsidR="00EF18B9" w:rsidRDefault="00EF18B9" w:rsidP="00255AF9">
            <w:pPr>
              <w:pStyle w:val="Tablewriting"/>
              <w:keepNext/>
            </w:pPr>
            <w:r>
              <w:t>Combination NRT versus placebo</w:t>
            </w:r>
          </w:p>
        </w:tc>
        <w:tc>
          <w:tcPr>
            <w:tcW w:w="1272" w:type="pct"/>
          </w:tcPr>
          <w:p w:rsidR="00EF18B9" w:rsidRDefault="00EF18B9" w:rsidP="00255AF9">
            <w:pPr>
              <w:pStyle w:val="Tablewriting"/>
              <w:keepNext/>
            </w:pPr>
            <w:r>
              <w:t>Hartmann-Boyce 2018</w:t>
            </w:r>
          </w:p>
        </w:tc>
        <w:tc>
          <w:tcPr>
            <w:tcW w:w="1271" w:type="pct"/>
          </w:tcPr>
          <w:p w:rsidR="00EF18B9" w:rsidRDefault="00EF18B9" w:rsidP="00255AF9">
            <w:pPr>
              <w:pStyle w:val="Tablewriting"/>
              <w:keepNext/>
            </w:pPr>
            <w:r>
              <w:t>Chen 2020</w:t>
            </w:r>
            <w:r>
              <w:rPr>
                <w:vertAlign w:val="superscript"/>
              </w:rPr>
              <w:t>1</w:t>
            </w:r>
          </w:p>
        </w:tc>
      </w:tr>
      <w:tr w:rsidR="00EF18B9" w:rsidTr="006E4F2B">
        <w:tc>
          <w:tcPr>
            <w:tcW w:w="697" w:type="pct"/>
            <w:vMerge/>
          </w:tcPr>
          <w:p w:rsidR="00EF18B9" w:rsidRPr="00512781" w:rsidRDefault="00EF18B9" w:rsidP="00255AF9">
            <w:pPr>
              <w:pStyle w:val="Tablewriting"/>
              <w:keepNext/>
              <w:rPr>
                <w:b/>
                <w:bCs/>
              </w:rPr>
            </w:pPr>
          </w:p>
        </w:tc>
        <w:tc>
          <w:tcPr>
            <w:tcW w:w="1760" w:type="pct"/>
          </w:tcPr>
          <w:p w:rsidR="00EF18B9" w:rsidRDefault="00EF18B9" w:rsidP="00255AF9">
            <w:pPr>
              <w:pStyle w:val="Tablewriting"/>
              <w:keepNext/>
            </w:pPr>
            <w:r>
              <w:t>Combination NRT versus NRT monotherapy</w:t>
            </w:r>
          </w:p>
        </w:tc>
        <w:tc>
          <w:tcPr>
            <w:tcW w:w="1272" w:type="pct"/>
          </w:tcPr>
          <w:p w:rsidR="00EF18B9" w:rsidRDefault="00EF18B9" w:rsidP="00255AF9">
            <w:pPr>
              <w:pStyle w:val="Tablewriting"/>
              <w:keepNext/>
            </w:pPr>
            <w:r>
              <w:t>Lindson 2019</w:t>
            </w:r>
          </w:p>
        </w:tc>
        <w:tc>
          <w:tcPr>
            <w:tcW w:w="1271" w:type="pct"/>
          </w:tcPr>
          <w:p w:rsidR="00EF18B9" w:rsidRPr="00583632" w:rsidRDefault="005F1D0E" w:rsidP="00255AF9">
            <w:pPr>
              <w:pStyle w:val="Tablewriting"/>
              <w:keepNext/>
              <w:rPr>
                <w:highlight w:val="yellow"/>
              </w:rPr>
            </w:pPr>
            <w:r w:rsidRPr="00D86305">
              <w:t>Leung 2019</w:t>
            </w:r>
          </w:p>
        </w:tc>
      </w:tr>
      <w:tr w:rsidR="00EF18B9" w:rsidTr="006E4F2B">
        <w:tc>
          <w:tcPr>
            <w:tcW w:w="697" w:type="pct"/>
            <w:vMerge/>
          </w:tcPr>
          <w:p w:rsidR="00EF18B9" w:rsidRPr="00512781" w:rsidRDefault="00EF18B9" w:rsidP="00255AF9">
            <w:pPr>
              <w:pStyle w:val="Tablewriting"/>
              <w:keepNext/>
              <w:rPr>
                <w:b/>
                <w:bCs/>
              </w:rPr>
            </w:pPr>
          </w:p>
        </w:tc>
        <w:tc>
          <w:tcPr>
            <w:tcW w:w="1760" w:type="pct"/>
          </w:tcPr>
          <w:p w:rsidR="00EF18B9" w:rsidRDefault="00EF18B9" w:rsidP="00255AF9">
            <w:pPr>
              <w:pStyle w:val="Tablewriting"/>
              <w:keepNext/>
            </w:pPr>
            <w:r>
              <w:t>Combination NRT versus varenicline</w:t>
            </w:r>
          </w:p>
        </w:tc>
        <w:tc>
          <w:tcPr>
            <w:tcW w:w="1272" w:type="pct"/>
          </w:tcPr>
          <w:p w:rsidR="00EF18B9" w:rsidRPr="0012484D" w:rsidRDefault="00EF18B9" w:rsidP="00325DC5">
            <w:pPr>
              <w:pStyle w:val="Tablewriting"/>
              <w:keepNext/>
            </w:pPr>
            <w:r>
              <w:t>Cahill 2013</w:t>
            </w:r>
            <w:r>
              <w:rPr>
                <w:vertAlign w:val="superscript"/>
              </w:rPr>
              <w:t xml:space="preserve">2 </w:t>
            </w:r>
          </w:p>
        </w:tc>
        <w:tc>
          <w:tcPr>
            <w:tcW w:w="1271" w:type="pct"/>
          </w:tcPr>
          <w:p w:rsidR="00EF18B9" w:rsidRDefault="00806DF9" w:rsidP="00325DC5">
            <w:pPr>
              <w:pStyle w:val="Tablewriting"/>
              <w:keepNext/>
            </w:pPr>
            <w:r>
              <w:t>Chen 2020</w:t>
            </w:r>
            <w:r>
              <w:rPr>
                <w:vertAlign w:val="superscript"/>
              </w:rPr>
              <w:t>1</w:t>
            </w:r>
          </w:p>
        </w:tc>
      </w:tr>
      <w:tr w:rsidR="00EF18B9" w:rsidTr="006E4F2B">
        <w:tc>
          <w:tcPr>
            <w:tcW w:w="697" w:type="pct"/>
            <w:vMerge/>
          </w:tcPr>
          <w:p w:rsidR="00EF18B9" w:rsidRPr="00512781" w:rsidRDefault="00EF18B9" w:rsidP="00255AF9">
            <w:pPr>
              <w:pStyle w:val="Tablewriting"/>
              <w:keepNext/>
              <w:rPr>
                <w:b/>
                <w:bCs/>
              </w:rPr>
            </w:pPr>
          </w:p>
        </w:tc>
        <w:tc>
          <w:tcPr>
            <w:tcW w:w="1760" w:type="pct"/>
          </w:tcPr>
          <w:p w:rsidR="00EF18B9" w:rsidRDefault="00EF18B9" w:rsidP="00255AF9">
            <w:pPr>
              <w:pStyle w:val="Tablewriting"/>
              <w:keepNext/>
            </w:pPr>
            <w:r>
              <w:t>Combination NRT versus bupropion</w:t>
            </w:r>
          </w:p>
        </w:tc>
        <w:tc>
          <w:tcPr>
            <w:tcW w:w="1272" w:type="pct"/>
          </w:tcPr>
          <w:p w:rsidR="00EF18B9" w:rsidRPr="00E62111" w:rsidRDefault="00EF18B9" w:rsidP="00255AF9">
            <w:pPr>
              <w:pStyle w:val="Tablewriting"/>
              <w:keepNext/>
              <w:rPr>
                <w:vertAlign w:val="superscript"/>
              </w:rPr>
            </w:pPr>
            <w:r>
              <w:t>Cahill 2013</w:t>
            </w:r>
            <w:r>
              <w:rPr>
                <w:vertAlign w:val="superscript"/>
              </w:rPr>
              <w:t>2</w:t>
            </w:r>
          </w:p>
        </w:tc>
        <w:tc>
          <w:tcPr>
            <w:tcW w:w="1271" w:type="pct"/>
          </w:tcPr>
          <w:p w:rsidR="00EF18B9" w:rsidRPr="00583632" w:rsidRDefault="00BB4AB9" w:rsidP="00255AF9">
            <w:pPr>
              <w:pStyle w:val="Tablewriting"/>
              <w:keepNext/>
              <w:rPr>
                <w:highlight w:val="yellow"/>
              </w:rPr>
            </w:pPr>
            <w:r w:rsidRPr="009E3316">
              <w:t>N</w:t>
            </w:r>
            <w:r>
              <w:t>one identified</w:t>
            </w:r>
          </w:p>
        </w:tc>
      </w:tr>
      <w:tr w:rsidR="00EF18B9" w:rsidTr="006E4F2B">
        <w:tc>
          <w:tcPr>
            <w:tcW w:w="697" w:type="pct"/>
            <w:vMerge w:val="restart"/>
          </w:tcPr>
          <w:p w:rsidR="00EF18B9" w:rsidRPr="00512781" w:rsidRDefault="00EF18B9" w:rsidP="00DA2BE2">
            <w:pPr>
              <w:pStyle w:val="Tablewriting"/>
              <w:keepNext/>
              <w:rPr>
                <w:b/>
                <w:bCs/>
              </w:rPr>
            </w:pPr>
            <w:r>
              <w:rPr>
                <w:b/>
                <w:bCs/>
              </w:rPr>
              <w:t>Combination varenicline</w:t>
            </w:r>
          </w:p>
        </w:tc>
        <w:tc>
          <w:tcPr>
            <w:tcW w:w="1760" w:type="pct"/>
          </w:tcPr>
          <w:p w:rsidR="00EF18B9" w:rsidRDefault="00EF18B9" w:rsidP="00255AF9">
            <w:pPr>
              <w:pStyle w:val="Tablewriting"/>
              <w:keepNext/>
            </w:pPr>
            <w:r>
              <w:t>Varenicline + NRT versus varenicline</w:t>
            </w:r>
          </w:p>
        </w:tc>
        <w:tc>
          <w:tcPr>
            <w:tcW w:w="1272" w:type="pct"/>
          </w:tcPr>
          <w:p w:rsidR="00EF18B9" w:rsidRPr="00583632" w:rsidRDefault="008D6C59" w:rsidP="00255AF9">
            <w:pPr>
              <w:pStyle w:val="Tablewriting"/>
              <w:keepNext/>
            </w:pPr>
            <w:r>
              <w:t>Chang 2015</w:t>
            </w:r>
            <w:r>
              <w:rPr>
                <w:vertAlign w:val="superscript"/>
              </w:rPr>
              <w:t>3</w:t>
            </w:r>
          </w:p>
        </w:tc>
        <w:tc>
          <w:tcPr>
            <w:tcW w:w="1271" w:type="pct"/>
          </w:tcPr>
          <w:p w:rsidR="00EF18B9" w:rsidRDefault="00BB4AB9" w:rsidP="00255AF9">
            <w:pPr>
              <w:pStyle w:val="Tablewriting"/>
              <w:keepNext/>
            </w:pPr>
            <w:r w:rsidRPr="009E3316">
              <w:t>N</w:t>
            </w:r>
            <w:r>
              <w:t>one identified</w:t>
            </w:r>
          </w:p>
        </w:tc>
      </w:tr>
      <w:tr w:rsidR="00EF18B9" w:rsidTr="006E4F2B">
        <w:trPr>
          <w:trHeight w:val="243"/>
        </w:trPr>
        <w:tc>
          <w:tcPr>
            <w:tcW w:w="697" w:type="pct"/>
            <w:vMerge/>
          </w:tcPr>
          <w:p w:rsidR="00EF18B9" w:rsidRPr="00512781" w:rsidRDefault="00EF18B9" w:rsidP="00255AF9">
            <w:pPr>
              <w:pStyle w:val="Tablewriting"/>
              <w:keepNext/>
              <w:rPr>
                <w:b/>
                <w:bCs/>
              </w:rPr>
            </w:pPr>
          </w:p>
        </w:tc>
        <w:tc>
          <w:tcPr>
            <w:tcW w:w="1760" w:type="pct"/>
          </w:tcPr>
          <w:p w:rsidR="00EF18B9" w:rsidRDefault="00EF18B9" w:rsidP="00255AF9">
            <w:pPr>
              <w:pStyle w:val="Tablewriting"/>
              <w:keepNext/>
            </w:pPr>
            <w:r>
              <w:t>Varenicline + bupropion versus varenicline</w:t>
            </w:r>
          </w:p>
        </w:tc>
        <w:tc>
          <w:tcPr>
            <w:tcW w:w="1272" w:type="pct"/>
          </w:tcPr>
          <w:p w:rsidR="00EF18B9" w:rsidRDefault="00EF18B9" w:rsidP="00255AF9">
            <w:pPr>
              <w:pStyle w:val="Tablewriting"/>
              <w:keepNext/>
            </w:pPr>
            <w:r>
              <w:t>Howes 2020</w:t>
            </w:r>
          </w:p>
        </w:tc>
        <w:tc>
          <w:tcPr>
            <w:tcW w:w="1271" w:type="pct"/>
          </w:tcPr>
          <w:p w:rsidR="00EF18B9" w:rsidRPr="00583632" w:rsidRDefault="00BB4AB9" w:rsidP="00255AF9">
            <w:pPr>
              <w:pStyle w:val="Tablewriting"/>
              <w:keepNext/>
              <w:rPr>
                <w:highlight w:val="yellow"/>
              </w:rPr>
            </w:pPr>
            <w:r w:rsidRPr="009E3316">
              <w:t>N</w:t>
            </w:r>
            <w:r>
              <w:t>one identified</w:t>
            </w:r>
          </w:p>
        </w:tc>
      </w:tr>
      <w:tr w:rsidR="00EF18B9" w:rsidTr="006E4F2B">
        <w:trPr>
          <w:trHeight w:val="103"/>
        </w:trPr>
        <w:tc>
          <w:tcPr>
            <w:tcW w:w="697" w:type="pct"/>
          </w:tcPr>
          <w:p w:rsidR="00EF18B9" w:rsidRPr="00B97ECE" w:rsidRDefault="00EF18B9" w:rsidP="00255AF9">
            <w:pPr>
              <w:pStyle w:val="Tablewriting"/>
              <w:keepNext/>
              <w:rPr>
                <w:b/>
                <w:vertAlign w:val="superscript"/>
              </w:rPr>
            </w:pPr>
            <w:r>
              <w:rPr>
                <w:b/>
                <w:bCs/>
              </w:rPr>
              <w:t>Combination bupropion</w:t>
            </w:r>
          </w:p>
        </w:tc>
        <w:tc>
          <w:tcPr>
            <w:tcW w:w="1760" w:type="pct"/>
          </w:tcPr>
          <w:p w:rsidR="00EF18B9" w:rsidRDefault="00EF18B9" w:rsidP="00255AF9">
            <w:pPr>
              <w:pStyle w:val="Tablewriting"/>
              <w:keepNext/>
            </w:pPr>
            <w:r>
              <w:t>Bupropion + NRT versus NRT</w:t>
            </w:r>
          </w:p>
        </w:tc>
        <w:tc>
          <w:tcPr>
            <w:tcW w:w="1272" w:type="pct"/>
          </w:tcPr>
          <w:p w:rsidR="00EF18B9" w:rsidRDefault="00EF18B9" w:rsidP="00255AF9">
            <w:pPr>
              <w:pStyle w:val="Tablewriting"/>
              <w:keepNext/>
            </w:pPr>
            <w:r>
              <w:t>Howes 2020</w:t>
            </w:r>
          </w:p>
        </w:tc>
        <w:tc>
          <w:tcPr>
            <w:tcW w:w="1271" w:type="pct"/>
          </w:tcPr>
          <w:p w:rsidR="00EF18B9" w:rsidRPr="00583632" w:rsidRDefault="00BB4AB9" w:rsidP="00255AF9">
            <w:pPr>
              <w:pStyle w:val="Tablewriting"/>
              <w:keepNext/>
              <w:rPr>
                <w:highlight w:val="yellow"/>
              </w:rPr>
            </w:pPr>
            <w:r w:rsidRPr="009E3316">
              <w:t>N</w:t>
            </w:r>
            <w:r>
              <w:t>one identified</w:t>
            </w:r>
          </w:p>
        </w:tc>
      </w:tr>
      <w:tr w:rsidR="00F82E46" w:rsidTr="004B53F8">
        <w:trPr>
          <w:trHeight w:val="103"/>
        </w:trPr>
        <w:tc>
          <w:tcPr>
            <w:tcW w:w="5000" w:type="pct"/>
            <w:gridSpan w:val="4"/>
            <w:shd w:val="clear" w:color="auto" w:fill="auto"/>
          </w:tcPr>
          <w:p w:rsidR="00F82E46" w:rsidRPr="00583632" w:rsidRDefault="00F82E46" w:rsidP="00255AF9">
            <w:pPr>
              <w:pStyle w:val="Tablewriting"/>
              <w:keepNext/>
              <w:rPr>
                <w:highlight w:val="yellow"/>
              </w:rPr>
            </w:pPr>
            <w:r w:rsidRPr="005E265F">
              <w:rPr>
                <w:b/>
                <w:bCs/>
              </w:rPr>
              <w:t>Treatment-</w:t>
            </w:r>
            <w:r>
              <w:rPr>
                <w:b/>
                <w:bCs/>
              </w:rPr>
              <w:t>experienced</w:t>
            </w:r>
            <w:r w:rsidRPr="005E265F">
              <w:rPr>
                <w:b/>
                <w:bCs/>
              </w:rPr>
              <w:t xml:space="preserve"> population</w:t>
            </w:r>
          </w:p>
        </w:tc>
      </w:tr>
      <w:tr w:rsidR="00F82E46" w:rsidTr="006E4F2B">
        <w:trPr>
          <w:trHeight w:val="103"/>
        </w:trPr>
        <w:tc>
          <w:tcPr>
            <w:tcW w:w="697" w:type="pct"/>
          </w:tcPr>
          <w:p w:rsidR="00F82E46" w:rsidRDefault="007E18D0" w:rsidP="00255AF9">
            <w:pPr>
              <w:pStyle w:val="Tablewriting"/>
              <w:keepNext/>
              <w:rPr>
                <w:b/>
                <w:bCs/>
              </w:rPr>
            </w:pPr>
            <w:r>
              <w:rPr>
                <w:b/>
                <w:bCs/>
              </w:rPr>
              <w:t xml:space="preserve">Combination </w:t>
            </w:r>
            <w:r w:rsidR="00F3134E">
              <w:rPr>
                <w:b/>
                <w:bCs/>
              </w:rPr>
              <w:t>bupropion</w:t>
            </w:r>
          </w:p>
        </w:tc>
        <w:tc>
          <w:tcPr>
            <w:tcW w:w="1760" w:type="pct"/>
          </w:tcPr>
          <w:p w:rsidR="00F82E46" w:rsidRDefault="00C17E09" w:rsidP="00255AF9">
            <w:pPr>
              <w:pStyle w:val="Tablewriting"/>
              <w:keepNext/>
            </w:pPr>
            <w:r>
              <w:t>Bupropion +</w:t>
            </w:r>
            <w:r w:rsidR="00085188">
              <w:t xml:space="preserve"> NRT versus placebo</w:t>
            </w:r>
          </w:p>
        </w:tc>
        <w:tc>
          <w:tcPr>
            <w:tcW w:w="1272" w:type="pct"/>
          </w:tcPr>
          <w:p w:rsidR="00F82E46" w:rsidRDefault="00085188" w:rsidP="00255AF9">
            <w:pPr>
              <w:pStyle w:val="Tablewriting"/>
              <w:keepNext/>
            </w:pPr>
            <w:r>
              <w:t>Livingstone-Banks 201</w:t>
            </w:r>
            <w:r w:rsidR="006C55D6">
              <w:t>9</w:t>
            </w:r>
          </w:p>
        </w:tc>
        <w:tc>
          <w:tcPr>
            <w:tcW w:w="1271" w:type="pct"/>
          </w:tcPr>
          <w:p w:rsidR="00F82E46" w:rsidRPr="00583632" w:rsidRDefault="006C55D6" w:rsidP="00255AF9">
            <w:pPr>
              <w:pStyle w:val="Tablewriting"/>
              <w:keepNext/>
              <w:rPr>
                <w:highlight w:val="yellow"/>
              </w:rPr>
            </w:pPr>
            <w:r w:rsidRPr="00F207DC">
              <w:t>N</w:t>
            </w:r>
            <w:r w:rsidR="00BB4AB9">
              <w:t>one identified</w:t>
            </w:r>
          </w:p>
        </w:tc>
      </w:tr>
    </w:tbl>
    <w:p w:rsidR="004111C5" w:rsidRDefault="00EA237E" w:rsidP="00EA237E">
      <w:pPr>
        <w:pStyle w:val="TableFooter"/>
      </w:pPr>
      <w:r>
        <w:t>Abbreviations: NRT = nicotine replacement therapy</w:t>
      </w:r>
    </w:p>
    <w:p w:rsidR="001E39E6" w:rsidRDefault="001E39E6" w:rsidP="00EA237E">
      <w:pPr>
        <w:pStyle w:val="TableFooter"/>
      </w:pPr>
      <w:r>
        <w:t>Notes:</w:t>
      </w:r>
    </w:p>
    <w:p w:rsidR="00BE7EF0" w:rsidRDefault="00E62111" w:rsidP="00EA237E">
      <w:pPr>
        <w:pStyle w:val="TableFooter"/>
      </w:pPr>
      <w:r>
        <w:t xml:space="preserve">1 </w:t>
      </w:r>
      <w:r w:rsidR="00BE7EF0">
        <w:t xml:space="preserve">Chen et al. (2020) </w:t>
      </w:r>
      <w:r w:rsidR="000E157B">
        <w:t>i</w:t>
      </w:r>
      <w:r w:rsidR="0012484D">
        <w:t>s a direct evidence</w:t>
      </w:r>
      <w:r w:rsidR="00BE7EF0">
        <w:t xml:space="preserve"> </w:t>
      </w:r>
      <w:r w:rsidR="0012484D">
        <w:t>(</w:t>
      </w:r>
      <w:r w:rsidR="00BE7EF0">
        <w:t>RCT</w:t>
      </w:r>
      <w:r w:rsidR="0012484D">
        <w:t>)</w:t>
      </w:r>
      <w:r w:rsidR="00BE7EF0">
        <w:t xml:space="preserve"> identified in the updated literature search</w:t>
      </w:r>
      <w:r w:rsidR="00E91171">
        <w:t>. This RCT was a three-arm study comparing combination NRT (patch and lozenge), varenicline and placebo.</w:t>
      </w:r>
    </w:p>
    <w:p w:rsidR="00E62111" w:rsidRDefault="00BE7EF0" w:rsidP="00EA237E">
      <w:pPr>
        <w:pStyle w:val="TableFooter"/>
      </w:pPr>
      <w:r>
        <w:t xml:space="preserve">2 </w:t>
      </w:r>
      <w:r w:rsidR="00E62111">
        <w:t>Network meta-analysis</w:t>
      </w:r>
      <w:r w:rsidR="00785FDF">
        <w:t xml:space="preserve"> included as supportive evidence</w:t>
      </w:r>
      <w:r w:rsidR="00E62111">
        <w:t>. No direct evidence identified</w:t>
      </w:r>
      <w:r w:rsidR="00785FDF">
        <w:t xml:space="preserve"> for combination NRT versus bupropion</w:t>
      </w:r>
      <w:r w:rsidR="00E62111">
        <w:t>.</w:t>
      </w:r>
    </w:p>
    <w:p w:rsidR="0012484D" w:rsidRDefault="0012484D" w:rsidP="00EA237E">
      <w:pPr>
        <w:pStyle w:val="TableFooter"/>
      </w:pPr>
      <w:r>
        <w:t>3 Chang</w:t>
      </w:r>
      <w:r w:rsidR="00641B1C">
        <w:t xml:space="preserve"> et al.</w:t>
      </w:r>
      <w:r>
        <w:t xml:space="preserve"> </w:t>
      </w:r>
      <w:r w:rsidR="00641B1C">
        <w:t>(</w:t>
      </w:r>
      <w:r>
        <w:t>2015</w:t>
      </w:r>
      <w:r w:rsidR="00641B1C">
        <w:t>)</w:t>
      </w:r>
      <w:r>
        <w:t xml:space="preserve"> is a systematic review and meta-analysis identifi</w:t>
      </w:r>
      <w:r w:rsidR="007333DD">
        <w:t>ed in the systematic literature review.</w:t>
      </w:r>
    </w:p>
    <w:p w:rsidR="002F0E13" w:rsidRDefault="002F0E13" w:rsidP="00D02475">
      <w:pPr>
        <w:pStyle w:val="Heading4"/>
        <w:numPr>
          <w:ilvl w:val="0"/>
          <w:numId w:val="0"/>
        </w:numPr>
      </w:pPr>
      <w:r>
        <w:t>Treatment-naïve population</w:t>
      </w:r>
    </w:p>
    <w:p w:rsidR="006274EF" w:rsidRDefault="00AF49A2" w:rsidP="00D02475">
      <w:pPr>
        <w:pStyle w:val="Heading5"/>
        <w:numPr>
          <w:ilvl w:val="0"/>
          <w:numId w:val="0"/>
        </w:numPr>
      </w:pPr>
      <w:r>
        <w:t>C</w:t>
      </w:r>
      <w:r w:rsidR="006274EF">
        <w:t>ombination</w:t>
      </w:r>
      <w:r>
        <w:t xml:space="preserve"> NRT</w:t>
      </w:r>
    </w:p>
    <w:p w:rsidR="007F7A17" w:rsidRDefault="000C077C" w:rsidP="00AC62D6">
      <w:r w:rsidRPr="000C077C">
        <w:t xml:space="preserve">In July 2017 and March 2018, the PBAC considered a request that NRT </w:t>
      </w:r>
      <w:r w:rsidR="00573F59">
        <w:t>lozenges</w:t>
      </w:r>
      <w:r w:rsidRPr="000C077C">
        <w:t xml:space="preserve"> and gum be listed as monotherapies on the PBS</w:t>
      </w:r>
      <w:r>
        <w:t xml:space="preserve">. </w:t>
      </w:r>
      <w:r w:rsidR="007F7A17">
        <w:t xml:space="preserve">While the </w:t>
      </w:r>
      <w:r w:rsidR="001F5EFF">
        <w:t>requested listing was for monotherapy</w:t>
      </w:r>
      <w:r w:rsidR="001E6426">
        <w:t xml:space="preserve">, </w:t>
      </w:r>
      <w:r w:rsidR="007F7A17" w:rsidRPr="007F7A17">
        <w:t>the PBAC considered that the likely</w:t>
      </w:r>
      <w:r w:rsidR="001F5EFF">
        <w:t xml:space="preserve"> </w:t>
      </w:r>
      <w:r w:rsidR="007F7A17" w:rsidRPr="007F7A17">
        <w:t xml:space="preserve">place in clinical therapy for nicotine </w:t>
      </w:r>
      <w:r w:rsidR="00573F59">
        <w:t>lozenges</w:t>
      </w:r>
      <w:r w:rsidR="001F5EFF">
        <w:t xml:space="preserve"> and gum</w:t>
      </w:r>
      <w:r w:rsidR="007F7A17" w:rsidRPr="007F7A17">
        <w:t xml:space="preserve"> would be as combination</w:t>
      </w:r>
      <w:r w:rsidR="001F5EFF">
        <w:t xml:space="preserve"> </w:t>
      </w:r>
      <w:r w:rsidR="007F7A17" w:rsidRPr="007F7A17">
        <w:t>therapy with long</w:t>
      </w:r>
      <w:r w:rsidR="004F036E">
        <w:t>-</w:t>
      </w:r>
      <w:r w:rsidR="007F7A17" w:rsidRPr="007F7A17">
        <w:t>acting forms of currently listed NRTs (nicotine patches, varenicline</w:t>
      </w:r>
      <w:r w:rsidR="001F5EFF">
        <w:t xml:space="preserve"> </w:t>
      </w:r>
      <w:r w:rsidR="007F7A17" w:rsidRPr="007F7A17">
        <w:t>or bupropion)</w:t>
      </w:r>
      <w:r w:rsidR="002037AE">
        <w:t xml:space="preserve"> (</w:t>
      </w:r>
      <w:r w:rsidR="002037AE" w:rsidRPr="005C687C">
        <w:t>NRT PSD, July 2017 PBAC meeting</w:t>
      </w:r>
      <w:r w:rsidR="002037AE">
        <w:t>)</w:t>
      </w:r>
      <w:r w:rsidR="007F7A17" w:rsidRPr="007F7A17">
        <w:t xml:space="preserve">. </w:t>
      </w:r>
    </w:p>
    <w:p w:rsidR="00E91171" w:rsidRPr="00AC62D6" w:rsidRDefault="002C4292" w:rsidP="00AC62D6">
      <w:r w:rsidRPr="002C4292">
        <w:lastRenderedPageBreak/>
        <w:t>The PBAC noted that varenicline</w:t>
      </w:r>
      <w:r>
        <w:t xml:space="preserve"> </w:t>
      </w:r>
      <w:r w:rsidRPr="002C4292">
        <w:t>was proposed as a relevant comparator for combination use of NRTs in the pre-PBAC</w:t>
      </w:r>
      <w:r w:rsidR="008E485E">
        <w:t xml:space="preserve"> </w:t>
      </w:r>
      <w:r w:rsidRPr="002C4292">
        <w:t>response. The PBAC considered that while varenicline was likely to be an</w:t>
      </w:r>
      <w:r w:rsidR="00FD6D92">
        <w:t xml:space="preserve"> </w:t>
      </w:r>
      <w:r w:rsidRPr="002C4292">
        <w:t xml:space="preserve">appropriate comparator for the use of nicotine </w:t>
      </w:r>
      <w:r w:rsidR="00573F59">
        <w:t>lozenges</w:t>
      </w:r>
      <w:r w:rsidR="00FD6D92">
        <w:t xml:space="preserve"> or </w:t>
      </w:r>
      <w:r w:rsidRPr="002C4292">
        <w:t>gum in combination with</w:t>
      </w:r>
      <w:r w:rsidR="00FD6D92">
        <w:t xml:space="preserve"> </w:t>
      </w:r>
      <w:r w:rsidRPr="002C4292">
        <w:t xml:space="preserve">nicotine patches, nicotine </w:t>
      </w:r>
      <w:r w:rsidR="00573F59">
        <w:t>lozenges</w:t>
      </w:r>
      <w:r w:rsidR="00FD6D92">
        <w:t xml:space="preserve"> or gum cou</w:t>
      </w:r>
      <w:r w:rsidRPr="002C4292">
        <w:t>ld be used in combination with</w:t>
      </w:r>
      <w:r w:rsidR="00FD6D92">
        <w:t xml:space="preserve"> </w:t>
      </w:r>
      <w:r w:rsidRPr="002C4292">
        <w:t>varenicline as well in practice. The PBAC noted that no clinical evidence on the</w:t>
      </w:r>
      <w:r w:rsidR="00FD6D92">
        <w:t xml:space="preserve"> </w:t>
      </w:r>
      <w:r w:rsidRPr="002C4292">
        <w:t>potential comparator/s for either of the combinations was presented in the</w:t>
      </w:r>
      <w:r w:rsidR="00FD6D92">
        <w:t xml:space="preserve"> </w:t>
      </w:r>
      <w:r w:rsidRPr="002C4292">
        <w:t>submission or the pre-PBAC response</w:t>
      </w:r>
      <w:r w:rsidR="00755595">
        <w:t xml:space="preserve"> (</w:t>
      </w:r>
      <w:r w:rsidR="00755595" w:rsidRPr="005C687C">
        <w:t>NRT PSD, July 2017 PBAC meeting</w:t>
      </w:r>
      <w:r w:rsidR="00755595">
        <w:t>)</w:t>
      </w:r>
      <w:r w:rsidRPr="002C4292">
        <w:t>.</w:t>
      </w:r>
    </w:p>
    <w:p w:rsidR="00B95A63" w:rsidRDefault="00596FFB" w:rsidP="00944A49">
      <w:pPr>
        <w:rPr>
          <w:b/>
          <w:bCs/>
        </w:rPr>
      </w:pPr>
      <w:r>
        <w:rPr>
          <w:b/>
          <w:bCs/>
        </w:rPr>
        <w:t>C</w:t>
      </w:r>
      <w:r w:rsidR="00B95A63" w:rsidRPr="00944A49">
        <w:rPr>
          <w:b/>
          <w:bCs/>
        </w:rPr>
        <w:t>ombination</w:t>
      </w:r>
      <w:r>
        <w:rPr>
          <w:b/>
          <w:bCs/>
        </w:rPr>
        <w:t xml:space="preserve"> NRT</w:t>
      </w:r>
      <w:r w:rsidR="00B95A63" w:rsidRPr="00944A49">
        <w:rPr>
          <w:b/>
          <w:bCs/>
        </w:rPr>
        <w:t xml:space="preserve"> versus </w:t>
      </w:r>
      <w:r w:rsidR="00AC62D6">
        <w:rPr>
          <w:b/>
          <w:bCs/>
        </w:rPr>
        <w:t>placebo</w:t>
      </w:r>
    </w:p>
    <w:p w:rsidR="00AC62D6" w:rsidRDefault="00AC62D6" w:rsidP="00944A49">
      <w:r w:rsidRPr="0003104C">
        <w:t>A summary of the citation details for the studies comparing combination</w:t>
      </w:r>
      <w:r w:rsidR="00C96DF9">
        <w:t xml:space="preserve"> NRT</w:t>
      </w:r>
      <w:r w:rsidRPr="0003104C">
        <w:t xml:space="preserve"> with placebo is presented in </w:t>
      </w:r>
      <w:r w:rsidR="003C4A1C">
        <w:t xml:space="preserve">Table </w:t>
      </w:r>
      <w:r w:rsidR="003C4A1C">
        <w:rPr>
          <w:noProof/>
        </w:rPr>
        <w:t>54</w:t>
      </w:r>
      <w:r w:rsidRPr="0003104C">
        <w:t xml:space="preserve">. A recently conducted Cochrane </w:t>
      </w:r>
      <w:r w:rsidR="009A0902">
        <w:t>R</w:t>
      </w:r>
      <w:r w:rsidRPr="0003104C">
        <w:t xml:space="preserve">eview by Hartmann-Boyce et al. (2018) was identified in the systematic literature review that compared </w:t>
      </w:r>
      <w:r w:rsidR="003C15A0" w:rsidRPr="0003104C">
        <w:t>combination</w:t>
      </w:r>
      <w:r w:rsidR="007F11EC">
        <w:t xml:space="preserve"> NRT</w:t>
      </w:r>
      <w:r w:rsidRPr="0003104C">
        <w:t xml:space="preserve"> with placebo and was included in this report.</w:t>
      </w:r>
      <w:r w:rsidRPr="00AC62D6">
        <w:t xml:space="preserve"> </w:t>
      </w:r>
      <w:r w:rsidR="00595F19">
        <w:t>One</w:t>
      </w:r>
      <w:r w:rsidR="00E91171" w:rsidRPr="00E91171">
        <w:t xml:space="preserve"> RCT was identified in the </w:t>
      </w:r>
      <w:r w:rsidR="006947FE">
        <w:t>supplemental</w:t>
      </w:r>
      <w:r w:rsidR="00E91171" w:rsidRPr="00E91171">
        <w:t xml:space="preserve"> literature search </w:t>
      </w:r>
      <w:r w:rsidR="00595F19">
        <w:t xml:space="preserve">that informed this comparison </w:t>
      </w:r>
      <w:r w:rsidR="00E91171" w:rsidRPr="00E91171">
        <w:t>and was included in this report</w:t>
      </w:r>
      <w:r w:rsidR="00595F19">
        <w:t xml:space="preserve"> (Chen et al. 2020)</w:t>
      </w:r>
      <w:r w:rsidR="00E91171" w:rsidRPr="00E91171">
        <w:t>.</w:t>
      </w:r>
    </w:p>
    <w:p w:rsidR="0003104C" w:rsidRDefault="0003104C" w:rsidP="0003104C">
      <w:pPr>
        <w:pStyle w:val="Caption"/>
        <w:keepNext/>
      </w:pPr>
      <w:bookmarkStart w:id="137" w:name="_Ref55291312"/>
      <w:r>
        <w:t xml:space="preserve">Table </w:t>
      </w:r>
      <w:r w:rsidR="003C4A1C">
        <w:rPr>
          <w:noProof/>
        </w:rPr>
        <w:t>54</w:t>
      </w:r>
      <w:bookmarkEnd w:id="137"/>
      <w:r>
        <w:t xml:space="preserve">: </w:t>
      </w:r>
      <w:r w:rsidRPr="007003B7">
        <w:t xml:space="preserve">List of studies comparing </w:t>
      </w:r>
      <w:r>
        <w:t>combination</w:t>
      </w:r>
      <w:r w:rsidRPr="007003B7">
        <w:t xml:space="preserve"> </w:t>
      </w:r>
      <w:r w:rsidR="00C96DF9">
        <w:t xml:space="preserve">NRT </w:t>
      </w:r>
      <w:r w:rsidRPr="007003B7">
        <w:t>with placebo</w:t>
      </w:r>
    </w:p>
    <w:tbl>
      <w:tblPr>
        <w:tblStyle w:val="TableGrid"/>
        <w:tblW w:w="5000" w:type="pct"/>
        <w:tblLook w:val="04A0" w:firstRow="1" w:lastRow="0" w:firstColumn="1" w:lastColumn="0" w:noHBand="0" w:noVBand="1"/>
        <w:tblCaption w:val="Efficacy results of adalimumab trials (PASI 75 and DLQI)"/>
      </w:tblPr>
      <w:tblGrid>
        <w:gridCol w:w="1004"/>
        <w:gridCol w:w="8012"/>
      </w:tblGrid>
      <w:tr w:rsidR="0085037A" w:rsidRPr="00061F78" w:rsidTr="0025105B">
        <w:trPr>
          <w:cantSplit/>
          <w:trHeight w:val="329"/>
          <w:tblHeader/>
        </w:trPr>
        <w:tc>
          <w:tcPr>
            <w:tcW w:w="557" w:type="pct"/>
            <w:shd w:val="clear" w:color="auto" w:fill="BFBFBF" w:themeFill="background1" w:themeFillShade="BF"/>
            <w:tcMar>
              <w:left w:w="28" w:type="dxa"/>
              <w:right w:w="28" w:type="dxa"/>
            </w:tcMar>
          </w:tcPr>
          <w:p w:rsidR="00AC62D6" w:rsidRPr="00061F78" w:rsidRDefault="00126B7B" w:rsidP="0025105B">
            <w:pPr>
              <w:pStyle w:val="Tableheading"/>
              <w:keepNext/>
              <w:rPr>
                <w:rFonts w:eastAsia="MS Mincho"/>
              </w:rPr>
            </w:pPr>
            <w:r>
              <w:rPr>
                <w:rFonts w:eastAsia="MS Mincho"/>
              </w:rPr>
              <w:t>Study</w:t>
            </w:r>
          </w:p>
        </w:tc>
        <w:tc>
          <w:tcPr>
            <w:tcW w:w="4443" w:type="pct"/>
            <w:shd w:val="clear" w:color="auto" w:fill="BFBFBF" w:themeFill="background1" w:themeFillShade="BF"/>
          </w:tcPr>
          <w:p w:rsidR="00AC62D6" w:rsidRDefault="00AC62D6" w:rsidP="0025105B">
            <w:pPr>
              <w:pStyle w:val="Tableheading"/>
              <w:keepNext/>
              <w:jc w:val="center"/>
              <w:rPr>
                <w:rFonts w:eastAsia="MS Mincho"/>
              </w:rPr>
            </w:pPr>
            <w:r>
              <w:rPr>
                <w:rFonts w:eastAsia="MS Mincho"/>
              </w:rPr>
              <w:t>Citation</w:t>
            </w:r>
          </w:p>
        </w:tc>
      </w:tr>
      <w:tr w:rsidR="0085037A" w:rsidRPr="00061F78" w:rsidTr="004A509B">
        <w:trPr>
          <w:cantSplit/>
          <w:trHeight w:val="164"/>
        </w:trPr>
        <w:tc>
          <w:tcPr>
            <w:tcW w:w="557" w:type="pct"/>
            <w:tcMar>
              <w:left w:w="28" w:type="dxa"/>
              <w:right w:w="28" w:type="dxa"/>
            </w:tcMar>
          </w:tcPr>
          <w:p w:rsidR="00903F46" w:rsidRPr="00305930" w:rsidRDefault="00903F46" w:rsidP="00903F46">
            <w:pPr>
              <w:pStyle w:val="Tablewriting"/>
              <w:keepNext/>
              <w:rPr>
                <w:rFonts w:eastAsia="MS Mincho"/>
              </w:rPr>
            </w:pPr>
            <w:r>
              <w:rPr>
                <w:rFonts w:eastAsia="MS Mincho"/>
              </w:rPr>
              <w:t>Hartmann-Boyce</w:t>
            </w:r>
            <w:r w:rsidRPr="00061F78">
              <w:rPr>
                <w:rFonts w:eastAsia="MS Mincho"/>
              </w:rPr>
              <w:t xml:space="preserve"> (20</w:t>
            </w:r>
            <w:r>
              <w:rPr>
                <w:rFonts w:eastAsia="MS Mincho"/>
              </w:rPr>
              <w:t>18</w:t>
            </w:r>
            <w:r w:rsidRPr="00061F78">
              <w:rPr>
                <w:rFonts w:eastAsia="MS Mincho"/>
              </w:rPr>
              <w:t>)</w:t>
            </w:r>
            <w:r w:rsidR="0039468B" w:rsidRPr="003432C8">
              <w:rPr>
                <w:rFonts w:eastAsia="MS Mincho"/>
                <w:noProof/>
                <w:vertAlign w:val="superscript"/>
              </w:rPr>
              <w:t>30</w:t>
            </w:r>
            <w:r w:rsidRPr="00D07303">
              <w:rPr>
                <w:rFonts w:eastAsia="MS Mincho"/>
                <w:vertAlign w:val="superscript"/>
              </w:rPr>
              <w:t xml:space="preserve"> </w:t>
            </w:r>
          </w:p>
        </w:tc>
        <w:tc>
          <w:tcPr>
            <w:tcW w:w="4443" w:type="pct"/>
          </w:tcPr>
          <w:p w:rsidR="00903F46" w:rsidRDefault="00903F46" w:rsidP="00903F46">
            <w:pPr>
              <w:pStyle w:val="Tablewriting"/>
              <w:keepNext/>
              <w:rPr>
                <w:rFonts w:eastAsia="MS Mincho"/>
              </w:rPr>
            </w:pPr>
            <w:r w:rsidRPr="008E38BA">
              <w:rPr>
                <w:rFonts w:eastAsia="MS Mincho"/>
              </w:rPr>
              <w:t>Hartmann‐Boyce  J, Chepkin  SC, Ye  W, Bullen  C, Lancaster  T. Nicotine replacement therapy versus control for smoking cessation. Cochrane Database of Systematic Reviews 2018, Issue 5. Art. No.: CD000146.</w:t>
            </w:r>
          </w:p>
        </w:tc>
      </w:tr>
      <w:tr w:rsidR="0085037A" w:rsidRPr="00061F78" w:rsidTr="004A509B">
        <w:trPr>
          <w:cantSplit/>
          <w:trHeight w:val="164"/>
        </w:trPr>
        <w:tc>
          <w:tcPr>
            <w:tcW w:w="557" w:type="pct"/>
            <w:tcMar>
              <w:left w:w="28" w:type="dxa"/>
              <w:right w:w="28" w:type="dxa"/>
            </w:tcMar>
          </w:tcPr>
          <w:p w:rsidR="0012484D" w:rsidRDefault="0012484D" w:rsidP="0012484D">
            <w:pPr>
              <w:pStyle w:val="Tablewriting"/>
              <w:keepNext/>
              <w:rPr>
                <w:rFonts w:eastAsia="MS Mincho"/>
              </w:rPr>
            </w:pPr>
            <w:r>
              <w:rPr>
                <w:rFonts w:eastAsia="MS Mincho"/>
              </w:rPr>
              <w:t>Chen</w:t>
            </w:r>
          </w:p>
          <w:p w:rsidR="0012484D" w:rsidRDefault="0012484D" w:rsidP="0012484D">
            <w:pPr>
              <w:pStyle w:val="Tablewriting"/>
              <w:keepNext/>
              <w:rPr>
                <w:rFonts w:eastAsia="MS Mincho"/>
              </w:rPr>
            </w:pPr>
            <w:r>
              <w:rPr>
                <w:rFonts w:eastAsia="MS Mincho"/>
              </w:rPr>
              <w:t>(2020)</w:t>
            </w:r>
            <w:r w:rsidR="0039468B" w:rsidRPr="007A53BC">
              <w:rPr>
                <w:rFonts w:eastAsia="MS Mincho"/>
                <w:noProof/>
                <w:vertAlign w:val="superscript"/>
              </w:rPr>
              <w:t>46</w:t>
            </w:r>
          </w:p>
        </w:tc>
        <w:tc>
          <w:tcPr>
            <w:tcW w:w="4443" w:type="pct"/>
          </w:tcPr>
          <w:p w:rsidR="0012484D" w:rsidRPr="008E38BA" w:rsidRDefault="0012484D" w:rsidP="0012484D">
            <w:pPr>
              <w:pStyle w:val="Tablewriting"/>
              <w:keepNext/>
              <w:rPr>
                <w:rFonts w:eastAsia="MS Mincho"/>
              </w:rPr>
            </w:pPr>
            <w:r w:rsidRPr="002E3D2F">
              <w:rPr>
                <w:rFonts w:eastAsia="MS Mincho"/>
              </w:rPr>
              <w:t>Chen LS, Baker TB, Miller JP, Bray M, Smock N, Chen J, Stoneking F, Culverhouse RC, Saccone NL, Amos CI, Carney RM. Genetic Variant in CHRNA5 and Response to Varenicline and Combination Nicotine Replacement in a randomized placebo‐controlled trial. Clinical Pharmacology &amp; Therapeutics. 2020 Jun 29.</w:t>
            </w:r>
          </w:p>
        </w:tc>
      </w:tr>
    </w:tbl>
    <w:p w:rsidR="00730A68" w:rsidRDefault="00730A68" w:rsidP="00944A49">
      <w:pPr>
        <w:rPr>
          <w:highlight w:val="yellow"/>
        </w:rPr>
      </w:pPr>
    </w:p>
    <w:p w:rsidR="00AC62D6" w:rsidRDefault="00AC62D6" w:rsidP="00944A49">
      <w:r w:rsidRPr="00713891">
        <w:t xml:space="preserve">A summary of the characteristics of the studies comparing </w:t>
      </w:r>
      <w:r w:rsidR="00713891">
        <w:t xml:space="preserve">combination </w:t>
      </w:r>
      <w:r w:rsidRPr="00713891">
        <w:t xml:space="preserve">NRT with placebo is presented in </w:t>
      </w:r>
      <w:r w:rsidR="003C4A1C">
        <w:t xml:space="preserve">Table </w:t>
      </w:r>
      <w:r w:rsidR="003C4A1C">
        <w:rPr>
          <w:noProof/>
        </w:rPr>
        <w:t>55</w:t>
      </w:r>
      <w:r w:rsidRPr="00713891">
        <w:t xml:space="preserve">. A total of </w:t>
      </w:r>
      <w:r w:rsidR="00AE3111">
        <w:t>five</w:t>
      </w:r>
      <w:r w:rsidRPr="00713891">
        <w:t xml:space="preserve"> RCTs comparing </w:t>
      </w:r>
      <w:r w:rsidR="00AE3111">
        <w:t xml:space="preserve">combination </w:t>
      </w:r>
      <w:r w:rsidRPr="00713891">
        <w:t>NRT with placebo were identified by Hartmann-Boyce et al. (2018)</w:t>
      </w:r>
      <w:r w:rsidRPr="00AC62D6">
        <w:t xml:space="preserve"> </w:t>
      </w:r>
      <w:r w:rsidR="001F14D5">
        <w:t>a</w:t>
      </w:r>
      <w:r w:rsidR="00161E08" w:rsidRPr="00161E08">
        <w:t>nd w</w:t>
      </w:r>
      <w:r w:rsidR="00161E08">
        <w:t>ere</w:t>
      </w:r>
      <w:r w:rsidR="00161E08" w:rsidRPr="00161E08">
        <w:t xml:space="preserve"> included in this report</w:t>
      </w:r>
      <w:r w:rsidR="00161E08">
        <w:t>.</w:t>
      </w:r>
      <w:r w:rsidR="00796FC8">
        <w:t xml:space="preserve"> </w:t>
      </w:r>
      <w:r w:rsidR="00796FC8" w:rsidRPr="00796FC8">
        <w:t xml:space="preserve">The characteristics of the individual studies are presented in </w:t>
      </w:r>
      <w:r w:rsidR="00796FC8" w:rsidRPr="002B38F3">
        <w:t>Appendix</w:t>
      </w:r>
      <w:r w:rsidR="00796FC8" w:rsidRPr="00796FC8">
        <w:t xml:space="preserve"> </w:t>
      </w:r>
      <w:r w:rsidR="003C4A1C">
        <w:t xml:space="preserve">Table </w:t>
      </w:r>
      <w:r w:rsidR="003C4A1C">
        <w:rPr>
          <w:noProof/>
        </w:rPr>
        <w:t>155</w:t>
      </w:r>
      <w:r w:rsidR="00796FC8" w:rsidRPr="00796FC8">
        <w:t>.</w:t>
      </w:r>
    </w:p>
    <w:p w:rsidR="0012484D" w:rsidRDefault="00202E2C" w:rsidP="00944A49">
      <w:r>
        <w:t xml:space="preserve">Chen et al. </w:t>
      </w:r>
      <w:r w:rsidR="00AC1662">
        <w:t>(</w:t>
      </w:r>
      <w:r>
        <w:t>2020</w:t>
      </w:r>
      <w:r w:rsidR="00AC1662">
        <w:t>)</w:t>
      </w:r>
      <w:r>
        <w:t xml:space="preserve"> </w:t>
      </w:r>
      <w:r w:rsidR="007E690D">
        <w:t xml:space="preserve">was a </w:t>
      </w:r>
      <w:r w:rsidR="007E690D" w:rsidRPr="007E690D">
        <w:t>genotype-stratified randomi</w:t>
      </w:r>
      <w:r w:rsidR="007E690D">
        <w:t>s</w:t>
      </w:r>
      <w:r w:rsidR="007E690D" w:rsidRPr="007E690D">
        <w:t xml:space="preserve">ed, double-blind, placebo-controlled clinical trial </w:t>
      </w:r>
      <w:r w:rsidR="007E690D">
        <w:t>comparing</w:t>
      </w:r>
      <w:r w:rsidR="007E690D" w:rsidRPr="007E690D">
        <w:t xml:space="preserve"> 12 weeks of placebo, combination nicotine patch and lozenge</w:t>
      </w:r>
      <w:r w:rsidR="007E690D">
        <w:t xml:space="preserve"> and</w:t>
      </w:r>
      <w:r w:rsidR="007E690D" w:rsidRPr="007E690D">
        <w:t xml:space="preserve"> varenicline. </w:t>
      </w:r>
      <w:r w:rsidR="007E690D">
        <w:t>This study was included in the</w:t>
      </w:r>
      <w:r w:rsidR="00F70E10">
        <w:t xml:space="preserve"> updated efficacy and safety re-analysis where outcomes were reported.</w:t>
      </w:r>
      <w:r w:rsidR="007E690D">
        <w:t xml:space="preserve">   </w:t>
      </w:r>
    </w:p>
    <w:p w:rsidR="007E690D" w:rsidRDefault="007E690D" w:rsidP="00944A49"/>
    <w:p w:rsidR="0012484D" w:rsidRDefault="0012484D" w:rsidP="00944A49">
      <w:pPr>
        <w:sectPr w:rsidR="0012484D" w:rsidSect="006356D2">
          <w:pgSz w:w="11906" w:h="16838"/>
          <w:pgMar w:top="1440" w:right="1440" w:bottom="1440" w:left="1440" w:header="708" w:footer="708" w:gutter="0"/>
          <w:cols w:space="708"/>
          <w:titlePg/>
          <w:docGrid w:linePitch="360"/>
        </w:sectPr>
      </w:pPr>
    </w:p>
    <w:p w:rsidR="007E02A9" w:rsidRDefault="007E02A9" w:rsidP="007E02A9">
      <w:pPr>
        <w:pStyle w:val="Caption"/>
        <w:keepNext/>
      </w:pPr>
      <w:bookmarkStart w:id="138" w:name="_Ref55292641"/>
      <w:r>
        <w:lastRenderedPageBreak/>
        <w:t xml:space="preserve">Table </w:t>
      </w:r>
      <w:r w:rsidR="003C4A1C">
        <w:rPr>
          <w:noProof/>
        </w:rPr>
        <w:t>55</w:t>
      </w:r>
      <w:bookmarkEnd w:id="138"/>
      <w:r>
        <w:t xml:space="preserve">: </w:t>
      </w:r>
      <w:r w:rsidRPr="0075049D">
        <w:t xml:space="preserve">Characteristics of the studies comparing </w:t>
      </w:r>
      <w:r>
        <w:t>combination NRT</w:t>
      </w:r>
      <w:r w:rsidRPr="0075049D">
        <w:t xml:space="preserve"> with placebo</w:t>
      </w:r>
    </w:p>
    <w:tbl>
      <w:tblPr>
        <w:tblStyle w:val="TableGrid"/>
        <w:tblW w:w="5000" w:type="pct"/>
        <w:tblLook w:val="04A0" w:firstRow="1" w:lastRow="0" w:firstColumn="1" w:lastColumn="0" w:noHBand="0" w:noVBand="1"/>
        <w:tblCaption w:val="Efficacy results of adalimumab trials (PASI 75 and DLQI)"/>
      </w:tblPr>
      <w:tblGrid>
        <w:gridCol w:w="1444"/>
        <w:gridCol w:w="988"/>
        <w:gridCol w:w="2395"/>
        <w:gridCol w:w="3949"/>
        <w:gridCol w:w="3244"/>
        <w:gridCol w:w="1928"/>
      </w:tblGrid>
      <w:tr w:rsidR="007709D9" w:rsidRPr="00061F78" w:rsidTr="007709D9">
        <w:trPr>
          <w:trHeight w:val="299"/>
          <w:tblHeader/>
        </w:trPr>
        <w:tc>
          <w:tcPr>
            <w:tcW w:w="518" w:type="pct"/>
            <w:shd w:val="clear" w:color="auto" w:fill="BFBFBF" w:themeFill="background1" w:themeFillShade="BF"/>
            <w:tcMar>
              <w:left w:w="28" w:type="dxa"/>
              <w:right w:w="28" w:type="dxa"/>
            </w:tcMar>
          </w:tcPr>
          <w:p w:rsidR="00F64373" w:rsidRPr="00061F78" w:rsidRDefault="00126B7B" w:rsidP="0025105B">
            <w:pPr>
              <w:pStyle w:val="Tableheading"/>
              <w:keepNext/>
              <w:rPr>
                <w:rFonts w:eastAsia="MS Mincho"/>
              </w:rPr>
            </w:pPr>
            <w:r>
              <w:rPr>
                <w:rFonts w:eastAsia="MS Mincho"/>
              </w:rPr>
              <w:t>Study</w:t>
            </w:r>
          </w:p>
        </w:tc>
        <w:tc>
          <w:tcPr>
            <w:tcW w:w="353" w:type="pct"/>
            <w:shd w:val="clear" w:color="auto" w:fill="BFBFBF" w:themeFill="background1" w:themeFillShade="BF"/>
          </w:tcPr>
          <w:p w:rsidR="00F64373" w:rsidRDefault="00F64373" w:rsidP="0025105B">
            <w:pPr>
              <w:pStyle w:val="Tableheading"/>
              <w:keepNext/>
              <w:jc w:val="center"/>
              <w:rPr>
                <w:rFonts w:eastAsia="MS Mincho"/>
              </w:rPr>
            </w:pPr>
            <w:r>
              <w:rPr>
                <w:rFonts w:eastAsia="MS Mincho"/>
              </w:rPr>
              <w:t>Study type</w:t>
            </w:r>
          </w:p>
        </w:tc>
        <w:tc>
          <w:tcPr>
            <w:tcW w:w="859" w:type="pct"/>
            <w:shd w:val="clear" w:color="auto" w:fill="BFBFBF" w:themeFill="background1" w:themeFillShade="BF"/>
            <w:tcMar>
              <w:left w:w="28" w:type="dxa"/>
              <w:right w:w="28" w:type="dxa"/>
            </w:tcMar>
          </w:tcPr>
          <w:p w:rsidR="00F64373" w:rsidRPr="00AE21E9" w:rsidRDefault="00F64373" w:rsidP="0025105B">
            <w:pPr>
              <w:pStyle w:val="Tableheading"/>
              <w:keepNext/>
              <w:jc w:val="center"/>
              <w:rPr>
                <w:rFonts w:eastAsia="MS Mincho"/>
                <w:vertAlign w:val="superscript"/>
              </w:rPr>
            </w:pPr>
            <w:r>
              <w:rPr>
                <w:rFonts w:eastAsia="MS Mincho"/>
              </w:rPr>
              <w:t>N</w:t>
            </w:r>
            <w:r>
              <w:rPr>
                <w:rFonts w:eastAsia="MS Mincho"/>
                <w:vertAlign w:val="superscript"/>
              </w:rPr>
              <w:t>1</w:t>
            </w:r>
          </w:p>
        </w:tc>
        <w:tc>
          <w:tcPr>
            <w:tcW w:w="1416" w:type="pct"/>
            <w:shd w:val="clear" w:color="auto" w:fill="BFBFBF" w:themeFill="background1" w:themeFillShade="BF"/>
            <w:tcMar>
              <w:left w:w="28" w:type="dxa"/>
              <w:right w:w="28" w:type="dxa"/>
            </w:tcMar>
          </w:tcPr>
          <w:p w:rsidR="00F64373" w:rsidRPr="00061F78" w:rsidRDefault="00F64373" w:rsidP="0025105B">
            <w:pPr>
              <w:pStyle w:val="Tableheading"/>
              <w:keepNext/>
              <w:jc w:val="center"/>
              <w:rPr>
                <w:rFonts w:eastAsia="MS Mincho"/>
              </w:rPr>
            </w:pPr>
            <w:r w:rsidRPr="00061F78">
              <w:rPr>
                <w:rFonts w:eastAsia="MS Mincho"/>
              </w:rPr>
              <w:t>P</w:t>
            </w:r>
            <w:r>
              <w:rPr>
                <w:rFonts w:eastAsia="MS Mincho"/>
              </w:rPr>
              <w:t>opulation</w:t>
            </w:r>
          </w:p>
        </w:tc>
        <w:tc>
          <w:tcPr>
            <w:tcW w:w="1163" w:type="pct"/>
            <w:shd w:val="clear" w:color="auto" w:fill="BFBFBF" w:themeFill="background1" w:themeFillShade="BF"/>
          </w:tcPr>
          <w:p w:rsidR="00F64373" w:rsidRDefault="00F64373" w:rsidP="0025105B">
            <w:pPr>
              <w:pStyle w:val="Tableheading"/>
              <w:keepNext/>
              <w:jc w:val="center"/>
              <w:rPr>
                <w:rFonts w:eastAsia="MS Mincho"/>
              </w:rPr>
            </w:pPr>
            <w:r>
              <w:rPr>
                <w:rFonts w:eastAsia="MS Mincho"/>
              </w:rPr>
              <w:t>Intervention and comparator</w:t>
            </w:r>
          </w:p>
        </w:tc>
        <w:tc>
          <w:tcPr>
            <w:tcW w:w="691" w:type="pct"/>
            <w:shd w:val="clear" w:color="auto" w:fill="BFBFBF" w:themeFill="background1" w:themeFillShade="BF"/>
            <w:tcMar>
              <w:left w:w="28" w:type="dxa"/>
              <w:right w:w="28" w:type="dxa"/>
            </w:tcMar>
          </w:tcPr>
          <w:p w:rsidR="00F64373" w:rsidRPr="00061F78" w:rsidRDefault="00F64373" w:rsidP="0025105B">
            <w:pPr>
              <w:pStyle w:val="Tableheading"/>
              <w:keepNext/>
              <w:jc w:val="center"/>
              <w:rPr>
                <w:rFonts w:eastAsia="MS Mincho"/>
              </w:rPr>
            </w:pPr>
            <w:r>
              <w:rPr>
                <w:rFonts w:eastAsia="MS Mincho"/>
              </w:rPr>
              <w:t>Outcomes</w:t>
            </w:r>
          </w:p>
        </w:tc>
      </w:tr>
      <w:tr w:rsidR="007709D9" w:rsidRPr="00061F78" w:rsidTr="007709D9">
        <w:trPr>
          <w:trHeight w:val="149"/>
        </w:trPr>
        <w:tc>
          <w:tcPr>
            <w:tcW w:w="518" w:type="pct"/>
            <w:tcMar>
              <w:left w:w="28" w:type="dxa"/>
              <w:right w:w="28" w:type="dxa"/>
            </w:tcMar>
          </w:tcPr>
          <w:p w:rsidR="00FB757E" w:rsidRDefault="00FB757E" w:rsidP="00FB757E">
            <w:pPr>
              <w:pStyle w:val="Tablewriting"/>
              <w:keepNext/>
              <w:rPr>
                <w:rFonts w:eastAsia="MS Mincho"/>
              </w:rPr>
            </w:pPr>
            <w:r>
              <w:rPr>
                <w:rFonts w:eastAsia="MS Mincho"/>
              </w:rPr>
              <w:t>Hartmann-Boyce</w:t>
            </w:r>
            <w:r w:rsidRPr="00061F78">
              <w:rPr>
                <w:rFonts w:eastAsia="MS Mincho"/>
              </w:rPr>
              <w:t xml:space="preserve"> (20</w:t>
            </w:r>
            <w:r>
              <w:rPr>
                <w:rFonts w:eastAsia="MS Mincho"/>
              </w:rPr>
              <w:t>18</w:t>
            </w:r>
            <w:r w:rsidRPr="00061F78">
              <w:rPr>
                <w:rFonts w:eastAsia="MS Mincho"/>
              </w:rPr>
              <w:t>)</w:t>
            </w:r>
          </w:p>
        </w:tc>
        <w:tc>
          <w:tcPr>
            <w:tcW w:w="353" w:type="pct"/>
          </w:tcPr>
          <w:p w:rsidR="00FB757E" w:rsidRDefault="00FB757E" w:rsidP="00FB757E">
            <w:pPr>
              <w:pStyle w:val="Tablewriting"/>
              <w:keepNext/>
              <w:rPr>
                <w:rFonts w:eastAsia="MS Mincho"/>
              </w:rPr>
            </w:pPr>
            <w:r>
              <w:rPr>
                <w:rFonts w:eastAsia="MS Mincho"/>
              </w:rPr>
              <w:t>Cochrane review    (5 RCTs</w:t>
            </w:r>
            <w:r w:rsidRPr="00AB145F">
              <w:rPr>
                <w:rFonts w:eastAsia="MS Mincho"/>
                <w:vertAlign w:val="superscript"/>
              </w:rPr>
              <w:t>2</w:t>
            </w:r>
            <w:r>
              <w:rPr>
                <w:rFonts w:eastAsia="MS Mincho"/>
              </w:rPr>
              <w:t>)</w:t>
            </w:r>
          </w:p>
        </w:tc>
        <w:tc>
          <w:tcPr>
            <w:tcW w:w="859" w:type="pct"/>
            <w:tcMar>
              <w:left w:w="28" w:type="dxa"/>
              <w:right w:w="28" w:type="dxa"/>
            </w:tcMar>
          </w:tcPr>
          <w:p w:rsidR="001D2106" w:rsidRPr="001D2106" w:rsidRDefault="001D2106" w:rsidP="00FB757E">
            <w:pPr>
              <w:pStyle w:val="Tablewriting"/>
              <w:keepNext/>
              <w:rPr>
                <w:rFonts w:eastAsia="MS Mincho"/>
                <w:u w:val="single"/>
              </w:rPr>
            </w:pPr>
            <w:r w:rsidRPr="001D2106">
              <w:rPr>
                <w:rFonts w:eastAsia="MS Mincho"/>
                <w:u w:val="single"/>
              </w:rPr>
              <w:t>NRT patch and lozenge</w:t>
            </w:r>
          </w:p>
          <w:p w:rsidR="00FB757E" w:rsidRDefault="00FB757E" w:rsidP="00FB757E">
            <w:pPr>
              <w:pStyle w:val="Tablewriting"/>
              <w:keepNext/>
              <w:rPr>
                <w:rFonts w:eastAsia="MS Mincho"/>
              </w:rPr>
            </w:pPr>
            <w:r>
              <w:rPr>
                <w:rFonts w:eastAsia="MS Mincho"/>
              </w:rPr>
              <w:t>N=</w:t>
            </w:r>
            <w:r w:rsidR="001F794D">
              <w:rPr>
                <w:rFonts w:eastAsia="MS Mincho"/>
              </w:rPr>
              <w:t>3</w:t>
            </w:r>
            <w:r w:rsidR="001D2106">
              <w:rPr>
                <w:rFonts w:eastAsia="MS Mincho"/>
              </w:rPr>
              <w:t>08</w:t>
            </w:r>
            <w:r w:rsidR="008F080D">
              <w:rPr>
                <w:rFonts w:eastAsia="MS Mincho"/>
              </w:rPr>
              <w:t xml:space="preserve"> (1 RCT)</w:t>
            </w:r>
          </w:p>
          <w:p w:rsidR="00FB757E" w:rsidRDefault="00BA3803" w:rsidP="00FB757E">
            <w:pPr>
              <w:pStyle w:val="Tablewriting"/>
              <w:keepNext/>
              <w:rPr>
                <w:rFonts w:eastAsia="MS Mincho"/>
              </w:rPr>
            </w:pPr>
            <w:r>
              <w:rPr>
                <w:rFonts w:eastAsia="MS Mincho"/>
              </w:rPr>
              <w:t>Intervention</w:t>
            </w:r>
            <w:r w:rsidR="00FB757E">
              <w:rPr>
                <w:rFonts w:eastAsia="MS Mincho"/>
              </w:rPr>
              <w:t xml:space="preserve"> (n=</w:t>
            </w:r>
            <w:r w:rsidR="00BD16F6">
              <w:rPr>
                <w:rFonts w:eastAsia="MS Mincho"/>
              </w:rPr>
              <w:t>267</w:t>
            </w:r>
            <w:r w:rsidR="00FB757E">
              <w:rPr>
                <w:rFonts w:eastAsia="MS Mincho"/>
              </w:rPr>
              <w:t>),</w:t>
            </w:r>
          </w:p>
          <w:p w:rsidR="00FB757E" w:rsidRDefault="00FB757E" w:rsidP="00FB757E">
            <w:pPr>
              <w:pStyle w:val="Tablewriting"/>
              <w:keepNext/>
              <w:rPr>
                <w:rFonts w:eastAsia="MS Mincho"/>
              </w:rPr>
            </w:pPr>
            <w:r>
              <w:rPr>
                <w:rFonts w:eastAsia="MS Mincho"/>
              </w:rPr>
              <w:t>Placebo (n=</w:t>
            </w:r>
            <w:r w:rsidR="00BD16F6">
              <w:rPr>
                <w:rFonts w:eastAsia="MS Mincho"/>
              </w:rPr>
              <w:t>41</w:t>
            </w:r>
            <w:r>
              <w:rPr>
                <w:rFonts w:eastAsia="MS Mincho"/>
              </w:rPr>
              <w:t>)</w:t>
            </w:r>
          </w:p>
          <w:p w:rsidR="001F794D" w:rsidRPr="001D2106" w:rsidRDefault="001F794D" w:rsidP="001F794D">
            <w:pPr>
              <w:pStyle w:val="Tablewriting"/>
              <w:keepNext/>
              <w:rPr>
                <w:rFonts w:eastAsia="MS Mincho"/>
                <w:u w:val="single"/>
              </w:rPr>
            </w:pPr>
            <w:r w:rsidRPr="001D2106">
              <w:rPr>
                <w:rFonts w:eastAsia="MS Mincho"/>
                <w:u w:val="single"/>
              </w:rPr>
              <w:t xml:space="preserve">NRT patch and </w:t>
            </w:r>
            <w:r>
              <w:rPr>
                <w:rFonts w:eastAsia="MS Mincho"/>
                <w:u w:val="single"/>
              </w:rPr>
              <w:t>gum</w:t>
            </w:r>
          </w:p>
          <w:p w:rsidR="001F794D" w:rsidRDefault="001F794D" w:rsidP="001F794D">
            <w:pPr>
              <w:pStyle w:val="Tablewriting"/>
              <w:keepNext/>
              <w:rPr>
                <w:rFonts w:eastAsia="MS Mincho"/>
              </w:rPr>
            </w:pPr>
            <w:r>
              <w:rPr>
                <w:rFonts w:eastAsia="MS Mincho"/>
              </w:rPr>
              <w:t>N=</w:t>
            </w:r>
            <w:r w:rsidR="0087059B">
              <w:rPr>
                <w:rFonts w:eastAsia="MS Mincho"/>
              </w:rPr>
              <w:t>259</w:t>
            </w:r>
            <w:r w:rsidR="008F080D">
              <w:rPr>
                <w:rFonts w:eastAsia="MS Mincho"/>
              </w:rPr>
              <w:t xml:space="preserve"> (2 RCTs)</w:t>
            </w:r>
          </w:p>
          <w:p w:rsidR="001F794D" w:rsidRDefault="001F794D" w:rsidP="001F794D">
            <w:pPr>
              <w:pStyle w:val="Tablewriting"/>
              <w:keepNext/>
              <w:rPr>
                <w:rFonts w:eastAsia="MS Mincho"/>
              </w:rPr>
            </w:pPr>
            <w:r>
              <w:rPr>
                <w:rFonts w:eastAsia="MS Mincho"/>
              </w:rPr>
              <w:t>Intervention (n=</w:t>
            </w:r>
            <w:r w:rsidR="00AA65D4">
              <w:rPr>
                <w:rFonts w:eastAsia="MS Mincho"/>
              </w:rPr>
              <w:t>173</w:t>
            </w:r>
            <w:r>
              <w:rPr>
                <w:rFonts w:eastAsia="MS Mincho"/>
              </w:rPr>
              <w:t>),</w:t>
            </w:r>
          </w:p>
          <w:p w:rsidR="001F794D" w:rsidRDefault="001F794D" w:rsidP="001F794D">
            <w:pPr>
              <w:pStyle w:val="Tablewriting"/>
              <w:keepNext/>
              <w:rPr>
                <w:rFonts w:eastAsia="MS Mincho"/>
              </w:rPr>
            </w:pPr>
            <w:r>
              <w:rPr>
                <w:rFonts w:eastAsia="MS Mincho"/>
              </w:rPr>
              <w:t>Placebo (n=</w:t>
            </w:r>
            <w:r w:rsidR="00D520C4">
              <w:rPr>
                <w:rFonts w:eastAsia="MS Mincho"/>
              </w:rPr>
              <w:t>86</w:t>
            </w:r>
            <w:r>
              <w:rPr>
                <w:rFonts w:eastAsia="MS Mincho"/>
              </w:rPr>
              <w:t>)</w:t>
            </w:r>
          </w:p>
          <w:p w:rsidR="0087059B" w:rsidRPr="001D2106" w:rsidRDefault="0087059B" w:rsidP="0087059B">
            <w:pPr>
              <w:pStyle w:val="Tablewriting"/>
              <w:keepNext/>
              <w:rPr>
                <w:rFonts w:eastAsia="MS Mincho"/>
                <w:u w:val="single"/>
              </w:rPr>
            </w:pPr>
            <w:r w:rsidRPr="001D2106">
              <w:rPr>
                <w:rFonts w:eastAsia="MS Mincho"/>
                <w:u w:val="single"/>
              </w:rPr>
              <w:t xml:space="preserve">NRT patch and </w:t>
            </w:r>
            <w:r w:rsidR="00913106">
              <w:rPr>
                <w:rFonts w:eastAsia="MS Mincho"/>
                <w:u w:val="single"/>
              </w:rPr>
              <w:t>inhalator</w:t>
            </w:r>
          </w:p>
          <w:p w:rsidR="0087059B" w:rsidRDefault="0087059B" w:rsidP="0087059B">
            <w:pPr>
              <w:pStyle w:val="Tablewriting"/>
              <w:keepNext/>
              <w:rPr>
                <w:rFonts w:eastAsia="MS Mincho"/>
              </w:rPr>
            </w:pPr>
            <w:r>
              <w:rPr>
                <w:rFonts w:eastAsia="MS Mincho"/>
              </w:rPr>
              <w:t>N=</w:t>
            </w:r>
            <w:r w:rsidR="00913106">
              <w:rPr>
                <w:rFonts w:eastAsia="MS Mincho"/>
              </w:rPr>
              <w:t>245</w:t>
            </w:r>
            <w:r w:rsidR="008F080D">
              <w:rPr>
                <w:rFonts w:eastAsia="MS Mincho"/>
              </w:rPr>
              <w:t xml:space="preserve"> (1 RCT)</w:t>
            </w:r>
          </w:p>
          <w:p w:rsidR="0087059B" w:rsidRDefault="0087059B" w:rsidP="0087059B">
            <w:pPr>
              <w:pStyle w:val="Tablewriting"/>
              <w:keepNext/>
              <w:rPr>
                <w:rFonts w:eastAsia="MS Mincho"/>
              </w:rPr>
            </w:pPr>
            <w:r>
              <w:rPr>
                <w:rFonts w:eastAsia="MS Mincho"/>
              </w:rPr>
              <w:t>Intervention (n=</w:t>
            </w:r>
            <w:r w:rsidR="00027AF6">
              <w:rPr>
                <w:rFonts w:eastAsia="MS Mincho"/>
              </w:rPr>
              <w:t>136</w:t>
            </w:r>
            <w:r>
              <w:rPr>
                <w:rFonts w:eastAsia="MS Mincho"/>
              </w:rPr>
              <w:t>),</w:t>
            </w:r>
          </w:p>
          <w:p w:rsidR="0087059B" w:rsidRDefault="0087059B" w:rsidP="0087059B">
            <w:pPr>
              <w:pStyle w:val="Tablewriting"/>
              <w:keepNext/>
              <w:rPr>
                <w:rFonts w:eastAsia="MS Mincho"/>
              </w:rPr>
            </w:pPr>
            <w:r>
              <w:rPr>
                <w:rFonts w:eastAsia="MS Mincho"/>
              </w:rPr>
              <w:t>Placebo (n=</w:t>
            </w:r>
            <w:r w:rsidR="00027AF6">
              <w:rPr>
                <w:rFonts w:eastAsia="MS Mincho"/>
              </w:rPr>
              <w:t>109</w:t>
            </w:r>
            <w:r>
              <w:rPr>
                <w:rFonts w:eastAsia="MS Mincho"/>
              </w:rPr>
              <w:t>)</w:t>
            </w:r>
          </w:p>
          <w:p w:rsidR="00027AF6" w:rsidRPr="001D2106" w:rsidRDefault="00027AF6" w:rsidP="00027AF6">
            <w:pPr>
              <w:pStyle w:val="Tablewriting"/>
              <w:keepNext/>
              <w:rPr>
                <w:rFonts w:eastAsia="MS Mincho"/>
                <w:u w:val="single"/>
              </w:rPr>
            </w:pPr>
            <w:r w:rsidRPr="001D2106">
              <w:rPr>
                <w:rFonts w:eastAsia="MS Mincho"/>
                <w:u w:val="single"/>
              </w:rPr>
              <w:t>NRT patch</w:t>
            </w:r>
            <w:r>
              <w:rPr>
                <w:rFonts w:eastAsia="MS Mincho"/>
                <w:u w:val="single"/>
              </w:rPr>
              <w:t>, gum</w:t>
            </w:r>
            <w:r w:rsidRPr="001D2106">
              <w:rPr>
                <w:rFonts w:eastAsia="MS Mincho"/>
                <w:u w:val="single"/>
              </w:rPr>
              <w:t xml:space="preserve"> and lozenge</w:t>
            </w:r>
          </w:p>
          <w:p w:rsidR="00027AF6" w:rsidRDefault="00027AF6" w:rsidP="00027AF6">
            <w:pPr>
              <w:pStyle w:val="Tablewriting"/>
              <w:keepNext/>
              <w:rPr>
                <w:rFonts w:eastAsia="MS Mincho"/>
              </w:rPr>
            </w:pPr>
            <w:r>
              <w:rPr>
                <w:rFonts w:eastAsia="MS Mincho"/>
              </w:rPr>
              <w:t>N=424</w:t>
            </w:r>
            <w:r w:rsidR="003E53B1">
              <w:rPr>
                <w:rFonts w:eastAsia="MS Mincho"/>
              </w:rPr>
              <w:t xml:space="preserve"> (1 RCT)</w:t>
            </w:r>
          </w:p>
          <w:p w:rsidR="00027AF6" w:rsidRDefault="00027AF6" w:rsidP="00027AF6">
            <w:pPr>
              <w:pStyle w:val="Tablewriting"/>
              <w:keepNext/>
              <w:rPr>
                <w:rFonts w:eastAsia="MS Mincho"/>
              </w:rPr>
            </w:pPr>
            <w:r>
              <w:rPr>
                <w:rFonts w:eastAsia="MS Mincho"/>
              </w:rPr>
              <w:t>Intervention (n=</w:t>
            </w:r>
            <w:r w:rsidR="00D520C4">
              <w:rPr>
                <w:rFonts w:eastAsia="MS Mincho"/>
              </w:rPr>
              <w:t>212</w:t>
            </w:r>
            <w:r>
              <w:rPr>
                <w:rFonts w:eastAsia="MS Mincho"/>
              </w:rPr>
              <w:t>),</w:t>
            </w:r>
          </w:p>
          <w:p w:rsidR="00027AF6" w:rsidRPr="004B359D" w:rsidRDefault="00027AF6" w:rsidP="00027AF6">
            <w:pPr>
              <w:pStyle w:val="Tablewriting"/>
              <w:keepNext/>
              <w:rPr>
                <w:rFonts w:eastAsia="MS Mincho"/>
                <w:highlight w:val="yellow"/>
              </w:rPr>
            </w:pPr>
            <w:r>
              <w:rPr>
                <w:rFonts w:eastAsia="MS Mincho"/>
              </w:rPr>
              <w:t>Placebo (n=</w:t>
            </w:r>
            <w:r w:rsidR="00D520C4">
              <w:rPr>
                <w:rFonts w:eastAsia="MS Mincho"/>
              </w:rPr>
              <w:t>212</w:t>
            </w:r>
            <w:r>
              <w:rPr>
                <w:rFonts w:eastAsia="MS Mincho"/>
              </w:rPr>
              <w:t>)</w:t>
            </w:r>
          </w:p>
        </w:tc>
        <w:tc>
          <w:tcPr>
            <w:tcW w:w="1416" w:type="pct"/>
            <w:tcMar>
              <w:left w:w="28" w:type="dxa"/>
              <w:right w:w="28" w:type="dxa"/>
            </w:tcMar>
          </w:tcPr>
          <w:p w:rsidR="00FB757E" w:rsidRDefault="00FB757E" w:rsidP="00FB757E">
            <w:pPr>
              <w:pStyle w:val="Tablewriting"/>
              <w:keepNext/>
              <w:rPr>
                <w:rFonts w:eastAsia="MS Mincho"/>
              </w:rPr>
            </w:pPr>
            <w:r w:rsidRPr="002C19B4">
              <w:rPr>
                <w:rFonts w:eastAsia="MS Mincho"/>
                <w:u w:val="single"/>
              </w:rPr>
              <w:t>Inclusion</w:t>
            </w:r>
            <w:r>
              <w:rPr>
                <w:rFonts w:eastAsia="MS Mincho"/>
              </w:rPr>
              <w:t xml:space="preserve">: </w:t>
            </w:r>
            <w:r w:rsidRPr="007B7C66">
              <w:rPr>
                <w:rFonts w:eastAsia="MS Mincho"/>
              </w:rPr>
              <w:t>men or women who smoked and were motivated to</w:t>
            </w:r>
            <w:r w:rsidR="0038776A">
              <w:rPr>
                <w:rFonts w:eastAsia="MS Mincho"/>
              </w:rPr>
              <w:t xml:space="preserve"> </w:t>
            </w:r>
            <w:r w:rsidRPr="007B7C66">
              <w:rPr>
                <w:rFonts w:eastAsia="MS Mincho"/>
              </w:rPr>
              <w:t>quit, irrespective of the setting from which they were recruited</w:t>
            </w:r>
            <w:r w:rsidR="0038776A">
              <w:rPr>
                <w:rFonts w:eastAsia="MS Mincho"/>
              </w:rPr>
              <w:t xml:space="preserve"> </w:t>
            </w:r>
            <w:r w:rsidRPr="007B7C66">
              <w:rPr>
                <w:rFonts w:eastAsia="MS Mincho"/>
              </w:rPr>
              <w:t>or their initial level of nicotine dependence, or both</w:t>
            </w:r>
            <w:r>
              <w:rPr>
                <w:rFonts w:eastAsia="MS Mincho"/>
              </w:rPr>
              <w:t>.</w:t>
            </w:r>
          </w:p>
          <w:p w:rsidR="00FB757E" w:rsidRPr="00EA1E9A" w:rsidRDefault="00FB757E" w:rsidP="00FB757E">
            <w:pPr>
              <w:pStyle w:val="Tablewriting"/>
              <w:keepNext/>
              <w:rPr>
                <w:rFonts w:eastAsia="MS Mincho"/>
                <w:highlight w:val="yellow"/>
              </w:rPr>
            </w:pPr>
            <w:r w:rsidRPr="002C19B4">
              <w:rPr>
                <w:rFonts w:eastAsia="MS Mincho"/>
                <w:u w:val="single"/>
              </w:rPr>
              <w:t>Exclusion</w:t>
            </w:r>
            <w:r>
              <w:rPr>
                <w:rFonts w:eastAsia="MS Mincho"/>
              </w:rPr>
              <w:t xml:space="preserve">: trials that </w:t>
            </w:r>
            <w:r w:rsidRPr="00D8489B">
              <w:rPr>
                <w:rFonts w:eastAsia="MS Mincho"/>
              </w:rPr>
              <w:t>randomi</w:t>
            </w:r>
            <w:r>
              <w:rPr>
                <w:rFonts w:eastAsia="MS Mincho"/>
              </w:rPr>
              <w:t>s</w:t>
            </w:r>
            <w:r w:rsidRPr="00D8489B">
              <w:rPr>
                <w:rFonts w:eastAsia="MS Mincho"/>
              </w:rPr>
              <w:t>ed physicians or other therapists to</w:t>
            </w:r>
            <w:r>
              <w:rPr>
                <w:rFonts w:eastAsia="MS Mincho"/>
              </w:rPr>
              <w:t xml:space="preserve"> </w:t>
            </w:r>
            <w:r w:rsidRPr="00D8489B">
              <w:rPr>
                <w:rFonts w:eastAsia="MS Mincho"/>
              </w:rPr>
              <w:t>receive an educational intervention, which included encouraging</w:t>
            </w:r>
            <w:r>
              <w:rPr>
                <w:rFonts w:eastAsia="MS Mincho"/>
              </w:rPr>
              <w:t xml:space="preserve"> </w:t>
            </w:r>
            <w:r w:rsidRPr="00D8489B">
              <w:rPr>
                <w:rFonts w:eastAsia="MS Mincho"/>
              </w:rPr>
              <w:t>their patients to use NRT</w:t>
            </w:r>
            <w:r w:rsidR="00AB5FA3">
              <w:rPr>
                <w:rFonts w:eastAsia="MS Mincho"/>
              </w:rPr>
              <w:t>.</w:t>
            </w:r>
          </w:p>
        </w:tc>
        <w:tc>
          <w:tcPr>
            <w:tcW w:w="1163" w:type="pct"/>
          </w:tcPr>
          <w:p w:rsidR="00FB757E" w:rsidRPr="004B359D" w:rsidRDefault="00FB757E" w:rsidP="00F669D2">
            <w:pPr>
              <w:pStyle w:val="Tablewriting"/>
              <w:keepNext/>
              <w:rPr>
                <w:rFonts w:eastAsia="MS Mincho"/>
                <w:highlight w:val="yellow"/>
              </w:rPr>
            </w:pPr>
            <w:r>
              <w:rPr>
                <w:rFonts w:eastAsia="MS Mincho"/>
              </w:rPr>
              <w:t xml:space="preserve">NRT: </w:t>
            </w:r>
            <w:r w:rsidR="00CD2D6F">
              <w:rPr>
                <w:rFonts w:eastAsia="MS Mincho"/>
              </w:rPr>
              <w:t xml:space="preserve">combination </w:t>
            </w:r>
            <w:r>
              <w:rPr>
                <w:rFonts w:eastAsia="MS Mincho"/>
              </w:rPr>
              <w:t>NRT</w:t>
            </w:r>
            <w:r w:rsidR="00F669D2">
              <w:rPr>
                <w:rFonts w:eastAsia="MS Mincho"/>
              </w:rPr>
              <w:t xml:space="preserve">; </w:t>
            </w:r>
            <w:r>
              <w:rPr>
                <w:rFonts w:eastAsia="MS Mincho"/>
              </w:rPr>
              <w:t>Placebo: placebo or no NRT control</w:t>
            </w:r>
            <w:r w:rsidR="00AB5FA3">
              <w:rPr>
                <w:rFonts w:eastAsia="MS Mincho"/>
              </w:rPr>
              <w:t>.</w:t>
            </w:r>
          </w:p>
        </w:tc>
        <w:tc>
          <w:tcPr>
            <w:tcW w:w="691" w:type="pct"/>
            <w:tcMar>
              <w:left w:w="28" w:type="dxa"/>
              <w:right w:w="28" w:type="dxa"/>
            </w:tcMar>
          </w:tcPr>
          <w:p w:rsidR="00FB757E" w:rsidRDefault="00FB757E" w:rsidP="00FB757E">
            <w:pPr>
              <w:pStyle w:val="Tablewriting"/>
              <w:keepNext/>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AB5FA3">
              <w:rPr>
                <w:rFonts w:eastAsia="MS Mincho"/>
              </w:rPr>
              <w:t>.</w:t>
            </w:r>
          </w:p>
          <w:p w:rsidR="00FB757E" w:rsidRPr="004B359D" w:rsidRDefault="00FB757E" w:rsidP="00FB757E">
            <w:pPr>
              <w:pStyle w:val="Tablewriting"/>
              <w:keepNext/>
              <w:rPr>
                <w:rFonts w:eastAsia="MS Mincho"/>
                <w:highlight w:val="yellow"/>
                <w:u w:val="single"/>
              </w:rPr>
            </w:pPr>
            <w:r w:rsidRPr="0036499C">
              <w:rPr>
                <w:rFonts w:eastAsia="MS Mincho"/>
                <w:u w:val="single"/>
              </w:rPr>
              <w:t>Secondary</w:t>
            </w:r>
            <w:r>
              <w:rPr>
                <w:rFonts w:eastAsia="MS Mincho"/>
              </w:rPr>
              <w:t>: adverse event including palpitations/chest pains</w:t>
            </w:r>
            <w:r w:rsidR="00AB5FA3">
              <w:rPr>
                <w:rFonts w:eastAsia="MS Mincho"/>
              </w:rPr>
              <w:t>.</w:t>
            </w:r>
          </w:p>
        </w:tc>
      </w:tr>
      <w:tr w:rsidR="007709D9" w:rsidRPr="00061F78" w:rsidTr="007709D9">
        <w:trPr>
          <w:trHeight w:val="149"/>
        </w:trPr>
        <w:tc>
          <w:tcPr>
            <w:tcW w:w="518" w:type="pct"/>
            <w:tcMar>
              <w:left w:w="28" w:type="dxa"/>
              <w:right w:w="28" w:type="dxa"/>
            </w:tcMar>
          </w:tcPr>
          <w:p w:rsidR="00A27BBE" w:rsidRDefault="00A27BBE" w:rsidP="00A27BBE">
            <w:pPr>
              <w:pStyle w:val="Tablewriting"/>
              <w:keepNext/>
              <w:rPr>
                <w:rFonts w:eastAsia="MS Mincho"/>
              </w:rPr>
            </w:pPr>
            <w:r>
              <w:rPr>
                <w:rFonts w:eastAsia="MS Mincho"/>
              </w:rPr>
              <w:t>Chen</w:t>
            </w:r>
          </w:p>
          <w:p w:rsidR="00A27BBE" w:rsidRDefault="00A27BBE" w:rsidP="00A27BBE">
            <w:pPr>
              <w:pStyle w:val="Tablewriting"/>
              <w:keepNext/>
              <w:rPr>
                <w:rFonts w:eastAsia="MS Mincho"/>
              </w:rPr>
            </w:pPr>
            <w:r>
              <w:rPr>
                <w:rFonts w:eastAsia="MS Mincho"/>
              </w:rPr>
              <w:t>(2020)</w:t>
            </w:r>
          </w:p>
        </w:tc>
        <w:tc>
          <w:tcPr>
            <w:tcW w:w="353" w:type="pct"/>
          </w:tcPr>
          <w:p w:rsidR="00A27BBE" w:rsidRDefault="00A27BBE" w:rsidP="00A27BBE">
            <w:pPr>
              <w:pStyle w:val="Tablewriting"/>
              <w:keepNext/>
              <w:rPr>
                <w:rFonts w:eastAsia="MS Mincho"/>
              </w:rPr>
            </w:pPr>
            <w:r>
              <w:rPr>
                <w:rFonts w:eastAsia="MS Mincho"/>
              </w:rPr>
              <w:t>RCT</w:t>
            </w:r>
          </w:p>
        </w:tc>
        <w:tc>
          <w:tcPr>
            <w:tcW w:w="859" w:type="pct"/>
            <w:tcMar>
              <w:left w:w="28" w:type="dxa"/>
              <w:right w:w="28" w:type="dxa"/>
            </w:tcMar>
          </w:tcPr>
          <w:p w:rsidR="00A27BBE" w:rsidRDefault="00A27BBE" w:rsidP="00A27BBE">
            <w:pPr>
              <w:pStyle w:val="Tablewriting"/>
              <w:keepNext/>
              <w:rPr>
                <w:rFonts w:eastAsia="MS Mincho"/>
              </w:rPr>
            </w:pPr>
            <w:r>
              <w:rPr>
                <w:rFonts w:eastAsia="MS Mincho"/>
              </w:rPr>
              <w:t>N=822</w:t>
            </w:r>
          </w:p>
          <w:p w:rsidR="00A27BBE" w:rsidRDefault="00A27BBE" w:rsidP="00A27BBE">
            <w:pPr>
              <w:pStyle w:val="Tablewriting"/>
              <w:keepNext/>
              <w:rPr>
                <w:rFonts w:eastAsia="MS Mincho"/>
              </w:rPr>
            </w:pPr>
            <w:r>
              <w:rPr>
                <w:rFonts w:eastAsia="MS Mincho"/>
              </w:rPr>
              <w:t>NRT</w:t>
            </w:r>
            <w:r w:rsidR="004E1C59">
              <w:rPr>
                <w:rFonts w:eastAsia="MS Mincho"/>
              </w:rPr>
              <w:t xml:space="preserve"> patch and lozenge</w:t>
            </w:r>
            <w:r>
              <w:rPr>
                <w:rFonts w:eastAsia="MS Mincho"/>
              </w:rPr>
              <w:t xml:space="preserve"> (n=275),</w:t>
            </w:r>
          </w:p>
          <w:p w:rsidR="00A27BBE" w:rsidRPr="001D2106" w:rsidRDefault="004E1C59" w:rsidP="00A27BBE">
            <w:pPr>
              <w:pStyle w:val="Tablewriting"/>
              <w:keepNext/>
              <w:rPr>
                <w:rFonts w:eastAsia="MS Mincho"/>
                <w:u w:val="single"/>
              </w:rPr>
            </w:pPr>
            <w:r>
              <w:rPr>
                <w:rFonts w:eastAsia="MS Mincho"/>
              </w:rPr>
              <w:t>Placebo</w:t>
            </w:r>
            <w:r w:rsidR="00A27BBE">
              <w:rPr>
                <w:rFonts w:eastAsia="MS Mincho"/>
              </w:rPr>
              <w:t xml:space="preserve"> (n=27</w:t>
            </w:r>
            <w:r w:rsidR="007709D9">
              <w:rPr>
                <w:rFonts w:eastAsia="MS Mincho"/>
              </w:rPr>
              <w:t>3</w:t>
            </w:r>
            <w:r w:rsidR="00A27BBE">
              <w:rPr>
                <w:rFonts w:eastAsia="MS Mincho"/>
              </w:rPr>
              <w:t>)</w:t>
            </w:r>
          </w:p>
        </w:tc>
        <w:tc>
          <w:tcPr>
            <w:tcW w:w="1416" w:type="pct"/>
            <w:tcMar>
              <w:left w:w="28" w:type="dxa"/>
              <w:right w:w="28" w:type="dxa"/>
            </w:tcMar>
          </w:tcPr>
          <w:p w:rsidR="00A27BBE" w:rsidRDefault="007709D9" w:rsidP="00A27BBE">
            <w:pPr>
              <w:pStyle w:val="Tablewriting"/>
              <w:keepNext/>
              <w:rPr>
                <w:rFonts w:eastAsia="MS Mincho"/>
              </w:rPr>
            </w:pPr>
            <w:r>
              <w:rPr>
                <w:rFonts w:eastAsia="MS Mincho"/>
                <w:u w:val="single"/>
              </w:rPr>
              <w:t>Inclusion</w:t>
            </w:r>
            <w:r w:rsidRPr="007709D9">
              <w:rPr>
                <w:rFonts w:eastAsia="MS Mincho"/>
              </w:rPr>
              <w:t xml:space="preserve">: ≥21 years </w:t>
            </w:r>
            <w:r>
              <w:rPr>
                <w:rFonts w:eastAsia="MS Mincho"/>
              </w:rPr>
              <w:t>old</w:t>
            </w:r>
            <w:r w:rsidRPr="007709D9">
              <w:rPr>
                <w:rFonts w:eastAsia="MS Mincho"/>
              </w:rPr>
              <w:t xml:space="preserve"> seeking treatment for smoking cessation</w:t>
            </w:r>
            <w:r>
              <w:rPr>
                <w:rFonts w:eastAsia="MS Mincho"/>
              </w:rPr>
              <w:t xml:space="preserve">, </w:t>
            </w:r>
            <w:r w:rsidRPr="007709D9">
              <w:rPr>
                <w:rFonts w:eastAsia="MS Mincho"/>
              </w:rPr>
              <w:t>≥5</w:t>
            </w:r>
            <w:r>
              <w:rPr>
                <w:rFonts w:eastAsia="MS Mincho"/>
              </w:rPr>
              <w:t xml:space="preserve"> cigarettes per day</w:t>
            </w:r>
            <w:r w:rsidRPr="007709D9">
              <w:rPr>
                <w:rFonts w:eastAsia="MS Mincho"/>
              </w:rPr>
              <w:t xml:space="preserve">, </w:t>
            </w:r>
            <w:r>
              <w:rPr>
                <w:rFonts w:eastAsia="MS Mincho"/>
              </w:rPr>
              <w:t xml:space="preserve">exhaled </w:t>
            </w:r>
            <w:r w:rsidRPr="007709D9">
              <w:rPr>
                <w:rFonts w:eastAsia="MS Mincho"/>
              </w:rPr>
              <w:t>CO ≥8 ppm</w:t>
            </w:r>
            <w:r w:rsidR="00AB5FA3">
              <w:rPr>
                <w:rFonts w:eastAsia="MS Mincho"/>
              </w:rPr>
              <w:t>.</w:t>
            </w:r>
          </w:p>
          <w:p w:rsidR="007709D9" w:rsidRPr="002C19B4" w:rsidRDefault="007709D9" w:rsidP="00A27BBE">
            <w:pPr>
              <w:pStyle w:val="Tablewriting"/>
              <w:keepNext/>
              <w:rPr>
                <w:rFonts w:eastAsia="MS Mincho"/>
                <w:u w:val="single"/>
              </w:rPr>
            </w:pPr>
            <w:r>
              <w:rPr>
                <w:rFonts w:eastAsia="MS Mincho"/>
                <w:u w:val="single"/>
              </w:rPr>
              <w:t>Exclusion</w:t>
            </w:r>
            <w:r w:rsidRPr="007709D9">
              <w:rPr>
                <w:rFonts w:eastAsia="MS Mincho"/>
              </w:rPr>
              <w:t xml:space="preserve">: </w:t>
            </w:r>
            <w:r>
              <w:rPr>
                <w:rFonts w:eastAsia="MS Mincho"/>
              </w:rPr>
              <w:t>p</w:t>
            </w:r>
            <w:r w:rsidRPr="007709D9">
              <w:rPr>
                <w:rFonts w:eastAsia="MS Mincho"/>
              </w:rPr>
              <w:t xml:space="preserve">regnancy or breast feeding, </w:t>
            </w:r>
            <w:r>
              <w:rPr>
                <w:rFonts w:eastAsia="MS Mincho"/>
              </w:rPr>
              <w:t>a</w:t>
            </w:r>
            <w:r w:rsidRPr="007709D9">
              <w:rPr>
                <w:rFonts w:eastAsia="MS Mincho"/>
              </w:rPr>
              <w:t xml:space="preserve">ctive use or recent use of medication or e-cigarettes for nicotine dependence/smoking cessation, </w:t>
            </w:r>
            <w:r>
              <w:rPr>
                <w:rFonts w:eastAsia="MS Mincho"/>
              </w:rPr>
              <w:t>a</w:t>
            </w:r>
            <w:r w:rsidRPr="007709D9">
              <w:rPr>
                <w:rFonts w:eastAsia="MS Mincho"/>
              </w:rPr>
              <w:t xml:space="preserve">llergy to nicotine patch, lozenge, or varenicline, </w:t>
            </w:r>
            <w:r>
              <w:rPr>
                <w:rFonts w:eastAsia="MS Mincho"/>
              </w:rPr>
              <w:t>s</w:t>
            </w:r>
            <w:r w:rsidRPr="007709D9">
              <w:rPr>
                <w:rFonts w:eastAsia="MS Mincho"/>
              </w:rPr>
              <w:t xml:space="preserve">ignificant cardiac conditions or serious arrhythmia in past 6 months, </w:t>
            </w:r>
            <w:r>
              <w:rPr>
                <w:rFonts w:eastAsia="MS Mincho"/>
              </w:rPr>
              <w:t>c</w:t>
            </w:r>
            <w:r w:rsidRPr="007709D9">
              <w:rPr>
                <w:rFonts w:eastAsia="MS Mincho"/>
              </w:rPr>
              <w:t>urrent heavy alcohol consumptio</w:t>
            </w:r>
            <w:r>
              <w:rPr>
                <w:rFonts w:eastAsia="MS Mincho"/>
              </w:rPr>
              <w:t>n</w:t>
            </w:r>
            <w:r w:rsidRPr="007709D9">
              <w:rPr>
                <w:rFonts w:eastAsia="MS Mincho"/>
              </w:rPr>
              <w:t xml:space="preserve">, </w:t>
            </w:r>
            <w:r>
              <w:rPr>
                <w:rFonts w:eastAsia="MS Mincho"/>
              </w:rPr>
              <w:t>a</w:t>
            </w:r>
            <w:r w:rsidRPr="007709D9">
              <w:rPr>
                <w:rFonts w:eastAsia="MS Mincho"/>
              </w:rPr>
              <w:t xml:space="preserve">ctive psychosis or poorly controlled depression within the past 6 months, </w:t>
            </w:r>
            <w:r>
              <w:rPr>
                <w:rFonts w:eastAsia="MS Mincho"/>
              </w:rPr>
              <w:t>a</w:t>
            </w:r>
            <w:r w:rsidRPr="007709D9">
              <w:rPr>
                <w:rFonts w:eastAsia="MS Mincho"/>
              </w:rPr>
              <w:t xml:space="preserve">ny prior suicide attempt or suicidal ideation within the past 6 months, </w:t>
            </w:r>
            <w:r>
              <w:rPr>
                <w:rFonts w:eastAsia="MS Mincho"/>
              </w:rPr>
              <w:t>e</w:t>
            </w:r>
            <w:r w:rsidRPr="007709D9">
              <w:rPr>
                <w:rFonts w:eastAsia="MS Mincho"/>
              </w:rPr>
              <w:t>nd stage renal disease with h</w:t>
            </w:r>
            <w:r>
              <w:rPr>
                <w:rFonts w:eastAsia="MS Mincho"/>
              </w:rPr>
              <w:t>a</w:t>
            </w:r>
            <w:r w:rsidRPr="007709D9">
              <w:rPr>
                <w:rFonts w:eastAsia="MS Mincho"/>
              </w:rPr>
              <w:t>emodialysis.</w:t>
            </w:r>
          </w:p>
        </w:tc>
        <w:tc>
          <w:tcPr>
            <w:tcW w:w="1163" w:type="pct"/>
          </w:tcPr>
          <w:p w:rsidR="00A27BBE" w:rsidRDefault="00A27BBE" w:rsidP="00A27BBE">
            <w:pPr>
              <w:pStyle w:val="Tablewriting"/>
              <w:keepNext/>
              <w:rPr>
                <w:rFonts w:eastAsia="MS Mincho"/>
              </w:rPr>
            </w:pPr>
            <w:r>
              <w:rPr>
                <w:rFonts w:eastAsia="MS Mincho"/>
              </w:rPr>
              <w:t>NRT:</w:t>
            </w:r>
            <w:r>
              <w:t xml:space="preserve"> </w:t>
            </w:r>
            <w:r w:rsidRPr="00CD358E">
              <w:rPr>
                <w:rFonts w:eastAsia="MS Mincho"/>
              </w:rPr>
              <w:t>12 weeks of patches (21 mg for 8 weeks, 14 mg for 2 weeks, and 7 mg for 2 weeks) as well as 13 weeks of nicotine lozenges for use as needed (4 mg for those who smoke within 30 min of awaking and 2 mg otherwise</w:t>
            </w:r>
            <w:r w:rsidR="00F669D2">
              <w:rPr>
                <w:rFonts w:eastAsia="MS Mincho"/>
              </w:rPr>
              <w:t xml:space="preserve">; </w:t>
            </w:r>
            <w:r w:rsidR="00203434">
              <w:rPr>
                <w:rFonts w:eastAsia="MS Mincho"/>
              </w:rPr>
              <w:t xml:space="preserve">Placebo: </w:t>
            </w:r>
            <w:r w:rsidR="00E257AD">
              <w:rPr>
                <w:rFonts w:eastAsia="MS Mincho"/>
              </w:rPr>
              <w:t>placebo patch and lozenge</w:t>
            </w:r>
            <w:r w:rsidR="004968BF">
              <w:rPr>
                <w:rFonts w:eastAsia="MS Mincho"/>
              </w:rPr>
              <w:t xml:space="preserve"> or placebo varenicline</w:t>
            </w:r>
            <w:r w:rsidR="00E257AD">
              <w:rPr>
                <w:rFonts w:eastAsia="MS Mincho"/>
              </w:rPr>
              <w:t xml:space="preserve"> for 12 weeks</w:t>
            </w:r>
            <w:r w:rsidR="00AB5FA3">
              <w:rPr>
                <w:rFonts w:eastAsia="MS Mincho"/>
              </w:rPr>
              <w:t>.</w:t>
            </w:r>
          </w:p>
          <w:p w:rsidR="00A27BBE" w:rsidRDefault="00A27BBE" w:rsidP="00A27BBE">
            <w:pPr>
              <w:pStyle w:val="Tablewriting"/>
              <w:keepNext/>
              <w:rPr>
                <w:rFonts w:eastAsia="MS Mincho"/>
              </w:rPr>
            </w:pPr>
          </w:p>
          <w:p w:rsidR="00A27BBE" w:rsidRDefault="00A27BBE" w:rsidP="00A27BBE">
            <w:pPr>
              <w:pStyle w:val="Tablewriting"/>
              <w:keepNext/>
              <w:rPr>
                <w:rFonts w:eastAsia="MS Mincho"/>
              </w:rPr>
            </w:pPr>
            <w:r w:rsidRPr="006C01A1">
              <w:rPr>
                <w:rFonts w:eastAsia="MS Mincho"/>
              </w:rPr>
              <w:t>Behavioural support provided in both arms.</w:t>
            </w:r>
          </w:p>
        </w:tc>
        <w:tc>
          <w:tcPr>
            <w:tcW w:w="691" w:type="pct"/>
            <w:tcMar>
              <w:left w:w="28" w:type="dxa"/>
              <w:right w:w="28" w:type="dxa"/>
            </w:tcMar>
          </w:tcPr>
          <w:p w:rsidR="00A27BBE" w:rsidRDefault="00A27BBE" w:rsidP="00A27BBE">
            <w:pPr>
              <w:pStyle w:val="Tablewriting"/>
              <w:keepNext/>
              <w:rPr>
                <w:rFonts w:eastAsia="MS Mincho"/>
              </w:rPr>
            </w:pPr>
            <w:r w:rsidRPr="0036499C">
              <w:rPr>
                <w:rFonts w:eastAsia="MS Mincho"/>
                <w:u w:val="single"/>
              </w:rPr>
              <w:t>Primary</w:t>
            </w:r>
            <w:r>
              <w:rPr>
                <w:rFonts w:eastAsia="MS Mincho"/>
              </w:rPr>
              <w:t>: 7-day PPA at Week 12. Validated by CO &lt;8</w:t>
            </w:r>
            <w:r w:rsidR="002703C8">
              <w:rPr>
                <w:rFonts w:eastAsia="MS Mincho"/>
              </w:rPr>
              <w:t xml:space="preserve"> </w:t>
            </w:r>
            <w:r>
              <w:rPr>
                <w:rFonts w:eastAsia="MS Mincho"/>
              </w:rPr>
              <w:t>ppm.</w:t>
            </w:r>
          </w:p>
          <w:p w:rsidR="00A27BBE" w:rsidRPr="0036499C" w:rsidRDefault="00A27BBE" w:rsidP="00A27BBE">
            <w:pPr>
              <w:pStyle w:val="Tablewriting"/>
              <w:keepNext/>
              <w:rPr>
                <w:rFonts w:eastAsia="MS Mincho"/>
                <w:u w:val="single"/>
              </w:rPr>
            </w:pPr>
            <w:r w:rsidRPr="0036499C">
              <w:rPr>
                <w:rFonts w:eastAsia="MS Mincho"/>
                <w:u w:val="single"/>
              </w:rPr>
              <w:t>Secondary</w:t>
            </w:r>
            <w:r>
              <w:rPr>
                <w:rFonts w:eastAsia="MS Mincho"/>
              </w:rPr>
              <w:t>: 7-day PPA at 6 (CO-validated) and 12 months (self-report), adverse events, adherence</w:t>
            </w:r>
            <w:r w:rsidR="00AB5FA3">
              <w:rPr>
                <w:rFonts w:eastAsia="MS Mincho"/>
              </w:rPr>
              <w:t>.</w:t>
            </w:r>
          </w:p>
        </w:tc>
      </w:tr>
    </w:tbl>
    <w:p w:rsidR="007E02A9" w:rsidRDefault="007E02A9" w:rsidP="007E02A9">
      <w:pPr>
        <w:pStyle w:val="TableFooter"/>
        <w:keepNext/>
        <w:rPr>
          <w:i/>
        </w:rPr>
      </w:pPr>
      <w:r>
        <w:t>Abbreviations:</w:t>
      </w:r>
      <w:r w:rsidR="00AD0762">
        <w:t xml:space="preserve"> CO = carbon monoxide;</w:t>
      </w:r>
      <w:r>
        <w:t xml:space="preserve"> NRT = nicotine replacement therapy; RCT = randomised controlled trial</w:t>
      </w:r>
      <w:r w:rsidRPr="00061F78">
        <w:t xml:space="preserve"> </w:t>
      </w:r>
    </w:p>
    <w:p w:rsidR="007E02A9" w:rsidRDefault="007E02A9" w:rsidP="007E02A9">
      <w:pPr>
        <w:pStyle w:val="TableFooter"/>
        <w:keepNext/>
      </w:pPr>
      <w:r>
        <w:t>1 Only the number of patients (n) in the relevant arms were included</w:t>
      </w:r>
      <w:r w:rsidR="00AB5FA3">
        <w:t>.</w:t>
      </w:r>
      <w:r>
        <w:t xml:space="preserve"> </w:t>
      </w:r>
    </w:p>
    <w:p w:rsidR="0012484D" w:rsidRDefault="007E02A9" w:rsidP="00A27BBE">
      <w:pPr>
        <w:pStyle w:val="TableFooter"/>
      </w:pPr>
      <w:r>
        <w:t xml:space="preserve">2 The characteristics of the individual studies comparing </w:t>
      </w:r>
      <w:r w:rsidR="0025351E">
        <w:t>combination NRT</w:t>
      </w:r>
      <w:r>
        <w:t xml:space="preserve"> with placebo included in H</w:t>
      </w:r>
      <w:r w:rsidR="0025351E">
        <w:t>artmann-Boyce</w:t>
      </w:r>
      <w:r>
        <w:t xml:space="preserve"> et al. (20</w:t>
      </w:r>
      <w:r w:rsidR="0025351E">
        <w:t>18</w:t>
      </w:r>
      <w:r>
        <w:t xml:space="preserve">) are presented in </w:t>
      </w:r>
      <w:r w:rsidRPr="001F14D5">
        <w:t>Appendix</w:t>
      </w:r>
      <w:r w:rsidR="0025351E">
        <w:t xml:space="preserve"> </w:t>
      </w:r>
      <w:r w:rsidR="003C4A1C">
        <w:t xml:space="preserve">Table </w:t>
      </w:r>
      <w:r w:rsidR="003C4A1C">
        <w:rPr>
          <w:noProof/>
        </w:rPr>
        <w:t>155</w:t>
      </w:r>
      <w:r>
        <w:t>.</w:t>
      </w:r>
    </w:p>
    <w:p w:rsidR="0012484D" w:rsidRDefault="0012484D" w:rsidP="0012484D">
      <w:pPr>
        <w:sectPr w:rsidR="0012484D" w:rsidSect="0012484D">
          <w:pgSz w:w="16838" w:h="11906" w:orient="landscape"/>
          <w:pgMar w:top="1440" w:right="1440" w:bottom="1440" w:left="1440" w:header="708" w:footer="708" w:gutter="0"/>
          <w:cols w:space="708"/>
          <w:titlePg/>
          <w:docGrid w:linePitch="360"/>
        </w:sectPr>
      </w:pPr>
    </w:p>
    <w:p w:rsidR="00F664B9" w:rsidRPr="00F664B9" w:rsidRDefault="00F664B9" w:rsidP="00F664B9">
      <w:pPr>
        <w:rPr>
          <w:u w:val="single"/>
        </w:rPr>
      </w:pPr>
      <w:r w:rsidRPr="00F664B9">
        <w:rPr>
          <w:u w:val="single"/>
        </w:rPr>
        <w:lastRenderedPageBreak/>
        <w:t>Efficacy</w:t>
      </w:r>
    </w:p>
    <w:p w:rsidR="00A546FF" w:rsidRDefault="00F664B9" w:rsidP="00F664B9">
      <w:r>
        <w:t>A summary of the smoking cessation rates</w:t>
      </w:r>
      <w:r w:rsidDel="0074280A">
        <w:t xml:space="preserve"> </w:t>
      </w:r>
      <w:r w:rsidR="0074280A">
        <w:t>for</w:t>
      </w:r>
      <w:r>
        <w:t xml:space="preserve"> at </w:t>
      </w:r>
      <w:r w:rsidR="00075A33">
        <w:t>least six</w:t>
      </w:r>
      <w:r>
        <w:t xml:space="preserve"> months </w:t>
      </w:r>
      <w:r w:rsidR="00EA3F1B">
        <w:t>follow-up</w:t>
      </w:r>
      <w:r w:rsidR="00F669D2">
        <w:t xml:space="preserve"> comparing combination NRT with placebo</w:t>
      </w:r>
      <w:r w:rsidR="00EA3F1B">
        <w:t xml:space="preserve"> </w:t>
      </w:r>
      <w:r>
        <w:t xml:space="preserve">is presented in </w:t>
      </w:r>
      <w:r w:rsidR="003C4A1C">
        <w:t xml:space="preserve">Table </w:t>
      </w:r>
      <w:r w:rsidR="003C4A1C">
        <w:rPr>
          <w:noProof/>
        </w:rPr>
        <w:t>56</w:t>
      </w:r>
      <w:r>
        <w:t xml:space="preserve">. </w:t>
      </w:r>
      <w:r w:rsidR="00B30F47">
        <w:t>For the comparison of NRT</w:t>
      </w:r>
      <w:r w:rsidR="005E35F2">
        <w:t xml:space="preserve"> patch + lozenge versus placebo, there was a stat</w:t>
      </w:r>
      <w:r>
        <w:t xml:space="preserve">istically significant difference in long-term smoking cessation rates between </w:t>
      </w:r>
      <w:r w:rsidR="00364E10">
        <w:t>the two treatment arms, in favour of combination NRT</w:t>
      </w:r>
      <w:r w:rsidR="00E058CB">
        <w:t xml:space="preserve"> (Piper et al. 2009)</w:t>
      </w:r>
      <w:r w:rsidR="00364E10">
        <w:t>.</w:t>
      </w:r>
      <w:r w:rsidR="00AD0762">
        <w:t xml:space="preserve"> </w:t>
      </w:r>
      <w:r w:rsidR="00CC41BE">
        <w:t>In Chen et al. (2020),</w:t>
      </w:r>
      <w:r w:rsidR="00E058CB">
        <w:t xml:space="preserve"> there were no statistically significant differences between</w:t>
      </w:r>
      <w:r w:rsidR="00652C07">
        <w:t xml:space="preserve"> </w:t>
      </w:r>
      <w:r w:rsidR="00CC41BE">
        <w:t xml:space="preserve">the two treatment arms, although the results numerically favoured </w:t>
      </w:r>
      <w:r w:rsidR="007A16F5">
        <w:t>NRT patch + lozenge. The results of the meta-analysis based on the updated re-analysis were statistically significant based on risk ratio but not risk difference.</w:t>
      </w:r>
      <w:r w:rsidR="00E058CB">
        <w:t xml:space="preserve"> </w:t>
      </w:r>
    </w:p>
    <w:p w:rsidR="00652C07" w:rsidRDefault="007A16F5" w:rsidP="00F664B9">
      <w:r>
        <w:t xml:space="preserve">For </w:t>
      </w:r>
      <w:r w:rsidR="00F57385">
        <w:t xml:space="preserve">the comparison of </w:t>
      </w:r>
      <w:r w:rsidR="00652C07">
        <w:t xml:space="preserve">NRT patch + gum </w:t>
      </w:r>
      <w:r>
        <w:t>versus</w:t>
      </w:r>
      <w:r w:rsidR="00652C07">
        <w:t xml:space="preserve"> placebo</w:t>
      </w:r>
      <w:r>
        <w:t xml:space="preserve">, </w:t>
      </w:r>
      <w:r w:rsidR="00E058CB">
        <w:t>there were no statistically significant differences between</w:t>
      </w:r>
      <w:r w:rsidR="00652C07">
        <w:t xml:space="preserve"> </w:t>
      </w:r>
      <w:r w:rsidR="00F42F81">
        <w:t xml:space="preserve">the two treatment arms based on the meta-analysis </w:t>
      </w:r>
      <w:r w:rsidR="00F57385">
        <w:t xml:space="preserve">of two studies </w:t>
      </w:r>
      <w:r w:rsidR="00F42F81">
        <w:t>conducted by Hartmann-Boyce et al. (201</w:t>
      </w:r>
      <w:r w:rsidR="00232CA6">
        <w:t>8</w:t>
      </w:r>
      <w:r w:rsidR="00F42F81">
        <w:t>)</w:t>
      </w:r>
      <w:r w:rsidR="00B349FD">
        <w:t>, although the results numerically favoured NRT patch + gum</w:t>
      </w:r>
      <w:r w:rsidR="00F42F81">
        <w:t xml:space="preserve">. </w:t>
      </w:r>
      <w:r w:rsidR="005605DA">
        <w:t>The non-significant result of NRT patch + gum was likely due to the study design, such as small sample size, leading to insufficient power to detect a modest treatment effect with reasonable certainty.</w:t>
      </w:r>
    </w:p>
    <w:p w:rsidR="00E34F85" w:rsidRDefault="00BC296A" w:rsidP="00F664B9">
      <w:r>
        <w:t>The comparisons of NRT patch + inhalator and NRT patch + lozenge and gum versus placebo were included for additional information purposes.</w:t>
      </w:r>
      <w:r w:rsidR="008D1523">
        <w:t xml:space="preserve"> For the comparison of NRT patch + inhalator versus placebo, there w</w:t>
      </w:r>
      <w:r w:rsidR="005407A1">
        <w:t>ere</w:t>
      </w:r>
      <w:r w:rsidR="008D1523">
        <w:t xml:space="preserve"> no statistically significant difference</w:t>
      </w:r>
      <w:r w:rsidR="005407A1">
        <w:t>s</w:t>
      </w:r>
      <w:r w:rsidR="008D1523">
        <w:t xml:space="preserve"> </w:t>
      </w:r>
      <w:r w:rsidR="007E2906">
        <w:t xml:space="preserve">between the two treatment arms (Hand et al. 2002). For the comparison of NRT patch + lozenge and gum versus placebo, </w:t>
      </w:r>
      <w:r w:rsidR="0003297A">
        <w:t>there was a statistically significant difference in long-term smoking cessation rates between the two treatment arms, in favour of combination NRT (Heydari et al. 2013).</w:t>
      </w:r>
    </w:p>
    <w:p w:rsidR="001D7A85" w:rsidRDefault="001D7A85" w:rsidP="001D7A85">
      <w:pPr>
        <w:pStyle w:val="Caption"/>
        <w:keepNext/>
      </w:pPr>
      <w:bookmarkStart w:id="139" w:name="_Ref55296762"/>
      <w:r>
        <w:t xml:space="preserve">Table </w:t>
      </w:r>
      <w:r w:rsidR="003C4A1C">
        <w:rPr>
          <w:noProof/>
        </w:rPr>
        <w:t>56</w:t>
      </w:r>
      <w:bookmarkEnd w:id="139"/>
      <w:r>
        <w:t xml:space="preserve">: </w:t>
      </w:r>
      <w:r w:rsidRPr="00991980">
        <w:t>Results of smoking cessation f</w:t>
      </w:r>
      <w:r w:rsidR="00004EEA">
        <w:t>or</w:t>
      </w:r>
      <w:r w:rsidRPr="00991980">
        <w:t xml:space="preserve"> at least six months follow-up, </w:t>
      </w:r>
      <w:r>
        <w:t xml:space="preserve">combination </w:t>
      </w:r>
      <w:r w:rsidRPr="00991980">
        <w:t>NRT versus placebo</w:t>
      </w:r>
    </w:p>
    <w:tbl>
      <w:tblPr>
        <w:tblStyle w:val="TableGrid"/>
        <w:tblW w:w="5000" w:type="pct"/>
        <w:tblLook w:val="04A0" w:firstRow="1" w:lastRow="0" w:firstColumn="1" w:lastColumn="0" w:noHBand="0" w:noVBand="1"/>
        <w:tblCaption w:val="Efficacy results of adalimumab trials (PASI 75 and DLQI)"/>
      </w:tblPr>
      <w:tblGrid>
        <w:gridCol w:w="1555"/>
        <w:gridCol w:w="1700"/>
        <w:gridCol w:w="1516"/>
        <w:gridCol w:w="1394"/>
        <w:gridCol w:w="1533"/>
        <w:gridCol w:w="1318"/>
      </w:tblGrid>
      <w:tr w:rsidR="00877A41" w:rsidRPr="00061F78" w:rsidTr="00F968F3">
        <w:trPr>
          <w:cantSplit/>
          <w:trHeight w:val="299"/>
          <w:tblHeader/>
        </w:trPr>
        <w:tc>
          <w:tcPr>
            <w:tcW w:w="862" w:type="pct"/>
            <w:shd w:val="clear" w:color="auto" w:fill="BFBFBF" w:themeFill="background1" w:themeFillShade="BF"/>
            <w:tcMar>
              <w:left w:w="28" w:type="dxa"/>
              <w:right w:w="28" w:type="dxa"/>
            </w:tcMar>
          </w:tcPr>
          <w:p w:rsidR="008410CB" w:rsidRPr="00061F78" w:rsidRDefault="008410CB" w:rsidP="00F207DC">
            <w:pPr>
              <w:pStyle w:val="Tableheading"/>
              <w:rPr>
                <w:rFonts w:eastAsia="MS Mincho"/>
              </w:rPr>
            </w:pPr>
            <w:r>
              <w:rPr>
                <w:rFonts w:eastAsia="MS Mincho"/>
              </w:rPr>
              <w:t>Study</w:t>
            </w:r>
          </w:p>
        </w:tc>
        <w:tc>
          <w:tcPr>
            <w:tcW w:w="943" w:type="pct"/>
            <w:shd w:val="clear" w:color="auto" w:fill="BFBFBF" w:themeFill="background1" w:themeFillShade="BF"/>
            <w:vAlign w:val="center"/>
          </w:tcPr>
          <w:p w:rsidR="008410CB" w:rsidRDefault="008410CB" w:rsidP="00F207DC">
            <w:pPr>
              <w:pStyle w:val="Tableheading"/>
              <w:jc w:val="center"/>
              <w:rPr>
                <w:rFonts w:eastAsia="MS Mincho"/>
              </w:rPr>
            </w:pPr>
            <w:r>
              <w:rPr>
                <w:rFonts w:eastAsia="MS Mincho"/>
              </w:rPr>
              <w:t>Study type</w:t>
            </w:r>
          </w:p>
        </w:tc>
        <w:tc>
          <w:tcPr>
            <w:tcW w:w="841" w:type="pct"/>
            <w:shd w:val="clear" w:color="auto" w:fill="BFBFBF" w:themeFill="background1" w:themeFillShade="BF"/>
            <w:tcMar>
              <w:left w:w="28" w:type="dxa"/>
              <w:right w:w="28" w:type="dxa"/>
            </w:tcMar>
            <w:vAlign w:val="center"/>
          </w:tcPr>
          <w:p w:rsidR="008410CB" w:rsidRPr="00061F78" w:rsidRDefault="00C31E82" w:rsidP="00F207DC">
            <w:pPr>
              <w:pStyle w:val="Tableheading"/>
              <w:jc w:val="center"/>
              <w:rPr>
                <w:rFonts w:eastAsia="MS Mincho"/>
              </w:rPr>
            </w:pPr>
            <w:r>
              <w:rPr>
                <w:rFonts w:eastAsia="MS Mincho"/>
              </w:rPr>
              <w:t xml:space="preserve">Combination </w:t>
            </w:r>
            <w:r w:rsidR="008410CB">
              <w:rPr>
                <w:rFonts w:eastAsia="MS Mincho"/>
              </w:rPr>
              <w:t>NRT</w:t>
            </w:r>
          </w:p>
        </w:tc>
        <w:tc>
          <w:tcPr>
            <w:tcW w:w="773" w:type="pct"/>
            <w:shd w:val="clear" w:color="auto" w:fill="BFBFBF" w:themeFill="background1" w:themeFillShade="BF"/>
            <w:tcMar>
              <w:left w:w="28" w:type="dxa"/>
              <w:right w:w="28" w:type="dxa"/>
            </w:tcMar>
            <w:vAlign w:val="center"/>
          </w:tcPr>
          <w:p w:rsidR="008410CB" w:rsidRPr="00061F78" w:rsidRDefault="008410CB" w:rsidP="00F207DC">
            <w:pPr>
              <w:pStyle w:val="Tableheading"/>
              <w:jc w:val="center"/>
              <w:rPr>
                <w:rFonts w:eastAsia="MS Mincho"/>
              </w:rPr>
            </w:pPr>
            <w:r w:rsidRPr="00061F78">
              <w:rPr>
                <w:rFonts w:eastAsia="MS Mincho"/>
              </w:rPr>
              <w:t>Placebo</w:t>
            </w:r>
          </w:p>
        </w:tc>
        <w:tc>
          <w:tcPr>
            <w:tcW w:w="850" w:type="pct"/>
            <w:shd w:val="clear" w:color="auto" w:fill="BFBFBF" w:themeFill="background1" w:themeFillShade="BF"/>
            <w:tcMar>
              <w:left w:w="28" w:type="dxa"/>
              <w:right w:w="28" w:type="dxa"/>
            </w:tcMar>
            <w:vAlign w:val="center"/>
          </w:tcPr>
          <w:p w:rsidR="008410CB" w:rsidRPr="002D09A1" w:rsidRDefault="008410CB" w:rsidP="00F207DC">
            <w:pPr>
              <w:pStyle w:val="Tableheading"/>
              <w:jc w:val="center"/>
              <w:rPr>
                <w:rFonts w:eastAsia="MS Mincho"/>
                <w:vertAlign w:val="superscript"/>
              </w:rPr>
            </w:pPr>
            <w:r>
              <w:rPr>
                <w:rFonts w:eastAsia="MS Mincho"/>
              </w:rPr>
              <w:t>RR (95% CI)</w:t>
            </w:r>
          </w:p>
        </w:tc>
        <w:tc>
          <w:tcPr>
            <w:tcW w:w="730" w:type="pct"/>
            <w:shd w:val="clear" w:color="auto" w:fill="BFBFBF" w:themeFill="background1" w:themeFillShade="BF"/>
            <w:vAlign w:val="center"/>
          </w:tcPr>
          <w:p w:rsidR="008410CB" w:rsidRDefault="008410CB" w:rsidP="00F207DC">
            <w:pPr>
              <w:pStyle w:val="Tableheading"/>
              <w:jc w:val="center"/>
              <w:rPr>
                <w:rFonts w:eastAsia="MS Mincho"/>
              </w:rPr>
            </w:pPr>
            <w:r>
              <w:rPr>
                <w:rFonts w:eastAsia="MS Mincho"/>
              </w:rPr>
              <w:t>RD (95% CI)</w:t>
            </w:r>
          </w:p>
        </w:tc>
      </w:tr>
      <w:tr w:rsidR="00C31E82" w:rsidRPr="00061F78" w:rsidTr="004B53F8">
        <w:trPr>
          <w:cantSplit/>
          <w:trHeight w:val="99"/>
        </w:trPr>
        <w:tc>
          <w:tcPr>
            <w:tcW w:w="5000" w:type="pct"/>
            <w:gridSpan w:val="6"/>
            <w:shd w:val="clear" w:color="auto" w:fill="auto"/>
            <w:tcMar>
              <w:left w:w="28" w:type="dxa"/>
              <w:right w:w="28" w:type="dxa"/>
            </w:tcMar>
          </w:tcPr>
          <w:p w:rsidR="00C31E82" w:rsidRPr="004B53F8" w:rsidRDefault="00C31E82" w:rsidP="00F207DC">
            <w:pPr>
              <w:pStyle w:val="Tablewriting"/>
              <w:rPr>
                <w:rFonts w:eastAsia="MS Mincho"/>
                <w:b/>
                <w:bCs/>
              </w:rPr>
            </w:pPr>
            <w:r w:rsidRPr="004B53F8">
              <w:rPr>
                <w:rFonts w:eastAsia="MS Mincho"/>
                <w:b/>
                <w:bCs/>
              </w:rPr>
              <w:t>NRT patch</w:t>
            </w:r>
            <w:r w:rsidR="001206A7" w:rsidRPr="004B53F8">
              <w:rPr>
                <w:rFonts w:eastAsia="MS Mincho"/>
                <w:b/>
                <w:bCs/>
              </w:rPr>
              <w:t xml:space="preserve"> + lozenge versus placebo</w:t>
            </w:r>
          </w:p>
        </w:tc>
      </w:tr>
      <w:tr w:rsidR="008410CB" w:rsidRPr="00061F78" w:rsidTr="00F968F3">
        <w:trPr>
          <w:cantSplit/>
          <w:trHeight w:val="99"/>
        </w:trPr>
        <w:tc>
          <w:tcPr>
            <w:tcW w:w="862" w:type="pct"/>
            <w:shd w:val="clear" w:color="auto" w:fill="auto"/>
            <w:tcMar>
              <w:left w:w="28" w:type="dxa"/>
              <w:right w:w="28" w:type="dxa"/>
            </w:tcMar>
          </w:tcPr>
          <w:p w:rsidR="002B5CCF" w:rsidRDefault="00356E00" w:rsidP="00F207DC">
            <w:pPr>
              <w:pStyle w:val="Tablewriting"/>
              <w:rPr>
                <w:rFonts w:eastAsia="MS Mincho"/>
              </w:rPr>
            </w:pPr>
            <w:r>
              <w:rPr>
                <w:rFonts w:eastAsia="MS Mincho"/>
              </w:rPr>
              <w:t>Hartmann-Boyce</w:t>
            </w:r>
          </w:p>
          <w:p w:rsidR="008410CB" w:rsidRPr="00251B64" w:rsidRDefault="008410CB" w:rsidP="00F207DC">
            <w:pPr>
              <w:pStyle w:val="Tablewriting"/>
              <w:rPr>
                <w:rFonts w:eastAsia="MS Mincho"/>
              </w:rPr>
            </w:pPr>
            <w:r w:rsidRPr="00251B64">
              <w:rPr>
                <w:rFonts w:eastAsia="MS Mincho"/>
              </w:rPr>
              <w:t>(</w:t>
            </w:r>
            <w:r w:rsidR="002B5CCF">
              <w:rPr>
                <w:rFonts w:eastAsia="MS Mincho"/>
              </w:rPr>
              <w:t>20</w:t>
            </w:r>
            <w:r w:rsidR="00356E00">
              <w:rPr>
                <w:rFonts w:eastAsia="MS Mincho"/>
              </w:rPr>
              <w:t>18</w:t>
            </w:r>
            <w:r w:rsidRPr="00251B64">
              <w:rPr>
                <w:rFonts w:eastAsia="MS Mincho"/>
              </w:rPr>
              <w:t>)</w:t>
            </w:r>
            <w:r w:rsidRPr="00251B64">
              <w:rPr>
                <w:rFonts w:eastAsia="MS Mincho"/>
                <w:vertAlign w:val="superscript"/>
              </w:rPr>
              <w:t>1</w:t>
            </w:r>
            <w:r w:rsidRPr="00251B64">
              <w:rPr>
                <w:rFonts w:eastAsia="MS Mincho"/>
              </w:rPr>
              <w:t xml:space="preserve"> </w:t>
            </w:r>
          </w:p>
        </w:tc>
        <w:tc>
          <w:tcPr>
            <w:tcW w:w="943" w:type="pct"/>
            <w:shd w:val="clear" w:color="auto" w:fill="auto"/>
            <w:vAlign w:val="center"/>
          </w:tcPr>
          <w:p w:rsidR="00356E00" w:rsidRDefault="00714E65" w:rsidP="00F207DC">
            <w:pPr>
              <w:pStyle w:val="Tablewriting"/>
              <w:jc w:val="center"/>
              <w:rPr>
                <w:rFonts w:eastAsia="MS Mincho"/>
              </w:rPr>
            </w:pPr>
            <w:r>
              <w:rPr>
                <w:rFonts w:eastAsia="MS Mincho"/>
              </w:rPr>
              <w:t>Cochrane Review</w:t>
            </w:r>
          </w:p>
          <w:p w:rsidR="008410CB" w:rsidRPr="00251B64" w:rsidRDefault="00C90166" w:rsidP="00F207DC">
            <w:pPr>
              <w:pStyle w:val="Tablewriting"/>
              <w:jc w:val="center"/>
              <w:rPr>
                <w:rFonts w:eastAsia="MS Mincho"/>
              </w:rPr>
            </w:pPr>
            <w:r>
              <w:rPr>
                <w:rFonts w:eastAsia="MS Mincho"/>
              </w:rPr>
              <w:t>(</w:t>
            </w:r>
            <w:r w:rsidR="00714E65">
              <w:rPr>
                <w:rFonts w:eastAsia="MS Mincho"/>
              </w:rPr>
              <w:t>1</w:t>
            </w:r>
            <w:r>
              <w:rPr>
                <w:rFonts w:eastAsia="MS Mincho"/>
              </w:rPr>
              <w:t xml:space="preserve"> </w:t>
            </w:r>
            <w:r w:rsidR="00714E65">
              <w:rPr>
                <w:rFonts w:eastAsia="MS Mincho"/>
              </w:rPr>
              <w:t>RCT</w:t>
            </w:r>
            <w:r w:rsidR="00AA5959">
              <w:rPr>
                <w:rFonts w:eastAsia="MS Mincho"/>
                <w:vertAlign w:val="superscript"/>
              </w:rPr>
              <w:t>2</w:t>
            </w:r>
            <w:r>
              <w:rPr>
                <w:rFonts w:eastAsia="MS Mincho"/>
              </w:rPr>
              <w:t>)</w:t>
            </w:r>
          </w:p>
        </w:tc>
        <w:tc>
          <w:tcPr>
            <w:tcW w:w="841" w:type="pct"/>
            <w:shd w:val="clear" w:color="auto" w:fill="auto"/>
            <w:tcMar>
              <w:left w:w="28" w:type="dxa"/>
              <w:right w:w="28" w:type="dxa"/>
            </w:tcMar>
            <w:vAlign w:val="center"/>
          </w:tcPr>
          <w:p w:rsidR="008410CB" w:rsidRPr="00251B64" w:rsidRDefault="00D5363A" w:rsidP="00F207DC">
            <w:pPr>
              <w:pStyle w:val="Tablewriting"/>
              <w:jc w:val="center"/>
              <w:rPr>
                <w:rFonts w:eastAsia="MS Mincho"/>
                <w:vertAlign w:val="superscript"/>
              </w:rPr>
            </w:pPr>
            <w:r>
              <w:rPr>
                <w:rFonts w:eastAsia="MS Mincho"/>
              </w:rPr>
              <w:t>107</w:t>
            </w:r>
            <w:r w:rsidR="008410CB" w:rsidRPr="00251B64">
              <w:rPr>
                <w:rFonts w:eastAsia="MS Mincho"/>
              </w:rPr>
              <w:t>/</w:t>
            </w:r>
            <w:r>
              <w:rPr>
                <w:rFonts w:eastAsia="MS Mincho"/>
              </w:rPr>
              <w:t>267</w:t>
            </w:r>
          </w:p>
          <w:p w:rsidR="008410CB" w:rsidRPr="00251B64" w:rsidRDefault="008410CB" w:rsidP="00F207DC">
            <w:pPr>
              <w:pStyle w:val="Tablewriting"/>
              <w:jc w:val="center"/>
              <w:rPr>
                <w:rFonts w:eastAsia="MS Mincho"/>
              </w:rPr>
            </w:pPr>
            <w:r w:rsidRPr="00251B64">
              <w:rPr>
                <w:rFonts w:eastAsia="MS Mincho"/>
              </w:rPr>
              <w:t>(</w:t>
            </w:r>
            <w:r w:rsidR="00224709">
              <w:rPr>
                <w:rFonts w:eastAsia="MS Mincho"/>
              </w:rPr>
              <w:t>40.1</w:t>
            </w:r>
            <w:r w:rsidRPr="00251B64">
              <w:rPr>
                <w:rFonts w:eastAsia="MS Mincho"/>
              </w:rPr>
              <w:t>%)</w:t>
            </w:r>
          </w:p>
        </w:tc>
        <w:tc>
          <w:tcPr>
            <w:tcW w:w="773" w:type="pct"/>
            <w:shd w:val="clear" w:color="auto" w:fill="auto"/>
            <w:tcMar>
              <w:left w:w="28" w:type="dxa"/>
              <w:right w:w="28" w:type="dxa"/>
            </w:tcMar>
            <w:vAlign w:val="center"/>
          </w:tcPr>
          <w:p w:rsidR="008410CB" w:rsidRPr="006F3FC8" w:rsidRDefault="0006293E" w:rsidP="00F207DC">
            <w:pPr>
              <w:pStyle w:val="Tablewriting"/>
              <w:jc w:val="center"/>
              <w:rPr>
                <w:rFonts w:eastAsia="MS Mincho"/>
                <w:vertAlign w:val="superscript"/>
              </w:rPr>
            </w:pPr>
            <w:r>
              <w:rPr>
                <w:rFonts w:eastAsia="MS Mincho"/>
              </w:rPr>
              <w:t>9/41</w:t>
            </w:r>
          </w:p>
          <w:p w:rsidR="008410CB" w:rsidRPr="00251B64" w:rsidRDefault="008410CB" w:rsidP="00F207DC">
            <w:pPr>
              <w:pStyle w:val="Tablewriting"/>
              <w:jc w:val="center"/>
              <w:rPr>
                <w:rFonts w:eastAsia="MS Mincho"/>
              </w:rPr>
            </w:pPr>
            <w:r w:rsidRPr="00251B64">
              <w:rPr>
                <w:rFonts w:eastAsia="MS Mincho"/>
              </w:rPr>
              <w:t>(</w:t>
            </w:r>
            <w:r w:rsidR="00BC04EB">
              <w:rPr>
                <w:rFonts w:eastAsia="MS Mincho"/>
              </w:rPr>
              <w:t>22.</w:t>
            </w:r>
            <w:r w:rsidR="001F640F">
              <w:rPr>
                <w:rFonts w:eastAsia="MS Mincho"/>
              </w:rPr>
              <w:t>0</w:t>
            </w:r>
            <w:r w:rsidRPr="00251B64">
              <w:rPr>
                <w:rFonts w:eastAsia="MS Mincho"/>
              </w:rPr>
              <w:t>%)</w:t>
            </w:r>
          </w:p>
        </w:tc>
        <w:tc>
          <w:tcPr>
            <w:tcW w:w="850" w:type="pct"/>
            <w:shd w:val="clear" w:color="auto" w:fill="auto"/>
            <w:tcMar>
              <w:left w:w="28" w:type="dxa"/>
              <w:right w:w="28" w:type="dxa"/>
            </w:tcMar>
            <w:vAlign w:val="center"/>
          </w:tcPr>
          <w:p w:rsidR="00604C9D" w:rsidRPr="00906E44" w:rsidRDefault="00906E44" w:rsidP="00F207DC">
            <w:pPr>
              <w:pStyle w:val="Tablewriting"/>
              <w:jc w:val="center"/>
              <w:rPr>
                <w:rFonts w:eastAsia="MS Mincho"/>
                <w:b/>
                <w:bCs/>
              </w:rPr>
            </w:pPr>
            <w:r w:rsidRPr="00906E44">
              <w:rPr>
                <w:rFonts w:eastAsia="MS Mincho"/>
                <w:b/>
                <w:bCs/>
              </w:rPr>
              <w:t>1.83</w:t>
            </w:r>
          </w:p>
          <w:p w:rsidR="00604C9D" w:rsidRPr="00D56406" w:rsidRDefault="00906E44" w:rsidP="00F207DC">
            <w:pPr>
              <w:pStyle w:val="Tablewriting"/>
              <w:jc w:val="center"/>
              <w:rPr>
                <w:rFonts w:eastAsia="MS Mincho"/>
              </w:rPr>
            </w:pPr>
            <w:r w:rsidRPr="00906E44">
              <w:rPr>
                <w:rFonts w:eastAsia="MS Mincho"/>
                <w:b/>
                <w:bCs/>
              </w:rPr>
              <w:t>(1.01, 3.31)</w:t>
            </w:r>
          </w:p>
        </w:tc>
        <w:tc>
          <w:tcPr>
            <w:tcW w:w="730" w:type="pct"/>
            <w:shd w:val="clear" w:color="auto" w:fill="auto"/>
            <w:vAlign w:val="center"/>
          </w:tcPr>
          <w:p w:rsidR="008410CB" w:rsidRPr="00D56406" w:rsidRDefault="00F24309" w:rsidP="00F207DC">
            <w:pPr>
              <w:pStyle w:val="Tablewriting"/>
              <w:jc w:val="center"/>
              <w:rPr>
                <w:rFonts w:eastAsia="MS Mincho"/>
              </w:rPr>
            </w:pPr>
            <w:r>
              <w:rPr>
                <w:rFonts w:eastAsia="MS Mincho"/>
              </w:rPr>
              <w:t>NR</w:t>
            </w:r>
          </w:p>
        </w:tc>
      </w:tr>
      <w:tr w:rsidR="00AD0762" w:rsidRPr="00061F78" w:rsidTr="00F968F3">
        <w:trPr>
          <w:cantSplit/>
          <w:trHeight w:val="99"/>
        </w:trPr>
        <w:tc>
          <w:tcPr>
            <w:tcW w:w="862" w:type="pct"/>
            <w:shd w:val="clear" w:color="auto" w:fill="auto"/>
            <w:tcMar>
              <w:left w:w="28" w:type="dxa"/>
              <w:right w:w="28" w:type="dxa"/>
            </w:tcMar>
          </w:tcPr>
          <w:p w:rsidR="00AD0762" w:rsidRDefault="00AD0762" w:rsidP="00F207DC">
            <w:pPr>
              <w:pStyle w:val="Tablewriting"/>
              <w:rPr>
                <w:rFonts w:eastAsia="MS Mincho"/>
              </w:rPr>
            </w:pPr>
            <w:r>
              <w:rPr>
                <w:rFonts w:eastAsia="MS Mincho"/>
              </w:rPr>
              <w:t>Chen</w:t>
            </w:r>
          </w:p>
          <w:p w:rsidR="00AD0762" w:rsidRPr="00AD0762" w:rsidRDefault="00AD0762" w:rsidP="00F207DC">
            <w:pPr>
              <w:pStyle w:val="Tablewriting"/>
              <w:rPr>
                <w:rFonts w:eastAsia="MS Mincho"/>
                <w:vertAlign w:val="superscript"/>
              </w:rPr>
            </w:pPr>
            <w:r>
              <w:rPr>
                <w:rFonts w:eastAsia="MS Mincho"/>
              </w:rPr>
              <w:t>(2020)</w:t>
            </w:r>
            <w:r w:rsidR="00AA5959">
              <w:rPr>
                <w:rFonts w:eastAsia="MS Mincho"/>
                <w:vertAlign w:val="superscript"/>
              </w:rPr>
              <w:t>2</w:t>
            </w:r>
          </w:p>
        </w:tc>
        <w:tc>
          <w:tcPr>
            <w:tcW w:w="943" w:type="pct"/>
            <w:shd w:val="clear" w:color="auto" w:fill="auto"/>
            <w:vAlign w:val="center"/>
          </w:tcPr>
          <w:p w:rsidR="00AD0762" w:rsidRPr="00251B64" w:rsidRDefault="00AD0762" w:rsidP="00F207DC">
            <w:pPr>
              <w:pStyle w:val="Tablewriting"/>
              <w:jc w:val="center"/>
              <w:rPr>
                <w:rFonts w:eastAsia="MS Mincho"/>
              </w:rPr>
            </w:pPr>
            <w:r>
              <w:rPr>
                <w:rFonts w:eastAsia="MS Mincho"/>
              </w:rPr>
              <w:t>RCT</w:t>
            </w:r>
          </w:p>
        </w:tc>
        <w:tc>
          <w:tcPr>
            <w:tcW w:w="841" w:type="pct"/>
            <w:shd w:val="clear" w:color="auto" w:fill="auto"/>
            <w:tcMar>
              <w:left w:w="28" w:type="dxa"/>
              <w:right w:w="28" w:type="dxa"/>
            </w:tcMar>
            <w:vAlign w:val="center"/>
          </w:tcPr>
          <w:p w:rsidR="00AD0762" w:rsidRDefault="00AD0762" w:rsidP="00297140">
            <w:pPr>
              <w:pStyle w:val="Tablewriting"/>
              <w:jc w:val="center"/>
              <w:rPr>
                <w:rFonts w:eastAsia="MS Mincho"/>
              </w:rPr>
            </w:pPr>
            <w:r>
              <w:rPr>
                <w:rFonts w:eastAsia="MS Mincho"/>
              </w:rPr>
              <w:t>37/275</w:t>
            </w:r>
          </w:p>
          <w:p w:rsidR="00AD0762" w:rsidRDefault="00AD0762" w:rsidP="00F207DC">
            <w:pPr>
              <w:pStyle w:val="Tablewriting"/>
              <w:jc w:val="center"/>
              <w:rPr>
                <w:rFonts w:eastAsia="MS Mincho"/>
              </w:rPr>
            </w:pPr>
            <w:r>
              <w:rPr>
                <w:rFonts w:eastAsia="MS Mincho"/>
              </w:rPr>
              <w:t>(13.5%)</w:t>
            </w:r>
          </w:p>
        </w:tc>
        <w:tc>
          <w:tcPr>
            <w:tcW w:w="773" w:type="pct"/>
            <w:shd w:val="clear" w:color="auto" w:fill="auto"/>
            <w:tcMar>
              <w:left w:w="28" w:type="dxa"/>
              <w:right w:w="28" w:type="dxa"/>
            </w:tcMar>
            <w:vAlign w:val="center"/>
          </w:tcPr>
          <w:p w:rsidR="00AD0762" w:rsidRDefault="00AD0762" w:rsidP="00297140">
            <w:pPr>
              <w:pStyle w:val="Tablewriting"/>
              <w:jc w:val="center"/>
              <w:rPr>
                <w:rFonts w:eastAsia="MS Mincho"/>
              </w:rPr>
            </w:pPr>
            <w:r>
              <w:rPr>
                <w:rFonts w:eastAsia="MS Mincho"/>
              </w:rPr>
              <w:t>25/273</w:t>
            </w:r>
          </w:p>
          <w:p w:rsidR="00AD0762" w:rsidRDefault="00AD0762" w:rsidP="00F207DC">
            <w:pPr>
              <w:pStyle w:val="Tablewriting"/>
              <w:jc w:val="center"/>
              <w:rPr>
                <w:rFonts w:eastAsia="MS Mincho"/>
              </w:rPr>
            </w:pPr>
            <w:r>
              <w:rPr>
                <w:rFonts w:eastAsia="MS Mincho"/>
              </w:rPr>
              <w:t>(9.2%)</w:t>
            </w:r>
          </w:p>
        </w:tc>
        <w:tc>
          <w:tcPr>
            <w:tcW w:w="850" w:type="pct"/>
            <w:shd w:val="clear" w:color="auto" w:fill="auto"/>
            <w:tcMar>
              <w:left w:w="28" w:type="dxa"/>
              <w:right w:w="28" w:type="dxa"/>
            </w:tcMar>
          </w:tcPr>
          <w:p w:rsidR="00AD0762" w:rsidRDefault="00AD0762" w:rsidP="00F207DC">
            <w:pPr>
              <w:pStyle w:val="Tablewriting"/>
              <w:jc w:val="center"/>
            </w:pPr>
            <w:r w:rsidRPr="00CD4DCC">
              <w:t xml:space="preserve">1.47 </w:t>
            </w:r>
          </w:p>
          <w:p w:rsidR="00AD0762" w:rsidRPr="009D16D9" w:rsidRDefault="00AD0762" w:rsidP="00F207DC">
            <w:pPr>
              <w:pStyle w:val="Tablewriting"/>
              <w:jc w:val="center"/>
              <w:rPr>
                <w:rFonts w:eastAsia="MS Mincho"/>
                <w:b/>
                <w:bCs/>
              </w:rPr>
            </w:pPr>
            <w:r w:rsidRPr="00CD4DCC">
              <w:t>(0.91, 2.37)</w:t>
            </w:r>
          </w:p>
        </w:tc>
        <w:tc>
          <w:tcPr>
            <w:tcW w:w="730" w:type="pct"/>
            <w:shd w:val="clear" w:color="auto" w:fill="auto"/>
          </w:tcPr>
          <w:p w:rsidR="00AD0762" w:rsidRDefault="008108DE" w:rsidP="00F207DC">
            <w:pPr>
              <w:pStyle w:val="Tablewriting"/>
              <w:jc w:val="center"/>
            </w:pPr>
            <w:r>
              <w:t>0.04</w:t>
            </w:r>
          </w:p>
          <w:p w:rsidR="00AD0762" w:rsidRPr="00D56406" w:rsidRDefault="008108DE" w:rsidP="00F207DC">
            <w:pPr>
              <w:pStyle w:val="Tablewriting"/>
              <w:jc w:val="center"/>
              <w:rPr>
                <w:rFonts w:eastAsia="MS Mincho"/>
              </w:rPr>
            </w:pPr>
            <w:r>
              <w:t>(-0.01, 0.10)</w:t>
            </w:r>
          </w:p>
        </w:tc>
      </w:tr>
      <w:tr w:rsidR="00AD0762" w:rsidRPr="00061F78" w:rsidTr="00F968F3">
        <w:trPr>
          <w:cantSplit/>
          <w:trHeight w:val="99"/>
        </w:trPr>
        <w:tc>
          <w:tcPr>
            <w:tcW w:w="862" w:type="pct"/>
            <w:shd w:val="clear" w:color="auto" w:fill="auto"/>
            <w:tcMar>
              <w:left w:w="28" w:type="dxa"/>
              <w:right w:w="28" w:type="dxa"/>
            </w:tcMar>
          </w:tcPr>
          <w:p w:rsidR="008F36FB" w:rsidRDefault="00356E00" w:rsidP="00F207DC">
            <w:pPr>
              <w:pStyle w:val="Tablewriting"/>
              <w:rPr>
                <w:rFonts w:eastAsia="MS Mincho"/>
              </w:rPr>
            </w:pPr>
            <w:r w:rsidRPr="00356E00">
              <w:rPr>
                <w:rFonts w:eastAsia="MS Mincho"/>
              </w:rPr>
              <w:t xml:space="preserve">Updated </w:t>
            </w:r>
          </w:p>
          <w:p w:rsidR="00AD0762" w:rsidRPr="00BA6621" w:rsidRDefault="00356E00" w:rsidP="00F207DC">
            <w:pPr>
              <w:pStyle w:val="Tablewriting"/>
              <w:rPr>
                <w:rFonts w:eastAsia="MS Mincho"/>
                <w:vertAlign w:val="superscript"/>
              </w:rPr>
            </w:pPr>
            <w:r w:rsidRPr="00356E00">
              <w:rPr>
                <w:rFonts w:eastAsia="MS Mincho"/>
              </w:rPr>
              <w:t>re-</w:t>
            </w:r>
            <w:r w:rsidR="00AD0762" w:rsidRPr="00356E00">
              <w:rPr>
                <w:rFonts w:eastAsia="MS Mincho"/>
              </w:rPr>
              <w:t>analysis</w:t>
            </w:r>
            <w:r w:rsidR="00867A16">
              <w:rPr>
                <w:rFonts w:eastAsia="MS Mincho"/>
                <w:vertAlign w:val="superscript"/>
              </w:rPr>
              <w:t>3</w:t>
            </w:r>
          </w:p>
        </w:tc>
        <w:tc>
          <w:tcPr>
            <w:tcW w:w="943" w:type="pct"/>
            <w:shd w:val="clear" w:color="auto" w:fill="auto"/>
            <w:vAlign w:val="center"/>
          </w:tcPr>
          <w:p w:rsidR="00AD0762" w:rsidRDefault="00C04924" w:rsidP="00F207DC">
            <w:pPr>
              <w:pStyle w:val="Tablewriting"/>
              <w:jc w:val="center"/>
              <w:rPr>
                <w:rFonts w:eastAsia="MS Mincho"/>
              </w:rPr>
            </w:pPr>
            <w:r>
              <w:rPr>
                <w:rFonts w:eastAsia="MS Mincho"/>
              </w:rPr>
              <w:t>2 RCTs</w:t>
            </w:r>
          </w:p>
        </w:tc>
        <w:tc>
          <w:tcPr>
            <w:tcW w:w="841" w:type="pct"/>
            <w:shd w:val="clear" w:color="auto" w:fill="auto"/>
            <w:tcMar>
              <w:left w:w="28" w:type="dxa"/>
              <w:right w:w="28" w:type="dxa"/>
            </w:tcMar>
            <w:vAlign w:val="center"/>
          </w:tcPr>
          <w:p w:rsidR="00AD0762" w:rsidRDefault="00C04924" w:rsidP="00F207DC">
            <w:pPr>
              <w:pStyle w:val="Tablewriting"/>
              <w:jc w:val="center"/>
              <w:rPr>
                <w:rFonts w:eastAsia="MS Mincho"/>
              </w:rPr>
            </w:pPr>
            <w:r>
              <w:rPr>
                <w:rFonts w:eastAsia="MS Mincho"/>
              </w:rPr>
              <w:t>144/542</w:t>
            </w:r>
          </w:p>
          <w:p w:rsidR="00AD0762" w:rsidRDefault="00C04924" w:rsidP="00F207DC">
            <w:pPr>
              <w:pStyle w:val="Tablewriting"/>
              <w:jc w:val="center"/>
              <w:rPr>
                <w:rFonts w:eastAsia="MS Mincho"/>
              </w:rPr>
            </w:pPr>
            <w:r>
              <w:rPr>
                <w:rFonts w:eastAsia="MS Mincho"/>
              </w:rPr>
              <w:t>(</w:t>
            </w:r>
            <w:r w:rsidR="00C661C3">
              <w:rPr>
                <w:rFonts w:eastAsia="MS Mincho"/>
              </w:rPr>
              <w:t>26.6</w:t>
            </w:r>
            <w:r>
              <w:rPr>
                <w:rFonts w:eastAsia="MS Mincho"/>
              </w:rPr>
              <w:t>%)</w:t>
            </w:r>
          </w:p>
        </w:tc>
        <w:tc>
          <w:tcPr>
            <w:tcW w:w="773" w:type="pct"/>
            <w:shd w:val="clear" w:color="auto" w:fill="auto"/>
            <w:tcMar>
              <w:left w:w="28" w:type="dxa"/>
              <w:right w:w="28" w:type="dxa"/>
            </w:tcMar>
            <w:vAlign w:val="center"/>
          </w:tcPr>
          <w:p w:rsidR="00AD0762" w:rsidRDefault="00C04924" w:rsidP="00F207DC">
            <w:pPr>
              <w:pStyle w:val="Tablewriting"/>
              <w:jc w:val="center"/>
              <w:rPr>
                <w:rFonts w:eastAsia="MS Mincho"/>
              </w:rPr>
            </w:pPr>
            <w:r>
              <w:rPr>
                <w:rFonts w:eastAsia="MS Mincho"/>
              </w:rPr>
              <w:t>34/314</w:t>
            </w:r>
          </w:p>
          <w:p w:rsidR="00AD0762" w:rsidRDefault="00C04924" w:rsidP="00F207DC">
            <w:pPr>
              <w:pStyle w:val="Tablewriting"/>
              <w:jc w:val="center"/>
              <w:rPr>
                <w:rFonts w:eastAsia="MS Mincho"/>
              </w:rPr>
            </w:pPr>
            <w:r>
              <w:rPr>
                <w:rFonts w:eastAsia="MS Mincho"/>
              </w:rPr>
              <w:t>(</w:t>
            </w:r>
            <w:r w:rsidR="00C661C3">
              <w:rPr>
                <w:rFonts w:eastAsia="MS Mincho"/>
              </w:rPr>
              <w:t>10.8</w:t>
            </w:r>
            <w:r>
              <w:rPr>
                <w:rFonts w:eastAsia="MS Mincho"/>
              </w:rPr>
              <w:t>%)</w:t>
            </w:r>
          </w:p>
        </w:tc>
        <w:tc>
          <w:tcPr>
            <w:tcW w:w="850" w:type="pct"/>
            <w:shd w:val="clear" w:color="auto" w:fill="auto"/>
            <w:tcMar>
              <w:left w:w="28" w:type="dxa"/>
              <w:right w:w="28" w:type="dxa"/>
            </w:tcMar>
            <w:vAlign w:val="center"/>
          </w:tcPr>
          <w:p w:rsidR="00AD0762" w:rsidRDefault="00C04924" w:rsidP="00F207DC">
            <w:pPr>
              <w:pStyle w:val="Tablewriting"/>
              <w:jc w:val="center"/>
              <w:rPr>
                <w:rFonts w:eastAsia="MS Mincho"/>
                <w:b/>
                <w:bCs/>
              </w:rPr>
            </w:pPr>
            <w:r>
              <w:rPr>
                <w:rFonts w:eastAsia="MS Mincho"/>
                <w:b/>
                <w:bCs/>
              </w:rPr>
              <w:t>1.60</w:t>
            </w:r>
          </w:p>
          <w:p w:rsidR="00AD0762" w:rsidRPr="009D16D9" w:rsidRDefault="00C04924" w:rsidP="00F207DC">
            <w:pPr>
              <w:pStyle w:val="Tablewriting"/>
              <w:jc w:val="center"/>
              <w:rPr>
                <w:rFonts w:eastAsia="MS Mincho"/>
                <w:b/>
                <w:bCs/>
              </w:rPr>
            </w:pPr>
            <w:r>
              <w:rPr>
                <w:rFonts w:eastAsia="MS Mincho"/>
                <w:b/>
                <w:bCs/>
              </w:rPr>
              <w:t>(1.10, 2.32)</w:t>
            </w:r>
          </w:p>
        </w:tc>
        <w:tc>
          <w:tcPr>
            <w:tcW w:w="730" w:type="pct"/>
            <w:shd w:val="clear" w:color="auto" w:fill="auto"/>
            <w:vAlign w:val="center"/>
          </w:tcPr>
          <w:p w:rsidR="00AD0762" w:rsidRDefault="008108DE" w:rsidP="00F207DC">
            <w:pPr>
              <w:pStyle w:val="Tablewriting"/>
              <w:jc w:val="center"/>
              <w:rPr>
                <w:rFonts w:eastAsia="MS Mincho"/>
              </w:rPr>
            </w:pPr>
            <w:r>
              <w:rPr>
                <w:rFonts w:eastAsia="MS Mincho"/>
              </w:rPr>
              <w:t>0.10</w:t>
            </w:r>
          </w:p>
          <w:p w:rsidR="00AD0762" w:rsidRPr="00D56406" w:rsidRDefault="008108DE" w:rsidP="00F207DC">
            <w:pPr>
              <w:pStyle w:val="Tablewriting"/>
              <w:jc w:val="center"/>
              <w:rPr>
                <w:rFonts w:eastAsia="MS Mincho"/>
              </w:rPr>
            </w:pPr>
            <w:r>
              <w:rPr>
                <w:rFonts w:eastAsia="MS Mincho"/>
              </w:rPr>
              <w:t>(-0.04, 0.23)</w:t>
            </w:r>
          </w:p>
        </w:tc>
      </w:tr>
      <w:tr w:rsidR="007D432C" w:rsidRPr="00061F78" w:rsidTr="004B53F8">
        <w:trPr>
          <w:cantSplit/>
          <w:trHeight w:val="99"/>
        </w:trPr>
        <w:tc>
          <w:tcPr>
            <w:tcW w:w="5000" w:type="pct"/>
            <w:gridSpan w:val="6"/>
            <w:shd w:val="clear" w:color="auto" w:fill="auto"/>
            <w:tcMar>
              <w:left w:w="28" w:type="dxa"/>
              <w:right w:w="28" w:type="dxa"/>
            </w:tcMar>
          </w:tcPr>
          <w:p w:rsidR="007D432C" w:rsidRPr="004B53F8" w:rsidRDefault="007D432C" w:rsidP="00F207DC">
            <w:pPr>
              <w:pStyle w:val="Tablewriting"/>
              <w:rPr>
                <w:rFonts w:eastAsia="MS Mincho"/>
                <w:b/>
                <w:bCs/>
              </w:rPr>
            </w:pPr>
            <w:r w:rsidRPr="004B53F8">
              <w:rPr>
                <w:rFonts w:eastAsia="MS Mincho"/>
                <w:b/>
                <w:bCs/>
              </w:rPr>
              <w:t xml:space="preserve">NRT patch + </w:t>
            </w:r>
            <w:r w:rsidR="003F1257" w:rsidRPr="004B53F8">
              <w:rPr>
                <w:rFonts w:eastAsia="MS Mincho"/>
                <w:b/>
                <w:bCs/>
              </w:rPr>
              <w:t>gum</w:t>
            </w:r>
            <w:r w:rsidRPr="004B53F8">
              <w:rPr>
                <w:rFonts w:eastAsia="MS Mincho"/>
                <w:b/>
                <w:bCs/>
              </w:rPr>
              <w:t xml:space="preserve"> versus placebo</w:t>
            </w:r>
          </w:p>
        </w:tc>
      </w:tr>
      <w:tr w:rsidR="002B5CCF" w:rsidRPr="00061F78" w:rsidTr="00F968F3">
        <w:trPr>
          <w:cantSplit/>
          <w:trHeight w:val="99"/>
        </w:trPr>
        <w:tc>
          <w:tcPr>
            <w:tcW w:w="862" w:type="pct"/>
            <w:shd w:val="clear" w:color="auto" w:fill="auto"/>
            <w:tcMar>
              <w:left w:w="28" w:type="dxa"/>
              <w:right w:w="28" w:type="dxa"/>
            </w:tcMar>
          </w:tcPr>
          <w:p w:rsidR="00DE4137" w:rsidRDefault="00DE4137" w:rsidP="00F207DC">
            <w:pPr>
              <w:pStyle w:val="Tablewriting"/>
              <w:rPr>
                <w:rFonts w:eastAsia="MS Mincho"/>
              </w:rPr>
            </w:pPr>
            <w:r>
              <w:rPr>
                <w:rFonts w:eastAsia="MS Mincho"/>
              </w:rPr>
              <w:t>Hartmann-Boyce</w:t>
            </w:r>
          </w:p>
          <w:p w:rsidR="003F1257" w:rsidRPr="00AE12C1" w:rsidRDefault="00DE4137" w:rsidP="00F207DC">
            <w:pPr>
              <w:pStyle w:val="Tablewriting"/>
              <w:rPr>
                <w:rFonts w:eastAsia="MS Mincho"/>
                <w:vertAlign w:val="superscript"/>
              </w:rPr>
            </w:pPr>
            <w:r w:rsidRPr="00251B64">
              <w:rPr>
                <w:rFonts w:eastAsia="MS Mincho"/>
              </w:rPr>
              <w:t>(</w:t>
            </w:r>
            <w:r>
              <w:rPr>
                <w:rFonts w:eastAsia="MS Mincho"/>
              </w:rPr>
              <w:t>2018</w:t>
            </w:r>
            <w:r w:rsidRPr="00251B64">
              <w:rPr>
                <w:rFonts w:eastAsia="MS Mincho"/>
              </w:rPr>
              <w:t>)</w:t>
            </w:r>
            <w:r w:rsidR="00AA5959">
              <w:rPr>
                <w:rFonts w:eastAsia="MS Mincho"/>
                <w:vertAlign w:val="superscript"/>
              </w:rPr>
              <w:t>1</w:t>
            </w:r>
          </w:p>
        </w:tc>
        <w:tc>
          <w:tcPr>
            <w:tcW w:w="943" w:type="pct"/>
            <w:shd w:val="clear" w:color="auto" w:fill="auto"/>
            <w:vAlign w:val="center"/>
          </w:tcPr>
          <w:p w:rsidR="00714E65" w:rsidRDefault="00714E65" w:rsidP="00F207DC">
            <w:pPr>
              <w:pStyle w:val="Tablewriting"/>
              <w:jc w:val="center"/>
              <w:rPr>
                <w:rFonts w:eastAsia="MS Mincho"/>
              </w:rPr>
            </w:pPr>
            <w:r>
              <w:rPr>
                <w:rFonts w:eastAsia="MS Mincho"/>
              </w:rPr>
              <w:t>Cochrane Review</w:t>
            </w:r>
          </w:p>
          <w:p w:rsidR="002B5CCF" w:rsidRPr="00714E65" w:rsidRDefault="00714E65" w:rsidP="00F207DC">
            <w:pPr>
              <w:pStyle w:val="Tablewriting"/>
              <w:jc w:val="center"/>
              <w:rPr>
                <w:rFonts w:eastAsia="MS Mincho"/>
              </w:rPr>
            </w:pPr>
            <w:r>
              <w:rPr>
                <w:rFonts w:eastAsia="MS Mincho"/>
              </w:rPr>
              <w:t>(</w:t>
            </w:r>
            <w:r w:rsidR="00356E00">
              <w:rPr>
                <w:rFonts w:eastAsia="MS Mincho"/>
              </w:rPr>
              <w:t xml:space="preserve">2 </w:t>
            </w:r>
            <w:r w:rsidR="00850AA1">
              <w:rPr>
                <w:rFonts w:eastAsia="MS Mincho"/>
              </w:rPr>
              <w:t>RCT</w:t>
            </w:r>
            <w:r w:rsidR="00356E00">
              <w:rPr>
                <w:rFonts w:eastAsia="MS Mincho"/>
              </w:rPr>
              <w:t>s</w:t>
            </w:r>
            <w:r w:rsidR="00AA5959">
              <w:rPr>
                <w:rFonts w:eastAsia="MS Mincho"/>
                <w:vertAlign w:val="superscript"/>
              </w:rPr>
              <w:t>2</w:t>
            </w:r>
            <w:r>
              <w:rPr>
                <w:rFonts w:eastAsia="MS Mincho"/>
              </w:rPr>
              <w:t>)</w:t>
            </w:r>
          </w:p>
        </w:tc>
        <w:tc>
          <w:tcPr>
            <w:tcW w:w="841" w:type="pct"/>
            <w:shd w:val="clear" w:color="auto" w:fill="auto"/>
            <w:tcMar>
              <w:left w:w="28" w:type="dxa"/>
              <w:right w:w="28" w:type="dxa"/>
            </w:tcMar>
            <w:vAlign w:val="center"/>
          </w:tcPr>
          <w:p w:rsidR="002B5CCF" w:rsidRDefault="00476126" w:rsidP="00F207DC">
            <w:pPr>
              <w:pStyle w:val="Tablewriting"/>
              <w:jc w:val="center"/>
              <w:rPr>
                <w:rFonts w:eastAsia="MS Mincho"/>
              </w:rPr>
            </w:pPr>
            <w:r>
              <w:rPr>
                <w:rFonts w:eastAsia="MS Mincho"/>
              </w:rPr>
              <w:t>24/173</w:t>
            </w:r>
          </w:p>
          <w:p w:rsidR="003F1E91" w:rsidRDefault="003F1E91" w:rsidP="00F207DC">
            <w:pPr>
              <w:pStyle w:val="Tablewriting"/>
              <w:jc w:val="center"/>
              <w:rPr>
                <w:rFonts w:eastAsia="MS Mincho"/>
              </w:rPr>
            </w:pPr>
            <w:r>
              <w:rPr>
                <w:rFonts w:eastAsia="MS Mincho"/>
              </w:rPr>
              <w:t>(</w:t>
            </w:r>
            <w:r w:rsidR="00C661C3">
              <w:rPr>
                <w:rFonts w:eastAsia="MS Mincho"/>
              </w:rPr>
              <w:t>13.9</w:t>
            </w:r>
            <w:r>
              <w:rPr>
                <w:rFonts w:eastAsia="MS Mincho"/>
              </w:rPr>
              <w:t>%)</w:t>
            </w:r>
          </w:p>
        </w:tc>
        <w:tc>
          <w:tcPr>
            <w:tcW w:w="773" w:type="pct"/>
            <w:shd w:val="clear" w:color="auto" w:fill="auto"/>
            <w:tcMar>
              <w:left w:w="28" w:type="dxa"/>
              <w:right w:w="28" w:type="dxa"/>
            </w:tcMar>
            <w:vAlign w:val="center"/>
          </w:tcPr>
          <w:p w:rsidR="002B5CCF" w:rsidRDefault="00897E19" w:rsidP="00F207DC">
            <w:pPr>
              <w:pStyle w:val="Tablewriting"/>
              <w:jc w:val="center"/>
              <w:rPr>
                <w:rFonts w:eastAsia="MS Mincho"/>
              </w:rPr>
            </w:pPr>
            <w:r>
              <w:rPr>
                <w:rFonts w:eastAsia="MS Mincho"/>
              </w:rPr>
              <w:t>1</w:t>
            </w:r>
            <w:r w:rsidR="00476126">
              <w:rPr>
                <w:rFonts w:eastAsia="MS Mincho"/>
              </w:rPr>
              <w:t>6/86</w:t>
            </w:r>
          </w:p>
          <w:p w:rsidR="00897E19" w:rsidRDefault="00897E19" w:rsidP="00F207DC">
            <w:pPr>
              <w:pStyle w:val="Tablewriting"/>
              <w:jc w:val="center"/>
              <w:rPr>
                <w:rFonts w:eastAsia="MS Mincho"/>
              </w:rPr>
            </w:pPr>
            <w:r>
              <w:rPr>
                <w:rFonts w:eastAsia="MS Mincho"/>
              </w:rPr>
              <w:t>(</w:t>
            </w:r>
            <w:r w:rsidR="00C661C3">
              <w:rPr>
                <w:rFonts w:eastAsia="MS Mincho"/>
              </w:rPr>
              <w:t>18</w:t>
            </w:r>
            <w:r w:rsidR="00EA7CF2">
              <w:rPr>
                <w:rFonts w:eastAsia="MS Mincho"/>
              </w:rPr>
              <w:t>.6</w:t>
            </w:r>
            <w:r>
              <w:rPr>
                <w:rFonts w:eastAsia="MS Mincho"/>
              </w:rPr>
              <w:t>%)</w:t>
            </w:r>
          </w:p>
        </w:tc>
        <w:tc>
          <w:tcPr>
            <w:tcW w:w="850" w:type="pct"/>
            <w:shd w:val="clear" w:color="auto" w:fill="auto"/>
            <w:tcMar>
              <w:left w:w="28" w:type="dxa"/>
              <w:right w:w="28" w:type="dxa"/>
            </w:tcMar>
            <w:vAlign w:val="center"/>
          </w:tcPr>
          <w:p w:rsidR="002B5CCF" w:rsidRDefault="008221D1" w:rsidP="00F207DC">
            <w:pPr>
              <w:pStyle w:val="Tablewriting"/>
              <w:jc w:val="center"/>
              <w:rPr>
                <w:rFonts w:eastAsia="MS Mincho"/>
              </w:rPr>
            </w:pPr>
            <w:r>
              <w:rPr>
                <w:rFonts w:eastAsia="MS Mincho"/>
              </w:rPr>
              <w:t>1.15</w:t>
            </w:r>
          </w:p>
          <w:p w:rsidR="00B22D98" w:rsidRPr="00D56406" w:rsidRDefault="00B22D98" w:rsidP="00F207DC">
            <w:pPr>
              <w:pStyle w:val="Tablewriting"/>
              <w:jc w:val="center"/>
              <w:rPr>
                <w:rFonts w:eastAsia="MS Mincho"/>
              </w:rPr>
            </w:pPr>
            <w:r>
              <w:rPr>
                <w:rFonts w:eastAsia="MS Mincho"/>
              </w:rPr>
              <w:t>(0.</w:t>
            </w:r>
            <w:r w:rsidR="008221D1">
              <w:rPr>
                <w:rFonts w:eastAsia="MS Mincho"/>
              </w:rPr>
              <w:t>64</w:t>
            </w:r>
            <w:r>
              <w:rPr>
                <w:rFonts w:eastAsia="MS Mincho"/>
              </w:rPr>
              <w:t xml:space="preserve">, </w:t>
            </w:r>
            <w:r w:rsidR="008221D1">
              <w:rPr>
                <w:rFonts w:eastAsia="MS Mincho"/>
              </w:rPr>
              <w:t>2.06</w:t>
            </w:r>
            <w:r>
              <w:rPr>
                <w:rFonts w:eastAsia="MS Mincho"/>
              </w:rPr>
              <w:t>)</w:t>
            </w:r>
          </w:p>
        </w:tc>
        <w:tc>
          <w:tcPr>
            <w:tcW w:w="730" w:type="pct"/>
            <w:shd w:val="clear" w:color="auto" w:fill="auto"/>
            <w:vAlign w:val="center"/>
          </w:tcPr>
          <w:p w:rsidR="002B5CCF" w:rsidRPr="00D56406" w:rsidRDefault="00906E44" w:rsidP="00F207DC">
            <w:pPr>
              <w:pStyle w:val="Tablewriting"/>
              <w:jc w:val="center"/>
              <w:rPr>
                <w:rFonts w:eastAsia="MS Mincho"/>
              </w:rPr>
            </w:pPr>
            <w:r>
              <w:rPr>
                <w:rFonts w:eastAsia="MS Mincho"/>
              </w:rPr>
              <w:t>NR</w:t>
            </w:r>
          </w:p>
        </w:tc>
      </w:tr>
      <w:tr w:rsidR="004C539D" w:rsidRPr="00061F78" w:rsidTr="004B53F8">
        <w:trPr>
          <w:cantSplit/>
          <w:trHeight w:val="99"/>
        </w:trPr>
        <w:tc>
          <w:tcPr>
            <w:tcW w:w="5000" w:type="pct"/>
            <w:gridSpan w:val="6"/>
            <w:shd w:val="clear" w:color="auto" w:fill="auto"/>
            <w:tcMar>
              <w:left w:w="28" w:type="dxa"/>
              <w:right w:w="28" w:type="dxa"/>
            </w:tcMar>
          </w:tcPr>
          <w:p w:rsidR="004C539D" w:rsidRPr="004B53F8" w:rsidRDefault="004C539D" w:rsidP="00F207DC">
            <w:pPr>
              <w:pStyle w:val="Tablewriting"/>
              <w:rPr>
                <w:rFonts w:eastAsia="MS Mincho"/>
                <w:b/>
                <w:bCs/>
              </w:rPr>
            </w:pPr>
            <w:r w:rsidRPr="004B53F8">
              <w:rPr>
                <w:rFonts w:eastAsia="MS Mincho"/>
                <w:b/>
                <w:bCs/>
              </w:rPr>
              <w:t>NRT patch + inhalator versus placebo</w:t>
            </w:r>
          </w:p>
        </w:tc>
      </w:tr>
      <w:tr w:rsidR="00F05794" w:rsidRPr="00061F78" w:rsidTr="00F968F3">
        <w:trPr>
          <w:cantSplit/>
          <w:trHeight w:val="99"/>
        </w:trPr>
        <w:tc>
          <w:tcPr>
            <w:tcW w:w="862" w:type="pct"/>
            <w:shd w:val="clear" w:color="auto" w:fill="auto"/>
            <w:tcMar>
              <w:left w:w="28" w:type="dxa"/>
              <w:right w:w="28" w:type="dxa"/>
            </w:tcMar>
          </w:tcPr>
          <w:p w:rsidR="00B3328C" w:rsidRDefault="00B3328C" w:rsidP="00F207DC">
            <w:pPr>
              <w:pStyle w:val="Tablewriting"/>
              <w:rPr>
                <w:rFonts w:eastAsia="MS Mincho"/>
              </w:rPr>
            </w:pPr>
            <w:r>
              <w:rPr>
                <w:rFonts w:eastAsia="MS Mincho"/>
              </w:rPr>
              <w:t>Hartmann-Boyce</w:t>
            </w:r>
          </w:p>
          <w:p w:rsidR="006D00CF" w:rsidRPr="00F82B95" w:rsidRDefault="00B3328C" w:rsidP="00F207DC">
            <w:pPr>
              <w:pStyle w:val="Tablewriting"/>
              <w:rPr>
                <w:rFonts w:eastAsia="MS Mincho"/>
                <w:vertAlign w:val="superscript"/>
              </w:rPr>
            </w:pPr>
            <w:r w:rsidRPr="00251B64">
              <w:rPr>
                <w:rFonts w:eastAsia="MS Mincho"/>
              </w:rPr>
              <w:t>(</w:t>
            </w:r>
            <w:r>
              <w:rPr>
                <w:rFonts w:eastAsia="MS Mincho"/>
              </w:rPr>
              <w:t>2018</w:t>
            </w:r>
            <w:r w:rsidRPr="00251B64">
              <w:rPr>
                <w:rFonts w:eastAsia="MS Mincho"/>
              </w:rPr>
              <w:t>)</w:t>
            </w:r>
            <w:r w:rsidR="00AA5959">
              <w:rPr>
                <w:rFonts w:eastAsia="MS Mincho"/>
                <w:vertAlign w:val="superscript"/>
              </w:rPr>
              <w:t>1</w:t>
            </w:r>
          </w:p>
        </w:tc>
        <w:tc>
          <w:tcPr>
            <w:tcW w:w="943" w:type="pct"/>
            <w:shd w:val="clear" w:color="auto" w:fill="auto"/>
            <w:vAlign w:val="center"/>
          </w:tcPr>
          <w:p w:rsidR="00B3328C" w:rsidRDefault="00714E65" w:rsidP="00F207DC">
            <w:pPr>
              <w:pStyle w:val="Tablewriting"/>
              <w:jc w:val="center"/>
              <w:rPr>
                <w:rFonts w:eastAsia="MS Mincho"/>
              </w:rPr>
            </w:pPr>
            <w:r>
              <w:rPr>
                <w:rFonts w:eastAsia="MS Mincho"/>
              </w:rPr>
              <w:t>Cochrane Review</w:t>
            </w:r>
          </w:p>
          <w:p w:rsidR="00F05794" w:rsidRPr="00251B64" w:rsidRDefault="00B3328C" w:rsidP="00F207DC">
            <w:pPr>
              <w:pStyle w:val="Tablewriting"/>
              <w:jc w:val="center"/>
              <w:rPr>
                <w:rFonts w:eastAsia="MS Mincho"/>
              </w:rPr>
            </w:pPr>
            <w:r>
              <w:rPr>
                <w:rFonts w:eastAsia="MS Mincho"/>
              </w:rPr>
              <w:t>(</w:t>
            </w:r>
            <w:r w:rsidR="00714E65">
              <w:rPr>
                <w:rFonts w:eastAsia="MS Mincho"/>
              </w:rPr>
              <w:t>1 RCT</w:t>
            </w:r>
            <w:r w:rsidR="00867A16">
              <w:rPr>
                <w:rFonts w:eastAsia="MS Mincho"/>
                <w:vertAlign w:val="superscript"/>
              </w:rPr>
              <w:t>4</w:t>
            </w:r>
            <w:r>
              <w:rPr>
                <w:rFonts w:eastAsia="MS Mincho"/>
              </w:rPr>
              <w:t>)</w:t>
            </w:r>
          </w:p>
        </w:tc>
        <w:tc>
          <w:tcPr>
            <w:tcW w:w="841" w:type="pct"/>
            <w:shd w:val="clear" w:color="auto" w:fill="auto"/>
            <w:tcMar>
              <w:left w:w="28" w:type="dxa"/>
              <w:right w:w="28" w:type="dxa"/>
            </w:tcMar>
            <w:vAlign w:val="center"/>
          </w:tcPr>
          <w:p w:rsidR="00F05794" w:rsidRDefault="00162247" w:rsidP="00F207DC">
            <w:pPr>
              <w:pStyle w:val="Tablewriting"/>
              <w:jc w:val="center"/>
              <w:rPr>
                <w:rFonts w:eastAsia="MS Mincho"/>
              </w:rPr>
            </w:pPr>
            <w:r>
              <w:rPr>
                <w:rFonts w:eastAsia="MS Mincho"/>
              </w:rPr>
              <w:t>20/136</w:t>
            </w:r>
          </w:p>
          <w:p w:rsidR="00162247" w:rsidRDefault="00162247" w:rsidP="00F207DC">
            <w:pPr>
              <w:pStyle w:val="Tablewriting"/>
              <w:jc w:val="center"/>
              <w:rPr>
                <w:rFonts w:eastAsia="MS Mincho"/>
              </w:rPr>
            </w:pPr>
            <w:r>
              <w:rPr>
                <w:rFonts w:eastAsia="MS Mincho"/>
              </w:rPr>
              <w:t>(</w:t>
            </w:r>
            <w:r w:rsidR="00CA1A5E">
              <w:rPr>
                <w:rFonts w:eastAsia="MS Mincho"/>
              </w:rPr>
              <w:t>14.7</w:t>
            </w:r>
            <w:r>
              <w:rPr>
                <w:rFonts w:eastAsia="MS Mincho"/>
              </w:rPr>
              <w:t>%)</w:t>
            </w:r>
          </w:p>
        </w:tc>
        <w:tc>
          <w:tcPr>
            <w:tcW w:w="773" w:type="pct"/>
            <w:shd w:val="clear" w:color="auto" w:fill="auto"/>
            <w:tcMar>
              <w:left w:w="28" w:type="dxa"/>
              <w:right w:w="28" w:type="dxa"/>
            </w:tcMar>
            <w:vAlign w:val="center"/>
          </w:tcPr>
          <w:p w:rsidR="00F05794" w:rsidRDefault="00162247" w:rsidP="00F207DC">
            <w:pPr>
              <w:pStyle w:val="Tablewriting"/>
              <w:jc w:val="center"/>
              <w:rPr>
                <w:rFonts w:eastAsia="MS Mincho"/>
              </w:rPr>
            </w:pPr>
            <w:r>
              <w:rPr>
                <w:rFonts w:eastAsia="MS Mincho"/>
              </w:rPr>
              <w:t>15/109</w:t>
            </w:r>
          </w:p>
          <w:p w:rsidR="00162247" w:rsidRDefault="00162247" w:rsidP="00F207DC">
            <w:pPr>
              <w:pStyle w:val="Tablewriting"/>
              <w:jc w:val="center"/>
              <w:rPr>
                <w:rFonts w:eastAsia="MS Mincho"/>
              </w:rPr>
            </w:pPr>
            <w:r>
              <w:rPr>
                <w:rFonts w:eastAsia="MS Mincho"/>
              </w:rPr>
              <w:t>(</w:t>
            </w:r>
            <w:r w:rsidR="0034680E">
              <w:rPr>
                <w:rFonts w:eastAsia="MS Mincho"/>
              </w:rPr>
              <w:t>13.8</w:t>
            </w:r>
            <w:r>
              <w:rPr>
                <w:rFonts w:eastAsia="MS Mincho"/>
              </w:rPr>
              <w:t>%)</w:t>
            </w:r>
          </w:p>
        </w:tc>
        <w:tc>
          <w:tcPr>
            <w:tcW w:w="850" w:type="pct"/>
            <w:shd w:val="clear" w:color="auto" w:fill="auto"/>
            <w:tcMar>
              <w:left w:w="28" w:type="dxa"/>
              <w:right w:w="28" w:type="dxa"/>
            </w:tcMar>
            <w:vAlign w:val="center"/>
          </w:tcPr>
          <w:p w:rsidR="00F05794" w:rsidRDefault="00600936" w:rsidP="00F207DC">
            <w:pPr>
              <w:pStyle w:val="Tablewriting"/>
              <w:jc w:val="center"/>
              <w:rPr>
                <w:rFonts w:eastAsia="MS Mincho"/>
              </w:rPr>
            </w:pPr>
            <w:r>
              <w:rPr>
                <w:rFonts w:eastAsia="MS Mincho"/>
              </w:rPr>
              <w:t>1.07</w:t>
            </w:r>
          </w:p>
          <w:p w:rsidR="00600936" w:rsidRPr="00D56406" w:rsidRDefault="00600936" w:rsidP="00F207DC">
            <w:pPr>
              <w:pStyle w:val="Tablewriting"/>
              <w:jc w:val="center"/>
              <w:rPr>
                <w:rFonts w:eastAsia="MS Mincho"/>
              </w:rPr>
            </w:pPr>
            <w:r>
              <w:rPr>
                <w:rFonts w:eastAsia="MS Mincho"/>
              </w:rPr>
              <w:t>(0.57, 1.99)</w:t>
            </w:r>
          </w:p>
        </w:tc>
        <w:tc>
          <w:tcPr>
            <w:tcW w:w="730" w:type="pct"/>
            <w:shd w:val="clear" w:color="auto" w:fill="auto"/>
            <w:vAlign w:val="center"/>
          </w:tcPr>
          <w:p w:rsidR="00F05794" w:rsidRPr="00D56406" w:rsidRDefault="00F0337B" w:rsidP="00F207DC">
            <w:pPr>
              <w:pStyle w:val="Tablewriting"/>
              <w:jc w:val="center"/>
              <w:rPr>
                <w:rFonts w:eastAsia="MS Mincho"/>
              </w:rPr>
            </w:pPr>
            <w:r>
              <w:rPr>
                <w:rFonts w:eastAsia="MS Mincho"/>
              </w:rPr>
              <w:t>NR</w:t>
            </w:r>
          </w:p>
        </w:tc>
      </w:tr>
      <w:tr w:rsidR="006D00CF" w:rsidRPr="00061F78" w:rsidTr="004B53F8">
        <w:trPr>
          <w:cantSplit/>
          <w:trHeight w:val="99"/>
        </w:trPr>
        <w:tc>
          <w:tcPr>
            <w:tcW w:w="5000" w:type="pct"/>
            <w:gridSpan w:val="6"/>
            <w:shd w:val="clear" w:color="auto" w:fill="auto"/>
            <w:tcMar>
              <w:left w:w="28" w:type="dxa"/>
              <w:right w:w="28" w:type="dxa"/>
            </w:tcMar>
          </w:tcPr>
          <w:p w:rsidR="006D00CF" w:rsidRPr="004B53F8" w:rsidRDefault="006D00CF" w:rsidP="00F207DC">
            <w:pPr>
              <w:pStyle w:val="Tablewriting"/>
              <w:rPr>
                <w:rFonts w:eastAsia="MS Mincho"/>
                <w:b/>
                <w:bCs/>
              </w:rPr>
            </w:pPr>
            <w:r w:rsidRPr="004B53F8">
              <w:rPr>
                <w:rFonts w:eastAsia="MS Mincho"/>
                <w:b/>
                <w:bCs/>
              </w:rPr>
              <w:t xml:space="preserve">NRT patch + </w:t>
            </w:r>
            <w:r w:rsidR="007E2906" w:rsidRPr="004B53F8">
              <w:rPr>
                <w:rFonts w:eastAsia="MS Mincho"/>
                <w:b/>
                <w:bCs/>
              </w:rPr>
              <w:t xml:space="preserve">lozenge and </w:t>
            </w:r>
            <w:r w:rsidRPr="004B53F8">
              <w:rPr>
                <w:rFonts w:eastAsia="MS Mincho"/>
                <w:b/>
                <w:bCs/>
              </w:rPr>
              <w:t>gum versus placebo</w:t>
            </w:r>
          </w:p>
        </w:tc>
      </w:tr>
      <w:tr w:rsidR="00F05794" w:rsidRPr="00061F78" w:rsidTr="00F968F3">
        <w:trPr>
          <w:cantSplit/>
          <w:trHeight w:val="99"/>
        </w:trPr>
        <w:tc>
          <w:tcPr>
            <w:tcW w:w="862" w:type="pct"/>
            <w:shd w:val="clear" w:color="auto" w:fill="auto"/>
            <w:tcMar>
              <w:left w:w="28" w:type="dxa"/>
              <w:right w:w="28" w:type="dxa"/>
            </w:tcMar>
          </w:tcPr>
          <w:p w:rsidR="00B3328C" w:rsidRDefault="00B3328C" w:rsidP="00F207DC">
            <w:pPr>
              <w:pStyle w:val="Tablewriting"/>
              <w:rPr>
                <w:rFonts w:eastAsia="MS Mincho"/>
              </w:rPr>
            </w:pPr>
            <w:r>
              <w:rPr>
                <w:rFonts w:eastAsia="MS Mincho"/>
              </w:rPr>
              <w:t>Hartmann-Boyce</w:t>
            </w:r>
          </w:p>
          <w:p w:rsidR="006D00CF" w:rsidRPr="00191973" w:rsidRDefault="00B3328C" w:rsidP="00F207DC">
            <w:pPr>
              <w:pStyle w:val="Tablewriting"/>
              <w:rPr>
                <w:rFonts w:eastAsia="MS Mincho"/>
                <w:vertAlign w:val="superscript"/>
              </w:rPr>
            </w:pPr>
            <w:r w:rsidRPr="00251B64">
              <w:rPr>
                <w:rFonts w:eastAsia="MS Mincho"/>
              </w:rPr>
              <w:t>(</w:t>
            </w:r>
            <w:r>
              <w:rPr>
                <w:rFonts w:eastAsia="MS Mincho"/>
              </w:rPr>
              <w:t>2018</w:t>
            </w:r>
            <w:r w:rsidRPr="00251B64">
              <w:rPr>
                <w:rFonts w:eastAsia="MS Mincho"/>
              </w:rPr>
              <w:t>)</w:t>
            </w:r>
            <w:r w:rsidR="00AA5959">
              <w:rPr>
                <w:rFonts w:eastAsia="MS Mincho"/>
                <w:vertAlign w:val="superscript"/>
              </w:rPr>
              <w:t>1</w:t>
            </w:r>
          </w:p>
        </w:tc>
        <w:tc>
          <w:tcPr>
            <w:tcW w:w="943" w:type="pct"/>
            <w:shd w:val="clear" w:color="auto" w:fill="auto"/>
            <w:vAlign w:val="center"/>
          </w:tcPr>
          <w:p w:rsidR="00B3328C" w:rsidRDefault="00714E65" w:rsidP="00F207DC">
            <w:pPr>
              <w:pStyle w:val="Tablewriting"/>
              <w:jc w:val="center"/>
              <w:rPr>
                <w:rFonts w:eastAsia="MS Mincho"/>
              </w:rPr>
            </w:pPr>
            <w:r>
              <w:rPr>
                <w:rFonts w:eastAsia="MS Mincho"/>
              </w:rPr>
              <w:t>Cochrane Review</w:t>
            </w:r>
          </w:p>
          <w:p w:rsidR="00F05794" w:rsidRPr="00251B64" w:rsidRDefault="00B3328C" w:rsidP="00F207DC">
            <w:pPr>
              <w:pStyle w:val="Tablewriting"/>
              <w:jc w:val="center"/>
              <w:rPr>
                <w:rFonts w:eastAsia="MS Mincho"/>
              </w:rPr>
            </w:pPr>
            <w:r>
              <w:rPr>
                <w:rFonts w:eastAsia="MS Mincho"/>
              </w:rPr>
              <w:t>(</w:t>
            </w:r>
            <w:r w:rsidR="00714E65">
              <w:rPr>
                <w:rFonts w:eastAsia="MS Mincho"/>
              </w:rPr>
              <w:t>1 RCT</w:t>
            </w:r>
            <w:r w:rsidR="00867A16" w:rsidRPr="00867A16">
              <w:rPr>
                <w:rFonts w:eastAsia="MS Mincho"/>
                <w:vertAlign w:val="superscript"/>
              </w:rPr>
              <w:t>5</w:t>
            </w:r>
            <w:r>
              <w:rPr>
                <w:rFonts w:eastAsia="MS Mincho"/>
              </w:rPr>
              <w:t>)</w:t>
            </w:r>
          </w:p>
        </w:tc>
        <w:tc>
          <w:tcPr>
            <w:tcW w:w="841" w:type="pct"/>
            <w:shd w:val="clear" w:color="auto" w:fill="auto"/>
            <w:tcMar>
              <w:left w:w="28" w:type="dxa"/>
              <w:right w:w="28" w:type="dxa"/>
            </w:tcMar>
            <w:vAlign w:val="center"/>
          </w:tcPr>
          <w:p w:rsidR="00F05794" w:rsidRDefault="003B4A0C" w:rsidP="00F207DC">
            <w:pPr>
              <w:pStyle w:val="Tablewriting"/>
              <w:jc w:val="center"/>
              <w:rPr>
                <w:rFonts w:eastAsia="MS Mincho"/>
              </w:rPr>
            </w:pPr>
            <w:r>
              <w:rPr>
                <w:rFonts w:eastAsia="MS Mincho"/>
              </w:rPr>
              <w:t>15/212</w:t>
            </w:r>
          </w:p>
          <w:p w:rsidR="003B4A0C" w:rsidRDefault="003B4A0C" w:rsidP="00F207DC">
            <w:pPr>
              <w:pStyle w:val="Tablewriting"/>
              <w:jc w:val="center"/>
              <w:rPr>
                <w:rFonts w:eastAsia="MS Mincho"/>
              </w:rPr>
            </w:pPr>
            <w:r>
              <w:rPr>
                <w:rFonts w:eastAsia="MS Mincho"/>
              </w:rPr>
              <w:t>(</w:t>
            </w:r>
            <w:r w:rsidR="00EA6CC3">
              <w:rPr>
                <w:rFonts w:eastAsia="MS Mincho"/>
              </w:rPr>
              <w:t>7.1</w:t>
            </w:r>
            <w:r>
              <w:rPr>
                <w:rFonts w:eastAsia="MS Mincho"/>
              </w:rPr>
              <w:t>%)</w:t>
            </w:r>
          </w:p>
        </w:tc>
        <w:tc>
          <w:tcPr>
            <w:tcW w:w="773" w:type="pct"/>
            <w:shd w:val="clear" w:color="auto" w:fill="auto"/>
            <w:tcMar>
              <w:left w:w="28" w:type="dxa"/>
              <w:right w:w="28" w:type="dxa"/>
            </w:tcMar>
            <w:vAlign w:val="center"/>
          </w:tcPr>
          <w:p w:rsidR="00F05794" w:rsidRDefault="003B4A0C" w:rsidP="00F207DC">
            <w:pPr>
              <w:pStyle w:val="Tablewriting"/>
              <w:jc w:val="center"/>
              <w:rPr>
                <w:rFonts w:eastAsia="MS Mincho"/>
              </w:rPr>
            </w:pPr>
            <w:r>
              <w:rPr>
                <w:rFonts w:eastAsia="MS Mincho"/>
              </w:rPr>
              <w:t>1/212</w:t>
            </w:r>
          </w:p>
          <w:p w:rsidR="003B4A0C" w:rsidRDefault="003B4A0C" w:rsidP="00F207DC">
            <w:pPr>
              <w:pStyle w:val="Tablewriting"/>
              <w:jc w:val="center"/>
              <w:rPr>
                <w:rFonts w:eastAsia="MS Mincho"/>
              </w:rPr>
            </w:pPr>
            <w:r>
              <w:rPr>
                <w:rFonts w:eastAsia="MS Mincho"/>
              </w:rPr>
              <w:t>(</w:t>
            </w:r>
            <w:r w:rsidR="00074151">
              <w:rPr>
                <w:rFonts w:eastAsia="MS Mincho"/>
              </w:rPr>
              <w:t>0.5</w:t>
            </w:r>
            <w:r>
              <w:rPr>
                <w:rFonts w:eastAsia="MS Mincho"/>
              </w:rPr>
              <w:t>%)</w:t>
            </w:r>
          </w:p>
        </w:tc>
        <w:tc>
          <w:tcPr>
            <w:tcW w:w="850" w:type="pct"/>
            <w:shd w:val="clear" w:color="auto" w:fill="auto"/>
            <w:tcMar>
              <w:left w:w="28" w:type="dxa"/>
              <w:right w:w="28" w:type="dxa"/>
            </w:tcMar>
            <w:vAlign w:val="center"/>
          </w:tcPr>
          <w:p w:rsidR="00F05794" w:rsidRPr="0070738C" w:rsidRDefault="003B4A0C" w:rsidP="00F207DC">
            <w:pPr>
              <w:pStyle w:val="Tablewriting"/>
              <w:jc w:val="center"/>
              <w:rPr>
                <w:rFonts w:eastAsia="MS Mincho"/>
                <w:b/>
                <w:bCs/>
              </w:rPr>
            </w:pPr>
            <w:r w:rsidRPr="0070738C">
              <w:rPr>
                <w:rFonts w:eastAsia="MS Mincho"/>
                <w:b/>
                <w:bCs/>
              </w:rPr>
              <w:t>15</w:t>
            </w:r>
            <w:r w:rsidR="0040762B">
              <w:rPr>
                <w:rFonts w:eastAsia="MS Mincho"/>
                <w:b/>
                <w:bCs/>
              </w:rPr>
              <w:t>.00</w:t>
            </w:r>
          </w:p>
          <w:p w:rsidR="003B4A0C" w:rsidRPr="00D56406" w:rsidRDefault="003B4A0C" w:rsidP="00F207DC">
            <w:pPr>
              <w:pStyle w:val="Tablewriting"/>
              <w:jc w:val="center"/>
              <w:rPr>
                <w:rFonts w:eastAsia="MS Mincho"/>
              </w:rPr>
            </w:pPr>
            <w:r w:rsidRPr="0070738C">
              <w:rPr>
                <w:rFonts w:eastAsia="MS Mincho"/>
                <w:b/>
                <w:bCs/>
              </w:rPr>
              <w:t>(2, 112.54)</w:t>
            </w:r>
          </w:p>
        </w:tc>
        <w:tc>
          <w:tcPr>
            <w:tcW w:w="730" w:type="pct"/>
            <w:shd w:val="clear" w:color="auto" w:fill="auto"/>
            <w:vAlign w:val="center"/>
          </w:tcPr>
          <w:p w:rsidR="00F05794" w:rsidRPr="00D56406" w:rsidRDefault="00F0337B" w:rsidP="00F207DC">
            <w:pPr>
              <w:pStyle w:val="Tablewriting"/>
              <w:jc w:val="center"/>
              <w:rPr>
                <w:rFonts w:eastAsia="MS Mincho"/>
              </w:rPr>
            </w:pPr>
            <w:r>
              <w:rPr>
                <w:rFonts w:eastAsia="MS Mincho"/>
              </w:rPr>
              <w:t>NR</w:t>
            </w:r>
          </w:p>
        </w:tc>
      </w:tr>
    </w:tbl>
    <w:p w:rsidR="001D7A85" w:rsidRDefault="001D7A85" w:rsidP="00F968F3">
      <w:pPr>
        <w:pStyle w:val="TableFooter"/>
      </w:pPr>
      <w:r>
        <w:t>Source: Hartmann-Boyce et al. (2018)</w:t>
      </w:r>
      <w:r w:rsidR="00F968F3">
        <w:t>,</w:t>
      </w:r>
      <w:r w:rsidR="003B5B2D">
        <w:t xml:space="preserve"> Chen et al. (2020)</w:t>
      </w:r>
    </w:p>
    <w:p w:rsidR="001D7A85" w:rsidRPr="0070738C" w:rsidRDefault="001D7A85" w:rsidP="00F968F3">
      <w:pPr>
        <w:pStyle w:val="TableFooter"/>
        <w:rPr>
          <w:i/>
        </w:rPr>
      </w:pPr>
      <w:r>
        <w:lastRenderedPageBreak/>
        <w:t xml:space="preserve">Abbreviations: CI = confidence interval; </w:t>
      </w:r>
      <w:r w:rsidR="00017019">
        <w:t xml:space="preserve">NR = not reported; </w:t>
      </w:r>
      <w:r>
        <w:t>RCT = randomised controlled trial; RD = risk difference; RR = risk ratio</w:t>
      </w:r>
      <w:r w:rsidRPr="00061F78">
        <w:t xml:space="preserve"> </w:t>
      </w:r>
    </w:p>
    <w:p w:rsidR="00AA5959" w:rsidRDefault="001D7A85" w:rsidP="00F968F3">
      <w:pPr>
        <w:pStyle w:val="TableFooter"/>
      </w:pPr>
      <w:r w:rsidRPr="00D468CF">
        <w:t>Note</w:t>
      </w:r>
      <w:r>
        <w:t>s</w:t>
      </w:r>
      <w:r w:rsidRPr="00D468CF">
        <w:t xml:space="preserve">: </w:t>
      </w:r>
      <w:r w:rsidR="00AD0762">
        <w:t xml:space="preserve">Calculated during the review. </w:t>
      </w:r>
      <w:r w:rsidRPr="00D468CF">
        <w:t>Bold indicates statistically significant difference.</w:t>
      </w:r>
      <w:r>
        <w:br/>
      </w:r>
      <w:r w:rsidR="00AA5959">
        <w:t>1</w:t>
      </w:r>
      <w:r w:rsidR="00867A16">
        <w:t xml:space="preserve"> </w:t>
      </w:r>
      <w:r w:rsidR="00867A16" w:rsidRPr="00D66153">
        <w:t>Calculated by Cochrane Review authors using a fixed-effect model</w:t>
      </w:r>
      <w:r w:rsidR="00AB5FA3">
        <w:t>.</w:t>
      </w:r>
    </w:p>
    <w:p w:rsidR="001D7A85" w:rsidRDefault="00AA5959" w:rsidP="00F968F3">
      <w:pPr>
        <w:pStyle w:val="TableFooter"/>
      </w:pPr>
      <w:r>
        <w:t>2</w:t>
      </w:r>
      <w:r w:rsidR="001D7A85">
        <w:t xml:space="preserve"> </w:t>
      </w:r>
      <w:r w:rsidR="00E63788">
        <w:t xml:space="preserve">7-day </w:t>
      </w:r>
      <w:r w:rsidR="004677E9">
        <w:t>point prevalence abstinence at 6 months</w:t>
      </w:r>
      <w:r w:rsidR="00AB5FA3">
        <w:t>.</w:t>
      </w:r>
    </w:p>
    <w:p w:rsidR="00867A16" w:rsidRDefault="00867A16" w:rsidP="00F968F3">
      <w:pPr>
        <w:pStyle w:val="TableFooter"/>
      </w:pPr>
      <w:r w:rsidRPr="00D66153">
        <w:t>3 Calculated during the review using a random-effect mode</w:t>
      </w:r>
      <w:r w:rsidR="00A61D73" w:rsidRPr="00D66153">
        <w:t>l</w:t>
      </w:r>
      <w:r w:rsidR="00AB5FA3">
        <w:t>.</w:t>
      </w:r>
    </w:p>
    <w:p w:rsidR="00F82B95" w:rsidRDefault="00867A16" w:rsidP="00F968F3">
      <w:pPr>
        <w:pStyle w:val="TableFooter"/>
      </w:pPr>
      <w:r>
        <w:t>4</w:t>
      </w:r>
      <w:r w:rsidR="00F82B95">
        <w:t xml:space="preserve"> Sustained abstinence at 12 months</w:t>
      </w:r>
      <w:r w:rsidR="00AB5FA3">
        <w:t>.</w:t>
      </w:r>
    </w:p>
    <w:p w:rsidR="00AC62D6" w:rsidRDefault="00867A16" w:rsidP="00F968F3">
      <w:pPr>
        <w:pStyle w:val="TableFooter"/>
      </w:pPr>
      <w:r>
        <w:t>5</w:t>
      </w:r>
      <w:r w:rsidR="00191973">
        <w:t xml:space="preserve"> Abstinence at 6 months (type of measure not specified)</w:t>
      </w:r>
      <w:r w:rsidR="00AB5FA3">
        <w:t>.</w:t>
      </w:r>
    </w:p>
    <w:p w:rsidR="00042A09" w:rsidRDefault="00042A09" w:rsidP="00042A09">
      <w:r>
        <w:t xml:space="preserve">The results of the individual studies included in Hartmann-Boyce et al. (2018) are presented using a forest plot in </w:t>
      </w:r>
      <w:r w:rsidR="003C4A1C">
        <w:t xml:space="preserve">Figure </w:t>
      </w:r>
      <w:r w:rsidR="003C4A1C">
        <w:rPr>
          <w:noProof/>
        </w:rPr>
        <w:t>13</w:t>
      </w:r>
      <w:r>
        <w:t xml:space="preserve">. </w:t>
      </w:r>
    </w:p>
    <w:p w:rsidR="00F20E1B" w:rsidRDefault="00167EF4" w:rsidP="00F20E1B">
      <w:pPr>
        <w:keepNext/>
      </w:pPr>
      <w:r>
        <w:rPr>
          <w:noProof/>
        </w:rPr>
        <w:drawing>
          <wp:inline distT="0" distB="0" distL="0" distR="0" wp14:anchorId="4D4C6421" wp14:editId="301A6935">
            <wp:extent cx="5730875" cy="3712845"/>
            <wp:effectExtent l="0" t="0" r="3175" b="190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0875" cy="3712845"/>
                    </a:xfrm>
                    <a:prstGeom prst="rect">
                      <a:avLst/>
                    </a:prstGeom>
                    <a:noFill/>
                  </pic:spPr>
                </pic:pic>
              </a:graphicData>
            </a:graphic>
          </wp:inline>
        </w:drawing>
      </w:r>
    </w:p>
    <w:p w:rsidR="00042A09" w:rsidRDefault="00F20E1B" w:rsidP="00F20E1B">
      <w:pPr>
        <w:pStyle w:val="Caption"/>
      </w:pPr>
      <w:bookmarkStart w:id="140" w:name="_Ref55300466"/>
      <w:r>
        <w:t xml:space="preserve">Figure </w:t>
      </w:r>
      <w:r w:rsidR="003C4A1C">
        <w:rPr>
          <w:noProof/>
        </w:rPr>
        <w:t>13</w:t>
      </w:r>
      <w:bookmarkEnd w:id="140"/>
      <w:r>
        <w:t xml:space="preserve">: </w:t>
      </w:r>
      <w:r w:rsidRPr="00F12C5C">
        <w:t>Results</w:t>
      </w:r>
      <w:r w:rsidR="00C74EE2" w:rsidRPr="00C74EE2">
        <w:t xml:space="preserve"> </w:t>
      </w:r>
      <w:r w:rsidRPr="00F12C5C">
        <w:t>of smoking cessation f</w:t>
      </w:r>
      <w:r w:rsidR="00004EEA">
        <w:t>or</w:t>
      </w:r>
      <w:r w:rsidRPr="00F12C5C">
        <w:t xml:space="preserve"> at least six months follow-up in Hartmann-Boyce et al. (2018), </w:t>
      </w:r>
      <w:r>
        <w:t xml:space="preserve">combination </w:t>
      </w:r>
      <w:r w:rsidRPr="00F12C5C">
        <w:t>NRT versus placebo</w:t>
      </w:r>
    </w:p>
    <w:p w:rsidR="00F20E1B" w:rsidRDefault="00F20E1B" w:rsidP="00F20E1B">
      <w:pPr>
        <w:pStyle w:val="FigureFooter"/>
      </w:pPr>
      <w:r>
        <w:t>Source: Hartmann-Boyce et al. (2018)</w:t>
      </w:r>
    </w:p>
    <w:p w:rsidR="00F20E1B" w:rsidRDefault="00F20E1B" w:rsidP="00F20E1B">
      <w:pPr>
        <w:pStyle w:val="FigureFooter"/>
      </w:pPr>
      <w:r>
        <w:t>Abbreviations: CI = confidence interval</w:t>
      </w:r>
    </w:p>
    <w:p w:rsidR="00BA6621" w:rsidRDefault="004D7FE0" w:rsidP="00BA6621">
      <w:r>
        <w:t xml:space="preserve">The results of the individual studies included in the updated re-analysis for NRT patch + lozenge versus placebo are presented using a forest plot in </w:t>
      </w:r>
      <w:r w:rsidR="003C4A1C">
        <w:t xml:space="preserve">Figure </w:t>
      </w:r>
      <w:r w:rsidR="003C4A1C">
        <w:rPr>
          <w:noProof/>
        </w:rPr>
        <w:t>14</w:t>
      </w:r>
      <w:r>
        <w:t>.</w:t>
      </w:r>
    </w:p>
    <w:p w:rsidR="001F640F" w:rsidRDefault="00BA6621" w:rsidP="001F640F">
      <w:pPr>
        <w:keepNext/>
      </w:pPr>
      <w:r>
        <w:rPr>
          <w:noProof/>
        </w:rPr>
        <w:drawing>
          <wp:inline distT="0" distB="0" distL="0" distR="0" wp14:anchorId="22286101" wp14:editId="3FF8CC7A">
            <wp:extent cx="5731510" cy="105410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33">
                      <a:extLst>
                        <a:ext uri="{28A0092B-C50C-407E-A947-70E740481C1C}">
                          <a14:useLocalDpi xmlns:a14="http://schemas.microsoft.com/office/drawing/2010/main" val="0"/>
                        </a:ext>
                      </a:extLst>
                    </a:blip>
                    <a:stretch>
                      <a:fillRect/>
                    </a:stretch>
                  </pic:blipFill>
                  <pic:spPr>
                    <a:xfrm>
                      <a:off x="0" y="0"/>
                      <a:ext cx="5731510" cy="1054100"/>
                    </a:xfrm>
                    <a:prstGeom prst="rect">
                      <a:avLst/>
                    </a:prstGeom>
                  </pic:spPr>
                </pic:pic>
              </a:graphicData>
            </a:graphic>
          </wp:inline>
        </w:drawing>
      </w:r>
    </w:p>
    <w:p w:rsidR="001F640F" w:rsidRDefault="001F640F" w:rsidP="001F640F">
      <w:pPr>
        <w:pStyle w:val="Caption"/>
      </w:pPr>
      <w:bookmarkStart w:id="141" w:name="_Ref61261990"/>
      <w:r>
        <w:t xml:space="preserve">Figure </w:t>
      </w:r>
      <w:r w:rsidR="003C4A1C">
        <w:rPr>
          <w:noProof/>
        </w:rPr>
        <w:t>14</w:t>
      </w:r>
      <w:bookmarkEnd w:id="141"/>
      <w:r>
        <w:t xml:space="preserve">: </w:t>
      </w:r>
      <w:r w:rsidRPr="006065EF">
        <w:t xml:space="preserve">Results of smoking cessation of at least six months follow-up </w:t>
      </w:r>
      <w:r>
        <w:t>based on updated re-analysis</w:t>
      </w:r>
      <w:r w:rsidRPr="006065EF">
        <w:t xml:space="preserve">, combination NRT </w:t>
      </w:r>
      <w:r>
        <w:t xml:space="preserve">patch and lozenge </w:t>
      </w:r>
      <w:r w:rsidRPr="006065EF">
        <w:t>versus placebo</w:t>
      </w:r>
    </w:p>
    <w:p w:rsidR="001F640F" w:rsidRDefault="001F640F" w:rsidP="001F640F">
      <w:pPr>
        <w:pStyle w:val="FigureFooter"/>
      </w:pPr>
      <w:r>
        <w:t>Source: Hartmann-Boyce et al. (2018), Piper et al. (2009), Chen et al. (2020)</w:t>
      </w:r>
    </w:p>
    <w:p w:rsidR="001F640F" w:rsidRPr="001F640F" w:rsidRDefault="001F640F" w:rsidP="0061325E">
      <w:pPr>
        <w:pStyle w:val="FigureFooter"/>
      </w:pPr>
      <w:r>
        <w:lastRenderedPageBreak/>
        <w:t>Abbreviations: CI = confidence interval</w:t>
      </w:r>
    </w:p>
    <w:p w:rsidR="00622B9F" w:rsidRPr="0073597F" w:rsidRDefault="00622B9F" w:rsidP="00622B9F">
      <w:pPr>
        <w:rPr>
          <w:u w:val="single"/>
        </w:rPr>
      </w:pPr>
      <w:r w:rsidRPr="0073597F">
        <w:rPr>
          <w:u w:val="single"/>
        </w:rPr>
        <w:t>Safety</w:t>
      </w:r>
    </w:p>
    <w:p w:rsidR="003B5B2D" w:rsidRDefault="00622B9F" w:rsidP="00622B9F">
      <w:r w:rsidRPr="00F423F8">
        <w:t xml:space="preserve">The incidence of adverse events comparing </w:t>
      </w:r>
      <w:r>
        <w:t xml:space="preserve">combination NRT with placebo </w:t>
      </w:r>
      <w:r w:rsidRPr="00F423F8">
        <w:t xml:space="preserve">was not synthesised quantitatively by </w:t>
      </w:r>
      <w:r>
        <w:t>Hartmann-Boyce</w:t>
      </w:r>
      <w:r w:rsidRPr="002C1625">
        <w:t xml:space="preserve"> et al. (20</w:t>
      </w:r>
      <w:r>
        <w:t>18</w:t>
      </w:r>
      <w:r w:rsidRPr="002C1625">
        <w:t>)</w:t>
      </w:r>
      <w:r w:rsidRPr="00F423F8">
        <w:t>.</w:t>
      </w:r>
      <w:r w:rsidR="008E02FB">
        <w:t xml:space="preserve"> </w:t>
      </w:r>
      <w:r w:rsidR="008E02FB" w:rsidRPr="008E02FB">
        <w:t xml:space="preserve">Based on the study by </w:t>
      </w:r>
      <w:r w:rsidR="008E02FB">
        <w:t>Chen</w:t>
      </w:r>
      <w:r w:rsidR="008E02FB" w:rsidRPr="008E02FB">
        <w:t xml:space="preserve"> et al. (20</w:t>
      </w:r>
      <w:r w:rsidR="008E02FB">
        <w:t>20</w:t>
      </w:r>
      <w:r w:rsidR="008E02FB" w:rsidRPr="008E02FB">
        <w:t xml:space="preserve">), </w:t>
      </w:r>
      <w:r w:rsidR="008E02FB">
        <w:t>t</w:t>
      </w:r>
      <w:r w:rsidR="008E02FB" w:rsidRPr="008E02FB">
        <w:t xml:space="preserve">here were no statistically significant differences between </w:t>
      </w:r>
      <w:r w:rsidR="00017C8C">
        <w:t xml:space="preserve">NRT patch + </w:t>
      </w:r>
      <w:r w:rsidR="00B05DCD">
        <w:t>lozenge and</w:t>
      </w:r>
      <w:r w:rsidR="00017C8C">
        <w:t xml:space="preserve"> placebo in terms of</w:t>
      </w:r>
      <w:r w:rsidR="008E02FB" w:rsidRPr="008E02FB">
        <w:t xml:space="preserve"> </w:t>
      </w:r>
      <w:r w:rsidR="008E02FB">
        <w:t xml:space="preserve">any adverse events and </w:t>
      </w:r>
      <w:r w:rsidR="008E02FB" w:rsidRPr="008E02FB">
        <w:t>serious adverse events</w:t>
      </w:r>
      <w:r w:rsidR="008E02FB">
        <w:t xml:space="preserve"> (</w:t>
      </w:r>
      <w:r w:rsidR="003C4A1C">
        <w:t xml:space="preserve">Table </w:t>
      </w:r>
      <w:r w:rsidR="003C4A1C">
        <w:rPr>
          <w:noProof/>
        </w:rPr>
        <w:t>57</w:t>
      </w:r>
      <w:r w:rsidR="008E02FB">
        <w:t>).</w:t>
      </w:r>
    </w:p>
    <w:p w:rsidR="003B5B2D" w:rsidRDefault="003B5B2D" w:rsidP="003B5B2D">
      <w:pPr>
        <w:pStyle w:val="Caption"/>
        <w:keepNext/>
      </w:pPr>
      <w:bookmarkStart w:id="142" w:name="_Ref55401637"/>
      <w:r>
        <w:t xml:space="preserve">Table </w:t>
      </w:r>
      <w:r w:rsidR="003C4A1C">
        <w:rPr>
          <w:noProof/>
        </w:rPr>
        <w:t>57</w:t>
      </w:r>
      <w:bookmarkEnd w:id="142"/>
      <w:r>
        <w:t xml:space="preserve">: </w:t>
      </w:r>
      <w:r w:rsidRPr="00BF614E">
        <w:t>Summary of key adverse events</w:t>
      </w:r>
      <w:r w:rsidR="008E02FB">
        <w:t xml:space="preserve"> in Chen et al. (2020)</w:t>
      </w:r>
      <w:r w:rsidRPr="00BF614E">
        <w:t xml:space="preserve">, combination NRT versus </w:t>
      </w:r>
      <w:r>
        <w:t>placebo</w:t>
      </w:r>
    </w:p>
    <w:tbl>
      <w:tblPr>
        <w:tblStyle w:val="TableGrid"/>
        <w:tblW w:w="5000" w:type="pct"/>
        <w:tblLook w:val="04A0" w:firstRow="1" w:lastRow="0" w:firstColumn="1" w:lastColumn="0" w:noHBand="0" w:noVBand="1"/>
        <w:tblCaption w:val="Efficacy results of adalimumab trials (PASI 75 and DLQI)"/>
      </w:tblPr>
      <w:tblGrid>
        <w:gridCol w:w="2958"/>
        <w:gridCol w:w="1533"/>
        <w:gridCol w:w="1535"/>
        <w:gridCol w:w="1535"/>
        <w:gridCol w:w="1455"/>
      </w:tblGrid>
      <w:tr w:rsidR="003B5B2D" w:rsidRPr="00061F78" w:rsidTr="00017C8C">
        <w:trPr>
          <w:cantSplit/>
          <w:trHeight w:val="299"/>
          <w:tblHeader/>
        </w:trPr>
        <w:tc>
          <w:tcPr>
            <w:tcW w:w="1641" w:type="pct"/>
            <w:shd w:val="clear" w:color="auto" w:fill="BFBFBF" w:themeFill="background1" w:themeFillShade="BF"/>
            <w:tcMar>
              <w:left w:w="28" w:type="dxa"/>
              <w:right w:w="28" w:type="dxa"/>
            </w:tcMar>
          </w:tcPr>
          <w:p w:rsidR="003B5B2D" w:rsidRDefault="003B5B2D" w:rsidP="00017C8C">
            <w:pPr>
              <w:pStyle w:val="Tableheading"/>
              <w:keepNext/>
              <w:rPr>
                <w:rFonts w:eastAsia="MS Mincho"/>
              </w:rPr>
            </w:pPr>
            <w:r>
              <w:rPr>
                <w:rFonts w:eastAsia="MS Mincho"/>
              </w:rPr>
              <w:t>Outcome</w:t>
            </w:r>
          </w:p>
        </w:tc>
        <w:tc>
          <w:tcPr>
            <w:tcW w:w="850" w:type="pct"/>
            <w:shd w:val="clear" w:color="auto" w:fill="BFBFBF" w:themeFill="background1" w:themeFillShade="BF"/>
            <w:tcMar>
              <w:left w:w="28" w:type="dxa"/>
              <w:right w:w="28" w:type="dxa"/>
            </w:tcMar>
            <w:vAlign w:val="center"/>
          </w:tcPr>
          <w:p w:rsidR="003B5B2D" w:rsidRPr="00061F78" w:rsidRDefault="003B5B2D" w:rsidP="00017C8C">
            <w:pPr>
              <w:pStyle w:val="Tableheading"/>
              <w:keepNext/>
              <w:jc w:val="center"/>
              <w:rPr>
                <w:rFonts w:eastAsia="MS Mincho"/>
              </w:rPr>
            </w:pPr>
            <w:r>
              <w:rPr>
                <w:rFonts w:eastAsia="MS Mincho"/>
              </w:rPr>
              <w:t>NRT</w:t>
            </w:r>
            <w:r w:rsidR="00017C8C">
              <w:rPr>
                <w:rFonts w:eastAsia="MS Mincho"/>
              </w:rPr>
              <w:t xml:space="preserve"> patch + lozenge</w:t>
            </w:r>
          </w:p>
        </w:tc>
        <w:tc>
          <w:tcPr>
            <w:tcW w:w="851" w:type="pct"/>
            <w:shd w:val="clear" w:color="auto" w:fill="BFBFBF" w:themeFill="background1" w:themeFillShade="BF"/>
            <w:tcMar>
              <w:left w:w="28" w:type="dxa"/>
              <w:right w:w="28" w:type="dxa"/>
            </w:tcMar>
            <w:vAlign w:val="center"/>
          </w:tcPr>
          <w:p w:rsidR="003B5B2D" w:rsidRPr="00061F78" w:rsidRDefault="003B5B2D" w:rsidP="00017C8C">
            <w:pPr>
              <w:pStyle w:val="Tableheading"/>
              <w:keepNext/>
              <w:jc w:val="center"/>
              <w:rPr>
                <w:rFonts w:eastAsia="MS Mincho"/>
              </w:rPr>
            </w:pPr>
            <w:r>
              <w:rPr>
                <w:rFonts w:eastAsia="MS Mincho"/>
              </w:rPr>
              <w:t>Placebo</w:t>
            </w:r>
          </w:p>
        </w:tc>
        <w:tc>
          <w:tcPr>
            <w:tcW w:w="851" w:type="pct"/>
            <w:shd w:val="clear" w:color="auto" w:fill="BFBFBF" w:themeFill="background1" w:themeFillShade="BF"/>
            <w:tcMar>
              <w:left w:w="28" w:type="dxa"/>
              <w:right w:w="28" w:type="dxa"/>
            </w:tcMar>
            <w:vAlign w:val="center"/>
          </w:tcPr>
          <w:p w:rsidR="003B5B2D" w:rsidRPr="00D468CF" w:rsidRDefault="003B5B2D" w:rsidP="00017C8C">
            <w:pPr>
              <w:pStyle w:val="Tableheading"/>
              <w:keepNext/>
              <w:jc w:val="center"/>
              <w:rPr>
                <w:rFonts w:eastAsia="MS Mincho"/>
                <w:vertAlign w:val="superscript"/>
              </w:rPr>
            </w:pPr>
            <w:r>
              <w:rPr>
                <w:rFonts w:eastAsia="MS Mincho"/>
              </w:rPr>
              <w:t>RR (95% CI)</w:t>
            </w:r>
          </w:p>
        </w:tc>
        <w:tc>
          <w:tcPr>
            <w:tcW w:w="807" w:type="pct"/>
            <w:shd w:val="clear" w:color="auto" w:fill="BFBFBF" w:themeFill="background1" w:themeFillShade="BF"/>
            <w:vAlign w:val="center"/>
          </w:tcPr>
          <w:p w:rsidR="003B5B2D" w:rsidRDefault="003B5B2D" w:rsidP="00017C8C">
            <w:pPr>
              <w:pStyle w:val="Tableheading"/>
              <w:keepNext/>
              <w:jc w:val="center"/>
              <w:rPr>
                <w:rFonts w:eastAsia="MS Mincho"/>
              </w:rPr>
            </w:pPr>
            <w:r>
              <w:rPr>
                <w:rFonts w:eastAsia="MS Mincho"/>
              </w:rPr>
              <w:t>RD (95% CI)</w:t>
            </w:r>
          </w:p>
        </w:tc>
      </w:tr>
      <w:tr w:rsidR="003B5B2D" w:rsidRPr="00061F78" w:rsidTr="00017C8C">
        <w:trPr>
          <w:cantSplit/>
          <w:trHeight w:val="99"/>
        </w:trPr>
        <w:tc>
          <w:tcPr>
            <w:tcW w:w="1641" w:type="pct"/>
            <w:shd w:val="clear" w:color="auto" w:fill="auto"/>
            <w:tcMar>
              <w:left w:w="28" w:type="dxa"/>
              <w:right w:w="28" w:type="dxa"/>
            </w:tcMar>
          </w:tcPr>
          <w:p w:rsidR="003B5B2D" w:rsidRDefault="003B5B2D" w:rsidP="003B5B2D">
            <w:pPr>
              <w:pStyle w:val="Tablewriting"/>
              <w:keepNext/>
              <w:rPr>
                <w:rFonts w:eastAsia="MS Mincho"/>
              </w:rPr>
            </w:pPr>
            <w:r>
              <w:rPr>
                <w:rFonts w:eastAsia="MS Mincho"/>
              </w:rPr>
              <w:t>Any adverse events</w:t>
            </w:r>
          </w:p>
        </w:tc>
        <w:tc>
          <w:tcPr>
            <w:tcW w:w="850" w:type="pct"/>
            <w:shd w:val="clear" w:color="auto" w:fill="auto"/>
            <w:tcMar>
              <w:left w:w="28" w:type="dxa"/>
              <w:right w:w="28" w:type="dxa"/>
            </w:tcMar>
            <w:vAlign w:val="center"/>
          </w:tcPr>
          <w:p w:rsidR="003B5B2D" w:rsidRDefault="003B5B2D" w:rsidP="003B5B2D">
            <w:pPr>
              <w:pStyle w:val="Tablewriting"/>
              <w:keepNext/>
              <w:jc w:val="center"/>
              <w:rPr>
                <w:rFonts w:eastAsia="MS Mincho"/>
              </w:rPr>
            </w:pPr>
            <w:r>
              <w:rPr>
                <w:rFonts w:eastAsia="MS Mincho"/>
              </w:rPr>
              <w:t>193/275</w:t>
            </w:r>
          </w:p>
          <w:p w:rsidR="003B5B2D" w:rsidRDefault="003B5B2D" w:rsidP="003B5B2D">
            <w:pPr>
              <w:pStyle w:val="Tablewriting"/>
              <w:keepNext/>
              <w:jc w:val="center"/>
              <w:rPr>
                <w:rFonts w:eastAsia="MS Mincho"/>
              </w:rPr>
            </w:pPr>
            <w:r>
              <w:rPr>
                <w:rFonts w:eastAsia="MS Mincho"/>
              </w:rPr>
              <w:t>(70.2%)</w:t>
            </w:r>
          </w:p>
        </w:tc>
        <w:tc>
          <w:tcPr>
            <w:tcW w:w="851" w:type="pct"/>
            <w:shd w:val="clear" w:color="auto" w:fill="auto"/>
            <w:tcMar>
              <w:left w:w="28" w:type="dxa"/>
              <w:right w:w="28" w:type="dxa"/>
            </w:tcMar>
            <w:vAlign w:val="center"/>
          </w:tcPr>
          <w:p w:rsidR="003B5B2D" w:rsidRDefault="003B5B2D" w:rsidP="003B5B2D">
            <w:pPr>
              <w:pStyle w:val="Tablewriting"/>
              <w:keepNext/>
              <w:jc w:val="center"/>
              <w:rPr>
                <w:rFonts w:eastAsia="MS Mincho"/>
              </w:rPr>
            </w:pPr>
            <w:r>
              <w:rPr>
                <w:rFonts w:eastAsia="MS Mincho"/>
              </w:rPr>
              <w:t>175/273</w:t>
            </w:r>
          </w:p>
          <w:p w:rsidR="003B5B2D" w:rsidRDefault="003B5B2D" w:rsidP="003B5B2D">
            <w:pPr>
              <w:pStyle w:val="Tablewriting"/>
              <w:keepNext/>
              <w:jc w:val="center"/>
              <w:rPr>
                <w:rFonts w:eastAsia="MS Mincho"/>
              </w:rPr>
            </w:pPr>
            <w:r>
              <w:rPr>
                <w:rFonts w:eastAsia="MS Mincho"/>
              </w:rPr>
              <w:t>(64.1%)</w:t>
            </w:r>
          </w:p>
        </w:tc>
        <w:tc>
          <w:tcPr>
            <w:tcW w:w="851" w:type="pct"/>
            <w:shd w:val="clear" w:color="auto" w:fill="auto"/>
            <w:tcMar>
              <w:left w:w="28" w:type="dxa"/>
              <w:right w:w="28" w:type="dxa"/>
            </w:tcMar>
          </w:tcPr>
          <w:p w:rsidR="003B5B2D" w:rsidRDefault="003B5B2D" w:rsidP="003B5B2D">
            <w:pPr>
              <w:pStyle w:val="Tablewriting"/>
              <w:jc w:val="center"/>
            </w:pPr>
            <w:r w:rsidRPr="00034663">
              <w:t xml:space="preserve">1.09 </w:t>
            </w:r>
          </w:p>
          <w:p w:rsidR="003B5B2D" w:rsidRPr="00AB53C1" w:rsidRDefault="003B5B2D" w:rsidP="003B5B2D">
            <w:pPr>
              <w:pStyle w:val="Tablewriting"/>
              <w:jc w:val="center"/>
              <w:rPr>
                <w:rFonts w:eastAsia="MS Mincho"/>
              </w:rPr>
            </w:pPr>
            <w:r w:rsidRPr="00034663">
              <w:t>(0.97, 1.23)</w:t>
            </w:r>
          </w:p>
        </w:tc>
        <w:tc>
          <w:tcPr>
            <w:tcW w:w="807" w:type="pct"/>
            <w:shd w:val="clear" w:color="auto" w:fill="auto"/>
          </w:tcPr>
          <w:p w:rsidR="003B5B2D" w:rsidRDefault="003B5B2D" w:rsidP="003B5B2D">
            <w:pPr>
              <w:pStyle w:val="Tablewriting"/>
              <w:jc w:val="center"/>
            </w:pPr>
            <w:r w:rsidRPr="00034663">
              <w:t xml:space="preserve">0.06 </w:t>
            </w:r>
          </w:p>
          <w:p w:rsidR="003B5B2D" w:rsidRPr="00AB53C1" w:rsidRDefault="003B5B2D" w:rsidP="003B5B2D">
            <w:pPr>
              <w:pStyle w:val="Tablewriting"/>
              <w:jc w:val="center"/>
              <w:rPr>
                <w:rFonts w:eastAsia="MS Mincho"/>
              </w:rPr>
            </w:pPr>
            <w:r w:rsidRPr="00034663">
              <w:t>(-0.02, 0.14)</w:t>
            </w:r>
          </w:p>
        </w:tc>
      </w:tr>
      <w:tr w:rsidR="003B5B2D" w:rsidRPr="00061F78" w:rsidTr="00017C8C">
        <w:trPr>
          <w:cantSplit/>
          <w:trHeight w:val="149"/>
        </w:trPr>
        <w:tc>
          <w:tcPr>
            <w:tcW w:w="1641" w:type="pct"/>
            <w:tcMar>
              <w:left w:w="28" w:type="dxa"/>
              <w:right w:w="28" w:type="dxa"/>
            </w:tcMar>
          </w:tcPr>
          <w:p w:rsidR="003B5B2D" w:rsidRDefault="003B5B2D" w:rsidP="003B5B2D">
            <w:pPr>
              <w:pStyle w:val="Tablewriting"/>
              <w:keepNext/>
              <w:rPr>
                <w:rFonts w:eastAsia="MS Mincho"/>
              </w:rPr>
            </w:pPr>
            <w:r>
              <w:rPr>
                <w:rFonts w:eastAsia="MS Mincho"/>
              </w:rPr>
              <w:t xml:space="preserve">     Nausea</w:t>
            </w:r>
          </w:p>
        </w:tc>
        <w:tc>
          <w:tcPr>
            <w:tcW w:w="850" w:type="pct"/>
            <w:tcMar>
              <w:left w:w="28" w:type="dxa"/>
              <w:right w:w="28" w:type="dxa"/>
            </w:tcMar>
            <w:vAlign w:val="center"/>
          </w:tcPr>
          <w:p w:rsidR="003B5B2D" w:rsidRDefault="003B5B2D" w:rsidP="003B5B2D">
            <w:pPr>
              <w:pStyle w:val="Tablewriting"/>
              <w:keepNext/>
              <w:jc w:val="center"/>
              <w:rPr>
                <w:rFonts w:eastAsia="MS Mincho"/>
              </w:rPr>
            </w:pPr>
            <w:r>
              <w:rPr>
                <w:rFonts w:eastAsia="MS Mincho"/>
              </w:rPr>
              <w:t>53/275</w:t>
            </w:r>
          </w:p>
          <w:p w:rsidR="003B5B2D" w:rsidRDefault="003B5B2D" w:rsidP="003B5B2D">
            <w:pPr>
              <w:pStyle w:val="Tablewriting"/>
              <w:keepNext/>
              <w:jc w:val="center"/>
              <w:rPr>
                <w:rFonts w:eastAsia="MS Mincho"/>
              </w:rPr>
            </w:pPr>
            <w:r>
              <w:rPr>
                <w:rFonts w:eastAsia="MS Mincho"/>
              </w:rPr>
              <w:t>(19.3%)</w:t>
            </w:r>
          </w:p>
        </w:tc>
        <w:tc>
          <w:tcPr>
            <w:tcW w:w="851" w:type="pct"/>
            <w:tcMar>
              <w:left w:w="28" w:type="dxa"/>
              <w:right w:w="28" w:type="dxa"/>
            </w:tcMar>
            <w:vAlign w:val="center"/>
          </w:tcPr>
          <w:p w:rsidR="003B5B2D" w:rsidRDefault="003B5B2D" w:rsidP="003B5B2D">
            <w:pPr>
              <w:pStyle w:val="Tablewriting"/>
              <w:keepNext/>
              <w:jc w:val="center"/>
              <w:rPr>
                <w:rFonts w:eastAsia="MS Mincho"/>
              </w:rPr>
            </w:pPr>
            <w:r>
              <w:rPr>
                <w:rFonts w:eastAsia="MS Mincho"/>
              </w:rPr>
              <w:t>59/273</w:t>
            </w:r>
          </w:p>
          <w:p w:rsidR="003B5B2D" w:rsidRDefault="003B5B2D" w:rsidP="003B5B2D">
            <w:pPr>
              <w:pStyle w:val="Tablewriting"/>
              <w:keepNext/>
              <w:jc w:val="center"/>
              <w:rPr>
                <w:rFonts w:eastAsia="MS Mincho"/>
              </w:rPr>
            </w:pPr>
            <w:r>
              <w:rPr>
                <w:rFonts w:eastAsia="MS Mincho"/>
              </w:rPr>
              <w:t>(21.6%)</w:t>
            </w:r>
          </w:p>
        </w:tc>
        <w:tc>
          <w:tcPr>
            <w:tcW w:w="851" w:type="pct"/>
            <w:tcMar>
              <w:left w:w="28" w:type="dxa"/>
              <w:right w:w="28" w:type="dxa"/>
            </w:tcMar>
          </w:tcPr>
          <w:p w:rsidR="003B5B2D" w:rsidRDefault="003B5B2D" w:rsidP="003B5B2D">
            <w:pPr>
              <w:pStyle w:val="Tablewriting"/>
              <w:jc w:val="center"/>
            </w:pPr>
            <w:r w:rsidRPr="00034663">
              <w:t xml:space="preserve">0.89 </w:t>
            </w:r>
          </w:p>
          <w:p w:rsidR="003B5B2D" w:rsidRPr="00AB53C1" w:rsidRDefault="003B5B2D" w:rsidP="003B5B2D">
            <w:pPr>
              <w:pStyle w:val="Tablewriting"/>
              <w:jc w:val="center"/>
              <w:rPr>
                <w:rFonts w:eastAsia="MS Mincho"/>
                <w:b/>
                <w:bCs/>
              </w:rPr>
            </w:pPr>
            <w:r w:rsidRPr="00034663">
              <w:t>(0.64, 1.24)</w:t>
            </w:r>
          </w:p>
        </w:tc>
        <w:tc>
          <w:tcPr>
            <w:tcW w:w="807" w:type="pct"/>
          </w:tcPr>
          <w:p w:rsidR="003B5B2D" w:rsidRDefault="003B5B2D" w:rsidP="003B5B2D">
            <w:pPr>
              <w:pStyle w:val="Tablewriting"/>
              <w:jc w:val="center"/>
            </w:pPr>
            <w:r w:rsidRPr="00034663">
              <w:t xml:space="preserve">-0.02 </w:t>
            </w:r>
          </w:p>
          <w:p w:rsidR="003B5B2D" w:rsidRPr="00AB53C1" w:rsidRDefault="003B5B2D" w:rsidP="003B5B2D">
            <w:pPr>
              <w:pStyle w:val="Tablewriting"/>
              <w:jc w:val="center"/>
              <w:rPr>
                <w:rFonts w:eastAsia="MS Mincho"/>
                <w:b/>
                <w:bCs/>
              </w:rPr>
            </w:pPr>
            <w:r w:rsidRPr="00034663">
              <w:t>(-0.09, 0.04)</w:t>
            </w:r>
          </w:p>
        </w:tc>
      </w:tr>
      <w:tr w:rsidR="003B5B2D" w:rsidRPr="00061F78" w:rsidTr="00017C8C">
        <w:trPr>
          <w:cantSplit/>
          <w:trHeight w:val="149"/>
        </w:trPr>
        <w:tc>
          <w:tcPr>
            <w:tcW w:w="1641" w:type="pct"/>
            <w:tcMar>
              <w:left w:w="28" w:type="dxa"/>
              <w:right w:w="28" w:type="dxa"/>
            </w:tcMar>
          </w:tcPr>
          <w:p w:rsidR="003B5B2D" w:rsidRDefault="003B5B2D" w:rsidP="003B5B2D">
            <w:pPr>
              <w:pStyle w:val="Tablewriting"/>
              <w:keepNext/>
              <w:rPr>
                <w:rFonts w:eastAsia="MS Mincho"/>
              </w:rPr>
            </w:pPr>
            <w:r>
              <w:rPr>
                <w:rFonts w:eastAsia="MS Mincho"/>
              </w:rPr>
              <w:t xml:space="preserve">     Vomiting</w:t>
            </w:r>
          </w:p>
        </w:tc>
        <w:tc>
          <w:tcPr>
            <w:tcW w:w="850" w:type="pct"/>
            <w:tcMar>
              <w:left w:w="28" w:type="dxa"/>
              <w:right w:w="28" w:type="dxa"/>
            </w:tcMar>
            <w:vAlign w:val="center"/>
          </w:tcPr>
          <w:p w:rsidR="003B5B2D" w:rsidRDefault="003B5B2D" w:rsidP="003B5B2D">
            <w:pPr>
              <w:pStyle w:val="Tablewriting"/>
              <w:keepNext/>
              <w:jc w:val="center"/>
              <w:rPr>
                <w:rFonts w:eastAsia="MS Mincho"/>
              </w:rPr>
            </w:pPr>
            <w:r>
              <w:rPr>
                <w:rFonts w:eastAsia="MS Mincho"/>
              </w:rPr>
              <w:t>28/275</w:t>
            </w:r>
          </w:p>
          <w:p w:rsidR="003B5B2D" w:rsidRDefault="003B5B2D" w:rsidP="003B5B2D">
            <w:pPr>
              <w:pStyle w:val="Tablewriting"/>
              <w:keepNext/>
              <w:jc w:val="center"/>
              <w:rPr>
                <w:rFonts w:eastAsia="MS Mincho"/>
              </w:rPr>
            </w:pPr>
            <w:r>
              <w:rPr>
                <w:rFonts w:eastAsia="MS Mincho"/>
              </w:rPr>
              <w:t>(10.2%)</w:t>
            </w:r>
          </w:p>
        </w:tc>
        <w:tc>
          <w:tcPr>
            <w:tcW w:w="851" w:type="pct"/>
            <w:tcMar>
              <w:left w:w="28" w:type="dxa"/>
              <w:right w:w="28" w:type="dxa"/>
            </w:tcMar>
            <w:vAlign w:val="center"/>
          </w:tcPr>
          <w:p w:rsidR="003B5B2D" w:rsidRDefault="003B5B2D" w:rsidP="003B5B2D">
            <w:pPr>
              <w:pStyle w:val="Tablewriting"/>
              <w:keepNext/>
              <w:jc w:val="center"/>
              <w:rPr>
                <w:rFonts w:eastAsia="MS Mincho"/>
              </w:rPr>
            </w:pPr>
            <w:r>
              <w:rPr>
                <w:rFonts w:eastAsia="MS Mincho"/>
              </w:rPr>
              <w:t>27/273</w:t>
            </w:r>
          </w:p>
          <w:p w:rsidR="003B5B2D" w:rsidRDefault="003B5B2D" w:rsidP="003B5B2D">
            <w:pPr>
              <w:pStyle w:val="Tablewriting"/>
              <w:keepNext/>
              <w:jc w:val="center"/>
              <w:rPr>
                <w:rFonts w:eastAsia="MS Mincho"/>
              </w:rPr>
            </w:pPr>
            <w:r>
              <w:rPr>
                <w:rFonts w:eastAsia="MS Mincho"/>
              </w:rPr>
              <w:t>(9.9%)</w:t>
            </w:r>
          </w:p>
        </w:tc>
        <w:tc>
          <w:tcPr>
            <w:tcW w:w="851" w:type="pct"/>
            <w:tcMar>
              <w:left w:w="28" w:type="dxa"/>
              <w:right w:w="28" w:type="dxa"/>
            </w:tcMar>
          </w:tcPr>
          <w:p w:rsidR="003B5B2D" w:rsidRDefault="003B5B2D" w:rsidP="003B5B2D">
            <w:pPr>
              <w:pStyle w:val="Tablewriting"/>
              <w:jc w:val="center"/>
            </w:pPr>
            <w:r w:rsidRPr="00034663">
              <w:t xml:space="preserve">1.03 </w:t>
            </w:r>
          </w:p>
          <w:p w:rsidR="003B5B2D" w:rsidRPr="00AB53C1" w:rsidRDefault="003B5B2D" w:rsidP="003B5B2D">
            <w:pPr>
              <w:pStyle w:val="Tablewriting"/>
              <w:jc w:val="center"/>
              <w:rPr>
                <w:rFonts w:eastAsia="MS Mincho"/>
              </w:rPr>
            </w:pPr>
            <w:r w:rsidRPr="00034663">
              <w:t>(0.62, 1.70)</w:t>
            </w:r>
          </w:p>
        </w:tc>
        <w:tc>
          <w:tcPr>
            <w:tcW w:w="807" w:type="pct"/>
          </w:tcPr>
          <w:p w:rsidR="003B5B2D" w:rsidRDefault="003B5B2D" w:rsidP="003B5B2D">
            <w:pPr>
              <w:pStyle w:val="Tablewriting"/>
              <w:jc w:val="center"/>
            </w:pPr>
            <w:r w:rsidRPr="00034663">
              <w:t xml:space="preserve">0.00 </w:t>
            </w:r>
          </w:p>
          <w:p w:rsidR="003B5B2D" w:rsidRPr="00AB53C1" w:rsidRDefault="003B5B2D" w:rsidP="003B5B2D">
            <w:pPr>
              <w:pStyle w:val="Tablewriting"/>
              <w:jc w:val="center"/>
              <w:rPr>
                <w:rFonts w:eastAsia="MS Mincho"/>
              </w:rPr>
            </w:pPr>
            <w:r w:rsidRPr="00034663">
              <w:t>(-0.05, 0.05)</w:t>
            </w:r>
          </w:p>
        </w:tc>
      </w:tr>
      <w:tr w:rsidR="003B5B2D" w:rsidRPr="00061F78" w:rsidTr="00017C8C">
        <w:trPr>
          <w:cantSplit/>
          <w:trHeight w:val="149"/>
        </w:trPr>
        <w:tc>
          <w:tcPr>
            <w:tcW w:w="1641" w:type="pct"/>
            <w:tcMar>
              <w:left w:w="28" w:type="dxa"/>
              <w:right w:w="28" w:type="dxa"/>
            </w:tcMar>
          </w:tcPr>
          <w:p w:rsidR="003B5B2D" w:rsidRDefault="003B5B2D" w:rsidP="003B5B2D">
            <w:pPr>
              <w:pStyle w:val="Tablewriting"/>
              <w:keepNext/>
              <w:rPr>
                <w:rFonts w:eastAsia="MS Mincho"/>
              </w:rPr>
            </w:pPr>
            <w:r>
              <w:rPr>
                <w:rFonts w:eastAsia="MS Mincho"/>
              </w:rPr>
              <w:t xml:space="preserve">     Headache</w:t>
            </w:r>
          </w:p>
        </w:tc>
        <w:tc>
          <w:tcPr>
            <w:tcW w:w="850" w:type="pct"/>
            <w:tcMar>
              <w:left w:w="28" w:type="dxa"/>
              <w:right w:w="28" w:type="dxa"/>
            </w:tcMar>
            <w:vAlign w:val="center"/>
          </w:tcPr>
          <w:p w:rsidR="003B5B2D" w:rsidRDefault="003B5B2D" w:rsidP="003B5B2D">
            <w:pPr>
              <w:pStyle w:val="Tablewriting"/>
              <w:keepNext/>
              <w:jc w:val="center"/>
              <w:rPr>
                <w:rFonts w:eastAsia="MS Mincho"/>
              </w:rPr>
            </w:pPr>
            <w:r>
              <w:rPr>
                <w:rFonts w:eastAsia="MS Mincho"/>
              </w:rPr>
              <w:t>81/275</w:t>
            </w:r>
          </w:p>
          <w:p w:rsidR="003B5B2D" w:rsidRDefault="003B5B2D" w:rsidP="003B5B2D">
            <w:pPr>
              <w:pStyle w:val="Tablewriting"/>
              <w:keepNext/>
              <w:jc w:val="center"/>
              <w:rPr>
                <w:rFonts w:eastAsia="MS Mincho"/>
              </w:rPr>
            </w:pPr>
            <w:r>
              <w:rPr>
                <w:rFonts w:eastAsia="MS Mincho"/>
              </w:rPr>
              <w:t>(29.5%)</w:t>
            </w:r>
          </w:p>
        </w:tc>
        <w:tc>
          <w:tcPr>
            <w:tcW w:w="851" w:type="pct"/>
            <w:tcMar>
              <w:left w:w="28" w:type="dxa"/>
              <w:right w:w="28" w:type="dxa"/>
            </w:tcMar>
            <w:vAlign w:val="center"/>
          </w:tcPr>
          <w:p w:rsidR="003B5B2D" w:rsidRDefault="003B5B2D" w:rsidP="003B5B2D">
            <w:pPr>
              <w:pStyle w:val="Tablewriting"/>
              <w:keepNext/>
              <w:jc w:val="center"/>
              <w:rPr>
                <w:rFonts w:eastAsia="MS Mincho"/>
              </w:rPr>
            </w:pPr>
            <w:r>
              <w:rPr>
                <w:rFonts w:eastAsia="MS Mincho"/>
              </w:rPr>
              <w:t>71/273</w:t>
            </w:r>
          </w:p>
          <w:p w:rsidR="003B5B2D" w:rsidRDefault="003B5B2D" w:rsidP="003B5B2D">
            <w:pPr>
              <w:pStyle w:val="Tablewriting"/>
              <w:keepNext/>
              <w:jc w:val="center"/>
              <w:rPr>
                <w:rFonts w:eastAsia="MS Mincho"/>
              </w:rPr>
            </w:pPr>
            <w:r>
              <w:rPr>
                <w:rFonts w:eastAsia="MS Mincho"/>
              </w:rPr>
              <w:t>(26.0%)</w:t>
            </w:r>
          </w:p>
        </w:tc>
        <w:tc>
          <w:tcPr>
            <w:tcW w:w="851" w:type="pct"/>
            <w:tcMar>
              <w:left w:w="28" w:type="dxa"/>
              <w:right w:w="28" w:type="dxa"/>
            </w:tcMar>
          </w:tcPr>
          <w:p w:rsidR="003B5B2D" w:rsidRDefault="003B5B2D" w:rsidP="003B5B2D">
            <w:pPr>
              <w:pStyle w:val="Tablewriting"/>
              <w:jc w:val="center"/>
            </w:pPr>
            <w:r w:rsidRPr="00034663">
              <w:t xml:space="preserve">1.13 </w:t>
            </w:r>
          </w:p>
          <w:p w:rsidR="003B5B2D" w:rsidRPr="00AB53C1" w:rsidRDefault="003B5B2D" w:rsidP="003B5B2D">
            <w:pPr>
              <w:pStyle w:val="Tablewriting"/>
              <w:jc w:val="center"/>
              <w:rPr>
                <w:rFonts w:eastAsia="MS Mincho"/>
              </w:rPr>
            </w:pPr>
            <w:r w:rsidRPr="00034663">
              <w:t>(0.86, 1.49)</w:t>
            </w:r>
          </w:p>
        </w:tc>
        <w:tc>
          <w:tcPr>
            <w:tcW w:w="807" w:type="pct"/>
          </w:tcPr>
          <w:p w:rsidR="003B5B2D" w:rsidRDefault="003B5B2D" w:rsidP="003B5B2D">
            <w:pPr>
              <w:pStyle w:val="Tablewriting"/>
              <w:jc w:val="center"/>
            </w:pPr>
            <w:r w:rsidRPr="00034663">
              <w:t xml:space="preserve">0.03 </w:t>
            </w:r>
          </w:p>
          <w:p w:rsidR="003B5B2D" w:rsidRPr="00AB53C1" w:rsidRDefault="003B5B2D" w:rsidP="003B5B2D">
            <w:pPr>
              <w:pStyle w:val="Tablewriting"/>
              <w:jc w:val="center"/>
              <w:rPr>
                <w:rFonts w:eastAsia="MS Mincho"/>
              </w:rPr>
            </w:pPr>
            <w:r w:rsidRPr="00034663">
              <w:t>(-0.04, 0.11)</w:t>
            </w:r>
          </w:p>
        </w:tc>
      </w:tr>
      <w:tr w:rsidR="003B5B2D" w:rsidRPr="00061F78" w:rsidTr="00017C8C">
        <w:trPr>
          <w:cantSplit/>
          <w:trHeight w:val="149"/>
        </w:trPr>
        <w:tc>
          <w:tcPr>
            <w:tcW w:w="1641" w:type="pct"/>
            <w:tcMar>
              <w:left w:w="28" w:type="dxa"/>
              <w:right w:w="28" w:type="dxa"/>
            </w:tcMar>
          </w:tcPr>
          <w:p w:rsidR="003B5B2D" w:rsidRDefault="003B5B2D" w:rsidP="003B5B2D">
            <w:pPr>
              <w:pStyle w:val="Tablewriting"/>
              <w:keepNext/>
              <w:rPr>
                <w:rFonts w:eastAsia="MS Mincho"/>
              </w:rPr>
            </w:pPr>
            <w:r>
              <w:rPr>
                <w:rFonts w:eastAsia="MS Mincho"/>
              </w:rPr>
              <w:t xml:space="preserve">     Rapid, slow, pounding or </w:t>
            </w:r>
          </w:p>
          <w:p w:rsidR="003B5B2D" w:rsidRDefault="003B5B2D" w:rsidP="003B5B2D">
            <w:pPr>
              <w:pStyle w:val="Tablewriting"/>
              <w:keepNext/>
              <w:rPr>
                <w:rFonts w:eastAsia="MS Mincho"/>
              </w:rPr>
            </w:pPr>
            <w:r>
              <w:rPr>
                <w:rFonts w:eastAsia="MS Mincho"/>
              </w:rPr>
              <w:t xml:space="preserve">     irregular heartbeat</w:t>
            </w:r>
          </w:p>
        </w:tc>
        <w:tc>
          <w:tcPr>
            <w:tcW w:w="850" w:type="pct"/>
            <w:tcMar>
              <w:left w:w="28" w:type="dxa"/>
              <w:right w:w="28" w:type="dxa"/>
            </w:tcMar>
            <w:vAlign w:val="center"/>
          </w:tcPr>
          <w:p w:rsidR="003B5B2D" w:rsidRDefault="003B5B2D" w:rsidP="003B5B2D">
            <w:pPr>
              <w:pStyle w:val="Tablewriting"/>
              <w:keepNext/>
              <w:jc w:val="center"/>
              <w:rPr>
                <w:rFonts w:eastAsia="MS Mincho"/>
              </w:rPr>
            </w:pPr>
            <w:r>
              <w:rPr>
                <w:rFonts w:eastAsia="MS Mincho"/>
              </w:rPr>
              <w:t>27/275</w:t>
            </w:r>
          </w:p>
          <w:p w:rsidR="003B5B2D" w:rsidRDefault="003B5B2D" w:rsidP="003B5B2D">
            <w:pPr>
              <w:pStyle w:val="Tablewriting"/>
              <w:keepNext/>
              <w:jc w:val="center"/>
              <w:rPr>
                <w:rFonts w:eastAsia="MS Mincho"/>
              </w:rPr>
            </w:pPr>
            <w:r>
              <w:rPr>
                <w:rFonts w:eastAsia="MS Mincho"/>
              </w:rPr>
              <w:t>(9.8%)</w:t>
            </w:r>
          </w:p>
        </w:tc>
        <w:tc>
          <w:tcPr>
            <w:tcW w:w="851" w:type="pct"/>
            <w:tcMar>
              <w:left w:w="28" w:type="dxa"/>
              <w:right w:w="28" w:type="dxa"/>
            </w:tcMar>
            <w:vAlign w:val="center"/>
          </w:tcPr>
          <w:p w:rsidR="003B5B2D" w:rsidRDefault="003B5B2D" w:rsidP="003B5B2D">
            <w:pPr>
              <w:pStyle w:val="Tablewriting"/>
              <w:keepNext/>
              <w:jc w:val="center"/>
              <w:rPr>
                <w:rFonts w:eastAsia="MS Mincho"/>
              </w:rPr>
            </w:pPr>
            <w:r>
              <w:rPr>
                <w:rFonts w:eastAsia="MS Mincho"/>
              </w:rPr>
              <w:t>17/273</w:t>
            </w:r>
          </w:p>
          <w:p w:rsidR="003B5B2D" w:rsidRDefault="003B5B2D" w:rsidP="003B5B2D">
            <w:pPr>
              <w:pStyle w:val="Tablewriting"/>
              <w:keepNext/>
              <w:jc w:val="center"/>
              <w:rPr>
                <w:rFonts w:eastAsia="MS Mincho"/>
              </w:rPr>
            </w:pPr>
            <w:r>
              <w:rPr>
                <w:rFonts w:eastAsia="MS Mincho"/>
              </w:rPr>
              <w:t>(6.2%)</w:t>
            </w:r>
          </w:p>
        </w:tc>
        <w:tc>
          <w:tcPr>
            <w:tcW w:w="851" w:type="pct"/>
            <w:tcMar>
              <w:left w:w="28" w:type="dxa"/>
              <w:right w:w="28" w:type="dxa"/>
            </w:tcMar>
          </w:tcPr>
          <w:p w:rsidR="003B5B2D" w:rsidRDefault="003B5B2D" w:rsidP="003B5B2D">
            <w:pPr>
              <w:pStyle w:val="Tablewriting"/>
              <w:jc w:val="center"/>
            </w:pPr>
            <w:r w:rsidRPr="00034663">
              <w:t xml:space="preserve">1.58 </w:t>
            </w:r>
          </w:p>
          <w:p w:rsidR="003B5B2D" w:rsidRPr="00AB53C1" w:rsidRDefault="003B5B2D" w:rsidP="003B5B2D">
            <w:pPr>
              <w:pStyle w:val="Tablewriting"/>
              <w:jc w:val="center"/>
              <w:rPr>
                <w:rFonts w:eastAsia="MS Mincho"/>
              </w:rPr>
            </w:pPr>
            <w:r w:rsidRPr="00034663">
              <w:t>(0.88, 2.83)</w:t>
            </w:r>
          </w:p>
        </w:tc>
        <w:tc>
          <w:tcPr>
            <w:tcW w:w="807" w:type="pct"/>
          </w:tcPr>
          <w:p w:rsidR="003B5B2D" w:rsidRDefault="003B5B2D" w:rsidP="003B5B2D">
            <w:pPr>
              <w:pStyle w:val="Tablewriting"/>
              <w:jc w:val="center"/>
            </w:pPr>
            <w:r w:rsidRPr="00034663">
              <w:t xml:space="preserve">0.04 </w:t>
            </w:r>
          </w:p>
          <w:p w:rsidR="003B5B2D" w:rsidRPr="00AB53C1" w:rsidRDefault="003B5B2D" w:rsidP="003B5B2D">
            <w:pPr>
              <w:pStyle w:val="Tablewriting"/>
              <w:jc w:val="center"/>
              <w:rPr>
                <w:rFonts w:eastAsia="MS Mincho"/>
              </w:rPr>
            </w:pPr>
            <w:r w:rsidRPr="00034663">
              <w:t>(-0.01, 0.08)</w:t>
            </w:r>
          </w:p>
        </w:tc>
      </w:tr>
      <w:tr w:rsidR="003B5B2D" w:rsidRPr="00061F78" w:rsidTr="00017C8C">
        <w:trPr>
          <w:cantSplit/>
          <w:trHeight w:val="149"/>
        </w:trPr>
        <w:tc>
          <w:tcPr>
            <w:tcW w:w="1641" w:type="pct"/>
            <w:tcMar>
              <w:left w:w="28" w:type="dxa"/>
              <w:right w:w="28" w:type="dxa"/>
            </w:tcMar>
          </w:tcPr>
          <w:p w:rsidR="003B5B2D" w:rsidRDefault="003B5B2D" w:rsidP="003B5B2D">
            <w:pPr>
              <w:pStyle w:val="Tablewriting"/>
              <w:keepNext/>
              <w:rPr>
                <w:rFonts w:eastAsia="MS Mincho"/>
              </w:rPr>
            </w:pPr>
            <w:r>
              <w:rPr>
                <w:rFonts w:eastAsia="MS Mincho"/>
              </w:rPr>
              <w:t xml:space="preserve">     Insomnia</w:t>
            </w:r>
          </w:p>
        </w:tc>
        <w:tc>
          <w:tcPr>
            <w:tcW w:w="850" w:type="pct"/>
            <w:tcMar>
              <w:left w:w="28" w:type="dxa"/>
              <w:right w:w="28" w:type="dxa"/>
            </w:tcMar>
            <w:vAlign w:val="center"/>
          </w:tcPr>
          <w:p w:rsidR="003B5B2D" w:rsidRDefault="003B5B2D" w:rsidP="003B5B2D">
            <w:pPr>
              <w:pStyle w:val="Tablewriting"/>
              <w:keepNext/>
              <w:jc w:val="center"/>
              <w:rPr>
                <w:rFonts w:eastAsia="MS Mincho"/>
              </w:rPr>
            </w:pPr>
            <w:r>
              <w:rPr>
                <w:rFonts w:eastAsia="MS Mincho"/>
              </w:rPr>
              <w:t>49/275</w:t>
            </w:r>
          </w:p>
          <w:p w:rsidR="003B5B2D" w:rsidRDefault="003B5B2D" w:rsidP="003B5B2D">
            <w:pPr>
              <w:pStyle w:val="Tablewriting"/>
              <w:keepNext/>
              <w:jc w:val="center"/>
              <w:rPr>
                <w:rFonts w:eastAsia="MS Mincho"/>
              </w:rPr>
            </w:pPr>
            <w:r>
              <w:rPr>
                <w:rFonts w:eastAsia="MS Mincho"/>
              </w:rPr>
              <w:t>(17.8%)</w:t>
            </w:r>
          </w:p>
        </w:tc>
        <w:tc>
          <w:tcPr>
            <w:tcW w:w="851" w:type="pct"/>
            <w:tcMar>
              <w:left w:w="28" w:type="dxa"/>
              <w:right w:w="28" w:type="dxa"/>
            </w:tcMar>
            <w:vAlign w:val="center"/>
          </w:tcPr>
          <w:p w:rsidR="003B5B2D" w:rsidRDefault="003B5B2D" w:rsidP="003B5B2D">
            <w:pPr>
              <w:pStyle w:val="Tablewriting"/>
              <w:keepNext/>
              <w:jc w:val="center"/>
              <w:rPr>
                <w:rFonts w:eastAsia="MS Mincho"/>
              </w:rPr>
            </w:pPr>
            <w:r>
              <w:rPr>
                <w:rFonts w:eastAsia="MS Mincho"/>
              </w:rPr>
              <w:t>42/273</w:t>
            </w:r>
          </w:p>
          <w:p w:rsidR="003B5B2D" w:rsidRDefault="003B5B2D" w:rsidP="003B5B2D">
            <w:pPr>
              <w:pStyle w:val="Tablewriting"/>
              <w:keepNext/>
              <w:jc w:val="center"/>
              <w:rPr>
                <w:rFonts w:eastAsia="MS Mincho"/>
              </w:rPr>
            </w:pPr>
            <w:r>
              <w:rPr>
                <w:rFonts w:eastAsia="MS Mincho"/>
              </w:rPr>
              <w:t>(15.4%)</w:t>
            </w:r>
          </w:p>
        </w:tc>
        <w:tc>
          <w:tcPr>
            <w:tcW w:w="851" w:type="pct"/>
            <w:tcMar>
              <w:left w:w="28" w:type="dxa"/>
              <w:right w:w="28" w:type="dxa"/>
            </w:tcMar>
          </w:tcPr>
          <w:p w:rsidR="003B5B2D" w:rsidRDefault="003B5B2D" w:rsidP="003B5B2D">
            <w:pPr>
              <w:pStyle w:val="Tablewriting"/>
              <w:jc w:val="center"/>
            </w:pPr>
            <w:r w:rsidRPr="00034663">
              <w:t xml:space="preserve">1.16 </w:t>
            </w:r>
          </w:p>
          <w:p w:rsidR="003B5B2D" w:rsidRPr="00AB53C1" w:rsidRDefault="003B5B2D" w:rsidP="003B5B2D">
            <w:pPr>
              <w:pStyle w:val="Tablewriting"/>
              <w:jc w:val="center"/>
              <w:rPr>
                <w:rFonts w:eastAsia="MS Mincho"/>
              </w:rPr>
            </w:pPr>
            <w:r w:rsidRPr="00034663">
              <w:t>(0.79, 1.69)</w:t>
            </w:r>
          </w:p>
        </w:tc>
        <w:tc>
          <w:tcPr>
            <w:tcW w:w="807" w:type="pct"/>
          </w:tcPr>
          <w:p w:rsidR="003B5B2D" w:rsidRDefault="003B5B2D" w:rsidP="003B5B2D">
            <w:pPr>
              <w:pStyle w:val="Tablewriting"/>
              <w:jc w:val="center"/>
            </w:pPr>
            <w:r w:rsidRPr="00034663">
              <w:t xml:space="preserve">0.02 </w:t>
            </w:r>
          </w:p>
          <w:p w:rsidR="003B5B2D" w:rsidRPr="00AB53C1" w:rsidRDefault="003B5B2D" w:rsidP="003B5B2D">
            <w:pPr>
              <w:pStyle w:val="Tablewriting"/>
              <w:jc w:val="center"/>
              <w:rPr>
                <w:rFonts w:eastAsia="MS Mincho"/>
              </w:rPr>
            </w:pPr>
            <w:r w:rsidRPr="00034663">
              <w:t>(-0.04, 0.09)</w:t>
            </w:r>
          </w:p>
        </w:tc>
      </w:tr>
      <w:tr w:rsidR="003B5B2D" w:rsidRPr="00061F78" w:rsidTr="00017C8C">
        <w:trPr>
          <w:cantSplit/>
          <w:trHeight w:val="149"/>
        </w:trPr>
        <w:tc>
          <w:tcPr>
            <w:tcW w:w="1641" w:type="pct"/>
            <w:tcMar>
              <w:left w:w="28" w:type="dxa"/>
              <w:right w:w="28" w:type="dxa"/>
            </w:tcMar>
          </w:tcPr>
          <w:p w:rsidR="003B5B2D" w:rsidRDefault="003B5B2D" w:rsidP="003B5B2D">
            <w:pPr>
              <w:pStyle w:val="Tablewriting"/>
              <w:keepNext/>
              <w:rPr>
                <w:rFonts w:eastAsia="MS Mincho"/>
              </w:rPr>
            </w:pPr>
            <w:r>
              <w:rPr>
                <w:rFonts w:eastAsia="MS Mincho"/>
              </w:rPr>
              <w:t xml:space="preserve">     Vivid dreams</w:t>
            </w:r>
          </w:p>
        </w:tc>
        <w:tc>
          <w:tcPr>
            <w:tcW w:w="850" w:type="pct"/>
            <w:tcMar>
              <w:left w:w="28" w:type="dxa"/>
              <w:right w:w="28" w:type="dxa"/>
            </w:tcMar>
            <w:vAlign w:val="center"/>
          </w:tcPr>
          <w:p w:rsidR="003B5B2D" w:rsidRDefault="003B5B2D" w:rsidP="003B5B2D">
            <w:pPr>
              <w:pStyle w:val="Tablewriting"/>
              <w:keepNext/>
              <w:jc w:val="center"/>
              <w:rPr>
                <w:rFonts w:eastAsia="MS Mincho"/>
              </w:rPr>
            </w:pPr>
            <w:r>
              <w:rPr>
                <w:rFonts w:eastAsia="MS Mincho"/>
              </w:rPr>
              <w:t>63/275</w:t>
            </w:r>
          </w:p>
          <w:p w:rsidR="003B5B2D" w:rsidRDefault="003B5B2D" w:rsidP="003B5B2D">
            <w:pPr>
              <w:pStyle w:val="Tablewriting"/>
              <w:keepNext/>
              <w:jc w:val="center"/>
              <w:rPr>
                <w:rFonts w:eastAsia="MS Mincho"/>
              </w:rPr>
            </w:pPr>
            <w:r>
              <w:rPr>
                <w:rFonts w:eastAsia="MS Mincho"/>
              </w:rPr>
              <w:t>(22.9%)</w:t>
            </w:r>
          </w:p>
        </w:tc>
        <w:tc>
          <w:tcPr>
            <w:tcW w:w="851" w:type="pct"/>
            <w:tcMar>
              <w:left w:w="28" w:type="dxa"/>
              <w:right w:w="28" w:type="dxa"/>
            </w:tcMar>
            <w:vAlign w:val="center"/>
          </w:tcPr>
          <w:p w:rsidR="003B5B2D" w:rsidRDefault="003B5B2D" w:rsidP="003B5B2D">
            <w:pPr>
              <w:pStyle w:val="Tablewriting"/>
              <w:keepNext/>
              <w:jc w:val="center"/>
              <w:rPr>
                <w:rFonts w:eastAsia="MS Mincho"/>
              </w:rPr>
            </w:pPr>
            <w:r>
              <w:rPr>
                <w:rFonts w:eastAsia="MS Mincho"/>
              </w:rPr>
              <w:t>60/273</w:t>
            </w:r>
          </w:p>
          <w:p w:rsidR="003B5B2D" w:rsidRDefault="003B5B2D" w:rsidP="003B5B2D">
            <w:pPr>
              <w:pStyle w:val="Tablewriting"/>
              <w:keepNext/>
              <w:jc w:val="center"/>
              <w:rPr>
                <w:rFonts w:eastAsia="MS Mincho"/>
              </w:rPr>
            </w:pPr>
            <w:r>
              <w:rPr>
                <w:rFonts w:eastAsia="MS Mincho"/>
              </w:rPr>
              <w:t>(22.0%)</w:t>
            </w:r>
          </w:p>
        </w:tc>
        <w:tc>
          <w:tcPr>
            <w:tcW w:w="851" w:type="pct"/>
            <w:tcMar>
              <w:left w:w="28" w:type="dxa"/>
              <w:right w:w="28" w:type="dxa"/>
            </w:tcMar>
          </w:tcPr>
          <w:p w:rsidR="003B5B2D" w:rsidRDefault="003B5B2D" w:rsidP="003B5B2D">
            <w:pPr>
              <w:pStyle w:val="Tablewriting"/>
              <w:jc w:val="center"/>
            </w:pPr>
            <w:r w:rsidRPr="00034663">
              <w:t xml:space="preserve">1.04 </w:t>
            </w:r>
          </w:p>
          <w:p w:rsidR="003B5B2D" w:rsidRPr="00AB53C1" w:rsidRDefault="003B5B2D" w:rsidP="003B5B2D">
            <w:pPr>
              <w:pStyle w:val="Tablewriting"/>
              <w:jc w:val="center"/>
              <w:rPr>
                <w:rFonts w:eastAsia="MS Mincho"/>
                <w:b/>
                <w:bCs/>
              </w:rPr>
            </w:pPr>
            <w:r w:rsidRPr="00034663">
              <w:t>(0.76, 1.42)</w:t>
            </w:r>
          </w:p>
        </w:tc>
        <w:tc>
          <w:tcPr>
            <w:tcW w:w="807" w:type="pct"/>
          </w:tcPr>
          <w:p w:rsidR="003B5B2D" w:rsidRDefault="003B5B2D" w:rsidP="003B5B2D">
            <w:pPr>
              <w:pStyle w:val="Tablewriting"/>
              <w:jc w:val="center"/>
            </w:pPr>
            <w:r w:rsidRPr="00034663">
              <w:t xml:space="preserve">0.01 </w:t>
            </w:r>
          </w:p>
          <w:p w:rsidR="003B5B2D" w:rsidRPr="00AB53C1" w:rsidRDefault="003B5B2D" w:rsidP="003B5B2D">
            <w:pPr>
              <w:pStyle w:val="Tablewriting"/>
              <w:jc w:val="center"/>
              <w:rPr>
                <w:rFonts w:eastAsia="MS Mincho"/>
                <w:b/>
                <w:bCs/>
              </w:rPr>
            </w:pPr>
            <w:r w:rsidRPr="00034663">
              <w:t>(-0.06, 0.08)</w:t>
            </w:r>
          </w:p>
        </w:tc>
      </w:tr>
      <w:tr w:rsidR="003B5B2D" w:rsidRPr="00061F78" w:rsidTr="00017C8C">
        <w:trPr>
          <w:cantSplit/>
          <w:trHeight w:val="149"/>
        </w:trPr>
        <w:tc>
          <w:tcPr>
            <w:tcW w:w="1641" w:type="pct"/>
            <w:tcMar>
              <w:left w:w="28" w:type="dxa"/>
              <w:right w:w="28" w:type="dxa"/>
            </w:tcMar>
          </w:tcPr>
          <w:p w:rsidR="003B5B2D" w:rsidRDefault="003B5B2D" w:rsidP="003B5B2D">
            <w:pPr>
              <w:pStyle w:val="Tablewriting"/>
              <w:keepNext/>
              <w:rPr>
                <w:rFonts w:eastAsia="MS Mincho"/>
              </w:rPr>
            </w:pPr>
            <w:r>
              <w:rPr>
                <w:rFonts w:eastAsia="MS Mincho"/>
              </w:rPr>
              <w:t>Serious adverse events</w:t>
            </w:r>
          </w:p>
        </w:tc>
        <w:tc>
          <w:tcPr>
            <w:tcW w:w="850" w:type="pct"/>
            <w:tcMar>
              <w:left w:w="28" w:type="dxa"/>
              <w:right w:w="28" w:type="dxa"/>
            </w:tcMar>
            <w:vAlign w:val="center"/>
          </w:tcPr>
          <w:p w:rsidR="003B5B2D" w:rsidRPr="00325EF5" w:rsidRDefault="003B5B2D" w:rsidP="003B5B2D">
            <w:pPr>
              <w:pStyle w:val="Tablewriting"/>
              <w:keepNext/>
              <w:jc w:val="center"/>
              <w:rPr>
                <w:rFonts w:eastAsia="MS Mincho"/>
              </w:rPr>
            </w:pPr>
            <w:r w:rsidRPr="00325EF5">
              <w:rPr>
                <w:rFonts w:eastAsia="MS Mincho"/>
              </w:rPr>
              <w:t>23/275</w:t>
            </w:r>
          </w:p>
          <w:p w:rsidR="003B5B2D" w:rsidRPr="00325EF5" w:rsidRDefault="003B5B2D" w:rsidP="003B5B2D">
            <w:pPr>
              <w:pStyle w:val="Tablewriting"/>
              <w:keepNext/>
              <w:jc w:val="center"/>
              <w:rPr>
                <w:rFonts w:eastAsia="MS Mincho"/>
              </w:rPr>
            </w:pPr>
            <w:r w:rsidRPr="00325EF5">
              <w:rPr>
                <w:rFonts w:eastAsia="MS Mincho"/>
              </w:rPr>
              <w:t>(8.4%)</w:t>
            </w:r>
          </w:p>
        </w:tc>
        <w:tc>
          <w:tcPr>
            <w:tcW w:w="851" w:type="pct"/>
            <w:tcMar>
              <w:left w:w="28" w:type="dxa"/>
              <w:right w:w="28" w:type="dxa"/>
            </w:tcMar>
            <w:vAlign w:val="center"/>
          </w:tcPr>
          <w:p w:rsidR="003B5B2D" w:rsidRDefault="003B5B2D" w:rsidP="003B5B2D">
            <w:pPr>
              <w:pStyle w:val="Tablewriting"/>
              <w:keepNext/>
              <w:jc w:val="center"/>
              <w:rPr>
                <w:rFonts w:eastAsia="MS Mincho"/>
              </w:rPr>
            </w:pPr>
            <w:r>
              <w:rPr>
                <w:rFonts w:eastAsia="MS Mincho"/>
              </w:rPr>
              <w:t>27/273</w:t>
            </w:r>
          </w:p>
          <w:p w:rsidR="003B5B2D" w:rsidRPr="00325EF5" w:rsidRDefault="003B5B2D" w:rsidP="003B5B2D">
            <w:pPr>
              <w:pStyle w:val="Tablewriting"/>
              <w:keepNext/>
              <w:jc w:val="center"/>
              <w:rPr>
                <w:rFonts w:eastAsia="MS Mincho"/>
              </w:rPr>
            </w:pPr>
            <w:r>
              <w:rPr>
                <w:rFonts w:eastAsia="MS Mincho"/>
              </w:rPr>
              <w:t>(9.9%)</w:t>
            </w:r>
          </w:p>
        </w:tc>
        <w:tc>
          <w:tcPr>
            <w:tcW w:w="851" w:type="pct"/>
            <w:tcMar>
              <w:left w:w="28" w:type="dxa"/>
              <w:right w:w="28" w:type="dxa"/>
            </w:tcMar>
          </w:tcPr>
          <w:p w:rsidR="003B5B2D" w:rsidRDefault="003B5B2D" w:rsidP="003B5B2D">
            <w:pPr>
              <w:pStyle w:val="Tablewriting"/>
              <w:jc w:val="center"/>
            </w:pPr>
            <w:r w:rsidRPr="00034663">
              <w:t xml:space="preserve">0.85 </w:t>
            </w:r>
          </w:p>
          <w:p w:rsidR="003B5B2D" w:rsidRPr="00AB53C1" w:rsidRDefault="003B5B2D" w:rsidP="003B5B2D">
            <w:pPr>
              <w:pStyle w:val="Tablewriting"/>
              <w:jc w:val="center"/>
              <w:rPr>
                <w:rFonts w:eastAsia="MS Mincho"/>
              </w:rPr>
            </w:pPr>
            <w:r w:rsidRPr="00034663">
              <w:t>(0.50, 1.44)</w:t>
            </w:r>
          </w:p>
        </w:tc>
        <w:tc>
          <w:tcPr>
            <w:tcW w:w="807" w:type="pct"/>
          </w:tcPr>
          <w:p w:rsidR="003B5B2D" w:rsidRDefault="003B5B2D" w:rsidP="003B5B2D">
            <w:pPr>
              <w:pStyle w:val="Tablewriting"/>
              <w:jc w:val="center"/>
            </w:pPr>
            <w:r w:rsidRPr="00034663">
              <w:t xml:space="preserve">-0.02 </w:t>
            </w:r>
          </w:p>
          <w:p w:rsidR="003B5B2D" w:rsidRPr="00AB53C1" w:rsidRDefault="003B5B2D" w:rsidP="003B5B2D">
            <w:pPr>
              <w:pStyle w:val="Tablewriting"/>
              <w:jc w:val="center"/>
              <w:rPr>
                <w:rFonts w:eastAsia="MS Mincho"/>
              </w:rPr>
            </w:pPr>
            <w:r w:rsidRPr="00034663">
              <w:t>(-0.06, 0.03)</w:t>
            </w:r>
          </w:p>
        </w:tc>
      </w:tr>
    </w:tbl>
    <w:p w:rsidR="003B5B2D" w:rsidRDefault="003B5B2D" w:rsidP="003B5B2D">
      <w:pPr>
        <w:pStyle w:val="TableFooter"/>
        <w:keepNext/>
      </w:pPr>
      <w:r>
        <w:t>Source: Chen et al. (2020)</w:t>
      </w:r>
    </w:p>
    <w:p w:rsidR="003B5B2D" w:rsidRDefault="003B5B2D" w:rsidP="003B5B2D">
      <w:pPr>
        <w:pStyle w:val="TableFooter"/>
        <w:keepNext/>
      </w:pPr>
      <w:r>
        <w:t>Abbreviations: CI = confidence interval; NRT = nicotine replacement therapy; RCT = randomised controlled trial; RD = risk difference; RR = risk ratio</w:t>
      </w:r>
    </w:p>
    <w:p w:rsidR="003B5B2D" w:rsidRDefault="003B5B2D" w:rsidP="003B5B2D">
      <w:pPr>
        <w:pStyle w:val="TableFooter"/>
        <w:keepNext/>
      </w:pPr>
      <w:r w:rsidRPr="00FD4061">
        <w:t>Note</w:t>
      </w:r>
      <w:r>
        <w:t>s</w:t>
      </w:r>
      <w:r w:rsidRPr="00FD4061">
        <w:t xml:space="preserve">: </w:t>
      </w:r>
      <w:r>
        <w:t xml:space="preserve">Calculated during the review. </w:t>
      </w:r>
      <w:r w:rsidRPr="00FD4061">
        <w:t>Bold indicates statistically significant difference.</w:t>
      </w:r>
      <w:r>
        <w:t xml:space="preserve"> </w:t>
      </w:r>
    </w:p>
    <w:p w:rsidR="00CC6C58" w:rsidRPr="00CC6C58" w:rsidRDefault="00CC6C58" w:rsidP="00622B9F">
      <w:pPr>
        <w:rPr>
          <w:b/>
          <w:bCs/>
        </w:rPr>
      </w:pPr>
      <w:r w:rsidRPr="00CC6C58">
        <w:rPr>
          <w:b/>
          <w:bCs/>
        </w:rPr>
        <w:t>Combination NRT versus NRT monotherapy</w:t>
      </w:r>
    </w:p>
    <w:p w:rsidR="00CC6C58" w:rsidRDefault="00CC6C58" w:rsidP="00622B9F">
      <w:r w:rsidRPr="00CC6C58">
        <w:t xml:space="preserve">A summary of the citation details for the studies comparing combination NRT with </w:t>
      </w:r>
      <w:r w:rsidR="00780FEC">
        <w:t>NRT monotherapy</w:t>
      </w:r>
      <w:r w:rsidRPr="00CC6C58">
        <w:t xml:space="preserve"> is presented in </w:t>
      </w:r>
      <w:r w:rsidR="003C4A1C">
        <w:t xml:space="preserve">Table </w:t>
      </w:r>
      <w:r w:rsidR="003C4A1C">
        <w:rPr>
          <w:noProof/>
        </w:rPr>
        <w:t>58</w:t>
      </w:r>
      <w:r w:rsidRPr="00CC6C58">
        <w:t xml:space="preserve">. A recently conducted Cochrane </w:t>
      </w:r>
      <w:r w:rsidR="009654FD">
        <w:t>R</w:t>
      </w:r>
      <w:r w:rsidRPr="00CC6C58">
        <w:t xml:space="preserve">eview by </w:t>
      </w:r>
      <w:r w:rsidR="00847625">
        <w:t>Lindson</w:t>
      </w:r>
      <w:r w:rsidRPr="00CC6C58">
        <w:t xml:space="preserve"> et al. (201</w:t>
      </w:r>
      <w:r w:rsidR="00796FC8">
        <w:t>9</w:t>
      </w:r>
      <w:r w:rsidRPr="00CC6C58">
        <w:t xml:space="preserve">) was identified in the systematic literature review that compared combination NRT with </w:t>
      </w:r>
      <w:r w:rsidR="00C81AE9">
        <w:t>NRT monotherapy</w:t>
      </w:r>
      <w:r w:rsidRPr="00CC6C58">
        <w:t xml:space="preserve"> and was included in this report.</w:t>
      </w:r>
      <w:r w:rsidR="00373EA9">
        <w:t xml:space="preserve"> One</w:t>
      </w:r>
      <w:r w:rsidR="00373EA9" w:rsidRPr="00E91171">
        <w:t xml:space="preserve"> RCT was identified in the </w:t>
      </w:r>
      <w:r w:rsidR="00373EA9">
        <w:t>supplemental</w:t>
      </w:r>
      <w:r w:rsidR="00373EA9" w:rsidRPr="00E91171">
        <w:t xml:space="preserve"> literature search </w:t>
      </w:r>
      <w:r w:rsidR="00373EA9">
        <w:t xml:space="preserve">that informed this comparison </w:t>
      </w:r>
      <w:r w:rsidR="00373EA9" w:rsidRPr="00E91171">
        <w:t>and was included in this report</w:t>
      </w:r>
      <w:r w:rsidR="00373EA9">
        <w:t xml:space="preserve"> (Leung et al. 2019)</w:t>
      </w:r>
      <w:r w:rsidR="00373EA9" w:rsidRPr="00E91171">
        <w:t>.</w:t>
      </w:r>
    </w:p>
    <w:p w:rsidR="008473C0" w:rsidRDefault="008473C0" w:rsidP="008473C0">
      <w:pPr>
        <w:pStyle w:val="Caption"/>
        <w:keepNext/>
      </w:pPr>
      <w:bookmarkStart w:id="143" w:name="_Ref55297685"/>
      <w:r>
        <w:lastRenderedPageBreak/>
        <w:t xml:space="preserve">Table </w:t>
      </w:r>
      <w:r w:rsidR="003C4A1C">
        <w:rPr>
          <w:noProof/>
        </w:rPr>
        <w:t>58</w:t>
      </w:r>
      <w:bookmarkEnd w:id="143"/>
      <w:r>
        <w:t xml:space="preserve">: </w:t>
      </w:r>
      <w:r w:rsidRPr="00A247A2">
        <w:t xml:space="preserve">List of studies comparing combination NRT with </w:t>
      </w:r>
      <w:r>
        <w:t>NRT monotherapy</w:t>
      </w:r>
    </w:p>
    <w:tbl>
      <w:tblPr>
        <w:tblStyle w:val="TableGrid"/>
        <w:tblW w:w="5000" w:type="pct"/>
        <w:tblLook w:val="04A0" w:firstRow="1" w:lastRow="0" w:firstColumn="1" w:lastColumn="0" w:noHBand="0" w:noVBand="1"/>
        <w:tblCaption w:val="Efficacy results of adalimumab trials (PASI 75 and DLQI)"/>
      </w:tblPr>
      <w:tblGrid>
        <w:gridCol w:w="1004"/>
        <w:gridCol w:w="8012"/>
      </w:tblGrid>
      <w:tr w:rsidR="0085037A" w:rsidRPr="00061F78" w:rsidTr="000708B4">
        <w:trPr>
          <w:cantSplit/>
          <w:trHeight w:val="329"/>
          <w:tblHeader/>
        </w:trPr>
        <w:tc>
          <w:tcPr>
            <w:tcW w:w="557" w:type="pct"/>
            <w:shd w:val="clear" w:color="auto" w:fill="BFBFBF" w:themeFill="background1" w:themeFillShade="BF"/>
            <w:tcMar>
              <w:left w:w="28" w:type="dxa"/>
              <w:right w:w="28" w:type="dxa"/>
            </w:tcMar>
          </w:tcPr>
          <w:p w:rsidR="00CC6C58" w:rsidRPr="00061F78" w:rsidRDefault="00CC6C58" w:rsidP="000708B4">
            <w:pPr>
              <w:pStyle w:val="Tableheading"/>
              <w:keepNext/>
              <w:rPr>
                <w:rFonts w:eastAsia="MS Mincho"/>
              </w:rPr>
            </w:pPr>
            <w:r>
              <w:rPr>
                <w:rFonts w:eastAsia="MS Mincho"/>
              </w:rPr>
              <w:t>Study</w:t>
            </w:r>
          </w:p>
        </w:tc>
        <w:tc>
          <w:tcPr>
            <w:tcW w:w="4443" w:type="pct"/>
            <w:shd w:val="clear" w:color="auto" w:fill="BFBFBF" w:themeFill="background1" w:themeFillShade="BF"/>
          </w:tcPr>
          <w:p w:rsidR="00CC6C58" w:rsidRDefault="00CC6C58" w:rsidP="000708B4">
            <w:pPr>
              <w:pStyle w:val="Tableheading"/>
              <w:keepNext/>
              <w:jc w:val="center"/>
              <w:rPr>
                <w:rFonts w:eastAsia="MS Mincho"/>
              </w:rPr>
            </w:pPr>
            <w:r>
              <w:rPr>
                <w:rFonts w:eastAsia="MS Mincho"/>
              </w:rPr>
              <w:t>Citation</w:t>
            </w:r>
          </w:p>
        </w:tc>
      </w:tr>
      <w:tr w:rsidR="0085037A" w:rsidRPr="00061F78" w:rsidTr="000708B4">
        <w:trPr>
          <w:cantSplit/>
          <w:trHeight w:val="164"/>
        </w:trPr>
        <w:tc>
          <w:tcPr>
            <w:tcW w:w="557" w:type="pct"/>
            <w:tcMar>
              <w:left w:w="28" w:type="dxa"/>
              <w:right w:w="28" w:type="dxa"/>
            </w:tcMar>
          </w:tcPr>
          <w:p w:rsidR="00CC6C58" w:rsidRDefault="00CC6C58" w:rsidP="00CC6C58">
            <w:pPr>
              <w:pStyle w:val="Tablewriting"/>
              <w:keepNext/>
              <w:rPr>
                <w:rFonts w:eastAsia="MS Mincho"/>
              </w:rPr>
            </w:pPr>
            <w:r>
              <w:rPr>
                <w:rFonts w:eastAsia="MS Mincho"/>
              </w:rPr>
              <w:t>Lindson</w:t>
            </w:r>
          </w:p>
          <w:p w:rsidR="00CC6C58" w:rsidRPr="00305930" w:rsidRDefault="00CC6C58" w:rsidP="00CC6C58">
            <w:pPr>
              <w:pStyle w:val="Tablewriting"/>
              <w:keepNext/>
              <w:rPr>
                <w:rFonts w:eastAsia="MS Mincho"/>
              </w:rPr>
            </w:pPr>
            <w:r>
              <w:rPr>
                <w:rFonts w:eastAsia="MS Mincho"/>
              </w:rPr>
              <w:t>(2019)</w:t>
            </w:r>
            <w:r w:rsidR="0039468B" w:rsidRPr="00693911">
              <w:rPr>
                <w:rFonts w:eastAsia="MS Mincho"/>
                <w:noProof/>
                <w:vertAlign w:val="superscript"/>
              </w:rPr>
              <w:t>38</w:t>
            </w:r>
          </w:p>
        </w:tc>
        <w:tc>
          <w:tcPr>
            <w:tcW w:w="4443" w:type="pct"/>
          </w:tcPr>
          <w:p w:rsidR="00CC6C58" w:rsidRDefault="00CC6C58" w:rsidP="00CC6C58">
            <w:pPr>
              <w:pStyle w:val="Tablewriting"/>
              <w:keepNext/>
              <w:rPr>
                <w:rFonts w:eastAsia="MS Mincho"/>
              </w:rPr>
            </w:pPr>
            <w:r w:rsidRPr="003D33C1">
              <w:rPr>
                <w:rFonts w:eastAsia="MS Mincho"/>
              </w:rPr>
              <w:t>Lindson  N, Chepkin  SC, Ye  W, Fanshawe  TR, Bullen  C, Hartmann‐Boyce  J. Different doses, durations and modes of delivery of nicotine replacement therapy for smoking cessation. Cochrane Database of Systematic Reviews 2019, Issue 4. Art. No.: CD013308.</w:t>
            </w:r>
          </w:p>
        </w:tc>
      </w:tr>
      <w:tr w:rsidR="0085037A" w:rsidRPr="00061F78" w:rsidTr="000708B4">
        <w:trPr>
          <w:cantSplit/>
          <w:trHeight w:val="164"/>
        </w:trPr>
        <w:tc>
          <w:tcPr>
            <w:tcW w:w="557" w:type="pct"/>
            <w:tcMar>
              <w:left w:w="28" w:type="dxa"/>
              <w:right w:w="28" w:type="dxa"/>
            </w:tcMar>
          </w:tcPr>
          <w:p w:rsidR="00373EA9" w:rsidRDefault="00373EA9" w:rsidP="00CC6C58">
            <w:pPr>
              <w:pStyle w:val="Tablewriting"/>
              <w:keepNext/>
              <w:rPr>
                <w:rFonts w:eastAsia="MS Mincho"/>
              </w:rPr>
            </w:pPr>
            <w:r>
              <w:rPr>
                <w:rFonts w:eastAsia="MS Mincho"/>
              </w:rPr>
              <w:t>Leung</w:t>
            </w:r>
          </w:p>
          <w:p w:rsidR="00373EA9" w:rsidRDefault="00373EA9" w:rsidP="00CC6C58">
            <w:pPr>
              <w:pStyle w:val="Tablewriting"/>
              <w:keepNext/>
              <w:rPr>
                <w:rFonts w:eastAsia="MS Mincho"/>
              </w:rPr>
            </w:pPr>
            <w:r>
              <w:rPr>
                <w:rFonts w:eastAsia="MS Mincho"/>
              </w:rPr>
              <w:t>(2019)</w:t>
            </w:r>
            <w:r w:rsidR="0039468B" w:rsidRPr="007A53BC">
              <w:rPr>
                <w:rFonts w:eastAsia="MS Mincho"/>
                <w:noProof/>
                <w:vertAlign w:val="superscript"/>
              </w:rPr>
              <w:t>47</w:t>
            </w:r>
          </w:p>
        </w:tc>
        <w:tc>
          <w:tcPr>
            <w:tcW w:w="4443" w:type="pct"/>
          </w:tcPr>
          <w:p w:rsidR="00373EA9" w:rsidRPr="003D33C1" w:rsidRDefault="00373EA9" w:rsidP="00CC6C58">
            <w:pPr>
              <w:pStyle w:val="Tablewriting"/>
              <w:keepNext/>
              <w:rPr>
                <w:rFonts w:eastAsia="MS Mincho"/>
              </w:rPr>
            </w:pPr>
            <w:r w:rsidRPr="00373EA9">
              <w:rPr>
                <w:rFonts w:eastAsia="MS Mincho"/>
              </w:rPr>
              <w:t>Leung MKW, Bai D, Yip BHK, Fong MY, Lai PMH, Lai P, Lai ISY, Lam ZHW, Leung ATF, To DKY, Wong MT, Wong TK, Chao DVK. Combined nicotine patch with gum versus nicotine patch alone in smoking cessation in Hong Kong primary care clinics: a randomised controlled trial. BMC Public Health. 2019 Oct 16;19(1):1302.</w:t>
            </w:r>
          </w:p>
        </w:tc>
      </w:tr>
    </w:tbl>
    <w:p w:rsidR="00622B9F" w:rsidRDefault="00622B9F" w:rsidP="00832E21">
      <w:r>
        <w:t xml:space="preserve"> </w:t>
      </w:r>
    </w:p>
    <w:p w:rsidR="009904D3" w:rsidRDefault="009904D3" w:rsidP="009904D3">
      <w:r w:rsidRPr="00713891">
        <w:t xml:space="preserve">A summary of the characteristics of the studies comparing </w:t>
      </w:r>
      <w:r>
        <w:t xml:space="preserve">combination </w:t>
      </w:r>
      <w:r w:rsidRPr="00713891">
        <w:t xml:space="preserve">NRT with </w:t>
      </w:r>
      <w:r w:rsidR="003E17D5">
        <w:t>NRT monotherapy</w:t>
      </w:r>
      <w:r w:rsidRPr="00713891">
        <w:t xml:space="preserve"> is presented in</w:t>
      </w:r>
      <w:r w:rsidR="003E17D5">
        <w:t xml:space="preserve"> </w:t>
      </w:r>
      <w:r w:rsidR="003C4A1C">
        <w:t xml:space="preserve">Table </w:t>
      </w:r>
      <w:r w:rsidR="003C4A1C">
        <w:rPr>
          <w:noProof/>
        </w:rPr>
        <w:t>59</w:t>
      </w:r>
      <w:r w:rsidRPr="00713891">
        <w:t xml:space="preserve">. A total of </w:t>
      </w:r>
      <w:r w:rsidR="00F030E4">
        <w:t>14</w:t>
      </w:r>
      <w:r w:rsidRPr="00713891">
        <w:t xml:space="preserve"> RCTs comparing </w:t>
      </w:r>
      <w:r>
        <w:t xml:space="preserve">combination </w:t>
      </w:r>
      <w:r w:rsidRPr="00713891">
        <w:t xml:space="preserve">NRT with </w:t>
      </w:r>
      <w:r w:rsidR="00F030E4">
        <w:t>NRT monotherapy</w:t>
      </w:r>
      <w:r w:rsidRPr="00713891">
        <w:t xml:space="preserve"> were identified </w:t>
      </w:r>
      <w:r w:rsidR="009A688B">
        <w:t>b</w:t>
      </w:r>
      <w:r w:rsidR="00CD716F" w:rsidRPr="00713891">
        <w:t xml:space="preserve">y </w:t>
      </w:r>
      <w:r w:rsidR="00CD716F">
        <w:t>Lindson</w:t>
      </w:r>
      <w:r w:rsidR="00CD716F" w:rsidRPr="00713891">
        <w:t xml:space="preserve"> et al. (201</w:t>
      </w:r>
      <w:r w:rsidR="00CD716F">
        <w:t>9</w:t>
      </w:r>
      <w:r w:rsidR="00CD716F" w:rsidRPr="00713891">
        <w:t>)</w:t>
      </w:r>
      <w:r w:rsidR="00CD716F" w:rsidRPr="00AC62D6">
        <w:t xml:space="preserve"> </w:t>
      </w:r>
      <w:r w:rsidRPr="00161E08">
        <w:t>and w</w:t>
      </w:r>
      <w:r>
        <w:t>ere</w:t>
      </w:r>
      <w:r w:rsidRPr="00161E08">
        <w:t xml:space="preserve"> included in this report</w:t>
      </w:r>
      <w:r>
        <w:t>.</w:t>
      </w:r>
      <w:r w:rsidR="00796FC8">
        <w:t xml:space="preserve"> </w:t>
      </w:r>
      <w:r w:rsidR="00BD7CE4">
        <w:t xml:space="preserve">Four RCTs compared combination NRT with NRT patch </w:t>
      </w:r>
      <w:r w:rsidR="00DC017F">
        <w:t xml:space="preserve">or fast-acting NRT (Croghan et al. 2003, </w:t>
      </w:r>
      <w:r w:rsidR="009C79C3">
        <w:t>Piper et al. 2009, Smith et al. 2009 and Tonnesen et al. 2000).</w:t>
      </w:r>
      <w:r w:rsidR="00DC017F">
        <w:t xml:space="preserve"> </w:t>
      </w:r>
      <w:r w:rsidR="00796FC8" w:rsidRPr="00796FC8">
        <w:t xml:space="preserve">The characteristics of the individual studies are presented in </w:t>
      </w:r>
      <w:r w:rsidR="00796FC8" w:rsidRPr="009A688B">
        <w:t>Appendix</w:t>
      </w:r>
      <w:r w:rsidR="0033480B">
        <w:t xml:space="preserve"> </w:t>
      </w:r>
      <w:r w:rsidR="003C4A1C">
        <w:t xml:space="preserve">Table </w:t>
      </w:r>
      <w:r w:rsidR="003C4A1C">
        <w:rPr>
          <w:noProof/>
        </w:rPr>
        <w:t>156</w:t>
      </w:r>
      <w:r w:rsidR="00E5354F">
        <w:t>.</w:t>
      </w:r>
    </w:p>
    <w:p w:rsidR="001C1E33" w:rsidRDefault="001C1E33" w:rsidP="0033480B">
      <w:r>
        <w:t xml:space="preserve">Leung et al. (2019) was a </w:t>
      </w:r>
      <w:r w:rsidRPr="001C1E33">
        <w:t>one-year, two-arm, parallel randomised trial</w:t>
      </w:r>
      <w:r>
        <w:t xml:space="preserve"> comparing </w:t>
      </w:r>
      <w:r w:rsidR="00AC1662">
        <w:t>combination NRT patch and gum with NRT patch alone. This study was included in the updated efficacy and safety re-analysis where outcomes were reported.</w:t>
      </w:r>
    </w:p>
    <w:p w:rsidR="007B19F0" w:rsidRDefault="007B19F0" w:rsidP="007B19F0">
      <w:pPr>
        <w:pStyle w:val="Caption"/>
        <w:keepNext/>
      </w:pPr>
      <w:bookmarkStart w:id="144" w:name="_Ref55299925"/>
      <w:r>
        <w:t xml:space="preserve">Table </w:t>
      </w:r>
      <w:r w:rsidR="003C4A1C">
        <w:rPr>
          <w:noProof/>
        </w:rPr>
        <w:t>59</w:t>
      </w:r>
      <w:bookmarkEnd w:id="144"/>
      <w:r>
        <w:t xml:space="preserve">: </w:t>
      </w:r>
      <w:r w:rsidRPr="009F6F38">
        <w:t xml:space="preserve">Characteristics of the studies comparing combination NRT with </w:t>
      </w:r>
      <w:r>
        <w:t>NRT monotherapy</w:t>
      </w:r>
    </w:p>
    <w:tbl>
      <w:tblPr>
        <w:tblStyle w:val="TableGrid"/>
        <w:tblW w:w="5000" w:type="pct"/>
        <w:tblLook w:val="04A0" w:firstRow="1" w:lastRow="0" w:firstColumn="1" w:lastColumn="0" w:noHBand="0" w:noVBand="1"/>
        <w:tblCaption w:val="Efficacy results of adalimumab trials (PASI 75 and DLQI)"/>
      </w:tblPr>
      <w:tblGrid>
        <w:gridCol w:w="916"/>
        <w:gridCol w:w="988"/>
        <w:gridCol w:w="1894"/>
        <w:gridCol w:w="2004"/>
        <w:gridCol w:w="1827"/>
        <w:gridCol w:w="1387"/>
      </w:tblGrid>
      <w:tr w:rsidR="00ED508B" w:rsidRPr="00061F78" w:rsidTr="008B6793">
        <w:trPr>
          <w:trHeight w:val="299"/>
          <w:tblHeader/>
        </w:trPr>
        <w:tc>
          <w:tcPr>
            <w:tcW w:w="509" w:type="pct"/>
            <w:shd w:val="clear" w:color="auto" w:fill="BFBFBF" w:themeFill="background1" w:themeFillShade="BF"/>
            <w:tcMar>
              <w:left w:w="28" w:type="dxa"/>
              <w:right w:w="28" w:type="dxa"/>
            </w:tcMar>
          </w:tcPr>
          <w:p w:rsidR="00CC724D" w:rsidRPr="00061F78" w:rsidRDefault="00CC724D" w:rsidP="00F207DC">
            <w:pPr>
              <w:pStyle w:val="Tableheading"/>
              <w:rPr>
                <w:rFonts w:eastAsia="MS Mincho"/>
              </w:rPr>
            </w:pPr>
            <w:r>
              <w:rPr>
                <w:rFonts w:eastAsia="MS Mincho"/>
              </w:rPr>
              <w:t>Study</w:t>
            </w:r>
          </w:p>
        </w:tc>
        <w:tc>
          <w:tcPr>
            <w:tcW w:w="544" w:type="pct"/>
            <w:shd w:val="clear" w:color="auto" w:fill="BFBFBF" w:themeFill="background1" w:themeFillShade="BF"/>
          </w:tcPr>
          <w:p w:rsidR="00CC724D" w:rsidRDefault="00CC724D" w:rsidP="00F207DC">
            <w:pPr>
              <w:pStyle w:val="Tableheading"/>
              <w:jc w:val="center"/>
              <w:rPr>
                <w:rFonts w:eastAsia="MS Mincho"/>
              </w:rPr>
            </w:pPr>
            <w:r>
              <w:rPr>
                <w:rFonts w:eastAsia="MS Mincho"/>
              </w:rPr>
              <w:t>Study type</w:t>
            </w:r>
          </w:p>
        </w:tc>
        <w:tc>
          <w:tcPr>
            <w:tcW w:w="1051" w:type="pct"/>
            <w:shd w:val="clear" w:color="auto" w:fill="BFBFBF" w:themeFill="background1" w:themeFillShade="BF"/>
            <w:tcMar>
              <w:left w:w="28" w:type="dxa"/>
              <w:right w:w="28" w:type="dxa"/>
            </w:tcMar>
          </w:tcPr>
          <w:p w:rsidR="00CC724D" w:rsidRPr="00AE21E9" w:rsidRDefault="00CC724D" w:rsidP="00F207DC">
            <w:pPr>
              <w:pStyle w:val="Tableheading"/>
              <w:jc w:val="center"/>
              <w:rPr>
                <w:rFonts w:eastAsia="MS Mincho"/>
                <w:vertAlign w:val="superscript"/>
              </w:rPr>
            </w:pPr>
            <w:r>
              <w:rPr>
                <w:rFonts w:eastAsia="MS Mincho"/>
              </w:rPr>
              <w:t>N</w:t>
            </w:r>
            <w:r>
              <w:rPr>
                <w:rFonts w:eastAsia="MS Mincho"/>
                <w:vertAlign w:val="superscript"/>
              </w:rPr>
              <w:t>1</w:t>
            </w:r>
          </w:p>
        </w:tc>
        <w:tc>
          <w:tcPr>
            <w:tcW w:w="1112" w:type="pct"/>
            <w:shd w:val="clear" w:color="auto" w:fill="BFBFBF" w:themeFill="background1" w:themeFillShade="BF"/>
            <w:tcMar>
              <w:left w:w="28" w:type="dxa"/>
              <w:right w:w="28" w:type="dxa"/>
            </w:tcMar>
          </w:tcPr>
          <w:p w:rsidR="00CC724D" w:rsidRPr="00061F78" w:rsidRDefault="00CC724D" w:rsidP="00F207DC">
            <w:pPr>
              <w:pStyle w:val="Tableheading"/>
              <w:jc w:val="center"/>
              <w:rPr>
                <w:rFonts w:eastAsia="MS Mincho"/>
              </w:rPr>
            </w:pPr>
            <w:r w:rsidRPr="00061F78">
              <w:rPr>
                <w:rFonts w:eastAsia="MS Mincho"/>
              </w:rPr>
              <w:t>P</w:t>
            </w:r>
            <w:r>
              <w:rPr>
                <w:rFonts w:eastAsia="MS Mincho"/>
              </w:rPr>
              <w:t>opulation</w:t>
            </w:r>
          </w:p>
        </w:tc>
        <w:tc>
          <w:tcPr>
            <w:tcW w:w="1014" w:type="pct"/>
            <w:shd w:val="clear" w:color="auto" w:fill="BFBFBF" w:themeFill="background1" w:themeFillShade="BF"/>
          </w:tcPr>
          <w:p w:rsidR="00CC724D" w:rsidRDefault="00CC724D" w:rsidP="00F207DC">
            <w:pPr>
              <w:pStyle w:val="Tableheading"/>
              <w:jc w:val="center"/>
              <w:rPr>
                <w:rFonts w:eastAsia="MS Mincho"/>
              </w:rPr>
            </w:pPr>
            <w:r>
              <w:rPr>
                <w:rFonts w:eastAsia="MS Mincho"/>
              </w:rPr>
              <w:t>Intervention and comparator</w:t>
            </w:r>
          </w:p>
        </w:tc>
        <w:tc>
          <w:tcPr>
            <w:tcW w:w="770" w:type="pct"/>
            <w:shd w:val="clear" w:color="auto" w:fill="BFBFBF" w:themeFill="background1" w:themeFillShade="BF"/>
            <w:tcMar>
              <w:left w:w="28" w:type="dxa"/>
              <w:right w:w="28" w:type="dxa"/>
            </w:tcMar>
          </w:tcPr>
          <w:p w:rsidR="00CC724D" w:rsidRPr="00061F78" w:rsidRDefault="00CC724D" w:rsidP="00F207DC">
            <w:pPr>
              <w:pStyle w:val="Tableheading"/>
              <w:jc w:val="center"/>
              <w:rPr>
                <w:rFonts w:eastAsia="MS Mincho"/>
              </w:rPr>
            </w:pPr>
            <w:r>
              <w:rPr>
                <w:rFonts w:eastAsia="MS Mincho"/>
              </w:rPr>
              <w:t>Outcomes</w:t>
            </w:r>
          </w:p>
        </w:tc>
      </w:tr>
      <w:tr w:rsidR="00ED508B" w:rsidRPr="00061F78" w:rsidTr="008B6793">
        <w:trPr>
          <w:trHeight w:val="149"/>
        </w:trPr>
        <w:tc>
          <w:tcPr>
            <w:tcW w:w="509" w:type="pct"/>
            <w:tcMar>
              <w:left w:w="28" w:type="dxa"/>
              <w:right w:w="28" w:type="dxa"/>
            </w:tcMar>
          </w:tcPr>
          <w:p w:rsidR="00ED508B" w:rsidRDefault="00ED508B" w:rsidP="00F207DC">
            <w:pPr>
              <w:pStyle w:val="Tablewriting"/>
              <w:rPr>
                <w:rFonts w:eastAsia="MS Mincho"/>
              </w:rPr>
            </w:pPr>
            <w:r>
              <w:rPr>
                <w:rFonts w:eastAsia="MS Mincho"/>
              </w:rPr>
              <w:t>Lindson</w:t>
            </w:r>
          </w:p>
          <w:p w:rsidR="00ED508B" w:rsidRDefault="00ED508B" w:rsidP="00F207DC">
            <w:pPr>
              <w:pStyle w:val="Tablewriting"/>
              <w:rPr>
                <w:rFonts w:eastAsia="MS Mincho"/>
              </w:rPr>
            </w:pPr>
            <w:r>
              <w:rPr>
                <w:rFonts w:eastAsia="MS Mincho"/>
              </w:rPr>
              <w:t>(2019)</w:t>
            </w:r>
          </w:p>
        </w:tc>
        <w:tc>
          <w:tcPr>
            <w:tcW w:w="544" w:type="pct"/>
          </w:tcPr>
          <w:p w:rsidR="00ED508B" w:rsidRDefault="00ED508B" w:rsidP="00F207DC">
            <w:pPr>
              <w:pStyle w:val="Tablewriting"/>
              <w:rPr>
                <w:rFonts w:eastAsia="MS Mincho"/>
              </w:rPr>
            </w:pPr>
            <w:r>
              <w:rPr>
                <w:rFonts w:eastAsia="MS Mincho"/>
              </w:rPr>
              <w:t xml:space="preserve">Cochrane </w:t>
            </w:r>
            <w:r w:rsidR="009654FD">
              <w:rPr>
                <w:rFonts w:eastAsia="MS Mincho"/>
              </w:rPr>
              <w:t>R</w:t>
            </w:r>
            <w:r>
              <w:rPr>
                <w:rFonts w:eastAsia="MS Mincho"/>
              </w:rPr>
              <w:t>eview    (14 RCTs</w:t>
            </w:r>
            <w:r w:rsidRPr="00AB145F">
              <w:rPr>
                <w:rFonts w:eastAsia="MS Mincho"/>
                <w:vertAlign w:val="superscript"/>
              </w:rPr>
              <w:t>2</w:t>
            </w:r>
            <w:r>
              <w:rPr>
                <w:rFonts w:eastAsia="MS Mincho"/>
              </w:rPr>
              <w:t>)</w:t>
            </w:r>
          </w:p>
        </w:tc>
        <w:tc>
          <w:tcPr>
            <w:tcW w:w="1051" w:type="pct"/>
            <w:tcMar>
              <w:left w:w="28" w:type="dxa"/>
              <w:right w:w="28" w:type="dxa"/>
            </w:tcMar>
          </w:tcPr>
          <w:p w:rsidR="00ED508B" w:rsidRPr="001D2106" w:rsidRDefault="00ED508B" w:rsidP="00F207DC">
            <w:pPr>
              <w:pStyle w:val="Tablewriting"/>
              <w:rPr>
                <w:rFonts w:eastAsia="MS Mincho"/>
                <w:u w:val="single"/>
              </w:rPr>
            </w:pPr>
            <w:r>
              <w:rPr>
                <w:rFonts w:eastAsia="MS Mincho"/>
                <w:u w:val="single"/>
              </w:rPr>
              <w:t xml:space="preserve">Combination NRT versus </w:t>
            </w:r>
            <w:r w:rsidR="00F030E4">
              <w:rPr>
                <w:rFonts w:eastAsia="MS Mincho"/>
                <w:u w:val="single"/>
              </w:rPr>
              <w:t xml:space="preserve">NRT </w:t>
            </w:r>
            <w:r>
              <w:rPr>
                <w:rFonts w:eastAsia="MS Mincho"/>
                <w:u w:val="single"/>
              </w:rPr>
              <w:t>patch</w:t>
            </w:r>
          </w:p>
          <w:p w:rsidR="00ED508B" w:rsidRDefault="00ED508B" w:rsidP="00F207DC">
            <w:pPr>
              <w:pStyle w:val="Tablewriting"/>
              <w:rPr>
                <w:rFonts w:eastAsia="MS Mincho"/>
              </w:rPr>
            </w:pPr>
            <w:r>
              <w:rPr>
                <w:rFonts w:eastAsia="MS Mincho"/>
              </w:rPr>
              <w:t>N=8,992 (12 RCTs)</w:t>
            </w:r>
          </w:p>
          <w:p w:rsidR="00ED508B" w:rsidRDefault="00ED508B" w:rsidP="00F207DC">
            <w:pPr>
              <w:pStyle w:val="Tablewriting"/>
              <w:rPr>
                <w:rFonts w:eastAsia="MS Mincho"/>
              </w:rPr>
            </w:pPr>
            <w:r>
              <w:rPr>
                <w:rFonts w:eastAsia="MS Mincho"/>
              </w:rPr>
              <w:t>Combination NRT (n=4,306),</w:t>
            </w:r>
          </w:p>
          <w:p w:rsidR="00ED508B" w:rsidRDefault="00ED508B" w:rsidP="00F207DC">
            <w:pPr>
              <w:pStyle w:val="Tablewriting"/>
              <w:rPr>
                <w:rFonts w:eastAsia="MS Mincho"/>
              </w:rPr>
            </w:pPr>
            <w:r>
              <w:rPr>
                <w:rFonts w:eastAsia="MS Mincho"/>
              </w:rPr>
              <w:t>NRT patch (n=4,686)</w:t>
            </w:r>
          </w:p>
          <w:p w:rsidR="00ED508B" w:rsidRPr="001D2106" w:rsidRDefault="00ED508B" w:rsidP="00F207DC">
            <w:pPr>
              <w:pStyle w:val="Tablewriting"/>
              <w:rPr>
                <w:rFonts w:eastAsia="MS Mincho"/>
                <w:u w:val="single"/>
              </w:rPr>
            </w:pPr>
            <w:r>
              <w:rPr>
                <w:rFonts w:eastAsia="MS Mincho"/>
                <w:u w:val="single"/>
              </w:rPr>
              <w:t>Combination NRT</w:t>
            </w:r>
            <w:r w:rsidR="00F030E4">
              <w:rPr>
                <w:rFonts w:eastAsia="MS Mincho"/>
                <w:u w:val="single"/>
              </w:rPr>
              <w:t xml:space="preserve"> versus fast-acting NRT</w:t>
            </w:r>
          </w:p>
          <w:p w:rsidR="00ED508B" w:rsidRDefault="00ED508B" w:rsidP="00F207DC">
            <w:pPr>
              <w:pStyle w:val="Tablewriting"/>
              <w:rPr>
                <w:rFonts w:eastAsia="MS Mincho"/>
              </w:rPr>
            </w:pPr>
            <w:r>
              <w:rPr>
                <w:rFonts w:eastAsia="MS Mincho"/>
              </w:rPr>
              <w:t>N=2,364 (6 RCTs)</w:t>
            </w:r>
          </w:p>
          <w:p w:rsidR="00ED508B" w:rsidRDefault="00ED508B" w:rsidP="00F207DC">
            <w:pPr>
              <w:pStyle w:val="Tablewriting"/>
              <w:rPr>
                <w:rFonts w:eastAsia="MS Mincho"/>
              </w:rPr>
            </w:pPr>
            <w:r>
              <w:rPr>
                <w:rFonts w:eastAsia="MS Mincho"/>
              </w:rPr>
              <w:t>Combination NRT (n=912),</w:t>
            </w:r>
          </w:p>
          <w:p w:rsidR="00ED508B" w:rsidRDefault="00ED508B" w:rsidP="00F207DC">
            <w:pPr>
              <w:pStyle w:val="Tablewriting"/>
              <w:rPr>
                <w:rFonts w:eastAsia="MS Mincho"/>
              </w:rPr>
            </w:pPr>
            <w:r>
              <w:rPr>
                <w:rFonts w:eastAsia="MS Mincho"/>
              </w:rPr>
              <w:t>Fast-acting NRT (n=1,452)</w:t>
            </w:r>
          </w:p>
          <w:p w:rsidR="00ED508B" w:rsidRPr="004B359D" w:rsidRDefault="00ED508B" w:rsidP="00F207DC">
            <w:pPr>
              <w:pStyle w:val="Tablewriting"/>
              <w:rPr>
                <w:rFonts w:eastAsia="MS Mincho"/>
                <w:highlight w:val="yellow"/>
              </w:rPr>
            </w:pPr>
          </w:p>
        </w:tc>
        <w:tc>
          <w:tcPr>
            <w:tcW w:w="1112" w:type="pct"/>
            <w:tcMar>
              <w:left w:w="28" w:type="dxa"/>
              <w:right w:w="28" w:type="dxa"/>
            </w:tcMar>
          </w:tcPr>
          <w:p w:rsidR="00ED508B" w:rsidRPr="007B7C66" w:rsidRDefault="00ED508B" w:rsidP="00F207DC">
            <w:pPr>
              <w:pStyle w:val="Tablewriting"/>
              <w:rPr>
                <w:rFonts w:eastAsia="MS Mincho"/>
              </w:rPr>
            </w:pPr>
            <w:r w:rsidRPr="002C19B4">
              <w:rPr>
                <w:rFonts w:eastAsia="MS Mincho"/>
                <w:u w:val="single"/>
              </w:rPr>
              <w:t>Inclusion</w:t>
            </w:r>
            <w:r>
              <w:rPr>
                <w:rFonts w:eastAsia="MS Mincho"/>
              </w:rPr>
              <w:t xml:space="preserve">: </w:t>
            </w:r>
            <w:r w:rsidRPr="007B7C66">
              <w:rPr>
                <w:rFonts w:eastAsia="MS Mincho"/>
              </w:rPr>
              <w:t>men or women who smoked and were motivated to</w:t>
            </w:r>
          </w:p>
          <w:p w:rsidR="00ED508B" w:rsidRPr="007B7C66" w:rsidRDefault="00ED508B" w:rsidP="00F207DC">
            <w:pPr>
              <w:pStyle w:val="Tablewriting"/>
              <w:rPr>
                <w:rFonts w:eastAsia="MS Mincho"/>
              </w:rPr>
            </w:pPr>
            <w:r w:rsidRPr="007B7C66">
              <w:rPr>
                <w:rFonts w:eastAsia="MS Mincho"/>
              </w:rPr>
              <w:t>quit, irrespective of the setting from which they were recruited</w:t>
            </w:r>
          </w:p>
          <w:p w:rsidR="00ED508B" w:rsidRDefault="00ED508B" w:rsidP="00F207DC">
            <w:pPr>
              <w:pStyle w:val="Tablewriting"/>
              <w:rPr>
                <w:rFonts w:eastAsia="MS Mincho"/>
              </w:rPr>
            </w:pPr>
            <w:r w:rsidRPr="007B7C66">
              <w:rPr>
                <w:rFonts w:eastAsia="MS Mincho"/>
              </w:rPr>
              <w:t>or their initial level of nicotine dependence, or both</w:t>
            </w:r>
            <w:r>
              <w:rPr>
                <w:rFonts w:eastAsia="MS Mincho"/>
              </w:rPr>
              <w:t>.</w:t>
            </w:r>
          </w:p>
          <w:p w:rsidR="00ED508B" w:rsidRPr="00EA1E9A" w:rsidRDefault="00ED508B" w:rsidP="00F207DC">
            <w:pPr>
              <w:pStyle w:val="Tablewriting"/>
              <w:rPr>
                <w:rFonts w:eastAsia="MS Mincho"/>
                <w:highlight w:val="yellow"/>
              </w:rPr>
            </w:pPr>
            <w:r w:rsidRPr="002C19B4">
              <w:rPr>
                <w:rFonts w:eastAsia="MS Mincho"/>
                <w:u w:val="single"/>
              </w:rPr>
              <w:t>Exclusion</w:t>
            </w:r>
            <w:r>
              <w:rPr>
                <w:rFonts w:eastAsia="MS Mincho"/>
              </w:rPr>
              <w:t xml:space="preserve">: trials that </w:t>
            </w:r>
            <w:r w:rsidRPr="00D8489B">
              <w:rPr>
                <w:rFonts w:eastAsia="MS Mincho"/>
              </w:rPr>
              <w:t>randomi</w:t>
            </w:r>
            <w:r>
              <w:rPr>
                <w:rFonts w:eastAsia="MS Mincho"/>
              </w:rPr>
              <w:t>s</w:t>
            </w:r>
            <w:r w:rsidRPr="00D8489B">
              <w:rPr>
                <w:rFonts w:eastAsia="MS Mincho"/>
              </w:rPr>
              <w:t>ed physicians or other therapists to</w:t>
            </w:r>
            <w:r>
              <w:rPr>
                <w:rFonts w:eastAsia="MS Mincho"/>
              </w:rPr>
              <w:t xml:space="preserve"> </w:t>
            </w:r>
            <w:r w:rsidRPr="00D8489B">
              <w:rPr>
                <w:rFonts w:eastAsia="MS Mincho"/>
              </w:rPr>
              <w:t>receive an educational intervention, which included encouraging</w:t>
            </w:r>
            <w:r>
              <w:rPr>
                <w:rFonts w:eastAsia="MS Mincho"/>
              </w:rPr>
              <w:t xml:space="preserve"> </w:t>
            </w:r>
            <w:r w:rsidRPr="00D8489B">
              <w:rPr>
                <w:rFonts w:eastAsia="MS Mincho"/>
              </w:rPr>
              <w:t>their patients to use NRT</w:t>
            </w:r>
          </w:p>
        </w:tc>
        <w:tc>
          <w:tcPr>
            <w:tcW w:w="1014" w:type="pct"/>
          </w:tcPr>
          <w:p w:rsidR="00ED508B" w:rsidRPr="004B359D" w:rsidRDefault="00174F37" w:rsidP="00F207DC">
            <w:pPr>
              <w:pStyle w:val="Tablewriting"/>
              <w:rPr>
                <w:rFonts w:eastAsia="MS Mincho"/>
                <w:highlight w:val="yellow"/>
              </w:rPr>
            </w:pPr>
            <w:r w:rsidRPr="00174F37">
              <w:rPr>
                <w:rFonts w:eastAsia="MS Mincho"/>
              </w:rPr>
              <w:t>Combination NRT versus NRT monotherapy (patch or fast-acting)</w:t>
            </w:r>
          </w:p>
        </w:tc>
        <w:tc>
          <w:tcPr>
            <w:tcW w:w="770" w:type="pct"/>
            <w:tcMar>
              <w:left w:w="28" w:type="dxa"/>
              <w:right w:w="28" w:type="dxa"/>
            </w:tcMar>
          </w:tcPr>
          <w:p w:rsidR="00ED508B" w:rsidRDefault="00ED508B" w:rsidP="00F207DC">
            <w:pPr>
              <w:pStyle w:val="Tablewriting"/>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p>
          <w:p w:rsidR="00ED508B" w:rsidRPr="004B359D" w:rsidRDefault="00ED508B" w:rsidP="00F207DC">
            <w:pPr>
              <w:pStyle w:val="Tablewriting"/>
              <w:rPr>
                <w:rFonts w:eastAsia="MS Mincho"/>
                <w:highlight w:val="yellow"/>
                <w:u w:val="single"/>
              </w:rPr>
            </w:pPr>
            <w:r w:rsidRPr="0036499C">
              <w:rPr>
                <w:rFonts w:eastAsia="MS Mincho"/>
                <w:u w:val="single"/>
              </w:rPr>
              <w:t>Secondary</w:t>
            </w:r>
            <w:r>
              <w:rPr>
                <w:rFonts w:eastAsia="MS Mincho"/>
              </w:rPr>
              <w:t>: safety including cardiac adverse events, serious adverse events and withdrawals due to treatment</w:t>
            </w:r>
          </w:p>
        </w:tc>
      </w:tr>
      <w:tr w:rsidR="00C041B1" w:rsidRPr="00061F78" w:rsidTr="008B6793">
        <w:trPr>
          <w:trHeight w:val="149"/>
        </w:trPr>
        <w:tc>
          <w:tcPr>
            <w:tcW w:w="509" w:type="pct"/>
            <w:tcMar>
              <w:left w:w="28" w:type="dxa"/>
              <w:right w:w="28" w:type="dxa"/>
            </w:tcMar>
          </w:tcPr>
          <w:p w:rsidR="00C041B1" w:rsidRDefault="00C041B1" w:rsidP="00F207DC">
            <w:pPr>
              <w:pStyle w:val="Tablewriting"/>
              <w:rPr>
                <w:rFonts w:eastAsia="MS Mincho"/>
              </w:rPr>
            </w:pPr>
            <w:r>
              <w:rPr>
                <w:rFonts w:eastAsia="MS Mincho"/>
              </w:rPr>
              <w:t>Leung</w:t>
            </w:r>
          </w:p>
          <w:p w:rsidR="00C041B1" w:rsidRDefault="00C041B1" w:rsidP="00F207DC">
            <w:pPr>
              <w:pStyle w:val="Tablewriting"/>
              <w:rPr>
                <w:rFonts w:eastAsia="MS Mincho"/>
              </w:rPr>
            </w:pPr>
            <w:r>
              <w:rPr>
                <w:rFonts w:eastAsia="MS Mincho"/>
              </w:rPr>
              <w:t>(2019)</w:t>
            </w:r>
          </w:p>
        </w:tc>
        <w:tc>
          <w:tcPr>
            <w:tcW w:w="544" w:type="pct"/>
          </w:tcPr>
          <w:p w:rsidR="00C041B1" w:rsidRPr="005E64E8" w:rsidRDefault="00C041B1" w:rsidP="00F207DC">
            <w:pPr>
              <w:pStyle w:val="Tablewriting"/>
              <w:rPr>
                <w:rFonts w:eastAsia="MS Mincho"/>
                <w:vertAlign w:val="superscript"/>
              </w:rPr>
            </w:pPr>
            <w:r>
              <w:rPr>
                <w:rFonts w:eastAsia="MS Mincho"/>
              </w:rPr>
              <w:t>RCT</w:t>
            </w:r>
            <w:r w:rsidR="00C95A52">
              <w:rPr>
                <w:rFonts w:eastAsia="MS Mincho"/>
                <w:vertAlign w:val="superscript"/>
              </w:rPr>
              <w:t>3</w:t>
            </w:r>
          </w:p>
        </w:tc>
        <w:tc>
          <w:tcPr>
            <w:tcW w:w="1051" w:type="pct"/>
            <w:tcMar>
              <w:left w:w="28" w:type="dxa"/>
              <w:right w:w="28" w:type="dxa"/>
            </w:tcMar>
          </w:tcPr>
          <w:p w:rsidR="00C041B1" w:rsidRDefault="00C041B1" w:rsidP="00F207DC">
            <w:pPr>
              <w:pStyle w:val="Tablewriting"/>
              <w:rPr>
                <w:rFonts w:eastAsia="MS Mincho"/>
              </w:rPr>
            </w:pPr>
            <w:r>
              <w:rPr>
                <w:rFonts w:eastAsia="MS Mincho"/>
              </w:rPr>
              <w:t>N=560</w:t>
            </w:r>
          </w:p>
          <w:p w:rsidR="00C041B1" w:rsidRDefault="00C041B1" w:rsidP="00F207DC">
            <w:pPr>
              <w:pStyle w:val="Tablewriting"/>
              <w:rPr>
                <w:rFonts w:eastAsia="MS Mincho"/>
              </w:rPr>
            </w:pPr>
            <w:r>
              <w:rPr>
                <w:rFonts w:eastAsia="MS Mincho"/>
              </w:rPr>
              <w:t>NRT patch and gum (n=274),</w:t>
            </w:r>
          </w:p>
          <w:p w:rsidR="00C041B1" w:rsidRPr="00AC1662" w:rsidRDefault="00C041B1" w:rsidP="00F207DC">
            <w:pPr>
              <w:pStyle w:val="Tablewriting"/>
              <w:rPr>
                <w:rFonts w:eastAsia="MS Mincho"/>
              </w:rPr>
            </w:pPr>
            <w:r>
              <w:rPr>
                <w:rFonts w:eastAsia="MS Mincho"/>
              </w:rPr>
              <w:t>NRT patch alone (n=286)</w:t>
            </w:r>
          </w:p>
        </w:tc>
        <w:tc>
          <w:tcPr>
            <w:tcW w:w="1112" w:type="pct"/>
            <w:tcMar>
              <w:left w:w="28" w:type="dxa"/>
              <w:right w:w="28" w:type="dxa"/>
            </w:tcMar>
          </w:tcPr>
          <w:p w:rsidR="00C041B1" w:rsidRDefault="00C041B1" w:rsidP="00F207DC">
            <w:pPr>
              <w:pStyle w:val="Tablewriting"/>
              <w:rPr>
                <w:rFonts w:eastAsia="MS Mincho"/>
              </w:rPr>
            </w:pPr>
            <w:r>
              <w:rPr>
                <w:rFonts w:eastAsia="MS Mincho"/>
                <w:u w:val="single"/>
              </w:rPr>
              <w:t>Inclusion</w:t>
            </w:r>
            <w:r w:rsidRPr="007709D9">
              <w:rPr>
                <w:rFonts w:eastAsia="MS Mincho"/>
              </w:rPr>
              <w:t xml:space="preserve">: </w:t>
            </w:r>
            <w:r w:rsidR="005F2C44">
              <w:rPr>
                <w:rFonts w:eastAsia="MS Mincho"/>
              </w:rPr>
              <w:t>current smokers</w:t>
            </w:r>
            <w:r>
              <w:rPr>
                <w:rFonts w:eastAsia="MS Mincho"/>
              </w:rPr>
              <w:t xml:space="preserve">, </w:t>
            </w:r>
            <w:r w:rsidRPr="007709D9">
              <w:rPr>
                <w:rFonts w:eastAsia="MS Mincho"/>
              </w:rPr>
              <w:t>≥</w:t>
            </w:r>
            <w:r w:rsidR="005F2C44">
              <w:rPr>
                <w:rFonts w:eastAsia="MS Mincho"/>
              </w:rPr>
              <w:t>10</w:t>
            </w:r>
            <w:r>
              <w:rPr>
                <w:rFonts w:eastAsia="MS Mincho"/>
              </w:rPr>
              <w:t xml:space="preserve"> cigarettes per day</w:t>
            </w:r>
            <w:r w:rsidR="005F2C44">
              <w:rPr>
                <w:rFonts w:eastAsia="MS Mincho"/>
              </w:rPr>
              <w:t xml:space="preserve"> for at least 1 year</w:t>
            </w:r>
          </w:p>
          <w:p w:rsidR="00C041B1" w:rsidRPr="002C19B4" w:rsidRDefault="00C041B1" w:rsidP="00F207DC">
            <w:pPr>
              <w:pStyle w:val="Tablewriting"/>
              <w:rPr>
                <w:rFonts w:eastAsia="MS Mincho"/>
                <w:u w:val="single"/>
              </w:rPr>
            </w:pPr>
            <w:r>
              <w:rPr>
                <w:rFonts w:eastAsia="MS Mincho"/>
                <w:u w:val="single"/>
              </w:rPr>
              <w:t>Exclusion</w:t>
            </w:r>
            <w:r w:rsidRPr="007709D9">
              <w:rPr>
                <w:rFonts w:eastAsia="MS Mincho"/>
              </w:rPr>
              <w:t xml:space="preserve">: </w:t>
            </w:r>
            <w:r w:rsidR="0087780D">
              <w:rPr>
                <w:rFonts w:eastAsia="MS Mincho"/>
              </w:rPr>
              <w:t>s</w:t>
            </w:r>
            <w:r w:rsidR="0087780D" w:rsidRPr="0087780D">
              <w:rPr>
                <w:rFonts w:eastAsia="MS Mincho"/>
              </w:rPr>
              <w:t xml:space="preserve">mokers with unstable angina, severe cardiac arrhythmia, recent acute myocardial infarction or cerebrovascular </w:t>
            </w:r>
            <w:r w:rsidR="0087780D" w:rsidRPr="0087780D">
              <w:rPr>
                <w:rFonts w:eastAsia="MS Mincho"/>
              </w:rPr>
              <w:lastRenderedPageBreak/>
              <w:t>accident in preceding 3 months, below 18 years old, pregnant or breastfeeding, unable to use gum,</w:t>
            </w:r>
            <w:r w:rsidR="0087780D">
              <w:rPr>
                <w:rFonts w:eastAsia="MS Mincho"/>
              </w:rPr>
              <w:t xml:space="preserve"> </w:t>
            </w:r>
            <w:r w:rsidR="0087780D" w:rsidRPr="0087780D">
              <w:rPr>
                <w:rFonts w:eastAsia="MS Mincho"/>
              </w:rPr>
              <w:t>previous history of failure to NRT</w:t>
            </w:r>
          </w:p>
        </w:tc>
        <w:tc>
          <w:tcPr>
            <w:tcW w:w="1014" w:type="pct"/>
          </w:tcPr>
          <w:p w:rsidR="00C041B1" w:rsidRDefault="00FD016B" w:rsidP="00F207DC">
            <w:pPr>
              <w:pStyle w:val="Tablewriting"/>
              <w:rPr>
                <w:rFonts w:eastAsia="MS Mincho"/>
              </w:rPr>
            </w:pPr>
            <w:r>
              <w:rPr>
                <w:rFonts w:eastAsia="MS Mincho"/>
              </w:rPr>
              <w:lastRenderedPageBreak/>
              <w:t xml:space="preserve">Combination </w:t>
            </w:r>
            <w:r w:rsidR="00C041B1">
              <w:rPr>
                <w:rFonts w:eastAsia="MS Mincho"/>
              </w:rPr>
              <w:t>NRT:</w:t>
            </w:r>
            <w:r w:rsidR="00C041B1">
              <w:t xml:space="preserve"> </w:t>
            </w:r>
            <w:r w:rsidR="00771A9E">
              <w:t>8</w:t>
            </w:r>
            <w:r w:rsidR="00C041B1" w:rsidRPr="00CD358E">
              <w:rPr>
                <w:rFonts w:eastAsia="MS Mincho"/>
              </w:rPr>
              <w:t xml:space="preserve"> weeks of patches (</w:t>
            </w:r>
            <w:r w:rsidR="00771A9E">
              <w:rPr>
                <w:rFonts w:eastAsia="MS Mincho" w:cstheme="minorHAnsi"/>
              </w:rPr>
              <w:t>≥</w:t>
            </w:r>
            <w:r w:rsidR="00771A9E">
              <w:rPr>
                <w:rFonts w:eastAsia="MS Mincho"/>
              </w:rPr>
              <w:t xml:space="preserve">20 cigarettes per day: </w:t>
            </w:r>
            <w:r w:rsidR="00C041B1" w:rsidRPr="00CD358E">
              <w:rPr>
                <w:rFonts w:eastAsia="MS Mincho"/>
              </w:rPr>
              <w:t xml:space="preserve">21 mg for </w:t>
            </w:r>
            <w:r w:rsidR="00196FCA">
              <w:rPr>
                <w:rFonts w:eastAsia="MS Mincho"/>
              </w:rPr>
              <w:t>4</w:t>
            </w:r>
            <w:r w:rsidR="00C041B1" w:rsidRPr="00CD358E">
              <w:rPr>
                <w:rFonts w:eastAsia="MS Mincho"/>
              </w:rPr>
              <w:t xml:space="preserve"> weeks, 14 mg for 2 weeks, and 7 mg for 2 weeks</w:t>
            </w:r>
            <w:r w:rsidR="00196FCA">
              <w:rPr>
                <w:rFonts w:eastAsia="MS Mincho"/>
              </w:rPr>
              <w:t>; 10-19 cigarettes per day:</w:t>
            </w:r>
            <w:r w:rsidR="00756790" w:rsidRPr="00CD358E">
              <w:rPr>
                <w:rFonts w:eastAsia="MS Mincho"/>
              </w:rPr>
              <w:t xml:space="preserve"> 14 mg for </w:t>
            </w:r>
            <w:r w:rsidR="00756790">
              <w:rPr>
                <w:rFonts w:eastAsia="MS Mincho"/>
              </w:rPr>
              <w:t>4</w:t>
            </w:r>
            <w:r w:rsidR="00756790" w:rsidRPr="00CD358E">
              <w:rPr>
                <w:rFonts w:eastAsia="MS Mincho"/>
              </w:rPr>
              <w:t xml:space="preserve"> weeks, and 7 mg for </w:t>
            </w:r>
            <w:r w:rsidR="00756790">
              <w:rPr>
                <w:rFonts w:eastAsia="MS Mincho"/>
              </w:rPr>
              <w:t>4</w:t>
            </w:r>
            <w:r w:rsidR="00756790" w:rsidRPr="00CD358E">
              <w:rPr>
                <w:rFonts w:eastAsia="MS Mincho"/>
              </w:rPr>
              <w:t xml:space="preserve"> </w:t>
            </w:r>
            <w:r w:rsidR="00756790" w:rsidRPr="00CD358E">
              <w:rPr>
                <w:rFonts w:eastAsia="MS Mincho"/>
              </w:rPr>
              <w:lastRenderedPageBreak/>
              <w:t>weeks</w:t>
            </w:r>
            <w:r w:rsidR="00C041B1" w:rsidRPr="00CD358E">
              <w:rPr>
                <w:rFonts w:eastAsia="MS Mincho"/>
              </w:rPr>
              <w:t xml:space="preserve">) as well as </w:t>
            </w:r>
            <w:r w:rsidR="00756790">
              <w:rPr>
                <w:rFonts w:eastAsia="MS Mincho"/>
              </w:rPr>
              <w:t>2 mg gum every 1-2 hours when required</w:t>
            </w:r>
            <w:r w:rsidR="00707142">
              <w:rPr>
                <w:rFonts w:eastAsia="MS Mincho"/>
              </w:rPr>
              <w:t xml:space="preserve">; </w:t>
            </w:r>
            <w:r>
              <w:rPr>
                <w:rFonts w:eastAsia="MS Mincho"/>
              </w:rPr>
              <w:t>NRT alone</w:t>
            </w:r>
            <w:r w:rsidR="00C041B1">
              <w:rPr>
                <w:rFonts w:eastAsia="MS Mincho"/>
              </w:rPr>
              <w:t xml:space="preserve">: </w:t>
            </w:r>
            <w:r w:rsidR="00E226C4">
              <w:rPr>
                <w:rFonts w:eastAsia="MS Mincho"/>
              </w:rPr>
              <w:t xml:space="preserve">NRT patch, </w:t>
            </w:r>
            <w:r>
              <w:rPr>
                <w:rFonts w:eastAsia="MS Mincho"/>
              </w:rPr>
              <w:t>same regimen</w:t>
            </w:r>
          </w:p>
          <w:p w:rsidR="00C041B1" w:rsidRDefault="00C041B1" w:rsidP="00F207DC">
            <w:pPr>
              <w:pStyle w:val="Tablewriting"/>
              <w:rPr>
                <w:rFonts w:eastAsia="MS Mincho"/>
              </w:rPr>
            </w:pPr>
          </w:p>
          <w:p w:rsidR="00C041B1" w:rsidRPr="00174F37" w:rsidRDefault="00C041B1" w:rsidP="00F207DC">
            <w:pPr>
              <w:pStyle w:val="Tablewriting"/>
              <w:rPr>
                <w:rFonts w:eastAsia="MS Mincho"/>
              </w:rPr>
            </w:pPr>
            <w:r w:rsidRPr="006C01A1">
              <w:rPr>
                <w:rFonts w:eastAsia="MS Mincho"/>
              </w:rPr>
              <w:t>Behavioural support provided in both arms.</w:t>
            </w:r>
          </w:p>
        </w:tc>
        <w:tc>
          <w:tcPr>
            <w:tcW w:w="770" w:type="pct"/>
            <w:tcMar>
              <w:left w:w="28" w:type="dxa"/>
              <w:right w:w="28" w:type="dxa"/>
            </w:tcMar>
          </w:tcPr>
          <w:p w:rsidR="00C041B1" w:rsidRDefault="00C041B1" w:rsidP="00F207DC">
            <w:pPr>
              <w:pStyle w:val="Tablewriting"/>
              <w:rPr>
                <w:rFonts w:eastAsia="MS Mincho"/>
              </w:rPr>
            </w:pPr>
            <w:r w:rsidRPr="0036499C">
              <w:rPr>
                <w:rFonts w:eastAsia="MS Mincho"/>
                <w:u w:val="single"/>
              </w:rPr>
              <w:lastRenderedPageBreak/>
              <w:t>Primary</w:t>
            </w:r>
            <w:r>
              <w:rPr>
                <w:rFonts w:eastAsia="MS Mincho"/>
              </w:rPr>
              <w:t xml:space="preserve">: 7-day PPA at Week </w:t>
            </w:r>
            <w:r w:rsidR="00E226C4">
              <w:rPr>
                <w:rFonts w:eastAsia="MS Mincho"/>
              </w:rPr>
              <w:t>5</w:t>
            </w:r>
            <w:r>
              <w:rPr>
                <w:rFonts w:eastAsia="MS Mincho"/>
              </w:rPr>
              <w:t xml:space="preserve">2. Validated by CO </w:t>
            </w:r>
            <w:r w:rsidR="00D10CCD">
              <w:rPr>
                <w:rFonts w:eastAsia="MS Mincho" w:cstheme="minorHAnsi"/>
              </w:rPr>
              <w:t>≤</w:t>
            </w:r>
            <w:r w:rsidR="00D10CCD">
              <w:rPr>
                <w:rFonts w:eastAsia="MS Mincho"/>
              </w:rPr>
              <w:t>6</w:t>
            </w:r>
            <w:r>
              <w:rPr>
                <w:rFonts w:eastAsia="MS Mincho"/>
              </w:rPr>
              <w:t xml:space="preserve"> ppm.</w:t>
            </w:r>
          </w:p>
          <w:p w:rsidR="00C041B1" w:rsidRPr="0036499C" w:rsidRDefault="00C041B1" w:rsidP="00F207DC">
            <w:pPr>
              <w:pStyle w:val="Tablewriting"/>
              <w:rPr>
                <w:rFonts w:eastAsia="MS Mincho"/>
                <w:u w:val="single"/>
              </w:rPr>
            </w:pPr>
            <w:r w:rsidRPr="0036499C">
              <w:rPr>
                <w:rFonts w:eastAsia="MS Mincho"/>
                <w:u w:val="single"/>
              </w:rPr>
              <w:t>Secondary</w:t>
            </w:r>
            <w:r>
              <w:rPr>
                <w:rFonts w:eastAsia="MS Mincho"/>
              </w:rPr>
              <w:t>: 7-day PPA at</w:t>
            </w:r>
            <w:r w:rsidR="00D10CCD">
              <w:rPr>
                <w:rFonts w:eastAsia="MS Mincho"/>
              </w:rPr>
              <w:t xml:space="preserve"> Week</w:t>
            </w:r>
            <w:r>
              <w:rPr>
                <w:rFonts w:eastAsia="MS Mincho"/>
              </w:rPr>
              <w:t xml:space="preserve"> </w:t>
            </w:r>
            <w:r w:rsidR="00D10CCD">
              <w:rPr>
                <w:rFonts w:eastAsia="MS Mincho"/>
              </w:rPr>
              <w:t>4, 12 and 2</w:t>
            </w:r>
            <w:r>
              <w:rPr>
                <w:rFonts w:eastAsia="MS Mincho"/>
              </w:rPr>
              <w:t>6 (CO-</w:t>
            </w:r>
            <w:r>
              <w:rPr>
                <w:rFonts w:eastAsia="MS Mincho"/>
              </w:rPr>
              <w:lastRenderedPageBreak/>
              <w:t>validated), adverse events</w:t>
            </w:r>
          </w:p>
        </w:tc>
      </w:tr>
    </w:tbl>
    <w:p w:rsidR="0054145A" w:rsidRDefault="0054145A" w:rsidP="005E64E8">
      <w:pPr>
        <w:pStyle w:val="TableFooter"/>
        <w:rPr>
          <w:i/>
        </w:rPr>
      </w:pPr>
      <w:r>
        <w:lastRenderedPageBreak/>
        <w:t>Abbreviations: NRT = nicotine replacement therapy; RCT = randomised controlled trial</w:t>
      </w:r>
      <w:r w:rsidRPr="00061F78">
        <w:t xml:space="preserve"> </w:t>
      </w:r>
    </w:p>
    <w:p w:rsidR="0054145A" w:rsidRDefault="0054145A" w:rsidP="005E64E8">
      <w:pPr>
        <w:pStyle w:val="TableFooter"/>
      </w:pPr>
      <w:r>
        <w:t xml:space="preserve">1 Only the number of patients (n) in the relevant arms were included </w:t>
      </w:r>
    </w:p>
    <w:p w:rsidR="0054145A" w:rsidRPr="00061F78" w:rsidRDefault="0054145A" w:rsidP="005E64E8">
      <w:pPr>
        <w:pStyle w:val="TableFooter"/>
      </w:pPr>
      <w:r>
        <w:t xml:space="preserve">2 The characteristics of the individual studies comparing combination NRT with </w:t>
      </w:r>
      <w:r w:rsidR="003E17D5">
        <w:t>NRT monotherapy</w:t>
      </w:r>
      <w:r>
        <w:t xml:space="preserve"> included in </w:t>
      </w:r>
      <w:r w:rsidR="003E17D5">
        <w:t>Lindson</w:t>
      </w:r>
      <w:r>
        <w:t xml:space="preserve"> et al. (201</w:t>
      </w:r>
      <w:r w:rsidR="003E17D5">
        <w:t>9</w:t>
      </w:r>
      <w:r>
        <w:t xml:space="preserve">) are presented in </w:t>
      </w:r>
      <w:r w:rsidRPr="008B1DAA">
        <w:t>Appendix</w:t>
      </w:r>
      <w:r w:rsidR="003E17D5">
        <w:t xml:space="preserve"> </w:t>
      </w:r>
      <w:r w:rsidR="003C4A1C">
        <w:t xml:space="preserve">Table </w:t>
      </w:r>
      <w:r w:rsidR="003C4A1C">
        <w:rPr>
          <w:noProof/>
        </w:rPr>
        <w:t>156</w:t>
      </w:r>
      <w:r w:rsidR="00E5354F">
        <w:t>.</w:t>
      </w:r>
    </w:p>
    <w:p w:rsidR="00C95A52" w:rsidRPr="00061F78" w:rsidRDefault="00094EE9" w:rsidP="005E64E8">
      <w:pPr>
        <w:pStyle w:val="TableFooter"/>
      </w:pPr>
      <w:r>
        <w:t xml:space="preserve">3 </w:t>
      </w:r>
      <w:r w:rsidRPr="00094EE9">
        <w:t>In Leung et al. (2019), both the patients and counsellors were aware of treatment allocation (i.e. open-label study)</w:t>
      </w:r>
      <w:r w:rsidR="002F57E9">
        <w:t>.</w:t>
      </w:r>
    </w:p>
    <w:p w:rsidR="009C79C3" w:rsidRPr="009C79C3" w:rsidRDefault="009C79C3" w:rsidP="009C79C3">
      <w:pPr>
        <w:rPr>
          <w:u w:val="single"/>
        </w:rPr>
      </w:pPr>
      <w:r w:rsidRPr="009C79C3">
        <w:rPr>
          <w:u w:val="single"/>
        </w:rPr>
        <w:t>Efficacy</w:t>
      </w:r>
    </w:p>
    <w:p w:rsidR="00416C44" w:rsidRDefault="009C79C3" w:rsidP="009C79C3">
      <w:r>
        <w:t>A summary of the smoking cessation rates of at least six months follow-up</w:t>
      </w:r>
      <w:r w:rsidR="00707142">
        <w:t xml:space="preserve"> comparing combination NRT with NRT monotherapy</w:t>
      </w:r>
      <w:r>
        <w:t xml:space="preserve"> is presented in </w:t>
      </w:r>
      <w:r w:rsidR="003C4A1C">
        <w:t xml:space="preserve">Table </w:t>
      </w:r>
      <w:r w:rsidR="003C4A1C">
        <w:rPr>
          <w:noProof/>
        </w:rPr>
        <w:t>60</w:t>
      </w:r>
      <w:r>
        <w:t xml:space="preserve">. For the comparison of </w:t>
      </w:r>
      <w:r w:rsidR="00CF3E91">
        <w:t xml:space="preserve">combination </w:t>
      </w:r>
      <w:r>
        <w:t>NRT versus</w:t>
      </w:r>
      <w:r w:rsidR="00CF3E91">
        <w:t xml:space="preserve"> NRT </w:t>
      </w:r>
      <w:r w:rsidR="00573F59">
        <w:t>patches</w:t>
      </w:r>
      <w:r w:rsidR="00CF3E91">
        <w:t xml:space="preserve"> alone</w:t>
      </w:r>
      <w:r>
        <w:t xml:space="preserve">, </w:t>
      </w:r>
      <w:r w:rsidR="00CF3E91" w:rsidRPr="00CF3E91">
        <w:t xml:space="preserve">the results of the meta-analysis comprising </w:t>
      </w:r>
      <w:r w:rsidR="00CF3E91">
        <w:t>12</w:t>
      </w:r>
      <w:r w:rsidR="00CF3E91" w:rsidRPr="00CF3E91">
        <w:t xml:space="preserve"> RCTs by </w:t>
      </w:r>
      <w:r w:rsidR="00CF3E91">
        <w:t>Lindson</w:t>
      </w:r>
      <w:r w:rsidR="00CF3E91" w:rsidRPr="00CF3E91">
        <w:t xml:space="preserve"> et al. (201</w:t>
      </w:r>
      <w:r w:rsidR="00CF3E91">
        <w:t>9</w:t>
      </w:r>
      <w:r w:rsidR="00CF3E91" w:rsidRPr="00CF3E91">
        <w:t xml:space="preserve">) demonstrated a significantly higher rate of long-term smoking cessation with </w:t>
      </w:r>
      <w:r w:rsidR="00CF3E91">
        <w:t>combination NRT</w:t>
      </w:r>
      <w:r w:rsidR="00CF3E91" w:rsidRPr="00CF3E91">
        <w:t xml:space="preserve"> compared with </w:t>
      </w:r>
      <w:r w:rsidR="00573F59">
        <w:t>patches</w:t>
      </w:r>
      <w:r w:rsidR="007531A0">
        <w:t xml:space="preserve"> alone</w:t>
      </w:r>
      <w:r w:rsidR="00CF3E91" w:rsidRPr="00CF3E91">
        <w:t>.</w:t>
      </w:r>
      <w:r w:rsidR="007531A0">
        <w:t xml:space="preserve"> </w:t>
      </w:r>
      <w:r w:rsidR="00DB06A9">
        <w:t>The results of the updated re-analysis comprising 13 RCTs (including Leung et al. 2019) were consistent with the</w:t>
      </w:r>
      <w:r w:rsidR="00B80696">
        <w:t xml:space="preserve"> results from Lindson et al. (2019) (</w:t>
      </w:r>
      <w:r w:rsidR="00746A6D">
        <w:t>RR: 1.26, 95% CI: 1.11, 1.42).</w:t>
      </w:r>
    </w:p>
    <w:p w:rsidR="00416C44" w:rsidRDefault="00746A6D" w:rsidP="009C79C3">
      <w:r>
        <w:t>For the comparison of combination NRT versus fast-acting NRT</w:t>
      </w:r>
      <w:r w:rsidR="0007107B">
        <w:t xml:space="preserve">, </w:t>
      </w:r>
      <w:r w:rsidR="0007107B" w:rsidRPr="0007107B">
        <w:t xml:space="preserve">the results of the meta-analysis comprising </w:t>
      </w:r>
      <w:r w:rsidR="0007107B">
        <w:t>six</w:t>
      </w:r>
      <w:r w:rsidR="0007107B" w:rsidRPr="0007107B">
        <w:t xml:space="preserve"> RCTs demonstrated a significantly higher rate of long-term smoking cessation with </w:t>
      </w:r>
      <w:r w:rsidR="0015222F">
        <w:t xml:space="preserve">combination NRT </w:t>
      </w:r>
      <w:r w:rsidR="0007107B" w:rsidRPr="0007107B">
        <w:t xml:space="preserve">compared with </w:t>
      </w:r>
      <w:r w:rsidR="0015222F">
        <w:t>fast-acting NRT</w:t>
      </w:r>
      <w:r w:rsidR="005572C2">
        <w:t xml:space="preserve"> monotherapy</w:t>
      </w:r>
      <w:r w:rsidR="0007107B" w:rsidRPr="0007107B">
        <w:t>.</w:t>
      </w:r>
      <w:r w:rsidR="00A06B62">
        <w:t xml:space="preserve"> </w:t>
      </w:r>
    </w:p>
    <w:p w:rsidR="005144AD" w:rsidRDefault="00A06B62" w:rsidP="009C79C3">
      <w:r>
        <w:t xml:space="preserve">By pooling the two comparisons, </w:t>
      </w:r>
      <w:r w:rsidR="00397FED">
        <w:t xml:space="preserve">the results of the </w:t>
      </w:r>
      <w:r w:rsidR="00BA22BD">
        <w:t>updated re-analysis</w:t>
      </w:r>
      <w:r w:rsidR="00397FED">
        <w:t xml:space="preserve"> remained </w:t>
      </w:r>
      <w:r w:rsidRPr="00A06B62">
        <w:t>statistically significant</w:t>
      </w:r>
      <w:r w:rsidR="00CC7634">
        <w:t>ly</w:t>
      </w:r>
      <w:r w:rsidR="00FB3C3E">
        <w:t xml:space="preserve"> different, in favour of combination NRT</w:t>
      </w:r>
      <w:r w:rsidRPr="00A06B62">
        <w:t xml:space="preserve"> (</w:t>
      </w:r>
      <w:r w:rsidR="00FB3C3E" w:rsidRPr="00BA22BD">
        <w:t>R</w:t>
      </w:r>
      <w:r w:rsidRPr="00BA22BD">
        <w:t>R: 1.</w:t>
      </w:r>
      <w:r w:rsidR="00FB3C3E" w:rsidRPr="00BA22BD">
        <w:t>2</w:t>
      </w:r>
      <w:r w:rsidR="00BA22BD" w:rsidRPr="00BA22BD">
        <w:t>4</w:t>
      </w:r>
      <w:r w:rsidRPr="00BA22BD">
        <w:t>; 95% CI: 1.</w:t>
      </w:r>
      <w:r w:rsidR="00FB3C3E" w:rsidRPr="00BA22BD">
        <w:t>1</w:t>
      </w:r>
      <w:r w:rsidR="00BA22BD" w:rsidRPr="00BA22BD">
        <w:t>4</w:t>
      </w:r>
      <w:r w:rsidRPr="00BA22BD">
        <w:t xml:space="preserve">, </w:t>
      </w:r>
      <w:r w:rsidR="00FB3C3E" w:rsidRPr="00BA22BD">
        <w:t>1.3</w:t>
      </w:r>
      <w:r w:rsidR="00BA22BD" w:rsidRPr="00BA22BD">
        <w:t>5</w:t>
      </w:r>
      <w:r w:rsidRPr="00BA22BD">
        <w:t>).</w:t>
      </w:r>
      <w:r w:rsidR="00580945">
        <w:t xml:space="preserve"> The test </w:t>
      </w:r>
      <w:r w:rsidR="0054132C">
        <w:t>of interaction for subgroup effects was not statistically significant.</w:t>
      </w:r>
    </w:p>
    <w:p w:rsidR="00DA425A" w:rsidRDefault="00DA425A" w:rsidP="005144AD">
      <w:pPr>
        <w:pStyle w:val="Caption"/>
        <w:keepNext/>
      </w:pPr>
      <w:bookmarkStart w:id="145" w:name="_Ref55301003"/>
      <w:r>
        <w:lastRenderedPageBreak/>
        <w:t xml:space="preserve">Table </w:t>
      </w:r>
      <w:r w:rsidR="003C4A1C">
        <w:rPr>
          <w:noProof/>
        </w:rPr>
        <w:t>60</w:t>
      </w:r>
      <w:bookmarkEnd w:id="145"/>
      <w:r>
        <w:t xml:space="preserve">: </w:t>
      </w:r>
      <w:r w:rsidRPr="00A2689D">
        <w:t>Results of smoking cessation f</w:t>
      </w:r>
      <w:r w:rsidR="008A27A8">
        <w:t>or</w:t>
      </w:r>
      <w:r w:rsidRPr="00A2689D">
        <w:t xml:space="preserve"> at least six months follow-up, combination NRT versus </w:t>
      </w:r>
      <w:r w:rsidR="00704CE8">
        <w:t>NRT monotherapy</w:t>
      </w:r>
    </w:p>
    <w:tbl>
      <w:tblPr>
        <w:tblStyle w:val="TableGrid"/>
        <w:tblW w:w="5000" w:type="pct"/>
        <w:tblLook w:val="04A0" w:firstRow="1" w:lastRow="0" w:firstColumn="1" w:lastColumn="0" w:noHBand="0" w:noVBand="1"/>
        <w:tblCaption w:val="Efficacy results of adalimumab trials (PASI 75 and DLQI)"/>
      </w:tblPr>
      <w:tblGrid>
        <w:gridCol w:w="1299"/>
        <w:gridCol w:w="1659"/>
        <w:gridCol w:w="1533"/>
        <w:gridCol w:w="1535"/>
        <w:gridCol w:w="1535"/>
        <w:gridCol w:w="1455"/>
      </w:tblGrid>
      <w:tr w:rsidR="009C79C3" w:rsidRPr="00061F78" w:rsidTr="000708B4">
        <w:trPr>
          <w:cantSplit/>
          <w:trHeight w:val="299"/>
          <w:tblHeader/>
        </w:trPr>
        <w:tc>
          <w:tcPr>
            <w:tcW w:w="721" w:type="pct"/>
            <w:shd w:val="clear" w:color="auto" w:fill="BFBFBF" w:themeFill="background1" w:themeFillShade="BF"/>
            <w:tcMar>
              <w:left w:w="28" w:type="dxa"/>
              <w:right w:w="28" w:type="dxa"/>
            </w:tcMar>
          </w:tcPr>
          <w:p w:rsidR="009C79C3" w:rsidRPr="00061F78" w:rsidRDefault="009C79C3" w:rsidP="005144AD">
            <w:pPr>
              <w:pStyle w:val="Tableheading"/>
              <w:keepNext/>
              <w:rPr>
                <w:rFonts w:eastAsia="MS Mincho"/>
              </w:rPr>
            </w:pPr>
            <w:r>
              <w:rPr>
                <w:rFonts w:eastAsia="MS Mincho"/>
              </w:rPr>
              <w:t>Study</w:t>
            </w:r>
          </w:p>
        </w:tc>
        <w:tc>
          <w:tcPr>
            <w:tcW w:w="920" w:type="pct"/>
            <w:shd w:val="clear" w:color="auto" w:fill="BFBFBF" w:themeFill="background1" w:themeFillShade="BF"/>
            <w:vAlign w:val="center"/>
          </w:tcPr>
          <w:p w:rsidR="009C79C3" w:rsidRDefault="009C79C3" w:rsidP="005144AD">
            <w:pPr>
              <w:pStyle w:val="Tableheading"/>
              <w:keepNext/>
              <w:jc w:val="center"/>
              <w:rPr>
                <w:rFonts w:eastAsia="MS Mincho"/>
              </w:rPr>
            </w:pPr>
            <w:r>
              <w:rPr>
                <w:rFonts w:eastAsia="MS Mincho"/>
              </w:rPr>
              <w:t>Study type</w:t>
            </w:r>
          </w:p>
        </w:tc>
        <w:tc>
          <w:tcPr>
            <w:tcW w:w="850" w:type="pct"/>
            <w:shd w:val="clear" w:color="auto" w:fill="BFBFBF" w:themeFill="background1" w:themeFillShade="BF"/>
            <w:tcMar>
              <w:left w:w="28" w:type="dxa"/>
              <w:right w:w="28" w:type="dxa"/>
            </w:tcMar>
            <w:vAlign w:val="center"/>
          </w:tcPr>
          <w:p w:rsidR="009C79C3" w:rsidRPr="00061F78" w:rsidRDefault="009C79C3" w:rsidP="005144AD">
            <w:pPr>
              <w:pStyle w:val="Tableheading"/>
              <w:keepNext/>
              <w:jc w:val="center"/>
              <w:rPr>
                <w:rFonts w:eastAsia="MS Mincho"/>
              </w:rPr>
            </w:pPr>
            <w:r>
              <w:rPr>
                <w:rFonts w:eastAsia="MS Mincho"/>
              </w:rPr>
              <w:t>Combination NRT</w:t>
            </w:r>
          </w:p>
        </w:tc>
        <w:tc>
          <w:tcPr>
            <w:tcW w:w="851" w:type="pct"/>
            <w:shd w:val="clear" w:color="auto" w:fill="BFBFBF" w:themeFill="background1" w:themeFillShade="BF"/>
            <w:tcMar>
              <w:left w:w="28" w:type="dxa"/>
              <w:right w:w="28" w:type="dxa"/>
            </w:tcMar>
            <w:vAlign w:val="center"/>
          </w:tcPr>
          <w:p w:rsidR="009C79C3" w:rsidRPr="00061F78" w:rsidRDefault="00F62C02" w:rsidP="005144AD">
            <w:pPr>
              <w:pStyle w:val="Tableheading"/>
              <w:keepNext/>
              <w:jc w:val="center"/>
              <w:rPr>
                <w:rFonts w:eastAsia="MS Mincho"/>
              </w:rPr>
            </w:pPr>
            <w:r>
              <w:rPr>
                <w:rFonts w:eastAsia="MS Mincho"/>
              </w:rPr>
              <w:t>NRT monotherapy</w:t>
            </w:r>
          </w:p>
        </w:tc>
        <w:tc>
          <w:tcPr>
            <w:tcW w:w="851" w:type="pct"/>
            <w:shd w:val="clear" w:color="auto" w:fill="BFBFBF" w:themeFill="background1" w:themeFillShade="BF"/>
            <w:tcMar>
              <w:left w:w="28" w:type="dxa"/>
              <w:right w:w="28" w:type="dxa"/>
            </w:tcMar>
            <w:vAlign w:val="center"/>
          </w:tcPr>
          <w:p w:rsidR="009C79C3" w:rsidRPr="00704CE8" w:rsidRDefault="009C79C3" w:rsidP="005144AD">
            <w:pPr>
              <w:pStyle w:val="Tableheading"/>
              <w:keepNext/>
              <w:jc w:val="center"/>
              <w:rPr>
                <w:rFonts w:eastAsia="MS Mincho"/>
                <w:vertAlign w:val="superscript"/>
              </w:rPr>
            </w:pPr>
            <w:r>
              <w:rPr>
                <w:rFonts w:eastAsia="MS Mincho"/>
              </w:rPr>
              <w:t>RR (95% CI)</w:t>
            </w:r>
          </w:p>
        </w:tc>
        <w:tc>
          <w:tcPr>
            <w:tcW w:w="807" w:type="pct"/>
            <w:shd w:val="clear" w:color="auto" w:fill="BFBFBF" w:themeFill="background1" w:themeFillShade="BF"/>
            <w:vAlign w:val="center"/>
          </w:tcPr>
          <w:p w:rsidR="009C79C3" w:rsidRDefault="009C79C3" w:rsidP="005144AD">
            <w:pPr>
              <w:pStyle w:val="Tableheading"/>
              <w:keepNext/>
              <w:jc w:val="center"/>
              <w:rPr>
                <w:rFonts w:eastAsia="MS Mincho"/>
              </w:rPr>
            </w:pPr>
            <w:r>
              <w:rPr>
                <w:rFonts w:eastAsia="MS Mincho"/>
              </w:rPr>
              <w:t>RD (95% CI)</w:t>
            </w:r>
          </w:p>
        </w:tc>
      </w:tr>
      <w:tr w:rsidR="009C79C3" w:rsidRPr="00061F78" w:rsidTr="004B53F8">
        <w:trPr>
          <w:cantSplit/>
          <w:trHeight w:val="99"/>
        </w:trPr>
        <w:tc>
          <w:tcPr>
            <w:tcW w:w="5000" w:type="pct"/>
            <w:gridSpan w:val="6"/>
            <w:shd w:val="clear" w:color="auto" w:fill="auto"/>
            <w:tcMar>
              <w:left w:w="28" w:type="dxa"/>
              <w:right w:w="28" w:type="dxa"/>
            </w:tcMar>
          </w:tcPr>
          <w:p w:rsidR="009C79C3" w:rsidRPr="004B53F8" w:rsidRDefault="00F62C02" w:rsidP="005144AD">
            <w:pPr>
              <w:pStyle w:val="Tablewriting"/>
              <w:keepNext/>
              <w:rPr>
                <w:rFonts w:eastAsia="MS Mincho"/>
                <w:b/>
                <w:bCs/>
              </w:rPr>
            </w:pPr>
            <w:r w:rsidRPr="004B53F8">
              <w:rPr>
                <w:rFonts w:eastAsia="MS Mincho"/>
                <w:b/>
                <w:bCs/>
              </w:rPr>
              <w:t xml:space="preserve">Combination </w:t>
            </w:r>
            <w:r w:rsidR="009C79C3" w:rsidRPr="004B53F8">
              <w:rPr>
                <w:rFonts w:eastAsia="MS Mincho"/>
                <w:b/>
                <w:bCs/>
              </w:rPr>
              <w:t xml:space="preserve">NRT </w:t>
            </w:r>
            <w:r w:rsidRPr="004B53F8">
              <w:rPr>
                <w:rFonts w:eastAsia="MS Mincho"/>
                <w:b/>
                <w:bCs/>
              </w:rPr>
              <w:t>versus patch alone</w:t>
            </w:r>
          </w:p>
        </w:tc>
      </w:tr>
      <w:tr w:rsidR="009C79C3" w:rsidRPr="00061F78" w:rsidTr="000708B4">
        <w:trPr>
          <w:cantSplit/>
          <w:trHeight w:val="99"/>
        </w:trPr>
        <w:tc>
          <w:tcPr>
            <w:tcW w:w="721" w:type="pct"/>
            <w:shd w:val="clear" w:color="auto" w:fill="auto"/>
            <w:tcMar>
              <w:left w:w="28" w:type="dxa"/>
              <w:right w:w="28" w:type="dxa"/>
            </w:tcMar>
          </w:tcPr>
          <w:p w:rsidR="009C79C3" w:rsidRDefault="00F62C02" w:rsidP="005144AD">
            <w:pPr>
              <w:pStyle w:val="Tablewriting"/>
              <w:keepNext/>
              <w:rPr>
                <w:rFonts w:eastAsia="MS Mincho"/>
              </w:rPr>
            </w:pPr>
            <w:r>
              <w:rPr>
                <w:rFonts w:eastAsia="MS Mincho"/>
              </w:rPr>
              <w:t>Lindson</w:t>
            </w:r>
          </w:p>
          <w:p w:rsidR="009C79C3" w:rsidRPr="00251B64" w:rsidRDefault="009C79C3" w:rsidP="005144AD">
            <w:pPr>
              <w:pStyle w:val="Tablewriting"/>
              <w:keepNext/>
              <w:rPr>
                <w:rFonts w:eastAsia="MS Mincho"/>
              </w:rPr>
            </w:pPr>
            <w:r w:rsidRPr="00251B64">
              <w:rPr>
                <w:rFonts w:eastAsia="MS Mincho"/>
              </w:rPr>
              <w:t>(</w:t>
            </w:r>
            <w:r>
              <w:rPr>
                <w:rFonts w:eastAsia="MS Mincho"/>
              </w:rPr>
              <w:t>20</w:t>
            </w:r>
            <w:r w:rsidR="00F62C02">
              <w:rPr>
                <w:rFonts w:eastAsia="MS Mincho"/>
              </w:rPr>
              <w:t>1</w:t>
            </w:r>
            <w:r>
              <w:rPr>
                <w:rFonts w:eastAsia="MS Mincho"/>
              </w:rPr>
              <w:t>9</w:t>
            </w:r>
            <w:r w:rsidRPr="00251B64">
              <w:rPr>
                <w:rFonts w:eastAsia="MS Mincho"/>
              </w:rPr>
              <w:t>)</w:t>
            </w:r>
            <w:r w:rsidRPr="00251B64">
              <w:rPr>
                <w:rFonts w:eastAsia="MS Mincho"/>
                <w:vertAlign w:val="superscript"/>
              </w:rPr>
              <w:t>1</w:t>
            </w:r>
            <w:r w:rsidR="00133E66">
              <w:rPr>
                <w:rFonts w:eastAsia="MS Mincho"/>
                <w:vertAlign w:val="superscript"/>
              </w:rPr>
              <w:t>,2</w:t>
            </w:r>
            <w:r w:rsidRPr="00251B64">
              <w:rPr>
                <w:rFonts w:eastAsia="MS Mincho"/>
              </w:rPr>
              <w:t xml:space="preserve"> </w:t>
            </w:r>
          </w:p>
        </w:tc>
        <w:tc>
          <w:tcPr>
            <w:tcW w:w="920" w:type="pct"/>
            <w:shd w:val="clear" w:color="auto" w:fill="auto"/>
            <w:vAlign w:val="center"/>
          </w:tcPr>
          <w:p w:rsidR="00F62C02" w:rsidRDefault="00F62C02" w:rsidP="005144AD">
            <w:pPr>
              <w:pStyle w:val="Tablewriting"/>
              <w:keepNext/>
              <w:jc w:val="center"/>
              <w:rPr>
                <w:rFonts w:eastAsia="MS Mincho"/>
              </w:rPr>
            </w:pPr>
            <w:r>
              <w:rPr>
                <w:rFonts w:eastAsia="MS Mincho"/>
              </w:rPr>
              <w:t>Cochrane Review</w:t>
            </w:r>
          </w:p>
          <w:p w:rsidR="009C79C3" w:rsidRPr="00251B64" w:rsidRDefault="00F62C02" w:rsidP="005144AD">
            <w:pPr>
              <w:pStyle w:val="Tablewriting"/>
              <w:keepNext/>
              <w:jc w:val="center"/>
              <w:rPr>
                <w:rFonts w:eastAsia="MS Mincho"/>
              </w:rPr>
            </w:pPr>
            <w:r>
              <w:rPr>
                <w:rFonts w:eastAsia="MS Mincho"/>
              </w:rPr>
              <w:t>(</w:t>
            </w:r>
            <w:r w:rsidR="0007413C">
              <w:rPr>
                <w:rFonts w:eastAsia="MS Mincho"/>
              </w:rPr>
              <w:t xml:space="preserve">12 </w:t>
            </w:r>
            <w:r w:rsidR="009C79C3" w:rsidRPr="00251B64">
              <w:rPr>
                <w:rFonts w:eastAsia="MS Mincho"/>
              </w:rPr>
              <w:t>RCT</w:t>
            </w:r>
            <w:r w:rsidR="0007413C">
              <w:rPr>
                <w:rFonts w:eastAsia="MS Mincho"/>
              </w:rPr>
              <w:t>s)</w:t>
            </w:r>
          </w:p>
        </w:tc>
        <w:tc>
          <w:tcPr>
            <w:tcW w:w="850" w:type="pct"/>
            <w:shd w:val="clear" w:color="auto" w:fill="auto"/>
            <w:tcMar>
              <w:left w:w="28" w:type="dxa"/>
              <w:right w:w="28" w:type="dxa"/>
            </w:tcMar>
            <w:vAlign w:val="center"/>
          </w:tcPr>
          <w:p w:rsidR="009C79C3" w:rsidRPr="00251B64" w:rsidRDefault="0007413C" w:rsidP="005144AD">
            <w:pPr>
              <w:pStyle w:val="Tablewriting"/>
              <w:keepNext/>
              <w:jc w:val="center"/>
              <w:rPr>
                <w:rFonts w:eastAsia="MS Mincho"/>
                <w:vertAlign w:val="superscript"/>
              </w:rPr>
            </w:pPr>
            <w:r>
              <w:rPr>
                <w:rFonts w:eastAsia="MS Mincho"/>
              </w:rPr>
              <w:t>691</w:t>
            </w:r>
            <w:r w:rsidR="009C79C3" w:rsidRPr="00251B64">
              <w:rPr>
                <w:rFonts w:eastAsia="MS Mincho"/>
              </w:rPr>
              <w:t>/</w:t>
            </w:r>
            <w:r w:rsidR="000708C6">
              <w:rPr>
                <w:rFonts w:eastAsia="MS Mincho"/>
              </w:rPr>
              <w:t>4,306</w:t>
            </w:r>
          </w:p>
          <w:p w:rsidR="009C79C3" w:rsidRPr="00251B64" w:rsidRDefault="009C79C3" w:rsidP="005144AD">
            <w:pPr>
              <w:pStyle w:val="Tablewriting"/>
              <w:keepNext/>
              <w:jc w:val="center"/>
              <w:rPr>
                <w:rFonts w:eastAsia="MS Mincho"/>
              </w:rPr>
            </w:pPr>
            <w:r w:rsidRPr="00251B64">
              <w:rPr>
                <w:rFonts w:eastAsia="MS Mincho"/>
              </w:rPr>
              <w:t>(</w:t>
            </w:r>
            <w:r w:rsidR="00464D22">
              <w:rPr>
                <w:rFonts w:eastAsia="MS Mincho"/>
              </w:rPr>
              <w:t>16.0</w:t>
            </w:r>
            <w:r w:rsidRPr="00251B64">
              <w:rPr>
                <w:rFonts w:eastAsia="MS Mincho"/>
              </w:rPr>
              <w:t>%)</w:t>
            </w:r>
          </w:p>
        </w:tc>
        <w:tc>
          <w:tcPr>
            <w:tcW w:w="851" w:type="pct"/>
            <w:shd w:val="clear" w:color="auto" w:fill="auto"/>
            <w:tcMar>
              <w:left w:w="28" w:type="dxa"/>
              <w:right w:w="28" w:type="dxa"/>
            </w:tcMar>
            <w:vAlign w:val="center"/>
          </w:tcPr>
          <w:p w:rsidR="009C79C3" w:rsidRPr="006F3FC8" w:rsidRDefault="000708C6" w:rsidP="005144AD">
            <w:pPr>
              <w:pStyle w:val="Tablewriting"/>
              <w:keepNext/>
              <w:jc w:val="center"/>
              <w:rPr>
                <w:rFonts w:eastAsia="MS Mincho"/>
                <w:vertAlign w:val="superscript"/>
              </w:rPr>
            </w:pPr>
            <w:r>
              <w:rPr>
                <w:rFonts w:eastAsia="MS Mincho"/>
              </w:rPr>
              <w:t>621</w:t>
            </w:r>
            <w:r w:rsidR="009C79C3" w:rsidRPr="00251B64">
              <w:rPr>
                <w:rFonts w:eastAsia="MS Mincho"/>
              </w:rPr>
              <w:t>/</w:t>
            </w:r>
            <w:r>
              <w:rPr>
                <w:rFonts w:eastAsia="MS Mincho"/>
              </w:rPr>
              <w:t>4,686</w:t>
            </w:r>
          </w:p>
          <w:p w:rsidR="009C79C3" w:rsidRPr="00251B64" w:rsidRDefault="009C79C3" w:rsidP="005144AD">
            <w:pPr>
              <w:pStyle w:val="Tablewriting"/>
              <w:keepNext/>
              <w:jc w:val="center"/>
              <w:rPr>
                <w:rFonts w:eastAsia="MS Mincho"/>
              </w:rPr>
            </w:pPr>
            <w:r w:rsidRPr="00251B64">
              <w:rPr>
                <w:rFonts w:eastAsia="MS Mincho"/>
              </w:rPr>
              <w:t>(</w:t>
            </w:r>
            <w:r w:rsidR="00552062">
              <w:rPr>
                <w:rFonts w:eastAsia="MS Mincho"/>
              </w:rPr>
              <w:t>13.3</w:t>
            </w:r>
            <w:r w:rsidRPr="00251B64">
              <w:rPr>
                <w:rFonts w:eastAsia="MS Mincho"/>
              </w:rPr>
              <w:t>%)</w:t>
            </w:r>
          </w:p>
        </w:tc>
        <w:tc>
          <w:tcPr>
            <w:tcW w:w="851" w:type="pct"/>
            <w:shd w:val="clear" w:color="auto" w:fill="auto"/>
            <w:tcMar>
              <w:left w:w="28" w:type="dxa"/>
              <w:right w:w="28" w:type="dxa"/>
            </w:tcMar>
            <w:vAlign w:val="center"/>
          </w:tcPr>
          <w:p w:rsidR="009C79C3" w:rsidRPr="006A5716" w:rsidRDefault="006A5716" w:rsidP="005144AD">
            <w:pPr>
              <w:pStyle w:val="Tablewriting"/>
              <w:keepNext/>
              <w:jc w:val="center"/>
              <w:rPr>
                <w:rFonts w:eastAsia="MS Mincho"/>
                <w:b/>
                <w:bCs/>
              </w:rPr>
            </w:pPr>
            <w:r>
              <w:rPr>
                <w:rFonts w:eastAsia="MS Mincho"/>
                <w:b/>
                <w:bCs/>
              </w:rPr>
              <w:t>1.23</w:t>
            </w:r>
          </w:p>
          <w:p w:rsidR="009C79C3" w:rsidRPr="00D56406" w:rsidRDefault="009C79C3" w:rsidP="005144AD">
            <w:pPr>
              <w:pStyle w:val="Tablewriting"/>
              <w:keepNext/>
              <w:jc w:val="center"/>
              <w:rPr>
                <w:rFonts w:eastAsia="MS Mincho"/>
              </w:rPr>
            </w:pPr>
            <w:r w:rsidRPr="009D16D9">
              <w:rPr>
                <w:rFonts w:eastAsia="MS Mincho"/>
                <w:b/>
                <w:bCs/>
              </w:rPr>
              <w:t>(1</w:t>
            </w:r>
            <w:r w:rsidR="006A5716">
              <w:rPr>
                <w:rFonts w:eastAsia="MS Mincho"/>
                <w:b/>
                <w:bCs/>
              </w:rPr>
              <w:t>.12</w:t>
            </w:r>
            <w:r w:rsidRPr="009D16D9">
              <w:rPr>
                <w:rFonts w:eastAsia="MS Mincho"/>
                <w:b/>
                <w:bCs/>
              </w:rPr>
              <w:t xml:space="preserve">, </w:t>
            </w:r>
            <w:r w:rsidR="006A5716">
              <w:rPr>
                <w:rFonts w:eastAsia="MS Mincho"/>
                <w:b/>
                <w:bCs/>
              </w:rPr>
              <w:t>1.36</w:t>
            </w:r>
            <w:r w:rsidRPr="009D16D9">
              <w:rPr>
                <w:rFonts w:eastAsia="MS Mincho"/>
                <w:b/>
                <w:bCs/>
              </w:rPr>
              <w:t>)</w:t>
            </w:r>
          </w:p>
        </w:tc>
        <w:tc>
          <w:tcPr>
            <w:tcW w:w="807" w:type="pct"/>
            <w:shd w:val="clear" w:color="auto" w:fill="auto"/>
            <w:vAlign w:val="center"/>
          </w:tcPr>
          <w:p w:rsidR="009C79C3" w:rsidRPr="00D56406" w:rsidRDefault="00133E66" w:rsidP="005144AD">
            <w:pPr>
              <w:pStyle w:val="Tablewriting"/>
              <w:keepNext/>
              <w:jc w:val="center"/>
              <w:rPr>
                <w:rFonts w:eastAsia="MS Mincho"/>
              </w:rPr>
            </w:pPr>
            <w:r>
              <w:rPr>
                <w:rFonts w:eastAsia="MS Mincho"/>
              </w:rPr>
              <w:t>NR</w:t>
            </w:r>
          </w:p>
        </w:tc>
      </w:tr>
      <w:tr w:rsidR="00B67F26" w:rsidRPr="00061F78" w:rsidTr="000708B4">
        <w:trPr>
          <w:cantSplit/>
          <w:trHeight w:val="99"/>
        </w:trPr>
        <w:tc>
          <w:tcPr>
            <w:tcW w:w="721" w:type="pct"/>
            <w:shd w:val="clear" w:color="auto" w:fill="auto"/>
            <w:tcMar>
              <w:left w:w="28" w:type="dxa"/>
              <w:right w:w="28" w:type="dxa"/>
            </w:tcMar>
          </w:tcPr>
          <w:p w:rsidR="00B67F26" w:rsidRDefault="00B67F26" w:rsidP="005144AD">
            <w:pPr>
              <w:pStyle w:val="Tablewriting"/>
              <w:keepNext/>
              <w:rPr>
                <w:rFonts w:eastAsia="MS Mincho"/>
              </w:rPr>
            </w:pPr>
            <w:r>
              <w:rPr>
                <w:rFonts w:eastAsia="MS Mincho"/>
              </w:rPr>
              <w:t>Leung</w:t>
            </w:r>
          </w:p>
          <w:p w:rsidR="00B67F26" w:rsidRDefault="00B67F26" w:rsidP="005144AD">
            <w:pPr>
              <w:pStyle w:val="Tablewriting"/>
              <w:keepNext/>
              <w:rPr>
                <w:rFonts w:eastAsia="MS Mincho"/>
              </w:rPr>
            </w:pPr>
            <w:r>
              <w:rPr>
                <w:rFonts w:eastAsia="MS Mincho"/>
              </w:rPr>
              <w:t>(2019)</w:t>
            </w:r>
          </w:p>
        </w:tc>
        <w:tc>
          <w:tcPr>
            <w:tcW w:w="920" w:type="pct"/>
            <w:shd w:val="clear" w:color="auto" w:fill="auto"/>
            <w:vAlign w:val="center"/>
          </w:tcPr>
          <w:p w:rsidR="00B67F26" w:rsidRDefault="00B67F26" w:rsidP="005144AD">
            <w:pPr>
              <w:pStyle w:val="Tablewriting"/>
              <w:keepNext/>
              <w:jc w:val="center"/>
              <w:rPr>
                <w:rFonts w:eastAsia="MS Mincho"/>
              </w:rPr>
            </w:pPr>
            <w:r>
              <w:rPr>
                <w:rFonts w:eastAsia="MS Mincho"/>
              </w:rPr>
              <w:t>RCT</w:t>
            </w:r>
          </w:p>
        </w:tc>
        <w:tc>
          <w:tcPr>
            <w:tcW w:w="850" w:type="pct"/>
            <w:shd w:val="clear" w:color="auto" w:fill="auto"/>
            <w:tcMar>
              <w:left w:w="28" w:type="dxa"/>
              <w:right w:w="28" w:type="dxa"/>
            </w:tcMar>
            <w:vAlign w:val="center"/>
          </w:tcPr>
          <w:p w:rsidR="00B67F26" w:rsidRDefault="00B67F26" w:rsidP="005144AD">
            <w:pPr>
              <w:pStyle w:val="Tablewriting"/>
              <w:keepNext/>
              <w:jc w:val="center"/>
              <w:rPr>
                <w:rFonts w:eastAsia="MS Mincho"/>
              </w:rPr>
            </w:pPr>
            <w:r>
              <w:rPr>
                <w:rFonts w:eastAsia="MS Mincho"/>
              </w:rPr>
              <w:t>55/274</w:t>
            </w:r>
          </w:p>
          <w:p w:rsidR="00B67F26" w:rsidRDefault="00B67F26" w:rsidP="005144AD">
            <w:pPr>
              <w:pStyle w:val="Tablewriting"/>
              <w:keepNext/>
              <w:jc w:val="center"/>
              <w:rPr>
                <w:rFonts w:eastAsia="MS Mincho"/>
              </w:rPr>
            </w:pPr>
            <w:r>
              <w:rPr>
                <w:rFonts w:eastAsia="MS Mincho"/>
              </w:rPr>
              <w:t>(</w:t>
            </w:r>
            <w:r w:rsidR="000B3CA3">
              <w:rPr>
                <w:rFonts w:eastAsia="MS Mincho"/>
              </w:rPr>
              <w:t>20.1</w:t>
            </w:r>
            <w:r>
              <w:rPr>
                <w:rFonts w:eastAsia="MS Mincho"/>
              </w:rPr>
              <w:t>%)</w:t>
            </w:r>
          </w:p>
        </w:tc>
        <w:tc>
          <w:tcPr>
            <w:tcW w:w="851" w:type="pct"/>
            <w:shd w:val="clear" w:color="auto" w:fill="auto"/>
            <w:tcMar>
              <w:left w:w="28" w:type="dxa"/>
              <w:right w:w="28" w:type="dxa"/>
            </w:tcMar>
            <w:vAlign w:val="center"/>
          </w:tcPr>
          <w:p w:rsidR="00B67F26" w:rsidRDefault="00B67F26" w:rsidP="005144AD">
            <w:pPr>
              <w:pStyle w:val="Tablewriting"/>
              <w:keepNext/>
              <w:jc w:val="center"/>
              <w:rPr>
                <w:rFonts w:eastAsia="MS Mincho"/>
              </w:rPr>
            </w:pPr>
            <w:r>
              <w:rPr>
                <w:rFonts w:eastAsia="MS Mincho"/>
              </w:rPr>
              <w:t>41/286</w:t>
            </w:r>
          </w:p>
          <w:p w:rsidR="00B67F26" w:rsidRDefault="00B67F26" w:rsidP="005144AD">
            <w:pPr>
              <w:pStyle w:val="Tablewriting"/>
              <w:keepNext/>
              <w:jc w:val="center"/>
              <w:rPr>
                <w:rFonts w:eastAsia="MS Mincho"/>
              </w:rPr>
            </w:pPr>
            <w:r>
              <w:rPr>
                <w:rFonts w:eastAsia="MS Mincho"/>
              </w:rPr>
              <w:t>(</w:t>
            </w:r>
            <w:r w:rsidR="000B3CA3">
              <w:rPr>
                <w:rFonts w:eastAsia="MS Mincho"/>
              </w:rPr>
              <w:t>14.3</w:t>
            </w:r>
            <w:r>
              <w:rPr>
                <w:rFonts w:eastAsia="MS Mincho"/>
              </w:rPr>
              <w:t>%)</w:t>
            </w:r>
          </w:p>
        </w:tc>
        <w:tc>
          <w:tcPr>
            <w:tcW w:w="851" w:type="pct"/>
            <w:shd w:val="clear" w:color="auto" w:fill="auto"/>
            <w:tcMar>
              <w:left w:w="28" w:type="dxa"/>
              <w:right w:w="28" w:type="dxa"/>
            </w:tcMar>
            <w:vAlign w:val="center"/>
          </w:tcPr>
          <w:p w:rsidR="00B67F26" w:rsidRPr="00F207DC" w:rsidRDefault="00B67F26" w:rsidP="005144AD">
            <w:pPr>
              <w:pStyle w:val="Tablewriting"/>
              <w:keepNext/>
              <w:jc w:val="center"/>
              <w:rPr>
                <w:rFonts w:eastAsia="MS Mincho"/>
              </w:rPr>
            </w:pPr>
            <w:r w:rsidRPr="00F207DC">
              <w:rPr>
                <w:rFonts w:eastAsia="MS Mincho"/>
              </w:rPr>
              <w:t>1.40</w:t>
            </w:r>
          </w:p>
          <w:p w:rsidR="00B67F26" w:rsidRDefault="00B67F26" w:rsidP="005144AD">
            <w:pPr>
              <w:pStyle w:val="Tablewriting"/>
              <w:keepNext/>
              <w:jc w:val="center"/>
              <w:rPr>
                <w:rFonts w:eastAsia="MS Mincho"/>
                <w:b/>
                <w:bCs/>
              </w:rPr>
            </w:pPr>
            <w:r w:rsidRPr="00F207DC">
              <w:rPr>
                <w:rFonts w:eastAsia="MS Mincho"/>
              </w:rPr>
              <w:t>(0.97, 2.02)</w:t>
            </w:r>
          </w:p>
        </w:tc>
        <w:tc>
          <w:tcPr>
            <w:tcW w:w="807" w:type="pct"/>
            <w:shd w:val="clear" w:color="auto" w:fill="auto"/>
            <w:vAlign w:val="center"/>
          </w:tcPr>
          <w:p w:rsidR="00B67F26" w:rsidRDefault="007D70B8" w:rsidP="005144AD">
            <w:pPr>
              <w:pStyle w:val="Tablewriting"/>
              <w:keepNext/>
              <w:jc w:val="center"/>
              <w:rPr>
                <w:rFonts w:eastAsia="MS Mincho"/>
              </w:rPr>
            </w:pPr>
            <w:r>
              <w:rPr>
                <w:rFonts w:eastAsia="MS Mincho"/>
              </w:rPr>
              <w:t>0.06</w:t>
            </w:r>
          </w:p>
          <w:p w:rsidR="00B67F26" w:rsidRDefault="007D70B8" w:rsidP="005144AD">
            <w:pPr>
              <w:pStyle w:val="Tablewriting"/>
              <w:keepNext/>
              <w:jc w:val="center"/>
              <w:rPr>
                <w:rFonts w:eastAsia="MS Mincho"/>
              </w:rPr>
            </w:pPr>
            <w:r>
              <w:rPr>
                <w:rFonts w:eastAsia="MS Mincho"/>
              </w:rPr>
              <w:t>(-0.01, 0.12)</w:t>
            </w:r>
          </w:p>
        </w:tc>
      </w:tr>
      <w:tr w:rsidR="008B5070" w:rsidRPr="00061F78" w:rsidTr="008B5070">
        <w:trPr>
          <w:cantSplit/>
          <w:trHeight w:val="99"/>
        </w:trPr>
        <w:tc>
          <w:tcPr>
            <w:tcW w:w="5000" w:type="pct"/>
            <w:gridSpan w:val="6"/>
            <w:shd w:val="clear" w:color="auto" w:fill="auto"/>
            <w:tcMar>
              <w:left w:w="28" w:type="dxa"/>
              <w:right w:w="28" w:type="dxa"/>
            </w:tcMar>
          </w:tcPr>
          <w:p w:rsidR="008B5070" w:rsidRPr="00D56406" w:rsidRDefault="008B5070" w:rsidP="008B5070">
            <w:pPr>
              <w:pStyle w:val="Tablewriting"/>
              <w:keepNext/>
              <w:rPr>
                <w:rFonts w:eastAsia="MS Mincho"/>
              </w:rPr>
            </w:pPr>
            <w:r>
              <w:rPr>
                <w:rFonts w:eastAsia="MS Mincho"/>
              </w:rPr>
              <w:t>Meta-analysis of Lindson (2019) and Leung (2019)</w:t>
            </w:r>
          </w:p>
        </w:tc>
      </w:tr>
      <w:tr w:rsidR="008B5070" w:rsidRPr="00061F78" w:rsidTr="000708B4">
        <w:trPr>
          <w:cantSplit/>
          <w:trHeight w:val="99"/>
        </w:trPr>
        <w:tc>
          <w:tcPr>
            <w:tcW w:w="721" w:type="pct"/>
            <w:shd w:val="clear" w:color="auto" w:fill="auto"/>
            <w:tcMar>
              <w:left w:w="28" w:type="dxa"/>
              <w:right w:w="28" w:type="dxa"/>
            </w:tcMar>
          </w:tcPr>
          <w:p w:rsidR="00F9381D" w:rsidRDefault="008B5070" w:rsidP="005144AD">
            <w:pPr>
              <w:pStyle w:val="Tablewriting"/>
              <w:keepNext/>
              <w:rPr>
                <w:rFonts w:eastAsia="MS Mincho"/>
              </w:rPr>
            </w:pPr>
            <w:r>
              <w:rPr>
                <w:rFonts w:eastAsia="MS Mincho"/>
              </w:rPr>
              <w:t xml:space="preserve">Updated </w:t>
            </w:r>
          </w:p>
          <w:p w:rsidR="008B5070" w:rsidRPr="00133E66" w:rsidRDefault="008B5070" w:rsidP="005144AD">
            <w:pPr>
              <w:pStyle w:val="Tablewriting"/>
              <w:keepNext/>
              <w:rPr>
                <w:rFonts w:eastAsia="MS Mincho"/>
                <w:vertAlign w:val="superscript"/>
              </w:rPr>
            </w:pPr>
            <w:r>
              <w:rPr>
                <w:rFonts w:eastAsia="MS Mincho"/>
              </w:rPr>
              <w:t>re-analysis</w:t>
            </w:r>
            <w:r w:rsidR="00133E66">
              <w:rPr>
                <w:rFonts w:eastAsia="MS Mincho"/>
                <w:vertAlign w:val="superscript"/>
              </w:rPr>
              <w:t>3</w:t>
            </w:r>
          </w:p>
        </w:tc>
        <w:tc>
          <w:tcPr>
            <w:tcW w:w="920" w:type="pct"/>
            <w:shd w:val="clear" w:color="auto" w:fill="auto"/>
            <w:vAlign w:val="center"/>
          </w:tcPr>
          <w:p w:rsidR="008B5070" w:rsidRDefault="008B5070" w:rsidP="005144AD">
            <w:pPr>
              <w:pStyle w:val="Tablewriting"/>
              <w:keepNext/>
              <w:jc w:val="center"/>
              <w:rPr>
                <w:rFonts w:eastAsia="MS Mincho"/>
              </w:rPr>
            </w:pPr>
            <w:r>
              <w:rPr>
                <w:rFonts w:eastAsia="MS Mincho"/>
              </w:rPr>
              <w:t>13 RCTs</w:t>
            </w:r>
          </w:p>
        </w:tc>
        <w:tc>
          <w:tcPr>
            <w:tcW w:w="850" w:type="pct"/>
            <w:shd w:val="clear" w:color="auto" w:fill="auto"/>
            <w:tcMar>
              <w:left w:w="28" w:type="dxa"/>
              <w:right w:w="28" w:type="dxa"/>
            </w:tcMar>
            <w:vAlign w:val="center"/>
          </w:tcPr>
          <w:p w:rsidR="008B5070" w:rsidRDefault="00DA1F73" w:rsidP="005144AD">
            <w:pPr>
              <w:pStyle w:val="Tablewriting"/>
              <w:keepNext/>
              <w:jc w:val="center"/>
              <w:rPr>
                <w:rFonts w:eastAsia="MS Mincho"/>
              </w:rPr>
            </w:pPr>
            <w:r>
              <w:rPr>
                <w:rFonts w:eastAsia="MS Mincho"/>
              </w:rPr>
              <w:t>746/4,580</w:t>
            </w:r>
          </w:p>
          <w:p w:rsidR="00DA1F73" w:rsidRDefault="00DA1F73" w:rsidP="005144AD">
            <w:pPr>
              <w:pStyle w:val="Tablewriting"/>
              <w:keepNext/>
              <w:jc w:val="center"/>
              <w:rPr>
                <w:rFonts w:eastAsia="MS Mincho"/>
              </w:rPr>
            </w:pPr>
            <w:r>
              <w:rPr>
                <w:rFonts w:eastAsia="MS Mincho"/>
              </w:rPr>
              <w:t>(</w:t>
            </w:r>
            <w:r w:rsidR="00AF3991">
              <w:rPr>
                <w:rFonts w:eastAsia="MS Mincho"/>
              </w:rPr>
              <w:t>16.3</w:t>
            </w:r>
            <w:r>
              <w:rPr>
                <w:rFonts w:eastAsia="MS Mincho"/>
              </w:rPr>
              <w:t>%)</w:t>
            </w:r>
          </w:p>
        </w:tc>
        <w:tc>
          <w:tcPr>
            <w:tcW w:w="851" w:type="pct"/>
            <w:shd w:val="clear" w:color="auto" w:fill="auto"/>
            <w:tcMar>
              <w:left w:w="28" w:type="dxa"/>
              <w:right w:w="28" w:type="dxa"/>
            </w:tcMar>
            <w:vAlign w:val="center"/>
          </w:tcPr>
          <w:p w:rsidR="008B5070" w:rsidRDefault="00DA1F73" w:rsidP="005144AD">
            <w:pPr>
              <w:pStyle w:val="Tablewriting"/>
              <w:keepNext/>
              <w:jc w:val="center"/>
              <w:rPr>
                <w:rFonts w:eastAsia="MS Mincho"/>
              </w:rPr>
            </w:pPr>
            <w:r>
              <w:rPr>
                <w:rFonts w:eastAsia="MS Mincho"/>
              </w:rPr>
              <w:t>662/4</w:t>
            </w:r>
            <w:r w:rsidR="009654FD">
              <w:rPr>
                <w:rFonts w:eastAsia="MS Mincho"/>
              </w:rPr>
              <w:t>,</w:t>
            </w:r>
            <w:r>
              <w:rPr>
                <w:rFonts w:eastAsia="MS Mincho"/>
              </w:rPr>
              <w:t>972</w:t>
            </w:r>
          </w:p>
          <w:p w:rsidR="00DA1F73" w:rsidRDefault="00DA1F73" w:rsidP="005144AD">
            <w:pPr>
              <w:pStyle w:val="Tablewriting"/>
              <w:keepNext/>
              <w:jc w:val="center"/>
              <w:rPr>
                <w:rFonts w:eastAsia="MS Mincho"/>
              </w:rPr>
            </w:pPr>
            <w:r>
              <w:rPr>
                <w:rFonts w:eastAsia="MS Mincho"/>
              </w:rPr>
              <w:t>(</w:t>
            </w:r>
            <w:r w:rsidR="00F828BF">
              <w:rPr>
                <w:rFonts w:eastAsia="MS Mincho"/>
              </w:rPr>
              <w:t>13.3</w:t>
            </w:r>
            <w:r>
              <w:rPr>
                <w:rFonts w:eastAsia="MS Mincho"/>
              </w:rPr>
              <w:t>%)</w:t>
            </w:r>
          </w:p>
        </w:tc>
        <w:tc>
          <w:tcPr>
            <w:tcW w:w="851" w:type="pct"/>
            <w:shd w:val="clear" w:color="auto" w:fill="auto"/>
            <w:tcMar>
              <w:left w:w="28" w:type="dxa"/>
              <w:right w:w="28" w:type="dxa"/>
            </w:tcMar>
            <w:vAlign w:val="center"/>
          </w:tcPr>
          <w:p w:rsidR="008B5070" w:rsidRDefault="00DA1F73" w:rsidP="005144AD">
            <w:pPr>
              <w:pStyle w:val="Tablewriting"/>
              <w:keepNext/>
              <w:jc w:val="center"/>
              <w:rPr>
                <w:rFonts w:eastAsia="MS Mincho"/>
                <w:b/>
                <w:bCs/>
              </w:rPr>
            </w:pPr>
            <w:r>
              <w:rPr>
                <w:rFonts w:eastAsia="MS Mincho"/>
                <w:b/>
                <w:bCs/>
              </w:rPr>
              <w:t>1.26</w:t>
            </w:r>
          </w:p>
          <w:p w:rsidR="00DA1F73" w:rsidRDefault="00DA1F73" w:rsidP="005144AD">
            <w:pPr>
              <w:pStyle w:val="Tablewriting"/>
              <w:keepNext/>
              <w:jc w:val="center"/>
              <w:rPr>
                <w:rFonts w:eastAsia="MS Mincho"/>
                <w:b/>
                <w:bCs/>
              </w:rPr>
            </w:pPr>
            <w:r>
              <w:rPr>
                <w:rFonts w:eastAsia="MS Mincho"/>
                <w:b/>
                <w:bCs/>
              </w:rPr>
              <w:t>(1.11, 1.42)</w:t>
            </w:r>
          </w:p>
        </w:tc>
        <w:tc>
          <w:tcPr>
            <w:tcW w:w="807" w:type="pct"/>
            <w:shd w:val="clear" w:color="auto" w:fill="auto"/>
            <w:vAlign w:val="center"/>
          </w:tcPr>
          <w:p w:rsidR="008B5070" w:rsidRPr="009654FD" w:rsidRDefault="009654FD" w:rsidP="005144AD">
            <w:pPr>
              <w:pStyle w:val="Tablewriting"/>
              <w:keepNext/>
              <w:jc w:val="center"/>
              <w:rPr>
                <w:rFonts w:eastAsia="MS Mincho"/>
                <w:b/>
                <w:bCs/>
              </w:rPr>
            </w:pPr>
            <w:r w:rsidRPr="009654FD">
              <w:rPr>
                <w:rFonts w:eastAsia="MS Mincho"/>
                <w:b/>
                <w:bCs/>
              </w:rPr>
              <w:t>0.04</w:t>
            </w:r>
          </w:p>
          <w:p w:rsidR="009654FD" w:rsidRPr="00D56406" w:rsidRDefault="009654FD" w:rsidP="005144AD">
            <w:pPr>
              <w:pStyle w:val="Tablewriting"/>
              <w:keepNext/>
              <w:jc w:val="center"/>
              <w:rPr>
                <w:rFonts w:eastAsia="MS Mincho"/>
              </w:rPr>
            </w:pPr>
            <w:r w:rsidRPr="009654FD">
              <w:rPr>
                <w:rFonts w:eastAsia="MS Mincho"/>
                <w:b/>
                <w:bCs/>
              </w:rPr>
              <w:t>(0.01, 0.06)</w:t>
            </w:r>
          </w:p>
        </w:tc>
      </w:tr>
      <w:tr w:rsidR="009C79C3" w:rsidRPr="00061F78" w:rsidTr="004B53F8">
        <w:trPr>
          <w:cantSplit/>
          <w:trHeight w:val="99"/>
        </w:trPr>
        <w:tc>
          <w:tcPr>
            <w:tcW w:w="5000" w:type="pct"/>
            <w:gridSpan w:val="6"/>
            <w:shd w:val="clear" w:color="auto" w:fill="auto"/>
            <w:tcMar>
              <w:left w:w="28" w:type="dxa"/>
              <w:right w:w="28" w:type="dxa"/>
            </w:tcMar>
          </w:tcPr>
          <w:p w:rsidR="009C79C3" w:rsidRPr="004B53F8" w:rsidRDefault="00F62C02" w:rsidP="005144AD">
            <w:pPr>
              <w:pStyle w:val="Tablewriting"/>
              <w:keepNext/>
              <w:rPr>
                <w:rFonts w:eastAsia="MS Mincho"/>
                <w:b/>
                <w:bCs/>
              </w:rPr>
            </w:pPr>
            <w:r w:rsidRPr="004B53F8">
              <w:rPr>
                <w:rFonts w:eastAsia="MS Mincho"/>
                <w:b/>
                <w:bCs/>
              </w:rPr>
              <w:t>Combination NRT versus fast-acting NRT</w:t>
            </w:r>
          </w:p>
        </w:tc>
      </w:tr>
      <w:tr w:rsidR="009C79C3" w:rsidRPr="00061F78" w:rsidTr="000708B4">
        <w:trPr>
          <w:cantSplit/>
          <w:trHeight w:val="99"/>
        </w:trPr>
        <w:tc>
          <w:tcPr>
            <w:tcW w:w="721" w:type="pct"/>
            <w:shd w:val="clear" w:color="auto" w:fill="auto"/>
            <w:tcMar>
              <w:left w:w="28" w:type="dxa"/>
              <w:right w:w="28" w:type="dxa"/>
            </w:tcMar>
          </w:tcPr>
          <w:p w:rsidR="009C79C3" w:rsidRDefault="00F62C02" w:rsidP="005144AD">
            <w:pPr>
              <w:pStyle w:val="Tablewriting"/>
              <w:keepNext/>
              <w:rPr>
                <w:rFonts w:eastAsia="MS Mincho"/>
              </w:rPr>
            </w:pPr>
            <w:r>
              <w:rPr>
                <w:rFonts w:eastAsia="MS Mincho"/>
              </w:rPr>
              <w:t>Lindson</w:t>
            </w:r>
          </w:p>
          <w:p w:rsidR="009C79C3" w:rsidRPr="00AE12C1" w:rsidRDefault="009C79C3" w:rsidP="005144AD">
            <w:pPr>
              <w:pStyle w:val="Tablewriting"/>
              <w:keepNext/>
              <w:rPr>
                <w:rFonts w:eastAsia="MS Mincho"/>
                <w:vertAlign w:val="superscript"/>
              </w:rPr>
            </w:pPr>
            <w:r>
              <w:rPr>
                <w:rFonts w:eastAsia="MS Mincho"/>
              </w:rPr>
              <w:t>(201</w:t>
            </w:r>
            <w:r w:rsidR="00F62C02">
              <w:rPr>
                <w:rFonts w:eastAsia="MS Mincho"/>
              </w:rPr>
              <w:t>9</w:t>
            </w:r>
            <w:r>
              <w:rPr>
                <w:rFonts w:eastAsia="MS Mincho"/>
              </w:rPr>
              <w:t>)</w:t>
            </w:r>
            <w:r>
              <w:rPr>
                <w:rFonts w:eastAsia="MS Mincho"/>
                <w:vertAlign w:val="superscript"/>
              </w:rPr>
              <w:t>1</w:t>
            </w:r>
            <w:r w:rsidR="00133E66">
              <w:rPr>
                <w:rFonts w:eastAsia="MS Mincho"/>
                <w:vertAlign w:val="superscript"/>
              </w:rPr>
              <w:t>,2</w:t>
            </w:r>
          </w:p>
        </w:tc>
        <w:tc>
          <w:tcPr>
            <w:tcW w:w="920" w:type="pct"/>
            <w:shd w:val="clear" w:color="auto" w:fill="auto"/>
            <w:vAlign w:val="center"/>
          </w:tcPr>
          <w:p w:rsidR="0007413C" w:rsidRDefault="0007413C" w:rsidP="005144AD">
            <w:pPr>
              <w:pStyle w:val="Tablewriting"/>
              <w:keepNext/>
              <w:jc w:val="center"/>
              <w:rPr>
                <w:rFonts w:eastAsia="MS Mincho"/>
              </w:rPr>
            </w:pPr>
            <w:r>
              <w:rPr>
                <w:rFonts w:eastAsia="MS Mincho"/>
              </w:rPr>
              <w:t>Cochrane Review</w:t>
            </w:r>
          </w:p>
          <w:p w:rsidR="009C79C3" w:rsidRPr="00251B64" w:rsidRDefault="0007413C" w:rsidP="005144AD">
            <w:pPr>
              <w:pStyle w:val="Tablewriting"/>
              <w:keepNext/>
              <w:jc w:val="center"/>
              <w:rPr>
                <w:rFonts w:eastAsia="MS Mincho"/>
              </w:rPr>
            </w:pPr>
            <w:r>
              <w:rPr>
                <w:rFonts w:eastAsia="MS Mincho"/>
              </w:rPr>
              <w:t xml:space="preserve">(6 </w:t>
            </w:r>
            <w:r w:rsidR="009C79C3">
              <w:rPr>
                <w:rFonts w:eastAsia="MS Mincho"/>
              </w:rPr>
              <w:t>RCT</w:t>
            </w:r>
            <w:r>
              <w:rPr>
                <w:rFonts w:eastAsia="MS Mincho"/>
              </w:rPr>
              <w:t>s)</w:t>
            </w:r>
          </w:p>
        </w:tc>
        <w:tc>
          <w:tcPr>
            <w:tcW w:w="850" w:type="pct"/>
            <w:shd w:val="clear" w:color="auto" w:fill="auto"/>
            <w:tcMar>
              <w:left w:w="28" w:type="dxa"/>
              <w:right w:w="28" w:type="dxa"/>
            </w:tcMar>
            <w:vAlign w:val="center"/>
          </w:tcPr>
          <w:p w:rsidR="009C79C3" w:rsidRDefault="009C79C3" w:rsidP="005144AD">
            <w:pPr>
              <w:pStyle w:val="Tablewriting"/>
              <w:keepNext/>
              <w:jc w:val="center"/>
              <w:rPr>
                <w:rFonts w:eastAsia="MS Mincho"/>
              </w:rPr>
            </w:pPr>
            <w:r>
              <w:rPr>
                <w:rFonts w:eastAsia="MS Mincho"/>
              </w:rPr>
              <w:t>1</w:t>
            </w:r>
            <w:r w:rsidR="00DF4C7B">
              <w:rPr>
                <w:rFonts w:eastAsia="MS Mincho"/>
              </w:rPr>
              <w:t>90</w:t>
            </w:r>
            <w:r>
              <w:rPr>
                <w:rFonts w:eastAsia="MS Mincho"/>
              </w:rPr>
              <w:t>/</w:t>
            </w:r>
            <w:r w:rsidR="00DF4C7B">
              <w:rPr>
                <w:rFonts w:eastAsia="MS Mincho"/>
              </w:rPr>
              <w:t>912</w:t>
            </w:r>
          </w:p>
          <w:p w:rsidR="009C79C3" w:rsidRDefault="009C79C3" w:rsidP="005144AD">
            <w:pPr>
              <w:pStyle w:val="Tablewriting"/>
              <w:keepNext/>
              <w:jc w:val="center"/>
              <w:rPr>
                <w:rFonts w:eastAsia="MS Mincho"/>
              </w:rPr>
            </w:pPr>
            <w:r>
              <w:rPr>
                <w:rFonts w:eastAsia="MS Mincho"/>
              </w:rPr>
              <w:t>(</w:t>
            </w:r>
            <w:r w:rsidR="000868E5">
              <w:rPr>
                <w:rFonts w:eastAsia="MS Mincho"/>
              </w:rPr>
              <w:t>20.8</w:t>
            </w:r>
            <w:r>
              <w:rPr>
                <w:rFonts w:eastAsia="MS Mincho"/>
              </w:rPr>
              <w:t>%)</w:t>
            </w:r>
          </w:p>
        </w:tc>
        <w:tc>
          <w:tcPr>
            <w:tcW w:w="851" w:type="pct"/>
            <w:shd w:val="clear" w:color="auto" w:fill="auto"/>
            <w:tcMar>
              <w:left w:w="28" w:type="dxa"/>
              <w:right w:w="28" w:type="dxa"/>
            </w:tcMar>
            <w:vAlign w:val="center"/>
          </w:tcPr>
          <w:p w:rsidR="009C79C3" w:rsidRDefault="00DF4C7B" w:rsidP="005144AD">
            <w:pPr>
              <w:pStyle w:val="Tablewriting"/>
              <w:keepNext/>
              <w:jc w:val="center"/>
              <w:rPr>
                <w:rFonts w:eastAsia="MS Mincho"/>
              </w:rPr>
            </w:pPr>
            <w:r>
              <w:rPr>
                <w:rFonts w:eastAsia="MS Mincho"/>
              </w:rPr>
              <w:t>231</w:t>
            </w:r>
            <w:r w:rsidR="009C79C3">
              <w:rPr>
                <w:rFonts w:eastAsia="MS Mincho"/>
              </w:rPr>
              <w:t>/</w:t>
            </w:r>
            <w:r>
              <w:rPr>
                <w:rFonts w:eastAsia="MS Mincho"/>
              </w:rPr>
              <w:t>1,452</w:t>
            </w:r>
          </w:p>
          <w:p w:rsidR="009C79C3" w:rsidRDefault="009C79C3" w:rsidP="005144AD">
            <w:pPr>
              <w:pStyle w:val="Tablewriting"/>
              <w:keepNext/>
              <w:jc w:val="center"/>
              <w:rPr>
                <w:rFonts w:eastAsia="MS Mincho"/>
              </w:rPr>
            </w:pPr>
            <w:r>
              <w:rPr>
                <w:rFonts w:eastAsia="MS Mincho"/>
              </w:rPr>
              <w:t>(</w:t>
            </w:r>
            <w:r w:rsidR="00B725A6">
              <w:rPr>
                <w:rFonts w:eastAsia="MS Mincho"/>
              </w:rPr>
              <w:t>15.9</w:t>
            </w:r>
            <w:r>
              <w:rPr>
                <w:rFonts w:eastAsia="MS Mincho"/>
              </w:rPr>
              <w:t>%)</w:t>
            </w:r>
          </w:p>
        </w:tc>
        <w:tc>
          <w:tcPr>
            <w:tcW w:w="851" w:type="pct"/>
            <w:shd w:val="clear" w:color="auto" w:fill="auto"/>
            <w:tcMar>
              <w:left w:w="28" w:type="dxa"/>
              <w:right w:w="28" w:type="dxa"/>
            </w:tcMar>
            <w:vAlign w:val="center"/>
          </w:tcPr>
          <w:p w:rsidR="009C79C3" w:rsidRPr="005A7326" w:rsidRDefault="005A7326" w:rsidP="005144AD">
            <w:pPr>
              <w:pStyle w:val="Tablewriting"/>
              <w:keepNext/>
              <w:jc w:val="center"/>
              <w:rPr>
                <w:rFonts w:eastAsia="MS Mincho"/>
                <w:b/>
                <w:bCs/>
              </w:rPr>
            </w:pPr>
            <w:r w:rsidRPr="005A7326">
              <w:rPr>
                <w:rFonts w:eastAsia="MS Mincho"/>
                <w:b/>
                <w:bCs/>
              </w:rPr>
              <w:t>1.3</w:t>
            </w:r>
          </w:p>
          <w:p w:rsidR="009C79C3" w:rsidRPr="00D56406" w:rsidRDefault="009C79C3" w:rsidP="005144AD">
            <w:pPr>
              <w:pStyle w:val="Tablewriting"/>
              <w:keepNext/>
              <w:jc w:val="center"/>
              <w:rPr>
                <w:rFonts w:eastAsia="MS Mincho"/>
              </w:rPr>
            </w:pPr>
            <w:r w:rsidRPr="005A7326">
              <w:rPr>
                <w:rFonts w:eastAsia="MS Mincho"/>
                <w:b/>
                <w:bCs/>
              </w:rPr>
              <w:t>(</w:t>
            </w:r>
            <w:r w:rsidR="005A7326" w:rsidRPr="005A7326">
              <w:rPr>
                <w:rFonts w:eastAsia="MS Mincho"/>
                <w:b/>
                <w:bCs/>
              </w:rPr>
              <w:t>1.09</w:t>
            </w:r>
            <w:r w:rsidRPr="005A7326">
              <w:rPr>
                <w:rFonts w:eastAsia="MS Mincho"/>
                <w:b/>
                <w:bCs/>
              </w:rPr>
              <w:t>, 1.</w:t>
            </w:r>
            <w:r w:rsidR="005A7326" w:rsidRPr="005A7326">
              <w:rPr>
                <w:rFonts w:eastAsia="MS Mincho"/>
                <w:b/>
                <w:bCs/>
              </w:rPr>
              <w:t>54</w:t>
            </w:r>
            <w:r w:rsidRPr="005A7326">
              <w:rPr>
                <w:rFonts w:eastAsia="MS Mincho"/>
                <w:b/>
                <w:bCs/>
              </w:rPr>
              <w:t>)</w:t>
            </w:r>
          </w:p>
        </w:tc>
        <w:tc>
          <w:tcPr>
            <w:tcW w:w="807" w:type="pct"/>
            <w:shd w:val="clear" w:color="auto" w:fill="auto"/>
            <w:vAlign w:val="center"/>
          </w:tcPr>
          <w:p w:rsidR="009C79C3" w:rsidRPr="00D56406" w:rsidRDefault="00F40201" w:rsidP="005144AD">
            <w:pPr>
              <w:pStyle w:val="Tablewriting"/>
              <w:keepNext/>
              <w:jc w:val="center"/>
              <w:rPr>
                <w:rFonts w:eastAsia="MS Mincho"/>
              </w:rPr>
            </w:pPr>
            <w:r>
              <w:rPr>
                <w:rFonts w:eastAsia="MS Mincho"/>
              </w:rPr>
              <w:t>NR</w:t>
            </w:r>
          </w:p>
        </w:tc>
      </w:tr>
      <w:tr w:rsidR="009E03BB" w:rsidRPr="00061F78" w:rsidTr="004B53F8">
        <w:trPr>
          <w:cantSplit/>
          <w:trHeight w:val="99"/>
        </w:trPr>
        <w:tc>
          <w:tcPr>
            <w:tcW w:w="5000" w:type="pct"/>
            <w:gridSpan w:val="6"/>
            <w:shd w:val="clear" w:color="auto" w:fill="auto"/>
            <w:tcMar>
              <w:left w:w="28" w:type="dxa"/>
              <w:right w:w="28" w:type="dxa"/>
            </w:tcMar>
          </w:tcPr>
          <w:p w:rsidR="009E03BB" w:rsidRPr="004B53F8" w:rsidRDefault="009E03BB" w:rsidP="009E03BB">
            <w:pPr>
              <w:pStyle w:val="Tablewriting"/>
              <w:keepNext/>
              <w:rPr>
                <w:rFonts w:eastAsia="MS Mincho"/>
                <w:b/>
                <w:bCs/>
              </w:rPr>
            </w:pPr>
            <w:r w:rsidRPr="004B53F8">
              <w:rPr>
                <w:rFonts w:eastAsia="MS Mincho"/>
                <w:b/>
                <w:bCs/>
              </w:rPr>
              <w:t>Combination NRT versus p</w:t>
            </w:r>
            <w:r w:rsidR="00B72E41" w:rsidRPr="004B53F8">
              <w:rPr>
                <w:rFonts w:eastAsia="MS Mincho"/>
                <w:b/>
                <w:bCs/>
              </w:rPr>
              <w:t>atch alone/fast-acting NRT</w:t>
            </w:r>
          </w:p>
        </w:tc>
      </w:tr>
      <w:tr w:rsidR="009E03BB" w:rsidRPr="00061F78" w:rsidTr="000708B4">
        <w:trPr>
          <w:cantSplit/>
          <w:trHeight w:val="99"/>
        </w:trPr>
        <w:tc>
          <w:tcPr>
            <w:tcW w:w="721" w:type="pct"/>
            <w:shd w:val="clear" w:color="auto" w:fill="auto"/>
            <w:tcMar>
              <w:left w:w="28" w:type="dxa"/>
              <w:right w:w="28" w:type="dxa"/>
            </w:tcMar>
          </w:tcPr>
          <w:p w:rsidR="009E03BB" w:rsidRDefault="009E03BB" w:rsidP="009E03BB">
            <w:pPr>
              <w:pStyle w:val="Tablewriting"/>
              <w:keepNext/>
              <w:rPr>
                <w:rFonts w:eastAsia="MS Mincho"/>
              </w:rPr>
            </w:pPr>
            <w:r>
              <w:rPr>
                <w:rFonts w:eastAsia="MS Mincho"/>
              </w:rPr>
              <w:t>Lindson</w:t>
            </w:r>
          </w:p>
          <w:p w:rsidR="009E03BB" w:rsidRDefault="009E03BB" w:rsidP="009E03BB">
            <w:pPr>
              <w:pStyle w:val="Tablewriting"/>
              <w:keepNext/>
              <w:rPr>
                <w:rFonts w:eastAsia="MS Mincho"/>
              </w:rPr>
            </w:pPr>
            <w:r>
              <w:rPr>
                <w:rFonts w:eastAsia="MS Mincho"/>
              </w:rPr>
              <w:t>(2019)</w:t>
            </w:r>
            <w:r>
              <w:rPr>
                <w:rFonts w:eastAsia="MS Mincho"/>
                <w:vertAlign w:val="superscript"/>
              </w:rPr>
              <w:t>1</w:t>
            </w:r>
            <w:r w:rsidR="00133E66">
              <w:rPr>
                <w:rFonts w:eastAsia="MS Mincho"/>
                <w:vertAlign w:val="superscript"/>
              </w:rPr>
              <w:t>,2</w:t>
            </w:r>
          </w:p>
        </w:tc>
        <w:tc>
          <w:tcPr>
            <w:tcW w:w="920" w:type="pct"/>
            <w:shd w:val="clear" w:color="auto" w:fill="auto"/>
            <w:vAlign w:val="center"/>
          </w:tcPr>
          <w:p w:rsidR="009E03BB" w:rsidRDefault="009E03BB" w:rsidP="009E03BB">
            <w:pPr>
              <w:pStyle w:val="Tablewriting"/>
              <w:keepNext/>
              <w:jc w:val="center"/>
              <w:rPr>
                <w:rFonts w:eastAsia="MS Mincho"/>
              </w:rPr>
            </w:pPr>
            <w:r>
              <w:rPr>
                <w:rFonts w:eastAsia="MS Mincho"/>
              </w:rPr>
              <w:t>Cochrane Review</w:t>
            </w:r>
          </w:p>
          <w:p w:rsidR="009E03BB" w:rsidRDefault="009E03BB" w:rsidP="009E03BB">
            <w:pPr>
              <w:pStyle w:val="Tablewriting"/>
              <w:keepNext/>
              <w:jc w:val="center"/>
              <w:rPr>
                <w:rFonts w:eastAsia="MS Mincho"/>
              </w:rPr>
            </w:pPr>
            <w:r>
              <w:rPr>
                <w:rFonts w:eastAsia="MS Mincho"/>
              </w:rPr>
              <w:t>(</w:t>
            </w:r>
            <w:r w:rsidR="00B72E41">
              <w:rPr>
                <w:rFonts w:eastAsia="MS Mincho"/>
              </w:rPr>
              <w:t>14</w:t>
            </w:r>
            <w:r>
              <w:rPr>
                <w:rFonts w:eastAsia="MS Mincho"/>
              </w:rPr>
              <w:t xml:space="preserve"> RCTs)</w:t>
            </w:r>
          </w:p>
        </w:tc>
        <w:tc>
          <w:tcPr>
            <w:tcW w:w="850" w:type="pct"/>
            <w:shd w:val="clear" w:color="auto" w:fill="auto"/>
            <w:tcMar>
              <w:left w:w="28" w:type="dxa"/>
              <w:right w:w="28" w:type="dxa"/>
            </w:tcMar>
            <w:vAlign w:val="center"/>
          </w:tcPr>
          <w:p w:rsidR="009E03BB" w:rsidRDefault="00464AF3" w:rsidP="009E03BB">
            <w:pPr>
              <w:pStyle w:val="Tablewriting"/>
              <w:keepNext/>
              <w:jc w:val="center"/>
              <w:rPr>
                <w:rFonts w:eastAsia="MS Mincho"/>
              </w:rPr>
            </w:pPr>
            <w:r>
              <w:rPr>
                <w:rFonts w:eastAsia="MS Mincho"/>
              </w:rPr>
              <w:t>881</w:t>
            </w:r>
            <w:r w:rsidR="009E03BB">
              <w:rPr>
                <w:rFonts w:eastAsia="MS Mincho"/>
              </w:rPr>
              <w:t>/</w:t>
            </w:r>
            <w:r w:rsidR="00B72E41">
              <w:rPr>
                <w:rFonts w:eastAsia="MS Mincho"/>
              </w:rPr>
              <w:t>5,218</w:t>
            </w:r>
          </w:p>
          <w:p w:rsidR="009E03BB" w:rsidRDefault="009E03BB" w:rsidP="009E03BB">
            <w:pPr>
              <w:pStyle w:val="Tablewriting"/>
              <w:keepNext/>
              <w:jc w:val="center"/>
              <w:rPr>
                <w:rFonts w:eastAsia="MS Mincho"/>
              </w:rPr>
            </w:pPr>
            <w:r>
              <w:rPr>
                <w:rFonts w:eastAsia="MS Mincho"/>
              </w:rPr>
              <w:t>(</w:t>
            </w:r>
            <w:r w:rsidR="00035831">
              <w:rPr>
                <w:rFonts w:eastAsia="MS Mincho"/>
              </w:rPr>
              <w:t>16.9</w:t>
            </w:r>
            <w:r>
              <w:rPr>
                <w:rFonts w:eastAsia="MS Mincho"/>
              </w:rPr>
              <w:t>%)</w:t>
            </w:r>
          </w:p>
        </w:tc>
        <w:tc>
          <w:tcPr>
            <w:tcW w:w="851" w:type="pct"/>
            <w:shd w:val="clear" w:color="auto" w:fill="auto"/>
            <w:tcMar>
              <w:left w:w="28" w:type="dxa"/>
              <w:right w:w="28" w:type="dxa"/>
            </w:tcMar>
            <w:vAlign w:val="center"/>
          </w:tcPr>
          <w:p w:rsidR="009E03BB" w:rsidRDefault="00464AF3" w:rsidP="009E03BB">
            <w:pPr>
              <w:pStyle w:val="Tablewriting"/>
              <w:keepNext/>
              <w:jc w:val="center"/>
              <w:rPr>
                <w:rFonts w:eastAsia="MS Mincho"/>
              </w:rPr>
            </w:pPr>
            <w:r>
              <w:rPr>
                <w:rFonts w:eastAsia="MS Mincho"/>
              </w:rPr>
              <w:t>852</w:t>
            </w:r>
            <w:r w:rsidR="009E03BB">
              <w:rPr>
                <w:rFonts w:eastAsia="MS Mincho"/>
              </w:rPr>
              <w:t>/</w:t>
            </w:r>
            <w:r w:rsidR="00B72E41">
              <w:rPr>
                <w:rFonts w:eastAsia="MS Mincho"/>
              </w:rPr>
              <w:t>6,138</w:t>
            </w:r>
          </w:p>
          <w:p w:rsidR="009E03BB" w:rsidRDefault="009E03BB" w:rsidP="009E03BB">
            <w:pPr>
              <w:pStyle w:val="Tablewriting"/>
              <w:keepNext/>
              <w:jc w:val="center"/>
              <w:rPr>
                <w:rFonts w:eastAsia="MS Mincho"/>
              </w:rPr>
            </w:pPr>
            <w:r>
              <w:rPr>
                <w:rFonts w:eastAsia="MS Mincho"/>
              </w:rPr>
              <w:t>(</w:t>
            </w:r>
            <w:r w:rsidR="00F10E94">
              <w:rPr>
                <w:rFonts w:eastAsia="MS Mincho"/>
              </w:rPr>
              <w:t>13.9</w:t>
            </w:r>
            <w:r>
              <w:rPr>
                <w:rFonts w:eastAsia="MS Mincho"/>
              </w:rPr>
              <w:t>%)</w:t>
            </w:r>
          </w:p>
        </w:tc>
        <w:tc>
          <w:tcPr>
            <w:tcW w:w="851" w:type="pct"/>
            <w:shd w:val="clear" w:color="auto" w:fill="auto"/>
            <w:tcMar>
              <w:left w:w="28" w:type="dxa"/>
              <w:right w:w="28" w:type="dxa"/>
            </w:tcMar>
            <w:vAlign w:val="center"/>
          </w:tcPr>
          <w:p w:rsidR="009E03BB" w:rsidRPr="005A7326" w:rsidRDefault="009E03BB" w:rsidP="009E03BB">
            <w:pPr>
              <w:pStyle w:val="Tablewriting"/>
              <w:keepNext/>
              <w:jc w:val="center"/>
              <w:rPr>
                <w:rFonts w:eastAsia="MS Mincho"/>
                <w:b/>
                <w:bCs/>
              </w:rPr>
            </w:pPr>
            <w:r w:rsidRPr="005A7326">
              <w:rPr>
                <w:rFonts w:eastAsia="MS Mincho"/>
                <w:b/>
                <w:bCs/>
              </w:rPr>
              <w:t>1.</w:t>
            </w:r>
            <w:r w:rsidR="00464AF3">
              <w:rPr>
                <w:rFonts w:eastAsia="MS Mincho"/>
                <w:b/>
                <w:bCs/>
              </w:rPr>
              <w:t>25</w:t>
            </w:r>
          </w:p>
          <w:p w:rsidR="009E03BB" w:rsidRPr="005A7326" w:rsidRDefault="009E03BB" w:rsidP="009E03BB">
            <w:pPr>
              <w:pStyle w:val="Tablewriting"/>
              <w:keepNext/>
              <w:jc w:val="center"/>
              <w:rPr>
                <w:rFonts w:eastAsia="MS Mincho"/>
                <w:b/>
                <w:bCs/>
              </w:rPr>
            </w:pPr>
            <w:r w:rsidRPr="005A7326">
              <w:rPr>
                <w:rFonts w:eastAsia="MS Mincho"/>
                <w:b/>
                <w:bCs/>
              </w:rPr>
              <w:t>(1.</w:t>
            </w:r>
            <w:r w:rsidR="00464AF3">
              <w:rPr>
                <w:rFonts w:eastAsia="MS Mincho"/>
                <w:b/>
                <w:bCs/>
              </w:rPr>
              <w:t>15</w:t>
            </w:r>
            <w:r w:rsidRPr="005A7326">
              <w:rPr>
                <w:rFonts w:eastAsia="MS Mincho"/>
                <w:b/>
                <w:bCs/>
              </w:rPr>
              <w:t>, 1.</w:t>
            </w:r>
            <w:r w:rsidR="00464AF3">
              <w:rPr>
                <w:rFonts w:eastAsia="MS Mincho"/>
                <w:b/>
                <w:bCs/>
              </w:rPr>
              <w:t>36</w:t>
            </w:r>
            <w:r w:rsidRPr="005A7326">
              <w:rPr>
                <w:rFonts w:eastAsia="MS Mincho"/>
                <w:b/>
                <w:bCs/>
              </w:rPr>
              <w:t>)</w:t>
            </w:r>
          </w:p>
        </w:tc>
        <w:tc>
          <w:tcPr>
            <w:tcW w:w="807" w:type="pct"/>
            <w:shd w:val="clear" w:color="auto" w:fill="auto"/>
            <w:vAlign w:val="center"/>
          </w:tcPr>
          <w:p w:rsidR="009E03BB" w:rsidRDefault="00DC308F" w:rsidP="009E03BB">
            <w:pPr>
              <w:pStyle w:val="Tablewriting"/>
              <w:keepNext/>
              <w:jc w:val="center"/>
              <w:rPr>
                <w:rFonts w:eastAsia="MS Mincho"/>
              </w:rPr>
            </w:pPr>
            <w:r>
              <w:rPr>
                <w:rFonts w:eastAsia="MS Mincho"/>
              </w:rPr>
              <w:t>NR</w:t>
            </w:r>
          </w:p>
        </w:tc>
      </w:tr>
      <w:tr w:rsidR="00CD28FB" w:rsidRPr="00061F78" w:rsidTr="000708B4">
        <w:trPr>
          <w:cantSplit/>
          <w:trHeight w:val="99"/>
        </w:trPr>
        <w:tc>
          <w:tcPr>
            <w:tcW w:w="721" w:type="pct"/>
            <w:shd w:val="clear" w:color="auto" w:fill="auto"/>
            <w:tcMar>
              <w:left w:w="28" w:type="dxa"/>
              <w:right w:w="28" w:type="dxa"/>
            </w:tcMar>
          </w:tcPr>
          <w:p w:rsidR="00CD28FB" w:rsidRDefault="00CD28FB" w:rsidP="00CD28FB">
            <w:pPr>
              <w:pStyle w:val="Tablewriting"/>
              <w:keepNext/>
              <w:rPr>
                <w:rFonts w:eastAsia="MS Mincho"/>
              </w:rPr>
            </w:pPr>
            <w:r>
              <w:rPr>
                <w:rFonts w:eastAsia="MS Mincho"/>
              </w:rPr>
              <w:t>Updated re-analysis</w:t>
            </w:r>
            <w:r>
              <w:rPr>
                <w:rFonts w:eastAsia="MS Mincho"/>
                <w:vertAlign w:val="superscript"/>
              </w:rPr>
              <w:t>3</w:t>
            </w:r>
          </w:p>
        </w:tc>
        <w:tc>
          <w:tcPr>
            <w:tcW w:w="920" w:type="pct"/>
            <w:shd w:val="clear" w:color="auto" w:fill="auto"/>
            <w:vAlign w:val="center"/>
          </w:tcPr>
          <w:p w:rsidR="00CD28FB" w:rsidRDefault="00CD28FB" w:rsidP="00CD28FB">
            <w:pPr>
              <w:pStyle w:val="Tablewriting"/>
              <w:keepNext/>
              <w:jc w:val="center"/>
              <w:rPr>
                <w:rFonts w:eastAsia="MS Mincho"/>
              </w:rPr>
            </w:pPr>
            <w:r>
              <w:rPr>
                <w:rFonts w:eastAsia="MS Mincho"/>
              </w:rPr>
              <w:t>1</w:t>
            </w:r>
            <w:r w:rsidR="00780BFF">
              <w:rPr>
                <w:rFonts w:eastAsia="MS Mincho"/>
              </w:rPr>
              <w:t>5</w:t>
            </w:r>
            <w:r>
              <w:rPr>
                <w:rFonts w:eastAsia="MS Mincho"/>
              </w:rPr>
              <w:t xml:space="preserve"> RCTs</w:t>
            </w:r>
          </w:p>
        </w:tc>
        <w:tc>
          <w:tcPr>
            <w:tcW w:w="850" w:type="pct"/>
            <w:shd w:val="clear" w:color="auto" w:fill="auto"/>
            <w:tcMar>
              <w:left w:w="28" w:type="dxa"/>
              <w:right w:w="28" w:type="dxa"/>
            </w:tcMar>
            <w:vAlign w:val="center"/>
          </w:tcPr>
          <w:p w:rsidR="00CD28FB" w:rsidRDefault="00780BFF" w:rsidP="00CD28FB">
            <w:pPr>
              <w:pStyle w:val="Tablewriting"/>
              <w:keepNext/>
              <w:jc w:val="center"/>
              <w:rPr>
                <w:rFonts w:eastAsia="MS Mincho"/>
              </w:rPr>
            </w:pPr>
            <w:r>
              <w:rPr>
                <w:rFonts w:eastAsia="MS Mincho"/>
              </w:rPr>
              <w:t>936</w:t>
            </w:r>
            <w:r w:rsidR="00CD28FB">
              <w:rPr>
                <w:rFonts w:eastAsia="MS Mincho"/>
              </w:rPr>
              <w:t>/</w:t>
            </w:r>
            <w:r>
              <w:rPr>
                <w:rFonts w:eastAsia="MS Mincho"/>
              </w:rPr>
              <w:t>5,492</w:t>
            </w:r>
          </w:p>
          <w:p w:rsidR="00CD28FB" w:rsidRDefault="00CD28FB" w:rsidP="00CD28FB">
            <w:pPr>
              <w:pStyle w:val="Tablewriting"/>
              <w:keepNext/>
              <w:jc w:val="center"/>
              <w:rPr>
                <w:rFonts w:eastAsia="MS Mincho"/>
              </w:rPr>
            </w:pPr>
            <w:r>
              <w:rPr>
                <w:rFonts w:eastAsia="MS Mincho"/>
              </w:rPr>
              <w:t>(</w:t>
            </w:r>
            <w:r w:rsidR="00F828BF">
              <w:rPr>
                <w:rFonts w:eastAsia="MS Mincho"/>
              </w:rPr>
              <w:t>17.0</w:t>
            </w:r>
            <w:r>
              <w:rPr>
                <w:rFonts w:eastAsia="MS Mincho"/>
              </w:rPr>
              <w:t>%)</w:t>
            </w:r>
          </w:p>
        </w:tc>
        <w:tc>
          <w:tcPr>
            <w:tcW w:w="851" w:type="pct"/>
            <w:shd w:val="clear" w:color="auto" w:fill="auto"/>
            <w:tcMar>
              <w:left w:w="28" w:type="dxa"/>
              <w:right w:w="28" w:type="dxa"/>
            </w:tcMar>
            <w:vAlign w:val="center"/>
          </w:tcPr>
          <w:p w:rsidR="00CD28FB" w:rsidRDefault="003B7E43" w:rsidP="00CD28FB">
            <w:pPr>
              <w:pStyle w:val="Tablewriting"/>
              <w:keepNext/>
              <w:jc w:val="center"/>
              <w:rPr>
                <w:rFonts w:eastAsia="MS Mincho"/>
              </w:rPr>
            </w:pPr>
            <w:r>
              <w:rPr>
                <w:rFonts w:eastAsia="MS Mincho"/>
              </w:rPr>
              <w:t>893</w:t>
            </w:r>
            <w:r w:rsidR="00CD28FB">
              <w:rPr>
                <w:rFonts w:eastAsia="MS Mincho"/>
              </w:rPr>
              <w:t>/</w:t>
            </w:r>
            <w:r>
              <w:rPr>
                <w:rFonts w:eastAsia="MS Mincho"/>
              </w:rPr>
              <w:t>6,424</w:t>
            </w:r>
          </w:p>
          <w:p w:rsidR="00CD28FB" w:rsidRDefault="00CD28FB" w:rsidP="00CD28FB">
            <w:pPr>
              <w:pStyle w:val="Tablewriting"/>
              <w:keepNext/>
              <w:jc w:val="center"/>
              <w:rPr>
                <w:rFonts w:eastAsia="MS Mincho"/>
              </w:rPr>
            </w:pPr>
            <w:r>
              <w:rPr>
                <w:rFonts w:eastAsia="MS Mincho"/>
              </w:rPr>
              <w:t>(</w:t>
            </w:r>
            <w:r w:rsidR="00F828BF">
              <w:rPr>
                <w:rFonts w:eastAsia="MS Mincho"/>
              </w:rPr>
              <w:t>13.9</w:t>
            </w:r>
            <w:r>
              <w:rPr>
                <w:rFonts w:eastAsia="MS Mincho"/>
              </w:rPr>
              <w:t>%)</w:t>
            </w:r>
          </w:p>
        </w:tc>
        <w:tc>
          <w:tcPr>
            <w:tcW w:w="851" w:type="pct"/>
            <w:shd w:val="clear" w:color="auto" w:fill="auto"/>
            <w:tcMar>
              <w:left w:w="28" w:type="dxa"/>
              <w:right w:w="28" w:type="dxa"/>
            </w:tcMar>
            <w:vAlign w:val="center"/>
          </w:tcPr>
          <w:p w:rsidR="00CD28FB" w:rsidRDefault="00CD28FB" w:rsidP="00CD28FB">
            <w:pPr>
              <w:pStyle w:val="Tablewriting"/>
              <w:keepNext/>
              <w:jc w:val="center"/>
              <w:rPr>
                <w:rFonts w:eastAsia="MS Mincho"/>
                <w:b/>
                <w:bCs/>
              </w:rPr>
            </w:pPr>
            <w:r>
              <w:rPr>
                <w:rFonts w:eastAsia="MS Mincho"/>
                <w:b/>
                <w:bCs/>
              </w:rPr>
              <w:t>1.2</w:t>
            </w:r>
            <w:r w:rsidR="003B7E43">
              <w:rPr>
                <w:rFonts w:eastAsia="MS Mincho"/>
                <w:b/>
                <w:bCs/>
              </w:rPr>
              <w:t>4</w:t>
            </w:r>
          </w:p>
          <w:p w:rsidR="00CD28FB" w:rsidRPr="005A7326" w:rsidRDefault="00CD28FB" w:rsidP="00CD28FB">
            <w:pPr>
              <w:pStyle w:val="Tablewriting"/>
              <w:keepNext/>
              <w:jc w:val="center"/>
              <w:rPr>
                <w:rFonts w:eastAsia="MS Mincho"/>
                <w:b/>
                <w:bCs/>
              </w:rPr>
            </w:pPr>
            <w:r>
              <w:rPr>
                <w:rFonts w:eastAsia="MS Mincho"/>
                <w:b/>
                <w:bCs/>
              </w:rPr>
              <w:t>(1.1</w:t>
            </w:r>
            <w:r w:rsidR="003B7E43">
              <w:rPr>
                <w:rFonts w:eastAsia="MS Mincho"/>
                <w:b/>
                <w:bCs/>
              </w:rPr>
              <w:t>4</w:t>
            </w:r>
            <w:r>
              <w:rPr>
                <w:rFonts w:eastAsia="MS Mincho"/>
                <w:b/>
                <w:bCs/>
              </w:rPr>
              <w:t>, 1.</w:t>
            </w:r>
            <w:r w:rsidR="003B7E43">
              <w:rPr>
                <w:rFonts w:eastAsia="MS Mincho"/>
                <w:b/>
                <w:bCs/>
              </w:rPr>
              <w:t>35</w:t>
            </w:r>
            <w:r>
              <w:rPr>
                <w:rFonts w:eastAsia="MS Mincho"/>
                <w:b/>
                <w:bCs/>
              </w:rPr>
              <w:t>)</w:t>
            </w:r>
          </w:p>
        </w:tc>
        <w:tc>
          <w:tcPr>
            <w:tcW w:w="807" w:type="pct"/>
            <w:shd w:val="clear" w:color="auto" w:fill="auto"/>
            <w:vAlign w:val="center"/>
          </w:tcPr>
          <w:p w:rsidR="00CD28FB" w:rsidRPr="009654FD" w:rsidRDefault="00CD28FB" w:rsidP="00CD28FB">
            <w:pPr>
              <w:pStyle w:val="Tablewriting"/>
              <w:keepNext/>
              <w:jc w:val="center"/>
              <w:rPr>
                <w:rFonts w:eastAsia="MS Mincho"/>
                <w:b/>
                <w:bCs/>
              </w:rPr>
            </w:pPr>
            <w:r w:rsidRPr="009654FD">
              <w:rPr>
                <w:rFonts w:eastAsia="MS Mincho"/>
                <w:b/>
                <w:bCs/>
              </w:rPr>
              <w:t>0.04</w:t>
            </w:r>
          </w:p>
          <w:p w:rsidR="00CD28FB" w:rsidRDefault="00CD28FB" w:rsidP="00CD28FB">
            <w:pPr>
              <w:pStyle w:val="Tablewriting"/>
              <w:keepNext/>
              <w:jc w:val="center"/>
              <w:rPr>
                <w:rFonts w:eastAsia="MS Mincho"/>
              </w:rPr>
            </w:pPr>
            <w:r w:rsidRPr="009654FD">
              <w:rPr>
                <w:rFonts w:eastAsia="MS Mincho"/>
                <w:b/>
                <w:bCs/>
              </w:rPr>
              <w:t>(0.0</w:t>
            </w:r>
            <w:r w:rsidR="003B7E43">
              <w:rPr>
                <w:rFonts w:eastAsia="MS Mincho"/>
                <w:b/>
                <w:bCs/>
              </w:rPr>
              <w:t>2</w:t>
            </w:r>
            <w:r w:rsidRPr="009654FD">
              <w:rPr>
                <w:rFonts w:eastAsia="MS Mincho"/>
                <w:b/>
                <w:bCs/>
              </w:rPr>
              <w:t>, 0.0</w:t>
            </w:r>
            <w:r w:rsidR="003B7E43">
              <w:rPr>
                <w:rFonts w:eastAsia="MS Mincho"/>
                <w:b/>
                <w:bCs/>
              </w:rPr>
              <w:t>5</w:t>
            </w:r>
            <w:r w:rsidRPr="009654FD">
              <w:rPr>
                <w:rFonts w:eastAsia="MS Mincho"/>
                <w:b/>
                <w:bCs/>
              </w:rPr>
              <w:t>)</w:t>
            </w:r>
          </w:p>
        </w:tc>
      </w:tr>
    </w:tbl>
    <w:p w:rsidR="00704CE8" w:rsidRDefault="00704CE8" w:rsidP="005144AD">
      <w:pPr>
        <w:pStyle w:val="TableFooter"/>
        <w:keepNext/>
      </w:pPr>
      <w:r>
        <w:t>Source: Lindson et al. (2019)</w:t>
      </w:r>
      <w:r w:rsidR="00133E66">
        <w:t xml:space="preserve">, Leung et al. </w:t>
      </w:r>
      <w:r>
        <w:t>(2019)</w:t>
      </w:r>
    </w:p>
    <w:p w:rsidR="00704CE8" w:rsidRPr="0070738C" w:rsidRDefault="00704CE8" w:rsidP="005144AD">
      <w:pPr>
        <w:pStyle w:val="TableFooter"/>
        <w:keepNext/>
        <w:rPr>
          <w:i/>
        </w:rPr>
      </w:pPr>
      <w:r>
        <w:t>Abbreviations: CI = confidence interval; RCT = randomised controlled trial; RD = risk difference; RR = risk ratio</w:t>
      </w:r>
      <w:r w:rsidRPr="00061F78">
        <w:t xml:space="preserve"> </w:t>
      </w:r>
    </w:p>
    <w:p w:rsidR="00704CE8" w:rsidRDefault="00704CE8" w:rsidP="005144AD">
      <w:pPr>
        <w:pStyle w:val="TableFooter"/>
        <w:keepNext/>
      </w:pPr>
      <w:r w:rsidRPr="00D468CF">
        <w:t>Note</w:t>
      </w:r>
      <w:r>
        <w:t>s</w:t>
      </w:r>
      <w:r w:rsidRPr="00D468CF">
        <w:t>: Bold indicates statistically significant difference.</w:t>
      </w:r>
      <w:r>
        <w:br/>
        <w:t xml:space="preserve">1 Where cessation was assessed at multiple intervals, the longest follow-up data were used. Where multiple definitions of abstinence were assessed, the strictest of these definitions was used (e.g. continuous/prolonged abstinence over point prevalence abstinence). See </w:t>
      </w:r>
      <w:r w:rsidRPr="008B1DAA">
        <w:t>Appendix</w:t>
      </w:r>
      <w:r w:rsidR="00A33550">
        <w:t xml:space="preserve"> </w:t>
      </w:r>
      <w:r w:rsidR="003C4A1C">
        <w:t xml:space="preserve">Table </w:t>
      </w:r>
      <w:r w:rsidR="003C4A1C">
        <w:rPr>
          <w:noProof/>
        </w:rPr>
        <w:t>156</w:t>
      </w:r>
      <w:r>
        <w:t xml:space="preserve"> for the definition used in each study. </w:t>
      </w:r>
    </w:p>
    <w:p w:rsidR="00704CE8" w:rsidRPr="008B1DAA" w:rsidRDefault="00704CE8" w:rsidP="005144AD">
      <w:pPr>
        <w:pStyle w:val="TableFooter"/>
        <w:keepNext/>
      </w:pPr>
      <w:r w:rsidRPr="008B1DAA">
        <w:t xml:space="preserve">2 Calculated </w:t>
      </w:r>
      <w:r w:rsidR="00133E66" w:rsidRPr="008B1DAA">
        <w:t xml:space="preserve">by Cochrane Review authors </w:t>
      </w:r>
      <w:r w:rsidRPr="008B1DAA">
        <w:t>using a fixed-effect model</w:t>
      </w:r>
    </w:p>
    <w:p w:rsidR="00C839CF" w:rsidRDefault="00C839CF" w:rsidP="00C839CF">
      <w:pPr>
        <w:pStyle w:val="TableFooter"/>
      </w:pPr>
      <w:r w:rsidRPr="008B1DAA">
        <w:t>3 Calculated during the review using a random-effect model</w:t>
      </w:r>
    </w:p>
    <w:p w:rsidR="00914746" w:rsidRDefault="005144AD" w:rsidP="00914746">
      <w:r w:rsidRPr="005144AD">
        <w:t xml:space="preserve">The results of the individual studies included in </w:t>
      </w:r>
      <w:r w:rsidR="003904D1">
        <w:t>the updated re-analysis</w:t>
      </w:r>
      <w:r w:rsidRPr="005144AD">
        <w:t xml:space="preserve"> are presented using a forest plot in </w:t>
      </w:r>
      <w:r w:rsidR="003C4A1C">
        <w:t xml:space="preserve">Figure </w:t>
      </w:r>
      <w:r w:rsidR="003C4A1C">
        <w:rPr>
          <w:noProof/>
        </w:rPr>
        <w:t>15</w:t>
      </w:r>
      <w:r w:rsidRPr="005144AD">
        <w:t>.</w:t>
      </w:r>
      <w:r w:rsidR="00DA3460">
        <w:t xml:space="preserve"> </w:t>
      </w:r>
      <w:r w:rsidR="00BC3A51">
        <w:t xml:space="preserve">To avoid double counting, Lindson et al. (2019) </w:t>
      </w:r>
      <w:r w:rsidR="001E49BB">
        <w:t xml:space="preserve">split the intervention group (combination NRT) in half </w:t>
      </w:r>
      <w:r w:rsidR="0044351A">
        <w:t>for</w:t>
      </w:r>
      <w:r w:rsidR="006604FC">
        <w:t xml:space="preserve"> the four studies</w:t>
      </w:r>
      <w:r w:rsidR="005A4296" w:rsidRPr="005A4296">
        <w:t xml:space="preserve"> </w:t>
      </w:r>
      <w:r w:rsidR="0044351A">
        <w:t>(</w:t>
      </w:r>
      <w:r w:rsidR="005A4296" w:rsidRPr="005A4296">
        <w:t>Croghan et al. 2003, Piper et al. 2009, Smith et al. 2009 and Tonnesen et al. 2000)</w:t>
      </w:r>
      <w:r w:rsidR="006604FC">
        <w:t xml:space="preserve"> </w:t>
      </w:r>
      <w:r w:rsidR="005A4296">
        <w:t>in the pooled analysis</w:t>
      </w:r>
      <w:r w:rsidR="0044351A">
        <w:t>.</w:t>
      </w:r>
      <w:r w:rsidR="005A4296">
        <w:t xml:space="preserve"> </w:t>
      </w:r>
    </w:p>
    <w:p w:rsidR="00AC2BFF" w:rsidRDefault="28C1969A" w:rsidP="00AC2BFF">
      <w:pPr>
        <w:keepNext/>
      </w:pPr>
      <w:r>
        <w:rPr>
          <w:noProof/>
        </w:rPr>
        <w:lastRenderedPageBreak/>
        <w:drawing>
          <wp:inline distT="0" distB="0" distL="0" distR="0" wp14:anchorId="4D62E056" wp14:editId="10B20C0E">
            <wp:extent cx="5731510" cy="3710940"/>
            <wp:effectExtent l="0" t="0" r="2540" b="381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pic:nvPicPr>
                  <pic:blipFill>
                    <a:blip r:embed="rId34">
                      <a:extLst>
                        <a:ext uri="{28A0092B-C50C-407E-A947-70E740481C1C}">
                          <a14:useLocalDpi xmlns:a14="http://schemas.microsoft.com/office/drawing/2010/main" val="0"/>
                        </a:ext>
                      </a:extLst>
                    </a:blip>
                    <a:stretch>
                      <a:fillRect/>
                    </a:stretch>
                  </pic:blipFill>
                  <pic:spPr>
                    <a:xfrm>
                      <a:off x="0" y="0"/>
                      <a:ext cx="5731510" cy="3710940"/>
                    </a:xfrm>
                    <a:prstGeom prst="rect">
                      <a:avLst/>
                    </a:prstGeom>
                  </pic:spPr>
                </pic:pic>
              </a:graphicData>
            </a:graphic>
          </wp:inline>
        </w:drawing>
      </w:r>
    </w:p>
    <w:p w:rsidR="003F3FE7" w:rsidRDefault="00AC2BFF" w:rsidP="00AC2BFF">
      <w:pPr>
        <w:pStyle w:val="Caption"/>
      </w:pPr>
      <w:bookmarkStart w:id="146" w:name="_Ref55301626"/>
      <w:r>
        <w:t xml:space="preserve">Figure </w:t>
      </w:r>
      <w:r w:rsidR="003C4A1C">
        <w:rPr>
          <w:noProof/>
        </w:rPr>
        <w:t>15</w:t>
      </w:r>
      <w:bookmarkEnd w:id="146"/>
      <w:r>
        <w:t xml:space="preserve">: </w:t>
      </w:r>
      <w:r w:rsidRPr="000849DA">
        <w:t>Results of smoking cessation f</w:t>
      </w:r>
      <w:r w:rsidR="008A27A8">
        <w:t>or</w:t>
      </w:r>
      <w:r w:rsidRPr="000849DA">
        <w:t xml:space="preserve"> at least six months follow-up </w:t>
      </w:r>
      <w:r w:rsidR="003904D1">
        <w:t>based on updated re-analysis</w:t>
      </w:r>
      <w:r w:rsidRPr="000849DA">
        <w:t xml:space="preserve">, combination NRT versus </w:t>
      </w:r>
      <w:r w:rsidR="0073343B">
        <w:t>NRT monotherapy</w:t>
      </w:r>
    </w:p>
    <w:p w:rsidR="0073343B" w:rsidRDefault="0073343B" w:rsidP="0073343B">
      <w:pPr>
        <w:pStyle w:val="FigureFooter"/>
      </w:pPr>
      <w:r>
        <w:t>Source: Lindson et al. (2019)</w:t>
      </w:r>
      <w:r w:rsidR="003904D1">
        <w:t xml:space="preserve">, Leung et al. </w:t>
      </w:r>
      <w:r>
        <w:t>(2019)</w:t>
      </w:r>
    </w:p>
    <w:p w:rsidR="00A20F00" w:rsidRDefault="0073343B" w:rsidP="005F2C5A">
      <w:pPr>
        <w:pStyle w:val="FigureFooter"/>
      </w:pPr>
      <w:r>
        <w:t>Abbreviations: CI = confidence interval</w:t>
      </w:r>
    </w:p>
    <w:p w:rsidR="00B261A7" w:rsidRDefault="00B261A7" w:rsidP="00B261A7">
      <w:pPr>
        <w:pStyle w:val="FigureFooter"/>
      </w:pPr>
      <w:r>
        <w:t xml:space="preserve">Notes: The </w:t>
      </w:r>
      <w:r w:rsidR="005A2BFE">
        <w:t>type of formulation used</w:t>
      </w:r>
      <w:r>
        <w:t xml:space="preserve"> in </w:t>
      </w:r>
      <w:r w:rsidR="005A2BFE">
        <w:t xml:space="preserve">the </w:t>
      </w:r>
      <w:r>
        <w:t xml:space="preserve">combination NRT treatment arm were: NRT patch + lozenge (Piper 2009, Smith 2009, Baker 2016, </w:t>
      </w:r>
      <w:r w:rsidR="00B05DCD">
        <w:t>and Krupski</w:t>
      </w:r>
      <w:r>
        <w:t xml:space="preserve"> 2016), NRT patch + gum (Kornitzer 1995, Puska 1995, Cooney 2009, Smith 2013, Leung 2019), NRT patch + nasal spray (Blondal 1999, Croghan 2003), NRT patch + inhaler (Bohadana 2000, Tonnesen 2000, Caldwell 2016), NRT patch + oral spray (Caldwell 2014)</w:t>
      </w:r>
      <w:r w:rsidR="00AB5FA3">
        <w:t>.</w:t>
      </w:r>
    </w:p>
    <w:p w:rsidR="00B261A7" w:rsidRDefault="00B261A7" w:rsidP="00E05F1C"/>
    <w:p w:rsidR="005D6D26" w:rsidRDefault="008F0FCD" w:rsidP="00E05F1C">
      <w:r>
        <w:t>To determin</w:t>
      </w:r>
      <w:r w:rsidR="00820990">
        <w:t xml:space="preserve">e the </w:t>
      </w:r>
      <w:r w:rsidR="001C0C6B">
        <w:t xml:space="preserve">comparative effectiveness of the </w:t>
      </w:r>
      <w:r w:rsidR="00962243">
        <w:t xml:space="preserve">different </w:t>
      </w:r>
      <w:r w:rsidR="009E4619">
        <w:t xml:space="preserve">types of </w:t>
      </w:r>
      <w:r w:rsidR="0027066A">
        <w:t>combination NRT formulations, a</w:t>
      </w:r>
      <w:r w:rsidR="007840CF">
        <w:t xml:space="preserve">dditional subgroup analyses were conducted during the review </w:t>
      </w:r>
      <w:r>
        <w:t>based</w:t>
      </w:r>
      <w:r w:rsidR="007840CF">
        <w:t xml:space="preserve"> on the type of formulation used in the combination NRT treatment arm. The results of the meta-analysis for </w:t>
      </w:r>
      <w:r w:rsidR="007840CF" w:rsidRPr="004949E4">
        <w:t xml:space="preserve">combination NRT (subgroup based on formulation) versus NRT </w:t>
      </w:r>
      <w:r w:rsidR="00573F59">
        <w:t>patches</w:t>
      </w:r>
      <w:r w:rsidR="007840CF">
        <w:t xml:space="preserve"> and </w:t>
      </w:r>
      <w:r w:rsidR="007840CF" w:rsidRPr="004949E4">
        <w:t xml:space="preserve">combination NRT (subgroup based on formulation) versus </w:t>
      </w:r>
      <w:r w:rsidR="007840CF">
        <w:t xml:space="preserve">fast-acting </w:t>
      </w:r>
      <w:r w:rsidR="007840CF" w:rsidRPr="004949E4">
        <w:t xml:space="preserve">NRT </w:t>
      </w:r>
      <w:r w:rsidR="007840CF">
        <w:t xml:space="preserve">are presented in </w:t>
      </w:r>
      <w:r w:rsidR="003C4A1C">
        <w:t xml:space="preserve">Figure </w:t>
      </w:r>
      <w:r w:rsidR="003C4A1C">
        <w:rPr>
          <w:noProof/>
        </w:rPr>
        <w:t>16</w:t>
      </w:r>
      <w:r w:rsidR="005D6D26">
        <w:t xml:space="preserve"> and </w:t>
      </w:r>
      <w:r w:rsidR="003C4A1C">
        <w:t xml:space="preserve">Figure </w:t>
      </w:r>
      <w:r w:rsidR="003C4A1C">
        <w:rPr>
          <w:noProof/>
        </w:rPr>
        <w:t>17</w:t>
      </w:r>
      <w:r w:rsidR="005D6D26">
        <w:t>, respectively.</w:t>
      </w:r>
    </w:p>
    <w:p w:rsidR="007840CF" w:rsidRDefault="007840CF" w:rsidP="007840CF">
      <w:r>
        <w:t xml:space="preserve">For </w:t>
      </w:r>
      <w:r w:rsidRPr="004949E4">
        <w:t xml:space="preserve">combination NRT versus NRT </w:t>
      </w:r>
      <w:r w:rsidR="00573F59">
        <w:t>patches</w:t>
      </w:r>
      <w:r>
        <w:t xml:space="preserve">, NRT patch + lozenge and NRT patch + gum were shown to provide </w:t>
      </w:r>
      <w:r w:rsidRPr="005D6D26">
        <w:t xml:space="preserve">a significantly higher rate of long-term smoking cessation </w:t>
      </w:r>
      <w:r>
        <w:t xml:space="preserve">compared to NRT </w:t>
      </w:r>
      <w:r w:rsidR="00573F59">
        <w:t>patches</w:t>
      </w:r>
      <w:r>
        <w:t xml:space="preserve"> alone. There were no statistically significant differences observed for the other types of combination NRT formulations (patch + nasal spray, patch + inhaler, patch + oral spray).</w:t>
      </w:r>
    </w:p>
    <w:p w:rsidR="007840CF" w:rsidRDefault="007840CF" w:rsidP="007840CF">
      <w:r>
        <w:t xml:space="preserve">For </w:t>
      </w:r>
      <w:r w:rsidRPr="004949E4">
        <w:t xml:space="preserve">combination NRT versus </w:t>
      </w:r>
      <w:r>
        <w:t xml:space="preserve">fast-acting </w:t>
      </w:r>
      <w:r w:rsidRPr="004949E4">
        <w:t>NRT</w:t>
      </w:r>
      <w:r>
        <w:t xml:space="preserve">, only NRT patch + lozenge was shown to provide </w:t>
      </w:r>
      <w:r w:rsidRPr="005D6D26">
        <w:t xml:space="preserve">a significantly higher rate of long-term smoking cessation </w:t>
      </w:r>
      <w:r>
        <w:t>compared to fast-acting NRT alone. There were no statistically significant differences observed for the other types of combination NRT formulations (patch + gum, patch + nasal spray, patch + inhaler).</w:t>
      </w:r>
    </w:p>
    <w:p w:rsidR="00AD4EBA" w:rsidRDefault="00AD4EBA" w:rsidP="00E05F1C"/>
    <w:p w:rsidR="00B02A4F" w:rsidRDefault="54158360" w:rsidP="00B02A4F">
      <w:pPr>
        <w:keepNext/>
      </w:pPr>
      <w:r>
        <w:rPr>
          <w:noProof/>
        </w:rPr>
        <w:drawing>
          <wp:inline distT="0" distB="0" distL="0" distR="0" wp14:anchorId="08D1B0D3" wp14:editId="63866B12">
            <wp:extent cx="5731510" cy="5306693"/>
            <wp:effectExtent l="0" t="0" r="2540" b="825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pic:nvPicPr>
                  <pic:blipFill>
                    <a:blip r:embed="rId35">
                      <a:extLst>
                        <a:ext uri="{28A0092B-C50C-407E-A947-70E740481C1C}">
                          <a14:useLocalDpi xmlns:a14="http://schemas.microsoft.com/office/drawing/2010/main" val="0"/>
                        </a:ext>
                      </a:extLst>
                    </a:blip>
                    <a:stretch>
                      <a:fillRect/>
                    </a:stretch>
                  </pic:blipFill>
                  <pic:spPr>
                    <a:xfrm>
                      <a:off x="0" y="0"/>
                      <a:ext cx="5731510" cy="5306693"/>
                    </a:xfrm>
                    <a:prstGeom prst="rect">
                      <a:avLst/>
                    </a:prstGeom>
                  </pic:spPr>
                </pic:pic>
              </a:graphicData>
            </a:graphic>
          </wp:inline>
        </w:drawing>
      </w:r>
    </w:p>
    <w:p w:rsidR="00E05F1C" w:rsidRDefault="00B02A4F" w:rsidP="00B02A4F">
      <w:pPr>
        <w:pStyle w:val="Caption"/>
      </w:pPr>
      <w:bookmarkStart w:id="147" w:name="_Ref62124868"/>
      <w:r>
        <w:t xml:space="preserve">Figure </w:t>
      </w:r>
      <w:r w:rsidR="003C4A1C">
        <w:rPr>
          <w:noProof/>
        </w:rPr>
        <w:t>16</w:t>
      </w:r>
      <w:bookmarkEnd w:id="147"/>
      <w:r>
        <w:t xml:space="preserve">: </w:t>
      </w:r>
      <w:r w:rsidRPr="008D7D3A">
        <w:t>Results of smoking cessation f</w:t>
      </w:r>
      <w:r w:rsidR="008A27A8">
        <w:t>or</w:t>
      </w:r>
      <w:r w:rsidRPr="008D7D3A">
        <w:t xml:space="preserve"> at least six months follow-up based on updated re-analysis, combination NRT </w:t>
      </w:r>
      <w:r>
        <w:t xml:space="preserve">(subgroup based on formulation) </w:t>
      </w:r>
      <w:r w:rsidRPr="008D7D3A">
        <w:t xml:space="preserve">versus NRT </w:t>
      </w:r>
      <w:r>
        <w:t>patch</w:t>
      </w:r>
    </w:p>
    <w:p w:rsidR="00C558A9" w:rsidRDefault="00C558A9" w:rsidP="00C558A9">
      <w:pPr>
        <w:pStyle w:val="FigureFooter"/>
      </w:pPr>
      <w:r>
        <w:t xml:space="preserve">Source: </w:t>
      </w:r>
      <w:r w:rsidR="009232E0">
        <w:t xml:space="preserve">constructed during the review </w:t>
      </w:r>
      <w:r w:rsidR="00EB369D">
        <w:t>based on</w:t>
      </w:r>
      <w:r w:rsidR="009232E0">
        <w:t xml:space="preserve"> </w:t>
      </w:r>
      <w:r>
        <w:t>Lindson et al. (2019), Leung et al. (2019)</w:t>
      </w:r>
    </w:p>
    <w:p w:rsidR="00B02A4F" w:rsidRDefault="00C558A9" w:rsidP="00C558A9">
      <w:pPr>
        <w:pStyle w:val="FigureFooter"/>
      </w:pPr>
      <w:r>
        <w:t>Abbreviations: CI = confidence interval</w:t>
      </w:r>
    </w:p>
    <w:p w:rsidR="00A2255C" w:rsidRDefault="0D6931A4" w:rsidP="00A2255C">
      <w:pPr>
        <w:keepNext/>
      </w:pPr>
      <w:r>
        <w:rPr>
          <w:noProof/>
        </w:rPr>
        <w:lastRenderedPageBreak/>
        <w:drawing>
          <wp:inline distT="0" distB="0" distL="0" distR="0" wp14:anchorId="45905E46" wp14:editId="446304B0">
            <wp:extent cx="5731510" cy="3720465"/>
            <wp:effectExtent l="0" t="0" r="254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pic:nvPicPr>
                  <pic:blipFill>
                    <a:blip r:embed="rId36">
                      <a:extLst>
                        <a:ext uri="{28A0092B-C50C-407E-A947-70E740481C1C}">
                          <a14:useLocalDpi xmlns:a14="http://schemas.microsoft.com/office/drawing/2010/main" val="0"/>
                        </a:ext>
                      </a:extLst>
                    </a:blip>
                    <a:stretch>
                      <a:fillRect/>
                    </a:stretch>
                  </pic:blipFill>
                  <pic:spPr>
                    <a:xfrm>
                      <a:off x="0" y="0"/>
                      <a:ext cx="5731510" cy="3720465"/>
                    </a:xfrm>
                    <a:prstGeom prst="rect">
                      <a:avLst/>
                    </a:prstGeom>
                  </pic:spPr>
                </pic:pic>
              </a:graphicData>
            </a:graphic>
          </wp:inline>
        </w:drawing>
      </w:r>
    </w:p>
    <w:p w:rsidR="00A2255C" w:rsidRDefault="00A2255C" w:rsidP="00A2255C">
      <w:pPr>
        <w:pStyle w:val="Caption"/>
      </w:pPr>
      <w:bookmarkStart w:id="148" w:name="_Ref62124869"/>
      <w:r>
        <w:t xml:space="preserve">Figure </w:t>
      </w:r>
      <w:r w:rsidR="003C4A1C">
        <w:rPr>
          <w:noProof/>
        </w:rPr>
        <w:t>17</w:t>
      </w:r>
      <w:bookmarkEnd w:id="148"/>
      <w:r>
        <w:t xml:space="preserve">: </w:t>
      </w:r>
      <w:r w:rsidRPr="001653A7">
        <w:t xml:space="preserve">Results of smoking cessation </w:t>
      </w:r>
      <w:r w:rsidR="00F610DC">
        <w:t>for</w:t>
      </w:r>
      <w:r w:rsidRPr="001653A7">
        <w:t xml:space="preserve"> at least six months follow-up based on updated re-analysis, combination NRT (subgroup based on formulation) versus </w:t>
      </w:r>
      <w:r>
        <w:t>fast</w:t>
      </w:r>
      <w:r w:rsidR="00077BB6">
        <w:t>-</w:t>
      </w:r>
      <w:r>
        <w:t>acting</w:t>
      </w:r>
      <w:r w:rsidR="00077BB6">
        <w:t xml:space="preserve"> </w:t>
      </w:r>
      <w:r w:rsidRPr="001653A7">
        <w:t>NRT</w:t>
      </w:r>
    </w:p>
    <w:p w:rsidR="00077BB6" w:rsidRDefault="00077BB6" w:rsidP="00077BB6">
      <w:pPr>
        <w:pStyle w:val="FigureFooter"/>
      </w:pPr>
      <w:r>
        <w:t>Source:</w:t>
      </w:r>
      <w:r w:rsidR="00EB369D">
        <w:t xml:space="preserve"> constructed during the review based on</w:t>
      </w:r>
      <w:r>
        <w:t xml:space="preserve"> Lindson et al. (2019), Leung et al. (2019)</w:t>
      </w:r>
    </w:p>
    <w:p w:rsidR="00077BB6" w:rsidRDefault="00077BB6" w:rsidP="00077BB6">
      <w:pPr>
        <w:pStyle w:val="FigureFooter"/>
      </w:pPr>
      <w:r>
        <w:t>Abbreviations: CI = confidence interval</w:t>
      </w:r>
    </w:p>
    <w:p w:rsidR="00B430D0" w:rsidRPr="0073597F" w:rsidRDefault="00B430D0" w:rsidP="00B430D0">
      <w:pPr>
        <w:rPr>
          <w:u w:val="single"/>
        </w:rPr>
      </w:pPr>
      <w:r w:rsidRPr="0073597F">
        <w:rPr>
          <w:u w:val="single"/>
        </w:rPr>
        <w:t>Safety</w:t>
      </w:r>
    </w:p>
    <w:p w:rsidR="00861DBA" w:rsidRDefault="00A22BF4" w:rsidP="00B430D0">
      <w:r w:rsidRPr="00A22BF4">
        <w:t xml:space="preserve">A summary of key adverse events </w:t>
      </w:r>
      <w:r w:rsidR="00BA7E32">
        <w:t xml:space="preserve">comparing combination NRT with NRT monotherapy </w:t>
      </w:r>
      <w:r w:rsidRPr="00A22BF4">
        <w:t xml:space="preserve">is presented in </w:t>
      </w:r>
      <w:r w:rsidR="003C4A1C">
        <w:t xml:space="preserve">Table </w:t>
      </w:r>
      <w:r w:rsidR="003C4A1C">
        <w:rPr>
          <w:noProof/>
        </w:rPr>
        <w:t>61</w:t>
      </w:r>
      <w:r w:rsidRPr="00A22BF4">
        <w:t xml:space="preserve">. Based on the Cochrane </w:t>
      </w:r>
      <w:r w:rsidR="00861DBA">
        <w:t>R</w:t>
      </w:r>
      <w:r w:rsidRPr="00A22BF4">
        <w:t xml:space="preserve">eview by Lindson et al. (2019), there were no statistically significant differences between </w:t>
      </w:r>
      <w:r w:rsidR="00A71AD6">
        <w:t xml:space="preserve">combination </w:t>
      </w:r>
      <w:r w:rsidRPr="00A22BF4">
        <w:t xml:space="preserve">NRT and NRT </w:t>
      </w:r>
      <w:r w:rsidR="00A71AD6">
        <w:t>monotherapy</w:t>
      </w:r>
      <w:r w:rsidR="00E02944">
        <w:t xml:space="preserve"> (NRT </w:t>
      </w:r>
      <w:r w:rsidR="00573F59">
        <w:t>patches</w:t>
      </w:r>
      <w:r w:rsidR="00E02944">
        <w:t xml:space="preserve"> alone or fast-acting NRT)</w:t>
      </w:r>
      <w:r w:rsidRPr="00A22BF4">
        <w:t xml:space="preserve"> in terms of </w:t>
      </w:r>
      <w:r w:rsidR="006351C3">
        <w:t>cardiac adverse event</w:t>
      </w:r>
      <w:r w:rsidR="00F610DC">
        <w:t>s</w:t>
      </w:r>
      <w:r w:rsidR="006351C3">
        <w:t xml:space="preserve">, </w:t>
      </w:r>
      <w:r w:rsidRPr="00A22BF4">
        <w:t xml:space="preserve">serious adverse events </w:t>
      </w:r>
      <w:r w:rsidR="00386769">
        <w:t>or</w:t>
      </w:r>
      <w:r w:rsidRPr="00A22BF4">
        <w:t xml:space="preserve"> withdrawals due to treatment.</w:t>
      </w:r>
    </w:p>
    <w:p w:rsidR="00B430D0" w:rsidRDefault="00861DBA" w:rsidP="00B430D0">
      <w:r>
        <w:t>The results of the updated re-analysis for cardiac adverse event</w:t>
      </w:r>
      <w:r w:rsidR="00F610DC">
        <w:t>s</w:t>
      </w:r>
      <w:r>
        <w:t xml:space="preserve"> were consistent with</w:t>
      </w:r>
      <w:r w:rsidR="00A22BF4" w:rsidRPr="00A22BF4">
        <w:t xml:space="preserve"> </w:t>
      </w:r>
      <w:r w:rsidR="00BA5F64">
        <w:t xml:space="preserve">the results from Lindson et al. (2019), although the point estimate </w:t>
      </w:r>
      <w:r w:rsidR="00F610DC">
        <w:t>was</w:t>
      </w:r>
      <w:r w:rsidR="00BA5F64">
        <w:t xml:space="preserve"> now less than 1 which suggests that cardiac adverse events were lower in the combination NRT treatment arm.</w:t>
      </w:r>
      <w:r w:rsidR="00A22BF4" w:rsidRPr="00A22BF4">
        <w:t xml:space="preserve"> </w:t>
      </w:r>
    </w:p>
    <w:p w:rsidR="00B032C3" w:rsidRDefault="00B032C3" w:rsidP="00B032C3">
      <w:pPr>
        <w:pStyle w:val="Caption"/>
        <w:keepNext/>
      </w:pPr>
      <w:bookmarkStart w:id="149" w:name="_Ref55308301"/>
      <w:r>
        <w:t xml:space="preserve">Table </w:t>
      </w:r>
      <w:r w:rsidR="003C4A1C">
        <w:rPr>
          <w:noProof/>
        </w:rPr>
        <w:t>61</w:t>
      </w:r>
      <w:bookmarkEnd w:id="149"/>
      <w:r>
        <w:t xml:space="preserve">: </w:t>
      </w:r>
      <w:r w:rsidRPr="00462BC3">
        <w:t xml:space="preserve">Summary of key adverse events in </w:t>
      </w:r>
      <w:r>
        <w:t>Lindson</w:t>
      </w:r>
      <w:r w:rsidRPr="00462BC3">
        <w:t xml:space="preserve"> et al. (20</w:t>
      </w:r>
      <w:r>
        <w:t>19</w:t>
      </w:r>
      <w:r w:rsidRPr="00462BC3">
        <w:t xml:space="preserve">), </w:t>
      </w:r>
      <w:r>
        <w:t>combination NRT</w:t>
      </w:r>
      <w:r w:rsidRPr="00462BC3">
        <w:t xml:space="preserve"> versus </w:t>
      </w:r>
      <w:r>
        <w:t>NRT monotherapy</w:t>
      </w:r>
    </w:p>
    <w:tbl>
      <w:tblPr>
        <w:tblStyle w:val="TableGrid"/>
        <w:tblW w:w="5000" w:type="pct"/>
        <w:tblLook w:val="04A0" w:firstRow="1" w:lastRow="0" w:firstColumn="1" w:lastColumn="0" w:noHBand="0" w:noVBand="1"/>
        <w:tblCaption w:val="Efficacy results of adalimumab trials (PASI 75 and DLQI)"/>
      </w:tblPr>
      <w:tblGrid>
        <w:gridCol w:w="1980"/>
        <w:gridCol w:w="1861"/>
        <w:gridCol w:w="1311"/>
        <w:gridCol w:w="1311"/>
        <w:gridCol w:w="1311"/>
        <w:gridCol w:w="1242"/>
      </w:tblGrid>
      <w:tr w:rsidR="004D48D6" w:rsidRPr="00061F78" w:rsidTr="007D70B8">
        <w:trPr>
          <w:cantSplit/>
          <w:trHeight w:val="299"/>
          <w:tblHeader/>
        </w:trPr>
        <w:tc>
          <w:tcPr>
            <w:tcW w:w="1098" w:type="pct"/>
            <w:shd w:val="clear" w:color="auto" w:fill="BFBFBF" w:themeFill="background1" w:themeFillShade="BF"/>
            <w:tcMar>
              <w:left w:w="28" w:type="dxa"/>
              <w:right w:w="28" w:type="dxa"/>
            </w:tcMar>
          </w:tcPr>
          <w:p w:rsidR="00AC43C2" w:rsidRDefault="00AC43C2" w:rsidP="00F9381D">
            <w:pPr>
              <w:pStyle w:val="Tableheading"/>
              <w:rPr>
                <w:rFonts w:eastAsia="MS Mincho"/>
              </w:rPr>
            </w:pPr>
            <w:r>
              <w:rPr>
                <w:rFonts w:eastAsia="MS Mincho"/>
              </w:rPr>
              <w:t>Outcome</w:t>
            </w:r>
          </w:p>
        </w:tc>
        <w:tc>
          <w:tcPr>
            <w:tcW w:w="1032" w:type="pct"/>
            <w:shd w:val="clear" w:color="auto" w:fill="BFBFBF" w:themeFill="background1" w:themeFillShade="BF"/>
          </w:tcPr>
          <w:p w:rsidR="00AC43C2" w:rsidRDefault="00AC43C2" w:rsidP="00F9381D">
            <w:pPr>
              <w:pStyle w:val="Tableheading"/>
              <w:jc w:val="center"/>
              <w:rPr>
                <w:rFonts w:eastAsia="MS Mincho"/>
              </w:rPr>
            </w:pPr>
            <w:r>
              <w:rPr>
                <w:rFonts w:eastAsia="MS Mincho"/>
              </w:rPr>
              <w:t>Study type</w:t>
            </w:r>
          </w:p>
        </w:tc>
        <w:tc>
          <w:tcPr>
            <w:tcW w:w="727" w:type="pct"/>
            <w:shd w:val="clear" w:color="auto" w:fill="BFBFBF" w:themeFill="background1" w:themeFillShade="BF"/>
            <w:tcMar>
              <w:left w:w="28" w:type="dxa"/>
              <w:right w:w="28" w:type="dxa"/>
            </w:tcMar>
            <w:vAlign w:val="center"/>
          </w:tcPr>
          <w:p w:rsidR="00AC43C2" w:rsidRPr="00061F78" w:rsidRDefault="00AC43C2" w:rsidP="00F9381D">
            <w:pPr>
              <w:pStyle w:val="Tableheading"/>
              <w:jc w:val="center"/>
              <w:rPr>
                <w:rFonts w:eastAsia="MS Mincho"/>
              </w:rPr>
            </w:pPr>
            <w:r>
              <w:rPr>
                <w:rFonts w:eastAsia="MS Mincho"/>
              </w:rPr>
              <w:t>Combination NRT</w:t>
            </w:r>
          </w:p>
        </w:tc>
        <w:tc>
          <w:tcPr>
            <w:tcW w:w="727" w:type="pct"/>
            <w:shd w:val="clear" w:color="auto" w:fill="BFBFBF" w:themeFill="background1" w:themeFillShade="BF"/>
            <w:tcMar>
              <w:left w:w="28" w:type="dxa"/>
              <w:right w:w="28" w:type="dxa"/>
            </w:tcMar>
            <w:vAlign w:val="center"/>
          </w:tcPr>
          <w:p w:rsidR="00AC43C2" w:rsidRPr="00061F78" w:rsidRDefault="00AC43C2" w:rsidP="00F9381D">
            <w:pPr>
              <w:pStyle w:val="Tableheading"/>
              <w:jc w:val="center"/>
              <w:rPr>
                <w:rFonts w:eastAsia="MS Mincho"/>
              </w:rPr>
            </w:pPr>
            <w:r>
              <w:rPr>
                <w:rFonts w:eastAsia="MS Mincho"/>
              </w:rPr>
              <w:t>NRT monotherapy</w:t>
            </w:r>
          </w:p>
        </w:tc>
        <w:tc>
          <w:tcPr>
            <w:tcW w:w="727" w:type="pct"/>
            <w:shd w:val="clear" w:color="auto" w:fill="BFBFBF" w:themeFill="background1" w:themeFillShade="BF"/>
            <w:tcMar>
              <w:left w:w="28" w:type="dxa"/>
              <w:right w:w="28" w:type="dxa"/>
            </w:tcMar>
            <w:vAlign w:val="center"/>
          </w:tcPr>
          <w:p w:rsidR="00AC43C2" w:rsidRPr="00681ACA" w:rsidRDefault="00AC43C2" w:rsidP="00F9381D">
            <w:pPr>
              <w:pStyle w:val="Tableheading"/>
              <w:jc w:val="center"/>
              <w:rPr>
                <w:rFonts w:eastAsia="MS Mincho"/>
                <w:vertAlign w:val="superscript"/>
              </w:rPr>
            </w:pPr>
            <w:r>
              <w:rPr>
                <w:rFonts w:eastAsia="MS Mincho"/>
              </w:rPr>
              <w:t>RR (95% CI)</w:t>
            </w:r>
          </w:p>
        </w:tc>
        <w:tc>
          <w:tcPr>
            <w:tcW w:w="689" w:type="pct"/>
            <w:shd w:val="clear" w:color="auto" w:fill="BFBFBF" w:themeFill="background1" w:themeFillShade="BF"/>
            <w:vAlign w:val="center"/>
          </w:tcPr>
          <w:p w:rsidR="00AC43C2" w:rsidRDefault="00AC43C2" w:rsidP="00F9381D">
            <w:pPr>
              <w:pStyle w:val="Tableheading"/>
              <w:jc w:val="center"/>
              <w:rPr>
                <w:rFonts w:eastAsia="MS Mincho"/>
              </w:rPr>
            </w:pPr>
            <w:r>
              <w:rPr>
                <w:rFonts w:eastAsia="MS Mincho"/>
              </w:rPr>
              <w:t>RD (95% CI)</w:t>
            </w:r>
          </w:p>
        </w:tc>
      </w:tr>
      <w:tr w:rsidR="000708B4" w:rsidRPr="00061F78" w:rsidTr="004B53F8">
        <w:trPr>
          <w:cantSplit/>
          <w:trHeight w:val="99"/>
        </w:trPr>
        <w:tc>
          <w:tcPr>
            <w:tcW w:w="5000" w:type="pct"/>
            <w:gridSpan w:val="6"/>
            <w:shd w:val="clear" w:color="auto" w:fill="auto"/>
            <w:tcMar>
              <w:left w:w="28" w:type="dxa"/>
              <w:right w:w="28" w:type="dxa"/>
            </w:tcMar>
          </w:tcPr>
          <w:p w:rsidR="000708B4" w:rsidRPr="004B53F8" w:rsidRDefault="000708B4" w:rsidP="00F9381D">
            <w:pPr>
              <w:pStyle w:val="Tablewriting"/>
              <w:rPr>
                <w:rFonts w:eastAsia="MS Mincho"/>
                <w:b/>
                <w:bCs/>
              </w:rPr>
            </w:pPr>
            <w:r w:rsidRPr="004B53F8">
              <w:rPr>
                <w:rFonts w:eastAsia="MS Mincho"/>
                <w:b/>
                <w:bCs/>
              </w:rPr>
              <w:t>Cardiac adverse event</w:t>
            </w:r>
            <w:r w:rsidR="008A27A8">
              <w:rPr>
                <w:rFonts w:eastAsia="MS Mincho"/>
                <w:b/>
                <w:bCs/>
              </w:rPr>
              <w:t>s</w:t>
            </w:r>
          </w:p>
        </w:tc>
      </w:tr>
      <w:tr w:rsidR="00AC43C2" w:rsidRPr="00061F78" w:rsidTr="0027217C">
        <w:trPr>
          <w:cantSplit/>
          <w:trHeight w:val="99"/>
        </w:trPr>
        <w:tc>
          <w:tcPr>
            <w:tcW w:w="1098" w:type="pct"/>
            <w:vMerge w:val="restart"/>
            <w:shd w:val="clear" w:color="auto" w:fill="auto"/>
            <w:tcMar>
              <w:left w:w="28" w:type="dxa"/>
              <w:right w:w="28" w:type="dxa"/>
            </w:tcMar>
          </w:tcPr>
          <w:p w:rsidR="00AC43C2" w:rsidRDefault="00AC43C2" w:rsidP="00F9381D">
            <w:pPr>
              <w:pStyle w:val="Tablewriting"/>
              <w:rPr>
                <w:rFonts w:eastAsia="MS Mincho"/>
              </w:rPr>
            </w:pPr>
            <w:r>
              <w:rPr>
                <w:rFonts w:eastAsia="MS Mincho"/>
              </w:rPr>
              <w:t>Combination NRT versus NRT patch</w:t>
            </w:r>
          </w:p>
        </w:tc>
        <w:tc>
          <w:tcPr>
            <w:tcW w:w="1032" w:type="pct"/>
          </w:tcPr>
          <w:p w:rsidR="00AC43C2" w:rsidRDefault="00AC43C2" w:rsidP="00F9381D">
            <w:pPr>
              <w:pStyle w:val="Tablewriting"/>
              <w:jc w:val="center"/>
              <w:rPr>
                <w:rFonts w:eastAsia="MS Mincho"/>
              </w:rPr>
            </w:pPr>
            <w:r>
              <w:rPr>
                <w:rFonts w:eastAsia="MS Mincho"/>
              </w:rPr>
              <w:t>Cochrane Review</w:t>
            </w:r>
          </w:p>
          <w:p w:rsidR="00AC43C2" w:rsidRPr="00A8247E" w:rsidRDefault="00AC43C2" w:rsidP="00F9381D">
            <w:pPr>
              <w:pStyle w:val="Tablewriting"/>
              <w:jc w:val="center"/>
              <w:rPr>
                <w:rFonts w:eastAsia="MS Mincho"/>
                <w:vertAlign w:val="superscript"/>
              </w:rPr>
            </w:pPr>
            <w:r>
              <w:rPr>
                <w:rFonts w:eastAsia="MS Mincho"/>
              </w:rPr>
              <w:t>(1 RCT)</w:t>
            </w:r>
            <w:r w:rsidR="008C13F8">
              <w:rPr>
                <w:rFonts w:eastAsia="MS Mincho"/>
                <w:vertAlign w:val="superscript"/>
              </w:rPr>
              <w:t>4</w:t>
            </w:r>
          </w:p>
        </w:tc>
        <w:tc>
          <w:tcPr>
            <w:tcW w:w="727" w:type="pct"/>
            <w:shd w:val="clear" w:color="auto" w:fill="auto"/>
            <w:tcMar>
              <w:left w:w="28" w:type="dxa"/>
              <w:right w:w="28" w:type="dxa"/>
            </w:tcMar>
            <w:vAlign w:val="center"/>
          </w:tcPr>
          <w:p w:rsidR="00AC43C2" w:rsidRPr="00F423F8" w:rsidRDefault="00A77C46" w:rsidP="00F9381D">
            <w:pPr>
              <w:pStyle w:val="Tablewriting"/>
              <w:jc w:val="center"/>
              <w:rPr>
                <w:rFonts w:eastAsia="MS Mincho"/>
                <w:vertAlign w:val="superscript"/>
              </w:rPr>
            </w:pPr>
            <w:r>
              <w:rPr>
                <w:rFonts w:eastAsia="MS Mincho"/>
              </w:rPr>
              <w:t>4</w:t>
            </w:r>
            <w:r w:rsidR="00AC43C2">
              <w:rPr>
                <w:rFonts w:eastAsia="MS Mincho"/>
              </w:rPr>
              <w:t>/</w:t>
            </w:r>
            <w:r>
              <w:rPr>
                <w:rFonts w:eastAsia="MS Mincho"/>
              </w:rPr>
              <w:t>45</w:t>
            </w:r>
          </w:p>
          <w:p w:rsidR="00AC43C2" w:rsidRDefault="00AC43C2" w:rsidP="00F9381D">
            <w:pPr>
              <w:pStyle w:val="Tablewriting"/>
              <w:jc w:val="center"/>
              <w:rPr>
                <w:rFonts w:eastAsia="MS Mincho"/>
              </w:rPr>
            </w:pPr>
            <w:r>
              <w:rPr>
                <w:rFonts w:eastAsia="MS Mincho"/>
              </w:rPr>
              <w:t>(</w:t>
            </w:r>
            <w:r w:rsidR="00110959">
              <w:rPr>
                <w:rFonts w:eastAsia="MS Mincho"/>
              </w:rPr>
              <w:t>8.9</w:t>
            </w:r>
            <w:r>
              <w:rPr>
                <w:rFonts w:eastAsia="MS Mincho"/>
              </w:rPr>
              <w:t>%)</w:t>
            </w:r>
          </w:p>
        </w:tc>
        <w:tc>
          <w:tcPr>
            <w:tcW w:w="727" w:type="pct"/>
            <w:shd w:val="clear" w:color="auto" w:fill="auto"/>
            <w:tcMar>
              <w:left w:w="28" w:type="dxa"/>
              <w:right w:w="28" w:type="dxa"/>
            </w:tcMar>
            <w:vAlign w:val="center"/>
          </w:tcPr>
          <w:p w:rsidR="00AC43C2" w:rsidRDefault="0011032E" w:rsidP="00F9381D">
            <w:pPr>
              <w:pStyle w:val="Tablewriting"/>
              <w:jc w:val="center"/>
              <w:rPr>
                <w:rFonts w:eastAsia="MS Mincho"/>
              </w:rPr>
            </w:pPr>
            <w:r>
              <w:rPr>
                <w:rFonts w:eastAsia="MS Mincho"/>
              </w:rPr>
              <w:t>4</w:t>
            </w:r>
            <w:r w:rsidR="00AC43C2">
              <w:rPr>
                <w:rFonts w:eastAsia="MS Mincho"/>
              </w:rPr>
              <w:t>/</w:t>
            </w:r>
            <w:r>
              <w:rPr>
                <w:rFonts w:eastAsia="MS Mincho"/>
              </w:rPr>
              <w:t>51</w:t>
            </w:r>
          </w:p>
          <w:p w:rsidR="00AC43C2" w:rsidRDefault="00AC43C2" w:rsidP="00F9381D">
            <w:pPr>
              <w:pStyle w:val="Tablewriting"/>
              <w:jc w:val="center"/>
              <w:rPr>
                <w:rFonts w:eastAsia="MS Mincho"/>
              </w:rPr>
            </w:pPr>
            <w:r>
              <w:rPr>
                <w:rFonts w:eastAsia="MS Mincho"/>
              </w:rPr>
              <w:t>(</w:t>
            </w:r>
            <w:r w:rsidR="00DF3AEC">
              <w:rPr>
                <w:rFonts w:eastAsia="MS Mincho"/>
              </w:rPr>
              <w:t>7.8</w:t>
            </w:r>
            <w:r>
              <w:rPr>
                <w:rFonts w:eastAsia="MS Mincho"/>
              </w:rPr>
              <w:t>%)</w:t>
            </w:r>
          </w:p>
        </w:tc>
        <w:tc>
          <w:tcPr>
            <w:tcW w:w="727" w:type="pct"/>
            <w:shd w:val="clear" w:color="auto" w:fill="auto"/>
            <w:tcMar>
              <w:left w:w="28" w:type="dxa"/>
              <w:right w:w="28" w:type="dxa"/>
            </w:tcMar>
            <w:vAlign w:val="center"/>
          </w:tcPr>
          <w:p w:rsidR="00AC43C2" w:rsidRPr="0011032E" w:rsidRDefault="00AC43C2" w:rsidP="00F9381D">
            <w:pPr>
              <w:pStyle w:val="Tablewriting"/>
              <w:jc w:val="center"/>
              <w:rPr>
                <w:rFonts w:eastAsia="MS Mincho"/>
              </w:rPr>
            </w:pPr>
            <w:r w:rsidRPr="0011032E">
              <w:rPr>
                <w:rFonts w:eastAsia="MS Mincho"/>
              </w:rPr>
              <w:t>1.</w:t>
            </w:r>
            <w:r w:rsidR="0011032E" w:rsidRPr="0011032E">
              <w:rPr>
                <w:rFonts w:eastAsia="MS Mincho"/>
              </w:rPr>
              <w:t>13</w:t>
            </w:r>
          </w:p>
          <w:p w:rsidR="0011032E" w:rsidRPr="00F360FD" w:rsidRDefault="0011032E" w:rsidP="00F9381D">
            <w:pPr>
              <w:pStyle w:val="Tablewriting"/>
              <w:jc w:val="center"/>
              <w:rPr>
                <w:rFonts w:eastAsia="MS Mincho"/>
                <w:b/>
              </w:rPr>
            </w:pPr>
            <w:r w:rsidRPr="0011032E">
              <w:rPr>
                <w:rFonts w:eastAsia="MS Mincho"/>
              </w:rPr>
              <w:t>(0.3, 4.27)</w:t>
            </w:r>
          </w:p>
        </w:tc>
        <w:tc>
          <w:tcPr>
            <w:tcW w:w="689" w:type="pct"/>
            <w:shd w:val="clear" w:color="auto" w:fill="auto"/>
            <w:vAlign w:val="center"/>
          </w:tcPr>
          <w:p w:rsidR="00AC43C2" w:rsidRPr="00061F78" w:rsidRDefault="007D70B8" w:rsidP="00F9381D">
            <w:pPr>
              <w:pStyle w:val="Tablewriting"/>
              <w:jc w:val="center"/>
              <w:rPr>
                <w:rFonts w:eastAsia="MS Mincho"/>
              </w:rPr>
            </w:pPr>
            <w:r>
              <w:rPr>
                <w:rFonts w:eastAsia="MS Mincho"/>
              </w:rPr>
              <w:t>NR</w:t>
            </w:r>
          </w:p>
        </w:tc>
      </w:tr>
      <w:tr w:rsidR="007D70B8" w:rsidRPr="00061F78" w:rsidTr="0027217C">
        <w:trPr>
          <w:cantSplit/>
          <w:trHeight w:val="149"/>
        </w:trPr>
        <w:tc>
          <w:tcPr>
            <w:tcW w:w="1098" w:type="pct"/>
            <w:vMerge/>
            <w:tcMar>
              <w:left w:w="28" w:type="dxa"/>
              <w:right w:w="28" w:type="dxa"/>
            </w:tcMar>
          </w:tcPr>
          <w:p w:rsidR="007D70B8" w:rsidRDefault="007D70B8" w:rsidP="00F9381D">
            <w:pPr>
              <w:pStyle w:val="Tablewriting"/>
              <w:rPr>
                <w:rFonts w:eastAsia="MS Mincho"/>
              </w:rPr>
            </w:pPr>
          </w:p>
        </w:tc>
        <w:tc>
          <w:tcPr>
            <w:tcW w:w="1032" w:type="pct"/>
          </w:tcPr>
          <w:p w:rsidR="007D70B8" w:rsidRPr="00A8247E" w:rsidRDefault="007D70B8" w:rsidP="00F9381D">
            <w:pPr>
              <w:pStyle w:val="Tablewriting"/>
              <w:jc w:val="center"/>
              <w:rPr>
                <w:rFonts w:eastAsia="MS Mincho"/>
                <w:vertAlign w:val="superscript"/>
              </w:rPr>
            </w:pPr>
            <w:r>
              <w:rPr>
                <w:rFonts w:eastAsia="MS Mincho"/>
              </w:rPr>
              <w:t>Updated re-analysis (2 RCTs)</w:t>
            </w:r>
            <w:r w:rsidR="008C13F8">
              <w:rPr>
                <w:rFonts w:eastAsia="MS Mincho"/>
                <w:vertAlign w:val="superscript"/>
              </w:rPr>
              <w:t>5</w:t>
            </w:r>
          </w:p>
        </w:tc>
        <w:tc>
          <w:tcPr>
            <w:tcW w:w="727" w:type="pct"/>
            <w:tcMar>
              <w:left w:w="28" w:type="dxa"/>
              <w:right w:w="28" w:type="dxa"/>
            </w:tcMar>
            <w:vAlign w:val="center"/>
          </w:tcPr>
          <w:p w:rsidR="007D70B8" w:rsidRDefault="008C13F8" w:rsidP="00F9381D">
            <w:pPr>
              <w:pStyle w:val="Tablewriting"/>
              <w:jc w:val="center"/>
              <w:rPr>
                <w:rFonts w:eastAsia="MS Mincho"/>
              </w:rPr>
            </w:pPr>
            <w:r w:rsidRPr="665EE49C">
              <w:rPr>
                <w:rFonts w:eastAsia="MS Mincho"/>
              </w:rPr>
              <w:t>4/319</w:t>
            </w:r>
          </w:p>
          <w:p w:rsidR="007D70B8" w:rsidRDefault="008C13F8" w:rsidP="00F9381D">
            <w:pPr>
              <w:pStyle w:val="Tablewriting"/>
              <w:jc w:val="center"/>
              <w:rPr>
                <w:rFonts w:eastAsia="MS Mincho"/>
              </w:rPr>
            </w:pPr>
            <w:r>
              <w:rPr>
                <w:rFonts w:eastAsia="MS Mincho"/>
              </w:rPr>
              <w:t>(</w:t>
            </w:r>
            <w:r w:rsidR="005F1D0E">
              <w:rPr>
                <w:rFonts w:eastAsia="MS Mincho"/>
              </w:rPr>
              <w:t>1.3</w:t>
            </w:r>
            <w:r>
              <w:rPr>
                <w:rFonts w:eastAsia="MS Mincho"/>
              </w:rPr>
              <w:t>%)</w:t>
            </w:r>
          </w:p>
        </w:tc>
        <w:tc>
          <w:tcPr>
            <w:tcW w:w="727" w:type="pct"/>
            <w:tcMar>
              <w:left w:w="28" w:type="dxa"/>
              <w:right w:w="28" w:type="dxa"/>
            </w:tcMar>
            <w:vAlign w:val="center"/>
          </w:tcPr>
          <w:p w:rsidR="007D70B8" w:rsidRDefault="008C13F8" w:rsidP="00F9381D">
            <w:pPr>
              <w:pStyle w:val="Tablewriting"/>
              <w:jc w:val="center"/>
              <w:rPr>
                <w:rFonts w:eastAsia="MS Mincho"/>
              </w:rPr>
            </w:pPr>
            <w:r w:rsidRPr="665EE49C">
              <w:rPr>
                <w:rFonts w:eastAsia="MS Mincho"/>
              </w:rPr>
              <w:t>7/337</w:t>
            </w:r>
          </w:p>
          <w:p w:rsidR="007D70B8" w:rsidRDefault="008C13F8" w:rsidP="00F9381D">
            <w:pPr>
              <w:pStyle w:val="Tablewriting"/>
              <w:jc w:val="center"/>
              <w:rPr>
                <w:rFonts w:eastAsia="MS Mincho"/>
              </w:rPr>
            </w:pPr>
            <w:r>
              <w:rPr>
                <w:rFonts w:eastAsia="MS Mincho"/>
              </w:rPr>
              <w:t>(</w:t>
            </w:r>
            <w:r w:rsidR="005F1D0E">
              <w:rPr>
                <w:rFonts w:eastAsia="MS Mincho"/>
              </w:rPr>
              <w:t>2.1</w:t>
            </w:r>
            <w:r>
              <w:rPr>
                <w:rFonts w:eastAsia="MS Mincho"/>
              </w:rPr>
              <w:t>%)</w:t>
            </w:r>
          </w:p>
        </w:tc>
        <w:tc>
          <w:tcPr>
            <w:tcW w:w="727" w:type="pct"/>
            <w:tcMar>
              <w:left w:w="28" w:type="dxa"/>
              <w:right w:w="28" w:type="dxa"/>
            </w:tcMar>
            <w:vAlign w:val="center"/>
          </w:tcPr>
          <w:p w:rsidR="007D70B8" w:rsidRDefault="008C13F8" w:rsidP="00F9381D">
            <w:pPr>
              <w:pStyle w:val="Tablewriting"/>
              <w:jc w:val="center"/>
              <w:rPr>
                <w:rFonts w:eastAsia="MS Mincho"/>
              </w:rPr>
            </w:pPr>
            <w:r w:rsidRPr="665EE49C">
              <w:rPr>
                <w:rFonts w:eastAsia="MS Mincho"/>
              </w:rPr>
              <w:t>0.63</w:t>
            </w:r>
          </w:p>
          <w:p w:rsidR="007D70B8" w:rsidRDefault="008C13F8" w:rsidP="00F9381D">
            <w:pPr>
              <w:pStyle w:val="Tablewriting"/>
              <w:jc w:val="center"/>
              <w:rPr>
                <w:rFonts w:eastAsia="MS Mincho"/>
              </w:rPr>
            </w:pPr>
            <w:r w:rsidRPr="665EE49C">
              <w:rPr>
                <w:rFonts w:eastAsia="MS Mincho"/>
              </w:rPr>
              <w:t>(0.10, 4.05)</w:t>
            </w:r>
          </w:p>
        </w:tc>
        <w:tc>
          <w:tcPr>
            <w:tcW w:w="689" w:type="pct"/>
            <w:vAlign w:val="center"/>
          </w:tcPr>
          <w:p w:rsidR="007D70B8" w:rsidRDefault="008C13F8" w:rsidP="00F9381D">
            <w:pPr>
              <w:pStyle w:val="Tablewriting"/>
              <w:jc w:val="center"/>
              <w:rPr>
                <w:rFonts w:eastAsia="MS Mincho"/>
              </w:rPr>
            </w:pPr>
            <w:r w:rsidRPr="665EE49C">
              <w:rPr>
                <w:rFonts w:eastAsia="MS Mincho"/>
              </w:rPr>
              <w:t>-0.01</w:t>
            </w:r>
          </w:p>
          <w:p w:rsidR="007D70B8" w:rsidRDefault="008C13F8" w:rsidP="00F9381D">
            <w:pPr>
              <w:pStyle w:val="Tablewriting"/>
              <w:jc w:val="center"/>
              <w:rPr>
                <w:rFonts w:eastAsia="MS Mincho"/>
              </w:rPr>
            </w:pPr>
            <w:r w:rsidRPr="665EE49C">
              <w:rPr>
                <w:rFonts w:eastAsia="MS Mincho"/>
              </w:rPr>
              <w:t>(-0.02, 0)</w:t>
            </w:r>
          </w:p>
        </w:tc>
      </w:tr>
      <w:tr w:rsidR="00AC43C2" w:rsidRPr="00061F78" w:rsidTr="0027217C">
        <w:trPr>
          <w:cantSplit/>
          <w:trHeight w:val="149"/>
        </w:trPr>
        <w:tc>
          <w:tcPr>
            <w:tcW w:w="1098" w:type="pct"/>
            <w:tcMar>
              <w:left w:w="28" w:type="dxa"/>
              <w:right w:w="28" w:type="dxa"/>
            </w:tcMar>
          </w:tcPr>
          <w:p w:rsidR="00AC43C2" w:rsidRDefault="00AC43C2" w:rsidP="00F9381D">
            <w:pPr>
              <w:pStyle w:val="Tablewriting"/>
              <w:rPr>
                <w:rFonts w:eastAsia="MS Mincho"/>
              </w:rPr>
            </w:pPr>
            <w:r>
              <w:rPr>
                <w:rFonts w:eastAsia="MS Mincho"/>
              </w:rPr>
              <w:t>Combination NRT versus fast-acting NRT</w:t>
            </w:r>
          </w:p>
        </w:tc>
        <w:tc>
          <w:tcPr>
            <w:tcW w:w="1032" w:type="pct"/>
          </w:tcPr>
          <w:p w:rsidR="00CB51B9" w:rsidRDefault="000708B4" w:rsidP="00F9381D">
            <w:pPr>
              <w:pStyle w:val="Tablewriting"/>
              <w:jc w:val="center"/>
              <w:rPr>
                <w:rFonts w:eastAsia="MS Mincho"/>
              </w:rPr>
            </w:pPr>
            <w:r>
              <w:rPr>
                <w:rFonts w:eastAsia="MS Mincho"/>
              </w:rPr>
              <w:t>Cochrane Review</w:t>
            </w:r>
          </w:p>
          <w:p w:rsidR="000708B4" w:rsidRDefault="000708B4" w:rsidP="00F9381D">
            <w:pPr>
              <w:pStyle w:val="Tablewriting"/>
              <w:jc w:val="center"/>
              <w:rPr>
                <w:rFonts w:eastAsia="MS Mincho"/>
              </w:rPr>
            </w:pPr>
            <w:r>
              <w:rPr>
                <w:rFonts w:eastAsia="MS Mincho"/>
              </w:rPr>
              <w:t>(N</w:t>
            </w:r>
            <w:r w:rsidR="009C2180">
              <w:rPr>
                <w:rFonts w:eastAsia="MS Mincho"/>
              </w:rPr>
              <w:t>R</w:t>
            </w:r>
            <w:r>
              <w:rPr>
                <w:rFonts w:eastAsia="MS Mincho"/>
              </w:rPr>
              <w:t>)</w:t>
            </w:r>
          </w:p>
        </w:tc>
        <w:tc>
          <w:tcPr>
            <w:tcW w:w="727" w:type="pct"/>
            <w:tcMar>
              <w:left w:w="28" w:type="dxa"/>
              <w:right w:w="28" w:type="dxa"/>
            </w:tcMar>
            <w:vAlign w:val="center"/>
          </w:tcPr>
          <w:p w:rsidR="00AC43C2" w:rsidRPr="00923953" w:rsidRDefault="00AC43C2" w:rsidP="00F9381D">
            <w:pPr>
              <w:pStyle w:val="Tablewriting"/>
              <w:jc w:val="center"/>
              <w:rPr>
                <w:rFonts w:eastAsia="MS Mincho"/>
                <w:vertAlign w:val="superscript"/>
              </w:rPr>
            </w:pPr>
            <w:r>
              <w:rPr>
                <w:rFonts w:eastAsia="MS Mincho"/>
              </w:rPr>
              <w:t>NR</w:t>
            </w:r>
          </w:p>
        </w:tc>
        <w:tc>
          <w:tcPr>
            <w:tcW w:w="727" w:type="pct"/>
            <w:tcMar>
              <w:left w:w="28" w:type="dxa"/>
              <w:right w:w="28" w:type="dxa"/>
            </w:tcMar>
            <w:vAlign w:val="center"/>
          </w:tcPr>
          <w:p w:rsidR="00AC43C2" w:rsidRPr="00923953" w:rsidRDefault="00AC43C2" w:rsidP="00F9381D">
            <w:pPr>
              <w:pStyle w:val="Tablewriting"/>
              <w:jc w:val="center"/>
              <w:rPr>
                <w:rFonts w:eastAsia="MS Mincho"/>
                <w:vertAlign w:val="superscript"/>
              </w:rPr>
            </w:pPr>
            <w:r>
              <w:rPr>
                <w:rFonts w:eastAsia="MS Mincho"/>
              </w:rPr>
              <w:t>NR</w:t>
            </w:r>
          </w:p>
        </w:tc>
        <w:tc>
          <w:tcPr>
            <w:tcW w:w="727" w:type="pct"/>
            <w:tcMar>
              <w:left w:w="28" w:type="dxa"/>
              <w:right w:w="28" w:type="dxa"/>
            </w:tcMar>
            <w:vAlign w:val="center"/>
          </w:tcPr>
          <w:p w:rsidR="00AC43C2" w:rsidRPr="00A0110E" w:rsidRDefault="00AC43C2" w:rsidP="00F9381D">
            <w:pPr>
              <w:pStyle w:val="Tablewriting"/>
              <w:jc w:val="center"/>
              <w:rPr>
                <w:rFonts w:eastAsia="MS Mincho"/>
              </w:rPr>
            </w:pPr>
            <w:r>
              <w:rPr>
                <w:rFonts w:eastAsia="MS Mincho"/>
              </w:rPr>
              <w:t>NR</w:t>
            </w:r>
          </w:p>
        </w:tc>
        <w:tc>
          <w:tcPr>
            <w:tcW w:w="689" w:type="pct"/>
            <w:vAlign w:val="center"/>
          </w:tcPr>
          <w:p w:rsidR="00AC43C2" w:rsidRPr="00A0110E" w:rsidRDefault="00AC43C2" w:rsidP="00F9381D">
            <w:pPr>
              <w:pStyle w:val="Tablewriting"/>
              <w:jc w:val="center"/>
              <w:rPr>
                <w:rFonts w:eastAsia="MS Mincho"/>
              </w:rPr>
            </w:pPr>
            <w:r>
              <w:rPr>
                <w:rFonts w:eastAsia="MS Mincho"/>
              </w:rPr>
              <w:t>NR</w:t>
            </w:r>
          </w:p>
        </w:tc>
      </w:tr>
      <w:tr w:rsidR="00475838" w:rsidRPr="00061F78" w:rsidTr="004B53F8">
        <w:trPr>
          <w:cantSplit/>
          <w:trHeight w:val="255"/>
        </w:trPr>
        <w:tc>
          <w:tcPr>
            <w:tcW w:w="5000" w:type="pct"/>
            <w:gridSpan w:val="6"/>
            <w:shd w:val="clear" w:color="auto" w:fill="auto"/>
            <w:tcMar>
              <w:left w:w="28" w:type="dxa"/>
              <w:right w:w="28" w:type="dxa"/>
            </w:tcMar>
          </w:tcPr>
          <w:p w:rsidR="00475838" w:rsidRPr="004B53F8" w:rsidRDefault="00475838" w:rsidP="00F9381D">
            <w:pPr>
              <w:pStyle w:val="Tablewriting"/>
              <w:rPr>
                <w:rFonts w:eastAsia="MS Mincho"/>
                <w:b/>
                <w:bCs/>
              </w:rPr>
            </w:pPr>
            <w:r w:rsidRPr="004B53F8">
              <w:rPr>
                <w:rFonts w:eastAsia="MS Mincho"/>
                <w:b/>
                <w:bCs/>
              </w:rPr>
              <w:lastRenderedPageBreak/>
              <w:t>Serious adverse events</w:t>
            </w:r>
          </w:p>
        </w:tc>
      </w:tr>
      <w:tr w:rsidR="00475838" w:rsidRPr="00061F78" w:rsidTr="0027217C">
        <w:trPr>
          <w:cantSplit/>
          <w:trHeight w:val="149"/>
        </w:trPr>
        <w:tc>
          <w:tcPr>
            <w:tcW w:w="1098" w:type="pct"/>
            <w:tcMar>
              <w:left w:w="28" w:type="dxa"/>
              <w:right w:w="28" w:type="dxa"/>
            </w:tcMar>
          </w:tcPr>
          <w:p w:rsidR="00475838" w:rsidRDefault="00475838" w:rsidP="00F9381D">
            <w:pPr>
              <w:pStyle w:val="Tablewriting"/>
              <w:rPr>
                <w:rFonts w:eastAsia="MS Mincho"/>
              </w:rPr>
            </w:pPr>
            <w:r>
              <w:rPr>
                <w:rFonts w:eastAsia="MS Mincho"/>
              </w:rPr>
              <w:t>Combination NRT versus NRT patch</w:t>
            </w:r>
          </w:p>
        </w:tc>
        <w:tc>
          <w:tcPr>
            <w:tcW w:w="1032" w:type="pct"/>
          </w:tcPr>
          <w:p w:rsidR="00475838" w:rsidRDefault="00475838" w:rsidP="00F9381D">
            <w:pPr>
              <w:pStyle w:val="Tablewriting"/>
              <w:jc w:val="center"/>
              <w:rPr>
                <w:rFonts w:eastAsia="MS Mincho"/>
              </w:rPr>
            </w:pPr>
            <w:r>
              <w:rPr>
                <w:rFonts w:eastAsia="MS Mincho"/>
              </w:rPr>
              <w:t>Cochrane Review</w:t>
            </w:r>
          </w:p>
          <w:p w:rsidR="00475838" w:rsidRPr="00E55FAA" w:rsidRDefault="00475838" w:rsidP="00F9381D">
            <w:pPr>
              <w:pStyle w:val="Tablewriting"/>
              <w:jc w:val="center"/>
              <w:rPr>
                <w:rFonts w:eastAsia="MS Mincho"/>
                <w:vertAlign w:val="superscript"/>
              </w:rPr>
            </w:pPr>
            <w:r>
              <w:rPr>
                <w:rFonts w:eastAsia="MS Mincho"/>
              </w:rPr>
              <w:t>(</w:t>
            </w:r>
            <w:r w:rsidR="007533FF">
              <w:rPr>
                <w:rFonts w:eastAsia="MS Mincho"/>
              </w:rPr>
              <w:t>4</w:t>
            </w:r>
            <w:r>
              <w:rPr>
                <w:rFonts w:eastAsia="MS Mincho"/>
              </w:rPr>
              <w:t xml:space="preserve"> RCT</w:t>
            </w:r>
            <w:r w:rsidR="007533FF">
              <w:rPr>
                <w:rFonts w:eastAsia="MS Mincho"/>
              </w:rPr>
              <w:t>s</w:t>
            </w:r>
            <w:r>
              <w:rPr>
                <w:rFonts w:eastAsia="MS Mincho"/>
              </w:rPr>
              <w:t>)</w:t>
            </w:r>
            <w:r w:rsidR="00E55FAA">
              <w:rPr>
                <w:rFonts w:eastAsia="MS Mincho"/>
                <w:vertAlign w:val="superscript"/>
              </w:rPr>
              <w:t>1</w:t>
            </w:r>
            <w:r w:rsidR="008C13F8">
              <w:rPr>
                <w:rFonts w:eastAsia="MS Mincho"/>
                <w:vertAlign w:val="superscript"/>
              </w:rPr>
              <w:t>,4</w:t>
            </w:r>
          </w:p>
        </w:tc>
        <w:tc>
          <w:tcPr>
            <w:tcW w:w="727" w:type="pct"/>
            <w:tcMar>
              <w:left w:w="28" w:type="dxa"/>
              <w:right w:w="28" w:type="dxa"/>
            </w:tcMar>
            <w:vAlign w:val="center"/>
          </w:tcPr>
          <w:p w:rsidR="00475838" w:rsidRPr="00F423F8" w:rsidRDefault="005D44E6" w:rsidP="00F9381D">
            <w:pPr>
              <w:pStyle w:val="Tablewriting"/>
              <w:jc w:val="center"/>
              <w:rPr>
                <w:rFonts w:eastAsia="MS Mincho"/>
                <w:vertAlign w:val="superscript"/>
              </w:rPr>
            </w:pPr>
            <w:r>
              <w:rPr>
                <w:rFonts w:eastAsia="MS Mincho"/>
              </w:rPr>
              <w:t>5</w:t>
            </w:r>
            <w:r w:rsidR="00475838">
              <w:rPr>
                <w:rFonts w:eastAsia="MS Mincho"/>
              </w:rPr>
              <w:t>/</w:t>
            </w:r>
            <w:r w:rsidR="003C50AC">
              <w:rPr>
                <w:rFonts w:eastAsia="MS Mincho"/>
              </w:rPr>
              <w:t>1,218</w:t>
            </w:r>
          </w:p>
          <w:p w:rsidR="00475838" w:rsidRPr="00923953" w:rsidRDefault="00475838" w:rsidP="00F9381D">
            <w:pPr>
              <w:pStyle w:val="Tablewriting"/>
              <w:jc w:val="center"/>
              <w:rPr>
                <w:rFonts w:eastAsia="MS Mincho"/>
                <w:vertAlign w:val="superscript"/>
              </w:rPr>
            </w:pPr>
            <w:r>
              <w:rPr>
                <w:rFonts w:eastAsia="MS Mincho"/>
              </w:rPr>
              <w:t>(</w:t>
            </w:r>
            <w:r w:rsidR="00292677">
              <w:rPr>
                <w:rFonts w:eastAsia="MS Mincho"/>
              </w:rPr>
              <w:t>0.4</w:t>
            </w:r>
            <w:r>
              <w:rPr>
                <w:rFonts w:eastAsia="MS Mincho"/>
              </w:rPr>
              <w:t>%)</w:t>
            </w:r>
          </w:p>
        </w:tc>
        <w:tc>
          <w:tcPr>
            <w:tcW w:w="727" w:type="pct"/>
            <w:tcMar>
              <w:left w:w="28" w:type="dxa"/>
              <w:right w:w="28" w:type="dxa"/>
            </w:tcMar>
            <w:vAlign w:val="center"/>
          </w:tcPr>
          <w:p w:rsidR="00475838" w:rsidRDefault="00312371" w:rsidP="00F9381D">
            <w:pPr>
              <w:pStyle w:val="Tablewriting"/>
              <w:jc w:val="center"/>
              <w:rPr>
                <w:rFonts w:eastAsia="MS Mincho"/>
              </w:rPr>
            </w:pPr>
            <w:r>
              <w:rPr>
                <w:rFonts w:eastAsia="MS Mincho"/>
              </w:rPr>
              <w:t>0</w:t>
            </w:r>
            <w:r w:rsidR="00475838">
              <w:rPr>
                <w:rFonts w:eastAsia="MS Mincho"/>
              </w:rPr>
              <w:t>/</w:t>
            </w:r>
            <w:r w:rsidR="003C50AC">
              <w:rPr>
                <w:rFonts w:eastAsia="MS Mincho"/>
              </w:rPr>
              <w:t>1,095</w:t>
            </w:r>
          </w:p>
          <w:p w:rsidR="00475838" w:rsidRPr="00923953" w:rsidRDefault="00475838" w:rsidP="00F9381D">
            <w:pPr>
              <w:pStyle w:val="Tablewriting"/>
              <w:jc w:val="center"/>
              <w:rPr>
                <w:rFonts w:eastAsia="MS Mincho"/>
                <w:vertAlign w:val="superscript"/>
              </w:rPr>
            </w:pPr>
            <w:r>
              <w:rPr>
                <w:rFonts w:eastAsia="MS Mincho"/>
              </w:rPr>
              <w:t>(</w:t>
            </w:r>
            <w:r w:rsidR="005108B7">
              <w:rPr>
                <w:rFonts w:eastAsia="MS Mincho"/>
              </w:rPr>
              <w:t>0</w:t>
            </w:r>
            <w:r>
              <w:rPr>
                <w:rFonts w:eastAsia="MS Mincho"/>
              </w:rPr>
              <w:t>%)</w:t>
            </w:r>
          </w:p>
        </w:tc>
        <w:tc>
          <w:tcPr>
            <w:tcW w:w="727" w:type="pct"/>
            <w:tcMar>
              <w:left w:w="28" w:type="dxa"/>
              <w:right w:w="28" w:type="dxa"/>
            </w:tcMar>
            <w:vAlign w:val="center"/>
          </w:tcPr>
          <w:p w:rsidR="00475838" w:rsidRPr="002070F6" w:rsidRDefault="00312371" w:rsidP="00F9381D">
            <w:pPr>
              <w:pStyle w:val="Tablewriting"/>
              <w:jc w:val="center"/>
              <w:rPr>
                <w:rFonts w:eastAsia="MS Mincho"/>
              </w:rPr>
            </w:pPr>
            <w:r w:rsidRPr="002070F6">
              <w:rPr>
                <w:rFonts w:eastAsia="MS Mincho"/>
              </w:rPr>
              <w:t>11.45</w:t>
            </w:r>
          </w:p>
          <w:p w:rsidR="00475838" w:rsidRPr="006A6520" w:rsidRDefault="00475838" w:rsidP="00F9381D">
            <w:pPr>
              <w:pStyle w:val="Tablewriting"/>
              <w:jc w:val="center"/>
              <w:rPr>
                <w:rFonts w:eastAsia="MS Mincho"/>
              </w:rPr>
            </w:pPr>
            <w:r w:rsidRPr="002070F6">
              <w:rPr>
                <w:rFonts w:eastAsia="MS Mincho"/>
              </w:rPr>
              <w:t>(</w:t>
            </w:r>
            <w:r w:rsidR="00312371" w:rsidRPr="002070F6">
              <w:rPr>
                <w:rFonts w:eastAsia="MS Mincho"/>
              </w:rPr>
              <w:t>0.64</w:t>
            </w:r>
            <w:r w:rsidRPr="002070F6">
              <w:rPr>
                <w:rFonts w:eastAsia="MS Mincho"/>
              </w:rPr>
              <w:t xml:space="preserve">, </w:t>
            </w:r>
            <w:r w:rsidR="00312371" w:rsidRPr="002070F6">
              <w:rPr>
                <w:rFonts w:eastAsia="MS Mincho"/>
              </w:rPr>
              <w:t>205.9</w:t>
            </w:r>
            <w:r w:rsidRPr="002070F6">
              <w:rPr>
                <w:rFonts w:eastAsia="MS Mincho"/>
              </w:rPr>
              <w:t>)</w:t>
            </w:r>
          </w:p>
        </w:tc>
        <w:tc>
          <w:tcPr>
            <w:tcW w:w="689" w:type="pct"/>
            <w:vAlign w:val="center"/>
          </w:tcPr>
          <w:p w:rsidR="00475838" w:rsidRPr="006A6520" w:rsidRDefault="008C13F8" w:rsidP="00F9381D">
            <w:pPr>
              <w:pStyle w:val="Tablewriting"/>
              <w:jc w:val="center"/>
              <w:rPr>
                <w:rFonts w:eastAsia="MS Mincho"/>
              </w:rPr>
            </w:pPr>
            <w:r>
              <w:rPr>
                <w:rFonts w:eastAsia="MS Mincho"/>
              </w:rPr>
              <w:t>NR</w:t>
            </w:r>
          </w:p>
        </w:tc>
      </w:tr>
      <w:tr w:rsidR="00475838" w:rsidRPr="00061F78" w:rsidTr="0027217C">
        <w:trPr>
          <w:cantSplit/>
          <w:trHeight w:val="149"/>
        </w:trPr>
        <w:tc>
          <w:tcPr>
            <w:tcW w:w="1098" w:type="pct"/>
            <w:tcMar>
              <w:left w:w="28" w:type="dxa"/>
              <w:right w:w="28" w:type="dxa"/>
            </w:tcMar>
          </w:tcPr>
          <w:p w:rsidR="00475838" w:rsidRDefault="00475838" w:rsidP="00F9381D">
            <w:pPr>
              <w:pStyle w:val="Tablewriting"/>
              <w:rPr>
                <w:rFonts w:eastAsia="MS Mincho"/>
              </w:rPr>
            </w:pPr>
            <w:r>
              <w:rPr>
                <w:rFonts w:eastAsia="MS Mincho"/>
              </w:rPr>
              <w:t>Combination NRT versus fast-acting NRT</w:t>
            </w:r>
          </w:p>
        </w:tc>
        <w:tc>
          <w:tcPr>
            <w:tcW w:w="1032" w:type="pct"/>
          </w:tcPr>
          <w:p w:rsidR="00475838" w:rsidRDefault="00475838" w:rsidP="00F9381D">
            <w:pPr>
              <w:pStyle w:val="Tablewriting"/>
              <w:jc w:val="center"/>
              <w:rPr>
                <w:rFonts w:eastAsia="MS Mincho"/>
              </w:rPr>
            </w:pPr>
            <w:r>
              <w:rPr>
                <w:rFonts w:eastAsia="MS Mincho"/>
              </w:rPr>
              <w:t>Cochrane Review</w:t>
            </w:r>
          </w:p>
          <w:p w:rsidR="00475838" w:rsidRPr="00E55FAA" w:rsidRDefault="00475838" w:rsidP="00F9381D">
            <w:pPr>
              <w:pStyle w:val="Tablewriting"/>
              <w:jc w:val="center"/>
              <w:rPr>
                <w:rFonts w:eastAsia="MS Mincho"/>
                <w:vertAlign w:val="superscript"/>
              </w:rPr>
            </w:pPr>
            <w:r>
              <w:rPr>
                <w:rFonts w:eastAsia="MS Mincho"/>
              </w:rPr>
              <w:t>(</w:t>
            </w:r>
            <w:r w:rsidR="00635BF1">
              <w:rPr>
                <w:rFonts w:eastAsia="MS Mincho"/>
              </w:rPr>
              <w:t>2 RCTs</w:t>
            </w:r>
            <w:r>
              <w:rPr>
                <w:rFonts w:eastAsia="MS Mincho"/>
              </w:rPr>
              <w:t>)</w:t>
            </w:r>
            <w:r w:rsidR="00742B71">
              <w:rPr>
                <w:rFonts w:eastAsia="MS Mincho"/>
                <w:vertAlign w:val="superscript"/>
              </w:rPr>
              <w:t>2</w:t>
            </w:r>
            <w:r w:rsidR="008C13F8">
              <w:rPr>
                <w:rFonts w:eastAsia="MS Mincho"/>
                <w:vertAlign w:val="superscript"/>
              </w:rPr>
              <w:t>,4</w:t>
            </w:r>
          </w:p>
        </w:tc>
        <w:tc>
          <w:tcPr>
            <w:tcW w:w="727" w:type="pct"/>
            <w:tcMar>
              <w:left w:w="28" w:type="dxa"/>
              <w:right w:w="28" w:type="dxa"/>
            </w:tcMar>
            <w:vAlign w:val="center"/>
          </w:tcPr>
          <w:p w:rsidR="00475838" w:rsidRDefault="00092014" w:rsidP="00F9381D">
            <w:pPr>
              <w:pStyle w:val="Tablewriting"/>
              <w:jc w:val="center"/>
              <w:rPr>
                <w:rFonts w:eastAsia="MS Mincho"/>
              </w:rPr>
            </w:pPr>
            <w:r>
              <w:rPr>
                <w:rFonts w:eastAsia="MS Mincho"/>
              </w:rPr>
              <w:t>1/2</w:t>
            </w:r>
            <w:r w:rsidR="003C50AC">
              <w:rPr>
                <w:rFonts w:eastAsia="MS Mincho"/>
              </w:rPr>
              <w:t>57</w:t>
            </w:r>
          </w:p>
          <w:p w:rsidR="00092014" w:rsidRDefault="00092014" w:rsidP="00F9381D">
            <w:pPr>
              <w:pStyle w:val="Tablewriting"/>
              <w:jc w:val="center"/>
              <w:rPr>
                <w:rFonts w:eastAsia="MS Mincho"/>
              </w:rPr>
            </w:pPr>
            <w:r>
              <w:rPr>
                <w:rFonts w:eastAsia="MS Mincho"/>
              </w:rPr>
              <w:t>(</w:t>
            </w:r>
            <w:r w:rsidR="005108B7">
              <w:rPr>
                <w:rFonts w:eastAsia="MS Mincho"/>
              </w:rPr>
              <w:t>0.4</w:t>
            </w:r>
            <w:r>
              <w:rPr>
                <w:rFonts w:eastAsia="MS Mincho"/>
              </w:rPr>
              <w:t>%)</w:t>
            </w:r>
          </w:p>
        </w:tc>
        <w:tc>
          <w:tcPr>
            <w:tcW w:w="727" w:type="pct"/>
            <w:tcMar>
              <w:left w:w="28" w:type="dxa"/>
              <w:right w:w="28" w:type="dxa"/>
            </w:tcMar>
            <w:vAlign w:val="center"/>
          </w:tcPr>
          <w:p w:rsidR="00475838" w:rsidRDefault="00420A49" w:rsidP="00F9381D">
            <w:pPr>
              <w:pStyle w:val="Tablewriting"/>
              <w:jc w:val="center"/>
              <w:rPr>
                <w:rFonts w:eastAsia="MS Mincho"/>
              </w:rPr>
            </w:pPr>
            <w:r>
              <w:rPr>
                <w:rFonts w:eastAsia="MS Mincho"/>
              </w:rPr>
              <w:t>1/</w:t>
            </w:r>
            <w:r w:rsidR="003C50AC">
              <w:rPr>
                <w:rFonts w:eastAsia="MS Mincho"/>
              </w:rPr>
              <w:t>318</w:t>
            </w:r>
          </w:p>
          <w:p w:rsidR="00420A49" w:rsidRDefault="00420A49" w:rsidP="00F9381D">
            <w:pPr>
              <w:pStyle w:val="Tablewriting"/>
              <w:jc w:val="center"/>
              <w:rPr>
                <w:rFonts w:eastAsia="MS Mincho"/>
              </w:rPr>
            </w:pPr>
            <w:r>
              <w:rPr>
                <w:rFonts w:eastAsia="MS Mincho"/>
              </w:rPr>
              <w:t>(</w:t>
            </w:r>
            <w:r w:rsidR="00490DE2">
              <w:rPr>
                <w:rFonts w:eastAsia="MS Mincho"/>
              </w:rPr>
              <w:t>0.3</w:t>
            </w:r>
            <w:r>
              <w:rPr>
                <w:rFonts w:eastAsia="MS Mincho"/>
              </w:rPr>
              <w:t>%)</w:t>
            </w:r>
          </w:p>
        </w:tc>
        <w:tc>
          <w:tcPr>
            <w:tcW w:w="727" w:type="pct"/>
            <w:tcMar>
              <w:left w:w="28" w:type="dxa"/>
              <w:right w:w="28" w:type="dxa"/>
            </w:tcMar>
            <w:vAlign w:val="center"/>
          </w:tcPr>
          <w:p w:rsidR="00475838" w:rsidRDefault="002070F6" w:rsidP="00F9381D">
            <w:pPr>
              <w:pStyle w:val="Tablewriting"/>
              <w:jc w:val="center"/>
              <w:rPr>
                <w:rFonts w:eastAsia="MS Mincho"/>
              </w:rPr>
            </w:pPr>
            <w:r>
              <w:rPr>
                <w:rFonts w:eastAsia="MS Mincho"/>
              </w:rPr>
              <w:t>1</w:t>
            </w:r>
          </w:p>
          <w:p w:rsidR="002070F6" w:rsidRPr="00682ACE" w:rsidRDefault="002070F6" w:rsidP="00F9381D">
            <w:pPr>
              <w:pStyle w:val="Tablewriting"/>
              <w:jc w:val="center"/>
              <w:rPr>
                <w:rFonts w:eastAsia="MS Mincho"/>
              </w:rPr>
            </w:pPr>
            <w:r>
              <w:rPr>
                <w:rFonts w:eastAsia="MS Mincho"/>
              </w:rPr>
              <w:t>(0.06, 15.88)</w:t>
            </w:r>
          </w:p>
        </w:tc>
        <w:tc>
          <w:tcPr>
            <w:tcW w:w="689" w:type="pct"/>
            <w:vAlign w:val="center"/>
          </w:tcPr>
          <w:p w:rsidR="00475838" w:rsidRPr="006A6520" w:rsidRDefault="008C13F8" w:rsidP="00F9381D">
            <w:pPr>
              <w:pStyle w:val="Tablewriting"/>
              <w:jc w:val="center"/>
              <w:rPr>
                <w:rFonts w:eastAsia="MS Mincho"/>
              </w:rPr>
            </w:pPr>
            <w:r>
              <w:rPr>
                <w:rFonts w:eastAsia="MS Mincho"/>
              </w:rPr>
              <w:t>NR</w:t>
            </w:r>
          </w:p>
        </w:tc>
      </w:tr>
      <w:tr w:rsidR="00FF769F" w:rsidRPr="00061F78" w:rsidTr="00FF769F">
        <w:trPr>
          <w:cantSplit/>
          <w:trHeight w:val="149"/>
        </w:trPr>
        <w:tc>
          <w:tcPr>
            <w:tcW w:w="2130" w:type="pct"/>
            <w:gridSpan w:val="2"/>
            <w:tcMar>
              <w:left w:w="28" w:type="dxa"/>
              <w:right w:w="28" w:type="dxa"/>
            </w:tcMar>
          </w:tcPr>
          <w:p w:rsidR="00FF769F" w:rsidRPr="00A8247E" w:rsidRDefault="00FF769F" w:rsidP="00F9381D">
            <w:pPr>
              <w:pStyle w:val="Tablewriting"/>
              <w:jc w:val="center"/>
              <w:rPr>
                <w:rFonts w:eastAsia="MS Mincho"/>
                <w:vertAlign w:val="superscript"/>
              </w:rPr>
            </w:pPr>
            <w:r w:rsidRPr="00FF769F">
              <w:rPr>
                <w:rFonts w:eastAsia="MS Mincho"/>
              </w:rPr>
              <w:t>Meta-analysis</w:t>
            </w:r>
            <w:r w:rsidR="008C13F8">
              <w:rPr>
                <w:rFonts w:eastAsia="MS Mincho"/>
                <w:vertAlign w:val="superscript"/>
              </w:rPr>
              <w:t>4</w:t>
            </w:r>
          </w:p>
        </w:tc>
        <w:tc>
          <w:tcPr>
            <w:tcW w:w="727" w:type="pct"/>
            <w:tcMar>
              <w:left w:w="28" w:type="dxa"/>
              <w:right w:w="28" w:type="dxa"/>
            </w:tcMar>
            <w:vAlign w:val="center"/>
          </w:tcPr>
          <w:p w:rsidR="00FF769F" w:rsidRDefault="00FF769F" w:rsidP="00F9381D">
            <w:pPr>
              <w:pStyle w:val="Tablewriting"/>
              <w:jc w:val="center"/>
              <w:rPr>
                <w:rFonts w:eastAsia="MS Mincho"/>
              </w:rPr>
            </w:pPr>
            <w:r>
              <w:rPr>
                <w:rFonts w:eastAsia="MS Mincho"/>
              </w:rPr>
              <w:t>6/1,475</w:t>
            </w:r>
          </w:p>
          <w:p w:rsidR="00FF769F" w:rsidRPr="00AC4506" w:rsidRDefault="00FF769F" w:rsidP="00F9381D">
            <w:pPr>
              <w:pStyle w:val="Tablewriting"/>
              <w:jc w:val="center"/>
              <w:rPr>
                <w:rFonts w:eastAsia="MS Mincho"/>
                <w:vertAlign w:val="superscript"/>
              </w:rPr>
            </w:pPr>
            <w:r>
              <w:rPr>
                <w:rFonts w:eastAsia="MS Mincho"/>
              </w:rPr>
              <w:t>(0.4%)</w:t>
            </w:r>
          </w:p>
        </w:tc>
        <w:tc>
          <w:tcPr>
            <w:tcW w:w="727" w:type="pct"/>
            <w:tcMar>
              <w:left w:w="28" w:type="dxa"/>
              <w:right w:w="28" w:type="dxa"/>
            </w:tcMar>
            <w:vAlign w:val="center"/>
          </w:tcPr>
          <w:p w:rsidR="00FF769F" w:rsidRDefault="00FF769F" w:rsidP="00F9381D">
            <w:pPr>
              <w:pStyle w:val="Tablewriting"/>
              <w:jc w:val="center"/>
              <w:rPr>
                <w:rFonts w:eastAsia="MS Mincho"/>
              </w:rPr>
            </w:pPr>
            <w:r>
              <w:rPr>
                <w:rFonts w:eastAsia="MS Mincho"/>
              </w:rPr>
              <w:t>1/1,413</w:t>
            </w:r>
          </w:p>
          <w:p w:rsidR="00FF769F" w:rsidRPr="00AC4506" w:rsidRDefault="00FF769F" w:rsidP="00F9381D">
            <w:pPr>
              <w:pStyle w:val="Tablewriting"/>
              <w:jc w:val="center"/>
              <w:rPr>
                <w:rFonts w:eastAsia="MS Mincho"/>
                <w:vertAlign w:val="superscript"/>
              </w:rPr>
            </w:pPr>
            <w:r>
              <w:rPr>
                <w:rFonts w:eastAsia="MS Mincho"/>
              </w:rPr>
              <w:t>(0.1%)</w:t>
            </w:r>
          </w:p>
        </w:tc>
        <w:tc>
          <w:tcPr>
            <w:tcW w:w="727" w:type="pct"/>
            <w:tcMar>
              <w:left w:w="28" w:type="dxa"/>
              <w:right w:w="28" w:type="dxa"/>
            </w:tcMar>
            <w:vAlign w:val="center"/>
          </w:tcPr>
          <w:p w:rsidR="00FF769F" w:rsidRDefault="00FF769F" w:rsidP="00F9381D">
            <w:pPr>
              <w:pStyle w:val="Tablewriting"/>
              <w:jc w:val="center"/>
              <w:rPr>
                <w:rFonts w:eastAsia="MS Mincho"/>
              </w:rPr>
            </w:pPr>
            <w:r>
              <w:rPr>
                <w:rFonts w:eastAsia="MS Mincho"/>
              </w:rPr>
              <w:t>4.44</w:t>
            </w:r>
          </w:p>
          <w:p w:rsidR="00FF769F" w:rsidRPr="00682ACE" w:rsidRDefault="00FF769F" w:rsidP="00F9381D">
            <w:pPr>
              <w:pStyle w:val="Tablewriting"/>
              <w:jc w:val="center"/>
              <w:rPr>
                <w:rFonts w:eastAsia="MS Mincho"/>
              </w:rPr>
            </w:pPr>
            <w:r>
              <w:rPr>
                <w:rFonts w:eastAsia="MS Mincho"/>
              </w:rPr>
              <w:t>(0.76, 25.85)</w:t>
            </w:r>
          </w:p>
        </w:tc>
        <w:tc>
          <w:tcPr>
            <w:tcW w:w="689" w:type="pct"/>
            <w:vAlign w:val="center"/>
          </w:tcPr>
          <w:p w:rsidR="00FF769F" w:rsidRPr="006A6520" w:rsidRDefault="008C13F8" w:rsidP="00F9381D">
            <w:pPr>
              <w:pStyle w:val="Tablewriting"/>
              <w:jc w:val="center"/>
              <w:rPr>
                <w:rFonts w:eastAsia="MS Mincho"/>
              </w:rPr>
            </w:pPr>
            <w:r>
              <w:rPr>
                <w:rFonts w:eastAsia="MS Mincho"/>
              </w:rPr>
              <w:t>NR</w:t>
            </w:r>
          </w:p>
        </w:tc>
      </w:tr>
      <w:tr w:rsidR="008A7A51" w:rsidRPr="00061F78" w:rsidTr="004B53F8">
        <w:trPr>
          <w:cantSplit/>
          <w:trHeight w:val="149"/>
        </w:trPr>
        <w:tc>
          <w:tcPr>
            <w:tcW w:w="5000" w:type="pct"/>
            <w:gridSpan w:val="6"/>
            <w:shd w:val="clear" w:color="auto" w:fill="auto"/>
            <w:tcMar>
              <w:left w:w="28" w:type="dxa"/>
              <w:right w:w="28" w:type="dxa"/>
            </w:tcMar>
          </w:tcPr>
          <w:p w:rsidR="008A7A51" w:rsidRPr="004B53F8" w:rsidRDefault="008A7A51" w:rsidP="00F9381D">
            <w:pPr>
              <w:pStyle w:val="Tablewriting"/>
              <w:rPr>
                <w:rFonts w:eastAsia="MS Mincho"/>
                <w:b/>
                <w:bCs/>
              </w:rPr>
            </w:pPr>
            <w:r w:rsidRPr="004B53F8">
              <w:rPr>
                <w:rFonts w:eastAsia="MS Mincho"/>
                <w:b/>
                <w:bCs/>
              </w:rPr>
              <w:t>Withdrawals due to treatment</w:t>
            </w:r>
          </w:p>
        </w:tc>
      </w:tr>
      <w:tr w:rsidR="007D7378" w:rsidRPr="00061F78" w:rsidTr="0027217C">
        <w:trPr>
          <w:cantSplit/>
          <w:trHeight w:val="149"/>
        </w:trPr>
        <w:tc>
          <w:tcPr>
            <w:tcW w:w="1098" w:type="pct"/>
            <w:tcMar>
              <w:left w:w="28" w:type="dxa"/>
              <w:right w:w="28" w:type="dxa"/>
            </w:tcMar>
          </w:tcPr>
          <w:p w:rsidR="007D7378" w:rsidRDefault="007D7378" w:rsidP="00F9381D">
            <w:pPr>
              <w:pStyle w:val="Tablewriting"/>
              <w:rPr>
                <w:rFonts w:eastAsia="MS Mincho"/>
              </w:rPr>
            </w:pPr>
            <w:r>
              <w:rPr>
                <w:rFonts w:eastAsia="MS Mincho"/>
              </w:rPr>
              <w:t>Combination NRT versus NRT patch</w:t>
            </w:r>
          </w:p>
        </w:tc>
        <w:tc>
          <w:tcPr>
            <w:tcW w:w="1032" w:type="pct"/>
          </w:tcPr>
          <w:p w:rsidR="007D7378" w:rsidRDefault="007D7378" w:rsidP="00F9381D">
            <w:pPr>
              <w:pStyle w:val="Tablewriting"/>
              <w:jc w:val="center"/>
              <w:rPr>
                <w:rFonts w:eastAsia="MS Mincho"/>
              </w:rPr>
            </w:pPr>
            <w:r>
              <w:rPr>
                <w:rFonts w:eastAsia="MS Mincho"/>
              </w:rPr>
              <w:t>Cochrane Review</w:t>
            </w:r>
          </w:p>
          <w:p w:rsidR="007D7378" w:rsidRPr="00B704B7" w:rsidRDefault="007D7378" w:rsidP="00F9381D">
            <w:pPr>
              <w:pStyle w:val="Tablewriting"/>
              <w:jc w:val="center"/>
              <w:rPr>
                <w:rFonts w:eastAsia="MS Mincho"/>
                <w:vertAlign w:val="superscript"/>
              </w:rPr>
            </w:pPr>
            <w:r>
              <w:rPr>
                <w:rFonts w:eastAsia="MS Mincho"/>
              </w:rPr>
              <w:t>(5 RCTs)</w:t>
            </w:r>
            <w:r w:rsidR="00B704B7">
              <w:rPr>
                <w:rFonts w:eastAsia="MS Mincho"/>
                <w:vertAlign w:val="superscript"/>
              </w:rPr>
              <w:t>3</w:t>
            </w:r>
            <w:r w:rsidR="008C13F8">
              <w:rPr>
                <w:rFonts w:eastAsia="MS Mincho"/>
                <w:vertAlign w:val="superscript"/>
              </w:rPr>
              <w:t>,4</w:t>
            </w:r>
          </w:p>
        </w:tc>
        <w:tc>
          <w:tcPr>
            <w:tcW w:w="727" w:type="pct"/>
            <w:tcMar>
              <w:left w:w="28" w:type="dxa"/>
              <w:right w:w="28" w:type="dxa"/>
            </w:tcMar>
            <w:vAlign w:val="center"/>
          </w:tcPr>
          <w:p w:rsidR="007D7378" w:rsidRPr="00F423F8" w:rsidRDefault="000907D3" w:rsidP="00F9381D">
            <w:pPr>
              <w:pStyle w:val="Tablewriting"/>
              <w:jc w:val="center"/>
              <w:rPr>
                <w:rFonts w:eastAsia="MS Mincho"/>
                <w:vertAlign w:val="superscript"/>
              </w:rPr>
            </w:pPr>
            <w:r>
              <w:rPr>
                <w:rFonts w:eastAsia="MS Mincho"/>
              </w:rPr>
              <w:t>17</w:t>
            </w:r>
            <w:r w:rsidR="007D7378">
              <w:rPr>
                <w:rFonts w:eastAsia="MS Mincho"/>
              </w:rPr>
              <w:t>/</w:t>
            </w:r>
            <w:r w:rsidR="00D86B65">
              <w:rPr>
                <w:rFonts w:eastAsia="MS Mincho"/>
              </w:rPr>
              <w:t>804</w:t>
            </w:r>
          </w:p>
          <w:p w:rsidR="007D7378" w:rsidRDefault="007D7378" w:rsidP="00F9381D">
            <w:pPr>
              <w:pStyle w:val="Tablewriting"/>
              <w:jc w:val="center"/>
              <w:rPr>
                <w:rFonts w:eastAsia="MS Mincho"/>
              </w:rPr>
            </w:pPr>
            <w:r>
              <w:rPr>
                <w:rFonts w:eastAsia="MS Mincho"/>
              </w:rPr>
              <w:t>(</w:t>
            </w:r>
            <w:r w:rsidR="00721DC4">
              <w:rPr>
                <w:rFonts w:eastAsia="MS Mincho"/>
              </w:rPr>
              <w:t>2.1</w:t>
            </w:r>
            <w:r>
              <w:rPr>
                <w:rFonts w:eastAsia="MS Mincho"/>
              </w:rPr>
              <w:t>%)</w:t>
            </w:r>
          </w:p>
        </w:tc>
        <w:tc>
          <w:tcPr>
            <w:tcW w:w="727" w:type="pct"/>
            <w:tcMar>
              <w:left w:w="28" w:type="dxa"/>
              <w:right w:w="28" w:type="dxa"/>
            </w:tcMar>
            <w:vAlign w:val="center"/>
          </w:tcPr>
          <w:p w:rsidR="007D7378" w:rsidRDefault="00216121" w:rsidP="00F9381D">
            <w:pPr>
              <w:pStyle w:val="Tablewriting"/>
              <w:jc w:val="center"/>
              <w:rPr>
                <w:rFonts w:eastAsia="MS Mincho"/>
              </w:rPr>
            </w:pPr>
            <w:r>
              <w:rPr>
                <w:rFonts w:eastAsia="MS Mincho"/>
              </w:rPr>
              <w:t>9</w:t>
            </w:r>
            <w:r w:rsidR="007D7378">
              <w:rPr>
                <w:rFonts w:eastAsia="MS Mincho"/>
              </w:rPr>
              <w:t>/</w:t>
            </w:r>
            <w:r>
              <w:rPr>
                <w:rFonts w:eastAsia="MS Mincho"/>
              </w:rPr>
              <w:t>1,178</w:t>
            </w:r>
          </w:p>
          <w:p w:rsidR="007D7378" w:rsidRDefault="007D7378" w:rsidP="00F9381D">
            <w:pPr>
              <w:pStyle w:val="Tablewriting"/>
              <w:jc w:val="center"/>
              <w:rPr>
                <w:rFonts w:eastAsia="MS Mincho"/>
              </w:rPr>
            </w:pPr>
            <w:r>
              <w:rPr>
                <w:rFonts w:eastAsia="MS Mincho"/>
              </w:rPr>
              <w:t>(</w:t>
            </w:r>
            <w:r w:rsidR="00187427">
              <w:rPr>
                <w:rFonts w:eastAsia="MS Mincho"/>
              </w:rPr>
              <w:t>0.8</w:t>
            </w:r>
            <w:r>
              <w:rPr>
                <w:rFonts w:eastAsia="MS Mincho"/>
              </w:rPr>
              <w:t>%)</w:t>
            </w:r>
          </w:p>
        </w:tc>
        <w:tc>
          <w:tcPr>
            <w:tcW w:w="727" w:type="pct"/>
            <w:tcMar>
              <w:left w:w="28" w:type="dxa"/>
              <w:right w:w="28" w:type="dxa"/>
            </w:tcMar>
            <w:vAlign w:val="center"/>
          </w:tcPr>
          <w:p w:rsidR="007D7378" w:rsidRPr="002070F6" w:rsidRDefault="00216121" w:rsidP="00F9381D">
            <w:pPr>
              <w:pStyle w:val="Tablewriting"/>
              <w:jc w:val="center"/>
              <w:rPr>
                <w:rFonts w:eastAsia="MS Mincho"/>
              </w:rPr>
            </w:pPr>
            <w:r>
              <w:rPr>
                <w:rFonts w:eastAsia="MS Mincho"/>
              </w:rPr>
              <w:t>2.32</w:t>
            </w:r>
          </w:p>
          <w:p w:rsidR="007D7378" w:rsidRPr="00682ACE" w:rsidRDefault="007D7378" w:rsidP="00F9381D">
            <w:pPr>
              <w:pStyle w:val="Tablewriting"/>
              <w:jc w:val="center"/>
              <w:rPr>
                <w:rFonts w:eastAsia="MS Mincho"/>
              </w:rPr>
            </w:pPr>
            <w:r w:rsidRPr="002070F6">
              <w:rPr>
                <w:rFonts w:eastAsia="MS Mincho"/>
              </w:rPr>
              <w:t>(0.</w:t>
            </w:r>
            <w:r w:rsidR="00216121">
              <w:rPr>
                <w:rFonts w:eastAsia="MS Mincho"/>
              </w:rPr>
              <w:t>99</w:t>
            </w:r>
            <w:r w:rsidRPr="002070F6">
              <w:rPr>
                <w:rFonts w:eastAsia="MS Mincho"/>
              </w:rPr>
              <w:t xml:space="preserve">, </w:t>
            </w:r>
            <w:r w:rsidR="00216121">
              <w:rPr>
                <w:rFonts w:eastAsia="MS Mincho"/>
              </w:rPr>
              <w:t>5.4</w:t>
            </w:r>
            <w:r w:rsidRPr="002070F6">
              <w:rPr>
                <w:rFonts w:eastAsia="MS Mincho"/>
              </w:rPr>
              <w:t>)</w:t>
            </w:r>
          </w:p>
        </w:tc>
        <w:tc>
          <w:tcPr>
            <w:tcW w:w="689" w:type="pct"/>
            <w:vAlign w:val="center"/>
          </w:tcPr>
          <w:p w:rsidR="007D7378" w:rsidRPr="006A6520" w:rsidRDefault="008C13F8" w:rsidP="00F9381D">
            <w:pPr>
              <w:pStyle w:val="Tablewriting"/>
              <w:jc w:val="center"/>
              <w:rPr>
                <w:rFonts w:eastAsia="MS Mincho"/>
              </w:rPr>
            </w:pPr>
            <w:r>
              <w:rPr>
                <w:rFonts w:eastAsia="MS Mincho"/>
              </w:rPr>
              <w:t>NR</w:t>
            </w:r>
          </w:p>
        </w:tc>
      </w:tr>
      <w:tr w:rsidR="007D7378" w:rsidRPr="00061F78" w:rsidTr="0027217C">
        <w:trPr>
          <w:cantSplit/>
          <w:trHeight w:val="149"/>
        </w:trPr>
        <w:tc>
          <w:tcPr>
            <w:tcW w:w="1098" w:type="pct"/>
            <w:tcMar>
              <w:left w:w="28" w:type="dxa"/>
              <w:right w:w="28" w:type="dxa"/>
            </w:tcMar>
          </w:tcPr>
          <w:p w:rsidR="007D7378" w:rsidRDefault="007D7378" w:rsidP="00F9381D">
            <w:pPr>
              <w:pStyle w:val="Tablewriting"/>
              <w:rPr>
                <w:rFonts w:eastAsia="MS Mincho"/>
              </w:rPr>
            </w:pPr>
            <w:r>
              <w:rPr>
                <w:rFonts w:eastAsia="MS Mincho"/>
              </w:rPr>
              <w:t>Combination NRT versus fast-acting NRT</w:t>
            </w:r>
          </w:p>
        </w:tc>
        <w:tc>
          <w:tcPr>
            <w:tcW w:w="1032" w:type="pct"/>
          </w:tcPr>
          <w:p w:rsidR="007D7378" w:rsidRDefault="007D7378" w:rsidP="00F9381D">
            <w:pPr>
              <w:pStyle w:val="Tablewriting"/>
              <w:jc w:val="center"/>
              <w:rPr>
                <w:rFonts w:eastAsia="MS Mincho"/>
              </w:rPr>
            </w:pPr>
            <w:r>
              <w:rPr>
                <w:rFonts w:eastAsia="MS Mincho"/>
              </w:rPr>
              <w:t>Cochrane Review</w:t>
            </w:r>
          </w:p>
          <w:p w:rsidR="007D7378" w:rsidRPr="00EB51AB" w:rsidRDefault="007D7378" w:rsidP="00F9381D">
            <w:pPr>
              <w:pStyle w:val="Tablewriting"/>
              <w:jc w:val="center"/>
              <w:rPr>
                <w:rFonts w:eastAsia="MS Mincho"/>
                <w:vertAlign w:val="superscript"/>
              </w:rPr>
            </w:pPr>
            <w:r>
              <w:rPr>
                <w:rFonts w:eastAsia="MS Mincho"/>
              </w:rPr>
              <w:t>(2 RCTs)</w:t>
            </w:r>
            <w:r w:rsidR="00EB51AB">
              <w:rPr>
                <w:rFonts w:eastAsia="MS Mincho"/>
                <w:vertAlign w:val="superscript"/>
              </w:rPr>
              <w:t>2</w:t>
            </w:r>
            <w:r w:rsidR="008C13F8">
              <w:rPr>
                <w:rFonts w:eastAsia="MS Mincho"/>
                <w:vertAlign w:val="superscript"/>
              </w:rPr>
              <w:t>,4</w:t>
            </w:r>
          </w:p>
        </w:tc>
        <w:tc>
          <w:tcPr>
            <w:tcW w:w="727" w:type="pct"/>
            <w:tcMar>
              <w:left w:w="28" w:type="dxa"/>
              <w:right w:w="28" w:type="dxa"/>
            </w:tcMar>
            <w:vAlign w:val="center"/>
          </w:tcPr>
          <w:p w:rsidR="007D7378" w:rsidRDefault="007D7378" w:rsidP="00F9381D">
            <w:pPr>
              <w:pStyle w:val="Tablewriting"/>
              <w:jc w:val="center"/>
              <w:rPr>
                <w:rFonts w:eastAsia="MS Mincho"/>
              </w:rPr>
            </w:pPr>
            <w:r>
              <w:rPr>
                <w:rFonts w:eastAsia="MS Mincho"/>
              </w:rPr>
              <w:t>1/</w:t>
            </w:r>
            <w:r w:rsidR="003934E1">
              <w:rPr>
                <w:rFonts w:eastAsia="MS Mincho"/>
              </w:rPr>
              <w:t>365</w:t>
            </w:r>
          </w:p>
          <w:p w:rsidR="007D7378" w:rsidRDefault="007D7378" w:rsidP="00F9381D">
            <w:pPr>
              <w:pStyle w:val="Tablewriting"/>
              <w:jc w:val="center"/>
              <w:rPr>
                <w:rFonts w:eastAsia="MS Mincho"/>
              </w:rPr>
            </w:pPr>
            <w:r>
              <w:rPr>
                <w:rFonts w:eastAsia="MS Mincho"/>
              </w:rPr>
              <w:t>(</w:t>
            </w:r>
            <w:r w:rsidR="00F76EEE">
              <w:rPr>
                <w:rFonts w:eastAsia="MS Mincho"/>
              </w:rPr>
              <w:t>0.3</w:t>
            </w:r>
            <w:r>
              <w:rPr>
                <w:rFonts w:eastAsia="MS Mincho"/>
              </w:rPr>
              <w:t>%)</w:t>
            </w:r>
          </w:p>
        </w:tc>
        <w:tc>
          <w:tcPr>
            <w:tcW w:w="727" w:type="pct"/>
            <w:tcMar>
              <w:left w:w="28" w:type="dxa"/>
              <w:right w:w="28" w:type="dxa"/>
            </w:tcMar>
            <w:vAlign w:val="center"/>
          </w:tcPr>
          <w:p w:rsidR="007D7378" w:rsidRDefault="007D7378" w:rsidP="00F9381D">
            <w:pPr>
              <w:pStyle w:val="Tablewriting"/>
              <w:jc w:val="center"/>
              <w:rPr>
                <w:rFonts w:eastAsia="MS Mincho"/>
              </w:rPr>
            </w:pPr>
            <w:r>
              <w:rPr>
                <w:rFonts w:eastAsia="MS Mincho"/>
              </w:rPr>
              <w:t>1</w:t>
            </w:r>
            <w:r w:rsidR="00D36469">
              <w:rPr>
                <w:rFonts w:eastAsia="MS Mincho"/>
              </w:rPr>
              <w:t>4</w:t>
            </w:r>
            <w:r>
              <w:rPr>
                <w:rFonts w:eastAsia="MS Mincho"/>
              </w:rPr>
              <w:t>/</w:t>
            </w:r>
            <w:r w:rsidR="00D36469">
              <w:rPr>
                <w:rFonts w:eastAsia="MS Mincho"/>
              </w:rPr>
              <w:t>723</w:t>
            </w:r>
          </w:p>
          <w:p w:rsidR="007D7378" w:rsidRDefault="007D7378" w:rsidP="00F9381D">
            <w:pPr>
              <w:pStyle w:val="Tablewriting"/>
              <w:jc w:val="center"/>
              <w:rPr>
                <w:rFonts w:eastAsia="MS Mincho"/>
              </w:rPr>
            </w:pPr>
            <w:r>
              <w:rPr>
                <w:rFonts w:eastAsia="MS Mincho"/>
              </w:rPr>
              <w:t>(</w:t>
            </w:r>
            <w:r w:rsidR="00D8461B">
              <w:rPr>
                <w:rFonts w:eastAsia="MS Mincho"/>
              </w:rPr>
              <w:t>1.9</w:t>
            </w:r>
            <w:r>
              <w:rPr>
                <w:rFonts w:eastAsia="MS Mincho"/>
              </w:rPr>
              <w:t>%)</w:t>
            </w:r>
          </w:p>
        </w:tc>
        <w:tc>
          <w:tcPr>
            <w:tcW w:w="727" w:type="pct"/>
            <w:tcMar>
              <w:left w:w="28" w:type="dxa"/>
              <w:right w:w="28" w:type="dxa"/>
            </w:tcMar>
            <w:vAlign w:val="center"/>
          </w:tcPr>
          <w:p w:rsidR="007D7378" w:rsidRDefault="00D36469" w:rsidP="00F9381D">
            <w:pPr>
              <w:pStyle w:val="Tablewriting"/>
              <w:jc w:val="center"/>
              <w:rPr>
                <w:rFonts w:eastAsia="MS Mincho"/>
              </w:rPr>
            </w:pPr>
            <w:r>
              <w:rPr>
                <w:rFonts w:eastAsia="MS Mincho"/>
              </w:rPr>
              <w:t>0.14</w:t>
            </w:r>
          </w:p>
          <w:p w:rsidR="007D7378" w:rsidRPr="00682ACE" w:rsidRDefault="007D7378" w:rsidP="00F9381D">
            <w:pPr>
              <w:pStyle w:val="Tablewriting"/>
              <w:jc w:val="center"/>
              <w:rPr>
                <w:rFonts w:eastAsia="MS Mincho"/>
              </w:rPr>
            </w:pPr>
            <w:r>
              <w:rPr>
                <w:rFonts w:eastAsia="MS Mincho"/>
              </w:rPr>
              <w:t>(0.</w:t>
            </w:r>
            <w:r w:rsidR="00D36469">
              <w:rPr>
                <w:rFonts w:eastAsia="MS Mincho"/>
              </w:rPr>
              <w:t>02</w:t>
            </w:r>
            <w:r>
              <w:rPr>
                <w:rFonts w:eastAsia="MS Mincho"/>
              </w:rPr>
              <w:t xml:space="preserve">, </w:t>
            </w:r>
            <w:r w:rsidR="00D36469">
              <w:rPr>
                <w:rFonts w:eastAsia="MS Mincho"/>
              </w:rPr>
              <w:t>1.08</w:t>
            </w:r>
            <w:r>
              <w:rPr>
                <w:rFonts w:eastAsia="MS Mincho"/>
              </w:rPr>
              <w:t>)</w:t>
            </w:r>
          </w:p>
        </w:tc>
        <w:tc>
          <w:tcPr>
            <w:tcW w:w="689" w:type="pct"/>
            <w:vAlign w:val="center"/>
          </w:tcPr>
          <w:p w:rsidR="007D7378" w:rsidRPr="006A6520" w:rsidRDefault="008C13F8" w:rsidP="00F9381D">
            <w:pPr>
              <w:pStyle w:val="Tablewriting"/>
              <w:jc w:val="center"/>
              <w:rPr>
                <w:rFonts w:eastAsia="MS Mincho"/>
              </w:rPr>
            </w:pPr>
            <w:r>
              <w:rPr>
                <w:rFonts w:eastAsia="MS Mincho"/>
              </w:rPr>
              <w:t>NR</w:t>
            </w:r>
          </w:p>
        </w:tc>
      </w:tr>
      <w:tr w:rsidR="00FF769F" w:rsidRPr="00061F78" w:rsidTr="00FF769F">
        <w:trPr>
          <w:cantSplit/>
          <w:trHeight w:val="149"/>
        </w:trPr>
        <w:tc>
          <w:tcPr>
            <w:tcW w:w="2130" w:type="pct"/>
            <w:gridSpan w:val="2"/>
            <w:tcMar>
              <w:left w:w="28" w:type="dxa"/>
              <w:right w:w="28" w:type="dxa"/>
            </w:tcMar>
          </w:tcPr>
          <w:p w:rsidR="00FF769F" w:rsidRPr="00A8247E" w:rsidRDefault="00FF769F" w:rsidP="00F9381D">
            <w:pPr>
              <w:pStyle w:val="Tablewriting"/>
              <w:jc w:val="center"/>
              <w:rPr>
                <w:rFonts w:eastAsia="MS Mincho"/>
                <w:vertAlign w:val="superscript"/>
              </w:rPr>
            </w:pPr>
            <w:r>
              <w:rPr>
                <w:rFonts w:eastAsia="MS Mincho"/>
              </w:rPr>
              <w:t>Meta-analysis</w:t>
            </w:r>
            <w:r w:rsidR="008C13F8">
              <w:rPr>
                <w:rFonts w:eastAsia="MS Mincho"/>
                <w:vertAlign w:val="superscript"/>
              </w:rPr>
              <w:t>4</w:t>
            </w:r>
          </w:p>
        </w:tc>
        <w:tc>
          <w:tcPr>
            <w:tcW w:w="727" w:type="pct"/>
            <w:tcMar>
              <w:left w:w="28" w:type="dxa"/>
              <w:right w:w="28" w:type="dxa"/>
            </w:tcMar>
            <w:vAlign w:val="center"/>
          </w:tcPr>
          <w:p w:rsidR="00FF769F" w:rsidRDefault="00FF769F" w:rsidP="00F9381D">
            <w:pPr>
              <w:pStyle w:val="Tablewriting"/>
              <w:jc w:val="center"/>
              <w:rPr>
                <w:rFonts w:eastAsia="MS Mincho"/>
              </w:rPr>
            </w:pPr>
            <w:r>
              <w:rPr>
                <w:rFonts w:eastAsia="MS Mincho"/>
              </w:rPr>
              <w:t>18/1,169</w:t>
            </w:r>
          </w:p>
          <w:p w:rsidR="00FF769F" w:rsidRPr="00AC4506" w:rsidRDefault="00FF769F" w:rsidP="00F9381D">
            <w:pPr>
              <w:pStyle w:val="Tablewriting"/>
              <w:jc w:val="center"/>
              <w:rPr>
                <w:rFonts w:eastAsia="MS Mincho"/>
                <w:vertAlign w:val="superscript"/>
              </w:rPr>
            </w:pPr>
            <w:r>
              <w:rPr>
                <w:rFonts w:eastAsia="MS Mincho"/>
              </w:rPr>
              <w:t>(1.5%)</w:t>
            </w:r>
          </w:p>
        </w:tc>
        <w:tc>
          <w:tcPr>
            <w:tcW w:w="727" w:type="pct"/>
            <w:tcMar>
              <w:left w:w="28" w:type="dxa"/>
              <w:right w:w="28" w:type="dxa"/>
            </w:tcMar>
            <w:vAlign w:val="center"/>
          </w:tcPr>
          <w:p w:rsidR="00FF769F" w:rsidRDefault="00FF769F" w:rsidP="00F9381D">
            <w:pPr>
              <w:pStyle w:val="Tablewriting"/>
              <w:jc w:val="center"/>
              <w:rPr>
                <w:rFonts w:eastAsia="MS Mincho"/>
              </w:rPr>
            </w:pPr>
            <w:r>
              <w:rPr>
                <w:rFonts w:eastAsia="MS Mincho"/>
              </w:rPr>
              <w:t>23/1,901</w:t>
            </w:r>
          </w:p>
          <w:p w:rsidR="00FF769F" w:rsidRPr="00AC4506" w:rsidRDefault="00FF769F" w:rsidP="00F9381D">
            <w:pPr>
              <w:pStyle w:val="Tablewriting"/>
              <w:jc w:val="center"/>
              <w:rPr>
                <w:rFonts w:eastAsia="MS Mincho"/>
                <w:vertAlign w:val="superscript"/>
              </w:rPr>
            </w:pPr>
            <w:r>
              <w:rPr>
                <w:rFonts w:eastAsia="MS Mincho"/>
              </w:rPr>
              <w:t>(1.2%)</w:t>
            </w:r>
          </w:p>
        </w:tc>
        <w:tc>
          <w:tcPr>
            <w:tcW w:w="727" w:type="pct"/>
            <w:tcMar>
              <w:left w:w="28" w:type="dxa"/>
              <w:right w:w="28" w:type="dxa"/>
            </w:tcMar>
            <w:vAlign w:val="center"/>
          </w:tcPr>
          <w:p w:rsidR="00FF769F" w:rsidRDefault="00FF769F" w:rsidP="00F9381D">
            <w:pPr>
              <w:pStyle w:val="Tablewriting"/>
              <w:jc w:val="center"/>
              <w:rPr>
                <w:rFonts w:eastAsia="MS Mincho"/>
              </w:rPr>
            </w:pPr>
            <w:r>
              <w:rPr>
                <w:rFonts w:eastAsia="MS Mincho"/>
              </w:rPr>
              <w:t>1.12</w:t>
            </w:r>
          </w:p>
          <w:p w:rsidR="00FF769F" w:rsidRPr="00682ACE" w:rsidRDefault="00FF769F" w:rsidP="00F9381D">
            <w:pPr>
              <w:pStyle w:val="Tablewriting"/>
              <w:jc w:val="center"/>
              <w:rPr>
                <w:rFonts w:eastAsia="MS Mincho"/>
              </w:rPr>
            </w:pPr>
            <w:r>
              <w:rPr>
                <w:rFonts w:eastAsia="MS Mincho"/>
              </w:rPr>
              <w:t>(0.57, 2.2)</w:t>
            </w:r>
          </w:p>
        </w:tc>
        <w:tc>
          <w:tcPr>
            <w:tcW w:w="689" w:type="pct"/>
            <w:vAlign w:val="center"/>
          </w:tcPr>
          <w:p w:rsidR="00FF769F" w:rsidRPr="006A6520" w:rsidRDefault="008C13F8" w:rsidP="00F9381D">
            <w:pPr>
              <w:pStyle w:val="Tablewriting"/>
              <w:jc w:val="center"/>
              <w:rPr>
                <w:rFonts w:eastAsia="MS Mincho"/>
              </w:rPr>
            </w:pPr>
            <w:r>
              <w:rPr>
                <w:rFonts w:eastAsia="MS Mincho"/>
              </w:rPr>
              <w:t>NR</w:t>
            </w:r>
          </w:p>
        </w:tc>
      </w:tr>
    </w:tbl>
    <w:p w:rsidR="000F01C1" w:rsidRDefault="000F01C1" w:rsidP="000F01C1">
      <w:pPr>
        <w:pStyle w:val="TableFooter"/>
        <w:keepNext/>
      </w:pPr>
      <w:r>
        <w:t>Source: Lindson et al. (2019)</w:t>
      </w:r>
    </w:p>
    <w:p w:rsidR="000F01C1" w:rsidRDefault="000F01C1" w:rsidP="000F01C1">
      <w:pPr>
        <w:pStyle w:val="TableFooter"/>
        <w:keepNext/>
      </w:pPr>
      <w:r>
        <w:t xml:space="preserve">Abbreviations: CI = confidence interval; </w:t>
      </w:r>
      <w:r w:rsidR="008C13F8">
        <w:t xml:space="preserve">NR = not reported; </w:t>
      </w:r>
      <w:r w:rsidR="00B032C3">
        <w:t xml:space="preserve">RCT = randomised controlled trial; </w:t>
      </w:r>
      <w:r>
        <w:t>RD = risk difference; RR = risk ratio</w:t>
      </w:r>
    </w:p>
    <w:p w:rsidR="000F01C1" w:rsidRDefault="000F01C1" w:rsidP="000F01C1">
      <w:pPr>
        <w:pStyle w:val="TableFooter"/>
        <w:keepNext/>
      </w:pPr>
      <w:r w:rsidRPr="00FD4061">
        <w:t>Note</w:t>
      </w:r>
      <w:r>
        <w:t>s</w:t>
      </w:r>
      <w:r w:rsidRPr="00FD4061">
        <w:t>: Bold indicates statistically significant difference.</w:t>
      </w:r>
      <w:r w:rsidR="00B032C3">
        <w:t xml:space="preserve"> </w:t>
      </w:r>
      <w:r w:rsidR="00B032C3" w:rsidRPr="00B032C3">
        <w:t xml:space="preserve">See </w:t>
      </w:r>
      <w:r w:rsidR="00B032C3" w:rsidRPr="00477553">
        <w:t>Appendix</w:t>
      </w:r>
      <w:r w:rsidR="00B032C3" w:rsidRPr="00B032C3">
        <w:t xml:space="preserve"> </w:t>
      </w:r>
      <w:r w:rsidR="003C4A1C">
        <w:t xml:space="preserve">Figure </w:t>
      </w:r>
      <w:r w:rsidR="003C4A1C">
        <w:rPr>
          <w:noProof/>
        </w:rPr>
        <w:t>76</w:t>
      </w:r>
      <w:r w:rsidR="00A22BF4">
        <w:t xml:space="preserve"> to </w:t>
      </w:r>
      <w:r w:rsidR="003C4A1C">
        <w:t xml:space="preserve">Figure </w:t>
      </w:r>
      <w:r w:rsidR="003C4A1C">
        <w:rPr>
          <w:noProof/>
        </w:rPr>
        <w:t>78</w:t>
      </w:r>
      <w:r w:rsidR="00B032C3" w:rsidRPr="00B032C3">
        <w:t xml:space="preserve"> for forest plots of the respective outcomes which included the results of individual studies.</w:t>
      </w:r>
    </w:p>
    <w:p w:rsidR="00E55FAA" w:rsidRDefault="00E55FAA" w:rsidP="000F01C1">
      <w:pPr>
        <w:pStyle w:val="TableFooter"/>
        <w:keepNext/>
      </w:pPr>
      <w:r>
        <w:t xml:space="preserve">1 </w:t>
      </w:r>
      <w:r w:rsidR="008C2395">
        <w:t xml:space="preserve">No event was observed in </w:t>
      </w:r>
      <w:r w:rsidR="00742B71">
        <w:t>both</w:t>
      </w:r>
      <w:r w:rsidR="008C2395">
        <w:t xml:space="preserve"> arms in </w:t>
      </w:r>
      <w:r w:rsidR="00D714F6">
        <w:t>three RCTs</w:t>
      </w:r>
      <w:r w:rsidR="00AB5FA3">
        <w:t>.</w:t>
      </w:r>
    </w:p>
    <w:p w:rsidR="00D714F6" w:rsidRDefault="00D714F6" w:rsidP="000F01C1">
      <w:pPr>
        <w:pStyle w:val="TableFooter"/>
        <w:keepNext/>
      </w:pPr>
      <w:r>
        <w:t xml:space="preserve">2 No event was observed in </w:t>
      </w:r>
      <w:r w:rsidR="00742B71">
        <w:t>both</w:t>
      </w:r>
      <w:r>
        <w:t xml:space="preserve"> arms</w:t>
      </w:r>
      <w:r w:rsidR="00841E4E">
        <w:t xml:space="preserve"> in one RCT</w:t>
      </w:r>
      <w:r w:rsidR="00AB5FA3">
        <w:t>.</w:t>
      </w:r>
    </w:p>
    <w:p w:rsidR="00B704B7" w:rsidRDefault="00B704B7" w:rsidP="000F01C1">
      <w:pPr>
        <w:pStyle w:val="TableFooter"/>
        <w:keepNext/>
      </w:pPr>
      <w:r>
        <w:t>3 No event was observed in both arms in two RCTs</w:t>
      </w:r>
      <w:r w:rsidR="00AB5FA3">
        <w:t>.</w:t>
      </w:r>
    </w:p>
    <w:p w:rsidR="00681ACA" w:rsidRDefault="00681ACA" w:rsidP="00681ACA">
      <w:pPr>
        <w:pStyle w:val="TableFooter"/>
        <w:keepNext/>
      </w:pPr>
      <w:r w:rsidRPr="00477553">
        <w:t xml:space="preserve">4 Calculated </w:t>
      </w:r>
      <w:r w:rsidR="00A1000C" w:rsidRPr="00477553">
        <w:t>by Cochrane Review authors</w:t>
      </w:r>
      <w:r w:rsidRPr="00477553">
        <w:t xml:space="preserve"> using a fixed-effect model</w:t>
      </w:r>
      <w:r w:rsidR="00AB5FA3">
        <w:t>.</w:t>
      </w:r>
    </w:p>
    <w:p w:rsidR="00A20F00" w:rsidRDefault="008C13F8" w:rsidP="000B3CA3">
      <w:pPr>
        <w:pStyle w:val="TableFooter"/>
        <w:keepNext/>
      </w:pPr>
      <w:r>
        <w:t>5 Calculated during review using a random-effect model</w:t>
      </w:r>
      <w:r w:rsidR="00AB5FA3">
        <w:t>.</w:t>
      </w:r>
    </w:p>
    <w:p w:rsidR="00681ACA" w:rsidRPr="00925D53" w:rsidRDefault="00925D53" w:rsidP="00673E44">
      <w:pPr>
        <w:rPr>
          <w:b/>
          <w:bCs/>
        </w:rPr>
      </w:pPr>
      <w:r w:rsidRPr="00925D53">
        <w:rPr>
          <w:b/>
          <w:bCs/>
        </w:rPr>
        <w:t>Combination NRT versus varenicline</w:t>
      </w:r>
      <w:r w:rsidR="002D338E">
        <w:rPr>
          <w:b/>
          <w:bCs/>
        </w:rPr>
        <w:t xml:space="preserve"> or bupropion</w:t>
      </w:r>
    </w:p>
    <w:p w:rsidR="00925D53" w:rsidRDefault="00096949" w:rsidP="00673E44">
      <w:r w:rsidRPr="00096949">
        <w:t xml:space="preserve">A summary of the citation details for the studies comparing combination NRT with </w:t>
      </w:r>
      <w:r w:rsidR="007F1642">
        <w:t>varenicline</w:t>
      </w:r>
      <w:r w:rsidR="00E6399E">
        <w:t xml:space="preserve"> or bupropion</w:t>
      </w:r>
      <w:r w:rsidRPr="00096949">
        <w:t xml:space="preserve"> is presented in </w:t>
      </w:r>
      <w:r w:rsidR="003C4A1C">
        <w:t xml:space="preserve">Table </w:t>
      </w:r>
      <w:r w:rsidR="003C4A1C">
        <w:rPr>
          <w:noProof/>
        </w:rPr>
        <w:t>62</w:t>
      </w:r>
      <w:r w:rsidRPr="00096949">
        <w:t xml:space="preserve">. A Cochrane </w:t>
      </w:r>
      <w:r w:rsidR="00841034" w:rsidRPr="00096949">
        <w:t>R</w:t>
      </w:r>
      <w:r w:rsidRPr="00096949">
        <w:t xml:space="preserve">eview by </w:t>
      </w:r>
      <w:r w:rsidR="003C7A9A">
        <w:t>Cahill</w:t>
      </w:r>
      <w:r w:rsidRPr="00096949">
        <w:t xml:space="preserve"> et al. (201</w:t>
      </w:r>
      <w:r w:rsidR="003C7A9A">
        <w:t>3</w:t>
      </w:r>
      <w:r w:rsidRPr="00096949">
        <w:t xml:space="preserve">) was identified in the systematic literature review that compared combination NRT with </w:t>
      </w:r>
      <w:r w:rsidR="003C7A9A">
        <w:t>varenicline</w:t>
      </w:r>
      <w:r w:rsidR="00E6399E">
        <w:t xml:space="preserve"> or bupropion</w:t>
      </w:r>
      <w:r w:rsidRPr="00096949">
        <w:t xml:space="preserve"> and was included in this report.</w:t>
      </w:r>
      <w:r w:rsidR="00E91171">
        <w:t xml:space="preserve"> </w:t>
      </w:r>
      <w:r w:rsidR="003F3C7F">
        <w:t>One</w:t>
      </w:r>
      <w:r w:rsidR="003F3C7F" w:rsidRPr="00E91171">
        <w:t xml:space="preserve"> RCT was identified in the </w:t>
      </w:r>
      <w:r w:rsidR="003F3C7F">
        <w:t>supplemental</w:t>
      </w:r>
      <w:r w:rsidR="003F3C7F" w:rsidRPr="00E91171">
        <w:t xml:space="preserve"> literature search </w:t>
      </w:r>
      <w:r w:rsidR="003F3C7F">
        <w:t xml:space="preserve">that informed this comparison </w:t>
      </w:r>
      <w:r w:rsidR="003F3C7F" w:rsidRPr="00E91171">
        <w:t>and was included in this report</w:t>
      </w:r>
      <w:r w:rsidR="003F3C7F">
        <w:t xml:space="preserve"> (Chen et al. 2020)</w:t>
      </w:r>
      <w:r w:rsidR="003F3C7F" w:rsidRPr="00E91171">
        <w:t>.</w:t>
      </w:r>
      <w:r w:rsidR="003F3C7F">
        <w:t xml:space="preserve"> It was noted that </w:t>
      </w:r>
      <w:r w:rsidR="00A264A7">
        <w:t>one of</w:t>
      </w:r>
      <w:r w:rsidR="003F3C7F">
        <w:t xml:space="preserve"> the </w:t>
      </w:r>
      <w:r w:rsidR="00A264A7">
        <w:t>new studies included in the NRT patch</w:t>
      </w:r>
      <w:r w:rsidR="00841034">
        <w:t xml:space="preserve"> monotherapy</w:t>
      </w:r>
      <w:r w:rsidR="00A264A7">
        <w:t xml:space="preserve"> versus varenicline section had a combination NRT arm (Tulloch et al. 2016)</w:t>
      </w:r>
      <w:r w:rsidR="00841034">
        <w:t xml:space="preserve">; this </w:t>
      </w:r>
      <w:r w:rsidR="003F3C7F">
        <w:t xml:space="preserve">study </w:t>
      </w:r>
      <w:r w:rsidR="00841034">
        <w:t>was excluded from this section due to the incorrect dose (i.e. up to 35 mg per day).</w:t>
      </w:r>
      <w:r w:rsidR="003F3C7F">
        <w:t xml:space="preserve"> </w:t>
      </w:r>
    </w:p>
    <w:p w:rsidR="007F1642" w:rsidRDefault="007F1642" w:rsidP="007F1642">
      <w:pPr>
        <w:pStyle w:val="Caption"/>
        <w:keepNext/>
      </w:pPr>
      <w:bookmarkStart w:id="150" w:name="_Ref55312105"/>
      <w:r>
        <w:t xml:space="preserve">Table </w:t>
      </w:r>
      <w:r w:rsidR="003C4A1C">
        <w:rPr>
          <w:noProof/>
        </w:rPr>
        <w:t>62</w:t>
      </w:r>
      <w:bookmarkEnd w:id="150"/>
      <w:r>
        <w:t xml:space="preserve">: </w:t>
      </w:r>
      <w:r w:rsidRPr="000079BF">
        <w:t xml:space="preserve">List of studies comparing combination NRT with </w:t>
      </w:r>
      <w:r>
        <w:t>varenicline</w:t>
      </w:r>
      <w:r w:rsidR="0039246C">
        <w:t xml:space="preserve"> or bupropion</w:t>
      </w:r>
    </w:p>
    <w:tbl>
      <w:tblPr>
        <w:tblStyle w:val="TableGrid"/>
        <w:tblW w:w="5000" w:type="pct"/>
        <w:tblLook w:val="04A0" w:firstRow="1" w:lastRow="0" w:firstColumn="1" w:lastColumn="0" w:noHBand="0" w:noVBand="1"/>
        <w:tblCaption w:val="Efficacy results of adalimumab trials (PASI 75 and DLQI)"/>
      </w:tblPr>
      <w:tblGrid>
        <w:gridCol w:w="1004"/>
        <w:gridCol w:w="8012"/>
      </w:tblGrid>
      <w:tr w:rsidR="0085037A" w:rsidRPr="00061F78" w:rsidTr="00246AF7">
        <w:trPr>
          <w:cantSplit/>
          <w:trHeight w:val="329"/>
          <w:tblHeader/>
        </w:trPr>
        <w:tc>
          <w:tcPr>
            <w:tcW w:w="557" w:type="pct"/>
            <w:shd w:val="clear" w:color="auto" w:fill="BFBFBF" w:themeFill="background1" w:themeFillShade="BF"/>
            <w:tcMar>
              <w:left w:w="28" w:type="dxa"/>
              <w:right w:w="28" w:type="dxa"/>
            </w:tcMar>
          </w:tcPr>
          <w:p w:rsidR="00096949" w:rsidRPr="00061F78" w:rsidRDefault="00096949" w:rsidP="00410B67">
            <w:pPr>
              <w:pStyle w:val="Tableheading"/>
              <w:rPr>
                <w:rFonts w:eastAsia="MS Mincho"/>
              </w:rPr>
            </w:pPr>
            <w:r>
              <w:rPr>
                <w:rFonts w:eastAsia="MS Mincho"/>
              </w:rPr>
              <w:t>Study</w:t>
            </w:r>
          </w:p>
        </w:tc>
        <w:tc>
          <w:tcPr>
            <w:tcW w:w="4443" w:type="pct"/>
            <w:shd w:val="clear" w:color="auto" w:fill="BFBFBF" w:themeFill="background1" w:themeFillShade="BF"/>
          </w:tcPr>
          <w:p w:rsidR="00096949" w:rsidRDefault="00096949" w:rsidP="00410B67">
            <w:pPr>
              <w:pStyle w:val="Tableheading"/>
              <w:jc w:val="center"/>
              <w:rPr>
                <w:rFonts w:eastAsia="MS Mincho"/>
              </w:rPr>
            </w:pPr>
            <w:r>
              <w:rPr>
                <w:rFonts w:eastAsia="MS Mincho"/>
              </w:rPr>
              <w:t>Citation</w:t>
            </w:r>
          </w:p>
        </w:tc>
      </w:tr>
      <w:tr w:rsidR="0085037A" w:rsidRPr="00061F78" w:rsidTr="00246AF7">
        <w:trPr>
          <w:cantSplit/>
          <w:trHeight w:val="164"/>
        </w:trPr>
        <w:tc>
          <w:tcPr>
            <w:tcW w:w="557" w:type="pct"/>
            <w:tcMar>
              <w:left w:w="28" w:type="dxa"/>
              <w:right w:w="28" w:type="dxa"/>
            </w:tcMar>
          </w:tcPr>
          <w:p w:rsidR="00096949" w:rsidRPr="00305930" w:rsidRDefault="001B67AA" w:rsidP="00410B67">
            <w:pPr>
              <w:pStyle w:val="Tablewriting"/>
              <w:rPr>
                <w:rFonts w:eastAsia="MS Mincho"/>
              </w:rPr>
            </w:pPr>
            <w:r>
              <w:rPr>
                <w:rFonts w:eastAsia="MS Mincho"/>
              </w:rPr>
              <w:t>Cahill</w:t>
            </w:r>
            <w:r w:rsidR="00096949" w:rsidRPr="00061F78">
              <w:rPr>
                <w:rFonts w:eastAsia="MS Mincho"/>
              </w:rPr>
              <w:t xml:space="preserve"> (20</w:t>
            </w:r>
            <w:r w:rsidR="00096949">
              <w:rPr>
                <w:rFonts w:eastAsia="MS Mincho"/>
              </w:rPr>
              <w:t>1</w:t>
            </w:r>
            <w:r>
              <w:rPr>
                <w:rFonts w:eastAsia="MS Mincho"/>
              </w:rPr>
              <w:t>3</w:t>
            </w:r>
            <w:r w:rsidR="00096949" w:rsidRPr="00061F78">
              <w:rPr>
                <w:rFonts w:eastAsia="MS Mincho"/>
              </w:rPr>
              <w:t>)</w:t>
            </w:r>
            <w:r w:rsidR="0039468B" w:rsidRPr="007A53BC">
              <w:rPr>
                <w:rFonts w:eastAsia="MS Mincho"/>
                <w:noProof/>
                <w:vertAlign w:val="superscript"/>
              </w:rPr>
              <w:t>48</w:t>
            </w:r>
            <w:r w:rsidR="00096949" w:rsidRPr="00D07303">
              <w:rPr>
                <w:rFonts w:eastAsia="MS Mincho"/>
                <w:vertAlign w:val="superscript"/>
              </w:rPr>
              <w:t xml:space="preserve"> </w:t>
            </w:r>
          </w:p>
        </w:tc>
        <w:tc>
          <w:tcPr>
            <w:tcW w:w="4443" w:type="pct"/>
          </w:tcPr>
          <w:p w:rsidR="00096949" w:rsidRDefault="007F1642" w:rsidP="00410B67">
            <w:pPr>
              <w:pStyle w:val="Tablewriting"/>
              <w:rPr>
                <w:rFonts w:eastAsia="MS Mincho"/>
              </w:rPr>
            </w:pPr>
            <w:r w:rsidRPr="007F1642">
              <w:rPr>
                <w:rFonts w:eastAsia="MS Mincho"/>
              </w:rPr>
              <w:t xml:space="preserve">Cahill  K, Stevens  S, Perera  R, Lancaster  T. Pharmacological interventions for smoking cessation: an overview and network meta‐analysis. Cochrane Database of Systematic Reviews 2013, Issue 5. Art. No.: CD009329. </w:t>
            </w:r>
          </w:p>
        </w:tc>
      </w:tr>
      <w:tr w:rsidR="0085037A" w:rsidRPr="00061F78" w:rsidTr="00246AF7">
        <w:trPr>
          <w:cantSplit/>
          <w:trHeight w:val="164"/>
        </w:trPr>
        <w:tc>
          <w:tcPr>
            <w:tcW w:w="557" w:type="pct"/>
            <w:tcMar>
              <w:left w:w="28" w:type="dxa"/>
              <w:right w:w="28" w:type="dxa"/>
            </w:tcMar>
          </w:tcPr>
          <w:p w:rsidR="001D1290" w:rsidRDefault="001D1290" w:rsidP="00410B67">
            <w:pPr>
              <w:pStyle w:val="Tablewriting"/>
              <w:rPr>
                <w:rFonts w:eastAsia="MS Mincho"/>
              </w:rPr>
            </w:pPr>
            <w:r>
              <w:rPr>
                <w:rFonts w:eastAsia="MS Mincho"/>
              </w:rPr>
              <w:t>Chen</w:t>
            </w:r>
          </w:p>
          <w:p w:rsidR="001D1290" w:rsidRDefault="001D1290" w:rsidP="00410B67">
            <w:pPr>
              <w:pStyle w:val="Tablewriting"/>
              <w:rPr>
                <w:rFonts w:eastAsia="MS Mincho"/>
              </w:rPr>
            </w:pPr>
            <w:r>
              <w:rPr>
                <w:rFonts w:eastAsia="MS Mincho"/>
              </w:rPr>
              <w:t>(2020)</w:t>
            </w:r>
            <w:r w:rsidR="0039468B" w:rsidRPr="007A53BC">
              <w:rPr>
                <w:rFonts w:eastAsia="MS Mincho"/>
                <w:noProof/>
                <w:vertAlign w:val="superscript"/>
              </w:rPr>
              <w:t>46</w:t>
            </w:r>
          </w:p>
        </w:tc>
        <w:tc>
          <w:tcPr>
            <w:tcW w:w="4443" w:type="pct"/>
          </w:tcPr>
          <w:p w:rsidR="001D1290" w:rsidRPr="007F1642" w:rsidRDefault="001D1290" w:rsidP="00410B67">
            <w:pPr>
              <w:pStyle w:val="Tablewriting"/>
              <w:rPr>
                <w:rFonts w:eastAsia="MS Mincho"/>
              </w:rPr>
            </w:pPr>
            <w:r w:rsidRPr="002E3D2F">
              <w:rPr>
                <w:rFonts w:eastAsia="MS Mincho"/>
              </w:rPr>
              <w:t>Chen LS, Baker TB, Miller JP, Bray M, Smock N, Chen J, Stoneking F, Culverhouse RC, Saccone NL, Amos CI, Carney RM. Genetic Variant in CHRNA5 and Response to Varenicline and Combination Nicotine Replacement in a randomized placebo‐controlled trial. Clinical Pharmacology &amp; Therapeutics. 2020 Jun 29.</w:t>
            </w:r>
          </w:p>
        </w:tc>
      </w:tr>
    </w:tbl>
    <w:p w:rsidR="004E4DF3" w:rsidRDefault="004E4DF3" w:rsidP="00FB17CD"/>
    <w:p w:rsidR="000A2A40" w:rsidRDefault="003C7A9A" w:rsidP="00FB17CD">
      <w:r w:rsidRPr="003C7A9A">
        <w:lastRenderedPageBreak/>
        <w:t xml:space="preserve">A summary of the characteristics of the studies comparing combination NRT with </w:t>
      </w:r>
      <w:r w:rsidR="006703CA">
        <w:t>varenicline</w:t>
      </w:r>
      <w:r w:rsidRPr="003C7A9A">
        <w:t xml:space="preserve"> </w:t>
      </w:r>
      <w:r w:rsidR="001D1290">
        <w:t xml:space="preserve">or bupropion </w:t>
      </w:r>
      <w:r w:rsidRPr="003C7A9A">
        <w:t xml:space="preserve">is presented in Table 54. </w:t>
      </w:r>
      <w:r w:rsidR="00E6217D">
        <w:t xml:space="preserve">No direct </w:t>
      </w:r>
      <w:r w:rsidRPr="003C7A9A">
        <w:t>RCT</w:t>
      </w:r>
      <w:r w:rsidR="005D7306">
        <w:t xml:space="preserve">s </w:t>
      </w:r>
      <w:r w:rsidRPr="003C7A9A">
        <w:t xml:space="preserve">comparing combination NRT with </w:t>
      </w:r>
      <w:r w:rsidR="001D01E5">
        <w:t>varenicline</w:t>
      </w:r>
      <w:r w:rsidRPr="003C7A9A">
        <w:t xml:space="preserve"> </w:t>
      </w:r>
      <w:r w:rsidR="00E6399E">
        <w:t xml:space="preserve">or bupropion </w:t>
      </w:r>
      <w:r w:rsidRPr="003C7A9A">
        <w:t xml:space="preserve">were identified by </w:t>
      </w:r>
      <w:r w:rsidR="001D01E5">
        <w:t>Cahill</w:t>
      </w:r>
      <w:r w:rsidRPr="003C7A9A">
        <w:t xml:space="preserve"> et al. (201</w:t>
      </w:r>
      <w:r w:rsidR="001D01E5">
        <w:t>3</w:t>
      </w:r>
      <w:r w:rsidRPr="003C7A9A">
        <w:t>).</w:t>
      </w:r>
      <w:r w:rsidR="001D01E5">
        <w:t xml:space="preserve"> </w:t>
      </w:r>
      <w:r w:rsidR="005D7306">
        <w:t>Cahill et al. (2</w:t>
      </w:r>
      <w:r w:rsidR="00442F52">
        <w:t>013) conducted an overview of Cochrane reviews</w:t>
      </w:r>
      <w:r w:rsidR="00937F90">
        <w:t xml:space="preserve"> </w:t>
      </w:r>
      <w:r w:rsidR="00937F90" w:rsidRPr="00937F90">
        <w:t>which assess</w:t>
      </w:r>
      <w:r w:rsidR="00BF7790">
        <w:t>ed</w:t>
      </w:r>
      <w:r w:rsidR="00937F90" w:rsidRPr="00937F90">
        <w:t xml:space="preserve"> the</w:t>
      </w:r>
      <w:r w:rsidR="00937F90">
        <w:t xml:space="preserve"> eff</w:t>
      </w:r>
      <w:r w:rsidR="00937F90" w:rsidRPr="00937F90">
        <w:t>icacy and safety of pharmacological interventions designed to</w:t>
      </w:r>
      <w:r w:rsidR="00937F90">
        <w:t xml:space="preserve"> </w:t>
      </w:r>
      <w:r w:rsidR="00937F90" w:rsidRPr="00937F90">
        <w:t>support smoking cessation attempts.</w:t>
      </w:r>
      <w:r w:rsidR="00937F90">
        <w:t xml:space="preserve"> </w:t>
      </w:r>
      <w:r w:rsidR="009C2D04">
        <w:t xml:space="preserve">Using study level data and a Bayesian hierarchical model approach, </w:t>
      </w:r>
      <w:r w:rsidR="001502E2">
        <w:t xml:space="preserve">the authors </w:t>
      </w:r>
      <w:r w:rsidR="00E93413">
        <w:t xml:space="preserve">conducted a network meta-analysis comparing </w:t>
      </w:r>
      <w:r w:rsidR="001502E2">
        <w:t>NRT (including combination), varenicline and bupropion</w:t>
      </w:r>
      <w:r w:rsidR="00E93413">
        <w:t>.</w:t>
      </w:r>
      <w:r w:rsidRPr="003C7A9A">
        <w:t xml:space="preserve"> </w:t>
      </w:r>
    </w:p>
    <w:p w:rsidR="003C7A9A" w:rsidRDefault="000A2A40" w:rsidP="00FB17CD">
      <w:r w:rsidRPr="000A2A40">
        <w:t xml:space="preserve">A general limitation of network meta-analyses is that the indirect comparisons made may be influenced by potential biases and uncertainties </w:t>
      </w:r>
      <w:r w:rsidR="000B66B9">
        <w:t>due to</w:t>
      </w:r>
      <w:r w:rsidRPr="000A2A40">
        <w:t xml:space="preserve"> heterogeneity and inconsistent outcomes between studies. As such, the results of th</w:t>
      </w:r>
      <w:r w:rsidR="006823C4">
        <w:t>e network meta-analysis</w:t>
      </w:r>
      <w:r w:rsidRPr="000A2A40">
        <w:t xml:space="preserve"> should be interpreted with caution.</w:t>
      </w:r>
    </w:p>
    <w:p w:rsidR="006A71BA" w:rsidRDefault="006917C8" w:rsidP="00FB17CD">
      <w:r>
        <w:t>As direct evidence was available f</w:t>
      </w:r>
      <w:r w:rsidR="00F93C34">
        <w:t xml:space="preserve">or the comparison of </w:t>
      </w:r>
      <w:r w:rsidR="008F6C6F">
        <w:t xml:space="preserve">combination NRT versus varenicline, </w:t>
      </w:r>
      <w:r w:rsidR="00B3401F">
        <w:t>Chen et al. (2020)</w:t>
      </w:r>
      <w:r w:rsidR="008F6C6F">
        <w:t xml:space="preserve"> was included as primary evidence</w:t>
      </w:r>
      <w:r w:rsidR="00B3401F">
        <w:t xml:space="preserve"> while the network meta-analysis by Cahill et al. (2013) was included as supportive evidence</w:t>
      </w:r>
      <w:r w:rsidR="00C60239">
        <w:t>.</w:t>
      </w:r>
      <w:r w:rsidR="00817FA5">
        <w:t xml:space="preserve"> For the comparison of combination NRT versus bupropion, no direct evidence was identified in the updated literature search</w:t>
      </w:r>
      <w:r w:rsidR="0004401F">
        <w:t>.</w:t>
      </w:r>
    </w:p>
    <w:p w:rsidR="006A71BA" w:rsidRDefault="006A71BA" w:rsidP="00FB17CD">
      <w:pPr>
        <w:sectPr w:rsidR="006A71BA" w:rsidSect="006356D2">
          <w:pgSz w:w="11906" w:h="16838"/>
          <w:pgMar w:top="1440" w:right="1440" w:bottom="1440" w:left="1440" w:header="708" w:footer="708" w:gutter="0"/>
          <w:cols w:space="708"/>
          <w:titlePg/>
          <w:docGrid w:linePitch="360"/>
        </w:sectPr>
      </w:pPr>
    </w:p>
    <w:p w:rsidR="00F93C34" w:rsidRDefault="0004401F" w:rsidP="00FB17CD">
      <w:r>
        <w:lastRenderedPageBreak/>
        <w:t xml:space="preserve"> </w:t>
      </w:r>
    </w:p>
    <w:p w:rsidR="00BE1C08" w:rsidRDefault="00BE1C08" w:rsidP="00BE1C08">
      <w:pPr>
        <w:pStyle w:val="Caption"/>
        <w:keepNext/>
      </w:pPr>
      <w:r>
        <w:t xml:space="preserve">Table </w:t>
      </w:r>
      <w:r w:rsidR="003C4A1C">
        <w:rPr>
          <w:noProof/>
        </w:rPr>
        <w:t>63</w:t>
      </w:r>
      <w:r>
        <w:t xml:space="preserve">: </w:t>
      </w:r>
      <w:r w:rsidRPr="00E12EAF">
        <w:t xml:space="preserve">Characteristics of the studies comparing combination NRT with </w:t>
      </w:r>
      <w:r>
        <w:t>varenicline</w:t>
      </w:r>
      <w:r w:rsidR="000F3AE3">
        <w:t xml:space="preserve"> or bupropion</w:t>
      </w:r>
    </w:p>
    <w:tbl>
      <w:tblPr>
        <w:tblStyle w:val="TableGrid"/>
        <w:tblW w:w="5000" w:type="pct"/>
        <w:tblLook w:val="04A0" w:firstRow="1" w:lastRow="0" w:firstColumn="1" w:lastColumn="0" w:noHBand="0" w:noVBand="1"/>
        <w:tblCaption w:val="Efficacy results of adalimumab trials (PASI 75 and DLQI)"/>
      </w:tblPr>
      <w:tblGrid>
        <w:gridCol w:w="1015"/>
        <w:gridCol w:w="988"/>
        <w:gridCol w:w="3387"/>
        <w:gridCol w:w="1693"/>
        <w:gridCol w:w="4374"/>
        <w:gridCol w:w="2491"/>
      </w:tblGrid>
      <w:tr w:rsidR="00C379D2" w:rsidRPr="00061F78" w:rsidTr="006C01A1">
        <w:trPr>
          <w:trHeight w:val="299"/>
          <w:tblHeader/>
        </w:trPr>
        <w:tc>
          <w:tcPr>
            <w:tcW w:w="364" w:type="pct"/>
            <w:shd w:val="clear" w:color="auto" w:fill="BFBFBF" w:themeFill="background1" w:themeFillShade="BF"/>
            <w:tcMar>
              <w:left w:w="28" w:type="dxa"/>
              <w:right w:w="28" w:type="dxa"/>
            </w:tcMar>
          </w:tcPr>
          <w:p w:rsidR="006703CA" w:rsidRPr="00061F78" w:rsidRDefault="006703CA" w:rsidP="00E93413">
            <w:pPr>
              <w:pStyle w:val="Tableheading"/>
              <w:keepNext/>
              <w:rPr>
                <w:rFonts w:eastAsia="MS Mincho"/>
              </w:rPr>
            </w:pPr>
            <w:r>
              <w:rPr>
                <w:rFonts w:eastAsia="MS Mincho"/>
              </w:rPr>
              <w:t>Study</w:t>
            </w:r>
          </w:p>
        </w:tc>
        <w:tc>
          <w:tcPr>
            <w:tcW w:w="354" w:type="pct"/>
            <w:shd w:val="clear" w:color="auto" w:fill="BFBFBF" w:themeFill="background1" w:themeFillShade="BF"/>
          </w:tcPr>
          <w:p w:rsidR="006703CA" w:rsidRDefault="006703CA" w:rsidP="00E93413">
            <w:pPr>
              <w:pStyle w:val="Tableheading"/>
              <w:keepNext/>
              <w:jc w:val="center"/>
              <w:rPr>
                <w:rFonts w:eastAsia="MS Mincho"/>
              </w:rPr>
            </w:pPr>
            <w:r>
              <w:rPr>
                <w:rFonts w:eastAsia="MS Mincho"/>
              </w:rPr>
              <w:t>Study type</w:t>
            </w:r>
          </w:p>
        </w:tc>
        <w:tc>
          <w:tcPr>
            <w:tcW w:w="1214" w:type="pct"/>
            <w:shd w:val="clear" w:color="auto" w:fill="BFBFBF" w:themeFill="background1" w:themeFillShade="BF"/>
            <w:tcMar>
              <w:left w:w="28" w:type="dxa"/>
              <w:right w:w="28" w:type="dxa"/>
            </w:tcMar>
          </w:tcPr>
          <w:p w:rsidR="006703CA" w:rsidRPr="00AE21E9" w:rsidRDefault="006703CA" w:rsidP="00E93413">
            <w:pPr>
              <w:pStyle w:val="Tableheading"/>
              <w:keepNext/>
              <w:jc w:val="center"/>
              <w:rPr>
                <w:rFonts w:eastAsia="MS Mincho"/>
                <w:vertAlign w:val="superscript"/>
              </w:rPr>
            </w:pPr>
            <w:r>
              <w:rPr>
                <w:rFonts w:eastAsia="MS Mincho"/>
              </w:rPr>
              <w:t>N</w:t>
            </w:r>
            <w:r w:rsidR="00FD4436">
              <w:rPr>
                <w:rFonts w:eastAsia="MS Mincho"/>
                <w:vertAlign w:val="superscript"/>
              </w:rPr>
              <w:t>1</w:t>
            </w:r>
          </w:p>
        </w:tc>
        <w:tc>
          <w:tcPr>
            <w:tcW w:w="607" w:type="pct"/>
            <w:shd w:val="clear" w:color="auto" w:fill="BFBFBF" w:themeFill="background1" w:themeFillShade="BF"/>
            <w:tcMar>
              <w:left w:w="28" w:type="dxa"/>
              <w:right w:w="28" w:type="dxa"/>
            </w:tcMar>
          </w:tcPr>
          <w:p w:rsidR="006703CA" w:rsidRPr="00061F78" w:rsidRDefault="006703CA" w:rsidP="00E93413">
            <w:pPr>
              <w:pStyle w:val="Tableheading"/>
              <w:keepNext/>
              <w:jc w:val="center"/>
              <w:rPr>
                <w:rFonts w:eastAsia="MS Mincho"/>
              </w:rPr>
            </w:pPr>
            <w:r w:rsidRPr="00061F78">
              <w:rPr>
                <w:rFonts w:eastAsia="MS Mincho"/>
              </w:rPr>
              <w:t>P</w:t>
            </w:r>
            <w:r>
              <w:rPr>
                <w:rFonts w:eastAsia="MS Mincho"/>
              </w:rPr>
              <w:t>opulation</w:t>
            </w:r>
          </w:p>
        </w:tc>
        <w:tc>
          <w:tcPr>
            <w:tcW w:w="1568" w:type="pct"/>
            <w:shd w:val="clear" w:color="auto" w:fill="BFBFBF" w:themeFill="background1" w:themeFillShade="BF"/>
          </w:tcPr>
          <w:p w:rsidR="006703CA" w:rsidRDefault="006703CA" w:rsidP="00E93413">
            <w:pPr>
              <w:pStyle w:val="Tableheading"/>
              <w:keepNext/>
              <w:jc w:val="center"/>
              <w:rPr>
                <w:rFonts w:eastAsia="MS Mincho"/>
              </w:rPr>
            </w:pPr>
            <w:r>
              <w:rPr>
                <w:rFonts w:eastAsia="MS Mincho"/>
              </w:rPr>
              <w:t>Intervention and comparator</w:t>
            </w:r>
          </w:p>
        </w:tc>
        <w:tc>
          <w:tcPr>
            <w:tcW w:w="893" w:type="pct"/>
            <w:shd w:val="clear" w:color="auto" w:fill="BFBFBF" w:themeFill="background1" w:themeFillShade="BF"/>
            <w:tcMar>
              <w:left w:w="28" w:type="dxa"/>
              <w:right w:w="28" w:type="dxa"/>
            </w:tcMar>
          </w:tcPr>
          <w:p w:rsidR="006703CA" w:rsidRPr="00061F78" w:rsidRDefault="006703CA" w:rsidP="00E93413">
            <w:pPr>
              <w:pStyle w:val="Tableheading"/>
              <w:keepNext/>
              <w:jc w:val="center"/>
              <w:rPr>
                <w:rFonts w:eastAsia="MS Mincho"/>
              </w:rPr>
            </w:pPr>
            <w:r>
              <w:rPr>
                <w:rFonts w:eastAsia="MS Mincho"/>
              </w:rPr>
              <w:t>Outcomes</w:t>
            </w:r>
          </w:p>
        </w:tc>
      </w:tr>
      <w:tr w:rsidR="006703CA" w:rsidRPr="00061F78" w:rsidTr="006C01A1">
        <w:trPr>
          <w:trHeight w:val="149"/>
        </w:trPr>
        <w:tc>
          <w:tcPr>
            <w:tcW w:w="364" w:type="pct"/>
            <w:tcMar>
              <w:left w:w="28" w:type="dxa"/>
              <w:right w:w="28" w:type="dxa"/>
            </w:tcMar>
          </w:tcPr>
          <w:p w:rsidR="006703CA" w:rsidRDefault="00322560" w:rsidP="00E93413">
            <w:pPr>
              <w:pStyle w:val="Tablewriting"/>
              <w:keepNext/>
              <w:rPr>
                <w:rFonts w:eastAsia="MS Mincho"/>
              </w:rPr>
            </w:pPr>
            <w:r>
              <w:rPr>
                <w:rFonts w:eastAsia="MS Mincho"/>
              </w:rPr>
              <w:t>Cahill</w:t>
            </w:r>
            <w:r w:rsidRPr="00061F78">
              <w:rPr>
                <w:rFonts w:eastAsia="MS Mincho"/>
              </w:rPr>
              <w:t xml:space="preserve"> (20</w:t>
            </w:r>
            <w:r>
              <w:rPr>
                <w:rFonts w:eastAsia="MS Mincho"/>
              </w:rPr>
              <w:t>13</w:t>
            </w:r>
            <w:r w:rsidRPr="00061F78">
              <w:rPr>
                <w:rFonts w:eastAsia="MS Mincho"/>
              </w:rPr>
              <w:t>)</w:t>
            </w:r>
          </w:p>
        </w:tc>
        <w:tc>
          <w:tcPr>
            <w:tcW w:w="354" w:type="pct"/>
          </w:tcPr>
          <w:p w:rsidR="006703CA" w:rsidRDefault="006703CA" w:rsidP="00E93413">
            <w:pPr>
              <w:pStyle w:val="Tablewriting"/>
              <w:keepNext/>
              <w:rPr>
                <w:rFonts w:eastAsia="MS Mincho"/>
              </w:rPr>
            </w:pPr>
            <w:r>
              <w:rPr>
                <w:rFonts w:eastAsia="MS Mincho"/>
              </w:rPr>
              <w:t xml:space="preserve">Cochrane </w:t>
            </w:r>
            <w:r w:rsidR="00253D5E">
              <w:rPr>
                <w:rFonts w:eastAsia="MS Mincho"/>
              </w:rPr>
              <w:t>R</w:t>
            </w:r>
            <w:r>
              <w:rPr>
                <w:rFonts w:eastAsia="MS Mincho"/>
              </w:rPr>
              <w:t>eview</w:t>
            </w:r>
          </w:p>
          <w:p w:rsidR="006703CA" w:rsidRDefault="000B005B" w:rsidP="00E93413">
            <w:pPr>
              <w:pStyle w:val="Tablewriting"/>
              <w:keepNext/>
              <w:rPr>
                <w:rFonts w:eastAsia="MS Mincho"/>
              </w:rPr>
            </w:pPr>
            <w:r>
              <w:rPr>
                <w:rFonts w:eastAsia="MS Mincho"/>
              </w:rPr>
              <w:t>(N</w:t>
            </w:r>
            <w:r w:rsidR="004A489C">
              <w:rPr>
                <w:rFonts w:eastAsia="MS Mincho"/>
              </w:rPr>
              <w:t>MA)</w:t>
            </w:r>
          </w:p>
        </w:tc>
        <w:tc>
          <w:tcPr>
            <w:tcW w:w="1214" w:type="pct"/>
            <w:tcMar>
              <w:left w:w="28" w:type="dxa"/>
              <w:right w:w="28" w:type="dxa"/>
            </w:tcMar>
          </w:tcPr>
          <w:p w:rsidR="006703CA" w:rsidRPr="001D2106" w:rsidRDefault="00FB4045" w:rsidP="00E93413">
            <w:pPr>
              <w:pStyle w:val="Tablewriting"/>
              <w:keepNext/>
              <w:rPr>
                <w:rFonts w:eastAsia="MS Mincho"/>
                <w:u w:val="single"/>
              </w:rPr>
            </w:pPr>
            <w:r>
              <w:rPr>
                <w:rFonts w:eastAsia="MS Mincho"/>
                <w:u w:val="single"/>
              </w:rPr>
              <w:t xml:space="preserve">Combination </w:t>
            </w:r>
            <w:r w:rsidR="006703CA" w:rsidRPr="001D2106">
              <w:rPr>
                <w:rFonts w:eastAsia="MS Mincho"/>
                <w:u w:val="single"/>
              </w:rPr>
              <w:t xml:space="preserve">NRT </w:t>
            </w:r>
            <w:r w:rsidR="00443314">
              <w:rPr>
                <w:rFonts w:eastAsia="MS Mincho"/>
                <w:u w:val="single"/>
              </w:rPr>
              <w:t>versus placebo</w:t>
            </w:r>
          </w:p>
          <w:p w:rsidR="006703CA" w:rsidRDefault="00A62CFE" w:rsidP="00E93413">
            <w:pPr>
              <w:pStyle w:val="Tablewriting"/>
              <w:keepNext/>
              <w:rPr>
                <w:rFonts w:eastAsia="MS Mincho"/>
              </w:rPr>
            </w:pPr>
            <w:r>
              <w:rPr>
                <w:rFonts w:eastAsia="MS Mincho"/>
              </w:rPr>
              <w:t>2 RCTs</w:t>
            </w:r>
          </w:p>
          <w:p w:rsidR="00C4616E" w:rsidRPr="00FC4736" w:rsidRDefault="00C4616E" w:rsidP="00E93413">
            <w:pPr>
              <w:pStyle w:val="Tablewriting"/>
              <w:keepNext/>
              <w:rPr>
                <w:rFonts w:eastAsia="MS Mincho"/>
                <w:u w:val="single"/>
              </w:rPr>
            </w:pPr>
            <w:r w:rsidRPr="00FC4736">
              <w:rPr>
                <w:rFonts w:eastAsia="MS Mincho"/>
                <w:u w:val="single"/>
              </w:rPr>
              <w:t>Combination NRT versus NRT patch</w:t>
            </w:r>
          </w:p>
          <w:p w:rsidR="00FC4736" w:rsidRDefault="00FC4736" w:rsidP="00E93413">
            <w:pPr>
              <w:pStyle w:val="Tablewriting"/>
              <w:keepNext/>
              <w:rPr>
                <w:rFonts w:eastAsia="MS Mincho"/>
              </w:rPr>
            </w:pPr>
            <w:r>
              <w:rPr>
                <w:rFonts w:eastAsia="MS Mincho"/>
              </w:rPr>
              <w:t>3 RCTs</w:t>
            </w:r>
          </w:p>
          <w:p w:rsidR="00FC4736" w:rsidRPr="00984E83" w:rsidRDefault="00FC4736" w:rsidP="00E93413">
            <w:pPr>
              <w:pStyle w:val="Tablewriting"/>
              <w:keepNext/>
              <w:rPr>
                <w:rFonts w:eastAsia="MS Mincho"/>
                <w:u w:val="single"/>
              </w:rPr>
            </w:pPr>
            <w:r w:rsidRPr="00984E83">
              <w:rPr>
                <w:rFonts w:eastAsia="MS Mincho"/>
                <w:u w:val="single"/>
              </w:rPr>
              <w:t>Combinatio</w:t>
            </w:r>
            <w:r w:rsidR="00B23B71" w:rsidRPr="00984E83">
              <w:rPr>
                <w:rFonts w:eastAsia="MS Mincho"/>
                <w:u w:val="single"/>
              </w:rPr>
              <w:t>n NRT versus NRT gum</w:t>
            </w:r>
          </w:p>
          <w:p w:rsidR="007912BA" w:rsidRDefault="007912BA" w:rsidP="00E93413">
            <w:pPr>
              <w:pStyle w:val="Tablewriting"/>
              <w:keepNext/>
              <w:rPr>
                <w:rFonts w:eastAsia="MS Mincho"/>
              </w:rPr>
            </w:pPr>
            <w:r>
              <w:rPr>
                <w:rFonts w:eastAsia="MS Mincho"/>
              </w:rPr>
              <w:t>1 RCT</w:t>
            </w:r>
          </w:p>
          <w:p w:rsidR="00984E83" w:rsidRPr="00612B85" w:rsidRDefault="00984E83" w:rsidP="00E93413">
            <w:pPr>
              <w:pStyle w:val="Tablewriting"/>
              <w:keepNext/>
              <w:rPr>
                <w:rFonts w:eastAsia="MS Mincho"/>
                <w:u w:val="single"/>
              </w:rPr>
            </w:pPr>
            <w:r w:rsidRPr="00612B85">
              <w:rPr>
                <w:rFonts w:eastAsia="MS Mincho"/>
                <w:u w:val="single"/>
              </w:rPr>
              <w:t>Combination</w:t>
            </w:r>
            <w:r w:rsidR="00113A4F" w:rsidRPr="00612B85">
              <w:rPr>
                <w:rFonts w:eastAsia="MS Mincho"/>
                <w:u w:val="single"/>
              </w:rPr>
              <w:t xml:space="preserve"> NRT</w:t>
            </w:r>
            <w:r w:rsidR="00AC4682" w:rsidRPr="00612B85">
              <w:rPr>
                <w:rFonts w:eastAsia="MS Mincho"/>
                <w:u w:val="single"/>
              </w:rPr>
              <w:t xml:space="preserve"> versus other NRT</w:t>
            </w:r>
          </w:p>
          <w:p w:rsidR="006703CA" w:rsidRDefault="00E6399E" w:rsidP="00E93413">
            <w:pPr>
              <w:pStyle w:val="Tablewriting"/>
              <w:keepNext/>
              <w:rPr>
                <w:rFonts w:eastAsia="MS Mincho"/>
              </w:rPr>
            </w:pPr>
            <w:r w:rsidRPr="00E6399E">
              <w:rPr>
                <w:rFonts w:eastAsia="MS Mincho"/>
              </w:rPr>
              <w:t>1 RCT</w:t>
            </w:r>
          </w:p>
          <w:p w:rsidR="00103A01" w:rsidRPr="00F149C3" w:rsidRDefault="00103A01" w:rsidP="00E93413">
            <w:pPr>
              <w:pStyle w:val="Tablewriting"/>
              <w:keepNext/>
              <w:rPr>
                <w:rFonts w:eastAsia="MS Mincho"/>
                <w:u w:val="single"/>
              </w:rPr>
            </w:pPr>
            <w:r w:rsidRPr="00F149C3">
              <w:rPr>
                <w:rFonts w:eastAsia="MS Mincho"/>
                <w:u w:val="single"/>
              </w:rPr>
              <w:t>Varenicline versus placebo</w:t>
            </w:r>
          </w:p>
          <w:p w:rsidR="00103A01" w:rsidRPr="00F149C3" w:rsidRDefault="00103A01" w:rsidP="00E93413">
            <w:pPr>
              <w:pStyle w:val="Tablewriting"/>
              <w:keepNext/>
              <w:rPr>
                <w:rFonts w:eastAsia="MS Mincho"/>
              </w:rPr>
            </w:pPr>
            <w:r w:rsidRPr="00F149C3">
              <w:rPr>
                <w:rFonts w:eastAsia="MS Mincho"/>
              </w:rPr>
              <w:t>15 RCTs</w:t>
            </w:r>
          </w:p>
          <w:p w:rsidR="00A1635C" w:rsidRPr="00F149C3" w:rsidRDefault="00F15950" w:rsidP="00E93413">
            <w:pPr>
              <w:pStyle w:val="Tablewriting"/>
              <w:keepNext/>
              <w:rPr>
                <w:rFonts w:eastAsia="MS Mincho"/>
                <w:u w:val="single"/>
              </w:rPr>
            </w:pPr>
            <w:r w:rsidRPr="00F149C3">
              <w:rPr>
                <w:rFonts w:eastAsia="MS Mincho"/>
                <w:u w:val="single"/>
              </w:rPr>
              <w:t>Bupropion versus placebo</w:t>
            </w:r>
          </w:p>
          <w:p w:rsidR="00F15950" w:rsidRPr="00F149C3" w:rsidRDefault="00793458" w:rsidP="00E93413">
            <w:pPr>
              <w:pStyle w:val="Tablewriting"/>
              <w:keepNext/>
              <w:rPr>
                <w:rFonts w:eastAsia="MS Mincho"/>
              </w:rPr>
            </w:pPr>
            <w:r w:rsidRPr="00F149C3">
              <w:rPr>
                <w:rFonts w:eastAsia="MS Mincho"/>
              </w:rPr>
              <w:t>36 RCTs</w:t>
            </w:r>
          </w:p>
          <w:p w:rsidR="00793458" w:rsidRPr="00F149C3" w:rsidRDefault="00EB657C" w:rsidP="00E93413">
            <w:pPr>
              <w:pStyle w:val="Tablewriting"/>
              <w:keepNext/>
              <w:rPr>
                <w:rFonts w:eastAsia="MS Mincho"/>
                <w:u w:val="single"/>
              </w:rPr>
            </w:pPr>
            <w:r w:rsidRPr="00F149C3">
              <w:rPr>
                <w:rFonts w:eastAsia="MS Mincho"/>
                <w:u w:val="single"/>
              </w:rPr>
              <w:t>Bupropion versus NRT patch</w:t>
            </w:r>
          </w:p>
          <w:p w:rsidR="00EB657C" w:rsidRPr="00F149C3" w:rsidRDefault="00830933" w:rsidP="00E93413">
            <w:pPr>
              <w:pStyle w:val="Tablewriting"/>
              <w:keepNext/>
              <w:rPr>
                <w:rFonts w:eastAsia="MS Mincho"/>
              </w:rPr>
            </w:pPr>
            <w:r w:rsidRPr="00F149C3">
              <w:rPr>
                <w:rFonts w:eastAsia="MS Mincho"/>
              </w:rPr>
              <w:t>6 RCTs</w:t>
            </w:r>
          </w:p>
          <w:p w:rsidR="00891D7F" w:rsidRPr="00F149C3" w:rsidRDefault="00891D7F" w:rsidP="00E93413">
            <w:pPr>
              <w:pStyle w:val="Tablewriting"/>
              <w:keepNext/>
              <w:rPr>
                <w:rFonts w:eastAsia="MS Mincho"/>
                <w:u w:val="single"/>
              </w:rPr>
            </w:pPr>
            <w:r w:rsidRPr="00F149C3">
              <w:rPr>
                <w:rFonts w:eastAsia="MS Mincho"/>
                <w:u w:val="single"/>
              </w:rPr>
              <w:t>Bupropion versus other NRT</w:t>
            </w:r>
          </w:p>
          <w:p w:rsidR="005B3D9A" w:rsidRPr="004B359D" w:rsidRDefault="00F149C3" w:rsidP="00ED12CB">
            <w:pPr>
              <w:pStyle w:val="Tablewriting"/>
              <w:keepNext/>
              <w:rPr>
                <w:rFonts w:eastAsia="MS Mincho"/>
                <w:highlight w:val="yellow"/>
              </w:rPr>
            </w:pPr>
            <w:r w:rsidRPr="00F149C3">
              <w:rPr>
                <w:rFonts w:eastAsia="MS Mincho"/>
              </w:rPr>
              <w:t>2 RCTs</w:t>
            </w:r>
          </w:p>
        </w:tc>
        <w:tc>
          <w:tcPr>
            <w:tcW w:w="607" w:type="pct"/>
            <w:tcMar>
              <w:left w:w="28" w:type="dxa"/>
              <w:right w:w="28" w:type="dxa"/>
            </w:tcMar>
          </w:tcPr>
          <w:p w:rsidR="006703CA" w:rsidRPr="00190685" w:rsidRDefault="006703CA" w:rsidP="00E93413">
            <w:pPr>
              <w:pStyle w:val="Tablewriting"/>
              <w:keepNext/>
              <w:rPr>
                <w:rFonts w:eastAsia="MS Mincho"/>
              </w:rPr>
            </w:pPr>
            <w:r w:rsidRPr="002C19B4">
              <w:rPr>
                <w:rFonts w:eastAsia="MS Mincho"/>
                <w:u w:val="single"/>
              </w:rPr>
              <w:t>Inclusion</w:t>
            </w:r>
            <w:r>
              <w:rPr>
                <w:rFonts w:eastAsia="MS Mincho"/>
              </w:rPr>
              <w:t>:</w:t>
            </w:r>
            <w:r w:rsidR="00307795">
              <w:rPr>
                <w:rFonts w:eastAsia="MS Mincho"/>
              </w:rPr>
              <w:t xml:space="preserve"> all participants covered by the pharmacotherapy-based (primary) reviews,</w:t>
            </w:r>
            <w:r>
              <w:rPr>
                <w:rFonts w:eastAsia="MS Mincho"/>
              </w:rPr>
              <w:t xml:space="preserve"> </w:t>
            </w:r>
            <w:r w:rsidR="00066770" w:rsidRPr="00066770">
              <w:rPr>
                <w:rFonts w:eastAsia="MS Mincho"/>
              </w:rPr>
              <w:t>adult smokers, of either gender, and of any nationality</w:t>
            </w:r>
            <w:r w:rsidR="00066770">
              <w:rPr>
                <w:rFonts w:eastAsia="MS Mincho"/>
              </w:rPr>
              <w:t xml:space="preserve"> </w:t>
            </w:r>
            <w:r w:rsidR="00066770" w:rsidRPr="00066770">
              <w:rPr>
                <w:rFonts w:eastAsia="MS Mincho"/>
              </w:rPr>
              <w:t>and ethnicity.</w:t>
            </w:r>
          </w:p>
        </w:tc>
        <w:tc>
          <w:tcPr>
            <w:tcW w:w="1568" w:type="pct"/>
          </w:tcPr>
          <w:p w:rsidR="006703CA" w:rsidRPr="004B359D" w:rsidRDefault="00F60DF2" w:rsidP="00D5274D">
            <w:pPr>
              <w:pStyle w:val="Tablewriting"/>
              <w:keepNext/>
              <w:rPr>
                <w:rFonts w:eastAsia="MS Mincho"/>
                <w:highlight w:val="yellow"/>
              </w:rPr>
            </w:pPr>
            <w:r w:rsidRPr="00E574B7">
              <w:rPr>
                <w:rFonts w:eastAsia="MS Mincho"/>
              </w:rPr>
              <w:t>Smoking cessation interventions</w:t>
            </w:r>
            <w:r w:rsidR="00044A5D" w:rsidRPr="00E574B7">
              <w:rPr>
                <w:rFonts w:eastAsia="MS Mincho"/>
              </w:rPr>
              <w:t xml:space="preserve">, including NRT, varenicline and bupropion. </w:t>
            </w:r>
            <w:r w:rsidR="00E574B7" w:rsidRPr="00E574B7">
              <w:rPr>
                <w:rFonts w:eastAsia="MS Mincho"/>
              </w:rPr>
              <w:t>These interventions may be delivered as monotherapies or in combination.</w:t>
            </w:r>
          </w:p>
        </w:tc>
        <w:tc>
          <w:tcPr>
            <w:tcW w:w="893" w:type="pct"/>
            <w:tcMar>
              <w:left w:w="28" w:type="dxa"/>
              <w:right w:w="28" w:type="dxa"/>
            </w:tcMar>
          </w:tcPr>
          <w:p w:rsidR="006703CA" w:rsidRPr="00C324F3" w:rsidRDefault="006703CA" w:rsidP="00E93413">
            <w:pPr>
              <w:pStyle w:val="Tablewriting"/>
              <w:keepNext/>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651E7A">
              <w:rPr>
                <w:rFonts w:eastAsia="MS Mincho"/>
                <w:vertAlign w:val="superscript"/>
              </w:rPr>
              <w:t>2</w:t>
            </w:r>
            <w:r w:rsidR="00AB5FA3">
              <w:rPr>
                <w:rFonts w:eastAsia="MS Mincho"/>
              </w:rPr>
              <w:t>.</w:t>
            </w:r>
          </w:p>
          <w:p w:rsidR="006703CA" w:rsidRPr="004B359D" w:rsidRDefault="006703CA" w:rsidP="00E93413">
            <w:pPr>
              <w:pStyle w:val="Tablewriting"/>
              <w:keepNext/>
              <w:rPr>
                <w:rFonts w:eastAsia="MS Mincho"/>
                <w:highlight w:val="yellow"/>
                <w:u w:val="single"/>
              </w:rPr>
            </w:pPr>
            <w:r w:rsidRPr="0036499C">
              <w:rPr>
                <w:rFonts w:eastAsia="MS Mincho"/>
                <w:u w:val="single"/>
              </w:rPr>
              <w:t>Secondary</w:t>
            </w:r>
            <w:r>
              <w:rPr>
                <w:rFonts w:eastAsia="MS Mincho"/>
              </w:rPr>
              <w:t xml:space="preserve">: </w:t>
            </w:r>
            <w:r w:rsidR="0059378F">
              <w:rPr>
                <w:rFonts w:eastAsia="MS Mincho"/>
              </w:rPr>
              <w:t>reduction of withdrawal symptoms, reduction of craving</w:t>
            </w:r>
            <w:r w:rsidR="00572561">
              <w:rPr>
                <w:rFonts w:eastAsia="MS Mincho"/>
              </w:rPr>
              <w:t>, safety including adverse events</w:t>
            </w:r>
            <w:r w:rsidR="00AB5FA3">
              <w:rPr>
                <w:rFonts w:eastAsia="MS Mincho"/>
              </w:rPr>
              <w:t>.</w:t>
            </w:r>
          </w:p>
        </w:tc>
      </w:tr>
      <w:tr w:rsidR="00A72D78" w:rsidRPr="00061F78" w:rsidTr="006C01A1">
        <w:trPr>
          <w:trHeight w:val="149"/>
        </w:trPr>
        <w:tc>
          <w:tcPr>
            <w:tcW w:w="364" w:type="pct"/>
            <w:tcMar>
              <w:left w:w="28" w:type="dxa"/>
              <w:right w:w="28" w:type="dxa"/>
            </w:tcMar>
          </w:tcPr>
          <w:p w:rsidR="00A72D78" w:rsidRDefault="00A72D78" w:rsidP="00A72D78">
            <w:pPr>
              <w:pStyle w:val="Tablewriting"/>
              <w:keepNext/>
              <w:rPr>
                <w:rFonts w:eastAsia="MS Mincho"/>
              </w:rPr>
            </w:pPr>
            <w:r>
              <w:rPr>
                <w:rFonts w:eastAsia="MS Mincho"/>
              </w:rPr>
              <w:t>Chen</w:t>
            </w:r>
          </w:p>
          <w:p w:rsidR="00A72D78" w:rsidRDefault="00A72D78" w:rsidP="00A72D78">
            <w:pPr>
              <w:pStyle w:val="Tablewriting"/>
              <w:keepNext/>
              <w:rPr>
                <w:rFonts w:eastAsia="MS Mincho"/>
              </w:rPr>
            </w:pPr>
            <w:r>
              <w:rPr>
                <w:rFonts w:eastAsia="MS Mincho"/>
              </w:rPr>
              <w:t>(2020)</w:t>
            </w:r>
          </w:p>
        </w:tc>
        <w:tc>
          <w:tcPr>
            <w:tcW w:w="354" w:type="pct"/>
          </w:tcPr>
          <w:p w:rsidR="00A72D78" w:rsidRDefault="00436917" w:rsidP="00E93413">
            <w:pPr>
              <w:pStyle w:val="Tablewriting"/>
              <w:keepNext/>
              <w:rPr>
                <w:rFonts w:eastAsia="MS Mincho"/>
              </w:rPr>
            </w:pPr>
            <w:r>
              <w:rPr>
                <w:rFonts w:eastAsia="MS Mincho"/>
              </w:rPr>
              <w:t>RCT</w:t>
            </w:r>
          </w:p>
        </w:tc>
        <w:tc>
          <w:tcPr>
            <w:tcW w:w="1214" w:type="pct"/>
            <w:tcMar>
              <w:left w:w="28" w:type="dxa"/>
              <w:right w:w="28" w:type="dxa"/>
            </w:tcMar>
          </w:tcPr>
          <w:p w:rsidR="00FD4436" w:rsidRDefault="00FD4436" w:rsidP="00FD4436">
            <w:pPr>
              <w:pStyle w:val="Tablewriting"/>
              <w:keepNext/>
              <w:rPr>
                <w:rFonts w:eastAsia="MS Mincho"/>
              </w:rPr>
            </w:pPr>
            <w:r>
              <w:rPr>
                <w:rFonts w:eastAsia="MS Mincho"/>
              </w:rPr>
              <w:t>N=822</w:t>
            </w:r>
          </w:p>
          <w:p w:rsidR="00FD14A4" w:rsidRDefault="00FD14A4" w:rsidP="00FD4436">
            <w:pPr>
              <w:pStyle w:val="Tablewriting"/>
              <w:keepNext/>
              <w:rPr>
                <w:rFonts w:eastAsia="MS Mincho"/>
              </w:rPr>
            </w:pPr>
            <w:r>
              <w:rPr>
                <w:rFonts w:eastAsia="MS Mincho"/>
              </w:rPr>
              <w:t>Combination NRT (n=275),</w:t>
            </w:r>
          </w:p>
          <w:p w:rsidR="00A72D78" w:rsidRDefault="00FD4436" w:rsidP="00E93413">
            <w:pPr>
              <w:pStyle w:val="Tablewriting"/>
              <w:keepNext/>
              <w:rPr>
                <w:rFonts w:eastAsia="MS Mincho"/>
                <w:u w:val="single"/>
              </w:rPr>
            </w:pPr>
            <w:r>
              <w:rPr>
                <w:rFonts w:eastAsia="MS Mincho"/>
              </w:rPr>
              <w:t>Varenicline (n=274)</w:t>
            </w:r>
          </w:p>
        </w:tc>
        <w:tc>
          <w:tcPr>
            <w:tcW w:w="607" w:type="pct"/>
            <w:tcMar>
              <w:left w:w="28" w:type="dxa"/>
              <w:right w:w="28" w:type="dxa"/>
            </w:tcMar>
          </w:tcPr>
          <w:p w:rsidR="00A72D78" w:rsidRPr="001F7755" w:rsidRDefault="001F7755" w:rsidP="00E93413">
            <w:pPr>
              <w:pStyle w:val="Tablewriting"/>
              <w:keepNext/>
              <w:rPr>
                <w:rFonts w:eastAsia="MS Mincho"/>
              </w:rPr>
            </w:pPr>
            <w:r w:rsidRPr="00A20F00">
              <w:rPr>
                <w:rFonts w:eastAsia="MS Mincho"/>
              </w:rPr>
              <w:t xml:space="preserve">See </w:t>
            </w:r>
            <w:r w:rsidR="003C4A1C">
              <w:t xml:space="preserve">Table </w:t>
            </w:r>
            <w:r w:rsidR="003C4A1C">
              <w:rPr>
                <w:noProof/>
              </w:rPr>
              <w:t>55</w:t>
            </w:r>
            <w:r w:rsidRPr="00A20F00">
              <w:rPr>
                <w:rFonts w:eastAsia="MS Mincho"/>
              </w:rPr>
              <w:t xml:space="preserve"> for inclusion and exclusion criteria of this study</w:t>
            </w:r>
            <w:r w:rsidR="00AB5FA3">
              <w:rPr>
                <w:rFonts w:eastAsia="MS Mincho"/>
              </w:rPr>
              <w:t>.</w:t>
            </w:r>
          </w:p>
        </w:tc>
        <w:tc>
          <w:tcPr>
            <w:tcW w:w="1568" w:type="pct"/>
          </w:tcPr>
          <w:p w:rsidR="00A72D78" w:rsidRDefault="004623BD" w:rsidP="00D5274D">
            <w:pPr>
              <w:pStyle w:val="Tablewriting"/>
              <w:keepNext/>
              <w:rPr>
                <w:rFonts w:eastAsia="MS Mincho"/>
              </w:rPr>
            </w:pPr>
            <w:r>
              <w:rPr>
                <w:rFonts w:eastAsia="MS Mincho"/>
              </w:rPr>
              <w:t>NRT:</w:t>
            </w:r>
            <w:r w:rsidR="00CD358E">
              <w:t xml:space="preserve"> </w:t>
            </w:r>
            <w:r w:rsidR="00CD358E" w:rsidRPr="00CD358E">
              <w:rPr>
                <w:rFonts w:eastAsia="MS Mincho"/>
              </w:rPr>
              <w:t>12 weeks of patches (21 mg for 8 weeks, 14 mg for 2 weeks, and 7 mg for 2 weeks) as well as 13 weeks of nicotine lozenges for use as needed (4 mg for those who smoke within 30 min of awaking and 2 mg otherwise</w:t>
            </w:r>
            <w:r w:rsidR="00BE37DB">
              <w:rPr>
                <w:rFonts w:eastAsia="MS Mincho"/>
              </w:rPr>
              <w:t xml:space="preserve">; </w:t>
            </w:r>
            <w:r w:rsidR="00831FF8">
              <w:rPr>
                <w:rFonts w:eastAsia="MS Mincho"/>
              </w:rPr>
              <w:t>Varenicline</w:t>
            </w:r>
            <w:r w:rsidR="00831FF8" w:rsidRPr="00A34E7B">
              <w:rPr>
                <w:rFonts w:eastAsia="MS Mincho"/>
              </w:rPr>
              <w:t xml:space="preserve">: </w:t>
            </w:r>
            <w:r w:rsidR="00831FF8" w:rsidRPr="00372F18">
              <w:rPr>
                <w:rFonts w:eastAsia="MS Mincho"/>
              </w:rPr>
              <w:t>1</w:t>
            </w:r>
            <w:r w:rsidR="00253D5E">
              <w:rPr>
                <w:rFonts w:eastAsia="MS Mincho"/>
              </w:rPr>
              <w:t xml:space="preserve"> </w:t>
            </w:r>
            <w:r w:rsidR="00831FF8" w:rsidRPr="00372F18">
              <w:rPr>
                <w:rFonts w:eastAsia="MS Mincho"/>
              </w:rPr>
              <w:t>mg twice daily titrated</w:t>
            </w:r>
            <w:r w:rsidR="00831FF8">
              <w:rPr>
                <w:rFonts w:eastAsia="MS Mincho"/>
              </w:rPr>
              <w:t xml:space="preserve"> over 12 weeks</w:t>
            </w:r>
            <w:r w:rsidR="00831FF8" w:rsidRPr="00372F18">
              <w:rPr>
                <w:rFonts w:eastAsia="MS Mincho"/>
              </w:rPr>
              <w:t xml:space="preserve"> (i</w:t>
            </w:r>
            <w:r w:rsidR="00831FF8">
              <w:rPr>
                <w:rFonts w:eastAsia="MS Mincho"/>
              </w:rPr>
              <w:t>.</w:t>
            </w:r>
            <w:r w:rsidR="00831FF8" w:rsidRPr="00372F18">
              <w:rPr>
                <w:rFonts w:eastAsia="MS Mincho"/>
              </w:rPr>
              <w:t>e</w:t>
            </w:r>
            <w:r w:rsidR="00831FF8">
              <w:rPr>
                <w:rFonts w:eastAsia="MS Mincho"/>
              </w:rPr>
              <w:t>.</w:t>
            </w:r>
            <w:r w:rsidR="00831FF8" w:rsidRPr="00372F18">
              <w:rPr>
                <w:rFonts w:eastAsia="MS Mincho"/>
              </w:rPr>
              <w:t xml:space="preserve"> 0.5</w:t>
            </w:r>
            <w:r w:rsidR="00253D5E">
              <w:rPr>
                <w:rFonts w:eastAsia="MS Mincho"/>
              </w:rPr>
              <w:t xml:space="preserve"> </w:t>
            </w:r>
            <w:r w:rsidR="00831FF8" w:rsidRPr="00372F18">
              <w:rPr>
                <w:rFonts w:eastAsia="MS Mincho"/>
              </w:rPr>
              <w:t>mg once</w:t>
            </w:r>
            <w:r w:rsidR="00831FF8">
              <w:rPr>
                <w:rFonts w:eastAsia="MS Mincho"/>
              </w:rPr>
              <w:t xml:space="preserve"> </w:t>
            </w:r>
            <w:r w:rsidR="00831FF8" w:rsidRPr="00372F18">
              <w:rPr>
                <w:rFonts w:eastAsia="MS Mincho"/>
              </w:rPr>
              <w:t>daily for 3 days, then 0.5</w:t>
            </w:r>
            <w:r w:rsidR="00253D5E">
              <w:rPr>
                <w:rFonts w:eastAsia="MS Mincho"/>
              </w:rPr>
              <w:t xml:space="preserve"> </w:t>
            </w:r>
            <w:r w:rsidR="00831FF8" w:rsidRPr="00372F18">
              <w:rPr>
                <w:rFonts w:eastAsia="MS Mincho"/>
              </w:rPr>
              <w:t>mg twice daily for 4 days, then 1</w:t>
            </w:r>
            <w:r w:rsidR="00253D5E">
              <w:rPr>
                <w:rFonts w:eastAsia="MS Mincho"/>
              </w:rPr>
              <w:t xml:space="preserve"> </w:t>
            </w:r>
            <w:r w:rsidR="00831FF8" w:rsidRPr="00372F18">
              <w:rPr>
                <w:rFonts w:eastAsia="MS Mincho"/>
              </w:rPr>
              <w:t>mg twice daily)</w:t>
            </w:r>
            <w:r w:rsidR="00AB5FA3">
              <w:rPr>
                <w:rFonts w:eastAsia="MS Mincho"/>
              </w:rPr>
              <w:t>.</w:t>
            </w:r>
          </w:p>
          <w:p w:rsidR="006C01A1" w:rsidRDefault="006C01A1" w:rsidP="00D5274D">
            <w:pPr>
              <w:pStyle w:val="Tablewriting"/>
              <w:keepNext/>
              <w:rPr>
                <w:rFonts w:eastAsia="MS Mincho"/>
              </w:rPr>
            </w:pPr>
          </w:p>
          <w:p w:rsidR="006C01A1" w:rsidRPr="00E574B7" w:rsidRDefault="006C01A1" w:rsidP="00D5274D">
            <w:pPr>
              <w:pStyle w:val="Tablewriting"/>
              <w:keepNext/>
              <w:rPr>
                <w:rFonts w:eastAsia="MS Mincho"/>
              </w:rPr>
            </w:pPr>
            <w:r w:rsidRPr="006C01A1">
              <w:rPr>
                <w:rFonts w:eastAsia="MS Mincho"/>
              </w:rPr>
              <w:t>Behavioural support provided in both arms.</w:t>
            </w:r>
          </w:p>
        </w:tc>
        <w:tc>
          <w:tcPr>
            <w:tcW w:w="893" w:type="pct"/>
            <w:tcMar>
              <w:left w:w="28" w:type="dxa"/>
              <w:right w:w="28" w:type="dxa"/>
            </w:tcMar>
          </w:tcPr>
          <w:p w:rsidR="00F37296" w:rsidRDefault="00F37296" w:rsidP="00F37296">
            <w:pPr>
              <w:pStyle w:val="Tablewriting"/>
              <w:keepNext/>
              <w:rPr>
                <w:rFonts w:eastAsia="MS Mincho"/>
              </w:rPr>
            </w:pPr>
            <w:r w:rsidRPr="0036499C">
              <w:rPr>
                <w:rFonts w:eastAsia="MS Mincho"/>
                <w:u w:val="single"/>
              </w:rPr>
              <w:t>Primary</w:t>
            </w:r>
            <w:r>
              <w:rPr>
                <w:rFonts w:eastAsia="MS Mincho"/>
              </w:rPr>
              <w:t xml:space="preserve">: </w:t>
            </w:r>
            <w:r w:rsidR="00DD576B">
              <w:rPr>
                <w:rFonts w:eastAsia="MS Mincho"/>
              </w:rPr>
              <w:t>7-day PPA</w:t>
            </w:r>
            <w:r w:rsidR="004C12A9">
              <w:rPr>
                <w:rFonts w:eastAsia="MS Mincho"/>
              </w:rPr>
              <w:t xml:space="preserve"> at Week 12</w:t>
            </w:r>
            <w:r w:rsidR="000C5FB0">
              <w:rPr>
                <w:rFonts w:eastAsia="MS Mincho"/>
              </w:rPr>
              <w:t>. Validated by CO &lt;8</w:t>
            </w:r>
            <w:r w:rsidR="00253D5E">
              <w:rPr>
                <w:rFonts w:eastAsia="MS Mincho"/>
              </w:rPr>
              <w:t xml:space="preserve"> </w:t>
            </w:r>
            <w:r w:rsidR="000C5FB0">
              <w:rPr>
                <w:rFonts w:eastAsia="MS Mincho"/>
              </w:rPr>
              <w:t>ppm.</w:t>
            </w:r>
          </w:p>
          <w:p w:rsidR="00A72D78" w:rsidRPr="0036499C" w:rsidRDefault="00F37296" w:rsidP="00E93413">
            <w:pPr>
              <w:pStyle w:val="Tablewriting"/>
              <w:keepNext/>
              <w:rPr>
                <w:rFonts w:eastAsia="MS Mincho"/>
                <w:u w:val="single"/>
              </w:rPr>
            </w:pPr>
            <w:r w:rsidRPr="0036499C">
              <w:rPr>
                <w:rFonts w:eastAsia="MS Mincho"/>
                <w:u w:val="single"/>
              </w:rPr>
              <w:t>Secondary</w:t>
            </w:r>
            <w:r>
              <w:rPr>
                <w:rFonts w:eastAsia="MS Mincho"/>
              </w:rPr>
              <w:t xml:space="preserve">: </w:t>
            </w:r>
            <w:r w:rsidR="00335925">
              <w:rPr>
                <w:rFonts w:eastAsia="MS Mincho"/>
              </w:rPr>
              <w:t xml:space="preserve">7-day PPA at 6 </w:t>
            </w:r>
            <w:r w:rsidR="00ED2F96">
              <w:rPr>
                <w:rFonts w:eastAsia="MS Mincho"/>
              </w:rPr>
              <w:t>(CO-validated)</w:t>
            </w:r>
            <w:r w:rsidR="00335925">
              <w:rPr>
                <w:rFonts w:eastAsia="MS Mincho"/>
              </w:rPr>
              <w:t xml:space="preserve"> </w:t>
            </w:r>
            <w:r w:rsidR="000F0654">
              <w:rPr>
                <w:rFonts w:eastAsia="MS Mincho"/>
              </w:rPr>
              <w:t>and 12 months</w:t>
            </w:r>
            <w:r w:rsidR="00ED2F96">
              <w:rPr>
                <w:rFonts w:eastAsia="MS Mincho"/>
              </w:rPr>
              <w:t xml:space="preserve"> (self-report)</w:t>
            </w:r>
            <w:r w:rsidR="000F0654">
              <w:rPr>
                <w:rFonts w:eastAsia="MS Mincho"/>
              </w:rPr>
              <w:t xml:space="preserve">, </w:t>
            </w:r>
            <w:r w:rsidR="00341504">
              <w:rPr>
                <w:rFonts w:eastAsia="MS Mincho"/>
              </w:rPr>
              <w:t>adverse events, adherence</w:t>
            </w:r>
            <w:r w:rsidR="00AB5FA3">
              <w:rPr>
                <w:rFonts w:eastAsia="MS Mincho"/>
              </w:rPr>
              <w:t>.</w:t>
            </w:r>
          </w:p>
        </w:tc>
      </w:tr>
    </w:tbl>
    <w:p w:rsidR="0036590A" w:rsidRDefault="00572561" w:rsidP="00572561">
      <w:pPr>
        <w:pStyle w:val="TableFooter"/>
        <w:keepNext/>
      </w:pPr>
      <w:r>
        <w:t xml:space="preserve">Abbreviations: </w:t>
      </w:r>
      <w:r w:rsidR="00A06BB8">
        <w:t xml:space="preserve">CO = carbon monoxide; </w:t>
      </w:r>
      <w:r w:rsidR="004A489C">
        <w:t xml:space="preserve">NMA = network meta-analysis; </w:t>
      </w:r>
      <w:r>
        <w:t xml:space="preserve">NRT = nicotine replacement therapy; </w:t>
      </w:r>
      <w:r w:rsidR="001D4627">
        <w:t xml:space="preserve">PPA = point prevalence abstinence; </w:t>
      </w:r>
      <w:r>
        <w:t>RCT = randomised controlled trial</w:t>
      </w:r>
    </w:p>
    <w:p w:rsidR="00651E7A" w:rsidRDefault="0036590A" w:rsidP="0036590A">
      <w:pPr>
        <w:pStyle w:val="TableFooter"/>
        <w:keepNext/>
      </w:pPr>
      <w:r>
        <w:t>1 Only the number of patients (n) in the relevant arms were included</w:t>
      </w:r>
      <w:r w:rsidR="00AB5FA3">
        <w:t>.</w:t>
      </w:r>
    </w:p>
    <w:p w:rsidR="0036590A" w:rsidRDefault="00651E7A" w:rsidP="0036590A">
      <w:pPr>
        <w:pStyle w:val="TableFooter"/>
        <w:keepNext/>
      </w:pPr>
      <w:r>
        <w:t xml:space="preserve">2 </w:t>
      </w:r>
      <w:r w:rsidRPr="00651E7A">
        <w:t xml:space="preserve">Where cessation was assessed at multiple intervals, the longest follow-up data were used. Where multiple definitions of abstinence were assessed, the strictest of these definitions was used (e.g. continuous/prolonged abstinence over point prevalence abstinence). </w:t>
      </w:r>
      <w:r w:rsidR="0036590A">
        <w:t xml:space="preserve"> </w:t>
      </w:r>
    </w:p>
    <w:p w:rsidR="006A71BA" w:rsidRDefault="006A71BA" w:rsidP="00C57190">
      <w:pPr>
        <w:rPr>
          <w:u w:val="single"/>
        </w:rPr>
        <w:sectPr w:rsidR="006A71BA" w:rsidSect="006A71BA">
          <w:pgSz w:w="16838" w:h="11906" w:orient="landscape"/>
          <w:pgMar w:top="1440" w:right="1440" w:bottom="1440" w:left="1440" w:header="708" w:footer="708" w:gutter="0"/>
          <w:cols w:space="708"/>
          <w:titlePg/>
          <w:docGrid w:linePitch="360"/>
        </w:sectPr>
      </w:pPr>
    </w:p>
    <w:p w:rsidR="000969AC" w:rsidRPr="000969AC" w:rsidRDefault="000969AC" w:rsidP="00C57190">
      <w:pPr>
        <w:rPr>
          <w:b/>
          <w:bCs/>
        </w:rPr>
      </w:pPr>
      <w:r w:rsidRPr="000969AC">
        <w:rPr>
          <w:b/>
          <w:bCs/>
        </w:rPr>
        <w:lastRenderedPageBreak/>
        <w:t xml:space="preserve">Primary evidence </w:t>
      </w:r>
      <w:r w:rsidR="00986D2E">
        <w:rPr>
          <w:b/>
          <w:bCs/>
        </w:rPr>
        <w:t>(</w:t>
      </w:r>
      <w:r w:rsidRPr="000969AC">
        <w:rPr>
          <w:b/>
          <w:bCs/>
        </w:rPr>
        <w:t>Chen et al. 2020</w:t>
      </w:r>
      <w:r w:rsidR="00986D2E">
        <w:rPr>
          <w:b/>
          <w:bCs/>
        </w:rPr>
        <w:t>) – combination NRT versus varenicline</w:t>
      </w:r>
    </w:p>
    <w:p w:rsidR="00C57190" w:rsidRDefault="00C57190" w:rsidP="00C57190">
      <w:pPr>
        <w:rPr>
          <w:u w:val="single"/>
        </w:rPr>
      </w:pPr>
      <w:r w:rsidRPr="009C79C3">
        <w:rPr>
          <w:u w:val="single"/>
        </w:rPr>
        <w:t>Efficacy</w:t>
      </w:r>
      <w:r w:rsidR="00436917">
        <w:rPr>
          <w:u w:val="single"/>
        </w:rPr>
        <w:t xml:space="preserve"> – combination NRT versus varenicline</w:t>
      </w:r>
    </w:p>
    <w:p w:rsidR="001270AE" w:rsidRPr="000932FC" w:rsidRDefault="001270AE" w:rsidP="00C57190">
      <w:r w:rsidRPr="001270AE">
        <w:t xml:space="preserve">A summary of the </w:t>
      </w:r>
      <w:r w:rsidR="00F67036">
        <w:t xml:space="preserve">point prevalence abstinence </w:t>
      </w:r>
      <w:r w:rsidRPr="001270AE">
        <w:t xml:space="preserve">at </w:t>
      </w:r>
      <w:r w:rsidR="00C156C8">
        <w:t>six</w:t>
      </w:r>
      <w:r w:rsidRPr="001270AE">
        <w:t xml:space="preserve"> months </w:t>
      </w:r>
      <w:r w:rsidR="00071A0F">
        <w:t>comparing combination NRT</w:t>
      </w:r>
      <w:r w:rsidR="007571C6">
        <w:t xml:space="preserve"> (NRT patch plus lozenge)</w:t>
      </w:r>
      <w:r w:rsidR="00071A0F">
        <w:t xml:space="preserve"> with varenicline </w:t>
      </w:r>
      <w:r w:rsidR="000944A0">
        <w:t>in</w:t>
      </w:r>
      <w:r w:rsidR="00B04BF6">
        <w:t xml:space="preserve"> Chen et al. (2020) </w:t>
      </w:r>
      <w:r w:rsidRPr="001270AE">
        <w:t xml:space="preserve">is presented in </w:t>
      </w:r>
      <w:r w:rsidR="003C4A1C">
        <w:t xml:space="preserve">Table </w:t>
      </w:r>
      <w:r w:rsidR="003C4A1C">
        <w:rPr>
          <w:noProof/>
        </w:rPr>
        <w:t>64</w:t>
      </w:r>
      <w:r w:rsidRPr="001270AE">
        <w:t xml:space="preserve">. The results demonstrated a statistically significant difference in </w:t>
      </w:r>
      <w:r w:rsidR="0059148F">
        <w:t>point prevalence</w:t>
      </w:r>
      <w:r w:rsidRPr="001270AE">
        <w:t xml:space="preserve"> abstinence between the two treatment arms, in favour of </w:t>
      </w:r>
      <w:r w:rsidR="00E10815">
        <w:t>varenicline</w:t>
      </w:r>
      <w:r w:rsidRPr="001270AE">
        <w:t>.</w:t>
      </w:r>
    </w:p>
    <w:p w:rsidR="005B2FD8" w:rsidRDefault="005B2FD8" w:rsidP="005B2FD8">
      <w:pPr>
        <w:pStyle w:val="Caption"/>
        <w:keepNext/>
      </w:pPr>
      <w:bookmarkStart w:id="151" w:name="_Ref55381040"/>
      <w:r>
        <w:t xml:space="preserve">Table </w:t>
      </w:r>
      <w:r w:rsidR="003C4A1C">
        <w:rPr>
          <w:noProof/>
        </w:rPr>
        <w:t>64</w:t>
      </w:r>
      <w:bookmarkEnd w:id="151"/>
      <w:r>
        <w:t xml:space="preserve">: </w:t>
      </w:r>
      <w:r w:rsidRPr="008C2CAC">
        <w:t xml:space="preserve">Results of </w:t>
      </w:r>
      <w:r>
        <w:t xml:space="preserve">7-day point prevalence abstinence at </w:t>
      </w:r>
      <w:r w:rsidR="00C156C8">
        <w:t>6</w:t>
      </w:r>
      <w:r>
        <w:t xml:space="preserve"> months</w:t>
      </w:r>
      <w:r w:rsidRPr="008C2CAC">
        <w:t xml:space="preserve">, </w:t>
      </w:r>
      <w:r w:rsidR="001508F0">
        <w:t>combination NRT versus varenicline</w:t>
      </w:r>
    </w:p>
    <w:tbl>
      <w:tblPr>
        <w:tblStyle w:val="TableGrid"/>
        <w:tblW w:w="5000" w:type="pct"/>
        <w:tblLook w:val="04A0" w:firstRow="1" w:lastRow="0" w:firstColumn="1" w:lastColumn="0" w:noHBand="0" w:noVBand="1"/>
        <w:tblCaption w:val="Efficacy results of adalimumab trials (PASI 75 and DLQI)"/>
      </w:tblPr>
      <w:tblGrid>
        <w:gridCol w:w="1138"/>
        <w:gridCol w:w="1890"/>
        <w:gridCol w:w="1733"/>
        <w:gridCol w:w="1419"/>
        <w:gridCol w:w="1419"/>
        <w:gridCol w:w="1417"/>
      </w:tblGrid>
      <w:tr w:rsidR="007E33A3" w:rsidRPr="00061F78" w:rsidTr="00291491">
        <w:trPr>
          <w:cantSplit/>
          <w:trHeight w:val="299"/>
          <w:tblHeader/>
        </w:trPr>
        <w:tc>
          <w:tcPr>
            <w:tcW w:w="631" w:type="pct"/>
            <w:shd w:val="clear" w:color="auto" w:fill="BFBFBF" w:themeFill="background1" w:themeFillShade="BF"/>
            <w:tcMar>
              <w:left w:w="28" w:type="dxa"/>
              <w:right w:w="28" w:type="dxa"/>
            </w:tcMar>
          </w:tcPr>
          <w:p w:rsidR="007E33A3" w:rsidRPr="00061F78" w:rsidRDefault="007E33A3" w:rsidP="00291491">
            <w:pPr>
              <w:pStyle w:val="Tableheading"/>
              <w:rPr>
                <w:rFonts w:eastAsia="MS Mincho"/>
              </w:rPr>
            </w:pPr>
            <w:r>
              <w:rPr>
                <w:rFonts w:eastAsia="MS Mincho"/>
              </w:rPr>
              <w:t>Study</w:t>
            </w:r>
          </w:p>
        </w:tc>
        <w:tc>
          <w:tcPr>
            <w:tcW w:w="1048" w:type="pct"/>
            <w:shd w:val="clear" w:color="auto" w:fill="BFBFBF" w:themeFill="background1" w:themeFillShade="BF"/>
            <w:vAlign w:val="center"/>
          </w:tcPr>
          <w:p w:rsidR="007E33A3" w:rsidRDefault="007E33A3" w:rsidP="00291491">
            <w:pPr>
              <w:pStyle w:val="Tableheading"/>
              <w:jc w:val="center"/>
              <w:rPr>
                <w:rFonts w:eastAsia="MS Mincho"/>
              </w:rPr>
            </w:pPr>
            <w:r>
              <w:rPr>
                <w:rFonts w:eastAsia="MS Mincho"/>
              </w:rPr>
              <w:t>Study type</w:t>
            </w:r>
          </w:p>
        </w:tc>
        <w:tc>
          <w:tcPr>
            <w:tcW w:w="961" w:type="pct"/>
            <w:shd w:val="clear" w:color="auto" w:fill="BFBFBF" w:themeFill="background1" w:themeFillShade="BF"/>
            <w:tcMar>
              <w:left w:w="28" w:type="dxa"/>
              <w:right w:w="28" w:type="dxa"/>
            </w:tcMar>
            <w:vAlign w:val="center"/>
          </w:tcPr>
          <w:p w:rsidR="007E33A3" w:rsidRDefault="007E33A3" w:rsidP="00291491">
            <w:pPr>
              <w:pStyle w:val="Tableheading"/>
              <w:jc w:val="center"/>
              <w:rPr>
                <w:rFonts w:eastAsia="MS Mincho"/>
              </w:rPr>
            </w:pPr>
            <w:r>
              <w:rPr>
                <w:rFonts w:eastAsia="MS Mincho"/>
              </w:rPr>
              <w:t>Combination NRT</w:t>
            </w:r>
          </w:p>
          <w:p w:rsidR="007571C6" w:rsidRPr="00061F78" w:rsidRDefault="00092FA8" w:rsidP="00291491">
            <w:pPr>
              <w:pStyle w:val="Tableheading"/>
              <w:jc w:val="center"/>
              <w:rPr>
                <w:rFonts w:eastAsia="MS Mincho"/>
              </w:rPr>
            </w:pPr>
            <w:r>
              <w:rPr>
                <w:rFonts w:eastAsia="MS Mincho"/>
              </w:rPr>
              <w:t>(patch + lozenge)</w:t>
            </w:r>
          </w:p>
        </w:tc>
        <w:tc>
          <w:tcPr>
            <w:tcW w:w="787" w:type="pct"/>
            <w:shd w:val="clear" w:color="auto" w:fill="BFBFBF" w:themeFill="background1" w:themeFillShade="BF"/>
            <w:tcMar>
              <w:left w:w="28" w:type="dxa"/>
              <w:right w:w="28" w:type="dxa"/>
            </w:tcMar>
            <w:vAlign w:val="center"/>
          </w:tcPr>
          <w:p w:rsidR="007E33A3" w:rsidRPr="00061F78" w:rsidRDefault="007E33A3" w:rsidP="00291491">
            <w:pPr>
              <w:pStyle w:val="Tableheading"/>
              <w:jc w:val="center"/>
              <w:rPr>
                <w:rFonts w:eastAsia="MS Mincho"/>
              </w:rPr>
            </w:pPr>
            <w:r>
              <w:rPr>
                <w:rFonts w:eastAsia="MS Mincho"/>
              </w:rPr>
              <w:t>Varenicline</w:t>
            </w:r>
          </w:p>
        </w:tc>
        <w:tc>
          <w:tcPr>
            <w:tcW w:w="787" w:type="pct"/>
            <w:shd w:val="clear" w:color="auto" w:fill="BFBFBF" w:themeFill="background1" w:themeFillShade="BF"/>
            <w:tcMar>
              <w:left w:w="28" w:type="dxa"/>
              <w:right w:w="28" w:type="dxa"/>
            </w:tcMar>
            <w:vAlign w:val="center"/>
          </w:tcPr>
          <w:p w:rsidR="007E33A3" w:rsidRPr="00D468CF" w:rsidRDefault="007E33A3" w:rsidP="00291491">
            <w:pPr>
              <w:pStyle w:val="Tableheading"/>
              <w:jc w:val="center"/>
              <w:rPr>
                <w:rFonts w:eastAsia="MS Mincho"/>
                <w:vertAlign w:val="superscript"/>
              </w:rPr>
            </w:pPr>
            <w:r>
              <w:rPr>
                <w:rFonts w:eastAsia="MS Mincho"/>
              </w:rPr>
              <w:t>RR (95% CI)</w:t>
            </w:r>
          </w:p>
        </w:tc>
        <w:tc>
          <w:tcPr>
            <w:tcW w:w="786" w:type="pct"/>
            <w:shd w:val="clear" w:color="auto" w:fill="BFBFBF" w:themeFill="background1" w:themeFillShade="BF"/>
            <w:vAlign w:val="center"/>
          </w:tcPr>
          <w:p w:rsidR="007E33A3" w:rsidRDefault="007E33A3" w:rsidP="00291491">
            <w:pPr>
              <w:pStyle w:val="Tableheading"/>
              <w:jc w:val="center"/>
              <w:rPr>
                <w:rFonts w:eastAsia="MS Mincho"/>
              </w:rPr>
            </w:pPr>
            <w:r>
              <w:rPr>
                <w:rFonts w:eastAsia="MS Mincho"/>
              </w:rPr>
              <w:t>RD (95% CI)</w:t>
            </w:r>
          </w:p>
        </w:tc>
      </w:tr>
      <w:tr w:rsidR="007E33A3" w:rsidRPr="00061F78" w:rsidTr="00291491">
        <w:trPr>
          <w:cantSplit/>
          <w:trHeight w:val="149"/>
        </w:trPr>
        <w:tc>
          <w:tcPr>
            <w:tcW w:w="631" w:type="pct"/>
            <w:tcMar>
              <w:left w:w="28" w:type="dxa"/>
              <w:right w:w="28" w:type="dxa"/>
            </w:tcMar>
          </w:tcPr>
          <w:p w:rsidR="007E33A3" w:rsidRDefault="007E33A3" w:rsidP="00291491">
            <w:pPr>
              <w:pStyle w:val="Tablewriting"/>
              <w:rPr>
                <w:rFonts w:eastAsia="MS Mincho"/>
              </w:rPr>
            </w:pPr>
            <w:r>
              <w:rPr>
                <w:rFonts w:eastAsia="MS Mincho"/>
              </w:rPr>
              <w:t>Chen</w:t>
            </w:r>
            <w:r w:rsidRPr="00061F78">
              <w:rPr>
                <w:rFonts w:eastAsia="MS Mincho"/>
              </w:rPr>
              <w:t xml:space="preserve"> </w:t>
            </w:r>
          </w:p>
          <w:p w:rsidR="007E33A3" w:rsidRPr="00D468CF" w:rsidRDefault="007E33A3" w:rsidP="00291491">
            <w:pPr>
              <w:pStyle w:val="Tablewriting"/>
              <w:rPr>
                <w:rFonts w:eastAsia="MS Mincho"/>
                <w:vertAlign w:val="superscript"/>
              </w:rPr>
            </w:pPr>
            <w:r w:rsidRPr="00061F78">
              <w:rPr>
                <w:rFonts w:eastAsia="MS Mincho"/>
              </w:rPr>
              <w:t>(20</w:t>
            </w:r>
            <w:r>
              <w:rPr>
                <w:rFonts w:eastAsia="MS Mincho"/>
              </w:rPr>
              <w:t>20</w:t>
            </w:r>
            <w:r w:rsidRPr="00061F78">
              <w:rPr>
                <w:rFonts w:eastAsia="MS Mincho"/>
              </w:rPr>
              <w:t>)</w:t>
            </w:r>
            <w:r w:rsidR="00CF23AA">
              <w:rPr>
                <w:rFonts w:eastAsia="MS Mincho"/>
                <w:vertAlign w:val="superscript"/>
              </w:rPr>
              <w:t>1</w:t>
            </w:r>
            <w:r w:rsidR="00B703FF">
              <w:rPr>
                <w:rFonts w:eastAsia="MS Mincho"/>
                <w:vertAlign w:val="superscript"/>
              </w:rPr>
              <w:t>,2</w:t>
            </w:r>
          </w:p>
        </w:tc>
        <w:tc>
          <w:tcPr>
            <w:tcW w:w="1048" w:type="pct"/>
            <w:vAlign w:val="center"/>
          </w:tcPr>
          <w:p w:rsidR="007E33A3" w:rsidRDefault="007E33A3" w:rsidP="00291491">
            <w:pPr>
              <w:pStyle w:val="Tablewriting"/>
              <w:jc w:val="center"/>
              <w:rPr>
                <w:rFonts w:eastAsia="MS Mincho"/>
              </w:rPr>
            </w:pPr>
            <w:r>
              <w:rPr>
                <w:rFonts w:eastAsia="MS Mincho"/>
              </w:rPr>
              <w:t>RCT</w:t>
            </w:r>
          </w:p>
        </w:tc>
        <w:tc>
          <w:tcPr>
            <w:tcW w:w="961" w:type="pct"/>
            <w:tcMar>
              <w:left w:w="28" w:type="dxa"/>
              <w:right w:w="28" w:type="dxa"/>
            </w:tcMar>
            <w:vAlign w:val="center"/>
          </w:tcPr>
          <w:p w:rsidR="007E33A3" w:rsidRDefault="007A14ED" w:rsidP="001D02E7">
            <w:pPr>
              <w:pStyle w:val="Tablewriting"/>
              <w:jc w:val="center"/>
              <w:rPr>
                <w:rFonts w:eastAsia="MS Mincho"/>
              </w:rPr>
            </w:pPr>
            <w:r>
              <w:rPr>
                <w:rFonts w:eastAsia="MS Mincho"/>
              </w:rPr>
              <w:t>3</w:t>
            </w:r>
            <w:r w:rsidR="006C01A1">
              <w:rPr>
                <w:rFonts w:eastAsia="MS Mincho"/>
              </w:rPr>
              <w:t>7</w:t>
            </w:r>
            <w:r>
              <w:rPr>
                <w:rFonts w:eastAsia="MS Mincho"/>
              </w:rPr>
              <w:t>/275</w:t>
            </w:r>
          </w:p>
          <w:p w:rsidR="007E33A3" w:rsidRPr="00061F78" w:rsidRDefault="007A14ED" w:rsidP="00291491">
            <w:pPr>
              <w:pStyle w:val="Tablewriting"/>
              <w:jc w:val="center"/>
              <w:rPr>
                <w:rFonts w:eastAsia="MS Mincho"/>
              </w:rPr>
            </w:pPr>
            <w:r>
              <w:rPr>
                <w:rFonts w:eastAsia="MS Mincho"/>
              </w:rPr>
              <w:t>(</w:t>
            </w:r>
            <w:r w:rsidR="003C3748">
              <w:rPr>
                <w:rFonts w:eastAsia="MS Mincho"/>
              </w:rPr>
              <w:t>1</w:t>
            </w:r>
            <w:r w:rsidR="006C01A1">
              <w:rPr>
                <w:rFonts w:eastAsia="MS Mincho"/>
              </w:rPr>
              <w:t>3.5</w:t>
            </w:r>
            <w:r>
              <w:rPr>
                <w:rFonts w:eastAsia="MS Mincho"/>
              </w:rPr>
              <w:t>%)</w:t>
            </w:r>
          </w:p>
        </w:tc>
        <w:tc>
          <w:tcPr>
            <w:tcW w:w="787" w:type="pct"/>
            <w:tcMar>
              <w:left w:w="28" w:type="dxa"/>
              <w:right w:w="28" w:type="dxa"/>
            </w:tcMar>
            <w:vAlign w:val="center"/>
          </w:tcPr>
          <w:p w:rsidR="007E33A3" w:rsidRDefault="00155EFD" w:rsidP="001D02E7">
            <w:pPr>
              <w:pStyle w:val="Tablewriting"/>
              <w:jc w:val="center"/>
              <w:rPr>
                <w:rFonts w:eastAsia="MS Mincho"/>
              </w:rPr>
            </w:pPr>
            <w:r>
              <w:rPr>
                <w:rFonts w:eastAsia="MS Mincho"/>
              </w:rPr>
              <w:t>5</w:t>
            </w:r>
            <w:r w:rsidR="006C01A1">
              <w:rPr>
                <w:rFonts w:eastAsia="MS Mincho"/>
              </w:rPr>
              <w:t>6</w:t>
            </w:r>
            <w:r>
              <w:rPr>
                <w:rFonts w:eastAsia="MS Mincho"/>
              </w:rPr>
              <w:t>/274</w:t>
            </w:r>
          </w:p>
          <w:p w:rsidR="007E33A3" w:rsidRPr="00061F78" w:rsidRDefault="00155EFD" w:rsidP="00291491">
            <w:pPr>
              <w:pStyle w:val="Tablewriting"/>
              <w:jc w:val="center"/>
              <w:rPr>
                <w:rFonts w:eastAsia="MS Mincho"/>
              </w:rPr>
            </w:pPr>
            <w:r>
              <w:rPr>
                <w:rFonts w:eastAsia="MS Mincho"/>
              </w:rPr>
              <w:t>(</w:t>
            </w:r>
            <w:r w:rsidR="006C01A1">
              <w:rPr>
                <w:rFonts w:eastAsia="MS Mincho"/>
              </w:rPr>
              <w:t>20.4</w:t>
            </w:r>
            <w:r>
              <w:rPr>
                <w:rFonts w:eastAsia="MS Mincho"/>
              </w:rPr>
              <w:t>%)</w:t>
            </w:r>
          </w:p>
        </w:tc>
        <w:tc>
          <w:tcPr>
            <w:tcW w:w="787" w:type="pct"/>
            <w:tcMar>
              <w:left w:w="28" w:type="dxa"/>
              <w:right w:w="28" w:type="dxa"/>
            </w:tcMar>
            <w:vAlign w:val="center"/>
          </w:tcPr>
          <w:p w:rsidR="007E33A3" w:rsidRPr="00D742D5" w:rsidRDefault="00D742D5" w:rsidP="00F27EF0">
            <w:pPr>
              <w:pStyle w:val="Tablewriting"/>
              <w:jc w:val="center"/>
              <w:rPr>
                <w:rFonts w:eastAsia="MS Mincho"/>
                <w:b/>
                <w:bCs/>
              </w:rPr>
            </w:pPr>
            <w:r w:rsidRPr="00D742D5">
              <w:rPr>
                <w:rFonts w:eastAsia="MS Mincho"/>
                <w:b/>
                <w:bCs/>
              </w:rPr>
              <w:t>0.66</w:t>
            </w:r>
          </w:p>
          <w:p w:rsidR="007E33A3" w:rsidRPr="00D742D5" w:rsidRDefault="00D742D5" w:rsidP="00291491">
            <w:pPr>
              <w:pStyle w:val="Tablewriting"/>
              <w:jc w:val="center"/>
              <w:rPr>
                <w:rFonts w:eastAsia="MS Mincho"/>
                <w:b/>
              </w:rPr>
            </w:pPr>
            <w:r w:rsidRPr="00D742D5">
              <w:rPr>
                <w:rFonts w:eastAsia="MS Mincho"/>
                <w:b/>
                <w:bCs/>
              </w:rPr>
              <w:t>(0.4</w:t>
            </w:r>
            <w:r w:rsidR="006C01A1">
              <w:rPr>
                <w:rFonts w:eastAsia="MS Mincho"/>
                <w:b/>
                <w:bCs/>
              </w:rPr>
              <w:t>5</w:t>
            </w:r>
            <w:r w:rsidRPr="00D742D5">
              <w:rPr>
                <w:rFonts w:eastAsia="MS Mincho"/>
                <w:b/>
                <w:bCs/>
              </w:rPr>
              <w:t>, 0.9</w:t>
            </w:r>
            <w:r w:rsidR="006C01A1">
              <w:rPr>
                <w:rFonts w:eastAsia="MS Mincho"/>
                <w:b/>
                <w:bCs/>
              </w:rPr>
              <w:t>6</w:t>
            </w:r>
            <w:r w:rsidRPr="00D742D5">
              <w:rPr>
                <w:rFonts w:eastAsia="MS Mincho"/>
                <w:b/>
                <w:bCs/>
              </w:rPr>
              <w:t>)</w:t>
            </w:r>
          </w:p>
        </w:tc>
        <w:tc>
          <w:tcPr>
            <w:tcW w:w="786" w:type="pct"/>
            <w:vAlign w:val="center"/>
          </w:tcPr>
          <w:p w:rsidR="007E33A3" w:rsidRPr="00D742D5" w:rsidRDefault="00D742D5" w:rsidP="00F27EF0">
            <w:pPr>
              <w:pStyle w:val="Tablewriting"/>
              <w:jc w:val="center"/>
              <w:rPr>
                <w:rFonts w:eastAsia="MS Mincho"/>
                <w:b/>
                <w:bCs/>
              </w:rPr>
            </w:pPr>
            <w:r w:rsidRPr="00D742D5">
              <w:rPr>
                <w:rFonts w:eastAsia="MS Mincho"/>
                <w:b/>
                <w:bCs/>
              </w:rPr>
              <w:t>-0.07</w:t>
            </w:r>
          </w:p>
          <w:p w:rsidR="007E33A3" w:rsidRPr="00D742D5" w:rsidRDefault="00D742D5" w:rsidP="00291491">
            <w:pPr>
              <w:pStyle w:val="Tablewriting"/>
              <w:jc w:val="center"/>
              <w:rPr>
                <w:rFonts w:eastAsia="MS Mincho"/>
                <w:b/>
              </w:rPr>
            </w:pPr>
            <w:r w:rsidRPr="00D742D5">
              <w:rPr>
                <w:rFonts w:eastAsia="MS Mincho"/>
                <w:b/>
                <w:bCs/>
              </w:rPr>
              <w:t>(-0.13, -0.01)</w:t>
            </w:r>
          </w:p>
        </w:tc>
      </w:tr>
    </w:tbl>
    <w:p w:rsidR="001508F0" w:rsidRDefault="001508F0" w:rsidP="001508F0">
      <w:pPr>
        <w:pStyle w:val="TableFooter"/>
      </w:pPr>
      <w:r>
        <w:t>Source: Chen et al. (2020)</w:t>
      </w:r>
    </w:p>
    <w:p w:rsidR="001508F0" w:rsidRDefault="001508F0" w:rsidP="001508F0">
      <w:pPr>
        <w:pStyle w:val="TableFooter"/>
        <w:rPr>
          <w:i/>
        </w:rPr>
      </w:pPr>
      <w:r>
        <w:t xml:space="preserve">Abbreviations: CI = confidence interval; </w:t>
      </w:r>
      <w:r w:rsidR="00F860FD">
        <w:t xml:space="preserve">NRT = nicotine replacement therapy; </w:t>
      </w:r>
      <w:r>
        <w:t xml:space="preserve">RCT = randomised controlled trial; </w:t>
      </w:r>
      <w:r w:rsidR="00350DBE">
        <w:t xml:space="preserve">RD = risk difference; </w:t>
      </w:r>
      <w:r>
        <w:t>RR = risk ratio</w:t>
      </w:r>
      <w:r w:rsidRPr="00061F78">
        <w:t xml:space="preserve"> </w:t>
      </w:r>
    </w:p>
    <w:p w:rsidR="001508F0" w:rsidRDefault="001508F0" w:rsidP="001508F0">
      <w:pPr>
        <w:pStyle w:val="TableFooter"/>
      </w:pPr>
      <w:r w:rsidRPr="00D468CF">
        <w:t>Note</w:t>
      </w:r>
      <w:r>
        <w:t>s</w:t>
      </w:r>
      <w:r w:rsidRPr="00D468CF">
        <w:t>: Bold indicates statistically significant difference.</w:t>
      </w:r>
      <w:r w:rsidR="00D742D5">
        <w:t xml:space="preserve"> </w:t>
      </w:r>
    </w:p>
    <w:p w:rsidR="00CF23AA" w:rsidRDefault="00CF23AA" w:rsidP="001270AE">
      <w:pPr>
        <w:pStyle w:val="TableFooter"/>
      </w:pPr>
      <w:r>
        <w:t>1</w:t>
      </w:r>
      <w:r w:rsidR="00F8440A" w:rsidRPr="00F8440A">
        <w:t xml:space="preserve"> PPA at 6</w:t>
      </w:r>
      <w:r w:rsidR="00F8440A">
        <w:t xml:space="preserve"> months was chosen </w:t>
      </w:r>
      <w:r w:rsidR="00C2548D">
        <w:t>because</w:t>
      </w:r>
      <w:r w:rsidR="00BE12D0">
        <w:t xml:space="preserve"> PPA</w:t>
      </w:r>
      <w:r w:rsidR="00F8440A" w:rsidRPr="00F8440A">
        <w:t xml:space="preserve"> </w:t>
      </w:r>
      <w:r w:rsidR="00BE12D0">
        <w:t>at</w:t>
      </w:r>
      <w:r w:rsidR="00F8440A" w:rsidRPr="00F8440A">
        <w:t xml:space="preserve"> 12 months</w:t>
      </w:r>
      <w:r w:rsidR="00BE12D0">
        <w:t xml:space="preserve"> was not CO-validated</w:t>
      </w:r>
      <w:r w:rsidR="00F8440A" w:rsidRPr="00F8440A">
        <w:t xml:space="preserve"> (</w:t>
      </w:r>
      <w:r w:rsidR="00BE12D0">
        <w:t xml:space="preserve">i.e. </w:t>
      </w:r>
      <w:r w:rsidR="00F8440A" w:rsidRPr="00F8440A">
        <w:t>self-report</w:t>
      </w:r>
      <w:r w:rsidR="006556CC">
        <w:t>ed</w:t>
      </w:r>
      <w:r w:rsidR="00F8440A" w:rsidRPr="00F8440A">
        <w:t>)</w:t>
      </w:r>
      <w:r w:rsidR="00AB5FA3">
        <w:t>.</w:t>
      </w:r>
    </w:p>
    <w:p w:rsidR="00B703FF" w:rsidRDefault="00B703FF" w:rsidP="001270AE">
      <w:pPr>
        <w:pStyle w:val="TableFooter"/>
      </w:pPr>
      <w:r>
        <w:t xml:space="preserve">2 </w:t>
      </w:r>
      <w:r w:rsidRPr="00B703FF">
        <w:t>Calculated during the review.</w:t>
      </w:r>
    </w:p>
    <w:p w:rsidR="00F8248E" w:rsidRDefault="00F8248E" w:rsidP="00F8248E">
      <w:pPr>
        <w:rPr>
          <w:u w:val="single"/>
        </w:rPr>
      </w:pPr>
      <w:r w:rsidRPr="00952CCE">
        <w:rPr>
          <w:u w:val="single"/>
        </w:rPr>
        <w:t>Safety</w:t>
      </w:r>
      <w:r>
        <w:rPr>
          <w:u w:val="single"/>
        </w:rPr>
        <w:t xml:space="preserve"> – combination NRT versus varenicline</w:t>
      </w:r>
    </w:p>
    <w:p w:rsidR="000944A0" w:rsidRPr="00076806" w:rsidRDefault="000944A0" w:rsidP="00076806">
      <w:r w:rsidRPr="000944A0">
        <w:t>A summary of key adverse events</w:t>
      </w:r>
      <w:r>
        <w:t xml:space="preserve"> reported in Chen et al. (2020)</w:t>
      </w:r>
      <w:r w:rsidRPr="000944A0">
        <w:t xml:space="preserve"> is presented in </w:t>
      </w:r>
      <w:r w:rsidR="003C4A1C">
        <w:t xml:space="preserve">Table </w:t>
      </w:r>
      <w:r w:rsidR="003C4A1C">
        <w:rPr>
          <w:noProof/>
        </w:rPr>
        <w:t>65</w:t>
      </w:r>
      <w:r w:rsidRPr="000944A0">
        <w:t xml:space="preserve">. </w:t>
      </w:r>
      <w:r w:rsidR="008914CB">
        <w:t xml:space="preserve">Overall, </w:t>
      </w:r>
      <w:r w:rsidR="008914CB" w:rsidRPr="008914CB">
        <w:t xml:space="preserve">there were no statistically significant differences between the two treatment arms </w:t>
      </w:r>
      <w:r w:rsidR="008914CB">
        <w:t>across the key adverse events</w:t>
      </w:r>
      <w:r w:rsidR="00577111">
        <w:t>,</w:t>
      </w:r>
      <w:r w:rsidR="008914CB">
        <w:t xml:space="preserve"> except for nausea and vivid dreams</w:t>
      </w:r>
      <w:r w:rsidR="00BF7790">
        <w:t xml:space="preserve"> which were significantly higher in the varenicline arm compared with patients in the combination NRT arm</w:t>
      </w:r>
      <w:r w:rsidR="008914CB">
        <w:t xml:space="preserve">. </w:t>
      </w:r>
    </w:p>
    <w:p w:rsidR="000944A0" w:rsidRDefault="000944A0" w:rsidP="000944A0">
      <w:pPr>
        <w:pStyle w:val="Caption"/>
        <w:keepNext/>
      </w:pPr>
      <w:bookmarkStart w:id="152" w:name="_Ref55395554"/>
      <w:r>
        <w:t xml:space="preserve">Table </w:t>
      </w:r>
      <w:r w:rsidR="003C4A1C">
        <w:rPr>
          <w:noProof/>
        </w:rPr>
        <w:t>65</w:t>
      </w:r>
      <w:bookmarkEnd w:id="152"/>
      <w:r>
        <w:t xml:space="preserve">: </w:t>
      </w:r>
      <w:r w:rsidRPr="004F7250">
        <w:t xml:space="preserve">Summary of key adverse events, </w:t>
      </w:r>
      <w:r>
        <w:t xml:space="preserve">combination NRT versus </w:t>
      </w:r>
      <w:r w:rsidRPr="004F7250">
        <w:t>varenicline</w:t>
      </w:r>
    </w:p>
    <w:tbl>
      <w:tblPr>
        <w:tblStyle w:val="TableGrid"/>
        <w:tblW w:w="5000" w:type="pct"/>
        <w:tblLook w:val="04A0" w:firstRow="1" w:lastRow="0" w:firstColumn="1" w:lastColumn="0" w:noHBand="0" w:noVBand="1"/>
        <w:tblCaption w:val="Efficacy results of adalimumab trials (PASI 75 and DLQI)"/>
      </w:tblPr>
      <w:tblGrid>
        <w:gridCol w:w="2547"/>
        <w:gridCol w:w="1843"/>
        <w:gridCol w:w="1636"/>
        <w:gridCol w:w="1535"/>
        <w:gridCol w:w="1455"/>
      </w:tblGrid>
      <w:tr w:rsidR="00323A0E" w:rsidRPr="00061F78" w:rsidTr="00092FA8">
        <w:trPr>
          <w:cantSplit/>
          <w:trHeight w:val="299"/>
          <w:tblHeader/>
        </w:trPr>
        <w:tc>
          <w:tcPr>
            <w:tcW w:w="1412" w:type="pct"/>
            <w:shd w:val="clear" w:color="auto" w:fill="BFBFBF" w:themeFill="background1" w:themeFillShade="BF"/>
            <w:tcMar>
              <w:left w:w="28" w:type="dxa"/>
              <w:right w:w="28" w:type="dxa"/>
            </w:tcMar>
          </w:tcPr>
          <w:p w:rsidR="00323A0E" w:rsidRDefault="00323A0E" w:rsidP="00A8247E">
            <w:pPr>
              <w:pStyle w:val="Tableheading"/>
              <w:rPr>
                <w:rFonts w:eastAsia="MS Mincho"/>
              </w:rPr>
            </w:pPr>
            <w:r>
              <w:rPr>
                <w:rFonts w:eastAsia="MS Mincho"/>
              </w:rPr>
              <w:t>Outcome</w:t>
            </w:r>
          </w:p>
        </w:tc>
        <w:tc>
          <w:tcPr>
            <w:tcW w:w="1022" w:type="pct"/>
            <w:shd w:val="clear" w:color="auto" w:fill="BFBFBF" w:themeFill="background1" w:themeFillShade="BF"/>
            <w:tcMar>
              <w:left w:w="28" w:type="dxa"/>
              <w:right w:w="28" w:type="dxa"/>
            </w:tcMar>
            <w:vAlign w:val="center"/>
          </w:tcPr>
          <w:p w:rsidR="00323A0E" w:rsidRDefault="00323A0E" w:rsidP="00A8247E">
            <w:pPr>
              <w:pStyle w:val="Tableheading"/>
              <w:jc w:val="center"/>
              <w:rPr>
                <w:rFonts w:eastAsia="MS Mincho"/>
              </w:rPr>
            </w:pPr>
            <w:r>
              <w:rPr>
                <w:rFonts w:eastAsia="MS Mincho"/>
              </w:rPr>
              <w:t>Combination NRT</w:t>
            </w:r>
          </w:p>
          <w:p w:rsidR="00092FA8" w:rsidRPr="00061F78" w:rsidRDefault="00092FA8" w:rsidP="00A8247E">
            <w:pPr>
              <w:pStyle w:val="Tableheading"/>
              <w:jc w:val="center"/>
              <w:rPr>
                <w:rFonts w:eastAsia="MS Mincho"/>
              </w:rPr>
            </w:pPr>
            <w:r>
              <w:rPr>
                <w:rFonts w:eastAsia="MS Mincho"/>
              </w:rPr>
              <w:t>(patch + lozenge)</w:t>
            </w:r>
          </w:p>
        </w:tc>
        <w:tc>
          <w:tcPr>
            <w:tcW w:w="907" w:type="pct"/>
            <w:shd w:val="clear" w:color="auto" w:fill="BFBFBF" w:themeFill="background1" w:themeFillShade="BF"/>
            <w:tcMar>
              <w:left w:w="28" w:type="dxa"/>
              <w:right w:w="28" w:type="dxa"/>
            </w:tcMar>
            <w:vAlign w:val="center"/>
          </w:tcPr>
          <w:p w:rsidR="00323A0E" w:rsidRPr="00061F78" w:rsidRDefault="00323A0E" w:rsidP="00A8247E">
            <w:pPr>
              <w:pStyle w:val="Tableheading"/>
              <w:jc w:val="center"/>
              <w:rPr>
                <w:rFonts w:eastAsia="MS Mincho"/>
              </w:rPr>
            </w:pPr>
            <w:r>
              <w:rPr>
                <w:rFonts w:eastAsia="MS Mincho"/>
              </w:rPr>
              <w:t>Varenicline</w:t>
            </w:r>
          </w:p>
        </w:tc>
        <w:tc>
          <w:tcPr>
            <w:tcW w:w="851" w:type="pct"/>
            <w:shd w:val="clear" w:color="auto" w:fill="BFBFBF" w:themeFill="background1" w:themeFillShade="BF"/>
            <w:tcMar>
              <w:left w:w="28" w:type="dxa"/>
              <w:right w:w="28" w:type="dxa"/>
            </w:tcMar>
            <w:vAlign w:val="center"/>
          </w:tcPr>
          <w:p w:rsidR="00323A0E" w:rsidRPr="00D468CF" w:rsidRDefault="00323A0E" w:rsidP="00A8247E">
            <w:pPr>
              <w:pStyle w:val="Tableheading"/>
              <w:jc w:val="center"/>
              <w:rPr>
                <w:rFonts w:eastAsia="MS Mincho"/>
                <w:vertAlign w:val="superscript"/>
              </w:rPr>
            </w:pPr>
            <w:r>
              <w:rPr>
                <w:rFonts w:eastAsia="MS Mincho"/>
              </w:rPr>
              <w:t>RR (95% CI)</w:t>
            </w:r>
          </w:p>
        </w:tc>
        <w:tc>
          <w:tcPr>
            <w:tcW w:w="807" w:type="pct"/>
            <w:shd w:val="clear" w:color="auto" w:fill="BFBFBF" w:themeFill="background1" w:themeFillShade="BF"/>
            <w:vAlign w:val="center"/>
          </w:tcPr>
          <w:p w:rsidR="00323A0E" w:rsidRDefault="00323A0E" w:rsidP="00A8247E">
            <w:pPr>
              <w:pStyle w:val="Tableheading"/>
              <w:jc w:val="center"/>
              <w:rPr>
                <w:rFonts w:eastAsia="MS Mincho"/>
              </w:rPr>
            </w:pPr>
            <w:r>
              <w:rPr>
                <w:rFonts w:eastAsia="MS Mincho"/>
              </w:rPr>
              <w:t>RD (95% CI)</w:t>
            </w:r>
          </w:p>
        </w:tc>
      </w:tr>
      <w:tr w:rsidR="00AB53C1" w:rsidRPr="00061F78" w:rsidTr="00092FA8">
        <w:trPr>
          <w:cantSplit/>
          <w:trHeight w:val="99"/>
        </w:trPr>
        <w:tc>
          <w:tcPr>
            <w:tcW w:w="1412" w:type="pct"/>
            <w:shd w:val="clear" w:color="auto" w:fill="auto"/>
            <w:tcMar>
              <w:left w:w="28" w:type="dxa"/>
              <w:right w:w="28" w:type="dxa"/>
            </w:tcMar>
          </w:tcPr>
          <w:p w:rsidR="00AB53C1" w:rsidRDefault="00AB53C1" w:rsidP="00A8247E">
            <w:pPr>
              <w:pStyle w:val="Tablewriting"/>
              <w:rPr>
                <w:rFonts w:eastAsia="MS Mincho"/>
              </w:rPr>
            </w:pPr>
            <w:r>
              <w:rPr>
                <w:rFonts w:eastAsia="MS Mincho"/>
              </w:rPr>
              <w:t>Any adverse events</w:t>
            </w:r>
          </w:p>
        </w:tc>
        <w:tc>
          <w:tcPr>
            <w:tcW w:w="1022" w:type="pct"/>
            <w:shd w:val="clear" w:color="auto" w:fill="auto"/>
            <w:tcMar>
              <w:left w:w="28" w:type="dxa"/>
              <w:right w:w="28" w:type="dxa"/>
            </w:tcMar>
            <w:vAlign w:val="center"/>
          </w:tcPr>
          <w:p w:rsidR="00AB53C1" w:rsidRDefault="00AB53C1" w:rsidP="00A8247E">
            <w:pPr>
              <w:pStyle w:val="Tablewriting"/>
              <w:jc w:val="center"/>
              <w:rPr>
                <w:rFonts w:eastAsia="MS Mincho"/>
              </w:rPr>
            </w:pPr>
            <w:r>
              <w:rPr>
                <w:rFonts w:eastAsia="MS Mincho"/>
              </w:rPr>
              <w:t>193/275</w:t>
            </w:r>
          </w:p>
          <w:p w:rsidR="00AB53C1" w:rsidRDefault="00AB53C1" w:rsidP="00A8247E">
            <w:pPr>
              <w:pStyle w:val="Tablewriting"/>
              <w:jc w:val="center"/>
              <w:rPr>
                <w:rFonts w:eastAsia="MS Mincho"/>
              </w:rPr>
            </w:pPr>
            <w:r>
              <w:rPr>
                <w:rFonts w:eastAsia="MS Mincho"/>
              </w:rPr>
              <w:t>(70.2%)</w:t>
            </w:r>
          </w:p>
        </w:tc>
        <w:tc>
          <w:tcPr>
            <w:tcW w:w="907" w:type="pct"/>
            <w:shd w:val="clear" w:color="auto" w:fill="auto"/>
            <w:tcMar>
              <w:left w:w="28" w:type="dxa"/>
              <w:right w:w="28" w:type="dxa"/>
            </w:tcMar>
            <w:vAlign w:val="center"/>
          </w:tcPr>
          <w:p w:rsidR="00AB53C1" w:rsidRDefault="00AB53C1" w:rsidP="00A8247E">
            <w:pPr>
              <w:pStyle w:val="Tablewriting"/>
              <w:jc w:val="center"/>
              <w:rPr>
                <w:rFonts w:eastAsia="MS Mincho"/>
              </w:rPr>
            </w:pPr>
            <w:r>
              <w:rPr>
                <w:rFonts w:eastAsia="MS Mincho"/>
              </w:rPr>
              <w:t>204/274</w:t>
            </w:r>
          </w:p>
          <w:p w:rsidR="00AB53C1" w:rsidRDefault="00AB53C1" w:rsidP="00A8247E">
            <w:pPr>
              <w:pStyle w:val="Tablewriting"/>
              <w:jc w:val="center"/>
              <w:rPr>
                <w:rFonts w:eastAsia="MS Mincho"/>
              </w:rPr>
            </w:pPr>
            <w:r>
              <w:rPr>
                <w:rFonts w:eastAsia="MS Mincho"/>
              </w:rPr>
              <w:t>(74.5%)</w:t>
            </w:r>
          </w:p>
        </w:tc>
        <w:tc>
          <w:tcPr>
            <w:tcW w:w="851" w:type="pct"/>
            <w:shd w:val="clear" w:color="auto" w:fill="auto"/>
            <w:tcMar>
              <w:left w:w="28" w:type="dxa"/>
              <w:right w:w="28" w:type="dxa"/>
            </w:tcMar>
          </w:tcPr>
          <w:p w:rsidR="00AB53C1" w:rsidRDefault="00AB53C1" w:rsidP="006F73C6">
            <w:pPr>
              <w:pStyle w:val="Tablewriting"/>
              <w:jc w:val="center"/>
            </w:pPr>
            <w:r w:rsidRPr="00AB53C1">
              <w:t xml:space="preserve">0.94 </w:t>
            </w:r>
          </w:p>
          <w:p w:rsidR="00AB53C1" w:rsidRPr="00AB53C1" w:rsidRDefault="00AB53C1">
            <w:pPr>
              <w:pStyle w:val="Tablewriting"/>
              <w:jc w:val="center"/>
              <w:rPr>
                <w:rFonts w:eastAsia="MS Mincho"/>
              </w:rPr>
            </w:pPr>
            <w:r w:rsidRPr="00AB53C1">
              <w:t>(0.85, 1.05)</w:t>
            </w:r>
          </w:p>
        </w:tc>
        <w:tc>
          <w:tcPr>
            <w:tcW w:w="807" w:type="pct"/>
            <w:shd w:val="clear" w:color="auto" w:fill="auto"/>
          </w:tcPr>
          <w:p w:rsidR="00AB53C1" w:rsidRDefault="00AB53C1">
            <w:pPr>
              <w:pStyle w:val="Tablewriting"/>
              <w:jc w:val="center"/>
            </w:pPr>
            <w:r w:rsidRPr="00AB53C1">
              <w:t xml:space="preserve">-0.04 </w:t>
            </w:r>
          </w:p>
          <w:p w:rsidR="00AB53C1" w:rsidRPr="00AB53C1" w:rsidRDefault="00AB53C1">
            <w:pPr>
              <w:pStyle w:val="Tablewriting"/>
              <w:jc w:val="center"/>
              <w:rPr>
                <w:rFonts w:eastAsia="MS Mincho"/>
              </w:rPr>
            </w:pPr>
            <w:r w:rsidRPr="00AB53C1">
              <w:t>(-0.12, 0.03)</w:t>
            </w:r>
          </w:p>
        </w:tc>
      </w:tr>
      <w:tr w:rsidR="00AB53C1" w:rsidRPr="00061F78" w:rsidTr="00092FA8">
        <w:trPr>
          <w:cantSplit/>
          <w:trHeight w:val="149"/>
        </w:trPr>
        <w:tc>
          <w:tcPr>
            <w:tcW w:w="1412" w:type="pct"/>
            <w:tcMar>
              <w:left w:w="28" w:type="dxa"/>
              <w:right w:w="28" w:type="dxa"/>
            </w:tcMar>
          </w:tcPr>
          <w:p w:rsidR="00AB53C1" w:rsidRDefault="00AB53C1" w:rsidP="00A8247E">
            <w:pPr>
              <w:pStyle w:val="Tablewriting"/>
              <w:rPr>
                <w:rFonts w:eastAsia="MS Mincho"/>
              </w:rPr>
            </w:pPr>
            <w:r>
              <w:rPr>
                <w:rFonts w:eastAsia="MS Mincho"/>
              </w:rPr>
              <w:t xml:space="preserve">     Nausea</w:t>
            </w:r>
          </w:p>
        </w:tc>
        <w:tc>
          <w:tcPr>
            <w:tcW w:w="1022" w:type="pct"/>
            <w:tcMar>
              <w:left w:w="28" w:type="dxa"/>
              <w:right w:w="28" w:type="dxa"/>
            </w:tcMar>
            <w:vAlign w:val="center"/>
          </w:tcPr>
          <w:p w:rsidR="00AB53C1" w:rsidRDefault="00AB53C1" w:rsidP="00A8247E">
            <w:pPr>
              <w:pStyle w:val="Tablewriting"/>
              <w:jc w:val="center"/>
              <w:rPr>
                <w:rFonts w:eastAsia="MS Mincho"/>
              </w:rPr>
            </w:pPr>
            <w:r>
              <w:rPr>
                <w:rFonts w:eastAsia="MS Mincho"/>
              </w:rPr>
              <w:t>53/275</w:t>
            </w:r>
          </w:p>
          <w:p w:rsidR="00AB53C1" w:rsidRDefault="00AB53C1" w:rsidP="00A8247E">
            <w:pPr>
              <w:pStyle w:val="Tablewriting"/>
              <w:jc w:val="center"/>
              <w:rPr>
                <w:rFonts w:eastAsia="MS Mincho"/>
              </w:rPr>
            </w:pPr>
            <w:r>
              <w:rPr>
                <w:rFonts w:eastAsia="MS Mincho"/>
              </w:rPr>
              <w:t>(19.3%)</w:t>
            </w:r>
          </w:p>
        </w:tc>
        <w:tc>
          <w:tcPr>
            <w:tcW w:w="907" w:type="pct"/>
            <w:tcMar>
              <w:left w:w="28" w:type="dxa"/>
              <w:right w:w="28" w:type="dxa"/>
            </w:tcMar>
            <w:vAlign w:val="center"/>
          </w:tcPr>
          <w:p w:rsidR="00AB53C1" w:rsidRDefault="00AB53C1" w:rsidP="00A8247E">
            <w:pPr>
              <w:pStyle w:val="Tablewriting"/>
              <w:jc w:val="center"/>
              <w:rPr>
                <w:rFonts w:eastAsia="MS Mincho"/>
              </w:rPr>
            </w:pPr>
            <w:r>
              <w:rPr>
                <w:rFonts w:eastAsia="MS Mincho"/>
              </w:rPr>
              <w:t>92/274</w:t>
            </w:r>
          </w:p>
          <w:p w:rsidR="00AB53C1" w:rsidRDefault="00AB53C1" w:rsidP="00A8247E">
            <w:pPr>
              <w:pStyle w:val="Tablewriting"/>
              <w:jc w:val="center"/>
              <w:rPr>
                <w:rFonts w:eastAsia="MS Mincho"/>
              </w:rPr>
            </w:pPr>
            <w:r>
              <w:rPr>
                <w:rFonts w:eastAsia="MS Mincho"/>
              </w:rPr>
              <w:t>(33.6%)</w:t>
            </w:r>
          </w:p>
        </w:tc>
        <w:tc>
          <w:tcPr>
            <w:tcW w:w="851" w:type="pct"/>
            <w:tcMar>
              <w:left w:w="28" w:type="dxa"/>
              <w:right w:w="28" w:type="dxa"/>
            </w:tcMar>
          </w:tcPr>
          <w:p w:rsidR="00AB53C1" w:rsidRPr="00AB53C1" w:rsidRDefault="00AB53C1" w:rsidP="006F73C6">
            <w:pPr>
              <w:pStyle w:val="Tablewriting"/>
              <w:jc w:val="center"/>
              <w:rPr>
                <w:b/>
                <w:bCs/>
              </w:rPr>
            </w:pPr>
            <w:r w:rsidRPr="00AB53C1">
              <w:rPr>
                <w:b/>
                <w:bCs/>
              </w:rPr>
              <w:t xml:space="preserve">0.57 </w:t>
            </w:r>
          </w:p>
          <w:p w:rsidR="00AB53C1" w:rsidRPr="00AB53C1" w:rsidRDefault="00AB53C1">
            <w:pPr>
              <w:pStyle w:val="Tablewriting"/>
              <w:jc w:val="center"/>
              <w:rPr>
                <w:rFonts w:eastAsia="MS Mincho"/>
                <w:b/>
                <w:bCs/>
              </w:rPr>
            </w:pPr>
            <w:r w:rsidRPr="00AB53C1">
              <w:rPr>
                <w:b/>
                <w:bCs/>
              </w:rPr>
              <w:t>(0.43, 0.77)</w:t>
            </w:r>
          </w:p>
        </w:tc>
        <w:tc>
          <w:tcPr>
            <w:tcW w:w="807" w:type="pct"/>
          </w:tcPr>
          <w:p w:rsidR="00AB53C1" w:rsidRPr="00AB53C1" w:rsidRDefault="00AB53C1">
            <w:pPr>
              <w:pStyle w:val="Tablewriting"/>
              <w:jc w:val="center"/>
              <w:rPr>
                <w:b/>
                <w:bCs/>
              </w:rPr>
            </w:pPr>
            <w:r w:rsidRPr="00AB53C1">
              <w:rPr>
                <w:b/>
                <w:bCs/>
              </w:rPr>
              <w:t xml:space="preserve">-0.14 </w:t>
            </w:r>
          </w:p>
          <w:p w:rsidR="00AB53C1" w:rsidRPr="00AB53C1" w:rsidRDefault="00AB53C1">
            <w:pPr>
              <w:pStyle w:val="Tablewriting"/>
              <w:jc w:val="center"/>
              <w:rPr>
                <w:rFonts w:eastAsia="MS Mincho"/>
                <w:b/>
                <w:bCs/>
              </w:rPr>
            </w:pPr>
            <w:r w:rsidRPr="00AB53C1">
              <w:rPr>
                <w:b/>
                <w:bCs/>
              </w:rPr>
              <w:t>(-0.22, -0.07)</w:t>
            </w:r>
          </w:p>
        </w:tc>
      </w:tr>
      <w:tr w:rsidR="00AB53C1" w:rsidRPr="00061F78" w:rsidTr="00092FA8">
        <w:trPr>
          <w:cantSplit/>
          <w:trHeight w:val="149"/>
        </w:trPr>
        <w:tc>
          <w:tcPr>
            <w:tcW w:w="1412" w:type="pct"/>
            <w:tcMar>
              <w:left w:w="28" w:type="dxa"/>
              <w:right w:w="28" w:type="dxa"/>
            </w:tcMar>
          </w:tcPr>
          <w:p w:rsidR="00AB53C1" w:rsidRDefault="00AB53C1" w:rsidP="00A8247E">
            <w:pPr>
              <w:pStyle w:val="Tablewriting"/>
              <w:rPr>
                <w:rFonts w:eastAsia="MS Mincho"/>
              </w:rPr>
            </w:pPr>
            <w:r>
              <w:rPr>
                <w:rFonts w:eastAsia="MS Mincho"/>
              </w:rPr>
              <w:t xml:space="preserve">     Vomiting</w:t>
            </w:r>
          </w:p>
        </w:tc>
        <w:tc>
          <w:tcPr>
            <w:tcW w:w="1022" w:type="pct"/>
            <w:tcMar>
              <w:left w:w="28" w:type="dxa"/>
              <w:right w:w="28" w:type="dxa"/>
            </w:tcMar>
            <w:vAlign w:val="center"/>
          </w:tcPr>
          <w:p w:rsidR="00AB53C1" w:rsidRDefault="00AB53C1" w:rsidP="00A8247E">
            <w:pPr>
              <w:pStyle w:val="Tablewriting"/>
              <w:jc w:val="center"/>
              <w:rPr>
                <w:rFonts w:eastAsia="MS Mincho"/>
              </w:rPr>
            </w:pPr>
            <w:r>
              <w:rPr>
                <w:rFonts w:eastAsia="MS Mincho"/>
              </w:rPr>
              <w:t>28/275</w:t>
            </w:r>
          </w:p>
          <w:p w:rsidR="00AB53C1" w:rsidRDefault="00AB53C1" w:rsidP="00A8247E">
            <w:pPr>
              <w:pStyle w:val="Tablewriting"/>
              <w:jc w:val="center"/>
              <w:rPr>
                <w:rFonts w:eastAsia="MS Mincho"/>
              </w:rPr>
            </w:pPr>
            <w:r>
              <w:rPr>
                <w:rFonts w:eastAsia="MS Mincho"/>
              </w:rPr>
              <w:t>(10.2%)</w:t>
            </w:r>
          </w:p>
        </w:tc>
        <w:tc>
          <w:tcPr>
            <w:tcW w:w="907" w:type="pct"/>
            <w:tcMar>
              <w:left w:w="28" w:type="dxa"/>
              <w:right w:w="28" w:type="dxa"/>
            </w:tcMar>
            <w:vAlign w:val="center"/>
          </w:tcPr>
          <w:p w:rsidR="00AB53C1" w:rsidRDefault="00AB53C1" w:rsidP="00A8247E">
            <w:pPr>
              <w:pStyle w:val="Tablewriting"/>
              <w:jc w:val="center"/>
              <w:rPr>
                <w:rFonts w:eastAsia="MS Mincho"/>
              </w:rPr>
            </w:pPr>
            <w:r>
              <w:rPr>
                <w:rFonts w:eastAsia="MS Mincho"/>
              </w:rPr>
              <w:t>36/274</w:t>
            </w:r>
          </w:p>
          <w:p w:rsidR="00AB53C1" w:rsidRDefault="00AB53C1" w:rsidP="00A8247E">
            <w:pPr>
              <w:pStyle w:val="Tablewriting"/>
              <w:jc w:val="center"/>
              <w:rPr>
                <w:rFonts w:eastAsia="MS Mincho"/>
              </w:rPr>
            </w:pPr>
            <w:r>
              <w:rPr>
                <w:rFonts w:eastAsia="MS Mincho"/>
              </w:rPr>
              <w:t>(13.1%)</w:t>
            </w:r>
          </w:p>
        </w:tc>
        <w:tc>
          <w:tcPr>
            <w:tcW w:w="851" w:type="pct"/>
            <w:tcMar>
              <w:left w:w="28" w:type="dxa"/>
              <w:right w:w="28" w:type="dxa"/>
            </w:tcMar>
          </w:tcPr>
          <w:p w:rsidR="00AB53C1" w:rsidRDefault="00AB53C1" w:rsidP="006F73C6">
            <w:pPr>
              <w:pStyle w:val="Tablewriting"/>
              <w:jc w:val="center"/>
            </w:pPr>
            <w:r w:rsidRPr="00AB53C1">
              <w:t xml:space="preserve">0.77 </w:t>
            </w:r>
          </w:p>
          <w:p w:rsidR="00AB53C1" w:rsidRPr="00AB53C1" w:rsidRDefault="00AB53C1">
            <w:pPr>
              <w:pStyle w:val="Tablewriting"/>
              <w:jc w:val="center"/>
              <w:rPr>
                <w:rFonts w:eastAsia="MS Mincho"/>
              </w:rPr>
            </w:pPr>
            <w:r w:rsidRPr="00AB53C1">
              <w:t>(0.49, 1.23)</w:t>
            </w:r>
          </w:p>
        </w:tc>
        <w:tc>
          <w:tcPr>
            <w:tcW w:w="807" w:type="pct"/>
          </w:tcPr>
          <w:p w:rsidR="00AB53C1" w:rsidRDefault="00AB53C1">
            <w:pPr>
              <w:pStyle w:val="Tablewriting"/>
              <w:jc w:val="center"/>
            </w:pPr>
            <w:r w:rsidRPr="00AB53C1">
              <w:t xml:space="preserve">-0.03 </w:t>
            </w:r>
          </w:p>
          <w:p w:rsidR="00AB53C1" w:rsidRPr="00AB53C1" w:rsidRDefault="00AB53C1">
            <w:pPr>
              <w:pStyle w:val="Tablewriting"/>
              <w:jc w:val="center"/>
              <w:rPr>
                <w:rFonts w:eastAsia="MS Mincho"/>
              </w:rPr>
            </w:pPr>
            <w:r w:rsidRPr="00AB53C1">
              <w:t>(-0.08, 0.02)</w:t>
            </w:r>
          </w:p>
        </w:tc>
      </w:tr>
      <w:tr w:rsidR="00AB53C1" w:rsidRPr="00061F78" w:rsidTr="00092FA8">
        <w:trPr>
          <w:cantSplit/>
          <w:trHeight w:val="149"/>
        </w:trPr>
        <w:tc>
          <w:tcPr>
            <w:tcW w:w="1412" w:type="pct"/>
            <w:tcMar>
              <w:left w:w="28" w:type="dxa"/>
              <w:right w:w="28" w:type="dxa"/>
            </w:tcMar>
          </w:tcPr>
          <w:p w:rsidR="00AB53C1" w:rsidRDefault="00AB53C1" w:rsidP="00A8247E">
            <w:pPr>
              <w:pStyle w:val="Tablewriting"/>
              <w:rPr>
                <w:rFonts w:eastAsia="MS Mincho"/>
              </w:rPr>
            </w:pPr>
            <w:r>
              <w:rPr>
                <w:rFonts w:eastAsia="MS Mincho"/>
              </w:rPr>
              <w:t xml:space="preserve">     Headache</w:t>
            </w:r>
          </w:p>
        </w:tc>
        <w:tc>
          <w:tcPr>
            <w:tcW w:w="1022" w:type="pct"/>
            <w:tcMar>
              <w:left w:w="28" w:type="dxa"/>
              <w:right w:w="28" w:type="dxa"/>
            </w:tcMar>
            <w:vAlign w:val="center"/>
          </w:tcPr>
          <w:p w:rsidR="00AB53C1" w:rsidRDefault="00AB53C1" w:rsidP="00A8247E">
            <w:pPr>
              <w:pStyle w:val="Tablewriting"/>
              <w:jc w:val="center"/>
              <w:rPr>
                <w:rFonts w:eastAsia="MS Mincho"/>
              </w:rPr>
            </w:pPr>
            <w:r>
              <w:rPr>
                <w:rFonts w:eastAsia="MS Mincho"/>
              </w:rPr>
              <w:t>81/275</w:t>
            </w:r>
          </w:p>
          <w:p w:rsidR="00AB53C1" w:rsidRDefault="00AB53C1" w:rsidP="00A8247E">
            <w:pPr>
              <w:pStyle w:val="Tablewriting"/>
              <w:jc w:val="center"/>
              <w:rPr>
                <w:rFonts w:eastAsia="MS Mincho"/>
              </w:rPr>
            </w:pPr>
            <w:r>
              <w:rPr>
                <w:rFonts w:eastAsia="MS Mincho"/>
              </w:rPr>
              <w:t>(29.5%)</w:t>
            </w:r>
          </w:p>
        </w:tc>
        <w:tc>
          <w:tcPr>
            <w:tcW w:w="907" w:type="pct"/>
            <w:tcMar>
              <w:left w:w="28" w:type="dxa"/>
              <w:right w:w="28" w:type="dxa"/>
            </w:tcMar>
            <w:vAlign w:val="center"/>
          </w:tcPr>
          <w:p w:rsidR="00AB53C1" w:rsidRDefault="00AB53C1" w:rsidP="00A8247E">
            <w:pPr>
              <w:pStyle w:val="Tablewriting"/>
              <w:jc w:val="center"/>
              <w:rPr>
                <w:rFonts w:eastAsia="MS Mincho"/>
              </w:rPr>
            </w:pPr>
            <w:r>
              <w:rPr>
                <w:rFonts w:eastAsia="MS Mincho"/>
              </w:rPr>
              <w:t>81/274</w:t>
            </w:r>
          </w:p>
          <w:p w:rsidR="00AB53C1" w:rsidRDefault="00AB53C1" w:rsidP="00A8247E">
            <w:pPr>
              <w:pStyle w:val="Tablewriting"/>
              <w:jc w:val="center"/>
              <w:rPr>
                <w:rFonts w:eastAsia="MS Mincho"/>
              </w:rPr>
            </w:pPr>
            <w:r>
              <w:rPr>
                <w:rFonts w:eastAsia="MS Mincho"/>
              </w:rPr>
              <w:t>(29.6%)</w:t>
            </w:r>
          </w:p>
        </w:tc>
        <w:tc>
          <w:tcPr>
            <w:tcW w:w="851" w:type="pct"/>
            <w:tcMar>
              <w:left w:w="28" w:type="dxa"/>
              <w:right w:w="28" w:type="dxa"/>
            </w:tcMar>
          </w:tcPr>
          <w:p w:rsidR="00AB53C1" w:rsidRDefault="00AB53C1" w:rsidP="006F73C6">
            <w:pPr>
              <w:pStyle w:val="Tablewriting"/>
              <w:jc w:val="center"/>
            </w:pPr>
            <w:r w:rsidRPr="00AB53C1">
              <w:t xml:space="preserve">1.00 </w:t>
            </w:r>
          </w:p>
          <w:p w:rsidR="00AB53C1" w:rsidRPr="00AB53C1" w:rsidRDefault="00AB53C1">
            <w:pPr>
              <w:pStyle w:val="Tablewriting"/>
              <w:jc w:val="center"/>
              <w:rPr>
                <w:rFonts w:eastAsia="MS Mincho"/>
              </w:rPr>
            </w:pPr>
            <w:r w:rsidRPr="00AB53C1">
              <w:t>(0.77, 1.29)</w:t>
            </w:r>
          </w:p>
        </w:tc>
        <w:tc>
          <w:tcPr>
            <w:tcW w:w="807" w:type="pct"/>
          </w:tcPr>
          <w:p w:rsidR="00AB53C1" w:rsidRDefault="00AB53C1">
            <w:pPr>
              <w:pStyle w:val="Tablewriting"/>
              <w:jc w:val="center"/>
            </w:pPr>
            <w:r w:rsidRPr="00AB53C1">
              <w:t xml:space="preserve">0.00 </w:t>
            </w:r>
          </w:p>
          <w:p w:rsidR="00AB53C1" w:rsidRPr="00AB53C1" w:rsidRDefault="00AB53C1">
            <w:pPr>
              <w:pStyle w:val="Tablewriting"/>
              <w:jc w:val="center"/>
              <w:rPr>
                <w:rFonts w:eastAsia="MS Mincho"/>
              </w:rPr>
            </w:pPr>
            <w:r w:rsidRPr="00AB53C1">
              <w:t>(-0.08, 0.08)</w:t>
            </w:r>
          </w:p>
        </w:tc>
      </w:tr>
      <w:tr w:rsidR="00AB53C1" w:rsidRPr="00061F78" w:rsidTr="00092FA8">
        <w:trPr>
          <w:cantSplit/>
          <w:trHeight w:val="149"/>
        </w:trPr>
        <w:tc>
          <w:tcPr>
            <w:tcW w:w="1412" w:type="pct"/>
            <w:tcMar>
              <w:left w:w="28" w:type="dxa"/>
              <w:right w:w="28" w:type="dxa"/>
            </w:tcMar>
          </w:tcPr>
          <w:p w:rsidR="00AB53C1" w:rsidRDefault="00AB53C1" w:rsidP="00A8247E">
            <w:pPr>
              <w:pStyle w:val="Tablewriting"/>
              <w:rPr>
                <w:rFonts w:eastAsia="MS Mincho"/>
              </w:rPr>
            </w:pPr>
            <w:r>
              <w:rPr>
                <w:rFonts w:eastAsia="MS Mincho"/>
              </w:rPr>
              <w:t xml:space="preserve">     Rapid, slow, pounding or </w:t>
            </w:r>
          </w:p>
          <w:p w:rsidR="00AB53C1" w:rsidRDefault="00AB53C1" w:rsidP="00A8247E">
            <w:pPr>
              <w:pStyle w:val="Tablewriting"/>
              <w:rPr>
                <w:rFonts w:eastAsia="MS Mincho"/>
              </w:rPr>
            </w:pPr>
            <w:r>
              <w:rPr>
                <w:rFonts w:eastAsia="MS Mincho"/>
              </w:rPr>
              <w:t xml:space="preserve">     irregular heartbeat</w:t>
            </w:r>
          </w:p>
        </w:tc>
        <w:tc>
          <w:tcPr>
            <w:tcW w:w="1022" w:type="pct"/>
            <w:tcMar>
              <w:left w:w="28" w:type="dxa"/>
              <w:right w:w="28" w:type="dxa"/>
            </w:tcMar>
            <w:vAlign w:val="center"/>
          </w:tcPr>
          <w:p w:rsidR="00AB53C1" w:rsidRDefault="00AB53C1" w:rsidP="00A8247E">
            <w:pPr>
              <w:pStyle w:val="Tablewriting"/>
              <w:jc w:val="center"/>
              <w:rPr>
                <w:rFonts w:eastAsia="MS Mincho"/>
              </w:rPr>
            </w:pPr>
            <w:r>
              <w:rPr>
                <w:rFonts w:eastAsia="MS Mincho"/>
              </w:rPr>
              <w:t>27/275</w:t>
            </w:r>
          </w:p>
          <w:p w:rsidR="00AB53C1" w:rsidRDefault="00AB53C1" w:rsidP="00A8247E">
            <w:pPr>
              <w:pStyle w:val="Tablewriting"/>
              <w:jc w:val="center"/>
              <w:rPr>
                <w:rFonts w:eastAsia="MS Mincho"/>
              </w:rPr>
            </w:pPr>
            <w:r>
              <w:rPr>
                <w:rFonts w:eastAsia="MS Mincho"/>
              </w:rPr>
              <w:t>(9.8%)</w:t>
            </w:r>
          </w:p>
        </w:tc>
        <w:tc>
          <w:tcPr>
            <w:tcW w:w="907" w:type="pct"/>
            <w:tcMar>
              <w:left w:w="28" w:type="dxa"/>
              <w:right w:w="28" w:type="dxa"/>
            </w:tcMar>
            <w:vAlign w:val="center"/>
          </w:tcPr>
          <w:p w:rsidR="00AB53C1" w:rsidRDefault="00AB53C1" w:rsidP="00A8247E">
            <w:pPr>
              <w:pStyle w:val="Tablewriting"/>
              <w:jc w:val="center"/>
              <w:rPr>
                <w:rFonts w:eastAsia="MS Mincho"/>
              </w:rPr>
            </w:pPr>
            <w:r>
              <w:rPr>
                <w:rFonts w:eastAsia="MS Mincho"/>
              </w:rPr>
              <w:t>24/274</w:t>
            </w:r>
          </w:p>
          <w:p w:rsidR="00AB53C1" w:rsidRDefault="00AB53C1" w:rsidP="00A8247E">
            <w:pPr>
              <w:pStyle w:val="Tablewriting"/>
              <w:jc w:val="center"/>
              <w:rPr>
                <w:rFonts w:eastAsia="MS Mincho"/>
              </w:rPr>
            </w:pPr>
            <w:r>
              <w:rPr>
                <w:rFonts w:eastAsia="MS Mincho"/>
              </w:rPr>
              <w:t>(8.8%)</w:t>
            </w:r>
          </w:p>
        </w:tc>
        <w:tc>
          <w:tcPr>
            <w:tcW w:w="851" w:type="pct"/>
            <w:tcMar>
              <w:left w:w="28" w:type="dxa"/>
              <w:right w:w="28" w:type="dxa"/>
            </w:tcMar>
          </w:tcPr>
          <w:p w:rsidR="00AB53C1" w:rsidRDefault="00AB53C1" w:rsidP="006F73C6">
            <w:pPr>
              <w:pStyle w:val="Tablewriting"/>
              <w:jc w:val="center"/>
            </w:pPr>
            <w:r w:rsidRPr="00AB53C1">
              <w:t xml:space="preserve">1.12 </w:t>
            </w:r>
          </w:p>
          <w:p w:rsidR="00AB53C1" w:rsidRPr="00AB53C1" w:rsidRDefault="00AB53C1">
            <w:pPr>
              <w:pStyle w:val="Tablewriting"/>
              <w:jc w:val="center"/>
              <w:rPr>
                <w:rFonts w:eastAsia="MS Mincho"/>
              </w:rPr>
            </w:pPr>
            <w:r w:rsidRPr="00AB53C1">
              <w:t>(0.66, 1.89)</w:t>
            </w:r>
          </w:p>
        </w:tc>
        <w:tc>
          <w:tcPr>
            <w:tcW w:w="807" w:type="pct"/>
          </w:tcPr>
          <w:p w:rsidR="00AB53C1" w:rsidRDefault="00AB53C1">
            <w:pPr>
              <w:pStyle w:val="Tablewriting"/>
              <w:jc w:val="center"/>
            </w:pPr>
            <w:r w:rsidRPr="00AB53C1">
              <w:t xml:space="preserve">0.01 </w:t>
            </w:r>
          </w:p>
          <w:p w:rsidR="00AB53C1" w:rsidRPr="00AB53C1" w:rsidRDefault="00AB53C1">
            <w:pPr>
              <w:pStyle w:val="Tablewriting"/>
              <w:jc w:val="center"/>
              <w:rPr>
                <w:rFonts w:eastAsia="MS Mincho"/>
              </w:rPr>
            </w:pPr>
            <w:r w:rsidRPr="00AB53C1">
              <w:t>(-0.04, 0.06)</w:t>
            </w:r>
          </w:p>
        </w:tc>
      </w:tr>
      <w:tr w:rsidR="00AB53C1" w:rsidRPr="00061F78" w:rsidTr="00092FA8">
        <w:trPr>
          <w:cantSplit/>
          <w:trHeight w:val="149"/>
        </w:trPr>
        <w:tc>
          <w:tcPr>
            <w:tcW w:w="1412" w:type="pct"/>
            <w:tcMar>
              <w:left w:w="28" w:type="dxa"/>
              <w:right w:w="28" w:type="dxa"/>
            </w:tcMar>
          </w:tcPr>
          <w:p w:rsidR="00AB53C1" w:rsidRDefault="00AB53C1" w:rsidP="00A8247E">
            <w:pPr>
              <w:pStyle w:val="Tablewriting"/>
              <w:rPr>
                <w:rFonts w:eastAsia="MS Mincho"/>
              </w:rPr>
            </w:pPr>
            <w:r>
              <w:rPr>
                <w:rFonts w:eastAsia="MS Mincho"/>
              </w:rPr>
              <w:t xml:space="preserve">     Insomnia</w:t>
            </w:r>
          </w:p>
        </w:tc>
        <w:tc>
          <w:tcPr>
            <w:tcW w:w="1022" w:type="pct"/>
            <w:tcMar>
              <w:left w:w="28" w:type="dxa"/>
              <w:right w:w="28" w:type="dxa"/>
            </w:tcMar>
            <w:vAlign w:val="center"/>
          </w:tcPr>
          <w:p w:rsidR="00AB53C1" w:rsidRDefault="00AB53C1" w:rsidP="00A8247E">
            <w:pPr>
              <w:pStyle w:val="Tablewriting"/>
              <w:jc w:val="center"/>
              <w:rPr>
                <w:rFonts w:eastAsia="MS Mincho"/>
              </w:rPr>
            </w:pPr>
            <w:r>
              <w:rPr>
                <w:rFonts w:eastAsia="MS Mincho"/>
              </w:rPr>
              <w:t>49/275</w:t>
            </w:r>
          </w:p>
          <w:p w:rsidR="00AB53C1" w:rsidRDefault="00AB53C1" w:rsidP="00A8247E">
            <w:pPr>
              <w:pStyle w:val="Tablewriting"/>
              <w:jc w:val="center"/>
              <w:rPr>
                <w:rFonts w:eastAsia="MS Mincho"/>
              </w:rPr>
            </w:pPr>
            <w:r>
              <w:rPr>
                <w:rFonts w:eastAsia="MS Mincho"/>
              </w:rPr>
              <w:t>(17.8%)</w:t>
            </w:r>
          </w:p>
        </w:tc>
        <w:tc>
          <w:tcPr>
            <w:tcW w:w="907" w:type="pct"/>
            <w:tcMar>
              <w:left w:w="28" w:type="dxa"/>
              <w:right w:w="28" w:type="dxa"/>
            </w:tcMar>
            <w:vAlign w:val="center"/>
          </w:tcPr>
          <w:p w:rsidR="00AB53C1" w:rsidRDefault="00AB53C1" w:rsidP="00A8247E">
            <w:pPr>
              <w:pStyle w:val="Tablewriting"/>
              <w:jc w:val="center"/>
              <w:rPr>
                <w:rFonts w:eastAsia="MS Mincho"/>
              </w:rPr>
            </w:pPr>
            <w:r>
              <w:rPr>
                <w:rFonts w:eastAsia="MS Mincho"/>
              </w:rPr>
              <w:t>55/274</w:t>
            </w:r>
          </w:p>
          <w:p w:rsidR="00AB53C1" w:rsidRDefault="00AB53C1" w:rsidP="00A8247E">
            <w:pPr>
              <w:pStyle w:val="Tablewriting"/>
              <w:jc w:val="center"/>
              <w:rPr>
                <w:rFonts w:eastAsia="MS Mincho"/>
              </w:rPr>
            </w:pPr>
            <w:r>
              <w:rPr>
                <w:rFonts w:eastAsia="MS Mincho"/>
              </w:rPr>
              <w:t>(20.1%)</w:t>
            </w:r>
          </w:p>
        </w:tc>
        <w:tc>
          <w:tcPr>
            <w:tcW w:w="851" w:type="pct"/>
            <w:tcMar>
              <w:left w:w="28" w:type="dxa"/>
              <w:right w:w="28" w:type="dxa"/>
            </w:tcMar>
          </w:tcPr>
          <w:p w:rsidR="00AB53C1" w:rsidRDefault="00AB53C1" w:rsidP="006F73C6">
            <w:pPr>
              <w:pStyle w:val="Tablewriting"/>
              <w:jc w:val="center"/>
            </w:pPr>
            <w:r w:rsidRPr="00AB53C1">
              <w:t xml:space="preserve">0.89 </w:t>
            </w:r>
          </w:p>
          <w:p w:rsidR="00AB53C1" w:rsidRPr="00AB53C1" w:rsidRDefault="00AB53C1">
            <w:pPr>
              <w:pStyle w:val="Tablewriting"/>
              <w:jc w:val="center"/>
              <w:rPr>
                <w:rFonts w:eastAsia="MS Mincho"/>
              </w:rPr>
            </w:pPr>
            <w:r w:rsidRPr="00AB53C1">
              <w:t>(0.63, 1.26)</w:t>
            </w:r>
          </w:p>
        </w:tc>
        <w:tc>
          <w:tcPr>
            <w:tcW w:w="807" w:type="pct"/>
          </w:tcPr>
          <w:p w:rsidR="00AB53C1" w:rsidRDefault="00AB53C1">
            <w:pPr>
              <w:pStyle w:val="Tablewriting"/>
              <w:jc w:val="center"/>
            </w:pPr>
            <w:r w:rsidRPr="00AB53C1">
              <w:t xml:space="preserve">-0.02 </w:t>
            </w:r>
          </w:p>
          <w:p w:rsidR="00AB53C1" w:rsidRPr="00AB53C1" w:rsidRDefault="00AB53C1">
            <w:pPr>
              <w:pStyle w:val="Tablewriting"/>
              <w:jc w:val="center"/>
              <w:rPr>
                <w:rFonts w:eastAsia="MS Mincho"/>
              </w:rPr>
            </w:pPr>
            <w:r w:rsidRPr="00AB53C1">
              <w:t>(-0.09, 0.04)</w:t>
            </w:r>
          </w:p>
        </w:tc>
      </w:tr>
      <w:tr w:rsidR="00AB53C1" w:rsidRPr="00061F78" w:rsidTr="00092FA8">
        <w:trPr>
          <w:cantSplit/>
          <w:trHeight w:val="149"/>
        </w:trPr>
        <w:tc>
          <w:tcPr>
            <w:tcW w:w="1412" w:type="pct"/>
            <w:tcMar>
              <w:left w:w="28" w:type="dxa"/>
              <w:right w:w="28" w:type="dxa"/>
            </w:tcMar>
          </w:tcPr>
          <w:p w:rsidR="00AB53C1" w:rsidRDefault="00AB53C1" w:rsidP="00A8247E">
            <w:pPr>
              <w:pStyle w:val="Tablewriting"/>
              <w:rPr>
                <w:rFonts w:eastAsia="MS Mincho"/>
              </w:rPr>
            </w:pPr>
            <w:r>
              <w:rPr>
                <w:rFonts w:eastAsia="MS Mincho"/>
              </w:rPr>
              <w:t xml:space="preserve">     Vivid dreams</w:t>
            </w:r>
          </w:p>
        </w:tc>
        <w:tc>
          <w:tcPr>
            <w:tcW w:w="1022" w:type="pct"/>
            <w:tcMar>
              <w:left w:w="28" w:type="dxa"/>
              <w:right w:w="28" w:type="dxa"/>
            </w:tcMar>
            <w:vAlign w:val="center"/>
          </w:tcPr>
          <w:p w:rsidR="00AB53C1" w:rsidRDefault="00AB53C1" w:rsidP="00A8247E">
            <w:pPr>
              <w:pStyle w:val="Tablewriting"/>
              <w:jc w:val="center"/>
              <w:rPr>
                <w:rFonts w:eastAsia="MS Mincho"/>
              </w:rPr>
            </w:pPr>
            <w:r>
              <w:rPr>
                <w:rFonts w:eastAsia="MS Mincho"/>
              </w:rPr>
              <w:t>63/275</w:t>
            </w:r>
          </w:p>
          <w:p w:rsidR="00AB53C1" w:rsidRDefault="00AB53C1" w:rsidP="00A8247E">
            <w:pPr>
              <w:pStyle w:val="Tablewriting"/>
              <w:jc w:val="center"/>
              <w:rPr>
                <w:rFonts w:eastAsia="MS Mincho"/>
              </w:rPr>
            </w:pPr>
            <w:r>
              <w:rPr>
                <w:rFonts w:eastAsia="MS Mincho"/>
              </w:rPr>
              <w:t>(22.9%)</w:t>
            </w:r>
          </w:p>
        </w:tc>
        <w:tc>
          <w:tcPr>
            <w:tcW w:w="907" w:type="pct"/>
            <w:tcMar>
              <w:left w:w="28" w:type="dxa"/>
              <w:right w:w="28" w:type="dxa"/>
            </w:tcMar>
            <w:vAlign w:val="center"/>
          </w:tcPr>
          <w:p w:rsidR="00AB53C1" w:rsidRDefault="00AB53C1" w:rsidP="00A8247E">
            <w:pPr>
              <w:pStyle w:val="Tablewriting"/>
              <w:jc w:val="center"/>
              <w:rPr>
                <w:rFonts w:eastAsia="MS Mincho"/>
              </w:rPr>
            </w:pPr>
            <w:r>
              <w:rPr>
                <w:rFonts w:eastAsia="MS Mincho"/>
              </w:rPr>
              <w:t>100/274</w:t>
            </w:r>
          </w:p>
          <w:p w:rsidR="00AB53C1" w:rsidRDefault="00AB53C1" w:rsidP="00A8247E">
            <w:pPr>
              <w:pStyle w:val="Tablewriting"/>
              <w:jc w:val="center"/>
              <w:rPr>
                <w:rFonts w:eastAsia="MS Mincho"/>
              </w:rPr>
            </w:pPr>
            <w:r>
              <w:rPr>
                <w:rFonts w:eastAsia="MS Mincho"/>
              </w:rPr>
              <w:t>(36.5%)</w:t>
            </w:r>
          </w:p>
        </w:tc>
        <w:tc>
          <w:tcPr>
            <w:tcW w:w="851" w:type="pct"/>
            <w:tcMar>
              <w:left w:w="28" w:type="dxa"/>
              <w:right w:w="28" w:type="dxa"/>
            </w:tcMar>
          </w:tcPr>
          <w:p w:rsidR="00AB53C1" w:rsidRPr="00AB53C1" w:rsidRDefault="00AB53C1" w:rsidP="006F73C6">
            <w:pPr>
              <w:pStyle w:val="Tablewriting"/>
              <w:jc w:val="center"/>
              <w:rPr>
                <w:b/>
                <w:bCs/>
              </w:rPr>
            </w:pPr>
            <w:r w:rsidRPr="00AB53C1">
              <w:rPr>
                <w:b/>
                <w:bCs/>
              </w:rPr>
              <w:t xml:space="preserve">0.63 </w:t>
            </w:r>
          </w:p>
          <w:p w:rsidR="00AB53C1" w:rsidRPr="00AB53C1" w:rsidRDefault="00AB53C1">
            <w:pPr>
              <w:pStyle w:val="Tablewriting"/>
              <w:jc w:val="center"/>
              <w:rPr>
                <w:rFonts w:eastAsia="MS Mincho"/>
                <w:b/>
                <w:bCs/>
              </w:rPr>
            </w:pPr>
            <w:r w:rsidRPr="00AB53C1">
              <w:rPr>
                <w:b/>
                <w:bCs/>
              </w:rPr>
              <w:t>(0.48, 0.82)</w:t>
            </w:r>
          </w:p>
        </w:tc>
        <w:tc>
          <w:tcPr>
            <w:tcW w:w="807" w:type="pct"/>
          </w:tcPr>
          <w:p w:rsidR="00AB53C1" w:rsidRPr="00AB53C1" w:rsidRDefault="00AB53C1">
            <w:pPr>
              <w:pStyle w:val="Tablewriting"/>
              <w:jc w:val="center"/>
              <w:rPr>
                <w:b/>
                <w:bCs/>
              </w:rPr>
            </w:pPr>
            <w:r w:rsidRPr="00AB53C1">
              <w:rPr>
                <w:b/>
                <w:bCs/>
              </w:rPr>
              <w:t xml:space="preserve">-0.14 </w:t>
            </w:r>
          </w:p>
          <w:p w:rsidR="00AB53C1" w:rsidRPr="00AB53C1" w:rsidRDefault="00AB53C1">
            <w:pPr>
              <w:pStyle w:val="Tablewriting"/>
              <w:jc w:val="center"/>
              <w:rPr>
                <w:rFonts w:eastAsia="MS Mincho"/>
                <w:b/>
                <w:bCs/>
              </w:rPr>
            </w:pPr>
            <w:r w:rsidRPr="00AB53C1">
              <w:rPr>
                <w:b/>
                <w:bCs/>
              </w:rPr>
              <w:t>(-0.21, -0.06)</w:t>
            </w:r>
          </w:p>
        </w:tc>
      </w:tr>
      <w:tr w:rsidR="00AB53C1" w:rsidRPr="00061F78" w:rsidTr="00092FA8">
        <w:trPr>
          <w:cantSplit/>
          <w:trHeight w:val="149"/>
        </w:trPr>
        <w:tc>
          <w:tcPr>
            <w:tcW w:w="1412" w:type="pct"/>
            <w:tcMar>
              <w:left w:w="28" w:type="dxa"/>
              <w:right w:w="28" w:type="dxa"/>
            </w:tcMar>
          </w:tcPr>
          <w:p w:rsidR="00AB53C1" w:rsidRDefault="00AB53C1" w:rsidP="00A8247E">
            <w:pPr>
              <w:pStyle w:val="Tablewriting"/>
              <w:rPr>
                <w:rFonts w:eastAsia="MS Mincho"/>
              </w:rPr>
            </w:pPr>
            <w:r>
              <w:rPr>
                <w:rFonts w:eastAsia="MS Mincho"/>
              </w:rPr>
              <w:t>Serious adverse events</w:t>
            </w:r>
          </w:p>
        </w:tc>
        <w:tc>
          <w:tcPr>
            <w:tcW w:w="1022" w:type="pct"/>
            <w:tcMar>
              <w:left w:w="28" w:type="dxa"/>
              <w:right w:w="28" w:type="dxa"/>
            </w:tcMar>
            <w:vAlign w:val="center"/>
          </w:tcPr>
          <w:p w:rsidR="00AB53C1" w:rsidRPr="00325EF5" w:rsidRDefault="00AB53C1" w:rsidP="00A8247E">
            <w:pPr>
              <w:pStyle w:val="Tablewriting"/>
              <w:jc w:val="center"/>
              <w:rPr>
                <w:rFonts w:eastAsia="MS Mincho"/>
              </w:rPr>
            </w:pPr>
            <w:r w:rsidRPr="00325EF5">
              <w:rPr>
                <w:rFonts w:eastAsia="MS Mincho"/>
              </w:rPr>
              <w:t>23/275</w:t>
            </w:r>
          </w:p>
          <w:p w:rsidR="00AB53C1" w:rsidRPr="00325EF5" w:rsidRDefault="00AB53C1" w:rsidP="00A8247E">
            <w:pPr>
              <w:pStyle w:val="Tablewriting"/>
              <w:jc w:val="center"/>
              <w:rPr>
                <w:rFonts w:eastAsia="MS Mincho"/>
              </w:rPr>
            </w:pPr>
            <w:r w:rsidRPr="00325EF5">
              <w:rPr>
                <w:rFonts w:eastAsia="MS Mincho"/>
              </w:rPr>
              <w:t>(8.4%)</w:t>
            </w:r>
          </w:p>
        </w:tc>
        <w:tc>
          <w:tcPr>
            <w:tcW w:w="907" w:type="pct"/>
            <w:tcMar>
              <w:left w:w="28" w:type="dxa"/>
              <w:right w:w="28" w:type="dxa"/>
            </w:tcMar>
            <w:vAlign w:val="center"/>
          </w:tcPr>
          <w:p w:rsidR="00AB53C1" w:rsidRDefault="00AB53C1" w:rsidP="00A8247E">
            <w:pPr>
              <w:pStyle w:val="Tablewriting"/>
              <w:jc w:val="center"/>
              <w:rPr>
                <w:rFonts w:eastAsia="MS Mincho"/>
              </w:rPr>
            </w:pPr>
            <w:r>
              <w:rPr>
                <w:rFonts w:eastAsia="MS Mincho"/>
              </w:rPr>
              <w:t>17/274</w:t>
            </w:r>
          </w:p>
          <w:p w:rsidR="00AB53C1" w:rsidRPr="00325EF5" w:rsidRDefault="00AB53C1" w:rsidP="00A8247E">
            <w:pPr>
              <w:pStyle w:val="Tablewriting"/>
              <w:jc w:val="center"/>
              <w:rPr>
                <w:rFonts w:eastAsia="MS Mincho"/>
              </w:rPr>
            </w:pPr>
            <w:r>
              <w:rPr>
                <w:rFonts w:eastAsia="MS Mincho"/>
              </w:rPr>
              <w:t>(6.2%)</w:t>
            </w:r>
          </w:p>
        </w:tc>
        <w:tc>
          <w:tcPr>
            <w:tcW w:w="851" w:type="pct"/>
            <w:tcMar>
              <w:left w:w="28" w:type="dxa"/>
              <w:right w:w="28" w:type="dxa"/>
            </w:tcMar>
          </w:tcPr>
          <w:p w:rsidR="00AB53C1" w:rsidRDefault="00AB53C1" w:rsidP="006F73C6">
            <w:pPr>
              <w:pStyle w:val="Tablewriting"/>
              <w:jc w:val="center"/>
            </w:pPr>
            <w:r w:rsidRPr="00AB53C1">
              <w:t xml:space="preserve">1.35 </w:t>
            </w:r>
          </w:p>
          <w:p w:rsidR="00AB53C1" w:rsidRPr="00AB53C1" w:rsidRDefault="00AB53C1">
            <w:pPr>
              <w:pStyle w:val="Tablewriting"/>
              <w:jc w:val="center"/>
              <w:rPr>
                <w:rFonts w:eastAsia="MS Mincho"/>
              </w:rPr>
            </w:pPr>
            <w:r w:rsidRPr="00AB53C1">
              <w:t>(0.74, 2.47)</w:t>
            </w:r>
          </w:p>
        </w:tc>
        <w:tc>
          <w:tcPr>
            <w:tcW w:w="807" w:type="pct"/>
          </w:tcPr>
          <w:p w:rsidR="00AB53C1" w:rsidRDefault="00AB53C1">
            <w:pPr>
              <w:pStyle w:val="Tablewriting"/>
              <w:jc w:val="center"/>
            </w:pPr>
            <w:r w:rsidRPr="00AB53C1">
              <w:t xml:space="preserve">0.02 </w:t>
            </w:r>
          </w:p>
          <w:p w:rsidR="00AB53C1" w:rsidRPr="00AB53C1" w:rsidRDefault="00AB53C1">
            <w:pPr>
              <w:pStyle w:val="Tablewriting"/>
              <w:jc w:val="center"/>
              <w:rPr>
                <w:rFonts w:eastAsia="MS Mincho"/>
              </w:rPr>
            </w:pPr>
            <w:r w:rsidRPr="00AB53C1">
              <w:t>(-0.02, 0.07)</w:t>
            </w:r>
          </w:p>
        </w:tc>
      </w:tr>
    </w:tbl>
    <w:p w:rsidR="000944A0" w:rsidRDefault="000944A0" w:rsidP="00D97DF0">
      <w:pPr>
        <w:pStyle w:val="TableFooter"/>
      </w:pPr>
      <w:r>
        <w:t>Source: Chen et al. (2020)</w:t>
      </w:r>
    </w:p>
    <w:p w:rsidR="000944A0" w:rsidRDefault="000944A0" w:rsidP="00D97DF0">
      <w:pPr>
        <w:pStyle w:val="TableFooter"/>
      </w:pPr>
      <w:r>
        <w:t>Abbreviations: CI = confidence interval;</w:t>
      </w:r>
      <w:r w:rsidR="00F860FD">
        <w:t xml:space="preserve"> NRT = nicotine replacement therapy;</w:t>
      </w:r>
      <w:r>
        <w:t xml:space="preserve"> RCT = randomised controlled trial; RD = risk difference; RR = risk ratio</w:t>
      </w:r>
    </w:p>
    <w:p w:rsidR="000944A0" w:rsidRDefault="000944A0" w:rsidP="00D97DF0">
      <w:pPr>
        <w:pStyle w:val="TableFooter"/>
      </w:pPr>
      <w:r w:rsidRPr="00FD4061">
        <w:lastRenderedPageBreak/>
        <w:t>Note</w:t>
      </w:r>
      <w:r>
        <w:t>s</w:t>
      </w:r>
      <w:r w:rsidRPr="00FD4061">
        <w:t xml:space="preserve">: </w:t>
      </w:r>
      <w:r>
        <w:t xml:space="preserve">Calculated during the review. </w:t>
      </w:r>
      <w:r w:rsidRPr="00FD4061">
        <w:t>Bold indicates statistically significant difference.</w:t>
      </w:r>
      <w:r>
        <w:t xml:space="preserve"> </w:t>
      </w:r>
    </w:p>
    <w:p w:rsidR="00F8248E" w:rsidRPr="00D0573E" w:rsidRDefault="00D0573E" w:rsidP="00F8248E">
      <w:pPr>
        <w:rPr>
          <w:b/>
        </w:rPr>
      </w:pPr>
      <w:r w:rsidRPr="00D0573E">
        <w:rPr>
          <w:b/>
          <w:bCs/>
        </w:rPr>
        <w:t>Supportive evidence (Cahill et al. 2013) – combination NRT versus varenicline or bupropion</w:t>
      </w:r>
    </w:p>
    <w:p w:rsidR="00436917" w:rsidRDefault="00436917" w:rsidP="00436917">
      <w:pPr>
        <w:rPr>
          <w:u w:val="single"/>
        </w:rPr>
      </w:pPr>
      <w:r w:rsidRPr="009C79C3">
        <w:rPr>
          <w:u w:val="single"/>
        </w:rPr>
        <w:t>Efficacy</w:t>
      </w:r>
      <w:r>
        <w:rPr>
          <w:u w:val="single"/>
        </w:rPr>
        <w:t xml:space="preserve"> – combination NRT versus varenicline or bupropion</w:t>
      </w:r>
    </w:p>
    <w:p w:rsidR="0068348D" w:rsidRDefault="00995E7C" w:rsidP="00C57190">
      <w:r>
        <w:t xml:space="preserve">The results of the network meta-analysis by </w:t>
      </w:r>
      <w:r w:rsidR="00FC05D1">
        <w:t>Cahill et al. (2013) based on</w:t>
      </w:r>
      <w:r w:rsidR="00C57190">
        <w:t xml:space="preserve"> smoking cessation rates </w:t>
      </w:r>
      <w:r w:rsidR="00B61C60">
        <w:t>for</w:t>
      </w:r>
      <w:r w:rsidR="00C57190">
        <w:t xml:space="preserve"> at least six months follow-up is presented </w:t>
      </w:r>
      <w:r w:rsidR="00D23F96">
        <w:t xml:space="preserve">using a forest plot </w:t>
      </w:r>
      <w:r w:rsidR="00C57190">
        <w:t>in</w:t>
      </w:r>
      <w:r w:rsidR="00D23F96">
        <w:t xml:space="preserve"> </w:t>
      </w:r>
      <w:r w:rsidR="003C4A1C">
        <w:t xml:space="preserve">Figure </w:t>
      </w:r>
      <w:r w:rsidR="003C4A1C">
        <w:rPr>
          <w:noProof/>
        </w:rPr>
        <w:t>18</w:t>
      </w:r>
      <w:r w:rsidR="00C57190">
        <w:t xml:space="preserve">. </w:t>
      </w:r>
      <w:r w:rsidR="009F16A2">
        <w:t>C</w:t>
      </w:r>
      <w:r w:rsidR="00C45E39">
        <w:t>ombination NRT, NRT monotherapy</w:t>
      </w:r>
      <w:r w:rsidR="00212DCB">
        <w:t xml:space="preserve">, varenicline and bupropion </w:t>
      </w:r>
      <w:r w:rsidR="00F23227">
        <w:t>significantly increased the odds of quitting</w:t>
      </w:r>
      <w:r w:rsidR="009F16A2">
        <w:t xml:space="preserve"> compared with placebo</w:t>
      </w:r>
      <w:r w:rsidR="00F23227">
        <w:t>.</w:t>
      </w:r>
      <w:r w:rsidR="00002B29">
        <w:t xml:space="preserve"> </w:t>
      </w:r>
    </w:p>
    <w:p w:rsidR="0068348D" w:rsidRDefault="0068348D" w:rsidP="00C57190">
      <w:r>
        <w:t>For the comparison of combination NRT versus varenicline, t</w:t>
      </w:r>
      <w:r w:rsidR="00C10815">
        <w:t xml:space="preserve">he results of the network meta-analysis demonstrated no statistically significant difference between </w:t>
      </w:r>
      <w:r>
        <w:t>the two treatment arms</w:t>
      </w:r>
      <w:r w:rsidR="00DB16DC">
        <w:t>, although the results numerically favoured varenicline</w:t>
      </w:r>
      <w:r w:rsidR="00427137">
        <w:t xml:space="preserve"> (</w:t>
      </w:r>
      <w:r w:rsidR="00427137" w:rsidRPr="004E4DF3">
        <w:t>OR: 1.</w:t>
      </w:r>
      <w:r w:rsidR="00B529BF" w:rsidRPr="004E4DF3">
        <w:t>06</w:t>
      </w:r>
      <w:r w:rsidR="00427137" w:rsidRPr="004E4DF3">
        <w:t xml:space="preserve">; 95% CI: </w:t>
      </w:r>
      <w:r w:rsidR="00BF1334" w:rsidRPr="004E4DF3">
        <w:t>0.75</w:t>
      </w:r>
      <w:r w:rsidR="00427137" w:rsidRPr="004E4DF3">
        <w:t>, 1.</w:t>
      </w:r>
      <w:r w:rsidR="00BF1334" w:rsidRPr="004E4DF3">
        <w:t>48</w:t>
      </w:r>
      <w:r w:rsidR="00427137">
        <w:t>)</w:t>
      </w:r>
      <w:r w:rsidR="00DB16DC">
        <w:t>.</w:t>
      </w:r>
      <w:r>
        <w:t xml:space="preserve"> As previously noted, the primary evidence by Chen et al. (2020, head-to-head RCT) demonstrated</w:t>
      </w:r>
      <w:r w:rsidR="00DB16DC">
        <w:t xml:space="preserve"> </w:t>
      </w:r>
      <w:r w:rsidRPr="001270AE">
        <w:t>a statistically significant difference</w:t>
      </w:r>
      <w:r>
        <w:t xml:space="preserve"> in point prevalence abstinence, in favour of varenicline.</w:t>
      </w:r>
    </w:p>
    <w:p w:rsidR="00C57190" w:rsidRDefault="0068348D" w:rsidP="00C57190">
      <w:r>
        <w:t>For the comparison of combination NRT versus bupropion</w:t>
      </w:r>
      <w:r w:rsidR="008E6D18">
        <w:t>, the results</w:t>
      </w:r>
      <w:r w:rsidR="00FA2603">
        <w:t xml:space="preserve"> </w:t>
      </w:r>
      <w:r w:rsidR="00043623">
        <w:t>demonstrated a statistically significant difference between the two treatment arms, in favour of combination NRT (</w:t>
      </w:r>
      <w:r w:rsidR="00043623" w:rsidRPr="004E4DF3">
        <w:t xml:space="preserve">OR: 0.68; 95% CI: 0.5, </w:t>
      </w:r>
      <w:r w:rsidR="004F14D2" w:rsidRPr="004E4DF3">
        <w:t>0.91</w:t>
      </w:r>
      <w:r w:rsidR="00043623">
        <w:t>).</w:t>
      </w:r>
    </w:p>
    <w:p w:rsidR="00494F7D" w:rsidRDefault="00EB2417" w:rsidP="00494F7D">
      <w:pPr>
        <w:keepNext/>
      </w:pPr>
      <w:r>
        <w:rPr>
          <w:noProof/>
        </w:rPr>
        <w:drawing>
          <wp:inline distT="0" distB="0" distL="0" distR="0" wp14:anchorId="0E366B40" wp14:editId="04A36D2A">
            <wp:extent cx="5731510" cy="3867150"/>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37">
                      <a:extLst>
                        <a:ext uri="{28A0092B-C50C-407E-A947-70E740481C1C}">
                          <a14:useLocalDpi xmlns:a14="http://schemas.microsoft.com/office/drawing/2010/main" val="0"/>
                        </a:ext>
                      </a:extLst>
                    </a:blip>
                    <a:stretch>
                      <a:fillRect/>
                    </a:stretch>
                  </pic:blipFill>
                  <pic:spPr>
                    <a:xfrm>
                      <a:off x="0" y="0"/>
                      <a:ext cx="5731510" cy="3867150"/>
                    </a:xfrm>
                    <a:prstGeom prst="rect">
                      <a:avLst/>
                    </a:prstGeom>
                  </pic:spPr>
                </pic:pic>
              </a:graphicData>
            </a:graphic>
          </wp:inline>
        </w:drawing>
      </w:r>
    </w:p>
    <w:p w:rsidR="003C7A9A" w:rsidRDefault="00494F7D" w:rsidP="00494F7D">
      <w:pPr>
        <w:pStyle w:val="Caption"/>
      </w:pPr>
      <w:bookmarkStart w:id="153" w:name="_Ref55315815"/>
      <w:r>
        <w:t xml:space="preserve">Figure </w:t>
      </w:r>
      <w:r w:rsidR="003C4A1C">
        <w:rPr>
          <w:noProof/>
        </w:rPr>
        <w:t>18</w:t>
      </w:r>
      <w:bookmarkEnd w:id="153"/>
      <w:r>
        <w:t>: Network meta-analysis of first-line pharmacotherapies versus placebo and versus each other, with NRT</w:t>
      </w:r>
    </w:p>
    <w:p w:rsidR="000F1F3B" w:rsidRDefault="00640968" w:rsidP="000F1F3B">
      <w:pPr>
        <w:pStyle w:val="FigureFooter"/>
      </w:pPr>
      <w:r>
        <w:t>Source: Cahill et al. (201</w:t>
      </w:r>
      <w:r w:rsidR="00A11845">
        <w:t>3</w:t>
      </w:r>
      <w:r>
        <w:t>)</w:t>
      </w:r>
    </w:p>
    <w:p w:rsidR="00557792" w:rsidRPr="000F1F3B" w:rsidRDefault="00557792" w:rsidP="000F1F3B">
      <w:pPr>
        <w:pStyle w:val="FigureFooter"/>
      </w:pPr>
      <w:r>
        <w:t xml:space="preserve">Note: It was not stated in Cahill et al. (2013) the type of </w:t>
      </w:r>
      <w:r w:rsidR="005A2BFE">
        <w:t>formulation</w:t>
      </w:r>
      <w:r>
        <w:t xml:space="preserve"> used in the combination NRT treatment arm. </w:t>
      </w:r>
      <w:r w:rsidR="007575F9">
        <w:t>Based on one</w:t>
      </w:r>
      <w:r w:rsidR="00480D58">
        <w:t xml:space="preserve"> of the included reviews (NRT 2012</w:t>
      </w:r>
      <w:r w:rsidR="000D7708">
        <w:t xml:space="preserve">, </w:t>
      </w:r>
      <w:r w:rsidR="00760F69">
        <w:t xml:space="preserve">also known as </w:t>
      </w:r>
      <w:r w:rsidR="000D7708">
        <w:t>Stead 2008</w:t>
      </w:r>
      <w:r w:rsidR="00480D58">
        <w:t>) in Cahill et al. (2013)</w:t>
      </w:r>
      <w:r w:rsidR="00C94EA9">
        <w:t>,</w:t>
      </w:r>
      <w:r w:rsidR="00480D58">
        <w:t xml:space="preserve"> </w:t>
      </w:r>
      <w:r w:rsidR="00C94EA9">
        <w:t>6 RCTs</w:t>
      </w:r>
      <w:r w:rsidR="00C94EA9" w:rsidRPr="00C94EA9">
        <w:t xml:space="preserve">  </w:t>
      </w:r>
      <w:r w:rsidR="00C94EA9" w:rsidRPr="00C94EA9">
        <w:lastRenderedPageBreak/>
        <w:t xml:space="preserve">compared combinations of two forms of nicotine therapy with only one form; patch with gum to </w:t>
      </w:r>
      <w:r w:rsidR="00573F59">
        <w:t>patches</w:t>
      </w:r>
      <w:r w:rsidR="00C94EA9" w:rsidRPr="00C94EA9">
        <w:t xml:space="preserve"> alone (Kornitzer 1995); patch with gum to gum alone (Puska 1995); patch with nasal spray to </w:t>
      </w:r>
      <w:r w:rsidR="00573F59">
        <w:t>patches</w:t>
      </w:r>
      <w:r w:rsidR="00C94EA9" w:rsidRPr="00C94EA9">
        <w:t xml:space="preserve"> alone (Blondal 1999); patch with inhaler to inhaler alone (Bohadana 2000), patch with inhaler to either one alone (Tonnesen 2000) and patch with nasal spray to either one alone (Croghan 2003). In addition to these last two trials allowing a direct comparison between two single types, Lerman </w:t>
      </w:r>
      <w:r w:rsidR="001D1654">
        <w:t>(</w:t>
      </w:r>
      <w:r w:rsidR="00C94EA9" w:rsidRPr="00C94EA9">
        <w:t>2004</w:t>
      </w:r>
      <w:r w:rsidR="001D1654">
        <w:t>)</w:t>
      </w:r>
      <w:r w:rsidR="00C94EA9" w:rsidRPr="00C94EA9">
        <w:t xml:space="preserve"> compared </w:t>
      </w:r>
      <w:r w:rsidR="00573F59">
        <w:t>patches</w:t>
      </w:r>
      <w:r w:rsidR="00C94EA9" w:rsidRPr="00C94EA9">
        <w:t xml:space="preserve"> to nasal spray. A factorial trial compared nicotine and bupropion (Jorenby 1999)</w:t>
      </w:r>
      <w:r w:rsidR="00480D58">
        <w:t>.</w:t>
      </w:r>
    </w:p>
    <w:p w:rsidR="00952CCE" w:rsidRPr="00952CCE" w:rsidRDefault="00952CCE" w:rsidP="00952CCE">
      <w:pPr>
        <w:rPr>
          <w:u w:val="single"/>
        </w:rPr>
      </w:pPr>
      <w:r w:rsidRPr="00952CCE">
        <w:rPr>
          <w:u w:val="single"/>
        </w:rPr>
        <w:t>Safety</w:t>
      </w:r>
      <w:r w:rsidR="00F8248E">
        <w:rPr>
          <w:u w:val="single"/>
        </w:rPr>
        <w:t xml:space="preserve"> – combination NRT versus varenicline or bupropion</w:t>
      </w:r>
    </w:p>
    <w:p w:rsidR="00EB2417" w:rsidRDefault="00952CCE" w:rsidP="00FB17CD">
      <w:r>
        <w:t xml:space="preserve">The incidence of adverse events comparing </w:t>
      </w:r>
      <w:r w:rsidR="006212AC">
        <w:t>combination</w:t>
      </w:r>
      <w:r>
        <w:t xml:space="preserve"> NRT with </w:t>
      </w:r>
      <w:r w:rsidR="006212AC">
        <w:t xml:space="preserve">varenicline </w:t>
      </w:r>
      <w:r w:rsidR="00B45482">
        <w:t>or bupropion</w:t>
      </w:r>
      <w:r>
        <w:t xml:space="preserve"> was not synthesised quantitatively by </w:t>
      </w:r>
      <w:r w:rsidR="00FE0C71">
        <w:t>Cahill</w:t>
      </w:r>
      <w:r>
        <w:t xml:space="preserve"> et al. (201</w:t>
      </w:r>
      <w:r w:rsidR="00FE0C71">
        <w:t>3</w:t>
      </w:r>
      <w:r>
        <w:t xml:space="preserve">). </w:t>
      </w:r>
      <w:r w:rsidR="00BD19BF">
        <w:t xml:space="preserve">The authors of the Cochrane </w:t>
      </w:r>
      <w:r w:rsidR="00497485">
        <w:t>R</w:t>
      </w:r>
      <w:r w:rsidR="00BD19BF">
        <w:t xml:space="preserve">eview assessed adverse events </w:t>
      </w:r>
      <w:r w:rsidR="00283A81">
        <w:t xml:space="preserve">of the </w:t>
      </w:r>
      <w:r w:rsidR="00B31170">
        <w:t>interventions</w:t>
      </w:r>
      <w:r w:rsidR="00BD19BF">
        <w:t xml:space="preserve"> </w:t>
      </w:r>
      <w:r w:rsidR="00283A81">
        <w:t>based on the individual trials</w:t>
      </w:r>
      <w:r w:rsidR="00B31170">
        <w:t xml:space="preserve"> instead of a network meta-analysis.</w:t>
      </w:r>
    </w:p>
    <w:p w:rsidR="00983B47" w:rsidRDefault="00566315" w:rsidP="00D02475">
      <w:pPr>
        <w:pStyle w:val="Heading5"/>
        <w:numPr>
          <w:ilvl w:val="0"/>
          <w:numId w:val="0"/>
        </w:numPr>
      </w:pPr>
      <w:r>
        <w:t>C</w:t>
      </w:r>
      <w:r w:rsidR="00983B47">
        <w:t>ombination</w:t>
      </w:r>
      <w:r>
        <w:t xml:space="preserve"> varenicline</w:t>
      </w:r>
    </w:p>
    <w:p w:rsidR="00BE7EF0" w:rsidRDefault="00BE7EF0" w:rsidP="00BE7EF0">
      <w:r>
        <w:t>Varenicline in combination with NRT or bupropion ha</w:t>
      </w:r>
      <w:r w:rsidR="0018773E">
        <w:t>s</w:t>
      </w:r>
      <w:r>
        <w:t xml:space="preserve"> not been previously considered by the PBAC. </w:t>
      </w:r>
      <w:r w:rsidRPr="00BE7EF0">
        <w:t xml:space="preserve">The PBAC </w:t>
      </w:r>
      <w:r>
        <w:t xml:space="preserve">previously </w:t>
      </w:r>
      <w:r w:rsidRPr="00BE7EF0">
        <w:t>considered that</w:t>
      </w:r>
      <w:r>
        <w:t xml:space="preserve"> in clinical practice,</w:t>
      </w:r>
      <w:r w:rsidRPr="00BE7EF0">
        <w:t xml:space="preserve"> nicotine </w:t>
      </w:r>
      <w:r w:rsidR="00573F59">
        <w:t>lozenges</w:t>
      </w:r>
      <w:r w:rsidRPr="00BE7EF0">
        <w:t xml:space="preserve"> or gum could be used in combination with varenicline (NRT PSD, July 2017 PBAC meeting).</w:t>
      </w:r>
    </w:p>
    <w:p w:rsidR="00BE7EF0" w:rsidRPr="00BE7EF0" w:rsidRDefault="00BE7EF0" w:rsidP="00BE7EF0">
      <w:pPr>
        <w:rPr>
          <w:b/>
          <w:bCs/>
        </w:rPr>
      </w:pPr>
      <w:r w:rsidRPr="00BE7EF0">
        <w:rPr>
          <w:b/>
          <w:bCs/>
        </w:rPr>
        <w:t>Varenicline in combination with NRT versus varenicline</w:t>
      </w:r>
      <w:r w:rsidR="000E157B">
        <w:rPr>
          <w:b/>
          <w:bCs/>
        </w:rPr>
        <w:t xml:space="preserve"> alone</w:t>
      </w:r>
    </w:p>
    <w:p w:rsidR="00BE7EF0" w:rsidRDefault="0013314B" w:rsidP="00BE7EF0">
      <w:r w:rsidRPr="0013314B">
        <w:t xml:space="preserve">A summary of the citation details for the studies comparing </w:t>
      </w:r>
      <w:r>
        <w:t>varenicline plus</w:t>
      </w:r>
      <w:r w:rsidRPr="0013314B">
        <w:t xml:space="preserve"> NRT with </w:t>
      </w:r>
      <w:r>
        <w:t>varenicline alone</w:t>
      </w:r>
      <w:r w:rsidRPr="0013314B">
        <w:t xml:space="preserve"> is presented in </w:t>
      </w:r>
      <w:r w:rsidR="003C4A1C">
        <w:t xml:space="preserve">Table </w:t>
      </w:r>
      <w:r w:rsidR="003C4A1C">
        <w:rPr>
          <w:noProof/>
        </w:rPr>
        <w:t>66</w:t>
      </w:r>
      <w:r w:rsidRPr="0013314B">
        <w:t xml:space="preserve">. A recently conducted </w:t>
      </w:r>
      <w:r>
        <w:t>systematic review and meta-analysis</w:t>
      </w:r>
      <w:r w:rsidRPr="0013314B">
        <w:t xml:space="preserve"> by </w:t>
      </w:r>
      <w:r>
        <w:t>Chang</w:t>
      </w:r>
      <w:r w:rsidRPr="0013314B">
        <w:t xml:space="preserve"> et al. (201</w:t>
      </w:r>
      <w:r>
        <w:t>5</w:t>
      </w:r>
      <w:r w:rsidRPr="0013314B">
        <w:t xml:space="preserve">) was identified in the systematic literature review that compared </w:t>
      </w:r>
      <w:r>
        <w:t>varenicline plus</w:t>
      </w:r>
      <w:r w:rsidRPr="0013314B">
        <w:t xml:space="preserve"> NRT with </w:t>
      </w:r>
      <w:r>
        <w:t xml:space="preserve">varenicline plus </w:t>
      </w:r>
      <w:r w:rsidRPr="0013314B">
        <w:t>placebo</w:t>
      </w:r>
      <w:r>
        <w:t xml:space="preserve"> (i.e. varenicline alone)</w:t>
      </w:r>
      <w:r w:rsidRPr="0013314B">
        <w:t xml:space="preserve"> and was included in this report. </w:t>
      </w:r>
      <w:r w:rsidR="009F204F" w:rsidRPr="00457F7E">
        <w:t xml:space="preserve">No new studies comparing </w:t>
      </w:r>
      <w:r w:rsidR="009F204F">
        <w:t>varenicline plus</w:t>
      </w:r>
      <w:r w:rsidR="009F204F" w:rsidRPr="0013314B">
        <w:t xml:space="preserve"> NRT with </w:t>
      </w:r>
      <w:r w:rsidR="009F204F">
        <w:t>varenicline alone</w:t>
      </w:r>
      <w:r w:rsidR="009F204F" w:rsidRPr="00457F7E">
        <w:t xml:space="preserve"> were identified in the supplemental literature search.</w:t>
      </w:r>
    </w:p>
    <w:p w:rsidR="0013314B" w:rsidRDefault="0013314B" w:rsidP="0013314B">
      <w:pPr>
        <w:pStyle w:val="Caption"/>
        <w:keepNext/>
      </w:pPr>
      <w:bookmarkStart w:id="154" w:name="_Ref55464643"/>
      <w:r>
        <w:t xml:space="preserve">Table </w:t>
      </w:r>
      <w:r w:rsidR="003C4A1C">
        <w:rPr>
          <w:noProof/>
        </w:rPr>
        <w:t>66</w:t>
      </w:r>
      <w:bookmarkEnd w:id="154"/>
      <w:r>
        <w:t xml:space="preserve">: </w:t>
      </w:r>
      <w:r w:rsidRPr="006D633F">
        <w:t xml:space="preserve">List of studies comparing </w:t>
      </w:r>
      <w:r>
        <w:t xml:space="preserve">varenicline </w:t>
      </w:r>
      <w:r w:rsidR="00FB7B83">
        <w:t>plus</w:t>
      </w:r>
      <w:r>
        <w:t xml:space="preserve"> </w:t>
      </w:r>
      <w:r w:rsidRPr="006D633F">
        <w:t xml:space="preserve">NRT with </w:t>
      </w:r>
      <w:r>
        <w:t>varenicline</w:t>
      </w:r>
      <w:r w:rsidR="00FB7B83">
        <w:t xml:space="preserve"> alone</w:t>
      </w:r>
    </w:p>
    <w:tbl>
      <w:tblPr>
        <w:tblStyle w:val="TableGrid"/>
        <w:tblW w:w="5000" w:type="pct"/>
        <w:tblLook w:val="04A0" w:firstRow="1" w:lastRow="0" w:firstColumn="1" w:lastColumn="0" w:noHBand="0" w:noVBand="1"/>
        <w:tblCaption w:val="Efficacy results of adalimumab trials (PASI 75 and DLQI)"/>
      </w:tblPr>
      <w:tblGrid>
        <w:gridCol w:w="1004"/>
        <w:gridCol w:w="8012"/>
      </w:tblGrid>
      <w:tr w:rsidR="0013314B" w:rsidRPr="00061F78" w:rsidTr="00B60FDA">
        <w:trPr>
          <w:cantSplit/>
          <w:trHeight w:val="329"/>
          <w:tblHeader/>
        </w:trPr>
        <w:tc>
          <w:tcPr>
            <w:tcW w:w="557" w:type="pct"/>
            <w:shd w:val="clear" w:color="auto" w:fill="BFBFBF" w:themeFill="background1" w:themeFillShade="BF"/>
            <w:tcMar>
              <w:left w:w="28" w:type="dxa"/>
              <w:right w:w="28" w:type="dxa"/>
            </w:tcMar>
          </w:tcPr>
          <w:p w:rsidR="0013314B" w:rsidRPr="00061F78" w:rsidRDefault="0013314B" w:rsidP="00B60FDA">
            <w:pPr>
              <w:pStyle w:val="Tableheading"/>
              <w:keepNext/>
              <w:rPr>
                <w:rFonts w:eastAsia="MS Mincho"/>
              </w:rPr>
            </w:pPr>
            <w:r>
              <w:rPr>
                <w:rFonts w:eastAsia="MS Mincho"/>
              </w:rPr>
              <w:t>Study</w:t>
            </w:r>
          </w:p>
        </w:tc>
        <w:tc>
          <w:tcPr>
            <w:tcW w:w="4443" w:type="pct"/>
            <w:shd w:val="clear" w:color="auto" w:fill="BFBFBF" w:themeFill="background1" w:themeFillShade="BF"/>
          </w:tcPr>
          <w:p w:rsidR="0013314B" w:rsidRDefault="0013314B" w:rsidP="00B60FDA">
            <w:pPr>
              <w:pStyle w:val="Tableheading"/>
              <w:keepNext/>
              <w:jc w:val="center"/>
              <w:rPr>
                <w:rFonts w:eastAsia="MS Mincho"/>
              </w:rPr>
            </w:pPr>
            <w:r>
              <w:rPr>
                <w:rFonts w:eastAsia="MS Mincho"/>
              </w:rPr>
              <w:t>Citation</w:t>
            </w:r>
          </w:p>
        </w:tc>
      </w:tr>
      <w:tr w:rsidR="0013314B" w:rsidRPr="00061F78" w:rsidTr="00B60FDA">
        <w:trPr>
          <w:cantSplit/>
          <w:trHeight w:val="164"/>
        </w:trPr>
        <w:tc>
          <w:tcPr>
            <w:tcW w:w="557" w:type="pct"/>
            <w:tcMar>
              <w:left w:w="28" w:type="dxa"/>
              <w:right w:w="28" w:type="dxa"/>
            </w:tcMar>
          </w:tcPr>
          <w:p w:rsidR="0013314B" w:rsidRDefault="0013314B" w:rsidP="00B60FDA">
            <w:pPr>
              <w:pStyle w:val="Tablewriting"/>
              <w:keepNext/>
              <w:rPr>
                <w:rFonts w:eastAsia="MS Mincho"/>
              </w:rPr>
            </w:pPr>
            <w:r>
              <w:rPr>
                <w:rFonts w:eastAsia="MS Mincho"/>
              </w:rPr>
              <w:t>Chang</w:t>
            </w:r>
          </w:p>
          <w:p w:rsidR="0013314B" w:rsidRDefault="0013314B" w:rsidP="00B60FDA">
            <w:pPr>
              <w:pStyle w:val="Tablewriting"/>
              <w:keepNext/>
              <w:rPr>
                <w:rFonts w:eastAsia="MS Mincho"/>
              </w:rPr>
            </w:pPr>
            <w:r>
              <w:rPr>
                <w:rFonts w:eastAsia="MS Mincho"/>
              </w:rPr>
              <w:t>(2015)</w:t>
            </w:r>
            <w:r w:rsidR="0039468B" w:rsidRPr="007A53BC">
              <w:rPr>
                <w:rFonts w:eastAsia="MS Mincho"/>
                <w:noProof/>
                <w:vertAlign w:val="superscript"/>
              </w:rPr>
              <w:t>49</w:t>
            </w:r>
          </w:p>
        </w:tc>
        <w:tc>
          <w:tcPr>
            <w:tcW w:w="4443" w:type="pct"/>
          </w:tcPr>
          <w:p w:rsidR="0013314B" w:rsidRPr="008E38BA" w:rsidRDefault="0013314B" w:rsidP="00B60FDA">
            <w:pPr>
              <w:pStyle w:val="Tablewriting"/>
              <w:keepNext/>
              <w:rPr>
                <w:rFonts w:eastAsia="MS Mincho"/>
              </w:rPr>
            </w:pPr>
            <w:r w:rsidRPr="0013314B">
              <w:rPr>
                <w:rFonts w:eastAsia="MS Mincho"/>
              </w:rPr>
              <w:t>Chang PH, Chiang CH, Ho WC, Wu PZ, Tsai JS, Guo FR. Combination therapy of varenicline with nicotine replacement therapy is better than varenicline alone: a systematic review and meta-analysis of randomized controlled trials. BMC Public Health. 2015 Jul 22;15:689.</w:t>
            </w:r>
          </w:p>
        </w:tc>
      </w:tr>
    </w:tbl>
    <w:p w:rsidR="0013314B" w:rsidRDefault="0013314B" w:rsidP="00BE7EF0"/>
    <w:p w:rsidR="0013314B" w:rsidRDefault="0013314B" w:rsidP="00BE7EF0">
      <w:r w:rsidRPr="0013314B">
        <w:t xml:space="preserve">A summary of the characteristics of the studies comparing </w:t>
      </w:r>
      <w:r>
        <w:t>varenicline plus NRT with varenicline alone</w:t>
      </w:r>
      <w:r w:rsidRPr="0013314B">
        <w:t xml:space="preserve"> is presented in </w:t>
      </w:r>
      <w:r w:rsidR="003C4A1C">
        <w:t xml:space="preserve">Table </w:t>
      </w:r>
      <w:r w:rsidR="003C4A1C">
        <w:rPr>
          <w:noProof/>
        </w:rPr>
        <w:t>67</w:t>
      </w:r>
      <w:r w:rsidRPr="0013314B">
        <w:t xml:space="preserve">. A total of </w:t>
      </w:r>
      <w:r>
        <w:t xml:space="preserve">three </w:t>
      </w:r>
      <w:r w:rsidRPr="0013314B">
        <w:t xml:space="preserve">RCTs comparing </w:t>
      </w:r>
      <w:r>
        <w:t>varenicline plus</w:t>
      </w:r>
      <w:r w:rsidRPr="0013314B">
        <w:t xml:space="preserve"> NRT</w:t>
      </w:r>
      <w:r w:rsidR="00FB7B83">
        <w:t xml:space="preserve"> patch</w:t>
      </w:r>
      <w:r w:rsidRPr="0013314B">
        <w:t xml:space="preserve"> with </w:t>
      </w:r>
      <w:r>
        <w:t xml:space="preserve">varenicline plus </w:t>
      </w:r>
      <w:r w:rsidRPr="0013314B">
        <w:t>placebo</w:t>
      </w:r>
      <w:r>
        <w:t xml:space="preserve"> </w:t>
      </w:r>
      <w:r w:rsidR="00FB7B83">
        <w:t xml:space="preserve">patch </w:t>
      </w:r>
      <w:r>
        <w:t>(i.e. varenicline alone)</w:t>
      </w:r>
      <w:r w:rsidRPr="0013314B">
        <w:t xml:space="preserve"> were identified by </w:t>
      </w:r>
      <w:r>
        <w:t>Chang</w:t>
      </w:r>
      <w:r w:rsidRPr="0013314B">
        <w:t xml:space="preserve"> et al. (20</w:t>
      </w:r>
      <w:r>
        <w:t>15</w:t>
      </w:r>
      <w:r w:rsidRPr="0013314B">
        <w:t xml:space="preserve">). The characteristics of the individual studies are presented in </w:t>
      </w:r>
      <w:r w:rsidRPr="00C44BB6">
        <w:t>Appendix</w:t>
      </w:r>
      <w:r w:rsidRPr="0013314B">
        <w:t xml:space="preserve"> </w:t>
      </w:r>
      <w:r w:rsidR="003C4A1C">
        <w:t xml:space="preserve">Table </w:t>
      </w:r>
      <w:r w:rsidR="003C4A1C">
        <w:rPr>
          <w:noProof/>
        </w:rPr>
        <w:t>157</w:t>
      </w:r>
      <w:r w:rsidRPr="0013314B">
        <w:t>.</w:t>
      </w:r>
    </w:p>
    <w:p w:rsidR="00FB7B83" w:rsidRDefault="00FB7B83" w:rsidP="008C50C7">
      <w:pPr>
        <w:pStyle w:val="Caption"/>
        <w:keepNext/>
      </w:pPr>
      <w:bookmarkStart w:id="155" w:name="_Ref58418825"/>
      <w:r>
        <w:t xml:space="preserve">Table </w:t>
      </w:r>
      <w:r w:rsidR="003C4A1C">
        <w:rPr>
          <w:noProof/>
        </w:rPr>
        <w:t>67</w:t>
      </w:r>
      <w:bookmarkEnd w:id="155"/>
      <w:r>
        <w:t xml:space="preserve">: </w:t>
      </w:r>
      <w:r w:rsidRPr="00A5384C">
        <w:t xml:space="preserve">Characteristics of the studies comparing </w:t>
      </w:r>
      <w:r>
        <w:t>varenicline plus</w:t>
      </w:r>
      <w:r w:rsidRPr="00A5384C">
        <w:t xml:space="preserve"> NRT with </w:t>
      </w:r>
      <w:r>
        <w:t>varenicline alone</w:t>
      </w:r>
    </w:p>
    <w:tbl>
      <w:tblPr>
        <w:tblStyle w:val="TableGrid"/>
        <w:tblW w:w="5000" w:type="pct"/>
        <w:tblLook w:val="04A0" w:firstRow="1" w:lastRow="0" w:firstColumn="1" w:lastColumn="0" w:noHBand="0" w:noVBand="1"/>
        <w:tblCaption w:val="Efficacy results of adalimumab trials (PASI 75 and DLQI)"/>
      </w:tblPr>
      <w:tblGrid>
        <w:gridCol w:w="730"/>
        <w:gridCol w:w="985"/>
        <w:gridCol w:w="1408"/>
        <w:gridCol w:w="2393"/>
        <w:gridCol w:w="1549"/>
        <w:gridCol w:w="1951"/>
      </w:tblGrid>
      <w:tr w:rsidR="005B504B" w:rsidRPr="00061F78" w:rsidTr="005B504B">
        <w:trPr>
          <w:trHeight w:val="299"/>
          <w:tblHeader/>
        </w:trPr>
        <w:tc>
          <w:tcPr>
            <w:tcW w:w="405" w:type="pct"/>
            <w:shd w:val="clear" w:color="auto" w:fill="BFBFBF" w:themeFill="background1" w:themeFillShade="BF"/>
            <w:tcMar>
              <w:left w:w="28" w:type="dxa"/>
              <w:right w:w="28" w:type="dxa"/>
            </w:tcMar>
          </w:tcPr>
          <w:p w:rsidR="0013314B" w:rsidRPr="00061F78" w:rsidRDefault="0013314B" w:rsidP="005C1814">
            <w:pPr>
              <w:pStyle w:val="Tableheading"/>
              <w:rPr>
                <w:rFonts w:eastAsia="MS Mincho"/>
              </w:rPr>
            </w:pPr>
            <w:r>
              <w:rPr>
                <w:rFonts w:eastAsia="MS Mincho"/>
              </w:rPr>
              <w:t>Study</w:t>
            </w:r>
          </w:p>
        </w:tc>
        <w:tc>
          <w:tcPr>
            <w:tcW w:w="546" w:type="pct"/>
            <w:shd w:val="clear" w:color="auto" w:fill="BFBFBF" w:themeFill="background1" w:themeFillShade="BF"/>
          </w:tcPr>
          <w:p w:rsidR="0013314B" w:rsidRDefault="0013314B" w:rsidP="005C1814">
            <w:pPr>
              <w:pStyle w:val="Tableheading"/>
              <w:jc w:val="center"/>
              <w:rPr>
                <w:rFonts w:eastAsia="MS Mincho"/>
              </w:rPr>
            </w:pPr>
            <w:r>
              <w:rPr>
                <w:rFonts w:eastAsia="MS Mincho"/>
              </w:rPr>
              <w:t>Study type</w:t>
            </w:r>
          </w:p>
        </w:tc>
        <w:tc>
          <w:tcPr>
            <w:tcW w:w="781" w:type="pct"/>
            <w:shd w:val="clear" w:color="auto" w:fill="BFBFBF" w:themeFill="background1" w:themeFillShade="BF"/>
            <w:tcMar>
              <w:left w:w="28" w:type="dxa"/>
              <w:right w:w="28" w:type="dxa"/>
            </w:tcMar>
          </w:tcPr>
          <w:p w:rsidR="0013314B" w:rsidRPr="00AE21E9" w:rsidRDefault="0013314B" w:rsidP="005C1814">
            <w:pPr>
              <w:pStyle w:val="Tableheading"/>
              <w:jc w:val="center"/>
              <w:rPr>
                <w:rFonts w:eastAsia="MS Mincho"/>
                <w:vertAlign w:val="superscript"/>
              </w:rPr>
            </w:pPr>
            <w:r>
              <w:rPr>
                <w:rFonts w:eastAsia="MS Mincho"/>
              </w:rPr>
              <w:t>N</w:t>
            </w:r>
            <w:r>
              <w:rPr>
                <w:rFonts w:eastAsia="MS Mincho"/>
                <w:vertAlign w:val="superscript"/>
              </w:rPr>
              <w:t>1</w:t>
            </w:r>
          </w:p>
        </w:tc>
        <w:tc>
          <w:tcPr>
            <w:tcW w:w="1327" w:type="pct"/>
            <w:shd w:val="clear" w:color="auto" w:fill="BFBFBF" w:themeFill="background1" w:themeFillShade="BF"/>
            <w:tcMar>
              <w:left w:w="28" w:type="dxa"/>
              <w:right w:w="28" w:type="dxa"/>
            </w:tcMar>
          </w:tcPr>
          <w:p w:rsidR="0013314B" w:rsidRPr="00061F78" w:rsidRDefault="0013314B" w:rsidP="005C1814">
            <w:pPr>
              <w:pStyle w:val="Tableheading"/>
              <w:jc w:val="center"/>
              <w:rPr>
                <w:rFonts w:eastAsia="MS Mincho"/>
              </w:rPr>
            </w:pPr>
            <w:r w:rsidRPr="00061F78">
              <w:rPr>
                <w:rFonts w:eastAsia="MS Mincho"/>
              </w:rPr>
              <w:t>P</w:t>
            </w:r>
            <w:r>
              <w:rPr>
                <w:rFonts w:eastAsia="MS Mincho"/>
              </w:rPr>
              <w:t>opulation</w:t>
            </w:r>
          </w:p>
        </w:tc>
        <w:tc>
          <w:tcPr>
            <w:tcW w:w="859" w:type="pct"/>
            <w:shd w:val="clear" w:color="auto" w:fill="BFBFBF" w:themeFill="background1" w:themeFillShade="BF"/>
          </w:tcPr>
          <w:p w:rsidR="0013314B" w:rsidRDefault="0013314B" w:rsidP="005C1814">
            <w:pPr>
              <w:pStyle w:val="Tableheading"/>
              <w:jc w:val="center"/>
              <w:rPr>
                <w:rFonts w:eastAsia="MS Mincho"/>
              </w:rPr>
            </w:pPr>
            <w:r>
              <w:rPr>
                <w:rFonts w:eastAsia="MS Mincho"/>
              </w:rPr>
              <w:t>Intervention and comparator</w:t>
            </w:r>
          </w:p>
        </w:tc>
        <w:tc>
          <w:tcPr>
            <w:tcW w:w="1082" w:type="pct"/>
            <w:shd w:val="clear" w:color="auto" w:fill="BFBFBF" w:themeFill="background1" w:themeFillShade="BF"/>
            <w:tcMar>
              <w:left w:w="28" w:type="dxa"/>
              <w:right w:w="28" w:type="dxa"/>
            </w:tcMar>
          </w:tcPr>
          <w:p w:rsidR="0013314B" w:rsidRPr="00061F78" w:rsidRDefault="0013314B" w:rsidP="005C1814">
            <w:pPr>
              <w:pStyle w:val="Tableheading"/>
              <w:jc w:val="center"/>
              <w:rPr>
                <w:rFonts w:eastAsia="MS Mincho"/>
              </w:rPr>
            </w:pPr>
            <w:r>
              <w:rPr>
                <w:rFonts w:eastAsia="MS Mincho"/>
              </w:rPr>
              <w:t>Outcomes</w:t>
            </w:r>
          </w:p>
        </w:tc>
      </w:tr>
      <w:tr w:rsidR="005B504B" w:rsidRPr="00061F78" w:rsidTr="005B504B">
        <w:trPr>
          <w:trHeight w:val="149"/>
        </w:trPr>
        <w:tc>
          <w:tcPr>
            <w:tcW w:w="405" w:type="pct"/>
            <w:tcMar>
              <w:left w:w="28" w:type="dxa"/>
              <w:right w:w="28" w:type="dxa"/>
            </w:tcMar>
          </w:tcPr>
          <w:p w:rsidR="00FB7B83" w:rsidRDefault="00FB7B83" w:rsidP="005C1814">
            <w:pPr>
              <w:pStyle w:val="Tablewriting"/>
              <w:rPr>
                <w:rFonts w:eastAsia="MS Mincho"/>
              </w:rPr>
            </w:pPr>
            <w:r>
              <w:rPr>
                <w:rFonts w:eastAsia="MS Mincho"/>
              </w:rPr>
              <w:t>Chang</w:t>
            </w:r>
          </w:p>
          <w:p w:rsidR="0013314B" w:rsidRDefault="00FB7B83" w:rsidP="005C1814">
            <w:pPr>
              <w:pStyle w:val="Tablewriting"/>
              <w:rPr>
                <w:rFonts w:eastAsia="MS Mincho"/>
              </w:rPr>
            </w:pPr>
            <w:r>
              <w:rPr>
                <w:rFonts w:eastAsia="MS Mincho"/>
              </w:rPr>
              <w:t>(2015)</w:t>
            </w:r>
          </w:p>
        </w:tc>
        <w:tc>
          <w:tcPr>
            <w:tcW w:w="546" w:type="pct"/>
          </w:tcPr>
          <w:p w:rsidR="0013314B" w:rsidRDefault="00FB7B83" w:rsidP="005C1814">
            <w:pPr>
              <w:pStyle w:val="Tablewriting"/>
              <w:rPr>
                <w:rFonts w:eastAsia="MS Mincho"/>
              </w:rPr>
            </w:pPr>
            <w:r>
              <w:rPr>
                <w:rFonts w:eastAsia="MS Mincho"/>
              </w:rPr>
              <w:t>SR &amp; MA</w:t>
            </w:r>
            <w:r w:rsidR="0013314B">
              <w:rPr>
                <w:rFonts w:eastAsia="MS Mincho"/>
              </w:rPr>
              <w:t xml:space="preserve">    (</w:t>
            </w:r>
            <w:r>
              <w:rPr>
                <w:rFonts w:eastAsia="MS Mincho"/>
              </w:rPr>
              <w:t>3</w:t>
            </w:r>
            <w:r w:rsidR="0013314B">
              <w:rPr>
                <w:rFonts w:eastAsia="MS Mincho"/>
              </w:rPr>
              <w:t xml:space="preserve"> RCTs</w:t>
            </w:r>
            <w:r w:rsidR="0013314B" w:rsidRPr="00AB145F">
              <w:rPr>
                <w:rFonts w:eastAsia="MS Mincho"/>
                <w:vertAlign w:val="superscript"/>
              </w:rPr>
              <w:t>2</w:t>
            </w:r>
            <w:r w:rsidR="0013314B">
              <w:rPr>
                <w:rFonts w:eastAsia="MS Mincho"/>
              </w:rPr>
              <w:t>)</w:t>
            </w:r>
          </w:p>
        </w:tc>
        <w:tc>
          <w:tcPr>
            <w:tcW w:w="781" w:type="pct"/>
            <w:tcMar>
              <w:left w:w="28" w:type="dxa"/>
              <w:right w:w="28" w:type="dxa"/>
            </w:tcMar>
          </w:tcPr>
          <w:p w:rsidR="0013314B" w:rsidRDefault="0013314B" w:rsidP="005C1814">
            <w:pPr>
              <w:pStyle w:val="Tablewriting"/>
              <w:rPr>
                <w:rFonts w:eastAsia="MS Mincho"/>
              </w:rPr>
            </w:pPr>
            <w:r>
              <w:rPr>
                <w:rFonts w:eastAsia="MS Mincho"/>
              </w:rPr>
              <w:t>N=</w:t>
            </w:r>
            <w:r w:rsidR="00FB7B83">
              <w:rPr>
                <w:rFonts w:eastAsia="MS Mincho"/>
              </w:rPr>
              <w:t>904</w:t>
            </w:r>
            <w:r>
              <w:rPr>
                <w:rFonts w:eastAsia="MS Mincho"/>
              </w:rPr>
              <w:t xml:space="preserve"> (</w:t>
            </w:r>
            <w:r w:rsidR="00FB7B83">
              <w:rPr>
                <w:rFonts w:eastAsia="MS Mincho"/>
              </w:rPr>
              <w:t>3</w:t>
            </w:r>
            <w:r>
              <w:rPr>
                <w:rFonts w:eastAsia="MS Mincho"/>
              </w:rPr>
              <w:t xml:space="preserve"> RCTs)</w:t>
            </w:r>
          </w:p>
          <w:p w:rsidR="0013314B" w:rsidRDefault="00FB7B83" w:rsidP="005C1814">
            <w:pPr>
              <w:pStyle w:val="Tablewriting"/>
              <w:rPr>
                <w:rFonts w:eastAsia="MS Mincho"/>
              </w:rPr>
            </w:pPr>
            <w:r>
              <w:rPr>
                <w:rFonts w:eastAsia="MS Mincho"/>
              </w:rPr>
              <w:t xml:space="preserve">Varenicline plus </w:t>
            </w:r>
            <w:r w:rsidR="0013314B">
              <w:rPr>
                <w:rFonts w:eastAsia="MS Mincho"/>
              </w:rPr>
              <w:t>NRT (n=4</w:t>
            </w:r>
            <w:r>
              <w:rPr>
                <w:rFonts w:eastAsia="MS Mincho"/>
              </w:rPr>
              <w:t>50</w:t>
            </w:r>
            <w:r w:rsidR="0013314B">
              <w:rPr>
                <w:rFonts w:eastAsia="MS Mincho"/>
              </w:rPr>
              <w:t>),</w:t>
            </w:r>
          </w:p>
          <w:p w:rsidR="0013314B" w:rsidRDefault="00FB7B83" w:rsidP="005C1814">
            <w:pPr>
              <w:pStyle w:val="Tablewriting"/>
              <w:rPr>
                <w:rFonts w:eastAsia="MS Mincho"/>
              </w:rPr>
            </w:pPr>
            <w:r>
              <w:rPr>
                <w:rFonts w:eastAsia="MS Mincho"/>
              </w:rPr>
              <w:t>Varenicline plus placebo</w:t>
            </w:r>
            <w:r w:rsidR="0013314B">
              <w:rPr>
                <w:rFonts w:eastAsia="MS Mincho"/>
              </w:rPr>
              <w:t xml:space="preserve"> (n=4</w:t>
            </w:r>
            <w:r>
              <w:rPr>
                <w:rFonts w:eastAsia="MS Mincho"/>
              </w:rPr>
              <w:t>54</w:t>
            </w:r>
            <w:r w:rsidR="0013314B">
              <w:rPr>
                <w:rFonts w:eastAsia="MS Mincho"/>
              </w:rPr>
              <w:t>)</w:t>
            </w:r>
          </w:p>
          <w:p w:rsidR="0013314B" w:rsidRPr="004B359D" w:rsidRDefault="0013314B" w:rsidP="005C1814">
            <w:pPr>
              <w:pStyle w:val="Tablewriting"/>
              <w:rPr>
                <w:rFonts w:eastAsia="MS Mincho"/>
                <w:highlight w:val="yellow"/>
              </w:rPr>
            </w:pPr>
          </w:p>
        </w:tc>
        <w:tc>
          <w:tcPr>
            <w:tcW w:w="1327" w:type="pct"/>
            <w:tcMar>
              <w:left w:w="28" w:type="dxa"/>
              <w:right w:w="28" w:type="dxa"/>
            </w:tcMar>
          </w:tcPr>
          <w:p w:rsidR="00FB7B83" w:rsidRDefault="0013314B" w:rsidP="005C1814">
            <w:pPr>
              <w:pStyle w:val="Tablewriting"/>
              <w:rPr>
                <w:rFonts w:eastAsia="MS Mincho"/>
              </w:rPr>
            </w:pPr>
            <w:r w:rsidRPr="002C19B4">
              <w:rPr>
                <w:rFonts w:eastAsia="MS Mincho"/>
                <w:u w:val="single"/>
              </w:rPr>
              <w:t>Inclusion</w:t>
            </w:r>
            <w:r>
              <w:rPr>
                <w:rFonts w:eastAsia="MS Mincho"/>
              </w:rPr>
              <w:t xml:space="preserve">: </w:t>
            </w:r>
            <w:r w:rsidR="00FB7B83" w:rsidRPr="00FB7B83">
              <w:rPr>
                <w:rFonts w:eastAsia="MS Mincho"/>
              </w:rPr>
              <w:t>adult population</w:t>
            </w:r>
            <w:r w:rsidR="00AB5FA3">
              <w:rPr>
                <w:rFonts w:eastAsia="MS Mincho"/>
              </w:rPr>
              <w:t>.</w:t>
            </w:r>
          </w:p>
          <w:p w:rsidR="0013314B" w:rsidRPr="00EA1E9A" w:rsidRDefault="0013314B" w:rsidP="005C1814">
            <w:pPr>
              <w:pStyle w:val="Tablewriting"/>
              <w:rPr>
                <w:rFonts w:eastAsia="MS Mincho"/>
                <w:highlight w:val="yellow"/>
              </w:rPr>
            </w:pPr>
            <w:r w:rsidRPr="002C19B4">
              <w:rPr>
                <w:rFonts w:eastAsia="MS Mincho"/>
                <w:u w:val="single"/>
              </w:rPr>
              <w:t>Exclusion</w:t>
            </w:r>
            <w:r>
              <w:rPr>
                <w:rFonts w:eastAsia="MS Mincho"/>
              </w:rPr>
              <w:t xml:space="preserve">: </w:t>
            </w:r>
            <w:r w:rsidR="00FB7B83" w:rsidRPr="00FB7B83">
              <w:rPr>
                <w:rFonts w:eastAsia="MS Mincho"/>
              </w:rPr>
              <w:t>trials using smoking cessation</w:t>
            </w:r>
            <w:r w:rsidR="00FB7B83">
              <w:rPr>
                <w:rFonts w:eastAsia="MS Mincho"/>
              </w:rPr>
              <w:t xml:space="preserve"> </w:t>
            </w:r>
            <w:r w:rsidR="00FB7B83" w:rsidRPr="00FB7B83">
              <w:rPr>
                <w:rFonts w:eastAsia="MS Mincho"/>
              </w:rPr>
              <w:t>medications but not aiming to stop cigarette</w:t>
            </w:r>
            <w:r w:rsidR="00FB7B83">
              <w:rPr>
                <w:rFonts w:eastAsia="MS Mincho"/>
              </w:rPr>
              <w:t xml:space="preserve"> </w:t>
            </w:r>
            <w:r w:rsidR="00FB7B83" w:rsidRPr="00FB7B83">
              <w:rPr>
                <w:rFonts w:eastAsia="MS Mincho"/>
              </w:rPr>
              <w:t xml:space="preserve">smoking </w:t>
            </w:r>
            <w:r w:rsidR="00FB7B83" w:rsidRPr="00FB7B83">
              <w:rPr>
                <w:rFonts w:eastAsia="MS Mincho"/>
              </w:rPr>
              <w:lastRenderedPageBreak/>
              <w:t>(e</w:t>
            </w:r>
            <w:r w:rsidR="00FB7B83">
              <w:rPr>
                <w:rFonts w:eastAsia="MS Mincho"/>
              </w:rPr>
              <w:t>.</w:t>
            </w:r>
            <w:r w:rsidR="00FB7B83" w:rsidRPr="00FB7B83">
              <w:rPr>
                <w:rFonts w:eastAsia="MS Mincho"/>
              </w:rPr>
              <w:t>g. stop alcohol use or long term NRT use)</w:t>
            </w:r>
            <w:r w:rsidR="00AB5FA3">
              <w:rPr>
                <w:rFonts w:eastAsia="MS Mincho"/>
              </w:rPr>
              <w:t>.</w:t>
            </w:r>
          </w:p>
        </w:tc>
        <w:tc>
          <w:tcPr>
            <w:tcW w:w="859" w:type="pct"/>
          </w:tcPr>
          <w:p w:rsidR="0013314B" w:rsidRPr="004B359D" w:rsidRDefault="00FB7B83" w:rsidP="005C1814">
            <w:pPr>
              <w:pStyle w:val="Tablewriting"/>
              <w:rPr>
                <w:rFonts w:eastAsia="MS Mincho"/>
                <w:highlight w:val="yellow"/>
              </w:rPr>
            </w:pPr>
            <w:r>
              <w:rPr>
                <w:rFonts w:eastAsia="MS Mincho"/>
              </w:rPr>
              <w:lastRenderedPageBreak/>
              <w:t>Varenicline plus NRT patch versus varenicline plus placebo patch</w:t>
            </w:r>
            <w:r w:rsidR="00AB5FA3">
              <w:rPr>
                <w:rFonts w:eastAsia="MS Mincho"/>
              </w:rPr>
              <w:t>.</w:t>
            </w:r>
          </w:p>
        </w:tc>
        <w:tc>
          <w:tcPr>
            <w:tcW w:w="1082" w:type="pct"/>
            <w:tcMar>
              <w:left w:w="28" w:type="dxa"/>
              <w:right w:w="28" w:type="dxa"/>
            </w:tcMar>
          </w:tcPr>
          <w:p w:rsidR="0013314B" w:rsidRPr="00C324F3" w:rsidRDefault="00FB7B83" w:rsidP="005C1814">
            <w:pPr>
              <w:pStyle w:val="Tablewriting"/>
              <w:rPr>
                <w:rFonts w:eastAsia="MS Mincho"/>
              </w:rPr>
            </w:pPr>
            <w:r w:rsidRPr="00FB7B83">
              <w:rPr>
                <w:rFonts w:eastAsia="MS Mincho"/>
                <w:u w:val="single"/>
              </w:rPr>
              <w:t>Efficacy</w:t>
            </w:r>
            <w:r w:rsidR="0013314B">
              <w:rPr>
                <w:rFonts w:eastAsia="MS Mincho"/>
              </w:rPr>
              <w:t xml:space="preserve">: </w:t>
            </w:r>
            <w:r>
              <w:rPr>
                <w:rFonts w:eastAsia="MS Mincho"/>
              </w:rPr>
              <w:t>early outcome</w:t>
            </w:r>
            <w:r w:rsidR="008C50C7">
              <w:rPr>
                <w:rFonts w:eastAsia="MS Mincho"/>
                <w:vertAlign w:val="superscript"/>
              </w:rPr>
              <w:t>3</w:t>
            </w:r>
            <w:r>
              <w:rPr>
                <w:rFonts w:eastAsia="MS Mincho"/>
              </w:rPr>
              <w:t xml:space="preserve"> and late outcome</w:t>
            </w:r>
            <w:r w:rsidR="008C50C7">
              <w:rPr>
                <w:rFonts w:eastAsia="MS Mincho"/>
                <w:vertAlign w:val="superscript"/>
              </w:rPr>
              <w:t>4</w:t>
            </w:r>
            <w:r w:rsidR="00AB5FA3">
              <w:rPr>
                <w:rFonts w:eastAsia="MS Mincho"/>
              </w:rPr>
              <w:t>.</w:t>
            </w:r>
          </w:p>
          <w:p w:rsidR="0013314B" w:rsidRPr="004B359D" w:rsidRDefault="0013314B" w:rsidP="005C1814">
            <w:pPr>
              <w:pStyle w:val="Tablewriting"/>
              <w:rPr>
                <w:rFonts w:eastAsia="MS Mincho"/>
                <w:highlight w:val="yellow"/>
                <w:u w:val="single"/>
              </w:rPr>
            </w:pPr>
            <w:r w:rsidRPr="0036499C">
              <w:rPr>
                <w:rFonts w:eastAsia="MS Mincho"/>
                <w:u w:val="single"/>
              </w:rPr>
              <w:t>S</w:t>
            </w:r>
            <w:r w:rsidR="00FB7B83">
              <w:rPr>
                <w:rFonts w:eastAsia="MS Mincho"/>
                <w:u w:val="single"/>
              </w:rPr>
              <w:t>afety</w:t>
            </w:r>
            <w:r>
              <w:rPr>
                <w:rFonts w:eastAsia="MS Mincho"/>
              </w:rPr>
              <w:t xml:space="preserve">: </w:t>
            </w:r>
            <w:r w:rsidR="00FB7B83">
              <w:rPr>
                <w:rFonts w:eastAsia="MS Mincho"/>
              </w:rPr>
              <w:t xml:space="preserve">adverse events (nausea, insomnia, </w:t>
            </w:r>
            <w:r w:rsidR="00FB7B83">
              <w:rPr>
                <w:rFonts w:eastAsia="MS Mincho"/>
              </w:rPr>
              <w:lastRenderedPageBreak/>
              <w:t>abnormal dreams, headache)</w:t>
            </w:r>
            <w:r w:rsidR="00AB5FA3">
              <w:rPr>
                <w:rFonts w:eastAsia="MS Mincho"/>
              </w:rPr>
              <w:t>.</w:t>
            </w:r>
          </w:p>
        </w:tc>
      </w:tr>
    </w:tbl>
    <w:p w:rsidR="00FB7B83" w:rsidRDefault="00FB7B83" w:rsidP="005C1814">
      <w:pPr>
        <w:pStyle w:val="TableFooter"/>
        <w:rPr>
          <w:i/>
        </w:rPr>
      </w:pPr>
      <w:r>
        <w:lastRenderedPageBreak/>
        <w:t>Abbreviations: MA = meta-analysis; NRT = nicotine replacement therapy; RCT = randomised controlled trial; SR = systematic review</w:t>
      </w:r>
      <w:r w:rsidRPr="00061F78">
        <w:t xml:space="preserve"> </w:t>
      </w:r>
    </w:p>
    <w:p w:rsidR="00FB7B83" w:rsidRDefault="00FB7B83" w:rsidP="005C1814">
      <w:pPr>
        <w:pStyle w:val="TableFooter"/>
      </w:pPr>
      <w:r>
        <w:t>1 Only the number of patients (n) in the relevant arms were included</w:t>
      </w:r>
      <w:r w:rsidR="00AB5FA3">
        <w:t>.</w:t>
      </w:r>
      <w:r>
        <w:t xml:space="preserve"> </w:t>
      </w:r>
    </w:p>
    <w:p w:rsidR="00FB7B83" w:rsidRDefault="00FB7B83" w:rsidP="005C1814">
      <w:pPr>
        <w:pStyle w:val="TableFooter"/>
      </w:pPr>
      <w:r>
        <w:t xml:space="preserve">2 The characteristics of the individual studies comparing varenicline plus NRT patch with varenicline plus placebo patch included in Chang et al. (2015) are presented in </w:t>
      </w:r>
      <w:r w:rsidRPr="00C44BB6">
        <w:t>Appendix</w:t>
      </w:r>
      <w:r>
        <w:t xml:space="preserve"> </w:t>
      </w:r>
      <w:r w:rsidR="003C4A1C">
        <w:t xml:space="preserve">Table </w:t>
      </w:r>
      <w:r w:rsidR="003C4A1C">
        <w:rPr>
          <w:noProof/>
        </w:rPr>
        <w:t>157</w:t>
      </w:r>
      <w:r>
        <w:t>.</w:t>
      </w:r>
      <w:r w:rsidR="00730363" w:rsidRPr="00730363">
        <w:t xml:space="preserve"> </w:t>
      </w:r>
      <w:r w:rsidR="00730363">
        <w:t>Chang</w:t>
      </w:r>
      <w:r w:rsidR="00730363" w:rsidRPr="00730363">
        <w:t xml:space="preserve"> et al. (201</w:t>
      </w:r>
      <w:r w:rsidR="00730363">
        <w:t>5</w:t>
      </w:r>
      <w:r w:rsidR="00730363" w:rsidRPr="00730363">
        <w:t>) did not state whether a protocol was registered before commencement of the review</w:t>
      </w:r>
      <w:r w:rsidR="00730363">
        <w:t xml:space="preserve"> and</w:t>
      </w:r>
      <w:r w:rsidR="00730363" w:rsidRPr="00730363">
        <w:t xml:space="preserve"> did not provide a list</w:t>
      </w:r>
      <w:r w:rsidR="006661D7">
        <w:t xml:space="preserve"> and justification</w:t>
      </w:r>
      <w:r w:rsidR="00730363" w:rsidRPr="00730363">
        <w:t xml:space="preserve"> of excluded studies</w:t>
      </w:r>
      <w:r w:rsidR="00730363" w:rsidRPr="00730363" w:rsidDel="006661D7">
        <w:t xml:space="preserve"> </w:t>
      </w:r>
      <w:r w:rsidR="00730363" w:rsidRPr="00730363">
        <w:t>(AMSTAR 2 critical domain).</w:t>
      </w:r>
    </w:p>
    <w:p w:rsidR="008C50C7" w:rsidRDefault="008C50C7" w:rsidP="005C1814">
      <w:pPr>
        <w:pStyle w:val="TableFooter"/>
      </w:pPr>
      <w:r>
        <w:t>3 Early outcome was defined as the quit rate assessed before or at the end of treatment completion.</w:t>
      </w:r>
    </w:p>
    <w:p w:rsidR="008C50C7" w:rsidRPr="00061F78" w:rsidRDefault="008C50C7" w:rsidP="005C1814">
      <w:pPr>
        <w:pStyle w:val="TableFooter"/>
      </w:pPr>
      <w:r>
        <w:t>4 Late outcome was defined as the quit rate assessed for a period of time after the end of treatment completion, majorly at 24 or more weeks.</w:t>
      </w:r>
    </w:p>
    <w:p w:rsidR="007144D3" w:rsidRDefault="007144D3" w:rsidP="007144D3">
      <w:r w:rsidRPr="007144D3">
        <w:t>Treatment interventions differed among the</w:t>
      </w:r>
      <w:r>
        <w:t xml:space="preserve"> three</w:t>
      </w:r>
      <w:r w:rsidRPr="007144D3">
        <w:t xml:space="preserve"> studies.</w:t>
      </w:r>
      <w:r>
        <w:t xml:space="preserve"> O</w:t>
      </w:r>
      <w:r w:rsidRPr="007144D3">
        <w:t xml:space="preserve">ne study administered </w:t>
      </w:r>
      <w:r w:rsidR="0018773E">
        <w:t>the</w:t>
      </w:r>
      <w:r w:rsidRPr="007144D3">
        <w:t xml:space="preserve"> trial </w:t>
      </w:r>
      <w:r w:rsidR="00573F59">
        <w:t>patches</w:t>
      </w:r>
      <w:r w:rsidRPr="007144D3">
        <w:t xml:space="preserve"> two weeks before the</w:t>
      </w:r>
      <w:r>
        <w:t xml:space="preserve"> treatment quit date (Koegelenberg et al. 2014)</w:t>
      </w:r>
      <w:r w:rsidRPr="007144D3">
        <w:t>, while the other two studies started patch use on the</w:t>
      </w:r>
      <w:r>
        <w:t xml:space="preserve"> treatment quit date (Hajek et al. 2013, Ramon et al. 2014)</w:t>
      </w:r>
      <w:r w:rsidRPr="007144D3">
        <w:t xml:space="preserve">. Two studies used a 15 mg/16 hours </w:t>
      </w:r>
      <w:r w:rsidR="00573F59">
        <w:t>patches</w:t>
      </w:r>
      <w:r>
        <w:t xml:space="preserve"> (Hajek et al. 2013, Koegelenberg et al. 2014)</w:t>
      </w:r>
      <w:r w:rsidRPr="007144D3">
        <w:t>, while</w:t>
      </w:r>
      <w:r>
        <w:t xml:space="preserve"> </w:t>
      </w:r>
      <w:r w:rsidRPr="007144D3">
        <w:t xml:space="preserve">the other </w:t>
      </w:r>
      <w:r>
        <w:t>study</w:t>
      </w:r>
      <w:r w:rsidRPr="007144D3">
        <w:t xml:space="preserve"> used a 21 mg/24 hours </w:t>
      </w:r>
      <w:r w:rsidR="00573F59">
        <w:t>patches</w:t>
      </w:r>
      <w:r>
        <w:t xml:space="preserve"> (Ramon et al. 2014)</w:t>
      </w:r>
      <w:r w:rsidRPr="007144D3">
        <w:t xml:space="preserve">. </w:t>
      </w:r>
      <w:r>
        <w:t>T</w:t>
      </w:r>
      <w:r w:rsidRPr="007144D3">
        <w:t>he use of varenicline was similar among</w:t>
      </w:r>
      <w:r>
        <w:t xml:space="preserve"> </w:t>
      </w:r>
      <w:r w:rsidRPr="007144D3">
        <w:t>the studies. All started at 0.5 mg per day one week before</w:t>
      </w:r>
      <w:r>
        <w:t xml:space="preserve"> treatment quit date</w:t>
      </w:r>
      <w:r w:rsidRPr="007144D3">
        <w:t xml:space="preserve">, with increase to 2 mg/day on </w:t>
      </w:r>
      <w:r>
        <w:t>treatment quit date</w:t>
      </w:r>
      <w:r w:rsidRPr="007144D3">
        <w:t xml:space="preserve"> and</w:t>
      </w:r>
      <w:r>
        <w:t xml:space="preserve"> </w:t>
      </w:r>
      <w:r w:rsidRPr="007144D3">
        <w:t>continued for 12 weeks. One study tapered the</w:t>
      </w:r>
      <w:r>
        <w:t xml:space="preserve"> </w:t>
      </w:r>
      <w:r w:rsidRPr="007144D3">
        <w:t>dose of varenicline on the 13</w:t>
      </w:r>
      <w:r w:rsidRPr="007144D3">
        <w:rPr>
          <w:vertAlign w:val="superscript"/>
        </w:rPr>
        <w:t>th</w:t>
      </w:r>
      <w:r>
        <w:t xml:space="preserve"> </w:t>
      </w:r>
      <w:r w:rsidRPr="007144D3">
        <w:t>week</w:t>
      </w:r>
      <w:r>
        <w:t xml:space="preserve"> (Koegelenberg et al. 2014)</w:t>
      </w:r>
      <w:r w:rsidRPr="007144D3">
        <w:t>. All studies provided</w:t>
      </w:r>
      <w:r>
        <w:t xml:space="preserve"> </w:t>
      </w:r>
      <w:r w:rsidRPr="007144D3">
        <w:t>concurrent behavio</w:t>
      </w:r>
      <w:r>
        <w:t>u</w:t>
      </w:r>
      <w:r w:rsidRPr="007144D3">
        <w:t>ral counsel</w:t>
      </w:r>
      <w:r>
        <w:t>l</w:t>
      </w:r>
      <w:r w:rsidRPr="007144D3">
        <w:t>ing during the</w:t>
      </w:r>
      <w:r>
        <w:t xml:space="preserve"> </w:t>
      </w:r>
      <w:r w:rsidRPr="007144D3">
        <w:t xml:space="preserve">treatment phase. </w:t>
      </w:r>
    </w:p>
    <w:p w:rsidR="007144D3" w:rsidRPr="007144D3" w:rsidRDefault="007144D3" w:rsidP="007144D3">
      <w:r>
        <w:t>In terms of outcomes, a</w:t>
      </w:r>
      <w:r w:rsidRPr="007144D3">
        <w:t>ll studies used exhaled carbon monoxide</w:t>
      </w:r>
      <w:r>
        <w:t xml:space="preserve"> </w:t>
      </w:r>
      <w:r w:rsidRPr="007144D3">
        <w:t>to confirm continuous abstinence</w:t>
      </w:r>
      <w:r w:rsidR="003E10B4">
        <w:t xml:space="preserve"> based on early</w:t>
      </w:r>
      <w:r w:rsidR="00844BCC">
        <w:t xml:space="preserve"> and late outcomes</w:t>
      </w:r>
      <w:r w:rsidRPr="007144D3">
        <w:t>.</w:t>
      </w:r>
      <w:r w:rsidR="00D44EAE">
        <w:t xml:space="preserve"> </w:t>
      </w:r>
      <w:r w:rsidR="00844BCC" w:rsidRPr="00844BCC">
        <w:t>Early outcome was defined as the quit rate assessed before or at the end of treatment completion</w:t>
      </w:r>
      <w:r w:rsidR="00844BCC">
        <w:t>, while l</w:t>
      </w:r>
      <w:r w:rsidR="00844BCC" w:rsidRPr="00844BCC">
        <w:t>ate outcome was defined as the quit rate assessed for a period of time after the end of treatment completion</w:t>
      </w:r>
      <w:r w:rsidR="00844BCC">
        <w:t>.</w:t>
      </w:r>
      <w:r w:rsidR="00D44EAE">
        <w:t xml:space="preserve"> Outcomes without biochemical verification were excluded from the analysis.</w:t>
      </w:r>
      <w:r w:rsidRPr="007144D3">
        <w:t xml:space="preserve"> One study measured the early</w:t>
      </w:r>
      <w:r>
        <w:t xml:space="preserve"> </w:t>
      </w:r>
      <w:r w:rsidRPr="007144D3">
        <w:t>outcome at 4 weeks</w:t>
      </w:r>
      <w:r>
        <w:t xml:space="preserve"> (Hajek et al. 2013), while</w:t>
      </w:r>
      <w:r w:rsidRPr="007144D3">
        <w:t xml:space="preserve"> the other two measured it at</w:t>
      </w:r>
      <w:r>
        <w:t xml:space="preserve"> </w:t>
      </w:r>
      <w:r w:rsidRPr="007144D3">
        <w:t>12 weeks</w:t>
      </w:r>
      <w:r>
        <w:t xml:space="preserve"> (Koegelenberg et al. 2014,</w:t>
      </w:r>
      <w:r w:rsidRPr="007144D3">
        <w:t xml:space="preserve"> </w:t>
      </w:r>
      <w:r>
        <w:t>Ramon et al. 2014)</w:t>
      </w:r>
      <w:r w:rsidRPr="007144D3">
        <w:t>. For the late outcome,</w:t>
      </w:r>
      <w:r>
        <w:t xml:space="preserve"> Koegelenberg et al. (2014)</w:t>
      </w:r>
      <w:r w:rsidRPr="007144D3">
        <w:t xml:space="preserve"> measured 9 to 24 weeks of continuous</w:t>
      </w:r>
      <w:r>
        <w:t xml:space="preserve"> </w:t>
      </w:r>
      <w:r w:rsidRPr="007144D3">
        <w:t xml:space="preserve">abstinence, </w:t>
      </w:r>
      <w:r>
        <w:t>Ramon et al. (2014)</w:t>
      </w:r>
      <w:r w:rsidRPr="007144D3">
        <w:t xml:space="preserve"> measured 2 to 24 weeks</w:t>
      </w:r>
      <w:r>
        <w:t xml:space="preserve"> </w:t>
      </w:r>
      <w:r w:rsidRPr="007144D3">
        <w:t xml:space="preserve">of continuous abstinence, and </w:t>
      </w:r>
      <w:r>
        <w:t>Hajek et al. (2013)</w:t>
      </w:r>
      <w:r w:rsidRPr="007144D3">
        <w:t xml:space="preserve"> did not</w:t>
      </w:r>
      <w:r>
        <w:t xml:space="preserve"> </w:t>
      </w:r>
      <w:r w:rsidRPr="007144D3">
        <w:t>measure outcome</w:t>
      </w:r>
      <w:r w:rsidR="00B46758">
        <w:t>s</w:t>
      </w:r>
      <w:r w:rsidRPr="007144D3">
        <w:t xml:space="preserve"> after </w:t>
      </w:r>
      <w:r w:rsidR="00B46758">
        <w:t xml:space="preserve">the </w:t>
      </w:r>
      <w:r w:rsidRPr="007144D3">
        <w:t>treatment phase.</w:t>
      </w:r>
    </w:p>
    <w:p w:rsidR="007144D3" w:rsidRPr="007144D3" w:rsidRDefault="007144D3" w:rsidP="007144D3">
      <w:pPr>
        <w:rPr>
          <w:u w:val="single"/>
        </w:rPr>
      </w:pPr>
      <w:r w:rsidRPr="007144D3">
        <w:rPr>
          <w:u w:val="single"/>
        </w:rPr>
        <w:t>Efficacy</w:t>
      </w:r>
    </w:p>
    <w:p w:rsidR="00EB410B" w:rsidRDefault="007144D3" w:rsidP="007144D3">
      <w:r>
        <w:t xml:space="preserve">A summary of the smoking cessation rates </w:t>
      </w:r>
      <w:r w:rsidR="003A6E6A">
        <w:t>comparing varenicline p</w:t>
      </w:r>
      <w:r w:rsidR="00E03D40">
        <w:t xml:space="preserve">lus NRT with varenicline alone </w:t>
      </w:r>
      <w:r w:rsidR="004021FA">
        <w:t>in terms of early and late outcomes</w:t>
      </w:r>
      <w:r>
        <w:t xml:space="preserve"> is presented in </w:t>
      </w:r>
      <w:r w:rsidR="003C4A1C">
        <w:t xml:space="preserve">Table </w:t>
      </w:r>
      <w:r w:rsidR="003C4A1C">
        <w:rPr>
          <w:noProof/>
        </w:rPr>
        <w:t>68</w:t>
      </w:r>
      <w:r>
        <w:t xml:space="preserve">. For </w:t>
      </w:r>
      <w:r w:rsidR="00EB410B">
        <w:t>early outcome</w:t>
      </w:r>
      <w:r w:rsidR="003E5DD6">
        <w:t>s</w:t>
      </w:r>
      <w:r w:rsidR="00EB410B">
        <w:t xml:space="preserve">, </w:t>
      </w:r>
      <w:r w:rsidR="00EB410B" w:rsidRPr="00EB410B">
        <w:t xml:space="preserve">the results of the meta-analysis comprising </w:t>
      </w:r>
      <w:r w:rsidR="00EB410B">
        <w:t>three</w:t>
      </w:r>
      <w:r w:rsidR="00EB410B" w:rsidRPr="00EB410B">
        <w:t xml:space="preserve"> RCTs demonstrated a statistically significant difference in favour of </w:t>
      </w:r>
      <w:r w:rsidR="00EB410B">
        <w:t>varenicline plus NRT patch</w:t>
      </w:r>
      <w:r w:rsidR="00EB410B" w:rsidRPr="00EB410B">
        <w:t>.</w:t>
      </w:r>
      <w:r w:rsidR="00EB410B">
        <w:t xml:space="preserve"> For late outcome</w:t>
      </w:r>
      <w:r w:rsidR="003E5DD6">
        <w:t>s</w:t>
      </w:r>
      <w:r w:rsidR="00EB410B">
        <w:t xml:space="preserve">, </w:t>
      </w:r>
      <w:r w:rsidR="00EB410B" w:rsidRPr="00EB410B">
        <w:t xml:space="preserve">the results of the meta-analysis comprising </w:t>
      </w:r>
      <w:r w:rsidR="00EB410B">
        <w:t>two</w:t>
      </w:r>
      <w:r w:rsidR="00EB410B" w:rsidRPr="00EB410B">
        <w:t xml:space="preserve"> RCTs demonstrated a statistically significant difference in favour of </w:t>
      </w:r>
      <w:r w:rsidR="00EB410B">
        <w:t>varenicline plus NRT patch</w:t>
      </w:r>
      <w:r w:rsidR="00EB410B" w:rsidRPr="00EB410B">
        <w:t>.</w:t>
      </w:r>
      <w:r w:rsidR="00EB410B">
        <w:t xml:space="preserve"> </w:t>
      </w:r>
    </w:p>
    <w:p w:rsidR="00FE02FD" w:rsidRDefault="00FE02FD" w:rsidP="00FE02FD">
      <w:pPr>
        <w:pStyle w:val="Caption"/>
        <w:keepNext/>
      </w:pPr>
      <w:bookmarkStart w:id="156" w:name="_Ref55471475"/>
      <w:r>
        <w:lastRenderedPageBreak/>
        <w:t xml:space="preserve">Table </w:t>
      </w:r>
      <w:r w:rsidR="003C4A1C">
        <w:rPr>
          <w:noProof/>
        </w:rPr>
        <w:t>68</w:t>
      </w:r>
      <w:bookmarkEnd w:id="156"/>
      <w:r>
        <w:t xml:space="preserve">: </w:t>
      </w:r>
      <w:r w:rsidRPr="00624001">
        <w:t xml:space="preserve">Results of smoking cessation </w:t>
      </w:r>
      <w:r>
        <w:t>in terms of</w:t>
      </w:r>
      <w:r w:rsidRPr="00624001">
        <w:t xml:space="preserve"> </w:t>
      </w:r>
      <w:r>
        <w:t xml:space="preserve">early and late </w:t>
      </w:r>
      <w:r w:rsidR="004021FA">
        <w:t xml:space="preserve">efficacy </w:t>
      </w:r>
      <w:r>
        <w:t>outcome</w:t>
      </w:r>
      <w:r w:rsidR="004021FA">
        <w:t>s</w:t>
      </w:r>
      <w:r w:rsidRPr="00624001">
        <w:t xml:space="preserve">, </w:t>
      </w:r>
      <w:r>
        <w:t>varenicline plus</w:t>
      </w:r>
      <w:r w:rsidRPr="00624001">
        <w:t xml:space="preserve"> NRT versus </w:t>
      </w:r>
      <w:r>
        <w:t>varenicline alone</w:t>
      </w:r>
    </w:p>
    <w:tbl>
      <w:tblPr>
        <w:tblStyle w:val="TableGrid"/>
        <w:tblW w:w="5000" w:type="pct"/>
        <w:tblLook w:val="04A0" w:firstRow="1" w:lastRow="0" w:firstColumn="1" w:lastColumn="0" w:noHBand="0" w:noVBand="1"/>
        <w:tblCaption w:val="Efficacy results of adalimumab trials (PASI 75 and DLQI)"/>
      </w:tblPr>
      <w:tblGrid>
        <w:gridCol w:w="1167"/>
        <w:gridCol w:w="1855"/>
        <w:gridCol w:w="2119"/>
        <w:gridCol w:w="2066"/>
        <w:gridCol w:w="1809"/>
      </w:tblGrid>
      <w:tr w:rsidR="0008509E" w:rsidRPr="00061F78" w:rsidTr="000B3CA3">
        <w:trPr>
          <w:cantSplit/>
          <w:trHeight w:val="299"/>
          <w:tblHeader/>
        </w:trPr>
        <w:tc>
          <w:tcPr>
            <w:tcW w:w="647" w:type="pct"/>
            <w:shd w:val="clear" w:color="auto" w:fill="BFBFBF" w:themeFill="background1" w:themeFillShade="BF"/>
            <w:tcMar>
              <w:left w:w="28" w:type="dxa"/>
              <w:right w:w="28" w:type="dxa"/>
            </w:tcMar>
          </w:tcPr>
          <w:p w:rsidR="00FE02FD" w:rsidRPr="00061F78" w:rsidRDefault="00FE02FD" w:rsidP="003A6E6A">
            <w:pPr>
              <w:pStyle w:val="Tableheading"/>
              <w:rPr>
                <w:rFonts w:eastAsia="MS Mincho"/>
              </w:rPr>
            </w:pPr>
            <w:r>
              <w:rPr>
                <w:rFonts w:eastAsia="MS Mincho"/>
              </w:rPr>
              <w:t>Study</w:t>
            </w:r>
          </w:p>
        </w:tc>
        <w:tc>
          <w:tcPr>
            <w:tcW w:w="1029" w:type="pct"/>
            <w:shd w:val="clear" w:color="auto" w:fill="BFBFBF" w:themeFill="background1" w:themeFillShade="BF"/>
            <w:vAlign w:val="center"/>
          </w:tcPr>
          <w:p w:rsidR="00FE02FD" w:rsidRDefault="00FE02FD" w:rsidP="003A6E6A">
            <w:pPr>
              <w:pStyle w:val="Tableheading"/>
              <w:jc w:val="center"/>
              <w:rPr>
                <w:rFonts w:eastAsia="MS Mincho"/>
              </w:rPr>
            </w:pPr>
            <w:r>
              <w:rPr>
                <w:rFonts w:eastAsia="MS Mincho"/>
              </w:rPr>
              <w:t>Study type</w:t>
            </w:r>
          </w:p>
        </w:tc>
        <w:tc>
          <w:tcPr>
            <w:tcW w:w="1175" w:type="pct"/>
            <w:shd w:val="clear" w:color="auto" w:fill="BFBFBF" w:themeFill="background1" w:themeFillShade="BF"/>
            <w:tcMar>
              <w:left w:w="28" w:type="dxa"/>
              <w:right w:w="28" w:type="dxa"/>
            </w:tcMar>
            <w:vAlign w:val="center"/>
          </w:tcPr>
          <w:p w:rsidR="00FE02FD" w:rsidRPr="00061F78" w:rsidRDefault="00FE02FD" w:rsidP="003A6E6A">
            <w:pPr>
              <w:pStyle w:val="Tableheading"/>
              <w:jc w:val="center"/>
              <w:rPr>
                <w:rFonts w:eastAsia="MS Mincho"/>
              </w:rPr>
            </w:pPr>
            <w:r>
              <w:rPr>
                <w:rFonts w:eastAsia="MS Mincho"/>
              </w:rPr>
              <w:t>Varenicline plus NRT patch</w:t>
            </w:r>
          </w:p>
        </w:tc>
        <w:tc>
          <w:tcPr>
            <w:tcW w:w="1146" w:type="pct"/>
            <w:shd w:val="clear" w:color="auto" w:fill="BFBFBF" w:themeFill="background1" w:themeFillShade="BF"/>
            <w:tcMar>
              <w:left w:w="28" w:type="dxa"/>
              <w:right w:w="28" w:type="dxa"/>
            </w:tcMar>
            <w:vAlign w:val="center"/>
          </w:tcPr>
          <w:p w:rsidR="00FE02FD" w:rsidRPr="00061F78" w:rsidRDefault="00FE02FD" w:rsidP="003A6E6A">
            <w:pPr>
              <w:pStyle w:val="Tableheading"/>
              <w:jc w:val="center"/>
              <w:rPr>
                <w:rFonts w:eastAsia="MS Mincho"/>
              </w:rPr>
            </w:pPr>
            <w:r>
              <w:rPr>
                <w:rFonts w:eastAsia="MS Mincho"/>
              </w:rPr>
              <w:t>Varenicline plus placebo patch</w:t>
            </w:r>
          </w:p>
        </w:tc>
        <w:tc>
          <w:tcPr>
            <w:tcW w:w="1004" w:type="pct"/>
            <w:shd w:val="clear" w:color="auto" w:fill="BFBFBF" w:themeFill="background1" w:themeFillShade="BF"/>
            <w:vAlign w:val="center"/>
          </w:tcPr>
          <w:p w:rsidR="00FE02FD" w:rsidRPr="00D44EAE" w:rsidRDefault="00FE02FD" w:rsidP="003A6E6A">
            <w:pPr>
              <w:pStyle w:val="Tableheading"/>
              <w:jc w:val="center"/>
              <w:rPr>
                <w:rFonts w:eastAsia="MS Mincho"/>
                <w:vertAlign w:val="superscript"/>
              </w:rPr>
            </w:pPr>
            <w:r>
              <w:t>O</w:t>
            </w:r>
            <w:r w:rsidRPr="006A66DE">
              <w:t>R (95% CI)</w:t>
            </w:r>
            <w:r w:rsidR="00527108">
              <w:rPr>
                <w:vertAlign w:val="superscript"/>
              </w:rPr>
              <w:t>1</w:t>
            </w:r>
          </w:p>
        </w:tc>
      </w:tr>
      <w:tr w:rsidR="00FE02FD" w:rsidRPr="00061F78" w:rsidTr="004B53F8">
        <w:trPr>
          <w:cantSplit/>
          <w:trHeight w:val="99"/>
        </w:trPr>
        <w:tc>
          <w:tcPr>
            <w:tcW w:w="5000" w:type="pct"/>
            <w:gridSpan w:val="5"/>
            <w:shd w:val="clear" w:color="auto" w:fill="auto"/>
            <w:tcMar>
              <w:left w:w="28" w:type="dxa"/>
              <w:right w:w="28" w:type="dxa"/>
            </w:tcMar>
          </w:tcPr>
          <w:p w:rsidR="00527108" w:rsidRPr="004B53F8" w:rsidRDefault="00527108" w:rsidP="003A6E6A">
            <w:pPr>
              <w:pStyle w:val="Tablewriting"/>
              <w:rPr>
                <w:rFonts w:eastAsia="MS Mincho"/>
                <w:b/>
                <w:bCs/>
                <w:vertAlign w:val="superscript"/>
              </w:rPr>
            </w:pPr>
            <w:r w:rsidRPr="004B53F8">
              <w:rPr>
                <w:rFonts w:eastAsia="MS Mincho"/>
                <w:b/>
                <w:bCs/>
              </w:rPr>
              <w:t>Early outcome</w:t>
            </w:r>
            <w:r w:rsidR="004B53F8">
              <w:rPr>
                <w:rFonts w:eastAsia="MS Mincho"/>
                <w:b/>
                <w:bCs/>
                <w:vertAlign w:val="superscript"/>
              </w:rPr>
              <w:t>2</w:t>
            </w:r>
          </w:p>
        </w:tc>
      </w:tr>
      <w:tr w:rsidR="00FE02FD" w:rsidRPr="00061F78" w:rsidTr="000B3CA3">
        <w:trPr>
          <w:cantSplit/>
          <w:trHeight w:val="99"/>
        </w:trPr>
        <w:tc>
          <w:tcPr>
            <w:tcW w:w="647" w:type="pct"/>
            <w:shd w:val="clear" w:color="auto" w:fill="auto"/>
            <w:tcMar>
              <w:left w:w="28" w:type="dxa"/>
              <w:right w:w="28" w:type="dxa"/>
            </w:tcMar>
          </w:tcPr>
          <w:p w:rsidR="00527108" w:rsidRDefault="00527108" w:rsidP="003A6E6A">
            <w:pPr>
              <w:pStyle w:val="Tablewriting"/>
              <w:rPr>
                <w:rFonts w:eastAsia="MS Mincho"/>
              </w:rPr>
            </w:pPr>
            <w:r>
              <w:rPr>
                <w:rFonts w:eastAsia="MS Mincho"/>
              </w:rPr>
              <w:t xml:space="preserve">Chang </w:t>
            </w:r>
          </w:p>
          <w:p w:rsidR="00FE02FD" w:rsidRPr="00251B64" w:rsidRDefault="00527108" w:rsidP="003A6E6A">
            <w:pPr>
              <w:pStyle w:val="Tablewriting"/>
              <w:rPr>
                <w:rFonts w:eastAsia="MS Mincho"/>
              </w:rPr>
            </w:pPr>
            <w:r>
              <w:rPr>
                <w:rFonts w:eastAsia="MS Mincho"/>
              </w:rPr>
              <w:t>(2015)</w:t>
            </w:r>
            <w:r w:rsidR="00FE02FD" w:rsidRPr="00251B64">
              <w:rPr>
                <w:rFonts w:eastAsia="MS Mincho"/>
              </w:rPr>
              <w:t xml:space="preserve"> </w:t>
            </w:r>
          </w:p>
        </w:tc>
        <w:tc>
          <w:tcPr>
            <w:tcW w:w="1029" w:type="pct"/>
            <w:shd w:val="clear" w:color="auto" w:fill="auto"/>
            <w:vAlign w:val="center"/>
          </w:tcPr>
          <w:p w:rsidR="00527108" w:rsidRDefault="00527108" w:rsidP="003A6E6A">
            <w:pPr>
              <w:pStyle w:val="Tablewriting"/>
              <w:jc w:val="center"/>
              <w:rPr>
                <w:rFonts w:eastAsia="MS Mincho"/>
              </w:rPr>
            </w:pPr>
            <w:r>
              <w:rPr>
                <w:rFonts w:eastAsia="MS Mincho"/>
              </w:rPr>
              <w:t>SR &amp; MA</w:t>
            </w:r>
          </w:p>
          <w:p w:rsidR="00FE02FD" w:rsidRPr="00251B64" w:rsidRDefault="00527108" w:rsidP="003A6E6A">
            <w:pPr>
              <w:pStyle w:val="Tablewriting"/>
              <w:jc w:val="center"/>
              <w:rPr>
                <w:rFonts w:eastAsia="MS Mincho"/>
              </w:rPr>
            </w:pPr>
            <w:r>
              <w:rPr>
                <w:rFonts w:eastAsia="MS Mincho"/>
              </w:rPr>
              <w:t xml:space="preserve">(3 </w:t>
            </w:r>
            <w:r w:rsidRPr="00251B64">
              <w:rPr>
                <w:rFonts w:eastAsia="MS Mincho"/>
              </w:rPr>
              <w:t>RCT</w:t>
            </w:r>
            <w:r>
              <w:rPr>
                <w:rFonts w:eastAsia="MS Mincho"/>
              </w:rPr>
              <w:t>s)</w:t>
            </w:r>
          </w:p>
        </w:tc>
        <w:tc>
          <w:tcPr>
            <w:tcW w:w="1175" w:type="pct"/>
            <w:shd w:val="clear" w:color="auto" w:fill="auto"/>
            <w:tcMar>
              <w:left w:w="28" w:type="dxa"/>
              <w:right w:w="28" w:type="dxa"/>
            </w:tcMar>
            <w:vAlign w:val="center"/>
          </w:tcPr>
          <w:p w:rsidR="00527108" w:rsidRDefault="00527108" w:rsidP="003A6E6A">
            <w:pPr>
              <w:pStyle w:val="Tablewriting"/>
              <w:jc w:val="center"/>
              <w:rPr>
                <w:rFonts w:eastAsia="MS Mincho"/>
              </w:rPr>
            </w:pPr>
            <w:r>
              <w:rPr>
                <w:rFonts w:eastAsia="MS Mincho"/>
              </w:rPr>
              <w:t>200/450</w:t>
            </w:r>
          </w:p>
          <w:p w:rsidR="00FE02FD" w:rsidRPr="00251B64" w:rsidRDefault="00527108" w:rsidP="003A6E6A">
            <w:pPr>
              <w:pStyle w:val="Tablewriting"/>
              <w:jc w:val="center"/>
              <w:rPr>
                <w:rFonts w:eastAsia="MS Mincho"/>
              </w:rPr>
            </w:pPr>
            <w:r>
              <w:rPr>
                <w:rFonts w:eastAsia="MS Mincho"/>
              </w:rPr>
              <w:t>(44.4%)</w:t>
            </w:r>
          </w:p>
        </w:tc>
        <w:tc>
          <w:tcPr>
            <w:tcW w:w="1146" w:type="pct"/>
            <w:shd w:val="clear" w:color="auto" w:fill="auto"/>
            <w:tcMar>
              <w:left w:w="28" w:type="dxa"/>
              <w:right w:w="28" w:type="dxa"/>
            </w:tcMar>
            <w:vAlign w:val="center"/>
          </w:tcPr>
          <w:p w:rsidR="00527108" w:rsidRPr="00FE02FD" w:rsidRDefault="00527108" w:rsidP="003A6E6A">
            <w:pPr>
              <w:pStyle w:val="Tablewriting"/>
              <w:jc w:val="center"/>
              <w:rPr>
                <w:rFonts w:eastAsia="MS Mincho"/>
              </w:rPr>
            </w:pPr>
            <w:r w:rsidRPr="00FE02FD">
              <w:rPr>
                <w:rFonts w:eastAsia="MS Mincho"/>
              </w:rPr>
              <w:t>159/454</w:t>
            </w:r>
          </w:p>
          <w:p w:rsidR="00FE02FD" w:rsidRPr="00251B64" w:rsidRDefault="00527108" w:rsidP="003A6E6A">
            <w:pPr>
              <w:pStyle w:val="Tablewriting"/>
              <w:jc w:val="center"/>
              <w:rPr>
                <w:rFonts w:eastAsia="MS Mincho"/>
              </w:rPr>
            </w:pPr>
            <w:r w:rsidRPr="00FE02FD">
              <w:rPr>
                <w:rFonts w:eastAsia="MS Mincho"/>
              </w:rPr>
              <w:t>(</w:t>
            </w:r>
            <w:r>
              <w:rPr>
                <w:rFonts w:eastAsia="MS Mincho"/>
              </w:rPr>
              <w:t>35.0</w:t>
            </w:r>
            <w:r w:rsidRPr="00FE02FD">
              <w:rPr>
                <w:rFonts w:eastAsia="MS Mincho"/>
              </w:rPr>
              <w:t>%)</w:t>
            </w:r>
          </w:p>
        </w:tc>
        <w:tc>
          <w:tcPr>
            <w:tcW w:w="1004" w:type="pct"/>
            <w:vAlign w:val="center"/>
          </w:tcPr>
          <w:p w:rsidR="00527108" w:rsidRPr="00FE02FD" w:rsidRDefault="00527108" w:rsidP="003A6E6A">
            <w:pPr>
              <w:pStyle w:val="Tablewriting"/>
              <w:jc w:val="center"/>
              <w:rPr>
                <w:b/>
                <w:bCs/>
              </w:rPr>
            </w:pPr>
            <w:r w:rsidRPr="00FE02FD">
              <w:rPr>
                <w:b/>
                <w:bCs/>
              </w:rPr>
              <w:t>1.50</w:t>
            </w:r>
          </w:p>
          <w:p w:rsidR="00FE02FD" w:rsidRPr="00FE02FD" w:rsidRDefault="00527108" w:rsidP="003A6E6A">
            <w:pPr>
              <w:pStyle w:val="Tablewriting"/>
              <w:jc w:val="center"/>
              <w:rPr>
                <w:rFonts w:eastAsia="MS Mincho"/>
              </w:rPr>
            </w:pPr>
            <w:r w:rsidRPr="00FE02FD">
              <w:rPr>
                <w:b/>
                <w:bCs/>
              </w:rPr>
              <w:t>(1.14, 1.97)</w:t>
            </w:r>
          </w:p>
        </w:tc>
      </w:tr>
      <w:tr w:rsidR="00FE02FD" w:rsidRPr="00061F78" w:rsidTr="004B53F8">
        <w:trPr>
          <w:cantSplit/>
          <w:trHeight w:val="99"/>
        </w:trPr>
        <w:tc>
          <w:tcPr>
            <w:tcW w:w="5000" w:type="pct"/>
            <w:gridSpan w:val="5"/>
            <w:shd w:val="clear" w:color="auto" w:fill="auto"/>
            <w:tcMar>
              <w:left w:w="28" w:type="dxa"/>
              <w:right w:w="28" w:type="dxa"/>
            </w:tcMar>
          </w:tcPr>
          <w:p w:rsidR="00527108" w:rsidRPr="004B53F8" w:rsidRDefault="00527108" w:rsidP="003A6E6A">
            <w:pPr>
              <w:pStyle w:val="Tablewriting"/>
              <w:rPr>
                <w:rFonts w:eastAsia="MS Mincho"/>
                <w:b/>
                <w:bCs/>
                <w:highlight w:val="yellow"/>
                <w:vertAlign w:val="superscript"/>
              </w:rPr>
            </w:pPr>
            <w:r w:rsidRPr="004B53F8">
              <w:rPr>
                <w:rFonts w:eastAsia="MS Mincho"/>
                <w:b/>
                <w:bCs/>
              </w:rPr>
              <w:t>Late outcome</w:t>
            </w:r>
            <w:r w:rsidR="004B53F8">
              <w:rPr>
                <w:rFonts w:eastAsia="MS Mincho"/>
                <w:b/>
                <w:bCs/>
                <w:vertAlign w:val="superscript"/>
              </w:rPr>
              <w:t>3</w:t>
            </w:r>
          </w:p>
        </w:tc>
      </w:tr>
      <w:tr w:rsidR="00FE02FD" w:rsidRPr="00061F78" w:rsidTr="000B3CA3">
        <w:trPr>
          <w:cantSplit/>
          <w:trHeight w:val="99"/>
        </w:trPr>
        <w:tc>
          <w:tcPr>
            <w:tcW w:w="647" w:type="pct"/>
            <w:shd w:val="clear" w:color="auto" w:fill="auto"/>
            <w:tcMar>
              <w:left w:w="28" w:type="dxa"/>
              <w:right w:w="28" w:type="dxa"/>
            </w:tcMar>
          </w:tcPr>
          <w:p w:rsidR="00527108" w:rsidRDefault="00527108" w:rsidP="003A6E6A">
            <w:pPr>
              <w:pStyle w:val="Tablewriting"/>
              <w:rPr>
                <w:rFonts w:eastAsia="MS Mincho"/>
              </w:rPr>
            </w:pPr>
            <w:r>
              <w:rPr>
                <w:rFonts w:eastAsia="MS Mincho"/>
              </w:rPr>
              <w:t xml:space="preserve">Chang </w:t>
            </w:r>
          </w:p>
          <w:p w:rsidR="00FE02FD" w:rsidRPr="005C3469" w:rsidRDefault="00527108" w:rsidP="003A6E6A">
            <w:pPr>
              <w:pStyle w:val="Tablewriting"/>
              <w:rPr>
                <w:rFonts w:eastAsia="MS Mincho"/>
                <w:highlight w:val="yellow"/>
              </w:rPr>
            </w:pPr>
            <w:r>
              <w:rPr>
                <w:rFonts w:eastAsia="MS Mincho"/>
              </w:rPr>
              <w:t>(2015)</w:t>
            </w:r>
            <w:r w:rsidRPr="00251B64">
              <w:rPr>
                <w:rFonts w:eastAsia="MS Mincho"/>
              </w:rPr>
              <w:t xml:space="preserve"> </w:t>
            </w:r>
          </w:p>
        </w:tc>
        <w:tc>
          <w:tcPr>
            <w:tcW w:w="1029" w:type="pct"/>
            <w:shd w:val="clear" w:color="auto" w:fill="auto"/>
            <w:vAlign w:val="center"/>
          </w:tcPr>
          <w:p w:rsidR="00527108" w:rsidRDefault="00527108" w:rsidP="003A6E6A">
            <w:pPr>
              <w:pStyle w:val="Tablewriting"/>
              <w:jc w:val="center"/>
              <w:rPr>
                <w:rFonts w:eastAsia="MS Mincho"/>
              </w:rPr>
            </w:pPr>
            <w:r>
              <w:rPr>
                <w:rFonts w:eastAsia="MS Mincho"/>
              </w:rPr>
              <w:t>SR &amp; MA</w:t>
            </w:r>
          </w:p>
          <w:p w:rsidR="00FE02FD" w:rsidRDefault="00527108" w:rsidP="003A6E6A">
            <w:pPr>
              <w:pStyle w:val="Tablewriting"/>
              <w:jc w:val="center"/>
              <w:rPr>
                <w:rFonts w:eastAsia="MS Mincho"/>
              </w:rPr>
            </w:pPr>
            <w:r>
              <w:rPr>
                <w:rFonts w:eastAsia="MS Mincho"/>
              </w:rPr>
              <w:t xml:space="preserve">(3 </w:t>
            </w:r>
            <w:r w:rsidRPr="00251B64">
              <w:rPr>
                <w:rFonts w:eastAsia="MS Mincho"/>
              </w:rPr>
              <w:t>RCT</w:t>
            </w:r>
            <w:r>
              <w:rPr>
                <w:rFonts w:eastAsia="MS Mincho"/>
              </w:rPr>
              <w:t>s)</w:t>
            </w:r>
          </w:p>
        </w:tc>
        <w:tc>
          <w:tcPr>
            <w:tcW w:w="1175" w:type="pct"/>
            <w:shd w:val="clear" w:color="auto" w:fill="auto"/>
            <w:tcMar>
              <w:left w:w="28" w:type="dxa"/>
              <w:right w:w="28" w:type="dxa"/>
            </w:tcMar>
            <w:vAlign w:val="center"/>
          </w:tcPr>
          <w:p w:rsidR="00527108" w:rsidRPr="00FE02FD" w:rsidRDefault="00527108" w:rsidP="003A6E6A">
            <w:pPr>
              <w:pStyle w:val="Tablewriting"/>
              <w:jc w:val="center"/>
              <w:rPr>
                <w:rFonts w:eastAsia="MS Mincho"/>
              </w:rPr>
            </w:pPr>
            <w:r w:rsidRPr="00FE02FD">
              <w:rPr>
                <w:rFonts w:eastAsia="MS Mincho"/>
              </w:rPr>
              <w:t>127/392</w:t>
            </w:r>
          </w:p>
          <w:p w:rsidR="00FE02FD" w:rsidRPr="005C3469" w:rsidRDefault="00527108" w:rsidP="003A6E6A">
            <w:pPr>
              <w:pStyle w:val="Tablewriting"/>
              <w:jc w:val="center"/>
              <w:rPr>
                <w:rFonts w:eastAsia="MS Mincho"/>
                <w:highlight w:val="yellow"/>
              </w:rPr>
            </w:pPr>
            <w:r w:rsidRPr="00FE02FD">
              <w:rPr>
                <w:rFonts w:eastAsia="MS Mincho"/>
              </w:rPr>
              <w:t>(</w:t>
            </w:r>
            <w:r>
              <w:rPr>
                <w:rFonts w:eastAsia="MS Mincho"/>
              </w:rPr>
              <w:t>32.4</w:t>
            </w:r>
            <w:r w:rsidRPr="00FE02FD">
              <w:rPr>
                <w:rFonts w:eastAsia="MS Mincho"/>
              </w:rPr>
              <w:t>%)</w:t>
            </w:r>
          </w:p>
        </w:tc>
        <w:tc>
          <w:tcPr>
            <w:tcW w:w="1146" w:type="pct"/>
            <w:shd w:val="clear" w:color="auto" w:fill="auto"/>
            <w:tcMar>
              <w:left w:w="28" w:type="dxa"/>
              <w:right w:w="28" w:type="dxa"/>
            </w:tcMar>
            <w:vAlign w:val="center"/>
          </w:tcPr>
          <w:p w:rsidR="00527108" w:rsidRPr="00FE02FD" w:rsidRDefault="00527108" w:rsidP="003A6E6A">
            <w:pPr>
              <w:pStyle w:val="Tablewriting"/>
              <w:jc w:val="center"/>
              <w:rPr>
                <w:rFonts w:eastAsia="MS Mincho"/>
              </w:rPr>
            </w:pPr>
            <w:r w:rsidRPr="00FE02FD">
              <w:rPr>
                <w:rFonts w:eastAsia="MS Mincho"/>
              </w:rPr>
              <w:t>90/395</w:t>
            </w:r>
          </w:p>
          <w:p w:rsidR="00FE02FD" w:rsidRPr="005C3469" w:rsidRDefault="00527108" w:rsidP="003A6E6A">
            <w:pPr>
              <w:pStyle w:val="Tablewriting"/>
              <w:jc w:val="center"/>
              <w:rPr>
                <w:rFonts w:eastAsia="MS Mincho"/>
                <w:highlight w:val="yellow"/>
              </w:rPr>
            </w:pPr>
            <w:r w:rsidRPr="00FE02FD">
              <w:rPr>
                <w:rFonts w:eastAsia="MS Mincho"/>
              </w:rPr>
              <w:t>(</w:t>
            </w:r>
            <w:r>
              <w:rPr>
                <w:rFonts w:eastAsia="MS Mincho"/>
              </w:rPr>
              <w:t>22.8</w:t>
            </w:r>
            <w:r w:rsidRPr="00FE02FD">
              <w:rPr>
                <w:rFonts w:eastAsia="MS Mincho"/>
              </w:rPr>
              <w:t>%)</w:t>
            </w:r>
          </w:p>
        </w:tc>
        <w:tc>
          <w:tcPr>
            <w:tcW w:w="1004" w:type="pct"/>
            <w:vAlign w:val="center"/>
          </w:tcPr>
          <w:p w:rsidR="00527108" w:rsidRPr="00FE02FD" w:rsidRDefault="00527108" w:rsidP="003A6E6A">
            <w:pPr>
              <w:pStyle w:val="Tablewriting"/>
              <w:jc w:val="center"/>
              <w:rPr>
                <w:b/>
                <w:bCs/>
              </w:rPr>
            </w:pPr>
            <w:r w:rsidRPr="00FE02FD">
              <w:rPr>
                <w:b/>
                <w:bCs/>
              </w:rPr>
              <w:t>1.62</w:t>
            </w:r>
          </w:p>
          <w:p w:rsidR="00FE02FD" w:rsidRPr="006A66DE" w:rsidRDefault="00527108" w:rsidP="003A6E6A">
            <w:pPr>
              <w:pStyle w:val="Tablewriting"/>
              <w:jc w:val="center"/>
            </w:pPr>
            <w:r w:rsidRPr="00FE02FD">
              <w:rPr>
                <w:b/>
                <w:bCs/>
              </w:rPr>
              <w:t>(1.18, 2.23)</w:t>
            </w:r>
          </w:p>
        </w:tc>
      </w:tr>
    </w:tbl>
    <w:p w:rsidR="00FE02FD" w:rsidRDefault="00FE02FD" w:rsidP="003A6E6A">
      <w:pPr>
        <w:pStyle w:val="TableFooter"/>
      </w:pPr>
      <w:r>
        <w:t>Source: Chang et al. (2015)</w:t>
      </w:r>
    </w:p>
    <w:p w:rsidR="00FE02FD" w:rsidRPr="0070738C" w:rsidRDefault="00FE02FD" w:rsidP="003A6E6A">
      <w:pPr>
        <w:pStyle w:val="TableFooter"/>
        <w:rPr>
          <w:i/>
        </w:rPr>
      </w:pPr>
      <w:r>
        <w:t xml:space="preserve">Abbreviations: CI = confidence interval; </w:t>
      </w:r>
      <w:r w:rsidR="00ED2613">
        <w:t xml:space="preserve">MA = meta-analysis; </w:t>
      </w:r>
      <w:r>
        <w:t xml:space="preserve">OR = odds ratio; RCT = randomised controlled trial; </w:t>
      </w:r>
      <w:r w:rsidR="00ED2613">
        <w:t>SR = systematic review</w:t>
      </w:r>
    </w:p>
    <w:p w:rsidR="0013314B" w:rsidRDefault="00FE02FD" w:rsidP="003A6E6A">
      <w:pPr>
        <w:pStyle w:val="TableFooter"/>
      </w:pPr>
      <w:r w:rsidRPr="00D468CF">
        <w:t>Note</w:t>
      </w:r>
      <w:r>
        <w:t>s</w:t>
      </w:r>
      <w:r w:rsidRPr="00D468CF">
        <w:t xml:space="preserve">: </w:t>
      </w:r>
      <w:r>
        <w:t xml:space="preserve">Calculated during the review. </w:t>
      </w:r>
      <w:r w:rsidRPr="00D468CF">
        <w:t>Bold indicates statistically significant difference.</w:t>
      </w:r>
      <w:r>
        <w:br/>
        <w:t>1</w:t>
      </w:r>
      <w:r w:rsidR="00D44EAE">
        <w:t xml:space="preserve"> </w:t>
      </w:r>
      <w:r w:rsidR="00D44EAE" w:rsidRPr="00C44BB6">
        <w:t xml:space="preserve">Calculated </w:t>
      </w:r>
      <w:r w:rsidR="00E024D8" w:rsidRPr="00C44BB6">
        <w:t xml:space="preserve">by </w:t>
      </w:r>
      <w:r w:rsidR="00B852F8" w:rsidRPr="00C44BB6">
        <w:t>Chang et al. (2015)</w:t>
      </w:r>
      <w:r w:rsidR="00D44EAE" w:rsidRPr="00C44BB6">
        <w:t xml:space="preserve"> using a fixed-effect model</w:t>
      </w:r>
      <w:r w:rsidR="004021FA">
        <w:t>. Odds ratio was reported in the original publication.</w:t>
      </w:r>
    </w:p>
    <w:p w:rsidR="004B53F8" w:rsidRDefault="004B53F8" w:rsidP="004B53F8">
      <w:pPr>
        <w:pStyle w:val="TableFooter"/>
      </w:pPr>
      <w:r>
        <w:t>2 Early outcome was defined as the quit rate assessed before or at the end of treatment completion.</w:t>
      </w:r>
    </w:p>
    <w:p w:rsidR="004B53F8" w:rsidRPr="00061F78" w:rsidRDefault="004B53F8" w:rsidP="004B53F8">
      <w:pPr>
        <w:pStyle w:val="TableFooter"/>
      </w:pPr>
      <w:r>
        <w:t>3 Late outcome was defined as the quit rate assessed for a period of time after the end of treatment completion, majorly at 24 or more weeks.</w:t>
      </w:r>
    </w:p>
    <w:p w:rsidR="004B53F8" w:rsidRDefault="004B53F8" w:rsidP="003A6E6A">
      <w:pPr>
        <w:pStyle w:val="TableFooter"/>
      </w:pPr>
    </w:p>
    <w:p w:rsidR="00B60FDA" w:rsidRDefault="00310024" w:rsidP="00B60FDA">
      <w:r w:rsidRPr="00310024">
        <w:t xml:space="preserve">The results of the individual studies included in </w:t>
      </w:r>
      <w:r w:rsidR="00111C50">
        <w:t>Chang</w:t>
      </w:r>
      <w:r w:rsidRPr="00310024">
        <w:t xml:space="preserve"> et al. (201</w:t>
      </w:r>
      <w:r w:rsidR="00111C50">
        <w:t>5</w:t>
      </w:r>
      <w:r w:rsidRPr="00310024">
        <w:t xml:space="preserve">) are presented using a forest plot in </w:t>
      </w:r>
      <w:r w:rsidR="003C4A1C">
        <w:t xml:space="preserve">Figure </w:t>
      </w:r>
      <w:r w:rsidR="003C4A1C">
        <w:rPr>
          <w:noProof/>
        </w:rPr>
        <w:t>19</w:t>
      </w:r>
      <w:r w:rsidR="009B1121">
        <w:t xml:space="preserve"> and </w:t>
      </w:r>
      <w:r w:rsidR="003C4A1C">
        <w:t xml:space="preserve">Figure </w:t>
      </w:r>
      <w:r w:rsidR="003C4A1C">
        <w:rPr>
          <w:noProof/>
        </w:rPr>
        <w:t>20</w:t>
      </w:r>
      <w:r w:rsidRPr="00310024">
        <w:t>.</w:t>
      </w:r>
      <w:r w:rsidR="00D52925">
        <w:t xml:space="preserve"> </w:t>
      </w:r>
      <w:r w:rsidR="00BA11C6">
        <w:t xml:space="preserve">Chang et al. (2015) conducted a sensitivity analysis by excluding </w:t>
      </w:r>
      <w:r w:rsidR="00FC208C">
        <w:t>one RCT</w:t>
      </w:r>
      <w:r w:rsidR="0058346F">
        <w:t xml:space="preserve"> </w:t>
      </w:r>
      <w:r w:rsidR="004D542D">
        <w:t xml:space="preserve">(Koegelenberg et al. 2014) </w:t>
      </w:r>
      <w:r w:rsidR="0058346F">
        <w:t>identified to be different in study design</w:t>
      </w:r>
      <w:r w:rsidR="00F451AC">
        <w:t xml:space="preserve"> </w:t>
      </w:r>
      <w:r w:rsidR="00F451AC" w:rsidRPr="00F451AC">
        <w:t>(pre-cessation treatment with patch) and</w:t>
      </w:r>
      <w:r w:rsidR="000220DF">
        <w:t xml:space="preserve"> </w:t>
      </w:r>
      <w:r w:rsidR="00F451AC" w:rsidRPr="00F451AC">
        <w:t>participant characteristics (more females than males)</w:t>
      </w:r>
      <w:r w:rsidR="004D542D">
        <w:t>.</w:t>
      </w:r>
      <w:r w:rsidR="00FA45DA">
        <w:t xml:space="preserve"> It was noted that the </w:t>
      </w:r>
      <w:r w:rsidR="001562C2">
        <w:t>result</w:t>
      </w:r>
      <w:r w:rsidR="00026B80">
        <w:t>s were not significant</w:t>
      </w:r>
      <w:r w:rsidR="00741050">
        <w:t>ly different</w:t>
      </w:r>
      <w:r w:rsidR="00856C27">
        <w:t xml:space="preserve"> </w:t>
      </w:r>
      <w:r w:rsidR="003112C7">
        <w:t xml:space="preserve">between treatment arms </w:t>
      </w:r>
      <w:r w:rsidR="00856C27">
        <w:t>in both early and late outcomes after excluding Koegelenberg et al. (2014).</w:t>
      </w:r>
    </w:p>
    <w:p w:rsidR="0087052F" w:rsidRDefault="00352E83" w:rsidP="0087052F">
      <w:pPr>
        <w:keepNext/>
      </w:pPr>
      <w:r>
        <w:rPr>
          <w:noProof/>
        </w:rPr>
        <w:drawing>
          <wp:inline distT="0" distB="0" distL="0" distR="0" wp14:anchorId="652EFE65" wp14:editId="72B4AFFD">
            <wp:extent cx="5731510" cy="1165225"/>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38">
                      <a:extLst>
                        <a:ext uri="{28A0092B-C50C-407E-A947-70E740481C1C}">
                          <a14:useLocalDpi xmlns:a14="http://schemas.microsoft.com/office/drawing/2010/main" val="0"/>
                        </a:ext>
                      </a:extLst>
                    </a:blip>
                    <a:stretch>
                      <a:fillRect/>
                    </a:stretch>
                  </pic:blipFill>
                  <pic:spPr>
                    <a:xfrm>
                      <a:off x="0" y="0"/>
                      <a:ext cx="5731510" cy="1165225"/>
                    </a:xfrm>
                    <a:prstGeom prst="rect">
                      <a:avLst/>
                    </a:prstGeom>
                  </pic:spPr>
                </pic:pic>
              </a:graphicData>
            </a:graphic>
          </wp:inline>
        </w:drawing>
      </w:r>
    </w:p>
    <w:p w:rsidR="0084665F" w:rsidRDefault="0087052F" w:rsidP="0087052F">
      <w:pPr>
        <w:pStyle w:val="Caption"/>
      </w:pPr>
      <w:bookmarkStart w:id="157" w:name="_Ref55473685"/>
      <w:r>
        <w:t xml:space="preserve">Figure </w:t>
      </w:r>
      <w:r w:rsidR="003C4A1C">
        <w:rPr>
          <w:noProof/>
        </w:rPr>
        <w:t>19</w:t>
      </w:r>
      <w:bookmarkEnd w:id="157"/>
      <w:r>
        <w:t xml:space="preserve">: </w:t>
      </w:r>
      <w:r w:rsidRPr="000E4F14">
        <w:t xml:space="preserve">Results of smoking cessation </w:t>
      </w:r>
      <w:r w:rsidR="00710D40">
        <w:t xml:space="preserve">in terms of early efficacy outcome in </w:t>
      </w:r>
      <w:r w:rsidR="000F5972">
        <w:t>Chang</w:t>
      </w:r>
      <w:r w:rsidRPr="000E4F14">
        <w:t xml:space="preserve"> et al. (201</w:t>
      </w:r>
      <w:r w:rsidR="000F5972">
        <w:t>5</w:t>
      </w:r>
      <w:r w:rsidRPr="000E4F14">
        <w:t xml:space="preserve">), </w:t>
      </w:r>
      <w:r w:rsidR="000F5972">
        <w:t>varenicline plus</w:t>
      </w:r>
      <w:r w:rsidRPr="000E4F14">
        <w:t xml:space="preserve"> NRT versus </w:t>
      </w:r>
      <w:r w:rsidR="000F5972">
        <w:t>varenicline alone</w:t>
      </w:r>
    </w:p>
    <w:p w:rsidR="000F5972" w:rsidRDefault="000F5972" w:rsidP="000F5972">
      <w:pPr>
        <w:pStyle w:val="FigureFooter"/>
      </w:pPr>
      <w:r>
        <w:t>Source: Chang et al. (2015)</w:t>
      </w:r>
    </w:p>
    <w:p w:rsidR="000F5972" w:rsidRDefault="000F5972" w:rsidP="000F5972">
      <w:pPr>
        <w:pStyle w:val="FigureFooter"/>
      </w:pPr>
      <w:r>
        <w:t>Abbreviations: CI = confidence interval</w:t>
      </w:r>
    </w:p>
    <w:p w:rsidR="0087052F" w:rsidRPr="0087052F" w:rsidRDefault="0087052F" w:rsidP="0087052F"/>
    <w:p w:rsidR="000F5972" w:rsidRDefault="0087052F" w:rsidP="000F5972">
      <w:pPr>
        <w:keepNext/>
      </w:pPr>
      <w:r>
        <w:rPr>
          <w:noProof/>
        </w:rPr>
        <w:drawing>
          <wp:inline distT="0" distB="0" distL="0" distR="0" wp14:anchorId="6A07D990" wp14:editId="0F21F37F">
            <wp:extent cx="5731510" cy="1060450"/>
            <wp:effectExtent l="0" t="0" r="254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pic:nvPicPr>
                  <pic:blipFill>
                    <a:blip r:embed="rId39">
                      <a:extLst>
                        <a:ext uri="{28A0092B-C50C-407E-A947-70E740481C1C}">
                          <a14:useLocalDpi xmlns:a14="http://schemas.microsoft.com/office/drawing/2010/main" val="0"/>
                        </a:ext>
                      </a:extLst>
                    </a:blip>
                    <a:stretch>
                      <a:fillRect/>
                    </a:stretch>
                  </pic:blipFill>
                  <pic:spPr>
                    <a:xfrm>
                      <a:off x="0" y="0"/>
                      <a:ext cx="5731510" cy="1060450"/>
                    </a:xfrm>
                    <a:prstGeom prst="rect">
                      <a:avLst/>
                    </a:prstGeom>
                  </pic:spPr>
                </pic:pic>
              </a:graphicData>
            </a:graphic>
          </wp:inline>
        </w:drawing>
      </w:r>
    </w:p>
    <w:p w:rsidR="00352E83" w:rsidRDefault="000F5972" w:rsidP="000F5972">
      <w:pPr>
        <w:pStyle w:val="Caption"/>
      </w:pPr>
      <w:bookmarkStart w:id="158" w:name="_Ref55473686"/>
      <w:r>
        <w:t xml:space="preserve">Figure </w:t>
      </w:r>
      <w:r w:rsidR="003C4A1C">
        <w:rPr>
          <w:noProof/>
        </w:rPr>
        <w:t>20</w:t>
      </w:r>
      <w:bookmarkEnd w:id="158"/>
      <w:r>
        <w:t xml:space="preserve">: </w:t>
      </w:r>
      <w:r w:rsidRPr="009B63FA">
        <w:t xml:space="preserve">Results of smoking cessation in terms of </w:t>
      </w:r>
      <w:r>
        <w:t>late</w:t>
      </w:r>
      <w:r w:rsidRPr="009B63FA">
        <w:t xml:space="preserve"> efficacy outcome in Chang et al. (2015), varenicline plus NRT versus varenicline alone</w:t>
      </w:r>
    </w:p>
    <w:p w:rsidR="000F5972" w:rsidRDefault="000F5972" w:rsidP="000F5972">
      <w:pPr>
        <w:pStyle w:val="FigureFooter"/>
      </w:pPr>
      <w:r>
        <w:lastRenderedPageBreak/>
        <w:t>Source: Chang et al. (2015)</w:t>
      </w:r>
    </w:p>
    <w:p w:rsidR="000F5972" w:rsidRDefault="000F5972" w:rsidP="000F5972">
      <w:pPr>
        <w:pStyle w:val="FigureFooter"/>
      </w:pPr>
      <w:r>
        <w:t>Abbreviations: CI = confidence interval</w:t>
      </w:r>
    </w:p>
    <w:p w:rsidR="0092721A" w:rsidRPr="0092721A" w:rsidRDefault="0092721A" w:rsidP="0092721A">
      <w:pPr>
        <w:rPr>
          <w:u w:val="single"/>
        </w:rPr>
      </w:pPr>
      <w:r w:rsidRPr="0092721A">
        <w:rPr>
          <w:u w:val="single"/>
        </w:rPr>
        <w:t>Safety</w:t>
      </w:r>
    </w:p>
    <w:p w:rsidR="00721E27" w:rsidRDefault="00721E27" w:rsidP="0092721A">
      <w:r w:rsidRPr="00721E27">
        <w:t xml:space="preserve">A summary of adverse events </w:t>
      </w:r>
      <w:r>
        <w:t xml:space="preserve">comparing varenicline plus NRT patch with varenicline alone </w:t>
      </w:r>
      <w:r w:rsidRPr="00721E27">
        <w:t xml:space="preserve">is presented in </w:t>
      </w:r>
      <w:r w:rsidR="003C4A1C">
        <w:t xml:space="preserve">Table </w:t>
      </w:r>
      <w:r w:rsidR="003C4A1C">
        <w:rPr>
          <w:noProof/>
        </w:rPr>
        <w:t>69</w:t>
      </w:r>
      <w:r w:rsidRPr="00721E27">
        <w:t xml:space="preserve">. Based on the </w:t>
      </w:r>
      <w:r>
        <w:t xml:space="preserve">meta-analysis </w:t>
      </w:r>
      <w:r w:rsidRPr="00721E27">
        <w:t xml:space="preserve">by </w:t>
      </w:r>
      <w:r>
        <w:t>Chang</w:t>
      </w:r>
      <w:r w:rsidRPr="00721E27">
        <w:t xml:space="preserve"> et al. (201</w:t>
      </w:r>
      <w:r>
        <w:t>5</w:t>
      </w:r>
      <w:r w:rsidRPr="00721E27">
        <w:t xml:space="preserve">), there were no statistically significant differences between </w:t>
      </w:r>
      <w:r w:rsidR="00FF6D45">
        <w:t>varenicline plus</w:t>
      </w:r>
      <w:r w:rsidRPr="00721E27">
        <w:t xml:space="preserve"> NRT</w:t>
      </w:r>
      <w:r w:rsidR="00FF6D45">
        <w:t xml:space="preserve"> patch</w:t>
      </w:r>
      <w:r w:rsidRPr="00721E27">
        <w:t xml:space="preserve"> and </w:t>
      </w:r>
      <w:r w:rsidR="00FF6D45">
        <w:t xml:space="preserve">varenicline plus placebo patch (i.e. varenicline alone) </w:t>
      </w:r>
      <w:r w:rsidRPr="00721E27">
        <w:t xml:space="preserve">in terms of </w:t>
      </w:r>
      <w:r w:rsidR="00FF6D45">
        <w:t>nausea, insomnia, abnormal dreams or headache, although a numerically higher incidence rate was observed in the varenicline plus NRT patch arm</w:t>
      </w:r>
      <w:r w:rsidRPr="00721E27">
        <w:t xml:space="preserve">. </w:t>
      </w:r>
    </w:p>
    <w:p w:rsidR="00A6390F" w:rsidRDefault="00A6390F" w:rsidP="00A6390F">
      <w:pPr>
        <w:pStyle w:val="Caption"/>
        <w:keepNext/>
      </w:pPr>
      <w:bookmarkStart w:id="159" w:name="_Ref55477353"/>
      <w:r>
        <w:t xml:space="preserve">Table </w:t>
      </w:r>
      <w:r w:rsidR="003C4A1C">
        <w:rPr>
          <w:noProof/>
        </w:rPr>
        <w:t>69</w:t>
      </w:r>
      <w:bookmarkEnd w:id="159"/>
      <w:r>
        <w:t xml:space="preserve">: </w:t>
      </w:r>
      <w:r w:rsidRPr="00E75D7B">
        <w:t xml:space="preserve">Summary of adverse events in </w:t>
      </w:r>
      <w:r>
        <w:t>Chang</w:t>
      </w:r>
      <w:r w:rsidRPr="00E75D7B">
        <w:t xml:space="preserve"> et al. (20</w:t>
      </w:r>
      <w:r>
        <w:t>15</w:t>
      </w:r>
      <w:r w:rsidRPr="00E75D7B">
        <w:t xml:space="preserve">), </w:t>
      </w:r>
      <w:r>
        <w:t xml:space="preserve">varenicline plus </w:t>
      </w:r>
      <w:r w:rsidRPr="00E75D7B">
        <w:t xml:space="preserve">NRT versus </w:t>
      </w:r>
      <w:r>
        <w:t>varenicline alone</w:t>
      </w:r>
    </w:p>
    <w:tbl>
      <w:tblPr>
        <w:tblStyle w:val="TableGrid"/>
        <w:tblW w:w="5000" w:type="pct"/>
        <w:tblLook w:val="04A0" w:firstRow="1" w:lastRow="0" w:firstColumn="1" w:lastColumn="0" w:noHBand="0" w:noVBand="1"/>
        <w:tblCaption w:val="Efficacy results of adalimumab trials (PASI 75 and DLQI)"/>
      </w:tblPr>
      <w:tblGrid>
        <w:gridCol w:w="1601"/>
        <w:gridCol w:w="1562"/>
        <w:gridCol w:w="1953"/>
        <w:gridCol w:w="2144"/>
        <w:gridCol w:w="1756"/>
      </w:tblGrid>
      <w:tr w:rsidR="0008509E" w:rsidRPr="00061F78" w:rsidTr="00A8247E">
        <w:trPr>
          <w:cantSplit/>
          <w:trHeight w:val="299"/>
          <w:tblHeader/>
        </w:trPr>
        <w:tc>
          <w:tcPr>
            <w:tcW w:w="888" w:type="pct"/>
            <w:shd w:val="clear" w:color="auto" w:fill="BFBFBF" w:themeFill="background1" w:themeFillShade="BF"/>
            <w:tcMar>
              <w:left w:w="28" w:type="dxa"/>
              <w:right w:w="28" w:type="dxa"/>
            </w:tcMar>
          </w:tcPr>
          <w:p w:rsidR="00721E27" w:rsidRDefault="00721E27" w:rsidP="00503D09">
            <w:pPr>
              <w:pStyle w:val="Tableheading"/>
              <w:rPr>
                <w:rFonts w:eastAsia="MS Mincho"/>
              </w:rPr>
            </w:pPr>
            <w:r>
              <w:rPr>
                <w:rFonts w:eastAsia="MS Mincho"/>
              </w:rPr>
              <w:t>Outcome</w:t>
            </w:r>
          </w:p>
        </w:tc>
        <w:tc>
          <w:tcPr>
            <w:tcW w:w="866" w:type="pct"/>
            <w:shd w:val="clear" w:color="auto" w:fill="BFBFBF" w:themeFill="background1" w:themeFillShade="BF"/>
          </w:tcPr>
          <w:p w:rsidR="00721E27" w:rsidRDefault="00721E27" w:rsidP="00503D09">
            <w:pPr>
              <w:pStyle w:val="Tableheading"/>
              <w:jc w:val="center"/>
              <w:rPr>
                <w:rFonts w:eastAsia="MS Mincho"/>
              </w:rPr>
            </w:pPr>
            <w:r>
              <w:rPr>
                <w:rFonts w:eastAsia="MS Mincho"/>
              </w:rPr>
              <w:t>Study type</w:t>
            </w:r>
          </w:p>
        </w:tc>
        <w:tc>
          <w:tcPr>
            <w:tcW w:w="1083" w:type="pct"/>
            <w:shd w:val="clear" w:color="auto" w:fill="BFBFBF" w:themeFill="background1" w:themeFillShade="BF"/>
            <w:tcMar>
              <w:left w:w="28" w:type="dxa"/>
              <w:right w:w="28" w:type="dxa"/>
            </w:tcMar>
            <w:vAlign w:val="center"/>
          </w:tcPr>
          <w:p w:rsidR="00721E27" w:rsidRPr="00520D7D" w:rsidRDefault="00721E27" w:rsidP="00503D09">
            <w:pPr>
              <w:pStyle w:val="Tableheading"/>
              <w:jc w:val="center"/>
              <w:rPr>
                <w:rFonts w:eastAsia="MS Mincho"/>
                <w:vertAlign w:val="superscript"/>
              </w:rPr>
            </w:pPr>
            <w:r>
              <w:rPr>
                <w:rFonts w:eastAsia="MS Mincho"/>
              </w:rPr>
              <w:t>Varenicline plus NRT patch</w:t>
            </w:r>
            <w:r>
              <w:rPr>
                <w:rFonts w:eastAsia="MS Mincho"/>
                <w:vertAlign w:val="superscript"/>
              </w:rPr>
              <w:t>1</w:t>
            </w:r>
          </w:p>
        </w:tc>
        <w:tc>
          <w:tcPr>
            <w:tcW w:w="1189" w:type="pct"/>
            <w:shd w:val="clear" w:color="auto" w:fill="BFBFBF" w:themeFill="background1" w:themeFillShade="BF"/>
            <w:tcMar>
              <w:left w:w="28" w:type="dxa"/>
              <w:right w:w="28" w:type="dxa"/>
            </w:tcMar>
            <w:vAlign w:val="center"/>
          </w:tcPr>
          <w:p w:rsidR="00721E27" w:rsidRPr="00F46EC0" w:rsidRDefault="00721E27" w:rsidP="00503D09">
            <w:pPr>
              <w:pStyle w:val="Tableheading"/>
              <w:jc w:val="center"/>
              <w:rPr>
                <w:rFonts w:eastAsia="MS Mincho"/>
                <w:vertAlign w:val="superscript"/>
              </w:rPr>
            </w:pPr>
            <w:r>
              <w:rPr>
                <w:rFonts w:eastAsia="MS Mincho"/>
              </w:rPr>
              <w:t>Varenicline plus placebo patch</w:t>
            </w:r>
            <w:r>
              <w:rPr>
                <w:rFonts w:eastAsia="MS Mincho"/>
                <w:vertAlign w:val="superscript"/>
              </w:rPr>
              <w:t>1</w:t>
            </w:r>
          </w:p>
        </w:tc>
        <w:tc>
          <w:tcPr>
            <w:tcW w:w="974" w:type="pct"/>
            <w:shd w:val="clear" w:color="auto" w:fill="BFBFBF" w:themeFill="background1" w:themeFillShade="BF"/>
            <w:vAlign w:val="center"/>
          </w:tcPr>
          <w:p w:rsidR="00721E27" w:rsidRDefault="00721E27" w:rsidP="00503D09">
            <w:pPr>
              <w:pStyle w:val="Tableheading"/>
              <w:jc w:val="center"/>
              <w:rPr>
                <w:rFonts w:eastAsia="MS Mincho"/>
              </w:rPr>
            </w:pPr>
            <w:r>
              <w:t>O</w:t>
            </w:r>
            <w:r w:rsidRPr="006A66DE">
              <w:t>R (95% CI)</w:t>
            </w:r>
            <w:r>
              <w:rPr>
                <w:vertAlign w:val="superscript"/>
              </w:rPr>
              <w:t>2</w:t>
            </w:r>
          </w:p>
        </w:tc>
      </w:tr>
      <w:tr w:rsidR="00721E27" w:rsidRPr="00061F78" w:rsidTr="00A8247E">
        <w:trPr>
          <w:cantSplit/>
          <w:trHeight w:val="149"/>
        </w:trPr>
        <w:tc>
          <w:tcPr>
            <w:tcW w:w="888" w:type="pct"/>
            <w:tcMar>
              <w:left w:w="28" w:type="dxa"/>
              <w:right w:w="28" w:type="dxa"/>
            </w:tcMar>
          </w:tcPr>
          <w:p w:rsidR="00721E27" w:rsidRDefault="00721E27" w:rsidP="00503D09">
            <w:pPr>
              <w:pStyle w:val="Tablewriting"/>
              <w:rPr>
                <w:rFonts w:eastAsia="MS Mincho"/>
              </w:rPr>
            </w:pPr>
            <w:r>
              <w:rPr>
                <w:rFonts w:eastAsia="MS Mincho"/>
              </w:rPr>
              <w:t>Nausea</w:t>
            </w:r>
          </w:p>
        </w:tc>
        <w:tc>
          <w:tcPr>
            <w:tcW w:w="866" w:type="pct"/>
          </w:tcPr>
          <w:p w:rsidR="00721E27" w:rsidRDefault="00721E27" w:rsidP="00503D09">
            <w:pPr>
              <w:pStyle w:val="Tablewriting"/>
              <w:jc w:val="center"/>
              <w:rPr>
                <w:rFonts w:eastAsia="MS Mincho"/>
              </w:rPr>
            </w:pPr>
            <w:r>
              <w:rPr>
                <w:rFonts w:eastAsia="MS Mincho"/>
              </w:rPr>
              <w:t>SR &amp; MA</w:t>
            </w:r>
          </w:p>
          <w:p w:rsidR="00721E27" w:rsidRDefault="00721E27" w:rsidP="00503D09">
            <w:pPr>
              <w:pStyle w:val="Tablewriting"/>
              <w:jc w:val="center"/>
              <w:rPr>
                <w:rFonts w:eastAsia="MS Mincho"/>
              </w:rPr>
            </w:pPr>
            <w:r>
              <w:rPr>
                <w:rFonts w:eastAsia="MS Mincho"/>
              </w:rPr>
              <w:t>(3 RCTs)</w:t>
            </w:r>
          </w:p>
        </w:tc>
        <w:tc>
          <w:tcPr>
            <w:tcW w:w="1083" w:type="pct"/>
            <w:tcMar>
              <w:left w:w="28" w:type="dxa"/>
              <w:right w:w="28" w:type="dxa"/>
            </w:tcMar>
            <w:vAlign w:val="center"/>
          </w:tcPr>
          <w:p w:rsidR="00721E27" w:rsidRDefault="00721E27" w:rsidP="00503D09">
            <w:pPr>
              <w:pStyle w:val="Tablewriting"/>
              <w:jc w:val="center"/>
              <w:rPr>
                <w:rFonts w:eastAsia="MS Mincho"/>
              </w:rPr>
            </w:pPr>
            <w:r>
              <w:rPr>
                <w:rFonts w:eastAsia="MS Mincho"/>
              </w:rPr>
              <w:t>123/444</w:t>
            </w:r>
          </w:p>
          <w:p w:rsidR="00721E27" w:rsidRPr="00F46EC0" w:rsidRDefault="00721E27" w:rsidP="00503D09">
            <w:pPr>
              <w:pStyle w:val="Tablewriting"/>
              <w:jc w:val="center"/>
              <w:rPr>
                <w:rFonts w:eastAsia="MS Mincho"/>
                <w:vertAlign w:val="superscript"/>
              </w:rPr>
            </w:pPr>
            <w:r>
              <w:rPr>
                <w:rFonts w:eastAsia="MS Mincho"/>
              </w:rPr>
              <w:t>(27.7%)</w:t>
            </w:r>
            <w:r>
              <w:rPr>
                <w:rFonts w:eastAsia="MS Mincho"/>
                <w:vertAlign w:val="superscript"/>
              </w:rPr>
              <w:t>a</w:t>
            </w:r>
          </w:p>
        </w:tc>
        <w:tc>
          <w:tcPr>
            <w:tcW w:w="1189" w:type="pct"/>
            <w:tcMar>
              <w:left w:w="28" w:type="dxa"/>
              <w:right w:w="28" w:type="dxa"/>
            </w:tcMar>
            <w:vAlign w:val="center"/>
          </w:tcPr>
          <w:p w:rsidR="00721E27" w:rsidRDefault="00721E27" w:rsidP="00503D09">
            <w:pPr>
              <w:pStyle w:val="Tablewriting"/>
              <w:jc w:val="center"/>
              <w:rPr>
                <w:rFonts w:eastAsia="MS Mincho"/>
              </w:rPr>
            </w:pPr>
            <w:r>
              <w:rPr>
                <w:rFonts w:eastAsia="MS Mincho"/>
              </w:rPr>
              <w:t>113/449</w:t>
            </w:r>
          </w:p>
          <w:p w:rsidR="00721E27" w:rsidRPr="00F46EC0" w:rsidRDefault="00721E27" w:rsidP="00503D09">
            <w:pPr>
              <w:pStyle w:val="Tablewriting"/>
              <w:jc w:val="center"/>
              <w:rPr>
                <w:rFonts w:eastAsia="MS Mincho"/>
                <w:vertAlign w:val="superscript"/>
              </w:rPr>
            </w:pPr>
            <w:r>
              <w:rPr>
                <w:rFonts w:eastAsia="MS Mincho"/>
              </w:rPr>
              <w:t>(25.2%)</w:t>
            </w:r>
            <w:r>
              <w:rPr>
                <w:rFonts w:eastAsia="MS Mincho"/>
                <w:vertAlign w:val="superscript"/>
              </w:rPr>
              <w:t>a</w:t>
            </w:r>
          </w:p>
        </w:tc>
        <w:tc>
          <w:tcPr>
            <w:tcW w:w="974" w:type="pct"/>
          </w:tcPr>
          <w:p w:rsidR="00721E27" w:rsidRPr="00A8247E" w:rsidRDefault="00721E27" w:rsidP="00503D09">
            <w:pPr>
              <w:pStyle w:val="Tablewriting"/>
              <w:jc w:val="center"/>
            </w:pPr>
            <w:r w:rsidRPr="00A8247E">
              <w:t>1.15</w:t>
            </w:r>
          </w:p>
          <w:p w:rsidR="00721E27" w:rsidRPr="00A8247E" w:rsidRDefault="00721E27" w:rsidP="00503D09">
            <w:pPr>
              <w:pStyle w:val="Tablewriting"/>
              <w:jc w:val="center"/>
            </w:pPr>
            <w:r w:rsidRPr="00A8247E">
              <w:t>(0.85, 1.56)</w:t>
            </w:r>
          </w:p>
        </w:tc>
      </w:tr>
      <w:tr w:rsidR="00721E27" w:rsidRPr="00061F78" w:rsidTr="00A8247E">
        <w:trPr>
          <w:cantSplit/>
          <w:trHeight w:val="149"/>
        </w:trPr>
        <w:tc>
          <w:tcPr>
            <w:tcW w:w="888" w:type="pct"/>
            <w:tcMar>
              <w:left w:w="28" w:type="dxa"/>
              <w:right w:w="28" w:type="dxa"/>
            </w:tcMar>
          </w:tcPr>
          <w:p w:rsidR="00721E27" w:rsidRDefault="00721E27" w:rsidP="00503D09">
            <w:pPr>
              <w:pStyle w:val="Tablewriting"/>
              <w:rPr>
                <w:rFonts w:eastAsia="MS Mincho"/>
              </w:rPr>
            </w:pPr>
            <w:r>
              <w:rPr>
                <w:rFonts w:eastAsia="MS Mincho"/>
              </w:rPr>
              <w:t>Insomnia</w:t>
            </w:r>
          </w:p>
        </w:tc>
        <w:tc>
          <w:tcPr>
            <w:tcW w:w="866" w:type="pct"/>
          </w:tcPr>
          <w:p w:rsidR="00721E27" w:rsidRDefault="00721E27" w:rsidP="00503D09">
            <w:pPr>
              <w:pStyle w:val="Tablewriting"/>
              <w:jc w:val="center"/>
              <w:rPr>
                <w:rFonts w:eastAsia="MS Mincho"/>
              </w:rPr>
            </w:pPr>
            <w:r>
              <w:rPr>
                <w:rFonts w:eastAsia="MS Mincho"/>
              </w:rPr>
              <w:t>SR &amp; MA</w:t>
            </w:r>
          </w:p>
          <w:p w:rsidR="00721E27" w:rsidRDefault="00721E27" w:rsidP="00503D09">
            <w:pPr>
              <w:pStyle w:val="Tablewriting"/>
              <w:jc w:val="center"/>
              <w:rPr>
                <w:rFonts w:eastAsia="MS Mincho"/>
              </w:rPr>
            </w:pPr>
            <w:r>
              <w:rPr>
                <w:rFonts w:eastAsia="MS Mincho"/>
              </w:rPr>
              <w:t>(3 RCTs)</w:t>
            </w:r>
          </w:p>
        </w:tc>
        <w:tc>
          <w:tcPr>
            <w:tcW w:w="1083" w:type="pct"/>
            <w:tcMar>
              <w:left w:w="28" w:type="dxa"/>
              <w:right w:w="28" w:type="dxa"/>
            </w:tcMar>
            <w:vAlign w:val="center"/>
          </w:tcPr>
          <w:p w:rsidR="00721E27" w:rsidRDefault="00721E27" w:rsidP="00503D09">
            <w:pPr>
              <w:pStyle w:val="Tablewriting"/>
              <w:jc w:val="center"/>
              <w:rPr>
                <w:rFonts w:eastAsia="MS Mincho"/>
              </w:rPr>
            </w:pPr>
            <w:r>
              <w:rPr>
                <w:rFonts w:eastAsia="MS Mincho"/>
              </w:rPr>
              <w:t>83/444</w:t>
            </w:r>
          </w:p>
          <w:p w:rsidR="00721E27" w:rsidRDefault="00721E27" w:rsidP="00503D09">
            <w:pPr>
              <w:pStyle w:val="Tablewriting"/>
              <w:jc w:val="center"/>
              <w:rPr>
                <w:rFonts w:eastAsia="MS Mincho"/>
              </w:rPr>
            </w:pPr>
            <w:r>
              <w:rPr>
                <w:rFonts w:eastAsia="MS Mincho"/>
              </w:rPr>
              <w:t>(18.7%)</w:t>
            </w:r>
          </w:p>
        </w:tc>
        <w:tc>
          <w:tcPr>
            <w:tcW w:w="1189" w:type="pct"/>
            <w:tcMar>
              <w:left w:w="28" w:type="dxa"/>
              <w:right w:w="28" w:type="dxa"/>
            </w:tcMar>
            <w:vAlign w:val="center"/>
          </w:tcPr>
          <w:p w:rsidR="00721E27" w:rsidRDefault="00721E27" w:rsidP="00503D09">
            <w:pPr>
              <w:pStyle w:val="Tablewriting"/>
              <w:jc w:val="center"/>
              <w:rPr>
                <w:rFonts w:eastAsia="MS Mincho"/>
              </w:rPr>
            </w:pPr>
            <w:r>
              <w:rPr>
                <w:rFonts w:eastAsia="MS Mincho"/>
              </w:rPr>
              <w:t>69/449</w:t>
            </w:r>
          </w:p>
          <w:p w:rsidR="00721E27" w:rsidRDefault="00721E27" w:rsidP="00503D09">
            <w:pPr>
              <w:pStyle w:val="Tablewriting"/>
              <w:jc w:val="center"/>
              <w:rPr>
                <w:rFonts w:eastAsia="MS Mincho"/>
              </w:rPr>
            </w:pPr>
            <w:r>
              <w:rPr>
                <w:rFonts w:eastAsia="MS Mincho"/>
              </w:rPr>
              <w:t>(15.4%)</w:t>
            </w:r>
          </w:p>
        </w:tc>
        <w:tc>
          <w:tcPr>
            <w:tcW w:w="974" w:type="pct"/>
          </w:tcPr>
          <w:p w:rsidR="00721E27" w:rsidRPr="00A8247E" w:rsidRDefault="00721E27" w:rsidP="00503D09">
            <w:pPr>
              <w:pStyle w:val="Tablewriting"/>
              <w:jc w:val="center"/>
            </w:pPr>
            <w:r w:rsidRPr="00A8247E">
              <w:t>1.27</w:t>
            </w:r>
          </w:p>
          <w:p w:rsidR="00721E27" w:rsidRPr="00A8247E" w:rsidRDefault="00721E27" w:rsidP="00503D09">
            <w:pPr>
              <w:pStyle w:val="Tablewriting"/>
              <w:jc w:val="center"/>
            </w:pPr>
            <w:r w:rsidRPr="00A8247E">
              <w:t>(0.89, 1.80)</w:t>
            </w:r>
          </w:p>
        </w:tc>
      </w:tr>
      <w:tr w:rsidR="00721E27" w:rsidRPr="00061F78" w:rsidTr="00A8247E">
        <w:trPr>
          <w:cantSplit/>
          <w:trHeight w:val="149"/>
        </w:trPr>
        <w:tc>
          <w:tcPr>
            <w:tcW w:w="888" w:type="pct"/>
            <w:tcMar>
              <w:left w:w="28" w:type="dxa"/>
              <w:right w:w="28" w:type="dxa"/>
            </w:tcMar>
          </w:tcPr>
          <w:p w:rsidR="00721E27" w:rsidRDefault="00721E27" w:rsidP="00503D09">
            <w:pPr>
              <w:pStyle w:val="Tablewriting"/>
              <w:rPr>
                <w:rFonts w:eastAsia="MS Mincho"/>
              </w:rPr>
            </w:pPr>
            <w:r>
              <w:rPr>
                <w:rFonts w:eastAsia="MS Mincho"/>
              </w:rPr>
              <w:t>Abnormal dreams</w:t>
            </w:r>
          </w:p>
        </w:tc>
        <w:tc>
          <w:tcPr>
            <w:tcW w:w="866" w:type="pct"/>
          </w:tcPr>
          <w:p w:rsidR="00721E27" w:rsidRDefault="00721E27" w:rsidP="00503D09">
            <w:pPr>
              <w:pStyle w:val="Tablewriting"/>
              <w:jc w:val="center"/>
              <w:rPr>
                <w:rFonts w:eastAsia="MS Mincho"/>
              </w:rPr>
            </w:pPr>
            <w:r>
              <w:rPr>
                <w:rFonts w:eastAsia="MS Mincho"/>
              </w:rPr>
              <w:t>SR &amp; MA</w:t>
            </w:r>
          </w:p>
          <w:p w:rsidR="00721E27" w:rsidRDefault="00721E27" w:rsidP="00503D09">
            <w:pPr>
              <w:pStyle w:val="Tablewriting"/>
              <w:jc w:val="center"/>
              <w:rPr>
                <w:rFonts w:eastAsia="MS Mincho"/>
              </w:rPr>
            </w:pPr>
            <w:r>
              <w:rPr>
                <w:rFonts w:eastAsia="MS Mincho"/>
              </w:rPr>
              <w:t>(3 RCTs)</w:t>
            </w:r>
          </w:p>
        </w:tc>
        <w:tc>
          <w:tcPr>
            <w:tcW w:w="1083" w:type="pct"/>
            <w:tcMar>
              <w:left w:w="28" w:type="dxa"/>
              <w:right w:w="28" w:type="dxa"/>
            </w:tcMar>
            <w:vAlign w:val="center"/>
          </w:tcPr>
          <w:p w:rsidR="00721E27" w:rsidRDefault="00721E27" w:rsidP="00503D09">
            <w:pPr>
              <w:pStyle w:val="Tablewriting"/>
              <w:jc w:val="center"/>
              <w:rPr>
                <w:rFonts w:eastAsia="MS Mincho"/>
              </w:rPr>
            </w:pPr>
            <w:r>
              <w:rPr>
                <w:rFonts w:eastAsia="MS Mincho"/>
              </w:rPr>
              <w:t>51/444</w:t>
            </w:r>
          </w:p>
          <w:p w:rsidR="00721E27" w:rsidRPr="00520D7D" w:rsidRDefault="00721E27" w:rsidP="00503D09">
            <w:pPr>
              <w:pStyle w:val="Tablewriting"/>
              <w:jc w:val="center"/>
              <w:rPr>
                <w:rFonts w:eastAsia="MS Mincho"/>
                <w:vertAlign w:val="superscript"/>
              </w:rPr>
            </w:pPr>
            <w:r>
              <w:rPr>
                <w:rFonts w:eastAsia="MS Mincho"/>
              </w:rPr>
              <w:t>(11.5%)</w:t>
            </w:r>
            <w:r>
              <w:rPr>
                <w:rFonts w:eastAsia="MS Mincho"/>
                <w:vertAlign w:val="superscript"/>
              </w:rPr>
              <w:t>a</w:t>
            </w:r>
          </w:p>
        </w:tc>
        <w:tc>
          <w:tcPr>
            <w:tcW w:w="1189" w:type="pct"/>
            <w:tcMar>
              <w:left w:w="28" w:type="dxa"/>
              <w:right w:w="28" w:type="dxa"/>
            </w:tcMar>
            <w:vAlign w:val="center"/>
          </w:tcPr>
          <w:p w:rsidR="00721E27" w:rsidRDefault="00721E27" w:rsidP="00503D09">
            <w:pPr>
              <w:pStyle w:val="Tablewriting"/>
              <w:jc w:val="center"/>
              <w:rPr>
                <w:rFonts w:eastAsia="MS Mincho"/>
              </w:rPr>
            </w:pPr>
            <w:r>
              <w:rPr>
                <w:rFonts w:eastAsia="MS Mincho"/>
              </w:rPr>
              <w:t>44/449</w:t>
            </w:r>
          </w:p>
          <w:p w:rsidR="00721E27" w:rsidRPr="00520D7D" w:rsidRDefault="00721E27" w:rsidP="00503D09">
            <w:pPr>
              <w:pStyle w:val="Tablewriting"/>
              <w:jc w:val="center"/>
              <w:rPr>
                <w:rFonts w:eastAsia="MS Mincho"/>
                <w:vertAlign w:val="superscript"/>
              </w:rPr>
            </w:pPr>
            <w:r>
              <w:rPr>
                <w:rFonts w:eastAsia="MS Mincho"/>
              </w:rPr>
              <w:t>(9.8%)</w:t>
            </w:r>
            <w:r>
              <w:rPr>
                <w:rFonts w:eastAsia="MS Mincho"/>
                <w:vertAlign w:val="superscript"/>
              </w:rPr>
              <w:t>a</w:t>
            </w:r>
          </w:p>
        </w:tc>
        <w:tc>
          <w:tcPr>
            <w:tcW w:w="974" w:type="pct"/>
          </w:tcPr>
          <w:p w:rsidR="00721E27" w:rsidRPr="00A8247E" w:rsidRDefault="00721E27" w:rsidP="00503D09">
            <w:pPr>
              <w:pStyle w:val="Tablewriting"/>
              <w:jc w:val="center"/>
            </w:pPr>
            <w:r w:rsidRPr="00A8247E">
              <w:t>1.20</w:t>
            </w:r>
          </w:p>
          <w:p w:rsidR="00721E27" w:rsidRPr="00A8247E" w:rsidRDefault="00721E27" w:rsidP="00503D09">
            <w:pPr>
              <w:pStyle w:val="Tablewriting"/>
              <w:jc w:val="center"/>
            </w:pPr>
            <w:r w:rsidRPr="00A8247E">
              <w:t>(0.78, 1.84)</w:t>
            </w:r>
          </w:p>
        </w:tc>
      </w:tr>
      <w:tr w:rsidR="00721E27" w:rsidRPr="00061F78" w:rsidTr="00A8247E">
        <w:trPr>
          <w:cantSplit/>
          <w:trHeight w:val="149"/>
        </w:trPr>
        <w:tc>
          <w:tcPr>
            <w:tcW w:w="888" w:type="pct"/>
            <w:tcMar>
              <w:left w:w="28" w:type="dxa"/>
              <w:right w:w="28" w:type="dxa"/>
            </w:tcMar>
          </w:tcPr>
          <w:p w:rsidR="00721E27" w:rsidRDefault="00721E27" w:rsidP="00503D09">
            <w:pPr>
              <w:pStyle w:val="Tablewriting"/>
              <w:rPr>
                <w:rFonts w:eastAsia="MS Mincho"/>
              </w:rPr>
            </w:pPr>
            <w:r>
              <w:rPr>
                <w:rFonts w:eastAsia="MS Mincho"/>
              </w:rPr>
              <w:t>Headache</w:t>
            </w:r>
          </w:p>
        </w:tc>
        <w:tc>
          <w:tcPr>
            <w:tcW w:w="866" w:type="pct"/>
          </w:tcPr>
          <w:p w:rsidR="00721E27" w:rsidRDefault="00721E27" w:rsidP="00503D09">
            <w:pPr>
              <w:pStyle w:val="Tablewriting"/>
              <w:jc w:val="center"/>
              <w:rPr>
                <w:rFonts w:eastAsia="MS Mincho"/>
              </w:rPr>
            </w:pPr>
            <w:r>
              <w:rPr>
                <w:rFonts w:eastAsia="MS Mincho"/>
              </w:rPr>
              <w:t>SR &amp; MA</w:t>
            </w:r>
          </w:p>
          <w:p w:rsidR="00721E27" w:rsidRDefault="00721E27" w:rsidP="00503D09">
            <w:pPr>
              <w:pStyle w:val="Tablewriting"/>
              <w:jc w:val="center"/>
              <w:rPr>
                <w:rFonts w:eastAsia="MS Mincho"/>
              </w:rPr>
            </w:pPr>
            <w:r>
              <w:rPr>
                <w:rFonts w:eastAsia="MS Mincho"/>
              </w:rPr>
              <w:t>(3 RCTs)</w:t>
            </w:r>
          </w:p>
        </w:tc>
        <w:tc>
          <w:tcPr>
            <w:tcW w:w="1083" w:type="pct"/>
            <w:tcMar>
              <w:left w:w="28" w:type="dxa"/>
              <w:right w:w="28" w:type="dxa"/>
            </w:tcMar>
            <w:vAlign w:val="center"/>
          </w:tcPr>
          <w:p w:rsidR="00721E27" w:rsidRDefault="00721E27" w:rsidP="00503D09">
            <w:pPr>
              <w:pStyle w:val="Tablewriting"/>
              <w:jc w:val="center"/>
              <w:rPr>
                <w:rFonts w:eastAsia="MS Mincho"/>
              </w:rPr>
            </w:pPr>
            <w:r>
              <w:rPr>
                <w:rFonts w:eastAsia="MS Mincho"/>
              </w:rPr>
              <w:t>30/444</w:t>
            </w:r>
          </w:p>
          <w:p w:rsidR="00721E27" w:rsidRPr="00520D7D" w:rsidRDefault="00721E27" w:rsidP="00503D09">
            <w:pPr>
              <w:pStyle w:val="Tablewriting"/>
              <w:jc w:val="center"/>
              <w:rPr>
                <w:rFonts w:eastAsia="MS Mincho"/>
                <w:vertAlign w:val="superscript"/>
              </w:rPr>
            </w:pPr>
            <w:r>
              <w:rPr>
                <w:rFonts w:eastAsia="MS Mincho"/>
              </w:rPr>
              <w:t>(6.8%)</w:t>
            </w:r>
            <w:r>
              <w:rPr>
                <w:rFonts w:eastAsia="MS Mincho"/>
                <w:vertAlign w:val="superscript"/>
              </w:rPr>
              <w:t>a</w:t>
            </w:r>
          </w:p>
        </w:tc>
        <w:tc>
          <w:tcPr>
            <w:tcW w:w="1189" w:type="pct"/>
            <w:tcMar>
              <w:left w:w="28" w:type="dxa"/>
              <w:right w:w="28" w:type="dxa"/>
            </w:tcMar>
            <w:vAlign w:val="center"/>
          </w:tcPr>
          <w:p w:rsidR="00721E27" w:rsidRDefault="00721E27" w:rsidP="00503D09">
            <w:pPr>
              <w:pStyle w:val="Tablewriting"/>
              <w:jc w:val="center"/>
              <w:rPr>
                <w:rFonts w:eastAsia="MS Mincho"/>
              </w:rPr>
            </w:pPr>
            <w:r>
              <w:rPr>
                <w:rFonts w:eastAsia="MS Mincho"/>
              </w:rPr>
              <w:t>30/449</w:t>
            </w:r>
          </w:p>
          <w:p w:rsidR="00721E27" w:rsidRPr="00520D7D" w:rsidRDefault="00721E27" w:rsidP="00503D09">
            <w:pPr>
              <w:pStyle w:val="Tablewriting"/>
              <w:jc w:val="center"/>
              <w:rPr>
                <w:rFonts w:eastAsia="MS Mincho"/>
                <w:vertAlign w:val="superscript"/>
              </w:rPr>
            </w:pPr>
            <w:r>
              <w:rPr>
                <w:rFonts w:eastAsia="MS Mincho"/>
              </w:rPr>
              <w:t>(6.7%)</w:t>
            </w:r>
            <w:r>
              <w:rPr>
                <w:rFonts w:eastAsia="MS Mincho"/>
                <w:vertAlign w:val="superscript"/>
              </w:rPr>
              <w:t>a</w:t>
            </w:r>
          </w:p>
        </w:tc>
        <w:tc>
          <w:tcPr>
            <w:tcW w:w="974" w:type="pct"/>
          </w:tcPr>
          <w:p w:rsidR="00721E27" w:rsidRPr="00A8247E" w:rsidRDefault="00721E27" w:rsidP="00503D09">
            <w:pPr>
              <w:pStyle w:val="Tablewriting"/>
              <w:jc w:val="center"/>
            </w:pPr>
            <w:r w:rsidRPr="00A8247E">
              <w:t>1.01</w:t>
            </w:r>
          </w:p>
          <w:p w:rsidR="00721E27" w:rsidRPr="00A8247E" w:rsidRDefault="00721E27" w:rsidP="00503D09">
            <w:pPr>
              <w:pStyle w:val="Tablewriting"/>
              <w:jc w:val="center"/>
            </w:pPr>
            <w:r w:rsidRPr="00A8247E">
              <w:t>(0.60, 1.72)</w:t>
            </w:r>
          </w:p>
        </w:tc>
      </w:tr>
    </w:tbl>
    <w:p w:rsidR="00F46EC0" w:rsidRDefault="00F46EC0" w:rsidP="00F46EC0">
      <w:pPr>
        <w:pStyle w:val="TableFooter"/>
        <w:keepNext/>
      </w:pPr>
      <w:r>
        <w:t>Source: Chang et al. (2015)</w:t>
      </w:r>
    </w:p>
    <w:p w:rsidR="00F46EC0" w:rsidRDefault="00F46EC0" w:rsidP="00F46EC0">
      <w:pPr>
        <w:pStyle w:val="TableFooter"/>
        <w:keepNext/>
      </w:pPr>
      <w:r>
        <w:t xml:space="preserve">Abbreviations: CI = confidence interval; </w:t>
      </w:r>
      <w:r w:rsidR="00721E27">
        <w:t xml:space="preserve">MA = meta-analysis; </w:t>
      </w:r>
      <w:r>
        <w:t xml:space="preserve">NRT = nicotine replacement therapy; RCT = randomised controlled trial; </w:t>
      </w:r>
      <w:r w:rsidR="00721E27">
        <w:t>SR = systematic review</w:t>
      </w:r>
    </w:p>
    <w:p w:rsidR="00F46EC0" w:rsidRDefault="00F46EC0" w:rsidP="00F46EC0">
      <w:pPr>
        <w:pStyle w:val="TableFooter"/>
        <w:keepNext/>
      </w:pPr>
      <w:r w:rsidRPr="00FD4061">
        <w:t>Note</w:t>
      </w:r>
      <w:r>
        <w:t>s</w:t>
      </w:r>
      <w:r w:rsidRPr="00FD4061">
        <w:t>: Bold indicates statistically significant difference.</w:t>
      </w:r>
    </w:p>
    <w:p w:rsidR="00F46EC0" w:rsidRDefault="00F46EC0" w:rsidP="00F46EC0">
      <w:pPr>
        <w:pStyle w:val="TableFooter"/>
        <w:keepNext/>
      </w:pPr>
      <w:r>
        <w:t xml:space="preserve">1 Pooled safety population (N) was not reported in Chang et al. (2015). Calculated based on the numbers reported in individual studies. </w:t>
      </w:r>
    </w:p>
    <w:p w:rsidR="00520D7D" w:rsidRDefault="00F46EC0" w:rsidP="00F46EC0">
      <w:pPr>
        <w:pStyle w:val="TableFooter"/>
        <w:keepNext/>
      </w:pPr>
      <w:r>
        <w:t xml:space="preserve">2 </w:t>
      </w:r>
      <w:r w:rsidRPr="00406215">
        <w:t>Calculated</w:t>
      </w:r>
      <w:r w:rsidR="00825575" w:rsidRPr="00406215">
        <w:t xml:space="preserve"> by Chang et al. (2015)</w:t>
      </w:r>
      <w:r w:rsidRPr="00406215">
        <w:t xml:space="preserve"> using a fixed-effect model.</w:t>
      </w:r>
      <w:r w:rsidRPr="00F46EC0">
        <w:t xml:space="preserve"> Odds ratio was reported in the original publication.</w:t>
      </w:r>
    </w:p>
    <w:p w:rsidR="00F46EC0" w:rsidRDefault="00520D7D" w:rsidP="00F46EC0">
      <w:pPr>
        <w:pStyle w:val="TableFooter"/>
        <w:keepNext/>
      </w:pPr>
      <w:r>
        <w:t xml:space="preserve">a </w:t>
      </w:r>
      <w:r w:rsidR="00F46EC0">
        <w:t xml:space="preserve"> </w:t>
      </w:r>
      <w:r w:rsidRPr="00520D7D">
        <w:t>While the total number of events (n) was correct, the percentages reported in Chang et al. (2015) did not correspond to the n/N calculated. Accordingly, the percentages from the n/N</w:t>
      </w:r>
      <w:r w:rsidR="00721E27">
        <w:t xml:space="preserve"> calculation</w:t>
      </w:r>
      <w:r w:rsidRPr="00520D7D">
        <w:t xml:space="preserve"> was adopted in this table.</w:t>
      </w:r>
    </w:p>
    <w:p w:rsidR="008576E7" w:rsidRPr="008576E7" w:rsidRDefault="008576E7" w:rsidP="008576E7">
      <w:pPr>
        <w:rPr>
          <w:b/>
          <w:bCs/>
        </w:rPr>
      </w:pPr>
      <w:r w:rsidRPr="008576E7">
        <w:rPr>
          <w:b/>
          <w:bCs/>
        </w:rPr>
        <w:t xml:space="preserve">Varenicline in combination with </w:t>
      </w:r>
      <w:r>
        <w:rPr>
          <w:b/>
          <w:bCs/>
        </w:rPr>
        <w:t>bupropion</w:t>
      </w:r>
      <w:r w:rsidRPr="008576E7">
        <w:rPr>
          <w:b/>
          <w:bCs/>
        </w:rPr>
        <w:t xml:space="preserve"> versus varenicline</w:t>
      </w:r>
      <w:r w:rsidR="000E157B">
        <w:rPr>
          <w:b/>
          <w:bCs/>
        </w:rPr>
        <w:t xml:space="preserve"> alone</w:t>
      </w:r>
    </w:p>
    <w:p w:rsidR="0092721A" w:rsidRDefault="008576E7" w:rsidP="008576E7">
      <w:r>
        <w:t xml:space="preserve">A summary of the citation details for the studies comparing varenicline plus </w:t>
      </w:r>
      <w:r w:rsidR="000E157B">
        <w:t>bupropion</w:t>
      </w:r>
      <w:r>
        <w:t xml:space="preserve"> with varenicline alone is presented in </w:t>
      </w:r>
      <w:r w:rsidR="003C4A1C">
        <w:t xml:space="preserve">Table </w:t>
      </w:r>
      <w:r w:rsidR="003C4A1C">
        <w:rPr>
          <w:noProof/>
        </w:rPr>
        <w:t>70</w:t>
      </w:r>
      <w:r>
        <w:t xml:space="preserve">. </w:t>
      </w:r>
      <w:r w:rsidR="000E157B" w:rsidRPr="000E157B">
        <w:t xml:space="preserve">A recently conducted Cochrane </w:t>
      </w:r>
      <w:r w:rsidR="004A7E2B" w:rsidRPr="000E157B">
        <w:t>R</w:t>
      </w:r>
      <w:r w:rsidR="000E157B" w:rsidRPr="000E157B">
        <w:t>eview by H</w:t>
      </w:r>
      <w:r w:rsidR="000E157B">
        <w:t>owes</w:t>
      </w:r>
      <w:r w:rsidR="000E157B" w:rsidRPr="000E157B">
        <w:t xml:space="preserve"> et al. (20</w:t>
      </w:r>
      <w:r w:rsidR="000E157B">
        <w:t>20</w:t>
      </w:r>
      <w:r w:rsidR="000E157B" w:rsidRPr="000E157B">
        <w:t xml:space="preserve">) was identified in the systematic literature review that compared </w:t>
      </w:r>
      <w:r w:rsidR="000E157B">
        <w:t>varenicline plus bupropion with varenicline</w:t>
      </w:r>
      <w:r w:rsidR="000E157B" w:rsidRPr="000E157B">
        <w:t xml:space="preserve"> and was included in this report.</w:t>
      </w:r>
      <w:r w:rsidR="004A7E2B">
        <w:t xml:space="preserve"> </w:t>
      </w:r>
      <w:r w:rsidR="004A7E2B" w:rsidRPr="00457F7E">
        <w:t xml:space="preserve">No new studies comparing </w:t>
      </w:r>
      <w:r w:rsidR="004A7E2B">
        <w:t>varenicline plus bupropion</w:t>
      </w:r>
      <w:r w:rsidR="004A7E2B" w:rsidRPr="0013314B">
        <w:t xml:space="preserve"> with </w:t>
      </w:r>
      <w:r w:rsidR="004A7E2B">
        <w:t>varenicline alone</w:t>
      </w:r>
      <w:r w:rsidR="004A7E2B" w:rsidRPr="00457F7E">
        <w:t xml:space="preserve"> were identified in the supplemental literature search.</w:t>
      </w:r>
    </w:p>
    <w:p w:rsidR="000E157B" w:rsidRDefault="000E157B" w:rsidP="000E157B">
      <w:pPr>
        <w:pStyle w:val="Caption"/>
        <w:keepNext/>
      </w:pPr>
      <w:bookmarkStart w:id="160" w:name="_Ref55481223"/>
      <w:r>
        <w:t xml:space="preserve">Table </w:t>
      </w:r>
      <w:r w:rsidR="003C4A1C">
        <w:rPr>
          <w:noProof/>
        </w:rPr>
        <w:t>70</w:t>
      </w:r>
      <w:bookmarkEnd w:id="160"/>
      <w:r>
        <w:t xml:space="preserve">: </w:t>
      </w:r>
      <w:r w:rsidRPr="00103228">
        <w:t xml:space="preserve">List of studies comparing varenicline plus </w:t>
      </w:r>
      <w:r>
        <w:t>bupropion</w:t>
      </w:r>
      <w:r w:rsidRPr="00103228">
        <w:t xml:space="preserve"> with varenicline alone</w:t>
      </w:r>
    </w:p>
    <w:tbl>
      <w:tblPr>
        <w:tblStyle w:val="TableGrid"/>
        <w:tblW w:w="5000" w:type="pct"/>
        <w:tblLook w:val="04A0" w:firstRow="1" w:lastRow="0" w:firstColumn="1" w:lastColumn="0" w:noHBand="0" w:noVBand="1"/>
        <w:tblCaption w:val="Efficacy results of adalimumab trials (PASI 75 and DLQI)"/>
      </w:tblPr>
      <w:tblGrid>
        <w:gridCol w:w="1004"/>
        <w:gridCol w:w="8012"/>
      </w:tblGrid>
      <w:tr w:rsidR="008576E7" w:rsidRPr="00061F78" w:rsidTr="008576E7">
        <w:trPr>
          <w:cantSplit/>
          <w:trHeight w:val="329"/>
          <w:tblHeader/>
        </w:trPr>
        <w:tc>
          <w:tcPr>
            <w:tcW w:w="557" w:type="pct"/>
            <w:shd w:val="clear" w:color="auto" w:fill="BFBFBF" w:themeFill="background1" w:themeFillShade="BF"/>
            <w:tcMar>
              <w:left w:w="28" w:type="dxa"/>
              <w:right w:w="28" w:type="dxa"/>
            </w:tcMar>
          </w:tcPr>
          <w:p w:rsidR="008576E7" w:rsidRPr="00061F78" w:rsidRDefault="008576E7" w:rsidP="008576E7">
            <w:pPr>
              <w:pStyle w:val="Tableheading"/>
              <w:keepNext/>
              <w:rPr>
                <w:rFonts w:eastAsia="MS Mincho"/>
              </w:rPr>
            </w:pPr>
            <w:r>
              <w:rPr>
                <w:rFonts w:eastAsia="MS Mincho"/>
              </w:rPr>
              <w:t>Study</w:t>
            </w:r>
          </w:p>
        </w:tc>
        <w:tc>
          <w:tcPr>
            <w:tcW w:w="4443" w:type="pct"/>
            <w:shd w:val="clear" w:color="auto" w:fill="BFBFBF" w:themeFill="background1" w:themeFillShade="BF"/>
          </w:tcPr>
          <w:p w:rsidR="008576E7" w:rsidRDefault="008576E7" w:rsidP="008576E7">
            <w:pPr>
              <w:pStyle w:val="Tableheading"/>
              <w:keepNext/>
              <w:jc w:val="center"/>
              <w:rPr>
                <w:rFonts w:eastAsia="MS Mincho"/>
              </w:rPr>
            </w:pPr>
            <w:r>
              <w:rPr>
                <w:rFonts w:eastAsia="MS Mincho"/>
              </w:rPr>
              <w:t>Citation</w:t>
            </w:r>
          </w:p>
        </w:tc>
      </w:tr>
      <w:tr w:rsidR="000E157B" w:rsidRPr="00061F78" w:rsidTr="008576E7">
        <w:trPr>
          <w:cantSplit/>
          <w:trHeight w:val="164"/>
        </w:trPr>
        <w:tc>
          <w:tcPr>
            <w:tcW w:w="557" w:type="pct"/>
            <w:tcMar>
              <w:left w:w="28" w:type="dxa"/>
              <w:right w:w="28" w:type="dxa"/>
            </w:tcMar>
          </w:tcPr>
          <w:p w:rsidR="000E157B" w:rsidRPr="00305930" w:rsidRDefault="000E157B" w:rsidP="000E157B">
            <w:pPr>
              <w:pStyle w:val="Tablewriting"/>
              <w:keepNext/>
              <w:rPr>
                <w:rFonts w:eastAsia="MS Mincho"/>
              </w:rPr>
            </w:pPr>
            <w:r>
              <w:rPr>
                <w:rFonts w:eastAsia="MS Mincho"/>
              </w:rPr>
              <w:t>Howes</w:t>
            </w:r>
            <w:r w:rsidRPr="00061F78">
              <w:rPr>
                <w:rFonts w:eastAsia="MS Mincho"/>
              </w:rPr>
              <w:t xml:space="preserve"> (20</w:t>
            </w:r>
            <w:r>
              <w:rPr>
                <w:rFonts w:eastAsia="MS Mincho"/>
              </w:rPr>
              <w:t>20</w:t>
            </w:r>
            <w:r w:rsidRPr="00061F78">
              <w:rPr>
                <w:rFonts w:eastAsia="MS Mincho"/>
              </w:rPr>
              <w:t>)</w:t>
            </w:r>
            <w:r w:rsidR="0039468B" w:rsidRPr="007A3AB0">
              <w:rPr>
                <w:rFonts w:eastAsia="MS Mincho"/>
                <w:noProof/>
                <w:vertAlign w:val="superscript"/>
              </w:rPr>
              <w:t>3</w:t>
            </w:r>
            <w:r w:rsidRPr="00D07303">
              <w:rPr>
                <w:rFonts w:eastAsia="MS Mincho"/>
                <w:vertAlign w:val="superscript"/>
              </w:rPr>
              <w:t xml:space="preserve"> </w:t>
            </w:r>
          </w:p>
        </w:tc>
        <w:tc>
          <w:tcPr>
            <w:tcW w:w="4443" w:type="pct"/>
          </w:tcPr>
          <w:p w:rsidR="000E157B" w:rsidRDefault="000E157B" w:rsidP="000E157B">
            <w:pPr>
              <w:pStyle w:val="Tablewriting"/>
              <w:keepNext/>
              <w:rPr>
                <w:rFonts w:eastAsia="MS Mincho"/>
              </w:rPr>
            </w:pPr>
            <w:r w:rsidRPr="002764E0">
              <w:rPr>
                <w:rFonts w:eastAsia="MS Mincho"/>
              </w:rPr>
              <w:t>Howes  S, Hartmann‐Boyce  J, Livingstone‐Banks  J, Hong  B, Lindson  N. Antidepressants for smoking cessation. Cochrane Database of Systematic Reviews 2020, Issue 4. Art. No.: CD000031.</w:t>
            </w:r>
          </w:p>
        </w:tc>
      </w:tr>
    </w:tbl>
    <w:p w:rsidR="0092721A" w:rsidRDefault="0092721A" w:rsidP="0092721A"/>
    <w:p w:rsidR="003C4A1C" w:rsidRPr="009B042A" w:rsidRDefault="000E157B" w:rsidP="006B48C7">
      <w:pPr>
        <w:pStyle w:val="TableFooter"/>
      </w:pPr>
      <w:r w:rsidRPr="000E157B">
        <w:lastRenderedPageBreak/>
        <w:t xml:space="preserve">A summary of the characteristics of the studies comparing </w:t>
      </w:r>
      <w:r w:rsidR="004662EA">
        <w:t>varenicline plus bupropion</w:t>
      </w:r>
      <w:r w:rsidRPr="000E157B">
        <w:t xml:space="preserve"> with </w:t>
      </w:r>
      <w:r w:rsidR="004662EA">
        <w:t>varenicline alone</w:t>
      </w:r>
      <w:r w:rsidRPr="000E157B">
        <w:t xml:space="preserve"> is presented in </w:t>
      </w:r>
      <w:r w:rsidR="003C4A1C">
        <w:t xml:space="preserve">Table </w:t>
      </w:r>
      <w:r w:rsidR="003C4A1C">
        <w:rPr>
          <w:noProof/>
        </w:rPr>
        <w:t>71</w:t>
      </w:r>
      <w:r w:rsidRPr="000E157B">
        <w:t xml:space="preserve">. </w:t>
      </w:r>
      <w:r w:rsidR="004662EA" w:rsidRPr="004662EA">
        <w:t xml:space="preserve">A total of </w:t>
      </w:r>
      <w:r w:rsidR="004662EA">
        <w:t>five</w:t>
      </w:r>
      <w:r w:rsidR="004662EA" w:rsidRPr="004662EA">
        <w:t xml:space="preserve"> RCTs comparing </w:t>
      </w:r>
      <w:r w:rsidR="004662EA">
        <w:t>varenicline plus bupropion</w:t>
      </w:r>
      <w:r w:rsidR="004662EA" w:rsidRPr="000E157B">
        <w:t xml:space="preserve"> with </w:t>
      </w:r>
      <w:r w:rsidR="004662EA">
        <w:t xml:space="preserve">varenicline </w:t>
      </w:r>
      <w:r w:rsidR="00A93680">
        <w:t xml:space="preserve">plus placebo (i.e. varenicline </w:t>
      </w:r>
      <w:r w:rsidR="004662EA">
        <w:t>alone</w:t>
      </w:r>
      <w:r w:rsidR="00A93680">
        <w:t>)</w:t>
      </w:r>
      <w:r w:rsidR="004662EA" w:rsidRPr="004662EA">
        <w:t xml:space="preserve"> were identified by </w:t>
      </w:r>
      <w:r w:rsidR="004662EA">
        <w:t>Howes</w:t>
      </w:r>
      <w:r w:rsidR="004662EA" w:rsidRPr="004662EA">
        <w:t xml:space="preserve"> et al. (20</w:t>
      </w:r>
      <w:r w:rsidR="004662EA">
        <w:t>20</w:t>
      </w:r>
      <w:r w:rsidR="004662EA" w:rsidRPr="004662EA">
        <w:t xml:space="preserve">), with </w:t>
      </w:r>
      <w:r w:rsidR="004662EA">
        <w:t>three</w:t>
      </w:r>
      <w:r w:rsidR="004662EA" w:rsidRPr="004662EA">
        <w:t xml:space="preserve"> RCTs </w:t>
      </w:r>
      <w:r w:rsidR="003771BB">
        <w:t xml:space="preserve">(Cinciripini et al. 2018, Ebbert et al. 2014 and Rose et al. 2014) </w:t>
      </w:r>
      <w:r w:rsidR="004662EA" w:rsidRPr="004662EA">
        <w:t>included in the primary efficacy analysis</w:t>
      </w:r>
      <w:r w:rsidRPr="000E157B">
        <w:t xml:space="preserve">. The characteristics of the individual studies are presented in </w:t>
      </w:r>
      <w:r w:rsidRPr="00406215">
        <w:t>Appendix</w:t>
      </w:r>
      <w:r w:rsidR="00A93680">
        <w:t xml:space="preserve"> </w:t>
      </w:r>
      <w:r w:rsidR="003C4A1C">
        <w:t>Source: Chang</w:t>
      </w:r>
      <w:r w:rsidR="003C4A1C" w:rsidRPr="008B0097">
        <w:t xml:space="preserve"> et al. (20</w:t>
      </w:r>
      <w:r w:rsidR="003C4A1C">
        <w:t>15).</w:t>
      </w:r>
      <w:r w:rsidR="003C4A1C" w:rsidRPr="009B042A">
        <w:t xml:space="preserve"> </w:t>
      </w:r>
    </w:p>
    <w:p w:rsidR="000E157B" w:rsidRDefault="003C4A1C" w:rsidP="006F73C6">
      <w:r>
        <w:t xml:space="preserve">Table </w:t>
      </w:r>
      <w:r>
        <w:rPr>
          <w:noProof/>
        </w:rPr>
        <w:t>158</w:t>
      </w:r>
      <w:r w:rsidR="000E157B" w:rsidRPr="000E157B">
        <w:t>.</w:t>
      </w:r>
    </w:p>
    <w:p w:rsidR="004662EA" w:rsidRDefault="004662EA" w:rsidP="004662EA">
      <w:pPr>
        <w:pStyle w:val="Caption"/>
        <w:keepNext/>
      </w:pPr>
      <w:bookmarkStart w:id="161" w:name="_Ref55482655"/>
      <w:r>
        <w:t xml:space="preserve">Table </w:t>
      </w:r>
      <w:r w:rsidR="003C4A1C">
        <w:rPr>
          <w:noProof/>
        </w:rPr>
        <w:t>71</w:t>
      </w:r>
      <w:bookmarkEnd w:id="161"/>
      <w:r>
        <w:t xml:space="preserve">: </w:t>
      </w:r>
      <w:r w:rsidRPr="00E06F12">
        <w:t xml:space="preserve">Characteristics of the studies comparing varenicline plus </w:t>
      </w:r>
      <w:r>
        <w:t>bupropion</w:t>
      </w:r>
      <w:r w:rsidRPr="00E06F12">
        <w:t xml:space="preserve"> with varenicline alone</w:t>
      </w:r>
    </w:p>
    <w:tbl>
      <w:tblPr>
        <w:tblStyle w:val="TableGrid"/>
        <w:tblW w:w="5000" w:type="pct"/>
        <w:tblLook w:val="04A0" w:firstRow="1" w:lastRow="0" w:firstColumn="1" w:lastColumn="0" w:noHBand="0" w:noVBand="1"/>
        <w:tblCaption w:val="Efficacy results of adalimumab trials (PASI 75 and DLQI)"/>
      </w:tblPr>
      <w:tblGrid>
        <w:gridCol w:w="693"/>
        <w:gridCol w:w="989"/>
        <w:gridCol w:w="1306"/>
        <w:gridCol w:w="1967"/>
        <w:gridCol w:w="2270"/>
        <w:gridCol w:w="1791"/>
      </w:tblGrid>
      <w:tr w:rsidR="00A74292" w:rsidRPr="00061F78" w:rsidTr="00BB5C56">
        <w:trPr>
          <w:trHeight w:val="299"/>
          <w:tblHeader/>
        </w:trPr>
        <w:tc>
          <w:tcPr>
            <w:tcW w:w="384" w:type="pct"/>
            <w:shd w:val="clear" w:color="auto" w:fill="BFBFBF" w:themeFill="background1" w:themeFillShade="BF"/>
            <w:tcMar>
              <w:left w:w="28" w:type="dxa"/>
              <w:right w:w="28" w:type="dxa"/>
            </w:tcMar>
          </w:tcPr>
          <w:p w:rsidR="000E157B" w:rsidRPr="00061F78" w:rsidRDefault="000E157B" w:rsidP="00BB5C56">
            <w:pPr>
              <w:pStyle w:val="Tableheading"/>
              <w:rPr>
                <w:rFonts w:eastAsia="MS Mincho"/>
              </w:rPr>
            </w:pPr>
            <w:r>
              <w:rPr>
                <w:rFonts w:eastAsia="MS Mincho"/>
              </w:rPr>
              <w:t>Study</w:t>
            </w:r>
          </w:p>
        </w:tc>
        <w:tc>
          <w:tcPr>
            <w:tcW w:w="548" w:type="pct"/>
            <w:shd w:val="clear" w:color="auto" w:fill="BFBFBF" w:themeFill="background1" w:themeFillShade="BF"/>
          </w:tcPr>
          <w:p w:rsidR="000E157B" w:rsidRDefault="000E157B" w:rsidP="00BB5C56">
            <w:pPr>
              <w:pStyle w:val="Tableheading"/>
              <w:jc w:val="center"/>
              <w:rPr>
                <w:rFonts w:eastAsia="MS Mincho"/>
              </w:rPr>
            </w:pPr>
            <w:r>
              <w:rPr>
                <w:rFonts w:eastAsia="MS Mincho"/>
              </w:rPr>
              <w:t>Study type</w:t>
            </w:r>
          </w:p>
        </w:tc>
        <w:tc>
          <w:tcPr>
            <w:tcW w:w="724" w:type="pct"/>
            <w:shd w:val="clear" w:color="auto" w:fill="BFBFBF" w:themeFill="background1" w:themeFillShade="BF"/>
            <w:tcMar>
              <w:left w:w="28" w:type="dxa"/>
              <w:right w:w="28" w:type="dxa"/>
            </w:tcMar>
          </w:tcPr>
          <w:p w:rsidR="000E157B" w:rsidRPr="00AB145F" w:rsidRDefault="000E157B" w:rsidP="00BB5C56">
            <w:pPr>
              <w:pStyle w:val="Tableheading"/>
              <w:jc w:val="center"/>
              <w:rPr>
                <w:rFonts w:eastAsia="MS Mincho"/>
                <w:vertAlign w:val="superscript"/>
              </w:rPr>
            </w:pPr>
            <w:r>
              <w:rPr>
                <w:rFonts w:eastAsia="MS Mincho"/>
              </w:rPr>
              <w:t>N</w:t>
            </w:r>
            <w:r>
              <w:rPr>
                <w:rFonts w:eastAsia="MS Mincho"/>
                <w:vertAlign w:val="superscript"/>
              </w:rPr>
              <w:t>1</w:t>
            </w:r>
          </w:p>
        </w:tc>
        <w:tc>
          <w:tcPr>
            <w:tcW w:w="1091" w:type="pct"/>
            <w:shd w:val="clear" w:color="auto" w:fill="BFBFBF" w:themeFill="background1" w:themeFillShade="BF"/>
            <w:tcMar>
              <w:left w:w="28" w:type="dxa"/>
              <w:right w:w="28" w:type="dxa"/>
            </w:tcMar>
          </w:tcPr>
          <w:p w:rsidR="000E157B" w:rsidRPr="00061F78" w:rsidRDefault="000E157B" w:rsidP="00BB5C56">
            <w:pPr>
              <w:pStyle w:val="Tableheading"/>
              <w:jc w:val="center"/>
              <w:rPr>
                <w:rFonts w:eastAsia="MS Mincho"/>
              </w:rPr>
            </w:pPr>
            <w:r w:rsidRPr="00061F78">
              <w:rPr>
                <w:rFonts w:eastAsia="MS Mincho"/>
              </w:rPr>
              <w:t>P</w:t>
            </w:r>
            <w:r>
              <w:rPr>
                <w:rFonts w:eastAsia="MS Mincho"/>
              </w:rPr>
              <w:t>opulation</w:t>
            </w:r>
          </w:p>
        </w:tc>
        <w:tc>
          <w:tcPr>
            <w:tcW w:w="1259" w:type="pct"/>
            <w:shd w:val="clear" w:color="auto" w:fill="BFBFBF" w:themeFill="background1" w:themeFillShade="BF"/>
          </w:tcPr>
          <w:p w:rsidR="000E157B" w:rsidRDefault="000E157B" w:rsidP="00BB5C56">
            <w:pPr>
              <w:pStyle w:val="Tableheading"/>
              <w:jc w:val="center"/>
              <w:rPr>
                <w:rFonts w:eastAsia="MS Mincho"/>
              </w:rPr>
            </w:pPr>
            <w:r>
              <w:rPr>
                <w:rFonts w:eastAsia="MS Mincho"/>
              </w:rPr>
              <w:t>Intervention and comparator</w:t>
            </w:r>
          </w:p>
        </w:tc>
        <w:tc>
          <w:tcPr>
            <w:tcW w:w="993" w:type="pct"/>
            <w:shd w:val="clear" w:color="auto" w:fill="BFBFBF" w:themeFill="background1" w:themeFillShade="BF"/>
            <w:tcMar>
              <w:left w:w="28" w:type="dxa"/>
              <w:right w:w="28" w:type="dxa"/>
            </w:tcMar>
          </w:tcPr>
          <w:p w:rsidR="000E157B" w:rsidRPr="00061F78" w:rsidRDefault="000E157B" w:rsidP="00BB5C56">
            <w:pPr>
              <w:pStyle w:val="Tableheading"/>
              <w:jc w:val="center"/>
              <w:rPr>
                <w:rFonts w:eastAsia="MS Mincho"/>
              </w:rPr>
            </w:pPr>
            <w:r>
              <w:rPr>
                <w:rFonts w:eastAsia="MS Mincho"/>
              </w:rPr>
              <w:t>Outcomes</w:t>
            </w:r>
          </w:p>
        </w:tc>
      </w:tr>
      <w:tr w:rsidR="00A74292" w:rsidRPr="00061F78" w:rsidTr="00BB5C56">
        <w:trPr>
          <w:trHeight w:val="149"/>
        </w:trPr>
        <w:tc>
          <w:tcPr>
            <w:tcW w:w="384" w:type="pct"/>
            <w:tcMar>
              <w:left w:w="28" w:type="dxa"/>
              <w:right w:w="28" w:type="dxa"/>
            </w:tcMar>
          </w:tcPr>
          <w:p w:rsidR="000E157B" w:rsidRPr="00D07303" w:rsidRDefault="000E157B" w:rsidP="00BB5C56">
            <w:pPr>
              <w:pStyle w:val="Tablewriting"/>
              <w:rPr>
                <w:rFonts w:eastAsia="MS Mincho"/>
                <w:vertAlign w:val="superscript"/>
              </w:rPr>
            </w:pPr>
            <w:r>
              <w:rPr>
                <w:rFonts w:eastAsia="MS Mincho"/>
              </w:rPr>
              <w:t>Howes</w:t>
            </w:r>
            <w:r w:rsidRPr="00061F78">
              <w:rPr>
                <w:rFonts w:eastAsia="MS Mincho"/>
              </w:rPr>
              <w:t xml:space="preserve"> (20</w:t>
            </w:r>
            <w:r>
              <w:rPr>
                <w:rFonts w:eastAsia="MS Mincho"/>
              </w:rPr>
              <w:t>20</w:t>
            </w:r>
            <w:r w:rsidRPr="00061F78">
              <w:rPr>
                <w:rFonts w:eastAsia="MS Mincho"/>
              </w:rPr>
              <w:t>)</w:t>
            </w:r>
            <w:r w:rsidRPr="00D07303">
              <w:rPr>
                <w:rFonts w:eastAsia="MS Mincho"/>
                <w:vertAlign w:val="superscript"/>
              </w:rPr>
              <w:t xml:space="preserve"> </w:t>
            </w:r>
          </w:p>
        </w:tc>
        <w:tc>
          <w:tcPr>
            <w:tcW w:w="548" w:type="pct"/>
          </w:tcPr>
          <w:p w:rsidR="000E157B" w:rsidRDefault="000E157B" w:rsidP="00BB5C56">
            <w:pPr>
              <w:pStyle w:val="Tablewriting"/>
              <w:rPr>
                <w:rFonts w:eastAsia="MS Mincho"/>
              </w:rPr>
            </w:pPr>
            <w:r>
              <w:rPr>
                <w:rFonts w:eastAsia="MS Mincho"/>
              </w:rPr>
              <w:t xml:space="preserve">Cochrane </w:t>
            </w:r>
            <w:r w:rsidR="005E6D5A">
              <w:rPr>
                <w:rFonts w:eastAsia="MS Mincho"/>
              </w:rPr>
              <w:t>R</w:t>
            </w:r>
            <w:r>
              <w:rPr>
                <w:rFonts w:eastAsia="MS Mincho"/>
              </w:rPr>
              <w:t>eview    (</w:t>
            </w:r>
            <w:r w:rsidR="005E6D5A">
              <w:rPr>
                <w:rFonts w:eastAsia="MS Mincho"/>
              </w:rPr>
              <w:t>5</w:t>
            </w:r>
            <w:r>
              <w:rPr>
                <w:rFonts w:eastAsia="MS Mincho"/>
              </w:rPr>
              <w:t xml:space="preserve"> RCTs</w:t>
            </w:r>
            <w:r w:rsidRPr="00AB145F">
              <w:rPr>
                <w:rFonts w:eastAsia="MS Mincho"/>
                <w:vertAlign w:val="superscript"/>
              </w:rPr>
              <w:t>2</w:t>
            </w:r>
            <w:r>
              <w:rPr>
                <w:rFonts w:eastAsia="MS Mincho"/>
              </w:rPr>
              <w:t>)</w:t>
            </w:r>
          </w:p>
        </w:tc>
        <w:tc>
          <w:tcPr>
            <w:tcW w:w="724" w:type="pct"/>
            <w:tcMar>
              <w:left w:w="28" w:type="dxa"/>
              <w:right w:w="28" w:type="dxa"/>
            </w:tcMar>
          </w:tcPr>
          <w:p w:rsidR="005E6D5A" w:rsidRDefault="005E6D5A" w:rsidP="00BB5C56">
            <w:pPr>
              <w:pStyle w:val="Tablewriting"/>
              <w:rPr>
                <w:rFonts w:eastAsia="MS Mincho"/>
                <w:u w:val="single"/>
              </w:rPr>
            </w:pPr>
            <w:r w:rsidRPr="00A8247E">
              <w:rPr>
                <w:rFonts w:eastAsia="MS Mincho"/>
                <w:u w:val="single"/>
              </w:rPr>
              <w:t xml:space="preserve">Efficacy </w:t>
            </w:r>
          </w:p>
          <w:p w:rsidR="005E6D5A" w:rsidRPr="00A8247E" w:rsidRDefault="005E6D5A" w:rsidP="00BB5C56">
            <w:pPr>
              <w:pStyle w:val="Tablewriting"/>
              <w:rPr>
                <w:rFonts w:eastAsia="MS Mincho"/>
                <w:u w:val="single"/>
              </w:rPr>
            </w:pPr>
            <w:r w:rsidRPr="00A8247E">
              <w:rPr>
                <w:rFonts w:eastAsia="MS Mincho"/>
                <w:u w:val="single"/>
              </w:rPr>
              <w:t>(3 RCTs)</w:t>
            </w:r>
          </w:p>
          <w:p w:rsidR="000E157B" w:rsidRDefault="000E4F92" w:rsidP="00BB5C56">
            <w:pPr>
              <w:pStyle w:val="Tablewriting"/>
              <w:rPr>
                <w:rFonts w:eastAsia="MS Mincho"/>
              </w:rPr>
            </w:pPr>
            <w:r>
              <w:rPr>
                <w:rFonts w:eastAsia="MS Mincho"/>
              </w:rPr>
              <w:t>N=1,057</w:t>
            </w:r>
          </w:p>
          <w:p w:rsidR="000E157B" w:rsidRDefault="000E4F92" w:rsidP="00BB5C56">
            <w:pPr>
              <w:pStyle w:val="Tablewriting"/>
              <w:rPr>
                <w:rFonts w:eastAsia="MS Mincho"/>
              </w:rPr>
            </w:pPr>
            <w:r>
              <w:rPr>
                <w:rFonts w:eastAsia="MS Mincho"/>
              </w:rPr>
              <w:t>Varenicline plus b</w:t>
            </w:r>
            <w:r w:rsidR="000E157B">
              <w:rPr>
                <w:rFonts w:eastAsia="MS Mincho"/>
              </w:rPr>
              <w:t>upropion (n=</w:t>
            </w:r>
            <w:r>
              <w:rPr>
                <w:rFonts w:eastAsia="MS Mincho"/>
              </w:rPr>
              <w:t>525</w:t>
            </w:r>
            <w:r w:rsidR="000E157B">
              <w:rPr>
                <w:rFonts w:eastAsia="MS Mincho"/>
              </w:rPr>
              <w:t>),</w:t>
            </w:r>
          </w:p>
          <w:p w:rsidR="000E157B" w:rsidRPr="00061F78" w:rsidRDefault="000E4F92" w:rsidP="00BB5C56">
            <w:pPr>
              <w:pStyle w:val="Tablewriting"/>
              <w:rPr>
                <w:rFonts w:eastAsia="MS Mincho"/>
              </w:rPr>
            </w:pPr>
            <w:r>
              <w:rPr>
                <w:rFonts w:eastAsia="MS Mincho"/>
              </w:rPr>
              <w:t>Varenicline</w:t>
            </w:r>
            <w:r w:rsidR="000E157B">
              <w:rPr>
                <w:rFonts w:eastAsia="MS Mincho"/>
              </w:rPr>
              <w:t xml:space="preserve"> (n=</w:t>
            </w:r>
            <w:r>
              <w:rPr>
                <w:rFonts w:eastAsia="MS Mincho"/>
              </w:rPr>
              <w:t>532</w:t>
            </w:r>
            <w:r w:rsidR="000E157B">
              <w:rPr>
                <w:rFonts w:eastAsia="MS Mincho"/>
              </w:rPr>
              <w:t>)</w:t>
            </w:r>
          </w:p>
        </w:tc>
        <w:tc>
          <w:tcPr>
            <w:tcW w:w="1091" w:type="pct"/>
            <w:tcMar>
              <w:left w:w="28" w:type="dxa"/>
              <w:right w:w="28" w:type="dxa"/>
            </w:tcMar>
          </w:tcPr>
          <w:p w:rsidR="000E157B" w:rsidRDefault="000E157B" w:rsidP="00BB5C56">
            <w:pPr>
              <w:pStyle w:val="Tablewriting"/>
              <w:rPr>
                <w:rFonts w:eastAsia="MS Mincho"/>
              </w:rPr>
            </w:pPr>
            <w:r w:rsidRPr="002C19B4">
              <w:rPr>
                <w:rFonts w:eastAsia="MS Mincho"/>
                <w:u w:val="single"/>
              </w:rPr>
              <w:t>Inclusion</w:t>
            </w:r>
            <w:r>
              <w:rPr>
                <w:rFonts w:eastAsia="MS Mincho"/>
              </w:rPr>
              <w:t>: t</w:t>
            </w:r>
            <w:r w:rsidRPr="002C19B4">
              <w:rPr>
                <w:rFonts w:eastAsia="MS Mincho"/>
              </w:rPr>
              <w:t>obacco smokers of any age, with or without a history</w:t>
            </w:r>
            <w:r>
              <w:rPr>
                <w:rFonts w:eastAsia="MS Mincho"/>
              </w:rPr>
              <w:t xml:space="preserve"> </w:t>
            </w:r>
            <w:r w:rsidRPr="002C19B4">
              <w:rPr>
                <w:rFonts w:eastAsia="MS Mincho"/>
              </w:rPr>
              <w:t>of mental illness.</w:t>
            </w:r>
          </w:p>
          <w:p w:rsidR="000E157B" w:rsidRPr="00061F78" w:rsidRDefault="000E157B" w:rsidP="00BB5C56">
            <w:pPr>
              <w:pStyle w:val="Tablewriting"/>
              <w:rPr>
                <w:rFonts w:eastAsia="MS Mincho"/>
              </w:rPr>
            </w:pPr>
            <w:r w:rsidRPr="002C19B4">
              <w:rPr>
                <w:rFonts w:eastAsia="MS Mincho"/>
                <w:u w:val="single"/>
              </w:rPr>
              <w:t>Exclusion</w:t>
            </w:r>
            <w:r>
              <w:rPr>
                <w:rFonts w:eastAsia="MS Mincho"/>
              </w:rPr>
              <w:t>: p</w:t>
            </w:r>
            <w:r w:rsidRPr="002C19B4">
              <w:rPr>
                <w:rFonts w:eastAsia="MS Mincho"/>
              </w:rPr>
              <w:t>regnant women</w:t>
            </w:r>
            <w:r>
              <w:rPr>
                <w:rFonts w:eastAsia="MS Mincho"/>
              </w:rPr>
              <w:t xml:space="preserve"> and</w:t>
            </w:r>
            <w:r>
              <w:t xml:space="preserve"> </w:t>
            </w:r>
            <w:r w:rsidRPr="00593CA5">
              <w:rPr>
                <w:rFonts w:eastAsia="MS Mincho"/>
              </w:rPr>
              <w:t>trials investigating use for smoking harm reduction</w:t>
            </w:r>
            <w:r>
              <w:rPr>
                <w:rFonts w:eastAsia="MS Mincho"/>
              </w:rPr>
              <w:t xml:space="preserve"> </w:t>
            </w:r>
            <w:r w:rsidRPr="00593CA5">
              <w:rPr>
                <w:rFonts w:eastAsia="MS Mincho"/>
              </w:rPr>
              <w:t>or relapse prevention</w:t>
            </w:r>
            <w:r>
              <w:rPr>
                <w:rFonts w:eastAsia="MS Mincho"/>
              </w:rPr>
              <w:t>.</w:t>
            </w:r>
          </w:p>
        </w:tc>
        <w:tc>
          <w:tcPr>
            <w:tcW w:w="1259" w:type="pct"/>
          </w:tcPr>
          <w:p w:rsidR="000E157B" w:rsidRPr="00061F78" w:rsidRDefault="000E4F92" w:rsidP="00BB5C56">
            <w:pPr>
              <w:pStyle w:val="Tablewriting"/>
              <w:rPr>
                <w:rFonts w:eastAsia="MS Mincho"/>
              </w:rPr>
            </w:pPr>
            <w:r>
              <w:rPr>
                <w:rFonts w:eastAsia="MS Mincho"/>
              </w:rPr>
              <w:t>Varenicline plus b</w:t>
            </w:r>
            <w:r w:rsidR="000E157B">
              <w:rPr>
                <w:rFonts w:eastAsia="MS Mincho"/>
              </w:rPr>
              <w:t xml:space="preserve">upropion: </w:t>
            </w:r>
            <w:r w:rsidR="00A74292" w:rsidRPr="00A74292">
              <w:rPr>
                <w:rFonts w:eastAsia="MS Mincho"/>
              </w:rPr>
              <w:t>1</w:t>
            </w:r>
            <w:r w:rsidR="00A74292">
              <w:rPr>
                <w:rFonts w:eastAsia="MS Mincho"/>
              </w:rPr>
              <w:t xml:space="preserve"> </w:t>
            </w:r>
            <w:r w:rsidR="00A74292" w:rsidRPr="00A74292">
              <w:rPr>
                <w:rFonts w:eastAsia="MS Mincho"/>
              </w:rPr>
              <w:t>mg</w:t>
            </w:r>
            <w:r w:rsidR="00A74292">
              <w:rPr>
                <w:rFonts w:eastAsia="MS Mincho"/>
              </w:rPr>
              <w:t xml:space="preserve"> varenicline</w:t>
            </w:r>
            <w:r w:rsidR="00A74292" w:rsidRPr="00A74292">
              <w:rPr>
                <w:rFonts w:eastAsia="MS Mincho"/>
              </w:rPr>
              <w:t xml:space="preserve"> twice daily including titration</w:t>
            </w:r>
            <w:r w:rsidR="00A74292">
              <w:rPr>
                <w:rFonts w:eastAsia="MS Mincho"/>
              </w:rPr>
              <w:t xml:space="preserve"> and </w:t>
            </w:r>
            <w:r w:rsidR="000E157B">
              <w:rPr>
                <w:rFonts w:eastAsia="MS Mincho"/>
              </w:rPr>
              <w:t>150</w:t>
            </w:r>
            <w:r w:rsidR="00A74292">
              <w:rPr>
                <w:rFonts w:eastAsia="MS Mincho"/>
              </w:rPr>
              <w:t xml:space="preserve"> </w:t>
            </w:r>
            <w:r w:rsidR="000E157B">
              <w:rPr>
                <w:rFonts w:eastAsia="MS Mincho"/>
              </w:rPr>
              <w:t>mg</w:t>
            </w:r>
            <w:r w:rsidR="00A74292">
              <w:rPr>
                <w:rFonts w:eastAsia="MS Mincho"/>
              </w:rPr>
              <w:t xml:space="preserve"> bupropion</w:t>
            </w:r>
            <w:r w:rsidR="000E157B">
              <w:rPr>
                <w:rFonts w:eastAsia="MS Mincho"/>
              </w:rPr>
              <w:t xml:space="preserve"> twice</w:t>
            </w:r>
            <w:r w:rsidR="00A74292">
              <w:rPr>
                <w:rFonts w:eastAsia="MS Mincho"/>
              </w:rPr>
              <w:t xml:space="preserve"> </w:t>
            </w:r>
            <w:r w:rsidR="000E157B">
              <w:rPr>
                <w:rFonts w:eastAsia="MS Mincho"/>
              </w:rPr>
              <w:t>daily including titration</w:t>
            </w:r>
            <w:r w:rsidR="003771BB">
              <w:rPr>
                <w:rFonts w:eastAsia="MS Mincho"/>
              </w:rPr>
              <w:t xml:space="preserve"> (over 12 weeks)</w:t>
            </w:r>
            <w:r w:rsidR="00BB5C56">
              <w:rPr>
                <w:rFonts w:eastAsia="MS Mincho"/>
              </w:rPr>
              <w:t xml:space="preserve">; </w:t>
            </w:r>
            <w:r>
              <w:rPr>
                <w:rFonts w:eastAsia="MS Mincho"/>
              </w:rPr>
              <w:t>Varenicline</w:t>
            </w:r>
            <w:r w:rsidR="00A93680">
              <w:rPr>
                <w:rFonts w:eastAsia="MS Mincho"/>
              </w:rPr>
              <w:t xml:space="preserve"> alone</w:t>
            </w:r>
            <w:r>
              <w:rPr>
                <w:rFonts w:eastAsia="MS Mincho"/>
              </w:rPr>
              <w:t>:</w:t>
            </w:r>
            <w:r w:rsidR="00A74292">
              <w:rPr>
                <w:rFonts w:eastAsia="MS Mincho"/>
              </w:rPr>
              <w:t xml:space="preserve"> standard </w:t>
            </w:r>
            <w:r w:rsidR="00A93680">
              <w:rPr>
                <w:rFonts w:eastAsia="MS Mincho"/>
              </w:rPr>
              <w:t xml:space="preserve">varenicline </w:t>
            </w:r>
            <w:r w:rsidR="00A74292">
              <w:rPr>
                <w:rFonts w:eastAsia="MS Mincho"/>
              </w:rPr>
              <w:t>regimen including titration</w:t>
            </w:r>
            <w:r w:rsidR="00A93680">
              <w:rPr>
                <w:rFonts w:eastAsia="MS Mincho"/>
              </w:rPr>
              <w:t xml:space="preserve"> and matching placebo for bupropion</w:t>
            </w:r>
            <w:r w:rsidR="003771BB">
              <w:rPr>
                <w:rFonts w:eastAsia="MS Mincho"/>
              </w:rPr>
              <w:t xml:space="preserve"> (over 12 weeks)</w:t>
            </w:r>
            <w:r w:rsidR="00C410DE">
              <w:rPr>
                <w:rFonts w:eastAsia="MS Mincho"/>
              </w:rPr>
              <w:t>.</w:t>
            </w:r>
          </w:p>
        </w:tc>
        <w:tc>
          <w:tcPr>
            <w:tcW w:w="993" w:type="pct"/>
            <w:tcMar>
              <w:left w:w="28" w:type="dxa"/>
              <w:right w:w="28" w:type="dxa"/>
            </w:tcMar>
          </w:tcPr>
          <w:p w:rsidR="000E157B" w:rsidRDefault="000E157B" w:rsidP="00BB5C56">
            <w:pPr>
              <w:pStyle w:val="Tablewriting"/>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C410DE">
              <w:rPr>
                <w:rFonts w:eastAsia="MS Mincho"/>
              </w:rPr>
              <w:t>.</w:t>
            </w:r>
          </w:p>
          <w:p w:rsidR="000E157B" w:rsidRPr="00061F78" w:rsidRDefault="000E157B" w:rsidP="00BB5C56">
            <w:pPr>
              <w:pStyle w:val="Tablewriting"/>
              <w:rPr>
                <w:rFonts w:eastAsia="MS Mincho"/>
              </w:rPr>
            </w:pPr>
            <w:r w:rsidRPr="0036499C">
              <w:rPr>
                <w:rFonts w:eastAsia="MS Mincho"/>
                <w:u w:val="single"/>
              </w:rPr>
              <w:t>Secondary</w:t>
            </w:r>
            <w:r>
              <w:rPr>
                <w:rFonts w:eastAsia="MS Mincho"/>
              </w:rPr>
              <w:t>: safety including any adverse events, psychiatric adverse events, serious adverse events and dropouts due to adverse events</w:t>
            </w:r>
            <w:r w:rsidR="00C410DE">
              <w:rPr>
                <w:rFonts w:eastAsia="MS Mincho"/>
              </w:rPr>
              <w:t>.</w:t>
            </w:r>
          </w:p>
        </w:tc>
      </w:tr>
    </w:tbl>
    <w:p w:rsidR="0025165F" w:rsidRDefault="0025165F" w:rsidP="0025165F">
      <w:pPr>
        <w:pStyle w:val="TableFooter"/>
        <w:keepNext/>
        <w:rPr>
          <w:i/>
        </w:rPr>
      </w:pPr>
      <w:r>
        <w:t>Abbreviations: NRT = nicotine replacement therapy; RCT = randomised controlled trial</w:t>
      </w:r>
      <w:r w:rsidRPr="00061F78">
        <w:t xml:space="preserve"> </w:t>
      </w:r>
    </w:p>
    <w:p w:rsidR="0025165F" w:rsidRDefault="0025165F" w:rsidP="0025165F">
      <w:pPr>
        <w:pStyle w:val="TableFooter"/>
        <w:keepNext/>
      </w:pPr>
      <w:r>
        <w:t xml:space="preserve">1 Only the number of patients (n) in the relevant arms were included </w:t>
      </w:r>
    </w:p>
    <w:p w:rsidR="003C4A1C" w:rsidRPr="009B042A" w:rsidRDefault="0025165F" w:rsidP="006B48C7">
      <w:pPr>
        <w:pStyle w:val="TableFooter"/>
      </w:pPr>
      <w:r>
        <w:t xml:space="preserve">2 </w:t>
      </w:r>
      <w:r w:rsidRPr="001507A4">
        <w:t xml:space="preserve">A total of </w:t>
      </w:r>
      <w:r>
        <w:t>five</w:t>
      </w:r>
      <w:r w:rsidRPr="001507A4">
        <w:t xml:space="preserve"> RCTs comparing varenicline</w:t>
      </w:r>
      <w:r>
        <w:t xml:space="preserve"> plus bupropion</w:t>
      </w:r>
      <w:r w:rsidRPr="001507A4">
        <w:t xml:space="preserve"> with </w:t>
      </w:r>
      <w:r>
        <w:t>varenicline alone</w:t>
      </w:r>
      <w:r w:rsidRPr="001507A4">
        <w:t xml:space="preserve"> were identified. Of the </w:t>
      </w:r>
      <w:r>
        <w:t>five</w:t>
      </w:r>
      <w:r w:rsidRPr="001507A4">
        <w:t xml:space="preserve"> RCTs, </w:t>
      </w:r>
      <w:r>
        <w:t>three</w:t>
      </w:r>
      <w:r w:rsidRPr="001507A4">
        <w:t xml:space="preserve"> RCTs </w:t>
      </w:r>
      <w:r w:rsidR="000E4F92">
        <w:t xml:space="preserve">(Cinciripini et al. 2018, Ebbert et al. 2014 and Rose et al. 2014) </w:t>
      </w:r>
      <w:r w:rsidRPr="001507A4">
        <w:t>were included in the primary efficacy analysis.</w:t>
      </w:r>
      <w:r>
        <w:t xml:space="preserve"> The characteristics of the individual studies comparing varenicline plus bupropion with varenicline alone included in Howes et al. (2020) are presented </w:t>
      </w:r>
      <w:r w:rsidRPr="008E7E0C">
        <w:t>in Appendix</w:t>
      </w:r>
      <w:r w:rsidR="008E7E0C">
        <w:t xml:space="preserve"> </w:t>
      </w:r>
      <w:r w:rsidR="003C4A1C">
        <w:t>Source: Chang</w:t>
      </w:r>
      <w:r w:rsidR="003C4A1C" w:rsidRPr="008B0097">
        <w:t xml:space="preserve"> et al. (20</w:t>
      </w:r>
      <w:r w:rsidR="003C4A1C">
        <w:t>15).</w:t>
      </w:r>
      <w:r w:rsidR="003C4A1C" w:rsidRPr="009B042A">
        <w:t xml:space="preserve"> </w:t>
      </w:r>
    </w:p>
    <w:p w:rsidR="000E157B" w:rsidRDefault="003C4A1C">
      <w:pPr>
        <w:pStyle w:val="TableFooter"/>
      </w:pPr>
      <w:r>
        <w:t xml:space="preserve">Table </w:t>
      </w:r>
      <w:r>
        <w:rPr>
          <w:noProof/>
        </w:rPr>
        <w:t>158</w:t>
      </w:r>
      <w:r w:rsidR="0025165F">
        <w:t xml:space="preserve">. </w:t>
      </w:r>
    </w:p>
    <w:p w:rsidR="00A93680" w:rsidRPr="00A93680" w:rsidRDefault="00A93680" w:rsidP="00A93680">
      <w:pPr>
        <w:rPr>
          <w:u w:val="single"/>
        </w:rPr>
      </w:pPr>
      <w:r w:rsidRPr="00A93680">
        <w:rPr>
          <w:u w:val="single"/>
        </w:rPr>
        <w:t>Efficacy</w:t>
      </w:r>
    </w:p>
    <w:p w:rsidR="00A93680" w:rsidRDefault="00A93680" w:rsidP="00A93680">
      <w:r>
        <w:t>A summary of the smoking cessation rates f</w:t>
      </w:r>
      <w:r w:rsidR="00D654DE">
        <w:t>or</w:t>
      </w:r>
      <w:r>
        <w:t xml:space="preserve"> at least six months follow-up </w:t>
      </w:r>
      <w:r w:rsidR="00970B04">
        <w:t xml:space="preserve">comparing varenicline plus bupropion with varenicline alone </w:t>
      </w:r>
      <w:r>
        <w:t xml:space="preserve">is presented in </w:t>
      </w:r>
      <w:r w:rsidR="003C4A1C">
        <w:t xml:space="preserve">Table </w:t>
      </w:r>
      <w:r w:rsidR="003C4A1C">
        <w:rPr>
          <w:noProof/>
        </w:rPr>
        <w:t>72</w:t>
      </w:r>
      <w:r>
        <w:t xml:space="preserve">. </w:t>
      </w:r>
      <w:r w:rsidR="003771BB">
        <w:t>T</w:t>
      </w:r>
      <w:r w:rsidR="003771BB" w:rsidRPr="003771BB">
        <w:t xml:space="preserve">he results of the meta-analysis comprising </w:t>
      </w:r>
      <w:r w:rsidR="003771BB">
        <w:t>three</w:t>
      </w:r>
      <w:r w:rsidR="003771BB" w:rsidRPr="003771BB">
        <w:t xml:space="preserve"> RCTs by </w:t>
      </w:r>
      <w:r w:rsidR="003771BB">
        <w:t>Howes</w:t>
      </w:r>
      <w:r w:rsidR="003771BB" w:rsidRPr="003771BB">
        <w:t xml:space="preserve"> et al. (20</w:t>
      </w:r>
      <w:r w:rsidR="003771BB">
        <w:t>20</w:t>
      </w:r>
      <w:r w:rsidR="003771BB" w:rsidRPr="003771BB">
        <w:t xml:space="preserve">) demonstrated </w:t>
      </w:r>
      <w:r w:rsidR="003771BB">
        <w:t>no</w:t>
      </w:r>
      <w:r w:rsidR="003771BB" w:rsidRPr="003771BB">
        <w:t xml:space="preserve"> significant</w:t>
      </w:r>
      <w:r w:rsidR="003771BB">
        <w:t xml:space="preserve"> differences in</w:t>
      </w:r>
      <w:r w:rsidR="003771BB" w:rsidRPr="003771BB">
        <w:t xml:space="preserve"> long-term smoking cessation rates </w:t>
      </w:r>
      <w:r w:rsidR="00970B04">
        <w:t>between the two treatment arms</w:t>
      </w:r>
      <w:r w:rsidR="003771BB">
        <w:t>, although the results numerically favoured varenicline plus bupropion.</w:t>
      </w:r>
    </w:p>
    <w:p w:rsidR="00A93680" w:rsidRDefault="00A93680" w:rsidP="003771BB">
      <w:pPr>
        <w:pStyle w:val="Caption"/>
        <w:keepNext/>
      </w:pPr>
      <w:bookmarkStart w:id="162" w:name="_Ref55483843"/>
      <w:r>
        <w:t xml:space="preserve">Table </w:t>
      </w:r>
      <w:r w:rsidR="003C4A1C">
        <w:rPr>
          <w:noProof/>
        </w:rPr>
        <w:t>72</w:t>
      </w:r>
      <w:bookmarkEnd w:id="162"/>
      <w:r>
        <w:t xml:space="preserve">: </w:t>
      </w:r>
      <w:r w:rsidRPr="00F04F59">
        <w:t>Results of smoking cessation f</w:t>
      </w:r>
      <w:r w:rsidR="00D654DE">
        <w:t>or</w:t>
      </w:r>
      <w:r w:rsidRPr="00F04F59">
        <w:t xml:space="preserve"> at least six months follow-up, </w:t>
      </w:r>
      <w:r>
        <w:t xml:space="preserve">varenicline plus </w:t>
      </w:r>
      <w:r w:rsidRPr="00F04F59">
        <w:t xml:space="preserve">bupropion versus </w:t>
      </w:r>
      <w:r>
        <w:t>varenicline alone</w:t>
      </w:r>
    </w:p>
    <w:tbl>
      <w:tblPr>
        <w:tblStyle w:val="TableGrid"/>
        <w:tblW w:w="5000" w:type="pct"/>
        <w:tblLook w:val="04A0" w:firstRow="1" w:lastRow="0" w:firstColumn="1" w:lastColumn="0" w:noHBand="0" w:noVBand="1"/>
        <w:tblCaption w:val="Efficacy results of adalimumab trials (PASI 75 and DLQI)"/>
      </w:tblPr>
      <w:tblGrid>
        <w:gridCol w:w="1550"/>
        <w:gridCol w:w="1978"/>
        <w:gridCol w:w="1828"/>
        <w:gridCol w:w="1830"/>
        <w:gridCol w:w="1830"/>
      </w:tblGrid>
      <w:tr w:rsidR="00A93680" w:rsidRPr="00061F78" w:rsidTr="00A8247E">
        <w:trPr>
          <w:cantSplit/>
          <w:trHeight w:val="299"/>
          <w:tblHeader/>
        </w:trPr>
        <w:tc>
          <w:tcPr>
            <w:tcW w:w="859" w:type="pct"/>
            <w:shd w:val="clear" w:color="auto" w:fill="BFBFBF" w:themeFill="background1" w:themeFillShade="BF"/>
            <w:tcMar>
              <w:left w:w="28" w:type="dxa"/>
              <w:right w:w="28" w:type="dxa"/>
            </w:tcMar>
          </w:tcPr>
          <w:p w:rsidR="00A93680" w:rsidRPr="00061F78" w:rsidRDefault="00A93680" w:rsidP="004D7CE3">
            <w:pPr>
              <w:pStyle w:val="Tableheading"/>
              <w:rPr>
                <w:rFonts w:eastAsia="MS Mincho"/>
              </w:rPr>
            </w:pPr>
            <w:r>
              <w:rPr>
                <w:rFonts w:eastAsia="MS Mincho"/>
              </w:rPr>
              <w:t>Study</w:t>
            </w:r>
          </w:p>
        </w:tc>
        <w:tc>
          <w:tcPr>
            <w:tcW w:w="1097" w:type="pct"/>
            <w:shd w:val="clear" w:color="auto" w:fill="BFBFBF" w:themeFill="background1" w:themeFillShade="BF"/>
            <w:vAlign w:val="center"/>
          </w:tcPr>
          <w:p w:rsidR="00A93680" w:rsidRDefault="00A93680" w:rsidP="004D7CE3">
            <w:pPr>
              <w:pStyle w:val="Tableheading"/>
              <w:jc w:val="center"/>
              <w:rPr>
                <w:rFonts w:eastAsia="MS Mincho"/>
              </w:rPr>
            </w:pPr>
            <w:r>
              <w:rPr>
                <w:rFonts w:eastAsia="MS Mincho"/>
              </w:rPr>
              <w:t>Study type</w:t>
            </w:r>
          </w:p>
        </w:tc>
        <w:tc>
          <w:tcPr>
            <w:tcW w:w="1014" w:type="pct"/>
            <w:shd w:val="clear" w:color="auto" w:fill="BFBFBF" w:themeFill="background1" w:themeFillShade="BF"/>
            <w:tcMar>
              <w:left w:w="28" w:type="dxa"/>
              <w:right w:w="28" w:type="dxa"/>
            </w:tcMar>
            <w:vAlign w:val="center"/>
          </w:tcPr>
          <w:p w:rsidR="00A93680" w:rsidRPr="00061F78" w:rsidRDefault="00A93680" w:rsidP="004D7CE3">
            <w:pPr>
              <w:pStyle w:val="Tableheading"/>
              <w:jc w:val="center"/>
              <w:rPr>
                <w:rFonts w:eastAsia="MS Mincho"/>
              </w:rPr>
            </w:pPr>
            <w:r>
              <w:rPr>
                <w:rFonts w:eastAsia="MS Mincho"/>
              </w:rPr>
              <w:t>Varenicline plus bupropion</w:t>
            </w:r>
          </w:p>
        </w:tc>
        <w:tc>
          <w:tcPr>
            <w:tcW w:w="1015" w:type="pct"/>
            <w:shd w:val="clear" w:color="auto" w:fill="BFBFBF" w:themeFill="background1" w:themeFillShade="BF"/>
            <w:tcMar>
              <w:left w:w="28" w:type="dxa"/>
              <w:right w:w="28" w:type="dxa"/>
            </w:tcMar>
            <w:vAlign w:val="center"/>
          </w:tcPr>
          <w:p w:rsidR="00A93680" w:rsidRPr="00061F78" w:rsidRDefault="00A93680" w:rsidP="004D7CE3">
            <w:pPr>
              <w:pStyle w:val="Tableheading"/>
              <w:jc w:val="center"/>
              <w:rPr>
                <w:rFonts w:eastAsia="MS Mincho"/>
              </w:rPr>
            </w:pPr>
            <w:r>
              <w:rPr>
                <w:rFonts w:eastAsia="MS Mincho"/>
              </w:rPr>
              <w:t>Varenicline alone</w:t>
            </w:r>
          </w:p>
        </w:tc>
        <w:tc>
          <w:tcPr>
            <w:tcW w:w="1015" w:type="pct"/>
            <w:shd w:val="clear" w:color="auto" w:fill="BFBFBF" w:themeFill="background1" w:themeFillShade="BF"/>
            <w:tcMar>
              <w:left w:w="28" w:type="dxa"/>
              <w:right w:w="28" w:type="dxa"/>
            </w:tcMar>
            <w:vAlign w:val="center"/>
          </w:tcPr>
          <w:p w:rsidR="00A93680" w:rsidRPr="00704CE8" w:rsidRDefault="00A93680" w:rsidP="004D7CE3">
            <w:pPr>
              <w:pStyle w:val="Tableheading"/>
              <w:jc w:val="center"/>
              <w:rPr>
                <w:rFonts w:eastAsia="MS Mincho"/>
                <w:vertAlign w:val="superscript"/>
              </w:rPr>
            </w:pPr>
            <w:r>
              <w:rPr>
                <w:rFonts w:eastAsia="MS Mincho"/>
              </w:rPr>
              <w:t>RR (95% CI)</w:t>
            </w:r>
            <w:r>
              <w:rPr>
                <w:rFonts w:eastAsia="MS Mincho"/>
                <w:vertAlign w:val="superscript"/>
              </w:rPr>
              <w:t>2</w:t>
            </w:r>
          </w:p>
        </w:tc>
      </w:tr>
      <w:tr w:rsidR="00A93680" w:rsidRPr="00061F78" w:rsidTr="00A8247E">
        <w:trPr>
          <w:cantSplit/>
          <w:trHeight w:val="99"/>
        </w:trPr>
        <w:tc>
          <w:tcPr>
            <w:tcW w:w="859" w:type="pct"/>
            <w:shd w:val="clear" w:color="auto" w:fill="auto"/>
            <w:tcMar>
              <w:left w:w="28" w:type="dxa"/>
              <w:right w:w="28" w:type="dxa"/>
            </w:tcMar>
          </w:tcPr>
          <w:p w:rsidR="00A93680" w:rsidRDefault="00A93680" w:rsidP="004D7CE3">
            <w:pPr>
              <w:pStyle w:val="Tablewriting"/>
              <w:rPr>
                <w:rFonts w:eastAsia="MS Mincho"/>
              </w:rPr>
            </w:pPr>
            <w:r>
              <w:rPr>
                <w:rFonts w:eastAsia="MS Mincho"/>
              </w:rPr>
              <w:t>Howes</w:t>
            </w:r>
          </w:p>
          <w:p w:rsidR="00A93680" w:rsidRPr="00251B64" w:rsidRDefault="00A93680" w:rsidP="004D7CE3">
            <w:pPr>
              <w:pStyle w:val="Tablewriting"/>
              <w:rPr>
                <w:rFonts w:eastAsia="MS Mincho"/>
              </w:rPr>
            </w:pPr>
            <w:r w:rsidRPr="00251B64">
              <w:rPr>
                <w:rFonts w:eastAsia="MS Mincho"/>
              </w:rPr>
              <w:t>(</w:t>
            </w:r>
            <w:r>
              <w:rPr>
                <w:rFonts w:eastAsia="MS Mincho"/>
              </w:rPr>
              <w:t>2020</w:t>
            </w:r>
            <w:r w:rsidRPr="00251B64">
              <w:rPr>
                <w:rFonts w:eastAsia="MS Mincho"/>
              </w:rPr>
              <w:t>)</w:t>
            </w:r>
            <w:r w:rsidRPr="00251B64">
              <w:rPr>
                <w:rFonts w:eastAsia="MS Mincho"/>
                <w:vertAlign w:val="superscript"/>
              </w:rPr>
              <w:t>1</w:t>
            </w:r>
            <w:r w:rsidRPr="00251B64">
              <w:rPr>
                <w:rFonts w:eastAsia="MS Mincho"/>
              </w:rPr>
              <w:t xml:space="preserve"> </w:t>
            </w:r>
          </w:p>
        </w:tc>
        <w:tc>
          <w:tcPr>
            <w:tcW w:w="1097" w:type="pct"/>
            <w:shd w:val="clear" w:color="auto" w:fill="auto"/>
            <w:vAlign w:val="center"/>
          </w:tcPr>
          <w:p w:rsidR="00A93680" w:rsidRDefault="00A93680" w:rsidP="004D7CE3">
            <w:pPr>
              <w:pStyle w:val="Tablewriting"/>
              <w:jc w:val="center"/>
              <w:rPr>
                <w:rFonts w:eastAsia="MS Mincho"/>
              </w:rPr>
            </w:pPr>
            <w:r>
              <w:rPr>
                <w:rFonts w:eastAsia="MS Mincho"/>
              </w:rPr>
              <w:t>Cochrane Review</w:t>
            </w:r>
          </w:p>
          <w:p w:rsidR="00A93680" w:rsidRPr="00251B64" w:rsidRDefault="00A93680" w:rsidP="004D7CE3">
            <w:pPr>
              <w:pStyle w:val="Tablewriting"/>
              <w:jc w:val="center"/>
              <w:rPr>
                <w:rFonts w:eastAsia="MS Mincho"/>
              </w:rPr>
            </w:pPr>
            <w:r>
              <w:rPr>
                <w:rFonts w:eastAsia="MS Mincho"/>
              </w:rPr>
              <w:t xml:space="preserve">(3 </w:t>
            </w:r>
            <w:r w:rsidRPr="00251B64">
              <w:rPr>
                <w:rFonts w:eastAsia="MS Mincho"/>
              </w:rPr>
              <w:t>RCT</w:t>
            </w:r>
            <w:r>
              <w:rPr>
                <w:rFonts w:eastAsia="MS Mincho"/>
              </w:rPr>
              <w:t>s)</w:t>
            </w:r>
          </w:p>
        </w:tc>
        <w:tc>
          <w:tcPr>
            <w:tcW w:w="1014" w:type="pct"/>
            <w:shd w:val="clear" w:color="auto" w:fill="auto"/>
            <w:tcMar>
              <w:left w:w="28" w:type="dxa"/>
              <w:right w:w="28" w:type="dxa"/>
            </w:tcMar>
            <w:vAlign w:val="center"/>
          </w:tcPr>
          <w:p w:rsidR="00A93680" w:rsidRPr="00251B64" w:rsidRDefault="00A93680" w:rsidP="004D7CE3">
            <w:pPr>
              <w:pStyle w:val="Tablewriting"/>
              <w:jc w:val="center"/>
              <w:rPr>
                <w:rFonts w:eastAsia="MS Mincho"/>
                <w:vertAlign w:val="superscript"/>
              </w:rPr>
            </w:pPr>
            <w:r>
              <w:rPr>
                <w:rFonts w:eastAsia="MS Mincho"/>
              </w:rPr>
              <w:t>136</w:t>
            </w:r>
            <w:r w:rsidRPr="00251B64">
              <w:rPr>
                <w:rFonts w:eastAsia="MS Mincho"/>
              </w:rPr>
              <w:t>/</w:t>
            </w:r>
            <w:r>
              <w:rPr>
                <w:rFonts w:eastAsia="MS Mincho"/>
              </w:rPr>
              <w:t>525</w:t>
            </w:r>
          </w:p>
          <w:p w:rsidR="00A93680" w:rsidRPr="00251B64" w:rsidRDefault="00A93680" w:rsidP="004D7CE3">
            <w:pPr>
              <w:pStyle w:val="Tablewriting"/>
              <w:jc w:val="center"/>
              <w:rPr>
                <w:rFonts w:eastAsia="MS Mincho"/>
              </w:rPr>
            </w:pPr>
            <w:r w:rsidRPr="00251B64">
              <w:rPr>
                <w:rFonts w:eastAsia="MS Mincho"/>
              </w:rPr>
              <w:t>(</w:t>
            </w:r>
            <w:r w:rsidR="003771BB">
              <w:rPr>
                <w:rFonts w:eastAsia="MS Mincho"/>
              </w:rPr>
              <w:t>25.9</w:t>
            </w:r>
            <w:r w:rsidRPr="00251B64">
              <w:rPr>
                <w:rFonts w:eastAsia="MS Mincho"/>
              </w:rPr>
              <w:t>%)</w:t>
            </w:r>
          </w:p>
        </w:tc>
        <w:tc>
          <w:tcPr>
            <w:tcW w:w="1015" w:type="pct"/>
            <w:shd w:val="clear" w:color="auto" w:fill="auto"/>
            <w:tcMar>
              <w:left w:w="28" w:type="dxa"/>
              <w:right w:w="28" w:type="dxa"/>
            </w:tcMar>
            <w:vAlign w:val="center"/>
          </w:tcPr>
          <w:p w:rsidR="00A93680" w:rsidRPr="006F3FC8" w:rsidRDefault="00A93680" w:rsidP="004D7CE3">
            <w:pPr>
              <w:pStyle w:val="Tablewriting"/>
              <w:jc w:val="center"/>
              <w:rPr>
                <w:rFonts w:eastAsia="MS Mincho"/>
                <w:vertAlign w:val="superscript"/>
              </w:rPr>
            </w:pPr>
            <w:r>
              <w:rPr>
                <w:rFonts w:eastAsia="MS Mincho"/>
              </w:rPr>
              <w:t>114</w:t>
            </w:r>
            <w:r w:rsidRPr="00251B64">
              <w:rPr>
                <w:rFonts w:eastAsia="MS Mincho"/>
              </w:rPr>
              <w:t>/</w:t>
            </w:r>
            <w:r>
              <w:rPr>
                <w:rFonts w:eastAsia="MS Mincho"/>
              </w:rPr>
              <w:t>532</w:t>
            </w:r>
          </w:p>
          <w:p w:rsidR="00A93680" w:rsidRPr="00251B64" w:rsidRDefault="00A93680" w:rsidP="004D7CE3">
            <w:pPr>
              <w:pStyle w:val="Tablewriting"/>
              <w:jc w:val="center"/>
              <w:rPr>
                <w:rFonts w:eastAsia="MS Mincho"/>
              </w:rPr>
            </w:pPr>
            <w:r w:rsidRPr="00251B64">
              <w:rPr>
                <w:rFonts w:eastAsia="MS Mincho"/>
              </w:rPr>
              <w:t>(</w:t>
            </w:r>
            <w:r w:rsidR="003771BB">
              <w:rPr>
                <w:rFonts w:eastAsia="MS Mincho"/>
              </w:rPr>
              <w:t>21.4</w:t>
            </w:r>
            <w:r w:rsidRPr="00251B64">
              <w:rPr>
                <w:rFonts w:eastAsia="MS Mincho"/>
              </w:rPr>
              <w:t>%)</w:t>
            </w:r>
          </w:p>
        </w:tc>
        <w:tc>
          <w:tcPr>
            <w:tcW w:w="1015" w:type="pct"/>
            <w:shd w:val="clear" w:color="auto" w:fill="auto"/>
            <w:tcMar>
              <w:left w:w="28" w:type="dxa"/>
              <w:right w:w="28" w:type="dxa"/>
            </w:tcMar>
            <w:vAlign w:val="center"/>
          </w:tcPr>
          <w:p w:rsidR="00A93680" w:rsidRPr="00A93680" w:rsidRDefault="00A93680" w:rsidP="004D7CE3">
            <w:pPr>
              <w:pStyle w:val="Tablewriting"/>
              <w:jc w:val="center"/>
              <w:rPr>
                <w:rFonts w:eastAsia="MS Mincho"/>
              </w:rPr>
            </w:pPr>
            <w:r w:rsidRPr="00A93680">
              <w:rPr>
                <w:rFonts w:eastAsia="MS Mincho"/>
              </w:rPr>
              <w:t>1.21</w:t>
            </w:r>
          </w:p>
          <w:p w:rsidR="00A93680" w:rsidRPr="00D56406" w:rsidRDefault="00A93680" w:rsidP="004D7CE3">
            <w:pPr>
              <w:pStyle w:val="Tablewriting"/>
              <w:jc w:val="center"/>
              <w:rPr>
                <w:rFonts w:eastAsia="MS Mincho"/>
              </w:rPr>
            </w:pPr>
            <w:r w:rsidRPr="00A93680">
              <w:rPr>
                <w:rFonts w:eastAsia="MS Mincho"/>
              </w:rPr>
              <w:t>(0.95, 1.55)</w:t>
            </w:r>
          </w:p>
        </w:tc>
      </w:tr>
    </w:tbl>
    <w:p w:rsidR="00383A2A" w:rsidRDefault="00383A2A" w:rsidP="004D7CE3">
      <w:pPr>
        <w:pStyle w:val="TableFooter"/>
      </w:pPr>
      <w:r>
        <w:t>Source: Howes et al. (2020)</w:t>
      </w:r>
    </w:p>
    <w:p w:rsidR="00383A2A" w:rsidRDefault="00383A2A" w:rsidP="004D7CE3">
      <w:pPr>
        <w:pStyle w:val="TableFooter"/>
        <w:rPr>
          <w:i/>
        </w:rPr>
      </w:pPr>
      <w:r>
        <w:t>Abbreviations: CI = confidence interval; RCT = randomised controlled trial; RR = risk ratio</w:t>
      </w:r>
      <w:r w:rsidRPr="00061F78">
        <w:t xml:space="preserve"> </w:t>
      </w:r>
    </w:p>
    <w:p w:rsidR="003C4A1C" w:rsidRPr="009B042A" w:rsidRDefault="00383A2A" w:rsidP="006B48C7">
      <w:pPr>
        <w:pStyle w:val="TableFooter"/>
      </w:pPr>
      <w:r w:rsidRPr="00D468CF">
        <w:t>Note</w:t>
      </w:r>
      <w:r>
        <w:t>s</w:t>
      </w:r>
      <w:r w:rsidRPr="00D468CF">
        <w:t>: Bold indicates statistically significant difference.</w:t>
      </w:r>
      <w:r>
        <w:br/>
        <w:t xml:space="preserve">1 Where cessation was assessed at multiple intervals, the longest follow-up data were used. Where multiple definitions of abstinence were assessed, the strictest of these definitions was used (e.g. continuous/prolonged abstinence over point prevalence abstinence). See </w:t>
      </w:r>
      <w:r w:rsidRPr="006E1B1D">
        <w:t>Appendix</w:t>
      </w:r>
      <w:r w:rsidR="00D555E8">
        <w:t xml:space="preserve"> </w:t>
      </w:r>
      <w:r w:rsidR="003C4A1C">
        <w:t>Source: Chang</w:t>
      </w:r>
      <w:r w:rsidR="003C4A1C" w:rsidRPr="008B0097">
        <w:t xml:space="preserve"> et al. (20</w:t>
      </w:r>
      <w:r w:rsidR="003C4A1C">
        <w:t>15).</w:t>
      </w:r>
      <w:r w:rsidR="003C4A1C" w:rsidRPr="009B042A">
        <w:t xml:space="preserve"> </w:t>
      </w:r>
    </w:p>
    <w:p w:rsidR="00383A2A" w:rsidRDefault="003C4A1C" w:rsidP="004D7CE3">
      <w:pPr>
        <w:pStyle w:val="TableFooter"/>
      </w:pPr>
      <w:r>
        <w:t xml:space="preserve">Table </w:t>
      </w:r>
      <w:r>
        <w:rPr>
          <w:noProof/>
        </w:rPr>
        <w:t>158</w:t>
      </w:r>
      <w:r w:rsidR="006E1B1D">
        <w:t xml:space="preserve"> </w:t>
      </w:r>
      <w:r w:rsidR="00383A2A">
        <w:t xml:space="preserve">for the definition used in each study. </w:t>
      </w:r>
    </w:p>
    <w:p w:rsidR="00383A2A" w:rsidRDefault="00383A2A" w:rsidP="004D7CE3">
      <w:pPr>
        <w:pStyle w:val="TableFooter"/>
      </w:pPr>
      <w:r w:rsidRPr="006E1B1D">
        <w:lastRenderedPageBreak/>
        <w:t xml:space="preserve">2 Calculated </w:t>
      </w:r>
      <w:r w:rsidR="00D555E8" w:rsidRPr="006E1B1D">
        <w:t xml:space="preserve">by Cochrane Review authors </w:t>
      </w:r>
      <w:r w:rsidRPr="006E1B1D">
        <w:t>using a fixed-effect model</w:t>
      </w:r>
      <w:r w:rsidR="00C410DE">
        <w:t>.</w:t>
      </w:r>
    </w:p>
    <w:p w:rsidR="00A93680" w:rsidRDefault="003771BB" w:rsidP="00A93680">
      <w:bookmarkStart w:id="163" w:name="_Hlk58425076"/>
      <w:r w:rsidRPr="003771BB">
        <w:t xml:space="preserve">The results of the individual studies included in Howes et al. (2020) are presented using a forest plot in </w:t>
      </w:r>
      <w:bookmarkEnd w:id="163"/>
      <w:r w:rsidR="003C4A1C">
        <w:t xml:space="preserve">Figure </w:t>
      </w:r>
      <w:r w:rsidR="003C4A1C">
        <w:rPr>
          <w:noProof/>
        </w:rPr>
        <w:t>21</w:t>
      </w:r>
      <w:r w:rsidRPr="003771BB">
        <w:t xml:space="preserve">. </w:t>
      </w:r>
    </w:p>
    <w:p w:rsidR="002D4C8F" w:rsidRDefault="002D4C8F" w:rsidP="002D4C8F">
      <w:pPr>
        <w:keepNext/>
      </w:pPr>
      <w:r>
        <w:rPr>
          <w:noProof/>
        </w:rPr>
        <w:drawing>
          <wp:inline distT="0" distB="0" distL="0" distR="0" wp14:anchorId="7492CE9A" wp14:editId="4F768B1B">
            <wp:extent cx="5731510" cy="1562100"/>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40">
                      <a:extLst>
                        <a:ext uri="{28A0092B-C50C-407E-A947-70E740481C1C}">
                          <a14:useLocalDpi xmlns:a14="http://schemas.microsoft.com/office/drawing/2010/main" val="0"/>
                        </a:ext>
                      </a:extLst>
                    </a:blip>
                    <a:stretch>
                      <a:fillRect/>
                    </a:stretch>
                  </pic:blipFill>
                  <pic:spPr>
                    <a:xfrm>
                      <a:off x="0" y="0"/>
                      <a:ext cx="5731510" cy="1562100"/>
                    </a:xfrm>
                    <a:prstGeom prst="rect">
                      <a:avLst/>
                    </a:prstGeom>
                  </pic:spPr>
                </pic:pic>
              </a:graphicData>
            </a:graphic>
          </wp:inline>
        </w:drawing>
      </w:r>
    </w:p>
    <w:p w:rsidR="003771BB" w:rsidRDefault="002D4C8F" w:rsidP="002D4C8F">
      <w:pPr>
        <w:pStyle w:val="Caption"/>
      </w:pPr>
      <w:bookmarkStart w:id="164" w:name="_Ref58425054"/>
      <w:r>
        <w:t xml:space="preserve">Figure </w:t>
      </w:r>
      <w:r w:rsidR="003C4A1C">
        <w:rPr>
          <w:noProof/>
        </w:rPr>
        <w:t>21</w:t>
      </w:r>
      <w:bookmarkEnd w:id="164"/>
      <w:r>
        <w:t xml:space="preserve">: </w:t>
      </w:r>
      <w:r w:rsidRPr="00970EE4">
        <w:t>Results of smoking cessation f</w:t>
      </w:r>
      <w:r w:rsidR="00D654DE">
        <w:t>or</w:t>
      </w:r>
      <w:r w:rsidRPr="00970EE4">
        <w:t xml:space="preserve"> at least six months follow-up in Howes et al. (2020),</w:t>
      </w:r>
      <w:r>
        <w:t xml:space="preserve"> varenicline plus</w:t>
      </w:r>
      <w:r w:rsidRPr="00970EE4">
        <w:t xml:space="preserve"> bupropion versus </w:t>
      </w:r>
      <w:r>
        <w:t>varenicline alone</w:t>
      </w:r>
    </w:p>
    <w:p w:rsidR="002D4C8F" w:rsidRDefault="002D4C8F" w:rsidP="002D4C8F">
      <w:pPr>
        <w:pStyle w:val="FigureFooter"/>
      </w:pPr>
      <w:r>
        <w:t>Source: Howes et al. (2020)</w:t>
      </w:r>
    </w:p>
    <w:p w:rsidR="002D4C8F" w:rsidRDefault="002D4C8F" w:rsidP="002D4C8F">
      <w:pPr>
        <w:pStyle w:val="FigureFooter"/>
      </w:pPr>
      <w:r>
        <w:t>Abbreviations: CI = confidence interval</w:t>
      </w:r>
    </w:p>
    <w:p w:rsidR="006615F0" w:rsidRPr="006615F0" w:rsidRDefault="006615F0" w:rsidP="006615F0">
      <w:pPr>
        <w:rPr>
          <w:u w:val="single"/>
        </w:rPr>
      </w:pPr>
      <w:r w:rsidRPr="006615F0">
        <w:rPr>
          <w:u w:val="single"/>
        </w:rPr>
        <w:t>Safety</w:t>
      </w:r>
    </w:p>
    <w:p w:rsidR="002D4C8F" w:rsidRDefault="006615F0" w:rsidP="006615F0">
      <w:r>
        <w:t xml:space="preserve">A summary of key adverse events </w:t>
      </w:r>
      <w:r w:rsidR="00D44180">
        <w:t xml:space="preserve">comparing varenicline plus bupropion with varenicline alone </w:t>
      </w:r>
      <w:r>
        <w:t xml:space="preserve">is presented in </w:t>
      </w:r>
      <w:r w:rsidR="003C4A1C">
        <w:t xml:space="preserve">Table </w:t>
      </w:r>
      <w:r w:rsidR="003C4A1C">
        <w:rPr>
          <w:noProof/>
        </w:rPr>
        <w:t>73</w:t>
      </w:r>
      <w:r>
        <w:t xml:space="preserve">. Based on the meta-analysis conducted by Howes et al. (2020), a significantly higher proportion of patients in the </w:t>
      </w:r>
      <w:r w:rsidR="00E847A4">
        <w:t xml:space="preserve">varenicline plus </w:t>
      </w:r>
      <w:r>
        <w:t>bupropion arm experienced any adverse events</w:t>
      </w:r>
      <w:r w:rsidR="00E847A4">
        <w:t xml:space="preserve"> and</w:t>
      </w:r>
      <w:r>
        <w:t xml:space="preserve"> psychiatric adverse events compared with patients in the </w:t>
      </w:r>
      <w:r w:rsidR="00E847A4">
        <w:t>varenicline alone</w:t>
      </w:r>
      <w:r>
        <w:t xml:space="preserve"> arm. There were no statistically significant differences between the two treatment arms in terms of serious adverse events </w:t>
      </w:r>
      <w:r w:rsidR="00E847A4">
        <w:t xml:space="preserve">and discontinuation due to adverse events. It was noted that </w:t>
      </w:r>
      <w:r>
        <w:t xml:space="preserve">the proportion of patients experiencing serious adverse events was numerically higher in the </w:t>
      </w:r>
      <w:r w:rsidR="00E847A4">
        <w:t xml:space="preserve">varenicline plus </w:t>
      </w:r>
      <w:r>
        <w:t>bupropion arm</w:t>
      </w:r>
      <w:r w:rsidR="00E847A4">
        <w:t>. Conversely, the proportion of patients who discontinued treatment due to adverse events was numerically higher in the varenicline alone arm.</w:t>
      </w:r>
    </w:p>
    <w:p w:rsidR="002C230D" w:rsidRDefault="002C230D" w:rsidP="002C230D">
      <w:pPr>
        <w:pStyle w:val="Caption"/>
        <w:keepNext/>
      </w:pPr>
      <w:bookmarkStart w:id="165" w:name="_Ref55486802"/>
      <w:r>
        <w:t xml:space="preserve">Table </w:t>
      </w:r>
      <w:r w:rsidR="003C4A1C">
        <w:rPr>
          <w:noProof/>
        </w:rPr>
        <w:t>73</w:t>
      </w:r>
      <w:bookmarkEnd w:id="165"/>
      <w:r>
        <w:t xml:space="preserve">: </w:t>
      </w:r>
      <w:r w:rsidRPr="006E2688">
        <w:t xml:space="preserve">Summary of key adverse events, </w:t>
      </w:r>
      <w:r>
        <w:t xml:space="preserve">varenicline plus </w:t>
      </w:r>
      <w:r w:rsidRPr="006E2688">
        <w:t xml:space="preserve">bupropion versus </w:t>
      </w:r>
      <w:r>
        <w:t>varenicline alone</w:t>
      </w:r>
    </w:p>
    <w:tbl>
      <w:tblPr>
        <w:tblStyle w:val="TableGrid"/>
        <w:tblW w:w="5000" w:type="pct"/>
        <w:tblLayout w:type="fixed"/>
        <w:tblLook w:val="04A0" w:firstRow="1" w:lastRow="0" w:firstColumn="1" w:lastColumn="0" w:noHBand="0" w:noVBand="1"/>
        <w:tblCaption w:val="Efficacy results of adalimumab trials (PASI 75 and DLQI)"/>
      </w:tblPr>
      <w:tblGrid>
        <w:gridCol w:w="1003"/>
        <w:gridCol w:w="1688"/>
        <w:gridCol w:w="2185"/>
        <w:gridCol w:w="2101"/>
        <w:gridCol w:w="2039"/>
      </w:tblGrid>
      <w:tr w:rsidR="0008509E" w:rsidRPr="00061F78" w:rsidTr="00A8247E">
        <w:trPr>
          <w:cantSplit/>
          <w:trHeight w:val="299"/>
          <w:tblHeader/>
        </w:trPr>
        <w:tc>
          <w:tcPr>
            <w:tcW w:w="556" w:type="pct"/>
            <w:shd w:val="clear" w:color="auto" w:fill="BFBFBF" w:themeFill="background1" w:themeFillShade="BF"/>
            <w:tcMar>
              <w:left w:w="28" w:type="dxa"/>
              <w:right w:w="28" w:type="dxa"/>
            </w:tcMar>
            <w:vAlign w:val="center"/>
          </w:tcPr>
          <w:p w:rsidR="002C230D" w:rsidRPr="00061F78" w:rsidRDefault="002C230D" w:rsidP="004D7CE3">
            <w:pPr>
              <w:pStyle w:val="Tableheading"/>
              <w:rPr>
                <w:rFonts w:eastAsia="MS Mincho"/>
              </w:rPr>
            </w:pPr>
            <w:r>
              <w:rPr>
                <w:rFonts w:eastAsia="MS Mincho"/>
              </w:rPr>
              <w:t>Study</w:t>
            </w:r>
          </w:p>
        </w:tc>
        <w:tc>
          <w:tcPr>
            <w:tcW w:w="936" w:type="pct"/>
            <w:shd w:val="clear" w:color="auto" w:fill="BFBFBF" w:themeFill="background1" w:themeFillShade="BF"/>
            <w:vAlign w:val="center"/>
          </w:tcPr>
          <w:p w:rsidR="002C230D" w:rsidRPr="002D7608" w:rsidRDefault="002C230D" w:rsidP="004D7CE3">
            <w:pPr>
              <w:pStyle w:val="Tableheading"/>
              <w:jc w:val="center"/>
              <w:rPr>
                <w:rFonts w:eastAsia="MS Mincho"/>
                <w:vertAlign w:val="superscript"/>
              </w:rPr>
            </w:pPr>
            <w:r>
              <w:rPr>
                <w:rFonts w:eastAsia="MS Mincho"/>
              </w:rPr>
              <w:t>Study type</w:t>
            </w:r>
          </w:p>
        </w:tc>
        <w:tc>
          <w:tcPr>
            <w:tcW w:w="1212" w:type="pct"/>
            <w:shd w:val="clear" w:color="auto" w:fill="BFBFBF" w:themeFill="background1" w:themeFillShade="BF"/>
            <w:tcMar>
              <w:left w:w="28" w:type="dxa"/>
              <w:right w:w="28" w:type="dxa"/>
            </w:tcMar>
            <w:vAlign w:val="center"/>
          </w:tcPr>
          <w:p w:rsidR="002C230D" w:rsidRPr="00061F78" w:rsidRDefault="002C230D" w:rsidP="004D7CE3">
            <w:pPr>
              <w:pStyle w:val="Tableheading"/>
              <w:jc w:val="center"/>
              <w:rPr>
                <w:rFonts w:eastAsia="MS Mincho"/>
              </w:rPr>
            </w:pPr>
            <w:r>
              <w:rPr>
                <w:rFonts w:eastAsia="MS Mincho"/>
              </w:rPr>
              <w:t>Varenicline plus bupropion</w:t>
            </w:r>
          </w:p>
        </w:tc>
        <w:tc>
          <w:tcPr>
            <w:tcW w:w="1165" w:type="pct"/>
            <w:shd w:val="clear" w:color="auto" w:fill="BFBFBF" w:themeFill="background1" w:themeFillShade="BF"/>
            <w:tcMar>
              <w:left w:w="28" w:type="dxa"/>
              <w:right w:w="28" w:type="dxa"/>
            </w:tcMar>
            <w:vAlign w:val="center"/>
          </w:tcPr>
          <w:p w:rsidR="002C230D" w:rsidRPr="00061F78" w:rsidRDefault="002C230D" w:rsidP="004D7CE3">
            <w:pPr>
              <w:pStyle w:val="Tableheading"/>
              <w:jc w:val="center"/>
              <w:rPr>
                <w:rFonts w:eastAsia="MS Mincho"/>
              </w:rPr>
            </w:pPr>
            <w:r>
              <w:rPr>
                <w:rFonts w:eastAsia="MS Mincho"/>
              </w:rPr>
              <w:t>Varenicline alone</w:t>
            </w:r>
          </w:p>
        </w:tc>
        <w:tc>
          <w:tcPr>
            <w:tcW w:w="1132" w:type="pct"/>
            <w:shd w:val="clear" w:color="auto" w:fill="BFBFBF" w:themeFill="background1" w:themeFillShade="BF"/>
            <w:tcMar>
              <w:left w:w="28" w:type="dxa"/>
              <w:right w:w="28" w:type="dxa"/>
            </w:tcMar>
            <w:vAlign w:val="center"/>
          </w:tcPr>
          <w:p w:rsidR="002C230D" w:rsidRPr="00D468CF" w:rsidRDefault="002C230D" w:rsidP="004D7CE3">
            <w:pPr>
              <w:pStyle w:val="Tableheading"/>
              <w:jc w:val="center"/>
              <w:rPr>
                <w:rFonts w:eastAsia="MS Mincho"/>
                <w:vertAlign w:val="superscript"/>
              </w:rPr>
            </w:pPr>
            <w:r>
              <w:rPr>
                <w:rFonts w:eastAsia="MS Mincho"/>
              </w:rPr>
              <w:t>RR (95% CI)</w:t>
            </w:r>
            <w:r w:rsidR="008D3E35">
              <w:rPr>
                <w:rFonts w:eastAsia="MS Mincho"/>
                <w:vertAlign w:val="superscript"/>
              </w:rPr>
              <w:t>1</w:t>
            </w:r>
          </w:p>
        </w:tc>
      </w:tr>
      <w:tr w:rsidR="006615F0" w:rsidRPr="00061F78" w:rsidTr="004B53F8">
        <w:trPr>
          <w:cantSplit/>
          <w:trHeight w:val="99"/>
        </w:trPr>
        <w:tc>
          <w:tcPr>
            <w:tcW w:w="5000" w:type="pct"/>
            <w:gridSpan w:val="5"/>
            <w:shd w:val="clear" w:color="auto" w:fill="auto"/>
            <w:tcMar>
              <w:left w:w="28" w:type="dxa"/>
              <w:right w:w="28" w:type="dxa"/>
            </w:tcMar>
            <w:vAlign w:val="center"/>
          </w:tcPr>
          <w:p w:rsidR="00356A70" w:rsidRPr="004B53F8" w:rsidRDefault="00356A70" w:rsidP="004D7CE3">
            <w:pPr>
              <w:pStyle w:val="Tablewriting"/>
              <w:rPr>
                <w:rFonts w:eastAsia="MS Mincho"/>
                <w:b/>
                <w:bCs/>
              </w:rPr>
            </w:pPr>
            <w:r w:rsidRPr="004B53F8">
              <w:rPr>
                <w:rFonts w:eastAsia="MS Mincho"/>
                <w:b/>
                <w:bCs/>
              </w:rPr>
              <w:t>Adverse events</w:t>
            </w:r>
          </w:p>
        </w:tc>
      </w:tr>
      <w:tr w:rsidR="002C230D" w:rsidRPr="00061F78" w:rsidTr="00A8247E">
        <w:trPr>
          <w:cantSplit/>
          <w:trHeight w:val="149"/>
        </w:trPr>
        <w:tc>
          <w:tcPr>
            <w:tcW w:w="556" w:type="pct"/>
            <w:tcMar>
              <w:left w:w="28" w:type="dxa"/>
              <w:right w:w="28" w:type="dxa"/>
            </w:tcMar>
          </w:tcPr>
          <w:p w:rsidR="002C230D" w:rsidRDefault="002C230D" w:rsidP="004D7CE3">
            <w:pPr>
              <w:pStyle w:val="Tablewriting"/>
              <w:rPr>
                <w:rFonts w:eastAsia="MS Mincho"/>
              </w:rPr>
            </w:pPr>
            <w:r>
              <w:rPr>
                <w:rFonts w:eastAsia="MS Mincho"/>
              </w:rPr>
              <w:t>Howes</w:t>
            </w:r>
            <w:r w:rsidRPr="00061F78">
              <w:rPr>
                <w:rFonts w:eastAsia="MS Mincho"/>
              </w:rPr>
              <w:t xml:space="preserve"> </w:t>
            </w:r>
          </w:p>
          <w:p w:rsidR="002C230D" w:rsidRPr="00D468CF" w:rsidRDefault="002C230D" w:rsidP="004D7CE3">
            <w:pPr>
              <w:pStyle w:val="Tablewriting"/>
              <w:rPr>
                <w:rFonts w:eastAsia="MS Mincho"/>
                <w:vertAlign w:val="superscript"/>
              </w:rPr>
            </w:pPr>
            <w:r w:rsidRPr="00061F78">
              <w:rPr>
                <w:rFonts w:eastAsia="MS Mincho"/>
              </w:rPr>
              <w:t>(20</w:t>
            </w:r>
            <w:r>
              <w:rPr>
                <w:rFonts w:eastAsia="MS Mincho"/>
              </w:rPr>
              <w:t>20</w:t>
            </w:r>
            <w:r w:rsidRPr="00061F78">
              <w:rPr>
                <w:rFonts w:eastAsia="MS Mincho"/>
              </w:rPr>
              <w:t>)</w:t>
            </w:r>
          </w:p>
        </w:tc>
        <w:tc>
          <w:tcPr>
            <w:tcW w:w="936" w:type="pct"/>
            <w:vAlign w:val="center"/>
          </w:tcPr>
          <w:p w:rsidR="002C230D" w:rsidRPr="00061F78" w:rsidRDefault="002C230D" w:rsidP="004D7CE3">
            <w:pPr>
              <w:pStyle w:val="Tablewriting"/>
              <w:jc w:val="center"/>
              <w:rPr>
                <w:rFonts w:eastAsia="MS Mincho"/>
              </w:rPr>
            </w:pPr>
            <w:r>
              <w:rPr>
                <w:rFonts w:eastAsia="MS Mincho"/>
              </w:rPr>
              <w:t>Cochrane Review (4 RCTs)</w:t>
            </w:r>
          </w:p>
        </w:tc>
        <w:tc>
          <w:tcPr>
            <w:tcW w:w="1212" w:type="pct"/>
            <w:tcMar>
              <w:left w:w="28" w:type="dxa"/>
              <w:right w:w="28" w:type="dxa"/>
            </w:tcMar>
            <w:vAlign w:val="center"/>
          </w:tcPr>
          <w:p w:rsidR="002C230D" w:rsidRDefault="002C230D" w:rsidP="004D7CE3">
            <w:pPr>
              <w:pStyle w:val="Tablewriting"/>
              <w:jc w:val="center"/>
              <w:rPr>
                <w:rFonts w:eastAsia="MS Mincho"/>
              </w:rPr>
            </w:pPr>
            <w:r>
              <w:rPr>
                <w:rFonts w:eastAsia="MS Mincho"/>
              </w:rPr>
              <w:t>384/515</w:t>
            </w:r>
          </w:p>
          <w:p w:rsidR="002C230D" w:rsidRPr="00061F78" w:rsidRDefault="002C230D" w:rsidP="004D7CE3">
            <w:pPr>
              <w:pStyle w:val="Tablewriting"/>
              <w:jc w:val="center"/>
              <w:rPr>
                <w:rFonts w:eastAsia="MS Mincho"/>
              </w:rPr>
            </w:pPr>
            <w:r>
              <w:rPr>
                <w:rFonts w:eastAsia="MS Mincho"/>
              </w:rPr>
              <w:t>(</w:t>
            </w:r>
            <w:r w:rsidR="008D3E35">
              <w:rPr>
                <w:rFonts w:eastAsia="MS Mincho"/>
              </w:rPr>
              <w:t>74.6</w:t>
            </w:r>
            <w:r>
              <w:rPr>
                <w:rFonts w:eastAsia="MS Mincho"/>
              </w:rPr>
              <w:t>%)</w:t>
            </w:r>
          </w:p>
        </w:tc>
        <w:tc>
          <w:tcPr>
            <w:tcW w:w="1165" w:type="pct"/>
            <w:tcMar>
              <w:left w:w="28" w:type="dxa"/>
              <w:right w:w="28" w:type="dxa"/>
            </w:tcMar>
            <w:vAlign w:val="center"/>
          </w:tcPr>
          <w:p w:rsidR="002C230D" w:rsidRDefault="002C230D" w:rsidP="004D7CE3">
            <w:pPr>
              <w:pStyle w:val="Tablewriting"/>
              <w:jc w:val="center"/>
              <w:rPr>
                <w:rFonts w:eastAsia="MS Mincho"/>
              </w:rPr>
            </w:pPr>
            <w:r>
              <w:rPr>
                <w:rFonts w:eastAsia="MS Mincho"/>
              </w:rPr>
              <w:t>362/528</w:t>
            </w:r>
          </w:p>
          <w:p w:rsidR="002C230D" w:rsidRPr="00061F78" w:rsidRDefault="002C230D" w:rsidP="004D7CE3">
            <w:pPr>
              <w:pStyle w:val="Tablewriting"/>
              <w:jc w:val="center"/>
              <w:rPr>
                <w:rFonts w:eastAsia="MS Mincho"/>
              </w:rPr>
            </w:pPr>
            <w:r>
              <w:rPr>
                <w:rFonts w:eastAsia="MS Mincho"/>
              </w:rPr>
              <w:t>(</w:t>
            </w:r>
            <w:r w:rsidR="008D3E35">
              <w:rPr>
                <w:rFonts w:eastAsia="MS Mincho"/>
              </w:rPr>
              <w:t>68.6</w:t>
            </w:r>
            <w:r>
              <w:rPr>
                <w:rFonts w:eastAsia="MS Mincho"/>
              </w:rPr>
              <w:t>%)</w:t>
            </w:r>
          </w:p>
        </w:tc>
        <w:tc>
          <w:tcPr>
            <w:tcW w:w="1132" w:type="pct"/>
            <w:tcMar>
              <w:left w:w="28" w:type="dxa"/>
              <w:right w:w="28" w:type="dxa"/>
            </w:tcMar>
            <w:vAlign w:val="center"/>
          </w:tcPr>
          <w:p w:rsidR="002C230D" w:rsidRPr="002C230D" w:rsidRDefault="002C230D" w:rsidP="004D7CE3">
            <w:pPr>
              <w:pStyle w:val="Tablewriting"/>
              <w:jc w:val="center"/>
              <w:rPr>
                <w:rFonts w:eastAsia="MS Mincho"/>
                <w:b/>
                <w:bCs/>
              </w:rPr>
            </w:pPr>
            <w:r w:rsidRPr="002C230D">
              <w:rPr>
                <w:rFonts w:eastAsia="MS Mincho"/>
                <w:b/>
                <w:bCs/>
              </w:rPr>
              <w:t>1.09</w:t>
            </w:r>
          </w:p>
          <w:p w:rsidR="002C230D" w:rsidRPr="00061F78" w:rsidRDefault="002C230D" w:rsidP="004D7CE3">
            <w:pPr>
              <w:pStyle w:val="Tablewriting"/>
              <w:jc w:val="center"/>
              <w:rPr>
                <w:rFonts w:eastAsia="MS Mincho"/>
              </w:rPr>
            </w:pPr>
            <w:r w:rsidRPr="002C230D">
              <w:rPr>
                <w:rFonts w:eastAsia="MS Mincho"/>
                <w:b/>
                <w:bCs/>
              </w:rPr>
              <w:t>(1.02, 1.17)</w:t>
            </w:r>
          </w:p>
        </w:tc>
      </w:tr>
      <w:tr w:rsidR="006615F0" w:rsidRPr="00061F78" w:rsidTr="004B53F8">
        <w:trPr>
          <w:cantSplit/>
          <w:trHeight w:val="149"/>
        </w:trPr>
        <w:tc>
          <w:tcPr>
            <w:tcW w:w="5000" w:type="pct"/>
            <w:gridSpan w:val="5"/>
            <w:shd w:val="clear" w:color="auto" w:fill="auto"/>
            <w:tcMar>
              <w:left w:w="28" w:type="dxa"/>
              <w:right w:w="28" w:type="dxa"/>
            </w:tcMar>
          </w:tcPr>
          <w:p w:rsidR="00356A70" w:rsidRPr="004B53F8" w:rsidRDefault="00356A70" w:rsidP="004D7CE3">
            <w:pPr>
              <w:pStyle w:val="Tablewriting"/>
              <w:rPr>
                <w:rFonts w:eastAsia="MS Mincho"/>
                <w:b/>
                <w:bCs/>
              </w:rPr>
            </w:pPr>
            <w:r w:rsidRPr="004B53F8">
              <w:rPr>
                <w:rFonts w:eastAsia="MS Mincho"/>
                <w:b/>
                <w:bCs/>
              </w:rPr>
              <w:t>Psychiatric adverse events</w:t>
            </w:r>
          </w:p>
        </w:tc>
      </w:tr>
      <w:tr w:rsidR="002C230D" w:rsidRPr="00061F78" w:rsidTr="00A8247E">
        <w:trPr>
          <w:cantSplit/>
          <w:trHeight w:val="149"/>
        </w:trPr>
        <w:tc>
          <w:tcPr>
            <w:tcW w:w="556" w:type="pct"/>
            <w:tcMar>
              <w:left w:w="28" w:type="dxa"/>
              <w:right w:w="28" w:type="dxa"/>
            </w:tcMar>
          </w:tcPr>
          <w:p w:rsidR="002C230D" w:rsidRDefault="002C230D" w:rsidP="004D7CE3">
            <w:pPr>
              <w:pStyle w:val="Tablewriting"/>
              <w:rPr>
                <w:rFonts w:eastAsia="MS Mincho"/>
              </w:rPr>
            </w:pPr>
            <w:r>
              <w:rPr>
                <w:rFonts w:eastAsia="MS Mincho"/>
              </w:rPr>
              <w:t>Howes</w:t>
            </w:r>
            <w:r w:rsidRPr="00061F78">
              <w:rPr>
                <w:rFonts w:eastAsia="MS Mincho"/>
              </w:rPr>
              <w:t xml:space="preserve"> </w:t>
            </w:r>
          </w:p>
          <w:p w:rsidR="002C230D" w:rsidRDefault="002C230D" w:rsidP="004D7CE3">
            <w:pPr>
              <w:pStyle w:val="Tablewriting"/>
              <w:rPr>
                <w:rFonts w:eastAsia="MS Mincho"/>
              </w:rPr>
            </w:pPr>
            <w:r w:rsidRPr="00061F78">
              <w:rPr>
                <w:rFonts w:eastAsia="MS Mincho"/>
              </w:rPr>
              <w:t>(20</w:t>
            </w:r>
            <w:r>
              <w:rPr>
                <w:rFonts w:eastAsia="MS Mincho"/>
              </w:rPr>
              <w:t>20</w:t>
            </w:r>
            <w:r w:rsidRPr="00061F78">
              <w:rPr>
                <w:rFonts w:eastAsia="MS Mincho"/>
              </w:rPr>
              <w:t>)</w:t>
            </w:r>
          </w:p>
        </w:tc>
        <w:tc>
          <w:tcPr>
            <w:tcW w:w="936" w:type="pct"/>
            <w:vAlign w:val="center"/>
          </w:tcPr>
          <w:p w:rsidR="002C230D" w:rsidRDefault="002C230D" w:rsidP="004D7CE3">
            <w:pPr>
              <w:pStyle w:val="Tablewriting"/>
              <w:jc w:val="center"/>
              <w:rPr>
                <w:rFonts w:eastAsia="MS Mincho"/>
              </w:rPr>
            </w:pPr>
            <w:r>
              <w:rPr>
                <w:rFonts w:eastAsia="MS Mincho"/>
              </w:rPr>
              <w:t>Cochrane Review (2 RCTs)</w:t>
            </w:r>
          </w:p>
        </w:tc>
        <w:tc>
          <w:tcPr>
            <w:tcW w:w="1212" w:type="pct"/>
            <w:tcMar>
              <w:left w:w="28" w:type="dxa"/>
              <w:right w:w="28" w:type="dxa"/>
            </w:tcMar>
            <w:vAlign w:val="center"/>
          </w:tcPr>
          <w:p w:rsidR="002C230D" w:rsidRDefault="002C230D" w:rsidP="004D7CE3">
            <w:pPr>
              <w:pStyle w:val="Tablewriting"/>
              <w:jc w:val="center"/>
              <w:rPr>
                <w:rFonts w:eastAsia="MS Mincho"/>
              </w:rPr>
            </w:pPr>
            <w:r>
              <w:rPr>
                <w:rFonts w:eastAsia="MS Mincho"/>
              </w:rPr>
              <w:t>145/412</w:t>
            </w:r>
          </w:p>
          <w:p w:rsidR="002C230D" w:rsidRDefault="002C230D" w:rsidP="004D7CE3">
            <w:pPr>
              <w:pStyle w:val="Tablewriting"/>
              <w:jc w:val="center"/>
              <w:rPr>
                <w:rFonts w:eastAsia="MS Mincho"/>
              </w:rPr>
            </w:pPr>
            <w:r>
              <w:rPr>
                <w:rFonts w:eastAsia="MS Mincho"/>
              </w:rPr>
              <w:t>(</w:t>
            </w:r>
            <w:r w:rsidR="00E847A4">
              <w:rPr>
                <w:rFonts w:eastAsia="MS Mincho"/>
              </w:rPr>
              <w:t>35.2</w:t>
            </w:r>
            <w:r>
              <w:rPr>
                <w:rFonts w:eastAsia="MS Mincho"/>
              </w:rPr>
              <w:t>%)</w:t>
            </w:r>
          </w:p>
        </w:tc>
        <w:tc>
          <w:tcPr>
            <w:tcW w:w="1165" w:type="pct"/>
            <w:tcMar>
              <w:left w:w="28" w:type="dxa"/>
              <w:right w:w="28" w:type="dxa"/>
            </w:tcMar>
            <w:vAlign w:val="center"/>
          </w:tcPr>
          <w:p w:rsidR="002C230D" w:rsidRDefault="002C230D" w:rsidP="004D7CE3">
            <w:pPr>
              <w:pStyle w:val="Tablewriting"/>
              <w:jc w:val="center"/>
              <w:rPr>
                <w:rFonts w:eastAsia="MS Mincho"/>
              </w:rPr>
            </w:pPr>
            <w:r>
              <w:rPr>
                <w:rFonts w:eastAsia="MS Mincho"/>
              </w:rPr>
              <w:t>128/423</w:t>
            </w:r>
          </w:p>
          <w:p w:rsidR="002C230D" w:rsidRDefault="002C230D" w:rsidP="004D7CE3">
            <w:pPr>
              <w:pStyle w:val="Tablewriting"/>
              <w:jc w:val="center"/>
              <w:rPr>
                <w:rFonts w:eastAsia="MS Mincho"/>
              </w:rPr>
            </w:pPr>
            <w:r>
              <w:rPr>
                <w:rFonts w:eastAsia="MS Mincho"/>
              </w:rPr>
              <w:t>(</w:t>
            </w:r>
            <w:r w:rsidR="00E847A4">
              <w:rPr>
                <w:rFonts w:eastAsia="MS Mincho"/>
              </w:rPr>
              <w:t>30.3</w:t>
            </w:r>
            <w:r>
              <w:rPr>
                <w:rFonts w:eastAsia="MS Mincho"/>
              </w:rPr>
              <w:t>%)</w:t>
            </w:r>
          </w:p>
        </w:tc>
        <w:tc>
          <w:tcPr>
            <w:tcW w:w="1132" w:type="pct"/>
            <w:tcMar>
              <w:left w:w="28" w:type="dxa"/>
              <w:right w:w="28" w:type="dxa"/>
            </w:tcMar>
            <w:vAlign w:val="center"/>
          </w:tcPr>
          <w:p w:rsidR="002C230D" w:rsidRDefault="002C230D" w:rsidP="004D7CE3">
            <w:pPr>
              <w:pStyle w:val="Tablewriting"/>
              <w:jc w:val="center"/>
              <w:rPr>
                <w:rFonts w:eastAsia="MS Mincho"/>
                <w:b/>
                <w:bCs/>
              </w:rPr>
            </w:pPr>
            <w:r>
              <w:rPr>
                <w:rFonts w:eastAsia="MS Mincho"/>
                <w:b/>
                <w:bCs/>
              </w:rPr>
              <w:t>1.15</w:t>
            </w:r>
          </w:p>
          <w:p w:rsidR="002C230D" w:rsidRPr="00D468CF" w:rsidRDefault="002C230D" w:rsidP="004D7CE3">
            <w:pPr>
              <w:pStyle w:val="Tablewriting"/>
              <w:jc w:val="center"/>
              <w:rPr>
                <w:rFonts w:eastAsia="MS Mincho"/>
                <w:b/>
                <w:bCs/>
              </w:rPr>
            </w:pPr>
            <w:r>
              <w:rPr>
                <w:rFonts w:eastAsia="MS Mincho"/>
                <w:b/>
                <w:bCs/>
              </w:rPr>
              <w:t>(1.03, 1.3)</w:t>
            </w:r>
          </w:p>
        </w:tc>
      </w:tr>
      <w:tr w:rsidR="006615F0" w:rsidRPr="00061F78" w:rsidTr="004B53F8">
        <w:trPr>
          <w:cantSplit/>
          <w:trHeight w:val="149"/>
        </w:trPr>
        <w:tc>
          <w:tcPr>
            <w:tcW w:w="5000" w:type="pct"/>
            <w:gridSpan w:val="5"/>
            <w:shd w:val="clear" w:color="auto" w:fill="auto"/>
            <w:tcMar>
              <w:left w:w="28" w:type="dxa"/>
              <w:right w:w="28" w:type="dxa"/>
            </w:tcMar>
            <w:vAlign w:val="center"/>
          </w:tcPr>
          <w:p w:rsidR="00356A70" w:rsidRPr="004B53F8" w:rsidRDefault="00356A70" w:rsidP="004D7CE3">
            <w:pPr>
              <w:pStyle w:val="Tablewriting"/>
              <w:rPr>
                <w:rFonts w:eastAsia="MS Mincho"/>
                <w:b/>
                <w:bCs/>
              </w:rPr>
            </w:pPr>
            <w:r w:rsidRPr="004B53F8">
              <w:rPr>
                <w:rFonts w:eastAsia="MS Mincho"/>
                <w:b/>
                <w:bCs/>
              </w:rPr>
              <w:t>Serious adverse events</w:t>
            </w:r>
          </w:p>
        </w:tc>
      </w:tr>
      <w:tr w:rsidR="002C230D" w:rsidRPr="00061F78" w:rsidTr="00A8247E">
        <w:trPr>
          <w:cantSplit/>
          <w:trHeight w:val="149"/>
        </w:trPr>
        <w:tc>
          <w:tcPr>
            <w:tcW w:w="556" w:type="pct"/>
            <w:tcMar>
              <w:left w:w="28" w:type="dxa"/>
              <w:right w:w="28" w:type="dxa"/>
            </w:tcMar>
          </w:tcPr>
          <w:p w:rsidR="002C230D" w:rsidRDefault="002C230D" w:rsidP="004D7CE3">
            <w:pPr>
              <w:pStyle w:val="Tablewriting"/>
              <w:rPr>
                <w:rFonts w:eastAsia="MS Mincho"/>
              </w:rPr>
            </w:pPr>
            <w:r>
              <w:rPr>
                <w:rFonts w:eastAsia="MS Mincho"/>
              </w:rPr>
              <w:t>Howes</w:t>
            </w:r>
            <w:r w:rsidRPr="00061F78">
              <w:rPr>
                <w:rFonts w:eastAsia="MS Mincho"/>
              </w:rPr>
              <w:t xml:space="preserve"> </w:t>
            </w:r>
          </w:p>
          <w:p w:rsidR="002C230D" w:rsidRDefault="002C230D" w:rsidP="004D7CE3">
            <w:pPr>
              <w:pStyle w:val="Tablewriting"/>
              <w:rPr>
                <w:rFonts w:eastAsia="MS Mincho"/>
              </w:rPr>
            </w:pPr>
            <w:r w:rsidRPr="00061F78">
              <w:rPr>
                <w:rFonts w:eastAsia="MS Mincho"/>
              </w:rPr>
              <w:t>(20</w:t>
            </w:r>
            <w:r>
              <w:rPr>
                <w:rFonts w:eastAsia="MS Mincho"/>
              </w:rPr>
              <w:t>20</w:t>
            </w:r>
            <w:r w:rsidRPr="00061F78">
              <w:rPr>
                <w:rFonts w:eastAsia="MS Mincho"/>
              </w:rPr>
              <w:t>)</w:t>
            </w:r>
          </w:p>
        </w:tc>
        <w:tc>
          <w:tcPr>
            <w:tcW w:w="936" w:type="pct"/>
            <w:vAlign w:val="center"/>
          </w:tcPr>
          <w:p w:rsidR="002C230D" w:rsidRDefault="002C230D" w:rsidP="004D7CE3">
            <w:pPr>
              <w:pStyle w:val="Tablewriting"/>
              <w:jc w:val="center"/>
              <w:rPr>
                <w:rFonts w:eastAsia="MS Mincho"/>
              </w:rPr>
            </w:pPr>
            <w:r>
              <w:rPr>
                <w:rFonts w:eastAsia="MS Mincho"/>
              </w:rPr>
              <w:t>Cochrane Review (5 RCTs)</w:t>
            </w:r>
          </w:p>
        </w:tc>
        <w:tc>
          <w:tcPr>
            <w:tcW w:w="1212" w:type="pct"/>
            <w:tcMar>
              <w:left w:w="28" w:type="dxa"/>
              <w:right w:w="28" w:type="dxa"/>
            </w:tcMar>
            <w:vAlign w:val="center"/>
          </w:tcPr>
          <w:p w:rsidR="002C230D" w:rsidRDefault="002C230D" w:rsidP="004D7CE3">
            <w:pPr>
              <w:pStyle w:val="Tablewriting"/>
              <w:jc w:val="center"/>
              <w:rPr>
                <w:rFonts w:eastAsia="MS Mincho"/>
              </w:rPr>
            </w:pPr>
            <w:r>
              <w:rPr>
                <w:rFonts w:eastAsia="MS Mincho"/>
              </w:rPr>
              <w:t>18/629</w:t>
            </w:r>
          </w:p>
          <w:p w:rsidR="002C230D" w:rsidRDefault="002C230D" w:rsidP="004D7CE3">
            <w:pPr>
              <w:pStyle w:val="Tablewriting"/>
              <w:jc w:val="center"/>
              <w:rPr>
                <w:rFonts w:eastAsia="MS Mincho"/>
              </w:rPr>
            </w:pPr>
            <w:r>
              <w:rPr>
                <w:rFonts w:eastAsia="MS Mincho"/>
              </w:rPr>
              <w:t>(</w:t>
            </w:r>
            <w:r w:rsidR="00E847A4">
              <w:rPr>
                <w:rFonts w:eastAsia="MS Mincho"/>
              </w:rPr>
              <w:t>2.9</w:t>
            </w:r>
            <w:r>
              <w:rPr>
                <w:rFonts w:eastAsia="MS Mincho"/>
              </w:rPr>
              <w:t>%)</w:t>
            </w:r>
          </w:p>
        </w:tc>
        <w:tc>
          <w:tcPr>
            <w:tcW w:w="1165" w:type="pct"/>
            <w:tcMar>
              <w:left w:w="28" w:type="dxa"/>
              <w:right w:w="28" w:type="dxa"/>
            </w:tcMar>
            <w:vAlign w:val="center"/>
          </w:tcPr>
          <w:p w:rsidR="002C230D" w:rsidRDefault="002C230D" w:rsidP="004D7CE3">
            <w:pPr>
              <w:pStyle w:val="Tablewriting"/>
              <w:jc w:val="center"/>
              <w:rPr>
                <w:rFonts w:eastAsia="MS Mincho"/>
              </w:rPr>
            </w:pPr>
            <w:r>
              <w:rPr>
                <w:rFonts w:eastAsia="MS Mincho"/>
              </w:rPr>
              <w:t>15/639</w:t>
            </w:r>
          </w:p>
          <w:p w:rsidR="002C230D" w:rsidRPr="00061F78" w:rsidRDefault="002C230D" w:rsidP="004D7CE3">
            <w:pPr>
              <w:pStyle w:val="Tablewriting"/>
              <w:jc w:val="center"/>
              <w:rPr>
                <w:rFonts w:eastAsia="MS Mincho"/>
              </w:rPr>
            </w:pPr>
            <w:r>
              <w:rPr>
                <w:rFonts w:eastAsia="MS Mincho"/>
              </w:rPr>
              <w:t>(</w:t>
            </w:r>
            <w:r w:rsidR="00E847A4">
              <w:rPr>
                <w:rFonts w:eastAsia="MS Mincho"/>
              </w:rPr>
              <w:t>2.3</w:t>
            </w:r>
            <w:r>
              <w:rPr>
                <w:rFonts w:eastAsia="MS Mincho"/>
              </w:rPr>
              <w:t>%)</w:t>
            </w:r>
          </w:p>
        </w:tc>
        <w:tc>
          <w:tcPr>
            <w:tcW w:w="1132" w:type="pct"/>
            <w:tcMar>
              <w:left w:w="28" w:type="dxa"/>
              <w:right w:w="28" w:type="dxa"/>
            </w:tcMar>
            <w:vAlign w:val="center"/>
          </w:tcPr>
          <w:p w:rsidR="002C230D" w:rsidRDefault="002C230D" w:rsidP="004D7CE3">
            <w:pPr>
              <w:pStyle w:val="Tablewriting"/>
              <w:jc w:val="center"/>
              <w:rPr>
                <w:rFonts w:eastAsia="MS Mincho"/>
              </w:rPr>
            </w:pPr>
            <w:r>
              <w:rPr>
                <w:rFonts w:eastAsia="MS Mincho"/>
              </w:rPr>
              <w:t>1.23</w:t>
            </w:r>
          </w:p>
          <w:p w:rsidR="002C230D" w:rsidRPr="00275BAC" w:rsidRDefault="002C230D" w:rsidP="004D7CE3">
            <w:pPr>
              <w:pStyle w:val="Tablewriting"/>
              <w:jc w:val="center"/>
              <w:rPr>
                <w:rFonts w:eastAsia="MS Mincho"/>
              </w:rPr>
            </w:pPr>
            <w:r>
              <w:rPr>
                <w:rFonts w:eastAsia="MS Mincho"/>
              </w:rPr>
              <w:t>(0.63, 2.42)</w:t>
            </w:r>
          </w:p>
        </w:tc>
      </w:tr>
      <w:tr w:rsidR="006615F0" w:rsidRPr="00061F78" w:rsidTr="004B53F8">
        <w:trPr>
          <w:cantSplit/>
          <w:trHeight w:val="149"/>
        </w:trPr>
        <w:tc>
          <w:tcPr>
            <w:tcW w:w="5000" w:type="pct"/>
            <w:gridSpan w:val="5"/>
            <w:shd w:val="clear" w:color="auto" w:fill="auto"/>
            <w:tcMar>
              <w:left w:w="28" w:type="dxa"/>
              <w:right w:w="28" w:type="dxa"/>
            </w:tcMar>
          </w:tcPr>
          <w:p w:rsidR="00356A70" w:rsidRPr="004B53F8" w:rsidRDefault="00356A70" w:rsidP="004D7CE3">
            <w:pPr>
              <w:pStyle w:val="Tablewriting"/>
              <w:rPr>
                <w:rFonts w:eastAsia="MS Mincho"/>
                <w:b/>
                <w:bCs/>
              </w:rPr>
            </w:pPr>
            <w:r w:rsidRPr="004B53F8">
              <w:rPr>
                <w:rFonts w:eastAsia="MS Mincho"/>
                <w:b/>
                <w:bCs/>
              </w:rPr>
              <w:t>Discontinuation due to adverse events</w:t>
            </w:r>
          </w:p>
        </w:tc>
      </w:tr>
      <w:tr w:rsidR="002C230D" w:rsidRPr="00061F78" w:rsidTr="00A8247E">
        <w:trPr>
          <w:cantSplit/>
          <w:trHeight w:val="149"/>
        </w:trPr>
        <w:tc>
          <w:tcPr>
            <w:tcW w:w="556" w:type="pct"/>
            <w:tcMar>
              <w:left w:w="28" w:type="dxa"/>
              <w:right w:w="28" w:type="dxa"/>
            </w:tcMar>
          </w:tcPr>
          <w:p w:rsidR="002C230D" w:rsidRDefault="002C230D" w:rsidP="004D7CE3">
            <w:pPr>
              <w:pStyle w:val="Tablewriting"/>
              <w:rPr>
                <w:rFonts w:eastAsia="MS Mincho"/>
              </w:rPr>
            </w:pPr>
            <w:r>
              <w:rPr>
                <w:rFonts w:eastAsia="MS Mincho"/>
              </w:rPr>
              <w:t>Howes</w:t>
            </w:r>
            <w:r w:rsidRPr="00061F78">
              <w:rPr>
                <w:rFonts w:eastAsia="MS Mincho"/>
              </w:rPr>
              <w:t xml:space="preserve"> </w:t>
            </w:r>
          </w:p>
          <w:p w:rsidR="002C230D" w:rsidRDefault="002C230D" w:rsidP="004D7CE3">
            <w:pPr>
              <w:pStyle w:val="Tablewriting"/>
              <w:rPr>
                <w:rFonts w:eastAsia="MS Mincho"/>
              </w:rPr>
            </w:pPr>
            <w:r w:rsidRPr="00061F78">
              <w:rPr>
                <w:rFonts w:eastAsia="MS Mincho"/>
              </w:rPr>
              <w:t>(20</w:t>
            </w:r>
            <w:r>
              <w:rPr>
                <w:rFonts w:eastAsia="MS Mincho"/>
              </w:rPr>
              <w:t>20</w:t>
            </w:r>
            <w:r w:rsidRPr="00061F78">
              <w:rPr>
                <w:rFonts w:eastAsia="MS Mincho"/>
              </w:rPr>
              <w:t>)</w:t>
            </w:r>
          </w:p>
        </w:tc>
        <w:tc>
          <w:tcPr>
            <w:tcW w:w="936" w:type="pct"/>
            <w:vAlign w:val="center"/>
          </w:tcPr>
          <w:p w:rsidR="002C230D" w:rsidRDefault="002C230D" w:rsidP="004D7CE3">
            <w:pPr>
              <w:pStyle w:val="Tablewriting"/>
              <w:jc w:val="center"/>
              <w:rPr>
                <w:rFonts w:eastAsia="MS Mincho"/>
              </w:rPr>
            </w:pPr>
            <w:r>
              <w:rPr>
                <w:rFonts w:eastAsia="MS Mincho"/>
              </w:rPr>
              <w:t>Cochrane Review (4 RCTs)</w:t>
            </w:r>
          </w:p>
        </w:tc>
        <w:tc>
          <w:tcPr>
            <w:tcW w:w="1212" w:type="pct"/>
            <w:tcMar>
              <w:left w:w="28" w:type="dxa"/>
              <w:right w:w="28" w:type="dxa"/>
            </w:tcMar>
            <w:vAlign w:val="center"/>
          </w:tcPr>
          <w:p w:rsidR="002C230D" w:rsidRDefault="002C230D" w:rsidP="004D7CE3">
            <w:pPr>
              <w:pStyle w:val="Tablewriting"/>
              <w:jc w:val="center"/>
              <w:rPr>
                <w:rFonts w:eastAsia="MS Mincho"/>
              </w:rPr>
            </w:pPr>
            <w:r>
              <w:rPr>
                <w:rFonts w:eastAsia="MS Mincho"/>
              </w:rPr>
              <w:t>19/609</w:t>
            </w:r>
          </w:p>
          <w:p w:rsidR="002C230D" w:rsidRDefault="002C230D" w:rsidP="004D7CE3">
            <w:pPr>
              <w:pStyle w:val="Tablewriting"/>
              <w:jc w:val="center"/>
              <w:rPr>
                <w:rFonts w:eastAsia="MS Mincho"/>
              </w:rPr>
            </w:pPr>
            <w:r>
              <w:rPr>
                <w:rFonts w:eastAsia="MS Mincho"/>
              </w:rPr>
              <w:t>(</w:t>
            </w:r>
            <w:r w:rsidR="00E847A4">
              <w:rPr>
                <w:rFonts w:eastAsia="MS Mincho"/>
              </w:rPr>
              <w:t>3.1</w:t>
            </w:r>
            <w:r>
              <w:rPr>
                <w:rFonts w:eastAsia="MS Mincho"/>
              </w:rPr>
              <w:t>%)</w:t>
            </w:r>
          </w:p>
        </w:tc>
        <w:tc>
          <w:tcPr>
            <w:tcW w:w="1165" w:type="pct"/>
            <w:tcMar>
              <w:left w:w="28" w:type="dxa"/>
              <w:right w:w="28" w:type="dxa"/>
            </w:tcMar>
            <w:vAlign w:val="center"/>
          </w:tcPr>
          <w:p w:rsidR="002C230D" w:rsidRDefault="002C230D" w:rsidP="004D7CE3">
            <w:pPr>
              <w:pStyle w:val="Tablewriting"/>
              <w:jc w:val="center"/>
              <w:rPr>
                <w:rFonts w:eastAsia="MS Mincho"/>
              </w:rPr>
            </w:pPr>
            <w:r>
              <w:rPr>
                <w:rFonts w:eastAsia="MS Mincho"/>
              </w:rPr>
              <w:t>24/621</w:t>
            </w:r>
          </w:p>
          <w:p w:rsidR="002C230D" w:rsidRPr="00061F78" w:rsidRDefault="002C230D" w:rsidP="004D7CE3">
            <w:pPr>
              <w:pStyle w:val="Tablewriting"/>
              <w:jc w:val="center"/>
              <w:rPr>
                <w:rFonts w:eastAsia="MS Mincho"/>
              </w:rPr>
            </w:pPr>
            <w:r>
              <w:rPr>
                <w:rFonts w:eastAsia="MS Mincho"/>
              </w:rPr>
              <w:t>(</w:t>
            </w:r>
            <w:r w:rsidR="00E847A4">
              <w:rPr>
                <w:rFonts w:eastAsia="MS Mincho"/>
              </w:rPr>
              <w:t>3.9</w:t>
            </w:r>
            <w:r>
              <w:rPr>
                <w:rFonts w:eastAsia="MS Mincho"/>
              </w:rPr>
              <w:t>%)</w:t>
            </w:r>
          </w:p>
        </w:tc>
        <w:tc>
          <w:tcPr>
            <w:tcW w:w="1132" w:type="pct"/>
            <w:tcMar>
              <w:left w:w="28" w:type="dxa"/>
              <w:right w:w="28" w:type="dxa"/>
            </w:tcMar>
            <w:vAlign w:val="center"/>
          </w:tcPr>
          <w:p w:rsidR="002C230D" w:rsidRPr="002C230D" w:rsidRDefault="002C230D" w:rsidP="004D7CE3">
            <w:pPr>
              <w:pStyle w:val="Tablewriting"/>
              <w:jc w:val="center"/>
              <w:rPr>
                <w:rFonts w:eastAsia="MS Mincho"/>
              </w:rPr>
            </w:pPr>
            <w:r w:rsidRPr="002C230D">
              <w:rPr>
                <w:rFonts w:eastAsia="MS Mincho"/>
              </w:rPr>
              <w:t>0.8</w:t>
            </w:r>
          </w:p>
          <w:p w:rsidR="002C230D" w:rsidRPr="00D468CF" w:rsidRDefault="002C230D" w:rsidP="004D7CE3">
            <w:pPr>
              <w:pStyle w:val="Tablewriting"/>
              <w:jc w:val="center"/>
              <w:rPr>
                <w:rFonts w:eastAsia="MS Mincho"/>
                <w:b/>
                <w:bCs/>
              </w:rPr>
            </w:pPr>
            <w:r w:rsidRPr="002C230D">
              <w:rPr>
                <w:rFonts w:eastAsia="MS Mincho"/>
              </w:rPr>
              <w:t>(0.45, 1.45)</w:t>
            </w:r>
          </w:p>
        </w:tc>
      </w:tr>
    </w:tbl>
    <w:p w:rsidR="008D3E35" w:rsidRDefault="008D3E35" w:rsidP="004B53F8">
      <w:pPr>
        <w:pStyle w:val="TableFooter"/>
      </w:pPr>
      <w:r>
        <w:t>Source: Howes et al. (2020)</w:t>
      </w:r>
    </w:p>
    <w:p w:rsidR="008D3E35" w:rsidRDefault="008D3E35" w:rsidP="004B53F8">
      <w:pPr>
        <w:pStyle w:val="TableFooter"/>
      </w:pPr>
      <w:r>
        <w:lastRenderedPageBreak/>
        <w:t>Abbreviations: CI = confidence interval; RCT = randomised controlled trial; RD = risk difference; RR = risk ratio</w:t>
      </w:r>
    </w:p>
    <w:p w:rsidR="008D3E35" w:rsidRPr="004D7CE3" w:rsidRDefault="008D3E35" w:rsidP="004B53F8">
      <w:pPr>
        <w:pStyle w:val="TableFooter"/>
      </w:pPr>
      <w:r w:rsidRPr="00FD4061">
        <w:t>Note</w:t>
      </w:r>
      <w:r>
        <w:t>s</w:t>
      </w:r>
      <w:r w:rsidRPr="00FD4061">
        <w:t>: Bold indicates statistically significant difference.</w:t>
      </w:r>
      <w:r>
        <w:t xml:space="preserve"> </w:t>
      </w:r>
      <w:r w:rsidRPr="00FF2899">
        <w:t xml:space="preserve">See </w:t>
      </w:r>
      <w:r w:rsidRPr="004D7CE3">
        <w:t>Appendix</w:t>
      </w:r>
      <w:r w:rsidR="009777E6" w:rsidRPr="004D7CE3">
        <w:t xml:space="preserve"> </w:t>
      </w:r>
      <w:r w:rsidR="003C4A1C">
        <w:t xml:space="preserve">Figure </w:t>
      </w:r>
      <w:r w:rsidR="003C4A1C">
        <w:rPr>
          <w:noProof/>
        </w:rPr>
        <w:t>79</w:t>
      </w:r>
      <w:r w:rsidR="009777E6" w:rsidRPr="004D7CE3">
        <w:t xml:space="preserve"> to </w:t>
      </w:r>
      <w:r w:rsidR="003C4A1C">
        <w:t xml:space="preserve">Figure </w:t>
      </w:r>
      <w:r w:rsidR="003C4A1C">
        <w:rPr>
          <w:noProof/>
        </w:rPr>
        <w:t>82</w:t>
      </w:r>
      <w:r w:rsidRPr="004D7CE3">
        <w:t xml:space="preserve"> for forest plots of the respective outcomes which included the results of individual studies.</w:t>
      </w:r>
    </w:p>
    <w:p w:rsidR="008D3E35" w:rsidRDefault="008D3E35" w:rsidP="004B53F8">
      <w:pPr>
        <w:pStyle w:val="TableFooter"/>
      </w:pPr>
      <w:r w:rsidRPr="004D7CE3">
        <w:t xml:space="preserve">1 Calculated </w:t>
      </w:r>
      <w:r w:rsidR="00356A70" w:rsidRPr="004D7CE3">
        <w:t>by Cochrane Review authors</w:t>
      </w:r>
      <w:r w:rsidRPr="004D7CE3">
        <w:t xml:space="preserve"> using a fixed-effect model</w:t>
      </w:r>
      <w:r w:rsidR="00C410DE">
        <w:t>.</w:t>
      </w:r>
    </w:p>
    <w:p w:rsidR="006274EF" w:rsidRDefault="00792963" w:rsidP="00D02475">
      <w:pPr>
        <w:pStyle w:val="Heading5"/>
        <w:numPr>
          <w:ilvl w:val="0"/>
          <w:numId w:val="0"/>
        </w:numPr>
      </w:pPr>
      <w:r>
        <w:t>C</w:t>
      </w:r>
      <w:r w:rsidR="006274EF">
        <w:t>ombination</w:t>
      </w:r>
      <w:r>
        <w:t xml:space="preserve"> bupropion</w:t>
      </w:r>
    </w:p>
    <w:p w:rsidR="00E92A2B" w:rsidRPr="00E92A2B" w:rsidRDefault="005B21A5" w:rsidP="00E92A2B">
      <w:r>
        <w:t>Bupropion</w:t>
      </w:r>
      <w:r w:rsidR="00E92A2B" w:rsidRPr="00E92A2B">
        <w:t xml:space="preserve"> in combination with NRT ha</w:t>
      </w:r>
      <w:r w:rsidR="004C2E15">
        <w:t>s</w:t>
      </w:r>
      <w:r w:rsidR="00E92A2B" w:rsidRPr="00E92A2B">
        <w:t xml:space="preserve"> not been previously considered by the PBAC</w:t>
      </w:r>
      <w:r w:rsidR="001C7C4C">
        <w:t xml:space="preserve"> (see combination varenicline section for</w:t>
      </w:r>
      <w:r w:rsidR="00661733">
        <w:t xml:space="preserve"> the use of</w:t>
      </w:r>
      <w:r w:rsidR="001C7C4C">
        <w:t xml:space="preserve"> </w:t>
      </w:r>
      <w:r w:rsidR="00661733">
        <w:t>bupropion in combination with varenicline)</w:t>
      </w:r>
      <w:r w:rsidR="00E92A2B" w:rsidRPr="00E92A2B">
        <w:t xml:space="preserve">. </w:t>
      </w:r>
    </w:p>
    <w:p w:rsidR="006274EF" w:rsidRDefault="006274EF" w:rsidP="006274EF">
      <w:pPr>
        <w:rPr>
          <w:b/>
          <w:strike/>
        </w:rPr>
      </w:pPr>
      <w:r w:rsidRPr="00944A49">
        <w:rPr>
          <w:b/>
          <w:bCs/>
        </w:rPr>
        <w:t xml:space="preserve">Bupropion </w:t>
      </w:r>
      <w:r w:rsidR="00693DA2">
        <w:rPr>
          <w:b/>
          <w:bCs/>
        </w:rPr>
        <w:t>in</w:t>
      </w:r>
      <w:r w:rsidR="00276EE7">
        <w:rPr>
          <w:b/>
          <w:bCs/>
        </w:rPr>
        <w:t xml:space="preserve"> </w:t>
      </w:r>
      <w:r w:rsidRPr="00944A49">
        <w:rPr>
          <w:b/>
          <w:bCs/>
        </w:rPr>
        <w:t xml:space="preserve">combination </w:t>
      </w:r>
      <w:r w:rsidR="00276EE7">
        <w:rPr>
          <w:b/>
          <w:bCs/>
        </w:rPr>
        <w:t xml:space="preserve">with </w:t>
      </w:r>
      <w:r w:rsidRPr="00944A49">
        <w:rPr>
          <w:b/>
          <w:bCs/>
        </w:rPr>
        <w:t>NRT</w:t>
      </w:r>
      <w:r w:rsidR="00407E2C">
        <w:rPr>
          <w:b/>
          <w:bCs/>
        </w:rPr>
        <w:t xml:space="preserve"> versus NRT</w:t>
      </w:r>
    </w:p>
    <w:p w:rsidR="00407E2C" w:rsidRPr="00407E2C" w:rsidRDefault="00407E2C" w:rsidP="006274EF">
      <w:bookmarkStart w:id="166" w:name="_Hlk58492833"/>
      <w:r w:rsidRPr="00407E2C">
        <w:t>A summary of the citation details for the studies comparing</w:t>
      </w:r>
      <w:r>
        <w:t xml:space="preserve"> bupropion</w:t>
      </w:r>
      <w:r w:rsidRPr="00407E2C">
        <w:t xml:space="preserve"> plus NRT with </w:t>
      </w:r>
      <w:r>
        <w:t>NRT</w:t>
      </w:r>
      <w:r w:rsidRPr="00407E2C">
        <w:t xml:space="preserve"> alone is presented in </w:t>
      </w:r>
      <w:r w:rsidR="003C4A1C">
        <w:t xml:space="preserve">Table </w:t>
      </w:r>
      <w:r w:rsidR="003C4A1C">
        <w:rPr>
          <w:noProof/>
        </w:rPr>
        <w:t>74</w:t>
      </w:r>
      <w:r w:rsidRPr="00407E2C">
        <w:t xml:space="preserve">. A recently conducted </w:t>
      </w:r>
      <w:r w:rsidR="00142C2E">
        <w:t>Cochrane</w:t>
      </w:r>
      <w:r w:rsidRPr="00407E2C">
        <w:t xml:space="preserve"> </w:t>
      </w:r>
      <w:r w:rsidR="00696736" w:rsidRPr="00407E2C">
        <w:t>R</w:t>
      </w:r>
      <w:r w:rsidRPr="00407E2C">
        <w:t xml:space="preserve">eview by </w:t>
      </w:r>
      <w:r w:rsidR="00142C2E">
        <w:t>Howes</w:t>
      </w:r>
      <w:r w:rsidRPr="00407E2C">
        <w:t xml:space="preserve"> et al. (20</w:t>
      </w:r>
      <w:r w:rsidR="00142C2E">
        <w:t>20</w:t>
      </w:r>
      <w:r w:rsidRPr="00407E2C">
        <w:t xml:space="preserve">) was identified in the systematic literature review that compared </w:t>
      </w:r>
      <w:r w:rsidR="004715E2">
        <w:t>bupropion</w:t>
      </w:r>
      <w:r w:rsidRPr="00407E2C">
        <w:t xml:space="preserve"> plus NRT with </w:t>
      </w:r>
      <w:r w:rsidR="004715E2">
        <w:t>NRT</w:t>
      </w:r>
      <w:r w:rsidRPr="00407E2C">
        <w:t xml:space="preserve"> alone and was included in this report.</w:t>
      </w:r>
      <w:r w:rsidR="00696736" w:rsidRPr="00696736">
        <w:t xml:space="preserve"> No new studies comparing </w:t>
      </w:r>
      <w:r w:rsidR="00696736">
        <w:t>bupropion</w:t>
      </w:r>
      <w:r w:rsidR="00696736" w:rsidRPr="00407E2C">
        <w:t xml:space="preserve"> plus NRT with </w:t>
      </w:r>
      <w:r w:rsidR="00696736">
        <w:t>NRT</w:t>
      </w:r>
      <w:r w:rsidR="00696736" w:rsidRPr="00407E2C">
        <w:t xml:space="preserve"> alone</w:t>
      </w:r>
      <w:r w:rsidR="00696736" w:rsidRPr="00696736">
        <w:t xml:space="preserve"> were identified in the supplemental literature search.</w:t>
      </w:r>
    </w:p>
    <w:p w:rsidR="005D367C" w:rsidRDefault="005D367C" w:rsidP="005D367C">
      <w:pPr>
        <w:pStyle w:val="Caption"/>
        <w:keepNext/>
      </w:pPr>
      <w:bookmarkStart w:id="167" w:name="_Ref58418782"/>
      <w:bookmarkEnd w:id="166"/>
      <w:r>
        <w:t xml:space="preserve">Table </w:t>
      </w:r>
      <w:r w:rsidR="003C4A1C">
        <w:rPr>
          <w:noProof/>
        </w:rPr>
        <w:t>74</w:t>
      </w:r>
      <w:bookmarkEnd w:id="167"/>
      <w:r>
        <w:t xml:space="preserve">: </w:t>
      </w:r>
      <w:r w:rsidRPr="008207E2">
        <w:t xml:space="preserve">List of studies comparing </w:t>
      </w:r>
      <w:r>
        <w:t>bupropion</w:t>
      </w:r>
      <w:r w:rsidRPr="008207E2">
        <w:t xml:space="preserve"> plus NRT with </w:t>
      </w:r>
      <w:r>
        <w:t>NRT</w:t>
      </w:r>
      <w:r w:rsidRPr="008207E2">
        <w:t xml:space="preserve"> alone</w:t>
      </w:r>
    </w:p>
    <w:tbl>
      <w:tblPr>
        <w:tblStyle w:val="TableGrid"/>
        <w:tblW w:w="5000" w:type="pct"/>
        <w:tblLook w:val="04A0" w:firstRow="1" w:lastRow="0" w:firstColumn="1" w:lastColumn="0" w:noHBand="0" w:noVBand="1"/>
        <w:tblCaption w:val="Efficacy results of adalimumab trials (PASI 75 and DLQI)"/>
      </w:tblPr>
      <w:tblGrid>
        <w:gridCol w:w="1004"/>
        <w:gridCol w:w="8012"/>
      </w:tblGrid>
      <w:tr w:rsidR="00407E2C" w:rsidRPr="00061F78" w:rsidTr="00EB33BB">
        <w:trPr>
          <w:cantSplit/>
          <w:trHeight w:val="329"/>
          <w:tblHeader/>
        </w:trPr>
        <w:tc>
          <w:tcPr>
            <w:tcW w:w="557" w:type="pct"/>
            <w:shd w:val="clear" w:color="auto" w:fill="BFBFBF" w:themeFill="background1" w:themeFillShade="BF"/>
            <w:tcMar>
              <w:left w:w="28" w:type="dxa"/>
              <w:right w:w="28" w:type="dxa"/>
            </w:tcMar>
          </w:tcPr>
          <w:p w:rsidR="00407E2C" w:rsidRPr="00061F78" w:rsidRDefault="00407E2C" w:rsidP="00EB33BB">
            <w:pPr>
              <w:pStyle w:val="Tableheading"/>
              <w:keepNext/>
              <w:rPr>
                <w:rFonts w:eastAsia="MS Mincho"/>
              </w:rPr>
            </w:pPr>
            <w:r>
              <w:rPr>
                <w:rFonts w:eastAsia="MS Mincho"/>
              </w:rPr>
              <w:t>Study</w:t>
            </w:r>
          </w:p>
        </w:tc>
        <w:tc>
          <w:tcPr>
            <w:tcW w:w="4443" w:type="pct"/>
            <w:shd w:val="clear" w:color="auto" w:fill="BFBFBF" w:themeFill="background1" w:themeFillShade="BF"/>
          </w:tcPr>
          <w:p w:rsidR="00407E2C" w:rsidRDefault="00407E2C" w:rsidP="00EB33BB">
            <w:pPr>
              <w:pStyle w:val="Tableheading"/>
              <w:keepNext/>
              <w:jc w:val="center"/>
              <w:rPr>
                <w:rFonts w:eastAsia="MS Mincho"/>
              </w:rPr>
            </w:pPr>
            <w:r>
              <w:rPr>
                <w:rFonts w:eastAsia="MS Mincho"/>
              </w:rPr>
              <w:t>Citation</w:t>
            </w:r>
          </w:p>
        </w:tc>
      </w:tr>
      <w:tr w:rsidR="00407E2C" w:rsidRPr="00061F78" w:rsidTr="00EB33BB">
        <w:trPr>
          <w:cantSplit/>
          <w:trHeight w:val="164"/>
        </w:trPr>
        <w:tc>
          <w:tcPr>
            <w:tcW w:w="557" w:type="pct"/>
            <w:tcMar>
              <w:left w:w="28" w:type="dxa"/>
              <w:right w:w="28" w:type="dxa"/>
            </w:tcMar>
          </w:tcPr>
          <w:p w:rsidR="00407E2C" w:rsidRDefault="00407E2C" w:rsidP="00407E2C">
            <w:pPr>
              <w:pStyle w:val="Tablewriting"/>
              <w:keepNext/>
              <w:rPr>
                <w:rFonts w:eastAsia="MS Mincho"/>
              </w:rPr>
            </w:pPr>
            <w:r>
              <w:rPr>
                <w:rFonts w:eastAsia="MS Mincho"/>
              </w:rPr>
              <w:t>Howes</w:t>
            </w:r>
            <w:r w:rsidRPr="00061F78">
              <w:rPr>
                <w:rFonts w:eastAsia="MS Mincho"/>
              </w:rPr>
              <w:t xml:space="preserve"> (20</w:t>
            </w:r>
            <w:r>
              <w:rPr>
                <w:rFonts w:eastAsia="MS Mincho"/>
              </w:rPr>
              <w:t>20</w:t>
            </w:r>
            <w:r w:rsidRPr="00061F78">
              <w:rPr>
                <w:rFonts w:eastAsia="MS Mincho"/>
              </w:rPr>
              <w:t>)</w:t>
            </w:r>
            <w:r w:rsidR="0039468B" w:rsidRPr="007A3AB0">
              <w:rPr>
                <w:rFonts w:eastAsia="MS Mincho"/>
                <w:noProof/>
                <w:vertAlign w:val="superscript"/>
              </w:rPr>
              <w:t>3</w:t>
            </w:r>
            <w:r w:rsidRPr="00D07303">
              <w:rPr>
                <w:rFonts w:eastAsia="MS Mincho"/>
                <w:vertAlign w:val="superscript"/>
              </w:rPr>
              <w:t xml:space="preserve"> </w:t>
            </w:r>
          </w:p>
        </w:tc>
        <w:tc>
          <w:tcPr>
            <w:tcW w:w="4443" w:type="pct"/>
          </w:tcPr>
          <w:p w:rsidR="00407E2C" w:rsidRPr="008E38BA" w:rsidRDefault="00407E2C" w:rsidP="00407E2C">
            <w:pPr>
              <w:pStyle w:val="Tablewriting"/>
              <w:keepNext/>
              <w:rPr>
                <w:rFonts w:eastAsia="MS Mincho"/>
              </w:rPr>
            </w:pPr>
            <w:r w:rsidRPr="002764E0">
              <w:rPr>
                <w:rFonts w:eastAsia="MS Mincho"/>
              </w:rPr>
              <w:t>Howes  S, Hartmann‐Boyce  J, Livingstone‐Banks  J, Hong  B, Lindson  N. Antidepressants for smoking cessation. Cochrane Database of Systematic Reviews 2020, Issue 4. Art. No.: CD000031.</w:t>
            </w:r>
          </w:p>
        </w:tc>
      </w:tr>
    </w:tbl>
    <w:p w:rsidR="00E92A2B" w:rsidRDefault="00E92A2B" w:rsidP="006274EF">
      <w:pPr>
        <w:rPr>
          <w:b/>
          <w:bCs/>
        </w:rPr>
      </w:pPr>
    </w:p>
    <w:p w:rsidR="00B139BB" w:rsidRDefault="004E214B" w:rsidP="006274EF">
      <w:r w:rsidRPr="004E214B">
        <w:t>A summary of the characteristics of the studies comparing bupropion</w:t>
      </w:r>
      <w:r>
        <w:t xml:space="preserve"> plus NRT</w:t>
      </w:r>
      <w:r w:rsidRPr="004E214B">
        <w:t xml:space="preserve"> with </w:t>
      </w:r>
      <w:r>
        <w:t>NRT alone</w:t>
      </w:r>
      <w:r w:rsidRPr="004E214B">
        <w:t xml:space="preserve"> is presented in Table 6. A total of </w:t>
      </w:r>
      <w:r w:rsidR="00F01A46">
        <w:t>1</w:t>
      </w:r>
      <w:r w:rsidR="00E024D1">
        <w:t>2</w:t>
      </w:r>
      <w:r w:rsidR="00F01A46" w:rsidRPr="00F01A46">
        <w:t xml:space="preserve"> </w:t>
      </w:r>
      <w:r w:rsidRPr="004E214B">
        <w:t xml:space="preserve">RCTs comparing bupropion </w:t>
      </w:r>
      <w:r w:rsidR="00F01A46">
        <w:t>plus NRT</w:t>
      </w:r>
      <w:r w:rsidR="00F01A46" w:rsidRPr="004E214B">
        <w:t xml:space="preserve"> </w:t>
      </w:r>
      <w:r w:rsidRPr="004E214B">
        <w:t xml:space="preserve">with </w:t>
      </w:r>
      <w:r w:rsidR="00F01A46">
        <w:t>NRT alone</w:t>
      </w:r>
      <w:r w:rsidRPr="004E214B">
        <w:t xml:space="preserve"> were identified by Howes et al. (2020</w:t>
      </w:r>
      <w:r w:rsidR="00F01A46" w:rsidRPr="00F01A46">
        <w:t>)</w:t>
      </w:r>
      <w:r w:rsidRPr="004E214B">
        <w:t xml:space="preserve">. The characteristics of the individual studies are presented in </w:t>
      </w:r>
      <w:r w:rsidRPr="008340F4">
        <w:t>Appendix</w:t>
      </w:r>
      <w:r w:rsidRPr="004E214B">
        <w:t xml:space="preserve"> </w:t>
      </w:r>
      <w:r w:rsidR="003C4A1C">
        <w:t xml:space="preserve">Table </w:t>
      </w:r>
      <w:r w:rsidR="003C4A1C">
        <w:rPr>
          <w:noProof/>
        </w:rPr>
        <w:t>159</w:t>
      </w:r>
      <w:r w:rsidR="008340F4">
        <w:t>.</w:t>
      </w:r>
    </w:p>
    <w:p w:rsidR="00E61486" w:rsidRDefault="00E61486" w:rsidP="00B45A47">
      <w:pPr>
        <w:pStyle w:val="Caption"/>
        <w:keepNext/>
      </w:pPr>
      <w:r>
        <w:t xml:space="preserve">Table </w:t>
      </w:r>
      <w:r w:rsidR="003C4A1C">
        <w:rPr>
          <w:noProof/>
        </w:rPr>
        <w:t>75</w:t>
      </w:r>
      <w:r>
        <w:t xml:space="preserve">: </w:t>
      </w:r>
      <w:r w:rsidRPr="00545E48">
        <w:t xml:space="preserve">Characteristics of the studies comparing </w:t>
      </w:r>
      <w:r>
        <w:t xml:space="preserve">bupropion </w:t>
      </w:r>
      <w:r w:rsidRPr="00545E48">
        <w:t xml:space="preserve">plus NRT with </w:t>
      </w:r>
      <w:r>
        <w:t>NRT</w:t>
      </w:r>
      <w:r w:rsidRPr="00545E48">
        <w:t xml:space="preserve"> alone</w:t>
      </w:r>
    </w:p>
    <w:tbl>
      <w:tblPr>
        <w:tblStyle w:val="TableGrid"/>
        <w:tblW w:w="5000" w:type="pct"/>
        <w:tblLook w:val="04A0" w:firstRow="1" w:lastRow="0" w:firstColumn="1" w:lastColumn="0" w:noHBand="0" w:noVBand="1"/>
        <w:tblCaption w:val="Efficacy results of adalimumab trials (PASI 75 and DLQI)"/>
      </w:tblPr>
      <w:tblGrid>
        <w:gridCol w:w="646"/>
        <w:gridCol w:w="1049"/>
        <w:gridCol w:w="1008"/>
        <w:gridCol w:w="2672"/>
        <w:gridCol w:w="1654"/>
        <w:gridCol w:w="1987"/>
      </w:tblGrid>
      <w:tr w:rsidR="001B2B34" w:rsidRPr="00061F78" w:rsidTr="00B45A47">
        <w:trPr>
          <w:trHeight w:val="299"/>
          <w:tblHeader/>
        </w:trPr>
        <w:tc>
          <w:tcPr>
            <w:tcW w:w="358" w:type="pct"/>
            <w:shd w:val="clear" w:color="auto" w:fill="BFBFBF" w:themeFill="background1" w:themeFillShade="BF"/>
            <w:tcMar>
              <w:left w:w="28" w:type="dxa"/>
              <w:right w:w="28" w:type="dxa"/>
            </w:tcMar>
          </w:tcPr>
          <w:p w:rsidR="00CA458B" w:rsidRPr="00061F78" w:rsidRDefault="00CA458B" w:rsidP="00B139BB">
            <w:pPr>
              <w:pStyle w:val="Tableheading"/>
              <w:rPr>
                <w:rFonts w:eastAsia="MS Mincho"/>
              </w:rPr>
            </w:pPr>
            <w:r>
              <w:rPr>
                <w:rFonts w:eastAsia="MS Mincho"/>
              </w:rPr>
              <w:t>Study</w:t>
            </w:r>
          </w:p>
        </w:tc>
        <w:tc>
          <w:tcPr>
            <w:tcW w:w="582" w:type="pct"/>
            <w:shd w:val="clear" w:color="auto" w:fill="BFBFBF" w:themeFill="background1" w:themeFillShade="BF"/>
          </w:tcPr>
          <w:p w:rsidR="00CA458B" w:rsidRDefault="00CA458B" w:rsidP="00B139BB">
            <w:pPr>
              <w:pStyle w:val="Tableheading"/>
              <w:jc w:val="center"/>
              <w:rPr>
                <w:rFonts w:eastAsia="MS Mincho"/>
              </w:rPr>
            </w:pPr>
            <w:r>
              <w:rPr>
                <w:rFonts w:eastAsia="MS Mincho"/>
              </w:rPr>
              <w:t>Study type</w:t>
            </w:r>
          </w:p>
        </w:tc>
        <w:tc>
          <w:tcPr>
            <w:tcW w:w="559" w:type="pct"/>
            <w:shd w:val="clear" w:color="auto" w:fill="BFBFBF" w:themeFill="background1" w:themeFillShade="BF"/>
            <w:tcMar>
              <w:left w:w="28" w:type="dxa"/>
              <w:right w:w="28" w:type="dxa"/>
            </w:tcMar>
          </w:tcPr>
          <w:p w:rsidR="00CA458B" w:rsidRPr="00AB145F" w:rsidRDefault="00CA458B" w:rsidP="00B139BB">
            <w:pPr>
              <w:pStyle w:val="Tableheading"/>
              <w:jc w:val="center"/>
              <w:rPr>
                <w:rFonts w:eastAsia="MS Mincho"/>
                <w:vertAlign w:val="superscript"/>
              </w:rPr>
            </w:pPr>
            <w:r>
              <w:rPr>
                <w:rFonts w:eastAsia="MS Mincho"/>
              </w:rPr>
              <w:t>N</w:t>
            </w:r>
            <w:r>
              <w:rPr>
                <w:rFonts w:eastAsia="MS Mincho"/>
                <w:vertAlign w:val="superscript"/>
              </w:rPr>
              <w:t>1</w:t>
            </w:r>
          </w:p>
        </w:tc>
        <w:tc>
          <w:tcPr>
            <w:tcW w:w="1482" w:type="pct"/>
            <w:shd w:val="clear" w:color="auto" w:fill="BFBFBF" w:themeFill="background1" w:themeFillShade="BF"/>
            <w:tcMar>
              <w:left w:w="28" w:type="dxa"/>
              <w:right w:w="28" w:type="dxa"/>
            </w:tcMar>
          </w:tcPr>
          <w:p w:rsidR="00CA458B" w:rsidRPr="00061F78" w:rsidRDefault="00CA458B" w:rsidP="00B139BB">
            <w:pPr>
              <w:pStyle w:val="Tableheading"/>
              <w:jc w:val="center"/>
              <w:rPr>
                <w:rFonts w:eastAsia="MS Mincho"/>
              </w:rPr>
            </w:pPr>
            <w:r w:rsidRPr="00061F78">
              <w:rPr>
                <w:rFonts w:eastAsia="MS Mincho"/>
              </w:rPr>
              <w:t>P</w:t>
            </w:r>
            <w:r>
              <w:rPr>
                <w:rFonts w:eastAsia="MS Mincho"/>
              </w:rPr>
              <w:t>opulation</w:t>
            </w:r>
          </w:p>
        </w:tc>
        <w:tc>
          <w:tcPr>
            <w:tcW w:w="917" w:type="pct"/>
            <w:shd w:val="clear" w:color="auto" w:fill="BFBFBF" w:themeFill="background1" w:themeFillShade="BF"/>
          </w:tcPr>
          <w:p w:rsidR="00CA458B" w:rsidRDefault="00CA458B" w:rsidP="00B139BB">
            <w:pPr>
              <w:pStyle w:val="Tableheading"/>
              <w:jc w:val="center"/>
              <w:rPr>
                <w:rFonts w:eastAsia="MS Mincho"/>
              </w:rPr>
            </w:pPr>
            <w:r>
              <w:rPr>
                <w:rFonts w:eastAsia="MS Mincho"/>
              </w:rPr>
              <w:t>Intervention and comparator</w:t>
            </w:r>
          </w:p>
        </w:tc>
        <w:tc>
          <w:tcPr>
            <w:tcW w:w="1102" w:type="pct"/>
            <w:shd w:val="clear" w:color="auto" w:fill="BFBFBF" w:themeFill="background1" w:themeFillShade="BF"/>
            <w:tcMar>
              <w:left w:w="28" w:type="dxa"/>
              <w:right w:w="28" w:type="dxa"/>
            </w:tcMar>
          </w:tcPr>
          <w:p w:rsidR="00CA458B" w:rsidRPr="00061F78" w:rsidRDefault="00CA458B" w:rsidP="00B139BB">
            <w:pPr>
              <w:pStyle w:val="Tableheading"/>
              <w:jc w:val="center"/>
              <w:rPr>
                <w:rFonts w:eastAsia="MS Mincho"/>
              </w:rPr>
            </w:pPr>
            <w:r>
              <w:rPr>
                <w:rFonts w:eastAsia="MS Mincho"/>
              </w:rPr>
              <w:t>Outcomes</w:t>
            </w:r>
          </w:p>
        </w:tc>
      </w:tr>
      <w:tr w:rsidR="00CA458B" w:rsidRPr="00061F78" w:rsidTr="00564063">
        <w:trPr>
          <w:trHeight w:val="149"/>
        </w:trPr>
        <w:tc>
          <w:tcPr>
            <w:tcW w:w="358" w:type="pct"/>
            <w:tcMar>
              <w:left w:w="28" w:type="dxa"/>
              <w:right w:w="28" w:type="dxa"/>
            </w:tcMar>
          </w:tcPr>
          <w:p w:rsidR="00CA458B" w:rsidRPr="00D07303" w:rsidRDefault="00CA458B" w:rsidP="00B139BB">
            <w:pPr>
              <w:pStyle w:val="Tablewriting"/>
              <w:rPr>
                <w:rFonts w:eastAsia="MS Mincho"/>
                <w:vertAlign w:val="superscript"/>
              </w:rPr>
            </w:pPr>
            <w:r>
              <w:rPr>
                <w:rFonts w:eastAsia="MS Mincho"/>
              </w:rPr>
              <w:t>Howes</w:t>
            </w:r>
            <w:r w:rsidRPr="00061F78">
              <w:rPr>
                <w:rFonts w:eastAsia="MS Mincho"/>
              </w:rPr>
              <w:t xml:space="preserve"> (20</w:t>
            </w:r>
            <w:r>
              <w:rPr>
                <w:rFonts w:eastAsia="MS Mincho"/>
              </w:rPr>
              <w:t>20</w:t>
            </w:r>
            <w:r w:rsidRPr="00061F78">
              <w:rPr>
                <w:rFonts w:eastAsia="MS Mincho"/>
              </w:rPr>
              <w:t>)</w:t>
            </w:r>
            <w:r w:rsidRPr="00D07303">
              <w:rPr>
                <w:rFonts w:eastAsia="MS Mincho"/>
                <w:vertAlign w:val="superscript"/>
              </w:rPr>
              <w:t xml:space="preserve"> </w:t>
            </w:r>
          </w:p>
        </w:tc>
        <w:tc>
          <w:tcPr>
            <w:tcW w:w="582" w:type="pct"/>
          </w:tcPr>
          <w:p w:rsidR="00CA458B" w:rsidRDefault="00CA458B" w:rsidP="00B139BB">
            <w:pPr>
              <w:pStyle w:val="Tablewriting"/>
              <w:rPr>
                <w:rFonts w:eastAsia="MS Mincho"/>
              </w:rPr>
            </w:pPr>
            <w:r>
              <w:rPr>
                <w:rFonts w:eastAsia="MS Mincho"/>
              </w:rPr>
              <w:t xml:space="preserve">Cochrane </w:t>
            </w:r>
            <w:r w:rsidR="00783A22">
              <w:rPr>
                <w:rFonts w:eastAsia="MS Mincho"/>
              </w:rPr>
              <w:t>R</w:t>
            </w:r>
            <w:r>
              <w:rPr>
                <w:rFonts w:eastAsia="MS Mincho"/>
              </w:rPr>
              <w:t>eview    (</w:t>
            </w:r>
            <w:r w:rsidR="00564063">
              <w:rPr>
                <w:rFonts w:eastAsia="MS Mincho"/>
              </w:rPr>
              <w:t>12</w:t>
            </w:r>
            <w:r>
              <w:rPr>
                <w:rFonts w:eastAsia="MS Mincho"/>
              </w:rPr>
              <w:t xml:space="preserve"> RCTs</w:t>
            </w:r>
            <w:r w:rsidRPr="00AB145F">
              <w:rPr>
                <w:rFonts w:eastAsia="MS Mincho"/>
                <w:vertAlign w:val="superscript"/>
              </w:rPr>
              <w:t>2</w:t>
            </w:r>
            <w:r>
              <w:rPr>
                <w:rFonts w:eastAsia="MS Mincho"/>
              </w:rPr>
              <w:t>)</w:t>
            </w:r>
          </w:p>
        </w:tc>
        <w:tc>
          <w:tcPr>
            <w:tcW w:w="559" w:type="pct"/>
            <w:tcMar>
              <w:left w:w="28" w:type="dxa"/>
              <w:right w:w="28" w:type="dxa"/>
            </w:tcMar>
          </w:tcPr>
          <w:p w:rsidR="00CA458B" w:rsidRDefault="00CA458B" w:rsidP="00B139BB">
            <w:pPr>
              <w:pStyle w:val="Tablewriting"/>
              <w:rPr>
                <w:rFonts w:eastAsia="MS Mincho"/>
              </w:rPr>
            </w:pPr>
            <w:r>
              <w:rPr>
                <w:rFonts w:eastAsia="MS Mincho"/>
              </w:rPr>
              <w:t>N</w:t>
            </w:r>
            <w:r w:rsidR="00564063">
              <w:rPr>
                <w:rFonts w:eastAsia="MS Mincho"/>
              </w:rPr>
              <w:t>=3</w:t>
            </w:r>
            <w:r>
              <w:rPr>
                <w:rFonts w:eastAsia="MS Mincho"/>
              </w:rPr>
              <w:t>,</w:t>
            </w:r>
            <w:r w:rsidR="00564063">
              <w:rPr>
                <w:rFonts w:eastAsia="MS Mincho"/>
              </w:rPr>
              <w:t>487</w:t>
            </w:r>
          </w:p>
          <w:p w:rsidR="00CA458B" w:rsidRDefault="00CA458B" w:rsidP="00B139BB">
            <w:pPr>
              <w:pStyle w:val="Tablewriting"/>
              <w:rPr>
                <w:rFonts w:eastAsia="MS Mincho"/>
              </w:rPr>
            </w:pPr>
            <w:r>
              <w:rPr>
                <w:rFonts w:eastAsia="MS Mincho"/>
              </w:rPr>
              <w:t xml:space="preserve">Bupropion </w:t>
            </w:r>
            <w:r w:rsidR="00833749">
              <w:rPr>
                <w:rFonts w:eastAsia="MS Mincho"/>
              </w:rPr>
              <w:t>plus NRT</w:t>
            </w:r>
            <w:r>
              <w:rPr>
                <w:rFonts w:eastAsia="MS Mincho"/>
              </w:rPr>
              <w:t xml:space="preserve"> (n=</w:t>
            </w:r>
            <w:r w:rsidR="00564063">
              <w:rPr>
                <w:rFonts w:eastAsia="MS Mincho"/>
              </w:rPr>
              <w:t>1</w:t>
            </w:r>
            <w:r>
              <w:rPr>
                <w:rFonts w:eastAsia="MS Mincho"/>
              </w:rPr>
              <w:t>,</w:t>
            </w:r>
            <w:r w:rsidR="00564063">
              <w:rPr>
                <w:rFonts w:eastAsia="MS Mincho"/>
              </w:rPr>
              <w:t>648</w:t>
            </w:r>
            <w:r>
              <w:rPr>
                <w:rFonts w:eastAsia="MS Mincho"/>
              </w:rPr>
              <w:t>),</w:t>
            </w:r>
          </w:p>
          <w:p w:rsidR="00CA458B" w:rsidRPr="00061F78" w:rsidRDefault="00833749" w:rsidP="00B139BB">
            <w:pPr>
              <w:pStyle w:val="Tablewriting"/>
              <w:rPr>
                <w:rFonts w:eastAsia="MS Mincho"/>
              </w:rPr>
            </w:pPr>
            <w:r>
              <w:rPr>
                <w:rFonts w:eastAsia="MS Mincho"/>
              </w:rPr>
              <w:t>NRT alone</w:t>
            </w:r>
            <w:r w:rsidR="00CA458B">
              <w:rPr>
                <w:rFonts w:eastAsia="MS Mincho"/>
              </w:rPr>
              <w:t xml:space="preserve"> (n=</w:t>
            </w:r>
            <w:r>
              <w:rPr>
                <w:rFonts w:eastAsia="MS Mincho"/>
              </w:rPr>
              <w:t>1,839</w:t>
            </w:r>
            <w:r w:rsidR="00CA458B">
              <w:rPr>
                <w:rFonts w:eastAsia="MS Mincho"/>
              </w:rPr>
              <w:t>)</w:t>
            </w:r>
          </w:p>
        </w:tc>
        <w:tc>
          <w:tcPr>
            <w:tcW w:w="1482" w:type="pct"/>
            <w:tcMar>
              <w:left w:w="28" w:type="dxa"/>
              <w:right w:w="28" w:type="dxa"/>
            </w:tcMar>
          </w:tcPr>
          <w:p w:rsidR="00CA458B" w:rsidRDefault="00CA458B" w:rsidP="00B139BB">
            <w:pPr>
              <w:pStyle w:val="Tablewriting"/>
              <w:rPr>
                <w:rFonts w:eastAsia="MS Mincho"/>
              </w:rPr>
            </w:pPr>
            <w:r w:rsidRPr="002C19B4">
              <w:rPr>
                <w:rFonts w:eastAsia="MS Mincho"/>
                <w:u w:val="single"/>
              </w:rPr>
              <w:t>Inclusion</w:t>
            </w:r>
            <w:r>
              <w:rPr>
                <w:rFonts w:eastAsia="MS Mincho"/>
              </w:rPr>
              <w:t>: t</w:t>
            </w:r>
            <w:r w:rsidRPr="002C19B4">
              <w:rPr>
                <w:rFonts w:eastAsia="MS Mincho"/>
              </w:rPr>
              <w:t>obacco smokers of any age, with or without a history</w:t>
            </w:r>
            <w:r>
              <w:rPr>
                <w:rFonts w:eastAsia="MS Mincho"/>
              </w:rPr>
              <w:t xml:space="preserve"> </w:t>
            </w:r>
            <w:r w:rsidRPr="002C19B4">
              <w:rPr>
                <w:rFonts w:eastAsia="MS Mincho"/>
              </w:rPr>
              <w:t>of mental illness.</w:t>
            </w:r>
          </w:p>
          <w:p w:rsidR="00CA458B" w:rsidRPr="00061F78" w:rsidRDefault="00CA458B" w:rsidP="00B139BB">
            <w:pPr>
              <w:pStyle w:val="Tablewriting"/>
              <w:rPr>
                <w:rFonts w:eastAsia="MS Mincho"/>
              </w:rPr>
            </w:pPr>
            <w:r w:rsidRPr="002C19B4">
              <w:rPr>
                <w:rFonts w:eastAsia="MS Mincho"/>
                <w:u w:val="single"/>
              </w:rPr>
              <w:t>Exclusion</w:t>
            </w:r>
            <w:r>
              <w:rPr>
                <w:rFonts w:eastAsia="MS Mincho"/>
              </w:rPr>
              <w:t>: p</w:t>
            </w:r>
            <w:r w:rsidRPr="002C19B4">
              <w:rPr>
                <w:rFonts w:eastAsia="MS Mincho"/>
              </w:rPr>
              <w:t>regnant women</w:t>
            </w:r>
            <w:r>
              <w:rPr>
                <w:rFonts w:eastAsia="MS Mincho"/>
              </w:rPr>
              <w:t xml:space="preserve"> and</w:t>
            </w:r>
            <w:r>
              <w:t xml:space="preserve"> </w:t>
            </w:r>
            <w:r w:rsidRPr="00593CA5">
              <w:rPr>
                <w:rFonts w:eastAsia="MS Mincho"/>
              </w:rPr>
              <w:t>trials investigating use for smoking harm reduction</w:t>
            </w:r>
            <w:r>
              <w:rPr>
                <w:rFonts w:eastAsia="MS Mincho"/>
              </w:rPr>
              <w:t xml:space="preserve"> </w:t>
            </w:r>
            <w:r w:rsidRPr="00593CA5">
              <w:rPr>
                <w:rFonts w:eastAsia="MS Mincho"/>
              </w:rPr>
              <w:t>or relapse prevention</w:t>
            </w:r>
            <w:r>
              <w:rPr>
                <w:rFonts w:eastAsia="MS Mincho"/>
              </w:rPr>
              <w:t>.</w:t>
            </w:r>
          </w:p>
        </w:tc>
        <w:tc>
          <w:tcPr>
            <w:tcW w:w="917" w:type="pct"/>
          </w:tcPr>
          <w:p w:rsidR="00CA458B" w:rsidRPr="00061F78" w:rsidRDefault="00CA458B" w:rsidP="00B139BB">
            <w:pPr>
              <w:pStyle w:val="Tablewriting"/>
              <w:rPr>
                <w:rFonts w:eastAsia="MS Mincho"/>
              </w:rPr>
            </w:pPr>
            <w:r>
              <w:rPr>
                <w:rFonts w:eastAsia="MS Mincho"/>
              </w:rPr>
              <w:t>Bupropion</w:t>
            </w:r>
            <w:r w:rsidR="003B506F">
              <w:rPr>
                <w:rFonts w:eastAsia="MS Mincho"/>
              </w:rPr>
              <w:t xml:space="preserve"> plus NRT versus NRT alone (NRT</w:t>
            </w:r>
            <w:r w:rsidR="00664846">
              <w:rPr>
                <w:rFonts w:eastAsia="MS Mincho"/>
              </w:rPr>
              <w:t xml:space="preserve"> as patch alone, lozenge alone or choice of NRT)</w:t>
            </w:r>
            <w:r w:rsidR="00C410DE">
              <w:rPr>
                <w:rFonts w:eastAsia="MS Mincho"/>
              </w:rPr>
              <w:t>.</w:t>
            </w:r>
          </w:p>
        </w:tc>
        <w:tc>
          <w:tcPr>
            <w:tcW w:w="1102" w:type="pct"/>
            <w:tcMar>
              <w:left w:w="28" w:type="dxa"/>
              <w:right w:w="28" w:type="dxa"/>
            </w:tcMar>
          </w:tcPr>
          <w:p w:rsidR="00CA458B" w:rsidRDefault="00CA458B" w:rsidP="00B139BB">
            <w:pPr>
              <w:pStyle w:val="Tablewriting"/>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C410DE">
              <w:rPr>
                <w:rFonts w:eastAsia="MS Mincho"/>
              </w:rPr>
              <w:t>.</w:t>
            </w:r>
          </w:p>
          <w:p w:rsidR="00CA458B" w:rsidRPr="00061F78" w:rsidRDefault="00CA458B" w:rsidP="00B139BB">
            <w:pPr>
              <w:pStyle w:val="Tablewriting"/>
              <w:rPr>
                <w:rFonts w:eastAsia="MS Mincho"/>
              </w:rPr>
            </w:pPr>
            <w:r w:rsidRPr="0036499C">
              <w:rPr>
                <w:rFonts w:eastAsia="MS Mincho"/>
                <w:u w:val="single"/>
              </w:rPr>
              <w:t>Secondary</w:t>
            </w:r>
            <w:r>
              <w:rPr>
                <w:rFonts w:eastAsia="MS Mincho"/>
              </w:rPr>
              <w:t>: safety including any adverse events, serious adverse events and dropouts due to adverse events</w:t>
            </w:r>
            <w:r w:rsidR="00C410DE">
              <w:rPr>
                <w:rFonts w:eastAsia="MS Mincho"/>
              </w:rPr>
              <w:t>.</w:t>
            </w:r>
          </w:p>
        </w:tc>
      </w:tr>
    </w:tbl>
    <w:p w:rsidR="00833749" w:rsidRDefault="00833749" w:rsidP="00833749">
      <w:pPr>
        <w:pStyle w:val="TableFooter"/>
        <w:keepNext/>
        <w:rPr>
          <w:i/>
        </w:rPr>
      </w:pPr>
      <w:r>
        <w:t>Abbreviations: NRT = nicotine replacement therapy; RCT = randomised controlled trial</w:t>
      </w:r>
      <w:r w:rsidRPr="00061F78">
        <w:t xml:space="preserve"> </w:t>
      </w:r>
    </w:p>
    <w:p w:rsidR="00833749" w:rsidRDefault="00833749" w:rsidP="00833749">
      <w:pPr>
        <w:pStyle w:val="TableFooter"/>
        <w:keepNext/>
      </w:pPr>
      <w:r>
        <w:t xml:space="preserve">1 Only the number of patients (n) in the relevant arms were included </w:t>
      </w:r>
    </w:p>
    <w:p w:rsidR="00833749" w:rsidRDefault="00833749" w:rsidP="00833749">
      <w:pPr>
        <w:pStyle w:val="TableFooter"/>
      </w:pPr>
      <w:r>
        <w:t xml:space="preserve">2 </w:t>
      </w:r>
      <w:r w:rsidRPr="001507A4">
        <w:t xml:space="preserve">Of the </w:t>
      </w:r>
      <w:r w:rsidR="003261C3">
        <w:t>1</w:t>
      </w:r>
      <w:r w:rsidR="0041026F">
        <w:t>2</w:t>
      </w:r>
      <w:r w:rsidRPr="001507A4">
        <w:t xml:space="preserve"> RCTs, </w:t>
      </w:r>
      <w:r w:rsidR="00CD3415">
        <w:t>nine</w:t>
      </w:r>
      <w:r w:rsidRPr="001507A4">
        <w:t xml:space="preserve"> RCTs</w:t>
      </w:r>
      <w:r>
        <w:t xml:space="preserve"> </w:t>
      </w:r>
      <w:r w:rsidR="00CD3415">
        <w:t xml:space="preserve">compared bupropion plus NRT with NRT </w:t>
      </w:r>
      <w:r w:rsidR="00573F59">
        <w:t>patches</w:t>
      </w:r>
      <w:r w:rsidR="00E44487">
        <w:t xml:space="preserve"> alone, </w:t>
      </w:r>
      <w:r w:rsidR="00F90DC5">
        <w:t xml:space="preserve">two RCTs compared bupropion plus NRT with NRT </w:t>
      </w:r>
      <w:r w:rsidR="00573F59">
        <w:t>lozenges</w:t>
      </w:r>
      <w:r w:rsidR="00F90DC5">
        <w:t xml:space="preserve"> alone and one RCT compared bupropion plus NRT with choice of NRT</w:t>
      </w:r>
      <w:r w:rsidRPr="001507A4">
        <w:t>.</w:t>
      </w:r>
      <w:r>
        <w:t xml:space="preserve"> The characteristics of the individual studies comparing bupropion </w:t>
      </w:r>
      <w:r w:rsidR="00B45A47">
        <w:t>plus NRT</w:t>
      </w:r>
      <w:r>
        <w:t xml:space="preserve"> with </w:t>
      </w:r>
      <w:r w:rsidR="00B45A47">
        <w:t>NRT</w:t>
      </w:r>
      <w:r>
        <w:t xml:space="preserve"> alone included in Howes et al. (2020) are presented in </w:t>
      </w:r>
      <w:r w:rsidRPr="008340F4">
        <w:t>Appendix</w:t>
      </w:r>
      <w:r w:rsidR="008340F4">
        <w:t xml:space="preserve"> </w:t>
      </w:r>
      <w:r w:rsidR="003C4A1C">
        <w:t xml:space="preserve">Table </w:t>
      </w:r>
      <w:r w:rsidR="003C4A1C">
        <w:rPr>
          <w:noProof/>
        </w:rPr>
        <w:t>159</w:t>
      </w:r>
      <w:r>
        <w:t xml:space="preserve">. </w:t>
      </w:r>
    </w:p>
    <w:p w:rsidR="00546C91" w:rsidRPr="005C0DCB" w:rsidRDefault="00546C91" w:rsidP="00546C91">
      <w:pPr>
        <w:rPr>
          <w:u w:val="single"/>
        </w:rPr>
      </w:pPr>
      <w:r w:rsidRPr="005C0DCB">
        <w:rPr>
          <w:u w:val="single"/>
        </w:rPr>
        <w:t>Efficacy</w:t>
      </w:r>
    </w:p>
    <w:p w:rsidR="00A25438" w:rsidRDefault="00546C91" w:rsidP="006274EF">
      <w:r>
        <w:t>A summary of the smoking cessation rates f</w:t>
      </w:r>
      <w:r w:rsidR="00247918">
        <w:t>or</w:t>
      </w:r>
      <w:r>
        <w:t xml:space="preserve"> at least six months follow-up</w:t>
      </w:r>
      <w:r w:rsidR="00753E05">
        <w:t xml:space="preserve"> comparing bupropion plus NRT with NRT alone</w:t>
      </w:r>
      <w:r>
        <w:t xml:space="preserve"> is presented in </w:t>
      </w:r>
      <w:r w:rsidR="003C4A1C">
        <w:t xml:space="preserve">Table </w:t>
      </w:r>
      <w:r w:rsidR="003C4A1C">
        <w:rPr>
          <w:noProof/>
        </w:rPr>
        <w:t>76</w:t>
      </w:r>
      <w:r>
        <w:t xml:space="preserve">. </w:t>
      </w:r>
      <w:r w:rsidR="007E3BE0" w:rsidRPr="007E3BE0">
        <w:t>For the comparison</w:t>
      </w:r>
      <w:r>
        <w:t xml:space="preserve"> of </w:t>
      </w:r>
      <w:r w:rsidR="007E3BE0">
        <w:lastRenderedPageBreak/>
        <w:t>bupropion plus</w:t>
      </w:r>
      <w:r w:rsidR="007E3BE0" w:rsidRPr="007E3BE0">
        <w:t xml:space="preserve"> NRT versus NRT </w:t>
      </w:r>
      <w:r w:rsidR="00573F59">
        <w:t>patches</w:t>
      </w:r>
      <w:r w:rsidR="007E3BE0" w:rsidRPr="007E3BE0">
        <w:t xml:space="preserve"> alone, the results of </w:t>
      </w:r>
      <w:r>
        <w:t xml:space="preserve">the meta-analysis comprising </w:t>
      </w:r>
      <w:r w:rsidR="007E3BE0">
        <w:t>nine</w:t>
      </w:r>
      <w:r>
        <w:t xml:space="preserve"> RCTs by Howes et al. (2020) demonstrated no significant </w:t>
      </w:r>
      <w:r w:rsidR="007E3BE0">
        <w:t>difference</w:t>
      </w:r>
      <w:r>
        <w:t xml:space="preserve"> in long-term smoking cessation rates </w:t>
      </w:r>
      <w:r w:rsidR="00485D1C">
        <w:t>between the two treatment groups</w:t>
      </w:r>
      <w:r w:rsidR="007E3BE0" w:rsidRPr="007E3BE0">
        <w:t xml:space="preserve">. Similarly, the results of the meta-analysis comprising </w:t>
      </w:r>
      <w:r w:rsidR="00B94279">
        <w:t>two</w:t>
      </w:r>
      <w:r w:rsidR="007E3BE0" w:rsidRPr="007E3BE0">
        <w:t xml:space="preserve"> RCTs for the comparison of </w:t>
      </w:r>
      <w:r w:rsidR="00B94279">
        <w:t>bupropion plus</w:t>
      </w:r>
      <w:r w:rsidR="007E3BE0" w:rsidRPr="007E3BE0">
        <w:t xml:space="preserve"> NRT versus NRT </w:t>
      </w:r>
      <w:r w:rsidR="00573F59">
        <w:t>lozenges</w:t>
      </w:r>
      <w:r w:rsidR="00B94279">
        <w:t xml:space="preserve"> alone </w:t>
      </w:r>
      <w:r w:rsidR="007E3BE0" w:rsidRPr="007E3BE0">
        <w:t xml:space="preserve">demonstrated </w:t>
      </w:r>
      <w:r w:rsidR="00B33AD9">
        <w:t xml:space="preserve">no significant difference </w:t>
      </w:r>
      <w:r w:rsidR="005B0975">
        <w:t>in</w:t>
      </w:r>
      <w:r w:rsidR="007E3BE0" w:rsidRPr="007E3BE0">
        <w:t xml:space="preserve"> long-term smoking cessation rates </w:t>
      </w:r>
      <w:r w:rsidR="005B0975">
        <w:t>between the two treatment groups</w:t>
      </w:r>
      <w:r w:rsidR="007E3BE0" w:rsidRPr="007E3BE0">
        <w:t xml:space="preserve">. </w:t>
      </w:r>
      <w:r w:rsidR="00820FD9" w:rsidRPr="007E3BE0">
        <w:t xml:space="preserve">For the comparison of </w:t>
      </w:r>
      <w:r w:rsidR="00820FD9">
        <w:t>bupropion plus</w:t>
      </w:r>
      <w:r w:rsidR="007E3BE0" w:rsidRPr="007E3BE0">
        <w:t xml:space="preserve"> NRT </w:t>
      </w:r>
      <w:r w:rsidR="00820FD9" w:rsidRPr="007E3BE0">
        <w:t xml:space="preserve">versus </w:t>
      </w:r>
      <w:r w:rsidR="00820FD9">
        <w:t xml:space="preserve">choice of </w:t>
      </w:r>
      <w:r w:rsidR="007E3BE0" w:rsidRPr="007E3BE0">
        <w:t>NRT</w:t>
      </w:r>
      <w:r w:rsidR="00820FD9">
        <w:t xml:space="preserve">, one RCT </w:t>
      </w:r>
      <w:r w:rsidR="000A0EE7">
        <w:t>was identified by Howes et al. (2020) which demonstrated no significant difference in long-term smoking cessation rates between the two treatment groups.</w:t>
      </w:r>
      <w:r w:rsidR="007E3BE0" w:rsidRPr="007E3BE0">
        <w:t xml:space="preserve"> </w:t>
      </w:r>
    </w:p>
    <w:p w:rsidR="009B4A64" w:rsidRDefault="00ED7138" w:rsidP="006274EF">
      <w:r>
        <w:t>Overall</w:t>
      </w:r>
      <w:r w:rsidR="007E3BE0" w:rsidRPr="007E3BE0">
        <w:t xml:space="preserve">, the results of the </w:t>
      </w:r>
      <w:r>
        <w:t>pooled</w:t>
      </w:r>
      <w:r w:rsidR="007E3BE0" w:rsidRPr="007E3BE0">
        <w:t xml:space="preserve"> meta-analysis </w:t>
      </w:r>
      <w:r>
        <w:t>(comprising the three comparisons)</w:t>
      </w:r>
      <w:r w:rsidR="007E3BE0" w:rsidRPr="007E3BE0">
        <w:t xml:space="preserve"> </w:t>
      </w:r>
      <w:r w:rsidR="00760E2E">
        <w:t>remained</w:t>
      </w:r>
      <w:r w:rsidR="00EC49DF">
        <w:t xml:space="preserve"> consistent</w:t>
      </w:r>
      <w:r w:rsidR="00E133D1">
        <w:t xml:space="preserve"> with</w:t>
      </w:r>
      <w:r w:rsidR="00760E2E">
        <w:t xml:space="preserve"> no significant difference </w:t>
      </w:r>
      <w:r w:rsidR="00AF146F">
        <w:t>in long-term smoking cessation rates</w:t>
      </w:r>
      <w:r w:rsidR="00760E2E">
        <w:t xml:space="preserve"> between bupropion plus</w:t>
      </w:r>
      <w:r w:rsidR="007E3BE0" w:rsidRPr="007E3BE0">
        <w:t xml:space="preserve"> NRT </w:t>
      </w:r>
      <w:r w:rsidR="00760E2E">
        <w:t>and NRT alone</w:t>
      </w:r>
      <w:r w:rsidR="007E3BE0" w:rsidRPr="007E3BE0">
        <w:t xml:space="preserve"> (RR: 1.</w:t>
      </w:r>
      <w:r w:rsidR="00760E2E">
        <w:t>19</w:t>
      </w:r>
      <w:r w:rsidR="007E3BE0" w:rsidRPr="007E3BE0">
        <w:t xml:space="preserve">; 95% CI: </w:t>
      </w:r>
      <w:r w:rsidR="00760E2E">
        <w:t>0.94</w:t>
      </w:r>
      <w:r w:rsidR="007E3BE0" w:rsidRPr="007E3BE0">
        <w:t>, 1.</w:t>
      </w:r>
      <w:r w:rsidR="00760E2E">
        <w:t>51</w:t>
      </w:r>
      <w:r w:rsidR="007E3BE0" w:rsidRPr="007E3BE0">
        <w:t>). The test of interaction for subgroup effects was not statistically significant</w:t>
      </w:r>
      <w:r w:rsidR="00546C91">
        <w:t>.</w:t>
      </w:r>
    </w:p>
    <w:p w:rsidR="006D0A43" w:rsidRDefault="006D0A43" w:rsidP="00A8247E">
      <w:pPr>
        <w:pStyle w:val="Caption"/>
      </w:pPr>
      <w:bookmarkStart w:id="168" w:name="_Ref58422057"/>
      <w:r>
        <w:t xml:space="preserve">Table </w:t>
      </w:r>
      <w:r w:rsidR="003C4A1C">
        <w:rPr>
          <w:noProof/>
        </w:rPr>
        <w:t>76</w:t>
      </w:r>
      <w:bookmarkEnd w:id="168"/>
      <w:r>
        <w:t xml:space="preserve">: </w:t>
      </w:r>
      <w:r w:rsidRPr="0096378D">
        <w:t>Results of smoking cessation f</w:t>
      </w:r>
      <w:r w:rsidR="00247918">
        <w:t>or</w:t>
      </w:r>
      <w:r w:rsidRPr="0096378D">
        <w:t xml:space="preserve"> at least six months follow-up, </w:t>
      </w:r>
      <w:r>
        <w:t>bupropion</w:t>
      </w:r>
      <w:r w:rsidRPr="0096378D">
        <w:t xml:space="preserve"> plus </w:t>
      </w:r>
      <w:r>
        <w:t>NRT</w:t>
      </w:r>
      <w:r w:rsidRPr="0096378D">
        <w:t xml:space="preserve"> versus </w:t>
      </w:r>
      <w:r>
        <w:t>NRT</w:t>
      </w:r>
      <w:r w:rsidRPr="0096378D">
        <w:t xml:space="preserve"> alone</w:t>
      </w:r>
    </w:p>
    <w:tbl>
      <w:tblPr>
        <w:tblStyle w:val="TableGrid"/>
        <w:tblW w:w="5000" w:type="pct"/>
        <w:tblLook w:val="04A0" w:firstRow="1" w:lastRow="0" w:firstColumn="1" w:lastColumn="0" w:noHBand="0" w:noVBand="1"/>
        <w:tblCaption w:val="Efficacy results of adalimumab trials (PASI 75 and DLQI)"/>
      </w:tblPr>
      <w:tblGrid>
        <w:gridCol w:w="987"/>
        <w:gridCol w:w="1843"/>
        <w:gridCol w:w="2267"/>
        <w:gridCol w:w="2094"/>
        <w:gridCol w:w="1825"/>
      </w:tblGrid>
      <w:tr w:rsidR="006D0A43" w:rsidRPr="00061F78" w:rsidTr="00A8247E">
        <w:trPr>
          <w:cantSplit/>
          <w:trHeight w:val="299"/>
          <w:tblHeader/>
        </w:trPr>
        <w:tc>
          <w:tcPr>
            <w:tcW w:w="548" w:type="pct"/>
            <w:shd w:val="clear" w:color="auto" w:fill="BFBFBF" w:themeFill="background1" w:themeFillShade="BF"/>
            <w:tcMar>
              <w:left w:w="28" w:type="dxa"/>
              <w:right w:w="28" w:type="dxa"/>
            </w:tcMar>
          </w:tcPr>
          <w:p w:rsidR="006D0A43" w:rsidRPr="00061F78" w:rsidRDefault="006D0A43" w:rsidP="00A8247E">
            <w:pPr>
              <w:pStyle w:val="Tableheading"/>
              <w:rPr>
                <w:rFonts w:eastAsia="MS Mincho"/>
              </w:rPr>
            </w:pPr>
            <w:r>
              <w:rPr>
                <w:rFonts w:eastAsia="MS Mincho"/>
              </w:rPr>
              <w:t>Study</w:t>
            </w:r>
          </w:p>
        </w:tc>
        <w:tc>
          <w:tcPr>
            <w:tcW w:w="1022" w:type="pct"/>
            <w:shd w:val="clear" w:color="auto" w:fill="BFBFBF" w:themeFill="background1" w:themeFillShade="BF"/>
            <w:vAlign w:val="center"/>
          </w:tcPr>
          <w:p w:rsidR="006D0A43" w:rsidRDefault="006D0A43" w:rsidP="00A8247E">
            <w:pPr>
              <w:pStyle w:val="Tableheading"/>
              <w:jc w:val="center"/>
              <w:rPr>
                <w:rFonts w:eastAsia="MS Mincho"/>
              </w:rPr>
            </w:pPr>
            <w:r>
              <w:rPr>
                <w:rFonts w:eastAsia="MS Mincho"/>
              </w:rPr>
              <w:t>Study type</w:t>
            </w:r>
          </w:p>
        </w:tc>
        <w:tc>
          <w:tcPr>
            <w:tcW w:w="1257" w:type="pct"/>
            <w:shd w:val="clear" w:color="auto" w:fill="BFBFBF" w:themeFill="background1" w:themeFillShade="BF"/>
            <w:tcMar>
              <w:left w:w="28" w:type="dxa"/>
              <w:right w:w="28" w:type="dxa"/>
            </w:tcMar>
            <w:vAlign w:val="center"/>
          </w:tcPr>
          <w:p w:rsidR="006D0A43" w:rsidRPr="00061F78" w:rsidRDefault="006D0A43" w:rsidP="00A8247E">
            <w:pPr>
              <w:pStyle w:val="Tableheading"/>
              <w:jc w:val="center"/>
              <w:rPr>
                <w:rFonts w:eastAsia="MS Mincho"/>
              </w:rPr>
            </w:pPr>
            <w:r>
              <w:rPr>
                <w:rFonts w:eastAsia="MS Mincho"/>
              </w:rPr>
              <w:t>Bupropion plus NRT</w:t>
            </w:r>
          </w:p>
        </w:tc>
        <w:tc>
          <w:tcPr>
            <w:tcW w:w="1161" w:type="pct"/>
            <w:shd w:val="clear" w:color="auto" w:fill="BFBFBF" w:themeFill="background1" w:themeFillShade="BF"/>
            <w:tcMar>
              <w:left w:w="28" w:type="dxa"/>
              <w:right w:w="28" w:type="dxa"/>
            </w:tcMar>
            <w:vAlign w:val="center"/>
          </w:tcPr>
          <w:p w:rsidR="006D0A43" w:rsidRPr="00061F78" w:rsidRDefault="006D0A43" w:rsidP="00A8247E">
            <w:pPr>
              <w:pStyle w:val="Tableheading"/>
              <w:jc w:val="center"/>
              <w:rPr>
                <w:rFonts w:eastAsia="MS Mincho"/>
              </w:rPr>
            </w:pPr>
            <w:r>
              <w:rPr>
                <w:rFonts w:eastAsia="MS Mincho"/>
              </w:rPr>
              <w:t>NRT alone</w:t>
            </w:r>
          </w:p>
        </w:tc>
        <w:tc>
          <w:tcPr>
            <w:tcW w:w="1012" w:type="pct"/>
            <w:shd w:val="clear" w:color="auto" w:fill="BFBFBF" w:themeFill="background1" w:themeFillShade="BF"/>
            <w:tcMar>
              <w:left w:w="28" w:type="dxa"/>
              <w:right w:w="28" w:type="dxa"/>
            </w:tcMar>
            <w:vAlign w:val="center"/>
          </w:tcPr>
          <w:p w:rsidR="006D0A43" w:rsidRPr="00704CE8" w:rsidRDefault="006D0A43" w:rsidP="00A8247E">
            <w:pPr>
              <w:pStyle w:val="Tableheading"/>
              <w:jc w:val="center"/>
              <w:rPr>
                <w:rFonts w:eastAsia="MS Mincho"/>
                <w:vertAlign w:val="superscript"/>
              </w:rPr>
            </w:pPr>
            <w:r>
              <w:rPr>
                <w:rFonts w:eastAsia="MS Mincho"/>
              </w:rPr>
              <w:t>RR (95% CI)</w:t>
            </w:r>
            <w:r>
              <w:rPr>
                <w:rFonts w:eastAsia="MS Mincho"/>
                <w:vertAlign w:val="superscript"/>
              </w:rPr>
              <w:t>2</w:t>
            </w:r>
          </w:p>
        </w:tc>
      </w:tr>
      <w:tr w:rsidR="00907257" w:rsidRPr="00061F78" w:rsidTr="004B53F8">
        <w:trPr>
          <w:cantSplit/>
          <w:trHeight w:val="99"/>
        </w:trPr>
        <w:tc>
          <w:tcPr>
            <w:tcW w:w="5000" w:type="pct"/>
            <w:gridSpan w:val="5"/>
            <w:shd w:val="clear" w:color="auto" w:fill="auto"/>
            <w:tcMar>
              <w:left w:w="28" w:type="dxa"/>
              <w:right w:w="28" w:type="dxa"/>
            </w:tcMar>
          </w:tcPr>
          <w:p w:rsidR="00783A22" w:rsidRPr="004B53F8" w:rsidRDefault="00783A22" w:rsidP="00A8247E">
            <w:pPr>
              <w:pStyle w:val="Tablewriting"/>
              <w:rPr>
                <w:rFonts w:eastAsia="MS Mincho"/>
                <w:b/>
                <w:bCs/>
              </w:rPr>
            </w:pPr>
            <w:r w:rsidRPr="004B53F8">
              <w:rPr>
                <w:rFonts w:eastAsia="MS Mincho"/>
                <w:b/>
                <w:bCs/>
              </w:rPr>
              <w:t>Bupropion plus NRT versus NRT patch alone</w:t>
            </w:r>
            <w:r w:rsidR="004B53F8">
              <w:rPr>
                <w:rFonts w:eastAsia="MS Mincho"/>
                <w:b/>
                <w:bCs/>
              </w:rPr>
              <w:t xml:space="preserve"> subgroup</w:t>
            </w:r>
          </w:p>
        </w:tc>
      </w:tr>
      <w:tr w:rsidR="006D0A43" w:rsidRPr="00061F78" w:rsidTr="000B3CA3">
        <w:trPr>
          <w:cantSplit/>
          <w:trHeight w:val="99"/>
        </w:trPr>
        <w:tc>
          <w:tcPr>
            <w:tcW w:w="548" w:type="pct"/>
            <w:shd w:val="clear" w:color="auto" w:fill="auto"/>
            <w:tcMar>
              <w:left w:w="28" w:type="dxa"/>
              <w:right w:w="28" w:type="dxa"/>
            </w:tcMar>
          </w:tcPr>
          <w:p w:rsidR="006D0A43" w:rsidRDefault="006D0A43" w:rsidP="00A8247E">
            <w:pPr>
              <w:pStyle w:val="Tablewriting"/>
              <w:rPr>
                <w:rFonts w:eastAsia="MS Mincho"/>
              </w:rPr>
            </w:pPr>
            <w:r>
              <w:rPr>
                <w:rFonts w:eastAsia="MS Mincho"/>
              </w:rPr>
              <w:t>Howes</w:t>
            </w:r>
          </w:p>
          <w:p w:rsidR="006D0A43" w:rsidRPr="00251B64" w:rsidRDefault="006D0A43" w:rsidP="00A8247E">
            <w:pPr>
              <w:pStyle w:val="Tablewriting"/>
              <w:rPr>
                <w:rFonts w:eastAsia="MS Mincho"/>
              </w:rPr>
            </w:pPr>
            <w:r w:rsidRPr="00251B64">
              <w:rPr>
                <w:rFonts w:eastAsia="MS Mincho"/>
              </w:rPr>
              <w:t>(</w:t>
            </w:r>
            <w:r>
              <w:rPr>
                <w:rFonts w:eastAsia="MS Mincho"/>
              </w:rPr>
              <w:t>2020</w:t>
            </w:r>
            <w:r w:rsidRPr="00251B64">
              <w:rPr>
                <w:rFonts w:eastAsia="MS Mincho"/>
              </w:rPr>
              <w:t>)</w:t>
            </w:r>
            <w:r w:rsidRPr="00251B64">
              <w:rPr>
                <w:rFonts w:eastAsia="MS Mincho"/>
                <w:vertAlign w:val="superscript"/>
              </w:rPr>
              <w:t>1</w:t>
            </w:r>
            <w:r w:rsidRPr="00251B64">
              <w:rPr>
                <w:rFonts w:eastAsia="MS Mincho"/>
              </w:rPr>
              <w:t xml:space="preserve"> </w:t>
            </w:r>
          </w:p>
        </w:tc>
        <w:tc>
          <w:tcPr>
            <w:tcW w:w="1022" w:type="pct"/>
            <w:shd w:val="clear" w:color="auto" w:fill="auto"/>
            <w:vAlign w:val="center"/>
          </w:tcPr>
          <w:p w:rsidR="006D0A43" w:rsidRDefault="006D0A43" w:rsidP="00A8247E">
            <w:pPr>
              <w:pStyle w:val="Tablewriting"/>
              <w:jc w:val="center"/>
              <w:rPr>
                <w:rFonts w:eastAsia="MS Mincho"/>
              </w:rPr>
            </w:pPr>
            <w:r>
              <w:rPr>
                <w:rFonts w:eastAsia="MS Mincho"/>
              </w:rPr>
              <w:t>Cochrane Review</w:t>
            </w:r>
          </w:p>
          <w:p w:rsidR="006D0A43" w:rsidRPr="00251B64" w:rsidRDefault="006D0A43" w:rsidP="00A8247E">
            <w:pPr>
              <w:pStyle w:val="Tablewriting"/>
              <w:jc w:val="center"/>
              <w:rPr>
                <w:rFonts w:eastAsia="MS Mincho"/>
              </w:rPr>
            </w:pPr>
            <w:r>
              <w:rPr>
                <w:rFonts w:eastAsia="MS Mincho"/>
              </w:rPr>
              <w:t>(</w:t>
            </w:r>
            <w:r w:rsidR="00D63D30">
              <w:rPr>
                <w:rFonts w:eastAsia="MS Mincho"/>
              </w:rPr>
              <w:t>9</w:t>
            </w:r>
            <w:r>
              <w:rPr>
                <w:rFonts w:eastAsia="MS Mincho"/>
              </w:rPr>
              <w:t xml:space="preserve"> </w:t>
            </w:r>
            <w:r w:rsidRPr="00251B64">
              <w:rPr>
                <w:rFonts w:eastAsia="MS Mincho"/>
              </w:rPr>
              <w:t>RCT</w:t>
            </w:r>
            <w:r>
              <w:rPr>
                <w:rFonts w:eastAsia="MS Mincho"/>
              </w:rPr>
              <w:t>s)</w:t>
            </w:r>
          </w:p>
        </w:tc>
        <w:tc>
          <w:tcPr>
            <w:tcW w:w="1257" w:type="pct"/>
            <w:shd w:val="clear" w:color="auto" w:fill="auto"/>
            <w:tcMar>
              <w:left w:w="28" w:type="dxa"/>
              <w:right w:w="28" w:type="dxa"/>
            </w:tcMar>
            <w:vAlign w:val="center"/>
          </w:tcPr>
          <w:p w:rsidR="006D0A43" w:rsidRPr="00251B64" w:rsidRDefault="006D0A43" w:rsidP="00A8247E">
            <w:pPr>
              <w:pStyle w:val="Tablewriting"/>
              <w:jc w:val="center"/>
              <w:rPr>
                <w:rFonts w:eastAsia="MS Mincho"/>
                <w:vertAlign w:val="superscript"/>
              </w:rPr>
            </w:pPr>
            <w:r>
              <w:rPr>
                <w:rFonts w:eastAsia="MS Mincho"/>
              </w:rPr>
              <w:t>136</w:t>
            </w:r>
            <w:r w:rsidRPr="00251B64">
              <w:rPr>
                <w:rFonts w:eastAsia="MS Mincho"/>
              </w:rPr>
              <w:t>/</w:t>
            </w:r>
            <w:r w:rsidR="00D75D6F">
              <w:rPr>
                <w:rFonts w:eastAsia="MS Mincho"/>
              </w:rPr>
              <w:t>874</w:t>
            </w:r>
          </w:p>
          <w:p w:rsidR="006D0A43" w:rsidRPr="00251B64" w:rsidRDefault="006D0A43" w:rsidP="00A8247E">
            <w:pPr>
              <w:pStyle w:val="Tablewriting"/>
              <w:jc w:val="center"/>
              <w:rPr>
                <w:rFonts w:eastAsia="MS Mincho"/>
              </w:rPr>
            </w:pPr>
            <w:r w:rsidRPr="00251B64">
              <w:rPr>
                <w:rFonts w:eastAsia="MS Mincho"/>
              </w:rPr>
              <w:t>(</w:t>
            </w:r>
            <w:r w:rsidR="00297958">
              <w:rPr>
                <w:rFonts w:eastAsia="MS Mincho"/>
              </w:rPr>
              <w:t>15.6</w:t>
            </w:r>
            <w:r w:rsidRPr="00251B64">
              <w:rPr>
                <w:rFonts w:eastAsia="MS Mincho"/>
              </w:rPr>
              <w:t>%)</w:t>
            </w:r>
          </w:p>
        </w:tc>
        <w:tc>
          <w:tcPr>
            <w:tcW w:w="1161" w:type="pct"/>
            <w:shd w:val="clear" w:color="auto" w:fill="auto"/>
            <w:tcMar>
              <w:left w:w="28" w:type="dxa"/>
              <w:right w:w="28" w:type="dxa"/>
            </w:tcMar>
            <w:vAlign w:val="center"/>
          </w:tcPr>
          <w:p w:rsidR="006D0A43" w:rsidRPr="006F3FC8" w:rsidRDefault="006D0A43" w:rsidP="00A8247E">
            <w:pPr>
              <w:pStyle w:val="Tablewriting"/>
              <w:jc w:val="center"/>
              <w:rPr>
                <w:rFonts w:eastAsia="MS Mincho"/>
                <w:vertAlign w:val="superscript"/>
              </w:rPr>
            </w:pPr>
            <w:r>
              <w:rPr>
                <w:rFonts w:eastAsia="MS Mincho"/>
              </w:rPr>
              <w:t>1</w:t>
            </w:r>
            <w:r w:rsidR="00D75D6F">
              <w:rPr>
                <w:rFonts w:eastAsia="MS Mincho"/>
              </w:rPr>
              <w:t>02</w:t>
            </w:r>
            <w:r w:rsidRPr="00251B64">
              <w:rPr>
                <w:rFonts w:eastAsia="MS Mincho"/>
              </w:rPr>
              <w:t>/</w:t>
            </w:r>
            <w:r w:rsidR="00D75D6F">
              <w:rPr>
                <w:rFonts w:eastAsia="MS Mincho"/>
              </w:rPr>
              <w:t>900</w:t>
            </w:r>
          </w:p>
          <w:p w:rsidR="006D0A43" w:rsidRPr="00251B64" w:rsidRDefault="006D0A43" w:rsidP="00A8247E">
            <w:pPr>
              <w:pStyle w:val="Tablewriting"/>
              <w:jc w:val="center"/>
              <w:rPr>
                <w:rFonts w:eastAsia="MS Mincho"/>
              </w:rPr>
            </w:pPr>
            <w:r w:rsidRPr="00251B64">
              <w:rPr>
                <w:rFonts w:eastAsia="MS Mincho"/>
              </w:rPr>
              <w:t>(</w:t>
            </w:r>
            <w:r w:rsidR="009E37B2">
              <w:rPr>
                <w:rFonts w:eastAsia="MS Mincho"/>
              </w:rPr>
              <w:t>11.3</w:t>
            </w:r>
            <w:r w:rsidRPr="00251B64">
              <w:rPr>
                <w:rFonts w:eastAsia="MS Mincho"/>
              </w:rPr>
              <w:t>%)</w:t>
            </w:r>
          </w:p>
        </w:tc>
        <w:tc>
          <w:tcPr>
            <w:tcW w:w="1012" w:type="pct"/>
            <w:shd w:val="clear" w:color="auto" w:fill="auto"/>
            <w:tcMar>
              <w:left w:w="28" w:type="dxa"/>
              <w:right w:w="28" w:type="dxa"/>
            </w:tcMar>
            <w:vAlign w:val="center"/>
          </w:tcPr>
          <w:p w:rsidR="006D0A43" w:rsidRDefault="00F90F7C" w:rsidP="00A8247E">
            <w:pPr>
              <w:pStyle w:val="Tablewriting"/>
              <w:jc w:val="center"/>
              <w:rPr>
                <w:rFonts w:eastAsia="MS Mincho"/>
              </w:rPr>
            </w:pPr>
            <w:r>
              <w:rPr>
                <w:rFonts w:eastAsia="MS Mincho"/>
              </w:rPr>
              <w:t>1.24</w:t>
            </w:r>
          </w:p>
          <w:p w:rsidR="006D0A43" w:rsidRPr="00D56406" w:rsidRDefault="006D0A43" w:rsidP="00A8247E">
            <w:pPr>
              <w:pStyle w:val="Tablewriting"/>
              <w:jc w:val="center"/>
              <w:rPr>
                <w:rFonts w:eastAsia="MS Mincho"/>
              </w:rPr>
            </w:pPr>
            <w:r w:rsidRPr="00A93680">
              <w:rPr>
                <w:rFonts w:eastAsia="MS Mincho"/>
              </w:rPr>
              <w:t>(0.</w:t>
            </w:r>
            <w:r w:rsidR="00F90F7C">
              <w:rPr>
                <w:rFonts w:eastAsia="MS Mincho"/>
              </w:rPr>
              <w:t>84</w:t>
            </w:r>
            <w:r w:rsidRPr="00A93680">
              <w:rPr>
                <w:rFonts w:eastAsia="MS Mincho"/>
              </w:rPr>
              <w:t>, 1.</w:t>
            </w:r>
            <w:r w:rsidR="00F90F7C">
              <w:rPr>
                <w:rFonts w:eastAsia="MS Mincho"/>
              </w:rPr>
              <w:t>84</w:t>
            </w:r>
            <w:r w:rsidRPr="00A93680">
              <w:rPr>
                <w:rFonts w:eastAsia="MS Mincho"/>
              </w:rPr>
              <w:t>)</w:t>
            </w:r>
          </w:p>
        </w:tc>
      </w:tr>
      <w:tr w:rsidR="00554A99" w:rsidRPr="00061F78" w:rsidTr="004B53F8">
        <w:trPr>
          <w:cantSplit/>
          <w:trHeight w:val="99"/>
        </w:trPr>
        <w:tc>
          <w:tcPr>
            <w:tcW w:w="5000" w:type="pct"/>
            <w:gridSpan w:val="5"/>
            <w:shd w:val="clear" w:color="auto" w:fill="auto"/>
            <w:tcMar>
              <w:left w:w="28" w:type="dxa"/>
              <w:right w:w="28" w:type="dxa"/>
            </w:tcMar>
          </w:tcPr>
          <w:p w:rsidR="00783A22" w:rsidRPr="004B53F8" w:rsidRDefault="00783A22" w:rsidP="00A8247E">
            <w:pPr>
              <w:pStyle w:val="Tablewriting"/>
              <w:rPr>
                <w:rFonts w:eastAsia="MS Mincho"/>
                <w:b/>
                <w:bCs/>
              </w:rPr>
            </w:pPr>
            <w:r w:rsidRPr="004B53F8">
              <w:rPr>
                <w:rFonts w:eastAsia="MS Mincho"/>
                <w:b/>
                <w:bCs/>
              </w:rPr>
              <w:t>Bupropion plus NRT versus NRT lozenge alone</w:t>
            </w:r>
            <w:r w:rsidR="004B53F8">
              <w:rPr>
                <w:rFonts w:eastAsia="MS Mincho"/>
                <w:b/>
                <w:bCs/>
              </w:rPr>
              <w:t xml:space="preserve"> subgroup</w:t>
            </w:r>
          </w:p>
        </w:tc>
      </w:tr>
      <w:tr w:rsidR="00554A99" w:rsidRPr="00061F78" w:rsidTr="000B3CA3">
        <w:trPr>
          <w:cantSplit/>
          <w:trHeight w:val="99"/>
        </w:trPr>
        <w:tc>
          <w:tcPr>
            <w:tcW w:w="548" w:type="pct"/>
            <w:shd w:val="clear" w:color="auto" w:fill="auto"/>
            <w:tcMar>
              <w:left w:w="28" w:type="dxa"/>
              <w:right w:w="28" w:type="dxa"/>
            </w:tcMar>
          </w:tcPr>
          <w:p w:rsidR="006351A1" w:rsidRDefault="006351A1" w:rsidP="00A8247E">
            <w:pPr>
              <w:pStyle w:val="Tablewriting"/>
              <w:rPr>
                <w:rFonts w:eastAsia="MS Mincho"/>
              </w:rPr>
            </w:pPr>
            <w:r>
              <w:rPr>
                <w:rFonts w:eastAsia="MS Mincho"/>
              </w:rPr>
              <w:t>Howes</w:t>
            </w:r>
          </w:p>
          <w:p w:rsidR="00554A99" w:rsidRDefault="006351A1" w:rsidP="00A8247E">
            <w:pPr>
              <w:pStyle w:val="Tablewriting"/>
              <w:rPr>
                <w:rFonts w:eastAsia="MS Mincho"/>
              </w:rPr>
            </w:pPr>
            <w:r w:rsidRPr="00251B64">
              <w:rPr>
                <w:rFonts w:eastAsia="MS Mincho"/>
              </w:rPr>
              <w:t>(</w:t>
            </w:r>
            <w:r>
              <w:rPr>
                <w:rFonts w:eastAsia="MS Mincho"/>
              </w:rPr>
              <w:t>2020</w:t>
            </w:r>
            <w:r w:rsidRPr="00251B64">
              <w:rPr>
                <w:rFonts w:eastAsia="MS Mincho"/>
              </w:rPr>
              <w:t>)</w:t>
            </w:r>
            <w:r w:rsidRPr="00251B64">
              <w:rPr>
                <w:rFonts w:eastAsia="MS Mincho"/>
                <w:vertAlign w:val="superscript"/>
              </w:rPr>
              <w:t>1</w:t>
            </w:r>
            <w:r w:rsidRPr="00251B64">
              <w:rPr>
                <w:rFonts w:eastAsia="MS Mincho"/>
              </w:rPr>
              <w:t xml:space="preserve"> </w:t>
            </w:r>
          </w:p>
        </w:tc>
        <w:tc>
          <w:tcPr>
            <w:tcW w:w="1022" w:type="pct"/>
            <w:shd w:val="clear" w:color="auto" w:fill="auto"/>
            <w:vAlign w:val="center"/>
          </w:tcPr>
          <w:p w:rsidR="006351A1" w:rsidRDefault="006351A1" w:rsidP="00A8247E">
            <w:pPr>
              <w:pStyle w:val="Tablewriting"/>
              <w:jc w:val="center"/>
              <w:rPr>
                <w:rFonts w:eastAsia="MS Mincho"/>
              </w:rPr>
            </w:pPr>
            <w:r>
              <w:rPr>
                <w:rFonts w:eastAsia="MS Mincho"/>
              </w:rPr>
              <w:t>Cochrane Review</w:t>
            </w:r>
          </w:p>
          <w:p w:rsidR="00554A99" w:rsidRDefault="006351A1" w:rsidP="00A8247E">
            <w:pPr>
              <w:pStyle w:val="Tablewriting"/>
              <w:jc w:val="center"/>
              <w:rPr>
                <w:rFonts w:eastAsia="MS Mincho"/>
              </w:rPr>
            </w:pPr>
            <w:r>
              <w:rPr>
                <w:rFonts w:eastAsia="MS Mincho"/>
              </w:rPr>
              <w:t xml:space="preserve">(2 </w:t>
            </w:r>
            <w:r w:rsidRPr="00251B64">
              <w:rPr>
                <w:rFonts w:eastAsia="MS Mincho"/>
              </w:rPr>
              <w:t>RCT</w:t>
            </w:r>
            <w:r>
              <w:rPr>
                <w:rFonts w:eastAsia="MS Mincho"/>
              </w:rPr>
              <w:t>s)</w:t>
            </w:r>
          </w:p>
        </w:tc>
        <w:tc>
          <w:tcPr>
            <w:tcW w:w="1257" w:type="pct"/>
            <w:shd w:val="clear" w:color="auto" w:fill="auto"/>
            <w:tcMar>
              <w:left w:w="28" w:type="dxa"/>
              <w:right w:w="28" w:type="dxa"/>
            </w:tcMar>
            <w:vAlign w:val="center"/>
          </w:tcPr>
          <w:p w:rsidR="006351A1" w:rsidRPr="00251B64" w:rsidRDefault="006351A1" w:rsidP="00A8247E">
            <w:pPr>
              <w:pStyle w:val="Tablewriting"/>
              <w:jc w:val="center"/>
              <w:rPr>
                <w:rFonts w:eastAsia="MS Mincho"/>
                <w:vertAlign w:val="superscript"/>
              </w:rPr>
            </w:pPr>
            <w:r>
              <w:rPr>
                <w:rFonts w:eastAsia="MS Mincho"/>
              </w:rPr>
              <w:t>1</w:t>
            </w:r>
            <w:r w:rsidR="002B5835">
              <w:rPr>
                <w:rFonts w:eastAsia="MS Mincho"/>
              </w:rPr>
              <w:t>67</w:t>
            </w:r>
            <w:r w:rsidRPr="00251B64">
              <w:rPr>
                <w:rFonts w:eastAsia="MS Mincho"/>
              </w:rPr>
              <w:t>/</w:t>
            </w:r>
            <w:r>
              <w:rPr>
                <w:rFonts w:eastAsia="MS Mincho"/>
              </w:rPr>
              <w:t>5</w:t>
            </w:r>
            <w:r w:rsidR="002B5835">
              <w:rPr>
                <w:rFonts w:eastAsia="MS Mincho"/>
              </w:rPr>
              <w:t>30</w:t>
            </w:r>
          </w:p>
          <w:p w:rsidR="00554A99" w:rsidRDefault="006351A1" w:rsidP="00A8247E">
            <w:pPr>
              <w:pStyle w:val="Tablewriting"/>
              <w:jc w:val="center"/>
              <w:rPr>
                <w:rFonts w:eastAsia="MS Mincho"/>
              </w:rPr>
            </w:pPr>
            <w:r w:rsidRPr="00251B64">
              <w:rPr>
                <w:rFonts w:eastAsia="MS Mincho"/>
              </w:rPr>
              <w:t>(</w:t>
            </w:r>
            <w:r w:rsidR="007C2063">
              <w:rPr>
                <w:rFonts w:eastAsia="MS Mincho"/>
              </w:rPr>
              <w:t>31.5</w:t>
            </w:r>
            <w:r w:rsidRPr="00251B64">
              <w:rPr>
                <w:rFonts w:eastAsia="MS Mincho"/>
              </w:rPr>
              <w:t>%)</w:t>
            </w:r>
          </w:p>
        </w:tc>
        <w:tc>
          <w:tcPr>
            <w:tcW w:w="1161" w:type="pct"/>
            <w:shd w:val="clear" w:color="auto" w:fill="auto"/>
            <w:tcMar>
              <w:left w:w="28" w:type="dxa"/>
              <w:right w:w="28" w:type="dxa"/>
            </w:tcMar>
            <w:vAlign w:val="center"/>
          </w:tcPr>
          <w:p w:rsidR="006351A1" w:rsidRPr="006F3FC8" w:rsidRDefault="006351A1" w:rsidP="00A8247E">
            <w:pPr>
              <w:pStyle w:val="Tablewriting"/>
              <w:jc w:val="center"/>
              <w:rPr>
                <w:rFonts w:eastAsia="MS Mincho"/>
                <w:vertAlign w:val="superscript"/>
              </w:rPr>
            </w:pPr>
            <w:r>
              <w:rPr>
                <w:rFonts w:eastAsia="MS Mincho"/>
              </w:rPr>
              <w:t>1</w:t>
            </w:r>
            <w:r w:rsidR="002B5835">
              <w:rPr>
                <w:rFonts w:eastAsia="MS Mincho"/>
              </w:rPr>
              <w:t>39</w:t>
            </w:r>
            <w:r w:rsidRPr="00251B64">
              <w:rPr>
                <w:rFonts w:eastAsia="MS Mincho"/>
              </w:rPr>
              <w:t>/</w:t>
            </w:r>
            <w:r>
              <w:rPr>
                <w:rFonts w:eastAsia="MS Mincho"/>
              </w:rPr>
              <w:t>5</w:t>
            </w:r>
            <w:r w:rsidR="002B5835">
              <w:rPr>
                <w:rFonts w:eastAsia="MS Mincho"/>
              </w:rPr>
              <w:t>21</w:t>
            </w:r>
          </w:p>
          <w:p w:rsidR="00554A99" w:rsidRDefault="006351A1" w:rsidP="00A8247E">
            <w:pPr>
              <w:pStyle w:val="Tablewriting"/>
              <w:jc w:val="center"/>
              <w:rPr>
                <w:rFonts w:eastAsia="MS Mincho"/>
              </w:rPr>
            </w:pPr>
            <w:r w:rsidRPr="00251B64">
              <w:rPr>
                <w:rFonts w:eastAsia="MS Mincho"/>
              </w:rPr>
              <w:t>(</w:t>
            </w:r>
            <w:r w:rsidR="007C2063">
              <w:rPr>
                <w:rFonts w:eastAsia="MS Mincho"/>
              </w:rPr>
              <w:t>26.7</w:t>
            </w:r>
            <w:r w:rsidRPr="00251B64">
              <w:rPr>
                <w:rFonts w:eastAsia="MS Mincho"/>
              </w:rPr>
              <w:t>%)</w:t>
            </w:r>
          </w:p>
        </w:tc>
        <w:tc>
          <w:tcPr>
            <w:tcW w:w="1012" w:type="pct"/>
            <w:shd w:val="clear" w:color="auto" w:fill="auto"/>
            <w:tcMar>
              <w:left w:w="28" w:type="dxa"/>
              <w:right w:w="28" w:type="dxa"/>
            </w:tcMar>
            <w:vAlign w:val="center"/>
          </w:tcPr>
          <w:p w:rsidR="006351A1" w:rsidRPr="00A93680" w:rsidRDefault="006351A1" w:rsidP="00A8247E">
            <w:pPr>
              <w:pStyle w:val="Tablewriting"/>
              <w:jc w:val="center"/>
              <w:rPr>
                <w:rFonts w:eastAsia="MS Mincho"/>
              </w:rPr>
            </w:pPr>
            <w:r w:rsidRPr="00A93680">
              <w:rPr>
                <w:rFonts w:eastAsia="MS Mincho"/>
              </w:rPr>
              <w:t>1.21</w:t>
            </w:r>
          </w:p>
          <w:p w:rsidR="00554A99" w:rsidRPr="00A93680" w:rsidRDefault="006351A1" w:rsidP="00A8247E">
            <w:pPr>
              <w:pStyle w:val="Tablewriting"/>
              <w:jc w:val="center"/>
              <w:rPr>
                <w:rFonts w:eastAsia="MS Mincho"/>
              </w:rPr>
            </w:pPr>
            <w:r w:rsidRPr="00A93680">
              <w:rPr>
                <w:rFonts w:eastAsia="MS Mincho"/>
              </w:rPr>
              <w:t>(0.</w:t>
            </w:r>
            <w:r w:rsidR="00A820B8">
              <w:rPr>
                <w:rFonts w:eastAsia="MS Mincho"/>
              </w:rPr>
              <w:t>81</w:t>
            </w:r>
            <w:r w:rsidRPr="00A93680">
              <w:rPr>
                <w:rFonts w:eastAsia="MS Mincho"/>
              </w:rPr>
              <w:t>, 1.</w:t>
            </w:r>
            <w:r w:rsidR="00A820B8">
              <w:rPr>
                <w:rFonts w:eastAsia="MS Mincho"/>
              </w:rPr>
              <w:t>81</w:t>
            </w:r>
            <w:r w:rsidRPr="00A93680">
              <w:rPr>
                <w:rFonts w:eastAsia="MS Mincho"/>
              </w:rPr>
              <w:t>)</w:t>
            </w:r>
          </w:p>
        </w:tc>
      </w:tr>
      <w:tr w:rsidR="00554A99" w:rsidRPr="00061F78" w:rsidTr="004B53F8">
        <w:trPr>
          <w:cantSplit/>
          <w:trHeight w:val="99"/>
        </w:trPr>
        <w:tc>
          <w:tcPr>
            <w:tcW w:w="5000" w:type="pct"/>
            <w:gridSpan w:val="5"/>
            <w:shd w:val="clear" w:color="auto" w:fill="auto"/>
            <w:tcMar>
              <w:left w:w="28" w:type="dxa"/>
              <w:right w:w="28" w:type="dxa"/>
            </w:tcMar>
          </w:tcPr>
          <w:p w:rsidR="00783A22" w:rsidRPr="004B53F8" w:rsidRDefault="00783A22" w:rsidP="00A8247E">
            <w:pPr>
              <w:pStyle w:val="Tablewriting"/>
              <w:rPr>
                <w:rFonts w:eastAsia="MS Mincho"/>
                <w:b/>
                <w:bCs/>
              </w:rPr>
            </w:pPr>
            <w:r w:rsidRPr="004B53F8">
              <w:rPr>
                <w:rFonts w:eastAsia="MS Mincho"/>
                <w:b/>
                <w:bCs/>
              </w:rPr>
              <w:t>Bupropion plus NRT versus choice of NRT</w:t>
            </w:r>
            <w:r w:rsidR="004B53F8">
              <w:rPr>
                <w:rFonts w:eastAsia="MS Mincho"/>
                <w:b/>
                <w:bCs/>
              </w:rPr>
              <w:t xml:space="preserve"> subgroup</w:t>
            </w:r>
          </w:p>
        </w:tc>
      </w:tr>
      <w:tr w:rsidR="00554A99" w:rsidRPr="00061F78" w:rsidTr="000B3CA3">
        <w:trPr>
          <w:cantSplit/>
          <w:trHeight w:val="99"/>
        </w:trPr>
        <w:tc>
          <w:tcPr>
            <w:tcW w:w="548" w:type="pct"/>
            <w:shd w:val="clear" w:color="auto" w:fill="auto"/>
            <w:tcMar>
              <w:left w:w="28" w:type="dxa"/>
              <w:right w:w="28" w:type="dxa"/>
            </w:tcMar>
          </w:tcPr>
          <w:p w:rsidR="006351A1" w:rsidRDefault="006351A1" w:rsidP="00A8247E">
            <w:pPr>
              <w:pStyle w:val="Tablewriting"/>
              <w:rPr>
                <w:rFonts w:eastAsia="MS Mincho"/>
              </w:rPr>
            </w:pPr>
            <w:r>
              <w:rPr>
                <w:rFonts w:eastAsia="MS Mincho"/>
              </w:rPr>
              <w:t>Howes</w:t>
            </w:r>
          </w:p>
          <w:p w:rsidR="00554A99" w:rsidRDefault="006351A1" w:rsidP="00A8247E">
            <w:pPr>
              <w:pStyle w:val="Tablewriting"/>
              <w:rPr>
                <w:rFonts w:eastAsia="MS Mincho"/>
              </w:rPr>
            </w:pPr>
            <w:r w:rsidRPr="00251B64">
              <w:rPr>
                <w:rFonts w:eastAsia="MS Mincho"/>
              </w:rPr>
              <w:t>(</w:t>
            </w:r>
            <w:r>
              <w:rPr>
                <w:rFonts w:eastAsia="MS Mincho"/>
              </w:rPr>
              <w:t>2020</w:t>
            </w:r>
            <w:r w:rsidRPr="00251B64">
              <w:rPr>
                <w:rFonts w:eastAsia="MS Mincho"/>
              </w:rPr>
              <w:t>)</w:t>
            </w:r>
            <w:r w:rsidRPr="00251B64">
              <w:rPr>
                <w:rFonts w:eastAsia="MS Mincho"/>
                <w:vertAlign w:val="superscript"/>
              </w:rPr>
              <w:t>1</w:t>
            </w:r>
            <w:r w:rsidRPr="00251B64">
              <w:rPr>
                <w:rFonts w:eastAsia="MS Mincho"/>
              </w:rPr>
              <w:t xml:space="preserve"> </w:t>
            </w:r>
          </w:p>
        </w:tc>
        <w:tc>
          <w:tcPr>
            <w:tcW w:w="1022" w:type="pct"/>
            <w:shd w:val="clear" w:color="auto" w:fill="auto"/>
            <w:vAlign w:val="center"/>
          </w:tcPr>
          <w:p w:rsidR="006351A1" w:rsidRDefault="006351A1" w:rsidP="00A8247E">
            <w:pPr>
              <w:pStyle w:val="Tablewriting"/>
              <w:jc w:val="center"/>
              <w:rPr>
                <w:rFonts w:eastAsia="MS Mincho"/>
              </w:rPr>
            </w:pPr>
            <w:r>
              <w:rPr>
                <w:rFonts w:eastAsia="MS Mincho"/>
              </w:rPr>
              <w:t>Cochrane Review</w:t>
            </w:r>
          </w:p>
          <w:p w:rsidR="00554A99" w:rsidRDefault="006351A1" w:rsidP="00A8247E">
            <w:pPr>
              <w:pStyle w:val="Tablewriting"/>
              <w:jc w:val="center"/>
              <w:rPr>
                <w:rFonts w:eastAsia="MS Mincho"/>
              </w:rPr>
            </w:pPr>
            <w:r>
              <w:rPr>
                <w:rFonts w:eastAsia="MS Mincho"/>
              </w:rPr>
              <w:t xml:space="preserve">(1 </w:t>
            </w:r>
            <w:r w:rsidRPr="00251B64">
              <w:rPr>
                <w:rFonts w:eastAsia="MS Mincho"/>
              </w:rPr>
              <w:t>RCT</w:t>
            </w:r>
            <w:r>
              <w:rPr>
                <w:rFonts w:eastAsia="MS Mincho"/>
              </w:rPr>
              <w:t>s)</w:t>
            </w:r>
          </w:p>
        </w:tc>
        <w:tc>
          <w:tcPr>
            <w:tcW w:w="1257" w:type="pct"/>
            <w:shd w:val="clear" w:color="auto" w:fill="auto"/>
            <w:tcMar>
              <w:left w:w="28" w:type="dxa"/>
              <w:right w:w="28" w:type="dxa"/>
            </w:tcMar>
            <w:vAlign w:val="center"/>
          </w:tcPr>
          <w:p w:rsidR="006351A1" w:rsidRPr="00251B64" w:rsidRDefault="00A820B8" w:rsidP="00A8247E">
            <w:pPr>
              <w:pStyle w:val="Tablewriting"/>
              <w:jc w:val="center"/>
              <w:rPr>
                <w:rFonts w:eastAsia="MS Mincho"/>
                <w:vertAlign w:val="superscript"/>
              </w:rPr>
            </w:pPr>
            <w:r>
              <w:rPr>
                <w:rFonts w:eastAsia="MS Mincho"/>
              </w:rPr>
              <w:t>57</w:t>
            </w:r>
            <w:r w:rsidR="006351A1" w:rsidRPr="00251B64">
              <w:rPr>
                <w:rFonts w:eastAsia="MS Mincho"/>
              </w:rPr>
              <w:t>/</w:t>
            </w:r>
            <w:r>
              <w:rPr>
                <w:rFonts w:eastAsia="MS Mincho"/>
              </w:rPr>
              <w:t>244</w:t>
            </w:r>
          </w:p>
          <w:p w:rsidR="00554A99" w:rsidRDefault="006351A1" w:rsidP="00A8247E">
            <w:pPr>
              <w:pStyle w:val="Tablewriting"/>
              <w:jc w:val="center"/>
              <w:rPr>
                <w:rFonts w:eastAsia="MS Mincho"/>
              </w:rPr>
            </w:pPr>
            <w:r w:rsidRPr="00251B64">
              <w:rPr>
                <w:rFonts w:eastAsia="MS Mincho"/>
              </w:rPr>
              <w:t>(</w:t>
            </w:r>
            <w:r w:rsidR="002B6D97">
              <w:rPr>
                <w:rFonts w:eastAsia="MS Mincho"/>
              </w:rPr>
              <w:t>23.4</w:t>
            </w:r>
            <w:r w:rsidRPr="00251B64">
              <w:rPr>
                <w:rFonts w:eastAsia="MS Mincho"/>
              </w:rPr>
              <w:t>%)</w:t>
            </w:r>
          </w:p>
        </w:tc>
        <w:tc>
          <w:tcPr>
            <w:tcW w:w="1161" w:type="pct"/>
            <w:shd w:val="clear" w:color="auto" w:fill="auto"/>
            <w:tcMar>
              <w:left w:w="28" w:type="dxa"/>
              <w:right w:w="28" w:type="dxa"/>
            </w:tcMar>
            <w:vAlign w:val="center"/>
          </w:tcPr>
          <w:p w:rsidR="006351A1" w:rsidRPr="006F3FC8" w:rsidRDefault="00967AB0" w:rsidP="00A8247E">
            <w:pPr>
              <w:pStyle w:val="Tablewriting"/>
              <w:jc w:val="center"/>
              <w:rPr>
                <w:rFonts w:eastAsia="MS Mincho"/>
                <w:vertAlign w:val="superscript"/>
              </w:rPr>
            </w:pPr>
            <w:r>
              <w:rPr>
                <w:rFonts w:eastAsia="MS Mincho"/>
              </w:rPr>
              <w:t>101</w:t>
            </w:r>
            <w:r w:rsidR="006351A1" w:rsidRPr="00251B64">
              <w:rPr>
                <w:rFonts w:eastAsia="MS Mincho"/>
              </w:rPr>
              <w:t>/</w:t>
            </w:r>
            <w:r>
              <w:rPr>
                <w:rFonts w:eastAsia="MS Mincho"/>
              </w:rPr>
              <w:t>418</w:t>
            </w:r>
          </w:p>
          <w:p w:rsidR="00554A99" w:rsidRDefault="006351A1" w:rsidP="00A8247E">
            <w:pPr>
              <w:pStyle w:val="Tablewriting"/>
              <w:jc w:val="center"/>
              <w:rPr>
                <w:rFonts w:eastAsia="MS Mincho"/>
              </w:rPr>
            </w:pPr>
            <w:r w:rsidRPr="00251B64">
              <w:rPr>
                <w:rFonts w:eastAsia="MS Mincho"/>
              </w:rPr>
              <w:t>(</w:t>
            </w:r>
            <w:r w:rsidR="00FB1A55">
              <w:rPr>
                <w:rFonts w:eastAsia="MS Mincho"/>
              </w:rPr>
              <w:t>24.2</w:t>
            </w:r>
            <w:r w:rsidRPr="00251B64">
              <w:rPr>
                <w:rFonts w:eastAsia="MS Mincho"/>
              </w:rPr>
              <w:t>%)</w:t>
            </w:r>
          </w:p>
        </w:tc>
        <w:tc>
          <w:tcPr>
            <w:tcW w:w="1012" w:type="pct"/>
            <w:shd w:val="clear" w:color="auto" w:fill="auto"/>
            <w:tcMar>
              <w:left w:w="28" w:type="dxa"/>
              <w:right w:w="28" w:type="dxa"/>
            </w:tcMar>
            <w:vAlign w:val="center"/>
          </w:tcPr>
          <w:p w:rsidR="006351A1" w:rsidRPr="00A93680" w:rsidRDefault="00891955" w:rsidP="00A8247E">
            <w:pPr>
              <w:pStyle w:val="Tablewriting"/>
              <w:jc w:val="center"/>
              <w:rPr>
                <w:rFonts w:eastAsia="MS Mincho"/>
              </w:rPr>
            </w:pPr>
            <w:r>
              <w:rPr>
                <w:rFonts w:eastAsia="MS Mincho"/>
              </w:rPr>
              <w:t>0.97</w:t>
            </w:r>
          </w:p>
          <w:p w:rsidR="00554A99" w:rsidRPr="00A93680" w:rsidRDefault="006351A1" w:rsidP="00A8247E">
            <w:pPr>
              <w:pStyle w:val="Tablewriting"/>
              <w:jc w:val="center"/>
              <w:rPr>
                <w:rFonts w:eastAsia="MS Mincho"/>
              </w:rPr>
            </w:pPr>
            <w:r w:rsidRPr="00A93680">
              <w:rPr>
                <w:rFonts w:eastAsia="MS Mincho"/>
              </w:rPr>
              <w:t>(0.</w:t>
            </w:r>
            <w:r w:rsidR="00891955">
              <w:rPr>
                <w:rFonts w:eastAsia="MS Mincho"/>
              </w:rPr>
              <w:t>73</w:t>
            </w:r>
            <w:r w:rsidRPr="00A93680">
              <w:rPr>
                <w:rFonts w:eastAsia="MS Mincho"/>
              </w:rPr>
              <w:t>, 1.</w:t>
            </w:r>
            <w:r w:rsidR="00891955">
              <w:rPr>
                <w:rFonts w:eastAsia="MS Mincho"/>
              </w:rPr>
              <w:t>28</w:t>
            </w:r>
            <w:r w:rsidRPr="00A93680">
              <w:rPr>
                <w:rFonts w:eastAsia="MS Mincho"/>
              </w:rPr>
              <w:t>)</w:t>
            </w:r>
          </w:p>
        </w:tc>
      </w:tr>
      <w:tr w:rsidR="006351A1" w:rsidRPr="00061F78" w:rsidTr="004B53F8">
        <w:trPr>
          <w:cantSplit/>
          <w:trHeight w:val="99"/>
        </w:trPr>
        <w:tc>
          <w:tcPr>
            <w:tcW w:w="5000" w:type="pct"/>
            <w:gridSpan w:val="5"/>
            <w:shd w:val="clear" w:color="auto" w:fill="auto"/>
            <w:tcMar>
              <w:left w:w="28" w:type="dxa"/>
              <w:right w:w="28" w:type="dxa"/>
            </w:tcMar>
          </w:tcPr>
          <w:p w:rsidR="00783A22" w:rsidRPr="004B53F8" w:rsidRDefault="00783A22" w:rsidP="00A8247E">
            <w:pPr>
              <w:pStyle w:val="Tablewriting"/>
              <w:rPr>
                <w:rFonts w:eastAsia="MS Mincho"/>
                <w:b/>
                <w:bCs/>
              </w:rPr>
            </w:pPr>
            <w:r w:rsidRPr="004B53F8">
              <w:rPr>
                <w:rFonts w:eastAsia="MS Mincho"/>
                <w:b/>
                <w:bCs/>
              </w:rPr>
              <w:t>Bupropion plus NRT versus NRT alone (pooled)</w:t>
            </w:r>
          </w:p>
        </w:tc>
      </w:tr>
      <w:tr w:rsidR="006351A1" w:rsidRPr="00061F78" w:rsidTr="000B3CA3">
        <w:trPr>
          <w:cantSplit/>
          <w:trHeight w:val="99"/>
        </w:trPr>
        <w:tc>
          <w:tcPr>
            <w:tcW w:w="548" w:type="pct"/>
            <w:shd w:val="clear" w:color="auto" w:fill="auto"/>
            <w:tcMar>
              <w:left w:w="28" w:type="dxa"/>
              <w:right w:w="28" w:type="dxa"/>
            </w:tcMar>
          </w:tcPr>
          <w:p w:rsidR="006351A1" w:rsidRDefault="006351A1" w:rsidP="00A8247E">
            <w:pPr>
              <w:pStyle w:val="Tablewriting"/>
              <w:rPr>
                <w:rFonts w:eastAsia="MS Mincho"/>
              </w:rPr>
            </w:pPr>
            <w:r>
              <w:rPr>
                <w:rFonts w:eastAsia="MS Mincho"/>
              </w:rPr>
              <w:t>Howes</w:t>
            </w:r>
          </w:p>
          <w:p w:rsidR="006351A1" w:rsidRDefault="006351A1" w:rsidP="00A8247E">
            <w:pPr>
              <w:pStyle w:val="Tablewriting"/>
              <w:rPr>
                <w:rFonts w:eastAsia="MS Mincho"/>
              </w:rPr>
            </w:pPr>
            <w:r w:rsidRPr="00251B64">
              <w:rPr>
                <w:rFonts w:eastAsia="MS Mincho"/>
              </w:rPr>
              <w:t>(</w:t>
            </w:r>
            <w:r>
              <w:rPr>
                <w:rFonts w:eastAsia="MS Mincho"/>
              </w:rPr>
              <w:t>2020</w:t>
            </w:r>
            <w:r w:rsidRPr="00251B64">
              <w:rPr>
                <w:rFonts w:eastAsia="MS Mincho"/>
              </w:rPr>
              <w:t>)</w:t>
            </w:r>
            <w:r w:rsidRPr="00251B64">
              <w:rPr>
                <w:rFonts w:eastAsia="MS Mincho"/>
                <w:vertAlign w:val="superscript"/>
              </w:rPr>
              <w:t>1</w:t>
            </w:r>
            <w:r w:rsidRPr="00251B64">
              <w:rPr>
                <w:rFonts w:eastAsia="MS Mincho"/>
              </w:rPr>
              <w:t xml:space="preserve"> </w:t>
            </w:r>
          </w:p>
        </w:tc>
        <w:tc>
          <w:tcPr>
            <w:tcW w:w="1022" w:type="pct"/>
            <w:shd w:val="clear" w:color="auto" w:fill="auto"/>
            <w:vAlign w:val="center"/>
          </w:tcPr>
          <w:p w:rsidR="006351A1" w:rsidRDefault="006351A1" w:rsidP="00A8247E">
            <w:pPr>
              <w:pStyle w:val="Tablewriting"/>
              <w:jc w:val="center"/>
              <w:rPr>
                <w:rFonts w:eastAsia="MS Mincho"/>
              </w:rPr>
            </w:pPr>
            <w:r>
              <w:rPr>
                <w:rFonts w:eastAsia="MS Mincho"/>
              </w:rPr>
              <w:t>Cochrane Review</w:t>
            </w:r>
          </w:p>
          <w:p w:rsidR="006351A1" w:rsidRDefault="006351A1" w:rsidP="00A8247E">
            <w:pPr>
              <w:pStyle w:val="Tablewriting"/>
              <w:jc w:val="center"/>
              <w:rPr>
                <w:rFonts w:eastAsia="MS Mincho"/>
              </w:rPr>
            </w:pPr>
            <w:r>
              <w:rPr>
                <w:rFonts w:eastAsia="MS Mincho"/>
              </w:rPr>
              <w:t xml:space="preserve">(12 </w:t>
            </w:r>
            <w:r w:rsidRPr="00251B64">
              <w:rPr>
                <w:rFonts w:eastAsia="MS Mincho"/>
              </w:rPr>
              <w:t>RCT</w:t>
            </w:r>
            <w:r>
              <w:rPr>
                <w:rFonts w:eastAsia="MS Mincho"/>
              </w:rPr>
              <w:t>s)</w:t>
            </w:r>
          </w:p>
        </w:tc>
        <w:tc>
          <w:tcPr>
            <w:tcW w:w="1257" w:type="pct"/>
            <w:shd w:val="clear" w:color="auto" w:fill="auto"/>
            <w:tcMar>
              <w:left w:w="28" w:type="dxa"/>
              <w:right w:w="28" w:type="dxa"/>
            </w:tcMar>
            <w:vAlign w:val="center"/>
          </w:tcPr>
          <w:p w:rsidR="006351A1" w:rsidRPr="00251B64" w:rsidRDefault="00F77638" w:rsidP="00A8247E">
            <w:pPr>
              <w:pStyle w:val="Tablewriting"/>
              <w:jc w:val="center"/>
              <w:rPr>
                <w:rFonts w:eastAsia="MS Mincho"/>
                <w:vertAlign w:val="superscript"/>
              </w:rPr>
            </w:pPr>
            <w:r>
              <w:rPr>
                <w:rFonts w:eastAsia="MS Mincho"/>
              </w:rPr>
              <w:t>360</w:t>
            </w:r>
            <w:r w:rsidR="006351A1" w:rsidRPr="00251B64">
              <w:rPr>
                <w:rFonts w:eastAsia="MS Mincho"/>
              </w:rPr>
              <w:t>/</w:t>
            </w:r>
            <w:r>
              <w:rPr>
                <w:rFonts w:eastAsia="MS Mincho"/>
              </w:rPr>
              <w:t>1,648</w:t>
            </w:r>
          </w:p>
          <w:p w:rsidR="006351A1" w:rsidRDefault="006351A1" w:rsidP="00A8247E">
            <w:pPr>
              <w:pStyle w:val="Tablewriting"/>
              <w:jc w:val="center"/>
              <w:rPr>
                <w:rFonts w:eastAsia="MS Mincho"/>
              </w:rPr>
            </w:pPr>
            <w:r w:rsidRPr="00251B64">
              <w:rPr>
                <w:rFonts w:eastAsia="MS Mincho"/>
              </w:rPr>
              <w:t>(</w:t>
            </w:r>
            <w:r w:rsidR="002E037F">
              <w:rPr>
                <w:rFonts w:eastAsia="MS Mincho"/>
              </w:rPr>
              <w:t>21.8</w:t>
            </w:r>
            <w:r w:rsidRPr="00251B64">
              <w:rPr>
                <w:rFonts w:eastAsia="MS Mincho"/>
              </w:rPr>
              <w:t>%)</w:t>
            </w:r>
          </w:p>
        </w:tc>
        <w:tc>
          <w:tcPr>
            <w:tcW w:w="1161" w:type="pct"/>
            <w:shd w:val="clear" w:color="auto" w:fill="auto"/>
            <w:tcMar>
              <w:left w:w="28" w:type="dxa"/>
              <w:right w:w="28" w:type="dxa"/>
            </w:tcMar>
            <w:vAlign w:val="center"/>
          </w:tcPr>
          <w:p w:rsidR="006351A1" w:rsidRPr="006F3FC8" w:rsidRDefault="00F47B5D" w:rsidP="00A8247E">
            <w:pPr>
              <w:pStyle w:val="Tablewriting"/>
              <w:jc w:val="center"/>
              <w:rPr>
                <w:rFonts w:eastAsia="MS Mincho"/>
                <w:vertAlign w:val="superscript"/>
              </w:rPr>
            </w:pPr>
            <w:r>
              <w:rPr>
                <w:rFonts w:eastAsia="MS Mincho"/>
              </w:rPr>
              <w:t>342</w:t>
            </w:r>
            <w:r w:rsidR="006351A1" w:rsidRPr="00251B64">
              <w:rPr>
                <w:rFonts w:eastAsia="MS Mincho"/>
              </w:rPr>
              <w:t>/</w:t>
            </w:r>
            <w:r>
              <w:rPr>
                <w:rFonts w:eastAsia="MS Mincho"/>
              </w:rPr>
              <w:t>1,839</w:t>
            </w:r>
          </w:p>
          <w:p w:rsidR="006351A1" w:rsidRDefault="006351A1" w:rsidP="00A8247E">
            <w:pPr>
              <w:pStyle w:val="Tablewriting"/>
              <w:jc w:val="center"/>
              <w:rPr>
                <w:rFonts w:eastAsia="MS Mincho"/>
              </w:rPr>
            </w:pPr>
            <w:r w:rsidRPr="00251B64">
              <w:rPr>
                <w:rFonts w:eastAsia="MS Mincho"/>
              </w:rPr>
              <w:t>(</w:t>
            </w:r>
            <w:r w:rsidR="00C96AE9">
              <w:rPr>
                <w:rFonts w:eastAsia="MS Mincho"/>
              </w:rPr>
              <w:t>18.6</w:t>
            </w:r>
            <w:r w:rsidRPr="00251B64">
              <w:rPr>
                <w:rFonts w:eastAsia="MS Mincho"/>
              </w:rPr>
              <w:t>%)</w:t>
            </w:r>
          </w:p>
        </w:tc>
        <w:tc>
          <w:tcPr>
            <w:tcW w:w="1012" w:type="pct"/>
            <w:shd w:val="clear" w:color="auto" w:fill="auto"/>
            <w:tcMar>
              <w:left w:w="28" w:type="dxa"/>
              <w:right w:w="28" w:type="dxa"/>
            </w:tcMar>
            <w:vAlign w:val="center"/>
          </w:tcPr>
          <w:p w:rsidR="006351A1" w:rsidRPr="00A93680" w:rsidRDefault="00F47B5D" w:rsidP="00A8247E">
            <w:pPr>
              <w:pStyle w:val="Tablewriting"/>
              <w:jc w:val="center"/>
              <w:rPr>
                <w:rFonts w:eastAsia="MS Mincho"/>
              </w:rPr>
            </w:pPr>
            <w:r>
              <w:rPr>
                <w:rFonts w:eastAsia="MS Mincho"/>
              </w:rPr>
              <w:t>1.19</w:t>
            </w:r>
          </w:p>
          <w:p w:rsidR="006351A1" w:rsidRPr="00A93680" w:rsidRDefault="006351A1" w:rsidP="00A8247E">
            <w:pPr>
              <w:pStyle w:val="Tablewriting"/>
              <w:jc w:val="center"/>
              <w:rPr>
                <w:rFonts w:eastAsia="MS Mincho"/>
              </w:rPr>
            </w:pPr>
            <w:r w:rsidRPr="00A93680">
              <w:rPr>
                <w:rFonts w:eastAsia="MS Mincho"/>
              </w:rPr>
              <w:t>(0.9</w:t>
            </w:r>
            <w:r w:rsidR="00F47B5D">
              <w:rPr>
                <w:rFonts w:eastAsia="MS Mincho"/>
              </w:rPr>
              <w:t>4</w:t>
            </w:r>
            <w:r w:rsidRPr="00A93680">
              <w:rPr>
                <w:rFonts w:eastAsia="MS Mincho"/>
              </w:rPr>
              <w:t>, 1.5</w:t>
            </w:r>
            <w:r w:rsidR="00F47B5D">
              <w:rPr>
                <w:rFonts w:eastAsia="MS Mincho"/>
              </w:rPr>
              <w:t>1</w:t>
            </w:r>
            <w:r w:rsidRPr="00A93680">
              <w:rPr>
                <w:rFonts w:eastAsia="MS Mincho"/>
              </w:rPr>
              <w:t>)</w:t>
            </w:r>
          </w:p>
        </w:tc>
      </w:tr>
    </w:tbl>
    <w:p w:rsidR="00F47B5D" w:rsidRDefault="00F47B5D" w:rsidP="008340F4">
      <w:pPr>
        <w:pStyle w:val="TableFooter"/>
      </w:pPr>
      <w:r>
        <w:t>Source: Howes et al. (2020)</w:t>
      </w:r>
    </w:p>
    <w:p w:rsidR="00F47B5D" w:rsidRDefault="00F47B5D" w:rsidP="008340F4">
      <w:pPr>
        <w:pStyle w:val="TableFooter"/>
        <w:rPr>
          <w:i/>
        </w:rPr>
      </w:pPr>
      <w:r>
        <w:t>Abbreviations: CI = confidence interval; RCT = randomised controlled trial; RR = risk ratio</w:t>
      </w:r>
      <w:r w:rsidRPr="00061F78">
        <w:t xml:space="preserve"> </w:t>
      </w:r>
    </w:p>
    <w:p w:rsidR="00F47B5D" w:rsidRPr="008340F4" w:rsidRDefault="00F47B5D" w:rsidP="008340F4">
      <w:pPr>
        <w:pStyle w:val="TableFooter"/>
      </w:pPr>
      <w:r w:rsidRPr="00D468CF">
        <w:t>Note</w:t>
      </w:r>
      <w:r>
        <w:t>s</w:t>
      </w:r>
      <w:r w:rsidRPr="00D468CF">
        <w:t>: Bold indicates statistically significant difference.</w:t>
      </w:r>
      <w:r>
        <w:br/>
        <w:t xml:space="preserve">1 Where cessation was assessed at multiple intervals, the longest follow-up data were used. Where multiple definitions of abstinence were assessed, the strictest of these definitions was used (e.g. continuous/prolonged abstinence over point prevalence abstinence). See </w:t>
      </w:r>
      <w:r w:rsidRPr="008340F4">
        <w:t xml:space="preserve">Appendix </w:t>
      </w:r>
      <w:r w:rsidR="003C4A1C">
        <w:t xml:space="preserve">Table </w:t>
      </w:r>
      <w:r w:rsidR="003C4A1C">
        <w:rPr>
          <w:noProof/>
        </w:rPr>
        <w:t>159</w:t>
      </w:r>
      <w:r w:rsidR="008340F4">
        <w:t xml:space="preserve"> </w:t>
      </w:r>
      <w:r w:rsidRPr="008340F4">
        <w:t xml:space="preserve">for the definition used in each study. </w:t>
      </w:r>
    </w:p>
    <w:p w:rsidR="00F47B5D" w:rsidRDefault="00F47B5D" w:rsidP="008340F4">
      <w:pPr>
        <w:pStyle w:val="TableFooter"/>
      </w:pPr>
      <w:r w:rsidRPr="008340F4">
        <w:t xml:space="preserve">2 Calculated </w:t>
      </w:r>
      <w:r w:rsidR="00783A22" w:rsidRPr="008340F4">
        <w:t>by Cochrane Review authors</w:t>
      </w:r>
      <w:r w:rsidRPr="008340F4">
        <w:t xml:space="preserve"> using a </w:t>
      </w:r>
      <w:r w:rsidR="001E5B01" w:rsidRPr="008340F4">
        <w:t>random</w:t>
      </w:r>
      <w:r w:rsidRPr="008340F4">
        <w:t>-effect model</w:t>
      </w:r>
      <w:r w:rsidR="00C410DE">
        <w:t>.</w:t>
      </w:r>
    </w:p>
    <w:p w:rsidR="009B4A64" w:rsidRPr="004E214B" w:rsidRDefault="00463F05" w:rsidP="006274EF">
      <w:r w:rsidRPr="00463F05">
        <w:t>The results of the individual studies included in Howes et al. (2020) are presented using a forest plot in</w:t>
      </w:r>
      <w:r w:rsidR="002728D8">
        <w:t xml:space="preserve"> </w:t>
      </w:r>
      <w:r w:rsidR="003C4A1C">
        <w:t xml:space="preserve">Figure </w:t>
      </w:r>
      <w:r w:rsidR="003C4A1C">
        <w:rPr>
          <w:noProof/>
        </w:rPr>
        <w:t>22</w:t>
      </w:r>
      <w:r w:rsidR="0041485A">
        <w:t>.</w:t>
      </w:r>
    </w:p>
    <w:p w:rsidR="002728D8" w:rsidRDefault="002728D8" w:rsidP="0041485A">
      <w:pPr>
        <w:keepNext/>
      </w:pPr>
      <w:r>
        <w:rPr>
          <w:noProof/>
        </w:rPr>
        <w:lastRenderedPageBreak/>
        <w:drawing>
          <wp:inline distT="0" distB="0" distL="0" distR="0" wp14:anchorId="3C5A4569" wp14:editId="16ED9DC2">
            <wp:extent cx="5731510" cy="3286125"/>
            <wp:effectExtent l="0" t="0" r="254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41">
                      <a:extLst>
                        <a:ext uri="{28A0092B-C50C-407E-A947-70E740481C1C}">
                          <a14:useLocalDpi xmlns:a14="http://schemas.microsoft.com/office/drawing/2010/main" val="0"/>
                        </a:ext>
                      </a:extLst>
                    </a:blip>
                    <a:stretch>
                      <a:fillRect/>
                    </a:stretch>
                  </pic:blipFill>
                  <pic:spPr>
                    <a:xfrm>
                      <a:off x="0" y="0"/>
                      <a:ext cx="5731510" cy="3286125"/>
                    </a:xfrm>
                    <a:prstGeom prst="rect">
                      <a:avLst/>
                    </a:prstGeom>
                  </pic:spPr>
                </pic:pic>
              </a:graphicData>
            </a:graphic>
          </wp:inline>
        </w:drawing>
      </w:r>
    </w:p>
    <w:p w:rsidR="003C4519" w:rsidRDefault="002728D8" w:rsidP="00A8247E">
      <w:pPr>
        <w:pStyle w:val="Caption"/>
      </w:pPr>
      <w:bookmarkStart w:id="169" w:name="_Ref58425286"/>
      <w:r>
        <w:t xml:space="preserve">Figure </w:t>
      </w:r>
      <w:r w:rsidR="003C4A1C">
        <w:rPr>
          <w:noProof/>
        </w:rPr>
        <w:t>22</w:t>
      </w:r>
      <w:bookmarkEnd w:id="169"/>
      <w:r>
        <w:t xml:space="preserve">: </w:t>
      </w:r>
      <w:r w:rsidRPr="00E67B14">
        <w:t>Results of smoking cessation f</w:t>
      </w:r>
      <w:r w:rsidR="00247918">
        <w:t>or</w:t>
      </w:r>
      <w:r w:rsidRPr="00E67B14">
        <w:t xml:space="preserve"> at least six months follow-up in Howes et al. (2020), bupropion </w:t>
      </w:r>
      <w:r>
        <w:t xml:space="preserve">plus NRT </w:t>
      </w:r>
      <w:r w:rsidRPr="00E67B14">
        <w:t xml:space="preserve">versus </w:t>
      </w:r>
      <w:r>
        <w:t>NRT</w:t>
      </w:r>
      <w:r w:rsidRPr="00E67B14">
        <w:t xml:space="preserve"> alone</w:t>
      </w:r>
    </w:p>
    <w:p w:rsidR="002728D8" w:rsidRDefault="002728D8" w:rsidP="002728D8">
      <w:pPr>
        <w:pStyle w:val="FigureFooter"/>
      </w:pPr>
      <w:r>
        <w:t>Source: Howes et al. (2020)</w:t>
      </w:r>
    </w:p>
    <w:p w:rsidR="002728D8" w:rsidRDefault="002728D8" w:rsidP="002728D8">
      <w:pPr>
        <w:pStyle w:val="FigureFooter"/>
      </w:pPr>
      <w:r>
        <w:t>Abbreviations: CI = confidence interval</w:t>
      </w:r>
    </w:p>
    <w:p w:rsidR="004A55A8" w:rsidRPr="001C0D68" w:rsidRDefault="004A55A8" w:rsidP="004A55A8">
      <w:pPr>
        <w:rPr>
          <w:u w:val="single"/>
        </w:rPr>
      </w:pPr>
      <w:r w:rsidRPr="001C0D68">
        <w:rPr>
          <w:u w:val="single"/>
        </w:rPr>
        <w:t>Safety</w:t>
      </w:r>
    </w:p>
    <w:p w:rsidR="002728D8" w:rsidRPr="0041485A" w:rsidRDefault="004A55A8" w:rsidP="002728D8">
      <w:r>
        <w:t xml:space="preserve">A summary of key adverse events </w:t>
      </w:r>
      <w:r w:rsidR="008468F9">
        <w:t xml:space="preserve">comparing bupropion plus NRT with NRT alone </w:t>
      </w:r>
      <w:r>
        <w:t xml:space="preserve">is presented in </w:t>
      </w:r>
      <w:r w:rsidR="003C4A1C">
        <w:t xml:space="preserve">Table </w:t>
      </w:r>
      <w:r w:rsidR="003C4A1C">
        <w:rPr>
          <w:noProof/>
        </w:rPr>
        <w:t>77</w:t>
      </w:r>
      <w:r>
        <w:t xml:space="preserve">. Based on the meta-analysis conducted by Howes et al. (2020), a significantly higher proportion of patients in the bupropion </w:t>
      </w:r>
      <w:r w:rsidR="009D1C6A">
        <w:t>plus NRT</w:t>
      </w:r>
      <w:r>
        <w:t xml:space="preserve"> arm experienced any adverse events compared with patients in the </w:t>
      </w:r>
      <w:r w:rsidR="009D1C6A">
        <w:t>NRT</w:t>
      </w:r>
      <w:r>
        <w:t xml:space="preserve"> alone arm. There were no statistically significant differences between the two treatment arms in terms of serious adverse events and discontinuation due to adverse events. It was noted that the proportion</w:t>
      </w:r>
      <w:r w:rsidR="001C0D68">
        <w:t>s</w:t>
      </w:r>
      <w:r>
        <w:t xml:space="preserve"> of patients who experienc</w:t>
      </w:r>
      <w:r w:rsidR="001C0D68">
        <w:t>ed</w:t>
      </w:r>
      <w:r>
        <w:t xml:space="preserve"> serious adverse events </w:t>
      </w:r>
      <w:r w:rsidR="001C0D68">
        <w:t xml:space="preserve">and </w:t>
      </w:r>
      <w:r>
        <w:t>discontinued treatment due to adverse events w</w:t>
      </w:r>
      <w:r w:rsidR="001C0D68">
        <w:t>ere</w:t>
      </w:r>
      <w:r>
        <w:t xml:space="preserve"> numerically higher in the bupropion </w:t>
      </w:r>
      <w:r w:rsidR="001C0D68">
        <w:t>plus NRT</w:t>
      </w:r>
      <w:r>
        <w:t xml:space="preserve"> arm. </w:t>
      </w:r>
    </w:p>
    <w:p w:rsidR="00FF3472" w:rsidRDefault="00FF3472" w:rsidP="001C0D68">
      <w:pPr>
        <w:pStyle w:val="Caption"/>
        <w:keepNext/>
      </w:pPr>
      <w:bookmarkStart w:id="170" w:name="_Ref58425914"/>
      <w:r>
        <w:t xml:space="preserve">Table </w:t>
      </w:r>
      <w:r w:rsidR="003C4A1C">
        <w:rPr>
          <w:noProof/>
        </w:rPr>
        <w:t>77</w:t>
      </w:r>
      <w:bookmarkEnd w:id="170"/>
      <w:r>
        <w:t xml:space="preserve">: </w:t>
      </w:r>
      <w:r w:rsidRPr="0088396C">
        <w:t>Summary of key adverse events, bupropion</w:t>
      </w:r>
      <w:r>
        <w:t xml:space="preserve"> plus NRT</w:t>
      </w:r>
      <w:r w:rsidRPr="0088396C">
        <w:t xml:space="preserve"> versus </w:t>
      </w:r>
      <w:r>
        <w:t>NRT</w:t>
      </w:r>
      <w:r w:rsidRPr="0088396C">
        <w:t xml:space="preserve"> alone</w:t>
      </w:r>
    </w:p>
    <w:tbl>
      <w:tblPr>
        <w:tblStyle w:val="TableGrid"/>
        <w:tblW w:w="5000" w:type="pct"/>
        <w:tblLook w:val="04A0" w:firstRow="1" w:lastRow="0" w:firstColumn="1" w:lastColumn="0" w:noHBand="0" w:noVBand="1"/>
        <w:tblCaption w:val="Efficacy results of adalimumab trials (PASI 75 and DLQI)"/>
      </w:tblPr>
      <w:tblGrid>
        <w:gridCol w:w="1020"/>
        <w:gridCol w:w="1810"/>
        <w:gridCol w:w="2133"/>
        <w:gridCol w:w="2140"/>
        <w:gridCol w:w="1913"/>
      </w:tblGrid>
      <w:tr w:rsidR="00FF3472" w:rsidRPr="00061F78" w:rsidTr="00A8247E">
        <w:trPr>
          <w:cantSplit/>
          <w:trHeight w:val="299"/>
          <w:tblHeader/>
        </w:trPr>
        <w:tc>
          <w:tcPr>
            <w:tcW w:w="565" w:type="pct"/>
            <w:shd w:val="clear" w:color="auto" w:fill="BFBFBF" w:themeFill="background1" w:themeFillShade="BF"/>
            <w:tcMar>
              <w:left w:w="28" w:type="dxa"/>
              <w:right w:w="28" w:type="dxa"/>
            </w:tcMar>
            <w:vAlign w:val="center"/>
          </w:tcPr>
          <w:p w:rsidR="00FF3472" w:rsidRPr="00061F78" w:rsidRDefault="00FF3472" w:rsidP="00EA69BE">
            <w:pPr>
              <w:pStyle w:val="Tableheading"/>
              <w:rPr>
                <w:rFonts w:eastAsia="MS Mincho"/>
              </w:rPr>
            </w:pPr>
            <w:r>
              <w:rPr>
                <w:rFonts w:eastAsia="MS Mincho"/>
              </w:rPr>
              <w:t>Study</w:t>
            </w:r>
          </w:p>
        </w:tc>
        <w:tc>
          <w:tcPr>
            <w:tcW w:w="1004" w:type="pct"/>
            <w:shd w:val="clear" w:color="auto" w:fill="BFBFBF" w:themeFill="background1" w:themeFillShade="BF"/>
            <w:vAlign w:val="center"/>
          </w:tcPr>
          <w:p w:rsidR="00FF3472" w:rsidRPr="002D7608" w:rsidRDefault="00FF3472" w:rsidP="00EA69BE">
            <w:pPr>
              <w:pStyle w:val="Tableheading"/>
              <w:jc w:val="center"/>
              <w:rPr>
                <w:rFonts w:eastAsia="MS Mincho"/>
                <w:vertAlign w:val="superscript"/>
              </w:rPr>
            </w:pPr>
            <w:r>
              <w:rPr>
                <w:rFonts w:eastAsia="MS Mincho"/>
              </w:rPr>
              <w:t>Study type</w:t>
            </w:r>
          </w:p>
        </w:tc>
        <w:tc>
          <w:tcPr>
            <w:tcW w:w="1183" w:type="pct"/>
            <w:shd w:val="clear" w:color="auto" w:fill="BFBFBF" w:themeFill="background1" w:themeFillShade="BF"/>
            <w:tcMar>
              <w:left w:w="28" w:type="dxa"/>
              <w:right w:w="28" w:type="dxa"/>
            </w:tcMar>
            <w:vAlign w:val="center"/>
          </w:tcPr>
          <w:p w:rsidR="00FF3472" w:rsidRPr="00061F78" w:rsidRDefault="00FF3472" w:rsidP="00EA69BE">
            <w:pPr>
              <w:pStyle w:val="Tableheading"/>
              <w:jc w:val="center"/>
              <w:rPr>
                <w:rFonts w:eastAsia="MS Mincho"/>
              </w:rPr>
            </w:pPr>
            <w:r>
              <w:rPr>
                <w:rFonts w:eastAsia="MS Mincho"/>
              </w:rPr>
              <w:t>Bupropion plus NRT</w:t>
            </w:r>
          </w:p>
        </w:tc>
        <w:tc>
          <w:tcPr>
            <w:tcW w:w="1187" w:type="pct"/>
            <w:shd w:val="clear" w:color="auto" w:fill="BFBFBF" w:themeFill="background1" w:themeFillShade="BF"/>
            <w:tcMar>
              <w:left w:w="28" w:type="dxa"/>
              <w:right w:w="28" w:type="dxa"/>
            </w:tcMar>
            <w:vAlign w:val="center"/>
          </w:tcPr>
          <w:p w:rsidR="00FF3472" w:rsidRPr="00061F78" w:rsidRDefault="00FF3472" w:rsidP="00EA69BE">
            <w:pPr>
              <w:pStyle w:val="Tableheading"/>
              <w:jc w:val="center"/>
              <w:rPr>
                <w:rFonts w:eastAsia="MS Mincho"/>
              </w:rPr>
            </w:pPr>
            <w:r>
              <w:rPr>
                <w:rFonts w:eastAsia="MS Mincho"/>
              </w:rPr>
              <w:t>NRT alone</w:t>
            </w:r>
          </w:p>
        </w:tc>
        <w:tc>
          <w:tcPr>
            <w:tcW w:w="1061" w:type="pct"/>
            <w:shd w:val="clear" w:color="auto" w:fill="BFBFBF" w:themeFill="background1" w:themeFillShade="BF"/>
            <w:tcMar>
              <w:left w:w="28" w:type="dxa"/>
              <w:right w:w="28" w:type="dxa"/>
            </w:tcMar>
            <w:vAlign w:val="center"/>
          </w:tcPr>
          <w:p w:rsidR="00FF3472" w:rsidRPr="00D468CF" w:rsidRDefault="00FF3472" w:rsidP="00EA69BE">
            <w:pPr>
              <w:pStyle w:val="Tableheading"/>
              <w:jc w:val="center"/>
              <w:rPr>
                <w:rFonts w:eastAsia="MS Mincho"/>
                <w:vertAlign w:val="superscript"/>
              </w:rPr>
            </w:pPr>
            <w:r>
              <w:rPr>
                <w:rFonts w:eastAsia="MS Mincho"/>
              </w:rPr>
              <w:t>RR (95% CI)</w:t>
            </w:r>
            <w:r>
              <w:rPr>
                <w:rFonts w:eastAsia="MS Mincho"/>
                <w:vertAlign w:val="superscript"/>
              </w:rPr>
              <w:t>1</w:t>
            </w:r>
          </w:p>
        </w:tc>
      </w:tr>
      <w:tr w:rsidR="00FF3472" w:rsidRPr="00061F78" w:rsidTr="004B53F8">
        <w:trPr>
          <w:cantSplit/>
          <w:trHeight w:val="99"/>
        </w:trPr>
        <w:tc>
          <w:tcPr>
            <w:tcW w:w="5000" w:type="pct"/>
            <w:gridSpan w:val="5"/>
            <w:shd w:val="clear" w:color="auto" w:fill="auto"/>
            <w:tcMar>
              <w:left w:w="28" w:type="dxa"/>
              <w:right w:w="28" w:type="dxa"/>
            </w:tcMar>
            <w:vAlign w:val="center"/>
          </w:tcPr>
          <w:p w:rsidR="00A25438" w:rsidRPr="004B53F8" w:rsidRDefault="00A25438" w:rsidP="00EA69BE">
            <w:pPr>
              <w:pStyle w:val="Tablewriting"/>
              <w:rPr>
                <w:rFonts w:eastAsia="MS Mincho"/>
                <w:b/>
                <w:bCs/>
              </w:rPr>
            </w:pPr>
            <w:r w:rsidRPr="004B53F8">
              <w:rPr>
                <w:rFonts w:eastAsia="MS Mincho"/>
                <w:b/>
                <w:bCs/>
              </w:rPr>
              <w:t>Adverse events</w:t>
            </w:r>
          </w:p>
        </w:tc>
      </w:tr>
      <w:tr w:rsidR="00FF3472" w:rsidRPr="00061F78" w:rsidTr="00A8247E">
        <w:trPr>
          <w:cantSplit/>
          <w:trHeight w:val="149"/>
        </w:trPr>
        <w:tc>
          <w:tcPr>
            <w:tcW w:w="565" w:type="pct"/>
            <w:tcMar>
              <w:left w:w="28" w:type="dxa"/>
              <w:right w:w="28" w:type="dxa"/>
            </w:tcMar>
          </w:tcPr>
          <w:p w:rsidR="00FF3472" w:rsidRDefault="00FF3472" w:rsidP="00EA69BE">
            <w:pPr>
              <w:pStyle w:val="Tablewriting"/>
              <w:rPr>
                <w:rFonts w:eastAsia="MS Mincho"/>
              </w:rPr>
            </w:pPr>
            <w:r>
              <w:rPr>
                <w:rFonts w:eastAsia="MS Mincho"/>
              </w:rPr>
              <w:t>Howes</w:t>
            </w:r>
            <w:r w:rsidRPr="00061F78">
              <w:rPr>
                <w:rFonts w:eastAsia="MS Mincho"/>
              </w:rPr>
              <w:t xml:space="preserve"> </w:t>
            </w:r>
          </w:p>
          <w:p w:rsidR="00FF3472" w:rsidRPr="00D468CF" w:rsidRDefault="00FF3472" w:rsidP="00EA69BE">
            <w:pPr>
              <w:pStyle w:val="Tablewriting"/>
              <w:rPr>
                <w:rFonts w:eastAsia="MS Mincho"/>
                <w:vertAlign w:val="superscript"/>
              </w:rPr>
            </w:pPr>
            <w:r w:rsidRPr="00061F78">
              <w:rPr>
                <w:rFonts w:eastAsia="MS Mincho"/>
              </w:rPr>
              <w:t>(20</w:t>
            </w:r>
            <w:r>
              <w:rPr>
                <w:rFonts w:eastAsia="MS Mincho"/>
              </w:rPr>
              <w:t>20</w:t>
            </w:r>
            <w:r w:rsidRPr="00061F78">
              <w:rPr>
                <w:rFonts w:eastAsia="MS Mincho"/>
              </w:rPr>
              <w:t>)</w:t>
            </w:r>
          </w:p>
        </w:tc>
        <w:tc>
          <w:tcPr>
            <w:tcW w:w="1004" w:type="pct"/>
            <w:vAlign w:val="center"/>
          </w:tcPr>
          <w:p w:rsidR="00FF3472" w:rsidRPr="00061F78" w:rsidRDefault="00FF3472" w:rsidP="00EA69BE">
            <w:pPr>
              <w:pStyle w:val="Tablewriting"/>
              <w:jc w:val="center"/>
              <w:rPr>
                <w:rFonts w:eastAsia="MS Mincho"/>
              </w:rPr>
            </w:pPr>
            <w:r>
              <w:rPr>
                <w:rFonts w:eastAsia="MS Mincho"/>
              </w:rPr>
              <w:t>Cochrane Review (2 RCTs)</w:t>
            </w:r>
          </w:p>
        </w:tc>
        <w:tc>
          <w:tcPr>
            <w:tcW w:w="1183" w:type="pct"/>
            <w:tcMar>
              <w:left w:w="28" w:type="dxa"/>
              <w:right w:w="28" w:type="dxa"/>
            </w:tcMar>
            <w:vAlign w:val="center"/>
          </w:tcPr>
          <w:p w:rsidR="00FF3472" w:rsidRDefault="00772F3B" w:rsidP="00EA69BE">
            <w:pPr>
              <w:pStyle w:val="Tablewriting"/>
              <w:jc w:val="center"/>
              <w:rPr>
                <w:rFonts w:eastAsia="MS Mincho"/>
              </w:rPr>
            </w:pPr>
            <w:r>
              <w:rPr>
                <w:rFonts w:eastAsia="MS Mincho"/>
              </w:rPr>
              <w:t>104</w:t>
            </w:r>
            <w:r w:rsidR="00FF3472">
              <w:rPr>
                <w:rFonts w:eastAsia="MS Mincho"/>
              </w:rPr>
              <w:t>/</w:t>
            </w:r>
            <w:r>
              <w:rPr>
                <w:rFonts w:eastAsia="MS Mincho"/>
              </w:rPr>
              <w:t>155</w:t>
            </w:r>
          </w:p>
          <w:p w:rsidR="00FF3472" w:rsidRPr="00061F78" w:rsidRDefault="00FF3472" w:rsidP="00EA69BE">
            <w:pPr>
              <w:pStyle w:val="Tablewriting"/>
              <w:jc w:val="center"/>
              <w:rPr>
                <w:rFonts w:eastAsia="MS Mincho"/>
              </w:rPr>
            </w:pPr>
            <w:r>
              <w:rPr>
                <w:rFonts w:eastAsia="MS Mincho"/>
              </w:rPr>
              <w:t>(</w:t>
            </w:r>
            <w:r w:rsidR="00FE50E4">
              <w:rPr>
                <w:rFonts w:eastAsia="MS Mincho"/>
              </w:rPr>
              <w:t>67.1</w:t>
            </w:r>
            <w:r>
              <w:rPr>
                <w:rFonts w:eastAsia="MS Mincho"/>
              </w:rPr>
              <w:t>%)</w:t>
            </w:r>
          </w:p>
        </w:tc>
        <w:tc>
          <w:tcPr>
            <w:tcW w:w="1187" w:type="pct"/>
            <w:tcMar>
              <w:left w:w="28" w:type="dxa"/>
              <w:right w:w="28" w:type="dxa"/>
            </w:tcMar>
            <w:vAlign w:val="center"/>
          </w:tcPr>
          <w:p w:rsidR="00FF3472" w:rsidRDefault="00F07EBB" w:rsidP="00EA69BE">
            <w:pPr>
              <w:pStyle w:val="Tablewriting"/>
              <w:jc w:val="center"/>
              <w:rPr>
                <w:rFonts w:eastAsia="MS Mincho"/>
              </w:rPr>
            </w:pPr>
            <w:r>
              <w:rPr>
                <w:rFonts w:eastAsia="MS Mincho"/>
              </w:rPr>
              <w:t>88</w:t>
            </w:r>
            <w:r w:rsidR="00FF3472">
              <w:rPr>
                <w:rFonts w:eastAsia="MS Mincho"/>
              </w:rPr>
              <w:t>/</w:t>
            </w:r>
            <w:r w:rsidR="00137924">
              <w:rPr>
                <w:rFonts w:eastAsia="MS Mincho"/>
              </w:rPr>
              <w:t>158</w:t>
            </w:r>
          </w:p>
          <w:p w:rsidR="00FF3472" w:rsidRPr="00061F78" w:rsidRDefault="00FF3472" w:rsidP="00EA69BE">
            <w:pPr>
              <w:pStyle w:val="Tablewriting"/>
              <w:jc w:val="center"/>
              <w:rPr>
                <w:rFonts w:eastAsia="MS Mincho"/>
              </w:rPr>
            </w:pPr>
            <w:r>
              <w:rPr>
                <w:rFonts w:eastAsia="MS Mincho"/>
              </w:rPr>
              <w:t>(</w:t>
            </w:r>
            <w:r w:rsidR="00253756">
              <w:rPr>
                <w:rFonts w:eastAsia="MS Mincho"/>
              </w:rPr>
              <w:t>55.7</w:t>
            </w:r>
            <w:r>
              <w:rPr>
                <w:rFonts w:eastAsia="MS Mincho"/>
              </w:rPr>
              <w:t>%)</w:t>
            </w:r>
          </w:p>
        </w:tc>
        <w:tc>
          <w:tcPr>
            <w:tcW w:w="1061" w:type="pct"/>
            <w:tcMar>
              <w:left w:w="28" w:type="dxa"/>
              <w:right w:w="28" w:type="dxa"/>
            </w:tcMar>
            <w:vAlign w:val="center"/>
          </w:tcPr>
          <w:p w:rsidR="00FF3472" w:rsidRPr="002C230D" w:rsidRDefault="00FF3472" w:rsidP="00EA69BE">
            <w:pPr>
              <w:pStyle w:val="Tablewriting"/>
              <w:jc w:val="center"/>
              <w:rPr>
                <w:rFonts w:eastAsia="MS Mincho"/>
                <w:b/>
                <w:bCs/>
              </w:rPr>
            </w:pPr>
            <w:r w:rsidRPr="002C230D">
              <w:rPr>
                <w:rFonts w:eastAsia="MS Mincho"/>
                <w:b/>
                <w:bCs/>
              </w:rPr>
              <w:t>1.</w:t>
            </w:r>
            <w:r w:rsidR="002D02F4">
              <w:rPr>
                <w:rFonts w:eastAsia="MS Mincho"/>
                <w:b/>
                <w:bCs/>
              </w:rPr>
              <w:t>21</w:t>
            </w:r>
          </w:p>
          <w:p w:rsidR="00FF3472" w:rsidRPr="00061F78" w:rsidRDefault="00FF3472" w:rsidP="00EA69BE">
            <w:pPr>
              <w:pStyle w:val="Tablewriting"/>
              <w:jc w:val="center"/>
              <w:rPr>
                <w:rFonts w:eastAsia="MS Mincho"/>
              </w:rPr>
            </w:pPr>
            <w:r w:rsidRPr="002C230D">
              <w:rPr>
                <w:rFonts w:eastAsia="MS Mincho"/>
                <w:b/>
                <w:bCs/>
              </w:rPr>
              <w:t>(1.02, 1.</w:t>
            </w:r>
            <w:r w:rsidR="00A6724D">
              <w:rPr>
                <w:rFonts w:eastAsia="MS Mincho"/>
                <w:b/>
                <w:bCs/>
              </w:rPr>
              <w:t>43</w:t>
            </w:r>
            <w:r w:rsidRPr="002C230D">
              <w:rPr>
                <w:rFonts w:eastAsia="MS Mincho"/>
                <w:b/>
                <w:bCs/>
              </w:rPr>
              <w:t>)</w:t>
            </w:r>
          </w:p>
        </w:tc>
      </w:tr>
      <w:tr w:rsidR="00FF3472" w:rsidRPr="00061F78" w:rsidTr="004B53F8">
        <w:trPr>
          <w:cantSplit/>
          <w:trHeight w:val="149"/>
        </w:trPr>
        <w:tc>
          <w:tcPr>
            <w:tcW w:w="5000" w:type="pct"/>
            <w:gridSpan w:val="5"/>
            <w:shd w:val="clear" w:color="auto" w:fill="auto"/>
            <w:tcMar>
              <w:left w:w="28" w:type="dxa"/>
              <w:right w:w="28" w:type="dxa"/>
            </w:tcMar>
            <w:vAlign w:val="center"/>
          </w:tcPr>
          <w:p w:rsidR="00A25438" w:rsidRPr="004B53F8" w:rsidRDefault="00A25438" w:rsidP="00EA69BE">
            <w:pPr>
              <w:pStyle w:val="Tablewriting"/>
              <w:rPr>
                <w:rFonts w:eastAsia="MS Mincho"/>
                <w:b/>
                <w:bCs/>
              </w:rPr>
            </w:pPr>
            <w:r w:rsidRPr="004B53F8">
              <w:rPr>
                <w:rFonts w:eastAsia="MS Mincho"/>
                <w:b/>
                <w:bCs/>
              </w:rPr>
              <w:t>Serious adverse events</w:t>
            </w:r>
          </w:p>
        </w:tc>
      </w:tr>
      <w:tr w:rsidR="00FF3472" w:rsidRPr="00061F78" w:rsidTr="00A8247E">
        <w:trPr>
          <w:cantSplit/>
          <w:trHeight w:val="149"/>
        </w:trPr>
        <w:tc>
          <w:tcPr>
            <w:tcW w:w="565" w:type="pct"/>
            <w:tcMar>
              <w:left w:w="28" w:type="dxa"/>
              <w:right w:w="28" w:type="dxa"/>
            </w:tcMar>
          </w:tcPr>
          <w:p w:rsidR="00FF3472" w:rsidRDefault="00FF3472" w:rsidP="00EA69BE">
            <w:pPr>
              <w:pStyle w:val="Tablewriting"/>
              <w:rPr>
                <w:rFonts w:eastAsia="MS Mincho"/>
              </w:rPr>
            </w:pPr>
            <w:r>
              <w:rPr>
                <w:rFonts w:eastAsia="MS Mincho"/>
              </w:rPr>
              <w:t>Howes</w:t>
            </w:r>
            <w:r w:rsidRPr="00061F78">
              <w:rPr>
                <w:rFonts w:eastAsia="MS Mincho"/>
              </w:rPr>
              <w:t xml:space="preserve"> </w:t>
            </w:r>
          </w:p>
          <w:p w:rsidR="00FF3472" w:rsidRDefault="00FF3472" w:rsidP="00EA69BE">
            <w:pPr>
              <w:pStyle w:val="Tablewriting"/>
              <w:rPr>
                <w:rFonts w:eastAsia="MS Mincho"/>
              </w:rPr>
            </w:pPr>
            <w:r w:rsidRPr="00061F78">
              <w:rPr>
                <w:rFonts w:eastAsia="MS Mincho"/>
              </w:rPr>
              <w:t>(20</w:t>
            </w:r>
            <w:r>
              <w:rPr>
                <w:rFonts w:eastAsia="MS Mincho"/>
              </w:rPr>
              <w:t>20</w:t>
            </w:r>
            <w:r w:rsidRPr="00061F78">
              <w:rPr>
                <w:rFonts w:eastAsia="MS Mincho"/>
              </w:rPr>
              <w:t>)</w:t>
            </w:r>
          </w:p>
        </w:tc>
        <w:tc>
          <w:tcPr>
            <w:tcW w:w="1004" w:type="pct"/>
            <w:vAlign w:val="center"/>
          </w:tcPr>
          <w:p w:rsidR="00FF3472" w:rsidRDefault="00FF3472" w:rsidP="00EA69BE">
            <w:pPr>
              <w:pStyle w:val="Tablewriting"/>
              <w:jc w:val="center"/>
              <w:rPr>
                <w:rFonts w:eastAsia="MS Mincho"/>
              </w:rPr>
            </w:pPr>
            <w:r>
              <w:rPr>
                <w:rFonts w:eastAsia="MS Mincho"/>
              </w:rPr>
              <w:t>Cochrane Review (</w:t>
            </w:r>
            <w:r w:rsidR="00A6724D">
              <w:rPr>
                <w:rFonts w:eastAsia="MS Mincho"/>
              </w:rPr>
              <w:t>3</w:t>
            </w:r>
            <w:r>
              <w:rPr>
                <w:rFonts w:eastAsia="MS Mincho"/>
              </w:rPr>
              <w:t xml:space="preserve"> RCTs)</w:t>
            </w:r>
          </w:p>
        </w:tc>
        <w:tc>
          <w:tcPr>
            <w:tcW w:w="1183" w:type="pct"/>
            <w:tcMar>
              <w:left w:w="28" w:type="dxa"/>
              <w:right w:w="28" w:type="dxa"/>
            </w:tcMar>
            <w:vAlign w:val="center"/>
          </w:tcPr>
          <w:p w:rsidR="000B3F9A" w:rsidRDefault="000B3F9A" w:rsidP="00EA69BE">
            <w:pPr>
              <w:pStyle w:val="Tablewriting"/>
              <w:jc w:val="center"/>
              <w:rPr>
                <w:rFonts w:eastAsia="MS Mincho"/>
              </w:rPr>
            </w:pPr>
            <w:r>
              <w:rPr>
                <w:rFonts w:eastAsia="MS Mincho"/>
              </w:rPr>
              <w:t>3</w:t>
            </w:r>
            <w:r w:rsidR="00FF3472">
              <w:rPr>
                <w:rFonts w:eastAsia="MS Mincho"/>
              </w:rPr>
              <w:t>/</w:t>
            </w:r>
            <w:r>
              <w:rPr>
                <w:rFonts w:eastAsia="MS Mincho"/>
              </w:rPr>
              <w:t>303</w:t>
            </w:r>
          </w:p>
          <w:p w:rsidR="00FF3472" w:rsidRDefault="00FF3472" w:rsidP="00EA69BE">
            <w:pPr>
              <w:pStyle w:val="Tablewriting"/>
              <w:jc w:val="center"/>
              <w:rPr>
                <w:rFonts w:eastAsia="MS Mincho"/>
              </w:rPr>
            </w:pPr>
            <w:r>
              <w:rPr>
                <w:rFonts w:eastAsia="MS Mincho"/>
              </w:rPr>
              <w:t>(</w:t>
            </w:r>
            <w:r w:rsidR="00804CF8">
              <w:rPr>
                <w:rFonts w:eastAsia="MS Mincho"/>
              </w:rPr>
              <w:t>1.0</w:t>
            </w:r>
            <w:r>
              <w:rPr>
                <w:rFonts w:eastAsia="MS Mincho"/>
              </w:rPr>
              <w:t>%)</w:t>
            </w:r>
          </w:p>
        </w:tc>
        <w:tc>
          <w:tcPr>
            <w:tcW w:w="1187" w:type="pct"/>
            <w:tcMar>
              <w:left w:w="28" w:type="dxa"/>
              <w:right w:w="28" w:type="dxa"/>
            </w:tcMar>
            <w:vAlign w:val="center"/>
          </w:tcPr>
          <w:p w:rsidR="00FF3472" w:rsidRDefault="000B3F9A" w:rsidP="00EA69BE">
            <w:pPr>
              <w:pStyle w:val="Tablewriting"/>
              <w:jc w:val="center"/>
              <w:rPr>
                <w:rFonts w:eastAsia="MS Mincho"/>
              </w:rPr>
            </w:pPr>
            <w:r>
              <w:rPr>
                <w:rFonts w:eastAsia="MS Mincho"/>
              </w:rPr>
              <w:t>2</w:t>
            </w:r>
            <w:r w:rsidR="00FF3472">
              <w:rPr>
                <w:rFonts w:eastAsia="MS Mincho"/>
              </w:rPr>
              <w:t>/</w:t>
            </w:r>
            <w:r>
              <w:rPr>
                <w:rFonts w:eastAsia="MS Mincho"/>
              </w:rPr>
              <w:t>304</w:t>
            </w:r>
          </w:p>
          <w:p w:rsidR="00FF3472" w:rsidRPr="00061F78" w:rsidRDefault="00FF3472" w:rsidP="00EA69BE">
            <w:pPr>
              <w:pStyle w:val="Tablewriting"/>
              <w:jc w:val="center"/>
              <w:rPr>
                <w:rFonts w:eastAsia="MS Mincho"/>
              </w:rPr>
            </w:pPr>
            <w:r>
              <w:rPr>
                <w:rFonts w:eastAsia="MS Mincho"/>
              </w:rPr>
              <w:t>(</w:t>
            </w:r>
            <w:r w:rsidR="000B2D26">
              <w:rPr>
                <w:rFonts w:eastAsia="MS Mincho"/>
              </w:rPr>
              <w:t>0.7</w:t>
            </w:r>
            <w:r>
              <w:rPr>
                <w:rFonts w:eastAsia="MS Mincho"/>
              </w:rPr>
              <w:t>%)</w:t>
            </w:r>
          </w:p>
        </w:tc>
        <w:tc>
          <w:tcPr>
            <w:tcW w:w="1061" w:type="pct"/>
            <w:tcMar>
              <w:left w:w="28" w:type="dxa"/>
              <w:right w:w="28" w:type="dxa"/>
            </w:tcMar>
            <w:vAlign w:val="center"/>
          </w:tcPr>
          <w:p w:rsidR="00FF3472" w:rsidRDefault="00FF3472" w:rsidP="00EA69BE">
            <w:pPr>
              <w:pStyle w:val="Tablewriting"/>
              <w:jc w:val="center"/>
              <w:rPr>
                <w:rFonts w:eastAsia="MS Mincho"/>
              </w:rPr>
            </w:pPr>
            <w:r>
              <w:rPr>
                <w:rFonts w:eastAsia="MS Mincho"/>
              </w:rPr>
              <w:t>1.</w:t>
            </w:r>
            <w:r w:rsidR="000B3F9A">
              <w:rPr>
                <w:rFonts w:eastAsia="MS Mincho"/>
              </w:rPr>
              <w:t>52</w:t>
            </w:r>
          </w:p>
          <w:p w:rsidR="00FF3472" w:rsidRPr="00275BAC" w:rsidRDefault="00FF3472" w:rsidP="00EA69BE">
            <w:pPr>
              <w:pStyle w:val="Tablewriting"/>
              <w:jc w:val="center"/>
              <w:rPr>
                <w:rFonts w:eastAsia="MS Mincho"/>
              </w:rPr>
            </w:pPr>
            <w:r>
              <w:rPr>
                <w:rFonts w:eastAsia="MS Mincho"/>
              </w:rPr>
              <w:t>(0.</w:t>
            </w:r>
            <w:r w:rsidR="00F7771A">
              <w:rPr>
                <w:rFonts w:eastAsia="MS Mincho"/>
              </w:rPr>
              <w:t>26</w:t>
            </w:r>
            <w:r>
              <w:rPr>
                <w:rFonts w:eastAsia="MS Mincho"/>
              </w:rPr>
              <w:t xml:space="preserve">, </w:t>
            </w:r>
            <w:r w:rsidR="00F7771A">
              <w:rPr>
                <w:rFonts w:eastAsia="MS Mincho"/>
              </w:rPr>
              <w:t>8.89</w:t>
            </w:r>
            <w:r>
              <w:rPr>
                <w:rFonts w:eastAsia="MS Mincho"/>
              </w:rPr>
              <w:t>)</w:t>
            </w:r>
          </w:p>
        </w:tc>
      </w:tr>
      <w:tr w:rsidR="00FF3472" w:rsidRPr="00061F78" w:rsidTr="004B53F8">
        <w:trPr>
          <w:cantSplit/>
          <w:trHeight w:val="70"/>
        </w:trPr>
        <w:tc>
          <w:tcPr>
            <w:tcW w:w="5000" w:type="pct"/>
            <w:gridSpan w:val="5"/>
            <w:shd w:val="clear" w:color="auto" w:fill="auto"/>
            <w:tcMar>
              <w:left w:w="28" w:type="dxa"/>
              <w:right w:w="28" w:type="dxa"/>
            </w:tcMar>
          </w:tcPr>
          <w:p w:rsidR="00A25438" w:rsidRPr="004B53F8" w:rsidRDefault="00A25438" w:rsidP="00EA69BE">
            <w:pPr>
              <w:pStyle w:val="Tablewriting"/>
              <w:rPr>
                <w:rFonts w:eastAsia="MS Mincho"/>
                <w:b/>
                <w:bCs/>
              </w:rPr>
            </w:pPr>
            <w:r w:rsidRPr="004B53F8">
              <w:rPr>
                <w:rFonts w:eastAsia="MS Mincho"/>
                <w:b/>
                <w:bCs/>
              </w:rPr>
              <w:t>Discontinuation due to adverse events</w:t>
            </w:r>
          </w:p>
        </w:tc>
      </w:tr>
      <w:tr w:rsidR="00FF3472" w:rsidRPr="00061F78" w:rsidTr="00A8247E">
        <w:trPr>
          <w:cantSplit/>
          <w:trHeight w:val="149"/>
        </w:trPr>
        <w:tc>
          <w:tcPr>
            <w:tcW w:w="565" w:type="pct"/>
            <w:tcMar>
              <w:left w:w="28" w:type="dxa"/>
              <w:right w:w="28" w:type="dxa"/>
            </w:tcMar>
          </w:tcPr>
          <w:p w:rsidR="00FF3472" w:rsidRDefault="00FF3472" w:rsidP="00EA69BE">
            <w:pPr>
              <w:pStyle w:val="Tablewriting"/>
              <w:rPr>
                <w:rFonts w:eastAsia="MS Mincho"/>
              </w:rPr>
            </w:pPr>
            <w:r>
              <w:rPr>
                <w:rFonts w:eastAsia="MS Mincho"/>
              </w:rPr>
              <w:t>Howes</w:t>
            </w:r>
            <w:r w:rsidRPr="00061F78">
              <w:rPr>
                <w:rFonts w:eastAsia="MS Mincho"/>
              </w:rPr>
              <w:t xml:space="preserve"> </w:t>
            </w:r>
          </w:p>
          <w:p w:rsidR="00FF3472" w:rsidRDefault="00FF3472" w:rsidP="00EA69BE">
            <w:pPr>
              <w:pStyle w:val="Tablewriting"/>
              <w:rPr>
                <w:rFonts w:eastAsia="MS Mincho"/>
              </w:rPr>
            </w:pPr>
            <w:r w:rsidRPr="00061F78">
              <w:rPr>
                <w:rFonts w:eastAsia="MS Mincho"/>
              </w:rPr>
              <w:t>(20</w:t>
            </w:r>
            <w:r>
              <w:rPr>
                <w:rFonts w:eastAsia="MS Mincho"/>
              </w:rPr>
              <w:t>20</w:t>
            </w:r>
            <w:r w:rsidRPr="00061F78">
              <w:rPr>
                <w:rFonts w:eastAsia="MS Mincho"/>
              </w:rPr>
              <w:t>)</w:t>
            </w:r>
          </w:p>
        </w:tc>
        <w:tc>
          <w:tcPr>
            <w:tcW w:w="1004" w:type="pct"/>
            <w:vAlign w:val="center"/>
          </w:tcPr>
          <w:p w:rsidR="00FF3472" w:rsidRDefault="00FF3472" w:rsidP="00EA69BE">
            <w:pPr>
              <w:pStyle w:val="Tablewriting"/>
              <w:jc w:val="center"/>
              <w:rPr>
                <w:rFonts w:eastAsia="MS Mincho"/>
              </w:rPr>
            </w:pPr>
            <w:r>
              <w:rPr>
                <w:rFonts w:eastAsia="MS Mincho"/>
              </w:rPr>
              <w:t>Cochrane Review (</w:t>
            </w:r>
            <w:r w:rsidR="00F7771A">
              <w:rPr>
                <w:rFonts w:eastAsia="MS Mincho"/>
              </w:rPr>
              <w:t>2</w:t>
            </w:r>
            <w:r>
              <w:rPr>
                <w:rFonts w:eastAsia="MS Mincho"/>
              </w:rPr>
              <w:t xml:space="preserve"> RCTs)</w:t>
            </w:r>
          </w:p>
        </w:tc>
        <w:tc>
          <w:tcPr>
            <w:tcW w:w="1183" w:type="pct"/>
            <w:tcMar>
              <w:left w:w="28" w:type="dxa"/>
              <w:right w:w="28" w:type="dxa"/>
            </w:tcMar>
            <w:vAlign w:val="center"/>
          </w:tcPr>
          <w:p w:rsidR="00FF3472" w:rsidRDefault="00F7771A" w:rsidP="00EA69BE">
            <w:pPr>
              <w:pStyle w:val="Tablewriting"/>
              <w:jc w:val="center"/>
              <w:rPr>
                <w:rFonts w:eastAsia="MS Mincho"/>
              </w:rPr>
            </w:pPr>
            <w:r>
              <w:rPr>
                <w:rFonts w:eastAsia="MS Mincho"/>
              </w:rPr>
              <w:t>30</w:t>
            </w:r>
            <w:r w:rsidR="00FF3472">
              <w:rPr>
                <w:rFonts w:eastAsia="MS Mincho"/>
              </w:rPr>
              <w:t>/</w:t>
            </w:r>
            <w:r>
              <w:rPr>
                <w:rFonts w:eastAsia="MS Mincho"/>
              </w:rPr>
              <w:t>269</w:t>
            </w:r>
          </w:p>
          <w:p w:rsidR="00FF3472" w:rsidRDefault="00FF3472" w:rsidP="00EA69BE">
            <w:pPr>
              <w:pStyle w:val="Tablewriting"/>
              <w:jc w:val="center"/>
              <w:rPr>
                <w:rFonts w:eastAsia="MS Mincho"/>
              </w:rPr>
            </w:pPr>
            <w:r>
              <w:rPr>
                <w:rFonts w:eastAsia="MS Mincho"/>
              </w:rPr>
              <w:t>(</w:t>
            </w:r>
            <w:r w:rsidR="00CC5D84">
              <w:rPr>
                <w:rFonts w:eastAsia="MS Mincho"/>
              </w:rPr>
              <w:t>11.2</w:t>
            </w:r>
            <w:r>
              <w:rPr>
                <w:rFonts w:eastAsia="MS Mincho"/>
              </w:rPr>
              <w:t>%)</w:t>
            </w:r>
          </w:p>
        </w:tc>
        <w:tc>
          <w:tcPr>
            <w:tcW w:w="1187" w:type="pct"/>
            <w:tcMar>
              <w:left w:w="28" w:type="dxa"/>
              <w:right w:w="28" w:type="dxa"/>
            </w:tcMar>
            <w:vAlign w:val="center"/>
          </w:tcPr>
          <w:p w:rsidR="00FF3472" w:rsidRDefault="00E376E2" w:rsidP="00EA69BE">
            <w:pPr>
              <w:pStyle w:val="Tablewriting"/>
              <w:jc w:val="center"/>
              <w:rPr>
                <w:rFonts w:eastAsia="MS Mincho"/>
              </w:rPr>
            </w:pPr>
            <w:r>
              <w:rPr>
                <w:rFonts w:eastAsia="MS Mincho"/>
              </w:rPr>
              <w:t>18</w:t>
            </w:r>
            <w:r w:rsidR="00FF3472">
              <w:rPr>
                <w:rFonts w:eastAsia="MS Mincho"/>
              </w:rPr>
              <w:t>/</w:t>
            </w:r>
            <w:r>
              <w:rPr>
                <w:rFonts w:eastAsia="MS Mincho"/>
              </w:rPr>
              <w:t>269</w:t>
            </w:r>
          </w:p>
          <w:p w:rsidR="00FF3472" w:rsidRPr="00061F78" w:rsidRDefault="00FF3472" w:rsidP="00EA69BE">
            <w:pPr>
              <w:pStyle w:val="Tablewriting"/>
              <w:jc w:val="center"/>
              <w:rPr>
                <w:rFonts w:eastAsia="MS Mincho"/>
              </w:rPr>
            </w:pPr>
            <w:r>
              <w:rPr>
                <w:rFonts w:eastAsia="MS Mincho"/>
              </w:rPr>
              <w:t>(</w:t>
            </w:r>
            <w:r w:rsidR="00A95F22">
              <w:rPr>
                <w:rFonts w:eastAsia="MS Mincho"/>
              </w:rPr>
              <w:t>6.7</w:t>
            </w:r>
            <w:r>
              <w:rPr>
                <w:rFonts w:eastAsia="MS Mincho"/>
              </w:rPr>
              <w:t>%)</w:t>
            </w:r>
          </w:p>
        </w:tc>
        <w:tc>
          <w:tcPr>
            <w:tcW w:w="1061" w:type="pct"/>
            <w:tcMar>
              <w:left w:w="28" w:type="dxa"/>
              <w:right w:w="28" w:type="dxa"/>
            </w:tcMar>
            <w:vAlign w:val="center"/>
          </w:tcPr>
          <w:p w:rsidR="00FF3472" w:rsidRPr="002C230D" w:rsidRDefault="00E376E2" w:rsidP="00EA69BE">
            <w:pPr>
              <w:pStyle w:val="Tablewriting"/>
              <w:jc w:val="center"/>
              <w:rPr>
                <w:rFonts w:eastAsia="MS Mincho"/>
              </w:rPr>
            </w:pPr>
            <w:r>
              <w:rPr>
                <w:rFonts w:eastAsia="MS Mincho"/>
              </w:rPr>
              <w:t>1.67</w:t>
            </w:r>
          </w:p>
          <w:p w:rsidR="00FF3472" w:rsidRPr="00D468CF" w:rsidRDefault="00FF3472" w:rsidP="00EA69BE">
            <w:pPr>
              <w:pStyle w:val="Tablewriting"/>
              <w:jc w:val="center"/>
              <w:rPr>
                <w:rFonts w:eastAsia="MS Mincho"/>
                <w:b/>
                <w:bCs/>
              </w:rPr>
            </w:pPr>
            <w:r w:rsidRPr="002C230D">
              <w:rPr>
                <w:rFonts w:eastAsia="MS Mincho"/>
              </w:rPr>
              <w:t>(0.</w:t>
            </w:r>
            <w:r w:rsidR="00E376E2">
              <w:rPr>
                <w:rFonts w:eastAsia="MS Mincho"/>
              </w:rPr>
              <w:t>95</w:t>
            </w:r>
            <w:r w:rsidRPr="002C230D">
              <w:rPr>
                <w:rFonts w:eastAsia="MS Mincho"/>
              </w:rPr>
              <w:t xml:space="preserve">, </w:t>
            </w:r>
            <w:r w:rsidR="00E376E2">
              <w:rPr>
                <w:rFonts w:eastAsia="MS Mincho"/>
              </w:rPr>
              <w:t>2.92</w:t>
            </w:r>
            <w:r w:rsidRPr="002C230D">
              <w:rPr>
                <w:rFonts w:eastAsia="MS Mincho"/>
              </w:rPr>
              <w:t>)</w:t>
            </w:r>
          </w:p>
        </w:tc>
      </w:tr>
    </w:tbl>
    <w:p w:rsidR="00C252D1" w:rsidRDefault="00C252D1" w:rsidP="004B53F8">
      <w:pPr>
        <w:pStyle w:val="TableFooter"/>
      </w:pPr>
      <w:r>
        <w:t>Source: Howes et al. (2020)</w:t>
      </w:r>
    </w:p>
    <w:p w:rsidR="00C252D1" w:rsidRDefault="00C252D1" w:rsidP="004B53F8">
      <w:pPr>
        <w:pStyle w:val="TableFooter"/>
      </w:pPr>
      <w:r>
        <w:t>Abbreviations: CI = confidence interval; RCT = randomised controlled trial; RR = risk ratio</w:t>
      </w:r>
    </w:p>
    <w:p w:rsidR="00C252D1" w:rsidRPr="00EA69BE" w:rsidRDefault="00C252D1" w:rsidP="004B53F8">
      <w:pPr>
        <w:pStyle w:val="TableFooter"/>
      </w:pPr>
      <w:r w:rsidRPr="00FD4061">
        <w:lastRenderedPageBreak/>
        <w:t>Note</w:t>
      </w:r>
      <w:r>
        <w:t>s</w:t>
      </w:r>
      <w:r w:rsidRPr="00FD4061">
        <w:t>: Bold indicates statistically significant difference.</w:t>
      </w:r>
      <w:r>
        <w:t xml:space="preserve"> </w:t>
      </w:r>
      <w:r w:rsidRPr="00FF2899">
        <w:t xml:space="preserve">See </w:t>
      </w:r>
      <w:r w:rsidRPr="00EA69BE">
        <w:t xml:space="preserve">Appendix </w:t>
      </w:r>
      <w:r w:rsidR="003C4A1C">
        <w:t xml:space="preserve">Figure </w:t>
      </w:r>
      <w:r w:rsidR="003C4A1C">
        <w:rPr>
          <w:noProof/>
        </w:rPr>
        <w:t>83</w:t>
      </w:r>
      <w:r w:rsidR="00776305" w:rsidRPr="00EA69BE">
        <w:t xml:space="preserve"> </w:t>
      </w:r>
      <w:r w:rsidR="00B05DCD" w:rsidRPr="00EA69BE">
        <w:t xml:space="preserve">to </w:t>
      </w:r>
      <w:r w:rsidR="003C4A1C">
        <w:t xml:space="preserve">Figure </w:t>
      </w:r>
      <w:r w:rsidR="003C4A1C">
        <w:rPr>
          <w:noProof/>
        </w:rPr>
        <w:t>85</w:t>
      </w:r>
      <w:r w:rsidRPr="00EA69BE">
        <w:t xml:space="preserve"> for forest plots of the respective outcomes which included the results of individual studies.</w:t>
      </w:r>
    </w:p>
    <w:p w:rsidR="00C252D1" w:rsidRDefault="00C252D1" w:rsidP="004B53F8">
      <w:pPr>
        <w:pStyle w:val="TableFooter"/>
      </w:pPr>
      <w:r w:rsidRPr="00EA69BE">
        <w:t xml:space="preserve">1 Calculated </w:t>
      </w:r>
      <w:r w:rsidR="00A25438" w:rsidRPr="00EA69BE">
        <w:t>by Cochrane Review authors</w:t>
      </w:r>
      <w:r w:rsidRPr="00EA69BE">
        <w:t xml:space="preserve"> using a fixed-effect model</w:t>
      </w:r>
      <w:r w:rsidR="00C410DE">
        <w:t>.</w:t>
      </w:r>
    </w:p>
    <w:p w:rsidR="00FF3472" w:rsidRPr="0041485A" w:rsidRDefault="00397A62" w:rsidP="00D02475">
      <w:pPr>
        <w:pStyle w:val="Heading4"/>
        <w:numPr>
          <w:ilvl w:val="0"/>
          <w:numId w:val="0"/>
        </w:numPr>
      </w:pPr>
      <w:r>
        <w:t>Treatment-experienced population</w:t>
      </w:r>
    </w:p>
    <w:p w:rsidR="00397A62" w:rsidRPr="00397A62" w:rsidRDefault="00B63241" w:rsidP="00D02475">
      <w:pPr>
        <w:pStyle w:val="Heading5"/>
        <w:numPr>
          <w:ilvl w:val="0"/>
          <w:numId w:val="0"/>
        </w:numPr>
      </w:pPr>
      <w:r>
        <w:t>Combination bupropion</w:t>
      </w:r>
    </w:p>
    <w:p w:rsidR="00B63241" w:rsidRPr="00B63241" w:rsidRDefault="00B63241" w:rsidP="00B63241">
      <w:r w:rsidRPr="00B63241">
        <w:t xml:space="preserve">Bupropion in combination with NRT </w:t>
      </w:r>
      <w:r>
        <w:t xml:space="preserve">in </w:t>
      </w:r>
      <w:r w:rsidR="00E94EAF">
        <w:t xml:space="preserve">the </w:t>
      </w:r>
      <w:r>
        <w:t xml:space="preserve">treatment-experienced population </w:t>
      </w:r>
      <w:r w:rsidRPr="00B63241">
        <w:t>ha</w:t>
      </w:r>
      <w:r w:rsidR="00E94EAF">
        <w:t>s</w:t>
      </w:r>
      <w:r w:rsidRPr="00B63241">
        <w:t xml:space="preserve"> not been previously considered by the PBAC</w:t>
      </w:r>
      <w:r w:rsidR="00D7344B">
        <w:t>.</w:t>
      </w:r>
    </w:p>
    <w:p w:rsidR="00D7344B" w:rsidRDefault="00D7344B" w:rsidP="00B63241">
      <w:pPr>
        <w:rPr>
          <w:b/>
          <w:bCs/>
        </w:rPr>
      </w:pPr>
      <w:r w:rsidRPr="00944A49">
        <w:rPr>
          <w:b/>
          <w:bCs/>
        </w:rPr>
        <w:t xml:space="preserve">Bupropion </w:t>
      </w:r>
      <w:r>
        <w:rPr>
          <w:b/>
          <w:bCs/>
        </w:rPr>
        <w:t xml:space="preserve">in </w:t>
      </w:r>
      <w:r w:rsidRPr="00944A49">
        <w:rPr>
          <w:b/>
          <w:bCs/>
        </w:rPr>
        <w:t xml:space="preserve">combination </w:t>
      </w:r>
      <w:r>
        <w:rPr>
          <w:b/>
          <w:bCs/>
        </w:rPr>
        <w:t xml:space="preserve">with </w:t>
      </w:r>
      <w:r w:rsidRPr="00944A49">
        <w:rPr>
          <w:b/>
          <w:bCs/>
        </w:rPr>
        <w:t>NRT</w:t>
      </w:r>
      <w:r>
        <w:rPr>
          <w:b/>
          <w:bCs/>
        </w:rPr>
        <w:t xml:space="preserve"> versus placebo</w:t>
      </w:r>
      <w:r w:rsidR="00F71ED9">
        <w:rPr>
          <w:b/>
          <w:bCs/>
        </w:rPr>
        <w:t xml:space="preserve"> – abstainers (relapse prevention)</w:t>
      </w:r>
    </w:p>
    <w:p w:rsidR="00D7344B" w:rsidRDefault="00D7344B" w:rsidP="00B63241">
      <w:r w:rsidRPr="00D7344B">
        <w:t xml:space="preserve">A summary of the citation details for the studies comparing bupropion plus NRT with </w:t>
      </w:r>
      <w:r w:rsidR="00057D9C">
        <w:t>placebo</w:t>
      </w:r>
      <w:r w:rsidRPr="00D7344B">
        <w:t xml:space="preserve"> is presented in </w:t>
      </w:r>
      <w:r w:rsidR="003C4A1C">
        <w:t xml:space="preserve">Table </w:t>
      </w:r>
      <w:r w:rsidR="003C4A1C">
        <w:rPr>
          <w:noProof/>
        </w:rPr>
        <w:t>78</w:t>
      </w:r>
      <w:r w:rsidRPr="00D7344B">
        <w:t xml:space="preserve">. A recently conducted Cochrane </w:t>
      </w:r>
      <w:r w:rsidR="000E78F8" w:rsidRPr="00D7344B">
        <w:t>R</w:t>
      </w:r>
      <w:r w:rsidRPr="00D7344B">
        <w:t xml:space="preserve">eview by </w:t>
      </w:r>
      <w:r w:rsidR="00057D9C">
        <w:t>Livingstone-Banks</w:t>
      </w:r>
      <w:r w:rsidRPr="00D7344B">
        <w:t xml:space="preserve"> et al. (20</w:t>
      </w:r>
      <w:r w:rsidR="00057D9C">
        <w:t>19</w:t>
      </w:r>
      <w:r w:rsidRPr="00D7344B">
        <w:t xml:space="preserve">) was identified in the systematic literature review that compared bupropion plus NRT with </w:t>
      </w:r>
      <w:r w:rsidR="00057D9C">
        <w:t>placebo</w:t>
      </w:r>
      <w:r w:rsidRPr="00D7344B">
        <w:t xml:space="preserve"> </w:t>
      </w:r>
      <w:r w:rsidR="00F71ED9">
        <w:t>for relapse prevention</w:t>
      </w:r>
      <w:r w:rsidRPr="00D7344B">
        <w:t xml:space="preserve"> and was included in this report.</w:t>
      </w:r>
      <w:r w:rsidR="002627F0" w:rsidRPr="002627F0">
        <w:t xml:space="preserve"> No new studies comparing bupropion plus NRT with placebo </w:t>
      </w:r>
      <w:r w:rsidR="000E78F8">
        <w:t>in abstainers</w:t>
      </w:r>
      <w:r w:rsidR="002627F0" w:rsidRPr="002627F0">
        <w:t xml:space="preserve"> for relapse prevention were identified in the supplemental literature search</w:t>
      </w:r>
      <w:r w:rsidR="002627F0">
        <w:t>.</w:t>
      </w:r>
    </w:p>
    <w:p w:rsidR="00057D9C" w:rsidRDefault="00057D9C" w:rsidP="00057D9C">
      <w:pPr>
        <w:pStyle w:val="Caption"/>
        <w:keepNext/>
      </w:pPr>
      <w:bookmarkStart w:id="171" w:name="_Ref58493034"/>
      <w:r>
        <w:t xml:space="preserve">Table </w:t>
      </w:r>
      <w:r w:rsidR="003C4A1C">
        <w:rPr>
          <w:noProof/>
        </w:rPr>
        <w:t>78</w:t>
      </w:r>
      <w:bookmarkEnd w:id="171"/>
      <w:r>
        <w:t xml:space="preserve">: </w:t>
      </w:r>
      <w:r w:rsidRPr="00B22092">
        <w:t xml:space="preserve">List of studies comparing bupropion plus NRT with </w:t>
      </w:r>
      <w:r>
        <w:t>placebo</w:t>
      </w:r>
      <w:r w:rsidR="00F71ED9">
        <w:t xml:space="preserve"> 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038"/>
        <w:gridCol w:w="7978"/>
      </w:tblGrid>
      <w:tr w:rsidR="00D7344B" w:rsidRPr="00061F78" w:rsidTr="00057D9C">
        <w:trPr>
          <w:cantSplit/>
          <w:trHeight w:val="329"/>
          <w:tblHeader/>
        </w:trPr>
        <w:tc>
          <w:tcPr>
            <w:tcW w:w="566" w:type="pct"/>
            <w:shd w:val="clear" w:color="auto" w:fill="BFBFBF" w:themeFill="background1" w:themeFillShade="BF"/>
            <w:tcMar>
              <w:left w:w="28" w:type="dxa"/>
              <w:right w:w="28" w:type="dxa"/>
            </w:tcMar>
          </w:tcPr>
          <w:p w:rsidR="00D7344B" w:rsidRPr="00061F78" w:rsidRDefault="00D7344B" w:rsidP="00190762">
            <w:pPr>
              <w:pStyle w:val="Tableheading"/>
              <w:keepNext/>
              <w:rPr>
                <w:rFonts w:eastAsia="MS Mincho"/>
              </w:rPr>
            </w:pPr>
            <w:r>
              <w:rPr>
                <w:rFonts w:eastAsia="MS Mincho"/>
              </w:rPr>
              <w:t>Study</w:t>
            </w:r>
          </w:p>
        </w:tc>
        <w:tc>
          <w:tcPr>
            <w:tcW w:w="4434" w:type="pct"/>
            <w:shd w:val="clear" w:color="auto" w:fill="BFBFBF" w:themeFill="background1" w:themeFillShade="BF"/>
          </w:tcPr>
          <w:p w:rsidR="00D7344B" w:rsidRDefault="00D7344B" w:rsidP="00190762">
            <w:pPr>
              <w:pStyle w:val="Tableheading"/>
              <w:keepNext/>
              <w:jc w:val="center"/>
              <w:rPr>
                <w:rFonts w:eastAsia="MS Mincho"/>
              </w:rPr>
            </w:pPr>
            <w:r>
              <w:rPr>
                <w:rFonts w:eastAsia="MS Mincho"/>
              </w:rPr>
              <w:t>Citation</w:t>
            </w:r>
          </w:p>
        </w:tc>
      </w:tr>
      <w:tr w:rsidR="00D7344B" w:rsidRPr="00061F78" w:rsidTr="00057D9C">
        <w:trPr>
          <w:cantSplit/>
          <w:trHeight w:val="164"/>
        </w:trPr>
        <w:tc>
          <w:tcPr>
            <w:tcW w:w="566" w:type="pct"/>
            <w:tcMar>
              <w:left w:w="28" w:type="dxa"/>
              <w:right w:w="28" w:type="dxa"/>
            </w:tcMar>
          </w:tcPr>
          <w:p w:rsidR="00D7344B" w:rsidRDefault="00057D9C" w:rsidP="00190762">
            <w:pPr>
              <w:pStyle w:val="Tablewriting"/>
              <w:keepNext/>
              <w:rPr>
                <w:rFonts w:eastAsia="MS Mincho"/>
              </w:rPr>
            </w:pPr>
            <w:r>
              <w:rPr>
                <w:rFonts w:eastAsia="MS Mincho"/>
              </w:rPr>
              <w:t>Livingstone-Banks (2019)</w:t>
            </w:r>
            <w:r w:rsidR="0039468B" w:rsidRPr="00693911">
              <w:rPr>
                <w:rFonts w:eastAsia="MS Mincho"/>
                <w:noProof/>
                <w:vertAlign w:val="superscript"/>
              </w:rPr>
              <w:t>40</w:t>
            </w:r>
            <w:r w:rsidRPr="00D07303">
              <w:rPr>
                <w:rFonts w:eastAsia="MS Mincho"/>
                <w:vertAlign w:val="superscript"/>
              </w:rPr>
              <w:t xml:space="preserve"> </w:t>
            </w:r>
          </w:p>
        </w:tc>
        <w:tc>
          <w:tcPr>
            <w:tcW w:w="4434" w:type="pct"/>
          </w:tcPr>
          <w:p w:rsidR="00D7344B" w:rsidRPr="008E38BA" w:rsidRDefault="00057D9C" w:rsidP="00190762">
            <w:pPr>
              <w:pStyle w:val="Tablewriting"/>
              <w:keepNext/>
              <w:rPr>
                <w:rFonts w:eastAsia="MS Mincho"/>
              </w:rPr>
            </w:pPr>
            <w:r w:rsidRPr="00CE2EF9">
              <w:rPr>
                <w:rFonts w:eastAsia="MS Mincho"/>
              </w:rPr>
              <w:t>Livingstone‐Banks  J, Norris  E, Hartmann‐Boyce  J, West  R, Jarvis  M, Hajek  P. Relapse prevention interventions for smoking cessation. Cochrane Database of Systematic Reviews 2019, Issue 2. Art. No.: CD003999.</w:t>
            </w:r>
          </w:p>
        </w:tc>
      </w:tr>
    </w:tbl>
    <w:p w:rsidR="00D7344B" w:rsidRPr="00B63241" w:rsidRDefault="00D7344B" w:rsidP="00B63241"/>
    <w:p w:rsidR="00057D9C" w:rsidRPr="00B63241" w:rsidRDefault="00057D9C" w:rsidP="00B63241">
      <w:r w:rsidRPr="00057D9C">
        <w:t xml:space="preserve">A summary of the characteristics of the studies comparing bupropion plus NRT with </w:t>
      </w:r>
      <w:r w:rsidR="00810286">
        <w:t>placebo</w:t>
      </w:r>
      <w:r w:rsidRPr="00057D9C">
        <w:t xml:space="preserve"> is presented in </w:t>
      </w:r>
      <w:r w:rsidR="003C4A1C">
        <w:t xml:space="preserve">Table </w:t>
      </w:r>
      <w:r w:rsidR="003C4A1C">
        <w:rPr>
          <w:noProof/>
        </w:rPr>
        <w:t>79</w:t>
      </w:r>
      <w:r w:rsidRPr="00057D9C">
        <w:t xml:space="preserve">. A total of </w:t>
      </w:r>
      <w:r w:rsidR="00070850">
        <w:t>two</w:t>
      </w:r>
      <w:r w:rsidRPr="00057D9C">
        <w:t xml:space="preserve"> RCTs comparing bupropion plus NRT with </w:t>
      </w:r>
      <w:r w:rsidR="00070850">
        <w:t>placebo</w:t>
      </w:r>
      <w:r w:rsidRPr="00057D9C">
        <w:t xml:space="preserve"> were identified by </w:t>
      </w:r>
      <w:r w:rsidR="00070850">
        <w:t>Livingstone-Banks</w:t>
      </w:r>
      <w:r w:rsidRPr="00057D9C">
        <w:t xml:space="preserve"> et al. (20</w:t>
      </w:r>
      <w:r w:rsidR="00070850">
        <w:t>19</w:t>
      </w:r>
      <w:r w:rsidRPr="00057D9C">
        <w:t xml:space="preserve">). The characteristics of the individual studies are presented in </w:t>
      </w:r>
      <w:r w:rsidRPr="00D13E5F">
        <w:t>Appendix</w:t>
      </w:r>
      <w:r w:rsidR="00F37146">
        <w:t xml:space="preserve"> </w:t>
      </w:r>
      <w:r w:rsidR="003C4A1C">
        <w:t xml:space="preserve">Table </w:t>
      </w:r>
      <w:r w:rsidR="003C4A1C">
        <w:rPr>
          <w:noProof/>
        </w:rPr>
        <w:t>160</w:t>
      </w:r>
      <w:r w:rsidRPr="00057D9C">
        <w:t>.</w:t>
      </w:r>
      <w:r w:rsidR="001A09E5">
        <w:t xml:space="preserve"> </w:t>
      </w:r>
      <w:r w:rsidR="009C23ED">
        <w:t xml:space="preserve">To be eligible </w:t>
      </w:r>
      <w:r w:rsidR="00CD70BA">
        <w:t>for additional</w:t>
      </w:r>
      <w:r w:rsidR="0069260C">
        <w:t xml:space="preserve"> </w:t>
      </w:r>
      <w:r w:rsidR="00CD70BA">
        <w:t>treatment</w:t>
      </w:r>
      <w:r w:rsidR="00867714">
        <w:t xml:space="preserve"> for relapse prevention</w:t>
      </w:r>
      <w:r w:rsidR="00476B6E">
        <w:t xml:space="preserve"> (i.e. study phase comparing </w:t>
      </w:r>
      <w:r w:rsidR="00FE7F9D">
        <w:t>bupropion plus NRT with placebo)</w:t>
      </w:r>
      <w:r w:rsidR="001A09E5">
        <w:t xml:space="preserve">, patients were required to be abstinent </w:t>
      </w:r>
      <w:r w:rsidR="00EB1005">
        <w:t>from smoking</w:t>
      </w:r>
      <w:r w:rsidR="0096464C">
        <w:t xml:space="preserve"> </w:t>
      </w:r>
      <w:r w:rsidR="00EB1005">
        <w:t>af</w:t>
      </w:r>
      <w:r w:rsidR="00376DAA">
        <w:t xml:space="preserve">ter receiving </w:t>
      </w:r>
      <w:r w:rsidR="001F3B2D">
        <w:t>initial treatment with bupropion plus NRT.</w:t>
      </w:r>
    </w:p>
    <w:p w:rsidR="009F15FF" w:rsidRDefault="009F15FF" w:rsidP="009F15FF">
      <w:pPr>
        <w:pStyle w:val="Caption"/>
        <w:keepNext/>
      </w:pPr>
      <w:bookmarkStart w:id="172" w:name="_Ref58493429"/>
      <w:r>
        <w:t xml:space="preserve">Table </w:t>
      </w:r>
      <w:r w:rsidR="003C4A1C">
        <w:rPr>
          <w:noProof/>
        </w:rPr>
        <w:t>79</w:t>
      </w:r>
      <w:bookmarkEnd w:id="172"/>
      <w:r>
        <w:t xml:space="preserve">: </w:t>
      </w:r>
      <w:r w:rsidRPr="00955526">
        <w:t xml:space="preserve">Characteristics of the studies comparing </w:t>
      </w:r>
      <w:r>
        <w:t xml:space="preserve">bupropion plus </w:t>
      </w:r>
      <w:r w:rsidRPr="00955526">
        <w:t>NRT with placebo 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038"/>
        <w:gridCol w:w="988"/>
        <w:gridCol w:w="912"/>
        <w:gridCol w:w="2568"/>
        <w:gridCol w:w="1644"/>
        <w:gridCol w:w="1866"/>
      </w:tblGrid>
      <w:tr w:rsidR="00F71ED9" w:rsidRPr="00061F78" w:rsidTr="00025135">
        <w:trPr>
          <w:trHeight w:val="299"/>
          <w:tblHeader/>
        </w:trPr>
        <w:tc>
          <w:tcPr>
            <w:tcW w:w="572" w:type="pct"/>
            <w:shd w:val="clear" w:color="auto" w:fill="BFBFBF" w:themeFill="background1" w:themeFillShade="BF"/>
            <w:tcMar>
              <w:left w:w="28" w:type="dxa"/>
              <w:right w:w="28" w:type="dxa"/>
            </w:tcMar>
          </w:tcPr>
          <w:p w:rsidR="00F71ED9" w:rsidRPr="00061F78" w:rsidRDefault="00F71ED9" w:rsidP="00D13E5F">
            <w:pPr>
              <w:pStyle w:val="Tableheading"/>
              <w:rPr>
                <w:rFonts w:eastAsia="MS Mincho"/>
              </w:rPr>
            </w:pPr>
            <w:r>
              <w:rPr>
                <w:rFonts w:eastAsia="MS Mincho"/>
              </w:rPr>
              <w:t>Study</w:t>
            </w:r>
          </w:p>
        </w:tc>
        <w:tc>
          <w:tcPr>
            <w:tcW w:w="544" w:type="pct"/>
            <w:shd w:val="clear" w:color="auto" w:fill="BFBFBF" w:themeFill="background1" w:themeFillShade="BF"/>
          </w:tcPr>
          <w:p w:rsidR="00F71ED9" w:rsidRDefault="00F71ED9" w:rsidP="00D13E5F">
            <w:pPr>
              <w:pStyle w:val="Tableheading"/>
              <w:jc w:val="center"/>
              <w:rPr>
                <w:rFonts w:eastAsia="MS Mincho"/>
              </w:rPr>
            </w:pPr>
            <w:r>
              <w:rPr>
                <w:rFonts w:eastAsia="MS Mincho"/>
              </w:rPr>
              <w:t>Study type</w:t>
            </w:r>
          </w:p>
        </w:tc>
        <w:tc>
          <w:tcPr>
            <w:tcW w:w="405" w:type="pct"/>
            <w:shd w:val="clear" w:color="auto" w:fill="BFBFBF" w:themeFill="background1" w:themeFillShade="BF"/>
            <w:tcMar>
              <w:left w:w="28" w:type="dxa"/>
              <w:right w:w="28" w:type="dxa"/>
            </w:tcMar>
          </w:tcPr>
          <w:p w:rsidR="00F71ED9" w:rsidRPr="00AE21E9" w:rsidRDefault="00F71ED9" w:rsidP="00D13E5F">
            <w:pPr>
              <w:pStyle w:val="Tableheading"/>
              <w:jc w:val="center"/>
              <w:rPr>
                <w:rFonts w:eastAsia="MS Mincho"/>
                <w:vertAlign w:val="superscript"/>
              </w:rPr>
            </w:pPr>
            <w:r>
              <w:rPr>
                <w:rFonts w:eastAsia="MS Mincho"/>
              </w:rPr>
              <w:t>N</w:t>
            </w:r>
            <w:r>
              <w:rPr>
                <w:rFonts w:eastAsia="MS Mincho"/>
                <w:vertAlign w:val="superscript"/>
              </w:rPr>
              <w:t>1</w:t>
            </w:r>
          </w:p>
        </w:tc>
        <w:tc>
          <w:tcPr>
            <w:tcW w:w="1460" w:type="pct"/>
            <w:shd w:val="clear" w:color="auto" w:fill="BFBFBF" w:themeFill="background1" w:themeFillShade="BF"/>
            <w:tcMar>
              <w:left w:w="28" w:type="dxa"/>
              <w:right w:w="28" w:type="dxa"/>
            </w:tcMar>
          </w:tcPr>
          <w:p w:rsidR="00F71ED9" w:rsidRPr="00061F78" w:rsidRDefault="00F71ED9" w:rsidP="00D13E5F">
            <w:pPr>
              <w:pStyle w:val="Tableheading"/>
              <w:jc w:val="center"/>
              <w:rPr>
                <w:rFonts w:eastAsia="MS Mincho"/>
              </w:rPr>
            </w:pPr>
            <w:r w:rsidRPr="00061F78">
              <w:rPr>
                <w:rFonts w:eastAsia="MS Mincho"/>
              </w:rPr>
              <w:t>P</w:t>
            </w:r>
            <w:r>
              <w:rPr>
                <w:rFonts w:eastAsia="MS Mincho"/>
              </w:rPr>
              <w:t>opulation</w:t>
            </w:r>
          </w:p>
        </w:tc>
        <w:tc>
          <w:tcPr>
            <w:tcW w:w="948" w:type="pct"/>
            <w:shd w:val="clear" w:color="auto" w:fill="BFBFBF" w:themeFill="background1" w:themeFillShade="BF"/>
          </w:tcPr>
          <w:p w:rsidR="00F71ED9" w:rsidRDefault="00F71ED9" w:rsidP="00D13E5F">
            <w:pPr>
              <w:pStyle w:val="Tableheading"/>
              <w:jc w:val="center"/>
              <w:rPr>
                <w:rFonts w:eastAsia="MS Mincho"/>
              </w:rPr>
            </w:pPr>
            <w:r>
              <w:rPr>
                <w:rFonts w:eastAsia="MS Mincho"/>
              </w:rPr>
              <w:t>Intervention and comparator</w:t>
            </w:r>
          </w:p>
        </w:tc>
        <w:tc>
          <w:tcPr>
            <w:tcW w:w="1071" w:type="pct"/>
            <w:shd w:val="clear" w:color="auto" w:fill="BFBFBF" w:themeFill="background1" w:themeFillShade="BF"/>
            <w:tcMar>
              <w:left w:w="28" w:type="dxa"/>
              <w:right w:w="28" w:type="dxa"/>
            </w:tcMar>
          </w:tcPr>
          <w:p w:rsidR="00F71ED9" w:rsidRPr="00061F78" w:rsidRDefault="00F71ED9" w:rsidP="00D13E5F">
            <w:pPr>
              <w:pStyle w:val="Tableheading"/>
              <w:jc w:val="center"/>
              <w:rPr>
                <w:rFonts w:eastAsia="MS Mincho"/>
              </w:rPr>
            </w:pPr>
            <w:r>
              <w:rPr>
                <w:rFonts w:eastAsia="MS Mincho"/>
              </w:rPr>
              <w:t>Outcomes</w:t>
            </w:r>
          </w:p>
        </w:tc>
      </w:tr>
      <w:tr w:rsidR="00F71ED9" w:rsidRPr="00061F78" w:rsidTr="00025135">
        <w:trPr>
          <w:trHeight w:val="149"/>
        </w:trPr>
        <w:tc>
          <w:tcPr>
            <w:tcW w:w="572" w:type="pct"/>
            <w:tcMar>
              <w:left w:w="28" w:type="dxa"/>
              <w:right w:w="28" w:type="dxa"/>
            </w:tcMar>
          </w:tcPr>
          <w:p w:rsidR="00F71ED9" w:rsidRPr="004F1864" w:rsidRDefault="00F71ED9" w:rsidP="00D13E5F">
            <w:pPr>
              <w:pStyle w:val="Tablewriting"/>
              <w:rPr>
                <w:rFonts w:eastAsia="MS Mincho"/>
              </w:rPr>
            </w:pPr>
            <w:r>
              <w:rPr>
                <w:rFonts w:eastAsia="MS Mincho"/>
              </w:rPr>
              <w:t>Livingstone-Banks (2019)</w:t>
            </w:r>
            <w:r w:rsidRPr="004F1864">
              <w:rPr>
                <w:rFonts w:eastAsia="MS Mincho"/>
              </w:rPr>
              <w:t xml:space="preserve"> </w:t>
            </w:r>
          </w:p>
        </w:tc>
        <w:tc>
          <w:tcPr>
            <w:tcW w:w="544" w:type="pct"/>
          </w:tcPr>
          <w:p w:rsidR="00F71ED9" w:rsidRDefault="00F71ED9" w:rsidP="00D13E5F">
            <w:pPr>
              <w:pStyle w:val="Tablewriting"/>
              <w:rPr>
                <w:rFonts w:eastAsia="MS Mincho"/>
              </w:rPr>
            </w:pPr>
            <w:r>
              <w:rPr>
                <w:rFonts w:eastAsia="MS Mincho"/>
              </w:rPr>
              <w:t xml:space="preserve">Cochrane </w:t>
            </w:r>
            <w:r w:rsidR="000E78F8">
              <w:rPr>
                <w:rFonts w:eastAsia="MS Mincho"/>
              </w:rPr>
              <w:t>R</w:t>
            </w:r>
            <w:r>
              <w:rPr>
                <w:rFonts w:eastAsia="MS Mincho"/>
              </w:rPr>
              <w:t>eview    (2 RCTs</w:t>
            </w:r>
            <w:r w:rsidR="003363A6">
              <w:rPr>
                <w:rFonts w:eastAsia="MS Mincho"/>
                <w:vertAlign w:val="superscript"/>
              </w:rPr>
              <w:t>2</w:t>
            </w:r>
            <w:r>
              <w:rPr>
                <w:rFonts w:eastAsia="MS Mincho"/>
              </w:rPr>
              <w:t>)</w:t>
            </w:r>
          </w:p>
          <w:p w:rsidR="00F71ED9" w:rsidRDefault="00F71ED9" w:rsidP="00D13E5F">
            <w:pPr>
              <w:pStyle w:val="Tablewriting"/>
              <w:rPr>
                <w:rFonts w:eastAsia="MS Mincho"/>
              </w:rPr>
            </w:pPr>
          </w:p>
        </w:tc>
        <w:tc>
          <w:tcPr>
            <w:tcW w:w="405" w:type="pct"/>
            <w:tcMar>
              <w:left w:w="28" w:type="dxa"/>
              <w:right w:w="28" w:type="dxa"/>
            </w:tcMar>
          </w:tcPr>
          <w:p w:rsidR="00F71ED9" w:rsidRDefault="00F71ED9" w:rsidP="00D13E5F">
            <w:pPr>
              <w:pStyle w:val="Tablewriting"/>
              <w:rPr>
                <w:rFonts w:eastAsia="MS Mincho"/>
              </w:rPr>
            </w:pPr>
            <w:r>
              <w:rPr>
                <w:rFonts w:eastAsia="MS Mincho"/>
              </w:rPr>
              <w:t>N=</w:t>
            </w:r>
            <w:r w:rsidR="00710AFF">
              <w:rPr>
                <w:rFonts w:eastAsia="MS Mincho"/>
              </w:rPr>
              <w:t>24</w:t>
            </w:r>
            <w:r>
              <w:rPr>
                <w:rFonts w:eastAsia="MS Mincho"/>
              </w:rPr>
              <w:t>3</w:t>
            </w:r>
          </w:p>
          <w:p w:rsidR="00F71ED9" w:rsidRDefault="00710AFF" w:rsidP="00D13E5F">
            <w:pPr>
              <w:pStyle w:val="Tablewriting"/>
              <w:rPr>
                <w:rFonts w:eastAsia="MS Mincho"/>
              </w:rPr>
            </w:pPr>
            <w:r>
              <w:rPr>
                <w:rFonts w:eastAsia="MS Mincho"/>
              </w:rPr>
              <w:t xml:space="preserve">Bupropion plus </w:t>
            </w:r>
            <w:r w:rsidR="00F71ED9">
              <w:rPr>
                <w:rFonts w:eastAsia="MS Mincho"/>
              </w:rPr>
              <w:t>NRT (n=</w:t>
            </w:r>
            <w:r>
              <w:rPr>
                <w:rFonts w:eastAsia="MS Mincho"/>
              </w:rPr>
              <w:t>122</w:t>
            </w:r>
            <w:r w:rsidR="00F71ED9">
              <w:rPr>
                <w:rFonts w:eastAsia="MS Mincho"/>
              </w:rPr>
              <w:t>),</w:t>
            </w:r>
          </w:p>
          <w:p w:rsidR="00F71ED9" w:rsidRPr="00061F78" w:rsidRDefault="00F71ED9" w:rsidP="00D13E5F">
            <w:pPr>
              <w:pStyle w:val="Tablewriting"/>
              <w:rPr>
                <w:rFonts w:eastAsia="MS Mincho"/>
              </w:rPr>
            </w:pPr>
            <w:r>
              <w:rPr>
                <w:rFonts w:eastAsia="MS Mincho"/>
              </w:rPr>
              <w:t>Placebo (n=</w:t>
            </w:r>
            <w:r w:rsidR="00710AFF">
              <w:rPr>
                <w:rFonts w:eastAsia="MS Mincho"/>
              </w:rPr>
              <w:t>121</w:t>
            </w:r>
            <w:r>
              <w:rPr>
                <w:rFonts w:eastAsia="MS Mincho"/>
              </w:rPr>
              <w:t>)</w:t>
            </w:r>
          </w:p>
        </w:tc>
        <w:tc>
          <w:tcPr>
            <w:tcW w:w="1460" w:type="pct"/>
            <w:tcMar>
              <w:left w:w="28" w:type="dxa"/>
              <w:right w:w="28" w:type="dxa"/>
            </w:tcMar>
          </w:tcPr>
          <w:p w:rsidR="00F71ED9" w:rsidRDefault="00F71ED9" w:rsidP="00D13E5F">
            <w:pPr>
              <w:pStyle w:val="Tablewriting"/>
              <w:rPr>
                <w:rFonts w:eastAsia="MS Mincho"/>
              </w:rPr>
            </w:pPr>
            <w:r w:rsidRPr="002C19B4">
              <w:rPr>
                <w:rFonts w:eastAsia="MS Mincho"/>
                <w:u w:val="single"/>
              </w:rPr>
              <w:t>Inclusion</w:t>
            </w:r>
            <w:r>
              <w:rPr>
                <w:rFonts w:eastAsia="MS Mincho"/>
              </w:rPr>
              <w:t xml:space="preserve">: </w:t>
            </w:r>
            <w:r w:rsidRPr="0015031A">
              <w:rPr>
                <w:rFonts w:eastAsia="MS Mincho"/>
              </w:rPr>
              <w:t>smokers who quit on their own, were undergoing enforced abstinence, or were participating in treatment programmes</w:t>
            </w:r>
            <w:r>
              <w:rPr>
                <w:rFonts w:eastAsia="MS Mincho"/>
              </w:rPr>
              <w:t xml:space="preserve"> to assist initial cessation.</w:t>
            </w:r>
          </w:p>
          <w:p w:rsidR="00F71ED9" w:rsidRPr="00061F78" w:rsidRDefault="00F71ED9" w:rsidP="00D13E5F">
            <w:pPr>
              <w:pStyle w:val="Tablewriting"/>
              <w:rPr>
                <w:rFonts w:eastAsia="MS Mincho"/>
              </w:rPr>
            </w:pPr>
            <w:r w:rsidRPr="002C19B4">
              <w:rPr>
                <w:rFonts w:eastAsia="MS Mincho"/>
                <w:u w:val="single"/>
              </w:rPr>
              <w:t>Exclusion</w:t>
            </w:r>
            <w:r>
              <w:rPr>
                <w:rFonts w:eastAsia="MS Mincho"/>
              </w:rPr>
              <w:t>: NR</w:t>
            </w:r>
            <w:r w:rsidR="00C410DE">
              <w:rPr>
                <w:rFonts w:eastAsia="MS Mincho"/>
              </w:rPr>
              <w:t>.</w:t>
            </w:r>
          </w:p>
        </w:tc>
        <w:tc>
          <w:tcPr>
            <w:tcW w:w="948" w:type="pct"/>
          </w:tcPr>
          <w:p w:rsidR="00F71ED9" w:rsidRPr="00061F78" w:rsidRDefault="00BA7F4A" w:rsidP="00D13E5F">
            <w:pPr>
              <w:pStyle w:val="Tablewriting"/>
              <w:rPr>
                <w:rFonts w:eastAsia="MS Mincho"/>
              </w:rPr>
            </w:pPr>
            <w:r>
              <w:rPr>
                <w:rFonts w:eastAsia="MS Mincho"/>
              </w:rPr>
              <w:t xml:space="preserve">Bupropion plus </w:t>
            </w:r>
            <w:r w:rsidR="00F71ED9">
              <w:rPr>
                <w:rFonts w:eastAsia="MS Mincho"/>
              </w:rPr>
              <w:t>NRT</w:t>
            </w:r>
            <w:r w:rsidR="008F53E5">
              <w:rPr>
                <w:rFonts w:eastAsia="MS Mincho"/>
              </w:rPr>
              <w:t xml:space="preserve"> versus</w:t>
            </w:r>
            <w:r w:rsidR="00F71ED9">
              <w:rPr>
                <w:rFonts w:eastAsia="MS Mincho"/>
              </w:rPr>
              <w:t xml:space="preserve"> placebo</w:t>
            </w:r>
            <w:r w:rsidR="008F53E5">
              <w:rPr>
                <w:rFonts w:eastAsia="MS Mincho"/>
              </w:rPr>
              <w:t xml:space="preserve"> (</w:t>
            </w:r>
            <w:r w:rsidR="00F71ED9">
              <w:rPr>
                <w:rFonts w:eastAsia="MS Mincho"/>
              </w:rPr>
              <w:t>same regimen</w:t>
            </w:r>
            <w:r w:rsidR="008F53E5">
              <w:rPr>
                <w:rFonts w:eastAsia="MS Mincho"/>
              </w:rPr>
              <w:t>)</w:t>
            </w:r>
            <w:r w:rsidR="00C410DE">
              <w:rPr>
                <w:rFonts w:eastAsia="MS Mincho"/>
              </w:rPr>
              <w:t>.</w:t>
            </w:r>
          </w:p>
        </w:tc>
        <w:tc>
          <w:tcPr>
            <w:tcW w:w="1071" w:type="pct"/>
            <w:tcMar>
              <w:left w:w="28" w:type="dxa"/>
              <w:right w:w="28" w:type="dxa"/>
            </w:tcMar>
          </w:tcPr>
          <w:p w:rsidR="00F71ED9" w:rsidRDefault="00F71ED9" w:rsidP="00D13E5F">
            <w:pPr>
              <w:pStyle w:val="Tablewriting"/>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C410DE">
              <w:rPr>
                <w:rFonts w:eastAsia="MS Mincho"/>
              </w:rPr>
              <w:t>.</w:t>
            </w:r>
          </w:p>
          <w:p w:rsidR="00F71ED9" w:rsidRPr="00061F78" w:rsidRDefault="00F71ED9" w:rsidP="00D13E5F">
            <w:pPr>
              <w:pStyle w:val="Tablewriting"/>
              <w:rPr>
                <w:rFonts w:eastAsia="MS Mincho"/>
              </w:rPr>
            </w:pPr>
          </w:p>
        </w:tc>
      </w:tr>
    </w:tbl>
    <w:p w:rsidR="00530A16" w:rsidRDefault="00530A16" w:rsidP="00D13E5F">
      <w:pPr>
        <w:pStyle w:val="TableFooter"/>
        <w:rPr>
          <w:i/>
        </w:rPr>
      </w:pPr>
      <w:r>
        <w:t>Abbreviations: NR = not reported; RCT = randomised controlled trial</w:t>
      </w:r>
      <w:r w:rsidRPr="00061F78">
        <w:t xml:space="preserve"> </w:t>
      </w:r>
    </w:p>
    <w:p w:rsidR="00530A16" w:rsidRDefault="00530A16" w:rsidP="00D13E5F">
      <w:pPr>
        <w:pStyle w:val="TableFooter"/>
      </w:pPr>
      <w:r>
        <w:t xml:space="preserve">1 Only the number of patients (n) in the relevant arms were included </w:t>
      </w:r>
    </w:p>
    <w:p w:rsidR="00530A16" w:rsidRPr="00061F78" w:rsidRDefault="00530A16" w:rsidP="00D13E5F">
      <w:pPr>
        <w:pStyle w:val="TableFooter"/>
      </w:pPr>
      <w:r>
        <w:t xml:space="preserve">2 The characteristics of the individual studies comparing </w:t>
      </w:r>
      <w:r w:rsidR="00810286">
        <w:t xml:space="preserve">bupropion plus </w:t>
      </w:r>
      <w:r>
        <w:t xml:space="preserve">NRT with placebo included in Livingstone-Banks et al. (2019) are presented in </w:t>
      </w:r>
      <w:r w:rsidRPr="00D13E5F">
        <w:t>Appendix</w:t>
      </w:r>
      <w:r w:rsidR="00D13E5F">
        <w:t xml:space="preserve"> </w:t>
      </w:r>
      <w:r w:rsidR="003C4A1C">
        <w:t xml:space="preserve">Table </w:t>
      </w:r>
      <w:r w:rsidR="003C4A1C">
        <w:rPr>
          <w:noProof/>
        </w:rPr>
        <w:t>160</w:t>
      </w:r>
      <w:r>
        <w:t>.</w:t>
      </w:r>
      <w:r w:rsidR="004B54AA">
        <w:t xml:space="preserve"> </w:t>
      </w:r>
      <w:r w:rsidR="000A289D">
        <w:t>Of the two RCTs, o</w:t>
      </w:r>
      <w:r w:rsidR="004B54AA">
        <w:t xml:space="preserve">ne RCT (Covey 2007) compared bupropion plus </w:t>
      </w:r>
      <w:r w:rsidR="00892D93">
        <w:t>NRT gum versus placebo and</w:t>
      </w:r>
      <w:r w:rsidR="00067615">
        <w:t xml:space="preserve"> one RCT (Croghan 2007) compared bupropion plus NRT</w:t>
      </w:r>
      <w:r w:rsidR="00880E1A">
        <w:t xml:space="preserve"> inhaler versus placebo.</w:t>
      </w:r>
    </w:p>
    <w:p w:rsidR="00192187" w:rsidRPr="00192187" w:rsidRDefault="00192187" w:rsidP="00192187">
      <w:pPr>
        <w:rPr>
          <w:u w:val="single"/>
        </w:rPr>
      </w:pPr>
      <w:r w:rsidRPr="00192187">
        <w:rPr>
          <w:u w:val="single"/>
        </w:rPr>
        <w:lastRenderedPageBreak/>
        <w:t>Efficacy</w:t>
      </w:r>
    </w:p>
    <w:p w:rsidR="00F71ED9" w:rsidRPr="00B63241" w:rsidRDefault="00192187" w:rsidP="00B63241">
      <w:r>
        <w:t xml:space="preserve">A summary of the smoking cessation rates at </w:t>
      </w:r>
      <w:r w:rsidR="0003799A">
        <w:t>the longest follow-up</w:t>
      </w:r>
      <w:r>
        <w:t xml:space="preserve"> </w:t>
      </w:r>
      <w:r w:rsidR="001429B9">
        <w:t xml:space="preserve">comparing bupropion plus NRT with placebo </w:t>
      </w:r>
      <w:r>
        <w:t xml:space="preserve">is presented in </w:t>
      </w:r>
      <w:r w:rsidR="003C4A1C">
        <w:t xml:space="preserve">Table </w:t>
      </w:r>
      <w:r w:rsidR="003C4A1C">
        <w:rPr>
          <w:noProof/>
        </w:rPr>
        <w:t>80</w:t>
      </w:r>
      <w:r>
        <w:t xml:space="preserve">. The results of the meta-analysis comprising two RCTs by Livingstone-Banks et al. (2019) demonstrated no statistically significant difference in long-term smoking cessation rates between </w:t>
      </w:r>
      <w:r w:rsidR="0003799A">
        <w:t xml:space="preserve">bupropion plus </w:t>
      </w:r>
      <w:r>
        <w:t xml:space="preserve">NRT </w:t>
      </w:r>
      <w:r w:rsidR="002A765E">
        <w:t xml:space="preserve">(gum, inhaler) </w:t>
      </w:r>
      <w:r>
        <w:t>and placebo for relapse prevention</w:t>
      </w:r>
      <w:r w:rsidR="00CB690B">
        <w:t xml:space="preserve">, although the point estimate numerically favoured </w:t>
      </w:r>
      <w:r w:rsidR="00572207">
        <w:t>the combination therapy.</w:t>
      </w:r>
    </w:p>
    <w:p w:rsidR="00E70C71" w:rsidRDefault="00E70C71" w:rsidP="00E70C71">
      <w:pPr>
        <w:pStyle w:val="Caption"/>
        <w:keepNext/>
      </w:pPr>
      <w:bookmarkStart w:id="173" w:name="_Ref58494152"/>
      <w:r>
        <w:t xml:space="preserve">Table </w:t>
      </w:r>
      <w:r w:rsidR="003C4A1C">
        <w:rPr>
          <w:noProof/>
        </w:rPr>
        <w:t>80</w:t>
      </w:r>
      <w:bookmarkEnd w:id="173"/>
      <w:r>
        <w:t xml:space="preserve">: </w:t>
      </w:r>
      <w:r w:rsidRPr="00471685">
        <w:t xml:space="preserve">Results of smoking cessation at </w:t>
      </w:r>
      <w:r>
        <w:t>longest follow-up</w:t>
      </w:r>
      <w:r w:rsidRPr="00471685">
        <w:t xml:space="preserve">, </w:t>
      </w:r>
      <w:r>
        <w:t xml:space="preserve">bupropion plus </w:t>
      </w:r>
      <w:r w:rsidRPr="00471685">
        <w:t>NRT versus placebo</w:t>
      </w:r>
      <w:r w:rsidR="002C7CD0">
        <w:t xml:space="preserve"> </w:t>
      </w:r>
      <w:r w:rsidR="002C7CD0" w:rsidRPr="00955526">
        <w:t>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551"/>
        <w:gridCol w:w="1706"/>
        <w:gridCol w:w="2101"/>
        <w:gridCol w:w="1830"/>
        <w:gridCol w:w="1828"/>
      </w:tblGrid>
      <w:tr w:rsidR="00073969" w:rsidRPr="00061F78" w:rsidTr="000B3CA3">
        <w:trPr>
          <w:cantSplit/>
          <w:trHeight w:val="299"/>
          <w:tblHeader/>
        </w:trPr>
        <w:tc>
          <w:tcPr>
            <w:tcW w:w="860" w:type="pct"/>
            <w:shd w:val="clear" w:color="auto" w:fill="BFBFBF" w:themeFill="background1" w:themeFillShade="BF"/>
            <w:tcMar>
              <w:left w:w="28" w:type="dxa"/>
              <w:right w:w="28" w:type="dxa"/>
            </w:tcMar>
          </w:tcPr>
          <w:p w:rsidR="00073969" w:rsidRPr="00061F78" w:rsidRDefault="00073969" w:rsidP="000E64E3">
            <w:pPr>
              <w:pStyle w:val="Tableheading"/>
              <w:keepNext/>
              <w:rPr>
                <w:rFonts w:eastAsia="MS Mincho"/>
              </w:rPr>
            </w:pPr>
            <w:r>
              <w:rPr>
                <w:rFonts w:eastAsia="MS Mincho"/>
              </w:rPr>
              <w:t>Study</w:t>
            </w:r>
          </w:p>
        </w:tc>
        <w:tc>
          <w:tcPr>
            <w:tcW w:w="946" w:type="pct"/>
            <w:shd w:val="clear" w:color="auto" w:fill="BFBFBF" w:themeFill="background1" w:themeFillShade="BF"/>
            <w:vAlign w:val="center"/>
          </w:tcPr>
          <w:p w:rsidR="00073969" w:rsidRDefault="00073969" w:rsidP="000E64E3">
            <w:pPr>
              <w:pStyle w:val="Tableheading"/>
              <w:keepNext/>
              <w:jc w:val="center"/>
              <w:rPr>
                <w:rFonts w:eastAsia="MS Mincho"/>
              </w:rPr>
            </w:pPr>
            <w:r>
              <w:rPr>
                <w:rFonts w:eastAsia="MS Mincho"/>
              </w:rPr>
              <w:t>Study type</w:t>
            </w:r>
          </w:p>
        </w:tc>
        <w:tc>
          <w:tcPr>
            <w:tcW w:w="1165" w:type="pct"/>
            <w:shd w:val="clear" w:color="auto" w:fill="BFBFBF" w:themeFill="background1" w:themeFillShade="BF"/>
            <w:tcMar>
              <w:left w:w="28" w:type="dxa"/>
              <w:right w:w="28" w:type="dxa"/>
            </w:tcMar>
            <w:vAlign w:val="center"/>
          </w:tcPr>
          <w:p w:rsidR="00073969" w:rsidRPr="00061F78" w:rsidRDefault="00073969" w:rsidP="000E64E3">
            <w:pPr>
              <w:pStyle w:val="Tableheading"/>
              <w:keepNext/>
              <w:jc w:val="center"/>
              <w:rPr>
                <w:rFonts w:eastAsia="MS Mincho"/>
              </w:rPr>
            </w:pPr>
            <w:r>
              <w:rPr>
                <w:rFonts w:eastAsia="MS Mincho"/>
              </w:rPr>
              <w:t>Bupropion plus NRT</w:t>
            </w:r>
          </w:p>
        </w:tc>
        <w:tc>
          <w:tcPr>
            <w:tcW w:w="1015" w:type="pct"/>
            <w:shd w:val="clear" w:color="auto" w:fill="BFBFBF" w:themeFill="background1" w:themeFillShade="BF"/>
            <w:tcMar>
              <w:left w:w="28" w:type="dxa"/>
              <w:right w:w="28" w:type="dxa"/>
            </w:tcMar>
            <w:vAlign w:val="center"/>
          </w:tcPr>
          <w:p w:rsidR="00073969" w:rsidRPr="00061F78" w:rsidRDefault="00073969" w:rsidP="000E64E3">
            <w:pPr>
              <w:pStyle w:val="Tableheading"/>
              <w:keepNext/>
              <w:jc w:val="center"/>
              <w:rPr>
                <w:rFonts w:eastAsia="MS Mincho"/>
              </w:rPr>
            </w:pPr>
            <w:r w:rsidRPr="00061F78">
              <w:rPr>
                <w:rFonts w:eastAsia="MS Mincho"/>
              </w:rPr>
              <w:t>Placebo</w:t>
            </w:r>
          </w:p>
        </w:tc>
        <w:tc>
          <w:tcPr>
            <w:tcW w:w="1015" w:type="pct"/>
            <w:shd w:val="clear" w:color="auto" w:fill="BFBFBF" w:themeFill="background1" w:themeFillShade="BF"/>
            <w:tcMar>
              <w:left w:w="28" w:type="dxa"/>
              <w:right w:w="28" w:type="dxa"/>
            </w:tcMar>
            <w:vAlign w:val="center"/>
          </w:tcPr>
          <w:p w:rsidR="00073969" w:rsidRPr="00D468CF" w:rsidRDefault="00073969" w:rsidP="000E64E3">
            <w:pPr>
              <w:pStyle w:val="Tableheading"/>
              <w:keepNext/>
              <w:jc w:val="center"/>
              <w:rPr>
                <w:rFonts w:eastAsia="MS Mincho"/>
                <w:vertAlign w:val="superscript"/>
              </w:rPr>
            </w:pPr>
            <w:r>
              <w:rPr>
                <w:rFonts w:eastAsia="MS Mincho"/>
              </w:rPr>
              <w:t>RR (95% CI)</w:t>
            </w:r>
            <w:r>
              <w:rPr>
                <w:rFonts w:eastAsia="MS Mincho"/>
                <w:vertAlign w:val="superscript"/>
              </w:rPr>
              <w:t>2</w:t>
            </w:r>
          </w:p>
        </w:tc>
      </w:tr>
      <w:tr w:rsidR="00073969" w:rsidRPr="00061F78" w:rsidTr="000B3CA3">
        <w:trPr>
          <w:cantSplit/>
          <w:trHeight w:val="149"/>
        </w:trPr>
        <w:tc>
          <w:tcPr>
            <w:tcW w:w="860" w:type="pct"/>
            <w:tcMar>
              <w:left w:w="28" w:type="dxa"/>
              <w:right w:w="28" w:type="dxa"/>
            </w:tcMar>
          </w:tcPr>
          <w:p w:rsidR="00073969" w:rsidRDefault="00073969" w:rsidP="000E64E3">
            <w:pPr>
              <w:pStyle w:val="Tablewriting"/>
              <w:keepNext/>
              <w:rPr>
                <w:rFonts w:eastAsia="MS Mincho"/>
              </w:rPr>
            </w:pPr>
            <w:r>
              <w:rPr>
                <w:rFonts w:eastAsia="MS Mincho"/>
              </w:rPr>
              <w:t xml:space="preserve">Livingstone-Banks </w:t>
            </w:r>
          </w:p>
          <w:p w:rsidR="00073969" w:rsidRPr="00D468CF" w:rsidRDefault="00073969" w:rsidP="000E64E3">
            <w:pPr>
              <w:pStyle w:val="Tablewriting"/>
              <w:keepNext/>
              <w:rPr>
                <w:rFonts w:eastAsia="MS Mincho"/>
                <w:vertAlign w:val="superscript"/>
              </w:rPr>
            </w:pPr>
            <w:r>
              <w:rPr>
                <w:rFonts w:eastAsia="MS Mincho"/>
              </w:rPr>
              <w:t>(2019)</w:t>
            </w:r>
            <w:r w:rsidR="000E78F8">
              <w:rPr>
                <w:rFonts w:eastAsia="MS Mincho"/>
                <w:vertAlign w:val="superscript"/>
              </w:rPr>
              <w:t>1</w:t>
            </w:r>
          </w:p>
        </w:tc>
        <w:tc>
          <w:tcPr>
            <w:tcW w:w="946" w:type="pct"/>
            <w:vAlign w:val="center"/>
          </w:tcPr>
          <w:p w:rsidR="00073969" w:rsidRDefault="00073969" w:rsidP="000E64E3">
            <w:pPr>
              <w:pStyle w:val="Tablewriting"/>
              <w:keepNext/>
              <w:jc w:val="center"/>
              <w:rPr>
                <w:rFonts w:eastAsia="MS Mincho"/>
              </w:rPr>
            </w:pPr>
            <w:r>
              <w:rPr>
                <w:rFonts w:eastAsia="MS Mincho"/>
              </w:rPr>
              <w:t>Cochrane Review (2 RCTs)</w:t>
            </w:r>
          </w:p>
        </w:tc>
        <w:tc>
          <w:tcPr>
            <w:tcW w:w="1165" w:type="pct"/>
            <w:tcMar>
              <w:left w:w="28" w:type="dxa"/>
              <w:right w:w="28" w:type="dxa"/>
            </w:tcMar>
            <w:vAlign w:val="center"/>
          </w:tcPr>
          <w:p w:rsidR="00073969" w:rsidRPr="00FD71B4" w:rsidRDefault="003C7BF4" w:rsidP="000E64E3">
            <w:pPr>
              <w:pStyle w:val="Tablewriting"/>
              <w:keepNext/>
              <w:jc w:val="center"/>
              <w:rPr>
                <w:rFonts w:eastAsia="MS Mincho"/>
              </w:rPr>
            </w:pPr>
            <w:r>
              <w:rPr>
                <w:rFonts w:eastAsia="MS Mincho"/>
              </w:rPr>
              <w:t>31</w:t>
            </w:r>
            <w:r w:rsidR="00073969">
              <w:rPr>
                <w:rFonts w:eastAsia="MS Mincho"/>
              </w:rPr>
              <w:t>/</w:t>
            </w:r>
            <w:r>
              <w:rPr>
                <w:rFonts w:eastAsia="MS Mincho"/>
              </w:rPr>
              <w:t>122</w:t>
            </w:r>
            <w:r w:rsidR="00073969" w:rsidRPr="00FD71B4">
              <w:rPr>
                <w:rFonts w:eastAsia="MS Mincho"/>
              </w:rPr>
              <w:t xml:space="preserve"> </w:t>
            </w:r>
          </w:p>
          <w:p w:rsidR="00073969" w:rsidRPr="00FD71B4" w:rsidRDefault="00073969" w:rsidP="000E64E3">
            <w:pPr>
              <w:pStyle w:val="Tablewriting"/>
              <w:keepNext/>
              <w:jc w:val="center"/>
              <w:rPr>
                <w:rFonts w:eastAsia="MS Mincho"/>
              </w:rPr>
            </w:pPr>
            <w:r w:rsidRPr="00FD71B4">
              <w:rPr>
                <w:rFonts w:eastAsia="MS Mincho"/>
              </w:rPr>
              <w:t>(</w:t>
            </w:r>
            <w:r w:rsidR="005B1AF0">
              <w:rPr>
                <w:rFonts w:eastAsia="MS Mincho"/>
              </w:rPr>
              <w:t>25</w:t>
            </w:r>
            <w:r>
              <w:rPr>
                <w:rFonts w:eastAsia="MS Mincho"/>
              </w:rPr>
              <w:t>.4</w:t>
            </w:r>
            <w:r w:rsidRPr="00FD71B4">
              <w:rPr>
                <w:rFonts w:eastAsia="MS Mincho"/>
              </w:rPr>
              <w:t>%)</w:t>
            </w:r>
          </w:p>
        </w:tc>
        <w:tc>
          <w:tcPr>
            <w:tcW w:w="1015" w:type="pct"/>
            <w:tcMar>
              <w:left w:w="28" w:type="dxa"/>
              <w:right w:w="28" w:type="dxa"/>
            </w:tcMar>
            <w:vAlign w:val="center"/>
          </w:tcPr>
          <w:p w:rsidR="00073969" w:rsidRPr="00FD71B4" w:rsidRDefault="003C7BF4" w:rsidP="000E64E3">
            <w:pPr>
              <w:pStyle w:val="Tablewriting"/>
              <w:keepNext/>
              <w:jc w:val="center"/>
              <w:rPr>
                <w:rFonts w:eastAsia="MS Mincho"/>
              </w:rPr>
            </w:pPr>
            <w:r>
              <w:rPr>
                <w:rFonts w:eastAsia="MS Mincho"/>
              </w:rPr>
              <w:t>26</w:t>
            </w:r>
            <w:r w:rsidR="00073969">
              <w:rPr>
                <w:rFonts w:eastAsia="MS Mincho"/>
              </w:rPr>
              <w:t>/</w:t>
            </w:r>
            <w:r>
              <w:rPr>
                <w:rFonts w:eastAsia="MS Mincho"/>
              </w:rPr>
              <w:t>121</w:t>
            </w:r>
          </w:p>
          <w:p w:rsidR="00073969" w:rsidRPr="00FD71B4" w:rsidRDefault="00073969" w:rsidP="000E64E3">
            <w:pPr>
              <w:pStyle w:val="Tablewriting"/>
              <w:keepNext/>
              <w:jc w:val="center"/>
              <w:rPr>
                <w:rFonts w:eastAsia="MS Mincho"/>
              </w:rPr>
            </w:pPr>
            <w:r w:rsidRPr="00FD71B4">
              <w:rPr>
                <w:rFonts w:eastAsia="MS Mincho"/>
              </w:rPr>
              <w:t>(</w:t>
            </w:r>
            <w:r w:rsidR="00CB690B">
              <w:rPr>
                <w:rFonts w:eastAsia="MS Mincho"/>
              </w:rPr>
              <w:t>21.5</w:t>
            </w:r>
            <w:r w:rsidRPr="00FD71B4">
              <w:rPr>
                <w:rFonts w:eastAsia="MS Mincho"/>
              </w:rPr>
              <w:t>%)</w:t>
            </w:r>
          </w:p>
        </w:tc>
        <w:tc>
          <w:tcPr>
            <w:tcW w:w="1015" w:type="pct"/>
            <w:tcMar>
              <w:left w:w="28" w:type="dxa"/>
              <w:right w:w="28" w:type="dxa"/>
            </w:tcMar>
            <w:vAlign w:val="center"/>
          </w:tcPr>
          <w:p w:rsidR="00073969" w:rsidRDefault="00F52070" w:rsidP="004C0C51">
            <w:pPr>
              <w:pStyle w:val="Tablewriting"/>
              <w:keepNext/>
              <w:jc w:val="center"/>
              <w:rPr>
                <w:rFonts w:eastAsia="MS Mincho"/>
              </w:rPr>
            </w:pPr>
            <w:r>
              <w:rPr>
                <w:rFonts w:eastAsia="MS Mincho"/>
              </w:rPr>
              <w:t>1.18</w:t>
            </w:r>
          </w:p>
          <w:p w:rsidR="00073969" w:rsidRPr="00FD71B4" w:rsidRDefault="00073969" w:rsidP="000E64E3">
            <w:pPr>
              <w:pStyle w:val="Tablewriting"/>
              <w:keepNext/>
              <w:jc w:val="center"/>
              <w:rPr>
                <w:rFonts w:eastAsia="MS Mincho"/>
              </w:rPr>
            </w:pPr>
            <w:r w:rsidRPr="004E3996">
              <w:rPr>
                <w:rFonts w:eastAsia="MS Mincho"/>
              </w:rPr>
              <w:t>(</w:t>
            </w:r>
            <w:r>
              <w:rPr>
                <w:rFonts w:eastAsia="MS Mincho"/>
              </w:rPr>
              <w:t>0.</w:t>
            </w:r>
            <w:r w:rsidR="00F52070">
              <w:rPr>
                <w:rFonts w:eastAsia="MS Mincho"/>
              </w:rPr>
              <w:t>75</w:t>
            </w:r>
            <w:r w:rsidRPr="004E3996">
              <w:rPr>
                <w:rFonts w:eastAsia="MS Mincho"/>
              </w:rPr>
              <w:t>, 1.</w:t>
            </w:r>
            <w:r w:rsidR="00F52070">
              <w:rPr>
                <w:rFonts w:eastAsia="MS Mincho"/>
              </w:rPr>
              <w:t>87</w:t>
            </w:r>
            <w:r w:rsidRPr="004E3996">
              <w:rPr>
                <w:rFonts w:eastAsia="MS Mincho"/>
              </w:rPr>
              <w:t>)</w:t>
            </w:r>
          </w:p>
        </w:tc>
      </w:tr>
    </w:tbl>
    <w:p w:rsidR="00073969" w:rsidRDefault="00073969" w:rsidP="00073969">
      <w:pPr>
        <w:pStyle w:val="TableFooter"/>
        <w:keepNext/>
      </w:pPr>
      <w:r>
        <w:t>Source: Livingstone-Banks et al. (2019)</w:t>
      </w:r>
    </w:p>
    <w:p w:rsidR="00073969" w:rsidRDefault="00073969" w:rsidP="00073969">
      <w:pPr>
        <w:pStyle w:val="TableFooter"/>
        <w:keepNext/>
        <w:rPr>
          <w:i/>
        </w:rPr>
      </w:pPr>
      <w:r>
        <w:t>Abbreviations: CI = confidence interval; RCT = randomised controlled trial; RD = risk difference; RR = risk ratio</w:t>
      </w:r>
      <w:r w:rsidRPr="00061F78">
        <w:t xml:space="preserve"> </w:t>
      </w:r>
    </w:p>
    <w:p w:rsidR="00073969" w:rsidRPr="00E968B6" w:rsidRDefault="00073969" w:rsidP="00073969">
      <w:pPr>
        <w:pStyle w:val="TableFooter"/>
        <w:keepNext/>
      </w:pPr>
      <w:r w:rsidRPr="00D468CF">
        <w:t>Note</w:t>
      </w:r>
      <w:r>
        <w:t>s</w:t>
      </w:r>
      <w:r w:rsidRPr="00D468CF">
        <w:t>: Bold indicates statistically significant difference.</w:t>
      </w:r>
      <w:r>
        <w:br/>
        <w:t xml:space="preserve">1 Where cessation was assessed at multiple intervals, the longest follow-up data were used. Where multiple definitions of abstinence were assessed, the strictest of these definitions was used (e.g. continuous/prolonged abstinence over point prevalence abstinence). See </w:t>
      </w:r>
      <w:r w:rsidRPr="00E968B6">
        <w:t>Appendix</w:t>
      </w:r>
      <w:r w:rsidR="00367224" w:rsidRPr="00E968B6">
        <w:t xml:space="preserve"> </w:t>
      </w:r>
      <w:r w:rsidR="003C4A1C">
        <w:t xml:space="preserve">Table </w:t>
      </w:r>
      <w:r w:rsidR="003C4A1C">
        <w:rPr>
          <w:noProof/>
        </w:rPr>
        <w:t>160</w:t>
      </w:r>
      <w:r w:rsidR="00E968B6">
        <w:t xml:space="preserve"> </w:t>
      </w:r>
      <w:r w:rsidRPr="00E968B6">
        <w:t>for the definition used in each study.</w:t>
      </w:r>
    </w:p>
    <w:p w:rsidR="00073969" w:rsidRDefault="00073969" w:rsidP="00073969">
      <w:pPr>
        <w:pStyle w:val="TableFooter"/>
        <w:keepNext/>
      </w:pPr>
      <w:r w:rsidRPr="00E968B6">
        <w:t xml:space="preserve">2 Calculated </w:t>
      </w:r>
      <w:r w:rsidR="000E78F8" w:rsidRPr="00E968B6">
        <w:t>by Cochrane Review authors</w:t>
      </w:r>
      <w:r w:rsidRPr="00E968B6">
        <w:t xml:space="preserve"> using a fixed-effect model</w:t>
      </w:r>
      <w:r w:rsidR="00C410DE">
        <w:t>.</w:t>
      </w:r>
    </w:p>
    <w:p w:rsidR="00073969" w:rsidRPr="00B63241" w:rsidRDefault="00B817FB" w:rsidP="00192187">
      <w:r w:rsidRPr="00B817FB">
        <w:t xml:space="preserve">The results of the individual studies included in Livingstone-Banks et al. (2019) are presented using a forest plot in </w:t>
      </w:r>
      <w:r w:rsidR="003C4A1C">
        <w:t xml:space="preserve">Figure </w:t>
      </w:r>
      <w:r w:rsidR="003C4A1C">
        <w:rPr>
          <w:noProof/>
        </w:rPr>
        <w:t>23</w:t>
      </w:r>
      <w:r w:rsidRPr="00B817FB">
        <w:t xml:space="preserve">. </w:t>
      </w:r>
      <w:r w:rsidR="000F4737">
        <w:t>It was noted that there was a moderate level of heterogeneity in the meta-analysed results (I</w:t>
      </w:r>
      <w:r w:rsidR="000F4737" w:rsidRPr="000F4737">
        <w:rPr>
          <w:vertAlign w:val="superscript"/>
        </w:rPr>
        <w:t>2</w:t>
      </w:r>
      <w:r w:rsidR="000F4737">
        <w:t xml:space="preserve"> = 66%). </w:t>
      </w:r>
    </w:p>
    <w:p w:rsidR="00611F34" w:rsidRDefault="00611F34" w:rsidP="00E968B6">
      <w:r>
        <w:rPr>
          <w:noProof/>
        </w:rPr>
        <w:drawing>
          <wp:inline distT="0" distB="0" distL="0" distR="0" wp14:anchorId="2D6469B4" wp14:editId="33FC477D">
            <wp:extent cx="5731510" cy="1465996"/>
            <wp:effectExtent l="0" t="0" r="254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42">
                      <a:extLst>
                        <a:ext uri="{28A0092B-C50C-407E-A947-70E740481C1C}">
                          <a14:useLocalDpi xmlns:a14="http://schemas.microsoft.com/office/drawing/2010/main" val="0"/>
                        </a:ext>
                      </a:extLst>
                    </a:blip>
                    <a:stretch>
                      <a:fillRect/>
                    </a:stretch>
                  </pic:blipFill>
                  <pic:spPr>
                    <a:xfrm>
                      <a:off x="0" y="0"/>
                      <a:ext cx="5731510" cy="1465996"/>
                    </a:xfrm>
                    <a:prstGeom prst="rect">
                      <a:avLst/>
                    </a:prstGeom>
                  </pic:spPr>
                </pic:pic>
              </a:graphicData>
            </a:graphic>
          </wp:inline>
        </w:drawing>
      </w:r>
    </w:p>
    <w:p w:rsidR="00B817FB" w:rsidRPr="00B63241" w:rsidRDefault="00611F34" w:rsidP="00611F34">
      <w:pPr>
        <w:pStyle w:val="Caption"/>
      </w:pPr>
      <w:bookmarkStart w:id="174" w:name="_Ref58494478"/>
      <w:r>
        <w:t xml:space="preserve">Figure </w:t>
      </w:r>
      <w:r w:rsidR="003C4A1C">
        <w:rPr>
          <w:noProof/>
        </w:rPr>
        <w:t>23</w:t>
      </w:r>
      <w:bookmarkEnd w:id="174"/>
      <w:r>
        <w:t xml:space="preserve">: </w:t>
      </w:r>
      <w:r w:rsidRPr="00BA5441">
        <w:t xml:space="preserve">Results of smoking cessation at </w:t>
      </w:r>
      <w:r>
        <w:t>longest follow-up</w:t>
      </w:r>
      <w:r w:rsidRPr="00BA5441">
        <w:t xml:space="preserve"> in Livingstone-Banks et al. (2019), </w:t>
      </w:r>
      <w:r>
        <w:t xml:space="preserve">bupropion plus </w:t>
      </w:r>
      <w:r w:rsidRPr="00BA5441">
        <w:t>NRT versus placebo</w:t>
      </w:r>
    </w:p>
    <w:p w:rsidR="00611F34" w:rsidRDefault="00611F34" w:rsidP="00611F34">
      <w:pPr>
        <w:pStyle w:val="FigureFooter"/>
      </w:pPr>
      <w:r>
        <w:t>Source: Livingstone-Banks et al. (2019)</w:t>
      </w:r>
    </w:p>
    <w:p w:rsidR="00611F34" w:rsidRDefault="00611F34" w:rsidP="00611F34">
      <w:pPr>
        <w:pStyle w:val="FigureFooter"/>
      </w:pPr>
      <w:r w:rsidRPr="00D041F9">
        <w:t>Abbreviations: CI = confidence interval</w:t>
      </w:r>
    </w:p>
    <w:p w:rsidR="00D15FA1" w:rsidRDefault="00D15FA1" w:rsidP="00611F34">
      <w:pPr>
        <w:pStyle w:val="FigureFooter"/>
      </w:pPr>
      <w:r>
        <w:t>Note: In Covey (2007), bupropion was administered in combination with NRT gum while in Croghan (2007), bupropion was administered in combination with NRT inhaler.</w:t>
      </w:r>
    </w:p>
    <w:p w:rsidR="002E7A0B" w:rsidRDefault="002E7A0B" w:rsidP="00611F34">
      <w:pPr>
        <w:pStyle w:val="FigureFooter"/>
      </w:pPr>
      <w:r w:rsidRPr="002E7A0B">
        <w:t>Notes: In Covey et al. (2007), patients were provided bupropion and NRT patches in the open-label treatment phase followed by bupropion, NRT gum, or both and placebo in the double-blind treatment phase. In Croghan et al. (2007), patients were provided bupropion, NRT inhaler or both, followed by the same medications or placebo in the double-blind treatment phase.</w:t>
      </w:r>
    </w:p>
    <w:p w:rsidR="00611F34" w:rsidRPr="0073597F" w:rsidRDefault="00611F34" w:rsidP="00611F34">
      <w:pPr>
        <w:rPr>
          <w:u w:val="single"/>
        </w:rPr>
      </w:pPr>
      <w:r w:rsidRPr="0073597F">
        <w:rPr>
          <w:u w:val="single"/>
        </w:rPr>
        <w:t>Safety</w:t>
      </w:r>
    </w:p>
    <w:p w:rsidR="000E78F8" w:rsidRDefault="00611F34" w:rsidP="00611F34">
      <w:r w:rsidRPr="00F423F8">
        <w:t xml:space="preserve">The </w:t>
      </w:r>
      <w:r w:rsidR="00573F59">
        <w:t>safety</w:t>
      </w:r>
      <w:r w:rsidRPr="00F423F8">
        <w:t xml:space="preserve"> of </w:t>
      </w:r>
      <w:r>
        <w:t xml:space="preserve">bupropion plus NRT </w:t>
      </w:r>
      <w:r w:rsidR="00573F59">
        <w:t>versus</w:t>
      </w:r>
      <w:r>
        <w:t xml:space="preserve"> placebo in abstainers for relapse prevention</w:t>
      </w:r>
      <w:r w:rsidRPr="00F423F8">
        <w:t xml:space="preserve"> was not </w:t>
      </w:r>
      <w:r w:rsidR="00E44A3B">
        <w:t>assessed</w:t>
      </w:r>
      <w:r w:rsidRPr="00F423F8">
        <w:t xml:space="preserve"> by </w:t>
      </w:r>
      <w:r w:rsidRPr="002C1625">
        <w:t>Livingstone-Banks et al. (2019)</w:t>
      </w:r>
      <w:r w:rsidR="005E6C03">
        <w:t xml:space="preserve"> and Croghan et al. (2007)</w:t>
      </w:r>
      <w:r w:rsidRPr="00F423F8">
        <w:t>.</w:t>
      </w:r>
    </w:p>
    <w:p w:rsidR="005E6C03" w:rsidRDefault="005E6C03" w:rsidP="00611F34">
      <w:r w:rsidRPr="005E6C03">
        <w:lastRenderedPageBreak/>
        <w:t>In Covey et al. (2007), the number of reported adverse events such as nervousness, constipation, insomnia, stomach-ache and depressed mood was low, and did not vary by treatment group (P = 0.69).</w:t>
      </w:r>
    </w:p>
    <w:p w:rsidR="00503E62" w:rsidRDefault="00503E62" w:rsidP="00D02475">
      <w:pPr>
        <w:pStyle w:val="Heading4"/>
        <w:numPr>
          <w:ilvl w:val="0"/>
          <w:numId w:val="0"/>
        </w:numPr>
      </w:pPr>
      <w:r>
        <w:t>Summary of evidence for combination therapy</w:t>
      </w:r>
    </w:p>
    <w:p w:rsidR="00851A08" w:rsidRPr="00851A08" w:rsidRDefault="00851A08" w:rsidP="00851A08">
      <w:r w:rsidRPr="00851A08">
        <w:t xml:space="preserve">Combination therapies for smoking cessation have not been previously considered by the PBAC. In March 2018, the PBAC noted that the latest clinical guidelines encourage health professionals to consider recommending the use of combination NRT (e.g. NRT patch with NRT gum or </w:t>
      </w:r>
      <w:r w:rsidR="00573F59">
        <w:t>lozenges</w:t>
      </w:r>
      <w:r w:rsidRPr="00851A08">
        <w:t>) (</w:t>
      </w:r>
      <w:r w:rsidRPr="00AF43E4">
        <w:t>NRT PSD, March 2018 PBAC meeting</w:t>
      </w:r>
      <w:r w:rsidRPr="00851A08">
        <w:t>).</w:t>
      </w:r>
    </w:p>
    <w:p w:rsidR="003045D2" w:rsidRPr="003045D2" w:rsidRDefault="003045D2" w:rsidP="003045D2">
      <w:pPr>
        <w:rPr>
          <w:b/>
          <w:bCs/>
        </w:rPr>
      </w:pPr>
      <w:r w:rsidRPr="003045D2">
        <w:rPr>
          <w:b/>
          <w:bCs/>
        </w:rPr>
        <w:t>Combination NRT</w:t>
      </w:r>
    </w:p>
    <w:p w:rsidR="003045D2" w:rsidRDefault="003045D2" w:rsidP="003045D2">
      <w:pPr>
        <w:rPr>
          <w:i/>
          <w:iCs/>
        </w:rPr>
      </w:pPr>
      <w:r w:rsidRPr="003045D2">
        <w:rPr>
          <w:i/>
          <w:iCs/>
        </w:rPr>
        <w:t>Treatment-naïve population</w:t>
      </w:r>
    </w:p>
    <w:p w:rsidR="00DF50DA" w:rsidRDefault="0013750B" w:rsidP="0013750B">
      <w:r>
        <w:t>Based on the evidence presented (</w:t>
      </w:r>
      <w:r w:rsidR="00C32913" w:rsidRPr="00C32913">
        <w:t>Hartmann-Boyce et al. 2018, Chen et al. 2020</w:t>
      </w:r>
      <w:r>
        <w:t>),</w:t>
      </w:r>
      <w:r w:rsidR="00822BF2">
        <w:t xml:space="preserve"> combination NRT</w:t>
      </w:r>
      <w:r>
        <w:t xml:space="preserve"> </w:t>
      </w:r>
      <w:r w:rsidR="00C7085E">
        <w:t xml:space="preserve">(patch + lozenge, patch + lozenge and gum) </w:t>
      </w:r>
      <w:r>
        <w:t xml:space="preserve">was shown to provide a statistically significant improvement in long-term smoking cessation rates compared with placebo, noting the </w:t>
      </w:r>
      <w:r w:rsidR="00DF50DA">
        <w:t>results</w:t>
      </w:r>
      <w:r w:rsidR="007727BD">
        <w:t xml:space="preserve"> of the updated re-analysis</w:t>
      </w:r>
      <w:r w:rsidR="00DF50DA">
        <w:t xml:space="preserve"> for NRT patch + lozenge w</w:t>
      </w:r>
      <w:r w:rsidR="007727BD">
        <w:t>ere</w:t>
      </w:r>
      <w:r w:rsidR="00DF50DA">
        <w:t xml:space="preserve"> statistically significant based on risk ratio but not risk difference.</w:t>
      </w:r>
      <w:r w:rsidR="00862425">
        <w:t xml:space="preserve"> There were no statistically significant differences in </w:t>
      </w:r>
      <w:r w:rsidR="00B43195">
        <w:t xml:space="preserve">long-term </w:t>
      </w:r>
      <w:r w:rsidR="00862425">
        <w:t xml:space="preserve">smoking cessation rates between NRT patch + gum or NRT patch + inhalator and placebo. </w:t>
      </w:r>
      <w:r w:rsidR="003E2F19" w:rsidRPr="003E2F19">
        <w:t>The non-significant result of NRT patch + gum was likely due to the study design, such as small sample size, leading to insufficient power to detect a modest treatment effect with reasonable certainty</w:t>
      </w:r>
      <w:r w:rsidR="003E2F19">
        <w:t>.</w:t>
      </w:r>
      <w:r w:rsidR="003E2F19" w:rsidRPr="003E2F19">
        <w:t xml:space="preserve"> </w:t>
      </w:r>
      <w:r w:rsidR="005131CB" w:rsidRPr="005131CB">
        <w:t>Based on the study by Chen et al. (2020), there were no statistically significant differences between NRT patch + lozenge</w:t>
      </w:r>
      <w:r w:rsidR="005131CB">
        <w:t xml:space="preserve"> </w:t>
      </w:r>
      <w:r w:rsidR="005131CB" w:rsidRPr="005131CB">
        <w:t>and placebo in terms of any adverse events and serious adverse events</w:t>
      </w:r>
      <w:r w:rsidR="005131CB">
        <w:t>.</w:t>
      </w:r>
    </w:p>
    <w:p w:rsidR="0013750B" w:rsidRDefault="0013750B" w:rsidP="0013750B">
      <w:r>
        <w:t xml:space="preserve">For the comparison of </w:t>
      </w:r>
      <w:r w:rsidR="00453962">
        <w:t xml:space="preserve">combination NRT </w:t>
      </w:r>
      <w:r>
        <w:t>versus NRT</w:t>
      </w:r>
      <w:r w:rsidR="00453962">
        <w:t xml:space="preserve"> monotherapy</w:t>
      </w:r>
      <w:r>
        <w:t xml:space="preserve">, </w:t>
      </w:r>
      <w:r w:rsidR="00453962">
        <w:t>combination NRT</w:t>
      </w:r>
      <w:r>
        <w:t xml:space="preserve"> was shown to </w:t>
      </w:r>
      <w:r w:rsidR="004E40F8">
        <w:t>provide a statistically significant improvement in long-term smoking cessation rates compared with NRT monotherapy</w:t>
      </w:r>
      <w:r w:rsidR="002D0864">
        <w:t xml:space="preserve"> (patch</w:t>
      </w:r>
      <w:r w:rsidR="00DA341A">
        <w:t xml:space="preserve"> or</w:t>
      </w:r>
      <w:r w:rsidR="002D0864">
        <w:t xml:space="preserve"> fast-acting)</w:t>
      </w:r>
      <w:r w:rsidR="00DA341A">
        <w:t xml:space="preserve"> (Lindson et al. 2019, Leung et al. 2019)</w:t>
      </w:r>
      <w:r w:rsidR="002D0864">
        <w:t>.</w:t>
      </w:r>
      <w:r w:rsidR="006E67F0" w:rsidRPr="006E67F0">
        <w:t xml:space="preserve"> </w:t>
      </w:r>
      <w:r w:rsidR="006E67F0">
        <w:t>T</w:t>
      </w:r>
      <w:r w:rsidR="006E67F0" w:rsidRPr="006E67F0">
        <w:t>here were no statistically significant differences between combination NRT and NRT monotherapy (patch or fast-acting) in terms of cardiac adverse event</w:t>
      </w:r>
      <w:r w:rsidR="00127B77">
        <w:t>s</w:t>
      </w:r>
      <w:r w:rsidR="006E67F0" w:rsidRPr="006E67F0">
        <w:t>, serious adverse events or withdrawals due to treatment</w:t>
      </w:r>
      <w:r w:rsidR="006E67F0">
        <w:t>.</w:t>
      </w:r>
      <w:r w:rsidR="001C27E5">
        <w:t xml:space="preserve"> </w:t>
      </w:r>
      <w:r w:rsidR="0018693D">
        <w:t xml:space="preserve">Additional subgroup analyses were conducted </w:t>
      </w:r>
      <w:r w:rsidR="007B2FD4">
        <w:t>during the review to determine the comparative effectiveness of the different types of combination NRT formulations:</w:t>
      </w:r>
    </w:p>
    <w:p w:rsidR="007B2FD4" w:rsidRDefault="007B2FD4" w:rsidP="00C324F3">
      <w:pPr>
        <w:pStyle w:val="ListParagraph"/>
        <w:numPr>
          <w:ilvl w:val="0"/>
          <w:numId w:val="230"/>
        </w:numPr>
      </w:pPr>
      <w:r>
        <w:t xml:space="preserve">For combination NRT versus NRT </w:t>
      </w:r>
      <w:r w:rsidR="00573F59">
        <w:t>patches</w:t>
      </w:r>
      <w:r>
        <w:t xml:space="preserve">, NRT patch + lozenge and NRT patch + gum were shown to provide a significantly higher rate of long-term smoking cessation compared to NRT </w:t>
      </w:r>
      <w:r w:rsidR="00573F59">
        <w:t>patches</w:t>
      </w:r>
      <w:r>
        <w:t xml:space="preserve"> alone. There were no statistically significant differences observed for the other types of combination NRT formulations (patch + nasal spray, patch + inhaler, patch + oral spray).</w:t>
      </w:r>
    </w:p>
    <w:p w:rsidR="007B2FD4" w:rsidRDefault="007B2FD4" w:rsidP="00C324F3">
      <w:pPr>
        <w:pStyle w:val="ListParagraph"/>
        <w:numPr>
          <w:ilvl w:val="0"/>
          <w:numId w:val="230"/>
        </w:numPr>
      </w:pPr>
      <w:r>
        <w:t>For combination NRT versus fast-acting NRT, only NRT patch + lozenge was shown to provide a significantly higher rate of long-term smoking cessation compared to fast-acting NRT alone. There were no statistically significant differences observed for the other types of combination NRT formulations (patch + gum, patch + nasal spray, patch + inhaler).</w:t>
      </w:r>
    </w:p>
    <w:p w:rsidR="00D97DF0" w:rsidRDefault="00D97DF0" w:rsidP="00D97DF0">
      <w:r>
        <w:t xml:space="preserve">For the comparison of combination NRT versus varenicline, </w:t>
      </w:r>
      <w:r w:rsidR="00200ED4">
        <w:t>combination NRT</w:t>
      </w:r>
      <w:r>
        <w:t xml:space="preserve"> </w:t>
      </w:r>
      <w:r w:rsidR="00476325">
        <w:t xml:space="preserve">(patch + lozenge) </w:t>
      </w:r>
      <w:r>
        <w:t xml:space="preserve">was shown to </w:t>
      </w:r>
      <w:r w:rsidR="0028131B">
        <w:t xml:space="preserve">be inferior to varenicline in terms of efficacy </w:t>
      </w:r>
      <w:r w:rsidR="00C66C11">
        <w:t xml:space="preserve">based on </w:t>
      </w:r>
      <w:r w:rsidR="00C66C11" w:rsidRPr="00C66C11">
        <w:t>a statistically significant difference in point prevalence abstinence at 6 months, in favour of varenicline</w:t>
      </w:r>
      <w:r w:rsidR="005D2E16">
        <w:t xml:space="preserve"> </w:t>
      </w:r>
      <w:r>
        <w:lastRenderedPageBreak/>
        <w:t>(</w:t>
      </w:r>
      <w:r w:rsidR="00DA5DB4">
        <w:t>Chen</w:t>
      </w:r>
      <w:r>
        <w:t xml:space="preserve"> et al. 20</w:t>
      </w:r>
      <w:r w:rsidR="00DA5DB4">
        <w:t>20</w:t>
      </w:r>
      <w:r w:rsidR="00D132D9">
        <w:t>; direct RCT</w:t>
      </w:r>
      <w:r>
        <w:t>).</w:t>
      </w:r>
      <w:r w:rsidRPr="006E67F0">
        <w:t xml:space="preserve"> </w:t>
      </w:r>
      <w:r w:rsidR="00D132D9">
        <w:t>In terms of safety</w:t>
      </w:r>
      <w:r w:rsidR="00B05DCD">
        <w:t>, there</w:t>
      </w:r>
      <w:r w:rsidR="00716099" w:rsidRPr="00C3176E">
        <w:t xml:space="preserve"> </w:t>
      </w:r>
      <w:r w:rsidR="00716099" w:rsidRPr="00642823">
        <w:t xml:space="preserve">were no statistically significant differences </w:t>
      </w:r>
      <w:r w:rsidR="00BD45BA" w:rsidRPr="00BD45BA">
        <w:t>across the key adverse events</w:t>
      </w:r>
      <w:r w:rsidR="00DF05A6">
        <w:t xml:space="preserve"> between the two treatment arms</w:t>
      </w:r>
      <w:r w:rsidR="00BD45BA" w:rsidRPr="00BD45BA">
        <w:t>, except for nausea and vivid dreams</w:t>
      </w:r>
      <w:r w:rsidR="00DF05A6">
        <w:t xml:space="preserve"> which were significantly higher in the varenicline arm</w:t>
      </w:r>
      <w:r w:rsidR="00BD45BA" w:rsidRPr="00BD45BA">
        <w:t>.</w:t>
      </w:r>
      <w:r w:rsidR="00716099">
        <w:t xml:space="preserve"> </w:t>
      </w:r>
      <w:r w:rsidR="00CF3EF6">
        <w:t>However, t</w:t>
      </w:r>
      <w:r w:rsidR="00CF3EF6" w:rsidRPr="00CF3EF6">
        <w:t xml:space="preserve">he results of the network meta-analysis </w:t>
      </w:r>
      <w:r w:rsidR="00CF3EF6">
        <w:t xml:space="preserve">by Cahill et al. (2013) </w:t>
      </w:r>
      <w:r w:rsidR="00CF3EF6" w:rsidRPr="00CF3EF6">
        <w:t>demonstrated no statistically significant difference</w:t>
      </w:r>
      <w:r w:rsidR="00DD6CED">
        <w:t xml:space="preserve"> in smoking </w:t>
      </w:r>
      <w:r w:rsidR="004531A1">
        <w:t>cessation rates</w:t>
      </w:r>
      <w:r w:rsidR="00CF3EF6" w:rsidRPr="00CF3EF6">
        <w:t xml:space="preserve"> between </w:t>
      </w:r>
      <w:r w:rsidR="00476325">
        <w:t>combination NRT and varenicline</w:t>
      </w:r>
      <w:r w:rsidR="00CF3EF6" w:rsidRPr="00CF3EF6">
        <w:t>, although the results numerically favoured varenicline</w:t>
      </w:r>
      <w:r w:rsidR="002E03FA">
        <w:t>, noting the type</w:t>
      </w:r>
      <w:r w:rsidR="006C333F">
        <w:t>s</w:t>
      </w:r>
      <w:r w:rsidR="002E03FA">
        <w:t xml:space="preserve"> of formulation</w:t>
      </w:r>
      <w:r w:rsidR="00EB5858">
        <w:t>s</w:t>
      </w:r>
      <w:r w:rsidR="002E03FA">
        <w:t xml:space="preserve"> used in the combination NRT treatment arm w</w:t>
      </w:r>
      <w:r w:rsidR="00AB4704">
        <w:t>ere</w:t>
      </w:r>
      <w:r w:rsidR="002E03FA">
        <w:t xml:space="preserve"> </w:t>
      </w:r>
      <w:r w:rsidR="00EB5858">
        <w:t xml:space="preserve">clinically </w:t>
      </w:r>
      <w:r w:rsidR="00B05DCD">
        <w:t>heterogeneous</w:t>
      </w:r>
      <w:r w:rsidR="00EB5858">
        <w:t>.</w:t>
      </w:r>
      <w:r w:rsidR="002E03FA">
        <w:t xml:space="preserve"> </w:t>
      </w:r>
      <w:r w:rsidR="003A1F0A" w:rsidRPr="003A1F0A">
        <w:t xml:space="preserve">The results of the network meta-analysis should be interpreted with caution </w:t>
      </w:r>
      <w:r w:rsidR="003A1F0A">
        <w:t>due to</w:t>
      </w:r>
      <w:r w:rsidR="003A1F0A" w:rsidRPr="003A1F0A">
        <w:t xml:space="preserve"> potential biases and uncertainties </w:t>
      </w:r>
      <w:r w:rsidR="003A1F0A">
        <w:t>arising from</w:t>
      </w:r>
      <w:r w:rsidR="003A1F0A" w:rsidRPr="003A1F0A">
        <w:t xml:space="preserve"> heterogeneity and inconsistent outcomes between studies</w:t>
      </w:r>
      <w:r w:rsidR="003A1F0A">
        <w:t>.</w:t>
      </w:r>
    </w:p>
    <w:p w:rsidR="00FA0F4E" w:rsidRDefault="00FA0F4E" w:rsidP="00D97DF0">
      <w:r>
        <w:t>For the comparison of combination NRT versus bupropion,</w:t>
      </w:r>
      <w:r w:rsidR="00B60DB8" w:rsidRPr="00B60DB8">
        <w:t xml:space="preserve"> the results of the network meta-analysis by Cahill et al. (2013) demonstrated </w:t>
      </w:r>
      <w:r w:rsidR="00BF28EE">
        <w:t xml:space="preserve">a </w:t>
      </w:r>
      <w:r w:rsidR="00BF28EE" w:rsidRPr="00BF28EE">
        <w:t>statistically significant difference</w:t>
      </w:r>
      <w:r w:rsidR="00BF28EE">
        <w:t xml:space="preserve"> in smoking cessation rates</w:t>
      </w:r>
      <w:r w:rsidR="00BF28EE" w:rsidRPr="00BF28EE">
        <w:t xml:space="preserve"> between the two treatment arms, in favour of combination NRT</w:t>
      </w:r>
      <w:r w:rsidR="00497485">
        <w:t xml:space="preserve"> (no direct RCT was identified for this comparison).</w:t>
      </w:r>
      <w:r w:rsidR="00F226DA" w:rsidRPr="00F226DA">
        <w:t xml:space="preserve"> </w:t>
      </w:r>
      <w:r w:rsidR="005A2BFE">
        <w:t xml:space="preserve">Similarly, </w:t>
      </w:r>
      <w:r w:rsidR="00E44386" w:rsidRPr="00E44386">
        <w:t>th</w:t>
      </w:r>
      <w:r w:rsidR="00E44386">
        <w:t>is</w:t>
      </w:r>
      <w:r w:rsidR="00E44386" w:rsidRPr="00E44386">
        <w:t xml:space="preserve"> result should be interpreted with caution </w:t>
      </w:r>
      <w:r w:rsidR="00E44386">
        <w:t>due to the general limitation</w:t>
      </w:r>
      <w:r w:rsidR="00924E2A">
        <w:t>s</w:t>
      </w:r>
      <w:r w:rsidR="00E44386">
        <w:t xml:space="preserve"> of network meta-analyses and</w:t>
      </w:r>
      <w:r w:rsidR="005A2BFE">
        <w:t xml:space="preserve"> </w:t>
      </w:r>
      <w:r w:rsidR="005A2BFE" w:rsidRPr="005A2BFE">
        <w:t>the type</w:t>
      </w:r>
      <w:r w:rsidR="00EB5858">
        <w:t>s</w:t>
      </w:r>
      <w:r w:rsidR="005A2BFE" w:rsidRPr="005A2BFE">
        <w:t xml:space="preserve"> of formulation</w:t>
      </w:r>
      <w:r w:rsidR="00EB5858">
        <w:t>s</w:t>
      </w:r>
      <w:r w:rsidR="005A2BFE" w:rsidRPr="005A2BFE">
        <w:t xml:space="preserve"> used in the combination NRT treatment arm w</w:t>
      </w:r>
      <w:r w:rsidR="00AB4704">
        <w:t>ere</w:t>
      </w:r>
      <w:r w:rsidR="005A2BFE" w:rsidRPr="005A2BFE">
        <w:t xml:space="preserve"> </w:t>
      </w:r>
      <w:r w:rsidR="00EB5858">
        <w:t xml:space="preserve">clinically </w:t>
      </w:r>
      <w:r w:rsidR="00B05DCD">
        <w:t>heterogeneous</w:t>
      </w:r>
      <w:r w:rsidR="00C45BC7">
        <w:t xml:space="preserve">. </w:t>
      </w:r>
    </w:p>
    <w:p w:rsidR="009D2746" w:rsidRPr="003045D2" w:rsidRDefault="009D2746" w:rsidP="009D2746">
      <w:pPr>
        <w:rPr>
          <w:b/>
          <w:bCs/>
        </w:rPr>
      </w:pPr>
      <w:r w:rsidRPr="003045D2">
        <w:rPr>
          <w:b/>
          <w:bCs/>
        </w:rPr>
        <w:t xml:space="preserve">Combination </w:t>
      </w:r>
      <w:r w:rsidR="00503D09">
        <w:rPr>
          <w:b/>
          <w:bCs/>
        </w:rPr>
        <w:t>varenicline</w:t>
      </w:r>
    </w:p>
    <w:p w:rsidR="009D2746" w:rsidRDefault="009D2746" w:rsidP="009D2746">
      <w:pPr>
        <w:rPr>
          <w:i/>
          <w:iCs/>
        </w:rPr>
      </w:pPr>
      <w:r w:rsidRPr="003045D2">
        <w:rPr>
          <w:i/>
          <w:iCs/>
        </w:rPr>
        <w:t>Treatment-naïve population</w:t>
      </w:r>
    </w:p>
    <w:p w:rsidR="00503D09" w:rsidRDefault="00503D09" w:rsidP="00503D09">
      <w:r>
        <w:t>Based on the evidence presented (Chang</w:t>
      </w:r>
      <w:r w:rsidRPr="00C32913">
        <w:t xml:space="preserve"> et al. 201</w:t>
      </w:r>
      <w:r>
        <w:t xml:space="preserve">5), varenicline in combination with NRT patch was shown to provide a statistically significant improvement in long-term smoking cessation rates compared with varenicline alone, noting that the results were no longer significant after </w:t>
      </w:r>
      <w:r w:rsidRPr="00503D09">
        <w:t>excluding one RCT (Koegelenberg et al. 2014) identified to be different in study design (pre-cessation treatment with patch) and participant characteristics (more females than males).</w:t>
      </w:r>
      <w:r>
        <w:t xml:space="preserve"> T</w:t>
      </w:r>
      <w:r w:rsidRPr="00503D09">
        <w:t>here were no statistically significant differences between varenicline plus NRT patch and varenicline alone in terms of nausea, insomnia, abnormal dreams or headache</w:t>
      </w:r>
      <w:r w:rsidR="00825575">
        <w:t>.</w:t>
      </w:r>
    </w:p>
    <w:p w:rsidR="00921C7A" w:rsidRDefault="00D44180" w:rsidP="00D44180">
      <w:r>
        <w:t xml:space="preserve">For the comparison of varenicline in combination with bupropion versus varenicline alone, </w:t>
      </w:r>
      <w:r w:rsidR="00280C6A" w:rsidRPr="00280C6A">
        <w:t xml:space="preserve">there were no statistically significant differences </w:t>
      </w:r>
      <w:r w:rsidR="00FF3E98">
        <w:t xml:space="preserve">in </w:t>
      </w:r>
      <w:r w:rsidR="00123ACB">
        <w:t>long-term smoking cessation rates</w:t>
      </w:r>
      <w:r w:rsidR="00FF3E98">
        <w:t xml:space="preserve"> between the two treatment</w:t>
      </w:r>
      <w:r w:rsidR="00B97CF5">
        <w:t>s</w:t>
      </w:r>
      <w:r w:rsidR="00921C7A">
        <w:t xml:space="preserve"> (Howes et al. 2020). </w:t>
      </w:r>
      <w:r w:rsidR="007515FB">
        <w:t>While</w:t>
      </w:r>
      <w:r w:rsidR="002632F4">
        <w:t xml:space="preserve"> </w:t>
      </w:r>
      <w:r w:rsidR="002632F4" w:rsidRPr="00F226DA">
        <w:t>a significantly higher proportion of patients in the varenicline plus bupropion arm experienc</w:t>
      </w:r>
      <w:r w:rsidR="00E70292">
        <w:t>ed</w:t>
      </w:r>
      <w:r w:rsidR="002632F4" w:rsidRPr="00F226DA">
        <w:t xml:space="preserve"> any adverse events and psychiatric adverse events compared with patients in the varenicline alone arm</w:t>
      </w:r>
      <w:r w:rsidR="001C4AC9">
        <w:t>, t</w:t>
      </w:r>
      <w:r w:rsidR="002632F4" w:rsidRPr="00F226DA">
        <w:t>here were no statistically significant differences in serious adverse events and discontinuation due to adverse events.</w:t>
      </w:r>
    </w:p>
    <w:p w:rsidR="00AC109C" w:rsidRPr="003045D2" w:rsidRDefault="00AC109C" w:rsidP="00AC109C">
      <w:pPr>
        <w:rPr>
          <w:b/>
          <w:bCs/>
        </w:rPr>
      </w:pPr>
      <w:r w:rsidRPr="003045D2">
        <w:rPr>
          <w:b/>
          <w:bCs/>
        </w:rPr>
        <w:t xml:space="preserve">Combination </w:t>
      </w:r>
      <w:r>
        <w:rPr>
          <w:b/>
          <w:bCs/>
        </w:rPr>
        <w:t>bupropion</w:t>
      </w:r>
    </w:p>
    <w:p w:rsidR="00AC109C" w:rsidRDefault="00AC109C" w:rsidP="00AC109C">
      <w:pPr>
        <w:rPr>
          <w:i/>
          <w:iCs/>
        </w:rPr>
      </w:pPr>
      <w:r w:rsidRPr="003045D2">
        <w:rPr>
          <w:i/>
          <w:iCs/>
        </w:rPr>
        <w:t>Treatment-naïve population</w:t>
      </w:r>
    </w:p>
    <w:p w:rsidR="002D649F" w:rsidRDefault="00EB0810" w:rsidP="00EB0810">
      <w:r>
        <w:t xml:space="preserve">Based on the evidence presented (Howes </w:t>
      </w:r>
      <w:r w:rsidRPr="00C32913">
        <w:t>et al. 20</w:t>
      </w:r>
      <w:r>
        <w:t xml:space="preserve">20), </w:t>
      </w:r>
      <w:r w:rsidR="00736629" w:rsidRPr="00736629">
        <w:t xml:space="preserve">there were no statistically significant differences </w:t>
      </w:r>
      <w:r w:rsidR="00736629">
        <w:t xml:space="preserve">in long-term smoking cessation rates between </w:t>
      </w:r>
      <w:r w:rsidR="0065713F">
        <w:t xml:space="preserve">bupropion in combination with NRT </w:t>
      </w:r>
      <w:r w:rsidR="00736629">
        <w:t>and</w:t>
      </w:r>
      <w:r w:rsidR="002D649F">
        <w:t xml:space="preserve"> NRT alone </w:t>
      </w:r>
      <w:r w:rsidR="002D649F" w:rsidRPr="002D649F">
        <w:t>(</w:t>
      </w:r>
      <w:r w:rsidR="00302F73">
        <w:t xml:space="preserve">either as </w:t>
      </w:r>
      <w:r w:rsidR="002D649F" w:rsidRPr="002D649F">
        <w:t>patch, lozenge or choice of NRT)</w:t>
      </w:r>
      <w:r w:rsidR="00302F73">
        <w:t xml:space="preserve">. </w:t>
      </w:r>
      <w:r w:rsidR="0079080C">
        <w:t>While</w:t>
      </w:r>
      <w:r w:rsidR="00302F73">
        <w:t xml:space="preserve"> a</w:t>
      </w:r>
      <w:r w:rsidR="00302F73" w:rsidRPr="00302F73">
        <w:t xml:space="preserve"> significantly higher proportion of patients in the bupropion plus NRT arm experienc</w:t>
      </w:r>
      <w:r w:rsidR="00E70292">
        <w:t>ed</w:t>
      </w:r>
      <w:r w:rsidR="00302F73" w:rsidRPr="00302F73">
        <w:t xml:space="preserve"> any adverse events compared with patients in the NRT alone arm</w:t>
      </w:r>
      <w:r w:rsidR="001C4AC9">
        <w:t>, t</w:t>
      </w:r>
      <w:r w:rsidR="00302F73" w:rsidRPr="00302F73">
        <w:t>here were no statistically significant differences in serious adverse events and discontinuation due to adverse events.</w:t>
      </w:r>
    </w:p>
    <w:p w:rsidR="008E0B29" w:rsidRDefault="008E0B29" w:rsidP="008E0B29">
      <w:pPr>
        <w:rPr>
          <w:i/>
          <w:iCs/>
        </w:rPr>
      </w:pPr>
      <w:r w:rsidRPr="003045D2">
        <w:rPr>
          <w:i/>
          <w:iCs/>
        </w:rPr>
        <w:t>Treatment-</w:t>
      </w:r>
      <w:r>
        <w:rPr>
          <w:i/>
          <w:iCs/>
        </w:rPr>
        <w:t>experienced</w:t>
      </w:r>
      <w:r w:rsidRPr="003045D2">
        <w:rPr>
          <w:i/>
          <w:iCs/>
        </w:rPr>
        <w:t xml:space="preserve"> population</w:t>
      </w:r>
    </w:p>
    <w:p w:rsidR="003045D2" w:rsidRPr="003045D2" w:rsidRDefault="00E44A3B" w:rsidP="003045D2">
      <w:r>
        <w:lastRenderedPageBreak/>
        <w:t xml:space="preserve">Based on the evidence presented (Livingstone-Banks </w:t>
      </w:r>
      <w:r w:rsidRPr="00C32913">
        <w:t>et al. 20</w:t>
      </w:r>
      <w:r>
        <w:t xml:space="preserve">19), </w:t>
      </w:r>
      <w:r w:rsidR="00736629" w:rsidRPr="00736629">
        <w:t xml:space="preserve">there were no statistically significant differences </w:t>
      </w:r>
      <w:r w:rsidR="00736629">
        <w:t xml:space="preserve">in long-term smoking cessation rates between </w:t>
      </w:r>
      <w:r>
        <w:t xml:space="preserve">bupropion in combination with NRT </w:t>
      </w:r>
      <w:r w:rsidR="002A765E">
        <w:t>(</w:t>
      </w:r>
      <w:r w:rsidR="00736629">
        <w:t xml:space="preserve">either as </w:t>
      </w:r>
      <w:r w:rsidR="002A765E">
        <w:t>gum</w:t>
      </w:r>
      <w:r w:rsidR="00736629">
        <w:t xml:space="preserve"> or</w:t>
      </w:r>
      <w:r w:rsidR="002A765E">
        <w:t xml:space="preserve"> inhaler)</w:t>
      </w:r>
      <w:r>
        <w:t xml:space="preserve"> </w:t>
      </w:r>
      <w:r w:rsidR="008D25B2">
        <w:t>and</w:t>
      </w:r>
      <w:r>
        <w:t xml:space="preserve"> placebo</w:t>
      </w:r>
      <w:r w:rsidDel="008D25B2">
        <w:t xml:space="preserve"> </w:t>
      </w:r>
      <w:r>
        <w:t>as a</w:t>
      </w:r>
      <w:r w:rsidRPr="0068629C">
        <w:t xml:space="preserve"> relapse prevention</w:t>
      </w:r>
      <w:r>
        <w:t xml:space="preserve"> treatment in abstainers</w:t>
      </w:r>
      <w:r w:rsidR="00A72A5B">
        <w:t>.</w:t>
      </w:r>
      <w:r w:rsidR="00857080">
        <w:t xml:space="preserve"> The safety of</w:t>
      </w:r>
      <w:r w:rsidR="00857080" w:rsidRPr="00436A90">
        <w:t xml:space="preserve"> </w:t>
      </w:r>
      <w:r w:rsidR="00FF45F3">
        <w:t xml:space="preserve">bupropion in combination with NRT </w:t>
      </w:r>
      <w:r w:rsidR="00857080">
        <w:t>versus</w:t>
      </w:r>
      <w:r w:rsidR="00FF45F3">
        <w:t xml:space="preserve"> </w:t>
      </w:r>
      <w:r w:rsidR="00857080" w:rsidRPr="00436A90">
        <w:t>placebo in abstainers for relapse prevention was not assessed by Livingstone-Banks et al. (2019)</w:t>
      </w:r>
      <w:r w:rsidR="00055555">
        <w:t xml:space="preserve"> and Croghan et al. (2007), </w:t>
      </w:r>
      <w:r w:rsidR="00055555" w:rsidRPr="008B3AD3">
        <w:t>however the adverse events reported were consistent with those expected of bupropion</w:t>
      </w:r>
      <w:r w:rsidR="00055555" w:rsidRPr="00055555">
        <w:t xml:space="preserve"> and</w:t>
      </w:r>
      <w:r w:rsidR="00055555">
        <w:t xml:space="preserve"> NRT</w:t>
      </w:r>
      <w:r w:rsidR="00857080" w:rsidRPr="00436A90">
        <w:t>.</w:t>
      </w:r>
    </w:p>
    <w:p w:rsidR="00503E62" w:rsidRDefault="00503E62" w:rsidP="00611F34"/>
    <w:p w:rsidR="00503E62" w:rsidRDefault="00503E62" w:rsidP="00611F34">
      <w:pPr>
        <w:sectPr w:rsidR="00503E62" w:rsidSect="006356D2">
          <w:pgSz w:w="11906" w:h="16838"/>
          <w:pgMar w:top="1440" w:right="1440" w:bottom="1440" w:left="1440" w:header="708" w:footer="708" w:gutter="0"/>
          <w:cols w:space="708"/>
          <w:titlePg/>
          <w:docGrid w:linePitch="360"/>
        </w:sectPr>
      </w:pPr>
    </w:p>
    <w:p w:rsidR="00C14DDE" w:rsidRDefault="00C14DDE" w:rsidP="00C14DDE">
      <w:pPr>
        <w:pStyle w:val="Heading3"/>
      </w:pPr>
      <w:bookmarkStart w:id="175" w:name="_Ref54623019"/>
      <w:bookmarkStart w:id="176" w:name="_Toc72850860"/>
      <w:bookmarkStart w:id="177" w:name="_Toc73525625"/>
      <w:r>
        <w:lastRenderedPageBreak/>
        <w:t>NRT dose, dosage form and length of therapy</w:t>
      </w:r>
      <w:bookmarkEnd w:id="175"/>
      <w:bookmarkEnd w:id="176"/>
      <w:bookmarkEnd w:id="177"/>
    </w:p>
    <w:p w:rsidR="000D7519" w:rsidRDefault="00050691" w:rsidP="00804397">
      <w:pPr>
        <w:jc w:val="both"/>
      </w:pPr>
      <w:r>
        <w:t>Th</w:t>
      </w:r>
      <w:r w:rsidR="002C1C20">
        <w:t>e aim of this</w:t>
      </w:r>
      <w:r>
        <w:t xml:space="preserve"> section</w:t>
      </w:r>
      <w:r w:rsidR="00804397">
        <w:t xml:space="preserve"> </w:t>
      </w:r>
      <w:r w:rsidR="002C1C20">
        <w:t>was</w:t>
      </w:r>
      <w:r w:rsidR="00804397">
        <w:t xml:space="preserve"> to examine the efficacy and safety of NRT with respect to dose, dosage form</w:t>
      </w:r>
      <w:r>
        <w:t xml:space="preserve"> and</w:t>
      </w:r>
      <w:r w:rsidR="00804397">
        <w:t xml:space="preserve"> length of therapy.</w:t>
      </w:r>
      <w:r>
        <w:t xml:space="preserve"> T</w:t>
      </w:r>
      <w:r w:rsidR="00804397">
        <w:t xml:space="preserve">he efficacy and safety of NRT </w:t>
      </w:r>
      <w:r w:rsidR="001E6267">
        <w:t xml:space="preserve">as </w:t>
      </w:r>
      <w:r w:rsidR="006C0C36">
        <w:t>monotherapy</w:t>
      </w:r>
      <w:r w:rsidR="00240CD3">
        <w:t xml:space="preserve"> (</w:t>
      </w:r>
      <w:r w:rsidR="00804397">
        <w:t>PBS-</w:t>
      </w:r>
      <w:r w:rsidR="00181AF1">
        <w:t>listed)</w:t>
      </w:r>
      <w:r w:rsidR="00804397">
        <w:t xml:space="preserve"> and combination therapy</w:t>
      </w:r>
      <w:r>
        <w:t xml:space="preserve"> have been summarised in Section </w:t>
      </w:r>
      <w:r w:rsidR="003C4A1C">
        <w:t>3.3.1</w:t>
      </w:r>
      <w:r>
        <w:t xml:space="preserve"> and Section </w:t>
      </w:r>
      <w:r w:rsidR="003C4A1C">
        <w:t>3.3.2</w:t>
      </w:r>
      <w:r w:rsidR="00804397">
        <w:t>.</w:t>
      </w:r>
    </w:p>
    <w:p w:rsidR="000D7519" w:rsidRDefault="000D7519" w:rsidP="00804397">
      <w:pPr>
        <w:jc w:val="both"/>
      </w:pPr>
      <w:r w:rsidRPr="000D7519">
        <w:t xml:space="preserve">A summary of new evidence identified comparing </w:t>
      </w:r>
      <w:r>
        <w:t xml:space="preserve">different NRT dose, dosage form, and </w:t>
      </w:r>
      <w:r w:rsidR="000A088E">
        <w:t>length of therapy</w:t>
      </w:r>
      <w:r>
        <w:t xml:space="preserve"> </w:t>
      </w:r>
      <w:r w:rsidRPr="000D7519">
        <w:t>is presented</w:t>
      </w:r>
      <w:r w:rsidR="000A088E">
        <w:t xml:space="preserve"> in </w:t>
      </w:r>
      <w:r w:rsidR="003C4A1C">
        <w:t xml:space="preserve">Table </w:t>
      </w:r>
      <w:r w:rsidR="003C4A1C">
        <w:rPr>
          <w:noProof/>
        </w:rPr>
        <w:t>81</w:t>
      </w:r>
      <w:r w:rsidR="000A088E">
        <w:t>.</w:t>
      </w:r>
    </w:p>
    <w:p w:rsidR="0049696D" w:rsidRDefault="0049696D" w:rsidP="0042494A">
      <w:pPr>
        <w:pStyle w:val="Caption"/>
        <w:keepNext/>
      </w:pPr>
      <w:bookmarkStart w:id="178" w:name="_Ref61858833"/>
      <w:r>
        <w:t xml:space="preserve">Table </w:t>
      </w:r>
      <w:r w:rsidR="003C4A1C">
        <w:rPr>
          <w:noProof/>
        </w:rPr>
        <w:t>81</w:t>
      </w:r>
      <w:bookmarkEnd w:id="178"/>
      <w:r>
        <w:t xml:space="preserve">: </w:t>
      </w:r>
      <w:r w:rsidRPr="00067364">
        <w:t xml:space="preserve">New evidence identified comparing </w:t>
      </w:r>
      <w:r w:rsidR="000A088E">
        <w:t>different NRT dose, dosage form, and length of therapy</w:t>
      </w:r>
    </w:p>
    <w:tbl>
      <w:tblPr>
        <w:tblStyle w:val="TableGrid"/>
        <w:tblW w:w="5000" w:type="pct"/>
        <w:tblLook w:val="04A0" w:firstRow="1" w:lastRow="0" w:firstColumn="1" w:lastColumn="0" w:noHBand="0" w:noVBand="1"/>
      </w:tblPr>
      <w:tblGrid>
        <w:gridCol w:w="2971"/>
        <w:gridCol w:w="3403"/>
        <w:gridCol w:w="2642"/>
      </w:tblGrid>
      <w:tr w:rsidR="00CD079A" w:rsidTr="00121A5E">
        <w:trPr>
          <w:trHeight w:val="241"/>
        </w:trPr>
        <w:tc>
          <w:tcPr>
            <w:tcW w:w="1648" w:type="pct"/>
            <w:shd w:val="clear" w:color="auto" w:fill="BFBFBF" w:themeFill="background1" w:themeFillShade="BF"/>
          </w:tcPr>
          <w:p w:rsidR="00CD079A" w:rsidRDefault="00CD079A" w:rsidP="00D10504">
            <w:pPr>
              <w:pStyle w:val="Tableheading"/>
              <w:keepNext/>
              <w:jc w:val="center"/>
            </w:pPr>
          </w:p>
        </w:tc>
        <w:tc>
          <w:tcPr>
            <w:tcW w:w="1887" w:type="pct"/>
            <w:shd w:val="clear" w:color="auto" w:fill="BFBFBF" w:themeFill="background1" w:themeFillShade="BF"/>
          </w:tcPr>
          <w:p w:rsidR="00CD079A" w:rsidRDefault="00CD079A" w:rsidP="00D10504">
            <w:pPr>
              <w:pStyle w:val="Tableheading"/>
              <w:keepNext/>
              <w:jc w:val="center"/>
            </w:pPr>
            <w:r>
              <w:t>New evidence identified</w:t>
            </w:r>
          </w:p>
          <w:p w:rsidR="00CD079A" w:rsidRDefault="00CD079A" w:rsidP="00D10504">
            <w:pPr>
              <w:pStyle w:val="Tableheading"/>
              <w:keepNext/>
              <w:jc w:val="center"/>
            </w:pPr>
            <w:r>
              <w:t>(Cochrane Review)</w:t>
            </w:r>
          </w:p>
        </w:tc>
        <w:tc>
          <w:tcPr>
            <w:tcW w:w="1465" w:type="pct"/>
            <w:shd w:val="clear" w:color="auto" w:fill="BFBFBF" w:themeFill="background1" w:themeFillShade="BF"/>
          </w:tcPr>
          <w:p w:rsidR="00CD079A" w:rsidRDefault="00CD079A" w:rsidP="00D10504">
            <w:pPr>
              <w:pStyle w:val="Tableheading"/>
              <w:keepNext/>
              <w:jc w:val="center"/>
            </w:pPr>
            <w:r>
              <w:t>Additional empirical evidence identified</w:t>
            </w:r>
          </w:p>
        </w:tc>
      </w:tr>
      <w:tr w:rsidR="00CD079A" w:rsidTr="00121A5E">
        <w:tc>
          <w:tcPr>
            <w:tcW w:w="1648" w:type="pct"/>
          </w:tcPr>
          <w:p w:rsidR="00CD079A" w:rsidRDefault="00CD079A" w:rsidP="00D10504">
            <w:pPr>
              <w:pStyle w:val="Tablewriting"/>
              <w:keepNext/>
            </w:pPr>
            <w:r>
              <w:t>NRT dose</w:t>
            </w:r>
          </w:p>
        </w:tc>
        <w:tc>
          <w:tcPr>
            <w:tcW w:w="1887" w:type="pct"/>
          </w:tcPr>
          <w:p w:rsidR="00CD079A" w:rsidRDefault="00CD079A" w:rsidP="00D10504">
            <w:pPr>
              <w:pStyle w:val="Tablewriting"/>
              <w:keepNext/>
            </w:pPr>
            <w:r>
              <w:t>Lindson (2019)</w:t>
            </w:r>
          </w:p>
        </w:tc>
        <w:tc>
          <w:tcPr>
            <w:tcW w:w="1465" w:type="pct"/>
          </w:tcPr>
          <w:p w:rsidR="00CD079A" w:rsidRDefault="007E3B1A" w:rsidP="00D10504">
            <w:pPr>
              <w:pStyle w:val="Tablewriting"/>
              <w:keepNext/>
            </w:pPr>
            <w:r>
              <w:t>None identified</w:t>
            </w:r>
          </w:p>
        </w:tc>
      </w:tr>
      <w:tr w:rsidR="00CD079A" w:rsidTr="00121A5E">
        <w:tc>
          <w:tcPr>
            <w:tcW w:w="1648" w:type="pct"/>
          </w:tcPr>
          <w:p w:rsidR="00CD079A" w:rsidRDefault="00CD079A" w:rsidP="00D10504">
            <w:pPr>
              <w:pStyle w:val="Tablewriting"/>
              <w:keepNext/>
            </w:pPr>
            <w:r>
              <w:t>Length of therapy</w:t>
            </w:r>
          </w:p>
        </w:tc>
        <w:tc>
          <w:tcPr>
            <w:tcW w:w="1887" w:type="pct"/>
          </w:tcPr>
          <w:p w:rsidR="00CD079A" w:rsidRDefault="007E3B1A" w:rsidP="00D10504">
            <w:pPr>
              <w:pStyle w:val="Tablewriting"/>
              <w:keepNext/>
            </w:pPr>
            <w:r>
              <w:t>Lindson (2019)</w:t>
            </w:r>
          </w:p>
        </w:tc>
        <w:tc>
          <w:tcPr>
            <w:tcW w:w="1465" w:type="pct"/>
          </w:tcPr>
          <w:p w:rsidR="00CD079A" w:rsidRPr="0042494A" w:rsidRDefault="007E3B1A" w:rsidP="00D10504">
            <w:pPr>
              <w:pStyle w:val="Tablewriting"/>
              <w:keepNext/>
            </w:pPr>
            <w:r w:rsidRPr="0042494A">
              <w:t>Ellerbeck (2018)</w:t>
            </w:r>
          </w:p>
        </w:tc>
      </w:tr>
      <w:tr w:rsidR="00CD079A" w:rsidTr="00121A5E">
        <w:tc>
          <w:tcPr>
            <w:tcW w:w="1648" w:type="pct"/>
          </w:tcPr>
          <w:p w:rsidR="00CD079A" w:rsidRDefault="00CD079A" w:rsidP="00D10504">
            <w:pPr>
              <w:pStyle w:val="Tablewriting"/>
              <w:keepNext/>
            </w:pPr>
            <w:r>
              <w:t>Dosing schedule</w:t>
            </w:r>
          </w:p>
        </w:tc>
        <w:tc>
          <w:tcPr>
            <w:tcW w:w="1887" w:type="pct"/>
          </w:tcPr>
          <w:p w:rsidR="00CD079A" w:rsidRPr="0012484D" w:rsidRDefault="007E3B1A" w:rsidP="00D10504">
            <w:pPr>
              <w:pStyle w:val="Tablewriting"/>
              <w:keepNext/>
            </w:pPr>
            <w:r>
              <w:t>Lindson (2019), Lindson (2019b)</w:t>
            </w:r>
          </w:p>
        </w:tc>
        <w:tc>
          <w:tcPr>
            <w:tcW w:w="1465" w:type="pct"/>
          </w:tcPr>
          <w:p w:rsidR="00CD079A" w:rsidRDefault="007E3B1A" w:rsidP="00D10504">
            <w:pPr>
              <w:pStyle w:val="Tablewriting"/>
              <w:keepNext/>
            </w:pPr>
            <w:r>
              <w:t>Dedert (2018)</w:t>
            </w:r>
          </w:p>
        </w:tc>
      </w:tr>
      <w:tr w:rsidR="00CD079A" w:rsidTr="00121A5E">
        <w:tc>
          <w:tcPr>
            <w:tcW w:w="1648" w:type="pct"/>
          </w:tcPr>
          <w:p w:rsidR="00CD079A" w:rsidRDefault="00CD079A" w:rsidP="00D10504">
            <w:pPr>
              <w:pStyle w:val="Tablewriting"/>
              <w:keepNext/>
            </w:pPr>
            <w:r>
              <w:t>Non-PBS listed NRT dosage form</w:t>
            </w:r>
            <w:r w:rsidR="00121A5E">
              <w:t>s</w:t>
            </w:r>
          </w:p>
        </w:tc>
        <w:tc>
          <w:tcPr>
            <w:tcW w:w="1887" w:type="pct"/>
          </w:tcPr>
          <w:p w:rsidR="00CD079A" w:rsidRPr="0042494A" w:rsidRDefault="007E3B1A" w:rsidP="00D10504">
            <w:pPr>
              <w:pStyle w:val="Tablewriting"/>
              <w:keepNext/>
            </w:pPr>
            <w:r>
              <w:t>Hartmann-Boyce (2018), Lindson (2019)</w:t>
            </w:r>
          </w:p>
        </w:tc>
        <w:tc>
          <w:tcPr>
            <w:tcW w:w="1465" w:type="pct"/>
          </w:tcPr>
          <w:p w:rsidR="00CD079A" w:rsidRPr="0042494A" w:rsidRDefault="007E3B1A" w:rsidP="00D10504">
            <w:pPr>
              <w:pStyle w:val="Tablewriting"/>
              <w:keepNext/>
            </w:pPr>
            <w:r w:rsidRPr="0042494A">
              <w:t>O</w:t>
            </w:r>
            <w:r w:rsidR="0049696D" w:rsidRPr="0042494A">
              <w:t>ncken (2019), Nides (2020)</w:t>
            </w:r>
          </w:p>
        </w:tc>
      </w:tr>
    </w:tbl>
    <w:p w:rsidR="00804397" w:rsidRDefault="007C586E" w:rsidP="0042494A">
      <w:pPr>
        <w:pStyle w:val="TableFooter"/>
      </w:pPr>
      <w:r>
        <w:t>Abbreviations: NRT = nicotine replacement therapy; PBS = Pharmaceutical Benefits Scheme</w:t>
      </w:r>
    </w:p>
    <w:p w:rsidR="004E35A5" w:rsidRDefault="00E5450C" w:rsidP="00804397">
      <w:pPr>
        <w:jc w:val="both"/>
      </w:pPr>
      <w:r>
        <w:t>Three</w:t>
      </w:r>
      <w:r w:rsidR="00804397">
        <w:t xml:space="preserve"> Cochrane </w:t>
      </w:r>
      <w:r w:rsidR="00CB021B">
        <w:t>R</w:t>
      </w:r>
      <w:r w:rsidR="00804397">
        <w:t>eview</w:t>
      </w:r>
      <w:r>
        <w:t>s</w:t>
      </w:r>
      <w:r w:rsidR="00804397">
        <w:t xml:space="preserve"> w</w:t>
      </w:r>
      <w:r w:rsidR="0001086E">
        <w:t>ere</w:t>
      </w:r>
      <w:r w:rsidR="00804397">
        <w:t xml:space="preserve"> identified in the systematic literature search </w:t>
      </w:r>
      <w:r w:rsidR="009F06B5">
        <w:t xml:space="preserve">and were included in this report. </w:t>
      </w:r>
      <w:r w:rsidR="009F06B5" w:rsidRPr="009F06B5">
        <w:t xml:space="preserve">Lindson et al. </w:t>
      </w:r>
      <w:r w:rsidR="009F06B5">
        <w:t>(</w:t>
      </w:r>
      <w:r w:rsidR="009F06B5" w:rsidRPr="009F06B5">
        <w:t>2019</w:t>
      </w:r>
      <w:r w:rsidR="009F06B5">
        <w:t>)</w:t>
      </w:r>
      <w:r w:rsidR="00804397" w:rsidDel="00CC647D">
        <w:t xml:space="preserve"> </w:t>
      </w:r>
      <w:r w:rsidR="00CC647D">
        <w:t xml:space="preserve">examined </w:t>
      </w:r>
      <w:r w:rsidR="00804397">
        <w:t xml:space="preserve">different NRT dose, dosage form, length of therapy in terms of comparative effectiveness and safety for achieving long-term smoking cessation. </w:t>
      </w:r>
      <w:r w:rsidR="009F06B5" w:rsidRPr="009F06B5">
        <w:t xml:space="preserve">Lindson et al. </w:t>
      </w:r>
      <w:r w:rsidR="009F06B5">
        <w:t>(</w:t>
      </w:r>
      <w:r w:rsidR="009F06B5" w:rsidRPr="009F06B5">
        <w:t>2019b</w:t>
      </w:r>
      <w:r w:rsidR="009F06B5">
        <w:t>) and</w:t>
      </w:r>
      <w:r w:rsidR="009F06B5" w:rsidRPr="009F06B5">
        <w:t xml:space="preserve"> Hartmann-Boyce et al. </w:t>
      </w:r>
      <w:r w:rsidR="009F06B5">
        <w:t>(</w:t>
      </w:r>
      <w:r w:rsidR="009F06B5" w:rsidRPr="009F06B5">
        <w:t>2018</w:t>
      </w:r>
      <w:r w:rsidR="009F06B5">
        <w:t xml:space="preserve">) assessed </w:t>
      </w:r>
      <w:r w:rsidR="009F06B5" w:rsidRPr="009F06B5">
        <w:t xml:space="preserve">the comparative effectiveness and safety of cut-down-to quit, or smoking reduction, dosing schedule interventions and non-PBS </w:t>
      </w:r>
      <w:r w:rsidR="002D1728">
        <w:t>listed</w:t>
      </w:r>
      <w:r w:rsidR="009F06B5" w:rsidRPr="009F06B5">
        <w:t xml:space="preserve"> dosage forms.</w:t>
      </w:r>
    </w:p>
    <w:p w:rsidR="004A0225" w:rsidRDefault="004E35A5" w:rsidP="00804397">
      <w:pPr>
        <w:jc w:val="both"/>
      </w:pPr>
      <w:r>
        <w:t xml:space="preserve">Four </w:t>
      </w:r>
      <w:r w:rsidRPr="004E35A5">
        <w:t>new stud</w:t>
      </w:r>
      <w:r>
        <w:t>ies</w:t>
      </w:r>
      <w:r w:rsidRPr="004E35A5">
        <w:t xml:space="preserve"> w</w:t>
      </w:r>
      <w:r>
        <w:t>ere</w:t>
      </w:r>
      <w:r w:rsidRPr="004E35A5">
        <w:t xml:space="preserve"> identified in the supplemental literature search that informed this comparison and w</w:t>
      </w:r>
      <w:r w:rsidR="0025748E">
        <w:t>ere</w:t>
      </w:r>
      <w:r w:rsidRPr="004E35A5">
        <w:t xml:space="preserve"> included in this report </w:t>
      </w:r>
      <w:r w:rsidR="00664A9E">
        <w:t>(</w:t>
      </w:r>
      <w:r w:rsidR="00664A9E" w:rsidRPr="005E592F">
        <w:t>Ellerbeck 2018</w:t>
      </w:r>
      <w:r w:rsidR="00664A9E">
        <w:t xml:space="preserve">, Dedert 2018, </w:t>
      </w:r>
      <w:r w:rsidR="00664A9E" w:rsidRPr="003018A2">
        <w:t>Oncken 2019</w:t>
      </w:r>
      <w:r w:rsidR="00664A9E">
        <w:t xml:space="preserve">, and </w:t>
      </w:r>
      <w:r w:rsidR="00664A9E" w:rsidRPr="00664A9E">
        <w:t>Nides</w:t>
      </w:r>
      <w:r w:rsidR="00664A9E">
        <w:t xml:space="preserve"> 2020</w:t>
      </w:r>
      <w:r w:rsidR="00804397">
        <w:t>.</w:t>
      </w:r>
    </w:p>
    <w:p w:rsidR="00804397" w:rsidRDefault="00804397" w:rsidP="00804397">
      <w:pPr>
        <w:jc w:val="both"/>
        <w:rPr>
          <w:highlight w:val="yellow"/>
        </w:rPr>
      </w:pPr>
      <w:r w:rsidRPr="00CC6C58">
        <w:t xml:space="preserve">A summary of the citation details for the studies comparing </w:t>
      </w:r>
      <w:r>
        <w:t xml:space="preserve">different NRT dose, dosage form, and duration </w:t>
      </w:r>
      <w:r w:rsidRPr="00CC6C58">
        <w:t>is presented in</w:t>
      </w:r>
      <w:r>
        <w:t xml:space="preserve"> </w:t>
      </w:r>
      <w:r w:rsidR="003C4A1C">
        <w:t xml:space="preserve">Table </w:t>
      </w:r>
      <w:r w:rsidR="003C4A1C">
        <w:rPr>
          <w:noProof/>
        </w:rPr>
        <w:t>82</w:t>
      </w:r>
      <w:r w:rsidR="00E04C59">
        <w:t xml:space="preserve">. </w:t>
      </w:r>
    </w:p>
    <w:p w:rsidR="00316F4A" w:rsidRDefault="00316F4A" w:rsidP="00316F4A">
      <w:pPr>
        <w:pStyle w:val="Caption"/>
        <w:keepNext/>
      </w:pPr>
      <w:bookmarkStart w:id="179" w:name="_Ref59098334"/>
      <w:r>
        <w:t xml:space="preserve">Table </w:t>
      </w:r>
      <w:r w:rsidR="003C4A1C">
        <w:rPr>
          <w:noProof/>
        </w:rPr>
        <w:t>82</w:t>
      </w:r>
      <w:bookmarkEnd w:id="179"/>
      <w:r>
        <w:t xml:space="preserve">: </w:t>
      </w:r>
      <w:r w:rsidRPr="009B6A39">
        <w:t>List of studies comparing different NRT dose, dosage form, and length of therapy</w:t>
      </w:r>
    </w:p>
    <w:tbl>
      <w:tblPr>
        <w:tblStyle w:val="TableGrid"/>
        <w:tblW w:w="0" w:type="auto"/>
        <w:tblInd w:w="108" w:type="dxa"/>
        <w:tblLook w:val="04A0" w:firstRow="1" w:lastRow="0" w:firstColumn="1" w:lastColumn="0" w:noHBand="0" w:noVBand="1"/>
      </w:tblPr>
      <w:tblGrid>
        <w:gridCol w:w="1730"/>
        <w:gridCol w:w="7178"/>
      </w:tblGrid>
      <w:tr w:rsidR="0085037A" w:rsidTr="0042494A">
        <w:tc>
          <w:tcPr>
            <w:tcW w:w="1730" w:type="dxa"/>
            <w:shd w:val="clear" w:color="auto" w:fill="BFBFBF" w:themeFill="background1" w:themeFillShade="BF"/>
            <w:vAlign w:val="center"/>
          </w:tcPr>
          <w:p w:rsidR="00804397" w:rsidRDefault="00804397" w:rsidP="00A5263B">
            <w:pPr>
              <w:pStyle w:val="Tableheading"/>
              <w:keepNext/>
            </w:pPr>
            <w:r>
              <w:t>Study</w:t>
            </w:r>
          </w:p>
        </w:tc>
        <w:tc>
          <w:tcPr>
            <w:tcW w:w="7178" w:type="dxa"/>
            <w:shd w:val="clear" w:color="auto" w:fill="BFBFBF" w:themeFill="background1" w:themeFillShade="BF"/>
            <w:vAlign w:val="center"/>
          </w:tcPr>
          <w:p w:rsidR="00804397" w:rsidRPr="00000218" w:rsidRDefault="00804397" w:rsidP="00A5263B">
            <w:pPr>
              <w:jc w:val="center"/>
              <w:rPr>
                <w:rFonts w:asciiTheme="minorHAnsi" w:hAnsiTheme="minorHAnsi" w:cstheme="minorHAnsi"/>
                <w:b/>
                <w:bCs/>
              </w:rPr>
            </w:pPr>
            <w:r w:rsidRPr="00000218">
              <w:rPr>
                <w:rFonts w:asciiTheme="minorHAnsi" w:hAnsiTheme="minorHAnsi" w:cstheme="minorHAnsi"/>
                <w:b/>
                <w:bCs/>
              </w:rPr>
              <w:t>Citation</w:t>
            </w:r>
          </w:p>
        </w:tc>
      </w:tr>
      <w:tr w:rsidR="00266DA0" w:rsidTr="00744F70">
        <w:tc>
          <w:tcPr>
            <w:tcW w:w="8908" w:type="dxa"/>
            <w:gridSpan w:val="2"/>
            <w:shd w:val="clear" w:color="auto" w:fill="auto"/>
          </w:tcPr>
          <w:p w:rsidR="00266DA0" w:rsidRPr="00744F70" w:rsidRDefault="00266DA0" w:rsidP="00A5263B">
            <w:pPr>
              <w:rPr>
                <w:b/>
                <w:bCs/>
              </w:rPr>
            </w:pPr>
            <w:r w:rsidRPr="00744F70">
              <w:rPr>
                <w:b/>
                <w:bCs/>
              </w:rPr>
              <w:t>Cochrane Review</w:t>
            </w:r>
          </w:p>
        </w:tc>
      </w:tr>
      <w:tr w:rsidR="0085037A" w:rsidTr="0042494A">
        <w:tc>
          <w:tcPr>
            <w:tcW w:w="1730" w:type="dxa"/>
          </w:tcPr>
          <w:p w:rsidR="000E486C" w:rsidRDefault="000E486C" w:rsidP="000E486C">
            <w:r>
              <w:t>Hartmann-Boyce (2018)</w:t>
            </w:r>
            <w:r w:rsidR="0039468B" w:rsidRPr="0039468B">
              <w:rPr>
                <w:noProof/>
                <w:vertAlign w:val="superscript"/>
              </w:rPr>
              <w:t>30</w:t>
            </w:r>
          </w:p>
        </w:tc>
        <w:tc>
          <w:tcPr>
            <w:tcW w:w="7178" w:type="dxa"/>
          </w:tcPr>
          <w:p w:rsidR="000E486C" w:rsidRPr="00C43107" w:rsidRDefault="000E486C" w:rsidP="000E486C">
            <w:r w:rsidRPr="00485346">
              <w:t>Hartmann-Boyce</w:t>
            </w:r>
            <w:r>
              <w:t xml:space="preserve"> </w:t>
            </w:r>
            <w:r w:rsidRPr="00485346">
              <w:t>J, Chepkin</w:t>
            </w:r>
            <w:r>
              <w:t xml:space="preserve"> </w:t>
            </w:r>
            <w:r w:rsidRPr="00485346">
              <w:t>SC, Ye</w:t>
            </w:r>
            <w:r>
              <w:t xml:space="preserve"> </w:t>
            </w:r>
            <w:r w:rsidRPr="00485346">
              <w:t>W, Bullen</w:t>
            </w:r>
            <w:r>
              <w:t xml:space="preserve"> </w:t>
            </w:r>
            <w:r w:rsidRPr="00485346">
              <w:t>C, Lancaster</w:t>
            </w:r>
            <w:r>
              <w:t xml:space="preserve"> </w:t>
            </w:r>
            <w:r w:rsidRPr="00485346">
              <w:t>T. Nicotine replacement therapy versus control for smoking cessation. Cochrane Database of Systematic Reviews 2018, Issue 5. Art. No.: CD000146. DOI: 10.1002/14651858.CD000146.pub5.</w:t>
            </w:r>
          </w:p>
        </w:tc>
      </w:tr>
      <w:tr w:rsidR="0085037A" w:rsidTr="0042494A">
        <w:tc>
          <w:tcPr>
            <w:tcW w:w="1730" w:type="dxa"/>
          </w:tcPr>
          <w:p w:rsidR="00F313B4" w:rsidRDefault="00804397" w:rsidP="00A5263B">
            <w:r>
              <w:t xml:space="preserve">Lindson </w:t>
            </w:r>
          </w:p>
          <w:p w:rsidR="00804397" w:rsidRDefault="00804397" w:rsidP="00A5263B">
            <w:r>
              <w:t>(2019)</w:t>
            </w:r>
            <w:r w:rsidR="0039468B" w:rsidRPr="00693911">
              <w:rPr>
                <w:noProof/>
                <w:vertAlign w:val="superscript"/>
              </w:rPr>
              <w:t>38</w:t>
            </w:r>
          </w:p>
        </w:tc>
        <w:tc>
          <w:tcPr>
            <w:tcW w:w="7178" w:type="dxa"/>
          </w:tcPr>
          <w:p w:rsidR="00804397" w:rsidRDefault="00804397" w:rsidP="00A5263B">
            <w:r w:rsidRPr="00C43107">
              <w:t>Lindson</w:t>
            </w:r>
            <w:r>
              <w:t xml:space="preserve"> </w:t>
            </w:r>
            <w:r w:rsidRPr="00C43107">
              <w:t>N, Chepkin</w:t>
            </w:r>
            <w:r>
              <w:t xml:space="preserve"> </w:t>
            </w:r>
            <w:r w:rsidRPr="00C43107">
              <w:t>SC, Ye</w:t>
            </w:r>
            <w:r>
              <w:t xml:space="preserve"> </w:t>
            </w:r>
            <w:r w:rsidRPr="00C43107">
              <w:t>W, Fanshawe</w:t>
            </w:r>
            <w:r>
              <w:t xml:space="preserve"> </w:t>
            </w:r>
            <w:r w:rsidRPr="00C43107">
              <w:t>TR, Bullen</w:t>
            </w:r>
            <w:r>
              <w:t xml:space="preserve"> </w:t>
            </w:r>
            <w:r w:rsidRPr="00C43107">
              <w:t>C, Hartmann-Boyce</w:t>
            </w:r>
            <w:r w:rsidR="00B05DCD">
              <w:t xml:space="preserve"> </w:t>
            </w:r>
            <w:r w:rsidRPr="00C43107">
              <w:t>J. Di</w:t>
            </w:r>
            <w:r w:rsidR="00050691">
              <w:t>ff</w:t>
            </w:r>
            <w:r w:rsidRPr="00C43107">
              <w:t>erent doses, durations and modes of delivery of nicotine replacement therapy for smoking cessation. Cochrane Database of Systematic Reviews 2019, Issue 4. Art. No.: CD013308. DOI: 10.1002/14651858.CD013308.</w:t>
            </w:r>
          </w:p>
        </w:tc>
      </w:tr>
      <w:tr w:rsidR="0085037A" w:rsidTr="0042494A">
        <w:tc>
          <w:tcPr>
            <w:tcW w:w="1730" w:type="dxa"/>
          </w:tcPr>
          <w:p w:rsidR="00F313B4" w:rsidRDefault="00804397" w:rsidP="00A5263B">
            <w:r>
              <w:t xml:space="preserve">Lindson </w:t>
            </w:r>
          </w:p>
          <w:p w:rsidR="00804397" w:rsidRDefault="00804397" w:rsidP="00A5263B">
            <w:r>
              <w:t>(2019</w:t>
            </w:r>
            <w:r w:rsidR="00253D1D">
              <w:t>b</w:t>
            </w:r>
            <w:r>
              <w:t>)</w:t>
            </w:r>
            <w:r w:rsidR="0039468B" w:rsidRPr="0039468B">
              <w:rPr>
                <w:noProof/>
                <w:vertAlign w:val="superscript"/>
              </w:rPr>
              <w:t>50</w:t>
            </w:r>
          </w:p>
        </w:tc>
        <w:tc>
          <w:tcPr>
            <w:tcW w:w="7178" w:type="dxa"/>
          </w:tcPr>
          <w:p w:rsidR="00804397" w:rsidRPr="00C43107" w:rsidRDefault="00804397" w:rsidP="00A5263B">
            <w:r w:rsidRPr="00856F8C">
              <w:t>Lindson</w:t>
            </w:r>
            <w:r>
              <w:t xml:space="preserve"> </w:t>
            </w:r>
            <w:r w:rsidRPr="00856F8C">
              <w:t>N, Klemperer</w:t>
            </w:r>
            <w:r>
              <w:t xml:space="preserve"> </w:t>
            </w:r>
            <w:r w:rsidRPr="00856F8C">
              <w:t>E, Hong</w:t>
            </w:r>
            <w:r>
              <w:t xml:space="preserve"> </w:t>
            </w:r>
            <w:r w:rsidRPr="00856F8C">
              <w:t>B, Ordóñez-Mena</w:t>
            </w:r>
            <w:r>
              <w:t xml:space="preserve"> </w:t>
            </w:r>
            <w:r w:rsidRPr="00856F8C">
              <w:t>M, Aveyard</w:t>
            </w:r>
            <w:r>
              <w:t xml:space="preserve"> </w:t>
            </w:r>
            <w:r w:rsidRPr="00856F8C">
              <w:t>P. Smoking reduction interventions for smoking cessation. Cochrane Database of Systematic Reviews 2019, Issue 9. Art. No.: CD013183. DOI: 10.1002/14651858.CD013183.pub2.</w:t>
            </w:r>
          </w:p>
        </w:tc>
      </w:tr>
      <w:tr w:rsidR="000077DE" w:rsidTr="00744F70">
        <w:tc>
          <w:tcPr>
            <w:tcW w:w="8908" w:type="dxa"/>
            <w:gridSpan w:val="2"/>
            <w:shd w:val="clear" w:color="auto" w:fill="auto"/>
          </w:tcPr>
          <w:p w:rsidR="000077DE" w:rsidRPr="00744F70" w:rsidRDefault="000077DE" w:rsidP="00A5263B">
            <w:pPr>
              <w:rPr>
                <w:b/>
                <w:bCs/>
              </w:rPr>
            </w:pPr>
            <w:r w:rsidRPr="00744F70">
              <w:rPr>
                <w:b/>
                <w:bCs/>
              </w:rPr>
              <w:t>Additional evidence</w:t>
            </w:r>
          </w:p>
        </w:tc>
      </w:tr>
      <w:tr w:rsidR="0085037A" w:rsidTr="0042494A">
        <w:tc>
          <w:tcPr>
            <w:tcW w:w="1730" w:type="dxa"/>
          </w:tcPr>
          <w:p w:rsidR="00F313B4" w:rsidRDefault="00AE7172" w:rsidP="00A5263B">
            <w:r w:rsidRPr="005E592F">
              <w:t xml:space="preserve">Ellerbeck </w:t>
            </w:r>
          </w:p>
          <w:p w:rsidR="00BF2FA7" w:rsidRDefault="00AE7172" w:rsidP="00A5263B">
            <w:r w:rsidRPr="005E592F">
              <w:t>(2018)</w:t>
            </w:r>
            <w:r w:rsidR="0039468B" w:rsidRPr="0039468B">
              <w:rPr>
                <w:noProof/>
                <w:vertAlign w:val="superscript"/>
              </w:rPr>
              <w:t>51</w:t>
            </w:r>
          </w:p>
        </w:tc>
        <w:tc>
          <w:tcPr>
            <w:tcW w:w="7178" w:type="dxa"/>
          </w:tcPr>
          <w:p w:rsidR="00BF2FA7" w:rsidRPr="00485346" w:rsidRDefault="00BB30E9" w:rsidP="00A5263B">
            <w:r w:rsidRPr="00BB30E9">
              <w:t xml:space="preserve">Ellerbeck EF, Nollen N, Hutcheson TD, Phadnis M, Fitzgerald SA, Vacek J, et al. Effect of Long-term Nicotine Replacement Therapy vs Standard Smoking Cessation for </w:t>
            </w:r>
            <w:r w:rsidRPr="00BB30E9">
              <w:lastRenderedPageBreak/>
              <w:t>Smokers With Chronic Lung Disease: A Randomized Clinical Trial. JAMA network open. 2018;1(5):e181843.</w:t>
            </w:r>
          </w:p>
        </w:tc>
      </w:tr>
      <w:tr w:rsidR="0085037A" w:rsidTr="0042494A">
        <w:tc>
          <w:tcPr>
            <w:tcW w:w="1730" w:type="dxa"/>
          </w:tcPr>
          <w:p w:rsidR="00E87D3C" w:rsidRDefault="00E87D3C" w:rsidP="00E87D3C">
            <w:r w:rsidRPr="00ED6D24">
              <w:lastRenderedPageBreak/>
              <w:t>Dedert</w:t>
            </w:r>
          </w:p>
          <w:p w:rsidR="00BF2FA7" w:rsidRDefault="00E87D3C" w:rsidP="00E87D3C">
            <w:r>
              <w:t>(</w:t>
            </w:r>
            <w:r w:rsidRPr="00ED6D24">
              <w:t>2018</w:t>
            </w:r>
            <w:r>
              <w:t>)</w:t>
            </w:r>
            <w:r w:rsidR="0039468B" w:rsidRPr="0039468B">
              <w:rPr>
                <w:noProof/>
                <w:vertAlign w:val="superscript"/>
              </w:rPr>
              <w:t>52</w:t>
            </w:r>
          </w:p>
        </w:tc>
        <w:tc>
          <w:tcPr>
            <w:tcW w:w="7178" w:type="dxa"/>
          </w:tcPr>
          <w:p w:rsidR="00BF2FA7" w:rsidRPr="00485346" w:rsidRDefault="00BB30E9" w:rsidP="00E87D3C">
            <w:r w:rsidRPr="00BB30E9">
              <w:t>Dedert EA, Dennis PA, Calhoun PS, Dennis MF, Beckham JC. A Randomized Clinical Trial of Nicotine Preloading for Smoking Cessation in People with Posttraumatic Stress Disorder. Journal of dual diagnosis. 2018;14(3):148‐57.</w:t>
            </w:r>
          </w:p>
        </w:tc>
      </w:tr>
      <w:tr w:rsidR="0085037A" w:rsidTr="0042494A">
        <w:tc>
          <w:tcPr>
            <w:tcW w:w="1730" w:type="dxa"/>
          </w:tcPr>
          <w:p w:rsidR="00F313B4" w:rsidRDefault="00E87D3C" w:rsidP="00A5263B">
            <w:r w:rsidRPr="003018A2">
              <w:t xml:space="preserve">Oncken </w:t>
            </w:r>
          </w:p>
          <w:p w:rsidR="00BF2FA7" w:rsidRDefault="00E87D3C" w:rsidP="00A5263B">
            <w:r w:rsidRPr="003018A2">
              <w:t>(2019)</w:t>
            </w:r>
            <w:r w:rsidR="0039468B" w:rsidRPr="0039468B">
              <w:rPr>
                <w:noProof/>
                <w:vertAlign w:val="superscript"/>
              </w:rPr>
              <w:t>53</w:t>
            </w:r>
          </w:p>
        </w:tc>
        <w:tc>
          <w:tcPr>
            <w:tcW w:w="7178" w:type="dxa"/>
          </w:tcPr>
          <w:p w:rsidR="00BF2FA7" w:rsidRPr="00485346" w:rsidRDefault="00BB30E9" w:rsidP="00A5263B">
            <w:r w:rsidRPr="00BB30E9">
              <w:t>Oncken C, Dornelas EA, Kuo CL, Sankey HZ, Kranzler HR, Mead EL, et al. Randomized trial of nicotine inhaler for pregnant smokers. American journal of obstetrics and gynecology MFM. 2019;1(1):10‐8.</w:t>
            </w:r>
          </w:p>
        </w:tc>
      </w:tr>
      <w:tr w:rsidR="0085037A" w:rsidTr="0042494A">
        <w:tc>
          <w:tcPr>
            <w:tcW w:w="1730" w:type="dxa"/>
          </w:tcPr>
          <w:p w:rsidR="00F313B4" w:rsidRDefault="00E87D3C" w:rsidP="00A5263B">
            <w:r w:rsidRPr="00E87D3C">
              <w:t xml:space="preserve">Nides </w:t>
            </w:r>
          </w:p>
          <w:p w:rsidR="00E87D3C" w:rsidRPr="003018A2" w:rsidRDefault="00E87D3C" w:rsidP="00A5263B">
            <w:r w:rsidRPr="00E87D3C">
              <w:t>(2020)</w:t>
            </w:r>
            <w:r w:rsidR="0039468B" w:rsidRPr="0039468B">
              <w:rPr>
                <w:noProof/>
                <w:vertAlign w:val="superscript"/>
              </w:rPr>
              <w:t>54</w:t>
            </w:r>
          </w:p>
        </w:tc>
        <w:tc>
          <w:tcPr>
            <w:tcW w:w="7178" w:type="dxa"/>
          </w:tcPr>
          <w:p w:rsidR="00E87D3C" w:rsidRPr="00485346" w:rsidRDefault="00BB30E9" w:rsidP="00A5263B">
            <w:r w:rsidRPr="00BB30E9">
              <w:t>Nides M, Danielsson T, Saunders F, Perfekt R, Kapikian R, Solla J, et al. Efficacy and Safety of a Nicotine Mouth Spray for Smoking Cessation: a Randomized, Multicenter, Controlled Study in a Naturalistic Setting. Nicotine &amp; tobacco research. 2020;22(3):339‐45.</w:t>
            </w:r>
          </w:p>
        </w:tc>
      </w:tr>
    </w:tbl>
    <w:p w:rsidR="00804397" w:rsidRDefault="00804397" w:rsidP="00804397"/>
    <w:p w:rsidR="00804397" w:rsidRPr="00714E65" w:rsidRDefault="00804397" w:rsidP="00D02475">
      <w:pPr>
        <w:pStyle w:val="Heading4"/>
        <w:numPr>
          <w:ilvl w:val="0"/>
          <w:numId w:val="0"/>
        </w:numPr>
      </w:pPr>
      <w:r w:rsidRPr="00714E65">
        <w:t>NRT dose</w:t>
      </w:r>
    </w:p>
    <w:p w:rsidR="00804397" w:rsidRPr="00AC572D" w:rsidRDefault="00804397" w:rsidP="00804397">
      <w:pPr>
        <w:jc w:val="both"/>
      </w:pPr>
      <w:r w:rsidRPr="00713891">
        <w:t xml:space="preserve">A summary of the characteristics of the studies comparing </w:t>
      </w:r>
      <w:r>
        <w:t xml:space="preserve">the use of different NRT doses for achieving long-term smoking cessation </w:t>
      </w:r>
      <w:r w:rsidRPr="00713891">
        <w:t>is presented in</w:t>
      </w:r>
      <w:r>
        <w:t xml:space="preserve"> </w:t>
      </w:r>
      <w:r w:rsidR="003C4A1C">
        <w:t xml:space="preserve">Table </w:t>
      </w:r>
      <w:r w:rsidR="003C4A1C">
        <w:rPr>
          <w:noProof/>
        </w:rPr>
        <w:t>83</w:t>
      </w:r>
      <w:r w:rsidRPr="00713891">
        <w:t xml:space="preserve">. </w:t>
      </w:r>
      <w:r>
        <w:t xml:space="preserve">The evidence is presented according to the dosage administered for each dosage form (patch or gum). </w:t>
      </w:r>
      <w:r w:rsidRPr="00713891">
        <w:t xml:space="preserve">A total of </w:t>
      </w:r>
      <w:r>
        <w:t>nine</w:t>
      </w:r>
      <w:r w:rsidRPr="00713891">
        <w:t xml:space="preserve"> </w:t>
      </w:r>
      <w:r>
        <w:t xml:space="preserve">and five </w:t>
      </w:r>
      <w:r w:rsidRPr="00713891">
        <w:t xml:space="preserve">RCTs comparing </w:t>
      </w:r>
      <w:r>
        <w:t xml:space="preserve">different doses of NRT </w:t>
      </w:r>
      <w:r w:rsidR="00573F59">
        <w:t>patches</w:t>
      </w:r>
      <w:r>
        <w:t xml:space="preserve"> and gum, respectively, </w:t>
      </w:r>
      <w:r w:rsidRPr="00713891">
        <w:t xml:space="preserve">were identified </w:t>
      </w:r>
      <w:r w:rsidRPr="00161E08">
        <w:t xml:space="preserve">in a recently conducted Cochrane </w:t>
      </w:r>
      <w:r w:rsidR="009C67FD" w:rsidRPr="00161E08">
        <w:t>R</w:t>
      </w:r>
      <w:r w:rsidRPr="00161E08">
        <w:t xml:space="preserve">eview </w:t>
      </w:r>
      <w:r w:rsidR="009C67FD" w:rsidRPr="009C67FD">
        <w:t xml:space="preserve">by Lindson et al. (2019) </w:t>
      </w:r>
      <w:r w:rsidRPr="00161E08">
        <w:t>and w</w:t>
      </w:r>
      <w:r>
        <w:t>ere</w:t>
      </w:r>
      <w:r w:rsidRPr="00161E08">
        <w:t xml:space="preserve"> included in this report</w:t>
      </w:r>
      <w:r>
        <w:t xml:space="preserve">. </w:t>
      </w:r>
      <w:r w:rsidRPr="00796FC8">
        <w:t xml:space="preserve">The characteristics of the individual studies are presented in </w:t>
      </w:r>
      <w:r w:rsidR="00050691" w:rsidRPr="006C333F">
        <w:t>Appendix</w:t>
      </w:r>
      <w:r w:rsidR="00501CE2">
        <w:t xml:space="preserve"> </w:t>
      </w:r>
      <w:r w:rsidR="003C4A1C">
        <w:t xml:space="preserve">Table </w:t>
      </w:r>
      <w:r w:rsidR="003C4A1C">
        <w:rPr>
          <w:noProof/>
        </w:rPr>
        <w:t>161</w:t>
      </w:r>
      <w:r w:rsidRPr="00465020">
        <w:t>.</w:t>
      </w:r>
      <w:r>
        <w:t xml:space="preserve"> </w:t>
      </w:r>
    </w:p>
    <w:p w:rsidR="003E1F15" w:rsidRDefault="003E1F15" w:rsidP="003E1F15">
      <w:pPr>
        <w:pStyle w:val="Caption"/>
        <w:keepNext/>
      </w:pPr>
      <w:bookmarkStart w:id="180" w:name="_Ref59098605"/>
      <w:r>
        <w:t xml:space="preserve">Table </w:t>
      </w:r>
      <w:r w:rsidR="003C4A1C">
        <w:rPr>
          <w:noProof/>
        </w:rPr>
        <w:t>83</w:t>
      </w:r>
      <w:bookmarkEnd w:id="180"/>
      <w:r>
        <w:t>: C</w:t>
      </w:r>
      <w:r w:rsidRPr="00D65DAB">
        <w:t>haracteristics of the studies</w:t>
      </w:r>
      <w:r>
        <w:t xml:space="preserve"> </w:t>
      </w:r>
      <w:r w:rsidR="00177EDB" w:rsidRPr="009B6A39">
        <w:t>comparing different NRT dose</w:t>
      </w:r>
    </w:p>
    <w:tbl>
      <w:tblPr>
        <w:tblStyle w:val="TableGrid"/>
        <w:tblW w:w="5107" w:type="pct"/>
        <w:tblLook w:val="04A0" w:firstRow="1" w:lastRow="0" w:firstColumn="1" w:lastColumn="0" w:noHBand="0" w:noVBand="1"/>
        <w:tblCaption w:val="Efficacy results of adalimumab trials (PASI 75 and DLQI)"/>
      </w:tblPr>
      <w:tblGrid>
        <w:gridCol w:w="756"/>
        <w:gridCol w:w="988"/>
        <w:gridCol w:w="2268"/>
        <w:gridCol w:w="2365"/>
        <w:gridCol w:w="1254"/>
        <w:gridCol w:w="1578"/>
      </w:tblGrid>
      <w:tr w:rsidR="00804397" w:rsidRPr="00061F78" w:rsidTr="009C5583">
        <w:trPr>
          <w:trHeight w:val="299"/>
          <w:tblHeader/>
        </w:trPr>
        <w:tc>
          <w:tcPr>
            <w:tcW w:w="436" w:type="pct"/>
            <w:shd w:val="clear" w:color="auto" w:fill="BFBFBF" w:themeFill="background1" w:themeFillShade="BF"/>
            <w:tcMar>
              <w:left w:w="28" w:type="dxa"/>
              <w:right w:w="28" w:type="dxa"/>
            </w:tcMar>
          </w:tcPr>
          <w:p w:rsidR="00804397" w:rsidRPr="00061F78" w:rsidRDefault="00804397" w:rsidP="00050691">
            <w:pPr>
              <w:pStyle w:val="Tableheading"/>
              <w:rPr>
                <w:rFonts w:eastAsia="MS Mincho"/>
              </w:rPr>
            </w:pPr>
            <w:r>
              <w:rPr>
                <w:rFonts w:eastAsia="MS Mincho"/>
              </w:rPr>
              <w:t>Study</w:t>
            </w:r>
          </w:p>
        </w:tc>
        <w:tc>
          <w:tcPr>
            <w:tcW w:w="536" w:type="pct"/>
            <w:shd w:val="clear" w:color="auto" w:fill="BFBFBF" w:themeFill="background1" w:themeFillShade="BF"/>
          </w:tcPr>
          <w:p w:rsidR="00804397" w:rsidRDefault="00804397" w:rsidP="00050691">
            <w:pPr>
              <w:pStyle w:val="Tableheading"/>
              <w:jc w:val="center"/>
              <w:rPr>
                <w:rFonts w:eastAsia="MS Mincho"/>
              </w:rPr>
            </w:pPr>
            <w:r>
              <w:rPr>
                <w:rFonts w:eastAsia="MS Mincho"/>
              </w:rPr>
              <w:t>Study type</w:t>
            </w:r>
          </w:p>
        </w:tc>
        <w:tc>
          <w:tcPr>
            <w:tcW w:w="1257" w:type="pct"/>
            <w:shd w:val="clear" w:color="auto" w:fill="BFBFBF" w:themeFill="background1" w:themeFillShade="BF"/>
            <w:tcMar>
              <w:left w:w="28" w:type="dxa"/>
              <w:right w:w="28" w:type="dxa"/>
            </w:tcMar>
          </w:tcPr>
          <w:p w:rsidR="00804397" w:rsidRPr="00AE21E9" w:rsidRDefault="00804397" w:rsidP="00050691">
            <w:pPr>
              <w:pStyle w:val="Tableheading"/>
              <w:jc w:val="center"/>
              <w:rPr>
                <w:rFonts w:eastAsia="MS Mincho"/>
                <w:vertAlign w:val="superscript"/>
              </w:rPr>
            </w:pPr>
            <w:r>
              <w:rPr>
                <w:rFonts w:eastAsia="MS Mincho"/>
              </w:rPr>
              <w:t>N</w:t>
            </w:r>
            <w:r>
              <w:rPr>
                <w:rFonts w:eastAsia="MS Mincho"/>
                <w:vertAlign w:val="superscript"/>
              </w:rPr>
              <w:t>1</w:t>
            </w:r>
          </w:p>
        </w:tc>
        <w:tc>
          <w:tcPr>
            <w:tcW w:w="1309" w:type="pct"/>
            <w:shd w:val="clear" w:color="auto" w:fill="BFBFBF" w:themeFill="background1" w:themeFillShade="BF"/>
            <w:tcMar>
              <w:left w:w="28" w:type="dxa"/>
              <w:right w:w="28" w:type="dxa"/>
            </w:tcMar>
          </w:tcPr>
          <w:p w:rsidR="00804397" w:rsidRPr="00061F78" w:rsidRDefault="00804397" w:rsidP="00050691">
            <w:pPr>
              <w:pStyle w:val="Tableheading"/>
              <w:jc w:val="center"/>
              <w:rPr>
                <w:rFonts w:eastAsia="MS Mincho"/>
              </w:rPr>
            </w:pPr>
            <w:r w:rsidRPr="00061F78">
              <w:rPr>
                <w:rFonts w:eastAsia="MS Mincho"/>
              </w:rPr>
              <w:t>P</w:t>
            </w:r>
            <w:r>
              <w:rPr>
                <w:rFonts w:eastAsia="MS Mincho"/>
              </w:rPr>
              <w:t>opulation</w:t>
            </w:r>
          </w:p>
        </w:tc>
        <w:tc>
          <w:tcPr>
            <w:tcW w:w="580" w:type="pct"/>
            <w:shd w:val="clear" w:color="auto" w:fill="BFBFBF" w:themeFill="background1" w:themeFillShade="BF"/>
          </w:tcPr>
          <w:p w:rsidR="00804397" w:rsidRDefault="00804397" w:rsidP="00050691">
            <w:pPr>
              <w:pStyle w:val="Tableheading"/>
              <w:jc w:val="center"/>
              <w:rPr>
                <w:rFonts w:eastAsia="MS Mincho"/>
              </w:rPr>
            </w:pPr>
            <w:r>
              <w:rPr>
                <w:rFonts w:eastAsia="MS Mincho"/>
              </w:rPr>
              <w:t>Intervention and comparator</w:t>
            </w:r>
          </w:p>
        </w:tc>
        <w:tc>
          <w:tcPr>
            <w:tcW w:w="882" w:type="pct"/>
            <w:shd w:val="clear" w:color="auto" w:fill="BFBFBF" w:themeFill="background1" w:themeFillShade="BF"/>
            <w:tcMar>
              <w:left w:w="28" w:type="dxa"/>
              <w:right w:w="28" w:type="dxa"/>
            </w:tcMar>
          </w:tcPr>
          <w:p w:rsidR="00804397" w:rsidRPr="00061F78" w:rsidRDefault="00804397" w:rsidP="00050691">
            <w:pPr>
              <w:pStyle w:val="Tableheading"/>
              <w:jc w:val="center"/>
              <w:rPr>
                <w:rFonts w:eastAsia="MS Mincho"/>
              </w:rPr>
            </w:pPr>
            <w:r>
              <w:rPr>
                <w:rFonts w:eastAsia="MS Mincho"/>
              </w:rPr>
              <w:t>Outcomes</w:t>
            </w:r>
          </w:p>
        </w:tc>
      </w:tr>
      <w:tr w:rsidR="00804397" w:rsidRPr="00061F78" w:rsidTr="00744F70">
        <w:trPr>
          <w:trHeight w:val="149"/>
        </w:trPr>
        <w:tc>
          <w:tcPr>
            <w:tcW w:w="5000" w:type="pct"/>
            <w:gridSpan w:val="6"/>
            <w:shd w:val="clear" w:color="auto" w:fill="auto"/>
            <w:tcMar>
              <w:left w:w="28" w:type="dxa"/>
              <w:right w:w="28" w:type="dxa"/>
            </w:tcMar>
          </w:tcPr>
          <w:p w:rsidR="00804397" w:rsidRPr="0036499C" w:rsidRDefault="00804397" w:rsidP="00050691">
            <w:pPr>
              <w:pStyle w:val="Tableheading"/>
              <w:rPr>
                <w:rFonts w:eastAsia="MS Mincho"/>
                <w:u w:val="single"/>
              </w:rPr>
            </w:pPr>
            <w:r w:rsidRPr="00687B43">
              <w:rPr>
                <w:rFonts w:eastAsia="MS Mincho"/>
              </w:rPr>
              <w:t>Patch dose</w:t>
            </w:r>
          </w:p>
        </w:tc>
      </w:tr>
      <w:tr w:rsidR="00804397" w:rsidRPr="00061F78" w:rsidTr="009C5583">
        <w:trPr>
          <w:trHeight w:val="149"/>
        </w:trPr>
        <w:tc>
          <w:tcPr>
            <w:tcW w:w="436" w:type="pct"/>
            <w:tcMar>
              <w:left w:w="28" w:type="dxa"/>
              <w:right w:w="28" w:type="dxa"/>
            </w:tcMar>
          </w:tcPr>
          <w:p w:rsidR="00804397" w:rsidRPr="00687B43" w:rsidRDefault="00804397" w:rsidP="00050691">
            <w:pPr>
              <w:pStyle w:val="Tablewriting"/>
              <w:rPr>
                <w:rFonts w:eastAsia="MS Mincho"/>
              </w:rPr>
            </w:pPr>
            <w:r w:rsidRPr="00687B43">
              <w:t>Lindson (2019)</w:t>
            </w:r>
          </w:p>
        </w:tc>
        <w:tc>
          <w:tcPr>
            <w:tcW w:w="536" w:type="pct"/>
          </w:tcPr>
          <w:p w:rsidR="00804397" w:rsidRDefault="00804397" w:rsidP="00050691">
            <w:pPr>
              <w:pStyle w:val="Tablewriting"/>
              <w:rPr>
                <w:rFonts w:eastAsia="MS Mincho"/>
              </w:rPr>
            </w:pPr>
            <w:r w:rsidRPr="00687B43">
              <w:rPr>
                <w:rFonts w:eastAsia="MS Mincho"/>
              </w:rPr>
              <w:t xml:space="preserve">Cochrane </w:t>
            </w:r>
            <w:r w:rsidR="002A78FB" w:rsidRPr="00687B43">
              <w:rPr>
                <w:rFonts w:eastAsia="MS Mincho"/>
              </w:rPr>
              <w:t>R</w:t>
            </w:r>
            <w:r w:rsidRPr="00687B43">
              <w:rPr>
                <w:rFonts w:eastAsia="MS Mincho"/>
              </w:rPr>
              <w:t xml:space="preserve">eview </w:t>
            </w:r>
          </w:p>
          <w:p w:rsidR="00804397" w:rsidRPr="00687B43" w:rsidRDefault="00804397" w:rsidP="00050691">
            <w:pPr>
              <w:pStyle w:val="Tablewriting"/>
              <w:rPr>
                <w:rFonts w:eastAsia="MS Mincho"/>
              </w:rPr>
            </w:pPr>
            <w:r w:rsidRPr="00687B43">
              <w:rPr>
                <w:rFonts w:eastAsia="MS Mincho"/>
              </w:rPr>
              <w:t>(9 RCTs</w:t>
            </w:r>
            <w:r w:rsidRPr="00687B43">
              <w:rPr>
                <w:rFonts w:eastAsia="MS Mincho"/>
                <w:vertAlign w:val="superscript"/>
              </w:rPr>
              <w:t>2</w:t>
            </w:r>
            <w:r w:rsidRPr="00687B43">
              <w:rPr>
                <w:rFonts w:eastAsia="MS Mincho"/>
              </w:rPr>
              <w:t>)</w:t>
            </w:r>
          </w:p>
        </w:tc>
        <w:tc>
          <w:tcPr>
            <w:tcW w:w="1257" w:type="pct"/>
            <w:tcMar>
              <w:left w:w="28" w:type="dxa"/>
              <w:right w:w="28" w:type="dxa"/>
            </w:tcMar>
          </w:tcPr>
          <w:p w:rsidR="00804397" w:rsidRDefault="00804397" w:rsidP="00050691">
            <w:pPr>
              <w:pStyle w:val="Tablewriting"/>
              <w:rPr>
                <w:rFonts w:eastAsia="MS Mincho"/>
                <w:u w:val="single"/>
              </w:rPr>
            </w:pPr>
            <w:r w:rsidRPr="004C35E0">
              <w:rPr>
                <w:rFonts w:eastAsia="MS Mincho"/>
                <w:u w:val="single"/>
              </w:rPr>
              <w:t>21 mg versus 14 mg (24-hour)</w:t>
            </w:r>
          </w:p>
          <w:p w:rsidR="00804397" w:rsidRPr="004C35E0" w:rsidRDefault="00804397" w:rsidP="00050691">
            <w:pPr>
              <w:pStyle w:val="Tablewriting"/>
              <w:rPr>
                <w:rFonts w:eastAsia="MS Mincho"/>
              </w:rPr>
            </w:pPr>
            <w:r w:rsidRPr="004C35E0">
              <w:rPr>
                <w:rFonts w:eastAsia="MS Mincho"/>
              </w:rPr>
              <w:t>N=537 (1 RCT)</w:t>
            </w:r>
          </w:p>
          <w:p w:rsidR="00804397" w:rsidRPr="007F3A7A" w:rsidRDefault="00804397" w:rsidP="00050691">
            <w:pPr>
              <w:pStyle w:val="Tablewriting"/>
              <w:rPr>
                <w:rFonts w:eastAsia="MS Mincho"/>
              </w:rPr>
            </w:pPr>
            <w:r w:rsidRPr="007F3A7A">
              <w:rPr>
                <w:rFonts w:eastAsia="MS Mincho"/>
              </w:rPr>
              <w:t>Higher dose (n=262),</w:t>
            </w:r>
          </w:p>
          <w:p w:rsidR="00804397" w:rsidRPr="007F3A7A" w:rsidRDefault="00804397" w:rsidP="00050691">
            <w:pPr>
              <w:pStyle w:val="Tablewriting"/>
              <w:rPr>
                <w:rFonts w:eastAsia="MS Mincho"/>
              </w:rPr>
            </w:pPr>
            <w:r w:rsidRPr="007F3A7A">
              <w:rPr>
                <w:rFonts w:eastAsia="MS Mincho"/>
              </w:rPr>
              <w:t>Lower dose (n=275)</w:t>
            </w:r>
          </w:p>
          <w:p w:rsidR="00804397" w:rsidRDefault="00804397" w:rsidP="00050691">
            <w:pPr>
              <w:pStyle w:val="Tablewriting"/>
              <w:rPr>
                <w:rFonts w:eastAsia="MS Mincho"/>
                <w:u w:val="single"/>
              </w:rPr>
            </w:pPr>
          </w:p>
          <w:p w:rsidR="00804397" w:rsidRDefault="00804397" w:rsidP="00050691">
            <w:pPr>
              <w:pStyle w:val="Tablewriting"/>
              <w:rPr>
                <w:rFonts w:eastAsia="MS Mincho"/>
                <w:u w:val="single"/>
              </w:rPr>
            </w:pPr>
            <w:r w:rsidRPr="004C35E0">
              <w:rPr>
                <w:rFonts w:eastAsia="MS Mincho"/>
                <w:u w:val="single"/>
              </w:rPr>
              <w:t>25 mg versus 15 mg (16-hour)</w:t>
            </w:r>
          </w:p>
          <w:p w:rsidR="00804397" w:rsidRPr="004C35E0" w:rsidRDefault="00804397" w:rsidP="00050691">
            <w:pPr>
              <w:pStyle w:val="Tablewriting"/>
              <w:rPr>
                <w:rFonts w:eastAsia="MS Mincho"/>
              </w:rPr>
            </w:pPr>
            <w:r w:rsidRPr="004C35E0">
              <w:rPr>
                <w:rFonts w:eastAsia="MS Mincho"/>
              </w:rPr>
              <w:t>N=3</w:t>
            </w:r>
            <w:r w:rsidR="00050691">
              <w:rPr>
                <w:rFonts w:eastAsia="MS Mincho"/>
              </w:rPr>
              <w:t>,</w:t>
            </w:r>
            <w:r w:rsidRPr="004C35E0">
              <w:rPr>
                <w:rFonts w:eastAsia="MS Mincho"/>
              </w:rPr>
              <w:t>446 (3 RCTs)</w:t>
            </w:r>
          </w:p>
          <w:p w:rsidR="00804397" w:rsidRPr="007F3A7A" w:rsidRDefault="00804397" w:rsidP="00050691">
            <w:pPr>
              <w:pStyle w:val="Tablewriting"/>
              <w:rPr>
                <w:rFonts w:eastAsia="MS Mincho"/>
              </w:rPr>
            </w:pPr>
            <w:r w:rsidRPr="007F3A7A">
              <w:rPr>
                <w:rFonts w:eastAsia="MS Mincho"/>
              </w:rPr>
              <w:t>Higher dose (n=1</w:t>
            </w:r>
            <w:r w:rsidR="00050691">
              <w:rPr>
                <w:rFonts w:eastAsia="MS Mincho"/>
              </w:rPr>
              <w:t>,</w:t>
            </w:r>
            <w:r w:rsidRPr="007F3A7A">
              <w:rPr>
                <w:rFonts w:eastAsia="MS Mincho"/>
              </w:rPr>
              <w:t>723),</w:t>
            </w:r>
          </w:p>
          <w:p w:rsidR="00804397" w:rsidRPr="007F3A7A" w:rsidRDefault="00804397" w:rsidP="00050691">
            <w:pPr>
              <w:pStyle w:val="Tablewriting"/>
              <w:rPr>
                <w:rFonts w:eastAsia="MS Mincho"/>
              </w:rPr>
            </w:pPr>
            <w:r w:rsidRPr="007F3A7A">
              <w:rPr>
                <w:rFonts w:eastAsia="MS Mincho"/>
              </w:rPr>
              <w:t>Lower dose (n=1</w:t>
            </w:r>
            <w:r w:rsidR="00050691">
              <w:rPr>
                <w:rFonts w:eastAsia="MS Mincho"/>
              </w:rPr>
              <w:t>,</w:t>
            </w:r>
            <w:r w:rsidRPr="007F3A7A">
              <w:rPr>
                <w:rFonts w:eastAsia="MS Mincho"/>
              </w:rPr>
              <w:t>723)</w:t>
            </w:r>
          </w:p>
          <w:p w:rsidR="00804397" w:rsidRDefault="00804397" w:rsidP="00050691">
            <w:pPr>
              <w:pStyle w:val="Tablewriting"/>
              <w:rPr>
                <w:rFonts w:eastAsia="MS Mincho"/>
                <w:highlight w:val="yellow"/>
                <w:u w:val="single"/>
              </w:rPr>
            </w:pPr>
          </w:p>
          <w:p w:rsidR="00804397" w:rsidRDefault="00804397" w:rsidP="00050691">
            <w:pPr>
              <w:pStyle w:val="Tablewriting"/>
              <w:rPr>
                <w:rFonts w:eastAsia="MS Mincho"/>
                <w:u w:val="single"/>
              </w:rPr>
            </w:pPr>
            <w:r w:rsidRPr="004C35E0">
              <w:rPr>
                <w:rFonts w:eastAsia="MS Mincho"/>
                <w:u w:val="single"/>
              </w:rPr>
              <w:t>42/44 mg versus 21/22 mg (24-hour)</w:t>
            </w:r>
          </w:p>
          <w:p w:rsidR="00804397" w:rsidRPr="009F227B" w:rsidRDefault="00804397" w:rsidP="00050691">
            <w:pPr>
              <w:pStyle w:val="Tablewriting"/>
              <w:rPr>
                <w:rFonts w:eastAsia="MS Mincho"/>
              </w:rPr>
            </w:pPr>
            <w:r w:rsidRPr="009F227B">
              <w:rPr>
                <w:rFonts w:eastAsia="MS Mincho"/>
              </w:rPr>
              <w:t>N=1</w:t>
            </w:r>
            <w:r w:rsidR="002A78FB">
              <w:rPr>
                <w:rFonts w:eastAsia="MS Mincho"/>
              </w:rPr>
              <w:t>,</w:t>
            </w:r>
            <w:r w:rsidRPr="009F227B">
              <w:rPr>
                <w:rFonts w:eastAsia="MS Mincho"/>
              </w:rPr>
              <w:t>655 (5 RCTs)</w:t>
            </w:r>
          </w:p>
          <w:p w:rsidR="00804397" w:rsidRPr="007F3A7A" w:rsidRDefault="00804397" w:rsidP="00050691">
            <w:pPr>
              <w:pStyle w:val="Tablewriting"/>
              <w:rPr>
                <w:rFonts w:eastAsia="MS Mincho"/>
              </w:rPr>
            </w:pPr>
            <w:r w:rsidRPr="007F3A7A">
              <w:rPr>
                <w:rFonts w:eastAsia="MS Mincho"/>
              </w:rPr>
              <w:t>Higher dose (n=828),</w:t>
            </w:r>
          </w:p>
          <w:p w:rsidR="00804397" w:rsidRPr="00687B43" w:rsidRDefault="00804397" w:rsidP="00050691">
            <w:pPr>
              <w:pStyle w:val="Tablewriting"/>
              <w:rPr>
                <w:rFonts w:eastAsia="MS Mincho"/>
                <w:highlight w:val="yellow"/>
              </w:rPr>
            </w:pPr>
            <w:r w:rsidRPr="007F3A7A">
              <w:rPr>
                <w:rFonts w:eastAsia="MS Mincho"/>
              </w:rPr>
              <w:t>Lower dose (n=827)</w:t>
            </w:r>
          </w:p>
        </w:tc>
        <w:tc>
          <w:tcPr>
            <w:tcW w:w="1309" w:type="pct"/>
            <w:tcMar>
              <w:left w:w="28" w:type="dxa"/>
              <w:right w:w="28" w:type="dxa"/>
            </w:tcMar>
          </w:tcPr>
          <w:p w:rsidR="00804397" w:rsidRPr="00DC607E" w:rsidRDefault="00804397" w:rsidP="00050691">
            <w:pPr>
              <w:pStyle w:val="Tablewriting"/>
              <w:rPr>
                <w:rFonts w:eastAsia="MS Mincho"/>
              </w:rPr>
            </w:pPr>
            <w:r w:rsidRPr="00DC607E">
              <w:rPr>
                <w:rFonts w:eastAsia="MS Mincho"/>
                <w:u w:val="single"/>
              </w:rPr>
              <w:t>Inclusion</w:t>
            </w:r>
            <w:r w:rsidRPr="00DC607E">
              <w:rPr>
                <w:rFonts w:eastAsia="MS Mincho"/>
              </w:rPr>
              <w:t>:</w:t>
            </w:r>
          </w:p>
          <w:p w:rsidR="00804397" w:rsidRPr="00DC607E" w:rsidRDefault="00804397" w:rsidP="00050691">
            <w:pPr>
              <w:pStyle w:val="Tablewriting"/>
              <w:rPr>
                <w:rFonts w:eastAsia="MS Mincho"/>
              </w:rPr>
            </w:pPr>
            <w:r w:rsidRPr="00DC607E">
              <w:rPr>
                <w:rFonts w:eastAsia="MS Mincho"/>
              </w:rPr>
              <w:t>Adult smokers with an average age of approximately 45, who smoked at least 15 cigarettes a day</w:t>
            </w:r>
            <w:r w:rsidR="002A78FB">
              <w:rPr>
                <w:rFonts w:eastAsia="MS Mincho"/>
              </w:rPr>
              <w:t>,</w:t>
            </w:r>
            <w:r>
              <w:rPr>
                <w:rFonts w:eastAsia="MS Mincho"/>
              </w:rPr>
              <w:t xml:space="preserve"> </w:t>
            </w:r>
            <w:r w:rsidR="002A78FB" w:rsidRPr="0050095A">
              <w:rPr>
                <w:rFonts w:eastAsia="MS Mincho"/>
              </w:rPr>
              <w:t>s</w:t>
            </w:r>
            <w:r w:rsidRPr="0050095A">
              <w:rPr>
                <w:rFonts w:eastAsia="MS Mincho"/>
              </w:rPr>
              <w:t>tudies</w:t>
            </w:r>
            <w:r>
              <w:rPr>
                <w:rFonts w:eastAsia="MS Mincho"/>
              </w:rPr>
              <w:t xml:space="preserve"> </w:t>
            </w:r>
            <w:r w:rsidRPr="0050095A">
              <w:rPr>
                <w:rFonts w:eastAsia="MS Mincho"/>
              </w:rPr>
              <w:t>lasted for at least six months</w:t>
            </w:r>
            <w:r>
              <w:rPr>
                <w:rFonts w:eastAsia="MS Mincho"/>
              </w:rPr>
              <w:t xml:space="preserve">. </w:t>
            </w:r>
          </w:p>
          <w:p w:rsidR="00804397" w:rsidRPr="00DC607E" w:rsidRDefault="00804397" w:rsidP="00050691">
            <w:pPr>
              <w:pStyle w:val="Tablewriting"/>
              <w:rPr>
                <w:rFonts w:eastAsia="MS Mincho"/>
              </w:rPr>
            </w:pPr>
            <w:r w:rsidRPr="00DC607E">
              <w:rPr>
                <w:rFonts w:eastAsia="MS Mincho"/>
                <w:u w:val="single"/>
              </w:rPr>
              <w:t>Exclusion</w:t>
            </w:r>
            <w:r w:rsidRPr="00DC607E">
              <w:rPr>
                <w:rFonts w:eastAsia="MS Mincho"/>
              </w:rPr>
              <w:t xml:space="preserve">: Trials that did not assess cessation as an outcome, with follow-up less than six months, and with additional intervention components not matched between arms. Trials comparing NRT to control, and trials comparing NRT to other pharmacotherapies. </w:t>
            </w:r>
          </w:p>
        </w:tc>
        <w:tc>
          <w:tcPr>
            <w:tcW w:w="580" w:type="pct"/>
          </w:tcPr>
          <w:p w:rsidR="00804397" w:rsidRPr="007F3A7A" w:rsidRDefault="00804397" w:rsidP="00050691">
            <w:pPr>
              <w:pStyle w:val="Tablewriting"/>
              <w:rPr>
                <w:rFonts w:eastAsia="MS Mincho"/>
              </w:rPr>
            </w:pPr>
            <w:r w:rsidRPr="007F3A7A">
              <w:rPr>
                <w:rFonts w:eastAsia="MS Mincho"/>
              </w:rPr>
              <w:t xml:space="preserve">Higher dose patch </w:t>
            </w:r>
          </w:p>
          <w:p w:rsidR="00804397" w:rsidRPr="00687B43" w:rsidRDefault="00804397" w:rsidP="00050691">
            <w:pPr>
              <w:pStyle w:val="Tablewriting"/>
              <w:rPr>
                <w:rFonts w:eastAsia="MS Mincho"/>
                <w:highlight w:val="yellow"/>
              </w:rPr>
            </w:pPr>
            <w:r w:rsidRPr="007F3A7A">
              <w:rPr>
                <w:rFonts w:eastAsia="MS Mincho"/>
              </w:rPr>
              <w:t>Lower dose patch</w:t>
            </w:r>
          </w:p>
        </w:tc>
        <w:tc>
          <w:tcPr>
            <w:tcW w:w="882" w:type="pct"/>
            <w:tcMar>
              <w:left w:w="28" w:type="dxa"/>
              <w:right w:w="28" w:type="dxa"/>
            </w:tcMar>
          </w:tcPr>
          <w:p w:rsidR="00804397" w:rsidRPr="0050095A" w:rsidRDefault="00804397" w:rsidP="00050691">
            <w:pPr>
              <w:pStyle w:val="Tablewriting"/>
              <w:rPr>
                <w:rFonts w:eastAsia="MS Mincho"/>
              </w:rPr>
            </w:pPr>
            <w:r w:rsidRPr="0050095A">
              <w:rPr>
                <w:rFonts w:eastAsia="MS Mincho"/>
                <w:u w:val="single"/>
              </w:rPr>
              <w:t>Primary</w:t>
            </w:r>
            <w:r w:rsidRPr="0050095A">
              <w:rPr>
                <w:rFonts w:eastAsia="MS Mincho"/>
              </w:rPr>
              <w:t>: smoking cessation rates of at least six months after baseline.</w:t>
            </w:r>
          </w:p>
          <w:p w:rsidR="00804397" w:rsidRPr="0050095A" w:rsidRDefault="00804397" w:rsidP="00050691">
            <w:pPr>
              <w:pStyle w:val="Tablewriting"/>
              <w:rPr>
                <w:rFonts w:eastAsia="MS Mincho"/>
                <w:u w:val="single"/>
              </w:rPr>
            </w:pPr>
            <w:r w:rsidRPr="0050095A">
              <w:rPr>
                <w:rFonts w:eastAsia="MS Mincho"/>
                <w:u w:val="single"/>
              </w:rPr>
              <w:t>Secondary</w:t>
            </w:r>
            <w:r w:rsidRPr="0050095A">
              <w:rPr>
                <w:rFonts w:eastAsia="MS Mincho"/>
              </w:rPr>
              <w:t>: safety including cardiac adverse events, serious adverse events and withdrawals due to treatment.</w:t>
            </w:r>
          </w:p>
        </w:tc>
      </w:tr>
      <w:tr w:rsidR="00804397" w:rsidRPr="00061F78" w:rsidTr="00744F70">
        <w:trPr>
          <w:trHeight w:val="149"/>
        </w:trPr>
        <w:tc>
          <w:tcPr>
            <w:tcW w:w="5000" w:type="pct"/>
            <w:gridSpan w:val="6"/>
            <w:shd w:val="clear" w:color="auto" w:fill="auto"/>
            <w:tcMar>
              <w:left w:w="28" w:type="dxa"/>
              <w:right w:w="28" w:type="dxa"/>
            </w:tcMar>
          </w:tcPr>
          <w:p w:rsidR="00804397" w:rsidRPr="0050095A" w:rsidRDefault="00804397" w:rsidP="00050691">
            <w:pPr>
              <w:pStyle w:val="Tableheading"/>
              <w:rPr>
                <w:rFonts w:eastAsia="MS Mincho"/>
                <w:b w:val="0"/>
                <w:bCs w:val="0"/>
              </w:rPr>
            </w:pPr>
            <w:r w:rsidRPr="0050095A">
              <w:rPr>
                <w:rFonts w:eastAsia="MS Mincho"/>
              </w:rPr>
              <w:t>Gum dose</w:t>
            </w:r>
          </w:p>
        </w:tc>
      </w:tr>
      <w:tr w:rsidR="00804397" w:rsidRPr="00061F78" w:rsidTr="009C5583">
        <w:trPr>
          <w:trHeight w:val="149"/>
        </w:trPr>
        <w:tc>
          <w:tcPr>
            <w:tcW w:w="436" w:type="pct"/>
            <w:tcMar>
              <w:left w:w="28" w:type="dxa"/>
              <w:right w:w="28" w:type="dxa"/>
            </w:tcMar>
          </w:tcPr>
          <w:p w:rsidR="00804397" w:rsidRDefault="00AD42E5" w:rsidP="00050691">
            <w:pPr>
              <w:pStyle w:val="Tablewriting"/>
              <w:rPr>
                <w:rFonts w:eastAsia="MS Mincho"/>
              </w:rPr>
            </w:pPr>
            <w:r>
              <w:t>Lindson</w:t>
            </w:r>
            <w:r w:rsidRPr="00713891">
              <w:t xml:space="preserve"> (</w:t>
            </w:r>
            <w:r w:rsidR="00804397" w:rsidRPr="00713891">
              <w:t>201</w:t>
            </w:r>
            <w:r w:rsidR="00804397">
              <w:t>9</w:t>
            </w:r>
            <w:r w:rsidR="00804397" w:rsidRPr="00713891">
              <w:t>)</w:t>
            </w:r>
          </w:p>
        </w:tc>
        <w:tc>
          <w:tcPr>
            <w:tcW w:w="536" w:type="pct"/>
          </w:tcPr>
          <w:p w:rsidR="00804397" w:rsidRDefault="00804397" w:rsidP="00050691">
            <w:pPr>
              <w:pStyle w:val="Tablewriting"/>
              <w:rPr>
                <w:rFonts w:eastAsia="MS Mincho"/>
              </w:rPr>
            </w:pPr>
            <w:r w:rsidRPr="00687B43">
              <w:rPr>
                <w:rFonts w:eastAsia="MS Mincho"/>
              </w:rPr>
              <w:t xml:space="preserve">Cochrane </w:t>
            </w:r>
            <w:r w:rsidR="002A78FB" w:rsidRPr="00687B43">
              <w:rPr>
                <w:rFonts w:eastAsia="MS Mincho"/>
              </w:rPr>
              <w:t>R</w:t>
            </w:r>
            <w:r w:rsidRPr="00687B43">
              <w:rPr>
                <w:rFonts w:eastAsia="MS Mincho"/>
              </w:rPr>
              <w:t xml:space="preserve">eview </w:t>
            </w:r>
          </w:p>
          <w:p w:rsidR="00804397" w:rsidRDefault="00804397" w:rsidP="00050691">
            <w:pPr>
              <w:pStyle w:val="Tablewriting"/>
              <w:rPr>
                <w:rFonts w:eastAsia="MS Mincho"/>
              </w:rPr>
            </w:pPr>
            <w:r w:rsidRPr="00687B43">
              <w:rPr>
                <w:rFonts w:eastAsia="MS Mincho"/>
              </w:rPr>
              <w:t>(</w:t>
            </w:r>
            <w:r>
              <w:rPr>
                <w:rFonts w:eastAsia="MS Mincho"/>
              </w:rPr>
              <w:t>5</w:t>
            </w:r>
            <w:r w:rsidRPr="00687B43">
              <w:rPr>
                <w:rFonts w:eastAsia="MS Mincho"/>
              </w:rPr>
              <w:t xml:space="preserve"> RCTs</w:t>
            </w:r>
            <w:r w:rsidRPr="00687B43">
              <w:rPr>
                <w:rFonts w:eastAsia="MS Mincho"/>
                <w:vertAlign w:val="superscript"/>
              </w:rPr>
              <w:t>2</w:t>
            </w:r>
            <w:r w:rsidRPr="00687B43">
              <w:rPr>
                <w:rFonts w:eastAsia="MS Mincho"/>
              </w:rPr>
              <w:t>)</w:t>
            </w:r>
          </w:p>
        </w:tc>
        <w:tc>
          <w:tcPr>
            <w:tcW w:w="1257" w:type="pct"/>
            <w:tcMar>
              <w:left w:w="28" w:type="dxa"/>
              <w:right w:w="28" w:type="dxa"/>
            </w:tcMar>
          </w:tcPr>
          <w:p w:rsidR="00804397" w:rsidRPr="009A2294" w:rsidRDefault="00804397" w:rsidP="00050691">
            <w:pPr>
              <w:pStyle w:val="Tablewriting"/>
              <w:rPr>
                <w:rFonts w:eastAsia="MS Mincho"/>
                <w:b/>
                <w:bCs/>
              </w:rPr>
            </w:pPr>
            <w:r w:rsidRPr="009A2294">
              <w:rPr>
                <w:rFonts w:eastAsia="MS Mincho"/>
                <w:b/>
                <w:bCs/>
              </w:rPr>
              <w:t>High-dependency smokers</w:t>
            </w:r>
          </w:p>
          <w:p w:rsidR="00804397" w:rsidRPr="007F3A7A" w:rsidRDefault="00804397" w:rsidP="00050691">
            <w:pPr>
              <w:pStyle w:val="Tablewriting"/>
              <w:rPr>
                <w:rFonts w:eastAsia="MS Mincho"/>
                <w:u w:val="single"/>
              </w:rPr>
            </w:pPr>
            <w:r>
              <w:rPr>
                <w:rFonts w:eastAsia="MS Mincho"/>
                <w:u w:val="single"/>
              </w:rPr>
              <w:t>4</w:t>
            </w:r>
            <w:r w:rsidRPr="004C35E0">
              <w:rPr>
                <w:rFonts w:eastAsia="MS Mincho"/>
                <w:u w:val="single"/>
              </w:rPr>
              <w:t xml:space="preserve"> mg versus </w:t>
            </w:r>
            <w:r>
              <w:rPr>
                <w:rFonts w:eastAsia="MS Mincho"/>
                <w:u w:val="single"/>
              </w:rPr>
              <w:t>2</w:t>
            </w:r>
            <w:r w:rsidRPr="004C35E0">
              <w:rPr>
                <w:rFonts w:eastAsia="MS Mincho"/>
                <w:u w:val="single"/>
              </w:rPr>
              <w:t xml:space="preserve"> </w:t>
            </w:r>
            <w:r w:rsidRPr="007F3A7A">
              <w:rPr>
                <w:rFonts w:eastAsia="MS Mincho"/>
                <w:u w:val="single"/>
              </w:rPr>
              <w:t>mg gum</w:t>
            </w:r>
          </w:p>
          <w:p w:rsidR="00804397" w:rsidRPr="007F3A7A" w:rsidRDefault="00804397" w:rsidP="00050691">
            <w:pPr>
              <w:pStyle w:val="Tablewriting"/>
              <w:rPr>
                <w:rFonts w:eastAsia="MS Mincho"/>
              </w:rPr>
            </w:pPr>
            <w:r w:rsidRPr="007F3A7A">
              <w:rPr>
                <w:rFonts w:eastAsia="MS Mincho"/>
              </w:rPr>
              <w:t xml:space="preserve">N= </w:t>
            </w:r>
            <w:r>
              <w:rPr>
                <w:rFonts w:eastAsia="MS Mincho"/>
              </w:rPr>
              <w:t xml:space="preserve">618 </w:t>
            </w:r>
            <w:r w:rsidRPr="007F3A7A">
              <w:rPr>
                <w:rFonts w:eastAsia="MS Mincho"/>
              </w:rPr>
              <w:t>(</w:t>
            </w:r>
            <w:r>
              <w:rPr>
                <w:rFonts w:eastAsia="MS Mincho"/>
              </w:rPr>
              <w:t>4</w:t>
            </w:r>
            <w:r w:rsidRPr="007F3A7A">
              <w:rPr>
                <w:rFonts w:eastAsia="MS Mincho"/>
              </w:rPr>
              <w:t xml:space="preserve"> RCTs)</w:t>
            </w:r>
          </w:p>
          <w:p w:rsidR="00804397" w:rsidRPr="007F3A7A" w:rsidRDefault="00804397" w:rsidP="00050691">
            <w:pPr>
              <w:pStyle w:val="Tablewriting"/>
              <w:rPr>
                <w:rFonts w:eastAsia="MS Mincho"/>
              </w:rPr>
            </w:pPr>
            <w:r w:rsidRPr="007F3A7A">
              <w:rPr>
                <w:rFonts w:eastAsia="MS Mincho"/>
              </w:rPr>
              <w:t>4 mg gum (n=</w:t>
            </w:r>
            <w:r>
              <w:rPr>
                <w:rFonts w:eastAsia="MS Mincho"/>
              </w:rPr>
              <w:t>303</w:t>
            </w:r>
            <w:r w:rsidRPr="007F3A7A">
              <w:rPr>
                <w:rFonts w:eastAsia="MS Mincho"/>
              </w:rPr>
              <w:t>),</w:t>
            </w:r>
          </w:p>
          <w:p w:rsidR="00804397" w:rsidRPr="00BA211C" w:rsidRDefault="00804397" w:rsidP="00050691">
            <w:pPr>
              <w:pStyle w:val="Tablewriting"/>
              <w:rPr>
                <w:rFonts w:eastAsia="MS Mincho"/>
              </w:rPr>
            </w:pPr>
            <w:r w:rsidRPr="007F3A7A">
              <w:rPr>
                <w:rFonts w:eastAsia="MS Mincho"/>
              </w:rPr>
              <w:t>2 mg gum (n=</w:t>
            </w:r>
            <w:r>
              <w:rPr>
                <w:rFonts w:eastAsia="MS Mincho"/>
              </w:rPr>
              <w:t>315</w:t>
            </w:r>
            <w:r w:rsidRPr="007F3A7A">
              <w:rPr>
                <w:rFonts w:eastAsia="MS Mincho"/>
              </w:rPr>
              <w:t>)</w:t>
            </w:r>
          </w:p>
          <w:p w:rsidR="00804397" w:rsidRPr="00BA211C" w:rsidRDefault="00804397" w:rsidP="00050691">
            <w:pPr>
              <w:pStyle w:val="Tablewriting"/>
              <w:rPr>
                <w:rFonts w:eastAsia="MS Mincho"/>
                <w:u w:val="single"/>
              </w:rPr>
            </w:pPr>
          </w:p>
          <w:p w:rsidR="00804397" w:rsidRPr="009A2294" w:rsidRDefault="00804397" w:rsidP="00050691">
            <w:pPr>
              <w:pStyle w:val="Tablewriting"/>
              <w:rPr>
                <w:rFonts w:eastAsia="MS Mincho"/>
                <w:b/>
                <w:bCs/>
              </w:rPr>
            </w:pPr>
            <w:r w:rsidRPr="009A2294">
              <w:rPr>
                <w:rFonts w:eastAsia="MS Mincho"/>
                <w:b/>
                <w:bCs/>
              </w:rPr>
              <w:lastRenderedPageBreak/>
              <w:t>Low-dependency smokers</w:t>
            </w:r>
          </w:p>
          <w:p w:rsidR="00804397" w:rsidRPr="007F3A7A" w:rsidRDefault="00804397" w:rsidP="00050691">
            <w:pPr>
              <w:pStyle w:val="Tablewriting"/>
              <w:rPr>
                <w:rFonts w:eastAsia="MS Mincho"/>
                <w:u w:val="single"/>
              </w:rPr>
            </w:pPr>
            <w:r>
              <w:rPr>
                <w:rFonts w:eastAsia="MS Mincho"/>
                <w:u w:val="single"/>
              </w:rPr>
              <w:t>4</w:t>
            </w:r>
            <w:r w:rsidRPr="004C35E0">
              <w:rPr>
                <w:rFonts w:eastAsia="MS Mincho"/>
                <w:u w:val="single"/>
              </w:rPr>
              <w:t xml:space="preserve"> mg versus </w:t>
            </w:r>
            <w:r>
              <w:rPr>
                <w:rFonts w:eastAsia="MS Mincho"/>
                <w:u w:val="single"/>
              </w:rPr>
              <w:t>2</w:t>
            </w:r>
            <w:r w:rsidRPr="004C35E0">
              <w:rPr>
                <w:rFonts w:eastAsia="MS Mincho"/>
                <w:u w:val="single"/>
              </w:rPr>
              <w:t xml:space="preserve"> </w:t>
            </w:r>
            <w:r w:rsidRPr="007F3A7A">
              <w:rPr>
                <w:rFonts w:eastAsia="MS Mincho"/>
                <w:u w:val="single"/>
              </w:rPr>
              <w:t>mg gum</w:t>
            </w:r>
          </w:p>
          <w:p w:rsidR="00804397" w:rsidRPr="007F3A7A" w:rsidRDefault="00804397" w:rsidP="00050691">
            <w:pPr>
              <w:pStyle w:val="Tablewriting"/>
              <w:rPr>
                <w:rFonts w:eastAsia="MS Mincho"/>
              </w:rPr>
            </w:pPr>
            <w:r w:rsidRPr="007F3A7A">
              <w:rPr>
                <w:rFonts w:eastAsia="MS Mincho"/>
              </w:rPr>
              <w:t xml:space="preserve">N= </w:t>
            </w:r>
            <w:r>
              <w:rPr>
                <w:rFonts w:eastAsia="MS Mincho"/>
              </w:rPr>
              <w:t xml:space="preserve">238 </w:t>
            </w:r>
            <w:r w:rsidRPr="007F3A7A">
              <w:rPr>
                <w:rFonts w:eastAsia="MS Mincho"/>
              </w:rPr>
              <w:t>(</w:t>
            </w:r>
            <w:r>
              <w:rPr>
                <w:rFonts w:eastAsia="MS Mincho"/>
              </w:rPr>
              <w:t>3</w:t>
            </w:r>
            <w:r w:rsidRPr="007F3A7A">
              <w:rPr>
                <w:rFonts w:eastAsia="MS Mincho"/>
              </w:rPr>
              <w:t xml:space="preserve"> RCTs)</w:t>
            </w:r>
          </w:p>
          <w:p w:rsidR="00804397" w:rsidRPr="007F3A7A" w:rsidRDefault="00804397" w:rsidP="00050691">
            <w:pPr>
              <w:pStyle w:val="Tablewriting"/>
              <w:rPr>
                <w:rFonts w:eastAsia="MS Mincho"/>
              </w:rPr>
            </w:pPr>
            <w:r w:rsidRPr="007F3A7A">
              <w:rPr>
                <w:rFonts w:eastAsia="MS Mincho"/>
              </w:rPr>
              <w:t>4 mg gum (n=</w:t>
            </w:r>
            <w:r>
              <w:rPr>
                <w:rFonts w:eastAsia="MS Mincho"/>
              </w:rPr>
              <w:t>123</w:t>
            </w:r>
            <w:r w:rsidRPr="007F3A7A">
              <w:rPr>
                <w:rFonts w:eastAsia="MS Mincho"/>
              </w:rPr>
              <w:t>),</w:t>
            </w:r>
          </w:p>
          <w:p w:rsidR="00804397" w:rsidRDefault="00804397" w:rsidP="00050691">
            <w:pPr>
              <w:pStyle w:val="Tablewriting"/>
              <w:rPr>
                <w:rFonts w:eastAsia="MS Mincho"/>
              </w:rPr>
            </w:pPr>
            <w:r w:rsidRPr="007F3A7A">
              <w:rPr>
                <w:rFonts w:eastAsia="MS Mincho"/>
              </w:rPr>
              <w:t>2 mg gum (n=</w:t>
            </w:r>
            <w:r>
              <w:rPr>
                <w:rFonts w:eastAsia="MS Mincho"/>
              </w:rPr>
              <w:t>115</w:t>
            </w:r>
            <w:r w:rsidRPr="007F3A7A">
              <w:rPr>
                <w:rFonts w:eastAsia="MS Mincho"/>
              </w:rPr>
              <w:t>)</w:t>
            </w:r>
          </w:p>
          <w:p w:rsidR="00804397" w:rsidRDefault="00804397" w:rsidP="00050691">
            <w:pPr>
              <w:pStyle w:val="Tablewriting"/>
              <w:rPr>
                <w:rFonts w:eastAsia="MS Mincho"/>
              </w:rPr>
            </w:pPr>
          </w:p>
          <w:p w:rsidR="00804397" w:rsidRPr="009A2294" w:rsidRDefault="00804397" w:rsidP="00050691">
            <w:pPr>
              <w:pStyle w:val="Tablewriting"/>
              <w:rPr>
                <w:rFonts w:eastAsia="MS Mincho"/>
                <w:b/>
                <w:bCs/>
              </w:rPr>
            </w:pPr>
            <w:r>
              <w:rPr>
                <w:rFonts w:eastAsia="MS Mincho"/>
                <w:b/>
                <w:bCs/>
              </w:rPr>
              <w:t>General population (</w:t>
            </w:r>
            <w:r w:rsidRPr="009A2294">
              <w:rPr>
                <w:rFonts w:eastAsia="MS Mincho"/>
                <w:b/>
                <w:bCs/>
              </w:rPr>
              <w:t>high- and low-dependency</w:t>
            </w:r>
            <w:r>
              <w:rPr>
                <w:rFonts w:eastAsia="MS Mincho"/>
                <w:b/>
                <w:bCs/>
              </w:rPr>
              <w:t>)</w:t>
            </w:r>
          </w:p>
          <w:p w:rsidR="00804397" w:rsidRPr="007F3A7A" w:rsidRDefault="00804397" w:rsidP="00050691">
            <w:pPr>
              <w:pStyle w:val="Tablewriting"/>
              <w:rPr>
                <w:rFonts w:eastAsia="MS Mincho"/>
                <w:u w:val="single"/>
              </w:rPr>
            </w:pPr>
            <w:r>
              <w:rPr>
                <w:rFonts w:eastAsia="MS Mincho"/>
                <w:u w:val="single"/>
              </w:rPr>
              <w:t>4</w:t>
            </w:r>
            <w:r w:rsidRPr="004C35E0">
              <w:rPr>
                <w:rFonts w:eastAsia="MS Mincho"/>
                <w:u w:val="single"/>
              </w:rPr>
              <w:t xml:space="preserve"> mg versus </w:t>
            </w:r>
            <w:r>
              <w:rPr>
                <w:rFonts w:eastAsia="MS Mincho"/>
                <w:u w:val="single"/>
              </w:rPr>
              <w:t>2</w:t>
            </w:r>
            <w:r w:rsidRPr="004C35E0">
              <w:rPr>
                <w:rFonts w:eastAsia="MS Mincho"/>
                <w:u w:val="single"/>
              </w:rPr>
              <w:t xml:space="preserve"> </w:t>
            </w:r>
            <w:r w:rsidRPr="007F3A7A">
              <w:rPr>
                <w:rFonts w:eastAsia="MS Mincho"/>
                <w:u w:val="single"/>
              </w:rPr>
              <w:t>mg gum</w:t>
            </w:r>
          </w:p>
          <w:p w:rsidR="00804397" w:rsidRPr="007F3A7A" w:rsidRDefault="00804397" w:rsidP="00050691">
            <w:pPr>
              <w:pStyle w:val="Tablewriting"/>
              <w:rPr>
                <w:rFonts w:eastAsia="MS Mincho"/>
              </w:rPr>
            </w:pPr>
            <w:r w:rsidRPr="007F3A7A">
              <w:rPr>
                <w:rFonts w:eastAsia="MS Mincho"/>
              </w:rPr>
              <w:t>N=856 (5 RCTs)</w:t>
            </w:r>
          </w:p>
          <w:p w:rsidR="00804397" w:rsidRPr="007F3A7A" w:rsidRDefault="00804397" w:rsidP="00050691">
            <w:pPr>
              <w:pStyle w:val="Tablewriting"/>
              <w:rPr>
                <w:rFonts w:eastAsia="MS Mincho"/>
              </w:rPr>
            </w:pPr>
            <w:r w:rsidRPr="007F3A7A">
              <w:rPr>
                <w:rFonts w:eastAsia="MS Mincho"/>
              </w:rPr>
              <w:t>4 mg gum (n=</w:t>
            </w:r>
            <w:r>
              <w:rPr>
                <w:rFonts w:eastAsia="MS Mincho"/>
              </w:rPr>
              <w:t>426</w:t>
            </w:r>
            <w:r w:rsidRPr="007F3A7A">
              <w:rPr>
                <w:rFonts w:eastAsia="MS Mincho"/>
              </w:rPr>
              <w:t>),</w:t>
            </w:r>
          </w:p>
          <w:p w:rsidR="00804397" w:rsidRPr="00401D4A" w:rsidRDefault="00804397" w:rsidP="00050691">
            <w:pPr>
              <w:pStyle w:val="Tablewriting"/>
              <w:rPr>
                <w:rFonts w:eastAsia="MS Mincho"/>
              </w:rPr>
            </w:pPr>
            <w:r w:rsidRPr="007F3A7A">
              <w:rPr>
                <w:rFonts w:eastAsia="MS Mincho"/>
              </w:rPr>
              <w:t>2 mg gum (n=</w:t>
            </w:r>
            <w:r>
              <w:rPr>
                <w:rFonts w:eastAsia="MS Mincho"/>
              </w:rPr>
              <w:t>430</w:t>
            </w:r>
            <w:r w:rsidRPr="007F3A7A">
              <w:rPr>
                <w:rFonts w:eastAsia="MS Mincho"/>
              </w:rPr>
              <w:t>)</w:t>
            </w:r>
          </w:p>
        </w:tc>
        <w:tc>
          <w:tcPr>
            <w:tcW w:w="1309" w:type="pct"/>
            <w:tcMar>
              <w:left w:w="28" w:type="dxa"/>
              <w:right w:w="28" w:type="dxa"/>
            </w:tcMar>
          </w:tcPr>
          <w:p w:rsidR="00804397" w:rsidRPr="00DC607E" w:rsidRDefault="00804397" w:rsidP="00050691">
            <w:pPr>
              <w:pStyle w:val="Tablewriting"/>
              <w:rPr>
                <w:rFonts w:eastAsia="MS Mincho"/>
              </w:rPr>
            </w:pPr>
            <w:r w:rsidRPr="00DC607E">
              <w:rPr>
                <w:rFonts w:eastAsia="MS Mincho"/>
                <w:u w:val="single"/>
              </w:rPr>
              <w:lastRenderedPageBreak/>
              <w:t>Inclusion</w:t>
            </w:r>
            <w:r w:rsidRPr="00DC607E">
              <w:rPr>
                <w:rFonts w:eastAsia="MS Mincho"/>
              </w:rPr>
              <w:t xml:space="preserve">: </w:t>
            </w:r>
          </w:p>
          <w:p w:rsidR="00804397" w:rsidRPr="00DC607E" w:rsidRDefault="00804397" w:rsidP="00050691">
            <w:pPr>
              <w:pStyle w:val="Tablewriting"/>
              <w:rPr>
                <w:rFonts w:eastAsia="MS Mincho"/>
              </w:rPr>
            </w:pPr>
            <w:r w:rsidRPr="00DC607E">
              <w:rPr>
                <w:rFonts w:eastAsia="MS Mincho"/>
              </w:rPr>
              <w:t>Adult smokers with an average age of approximately 45, who smoked at least 15 cigarettes a day</w:t>
            </w:r>
            <w:r w:rsidR="002A78FB">
              <w:rPr>
                <w:rFonts w:eastAsia="MS Mincho"/>
              </w:rPr>
              <w:t>,</w:t>
            </w:r>
            <w:r>
              <w:rPr>
                <w:rFonts w:eastAsia="MS Mincho"/>
              </w:rPr>
              <w:t xml:space="preserve"> </w:t>
            </w:r>
            <w:r w:rsidR="002A78FB" w:rsidRPr="0050095A">
              <w:rPr>
                <w:rFonts w:eastAsia="MS Mincho"/>
              </w:rPr>
              <w:t>s</w:t>
            </w:r>
            <w:r w:rsidRPr="0050095A">
              <w:rPr>
                <w:rFonts w:eastAsia="MS Mincho"/>
              </w:rPr>
              <w:t>tudies</w:t>
            </w:r>
            <w:r>
              <w:rPr>
                <w:rFonts w:eastAsia="MS Mincho"/>
              </w:rPr>
              <w:t xml:space="preserve"> </w:t>
            </w:r>
            <w:r w:rsidRPr="0050095A">
              <w:rPr>
                <w:rFonts w:eastAsia="MS Mincho"/>
              </w:rPr>
              <w:lastRenderedPageBreak/>
              <w:t>lasted for at least six months</w:t>
            </w:r>
            <w:r>
              <w:rPr>
                <w:rFonts w:eastAsia="MS Mincho"/>
              </w:rPr>
              <w:t>.</w:t>
            </w:r>
          </w:p>
          <w:p w:rsidR="00804397" w:rsidRPr="00DC607E" w:rsidRDefault="00804397" w:rsidP="00050691">
            <w:pPr>
              <w:pStyle w:val="Tablewriting"/>
              <w:rPr>
                <w:rFonts w:eastAsia="MS Mincho"/>
                <w:u w:val="single"/>
              </w:rPr>
            </w:pPr>
            <w:r w:rsidRPr="00DC607E">
              <w:rPr>
                <w:rFonts w:eastAsia="MS Mincho"/>
                <w:u w:val="single"/>
              </w:rPr>
              <w:t>Exclusion</w:t>
            </w:r>
            <w:r w:rsidRPr="00DC607E">
              <w:rPr>
                <w:rFonts w:eastAsia="MS Mincho"/>
              </w:rPr>
              <w:t>: Trials that did not assess cessation as an outcome, with follow-up less than six months, and with additional intervention components not matched between arms. Trials comparing NRT to control, and trials comparing NRT to other pharmacotherapies.</w:t>
            </w:r>
          </w:p>
        </w:tc>
        <w:tc>
          <w:tcPr>
            <w:tcW w:w="580" w:type="pct"/>
          </w:tcPr>
          <w:p w:rsidR="00804397" w:rsidRPr="00BA211C" w:rsidRDefault="00804397" w:rsidP="00050691">
            <w:pPr>
              <w:pStyle w:val="Tablewriting"/>
              <w:rPr>
                <w:rFonts w:eastAsia="MS Mincho"/>
              </w:rPr>
            </w:pPr>
            <w:r w:rsidRPr="00BA211C">
              <w:rPr>
                <w:rFonts w:eastAsia="MS Mincho"/>
              </w:rPr>
              <w:lastRenderedPageBreak/>
              <w:t>4 mg gum</w:t>
            </w:r>
          </w:p>
          <w:p w:rsidR="00804397" w:rsidRPr="00687B43" w:rsidRDefault="00804397" w:rsidP="00050691">
            <w:pPr>
              <w:pStyle w:val="Tablewriting"/>
              <w:rPr>
                <w:rFonts w:eastAsia="MS Mincho"/>
                <w:highlight w:val="yellow"/>
              </w:rPr>
            </w:pPr>
            <w:r w:rsidRPr="00BA211C">
              <w:rPr>
                <w:rFonts w:eastAsia="MS Mincho"/>
              </w:rPr>
              <w:t>2 mg gum</w:t>
            </w:r>
          </w:p>
        </w:tc>
        <w:tc>
          <w:tcPr>
            <w:tcW w:w="882" w:type="pct"/>
            <w:tcMar>
              <w:left w:w="28" w:type="dxa"/>
              <w:right w:w="28" w:type="dxa"/>
            </w:tcMar>
          </w:tcPr>
          <w:p w:rsidR="00804397" w:rsidRPr="0050095A" w:rsidRDefault="00804397" w:rsidP="00050691">
            <w:pPr>
              <w:pStyle w:val="Tablewriting"/>
              <w:rPr>
                <w:rFonts w:eastAsia="MS Mincho"/>
              </w:rPr>
            </w:pPr>
            <w:r w:rsidRPr="0050095A">
              <w:rPr>
                <w:rFonts w:eastAsia="MS Mincho"/>
                <w:u w:val="single"/>
              </w:rPr>
              <w:t>Primary</w:t>
            </w:r>
            <w:r w:rsidRPr="0050095A">
              <w:rPr>
                <w:rFonts w:eastAsia="MS Mincho"/>
              </w:rPr>
              <w:t>: smoking cessation rates of at least six months after baseline.</w:t>
            </w:r>
          </w:p>
          <w:p w:rsidR="00804397" w:rsidRPr="0050095A" w:rsidRDefault="00804397" w:rsidP="00050691">
            <w:pPr>
              <w:pStyle w:val="Tablewriting"/>
              <w:rPr>
                <w:rFonts w:eastAsia="MS Mincho"/>
                <w:u w:val="single"/>
              </w:rPr>
            </w:pPr>
            <w:r w:rsidRPr="0050095A">
              <w:rPr>
                <w:rFonts w:eastAsia="MS Mincho"/>
                <w:u w:val="single"/>
              </w:rPr>
              <w:t>Secondary</w:t>
            </w:r>
            <w:r w:rsidRPr="0050095A">
              <w:rPr>
                <w:rFonts w:eastAsia="MS Mincho"/>
              </w:rPr>
              <w:t xml:space="preserve">: safety including cardiac </w:t>
            </w:r>
            <w:r w:rsidRPr="0050095A">
              <w:rPr>
                <w:rFonts w:eastAsia="MS Mincho"/>
              </w:rPr>
              <w:lastRenderedPageBreak/>
              <w:t xml:space="preserve">adverse events, serious adverse events and withdrawals due to treatment. </w:t>
            </w:r>
          </w:p>
        </w:tc>
      </w:tr>
    </w:tbl>
    <w:p w:rsidR="00804397" w:rsidRPr="00C87F51" w:rsidRDefault="00804397" w:rsidP="00050691">
      <w:pPr>
        <w:pStyle w:val="TableFooter"/>
        <w:rPr>
          <w:i/>
        </w:rPr>
      </w:pPr>
      <w:r>
        <w:lastRenderedPageBreak/>
        <w:t xml:space="preserve">Abbreviations: </w:t>
      </w:r>
      <w:r w:rsidRPr="00C87F51">
        <w:t xml:space="preserve">NRT = nicotine replacement therapy; RCT = randomised controlled trial </w:t>
      </w:r>
    </w:p>
    <w:p w:rsidR="00804397" w:rsidRDefault="00804397" w:rsidP="00050691">
      <w:pPr>
        <w:pStyle w:val="TableFooter"/>
      </w:pPr>
      <w:r w:rsidRPr="00C87F51">
        <w:t>Notes:</w:t>
      </w:r>
      <w:r>
        <w:t xml:space="preserve"> </w:t>
      </w:r>
    </w:p>
    <w:p w:rsidR="00804397" w:rsidRPr="00BA211C" w:rsidRDefault="00804397" w:rsidP="00050691">
      <w:pPr>
        <w:pStyle w:val="TableFooter"/>
      </w:pPr>
      <w:r w:rsidRPr="00BA211C">
        <w:t>1 Only the number of patients (n) in the relevant arms were included</w:t>
      </w:r>
      <w:r w:rsidR="00ED0CBA">
        <w:t>.</w:t>
      </w:r>
      <w:r w:rsidRPr="00BA211C">
        <w:t xml:space="preserve"> </w:t>
      </w:r>
    </w:p>
    <w:p w:rsidR="00804397" w:rsidRDefault="00804397" w:rsidP="00050691">
      <w:pPr>
        <w:pStyle w:val="TableFooter"/>
      </w:pPr>
      <w:r w:rsidRPr="004C35E0">
        <w:t xml:space="preserve">2 The characteristics of the individual studies included in Lindson et al. (2019) are presented in </w:t>
      </w:r>
      <w:r w:rsidRPr="00714B31">
        <w:t>Appendix</w:t>
      </w:r>
      <w:r w:rsidR="00501CE2">
        <w:t xml:space="preserve"> </w:t>
      </w:r>
      <w:r w:rsidR="003C4A1C">
        <w:t xml:space="preserve">Table </w:t>
      </w:r>
      <w:r w:rsidR="003C4A1C">
        <w:rPr>
          <w:noProof/>
        </w:rPr>
        <w:t>161</w:t>
      </w:r>
      <w:r w:rsidRPr="004C35E0">
        <w:t>.</w:t>
      </w:r>
      <w:r w:rsidR="00A30E1D" w:rsidRPr="00A30E1D">
        <w:t xml:space="preserve"> Based on Lindson et al. (2019), trials typically recruited people who smoked at least 15 cigarettes a day. Although some trials included lighter smokers as well (12 of the 63 trials (19%)), the average number smoked was greater than or equal to 20 a day in most studies (46 of the 63 trials (73%)).</w:t>
      </w:r>
    </w:p>
    <w:p w:rsidR="00804397" w:rsidRDefault="00804397" w:rsidP="00050691">
      <w:r>
        <w:t>There were</w:t>
      </w:r>
      <w:r w:rsidRPr="00C23E59">
        <w:t xml:space="preserve"> three groups of studies that compared di</w:t>
      </w:r>
      <w:r>
        <w:t>ff</w:t>
      </w:r>
      <w:r w:rsidRPr="00C23E59">
        <w:t xml:space="preserve">erent </w:t>
      </w:r>
      <w:r>
        <w:t xml:space="preserve">NRT </w:t>
      </w:r>
      <w:r w:rsidRPr="00C23E59">
        <w:t>patch</w:t>
      </w:r>
      <w:r w:rsidR="008138B1">
        <w:t>es</w:t>
      </w:r>
      <w:r>
        <w:t xml:space="preserve"> </w:t>
      </w:r>
      <w:r w:rsidRPr="00C23E59">
        <w:t xml:space="preserve">doses; </w:t>
      </w:r>
      <w:r>
        <w:t>(</w:t>
      </w:r>
      <w:r w:rsidRPr="00C23E59">
        <w:t>1)</w:t>
      </w:r>
      <w:r>
        <w:t xml:space="preserve"> </w:t>
      </w:r>
      <w:r w:rsidRPr="00C23E59">
        <w:t>42/44 mg versus 21/22 mg patches</w:t>
      </w:r>
      <w:r w:rsidR="008F7920">
        <w:t xml:space="preserve"> (24-hour)</w:t>
      </w:r>
      <w:r w:rsidR="00175A1B">
        <w:rPr>
          <w:rStyle w:val="FootnoteReference"/>
        </w:rPr>
        <w:footnoteReference w:id="2"/>
      </w:r>
      <w:r w:rsidRPr="00C23E59">
        <w:t xml:space="preserve">; </w:t>
      </w:r>
      <w:r>
        <w:t>(</w:t>
      </w:r>
      <w:r w:rsidRPr="00C23E59">
        <w:t>2) 25 mg versus 15 mg patches</w:t>
      </w:r>
      <w:r w:rsidR="008F7920">
        <w:t xml:space="preserve"> (16-hour)</w:t>
      </w:r>
      <w:r w:rsidRPr="00C23E59">
        <w:t>;</w:t>
      </w:r>
      <w:r>
        <w:t xml:space="preserve"> (</w:t>
      </w:r>
      <w:r w:rsidRPr="00C23E59">
        <w:t>3) 21 mg versus 14 mg patches</w:t>
      </w:r>
      <w:r w:rsidR="008F7920">
        <w:t xml:space="preserve"> (24-hour)</w:t>
      </w:r>
      <w:r w:rsidRPr="00C23E59">
        <w:t>. Although the doses included in</w:t>
      </w:r>
      <w:r>
        <w:t xml:space="preserve"> </w:t>
      </w:r>
      <w:r w:rsidRPr="00C23E59">
        <w:t>groups 2</w:t>
      </w:r>
      <w:r>
        <w:t xml:space="preserve"> </w:t>
      </w:r>
      <w:r w:rsidRPr="00C23E59">
        <w:t>and 3 appear comparable, the patches used in these</w:t>
      </w:r>
      <w:r>
        <w:t xml:space="preserve"> </w:t>
      </w:r>
      <w:r w:rsidRPr="00C23E59">
        <w:t>groups did not have comparable delivery systems, meaning the</w:t>
      </w:r>
      <w:r>
        <w:t xml:space="preserve"> </w:t>
      </w:r>
      <w:r w:rsidRPr="00C23E59">
        <w:t>doses delivered to participants per hour were likely to be di</w:t>
      </w:r>
      <w:r>
        <w:t>ff</w:t>
      </w:r>
      <w:r w:rsidRPr="00C23E59">
        <w:t>erent</w:t>
      </w:r>
      <w:r>
        <w:t xml:space="preserve"> </w:t>
      </w:r>
      <w:r w:rsidRPr="00C23E59">
        <w:t xml:space="preserve">across the two groups. </w:t>
      </w:r>
    </w:p>
    <w:p w:rsidR="00050691" w:rsidRDefault="00804397" w:rsidP="00050691">
      <w:r w:rsidRPr="00C23E59">
        <w:t>The three studies comparing the 25 mg</w:t>
      </w:r>
      <w:r>
        <w:t xml:space="preserve"> </w:t>
      </w:r>
      <w:r w:rsidRPr="00C23E59">
        <w:t>dose to the 15 mg dose (Paoletti 1996</w:t>
      </w:r>
      <w:r w:rsidR="00050691">
        <w:t>,</w:t>
      </w:r>
      <w:r w:rsidRPr="00C23E59">
        <w:t xml:space="preserve"> CEASE 1999</w:t>
      </w:r>
      <w:r w:rsidR="00050691">
        <w:t>,</w:t>
      </w:r>
      <w:r w:rsidRPr="00C23E59">
        <w:t xml:space="preserve"> Killen 1999)</w:t>
      </w:r>
      <w:r>
        <w:t xml:space="preserve"> </w:t>
      </w:r>
      <w:r w:rsidRPr="00C23E59">
        <w:t>all used patches that delivered nicotine over a 16-hour period (to</w:t>
      </w:r>
      <w:r>
        <w:t xml:space="preserve"> </w:t>
      </w:r>
      <w:r w:rsidRPr="00C23E59">
        <w:t>be worn during waking hours), so the doses delivered per hour</w:t>
      </w:r>
      <w:r>
        <w:t xml:space="preserve"> </w:t>
      </w:r>
      <w:r w:rsidRPr="00C23E59">
        <w:t>were approximately 1.6 mg and 0.9 mg. However, in TNSG 1991,</w:t>
      </w:r>
      <w:r>
        <w:t xml:space="preserve"> </w:t>
      </w:r>
      <w:r w:rsidRPr="00C23E59">
        <w:t>which compared a 21 mg dose with a 14 mg dose, the patches</w:t>
      </w:r>
      <w:r>
        <w:t xml:space="preserve"> </w:t>
      </w:r>
      <w:r w:rsidRPr="00C23E59">
        <w:t>used delivered nicotine over 24 hours (to be worn continuously,</w:t>
      </w:r>
      <w:r>
        <w:t xml:space="preserve"> </w:t>
      </w:r>
      <w:r w:rsidRPr="00C23E59">
        <w:t>including overnight),</w:t>
      </w:r>
      <w:r>
        <w:t xml:space="preserve"> </w:t>
      </w:r>
      <w:r w:rsidRPr="00C23E59">
        <w:t>resulting in doses of approximately 0.9 mg</w:t>
      </w:r>
      <w:r>
        <w:t xml:space="preserve"> </w:t>
      </w:r>
      <w:r w:rsidRPr="00C23E59">
        <w:t>and 0.6 mg per hour. The five studies comparing 42/44 mg doses</w:t>
      </w:r>
      <w:r>
        <w:t xml:space="preserve"> </w:t>
      </w:r>
      <w:r w:rsidRPr="00C23E59">
        <w:t>with 21/22 mg doses (Dale 1995</w:t>
      </w:r>
      <w:r w:rsidR="00050691">
        <w:t>,</w:t>
      </w:r>
      <w:r w:rsidRPr="00C23E59">
        <w:t xml:space="preserve"> Hughes 1999</w:t>
      </w:r>
      <w:r w:rsidR="00050691">
        <w:t>,</w:t>
      </w:r>
      <w:r w:rsidRPr="00C23E59">
        <w:t xml:space="preserve"> Jorenby 1995</w:t>
      </w:r>
      <w:r w:rsidR="00050691">
        <w:t>,</w:t>
      </w:r>
      <w:r>
        <w:t xml:space="preserve"> </w:t>
      </w:r>
      <w:r w:rsidRPr="00C23E59">
        <w:t>Kalman 2006</w:t>
      </w:r>
      <w:r w:rsidR="00050691">
        <w:t>,</w:t>
      </w:r>
      <w:r>
        <w:t xml:space="preserve"> </w:t>
      </w:r>
      <w:r w:rsidRPr="00C23E59">
        <w:t>Rose 2010) all used patches that delivered nicotine</w:t>
      </w:r>
      <w:r>
        <w:t xml:space="preserve"> </w:t>
      </w:r>
      <w:r w:rsidRPr="00C23E59">
        <w:t>over 24 hours, so that the approximate</w:t>
      </w:r>
      <w:r>
        <w:t xml:space="preserve"> </w:t>
      </w:r>
      <w:r w:rsidRPr="00C23E59">
        <w:t>doses delivered per hour</w:t>
      </w:r>
      <w:r>
        <w:t xml:space="preserve"> </w:t>
      </w:r>
      <w:r w:rsidRPr="00C23E59">
        <w:t>were 1.8 mg and 0.9 mg respectively.</w:t>
      </w:r>
    </w:p>
    <w:p w:rsidR="00804397" w:rsidRPr="00BA211C" w:rsidRDefault="00804397" w:rsidP="00050691">
      <w:pPr>
        <w:rPr>
          <w:u w:val="single"/>
        </w:rPr>
      </w:pPr>
      <w:r w:rsidRPr="00BA211C">
        <w:rPr>
          <w:u w:val="single"/>
        </w:rPr>
        <w:t>Efficacy</w:t>
      </w:r>
    </w:p>
    <w:p w:rsidR="00050691" w:rsidRDefault="00804397" w:rsidP="00050691">
      <w:r w:rsidRPr="00F136E9">
        <w:t>A summary of the smoking cessation rates f</w:t>
      </w:r>
      <w:r w:rsidR="00914F60">
        <w:t>or</w:t>
      </w:r>
      <w:r w:rsidRPr="00F136E9">
        <w:t xml:space="preserve"> at least six months follow-up</w:t>
      </w:r>
      <w:r w:rsidR="00964C79">
        <w:t xml:space="preserve"> comparing different NRT </w:t>
      </w:r>
      <w:r w:rsidR="00573F59">
        <w:t>patches</w:t>
      </w:r>
      <w:r w:rsidR="00964C79">
        <w:t xml:space="preserve"> and gum doses</w:t>
      </w:r>
      <w:r w:rsidRPr="00F136E9">
        <w:t xml:space="preserve"> is presented in </w:t>
      </w:r>
      <w:r w:rsidR="003C4A1C">
        <w:t>Table 84</w:t>
      </w:r>
      <w:r>
        <w:t xml:space="preserve"> and </w:t>
      </w:r>
      <w:r w:rsidR="003C4A1C">
        <w:t>Table 85</w:t>
      </w:r>
      <w:r w:rsidR="00964C79">
        <w:t>, respectively</w:t>
      </w:r>
      <w:r w:rsidRPr="00850A51">
        <w:t xml:space="preserve">. </w:t>
      </w:r>
      <w:r w:rsidRPr="00183F21">
        <w:t xml:space="preserve">For the comparison of </w:t>
      </w:r>
      <w:r w:rsidR="00052AC5">
        <w:t>a</w:t>
      </w:r>
      <w:r w:rsidRPr="00183F21">
        <w:t xml:space="preserve"> higher dose versus lower dose of NRT </w:t>
      </w:r>
      <w:r w:rsidR="00573F59">
        <w:t>patches</w:t>
      </w:r>
      <w:r>
        <w:t xml:space="preserve">, the </w:t>
      </w:r>
      <w:r w:rsidR="00050691">
        <w:t>results demonstrated a statistically significant difference</w:t>
      </w:r>
      <w:r w:rsidR="00D800E4">
        <w:t xml:space="preserve"> in smoking cessation rates</w:t>
      </w:r>
      <w:r w:rsidR="00050691">
        <w:t xml:space="preserve"> between the 21 mg/24-hour and 14 mg/24-hour patches, in favour of the higher strength </w:t>
      </w:r>
      <w:r w:rsidR="00573F59">
        <w:t>patches</w:t>
      </w:r>
      <w:r w:rsidR="00050691">
        <w:t xml:space="preserve">. There were no statistically significant differences between the 25 mg/16-hour and 15 mg/16-hour patches nor the 42/44 mg and 21/22 mg (24-hour) patches, although the results numerically </w:t>
      </w:r>
      <w:r w:rsidR="00050691">
        <w:lastRenderedPageBreak/>
        <w:t>favoured the higher strength patches.</w:t>
      </w:r>
      <w:r w:rsidR="00693F5A" w:rsidRPr="00693F5A">
        <w:t xml:space="preserve"> The PBAC previously noted that the use of different strength patches such as 21 mg for 24 hours or 15 mg for 16 hours </w:t>
      </w:r>
      <w:r w:rsidR="00EB7B05">
        <w:t>we</w:t>
      </w:r>
      <w:r w:rsidR="00693F5A" w:rsidRPr="00693F5A">
        <w:t>re likely to result in minimal changes in clinical outcomes (NRT PSD, March 2010 PBAC meeting).</w:t>
      </w:r>
      <w:r w:rsidR="000C24BA">
        <w:t xml:space="preserve"> </w:t>
      </w:r>
      <w:r w:rsidR="00591A5C">
        <w:t xml:space="preserve">No evidence was found comparing the efficacy of 21 mg/24 hours </w:t>
      </w:r>
      <w:r w:rsidR="00573F59">
        <w:t>patches</w:t>
      </w:r>
      <w:r w:rsidR="00591A5C">
        <w:t xml:space="preserve"> with 15 mg/16 hours </w:t>
      </w:r>
      <w:r w:rsidR="00573F59">
        <w:t>patches</w:t>
      </w:r>
      <w:r w:rsidR="00591A5C">
        <w:t>.</w:t>
      </w:r>
      <w:r w:rsidR="00FA3FAE">
        <w:t xml:space="preserve"> However, a study (Daughton 1991) identified by Lindson et al. (2019) showed no statistically significant difference </w:t>
      </w:r>
      <w:r w:rsidR="00914F60">
        <w:t>in smoking cessation rates between 24-hour and 16-hour patches, noting the strength of the patches was not stated.</w:t>
      </w:r>
    </w:p>
    <w:p w:rsidR="00804397" w:rsidRPr="00D645B2" w:rsidRDefault="00804397" w:rsidP="00050691">
      <w:r>
        <w:t xml:space="preserve">For the comparison of 4 mg versus 2 mg NRT gum, the </w:t>
      </w:r>
      <w:r w:rsidR="00050691">
        <w:t>pooled analysis results (high-dependency and low-dependency smokers) demonstrated</w:t>
      </w:r>
      <w:r>
        <w:t xml:space="preserve"> a </w:t>
      </w:r>
      <w:r w:rsidR="00050691">
        <w:t>statistically significant difference</w:t>
      </w:r>
      <w:r w:rsidR="00DD121D">
        <w:t xml:space="preserve"> in smoking cessation rates</w:t>
      </w:r>
      <w:r w:rsidR="00050691">
        <w:t xml:space="preserve"> between the two treatment arms, in favour of the higher strength</w:t>
      </w:r>
      <w:r>
        <w:t xml:space="preserve"> gum</w:t>
      </w:r>
      <w:r w:rsidR="00050691">
        <w:t>. H</w:t>
      </w:r>
      <w:r w:rsidRPr="004A0AB5">
        <w:t xml:space="preserve">owever, </w:t>
      </w:r>
      <w:r w:rsidR="00050691">
        <w:t xml:space="preserve">the </w:t>
      </w:r>
      <w:r w:rsidRPr="004A0AB5">
        <w:t>results</w:t>
      </w:r>
      <w:r>
        <w:t xml:space="preserve"> </w:t>
      </w:r>
      <w:r w:rsidRPr="004A0AB5">
        <w:t>of</w:t>
      </w:r>
      <w:r>
        <w:t xml:space="preserve"> </w:t>
      </w:r>
      <w:r w:rsidR="00050691">
        <w:t>the</w:t>
      </w:r>
      <w:r w:rsidRPr="004A0AB5">
        <w:t xml:space="preserve"> subgroup analysis</w:t>
      </w:r>
      <w:r>
        <w:t xml:space="preserve"> </w:t>
      </w:r>
      <w:r w:rsidRPr="004A0AB5">
        <w:t>suggest that only smokers who are highly dependent may benefit</w:t>
      </w:r>
      <w:r>
        <w:t xml:space="preserve"> from the higher strength</w:t>
      </w:r>
      <w:r w:rsidR="00050691">
        <w:t xml:space="preserve"> NRT gum (i.e. not statistically significant</w:t>
      </w:r>
      <w:r w:rsidR="00BD4086">
        <w:t>ly</w:t>
      </w:r>
      <w:r w:rsidR="00050691">
        <w:t xml:space="preserve"> different in low-dependency smokers)</w:t>
      </w:r>
      <w:r>
        <w:t xml:space="preserve">.  </w:t>
      </w:r>
    </w:p>
    <w:p w:rsidR="00450C87" w:rsidRDefault="00450C87" w:rsidP="00450C87">
      <w:pPr>
        <w:pStyle w:val="Caption"/>
        <w:keepNext/>
      </w:pPr>
      <w:bookmarkStart w:id="181" w:name="_Ref59098762"/>
      <w:r>
        <w:t xml:space="preserve">Table </w:t>
      </w:r>
      <w:r w:rsidR="003C4A1C">
        <w:rPr>
          <w:noProof/>
        </w:rPr>
        <w:t>84</w:t>
      </w:r>
      <w:bookmarkEnd w:id="181"/>
      <w:r>
        <w:t xml:space="preserve">: </w:t>
      </w:r>
      <w:r w:rsidRPr="00350F0E">
        <w:t>Results of smoking cessation f</w:t>
      </w:r>
      <w:r w:rsidR="00914F60">
        <w:t>or</w:t>
      </w:r>
      <w:r w:rsidRPr="00350F0E">
        <w:t xml:space="preserve"> at least six months follow-up, different NRT patch doses</w:t>
      </w:r>
    </w:p>
    <w:tbl>
      <w:tblPr>
        <w:tblStyle w:val="TableGrid"/>
        <w:tblW w:w="5000" w:type="pct"/>
        <w:tblLook w:val="04A0" w:firstRow="1" w:lastRow="0" w:firstColumn="1" w:lastColumn="0" w:noHBand="0" w:noVBand="1"/>
        <w:tblCaption w:val="Efficacy results of adalimumab trials (PASI 75 and DLQI)"/>
      </w:tblPr>
      <w:tblGrid>
        <w:gridCol w:w="1153"/>
        <w:gridCol w:w="1688"/>
        <w:gridCol w:w="1971"/>
        <w:gridCol w:w="2110"/>
        <w:gridCol w:w="2094"/>
      </w:tblGrid>
      <w:tr w:rsidR="00804397" w:rsidRPr="00061F78" w:rsidTr="00714E65">
        <w:trPr>
          <w:cantSplit/>
          <w:trHeight w:val="299"/>
          <w:tblHeader/>
        </w:trPr>
        <w:tc>
          <w:tcPr>
            <w:tcW w:w="640" w:type="pct"/>
            <w:shd w:val="clear" w:color="auto" w:fill="BFBFBF" w:themeFill="background1" w:themeFillShade="BF"/>
            <w:tcMar>
              <w:left w:w="28" w:type="dxa"/>
              <w:right w:w="28" w:type="dxa"/>
            </w:tcMar>
          </w:tcPr>
          <w:p w:rsidR="00804397" w:rsidRPr="00061F78" w:rsidRDefault="00804397" w:rsidP="00050691">
            <w:pPr>
              <w:pStyle w:val="Tableheading"/>
              <w:rPr>
                <w:rFonts w:eastAsia="MS Mincho"/>
              </w:rPr>
            </w:pPr>
            <w:r>
              <w:rPr>
                <w:rFonts w:eastAsia="MS Mincho"/>
              </w:rPr>
              <w:t>Study</w:t>
            </w:r>
          </w:p>
        </w:tc>
        <w:tc>
          <w:tcPr>
            <w:tcW w:w="936" w:type="pct"/>
            <w:shd w:val="clear" w:color="auto" w:fill="BFBFBF" w:themeFill="background1" w:themeFillShade="BF"/>
            <w:vAlign w:val="center"/>
          </w:tcPr>
          <w:p w:rsidR="00804397" w:rsidRDefault="00804397" w:rsidP="00050691">
            <w:pPr>
              <w:pStyle w:val="Tableheading"/>
              <w:jc w:val="center"/>
              <w:rPr>
                <w:rFonts w:eastAsia="MS Mincho"/>
              </w:rPr>
            </w:pPr>
            <w:r>
              <w:rPr>
                <w:rFonts w:eastAsia="MS Mincho"/>
              </w:rPr>
              <w:t>Study type</w:t>
            </w:r>
          </w:p>
        </w:tc>
        <w:tc>
          <w:tcPr>
            <w:tcW w:w="1093" w:type="pct"/>
            <w:shd w:val="clear" w:color="auto" w:fill="BFBFBF" w:themeFill="background1" w:themeFillShade="BF"/>
            <w:tcMar>
              <w:left w:w="28" w:type="dxa"/>
              <w:right w:w="28" w:type="dxa"/>
            </w:tcMar>
            <w:vAlign w:val="center"/>
          </w:tcPr>
          <w:p w:rsidR="00804397" w:rsidRPr="00061F78" w:rsidRDefault="00804397" w:rsidP="00050691">
            <w:pPr>
              <w:pStyle w:val="Tableheading"/>
              <w:jc w:val="center"/>
              <w:rPr>
                <w:rFonts w:eastAsia="MS Mincho"/>
              </w:rPr>
            </w:pPr>
            <w:r>
              <w:rPr>
                <w:rFonts w:eastAsia="MS Mincho"/>
              </w:rPr>
              <w:t>Higher dose</w:t>
            </w:r>
          </w:p>
        </w:tc>
        <w:tc>
          <w:tcPr>
            <w:tcW w:w="1170" w:type="pct"/>
            <w:shd w:val="clear" w:color="auto" w:fill="BFBFBF" w:themeFill="background1" w:themeFillShade="BF"/>
            <w:tcMar>
              <w:left w:w="28" w:type="dxa"/>
              <w:right w:w="28" w:type="dxa"/>
            </w:tcMar>
            <w:vAlign w:val="center"/>
          </w:tcPr>
          <w:p w:rsidR="00804397" w:rsidRPr="00061F78" w:rsidRDefault="00804397" w:rsidP="00050691">
            <w:pPr>
              <w:pStyle w:val="Tableheading"/>
              <w:jc w:val="center"/>
              <w:rPr>
                <w:rFonts w:eastAsia="MS Mincho"/>
              </w:rPr>
            </w:pPr>
            <w:r>
              <w:rPr>
                <w:rFonts w:eastAsia="MS Mincho"/>
              </w:rPr>
              <w:t>Lower dose</w:t>
            </w:r>
          </w:p>
        </w:tc>
        <w:tc>
          <w:tcPr>
            <w:tcW w:w="1161" w:type="pct"/>
            <w:shd w:val="clear" w:color="auto" w:fill="BFBFBF" w:themeFill="background1" w:themeFillShade="BF"/>
            <w:tcMar>
              <w:left w:w="28" w:type="dxa"/>
              <w:right w:w="28" w:type="dxa"/>
            </w:tcMar>
            <w:vAlign w:val="center"/>
          </w:tcPr>
          <w:p w:rsidR="00804397" w:rsidRPr="002D09A1" w:rsidRDefault="00804397" w:rsidP="00050691">
            <w:pPr>
              <w:pStyle w:val="Tableheading"/>
              <w:jc w:val="center"/>
              <w:rPr>
                <w:rFonts w:eastAsia="MS Mincho"/>
                <w:vertAlign w:val="superscript"/>
              </w:rPr>
            </w:pPr>
            <w:r>
              <w:rPr>
                <w:rFonts w:eastAsia="MS Mincho"/>
              </w:rPr>
              <w:t>RR (95% CI)</w:t>
            </w:r>
            <w:r w:rsidR="00050691">
              <w:rPr>
                <w:rFonts w:eastAsia="MS Mincho"/>
                <w:vertAlign w:val="superscript"/>
              </w:rPr>
              <w:t>1</w:t>
            </w:r>
          </w:p>
        </w:tc>
      </w:tr>
      <w:tr w:rsidR="00804397" w:rsidRPr="00061F78" w:rsidTr="00714E65">
        <w:trPr>
          <w:cantSplit/>
          <w:trHeight w:val="99"/>
        </w:trPr>
        <w:tc>
          <w:tcPr>
            <w:tcW w:w="5000" w:type="pct"/>
            <w:gridSpan w:val="5"/>
            <w:shd w:val="clear" w:color="auto" w:fill="FFFFFF" w:themeFill="background1"/>
          </w:tcPr>
          <w:p w:rsidR="00050691" w:rsidRPr="00D70339" w:rsidRDefault="00050691" w:rsidP="00050691">
            <w:pPr>
              <w:pStyle w:val="Tablewriting"/>
              <w:rPr>
                <w:rFonts w:eastAsia="MS Mincho"/>
                <w:b/>
                <w:bCs/>
              </w:rPr>
            </w:pPr>
            <w:r w:rsidRPr="00D70339">
              <w:rPr>
                <w:rFonts w:eastAsia="MS Mincho"/>
                <w:b/>
                <w:bCs/>
              </w:rPr>
              <w:t>21 mg versus 14 mg (24-hour)</w:t>
            </w:r>
          </w:p>
        </w:tc>
      </w:tr>
      <w:tr w:rsidR="00804397" w:rsidRPr="00061F78" w:rsidTr="00714E65">
        <w:trPr>
          <w:cantSplit/>
          <w:trHeight w:val="99"/>
        </w:trPr>
        <w:tc>
          <w:tcPr>
            <w:tcW w:w="640" w:type="pct"/>
            <w:shd w:val="clear" w:color="auto" w:fill="auto"/>
            <w:tcMar>
              <w:left w:w="28" w:type="dxa"/>
              <w:right w:w="28" w:type="dxa"/>
            </w:tcMar>
          </w:tcPr>
          <w:p w:rsidR="00804397" w:rsidRPr="00251B64" w:rsidRDefault="00050691" w:rsidP="00050691">
            <w:pPr>
              <w:pStyle w:val="Tablewriting"/>
              <w:rPr>
                <w:rFonts w:eastAsia="MS Mincho"/>
              </w:rPr>
            </w:pPr>
            <w:r>
              <w:rPr>
                <w:rFonts w:eastAsia="MS Mincho"/>
              </w:rPr>
              <w:t>Lindson (2019)</w:t>
            </w:r>
          </w:p>
        </w:tc>
        <w:tc>
          <w:tcPr>
            <w:tcW w:w="936" w:type="pct"/>
            <w:shd w:val="clear" w:color="auto" w:fill="auto"/>
            <w:vAlign w:val="center"/>
          </w:tcPr>
          <w:p w:rsidR="00714E65" w:rsidRDefault="00714E65" w:rsidP="00050691">
            <w:pPr>
              <w:pStyle w:val="Tablewriting"/>
              <w:jc w:val="center"/>
              <w:rPr>
                <w:rFonts w:eastAsia="MS Mincho"/>
              </w:rPr>
            </w:pPr>
            <w:r>
              <w:rPr>
                <w:rFonts w:eastAsia="MS Mincho"/>
              </w:rPr>
              <w:t>Cochrane Review</w:t>
            </w:r>
          </w:p>
          <w:p w:rsidR="00804397" w:rsidRPr="00251B64" w:rsidRDefault="00714E65" w:rsidP="00050691">
            <w:pPr>
              <w:pStyle w:val="Tablewriting"/>
              <w:jc w:val="center"/>
              <w:rPr>
                <w:rFonts w:eastAsia="MS Mincho"/>
              </w:rPr>
            </w:pPr>
            <w:r>
              <w:rPr>
                <w:rFonts w:eastAsia="MS Mincho"/>
              </w:rPr>
              <w:t>(</w:t>
            </w:r>
            <w:r w:rsidR="00050691">
              <w:rPr>
                <w:rFonts w:eastAsia="MS Mincho"/>
              </w:rPr>
              <w:t xml:space="preserve">1 </w:t>
            </w:r>
            <w:r w:rsidR="00804397" w:rsidRPr="00251B64">
              <w:rPr>
                <w:rFonts w:eastAsia="MS Mincho"/>
              </w:rPr>
              <w:t>RCT</w:t>
            </w:r>
            <w:r>
              <w:rPr>
                <w:rFonts w:eastAsia="MS Mincho"/>
              </w:rPr>
              <w:t>)</w:t>
            </w:r>
          </w:p>
        </w:tc>
        <w:tc>
          <w:tcPr>
            <w:tcW w:w="1093" w:type="pct"/>
            <w:shd w:val="clear" w:color="auto" w:fill="auto"/>
            <w:tcMar>
              <w:left w:w="28" w:type="dxa"/>
              <w:right w:w="28" w:type="dxa"/>
            </w:tcMar>
            <w:vAlign w:val="center"/>
          </w:tcPr>
          <w:p w:rsidR="00804397" w:rsidRPr="00BF0416" w:rsidRDefault="00804397" w:rsidP="00050691">
            <w:pPr>
              <w:pStyle w:val="Tablewriting"/>
              <w:jc w:val="center"/>
              <w:rPr>
                <w:rFonts w:eastAsia="MS Mincho"/>
                <w:vertAlign w:val="superscript"/>
              </w:rPr>
            </w:pPr>
            <w:r w:rsidRPr="00BF0416">
              <w:rPr>
                <w:rFonts w:eastAsia="MS Mincho"/>
              </w:rPr>
              <w:t>65/262</w:t>
            </w:r>
          </w:p>
          <w:p w:rsidR="00804397" w:rsidRPr="00AA0584" w:rsidRDefault="00804397" w:rsidP="00050691">
            <w:pPr>
              <w:pStyle w:val="Tablewriting"/>
              <w:jc w:val="center"/>
              <w:rPr>
                <w:rFonts w:eastAsia="MS Mincho"/>
                <w:highlight w:val="yellow"/>
              </w:rPr>
            </w:pPr>
            <w:r w:rsidRPr="00BF0416">
              <w:rPr>
                <w:rFonts w:eastAsia="MS Mincho"/>
              </w:rPr>
              <w:t>(24.8%)</w:t>
            </w:r>
          </w:p>
        </w:tc>
        <w:tc>
          <w:tcPr>
            <w:tcW w:w="1170" w:type="pct"/>
            <w:shd w:val="clear" w:color="auto" w:fill="auto"/>
            <w:tcMar>
              <w:left w:w="28" w:type="dxa"/>
              <w:right w:w="28" w:type="dxa"/>
            </w:tcMar>
            <w:vAlign w:val="center"/>
          </w:tcPr>
          <w:p w:rsidR="00804397" w:rsidRPr="00164F0E" w:rsidRDefault="00804397" w:rsidP="00050691">
            <w:pPr>
              <w:pStyle w:val="Tablewriting"/>
              <w:jc w:val="center"/>
              <w:rPr>
                <w:rFonts w:eastAsia="MS Mincho"/>
                <w:vertAlign w:val="superscript"/>
              </w:rPr>
            </w:pPr>
            <w:r w:rsidRPr="00164F0E">
              <w:rPr>
                <w:rFonts w:eastAsia="MS Mincho"/>
              </w:rPr>
              <w:t>46/275</w:t>
            </w:r>
          </w:p>
          <w:p w:rsidR="00804397" w:rsidRPr="00AA0584" w:rsidRDefault="00804397" w:rsidP="00050691">
            <w:pPr>
              <w:pStyle w:val="Tablewriting"/>
              <w:jc w:val="center"/>
              <w:rPr>
                <w:rFonts w:eastAsia="MS Mincho"/>
                <w:highlight w:val="yellow"/>
              </w:rPr>
            </w:pPr>
            <w:r w:rsidRPr="00164F0E">
              <w:rPr>
                <w:rFonts w:eastAsia="MS Mincho"/>
              </w:rPr>
              <w:t>(</w:t>
            </w:r>
            <w:r>
              <w:rPr>
                <w:rFonts w:eastAsia="MS Mincho"/>
              </w:rPr>
              <w:t>16</w:t>
            </w:r>
            <w:r w:rsidRPr="00164F0E">
              <w:rPr>
                <w:rFonts w:eastAsia="MS Mincho"/>
              </w:rPr>
              <w:t>.</w:t>
            </w:r>
            <w:r>
              <w:rPr>
                <w:rFonts w:eastAsia="MS Mincho"/>
              </w:rPr>
              <w:t>7</w:t>
            </w:r>
            <w:r w:rsidRPr="00164F0E">
              <w:rPr>
                <w:rFonts w:eastAsia="MS Mincho"/>
              </w:rPr>
              <w:t>%)</w:t>
            </w:r>
          </w:p>
        </w:tc>
        <w:tc>
          <w:tcPr>
            <w:tcW w:w="1161" w:type="pct"/>
            <w:shd w:val="clear" w:color="auto" w:fill="auto"/>
            <w:tcMar>
              <w:left w:w="28" w:type="dxa"/>
              <w:right w:w="28" w:type="dxa"/>
            </w:tcMar>
            <w:vAlign w:val="center"/>
          </w:tcPr>
          <w:p w:rsidR="00804397" w:rsidRPr="00164F0E" w:rsidRDefault="00804397" w:rsidP="00050691">
            <w:pPr>
              <w:pStyle w:val="Tablewriting"/>
              <w:jc w:val="center"/>
              <w:rPr>
                <w:rFonts w:eastAsia="MS Mincho"/>
                <w:b/>
                <w:bCs/>
                <w:vertAlign w:val="superscript"/>
              </w:rPr>
            </w:pPr>
            <w:r w:rsidRPr="00164F0E">
              <w:rPr>
                <w:rFonts w:eastAsia="MS Mincho"/>
                <w:b/>
                <w:bCs/>
              </w:rPr>
              <w:t>1.48</w:t>
            </w:r>
          </w:p>
          <w:p w:rsidR="00804397" w:rsidRPr="00AA0584" w:rsidRDefault="00804397" w:rsidP="00050691">
            <w:pPr>
              <w:pStyle w:val="Tablewriting"/>
              <w:jc w:val="center"/>
              <w:rPr>
                <w:rFonts w:eastAsia="MS Mincho"/>
                <w:highlight w:val="yellow"/>
              </w:rPr>
            </w:pPr>
            <w:r w:rsidRPr="00164F0E">
              <w:rPr>
                <w:rFonts w:eastAsia="MS Mincho"/>
                <w:b/>
                <w:bCs/>
              </w:rPr>
              <w:t>(1.06, 2.08)</w:t>
            </w:r>
          </w:p>
        </w:tc>
      </w:tr>
      <w:tr w:rsidR="00804397" w:rsidRPr="00061F78" w:rsidTr="00714E65">
        <w:trPr>
          <w:cantSplit/>
          <w:trHeight w:val="99"/>
        </w:trPr>
        <w:tc>
          <w:tcPr>
            <w:tcW w:w="5000" w:type="pct"/>
            <w:gridSpan w:val="5"/>
            <w:shd w:val="clear" w:color="auto" w:fill="FFFFFF" w:themeFill="background1"/>
          </w:tcPr>
          <w:p w:rsidR="00050691" w:rsidRPr="00744F70" w:rsidRDefault="00050691" w:rsidP="00050691">
            <w:pPr>
              <w:pStyle w:val="Tablewriting"/>
              <w:rPr>
                <w:b/>
                <w:bCs/>
              </w:rPr>
            </w:pPr>
            <w:r w:rsidRPr="00744F70">
              <w:rPr>
                <w:b/>
                <w:bCs/>
              </w:rPr>
              <w:t>25 mg versus 15 mg (16-hour)</w:t>
            </w:r>
          </w:p>
        </w:tc>
      </w:tr>
      <w:tr w:rsidR="00804397" w:rsidRPr="00061F78" w:rsidTr="00714E65">
        <w:trPr>
          <w:cantSplit/>
          <w:trHeight w:val="99"/>
        </w:trPr>
        <w:tc>
          <w:tcPr>
            <w:tcW w:w="640" w:type="pct"/>
            <w:shd w:val="clear" w:color="auto" w:fill="auto"/>
            <w:tcMar>
              <w:left w:w="28" w:type="dxa"/>
              <w:right w:w="28" w:type="dxa"/>
            </w:tcMar>
          </w:tcPr>
          <w:p w:rsidR="00804397" w:rsidRPr="00F136E9" w:rsidRDefault="00050691" w:rsidP="00050691">
            <w:pPr>
              <w:pStyle w:val="Tablewriting"/>
              <w:rPr>
                <w:rFonts w:eastAsia="MS Mincho"/>
              </w:rPr>
            </w:pPr>
            <w:r>
              <w:rPr>
                <w:rFonts w:eastAsia="MS Mincho"/>
              </w:rPr>
              <w:t>Lindson (2019)</w:t>
            </w:r>
          </w:p>
        </w:tc>
        <w:tc>
          <w:tcPr>
            <w:tcW w:w="936" w:type="pct"/>
            <w:shd w:val="clear" w:color="auto" w:fill="auto"/>
            <w:vAlign w:val="center"/>
          </w:tcPr>
          <w:p w:rsidR="00714E65" w:rsidRDefault="00714E65" w:rsidP="00050691">
            <w:pPr>
              <w:pStyle w:val="Tablewriting"/>
              <w:jc w:val="center"/>
              <w:rPr>
                <w:rFonts w:eastAsia="MS Mincho"/>
              </w:rPr>
            </w:pPr>
            <w:r>
              <w:rPr>
                <w:rFonts w:eastAsia="MS Mincho"/>
              </w:rPr>
              <w:t>Cochrane Review</w:t>
            </w:r>
          </w:p>
          <w:p w:rsidR="00804397" w:rsidRPr="00251B64" w:rsidRDefault="00714E65" w:rsidP="00050691">
            <w:pPr>
              <w:pStyle w:val="Tablewriting"/>
              <w:jc w:val="center"/>
              <w:rPr>
                <w:rFonts w:eastAsia="MS Mincho"/>
              </w:rPr>
            </w:pPr>
            <w:r>
              <w:rPr>
                <w:rFonts w:eastAsia="MS Mincho"/>
              </w:rPr>
              <w:t>(</w:t>
            </w:r>
            <w:r w:rsidR="00050691">
              <w:rPr>
                <w:rFonts w:eastAsia="MS Mincho"/>
              </w:rPr>
              <w:t>3 RCTs</w:t>
            </w:r>
            <w:r>
              <w:rPr>
                <w:rFonts w:eastAsia="MS Mincho"/>
              </w:rPr>
              <w:t>)</w:t>
            </w:r>
          </w:p>
        </w:tc>
        <w:tc>
          <w:tcPr>
            <w:tcW w:w="1093" w:type="pct"/>
            <w:shd w:val="clear" w:color="auto" w:fill="auto"/>
            <w:tcMar>
              <w:left w:w="28" w:type="dxa"/>
              <w:right w:w="28" w:type="dxa"/>
            </w:tcMar>
            <w:vAlign w:val="center"/>
          </w:tcPr>
          <w:p w:rsidR="00050691" w:rsidRDefault="00050691" w:rsidP="00050691">
            <w:pPr>
              <w:pStyle w:val="Tablewriting"/>
              <w:jc w:val="center"/>
              <w:rPr>
                <w:rFonts w:eastAsia="MS Mincho"/>
              </w:rPr>
            </w:pPr>
            <w:r>
              <w:rPr>
                <w:rFonts w:eastAsia="MS Mincho"/>
              </w:rPr>
              <w:t>252/1,723</w:t>
            </w:r>
          </w:p>
          <w:p w:rsidR="00804397" w:rsidRPr="00164F0E" w:rsidRDefault="00050691" w:rsidP="00050691">
            <w:pPr>
              <w:pStyle w:val="Tablewriting"/>
              <w:jc w:val="center"/>
              <w:rPr>
                <w:rFonts w:eastAsia="MS Mincho"/>
              </w:rPr>
            </w:pPr>
            <w:r>
              <w:rPr>
                <w:rFonts w:eastAsia="MS Mincho"/>
              </w:rPr>
              <w:t>(</w:t>
            </w:r>
            <w:r w:rsidR="00D174C9">
              <w:rPr>
                <w:rFonts w:eastAsia="MS Mincho"/>
              </w:rPr>
              <w:t>14.6</w:t>
            </w:r>
            <w:r>
              <w:rPr>
                <w:rFonts w:eastAsia="MS Mincho"/>
              </w:rPr>
              <w:t>%)</w:t>
            </w:r>
          </w:p>
        </w:tc>
        <w:tc>
          <w:tcPr>
            <w:tcW w:w="1170" w:type="pct"/>
            <w:shd w:val="clear" w:color="auto" w:fill="auto"/>
            <w:tcMar>
              <w:left w:w="28" w:type="dxa"/>
              <w:right w:w="28" w:type="dxa"/>
            </w:tcMar>
            <w:vAlign w:val="center"/>
          </w:tcPr>
          <w:p w:rsidR="00050691" w:rsidRDefault="00050691" w:rsidP="00050691">
            <w:pPr>
              <w:pStyle w:val="Tablewriting"/>
              <w:jc w:val="center"/>
              <w:rPr>
                <w:rFonts w:eastAsia="MS Mincho"/>
              </w:rPr>
            </w:pPr>
            <w:r>
              <w:rPr>
                <w:rFonts w:eastAsia="MS Mincho"/>
              </w:rPr>
              <w:t>212/1,723</w:t>
            </w:r>
          </w:p>
          <w:p w:rsidR="00804397" w:rsidRPr="00164F0E" w:rsidRDefault="00050691" w:rsidP="00050691">
            <w:pPr>
              <w:pStyle w:val="Tablewriting"/>
              <w:jc w:val="center"/>
              <w:rPr>
                <w:rFonts w:eastAsia="MS Mincho"/>
              </w:rPr>
            </w:pPr>
            <w:r>
              <w:rPr>
                <w:rFonts w:eastAsia="MS Mincho"/>
              </w:rPr>
              <w:t>(</w:t>
            </w:r>
            <w:r w:rsidR="00D174C9">
              <w:rPr>
                <w:rFonts w:eastAsia="MS Mincho"/>
              </w:rPr>
              <w:t>12.3</w:t>
            </w:r>
            <w:r>
              <w:rPr>
                <w:rFonts w:eastAsia="MS Mincho"/>
              </w:rPr>
              <w:t>%)</w:t>
            </w:r>
          </w:p>
        </w:tc>
        <w:tc>
          <w:tcPr>
            <w:tcW w:w="1161" w:type="pct"/>
            <w:shd w:val="clear" w:color="auto" w:fill="auto"/>
            <w:tcMar>
              <w:left w:w="28" w:type="dxa"/>
              <w:right w:w="28" w:type="dxa"/>
            </w:tcMar>
          </w:tcPr>
          <w:p w:rsidR="00050691" w:rsidRPr="00050691" w:rsidRDefault="00050691" w:rsidP="00050691">
            <w:pPr>
              <w:pStyle w:val="Tablewriting"/>
              <w:jc w:val="center"/>
              <w:rPr>
                <w:rFonts w:eastAsia="MS Mincho"/>
              </w:rPr>
            </w:pPr>
            <w:r w:rsidRPr="00050691">
              <w:rPr>
                <w:rFonts w:eastAsia="MS Mincho"/>
              </w:rPr>
              <w:t>1.19</w:t>
            </w:r>
          </w:p>
          <w:p w:rsidR="00804397" w:rsidRPr="00164F0E" w:rsidRDefault="00804397" w:rsidP="00050691">
            <w:pPr>
              <w:pStyle w:val="Tablewriting"/>
              <w:jc w:val="center"/>
              <w:rPr>
                <w:rFonts w:eastAsia="MS Mincho"/>
                <w:b/>
                <w:bCs/>
              </w:rPr>
            </w:pPr>
            <w:r w:rsidRPr="00050691">
              <w:rPr>
                <w:rFonts w:eastAsia="MS Mincho"/>
              </w:rPr>
              <w:t>(1, 1.</w:t>
            </w:r>
            <w:r w:rsidR="00050691" w:rsidRPr="00050691">
              <w:rPr>
                <w:rFonts w:eastAsia="MS Mincho"/>
              </w:rPr>
              <w:t>41</w:t>
            </w:r>
            <w:r w:rsidRPr="00050691">
              <w:rPr>
                <w:rFonts w:eastAsia="MS Mincho"/>
              </w:rPr>
              <w:t>)</w:t>
            </w:r>
          </w:p>
        </w:tc>
      </w:tr>
      <w:tr w:rsidR="00804397" w:rsidRPr="00061F78" w:rsidTr="00714E65">
        <w:trPr>
          <w:cantSplit/>
          <w:trHeight w:val="99"/>
        </w:trPr>
        <w:tc>
          <w:tcPr>
            <w:tcW w:w="5000" w:type="pct"/>
            <w:gridSpan w:val="5"/>
            <w:shd w:val="clear" w:color="auto" w:fill="FFFFFF" w:themeFill="background1"/>
          </w:tcPr>
          <w:p w:rsidR="00050691" w:rsidRPr="00744F70" w:rsidRDefault="00050691" w:rsidP="00050691">
            <w:pPr>
              <w:pStyle w:val="Tablewriting"/>
              <w:rPr>
                <w:rFonts w:eastAsia="MS Mincho"/>
                <w:b/>
                <w:bCs/>
              </w:rPr>
            </w:pPr>
            <w:r w:rsidRPr="00744F70">
              <w:rPr>
                <w:rFonts w:eastAsia="MS Mincho"/>
                <w:b/>
                <w:bCs/>
              </w:rPr>
              <w:t>42/44 mg versus 21/22 mg (24-hour)</w:t>
            </w:r>
          </w:p>
        </w:tc>
      </w:tr>
      <w:tr w:rsidR="00804397" w:rsidRPr="00061F78" w:rsidTr="00714E65">
        <w:trPr>
          <w:cantSplit/>
          <w:trHeight w:val="99"/>
        </w:trPr>
        <w:tc>
          <w:tcPr>
            <w:tcW w:w="640" w:type="pct"/>
            <w:shd w:val="clear" w:color="auto" w:fill="auto"/>
            <w:tcMar>
              <w:left w:w="28" w:type="dxa"/>
              <w:right w:w="28" w:type="dxa"/>
            </w:tcMar>
          </w:tcPr>
          <w:p w:rsidR="00804397" w:rsidRPr="005C3469" w:rsidRDefault="00050691" w:rsidP="00050691">
            <w:pPr>
              <w:pStyle w:val="Tablewriting"/>
              <w:rPr>
                <w:rFonts w:eastAsia="MS Mincho"/>
                <w:highlight w:val="yellow"/>
              </w:rPr>
            </w:pPr>
            <w:r>
              <w:rPr>
                <w:rFonts w:eastAsia="MS Mincho"/>
              </w:rPr>
              <w:t>Lindson (2019)</w:t>
            </w:r>
          </w:p>
        </w:tc>
        <w:tc>
          <w:tcPr>
            <w:tcW w:w="936" w:type="pct"/>
            <w:shd w:val="clear" w:color="auto" w:fill="auto"/>
            <w:vAlign w:val="center"/>
          </w:tcPr>
          <w:p w:rsidR="00714E65" w:rsidRDefault="00714E65" w:rsidP="00050691">
            <w:pPr>
              <w:pStyle w:val="Tablewriting"/>
              <w:jc w:val="center"/>
              <w:rPr>
                <w:rFonts w:eastAsia="MS Mincho"/>
              </w:rPr>
            </w:pPr>
            <w:r>
              <w:rPr>
                <w:rFonts w:eastAsia="MS Mincho"/>
              </w:rPr>
              <w:t>Cochrane Review</w:t>
            </w:r>
          </w:p>
          <w:p w:rsidR="00804397" w:rsidRDefault="00714E65" w:rsidP="00050691">
            <w:pPr>
              <w:pStyle w:val="Tablewriting"/>
              <w:jc w:val="center"/>
              <w:rPr>
                <w:rFonts w:eastAsia="MS Mincho"/>
              </w:rPr>
            </w:pPr>
            <w:r>
              <w:rPr>
                <w:rFonts w:eastAsia="MS Mincho"/>
              </w:rPr>
              <w:t>(</w:t>
            </w:r>
            <w:r w:rsidR="00050691">
              <w:rPr>
                <w:rFonts w:eastAsia="MS Mincho"/>
              </w:rPr>
              <w:t>5 RCTs</w:t>
            </w:r>
            <w:r>
              <w:rPr>
                <w:rFonts w:eastAsia="MS Mincho"/>
              </w:rPr>
              <w:t>)</w:t>
            </w:r>
          </w:p>
        </w:tc>
        <w:tc>
          <w:tcPr>
            <w:tcW w:w="1093" w:type="pct"/>
            <w:shd w:val="clear" w:color="auto" w:fill="auto"/>
            <w:tcMar>
              <w:left w:w="28" w:type="dxa"/>
              <w:right w:w="28" w:type="dxa"/>
            </w:tcMar>
            <w:vAlign w:val="center"/>
          </w:tcPr>
          <w:p w:rsidR="00050691" w:rsidRDefault="00050691" w:rsidP="00050691">
            <w:pPr>
              <w:pStyle w:val="Tablewriting"/>
              <w:jc w:val="center"/>
              <w:rPr>
                <w:rFonts w:eastAsia="MS Mincho"/>
              </w:rPr>
            </w:pPr>
            <w:r>
              <w:rPr>
                <w:rFonts w:eastAsia="MS Mincho"/>
              </w:rPr>
              <w:t>216/828</w:t>
            </w:r>
          </w:p>
          <w:p w:rsidR="00804397" w:rsidRPr="00164F0E" w:rsidRDefault="00050691" w:rsidP="00050691">
            <w:pPr>
              <w:pStyle w:val="Tablewriting"/>
              <w:jc w:val="center"/>
              <w:rPr>
                <w:rFonts w:eastAsia="MS Mincho"/>
              </w:rPr>
            </w:pPr>
            <w:r>
              <w:rPr>
                <w:rFonts w:eastAsia="MS Mincho"/>
              </w:rPr>
              <w:t>(</w:t>
            </w:r>
            <w:r w:rsidR="003A3815">
              <w:rPr>
                <w:rFonts w:eastAsia="MS Mincho"/>
              </w:rPr>
              <w:t>26.1</w:t>
            </w:r>
            <w:r>
              <w:rPr>
                <w:rFonts w:eastAsia="MS Mincho"/>
              </w:rPr>
              <w:t>%)</w:t>
            </w:r>
          </w:p>
        </w:tc>
        <w:tc>
          <w:tcPr>
            <w:tcW w:w="1170" w:type="pct"/>
            <w:shd w:val="clear" w:color="auto" w:fill="auto"/>
            <w:tcMar>
              <w:left w:w="28" w:type="dxa"/>
              <w:right w:w="28" w:type="dxa"/>
            </w:tcMar>
            <w:vAlign w:val="center"/>
          </w:tcPr>
          <w:p w:rsidR="00050691" w:rsidRDefault="00050691" w:rsidP="00050691">
            <w:pPr>
              <w:pStyle w:val="Tablewriting"/>
              <w:jc w:val="center"/>
              <w:rPr>
                <w:rFonts w:eastAsia="MS Mincho"/>
              </w:rPr>
            </w:pPr>
            <w:r>
              <w:rPr>
                <w:rFonts w:eastAsia="MS Mincho"/>
              </w:rPr>
              <w:t>197/827</w:t>
            </w:r>
          </w:p>
          <w:p w:rsidR="00804397" w:rsidRPr="00164F0E" w:rsidRDefault="00050691" w:rsidP="00050691">
            <w:pPr>
              <w:pStyle w:val="Tablewriting"/>
              <w:jc w:val="center"/>
              <w:rPr>
                <w:rFonts w:eastAsia="MS Mincho"/>
              </w:rPr>
            </w:pPr>
            <w:r>
              <w:rPr>
                <w:rFonts w:eastAsia="MS Mincho"/>
              </w:rPr>
              <w:t>(</w:t>
            </w:r>
            <w:r w:rsidR="003A3815">
              <w:rPr>
                <w:rFonts w:eastAsia="MS Mincho"/>
              </w:rPr>
              <w:t>23.8</w:t>
            </w:r>
            <w:r>
              <w:rPr>
                <w:rFonts w:eastAsia="MS Mincho"/>
              </w:rPr>
              <w:t>%)</w:t>
            </w:r>
          </w:p>
        </w:tc>
        <w:tc>
          <w:tcPr>
            <w:tcW w:w="1161" w:type="pct"/>
            <w:shd w:val="clear" w:color="auto" w:fill="auto"/>
            <w:tcMar>
              <w:left w:w="28" w:type="dxa"/>
              <w:right w:w="28" w:type="dxa"/>
            </w:tcMar>
            <w:vAlign w:val="center"/>
          </w:tcPr>
          <w:p w:rsidR="00050691" w:rsidRPr="008464F3" w:rsidRDefault="00050691" w:rsidP="00050691">
            <w:pPr>
              <w:pStyle w:val="Tablewriting"/>
              <w:jc w:val="center"/>
              <w:rPr>
                <w:rFonts w:eastAsia="MS Mincho"/>
              </w:rPr>
            </w:pPr>
            <w:r w:rsidRPr="008464F3">
              <w:rPr>
                <w:rFonts w:eastAsia="MS Mincho"/>
              </w:rPr>
              <w:t>1.09</w:t>
            </w:r>
          </w:p>
          <w:p w:rsidR="00804397" w:rsidRPr="00164F0E" w:rsidRDefault="00050691" w:rsidP="00050691">
            <w:pPr>
              <w:pStyle w:val="Tablewriting"/>
              <w:jc w:val="center"/>
              <w:rPr>
                <w:rFonts w:eastAsia="MS Mincho"/>
                <w:b/>
                <w:bCs/>
              </w:rPr>
            </w:pPr>
            <w:r w:rsidRPr="008464F3">
              <w:rPr>
                <w:rFonts w:eastAsia="MS Mincho"/>
              </w:rPr>
              <w:t>(0.93, 1.29)</w:t>
            </w:r>
          </w:p>
        </w:tc>
      </w:tr>
    </w:tbl>
    <w:p w:rsidR="00804397" w:rsidRDefault="00804397" w:rsidP="00804397">
      <w:pPr>
        <w:pStyle w:val="TableFooter"/>
        <w:keepNext/>
      </w:pPr>
      <w:r>
        <w:t>Source: Lindson et al. (2019)</w:t>
      </w:r>
    </w:p>
    <w:p w:rsidR="00804397" w:rsidRPr="004A0AB5" w:rsidRDefault="00804397" w:rsidP="00804397">
      <w:pPr>
        <w:pStyle w:val="TableFooter"/>
        <w:keepNext/>
        <w:rPr>
          <w:i/>
        </w:rPr>
      </w:pPr>
      <w:r w:rsidRPr="004A0AB5">
        <w:t xml:space="preserve">Abbreviations: CI = confidence interval; RCT = randomised controlled trial; RR = risk ratio </w:t>
      </w:r>
    </w:p>
    <w:p w:rsidR="00050691" w:rsidRDefault="00804397" w:rsidP="00050691">
      <w:pPr>
        <w:pStyle w:val="TableFooter"/>
      </w:pPr>
      <w:r w:rsidRPr="0041240E">
        <w:t xml:space="preserve">Notes: </w:t>
      </w:r>
      <w:r w:rsidRPr="00050691">
        <w:t>Bold</w:t>
      </w:r>
      <w:r w:rsidRPr="0041240E">
        <w:t xml:space="preserve"> indicates statistically significant difference.</w:t>
      </w:r>
    </w:p>
    <w:p w:rsidR="00804397" w:rsidRDefault="00050691" w:rsidP="00804397">
      <w:pPr>
        <w:pStyle w:val="TableFooter"/>
      </w:pPr>
      <w:r w:rsidRPr="00D70339">
        <w:t>1 Calculated by Cochrane Review authors using fixed-effect model</w:t>
      </w:r>
      <w:r w:rsidR="00ED0CBA">
        <w:t>.</w:t>
      </w:r>
    </w:p>
    <w:p w:rsidR="00D52898" w:rsidRDefault="00D52898" w:rsidP="00D52898">
      <w:pPr>
        <w:pStyle w:val="Caption"/>
        <w:keepNext/>
      </w:pPr>
      <w:bookmarkStart w:id="182" w:name="_Ref59098765"/>
      <w:r>
        <w:t xml:space="preserve">Table </w:t>
      </w:r>
      <w:r w:rsidR="003C4A1C">
        <w:rPr>
          <w:noProof/>
        </w:rPr>
        <w:t>85</w:t>
      </w:r>
      <w:bookmarkEnd w:id="182"/>
      <w:r>
        <w:t xml:space="preserve">: </w:t>
      </w:r>
      <w:r w:rsidRPr="00996FF0">
        <w:t>Results of smoking cessation f</w:t>
      </w:r>
      <w:r w:rsidR="00914F60">
        <w:t>or</w:t>
      </w:r>
      <w:r w:rsidRPr="00996FF0">
        <w:t xml:space="preserve"> at least six months follow-up, different NRT gum doses</w:t>
      </w:r>
    </w:p>
    <w:tbl>
      <w:tblPr>
        <w:tblStyle w:val="TableGrid"/>
        <w:tblW w:w="5000" w:type="pct"/>
        <w:tblLook w:val="04A0" w:firstRow="1" w:lastRow="0" w:firstColumn="1" w:lastColumn="0" w:noHBand="0" w:noVBand="1"/>
      </w:tblPr>
      <w:tblGrid>
        <w:gridCol w:w="1145"/>
        <w:gridCol w:w="1673"/>
        <w:gridCol w:w="1953"/>
        <w:gridCol w:w="1953"/>
        <w:gridCol w:w="2292"/>
      </w:tblGrid>
      <w:tr w:rsidR="00804397" w:rsidRPr="00164F0E" w:rsidTr="00714E65">
        <w:trPr>
          <w:cantSplit/>
          <w:trHeight w:val="99"/>
        </w:trPr>
        <w:tc>
          <w:tcPr>
            <w:tcW w:w="635" w:type="pct"/>
            <w:shd w:val="clear" w:color="auto" w:fill="BFBFBF" w:themeFill="background1" w:themeFillShade="BF"/>
            <w:tcMar>
              <w:left w:w="28" w:type="dxa"/>
              <w:right w:w="28" w:type="dxa"/>
            </w:tcMar>
          </w:tcPr>
          <w:p w:rsidR="00804397" w:rsidRPr="00295F34" w:rsidRDefault="00804397" w:rsidP="00050691">
            <w:pPr>
              <w:pStyle w:val="Tablewriting"/>
              <w:rPr>
                <w:rFonts w:eastAsia="MS Mincho"/>
                <w:b/>
                <w:bCs/>
              </w:rPr>
            </w:pPr>
            <w:r w:rsidRPr="00295F34">
              <w:rPr>
                <w:rFonts w:eastAsia="MS Mincho"/>
                <w:b/>
                <w:bCs/>
              </w:rPr>
              <w:t>Study</w:t>
            </w:r>
          </w:p>
        </w:tc>
        <w:tc>
          <w:tcPr>
            <w:tcW w:w="928" w:type="pct"/>
            <w:shd w:val="clear" w:color="auto" w:fill="BFBFBF" w:themeFill="background1" w:themeFillShade="BF"/>
            <w:vAlign w:val="center"/>
          </w:tcPr>
          <w:p w:rsidR="00804397" w:rsidRPr="00295F34" w:rsidRDefault="00804397" w:rsidP="00714E65">
            <w:pPr>
              <w:pStyle w:val="Tablewriting"/>
              <w:jc w:val="center"/>
              <w:rPr>
                <w:rFonts w:eastAsia="MS Mincho"/>
                <w:b/>
                <w:bCs/>
              </w:rPr>
            </w:pPr>
            <w:r w:rsidRPr="00295F34">
              <w:rPr>
                <w:rFonts w:eastAsia="MS Mincho"/>
                <w:b/>
                <w:bCs/>
              </w:rPr>
              <w:t>Study type</w:t>
            </w:r>
          </w:p>
        </w:tc>
        <w:tc>
          <w:tcPr>
            <w:tcW w:w="1083" w:type="pct"/>
            <w:shd w:val="clear" w:color="auto" w:fill="BFBFBF" w:themeFill="background1" w:themeFillShade="BF"/>
            <w:vAlign w:val="center"/>
          </w:tcPr>
          <w:p w:rsidR="00804397" w:rsidRPr="00295F34" w:rsidRDefault="00804397" w:rsidP="00050691">
            <w:pPr>
              <w:pStyle w:val="Tablewriting"/>
              <w:jc w:val="center"/>
              <w:rPr>
                <w:rFonts w:eastAsia="MS Mincho"/>
                <w:b/>
                <w:bCs/>
              </w:rPr>
            </w:pPr>
            <w:r>
              <w:rPr>
                <w:rFonts w:eastAsia="MS Mincho"/>
                <w:b/>
                <w:bCs/>
              </w:rPr>
              <w:t>4 mg dose</w:t>
            </w:r>
          </w:p>
        </w:tc>
        <w:tc>
          <w:tcPr>
            <w:tcW w:w="1083" w:type="pct"/>
            <w:shd w:val="clear" w:color="auto" w:fill="BFBFBF" w:themeFill="background1" w:themeFillShade="BF"/>
            <w:vAlign w:val="center"/>
          </w:tcPr>
          <w:p w:rsidR="00804397" w:rsidRPr="00295F34" w:rsidRDefault="00804397" w:rsidP="00050691">
            <w:pPr>
              <w:pStyle w:val="Tablewriting"/>
              <w:jc w:val="center"/>
              <w:rPr>
                <w:rFonts w:eastAsia="MS Mincho"/>
                <w:b/>
                <w:bCs/>
              </w:rPr>
            </w:pPr>
            <w:r>
              <w:rPr>
                <w:rFonts w:eastAsia="MS Mincho"/>
                <w:b/>
                <w:bCs/>
              </w:rPr>
              <w:t>2 mg dose</w:t>
            </w:r>
          </w:p>
        </w:tc>
        <w:tc>
          <w:tcPr>
            <w:tcW w:w="1271" w:type="pct"/>
            <w:shd w:val="clear" w:color="auto" w:fill="BFBFBF" w:themeFill="background1" w:themeFillShade="BF"/>
            <w:vAlign w:val="center"/>
          </w:tcPr>
          <w:p w:rsidR="00804397" w:rsidRPr="00050691" w:rsidRDefault="00804397" w:rsidP="00050691">
            <w:pPr>
              <w:pStyle w:val="Tablewriting"/>
              <w:jc w:val="center"/>
              <w:rPr>
                <w:rFonts w:eastAsia="MS Mincho"/>
                <w:b/>
                <w:vertAlign w:val="superscript"/>
              </w:rPr>
            </w:pPr>
            <w:r w:rsidRPr="00295F34">
              <w:rPr>
                <w:rFonts w:eastAsia="MS Mincho"/>
                <w:b/>
                <w:bCs/>
              </w:rPr>
              <w:t>RR (95% CI)</w:t>
            </w:r>
            <w:r w:rsidR="00050691">
              <w:rPr>
                <w:rFonts w:eastAsia="MS Mincho"/>
                <w:b/>
                <w:bCs/>
                <w:vertAlign w:val="superscript"/>
              </w:rPr>
              <w:t>1</w:t>
            </w:r>
          </w:p>
        </w:tc>
      </w:tr>
      <w:tr w:rsidR="00804397" w:rsidRPr="00AA0584" w:rsidTr="00714E65">
        <w:trPr>
          <w:cantSplit/>
          <w:trHeight w:val="99"/>
        </w:trPr>
        <w:tc>
          <w:tcPr>
            <w:tcW w:w="5000" w:type="pct"/>
            <w:gridSpan w:val="5"/>
            <w:shd w:val="clear" w:color="auto" w:fill="FFFFFF" w:themeFill="background1"/>
          </w:tcPr>
          <w:p w:rsidR="00050691" w:rsidRPr="00DA02C3" w:rsidRDefault="00050691" w:rsidP="00050691">
            <w:pPr>
              <w:pStyle w:val="Tablewriting"/>
              <w:rPr>
                <w:rFonts w:eastAsia="MS Mincho"/>
                <w:b/>
                <w:bCs/>
              </w:rPr>
            </w:pPr>
            <w:r w:rsidRPr="00DA02C3">
              <w:rPr>
                <w:rFonts w:eastAsia="MS Mincho"/>
                <w:b/>
                <w:bCs/>
              </w:rPr>
              <w:t>High-dependency smokers</w:t>
            </w:r>
            <w:r w:rsidR="00DA02C3">
              <w:rPr>
                <w:rFonts w:eastAsia="MS Mincho"/>
                <w:b/>
                <w:bCs/>
              </w:rPr>
              <w:t xml:space="preserve"> subgroup</w:t>
            </w:r>
          </w:p>
        </w:tc>
      </w:tr>
      <w:tr w:rsidR="00804397" w:rsidRPr="00AA0584" w:rsidTr="00714E65">
        <w:trPr>
          <w:cantSplit/>
          <w:trHeight w:val="99"/>
        </w:trPr>
        <w:tc>
          <w:tcPr>
            <w:tcW w:w="635" w:type="pct"/>
            <w:shd w:val="clear" w:color="auto" w:fill="auto"/>
            <w:tcMar>
              <w:left w:w="28" w:type="dxa"/>
              <w:right w:w="28" w:type="dxa"/>
            </w:tcMar>
          </w:tcPr>
          <w:p w:rsidR="00804397" w:rsidRPr="00F136E9" w:rsidRDefault="00050691" w:rsidP="00050691">
            <w:pPr>
              <w:pStyle w:val="Tablewriting"/>
              <w:rPr>
                <w:rFonts w:eastAsia="MS Mincho"/>
              </w:rPr>
            </w:pPr>
            <w:r>
              <w:rPr>
                <w:rFonts w:eastAsia="MS Mincho"/>
              </w:rPr>
              <w:t>Lindson (2019)</w:t>
            </w:r>
          </w:p>
        </w:tc>
        <w:tc>
          <w:tcPr>
            <w:tcW w:w="928" w:type="pct"/>
            <w:shd w:val="clear" w:color="auto" w:fill="auto"/>
            <w:vAlign w:val="center"/>
          </w:tcPr>
          <w:p w:rsidR="00714E65" w:rsidRDefault="00714E65" w:rsidP="00050691">
            <w:pPr>
              <w:pStyle w:val="Tablewriting"/>
              <w:jc w:val="center"/>
              <w:rPr>
                <w:rFonts w:eastAsia="MS Mincho"/>
              </w:rPr>
            </w:pPr>
            <w:r>
              <w:rPr>
                <w:rFonts w:eastAsia="MS Mincho"/>
              </w:rPr>
              <w:t>Cochrane Review</w:t>
            </w:r>
          </w:p>
          <w:p w:rsidR="00804397" w:rsidRPr="00251B64" w:rsidRDefault="00714E65" w:rsidP="00050691">
            <w:pPr>
              <w:pStyle w:val="Tablewriting"/>
              <w:jc w:val="center"/>
              <w:rPr>
                <w:rFonts w:eastAsia="MS Mincho"/>
              </w:rPr>
            </w:pPr>
            <w:r>
              <w:rPr>
                <w:rFonts w:eastAsia="MS Mincho"/>
              </w:rPr>
              <w:t>(</w:t>
            </w:r>
            <w:r w:rsidR="00050691">
              <w:rPr>
                <w:rFonts w:eastAsia="MS Mincho"/>
              </w:rPr>
              <w:t>4 RCTs</w:t>
            </w:r>
            <w:r>
              <w:rPr>
                <w:rFonts w:eastAsia="MS Mincho"/>
              </w:rPr>
              <w:t>)</w:t>
            </w:r>
          </w:p>
        </w:tc>
        <w:tc>
          <w:tcPr>
            <w:tcW w:w="1083" w:type="pct"/>
            <w:shd w:val="clear" w:color="auto" w:fill="auto"/>
            <w:tcMar>
              <w:left w:w="28" w:type="dxa"/>
              <w:right w:w="28" w:type="dxa"/>
            </w:tcMar>
            <w:vAlign w:val="center"/>
          </w:tcPr>
          <w:p w:rsidR="00050691" w:rsidRDefault="00050691" w:rsidP="00050691">
            <w:pPr>
              <w:pStyle w:val="Tablewriting"/>
              <w:jc w:val="center"/>
              <w:rPr>
                <w:rFonts w:eastAsia="MS Mincho"/>
              </w:rPr>
            </w:pPr>
            <w:r>
              <w:rPr>
                <w:rFonts w:eastAsia="MS Mincho"/>
              </w:rPr>
              <w:t>90/303</w:t>
            </w:r>
          </w:p>
          <w:p w:rsidR="00804397" w:rsidRPr="007A6B4B" w:rsidRDefault="00050691" w:rsidP="00050691">
            <w:pPr>
              <w:pStyle w:val="Tablewriting"/>
              <w:jc w:val="center"/>
              <w:rPr>
                <w:rFonts w:eastAsia="MS Mincho"/>
              </w:rPr>
            </w:pPr>
            <w:r>
              <w:rPr>
                <w:rFonts w:eastAsia="MS Mincho"/>
              </w:rPr>
              <w:t>(</w:t>
            </w:r>
            <w:r w:rsidR="00841185">
              <w:rPr>
                <w:rFonts w:eastAsia="MS Mincho"/>
              </w:rPr>
              <w:t>29.7</w:t>
            </w:r>
            <w:r>
              <w:rPr>
                <w:rFonts w:eastAsia="MS Mincho"/>
              </w:rPr>
              <w:t>%)</w:t>
            </w:r>
          </w:p>
        </w:tc>
        <w:tc>
          <w:tcPr>
            <w:tcW w:w="1083" w:type="pct"/>
            <w:shd w:val="clear" w:color="auto" w:fill="auto"/>
            <w:tcMar>
              <w:left w:w="28" w:type="dxa"/>
              <w:right w:w="28" w:type="dxa"/>
            </w:tcMar>
            <w:vAlign w:val="center"/>
          </w:tcPr>
          <w:p w:rsidR="00050691" w:rsidRDefault="00050691" w:rsidP="00050691">
            <w:pPr>
              <w:pStyle w:val="Tablewriting"/>
              <w:jc w:val="center"/>
              <w:rPr>
                <w:rFonts w:eastAsia="MS Mincho"/>
              </w:rPr>
            </w:pPr>
            <w:r>
              <w:rPr>
                <w:rFonts w:eastAsia="MS Mincho"/>
              </w:rPr>
              <w:t>51/315</w:t>
            </w:r>
          </w:p>
          <w:p w:rsidR="00804397" w:rsidRPr="007A6B4B" w:rsidRDefault="00050691" w:rsidP="00050691">
            <w:pPr>
              <w:pStyle w:val="Tablewriting"/>
              <w:jc w:val="center"/>
              <w:rPr>
                <w:rFonts w:eastAsia="MS Mincho"/>
              </w:rPr>
            </w:pPr>
            <w:r>
              <w:rPr>
                <w:rFonts w:eastAsia="MS Mincho"/>
              </w:rPr>
              <w:t>(</w:t>
            </w:r>
            <w:r w:rsidR="00EA0ED6">
              <w:rPr>
                <w:rFonts w:eastAsia="MS Mincho"/>
              </w:rPr>
              <w:t>16.2</w:t>
            </w:r>
            <w:r>
              <w:rPr>
                <w:rFonts w:eastAsia="MS Mincho"/>
              </w:rPr>
              <w:t>%)</w:t>
            </w:r>
          </w:p>
        </w:tc>
        <w:tc>
          <w:tcPr>
            <w:tcW w:w="1271" w:type="pct"/>
            <w:shd w:val="clear" w:color="auto" w:fill="auto"/>
            <w:tcMar>
              <w:left w:w="28" w:type="dxa"/>
              <w:right w:w="28" w:type="dxa"/>
            </w:tcMar>
            <w:vAlign w:val="center"/>
          </w:tcPr>
          <w:p w:rsidR="00050691" w:rsidRDefault="00050691" w:rsidP="00050691">
            <w:pPr>
              <w:pStyle w:val="Tablewriting"/>
              <w:jc w:val="center"/>
              <w:rPr>
                <w:rFonts w:eastAsia="MS Mincho"/>
                <w:b/>
                <w:bCs/>
              </w:rPr>
            </w:pPr>
            <w:r w:rsidRPr="00746ED1">
              <w:rPr>
                <w:rFonts w:eastAsia="MS Mincho"/>
                <w:b/>
                <w:bCs/>
              </w:rPr>
              <w:t xml:space="preserve">1.85 </w:t>
            </w:r>
          </w:p>
          <w:p w:rsidR="00804397" w:rsidRPr="003230A1" w:rsidRDefault="00050691" w:rsidP="00050691">
            <w:pPr>
              <w:pStyle w:val="Tablewriting"/>
              <w:jc w:val="center"/>
              <w:rPr>
                <w:rFonts w:eastAsia="MS Mincho"/>
              </w:rPr>
            </w:pPr>
            <w:r w:rsidRPr="00746ED1">
              <w:rPr>
                <w:rFonts w:eastAsia="MS Mincho"/>
                <w:b/>
                <w:bCs/>
              </w:rPr>
              <w:t>(1.36</w:t>
            </w:r>
            <w:r w:rsidR="00804397" w:rsidRPr="00746ED1">
              <w:rPr>
                <w:rFonts w:eastAsia="MS Mincho"/>
                <w:b/>
              </w:rPr>
              <w:t>, 2.</w:t>
            </w:r>
            <w:r w:rsidRPr="00746ED1">
              <w:rPr>
                <w:rFonts w:eastAsia="MS Mincho"/>
                <w:b/>
                <w:bCs/>
              </w:rPr>
              <w:t>5</w:t>
            </w:r>
            <w:r w:rsidR="00804397" w:rsidRPr="00746ED1">
              <w:rPr>
                <w:rFonts w:eastAsia="MS Mincho"/>
                <w:b/>
              </w:rPr>
              <w:t>)</w:t>
            </w:r>
          </w:p>
        </w:tc>
      </w:tr>
      <w:tr w:rsidR="00804397" w:rsidRPr="00AA0584" w:rsidTr="00714E65">
        <w:trPr>
          <w:cantSplit/>
          <w:trHeight w:val="99"/>
        </w:trPr>
        <w:tc>
          <w:tcPr>
            <w:tcW w:w="5000" w:type="pct"/>
            <w:gridSpan w:val="5"/>
            <w:shd w:val="clear" w:color="auto" w:fill="FFFFFF" w:themeFill="background1"/>
          </w:tcPr>
          <w:p w:rsidR="00050691" w:rsidRPr="00DA02C3" w:rsidRDefault="00050691" w:rsidP="00050691">
            <w:pPr>
              <w:pStyle w:val="Tablewriting"/>
              <w:rPr>
                <w:rFonts w:eastAsia="MS Mincho"/>
                <w:b/>
                <w:bCs/>
              </w:rPr>
            </w:pPr>
            <w:r w:rsidRPr="00DA02C3">
              <w:rPr>
                <w:rFonts w:eastAsia="MS Mincho"/>
                <w:b/>
                <w:bCs/>
              </w:rPr>
              <w:t>Low-dependency smokers</w:t>
            </w:r>
            <w:r w:rsidR="00DA02C3">
              <w:rPr>
                <w:rFonts w:eastAsia="MS Mincho"/>
                <w:b/>
                <w:bCs/>
              </w:rPr>
              <w:t xml:space="preserve"> subgroup</w:t>
            </w:r>
          </w:p>
        </w:tc>
      </w:tr>
      <w:tr w:rsidR="00804397" w:rsidRPr="00AA0584" w:rsidTr="00714E65">
        <w:trPr>
          <w:cantSplit/>
          <w:trHeight w:val="99"/>
        </w:trPr>
        <w:tc>
          <w:tcPr>
            <w:tcW w:w="635" w:type="pct"/>
            <w:shd w:val="clear" w:color="auto" w:fill="auto"/>
            <w:tcMar>
              <w:left w:w="28" w:type="dxa"/>
              <w:right w:w="28" w:type="dxa"/>
            </w:tcMar>
          </w:tcPr>
          <w:p w:rsidR="00804397" w:rsidRPr="00F136E9" w:rsidRDefault="00050691" w:rsidP="00050691">
            <w:pPr>
              <w:pStyle w:val="Tablewriting"/>
              <w:rPr>
                <w:rFonts w:eastAsia="MS Mincho"/>
              </w:rPr>
            </w:pPr>
            <w:r>
              <w:rPr>
                <w:rFonts w:eastAsia="MS Mincho"/>
              </w:rPr>
              <w:t>Lindson (2019)</w:t>
            </w:r>
          </w:p>
        </w:tc>
        <w:tc>
          <w:tcPr>
            <w:tcW w:w="928" w:type="pct"/>
            <w:shd w:val="clear" w:color="auto" w:fill="auto"/>
            <w:vAlign w:val="center"/>
          </w:tcPr>
          <w:p w:rsidR="00714E65" w:rsidRDefault="00714E65" w:rsidP="00050691">
            <w:pPr>
              <w:pStyle w:val="Tablewriting"/>
              <w:jc w:val="center"/>
              <w:rPr>
                <w:rFonts w:eastAsia="MS Mincho"/>
              </w:rPr>
            </w:pPr>
            <w:r>
              <w:rPr>
                <w:rFonts w:eastAsia="MS Mincho"/>
              </w:rPr>
              <w:t>Cochrane Review</w:t>
            </w:r>
          </w:p>
          <w:p w:rsidR="00804397" w:rsidRDefault="00714E65" w:rsidP="00050691">
            <w:pPr>
              <w:pStyle w:val="Tablewriting"/>
              <w:jc w:val="center"/>
              <w:rPr>
                <w:rFonts w:eastAsia="MS Mincho"/>
              </w:rPr>
            </w:pPr>
            <w:r>
              <w:rPr>
                <w:rFonts w:eastAsia="MS Mincho"/>
              </w:rPr>
              <w:t>(</w:t>
            </w:r>
            <w:r w:rsidR="00050691">
              <w:rPr>
                <w:rFonts w:eastAsia="MS Mincho"/>
              </w:rPr>
              <w:t xml:space="preserve">3 </w:t>
            </w:r>
            <w:r w:rsidR="00050691" w:rsidRPr="00644B4C">
              <w:rPr>
                <w:rFonts w:eastAsia="MS Mincho"/>
              </w:rPr>
              <w:t>RCT</w:t>
            </w:r>
            <w:r w:rsidR="00050691">
              <w:rPr>
                <w:rFonts w:eastAsia="MS Mincho"/>
              </w:rPr>
              <w:t>s</w:t>
            </w:r>
            <w:r>
              <w:rPr>
                <w:rFonts w:eastAsia="MS Mincho"/>
              </w:rPr>
              <w:t>)</w:t>
            </w:r>
          </w:p>
        </w:tc>
        <w:tc>
          <w:tcPr>
            <w:tcW w:w="1083" w:type="pct"/>
            <w:shd w:val="clear" w:color="auto" w:fill="auto"/>
            <w:tcMar>
              <w:left w:w="28" w:type="dxa"/>
              <w:right w:w="28" w:type="dxa"/>
            </w:tcMar>
            <w:vAlign w:val="center"/>
          </w:tcPr>
          <w:p w:rsidR="00050691" w:rsidRDefault="00050691" w:rsidP="00050691">
            <w:pPr>
              <w:pStyle w:val="Tablewriting"/>
              <w:jc w:val="center"/>
              <w:rPr>
                <w:rFonts w:eastAsia="MS Mincho"/>
              </w:rPr>
            </w:pPr>
            <w:r>
              <w:rPr>
                <w:rFonts w:eastAsia="MS Mincho"/>
              </w:rPr>
              <w:t>26/123</w:t>
            </w:r>
          </w:p>
          <w:p w:rsidR="00804397" w:rsidRPr="007A6B4B" w:rsidRDefault="00050691" w:rsidP="00050691">
            <w:pPr>
              <w:pStyle w:val="Tablewriting"/>
              <w:jc w:val="center"/>
              <w:rPr>
                <w:rFonts w:eastAsia="MS Mincho"/>
              </w:rPr>
            </w:pPr>
            <w:r>
              <w:rPr>
                <w:rFonts w:eastAsia="MS Mincho"/>
              </w:rPr>
              <w:t>(</w:t>
            </w:r>
            <w:r w:rsidR="00EA0ED6">
              <w:rPr>
                <w:rFonts w:eastAsia="MS Mincho"/>
              </w:rPr>
              <w:t>21.1</w:t>
            </w:r>
            <w:r>
              <w:rPr>
                <w:rFonts w:eastAsia="MS Mincho"/>
              </w:rPr>
              <w:t>%)</w:t>
            </w:r>
          </w:p>
        </w:tc>
        <w:tc>
          <w:tcPr>
            <w:tcW w:w="1083" w:type="pct"/>
            <w:shd w:val="clear" w:color="auto" w:fill="auto"/>
            <w:tcMar>
              <w:left w:w="28" w:type="dxa"/>
              <w:right w:w="28" w:type="dxa"/>
            </w:tcMar>
            <w:vAlign w:val="center"/>
          </w:tcPr>
          <w:p w:rsidR="00050691" w:rsidRDefault="00050691" w:rsidP="00050691">
            <w:pPr>
              <w:pStyle w:val="Tablewriting"/>
              <w:jc w:val="center"/>
              <w:rPr>
                <w:rFonts w:eastAsia="MS Mincho"/>
              </w:rPr>
            </w:pPr>
            <w:r>
              <w:rPr>
                <w:rFonts w:eastAsia="MS Mincho"/>
              </w:rPr>
              <w:t>30/115</w:t>
            </w:r>
          </w:p>
          <w:p w:rsidR="00804397" w:rsidRPr="007A6B4B" w:rsidRDefault="00050691" w:rsidP="00050691">
            <w:pPr>
              <w:pStyle w:val="Tablewriting"/>
              <w:jc w:val="center"/>
              <w:rPr>
                <w:rFonts w:eastAsia="MS Mincho"/>
              </w:rPr>
            </w:pPr>
            <w:r>
              <w:rPr>
                <w:rFonts w:eastAsia="MS Mincho"/>
              </w:rPr>
              <w:t>(</w:t>
            </w:r>
            <w:r w:rsidR="00EA0ED6">
              <w:rPr>
                <w:rFonts w:eastAsia="MS Mincho"/>
              </w:rPr>
              <w:t>26.1</w:t>
            </w:r>
            <w:r>
              <w:rPr>
                <w:rFonts w:eastAsia="MS Mincho"/>
              </w:rPr>
              <w:t>%)</w:t>
            </w:r>
          </w:p>
        </w:tc>
        <w:tc>
          <w:tcPr>
            <w:tcW w:w="1271" w:type="pct"/>
            <w:shd w:val="clear" w:color="auto" w:fill="auto"/>
            <w:tcMar>
              <w:left w:w="28" w:type="dxa"/>
              <w:right w:w="28" w:type="dxa"/>
            </w:tcMar>
            <w:vAlign w:val="center"/>
          </w:tcPr>
          <w:p w:rsidR="00050691" w:rsidRPr="00050691" w:rsidRDefault="00050691" w:rsidP="00050691">
            <w:pPr>
              <w:pStyle w:val="Tablewriting"/>
              <w:jc w:val="center"/>
              <w:rPr>
                <w:rFonts w:eastAsia="MS Mincho"/>
              </w:rPr>
            </w:pPr>
            <w:r w:rsidRPr="00050691">
              <w:rPr>
                <w:rFonts w:eastAsia="MS Mincho"/>
              </w:rPr>
              <w:t>0.77</w:t>
            </w:r>
          </w:p>
          <w:p w:rsidR="00804397" w:rsidRPr="003230A1" w:rsidRDefault="00804397" w:rsidP="00050691">
            <w:pPr>
              <w:pStyle w:val="Tablewriting"/>
              <w:jc w:val="center"/>
              <w:rPr>
                <w:rFonts w:eastAsia="MS Mincho"/>
              </w:rPr>
            </w:pPr>
            <w:r w:rsidRPr="003230A1">
              <w:rPr>
                <w:rFonts w:eastAsia="MS Mincho"/>
              </w:rPr>
              <w:t>(0.</w:t>
            </w:r>
            <w:r w:rsidR="00050691" w:rsidRPr="00050691">
              <w:rPr>
                <w:rFonts w:eastAsia="MS Mincho"/>
              </w:rPr>
              <w:t>49</w:t>
            </w:r>
            <w:r w:rsidRPr="003230A1">
              <w:rPr>
                <w:rFonts w:eastAsia="MS Mincho"/>
              </w:rPr>
              <w:t>, 1.</w:t>
            </w:r>
            <w:r w:rsidR="00050691" w:rsidRPr="00050691">
              <w:rPr>
                <w:rFonts w:eastAsia="MS Mincho"/>
              </w:rPr>
              <w:t>21</w:t>
            </w:r>
            <w:r w:rsidRPr="003230A1">
              <w:rPr>
                <w:rFonts w:eastAsia="MS Mincho"/>
              </w:rPr>
              <w:t>)</w:t>
            </w:r>
          </w:p>
        </w:tc>
      </w:tr>
      <w:tr w:rsidR="00050691" w:rsidRPr="00AA0584" w:rsidTr="00050691">
        <w:trPr>
          <w:cantSplit/>
          <w:trHeight w:val="99"/>
        </w:trPr>
        <w:tc>
          <w:tcPr>
            <w:tcW w:w="5000" w:type="pct"/>
            <w:gridSpan w:val="5"/>
            <w:shd w:val="clear" w:color="auto" w:fill="auto"/>
            <w:tcMar>
              <w:left w:w="28" w:type="dxa"/>
              <w:right w:w="28" w:type="dxa"/>
            </w:tcMar>
          </w:tcPr>
          <w:p w:rsidR="00050691" w:rsidRPr="00DA02C3" w:rsidRDefault="00DA02C3" w:rsidP="00050691">
            <w:pPr>
              <w:pStyle w:val="Tablewriting"/>
              <w:rPr>
                <w:rFonts w:eastAsia="MS Mincho"/>
                <w:b/>
                <w:bCs/>
              </w:rPr>
            </w:pPr>
            <w:r>
              <w:rPr>
                <w:rFonts w:eastAsia="MS Mincho"/>
                <w:b/>
                <w:bCs/>
              </w:rPr>
              <w:t>Irrespective of dependency level (pooled)</w:t>
            </w:r>
          </w:p>
        </w:tc>
      </w:tr>
      <w:tr w:rsidR="00050691" w:rsidRPr="00AA0584" w:rsidTr="00714E65">
        <w:trPr>
          <w:cantSplit/>
          <w:trHeight w:val="99"/>
        </w:trPr>
        <w:tc>
          <w:tcPr>
            <w:tcW w:w="635" w:type="pct"/>
            <w:shd w:val="clear" w:color="auto" w:fill="auto"/>
            <w:tcMar>
              <w:left w:w="28" w:type="dxa"/>
              <w:right w:w="28" w:type="dxa"/>
            </w:tcMar>
          </w:tcPr>
          <w:p w:rsidR="00050691" w:rsidRDefault="00050691" w:rsidP="00050691">
            <w:pPr>
              <w:pStyle w:val="Tablewriting"/>
              <w:rPr>
                <w:rFonts w:eastAsia="MS Mincho"/>
              </w:rPr>
            </w:pPr>
            <w:r>
              <w:rPr>
                <w:rFonts w:eastAsia="MS Mincho"/>
              </w:rPr>
              <w:t>Lindson (2019)</w:t>
            </w:r>
          </w:p>
        </w:tc>
        <w:tc>
          <w:tcPr>
            <w:tcW w:w="928" w:type="pct"/>
            <w:shd w:val="clear" w:color="auto" w:fill="auto"/>
            <w:vAlign w:val="center"/>
          </w:tcPr>
          <w:p w:rsidR="00714E65" w:rsidRDefault="00714E65" w:rsidP="00050691">
            <w:pPr>
              <w:pStyle w:val="Tablewriting"/>
              <w:jc w:val="center"/>
              <w:rPr>
                <w:rFonts w:eastAsia="MS Mincho"/>
              </w:rPr>
            </w:pPr>
            <w:r>
              <w:rPr>
                <w:rFonts w:eastAsia="MS Mincho"/>
              </w:rPr>
              <w:t>Cochrane Review</w:t>
            </w:r>
          </w:p>
          <w:p w:rsidR="00050691" w:rsidRDefault="00714E65" w:rsidP="00050691">
            <w:pPr>
              <w:pStyle w:val="Tablewriting"/>
              <w:jc w:val="center"/>
              <w:rPr>
                <w:rFonts w:eastAsia="MS Mincho"/>
              </w:rPr>
            </w:pPr>
            <w:r>
              <w:rPr>
                <w:rFonts w:eastAsia="MS Mincho"/>
              </w:rPr>
              <w:t>(</w:t>
            </w:r>
            <w:r w:rsidR="00050691">
              <w:rPr>
                <w:rFonts w:eastAsia="MS Mincho"/>
              </w:rPr>
              <w:t xml:space="preserve">7 </w:t>
            </w:r>
            <w:r w:rsidR="00050691" w:rsidRPr="00644B4C">
              <w:rPr>
                <w:rFonts w:eastAsia="MS Mincho"/>
              </w:rPr>
              <w:t>RCT</w:t>
            </w:r>
            <w:r w:rsidR="00050691">
              <w:rPr>
                <w:rFonts w:eastAsia="MS Mincho"/>
              </w:rPr>
              <w:t>s</w:t>
            </w:r>
            <w:r>
              <w:rPr>
                <w:rFonts w:eastAsia="MS Mincho"/>
              </w:rPr>
              <w:t>)</w:t>
            </w:r>
          </w:p>
        </w:tc>
        <w:tc>
          <w:tcPr>
            <w:tcW w:w="1083" w:type="pct"/>
            <w:shd w:val="clear" w:color="auto" w:fill="auto"/>
            <w:tcMar>
              <w:left w:w="28" w:type="dxa"/>
              <w:right w:w="28" w:type="dxa"/>
            </w:tcMar>
            <w:vAlign w:val="center"/>
          </w:tcPr>
          <w:p w:rsidR="00050691" w:rsidRDefault="00050691" w:rsidP="00050691">
            <w:pPr>
              <w:pStyle w:val="Tablewriting"/>
              <w:jc w:val="center"/>
              <w:rPr>
                <w:rFonts w:eastAsia="MS Mincho"/>
              </w:rPr>
            </w:pPr>
            <w:r>
              <w:rPr>
                <w:rFonts w:eastAsia="MS Mincho"/>
              </w:rPr>
              <w:t>116/426</w:t>
            </w:r>
          </w:p>
          <w:p w:rsidR="00050691" w:rsidRDefault="00050691" w:rsidP="00050691">
            <w:pPr>
              <w:pStyle w:val="Tablewriting"/>
              <w:jc w:val="center"/>
              <w:rPr>
                <w:rFonts w:eastAsia="MS Mincho"/>
              </w:rPr>
            </w:pPr>
            <w:r>
              <w:rPr>
                <w:rFonts w:eastAsia="MS Mincho"/>
              </w:rPr>
              <w:t>(</w:t>
            </w:r>
            <w:r w:rsidR="00EA0ED6">
              <w:rPr>
                <w:rFonts w:eastAsia="MS Mincho"/>
              </w:rPr>
              <w:t>27.2</w:t>
            </w:r>
            <w:r>
              <w:rPr>
                <w:rFonts w:eastAsia="MS Mincho"/>
              </w:rPr>
              <w:t>%)</w:t>
            </w:r>
          </w:p>
        </w:tc>
        <w:tc>
          <w:tcPr>
            <w:tcW w:w="1083" w:type="pct"/>
            <w:shd w:val="clear" w:color="auto" w:fill="auto"/>
            <w:tcMar>
              <w:left w:w="28" w:type="dxa"/>
              <w:right w:w="28" w:type="dxa"/>
            </w:tcMar>
            <w:vAlign w:val="center"/>
          </w:tcPr>
          <w:p w:rsidR="00050691" w:rsidRDefault="00050691" w:rsidP="00050691">
            <w:pPr>
              <w:pStyle w:val="Tablewriting"/>
              <w:jc w:val="center"/>
              <w:rPr>
                <w:rFonts w:eastAsia="MS Mincho"/>
              </w:rPr>
            </w:pPr>
            <w:r>
              <w:rPr>
                <w:rFonts w:eastAsia="MS Mincho"/>
              </w:rPr>
              <w:t>81/430</w:t>
            </w:r>
          </w:p>
          <w:p w:rsidR="00050691" w:rsidRDefault="00050691" w:rsidP="00050691">
            <w:pPr>
              <w:pStyle w:val="Tablewriting"/>
              <w:jc w:val="center"/>
              <w:rPr>
                <w:rFonts w:eastAsia="MS Mincho"/>
              </w:rPr>
            </w:pPr>
            <w:r>
              <w:rPr>
                <w:rFonts w:eastAsia="MS Mincho"/>
              </w:rPr>
              <w:t>(</w:t>
            </w:r>
            <w:r w:rsidR="00EA0ED6">
              <w:rPr>
                <w:rFonts w:eastAsia="MS Mincho"/>
              </w:rPr>
              <w:t>18.8</w:t>
            </w:r>
            <w:r>
              <w:rPr>
                <w:rFonts w:eastAsia="MS Mincho"/>
              </w:rPr>
              <w:t>%)</w:t>
            </w:r>
          </w:p>
        </w:tc>
        <w:tc>
          <w:tcPr>
            <w:tcW w:w="1271" w:type="pct"/>
            <w:shd w:val="clear" w:color="auto" w:fill="auto"/>
            <w:tcMar>
              <w:left w:w="28" w:type="dxa"/>
              <w:right w:w="28" w:type="dxa"/>
            </w:tcMar>
            <w:vAlign w:val="center"/>
          </w:tcPr>
          <w:p w:rsidR="00050691" w:rsidRPr="009C7AF3" w:rsidRDefault="00050691" w:rsidP="00050691">
            <w:pPr>
              <w:pStyle w:val="Tablewriting"/>
              <w:jc w:val="center"/>
              <w:rPr>
                <w:rFonts w:eastAsia="MS Mincho"/>
                <w:b/>
                <w:bCs/>
              </w:rPr>
            </w:pPr>
            <w:r w:rsidRPr="009C7AF3">
              <w:rPr>
                <w:rFonts w:eastAsia="MS Mincho"/>
                <w:b/>
                <w:bCs/>
              </w:rPr>
              <w:t>1.43</w:t>
            </w:r>
          </w:p>
          <w:p w:rsidR="00050691" w:rsidRPr="009C7AF3" w:rsidRDefault="00050691" w:rsidP="00050691">
            <w:pPr>
              <w:pStyle w:val="Tablewriting"/>
              <w:jc w:val="center"/>
              <w:rPr>
                <w:rFonts w:eastAsia="MS Mincho"/>
                <w:b/>
                <w:bCs/>
              </w:rPr>
            </w:pPr>
            <w:r w:rsidRPr="009C7AF3">
              <w:rPr>
                <w:rFonts w:eastAsia="MS Mincho"/>
                <w:b/>
                <w:bCs/>
              </w:rPr>
              <w:t>(1.12, 1.83)</w:t>
            </w:r>
          </w:p>
        </w:tc>
      </w:tr>
    </w:tbl>
    <w:p w:rsidR="00804397" w:rsidRDefault="00804397" w:rsidP="00804397">
      <w:pPr>
        <w:pStyle w:val="TableFooter"/>
        <w:keepNext/>
      </w:pPr>
      <w:r>
        <w:t>Source: Lindson et al. (2019)</w:t>
      </w:r>
    </w:p>
    <w:p w:rsidR="00804397" w:rsidRPr="004A0AB5" w:rsidRDefault="00804397" w:rsidP="00804397">
      <w:pPr>
        <w:pStyle w:val="TableFooter"/>
        <w:keepNext/>
        <w:rPr>
          <w:i/>
        </w:rPr>
      </w:pPr>
      <w:r w:rsidRPr="004A0AB5">
        <w:t xml:space="preserve">Abbreviations: CI = confidence interval; RCT = randomised controlled trial; RR = risk ratio </w:t>
      </w:r>
    </w:p>
    <w:p w:rsidR="00050691" w:rsidRDefault="00804397" w:rsidP="00050691">
      <w:pPr>
        <w:pStyle w:val="TableFooter"/>
      </w:pPr>
      <w:r w:rsidRPr="0041240E">
        <w:t xml:space="preserve">Notes: </w:t>
      </w:r>
      <w:r w:rsidRPr="00050691">
        <w:t>Bold</w:t>
      </w:r>
      <w:r w:rsidRPr="0041240E">
        <w:t xml:space="preserve"> indicates statistically significant difference.</w:t>
      </w:r>
    </w:p>
    <w:p w:rsidR="008B6381" w:rsidRPr="008B6381" w:rsidRDefault="00050691" w:rsidP="008B6381">
      <w:pPr>
        <w:pStyle w:val="TableFooter"/>
      </w:pPr>
      <w:r w:rsidRPr="00D70339">
        <w:t>1 Calculated by Cochrane Review authors using fixed-effect model</w:t>
      </w:r>
      <w:r w:rsidR="00ED0CBA">
        <w:t>.</w:t>
      </w:r>
    </w:p>
    <w:p w:rsidR="00804397" w:rsidRPr="0045755E" w:rsidRDefault="00804397" w:rsidP="0042494A">
      <w:r w:rsidRPr="00F136E9">
        <w:lastRenderedPageBreak/>
        <w:t>The results of the individual studies included in Lindson et al. (2019) are presented using a forest plot in</w:t>
      </w:r>
      <w:r w:rsidR="00805606">
        <w:t xml:space="preserve"> </w:t>
      </w:r>
      <w:r w:rsidR="003C4A1C">
        <w:t>Figure 24</w:t>
      </w:r>
      <w:r w:rsidR="00DD121D">
        <w:t xml:space="preserve"> and </w:t>
      </w:r>
      <w:r w:rsidR="003C4A1C">
        <w:t xml:space="preserve">Figure </w:t>
      </w:r>
      <w:r w:rsidR="003C4A1C">
        <w:rPr>
          <w:noProof/>
        </w:rPr>
        <w:t>25</w:t>
      </w:r>
      <w:r w:rsidR="00C350F5">
        <w:t>.</w:t>
      </w:r>
    </w:p>
    <w:p w:rsidR="00A965B6" w:rsidRDefault="00A965B6" w:rsidP="0045755E">
      <w:pPr>
        <w:keepNext/>
      </w:pPr>
    </w:p>
    <w:p w:rsidR="00F547AE" w:rsidRDefault="00A965B6" w:rsidP="00503E62">
      <w:pPr>
        <w:pStyle w:val="Caption"/>
      </w:pPr>
      <w:bookmarkStart w:id="183" w:name="_Ref61611834"/>
      <w:r>
        <w:t xml:space="preserve">Figure </w:t>
      </w:r>
      <w:r w:rsidR="003C4A1C">
        <w:rPr>
          <w:noProof/>
        </w:rPr>
        <w:t>24</w:t>
      </w:r>
      <w:bookmarkEnd w:id="183"/>
      <w:r>
        <w:t xml:space="preserve">: </w:t>
      </w:r>
      <w:r w:rsidRPr="00263FCC">
        <w:t>Results of smoking cessation f</w:t>
      </w:r>
      <w:r w:rsidR="00B54B4E">
        <w:t>or</w:t>
      </w:r>
      <w:r w:rsidRPr="00263FCC">
        <w:t xml:space="preserve"> at least six months follow-up in Lindson et al. (2019), different NRT patch doses</w:t>
      </w:r>
    </w:p>
    <w:p w:rsidR="00A965B6" w:rsidRDefault="00A965B6" w:rsidP="00A965B6">
      <w:pPr>
        <w:pStyle w:val="TableFooter"/>
      </w:pPr>
      <w:r>
        <w:t>Source: Lindson et al. (2019)</w:t>
      </w:r>
    </w:p>
    <w:p w:rsidR="00A965B6" w:rsidRPr="00A965B6" w:rsidRDefault="00A965B6" w:rsidP="00A965B6">
      <w:pPr>
        <w:pStyle w:val="TableFooter"/>
      </w:pPr>
      <w:r>
        <w:t>Abbreviations: CI = confidence interval</w:t>
      </w:r>
    </w:p>
    <w:p w:rsidR="00050691" w:rsidRPr="00C350F5" w:rsidRDefault="00050691" w:rsidP="00050691">
      <w:pPr>
        <w:pStyle w:val="TableFooter"/>
        <w:keepNext/>
      </w:pPr>
    </w:p>
    <w:p w:rsidR="00543DB6" w:rsidRDefault="00804397" w:rsidP="00543DB6">
      <w:pPr>
        <w:pStyle w:val="TableFooter"/>
        <w:keepNext/>
      </w:pPr>
      <w:r>
        <w:rPr>
          <w:noProof/>
          <w:sz w:val="24"/>
          <w:u w:val="single"/>
        </w:rPr>
        <w:drawing>
          <wp:inline distT="0" distB="0" distL="0" distR="0" wp14:anchorId="40D2AF6C" wp14:editId="212E79BF">
            <wp:extent cx="5731510" cy="3580227"/>
            <wp:effectExtent l="0" t="0" r="0" b="1270"/>
            <wp:docPr id="58" name="Picture 5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box and whisker chart&#10;&#10;Description automatically generated"/>
                    <pic:cNvPicPr/>
                  </pic:nvPicPr>
                  <pic:blipFill rotWithShape="1">
                    <a:blip r:embed="rId43" cstate="print">
                      <a:extLst>
                        <a:ext uri="{28A0092B-C50C-407E-A947-70E740481C1C}">
                          <a14:useLocalDpi xmlns:a14="http://schemas.microsoft.com/office/drawing/2010/main" val="0"/>
                        </a:ext>
                      </a:extLst>
                    </a:blip>
                    <a:srcRect b="1068"/>
                    <a:stretch/>
                  </pic:blipFill>
                  <pic:spPr bwMode="auto">
                    <a:xfrm>
                      <a:off x="0" y="0"/>
                      <a:ext cx="5731510" cy="3580227"/>
                    </a:xfrm>
                    <a:prstGeom prst="rect">
                      <a:avLst/>
                    </a:prstGeom>
                    <a:ln>
                      <a:noFill/>
                    </a:ln>
                    <a:extLst>
                      <a:ext uri="{53640926-AAD7-44D8-BBD7-CCE9431645EC}">
                        <a14:shadowObscured xmlns:a14="http://schemas.microsoft.com/office/drawing/2010/main"/>
                      </a:ext>
                    </a:extLst>
                  </pic:spPr>
                </pic:pic>
              </a:graphicData>
            </a:graphic>
          </wp:inline>
        </w:drawing>
      </w:r>
    </w:p>
    <w:p w:rsidR="00804397" w:rsidRPr="00805606" w:rsidRDefault="00543DB6" w:rsidP="00805606">
      <w:pPr>
        <w:pStyle w:val="Caption"/>
      </w:pPr>
      <w:bookmarkStart w:id="184" w:name="_Ref59099025"/>
      <w:r>
        <w:t xml:space="preserve">Figure </w:t>
      </w:r>
      <w:r w:rsidR="003C4A1C">
        <w:rPr>
          <w:noProof/>
        </w:rPr>
        <w:t>25</w:t>
      </w:r>
      <w:bookmarkEnd w:id="184"/>
      <w:r>
        <w:t xml:space="preserve">: </w:t>
      </w:r>
      <w:r w:rsidRPr="00007991">
        <w:t>Results of smoking cessation f</w:t>
      </w:r>
      <w:r w:rsidR="00B54B4E">
        <w:t>or</w:t>
      </w:r>
      <w:r w:rsidRPr="00007991">
        <w:t xml:space="preserve"> at least six months follow-up in Lindson et al. (2019), different NRT gum doses</w:t>
      </w:r>
    </w:p>
    <w:p w:rsidR="00804397" w:rsidRDefault="00804397" w:rsidP="00050691">
      <w:pPr>
        <w:pStyle w:val="TableFooter"/>
      </w:pPr>
      <w:r>
        <w:t>Source: Lindson et al. (2019)</w:t>
      </w:r>
    </w:p>
    <w:p w:rsidR="003312C4" w:rsidRPr="003312C4" w:rsidRDefault="00804397" w:rsidP="00050691">
      <w:pPr>
        <w:pStyle w:val="TableFooter"/>
      </w:pPr>
      <w:r>
        <w:t>Abbreviations: CI = confidence interval</w:t>
      </w:r>
    </w:p>
    <w:p w:rsidR="00804397" w:rsidRDefault="00804397" w:rsidP="00714E65">
      <w:pPr>
        <w:rPr>
          <w:u w:val="single"/>
        </w:rPr>
      </w:pPr>
      <w:r w:rsidRPr="00714E65">
        <w:rPr>
          <w:u w:val="single"/>
        </w:rPr>
        <w:t>S</w:t>
      </w:r>
      <w:r w:rsidRPr="00F136E9">
        <w:rPr>
          <w:u w:val="single"/>
        </w:rPr>
        <w:t>afety</w:t>
      </w:r>
    </w:p>
    <w:p w:rsidR="00804397" w:rsidRDefault="00804397" w:rsidP="00714E65">
      <w:r>
        <w:t xml:space="preserve">A summary of key adverse events </w:t>
      </w:r>
      <w:r w:rsidR="00714E65">
        <w:t>comparing the higher dose with lower dose</w:t>
      </w:r>
      <w:r>
        <w:t xml:space="preserve"> of NRT </w:t>
      </w:r>
      <w:r w:rsidR="00573F59">
        <w:t>patches</w:t>
      </w:r>
      <w:r>
        <w:t xml:space="preserve"> and NRT gum is presented in</w:t>
      </w:r>
      <w:r w:rsidR="00470037">
        <w:t xml:space="preserve"> </w:t>
      </w:r>
      <w:r w:rsidR="003C4A1C">
        <w:t xml:space="preserve">Table </w:t>
      </w:r>
      <w:r w:rsidR="003C4A1C">
        <w:rPr>
          <w:noProof/>
        </w:rPr>
        <w:t>86</w:t>
      </w:r>
      <w:r w:rsidR="00523285">
        <w:t>.</w:t>
      </w:r>
      <w:r>
        <w:t xml:space="preserve"> </w:t>
      </w:r>
      <w:r w:rsidR="00714E65" w:rsidRPr="00714E65">
        <w:t xml:space="preserve">Based on the meta-analysis conducted by </w:t>
      </w:r>
      <w:r w:rsidR="00714E65">
        <w:t xml:space="preserve">Lindson </w:t>
      </w:r>
      <w:r w:rsidR="00714E65" w:rsidRPr="00714E65">
        <w:t>et al. (20</w:t>
      </w:r>
      <w:r w:rsidR="00714E65">
        <w:t>19</w:t>
      </w:r>
      <w:r w:rsidR="00714E65" w:rsidRPr="00714E65">
        <w:t xml:space="preserve">), </w:t>
      </w:r>
      <w:r w:rsidR="00714E65">
        <w:t>t</w:t>
      </w:r>
      <w:r w:rsidR="00714E65" w:rsidRPr="00714E65">
        <w:t xml:space="preserve">here were no statistically significant differences between the two treatment arms </w:t>
      </w:r>
      <w:r w:rsidR="00CE58EA">
        <w:t xml:space="preserve">in all outcomes </w:t>
      </w:r>
      <w:r w:rsidR="00714E65">
        <w:t xml:space="preserve">except for treatment withdrawals comparing the 42/44 mg with 21/22 mg (24-hour) patches. A significantly higher treatment withdrawal rate was observed in patients treated with </w:t>
      </w:r>
      <w:r w:rsidR="00843CFE">
        <w:t xml:space="preserve">the </w:t>
      </w:r>
      <w:r w:rsidR="00714E65">
        <w:t xml:space="preserve">42/44 mg (24-hour) </w:t>
      </w:r>
      <w:r w:rsidR="00573F59">
        <w:t>patches</w:t>
      </w:r>
      <w:r w:rsidR="00714E65">
        <w:t xml:space="preserve"> compared to patients treated with </w:t>
      </w:r>
      <w:r w:rsidR="00843CFE">
        <w:t xml:space="preserve">the </w:t>
      </w:r>
      <w:r w:rsidR="00714E65">
        <w:t xml:space="preserve">21/22 mg (24-hour) </w:t>
      </w:r>
      <w:r w:rsidR="00573F59">
        <w:t>patches</w:t>
      </w:r>
      <w:r w:rsidR="00714E65">
        <w:t>.</w:t>
      </w:r>
      <w:r>
        <w:t xml:space="preserve"> </w:t>
      </w:r>
    </w:p>
    <w:p w:rsidR="00C350F5" w:rsidRDefault="00C350F5" w:rsidP="00C350F5">
      <w:pPr>
        <w:pStyle w:val="Caption"/>
        <w:keepNext/>
      </w:pPr>
      <w:bookmarkStart w:id="185" w:name="_Ref62113519"/>
      <w:r>
        <w:t xml:space="preserve">Table </w:t>
      </w:r>
      <w:r w:rsidR="003C4A1C">
        <w:rPr>
          <w:noProof/>
        </w:rPr>
        <w:t>86</w:t>
      </w:r>
      <w:bookmarkEnd w:id="185"/>
      <w:r>
        <w:t xml:space="preserve">: </w:t>
      </w:r>
      <w:r w:rsidRPr="00A91280">
        <w:t>Summary of key adverse events in Lindson et al. (2019), higher dose versus lower dose NRT (patch and gum)</w:t>
      </w:r>
    </w:p>
    <w:tbl>
      <w:tblPr>
        <w:tblStyle w:val="TableGrid"/>
        <w:tblW w:w="5000" w:type="pct"/>
        <w:tblLook w:val="04A0" w:firstRow="1" w:lastRow="0" w:firstColumn="1" w:lastColumn="0" w:noHBand="0" w:noVBand="1"/>
        <w:tblCaption w:val="Efficacy results of adalimumab trials (PASI 75 and DLQI)"/>
      </w:tblPr>
      <w:tblGrid>
        <w:gridCol w:w="2560"/>
        <w:gridCol w:w="2110"/>
        <w:gridCol w:w="1690"/>
        <w:gridCol w:w="1414"/>
        <w:gridCol w:w="1242"/>
      </w:tblGrid>
      <w:tr w:rsidR="00804397" w:rsidRPr="00061F78" w:rsidTr="00714E65">
        <w:trPr>
          <w:cantSplit/>
          <w:trHeight w:val="299"/>
          <w:tblHeader/>
        </w:trPr>
        <w:tc>
          <w:tcPr>
            <w:tcW w:w="1420" w:type="pct"/>
            <w:shd w:val="clear" w:color="auto" w:fill="BFBFBF" w:themeFill="background1" w:themeFillShade="BF"/>
            <w:tcMar>
              <w:left w:w="28" w:type="dxa"/>
              <w:right w:w="28" w:type="dxa"/>
            </w:tcMar>
            <w:vAlign w:val="center"/>
          </w:tcPr>
          <w:p w:rsidR="00804397" w:rsidRDefault="00804397" w:rsidP="00C928BE">
            <w:pPr>
              <w:pStyle w:val="Tableheading"/>
              <w:rPr>
                <w:rFonts w:eastAsia="MS Mincho"/>
              </w:rPr>
            </w:pPr>
            <w:r>
              <w:rPr>
                <w:rFonts w:eastAsia="MS Mincho"/>
              </w:rPr>
              <w:t>Outcome</w:t>
            </w:r>
          </w:p>
        </w:tc>
        <w:tc>
          <w:tcPr>
            <w:tcW w:w="1170" w:type="pct"/>
            <w:shd w:val="clear" w:color="auto" w:fill="BFBFBF" w:themeFill="background1" w:themeFillShade="BF"/>
            <w:vAlign w:val="center"/>
          </w:tcPr>
          <w:p w:rsidR="00804397" w:rsidRDefault="00714E65" w:rsidP="00C928BE">
            <w:pPr>
              <w:pStyle w:val="Tableheading"/>
              <w:jc w:val="center"/>
              <w:rPr>
                <w:rFonts w:eastAsia="MS Mincho"/>
              </w:rPr>
            </w:pPr>
            <w:r>
              <w:rPr>
                <w:rFonts w:eastAsia="MS Mincho"/>
              </w:rPr>
              <w:t>Study type</w:t>
            </w:r>
          </w:p>
        </w:tc>
        <w:tc>
          <w:tcPr>
            <w:tcW w:w="937" w:type="pct"/>
            <w:shd w:val="clear" w:color="auto" w:fill="BFBFBF" w:themeFill="background1" w:themeFillShade="BF"/>
            <w:tcMar>
              <w:left w:w="28" w:type="dxa"/>
              <w:right w:w="28" w:type="dxa"/>
            </w:tcMar>
            <w:vAlign w:val="center"/>
          </w:tcPr>
          <w:p w:rsidR="00804397" w:rsidRPr="00061F78" w:rsidRDefault="00804397" w:rsidP="00C928BE">
            <w:pPr>
              <w:pStyle w:val="Tableheading"/>
              <w:jc w:val="center"/>
              <w:rPr>
                <w:rFonts w:eastAsia="MS Mincho"/>
              </w:rPr>
            </w:pPr>
            <w:r>
              <w:rPr>
                <w:rFonts w:eastAsia="MS Mincho"/>
              </w:rPr>
              <w:t>Higher dose</w:t>
            </w:r>
          </w:p>
        </w:tc>
        <w:tc>
          <w:tcPr>
            <w:tcW w:w="784" w:type="pct"/>
            <w:shd w:val="clear" w:color="auto" w:fill="BFBFBF" w:themeFill="background1" w:themeFillShade="BF"/>
            <w:tcMar>
              <w:left w:w="28" w:type="dxa"/>
              <w:right w:w="28" w:type="dxa"/>
            </w:tcMar>
            <w:vAlign w:val="center"/>
          </w:tcPr>
          <w:p w:rsidR="00804397" w:rsidRPr="00061F78" w:rsidRDefault="00804397" w:rsidP="00C928BE">
            <w:pPr>
              <w:pStyle w:val="Tableheading"/>
              <w:jc w:val="center"/>
              <w:rPr>
                <w:rFonts w:eastAsia="MS Mincho"/>
              </w:rPr>
            </w:pPr>
            <w:r>
              <w:rPr>
                <w:rFonts w:eastAsia="MS Mincho"/>
              </w:rPr>
              <w:t>Lower dose</w:t>
            </w:r>
          </w:p>
        </w:tc>
        <w:tc>
          <w:tcPr>
            <w:tcW w:w="689" w:type="pct"/>
            <w:shd w:val="clear" w:color="auto" w:fill="BFBFBF" w:themeFill="background1" w:themeFillShade="BF"/>
            <w:tcMar>
              <w:left w:w="28" w:type="dxa"/>
              <w:right w:w="28" w:type="dxa"/>
            </w:tcMar>
            <w:vAlign w:val="center"/>
          </w:tcPr>
          <w:p w:rsidR="00804397" w:rsidRPr="00681ACA" w:rsidRDefault="00804397" w:rsidP="00C928BE">
            <w:pPr>
              <w:pStyle w:val="Tableheading"/>
              <w:jc w:val="center"/>
              <w:rPr>
                <w:rFonts w:eastAsia="MS Mincho"/>
                <w:vertAlign w:val="superscript"/>
              </w:rPr>
            </w:pPr>
            <w:r>
              <w:rPr>
                <w:rFonts w:eastAsia="MS Mincho"/>
              </w:rPr>
              <w:t>RR (95% CI)</w:t>
            </w:r>
            <w:r w:rsidR="00080214">
              <w:rPr>
                <w:rFonts w:eastAsia="MS Mincho"/>
                <w:vertAlign w:val="superscript"/>
              </w:rPr>
              <w:t>1</w:t>
            </w:r>
          </w:p>
        </w:tc>
      </w:tr>
      <w:tr w:rsidR="00804397" w:rsidRPr="00061F78" w:rsidTr="00470037">
        <w:trPr>
          <w:cantSplit/>
          <w:trHeight w:val="99"/>
        </w:trPr>
        <w:tc>
          <w:tcPr>
            <w:tcW w:w="5000" w:type="pct"/>
            <w:gridSpan w:val="5"/>
            <w:shd w:val="clear" w:color="auto" w:fill="auto"/>
            <w:tcMar>
              <w:left w:w="28" w:type="dxa"/>
              <w:right w:w="28" w:type="dxa"/>
            </w:tcMar>
          </w:tcPr>
          <w:p w:rsidR="00714E65" w:rsidRPr="00470037" w:rsidRDefault="00714E65" w:rsidP="00C928BE">
            <w:pPr>
              <w:pStyle w:val="Tablewriting"/>
              <w:rPr>
                <w:rFonts w:eastAsia="MS Mincho"/>
                <w:b/>
                <w:bCs/>
              </w:rPr>
            </w:pPr>
            <w:r w:rsidRPr="00470037">
              <w:rPr>
                <w:rFonts w:eastAsia="MS Mincho"/>
                <w:b/>
                <w:bCs/>
              </w:rPr>
              <w:t>NRT patch</w:t>
            </w:r>
          </w:p>
        </w:tc>
      </w:tr>
      <w:tr w:rsidR="00804397" w:rsidRPr="00061F78" w:rsidTr="00714E65">
        <w:trPr>
          <w:cantSplit/>
          <w:trHeight w:val="541"/>
        </w:trPr>
        <w:tc>
          <w:tcPr>
            <w:tcW w:w="1420" w:type="pct"/>
            <w:shd w:val="clear" w:color="auto" w:fill="auto"/>
            <w:tcMar>
              <w:left w:w="28" w:type="dxa"/>
              <w:right w:w="28" w:type="dxa"/>
            </w:tcMar>
            <w:vAlign w:val="center"/>
          </w:tcPr>
          <w:p w:rsidR="00804397" w:rsidRPr="0031400A" w:rsidRDefault="00714E65" w:rsidP="00C928BE">
            <w:pPr>
              <w:pStyle w:val="Tablewriting"/>
              <w:rPr>
                <w:rFonts w:eastAsia="MS Mincho"/>
                <w:highlight w:val="yellow"/>
              </w:rPr>
            </w:pPr>
            <w:r>
              <w:rPr>
                <w:rFonts w:eastAsia="MS Mincho"/>
              </w:rPr>
              <w:lastRenderedPageBreak/>
              <w:t>Fast or irregular heartbeat</w:t>
            </w:r>
          </w:p>
        </w:tc>
        <w:tc>
          <w:tcPr>
            <w:tcW w:w="1170" w:type="pct"/>
            <w:vAlign w:val="center"/>
          </w:tcPr>
          <w:p w:rsidR="00714E65" w:rsidRDefault="00714E65" w:rsidP="00C928BE">
            <w:pPr>
              <w:pStyle w:val="Tablewriting"/>
              <w:jc w:val="center"/>
              <w:rPr>
                <w:rFonts w:eastAsia="MS Mincho"/>
              </w:rPr>
            </w:pPr>
            <w:r>
              <w:rPr>
                <w:rFonts w:eastAsia="MS Mincho"/>
              </w:rPr>
              <w:t>Cochrane Review</w:t>
            </w:r>
          </w:p>
          <w:p w:rsidR="00804397" w:rsidRPr="001277A6" w:rsidRDefault="00714E65" w:rsidP="00C928BE">
            <w:pPr>
              <w:pStyle w:val="Tablewriting"/>
              <w:jc w:val="center"/>
              <w:rPr>
                <w:rFonts w:eastAsia="MS Mincho"/>
              </w:rPr>
            </w:pPr>
            <w:r>
              <w:rPr>
                <w:rFonts w:eastAsia="MS Mincho"/>
              </w:rPr>
              <w:t>(2 RCTs)</w:t>
            </w:r>
          </w:p>
        </w:tc>
        <w:tc>
          <w:tcPr>
            <w:tcW w:w="937" w:type="pct"/>
            <w:shd w:val="clear" w:color="auto" w:fill="auto"/>
            <w:tcMar>
              <w:left w:w="28" w:type="dxa"/>
              <w:right w:w="28" w:type="dxa"/>
            </w:tcMar>
            <w:vAlign w:val="center"/>
          </w:tcPr>
          <w:p w:rsidR="00804397" w:rsidRPr="001B08F9" w:rsidRDefault="00804397" w:rsidP="00C928BE">
            <w:pPr>
              <w:pStyle w:val="Tablewriting"/>
              <w:jc w:val="center"/>
              <w:rPr>
                <w:rFonts w:eastAsia="MS Mincho"/>
              </w:rPr>
            </w:pPr>
            <w:r w:rsidRPr="001B08F9">
              <w:rPr>
                <w:rFonts w:eastAsia="MS Mincho"/>
              </w:rPr>
              <w:t>53/1636</w:t>
            </w:r>
          </w:p>
          <w:p w:rsidR="00804397" w:rsidRPr="001B08F9" w:rsidRDefault="00804397" w:rsidP="00C928BE">
            <w:pPr>
              <w:pStyle w:val="Tablewriting"/>
              <w:jc w:val="center"/>
              <w:rPr>
                <w:rFonts w:eastAsia="MS Mincho"/>
              </w:rPr>
            </w:pPr>
            <w:r w:rsidRPr="001B08F9">
              <w:rPr>
                <w:rFonts w:eastAsia="MS Mincho"/>
              </w:rPr>
              <w:t>(3.2%)</w:t>
            </w:r>
          </w:p>
        </w:tc>
        <w:tc>
          <w:tcPr>
            <w:tcW w:w="784" w:type="pct"/>
            <w:shd w:val="clear" w:color="auto" w:fill="auto"/>
            <w:tcMar>
              <w:left w:w="28" w:type="dxa"/>
              <w:right w:w="28" w:type="dxa"/>
            </w:tcMar>
            <w:vAlign w:val="center"/>
          </w:tcPr>
          <w:p w:rsidR="00804397" w:rsidRPr="001B08F9" w:rsidRDefault="00804397" w:rsidP="00C928BE">
            <w:pPr>
              <w:pStyle w:val="Tablewriting"/>
              <w:jc w:val="center"/>
              <w:rPr>
                <w:rFonts w:eastAsia="MS Mincho"/>
              </w:rPr>
            </w:pPr>
            <w:r w:rsidRPr="001B08F9">
              <w:rPr>
                <w:rFonts w:eastAsia="MS Mincho"/>
              </w:rPr>
              <w:t>57/1633</w:t>
            </w:r>
          </w:p>
          <w:p w:rsidR="00804397" w:rsidRPr="001B08F9" w:rsidRDefault="00804397" w:rsidP="00C928BE">
            <w:pPr>
              <w:pStyle w:val="Tablewriting"/>
              <w:jc w:val="center"/>
              <w:rPr>
                <w:rFonts w:eastAsia="MS Mincho"/>
              </w:rPr>
            </w:pPr>
            <w:r w:rsidRPr="001B08F9">
              <w:rPr>
                <w:rFonts w:eastAsia="MS Mincho"/>
              </w:rPr>
              <w:t>(3.5%)</w:t>
            </w:r>
          </w:p>
        </w:tc>
        <w:tc>
          <w:tcPr>
            <w:tcW w:w="689" w:type="pct"/>
            <w:shd w:val="clear" w:color="auto" w:fill="auto"/>
            <w:tcMar>
              <w:left w:w="28" w:type="dxa"/>
              <w:right w:w="28" w:type="dxa"/>
            </w:tcMar>
            <w:vAlign w:val="center"/>
          </w:tcPr>
          <w:p w:rsidR="00804397" w:rsidRPr="001277A6" w:rsidRDefault="00804397" w:rsidP="00C928BE">
            <w:pPr>
              <w:pStyle w:val="Tablewriting"/>
              <w:jc w:val="center"/>
              <w:rPr>
                <w:rFonts w:eastAsia="MS Mincho"/>
              </w:rPr>
            </w:pPr>
            <w:r w:rsidRPr="001277A6">
              <w:rPr>
                <w:rFonts w:eastAsia="MS Mincho"/>
              </w:rPr>
              <w:t>0.92</w:t>
            </w:r>
          </w:p>
          <w:p w:rsidR="00804397" w:rsidRPr="001277A6" w:rsidRDefault="00804397" w:rsidP="00C928BE">
            <w:pPr>
              <w:pStyle w:val="Tablewriting"/>
              <w:jc w:val="center"/>
              <w:rPr>
                <w:rFonts w:eastAsia="MS Mincho"/>
                <w:b/>
              </w:rPr>
            </w:pPr>
            <w:r w:rsidRPr="001277A6">
              <w:rPr>
                <w:rFonts w:eastAsia="MS Mincho"/>
              </w:rPr>
              <w:t>(0.64, 1.33)</w:t>
            </w:r>
          </w:p>
        </w:tc>
      </w:tr>
      <w:tr w:rsidR="00804397" w:rsidRPr="00061F78" w:rsidTr="00714E65">
        <w:trPr>
          <w:cantSplit/>
          <w:trHeight w:val="149"/>
        </w:trPr>
        <w:tc>
          <w:tcPr>
            <w:tcW w:w="1420" w:type="pct"/>
            <w:tcMar>
              <w:left w:w="28" w:type="dxa"/>
              <w:right w:w="28" w:type="dxa"/>
            </w:tcMar>
            <w:vAlign w:val="center"/>
          </w:tcPr>
          <w:p w:rsidR="00804397" w:rsidRPr="0031400A" w:rsidRDefault="00714E65" w:rsidP="00C928BE">
            <w:pPr>
              <w:pStyle w:val="Tablewriting"/>
              <w:rPr>
                <w:rFonts w:eastAsia="MS Mincho"/>
                <w:highlight w:val="yellow"/>
              </w:rPr>
            </w:pPr>
            <w:r w:rsidRPr="0031400A">
              <w:rPr>
                <w:rFonts w:eastAsia="MS Mincho"/>
              </w:rPr>
              <w:t>Myocardial infarction</w:t>
            </w:r>
          </w:p>
        </w:tc>
        <w:tc>
          <w:tcPr>
            <w:tcW w:w="1170" w:type="pct"/>
            <w:vAlign w:val="center"/>
          </w:tcPr>
          <w:p w:rsidR="00714E65" w:rsidRDefault="00714E65" w:rsidP="00C928BE">
            <w:pPr>
              <w:pStyle w:val="Tablewriting"/>
              <w:jc w:val="center"/>
              <w:rPr>
                <w:rFonts w:eastAsia="MS Mincho"/>
              </w:rPr>
            </w:pPr>
            <w:r>
              <w:rPr>
                <w:rFonts w:eastAsia="MS Mincho"/>
              </w:rPr>
              <w:t>Cochrane Review</w:t>
            </w:r>
          </w:p>
          <w:p w:rsidR="00804397" w:rsidRPr="00A10F2A" w:rsidRDefault="00714E65" w:rsidP="00C928BE">
            <w:pPr>
              <w:pStyle w:val="Tablewriting"/>
              <w:jc w:val="center"/>
              <w:rPr>
                <w:rFonts w:eastAsia="MS Mincho"/>
                <w:highlight w:val="yellow"/>
              </w:rPr>
            </w:pPr>
            <w:r>
              <w:rPr>
                <w:rFonts w:eastAsia="MS Mincho"/>
              </w:rPr>
              <w:t>(1 RCT)</w:t>
            </w:r>
          </w:p>
        </w:tc>
        <w:tc>
          <w:tcPr>
            <w:tcW w:w="937" w:type="pct"/>
            <w:tcMar>
              <w:left w:w="28" w:type="dxa"/>
              <w:right w:w="28" w:type="dxa"/>
            </w:tcMar>
            <w:vAlign w:val="center"/>
          </w:tcPr>
          <w:p w:rsidR="00804397" w:rsidRDefault="00804397" w:rsidP="00C928BE">
            <w:pPr>
              <w:pStyle w:val="Tablewriting"/>
              <w:jc w:val="center"/>
              <w:rPr>
                <w:rFonts w:eastAsia="MS Mincho"/>
              </w:rPr>
            </w:pPr>
            <w:r>
              <w:rPr>
                <w:rFonts w:eastAsia="MS Mincho"/>
              </w:rPr>
              <w:t>1/1430</w:t>
            </w:r>
          </w:p>
          <w:p w:rsidR="00804397" w:rsidRPr="00A10F2A" w:rsidRDefault="00804397" w:rsidP="00C928BE">
            <w:pPr>
              <w:pStyle w:val="Tablewriting"/>
              <w:jc w:val="center"/>
              <w:rPr>
                <w:rFonts w:eastAsia="MS Mincho"/>
                <w:vertAlign w:val="superscript"/>
              </w:rPr>
            </w:pPr>
            <w:r w:rsidRPr="00A10F2A">
              <w:rPr>
                <w:rFonts w:eastAsia="MS Mincho"/>
              </w:rPr>
              <w:t>(</w:t>
            </w:r>
            <w:r>
              <w:rPr>
                <w:rFonts w:eastAsia="MS Mincho"/>
              </w:rPr>
              <w:t>0.07</w:t>
            </w:r>
            <w:r w:rsidRPr="00A10F2A">
              <w:rPr>
                <w:rFonts w:eastAsia="MS Mincho"/>
              </w:rPr>
              <w:t>%)</w:t>
            </w:r>
          </w:p>
        </w:tc>
        <w:tc>
          <w:tcPr>
            <w:tcW w:w="784" w:type="pct"/>
            <w:tcMar>
              <w:left w:w="28" w:type="dxa"/>
              <w:right w:w="28" w:type="dxa"/>
            </w:tcMar>
            <w:vAlign w:val="center"/>
          </w:tcPr>
          <w:p w:rsidR="00804397" w:rsidRDefault="00804397" w:rsidP="00C928BE">
            <w:pPr>
              <w:pStyle w:val="Tablewriting"/>
              <w:jc w:val="center"/>
              <w:rPr>
                <w:rFonts w:eastAsia="MS Mincho"/>
              </w:rPr>
            </w:pPr>
            <w:r>
              <w:rPr>
                <w:rFonts w:eastAsia="MS Mincho"/>
              </w:rPr>
              <w:t>2/1431</w:t>
            </w:r>
          </w:p>
          <w:p w:rsidR="00804397" w:rsidRPr="00A10F2A" w:rsidRDefault="00804397" w:rsidP="00C928BE">
            <w:pPr>
              <w:pStyle w:val="Tablewriting"/>
              <w:jc w:val="center"/>
              <w:rPr>
                <w:rFonts w:eastAsia="MS Mincho"/>
                <w:vertAlign w:val="superscript"/>
              </w:rPr>
            </w:pPr>
            <w:r w:rsidRPr="00A10F2A">
              <w:rPr>
                <w:rFonts w:eastAsia="MS Mincho"/>
              </w:rPr>
              <w:t>(</w:t>
            </w:r>
            <w:r>
              <w:rPr>
                <w:rFonts w:eastAsia="MS Mincho"/>
              </w:rPr>
              <w:t>0.14</w:t>
            </w:r>
            <w:r w:rsidRPr="00A10F2A">
              <w:rPr>
                <w:rFonts w:eastAsia="MS Mincho"/>
              </w:rPr>
              <w:t>%)</w:t>
            </w:r>
          </w:p>
        </w:tc>
        <w:tc>
          <w:tcPr>
            <w:tcW w:w="689" w:type="pct"/>
            <w:tcMar>
              <w:left w:w="28" w:type="dxa"/>
              <w:right w:w="28" w:type="dxa"/>
            </w:tcMar>
            <w:vAlign w:val="center"/>
          </w:tcPr>
          <w:p w:rsidR="00804397" w:rsidRDefault="00804397" w:rsidP="00C928BE">
            <w:pPr>
              <w:pStyle w:val="Tablewriting"/>
              <w:jc w:val="center"/>
              <w:rPr>
                <w:rFonts w:eastAsia="MS Mincho"/>
              </w:rPr>
            </w:pPr>
            <w:r>
              <w:rPr>
                <w:rFonts w:eastAsia="MS Mincho"/>
              </w:rPr>
              <w:t>0.5</w:t>
            </w:r>
          </w:p>
          <w:p w:rsidR="00804397" w:rsidRPr="00A10F2A" w:rsidRDefault="00804397" w:rsidP="00C928BE">
            <w:pPr>
              <w:pStyle w:val="Tablewriting"/>
              <w:jc w:val="center"/>
              <w:rPr>
                <w:rFonts w:eastAsia="MS Mincho"/>
              </w:rPr>
            </w:pPr>
            <w:r>
              <w:rPr>
                <w:rFonts w:eastAsia="MS Mincho"/>
              </w:rPr>
              <w:t>(0.05, 5.51)</w:t>
            </w:r>
          </w:p>
        </w:tc>
      </w:tr>
      <w:tr w:rsidR="00804397" w:rsidRPr="00061F78" w:rsidTr="00714E65">
        <w:trPr>
          <w:cantSplit/>
          <w:trHeight w:val="149"/>
        </w:trPr>
        <w:tc>
          <w:tcPr>
            <w:tcW w:w="1420" w:type="pct"/>
            <w:tcMar>
              <w:left w:w="28" w:type="dxa"/>
              <w:right w:w="28" w:type="dxa"/>
            </w:tcMar>
          </w:tcPr>
          <w:p w:rsidR="00714E65" w:rsidRDefault="00714E65" w:rsidP="00C928BE">
            <w:pPr>
              <w:pStyle w:val="Tablewriting"/>
              <w:rPr>
                <w:rFonts w:eastAsia="MS Mincho"/>
              </w:rPr>
            </w:pPr>
            <w:r w:rsidRPr="0031400A">
              <w:rPr>
                <w:rFonts w:eastAsia="MS Mincho"/>
              </w:rPr>
              <w:t>Overall SAEs</w:t>
            </w:r>
            <w:r w:rsidRPr="00A10F2A">
              <w:rPr>
                <w:rFonts w:eastAsia="MS Mincho"/>
              </w:rPr>
              <w:t xml:space="preserve"> </w:t>
            </w:r>
          </w:p>
          <w:p w:rsidR="00804397" w:rsidRPr="0031400A" w:rsidRDefault="00714E65" w:rsidP="00C928BE">
            <w:pPr>
              <w:pStyle w:val="Tablewriting"/>
              <w:rPr>
                <w:rFonts w:eastAsia="MS Mincho"/>
                <w:highlight w:val="yellow"/>
              </w:rPr>
            </w:pPr>
            <w:r>
              <w:rPr>
                <w:rFonts w:eastAsia="MS Mincho"/>
              </w:rPr>
              <w:t>(</w:t>
            </w:r>
            <w:r w:rsidR="00804397" w:rsidRPr="00A10F2A">
              <w:rPr>
                <w:rFonts w:eastAsia="MS Mincho"/>
              </w:rPr>
              <w:t>42/44 mg versus 21/22 mg)</w:t>
            </w:r>
          </w:p>
        </w:tc>
        <w:tc>
          <w:tcPr>
            <w:tcW w:w="1170" w:type="pct"/>
            <w:vAlign w:val="center"/>
          </w:tcPr>
          <w:p w:rsidR="00714E65" w:rsidRDefault="00714E65" w:rsidP="00C928BE">
            <w:pPr>
              <w:pStyle w:val="Tablewriting"/>
              <w:jc w:val="center"/>
              <w:rPr>
                <w:rFonts w:eastAsia="MS Mincho"/>
              </w:rPr>
            </w:pPr>
            <w:r>
              <w:rPr>
                <w:rFonts w:eastAsia="MS Mincho"/>
              </w:rPr>
              <w:t>Cochrane Review</w:t>
            </w:r>
          </w:p>
          <w:p w:rsidR="00804397" w:rsidRPr="0031400A" w:rsidRDefault="00714E65" w:rsidP="00C928BE">
            <w:pPr>
              <w:pStyle w:val="Tablewriting"/>
              <w:jc w:val="center"/>
              <w:rPr>
                <w:rFonts w:eastAsia="MS Mincho"/>
                <w:highlight w:val="yellow"/>
                <w:vertAlign w:val="superscript"/>
              </w:rPr>
            </w:pPr>
            <w:r>
              <w:rPr>
                <w:rFonts w:eastAsia="MS Mincho"/>
              </w:rPr>
              <w:t>(2 RCTs)</w:t>
            </w:r>
          </w:p>
        </w:tc>
        <w:tc>
          <w:tcPr>
            <w:tcW w:w="937" w:type="pct"/>
            <w:tcMar>
              <w:left w:w="28" w:type="dxa"/>
              <w:right w:w="28" w:type="dxa"/>
            </w:tcMar>
            <w:vAlign w:val="center"/>
          </w:tcPr>
          <w:p w:rsidR="00804397" w:rsidRPr="001B08F9" w:rsidRDefault="00804397" w:rsidP="00C928BE">
            <w:pPr>
              <w:pStyle w:val="Tablewriting"/>
              <w:jc w:val="center"/>
              <w:rPr>
                <w:rFonts w:eastAsia="MS Mincho"/>
              </w:rPr>
            </w:pPr>
            <w:r w:rsidRPr="001B08F9">
              <w:rPr>
                <w:rFonts w:eastAsia="MS Mincho"/>
              </w:rPr>
              <w:t>7/511</w:t>
            </w:r>
          </w:p>
          <w:p w:rsidR="00804397" w:rsidRPr="001B08F9" w:rsidRDefault="00804397" w:rsidP="00C928BE">
            <w:pPr>
              <w:pStyle w:val="Tablewriting"/>
              <w:jc w:val="center"/>
              <w:rPr>
                <w:rFonts w:eastAsia="MS Mincho"/>
              </w:rPr>
            </w:pPr>
            <w:r w:rsidRPr="001B08F9">
              <w:rPr>
                <w:rFonts w:eastAsia="MS Mincho"/>
              </w:rPr>
              <w:t>(1.4%)</w:t>
            </w:r>
          </w:p>
        </w:tc>
        <w:tc>
          <w:tcPr>
            <w:tcW w:w="784" w:type="pct"/>
            <w:tcMar>
              <w:left w:w="28" w:type="dxa"/>
              <w:right w:w="28" w:type="dxa"/>
            </w:tcMar>
            <w:vAlign w:val="center"/>
          </w:tcPr>
          <w:p w:rsidR="00804397" w:rsidRPr="001B08F9" w:rsidRDefault="00804397" w:rsidP="00C928BE">
            <w:pPr>
              <w:pStyle w:val="Tablewriting"/>
              <w:jc w:val="center"/>
              <w:rPr>
                <w:rFonts w:eastAsia="MS Mincho"/>
              </w:rPr>
            </w:pPr>
            <w:r w:rsidRPr="001B08F9">
              <w:rPr>
                <w:rFonts w:eastAsia="MS Mincho"/>
              </w:rPr>
              <w:t>1/512</w:t>
            </w:r>
          </w:p>
          <w:p w:rsidR="00804397" w:rsidRPr="001B08F9" w:rsidRDefault="00804397" w:rsidP="00C928BE">
            <w:pPr>
              <w:pStyle w:val="Tablewriting"/>
              <w:jc w:val="center"/>
              <w:rPr>
                <w:rFonts w:eastAsia="MS Mincho"/>
              </w:rPr>
            </w:pPr>
            <w:r w:rsidRPr="001B08F9">
              <w:rPr>
                <w:rFonts w:eastAsia="MS Mincho"/>
              </w:rPr>
              <w:t>(0.</w:t>
            </w:r>
            <w:r>
              <w:rPr>
                <w:rFonts w:eastAsia="MS Mincho"/>
              </w:rPr>
              <w:t>2</w:t>
            </w:r>
            <w:r w:rsidRPr="001B08F9">
              <w:rPr>
                <w:rFonts w:eastAsia="MS Mincho"/>
              </w:rPr>
              <w:t>%)</w:t>
            </w:r>
          </w:p>
        </w:tc>
        <w:tc>
          <w:tcPr>
            <w:tcW w:w="689" w:type="pct"/>
            <w:tcMar>
              <w:left w:w="28" w:type="dxa"/>
              <w:right w:w="28" w:type="dxa"/>
            </w:tcMar>
            <w:vAlign w:val="center"/>
          </w:tcPr>
          <w:p w:rsidR="00804397" w:rsidRDefault="00804397" w:rsidP="00C928BE">
            <w:pPr>
              <w:pStyle w:val="Tablewriting"/>
              <w:jc w:val="center"/>
              <w:rPr>
                <w:rFonts w:eastAsia="MS Mincho"/>
              </w:rPr>
            </w:pPr>
            <w:r>
              <w:rPr>
                <w:rFonts w:eastAsia="MS Mincho"/>
              </w:rPr>
              <w:t>5.01</w:t>
            </w:r>
          </w:p>
          <w:p w:rsidR="00804397" w:rsidRPr="00A10F2A" w:rsidRDefault="00804397" w:rsidP="00C928BE">
            <w:pPr>
              <w:pStyle w:val="Tablewriting"/>
              <w:jc w:val="center"/>
              <w:rPr>
                <w:rFonts w:eastAsia="MS Mincho"/>
              </w:rPr>
            </w:pPr>
            <w:r>
              <w:rPr>
                <w:rFonts w:eastAsia="MS Mincho"/>
              </w:rPr>
              <w:t>(0.87, 28.82)</w:t>
            </w:r>
          </w:p>
        </w:tc>
      </w:tr>
      <w:tr w:rsidR="00804397" w:rsidRPr="00061F78" w:rsidTr="00714E65">
        <w:trPr>
          <w:cantSplit/>
          <w:trHeight w:val="149"/>
        </w:trPr>
        <w:tc>
          <w:tcPr>
            <w:tcW w:w="1420" w:type="pct"/>
            <w:tcMar>
              <w:left w:w="28" w:type="dxa"/>
              <w:right w:w="28" w:type="dxa"/>
            </w:tcMar>
          </w:tcPr>
          <w:p w:rsidR="00714E65" w:rsidRDefault="00714E65" w:rsidP="00C928BE">
            <w:pPr>
              <w:pStyle w:val="Tablewriting"/>
              <w:rPr>
                <w:rFonts w:eastAsia="MS Mincho"/>
              </w:rPr>
            </w:pPr>
            <w:r w:rsidRPr="0031400A">
              <w:rPr>
                <w:rFonts w:eastAsia="MS Mincho"/>
              </w:rPr>
              <w:t>Overall SAEs</w:t>
            </w:r>
          </w:p>
          <w:p w:rsidR="00804397" w:rsidRPr="00A10F2A" w:rsidRDefault="00714E65" w:rsidP="00C928BE">
            <w:pPr>
              <w:pStyle w:val="Tablewriting"/>
              <w:rPr>
                <w:rFonts w:eastAsia="MS Mincho"/>
              </w:rPr>
            </w:pPr>
            <w:r>
              <w:rPr>
                <w:rFonts w:eastAsia="MS Mincho"/>
              </w:rPr>
              <w:t>(</w:t>
            </w:r>
            <w:r w:rsidR="00804397" w:rsidRPr="00432A29">
              <w:rPr>
                <w:rFonts w:eastAsia="MS Mincho"/>
              </w:rPr>
              <w:t>21 mg versus 14 mg)</w:t>
            </w:r>
          </w:p>
        </w:tc>
        <w:tc>
          <w:tcPr>
            <w:tcW w:w="1170" w:type="pct"/>
            <w:vAlign w:val="center"/>
          </w:tcPr>
          <w:p w:rsidR="00714E65" w:rsidRDefault="00714E65" w:rsidP="00C928BE">
            <w:pPr>
              <w:pStyle w:val="Tablewriting"/>
              <w:jc w:val="center"/>
              <w:rPr>
                <w:rFonts w:eastAsia="MS Mincho"/>
              </w:rPr>
            </w:pPr>
            <w:r>
              <w:rPr>
                <w:rFonts w:eastAsia="MS Mincho"/>
              </w:rPr>
              <w:t>Cochrane Review</w:t>
            </w:r>
          </w:p>
          <w:p w:rsidR="00804397" w:rsidRPr="00A10F2A" w:rsidRDefault="00714E65" w:rsidP="00C928BE">
            <w:pPr>
              <w:pStyle w:val="Tablewriting"/>
              <w:jc w:val="center"/>
              <w:rPr>
                <w:rFonts w:eastAsia="MS Mincho"/>
              </w:rPr>
            </w:pPr>
            <w:r>
              <w:rPr>
                <w:rFonts w:eastAsia="MS Mincho"/>
              </w:rPr>
              <w:t>(1 RCT)</w:t>
            </w:r>
          </w:p>
        </w:tc>
        <w:tc>
          <w:tcPr>
            <w:tcW w:w="937" w:type="pct"/>
            <w:vAlign w:val="center"/>
          </w:tcPr>
          <w:p w:rsidR="00804397" w:rsidRDefault="00804397" w:rsidP="00C928BE">
            <w:pPr>
              <w:pStyle w:val="Tablewriting"/>
              <w:jc w:val="center"/>
              <w:rPr>
                <w:rFonts w:eastAsia="MS Mincho"/>
              </w:rPr>
            </w:pPr>
            <w:r>
              <w:rPr>
                <w:rFonts w:eastAsia="MS Mincho"/>
              </w:rPr>
              <w:t>0/262</w:t>
            </w:r>
          </w:p>
          <w:p w:rsidR="00804397" w:rsidRPr="00A10F2A" w:rsidRDefault="00804397" w:rsidP="00C928BE">
            <w:pPr>
              <w:pStyle w:val="Tablewriting"/>
              <w:jc w:val="center"/>
              <w:rPr>
                <w:rFonts w:eastAsia="MS Mincho"/>
              </w:rPr>
            </w:pPr>
            <w:r>
              <w:rPr>
                <w:rFonts w:eastAsia="MS Mincho"/>
              </w:rPr>
              <w:t>(0%)</w:t>
            </w:r>
          </w:p>
        </w:tc>
        <w:tc>
          <w:tcPr>
            <w:tcW w:w="784" w:type="pct"/>
            <w:vAlign w:val="center"/>
          </w:tcPr>
          <w:p w:rsidR="00804397" w:rsidRDefault="00804397" w:rsidP="00C928BE">
            <w:pPr>
              <w:pStyle w:val="Tablewriting"/>
              <w:jc w:val="center"/>
              <w:rPr>
                <w:rFonts w:eastAsia="MS Mincho"/>
              </w:rPr>
            </w:pPr>
            <w:r>
              <w:rPr>
                <w:rFonts w:eastAsia="MS Mincho"/>
              </w:rPr>
              <w:t>0/275</w:t>
            </w:r>
          </w:p>
          <w:p w:rsidR="00804397" w:rsidRPr="00A10F2A" w:rsidRDefault="00804397" w:rsidP="00C928BE">
            <w:pPr>
              <w:pStyle w:val="Tablewriting"/>
              <w:jc w:val="center"/>
              <w:rPr>
                <w:rFonts w:eastAsia="MS Mincho"/>
              </w:rPr>
            </w:pPr>
            <w:r>
              <w:rPr>
                <w:rFonts w:eastAsia="MS Mincho"/>
              </w:rPr>
              <w:t>(0%)</w:t>
            </w:r>
          </w:p>
        </w:tc>
        <w:tc>
          <w:tcPr>
            <w:tcW w:w="689" w:type="pct"/>
            <w:tcMar>
              <w:left w:w="28" w:type="dxa"/>
              <w:right w:w="28" w:type="dxa"/>
            </w:tcMar>
            <w:vAlign w:val="center"/>
          </w:tcPr>
          <w:p w:rsidR="00804397" w:rsidRPr="00432A29" w:rsidRDefault="00804397" w:rsidP="00C928BE">
            <w:pPr>
              <w:pStyle w:val="Tablewriting"/>
              <w:jc w:val="center"/>
              <w:rPr>
                <w:rFonts w:eastAsia="MS Mincho"/>
              </w:rPr>
            </w:pPr>
            <w:r w:rsidRPr="00432A29">
              <w:rPr>
                <w:rFonts w:eastAsia="MS Mincho"/>
              </w:rPr>
              <w:t>NE</w:t>
            </w:r>
          </w:p>
        </w:tc>
      </w:tr>
      <w:tr w:rsidR="00804397" w:rsidRPr="00061F78" w:rsidTr="00714E65">
        <w:trPr>
          <w:cantSplit/>
          <w:trHeight w:val="149"/>
        </w:trPr>
        <w:tc>
          <w:tcPr>
            <w:tcW w:w="1420" w:type="pct"/>
            <w:tcMar>
              <w:left w:w="28" w:type="dxa"/>
              <w:right w:w="28" w:type="dxa"/>
            </w:tcMar>
          </w:tcPr>
          <w:p w:rsidR="00714E65" w:rsidRDefault="00714E65" w:rsidP="00C928BE">
            <w:pPr>
              <w:pStyle w:val="Tablewriting"/>
              <w:rPr>
                <w:rFonts w:eastAsia="MS Mincho"/>
              </w:rPr>
            </w:pPr>
            <w:r>
              <w:rPr>
                <w:rFonts w:eastAsia="MS Mincho"/>
              </w:rPr>
              <w:t>Treatment withdrawals</w:t>
            </w:r>
            <w:r w:rsidRPr="00432A29">
              <w:rPr>
                <w:rFonts w:eastAsia="MS Mincho"/>
              </w:rPr>
              <w:t xml:space="preserve"> </w:t>
            </w:r>
          </w:p>
          <w:p w:rsidR="00804397" w:rsidRPr="00432A29" w:rsidRDefault="00714E65" w:rsidP="00C928BE">
            <w:pPr>
              <w:pStyle w:val="Tablewriting"/>
              <w:rPr>
                <w:rFonts w:eastAsia="MS Mincho"/>
              </w:rPr>
            </w:pPr>
            <w:r>
              <w:rPr>
                <w:rFonts w:eastAsia="MS Mincho"/>
              </w:rPr>
              <w:t>(</w:t>
            </w:r>
            <w:r w:rsidR="00804397" w:rsidRPr="00432A29">
              <w:rPr>
                <w:rFonts w:eastAsia="MS Mincho"/>
              </w:rPr>
              <w:t>42/44 mg versus 21/22 mg)</w:t>
            </w:r>
          </w:p>
        </w:tc>
        <w:tc>
          <w:tcPr>
            <w:tcW w:w="1170" w:type="pct"/>
            <w:vAlign w:val="center"/>
          </w:tcPr>
          <w:p w:rsidR="00714E65" w:rsidRDefault="00714E65" w:rsidP="00C928BE">
            <w:pPr>
              <w:pStyle w:val="Tablewriting"/>
              <w:jc w:val="center"/>
              <w:rPr>
                <w:rFonts w:eastAsia="MS Mincho"/>
              </w:rPr>
            </w:pPr>
            <w:r>
              <w:rPr>
                <w:rFonts w:eastAsia="MS Mincho"/>
              </w:rPr>
              <w:t>Cochrane Review</w:t>
            </w:r>
          </w:p>
          <w:p w:rsidR="00804397" w:rsidRPr="00432A29" w:rsidRDefault="00714E65" w:rsidP="00C928BE">
            <w:pPr>
              <w:pStyle w:val="Tablewriting"/>
              <w:jc w:val="center"/>
              <w:rPr>
                <w:rFonts w:eastAsia="MS Mincho"/>
              </w:rPr>
            </w:pPr>
            <w:r>
              <w:rPr>
                <w:rFonts w:eastAsia="MS Mincho"/>
              </w:rPr>
              <w:t>(2 RCTs)</w:t>
            </w:r>
          </w:p>
        </w:tc>
        <w:tc>
          <w:tcPr>
            <w:tcW w:w="937" w:type="pct"/>
            <w:tcMar>
              <w:left w:w="28" w:type="dxa"/>
              <w:right w:w="28" w:type="dxa"/>
            </w:tcMar>
            <w:vAlign w:val="center"/>
          </w:tcPr>
          <w:p w:rsidR="00804397" w:rsidRPr="000911DD" w:rsidRDefault="00804397" w:rsidP="00C928BE">
            <w:pPr>
              <w:pStyle w:val="Tablewriting"/>
              <w:jc w:val="center"/>
              <w:rPr>
                <w:rFonts w:eastAsia="MS Mincho"/>
              </w:rPr>
            </w:pPr>
            <w:r w:rsidRPr="000911DD">
              <w:rPr>
                <w:rFonts w:eastAsia="MS Mincho"/>
              </w:rPr>
              <w:t>1/18</w:t>
            </w:r>
          </w:p>
          <w:p w:rsidR="00804397" w:rsidRPr="000911DD" w:rsidRDefault="00804397" w:rsidP="00C928BE">
            <w:pPr>
              <w:pStyle w:val="Tablewriting"/>
              <w:jc w:val="center"/>
              <w:rPr>
                <w:rFonts w:eastAsia="MS Mincho"/>
              </w:rPr>
            </w:pPr>
            <w:r w:rsidRPr="000911DD">
              <w:rPr>
                <w:rFonts w:eastAsia="MS Mincho"/>
              </w:rPr>
              <w:t>(5.6%)</w:t>
            </w:r>
          </w:p>
        </w:tc>
        <w:tc>
          <w:tcPr>
            <w:tcW w:w="784" w:type="pct"/>
            <w:tcMar>
              <w:left w:w="28" w:type="dxa"/>
              <w:right w:w="28" w:type="dxa"/>
            </w:tcMar>
            <w:vAlign w:val="center"/>
          </w:tcPr>
          <w:p w:rsidR="00804397" w:rsidRPr="000911DD" w:rsidRDefault="00804397" w:rsidP="00C928BE">
            <w:pPr>
              <w:pStyle w:val="Tablewriting"/>
              <w:jc w:val="center"/>
              <w:rPr>
                <w:rFonts w:eastAsia="MS Mincho"/>
              </w:rPr>
            </w:pPr>
            <w:r w:rsidRPr="000911DD">
              <w:rPr>
                <w:rFonts w:eastAsia="MS Mincho"/>
              </w:rPr>
              <w:t>0/17</w:t>
            </w:r>
          </w:p>
          <w:p w:rsidR="00804397" w:rsidRPr="000911DD" w:rsidRDefault="00804397" w:rsidP="00C928BE">
            <w:pPr>
              <w:pStyle w:val="Tablewriting"/>
              <w:jc w:val="center"/>
              <w:rPr>
                <w:rFonts w:eastAsia="MS Mincho"/>
              </w:rPr>
            </w:pPr>
            <w:r w:rsidRPr="000911DD">
              <w:rPr>
                <w:rFonts w:eastAsia="MS Mincho"/>
              </w:rPr>
              <w:t>(0%)</w:t>
            </w:r>
          </w:p>
        </w:tc>
        <w:tc>
          <w:tcPr>
            <w:tcW w:w="689" w:type="pct"/>
            <w:tcMar>
              <w:left w:w="28" w:type="dxa"/>
              <w:right w:w="28" w:type="dxa"/>
            </w:tcMar>
            <w:vAlign w:val="center"/>
          </w:tcPr>
          <w:p w:rsidR="00804397" w:rsidRPr="00EF0428" w:rsidRDefault="00804397" w:rsidP="00C928BE">
            <w:pPr>
              <w:pStyle w:val="Tablewriting"/>
              <w:jc w:val="center"/>
              <w:rPr>
                <w:rFonts w:eastAsia="MS Mincho"/>
                <w:b/>
                <w:bCs/>
              </w:rPr>
            </w:pPr>
            <w:r w:rsidRPr="00EF0428">
              <w:rPr>
                <w:rFonts w:eastAsia="MS Mincho"/>
                <w:b/>
                <w:bCs/>
              </w:rPr>
              <w:t>4.99</w:t>
            </w:r>
          </w:p>
          <w:p w:rsidR="00804397" w:rsidRPr="00432A29" w:rsidRDefault="00804397" w:rsidP="00C928BE">
            <w:pPr>
              <w:pStyle w:val="Tablewriting"/>
              <w:jc w:val="center"/>
              <w:rPr>
                <w:rFonts w:eastAsia="MS Mincho"/>
              </w:rPr>
            </w:pPr>
            <w:r w:rsidRPr="00EF0428">
              <w:rPr>
                <w:rFonts w:eastAsia="MS Mincho"/>
                <w:b/>
                <w:bCs/>
              </w:rPr>
              <w:t>(1.6, 15.5)</w:t>
            </w:r>
          </w:p>
        </w:tc>
      </w:tr>
      <w:tr w:rsidR="00804397" w:rsidRPr="00061F78" w:rsidTr="00714E65">
        <w:trPr>
          <w:cantSplit/>
          <w:trHeight w:val="149"/>
        </w:trPr>
        <w:tc>
          <w:tcPr>
            <w:tcW w:w="1420" w:type="pct"/>
            <w:tcMar>
              <w:left w:w="28" w:type="dxa"/>
              <w:right w:w="28" w:type="dxa"/>
            </w:tcMar>
          </w:tcPr>
          <w:p w:rsidR="00714E65" w:rsidRDefault="00714E65" w:rsidP="00C928BE">
            <w:pPr>
              <w:pStyle w:val="Tablewriting"/>
              <w:rPr>
                <w:rFonts w:eastAsia="MS Mincho"/>
              </w:rPr>
            </w:pPr>
            <w:r>
              <w:rPr>
                <w:rFonts w:eastAsia="MS Mincho"/>
              </w:rPr>
              <w:t>Treatment withdrawals</w:t>
            </w:r>
            <w:r w:rsidRPr="00432A29">
              <w:rPr>
                <w:rFonts w:eastAsia="MS Mincho"/>
              </w:rPr>
              <w:t xml:space="preserve"> </w:t>
            </w:r>
          </w:p>
          <w:p w:rsidR="00804397" w:rsidRPr="00432A29" w:rsidRDefault="00714E65" w:rsidP="00C928BE">
            <w:pPr>
              <w:pStyle w:val="Tablewriting"/>
              <w:rPr>
                <w:rFonts w:eastAsia="MS Mincho"/>
              </w:rPr>
            </w:pPr>
            <w:r>
              <w:rPr>
                <w:rFonts w:eastAsia="MS Mincho"/>
              </w:rPr>
              <w:t>(</w:t>
            </w:r>
            <w:r w:rsidR="00804397" w:rsidRPr="00432A29">
              <w:rPr>
                <w:rFonts w:eastAsia="MS Mincho"/>
              </w:rPr>
              <w:t>21 mg versus 14 mg)</w:t>
            </w:r>
          </w:p>
        </w:tc>
        <w:tc>
          <w:tcPr>
            <w:tcW w:w="1170" w:type="pct"/>
            <w:vAlign w:val="center"/>
          </w:tcPr>
          <w:p w:rsidR="00714E65" w:rsidRDefault="00714E65" w:rsidP="00C928BE">
            <w:pPr>
              <w:pStyle w:val="Tablewriting"/>
              <w:jc w:val="center"/>
              <w:rPr>
                <w:rFonts w:eastAsia="MS Mincho"/>
              </w:rPr>
            </w:pPr>
            <w:r>
              <w:rPr>
                <w:rFonts w:eastAsia="MS Mincho"/>
              </w:rPr>
              <w:t>Cochrane Review</w:t>
            </w:r>
          </w:p>
          <w:p w:rsidR="00804397" w:rsidRPr="000911DD" w:rsidRDefault="00714E65" w:rsidP="00C928BE">
            <w:pPr>
              <w:pStyle w:val="Tablewriting"/>
              <w:jc w:val="center"/>
              <w:rPr>
                <w:rFonts w:eastAsia="MS Mincho"/>
              </w:rPr>
            </w:pPr>
            <w:r>
              <w:rPr>
                <w:rFonts w:eastAsia="MS Mincho"/>
              </w:rPr>
              <w:t>(1 RCT)</w:t>
            </w:r>
          </w:p>
        </w:tc>
        <w:tc>
          <w:tcPr>
            <w:tcW w:w="937" w:type="pct"/>
            <w:vAlign w:val="center"/>
          </w:tcPr>
          <w:p w:rsidR="00804397" w:rsidRPr="000911DD" w:rsidRDefault="00804397" w:rsidP="00C928BE">
            <w:pPr>
              <w:pStyle w:val="Tablewriting"/>
              <w:jc w:val="center"/>
              <w:rPr>
                <w:rFonts w:eastAsia="MS Mincho"/>
              </w:rPr>
            </w:pPr>
            <w:r w:rsidRPr="000911DD">
              <w:rPr>
                <w:rFonts w:eastAsia="MS Mincho"/>
              </w:rPr>
              <w:t>11/262</w:t>
            </w:r>
          </w:p>
          <w:p w:rsidR="00804397" w:rsidRPr="000911DD" w:rsidRDefault="00804397" w:rsidP="00C928BE">
            <w:pPr>
              <w:pStyle w:val="Tablewriting"/>
              <w:jc w:val="center"/>
              <w:rPr>
                <w:rFonts w:eastAsia="MS Mincho"/>
              </w:rPr>
            </w:pPr>
            <w:r w:rsidRPr="000911DD">
              <w:rPr>
                <w:rFonts w:eastAsia="MS Mincho"/>
              </w:rPr>
              <w:t>(4.2%)</w:t>
            </w:r>
          </w:p>
        </w:tc>
        <w:tc>
          <w:tcPr>
            <w:tcW w:w="784" w:type="pct"/>
            <w:vAlign w:val="center"/>
          </w:tcPr>
          <w:p w:rsidR="00804397" w:rsidRPr="000911DD" w:rsidRDefault="00804397" w:rsidP="00C928BE">
            <w:pPr>
              <w:pStyle w:val="Tablewriting"/>
              <w:jc w:val="center"/>
              <w:rPr>
                <w:rFonts w:eastAsia="MS Mincho"/>
              </w:rPr>
            </w:pPr>
            <w:r w:rsidRPr="000911DD">
              <w:rPr>
                <w:rFonts w:eastAsia="MS Mincho"/>
              </w:rPr>
              <w:t>15/275</w:t>
            </w:r>
          </w:p>
          <w:p w:rsidR="00804397" w:rsidRPr="000911DD" w:rsidRDefault="00804397" w:rsidP="00C928BE">
            <w:pPr>
              <w:pStyle w:val="Tablewriting"/>
              <w:jc w:val="center"/>
              <w:rPr>
                <w:rFonts w:eastAsia="MS Mincho"/>
              </w:rPr>
            </w:pPr>
            <w:r w:rsidRPr="000911DD">
              <w:rPr>
                <w:rFonts w:eastAsia="MS Mincho"/>
              </w:rPr>
              <w:t>(5.5%)</w:t>
            </w:r>
          </w:p>
        </w:tc>
        <w:tc>
          <w:tcPr>
            <w:tcW w:w="689" w:type="pct"/>
            <w:tcMar>
              <w:left w:w="28" w:type="dxa"/>
              <w:right w:w="28" w:type="dxa"/>
            </w:tcMar>
            <w:vAlign w:val="center"/>
          </w:tcPr>
          <w:p w:rsidR="00804397" w:rsidRPr="002970F5" w:rsidRDefault="00804397" w:rsidP="00C928BE">
            <w:pPr>
              <w:pStyle w:val="Tablewriting"/>
              <w:jc w:val="center"/>
              <w:rPr>
                <w:rFonts w:eastAsia="MS Mincho"/>
              </w:rPr>
            </w:pPr>
            <w:r w:rsidRPr="002970F5">
              <w:rPr>
                <w:rFonts w:eastAsia="MS Mincho"/>
              </w:rPr>
              <w:t>0.77</w:t>
            </w:r>
          </w:p>
          <w:p w:rsidR="00804397" w:rsidRPr="002970F5" w:rsidRDefault="00804397" w:rsidP="00C928BE">
            <w:pPr>
              <w:pStyle w:val="Tablewriting"/>
              <w:jc w:val="center"/>
              <w:rPr>
                <w:rFonts w:eastAsia="MS Mincho"/>
              </w:rPr>
            </w:pPr>
            <w:r w:rsidRPr="002970F5">
              <w:rPr>
                <w:rFonts w:eastAsia="MS Mincho"/>
              </w:rPr>
              <w:t>(0.36, 1.64)</w:t>
            </w:r>
          </w:p>
        </w:tc>
      </w:tr>
      <w:tr w:rsidR="00714E65" w:rsidRPr="00061F78" w:rsidTr="00470037">
        <w:trPr>
          <w:cantSplit/>
          <w:trHeight w:val="149"/>
        </w:trPr>
        <w:tc>
          <w:tcPr>
            <w:tcW w:w="5000" w:type="pct"/>
            <w:gridSpan w:val="5"/>
            <w:shd w:val="clear" w:color="auto" w:fill="auto"/>
            <w:tcMar>
              <w:left w:w="28" w:type="dxa"/>
              <w:right w:w="28" w:type="dxa"/>
            </w:tcMar>
          </w:tcPr>
          <w:p w:rsidR="00714E65" w:rsidRPr="00470037" w:rsidRDefault="00714E65" w:rsidP="00C928BE">
            <w:pPr>
              <w:pStyle w:val="Tablewriting"/>
              <w:rPr>
                <w:rFonts w:eastAsia="MS Mincho"/>
                <w:b/>
                <w:bCs/>
              </w:rPr>
            </w:pPr>
            <w:r w:rsidRPr="00470037">
              <w:rPr>
                <w:rFonts w:eastAsia="MS Mincho"/>
                <w:b/>
                <w:bCs/>
              </w:rPr>
              <w:t>NRT gum</w:t>
            </w:r>
          </w:p>
        </w:tc>
      </w:tr>
      <w:tr w:rsidR="00804397" w:rsidRPr="00061F78" w:rsidTr="00714E65">
        <w:trPr>
          <w:cantSplit/>
          <w:trHeight w:val="149"/>
        </w:trPr>
        <w:tc>
          <w:tcPr>
            <w:tcW w:w="1420" w:type="pct"/>
            <w:tcMar>
              <w:left w:w="28" w:type="dxa"/>
              <w:right w:w="28" w:type="dxa"/>
            </w:tcMar>
            <w:vAlign w:val="center"/>
          </w:tcPr>
          <w:p w:rsidR="00804397" w:rsidRDefault="00714E65" w:rsidP="00C928BE">
            <w:pPr>
              <w:pStyle w:val="Tablewriting"/>
              <w:rPr>
                <w:rFonts w:eastAsia="MS Mincho"/>
              </w:rPr>
            </w:pPr>
            <w:r w:rsidRPr="000911DD">
              <w:rPr>
                <w:rFonts w:eastAsia="MS Mincho"/>
              </w:rPr>
              <w:t>Palpitations</w:t>
            </w:r>
          </w:p>
        </w:tc>
        <w:tc>
          <w:tcPr>
            <w:tcW w:w="1170" w:type="pct"/>
            <w:vAlign w:val="center"/>
          </w:tcPr>
          <w:p w:rsidR="00714E65" w:rsidRDefault="00714E65" w:rsidP="00C928BE">
            <w:pPr>
              <w:pStyle w:val="Tablewriting"/>
              <w:jc w:val="center"/>
              <w:rPr>
                <w:rFonts w:eastAsia="MS Mincho"/>
              </w:rPr>
            </w:pPr>
            <w:r>
              <w:rPr>
                <w:rFonts w:eastAsia="MS Mincho"/>
              </w:rPr>
              <w:t>Cochrane Review</w:t>
            </w:r>
          </w:p>
          <w:p w:rsidR="00804397" w:rsidRPr="000911DD" w:rsidRDefault="00714E65" w:rsidP="00C928BE">
            <w:pPr>
              <w:pStyle w:val="Tablewriting"/>
              <w:jc w:val="center"/>
              <w:rPr>
                <w:rFonts w:eastAsia="MS Mincho"/>
              </w:rPr>
            </w:pPr>
            <w:r>
              <w:rPr>
                <w:rFonts w:eastAsia="MS Mincho"/>
              </w:rPr>
              <w:t>(1 RCT)</w:t>
            </w:r>
          </w:p>
        </w:tc>
        <w:tc>
          <w:tcPr>
            <w:tcW w:w="937" w:type="pct"/>
            <w:vAlign w:val="center"/>
          </w:tcPr>
          <w:p w:rsidR="00804397" w:rsidRDefault="00804397" w:rsidP="00C928BE">
            <w:pPr>
              <w:pStyle w:val="Tablewriting"/>
              <w:jc w:val="center"/>
              <w:rPr>
                <w:rFonts w:eastAsia="MS Mincho"/>
              </w:rPr>
            </w:pPr>
            <w:r>
              <w:rPr>
                <w:rFonts w:eastAsia="MS Mincho"/>
              </w:rPr>
              <w:t>1/27</w:t>
            </w:r>
          </w:p>
          <w:p w:rsidR="00C5397F" w:rsidRPr="000911DD" w:rsidRDefault="00C5397F" w:rsidP="00C928BE">
            <w:pPr>
              <w:pStyle w:val="Tablewriting"/>
              <w:jc w:val="center"/>
              <w:rPr>
                <w:rFonts w:eastAsia="MS Mincho"/>
              </w:rPr>
            </w:pPr>
            <w:r>
              <w:rPr>
                <w:rFonts w:eastAsia="MS Mincho"/>
              </w:rPr>
              <w:t>(3.7%)</w:t>
            </w:r>
          </w:p>
        </w:tc>
        <w:tc>
          <w:tcPr>
            <w:tcW w:w="784" w:type="pct"/>
            <w:vAlign w:val="center"/>
          </w:tcPr>
          <w:p w:rsidR="00804397" w:rsidRDefault="00804397" w:rsidP="00C928BE">
            <w:pPr>
              <w:pStyle w:val="Tablewriting"/>
              <w:jc w:val="center"/>
              <w:rPr>
                <w:rFonts w:eastAsia="MS Mincho"/>
              </w:rPr>
            </w:pPr>
            <w:r>
              <w:rPr>
                <w:rFonts w:eastAsia="MS Mincho"/>
              </w:rPr>
              <w:t>0/33</w:t>
            </w:r>
          </w:p>
          <w:p w:rsidR="00C5397F" w:rsidRPr="000911DD" w:rsidRDefault="00C5397F" w:rsidP="00C928BE">
            <w:pPr>
              <w:pStyle w:val="Tablewriting"/>
              <w:jc w:val="center"/>
              <w:rPr>
                <w:rFonts w:eastAsia="MS Mincho"/>
              </w:rPr>
            </w:pPr>
            <w:r>
              <w:rPr>
                <w:rFonts w:eastAsia="MS Mincho"/>
              </w:rPr>
              <w:t>(0%)</w:t>
            </w:r>
          </w:p>
        </w:tc>
        <w:tc>
          <w:tcPr>
            <w:tcW w:w="689" w:type="pct"/>
            <w:tcMar>
              <w:left w:w="28" w:type="dxa"/>
              <w:right w:w="28" w:type="dxa"/>
            </w:tcMar>
            <w:vAlign w:val="center"/>
          </w:tcPr>
          <w:p w:rsidR="00804397" w:rsidRDefault="00804397" w:rsidP="00C928BE">
            <w:pPr>
              <w:pStyle w:val="Tablewriting"/>
              <w:jc w:val="center"/>
              <w:rPr>
                <w:rFonts w:eastAsia="MS Mincho"/>
              </w:rPr>
            </w:pPr>
            <w:r>
              <w:rPr>
                <w:rFonts w:eastAsia="MS Mincho"/>
              </w:rPr>
              <w:t>3.64</w:t>
            </w:r>
          </w:p>
          <w:p w:rsidR="00804397" w:rsidRDefault="00804397" w:rsidP="00C928BE">
            <w:pPr>
              <w:pStyle w:val="Tablewriting"/>
              <w:jc w:val="center"/>
              <w:rPr>
                <w:rFonts w:eastAsia="MS Mincho"/>
              </w:rPr>
            </w:pPr>
            <w:r>
              <w:rPr>
                <w:rFonts w:eastAsia="MS Mincho"/>
              </w:rPr>
              <w:t>(0.15, 85.97)</w:t>
            </w:r>
          </w:p>
        </w:tc>
      </w:tr>
      <w:tr w:rsidR="00714E65" w:rsidRPr="00061F78" w:rsidTr="00714E65">
        <w:trPr>
          <w:cantSplit/>
          <w:trHeight w:val="149"/>
        </w:trPr>
        <w:tc>
          <w:tcPr>
            <w:tcW w:w="1420" w:type="pct"/>
            <w:tcMar>
              <w:left w:w="28" w:type="dxa"/>
              <w:right w:w="28" w:type="dxa"/>
            </w:tcMar>
            <w:vAlign w:val="center"/>
          </w:tcPr>
          <w:p w:rsidR="00714E65" w:rsidRPr="000911DD" w:rsidRDefault="00714E65" w:rsidP="00C928BE">
            <w:pPr>
              <w:pStyle w:val="Tablewriting"/>
              <w:rPr>
                <w:rFonts w:eastAsia="MS Mincho"/>
              </w:rPr>
            </w:pPr>
            <w:r>
              <w:rPr>
                <w:rFonts w:eastAsia="MS Mincho"/>
              </w:rPr>
              <w:t>Treatment withdrawals</w:t>
            </w:r>
          </w:p>
        </w:tc>
        <w:tc>
          <w:tcPr>
            <w:tcW w:w="1170" w:type="pct"/>
            <w:vAlign w:val="center"/>
          </w:tcPr>
          <w:p w:rsidR="00714E65" w:rsidRDefault="00714E65" w:rsidP="00C928BE">
            <w:pPr>
              <w:pStyle w:val="Tablewriting"/>
              <w:jc w:val="center"/>
              <w:rPr>
                <w:rFonts w:eastAsia="MS Mincho"/>
              </w:rPr>
            </w:pPr>
            <w:r>
              <w:rPr>
                <w:rFonts w:eastAsia="MS Mincho"/>
              </w:rPr>
              <w:t>Cochrane Review</w:t>
            </w:r>
          </w:p>
          <w:p w:rsidR="00714E65" w:rsidRDefault="00714E65" w:rsidP="00C928BE">
            <w:pPr>
              <w:pStyle w:val="Tablewriting"/>
              <w:jc w:val="center"/>
              <w:rPr>
                <w:rFonts w:eastAsia="MS Mincho"/>
              </w:rPr>
            </w:pPr>
            <w:r>
              <w:rPr>
                <w:rFonts w:eastAsia="MS Mincho"/>
              </w:rPr>
              <w:t>(2 RCTs)</w:t>
            </w:r>
          </w:p>
        </w:tc>
        <w:tc>
          <w:tcPr>
            <w:tcW w:w="937" w:type="pct"/>
            <w:vAlign w:val="center"/>
          </w:tcPr>
          <w:p w:rsidR="00714E65" w:rsidRPr="000911DD" w:rsidRDefault="00714E65" w:rsidP="00C928BE">
            <w:pPr>
              <w:pStyle w:val="Tablewriting"/>
              <w:jc w:val="center"/>
              <w:rPr>
                <w:rFonts w:eastAsia="MS Mincho"/>
              </w:rPr>
            </w:pPr>
            <w:r w:rsidRPr="000911DD">
              <w:rPr>
                <w:rFonts w:eastAsia="MS Mincho"/>
              </w:rPr>
              <w:t>2/230</w:t>
            </w:r>
          </w:p>
          <w:p w:rsidR="00714E65" w:rsidRDefault="00714E65" w:rsidP="00C928BE">
            <w:pPr>
              <w:pStyle w:val="Tablewriting"/>
              <w:jc w:val="center"/>
              <w:rPr>
                <w:rFonts w:eastAsia="MS Mincho"/>
              </w:rPr>
            </w:pPr>
            <w:r w:rsidRPr="000911DD">
              <w:rPr>
                <w:rFonts w:eastAsia="MS Mincho"/>
              </w:rPr>
              <w:t>(0.9%)</w:t>
            </w:r>
          </w:p>
        </w:tc>
        <w:tc>
          <w:tcPr>
            <w:tcW w:w="784" w:type="pct"/>
            <w:vAlign w:val="center"/>
          </w:tcPr>
          <w:p w:rsidR="00714E65" w:rsidRPr="000911DD" w:rsidRDefault="00714E65" w:rsidP="00C928BE">
            <w:pPr>
              <w:pStyle w:val="Tablewriting"/>
              <w:jc w:val="center"/>
              <w:rPr>
                <w:rFonts w:eastAsia="MS Mincho"/>
              </w:rPr>
            </w:pPr>
            <w:r w:rsidRPr="000911DD">
              <w:rPr>
                <w:rFonts w:eastAsia="MS Mincho"/>
              </w:rPr>
              <w:t>2/235</w:t>
            </w:r>
          </w:p>
          <w:p w:rsidR="00714E65" w:rsidRDefault="00714E65" w:rsidP="00C928BE">
            <w:pPr>
              <w:pStyle w:val="Tablewriting"/>
              <w:jc w:val="center"/>
              <w:rPr>
                <w:rFonts w:eastAsia="MS Mincho"/>
              </w:rPr>
            </w:pPr>
            <w:r w:rsidRPr="000911DD">
              <w:rPr>
                <w:rFonts w:eastAsia="MS Mincho"/>
              </w:rPr>
              <w:t>(0.9%)</w:t>
            </w:r>
          </w:p>
        </w:tc>
        <w:tc>
          <w:tcPr>
            <w:tcW w:w="689" w:type="pct"/>
            <w:tcMar>
              <w:left w:w="28" w:type="dxa"/>
              <w:right w:w="28" w:type="dxa"/>
            </w:tcMar>
            <w:vAlign w:val="center"/>
          </w:tcPr>
          <w:p w:rsidR="00714E65" w:rsidRDefault="00714E65" w:rsidP="00C928BE">
            <w:pPr>
              <w:pStyle w:val="Tablewriting"/>
              <w:jc w:val="center"/>
              <w:rPr>
                <w:rFonts w:eastAsia="MS Mincho"/>
              </w:rPr>
            </w:pPr>
            <w:r>
              <w:rPr>
                <w:rFonts w:eastAsia="MS Mincho"/>
              </w:rPr>
              <w:t>1.08</w:t>
            </w:r>
          </w:p>
          <w:p w:rsidR="00714E65" w:rsidRDefault="00714E65" w:rsidP="00C928BE">
            <w:pPr>
              <w:pStyle w:val="Tablewriting"/>
              <w:jc w:val="center"/>
              <w:rPr>
                <w:rFonts w:eastAsia="MS Mincho"/>
              </w:rPr>
            </w:pPr>
            <w:r>
              <w:rPr>
                <w:rFonts w:eastAsia="MS Mincho"/>
              </w:rPr>
              <w:t>(0.18, 6.36)</w:t>
            </w:r>
          </w:p>
        </w:tc>
      </w:tr>
    </w:tbl>
    <w:p w:rsidR="00804397" w:rsidRDefault="00804397" w:rsidP="00804397">
      <w:pPr>
        <w:pStyle w:val="TableFooter"/>
        <w:keepNext/>
      </w:pPr>
      <w:r>
        <w:t>Source: Lindson et al. (2019)</w:t>
      </w:r>
    </w:p>
    <w:p w:rsidR="00804397" w:rsidRDefault="00804397" w:rsidP="00804397">
      <w:pPr>
        <w:pStyle w:val="TableFooter"/>
        <w:keepNext/>
      </w:pPr>
      <w:r>
        <w:t>Abbreviations: CI = confidence interval; NE = not estimable; RCT = randomised controlled trial; RR = risk ratio</w:t>
      </w:r>
      <w:r w:rsidR="00174D48">
        <w:t>; SAEs = serious adverse events.</w:t>
      </w:r>
    </w:p>
    <w:p w:rsidR="00804397" w:rsidRDefault="00804397" w:rsidP="00804397">
      <w:pPr>
        <w:pStyle w:val="TableFooter"/>
        <w:keepNext/>
      </w:pPr>
      <w:r w:rsidRPr="00FD4061">
        <w:t>Note</w:t>
      </w:r>
      <w:r>
        <w:t>s</w:t>
      </w:r>
      <w:r w:rsidRPr="00FD4061">
        <w:t xml:space="preserve">: </w:t>
      </w:r>
      <w:r w:rsidRPr="00714E65">
        <w:t>Bold</w:t>
      </w:r>
      <w:r w:rsidRPr="00FD4061">
        <w:t xml:space="preserve"> indicates statistically significant difference.</w:t>
      </w:r>
      <w:r>
        <w:t xml:space="preserve"> </w:t>
      </w:r>
      <w:r w:rsidRPr="00B032C3">
        <w:t xml:space="preserve">See </w:t>
      </w:r>
      <w:r w:rsidRPr="009B5C14">
        <w:t xml:space="preserve">Appendix </w:t>
      </w:r>
      <w:r w:rsidR="003C4A1C">
        <w:t xml:space="preserve">Figure </w:t>
      </w:r>
      <w:r w:rsidR="003C4A1C">
        <w:rPr>
          <w:noProof/>
        </w:rPr>
        <w:t>86</w:t>
      </w:r>
      <w:r w:rsidR="009B5C14">
        <w:t xml:space="preserve">, </w:t>
      </w:r>
      <w:r w:rsidR="003C4A1C">
        <w:t xml:space="preserve">Figure </w:t>
      </w:r>
      <w:r w:rsidR="003C4A1C">
        <w:rPr>
          <w:noProof/>
        </w:rPr>
        <w:t>87</w:t>
      </w:r>
      <w:r w:rsidR="009B5C14">
        <w:t>,</w:t>
      </w:r>
      <w:r>
        <w:t xml:space="preserve"> and </w:t>
      </w:r>
      <w:r w:rsidR="003C4A1C">
        <w:t xml:space="preserve">Figure </w:t>
      </w:r>
      <w:r w:rsidR="003C4A1C">
        <w:rPr>
          <w:noProof/>
        </w:rPr>
        <w:t>88</w:t>
      </w:r>
      <w:r>
        <w:t xml:space="preserve"> </w:t>
      </w:r>
      <w:r w:rsidRPr="00B032C3">
        <w:t>for forest plots of the respective outcomes which included the results of individual studies.</w:t>
      </w:r>
    </w:p>
    <w:p w:rsidR="00804397" w:rsidRDefault="00804397" w:rsidP="00804397">
      <w:pPr>
        <w:pStyle w:val="TableFooter"/>
        <w:keepNext/>
      </w:pPr>
      <w:r>
        <w:t>1</w:t>
      </w:r>
      <w:r w:rsidRPr="00432CC7">
        <w:t xml:space="preserve"> </w:t>
      </w:r>
      <w:r w:rsidRPr="00470037">
        <w:t xml:space="preserve">Calculated </w:t>
      </w:r>
      <w:r w:rsidR="00714E65" w:rsidRPr="00470037">
        <w:t xml:space="preserve">by Cochrane Review authors </w:t>
      </w:r>
      <w:r w:rsidRPr="00470037">
        <w:t>using a fixed-effect model.</w:t>
      </w:r>
      <w:r>
        <w:t xml:space="preserve"> </w:t>
      </w:r>
    </w:p>
    <w:p w:rsidR="0029720E" w:rsidRDefault="0029720E" w:rsidP="00D02475">
      <w:pPr>
        <w:pStyle w:val="Heading4"/>
        <w:numPr>
          <w:ilvl w:val="0"/>
          <w:numId w:val="0"/>
        </w:numPr>
      </w:pPr>
      <w:r w:rsidRPr="00DD5BFC">
        <w:t>Length of therapy</w:t>
      </w:r>
    </w:p>
    <w:p w:rsidR="006858BC" w:rsidRPr="006858BC" w:rsidRDefault="0029720E" w:rsidP="00D61411">
      <w:pPr>
        <w:jc w:val="both"/>
      </w:pPr>
      <w:r w:rsidRPr="00713891">
        <w:t xml:space="preserve">A summary of the characteristics of the studies comparing </w:t>
      </w:r>
      <w:r>
        <w:t xml:space="preserve">duration of NRT </w:t>
      </w:r>
      <w:r w:rsidR="00573F59">
        <w:t>patches</w:t>
      </w:r>
      <w:r>
        <w:t>, gum, combination therapy</w:t>
      </w:r>
      <w:r w:rsidR="00657867">
        <w:t>, and other variations in use</w:t>
      </w:r>
      <w:r>
        <w:t xml:space="preserve"> </w:t>
      </w:r>
      <w:r w:rsidR="00E5742D">
        <w:t>from</w:t>
      </w:r>
      <w:r w:rsidR="00741C14">
        <w:t xml:space="preserve"> Lindson </w:t>
      </w:r>
      <w:r w:rsidR="00217CDF">
        <w:t>et al. (</w:t>
      </w:r>
      <w:r w:rsidR="00741C14">
        <w:t>2019</w:t>
      </w:r>
      <w:r w:rsidR="00217CDF">
        <w:t>)</w:t>
      </w:r>
      <w:r w:rsidR="00741C14">
        <w:t xml:space="preserve"> and </w:t>
      </w:r>
      <w:r w:rsidR="00741C14" w:rsidRPr="00BC3B1D">
        <w:t xml:space="preserve">Ellerbeck </w:t>
      </w:r>
      <w:r w:rsidR="00217CDF">
        <w:t>et al. (</w:t>
      </w:r>
      <w:r w:rsidR="00741C14" w:rsidRPr="00BC3B1D">
        <w:t>2018</w:t>
      </w:r>
      <w:r w:rsidR="00217CDF">
        <w:t>)</w:t>
      </w:r>
      <w:r w:rsidR="00741C14">
        <w:t xml:space="preserve"> </w:t>
      </w:r>
      <w:r w:rsidRPr="00713891">
        <w:t>is presented in</w:t>
      </w:r>
      <w:r w:rsidR="006D4904">
        <w:t xml:space="preserve"> </w:t>
      </w:r>
      <w:r w:rsidR="003C4A1C">
        <w:t xml:space="preserve">Table </w:t>
      </w:r>
      <w:r w:rsidR="003C4A1C">
        <w:rPr>
          <w:noProof/>
        </w:rPr>
        <w:t>87</w:t>
      </w:r>
      <w:r w:rsidRPr="00713891">
        <w:t xml:space="preserve">. </w:t>
      </w:r>
      <w:r w:rsidRPr="00796FC8">
        <w:t xml:space="preserve">The characteristics of the individual studies are presented in </w:t>
      </w:r>
      <w:r w:rsidR="00441C26" w:rsidRPr="00DE44B3">
        <w:t>Appendix</w:t>
      </w:r>
      <w:r w:rsidR="00501CE2">
        <w:t xml:space="preserve"> </w:t>
      </w:r>
      <w:r w:rsidR="003C4A1C">
        <w:t xml:space="preserve">Table </w:t>
      </w:r>
      <w:r w:rsidR="003C4A1C">
        <w:rPr>
          <w:noProof/>
        </w:rPr>
        <w:t>162</w:t>
      </w:r>
      <w:r w:rsidRPr="00465020">
        <w:t>.</w:t>
      </w:r>
    </w:p>
    <w:p w:rsidR="00096038" w:rsidRDefault="00096038" w:rsidP="00D61411">
      <w:pPr>
        <w:jc w:val="both"/>
      </w:pPr>
      <w:bookmarkStart w:id="186" w:name="_Ref59454049"/>
      <w:r>
        <w:t xml:space="preserve">The relevant studies identified for inclusion are presented in this section based on four </w:t>
      </w:r>
      <w:r w:rsidRPr="003B58ED">
        <w:t>categories:</w:t>
      </w:r>
    </w:p>
    <w:p w:rsidR="00343668" w:rsidRDefault="00C01C17" w:rsidP="00C324F3">
      <w:pPr>
        <w:pStyle w:val="ListParagraph"/>
        <w:numPr>
          <w:ilvl w:val="0"/>
          <w:numId w:val="190"/>
        </w:numPr>
        <w:jc w:val="both"/>
      </w:pPr>
      <w:r>
        <w:t xml:space="preserve">Monotherapy </w:t>
      </w:r>
      <w:r w:rsidR="00C90748">
        <w:t xml:space="preserve">(NRT </w:t>
      </w:r>
      <w:r w:rsidR="00573F59">
        <w:t>patches</w:t>
      </w:r>
      <w:r w:rsidR="00C90748">
        <w:t xml:space="preserve">, </w:t>
      </w:r>
      <w:r w:rsidR="00906CD4">
        <w:t>7 RCTs</w:t>
      </w:r>
      <w:r w:rsidR="00775038">
        <w:t xml:space="preserve"> from Lindson </w:t>
      </w:r>
      <w:r w:rsidR="006F1F49">
        <w:t xml:space="preserve">et al. </w:t>
      </w:r>
      <w:r w:rsidR="00775038">
        <w:t>2019</w:t>
      </w:r>
      <w:r w:rsidR="00C90748">
        <w:t xml:space="preserve">; NRT gum, </w:t>
      </w:r>
      <w:r w:rsidR="00906CD4">
        <w:t>1 RCT</w:t>
      </w:r>
      <w:r w:rsidR="00775038">
        <w:t xml:space="preserve"> from Lindson </w:t>
      </w:r>
      <w:r w:rsidR="006F1F49">
        <w:t xml:space="preserve">et al. </w:t>
      </w:r>
      <w:r w:rsidR="00775038">
        <w:t>2019)</w:t>
      </w:r>
    </w:p>
    <w:p w:rsidR="00343668" w:rsidRDefault="00343668" w:rsidP="00C324F3">
      <w:pPr>
        <w:pStyle w:val="ListParagraph"/>
        <w:numPr>
          <w:ilvl w:val="0"/>
          <w:numId w:val="190"/>
        </w:numPr>
        <w:jc w:val="both"/>
      </w:pPr>
      <w:r>
        <w:t xml:space="preserve">Combination </w:t>
      </w:r>
      <w:r w:rsidR="00C90748">
        <w:t>therapy</w:t>
      </w:r>
      <w:r w:rsidR="00775038">
        <w:t xml:space="preserve"> (3 RCTs</w:t>
      </w:r>
      <w:r w:rsidR="00906CD4">
        <w:t xml:space="preserve">; 2 RCTs from Lindson </w:t>
      </w:r>
      <w:r w:rsidR="009E560C">
        <w:t xml:space="preserve">et al. </w:t>
      </w:r>
      <w:r w:rsidR="00906CD4">
        <w:t xml:space="preserve">2019; 1 RCT by </w:t>
      </w:r>
      <w:r w:rsidR="00906CD4" w:rsidRPr="00BC3B1D">
        <w:t>Ellerbeck</w:t>
      </w:r>
      <w:r w:rsidR="009E560C">
        <w:t xml:space="preserve"> et al.</w:t>
      </w:r>
      <w:r w:rsidR="00906CD4" w:rsidRPr="00BC3B1D">
        <w:t xml:space="preserve"> 2018</w:t>
      </w:r>
      <w:r w:rsidR="00775038">
        <w:t>)</w:t>
      </w:r>
    </w:p>
    <w:p w:rsidR="00343668" w:rsidRDefault="00343668" w:rsidP="00C324F3">
      <w:pPr>
        <w:pStyle w:val="ListParagraph"/>
        <w:numPr>
          <w:ilvl w:val="0"/>
          <w:numId w:val="190"/>
        </w:numPr>
        <w:jc w:val="both"/>
      </w:pPr>
      <w:r>
        <w:t xml:space="preserve">Other variations </w:t>
      </w:r>
      <w:r w:rsidR="00775038">
        <w:t xml:space="preserve">in NRT use (3 RCTs from Lindson </w:t>
      </w:r>
      <w:r w:rsidR="009E560C">
        <w:t xml:space="preserve">et al. </w:t>
      </w:r>
      <w:r w:rsidR="00775038">
        <w:t>2019)</w:t>
      </w:r>
    </w:p>
    <w:p w:rsidR="00182742" w:rsidRDefault="00182742" w:rsidP="00C324F3">
      <w:pPr>
        <w:pStyle w:val="ListParagraph"/>
        <w:numPr>
          <w:ilvl w:val="0"/>
          <w:numId w:val="190"/>
        </w:numPr>
        <w:jc w:val="both"/>
        <w:sectPr w:rsidR="00182742" w:rsidSect="006356D2">
          <w:pgSz w:w="11906" w:h="16838"/>
          <w:pgMar w:top="1440" w:right="1440" w:bottom="1440" w:left="1440" w:header="708" w:footer="708" w:gutter="0"/>
          <w:cols w:space="708"/>
          <w:titlePg/>
          <w:docGrid w:linePitch="360"/>
        </w:sectPr>
      </w:pPr>
    </w:p>
    <w:p w:rsidR="0029720E" w:rsidRDefault="0029720E" w:rsidP="0029720E">
      <w:pPr>
        <w:pStyle w:val="Caption"/>
        <w:keepNext/>
      </w:pPr>
      <w:bookmarkStart w:id="187" w:name="_Ref62114094"/>
      <w:r>
        <w:lastRenderedPageBreak/>
        <w:t xml:space="preserve">Table </w:t>
      </w:r>
      <w:r w:rsidR="003C4A1C">
        <w:rPr>
          <w:noProof/>
        </w:rPr>
        <w:t>87</w:t>
      </w:r>
      <w:bookmarkEnd w:id="186"/>
      <w:bookmarkEnd w:id="187"/>
      <w:r>
        <w:t xml:space="preserve">: </w:t>
      </w:r>
      <w:r w:rsidRPr="009D02BE">
        <w:t xml:space="preserve">Characteristics of the studies comparing </w:t>
      </w:r>
      <w:r>
        <w:t xml:space="preserve">different </w:t>
      </w:r>
      <w:r w:rsidRPr="009D02BE">
        <w:t>length of therapy</w:t>
      </w:r>
      <w:r w:rsidR="00A961B4">
        <w:t xml:space="preserve"> for NRT patch, gum, combination</w:t>
      </w:r>
      <w:r w:rsidR="00D65B5B">
        <w:t xml:space="preserve"> therapy, and other variations in use</w:t>
      </w:r>
    </w:p>
    <w:tbl>
      <w:tblPr>
        <w:tblStyle w:val="TableGrid"/>
        <w:tblW w:w="5107" w:type="pct"/>
        <w:tblLook w:val="04A0" w:firstRow="1" w:lastRow="0" w:firstColumn="1" w:lastColumn="0" w:noHBand="0" w:noVBand="1"/>
        <w:tblCaption w:val="Efficacy results of adalimumab trials (PASI 75 and DLQI)"/>
      </w:tblPr>
      <w:tblGrid>
        <w:gridCol w:w="795"/>
        <w:gridCol w:w="989"/>
        <w:gridCol w:w="2607"/>
        <w:gridCol w:w="5527"/>
        <w:gridCol w:w="1983"/>
        <w:gridCol w:w="2345"/>
      </w:tblGrid>
      <w:tr w:rsidR="00047298" w:rsidRPr="00061F78" w:rsidTr="00CB3AFC">
        <w:trPr>
          <w:trHeight w:val="299"/>
          <w:tblHeader/>
        </w:trPr>
        <w:tc>
          <w:tcPr>
            <w:tcW w:w="279" w:type="pct"/>
            <w:shd w:val="clear" w:color="auto" w:fill="BFBFBF" w:themeFill="background1" w:themeFillShade="BF"/>
            <w:tcMar>
              <w:left w:w="28" w:type="dxa"/>
              <w:right w:w="28" w:type="dxa"/>
            </w:tcMar>
          </w:tcPr>
          <w:p w:rsidR="00761ECA" w:rsidRPr="00061F78" w:rsidRDefault="00761ECA" w:rsidP="00D3172F">
            <w:pPr>
              <w:pStyle w:val="Tableheading"/>
              <w:rPr>
                <w:rFonts w:eastAsia="MS Mincho"/>
              </w:rPr>
            </w:pPr>
            <w:r>
              <w:rPr>
                <w:rFonts w:eastAsia="MS Mincho"/>
              </w:rPr>
              <w:t>Study</w:t>
            </w:r>
          </w:p>
        </w:tc>
        <w:tc>
          <w:tcPr>
            <w:tcW w:w="347" w:type="pct"/>
            <w:shd w:val="clear" w:color="auto" w:fill="BFBFBF" w:themeFill="background1" w:themeFillShade="BF"/>
          </w:tcPr>
          <w:p w:rsidR="00761ECA" w:rsidRDefault="00761ECA" w:rsidP="00D3172F">
            <w:pPr>
              <w:pStyle w:val="Tableheading"/>
              <w:jc w:val="center"/>
              <w:rPr>
                <w:rFonts w:eastAsia="MS Mincho"/>
              </w:rPr>
            </w:pPr>
            <w:r>
              <w:rPr>
                <w:rFonts w:eastAsia="MS Mincho"/>
              </w:rPr>
              <w:t>Study type</w:t>
            </w:r>
          </w:p>
        </w:tc>
        <w:tc>
          <w:tcPr>
            <w:tcW w:w="915" w:type="pct"/>
            <w:shd w:val="clear" w:color="auto" w:fill="BFBFBF" w:themeFill="background1" w:themeFillShade="BF"/>
            <w:tcMar>
              <w:left w:w="28" w:type="dxa"/>
              <w:right w:w="28" w:type="dxa"/>
            </w:tcMar>
          </w:tcPr>
          <w:p w:rsidR="00761ECA" w:rsidRPr="002E1796" w:rsidRDefault="00761ECA" w:rsidP="00D3172F">
            <w:pPr>
              <w:pStyle w:val="Tableheading"/>
              <w:jc w:val="center"/>
              <w:rPr>
                <w:rFonts w:eastAsia="MS Mincho"/>
              </w:rPr>
            </w:pPr>
            <w:r w:rsidRPr="005A1EEB">
              <w:rPr>
                <w:rFonts w:eastAsia="MS Mincho"/>
              </w:rPr>
              <w:t>Subgroup title/N</w:t>
            </w:r>
            <w:r w:rsidRPr="005A1EEB">
              <w:rPr>
                <w:rFonts w:eastAsia="MS Mincho"/>
                <w:vertAlign w:val="superscript"/>
              </w:rPr>
              <w:t>1</w:t>
            </w:r>
          </w:p>
        </w:tc>
        <w:tc>
          <w:tcPr>
            <w:tcW w:w="1940" w:type="pct"/>
            <w:shd w:val="clear" w:color="auto" w:fill="BFBFBF" w:themeFill="background1" w:themeFillShade="BF"/>
            <w:tcMar>
              <w:left w:w="28" w:type="dxa"/>
              <w:right w:w="28" w:type="dxa"/>
            </w:tcMar>
          </w:tcPr>
          <w:p w:rsidR="00761ECA" w:rsidRPr="00061F78" w:rsidRDefault="00761ECA" w:rsidP="00D3172F">
            <w:pPr>
              <w:pStyle w:val="Tableheading"/>
              <w:jc w:val="center"/>
              <w:rPr>
                <w:rFonts w:eastAsia="MS Mincho"/>
              </w:rPr>
            </w:pPr>
            <w:r w:rsidRPr="00061F78">
              <w:rPr>
                <w:rFonts w:eastAsia="MS Mincho"/>
              </w:rPr>
              <w:t>P</w:t>
            </w:r>
            <w:r>
              <w:rPr>
                <w:rFonts w:eastAsia="MS Mincho"/>
              </w:rPr>
              <w:t>opulation</w:t>
            </w:r>
          </w:p>
        </w:tc>
        <w:tc>
          <w:tcPr>
            <w:tcW w:w="696" w:type="pct"/>
            <w:shd w:val="clear" w:color="auto" w:fill="BFBFBF" w:themeFill="background1" w:themeFillShade="BF"/>
          </w:tcPr>
          <w:p w:rsidR="00761ECA" w:rsidRDefault="00761ECA" w:rsidP="00D3172F">
            <w:pPr>
              <w:pStyle w:val="Tableheading"/>
              <w:jc w:val="center"/>
              <w:rPr>
                <w:rFonts w:eastAsia="MS Mincho"/>
              </w:rPr>
            </w:pPr>
            <w:r>
              <w:rPr>
                <w:rFonts w:eastAsia="MS Mincho"/>
              </w:rPr>
              <w:t>Intervention and comparator</w:t>
            </w:r>
          </w:p>
        </w:tc>
        <w:tc>
          <w:tcPr>
            <w:tcW w:w="823" w:type="pct"/>
            <w:shd w:val="clear" w:color="auto" w:fill="BFBFBF" w:themeFill="background1" w:themeFillShade="BF"/>
            <w:tcMar>
              <w:left w:w="28" w:type="dxa"/>
              <w:right w:w="28" w:type="dxa"/>
            </w:tcMar>
          </w:tcPr>
          <w:p w:rsidR="00761ECA" w:rsidRPr="00061F78" w:rsidRDefault="00761ECA" w:rsidP="00D3172F">
            <w:pPr>
              <w:pStyle w:val="Tableheading"/>
              <w:jc w:val="center"/>
              <w:rPr>
                <w:rFonts w:eastAsia="MS Mincho"/>
              </w:rPr>
            </w:pPr>
            <w:r>
              <w:rPr>
                <w:rFonts w:eastAsia="MS Mincho"/>
              </w:rPr>
              <w:t>Outcomes</w:t>
            </w:r>
          </w:p>
        </w:tc>
      </w:tr>
      <w:tr w:rsidR="005C40E4" w:rsidRPr="00061F78" w:rsidTr="007231A4">
        <w:trPr>
          <w:trHeight w:val="299"/>
        </w:trPr>
        <w:tc>
          <w:tcPr>
            <w:tcW w:w="5000" w:type="pct"/>
            <w:gridSpan w:val="6"/>
            <w:shd w:val="clear" w:color="auto" w:fill="auto"/>
            <w:tcMar>
              <w:left w:w="28" w:type="dxa"/>
              <w:right w:w="28" w:type="dxa"/>
            </w:tcMar>
          </w:tcPr>
          <w:p w:rsidR="005C40E4" w:rsidRDefault="005C40E4" w:rsidP="005C40E4">
            <w:pPr>
              <w:pStyle w:val="Tableheading"/>
              <w:rPr>
                <w:rFonts w:eastAsia="MS Mincho"/>
              </w:rPr>
            </w:pPr>
            <w:r w:rsidRPr="00EC2FFC">
              <w:rPr>
                <w:rFonts w:eastAsia="MS Mincho"/>
              </w:rPr>
              <w:t>Patch therapy (monotherapy)</w:t>
            </w:r>
          </w:p>
        </w:tc>
      </w:tr>
      <w:tr w:rsidR="00761ECA" w:rsidRPr="00061F78" w:rsidTr="00CB3AFC">
        <w:trPr>
          <w:trHeight w:val="149"/>
        </w:trPr>
        <w:tc>
          <w:tcPr>
            <w:tcW w:w="279" w:type="pct"/>
            <w:tcMar>
              <w:left w:w="28" w:type="dxa"/>
              <w:right w:w="28" w:type="dxa"/>
            </w:tcMar>
          </w:tcPr>
          <w:p w:rsidR="00761ECA" w:rsidRPr="00687B43" w:rsidRDefault="00761ECA" w:rsidP="00D3172F">
            <w:pPr>
              <w:pStyle w:val="Tablewriting"/>
              <w:rPr>
                <w:rFonts w:eastAsia="MS Mincho"/>
              </w:rPr>
            </w:pPr>
            <w:r w:rsidRPr="00687B43">
              <w:t>Lindson (2019)</w:t>
            </w:r>
          </w:p>
        </w:tc>
        <w:tc>
          <w:tcPr>
            <w:tcW w:w="347" w:type="pct"/>
          </w:tcPr>
          <w:p w:rsidR="00761ECA" w:rsidRPr="00992D9B" w:rsidRDefault="00761ECA" w:rsidP="00D3172F">
            <w:pPr>
              <w:pStyle w:val="Tablewriting"/>
              <w:rPr>
                <w:rFonts w:eastAsia="MS Mincho"/>
              </w:rPr>
            </w:pPr>
            <w:r w:rsidRPr="00992D9B">
              <w:rPr>
                <w:rFonts w:eastAsia="MS Mincho"/>
              </w:rPr>
              <w:t xml:space="preserve">Cochrane </w:t>
            </w:r>
            <w:r w:rsidR="00C9488D">
              <w:rPr>
                <w:rFonts w:eastAsia="MS Mincho"/>
              </w:rPr>
              <w:t>R</w:t>
            </w:r>
            <w:r w:rsidRPr="00992D9B">
              <w:rPr>
                <w:rFonts w:eastAsia="MS Mincho"/>
              </w:rPr>
              <w:t xml:space="preserve">eview </w:t>
            </w:r>
          </w:p>
          <w:p w:rsidR="00761ECA" w:rsidRPr="00186C2B" w:rsidRDefault="00761ECA" w:rsidP="00D3172F">
            <w:pPr>
              <w:pStyle w:val="Tablewriting"/>
              <w:rPr>
                <w:rFonts w:eastAsia="MS Mincho"/>
                <w:highlight w:val="yellow"/>
              </w:rPr>
            </w:pPr>
            <w:r w:rsidRPr="00992D9B">
              <w:rPr>
                <w:rFonts w:eastAsia="MS Mincho"/>
              </w:rPr>
              <w:t>(7 RCTs</w:t>
            </w:r>
            <w:r w:rsidRPr="00992D9B">
              <w:rPr>
                <w:rFonts w:eastAsia="MS Mincho"/>
                <w:vertAlign w:val="superscript"/>
              </w:rPr>
              <w:t>2</w:t>
            </w:r>
            <w:r w:rsidRPr="00992D9B">
              <w:rPr>
                <w:rFonts w:eastAsia="MS Mincho"/>
              </w:rPr>
              <w:t>)</w:t>
            </w:r>
          </w:p>
        </w:tc>
        <w:tc>
          <w:tcPr>
            <w:tcW w:w="915" w:type="pct"/>
            <w:tcMar>
              <w:left w:w="28" w:type="dxa"/>
              <w:right w:w="28" w:type="dxa"/>
            </w:tcMar>
          </w:tcPr>
          <w:p w:rsidR="00761ECA" w:rsidRDefault="00761ECA" w:rsidP="00D3172F">
            <w:pPr>
              <w:pStyle w:val="Tablewriting"/>
              <w:rPr>
                <w:rFonts w:eastAsia="MS Mincho"/>
                <w:u w:val="single"/>
              </w:rPr>
            </w:pPr>
            <w:r w:rsidRPr="00992D9B">
              <w:rPr>
                <w:rFonts w:eastAsia="MS Mincho"/>
                <w:u w:val="single"/>
              </w:rPr>
              <w:t>52 weeks versus 24 weeks</w:t>
            </w:r>
          </w:p>
          <w:p w:rsidR="00761ECA" w:rsidRPr="00162380" w:rsidRDefault="00761ECA" w:rsidP="00D3172F">
            <w:pPr>
              <w:pStyle w:val="Tablewriting"/>
              <w:rPr>
                <w:rFonts w:eastAsia="MS Mincho"/>
              </w:rPr>
            </w:pPr>
            <w:r w:rsidRPr="00992D9B">
              <w:rPr>
                <w:rFonts w:eastAsia="MS Mincho"/>
              </w:rPr>
              <w:t>N=</w:t>
            </w:r>
            <w:r>
              <w:rPr>
                <w:rFonts w:eastAsia="MS Mincho"/>
              </w:rPr>
              <w:t xml:space="preserve"> 345 </w:t>
            </w:r>
            <w:r w:rsidRPr="00992D9B">
              <w:rPr>
                <w:rFonts w:eastAsia="MS Mincho"/>
              </w:rPr>
              <w:t>(</w:t>
            </w:r>
            <w:r>
              <w:rPr>
                <w:rFonts w:eastAsia="MS Mincho"/>
              </w:rPr>
              <w:t xml:space="preserve">1 </w:t>
            </w:r>
            <w:r w:rsidRPr="00992D9B">
              <w:rPr>
                <w:rFonts w:eastAsia="MS Mincho"/>
              </w:rPr>
              <w:t>RCT)</w:t>
            </w:r>
          </w:p>
          <w:p w:rsidR="00761ECA" w:rsidRDefault="00761ECA" w:rsidP="00D3172F">
            <w:pPr>
              <w:pStyle w:val="Tablewriting"/>
              <w:rPr>
                <w:rFonts w:eastAsia="MS Mincho"/>
                <w:u w:val="single"/>
              </w:rPr>
            </w:pPr>
            <w:r w:rsidRPr="00992D9B">
              <w:rPr>
                <w:rFonts w:eastAsia="MS Mincho"/>
                <w:u w:val="single"/>
              </w:rPr>
              <w:t>52 weeks versus 8 weeks</w:t>
            </w:r>
          </w:p>
          <w:p w:rsidR="00761ECA" w:rsidRPr="00162380" w:rsidRDefault="00761ECA" w:rsidP="00D3172F">
            <w:pPr>
              <w:pStyle w:val="Tablewriting"/>
              <w:rPr>
                <w:rFonts w:eastAsia="MS Mincho"/>
              </w:rPr>
            </w:pPr>
            <w:r w:rsidRPr="00992D9B">
              <w:rPr>
                <w:rFonts w:eastAsia="MS Mincho"/>
              </w:rPr>
              <w:t>N=</w:t>
            </w:r>
            <w:r>
              <w:rPr>
                <w:rFonts w:eastAsia="MS Mincho"/>
              </w:rPr>
              <w:t xml:space="preserve"> 352 </w:t>
            </w:r>
            <w:r w:rsidRPr="00992D9B">
              <w:rPr>
                <w:rFonts w:eastAsia="MS Mincho"/>
              </w:rPr>
              <w:t>(</w:t>
            </w:r>
            <w:r>
              <w:rPr>
                <w:rFonts w:eastAsia="MS Mincho"/>
              </w:rPr>
              <w:t>1</w:t>
            </w:r>
            <w:r w:rsidRPr="00992D9B">
              <w:rPr>
                <w:rFonts w:eastAsia="MS Mincho"/>
              </w:rPr>
              <w:t xml:space="preserve"> RCT)</w:t>
            </w:r>
          </w:p>
          <w:p w:rsidR="00761ECA" w:rsidRDefault="00761ECA" w:rsidP="00D3172F">
            <w:pPr>
              <w:pStyle w:val="Tablewriting"/>
              <w:rPr>
                <w:rFonts w:eastAsia="MS Mincho"/>
                <w:u w:val="single"/>
              </w:rPr>
            </w:pPr>
            <w:r w:rsidRPr="00992D9B">
              <w:rPr>
                <w:rFonts w:eastAsia="MS Mincho"/>
                <w:u w:val="single"/>
              </w:rPr>
              <w:t>28 weeks versus 12 weeks</w:t>
            </w:r>
          </w:p>
          <w:p w:rsidR="00761ECA" w:rsidRPr="00162380" w:rsidRDefault="00761ECA" w:rsidP="00D3172F">
            <w:pPr>
              <w:pStyle w:val="Tablewriting"/>
              <w:rPr>
                <w:rFonts w:eastAsia="MS Mincho"/>
              </w:rPr>
            </w:pPr>
            <w:r w:rsidRPr="00992D9B">
              <w:rPr>
                <w:rFonts w:eastAsia="MS Mincho"/>
              </w:rPr>
              <w:t>N=</w:t>
            </w:r>
            <w:r>
              <w:rPr>
                <w:rFonts w:eastAsia="MS Mincho"/>
              </w:rPr>
              <w:t xml:space="preserve"> 2</w:t>
            </w:r>
            <w:r w:rsidR="00FF4CF0">
              <w:rPr>
                <w:rFonts w:eastAsia="MS Mincho"/>
              </w:rPr>
              <w:t>,</w:t>
            </w:r>
            <w:r>
              <w:rPr>
                <w:rFonts w:eastAsia="MS Mincho"/>
              </w:rPr>
              <w:t xml:space="preserve">861 </w:t>
            </w:r>
            <w:r w:rsidRPr="00992D9B">
              <w:rPr>
                <w:rFonts w:eastAsia="MS Mincho"/>
              </w:rPr>
              <w:t>(</w:t>
            </w:r>
            <w:r>
              <w:rPr>
                <w:rFonts w:eastAsia="MS Mincho"/>
              </w:rPr>
              <w:t>1</w:t>
            </w:r>
            <w:r w:rsidRPr="00992D9B">
              <w:rPr>
                <w:rFonts w:eastAsia="MS Mincho"/>
              </w:rPr>
              <w:t xml:space="preserve"> RCT)</w:t>
            </w:r>
          </w:p>
          <w:p w:rsidR="00761ECA" w:rsidRDefault="00761ECA" w:rsidP="00D3172F">
            <w:pPr>
              <w:pStyle w:val="Tablewriting"/>
              <w:rPr>
                <w:rFonts w:eastAsia="MS Mincho"/>
                <w:u w:val="single"/>
              </w:rPr>
            </w:pPr>
            <w:r w:rsidRPr="00992D9B">
              <w:rPr>
                <w:rFonts w:eastAsia="MS Mincho"/>
                <w:u w:val="single"/>
              </w:rPr>
              <w:t>24 weeks versus 8 weeks</w:t>
            </w:r>
          </w:p>
          <w:p w:rsidR="00761ECA" w:rsidRPr="00162380" w:rsidRDefault="00761ECA" w:rsidP="00D3172F">
            <w:pPr>
              <w:pStyle w:val="Tablewriting"/>
              <w:rPr>
                <w:rFonts w:eastAsia="MS Mincho"/>
              </w:rPr>
            </w:pPr>
            <w:r w:rsidRPr="00992D9B">
              <w:rPr>
                <w:rFonts w:eastAsia="MS Mincho"/>
              </w:rPr>
              <w:t>N=</w:t>
            </w:r>
            <w:r>
              <w:rPr>
                <w:rFonts w:eastAsia="MS Mincho"/>
              </w:rPr>
              <w:t xml:space="preserve"> 921 </w:t>
            </w:r>
            <w:r w:rsidRPr="00992D9B">
              <w:rPr>
                <w:rFonts w:eastAsia="MS Mincho"/>
              </w:rPr>
              <w:t>(</w:t>
            </w:r>
            <w:r>
              <w:rPr>
                <w:rFonts w:eastAsia="MS Mincho"/>
              </w:rPr>
              <w:t xml:space="preserve">2 </w:t>
            </w:r>
            <w:r w:rsidRPr="00992D9B">
              <w:rPr>
                <w:rFonts w:eastAsia="MS Mincho"/>
              </w:rPr>
              <w:t>RCT</w:t>
            </w:r>
            <w:r w:rsidR="00FF4CF0">
              <w:rPr>
                <w:rFonts w:eastAsia="MS Mincho"/>
              </w:rPr>
              <w:t>s</w:t>
            </w:r>
            <w:r w:rsidRPr="00992D9B">
              <w:rPr>
                <w:rFonts w:eastAsia="MS Mincho"/>
              </w:rPr>
              <w:t>)</w:t>
            </w:r>
          </w:p>
          <w:p w:rsidR="00761ECA" w:rsidRDefault="00761ECA" w:rsidP="00D3172F">
            <w:pPr>
              <w:pStyle w:val="Tablewriting"/>
              <w:rPr>
                <w:rFonts w:eastAsia="MS Mincho"/>
                <w:u w:val="single"/>
              </w:rPr>
            </w:pPr>
            <w:r w:rsidRPr="00992D9B">
              <w:rPr>
                <w:rFonts w:eastAsia="MS Mincho"/>
                <w:u w:val="single"/>
              </w:rPr>
              <w:t>12 weeks versus 6 weeks</w:t>
            </w:r>
          </w:p>
          <w:p w:rsidR="00761ECA" w:rsidRPr="00162380" w:rsidRDefault="00761ECA" w:rsidP="00D3172F">
            <w:pPr>
              <w:pStyle w:val="Tablewriting"/>
              <w:rPr>
                <w:rFonts w:eastAsia="MS Mincho"/>
              </w:rPr>
            </w:pPr>
            <w:r w:rsidRPr="00992D9B">
              <w:rPr>
                <w:rFonts w:eastAsia="MS Mincho"/>
              </w:rPr>
              <w:t>N=</w:t>
            </w:r>
            <w:r>
              <w:rPr>
                <w:rFonts w:eastAsia="MS Mincho"/>
              </w:rPr>
              <w:t xml:space="preserve"> 140 </w:t>
            </w:r>
            <w:r w:rsidRPr="00992D9B">
              <w:rPr>
                <w:rFonts w:eastAsia="MS Mincho"/>
              </w:rPr>
              <w:t>(</w:t>
            </w:r>
            <w:r>
              <w:rPr>
                <w:rFonts w:eastAsia="MS Mincho"/>
              </w:rPr>
              <w:t>1</w:t>
            </w:r>
            <w:r w:rsidRPr="00992D9B">
              <w:rPr>
                <w:rFonts w:eastAsia="MS Mincho"/>
              </w:rPr>
              <w:t xml:space="preserve"> RCT)</w:t>
            </w:r>
          </w:p>
          <w:p w:rsidR="00761ECA" w:rsidRDefault="00761ECA" w:rsidP="00D3172F">
            <w:pPr>
              <w:pStyle w:val="Tablewriting"/>
              <w:rPr>
                <w:rFonts w:eastAsia="MS Mincho"/>
                <w:u w:val="single"/>
              </w:rPr>
            </w:pPr>
            <w:r w:rsidRPr="00992D9B">
              <w:rPr>
                <w:rFonts w:eastAsia="MS Mincho"/>
                <w:u w:val="single"/>
              </w:rPr>
              <w:t>12 weeks versus 3 weeks</w:t>
            </w:r>
          </w:p>
          <w:p w:rsidR="00761ECA" w:rsidRPr="00162380" w:rsidRDefault="00761ECA" w:rsidP="00D3172F">
            <w:pPr>
              <w:pStyle w:val="Tablewriting"/>
              <w:rPr>
                <w:rFonts w:eastAsia="MS Mincho"/>
              </w:rPr>
            </w:pPr>
            <w:r w:rsidRPr="00992D9B">
              <w:rPr>
                <w:rFonts w:eastAsia="MS Mincho"/>
              </w:rPr>
              <w:t>N=</w:t>
            </w:r>
            <w:r>
              <w:rPr>
                <w:rFonts w:eastAsia="MS Mincho"/>
              </w:rPr>
              <w:t xml:space="preserve"> 98 </w:t>
            </w:r>
            <w:r w:rsidRPr="00992D9B">
              <w:rPr>
                <w:rFonts w:eastAsia="MS Mincho"/>
              </w:rPr>
              <w:t>(</w:t>
            </w:r>
            <w:r>
              <w:rPr>
                <w:rFonts w:eastAsia="MS Mincho"/>
              </w:rPr>
              <w:t xml:space="preserve">1 </w:t>
            </w:r>
            <w:r w:rsidRPr="00992D9B">
              <w:rPr>
                <w:rFonts w:eastAsia="MS Mincho"/>
              </w:rPr>
              <w:t>RCT)</w:t>
            </w:r>
          </w:p>
          <w:p w:rsidR="00761ECA" w:rsidRDefault="00761ECA" w:rsidP="00D3172F">
            <w:pPr>
              <w:pStyle w:val="Tablewriting"/>
              <w:rPr>
                <w:rFonts w:eastAsia="MS Mincho"/>
                <w:u w:val="single"/>
              </w:rPr>
            </w:pPr>
            <w:r w:rsidRPr="00992D9B">
              <w:rPr>
                <w:rFonts w:eastAsia="MS Mincho"/>
                <w:u w:val="single"/>
              </w:rPr>
              <w:t>6 weeks versus 4 weeks</w:t>
            </w:r>
          </w:p>
          <w:p w:rsidR="00761ECA" w:rsidRPr="00162380" w:rsidRDefault="00761ECA" w:rsidP="00D3172F">
            <w:pPr>
              <w:pStyle w:val="Tablewriting"/>
              <w:rPr>
                <w:rFonts w:eastAsia="MS Mincho"/>
              </w:rPr>
            </w:pPr>
            <w:r w:rsidRPr="00992D9B">
              <w:rPr>
                <w:rFonts w:eastAsia="MS Mincho"/>
              </w:rPr>
              <w:t>N=</w:t>
            </w:r>
            <w:r>
              <w:rPr>
                <w:rFonts w:eastAsia="MS Mincho"/>
              </w:rPr>
              <w:t xml:space="preserve"> 1</w:t>
            </w:r>
            <w:r w:rsidR="00AA2A1D">
              <w:rPr>
                <w:rFonts w:eastAsia="MS Mincho"/>
              </w:rPr>
              <w:t>,</w:t>
            </w:r>
            <w:r>
              <w:rPr>
                <w:rFonts w:eastAsia="MS Mincho"/>
              </w:rPr>
              <w:t xml:space="preserve">873 </w:t>
            </w:r>
            <w:r w:rsidRPr="00992D9B">
              <w:rPr>
                <w:rFonts w:eastAsia="MS Mincho"/>
              </w:rPr>
              <w:t>(</w:t>
            </w:r>
            <w:r>
              <w:rPr>
                <w:rFonts w:eastAsia="MS Mincho"/>
              </w:rPr>
              <w:t>1</w:t>
            </w:r>
            <w:r w:rsidRPr="00992D9B">
              <w:rPr>
                <w:rFonts w:eastAsia="MS Mincho"/>
              </w:rPr>
              <w:t xml:space="preserve"> RCT)</w:t>
            </w:r>
          </w:p>
          <w:p w:rsidR="00761ECA" w:rsidRDefault="00761ECA" w:rsidP="00D3172F">
            <w:pPr>
              <w:pStyle w:val="Tablewriting"/>
              <w:rPr>
                <w:rFonts w:eastAsia="MS Mincho"/>
                <w:u w:val="single"/>
              </w:rPr>
            </w:pPr>
            <w:r w:rsidRPr="00992D9B">
              <w:rPr>
                <w:rFonts w:eastAsia="MS Mincho"/>
                <w:u w:val="single"/>
              </w:rPr>
              <w:t>6 weeks versus 2 - 3 weeks</w:t>
            </w:r>
          </w:p>
          <w:p w:rsidR="00761ECA" w:rsidRPr="00162380" w:rsidRDefault="00761ECA" w:rsidP="00D3172F">
            <w:pPr>
              <w:pStyle w:val="Tablewriting"/>
              <w:rPr>
                <w:rFonts w:eastAsia="MS Mincho"/>
              </w:rPr>
            </w:pPr>
            <w:r w:rsidRPr="00992D9B">
              <w:rPr>
                <w:rFonts w:eastAsia="MS Mincho"/>
              </w:rPr>
              <w:t>N=</w:t>
            </w:r>
            <w:r>
              <w:rPr>
                <w:rFonts w:eastAsia="MS Mincho"/>
              </w:rPr>
              <w:t xml:space="preserve"> 1</w:t>
            </w:r>
            <w:r w:rsidR="00AA2A1D">
              <w:rPr>
                <w:rFonts w:eastAsia="MS Mincho"/>
              </w:rPr>
              <w:t>,</w:t>
            </w:r>
            <w:r>
              <w:rPr>
                <w:rFonts w:eastAsia="MS Mincho"/>
              </w:rPr>
              <w:t xml:space="preserve">957 </w:t>
            </w:r>
            <w:r w:rsidRPr="00992D9B">
              <w:rPr>
                <w:rFonts w:eastAsia="MS Mincho"/>
              </w:rPr>
              <w:t>(</w:t>
            </w:r>
            <w:r>
              <w:rPr>
                <w:rFonts w:eastAsia="MS Mincho"/>
              </w:rPr>
              <w:t>2</w:t>
            </w:r>
            <w:r w:rsidRPr="00992D9B">
              <w:rPr>
                <w:rFonts w:eastAsia="MS Mincho"/>
              </w:rPr>
              <w:t xml:space="preserve"> RCT</w:t>
            </w:r>
            <w:r w:rsidR="00AA2A1D">
              <w:rPr>
                <w:rFonts w:eastAsia="MS Mincho"/>
              </w:rPr>
              <w:t>s</w:t>
            </w:r>
            <w:r w:rsidRPr="00992D9B">
              <w:rPr>
                <w:rFonts w:eastAsia="MS Mincho"/>
              </w:rPr>
              <w:t>)</w:t>
            </w:r>
          </w:p>
          <w:p w:rsidR="00761ECA" w:rsidRDefault="00761ECA" w:rsidP="00D3172F">
            <w:pPr>
              <w:pStyle w:val="Tablewriting"/>
              <w:rPr>
                <w:rFonts w:eastAsia="MS Mincho"/>
                <w:u w:val="single"/>
              </w:rPr>
            </w:pPr>
            <w:r w:rsidRPr="00992D9B">
              <w:rPr>
                <w:rFonts w:eastAsia="MS Mincho"/>
                <w:u w:val="single"/>
              </w:rPr>
              <w:t>4 weeks versus 2 weeks</w:t>
            </w:r>
          </w:p>
          <w:p w:rsidR="00761ECA" w:rsidRPr="00F4262F" w:rsidRDefault="00761ECA" w:rsidP="00D3172F">
            <w:pPr>
              <w:pStyle w:val="Tablewriting"/>
              <w:rPr>
                <w:rFonts w:eastAsia="MS Mincho"/>
              </w:rPr>
            </w:pPr>
            <w:r w:rsidRPr="00992D9B">
              <w:rPr>
                <w:rFonts w:eastAsia="MS Mincho"/>
              </w:rPr>
              <w:t>N=</w:t>
            </w:r>
            <w:r>
              <w:rPr>
                <w:rFonts w:eastAsia="MS Mincho"/>
              </w:rPr>
              <w:t xml:space="preserve"> 1</w:t>
            </w:r>
            <w:r w:rsidR="00AA2A1D">
              <w:rPr>
                <w:rFonts w:eastAsia="MS Mincho"/>
              </w:rPr>
              <w:t>,</w:t>
            </w:r>
            <w:r>
              <w:rPr>
                <w:rFonts w:eastAsia="MS Mincho"/>
              </w:rPr>
              <w:t xml:space="preserve">862 </w:t>
            </w:r>
            <w:r w:rsidRPr="00992D9B">
              <w:rPr>
                <w:rFonts w:eastAsia="MS Mincho"/>
              </w:rPr>
              <w:t>(</w:t>
            </w:r>
            <w:r>
              <w:rPr>
                <w:rFonts w:eastAsia="MS Mincho"/>
              </w:rPr>
              <w:t xml:space="preserve">1 </w:t>
            </w:r>
            <w:r w:rsidRPr="00992D9B">
              <w:rPr>
                <w:rFonts w:eastAsia="MS Mincho"/>
              </w:rPr>
              <w:t>RCT)</w:t>
            </w:r>
          </w:p>
        </w:tc>
        <w:tc>
          <w:tcPr>
            <w:tcW w:w="1940" w:type="pct"/>
            <w:tcMar>
              <w:left w:w="28" w:type="dxa"/>
              <w:right w:w="28" w:type="dxa"/>
            </w:tcMar>
          </w:tcPr>
          <w:p w:rsidR="00761ECA" w:rsidRPr="00A4015C" w:rsidRDefault="00761ECA" w:rsidP="00D3172F">
            <w:pPr>
              <w:pStyle w:val="Tablewriting"/>
              <w:rPr>
                <w:rFonts w:eastAsia="MS Mincho"/>
              </w:rPr>
            </w:pPr>
            <w:r w:rsidRPr="00A4015C">
              <w:rPr>
                <w:rFonts w:eastAsia="MS Mincho"/>
                <w:u w:val="single"/>
              </w:rPr>
              <w:t>Inclusion</w:t>
            </w:r>
            <w:r w:rsidRPr="00A4015C">
              <w:rPr>
                <w:rFonts w:eastAsia="MS Mincho"/>
              </w:rPr>
              <w:t>:</w:t>
            </w:r>
          </w:p>
          <w:p w:rsidR="00761ECA" w:rsidRPr="00A4015C" w:rsidRDefault="00761ECA" w:rsidP="00D3172F">
            <w:pPr>
              <w:pStyle w:val="Tablewriting"/>
              <w:rPr>
                <w:rFonts w:eastAsia="MS Mincho"/>
              </w:rPr>
            </w:pPr>
            <w:r w:rsidRPr="00A4015C">
              <w:rPr>
                <w:rFonts w:eastAsia="MS Mincho"/>
              </w:rPr>
              <w:t>Adult smokers with an average age of approximately 45, who smoked at least 15 cigarettes a day</w:t>
            </w:r>
            <w:r w:rsidR="002A78FB">
              <w:rPr>
                <w:rFonts w:eastAsia="MS Mincho"/>
              </w:rPr>
              <w:t>,</w:t>
            </w:r>
            <w:r w:rsidRPr="00A4015C">
              <w:rPr>
                <w:rFonts w:eastAsia="MS Mincho"/>
              </w:rPr>
              <w:t xml:space="preserve"> </w:t>
            </w:r>
            <w:r w:rsidR="002A78FB" w:rsidRPr="00A4015C">
              <w:rPr>
                <w:rFonts w:eastAsia="MS Mincho"/>
              </w:rPr>
              <w:t>s</w:t>
            </w:r>
            <w:r w:rsidRPr="00A4015C">
              <w:rPr>
                <w:rFonts w:eastAsia="MS Mincho"/>
              </w:rPr>
              <w:t xml:space="preserve">tudies lasted for at least six months. </w:t>
            </w:r>
          </w:p>
          <w:p w:rsidR="00761ECA" w:rsidRPr="00186C2B" w:rsidRDefault="00761ECA" w:rsidP="00D3172F">
            <w:pPr>
              <w:pStyle w:val="Tablewriting"/>
              <w:rPr>
                <w:rFonts w:eastAsia="MS Mincho"/>
                <w:highlight w:val="yellow"/>
              </w:rPr>
            </w:pPr>
            <w:r w:rsidRPr="00A4015C">
              <w:rPr>
                <w:rFonts w:eastAsia="MS Mincho"/>
                <w:u w:val="single"/>
              </w:rPr>
              <w:t>Exclusion</w:t>
            </w:r>
            <w:r w:rsidRPr="00A4015C">
              <w:rPr>
                <w:rFonts w:eastAsia="MS Mincho"/>
              </w:rPr>
              <w:t>: Trials that did not assess cessation as an outcome, with follow-up less than six months, and with additional intervention components not matched between arms. Trials comparing NRT to control, and trials comparing NRT to other pharmacotherapies.</w:t>
            </w:r>
            <w:r w:rsidRPr="00186C2B">
              <w:rPr>
                <w:rFonts w:eastAsia="MS Mincho"/>
                <w:highlight w:val="yellow"/>
              </w:rPr>
              <w:t xml:space="preserve"> </w:t>
            </w:r>
          </w:p>
        </w:tc>
        <w:tc>
          <w:tcPr>
            <w:tcW w:w="696" w:type="pct"/>
          </w:tcPr>
          <w:p w:rsidR="00761ECA" w:rsidRPr="00186C2B" w:rsidRDefault="00761ECA" w:rsidP="00D3172F">
            <w:pPr>
              <w:pStyle w:val="Tablewriting"/>
              <w:rPr>
                <w:rFonts w:eastAsia="MS Mincho"/>
                <w:highlight w:val="yellow"/>
              </w:rPr>
            </w:pPr>
            <w:r w:rsidRPr="006B5D28">
              <w:rPr>
                <w:rFonts w:eastAsia="MS Mincho"/>
              </w:rPr>
              <w:t xml:space="preserve">Longer duration </w:t>
            </w:r>
            <w:r>
              <w:rPr>
                <w:rFonts w:eastAsia="MS Mincho"/>
              </w:rPr>
              <w:t xml:space="preserve">patch </w:t>
            </w:r>
            <w:r w:rsidRPr="006B5D28">
              <w:rPr>
                <w:rFonts w:eastAsia="MS Mincho"/>
              </w:rPr>
              <w:t>versus shorter duration</w:t>
            </w:r>
            <w:r>
              <w:rPr>
                <w:rFonts w:eastAsia="MS Mincho"/>
              </w:rPr>
              <w:t xml:space="preserve"> patch</w:t>
            </w:r>
            <w:r w:rsidR="00ED0CBA">
              <w:rPr>
                <w:rFonts w:eastAsia="MS Mincho"/>
              </w:rPr>
              <w:t>.</w:t>
            </w:r>
          </w:p>
        </w:tc>
        <w:tc>
          <w:tcPr>
            <w:tcW w:w="823" w:type="pct"/>
            <w:tcMar>
              <w:left w:w="28" w:type="dxa"/>
              <w:right w:w="28" w:type="dxa"/>
            </w:tcMar>
          </w:tcPr>
          <w:p w:rsidR="00761ECA" w:rsidRPr="00A4015C" w:rsidRDefault="00761ECA" w:rsidP="00D3172F">
            <w:pPr>
              <w:pStyle w:val="Tablewriting"/>
              <w:rPr>
                <w:rFonts w:eastAsia="MS Mincho"/>
              </w:rPr>
            </w:pPr>
            <w:r w:rsidRPr="00A4015C">
              <w:rPr>
                <w:rFonts w:eastAsia="MS Mincho"/>
                <w:u w:val="single"/>
              </w:rPr>
              <w:t>Primary</w:t>
            </w:r>
            <w:r w:rsidRPr="00A4015C">
              <w:rPr>
                <w:rFonts w:eastAsia="MS Mincho"/>
              </w:rPr>
              <w:t>: smoking cessation rates of at least six months after baseline.</w:t>
            </w:r>
          </w:p>
          <w:p w:rsidR="00761ECA" w:rsidRPr="0050095A" w:rsidRDefault="00761ECA" w:rsidP="00D3172F">
            <w:pPr>
              <w:pStyle w:val="Tablewriting"/>
              <w:rPr>
                <w:rFonts w:eastAsia="MS Mincho"/>
                <w:u w:val="single"/>
              </w:rPr>
            </w:pPr>
            <w:r w:rsidRPr="00A4015C">
              <w:rPr>
                <w:rFonts w:eastAsia="MS Mincho"/>
                <w:u w:val="single"/>
              </w:rPr>
              <w:t>Secondary</w:t>
            </w:r>
            <w:r w:rsidRPr="00A4015C">
              <w:rPr>
                <w:rFonts w:eastAsia="MS Mincho"/>
              </w:rPr>
              <w:t>: safety including serious adverse events and withdrawals due to treatment.</w:t>
            </w:r>
          </w:p>
        </w:tc>
      </w:tr>
      <w:tr w:rsidR="002C55A8" w:rsidRPr="00061F78" w:rsidTr="007231A4">
        <w:trPr>
          <w:trHeight w:val="149"/>
        </w:trPr>
        <w:tc>
          <w:tcPr>
            <w:tcW w:w="5000" w:type="pct"/>
            <w:gridSpan w:val="6"/>
            <w:shd w:val="clear" w:color="auto" w:fill="auto"/>
            <w:tcMar>
              <w:left w:w="28" w:type="dxa"/>
              <w:right w:w="28" w:type="dxa"/>
            </w:tcMar>
          </w:tcPr>
          <w:p w:rsidR="002C55A8" w:rsidRPr="002C55A8" w:rsidRDefault="002C55A8" w:rsidP="00D3172F">
            <w:pPr>
              <w:pStyle w:val="Tablewriting"/>
              <w:rPr>
                <w:rFonts w:eastAsia="MS Mincho"/>
                <w:b/>
                <w:bCs/>
                <w:u w:val="single"/>
              </w:rPr>
            </w:pPr>
            <w:r w:rsidRPr="002C55A8">
              <w:rPr>
                <w:rFonts w:eastAsia="MS Mincho"/>
                <w:b/>
                <w:bCs/>
              </w:rPr>
              <w:t>Gum therapy (monotherapy)</w:t>
            </w:r>
          </w:p>
        </w:tc>
      </w:tr>
      <w:tr w:rsidR="00761ECA" w:rsidRPr="00061F78" w:rsidTr="00CB3AFC">
        <w:trPr>
          <w:trHeight w:val="149"/>
        </w:trPr>
        <w:tc>
          <w:tcPr>
            <w:tcW w:w="279" w:type="pct"/>
            <w:tcMar>
              <w:left w:w="28" w:type="dxa"/>
              <w:right w:w="28" w:type="dxa"/>
            </w:tcMar>
          </w:tcPr>
          <w:p w:rsidR="00761ECA" w:rsidRDefault="00761ECA" w:rsidP="00D3172F">
            <w:pPr>
              <w:pStyle w:val="Tablewriting"/>
              <w:rPr>
                <w:rFonts w:eastAsia="MS Mincho"/>
              </w:rPr>
            </w:pPr>
            <w:r>
              <w:t>Lindson</w:t>
            </w:r>
            <w:r w:rsidRPr="00713891">
              <w:t xml:space="preserve"> (201</w:t>
            </w:r>
            <w:r>
              <w:t>9</w:t>
            </w:r>
            <w:r w:rsidRPr="00713891">
              <w:t>)</w:t>
            </w:r>
          </w:p>
        </w:tc>
        <w:tc>
          <w:tcPr>
            <w:tcW w:w="347" w:type="pct"/>
          </w:tcPr>
          <w:p w:rsidR="00761ECA" w:rsidRPr="006B5D28" w:rsidRDefault="00761ECA" w:rsidP="00D3172F">
            <w:pPr>
              <w:pStyle w:val="Tablewriting"/>
              <w:rPr>
                <w:rFonts w:eastAsia="MS Mincho"/>
              </w:rPr>
            </w:pPr>
            <w:r w:rsidRPr="006B5D28">
              <w:rPr>
                <w:rFonts w:eastAsia="MS Mincho"/>
              </w:rPr>
              <w:t xml:space="preserve">Cochrane </w:t>
            </w:r>
            <w:r w:rsidR="00182742">
              <w:rPr>
                <w:rFonts w:eastAsia="MS Mincho"/>
              </w:rPr>
              <w:t>R</w:t>
            </w:r>
            <w:r w:rsidRPr="006B5D28">
              <w:rPr>
                <w:rFonts w:eastAsia="MS Mincho"/>
              </w:rPr>
              <w:t xml:space="preserve">eview </w:t>
            </w:r>
          </w:p>
          <w:p w:rsidR="00761ECA" w:rsidRPr="00186C2B" w:rsidRDefault="00761ECA" w:rsidP="00D3172F">
            <w:pPr>
              <w:pStyle w:val="Tablewriting"/>
              <w:rPr>
                <w:rFonts w:eastAsia="MS Mincho"/>
                <w:highlight w:val="yellow"/>
              </w:rPr>
            </w:pPr>
            <w:r w:rsidRPr="006B5D28">
              <w:rPr>
                <w:rFonts w:eastAsia="MS Mincho"/>
              </w:rPr>
              <w:t>(1 RCT</w:t>
            </w:r>
            <w:r w:rsidRPr="006B5D28">
              <w:rPr>
                <w:rFonts w:eastAsia="MS Mincho"/>
                <w:vertAlign w:val="superscript"/>
              </w:rPr>
              <w:t>2</w:t>
            </w:r>
            <w:r w:rsidRPr="006B5D28">
              <w:rPr>
                <w:rFonts w:eastAsia="MS Mincho"/>
              </w:rPr>
              <w:t>)</w:t>
            </w:r>
          </w:p>
        </w:tc>
        <w:tc>
          <w:tcPr>
            <w:tcW w:w="915" w:type="pct"/>
            <w:tcMar>
              <w:left w:w="28" w:type="dxa"/>
              <w:right w:w="28" w:type="dxa"/>
            </w:tcMar>
          </w:tcPr>
          <w:p w:rsidR="00761ECA" w:rsidRPr="00186C2B" w:rsidRDefault="00761ECA" w:rsidP="00D3172F">
            <w:pPr>
              <w:pStyle w:val="Tablewriting"/>
              <w:rPr>
                <w:rFonts w:eastAsia="MS Mincho"/>
                <w:highlight w:val="yellow"/>
                <w:u w:val="single"/>
              </w:rPr>
            </w:pPr>
            <w:r w:rsidRPr="006B5D28">
              <w:rPr>
                <w:rFonts w:eastAsia="MS Mincho"/>
                <w:u w:val="single"/>
              </w:rPr>
              <w:t>50 weeks versus 10 weeks gum</w:t>
            </w:r>
            <w:r w:rsidRPr="006B5D28">
              <w:rPr>
                <w:rFonts w:eastAsia="MS Mincho"/>
                <w:highlight w:val="yellow"/>
                <w:u w:val="single"/>
              </w:rPr>
              <w:t xml:space="preserve"> </w:t>
            </w:r>
          </w:p>
          <w:p w:rsidR="00761ECA" w:rsidRPr="00186C2B" w:rsidRDefault="00761ECA" w:rsidP="00D3172F">
            <w:pPr>
              <w:pStyle w:val="Tablewriting"/>
              <w:rPr>
                <w:rFonts w:eastAsia="MS Mincho"/>
                <w:highlight w:val="yellow"/>
              </w:rPr>
            </w:pPr>
            <w:r w:rsidRPr="005A1EEB">
              <w:rPr>
                <w:rFonts w:eastAsia="MS Mincho"/>
              </w:rPr>
              <w:t>N= 402</w:t>
            </w:r>
          </w:p>
        </w:tc>
        <w:tc>
          <w:tcPr>
            <w:tcW w:w="1940" w:type="pct"/>
            <w:tcMar>
              <w:left w:w="28" w:type="dxa"/>
              <w:right w:w="28" w:type="dxa"/>
            </w:tcMar>
          </w:tcPr>
          <w:p w:rsidR="00761ECA" w:rsidRPr="00175E73" w:rsidRDefault="00175E73" w:rsidP="00D3172F">
            <w:pPr>
              <w:pStyle w:val="Tablewriting"/>
              <w:rPr>
                <w:rFonts w:eastAsia="MS Mincho"/>
                <w:highlight w:val="yellow"/>
              </w:rPr>
            </w:pPr>
            <w:r w:rsidRPr="00175E73">
              <w:rPr>
                <w:rFonts w:eastAsia="MS Mincho"/>
              </w:rPr>
              <w:t>Same as patch (monotherapy)</w:t>
            </w:r>
            <w:r w:rsidR="00ED0CBA">
              <w:rPr>
                <w:rFonts w:eastAsia="MS Mincho"/>
              </w:rPr>
              <w:t>.</w:t>
            </w:r>
          </w:p>
        </w:tc>
        <w:tc>
          <w:tcPr>
            <w:tcW w:w="696" w:type="pct"/>
          </w:tcPr>
          <w:p w:rsidR="00761ECA" w:rsidRPr="00186C2B" w:rsidRDefault="00761ECA" w:rsidP="00D3172F">
            <w:pPr>
              <w:pStyle w:val="Tablewriting"/>
              <w:rPr>
                <w:rFonts w:eastAsia="MS Mincho"/>
                <w:highlight w:val="yellow"/>
              </w:rPr>
            </w:pPr>
            <w:r w:rsidRPr="00A4015C">
              <w:rPr>
                <w:rFonts w:eastAsia="MS Mincho"/>
              </w:rPr>
              <w:t>Longer duration gum versus shorter duration gum</w:t>
            </w:r>
            <w:r w:rsidR="00ED0CBA">
              <w:rPr>
                <w:rFonts w:eastAsia="MS Mincho"/>
              </w:rPr>
              <w:t>.</w:t>
            </w:r>
          </w:p>
        </w:tc>
        <w:tc>
          <w:tcPr>
            <w:tcW w:w="823" w:type="pct"/>
            <w:tcMar>
              <w:left w:w="28" w:type="dxa"/>
              <w:right w:w="28" w:type="dxa"/>
            </w:tcMar>
          </w:tcPr>
          <w:p w:rsidR="00761ECA" w:rsidRPr="00C64474" w:rsidRDefault="00175E73" w:rsidP="00D3172F">
            <w:pPr>
              <w:pStyle w:val="Tablewriting"/>
              <w:rPr>
                <w:rFonts w:eastAsia="MS Mincho"/>
              </w:rPr>
            </w:pPr>
            <w:r w:rsidRPr="00175E73">
              <w:rPr>
                <w:rFonts w:eastAsia="MS Mincho"/>
              </w:rPr>
              <w:t>Same as patch (monotherapy)</w:t>
            </w:r>
            <w:r w:rsidR="00ED0CBA">
              <w:rPr>
                <w:rFonts w:eastAsia="MS Mincho"/>
              </w:rPr>
              <w:t>.</w:t>
            </w:r>
          </w:p>
        </w:tc>
      </w:tr>
      <w:tr w:rsidR="002C55A8" w:rsidRPr="00061F78" w:rsidTr="007231A4">
        <w:trPr>
          <w:trHeight w:val="149"/>
        </w:trPr>
        <w:tc>
          <w:tcPr>
            <w:tcW w:w="5000" w:type="pct"/>
            <w:gridSpan w:val="6"/>
            <w:shd w:val="clear" w:color="auto" w:fill="auto"/>
            <w:tcMar>
              <w:left w:w="28" w:type="dxa"/>
              <w:right w:w="28" w:type="dxa"/>
            </w:tcMar>
          </w:tcPr>
          <w:p w:rsidR="002C55A8" w:rsidRPr="00175E73" w:rsidRDefault="002C55A8" w:rsidP="00D3172F">
            <w:pPr>
              <w:pStyle w:val="Tablewriting"/>
              <w:rPr>
                <w:rFonts w:eastAsia="MS Mincho"/>
              </w:rPr>
            </w:pPr>
            <w:r w:rsidRPr="002F0CA7">
              <w:rPr>
                <w:rFonts w:eastAsia="MS Mincho"/>
                <w:b/>
                <w:bCs/>
              </w:rPr>
              <w:t>Combination NRT</w:t>
            </w:r>
            <w:r>
              <w:rPr>
                <w:rFonts w:eastAsia="MS Mincho"/>
                <w:b/>
                <w:bCs/>
              </w:rPr>
              <w:t xml:space="preserve"> therapy</w:t>
            </w:r>
          </w:p>
        </w:tc>
      </w:tr>
      <w:tr w:rsidR="00761ECA" w:rsidRPr="00061F78" w:rsidTr="00CB3AFC">
        <w:trPr>
          <w:trHeight w:val="149"/>
        </w:trPr>
        <w:tc>
          <w:tcPr>
            <w:tcW w:w="279" w:type="pct"/>
            <w:tcMar>
              <w:left w:w="28" w:type="dxa"/>
              <w:right w:w="28" w:type="dxa"/>
            </w:tcMar>
          </w:tcPr>
          <w:p w:rsidR="00761ECA" w:rsidRDefault="00761ECA" w:rsidP="00D3172F">
            <w:pPr>
              <w:pStyle w:val="Tablewriting"/>
            </w:pPr>
            <w:r>
              <w:t>Lindson</w:t>
            </w:r>
            <w:r w:rsidRPr="00713891">
              <w:t xml:space="preserve"> (201</w:t>
            </w:r>
            <w:r>
              <w:t>9</w:t>
            </w:r>
            <w:r w:rsidRPr="00713891">
              <w:t>)</w:t>
            </w:r>
          </w:p>
        </w:tc>
        <w:tc>
          <w:tcPr>
            <w:tcW w:w="347" w:type="pct"/>
          </w:tcPr>
          <w:p w:rsidR="00761ECA" w:rsidRPr="002F0CA7" w:rsidRDefault="00761ECA" w:rsidP="00D3172F">
            <w:pPr>
              <w:pStyle w:val="Tablewriting"/>
              <w:rPr>
                <w:rFonts w:eastAsia="MS Mincho"/>
              </w:rPr>
            </w:pPr>
            <w:r w:rsidRPr="002F0CA7">
              <w:rPr>
                <w:rFonts w:eastAsia="MS Mincho"/>
              </w:rPr>
              <w:t xml:space="preserve">Cochrane </w:t>
            </w:r>
            <w:r w:rsidR="007A10C4">
              <w:rPr>
                <w:rFonts w:eastAsia="MS Mincho"/>
              </w:rPr>
              <w:t>R</w:t>
            </w:r>
            <w:r w:rsidRPr="002F0CA7">
              <w:rPr>
                <w:rFonts w:eastAsia="MS Mincho"/>
              </w:rPr>
              <w:t xml:space="preserve">eview </w:t>
            </w:r>
          </w:p>
          <w:p w:rsidR="00761ECA" w:rsidRPr="00186C2B" w:rsidRDefault="00761ECA" w:rsidP="00D3172F">
            <w:pPr>
              <w:pStyle w:val="Tablewriting"/>
              <w:rPr>
                <w:rFonts w:eastAsia="MS Mincho"/>
                <w:highlight w:val="yellow"/>
              </w:rPr>
            </w:pPr>
            <w:r w:rsidRPr="002F0CA7">
              <w:rPr>
                <w:rFonts w:eastAsia="MS Mincho"/>
              </w:rPr>
              <w:t>(2 RCTs</w:t>
            </w:r>
            <w:r w:rsidRPr="002F0CA7">
              <w:rPr>
                <w:rFonts w:eastAsia="MS Mincho"/>
                <w:vertAlign w:val="superscript"/>
              </w:rPr>
              <w:t>2</w:t>
            </w:r>
            <w:r w:rsidRPr="002F0CA7">
              <w:rPr>
                <w:rFonts w:eastAsia="MS Mincho"/>
              </w:rPr>
              <w:t>)</w:t>
            </w:r>
          </w:p>
        </w:tc>
        <w:tc>
          <w:tcPr>
            <w:tcW w:w="915" w:type="pct"/>
            <w:tcMar>
              <w:left w:w="28" w:type="dxa"/>
              <w:right w:w="28" w:type="dxa"/>
            </w:tcMar>
          </w:tcPr>
          <w:p w:rsidR="00761ECA" w:rsidRDefault="00761ECA" w:rsidP="00D3172F">
            <w:pPr>
              <w:pStyle w:val="Tablewriting"/>
              <w:rPr>
                <w:rFonts w:eastAsia="MS Mincho"/>
                <w:u w:val="single"/>
              </w:rPr>
            </w:pPr>
            <w:r w:rsidRPr="002F0CA7">
              <w:rPr>
                <w:rFonts w:eastAsia="MS Mincho"/>
                <w:u w:val="single"/>
              </w:rPr>
              <w:t>16 weeks versus 8 weeks</w:t>
            </w:r>
          </w:p>
          <w:p w:rsidR="00761ECA" w:rsidRPr="002F0CA7" w:rsidRDefault="00761ECA" w:rsidP="00D3172F">
            <w:pPr>
              <w:pStyle w:val="Tablewriting"/>
              <w:rPr>
                <w:rFonts w:eastAsia="MS Mincho"/>
              </w:rPr>
            </w:pPr>
            <w:r w:rsidRPr="002F0CA7">
              <w:rPr>
                <w:rFonts w:eastAsia="MS Mincho"/>
              </w:rPr>
              <w:t xml:space="preserve">N= </w:t>
            </w:r>
            <w:r>
              <w:rPr>
                <w:rFonts w:eastAsia="MS Mincho"/>
              </w:rPr>
              <w:t xml:space="preserve">637 </w:t>
            </w:r>
            <w:r w:rsidRPr="002F0CA7">
              <w:rPr>
                <w:rFonts w:eastAsia="MS Mincho"/>
              </w:rPr>
              <w:t>(</w:t>
            </w:r>
            <w:r>
              <w:rPr>
                <w:rFonts w:eastAsia="MS Mincho"/>
              </w:rPr>
              <w:t xml:space="preserve">1 </w:t>
            </w:r>
            <w:r w:rsidRPr="002F0CA7">
              <w:rPr>
                <w:rFonts w:eastAsia="MS Mincho"/>
              </w:rPr>
              <w:t>RCT)</w:t>
            </w:r>
          </w:p>
          <w:p w:rsidR="00761ECA" w:rsidRPr="002F0CA7" w:rsidRDefault="00761ECA" w:rsidP="00D3172F">
            <w:pPr>
              <w:pStyle w:val="Tablewriting"/>
              <w:rPr>
                <w:rFonts w:eastAsia="MS Mincho"/>
              </w:rPr>
            </w:pPr>
            <w:r>
              <w:rPr>
                <w:rFonts w:eastAsia="MS Mincho"/>
              </w:rPr>
              <w:t xml:space="preserve">Longer duration </w:t>
            </w:r>
            <w:r w:rsidRPr="002F0CA7">
              <w:rPr>
                <w:rFonts w:eastAsia="MS Mincho"/>
              </w:rPr>
              <w:t>(n=</w:t>
            </w:r>
            <w:r>
              <w:rPr>
                <w:rFonts w:eastAsia="MS Mincho"/>
              </w:rPr>
              <w:t>304</w:t>
            </w:r>
            <w:r w:rsidRPr="002F0CA7">
              <w:rPr>
                <w:rFonts w:eastAsia="MS Mincho"/>
              </w:rPr>
              <w:t>),</w:t>
            </w:r>
          </w:p>
          <w:p w:rsidR="00761ECA" w:rsidRPr="00182742" w:rsidRDefault="00761ECA" w:rsidP="00D3172F">
            <w:pPr>
              <w:pStyle w:val="Tablewriting"/>
              <w:rPr>
                <w:rFonts w:eastAsia="MS Mincho"/>
              </w:rPr>
            </w:pPr>
            <w:r>
              <w:rPr>
                <w:rFonts w:eastAsia="MS Mincho"/>
              </w:rPr>
              <w:t xml:space="preserve">Shorter duration </w:t>
            </w:r>
            <w:r w:rsidRPr="002F0CA7">
              <w:rPr>
                <w:rFonts w:eastAsia="MS Mincho"/>
              </w:rPr>
              <w:t>(n=</w:t>
            </w:r>
            <w:r>
              <w:rPr>
                <w:rFonts w:eastAsia="MS Mincho"/>
              </w:rPr>
              <w:t>333</w:t>
            </w:r>
            <w:r w:rsidRPr="002F0CA7">
              <w:rPr>
                <w:rFonts w:eastAsia="MS Mincho"/>
              </w:rPr>
              <w:t>)</w:t>
            </w:r>
          </w:p>
          <w:p w:rsidR="00761ECA" w:rsidRDefault="00761ECA" w:rsidP="00D3172F">
            <w:pPr>
              <w:pStyle w:val="Tablewriting"/>
              <w:rPr>
                <w:rFonts w:eastAsia="MS Mincho"/>
                <w:highlight w:val="yellow"/>
                <w:u w:val="single"/>
              </w:rPr>
            </w:pPr>
            <w:r w:rsidRPr="002F0CA7">
              <w:rPr>
                <w:rFonts w:eastAsia="MS Mincho"/>
                <w:u w:val="single"/>
              </w:rPr>
              <w:t>6 weeks versus 2 weeks</w:t>
            </w:r>
          </w:p>
          <w:p w:rsidR="00761ECA" w:rsidRPr="002F0CA7" w:rsidRDefault="00761ECA" w:rsidP="00D3172F">
            <w:pPr>
              <w:pStyle w:val="Tablewriting"/>
              <w:rPr>
                <w:rFonts w:eastAsia="MS Mincho"/>
              </w:rPr>
            </w:pPr>
            <w:r w:rsidRPr="002F0CA7">
              <w:rPr>
                <w:rFonts w:eastAsia="MS Mincho"/>
              </w:rPr>
              <w:t xml:space="preserve">N= </w:t>
            </w:r>
            <w:r>
              <w:rPr>
                <w:rFonts w:eastAsia="MS Mincho"/>
              </w:rPr>
              <w:t xml:space="preserve">987 </w:t>
            </w:r>
            <w:r w:rsidRPr="002F0CA7">
              <w:rPr>
                <w:rFonts w:eastAsia="MS Mincho"/>
              </w:rPr>
              <w:t>(</w:t>
            </w:r>
            <w:r>
              <w:rPr>
                <w:rFonts w:eastAsia="MS Mincho"/>
              </w:rPr>
              <w:t xml:space="preserve">1 </w:t>
            </w:r>
            <w:r w:rsidRPr="002F0CA7">
              <w:rPr>
                <w:rFonts w:eastAsia="MS Mincho"/>
              </w:rPr>
              <w:t>RCT)</w:t>
            </w:r>
          </w:p>
          <w:p w:rsidR="00761ECA" w:rsidRPr="002F0CA7" w:rsidRDefault="00761ECA" w:rsidP="00D3172F">
            <w:pPr>
              <w:pStyle w:val="Tablewriting"/>
              <w:rPr>
                <w:rFonts w:eastAsia="MS Mincho"/>
              </w:rPr>
            </w:pPr>
            <w:r>
              <w:rPr>
                <w:rFonts w:eastAsia="MS Mincho"/>
              </w:rPr>
              <w:lastRenderedPageBreak/>
              <w:t xml:space="preserve">Longer duration </w:t>
            </w:r>
            <w:r w:rsidRPr="002F0CA7">
              <w:rPr>
                <w:rFonts w:eastAsia="MS Mincho"/>
              </w:rPr>
              <w:t>(n=</w:t>
            </w:r>
            <w:r>
              <w:rPr>
                <w:rFonts w:eastAsia="MS Mincho"/>
              </w:rPr>
              <w:t>497</w:t>
            </w:r>
            <w:r w:rsidRPr="002F0CA7">
              <w:rPr>
                <w:rFonts w:eastAsia="MS Mincho"/>
              </w:rPr>
              <w:t>),</w:t>
            </w:r>
          </w:p>
          <w:p w:rsidR="00761ECA" w:rsidRPr="00F4262F" w:rsidRDefault="00761ECA" w:rsidP="00D3172F">
            <w:pPr>
              <w:pStyle w:val="Tablewriting"/>
              <w:rPr>
                <w:rFonts w:eastAsia="MS Mincho"/>
              </w:rPr>
            </w:pPr>
            <w:r>
              <w:rPr>
                <w:rFonts w:eastAsia="MS Mincho"/>
              </w:rPr>
              <w:t xml:space="preserve">Shorter duration </w:t>
            </w:r>
            <w:r w:rsidRPr="002F0CA7">
              <w:rPr>
                <w:rFonts w:eastAsia="MS Mincho"/>
              </w:rPr>
              <w:t>(n=</w:t>
            </w:r>
            <w:r>
              <w:rPr>
                <w:rFonts w:eastAsia="MS Mincho"/>
              </w:rPr>
              <w:t>490</w:t>
            </w:r>
            <w:r w:rsidRPr="002F0CA7">
              <w:rPr>
                <w:rFonts w:eastAsia="MS Mincho"/>
              </w:rPr>
              <w:t>)</w:t>
            </w:r>
          </w:p>
        </w:tc>
        <w:tc>
          <w:tcPr>
            <w:tcW w:w="1940" w:type="pct"/>
            <w:tcMar>
              <w:left w:w="28" w:type="dxa"/>
              <w:right w:w="28" w:type="dxa"/>
            </w:tcMar>
          </w:tcPr>
          <w:p w:rsidR="00761ECA" w:rsidRPr="00186C2B" w:rsidRDefault="00175E73" w:rsidP="00D3172F">
            <w:pPr>
              <w:pStyle w:val="Tablewriting"/>
              <w:rPr>
                <w:rFonts w:eastAsia="MS Mincho"/>
                <w:highlight w:val="yellow"/>
                <w:u w:val="single"/>
              </w:rPr>
            </w:pPr>
            <w:r w:rsidRPr="00175E73">
              <w:rPr>
                <w:rFonts w:eastAsia="MS Mincho"/>
              </w:rPr>
              <w:lastRenderedPageBreak/>
              <w:t>Same as patch (monotherapy)</w:t>
            </w:r>
            <w:r w:rsidR="00ED0CBA">
              <w:rPr>
                <w:rFonts w:eastAsia="MS Mincho"/>
              </w:rPr>
              <w:t>.</w:t>
            </w:r>
          </w:p>
        </w:tc>
        <w:tc>
          <w:tcPr>
            <w:tcW w:w="696" w:type="pct"/>
          </w:tcPr>
          <w:p w:rsidR="00761ECA" w:rsidRPr="00186C2B" w:rsidRDefault="00761ECA" w:rsidP="00D3172F">
            <w:pPr>
              <w:pStyle w:val="Tablewriting"/>
              <w:rPr>
                <w:rFonts w:eastAsia="MS Mincho"/>
                <w:highlight w:val="yellow"/>
              </w:rPr>
            </w:pPr>
            <w:r w:rsidRPr="006B5D28">
              <w:rPr>
                <w:rFonts w:eastAsia="MS Mincho"/>
              </w:rPr>
              <w:t>Longer duration</w:t>
            </w:r>
            <w:r>
              <w:rPr>
                <w:rFonts w:eastAsia="MS Mincho"/>
              </w:rPr>
              <w:t xml:space="preserve"> use of combination NRT</w:t>
            </w:r>
            <w:r w:rsidRPr="006B5D28">
              <w:rPr>
                <w:rFonts w:eastAsia="MS Mincho"/>
              </w:rPr>
              <w:t xml:space="preserve"> versus shorter duration</w:t>
            </w:r>
            <w:r w:rsidR="00ED0CBA">
              <w:rPr>
                <w:rFonts w:eastAsia="MS Mincho"/>
              </w:rPr>
              <w:t>.</w:t>
            </w:r>
          </w:p>
        </w:tc>
        <w:tc>
          <w:tcPr>
            <w:tcW w:w="823" w:type="pct"/>
            <w:tcMar>
              <w:left w:w="28" w:type="dxa"/>
              <w:right w:w="28" w:type="dxa"/>
            </w:tcMar>
          </w:tcPr>
          <w:p w:rsidR="00761ECA" w:rsidRPr="0050095A" w:rsidRDefault="00175E73" w:rsidP="00D3172F">
            <w:pPr>
              <w:pStyle w:val="Tablewriting"/>
              <w:rPr>
                <w:rFonts w:eastAsia="MS Mincho"/>
                <w:u w:val="single"/>
              </w:rPr>
            </w:pPr>
            <w:r w:rsidRPr="00175E73">
              <w:rPr>
                <w:rFonts w:eastAsia="MS Mincho"/>
              </w:rPr>
              <w:t>Same as patch (monotherapy)</w:t>
            </w:r>
            <w:r w:rsidR="00ED0CBA">
              <w:rPr>
                <w:rFonts w:eastAsia="MS Mincho"/>
              </w:rPr>
              <w:t>.</w:t>
            </w:r>
          </w:p>
        </w:tc>
      </w:tr>
      <w:tr w:rsidR="00761ECA" w:rsidRPr="00061F78" w:rsidTr="00CB3AFC">
        <w:trPr>
          <w:trHeight w:val="149"/>
        </w:trPr>
        <w:tc>
          <w:tcPr>
            <w:tcW w:w="279" w:type="pct"/>
            <w:tcMar>
              <w:left w:w="28" w:type="dxa"/>
              <w:right w:w="28" w:type="dxa"/>
            </w:tcMar>
          </w:tcPr>
          <w:p w:rsidR="00761ECA" w:rsidRPr="005E592F" w:rsidRDefault="00761ECA" w:rsidP="00D3172F">
            <w:pPr>
              <w:pStyle w:val="Tablewriting"/>
            </w:pPr>
            <w:r w:rsidRPr="005E592F">
              <w:t>Ellerbeck (2018)</w:t>
            </w:r>
          </w:p>
        </w:tc>
        <w:tc>
          <w:tcPr>
            <w:tcW w:w="347" w:type="pct"/>
          </w:tcPr>
          <w:p w:rsidR="00761ECA" w:rsidRPr="0077496B" w:rsidRDefault="00761ECA" w:rsidP="00D3172F">
            <w:pPr>
              <w:pStyle w:val="Tablewriting"/>
              <w:rPr>
                <w:rFonts w:eastAsia="MS Mincho"/>
                <w:vertAlign w:val="superscript"/>
              </w:rPr>
            </w:pPr>
            <w:r w:rsidRPr="005E592F">
              <w:rPr>
                <w:rFonts w:eastAsia="MS Mincho"/>
              </w:rPr>
              <w:t>RCT</w:t>
            </w:r>
            <w:r w:rsidR="00127FBD">
              <w:rPr>
                <w:rFonts w:eastAsia="MS Mincho"/>
                <w:vertAlign w:val="superscript"/>
              </w:rPr>
              <w:t>3</w:t>
            </w:r>
          </w:p>
        </w:tc>
        <w:tc>
          <w:tcPr>
            <w:tcW w:w="915" w:type="pct"/>
            <w:tcMar>
              <w:left w:w="28" w:type="dxa"/>
              <w:right w:w="28" w:type="dxa"/>
            </w:tcMar>
          </w:tcPr>
          <w:p w:rsidR="00761ECA" w:rsidRPr="005E592F" w:rsidRDefault="00761ECA" w:rsidP="00D3172F">
            <w:pPr>
              <w:pStyle w:val="Tablewriting"/>
              <w:rPr>
                <w:rFonts w:eastAsia="MS Mincho"/>
                <w:u w:val="single"/>
              </w:rPr>
            </w:pPr>
            <w:r w:rsidRPr="005E592F">
              <w:rPr>
                <w:rFonts w:eastAsia="MS Mincho"/>
                <w:u w:val="single"/>
              </w:rPr>
              <w:t xml:space="preserve">Standard smoking cessation treatment versus long-term NRT </w:t>
            </w:r>
          </w:p>
          <w:p w:rsidR="00761ECA" w:rsidRPr="005E592F" w:rsidRDefault="00761ECA" w:rsidP="00D3172F">
            <w:pPr>
              <w:pStyle w:val="Tablewriting"/>
              <w:rPr>
                <w:rFonts w:eastAsia="MS Mincho"/>
              </w:rPr>
            </w:pPr>
            <w:r w:rsidRPr="005E592F">
              <w:rPr>
                <w:rFonts w:eastAsia="MS Mincho"/>
              </w:rPr>
              <w:t>N= 394</w:t>
            </w:r>
          </w:p>
          <w:p w:rsidR="00761ECA" w:rsidRPr="005E592F" w:rsidRDefault="00761ECA" w:rsidP="00D3172F">
            <w:pPr>
              <w:pStyle w:val="Tablewriting"/>
              <w:rPr>
                <w:rFonts w:eastAsia="MS Mincho"/>
              </w:rPr>
            </w:pPr>
            <w:r w:rsidRPr="005E592F">
              <w:rPr>
                <w:rFonts w:eastAsia="MS Mincho"/>
              </w:rPr>
              <w:t>Standard treatment (n=197), long-term treatment (n=197)</w:t>
            </w:r>
          </w:p>
        </w:tc>
        <w:tc>
          <w:tcPr>
            <w:tcW w:w="1940" w:type="pct"/>
            <w:tcMar>
              <w:left w:w="28" w:type="dxa"/>
              <w:right w:w="28" w:type="dxa"/>
            </w:tcMar>
          </w:tcPr>
          <w:p w:rsidR="00761ECA" w:rsidRPr="005E592F" w:rsidRDefault="00761ECA" w:rsidP="00D3172F">
            <w:pPr>
              <w:pStyle w:val="Tablewriting"/>
              <w:rPr>
                <w:rFonts w:eastAsia="MS Mincho"/>
                <w:u w:val="single"/>
              </w:rPr>
            </w:pPr>
            <w:r w:rsidRPr="005E592F">
              <w:rPr>
                <w:rFonts w:eastAsia="MS Mincho"/>
                <w:u w:val="single"/>
              </w:rPr>
              <w:t>Inclusion:</w:t>
            </w:r>
          </w:p>
          <w:p w:rsidR="00761ECA" w:rsidRPr="005E592F" w:rsidRDefault="00F53921" w:rsidP="00D3172F">
            <w:pPr>
              <w:pStyle w:val="Tablewriting"/>
              <w:rPr>
                <w:rFonts w:eastAsia="MS Mincho"/>
              </w:rPr>
            </w:pPr>
            <w:r>
              <w:rPr>
                <w:rFonts w:eastAsia="MS Mincho" w:cstheme="minorHAnsi"/>
              </w:rPr>
              <w:t>≥</w:t>
            </w:r>
            <w:r w:rsidR="00761ECA" w:rsidRPr="005E592F">
              <w:rPr>
                <w:rFonts w:eastAsia="MS Mincho"/>
              </w:rPr>
              <w:t xml:space="preserve">18 years old, </w:t>
            </w:r>
            <w:r>
              <w:rPr>
                <w:rFonts w:eastAsia="MS Mincho" w:cstheme="minorHAnsi"/>
              </w:rPr>
              <w:t>≥</w:t>
            </w:r>
            <w:r w:rsidR="00761ECA" w:rsidRPr="005E592F">
              <w:rPr>
                <w:rFonts w:eastAsia="MS Mincho"/>
              </w:rPr>
              <w:t xml:space="preserve">5 cigarettes per day on at least 25 of the last 30 days, reported physician-diagnosed COPD. </w:t>
            </w:r>
          </w:p>
          <w:p w:rsidR="00761ECA" w:rsidRPr="005E592F" w:rsidRDefault="00761ECA" w:rsidP="00D3172F">
            <w:pPr>
              <w:pStyle w:val="Tablewriting"/>
              <w:rPr>
                <w:rFonts w:eastAsia="MS Mincho"/>
                <w:u w:val="single"/>
              </w:rPr>
            </w:pPr>
          </w:p>
          <w:p w:rsidR="00761ECA" w:rsidRPr="005E592F" w:rsidRDefault="00761ECA" w:rsidP="00D3172F">
            <w:pPr>
              <w:pStyle w:val="Tablewriting"/>
              <w:rPr>
                <w:rFonts w:eastAsia="MS Mincho"/>
              </w:rPr>
            </w:pPr>
            <w:r w:rsidRPr="005E592F">
              <w:rPr>
                <w:rFonts w:eastAsia="MS Mincho"/>
                <w:u w:val="single"/>
              </w:rPr>
              <w:t>Exclusion:</w:t>
            </w:r>
            <w:r w:rsidRPr="005E592F">
              <w:rPr>
                <w:rFonts w:eastAsia="MS Mincho"/>
              </w:rPr>
              <w:t xml:space="preserve"> </w:t>
            </w:r>
          </w:p>
          <w:p w:rsidR="00761ECA" w:rsidRPr="005E592F" w:rsidRDefault="00761ECA" w:rsidP="00D3172F">
            <w:pPr>
              <w:pStyle w:val="Tablewriting"/>
              <w:rPr>
                <w:rFonts w:eastAsia="MS Mincho"/>
              </w:rPr>
            </w:pPr>
            <w:r w:rsidRPr="005E592F">
              <w:rPr>
                <w:rFonts w:eastAsia="MS Mincho"/>
              </w:rPr>
              <w:t>terminal medical condition, would be pregnant or breastfeeding in the next year, resided in a long-term care facility that restricted smoking, exhibited severe cognitive impairment, had another household member enrolled in the study, had no home address, or had been hospitalized with a heart attack, experienced an irregular heartbeat, or reported increasing angina in the past 30 days.</w:t>
            </w:r>
          </w:p>
        </w:tc>
        <w:tc>
          <w:tcPr>
            <w:tcW w:w="696" w:type="pct"/>
          </w:tcPr>
          <w:p w:rsidR="00761ECA" w:rsidRPr="005E592F" w:rsidRDefault="00761ECA" w:rsidP="00D3172F">
            <w:pPr>
              <w:pStyle w:val="Tablewriting"/>
              <w:rPr>
                <w:rFonts w:eastAsia="MS Mincho"/>
                <w:vertAlign w:val="superscript"/>
              </w:rPr>
            </w:pPr>
            <w:r w:rsidRPr="005E592F">
              <w:rPr>
                <w:rFonts w:eastAsia="MS Mincho"/>
              </w:rPr>
              <w:t>Standard smoking cessation treatment (combination NRT for 10 weeks) versus long-term (combination NRT for 12 months).</w:t>
            </w:r>
            <w:r w:rsidR="00127FBD">
              <w:rPr>
                <w:rFonts w:eastAsia="MS Mincho"/>
                <w:vertAlign w:val="superscript"/>
              </w:rPr>
              <w:t>4</w:t>
            </w:r>
          </w:p>
          <w:p w:rsidR="00761ECA" w:rsidRPr="005E592F" w:rsidRDefault="00761ECA" w:rsidP="00D3172F">
            <w:pPr>
              <w:pStyle w:val="Tablewriting"/>
              <w:rPr>
                <w:rFonts w:eastAsia="MS Mincho"/>
                <w:vertAlign w:val="superscript"/>
              </w:rPr>
            </w:pPr>
          </w:p>
          <w:p w:rsidR="00761ECA" w:rsidRPr="005E592F" w:rsidRDefault="00761ECA" w:rsidP="00D3172F">
            <w:pPr>
              <w:pStyle w:val="Tablewriting"/>
              <w:rPr>
                <w:rFonts w:eastAsia="MS Mincho"/>
              </w:rPr>
            </w:pPr>
            <w:r w:rsidRPr="005E592F">
              <w:rPr>
                <w:rFonts w:eastAsia="MS Mincho"/>
              </w:rPr>
              <w:t>Both arms received follow-up counselling sessions.</w:t>
            </w:r>
          </w:p>
        </w:tc>
        <w:tc>
          <w:tcPr>
            <w:tcW w:w="823" w:type="pct"/>
            <w:tcMar>
              <w:left w:w="28" w:type="dxa"/>
              <w:right w:w="28" w:type="dxa"/>
            </w:tcMar>
          </w:tcPr>
          <w:p w:rsidR="00761ECA" w:rsidRPr="005E592F" w:rsidRDefault="00761ECA" w:rsidP="00D3172F">
            <w:pPr>
              <w:pStyle w:val="Tablewriting"/>
              <w:rPr>
                <w:rFonts w:eastAsia="MS Mincho"/>
              </w:rPr>
            </w:pPr>
            <w:r w:rsidRPr="005E592F">
              <w:rPr>
                <w:rFonts w:eastAsia="MS Mincho"/>
                <w:u w:val="single"/>
              </w:rPr>
              <w:t xml:space="preserve">Primary: </w:t>
            </w:r>
            <w:r w:rsidRPr="005E592F">
              <w:rPr>
                <w:rFonts w:eastAsia="MS Mincho"/>
              </w:rPr>
              <w:t>7-day abstinence verified by CO levels</w:t>
            </w:r>
            <w:r w:rsidR="00861C08">
              <w:rPr>
                <w:rFonts w:eastAsia="MS Mincho"/>
              </w:rPr>
              <w:t xml:space="preserve"> </w:t>
            </w:r>
            <w:r w:rsidR="00861C08" w:rsidRPr="00861C08">
              <w:rPr>
                <w:rFonts w:eastAsia="MS Mincho"/>
              </w:rPr>
              <w:t>of no greater than 10 ppm</w:t>
            </w:r>
            <w:r w:rsidRPr="005E592F">
              <w:rPr>
                <w:rFonts w:eastAsia="MS Mincho"/>
              </w:rPr>
              <w:t xml:space="preserve"> at 12 months. </w:t>
            </w:r>
          </w:p>
          <w:p w:rsidR="00761ECA" w:rsidRPr="005E592F" w:rsidRDefault="00761ECA" w:rsidP="00D3172F">
            <w:pPr>
              <w:pStyle w:val="Tablewriting"/>
              <w:rPr>
                <w:rFonts w:eastAsia="MS Mincho"/>
                <w:u w:val="single"/>
              </w:rPr>
            </w:pPr>
            <w:r w:rsidRPr="005E592F">
              <w:rPr>
                <w:rFonts w:eastAsia="MS Mincho"/>
                <w:u w:val="single"/>
              </w:rPr>
              <w:t xml:space="preserve">Secondary: </w:t>
            </w:r>
            <w:r w:rsidRPr="005E592F">
              <w:rPr>
                <w:rFonts w:eastAsia="MS Mincho"/>
              </w:rPr>
              <w:t>cigarettes smoked per day, exposure to CO, urinary excretion of 4-methylnitrosamino-1-3-pyridyl-1</w:t>
            </w:r>
            <w:r w:rsidR="00F53921">
              <w:rPr>
                <w:rFonts w:eastAsia="MS Mincho"/>
              </w:rPr>
              <w:t>-</w:t>
            </w:r>
            <w:r w:rsidRPr="005E592F">
              <w:rPr>
                <w:rFonts w:eastAsia="MS Mincho"/>
              </w:rPr>
              <w:t>butanol, and adverse events.</w:t>
            </w:r>
          </w:p>
        </w:tc>
      </w:tr>
      <w:tr w:rsidR="002C55A8" w:rsidRPr="00061F78" w:rsidTr="007231A4">
        <w:trPr>
          <w:trHeight w:val="149"/>
        </w:trPr>
        <w:tc>
          <w:tcPr>
            <w:tcW w:w="5000" w:type="pct"/>
            <w:gridSpan w:val="6"/>
            <w:shd w:val="clear" w:color="auto" w:fill="auto"/>
            <w:tcMar>
              <w:left w:w="28" w:type="dxa"/>
              <w:right w:w="28" w:type="dxa"/>
            </w:tcMar>
          </w:tcPr>
          <w:p w:rsidR="002C55A8" w:rsidRPr="00175E73" w:rsidRDefault="002C55A8" w:rsidP="002C55A8">
            <w:pPr>
              <w:pStyle w:val="Tablewriting"/>
              <w:rPr>
                <w:rFonts w:eastAsia="MS Mincho"/>
              </w:rPr>
            </w:pPr>
            <w:r w:rsidRPr="00997D99">
              <w:rPr>
                <w:rFonts w:eastAsia="MS Mincho"/>
                <w:b/>
                <w:bCs/>
              </w:rPr>
              <w:t xml:space="preserve">Other variations in NRT use </w:t>
            </w:r>
          </w:p>
        </w:tc>
      </w:tr>
      <w:tr w:rsidR="002C55A8" w:rsidRPr="00061F78" w:rsidTr="00CB3AFC">
        <w:trPr>
          <w:trHeight w:val="149"/>
        </w:trPr>
        <w:tc>
          <w:tcPr>
            <w:tcW w:w="279" w:type="pct"/>
            <w:tcMar>
              <w:left w:w="28" w:type="dxa"/>
              <w:right w:w="28" w:type="dxa"/>
            </w:tcMar>
          </w:tcPr>
          <w:p w:rsidR="002C55A8" w:rsidRDefault="002C55A8" w:rsidP="002C55A8">
            <w:pPr>
              <w:pStyle w:val="Tablewriting"/>
            </w:pPr>
            <w:r>
              <w:t>Lindson</w:t>
            </w:r>
            <w:r w:rsidRPr="00713891">
              <w:t xml:space="preserve"> (201</w:t>
            </w:r>
            <w:r>
              <w:t>9</w:t>
            </w:r>
            <w:r w:rsidRPr="00713891">
              <w:t>)</w:t>
            </w:r>
          </w:p>
        </w:tc>
        <w:tc>
          <w:tcPr>
            <w:tcW w:w="347" w:type="pct"/>
          </w:tcPr>
          <w:p w:rsidR="002C55A8" w:rsidRPr="002F0CA7" w:rsidRDefault="002C55A8" w:rsidP="002C55A8">
            <w:pPr>
              <w:pStyle w:val="Tablewriting"/>
              <w:rPr>
                <w:rFonts w:eastAsia="MS Mincho"/>
              </w:rPr>
            </w:pPr>
            <w:r w:rsidRPr="002F0CA7">
              <w:rPr>
                <w:rFonts w:eastAsia="MS Mincho"/>
              </w:rPr>
              <w:t xml:space="preserve">Cochrane </w:t>
            </w:r>
            <w:r>
              <w:rPr>
                <w:rFonts w:eastAsia="MS Mincho"/>
              </w:rPr>
              <w:t>R</w:t>
            </w:r>
            <w:r w:rsidRPr="002F0CA7">
              <w:rPr>
                <w:rFonts w:eastAsia="MS Mincho"/>
              </w:rPr>
              <w:t xml:space="preserve">eview </w:t>
            </w:r>
          </w:p>
          <w:p w:rsidR="002C55A8" w:rsidRPr="002F0CA7" w:rsidRDefault="002C55A8" w:rsidP="002C55A8">
            <w:pPr>
              <w:pStyle w:val="Tablewriting"/>
              <w:rPr>
                <w:rFonts w:eastAsia="MS Mincho"/>
              </w:rPr>
            </w:pPr>
            <w:r w:rsidRPr="002F0CA7">
              <w:rPr>
                <w:rFonts w:eastAsia="MS Mincho"/>
              </w:rPr>
              <w:t>(</w:t>
            </w:r>
            <w:r>
              <w:rPr>
                <w:rFonts w:eastAsia="MS Mincho"/>
              </w:rPr>
              <w:t>3</w:t>
            </w:r>
            <w:r w:rsidRPr="002F0CA7">
              <w:rPr>
                <w:rFonts w:eastAsia="MS Mincho"/>
              </w:rPr>
              <w:t xml:space="preserve"> RCTs</w:t>
            </w:r>
            <w:r w:rsidRPr="002F0CA7">
              <w:rPr>
                <w:rFonts w:eastAsia="MS Mincho"/>
                <w:vertAlign w:val="superscript"/>
              </w:rPr>
              <w:t>2</w:t>
            </w:r>
            <w:r w:rsidRPr="002F0CA7">
              <w:rPr>
                <w:rFonts w:eastAsia="MS Mincho"/>
              </w:rPr>
              <w:t>)</w:t>
            </w:r>
          </w:p>
        </w:tc>
        <w:tc>
          <w:tcPr>
            <w:tcW w:w="915" w:type="pct"/>
            <w:tcMar>
              <w:left w:w="28" w:type="dxa"/>
              <w:right w:w="28" w:type="dxa"/>
            </w:tcMar>
          </w:tcPr>
          <w:p w:rsidR="002C55A8" w:rsidRDefault="002C55A8" w:rsidP="002C55A8">
            <w:pPr>
              <w:pStyle w:val="Tablewriting"/>
              <w:rPr>
                <w:rFonts w:eastAsia="MS Mincho"/>
                <w:u w:val="single"/>
              </w:rPr>
            </w:pPr>
            <w:r w:rsidRPr="00997D99">
              <w:rPr>
                <w:rFonts w:eastAsia="MS Mincho"/>
                <w:u w:val="single"/>
              </w:rPr>
              <w:t>24-hour versus 16-hour patch</w:t>
            </w:r>
          </w:p>
          <w:p w:rsidR="002C55A8" w:rsidRPr="00182742" w:rsidRDefault="002C55A8" w:rsidP="002C55A8">
            <w:pPr>
              <w:pStyle w:val="Tablewriting"/>
              <w:rPr>
                <w:rFonts w:eastAsia="MS Mincho"/>
              </w:rPr>
            </w:pPr>
            <w:r w:rsidRPr="00997D99">
              <w:rPr>
                <w:rFonts w:eastAsia="MS Mincho"/>
              </w:rPr>
              <w:t xml:space="preserve">N= </w:t>
            </w:r>
            <w:r>
              <w:rPr>
                <w:rFonts w:eastAsia="MS Mincho"/>
              </w:rPr>
              <w:t xml:space="preserve">106 </w:t>
            </w:r>
            <w:r w:rsidRPr="00997D99">
              <w:rPr>
                <w:rFonts w:eastAsia="MS Mincho"/>
              </w:rPr>
              <w:t>(1 RCT)</w:t>
            </w:r>
          </w:p>
          <w:p w:rsidR="002C55A8" w:rsidRDefault="002C55A8" w:rsidP="002C55A8">
            <w:pPr>
              <w:pStyle w:val="Tablewriting"/>
              <w:rPr>
                <w:rFonts w:eastAsia="MS Mincho"/>
                <w:u w:val="single"/>
              </w:rPr>
            </w:pPr>
            <w:r w:rsidRPr="00997D99">
              <w:rPr>
                <w:rFonts w:eastAsia="MS Mincho"/>
                <w:u w:val="single"/>
              </w:rPr>
              <w:t>Continue versus stop patch use on lapse</w:t>
            </w:r>
          </w:p>
          <w:p w:rsidR="002C55A8" w:rsidRPr="00182742" w:rsidRDefault="002C55A8" w:rsidP="002C55A8">
            <w:pPr>
              <w:pStyle w:val="Tablewriting"/>
              <w:rPr>
                <w:rFonts w:eastAsia="MS Mincho"/>
              </w:rPr>
            </w:pPr>
            <w:r w:rsidRPr="00997D99">
              <w:rPr>
                <w:rFonts w:eastAsia="MS Mincho"/>
              </w:rPr>
              <w:t>N=</w:t>
            </w:r>
            <w:r>
              <w:rPr>
                <w:rFonts w:eastAsia="MS Mincho"/>
              </w:rPr>
              <w:t xml:space="preserve"> 701</w:t>
            </w:r>
            <w:r w:rsidRPr="00997D99">
              <w:rPr>
                <w:rFonts w:eastAsia="MS Mincho"/>
              </w:rPr>
              <w:t xml:space="preserve"> (1 RCT)</w:t>
            </w:r>
          </w:p>
          <w:p w:rsidR="002C55A8" w:rsidRDefault="002C55A8" w:rsidP="002C55A8">
            <w:pPr>
              <w:pStyle w:val="Tablewriting"/>
              <w:rPr>
                <w:rFonts w:eastAsia="MS Mincho"/>
                <w:u w:val="single"/>
              </w:rPr>
            </w:pPr>
            <w:r w:rsidRPr="00997D99">
              <w:rPr>
                <w:rFonts w:eastAsia="MS Mincho"/>
                <w:u w:val="single"/>
              </w:rPr>
              <w:t>35 mg patch + fast-acting for 22 weeks versus 21 mg patch for 10 weeks</w:t>
            </w:r>
          </w:p>
          <w:p w:rsidR="002C55A8" w:rsidRPr="00997D99" w:rsidRDefault="002C55A8" w:rsidP="002C55A8">
            <w:pPr>
              <w:pStyle w:val="Tablewriting"/>
              <w:rPr>
                <w:rFonts w:eastAsia="MS Mincho"/>
              </w:rPr>
            </w:pPr>
            <w:r w:rsidRPr="00997D99">
              <w:rPr>
                <w:rFonts w:eastAsia="MS Mincho"/>
              </w:rPr>
              <w:t>N=</w:t>
            </w:r>
            <w:r>
              <w:rPr>
                <w:rFonts w:eastAsia="MS Mincho"/>
              </w:rPr>
              <w:t xml:space="preserve"> 486</w:t>
            </w:r>
            <w:r w:rsidRPr="00997D99">
              <w:rPr>
                <w:rFonts w:eastAsia="MS Mincho"/>
              </w:rPr>
              <w:t xml:space="preserve"> (1 RCT)</w:t>
            </w:r>
          </w:p>
        </w:tc>
        <w:tc>
          <w:tcPr>
            <w:tcW w:w="1940" w:type="pct"/>
            <w:tcMar>
              <w:left w:w="28" w:type="dxa"/>
              <w:right w:w="28" w:type="dxa"/>
            </w:tcMar>
          </w:tcPr>
          <w:p w:rsidR="002C55A8" w:rsidRPr="00186C2B" w:rsidRDefault="002C55A8" w:rsidP="002C55A8">
            <w:pPr>
              <w:pStyle w:val="Tablewriting"/>
              <w:rPr>
                <w:rFonts w:eastAsia="MS Mincho"/>
                <w:highlight w:val="yellow"/>
                <w:u w:val="single"/>
              </w:rPr>
            </w:pPr>
            <w:r w:rsidRPr="00175E73">
              <w:rPr>
                <w:rFonts w:eastAsia="MS Mincho"/>
              </w:rPr>
              <w:t>Same as patch (monotherapy)</w:t>
            </w:r>
            <w:r w:rsidR="00ED0CBA">
              <w:rPr>
                <w:rFonts w:eastAsia="MS Mincho"/>
              </w:rPr>
              <w:t>.</w:t>
            </w:r>
          </w:p>
        </w:tc>
        <w:tc>
          <w:tcPr>
            <w:tcW w:w="696" w:type="pct"/>
          </w:tcPr>
          <w:p w:rsidR="002C55A8" w:rsidRPr="006B5D28" w:rsidRDefault="002C55A8" w:rsidP="002C55A8">
            <w:pPr>
              <w:pStyle w:val="Tablewriting"/>
              <w:rPr>
                <w:rFonts w:eastAsia="MS Mincho"/>
              </w:rPr>
            </w:pPr>
            <w:r>
              <w:rPr>
                <w:rFonts w:eastAsia="MS Mincho"/>
              </w:rPr>
              <w:t>N/A</w:t>
            </w:r>
            <w:r w:rsidR="00ED0CBA">
              <w:rPr>
                <w:rFonts w:eastAsia="MS Mincho"/>
              </w:rPr>
              <w:t>.</w:t>
            </w:r>
          </w:p>
        </w:tc>
        <w:tc>
          <w:tcPr>
            <w:tcW w:w="823" w:type="pct"/>
            <w:tcMar>
              <w:left w:w="28" w:type="dxa"/>
              <w:right w:w="28" w:type="dxa"/>
            </w:tcMar>
          </w:tcPr>
          <w:p w:rsidR="002C55A8" w:rsidRPr="0050095A" w:rsidRDefault="002C55A8" w:rsidP="002C55A8">
            <w:pPr>
              <w:pStyle w:val="Tablewriting"/>
              <w:rPr>
                <w:rFonts w:eastAsia="MS Mincho"/>
                <w:u w:val="single"/>
              </w:rPr>
            </w:pPr>
            <w:r w:rsidRPr="00175E73">
              <w:rPr>
                <w:rFonts w:eastAsia="MS Mincho"/>
              </w:rPr>
              <w:t>Same as patch (monotherapy)</w:t>
            </w:r>
            <w:r w:rsidR="00ED0CBA">
              <w:rPr>
                <w:rFonts w:eastAsia="MS Mincho"/>
              </w:rPr>
              <w:t>.</w:t>
            </w:r>
          </w:p>
        </w:tc>
      </w:tr>
    </w:tbl>
    <w:p w:rsidR="0029720E" w:rsidRPr="00C87F51" w:rsidRDefault="0029720E" w:rsidP="00182742">
      <w:pPr>
        <w:pStyle w:val="TableFooter"/>
        <w:rPr>
          <w:i/>
        </w:rPr>
      </w:pPr>
      <w:r>
        <w:t xml:space="preserve">Abbreviations: </w:t>
      </w:r>
      <w:r w:rsidR="00EC1C4A">
        <w:t xml:space="preserve">CO = carbon monoxide; </w:t>
      </w:r>
      <w:r w:rsidRPr="00C87F51">
        <w:t xml:space="preserve">NRT = nicotine replacement therapy; </w:t>
      </w:r>
      <w:r>
        <w:t xml:space="preserve">N/A = not applicable; </w:t>
      </w:r>
      <w:r w:rsidRPr="00C87F51">
        <w:t xml:space="preserve">RCT = randomised controlled trial </w:t>
      </w:r>
    </w:p>
    <w:p w:rsidR="0029720E" w:rsidRDefault="0029720E" w:rsidP="00182742">
      <w:pPr>
        <w:pStyle w:val="TableFooter"/>
      </w:pPr>
      <w:r w:rsidRPr="00C87F51">
        <w:t>Notes:</w:t>
      </w:r>
      <w:r>
        <w:t xml:space="preserve"> </w:t>
      </w:r>
    </w:p>
    <w:p w:rsidR="0029720E" w:rsidRPr="00BA211C" w:rsidRDefault="0029720E" w:rsidP="00182742">
      <w:pPr>
        <w:pStyle w:val="TableFooter"/>
      </w:pPr>
      <w:r w:rsidRPr="00BA211C">
        <w:t>1 Only the number of patients (n) in the relevant arms were included</w:t>
      </w:r>
      <w:r w:rsidR="00ED0CBA">
        <w:t>.</w:t>
      </w:r>
      <w:r w:rsidRPr="00BA211C">
        <w:t xml:space="preserve"> </w:t>
      </w:r>
    </w:p>
    <w:p w:rsidR="0029720E" w:rsidRDefault="0029720E" w:rsidP="00182742">
      <w:pPr>
        <w:pStyle w:val="TableFooter"/>
      </w:pPr>
      <w:r w:rsidRPr="004C35E0">
        <w:t xml:space="preserve">2 The characteristics of the individual studies included in Lindson et al. (2019) are presented in </w:t>
      </w:r>
      <w:r w:rsidR="009A0DDF" w:rsidRPr="00DE44B3">
        <w:t>Appendix</w:t>
      </w:r>
      <w:r w:rsidR="00501CE2">
        <w:t xml:space="preserve"> </w:t>
      </w:r>
      <w:r w:rsidR="003C4A1C">
        <w:t xml:space="preserve">Table </w:t>
      </w:r>
      <w:r w:rsidR="003C4A1C">
        <w:rPr>
          <w:noProof/>
        </w:rPr>
        <w:t>162</w:t>
      </w:r>
      <w:r w:rsidRPr="004C35E0">
        <w:t>.</w:t>
      </w:r>
    </w:p>
    <w:p w:rsidR="00127FBD" w:rsidRDefault="005E592F" w:rsidP="00182742">
      <w:pPr>
        <w:pStyle w:val="TableFooter"/>
      </w:pPr>
      <w:r>
        <w:t xml:space="preserve">3 </w:t>
      </w:r>
      <w:r w:rsidR="00127FBD" w:rsidRPr="00127FBD">
        <w:t>Ellerbeck et al. (2018) was an open-label study and outcome assessors were likely aware of the interventions received by the patients.</w:t>
      </w:r>
    </w:p>
    <w:p w:rsidR="005E592F" w:rsidRDefault="00127FBD" w:rsidP="00182742">
      <w:pPr>
        <w:pStyle w:val="TableFooter"/>
      </w:pPr>
      <w:r>
        <w:t>4</w:t>
      </w:r>
      <w:r w:rsidR="005E592F">
        <w:t xml:space="preserve"> </w:t>
      </w:r>
      <w:r w:rsidR="005E592F" w:rsidRPr="000A1087">
        <w:t>Combination NRT</w:t>
      </w:r>
      <w:r w:rsidR="005E592F">
        <w:t xml:space="preserve"> (both arms)</w:t>
      </w:r>
      <w:r w:rsidR="005E592F" w:rsidRPr="000A1087">
        <w:t xml:space="preserve"> included nicotine patches plus 2 mg of nicotine gum and/or lozenges</w:t>
      </w:r>
      <w:r w:rsidR="005E592F">
        <w:t xml:space="preserve">. </w:t>
      </w:r>
      <w:r w:rsidR="005E592F" w:rsidRPr="000A1087">
        <w:t>The dose of nicotine patches (14-42 mg) provided to participants was based on their current cigarette consumption</w:t>
      </w:r>
      <w:r w:rsidR="005E592F">
        <w:t xml:space="preserve">. </w:t>
      </w:r>
    </w:p>
    <w:p w:rsidR="00182742" w:rsidRDefault="00182742" w:rsidP="0029720E">
      <w:pPr>
        <w:sectPr w:rsidR="00182742" w:rsidSect="00182742">
          <w:pgSz w:w="16838" w:h="11906" w:orient="landscape"/>
          <w:pgMar w:top="1440" w:right="1440" w:bottom="1440" w:left="1440" w:header="708" w:footer="708" w:gutter="0"/>
          <w:cols w:space="708"/>
          <w:titlePg/>
          <w:docGrid w:linePitch="360"/>
        </w:sectPr>
      </w:pPr>
    </w:p>
    <w:p w:rsidR="0029720E" w:rsidRDefault="0029720E" w:rsidP="00D02475">
      <w:pPr>
        <w:pStyle w:val="Heading5"/>
        <w:numPr>
          <w:ilvl w:val="0"/>
          <w:numId w:val="0"/>
        </w:numPr>
      </w:pPr>
      <w:r w:rsidRPr="00A556D0">
        <w:lastRenderedPageBreak/>
        <w:t>Monotherapy</w:t>
      </w:r>
    </w:p>
    <w:p w:rsidR="003421E9" w:rsidRPr="003421E9" w:rsidRDefault="003421E9" w:rsidP="003421E9">
      <w:pPr>
        <w:rPr>
          <w:u w:val="single"/>
        </w:rPr>
      </w:pPr>
      <w:r w:rsidRPr="003421E9">
        <w:rPr>
          <w:u w:val="single"/>
        </w:rPr>
        <w:t>Efficacy</w:t>
      </w:r>
    </w:p>
    <w:p w:rsidR="00E94F7E" w:rsidRDefault="0029720E" w:rsidP="00D61411">
      <w:pPr>
        <w:jc w:val="both"/>
      </w:pPr>
      <w:r w:rsidRPr="00F136E9">
        <w:t>A summary of smoking cessation rates</w:t>
      </w:r>
      <w:r>
        <w:t xml:space="preserve"> </w:t>
      </w:r>
      <w:r w:rsidRPr="00F136E9">
        <w:t>f</w:t>
      </w:r>
      <w:r w:rsidR="00C623F4">
        <w:t>or</w:t>
      </w:r>
      <w:r w:rsidRPr="00F136E9">
        <w:t xml:space="preserve"> at least six months follow-up</w:t>
      </w:r>
      <w:r>
        <w:t xml:space="preserve"> </w:t>
      </w:r>
      <w:r w:rsidR="00A01DBF">
        <w:t xml:space="preserve">comparing longer duration with shorter duration </w:t>
      </w:r>
      <w:r>
        <w:t xml:space="preserve">of NRT </w:t>
      </w:r>
      <w:r w:rsidR="00573F59">
        <w:t>patches</w:t>
      </w:r>
      <w:r>
        <w:t xml:space="preserve"> and gum (monotherapy) </w:t>
      </w:r>
      <w:r w:rsidRPr="00F136E9">
        <w:t>is presented in</w:t>
      </w:r>
      <w:r w:rsidR="0045102E">
        <w:t xml:space="preserve"> </w:t>
      </w:r>
      <w:r w:rsidR="003C4A1C">
        <w:t xml:space="preserve">Table </w:t>
      </w:r>
      <w:r w:rsidR="003C4A1C">
        <w:rPr>
          <w:noProof/>
        </w:rPr>
        <w:t>88</w:t>
      </w:r>
      <w:r w:rsidR="0045102E">
        <w:t>.</w:t>
      </w:r>
      <w:r w:rsidRPr="00657867">
        <w:t xml:space="preserve"> </w:t>
      </w:r>
      <w:r w:rsidR="00E94F7E">
        <w:t xml:space="preserve">Overall, there were no statistically significant differences </w:t>
      </w:r>
      <w:r w:rsidR="00947D47">
        <w:t xml:space="preserve">in </w:t>
      </w:r>
      <w:r w:rsidR="002151AD">
        <w:t xml:space="preserve">smoking cessation rates </w:t>
      </w:r>
      <w:r w:rsidR="00330FBF">
        <w:t xml:space="preserve">between longer duration </w:t>
      </w:r>
      <w:r w:rsidR="00421B9E">
        <w:t xml:space="preserve">therapy and shorter duration therapy </w:t>
      </w:r>
      <w:r w:rsidR="00EE4A86">
        <w:t>in all comparisons</w:t>
      </w:r>
      <w:r w:rsidR="00421B9E">
        <w:t xml:space="preserve"> for </w:t>
      </w:r>
      <w:r w:rsidR="001A22C0">
        <w:t xml:space="preserve">NRT </w:t>
      </w:r>
      <w:r w:rsidR="00573F59">
        <w:t>patches</w:t>
      </w:r>
      <w:r w:rsidR="001A22C0">
        <w:t xml:space="preserve"> or gum.</w:t>
      </w:r>
    </w:p>
    <w:p w:rsidR="002F4907" w:rsidRDefault="002F4907" w:rsidP="002F4907">
      <w:pPr>
        <w:pStyle w:val="Caption"/>
        <w:keepNext/>
      </w:pPr>
      <w:bookmarkStart w:id="188" w:name="_Ref62114919"/>
      <w:r>
        <w:t xml:space="preserve">Table </w:t>
      </w:r>
      <w:r w:rsidR="003C4A1C">
        <w:rPr>
          <w:noProof/>
        </w:rPr>
        <w:t>88</w:t>
      </w:r>
      <w:bookmarkEnd w:id="188"/>
      <w:r>
        <w:t xml:space="preserve">: </w:t>
      </w:r>
      <w:r w:rsidRPr="001D10A6">
        <w:t>Results of smoking cessation f</w:t>
      </w:r>
      <w:r w:rsidR="00C623F4">
        <w:t>or</w:t>
      </w:r>
      <w:r w:rsidRPr="001D10A6">
        <w:t xml:space="preserve"> at least six months follow-up in Lindson et al. 2019, duration of patch</w:t>
      </w:r>
      <w:r w:rsidR="0045102E">
        <w:t xml:space="preserve"> or gum</w:t>
      </w:r>
      <w:r w:rsidRPr="001D10A6">
        <w:t xml:space="preserve"> therapy</w:t>
      </w:r>
    </w:p>
    <w:tbl>
      <w:tblPr>
        <w:tblStyle w:val="TableGrid"/>
        <w:tblW w:w="5000" w:type="pct"/>
        <w:tblLook w:val="04A0" w:firstRow="1" w:lastRow="0" w:firstColumn="1" w:lastColumn="0" w:noHBand="0" w:noVBand="1"/>
        <w:tblCaption w:val="Efficacy results of adalimumab trials (PASI 75 and DLQI)"/>
      </w:tblPr>
      <w:tblGrid>
        <w:gridCol w:w="1271"/>
        <w:gridCol w:w="1699"/>
        <w:gridCol w:w="2128"/>
        <w:gridCol w:w="1985"/>
        <w:gridCol w:w="1933"/>
      </w:tblGrid>
      <w:tr w:rsidR="002F4907" w:rsidRPr="00061F78" w:rsidTr="002F4907">
        <w:trPr>
          <w:cantSplit/>
          <w:trHeight w:val="299"/>
          <w:tblHeader/>
        </w:trPr>
        <w:tc>
          <w:tcPr>
            <w:tcW w:w="705" w:type="pct"/>
            <w:shd w:val="clear" w:color="auto" w:fill="BFBFBF" w:themeFill="background1" w:themeFillShade="BF"/>
            <w:tcMar>
              <w:left w:w="28" w:type="dxa"/>
              <w:right w:w="28" w:type="dxa"/>
            </w:tcMar>
          </w:tcPr>
          <w:p w:rsidR="002F4907" w:rsidRPr="00061F78" w:rsidRDefault="002F4907" w:rsidP="003C4F2E">
            <w:pPr>
              <w:pStyle w:val="Tableheading"/>
              <w:keepNext/>
              <w:rPr>
                <w:rFonts w:eastAsia="MS Mincho"/>
              </w:rPr>
            </w:pPr>
            <w:r>
              <w:rPr>
                <w:rFonts w:eastAsia="MS Mincho"/>
              </w:rPr>
              <w:t>Study</w:t>
            </w:r>
          </w:p>
        </w:tc>
        <w:tc>
          <w:tcPr>
            <w:tcW w:w="942" w:type="pct"/>
            <w:shd w:val="clear" w:color="auto" w:fill="BFBFBF" w:themeFill="background1" w:themeFillShade="BF"/>
            <w:vAlign w:val="center"/>
          </w:tcPr>
          <w:p w:rsidR="002F4907" w:rsidRDefault="002F4907" w:rsidP="003C4F2E">
            <w:pPr>
              <w:pStyle w:val="Tableheading"/>
              <w:keepNext/>
              <w:jc w:val="center"/>
              <w:rPr>
                <w:rFonts w:eastAsia="MS Mincho"/>
              </w:rPr>
            </w:pPr>
            <w:r>
              <w:rPr>
                <w:rFonts w:eastAsia="MS Mincho"/>
              </w:rPr>
              <w:t>Study type</w:t>
            </w:r>
          </w:p>
        </w:tc>
        <w:tc>
          <w:tcPr>
            <w:tcW w:w="1180" w:type="pct"/>
            <w:shd w:val="clear" w:color="auto" w:fill="BFBFBF" w:themeFill="background1" w:themeFillShade="BF"/>
            <w:tcMar>
              <w:left w:w="28" w:type="dxa"/>
              <w:right w:w="28" w:type="dxa"/>
            </w:tcMar>
            <w:vAlign w:val="center"/>
          </w:tcPr>
          <w:p w:rsidR="002F4907" w:rsidRPr="00061F78" w:rsidRDefault="002F4907" w:rsidP="003C4F2E">
            <w:pPr>
              <w:pStyle w:val="Tableheading"/>
              <w:keepNext/>
              <w:jc w:val="center"/>
              <w:rPr>
                <w:rFonts w:eastAsia="MS Mincho"/>
              </w:rPr>
            </w:pPr>
            <w:r>
              <w:rPr>
                <w:rFonts w:eastAsia="MS Mincho"/>
              </w:rPr>
              <w:t>Longer duration</w:t>
            </w:r>
          </w:p>
        </w:tc>
        <w:tc>
          <w:tcPr>
            <w:tcW w:w="1101" w:type="pct"/>
            <w:shd w:val="clear" w:color="auto" w:fill="BFBFBF" w:themeFill="background1" w:themeFillShade="BF"/>
            <w:tcMar>
              <w:left w:w="28" w:type="dxa"/>
              <w:right w:w="28" w:type="dxa"/>
            </w:tcMar>
            <w:vAlign w:val="center"/>
          </w:tcPr>
          <w:p w:rsidR="002F4907" w:rsidRPr="00061F78" w:rsidRDefault="002F4907" w:rsidP="003C4F2E">
            <w:pPr>
              <w:pStyle w:val="Tableheading"/>
              <w:keepNext/>
              <w:jc w:val="center"/>
              <w:rPr>
                <w:rFonts w:eastAsia="MS Mincho"/>
              </w:rPr>
            </w:pPr>
            <w:r>
              <w:rPr>
                <w:rFonts w:eastAsia="MS Mincho"/>
              </w:rPr>
              <w:t>Shorter duration</w:t>
            </w:r>
          </w:p>
        </w:tc>
        <w:tc>
          <w:tcPr>
            <w:tcW w:w="1072" w:type="pct"/>
            <w:shd w:val="clear" w:color="auto" w:fill="BFBFBF" w:themeFill="background1" w:themeFillShade="BF"/>
            <w:tcMar>
              <w:left w:w="28" w:type="dxa"/>
              <w:right w:w="28" w:type="dxa"/>
            </w:tcMar>
            <w:vAlign w:val="center"/>
          </w:tcPr>
          <w:p w:rsidR="002F4907" w:rsidRPr="00F11F25" w:rsidRDefault="002F4907" w:rsidP="003C4F2E">
            <w:pPr>
              <w:pStyle w:val="Tableheading"/>
              <w:keepNext/>
              <w:jc w:val="center"/>
              <w:rPr>
                <w:rFonts w:eastAsia="MS Mincho"/>
                <w:vertAlign w:val="superscript"/>
              </w:rPr>
            </w:pPr>
            <w:r>
              <w:rPr>
                <w:rFonts w:eastAsia="MS Mincho"/>
              </w:rPr>
              <w:t>RR (95% CI)</w:t>
            </w:r>
            <w:r w:rsidR="00F11F25">
              <w:rPr>
                <w:rFonts w:eastAsia="MS Mincho"/>
                <w:vertAlign w:val="superscript"/>
              </w:rPr>
              <w:t>1</w:t>
            </w:r>
          </w:p>
        </w:tc>
      </w:tr>
      <w:tr w:rsidR="002F4907" w:rsidRPr="00061F78" w:rsidTr="003C4F2E">
        <w:trPr>
          <w:cantSplit/>
          <w:trHeight w:val="99"/>
        </w:trPr>
        <w:tc>
          <w:tcPr>
            <w:tcW w:w="5000" w:type="pct"/>
            <w:gridSpan w:val="5"/>
            <w:shd w:val="clear" w:color="auto" w:fill="auto"/>
            <w:tcMar>
              <w:left w:w="28" w:type="dxa"/>
              <w:right w:w="28" w:type="dxa"/>
            </w:tcMar>
          </w:tcPr>
          <w:p w:rsidR="002F4907" w:rsidRPr="002F4907" w:rsidRDefault="002F4907" w:rsidP="003C4F2E">
            <w:pPr>
              <w:pStyle w:val="Tablewriting"/>
              <w:keepNext/>
              <w:rPr>
                <w:rFonts w:eastAsia="MS Mincho"/>
                <w:b/>
                <w:bCs/>
                <w:highlight w:val="yellow"/>
              </w:rPr>
            </w:pPr>
            <w:r w:rsidRPr="002F4907">
              <w:rPr>
                <w:rFonts w:eastAsia="MS Mincho"/>
                <w:b/>
                <w:bCs/>
              </w:rPr>
              <w:t>52 weeks versus 24 weeks</w:t>
            </w:r>
            <w:r w:rsidR="0045102E">
              <w:rPr>
                <w:rFonts w:eastAsia="MS Mincho"/>
                <w:b/>
                <w:bCs/>
              </w:rPr>
              <w:t xml:space="preserve"> patch</w:t>
            </w:r>
          </w:p>
        </w:tc>
      </w:tr>
      <w:tr w:rsidR="002F4907" w:rsidRPr="00061F78" w:rsidTr="002F4907">
        <w:trPr>
          <w:cantSplit/>
          <w:trHeight w:val="99"/>
        </w:trPr>
        <w:tc>
          <w:tcPr>
            <w:tcW w:w="705" w:type="pct"/>
            <w:shd w:val="clear" w:color="auto" w:fill="auto"/>
            <w:tcMar>
              <w:left w:w="28" w:type="dxa"/>
              <w:right w:w="28" w:type="dxa"/>
            </w:tcMar>
            <w:vAlign w:val="center"/>
          </w:tcPr>
          <w:p w:rsidR="002F4907" w:rsidRDefault="002F4907" w:rsidP="003C4F2E">
            <w:pPr>
              <w:pStyle w:val="Tablewriting"/>
              <w:keepNext/>
              <w:rPr>
                <w:rFonts w:eastAsia="MS Mincho"/>
              </w:rPr>
            </w:pPr>
            <w:r>
              <w:rPr>
                <w:rFonts w:eastAsia="MS Mincho"/>
              </w:rPr>
              <w:t xml:space="preserve">Lindson </w:t>
            </w:r>
          </w:p>
          <w:p w:rsidR="002F4907" w:rsidRPr="005D18BC" w:rsidRDefault="002F4907" w:rsidP="003C4F2E">
            <w:pPr>
              <w:pStyle w:val="Tablewriting"/>
              <w:keepNext/>
              <w:rPr>
                <w:rFonts w:eastAsia="MS Mincho"/>
                <w:highlight w:val="yellow"/>
              </w:rPr>
            </w:pPr>
            <w:r>
              <w:rPr>
                <w:rFonts w:eastAsia="MS Mincho"/>
              </w:rPr>
              <w:t>(2019)</w:t>
            </w:r>
          </w:p>
        </w:tc>
        <w:tc>
          <w:tcPr>
            <w:tcW w:w="942" w:type="pct"/>
            <w:shd w:val="clear" w:color="auto" w:fill="auto"/>
            <w:vAlign w:val="center"/>
          </w:tcPr>
          <w:p w:rsidR="002F4907" w:rsidRPr="00FF3382" w:rsidRDefault="002F4907" w:rsidP="003C4F2E">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80" w:type="pct"/>
            <w:shd w:val="clear" w:color="auto" w:fill="auto"/>
            <w:tcMar>
              <w:left w:w="28" w:type="dxa"/>
              <w:right w:w="28" w:type="dxa"/>
            </w:tcMar>
            <w:vAlign w:val="center"/>
          </w:tcPr>
          <w:p w:rsidR="002F4907" w:rsidRPr="00081BA3" w:rsidRDefault="002F4907" w:rsidP="003C4F2E">
            <w:pPr>
              <w:pStyle w:val="Tablewriting"/>
              <w:keepNext/>
              <w:jc w:val="center"/>
              <w:rPr>
                <w:rFonts w:eastAsia="MS Mincho"/>
              </w:rPr>
            </w:pPr>
            <w:r w:rsidRPr="00081BA3">
              <w:rPr>
                <w:rFonts w:eastAsia="MS Mincho"/>
              </w:rPr>
              <w:t>35/172</w:t>
            </w:r>
          </w:p>
          <w:p w:rsidR="002F4907" w:rsidRPr="00081BA3" w:rsidRDefault="002F4907" w:rsidP="003C4F2E">
            <w:pPr>
              <w:pStyle w:val="Tablewriting"/>
              <w:keepNext/>
              <w:jc w:val="center"/>
              <w:rPr>
                <w:rFonts w:eastAsia="MS Mincho"/>
              </w:rPr>
            </w:pPr>
            <w:r w:rsidRPr="00081BA3">
              <w:rPr>
                <w:rFonts w:eastAsia="MS Mincho"/>
              </w:rPr>
              <w:t>(20.3%)</w:t>
            </w:r>
          </w:p>
        </w:tc>
        <w:tc>
          <w:tcPr>
            <w:tcW w:w="1101" w:type="pct"/>
            <w:shd w:val="clear" w:color="auto" w:fill="auto"/>
            <w:tcMar>
              <w:left w:w="28" w:type="dxa"/>
              <w:right w:w="28" w:type="dxa"/>
            </w:tcMar>
            <w:vAlign w:val="center"/>
          </w:tcPr>
          <w:p w:rsidR="002F4907" w:rsidRPr="00081BA3" w:rsidRDefault="002F4907" w:rsidP="003C4F2E">
            <w:pPr>
              <w:pStyle w:val="Tablewriting"/>
              <w:keepNext/>
              <w:jc w:val="center"/>
              <w:rPr>
                <w:rFonts w:eastAsia="MS Mincho"/>
              </w:rPr>
            </w:pPr>
            <w:r w:rsidRPr="00081BA3">
              <w:rPr>
                <w:rFonts w:eastAsia="MS Mincho"/>
              </w:rPr>
              <w:t>45/173</w:t>
            </w:r>
          </w:p>
          <w:p w:rsidR="002F4907" w:rsidRPr="00081BA3" w:rsidRDefault="002F4907" w:rsidP="003C4F2E">
            <w:pPr>
              <w:pStyle w:val="Tablewriting"/>
              <w:keepNext/>
              <w:jc w:val="center"/>
              <w:rPr>
                <w:rFonts w:eastAsia="MS Mincho"/>
              </w:rPr>
            </w:pPr>
            <w:r w:rsidRPr="00081BA3">
              <w:rPr>
                <w:rFonts w:eastAsia="MS Mincho"/>
              </w:rPr>
              <w:t>(26%)</w:t>
            </w:r>
          </w:p>
        </w:tc>
        <w:tc>
          <w:tcPr>
            <w:tcW w:w="1072" w:type="pct"/>
            <w:shd w:val="clear" w:color="auto" w:fill="auto"/>
            <w:tcMar>
              <w:left w:w="28" w:type="dxa"/>
              <w:right w:w="28" w:type="dxa"/>
            </w:tcMar>
            <w:vAlign w:val="center"/>
          </w:tcPr>
          <w:p w:rsidR="002F4907" w:rsidRDefault="002F4907" w:rsidP="003C4F2E">
            <w:pPr>
              <w:pStyle w:val="Tablewriting"/>
              <w:keepNext/>
              <w:jc w:val="center"/>
              <w:rPr>
                <w:rFonts w:eastAsia="MS Mincho"/>
              </w:rPr>
            </w:pPr>
            <w:r>
              <w:rPr>
                <w:rFonts w:eastAsia="MS Mincho"/>
              </w:rPr>
              <w:t>0.78</w:t>
            </w:r>
          </w:p>
          <w:p w:rsidR="002F4907" w:rsidRPr="005D18BC" w:rsidRDefault="002F4907" w:rsidP="003C4F2E">
            <w:pPr>
              <w:pStyle w:val="Tablewriting"/>
              <w:keepNext/>
              <w:jc w:val="center"/>
              <w:rPr>
                <w:rFonts w:eastAsia="MS Mincho"/>
                <w:highlight w:val="yellow"/>
              </w:rPr>
            </w:pPr>
            <w:r>
              <w:rPr>
                <w:rFonts w:eastAsia="MS Mincho"/>
              </w:rPr>
              <w:t>(0.53, 1.15)</w:t>
            </w:r>
          </w:p>
        </w:tc>
      </w:tr>
      <w:tr w:rsidR="002F4907" w:rsidRPr="00061F78" w:rsidTr="003C4F2E">
        <w:trPr>
          <w:cantSplit/>
          <w:trHeight w:val="99"/>
        </w:trPr>
        <w:tc>
          <w:tcPr>
            <w:tcW w:w="5000" w:type="pct"/>
            <w:gridSpan w:val="5"/>
            <w:shd w:val="clear" w:color="auto" w:fill="auto"/>
            <w:tcMar>
              <w:left w:w="28" w:type="dxa"/>
              <w:right w:w="28" w:type="dxa"/>
            </w:tcMar>
          </w:tcPr>
          <w:p w:rsidR="002F4907" w:rsidRPr="002F4907" w:rsidRDefault="002F4907" w:rsidP="003C4F2E">
            <w:pPr>
              <w:pStyle w:val="Tablewriting"/>
              <w:keepNext/>
              <w:rPr>
                <w:b/>
                <w:bCs/>
              </w:rPr>
            </w:pPr>
            <w:r w:rsidRPr="002F4907">
              <w:rPr>
                <w:b/>
                <w:bCs/>
              </w:rPr>
              <w:t>52 weeks versus 8 weeks</w:t>
            </w:r>
            <w:r w:rsidR="0045102E">
              <w:rPr>
                <w:b/>
                <w:bCs/>
              </w:rPr>
              <w:t xml:space="preserve"> patch</w:t>
            </w:r>
          </w:p>
        </w:tc>
      </w:tr>
      <w:tr w:rsidR="002F4907" w:rsidRPr="00061F78" w:rsidTr="002F4907">
        <w:trPr>
          <w:cantSplit/>
          <w:trHeight w:val="99"/>
        </w:trPr>
        <w:tc>
          <w:tcPr>
            <w:tcW w:w="705" w:type="pct"/>
            <w:shd w:val="clear" w:color="auto" w:fill="auto"/>
            <w:tcMar>
              <w:left w:w="28" w:type="dxa"/>
              <w:right w:w="28" w:type="dxa"/>
            </w:tcMar>
            <w:vAlign w:val="center"/>
          </w:tcPr>
          <w:p w:rsidR="002F4907" w:rsidRDefault="002F4907" w:rsidP="002F4907">
            <w:pPr>
              <w:pStyle w:val="Tablewriting"/>
              <w:keepNext/>
              <w:rPr>
                <w:rFonts w:eastAsia="MS Mincho"/>
              </w:rPr>
            </w:pPr>
            <w:r>
              <w:rPr>
                <w:rFonts w:eastAsia="MS Mincho"/>
              </w:rPr>
              <w:t xml:space="preserve">Lindson </w:t>
            </w:r>
          </w:p>
          <w:p w:rsidR="002F4907" w:rsidRPr="005D18BC" w:rsidRDefault="002F4907" w:rsidP="002F4907">
            <w:pPr>
              <w:pStyle w:val="Tablewriting"/>
              <w:keepNext/>
              <w:rPr>
                <w:rFonts w:eastAsia="MS Mincho"/>
                <w:highlight w:val="yellow"/>
              </w:rPr>
            </w:pPr>
            <w:r>
              <w:rPr>
                <w:rFonts w:eastAsia="MS Mincho"/>
              </w:rPr>
              <w:t>(2019)</w:t>
            </w:r>
          </w:p>
        </w:tc>
        <w:tc>
          <w:tcPr>
            <w:tcW w:w="942" w:type="pct"/>
            <w:shd w:val="clear" w:color="auto" w:fill="auto"/>
            <w:vAlign w:val="center"/>
          </w:tcPr>
          <w:p w:rsidR="002F4907" w:rsidRPr="00FF3382" w:rsidRDefault="002F4907" w:rsidP="002F4907">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80" w:type="pct"/>
            <w:shd w:val="clear" w:color="auto" w:fill="auto"/>
            <w:tcMar>
              <w:left w:w="28" w:type="dxa"/>
              <w:right w:w="28" w:type="dxa"/>
            </w:tcMar>
            <w:vAlign w:val="center"/>
          </w:tcPr>
          <w:p w:rsidR="002F4907" w:rsidRPr="00081BA3" w:rsidRDefault="002F4907" w:rsidP="002F4907">
            <w:pPr>
              <w:pStyle w:val="Tablewriting"/>
              <w:keepNext/>
              <w:jc w:val="center"/>
              <w:rPr>
                <w:rFonts w:eastAsia="MS Mincho"/>
              </w:rPr>
            </w:pPr>
            <w:r w:rsidRPr="00081BA3">
              <w:rPr>
                <w:rFonts w:eastAsia="MS Mincho"/>
              </w:rPr>
              <w:t>35/172</w:t>
            </w:r>
          </w:p>
          <w:p w:rsidR="002F4907" w:rsidRPr="00081BA3" w:rsidRDefault="002F4907" w:rsidP="002F4907">
            <w:pPr>
              <w:pStyle w:val="Tablewriting"/>
              <w:keepNext/>
              <w:jc w:val="center"/>
              <w:rPr>
                <w:rFonts w:eastAsia="MS Mincho"/>
              </w:rPr>
            </w:pPr>
            <w:r w:rsidRPr="00081BA3">
              <w:rPr>
                <w:rFonts w:eastAsia="MS Mincho"/>
              </w:rPr>
              <w:t>(20.3%)</w:t>
            </w:r>
          </w:p>
        </w:tc>
        <w:tc>
          <w:tcPr>
            <w:tcW w:w="1101" w:type="pct"/>
            <w:shd w:val="clear" w:color="auto" w:fill="auto"/>
            <w:tcMar>
              <w:left w:w="28" w:type="dxa"/>
              <w:right w:w="28" w:type="dxa"/>
            </w:tcMar>
            <w:vAlign w:val="center"/>
          </w:tcPr>
          <w:p w:rsidR="002F4907" w:rsidRPr="00081BA3" w:rsidRDefault="002F4907" w:rsidP="002F4907">
            <w:pPr>
              <w:pStyle w:val="Tablewriting"/>
              <w:keepNext/>
              <w:jc w:val="center"/>
              <w:rPr>
                <w:rFonts w:eastAsia="MS Mincho"/>
              </w:rPr>
            </w:pPr>
            <w:r w:rsidRPr="00081BA3">
              <w:rPr>
                <w:rFonts w:eastAsia="MS Mincho"/>
              </w:rPr>
              <w:t>39/180</w:t>
            </w:r>
          </w:p>
          <w:p w:rsidR="002F4907" w:rsidRPr="00081BA3" w:rsidRDefault="002F4907" w:rsidP="002F4907">
            <w:pPr>
              <w:pStyle w:val="Tablewriting"/>
              <w:keepNext/>
              <w:jc w:val="center"/>
              <w:rPr>
                <w:rFonts w:eastAsia="MS Mincho"/>
              </w:rPr>
            </w:pPr>
            <w:r w:rsidRPr="00081BA3">
              <w:rPr>
                <w:rFonts w:eastAsia="MS Mincho"/>
              </w:rPr>
              <w:t>(21.7%)</w:t>
            </w:r>
          </w:p>
        </w:tc>
        <w:tc>
          <w:tcPr>
            <w:tcW w:w="1072" w:type="pct"/>
            <w:shd w:val="clear" w:color="auto" w:fill="auto"/>
            <w:tcMar>
              <w:left w:w="28" w:type="dxa"/>
              <w:right w:w="28" w:type="dxa"/>
            </w:tcMar>
          </w:tcPr>
          <w:p w:rsidR="002F4907" w:rsidRDefault="002F4907" w:rsidP="002F4907">
            <w:pPr>
              <w:pStyle w:val="Tablewriting"/>
              <w:keepNext/>
              <w:jc w:val="center"/>
              <w:rPr>
                <w:rFonts w:eastAsia="MS Mincho"/>
              </w:rPr>
            </w:pPr>
            <w:r w:rsidRPr="001C2306">
              <w:rPr>
                <w:rFonts w:eastAsia="MS Mincho"/>
              </w:rPr>
              <w:t xml:space="preserve">0.94 </w:t>
            </w:r>
          </w:p>
          <w:p w:rsidR="002F4907" w:rsidRPr="005D18BC" w:rsidRDefault="002F4907" w:rsidP="002F4907">
            <w:pPr>
              <w:pStyle w:val="Tablewriting"/>
              <w:keepNext/>
              <w:jc w:val="center"/>
              <w:rPr>
                <w:rFonts w:eastAsia="MS Mincho"/>
                <w:highlight w:val="yellow"/>
              </w:rPr>
            </w:pPr>
            <w:r w:rsidRPr="001C2306">
              <w:rPr>
                <w:rFonts w:eastAsia="MS Mincho"/>
              </w:rPr>
              <w:t>(0.63, 1.41)</w:t>
            </w:r>
          </w:p>
        </w:tc>
      </w:tr>
      <w:tr w:rsidR="002F4907" w:rsidRPr="00061F78" w:rsidTr="003C4F2E">
        <w:trPr>
          <w:cantSplit/>
          <w:trHeight w:val="99"/>
        </w:trPr>
        <w:tc>
          <w:tcPr>
            <w:tcW w:w="5000" w:type="pct"/>
            <w:gridSpan w:val="5"/>
            <w:shd w:val="clear" w:color="auto" w:fill="auto"/>
            <w:tcMar>
              <w:left w:w="28" w:type="dxa"/>
              <w:right w:w="28" w:type="dxa"/>
            </w:tcMar>
          </w:tcPr>
          <w:p w:rsidR="002F4907" w:rsidRPr="002F4907" w:rsidRDefault="002F4907" w:rsidP="003C4F2E">
            <w:pPr>
              <w:pStyle w:val="Tablewriting"/>
              <w:keepNext/>
              <w:rPr>
                <w:b/>
                <w:bCs/>
              </w:rPr>
            </w:pPr>
            <w:r w:rsidRPr="002F4907">
              <w:rPr>
                <w:b/>
                <w:bCs/>
              </w:rPr>
              <w:t>28 weeks versus 12 weeks</w:t>
            </w:r>
            <w:r w:rsidR="0045102E">
              <w:rPr>
                <w:b/>
                <w:bCs/>
              </w:rPr>
              <w:t xml:space="preserve"> patch</w:t>
            </w:r>
          </w:p>
        </w:tc>
      </w:tr>
      <w:tr w:rsidR="002F4907" w:rsidRPr="00061F78" w:rsidTr="002F4907">
        <w:trPr>
          <w:cantSplit/>
          <w:trHeight w:val="99"/>
        </w:trPr>
        <w:tc>
          <w:tcPr>
            <w:tcW w:w="705" w:type="pct"/>
            <w:shd w:val="clear" w:color="auto" w:fill="auto"/>
            <w:tcMar>
              <w:left w:w="28" w:type="dxa"/>
              <w:right w:w="28" w:type="dxa"/>
            </w:tcMar>
            <w:vAlign w:val="center"/>
          </w:tcPr>
          <w:p w:rsidR="002F4907" w:rsidRDefault="002F4907" w:rsidP="002F4907">
            <w:pPr>
              <w:pStyle w:val="Tablewriting"/>
              <w:keepNext/>
              <w:rPr>
                <w:rFonts w:eastAsia="MS Mincho"/>
              </w:rPr>
            </w:pPr>
            <w:r>
              <w:rPr>
                <w:rFonts w:eastAsia="MS Mincho"/>
              </w:rPr>
              <w:t xml:space="preserve">Lindson </w:t>
            </w:r>
          </w:p>
          <w:p w:rsidR="002F4907" w:rsidRPr="005D18BC" w:rsidRDefault="002F4907" w:rsidP="002F4907">
            <w:pPr>
              <w:pStyle w:val="Tablewriting"/>
              <w:keepNext/>
              <w:rPr>
                <w:rFonts w:eastAsia="MS Mincho"/>
                <w:highlight w:val="yellow"/>
              </w:rPr>
            </w:pPr>
            <w:r>
              <w:rPr>
                <w:rFonts w:eastAsia="MS Mincho"/>
              </w:rPr>
              <w:t>(2019)</w:t>
            </w:r>
          </w:p>
        </w:tc>
        <w:tc>
          <w:tcPr>
            <w:tcW w:w="942" w:type="pct"/>
            <w:shd w:val="clear" w:color="auto" w:fill="auto"/>
            <w:vAlign w:val="center"/>
          </w:tcPr>
          <w:p w:rsidR="002F4907" w:rsidRPr="00FF3382" w:rsidRDefault="002F4907" w:rsidP="002F4907">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80" w:type="pct"/>
            <w:shd w:val="clear" w:color="auto" w:fill="auto"/>
            <w:tcMar>
              <w:left w:w="28" w:type="dxa"/>
              <w:right w:w="28" w:type="dxa"/>
            </w:tcMar>
            <w:vAlign w:val="center"/>
          </w:tcPr>
          <w:p w:rsidR="002F4907" w:rsidRPr="00081BA3" w:rsidRDefault="002F4907" w:rsidP="002F4907">
            <w:pPr>
              <w:pStyle w:val="Tablewriting"/>
              <w:keepNext/>
              <w:jc w:val="center"/>
              <w:rPr>
                <w:rFonts w:eastAsia="MS Mincho"/>
              </w:rPr>
            </w:pPr>
            <w:r w:rsidRPr="00081BA3">
              <w:rPr>
                <w:rFonts w:eastAsia="MS Mincho"/>
              </w:rPr>
              <w:t>208/1430</w:t>
            </w:r>
          </w:p>
          <w:p w:rsidR="002F4907" w:rsidRPr="00081BA3" w:rsidRDefault="002F4907" w:rsidP="002F4907">
            <w:pPr>
              <w:pStyle w:val="Tablewriting"/>
              <w:keepNext/>
              <w:jc w:val="center"/>
              <w:rPr>
                <w:rFonts w:eastAsia="MS Mincho"/>
              </w:rPr>
            </w:pPr>
            <w:r w:rsidRPr="00081BA3">
              <w:rPr>
                <w:rFonts w:eastAsia="MS Mincho"/>
              </w:rPr>
              <w:t>(14.5%)</w:t>
            </w:r>
          </w:p>
        </w:tc>
        <w:tc>
          <w:tcPr>
            <w:tcW w:w="1101" w:type="pct"/>
            <w:shd w:val="clear" w:color="auto" w:fill="auto"/>
            <w:tcMar>
              <w:left w:w="28" w:type="dxa"/>
              <w:right w:w="28" w:type="dxa"/>
            </w:tcMar>
            <w:vAlign w:val="center"/>
          </w:tcPr>
          <w:p w:rsidR="002F4907" w:rsidRPr="00081BA3" w:rsidRDefault="002F4907" w:rsidP="002F4907">
            <w:pPr>
              <w:pStyle w:val="Tablewriting"/>
              <w:keepNext/>
              <w:jc w:val="center"/>
              <w:rPr>
                <w:rFonts w:eastAsia="MS Mincho"/>
              </w:rPr>
            </w:pPr>
            <w:r w:rsidRPr="00081BA3">
              <w:rPr>
                <w:rFonts w:eastAsia="MS Mincho"/>
              </w:rPr>
              <w:t>198/1431</w:t>
            </w:r>
          </w:p>
          <w:p w:rsidR="002F4907" w:rsidRPr="00081BA3" w:rsidRDefault="002F4907" w:rsidP="002F4907">
            <w:pPr>
              <w:pStyle w:val="Tablewriting"/>
              <w:keepNext/>
              <w:jc w:val="center"/>
              <w:rPr>
                <w:rFonts w:eastAsia="MS Mincho"/>
              </w:rPr>
            </w:pPr>
            <w:r w:rsidRPr="00081BA3">
              <w:rPr>
                <w:rFonts w:eastAsia="MS Mincho"/>
              </w:rPr>
              <w:t>(13.8%)</w:t>
            </w:r>
          </w:p>
        </w:tc>
        <w:tc>
          <w:tcPr>
            <w:tcW w:w="1072" w:type="pct"/>
            <w:shd w:val="clear" w:color="auto" w:fill="auto"/>
            <w:tcMar>
              <w:left w:w="28" w:type="dxa"/>
              <w:right w:w="28" w:type="dxa"/>
            </w:tcMar>
            <w:vAlign w:val="center"/>
          </w:tcPr>
          <w:p w:rsidR="002F4907" w:rsidRDefault="002F4907" w:rsidP="002F4907">
            <w:pPr>
              <w:pStyle w:val="Tablewriting"/>
              <w:keepNext/>
              <w:jc w:val="center"/>
              <w:rPr>
                <w:rFonts w:eastAsia="MS Mincho"/>
              </w:rPr>
            </w:pPr>
            <w:r>
              <w:rPr>
                <w:rFonts w:eastAsia="MS Mincho"/>
              </w:rPr>
              <w:t>1.05</w:t>
            </w:r>
          </w:p>
          <w:p w:rsidR="002F4907" w:rsidRPr="005D18BC" w:rsidRDefault="002F4907" w:rsidP="002F4907">
            <w:pPr>
              <w:pStyle w:val="Tablewriting"/>
              <w:keepNext/>
              <w:jc w:val="center"/>
              <w:rPr>
                <w:rFonts w:eastAsia="MS Mincho"/>
                <w:highlight w:val="yellow"/>
              </w:rPr>
            </w:pPr>
            <w:r>
              <w:rPr>
                <w:rFonts w:eastAsia="MS Mincho"/>
              </w:rPr>
              <w:t>(0.88, 1.26)</w:t>
            </w:r>
          </w:p>
        </w:tc>
      </w:tr>
      <w:tr w:rsidR="002F4907" w:rsidRPr="00061F78" w:rsidTr="003C4F2E">
        <w:trPr>
          <w:cantSplit/>
          <w:trHeight w:val="99"/>
        </w:trPr>
        <w:tc>
          <w:tcPr>
            <w:tcW w:w="5000" w:type="pct"/>
            <w:gridSpan w:val="5"/>
            <w:shd w:val="clear" w:color="auto" w:fill="auto"/>
            <w:tcMar>
              <w:left w:w="28" w:type="dxa"/>
              <w:right w:w="28" w:type="dxa"/>
            </w:tcMar>
          </w:tcPr>
          <w:p w:rsidR="002F4907" w:rsidRPr="002F4907" w:rsidRDefault="002F4907" w:rsidP="003C4F2E">
            <w:pPr>
              <w:pStyle w:val="Tablewriting"/>
              <w:keepNext/>
              <w:rPr>
                <w:rFonts w:eastAsia="MS Mincho"/>
                <w:b/>
                <w:bCs/>
              </w:rPr>
            </w:pPr>
            <w:r w:rsidRPr="002F4907">
              <w:rPr>
                <w:rFonts w:eastAsia="MS Mincho"/>
                <w:b/>
                <w:bCs/>
              </w:rPr>
              <w:t>24 weeks versus 8 weeks</w:t>
            </w:r>
            <w:r w:rsidR="0045102E">
              <w:rPr>
                <w:rFonts w:eastAsia="MS Mincho"/>
                <w:b/>
                <w:bCs/>
              </w:rPr>
              <w:t xml:space="preserve"> patch</w:t>
            </w:r>
          </w:p>
        </w:tc>
      </w:tr>
      <w:tr w:rsidR="002F4907" w:rsidRPr="00061F78" w:rsidTr="002F4907">
        <w:trPr>
          <w:cantSplit/>
          <w:trHeight w:val="99"/>
        </w:trPr>
        <w:tc>
          <w:tcPr>
            <w:tcW w:w="705" w:type="pct"/>
            <w:shd w:val="clear" w:color="auto" w:fill="auto"/>
            <w:tcMar>
              <w:left w:w="28" w:type="dxa"/>
              <w:right w:w="28" w:type="dxa"/>
            </w:tcMar>
            <w:vAlign w:val="center"/>
          </w:tcPr>
          <w:p w:rsidR="002F4907" w:rsidRDefault="002F4907" w:rsidP="002F4907">
            <w:pPr>
              <w:pStyle w:val="Tablewriting"/>
              <w:keepNext/>
              <w:rPr>
                <w:rFonts w:eastAsia="MS Mincho"/>
              </w:rPr>
            </w:pPr>
            <w:r>
              <w:rPr>
                <w:rFonts w:eastAsia="MS Mincho"/>
              </w:rPr>
              <w:t xml:space="preserve">Lindson </w:t>
            </w:r>
          </w:p>
          <w:p w:rsidR="002F4907" w:rsidRPr="00FF579E" w:rsidRDefault="002F4907" w:rsidP="002F4907">
            <w:pPr>
              <w:pStyle w:val="Tablewriting"/>
              <w:keepNext/>
              <w:rPr>
                <w:rFonts w:eastAsia="MS Mincho"/>
              </w:rPr>
            </w:pPr>
            <w:r>
              <w:rPr>
                <w:rFonts w:eastAsia="MS Mincho"/>
              </w:rPr>
              <w:t>(2019)</w:t>
            </w:r>
          </w:p>
        </w:tc>
        <w:tc>
          <w:tcPr>
            <w:tcW w:w="942" w:type="pct"/>
            <w:shd w:val="clear" w:color="auto" w:fill="auto"/>
            <w:vAlign w:val="center"/>
          </w:tcPr>
          <w:p w:rsidR="002F4907" w:rsidRPr="00FF579E" w:rsidRDefault="002F4907" w:rsidP="002F4907">
            <w:pPr>
              <w:pStyle w:val="Tablewriting"/>
              <w:keepNext/>
              <w:jc w:val="center"/>
              <w:rPr>
                <w:rFonts w:eastAsia="MS Mincho"/>
              </w:rPr>
            </w:pPr>
            <w:r>
              <w:rPr>
                <w:rFonts w:eastAsia="MS Mincho"/>
              </w:rPr>
              <w:t xml:space="preserve">Cochrane Review (2 </w:t>
            </w:r>
            <w:r w:rsidRPr="00FF3382">
              <w:rPr>
                <w:rFonts w:eastAsia="MS Mincho"/>
              </w:rPr>
              <w:t>RCT</w:t>
            </w:r>
            <w:r>
              <w:rPr>
                <w:rFonts w:eastAsia="MS Mincho"/>
              </w:rPr>
              <w:t>s)</w:t>
            </w:r>
          </w:p>
        </w:tc>
        <w:tc>
          <w:tcPr>
            <w:tcW w:w="1180" w:type="pct"/>
            <w:shd w:val="clear" w:color="auto" w:fill="auto"/>
            <w:tcMar>
              <w:left w:w="28" w:type="dxa"/>
              <w:right w:w="28" w:type="dxa"/>
            </w:tcMar>
            <w:vAlign w:val="center"/>
          </w:tcPr>
          <w:p w:rsidR="002F4907" w:rsidRDefault="005F7DF0" w:rsidP="002F4907">
            <w:pPr>
              <w:pStyle w:val="Tablewriting"/>
              <w:keepNext/>
              <w:jc w:val="center"/>
              <w:rPr>
                <w:rFonts w:eastAsia="MS Mincho"/>
              </w:rPr>
            </w:pPr>
            <w:r>
              <w:rPr>
                <w:rFonts w:eastAsia="MS Mincho"/>
              </w:rPr>
              <w:t>86/455</w:t>
            </w:r>
          </w:p>
          <w:p w:rsidR="005F7DF0" w:rsidRPr="00FF579E" w:rsidRDefault="005F7DF0" w:rsidP="002F4907">
            <w:pPr>
              <w:pStyle w:val="Tablewriting"/>
              <w:keepNext/>
              <w:jc w:val="center"/>
              <w:rPr>
                <w:rFonts w:eastAsia="MS Mincho"/>
              </w:rPr>
            </w:pPr>
            <w:r>
              <w:rPr>
                <w:rFonts w:eastAsia="MS Mincho"/>
              </w:rPr>
              <w:t>(</w:t>
            </w:r>
            <w:r w:rsidR="0018615F">
              <w:rPr>
                <w:rFonts w:eastAsia="MS Mincho"/>
              </w:rPr>
              <w:t>18.9</w:t>
            </w:r>
            <w:r>
              <w:rPr>
                <w:rFonts w:eastAsia="MS Mincho"/>
              </w:rPr>
              <w:t>%)</w:t>
            </w:r>
          </w:p>
        </w:tc>
        <w:tc>
          <w:tcPr>
            <w:tcW w:w="1101" w:type="pct"/>
            <w:shd w:val="clear" w:color="auto" w:fill="auto"/>
            <w:tcMar>
              <w:left w:w="28" w:type="dxa"/>
              <w:right w:w="28" w:type="dxa"/>
            </w:tcMar>
            <w:vAlign w:val="center"/>
          </w:tcPr>
          <w:p w:rsidR="002F4907" w:rsidRDefault="005F7DF0" w:rsidP="002F4907">
            <w:pPr>
              <w:pStyle w:val="Tablewriting"/>
              <w:keepNext/>
              <w:jc w:val="center"/>
              <w:rPr>
                <w:rFonts w:eastAsia="MS Mincho"/>
              </w:rPr>
            </w:pPr>
            <w:r>
              <w:rPr>
                <w:rFonts w:eastAsia="MS Mincho"/>
              </w:rPr>
              <w:t>80/466</w:t>
            </w:r>
          </w:p>
          <w:p w:rsidR="005F7DF0" w:rsidRPr="00FF579E" w:rsidRDefault="005F7DF0" w:rsidP="002F4907">
            <w:pPr>
              <w:pStyle w:val="Tablewriting"/>
              <w:keepNext/>
              <w:jc w:val="center"/>
              <w:rPr>
                <w:rFonts w:eastAsia="MS Mincho"/>
              </w:rPr>
            </w:pPr>
            <w:r>
              <w:rPr>
                <w:rFonts w:eastAsia="MS Mincho"/>
              </w:rPr>
              <w:t>(</w:t>
            </w:r>
            <w:r w:rsidR="0018615F">
              <w:rPr>
                <w:rFonts w:eastAsia="MS Mincho"/>
              </w:rPr>
              <w:t>17.2</w:t>
            </w:r>
            <w:r>
              <w:rPr>
                <w:rFonts w:eastAsia="MS Mincho"/>
              </w:rPr>
              <w:t>%)</w:t>
            </w:r>
          </w:p>
        </w:tc>
        <w:tc>
          <w:tcPr>
            <w:tcW w:w="1072" w:type="pct"/>
            <w:shd w:val="clear" w:color="auto" w:fill="auto"/>
            <w:tcMar>
              <w:left w:w="28" w:type="dxa"/>
              <w:right w:w="28" w:type="dxa"/>
            </w:tcMar>
            <w:vAlign w:val="center"/>
          </w:tcPr>
          <w:p w:rsidR="002F4907" w:rsidRPr="006A3C28" w:rsidRDefault="002F4907" w:rsidP="002F4907">
            <w:pPr>
              <w:pStyle w:val="Tablewriting"/>
              <w:keepNext/>
              <w:jc w:val="center"/>
              <w:rPr>
                <w:rFonts w:eastAsia="MS Mincho"/>
              </w:rPr>
            </w:pPr>
            <w:r w:rsidRPr="006A3C28">
              <w:rPr>
                <w:rFonts w:eastAsia="MS Mincho"/>
              </w:rPr>
              <w:t>1.1</w:t>
            </w:r>
          </w:p>
          <w:p w:rsidR="002F4907" w:rsidRPr="005D18BC" w:rsidRDefault="002F4907" w:rsidP="002F4907">
            <w:pPr>
              <w:pStyle w:val="Tablewriting"/>
              <w:keepNext/>
              <w:jc w:val="center"/>
              <w:rPr>
                <w:rFonts w:eastAsia="MS Mincho"/>
                <w:highlight w:val="yellow"/>
              </w:rPr>
            </w:pPr>
            <w:r w:rsidRPr="006A3C28">
              <w:rPr>
                <w:rFonts w:eastAsia="MS Mincho"/>
              </w:rPr>
              <w:t>(0.84, 1.45)</w:t>
            </w:r>
          </w:p>
        </w:tc>
      </w:tr>
      <w:tr w:rsidR="002F4907" w:rsidRPr="00061F78" w:rsidTr="003C4F2E">
        <w:trPr>
          <w:cantSplit/>
          <w:trHeight w:val="99"/>
        </w:trPr>
        <w:tc>
          <w:tcPr>
            <w:tcW w:w="5000" w:type="pct"/>
            <w:gridSpan w:val="5"/>
            <w:shd w:val="clear" w:color="auto" w:fill="auto"/>
            <w:tcMar>
              <w:left w:w="28" w:type="dxa"/>
              <w:right w:w="28" w:type="dxa"/>
            </w:tcMar>
          </w:tcPr>
          <w:p w:rsidR="002F4907" w:rsidRPr="002F4907" w:rsidRDefault="002F4907" w:rsidP="003C4F2E">
            <w:pPr>
              <w:pStyle w:val="Tablewriting"/>
              <w:keepNext/>
              <w:rPr>
                <w:rFonts w:eastAsia="MS Mincho"/>
                <w:b/>
                <w:bCs/>
              </w:rPr>
            </w:pPr>
            <w:r w:rsidRPr="002F4907">
              <w:rPr>
                <w:rFonts w:eastAsia="MS Mincho"/>
                <w:b/>
                <w:bCs/>
              </w:rPr>
              <w:t>12 weeks versus 6 weeks</w:t>
            </w:r>
            <w:r w:rsidR="0045102E">
              <w:rPr>
                <w:rFonts w:eastAsia="MS Mincho"/>
                <w:b/>
                <w:bCs/>
              </w:rPr>
              <w:t xml:space="preserve"> patch</w:t>
            </w:r>
          </w:p>
        </w:tc>
      </w:tr>
      <w:tr w:rsidR="002F4907" w:rsidRPr="00061F78" w:rsidTr="002F4907">
        <w:trPr>
          <w:cantSplit/>
          <w:trHeight w:val="99"/>
        </w:trPr>
        <w:tc>
          <w:tcPr>
            <w:tcW w:w="705" w:type="pct"/>
            <w:shd w:val="clear" w:color="auto" w:fill="auto"/>
            <w:tcMar>
              <w:left w:w="28" w:type="dxa"/>
              <w:right w:w="28" w:type="dxa"/>
            </w:tcMar>
            <w:vAlign w:val="center"/>
          </w:tcPr>
          <w:p w:rsidR="002F4907" w:rsidRDefault="002F4907" w:rsidP="002F4907">
            <w:pPr>
              <w:pStyle w:val="Tablewriting"/>
              <w:keepNext/>
              <w:rPr>
                <w:rFonts w:eastAsia="MS Mincho"/>
              </w:rPr>
            </w:pPr>
            <w:r>
              <w:rPr>
                <w:rFonts w:eastAsia="MS Mincho"/>
              </w:rPr>
              <w:t xml:space="preserve">Lindson </w:t>
            </w:r>
          </w:p>
          <w:p w:rsidR="002F4907" w:rsidRPr="005D18BC" w:rsidRDefault="002F4907" w:rsidP="002F4907">
            <w:pPr>
              <w:pStyle w:val="Tablewriting"/>
              <w:keepNext/>
              <w:rPr>
                <w:rFonts w:eastAsia="MS Mincho"/>
                <w:highlight w:val="yellow"/>
              </w:rPr>
            </w:pPr>
            <w:r>
              <w:rPr>
                <w:rFonts w:eastAsia="MS Mincho"/>
              </w:rPr>
              <w:t>(2019)</w:t>
            </w:r>
          </w:p>
        </w:tc>
        <w:tc>
          <w:tcPr>
            <w:tcW w:w="942" w:type="pct"/>
            <w:shd w:val="clear" w:color="auto" w:fill="auto"/>
            <w:vAlign w:val="center"/>
          </w:tcPr>
          <w:p w:rsidR="002F4907" w:rsidRPr="00FF3382" w:rsidRDefault="002F4907" w:rsidP="002F4907">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80" w:type="pct"/>
            <w:shd w:val="clear" w:color="auto" w:fill="auto"/>
            <w:tcMar>
              <w:left w:w="28" w:type="dxa"/>
              <w:right w:w="28" w:type="dxa"/>
            </w:tcMar>
            <w:vAlign w:val="center"/>
          </w:tcPr>
          <w:p w:rsidR="002F4907" w:rsidRPr="00081BA3" w:rsidRDefault="002F4907" w:rsidP="002F4907">
            <w:pPr>
              <w:pStyle w:val="Tablewriting"/>
              <w:keepNext/>
              <w:jc w:val="center"/>
              <w:rPr>
                <w:rFonts w:eastAsia="MS Mincho"/>
              </w:rPr>
            </w:pPr>
            <w:r w:rsidRPr="00081BA3">
              <w:rPr>
                <w:rFonts w:eastAsia="MS Mincho"/>
              </w:rPr>
              <w:t>21/69</w:t>
            </w:r>
          </w:p>
          <w:p w:rsidR="002F4907" w:rsidRPr="00081BA3" w:rsidRDefault="002F4907" w:rsidP="002F4907">
            <w:pPr>
              <w:pStyle w:val="Tablewriting"/>
              <w:keepNext/>
              <w:jc w:val="center"/>
              <w:rPr>
                <w:rFonts w:eastAsia="MS Mincho"/>
              </w:rPr>
            </w:pPr>
            <w:r w:rsidRPr="00081BA3">
              <w:rPr>
                <w:rFonts w:eastAsia="MS Mincho"/>
              </w:rPr>
              <w:t>(30.4%)</w:t>
            </w:r>
          </w:p>
        </w:tc>
        <w:tc>
          <w:tcPr>
            <w:tcW w:w="1101" w:type="pct"/>
            <w:shd w:val="clear" w:color="auto" w:fill="auto"/>
            <w:tcMar>
              <w:left w:w="28" w:type="dxa"/>
              <w:right w:w="28" w:type="dxa"/>
            </w:tcMar>
            <w:vAlign w:val="center"/>
          </w:tcPr>
          <w:p w:rsidR="002F4907" w:rsidRPr="00081BA3" w:rsidRDefault="002F4907" w:rsidP="002F4907">
            <w:pPr>
              <w:pStyle w:val="Tablewriting"/>
              <w:keepNext/>
              <w:jc w:val="center"/>
              <w:rPr>
                <w:rFonts w:eastAsia="MS Mincho"/>
              </w:rPr>
            </w:pPr>
            <w:r w:rsidRPr="00081BA3">
              <w:rPr>
                <w:rFonts w:eastAsia="MS Mincho"/>
              </w:rPr>
              <w:t>21/71</w:t>
            </w:r>
          </w:p>
          <w:p w:rsidR="002F4907" w:rsidRPr="00081BA3" w:rsidRDefault="002F4907" w:rsidP="002F4907">
            <w:pPr>
              <w:pStyle w:val="Tablewriting"/>
              <w:keepNext/>
              <w:jc w:val="center"/>
              <w:rPr>
                <w:rFonts w:eastAsia="MS Mincho"/>
              </w:rPr>
            </w:pPr>
            <w:r w:rsidRPr="00081BA3">
              <w:rPr>
                <w:rFonts w:eastAsia="MS Mincho"/>
              </w:rPr>
              <w:t>(29.6%)</w:t>
            </w:r>
          </w:p>
        </w:tc>
        <w:tc>
          <w:tcPr>
            <w:tcW w:w="1072" w:type="pct"/>
            <w:shd w:val="clear" w:color="auto" w:fill="auto"/>
            <w:tcMar>
              <w:left w:w="28" w:type="dxa"/>
              <w:right w:w="28" w:type="dxa"/>
            </w:tcMar>
            <w:vAlign w:val="center"/>
          </w:tcPr>
          <w:p w:rsidR="002F4907" w:rsidRDefault="002F4907" w:rsidP="002F4907">
            <w:pPr>
              <w:pStyle w:val="Tablewriting"/>
              <w:keepNext/>
              <w:jc w:val="center"/>
              <w:rPr>
                <w:rFonts w:eastAsia="MS Mincho"/>
              </w:rPr>
            </w:pPr>
            <w:r>
              <w:rPr>
                <w:rFonts w:eastAsia="MS Mincho"/>
              </w:rPr>
              <w:t>1.03</w:t>
            </w:r>
          </w:p>
          <w:p w:rsidR="002F4907" w:rsidRPr="005D18BC" w:rsidRDefault="002F4907" w:rsidP="002F4907">
            <w:pPr>
              <w:pStyle w:val="Tablewriting"/>
              <w:keepNext/>
              <w:jc w:val="center"/>
              <w:rPr>
                <w:rFonts w:eastAsia="MS Mincho"/>
                <w:highlight w:val="yellow"/>
              </w:rPr>
            </w:pPr>
            <w:r>
              <w:rPr>
                <w:rFonts w:eastAsia="MS Mincho"/>
              </w:rPr>
              <w:t>(0.62, 1.71)</w:t>
            </w:r>
          </w:p>
        </w:tc>
      </w:tr>
      <w:tr w:rsidR="002F4907" w:rsidRPr="00061F78" w:rsidTr="003C4F2E">
        <w:trPr>
          <w:cantSplit/>
          <w:trHeight w:val="99"/>
        </w:trPr>
        <w:tc>
          <w:tcPr>
            <w:tcW w:w="5000" w:type="pct"/>
            <w:gridSpan w:val="5"/>
            <w:shd w:val="clear" w:color="auto" w:fill="auto"/>
            <w:tcMar>
              <w:left w:w="28" w:type="dxa"/>
              <w:right w:w="28" w:type="dxa"/>
            </w:tcMar>
          </w:tcPr>
          <w:p w:rsidR="002F4907" w:rsidRPr="002F4907" w:rsidRDefault="002F4907" w:rsidP="003C4F2E">
            <w:pPr>
              <w:pStyle w:val="Tablewriting"/>
              <w:keepNext/>
              <w:rPr>
                <w:rFonts w:eastAsia="MS Mincho"/>
                <w:b/>
                <w:bCs/>
              </w:rPr>
            </w:pPr>
            <w:r w:rsidRPr="002F4907">
              <w:rPr>
                <w:rFonts w:eastAsia="MS Mincho"/>
                <w:b/>
                <w:bCs/>
              </w:rPr>
              <w:t>12 weeks versus 3 weeks</w:t>
            </w:r>
            <w:r w:rsidR="0045102E">
              <w:rPr>
                <w:rFonts w:eastAsia="MS Mincho"/>
                <w:b/>
                <w:bCs/>
              </w:rPr>
              <w:t xml:space="preserve"> patch</w:t>
            </w:r>
          </w:p>
        </w:tc>
      </w:tr>
      <w:tr w:rsidR="002F4907" w:rsidRPr="00061F78" w:rsidTr="002F4907">
        <w:trPr>
          <w:cantSplit/>
          <w:trHeight w:val="99"/>
        </w:trPr>
        <w:tc>
          <w:tcPr>
            <w:tcW w:w="705" w:type="pct"/>
            <w:shd w:val="clear" w:color="auto" w:fill="auto"/>
            <w:tcMar>
              <w:left w:w="28" w:type="dxa"/>
              <w:right w:w="28" w:type="dxa"/>
            </w:tcMar>
            <w:vAlign w:val="center"/>
          </w:tcPr>
          <w:p w:rsidR="002F4907" w:rsidRDefault="002F4907" w:rsidP="002F4907">
            <w:pPr>
              <w:pStyle w:val="Tablewriting"/>
              <w:keepNext/>
              <w:rPr>
                <w:rFonts w:eastAsia="MS Mincho"/>
              </w:rPr>
            </w:pPr>
            <w:r>
              <w:rPr>
                <w:rFonts w:eastAsia="MS Mincho"/>
              </w:rPr>
              <w:t xml:space="preserve">Lindson </w:t>
            </w:r>
          </w:p>
          <w:p w:rsidR="002F4907" w:rsidRPr="005D18BC" w:rsidRDefault="002F4907" w:rsidP="002F4907">
            <w:pPr>
              <w:pStyle w:val="Tablewriting"/>
              <w:keepNext/>
              <w:rPr>
                <w:rFonts w:eastAsia="MS Mincho"/>
                <w:highlight w:val="yellow"/>
              </w:rPr>
            </w:pPr>
            <w:r>
              <w:rPr>
                <w:rFonts w:eastAsia="MS Mincho"/>
              </w:rPr>
              <w:t>(2019)</w:t>
            </w:r>
          </w:p>
        </w:tc>
        <w:tc>
          <w:tcPr>
            <w:tcW w:w="942" w:type="pct"/>
            <w:shd w:val="clear" w:color="auto" w:fill="auto"/>
            <w:vAlign w:val="center"/>
          </w:tcPr>
          <w:p w:rsidR="002F4907" w:rsidRPr="00FF3382" w:rsidRDefault="002F4907" w:rsidP="002F4907">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80" w:type="pct"/>
            <w:shd w:val="clear" w:color="auto" w:fill="auto"/>
            <w:tcMar>
              <w:left w:w="28" w:type="dxa"/>
              <w:right w:w="28" w:type="dxa"/>
            </w:tcMar>
            <w:vAlign w:val="center"/>
          </w:tcPr>
          <w:p w:rsidR="002F4907" w:rsidRPr="00081BA3" w:rsidRDefault="002F4907" w:rsidP="002F4907">
            <w:pPr>
              <w:pStyle w:val="Tablewriting"/>
              <w:keepNext/>
              <w:jc w:val="center"/>
              <w:rPr>
                <w:rFonts w:eastAsia="MS Mincho"/>
              </w:rPr>
            </w:pPr>
            <w:r w:rsidRPr="00081BA3">
              <w:rPr>
                <w:rFonts w:eastAsia="MS Mincho"/>
              </w:rPr>
              <w:t>7/48</w:t>
            </w:r>
          </w:p>
          <w:p w:rsidR="002F4907" w:rsidRPr="00081BA3" w:rsidRDefault="002F4907" w:rsidP="002F4907">
            <w:pPr>
              <w:pStyle w:val="Tablewriting"/>
              <w:keepNext/>
              <w:jc w:val="center"/>
              <w:rPr>
                <w:rFonts w:eastAsia="MS Mincho"/>
              </w:rPr>
            </w:pPr>
            <w:r w:rsidRPr="00081BA3">
              <w:rPr>
                <w:rFonts w:eastAsia="MS Mincho"/>
              </w:rPr>
              <w:t>(14.6%)</w:t>
            </w:r>
          </w:p>
        </w:tc>
        <w:tc>
          <w:tcPr>
            <w:tcW w:w="1101" w:type="pct"/>
            <w:shd w:val="clear" w:color="auto" w:fill="auto"/>
            <w:tcMar>
              <w:left w:w="28" w:type="dxa"/>
              <w:right w:w="28" w:type="dxa"/>
            </w:tcMar>
            <w:vAlign w:val="center"/>
          </w:tcPr>
          <w:p w:rsidR="002F4907" w:rsidRPr="00081BA3" w:rsidRDefault="002F4907" w:rsidP="002F4907">
            <w:pPr>
              <w:pStyle w:val="Tablewriting"/>
              <w:keepNext/>
              <w:jc w:val="center"/>
              <w:rPr>
                <w:rFonts w:eastAsia="MS Mincho"/>
              </w:rPr>
            </w:pPr>
            <w:r w:rsidRPr="00081BA3">
              <w:rPr>
                <w:rFonts w:eastAsia="MS Mincho"/>
              </w:rPr>
              <w:t>12/50</w:t>
            </w:r>
          </w:p>
          <w:p w:rsidR="002F4907" w:rsidRPr="00081BA3" w:rsidRDefault="002F4907" w:rsidP="002F4907">
            <w:pPr>
              <w:pStyle w:val="Tablewriting"/>
              <w:keepNext/>
              <w:jc w:val="center"/>
              <w:rPr>
                <w:rFonts w:eastAsia="MS Mincho"/>
              </w:rPr>
            </w:pPr>
            <w:r w:rsidRPr="00081BA3">
              <w:rPr>
                <w:rFonts w:eastAsia="MS Mincho"/>
              </w:rPr>
              <w:t>(24%)</w:t>
            </w:r>
          </w:p>
        </w:tc>
        <w:tc>
          <w:tcPr>
            <w:tcW w:w="1072" w:type="pct"/>
            <w:shd w:val="clear" w:color="auto" w:fill="auto"/>
            <w:tcMar>
              <w:left w:w="28" w:type="dxa"/>
              <w:right w:w="28" w:type="dxa"/>
            </w:tcMar>
            <w:vAlign w:val="center"/>
          </w:tcPr>
          <w:p w:rsidR="002F4907" w:rsidRDefault="002F4907" w:rsidP="002F4907">
            <w:pPr>
              <w:pStyle w:val="Tablewriting"/>
              <w:keepNext/>
              <w:jc w:val="center"/>
              <w:rPr>
                <w:rFonts w:eastAsia="MS Mincho"/>
              </w:rPr>
            </w:pPr>
            <w:r>
              <w:rPr>
                <w:rFonts w:eastAsia="MS Mincho"/>
              </w:rPr>
              <w:t xml:space="preserve">0.61 </w:t>
            </w:r>
          </w:p>
          <w:p w:rsidR="002F4907" w:rsidRPr="005D18BC" w:rsidRDefault="002F4907" w:rsidP="002F4907">
            <w:pPr>
              <w:pStyle w:val="Tablewriting"/>
              <w:keepNext/>
              <w:jc w:val="center"/>
              <w:rPr>
                <w:rFonts w:eastAsia="MS Mincho"/>
                <w:highlight w:val="yellow"/>
              </w:rPr>
            </w:pPr>
            <w:r>
              <w:rPr>
                <w:rFonts w:eastAsia="MS Mincho"/>
              </w:rPr>
              <w:t>(0.26, 1.41)</w:t>
            </w:r>
          </w:p>
        </w:tc>
      </w:tr>
      <w:tr w:rsidR="002F4907" w:rsidRPr="00061F78" w:rsidTr="003C4F2E">
        <w:trPr>
          <w:cantSplit/>
          <w:trHeight w:val="99"/>
        </w:trPr>
        <w:tc>
          <w:tcPr>
            <w:tcW w:w="5000" w:type="pct"/>
            <w:gridSpan w:val="5"/>
            <w:shd w:val="clear" w:color="auto" w:fill="auto"/>
            <w:tcMar>
              <w:left w:w="28" w:type="dxa"/>
              <w:right w:w="28" w:type="dxa"/>
            </w:tcMar>
          </w:tcPr>
          <w:p w:rsidR="002F4907" w:rsidRPr="002F4907" w:rsidRDefault="002F4907" w:rsidP="003C4F2E">
            <w:pPr>
              <w:pStyle w:val="Tablewriting"/>
              <w:keepNext/>
              <w:rPr>
                <w:rFonts w:eastAsia="MS Mincho"/>
                <w:b/>
                <w:bCs/>
              </w:rPr>
            </w:pPr>
            <w:r w:rsidRPr="002F4907">
              <w:rPr>
                <w:rFonts w:eastAsia="MS Mincho"/>
                <w:b/>
                <w:bCs/>
              </w:rPr>
              <w:t>6 weeks versus 4 weeks</w:t>
            </w:r>
            <w:r w:rsidR="0045102E">
              <w:rPr>
                <w:rFonts w:eastAsia="MS Mincho"/>
                <w:b/>
                <w:bCs/>
              </w:rPr>
              <w:t xml:space="preserve"> patch</w:t>
            </w:r>
          </w:p>
        </w:tc>
      </w:tr>
      <w:tr w:rsidR="002F4907" w:rsidRPr="00061F78" w:rsidTr="002F4907">
        <w:trPr>
          <w:cantSplit/>
          <w:trHeight w:val="99"/>
        </w:trPr>
        <w:tc>
          <w:tcPr>
            <w:tcW w:w="705" w:type="pct"/>
            <w:shd w:val="clear" w:color="auto" w:fill="auto"/>
            <w:tcMar>
              <w:left w:w="28" w:type="dxa"/>
              <w:right w:w="28" w:type="dxa"/>
            </w:tcMar>
            <w:vAlign w:val="center"/>
          </w:tcPr>
          <w:p w:rsidR="002F4907" w:rsidRDefault="002F4907" w:rsidP="002F4907">
            <w:pPr>
              <w:pStyle w:val="Tablewriting"/>
              <w:keepNext/>
              <w:rPr>
                <w:rFonts w:eastAsia="MS Mincho"/>
              </w:rPr>
            </w:pPr>
            <w:r>
              <w:rPr>
                <w:rFonts w:eastAsia="MS Mincho"/>
              </w:rPr>
              <w:t xml:space="preserve">Lindson </w:t>
            </w:r>
          </w:p>
          <w:p w:rsidR="002F4907" w:rsidRPr="005D18BC" w:rsidRDefault="002F4907" w:rsidP="002F4907">
            <w:pPr>
              <w:pStyle w:val="Tablewriting"/>
              <w:keepNext/>
              <w:rPr>
                <w:rFonts w:eastAsia="MS Mincho"/>
                <w:highlight w:val="yellow"/>
              </w:rPr>
            </w:pPr>
            <w:r>
              <w:rPr>
                <w:rFonts w:eastAsia="MS Mincho"/>
              </w:rPr>
              <w:t>(2019)</w:t>
            </w:r>
          </w:p>
        </w:tc>
        <w:tc>
          <w:tcPr>
            <w:tcW w:w="942" w:type="pct"/>
            <w:shd w:val="clear" w:color="auto" w:fill="auto"/>
            <w:vAlign w:val="center"/>
          </w:tcPr>
          <w:p w:rsidR="002F4907" w:rsidRPr="00FF3382" w:rsidRDefault="002F4907" w:rsidP="002F4907">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80" w:type="pct"/>
            <w:shd w:val="clear" w:color="auto" w:fill="auto"/>
            <w:tcMar>
              <w:left w:w="28" w:type="dxa"/>
              <w:right w:w="28" w:type="dxa"/>
            </w:tcMar>
            <w:vAlign w:val="center"/>
          </w:tcPr>
          <w:p w:rsidR="002F4907" w:rsidRPr="00081BA3" w:rsidRDefault="002F4907" w:rsidP="002F4907">
            <w:pPr>
              <w:pStyle w:val="Tablewriting"/>
              <w:keepNext/>
              <w:jc w:val="center"/>
              <w:rPr>
                <w:rFonts w:eastAsia="MS Mincho"/>
              </w:rPr>
            </w:pPr>
            <w:r w:rsidRPr="00081BA3">
              <w:rPr>
                <w:rFonts w:eastAsia="MS Mincho"/>
              </w:rPr>
              <w:t>134/944</w:t>
            </w:r>
          </w:p>
          <w:p w:rsidR="002F4907" w:rsidRPr="00081BA3" w:rsidRDefault="002F4907" w:rsidP="002F4907">
            <w:pPr>
              <w:pStyle w:val="Tablewriting"/>
              <w:keepNext/>
              <w:jc w:val="center"/>
              <w:rPr>
                <w:rFonts w:eastAsia="MS Mincho"/>
              </w:rPr>
            </w:pPr>
            <w:r w:rsidRPr="00081BA3">
              <w:rPr>
                <w:rFonts w:eastAsia="MS Mincho"/>
              </w:rPr>
              <w:t>(14.2%)</w:t>
            </w:r>
          </w:p>
        </w:tc>
        <w:tc>
          <w:tcPr>
            <w:tcW w:w="1101" w:type="pct"/>
            <w:shd w:val="clear" w:color="auto" w:fill="auto"/>
            <w:tcMar>
              <w:left w:w="28" w:type="dxa"/>
              <w:right w:w="28" w:type="dxa"/>
            </w:tcMar>
            <w:vAlign w:val="center"/>
          </w:tcPr>
          <w:p w:rsidR="002F4907" w:rsidRPr="00081BA3" w:rsidRDefault="002F4907" w:rsidP="002F4907">
            <w:pPr>
              <w:pStyle w:val="Tablewriting"/>
              <w:keepNext/>
              <w:jc w:val="center"/>
              <w:rPr>
                <w:rFonts w:eastAsia="MS Mincho"/>
              </w:rPr>
            </w:pPr>
            <w:r w:rsidRPr="00081BA3">
              <w:rPr>
                <w:rFonts w:eastAsia="MS Mincho"/>
              </w:rPr>
              <w:t>124/929</w:t>
            </w:r>
          </w:p>
          <w:p w:rsidR="002F4907" w:rsidRPr="00081BA3" w:rsidRDefault="002F4907" w:rsidP="002F4907">
            <w:pPr>
              <w:pStyle w:val="Tablewriting"/>
              <w:keepNext/>
              <w:jc w:val="center"/>
              <w:rPr>
                <w:rFonts w:eastAsia="MS Mincho"/>
              </w:rPr>
            </w:pPr>
            <w:r w:rsidRPr="00081BA3">
              <w:rPr>
                <w:rFonts w:eastAsia="MS Mincho"/>
              </w:rPr>
              <w:t>(13.3%)</w:t>
            </w:r>
          </w:p>
        </w:tc>
        <w:tc>
          <w:tcPr>
            <w:tcW w:w="1072" w:type="pct"/>
            <w:shd w:val="clear" w:color="auto" w:fill="auto"/>
            <w:tcMar>
              <w:left w:w="28" w:type="dxa"/>
              <w:right w:w="28" w:type="dxa"/>
            </w:tcMar>
            <w:vAlign w:val="center"/>
          </w:tcPr>
          <w:p w:rsidR="002F4907" w:rsidRDefault="002F4907" w:rsidP="002F4907">
            <w:pPr>
              <w:pStyle w:val="Tablewriting"/>
              <w:keepNext/>
              <w:jc w:val="center"/>
              <w:rPr>
                <w:rFonts w:eastAsia="MS Mincho"/>
              </w:rPr>
            </w:pPr>
            <w:r>
              <w:rPr>
                <w:rFonts w:eastAsia="MS Mincho"/>
              </w:rPr>
              <w:t xml:space="preserve">1.06 </w:t>
            </w:r>
          </w:p>
          <w:p w:rsidR="002F4907" w:rsidRPr="005D18BC" w:rsidRDefault="002F4907" w:rsidP="002F4907">
            <w:pPr>
              <w:pStyle w:val="Tablewriting"/>
              <w:keepNext/>
              <w:jc w:val="center"/>
              <w:rPr>
                <w:rFonts w:eastAsia="MS Mincho"/>
                <w:highlight w:val="yellow"/>
              </w:rPr>
            </w:pPr>
            <w:r>
              <w:rPr>
                <w:rFonts w:eastAsia="MS Mincho"/>
              </w:rPr>
              <w:t>(0.85, 1.33)</w:t>
            </w:r>
          </w:p>
        </w:tc>
      </w:tr>
      <w:tr w:rsidR="002F4907" w:rsidRPr="00061F78" w:rsidTr="003C4F2E">
        <w:trPr>
          <w:cantSplit/>
          <w:trHeight w:val="99"/>
        </w:trPr>
        <w:tc>
          <w:tcPr>
            <w:tcW w:w="5000" w:type="pct"/>
            <w:gridSpan w:val="5"/>
            <w:shd w:val="clear" w:color="auto" w:fill="auto"/>
            <w:tcMar>
              <w:left w:w="28" w:type="dxa"/>
              <w:right w:w="28" w:type="dxa"/>
            </w:tcMar>
          </w:tcPr>
          <w:p w:rsidR="002F4907" w:rsidRPr="002F4907" w:rsidRDefault="002F4907" w:rsidP="003C4F2E">
            <w:pPr>
              <w:pStyle w:val="Tablewriting"/>
              <w:keepNext/>
              <w:rPr>
                <w:rFonts w:eastAsia="MS Mincho"/>
                <w:b/>
                <w:bCs/>
              </w:rPr>
            </w:pPr>
            <w:r w:rsidRPr="002F4907">
              <w:rPr>
                <w:rFonts w:eastAsia="MS Mincho"/>
                <w:b/>
                <w:bCs/>
              </w:rPr>
              <w:t xml:space="preserve">6 weeks versus </w:t>
            </w:r>
            <w:r w:rsidR="005F7DF0">
              <w:rPr>
                <w:rFonts w:eastAsia="MS Mincho"/>
                <w:b/>
                <w:bCs/>
              </w:rPr>
              <w:t>2</w:t>
            </w:r>
            <w:r w:rsidRPr="002F4907">
              <w:rPr>
                <w:rFonts w:eastAsia="MS Mincho"/>
                <w:b/>
                <w:bCs/>
              </w:rPr>
              <w:t>-3 weeks</w:t>
            </w:r>
            <w:r w:rsidR="0045102E">
              <w:rPr>
                <w:rFonts w:eastAsia="MS Mincho"/>
                <w:b/>
                <w:bCs/>
              </w:rPr>
              <w:t xml:space="preserve"> patch</w:t>
            </w:r>
          </w:p>
        </w:tc>
      </w:tr>
      <w:tr w:rsidR="002F4907" w:rsidRPr="00061F78" w:rsidTr="002F4907">
        <w:trPr>
          <w:cantSplit/>
          <w:trHeight w:val="99"/>
        </w:trPr>
        <w:tc>
          <w:tcPr>
            <w:tcW w:w="705" w:type="pct"/>
            <w:shd w:val="clear" w:color="auto" w:fill="auto"/>
            <w:tcMar>
              <w:left w:w="28" w:type="dxa"/>
              <w:right w:w="28" w:type="dxa"/>
            </w:tcMar>
            <w:vAlign w:val="center"/>
          </w:tcPr>
          <w:p w:rsidR="002F4907" w:rsidRDefault="002F4907" w:rsidP="002F4907">
            <w:pPr>
              <w:pStyle w:val="Tablewriting"/>
              <w:keepNext/>
              <w:rPr>
                <w:rFonts w:eastAsia="MS Mincho"/>
              </w:rPr>
            </w:pPr>
            <w:r>
              <w:rPr>
                <w:rFonts w:eastAsia="MS Mincho"/>
              </w:rPr>
              <w:t xml:space="preserve">Lindson </w:t>
            </w:r>
          </w:p>
          <w:p w:rsidR="002F4907" w:rsidRPr="00FF579E" w:rsidRDefault="002F4907" w:rsidP="002F4907">
            <w:pPr>
              <w:pStyle w:val="Tablewriting"/>
              <w:keepNext/>
              <w:rPr>
                <w:rFonts w:eastAsia="MS Mincho"/>
              </w:rPr>
            </w:pPr>
            <w:r>
              <w:rPr>
                <w:rFonts w:eastAsia="MS Mincho"/>
              </w:rPr>
              <w:t>(2019)</w:t>
            </w:r>
          </w:p>
        </w:tc>
        <w:tc>
          <w:tcPr>
            <w:tcW w:w="942" w:type="pct"/>
            <w:shd w:val="clear" w:color="auto" w:fill="auto"/>
            <w:vAlign w:val="center"/>
          </w:tcPr>
          <w:p w:rsidR="002F4907" w:rsidRPr="00FF579E" w:rsidRDefault="002F4907" w:rsidP="002F4907">
            <w:pPr>
              <w:pStyle w:val="Tablewriting"/>
              <w:keepNext/>
              <w:jc w:val="center"/>
              <w:rPr>
                <w:rFonts w:eastAsia="MS Mincho"/>
              </w:rPr>
            </w:pPr>
            <w:r>
              <w:rPr>
                <w:rFonts w:eastAsia="MS Mincho"/>
              </w:rPr>
              <w:t xml:space="preserve">Cochrane Review (2 </w:t>
            </w:r>
            <w:r w:rsidRPr="00FF3382">
              <w:rPr>
                <w:rFonts w:eastAsia="MS Mincho"/>
              </w:rPr>
              <w:t>RCT</w:t>
            </w:r>
            <w:r>
              <w:rPr>
                <w:rFonts w:eastAsia="MS Mincho"/>
              </w:rPr>
              <w:t>s)</w:t>
            </w:r>
          </w:p>
        </w:tc>
        <w:tc>
          <w:tcPr>
            <w:tcW w:w="1180" w:type="pct"/>
            <w:shd w:val="clear" w:color="auto" w:fill="auto"/>
            <w:tcMar>
              <w:left w:w="28" w:type="dxa"/>
              <w:right w:w="28" w:type="dxa"/>
            </w:tcMar>
            <w:vAlign w:val="center"/>
          </w:tcPr>
          <w:p w:rsidR="002F4907" w:rsidRDefault="005F7DF0" w:rsidP="002F4907">
            <w:pPr>
              <w:pStyle w:val="Tablewriting"/>
              <w:keepNext/>
              <w:jc w:val="center"/>
              <w:rPr>
                <w:rFonts w:eastAsia="MS Mincho"/>
              </w:rPr>
            </w:pPr>
            <w:r>
              <w:rPr>
                <w:rFonts w:eastAsia="MS Mincho"/>
              </w:rPr>
              <w:t>148/984</w:t>
            </w:r>
          </w:p>
          <w:p w:rsidR="005F7DF0" w:rsidRPr="00FF579E" w:rsidRDefault="005F7DF0" w:rsidP="002F4907">
            <w:pPr>
              <w:pStyle w:val="Tablewriting"/>
              <w:keepNext/>
              <w:jc w:val="center"/>
              <w:rPr>
                <w:rFonts w:eastAsia="MS Mincho"/>
              </w:rPr>
            </w:pPr>
            <w:r>
              <w:rPr>
                <w:rFonts w:eastAsia="MS Mincho"/>
              </w:rPr>
              <w:t>(</w:t>
            </w:r>
            <w:r w:rsidR="0018615F">
              <w:rPr>
                <w:rFonts w:eastAsia="MS Mincho"/>
              </w:rPr>
              <w:t>15.0</w:t>
            </w:r>
            <w:r>
              <w:rPr>
                <w:rFonts w:eastAsia="MS Mincho"/>
              </w:rPr>
              <w:t>%)</w:t>
            </w:r>
          </w:p>
        </w:tc>
        <w:tc>
          <w:tcPr>
            <w:tcW w:w="1101" w:type="pct"/>
            <w:shd w:val="clear" w:color="auto" w:fill="auto"/>
            <w:tcMar>
              <w:left w:w="28" w:type="dxa"/>
              <w:right w:w="28" w:type="dxa"/>
            </w:tcMar>
            <w:vAlign w:val="center"/>
          </w:tcPr>
          <w:p w:rsidR="002F4907" w:rsidRDefault="005F7DF0" w:rsidP="002F4907">
            <w:pPr>
              <w:pStyle w:val="Tablewriting"/>
              <w:keepNext/>
              <w:jc w:val="center"/>
              <w:rPr>
                <w:rFonts w:eastAsia="MS Mincho"/>
              </w:rPr>
            </w:pPr>
            <w:r>
              <w:rPr>
                <w:rFonts w:eastAsia="MS Mincho"/>
              </w:rPr>
              <w:t>130/973</w:t>
            </w:r>
          </w:p>
          <w:p w:rsidR="005F7DF0" w:rsidRPr="00FF579E" w:rsidRDefault="005F7DF0" w:rsidP="002F4907">
            <w:pPr>
              <w:pStyle w:val="Tablewriting"/>
              <w:keepNext/>
              <w:jc w:val="center"/>
              <w:rPr>
                <w:rFonts w:eastAsia="MS Mincho"/>
              </w:rPr>
            </w:pPr>
            <w:r>
              <w:rPr>
                <w:rFonts w:eastAsia="MS Mincho"/>
              </w:rPr>
              <w:t>(</w:t>
            </w:r>
            <w:r w:rsidR="0018615F">
              <w:rPr>
                <w:rFonts w:eastAsia="MS Mincho"/>
              </w:rPr>
              <w:t>13.4</w:t>
            </w:r>
            <w:r>
              <w:rPr>
                <w:rFonts w:eastAsia="MS Mincho"/>
              </w:rPr>
              <w:t>%)</w:t>
            </w:r>
          </w:p>
        </w:tc>
        <w:tc>
          <w:tcPr>
            <w:tcW w:w="1072" w:type="pct"/>
            <w:shd w:val="clear" w:color="auto" w:fill="auto"/>
            <w:tcMar>
              <w:left w:w="28" w:type="dxa"/>
              <w:right w:w="28" w:type="dxa"/>
            </w:tcMar>
            <w:vAlign w:val="center"/>
          </w:tcPr>
          <w:p w:rsidR="002F4907" w:rsidRDefault="002F4907" w:rsidP="002F4907">
            <w:pPr>
              <w:pStyle w:val="Tablewriting"/>
              <w:keepNext/>
              <w:jc w:val="center"/>
              <w:rPr>
                <w:rFonts w:eastAsia="MS Mincho"/>
              </w:rPr>
            </w:pPr>
            <w:r>
              <w:rPr>
                <w:rFonts w:eastAsia="MS Mincho"/>
              </w:rPr>
              <w:t xml:space="preserve">1.13 </w:t>
            </w:r>
          </w:p>
          <w:p w:rsidR="002F4907" w:rsidRPr="005D18BC" w:rsidRDefault="002F4907" w:rsidP="002F4907">
            <w:pPr>
              <w:pStyle w:val="Tablewriting"/>
              <w:keepNext/>
              <w:jc w:val="center"/>
              <w:rPr>
                <w:rFonts w:eastAsia="MS Mincho"/>
                <w:highlight w:val="yellow"/>
              </w:rPr>
            </w:pPr>
            <w:r>
              <w:rPr>
                <w:rFonts w:eastAsia="MS Mincho"/>
              </w:rPr>
              <w:t>(0.91, 1.4)</w:t>
            </w:r>
          </w:p>
        </w:tc>
      </w:tr>
      <w:tr w:rsidR="002F4907" w:rsidRPr="00061F78" w:rsidTr="003C4F2E">
        <w:trPr>
          <w:cantSplit/>
          <w:trHeight w:val="99"/>
        </w:trPr>
        <w:tc>
          <w:tcPr>
            <w:tcW w:w="5000" w:type="pct"/>
            <w:gridSpan w:val="5"/>
            <w:shd w:val="clear" w:color="auto" w:fill="auto"/>
            <w:tcMar>
              <w:left w:w="28" w:type="dxa"/>
              <w:right w:w="28" w:type="dxa"/>
            </w:tcMar>
          </w:tcPr>
          <w:p w:rsidR="002F4907" w:rsidRPr="002F4907" w:rsidRDefault="002F4907" w:rsidP="003C4F2E">
            <w:pPr>
              <w:pStyle w:val="Tablewriting"/>
              <w:keepNext/>
              <w:rPr>
                <w:rFonts w:eastAsia="MS Mincho"/>
                <w:b/>
                <w:bCs/>
                <w:u w:val="single"/>
              </w:rPr>
            </w:pPr>
            <w:r w:rsidRPr="002F4907">
              <w:rPr>
                <w:rFonts w:eastAsia="MS Mincho"/>
                <w:b/>
                <w:bCs/>
              </w:rPr>
              <w:t>4 weeks versus 2 weeks</w:t>
            </w:r>
            <w:r w:rsidR="0045102E">
              <w:rPr>
                <w:rFonts w:eastAsia="MS Mincho"/>
                <w:b/>
                <w:bCs/>
              </w:rPr>
              <w:t xml:space="preserve"> patch</w:t>
            </w:r>
          </w:p>
        </w:tc>
      </w:tr>
      <w:tr w:rsidR="002F4907" w:rsidRPr="00061F78" w:rsidTr="002F4907">
        <w:trPr>
          <w:cantSplit/>
          <w:trHeight w:val="99"/>
        </w:trPr>
        <w:tc>
          <w:tcPr>
            <w:tcW w:w="705" w:type="pct"/>
            <w:shd w:val="clear" w:color="auto" w:fill="auto"/>
            <w:tcMar>
              <w:left w:w="28" w:type="dxa"/>
              <w:right w:w="28" w:type="dxa"/>
            </w:tcMar>
            <w:vAlign w:val="center"/>
          </w:tcPr>
          <w:p w:rsidR="002F4907" w:rsidRDefault="002F4907" w:rsidP="002F4907">
            <w:pPr>
              <w:pStyle w:val="Tablewriting"/>
              <w:keepNext/>
              <w:rPr>
                <w:rFonts w:eastAsia="MS Mincho"/>
              </w:rPr>
            </w:pPr>
            <w:r>
              <w:rPr>
                <w:rFonts w:eastAsia="MS Mincho"/>
              </w:rPr>
              <w:t xml:space="preserve">Lindson </w:t>
            </w:r>
          </w:p>
          <w:p w:rsidR="002F4907" w:rsidRPr="008F7D0B" w:rsidRDefault="002F4907" w:rsidP="002F4907">
            <w:pPr>
              <w:pStyle w:val="Tablewriting"/>
              <w:keepNext/>
              <w:rPr>
                <w:rFonts w:eastAsia="MS Mincho"/>
              </w:rPr>
            </w:pPr>
            <w:r>
              <w:rPr>
                <w:rFonts w:eastAsia="MS Mincho"/>
              </w:rPr>
              <w:t>(2019)</w:t>
            </w:r>
          </w:p>
        </w:tc>
        <w:tc>
          <w:tcPr>
            <w:tcW w:w="942" w:type="pct"/>
            <w:shd w:val="clear" w:color="auto" w:fill="auto"/>
            <w:vAlign w:val="center"/>
          </w:tcPr>
          <w:p w:rsidR="002F4907" w:rsidRPr="00FF3382" w:rsidRDefault="002F4907" w:rsidP="002F4907">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80" w:type="pct"/>
            <w:shd w:val="clear" w:color="auto" w:fill="auto"/>
            <w:vAlign w:val="center"/>
          </w:tcPr>
          <w:p w:rsidR="002F4907" w:rsidRPr="00081BA3" w:rsidRDefault="002F4907" w:rsidP="002F4907">
            <w:pPr>
              <w:pStyle w:val="Tablewriting"/>
              <w:keepNext/>
              <w:jc w:val="center"/>
              <w:rPr>
                <w:rFonts w:eastAsia="MS Mincho"/>
              </w:rPr>
            </w:pPr>
            <w:r w:rsidRPr="00081BA3">
              <w:rPr>
                <w:rFonts w:eastAsia="MS Mincho"/>
              </w:rPr>
              <w:t>124/929</w:t>
            </w:r>
          </w:p>
          <w:p w:rsidR="002F4907" w:rsidRPr="00081BA3" w:rsidRDefault="002F4907" w:rsidP="002F4907">
            <w:pPr>
              <w:pStyle w:val="Tablewriting"/>
              <w:keepNext/>
              <w:jc w:val="center"/>
              <w:rPr>
                <w:rFonts w:eastAsia="MS Mincho"/>
              </w:rPr>
            </w:pPr>
            <w:r w:rsidRPr="00081BA3">
              <w:rPr>
                <w:rFonts w:eastAsia="MS Mincho"/>
              </w:rPr>
              <w:t>(13.3%)</w:t>
            </w:r>
          </w:p>
        </w:tc>
        <w:tc>
          <w:tcPr>
            <w:tcW w:w="1101" w:type="pct"/>
            <w:shd w:val="clear" w:color="auto" w:fill="auto"/>
            <w:vAlign w:val="center"/>
          </w:tcPr>
          <w:p w:rsidR="002F4907" w:rsidRPr="00081BA3" w:rsidRDefault="002F4907" w:rsidP="002F4907">
            <w:pPr>
              <w:pStyle w:val="Tablewriting"/>
              <w:keepNext/>
              <w:jc w:val="center"/>
              <w:rPr>
                <w:rFonts w:eastAsia="MS Mincho"/>
              </w:rPr>
            </w:pPr>
            <w:r w:rsidRPr="00081BA3">
              <w:rPr>
                <w:rFonts w:eastAsia="MS Mincho"/>
              </w:rPr>
              <w:t>115/933</w:t>
            </w:r>
          </w:p>
          <w:p w:rsidR="002F4907" w:rsidRPr="00081BA3" w:rsidRDefault="002F4907" w:rsidP="002F4907">
            <w:pPr>
              <w:pStyle w:val="Tablewriting"/>
              <w:keepNext/>
              <w:jc w:val="center"/>
              <w:rPr>
                <w:rFonts w:eastAsia="MS Mincho"/>
              </w:rPr>
            </w:pPr>
            <w:r w:rsidRPr="00081BA3">
              <w:rPr>
                <w:rFonts w:eastAsia="MS Mincho"/>
              </w:rPr>
              <w:t>(12.3%)</w:t>
            </w:r>
          </w:p>
        </w:tc>
        <w:tc>
          <w:tcPr>
            <w:tcW w:w="1072" w:type="pct"/>
            <w:shd w:val="clear" w:color="auto" w:fill="auto"/>
            <w:tcMar>
              <w:left w:w="28" w:type="dxa"/>
              <w:right w:w="28" w:type="dxa"/>
            </w:tcMar>
            <w:vAlign w:val="center"/>
          </w:tcPr>
          <w:p w:rsidR="002F4907" w:rsidRDefault="002F4907" w:rsidP="002F4907">
            <w:pPr>
              <w:pStyle w:val="Tablewriting"/>
              <w:keepNext/>
              <w:jc w:val="center"/>
              <w:rPr>
                <w:rFonts w:eastAsia="MS Mincho"/>
              </w:rPr>
            </w:pPr>
            <w:r>
              <w:rPr>
                <w:rFonts w:eastAsia="MS Mincho"/>
              </w:rPr>
              <w:t xml:space="preserve">1.08 </w:t>
            </w:r>
          </w:p>
          <w:p w:rsidR="002F4907" w:rsidRPr="005D18BC" w:rsidRDefault="002F4907" w:rsidP="002F4907">
            <w:pPr>
              <w:pStyle w:val="Tablewriting"/>
              <w:keepNext/>
              <w:jc w:val="center"/>
              <w:rPr>
                <w:rFonts w:eastAsia="MS Mincho"/>
                <w:highlight w:val="yellow"/>
              </w:rPr>
            </w:pPr>
            <w:r>
              <w:rPr>
                <w:rFonts w:eastAsia="MS Mincho"/>
              </w:rPr>
              <w:t>(0.85, 1.37)</w:t>
            </w:r>
          </w:p>
        </w:tc>
      </w:tr>
      <w:tr w:rsidR="0045102E" w:rsidRPr="00061F78" w:rsidTr="003C4F2E">
        <w:trPr>
          <w:cantSplit/>
          <w:trHeight w:val="99"/>
        </w:trPr>
        <w:tc>
          <w:tcPr>
            <w:tcW w:w="5000" w:type="pct"/>
            <w:gridSpan w:val="5"/>
            <w:shd w:val="clear" w:color="auto" w:fill="auto"/>
            <w:tcMar>
              <w:left w:w="28" w:type="dxa"/>
              <w:right w:w="28" w:type="dxa"/>
            </w:tcMar>
          </w:tcPr>
          <w:p w:rsidR="0045102E" w:rsidRPr="0045102E" w:rsidRDefault="0045102E" w:rsidP="0045102E">
            <w:pPr>
              <w:pStyle w:val="Tablewriting"/>
              <w:keepNext/>
              <w:rPr>
                <w:rFonts w:eastAsia="MS Mincho"/>
                <w:b/>
                <w:bCs/>
              </w:rPr>
            </w:pPr>
            <w:r w:rsidRPr="0045102E">
              <w:rPr>
                <w:rFonts w:eastAsia="MS Mincho"/>
                <w:b/>
                <w:bCs/>
              </w:rPr>
              <w:t>50 weeks versus 10 weeks gum</w:t>
            </w:r>
          </w:p>
        </w:tc>
      </w:tr>
      <w:tr w:rsidR="0045102E" w:rsidRPr="00061F78" w:rsidTr="002F4907">
        <w:trPr>
          <w:cantSplit/>
          <w:trHeight w:val="99"/>
        </w:trPr>
        <w:tc>
          <w:tcPr>
            <w:tcW w:w="705" w:type="pct"/>
            <w:shd w:val="clear" w:color="auto" w:fill="auto"/>
            <w:tcMar>
              <w:left w:w="28" w:type="dxa"/>
              <w:right w:w="28" w:type="dxa"/>
            </w:tcMar>
            <w:vAlign w:val="center"/>
          </w:tcPr>
          <w:p w:rsidR="0045102E" w:rsidRDefault="0045102E" w:rsidP="0045102E">
            <w:pPr>
              <w:pStyle w:val="Tablewriting"/>
              <w:keepNext/>
              <w:rPr>
                <w:rFonts w:eastAsia="MS Mincho"/>
              </w:rPr>
            </w:pPr>
            <w:r>
              <w:rPr>
                <w:rFonts w:eastAsia="MS Mincho"/>
              </w:rPr>
              <w:t xml:space="preserve">Lindson </w:t>
            </w:r>
          </w:p>
          <w:p w:rsidR="0045102E" w:rsidRDefault="0045102E" w:rsidP="0045102E">
            <w:pPr>
              <w:pStyle w:val="Tablewriting"/>
              <w:keepNext/>
              <w:rPr>
                <w:rFonts w:eastAsia="MS Mincho"/>
              </w:rPr>
            </w:pPr>
            <w:r>
              <w:rPr>
                <w:rFonts w:eastAsia="MS Mincho"/>
              </w:rPr>
              <w:t>(2019)</w:t>
            </w:r>
          </w:p>
        </w:tc>
        <w:tc>
          <w:tcPr>
            <w:tcW w:w="942" w:type="pct"/>
            <w:shd w:val="clear" w:color="auto" w:fill="auto"/>
            <w:vAlign w:val="center"/>
          </w:tcPr>
          <w:p w:rsidR="0045102E" w:rsidRDefault="0045102E" w:rsidP="0045102E">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80" w:type="pct"/>
            <w:shd w:val="clear" w:color="auto" w:fill="auto"/>
            <w:vAlign w:val="center"/>
          </w:tcPr>
          <w:p w:rsidR="0045102E" w:rsidRPr="00571B3B" w:rsidRDefault="0045102E" w:rsidP="0045102E">
            <w:pPr>
              <w:pStyle w:val="Tablewriting"/>
              <w:keepNext/>
              <w:jc w:val="center"/>
              <w:rPr>
                <w:rFonts w:eastAsia="MS Mincho"/>
              </w:rPr>
            </w:pPr>
            <w:r w:rsidRPr="00571B3B">
              <w:rPr>
                <w:rFonts w:eastAsia="MS Mincho"/>
              </w:rPr>
              <w:t>85/203</w:t>
            </w:r>
          </w:p>
          <w:p w:rsidR="0045102E" w:rsidRPr="00081BA3" w:rsidRDefault="0045102E" w:rsidP="0045102E">
            <w:pPr>
              <w:pStyle w:val="Tablewriting"/>
              <w:keepNext/>
              <w:jc w:val="center"/>
              <w:rPr>
                <w:rFonts w:eastAsia="MS Mincho"/>
              </w:rPr>
            </w:pPr>
            <w:r w:rsidRPr="00571B3B">
              <w:rPr>
                <w:rFonts w:eastAsia="MS Mincho"/>
              </w:rPr>
              <w:t>(41.9%)</w:t>
            </w:r>
          </w:p>
        </w:tc>
        <w:tc>
          <w:tcPr>
            <w:tcW w:w="1101" w:type="pct"/>
            <w:shd w:val="clear" w:color="auto" w:fill="auto"/>
            <w:vAlign w:val="center"/>
          </w:tcPr>
          <w:p w:rsidR="0045102E" w:rsidRPr="00571B3B" w:rsidRDefault="0045102E" w:rsidP="0045102E">
            <w:pPr>
              <w:pStyle w:val="Tablewriting"/>
              <w:keepNext/>
              <w:jc w:val="center"/>
              <w:rPr>
                <w:rFonts w:eastAsia="MS Mincho"/>
              </w:rPr>
            </w:pPr>
            <w:r w:rsidRPr="00571B3B">
              <w:rPr>
                <w:rFonts w:eastAsia="MS Mincho"/>
              </w:rPr>
              <w:t>80/199</w:t>
            </w:r>
          </w:p>
          <w:p w:rsidR="0045102E" w:rsidRPr="00081BA3" w:rsidRDefault="0045102E" w:rsidP="0045102E">
            <w:pPr>
              <w:pStyle w:val="Tablewriting"/>
              <w:keepNext/>
              <w:jc w:val="center"/>
              <w:rPr>
                <w:rFonts w:eastAsia="MS Mincho"/>
              </w:rPr>
            </w:pPr>
            <w:r w:rsidRPr="00571B3B">
              <w:rPr>
                <w:rFonts w:eastAsia="MS Mincho"/>
              </w:rPr>
              <w:t>(40.2%)</w:t>
            </w:r>
          </w:p>
        </w:tc>
        <w:tc>
          <w:tcPr>
            <w:tcW w:w="1072" w:type="pct"/>
            <w:shd w:val="clear" w:color="auto" w:fill="auto"/>
            <w:tcMar>
              <w:left w:w="28" w:type="dxa"/>
              <w:right w:w="28" w:type="dxa"/>
            </w:tcMar>
            <w:vAlign w:val="center"/>
          </w:tcPr>
          <w:p w:rsidR="0045102E" w:rsidRPr="00A22F63" w:rsidRDefault="0045102E" w:rsidP="0045102E">
            <w:pPr>
              <w:pStyle w:val="Tablewriting"/>
              <w:keepNext/>
              <w:jc w:val="center"/>
              <w:rPr>
                <w:rFonts w:eastAsia="MS Mincho"/>
              </w:rPr>
            </w:pPr>
            <w:r w:rsidRPr="00A22F63">
              <w:rPr>
                <w:rFonts w:eastAsia="MS Mincho"/>
              </w:rPr>
              <w:t>1.04</w:t>
            </w:r>
          </w:p>
          <w:p w:rsidR="0045102E" w:rsidRDefault="0045102E" w:rsidP="0045102E">
            <w:pPr>
              <w:pStyle w:val="Tablewriting"/>
              <w:keepNext/>
              <w:jc w:val="center"/>
              <w:rPr>
                <w:rFonts w:eastAsia="MS Mincho"/>
              </w:rPr>
            </w:pPr>
            <w:r w:rsidRPr="00A22F63">
              <w:rPr>
                <w:rFonts w:eastAsia="MS Mincho"/>
              </w:rPr>
              <w:t>(0.82, 1.32)</w:t>
            </w:r>
          </w:p>
        </w:tc>
      </w:tr>
    </w:tbl>
    <w:p w:rsidR="00F11F25" w:rsidRDefault="00F11F25" w:rsidP="00F11F25">
      <w:pPr>
        <w:pStyle w:val="TableFooter"/>
        <w:keepNext/>
      </w:pPr>
      <w:r>
        <w:t>Source: Lindson et al. (2019)</w:t>
      </w:r>
    </w:p>
    <w:p w:rsidR="00F11F25" w:rsidRPr="004A0AB5" w:rsidRDefault="00F11F25" w:rsidP="00F11F25">
      <w:pPr>
        <w:pStyle w:val="TableFooter"/>
        <w:keepNext/>
        <w:rPr>
          <w:i/>
        </w:rPr>
      </w:pPr>
      <w:r w:rsidRPr="004A0AB5">
        <w:t xml:space="preserve">Abbreviations: CI = confidence interval; RCT = randomised controlled trial; RR = risk ratio </w:t>
      </w:r>
    </w:p>
    <w:p w:rsidR="00F11F25" w:rsidRDefault="00F11F25" w:rsidP="00F11F25">
      <w:pPr>
        <w:pStyle w:val="TableFooter"/>
      </w:pPr>
      <w:r w:rsidRPr="0041240E">
        <w:t>Notes:</w:t>
      </w:r>
    </w:p>
    <w:p w:rsidR="0045102E" w:rsidRDefault="00F11F25" w:rsidP="00F11F25">
      <w:pPr>
        <w:pStyle w:val="TableFooter"/>
      </w:pPr>
      <w:r>
        <w:t>1</w:t>
      </w:r>
      <w:r w:rsidRPr="0041240E">
        <w:t xml:space="preserve"> Calculated </w:t>
      </w:r>
      <w:r>
        <w:t>by Cochrane Review authors using a fixed-effect model</w:t>
      </w:r>
      <w:r w:rsidR="00ED0CBA">
        <w:t>.</w:t>
      </w:r>
    </w:p>
    <w:p w:rsidR="002F4907" w:rsidRDefault="0018615F" w:rsidP="00D61411">
      <w:pPr>
        <w:jc w:val="both"/>
      </w:pPr>
      <w:r w:rsidRPr="00F136E9">
        <w:lastRenderedPageBreak/>
        <w:t>The results of the individual studies included in Lindson et al. (2019) are presented using a forest plot in</w:t>
      </w:r>
      <w:r>
        <w:t xml:space="preserve"> </w:t>
      </w:r>
      <w:r w:rsidR="003C4A1C">
        <w:t xml:space="preserve">Figure </w:t>
      </w:r>
      <w:r w:rsidR="003C4A1C">
        <w:rPr>
          <w:noProof/>
        </w:rPr>
        <w:t>26</w:t>
      </w:r>
      <w:r>
        <w:t xml:space="preserve"> and </w:t>
      </w:r>
      <w:r w:rsidR="003C4A1C">
        <w:t xml:space="preserve">Figure </w:t>
      </w:r>
      <w:r w:rsidR="003C4A1C">
        <w:rPr>
          <w:noProof/>
        </w:rPr>
        <w:t>27</w:t>
      </w:r>
      <w:r w:rsidR="006F7AC0">
        <w:t>.</w:t>
      </w:r>
      <w:r w:rsidR="00F94B45">
        <w:t xml:space="preserve"> T</w:t>
      </w:r>
      <w:r w:rsidR="00F94B45" w:rsidRPr="00F94B45">
        <w:t xml:space="preserve">here were no statistically significant differences in </w:t>
      </w:r>
      <w:r w:rsidR="002458E1">
        <w:t>any</w:t>
      </w:r>
      <w:r w:rsidR="00F94B45" w:rsidRPr="00F94B45">
        <w:t xml:space="preserve"> of the individual RCTs included in the meta-analysis.</w:t>
      </w:r>
      <w:r w:rsidR="00F93DC7">
        <w:t xml:space="preserve"> Of note, the CEASE (1999) </w:t>
      </w:r>
      <w:r w:rsidR="00FE6857">
        <w:t xml:space="preserve">study </w:t>
      </w:r>
      <w:r w:rsidR="00F93DC7">
        <w:t>compared</w:t>
      </w:r>
      <w:r w:rsidR="00960610">
        <w:t xml:space="preserve"> 28 wee</w:t>
      </w:r>
      <w:r w:rsidR="00A15D62">
        <w:t>ks with 12 weeks of NRT patches</w:t>
      </w:r>
      <w:r w:rsidR="00DC5BF1">
        <w:t xml:space="preserve">, with </w:t>
      </w:r>
      <w:r w:rsidR="00B33CC1">
        <w:t xml:space="preserve">two patch doses </w:t>
      </w:r>
      <w:r w:rsidR="00B34B9C">
        <w:t xml:space="preserve">(25 mg and 15 mg) </w:t>
      </w:r>
      <w:r w:rsidR="00B83288">
        <w:t>examined in each duration.</w:t>
      </w:r>
      <w:r w:rsidR="00296808" w:rsidRPr="00296808">
        <w:t xml:space="preserve"> </w:t>
      </w:r>
      <w:r w:rsidR="008846EB">
        <w:rPr>
          <w:noProof/>
          <w:color w:val="000000"/>
          <w:highlight w:val="black"/>
        </w:rPr>
        <w:t>''''''' '''''''''' ''''''' '''''' '''''''''''''' '''''''''''''''''' '''''''''''''''''''' '''' ''''''' '''''''''''''''''' ''''''''''' ''''''''''''''''' ''''''''''''''''' ''''''' ''''''''''' ''''''''''''''''''''''''''''' '''''' ''''''''''' '''' ''' ''''' '''''' ''''''' ''''' '''''''''' ''''''' ''''''''''''' '''''' ''''''' ''''''' ''''''''''' '''''' '''''''''' ''''''''''' '''''''''''''''''' '''' ''''' ''''''' '''''' ''''' ''''''''''' '''''''' '''''''''''''''''</w:t>
      </w:r>
    </w:p>
    <w:p w:rsidR="00634F7A" w:rsidRDefault="00634F7A" w:rsidP="00634F7A">
      <w:pPr>
        <w:keepNext/>
        <w:spacing w:after="0"/>
      </w:pPr>
    </w:p>
    <w:p w:rsidR="00FC2115" w:rsidRDefault="00634F7A" w:rsidP="00634F7A">
      <w:pPr>
        <w:pStyle w:val="Caption"/>
      </w:pPr>
      <w:bookmarkStart w:id="189" w:name="_Ref61612855"/>
      <w:r>
        <w:t xml:space="preserve">Figure </w:t>
      </w:r>
      <w:r w:rsidR="003C4A1C">
        <w:rPr>
          <w:noProof/>
        </w:rPr>
        <w:t>26</w:t>
      </w:r>
      <w:bookmarkEnd w:id="189"/>
      <w:r>
        <w:t xml:space="preserve">: </w:t>
      </w:r>
      <w:r w:rsidRPr="00C80CE8">
        <w:t>Results of smoking cessation f</w:t>
      </w:r>
      <w:r w:rsidR="00C623F4">
        <w:t>or</w:t>
      </w:r>
      <w:r w:rsidRPr="00C80CE8">
        <w:t xml:space="preserve"> at least six months follow-up in Lindson et al. 2019, duration of patch therapy</w:t>
      </w:r>
    </w:p>
    <w:p w:rsidR="00726BD4" w:rsidRDefault="00726BD4" w:rsidP="00726BD4">
      <w:pPr>
        <w:pStyle w:val="TableFooter"/>
      </w:pPr>
      <w:r>
        <w:t>Source: Lindson et al. (2019)</w:t>
      </w:r>
    </w:p>
    <w:p w:rsidR="00726BD4" w:rsidRPr="00FC2115" w:rsidRDefault="00726BD4" w:rsidP="00726BD4">
      <w:pPr>
        <w:pStyle w:val="TableFooter"/>
      </w:pPr>
      <w:r>
        <w:t>Abbreviations: CI = confidence interval</w:t>
      </w:r>
    </w:p>
    <w:p w:rsidR="00FC2115" w:rsidRDefault="00FC2115" w:rsidP="00D61411">
      <w:pPr>
        <w:jc w:val="both"/>
      </w:pPr>
    </w:p>
    <w:p w:rsidR="0029720E" w:rsidRDefault="0029720E" w:rsidP="00B519A3">
      <w:pPr>
        <w:pStyle w:val="TableFooter"/>
        <w:keepNext/>
      </w:pPr>
      <w:r>
        <w:rPr>
          <w:noProof/>
        </w:rPr>
        <w:drawing>
          <wp:inline distT="0" distB="0" distL="0" distR="0" wp14:anchorId="74D269E6" wp14:editId="7CBB3A4D">
            <wp:extent cx="5731510" cy="1260475"/>
            <wp:effectExtent l="0" t="0" r="0" b="0"/>
            <wp:docPr id="62" name="Picture 6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pic:nvPicPr>
                  <pic:blipFill>
                    <a:blip r:embed="rId44">
                      <a:extLst>
                        <a:ext uri="{28A0092B-C50C-407E-A947-70E740481C1C}">
                          <a14:useLocalDpi xmlns:a14="http://schemas.microsoft.com/office/drawing/2010/main" val="0"/>
                        </a:ext>
                      </a:extLst>
                    </a:blip>
                    <a:stretch>
                      <a:fillRect/>
                    </a:stretch>
                  </pic:blipFill>
                  <pic:spPr>
                    <a:xfrm>
                      <a:off x="0" y="0"/>
                      <a:ext cx="5731510" cy="1260475"/>
                    </a:xfrm>
                    <a:prstGeom prst="rect">
                      <a:avLst/>
                    </a:prstGeom>
                  </pic:spPr>
                </pic:pic>
              </a:graphicData>
            </a:graphic>
          </wp:inline>
        </w:drawing>
      </w:r>
    </w:p>
    <w:p w:rsidR="0029720E" w:rsidRDefault="007745EE" w:rsidP="00B519A3">
      <w:pPr>
        <w:pStyle w:val="Caption"/>
      </w:pPr>
      <w:bookmarkStart w:id="190" w:name="_Ref61612858"/>
      <w:r>
        <w:t xml:space="preserve">Figure </w:t>
      </w:r>
      <w:r w:rsidR="003C4A1C">
        <w:rPr>
          <w:noProof/>
        </w:rPr>
        <w:t>27</w:t>
      </w:r>
      <w:bookmarkEnd w:id="190"/>
      <w:r>
        <w:t xml:space="preserve">: </w:t>
      </w:r>
      <w:r w:rsidRPr="00AA3272">
        <w:t>Results of smoking cessation f</w:t>
      </w:r>
      <w:r w:rsidR="00C623F4">
        <w:t>or</w:t>
      </w:r>
      <w:r w:rsidRPr="00AA3272">
        <w:t xml:space="preserve"> at least six months follow-up in Lindson et al. 2019, duration of </w:t>
      </w:r>
      <w:r>
        <w:t>gum</w:t>
      </w:r>
      <w:r w:rsidRPr="00AA3272">
        <w:t xml:space="preserve"> therapy</w:t>
      </w:r>
    </w:p>
    <w:p w:rsidR="00B519A3" w:rsidRDefault="00B519A3" w:rsidP="00B519A3">
      <w:pPr>
        <w:pStyle w:val="TableFooter"/>
      </w:pPr>
      <w:r>
        <w:t>Source: Lindson et al. (2019)</w:t>
      </w:r>
    </w:p>
    <w:p w:rsidR="00B519A3" w:rsidRDefault="00B519A3" w:rsidP="00B519A3">
      <w:pPr>
        <w:pStyle w:val="TableFooter"/>
      </w:pPr>
      <w:r>
        <w:t>Abbreviations: CI = confidence interval</w:t>
      </w:r>
    </w:p>
    <w:p w:rsidR="003A11A4" w:rsidRPr="003A11A4" w:rsidRDefault="003A11A4" w:rsidP="003A11A4">
      <w:pPr>
        <w:rPr>
          <w:u w:val="single"/>
        </w:rPr>
      </w:pPr>
      <w:r w:rsidRPr="003A11A4">
        <w:rPr>
          <w:u w:val="single"/>
        </w:rPr>
        <w:t>Safety</w:t>
      </w:r>
    </w:p>
    <w:p w:rsidR="00B07C6E" w:rsidRDefault="00B07C6E" w:rsidP="00B07C6E">
      <w:pPr>
        <w:jc w:val="both"/>
      </w:pPr>
      <w:r>
        <w:t xml:space="preserve">A summary of key adverse events </w:t>
      </w:r>
      <w:r w:rsidRPr="006F1FEC">
        <w:t xml:space="preserve">in Lindson et al. </w:t>
      </w:r>
      <w:r>
        <w:t>(</w:t>
      </w:r>
      <w:r w:rsidRPr="006F1FEC">
        <w:t>2019</w:t>
      </w:r>
      <w:r>
        <w:t>)</w:t>
      </w:r>
      <w:r w:rsidRPr="006F1FEC">
        <w:t xml:space="preserve"> </w:t>
      </w:r>
      <w:r w:rsidR="00A01DBF">
        <w:t>comparing longer duration with shorter duration of</w:t>
      </w:r>
      <w:r>
        <w:t xml:space="preserve"> </w:t>
      </w:r>
      <w:r w:rsidR="00573F59">
        <w:t>patches</w:t>
      </w:r>
      <w:r>
        <w:t xml:space="preserve"> and gum therapy is presented in </w:t>
      </w:r>
      <w:r w:rsidR="003C4A1C">
        <w:t xml:space="preserve">Table </w:t>
      </w:r>
      <w:r w:rsidR="003C4A1C">
        <w:rPr>
          <w:noProof/>
        </w:rPr>
        <w:t>89</w:t>
      </w:r>
      <w:r w:rsidR="00BE68DA">
        <w:t xml:space="preserve"> and </w:t>
      </w:r>
      <w:r w:rsidR="003C4A1C">
        <w:t xml:space="preserve">Table </w:t>
      </w:r>
      <w:r w:rsidR="003C4A1C">
        <w:rPr>
          <w:noProof/>
        </w:rPr>
        <w:t>90</w:t>
      </w:r>
      <w:r w:rsidR="00BE68DA">
        <w:t>,</w:t>
      </w:r>
      <w:r>
        <w:t xml:space="preserve"> </w:t>
      </w:r>
      <w:r w:rsidRPr="00342BCB">
        <w:t>respectively.</w:t>
      </w:r>
      <w:r>
        <w:t xml:space="preserve"> Overall, there were no statistically significant differences in serious adverse events and treatment withdrawals between longer duration and shorter duration therapy in all comparison</w:t>
      </w:r>
      <w:r w:rsidR="008623AC">
        <w:t>s</w:t>
      </w:r>
      <w:r>
        <w:t xml:space="preserve"> for NRT </w:t>
      </w:r>
      <w:r w:rsidR="00573F59">
        <w:t>patches</w:t>
      </w:r>
      <w:r>
        <w:t>. Similarly, there were no statistically significant differences in serious adverse events and midsternal pressure between 50-week and 10-week duration of NRT gum.</w:t>
      </w:r>
    </w:p>
    <w:p w:rsidR="00B07C6E" w:rsidRDefault="00B07C6E" w:rsidP="00B07C6E">
      <w:pPr>
        <w:pStyle w:val="Caption"/>
        <w:keepNext/>
      </w:pPr>
      <w:bookmarkStart w:id="191" w:name="_Ref62115002"/>
      <w:r>
        <w:t xml:space="preserve">Table </w:t>
      </w:r>
      <w:r w:rsidR="003C4A1C">
        <w:rPr>
          <w:noProof/>
        </w:rPr>
        <w:t>89</w:t>
      </w:r>
      <w:bookmarkEnd w:id="191"/>
      <w:r>
        <w:t xml:space="preserve">: </w:t>
      </w:r>
      <w:r w:rsidRPr="00917228">
        <w:t>Summary of key adverse events in Lindson et al. (2019), longer duration versus shorter duration NRT patch</w:t>
      </w:r>
    </w:p>
    <w:tbl>
      <w:tblPr>
        <w:tblStyle w:val="TableGrid"/>
        <w:tblW w:w="5000" w:type="pct"/>
        <w:tblLook w:val="04A0" w:firstRow="1" w:lastRow="0" w:firstColumn="1" w:lastColumn="0" w:noHBand="0" w:noVBand="1"/>
        <w:tblCaption w:val="Efficacy results of adalimumab trials (PASI 75 and DLQI)"/>
      </w:tblPr>
      <w:tblGrid>
        <w:gridCol w:w="2406"/>
        <w:gridCol w:w="1701"/>
        <w:gridCol w:w="1700"/>
        <w:gridCol w:w="1702"/>
        <w:gridCol w:w="1507"/>
      </w:tblGrid>
      <w:tr w:rsidR="00B07C6E" w:rsidRPr="00061F78" w:rsidTr="00BE68DA">
        <w:trPr>
          <w:cantSplit/>
          <w:trHeight w:val="299"/>
          <w:tblHeader/>
        </w:trPr>
        <w:tc>
          <w:tcPr>
            <w:tcW w:w="1334" w:type="pct"/>
            <w:shd w:val="clear" w:color="auto" w:fill="BFBFBF" w:themeFill="background1" w:themeFillShade="BF"/>
            <w:tcMar>
              <w:left w:w="28" w:type="dxa"/>
              <w:right w:w="28" w:type="dxa"/>
            </w:tcMar>
            <w:vAlign w:val="center"/>
          </w:tcPr>
          <w:p w:rsidR="00B07C6E" w:rsidRDefault="00B07C6E" w:rsidP="00125A1C">
            <w:pPr>
              <w:pStyle w:val="Tableheading"/>
              <w:rPr>
                <w:rFonts w:eastAsia="MS Mincho"/>
              </w:rPr>
            </w:pPr>
            <w:r>
              <w:rPr>
                <w:rFonts w:eastAsia="MS Mincho"/>
              </w:rPr>
              <w:t>Outcome</w:t>
            </w:r>
          </w:p>
        </w:tc>
        <w:tc>
          <w:tcPr>
            <w:tcW w:w="943" w:type="pct"/>
            <w:shd w:val="clear" w:color="auto" w:fill="BFBFBF" w:themeFill="background1" w:themeFillShade="BF"/>
            <w:vAlign w:val="center"/>
          </w:tcPr>
          <w:p w:rsidR="00B07C6E" w:rsidRDefault="00B07C6E" w:rsidP="00125A1C">
            <w:pPr>
              <w:pStyle w:val="Tableheading"/>
              <w:jc w:val="center"/>
              <w:rPr>
                <w:rFonts w:eastAsia="MS Mincho"/>
              </w:rPr>
            </w:pPr>
            <w:r>
              <w:rPr>
                <w:rFonts w:eastAsia="MS Mincho"/>
              </w:rPr>
              <w:t>Study type</w:t>
            </w:r>
          </w:p>
        </w:tc>
        <w:tc>
          <w:tcPr>
            <w:tcW w:w="943" w:type="pct"/>
            <w:shd w:val="clear" w:color="auto" w:fill="BFBFBF" w:themeFill="background1" w:themeFillShade="BF"/>
            <w:tcMar>
              <w:left w:w="28" w:type="dxa"/>
              <w:right w:w="28" w:type="dxa"/>
            </w:tcMar>
            <w:vAlign w:val="center"/>
          </w:tcPr>
          <w:p w:rsidR="00B07C6E" w:rsidRPr="00061F78" w:rsidRDefault="00B07C6E" w:rsidP="00125A1C">
            <w:pPr>
              <w:pStyle w:val="Tableheading"/>
              <w:jc w:val="center"/>
              <w:rPr>
                <w:rFonts w:eastAsia="MS Mincho"/>
              </w:rPr>
            </w:pPr>
            <w:r>
              <w:rPr>
                <w:rFonts w:eastAsia="MS Mincho"/>
              </w:rPr>
              <w:t xml:space="preserve">Longer duration </w:t>
            </w:r>
          </w:p>
        </w:tc>
        <w:tc>
          <w:tcPr>
            <w:tcW w:w="944" w:type="pct"/>
            <w:shd w:val="clear" w:color="auto" w:fill="BFBFBF" w:themeFill="background1" w:themeFillShade="BF"/>
            <w:tcMar>
              <w:left w:w="28" w:type="dxa"/>
              <w:right w:w="28" w:type="dxa"/>
            </w:tcMar>
            <w:vAlign w:val="center"/>
          </w:tcPr>
          <w:p w:rsidR="00B07C6E" w:rsidRPr="00061F78" w:rsidRDefault="00B07C6E" w:rsidP="00125A1C">
            <w:pPr>
              <w:pStyle w:val="Tableheading"/>
              <w:jc w:val="center"/>
              <w:rPr>
                <w:rFonts w:eastAsia="MS Mincho"/>
              </w:rPr>
            </w:pPr>
            <w:r>
              <w:rPr>
                <w:rFonts w:eastAsia="MS Mincho"/>
              </w:rPr>
              <w:t>Shorter duration</w:t>
            </w:r>
          </w:p>
        </w:tc>
        <w:tc>
          <w:tcPr>
            <w:tcW w:w="836" w:type="pct"/>
            <w:shd w:val="clear" w:color="auto" w:fill="BFBFBF" w:themeFill="background1" w:themeFillShade="BF"/>
            <w:tcMar>
              <w:left w:w="28" w:type="dxa"/>
              <w:right w:w="28" w:type="dxa"/>
            </w:tcMar>
            <w:vAlign w:val="center"/>
          </w:tcPr>
          <w:p w:rsidR="00B07C6E" w:rsidRPr="00681ACA" w:rsidRDefault="00B07C6E" w:rsidP="00125A1C">
            <w:pPr>
              <w:pStyle w:val="Tableheading"/>
              <w:jc w:val="center"/>
              <w:rPr>
                <w:rFonts w:eastAsia="MS Mincho"/>
                <w:vertAlign w:val="superscript"/>
              </w:rPr>
            </w:pPr>
            <w:r>
              <w:rPr>
                <w:rFonts w:eastAsia="MS Mincho"/>
              </w:rPr>
              <w:t>RR (95% CI)</w:t>
            </w:r>
            <w:r w:rsidR="00BE68DA">
              <w:rPr>
                <w:rFonts w:eastAsia="MS Mincho"/>
                <w:vertAlign w:val="superscript"/>
              </w:rPr>
              <w:t>1</w:t>
            </w:r>
          </w:p>
        </w:tc>
      </w:tr>
      <w:tr w:rsidR="00B07C6E" w:rsidRPr="00061F78" w:rsidTr="00E723A1">
        <w:trPr>
          <w:cantSplit/>
          <w:trHeight w:val="149"/>
        </w:trPr>
        <w:tc>
          <w:tcPr>
            <w:tcW w:w="5000" w:type="pct"/>
            <w:gridSpan w:val="5"/>
            <w:shd w:val="clear" w:color="auto" w:fill="auto"/>
            <w:tcMar>
              <w:left w:w="28" w:type="dxa"/>
              <w:right w:w="28" w:type="dxa"/>
            </w:tcMar>
          </w:tcPr>
          <w:p w:rsidR="00B07C6E" w:rsidRPr="00E723A1" w:rsidRDefault="00B07C6E" w:rsidP="00125A1C">
            <w:pPr>
              <w:pStyle w:val="Tablewriting"/>
              <w:rPr>
                <w:rFonts w:eastAsia="MS Mincho"/>
                <w:b/>
                <w:bCs/>
              </w:rPr>
            </w:pPr>
            <w:r w:rsidRPr="00E723A1">
              <w:rPr>
                <w:rFonts w:eastAsia="MS Mincho"/>
                <w:b/>
                <w:bCs/>
              </w:rPr>
              <w:t>Overall SAEs</w:t>
            </w:r>
          </w:p>
        </w:tc>
      </w:tr>
      <w:tr w:rsidR="00B07C6E" w:rsidRPr="00061F78" w:rsidTr="00BE68DA">
        <w:trPr>
          <w:cantSplit/>
          <w:trHeight w:val="149"/>
        </w:trPr>
        <w:tc>
          <w:tcPr>
            <w:tcW w:w="1334" w:type="pct"/>
            <w:tcMar>
              <w:left w:w="28" w:type="dxa"/>
              <w:right w:w="28" w:type="dxa"/>
            </w:tcMar>
          </w:tcPr>
          <w:p w:rsidR="00B07C6E" w:rsidRPr="001B3B7C" w:rsidRDefault="00B07C6E" w:rsidP="00125A1C">
            <w:pPr>
              <w:pStyle w:val="Tablewriting"/>
              <w:rPr>
                <w:rFonts w:eastAsia="MS Mincho"/>
              </w:rPr>
            </w:pPr>
            <w:r w:rsidRPr="001B3B7C">
              <w:rPr>
                <w:rFonts w:eastAsia="MS Mincho"/>
              </w:rPr>
              <w:t>52 weeks versus 24 weeks</w:t>
            </w:r>
          </w:p>
        </w:tc>
        <w:tc>
          <w:tcPr>
            <w:tcW w:w="943" w:type="pct"/>
            <w:vAlign w:val="center"/>
          </w:tcPr>
          <w:p w:rsidR="00B07C6E" w:rsidRDefault="00B07C6E" w:rsidP="00125A1C">
            <w:pPr>
              <w:pStyle w:val="Tablewriting"/>
              <w:jc w:val="center"/>
              <w:rPr>
                <w:rFonts w:eastAsia="MS Mincho"/>
              </w:rPr>
            </w:pPr>
            <w:r>
              <w:rPr>
                <w:rFonts w:eastAsia="MS Mincho"/>
              </w:rPr>
              <w:t>Cochrane Review</w:t>
            </w:r>
          </w:p>
          <w:p w:rsidR="00B07C6E" w:rsidRPr="00E72520" w:rsidRDefault="00B07C6E" w:rsidP="00125A1C">
            <w:pPr>
              <w:pStyle w:val="Tablewriting"/>
              <w:jc w:val="center"/>
              <w:rPr>
                <w:rFonts w:eastAsia="MS Mincho"/>
              </w:rPr>
            </w:pPr>
            <w:r>
              <w:rPr>
                <w:rFonts w:eastAsia="MS Mincho"/>
              </w:rPr>
              <w:t>(1 RCT)</w:t>
            </w:r>
          </w:p>
        </w:tc>
        <w:tc>
          <w:tcPr>
            <w:tcW w:w="943" w:type="pct"/>
            <w:tcMar>
              <w:left w:w="28" w:type="dxa"/>
              <w:right w:w="28" w:type="dxa"/>
            </w:tcMar>
            <w:vAlign w:val="center"/>
          </w:tcPr>
          <w:p w:rsidR="00B07C6E" w:rsidRDefault="00B07C6E" w:rsidP="00125A1C">
            <w:pPr>
              <w:pStyle w:val="Tablewriting"/>
              <w:jc w:val="center"/>
              <w:rPr>
                <w:rFonts w:eastAsia="MS Mincho"/>
              </w:rPr>
            </w:pPr>
            <w:r>
              <w:rPr>
                <w:rFonts w:eastAsia="MS Mincho"/>
              </w:rPr>
              <w:t>8/172</w:t>
            </w:r>
          </w:p>
          <w:p w:rsidR="00B07C6E" w:rsidRPr="001B3B7C" w:rsidRDefault="00B07C6E" w:rsidP="00125A1C">
            <w:pPr>
              <w:pStyle w:val="Tablewriting"/>
              <w:jc w:val="center"/>
              <w:rPr>
                <w:rFonts w:eastAsia="MS Mincho"/>
              </w:rPr>
            </w:pPr>
            <w:r>
              <w:rPr>
                <w:rFonts w:eastAsia="MS Mincho"/>
              </w:rPr>
              <w:t>(4.7%)</w:t>
            </w:r>
          </w:p>
        </w:tc>
        <w:tc>
          <w:tcPr>
            <w:tcW w:w="944" w:type="pct"/>
            <w:tcMar>
              <w:left w:w="28" w:type="dxa"/>
              <w:right w:w="28" w:type="dxa"/>
            </w:tcMar>
            <w:vAlign w:val="center"/>
          </w:tcPr>
          <w:p w:rsidR="00B07C6E" w:rsidRDefault="00B07C6E" w:rsidP="00125A1C">
            <w:pPr>
              <w:pStyle w:val="Tablewriting"/>
              <w:jc w:val="center"/>
              <w:rPr>
                <w:rFonts w:eastAsia="MS Mincho"/>
              </w:rPr>
            </w:pPr>
            <w:r>
              <w:rPr>
                <w:rFonts w:eastAsia="MS Mincho"/>
              </w:rPr>
              <w:t>2/173</w:t>
            </w:r>
          </w:p>
          <w:p w:rsidR="00B07C6E" w:rsidRPr="001B3B7C" w:rsidRDefault="00B07C6E" w:rsidP="00125A1C">
            <w:pPr>
              <w:pStyle w:val="Tablewriting"/>
              <w:jc w:val="center"/>
              <w:rPr>
                <w:rFonts w:eastAsia="MS Mincho"/>
              </w:rPr>
            </w:pPr>
            <w:r>
              <w:rPr>
                <w:rFonts w:eastAsia="MS Mincho"/>
              </w:rPr>
              <w:t>(1.2%)</w:t>
            </w:r>
          </w:p>
        </w:tc>
        <w:tc>
          <w:tcPr>
            <w:tcW w:w="836" w:type="pct"/>
            <w:tcMar>
              <w:left w:w="28" w:type="dxa"/>
              <w:right w:w="28" w:type="dxa"/>
            </w:tcMar>
            <w:vAlign w:val="center"/>
          </w:tcPr>
          <w:p w:rsidR="00B07C6E" w:rsidRDefault="00B07C6E" w:rsidP="00125A1C">
            <w:pPr>
              <w:pStyle w:val="Tablewriting"/>
              <w:jc w:val="center"/>
              <w:rPr>
                <w:rFonts w:eastAsia="MS Mincho"/>
              </w:rPr>
            </w:pPr>
            <w:r>
              <w:rPr>
                <w:rFonts w:eastAsia="MS Mincho"/>
              </w:rPr>
              <w:t>4.02</w:t>
            </w:r>
          </w:p>
          <w:p w:rsidR="00B07C6E" w:rsidRPr="001B3B7C" w:rsidRDefault="00B07C6E" w:rsidP="00125A1C">
            <w:pPr>
              <w:pStyle w:val="Tablewriting"/>
              <w:jc w:val="center"/>
              <w:rPr>
                <w:rFonts w:eastAsia="MS Mincho"/>
              </w:rPr>
            </w:pPr>
            <w:r>
              <w:rPr>
                <w:rFonts w:eastAsia="MS Mincho"/>
              </w:rPr>
              <w:t>(0.87, 18.67)</w:t>
            </w:r>
          </w:p>
        </w:tc>
      </w:tr>
      <w:tr w:rsidR="00B07C6E" w:rsidRPr="00061F78" w:rsidTr="00BE68DA">
        <w:trPr>
          <w:cantSplit/>
          <w:trHeight w:val="149"/>
        </w:trPr>
        <w:tc>
          <w:tcPr>
            <w:tcW w:w="1334" w:type="pct"/>
            <w:tcMar>
              <w:left w:w="28" w:type="dxa"/>
              <w:right w:w="28" w:type="dxa"/>
            </w:tcMar>
          </w:tcPr>
          <w:p w:rsidR="00B07C6E" w:rsidRPr="001B3B7C" w:rsidRDefault="00B07C6E" w:rsidP="00125A1C">
            <w:pPr>
              <w:pStyle w:val="Tablewriting"/>
              <w:rPr>
                <w:rFonts w:eastAsia="MS Mincho"/>
              </w:rPr>
            </w:pPr>
            <w:r w:rsidRPr="001B3B7C">
              <w:rPr>
                <w:rFonts w:eastAsia="MS Mincho"/>
              </w:rPr>
              <w:t>52 weeks versus 8 weeks</w:t>
            </w:r>
          </w:p>
        </w:tc>
        <w:tc>
          <w:tcPr>
            <w:tcW w:w="943" w:type="pct"/>
            <w:vAlign w:val="center"/>
          </w:tcPr>
          <w:p w:rsidR="00B07C6E" w:rsidRDefault="00B07C6E" w:rsidP="00125A1C">
            <w:pPr>
              <w:pStyle w:val="Tablewriting"/>
              <w:jc w:val="center"/>
              <w:rPr>
                <w:rFonts w:eastAsia="MS Mincho"/>
              </w:rPr>
            </w:pPr>
            <w:r w:rsidRPr="001B3B7C">
              <w:rPr>
                <w:rFonts w:eastAsia="MS Mincho"/>
              </w:rPr>
              <w:t xml:space="preserve"> </w:t>
            </w:r>
            <w:r>
              <w:rPr>
                <w:rFonts w:eastAsia="MS Mincho"/>
              </w:rPr>
              <w:t>Cochrane Review</w:t>
            </w:r>
          </w:p>
          <w:p w:rsidR="00B07C6E" w:rsidRPr="001B3B7C" w:rsidRDefault="00B07C6E" w:rsidP="00125A1C">
            <w:pPr>
              <w:pStyle w:val="Tablewriting"/>
              <w:jc w:val="center"/>
              <w:rPr>
                <w:rFonts w:eastAsia="MS Mincho"/>
              </w:rPr>
            </w:pPr>
            <w:r>
              <w:rPr>
                <w:rFonts w:eastAsia="MS Mincho"/>
              </w:rPr>
              <w:t>(1 RCT)</w:t>
            </w:r>
          </w:p>
        </w:tc>
        <w:tc>
          <w:tcPr>
            <w:tcW w:w="943" w:type="pct"/>
            <w:vAlign w:val="center"/>
          </w:tcPr>
          <w:p w:rsidR="00B07C6E" w:rsidRDefault="00B07C6E" w:rsidP="00125A1C">
            <w:pPr>
              <w:pStyle w:val="Tablewriting"/>
              <w:jc w:val="center"/>
              <w:rPr>
                <w:rFonts w:eastAsia="MS Mincho"/>
              </w:rPr>
            </w:pPr>
            <w:r>
              <w:rPr>
                <w:rFonts w:eastAsia="MS Mincho"/>
              </w:rPr>
              <w:t>8/172</w:t>
            </w:r>
          </w:p>
          <w:p w:rsidR="00B07C6E" w:rsidRPr="001B3B7C" w:rsidRDefault="00B07C6E" w:rsidP="00125A1C">
            <w:pPr>
              <w:pStyle w:val="Tablewriting"/>
              <w:jc w:val="center"/>
              <w:rPr>
                <w:rFonts w:eastAsia="MS Mincho"/>
              </w:rPr>
            </w:pPr>
            <w:r>
              <w:rPr>
                <w:rFonts w:eastAsia="MS Mincho"/>
              </w:rPr>
              <w:t>(4.7%)</w:t>
            </w:r>
          </w:p>
        </w:tc>
        <w:tc>
          <w:tcPr>
            <w:tcW w:w="944" w:type="pct"/>
            <w:vAlign w:val="center"/>
          </w:tcPr>
          <w:p w:rsidR="00B07C6E" w:rsidRDefault="00B07C6E" w:rsidP="00125A1C">
            <w:pPr>
              <w:pStyle w:val="Tablewriting"/>
              <w:jc w:val="center"/>
              <w:rPr>
                <w:rFonts w:eastAsia="MS Mincho"/>
              </w:rPr>
            </w:pPr>
            <w:r>
              <w:rPr>
                <w:rFonts w:eastAsia="MS Mincho"/>
              </w:rPr>
              <w:t>4/180</w:t>
            </w:r>
          </w:p>
          <w:p w:rsidR="00B07C6E" w:rsidRPr="001B3B7C" w:rsidRDefault="00B07C6E" w:rsidP="00125A1C">
            <w:pPr>
              <w:pStyle w:val="Tablewriting"/>
              <w:jc w:val="center"/>
              <w:rPr>
                <w:rFonts w:eastAsia="MS Mincho"/>
              </w:rPr>
            </w:pPr>
            <w:r>
              <w:rPr>
                <w:rFonts w:eastAsia="MS Mincho"/>
              </w:rPr>
              <w:t>(2.2%)</w:t>
            </w:r>
          </w:p>
        </w:tc>
        <w:tc>
          <w:tcPr>
            <w:tcW w:w="836" w:type="pct"/>
            <w:tcMar>
              <w:left w:w="28" w:type="dxa"/>
              <w:right w:w="28" w:type="dxa"/>
            </w:tcMar>
            <w:vAlign w:val="center"/>
          </w:tcPr>
          <w:p w:rsidR="00B07C6E" w:rsidRDefault="00B07C6E" w:rsidP="00125A1C">
            <w:pPr>
              <w:pStyle w:val="Tablewriting"/>
              <w:jc w:val="center"/>
              <w:rPr>
                <w:rFonts w:eastAsia="MS Mincho"/>
              </w:rPr>
            </w:pPr>
            <w:r>
              <w:rPr>
                <w:rFonts w:eastAsia="MS Mincho"/>
              </w:rPr>
              <w:t>2.09</w:t>
            </w:r>
          </w:p>
          <w:p w:rsidR="00B07C6E" w:rsidRPr="001B3B7C" w:rsidRDefault="00B07C6E" w:rsidP="00125A1C">
            <w:pPr>
              <w:pStyle w:val="Tablewriting"/>
              <w:jc w:val="center"/>
              <w:rPr>
                <w:rFonts w:eastAsia="MS Mincho"/>
              </w:rPr>
            </w:pPr>
            <w:r>
              <w:rPr>
                <w:rFonts w:eastAsia="MS Mincho"/>
              </w:rPr>
              <w:t>(0.64, 6.82)</w:t>
            </w:r>
          </w:p>
        </w:tc>
      </w:tr>
      <w:tr w:rsidR="00B07C6E" w:rsidRPr="00061F78" w:rsidTr="00BE68DA">
        <w:trPr>
          <w:cantSplit/>
          <w:trHeight w:val="149"/>
        </w:trPr>
        <w:tc>
          <w:tcPr>
            <w:tcW w:w="1334" w:type="pct"/>
            <w:tcMar>
              <w:left w:w="28" w:type="dxa"/>
              <w:right w:w="28" w:type="dxa"/>
            </w:tcMar>
          </w:tcPr>
          <w:p w:rsidR="00B07C6E" w:rsidRPr="001B3B7C" w:rsidRDefault="00B07C6E" w:rsidP="00125A1C">
            <w:pPr>
              <w:pStyle w:val="Tablewriting"/>
              <w:rPr>
                <w:rFonts w:eastAsia="MS Mincho"/>
              </w:rPr>
            </w:pPr>
            <w:r w:rsidRPr="001B3B7C">
              <w:rPr>
                <w:rFonts w:eastAsia="MS Mincho"/>
              </w:rPr>
              <w:t>24 weeks versus 8 weeks</w:t>
            </w:r>
          </w:p>
        </w:tc>
        <w:tc>
          <w:tcPr>
            <w:tcW w:w="943" w:type="pct"/>
            <w:vAlign w:val="center"/>
          </w:tcPr>
          <w:p w:rsidR="00B07C6E" w:rsidRDefault="00B07C6E" w:rsidP="00125A1C">
            <w:pPr>
              <w:pStyle w:val="Tablewriting"/>
              <w:jc w:val="center"/>
              <w:rPr>
                <w:rFonts w:eastAsia="MS Mincho"/>
              </w:rPr>
            </w:pPr>
            <w:r>
              <w:rPr>
                <w:rFonts w:eastAsia="MS Mincho"/>
              </w:rPr>
              <w:t>Cochrane Review</w:t>
            </w:r>
          </w:p>
          <w:p w:rsidR="00B07C6E" w:rsidRPr="001B3B7C" w:rsidRDefault="00B07C6E" w:rsidP="00125A1C">
            <w:pPr>
              <w:pStyle w:val="Tablewriting"/>
              <w:jc w:val="center"/>
              <w:rPr>
                <w:rFonts w:eastAsia="MS Mincho"/>
              </w:rPr>
            </w:pPr>
            <w:r>
              <w:rPr>
                <w:rFonts w:eastAsia="MS Mincho"/>
              </w:rPr>
              <w:t>(2 RCTs)</w:t>
            </w:r>
          </w:p>
        </w:tc>
        <w:tc>
          <w:tcPr>
            <w:tcW w:w="943" w:type="pct"/>
            <w:vAlign w:val="center"/>
          </w:tcPr>
          <w:p w:rsidR="00B07C6E" w:rsidRDefault="00B07C6E" w:rsidP="00125A1C">
            <w:pPr>
              <w:pStyle w:val="Tablewriting"/>
              <w:jc w:val="center"/>
              <w:rPr>
                <w:rFonts w:eastAsia="MS Mincho"/>
              </w:rPr>
            </w:pPr>
            <w:r>
              <w:rPr>
                <w:rFonts w:eastAsia="MS Mincho"/>
              </w:rPr>
              <w:t>5/455</w:t>
            </w:r>
          </w:p>
          <w:p w:rsidR="00B07C6E" w:rsidRPr="001B3B7C" w:rsidRDefault="00B07C6E" w:rsidP="00125A1C">
            <w:pPr>
              <w:pStyle w:val="Tablewriting"/>
              <w:jc w:val="center"/>
              <w:rPr>
                <w:rFonts w:eastAsia="MS Mincho"/>
              </w:rPr>
            </w:pPr>
            <w:r>
              <w:rPr>
                <w:rFonts w:eastAsia="MS Mincho"/>
              </w:rPr>
              <w:t>(1.1%)</w:t>
            </w:r>
          </w:p>
        </w:tc>
        <w:tc>
          <w:tcPr>
            <w:tcW w:w="944" w:type="pct"/>
            <w:vAlign w:val="center"/>
          </w:tcPr>
          <w:p w:rsidR="00B07C6E" w:rsidRDefault="00B07C6E" w:rsidP="00125A1C">
            <w:pPr>
              <w:pStyle w:val="Tablewriting"/>
              <w:jc w:val="center"/>
              <w:rPr>
                <w:rFonts w:eastAsia="MS Mincho"/>
              </w:rPr>
            </w:pPr>
            <w:r>
              <w:rPr>
                <w:rFonts w:eastAsia="MS Mincho"/>
              </w:rPr>
              <w:t>5/466</w:t>
            </w:r>
          </w:p>
          <w:p w:rsidR="00B07C6E" w:rsidRPr="001B3B7C" w:rsidRDefault="00B07C6E" w:rsidP="00125A1C">
            <w:pPr>
              <w:pStyle w:val="Tablewriting"/>
              <w:jc w:val="center"/>
              <w:rPr>
                <w:rFonts w:eastAsia="MS Mincho"/>
              </w:rPr>
            </w:pPr>
            <w:r>
              <w:rPr>
                <w:rFonts w:eastAsia="MS Mincho"/>
              </w:rPr>
              <w:t>(1.1%)</w:t>
            </w:r>
          </w:p>
        </w:tc>
        <w:tc>
          <w:tcPr>
            <w:tcW w:w="836" w:type="pct"/>
            <w:tcMar>
              <w:left w:w="28" w:type="dxa"/>
              <w:right w:w="28" w:type="dxa"/>
            </w:tcMar>
            <w:vAlign w:val="center"/>
          </w:tcPr>
          <w:p w:rsidR="00B07C6E" w:rsidRDefault="00B07C6E" w:rsidP="00125A1C">
            <w:pPr>
              <w:pStyle w:val="Tablewriting"/>
              <w:jc w:val="center"/>
              <w:rPr>
                <w:rFonts w:eastAsia="MS Mincho"/>
              </w:rPr>
            </w:pPr>
            <w:r>
              <w:rPr>
                <w:rFonts w:eastAsia="MS Mincho"/>
              </w:rPr>
              <w:t>1.03</w:t>
            </w:r>
          </w:p>
          <w:p w:rsidR="00B07C6E" w:rsidRPr="001B3B7C" w:rsidRDefault="00B07C6E" w:rsidP="00125A1C">
            <w:pPr>
              <w:pStyle w:val="Tablewriting"/>
              <w:jc w:val="center"/>
              <w:rPr>
                <w:rFonts w:eastAsia="MS Mincho"/>
              </w:rPr>
            </w:pPr>
            <w:r>
              <w:rPr>
                <w:rFonts w:eastAsia="MS Mincho"/>
              </w:rPr>
              <w:t>(0.3, 3.54)</w:t>
            </w:r>
          </w:p>
        </w:tc>
      </w:tr>
      <w:tr w:rsidR="00B07C6E" w:rsidRPr="00061F78" w:rsidTr="00BE68DA">
        <w:trPr>
          <w:cantSplit/>
          <w:trHeight w:val="149"/>
        </w:trPr>
        <w:tc>
          <w:tcPr>
            <w:tcW w:w="1334" w:type="pct"/>
            <w:tcMar>
              <w:left w:w="28" w:type="dxa"/>
              <w:right w:w="28" w:type="dxa"/>
            </w:tcMar>
          </w:tcPr>
          <w:p w:rsidR="00B07C6E" w:rsidRPr="001B3B7C" w:rsidRDefault="00B07C6E" w:rsidP="00125A1C">
            <w:pPr>
              <w:pStyle w:val="Tablewriting"/>
              <w:rPr>
                <w:rFonts w:eastAsia="MS Mincho"/>
              </w:rPr>
            </w:pPr>
            <w:r w:rsidRPr="001B3B7C">
              <w:rPr>
                <w:rFonts w:eastAsia="MS Mincho"/>
              </w:rPr>
              <w:lastRenderedPageBreak/>
              <w:t>6 weeks versus 2 - 3 weeks</w:t>
            </w:r>
          </w:p>
        </w:tc>
        <w:tc>
          <w:tcPr>
            <w:tcW w:w="943" w:type="pct"/>
            <w:vAlign w:val="center"/>
          </w:tcPr>
          <w:p w:rsidR="00B07C6E" w:rsidRDefault="00B07C6E" w:rsidP="00125A1C">
            <w:pPr>
              <w:pStyle w:val="Tablewriting"/>
              <w:jc w:val="center"/>
              <w:rPr>
                <w:rFonts w:eastAsia="MS Mincho"/>
              </w:rPr>
            </w:pPr>
            <w:r>
              <w:rPr>
                <w:rFonts w:eastAsia="MS Mincho"/>
              </w:rPr>
              <w:t>Cochrane Review</w:t>
            </w:r>
          </w:p>
          <w:p w:rsidR="00B07C6E" w:rsidRPr="001B3B7C" w:rsidRDefault="00B07C6E" w:rsidP="00125A1C">
            <w:pPr>
              <w:pStyle w:val="Tablewriting"/>
              <w:jc w:val="center"/>
              <w:rPr>
                <w:rFonts w:eastAsia="MS Mincho"/>
              </w:rPr>
            </w:pPr>
            <w:r>
              <w:rPr>
                <w:rFonts w:eastAsia="MS Mincho"/>
              </w:rPr>
              <w:t>(1 RCT)</w:t>
            </w:r>
          </w:p>
        </w:tc>
        <w:tc>
          <w:tcPr>
            <w:tcW w:w="943" w:type="pct"/>
            <w:vAlign w:val="center"/>
          </w:tcPr>
          <w:p w:rsidR="00B07C6E" w:rsidRDefault="00B07C6E" w:rsidP="00125A1C">
            <w:pPr>
              <w:pStyle w:val="Tablewriting"/>
              <w:jc w:val="center"/>
              <w:rPr>
                <w:rFonts w:eastAsia="MS Mincho"/>
              </w:rPr>
            </w:pPr>
            <w:r>
              <w:rPr>
                <w:rFonts w:eastAsia="MS Mincho"/>
              </w:rPr>
              <w:t>0/40</w:t>
            </w:r>
          </w:p>
          <w:p w:rsidR="00B07C6E" w:rsidRPr="001B3B7C" w:rsidRDefault="00B07C6E" w:rsidP="00125A1C">
            <w:pPr>
              <w:pStyle w:val="Tablewriting"/>
              <w:jc w:val="center"/>
              <w:rPr>
                <w:rFonts w:eastAsia="MS Mincho"/>
              </w:rPr>
            </w:pPr>
            <w:r>
              <w:rPr>
                <w:rFonts w:eastAsia="MS Mincho"/>
              </w:rPr>
              <w:t>(0%)</w:t>
            </w:r>
          </w:p>
        </w:tc>
        <w:tc>
          <w:tcPr>
            <w:tcW w:w="944" w:type="pct"/>
            <w:vAlign w:val="center"/>
          </w:tcPr>
          <w:p w:rsidR="00B07C6E" w:rsidRDefault="00B07C6E" w:rsidP="00125A1C">
            <w:pPr>
              <w:pStyle w:val="Tablewriting"/>
              <w:jc w:val="center"/>
              <w:rPr>
                <w:rFonts w:eastAsia="MS Mincho"/>
              </w:rPr>
            </w:pPr>
            <w:r>
              <w:rPr>
                <w:rFonts w:eastAsia="MS Mincho"/>
              </w:rPr>
              <w:t>0/40</w:t>
            </w:r>
          </w:p>
          <w:p w:rsidR="00B07C6E" w:rsidRPr="001B3B7C" w:rsidRDefault="00B07C6E" w:rsidP="00125A1C">
            <w:pPr>
              <w:pStyle w:val="Tablewriting"/>
              <w:jc w:val="center"/>
              <w:rPr>
                <w:rFonts w:eastAsia="MS Mincho"/>
              </w:rPr>
            </w:pPr>
            <w:r>
              <w:rPr>
                <w:rFonts w:eastAsia="MS Mincho"/>
              </w:rPr>
              <w:t>(0%)</w:t>
            </w:r>
          </w:p>
        </w:tc>
        <w:tc>
          <w:tcPr>
            <w:tcW w:w="836" w:type="pct"/>
            <w:tcMar>
              <w:left w:w="28" w:type="dxa"/>
              <w:right w:w="28" w:type="dxa"/>
            </w:tcMar>
            <w:vAlign w:val="center"/>
          </w:tcPr>
          <w:p w:rsidR="00B07C6E" w:rsidRPr="001B3B7C" w:rsidRDefault="00B07C6E" w:rsidP="00125A1C">
            <w:pPr>
              <w:pStyle w:val="Tablewriting"/>
              <w:jc w:val="center"/>
              <w:rPr>
                <w:rFonts w:eastAsia="MS Mincho"/>
              </w:rPr>
            </w:pPr>
            <w:r>
              <w:rPr>
                <w:rFonts w:eastAsia="MS Mincho"/>
              </w:rPr>
              <w:t>NE</w:t>
            </w:r>
          </w:p>
        </w:tc>
      </w:tr>
      <w:tr w:rsidR="00B07C6E" w:rsidRPr="00061F78" w:rsidTr="00E723A1">
        <w:trPr>
          <w:cantSplit/>
          <w:trHeight w:val="149"/>
        </w:trPr>
        <w:tc>
          <w:tcPr>
            <w:tcW w:w="5000" w:type="pct"/>
            <w:gridSpan w:val="5"/>
            <w:shd w:val="clear" w:color="auto" w:fill="auto"/>
            <w:tcMar>
              <w:left w:w="28" w:type="dxa"/>
              <w:right w:w="28" w:type="dxa"/>
            </w:tcMar>
          </w:tcPr>
          <w:p w:rsidR="00B07C6E" w:rsidRPr="00E723A1" w:rsidRDefault="00B07C6E" w:rsidP="00125A1C">
            <w:pPr>
              <w:pStyle w:val="Tablewriting"/>
              <w:rPr>
                <w:rFonts w:eastAsia="MS Mincho"/>
                <w:b/>
                <w:bCs/>
              </w:rPr>
            </w:pPr>
            <w:r w:rsidRPr="00E723A1">
              <w:rPr>
                <w:rFonts w:eastAsia="MS Mincho"/>
                <w:b/>
                <w:bCs/>
              </w:rPr>
              <w:t>Treatment withdrawals</w:t>
            </w:r>
          </w:p>
        </w:tc>
      </w:tr>
      <w:tr w:rsidR="00B07C6E" w:rsidRPr="00061F78" w:rsidTr="00BE68DA">
        <w:trPr>
          <w:cantSplit/>
          <w:trHeight w:val="149"/>
        </w:trPr>
        <w:tc>
          <w:tcPr>
            <w:tcW w:w="1334" w:type="pct"/>
            <w:tcMar>
              <w:left w:w="28" w:type="dxa"/>
              <w:right w:w="28" w:type="dxa"/>
            </w:tcMar>
          </w:tcPr>
          <w:p w:rsidR="00B07C6E" w:rsidRPr="001B3B7C" w:rsidRDefault="00B07C6E" w:rsidP="00125A1C">
            <w:pPr>
              <w:pStyle w:val="Tablewriting"/>
              <w:rPr>
                <w:rFonts w:eastAsia="MS Mincho"/>
              </w:rPr>
            </w:pPr>
            <w:r w:rsidRPr="001B3B7C">
              <w:rPr>
                <w:rFonts w:eastAsia="MS Mincho"/>
              </w:rPr>
              <w:t>24 weeks versus 8 weeks</w:t>
            </w:r>
          </w:p>
        </w:tc>
        <w:tc>
          <w:tcPr>
            <w:tcW w:w="943" w:type="pct"/>
            <w:vAlign w:val="center"/>
          </w:tcPr>
          <w:p w:rsidR="00B07C6E" w:rsidRDefault="00B07C6E" w:rsidP="00125A1C">
            <w:pPr>
              <w:pStyle w:val="Tablewriting"/>
              <w:jc w:val="center"/>
              <w:rPr>
                <w:rFonts w:eastAsia="MS Mincho"/>
              </w:rPr>
            </w:pPr>
            <w:r>
              <w:rPr>
                <w:rFonts w:eastAsia="MS Mincho"/>
              </w:rPr>
              <w:t>Cochrane Review</w:t>
            </w:r>
          </w:p>
          <w:p w:rsidR="00B07C6E" w:rsidRPr="001B3B7C" w:rsidRDefault="00B07C6E" w:rsidP="00125A1C">
            <w:pPr>
              <w:pStyle w:val="Tablewriting"/>
              <w:jc w:val="center"/>
              <w:rPr>
                <w:rFonts w:eastAsia="MS Mincho"/>
              </w:rPr>
            </w:pPr>
            <w:r>
              <w:rPr>
                <w:rFonts w:eastAsia="MS Mincho"/>
              </w:rPr>
              <w:t>(1 RCT)</w:t>
            </w:r>
          </w:p>
        </w:tc>
        <w:tc>
          <w:tcPr>
            <w:tcW w:w="943" w:type="pct"/>
            <w:tcMar>
              <w:left w:w="28" w:type="dxa"/>
              <w:right w:w="28" w:type="dxa"/>
            </w:tcMar>
            <w:vAlign w:val="center"/>
          </w:tcPr>
          <w:p w:rsidR="00B07C6E" w:rsidRDefault="00B07C6E" w:rsidP="00125A1C">
            <w:pPr>
              <w:pStyle w:val="Tablewriting"/>
              <w:jc w:val="center"/>
              <w:rPr>
                <w:rFonts w:eastAsia="MS Mincho"/>
              </w:rPr>
            </w:pPr>
            <w:r>
              <w:rPr>
                <w:rFonts w:eastAsia="MS Mincho"/>
              </w:rPr>
              <w:t>1/282</w:t>
            </w:r>
          </w:p>
          <w:p w:rsidR="00B07C6E" w:rsidRPr="001B3B7C" w:rsidRDefault="00B07C6E" w:rsidP="00125A1C">
            <w:pPr>
              <w:pStyle w:val="Tablewriting"/>
              <w:jc w:val="center"/>
              <w:rPr>
                <w:rFonts w:eastAsia="MS Mincho"/>
              </w:rPr>
            </w:pPr>
            <w:r>
              <w:rPr>
                <w:rFonts w:eastAsia="MS Mincho"/>
              </w:rPr>
              <w:t>(0.4%)</w:t>
            </w:r>
          </w:p>
        </w:tc>
        <w:tc>
          <w:tcPr>
            <w:tcW w:w="944" w:type="pct"/>
            <w:tcMar>
              <w:left w:w="28" w:type="dxa"/>
              <w:right w:w="28" w:type="dxa"/>
            </w:tcMar>
            <w:vAlign w:val="center"/>
          </w:tcPr>
          <w:p w:rsidR="00B07C6E" w:rsidRDefault="00B07C6E" w:rsidP="00125A1C">
            <w:pPr>
              <w:pStyle w:val="Tablewriting"/>
              <w:jc w:val="center"/>
              <w:rPr>
                <w:rFonts w:eastAsia="MS Mincho"/>
              </w:rPr>
            </w:pPr>
            <w:r>
              <w:rPr>
                <w:rFonts w:eastAsia="MS Mincho"/>
              </w:rPr>
              <w:t>0/286</w:t>
            </w:r>
          </w:p>
          <w:p w:rsidR="00B07C6E" w:rsidRPr="001B3B7C" w:rsidRDefault="00B07C6E" w:rsidP="00125A1C">
            <w:pPr>
              <w:pStyle w:val="Tablewriting"/>
              <w:jc w:val="center"/>
              <w:rPr>
                <w:rFonts w:eastAsia="MS Mincho"/>
              </w:rPr>
            </w:pPr>
            <w:r>
              <w:rPr>
                <w:rFonts w:eastAsia="MS Mincho"/>
              </w:rPr>
              <w:t>(0%)</w:t>
            </w:r>
          </w:p>
        </w:tc>
        <w:tc>
          <w:tcPr>
            <w:tcW w:w="836" w:type="pct"/>
            <w:tcMar>
              <w:left w:w="28" w:type="dxa"/>
              <w:right w:w="28" w:type="dxa"/>
            </w:tcMar>
            <w:vAlign w:val="center"/>
          </w:tcPr>
          <w:p w:rsidR="00B07C6E" w:rsidRDefault="00B07C6E" w:rsidP="00125A1C">
            <w:pPr>
              <w:pStyle w:val="Tablewriting"/>
              <w:jc w:val="center"/>
              <w:rPr>
                <w:rFonts w:eastAsia="MS Mincho"/>
              </w:rPr>
            </w:pPr>
            <w:r>
              <w:rPr>
                <w:rFonts w:eastAsia="MS Mincho"/>
              </w:rPr>
              <w:t>3.04</w:t>
            </w:r>
          </w:p>
          <w:p w:rsidR="00B07C6E" w:rsidRPr="001B3B7C" w:rsidRDefault="00B07C6E" w:rsidP="00125A1C">
            <w:pPr>
              <w:pStyle w:val="Tablewriting"/>
              <w:jc w:val="center"/>
              <w:rPr>
                <w:rFonts w:eastAsia="MS Mincho"/>
              </w:rPr>
            </w:pPr>
            <w:r>
              <w:rPr>
                <w:rFonts w:eastAsia="MS Mincho"/>
              </w:rPr>
              <w:t>(0.12, 74.37)</w:t>
            </w:r>
          </w:p>
        </w:tc>
      </w:tr>
      <w:tr w:rsidR="00B07C6E" w:rsidRPr="00061F78" w:rsidTr="00BE68DA">
        <w:trPr>
          <w:cantSplit/>
          <w:trHeight w:val="149"/>
        </w:trPr>
        <w:tc>
          <w:tcPr>
            <w:tcW w:w="1334" w:type="pct"/>
            <w:tcMar>
              <w:left w:w="28" w:type="dxa"/>
              <w:right w:w="28" w:type="dxa"/>
            </w:tcMar>
          </w:tcPr>
          <w:p w:rsidR="00B07C6E" w:rsidRPr="001B3B7C" w:rsidRDefault="00B07C6E" w:rsidP="00125A1C">
            <w:pPr>
              <w:pStyle w:val="Tablewriting"/>
              <w:rPr>
                <w:rFonts w:eastAsia="MS Mincho"/>
              </w:rPr>
            </w:pPr>
            <w:r w:rsidRPr="001B3B7C">
              <w:rPr>
                <w:rFonts w:eastAsia="MS Mincho"/>
              </w:rPr>
              <w:t>6 weeks versus 2 - 3 weeks</w:t>
            </w:r>
          </w:p>
        </w:tc>
        <w:tc>
          <w:tcPr>
            <w:tcW w:w="943" w:type="pct"/>
            <w:vAlign w:val="center"/>
          </w:tcPr>
          <w:p w:rsidR="00B07C6E" w:rsidRDefault="00B07C6E" w:rsidP="00125A1C">
            <w:pPr>
              <w:pStyle w:val="Tablewriting"/>
              <w:jc w:val="center"/>
              <w:rPr>
                <w:rFonts w:eastAsia="MS Mincho"/>
              </w:rPr>
            </w:pPr>
            <w:r>
              <w:rPr>
                <w:rFonts w:eastAsia="MS Mincho"/>
              </w:rPr>
              <w:t>Cochrane Review</w:t>
            </w:r>
          </w:p>
          <w:p w:rsidR="00B07C6E" w:rsidRPr="001B3B7C" w:rsidRDefault="00B07C6E" w:rsidP="00125A1C">
            <w:pPr>
              <w:pStyle w:val="Tablewriting"/>
              <w:jc w:val="center"/>
              <w:rPr>
                <w:rFonts w:eastAsia="MS Mincho"/>
              </w:rPr>
            </w:pPr>
            <w:r>
              <w:rPr>
                <w:rFonts w:eastAsia="MS Mincho"/>
              </w:rPr>
              <w:t>(1 RCT)</w:t>
            </w:r>
          </w:p>
        </w:tc>
        <w:tc>
          <w:tcPr>
            <w:tcW w:w="943" w:type="pct"/>
            <w:vAlign w:val="center"/>
          </w:tcPr>
          <w:p w:rsidR="00B07C6E" w:rsidRDefault="00B07C6E" w:rsidP="00125A1C">
            <w:pPr>
              <w:pStyle w:val="Tablewriting"/>
              <w:jc w:val="center"/>
              <w:rPr>
                <w:rFonts w:eastAsia="MS Mincho"/>
              </w:rPr>
            </w:pPr>
            <w:r>
              <w:rPr>
                <w:rFonts w:eastAsia="MS Mincho"/>
              </w:rPr>
              <w:t>2/40</w:t>
            </w:r>
          </w:p>
          <w:p w:rsidR="00B07C6E" w:rsidRPr="001B3B7C" w:rsidRDefault="00B07C6E" w:rsidP="00125A1C">
            <w:pPr>
              <w:pStyle w:val="Tablewriting"/>
              <w:jc w:val="center"/>
              <w:rPr>
                <w:rFonts w:eastAsia="MS Mincho"/>
              </w:rPr>
            </w:pPr>
            <w:r>
              <w:rPr>
                <w:rFonts w:eastAsia="MS Mincho"/>
              </w:rPr>
              <w:t>(5%)</w:t>
            </w:r>
          </w:p>
        </w:tc>
        <w:tc>
          <w:tcPr>
            <w:tcW w:w="944" w:type="pct"/>
            <w:vAlign w:val="center"/>
          </w:tcPr>
          <w:p w:rsidR="00B07C6E" w:rsidRDefault="00B07C6E" w:rsidP="00125A1C">
            <w:pPr>
              <w:pStyle w:val="Tablewriting"/>
              <w:jc w:val="center"/>
              <w:rPr>
                <w:rFonts w:eastAsia="MS Mincho"/>
              </w:rPr>
            </w:pPr>
            <w:r>
              <w:rPr>
                <w:rFonts w:eastAsia="MS Mincho"/>
              </w:rPr>
              <w:t>2/40</w:t>
            </w:r>
          </w:p>
          <w:p w:rsidR="00B07C6E" w:rsidRPr="001B3B7C" w:rsidRDefault="00B07C6E" w:rsidP="00125A1C">
            <w:pPr>
              <w:pStyle w:val="Tablewriting"/>
              <w:jc w:val="center"/>
              <w:rPr>
                <w:rFonts w:eastAsia="MS Mincho"/>
              </w:rPr>
            </w:pPr>
            <w:r>
              <w:rPr>
                <w:rFonts w:eastAsia="MS Mincho"/>
              </w:rPr>
              <w:t>(5%)</w:t>
            </w:r>
          </w:p>
        </w:tc>
        <w:tc>
          <w:tcPr>
            <w:tcW w:w="836" w:type="pct"/>
            <w:tcMar>
              <w:left w:w="28" w:type="dxa"/>
              <w:right w:w="28" w:type="dxa"/>
            </w:tcMar>
            <w:vAlign w:val="center"/>
          </w:tcPr>
          <w:p w:rsidR="00B07C6E" w:rsidRDefault="00B07C6E" w:rsidP="00125A1C">
            <w:pPr>
              <w:pStyle w:val="Tablewriting"/>
              <w:jc w:val="center"/>
              <w:rPr>
                <w:rFonts w:eastAsia="MS Mincho"/>
              </w:rPr>
            </w:pPr>
            <w:r>
              <w:rPr>
                <w:rFonts w:eastAsia="MS Mincho"/>
              </w:rPr>
              <w:t>1</w:t>
            </w:r>
          </w:p>
          <w:p w:rsidR="00B07C6E" w:rsidRPr="001B3B7C" w:rsidRDefault="00B07C6E" w:rsidP="00125A1C">
            <w:pPr>
              <w:pStyle w:val="Tablewriting"/>
              <w:jc w:val="center"/>
              <w:rPr>
                <w:rFonts w:eastAsia="MS Mincho"/>
              </w:rPr>
            </w:pPr>
            <w:r>
              <w:rPr>
                <w:rFonts w:eastAsia="MS Mincho"/>
              </w:rPr>
              <w:t>(0.15, 6.76)</w:t>
            </w:r>
          </w:p>
        </w:tc>
      </w:tr>
    </w:tbl>
    <w:p w:rsidR="00B07C6E" w:rsidRPr="00E72520" w:rsidRDefault="00B07C6E" w:rsidP="003A11A4">
      <w:pPr>
        <w:pStyle w:val="TableFooter"/>
      </w:pPr>
      <w:r w:rsidRPr="00E72520">
        <w:t>Source: Lindson et al. (2019)</w:t>
      </w:r>
    </w:p>
    <w:p w:rsidR="00B07C6E" w:rsidRPr="00E72520" w:rsidRDefault="00B07C6E" w:rsidP="003A11A4">
      <w:pPr>
        <w:pStyle w:val="TableFooter"/>
      </w:pPr>
      <w:r w:rsidRPr="00E72520">
        <w:t>Abbreviations: CI = confidence interval; NE = not estimable; RCT = randomised controlled trial; RR = risk ratio</w:t>
      </w:r>
      <w:r>
        <w:t>; SAEs = serious adverse events.</w:t>
      </w:r>
    </w:p>
    <w:p w:rsidR="00B07C6E" w:rsidRPr="006F1FEC" w:rsidRDefault="00B07C6E" w:rsidP="003A11A4">
      <w:pPr>
        <w:pStyle w:val="TableFooter"/>
      </w:pPr>
      <w:r w:rsidRPr="006F1FEC">
        <w:t xml:space="preserve">Notes: See Appendix </w:t>
      </w:r>
      <w:r w:rsidR="003C4A1C">
        <w:t xml:space="preserve">Figure </w:t>
      </w:r>
      <w:r w:rsidR="003C4A1C">
        <w:rPr>
          <w:noProof/>
        </w:rPr>
        <w:t>86</w:t>
      </w:r>
      <w:r w:rsidRPr="006F1FEC">
        <w:t xml:space="preserve"> </w:t>
      </w:r>
      <w:r w:rsidR="00F83131">
        <w:t xml:space="preserve">and </w:t>
      </w:r>
      <w:r w:rsidR="003C4A1C">
        <w:t xml:space="preserve">Figure </w:t>
      </w:r>
      <w:r w:rsidR="003C4A1C">
        <w:rPr>
          <w:noProof/>
        </w:rPr>
        <w:t>87</w:t>
      </w:r>
      <w:r w:rsidR="00F83131">
        <w:t xml:space="preserve"> </w:t>
      </w:r>
      <w:r w:rsidRPr="006F1FEC">
        <w:t>for forest plots of the respective outcomes which included the results of individual studies.</w:t>
      </w:r>
    </w:p>
    <w:p w:rsidR="00B07C6E" w:rsidRPr="00D6760A" w:rsidRDefault="00B07C6E" w:rsidP="003A11A4">
      <w:pPr>
        <w:pStyle w:val="TableFooter"/>
      </w:pPr>
      <w:r>
        <w:t>1</w:t>
      </w:r>
      <w:r w:rsidRPr="00432CC7">
        <w:t xml:space="preserve"> </w:t>
      </w:r>
      <w:r w:rsidRPr="00185B35">
        <w:t xml:space="preserve">Calculated </w:t>
      </w:r>
      <w:r>
        <w:t xml:space="preserve">by Cochrane Review authors </w:t>
      </w:r>
      <w:r w:rsidRPr="00185B35">
        <w:t>using a fixed-effect model.</w:t>
      </w:r>
      <w:r>
        <w:t xml:space="preserve"> </w:t>
      </w:r>
    </w:p>
    <w:p w:rsidR="00B07C6E" w:rsidRDefault="00B07C6E" w:rsidP="00B07C6E">
      <w:pPr>
        <w:pStyle w:val="Caption"/>
        <w:keepNext/>
      </w:pPr>
      <w:bookmarkStart w:id="192" w:name="_Ref62115003"/>
      <w:r>
        <w:t xml:space="preserve">Table </w:t>
      </w:r>
      <w:r w:rsidR="003C4A1C">
        <w:rPr>
          <w:noProof/>
        </w:rPr>
        <w:t>90</w:t>
      </w:r>
      <w:bookmarkEnd w:id="192"/>
      <w:r>
        <w:t xml:space="preserve">: </w:t>
      </w:r>
      <w:r w:rsidRPr="00D7173A">
        <w:t>Summary of key adverse events in Lindson et al. (2019), 50-week duration versus 10-week duration NRT gum</w:t>
      </w:r>
    </w:p>
    <w:tbl>
      <w:tblPr>
        <w:tblStyle w:val="TableGrid"/>
        <w:tblW w:w="5000" w:type="pct"/>
        <w:tblLook w:val="04A0" w:firstRow="1" w:lastRow="0" w:firstColumn="1" w:lastColumn="0" w:noHBand="0" w:noVBand="1"/>
        <w:tblCaption w:val="Efficacy results of adalimumab trials (PASI 75 and DLQI)"/>
      </w:tblPr>
      <w:tblGrid>
        <w:gridCol w:w="2268"/>
        <w:gridCol w:w="1700"/>
        <w:gridCol w:w="1697"/>
        <w:gridCol w:w="1845"/>
        <w:gridCol w:w="1506"/>
      </w:tblGrid>
      <w:tr w:rsidR="00B07C6E" w:rsidRPr="00061F78" w:rsidTr="00BE68DA">
        <w:trPr>
          <w:cantSplit/>
          <w:trHeight w:val="299"/>
          <w:tblHeader/>
        </w:trPr>
        <w:tc>
          <w:tcPr>
            <w:tcW w:w="1258" w:type="pct"/>
            <w:shd w:val="clear" w:color="auto" w:fill="BFBFBF" w:themeFill="background1" w:themeFillShade="BF"/>
            <w:tcMar>
              <w:left w:w="28" w:type="dxa"/>
              <w:right w:w="28" w:type="dxa"/>
            </w:tcMar>
            <w:vAlign w:val="center"/>
          </w:tcPr>
          <w:p w:rsidR="00B07C6E" w:rsidRDefault="00B07C6E" w:rsidP="00125A1C">
            <w:pPr>
              <w:pStyle w:val="Tableheading"/>
              <w:keepNext/>
              <w:rPr>
                <w:rFonts w:eastAsia="MS Mincho"/>
              </w:rPr>
            </w:pPr>
            <w:r>
              <w:rPr>
                <w:rFonts w:eastAsia="MS Mincho"/>
              </w:rPr>
              <w:t>Outcome</w:t>
            </w:r>
          </w:p>
        </w:tc>
        <w:tc>
          <w:tcPr>
            <w:tcW w:w="943" w:type="pct"/>
            <w:shd w:val="clear" w:color="auto" w:fill="BFBFBF" w:themeFill="background1" w:themeFillShade="BF"/>
            <w:vAlign w:val="center"/>
          </w:tcPr>
          <w:p w:rsidR="00B07C6E" w:rsidRDefault="00B07C6E" w:rsidP="00125A1C">
            <w:pPr>
              <w:pStyle w:val="Tableheading"/>
              <w:keepNext/>
              <w:jc w:val="center"/>
              <w:rPr>
                <w:rFonts w:eastAsia="MS Mincho"/>
              </w:rPr>
            </w:pPr>
            <w:r>
              <w:rPr>
                <w:rFonts w:eastAsia="MS Mincho"/>
              </w:rPr>
              <w:t>Study type</w:t>
            </w:r>
          </w:p>
        </w:tc>
        <w:tc>
          <w:tcPr>
            <w:tcW w:w="941" w:type="pct"/>
            <w:shd w:val="clear" w:color="auto" w:fill="BFBFBF" w:themeFill="background1" w:themeFillShade="BF"/>
            <w:tcMar>
              <w:left w:w="28" w:type="dxa"/>
              <w:right w:w="28" w:type="dxa"/>
            </w:tcMar>
            <w:vAlign w:val="center"/>
          </w:tcPr>
          <w:p w:rsidR="00B07C6E" w:rsidRPr="00061F78" w:rsidRDefault="00B07C6E" w:rsidP="00125A1C">
            <w:pPr>
              <w:pStyle w:val="Tableheading"/>
              <w:keepNext/>
              <w:jc w:val="center"/>
              <w:rPr>
                <w:rFonts w:eastAsia="MS Mincho"/>
              </w:rPr>
            </w:pPr>
            <w:r>
              <w:rPr>
                <w:rFonts w:eastAsia="MS Mincho"/>
              </w:rPr>
              <w:t xml:space="preserve">Longer duration </w:t>
            </w:r>
          </w:p>
        </w:tc>
        <w:tc>
          <w:tcPr>
            <w:tcW w:w="1023" w:type="pct"/>
            <w:shd w:val="clear" w:color="auto" w:fill="BFBFBF" w:themeFill="background1" w:themeFillShade="BF"/>
            <w:tcMar>
              <w:left w:w="28" w:type="dxa"/>
              <w:right w:w="28" w:type="dxa"/>
            </w:tcMar>
            <w:vAlign w:val="center"/>
          </w:tcPr>
          <w:p w:rsidR="00B07C6E" w:rsidRPr="00061F78" w:rsidRDefault="00B07C6E" w:rsidP="00125A1C">
            <w:pPr>
              <w:pStyle w:val="Tableheading"/>
              <w:keepNext/>
              <w:jc w:val="center"/>
              <w:rPr>
                <w:rFonts w:eastAsia="MS Mincho"/>
              </w:rPr>
            </w:pPr>
            <w:r>
              <w:rPr>
                <w:rFonts w:eastAsia="MS Mincho"/>
              </w:rPr>
              <w:t>Shorter duration</w:t>
            </w:r>
          </w:p>
        </w:tc>
        <w:tc>
          <w:tcPr>
            <w:tcW w:w="836" w:type="pct"/>
            <w:shd w:val="clear" w:color="auto" w:fill="BFBFBF" w:themeFill="background1" w:themeFillShade="BF"/>
            <w:tcMar>
              <w:left w:w="28" w:type="dxa"/>
              <w:right w:w="28" w:type="dxa"/>
            </w:tcMar>
            <w:vAlign w:val="center"/>
          </w:tcPr>
          <w:p w:rsidR="00B07C6E" w:rsidRPr="00681ACA" w:rsidRDefault="00B07C6E" w:rsidP="00125A1C">
            <w:pPr>
              <w:pStyle w:val="Tableheading"/>
              <w:keepNext/>
              <w:jc w:val="center"/>
              <w:rPr>
                <w:rFonts w:eastAsia="MS Mincho"/>
                <w:vertAlign w:val="superscript"/>
              </w:rPr>
            </w:pPr>
            <w:r>
              <w:rPr>
                <w:rFonts w:eastAsia="MS Mincho"/>
              </w:rPr>
              <w:t>RR (95% CI)</w:t>
            </w:r>
            <w:r w:rsidR="00BE68DA">
              <w:rPr>
                <w:rFonts w:eastAsia="MS Mincho"/>
                <w:vertAlign w:val="superscript"/>
              </w:rPr>
              <w:t>1</w:t>
            </w:r>
          </w:p>
        </w:tc>
      </w:tr>
      <w:tr w:rsidR="00B07C6E" w:rsidRPr="00061F78" w:rsidTr="00E723A1">
        <w:trPr>
          <w:cantSplit/>
          <w:trHeight w:val="149"/>
        </w:trPr>
        <w:tc>
          <w:tcPr>
            <w:tcW w:w="5000" w:type="pct"/>
            <w:gridSpan w:val="5"/>
            <w:shd w:val="clear" w:color="auto" w:fill="auto"/>
            <w:tcMar>
              <w:left w:w="28" w:type="dxa"/>
              <w:right w:w="28" w:type="dxa"/>
            </w:tcMar>
          </w:tcPr>
          <w:p w:rsidR="00B07C6E" w:rsidRPr="00E723A1" w:rsidRDefault="00B07C6E" w:rsidP="00125A1C">
            <w:pPr>
              <w:pStyle w:val="Tablewriting"/>
              <w:keepNext/>
              <w:rPr>
                <w:rFonts w:eastAsia="MS Mincho"/>
                <w:b/>
                <w:bCs/>
              </w:rPr>
            </w:pPr>
            <w:r w:rsidRPr="00E723A1">
              <w:rPr>
                <w:rFonts w:eastAsia="MS Mincho"/>
                <w:b/>
                <w:bCs/>
              </w:rPr>
              <w:t>Midsternal pressure</w:t>
            </w:r>
          </w:p>
        </w:tc>
      </w:tr>
      <w:tr w:rsidR="00B07C6E" w:rsidRPr="00061F78" w:rsidTr="00BE68DA">
        <w:trPr>
          <w:cantSplit/>
          <w:trHeight w:val="149"/>
        </w:trPr>
        <w:tc>
          <w:tcPr>
            <w:tcW w:w="1258" w:type="pct"/>
            <w:tcMar>
              <w:left w:w="28" w:type="dxa"/>
              <w:right w:w="28" w:type="dxa"/>
            </w:tcMar>
          </w:tcPr>
          <w:p w:rsidR="00B07C6E" w:rsidRPr="001B3B7C" w:rsidRDefault="00B07C6E" w:rsidP="00125A1C">
            <w:pPr>
              <w:pStyle w:val="Tablewriting"/>
              <w:keepNext/>
              <w:rPr>
                <w:rFonts w:eastAsia="MS Mincho"/>
              </w:rPr>
            </w:pPr>
            <w:r w:rsidRPr="00342BCB">
              <w:rPr>
                <w:rFonts w:eastAsia="MS Mincho"/>
              </w:rPr>
              <w:t>50 weeks versus 10 weeks</w:t>
            </w:r>
          </w:p>
        </w:tc>
        <w:tc>
          <w:tcPr>
            <w:tcW w:w="943" w:type="pct"/>
            <w:vAlign w:val="center"/>
          </w:tcPr>
          <w:p w:rsidR="00B07C6E" w:rsidRDefault="00B07C6E" w:rsidP="00125A1C">
            <w:pPr>
              <w:pStyle w:val="Tablewriting"/>
              <w:keepNext/>
              <w:jc w:val="center"/>
              <w:rPr>
                <w:rFonts w:eastAsia="MS Mincho"/>
              </w:rPr>
            </w:pPr>
            <w:r>
              <w:rPr>
                <w:rFonts w:eastAsia="MS Mincho"/>
              </w:rPr>
              <w:t>Cochrane Review</w:t>
            </w:r>
          </w:p>
          <w:p w:rsidR="00B07C6E" w:rsidRPr="00E72520" w:rsidRDefault="00B07C6E" w:rsidP="00125A1C">
            <w:pPr>
              <w:pStyle w:val="Tablewriting"/>
              <w:keepNext/>
              <w:jc w:val="center"/>
              <w:rPr>
                <w:rFonts w:eastAsia="MS Mincho"/>
              </w:rPr>
            </w:pPr>
            <w:r>
              <w:rPr>
                <w:rFonts w:eastAsia="MS Mincho"/>
              </w:rPr>
              <w:t>(1 RCT)</w:t>
            </w:r>
          </w:p>
        </w:tc>
        <w:tc>
          <w:tcPr>
            <w:tcW w:w="941" w:type="pct"/>
            <w:tcMar>
              <w:left w:w="28" w:type="dxa"/>
              <w:right w:w="28" w:type="dxa"/>
            </w:tcMar>
            <w:vAlign w:val="center"/>
          </w:tcPr>
          <w:p w:rsidR="00B07C6E" w:rsidRDefault="00B07C6E" w:rsidP="00125A1C">
            <w:pPr>
              <w:pStyle w:val="Tablewriting"/>
              <w:keepNext/>
              <w:jc w:val="center"/>
              <w:rPr>
                <w:rFonts w:eastAsia="MS Mincho"/>
              </w:rPr>
            </w:pPr>
            <w:r>
              <w:rPr>
                <w:rFonts w:eastAsia="MS Mincho"/>
              </w:rPr>
              <w:t>1/203</w:t>
            </w:r>
          </w:p>
          <w:p w:rsidR="00B07C6E" w:rsidRPr="001B3B7C" w:rsidRDefault="00B07C6E" w:rsidP="00125A1C">
            <w:pPr>
              <w:pStyle w:val="Tablewriting"/>
              <w:keepNext/>
              <w:jc w:val="center"/>
              <w:rPr>
                <w:rFonts w:eastAsia="MS Mincho"/>
              </w:rPr>
            </w:pPr>
            <w:r>
              <w:rPr>
                <w:rFonts w:eastAsia="MS Mincho"/>
              </w:rPr>
              <w:t>(0.5%)</w:t>
            </w:r>
          </w:p>
        </w:tc>
        <w:tc>
          <w:tcPr>
            <w:tcW w:w="1023" w:type="pct"/>
            <w:tcMar>
              <w:left w:w="28" w:type="dxa"/>
              <w:right w:w="28" w:type="dxa"/>
            </w:tcMar>
            <w:vAlign w:val="center"/>
          </w:tcPr>
          <w:p w:rsidR="00B07C6E" w:rsidRDefault="00B07C6E" w:rsidP="00125A1C">
            <w:pPr>
              <w:pStyle w:val="Tablewriting"/>
              <w:keepNext/>
              <w:jc w:val="center"/>
              <w:rPr>
                <w:rFonts w:eastAsia="MS Mincho"/>
              </w:rPr>
            </w:pPr>
            <w:r>
              <w:rPr>
                <w:rFonts w:eastAsia="MS Mincho"/>
              </w:rPr>
              <w:t>0/199</w:t>
            </w:r>
          </w:p>
          <w:p w:rsidR="00B07C6E" w:rsidRPr="001B3B7C" w:rsidRDefault="00B07C6E" w:rsidP="00125A1C">
            <w:pPr>
              <w:pStyle w:val="Tablewriting"/>
              <w:keepNext/>
              <w:jc w:val="center"/>
              <w:rPr>
                <w:rFonts w:eastAsia="MS Mincho"/>
              </w:rPr>
            </w:pPr>
            <w:r>
              <w:rPr>
                <w:rFonts w:eastAsia="MS Mincho"/>
              </w:rPr>
              <w:t>(0%)</w:t>
            </w:r>
          </w:p>
        </w:tc>
        <w:tc>
          <w:tcPr>
            <w:tcW w:w="836" w:type="pct"/>
            <w:tcMar>
              <w:left w:w="28" w:type="dxa"/>
              <w:right w:w="28" w:type="dxa"/>
            </w:tcMar>
            <w:vAlign w:val="center"/>
          </w:tcPr>
          <w:p w:rsidR="00B07C6E" w:rsidRDefault="00B07C6E" w:rsidP="00125A1C">
            <w:pPr>
              <w:pStyle w:val="Tablewriting"/>
              <w:keepNext/>
              <w:jc w:val="center"/>
              <w:rPr>
                <w:rFonts w:eastAsia="MS Mincho"/>
              </w:rPr>
            </w:pPr>
            <w:r>
              <w:rPr>
                <w:rFonts w:eastAsia="MS Mincho"/>
              </w:rPr>
              <w:t>2.94</w:t>
            </w:r>
          </w:p>
          <w:p w:rsidR="00B07C6E" w:rsidRPr="001B3B7C" w:rsidRDefault="00B07C6E" w:rsidP="00125A1C">
            <w:pPr>
              <w:pStyle w:val="Tablewriting"/>
              <w:keepNext/>
              <w:jc w:val="center"/>
              <w:rPr>
                <w:rFonts w:eastAsia="MS Mincho"/>
              </w:rPr>
            </w:pPr>
            <w:r>
              <w:rPr>
                <w:rFonts w:eastAsia="MS Mincho"/>
              </w:rPr>
              <w:t>(0.12, 71.77)</w:t>
            </w:r>
          </w:p>
        </w:tc>
      </w:tr>
      <w:tr w:rsidR="00B07C6E" w:rsidRPr="00061F78" w:rsidTr="00E723A1">
        <w:trPr>
          <w:cantSplit/>
          <w:trHeight w:val="149"/>
        </w:trPr>
        <w:tc>
          <w:tcPr>
            <w:tcW w:w="5000" w:type="pct"/>
            <w:gridSpan w:val="5"/>
            <w:shd w:val="clear" w:color="auto" w:fill="auto"/>
            <w:tcMar>
              <w:left w:w="28" w:type="dxa"/>
              <w:right w:w="28" w:type="dxa"/>
            </w:tcMar>
          </w:tcPr>
          <w:p w:rsidR="00B07C6E" w:rsidRPr="00E723A1" w:rsidRDefault="00B07C6E" w:rsidP="00125A1C">
            <w:pPr>
              <w:pStyle w:val="Tablewriting"/>
              <w:keepNext/>
              <w:rPr>
                <w:rFonts w:eastAsia="MS Mincho"/>
                <w:b/>
                <w:bCs/>
              </w:rPr>
            </w:pPr>
            <w:r w:rsidRPr="00E723A1">
              <w:rPr>
                <w:rFonts w:eastAsia="MS Mincho"/>
                <w:b/>
                <w:bCs/>
              </w:rPr>
              <w:t>Overall SAEs</w:t>
            </w:r>
          </w:p>
        </w:tc>
      </w:tr>
      <w:tr w:rsidR="00B07C6E" w:rsidRPr="00061F78" w:rsidTr="00BE68DA">
        <w:trPr>
          <w:cantSplit/>
          <w:trHeight w:val="149"/>
        </w:trPr>
        <w:tc>
          <w:tcPr>
            <w:tcW w:w="1258" w:type="pct"/>
            <w:tcMar>
              <w:left w:w="28" w:type="dxa"/>
              <w:right w:w="28" w:type="dxa"/>
            </w:tcMar>
          </w:tcPr>
          <w:p w:rsidR="00B07C6E" w:rsidRPr="001B3B7C" w:rsidRDefault="00B07C6E" w:rsidP="00125A1C">
            <w:pPr>
              <w:pStyle w:val="Tablewriting"/>
              <w:keepNext/>
              <w:rPr>
                <w:rFonts w:eastAsia="MS Mincho"/>
              </w:rPr>
            </w:pPr>
            <w:r w:rsidRPr="00342BCB">
              <w:rPr>
                <w:rFonts w:eastAsia="MS Mincho"/>
              </w:rPr>
              <w:t>50 weeks versus 10 weeks</w:t>
            </w:r>
          </w:p>
        </w:tc>
        <w:tc>
          <w:tcPr>
            <w:tcW w:w="943" w:type="pct"/>
            <w:vAlign w:val="center"/>
          </w:tcPr>
          <w:p w:rsidR="00B07C6E" w:rsidRDefault="00B07C6E" w:rsidP="00125A1C">
            <w:pPr>
              <w:pStyle w:val="Tablewriting"/>
              <w:keepNext/>
              <w:jc w:val="center"/>
              <w:rPr>
                <w:rFonts w:eastAsia="MS Mincho"/>
              </w:rPr>
            </w:pPr>
            <w:r>
              <w:rPr>
                <w:rFonts w:eastAsia="MS Mincho"/>
              </w:rPr>
              <w:t>Cochrane Review</w:t>
            </w:r>
          </w:p>
          <w:p w:rsidR="00B07C6E" w:rsidRPr="001B3B7C" w:rsidRDefault="00B07C6E" w:rsidP="00125A1C">
            <w:pPr>
              <w:pStyle w:val="Tablewriting"/>
              <w:keepNext/>
              <w:jc w:val="center"/>
              <w:rPr>
                <w:rFonts w:eastAsia="MS Mincho"/>
              </w:rPr>
            </w:pPr>
            <w:r>
              <w:rPr>
                <w:rFonts w:eastAsia="MS Mincho"/>
              </w:rPr>
              <w:t>(1 RCT)</w:t>
            </w:r>
          </w:p>
        </w:tc>
        <w:tc>
          <w:tcPr>
            <w:tcW w:w="941" w:type="pct"/>
            <w:tcMar>
              <w:left w:w="28" w:type="dxa"/>
              <w:right w:w="28" w:type="dxa"/>
            </w:tcMar>
            <w:vAlign w:val="center"/>
          </w:tcPr>
          <w:p w:rsidR="00B07C6E" w:rsidRDefault="00B07C6E" w:rsidP="00125A1C">
            <w:pPr>
              <w:pStyle w:val="Tablewriting"/>
              <w:keepNext/>
              <w:jc w:val="center"/>
              <w:rPr>
                <w:rFonts w:eastAsia="MS Mincho"/>
              </w:rPr>
            </w:pPr>
            <w:r>
              <w:rPr>
                <w:rFonts w:eastAsia="MS Mincho"/>
              </w:rPr>
              <w:t>9/203</w:t>
            </w:r>
          </w:p>
          <w:p w:rsidR="00B07C6E" w:rsidRPr="001B3B7C" w:rsidRDefault="00B07C6E" w:rsidP="00125A1C">
            <w:pPr>
              <w:pStyle w:val="Tablewriting"/>
              <w:keepNext/>
              <w:jc w:val="center"/>
              <w:rPr>
                <w:rFonts w:eastAsia="MS Mincho"/>
              </w:rPr>
            </w:pPr>
            <w:r>
              <w:rPr>
                <w:rFonts w:eastAsia="MS Mincho"/>
              </w:rPr>
              <w:t>(4.4%)</w:t>
            </w:r>
          </w:p>
        </w:tc>
        <w:tc>
          <w:tcPr>
            <w:tcW w:w="1023" w:type="pct"/>
            <w:tcMar>
              <w:left w:w="28" w:type="dxa"/>
              <w:right w:w="28" w:type="dxa"/>
            </w:tcMar>
            <w:vAlign w:val="center"/>
          </w:tcPr>
          <w:p w:rsidR="00B07C6E" w:rsidRDefault="00B07C6E" w:rsidP="00125A1C">
            <w:pPr>
              <w:pStyle w:val="Tablewriting"/>
              <w:keepNext/>
              <w:jc w:val="center"/>
              <w:rPr>
                <w:rFonts w:eastAsia="MS Mincho"/>
              </w:rPr>
            </w:pPr>
            <w:r>
              <w:rPr>
                <w:rFonts w:eastAsia="MS Mincho"/>
              </w:rPr>
              <w:t>4/199</w:t>
            </w:r>
          </w:p>
          <w:p w:rsidR="00B07C6E" w:rsidRPr="001B3B7C" w:rsidRDefault="00B07C6E" w:rsidP="00125A1C">
            <w:pPr>
              <w:pStyle w:val="Tablewriting"/>
              <w:keepNext/>
              <w:jc w:val="center"/>
              <w:rPr>
                <w:rFonts w:eastAsia="MS Mincho"/>
              </w:rPr>
            </w:pPr>
            <w:r>
              <w:rPr>
                <w:rFonts w:eastAsia="MS Mincho"/>
              </w:rPr>
              <w:t>(2%)</w:t>
            </w:r>
          </w:p>
        </w:tc>
        <w:tc>
          <w:tcPr>
            <w:tcW w:w="836" w:type="pct"/>
            <w:tcMar>
              <w:left w:w="28" w:type="dxa"/>
              <w:right w:w="28" w:type="dxa"/>
            </w:tcMar>
            <w:vAlign w:val="center"/>
          </w:tcPr>
          <w:p w:rsidR="00B07C6E" w:rsidRDefault="00B07C6E" w:rsidP="00125A1C">
            <w:pPr>
              <w:pStyle w:val="Tablewriting"/>
              <w:keepNext/>
              <w:jc w:val="center"/>
              <w:rPr>
                <w:rFonts w:eastAsia="MS Mincho"/>
              </w:rPr>
            </w:pPr>
            <w:r>
              <w:rPr>
                <w:rFonts w:eastAsia="MS Mincho"/>
              </w:rPr>
              <w:t>2.21</w:t>
            </w:r>
          </w:p>
          <w:p w:rsidR="00B07C6E" w:rsidRPr="001B3B7C" w:rsidRDefault="00B07C6E" w:rsidP="00125A1C">
            <w:pPr>
              <w:pStyle w:val="Tablewriting"/>
              <w:keepNext/>
              <w:jc w:val="center"/>
              <w:rPr>
                <w:rFonts w:eastAsia="MS Mincho"/>
              </w:rPr>
            </w:pPr>
            <w:r>
              <w:rPr>
                <w:rFonts w:eastAsia="MS Mincho"/>
              </w:rPr>
              <w:t>(0.69, 7.05)</w:t>
            </w:r>
          </w:p>
        </w:tc>
      </w:tr>
    </w:tbl>
    <w:p w:rsidR="00B07C6E" w:rsidRPr="00E72520" w:rsidRDefault="00B07C6E" w:rsidP="00B07C6E">
      <w:pPr>
        <w:pStyle w:val="TableFooter"/>
        <w:keepNext/>
      </w:pPr>
      <w:r w:rsidRPr="00E72520">
        <w:t>Source: Lindson et al. (2019)</w:t>
      </w:r>
    </w:p>
    <w:p w:rsidR="00B07C6E" w:rsidRPr="00E72520" w:rsidRDefault="00B07C6E" w:rsidP="00B07C6E">
      <w:pPr>
        <w:pStyle w:val="TableFooter"/>
        <w:keepNext/>
      </w:pPr>
      <w:r w:rsidRPr="00E72520">
        <w:t>Abbreviations: CI = confidence interval; NE = not estimable; RCT = randomised controlled trial; RR = risk ratio</w:t>
      </w:r>
      <w:r>
        <w:t xml:space="preserve">; SAEs = serious adverse events. </w:t>
      </w:r>
    </w:p>
    <w:p w:rsidR="00B07C6E" w:rsidRPr="006F1FEC" w:rsidRDefault="00B07C6E" w:rsidP="00B07C6E">
      <w:pPr>
        <w:pStyle w:val="TableFooter"/>
        <w:keepNext/>
      </w:pPr>
      <w:r w:rsidRPr="006F1FEC">
        <w:t xml:space="preserve">Notes: See Appendix </w:t>
      </w:r>
      <w:r w:rsidR="003C4A1C">
        <w:t xml:space="preserve">Figure </w:t>
      </w:r>
      <w:r w:rsidR="003C4A1C">
        <w:rPr>
          <w:noProof/>
        </w:rPr>
        <w:t>92</w:t>
      </w:r>
      <w:r w:rsidR="008032A0">
        <w:t xml:space="preserve"> and </w:t>
      </w:r>
      <w:r w:rsidR="003C4A1C">
        <w:t xml:space="preserve">Figure </w:t>
      </w:r>
      <w:r w:rsidR="003C4A1C">
        <w:rPr>
          <w:noProof/>
        </w:rPr>
        <w:t>93</w:t>
      </w:r>
      <w:r w:rsidRPr="006F1FEC">
        <w:t xml:space="preserve"> for forest plots of the respective outcomes which included the results of individual studies.</w:t>
      </w:r>
    </w:p>
    <w:p w:rsidR="00B07C6E" w:rsidRPr="00B07C6E" w:rsidRDefault="00B07C6E" w:rsidP="00B07C6E">
      <w:pPr>
        <w:pStyle w:val="TableFooter"/>
        <w:keepNext/>
      </w:pPr>
      <w:r>
        <w:t>1</w:t>
      </w:r>
      <w:r w:rsidRPr="00432CC7">
        <w:t xml:space="preserve"> </w:t>
      </w:r>
      <w:r w:rsidRPr="00D13293">
        <w:t xml:space="preserve">Calculated </w:t>
      </w:r>
      <w:r>
        <w:t>by Cochrane Review authors</w:t>
      </w:r>
      <w:r w:rsidRPr="00D13293">
        <w:t xml:space="preserve"> using a fixed-effect model.</w:t>
      </w:r>
      <w:r>
        <w:t xml:space="preserve"> </w:t>
      </w:r>
    </w:p>
    <w:p w:rsidR="0029720E" w:rsidRPr="00544A51" w:rsidRDefault="0029720E" w:rsidP="00D02475">
      <w:pPr>
        <w:pStyle w:val="Heading5"/>
        <w:numPr>
          <w:ilvl w:val="0"/>
          <w:numId w:val="0"/>
        </w:numPr>
        <w:rPr>
          <w:i w:val="0"/>
        </w:rPr>
      </w:pPr>
      <w:r w:rsidRPr="00A556D0">
        <w:t>Combination therapy</w:t>
      </w:r>
    </w:p>
    <w:p w:rsidR="003A11A4" w:rsidRPr="003A11A4" w:rsidRDefault="003A11A4" w:rsidP="003A11A4">
      <w:pPr>
        <w:rPr>
          <w:u w:val="single"/>
        </w:rPr>
      </w:pPr>
      <w:r w:rsidRPr="003A11A4">
        <w:rPr>
          <w:u w:val="single"/>
        </w:rPr>
        <w:t>Efficacy</w:t>
      </w:r>
    </w:p>
    <w:p w:rsidR="000A3A21" w:rsidRDefault="0029720E" w:rsidP="0029720E">
      <w:r w:rsidRPr="00F136E9">
        <w:t>A summary of smoking cessation rates</w:t>
      </w:r>
      <w:r>
        <w:t xml:space="preserve"> </w:t>
      </w:r>
      <w:r w:rsidRPr="00F136E9">
        <w:t>f</w:t>
      </w:r>
      <w:r w:rsidR="00C623F4">
        <w:t>or</w:t>
      </w:r>
      <w:r w:rsidRPr="00F136E9">
        <w:t xml:space="preserve"> at least six months follow-up</w:t>
      </w:r>
      <w:r>
        <w:t xml:space="preserve"> </w:t>
      </w:r>
      <w:r w:rsidR="0004678F">
        <w:t>comparing longer duration with shorter duration</w:t>
      </w:r>
      <w:r>
        <w:t xml:space="preserve"> of NRT combination </w:t>
      </w:r>
      <w:r w:rsidR="0004678F">
        <w:t xml:space="preserve">therapy </w:t>
      </w:r>
      <w:r w:rsidRPr="00F136E9">
        <w:t xml:space="preserve">is presented in </w:t>
      </w:r>
      <w:r w:rsidR="003C4A1C">
        <w:t xml:space="preserve">Table </w:t>
      </w:r>
      <w:r w:rsidR="003C4A1C">
        <w:rPr>
          <w:noProof/>
        </w:rPr>
        <w:t>91</w:t>
      </w:r>
      <w:r>
        <w:t>.</w:t>
      </w:r>
      <w:r w:rsidR="00902D83">
        <w:t xml:space="preserve"> Based on the two studies included in Lindson et al. (2019), there were no statistically significant differences in smoking cessation rates between</w:t>
      </w:r>
      <w:r w:rsidR="00422407">
        <w:t xml:space="preserve"> longer duration and shorter duration of combination therapy. </w:t>
      </w:r>
      <w:r w:rsidR="00104509" w:rsidRPr="00104509">
        <w:t xml:space="preserve">Similarly, </w:t>
      </w:r>
      <w:r w:rsidR="00C66DC0">
        <w:t xml:space="preserve">the results </w:t>
      </w:r>
      <w:r w:rsidR="00EE3DDB">
        <w:t xml:space="preserve">of the </w:t>
      </w:r>
      <w:r w:rsidR="00031290">
        <w:t>new</w:t>
      </w:r>
      <w:r w:rsidR="00104509" w:rsidRPr="00104509">
        <w:t xml:space="preserve"> study </w:t>
      </w:r>
      <w:r w:rsidR="00130390">
        <w:t xml:space="preserve">(Ellerbeck 2018) </w:t>
      </w:r>
      <w:r w:rsidR="00031290">
        <w:t>identified in the supplemental literature search demonstrated</w:t>
      </w:r>
      <w:r w:rsidR="00104509" w:rsidRPr="00104509">
        <w:t xml:space="preserve"> no </w:t>
      </w:r>
      <w:r w:rsidR="00130390">
        <w:t>statistically significant differences</w:t>
      </w:r>
      <w:r w:rsidR="00104509" w:rsidRPr="00104509">
        <w:t xml:space="preserve"> between </w:t>
      </w:r>
      <w:r w:rsidR="00130390">
        <w:t>the two</w:t>
      </w:r>
      <w:r w:rsidR="00104509" w:rsidRPr="00104509">
        <w:t xml:space="preserve"> treatment </w:t>
      </w:r>
      <w:r w:rsidR="00130390">
        <w:t>arms.</w:t>
      </w:r>
    </w:p>
    <w:p w:rsidR="00657867" w:rsidRDefault="00657867" w:rsidP="00657867">
      <w:pPr>
        <w:pStyle w:val="Caption"/>
        <w:keepNext/>
      </w:pPr>
      <w:bookmarkStart w:id="193" w:name="_Ref59454457"/>
      <w:r>
        <w:lastRenderedPageBreak/>
        <w:t xml:space="preserve">Table </w:t>
      </w:r>
      <w:r w:rsidR="003C4A1C">
        <w:rPr>
          <w:noProof/>
        </w:rPr>
        <w:t>91</w:t>
      </w:r>
      <w:bookmarkEnd w:id="193"/>
      <w:r>
        <w:t xml:space="preserve">: </w:t>
      </w:r>
      <w:r w:rsidRPr="00572BA7">
        <w:t>Results of smoking cessation f</w:t>
      </w:r>
      <w:r w:rsidR="00C623F4">
        <w:t>or</w:t>
      </w:r>
      <w:r w:rsidRPr="00572BA7">
        <w:t xml:space="preserve"> at least six months follow-up, </w:t>
      </w:r>
      <w:r w:rsidR="0034241C">
        <w:t xml:space="preserve">longer duration versus shorter </w:t>
      </w:r>
      <w:r w:rsidRPr="00572BA7">
        <w:t>duration of combination therapy</w:t>
      </w:r>
    </w:p>
    <w:tbl>
      <w:tblPr>
        <w:tblStyle w:val="TableGrid"/>
        <w:tblW w:w="5000" w:type="pct"/>
        <w:tblLook w:val="04A0" w:firstRow="1" w:lastRow="0" w:firstColumn="1" w:lastColumn="0" w:noHBand="0" w:noVBand="1"/>
        <w:tblCaption w:val="Efficacy results of adalimumab trials (PASI 75 and DLQI)"/>
      </w:tblPr>
      <w:tblGrid>
        <w:gridCol w:w="1271"/>
        <w:gridCol w:w="1679"/>
        <w:gridCol w:w="1533"/>
        <w:gridCol w:w="1536"/>
        <w:gridCol w:w="1535"/>
        <w:gridCol w:w="1462"/>
      </w:tblGrid>
      <w:tr w:rsidR="003158F5" w:rsidRPr="00061F78" w:rsidTr="00703F37">
        <w:trPr>
          <w:cantSplit/>
          <w:trHeight w:val="299"/>
          <w:tblHeader/>
        </w:trPr>
        <w:tc>
          <w:tcPr>
            <w:tcW w:w="705" w:type="pct"/>
            <w:shd w:val="clear" w:color="auto" w:fill="BFBFBF" w:themeFill="background1" w:themeFillShade="BF"/>
            <w:tcMar>
              <w:left w:w="28" w:type="dxa"/>
              <w:right w:w="28" w:type="dxa"/>
            </w:tcMar>
          </w:tcPr>
          <w:p w:rsidR="003158F5" w:rsidRPr="00061F78" w:rsidRDefault="003158F5" w:rsidP="009F1E08">
            <w:pPr>
              <w:pStyle w:val="Tableheading"/>
              <w:keepNext/>
              <w:rPr>
                <w:rFonts w:eastAsia="MS Mincho"/>
              </w:rPr>
            </w:pPr>
            <w:r>
              <w:rPr>
                <w:rFonts w:eastAsia="MS Mincho"/>
              </w:rPr>
              <w:t>Study</w:t>
            </w:r>
          </w:p>
        </w:tc>
        <w:tc>
          <w:tcPr>
            <w:tcW w:w="931" w:type="pct"/>
            <w:shd w:val="clear" w:color="auto" w:fill="BFBFBF" w:themeFill="background1" w:themeFillShade="BF"/>
            <w:vAlign w:val="center"/>
          </w:tcPr>
          <w:p w:rsidR="003158F5" w:rsidRDefault="003158F5" w:rsidP="009F1E08">
            <w:pPr>
              <w:pStyle w:val="Tableheading"/>
              <w:keepNext/>
              <w:jc w:val="center"/>
              <w:rPr>
                <w:rFonts w:eastAsia="MS Mincho"/>
              </w:rPr>
            </w:pPr>
            <w:r>
              <w:rPr>
                <w:rFonts w:eastAsia="MS Mincho"/>
              </w:rPr>
              <w:t>Study type</w:t>
            </w:r>
          </w:p>
        </w:tc>
        <w:tc>
          <w:tcPr>
            <w:tcW w:w="850" w:type="pct"/>
            <w:shd w:val="clear" w:color="auto" w:fill="BFBFBF" w:themeFill="background1" w:themeFillShade="BF"/>
            <w:tcMar>
              <w:left w:w="28" w:type="dxa"/>
              <w:right w:w="28" w:type="dxa"/>
            </w:tcMar>
            <w:vAlign w:val="center"/>
          </w:tcPr>
          <w:p w:rsidR="003158F5" w:rsidRPr="00061F78" w:rsidRDefault="003158F5" w:rsidP="009F1E08">
            <w:pPr>
              <w:pStyle w:val="Tableheading"/>
              <w:keepNext/>
              <w:jc w:val="center"/>
              <w:rPr>
                <w:rFonts w:eastAsia="MS Mincho"/>
              </w:rPr>
            </w:pPr>
            <w:r>
              <w:rPr>
                <w:rFonts w:eastAsia="MS Mincho"/>
              </w:rPr>
              <w:t>Longer duration</w:t>
            </w:r>
          </w:p>
        </w:tc>
        <w:tc>
          <w:tcPr>
            <w:tcW w:w="852" w:type="pct"/>
            <w:shd w:val="clear" w:color="auto" w:fill="BFBFBF" w:themeFill="background1" w:themeFillShade="BF"/>
            <w:tcMar>
              <w:left w:w="28" w:type="dxa"/>
              <w:right w:w="28" w:type="dxa"/>
            </w:tcMar>
            <w:vAlign w:val="center"/>
          </w:tcPr>
          <w:p w:rsidR="003158F5" w:rsidRPr="00061F78" w:rsidRDefault="003158F5" w:rsidP="009F1E08">
            <w:pPr>
              <w:pStyle w:val="Tableheading"/>
              <w:keepNext/>
              <w:jc w:val="center"/>
              <w:rPr>
                <w:rFonts w:eastAsia="MS Mincho"/>
              </w:rPr>
            </w:pPr>
            <w:r>
              <w:rPr>
                <w:rFonts w:eastAsia="MS Mincho"/>
              </w:rPr>
              <w:t>Shorter duration</w:t>
            </w:r>
          </w:p>
        </w:tc>
        <w:tc>
          <w:tcPr>
            <w:tcW w:w="851" w:type="pct"/>
            <w:shd w:val="clear" w:color="auto" w:fill="BFBFBF" w:themeFill="background1" w:themeFillShade="BF"/>
            <w:tcMar>
              <w:left w:w="28" w:type="dxa"/>
              <w:right w:w="28" w:type="dxa"/>
            </w:tcMar>
            <w:vAlign w:val="center"/>
          </w:tcPr>
          <w:p w:rsidR="003158F5" w:rsidRPr="002D09A1" w:rsidRDefault="003158F5" w:rsidP="009F1E08">
            <w:pPr>
              <w:pStyle w:val="Tableheading"/>
              <w:keepNext/>
              <w:jc w:val="center"/>
              <w:rPr>
                <w:rFonts w:eastAsia="MS Mincho"/>
                <w:vertAlign w:val="superscript"/>
              </w:rPr>
            </w:pPr>
            <w:r>
              <w:rPr>
                <w:rFonts w:eastAsia="MS Mincho"/>
              </w:rPr>
              <w:t>RR (95% CI)</w:t>
            </w:r>
          </w:p>
        </w:tc>
        <w:tc>
          <w:tcPr>
            <w:tcW w:w="811" w:type="pct"/>
            <w:shd w:val="clear" w:color="auto" w:fill="BFBFBF" w:themeFill="background1" w:themeFillShade="BF"/>
            <w:vAlign w:val="center"/>
          </w:tcPr>
          <w:p w:rsidR="003158F5" w:rsidRDefault="003158F5" w:rsidP="009F1E08">
            <w:pPr>
              <w:pStyle w:val="Tableheading"/>
              <w:keepNext/>
              <w:jc w:val="center"/>
              <w:rPr>
                <w:rFonts w:eastAsia="MS Mincho"/>
              </w:rPr>
            </w:pPr>
            <w:r>
              <w:rPr>
                <w:rFonts w:eastAsia="MS Mincho"/>
              </w:rPr>
              <w:t>RD (95% CI)</w:t>
            </w:r>
          </w:p>
        </w:tc>
      </w:tr>
      <w:tr w:rsidR="003158F5" w:rsidRPr="00061F78" w:rsidTr="009F1E08">
        <w:trPr>
          <w:cantSplit/>
          <w:trHeight w:val="99"/>
        </w:trPr>
        <w:tc>
          <w:tcPr>
            <w:tcW w:w="5000" w:type="pct"/>
            <w:gridSpan w:val="6"/>
            <w:shd w:val="clear" w:color="auto" w:fill="auto"/>
            <w:tcMar>
              <w:left w:w="28" w:type="dxa"/>
              <w:right w:w="28" w:type="dxa"/>
            </w:tcMar>
          </w:tcPr>
          <w:p w:rsidR="003158F5" w:rsidRPr="0004678F" w:rsidRDefault="003158F5" w:rsidP="009F1E08">
            <w:pPr>
              <w:pStyle w:val="Tablewriting"/>
              <w:keepNext/>
              <w:rPr>
                <w:rFonts w:eastAsia="MS Mincho"/>
                <w:b/>
                <w:bCs/>
                <w:highlight w:val="yellow"/>
              </w:rPr>
            </w:pPr>
            <w:r w:rsidRPr="0004678F">
              <w:rPr>
                <w:rFonts w:eastAsia="MS Mincho"/>
                <w:b/>
                <w:bCs/>
              </w:rPr>
              <w:t>16 weeks versus 8 weeks</w:t>
            </w:r>
          </w:p>
        </w:tc>
      </w:tr>
      <w:tr w:rsidR="003158F5" w:rsidRPr="00061F78" w:rsidTr="00703F37">
        <w:trPr>
          <w:cantSplit/>
          <w:trHeight w:val="99"/>
        </w:trPr>
        <w:tc>
          <w:tcPr>
            <w:tcW w:w="705" w:type="pct"/>
            <w:shd w:val="clear" w:color="auto" w:fill="auto"/>
            <w:tcMar>
              <w:left w:w="28" w:type="dxa"/>
              <w:right w:w="28" w:type="dxa"/>
            </w:tcMar>
            <w:vAlign w:val="center"/>
          </w:tcPr>
          <w:p w:rsidR="003158F5" w:rsidRPr="007A6E36" w:rsidRDefault="007A6E36" w:rsidP="009F1E08">
            <w:pPr>
              <w:pStyle w:val="Tablewriting"/>
              <w:keepNext/>
              <w:rPr>
                <w:rFonts w:eastAsia="MS Mincho"/>
              </w:rPr>
            </w:pPr>
            <w:r w:rsidRPr="007A6E36">
              <w:rPr>
                <w:rFonts w:eastAsia="MS Mincho"/>
              </w:rPr>
              <w:t xml:space="preserve">Lindson </w:t>
            </w:r>
          </w:p>
          <w:p w:rsidR="003158F5" w:rsidRPr="009A620D" w:rsidRDefault="007A6E36" w:rsidP="009F1E08">
            <w:pPr>
              <w:pStyle w:val="Tablewriting"/>
              <w:keepNext/>
              <w:rPr>
                <w:rFonts w:eastAsia="MS Mincho"/>
                <w:highlight w:val="yellow"/>
                <w:vertAlign w:val="superscript"/>
              </w:rPr>
            </w:pPr>
            <w:r w:rsidRPr="007A6E36">
              <w:rPr>
                <w:rFonts w:eastAsia="MS Mincho"/>
              </w:rPr>
              <w:t>(2019)</w:t>
            </w:r>
            <w:r w:rsidR="009A620D">
              <w:rPr>
                <w:rFonts w:eastAsia="MS Mincho"/>
                <w:vertAlign w:val="superscript"/>
              </w:rPr>
              <w:t>1</w:t>
            </w:r>
          </w:p>
        </w:tc>
        <w:tc>
          <w:tcPr>
            <w:tcW w:w="931" w:type="pct"/>
            <w:shd w:val="clear" w:color="auto" w:fill="auto"/>
            <w:vAlign w:val="center"/>
          </w:tcPr>
          <w:p w:rsidR="007A6E36" w:rsidRDefault="007A6E36" w:rsidP="009F1E08">
            <w:pPr>
              <w:pStyle w:val="Tablewriting"/>
              <w:keepNext/>
              <w:jc w:val="center"/>
              <w:rPr>
                <w:rFonts w:eastAsia="MS Mincho"/>
              </w:rPr>
            </w:pPr>
            <w:r>
              <w:rPr>
                <w:rFonts w:eastAsia="MS Mincho"/>
              </w:rPr>
              <w:t>Cochrane Review</w:t>
            </w:r>
          </w:p>
          <w:p w:rsidR="003158F5" w:rsidRPr="009526CC" w:rsidRDefault="007A6E36" w:rsidP="009F1E08">
            <w:pPr>
              <w:pStyle w:val="Tablewriting"/>
              <w:keepNext/>
              <w:jc w:val="center"/>
              <w:rPr>
                <w:rFonts w:eastAsia="MS Mincho"/>
              </w:rPr>
            </w:pPr>
            <w:r>
              <w:rPr>
                <w:rFonts w:eastAsia="MS Mincho"/>
              </w:rPr>
              <w:t xml:space="preserve">(1 </w:t>
            </w:r>
            <w:r w:rsidR="003158F5" w:rsidRPr="009526CC">
              <w:rPr>
                <w:rFonts w:eastAsia="MS Mincho"/>
              </w:rPr>
              <w:t>RCT</w:t>
            </w:r>
            <w:r w:rsidR="00703F37">
              <w:rPr>
                <w:rFonts w:eastAsia="MS Mincho"/>
              </w:rPr>
              <w:t>)</w:t>
            </w:r>
          </w:p>
        </w:tc>
        <w:tc>
          <w:tcPr>
            <w:tcW w:w="850" w:type="pct"/>
            <w:shd w:val="clear" w:color="auto" w:fill="auto"/>
            <w:tcMar>
              <w:left w:w="28" w:type="dxa"/>
              <w:right w:w="28" w:type="dxa"/>
            </w:tcMar>
            <w:vAlign w:val="center"/>
          </w:tcPr>
          <w:p w:rsidR="003158F5" w:rsidRPr="00571B3B" w:rsidRDefault="003158F5" w:rsidP="009F1E08">
            <w:pPr>
              <w:pStyle w:val="Tablewriting"/>
              <w:keepNext/>
              <w:jc w:val="center"/>
              <w:rPr>
                <w:rFonts w:eastAsia="MS Mincho"/>
              </w:rPr>
            </w:pPr>
            <w:r w:rsidRPr="00571B3B">
              <w:rPr>
                <w:rFonts w:eastAsia="MS Mincho"/>
              </w:rPr>
              <w:t>83/304</w:t>
            </w:r>
          </w:p>
          <w:p w:rsidR="003158F5" w:rsidRPr="00571B3B" w:rsidRDefault="003158F5" w:rsidP="009F1E08">
            <w:pPr>
              <w:pStyle w:val="Tablewriting"/>
              <w:keepNext/>
              <w:jc w:val="center"/>
              <w:rPr>
                <w:rFonts w:eastAsia="MS Mincho"/>
              </w:rPr>
            </w:pPr>
            <w:r w:rsidRPr="00571B3B">
              <w:rPr>
                <w:rFonts w:eastAsia="MS Mincho"/>
              </w:rPr>
              <w:t>(27.3%)</w:t>
            </w:r>
          </w:p>
        </w:tc>
        <w:tc>
          <w:tcPr>
            <w:tcW w:w="852" w:type="pct"/>
            <w:shd w:val="clear" w:color="auto" w:fill="auto"/>
            <w:tcMar>
              <w:left w:w="28" w:type="dxa"/>
              <w:right w:w="28" w:type="dxa"/>
            </w:tcMar>
            <w:vAlign w:val="center"/>
          </w:tcPr>
          <w:p w:rsidR="003158F5" w:rsidRPr="00571B3B" w:rsidRDefault="003158F5" w:rsidP="009F1E08">
            <w:pPr>
              <w:pStyle w:val="Tablewriting"/>
              <w:keepNext/>
              <w:jc w:val="center"/>
              <w:rPr>
                <w:rFonts w:eastAsia="MS Mincho"/>
              </w:rPr>
            </w:pPr>
            <w:r w:rsidRPr="00571B3B">
              <w:rPr>
                <w:rFonts w:eastAsia="MS Mincho"/>
              </w:rPr>
              <w:t>95/333</w:t>
            </w:r>
          </w:p>
          <w:p w:rsidR="003158F5" w:rsidRPr="00571B3B" w:rsidRDefault="003158F5" w:rsidP="009F1E08">
            <w:pPr>
              <w:pStyle w:val="Tablewriting"/>
              <w:keepNext/>
              <w:jc w:val="center"/>
              <w:rPr>
                <w:rFonts w:eastAsia="MS Mincho"/>
              </w:rPr>
            </w:pPr>
            <w:r w:rsidRPr="00571B3B">
              <w:rPr>
                <w:rFonts w:eastAsia="MS Mincho"/>
              </w:rPr>
              <w:t>(28.5%)</w:t>
            </w:r>
          </w:p>
        </w:tc>
        <w:tc>
          <w:tcPr>
            <w:tcW w:w="851" w:type="pct"/>
            <w:shd w:val="clear" w:color="auto" w:fill="auto"/>
            <w:tcMar>
              <w:left w:w="28" w:type="dxa"/>
              <w:right w:w="28" w:type="dxa"/>
            </w:tcMar>
            <w:vAlign w:val="center"/>
          </w:tcPr>
          <w:p w:rsidR="003158F5" w:rsidRPr="009526CC" w:rsidRDefault="003158F5" w:rsidP="009F1E08">
            <w:pPr>
              <w:pStyle w:val="Tablewriting"/>
              <w:keepNext/>
              <w:jc w:val="center"/>
              <w:rPr>
                <w:rFonts w:eastAsia="MS Mincho"/>
              </w:rPr>
            </w:pPr>
            <w:r w:rsidRPr="009526CC">
              <w:rPr>
                <w:rFonts w:eastAsia="MS Mincho"/>
              </w:rPr>
              <w:t>0.96</w:t>
            </w:r>
          </w:p>
          <w:p w:rsidR="003158F5" w:rsidRPr="009526CC" w:rsidRDefault="003158F5" w:rsidP="009F1E08">
            <w:pPr>
              <w:pStyle w:val="Tablewriting"/>
              <w:keepNext/>
              <w:jc w:val="center"/>
              <w:rPr>
                <w:rFonts w:eastAsia="MS Mincho"/>
              </w:rPr>
            </w:pPr>
            <w:r w:rsidRPr="009526CC">
              <w:rPr>
                <w:rFonts w:eastAsia="MS Mincho"/>
              </w:rPr>
              <w:t>(0.75, 1.23)</w:t>
            </w:r>
          </w:p>
        </w:tc>
        <w:tc>
          <w:tcPr>
            <w:tcW w:w="811" w:type="pct"/>
            <w:shd w:val="clear" w:color="auto" w:fill="auto"/>
            <w:vAlign w:val="center"/>
          </w:tcPr>
          <w:p w:rsidR="003158F5" w:rsidRPr="005D18BC" w:rsidRDefault="00246BDE" w:rsidP="009F1E08">
            <w:pPr>
              <w:pStyle w:val="Tablewriting"/>
              <w:keepNext/>
              <w:jc w:val="center"/>
              <w:rPr>
                <w:rFonts w:eastAsia="MS Mincho"/>
                <w:highlight w:val="yellow"/>
              </w:rPr>
            </w:pPr>
            <w:r w:rsidRPr="003B7BE2">
              <w:rPr>
                <w:rFonts w:eastAsia="MS Mincho"/>
              </w:rPr>
              <w:t>NR</w:t>
            </w:r>
          </w:p>
        </w:tc>
      </w:tr>
      <w:tr w:rsidR="003158F5" w:rsidRPr="00061F78" w:rsidTr="009F1E08">
        <w:trPr>
          <w:cantSplit/>
          <w:trHeight w:val="99"/>
        </w:trPr>
        <w:tc>
          <w:tcPr>
            <w:tcW w:w="5000" w:type="pct"/>
            <w:gridSpan w:val="6"/>
            <w:shd w:val="clear" w:color="auto" w:fill="auto"/>
            <w:tcMar>
              <w:left w:w="28" w:type="dxa"/>
              <w:right w:w="28" w:type="dxa"/>
            </w:tcMar>
            <w:vAlign w:val="center"/>
          </w:tcPr>
          <w:p w:rsidR="003158F5" w:rsidRPr="0004678F" w:rsidRDefault="003158F5" w:rsidP="009F1E08">
            <w:pPr>
              <w:pStyle w:val="Tablewriting"/>
              <w:keepNext/>
              <w:rPr>
                <w:rFonts w:eastAsia="MS Mincho"/>
                <w:b/>
                <w:bCs/>
              </w:rPr>
            </w:pPr>
            <w:r w:rsidRPr="0004678F">
              <w:rPr>
                <w:rFonts w:eastAsia="MS Mincho"/>
                <w:b/>
                <w:bCs/>
              </w:rPr>
              <w:t>6 weeks versus 2 weeks</w:t>
            </w:r>
          </w:p>
        </w:tc>
      </w:tr>
      <w:tr w:rsidR="003158F5" w:rsidRPr="00061F78" w:rsidTr="00703F37">
        <w:trPr>
          <w:cantSplit/>
          <w:trHeight w:val="99"/>
        </w:trPr>
        <w:tc>
          <w:tcPr>
            <w:tcW w:w="705" w:type="pct"/>
            <w:shd w:val="clear" w:color="auto" w:fill="auto"/>
            <w:tcMar>
              <w:left w:w="28" w:type="dxa"/>
              <w:right w:w="28" w:type="dxa"/>
            </w:tcMar>
            <w:vAlign w:val="center"/>
          </w:tcPr>
          <w:p w:rsidR="00703F37" w:rsidRPr="007A6E36" w:rsidRDefault="00703F37" w:rsidP="00703F37">
            <w:pPr>
              <w:pStyle w:val="Tablewriting"/>
              <w:keepNext/>
              <w:rPr>
                <w:rFonts w:eastAsia="MS Mincho"/>
              </w:rPr>
            </w:pPr>
            <w:r w:rsidRPr="007A6E36">
              <w:rPr>
                <w:rFonts w:eastAsia="MS Mincho"/>
              </w:rPr>
              <w:t xml:space="preserve">Lindson </w:t>
            </w:r>
          </w:p>
          <w:p w:rsidR="003158F5" w:rsidRPr="009A620D" w:rsidRDefault="00703F37" w:rsidP="009F1E08">
            <w:pPr>
              <w:pStyle w:val="Tablewriting"/>
              <w:keepNext/>
              <w:rPr>
                <w:rFonts w:eastAsia="MS Mincho"/>
                <w:vertAlign w:val="superscript"/>
              </w:rPr>
            </w:pPr>
            <w:r w:rsidRPr="007A6E36">
              <w:rPr>
                <w:rFonts w:eastAsia="MS Mincho"/>
              </w:rPr>
              <w:t>(2019)</w:t>
            </w:r>
            <w:r w:rsidR="009A620D">
              <w:rPr>
                <w:rFonts w:eastAsia="MS Mincho"/>
                <w:vertAlign w:val="superscript"/>
              </w:rPr>
              <w:t>1</w:t>
            </w:r>
          </w:p>
        </w:tc>
        <w:tc>
          <w:tcPr>
            <w:tcW w:w="931" w:type="pct"/>
            <w:shd w:val="clear" w:color="auto" w:fill="auto"/>
            <w:vAlign w:val="center"/>
          </w:tcPr>
          <w:p w:rsidR="00703F37" w:rsidRDefault="00703F37" w:rsidP="00703F37">
            <w:pPr>
              <w:pStyle w:val="Tablewriting"/>
              <w:keepNext/>
              <w:jc w:val="center"/>
              <w:rPr>
                <w:rFonts w:eastAsia="MS Mincho"/>
              </w:rPr>
            </w:pPr>
            <w:r>
              <w:rPr>
                <w:rFonts w:eastAsia="MS Mincho"/>
              </w:rPr>
              <w:t>Cochrane Review</w:t>
            </w:r>
          </w:p>
          <w:p w:rsidR="003158F5" w:rsidRPr="00A22F63" w:rsidRDefault="00703F37" w:rsidP="009F1E08">
            <w:pPr>
              <w:pStyle w:val="Tablewriting"/>
              <w:keepNext/>
              <w:jc w:val="center"/>
              <w:rPr>
                <w:rFonts w:eastAsia="MS Mincho"/>
              </w:rPr>
            </w:pPr>
            <w:r>
              <w:rPr>
                <w:rFonts w:eastAsia="MS Mincho"/>
              </w:rPr>
              <w:t xml:space="preserve">(1 </w:t>
            </w:r>
            <w:r w:rsidRPr="009526CC">
              <w:rPr>
                <w:rFonts w:eastAsia="MS Mincho"/>
              </w:rPr>
              <w:t>RCT</w:t>
            </w:r>
            <w:r>
              <w:rPr>
                <w:rFonts w:eastAsia="MS Mincho"/>
              </w:rPr>
              <w:t>)</w:t>
            </w:r>
          </w:p>
        </w:tc>
        <w:tc>
          <w:tcPr>
            <w:tcW w:w="850" w:type="pct"/>
            <w:shd w:val="clear" w:color="auto" w:fill="auto"/>
            <w:tcMar>
              <w:left w:w="28" w:type="dxa"/>
              <w:right w:w="28" w:type="dxa"/>
            </w:tcMar>
            <w:vAlign w:val="center"/>
          </w:tcPr>
          <w:p w:rsidR="003158F5" w:rsidRPr="00571B3B" w:rsidRDefault="003158F5" w:rsidP="009F1E08">
            <w:pPr>
              <w:pStyle w:val="Tablewriting"/>
              <w:keepNext/>
              <w:jc w:val="center"/>
              <w:rPr>
                <w:rFonts w:eastAsia="MS Mincho"/>
              </w:rPr>
            </w:pPr>
            <w:r w:rsidRPr="00571B3B">
              <w:rPr>
                <w:rFonts w:eastAsia="MS Mincho"/>
              </w:rPr>
              <w:t>194/497</w:t>
            </w:r>
          </w:p>
          <w:p w:rsidR="003158F5" w:rsidRPr="00571B3B" w:rsidRDefault="003158F5" w:rsidP="009F1E08">
            <w:pPr>
              <w:pStyle w:val="Tablewriting"/>
              <w:keepNext/>
              <w:jc w:val="center"/>
              <w:rPr>
                <w:rFonts w:eastAsia="MS Mincho"/>
              </w:rPr>
            </w:pPr>
            <w:r w:rsidRPr="00571B3B">
              <w:rPr>
                <w:rFonts w:eastAsia="MS Mincho"/>
              </w:rPr>
              <w:t>(39%)</w:t>
            </w:r>
          </w:p>
        </w:tc>
        <w:tc>
          <w:tcPr>
            <w:tcW w:w="852" w:type="pct"/>
            <w:shd w:val="clear" w:color="auto" w:fill="auto"/>
            <w:tcMar>
              <w:left w:w="28" w:type="dxa"/>
              <w:right w:w="28" w:type="dxa"/>
            </w:tcMar>
            <w:vAlign w:val="center"/>
          </w:tcPr>
          <w:p w:rsidR="003158F5" w:rsidRPr="00571B3B" w:rsidRDefault="003158F5" w:rsidP="009F1E08">
            <w:pPr>
              <w:pStyle w:val="Tablewriting"/>
              <w:keepNext/>
              <w:jc w:val="center"/>
              <w:rPr>
                <w:rFonts w:eastAsia="MS Mincho"/>
              </w:rPr>
            </w:pPr>
            <w:r w:rsidRPr="00571B3B">
              <w:rPr>
                <w:rFonts w:eastAsia="MS Mincho"/>
              </w:rPr>
              <w:t>172/490</w:t>
            </w:r>
          </w:p>
          <w:p w:rsidR="003158F5" w:rsidRPr="00571B3B" w:rsidRDefault="003158F5" w:rsidP="009F1E08">
            <w:pPr>
              <w:pStyle w:val="Tablewriting"/>
              <w:keepNext/>
              <w:jc w:val="center"/>
              <w:rPr>
                <w:rFonts w:eastAsia="MS Mincho"/>
              </w:rPr>
            </w:pPr>
            <w:r w:rsidRPr="00571B3B">
              <w:rPr>
                <w:rFonts w:eastAsia="MS Mincho"/>
              </w:rPr>
              <w:t>(35.1%)</w:t>
            </w:r>
          </w:p>
        </w:tc>
        <w:tc>
          <w:tcPr>
            <w:tcW w:w="851" w:type="pct"/>
            <w:shd w:val="clear" w:color="auto" w:fill="auto"/>
            <w:tcMar>
              <w:left w:w="28" w:type="dxa"/>
              <w:right w:w="28" w:type="dxa"/>
            </w:tcMar>
            <w:vAlign w:val="center"/>
          </w:tcPr>
          <w:p w:rsidR="003158F5" w:rsidRDefault="003158F5" w:rsidP="009F1E08">
            <w:pPr>
              <w:pStyle w:val="Tablewriting"/>
              <w:keepNext/>
              <w:jc w:val="center"/>
              <w:rPr>
                <w:rFonts w:eastAsia="MS Mincho"/>
              </w:rPr>
            </w:pPr>
            <w:r>
              <w:rPr>
                <w:rFonts w:eastAsia="MS Mincho"/>
              </w:rPr>
              <w:t>1.11</w:t>
            </w:r>
          </w:p>
          <w:p w:rsidR="003158F5" w:rsidRPr="00A22F63" w:rsidRDefault="003158F5" w:rsidP="009F1E08">
            <w:pPr>
              <w:pStyle w:val="Tablewriting"/>
              <w:keepNext/>
              <w:jc w:val="center"/>
              <w:rPr>
                <w:rFonts w:eastAsia="MS Mincho"/>
              </w:rPr>
            </w:pPr>
            <w:r>
              <w:rPr>
                <w:rFonts w:eastAsia="MS Mincho"/>
              </w:rPr>
              <w:t>(0.94, 1.31)</w:t>
            </w:r>
          </w:p>
        </w:tc>
        <w:tc>
          <w:tcPr>
            <w:tcW w:w="811" w:type="pct"/>
            <w:shd w:val="clear" w:color="auto" w:fill="auto"/>
            <w:vAlign w:val="center"/>
          </w:tcPr>
          <w:p w:rsidR="003158F5" w:rsidRPr="005D18BC" w:rsidRDefault="00246BDE" w:rsidP="009F1E08">
            <w:pPr>
              <w:pStyle w:val="Tablewriting"/>
              <w:keepNext/>
              <w:jc w:val="center"/>
              <w:rPr>
                <w:rFonts w:eastAsia="MS Mincho"/>
                <w:highlight w:val="yellow"/>
              </w:rPr>
            </w:pPr>
            <w:r w:rsidRPr="003B7BE2">
              <w:rPr>
                <w:rFonts w:eastAsia="MS Mincho"/>
              </w:rPr>
              <w:t>NR</w:t>
            </w:r>
          </w:p>
        </w:tc>
      </w:tr>
      <w:tr w:rsidR="003158F5" w:rsidRPr="00061F78" w:rsidTr="009F1E08">
        <w:trPr>
          <w:cantSplit/>
          <w:trHeight w:val="99"/>
        </w:trPr>
        <w:tc>
          <w:tcPr>
            <w:tcW w:w="5000" w:type="pct"/>
            <w:gridSpan w:val="6"/>
            <w:shd w:val="clear" w:color="auto" w:fill="auto"/>
            <w:tcMar>
              <w:left w:w="28" w:type="dxa"/>
              <w:right w:w="28" w:type="dxa"/>
            </w:tcMar>
            <w:vAlign w:val="center"/>
          </w:tcPr>
          <w:p w:rsidR="003158F5" w:rsidRPr="0004678F" w:rsidRDefault="003158F5" w:rsidP="009F1E08">
            <w:pPr>
              <w:pStyle w:val="Tablewriting"/>
              <w:keepNext/>
              <w:rPr>
                <w:rFonts w:eastAsia="MS Mincho"/>
                <w:b/>
                <w:bCs/>
              </w:rPr>
            </w:pPr>
            <w:r w:rsidRPr="0004678F">
              <w:rPr>
                <w:rFonts w:eastAsia="MS Mincho"/>
                <w:b/>
                <w:bCs/>
              </w:rPr>
              <w:t>12 months versus 10 weeks</w:t>
            </w:r>
          </w:p>
        </w:tc>
      </w:tr>
      <w:tr w:rsidR="003158F5" w:rsidRPr="00061F78" w:rsidTr="00703F37">
        <w:trPr>
          <w:cantSplit/>
          <w:trHeight w:val="99"/>
        </w:trPr>
        <w:tc>
          <w:tcPr>
            <w:tcW w:w="705" w:type="pct"/>
            <w:shd w:val="clear" w:color="auto" w:fill="auto"/>
            <w:tcMar>
              <w:left w:w="28" w:type="dxa"/>
              <w:right w:w="28" w:type="dxa"/>
            </w:tcMar>
            <w:vAlign w:val="center"/>
          </w:tcPr>
          <w:p w:rsidR="003158F5" w:rsidRPr="003158F5" w:rsidRDefault="003158F5" w:rsidP="009F1E08">
            <w:pPr>
              <w:pStyle w:val="Tablewriting"/>
              <w:keepNext/>
              <w:rPr>
                <w:rFonts w:eastAsia="MS Mincho"/>
              </w:rPr>
            </w:pPr>
            <w:r w:rsidRPr="003158F5">
              <w:rPr>
                <w:rFonts w:eastAsia="MS Mincho"/>
              </w:rPr>
              <w:t>Ellerbeck (2018)</w:t>
            </w:r>
            <w:r w:rsidRPr="003158F5">
              <w:rPr>
                <w:rFonts w:eastAsia="MS Mincho"/>
                <w:vertAlign w:val="superscript"/>
              </w:rPr>
              <w:t>3</w:t>
            </w:r>
            <w:r w:rsidR="004F4691">
              <w:rPr>
                <w:rFonts w:eastAsia="MS Mincho"/>
                <w:vertAlign w:val="superscript"/>
              </w:rPr>
              <w:t>,4</w:t>
            </w:r>
          </w:p>
        </w:tc>
        <w:tc>
          <w:tcPr>
            <w:tcW w:w="931" w:type="pct"/>
            <w:shd w:val="clear" w:color="auto" w:fill="auto"/>
            <w:vAlign w:val="center"/>
          </w:tcPr>
          <w:p w:rsidR="003158F5" w:rsidRPr="003B7BE2" w:rsidRDefault="003158F5" w:rsidP="009F1E08">
            <w:pPr>
              <w:pStyle w:val="Tablewriting"/>
              <w:keepNext/>
              <w:jc w:val="center"/>
              <w:rPr>
                <w:rFonts w:eastAsia="MS Mincho"/>
                <w:vertAlign w:val="superscript"/>
              </w:rPr>
            </w:pPr>
            <w:r w:rsidRPr="003158F5">
              <w:rPr>
                <w:rFonts w:eastAsia="MS Mincho"/>
              </w:rPr>
              <w:t>RCT</w:t>
            </w:r>
          </w:p>
        </w:tc>
        <w:tc>
          <w:tcPr>
            <w:tcW w:w="850" w:type="pct"/>
            <w:shd w:val="clear" w:color="auto" w:fill="auto"/>
            <w:tcMar>
              <w:left w:w="28" w:type="dxa"/>
              <w:right w:w="28" w:type="dxa"/>
            </w:tcMar>
            <w:vAlign w:val="center"/>
          </w:tcPr>
          <w:p w:rsidR="003158F5" w:rsidRDefault="007D5B3E" w:rsidP="009F1E08">
            <w:pPr>
              <w:pStyle w:val="Tablewriting"/>
              <w:keepNext/>
              <w:jc w:val="center"/>
              <w:rPr>
                <w:rFonts w:eastAsia="MS Mincho"/>
              </w:rPr>
            </w:pPr>
            <w:r>
              <w:rPr>
                <w:rFonts w:eastAsia="MS Mincho"/>
              </w:rPr>
              <w:t>12/200</w:t>
            </w:r>
          </w:p>
          <w:p w:rsidR="00952354" w:rsidRPr="003158F5" w:rsidRDefault="00531BB8" w:rsidP="009F1E08">
            <w:pPr>
              <w:pStyle w:val="Tablewriting"/>
              <w:keepNext/>
              <w:jc w:val="center"/>
              <w:rPr>
                <w:rFonts w:eastAsia="MS Mincho"/>
              </w:rPr>
            </w:pPr>
            <w:r>
              <w:rPr>
                <w:rFonts w:eastAsia="MS Mincho"/>
              </w:rPr>
              <w:t>(6%)</w:t>
            </w:r>
          </w:p>
        </w:tc>
        <w:tc>
          <w:tcPr>
            <w:tcW w:w="852" w:type="pct"/>
            <w:shd w:val="clear" w:color="auto" w:fill="auto"/>
            <w:tcMar>
              <w:left w:w="28" w:type="dxa"/>
              <w:right w:w="28" w:type="dxa"/>
            </w:tcMar>
            <w:vAlign w:val="center"/>
          </w:tcPr>
          <w:p w:rsidR="003158F5" w:rsidRDefault="007D5B3E" w:rsidP="009F1E08">
            <w:pPr>
              <w:pStyle w:val="Tablewriting"/>
              <w:keepNext/>
              <w:jc w:val="center"/>
              <w:rPr>
                <w:rFonts w:eastAsia="MS Mincho"/>
              </w:rPr>
            </w:pPr>
            <w:r>
              <w:rPr>
                <w:rFonts w:eastAsia="MS Mincho"/>
              </w:rPr>
              <w:t>15/198</w:t>
            </w:r>
          </w:p>
          <w:p w:rsidR="00952354" w:rsidRPr="003158F5" w:rsidRDefault="00531BB8" w:rsidP="009F1E08">
            <w:pPr>
              <w:pStyle w:val="Tablewriting"/>
              <w:keepNext/>
              <w:jc w:val="center"/>
              <w:rPr>
                <w:rFonts w:eastAsia="MS Mincho"/>
              </w:rPr>
            </w:pPr>
            <w:r>
              <w:rPr>
                <w:rFonts w:eastAsia="MS Mincho"/>
              </w:rPr>
              <w:t>(7.6%)</w:t>
            </w:r>
          </w:p>
        </w:tc>
        <w:tc>
          <w:tcPr>
            <w:tcW w:w="851" w:type="pct"/>
            <w:shd w:val="clear" w:color="auto" w:fill="auto"/>
            <w:tcMar>
              <w:left w:w="28" w:type="dxa"/>
              <w:right w:w="28" w:type="dxa"/>
            </w:tcMar>
            <w:vAlign w:val="center"/>
          </w:tcPr>
          <w:p w:rsidR="003158F5" w:rsidRPr="003158F5" w:rsidRDefault="007D5B3E" w:rsidP="009F1E08">
            <w:pPr>
              <w:pStyle w:val="Tablewriting"/>
              <w:keepNext/>
              <w:jc w:val="center"/>
              <w:rPr>
                <w:rFonts w:eastAsia="MS Mincho"/>
              </w:rPr>
            </w:pPr>
            <w:r>
              <w:rPr>
                <w:rFonts w:eastAsia="MS Mincho"/>
              </w:rPr>
              <w:t>0.79</w:t>
            </w:r>
          </w:p>
          <w:p w:rsidR="003158F5" w:rsidRPr="003158F5" w:rsidRDefault="007D5B3E" w:rsidP="009F1E08">
            <w:pPr>
              <w:pStyle w:val="Tablewriting"/>
              <w:keepNext/>
              <w:jc w:val="center"/>
              <w:rPr>
                <w:rFonts w:eastAsia="MS Mincho"/>
              </w:rPr>
            </w:pPr>
            <w:r>
              <w:rPr>
                <w:rFonts w:eastAsia="MS Mincho"/>
              </w:rPr>
              <w:t>(</w:t>
            </w:r>
            <w:r w:rsidR="00531BB8">
              <w:rPr>
                <w:rFonts w:eastAsia="MS Mincho"/>
              </w:rPr>
              <w:t>0.38, 1.65)</w:t>
            </w:r>
          </w:p>
        </w:tc>
        <w:tc>
          <w:tcPr>
            <w:tcW w:w="811" w:type="pct"/>
            <w:shd w:val="clear" w:color="auto" w:fill="auto"/>
            <w:vAlign w:val="center"/>
          </w:tcPr>
          <w:p w:rsidR="003158F5" w:rsidRPr="003158F5" w:rsidRDefault="00531BB8" w:rsidP="009F1E08">
            <w:pPr>
              <w:pStyle w:val="Tablewriting"/>
              <w:keepNext/>
              <w:jc w:val="center"/>
              <w:rPr>
                <w:rFonts w:eastAsia="MS Mincho"/>
              </w:rPr>
            </w:pPr>
            <w:r>
              <w:rPr>
                <w:rFonts w:eastAsia="MS Mincho"/>
              </w:rPr>
              <w:t>-1.5</w:t>
            </w:r>
          </w:p>
          <w:p w:rsidR="003158F5" w:rsidRPr="003158F5" w:rsidRDefault="00531BB8" w:rsidP="009F1E08">
            <w:pPr>
              <w:pStyle w:val="Tablewriting"/>
              <w:keepNext/>
              <w:jc w:val="center"/>
              <w:rPr>
                <w:rFonts w:eastAsia="MS Mincho"/>
              </w:rPr>
            </w:pPr>
            <w:r>
              <w:rPr>
                <w:rFonts w:eastAsia="MS Mincho"/>
              </w:rPr>
              <w:t>(-6.5, 3.5)</w:t>
            </w:r>
          </w:p>
        </w:tc>
      </w:tr>
    </w:tbl>
    <w:p w:rsidR="0029720E" w:rsidRDefault="0029720E" w:rsidP="0029720E">
      <w:pPr>
        <w:pStyle w:val="TableFooter"/>
        <w:keepNext/>
      </w:pPr>
      <w:r>
        <w:t>Source: Lindson et al. (2019)</w:t>
      </w:r>
      <w:r w:rsidR="00764226">
        <w:t>, Ellerbeck et al. (2018)</w:t>
      </w:r>
    </w:p>
    <w:p w:rsidR="0029720E" w:rsidRPr="004A0AB5" w:rsidRDefault="0029720E" w:rsidP="0029720E">
      <w:pPr>
        <w:pStyle w:val="TableFooter"/>
        <w:keepNext/>
        <w:rPr>
          <w:i/>
        </w:rPr>
      </w:pPr>
      <w:r w:rsidRPr="004A0AB5">
        <w:t xml:space="preserve">Abbreviations: CI = confidence interval; RCT = randomised controlled trial; RD = risk difference; RR = risk ratio </w:t>
      </w:r>
    </w:p>
    <w:p w:rsidR="0029720E" w:rsidRDefault="0029720E" w:rsidP="0029720E">
      <w:pPr>
        <w:pStyle w:val="TableFooter"/>
        <w:rPr>
          <w:b/>
          <w:bCs/>
        </w:rPr>
      </w:pPr>
      <w:r w:rsidRPr="0041240E">
        <w:t xml:space="preserve">Notes: </w:t>
      </w:r>
    </w:p>
    <w:p w:rsidR="009A620D" w:rsidRDefault="009A620D" w:rsidP="0029720E">
      <w:pPr>
        <w:pStyle w:val="TableFooter"/>
      </w:pPr>
      <w:r>
        <w:t>1 Calculated by Cochrane Review authors using a random-effect model</w:t>
      </w:r>
      <w:r w:rsidR="00ED0CBA">
        <w:t>.</w:t>
      </w:r>
    </w:p>
    <w:p w:rsidR="009E2BC1" w:rsidRDefault="009A620D" w:rsidP="0029720E">
      <w:pPr>
        <w:pStyle w:val="TableFooter"/>
      </w:pPr>
      <w:r>
        <w:t>2</w:t>
      </w:r>
      <w:r w:rsidR="009E2BC1" w:rsidRPr="009E2BC1">
        <w:t xml:space="preserve"> </w:t>
      </w:r>
      <w:r w:rsidR="00831A0F">
        <w:t>Sustained ab</w:t>
      </w:r>
      <w:r w:rsidR="007D5B3E">
        <w:t>stinence</w:t>
      </w:r>
      <w:r w:rsidR="00831A0F">
        <w:t xml:space="preserve"> at 6 months. </w:t>
      </w:r>
    </w:p>
    <w:p w:rsidR="004F4691" w:rsidRPr="003D15A9" w:rsidRDefault="009A620D" w:rsidP="0029720E">
      <w:pPr>
        <w:pStyle w:val="TableFooter"/>
        <w:rPr>
          <w:highlight w:val="yellow"/>
        </w:rPr>
      </w:pPr>
      <w:r>
        <w:t>3</w:t>
      </w:r>
      <w:r w:rsidR="004F4691">
        <w:t xml:space="preserve"> Calculated during the review</w:t>
      </w:r>
      <w:r w:rsidR="00ED0CBA">
        <w:t>.</w:t>
      </w:r>
    </w:p>
    <w:p w:rsidR="0029720E" w:rsidRDefault="0029720E" w:rsidP="0029720E">
      <w:pPr>
        <w:pStyle w:val="TableFooter"/>
        <w:keepNext/>
        <w:rPr>
          <w:sz w:val="24"/>
        </w:rPr>
      </w:pPr>
    </w:p>
    <w:p w:rsidR="0034241C" w:rsidRDefault="0029720E" w:rsidP="0029720E">
      <w:pPr>
        <w:pStyle w:val="TableFooter"/>
        <w:keepNext/>
        <w:rPr>
          <w:sz w:val="24"/>
        </w:rPr>
      </w:pPr>
      <w:r w:rsidRPr="00F136E9">
        <w:rPr>
          <w:sz w:val="24"/>
        </w:rPr>
        <w:t xml:space="preserve">The results of the individual studies </w:t>
      </w:r>
      <w:r w:rsidR="00B133E3">
        <w:rPr>
          <w:sz w:val="24"/>
        </w:rPr>
        <w:t>comparing the duration of combination therapy</w:t>
      </w:r>
      <w:r w:rsidRPr="00F136E9">
        <w:rPr>
          <w:sz w:val="24"/>
        </w:rPr>
        <w:t xml:space="preserve"> are presented using a forest plot in </w:t>
      </w:r>
      <w:r w:rsidR="003C4A1C" w:rsidRPr="003C4A1C">
        <w:rPr>
          <w:sz w:val="24"/>
        </w:rPr>
        <w:t>Figure 28</w:t>
      </w:r>
      <w:r w:rsidR="009C0A00">
        <w:rPr>
          <w:sz w:val="24"/>
        </w:rPr>
        <w:t>.</w:t>
      </w:r>
    </w:p>
    <w:p w:rsidR="0029720E" w:rsidRDefault="009C0A00" w:rsidP="0029720E">
      <w:pPr>
        <w:pStyle w:val="TableFooter"/>
        <w:keepNext/>
        <w:rPr>
          <w:sz w:val="24"/>
        </w:rPr>
      </w:pPr>
      <w:r>
        <w:rPr>
          <w:sz w:val="24"/>
        </w:rPr>
        <w:t xml:space="preserve"> </w:t>
      </w:r>
    </w:p>
    <w:p w:rsidR="005031D6" w:rsidRDefault="00947D09" w:rsidP="005031D6">
      <w:pPr>
        <w:pStyle w:val="TableFooter"/>
        <w:keepNext/>
      </w:pPr>
      <w:r>
        <w:rPr>
          <w:noProof/>
        </w:rPr>
        <w:drawing>
          <wp:inline distT="0" distB="0" distL="0" distR="0" wp14:anchorId="484C78E5" wp14:editId="63E31D20">
            <wp:extent cx="5731510" cy="2654935"/>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45">
                      <a:extLst>
                        <a:ext uri="{28A0092B-C50C-407E-A947-70E740481C1C}">
                          <a14:useLocalDpi xmlns:a14="http://schemas.microsoft.com/office/drawing/2010/main" val="0"/>
                        </a:ext>
                      </a:extLst>
                    </a:blip>
                    <a:stretch>
                      <a:fillRect/>
                    </a:stretch>
                  </pic:blipFill>
                  <pic:spPr>
                    <a:xfrm>
                      <a:off x="0" y="0"/>
                      <a:ext cx="5731510" cy="2654935"/>
                    </a:xfrm>
                    <a:prstGeom prst="rect">
                      <a:avLst/>
                    </a:prstGeom>
                  </pic:spPr>
                </pic:pic>
              </a:graphicData>
            </a:graphic>
          </wp:inline>
        </w:drawing>
      </w:r>
    </w:p>
    <w:p w:rsidR="0029720E" w:rsidRPr="00962EB2" w:rsidRDefault="009C0A00" w:rsidP="005031D6">
      <w:pPr>
        <w:pStyle w:val="Caption"/>
      </w:pPr>
      <w:bookmarkStart w:id="194" w:name="_Ref61613081"/>
      <w:r>
        <w:t xml:space="preserve">Figure </w:t>
      </w:r>
      <w:r w:rsidR="003C4A1C">
        <w:rPr>
          <w:noProof/>
        </w:rPr>
        <w:t>28</w:t>
      </w:r>
      <w:bookmarkEnd w:id="194"/>
      <w:r>
        <w:t xml:space="preserve">: </w:t>
      </w:r>
      <w:r w:rsidR="005031D6" w:rsidRPr="00333E90">
        <w:t>Results</w:t>
      </w:r>
      <w:r w:rsidRPr="00D51E9F">
        <w:t xml:space="preserve"> of smoking cessation f</w:t>
      </w:r>
      <w:r w:rsidR="00C623F4">
        <w:t>or</w:t>
      </w:r>
      <w:r w:rsidRPr="00D51E9F">
        <w:t xml:space="preserve"> at least six months follow-up in Lindson et al. 2019</w:t>
      </w:r>
      <w:r w:rsidR="0034241C">
        <w:t xml:space="preserve"> and Ellerbeck et al. (2018)</w:t>
      </w:r>
      <w:r w:rsidRPr="00D51E9F">
        <w:t xml:space="preserve">, </w:t>
      </w:r>
      <w:r w:rsidR="0034241C">
        <w:t xml:space="preserve">longer duration versus shorter </w:t>
      </w:r>
      <w:r w:rsidRPr="00D51E9F">
        <w:t xml:space="preserve">duration of </w:t>
      </w:r>
      <w:r>
        <w:t xml:space="preserve">combination </w:t>
      </w:r>
      <w:r w:rsidRPr="00D51E9F">
        <w:t>therapy</w:t>
      </w:r>
    </w:p>
    <w:p w:rsidR="00E52773" w:rsidRDefault="00E52773" w:rsidP="00E52773">
      <w:pPr>
        <w:pStyle w:val="TableFooter"/>
        <w:keepNext/>
      </w:pPr>
      <w:r>
        <w:t>Source: Lindson et al. (2019) and Ellerbeck et al. (2018)</w:t>
      </w:r>
    </w:p>
    <w:p w:rsidR="009077F6" w:rsidRDefault="00E52773" w:rsidP="00E52773">
      <w:pPr>
        <w:pStyle w:val="TableFooter"/>
      </w:pPr>
      <w:r>
        <w:t>Abbreviations: CI = confidence interval</w:t>
      </w:r>
    </w:p>
    <w:p w:rsidR="003A11A4" w:rsidRPr="003A11A4" w:rsidRDefault="003A11A4" w:rsidP="003A11A4">
      <w:pPr>
        <w:rPr>
          <w:u w:val="single"/>
        </w:rPr>
      </w:pPr>
      <w:r w:rsidRPr="003A11A4">
        <w:rPr>
          <w:u w:val="single"/>
        </w:rPr>
        <w:t>Safety</w:t>
      </w:r>
    </w:p>
    <w:p w:rsidR="00B07C6E" w:rsidRDefault="00B07C6E" w:rsidP="00B07C6E">
      <w:pPr>
        <w:jc w:val="both"/>
      </w:pPr>
      <w:r>
        <w:t xml:space="preserve">A summary of key adverse </w:t>
      </w:r>
      <w:r w:rsidR="00B05DCD">
        <w:t>events included</w:t>
      </w:r>
      <w:r>
        <w:t xml:space="preserve"> </w:t>
      </w:r>
      <w:r w:rsidRPr="006A153C">
        <w:t xml:space="preserve">in Lindson et al. </w:t>
      </w:r>
      <w:r>
        <w:t>(</w:t>
      </w:r>
      <w:r w:rsidRPr="006A153C">
        <w:t>2019</w:t>
      </w:r>
      <w:r>
        <w:t>)</w:t>
      </w:r>
      <w:r w:rsidRPr="006A153C">
        <w:t xml:space="preserve"> and Ellerbeck et al. </w:t>
      </w:r>
      <w:r>
        <w:t>(</w:t>
      </w:r>
      <w:r w:rsidRPr="006A153C">
        <w:t>2018</w:t>
      </w:r>
      <w:r>
        <w:t xml:space="preserve">) </w:t>
      </w:r>
      <w:r w:rsidR="006F0CC3">
        <w:t>comparing longer duration with shorter duration</w:t>
      </w:r>
      <w:r w:rsidRPr="00171A84">
        <w:t xml:space="preserve"> of combination NRT is presented in</w:t>
      </w:r>
      <w:r w:rsidR="006F0CC3">
        <w:t xml:space="preserve"> </w:t>
      </w:r>
      <w:r w:rsidR="003C4A1C">
        <w:t xml:space="preserve">Table </w:t>
      </w:r>
      <w:r w:rsidR="003C4A1C">
        <w:rPr>
          <w:noProof/>
        </w:rPr>
        <w:lastRenderedPageBreak/>
        <w:t>92</w:t>
      </w:r>
      <w:r>
        <w:t xml:space="preserve">. Overall, there were no statistically significant differences in serious adverse events and cardiac events between longer duration and shorter duration of combination NRT. </w:t>
      </w:r>
    </w:p>
    <w:p w:rsidR="00B07C6E" w:rsidRDefault="00B07C6E" w:rsidP="00B07C6E">
      <w:pPr>
        <w:pStyle w:val="Caption"/>
        <w:keepNext/>
      </w:pPr>
      <w:bookmarkStart w:id="195" w:name="_Ref62115291"/>
      <w:r>
        <w:t xml:space="preserve">Table </w:t>
      </w:r>
      <w:r w:rsidR="003C4A1C">
        <w:rPr>
          <w:noProof/>
        </w:rPr>
        <w:t>92</w:t>
      </w:r>
      <w:bookmarkEnd w:id="195"/>
      <w:r>
        <w:t xml:space="preserve">: </w:t>
      </w:r>
      <w:r w:rsidRPr="00C61764">
        <w:t xml:space="preserve">Summary of key adverse events </w:t>
      </w:r>
      <w:r w:rsidR="0034241C">
        <w:t xml:space="preserve">in Lindson (2019) and Ellerbeck (2018), </w:t>
      </w:r>
      <w:r w:rsidRPr="00C61764">
        <w:t>longer duration versus shorter duration combination NRT</w:t>
      </w:r>
    </w:p>
    <w:tbl>
      <w:tblPr>
        <w:tblStyle w:val="TableGrid"/>
        <w:tblW w:w="5107" w:type="pct"/>
        <w:tblLook w:val="04A0" w:firstRow="1" w:lastRow="0" w:firstColumn="1" w:lastColumn="0" w:noHBand="0" w:noVBand="1"/>
        <w:tblCaption w:val="Efficacy results of adalimumab trials (PASI 75 and DLQI)"/>
      </w:tblPr>
      <w:tblGrid>
        <w:gridCol w:w="1413"/>
        <w:gridCol w:w="1698"/>
        <w:gridCol w:w="1420"/>
        <w:gridCol w:w="1667"/>
        <w:gridCol w:w="1593"/>
        <w:gridCol w:w="1418"/>
      </w:tblGrid>
      <w:tr w:rsidR="00A654E8" w:rsidRPr="00061F78" w:rsidTr="00C623F4">
        <w:trPr>
          <w:cantSplit/>
          <w:trHeight w:val="299"/>
          <w:tblHeader/>
        </w:trPr>
        <w:tc>
          <w:tcPr>
            <w:tcW w:w="767" w:type="pct"/>
            <w:shd w:val="clear" w:color="auto" w:fill="BFBFBF" w:themeFill="background1" w:themeFillShade="BF"/>
            <w:tcMar>
              <w:left w:w="28" w:type="dxa"/>
              <w:right w:w="28" w:type="dxa"/>
            </w:tcMar>
            <w:vAlign w:val="center"/>
          </w:tcPr>
          <w:p w:rsidR="00B07C6E" w:rsidRDefault="00B07C6E" w:rsidP="00125A1C">
            <w:pPr>
              <w:pStyle w:val="Tableheading"/>
              <w:rPr>
                <w:rFonts w:eastAsia="MS Mincho"/>
              </w:rPr>
            </w:pPr>
            <w:r>
              <w:rPr>
                <w:rFonts w:eastAsia="MS Mincho"/>
              </w:rPr>
              <w:t>Outcome</w:t>
            </w:r>
          </w:p>
        </w:tc>
        <w:tc>
          <w:tcPr>
            <w:tcW w:w="922" w:type="pct"/>
            <w:shd w:val="clear" w:color="auto" w:fill="BFBFBF" w:themeFill="background1" w:themeFillShade="BF"/>
            <w:vAlign w:val="center"/>
          </w:tcPr>
          <w:p w:rsidR="00B07C6E" w:rsidRDefault="00B07C6E" w:rsidP="00125A1C">
            <w:pPr>
              <w:pStyle w:val="Tableheading"/>
              <w:jc w:val="center"/>
              <w:rPr>
                <w:rFonts w:eastAsia="MS Mincho"/>
              </w:rPr>
            </w:pPr>
            <w:r>
              <w:rPr>
                <w:rFonts w:eastAsia="MS Mincho"/>
              </w:rPr>
              <w:t>Study type</w:t>
            </w:r>
          </w:p>
        </w:tc>
        <w:tc>
          <w:tcPr>
            <w:tcW w:w="771" w:type="pct"/>
            <w:shd w:val="clear" w:color="auto" w:fill="BFBFBF" w:themeFill="background1" w:themeFillShade="BF"/>
            <w:tcMar>
              <w:left w:w="28" w:type="dxa"/>
              <w:right w:w="28" w:type="dxa"/>
            </w:tcMar>
            <w:vAlign w:val="center"/>
          </w:tcPr>
          <w:p w:rsidR="00B07C6E" w:rsidRPr="00061F78" w:rsidRDefault="00B07C6E" w:rsidP="00125A1C">
            <w:pPr>
              <w:pStyle w:val="Tableheading"/>
              <w:jc w:val="center"/>
              <w:rPr>
                <w:rFonts w:eastAsia="MS Mincho"/>
              </w:rPr>
            </w:pPr>
            <w:r>
              <w:rPr>
                <w:rFonts w:eastAsia="MS Mincho"/>
              </w:rPr>
              <w:t>Longer duration</w:t>
            </w:r>
          </w:p>
        </w:tc>
        <w:tc>
          <w:tcPr>
            <w:tcW w:w="905" w:type="pct"/>
            <w:shd w:val="clear" w:color="auto" w:fill="BFBFBF" w:themeFill="background1" w:themeFillShade="BF"/>
            <w:tcMar>
              <w:left w:w="28" w:type="dxa"/>
              <w:right w:w="28" w:type="dxa"/>
            </w:tcMar>
            <w:vAlign w:val="center"/>
          </w:tcPr>
          <w:p w:rsidR="00B07C6E" w:rsidRPr="00061F78" w:rsidRDefault="00B07C6E" w:rsidP="00125A1C">
            <w:pPr>
              <w:pStyle w:val="Tableheading"/>
              <w:jc w:val="center"/>
              <w:rPr>
                <w:rFonts w:eastAsia="MS Mincho"/>
              </w:rPr>
            </w:pPr>
            <w:r>
              <w:rPr>
                <w:rFonts w:eastAsia="MS Mincho"/>
              </w:rPr>
              <w:t>Shorter duration</w:t>
            </w:r>
          </w:p>
        </w:tc>
        <w:tc>
          <w:tcPr>
            <w:tcW w:w="865" w:type="pct"/>
            <w:shd w:val="clear" w:color="auto" w:fill="BFBFBF" w:themeFill="background1" w:themeFillShade="BF"/>
            <w:tcMar>
              <w:left w:w="28" w:type="dxa"/>
              <w:right w:w="28" w:type="dxa"/>
            </w:tcMar>
            <w:vAlign w:val="center"/>
          </w:tcPr>
          <w:p w:rsidR="00B07C6E" w:rsidRPr="00681ACA" w:rsidRDefault="00B07C6E" w:rsidP="00125A1C">
            <w:pPr>
              <w:pStyle w:val="Tableheading"/>
              <w:jc w:val="center"/>
              <w:rPr>
                <w:rFonts w:eastAsia="MS Mincho"/>
                <w:vertAlign w:val="superscript"/>
              </w:rPr>
            </w:pPr>
            <w:r>
              <w:rPr>
                <w:rFonts w:eastAsia="MS Mincho"/>
              </w:rPr>
              <w:t>RR (95% CI)</w:t>
            </w:r>
          </w:p>
        </w:tc>
        <w:tc>
          <w:tcPr>
            <w:tcW w:w="769" w:type="pct"/>
            <w:shd w:val="clear" w:color="auto" w:fill="BFBFBF" w:themeFill="background1" w:themeFillShade="BF"/>
            <w:vAlign w:val="center"/>
          </w:tcPr>
          <w:p w:rsidR="00B07C6E" w:rsidRDefault="00B07C6E" w:rsidP="00125A1C">
            <w:pPr>
              <w:pStyle w:val="Tableheading"/>
              <w:jc w:val="center"/>
              <w:rPr>
                <w:rFonts w:eastAsia="MS Mincho"/>
              </w:rPr>
            </w:pPr>
            <w:r>
              <w:rPr>
                <w:rFonts w:eastAsia="MS Mincho"/>
              </w:rPr>
              <w:t>RD (95% CI)</w:t>
            </w:r>
          </w:p>
        </w:tc>
      </w:tr>
      <w:tr w:rsidR="00B07C6E" w:rsidRPr="00061F78" w:rsidTr="00E5127C">
        <w:trPr>
          <w:cantSplit/>
          <w:trHeight w:val="149"/>
        </w:trPr>
        <w:tc>
          <w:tcPr>
            <w:tcW w:w="5000" w:type="pct"/>
            <w:gridSpan w:val="6"/>
            <w:shd w:val="clear" w:color="auto" w:fill="auto"/>
            <w:tcMar>
              <w:left w:w="28" w:type="dxa"/>
              <w:right w:w="28" w:type="dxa"/>
            </w:tcMar>
          </w:tcPr>
          <w:p w:rsidR="00B07C6E" w:rsidRPr="00D67597" w:rsidRDefault="00B07C6E" w:rsidP="00125A1C">
            <w:pPr>
              <w:pStyle w:val="Tablewriting"/>
              <w:rPr>
                <w:rFonts w:eastAsia="MS Mincho"/>
                <w:b/>
                <w:vertAlign w:val="superscript"/>
              </w:rPr>
            </w:pPr>
            <w:r w:rsidRPr="00E103D7">
              <w:rPr>
                <w:rFonts w:eastAsia="MS Mincho"/>
                <w:b/>
                <w:bCs/>
              </w:rPr>
              <w:t>Overall SAEs</w:t>
            </w:r>
            <w:r w:rsidR="00573745">
              <w:rPr>
                <w:rFonts w:eastAsia="MS Mincho"/>
                <w:b/>
                <w:bCs/>
                <w:vertAlign w:val="superscript"/>
              </w:rPr>
              <w:t>1</w:t>
            </w:r>
          </w:p>
        </w:tc>
      </w:tr>
      <w:tr w:rsidR="00A654E8" w:rsidRPr="00061F78" w:rsidTr="00C623F4">
        <w:trPr>
          <w:cantSplit/>
          <w:trHeight w:val="149"/>
        </w:trPr>
        <w:tc>
          <w:tcPr>
            <w:tcW w:w="767" w:type="pct"/>
            <w:tcMar>
              <w:left w:w="28" w:type="dxa"/>
              <w:right w:w="28" w:type="dxa"/>
            </w:tcMar>
          </w:tcPr>
          <w:p w:rsidR="00B07C6E" w:rsidRPr="00D67597" w:rsidRDefault="00B07C6E" w:rsidP="00125A1C">
            <w:pPr>
              <w:pStyle w:val="Tablewriting"/>
              <w:rPr>
                <w:rFonts w:eastAsia="MS Mincho"/>
                <w:vertAlign w:val="superscript"/>
              </w:rPr>
            </w:pPr>
            <w:r w:rsidRPr="00171A84">
              <w:rPr>
                <w:rFonts w:eastAsia="MS Mincho"/>
              </w:rPr>
              <w:t>26 weeks versus 8 weeks</w:t>
            </w:r>
          </w:p>
        </w:tc>
        <w:tc>
          <w:tcPr>
            <w:tcW w:w="922" w:type="pct"/>
            <w:vAlign w:val="center"/>
          </w:tcPr>
          <w:p w:rsidR="00B07C6E" w:rsidRDefault="00B07C6E" w:rsidP="00125A1C">
            <w:pPr>
              <w:pStyle w:val="Tablewriting"/>
              <w:jc w:val="center"/>
              <w:rPr>
                <w:rFonts w:eastAsia="MS Mincho"/>
              </w:rPr>
            </w:pPr>
            <w:r>
              <w:rPr>
                <w:rFonts w:eastAsia="MS Mincho"/>
              </w:rPr>
              <w:t>Cochrane Review</w:t>
            </w:r>
          </w:p>
          <w:p w:rsidR="00B07C6E" w:rsidRPr="00E72520" w:rsidRDefault="00B07C6E" w:rsidP="00125A1C">
            <w:pPr>
              <w:pStyle w:val="Tablewriting"/>
              <w:jc w:val="center"/>
              <w:rPr>
                <w:rFonts w:eastAsia="MS Mincho"/>
              </w:rPr>
            </w:pPr>
            <w:r>
              <w:rPr>
                <w:rFonts w:eastAsia="MS Mincho"/>
              </w:rPr>
              <w:t>(1 RCT)</w:t>
            </w:r>
          </w:p>
        </w:tc>
        <w:tc>
          <w:tcPr>
            <w:tcW w:w="771" w:type="pct"/>
            <w:tcMar>
              <w:left w:w="28" w:type="dxa"/>
              <w:right w:w="28" w:type="dxa"/>
            </w:tcMar>
            <w:vAlign w:val="center"/>
          </w:tcPr>
          <w:p w:rsidR="00B07C6E" w:rsidRDefault="00B07C6E" w:rsidP="00125A1C">
            <w:pPr>
              <w:pStyle w:val="Tablewriting"/>
              <w:jc w:val="center"/>
              <w:rPr>
                <w:rFonts w:eastAsia="MS Mincho"/>
              </w:rPr>
            </w:pPr>
            <w:r>
              <w:rPr>
                <w:rFonts w:eastAsia="MS Mincho"/>
              </w:rPr>
              <w:t>10/275</w:t>
            </w:r>
          </w:p>
          <w:p w:rsidR="00B07C6E" w:rsidRPr="001B3B7C" w:rsidRDefault="00B07C6E" w:rsidP="00125A1C">
            <w:pPr>
              <w:pStyle w:val="Tablewriting"/>
              <w:jc w:val="center"/>
              <w:rPr>
                <w:rFonts w:eastAsia="MS Mincho"/>
              </w:rPr>
            </w:pPr>
            <w:r>
              <w:rPr>
                <w:rFonts w:eastAsia="MS Mincho"/>
              </w:rPr>
              <w:t>(3.6%)</w:t>
            </w:r>
          </w:p>
        </w:tc>
        <w:tc>
          <w:tcPr>
            <w:tcW w:w="905" w:type="pct"/>
            <w:tcMar>
              <w:left w:w="28" w:type="dxa"/>
              <w:right w:w="28" w:type="dxa"/>
            </w:tcMar>
            <w:vAlign w:val="center"/>
          </w:tcPr>
          <w:p w:rsidR="00B07C6E" w:rsidRDefault="00B07C6E" w:rsidP="00125A1C">
            <w:pPr>
              <w:pStyle w:val="Tablewriting"/>
              <w:jc w:val="center"/>
              <w:rPr>
                <w:rFonts w:eastAsia="MS Mincho"/>
              </w:rPr>
            </w:pPr>
            <w:r>
              <w:rPr>
                <w:rFonts w:eastAsia="MS Mincho"/>
              </w:rPr>
              <w:t>6/269</w:t>
            </w:r>
          </w:p>
          <w:p w:rsidR="00B07C6E" w:rsidRPr="001B3B7C" w:rsidRDefault="00B07C6E" w:rsidP="00125A1C">
            <w:pPr>
              <w:pStyle w:val="Tablewriting"/>
              <w:jc w:val="center"/>
              <w:rPr>
                <w:rFonts w:eastAsia="MS Mincho"/>
              </w:rPr>
            </w:pPr>
            <w:r>
              <w:rPr>
                <w:rFonts w:eastAsia="MS Mincho"/>
              </w:rPr>
              <w:t>(2.2%)</w:t>
            </w:r>
          </w:p>
        </w:tc>
        <w:tc>
          <w:tcPr>
            <w:tcW w:w="865" w:type="pct"/>
            <w:tcMar>
              <w:left w:w="28" w:type="dxa"/>
              <w:right w:w="28" w:type="dxa"/>
            </w:tcMar>
            <w:vAlign w:val="center"/>
          </w:tcPr>
          <w:p w:rsidR="00B07C6E" w:rsidRDefault="00B07C6E" w:rsidP="00125A1C">
            <w:pPr>
              <w:pStyle w:val="Tablewriting"/>
              <w:jc w:val="center"/>
              <w:rPr>
                <w:rFonts w:eastAsia="MS Mincho"/>
              </w:rPr>
            </w:pPr>
            <w:r>
              <w:rPr>
                <w:rFonts w:eastAsia="MS Mincho"/>
              </w:rPr>
              <w:t>1.63</w:t>
            </w:r>
          </w:p>
          <w:p w:rsidR="00B07C6E" w:rsidRPr="001B3B7C" w:rsidRDefault="00B07C6E" w:rsidP="00125A1C">
            <w:pPr>
              <w:pStyle w:val="Tablewriting"/>
              <w:jc w:val="center"/>
              <w:rPr>
                <w:rFonts w:eastAsia="MS Mincho"/>
              </w:rPr>
            </w:pPr>
            <w:r>
              <w:rPr>
                <w:rFonts w:eastAsia="MS Mincho"/>
              </w:rPr>
              <w:t>(0.6, 4.42)</w:t>
            </w:r>
          </w:p>
        </w:tc>
        <w:tc>
          <w:tcPr>
            <w:tcW w:w="769" w:type="pct"/>
            <w:vAlign w:val="center"/>
          </w:tcPr>
          <w:p w:rsidR="00B07C6E" w:rsidRPr="001B3B7C" w:rsidRDefault="00B07C6E" w:rsidP="00125A1C">
            <w:pPr>
              <w:pStyle w:val="Tablewriting"/>
              <w:jc w:val="center"/>
              <w:rPr>
                <w:rFonts w:eastAsia="MS Mincho"/>
                <w:highlight w:val="yellow"/>
              </w:rPr>
            </w:pPr>
            <w:r w:rsidRPr="0061240F">
              <w:rPr>
                <w:rFonts w:eastAsia="MS Mincho"/>
              </w:rPr>
              <w:t>NR</w:t>
            </w:r>
          </w:p>
        </w:tc>
      </w:tr>
      <w:tr w:rsidR="00A654E8" w:rsidRPr="00061F78" w:rsidTr="00C623F4">
        <w:trPr>
          <w:cantSplit/>
          <w:trHeight w:val="149"/>
        </w:trPr>
        <w:tc>
          <w:tcPr>
            <w:tcW w:w="767" w:type="pct"/>
            <w:tcMar>
              <w:left w:w="28" w:type="dxa"/>
              <w:right w:w="28" w:type="dxa"/>
            </w:tcMar>
          </w:tcPr>
          <w:p w:rsidR="00B07C6E" w:rsidRPr="001B3B7C" w:rsidRDefault="00B07C6E" w:rsidP="00125A1C">
            <w:pPr>
              <w:pStyle w:val="Tablewriting"/>
              <w:rPr>
                <w:rFonts w:eastAsia="MS Mincho"/>
              </w:rPr>
            </w:pPr>
            <w:r w:rsidRPr="00171A84">
              <w:rPr>
                <w:rFonts w:eastAsia="MS Mincho"/>
              </w:rPr>
              <w:t>16 weeks versus 8 weeks</w:t>
            </w:r>
          </w:p>
        </w:tc>
        <w:tc>
          <w:tcPr>
            <w:tcW w:w="922" w:type="pct"/>
            <w:vAlign w:val="center"/>
          </w:tcPr>
          <w:p w:rsidR="00B07C6E" w:rsidRDefault="00B07C6E" w:rsidP="00125A1C">
            <w:pPr>
              <w:pStyle w:val="Tablewriting"/>
              <w:jc w:val="center"/>
              <w:rPr>
                <w:rFonts w:eastAsia="MS Mincho"/>
              </w:rPr>
            </w:pPr>
            <w:r>
              <w:rPr>
                <w:rFonts w:eastAsia="MS Mincho"/>
              </w:rPr>
              <w:t>Cochrane Review</w:t>
            </w:r>
          </w:p>
          <w:p w:rsidR="00B07C6E" w:rsidRPr="001B3B7C" w:rsidRDefault="00B07C6E" w:rsidP="00125A1C">
            <w:pPr>
              <w:pStyle w:val="Tablewriting"/>
              <w:jc w:val="center"/>
              <w:rPr>
                <w:rFonts w:eastAsia="MS Mincho"/>
              </w:rPr>
            </w:pPr>
            <w:r>
              <w:rPr>
                <w:rFonts w:eastAsia="MS Mincho"/>
              </w:rPr>
              <w:t>(1 RCT)</w:t>
            </w:r>
          </w:p>
        </w:tc>
        <w:tc>
          <w:tcPr>
            <w:tcW w:w="771" w:type="pct"/>
            <w:vAlign w:val="center"/>
          </w:tcPr>
          <w:p w:rsidR="00B07C6E" w:rsidRDefault="00B07C6E" w:rsidP="00125A1C">
            <w:pPr>
              <w:pStyle w:val="Tablewriting"/>
              <w:jc w:val="center"/>
              <w:rPr>
                <w:rFonts w:eastAsia="MS Mincho"/>
              </w:rPr>
            </w:pPr>
            <w:r>
              <w:rPr>
                <w:rFonts w:eastAsia="MS Mincho"/>
              </w:rPr>
              <w:t>0/304</w:t>
            </w:r>
          </w:p>
          <w:p w:rsidR="00B07C6E" w:rsidRPr="001B3B7C" w:rsidRDefault="00B07C6E" w:rsidP="00125A1C">
            <w:pPr>
              <w:pStyle w:val="Tablewriting"/>
              <w:jc w:val="center"/>
              <w:rPr>
                <w:rFonts w:eastAsia="MS Mincho"/>
              </w:rPr>
            </w:pPr>
            <w:r>
              <w:rPr>
                <w:rFonts w:eastAsia="MS Mincho"/>
              </w:rPr>
              <w:t>(0%)</w:t>
            </w:r>
          </w:p>
        </w:tc>
        <w:tc>
          <w:tcPr>
            <w:tcW w:w="905" w:type="pct"/>
            <w:vAlign w:val="center"/>
          </w:tcPr>
          <w:p w:rsidR="00B07C6E" w:rsidRDefault="00B07C6E" w:rsidP="00125A1C">
            <w:pPr>
              <w:pStyle w:val="Tablewriting"/>
              <w:jc w:val="center"/>
              <w:rPr>
                <w:rFonts w:eastAsia="MS Mincho"/>
              </w:rPr>
            </w:pPr>
            <w:r>
              <w:rPr>
                <w:rFonts w:eastAsia="MS Mincho"/>
              </w:rPr>
              <w:t>0/333</w:t>
            </w:r>
          </w:p>
          <w:p w:rsidR="00B07C6E" w:rsidRPr="001B3B7C" w:rsidRDefault="00B07C6E" w:rsidP="00125A1C">
            <w:pPr>
              <w:pStyle w:val="Tablewriting"/>
              <w:jc w:val="center"/>
              <w:rPr>
                <w:rFonts w:eastAsia="MS Mincho"/>
              </w:rPr>
            </w:pPr>
            <w:r>
              <w:rPr>
                <w:rFonts w:eastAsia="MS Mincho"/>
              </w:rPr>
              <w:t>(0%)</w:t>
            </w:r>
          </w:p>
        </w:tc>
        <w:tc>
          <w:tcPr>
            <w:tcW w:w="865" w:type="pct"/>
            <w:tcMar>
              <w:left w:w="28" w:type="dxa"/>
              <w:right w:w="28" w:type="dxa"/>
            </w:tcMar>
            <w:vAlign w:val="center"/>
          </w:tcPr>
          <w:p w:rsidR="00B07C6E" w:rsidRPr="001B3B7C" w:rsidRDefault="00B07C6E" w:rsidP="00125A1C">
            <w:pPr>
              <w:pStyle w:val="Tablewriting"/>
              <w:jc w:val="center"/>
              <w:rPr>
                <w:rFonts w:eastAsia="MS Mincho"/>
              </w:rPr>
            </w:pPr>
            <w:r>
              <w:rPr>
                <w:rFonts w:eastAsia="MS Mincho"/>
              </w:rPr>
              <w:t>NE</w:t>
            </w:r>
          </w:p>
        </w:tc>
        <w:tc>
          <w:tcPr>
            <w:tcW w:w="769" w:type="pct"/>
            <w:vAlign w:val="center"/>
          </w:tcPr>
          <w:p w:rsidR="00B07C6E" w:rsidRPr="00171A84" w:rsidRDefault="00B07C6E" w:rsidP="00125A1C">
            <w:pPr>
              <w:pStyle w:val="Tablewriting"/>
              <w:jc w:val="center"/>
              <w:rPr>
                <w:rFonts w:eastAsia="MS Mincho"/>
              </w:rPr>
            </w:pPr>
            <w:r>
              <w:rPr>
                <w:rFonts w:eastAsia="MS Mincho"/>
              </w:rPr>
              <w:t>N</w:t>
            </w:r>
            <w:r w:rsidR="009C6F54">
              <w:rPr>
                <w:rFonts w:eastAsia="MS Mincho"/>
              </w:rPr>
              <w:t>R</w:t>
            </w:r>
          </w:p>
        </w:tc>
      </w:tr>
      <w:tr w:rsidR="00A654E8" w:rsidRPr="00061F78" w:rsidTr="00C623F4">
        <w:trPr>
          <w:cantSplit/>
          <w:trHeight w:val="149"/>
        </w:trPr>
        <w:tc>
          <w:tcPr>
            <w:tcW w:w="767" w:type="pct"/>
            <w:tcMar>
              <w:left w:w="28" w:type="dxa"/>
              <w:right w:w="28" w:type="dxa"/>
            </w:tcMar>
          </w:tcPr>
          <w:p w:rsidR="00B07C6E" w:rsidRPr="001B3B7C" w:rsidRDefault="00B07C6E" w:rsidP="00125A1C">
            <w:pPr>
              <w:pStyle w:val="Tablewriting"/>
              <w:rPr>
                <w:rFonts w:eastAsia="MS Mincho"/>
              </w:rPr>
            </w:pPr>
            <w:r w:rsidRPr="00171A84">
              <w:rPr>
                <w:rFonts w:eastAsia="MS Mincho"/>
              </w:rPr>
              <w:t>6 weeks versus 2 weeks</w:t>
            </w:r>
          </w:p>
        </w:tc>
        <w:tc>
          <w:tcPr>
            <w:tcW w:w="922" w:type="pct"/>
            <w:vAlign w:val="center"/>
          </w:tcPr>
          <w:p w:rsidR="00B07C6E" w:rsidRDefault="00B07C6E" w:rsidP="00125A1C">
            <w:pPr>
              <w:pStyle w:val="Tablewriting"/>
              <w:jc w:val="center"/>
              <w:rPr>
                <w:rFonts w:eastAsia="MS Mincho"/>
              </w:rPr>
            </w:pPr>
            <w:r>
              <w:rPr>
                <w:rFonts w:eastAsia="MS Mincho"/>
              </w:rPr>
              <w:t>Cochrane Review</w:t>
            </w:r>
          </w:p>
          <w:p w:rsidR="00B07C6E" w:rsidRPr="001B3B7C" w:rsidRDefault="00B07C6E" w:rsidP="00125A1C">
            <w:pPr>
              <w:pStyle w:val="Tablewriting"/>
              <w:jc w:val="center"/>
              <w:rPr>
                <w:rFonts w:eastAsia="MS Mincho"/>
              </w:rPr>
            </w:pPr>
            <w:r>
              <w:rPr>
                <w:rFonts w:eastAsia="MS Mincho"/>
              </w:rPr>
              <w:t>(1 RCT)</w:t>
            </w:r>
          </w:p>
        </w:tc>
        <w:tc>
          <w:tcPr>
            <w:tcW w:w="771" w:type="pct"/>
            <w:vAlign w:val="center"/>
          </w:tcPr>
          <w:p w:rsidR="00B07C6E" w:rsidRDefault="00B07C6E" w:rsidP="00125A1C">
            <w:pPr>
              <w:pStyle w:val="Tablewriting"/>
              <w:jc w:val="center"/>
              <w:rPr>
                <w:rFonts w:eastAsia="MS Mincho"/>
              </w:rPr>
            </w:pPr>
            <w:r>
              <w:rPr>
                <w:rFonts w:eastAsia="MS Mincho"/>
              </w:rPr>
              <w:t>0/497</w:t>
            </w:r>
          </w:p>
          <w:p w:rsidR="00B07C6E" w:rsidRPr="001B3B7C" w:rsidRDefault="00B07C6E" w:rsidP="00125A1C">
            <w:pPr>
              <w:pStyle w:val="Tablewriting"/>
              <w:jc w:val="center"/>
              <w:rPr>
                <w:rFonts w:eastAsia="MS Mincho"/>
              </w:rPr>
            </w:pPr>
            <w:r>
              <w:rPr>
                <w:rFonts w:eastAsia="MS Mincho"/>
              </w:rPr>
              <w:t>(0%)</w:t>
            </w:r>
          </w:p>
        </w:tc>
        <w:tc>
          <w:tcPr>
            <w:tcW w:w="905" w:type="pct"/>
            <w:vAlign w:val="center"/>
          </w:tcPr>
          <w:p w:rsidR="00B07C6E" w:rsidRDefault="00B07C6E" w:rsidP="00125A1C">
            <w:pPr>
              <w:pStyle w:val="Tablewriting"/>
              <w:jc w:val="center"/>
              <w:rPr>
                <w:rFonts w:eastAsia="MS Mincho"/>
              </w:rPr>
            </w:pPr>
            <w:r>
              <w:rPr>
                <w:rFonts w:eastAsia="MS Mincho"/>
              </w:rPr>
              <w:t>0/490</w:t>
            </w:r>
          </w:p>
          <w:p w:rsidR="00B07C6E" w:rsidRPr="001B3B7C" w:rsidRDefault="00B07C6E" w:rsidP="00125A1C">
            <w:pPr>
              <w:pStyle w:val="Tablewriting"/>
              <w:jc w:val="center"/>
              <w:rPr>
                <w:rFonts w:eastAsia="MS Mincho"/>
              </w:rPr>
            </w:pPr>
            <w:r>
              <w:rPr>
                <w:rFonts w:eastAsia="MS Mincho"/>
              </w:rPr>
              <w:t>(0%)</w:t>
            </w:r>
          </w:p>
        </w:tc>
        <w:tc>
          <w:tcPr>
            <w:tcW w:w="865" w:type="pct"/>
            <w:tcMar>
              <w:left w:w="28" w:type="dxa"/>
              <w:right w:w="28" w:type="dxa"/>
            </w:tcMar>
            <w:vAlign w:val="center"/>
          </w:tcPr>
          <w:p w:rsidR="00B07C6E" w:rsidRPr="001B3B7C" w:rsidRDefault="00B07C6E" w:rsidP="00125A1C">
            <w:pPr>
              <w:pStyle w:val="Tablewriting"/>
              <w:jc w:val="center"/>
              <w:rPr>
                <w:rFonts w:eastAsia="MS Mincho"/>
              </w:rPr>
            </w:pPr>
            <w:r>
              <w:rPr>
                <w:rFonts w:eastAsia="MS Mincho"/>
              </w:rPr>
              <w:t>NE</w:t>
            </w:r>
          </w:p>
        </w:tc>
        <w:tc>
          <w:tcPr>
            <w:tcW w:w="769" w:type="pct"/>
            <w:vAlign w:val="center"/>
          </w:tcPr>
          <w:p w:rsidR="00B07C6E" w:rsidRPr="00171A84" w:rsidRDefault="00B07C6E" w:rsidP="00125A1C">
            <w:pPr>
              <w:pStyle w:val="Tablewriting"/>
              <w:jc w:val="center"/>
              <w:rPr>
                <w:rFonts w:eastAsia="MS Mincho"/>
              </w:rPr>
            </w:pPr>
            <w:r>
              <w:rPr>
                <w:rFonts w:eastAsia="MS Mincho"/>
              </w:rPr>
              <w:t>N</w:t>
            </w:r>
            <w:r w:rsidR="009C6F54">
              <w:rPr>
                <w:rFonts w:eastAsia="MS Mincho"/>
              </w:rPr>
              <w:t>R</w:t>
            </w:r>
          </w:p>
        </w:tc>
      </w:tr>
      <w:tr w:rsidR="00B07C6E" w:rsidRPr="00061F78" w:rsidTr="00E5127C">
        <w:trPr>
          <w:cantSplit/>
          <w:trHeight w:val="149"/>
        </w:trPr>
        <w:tc>
          <w:tcPr>
            <w:tcW w:w="5000" w:type="pct"/>
            <w:gridSpan w:val="6"/>
            <w:shd w:val="clear" w:color="auto" w:fill="auto"/>
            <w:tcMar>
              <w:left w:w="28" w:type="dxa"/>
              <w:right w:w="28" w:type="dxa"/>
            </w:tcMar>
          </w:tcPr>
          <w:p w:rsidR="00B07C6E" w:rsidRPr="00D67597" w:rsidRDefault="00B07C6E" w:rsidP="00125A1C">
            <w:pPr>
              <w:pStyle w:val="Tablewriting"/>
              <w:rPr>
                <w:rFonts w:eastAsia="MS Mincho"/>
                <w:b/>
                <w:vertAlign w:val="superscript"/>
              </w:rPr>
            </w:pPr>
            <w:r w:rsidRPr="00E103D7">
              <w:rPr>
                <w:rFonts w:eastAsia="MS Mincho"/>
                <w:b/>
                <w:bCs/>
              </w:rPr>
              <w:t>Adverse events</w:t>
            </w:r>
            <w:r w:rsidR="00573745">
              <w:rPr>
                <w:rFonts w:eastAsia="MS Mincho"/>
                <w:b/>
                <w:bCs/>
                <w:vertAlign w:val="superscript"/>
              </w:rPr>
              <w:t>2</w:t>
            </w:r>
          </w:p>
        </w:tc>
      </w:tr>
      <w:tr w:rsidR="00A654E8" w:rsidRPr="00061F78" w:rsidTr="00C623F4">
        <w:trPr>
          <w:cantSplit/>
          <w:trHeight w:val="149"/>
        </w:trPr>
        <w:tc>
          <w:tcPr>
            <w:tcW w:w="767" w:type="pct"/>
            <w:tcMar>
              <w:left w:w="28" w:type="dxa"/>
              <w:right w:w="28" w:type="dxa"/>
            </w:tcMar>
          </w:tcPr>
          <w:p w:rsidR="00B07C6E" w:rsidRPr="00286D49" w:rsidRDefault="00B07C6E" w:rsidP="00125A1C">
            <w:pPr>
              <w:pStyle w:val="Tablewriting"/>
              <w:rPr>
                <w:rFonts w:eastAsia="MS Mincho"/>
              </w:rPr>
            </w:pPr>
            <w:r w:rsidRPr="00286D49">
              <w:rPr>
                <w:rFonts w:eastAsia="MS Mincho"/>
              </w:rPr>
              <w:t xml:space="preserve">Cardiac events </w:t>
            </w:r>
          </w:p>
        </w:tc>
        <w:tc>
          <w:tcPr>
            <w:tcW w:w="922" w:type="pct"/>
            <w:vAlign w:val="center"/>
          </w:tcPr>
          <w:p w:rsidR="00B07C6E" w:rsidRPr="00286D49" w:rsidRDefault="00B07C6E" w:rsidP="00125A1C">
            <w:pPr>
              <w:pStyle w:val="Tablewriting"/>
              <w:jc w:val="center"/>
              <w:rPr>
                <w:rFonts w:eastAsia="MS Mincho"/>
              </w:rPr>
            </w:pPr>
            <w:r w:rsidRPr="00286D49">
              <w:rPr>
                <w:rFonts w:eastAsia="MS Mincho"/>
              </w:rPr>
              <w:t>Ellerbeck 2018 (RCT)</w:t>
            </w:r>
          </w:p>
        </w:tc>
        <w:tc>
          <w:tcPr>
            <w:tcW w:w="771" w:type="pct"/>
            <w:tcMar>
              <w:left w:w="28" w:type="dxa"/>
              <w:right w:w="28" w:type="dxa"/>
            </w:tcMar>
            <w:vAlign w:val="center"/>
          </w:tcPr>
          <w:p w:rsidR="00B07C6E" w:rsidRPr="00286D49" w:rsidRDefault="00B07C6E" w:rsidP="00125A1C">
            <w:pPr>
              <w:pStyle w:val="Tablewriting"/>
              <w:jc w:val="center"/>
              <w:rPr>
                <w:rFonts w:eastAsia="MS Mincho"/>
              </w:rPr>
            </w:pPr>
            <w:r w:rsidRPr="00286D49">
              <w:rPr>
                <w:rFonts w:eastAsia="MS Mincho"/>
              </w:rPr>
              <w:t>8/</w:t>
            </w:r>
            <w:r>
              <w:rPr>
                <w:rFonts w:eastAsia="MS Mincho"/>
              </w:rPr>
              <w:t>200</w:t>
            </w:r>
          </w:p>
          <w:p w:rsidR="00B07C6E" w:rsidRPr="00286D49" w:rsidRDefault="00B07C6E" w:rsidP="00125A1C">
            <w:pPr>
              <w:pStyle w:val="Tablewriting"/>
              <w:jc w:val="center"/>
              <w:rPr>
                <w:rFonts w:eastAsia="MS Mincho"/>
              </w:rPr>
            </w:pPr>
            <w:r w:rsidRPr="00286D49">
              <w:rPr>
                <w:rFonts w:eastAsia="MS Mincho"/>
              </w:rPr>
              <w:t>(</w:t>
            </w:r>
            <w:r>
              <w:rPr>
                <w:rFonts w:eastAsia="MS Mincho"/>
              </w:rPr>
              <w:t>4</w:t>
            </w:r>
            <w:r w:rsidRPr="00286D49">
              <w:rPr>
                <w:rFonts w:eastAsia="MS Mincho"/>
              </w:rPr>
              <w:t>%)</w:t>
            </w:r>
          </w:p>
        </w:tc>
        <w:tc>
          <w:tcPr>
            <w:tcW w:w="905" w:type="pct"/>
            <w:tcMar>
              <w:left w:w="28" w:type="dxa"/>
              <w:right w:w="28" w:type="dxa"/>
            </w:tcMar>
            <w:vAlign w:val="center"/>
          </w:tcPr>
          <w:p w:rsidR="00B07C6E" w:rsidRPr="00286D49" w:rsidRDefault="00B07C6E" w:rsidP="00125A1C">
            <w:pPr>
              <w:pStyle w:val="Tablewriting"/>
              <w:jc w:val="center"/>
              <w:rPr>
                <w:rFonts w:eastAsia="MS Mincho"/>
              </w:rPr>
            </w:pPr>
            <w:r w:rsidRPr="00286D49">
              <w:rPr>
                <w:rFonts w:eastAsia="MS Mincho"/>
              </w:rPr>
              <w:t>9/1</w:t>
            </w:r>
            <w:r w:rsidR="007E3645">
              <w:rPr>
                <w:rFonts w:eastAsia="MS Mincho"/>
              </w:rPr>
              <w:t>8</w:t>
            </w:r>
            <w:r>
              <w:rPr>
                <w:rFonts w:eastAsia="MS Mincho"/>
              </w:rPr>
              <w:t>9</w:t>
            </w:r>
          </w:p>
          <w:p w:rsidR="00B07C6E" w:rsidRPr="00286D49" w:rsidRDefault="00B07C6E" w:rsidP="00125A1C">
            <w:pPr>
              <w:pStyle w:val="Tablewriting"/>
              <w:jc w:val="center"/>
              <w:rPr>
                <w:rFonts w:eastAsia="MS Mincho"/>
              </w:rPr>
            </w:pPr>
            <w:r w:rsidRPr="00286D49">
              <w:rPr>
                <w:rFonts w:eastAsia="MS Mincho"/>
              </w:rPr>
              <w:t>(</w:t>
            </w:r>
            <w:r>
              <w:rPr>
                <w:rFonts w:eastAsia="MS Mincho"/>
              </w:rPr>
              <w:t>4.</w:t>
            </w:r>
            <w:r w:rsidR="007E3645">
              <w:rPr>
                <w:rFonts w:eastAsia="MS Mincho"/>
              </w:rPr>
              <w:t>8</w:t>
            </w:r>
            <w:r w:rsidRPr="00286D49">
              <w:rPr>
                <w:rFonts w:eastAsia="MS Mincho"/>
              </w:rPr>
              <w:t>%)</w:t>
            </w:r>
          </w:p>
        </w:tc>
        <w:tc>
          <w:tcPr>
            <w:tcW w:w="865" w:type="pct"/>
            <w:tcMar>
              <w:left w:w="28" w:type="dxa"/>
              <w:right w:w="28" w:type="dxa"/>
            </w:tcMar>
            <w:vAlign w:val="center"/>
          </w:tcPr>
          <w:p w:rsidR="00B07C6E" w:rsidRDefault="00B07C6E" w:rsidP="00125A1C">
            <w:pPr>
              <w:pStyle w:val="Tablewriting"/>
              <w:jc w:val="center"/>
              <w:rPr>
                <w:rFonts w:eastAsia="MS Mincho"/>
              </w:rPr>
            </w:pPr>
            <w:r>
              <w:rPr>
                <w:rFonts w:eastAsia="MS Mincho"/>
              </w:rPr>
              <w:t>0.8</w:t>
            </w:r>
            <w:r w:rsidR="0045662A">
              <w:rPr>
                <w:rFonts w:eastAsia="MS Mincho"/>
              </w:rPr>
              <w:t>4</w:t>
            </w:r>
          </w:p>
          <w:p w:rsidR="00B07C6E" w:rsidRPr="00286D49" w:rsidRDefault="00B07C6E" w:rsidP="00125A1C">
            <w:pPr>
              <w:pStyle w:val="Tablewriting"/>
              <w:jc w:val="center"/>
              <w:rPr>
                <w:rFonts w:eastAsia="MS Mincho"/>
              </w:rPr>
            </w:pPr>
            <w:r>
              <w:rPr>
                <w:rFonts w:eastAsia="MS Mincho"/>
              </w:rPr>
              <w:t>(0.33, 2.</w:t>
            </w:r>
            <w:r w:rsidR="0045662A">
              <w:t>13</w:t>
            </w:r>
            <w:r>
              <w:rPr>
                <w:rFonts w:eastAsia="MS Mincho"/>
              </w:rPr>
              <w:t>)</w:t>
            </w:r>
          </w:p>
        </w:tc>
        <w:tc>
          <w:tcPr>
            <w:tcW w:w="769" w:type="pct"/>
            <w:vAlign w:val="center"/>
          </w:tcPr>
          <w:p w:rsidR="0045662A" w:rsidRDefault="0045662A" w:rsidP="00125A1C">
            <w:pPr>
              <w:pStyle w:val="Tablewriting"/>
              <w:jc w:val="center"/>
            </w:pPr>
            <w:r>
              <w:t>-0.0</w:t>
            </w:r>
            <w:r w:rsidR="003D7258">
              <w:t>1</w:t>
            </w:r>
            <w:r>
              <w:t xml:space="preserve"> </w:t>
            </w:r>
          </w:p>
          <w:p w:rsidR="00B07C6E" w:rsidRPr="00286D49" w:rsidRDefault="0045662A" w:rsidP="00125A1C">
            <w:pPr>
              <w:pStyle w:val="Tablewriting"/>
              <w:jc w:val="center"/>
              <w:rPr>
                <w:rFonts w:eastAsia="MS Mincho"/>
              </w:rPr>
            </w:pPr>
            <w:r>
              <w:t>(-0.0</w:t>
            </w:r>
            <w:r w:rsidR="003D7258">
              <w:t>5</w:t>
            </w:r>
            <w:r>
              <w:t>, 0.03)</w:t>
            </w:r>
          </w:p>
        </w:tc>
      </w:tr>
    </w:tbl>
    <w:p w:rsidR="00B07C6E" w:rsidRPr="00E72520" w:rsidRDefault="00B07C6E" w:rsidP="003A11A4">
      <w:pPr>
        <w:pStyle w:val="TableFooter"/>
      </w:pPr>
      <w:r w:rsidRPr="00E72520">
        <w:t>Source: Lindson et al. (2019)</w:t>
      </w:r>
      <w:r>
        <w:t>, Ellerbeck et al. (2018)</w:t>
      </w:r>
    </w:p>
    <w:p w:rsidR="00B07C6E" w:rsidRPr="00E72520" w:rsidRDefault="00B07C6E" w:rsidP="003A11A4">
      <w:pPr>
        <w:pStyle w:val="TableFooter"/>
      </w:pPr>
      <w:r w:rsidRPr="00E72520">
        <w:t xml:space="preserve">Abbreviations: CI = confidence interval; NE = not estimable; </w:t>
      </w:r>
      <w:r>
        <w:t xml:space="preserve">NR = not reported; </w:t>
      </w:r>
      <w:r w:rsidRPr="00E72520">
        <w:t>RCT = randomised controlled trial; RD = risk difference; RR = risk ratio</w:t>
      </w:r>
      <w:r>
        <w:t>; SAEs = serious adverse events.</w:t>
      </w:r>
    </w:p>
    <w:p w:rsidR="00B07C6E" w:rsidRPr="00BA4093" w:rsidRDefault="00B07C6E" w:rsidP="003A11A4">
      <w:pPr>
        <w:pStyle w:val="TableFooter"/>
      </w:pPr>
      <w:r w:rsidRPr="006F1FEC">
        <w:t xml:space="preserve">Notes: See Appendix </w:t>
      </w:r>
      <w:r w:rsidR="003C4A1C">
        <w:t xml:space="preserve">Figure </w:t>
      </w:r>
      <w:r w:rsidR="003C4A1C">
        <w:rPr>
          <w:noProof/>
        </w:rPr>
        <w:t>94</w:t>
      </w:r>
      <w:r>
        <w:t xml:space="preserve"> </w:t>
      </w:r>
      <w:r w:rsidRPr="006F1FEC">
        <w:t>for forest plots of the respective outcomes which included the</w:t>
      </w:r>
      <w:r>
        <w:t xml:space="preserve"> </w:t>
      </w:r>
      <w:r w:rsidRPr="006F1FEC">
        <w:t>results of individual studies.</w:t>
      </w:r>
    </w:p>
    <w:p w:rsidR="00B07C6E" w:rsidRDefault="00B07C6E" w:rsidP="003A11A4">
      <w:pPr>
        <w:pStyle w:val="TableFooter"/>
      </w:pPr>
      <w:r>
        <w:t>1</w:t>
      </w:r>
      <w:r w:rsidRPr="00D13293">
        <w:t xml:space="preserve"> Calculated </w:t>
      </w:r>
      <w:r>
        <w:t xml:space="preserve">by Cochrane Review authors </w:t>
      </w:r>
      <w:r w:rsidRPr="00D13293">
        <w:t>using a fixed-effect model.</w:t>
      </w:r>
    </w:p>
    <w:p w:rsidR="00B07C6E" w:rsidRPr="00B07C6E" w:rsidRDefault="00573745" w:rsidP="003A11A4">
      <w:pPr>
        <w:pStyle w:val="TableFooter"/>
      </w:pPr>
      <w:r>
        <w:t>2</w:t>
      </w:r>
      <w:r w:rsidR="00B07C6E">
        <w:t xml:space="preserve"> Calculated during the review</w:t>
      </w:r>
      <w:r w:rsidR="00ED0CBA">
        <w:t>.</w:t>
      </w:r>
      <w:r w:rsidR="00B07C6E">
        <w:t xml:space="preserve"> </w:t>
      </w:r>
    </w:p>
    <w:p w:rsidR="0029720E" w:rsidRPr="00932334" w:rsidRDefault="0029720E" w:rsidP="00D02475">
      <w:pPr>
        <w:pStyle w:val="Heading5"/>
        <w:numPr>
          <w:ilvl w:val="0"/>
          <w:numId w:val="0"/>
        </w:numPr>
        <w:rPr>
          <w:i w:val="0"/>
        </w:rPr>
      </w:pPr>
      <w:r>
        <w:t>Other variations in NRT use analysis</w:t>
      </w:r>
    </w:p>
    <w:p w:rsidR="003A11A4" w:rsidRPr="003A11A4" w:rsidRDefault="003A11A4" w:rsidP="003A11A4">
      <w:pPr>
        <w:rPr>
          <w:u w:val="single"/>
        </w:rPr>
      </w:pPr>
      <w:r w:rsidRPr="003A11A4">
        <w:rPr>
          <w:u w:val="single"/>
        </w:rPr>
        <w:t>Efficacy</w:t>
      </w:r>
    </w:p>
    <w:p w:rsidR="00E5127C" w:rsidRPr="00E5127C" w:rsidRDefault="0029720E" w:rsidP="00E5127C">
      <w:r w:rsidRPr="00745CD8">
        <w:t>A summary of smoking cessation rates f</w:t>
      </w:r>
      <w:r w:rsidR="00C623F4">
        <w:t>or</w:t>
      </w:r>
      <w:r w:rsidRPr="00745CD8">
        <w:t xml:space="preserve"> at least six months follow-up for </w:t>
      </w:r>
      <w:r>
        <w:t>other variations in NRT use</w:t>
      </w:r>
      <w:r w:rsidR="009077F6">
        <w:t xml:space="preserve"> (</w:t>
      </w:r>
      <w:r w:rsidRPr="00745CD8">
        <w:t xml:space="preserve">24-hour versus 16-hour </w:t>
      </w:r>
      <w:r w:rsidR="00573F59">
        <w:t>patches</w:t>
      </w:r>
      <w:r>
        <w:t>, c</w:t>
      </w:r>
      <w:r w:rsidRPr="00745CD8">
        <w:t xml:space="preserve">ontinue versus stop patch use on </w:t>
      </w:r>
      <w:r w:rsidR="008623AC">
        <w:t>re</w:t>
      </w:r>
      <w:r w:rsidRPr="00745CD8">
        <w:t>lapse</w:t>
      </w:r>
      <w:r>
        <w:t xml:space="preserve">, and 22 weeks of combination of </w:t>
      </w:r>
      <w:r w:rsidRPr="00745CD8">
        <w:t xml:space="preserve">35 mg </w:t>
      </w:r>
      <w:r w:rsidR="00573F59">
        <w:t>patches</w:t>
      </w:r>
      <w:r>
        <w:t xml:space="preserve"> and </w:t>
      </w:r>
      <w:r w:rsidRPr="00745CD8">
        <w:t xml:space="preserve">fast-acting versus </w:t>
      </w:r>
      <w:r>
        <w:t xml:space="preserve">10 weeks of </w:t>
      </w:r>
      <w:r w:rsidRPr="00745CD8">
        <w:t>21 mg</w:t>
      </w:r>
      <w:r w:rsidR="009077F6">
        <w:t>)</w:t>
      </w:r>
      <w:r>
        <w:t xml:space="preserve"> </w:t>
      </w:r>
      <w:r w:rsidRPr="00745CD8">
        <w:t>is presented in</w:t>
      </w:r>
      <w:r w:rsidR="00E5127C">
        <w:rPr>
          <w:b/>
          <w:bCs/>
        </w:rPr>
        <w:t xml:space="preserve"> </w:t>
      </w:r>
      <w:r w:rsidR="003C4A1C">
        <w:t xml:space="preserve">Table </w:t>
      </w:r>
      <w:r w:rsidR="003C4A1C">
        <w:rPr>
          <w:noProof/>
        </w:rPr>
        <w:t>93</w:t>
      </w:r>
      <w:r w:rsidR="00E412D3">
        <w:t>.</w:t>
      </w:r>
      <w:r w:rsidR="00CD4C05">
        <w:t xml:space="preserve"> Overall, there were</w:t>
      </w:r>
      <w:r w:rsidRPr="00CD4C05">
        <w:t xml:space="preserve"> no statistical</w:t>
      </w:r>
      <w:r w:rsidR="00CD4C05">
        <w:t>ly significant</w:t>
      </w:r>
      <w:r w:rsidRPr="00CD4C05">
        <w:t xml:space="preserve"> difference</w:t>
      </w:r>
      <w:r w:rsidR="00CD4C05">
        <w:t>s</w:t>
      </w:r>
      <w:r w:rsidR="00BE7B65">
        <w:t xml:space="preserve"> in smoking cessation rates</w:t>
      </w:r>
      <w:r w:rsidRPr="00CD4C05">
        <w:t xml:space="preserve"> </w:t>
      </w:r>
      <w:r w:rsidR="009A04EE">
        <w:t xml:space="preserve">in all </w:t>
      </w:r>
      <w:r w:rsidRPr="00CD4C05">
        <w:t>comparisons</w:t>
      </w:r>
      <w:r w:rsidR="009A04EE">
        <w:t xml:space="preserve"> examining othe</w:t>
      </w:r>
      <w:r w:rsidRPr="00CD4C05">
        <w:t>r variations in NRT use.</w:t>
      </w:r>
      <w:r w:rsidR="00E5127C" w:rsidRPr="00E5127C">
        <w:rPr>
          <w:b/>
          <w:bCs/>
        </w:rPr>
        <w:t xml:space="preserve"> </w:t>
      </w:r>
    </w:p>
    <w:p w:rsidR="00E5127C" w:rsidRDefault="00E5127C" w:rsidP="00E5127C">
      <w:pPr>
        <w:pStyle w:val="Caption"/>
        <w:keepNext/>
      </w:pPr>
      <w:bookmarkStart w:id="196" w:name="_Ref62116581"/>
      <w:r>
        <w:t xml:space="preserve">Table </w:t>
      </w:r>
      <w:r w:rsidR="003C4A1C">
        <w:rPr>
          <w:noProof/>
        </w:rPr>
        <w:t>93</w:t>
      </w:r>
      <w:bookmarkEnd w:id="196"/>
      <w:r>
        <w:t xml:space="preserve">: </w:t>
      </w:r>
      <w:r w:rsidRPr="00521A5A">
        <w:t>Results of smoking cessation f</w:t>
      </w:r>
      <w:r w:rsidR="00C623F4">
        <w:t>or</w:t>
      </w:r>
      <w:r w:rsidRPr="00521A5A">
        <w:t xml:space="preserve"> at least six months follow-up in Lindson et al. 2019, other variations in NRT use</w:t>
      </w:r>
    </w:p>
    <w:tbl>
      <w:tblPr>
        <w:tblStyle w:val="TableGrid"/>
        <w:tblW w:w="5000" w:type="pct"/>
        <w:tblLook w:val="04A0" w:firstRow="1" w:lastRow="0" w:firstColumn="1" w:lastColumn="0" w:noHBand="0" w:noVBand="1"/>
        <w:tblCaption w:val="Efficacy results of adalimumab trials (PASI 75 and DLQI)"/>
      </w:tblPr>
      <w:tblGrid>
        <w:gridCol w:w="1414"/>
        <w:gridCol w:w="1700"/>
        <w:gridCol w:w="2126"/>
        <w:gridCol w:w="1843"/>
        <w:gridCol w:w="1933"/>
      </w:tblGrid>
      <w:tr w:rsidR="00E5127C" w:rsidRPr="00061F78" w:rsidTr="00E5127C">
        <w:trPr>
          <w:cantSplit/>
          <w:trHeight w:val="299"/>
          <w:tblHeader/>
        </w:trPr>
        <w:tc>
          <w:tcPr>
            <w:tcW w:w="784" w:type="pct"/>
            <w:shd w:val="clear" w:color="auto" w:fill="BFBFBF" w:themeFill="background1" w:themeFillShade="BF"/>
            <w:tcMar>
              <w:left w:w="28" w:type="dxa"/>
              <w:right w:w="28" w:type="dxa"/>
            </w:tcMar>
          </w:tcPr>
          <w:p w:rsidR="00E5127C" w:rsidRPr="00061F78" w:rsidRDefault="00E5127C" w:rsidP="003C4F2E">
            <w:pPr>
              <w:pStyle w:val="Tableheading"/>
              <w:keepNext/>
              <w:rPr>
                <w:rFonts w:eastAsia="MS Mincho"/>
              </w:rPr>
            </w:pPr>
            <w:r>
              <w:rPr>
                <w:rFonts w:eastAsia="MS Mincho"/>
              </w:rPr>
              <w:t>Study</w:t>
            </w:r>
          </w:p>
        </w:tc>
        <w:tc>
          <w:tcPr>
            <w:tcW w:w="943" w:type="pct"/>
            <w:shd w:val="clear" w:color="auto" w:fill="BFBFBF" w:themeFill="background1" w:themeFillShade="BF"/>
            <w:vAlign w:val="center"/>
          </w:tcPr>
          <w:p w:rsidR="00E5127C" w:rsidRDefault="00E5127C" w:rsidP="003C4F2E">
            <w:pPr>
              <w:pStyle w:val="Tableheading"/>
              <w:keepNext/>
              <w:jc w:val="center"/>
              <w:rPr>
                <w:rFonts w:eastAsia="MS Mincho"/>
              </w:rPr>
            </w:pPr>
            <w:r>
              <w:rPr>
                <w:rFonts w:eastAsia="MS Mincho"/>
              </w:rPr>
              <w:t>Study type</w:t>
            </w:r>
          </w:p>
        </w:tc>
        <w:tc>
          <w:tcPr>
            <w:tcW w:w="1179" w:type="pct"/>
            <w:shd w:val="clear" w:color="auto" w:fill="BFBFBF" w:themeFill="background1" w:themeFillShade="BF"/>
            <w:tcMar>
              <w:left w:w="28" w:type="dxa"/>
              <w:right w:w="28" w:type="dxa"/>
            </w:tcMar>
            <w:vAlign w:val="center"/>
          </w:tcPr>
          <w:p w:rsidR="00E5127C" w:rsidRPr="00061F78" w:rsidRDefault="00E5127C" w:rsidP="003C4F2E">
            <w:pPr>
              <w:pStyle w:val="Tableheading"/>
              <w:keepNext/>
              <w:jc w:val="center"/>
              <w:rPr>
                <w:rFonts w:eastAsia="MS Mincho"/>
              </w:rPr>
            </w:pPr>
            <w:r>
              <w:rPr>
                <w:rFonts w:eastAsia="MS Mincho"/>
              </w:rPr>
              <w:t>Experimental</w:t>
            </w:r>
          </w:p>
        </w:tc>
        <w:tc>
          <w:tcPr>
            <w:tcW w:w="1022" w:type="pct"/>
            <w:shd w:val="clear" w:color="auto" w:fill="BFBFBF" w:themeFill="background1" w:themeFillShade="BF"/>
            <w:tcMar>
              <w:left w:w="28" w:type="dxa"/>
              <w:right w:w="28" w:type="dxa"/>
            </w:tcMar>
            <w:vAlign w:val="center"/>
          </w:tcPr>
          <w:p w:rsidR="00E5127C" w:rsidRPr="00061F78" w:rsidRDefault="00E5127C" w:rsidP="003C4F2E">
            <w:pPr>
              <w:pStyle w:val="Tableheading"/>
              <w:keepNext/>
              <w:jc w:val="center"/>
              <w:rPr>
                <w:rFonts w:eastAsia="MS Mincho"/>
              </w:rPr>
            </w:pPr>
            <w:r>
              <w:rPr>
                <w:rFonts w:eastAsia="MS Mincho"/>
              </w:rPr>
              <w:t>Control</w:t>
            </w:r>
          </w:p>
        </w:tc>
        <w:tc>
          <w:tcPr>
            <w:tcW w:w="1072" w:type="pct"/>
            <w:shd w:val="clear" w:color="auto" w:fill="BFBFBF" w:themeFill="background1" w:themeFillShade="BF"/>
            <w:tcMar>
              <w:left w:w="28" w:type="dxa"/>
              <w:right w:w="28" w:type="dxa"/>
            </w:tcMar>
            <w:vAlign w:val="center"/>
          </w:tcPr>
          <w:p w:rsidR="00E5127C" w:rsidRPr="00E5127C" w:rsidRDefault="00E5127C" w:rsidP="003C4F2E">
            <w:pPr>
              <w:pStyle w:val="Tableheading"/>
              <w:keepNext/>
              <w:jc w:val="center"/>
              <w:rPr>
                <w:rFonts w:eastAsia="MS Mincho"/>
                <w:vertAlign w:val="superscript"/>
              </w:rPr>
            </w:pPr>
            <w:r>
              <w:rPr>
                <w:rFonts w:eastAsia="MS Mincho"/>
              </w:rPr>
              <w:t>RR (95% CI)</w:t>
            </w:r>
            <w:r>
              <w:rPr>
                <w:rFonts w:eastAsia="MS Mincho"/>
                <w:vertAlign w:val="superscript"/>
              </w:rPr>
              <w:t>1</w:t>
            </w:r>
          </w:p>
        </w:tc>
      </w:tr>
      <w:tr w:rsidR="00E5127C" w:rsidRPr="00061F78" w:rsidTr="003C4F2E">
        <w:trPr>
          <w:cantSplit/>
          <w:trHeight w:val="99"/>
        </w:trPr>
        <w:tc>
          <w:tcPr>
            <w:tcW w:w="5000" w:type="pct"/>
            <w:gridSpan w:val="5"/>
            <w:shd w:val="clear" w:color="auto" w:fill="auto"/>
            <w:tcMar>
              <w:left w:w="28" w:type="dxa"/>
              <w:right w:w="28" w:type="dxa"/>
            </w:tcMar>
          </w:tcPr>
          <w:p w:rsidR="00E5127C" w:rsidRPr="00E5127C" w:rsidRDefault="00E5127C" w:rsidP="003C4F2E">
            <w:pPr>
              <w:pStyle w:val="Tablewriting"/>
              <w:keepNext/>
              <w:rPr>
                <w:rFonts w:eastAsia="MS Mincho"/>
                <w:b/>
                <w:bCs/>
                <w:highlight w:val="yellow"/>
              </w:rPr>
            </w:pPr>
            <w:r w:rsidRPr="00E5127C">
              <w:rPr>
                <w:rFonts w:eastAsia="MS Mincho"/>
                <w:b/>
                <w:bCs/>
              </w:rPr>
              <w:t>24-hour versus 16-hour patch</w:t>
            </w:r>
          </w:p>
        </w:tc>
      </w:tr>
      <w:tr w:rsidR="00E5127C" w:rsidRPr="00061F78" w:rsidTr="00E5127C">
        <w:trPr>
          <w:cantSplit/>
          <w:trHeight w:val="99"/>
        </w:trPr>
        <w:tc>
          <w:tcPr>
            <w:tcW w:w="784" w:type="pct"/>
            <w:shd w:val="clear" w:color="auto" w:fill="auto"/>
            <w:tcMar>
              <w:left w:w="28" w:type="dxa"/>
              <w:right w:w="28" w:type="dxa"/>
            </w:tcMar>
            <w:vAlign w:val="center"/>
          </w:tcPr>
          <w:p w:rsidR="00E5127C" w:rsidRDefault="00E5127C" w:rsidP="00E5127C">
            <w:pPr>
              <w:pStyle w:val="Tablewriting"/>
              <w:keepNext/>
              <w:rPr>
                <w:rFonts w:eastAsia="MS Mincho"/>
              </w:rPr>
            </w:pPr>
            <w:r>
              <w:rPr>
                <w:rFonts w:eastAsia="MS Mincho"/>
              </w:rPr>
              <w:t xml:space="preserve">Lindson </w:t>
            </w:r>
          </w:p>
          <w:p w:rsidR="00E5127C" w:rsidRPr="005D18BC" w:rsidRDefault="00E5127C" w:rsidP="00E5127C">
            <w:pPr>
              <w:pStyle w:val="Tablewriting"/>
              <w:keepNext/>
              <w:rPr>
                <w:rFonts w:eastAsia="MS Mincho"/>
                <w:highlight w:val="yellow"/>
              </w:rPr>
            </w:pPr>
            <w:r>
              <w:rPr>
                <w:rFonts w:eastAsia="MS Mincho"/>
              </w:rPr>
              <w:t>(2019)</w:t>
            </w:r>
          </w:p>
        </w:tc>
        <w:tc>
          <w:tcPr>
            <w:tcW w:w="943" w:type="pct"/>
            <w:shd w:val="clear" w:color="auto" w:fill="auto"/>
            <w:vAlign w:val="center"/>
          </w:tcPr>
          <w:p w:rsidR="00E5127C" w:rsidRPr="009526CC" w:rsidRDefault="00E5127C" w:rsidP="00E5127C">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79" w:type="pct"/>
            <w:shd w:val="clear" w:color="auto" w:fill="auto"/>
            <w:tcMar>
              <w:left w:w="28" w:type="dxa"/>
              <w:right w:w="28" w:type="dxa"/>
            </w:tcMar>
            <w:vAlign w:val="center"/>
          </w:tcPr>
          <w:p w:rsidR="00E5127C" w:rsidRPr="00A666FA" w:rsidRDefault="00E5127C" w:rsidP="00E5127C">
            <w:pPr>
              <w:pStyle w:val="Tablewriting"/>
              <w:keepNext/>
              <w:jc w:val="center"/>
              <w:rPr>
                <w:rFonts w:eastAsia="MS Mincho"/>
              </w:rPr>
            </w:pPr>
            <w:r w:rsidRPr="00A666FA">
              <w:rPr>
                <w:rFonts w:eastAsia="MS Mincho"/>
              </w:rPr>
              <w:t>11/51</w:t>
            </w:r>
          </w:p>
          <w:p w:rsidR="00E5127C" w:rsidRPr="00A666FA" w:rsidRDefault="00E5127C" w:rsidP="00E5127C">
            <w:pPr>
              <w:pStyle w:val="Tablewriting"/>
              <w:keepNext/>
              <w:jc w:val="center"/>
              <w:rPr>
                <w:rFonts w:eastAsia="MS Mincho"/>
              </w:rPr>
            </w:pPr>
            <w:r w:rsidRPr="00A666FA">
              <w:rPr>
                <w:rFonts w:eastAsia="MS Mincho"/>
              </w:rPr>
              <w:t>(21.6%)</w:t>
            </w:r>
          </w:p>
        </w:tc>
        <w:tc>
          <w:tcPr>
            <w:tcW w:w="1022" w:type="pct"/>
            <w:shd w:val="clear" w:color="auto" w:fill="auto"/>
            <w:tcMar>
              <w:left w:w="28" w:type="dxa"/>
              <w:right w:w="28" w:type="dxa"/>
            </w:tcMar>
            <w:vAlign w:val="center"/>
          </w:tcPr>
          <w:p w:rsidR="00E5127C" w:rsidRPr="00A666FA" w:rsidRDefault="00E5127C" w:rsidP="00E5127C">
            <w:pPr>
              <w:pStyle w:val="Tablewriting"/>
              <w:keepNext/>
              <w:jc w:val="center"/>
              <w:rPr>
                <w:rFonts w:eastAsia="MS Mincho"/>
              </w:rPr>
            </w:pPr>
            <w:r w:rsidRPr="00A666FA">
              <w:rPr>
                <w:rFonts w:eastAsia="MS Mincho"/>
              </w:rPr>
              <w:t>17/55</w:t>
            </w:r>
          </w:p>
          <w:p w:rsidR="00E5127C" w:rsidRPr="00A666FA" w:rsidRDefault="00E5127C" w:rsidP="00E5127C">
            <w:pPr>
              <w:pStyle w:val="Tablewriting"/>
              <w:keepNext/>
              <w:jc w:val="center"/>
              <w:rPr>
                <w:rFonts w:eastAsia="MS Mincho"/>
              </w:rPr>
            </w:pPr>
            <w:r w:rsidRPr="00A666FA">
              <w:rPr>
                <w:rFonts w:eastAsia="MS Mincho"/>
              </w:rPr>
              <w:t>(30.9%)</w:t>
            </w:r>
          </w:p>
        </w:tc>
        <w:tc>
          <w:tcPr>
            <w:tcW w:w="1072" w:type="pct"/>
            <w:shd w:val="clear" w:color="auto" w:fill="auto"/>
            <w:tcMar>
              <w:left w:w="28" w:type="dxa"/>
              <w:right w:w="28" w:type="dxa"/>
            </w:tcMar>
            <w:vAlign w:val="center"/>
          </w:tcPr>
          <w:p w:rsidR="00E5127C" w:rsidRDefault="00E5127C" w:rsidP="00E5127C">
            <w:pPr>
              <w:pStyle w:val="Tablewriting"/>
              <w:keepNext/>
              <w:jc w:val="center"/>
              <w:rPr>
                <w:rFonts w:eastAsia="MS Mincho"/>
              </w:rPr>
            </w:pPr>
            <w:r>
              <w:rPr>
                <w:rFonts w:eastAsia="MS Mincho"/>
              </w:rPr>
              <w:t xml:space="preserve">0.7 </w:t>
            </w:r>
          </w:p>
          <w:p w:rsidR="00E5127C" w:rsidRPr="005D18BC" w:rsidRDefault="00E5127C" w:rsidP="00E5127C">
            <w:pPr>
              <w:pStyle w:val="Tablewriting"/>
              <w:keepNext/>
              <w:jc w:val="center"/>
              <w:rPr>
                <w:rFonts w:eastAsia="MS Mincho"/>
                <w:highlight w:val="yellow"/>
              </w:rPr>
            </w:pPr>
            <w:r>
              <w:rPr>
                <w:rFonts w:eastAsia="MS Mincho"/>
              </w:rPr>
              <w:t>(0.36, 1.34)</w:t>
            </w:r>
          </w:p>
        </w:tc>
      </w:tr>
      <w:tr w:rsidR="00E5127C" w:rsidRPr="00061F78" w:rsidTr="003C4F2E">
        <w:trPr>
          <w:cantSplit/>
          <w:trHeight w:val="99"/>
        </w:trPr>
        <w:tc>
          <w:tcPr>
            <w:tcW w:w="5000" w:type="pct"/>
            <w:gridSpan w:val="5"/>
            <w:shd w:val="clear" w:color="auto" w:fill="auto"/>
            <w:tcMar>
              <w:left w:w="28" w:type="dxa"/>
              <w:right w:w="28" w:type="dxa"/>
            </w:tcMar>
            <w:vAlign w:val="center"/>
          </w:tcPr>
          <w:p w:rsidR="00E5127C" w:rsidRPr="00E5127C" w:rsidRDefault="00E5127C" w:rsidP="003C4F2E">
            <w:pPr>
              <w:pStyle w:val="Tablewriting"/>
              <w:keepNext/>
              <w:rPr>
                <w:rFonts w:eastAsia="MS Mincho"/>
                <w:b/>
                <w:bCs/>
              </w:rPr>
            </w:pPr>
            <w:r w:rsidRPr="00E5127C">
              <w:rPr>
                <w:rFonts w:eastAsia="MS Mincho"/>
                <w:b/>
                <w:bCs/>
              </w:rPr>
              <w:t>Continue versus stop patch use on lapse</w:t>
            </w:r>
          </w:p>
        </w:tc>
      </w:tr>
      <w:tr w:rsidR="00E5127C" w:rsidRPr="00061F78" w:rsidTr="00E5127C">
        <w:trPr>
          <w:cantSplit/>
          <w:trHeight w:val="99"/>
        </w:trPr>
        <w:tc>
          <w:tcPr>
            <w:tcW w:w="784" w:type="pct"/>
            <w:shd w:val="clear" w:color="auto" w:fill="auto"/>
            <w:tcMar>
              <w:left w:w="28" w:type="dxa"/>
              <w:right w:w="28" w:type="dxa"/>
            </w:tcMar>
            <w:vAlign w:val="center"/>
          </w:tcPr>
          <w:p w:rsidR="00E5127C" w:rsidRDefault="00E5127C" w:rsidP="00E5127C">
            <w:pPr>
              <w:pStyle w:val="Tablewriting"/>
              <w:keepNext/>
              <w:rPr>
                <w:rFonts w:eastAsia="MS Mincho"/>
              </w:rPr>
            </w:pPr>
            <w:r>
              <w:rPr>
                <w:rFonts w:eastAsia="MS Mincho"/>
              </w:rPr>
              <w:t xml:space="preserve">Lindson </w:t>
            </w:r>
          </w:p>
          <w:p w:rsidR="00E5127C" w:rsidRPr="00A22F63" w:rsidRDefault="00E5127C" w:rsidP="00E5127C">
            <w:pPr>
              <w:pStyle w:val="Tablewriting"/>
              <w:keepNext/>
              <w:rPr>
                <w:rFonts w:eastAsia="MS Mincho"/>
              </w:rPr>
            </w:pPr>
            <w:r>
              <w:rPr>
                <w:rFonts w:eastAsia="MS Mincho"/>
              </w:rPr>
              <w:t>(2019)</w:t>
            </w:r>
          </w:p>
        </w:tc>
        <w:tc>
          <w:tcPr>
            <w:tcW w:w="943" w:type="pct"/>
            <w:shd w:val="clear" w:color="auto" w:fill="auto"/>
            <w:vAlign w:val="center"/>
          </w:tcPr>
          <w:p w:rsidR="00E5127C" w:rsidRPr="00A22F63" w:rsidRDefault="00E5127C" w:rsidP="00E5127C">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79" w:type="pct"/>
            <w:shd w:val="clear" w:color="auto" w:fill="auto"/>
            <w:tcMar>
              <w:left w:w="28" w:type="dxa"/>
              <w:right w:w="28" w:type="dxa"/>
            </w:tcMar>
            <w:vAlign w:val="center"/>
          </w:tcPr>
          <w:p w:rsidR="00E5127C" w:rsidRPr="00A666FA" w:rsidRDefault="00E5127C" w:rsidP="00E5127C">
            <w:pPr>
              <w:pStyle w:val="Tablewriting"/>
              <w:keepNext/>
              <w:jc w:val="center"/>
              <w:rPr>
                <w:rFonts w:eastAsia="MS Mincho"/>
              </w:rPr>
            </w:pPr>
            <w:r w:rsidRPr="00A666FA">
              <w:rPr>
                <w:rFonts w:eastAsia="MS Mincho"/>
              </w:rPr>
              <w:t>174/356</w:t>
            </w:r>
          </w:p>
          <w:p w:rsidR="00E5127C" w:rsidRPr="00A666FA" w:rsidRDefault="00E5127C" w:rsidP="00E5127C">
            <w:pPr>
              <w:pStyle w:val="Tablewriting"/>
              <w:keepNext/>
              <w:jc w:val="center"/>
              <w:rPr>
                <w:rFonts w:eastAsia="MS Mincho"/>
              </w:rPr>
            </w:pPr>
            <w:r w:rsidRPr="00A666FA">
              <w:rPr>
                <w:rFonts w:eastAsia="MS Mincho"/>
              </w:rPr>
              <w:t>(48.9%)</w:t>
            </w:r>
          </w:p>
        </w:tc>
        <w:tc>
          <w:tcPr>
            <w:tcW w:w="1022" w:type="pct"/>
            <w:shd w:val="clear" w:color="auto" w:fill="auto"/>
            <w:tcMar>
              <w:left w:w="28" w:type="dxa"/>
              <w:right w:w="28" w:type="dxa"/>
            </w:tcMar>
            <w:vAlign w:val="center"/>
          </w:tcPr>
          <w:p w:rsidR="00E5127C" w:rsidRPr="00A666FA" w:rsidRDefault="00E5127C" w:rsidP="00E5127C">
            <w:pPr>
              <w:pStyle w:val="Tablewriting"/>
              <w:keepNext/>
              <w:jc w:val="center"/>
              <w:rPr>
                <w:rFonts w:eastAsia="MS Mincho"/>
              </w:rPr>
            </w:pPr>
            <w:r w:rsidRPr="00A666FA">
              <w:rPr>
                <w:rFonts w:eastAsia="MS Mincho"/>
              </w:rPr>
              <w:t>190/345</w:t>
            </w:r>
          </w:p>
          <w:p w:rsidR="00E5127C" w:rsidRPr="00A666FA" w:rsidRDefault="00E5127C" w:rsidP="00E5127C">
            <w:pPr>
              <w:pStyle w:val="Tablewriting"/>
              <w:keepNext/>
              <w:jc w:val="center"/>
              <w:rPr>
                <w:rFonts w:eastAsia="MS Mincho"/>
              </w:rPr>
            </w:pPr>
            <w:r w:rsidRPr="00A666FA">
              <w:rPr>
                <w:rFonts w:eastAsia="MS Mincho"/>
              </w:rPr>
              <w:t>(55%)</w:t>
            </w:r>
          </w:p>
        </w:tc>
        <w:tc>
          <w:tcPr>
            <w:tcW w:w="1072" w:type="pct"/>
            <w:shd w:val="clear" w:color="auto" w:fill="auto"/>
            <w:tcMar>
              <w:left w:w="28" w:type="dxa"/>
              <w:right w:w="28" w:type="dxa"/>
            </w:tcMar>
            <w:vAlign w:val="center"/>
          </w:tcPr>
          <w:p w:rsidR="00E5127C" w:rsidRDefault="00E5127C" w:rsidP="00E5127C">
            <w:pPr>
              <w:pStyle w:val="Tablewriting"/>
              <w:keepNext/>
              <w:jc w:val="center"/>
              <w:rPr>
                <w:rFonts w:eastAsia="MS Mincho"/>
              </w:rPr>
            </w:pPr>
            <w:r>
              <w:rPr>
                <w:rFonts w:eastAsia="MS Mincho"/>
              </w:rPr>
              <w:t xml:space="preserve">0.89 </w:t>
            </w:r>
          </w:p>
          <w:p w:rsidR="00E5127C" w:rsidRPr="005D18BC" w:rsidRDefault="00E5127C" w:rsidP="00E5127C">
            <w:pPr>
              <w:pStyle w:val="Tablewriting"/>
              <w:keepNext/>
              <w:jc w:val="center"/>
              <w:rPr>
                <w:rFonts w:eastAsia="MS Mincho"/>
                <w:highlight w:val="yellow"/>
              </w:rPr>
            </w:pPr>
            <w:r>
              <w:rPr>
                <w:rFonts w:eastAsia="MS Mincho"/>
              </w:rPr>
              <w:t>(0.77, 1.02)</w:t>
            </w:r>
          </w:p>
        </w:tc>
      </w:tr>
      <w:tr w:rsidR="00E5127C" w:rsidRPr="00061F78" w:rsidTr="003C4F2E">
        <w:trPr>
          <w:cantSplit/>
          <w:trHeight w:val="99"/>
        </w:trPr>
        <w:tc>
          <w:tcPr>
            <w:tcW w:w="5000" w:type="pct"/>
            <w:gridSpan w:val="5"/>
            <w:shd w:val="clear" w:color="auto" w:fill="auto"/>
            <w:tcMar>
              <w:left w:w="28" w:type="dxa"/>
              <w:right w:w="28" w:type="dxa"/>
            </w:tcMar>
            <w:vAlign w:val="center"/>
          </w:tcPr>
          <w:p w:rsidR="00E5127C" w:rsidRPr="00E5127C" w:rsidRDefault="00E5127C" w:rsidP="003C4F2E">
            <w:pPr>
              <w:pStyle w:val="Tablewriting"/>
              <w:keepNext/>
              <w:rPr>
                <w:rFonts w:eastAsia="MS Mincho"/>
                <w:b/>
                <w:bCs/>
              </w:rPr>
            </w:pPr>
            <w:r w:rsidRPr="00E5127C">
              <w:rPr>
                <w:rFonts w:eastAsia="MS Mincho"/>
                <w:b/>
                <w:bCs/>
              </w:rPr>
              <w:t>35 mg patch + fast-acting for 22 weeks versus 21 mg patch for 10 weeks</w:t>
            </w:r>
          </w:p>
        </w:tc>
      </w:tr>
      <w:tr w:rsidR="00E5127C" w:rsidRPr="00061F78" w:rsidTr="00E5127C">
        <w:trPr>
          <w:cantSplit/>
          <w:trHeight w:val="99"/>
        </w:trPr>
        <w:tc>
          <w:tcPr>
            <w:tcW w:w="784" w:type="pct"/>
            <w:shd w:val="clear" w:color="auto" w:fill="auto"/>
            <w:tcMar>
              <w:left w:w="28" w:type="dxa"/>
              <w:right w:w="28" w:type="dxa"/>
            </w:tcMar>
            <w:vAlign w:val="center"/>
          </w:tcPr>
          <w:p w:rsidR="00E5127C" w:rsidRDefault="00E5127C" w:rsidP="00E5127C">
            <w:pPr>
              <w:pStyle w:val="Tablewriting"/>
              <w:keepNext/>
              <w:rPr>
                <w:rFonts w:eastAsia="MS Mincho"/>
              </w:rPr>
            </w:pPr>
            <w:r>
              <w:rPr>
                <w:rFonts w:eastAsia="MS Mincho"/>
              </w:rPr>
              <w:t xml:space="preserve">Lindson </w:t>
            </w:r>
          </w:p>
          <w:p w:rsidR="00E5127C" w:rsidRPr="009526CC" w:rsidRDefault="00E5127C" w:rsidP="00E5127C">
            <w:pPr>
              <w:pStyle w:val="Tablewriting"/>
              <w:keepNext/>
              <w:rPr>
                <w:rFonts w:eastAsia="MS Mincho"/>
              </w:rPr>
            </w:pPr>
            <w:r>
              <w:rPr>
                <w:rFonts w:eastAsia="MS Mincho"/>
              </w:rPr>
              <w:t>(2019)</w:t>
            </w:r>
          </w:p>
        </w:tc>
        <w:tc>
          <w:tcPr>
            <w:tcW w:w="943" w:type="pct"/>
            <w:shd w:val="clear" w:color="auto" w:fill="auto"/>
            <w:vAlign w:val="center"/>
          </w:tcPr>
          <w:p w:rsidR="00E5127C" w:rsidRDefault="00E5127C" w:rsidP="00E5127C">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79" w:type="pct"/>
            <w:shd w:val="clear" w:color="auto" w:fill="auto"/>
            <w:tcMar>
              <w:left w:w="28" w:type="dxa"/>
              <w:right w:w="28" w:type="dxa"/>
            </w:tcMar>
            <w:vAlign w:val="center"/>
          </w:tcPr>
          <w:p w:rsidR="00E5127C" w:rsidRPr="00A666FA" w:rsidRDefault="00E5127C" w:rsidP="00E5127C">
            <w:pPr>
              <w:pStyle w:val="Tablewriting"/>
              <w:keepNext/>
              <w:jc w:val="center"/>
              <w:rPr>
                <w:rFonts w:eastAsia="MS Mincho"/>
              </w:rPr>
            </w:pPr>
            <w:r w:rsidRPr="00A666FA">
              <w:rPr>
                <w:rFonts w:eastAsia="MS Mincho"/>
              </w:rPr>
              <w:t>29/244</w:t>
            </w:r>
          </w:p>
          <w:p w:rsidR="00E5127C" w:rsidRPr="00A666FA" w:rsidRDefault="00E5127C" w:rsidP="00E5127C">
            <w:pPr>
              <w:pStyle w:val="Tablewriting"/>
              <w:keepNext/>
              <w:jc w:val="center"/>
              <w:rPr>
                <w:rFonts w:eastAsia="MS Mincho"/>
              </w:rPr>
            </w:pPr>
            <w:r w:rsidRPr="00A666FA">
              <w:rPr>
                <w:rFonts w:eastAsia="MS Mincho"/>
              </w:rPr>
              <w:t>(11.9%)</w:t>
            </w:r>
          </w:p>
        </w:tc>
        <w:tc>
          <w:tcPr>
            <w:tcW w:w="1022" w:type="pct"/>
            <w:shd w:val="clear" w:color="auto" w:fill="auto"/>
            <w:tcMar>
              <w:left w:w="28" w:type="dxa"/>
              <w:right w:w="28" w:type="dxa"/>
            </w:tcMar>
            <w:vAlign w:val="center"/>
          </w:tcPr>
          <w:p w:rsidR="00E5127C" w:rsidRPr="00A666FA" w:rsidRDefault="00E5127C" w:rsidP="00E5127C">
            <w:pPr>
              <w:pStyle w:val="Tablewriting"/>
              <w:keepNext/>
              <w:jc w:val="center"/>
              <w:rPr>
                <w:rFonts w:eastAsia="MS Mincho"/>
              </w:rPr>
            </w:pPr>
            <w:r w:rsidRPr="00A666FA">
              <w:rPr>
                <w:rFonts w:eastAsia="MS Mincho"/>
              </w:rPr>
              <w:t>23/242</w:t>
            </w:r>
          </w:p>
          <w:p w:rsidR="00E5127C" w:rsidRPr="00A666FA" w:rsidRDefault="00E5127C" w:rsidP="00E5127C">
            <w:pPr>
              <w:pStyle w:val="Tablewriting"/>
              <w:keepNext/>
              <w:jc w:val="center"/>
              <w:rPr>
                <w:rFonts w:eastAsia="MS Mincho"/>
              </w:rPr>
            </w:pPr>
            <w:r w:rsidRPr="00A666FA">
              <w:rPr>
                <w:rFonts w:eastAsia="MS Mincho"/>
              </w:rPr>
              <w:t>(9.5%)</w:t>
            </w:r>
          </w:p>
        </w:tc>
        <w:tc>
          <w:tcPr>
            <w:tcW w:w="1072" w:type="pct"/>
            <w:shd w:val="clear" w:color="auto" w:fill="auto"/>
            <w:tcMar>
              <w:left w:w="28" w:type="dxa"/>
              <w:right w:w="28" w:type="dxa"/>
            </w:tcMar>
            <w:vAlign w:val="center"/>
          </w:tcPr>
          <w:p w:rsidR="00E5127C" w:rsidRDefault="00E5127C" w:rsidP="00E5127C">
            <w:pPr>
              <w:pStyle w:val="Tablewriting"/>
              <w:keepNext/>
              <w:jc w:val="center"/>
              <w:rPr>
                <w:rFonts w:eastAsia="MS Mincho"/>
              </w:rPr>
            </w:pPr>
            <w:r>
              <w:rPr>
                <w:rFonts w:eastAsia="MS Mincho"/>
              </w:rPr>
              <w:t xml:space="preserve">1.25 </w:t>
            </w:r>
          </w:p>
          <w:p w:rsidR="00E5127C" w:rsidRDefault="00E5127C" w:rsidP="00E5127C">
            <w:pPr>
              <w:pStyle w:val="Tablewriting"/>
              <w:keepNext/>
              <w:jc w:val="center"/>
              <w:rPr>
                <w:rFonts w:eastAsia="MS Mincho"/>
                <w:highlight w:val="yellow"/>
              </w:rPr>
            </w:pPr>
            <w:r>
              <w:rPr>
                <w:rFonts w:eastAsia="MS Mincho"/>
              </w:rPr>
              <w:t>(0.75, 2.1)</w:t>
            </w:r>
          </w:p>
        </w:tc>
      </w:tr>
    </w:tbl>
    <w:p w:rsidR="00E5127C" w:rsidRDefault="00E5127C" w:rsidP="00E5127C">
      <w:pPr>
        <w:pStyle w:val="TableFooter"/>
        <w:keepNext/>
      </w:pPr>
      <w:r>
        <w:t>Source: Lindson et al. (2019)</w:t>
      </w:r>
    </w:p>
    <w:p w:rsidR="00E5127C" w:rsidRPr="004A0AB5" w:rsidRDefault="00E5127C" w:rsidP="00E5127C">
      <w:pPr>
        <w:pStyle w:val="TableFooter"/>
        <w:keepNext/>
        <w:rPr>
          <w:i/>
        </w:rPr>
      </w:pPr>
      <w:r w:rsidRPr="004A0AB5">
        <w:t xml:space="preserve">Abbreviations: CI = confidence interval; RCT = randomised controlled trial; RR = risk ratio </w:t>
      </w:r>
    </w:p>
    <w:p w:rsidR="00E5127C" w:rsidRDefault="00E5127C" w:rsidP="00E5127C">
      <w:pPr>
        <w:pStyle w:val="TableFooter"/>
      </w:pPr>
      <w:r w:rsidRPr="0041240E">
        <w:t>Notes:</w:t>
      </w:r>
    </w:p>
    <w:p w:rsidR="00E5127C" w:rsidRDefault="00E5127C" w:rsidP="00E5127C">
      <w:pPr>
        <w:pStyle w:val="TableFooter"/>
      </w:pPr>
      <w:r>
        <w:t>1</w:t>
      </w:r>
      <w:r w:rsidRPr="0041240E">
        <w:t xml:space="preserve"> Calculated </w:t>
      </w:r>
      <w:r>
        <w:t>by Cochrane Review authors using a fixed-effect model</w:t>
      </w:r>
      <w:r w:rsidR="00ED0CBA">
        <w:t>.</w:t>
      </w:r>
    </w:p>
    <w:p w:rsidR="00E5127C" w:rsidRPr="00E5127C" w:rsidRDefault="00E5127C" w:rsidP="00E5127C">
      <w:r w:rsidRPr="00F136E9">
        <w:lastRenderedPageBreak/>
        <w:t xml:space="preserve">The results of the individual studies </w:t>
      </w:r>
      <w:r>
        <w:t xml:space="preserve">included in Lindson et al. (2019) </w:t>
      </w:r>
      <w:r w:rsidRPr="00745CD8">
        <w:t xml:space="preserve">for </w:t>
      </w:r>
      <w:r>
        <w:t>other variations in NRT use</w:t>
      </w:r>
      <w:r w:rsidRPr="00F136E9">
        <w:t xml:space="preserve"> are presented using a forest plot</w:t>
      </w:r>
      <w:r>
        <w:t xml:space="preserve"> in </w:t>
      </w:r>
      <w:r w:rsidR="003C4A1C">
        <w:t xml:space="preserve">Figure </w:t>
      </w:r>
      <w:r w:rsidR="003C4A1C">
        <w:rPr>
          <w:noProof/>
        </w:rPr>
        <w:t>29</w:t>
      </w:r>
      <w:r>
        <w:t>.</w:t>
      </w:r>
    </w:p>
    <w:p w:rsidR="0029720E" w:rsidRPr="00536FD6" w:rsidRDefault="0029720E" w:rsidP="00536FD6">
      <w:pPr>
        <w:pStyle w:val="Caption"/>
        <w:keepNext/>
      </w:pPr>
      <w:r>
        <w:t xml:space="preserve">   </w:t>
      </w:r>
      <w:r w:rsidRPr="0043380C">
        <w:t xml:space="preserve"> </w:t>
      </w:r>
    </w:p>
    <w:p w:rsidR="004258F6" w:rsidRDefault="0029720E" w:rsidP="004258F6">
      <w:pPr>
        <w:pStyle w:val="TableFooter"/>
        <w:keepNext/>
      </w:pPr>
      <w:r>
        <w:rPr>
          <w:noProof/>
        </w:rPr>
        <w:drawing>
          <wp:inline distT="0" distB="0" distL="0" distR="0" wp14:anchorId="1898439E" wp14:editId="24DC79E7">
            <wp:extent cx="5731510" cy="3512185"/>
            <wp:effectExtent l="0" t="0" r="0" b="5715"/>
            <wp:docPr id="76" name="Picture 7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pic:nvPicPr>
                  <pic:blipFill>
                    <a:blip r:embed="rId46">
                      <a:extLst>
                        <a:ext uri="{28A0092B-C50C-407E-A947-70E740481C1C}">
                          <a14:useLocalDpi xmlns:a14="http://schemas.microsoft.com/office/drawing/2010/main" val="0"/>
                        </a:ext>
                      </a:extLst>
                    </a:blip>
                    <a:stretch>
                      <a:fillRect/>
                    </a:stretch>
                  </pic:blipFill>
                  <pic:spPr>
                    <a:xfrm>
                      <a:off x="0" y="0"/>
                      <a:ext cx="5731510" cy="3512185"/>
                    </a:xfrm>
                    <a:prstGeom prst="rect">
                      <a:avLst/>
                    </a:prstGeom>
                  </pic:spPr>
                </pic:pic>
              </a:graphicData>
            </a:graphic>
          </wp:inline>
        </w:drawing>
      </w:r>
    </w:p>
    <w:p w:rsidR="0029720E" w:rsidRDefault="008D17AF" w:rsidP="004258F6">
      <w:pPr>
        <w:pStyle w:val="Caption"/>
      </w:pPr>
      <w:bookmarkStart w:id="197" w:name="_Ref61614204"/>
      <w:r>
        <w:t xml:space="preserve">Figure </w:t>
      </w:r>
      <w:r w:rsidR="003C4A1C">
        <w:rPr>
          <w:noProof/>
        </w:rPr>
        <w:t>29</w:t>
      </w:r>
      <w:bookmarkEnd w:id="197"/>
      <w:r>
        <w:t xml:space="preserve">: </w:t>
      </w:r>
      <w:r w:rsidRPr="00C638C0">
        <w:t>Results of smoking cessation f</w:t>
      </w:r>
      <w:r w:rsidR="00C623F4">
        <w:t>or</w:t>
      </w:r>
      <w:r w:rsidRPr="00C638C0">
        <w:t xml:space="preserve"> at least six months follow-up</w:t>
      </w:r>
      <w:r>
        <w:t xml:space="preserve"> in Lindson et al. 2019</w:t>
      </w:r>
      <w:r w:rsidRPr="00C638C0">
        <w:t>, other variations in NRT use</w:t>
      </w:r>
    </w:p>
    <w:p w:rsidR="004258F6" w:rsidRDefault="004258F6" w:rsidP="004258F6">
      <w:pPr>
        <w:pStyle w:val="TableFooter"/>
        <w:keepNext/>
      </w:pPr>
      <w:r>
        <w:t xml:space="preserve">Source: Lindson et al. (2019) </w:t>
      </w:r>
    </w:p>
    <w:p w:rsidR="004258F6" w:rsidRDefault="004258F6" w:rsidP="004258F6">
      <w:pPr>
        <w:pStyle w:val="TableFooter"/>
        <w:keepNext/>
      </w:pPr>
      <w:r>
        <w:t>Abbreviations: CI = confidence interval</w:t>
      </w:r>
    </w:p>
    <w:p w:rsidR="003A11A4" w:rsidRPr="003A11A4" w:rsidRDefault="003A11A4" w:rsidP="003A11A4">
      <w:pPr>
        <w:rPr>
          <w:u w:val="single"/>
        </w:rPr>
      </w:pPr>
      <w:r w:rsidRPr="003A11A4">
        <w:rPr>
          <w:u w:val="single"/>
        </w:rPr>
        <w:t>Safety</w:t>
      </w:r>
    </w:p>
    <w:p w:rsidR="00ED14FF" w:rsidRPr="002C29D6" w:rsidRDefault="00ED14FF" w:rsidP="00764226">
      <w:pPr>
        <w:jc w:val="both"/>
      </w:pPr>
      <w:r>
        <w:t xml:space="preserve">A summary of key adverse events </w:t>
      </w:r>
      <w:r w:rsidRPr="00DB266F">
        <w:t xml:space="preserve">included in Lindson et al. </w:t>
      </w:r>
      <w:r w:rsidR="008F0780">
        <w:t>(</w:t>
      </w:r>
      <w:r w:rsidRPr="00DB266F">
        <w:t>2019</w:t>
      </w:r>
      <w:r w:rsidR="008F0780">
        <w:t>)</w:t>
      </w:r>
      <w:r w:rsidRPr="00DB266F">
        <w:t xml:space="preserve"> related</w:t>
      </w:r>
      <w:r>
        <w:t xml:space="preserve"> to other variations in NRT use </w:t>
      </w:r>
      <w:r w:rsidRPr="00171A84">
        <w:t xml:space="preserve">is presented in </w:t>
      </w:r>
      <w:r w:rsidR="003C4A1C">
        <w:t xml:space="preserve">Table </w:t>
      </w:r>
      <w:r w:rsidR="003C4A1C">
        <w:rPr>
          <w:noProof/>
        </w:rPr>
        <w:t>94</w:t>
      </w:r>
      <w:r w:rsidR="00855AFC">
        <w:t xml:space="preserve">. </w:t>
      </w:r>
      <w:r w:rsidR="008F0780">
        <w:t>Overall, there were no statistically significant differences in serious adverse events, treatment withdrawals and cardiac events</w:t>
      </w:r>
      <w:r w:rsidR="00764226">
        <w:t xml:space="preserve"> in all comparisons examining other variations in NRT use</w:t>
      </w:r>
      <w:r>
        <w:t>.</w:t>
      </w:r>
    </w:p>
    <w:p w:rsidR="00855AFC" w:rsidRDefault="00855AFC" w:rsidP="00855AFC">
      <w:pPr>
        <w:pStyle w:val="Caption"/>
        <w:keepNext/>
      </w:pPr>
      <w:bookmarkStart w:id="198" w:name="_Ref59453517"/>
      <w:r>
        <w:t xml:space="preserve">Table </w:t>
      </w:r>
      <w:r w:rsidR="003C4A1C">
        <w:rPr>
          <w:noProof/>
        </w:rPr>
        <w:t>94</w:t>
      </w:r>
      <w:bookmarkEnd w:id="198"/>
      <w:r>
        <w:t xml:space="preserve">: </w:t>
      </w:r>
      <w:r w:rsidRPr="00446FE3">
        <w:t>Summary of key adverse events in Lindson et al. (2019), other variations in NRT use</w:t>
      </w:r>
    </w:p>
    <w:tbl>
      <w:tblPr>
        <w:tblStyle w:val="TableGrid"/>
        <w:tblW w:w="5000" w:type="pct"/>
        <w:tblLook w:val="04A0" w:firstRow="1" w:lastRow="0" w:firstColumn="1" w:lastColumn="0" w:noHBand="0" w:noVBand="1"/>
        <w:tblCaption w:val="Efficacy results of adalimumab trials (PASI 75 and DLQI)"/>
      </w:tblPr>
      <w:tblGrid>
        <w:gridCol w:w="3540"/>
        <w:gridCol w:w="1729"/>
        <w:gridCol w:w="1273"/>
        <w:gridCol w:w="1235"/>
        <w:gridCol w:w="1239"/>
      </w:tblGrid>
      <w:tr w:rsidR="00ED14FF" w:rsidRPr="00061F78" w:rsidTr="00AF4358">
        <w:trPr>
          <w:cantSplit/>
          <w:trHeight w:val="299"/>
          <w:tblHeader/>
        </w:trPr>
        <w:tc>
          <w:tcPr>
            <w:tcW w:w="1963" w:type="pct"/>
            <w:shd w:val="clear" w:color="auto" w:fill="BFBFBF" w:themeFill="background1" w:themeFillShade="BF"/>
            <w:tcMar>
              <w:left w:w="28" w:type="dxa"/>
              <w:right w:w="28" w:type="dxa"/>
            </w:tcMar>
            <w:vAlign w:val="center"/>
          </w:tcPr>
          <w:p w:rsidR="00ED14FF" w:rsidRDefault="00ED14FF" w:rsidP="00764226">
            <w:pPr>
              <w:pStyle w:val="Tableheading"/>
              <w:rPr>
                <w:rFonts w:eastAsia="MS Mincho"/>
              </w:rPr>
            </w:pPr>
            <w:r>
              <w:rPr>
                <w:rFonts w:eastAsia="MS Mincho"/>
              </w:rPr>
              <w:t>Outcome</w:t>
            </w:r>
          </w:p>
        </w:tc>
        <w:tc>
          <w:tcPr>
            <w:tcW w:w="959" w:type="pct"/>
            <w:shd w:val="clear" w:color="auto" w:fill="BFBFBF" w:themeFill="background1" w:themeFillShade="BF"/>
            <w:vAlign w:val="center"/>
          </w:tcPr>
          <w:p w:rsidR="00ED14FF" w:rsidRDefault="00711386" w:rsidP="00764226">
            <w:pPr>
              <w:pStyle w:val="Tableheading"/>
              <w:jc w:val="center"/>
              <w:rPr>
                <w:rFonts w:eastAsia="MS Mincho"/>
              </w:rPr>
            </w:pPr>
            <w:r>
              <w:rPr>
                <w:rFonts w:eastAsia="MS Mincho"/>
              </w:rPr>
              <w:t>Study type</w:t>
            </w:r>
          </w:p>
        </w:tc>
        <w:tc>
          <w:tcPr>
            <w:tcW w:w="706" w:type="pct"/>
            <w:shd w:val="clear" w:color="auto" w:fill="BFBFBF" w:themeFill="background1" w:themeFillShade="BF"/>
            <w:tcMar>
              <w:left w:w="28" w:type="dxa"/>
              <w:right w:w="28" w:type="dxa"/>
            </w:tcMar>
            <w:vAlign w:val="center"/>
          </w:tcPr>
          <w:p w:rsidR="00ED14FF" w:rsidRPr="00061F78" w:rsidRDefault="00ED14FF" w:rsidP="00764226">
            <w:pPr>
              <w:pStyle w:val="Tableheading"/>
              <w:jc w:val="center"/>
              <w:rPr>
                <w:rFonts w:eastAsia="MS Mincho"/>
              </w:rPr>
            </w:pPr>
            <w:r>
              <w:rPr>
                <w:rFonts w:eastAsia="MS Mincho"/>
              </w:rPr>
              <w:t>Experimental (former)</w:t>
            </w:r>
          </w:p>
        </w:tc>
        <w:tc>
          <w:tcPr>
            <w:tcW w:w="685" w:type="pct"/>
            <w:shd w:val="clear" w:color="auto" w:fill="BFBFBF" w:themeFill="background1" w:themeFillShade="BF"/>
            <w:tcMar>
              <w:left w:w="28" w:type="dxa"/>
              <w:right w:w="28" w:type="dxa"/>
            </w:tcMar>
            <w:vAlign w:val="center"/>
          </w:tcPr>
          <w:p w:rsidR="00ED14FF" w:rsidRPr="00061F78" w:rsidRDefault="00ED14FF" w:rsidP="00764226">
            <w:pPr>
              <w:pStyle w:val="Tableheading"/>
              <w:jc w:val="center"/>
              <w:rPr>
                <w:rFonts w:eastAsia="MS Mincho"/>
              </w:rPr>
            </w:pPr>
            <w:r>
              <w:rPr>
                <w:rFonts w:eastAsia="MS Mincho"/>
              </w:rPr>
              <w:t>Control (latter</w:t>
            </w:r>
            <w:r w:rsidR="00547D7A">
              <w:rPr>
                <w:rFonts w:eastAsia="MS Mincho"/>
              </w:rPr>
              <w:t>)</w:t>
            </w:r>
          </w:p>
        </w:tc>
        <w:tc>
          <w:tcPr>
            <w:tcW w:w="687" w:type="pct"/>
            <w:shd w:val="clear" w:color="auto" w:fill="BFBFBF" w:themeFill="background1" w:themeFillShade="BF"/>
            <w:tcMar>
              <w:left w:w="28" w:type="dxa"/>
              <w:right w:w="28" w:type="dxa"/>
            </w:tcMar>
            <w:vAlign w:val="center"/>
          </w:tcPr>
          <w:p w:rsidR="00ED14FF" w:rsidRPr="00681ACA" w:rsidRDefault="00ED14FF" w:rsidP="00764226">
            <w:pPr>
              <w:pStyle w:val="Tableheading"/>
              <w:jc w:val="center"/>
              <w:rPr>
                <w:rFonts w:eastAsia="MS Mincho"/>
                <w:vertAlign w:val="superscript"/>
              </w:rPr>
            </w:pPr>
            <w:r>
              <w:rPr>
                <w:rFonts w:eastAsia="MS Mincho"/>
              </w:rPr>
              <w:t>RR (95% CI)</w:t>
            </w:r>
            <w:r w:rsidR="001562F2">
              <w:rPr>
                <w:rFonts w:eastAsia="MS Mincho"/>
                <w:vertAlign w:val="superscript"/>
              </w:rPr>
              <w:t>1</w:t>
            </w:r>
          </w:p>
        </w:tc>
      </w:tr>
      <w:tr w:rsidR="00ED14FF" w:rsidRPr="00061F78" w:rsidTr="00711386">
        <w:trPr>
          <w:cantSplit/>
          <w:trHeight w:val="149"/>
        </w:trPr>
        <w:tc>
          <w:tcPr>
            <w:tcW w:w="5000" w:type="pct"/>
            <w:gridSpan w:val="5"/>
            <w:shd w:val="clear" w:color="auto" w:fill="BFBFBF" w:themeFill="background1" w:themeFillShade="BF"/>
            <w:tcMar>
              <w:left w:w="28" w:type="dxa"/>
              <w:right w:w="28" w:type="dxa"/>
            </w:tcMar>
          </w:tcPr>
          <w:p w:rsidR="00711386" w:rsidRPr="001B3B7C" w:rsidRDefault="00711386" w:rsidP="00764226">
            <w:pPr>
              <w:pStyle w:val="Tablewriting"/>
              <w:rPr>
                <w:rFonts w:eastAsia="MS Mincho"/>
              </w:rPr>
            </w:pPr>
            <w:r w:rsidRPr="001B3B7C">
              <w:rPr>
                <w:rFonts w:eastAsia="MS Mincho"/>
              </w:rPr>
              <w:t>Overall SAEs</w:t>
            </w:r>
          </w:p>
        </w:tc>
      </w:tr>
      <w:tr w:rsidR="00ED14FF" w:rsidRPr="00061F78" w:rsidTr="00AF4358">
        <w:trPr>
          <w:cantSplit/>
          <w:trHeight w:val="149"/>
        </w:trPr>
        <w:tc>
          <w:tcPr>
            <w:tcW w:w="1963" w:type="pct"/>
            <w:tcMar>
              <w:left w:w="28" w:type="dxa"/>
              <w:right w:w="28" w:type="dxa"/>
            </w:tcMar>
          </w:tcPr>
          <w:p w:rsidR="00ED14FF" w:rsidRPr="001B3B7C" w:rsidRDefault="00ED14FF" w:rsidP="00764226">
            <w:pPr>
              <w:pStyle w:val="Tablewriting"/>
              <w:rPr>
                <w:rFonts w:eastAsia="MS Mincho"/>
              </w:rPr>
            </w:pPr>
            <w:r w:rsidRPr="009E6B89">
              <w:rPr>
                <w:rFonts w:eastAsia="MS Mincho"/>
              </w:rPr>
              <w:t>Continue versus stop patch use</w:t>
            </w:r>
            <w:r>
              <w:rPr>
                <w:rFonts w:eastAsia="MS Mincho"/>
              </w:rPr>
              <w:t xml:space="preserve"> </w:t>
            </w:r>
            <w:r w:rsidRPr="009E6B89">
              <w:rPr>
                <w:rFonts w:eastAsia="MS Mincho"/>
              </w:rPr>
              <w:t>on lapse</w:t>
            </w:r>
          </w:p>
        </w:tc>
        <w:tc>
          <w:tcPr>
            <w:tcW w:w="959" w:type="pct"/>
            <w:vAlign w:val="center"/>
          </w:tcPr>
          <w:p w:rsidR="00711386" w:rsidRDefault="00711386" w:rsidP="00764226">
            <w:pPr>
              <w:pStyle w:val="Tablewriting"/>
              <w:jc w:val="center"/>
              <w:rPr>
                <w:rFonts w:eastAsia="MS Mincho"/>
              </w:rPr>
            </w:pPr>
            <w:r>
              <w:rPr>
                <w:rFonts w:eastAsia="MS Mincho"/>
              </w:rPr>
              <w:t>Cochrane Review</w:t>
            </w:r>
          </w:p>
          <w:p w:rsidR="00ED14FF" w:rsidRPr="00E72520" w:rsidRDefault="00711386" w:rsidP="00764226">
            <w:pPr>
              <w:pStyle w:val="Tablewriting"/>
              <w:jc w:val="center"/>
              <w:rPr>
                <w:rFonts w:eastAsia="MS Mincho"/>
              </w:rPr>
            </w:pPr>
            <w:r>
              <w:rPr>
                <w:rFonts w:eastAsia="MS Mincho"/>
              </w:rPr>
              <w:t>(1 RCT)</w:t>
            </w:r>
          </w:p>
        </w:tc>
        <w:tc>
          <w:tcPr>
            <w:tcW w:w="706" w:type="pct"/>
            <w:tcMar>
              <w:left w:w="28" w:type="dxa"/>
              <w:right w:w="28" w:type="dxa"/>
            </w:tcMar>
            <w:vAlign w:val="center"/>
          </w:tcPr>
          <w:p w:rsidR="00ED14FF" w:rsidRDefault="00ED14FF" w:rsidP="00764226">
            <w:pPr>
              <w:pStyle w:val="Tablewriting"/>
              <w:jc w:val="center"/>
              <w:rPr>
                <w:rFonts w:eastAsia="MS Mincho"/>
              </w:rPr>
            </w:pPr>
            <w:r>
              <w:rPr>
                <w:rFonts w:eastAsia="MS Mincho"/>
              </w:rPr>
              <w:t>4/356</w:t>
            </w:r>
          </w:p>
          <w:p w:rsidR="00ED14FF" w:rsidRPr="001B3B7C" w:rsidRDefault="00ED14FF" w:rsidP="00764226">
            <w:pPr>
              <w:pStyle w:val="Tablewriting"/>
              <w:jc w:val="center"/>
              <w:rPr>
                <w:rFonts w:eastAsia="MS Mincho"/>
              </w:rPr>
            </w:pPr>
            <w:r>
              <w:rPr>
                <w:rFonts w:eastAsia="MS Mincho"/>
              </w:rPr>
              <w:t>(1.1%)</w:t>
            </w:r>
          </w:p>
        </w:tc>
        <w:tc>
          <w:tcPr>
            <w:tcW w:w="685" w:type="pct"/>
            <w:tcMar>
              <w:left w:w="28" w:type="dxa"/>
              <w:right w:w="28" w:type="dxa"/>
            </w:tcMar>
            <w:vAlign w:val="center"/>
          </w:tcPr>
          <w:p w:rsidR="00ED14FF" w:rsidRDefault="00ED14FF" w:rsidP="00764226">
            <w:pPr>
              <w:pStyle w:val="Tablewriting"/>
              <w:jc w:val="center"/>
              <w:rPr>
                <w:rFonts w:eastAsia="MS Mincho"/>
              </w:rPr>
            </w:pPr>
            <w:r>
              <w:rPr>
                <w:rFonts w:eastAsia="MS Mincho"/>
              </w:rPr>
              <w:t>4/345</w:t>
            </w:r>
          </w:p>
          <w:p w:rsidR="00ED14FF" w:rsidRPr="001B3B7C" w:rsidRDefault="00ED14FF" w:rsidP="00764226">
            <w:pPr>
              <w:pStyle w:val="Tablewriting"/>
              <w:jc w:val="center"/>
              <w:rPr>
                <w:rFonts w:eastAsia="MS Mincho"/>
              </w:rPr>
            </w:pPr>
            <w:r>
              <w:rPr>
                <w:rFonts w:eastAsia="MS Mincho"/>
              </w:rPr>
              <w:t>(1.2%)</w:t>
            </w:r>
          </w:p>
        </w:tc>
        <w:tc>
          <w:tcPr>
            <w:tcW w:w="687" w:type="pct"/>
            <w:tcMar>
              <w:left w:w="28" w:type="dxa"/>
              <w:right w:w="28" w:type="dxa"/>
            </w:tcMar>
            <w:vAlign w:val="center"/>
          </w:tcPr>
          <w:p w:rsidR="00ED14FF" w:rsidRDefault="00ED14FF" w:rsidP="00764226">
            <w:pPr>
              <w:pStyle w:val="Tablewriting"/>
              <w:jc w:val="center"/>
              <w:rPr>
                <w:rFonts w:eastAsia="MS Mincho"/>
              </w:rPr>
            </w:pPr>
            <w:r>
              <w:rPr>
                <w:rFonts w:eastAsia="MS Mincho"/>
              </w:rPr>
              <w:t>0.97</w:t>
            </w:r>
          </w:p>
          <w:p w:rsidR="00ED14FF" w:rsidRPr="001B3B7C" w:rsidRDefault="00ED14FF" w:rsidP="00764226">
            <w:pPr>
              <w:pStyle w:val="Tablewriting"/>
              <w:jc w:val="center"/>
              <w:rPr>
                <w:rFonts w:eastAsia="MS Mincho"/>
              </w:rPr>
            </w:pPr>
            <w:r>
              <w:rPr>
                <w:rFonts w:eastAsia="MS Mincho"/>
              </w:rPr>
              <w:t>(0.24, 3.84)</w:t>
            </w:r>
          </w:p>
        </w:tc>
      </w:tr>
      <w:tr w:rsidR="00ED14FF" w:rsidRPr="00061F78" w:rsidTr="00AF4358">
        <w:trPr>
          <w:cantSplit/>
          <w:trHeight w:val="149"/>
        </w:trPr>
        <w:tc>
          <w:tcPr>
            <w:tcW w:w="1963" w:type="pct"/>
            <w:tcMar>
              <w:left w:w="28" w:type="dxa"/>
              <w:right w:w="28" w:type="dxa"/>
            </w:tcMar>
          </w:tcPr>
          <w:p w:rsidR="00ED14FF" w:rsidRPr="009E6B89" w:rsidRDefault="00ED14FF" w:rsidP="00764226">
            <w:pPr>
              <w:pStyle w:val="Tablewriting"/>
              <w:rPr>
                <w:rFonts w:eastAsia="MS Mincho"/>
              </w:rPr>
            </w:pPr>
            <w:r w:rsidRPr="009E6B89">
              <w:rPr>
                <w:rFonts w:eastAsia="MS Mincho"/>
              </w:rPr>
              <w:t>35 mg patch + fast-acting for 22</w:t>
            </w:r>
          </w:p>
          <w:p w:rsidR="00ED14FF" w:rsidRPr="001B3B7C" w:rsidRDefault="00ED14FF" w:rsidP="00764226">
            <w:pPr>
              <w:pStyle w:val="Tablewriting"/>
              <w:rPr>
                <w:rFonts w:eastAsia="MS Mincho"/>
              </w:rPr>
            </w:pPr>
            <w:r w:rsidRPr="009E6B89">
              <w:rPr>
                <w:rFonts w:eastAsia="MS Mincho"/>
              </w:rPr>
              <w:t>weeks versus 21 mg patch for 10</w:t>
            </w:r>
            <w:r>
              <w:rPr>
                <w:rFonts w:eastAsia="MS Mincho"/>
              </w:rPr>
              <w:t xml:space="preserve"> </w:t>
            </w:r>
            <w:r w:rsidRPr="009E6B89">
              <w:rPr>
                <w:rFonts w:eastAsia="MS Mincho"/>
              </w:rPr>
              <w:t>weeks</w:t>
            </w:r>
          </w:p>
        </w:tc>
        <w:tc>
          <w:tcPr>
            <w:tcW w:w="959" w:type="pct"/>
            <w:vAlign w:val="center"/>
          </w:tcPr>
          <w:p w:rsidR="00711386" w:rsidRDefault="00711386" w:rsidP="00764226">
            <w:pPr>
              <w:pStyle w:val="Tablewriting"/>
              <w:jc w:val="center"/>
              <w:rPr>
                <w:rFonts w:eastAsia="MS Mincho"/>
              </w:rPr>
            </w:pPr>
            <w:r>
              <w:rPr>
                <w:rFonts w:eastAsia="MS Mincho"/>
              </w:rPr>
              <w:t>Cochrane Review</w:t>
            </w:r>
          </w:p>
          <w:p w:rsidR="00ED14FF" w:rsidRPr="001B3B7C" w:rsidRDefault="00711386" w:rsidP="00764226">
            <w:pPr>
              <w:pStyle w:val="Tablewriting"/>
              <w:jc w:val="center"/>
              <w:rPr>
                <w:rFonts w:eastAsia="MS Mincho"/>
              </w:rPr>
            </w:pPr>
            <w:r>
              <w:rPr>
                <w:rFonts w:eastAsia="MS Mincho"/>
              </w:rPr>
              <w:t>(1 RCT)</w:t>
            </w:r>
          </w:p>
        </w:tc>
        <w:tc>
          <w:tcPr>
            <w:tcW w:w="706" w:type="pct"/>
            <w:vAlign w:val="center"/>
          </w:tcPr>
          <w:p w:rsidR="00ED14FF" w:rsidRDefault="00ED14FF" w:rsidP="00764226">
            <w:pPr>
              <w:pStyle w:val="Tablewriting"/>
              <w:jc w:val="center"/>
              <w:rPr>
                <w:rFonts w:eastAsia="MS Mincho"/>
              </w:rPr>
            </w:pPr>
            <w:r>
              <w:rPr>
                <w:rFonts w:eastAsia="MS Mincho"/>
              </w:rPr>
              <w:t>6/245</w:t>
            </w:r>
          </w:p>
          <w:p w:rsidR="00ED14FF" w:rsidRPr="001B3B7C" w:rsidRDefault="00ED14FF" w:rsidP="00764226">
            <w:pPr>
              <w:pStyle w:val="Tablewriting"/>
              <w:jc w:val="center"/>
              <w:rPr>
                <w:rFonts w:eastAsia="MS Mincho"/>
              </w:rPr>
            </w:pPr>
            <w:r>
              <w:rPr>
                <w:rFonts w:eastAsia="MS Mincho"/>
              </w:rPr>
              <w:t>(2.4%)</w:t>
            </w:r>
          </w:p>
        </w:tc>
        <w:tc>
          <w:tcPr>
            <w:tcW w:w="685" w:type="pct"/>
            <w:vAlign w:val="center"/>
          </w:tcPr>
          <w:p w:rsidR="00ED14FF" w:rsidRDefault="00ED14FF" w:rsidP="00764226">
            <w:pPr>
              <w:pStyle w:val="Tablewriting"/>
              <w:jc w:val="center"/>
              <w:rPr>
                <w:rFonts w:eastAsia="MS Mincho"/>
              </w:rPr>
            </w:pPr>
            <w:r>
              <w:rPr>
                <w:rFonts w:eastAsia="MS Mincho"/>
              </w:rPr>
              <w:t>9/245</w:t>
            </w:r>
          </w:p>
          <w:p w:rsidR="00ED14FF" w:rsidRPr="001B3B7C" w:rsidRDefault="00ED14FF" w:rsidP="00764226">
            <w:pPr>
              <w:pStyle w:val="Tablewriting"/>
              <w:jc w:val="center"/>
              <w:rPr>
                <w:rFonts w:eastAsia="MS Mincho"/>
              </w:rPr>
            </w:pPr>
            <w:r>
              <w:rPr>
                <w:rFonts w:eastAsia="MS Mincho"/>
              </w:rPr>
              <w:t>(3.7%)</w:t>
            </w:r>
          </w:p>
        </w:tc>
        <w:tc>
          <w:tcPr>
            <w:tcW w:w="687" w:type="pct"/>
            <w:tcMar>
              <w:left w:w="28" w:type="dxa"/>
              <w:right w:w="28" w:type="dxa"/>
            </w:tcMar>
            <w:vAlign w:val="center"/>
          </w:tcPr>
          <w:p w:rsidR="00ED14FF" w:rsidRDefault="00ED14FF" w:rsidP="00764226">
            <w:pPr>
              <w:pStyle w:val="Tablewriting"/>
              <w:jc w:val="center"/>
              <w:rPr>
                <w:rFonts w:eastAsia="MS Mincho"/>
              </w:rPr>
            </w:pPr>
            <w:r>
              <w:rPr>
                <w:rFonts w:eastAsia="MS Mincho"/>
              </w:rPr>
              <w:t>0.67</w:t>
            </w:r>
          </w:p>
          <w:p w:rsidR="00ED14FF" w:rsidRPr="001B3B7C" w:rsidRDefault="00ED14FF" w:rsidP="00764226">
            <w:pPr>
              <w:pStyle w:val="Tablewriting"/>
              <w:jc w:val="center"/>
              <w:rPr>
                <w:rFonts w:eastAsia="MS Mincho"/>
              </w:rPr>
            </w:pPr>
            <w:r>
              <w:rPr>
                <w:rFonts w:eastAsia="MS Mincho"/>
              </w:rPr>
              <w:t>(0.24, 1.84)</w:t>
            </w:r>
          </w:p>
        </w:tc>
      </w:tr>
      <w:tr w:rsidR="00ED14FF" w:rsidRPr="00061F78" w:rsidTr="00711386">
        <w:trPr>
          <w:cantSplit/>
          <w:trHeight w:val="149"/>
        </w:trPr>
        <w:tc>
          <w:tcPr>
            <w:tcW w:w="5000" w:type="pct"/>
            <w:gridSpan w:val="5"/>
            <w:shd w:val="clear" w:color="auto" w:fill="BFBFBF" w:themeFill="background1" w:themeFillShade="BF"/>
            <w:tcMar>
              <w:left w:w="28" w:type="dxa"/>
              <w:right w:w="28" w:type="dxa"/>
            </w:tcMar>
          </w:tcPr>
          <w:p w:rsidR="00711386" w:rsidRPr="001B3B7C" w:rsidRDefault="00711386" w:rsidP="00764226">
            <w:pPr>
              <w:pStyle w:val="Tablewriting"/>
              <w:rPr>
                <w:rFonts w:eastAsia="MS Mincho"/>
              </w:rPr>
            </w:pPr>
            <w:r w:rsidRPr="001B3B7C">
              <w:rPr>
                <w:rFonts w:eastAsia="MS Mincho"/>
              </w:rPr>
              <w:t>Treatment withdrawals</w:t>
            </w:r>
          </w:p>
        </w:tc>
      </w:tr>
      <w:tr w:rsidR="00ED14FF" w:rsidRPr="00061F78" w:rsidTr="00AF4358">
        <w:trPr>
          <w:cantSplit/>
          <w:trHeight w:val="149"/>
        </w:trPr>
        <w:tc>
          <w:tcPr>
            <w:tcW w:w="1963" w:type="pct"/>
            <w:tcMar>
              <w:left w:w="28" w:type="dxa"/>
              <w:right w:w="28" w:type="dxa"/>
            </w:tcMar>
          </w:tcPr>
          <w:p w:rsidR="00ED14FF" w:rsidRPr="009E6B89" w:rsidRDefault="00ED14FF" w:rsidP="00764226">
            <w:pPr>
              <w:pStyle w:val="Tablewriting"/>
              <w:rPr>
                <w:rFonts w:eastAsia="MS Mincho"/>
              </w:rPr>
            </w:pPr>
            <w:r w:rsidRPr="009E6B89">
              <w:rPr>
                <w:rFonts w:eastAsia="MS Mincho"/>
              </w:rPr>
              <w:t>35 mg patch + fast-acting for 22</w:t>
            </w:r>
          </w:p>
          <w:p w:rsidR="00ED14FF" w:rsidRPr="001B3B7C" w:rsidRDefault="00ED14FF" w:rsidP="00764226">
            <w:pPr>
              <w:pStyle w:val="Tablewriting"/>
              <w:rPr>
                <w:rFonts w:eastAsia="MS Mincho"/>
              </w:rPr>
            </w:pPr>
            <w:r w:rsidRPr="009E6B89">
              <w:rPr>
                <w:rFonts w:eastAsia="MS Mincho"/>
              </w:rPr>
              <w:t>weeks versus 21 mg patch for 10</w:t>
            </w:r>
            <w:r>
              <w:rPr>
                <w:rFonts w:eastAsia="MS Mincho"/>
              </w:rPr>
              <w:t xml:space="preserve"> </w:t>
            </w:r>
            <w:r w:rsidRPr="009E6B89">
              <w:rPr>
                <w:rFonts w:eastAsia="MS Mincho"/>
              </w:rPr>
              <w:t>weeks</w:t>
            </w:r>
          </w:p>
        </w:tc>
        <w:tc>
          <w:tcPr>
            <w:tcW w:w="959" w:type="pct"/>
            <w:vAlign w:val="center"/>
          </w:tcPr>
          <w:p w:rsidR="00711386" w:rsidRDefault="00711386" w:rsidP="00764226">
            <w:pPr>
              <w:pStyle w:val="Tablewriting"/>
              <w:jc w:val="center"/>
              <w:rPr>
                <w:rFonts w:eastAsia="MS Mincho"/>
              </w:rPr>
            </w:pPr>
            <w:r>
              <w:rPr>
                <w:rFonts w:eastAsia="MS Mincho"/>
              </w:rPr>
              <w:t>Cochrane Review</w:t>
            </w:r>
          </w:p>
          <w:p w:rsidR="00ED14FF" w:rsidRPr="001B3B7C" w:rsidRDefault="00711386" w:rsidP="00764226">
            <w:pPr>
              <w:pStyle w:val="Tablewriting"/>
              <w:jc w:val="center"/>
              <w:rPr>
                <w:rFonts w:eastAsia="MS Mincho"/>
              </w:rPr>
            </w:pPr>
            <w:r>
              <w:rPr>
                <w:rFonts w:eastAsia="MS Mincho"/>
              </w:rPr>
              <w:t>(1 RCT)</w:t>
            </w:r>
          </w:p>
        </w:tc>
        <w:tc>
          <w:tcPr>
            <w:tcW w:w="706" w:type="pct"/>
            <w:tcMar>
              <w:left w:w="28" w:type="dxa"/>
              <w:right w:w="28" w:type="dxa"/>
            </w:tcMar>
            <w:vAlign w:val="center"/>
          </w:tcPr>
          <w:p w:rsidR="00ED14FF" w:rsidRDefault="00ED14FF" w:rsidP="00764226">
            <w:pPr>
              <w:pStyle w:val="Tablewriting"/>
              <w:jc w:val="center"/>
              <w:rPr>
                <w:rFonts w:eastAsia="MS Mincho"/>
              </w:rPr>
            </w:pPr>
            <w:r>
              <w:rPr>
                <w:rFonts w:eastAsia="MS Mincho"/>
              </w:rPr>
              <w:t>5/245</w:t>
            </w:r>
          </w:p>
          <w:p w:rsidR="00ED14FF" w:rsidRPr="001B3B7C" w:rsidRDefault="00ED14FF" w:rsidP="00764226">
            <w:pPr>
              <w:pStyle w:val="Tablewriting"/>
              <w:jc w:val="center"/>
              <w:rPr>
                <w:rFonts w:eastAsia="MS Mincho"/>
              </w:rPr>
            </w:pPr>
            <w:r>
              <w:rPr>
                <w:rFonts w:eastAsia="MS Mincho"/>
              </w:rPr>
              <w:t>(2%)</w:t>
            </w:r>
          </w:p>
        </w:tc>
        <w:tc>
          <w:tcPr>
            <w:tcW w:w="685" w:type="pct"/>
            <w:tcMar>
              <w:left w:w="28" w:type="dxa"/>
              <w:right w:w="28" w:type="dxa"/>
            </w:tcMar>
            <w:vAlign w:val="center"/>
          </w:tcPr>
          <w:p w:rsidR="00ED14FF" w:rsidRDefault="00ED14FF" w:rsidP="00764226">
            <w:pPr>
              <w:pStyle w:val="Tablewriting"/>
              <w:jc w:val="center"/>
              <w:rPr>
                <w:rFonts w:eastAsia="MS Mincho"/>
              </w:rPr>
            </w:pPr>
            <w:r>
              <w:rPr>
                <w:rFonts w:eastAsia="MS Mincho"/>
              </w:rPr>
              <w:t>4/245</w:t>
            </w:r>
          </w:p>
          <w:p w:rsidR="00ED14FF" w:rsidRPr="001B3B7C" w:rsidRDefault="00ED14FF" w:rsidP="00764226">
            <w:pPr>
              <w:pStyle w:val="Tablewriting"/>
              <w:jc w:val="center"/>
              <w:rPr>
                <w:rFonts w:eastAsia="MS Mincho"/>
              </w:rPr>
            </w:pPr>
            <w:r>
              <w:rPr>
                <w:rFonts w:eastAsia="MS Mincho"/>
              </w:rPr>
              <w:t>(1.6%)</w:t>
            </w:r>
          </w:p>
        </w:tc>
        <w:tc>
          <w:tcPr>
            <w:tcW w:w="687" w:type="pct"/>
            <w:tcMar>
              <w:left w:w="28" w:type="dxa"/>
              <w:right w:w="28" w:type="dxa"/>
            </w:tcMar>
            <w:vAlign w:val="center"/>
          </w:tcPr>
          <w:p w:rsidR="00ED14FF" w:rsidRDefault="00ED14FF" w:rsidP="00764226">
            <w:pPr>
              <w:pStyle w:val="Tablewriting"/>
              <w:jc w:val="center"/>
              <w:rPr>
                <w:rFonts w:eastAsia="MS Mincho"/>
              </w:rPr>
            </w:pPr>
            <w:r>
              <w:rPr>
                <w:rFonts w:eastAsia="MS Mincho"/>
              </w:rPr>
              <w:t>1.25</w:t>
            </w:r>
          </w:p>
          <w:p w:rsidR="00ED14FF" w:rsidRPr="001B3B7C" w:rsidRDefault="00ED14FF" w:rsidP="00764226">
            <w:pPr>
              <w:pStyle w:val="Tablewriting"/>
              <w:jc w:val="center"/>
              <w:rPr>
                <w:rFonts w:eastAsia="MS Mincho"/>
              </w:rPr>
            </w:pPr>
            <w:r>
              <w:rPr>
                <w:rFonts w:eastAsia="MS Mincho"/>
              </w:rPr>
              <w:t>(0.34, 4.6)</w:t>
            </w:r>
          </w:p>
        </w:tc>
      </w:tr>
      <w:tr w:rsidR="00ED14FF" w:rsidRPr="00061F78" w:rsidTr="00711386">
        <w:trPr>
          <w:cantSplit/>
          <w:trHeight w:val="149"/>
        </w:trPr>
        <w:tc>
          <w:tcPr>
            <w:tcW w:w="5000" w:type="pct"/>
            <w:gridSpan w:val="5"/>
            <w:shd w:val="clear" w:color="auto" w:fill="BFBFBF" w:themeFill="background1" w:themeFillShade="BF"/>
            <w:tcMar>
              <w:left w:w="28" w:type="dxa"/>
              <w:right w:w="28" w:type="dxa"/>
            </w:tcMar>
          </w:tcPr>
          <w:p w:rsidR="00711386" w:rsidRPr="001B3B7C" w:rsidRDefault="00711386" w:rsidP="00764226">
            <w:pPr>
              <w:pStyle w:val="Tablewriting"/>
              <w:rPr>
                <w:rFonts w:eastAsia="MS Mincho"/>
                <w:highlight w:val="yellow"/>
              </w:rPr>
            </w:pPr>
            <w:r w:rsidRPr="009E6B89">
              <w:rPr>
                <w:rFonts w:eastAsia="MS Mincho"/>
              </w:rPr>
              <w:lastRenderedPageBreak/>
              <w:t>Cardiac AEs</w:t>
            </w:r>
          </w:p>
        </w:tc>
      </w:tr>
      <w:tr w:rsidR="00ED14FF" w:rsidRPr="00061F78" w:rsidTr="00AF4358">
        <w:trPr>
          <w:cantSplit/>
          <w:trHeight w:val="149"/>
        </w:trPr>
        <w:tc>
          <w:tcPr>
            <w:tcW w:w="1963" w:type="pct"/>
            <w:tcMar>
              <w:left w:w="28" w:type="dxa"/>
              <w:right w:w="28" w:type="dxa"/>
            </w:tcMar>
          </w:tcPr>
          <w:p w:rsidR="00ED14FF" w:rsidRPr="009E6B89" w:rsidRDefault="00ED14FF" w:rsidP="00764226">
            <w:pPr>
              <w:pStyle w:val="Tablewriting"/>
              <w:rPr>
                <w:rFonts w:eastAsia="MS Mincho"/>
              </w:rPr>
            </w:pPr>
            <w:r w:rsidRPr="009E6B89">
              <w:rPr>
                <w:rFonts w:eastAsia="MS Mincho"/>
              </w:rPr>
              <w:t>35 mg patch + fast-acting for 22</w:t>
            </w:r>
          </w:p>
          <w:p w:rsidR="00ED14FF" w:rsidRPr="009E6B89" w:rsidRDefault="00ED14FF" w:rsidP="00764226">
            <w:pPr>
              <w:pStyle w:val="Tablewriting"/>
              <w:rPr>
                <w:rFonts w:eastAsia="MS Mincho"/>
              </w:rPr>
            </w:pPr>
            <w:r w:rsidRPr="009E6B89">
              <w:rPr>
                <w:rFonts w:eastAsia="MS Mincho"/>
              </w:rPr>
              <w:t>weeks versus 21 mg patch for 10</w:t>
            </w:r>
            <w:r>
              <w:rPr>
                <w:rFonts w:eastAsia="MS Mincho"/>
              </w:rPr>
              <w:t xml:space="preserve"> </w:t>
            </w:r>
            <w:r w:rsidRPr="009E6B89">
              <w:rPr>
                <w:rFonts w:eastAsia="MS Mincho"/>
              </w:rPr>
              <w:t>weeks</w:t>
            </w:r>
          </w:p>
        </w:tc>
        <w:tc>
          <w:tcPr>
            <w:tcW w:w="959" w:type="pct"/>
            <w:vAlign w:val="center"/>
          </w:tcPr>
          <w:p w:rsidR="00711386" w:rsidRDefault="00711386" w:rsidP="00764226">
            <w:pPr>
              <w:pStyle w:val="Tablewriting"/>
              <w:jc w:val="center"/>
              <w:rPr>
                <w:rFonts w:eastAsia="MS Mincho"/>
              </w:rPr>
            </w:pPr>
            <w:r>
              <w:rPr>
                <w:rFonts w:eastAsia="MS Mincho"/>
              </w:rPr>
              <w:t>Cochrane Review</w:t>
            </w:r>
          </w:p>
          <w:p w:rsidR="00ED14FF" w:rsidRPr="001B3B7C" w:rsidRDefault="00711386" w:rsidP="00764226">
            <w:pPr>
              <w:pStyle w:val="Tablewriting"/>
              <w:jc w:val="center"/>
              <w:rPr>
                <w:rFonts w:eastAsia="MS Mincho"/>
              </w:rPr>
            </w:pPr>
            <w:r>
              <w:rPr>
                <w:rFonts w:eastAsia="MS Mincho"/>
              </w:rPr>
              <w:t>(1 RCT)</w:t>
            </w:r>
          </w:p>
        </w:tc>
        <w:tc>
          <w:tcPr>
            <w:tcW w:w="706" w:type="pct"/>
            <w:tcMar>
              <w:left w:w="28" w:type="dxa"/>
              <w:right w:w="28" w:type="dxa"/>
            </w:tcMar>
            <w:vAlign w:val="center"/>
          </w:tcPr>
          <w:p w:rsidR="00ED14FF" w:rsidRDefault="00ED14FF" w:rsidP="00764226">
            <w:pPr>
              <w:pStyle w:val="Tablewriting"/>
              <w:jc w:val="center"/>
              <w:rPr>
                <w:rFonts w:eastAsia="MS Mincho"/>
              </w:rPr>
            </w:pPr>
            <w:r>
              <w:rPr>
                <w:rFonts w:eastAsia="MS Mincho"/>
              </w:rPr>
              <w:t>3/245</w:t>
            </w:r>
          </w:p>
          <w:p w:rsidR="00ED14FF" w:rsidRPr="001B3B7C" w:rsidRDefault="00ED14FF" w:rsidP="00764226">
            <w:pPr>
              <w:pStyle w:val="Tablewriting"/>
              <w:jc w:val="center"/>
              <w:rPr>
                <w:rFonts w:eastAsia="MS Mincho"/>
              </w:rPr>
            </w:pPr>
            <w:r>
              <w:rPr>
                <w:rFonts w:eastAsia="MS Mincho"/>
              </w:rPr>
              <w:t>(1.2%)</w:t>
            </w:r>
          </w:p>
        </w:tc>
        <w:tc>
          <w:tcPr>
            <w:tcW w:w="685" w:type="pct"/>
            <w:tcMar>
              <w:left w:w="28" w:type="dxa"/>
              <w:right w:w="28" w:type="dxa"/>
            </w:tcMar>
            <w:vAlign w:val="center"/>
          </w:tcPr>
          <w:p w:rsidR="00ED14FF" w:rsidRDefault="00ED14FF" w:rsidP="00764226">
            <w:pPr>
              <w:pStyle w:val="Tablewriting"/>
              <w:jc w:val="center"/>
              <w:rPr>
                <w:rFonts w:eastAsia="MS Mincho"/>
              </w:rPr>
            </w:pPr>
            <w:r>
              <w:rPr>
                <w:rFonts w:eastAsia="MS Mincho"/>
              </w:rPr>
              <w:t>5/245</w:t>
            </w:r>
          </w:p>
          <w:p w:rsidR="00ED14FF" w:rsidRPr="001B3B7C" w:rsidRDefault="00ED14FF" w:rsidP="00764226">
            <w:pPr>
              <w:pStyle w:val="Tablewriting"/>
              <w:jc w:val="center"/>
              <w:rPr>
                <w:rFonts w:eastAsia="MS Mincho"/>
              </w:rPr>
            </w:pPr>
            <w:r>
              <w:rPr>
                <w:rFonts w:eastAsia="MS Mincho"/>
              </w:rPr>
              <w:t>(2%)</w:t>
            </w:r>
          </w:p>
        </w:tc>
        <w:tc>
          <w:tcPr>
            <w:tcW w:w="687" w:type="pct"/>
            <w:tcMar>
              <w:left w:w="28" w:type="dxa"/>
              <w:right w:w="28" w:type="dxa"/>
            </w:tcMar>
            <w:vAlign w:val="center"/>
          </w:tcPr>
          <w:p w:rsidR="00ED14FF" w:rsidRDefault="00ED14FF" w:rsidP="00764226">
            <w:pPr>
              <w:pStyle w:val="Tablewriting"/>
              <w:jc w:val="center"/>
              <w:rPr>
                <w:rFonts w:eastAsia="MS Mincho"/>
              </w:rPr>
            </w:pPr>
            <w:r>
              <w:rPr>
                <w:rFonts w:eastAsia="MS Mincho"/>
              </w:rPr>
              <w:t>0.6</w:t>
            </w:r>
          </w:p>
          <w:p w:rsidR="00ED14FF" w:rsidRPr="001B3B7C" w:rsidRDefault="00ED14FF" w:rsidP="00764226">
            <w:pPr>
              <w:pStyle w:val="Tablewriting"/>
              <w:jc w:val="center"/>
              <w:rPr>
                <w:rFonts w:eastAsia="MS Mincho"/>
              </w:rPr>
            </w:pPr>
            <w:r>
              <w:rPr>
                <w:rFonts w:eastAsia="MS Mincho"/>
              </w:rPr>
              <w:t>(0.14, 2.48)</w:t>
            </w:r>
          </w:p>
        </w:tc>
      </w:tr>
    </w:tbl>
    <w:p w:rsidR="00ED14FF" w:rsidRPr="00E72520" w:rsidRDefault="00ED14FF" w:rsidP="00764226">
      <w:pPr>
        <w:pStyle w:val="TableFooter"/>
      </w:pPr>
      <w:r w:rsidRPr="00E72520">
        <w:t>Source: Lindson et al. (2019)</w:t>
      </w:r>
    </w:p>
    <w:p w:rsidR="00ED14FF" w:rsidRPr="00E72520" w:rsidRDefault="00ED14FF" w:rsidP="00764226">
      <w:pPr>
        <w:pStyle w:val="TableFooter"/>
      </w:pPr>
      <w:r w:rsidRPr="00E72520">
        <w:t xml:space="preserve">Abbreviations: </w:t>
      </w:r>
      <w:r>
        <w:t xml:space="preserve">AEs = adverse events; </w:t>
      </w:r>
      <w:r w:rsidRPr="00E72520">
        <w:t>CI = confidence interval; NE = not estimable; RCT = randomised controlled trial; RR = risk ratio</w:t>
      </w:r>
      <w:r>
        <w:t>; SAEs = serious adverse events.</w:t>
      </w:r>
    </w:p>
    <w:p w:rsidR="00ED14FF" w:rsidRPr="006F1FEC" w:rsidRDefault="00ED14FF" w:rsidP="00764226">
      <w:pPr>
        <w:pStyle w:val="TableFooter"/>
      </w:pPr>
      <w:r w:rsidRPr="006F1FEC">
        <w:t xml:space="preserve">Notes: See Appendix </w:t>
      </w:r>
      <w:r w:rsidR="003C4A1C">
        <w:t xml:space="preserve">Figure </w:t>
      </w:r>
      <w:r w:rsidR="003C4A1C">
        <w:rPr>
          <w:noProof/>
        </w:rPr>
        <w:t>93</w:t>
      </w:r>
      <w:r w:rsidR="00A27BF8" w:rsidRPr="00A27BF8">
        <w:t xml:space="preserve">, </w:t>
      </w:r>
      <w:r w:rsidR="003C4A1C">
        <w:t xml:space="preserve">Figure </w:t>
      </w:r>
      <w:r w:rsidR="003C4A1C">
        <w:rPr>
          <w:noProof/>
        </w:rPr>
        <w:t>95</w:t>
      </w:r>
      <w:r w:rsidRPr="00A27BF8">
        <w:t xml:space="preserve"> and </w:t>
      </w:r>
      <w:r w:rsidR="003C4A1C">
        <w:t xml:space="preserve">Figure </w:t>
      </w:r>
      <w:r w:rsidR="003C4A1C">
        <w:rPr>
          <w:noProof/>
        </w:rPr>
        <w:t>96</w:t>
      </w:r>
      <w:r w:rsidRPr="006F1FEC">
        <w:t xml:space="preserve"> for forest plots of the respective outcomes which included the results of individual studies.</w:t>
      </w:r>
    </w:p>
    <w:p w:rsidR="00A87D84" w:rsidRPr="006F1FEC" w:rsidRDefault="00A87D84" w:rsidP="00764226">
      <w:pPr>
        <w:pStyle w:val="TableFooter"/>
      </w:pPr>
      <w:r>
        <w:t>1</w:t>
      </w:r>
      <w:r w:rsidRPr="00432CC7">
        <w:t xml:space="preserve"> </w:t>
      </w:r>
      <w:r w:rsidRPr="00D13293">
        <w:t xml:space="preserve">Calculated </w:t>
      </w:r>
      <w:r w:rsidR="008F0780">
        <w:t>by Cochrane Review authors</w:t>
      </w:r>
      <w:r w:rsidRPr="00D13293">
        <w:t xml:space="preserve"> using a fixed-effect model.</w:t>
      </w:r>
      <w:r>
        <w:t xml:space="preserve"> </w:t>
      </w:r>
    </w:p>
    <w:p w:rsidR="004221B4" w:rsidRPr="00ED2841" w:rsidRDefault="00ED2841" w:rsidP="00D02475">
      <w:pPr>
        <w:pStyle w:val="Heading4"/>
        <w:numPr>
          <w:ilvl w:val="0"/>
          <w:numId w:val="0"/>
        </w:numPr>
      </w:pPr>
      <w:r w:rsidRPr="00DD5BFC">
        <w:t>Dosing schedule</w:t>
      </w:r>
    </w:p>
    <w:p w:rsidR="00647EEC" w:rsidRDefault="003370C1" w:rsidP="003370C1">
      <w:pPr>
        <w:jc w:val="both"/>
      </w:pPr>
      <w:r w:rsidRPr="00713891">
        <w:t xml:space="preserve">A summary of the characteristics of the studies comparing </w:t>
      </w:r>
      <w:r>
        <w:t>different dos</w:t>
      </w:r>
      <w:r w:rsidR="00975E75">
        <w:t>ing</w:t>
      </w:r>
      <w:r>
        <w:t xml:space="preserve"> schedule</w:t>
      </w:r>
      <w:r w:rsidR="00975E75">
        <w:t>s</w:t>
      </w:r>
      <w:r>
        <w:t xml:space="preserve"> of NRT </w:t>
      </w:r>
      <w:r w:rsidRPr="00713891">
        <w:t>is presented in</w:t>
      </w:r>
      <w:r w:rsidR="0033476E">
        <w:t xml:space="preserve"> </w:t>
      </w:r>
      <w:r w:rsidR="003C4A1C">
        <w:t xml:space="preserve">Table </w:t>
      </w:r>
      <w:r w:rsidR="003C4A1C">
        <w:rPr>
          <w:noProof/>
        </w:rPr>
        <w:t>95</w:t>
      </w:r>
      <w:r w:rsidR="0033476E">
        <w:t xml:space="preserve">. </w:t>
      </w:r>
      <w:r w:rsidR="00446D9A" w:rsidRPr="009565B5">
        <w:t xml:space="preserve">The characteristics of the individual studies are presented in </w:t>
      </w:r>
      <w:r w:rsidRPr="001562F2">
        <w:t>Appendix</w:t>
      </w:r>
      <w:r w:rsidR="002D5A16" w:rsidRPr="001562F2">
        <w:t xml:space="preserve"> </w:t>
      </w:r>
      <w:r w:rsidR="003C4A1C">
        <w:t xml:space="preserve">Table </w:t>
      </w:r>
      <w:r w:rsidR="003C4A1C">
        <w:rPr>
          <w:noProof/>
        </w:rPr>
        <w:t>163</w:t>
      </w:r>
      <w:r w:rsidRPr="001562F2">
        <w:t>.</w:t>
      </w:r>
    </w:p>
    <w:p w:rsidR="00FF14AC" w:rsidRDefault="00FF14AC" w:rsidP="00FF14AC">
      <w:pPr>
        <w:jc w:val="both"/>
      </w:pPr>
      <w:r>
        <w:t>The relevant studies identified for inclusion are presented in this section based on four categories:</w:t>
      </w:r>
    </w:p>
    <w:p w:rsidR="00FF14AC" w:rsidRDefault="00446D9A" w:rsidP="00C324F3">
      <w:pPr>
        <w:pStyle w:val="ListParagraph"/>
        <w:numPr>
          <w:ilvl w:val="0"/>
          <w:numId w:val="189"/>
        </w:numPr>
        <w:jc w:val="both"/>
      </w:pPr>
      <w:r>
        <w:t>E</w:t>
      </w:r>
      <w:r w:rsidR="003370C1">
        <w:t>ffect of tapering dose (</w:t>
      </w:r>
      <w:r w:rsidR="003370C1" w:rsidRPr="009565B5">
        <w:t>2</w:t>
      </w:r>
      <w:r w:rsidR="003370C1">
        <w:t xml:space="preserve"> </w:t>
      </w:r>
      <w:r w:rsidR="003370C1" w:rsidRPr="009565B5">
        <w:t xml:space="preserve">RCTs </w:t>
      </w:r>
      <w:r w:rsidR="003370C1">
        <w:t>comparing a</w:t>
      </w:r>
      <w:r w:rsidR="003370C1" w:rsidRPr="009565B5">
        <w:t>brupt withdrawal versus tapering</w:t>
      </w:r>
      <w:r w:rsidR="003370C1">
        <w:t>)</w:t>
      </w:r>
    </w:p>
    <w:p w:rsidR="00FF14AC" w:rsidRDefault="00C46AFC" w:rsidP="00C324F3">
      <w:pPr>
        <w:pStyle w:val="ListParagraph"/>
        <w:numPr>
          <w:ilvl w:val="0"/>
          <w:numId w:val="189"/>
        </w:numPr>
        <w:jc w:val="both"/>
      </w:pPr>
      <w:r>
        <w:t>F</w:t>
      </w:r>
      <w:r w:rsidR="003370C1" w:rsidRPr="009565B5">
        <w:t>ixed versus ad lib dos</w:t>
      </w:r>
      <w:r w:rsidR="00975E75">
        <w:t>ing</w:t>
      </w:r>
      <w:r w:rsidR="003370C1" w:rsidRPr="009565B5">
        <w:t xml:space="preserve"> schedule</w:t>
      </w:r>
      <w:r w:rsidR="003370C1">
        <w:t xml:space="preserve"> (4 RCTs comparing gum and nasal spray)</w:t>
      </w:r>
    </w:p>
    <w:p w:rsidR="00FF14AC" w:rsidRDefault="00C46AFC" w:rsidP="00C324F3">
      <w:pPr>
        <w:pStyle w:val="ListParagraph"/>
        <w:numPr>
          <w:ilvl w:val="0"/>
          <w:numId w:val="189"/>
        </w:numPr>
        <w:jc w:val="both"/>
      </w:pPr>
      <w:r>
        <w:t>P</w:t>
      </w:r>
      <w:r w:rsidR="003370C1" w:rsidRPr="009565B5">
        <w:t>reloading versus standard use</w:t>
      </w:r>
      <w:r w:rsidR="003370C1">
        <w:t xml:space="preserve"> (</w:t>
      </w:r>
      <w:r w:rsidR="003370C1" w:rsidRPr="00FF14AC">
        <w:rPr>
          <w:rFonts w:eastAsia="MS Mincho"/>
        </w:rPr>
        <w:t xml:space="preserve">10 RCTs; 9 RCTs in Lindson et al. 2019; </w:t>
      </w:r>
      <w:r w:rsidR="003370C1" w:rsidRPr="00C46AFC">
        <w:rPr>
          <w:rFonts w:eastAsia="MS Mincho"/>
        </w:rPr>
        <w:t>and 1 RCT by Dedert et al. 2018, comparing use of patch, gum, and combination of both forms)</w:t>
      </w:r>
      <w:r w:rsidR="003370C1">
        <w:t xml:space="preserve">, </w:t>
      </w:r>
    </w:p>
    <w:p w:rsidR="00FF14AC" w:rsidRDefault="009C7F69" w:rsidP="00C324F3">
      <w:pPr>
        <w:pStyle w:val="ListParagraph"/>
        <w:numPr>
          <w:ilvl w:val="0"/>
          <w:numId w:val="189"/>
        </w:numPr>
        <w:jc w:val="both"/>
      </w:pPr>
      <w:r>
        <w:t>C</w:t>
      </w:r>
      <w:r w:rsidR="003370C1" w:rsidRPr="009565B5">
        <w:t>ut down to quit</w:t>
      </w:r>
      <w:r w:rsidR="003370C1">
        <w:t xml:space="preserve"> (</w:t>
      </w:r>
      <w:r w:rsidR="003370C1" w:rsidRPr="00FF14AC">
        <w:rPr>
          <w:rFonts w:eastAsia="MS Mincho"/>
        </w:rPr>
        <w:t>11 RCTs comparing reduction with pharmacotherapy versus reduction alone)</w:t>
      </w:r>
      <w:r w:rsidR="003370C1">
        <w:t xml:space="preserve">. </w:t>
      </w:r>
    </w:p>
    <w:p w:rsidR="00135BC3" w:rsidRDefault="00135BC3" w:rsidP="003370C1">
      <w:pPr>
        <w:jc w:val="both"/>
        <w:sectPr w:rsidR="00135BC3" w:rsidSect="006356D2">
          <w:pgSz w:w="11906" w:h="16838"/>
          <w:pgMar w:top="1440" w:right="1440" w:bottom="1440" w:left="1440" w:header="708" w:footer="708" w:gutter="0"/>
          <w:cols w:space="708"/>
          <w:titlePg/>
          <w:docGrid w:linePitch="360"/>
        </w:sectPr>
      </w:pPr>
      <w:bookmarkStart w:id="199" w:name="_Ref59701095"/>
    </w:p>
    <w:p w:rsidR="003370C1" w:rsidRDefault="003370C1" w:rsidP="003370C1">
      <w:pPr>
        <w:pStyle w:val="Caption"/>
        <w:keepNext/>
      </w:pPr>
      <w:bookmarkStart w:id="200" w:name="_Ref62117510"/>
      <w:r>
        <w:lastRenderedPageBreak/>
        <w:t xml:space="preserve">Table </w:t>
      </w:r>
      <w:r w:rsidR="003C4A1C">
        <w:rPr>
          <w:noProof/>
        </w:rPr>
        <w:t>95</w:t>
      </w:r>
      <w:bookmarkEnd w:id="199"/>
      <w:bookmarkEnd w:id="200"/>
      <w:r>
        <w:t xml:space="preserve">: </w:t>
      </w:r>
      <w:r w:rsidRPr="00407B4C">
        <w:t>Characteristics of the studies comparing different NRT dose schedule</w:t>
      </w:r>
    </w:p>
    <w:tbl>
      <w:tblPr>
        <w:tblStyle w:val="TableGrid"/>
        <w:tblW w:w="5107" w:type="pct"/>
        <w:tblLook w:val="04A0" w:firstRow="1" w:lastRow="0" w:firstColumn="1" w:lastColumn="0" w:noHBand="0" w:noVBand="1"/>
        <w:tblCaption w:val="Efficacy results of adalimumab trials (PASI 75 and DLQI)"/>
      </w:tblPr>
      <w:tblGrid>
        <w:gridCol w:w="688"/>
        <w:gridCol w:w="988"/>
        <w:gridCol w:w="2572"/>
        <w:gridCol w:w="5527"/>
        <w:gridCol w:w="2126"/>
        <w:gridCol w:w="2345"/>
      </w:tblGrid>
      <w:tr w:rsidR="003370C1" w:rsidRPr="00061F78" w:rsidTr="005B4B93">
        <w:trPr>
          <w:trHeight w:val="299"/>
          <w:tblHeader/>
        </w:trPr>
        <w:tc>
          <w:tcPr>
            <w:tcW w:w="241" w:type="pct"/>
            <w:shd w:val="clear" w:color="auto" w:fill="BFBFBF" w:themeFill="background1" w:themeFillShade="BF"/>
            <w:tcMar>
              <w:left w:w="28" w:type="dxa"/>
              <w:right w:w="28" w:type="dxa"/>
            </w:tcMar>
          </w:tcPr>
          <w:p w:rsidR="003370C1" w:rsidRPr="00061F78" w:rsidRDefault="003370C1" w:rsidP="00135BC3">
            <w:pPr>
              <w:pStyle w:val="Tableheading"/>
              <w:rPr>
                <w:rFonts w:eastAsia="MS Mincho"/>
              </w:rPr>
            </w:pPr>
            <w:r>
              <w:rPr>
                <w:rFonts w:eastAsia="MS Mincho"/>
              </w:rPr>
              <w:t>Study</w:t>
            </w:r>
          </w:p>
        </w:tc>
        <w:tc>
          <w:tcPr>
            <w:tcW w:w="347" w:type="pct"/>
            <w:shd w:val="clear" w:color="auto" w:fill="BFBFBF" w:themeFill="background1" w:themeFillShade="BF"/>
          </w:tcPr>
          <w:p w:rsidR="003370C1" w:rsidRDefault="003370C1" w:rsidP="00135BC3">
            <w:pPr>
              <w:pStyle w:val="Tableheading"/>
              <w:jc w:val="center"/>
              <w:rPr>
                <w:rFonts w:eastAsia="MS Mincho"/>
              </w:rPr>
            </w:pPr>
            <w:r>
              <w:rPr>
                <w:rFonts w:eastAsia="MS Mincho"/>
              </w:rPr>
              <w:t>Study type</w:t>
            </w:r>
          </w:p>
        </w:tc>
        <w:tc>
          <w:tcPr>
            <w:tcW w:w="903" w:type="pct"/>
            <w:shd w:val="clear" w:color="auto" w:fill="BFBFBF" w:themeFill="background1" w:themeFillShade="BF"/>
            <w:tcMar>
              <w:left w:w="28" w:type="dxa"/>
              <w:right w:w="28" w:type="dxa"/>
            </w:tcMar>
          </w:tcPr>
          <w:p w:rsidR="003370C1" w:rsidRPr="002E1796" w:rsidRDefault="003370C1" w:rsidP="00135BC3">
            <w:pPr>
              <w:pStyle w:val="Tableheading"/>
              <w:jc w:val="center"/>
              <w:rPr>
                <w:rFonts w:eastAsia="MS Mincho"/>
              </w:rPr>
            </w:pPr>
            <w:r w:rsidRPr="005A1EEB">
              <w:rPr>
                <w:rFonts w:eastAsia="MS Mincho"/>
              </w:rPr>
              <w:t>Subgroup title/N</w:t>
            </w:r>
            <w:r w:rsidRPr="005A1EEB">
              <w:rPr>
                <w:rFonts w:eastAsia="MS Mincho"/>
                <w:vertAlign w:val="superscript"/>
              </w:rPr>
              <w:t>1</w:t>
            </w:r>
          </w:p>
        </w:tc>
        <w:tc>
          <w:tcPr>
            <w:tcW w:w="1940" w:type="pct"/>
            <w:shd w:val="clear" w:color="auto" w:fill="BFBFBF" w:themeFill="background1" w:themeFillShade="BF"/>
            <w:tcMar>
              <w:left w:w="28" w:type="dxa"/>
              <w:right w:w="28" w:type="dxa"/>
            </w:tcMar>
          </w:tcPr>
          <w:p w:rsidR="003370C1" w:rsidRPr="00061F78" w:rsidRDefault="003370C1" w:rsidP="00135BC3">
            <w:pPr>
              <w:pStyle w:val="Tableheading"/>
              <w:jc w:val="center"/>
              <w:rPr>
                <w:rFonts w:eastAsia="MS Mincho"/>
              </w:rPr>
            </w:pPr>
            <w:r w:rsidRPr="00061F78">
              <w:rPr>
                <w:rFonts w:eastAsia="MS Mincho"/>
              </w:rPr>
              <w:t>P</w:t>
            </w:r>
            <w:r>
              <w:rPr>
                <w:rFonts w:eastAsia="MS Mincho"/>
              </w:rPr>
              <w:t>opulation</w:t>
            </w:r>
          </w:p>
        </w:tc>
        <w:tc>
          <w:tcPr>
            <w:tcW w:w="746" w:type="pct"/>
            <w:shd w:val="clear" w:color="auto" w:fill="BFBFBF" w:themeFill="background1" w:themeFillShade="BF"/>
          </w:tcPr>
          <w:p w:rsidR="003370C1" w:rsidRDefault="003370C1" w:rsidP="00135BC3">
            <w:pPr>
              <w:pStyle w:val="Tableheading"/>
              <w:jc w:val="center"/>
              <w:rPr>
                <w:rFonts w:eastAsia="MS Mincho"/>
              </w:rPr>
            </w:pPr>
            <w:r>
              <w:rPr>
                <w:rFonts w:eastAsia="MS Mincho"/>
              </w:rPr>
              <w:t>Intervention and comparator</w:t>
            </w:r>
          </w:p>
        </w:tc>
        <w:tc>
          <w:tcPr>
            <w:tcW w:w="823" w:type="pct"/>
            <w:shd w:val="clear" w:color="auto" w:fill="BFBFBF" w:themeFill="background1" w:themeFillShade="BF"/>
            <w:tcMar>
              <w:left w:w="28" w:type="dxa"/>
              <w:right w:w="28" w:type="dxa"/>
            </w:tcMar>
          </w:tcPr>
          <w:p w:rsidR="003370C1" w:rsidRPr="00061F78" w:rsidRDefault="003370C1" w:rsidP="00135BC3">
            <w:pPr>
              <w:pStyle w:val="Tableheading"/>
              <w:jc w:val="center"/>
              <w:rPr>
                <w:rFonts w:eastAsia="MS Mincho"/>
              </w:rPr>
            </w:pPr>
            <w:r>
              <w:rPr>
                <w:rFonts w:eastAsia="MS Mincho"/>
              </w:rPr>
              <w:t>Outcomes</w:t>
            </w:r>
          </w:p>
        </w:tc>
      </w:tr>
      <w:tr w:rsidR="005A4731" w:rsidRPr="00061F78" w:rsidTr="007231A4">
        <w:trPr>
          <w:trHeight w:val="149"/>
        </w:trPr>
        <w:tc>
          <w:tcPr>
            <w:tcW w:w="5000" w:type="pct"/>
            <w:gridSpan w:val="6"/>
            <w:shd w:val="clear" w:color="auto" w:fill="auto"/>
            <w:tcMar>
              <w:left w:w="28" w:type="dxa"/>
              <w:right w:w="28" w:type="dxa"/>
            </w:tcMar>
          </w:tcPr>
          <w:p w:rsidR="005A4731" w:rsidRPr="005A4731" w:rsidRDefault="005A4731" w:rsidP="00135BC3">
            <w:pPr>
              <w:pStyle w:val="Tablewriting"/>
              <w:rPr>
                <w:rFonts w:eastAsia="MS Mincho"/>
                <w:b/>
                <w:bCs/>
                <w:u w:val="single"/>
              </w:rPr>
            </w:pPr>
            <w:r w:rsidRPr="005A4731">
              <w:rPr>
                <w:rFonts w:eastAsia="MS Mincho"/>
                <w:b/>
                <w:bCs/>
              </w:rPr>
              <w:t>Effect of tapering patch dose</w:t>
            </w:r>
          </w:p>
        </w:tc>
      </w:tr>
      <w:tr w:rsidR="003370C1" w:rsidRPr="00061F78" w:rsidTr="005B4B93">
        <w:trPr>
          <w:trHeight w:val="149"/>
        </w:trPr>
        <w:tc>
          <w:tcPr>
            <w:tcW w:w="241" w:type="pct"/>
            <w:tcMar>
              <w:left w:w="28" w:type="dxa"/>
              <w:right w:w="28" w:type="dxa"/>
            </w:tcMar>
          </w:tcPr>
          <w:p w:rsidR="003370C1" w:rsidRPr="00687B43" w:rsidRDefault="003370C1" w:rsidP="00135BC3">
            <w:pPr>
              <w:pStyle w:val="Tablewriting"/>
              <w:rPr>
                <w:rFonts w:eastAsia="MS Mincho"/>
              </w:rPr>
            </w:pPr>
            <w:r w:rsidRPr="00687B43">
              <w:t>Lindson (2019)</w:t>
            </w:r>
          </w:p>
        </w:tc>
        <w:tc>
          <w:tcPr>
            <w:tcW w:w="347" w:type="pct"/>
          </w:tcPr>
          <w:p w:rsidR="003370C1" w:rsidRPr="00992D9B" w:rsidRDefault="003370C1" w:rsidP="00135BC3">
            <w:pPr>
              <w:pStyle w:val="Tablewriting"/>
              <w:rPr>
                <w:rFonts w:eastAsia="MS Mincho"/>
              </w:rPr>
            </w:pPr>
            <w:r w:rsidRPr="00992D9B">
              <w:rPr>
                <w:rFonts w:eastAsia="MS Mincho"/>
              </w:rPr>
              <w:t xml:space="preserve">Cochrane </w:t>
            </w:r>
            <w:r w:rsidR="00135BC3">
              <w:rPr>
                <w:rFonts w:eastAsia="MS Mincho"/>
              </w:rPr>
              <w:t>R</w:t>
            </w:r>
            <w:r w:rsidRPr="00992D9B">
              <w:rPr>
                <w:rFonts w:eastAsia="MS Mincho"/>
              </w:rPr>
              <w:t xml:space="preserve">eview </w:t>
            </w:r>
          </w:p>
          <w:p w:rsidR="003370C1" w:rsidRPr="00186C2B" w:rsidRDefault="003370C1" w:rsidP="00135BC3">
            <w:pPr>
              <w:pStyle w:val="Tablewriting"/>
              <w:rPr>
                <w:rFonts w:eastAsia="MS Mincho"/>
                <w:highlight w:val="yellow"/>
              </w:rPr>
            </w:pPr>
            <w:r w:rsidRPr="00992D9B">
              <w:rPr>
                <w:rFonts w:eastAsia="MS Mincho"/>
              </w:rPr>
              <w:t>(</w:t>
            </w:r>
            <w:r>
              <w:rPr>
                <w:rFonts w:eastAsia="MS Mincho"/>
              </w:rPr>
              <w:t>2</w:t>
            </w:r>
            <w:r w:rsidRPr="00992D9B">
              <w:rPr>
                <w:rFonts w:eastAsia="MS Mincho"/>
              </w:rPr>
              <w:t xml:space="preserve"> RCTs</w:t>
            </w:r>
            <w:r w:rsidRPr="00992D9B">
              <w:rPr>
                <w:rFonts w:eastAsia="MS Mincho"/>
                <w:vertAlign w:val="superscript"/>
              </w:rPr>
              <w:t>2</w:t>
            </w:r>
            <w:r w:rsidRPr="00992D9B">
              <w:rPr>
                <w:rFonts w:eastAsia="MS Mincho"/>
              </w:rPr>
              <w:t>)</w:t>
            </w:r>
          </w:p>
        </w:tc>
        <w:tc>
          <w:tcPr>
            <w:tcW w:w="903" w:type="pct"/>
            <w:tcMar>
              <w:left w:w="28" w:type="dxa"/>
              <w:right w:w="28" w:type="dxa"/>
            </w:tcMar>
          </w:tcPr>
          <w:p w:rsidR="003370C1" w:rsidRDefault="003370C1" w:rsidP="00135BC3">
            <w:pPr>
              <w:pStyle w:val="Tablewriting"/>
              <w:rPr>
                <w:rFonts w:eastAsia="MS Mincho"/>
                <w:u w:val="single"/>
              </w:rPr>
            </w:pPr>
            <w:r>
              <w:rPr>
                <w:rFonts w:eastAsia="MS Mincho"/>
                <w:u w:val="single"/>
              </w:rPr>
              <w:t>Abrupt withdrawal</w:t>
            </w:r>
            <w:r w:rsidRPr="00992D9B">
              <w:rPr>
                <w:rFonts w:eastAsia="MS Mincho"/>
                <w:u w:val="single"/>
              </w:rPr>
              <w:t xml:space="preserve"> versus </w:t>
            </w:r>
            <w:r>
              <w:rPr>
                <w:rFonts w:eastAsia="MS Mincho"/>
                <w:u w:val="single"/>
              </w:rPr>
              <w:t>tapering</w:t>
            </w:r>
          </w:p>
          <w:p w:rsidR="003370C1" w:rsidRPr="00F4262F" w:rsidRDefault="003370C1" w:rsidP="00135BC3">
            <w:pPr>
              <w:pStyle w:val="Tablewriting"/>
              <w:rPr>
                <w:rFonts w:eastAsia="MS Mincho"/>
              </w:rPr>
            </w:pPr>
            <w:r w:rsidRPr="00992D9B">
              <w:rPr>
                <w:rFonts w:eastAsia="MS Mincho"/>
              </w:rPr>
              <w:t>N=</w:t>
            </w:r>
            <w:r>
              <w:rPr>
                <w:rFonts w:eastAsia="MS Mincho"/>
              </w:rPr>
              <w:t xml:space="preserve"> 264 </w:t>
            </w:r>
            <w:r w:rsidRPr="00992D9B">
              <w:rPr>
                <w:rFonts w:eastAsia="MS Mincho"/>
              </w:rPr>
              <w:t>(</w:t>
            </w:r>
            <w:r>
              <w:rPr>
                <w:rFonts w:eastAsia="MS Mincho"/>
              </w:rPr>
              <w:t xml:space="preserve">2 </w:t>
            </w:r>
            <w:r w:rsidRPr="00992D9B">
              <w:rPr>
                <w:rFonts w:eastAsia="MS Mincho"/>
              </w:rPr>
              <w:t>RCT</w:t>
            </w:r>
            <w:r>
              <w:rPr>
                <w:rFonts w:eastAsia="MS Mincho"/>
              </w:rPr>
              <w:t>s</w:t>
            </w:r>
            <w:r w:rsidRPr="00992D9B">
              <w:rPr>
                <w:rFonts w:eastAsia="MS Mincho"/>
              </w:rPr>
              <w:t>)</w:t>
            </w:r>
          </w:p>
        </w:tc>
        <w:tc>
          <w:tcPr>
            <w:tcW w:w="1940" w:type="pct"/>
            <w:tcMar>
              <w:left w:w="28" w:type="dxa"/>
              <w:right w:w="28" w:type="dxa"/>
            </w:tcMar>
          </w:tcPr>
          <w:p w:rsidR="003370C1" w:rsidRPr="003F619D" w:rsidRDefault="003370C1" w:rsidP="00135BC3">
            <w:pPr>
              <w:pStyle w:val="Tablewriting"/>
              <w:rPr>
                <w:rFonts w:eastAsia="MS Mincho"/>
              </w:rPr>
            </w:pPr>
            <w:r w:rsidRPr="003F619D">
              <w:rPr>
                <w:rFonts w:eastAsia="MS Mincho"/>
                <w:u w:val="single"/>
              </w:rPr>
              <w:t>Inclusion</w:t>
            </w:r>
            <w:r w:rsidRPr="003F619D">
              <w:rPr>
                <w:rFonts w:eastAsia="MS Mincho"/>
              </w:rPr>
              <w:t>:</w:t>
            </w:r>
          </w:p>
          <w:p w:rsidR="003370C1" w:rsidRPr="003F619D" w:rsidRDefault="003370C1" w:rsidP="00135BC3">
            <w:pPr>
              <w:pStyle w:val="Tablewriting"/>
              <w:rPr>
                <w:rFonts w:eastAsia="MS Mincho"/>
              </w:rPr>
            </w:pPr>
            <w:r w:rsidRPr="003F619D">
              <w:rPr>
                <w:rFonts w:eastAsia="MS Mincho"/>
              </w:rPr>
              <w:t>Adult smokers with an average age of approximately 45, who smoked at least 15 cigarettes a day</w:t>
            </w:r>
            <w:r w:rsidR="00F53921">
              <w:rPr>
                <w:rFonts w:eastAsia="MS Mincho"/>
              </w:rPr>
              <w:t>,</w:t>
            </w:r>
            <w:r w:rsidRPr="003F619D">
              <w:rPr>
                <w:rFonts w:eastAsia="MS Mincho"/>
              </w:rPr>
              <w:t xml:space="preserve"> </w:t>
            </w:r>
            <w:r w:rsidR="00F53921" w:rsidRPr="003F619D">
              <w:rPr>
                <w:rFonts w:eastAsia="MS Mincho"/>
              </w:rPr>
              <w:t>s</w:t>
            </w:r>
            <w:r w:rsidRPr="003F619D">
              <w:rPr>
                <w:rFonts w:eastAsia="MS Mincho"/>
              </w:rPr>
              <w:t xml:space="preserve">tudies lasted for at least six months. </w:t>
            </w:r>
          </w:p>
          <w:p w:rsidR="003370C1" w:rsidRPr="009830FA" w:rsidRDefault="003370C1" w:rsidP="00135BC3">
            <w:pPr>
              <w:pStyle w:val="Tablewriting"/>
              <w:rPr>
                <w:rFonts w:eastAsia="MS Mincho"/>
                <w:highlight w:val="yellow"/>
              </w:rPr>
            </w:pPr>
            <w:r w:rsidRPr="003F619D">
              <w:rPr>
                <w:rFonts w:eastAsia="MS Mincho"/>
                <w:u w:val="single"/>
              </w:rPr>
              <w:t>Exclusion</w:t>
            </w:r>
            <w:r w:rsidRPr="003F619D">
              <w:rPr>
                <w:rFonts w:eastAsia="MS Mincho"/>
              </w:rPr>
              <w:t xml:space="preserve">: Trials that did not assess cessation as an outcome, with follow-up less than six months, and with additional intervention components not matched between arms. Trials comparing NRT to control, and trials comparing NRT to other pharmacotherapies. </w:t>
            </w:r>
          </w:p>
        </w:tc>
        <w:tc>
          <w:tcPr>
            <w:tcW w:w="746" w:type="pct"/>
          </w:tcPr>
          <w:p w:rsidR="003370C1" w:rsidRPr="00186C2B" w:rsidRDefault="003370C1" w:rsidP="00135BC3">
            <w:pPr>
              <w:pStyle w:val="Tablewriting"/>
              <w:rPr>
                <w:rFonts w:eastAsia="MS Mincho"/>
                <w:highlight w:val="yellow"/>
              </w:rPr>
            </w:pPr>
            <w:r w:rsidRPr="009830FA">
              <w:rPr>
                <w:rFonts w:eastAsia="MS Mincho"/>
              </w:rPr>
              <w:t>Abrupt withdrawal versus tapering</w:t>
            </w:r>
            <w:r w:rsidR="00ED0CBA">
              <w:rPr>
                <w:rFonts w:eastAsia="MS Mincho"/>
              </w:rPr>
              <w:t>.</w:t>
            </w:r>
          </w:p>
        </w:tc>
        <w:tc>
          <w:tcPr>
            <w:tcW w:w="823" w:type="pct"/>
            <w:tcMar>
              <w:left w:w="28" w:type="dxa"/>
              <w:right w:w="28" w:type="dxa"/>
            </w:tcMar>
          </w:tcPr>
          <w:p w:rsidR="003370C1" w:rsidRPr="006E7EED" w:rsidRDefault="003370C1" w:rsidP="00135BC3">
            <w:pPr>
              <w:pStyle w:val="Tablewriting"/>
              <w:rPr>
                <w:rFonts w:eastAsia="MS Mincho"/>
              </w:rPr>
            </w:pPr>
            <w:r w:rsidRPr="006E7EED">
              <w:rPr>
                <w:rFonts w:eastAsia="MS Mincho"/>
                <w:u w:val="single"/>
              </w:rPr>
              <w:t>Primary</w:t>
            </w:r>
            <w:r w:rsidRPr="006E7EED">
              <w:rPr>
                <w:rFonts w:eastAsia="MS Mincho"/>
              </w:rPr>
              <w:t>: smoking cessation rates of at least six months after baseline.</w:t>
            </w:r>
          </w:p>
          <w:p w:rsidR="003370C1" w:rsidRPr="0050095A" w:rsidRDefault="003370C1" w:rsidP="00135BC3">
            <w:pPr>
              <w:pStyle w:val="Tablewriting"/>
              <w:rPr>
                <w:rFonts w:eastAsia="MS Mincho"/>
                <w:u w:val="single"/>
              </w:rPr>
            </w:pPr>
            <w:r w:rsidRPr="00E44230">
              <w:rPr>
                <w:rFonts w:eastAsia="MS Mincho"/>
                <w:u w:val="single"/>
              </w:rPr>
              <w:t>Secondary</w:t>
            </w:r>
            <w:r w:rsidRPr="00E44230">
              <w:rPr>
                <w:rFonts w:eastAsia="MS Mincho"/>
              </w:rPr>
              <w:t>: safety including</w:t>
            </w:r>
            <w:r>
              <w:rPr>
                <w:rFonts w:eastAsia="MS Mincho"/>
              </w:rPr>
              <w:t xml:space="preserve"> treatment </w:t>
            </w:r>
            <w:r w:rsidRPr="00E44230">
              <w:rPr>
                <w:rFonts w:eastAsia="MS Mincho"/>
              </w:rPr>
              <w:t>withdrawals</w:t>
            </w:r>
            <w:r>
              <w:rPr>
                <w:rFonts w:eastAsia="MS Mincho"/>
              </w:rPr>
              <w:t xml:space="preserve">. </w:t>
            </w:r>
          </w:p>
        </w:tc>
      </w:tr>
      <w:tr w:rsidR="005A4731" w:rsidRPr="00061F78" w:rsidTr="007231A4">
        <w:trPr>
          <w:trHeight w:val="149"/>
        </w:trPr>
        <w:tc>
          <w:tcPr>
            <w:tcW w:w="5000" w:type="pct"/>
            <w:gridSpan w:val="6"/>
            <w:shd w:val="clear" w:color="auto" w:fill="auto"/>
            <w:tcMar>
              <w:left w:w="28" w:type="dxa"/>
              <w:right w:w="28" w:type="dxa"/>
            </w:tcMar>
          </w:tcPr>
          <w:p w:rsidR="005A4731" w:rsidRPr="005A4731" w:rsidRDefault="005A4731" w:rsidP="00135BC3">
            <w:pPr>
              <w:pStyle w:val="Tablewriting"/>
              <w:rPr>
                <w:rFonts w:eastAsia="MS Mincho"/>
                <w:b/>
                <w:bCs/>
                <w:u w:val="single"/>
              </w:rPr>
            </w:pPr>
            <w:r w:rsidRPr="005A4731">
              <w:rPr>
                <w:rFonts w:eastAsia="MS Mincho"/>
                <w:b/>
                <w:bCs/>
              </w:rPr>
              <w:t>Fixed versus ad lib dose schedule</w:t>
            </w:r>
          </w:p>
        </w:tc>
      </w:tr>
      <w:tr w:rsidR="003370C1" w:rsidRPr="00061F78" w:rsidTr="005B4B93">
        <w:trPr>
          <w:trHeight w:val="149"/>
        </w:trPr>
        <w:tc>
          <w:tcPr>
            <w:tcW w:w="241" w:type="pct"/>
            <w:tcMar>
              <w:left w:w="28" w:type="dxa"/>
              <w:right w:w="28" w:type="dxa"/>
            </w:tcMar>
          </w:tcPr>
          <w:p w:rsidR="003370C1" w:rsidRDefault="003370C1" w:rsidP="00135BC3">
            <w:pPr>
              <w:pStyle w:val="Tablewriting"/>
              <w:rPr>
                <w:rFonts w:eastAsia="MS Mincho"/>
              </w:rPr>
            </w:pPr>
            <w:r>
              <w:t>Lindson</w:t>
            </w:r>
            <w:r w:rsidRPr="00713891">
              <w:t xml:space="preserve"> (201</w:t>
            </w:r>
            <w:r>
              <w:t>9</w:t>
            </w:r>
            <w:r w:rsidRPr="00713891">
              <w:t>)</w:t>
            </w:r>
          </w:p>
        </w:tc>
        <w:tc>
          <w:tcPr>
            <w:tcW w:w="347" w:type="pct"/>
          </w:tcPr>
          <w:p w:rsidR="003370C1" w:rsidRPr="006B5D28" w:rsidRDefault="003370C1" w:rsidP="00135BC3">
            <w:pPr>
              <w:pStyle w:val="Tablewriting"/>
              <w:rPr>
                <w:rFonts w:eastAsia="MS Mincho"/>
              </w:rPr>
            </w:pPr>
            <w:r w:rsidRPr="006B5D28">
              <w:rPr>
                <w:rFonts w:eastAsia="MS Mincho"/>
              </w:rPr>
              <w:t xml:space="preserve">Cochrane </w:t>
            </w:r>
            <w:r w:rsidR="00135BC3">
              <w:rPr>
                <w:rFonts w:eastAsia="MS Mincho"/>
              </w:rPr>
              <w:t>R</w:t>
            </w:r>
            <w:r w:rsidRPr="006B5D28">
              <w:rPr>
                <w:rFonts w:eastAsia="MS Mincho"/>
              </w:rPr>
              <w:t xml:space="preserve">eview </w:t>
            </w:r>
          </w:p>
          <w:p w:rsidR="003370C1" w:rsidRPr="00186C2B" w:rsidRDefault="003370C1" w:rsidP="00135BC3">
            <w:pPr>
              <w:pStyle w:val="Tablewriting"/>
              <w:rPr>
                <w:rFonts w:eastAsia="MS Mincho"/>
                <w:highlight w:val="yellow"/>
              </w:rPr>
            </w:pPr>
            <w:r w:rsidRPr="006B5D28">
              <w:rPr>
                <w:rFonts w:eastAsia="MS Mincho"/>
              </w:rPr>
              <w:t>(</w:t>
            </w:r>
            <w:r>
              <w:rPr>
                <w:rFonts w:eastAsia="MS Mincho"/>
              </w:rPr>
              <w:t>4</w:t>
            </w:r>
            <w:r w:rsidRPr="006B5D28">
              <w:rPr>
                <w:rFonts w:eastAsia="MS Mincho"/>
              </w:rPr>
              <w:t xml:space="preserve"> RCTs</w:t>
            </w:r>
            <w:r w:rsidRPr="006B5D28">
              <w:rPr>
                <w:rFonts w:eastAsia="MS Mincho"/>
                <w:vertAlign w:val="superscript"/>
              </w:rPr>
              <w:t>2</w:t>
            </w:r>
            <w:r w:rsidRPr="006B5D28">
              <w:rPr>
                <w:rFonts w:eastAsia="MS Mincho"/>
              </w:rPr>
              <w:t>)</w:t>
            </w:r>
          </w:p>
        </w:tc>
        <w:tc>
          <w:tcPr>
            <w:tcW w:w="903" w:type="pct"/>
            <w:tcMar>
              <w:left w:w="28" w:type="dxa"/>
              <w:right w:w="28" w:type="dxa"/>
            </w:tcMar>
          </w:tcPr>
          <w:p w:rsidR="003370C1" w:rsidRPr="00186C2B" w:rsidRDefault="003370C1" w:rsidP="00135BC3">
            <w:pPr>
              <w:pStyle w:val="Tablewriting"/>
              <w:rPr>
                <w:rFonts w:eastAsia="MS Mincho"/>
                <w:highlight w:val="yellow"/>
                <w:u w:val="single"/>
              </w:rPr>
            </w:pPr>
            <w:r>
              <w:rPr>
                <w:rFonts w:eastAsia="MS Mincho"/>
                <w:u w:val="single"/>
              </w:rPr>
              <w:t>Gum fixed dosing</w:t>
            </w:r>
            <w:r w:rsidRPr="006B5D28">
              <w:rPr>
                <w:rFonts w:eastAsia="MS Mincho"/>
                <w:u w:val="single"/>
              </w:rPr>
              <w:t xml:space="preserve"> versu</w:t>
            </w:r>
            <w:r>
              <w:rPr>
                <w:rFonts w:eastAsia="MS Mincho"/>
                <w:u w:val="single"/>
              </w:rPr>
              <w:t>s ad lib dosing</w:t>
            </w:r>
          </w:p>
          <w:p w:rsidR="003370C1" w:rsidRDefault="003370C1" w:rsidP="00135BC3">
            <w:pPr>
              <w:pStyle w:val="Tablewriting"/>
              <w:rPr>
                <w:rFonts w:eastAsia="MS Mincho"/>
              </w:rPr>
            </w:pPr>
            <w:r w:rsidRPr="005A1EEB">
              <w:rPr>
                <w:rFonts w:eastAsia="MS Mincho"/>
              </w:rPr>
              <w:t xml:space="preserve">N= </w:t>
            </w:r>
            <w:r>
              <w:rPr>
                <w:rFonts w:eastAsia="MS Mincho"/>
              </w:rPr>
              <w:t>689</w:t>
            </w:r>
          </w:p>
          <w:p w:rsidR="003370C1" w:rsidRDefault="003370C1" w:rsidP="00135BC3">
            <w:pPr>
              <w:pStyle w:val="Tablewriting"/>
              <w:rPr>
                <w:rFonts w:eastAsia="MS Mincho"/>
                <w:u w:val="single"/>
              </w:rPr>
            </w:pPr>
          </w:p>
          <w:p w:rsidR="003370C1" w:rsidRPr="00186C2B" w:rsidRDefault="003370C1" w:rsidP="00135BC3">
            <w:pPr>
              <w:pStyle w:val="Tablewriting"/>
              <w:rPr>
                <w:rFonts w:eastAsia="MS Mincho"/>
                <w:highlight w:val="yellow"/>
                <w:u w:val="single"/>
              </w:rPr>
            </w:pPr>
            <w:r>
              <w:rPr>
                <w:rFonts w:eastAsia="MS Mincho"/>
                <w:u w:val="single"/>
              </w:rPr>
              <w:t>Nasal spray fixed dosing</w:t>
            </w:r>
            <w:r w:rsidRPr="006B5D28">
              <w:rPr>
                <w:rFonts w:eastAsia="MS Mincho"/>
                <w:u w:val="single"/>
              </w:rPr>
              <w:t xml:space="preserve"> versu</w:t>
            </w:r>
            <w:r>
              <w:rPr>
                <w:rFonts w:eastAsia="MS Mincho"/>
                <w:u w:val="single"/>
              </w:rPr>
              <w:t>s ad lib dosing</w:t>
            </w:r>
          </w:p>
          <w:p w:rsidR="003370C1" w:rsidRPr="00135BC3" w:rsidRDefault="003370C1" w:rsidP="00135BC3">
            <w:pPr>
              <w:pStyle w:val="Tablewriting"/>
              <w:rPr>
                <w:rFonts w:eastAsia="MS Mincho"/>
              </w:rPr>
            </w:pPr>
            <w:r w:rsidRPr="005A1EEB">
              <w:rPr>
                <w:rFonts w:eastAsia="MS Mincho"/>
              </w:rPr>
              <w:t xml:space="preserve">N= </w:t>
            </w:r>
            <w:r>
              <w:rPr>
                <w:rFonts w:eastAsia="MS Mincho"/>
              </w:rPr>
              <w:t>139</w:t>
            </w:r>
          </w:p>
        </w:tc>
        <w:tc>
          <w:tcPr>
            <w:tcW w:w="1940" w:type="pct"/>
            <w:tcMar>
              <w:left w:w="28" w:type="dxa"/>
              <w:right w:w="28" w:type="dxa"/>
            </w:tcMar>
          </w:tcPr>
          <w:p w:rsidR="003370C1" w:rsidRPr="003F619D" w:rsidRDefault="003370C1" w:rsidP="00135BC3">
            <w:pPr>
              <w:pStyle w:val="Tablewriting"/>
              <w:rPr>
                <w:rFonts w:eastAsia="MS Mincho"/>
              </w:rPr>
            </w:pPr>
            <w:r w:rsidRPr="003F619D">
              <w:rPr>
                <w:rFonts w:eastAsia="MS Mincho"/>
                <w:u w:val="single"/>
              </w:rPr>
              <w:t>Inclusion</w:t>
            </w:r>
            <w:r w:rsidRPr="003F619D">
              <w:rPr>
                <w:rFonts w:eastAsia="MS Mincho"/>
              </w:rPr>
              <w:t xml:space="preserve">: </w:t>
            </w:r>
          </w:p>
          <w:p w:rsidR="003370C1" w:rsidRPr="003F619D" w:rsidRDefault="003370C1" w:rsidP="00135BC3">
            <w:pPr>
              <w:pStyle w:val="Tablewriting"/>
              <w:rPr>
                <w:rFonts w:eastAsia="MS Mincho"/>
              </w:rPr>
            </w:pPr>
            <w:r w:rsidRPr="003F619D">
              <w:rPr>
                <w:rFonts w:eastAsia="MS Mincho"/>
              </w:rPr>
              <w:t>Adult smokers with an average age of approximately 45, who smoked at least 15 cigarettes a day</w:t>
            </w:r>
            <w:r w:rsidR="00F53921">
              <w:rPr>
                <w:rFonts w:eastAsia="MS Mincho"/>
              </w:rPr>
              <w:t>,</w:t>
            </w:r>
            <w:r w:rsidRPr="003F619D">
              <w:rPr>
                <w:rFonts w:eastAsia="MS Mincho"/>
              </w:rPr>
              <w:t xml:space="preserve"> </w:t>
            </w:r>
            <w:r w:rsidR="00F53921" w:rsidRPr="003F619D">
              <w:rPr>
                <w:rFonts w:eastAsia="MS Mincho"/>
              </w:rPr>
              <w:t>s</w:t>
            </w:r>
            <w:r w:rsidRPr="003F619D">
              <w:rPr>
                <w:rFonts w:eastAsia="MS Mincho"/>
              </w:rPr>
              <w:t>tudies lasted for at least six months.</w:t>
            </w:r>
          </w:p>
          <w:p w:rsidR="003370C1" w:rsidRPr="00186C2B" w:rsidRDefault="003370C1" w:rsidP="00135BC3">
            <w:pPr>
              <w:pStyle w:val="Tablewriting"/>
              <w:rPr>
                <w:rFonts w:eastAsia="MS Mincho"/>
                <w:highlight w:val="yellow"/>
                <w:u w:val="single"/>
              </w:rPr>
            </w:pPr>
            <w:r w:rsidRPr="003F619D">
              <w:rPr>
                <w:rFonts w:eastAsia="MS Mincho"/>
                <w:u w:val="single"/>
              </w:rPr>
              <w:t>Exclusion</w:t>
            </w:r>
            <w:r w:rsidRPr="003F619D">
              <w:rPr>
                <w:rFonts w:eastAsia="MS Mincho"/>
              </w:rPr>
              <w:t>: Trials that did not assess cessation as an outcome, with follow-up less than six months, and with additional intervention components not matched between arms. Trials comparing NRT to control, and trials comparing NRT to other pharmacotherapies.</w:t>
            </w:r>
          </w:p>
        </w:tc>
        <w:tc>
          <w:tcPr>
            <w:tcW w:w="746" w:type="pct"/>
          </w:tcPr>
          <w:p w:rsidR="003370C1" w:rsidRPr="00186C2B" w:rsidRDefault="00F53921" w:rsidP="00135BC3">
            <w:pPr>
              <w:pStyle w:val="Tablewriting"/>
              <w:rPr>
                <w:rFonts w:eastAsia="MS Mincho"/>
                <w:highlight w:val="yellow"/>
              </w:rPr>
            </w:pPr>
            <w:r w:rsidRPr="00895889">
              <w:rPr>
                <w:rFonts w:eastAsia="MS Mincho"/>
              </w:rPr>
              <w:t>F</w:t>
            </w:r>
            <w:r w:rsidR="003370C1" w:rsidRPr="00895889">
              <w:rPr>
                <w:rFonts w:eastAsia="MS Mincho"/>
              </w:rPr>
              <w:t>ixed dosing versus ad lib dosing</w:t>
            </w:r>
            <w:r w:rsidR="00ED0CBA">
              <w:rPr>
                <w:rFonts w:eastAsia="MS Mincho"/>
              </w:rPr>
              <w:t>.</w:t>
            </w:r>
          </w:p>
        </w:tc>
        <w:tc>
          <w:tcPr>
            <w:tcW w:w="823" w:type="pct"/>
            <w:tcMar>
              <w:left w:w="28" w:type="dxa"/>
              <w:right w:w="28" w:type="dxa"/>
            </w:tcMar>
          </w:tcPr>
          <w:p w:rsidR="003370C1" w:rsidRPr="00E44230" w:rsidRDefault="003370C1" w:rsidP="00135BC3">
            <w:pPr>
              <w:pStyle w:val="Tablewriting"/>
              <w:rPr>
                <w:rFonts w:eastAsia="MS Mincho"/>
              </w:rPr>
            </w:pPr>
            <w:r w:rsidRPr="006E7EED">
              <w:rPr>
                <w:rFonts w:eastAsia="MS Mincho"/>
                <w:u w:val="single"/>
              </w:rPr>
              <w:t>Primary</w:t>
            </w:r>
            <w:r w:rsidRPr="006E7EED">
              <w:rPr>
                <w:rFonts w:eastAsia="MS Mincho"/>
              </w:rPr>
              <w:t xml:space="preserve">: smoking cessation rates of at least six months </w:t>
            </w:r>
            <w:r w:rsidRPr="00E44230">
              <w:rPr>
                <w:rFonts w:eastAsia="MS Mincho"/>
              </w:rPr>
              <w:t>after baseline.</w:t>
            </w:r>
          </w:p>
          <w:p w:rsidR="003370C1" w:rsidRPr="00C64474" w:rsidRDefault="003370C1" w:rsidP="00135BC3">
            <w:pPr>
              <w:pStyle w:val="Tablewriting"/>
              <w:rPr>
                <w:rFonts w:eastAsia="MS Mincho"/>
              </w:rPr>
            </w:pPr>
            <w:r w:rsidRPr="00E44230">
              <w:rPr>
                <w:rFonts w:eastAsia="MS Mincho"/>
                <w:u w:val="single"/>
              </w:rPr>
              <w:t>Secondary</w:t>
            </w:r>
            <w:r w:rsidRPr="00E44230">
              <w:rPr>
                <w:rFonts w:eastAsia="MS Mincho"/>
              </w:rPr>
              <w:t>: safety including serious adverse events and treatment withdrawals.</w:t>
            </w:r>
            <w:r>
              <w:rPr>
                <w:rFonts w:eastAsia="MS Mincho"/>
              </w:rPr>
              <w:t xml:space="preserve"> </w:t>
            </w:r>
            <w:r w:rsidRPr="0050095A">
              <w:rPr>
                <w:rFonts w:eastAsia="MS Mincho"/>
              </w:rPr>
              <w:t xml:space="preserve"> </w:t>
            </w:r>
          </w:p>
        </w:tc>
      </w:tr>
      <w:tr w:rsidR="005A4731" w:rsidRPr="00061F78" w:rsidTr="007231A4">
        <w:trPr>
          <w:trHeight w:val="149"/>
        </w:trPr>
        <w:tc>
          <w:tcPr>
            <w:tcW w:w="5000" w:type="pct"/>
            <w:gridSpan w:val="6"/>
            <w:shd w:val="clear" w:color="auto" w:fill="auto"/>
            <w:tcMar>
              <w:left w:w="28" w:type="dxa"/>
              <w:right w:w="28" w:type="dxa"/>
            </w:tcMar>
          </w:tcPr>
          <w:p w:rsidR="005A4731" w:rsidRPr="006E7EED" w:rsidRDefault="005A4731" w:rsidP="00135BC3">
            <w:pPr>
              <w:pStyle w:val="Tablewriting"/>
              <w:rPr>
                <w:rFonts w:eastAsia="MS Mincho"/>
                <w:u w:val="single"/>
              </w:rPr>
            </w:pPr>
            <w:r w:rsidRPr="00895889">
              <w:rPr>
                <w:rFonts w:eastAsia="MS Mincho"/>
                <w:b/>
                <w:bCs/>
              </w:rPr>
              <w:t>Preloading versus standard use</w:t>
            </w:r>
          </w:p>
        </w:tc>
      </w:tr>
      <w:tr w:rsidR="003370C1" w:rsidRPr="00061F78" w:rsidTr="005B4B93">
        <w:trPr>
          <w:trHeight w:val="149"/>
        </w:trPr>
        <w:tc>
          <w:tcPr>
            <w:tcW w:w="241" w:type="pct"/>
            <w:tcMar>
              <w:left w:w="28" w:type="dxa"/>
              <w:right w:w="28" w:type="dxa"/>
            </w:tcMar>
          </w:tcPr>
          <w:p w:rsidR="003370C1" w:rsidRDefault="003370C1" w:rsidP="00135BC3">
            <w:pPr>
              <w:pStyle w:val="Tablewriting"/>
            </w:pPr>
            <w:r>
              <w:t>Lindson</w:t>
            </w:r>
            <w:r w:rsidRPr="00713891">
              <w:t xml:space="preserve"> (201</w:t>
            </w:r>
            <w:r>
              <w:t>9</w:t>
            </w:r>
            <w:r w:rsidRPr="00713891">
              <w:t>)</w:t>
            </w:r>
          </w:p>
        </w:tc>
        <w:tc>
          <w:tcPr>
            <w:tcW w:w="347" w:type="pct"/>
          </w:tcPr>
          <w:p w:rsidR="003370C1" w:rsidRPr="002F0CA7" w:rsidRDefault="003370C1" w:rsidP="00135BC3">
            <w:pPr>
              <w:pStyle w:val="Tablewriting"/>
              <w:rPr>
                <w:rFonts w:eastAsia="MS Mincho"/>
              </w:rPr>
            </w:pPr>
            <w:r w:rsidRPr="002F0CA7">
              <w:rPr>
                <w:rFonts w:eastAsia="MS Mincho"/>
              </w:rPr>
              <w:t xml:space="preserve">Cochrane review </w:t>
            </w:r>
          </w:p>
          <w:p w:rsidR="003370C1" w:rsidRPr="00186C2B" w:rsidRDefault="003370C1" w:rsidP="00135BC3">
            <w:pPr>
              <w:pStyle w:val="Tablewriting"/>
              <w:rPr>
                <w:rFonts w:eastAsia="MS Mincho"/>
                <w:highlight w:val="yellow"/>
              </w:rPr>
            </w:pPr>
            <w:r w:rsidRPr="002F0CA7">
              <w:rPr>
                <w:rFonts w:eastAsia="MS Mincho"/>
              </w:rPr>
              <w:t>(</w:t>
            </w:r>
            <w:r>
              <w:rPr>
                <w:rFonts w:eastAsia="MS Mincho"/>
              </w:rPr>
              <w:t>9</w:t>
            </w:r>
            <w:r w:rsidRPr="002F0CA7">
              <w:rPr>
                <w:rFonts w:eastAsia="MS Mincho"/>
              </w:rPr>
              <w:t xml:space="preserve"> RCTs</w:t>
            </w:r>
            <w:r w:rsidRPr="002F0CA7">
              <w:rPr>
                <w:rFonts w:eastAsia="MS Mincho"/>
                <w:vertAlign w:val="superscript"/>
              </w:rPr>
              <w:t>2</w:t>
            </w:r>
            <w:r w:rsidRPr="002F0CA7">
              <w:rPr>
                <w:rFonts w:eastAsia="MS Mincho"/>
              </w:rPr>
              <w:t>)</w:t>
            </w:r>
          </w:p>
        </w:tc>
        <w:tc>
          <w:tcPr>
            <w:tcW w:w="903" w:type="pct"/>
            <w:tcMar>
              <w:left w:w="28" w:type="dxa"/>
              <w:right w:w="28" w:type="dxa"/>
            </w:tcMar>
          </w:tcPr>
          <w:p w:rsidR="003370C1" w:rsidRDefault="003370C1" w:rsidP="00135BC3">
            <w:pPr>
              <w:pStyle w:val="Tablewriting"/>
              <w:rPr>
                <w:rFonts w:eastAsia="MS Mincho"/>
                <w:highlight w:val="yellow"/>
                <w:u w:val="single"/>
              </w:rPr>
            </w:pPr>
            <w:r>
              <w:rPr>
                <w:rFonts w:eastAsia="MS Mincho"/>
                <w:u w:val="single"/>
              </w:rPr>
              <w:t xml:space="preserve">Patch preloading </w:t>
            </w:r>
            <w:r w:rsidRPr="002F0CA7">
              <w:rPr>
                <w:rFonts w:eastAsia="MS Mincho"/>
                <w:u w:val="single"/>
              </w:rPr>
              <w:t xml:space="preserve">versus </w:t>
            </w:r>
            <w:r>
              <w:rPr>
                <w:rFonts w:eastAsia="MS Mincho"/>
                <w:u w:val="single"/>
              </w:rPr>
              <w:t>standard use</w:t>
            </w:r>
          </w:p>
          <w:p w:rsidR="003370C1" w:rsidRPr="002F0CA7" w:rsidRDefault="003370C1" w:rsidP="00135BC3">
            <w:pPr>
              <w:pStyle w:val="Tablewriting"/>
              <w:rPr>
                <w:rFonts w:eastAsia="MS Mincho"/>
              </w:rPr>
            </w:pPr>
            <w:r w:rsidRPr="002F0CA7">
              <w:rPr>
                <w:rFonts w:eastAsia="MS Mincho"/>
              </w:rPr>
              <w:t xml:space="preserve">N= </w:t>
            </w:r>
            <w:r>
              <w:rPr>
                <w:rFonts w:eastAsia="MS Mincho"/>
              </w:rPr>
              <w:t xml:space="preserve">3830 </w:t>
            </w:r>
            <w:r w:rsidRPr="002F0CA7">
              <w:rPr>
                <w:rFonts w:eastAsia="MS Mincho"/>
              </w:rPr>
              <w:t>(</w:t>
            </w:r>
            <w:r>
              <w:rPr>
                <w:rFonts w:eastAsia="MS Mincho"/>
              </w:rPr>
              <w:t xml:space="preserve">9 </w:t>
            </w:r>
            <w:r w:rsidRPr="002F0CA7">
              <w:rPr>
                <w:rFonts w:eastAsia="MS Mincho"/>
              </w:rPr>
              <w:t>RCT)</w:t>
            </w:r>
          </w:p>
          <w:p w:rsidR="003370C1" w:rsidRDefault="003370C1" w:rsidP="00135BC3">
            <w:pPr>
              <w:pStyle w:val="Tablewriting"/>
              <w:rPr>
                <w:rFonts w:eastAsia="MS Mincho"/>
              </w:rPr>
            </w:pPr>
            <w:r>
              <w:rPr>
                <w:rFonts w:eastAsia="MS Mincho"/>
              </w:rPr>
              <w:t xml:space="preserve">Preloading </w:t>
            </w:r>
            <w:r w:rsidRPr="002F0CA7">
              <w:rPr>
                <w:rFonts w:eastAsia="MS Mincho"/>
              </w:rPr>
              <w:t>(n=</w:t>
            </w:r>
            <w:r>
              <w:rPr>
                <w:rFonts w:eastAsia="MS Mincho"/>
              </w:rPr>
              <w:t>1988</w:t>
            </w:r>
            <w:r w:rsidRPr="002F0CA7">
              <w:rPr>
                <w:rFonts w:eastAsia="MS Mincho"/>
              </w:rPr>
              <w:t>),</w:t>
            </w:r>
            <w:r>
              <w:rPr>
                <w:rFonts w:eastAsia="MS Mincho"/>
              </w:rPr>
              <w:t xml:space="preserve"> standard use </w:t>
            </w:r>
            <w:r w:rsidRPr="002F0CA7">
              <w:rPr>
                <w:rFonts w:eastAsia="MS Mincho"/>
              </w:rPr>
              <w:t>(n=</w:t>
            </w:r>
            <w:r>
              <w:rPr>
                <w:rFonts w:eastAsia="MS Mincho"/>
              </w:rPr>
              <w:t>1842</w:t>
            </w:r>
            <w:r w:rsidRPr="002F0CA7">
              <w:rPr>
                <w:rFonts w:eastAsia="MS Mincho"/>
              </w:rPr>
              <w:t>)</w:t>
            </w:r>
          </w:p>
          <w:p w:rsidR="003370C1" w:rsidRDefault="003370C1" w:rsidP="00135BC3">
            <w:pPr>
              <w:pStyle w:val="Tablewriting"/>
              <w:rPr>
                <w:rFonts w:eastAsia="MS Mincho"/>
              </w:rPr>
            </w:pPr>
          </w:p>
          <w:p w:rsidR="003370C1" w:rsidRDefault="003370C1" w:rsidP="00135BC3">
            <w:pPr>
              <w:pStyle w:val="Tablewriting"/>
              <w:rPr>
                <w:rFonts w:eastAsia="MS Mincho"/>
                <w:highlight w:val="yellow"/>
                <w:u w:val="single"/>
              </w:rPr>
            </w:pPr>
            <w:r>
              <w:rPr>
                <w:rFonts w:eastAsia="MS Mincho"/>
                <w:u w:val="single"/>
              </w:rPr>
              <w:t xml:space="preserve">Gum preloading </w:t>
            </w:r>
            <w:r w:rsidRPr="002F0CA7">
              <w:rPr>
                <w:rFonts w:eastAsia="MS Mincho"/>
                <w:u w:val="single"/>
              </w:rPr>
              <w:t xml:space="preserve">versus </w:t>
            </w:r>
            <w:r>
              <w:rPr>
                <w:rFonts w:eastAsia="MS Mincho"/>
                <w:u w:val="single"/>
              </w:rPr>
              <w:t>standard use</w:t>
            </w:r>
          </w:p>
          <w:p w:rsidR="003370C1" w:rsidRPr="002F0CA7" w:rsidRDefault="003370C1" w:rsidP="00135BC3">
            <w:pPr>
              <w:pStyle w:val="Tablewriting"/>
              <w:rPr>
                <w:rFonts w:eastAsia="MS Mincho"/>
              </w:rPr>
            </w:pPr>
            <w:r w:rsidRPr="002F0CA7">
              <w:rPr>
                <w:rFonts w:eastAsia="MS Mincho"/>
              </w:rPr>
              <w:t xml:space="preserve">N= </w:t>
            </w:r>
            <w:r>
              <w:rPr>
                <w:rFonts w:eastAsia="MS Mincho"/>
              </w:rPr>
              <w:t xml:space="preserve">306 </w:t>
            </w:r>
            <w:r w:rsidRPr="002F0CA7">
              <w:rPr>
                <w:rFonts w:eastAsia="MS Mincho"/>
              </w:rPr>
              <w:t>(</w:t>
            </w:r>
            <w:r>
              <w:rPr>
                <w:rFonts w:eastAsia="MS Mincho"/>
              </w:rPr>
              <w:t xml:space="preserve">2 </w:t>
            </w:r>
            <w:r w:rsidRPr="002F0CA7">
              <w:rPr>
                <w:rFonts w:eastAsia="MS Mincho"/>
              </w:rPr>
              <w:t>RCT)</w:t>
            </w:r>
          </w:p>
          <w:p w:rsidR="003370C1" w:rsidRDefault="003370C1" w:rsidP="00135BC3">
            <w:pPr>
              <w:pStyle w:val="Tablewriting"/>
              <w:rPr>
                <w:rFonts w:eastAsia="MS Mincho"/>
              </w:rPr>
            </w:pPr>
            <w:r>
              <w:rPr>
                <w:rFonts w:eastAsia="MS Mincho"/>
              </w:rPr>
              <w:t xml:space="preserve">Preloading </w:t>
            </w:r>
            <w:r w:rsidRPr="002F0CA7">
              <w:rPr>
                <w:rFonts w:eastAsia="MS Mincho"/>
              </w:rPr>
              <w:t>(n=</w:t>
            </w:r>
            <w:r>
              <w:rPr>
                <w:rFonts w:eastAsia="MS Mincho"/>
              </w:rPr>
              <w:t>199</w:t>
            </w:r>
            <w:r w:rsidRPr="002F0CA7">
              <w:rPr>
                <w:rFonts w:eastAsia="MS Mincho"/>
              </w:rPr>
              <w:t>),</w:t>
            </w:r>
            <w:r>
              <w:rPr>
                <w:rFonts w:eastAsia="MS Mincho"/>
              </w:rPr>
              <w:t xml:space="preserve"> standard use </w:t>
            </w:r>
            <w:r w:rsidRPr="002F0CA7">
              <w:rPr>
                <w:rFonts w:eastAsia="MS Mincho"/>
              </w:rPr>
              <w:t>(n=</w:t>
            </w:r>
            <w:r>
              <w:rPr>
                <w:rFonts w:eastAsia="MS Mincho"/>
              </w:rPr>
              <w:t>107</w:t>
            </w:r>
            <w:r w:rsidRPr="002F0CA7">
              <w:rPr>
                <w:rFonts w:eastAsia="MS Mincho"/>
              </w:rPr>
              <w:t>)</w:t>
            </w:r>
          </w:p>
          <w:p w:rsidR="003370C1" w:rsidRDefault="003370C1" w:rsidP="00135BC3">
            <w:pPr>
              <w:pStyle w:val="Tablewriting"/>
              <w:rPr>
                <w:rFonts w:eastAsia="MS Mincho"/>
              </w:rPr>
            </w:pPr>
          </w:p>
          <w:p w:rsidR="003370C1" w:rsidRDefault="003370C1" w:rsidP="00135BC3">
            <w:pPr>
              <w:pStyle w:val="Tablewriting"/>
              <w:rPr>
                <w:rFonts w:eastAsia="MS Mincho"/>
                <w:highlight w:val="yellow"/>
                <w:u w:val="single"/>
              </w:rPr>
            </w:pPr>
            <w:r>
              <w:rPr>
                <w:rFonts w:eastAsia="MS Mincho"/>
                <w:u w:val="single"/>
              </w:rPr>
              <w:lastRenderedPageBreak/>
              <w:t xml:space="preserve">Patch + gum preloading </w:t>
            </w:r>
            <w:r w:rsidRPr="002F0CA7">
              <w:rPr>
                <w:rFonts w:eastAsia="MS Mincho"/>
                <w:u w:val="single"/>
              </w:rPr>
              <w:t xml:space="preserve">versus </w:t>
            </w:r>
            <w:r>
              <w:rPr>
                <w:rFonts w:eastAsia="MS Mincho"/>
                <w:u w:val="single"/>
              </w:rPr>
              <w:t>standard use</w:t>
            </w:r>
          </w:p>
          <w:p w:rsidR="003370C1" w:rsidRPr="002F0CA7" w:rsidRDefault="003370C1" w:rsidP="00135BC3">
            <w:pPr>
              <w:pStyle w:val="Tablewriting"/>
              <w:rPr>
                <w:rFonts w:eastAsia="MS Mincho"/>
              </w:rPr>
            </w:pPr>
            <w:r w:rsidRPr="002F0CA7">
              <w:rPr>
                <w:rFonts w:eastAsia="MS Mincho"/>
              </w:rPr>
              <w:t xml:space="preserve">N= </w:t>
            </w:r>
            <w:r>
              <w:rPr>
                <w:rFonts w:eastAsia="MS Mincho"/>
              </w:rPr>
              <w:t xml:space="preserve">259 </w:t>
            </w:r>
            <w:r w:rsidRPr="002F0CA7">
              <w:rPr>
                <w:rFonts w:eastAsia="MS Mincho"/>
              </w:rPr>
              <w:t>(</w:t>
            </w:r>
            <w:r>
              <w:rPr>
                <w:rFonts w:eastAsia="MS Mincho"/>
              </w:rPr>
              <w:t xml:space="preserve">2 </w:t>
            </w:r>
            <w:r w:rsidRPr="002F0CA7">
              <w:rPr>
                <w:rFonts w:eastAsia="MS Mincho"/>
              </w:rPr>
              <w:t>RCT)</w:t>
            </w:r>
          </w:p>
          <w:p w:rsidR="003370C1" w:rsidRPr="00F4262F" w:rsidRDefault="003370C1" w:rsidP="00135BC3">
            <w:pPr>
              <w:pStyle w:val="Tablewriting"/>
              <w:rPr>
                <w:rFonts w:eastAsia="MS Mincho"/>
              </w:rPr>
            </w:pPr>
            <w:r>
              <w:rPr>
                <w:rFonts w:eastAsia="MS Mincho"/>
              </w:rPr>
              <w:t xml:space="preserve">Preloading </w:t>
            </w:r>
            <w:r w:rsidRPr="002F0CA7">
              <w:rPr>
                <w:rFonts w:eastAsia="MS Mincho"/>
              </w:rPr>
              <w:t>(n=</w:t>
            </w:r>
            <w:r>
              <w:rPr>
                <w:rFonts w:eastAsia="MS Mincho"/>
              </w:rPr>
              <w:t>191</w:t>
            </w:r>
            <w:r w:rsidRPr="002F0CA7">
              <w:rPr>
                <w:rFonts w:eastAsia="MS Mincho"/>
              </w:rPr>
              <w:t>),</w:t>
            </w:r>
            <w:r>
              <w:rPr>
                <w:rFonts w:eastAsia="MS Mincho"/>
              </w:rPr>
              <w:t xml:space="preserve"> standard use </w:t>
            </w:r>
            <w:r w:rsidRPr="002F0CA7">
              <w:rPr>
                <w:rFonts w:eastAsia="MS Mincho"/>
              </w:rPr>
              <w:t>(n=</w:t>
            </w:r>
            <w:r>
              <w:rPr>
                <w:rFonts w:eastAsia="MS Mincho"/>
              </w:rPr>
              <w:t>68</w:t>
            </w:r>
            <w:r w:rsidRPr="002F0CA7">
              <w:rPr>
                <w:rFonts w:eastAsia="MS Mincho"/>
              </w:rPr>
              <w:t>)</w:t>
            </w:r>
          </w:p>
        </w:tc>
        <w:tc>
          <w:tcPr>
            <w:tcW w:w="1940" w:type="pct"/>
            <w:tcMar>
              <w:left w:w="28" w:type="dxa"/>
              <w:right w:w="28" w:type="dxa"/>
            </w:tcMar>
          </w:tcPr>
          <w:p w:rsidR="003370C1" w:rsidRPr="003F619D" w:rsidRDefault="003370C1" w:rsidP="00135BC3">
            <w:pPr>
              <w:pStyle w:val="Tablewriting"/>
              <w:rPr>
                <w:rFonts w:eastAsia="MS Mincho"/>
              </w:rPr>
            </w:pPr>
            <w:r w:rsidRPr="003F619D">
              <w:rPr>
                <w:rFonts w:eastAsia="MS Mincho"/>
                <w:u w:val="single"/>
              </w:rPr>
              <w:lastRenderedPageBreak/>
              <w:t>Inclusion</w:t>
            </w:r>
            <w:r w:rsidRPr="003F619D">
              <w:rPr>
                <w:rFonts w:eastAsia="MS Mincho"/>
              </w:rPr>
              <w:t xml:space="preserve">: </w:t>
            </w:r>
          </w:p>
          <w:p w:rsidR="003370C1" w:rsidRPr="003F619D" w:rsidRDefault="003370C1" w:rsidP="00135BC3">
            <w:pPr>
              <w:pStyle w:val="Tablewriting"/>
              <w:rPr>
                <w:rFonts w:eastAsia="MS Mincho"/>
              </w:rPr>
            </w:pPr>
            <w:r w:rsidRPr="003F619D">
              <w:rPr>
                <w:rFonts w:eastAsia="MS Mincho"/>
              </w:rPr>
              <w:t>Adult smokers with an average age of approximately 45, who smoked at least 15 cigarettes a day</w:t>
            </w:r>
            <w:r w:rsidR="00F53921">
              <w:rPr>
                <w:rFonts w:eastAsia="MS Mincho"/>
              </w:rPr>
              <w:t>,</w:t>
            </w:r>
            <w:r w:rsidRPr="003F619D">
              <w:rPr>
                <w:rFonts w:eastAsia="MS Mincho"/>
              </w:rPr>
              <w:t xml:space="preserve"> </w:t>
            </w:r>
            <w:r w:rsidR="00F53921" w:rsidRPr="003F619D">
              <w:rPr>
                <w:rFonts w:eastAsia="MS Mincho"/>
              </w:rPr>
              <w:t>s</w:t>
            </w:r>
            <w:r w:rsidRPr="003F619D">
              <w:rPr>
                <w:rFonts w:eastAsia="MS Mincho"/>
              </w:rPr>
              <w:t>tudies lasted for at least six months.</w:t>
            </w:r>
          </w:p>
          <w:p w:rsidR="003370C1" w:rsidRPr="00186C2B" w:rsidRDefault="003370C1" w:rsidP="00135BC3">
            <w:pPr>
              <w:pStyle w:val="Tablewriting"/>
              <w:rPr>
                <w:rFonts w:eastAsia="MS Mincho"/>
                <w:highlight w:val="yellow"/>
                <w:u w:val="single"/>
              </w:rPr>
            </w:pPr>
            <w:r w:rsidRPr="003F619D">
              <w:rPr>
                <w:rFonts w:eastAsia="MS Mincho"/>
                <w:u w:val="single"/>
              </w:rPr>
              <w:t>Exclusion</w:t>
            </w:r>
            <w:r w:rsidRPr="003F619D">
              <w:rPr>
                <w:rFonts w:eastAsia="MS Mincho"/>
              </w:rPr>
              <w:t xml:space="preserve">: Trials that did not assess cessation as an outcome, with follow-up less than six months, and with additional intervention components not matched between arms. Trials comparing NRT to </w:t>
            </w:r>
            <w:r w:rsidRPr="004042D4">
              <w:rPr>
                <w:rFonts w:eastAsia="MS Mincho"/>
              </w:rPr>
              <w:t>control, and trials comparing NRT to other pharmacotherapies.</w:t>
            </w:r>
          </w:p>
        </w:tc>
        <w:tc>
          <w:tcPr>
            <w:tcW w:w="746" w:type="pct"/>
          </w:tcPr>
          <w:p w:rsidR="003370C1" w:rsidRPr="00186C2B" w:rsidRDefault="003370C1" w:rsidP="00135BC3">
            <w:pPr>
              <w:pStyle w:val="Tablewriting"/>
              <w:rPr>
                <w:rFonts w:eastAsia="MS Mincho"/>
                <w:highlight w:val="yellow"/>
              </w:rPr>
            </w:pPr>
            <w:r>
              <w:rPr>
                <w:rFonts w:eastAsia="MS Mincho"/>
              </w:rPr>
              <w:t>P</w:t>
            </w:r>
            <w:r w:rsidRPr="00895889">
              <w:rPr>
                <w:rFonts w:eastAsia="MS Mincho"/>
              </w:rPr>
              <w:t>reloading versus standard use</w:t>
            </w:r>
            <w:r w:rsidR="00ED0CBA">
              <w:rPr>
                <w:rFonts w:eastAsia="MS Mincho"/>
              </w:rPr>
              <w:t>.</w:t>
            </w:r>
          </w:p>
        </w:tc>
        <w:tc>
          <w:tcPr>
            <w:tcW w:w="823" w:type="pct"/>
            <w:tcMar>
              <w:left w:w="28" w:type="dxa"/>
              <w:right w:w="28" w:type="dxa"/>
            </w:tcMar>
          </w:tcPr>
          <w:p w:rsidR="003370C1" w:rsidRPr="009D1F96" w:rsidRDefault="003370C1" w:rsidP="00135BC3">
            <w:pPr>
              <w:pStyle w:val="Tablewriting"/>
              <w:rPr>
                <w:rFonts w:eastAsia="MS Mincho"/>
              </w:rPr>
            </w:pPr>
            <w:r w:rsidRPr="006E7EED">
              <w:rPr>
                <w:rFonts w:eastAsia="MS Mincho"/>
                <w:u w:val="single"/>
              </w:rPr>
              <w:t>Primary</w:t>
            </w:r>
            <w:r w:rsidRPr="006E7EED">
              <w:rPr>
                <w:rFonts w:eastAsia="MS Mincho"/>
              </w:rPr>
              <w:t xml:space="preserve">: smoking </w:t>
            </w:r>
            <w:r w:rsidRPr="009D1F96">
              <w:rPr>
                <w:rFonts w:eastAsia="MS Mincho"/>
              </w:rPr>
              <w:t>cessation rates of at least six months after baseline.</w:t>
            </w:r>
          </w:p>
          <w:p w:rsidR="003370C1" w:rsidRPr="0050095A" w:rsidRDefault="003370C1" w:rsidP="00135BC3">
            <w:pPr>
              <w:pStyle w:val="Tablewriting"/>
              <w:rPr>
                <w:rFonts w:eastAsia="MS Mincho"/>
                <w:u w:val="single"/>
              </w:rPr>
            </w:pPr>
            <w:r w:rsidRPr="009D1F96">
              <w:rPr>
                <w:rFonts w:eastAsia="MS Mincho"/>
                <w:u w:val="single"/>
              </w:rPr>
              <w:t>Secondary</w:t>
            </w:r>
            <w:r w:rsidRPr="009D1F96">
              <w:rPr>
                <w:rFonts w:eastAsia="MS Mincho"/>
              </w:rPr>
              <w:t>: safety including palpitations, cardiac adverse events, cardiac</w:t>
            </w:r>
            <w:r>
              <w:rPr>
                <w:rFonts w:eastAsia="MS Mincho"/>
              </w:rPr>
              <w:t xml:space="preserve"> and overall </w:t>
            </w:r>
            <w:r w:rsidRPr="009D1F96">
              <w:rPr>
                <w:rFonts w:eastAsia="MS Mincho"/>
              </w:rPr>
              <w:t>serious adverse events, and treatment withdrawals.</w:t>
            </w:r>
            <w:r>
              <w:rPr>
                <w:rFonts w:eastAsia="MS Mincho"/>
              </w:rPr>
              <w:t xml:space="preserve"> </w:t>
            </w:r>
          </w:p>
        </w:tc>
      </w:tr>
      <w:tr w:rsidR="003370C1" w:rsidRPr="00061F78" w:rsidTr="005B4B93">
        <w:trPr>
          <w:trHeight w:val="149"/>
        </w:trPr>
        <w:tc>
          <w:tcPr>
            <w:tcW w:w="241" w:type="pct"/>
            <w:tcMar>
              <w:left w:w="28" w:type="dxa"/>
              <w:right w:w="28" w:type="dxa"/>
            </w:tcMar>
          </w:tcPr>
          <w:p w:rsidR="00135BC3" w:rsidRDefault="003370C1" w:rsidP="00135BC3">
            <w:pPr>
              <w:pStyle w:val="Tablewriting"/>
            </w:pPr>
            <w:r w:rsidRPr="00ED6D24">
              <w:t>Dedert</w:t>
            </w:r>
          </w:p>
          <w:p w:rsidR="003370C1" w:rsidRPr="009A3B21" w:rsidRDefault="00135BC3" w:rsidP="00135BC3">
            <w:pPr>
              <w:pStyle w:val="Tablewriting"/>
              <w:rPr>
                <w:highlight w:val="yellow"/>
              </w:rPr>
            </w:pPr>
            <w:r>
              <w:t>(</w:t>
            </w:r>
            <w:r w:rsidR="003370C1" w:rsidRPr="00ED6D24">
              <w:t>2018</w:t>
            </w:r>
            <w:r>
              <w:t>)</w:t>
            </w:r>
          </w:p>
        </w:tc>
        <w:tc>
          <w:tcPr>
            <w:tcW w:w="347" w:type="pct"/>
          </w:tcPr>
          <w:p w:rsidR="003370C1" w:rsidRPr="009A3B21" w:rsidRDefault="003370C1" w:rsidP="00135BC3">
            <w:pPr>
              <w:pStyle w:val="Tablewriting"/>
              <w:rPr>
                <w:rFonts w:eastAsia="MS Mincho"/>
                <w:highlight w:val="yellow"/>
              </w:rPr>
            </w:pPr>
            <w:r w:rsidRPr="007D6C25">
              <w:rPr>
                <w:rFonts w:eastAsia="MS Mincho"/>
              </w:rPr>
              <w:t>RCT</w:t>
            </w:r>
            <w:r w:rsidRPr="008441A8">
              <w:rPr>
                <w:rFonts w:eastAsia="MS Mincho"/>
                <w:vertAlign w:val="superscript"/>
              </w:rPr>
              <w:t>3</w:t>
            </w:r>
          </w:p>
        </w:tc>
        <w:tc>
          <w:tcPr>
            <w:tcW w:w="903" w:type="pct"/>
            <w:tcMar>
              <w:left w:w="28" w:type="dxa"/>
              <w:right w:w="28" w:type="dxa"/>
            </w:tcMar>
          </w:tcPr>
          <w:p w:rsidR="003370C1" w:rsidRPr="007D6C25" w:rsidRDefault="003370C1" w:rsidP="00135BC3">
            <w:pPr>
              <w:pStyle w:val="Tablewriting"/>
              <w:rPr>
                <w:rFonts w:eastAsia="MS Mincho"/>
                <w:u w:val="single"/>
              </w:rPr>
            </w:pPr>
            <w:r w:rsidRPr="007D6C25">
              <w:rPr>
                <w:rFonts w:eastAsia="MS Mincho"/>
                <w:u w:val="single"/>
              </w:rPr>
              <w:t>Patch preloading versus placebo</w:t>
            </w:r>
          </w:p>
          <w:p w:rsidR="003370C1" w:rsidRPr="007D6C25" w:rsidRDefault="003370C1" w:rsidP="00135BC3">
            <w:pPr>
              <w:pStyle w:val="Tablewriting"/>
              <w:rPr>
                <w:rFonts w:eastAsia="MS Mincho"/>
              </w:rPr>
            </w:pPr>
            <w:r w:rsidRPr="007D6C25">
              <w:rPr>
                <w:rFonts w:eastAsia="MS Mincho"/>
              </w:rPr>
              <w:t>N= 81</w:t>
            </w:r>
          </w:p>
          <w:p w:rsidR="003370C1" w:rsidRPr="007D6C25" w:rsidRDefault="003370C1" w:rsidP="00135BC3">
            <w:pPr>
              <w:pStyle w:val="Tablewriting"/>
              <w:rPr>
                <w:rFonts w:eastAsia="MS Mincho"/>
              </w:rPr>
            </w:pPr>
            <w:r w:rsidRPr="007D6C25">
              <w:rPr>
                <w:rFonts w:eastAsia="MS Mincho"/>
              </w:rPr>
              <w:t xml:space="preserve">Preloading (n=37), </w:t>
            </w:r>
          </w:p>
          <w:p w:rsidR="003370C1" w:rsidRPr="007D6C25" w:rsidRDefault="003370C1" w:rsidP="00135BC3">
            <w:pPr>
              <w:pStyle w:val="Tablewriting"/>
              <w:rPr>
                <w:rFonts w:eastAsia="MS Mincho"/>
                <w:highlight w:val="yellow"/>
                <w:u w:val="single"/>
              </w:rPr>
            </w:pPr>
            <w:r w:rsidRPr="007D6C25">
              <w:rPr>
                <w:rFonts w:eastAsia="MS Mincho"/>
              </w:rPr>
              <w:t>Placebo (n=44)</w:t>
            </w:r>
          </w:p>
        </w:tc>
        <w:tc>
          <w:tcPr>
            <w:tcW w:w="1940" w:type="pct"/>
            <w:tcMar>
              <w:left w:w="28" w:type="dxa"/>
              <w:right w:w="28" w:type="dxa"/>
            </w:tcMar>
          </w:tcPr>
          <w:p w:rsidR="003370C1" w:rsidRDefault="003370C1" w:rsidP="00135BC3">
            <w:pPr>
              <w:pStyle w:val="Tablewriting"/>
              <w:rPr>
                <w:rFonts w:eastAsia="MS Mincho"/>
                <w:u w:val="single"/>
              </w:rPr>
            </w:pPr>
            <w:r w:rsidRPr="007D6C25">
              <w:rPr>
                <w:rFonts w:eastAsia="MS Mincho"/>
                <w:u w:val="single"/>
              </w:rPr>
              <w:t xml:space="preserve">Inclusion: </w:t>
            </w:r>
          </w:p>
          <w:p w:rsidR="003370C1" w:rsidRPr="007D6C25" w:rsidRDefault="003370C1" w:rsidP="00135BC3">
            <w:pPr>
              <w:pStyle w:val="Tablewriting"/>
              <w:rPr>
                <w:rFonts w:eastAsia="MS Mincho"/>
              </w:rPr>
            </w:pPr>
            <w:r w:rsidRPr="007D6C25">
              <w:rPr>
                <w:rFonts w:eastAsia="MS Mincho"/>
              </w:rPr>
              <w:t>Adult smokers age</w:t>
            </w:r>
            <w:r>
              <w:rPr>
                <w:rFonts w:eastAsia="MS Mincho"/>
              </w:rPr>
              <w:t>d</w:t>
            </w:r>
            <w:r w:rsidRPr="007D6C25">
              <w:rPr>
                <w:rFonts w:eastAsia="MS Mincho"/>
              </w:rPr>
              <w:t xml:space="preserve"> 18–70 years </w:t>
            </w:r>
            <w:r>
              <w:rPr>
                <w:rFonts w:eastAsia="MS Mincho"/>
              </w:rPr>
              <w:t>with PTSD (</w:t>
            </w:r>
            <w:r w:rsidRPr="007D6C25">
              <w:rPr>
                <w:rFonts w:eastAsia="MS Mincho"/>
              </w:rPr>
              <w:t>interview-based diagnosis</w:t>
            </w:r>
            <w:r>
              <w:rPr>
                <w:rFonts w:eastAsia="MS Mincho"/>
              </w:rPr>
              <w:t xml:space="preserve">), </w:t>
            </w:r>
            <w:r w:rsidRPr="007D6C25">
              <w:rPr>
                <w:rFonts w:eastAsia="MS Mincho"/>
              </w:rPr>
              <w:t>smoking at least 10 cigarettes daily for the past year, willingness to make a smoking cessation attempt, and fluency in English.</w:t>
            </w:r>
          </w:p>
          <w:p w:rsidR="003370C1" w:rsidRPr="007D6C25" w:rsidRDefault="003370C1" w:rsidP="00135BC3">
            <w:pPr>
              <w:pStyle w:val="Tablewriting"/>
              <w:rPr>
                <w:rFonts w:eastAsia="MS Mincho"/>
                <w:u w:val="single"/>
              </w:rPr>
            </w:pPr>
            <w:r w:rsidRPr="007D6C25">
              <w:rPr>
                <w:rFonts w:eastAsia="MS Mincho"/>
                <w:u w:val="single"/>
              </w:rPr>
              <w:t>Exclusion:</w:t>
            </w:r>
          </w:p>
          <w:p w:rsidR="003370C1" w:rsidRPr="007D6C25" w:rsidRDefault="003370C1" w:rsidP="00135BC3">
            <w:pPr>
              <w:pStyle w:val="Tablewriting"/>
              <w:rPr>
                <w:rFonts w:eastAsia="MS Mincho"/>
                <w:highlight w:val="yellow"/>
              </w:rPr>
            </w:pPr>
            <w:r>
              <w:rPr>
                <w:rFonts w:eastAsia="MS Mincho"/>
              </w:rPr>
              <w:t>S</w:t>
            </w:r>
            <w:r w:rsidRPr="007D6C25">
              <w:rPr>
                <w:rFonts w:eastAsia="MS Mincho"/>
              </w:rPr>
              <w:t>moked non-cigarette forms of nicotine (non-combustible forms of nicotine such as electronic cigarettes were not excluded), were pregnant, had major unstable medical problems or unstable medication</w:t>
            </w:r>
            <w:r>
              <w:rPr>
                <w:rFonts w:eastAsia="MS Mincho"/>
              </w:rPr>
              <w:t xml:space="preserve"> </w:t>
            </w:r>
            <w:r w:rsidRPr="007D6C25">
              <w:rPr>
                <w:rFonts w:eastAsia="MS Mincho"/>
              </w:rPr>
              <w:t>regimens, current manic syndrome, psychotic disorder, current drug or alcohol use disorder, or used bupropion or benzodiazepines.</w:t>
            </w:r>
          </w:p>
        </w:tc>
        <w:tc>
          <w:tcPr>
            <w:tcW w:w="746" w:type="pct"/>
          </w:tcPr>
          <w:p w:rsidR="003370C1" w:rsidRDefault="003370C1" w:rsidP="00135BC3">
            <w:pPr>
              <w:pStyle w:val="Tablewriting"/>
              <w:rPr>
                <w:rFonts w:eastAsia="MS Mincho"/>
              </w:rPr>
            </w:pPr>
            <w:r w:rsidRPr="007D6C25">
              <w:rPr>
                <w:rFonts w:eastAsia="MS Mincho"/>
              </w:rPr>
              <w:t>NRT patch preloading versus placebo patch preloading</w:t>
            </w:r>
            <w:r w:rsidR="00ED0CBA">
              <w:rPr>
                <w:rFonts w:eastAsia="MS Mincho"/>
              </w:rPr>
              <w:t>.</w:t>
            </w:r>
            <w:r w:rsidRPr="007D6C25">
              <w:rPr>
                <w:rFonts w:eastAsia="MS Mincho"/>
              </w:rPr>
              <w:t xml:space="preserve"> </w:t>
            </w:r>
          </w:p>
          <w:p w:rsidR="003370C1" w:rsidRDefault="003370C1" w:rsidP="00135BC3">
            <w:pPr>
              <w:pStyle w:val="Tablewriting"/>
              <w:rPr>
                <w:rFonts w:eastAsia="MS Mincho"/>
                <w:highlight w:val="yellow"/>
              </w:rPr>
            </w:pPr>
          </w:p>
          <w:p w:rsidR="003370C1" w:rsidRPr="009A3B21" w:rsidRDefault="003370C1" w:rsidP="00135BC3">
            <w:pPr>
              <w:pStyle w:val="Tablewriting"/>
              <w:rPr>
                <w:rFonts w:eastAsia="MS Mincho"/>
                <w:highlight w:val="yellow"/>
              </w:rPr>
            </w:pPr>
            <w:r w:rsidRPr="007D179B">
              <w:rPr>
                <w:rFonts w:eastAsia="MS Mincho"/>
              </w:rPr>
              <w:t xml:space="preserve">All participants received standard pharmacotherapy and </w:t>
            </w:r>
            <w:r w:rsidR="004468C6" w:rsidRPr="007D179B">
              <w:rPr>
                <w:rFonts w:eastAsia="MS Mincho"/>
              </w:rPr>
              <w:t>behavioural</w:t>
            </w:r>
            <w:r w:rsidRPr="007D179B">
              <w:rPr>
                <w:rFonts w:eastAsia="MS Mincho"/>
              </w:rPr>
              <w:t xml:space="preserve"> treatment for smoking cessation after the quit date.</w:t>
            </w:r>
          </w:p>
        </w:tc>
        <w:tc>
          <w:tcPr>
            <w:tcW w:w="823" w:type="pct"/>
            <w:tcMar>
              <w:left w:w="28" w:type="dxa"/>
              <w:right w:w="28" w:type="dxa"/>
            </w:tcMar>
          </w:tcPr>
          <w:p w:rsidR="003370C1" w:rsidRPr="00FA3FB4" w:rsidRDefault="003370C1" w:rsidP="00135BC3">
            <w:pPr>
              <w:pStyle w:val="Tablewriting"/>
              <w:rPr>
                <w:rFonts w:eastAsia="MS Mincho"/>
              </w:rPr>
            </w:pPr>
            <w:r w:rsidRPr="00FA3FB4">
              <w:rPr>
                <w:rFonts w:eastAsia="MS Mincho"/>
                <w:u w:val="single"/>
              </w:rPr>
              <w:t>Primary</w:t>
            </w:r>
            <w:r w:rsidRPr="00FA3FB4">
              <w:rPr>
                <w:rFonts w:eastAsia="MS Mincho"/>
              </w:rPr>
              <w:t xml:space="preserve">: </w:t>
            </w:r>
          </w:p>
          <w:p w:rsidR="003370C1" w:rsidRPr="0008319C" w:rsidRDefault="003370C1" w:rsidP="00135BC3">
            <w:pPr>
              <w:pStyle w:val="Tablewriting"/>
              <w:rPr>
                <w:rFonts w:eastAsia="MS Mincho"/>
              </w:rPr>
            </w:pPr>
            <w:r w:rsidRPr="00FA3FB4">
              <w:rPr>
                <w:rFonts w:eastAsia="MS Mincho"/>
              </w:rPr>
              <w:t>smoking cessation rates</w:t>
            </w:r>
            <w:r>
              <w:rPr>
                <w:rFonts w:eastAsia="MS Mincho"/>
              </w:rPr>
              <w:t xml:space="preserve"> (7-day PPA)</w:t>
            </w:r>
            <w:r w:rsidRPr="00FA3FB4">
              <w:rPr>
                <w:rFonts w:eastAsia="MS Mincho"/>
              </w:rPr>
              <w:t xml:space="preserve"> of </w:t>
            </w:r>
            <w:r w:rsidRPr="0008319C">
              <w:rPr>
                <w:rFonts w:eastAsia="MS Mincho"/>
              </w:rPr>
              <w:t>at 6 weeks, and 6 months after baseline</w:t>
            </w:r>
            <w:r w:rsidR="009562D0">
              <w:rPr>
                <w:rFonts w:eastAsia="MS Mincho"/>
              </w:rPr>
              <w:t xml:space="preserve"> </w:t>
            </w:r>
            <w:r w:rsidR="00A938BB" w:rsidRPr="009562D0">
              <w:rPr>
                <w:rFonts w:eastAsia="MS Mincho"/>
              </w:rPr>
              <w:t>bio</w:t>
            </w:r>
            <w:r w:rsidR="00A938BB">
              <w:rPr>
                <w:rFonts w:eastAsia="MS Mincho"/>
              </w:rPr>
              <w:t xml:space="preserve">chemically </w:t>
            </w:r>
            <w:r w:rsidR="009562D0" w:rsidRPr="009562D0">
              <w:rPr>
                <w:rFonts w:eastAsia="MS Mincho"/>
              </w:rPr>
              <w:t>verified with breath</w:t>
            </w:r>
            <w:r w:rsidR="009562D0">
              <w:rPr>
                <w:rFonts w:eastAsia="MS Mincho"/>
              </w:rPr>
              <w:t xml:space="preserve"> </w:t>
            </w:r>
            <w:r w:rsidR="009562D0" w:rsidRPr="009562D0">
              <w:rPr>
                <w:rFonts w:eastAsia="MS Mincho"/>
              </w:rPr>
              <w:t>CO at six weeks post-quit date</w:t>
            </w:r>
            <w:r w:rsidRPr="0008319C">
              <w:rPr>
                <w:rFonts w:eastAsia="MS Mincho"/>
              </w:rPr>
              <w:t xml:space="preserve">. </w:t>
            </w:r>
          </w:p>
          <w:p w:rsidR="003370C1" w:rsidRPr="0008319C" w:rsidRDefault="003370C1" w:rsidP="00135BC3">
            <w:pPr>
              <w:pStyle w:val="Tablewriting"/>
              <w:rPr>
                <w:rFonts w:eastAsia="MS Mincho"/>
              </w:rPr>
            </w:pPr>
            <w:r w:rsidRPr="0008319C">
              <w:rPr>
                <w:rFonts w:eastAsia="MS Mincho"/>
                <w:u w:val="single"/>
              </w:rPr>
              <w:t>Secondary</w:t>
            </w:r>
            <w:r w:rsidRPr="0008319C">
              <w:rPr>
                <w:rFonts w:eastAsia="MS Mincho"/>
              </w:rPr>
              <w:t xml:space="preserve">: </w:t>
            </w:r>
          </w:p>
          <w:p w:rsidR="003370C1" w:rsidRPr="005308F0" w:rsidRDefault="003370C1" w:rsidP="00135BC3">
            <w:pPr>
              <w:pStyle w:val="Tablewriting"/>
              <w:rPr>
                <w:rFonts w:eastAsia="MS Mincho"/>
                <w:highlight w:val="yellow"/>
              </w:rPr>
            </w:pPr>
            <w:r w:rsidRPr="0008319C">
              <w:rPr>
                <w:rFonts w:eastAsia="MS Mincho"/>
              </w:rPr>
              <w:t>change in craving, withdrawal symptoms, and PTSD symptoms that occur</w:t>
            </w:r>
            <w:r w:rsidRPr="005308F0">
              <w:rPr>
                <w:rFonts w:eastAsia="MS Mincho"/>
              </w:rPr>
              <w:t xml:space="preserve"> when smoking a cigarette during the patch</w:t>
            </w:r>
            <w:r>
              <w:rPr>
                <w:rFonts w:eastAsia="MS Mincho"/>
              </w:rPr>
              <w:t xml:space="preserve"> </w:t>
            </w:r>
            <w:r w:rsidRPr="005308F0">
              <w:rPr>
                <w:rFonts w:eastAsia="MS Mincho"/>
              </w:rPr>
              <w:t>preloading phase</w:t>
            </w:r>
            <w:r>
              <w:rPr>
                <w:rFonts w:eastAsia="MS Mincho"/>
              </w:rPr>
              <w:t>.</w:t>
            </w:r>
          </w:p>
        </w:tc>
      </w:tr>
      <w:tr w:rsidR="005A4731" w:rsidRPr="00061F78" w:rsidTr="007231A4">
        <w:trPr>
          <w:trHeight w:val="149"/>
        </w:trPr>
        <w:tc>
          <w:tcPr>
            <w:tcW w:w="5000" w:type="pct"/>
            <w:gridSpan w:val="6"/>
            <w:shd w:val="clear" w:color="auto" w:fill="auto"/>
            <w:tcMar>
              <w:left w:w="28" w:type="dxa"/>
              <w:right w:w="28" w:type="dxa"/>
            </w:tcMar>
          </w:tcPr>
          <w:p w:rsidR="005A4731" w:rsidRPr="006E7EED" w:rsidRDefault="005A4731" w:rsidP="00135BC3">
            <w:pPr>
              <w:pStyle w:val="Tablewriting"/>
              <w:rPr>
                <w:rFonts w:eastAsia="MS Mincho"/>
                <w:u w:val="single"/>
              </w:rPr>
            </w:pPr>
            <w:r>
              <w:rPr>
                <w:rFonts w:eastAsia="MS Mincho"/>
                <w:b/>
                <w:bCs/>
              </w:rPr>
              <w:t>Cut down to quit</w:t>
            </w:r>
          </w:p>
        </w:tc>
      </w:tr>
      <w:tr w:rsidR="003370C1" w:rsidRPr="00061F78" w:rsidTr="005B4B93">
        <w:trPr>
          <w:trHeight w:val="149"/>
        </w:trPr>
        <w:tc>
          <w:tcPr>
            <w:tcW w:w="241" w:type="pct"/>
            <w:tcMar>
              <w:left w:w="28" w:type="dxa"/>
              <w:right w:w="28" w:type="dxa"/>
            </w:tcMar>
          </w:tcPr>
          <w:p w:rsidR="003370C1" w:rsidRDefault="003370C1" w:rsidP="00135BC3">
            <w:pPr>
              <w:pStyle w:val="Tablewriting"/>
            </w:pPr>
            <w:r>
              <w:t>Lindson</w:t>
            </w:r>
            <w:r w:rsidRPr="00713891">
              <w:t xml:space="preserve"> (</w:t>
            </w:r>
            <w:r w:rsidRPr="00A938BB">
              <w:t>2019</w:t>
            </w:r>
            <w:r w:rsidR="005C0865" w:rsidRPr="00A938BB">
              <w:t>b</w:t>
            </w:r>
            <w:r w:rsidRPr="00713891">
              <w:t>)</w:t>
            </w:r>
          </w:p>
        </w:tc>
        <w:tc>
          <w:tcPr>
            <w:tcW w:w="347" w:type="pct"/>
          </w:tcPr>
          <w:p w:rsidR="003370C1" w:rsidRPr="002F0CA7" w:rsidRDefault="003370C1" w:rsidP="00135BC3">
            <w:pPr>
              <w:pStyle w:val="Tablewriting"/>
              <w:rPr>
                <w:rFonts w:eastAsia="MS Mincho"/>
              </w:rPr>
            </w:pPr>
            <w:r w:rsidRPr="002F0CA7">
              <w:rPr>
                <w:rFonts w:eastAsia="MS Mincho"/>
              </w:rPr>
              <w:t xml:space="preserve">Cochrane review </w:t>
            </w:r>
          </w:p>
          <w:p w:rsidR="003370C1" w:rsidRPr="002F0CA7" w:rsidRDefault="003370C1" w:rsidP="00135BC3">
            <w:pPr>
              <w:pStyle w:val="Tablewriting"/>
              <w:rPr>
                <w:rFonts w:eastAsia="MS Mincho"/>
              </w:rPr>
            </w:pPr>
            <w:r w:rsidRPr="002F0CA7">
              <w:rPr>
                <w:rFonts w:eastAsia="MS Mincho"/>
              </w:rPr>
              <w:t>(</w:t>
            </w:r>
            <w:r w:rsidRPr="00760539">
              <w:rPr>
                <w:rFonts w:eastAsia="MS Mincho"/>
              </w:rPr>
              <w:t>11 RCTs</w:t>
            </w:r>
            <w:r w:rsidRPr="00760539">
              <w:rPr>
                <w:rFonts w:eastAsia="MS Mincho"/>
                <w:vertAlign w:val="superscript"/>
              </w:rPr>
              <w:t>2</w:t>
            </w:r>
            <w:r w:rsidRPr="00760539">
              <w:rPr>
                <w:rFonts w:eastAsia="MS Mincho"/>
              </w:rPr>
              <w:t>)</w:t>
            </w:r>
          </w:p>
        </w:tc>
        <w:tc>
          <w:tcPr>
            <w:tcW w:w="903" w:type="pct"/>
            <w:tcMar>
              <w:left w:w="28" w:type="dxa"/>
              <w:right w:w="28" w:type="dxa"/>
            </w:tcMar>
          </w:tcPr>
          <w:p w:rsidR="003370C1" w:rsidRDefault="003370C1" w:rsidP="00135BC3">
            <w:pPr>
              <w:pStyle w:val="Tablewriting"/>
              <w:rPr>
                <w:rFonts w:eastAsia="MS Mincho"/>
                <w:u w:val="single"/>
              </w:rPr>
            </w:pPr>
            <w:r>
              <w:rPr>
                <w:rFonts w:eastAsia="MS Mincho"/>
                <w:u w:val="single"/>
              </w:rPr>
              <w:t>Combination NRT</w:t>
            </w:r>
          </w:p>
          <w:p w:rsidR="003370C1" w:rsidRPr="002F0CA7" w:rsidRDefault="003370C1" w:rsidP="00135BC3">
            <w:pPr>
              <w:pStyle w:val="Tablewriting"/>
              <w:rPr>
                <w:rFonts w:eastAsia="MS Mincho"/>
              </w:rPr>
            </w:pPr>
            <w:r w:rsidRPr="002F0CA7">
              <w:rPr>
                <w:rFonts w:eastAsia="MS Mincho"/>
              </w:rPr>
              <w:t xml:space="preserve">N= </w:t>
            </w:r>
            <w:r>
              <w:rPr>
                <w:rFonts w:eastAsia="MS Mincho"/>
              </w:rPr>
              <w:t xml:space="preserve">1124 </w:t>
            </w:r>
            <w:r w:rsidRPr="002F0CA7">
              <w:rPr>
                <w:rFonts w:eastAsia="MS Mincho"/>
              </w:rPr>
              <w:t>(</w:t>
            </w:r>
            <w:r>
              <w:rPr>
                <w:rFonts w:eastAsia="MS Mincho"/>
              </w:rPr>
              <w:t xml:space="preserve">3 </w:t>
            </w:r>
            <w:r w:rsidRPr="002F0CA7">
              <w:rPr>
                <w:rFonts w:eastAsia="MS Mincho"/>
              </w:rPr>
              <w:t>RCT)</w:t>
            </w:r>
          </w:p>
          <w:p w:rsidR="003370C1" w:rsidRDefault="003370C1" w:rsidP="00135BC3">
            <w:pPr>
              <w:pStyle w:val="Tablewriting"/>
              <w:rPr>
                <w:rFonts w:eastAsia="MS Mincho"/>
                <w:u w:val="single"/>
              </w:rPr>
            </w:pPr>
            <w:r>
              <w:rPr>
                <w:rFonts w:eastAsia="MS Mincho"/>
              </w:rPr>
              <w:t xml:space="preserve">Reduction with pharmacotherapy </w:t>
            </w:r>
            <w:r w:rsidRPr="002F0CA7">
              <w:rPr>
                <w:rFonts w:eastAsia="MS Mincho"/>
              </w:rPr>
              <w:t>(n=</w:t>
            </w:r>
            <w:r>
              <w:rPr>
                <w:rFonts w:eastAsia="MS Mincho"/>
              </w:rPr>
              <w:t>578</w:t>
            </w:r>
            <w:r w:rsidRPr="002F0CA7">
              <w:rPr>
                <w:rFonts w:eastAsia="MS Mincho"/>
              </w:rPr>
              <w:t>),</w:t>
            </w:r>
            <w:r>
              <w:rPr>
                <w:rFonts w:eastAsia="MS Mincho"/>
              </w:rPr>
              <w:t xml:space="preserve"> reduction alone </w:t>
            </w:r>
            <w:r w:rsidRPr="002F0CA7">
              <w:rPr>
                <w:rFonts w:eastAsia="MS Mincho"/>
              </w:rPr>
              <w:t>(n=</w:t>
            </w:r>
            <w:r>
              <w:rPr>
                <w:rFonts w:eastAsia="MS Mincho"/>
              </w:rPr>
              <w:t>546</w:t>
            </w:r>
            <w:r w:rsidRPr="002F0CA7">
              <w:rPr>
                <w:rFonts w:eastAsia="MS Mincho"/>
              </w:rPr>
              <w:t>)</w:t>
            </w:r>
          </w:p>
          <w:p w:rsidR="003370C1" w:rsidRDefault="003370C1" w:rsidP="00135BC3">
            <w:pPr>
              <w:pStyle w:val="Tablewriting"/>
              <w:rPr>
                <w:rFonts w:eastAsia="MS Mincho"/>
                <w:u w:val="single"/>
              </w:rPr>
            </w:pPr>
          </w:p>
          <w:p w:rsidR="003370C1" w:rsidRDefault="003370C1" w:rsidP="00135BC3">
            <w:pPr>
              <w:pStyle w:val="Tablewriting"/>
              <w:rPr>
                <w:rFonts w:eastAsia="MS Mincho"/>
                <w:u w:val="single"/>
              </w:rPr>
            </w:pPr>
            <w:r>
              <w:rPr>
                <w:rFonts w:eastAsia="MS Mincho"/>
                <w:u w:val="single"/>
              </w:rPr>
              <w:t>NRT patch</w:t>
            </w:r>
          </w:p>
          <w:p w:rsidR="003370C1" w:rsidRPr="002F0CA7" w:rsidRDefault="003370C1" w:rsidP="00135BC3">
            <w:pPr>
              <w:pStyle w:val="Tablewriting"/>
              <w:rPr>
                <w:rFonts w:eastAsia="MS Mincho"/>
              </w:rPr>
            </w:pPr>
            <w:r w:rsidRPr="002F0CA7">
              <w:rPr>
                <w:rFonts w:eastAsia="MS Mincho"/>
              </w:rPr>
              <w:t xml:space="preserve">N= </w:t>
            </w:r>
            <w:r>
              <w:rPr>
                <w:rFonts w:eastAsia="MS Mincho"/>
              </w:rPr>
              <w:t xml:space="preserve">85 </w:t>
            </w:r>
            <w:r w:rsidRPr="002F0CA7">
              <w:rPr>
                <w:rFonts w:eastAsia="MS Mincho"/>
              </w:rPr>
              <w:t>(</w:t>
            </w:r>
            <w:r>
              <w:rPr>
                <w:rFonts w:eastAsia="MS Mincho"/>
              </w:rPr>
              <w:t xml:space="preserve">1 </w:t>
            </w:r>
            <w:r w:rsidRPr="002F0CA7">
              <w:rPr>
                <w:rFonts w:eastAsia="MS Mincho"/>
              </w:rPr>
              <w:t>RCT)</w:t>
            </w:r>
          </w:p>
          <w:p w:rsidR="003370C1" w:rsidRDefault="003370C1" w:rsidP="00135BC3">
            <w:pPr>
              <w:pStyle w:val="Tablewriting"/>
              <w:rPr>
                <w:rFonts w:eastAsia="MS Mincho"/>
                <w:u w:val="single"/>
              </w:rPr>
            </w:pPr>
            <w:r>
              <w:rPr>
                <w:rFonts w:eastAsia="MS Mincho"/>
              </w:rPr>
              <w:t xml:space="preserve">Reduction with pharmacotherapy </w:t>
            </w:r>
            <w:r w:rsidRPr="002F0CA7">
              <w:rPr>
                <w:rFonts w:eastAsia="MS Mincho"/>
              </w:rPr>
              <w:t>(n=</w:t>
            </w:r>
            <w:r>
              <w:rPr>
                <w:rFonts w:eastAsia="MS Mincho"/>
              </w:rPr>
              <w:t>65</w:t>
            </w:r>
            <w:r w:rsidRPr="002F0CA7">
              <w:rPr>
                <w:rFonts w:eastAsia="MS Mincho"/>
              </w:rPr>
              <w:t>),</w:t>
            </w:r>
            <w:r>
              <w:rPr>
                <w:rFonts w:eastAsia="MS Mincho"/>
              </w:rPr>
              <w:t xml:space="preserve"> reduction alone </w:t>
            </w:r>
            <w:r w:rsidRPr="002F0CA7">
              <w:rPr>
                <w:rFonts w:eastAsia="MS Mincho"/>
              </w:rPr>
              <w:t>(n=</w:t>
            </w:r>
            <w:r>
              <w:rPr>
                <w:rFonts w:eastAsia="MS Mincho"/>
              </w:rPr>
              <w:t>20</w:t>
            </w:r>
            <w:r w:rsidRPr="002F0CA7">
              <w:rPr>
                <w:rFonts w:eastAsia="MS Mincho"/>
              </w:rPr>
              <w:t>)</w:t>
            </w:r>
          </w:p>
          <w:p w:rsidR="003370C1" w:rsidRDefault="003370C1" w:rsidP="00135BC3">
            <w:pPr>
              <w:pStyle w:val="Tablewriting"/>
              <w:rPr>
                <w:rFonts w:eastAsia="MS Mincho"/>
                <w:u w:val="single"/>
              </w:rPr>
            </w:pPr>
          </w:p>
          <w:p w:rsidR="003370C1" w:rsidRDefault="003370C1" w:rsidP="00135BC3">
            <w:pPr>
              <w:pStyle w:val="Tablewriting"/>
              <w:rPr>
                <w:rFonts w:eastAsia="MS Mincho"/>
                <w:u w:val="single"/>
              </w:rPr>
            </w:pPr>
            <w:r>
              <w:rPr>
                <w:rFonts w:eastAsia="MS Mincho"/>
                <w:u w:val="single"/>
              </w:rPr>
              <w:t>Fast acting NRT</w:t>
            </w:r>
          </w:p>
          <w:p w:rsidR="003370C1" w:rsidRPr="002F0CA7" w:rsidRDefault="003370C1" w:rsidP="00135BC3">
            <w:pPr>
              <w:pStyle w:val="Tablewriting"/>
              <w:rPr>
                <w:rFonts w:eastAsia="MS Mincho"/>
              </w:rPr>
            </w:pPr>
            <w:r w:rsidRPr="002F0CA7">
              <w:rPr>
                <w:rFonts w:eastAsia="MS Mincho"/>
              </w:rPr>
              <w:lastRenderedPageBreak/>
              <w:t xml:space="preserve">N= </w:t>
            </w:r>
            <w:r>
              <w:rPr>
                <w:rFonts w:eastAsia="MS Mincho"/>
              </w:rPr>
              <w:t xml:space="preserve">5323 </w:t>
            </w:r>
            <w:r w:rsidRPr="002F0CA7">
              <w:rPr>
                <w:rFonts w:eastAsia="MS Mincho"/>
              </w:rPr>
              <w:t>(</w:t>
            </w:r>
            <w:r>
              <w:rPr>
                <w:rFonts w:eastAsia="MS Mincho"/>
              </w:rPr>
              <w:t xml:space="preserve">7 </w:t>
            </w:r>
            <w:r w:rsidRPr="002F0CA7">
              <w:rPr>
                <w:rFonts w:eastAsia="MS Mincho"/>
              </w:rPr>
              <w:t>RCT)</w:t>
            </w:r>
          </w:p>
          <w:p w:rsidR="003370C1" w:rsidRDefault="003370C1" w:rsidP="00135BC3">
            <w:pPr>
              <w:pStyle w:val="Tablewriting"/>
              <w:rPr>
                <w:rFonts w:eastAsia="MS Mincho"/>
                <w:u w:val="single"/>
              </w:rPr>
            </w:pPr>
            <w:r>
              <w:rPr>
                <w:rFonts w:eastAsia="MS Mincho"/>
              </w:rPr>
              <w:t xml:space="preserve">Reduction with pharmacotherapy </w:t>
            </w:r>
            <w:r w:rsidRPr="002F0CA7">
              <w:rPr>
                <w:rFonts w:eastAsia="MS Mincho"/>
              </w:rPr>
              <w:t>(n=</w:t>
            </w:r>
            <w:r>
              <w:rPr>
                <w:rFonts w:eastAsia="MS Mincho"/>
              </w:rPr>
              <w:t>2737</w:t>
            </w:r>
            <w:r w:rsidRPr="002F0CA7">
              <w:rPr>
                <w:rFonts w:eastAsia="MS Mincho"/>
              </w:rPr>
              <w:t>),</w:t>
            </w:r>
            <w:r>
              <w:rPr>
                <w:rFonts w:eastAsia="MS Mincho"/>
              </w:rPr>
              <w:t xml:space="preserve"> reduction alone </w:t>
            </w:r>
            <w:r w:rsidRPr="002F0CA7">
              <w:rPr>
                <w:rFonts w:eastAsia="MS Mincho"/>
              </w:rPr>
              <w:t>(n=</w:t>
            </w:r>
            <w:r>
              <w:rPr>
                <w:rFonts w:eastAsia="MS Mincho"/>
              </w:rPr>
              <w:t>2586</w:t>
            </w:r>
            <w:r w:rsidRPr="002F0CA7">
              <w:rPr>
                <w:rFonts w:eastAsia="MS Mincho"/>
              </w:rPr>
              <w:t>)</w:t>
            </w:r>
          </w:p>
          <w:p w:rsidR="003370C1" w:rsidRDefault="003370C1" w:rsidP="00135BC3">
            <w:pPr>
              <w:pStyle w:val="Tablewriting"/>
              <w:rPr>
                <w:rFonts w:eastAsia="MS Mincho"/>
                <w:u w:val="single"/>
              </w:rPr>
            </w:pPr>
          </w:p>
          <w:p w:rsidR="003370C1" w:rsidRDefault="003370C1" w:rsidP="00135BC3">
            <w:pPr>
              <w:pStyle w:val="Tablewriting"/>
              <w:rPr>
                <w:rFonts w:eastAsia="MS Mincho"/>
                <w:u w:val="single"/>
              </w:rPr>
            </w:pPr>
            <w:r>
              <w:rPr>
                <w:rFonts w:eastAsia="MS Mincho"/>
                <w:u w:val="single"/>
              </w:rPr>
              <w:t>Varenicline</w:t>
            </w:r>
          </w:p>
          <w:p w:rsidR="003370C1" w:rsidRPr="002F0CA7" w:rsidRDefault="003370C1" w:rsidP="00135BC3">
            <w:pPr>
              <w:pStyle w:val="Tablewriting"/>
              <w:rPr>
                <w:rFonts w:eastAsia="MS Mincho"/>
              </w:rPr>
            </w:pPr>
            <w:r w:rsidRPr="002F0CA7">
              <w:rPr>
                <w:rFonts w:eastAsia="MS Mincho"/>
              </w:rPr>
              <w:t xml:space="preserve">N= </w:t>
            </w:r>
            <w:r>
              <w:rPr>
                <w:rFonts w:eastAsia="MS Mincho"/>
              </w:rPr>
              <w:t xml:space="preserve">1510 </w:t>
            </w:r>
            <w:r w:rsidRPr="002F0CA7">
              <w:rPr>
                <w:rFonts w:eastAsia="MS Mincho"/>
              </w:rPr>
              <w:t>(</w:t>
            </w:r>
            <w:r>
              <w:rPr>
                <w:rFonts w:eastAsia="MS Mincho"/>
              </w:rPr>
              <w:t xml:space="preserve">1 </w:t>
            </w:r>
            <w:r w:rsidRPr="002F0CA7">
              <w:rPr>
                <w:rFonts w:eastAsia="MS Mincho"/>
              </w:rPr>
              <w:t>RCT)</w:t>
            </w:r>
          </w:p>
          <w:p w:rsidR="003370C1" w:rsidRDefault="003370C1" w:rsidP="00135BC3">
            <w:pPr>
              <w:pStyle w:val="Tablewriting"/>
              <w:rPr>
                <w:rFonts w:eastAsia="MS Mincho"/>
                <w:u w:val="single"/>
              </w:rPr>
            </w:pPr>
            <w:r>
              <w:rPr>
                <w:rFonts w:eastAsia="MS Mincho"/>
              </w:rPr>
              <w:t xml:space="preserve">Reduction with pharmacotherapy </w:t>
            </w:r>
            <w:r w:rsidRPr="002F0CA7">
              <w:rPr>
                <w:rFonts w:eastAsia="MS Mincho"/>
              </w:rPr>
              <w:t>(n=</w:t>
            </w:r>
            <w:r>
              <w:rPr>
                <w:rFonts w:eastAsia="MS Mincho"/>
              </w:rPr>
              <w:t>760</w:t>
            </w:r>
            <w:r w:rsidRPr="002F0CA7">
              <w:rPr>
                <w:rFonts w:eastAsia="MS Mincho"/>
              </w:rPr>
              <w:t>),</w:t>
            </w:r>
            <w:r>
              <w:rPr>
                <w:rFonts w:eastAsia="MS Mincho"/>
              </w:rPr>
              <w:t xml:space="preserve"> reduction alone </w:t>
            </w:r>
            <w:r w:rsidRPr="002F0CA7">
              <w:rPr>
                <w:rFonts w:eastAsia="MS Mincho"/>
              </w:rPr>
              <w:t>(n=</w:t>
            </w:r>
            <w:r>
              <w:rPr>
                <w:rFonts w:eastAsia="MS Mincho"/>
              </w:rPr>
              <w:t>750</w:t>
            </w:r>
            <w:r w:rsidRPr="002F0CA7">
              <w:rPr>
                <w:rFonts w:eastAsia="MS Mincho"/>
              </w:rPr>
              <w:t>)</w:t>
            </w:r>
          </w:p>
          <w:p w:rsidR="003370C1" w:rsidRDefault="003370C1" w:rsidP="00135BC3">
            <w:pPr>
              <w:pStyle w:val="Tablewriting"/>
              <w:rPr>
                <w:rFonts w:eastAsia="MS Mincho"/>
                <w:u w:val="single"/>
              </w:rPr>
            </w:pPr>
          </w:p>
          <w:p w:rsidR="003370C1" w:rsidRDefault="003370C1" w:rsidP="00135BC3">
            <w:pPr>
              <w:pStyle w:val="Tablewriting"/>
              <w:rPr>
                <w:rFonts w:eastAsia="MS Mincho"/>
                <w:u w:val="single"/>
              </w:rPr>
            </w:pPr>
            <w:r>
              <w:rPr>
                <w:rFonts w:eastAsia="MS Mincho"/>
                <w:u w:val="single"/>
              </w:rPr>
              <w:t>Bupropion</w:t>
            </w:r>
          </w:p>
          <w:p w:rsidR="003370C1" w:rsidRPr="002F0CA7" w:rsidRDefault="003370C1" w:rsidP="00135BC3">
            <w:pPr>
              <w:pStyle w:val="Tablewriting"/>
              <w:rPr>
                <w:rFonts w:eastAsia="MS Mincho"/>
              </w:rPr>
            </w:pPr>
            <w:r w:rsidRPr="002F0CA7">
              <w:rPr>
                <w:rFonts w:eastAsia="MS Mincho"/>
              </w:rPr>
              <w:t xml:space="preserve">N= </w:t>
            </w:r>
            <w:r>
              <w:rPr>
                <w:rFonts w:eastAsia="MS Mincho"/>
              </w:rPr>
              <w:t xml:space="preserve">594 </w:t>
            </w:r>
            <w:r w:rsidRPr="002F0CA7">
              <w:rPr>
                <w:rFonts w:eastAsia="MS Mincho"/>
              </w:rPr>
              <w:t>(</w:t>
            </w:r>
            <w:r>
              <w:rPr>
                <w:rFonts w:eastAsia="MS Mincho"/>
              </w:rPr>
              <w:t xml:space="preserve">1 </w:t>
            </w:r>
            <w:r w:rsidRPr="002F0CA7">
              <w:rPr>
                <w:rFonts w:eastAsia="MS Mincho"/>
              </w:rPr>
              <w:t>RCT)</w:t>
            </w:r>
          </w:p>
          <w:p w:rsidR="003370C1" w:rsidRPr="00760539" w:rsidRDefault="003370C1" w:rsidP="00135BC3">
            <w:pPr>
              <w:pStyle w:val="Tablewriting"/>
              <w:rPr>
                <w:rFonts w:eastAsia="MS Mincho"/>
                <w:u w:val="single"/>
              </w:rPr>
            </w:pPr>
            <w:r>
              <w:rPr>
                <w:rFonts w:eastAsia="MS Mincho"/>
              </w:rPr>
              <w:t xml:space="preserve">Reduction with pharmacotherapy </w:t>
            </w:r>
            <w:r w:rsidRPr="002F0CA7">
              <w:rPr>
                <w:rFonts w:eastAsia="MS Mincho"/>
              </w:rPr>
              <w:t>(n=</w:t>
            </w:r>
            <w:r>
              <w:rPr>
                <w:rFonts w:eastAsia="MS Mincho"/>
              </w:rPr>
              <w:t>295</w:t>
            </w:r>
            <w:r w:rsidRPr="002F0CA7">
              <w:rPr>
                <w:rFonts w:eastAsia="MS Mincho"/>
              </w:rPr>
              <w:t>),</w:t>
            </w:r>
            <w:r>
              <w:rPr>
                <w:rFonts w:eastAsia="MS Mincho"/>
              </w:rPr>
              <w:t xml:space="preserve"> reduction alone </w:t>
            </w:r>
            <w:r w:rsidRPr="002F0CA7">
              <w:rPr>
                <w:rFonts w:eastAsia="MS Mincho"/>
              </w:rPr>
              <w:t>(n=</w:t>
            </w:r>
            <w:r>
              <w:rPr>
                <w:rFonts w:eastAsia="MS Mincho"/>
              </w:rPr>
              <w:t>299</w:t>
            </w:r>
            <w:r w:rsidRPr="002F0CA7">
              <w:rPr>
                <w:rFonts w:eastAsia="MS Mincho"/>
              </w:rPr>
              <w:t>)</w:t>
            </w:r>
          </w:p>
        </w:tc>
        <w:tc>
          <w:tcPr>
            <w:tcW w:w="1940" w:type="pct"/>
            <w:tcMar>
              <w:left w:w="28" w:type="dxa"/>
              <w:right w:w="28" w:type="dxa"/>
            </w:tcMar>
          </w:tcPr>
          <w:p w:rsidR="003370C1" w:rsidRPr="00A91B90" w:rsidRDefault="003370C1" w:rsidP="00135BC3">
            <w:pPr>
              <w:pStyle w:val="Tablewriting"/>
              <w:rPr>
                <w:rFonts w:eastAsia="MS Mincho"/>
                <w:u w:val="single"/>
              </w:rPr>
            </w:pPr>
            <w:r w:rsidRPr="00A91B90">
              <w:rPr>
                <w:rFonts w:eastAsia="MS Mincho"/>
                <w:u w:val="single"/>
              </w:rPr>
              <w:lastRenderedPageBreak/>
              <w:t>Inclusion:</w:t>
            </w:r>
          </w:p>
          <w:p w:rsidR="003370C1" w:rsidRPr="00A91B90" w:rsidRDefault="003370C1" w:rsidP="00135BC3">
            <w:pPr>
              <w:pStyle w:val="Tablewriting"/>
              <w:rPr>
                <w:rFonts w:eastAsia="MS Mincho"/>
              </w:rPr>
            </w:pPr>
            <w:r w:rsidRPr="00A91B90">
              <w:rPr>
                <w:rFonts w:eastAsia="MS Mincho"/>
              </w:rPr>
              <w:t>Most were adults, and people typically smoked at least 23</w:t>
            </w:r>
            <w:r>
              <w:rPr>
                <w:rFonts w:eastAsia="MS Mincho"/>
              </w:rPr>
              <w:t xml:space="preserve"> </w:t>
            </w:r>
            <w:r w:rsidRPr="00A91B90">
              <w:rPr>
                <w:rFonts w:eastAsia="MS Mincho"/>
              </w:rPr>
              <w:t>cigarettes a day at the start of the studies. All studies included at least one group of people who were asked to cut down their smoking and</w:t>
            </w:r>
            <w:r>
              <w:rPr>
                <w:rFonts w:eastAsia="MS Mincho"/>
              </w:rPr>
              <w:t xml:space="preserve"> </w:t>
            </w:r>
            <w:r w:rsidRPr="00A91B90">
              <w:rPr>
                <w:rFonts w:eastAsia="MS Mincho"/>
              </w:rPr>
              <w:t>then quit tobacco smoking</w:t>
            </w:r>
            <w:r>
              <w:rPr>
                <w:rFonts w:eastAsia="MS Mincho"/>
              </w:rPr>
              <w:t xml:space="preserve"> </w:t>
            </w:r>
            <w:r w:rsidRPr="00A91B90">
              <w:rPr>
                <w:rFonts w:eastAsia="MS Mincho"/>
              </w:rPr>
              <w:t>altogether</w:t>
            </w:r>
            <w:r>
              <w:rPr>
                <w:rFonts w:eastAsia="MS Mincho"/>
              </w:rPr>
              <w:t>.</w:t>
            </w:r>
          </w:p>
          <w:p w:rsidR="003370C1" w:rsidRDefault="003370C1" w:rsidP="00135BC3">
            <w:pPr>
              <w:pStyle w:val="Tablewriting"/>
              <w:rPr>
                <w:rFonts w:eastAsia="MS Mincho"/>
                <w:u w:val="single"/>
              </w:rPr>
            </w:pPr>
            <w:r w:rsidRPr="00A91B90">
              <w:rPr>
                <w:rFonts w:eastAsia="MS Mincho"/>
                <w:u w:val="single"/>
              </w:rPr>
              <w:t xml:space="preserve">Exclusion: </w:t>
            </w:r>
          </w:p>
          <w:p w:rsidR="003370C1" w:rsidRPr="00A91B90" w:rsidRDefault="003370C1" w:rsidP="00135BC3">
            <w:pPr>
              <w:pStyle w:val="Tablewriting"/>
              <w:rPr>
                <w:rFonts w:eastAsia="MS Mincho"/>
                <w:highlight w:val="yellow"/>
              </w:rPr>
            </w:pPr>
            <w:r w:rsidRPr="00A91B90">
              <w:rPr>
                <w:rFonts w:eastAsia="MS Mincho"/>
              </w:rPr>
              <w:t>Studies which asked people to cut down without quitting</w:t>
            </w:r>
            <w:r>
              <w:rPr>
                <w:rFonts w:eastAsia="MS Mincho"/>
              </w:rPr>
              <w:t>, and s</w:t>
            </w:r>
            <w:r w:rsidRPr="00A91B90">
              <w:rPr>
                <w:rFonts w:eastAsia="MS Mincho"/>
              </w:rPr>
              <w:t xml:space="preserve">tudies lasted </w:t>
            </w:r>
            <w:r>
              <w:rPr>
                <w:rFonts w:eastAsia="MS Mincho"/>
              </w:rPr>
              <w:t>less than</w:t>
            </w:r>
            <w:r w:rsidRPr="00A91B90">
              <w:rPr>
                <w:rFonts w:eastAsia="MS Mincho"/>
              </w:rPr>
              <w:t xml:space="preserve"> six months</w:t>
            </w:r>
            <w:r>
              <w:rPr>
                <w:rFonts w:eastAsia="MS Mincho"/>
              </w:rPr>
              <w:t xml:space="preserve">. </w:t>
            </w:r>
          </w:p>
        </w:tc>
        <w:tc>
          <w:tcPr>
            <w:tcW w:w="746" w:type="pct"/>
          </w:tcPr>
          <w:p w:rsidR="003370C1" w:rsidRDefault="003370C1" w:rsidP="00135BC3">
            <w:pPr>
              <w:pStyle w:val="Tablewriting"/>
              <w:rPr>
                <w:rFonts w:eastAsia="MS Mincho"/>
              </w:rPr>
            </w:pPr>
            <w:r>
              <w:rPr>
                <w:rFonts w:eastAsia="MS Mincho"/>
              </w:rPr>
              <w:t xml:space="preserve">Reduction with pharmacotherapy versus reduction alone. </w:t>
            </w:r>
          </w:p>
          <w:p w:rsidR="003370C1" w:rsidRDefault="003370C1" w:rsidP="00135BC3">
            <w:pPr>
              <w:pStyle w:val="Tablewriting"/>
              <w:rPr>
                <w:rFonts w:eastAsia="MS Mincho"/>
              </w:rPr>
            </w:pPr>
          </w:p>
          <w:p w:rsidR="003370C1" w:rsidRPr="006B5D28" w:rsidRDefault="003370C1" w:rsidP="00135BC3">
            <w:pPr>
              <w:pStyle w:val="Tablewriting"/>
              <w:rPr>
                <w:rFonts w:eastAsia="MS Mincho"/>
              </w:rPr>
            </w:pPr>
            <w:r>
              <w:rPr>
                <w:rFonts w:eastAsia="MS Mincho"/>
              </w:rPr>
              <w:t xml:space="preserve">Pharmacotherapy used were combination NRT, patch, fast acting NRT, varenicline, and bupropion. </w:t>
            </w:r>
          </w:p>
        </w:tc>
        <w:tc>
          <w:tcPr>
            <w:tcW w:w="823" w:type="pct"/>
            <w:tcMar>
              <w:left w:w="28" w:type="dxa"/>
              <w:right w:w="28" w:type="dxa"/>
            </w:tcMar>
          </w:tcPr>
          <w:p w:rsidR="003370C1" w:rsidRPr="009D1F96" w:rsidRDefault="003370C1" w:rsidP="00135BC3">
            <w:pPr>
              <w:pStyle w:val="Tablewriting"/>
              <w:rPr>
                <w:rFonts w:eastAsia="MS Mincho"/>
              </w:rPr>
            </w:pPr>
            <w:r w:rsidRPr="006E7EED">
              <w:rPr>
                <w:rFonts w:eastAsia="MS Mincho"/>
                <w:u w:val="single"/>
              </w:rPr>
              <w:t>Primary</w:t>
            </w:r>
            <w:r w:rsidRPr="006E7EED">
              <w:rPr>
                <w:rFonts w:eastAsia="MS Mincho"/>
              </w:rPr>
              <w:t xml:space="preserve">: smoking </w:t>
            </w:r>
            <w:r w:rsidRPr="009D1F96">
              <w:rPr>
                <w:rFonts w:eastAsia="MS Mincho"/>
              </w:rPr>
              <w:t>cessation rates of at least six months after baseline.</w:t>
            </w:r>
          </w:p>
          <w:p w:rsidR="003370C1" w:rsidRPr="0050095A" w:rsidRDefault="003370C1" w:rsidP="00135BC3">
            <w:pPr>
              <w:pStyle w:val="Tablewriting"/>
              <w:rPr>
                <w:rFonts w:eastAsia="MS Mincho"/>
                <w:u w:val="single"/>
              </w:rPr>
            </w:pPr>
            <w:r w:rsidRPr="009D1F96">
              <w:rPr>
                <w:rFonts w:eastAsia="MS Mincho"/>
                <w:u w:val="single"/>
              </w:rPr>
              <w:t>Secondary</w:t>
            </w:r>
            <w:r w:rsidRPr="009D1F96">
              <w:rPr>
                <w:rFonts w:eastAsia="MS Mincho"/>
              </w:rPr>
              <w:t xml:space="preserve">: safety including </w:t>
            </w:r>
            <w:r>
              <w:rPr>
                <w:rFonts w:eastAsia="MS Mincho"/>
              </w:rPr>
              <w:t xml:space="preserve">pre-quit </w:t>
            </w:r>
            <w:r w:rsidRPr="009D1F96">
              <w:rPr>
                <w:rFonts w:eastAsia="MS Mincho"/>
              </w:rPr>
              <w:t xml:space="preserve">adverse events, </w:t>
            </w:r>
            <w:r>
              <w:rPr>
                <w:rFonts w:eastAsia="MS Mincho"/>
              </w:rPr>
              <w:t xml:space="preserve">pre-quit serious </w:t>
            </w:r>
            <w:r w:rsidRPr="009D1F96">
              <w:rPr>
                <w:rFonts w:eastAsia="MS Mincho"/>
              </w:rPr>
              <w:t>adverse events,</w:t>
            </w:r>
            <w:r>
              <w:rPr>
                <w:rFonts w:eastAsia="MS Mincho"/>
              </w:rPr>
              <w:t xml:space="preserve"> and pre-quit tobacco </w:t>
            </w:r>
            <w:r w:rsidRPr="009D1F96">
              <w:rPr>
                <w:rFonts w:eastAsia="MS Mincho"/>
              </w:rPr>
              <w:t>withdrawa</w:t>
            </w:r>
            <w:r>
              <w:rPr>
                <w:rFonts w:eastAsia="MS Mincho"/>
              </w:rPr>
              <w:t xml:space="preserve">l. </w:t>
            </w:r>
          </w:p>
        </w:tc>
      </w:tr>
    </w:tbl>
    <w:p w:rsidR="003370C1" w:rsidRPr="00C87F51" w:rsidRDefault="003370C1" w:rsidP="003370C1">
      <w:pPr>
        <w:pStyle w:val="TableFooter"/>
        <w:keepNext/>
        <w:rPr>
          <w:i/>
        </w:rPr>
      </w:pPr>
      <w:r>
        <w:t xml:space="preserve">Abbreviations: </w:t>
      </w:r>
      <w:r w:rsidRPr="00C87F51">
        <w:t xml:space="preserve">NRT = nicotine replacement therapy; </w:t>
      </w:r>
      <w:r>
        <w:t xml:space="preserve">N/A = not applicable; </w:t>
      </w:r>
      <w:r w:rsidRPr="00C87F51">
        <w:t xml:space="preserve">RCT = randomised controlled trial </w:t>
      </w:r>
    </w:p>
    <w:p w:rsidR="003370C1" w:rsidRDefault="003370C1" w:rsidP="003370C1">
      <w:pPr>
        <w:pStyle w:val="TableFooter"/>
        <w:keepNext/>
      </w:pPr>
      <w:r w:rsidRPr="00C87F51">
        <w:t>Notes:</w:t>
      </w:r>
      <w:r>
        <w:t xml:space="preserve"> </w:t>
      </w:r>
    </w:p>
    <w:p w:rsidR="003370C1" w:rsidRPr="00BA211C" w:rsidRDefault="003370C1" w:rsidP="003370C1">
      <w:pPr>
        <w:pStyle w:val="TableFooter"/>
        <w:keepNext/>
      </w:pPr>
      <w:r w:rsidRPr="00BA211C">
        <w:t>1 Only the number of patients (n) in the relevant arms were included</w:t>
      </w:r>
      <w:r w:rsidR="00ED0CBA">
        <w:t>.</w:t>
      </w:r>
      <w:r w:rsidRPr="00BA211C">
        <w:t xml:space="preserve"> </w:t>
      </w:r>
    </w:p>
    <w:p w:rsidR="003370C1" w:rsidRPr="00C464ED" w:rsidRDefault="003370C1" w:rsidP="003370C1">
      <w:pPr>
        <w:pStyle w:val="TableFooter"/>
        <w:keepNext/>
      </w:pPr>
      <w:r w:rsidRPr="00CC5712">
        <w:t xml:space="preserve">2 The characteristics of the individual studies included in Lindson et al. (2019) are presented </w:t>
      </w:r>
      <w:r w:rsidRPr="00A86B42">
        <w:t xml:space="preserve">in </w:t>
      </w:r>
      <w:r w:rsidRPr="001562F2">
        <w:t>Appendix</w:t>
      </w:r>
      <w:r w:rsidR="002D5A16">
        <w:t xml:space="preserve"> </w:t>
      </w:r>
      <w:r w:rsidR="003C4A1C">
        <w:t xml:space="preserve">Table </w:t>
      </w:r>
      <w:r w:rsidR="003C4A1C">
        <w:rPr>
          <w:noProof/>
        </w:rPr>
        <w:t>163</w:t>
      </w:r>
      <w:r w:rsidRPr="0008509E">
        <w:t>.</w:t>
      </w:r>
    </w:p>
    <w:p w:rsidR="003370C1" w:rsidRDefault="003370C1" w:rsidP="003370C1">
      <w:pPr>
        <w:pStyle w:val="TableFooter"/>
        <w:keepNext/>
      </w:pPr>
      <w:r w:rsidRPr="00A86B42">
        <w:t xml:space="preserve">3 </w:t>
      </w:r>
      <w:r w:rsidR="00BF4932" w:rsidRPr="00BF4932">
        <w:t>In Dedert et al. (2018), the concealment of the allocation sequence was not reported.</w:t>
      </w:r>
    </w:p>
    <w:p w:rsidR="00135BC3" w:rsidRDefault="00135BC3" w:rsidP="003370C1">
      <w:pPr>
        <w:pStyle w:val="TableFooter"/>
        <w:keepNext/>
        <w:sectPr w:rsidR="00135BC3" w:rsidSect="00135BC3">
          <w:pgSz w:w="16838" w:h="11906" w:orient="landscape"/>
          <w:pgMar w:top="1440" w:right="1440" w:bottom="1440" w:left="1440" w:header="708" w:footer="708" w:gutter="0"/>
          <w:cols w:space="708"/>
          <w:titlePg/>
          <w:docGrid w:linePitch="360"/>
        </w:sectPr>
      </w:pPr>
    </w:p>
    <w:p w:rsidR="003370C1" w:rsidRPr="00C0756C" w:rsidRDefault="003370C1" w:rsidP="00D02475">
      <w:pPr>
        <w:pStyle w:val="Heading5"/>
        <w:numPr>
          <w:ilvl w:val="0"/>
          <w:numId w:val="0"/>
        </w:numPr>
        <w:rPr>
          <w:i w:val="0"/>
        </w:rPr>
      </w:pPr>
      <w:r w:rsidRPr="00C74B37">
        <w:lastRenderedPageBreak/>
        <w:t>Effect of tapering patch dose</w:t>
      </w:r>
    </w:p>
    <w:p w:rsidR="001E73E7" w:rsidRPr="001E73E7" w:rsidRDefault="001E73E7" w:rsidP="001E73E7">
      <w:pPr>
        <w:rPr>
          <w:u w:val="single"/>
        </w:rPr>
      </w:pPr>
      <w:r w:rsidRPr="001E73E7">
        <w:rPr>
          <w:u w:val="single"/>
        </w:rPr>
        <w:t>Efficacy</w:t>
      </w:r>
    </w:p>
    <w:p w:rsidR="003370C1" w:rsidRDefault="003370C1" w:rsidP="003370C1">
      <w:pPr>
        <w:pStyle w:val="Caption"/>
        <w:keepNext/>
        <w:jc w:val="both"/>
        <w:rPr>
          <w:b w:val="0"/>
          <w:bCs w:val="0"/>
        </w:rPr>
      </w:pPr>
      <w:r w:rsidRPr="00EE3321">
        <w:rPr>
          <w:b w:val="0"/>
          <w:bCs w:val="0"/>
        </w:rPr>
        <w:t>A summary of the smoking cessation rates f</w:t>
      </w:r>
      <w:r w:rsidR="00C623F4">
        <w:rPr>
          <w:b w:val="0"/>
          <w:bCs w:val="0"/>
        </w:rPr>
        <w:t>or</w:t>
      </w:r>
      <w:r w:rsidRPr="00EE3321">
        <w:rPr>
          <w:b w:val="0"/>
          <w:bCs w:val="0"/>
        </w:rPr>
        <w:t xml:space="preserve"> at least six months follow-up</w:t>
      </w:r>
      <w:r w:rsidR="008A5E3D">
        <w:rPr>
          <w:b w:val="0"/>
          <w:bCs w:val="0"/>
        </w:rPr>
        <w:t xml:space="preserve"> </w:t>
      </w:r>
      <w:r w:rsidR="004F522A">
        <w:rPr>
          <w:b w:val="0"/>
          <w:bCs w:val="0"/>
        </w:rPr>
        <w:t xml:space="preserve">comparing abrupt withdrawal with tapering patch dose </w:t>
      </w:r>
      <w:r w:rsidRPr="008A42AA">
        <w:rPr>
          <w:b w:val="0"/>
          <w:bCs w:val="0"/>
        </w:rPr>
        <w:t>is presented in</w:t>
      </w:r>
      <w:r w:rsidR="008A42AA" w:rsidRPr="008A42AA">
        <w:rPr>
          <w:b w:val="0"/>
          <w:bCs w:val="0"/>
        </w:rPr>
        <w:t xml:space="preserve"> </w:t>
      </w:r>
      <w:r w:rsidR="003C4A1C" w:rsidRPr="003C4A1C">
        <w:rPr>
          <w:b w:val="0"/>
          <w:bCs w:val="0"/>
        </w:rPr>
        <w:t xml:space="preserve">Table </w:t>
      </w:r>
      <w:r w:rsidR="003C4A1C" w:rsidRPr="003C4A1C">
        <w:rPr>
          <w:b w:val="0"/>
          <w:bCs w:val="0"/>
          <w:noProof/>
        </w:rPr>
        <w:t>96</w:t>
      </w:r>
      <w:r w:rsidR="008A42AA" w:rsidRPr="008A42AA">
        <w:rPr>
          <w:b w:val="0"/>
          <w:bCs w:val="0"/>
        </w:rPr>
        <w:t>.</w:t>
      </w:r>
      <w:r w:rsidRPr="008A42AA">
        <w:rPr>
          <w:b w:val="0"/>
          <w:bCs w:val="0"/>
        </w:rPr>
        <w:t xml:space="preserve"> </w:t>
      </w:r>
      <w:r w:rsidR="00FF069D">
        <w:rPr>
          <w:b w:val="0"/>
          <w:bCs w:val="0"/>
        </w:rPr>
        <w:t xml:space="preserve">Based on the </w:t>
      </w:r>
      <w:r w:rsidR="00710FE5">
        <w:rPr>
          <w:b w:val="0"/>
          <w:bCs w:val="0"/>
        </w:rPr>
        <w:t>Cochrane Review</w:t>
      </w:r>
      <w:r w:rsidR="00A30163">
        <w:rPr>
          <w:b w:val="0"/>
          <w:bCs w:val="0"/>
        </w:rPr>
        <w:t xml:space="preserve"> by Lindson et al. (2019), the</w:t>
      </w:r>
      <w:r w:rsidR="00710FE5">
        <w:rPr>
          <w:b w:val="0"/>
          <w:bCs w:val="0"/>
        </w:rPr>
        <w:t xml:space="preserve"> results of the meta-analysis</w:t>
      </w:r>
      <w:r w:rsidR="005A4731">
        <w:rPr>
          <w:b w:val="0"/>
          <w:bCs w:val="0"/>
        </w:rPr>
        <w:t xml:space="preserve"> comprising two RCTs </w:t>
      </w:r>
      <w:r w:rsidR="00710FE5">
        <w:rPr>
          <w:b w:val="0"/>
          <w:bCs w:val="0"/>
        </w:rPr>
        <w:t>demonstrated</w:t>
      </w:r>
      <w:r w:rsidR="00A30163">
        <w:rPr>
          <w:b w:val="0"/>
          <w:bCs w:val="0"/>
        </w:rPr>
        <w:t xml:space="preserve"> no </w:t>
      </w:r>
      <w:r w:rsidR="00D226D9">
        <w:rPr>
          <w:b w:val="0"/>
          <w:bCs w:val="0"/>
        </w:rPr>
        <w:t>statistically significant differences</w:t>
      </w:r>
      <w:r w:rsidR="00024015">
        <w:rPr>
          <w:b w:val="0"/>
          <w:bCs w:val="0"/>
        </w:rPr>
        <w:t xml:space="preserve"> in smoking cessation rates</w:t>
      </w:r>
      <w:r w:rsidR="00D226D9">
        <w:rPr>
          <w:b w:val="0"/>
          <w:bCs w:val="0"/>
        </w:rPr>
        <w:t xml:space="preserve"> between </w:t>
      </w:r>
      <w:r w:rsidR="00024015">
        <w:rPr>
          <w:b w:val="0"/>
          <w:bCs w:val="0"/>
        </w:rPr>
        <w:t>abrupt withdrawal and tapering of NRT patch dose.</w:t>
      </w:r>
      <w:r w:rsidRPr="005D168C">
        <w:rPr>
          <w:b w:val="0"/>
          <w:bCs w:val="0"/>
        </w:rPr>
        <w:t xml:space="preserve"> </w:t>
      </w:r>
      <w:r w:rsidR="0072039B" w:rsidRPr="0072039B">
        <w:rPr>
          <w:b w:val="0"/>
          <w:bCs w:val="0"/>
        </w:rPr>
        <w:t xml:space="preserve">The PBAC previously noted that gradual tapering compared with abrupt withdrawal </w:t>
      </w:r>
      <w:r w:rsidR="00EB7B05">
        <w:rPr>
          <w:b w:val="0"/>
          <w:bCs w:val="0"/>
        </w:rPr>
        <w:t>w</w:t>
      </w:r>
      <w:r w:rsidR="00975E75">
        <w:rPr>
          <w:b w:val="0"/>
          <w:bCs w:val="0"/>
        </w:rPr>
        <w:t>as</w:t>
      </w:r>
      <w:r w:rsidR="0072039B" w:rsidRPr="0072039B">
        <w:rPr>
          <w:b w:val="0"/>
          <w:bCs w:val="0"/>
        </w:rPr>
        <w:t xml:space="preserve"> likely to result in minimal changes in clinical outcomes (NRT PSD, March 2010 PBAC meeting).</w:t>
      </w:r>
    </w:p>
    <w:p w:rsidR="0055304E" w:rsidRDefault="0055304E" w:rsidP="0055304E">
      <w:pPr>
        <w:pStyle w:val="Caption"/>
        <w:keepNext/>
      </w:pPr>
      <w:bookmarkStart w:id="201" w:name="_Ref59701174"/>
      <w:r>
        <w:t xml:space="preserve">Table </w:t>
      </w:r>
      <w:r w:rsidR="003C4A1C">
        <w:rPr>
          <w:noProof/>
        </w:rPr>
        <w:t>96</w:t>
      </w:r>
      <w:bookmarkEnd w:id="201"/>
      <w:r>
        <w:t xml:space="preserve">: </w:t>
      </w:r>
      <w:r w:rsidRPr="009A1D6A">
        <w:t>Results of smoking cessation f</w:t>
      </w:r>
      <w:r w:rsidR="00C623F4">
        <w:t>or</w:t>
      </w:r>
      <w:r w:rsidRPr="009A1D6A">
        <w:t xml:space="preserve"> at least six months follow-up, effect of tapering patch dose</w:t>
      </w:r>
    </w:p>
    <w:tbl>
      <w:tblPr>
        <w:tblStyle w:val="TableGrid"/>
        <w:tblW w:w="5000" w:type="pct"/>
        <w:tblLook w:val="04A0" w:firstRow="1" w:lastRow="0" w:firstColumn="1" w:lastColumn="0" w:noHBand="0" w:noVBand="1"/>
        <w:tblCaption w:val="Efficacy results of adalimumab trials (PASI 75 and DLQI)"/>
      </w:tblPr>
      <w:tblGrid>
        <w:gridCol w:w="1182"/>
        <w:gridCol w:w="2342"/>
        <w:gridCol w:w="1830"/>
        <w:gridCol w:w="1834"/>
        <w:gridCol w:w="1828"/>
      </w:tblGrid>
      <w:tr w:rsidR="003370C1" w:rsidRPr="00061F78" w:rsidTr="00D9283B">
        <w:trPr>
          <w:cantSplit/>
          <w:trHeight w:val="299"/>
          <w:tblHeader/>
        </w:trPr>
        <w:tc>
          <w:tcPr>
            <w:tcW w:w="655" w:type="pct"/>
            <w:shd w:val="clear" w:color="auto" w:fill="BFBFBF" w:themeFill="background1" w:themeFillShade="BF"/>
            <w:tcMar>
              <w:left w:w="28" w:type="dxa"/>
              <w:right w:w="28" w:type="dxa"/>
            </w:tcMar>
          </w:tcPr>
          <w:p w:rsidR="003370C1" w:rsidRPr="00061F78" w:rsidRDefault="003370C1" w:rsidP="00A5263B">
            <w:pPr>
              <w:pStyle w:val="Tableheading"/>
              <w:keepNext/>
              <w:rPr>
                <w:rFonts w:eastAsia="MS Mincho"/>
              </w:rPr>
            </w:pPr>
            <w:r>
              <w:rPr>
                <w:rFonts w:eastAsia="MS Mincho"/>
              </w:rPr>
              <w:t>Study</w:t>
            </w:r>
          </w:p>
        </w:tc>
        <w:tc>
          <w:tcPr>
            <w:tcW w:w="1299" w:type="pct"/>
            <w:shd w:val="clear" w:color="auto" w:fill="BFBFBF" w:themeFill="background1" w:themeFillShade="BF"/>
            <w:vAlign w:val="center"/>
          </w:tcPr>
          <w:p w:rsidR="003370C1" w:rsidRDefault="003370C1" w:rsidP="00A5263B">
            <w:pPr>
              <w:pStyle w:val="Tableheading"/>
              <w:keepNext/>
              <w:jc w:val="center"/>
              <w:rPr>
                <w:rFonts w:eastAsia="MS Mincho"/>
              </w:rPr>
            </w:pPr>
            <w:r>
              <w:rPr>
                <w:rFonts w:eastAsia="MS Mincho"/>
              </w:rPr>
              <w:t>Study type</w:t>
            </w:r>
          </w:p>
        </w:tc>
        <w:tc>
          <w:tcPr>
            <w:tcW w:w="1015" w:type="pct"/>
            <w:shd w:val="clear" w:color="auto" w:fill="BFBFBF" w:themeFill="background1" w:themeFillShade="BF"/>
            <w:tcMar>
              <w:left w:w="28" w:type="dxa"/>
              <w:right w:w="28" w:type="dxa"/>
            </w:tcMar>
            <w:vAlign w:val="center"/>
          </w:tcPr>
          <w:p w:rsidR="003370C1" w:rsidRPr="00061F78" w:rsidRDefault="003370C1" w:rsidP="00A5263B">
            <w:pPr>
              <w:pStyle w:val="Tableheading"/>
              <w:keepNext/>
              <w:jc w:val="center"/>
              <w:rPr>
                <w:rFonts w:eastAsia="MS Mincho"/>
              </w:rPr>
            </w:pPr>
            <w:r w:rsidRPr="00C74B37">
              <w:rPr>
                <w:rFonts w:eastAsia="MS Mincho"/>
              </w:rPr>
              <w:t>Abrupt withdrawal</w:t>
            </w:r>
          </w:p>
        </w:tc>
        <w:tc>
          <w:tcPr>
            <w:tcW w:w="1017" w:type="pct"/>
            <w:shd w:val="clear" w:color="auto" w:fill="BFBFBF" w:themeFill="background1" w:themeFillShade="BF"/>
            <w:tcMar>
              <w:left w:w="28" w:type="dxa"/>
              <w:right w:w="28" w:type="dxa"/>
            </w:tcMar>
            <w:vAlign w:val="center"/>
          </w:tcPr>
          <w:p w:rsidR="003370C1" w:rsidRPr="00061F78" w:rsidRDefault="003370C1" w:rsidP="00A5263B">
            <w:pPr>
              <w:pStyle w:val="Tableheading"/>
              <w:keepNext/>
              <w:jc w:val="center"/>
              <w:rPr>
                <w:rFonts w:eastAsia="MS Mincho"/>
              </w:rPr>
            </w:pPr>
            <w:r>
              <w:rPr>
                <w:rFonts w:eastAsia="MS Mincho"/>
              </w:rPr>
              <w:t>T</w:t>
            </w:r>
            <w:r w:rsidRPr="00C74B37">
              <w:rPr>
                <w:rFonts w:eastAsia="MS Mincho"/>
              </w:rPr>
              <w:t>apering</w:t>
            </w:r>
          </w:p>
        </w:tc>
        <w:tc>
          <w:tcPr>
            <w:tcW w:w="1014" w:type="pct"/>
            <w:shd w:val="clear" w:color="auto" w:fill="BFBFBF" w:themeFill="background1" w:themeFillShade="BF"/>
            <w:tcMar>
              <w:left w:w="28" w:type="dxa"/>
              <w:right w:w="28" w:type="dxa"/>
            </w:tcMar>
            <w:vAlign w:val="center"/>
          </w:tcPr>
          <w:p w:rsidR="003370C1" w:rsidRPr="005A4731" w:rsidRDefault="003370C1" w:rsidP="00A5263B">
            <w:pPr>
              <w:pStyle w:val="Tableheading"/>
              <w:keepNext/>
              <w:jc w:val="center"/>
              <w:rPr>
                <w:rFonts w:eastAsia="MS Mincho"/>
                <w:vertAlign w:val="superscript"/>
              </w:rPr>
            </w:pPr>
            <w:r>
              <w:rPr>
                <w:rFonts w:eastAsia="MS Mincho"/>
              </w:rPr>
              <w:t>RR (95% CI)</w:t>
            </w:r>
            <w:r w:rsidR="005A4731">
              <w:rPr>
                <w:rFonts w:eastAsia="MS Mincho"/>
                <w:vertAlign w:val="superscript"/>
              </w:rPr>
              <w:t>1</w:t>
            </w:r>
          </w:p>
        </w:tc>
      </w:tr>
      <w:tr w:rsidR="003370C1" w:rsidRPr="00061F78" w:rsidTr="00D9283B">
        <w:trPr>
          <w:cantSplit/>
          <w:trHeight w:val="99"/>
        </w:trPr>
        <w:tc>
          <w:tcPr>
            <w:tcW w:w="655" w:type="pct"/>
            <w:shd w:val="clear" w:color="auto" w:fill="auto"/>
            <w:tcMar>
              <w:left w:w="28" w:type="dxa"/>
              <w:right w:w="28" w:type="dxa"/>
            </w:tcMar>
            <w:vAlign w:val="center"/>
          </w:tcPr>
          <w:p w:rsidR="003370C1" w:rsidRPr="005D18BC" w:rsidRDefault="00D9283B" w:rsidP="00A5263B">
            <w:pPr>
              <w:pStyle w:val="Tablewriting"/>
              <w:keepNext/>
              <w:rPr>
                <w:rFonts w:eastAsia="MS Mincho"/>
                <w:highlight w:val="yellow"/>
              </w:rPr>
            </w:pPr>
            <w:r>
              <w:rPr>
                <w:rFonts w:eastAsia="MS Mincho"/>
              </w:rPr>
              <w:t>Lindson (2019)</w:t>
            </w:r>
          </w:p>
        </w:tc>
        <w:tc>
          <w:tcPr>
            <w:tcW w:w="1299" w:type="pct"/>
            <w:shd w:val="clear" w:color="auto" w:fill="auto"/>
            <w:vAlign w:val="center"/>
          </w:tcPr>
          <w:p w:rsidR="00D9283B" w:rsidRDefault="00D9283B" w:rsidP="00A5263B">
            <w:pPr>
              <w:pStyle w:val="Tablewriting"/>
              <w:keepNext/>
              <w:jc w:val="center"/>
              <w:rPr>
                <w:rFonts w:eastAsia="MS Mincho"/>
              </w:rPr>
            </w:pPr>
            <w:r>
              <w:rPr>
                <w:rFonts w:eastAsia="MS Mincho"/>
              </w:rPr>
              <w:t>Cochrane Review</w:t>
            </w:r>
          </w:p>
          <w:p w:rsidR="003370C1" w:rsidRPr="00A22F63" w:rsidRDefault="00D9283B" w:rsidP="00A5263B">
            <w:pPr>
              <w:pStyle w:val="Tablewriting"/>
              <w:keepNext/>
              <w:jc w:val="center"/>
              <w:rPr>
                <w:rFonts w:eastAsia="MS Mincho"/>
              </w:rPr>
            </w:pPr>
            <w:r>
              <w:rPr>
                <w:rFonts w:eastAsia="MS Mincho"/>
              </w:rPr>
              <w:t xml:space="preserve">(2 </w:t>
            </w:r>
            <w:r w:rsidRPr="00A22F63">
              <w:rPr>
                <w:rFonts w:eastAsia="MS Mincho"/>
              </w:rPr>
              <w:t>RCT</w:t>
            </w:r>
            <w:r>
              <w:rPr>
                <w:rFonts w:eastAsia="MS Mincho"/>
              </w:rPr>
              <w:t>S)</w:t>
            </w:r>
          </w:p>
        </w:tc>
        <w:tc>
          <w:tcPr>
            <w:tcW w:w="1015" w:type="pct"/>
            <w:shd w:val="clear" w:color="auto" w:fill="auto"/>
            <w:tcMar>
              <w:left w:w="28" w:type="dxa"/>
              <w:right w:w="28" w:type="dxa"/>
            </w:tcMar>
            <w:vAlign w:val="center"/>
          </w:tcPr>
          <w:p w:rsidR="00D9283B" w:rsidRDefault="005B4C22" w:rsidP="00A5263B">
            <w:pPr>
              <w:pStyle w:val="Tablewriting"/>
              <w:keepNext/>
              <w:jc w:val="center"/>
              <w:rPr>
                <w:rFonts w:eastAsia="MS Mincho"/>
              </w:rPr>
            </w:pPr>
            <w:r>
              <w:rPr>
                <w:rFonts w:eastAsia="MS Mincho"/>
              </w:rPr>
              <w:t>55/137</w:t>
            </w:r>
          </w:p>
          <w:p w:rsidR="003370C1" w:rsidRPr="00571B3B" w:rsidRDefault="005B4C22" w:rsidP="00A5263B">
            <w:pPr>
              <w:pStyle w:val="Tablewriting"/>
              <w:keepNext/>
              <w:jc w:val="center"/>
              <w:rPr>
                <w:rFonts w:eastAsia="MS Mincho"/>
              </w:rPr>
            </w:pPr>
            <w:r>
              <w:rPr>
                <w:rFonts w:eastAsia="MS Mincho"/>
              </w:rPr>
              <w:t>(</w:t>
            </w:r>
            <w:r w:rsidR="00A86B42">
              <w:rPr>
                <w:rFonts w:eastAsia="MS Mincho"/>
              </w:rPr>
              <w:t>40.1</w:t>
            </w:r>
            <w:r>
              <w:rPr>
                <w:rFonts w:eastAsia="MS Mincho"/>
              </w:rPr>
              <w:t>%)</w:t>
            </w:r>
          </w:p>
        </w:tc>
        <w:tc>
          <w:tcPr>
            <w:tcW w:w="1017" w:type="pct"/>
            <w:shd w:val="clear" w:color="auto" w:fill="auto"/>
            <w:tcMar>
              <w:left w:w="28" w:type="dxa"/>
              <w:right w:w="28" w:type="dxa"/>
            </w:tcMar>
            <w:vAlign w:val="center"/>
          </w:tcPr>
          <w:p w:rsidR="00D9283B" w:rsidRDefault="00AE78CD" w:rsidP="00A5263B">
            <w:pPr>
              <w:pStyle w:val="Tablewriting"/>
              <w:keepNext/>
              <w:jc w:val="center"/>
              <w:rPr>
                <w:rFonts w:eastAsia="MS Mincho"/>
              </w:rPr>
            </w:pPr>
            <w:r>
              <w:rPr>
                <w:rFonts w:eastAsia="MS Mincho"/>
              </w:rPr>
              <w:t>50/127</w:t>
            </w:r>
          </w:p>
          <w:p w:rsidR="003370C1" w:rsidRPr="00571B3B" w:rsidRDefault="00AE78CD" w:rsidP="00A5263B">
            <w:pPr>
              <w:pStyle w:val="Tablewriting"/>
              <w:keepNext/>
              <w:jc w:val="center"/>
              <w:rPr>
                <w:rFonts w:eastAsia="MS Mincho"/>
              </w:rPr>
            </w:pPr>
            <w:r>
              <w:rPr>
                <w:rFonts w:eastAsia="MS Mincho"/>
              </w:rPr>
              <w:t>(</w:t>
            </w:r>
            <w:r w:rsidR="00A86B42">
              <w:rPr>
                <w:rFonts w:eastAsia="MS Mincho"/>
              </w:rPr>
              <w:t>39.4</w:t>
            </w:r>
            <w:r>
              <w:rPr>
                <w:rFonts w:eastAsia="MS Mincho"/>
              </w:rPr>
              <w:t>%)</w:t>
            </w:r>
          </w:p>
        </w:tc>
        <w:tc>
          <w:tcPr>
            <w:tcW w:w="1014" w:type="pct"/>
            <w:shd w:val="clear" w:color="auto" w:fill="auto"/>
            <w:tcMar>
              <w:left w:w="28" w:type="dxa"/>
              <w:right w:w="28" w:type="dxa"/>
            </w:tcMar>
            <w:vAlign w:val="center"/>
          </w:tcPr>
          <w:p w:rsidR="00D9283B" w:rsidRDefault="00D9283B" w:rsidP="00D9283B">
            <w:pPr>
              <w:pStyle w:val="Tablewriting"/>
              <w:keepNext/>
              <w:jc w:val="center"/>
              <w:rPr>
                <w:rFonts w:eastAsia="MS Mincho"/>
              </w:rPr>
            </w:pPr>
            <w:r w:rsidRPr="00D86FCC">
              <w:rPr>
                <w:rFonts w:eastAsia="MS Mincho"/>
              </w:rPr>
              <w:t xml:space="preserve">0.99 </w:t>
            </w:r>
          </w:p>
          <w:p w:rsidR="003370C1" w:rsidRPr="00D86FCC" w:rsidRDefault="00D9283B" w:rsidP="00A5263B">
            <w:pPr>
              <w:pStyle w:val="Tablewriting"/>
              <w:keepNext/>
              <w:jc w:val="center"/>
              <w:rPr>
                <w:rFonts w:eastAsia="MS Mincho"/>
              </w:rPr>
            </w:pPr>
            <w:r w:rsidRPr="00D86FCC">
              <w:rPr>
                <w:rFonts w:eastAsia="MS Mincho"/>
              </w:rPr>
              <w:t>(0.74, 1.32)</w:t>
            </w:r>
          </w:p>
        </w:tc>
      </w:tr>
    </w:tbl>
    <w:p w:rsidR="003370C1" w:rsidRPr="00566F12" w:rsidRDefault="003370C1" w:rsidP="003370C1">
      <w:pPr>
        <w:pStyle w:val="TableFooter"/>
        <w:keepNext/>
      </w:pPr>
      <w:r w:rsidRPr="00566F12">
        <w:t>Source: Lindson et al. (2019)</w:t>
      </w:r>
    </w:p>
    <w:p w:rsidR="003370C1" w:rsidRPr="00566F12" w:rsidRDefault="003370C1" w:rsidP="003370C1">
      <w:pPr>
        <w:pStyle w:val="TableFooter"/>
        <w:keepNext/>
        <w:rPr>
          <w:i/>
        </w:rPr>
      </w:pPr>
      <w:r w:rsidRPr="00566F12">
        <w:t xml:space="preserve">Abbreviations: CI = confidence interval; RCT = randomised controlled trial; RD = risk difference; RR = risk ratio </w:t>
      </w:r>
    </w:p>
    <w:p w:rsidR="00105C16" w:rsidRDefault="003370C1" w:rsidP="00105C16">
      <w:pPr>
        <w:pStyle w:val="TableFooter"/>
        <w:rPr>
          <w:vertAlign w:val="superscript"/>
        </w:rPr>
      </w:pPr>
      <w:r w:rsidRPr="00566F12">
        <w:t>Notes:</w:t>
      </w:r>
      <w:r>
        <w:t xml:space="preserve"> </w:t>
      </w:r>
    </w:p>
    <w:p w:rsidR="003370C1" w:rsidRPr="00AE78CD" w:rsidRDefault="00105C16" w:rsidP="00AE78CD">
      <w:pPr>
        <w:pStyle w:val="TableFooter"/>
      </w:pPr>
      <w:r>
        <w:t xml:space="preserve">1 </w:t>
      </w:r>
      <w:r w:rsidR="003370C1" w:rsidRPr="0041240E">
        <w:t>Calculated</w:t>
      </w:r>
      <w:r>
        <w:t xml:space="preserve"> by Cochrane Review authors using a fixed-effect model</w:t>
      </w:r>
      <w:r w:rsidR="00ED0CBA">
        <w:t>.</w:t>
      </w:r>
      <w:r w:rsidR="003370C1" w:rsidRPr="00566F12">
        <w:br/>
      </w:r>
    </w:p>
    <w:p w:rsidR="003370C1" w:rsidRPr="003F0658" w:rsidRDefault="003370C1" w:rsidP="003370C1">
      <w:pPr>
        <w:pStyle w:val="TableFooter"/>
        <w:jc w:val="both"/>
        <w:rPr>
          <w:sz w:val="24"/>
        </w:rPr>
      </w:pPr>
      <w:r w:rsidRPr="00F136E9">
        <w:rPr>
          <w:sz w:val="24"/>
        </w:rPr>
        <w:t>The results of the individual studies</w:t>
      </w:r>
      <w:r>
        <w:rPr>
          <w:sz w:val="24"/>
        </w:rPr>
        <w:t xml:space="preserve"> </w:t>
      </w:r>
      <w:r w:rsidRPr="00F136E9">
        <w:rPr>
          <w:sz w:val="24"/>
        </w:rPr>
        <w:t>included in Lindson et al. (2019) are presented using a forest plot i</w:t>
      </w:r>
      <w:r w:rsidR="003F0658">
        <w:rPr>
          <w:sz w:val="24"/>
        </w:rPr>
        <w:t xml:space="preserve">n </w:t>
      </w:r>
      <w:r w:rsidR="003C4A1C" w:rsidRPr="003C4A1C">
        <w:rPr>
          <w:sz w:val="24"/>
        </w:rPr>
        <w:t>Figure 30</w:t>
      </w:r>
      <w:r w:rsidR="003F0658">
        <w:rPr>
          <w:sz w:val="24"/>
        </w:rPr>
        <w:t>.</w:t>
      </w:r>
    </w:p>
    <w:p w:rsidR="005C0F8E" w:rsidRDefault="003370C1" w:rsidP="005C0F8E">
      <w:pPr>
        <w:keepNext/>
      </w:pPr>
      <w:r>
        <w:rPr>
          <w:noProof/>
        </w:rPr>
        <w:drawing>
          <wp:inline distT="0" distB="0" distL="0" distR="0" wp14:anchorId="59017D22" wp14:editId="0A870344">
            <wp:extent cx="5731510" cy="1495425"/>
            <wp:effectExtent l="0" t="0" r="0" b="3175"/>
            <wp:docPr id="65" name="Picture 6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pic:nvPicPr>
                  <pic:blipFill>
                    <a:blip r:embed="rId47">
                      <a:extLst>
                        <a:ext uri="{28A0092B-C50C-407E-A947-70E740481C1C}">
                          <a14:useLocalDpi xmlns:a14="http://schemas.microsoft.com/office/drawing/2010/main" val="0"/>
                        </a:ext>
                      </a:extLst>
                    </a:blip>
                    <a:stretch>
                      <a:fillRect/>
                    </a:stretch>
                  </pic:blipFill>
                  <pic:spPr>
                    <a:xfrm>
                      <a:off x="0" y="0"/>
                      <a:ext cx="5731510" cy="1495425"/>
                    </a:xfrm>
                    <a:prstGeom prst="rect">
                      <a:avLst/>
                    </a:prstGeom>
                  </pic:spPr>
                </pic:pic>
              </a:graphicData>
            </a:graphic>
          </wp:inline>
        </w:drawing>
      </w:r>
    </w:p>
    <w:p w:rsidR="003370C1" w:rsidRPr="007106EE" w:rsidRDefault="005C0F8E" w:rsidP="005C0F8E">
      <w:pPr>
        <w:pStyle w:val="Caption"/>
      </w:pPr>
      <w:bookmarkStart w:id="202" w:name="_Ref59701784"/>
      <w:r>
        <w:t xml:space="preserve">Figure </w:t>
      </w:r>
      <w:r w:rsidR="003C4A1C">
        <w:rPr>
          <w:noProof/>
        </w:rPr>
        <w:t>30</w:t>
      </w:r>
      <w:bookmarkEnd w:id="202"/>
      <w:r>
        <w:t xml:space="preserve">: </w:t>
      </w:r>
      <w:r w:rsidRPr="00716FF8">
        <w:t>Results of smoking cessation f</w:t>
      </w:r>
      <w:r w:rsidR="00C623F4">
        <w:t>or</w:t>
      </w:r>
      <w:r w:rsidRPr="00716FF8">
        <w:t xml:space="preserve"> at least six months follow-up, effect of tapering patch dose</w:t>
      </w:r>
    </w:p>
    <w:p w:rsidR="003F0658" w:rsidRPr="00543DB6" w:rsidRDefault="003F0658" w:rsidP="003F0658">
      <w:pPr>
        <w:pStyle w:val="TableFooter"/>
        <w:keepNext/>
      </w:pPr>
      <w:r w:rsidRPr="00543DB6">
        <w:t>Source: Lindson et al. (2019)</w:t>
      </w:r>
    </w:p>
    <w:p w:rsidR="005C0F8E" w:rsidRDefault="003F0658" w:rsidP="003F0658">
      <w:pPr>
        <w:pStyle w:val="TableFooter"/>
        <w:keepNext/>
      </w:pPr>
      <w:r w:rsidRPr="00543DB6">
        <w:t>Abbreviations: CI = confidence interval</w:t>
      </w:r>
    </w:p>
    <w:p w:rsidR="004D63D8" w:rsidRPr="004D63D8" w:rsidRDefault="004D63D8" w:rsidP="004D63D8">
      <w:pPr>
        <w:rPr>
          <w:u w:val="single"/>
        </w:rPr>
      </w:pPr>
      <w:r w:rsidRPr="004D63D8">
        <w:rPr>
          <w:u w:val="single"/>
        </w:rPr>
        <w:t>Safety</w:t>
      </w:r>
    </w:p>
    <w:p w:rsidR="00D352A3" w:rsidRPr="00CC67E2" w:rsidRDefault="00D352A3" w:rsidP="004F522A">
      <w:pPr>
        <w:rPr>
          <w:b/>
          <w:bCs/>
        </w:rPr>
      </w:pPr>
      <w:r w:rsidRPr="00A67889">
        <w:t xml:space="preserve">A summary of key adverse events in Lindson et al. </w:t>
      </w:r>
      <w:r>
        <w:t>(</w:t>
      </w:r>
      <w:r w:rsidRPr="00A67889">
        <w:t>2019</w:t>
      </w:r>
      <w:r>
        <w:t>)</w:t>
      </w:r>
      <w:r w:rsidRPr="00A67889">
        <w:t xml:space="preserve"> </w:t>
      </w:r>
      <w:r>
        <w:t>comparing abrupt withdrawal with</w:t>
      </w:r>
      <w:r w:rsidRPr="00A67889">
        <w:t xml:space="preserve"> tapering patch dose</w:t>
      </w:r>
      <w:r>
        <w:t xml:space="preserve"> </w:t>
      </w:r>
      <w:r w:rsidRPr="00A67889">
        <w:t xml:space="preserve">is presented </w:t>
      </w:r>
      <w:r w:rsidRPr="00086367">
        <w:t>in</w:t>
      </w:r>
      <w:r w:rsidR="004F522A">
        <w:t xml:space="preserve"> </w:t>
      </w:r>
      <w:r w:rsidR="003C4A1C">
        <w:t xml:space="preserve">Table </w:t>
      </w:r>
      <w:r w:rsidR="003C4A1C">
        <w:rPr>
          <w:noProof/>
        </w:rPr>
        <w:t>97</w:t>
      </w:r>
      <w:r w:rsidRPr="00086367">
        <w:t xml:space="preserve">. </w:t>
      </w:r>
      <w:r>
        <w:t>Based on the Cochrane Review by Lindson et al. (2019), there were no statistically significant differences in treatment withdrawals between the two treatment arms.</w:t>
      </w:r>
      <w:r w:rsidRPr="00371997">
        <w:t xml:space="preserve"> </w:t>
      </w:r>
    </w:p>
    <w:p w:rsidR="00D352A3" w:rsidRDefault="00D352A3" w:rsidP="00D352A3">
      <w:pPr>
        <w:pStyle w:val="Caption"/>
        <w:keepNext/>
      </w:pPr>
      <w:bookmarkStart w:id="203" w:name="_Ref62117587"/>
      <w:r>
        <w:t xml:space="preserve">Table </w:t>
      </w:r>
      <w:r w:rsidR="003C4A1C">
        <w:rPr>
          <w:noProof/>
        </w:rPr>
        <w:t>97</w:t>
      </w:r>
      <w:bookmarkEnd w:id="203"/>
      <w:r>
        <w:t xml:space="preserve">: </w:t>
      </w:r>
      <w:r w:rsidRPr="00C948F8">
        <w:t>Summary of key adverse events in Lindson et al. (2019), tapering patch dose</w:t>
      </w:r>
    </w:p>
    <w:tbl>
      <w:tblPr>
        <w:tblStyle w:val="TableGrid"/>
        <w:tblW w:w="5000" w:type="pct"/>
        <w:tblLook w:val="04A0" w:firstRow="1" w:lastRow="0" w:firstColumn="1" w:lastColumn="0" w:noHBand="0" w:noVBand="1"/>
        <w:tblCaption w:val="Efficacy results of adalimumab trials (PASI 75 and DLQI)"/>
      </w:tblPr>
      <w:tblGrid>
        <w:gridCol w:w="2330"/>
        <w:gridCol w:w="2020"/>
        <w:gridCol w:w="1599"/>
        <w:gridCol w:w="1560"/>
        <w:gridCol w:w="1507"/>
      </w:tblGrid>
      <w:tr w:rsidR="00D352A3" w:rsidRPr="00061F78" w:rsidTr="00125A1C">
        <w:trPr>
          <w:cantSplit/>
          <w:trHeight w:val="299"/>
          <w:tblHeader/>
        </w:trPr>
        <w:tc>
          <w:tcPr>
            <w:tcW w:w="1292" w:type="pct"/>
            <w:shd w:val="clear" w:color="auto" w:fill="BFBFBF" w:themeFill="background1" w:themeFillShade="BF"/>
            <w:tcMar>
              <w:left w:w="28" w:type="dxa"/>
              <w:right w:w="28" w:type="dxa"/>
            </w:tcMar>
            <w:vAlign w:val="center"/>
          </w:tcPr>
          <w:p w:rsidR="00D352A3" w:rsidRDefault="006247AD" w:rsidP="004D63D8">
            <w:pPr>
              <w:pStyle w:val="Tableheading"/>
              <w:rPr>
                <w:rFonts w:eastAsia="MS Mincho"/>
              </w:rPr>
            </w:pPr>
            <w:r>
              <w:rPr>
                <w:rFonts w:eastAsia="MS Mincho"/>
              </w:rPr>
              <w:t>Outcome</w:t>
            </w:r>
          </w:p>
        </w:tc>
        <w:tc>
          <w:tcPr>
            <w:tcW w:w="1120" w:type="pct"/>
            <w:shd w:val="clear" w:color="auto" w:fill="BFBFBF" w:themeFill="background1" w:themeFillShade="BF"/>
            <w:vAlign w:val="center"/>
          </w:tcPr>
          <w:p w:rsidR="00D352A3" w:rsidRDefault="00D352A3" w:rsidP="004D63D8">
            <w:pPr>
              <w:pStyle w:val="Tableheading"/>
              <w:jc w:val="center"/>
              <w:rPr>
                <w:rFonts w:eastAsia="MS Mincho"/>
              </w:rPr>
            </w:pPr>
            <w:r>
              <w:rPr>
                <w:rFonts w:eastAsia="MS Mincho"/>
              </w:rPr>
              <w:t>Study type</w:t>
            </w:r>
          </w:p>
        </w:tc>
        <w:tc>
          <w:tcPr>
            <w:tcW w:w="887" w:type="pct"/>
            <w:shd w:val="clear" w:color="auto" w:fill="BFBFBF" w:themeFill="background1" w:themeFillShade="BF"/>
            <w:tcMar>
              <w:left w:w="28" w:type="dxa"/>
              <w:right w:w="28" w:type="dxa"/>
            </w:tcMar>
            <w:vAlign w:val="center"/>
          </w:tcPr>
          <w:p w:rsidR="00D352A3" w:rsidRPr="00061F78" w:rsidRDefault="00D352A3" w:rsidP="004D63D8">
            <w:pPr>
              <w:pStyle w:val="Tableheading"/>
              <w:jc w:val="center"/>
              <w:rPr>
                <w:rFonts w:eastAsia="MS Mincho"/>
              </w:rPr>
            </w:pPr>
            <w:r w:rsidRPr="00392E33">
              <w:rPr>
                <w:rFonts w:eastAsia="MS Mincho"/>
              </w:rPr>
              <w:t>Abrupt</w:t>
            </w:r>
          </w:p>
        </w:tc>
        <w:tc>
          <w:tcPr>
            <w:tcW w:w="865" w:type="pct"/>
            <w:shd w:val="clear" w:color="auto" w:fill="BFBFBF" w:themeFill="background1" w:themeFillShade="BF"/>
            <w:tcMar>
              <w:left w:w="28" w:type="dxa"/>
              <w:right w:w="28" w:type="dxa"/>
            </w:tcMar>
            <w:vAlign w:val="center"/>
          </w:tcPr>
          <w:p w:rsidR="00D352A3" w:rsidRPr="00061F78" w:rsidRDefault="00D352A3" w:rsidP="004D63D8">
            <w:pPr>
              <w:pStyle w:val="Tableheading"/>
              <w:jc w:val="center"/>
              <w:rPr>
                <w:rFonts w:eastAsia="MS Mincho"/>
              </w:rPr>
            </w:pPr>
            <w:r w:rsidRPr="00392E33">
              <w:rPr>
                <w:rFonts w:eastAsia="MS Mincho"/>
              </w:rPr>
              <w:t>Tapering</w:t>
            </w:r>
          </w:p>
        </w:tc>
        <w:tc>
          <w:tcPr>
            <w:tcW w:w="836" w:type="pct"/>
            <w:shd w:val="clear" w:color="auto" w:fill="BFBFBF" w:themeFill="background1" w:themeFillShade="BF"/>
            <w:tcMar>
              <w:left w:w="28" w:type="dxa"/>
              <w:right w:w="28" w:type="dxa"/>
            </w:tcMar>
            <w:vAlign w:val="center"/>
          </w:tcPr>
          <w:p w:rsidR="00D352A3" w:rsidRPr="00681ACA" w:rsidRDefault="00D352A3" w:rsidP="004D63D8">
            <w:pPr>
              <w:pStyle w:val="Tableheading"/>
              <w:jc w:val="center"/>
              <w:rPr>
                <w:rFonts w:eastAsia="MS Mincho"/>
                <w:vertAlign w:val="superscript"/>
              </w:rPr>
            </w:pPr>
            <w:r>
              <w:rPr>
                <w:rFonts w:eastAsia="MS Mincho"/>
              </w:rPr>
              <w:t>RR (95% CI)</w:t>
            </w:r>
            <w:r w:rsidR="004064A7">
              <w:rPr>
                <w:rFonts w:eastAsia="MS Mincho"/>
                <w:vertAlign w:val="superscript"/>
              </w:rPr>
              <w:t>1</w:t>
            </w:r>
          </w:p>
        </w:tc>
      </w:tr>
      <w:tr w:rsidR="00D352A3" w:rsidRPr="00061F78" w:rsidTr="00125A1C">
        <w:trPr>
          <w:cantSplit/>
          <w:trHeight w:val="99"/>
        </w:trPr>
        <w:tc>
          <w:tcPr>
            <w:tcW w:w="1292" w:type="pct"/>
            <w:shd w:val="clear" w:color="auto" w:fill="auto"/>
            <w:tcMar>
              <w:left w:w="28" w:type="dxa"/>
              <w:right w:w="28" w:type="dxa"/>
            </w:tcMar>
            <w:vAlign w:val="center"/>
          </w:tcPr>
          <w:p w:rsidR="00D352A3" w:rsidRPr="006247AD" w:rsidRDefault="00D352A3" w:rsidP="004D63D8">
            <w:pPr>
              <w:pStyle w:val="Tablewriting"/>
              <w:rPr>
                <w:rFonts w:eastAsia="MS Mincho"/>
              </w:rPr>
            </w:pPr>
            <w:r w:rsidRPr="00392E33">
              <w:rPr>
                <w:rFonts w:eastAsia="MS Mincho"/>
              </w:rPr>
              <w:t>Treatment withdrawals</w:t>
            </w:r>
          </w:p>
        </w:tc>
        <w:tc>
          <w:tcPr>
            <w:tcW w:w="1120" w:type="pct"/>
            <w:vAlign w:val="center"/>
          </w:tcPr>
          <w:p w:rsidR="00D352A3" w:rsidRDefault="00D352A3" w:rsidP="004D63D8">
            <w:pPr>
              <w:pStyle w:val="Tablewriting"/>
              <w:jc w:val="center"/>
              <w:rPr>
                <w:rFonts w:eastAsia="MS Mincho"/>
              </w:rPr>
            </w:pPr>
            <w:r>
              <w:rPr>
                <w:rFonts w:eastAsia="MS Mincho"/>
              </w:rPr>
              <w:t>Cochrane Review</w:t>
            </w:r>
          </w:p>
          <w:p w:rsidR="00D352A3" w:rsidRPr="001277A6" w:rsidRDefault="00D352A3" w:rsidP="004D63D8">
            <w:pPr>
              <w:pStyle w:val="Tablewriting"/>
              <w:jc w:val="center"/>
              <w:rPr>
                <w:rFonts w:eastAsia="MS Mincho"/>
              </w:rPr>
            </w:pPr>
            <w:r>
              <w:rPr>
                <w:rFonts w:eastAsia="MS Mincho"/>
              </w:rPr>
              <w:t>(1 RCT)</w:t>
            </w:r>
          </w:p>
        </w:tc>
        <w:tc>
          <w:tcPr>
            <w:tcW w:w="887" w:type="pct"/>
            <w:shd w:val="clear" w:color="auto" w:fill="auto"/>
            <w:tcMar>
              <w:left w:w="28" w:type="dxa"/>
              <w:right w:w="28" w:type="dxa"/>
            </w:tcMar>
            <w:vAlign w:val="center"/>
          </w:tcPr>
          <w:p w:rsidR="00D352A3" w:rsidRDefault="00D352A3" w:rsidP="004D63D8">
            <w:pPr>
              <w:pStyle w:val="Tablewriting"/>
              <w:jc w:val="center"/>
              <w:rPr>
                <w:rFonts w:eastAsia="MS Mincho"/>
              </w:rPr>
            </w:pPr>
            <w:r>
              <w:rPr>
                <w:rFonts w:eastAsia="MS Mincho"/>
              </w:rPr>
              <w:t>7/69</w:t>
            </w:r>
          </w:p>
          <w:p w:rsidR="00D352A3" w:rsidRPr="001B08F9" w:rsidRDefault="00D352A3" w:rsidP="004D63D8">
            <w:pPr>
              <w:pStyle w:val="Tablewriting"/>
              <w:jc w:val="center"/>
              <w:rPr>
                <w:rFonts w:eastAsia="MS Mincho"/>
              </w:rPr>
            </w:pPr>
            <w:r>
              <w:rPr>
                <w:rFonts w:eastAsia="MS Mincho"/>
              </w:rPr>
              <w:t>(10.1%)</w:t>
            </w:r>
          </w:p>
        </w:tc>
        <w:tc>
          <w:tcPr>
            <w:tcW w:w="865" w:type="pct"/>
            <w:shd w:val="clear" w:color="auto" w:fill="auto"/>
            <w:tcMar>
              <w:left w:w="28" w:type="dxa"/>
              <w:right w:w="28" w:type="dxa"/>
            </w:tcMar>
            <w:vAlign w:val="center"/>
          </w:tcPr>
          <w:p w:rsidR="00D352A3" w:rsidRDefault="00D352A3" w:rsidP="004D63D8">
            <w:pPr>
              <w:pStyle w:val="Tablewriting"/>
              <w:jc w:val="center"/>
              <w:rPr>
                <w:rFonts w:eastAsia="MS Mincho"/>
              </w:rPr>
            </w:pPr>
            <w:r>
              <w:rPr>
                <w:rFonts w:eastAsia="MS Mincho"/>
              </w:rPr>
              <w:t>8/71</w:t>
            </w:r>
          </w:p>
          <w:p w:rsidR="00D352A3" w:rsidRPr="001B08F9" w:rsidRDefault="00D352A3" w:rsidP="004D63D8">
            <w:pPr>
              <w:pStyle w:val="Tablewriting"/>
              <w:jc w:val="center"/>
              <w:rPr>
                <w:rFonts w:eastAsia="MS Mincho"/>
              </w:rPr>
            </w:pPr>
            <w:r>
              <w:rPr>
                <w:rFonts w:eastAsia="MS Mincho"/>
              </w:rPr>
              <w:t>(11.3%)</w:t>
            </w:r>
          </w:p>
        </w:tc>
        <w:tc>
          <w:tcPr>
            <w:tcW w:w="836" w:type="pct"/>
            <w:shd w:val="clear" w:color="auto" w:fill="auto"/>
            <w:tcMar>
              <w:left w:w="28" w:type="dxa"/>
              <w:right w:w="28" w:type="dxa"/>
            </w:tcMar>
            <w:vAlign w:val="center"/>
          </w:tcPr>
          <w:p w:rsidR="00D352A3" w:rsidRPr="00392E33" w:rsidRDefault="00D352A3" w:rsidP="004D63D8">
            <w:pPr>
              <w:pStyle w:val="Tablewriting"/>
              <w:jc w:val="center"/>
              <w:rPr>
                <w:rFonts w:eastAsia="MS Mincho"/>
                <w:bCs/>
              </w:rPr>
            </w:pPr>
            <w:r w:rsidRPr="00392E33">
              <w:rPr>
                <w:rFonts w:eastAsia="MS Mincho"/>
                <w:bCs/>
              </w:rPr>
              <w:t>0.9</w:t>
            </w:r>
          </w:p>
          <w:p w:rsidR="00D352A3" w:rsidRPr="001277A6" w:rsidRDefault="00D352A3" w:rsidP="004D63D8">
            <w:pPr>
              <w:pStyle w:val="Tablewriting"/>
              <w:jc w:val="center"/>
              <w:rPr>
                <w:rFonts w:eastAsia="MS Mincho"/>
                <w:b/>
              </w:rPr>
            </w:pPr>
            <w:r w:rsidRPr="00392E33">
              <w:rPr>
                <w:rFonts w:eastAsia="MS Mincho"/>
                <w:bCs/>
              </w:rPr>
              <w:t>(0.35, 2.35)</w:t>
            </w:r>
          </w:p>
        </w:tc>
      </w:tr>
    </w:tbl>
    <w:p w:rsidR="00D352A3" w:rsidRDefault="00D352A3" w:rsidP="004D63D8">
      <w:pPr>
        <w:pStyle w:val="TableFooter"/>
      </w:pPr>
      <w:r>
        <w:t>Source: Lindson et al. (2019)</w:t>
      </w:r>
    </w:p>
    <w:p w:rsidR="00D352A3" w:rsidRDefault="00D352A3" w:rsidP="004D63D8">
      <w:pPr>
        <w:pStyle w:val="TableFooter"/>
      </w:pPr>
      <w:r>
        <w:lastRenderedPageBreak/>
        <w:t xml:space="preserve">Abbreviations: CI = confidence interval; RCT = randomised controlled trial; RR = risk ratio. </w:t>
      </w:r>
    </w:p>
    <w:p w:rsidR="00D352A3" w:rsidRDefault="00D352A3" w:rsidP="004D63D8">
      <w:pPr>
        <w:pStyle w:val="TableFooter"/>
      </w:pPr>
      <w:r w:rsidRPr="00FD4061">
        <w:t>Note</w:t>
      </w:r>
      <w:r>
        <w:t>s</w:t>
      </w:r>
      <w:r w:rsidRPr="00FD4061">
        <w:t>:</w:t>
      </w:r>
      <w:r>
        <w:t xml:space="preserve"> </w:t>
      </w:r>
      <w:r w:rsidRPr="00B032C3">
        <w:t xml:space="preserve">See </w:t>
      </w:r>
      <w:r w:rsidRPr="00862F18">
        <w:t xml:space="preserve">Appendix </w:t>
      </w:r>
      <w:r w:rsidR="003C4A1C">
        <w:t xml:space="preserve">Figure </w:t>
      </w:r>
      <w:r w:rsidR="003C4A1C">
        <w:rPr>
          <w:noProof/>
        </w:rPr>
        <w:t>97</w:t>
      </w:r>
      <w:r>
        <w:t xml:space="preserve"> </w:t>
      </w:r>
      <w:r w:rsidRPr="00B032C3">
        <w:t>for forest plots of the respective outcomes which included the results of individual studies.</w:t>
      </w:r>
    </w:p>
    <w:p w:rsidR="00D352A3" w:rsidRPr="00D352A3" w:rsidRDefault="00D352A3" w:rsidP="004D63D8">
      <w:pPr>
        <w:pStyle w:val="TableFooter"/>
      </w:pPr>
      <w:r>
        <w:t>1</w:t>
      </w:r>
      <w:r w:rsidRPr="00432CC7">
        <w:t xml:space="preserve"> </w:t>
      </w:r>
      <w:r w:rsidRPr="00D32EBD">
        <w:t xml:space="preserve">Calculated </w:t>
      </w:r>
      <w:r>
        <w:t>by Cochrane Review authors</w:t>
      </w:r>
      <w:r w:rsidRPr="00D32EBD">
        <w:t xml:space="preserve"> using a fixed-effect model.</w:t>
      </w:r>
      <w:r>
        <w:t xml:space="preserve"> </w:t>
      </w:r>
    </w:p>
    <w:p w:rsidR="003370C1" w:rsidRPr="00332321" w:rsidRDefault="003370C1" w:rsidP="00D02475">
      <w:pPr>
        <w:pStyle w:val="Heading5"/>
        <w:numPr>
          <w:ilvl w:val="0"/>
          <w:numId w:val="0"/>
        </w:numPr>
        <w:rPr>
          <w:i w:val="0"/>
        </w:rPr>
      </w:pPr>
      <w:r w:rsidRPr="00C74B37">
        <w:t>Fixed versus ad lib dose schedule</w:t>
      </w:r>
    </w:p>
    <w:p w:rsidR="004D63D8" w:rsidRPr="004D63D8" w:rsidRDefault="004D63D8" w:rsidP="004D63D8">
      <w:pPr>
        <w:rPr>
          <w:u w:val="single"/>
        </w:rPr>
      </w:pPr>
      <w:r w:rsidRPr="004D63D8">
        <w:rPr>
          <w:u w:val="single"/>
        </w:rPr>
        <w:t>Efficacy</w:t>
      </w:r>
    </w:p>
    <w:p w:rsidR="003370C1" w:rsidRDefault="003370C1" w:rsidP="003370C1">
      <w:pPr>
        <w:jc w:val="both"/>
      </w:pPr>
      <w:r w:rsidRPr="0037074A">
        <w:t>A summary of the smoking cessation rates f</w:t>
      </w:r>
      <w:r w:rsidR="00C623F4">
        <w:t>or</w:t>
      </w:r>
      <w:r w:rsidRPr="0037074A">
        <w:t xml:space="preserve"> at least six months follow-up</w:t>
      </w:r>
      <w:r w:rsidR="008A5E3D">
        <w:t xml:space="preserve"> for fixed versus ad lib dos</w:t>
      </w:r>
      <w:r w:rsidR="00A27CBC">
        <w:t>ing</w:t>
      </w:r>
      <w:r w:rsidR="008A5E3D">
        <w:t xml:space="preserve"> schedule</w:t>
      </w:r>
      <w:r w:rsidRPr="0037074A">
        <w:t xml:space="preserve"> is presented in</w:t>
      </w:r>
      <w:r w:rsidR="00E7486F">
        <w:t xml:space="preserve"> </w:t>
      </w:r>
      <w:r w:rsidR="003C4A1C">
        <w:t xml:space="preserve">Table </w:t>
      </w:r>
      <w:r w:rsidR="003C4A1C">
        <w:rPr>
          <w:noProof/>
        </w:rPr>
        <w:t>98</w:t>
      </w:r>
      <w:r w:rsidRPr="0037074A">
        <w:t xml:space="preserve">. </w:t>
      </w:r>
      <w:r w:rsidR="005D69AF">
        <w:t>Overall, t</w:t>
      </w:r>
      <w:r w:rsidRPr="00592F74">
        <w:t>here w</w:t>
      </w:r>
      <w:r w:rsidR="005D69AF">
        <w:t>ere</w:t>
      </w:r>
      <w:r w:rsidRPr="00592F74">
        <w:t xml:space="preserve"> no statistically significant </w:t>
      </w:r>
      <w:r w:rsidR="005D69AF">
        <w:t>differences in smoking cessation rates between</w:t>
      </w:r>
      <w:r w:rsidRPr="00592F74">
        <w:t xml:space="preserve"> fixed </w:t>
      </w:r>
      <w:r w:rsidR="005D69AF">
        <w:t>and</w:t>
      </w:r>
      <w:r w:rsidRPr="00592F74">
        <w:t xml:space="preserve"> ad lib</w:t>
      </w:r>
      <w:r>
        <w:t xml:space="preserve"> </w:t>
      </w:r>
      <w:r w:rsidRPr="00592F74">
        <w:t xml:space="preserve">dosing of fast-acting NRT </w:t>
      </w:r>
      <w:r w:rsidR="00586129">
        <w:t>(</w:t>
      </w:r>
      <w:r w:rsidRPr="00592F74">
        <w:t>gum</w:t>
      </w:r>
      <w:r w:rsidR="00586129">
        <w:t>,</w:t>
      </w:r>
      <w:r>
        <w:t xml:space="preserve"> </w:t>
      </w:r>
      <w:r w:rsidRPr="00592F74">
        <w:t>nasal spray and</w:t>
      </w:r>
      <w:r>
        <w:t xml:space="preserve"> </w:t>
      </w:r>
      <w:r w:rsidR="00586129">
        <w:t>pooled analysis)</w:t>
      </w:r>
      <w:r w:rsidR="00492453">
        <w:t>.</w:t>
      </w:r>
      <w:r>
        <w:t xml:space="preserve"> </w:t>
      </w:r>
    </w:p>
    <w:p w:rsidR="008A42AA" w:rsidRDefault="008A42AA" w:rsidP="008A42AA">
      <w:pPr>
        <w:pStyle w:val="Caption"/>
        <w:keepNext/>
      </w:pPr>
      <w:bookmarkStart w:id="204" w:name="_Ref59701297"/>
      <w:r>
        <w:t xml:space="preserve">Table </w:t>
      </w:r>
      <w:r w:rsidR="003C4A1C">
        <w:rPr>
          <w:noProof/>
        </w:rPr>
        <w:t>98</w:t>
      </w:r>
      <w:bookmarkEnd w:id="204"/>
      <w:r>
        <w:t xml:space="preserve">: </w:t>
      </w:r>
      <w:r w:rsidRPr="00D83FC7">
        <w:t>Results of smoking cessation f</w:t>
      </w:r>
      <w:r w:rsidR="00C623F4">
        <w:t>or</w:t>
      </w:r>
      <w:r w:rsidRPr="00D83FC7">
        <w:t xml:space="preserve"> at least six months follow-up, fixed versus ad lib dose schedule</w:t>
      </w:r>
    </w:p>
    <w:tbl>
      <w:tblPr>
        <w:tblStyle w:val="TableGrid"/>
        <w:tblW w:w="5000" w:type="pct"/>
        <w:tblLook w:val="04A0" w:firstRow="1" w:lastRow="0" w:firstColumn="1" w:lastColumn="0" w:noHBand="0" w:noVBand="1"/>
        <w:tblCaption w:val="Efficacy results of adalimumab trials (PASI 75 and DLQI)"/>
      </w:tblPr>
      <w:tblGrid>
        <w:gridCol w:w="1347"/>
        <w:gridCol w:w="2173"/>
        <w:gridCol w:w="1830"/>
        <w:gridCol w:w="1834"/>
        <w:gridCol w:w="1832"/>
      </w:tblGrid>
      <w:tr w:rsidR="00C02AB0" w:rsidRPr="00061F78" w:rsidTr="001B2A43">
        <w:trPr>
          <w:cantSplit/>
          <w:trHeight w:val="299"/>
          <w:tblHeader/>
        </w:trPr>
        <w:tc>
          <w:tcPr>
            <w:tcW w:w="747" w:type="pct"/>
            <w:shd w:val="clear" w:color="auto" w:fill="BFBFBF" w:themeFill="background1" w:themeFillShade="BF"/>
            <w:tcMar>
              <w:left w:w="28" w:type="dxa"/>
              <w:right w:w="28" w:type="dxa"/>
            </w:tcMar>
          </w:tcPr>
          <w:p w:rsidR="003370C1" w:rsidRPr="00061F78" w:rsidRDefault="003370C1" w:rsidP="00A5263B">
            <w:pPr>
              <w:pStyle w:val="Tableheading"/>
              <w:keepNext/>
              <w:rPr>
                <w:rFonts w:eastAsia="MS Mincho"/>
              </w:rPr>
            </w:pPr>
            <w:r>
              <w:rPr>
                <w:rFonts w:eastAsia="MS Mincho"/>
              </w:rPr>
              <w:t>Study</w:t>
            </w:r>
          </w:p>
        </w:tc>
        <w:tc>
          <w:tcPr>
            <w:tcW w:w="1205" w:type="pct"/>
            <w:shd w:val="clear" w:color="auto" w:fill="BFBFBF" w:themeFill="background1" w:themeFillShade="BF"/>
            <w:vAlign w:val="center"/>
          </w:tcPr>
          <w:p w:rsidR="003370C1" w:rsidRDefault="003370C1" w:rsidP="00A5263B">
            <w:pPr>
              <w:pStyle w:val="Tableheading"/>
              <w:keepNext/>
              <w:jc w:val="center"/>
              <w:rPr>
                <w:rFonts w:eastAsia="MS Mincho"/>
              </w:rPr>
            </w:pPr>
            <w:r>
              <w:rPr>
                <w:rFonts w:eastAsia="MS Mincho"/>
              </w:rPr>
              <w:t>Study type</w:t>
            </w:r>
          </w:p>
        </w:tc>
        <w:tc>
          <w:tcPr>
            <w:tcW w:w="1015" w:type="pct"/>
            <w:shd w:val="clear" w:color="auto" w:fill="BFBFBF" w:themeFill="background1" w:themeFillShade="BF"/>
            <w:tcMar>
              <w:left w:w="28" w:type="dxa"/>
              <w:right w:w="28" w:type="dxa"/>
            </w:tcMar>
            <w:vAlign w:val="center"/>
          </w:tcPr>
          <w:p w:rsidR="003370C1" w:rsidRPr="00061F78" w:rsidRDefault="003370C1" w:rsidP="00A5263B">
            <w:pPr>
              <w:pStyle w:val="Tableheading"/>
              <w:keepNext/>
              <w:jc w:val="center"/>
              <w:rPr>
                <w:rFonts w:eastAsia="MS Mincho"/>
              </w:rPr>
            </w:pPr>
            <w:r>
              <w:rPr>
                <w:rFonts w:eastAsia="MS Mincho"/>
              </w:rPr>
              <w:t>Fixed dosing</w:t>
            </w:r>
          </w:p>
        </w:tc>
        <w:tc>
          <w:tcPr>
            <w:tcW w:w="1017" w:type="pct"/>
            <w:shd w:val="clear" w:color="auto" w:fill="BFBFBF" w:themeFill="background1" w:themeFillShade="BF"/>
            <w:tcMar>
              <w:left w:w="28" w:type="dxa"/>
              <w:right w:w="28" w:type="dxa"/>
            </w:tcMar>
            <w:vAlign w:val="center"/>
          </w:tcPr>
          <w:p w:rsidR="003370C1" w:rsidRPr="00061F78" w:rsidRDefault="003370C1" w:rsidP="00A5263B">
            <w:pPr>
              <w:pStyle w:val="Tableheading"/>
              <w:keepNext/>
              <w:jc w:val="center"/>
              <w:rPr>
                <w:rFonts w:eastAsia="MS Mincho"/>
              </w:rPr>
            </w:pPr>
            <w:r>
              <w:rPr>
                <w:rFonts w:eastAsia="MS Mincho"/>
              </w:rPr>
              <w:t>Ad lib dosing</w:t>
            </w:r>
          </w:p>
        </w:tc>
        <w:tc>
          <w:tcPr>
            <w:tcW w:w="1016" w:type="pct"/>
            <w:shd w:val="clear" w:color="auto" w:fill="BFBFBF" w:themeFill="background1" w:themeFillShade="BF"/>
            <w:tcMar>
              <w:left w:w="28" w:type="dxa"/>
              <w:right w:w="28" w:type="dxa"/>
            </w:tcMar>
            <w:vAlign w:val="center"/>
          </w:tcPr>
          <w:p w:rsidR="003370C1" w:rsidRPr="002D09A1" w:rsidRDefault="003370C1" w:rsidP="00A5263B">
            <w:pPr>
              <w:pStyle w:val="Tableheading"/>
              <w:keepNext/>
              <w:jc w:val="center"/>
              <w:rPr>
                <w:rFonts w:eastAsia="MS Mincho"/>
                <w:vertAlign w:val="superscript"/>
              </w:rPr>
            </w:pPr>
            <w:r>
              <w:rPr>
                <w:rFonts w:eastAsia="MS Mincho"/>
              </w:rPr>
              <w:t>RR (95% CI)</w:t>
            </w:r>
          </w:p>
        </w:tc>
      </w:tr>
      <w:tr w:rsidR="003370C1" w:rsidRPr="00061F78" w:rsidTr="001B2A43">
        <w:trPr>
          <w:cantSplit/>
          <w:trHeight w:val="99"/>
        </w:trPr>
        <w:tc>
          <w:tcPr>
            <w:tcW w:w="5000" w:type="pct"/>
            <w:gridSpan w:val="5"/>
            <w:shd w:val="clear" w:color="auto" w:fill="auto"/>
            <w:tcMar>
              <w:left w:w="28" w:type="dxa"/>
              <w:right w:w="28" w:type="dxa"/>
            </w:tcMar>
          </w:tcPr>
          <w:p w:rsidR="001B2A43" w:rsidRPr="004064A7" w:rsidRDefault="001B2A43" w:rsidP="00A5263B">
            <w:pPr>
              <w:pStyle w:val="Tablewriting"/>
              <w:keepNext/>
              <w:rPr>
                <w:rFonts w:eastAsia="MS Mincho"/>
                <w:b/>
                <w:bCs/>
                <w:highlight w:val="yellow"/>
              </w:rPr>
            </w:pPr>
            <w:r w:rsidRPr="004064A7">
              <w:rPr>
                <w:rFonts w:eastAsia="MS Mincho"/>
                <w:b/>
                <w:bCs/>
              </w:rPr>
              <w:t>Gum fixed dosing versus ad lib dosing</w:t>
            </w:r>
            <w:r w:rsidR="004064A7">
              <w:rPr>
                <w:rFonts w:eastAsia="MS Mincho"/>
                <w:b/>
                <w:bCs/>
              </w:rPr>
              <w:t xml:space="preserve"> subgroup</w:t>
            </w:r>
          </w:p>
        </w:tc>
      </w:tr>
      <w:tr w:rsidR="003370C1" w:rsidRPr="00061F78" w:rsidTr="001B2A43">
        <w:trPr>
          <w:cantSplit/>
          <w:trHeight w:val="99"/>
        </w:trPr>
        <w:tc>
          <w:tcPr>
            <w:tcW w:w="747" w:type="pct"/>
            <w:shd w:val="clear" w:color="auto" w:fill="auto"/>
            <w:tcMar>
              <w:left w:w="28" w:type="dxa"/>
              <w:right w:w="28" w:type="dxa"/>
            </w:tcMar>
            <w:vAlign w:val="center"/>
          </w:tcPr>
          <w:p w:rsidR="003370C1" w:rsidRPr="005D18BC" w:rsidRDefault="008F3BDB" w:rsidP="00A5263B">
            <w:pPr>
              <w:pStyle w:val="Tablewriting"/>
              <w:keepNext/>
              <w:rPr>
                <w:rFonts w:eastAsia="MS Mincho"/>
                <w:highlight w:val="yellow"/>
              </w:rPr>
            </w:pPr>
            <w:r>
              <w:rPr>
                <w:rFonts w:eastAsia="MS Mincho"/>
              </w:rPr>
              <w:t>Lindson (2019)</w:t>
            </w:r>
          </w:p>
        </w:tc>
        <w:tc>
          <w:tcPr>
            <w:tcW w:w="1205" w:type="pct"/>
            <w:shd w:val="clear" w:color="auto" w:fill="auto"/>
            <w:vAlign w:val="center"/>
          </w:tcPr>
          <w:p w:rsidR="008F3BDB" w:rsidRDefault="008F3BDB" w:rsidP="00A5263B">
            <w:pPr>
              <w:pStyle w:val="Tablewriting"/>
              <w:keepNext/>
              <w:jc w:val="center"/>
              <w:rPr>
                <w:rFonts w:eastAsia="MS Mincho"/>
              </w:rPr>
            </w:pPr>
            <w:r>
              <w:rPr>
                <w:rFonts w:eastAsia="MS Mincho"/>
              </w:rPr>
              <w:t xml:space="preserve">Cochrane Review </w:t>
            </w:r>
          </w:p>
          <w:p w:rsidR="003370C1" w:rsidRPr="00A22F63" w:rsidRDefault="008F3BDB" w:rsidP="00A5263B">
            <w:pPr>
              <w:pStyle w:val="Tablewriting"/>
              <w:keepNext/>
              <w:jc w:val="center"/>
              <w:rPr>
                <w:rFonts w:eastAsia="MS Mincho"/>
              </w:rPr>
            </w:pPr>
            <w:r>
              <w:rPr>
                <w:rFonts w:eastAsia="MS Mincho"/>
              </w:rPr>
              <w:t xml:space="preserve">(2 </w:t>
            </w:r>
            <w:r w:rsidR="003370C1" w:rsidRPr="00A22F63">
              <w:rPr>
                <w:rFonts w:eastAsia="MS Mincho"/>
              </w:rPr>
              <w:t>RCT</w:t>
            </w:r>
            <w:r>
              <w:rPr>
                <w:rFonts w:eastAsia="MS Mincho"/>
              </w:rPr>
              <w:t>s)</w:t>
            </w:r>
          </w:p>
        </w:tc>
        <w:tc>
          <w:tcPr>
            <w:tcW w:w="1015" w:type="pct"/>
            <w:shd w:val="clear" w:color="auto" w:fill="auto"/>
            <w:tcMar>
              <w:left w:w="28" w:type="dxa"/>
              <w:right w:w="28" w:type="dxa"/>
            </w:tcMar>
            <w:vAlign w:val="center"/>
          </w:tcPr>
          <w:p w:rsidR="001B2A43" w:rsidRDefault="00864765" w:rsidP="00A5263B">
            <w:pPr>
              <w:pStyle w:val="Tablewriting"/>
              <w:keepNext/>
              <w:jc w:val="center"/>
              <w:rPr>
                <w:rFonts w:eastAsia="MS Mincho"/>
              </w:rPr>
            </w:pPr>
            <w:r>
              <w:rPr>
                <w:rFonts w:eastAsia="MS Mincho"/>
              </w:rPr>
              <w:t>85/346</w:t>
            </w:r>
          </w:p>
          <w:p w:rsidR="003370C1" w:rsidRPr="00571B3B" w:rsidRDefault="006056C2" w:rsidP="00A5263B">
            <w:pPr>
              <w:pStyle w:val="Tablewriting"/>
              <w:keepNext/>
              <w:jc w:val="center"/>
              <w:rPr>
                <w:rFonts w:eastAsia="MS Mincho"/>
              </w:rPr>
            </w:pPr>
            <w:r>
              <w:rPr>
                <w:rFonts w:eastAsia="MS Mincho"/>
              </w:rPr>
              <w:t>(</w:t>
            </w:r>
            <w:r w:rsidR="00A44806">
              <w:rPr>
                <w:rFonts w:eastAsia="MS Mincho"/>
              </w:rPr>
              <w:t>24.6</w:t>
            </w:r>
            <w:r>
              <w:rPr>
                <w:rFonts w:eastAsia="MS Mincho"/>
              </w:rPr>
              <w:t>%)</w:t>
            </w:r>
          </w:p>
        </w:tc>
        <w:tc>
          <w:tcPr>
            <w:tcW w:w="1017" w:type="pct"/>
            <w:shd w:val="clear" w:color="auto" w:fill="auto"/>
            <w:tcMar>
              <w:left w:w="28" w:type="dxa"/>
              <w:right w:w="28" w:type="dxa"/>
            </w:tcMar>
            <w:vAlign w:val="center"/>
          </w:tcPr>
          <w:p w:rsidR="001B2A43" w:rsidRDefault="006056C2" w:rsidP="00A5263B">
            <w:pPr>
              <w:pStyle w:val="Tablewriting"/>
              <w:keepNext/>
              <w:jc w:val="center"/>
              <w:rPr>
                <w:rFonts w:eastAsia="MS Mincho"/>
              </w:rPr>
            </w:pPr>
            <w:r>
              <w:rPr>
                <w:rFonts w:eastAsia="MS Mincho"/>
              </w:rPr>
              <w:t>69/343</w:t>
            </w:r>
          </w:p>
          <w:p w:rsidR="003370C1" w:rsidRPr="00571B3B" w:rsidRDefault="006056C2" w:rsidP="00A5263B">
            <w:pPr>
              <w:pStyle w:val="Tablewriting"/>
              <w:keepNext/>
              <w:jc w:val="center"/>
              <w:rPr>
                <w:rFonts w:eastAsia="MS Mincho"/>
              </w:rPr>
            </w:pPr>
            <w:r>
              <w:rPr>
                <w:rFonts w:eastAsia="MS Mincho"/>
              </w:rPr>
              <w:t>(</w:t>
            </w:r>
            <w:r w:rsidR="00A44806">
              <w:rPr>
                <w:rFonts w:eastAsia="MS Mincho"/>
              </w:rPr>
              <w:t>20.1</w:t>
            </w:r>
            <w:r>
              <w:rPr>
                <w:rFonts w:eastAsia="MS Mincho"/>
              </w:rPr>
              <w:t>%)</w:t>
            </w:r>
          </w:p>
        </w:tc>
        <w:tc>
          <w:tcPr>
            <w:tcW w:w="1016" w:type="pct"/>
            <w:shd w:val="clear" w:color="auto" w:fill="auto"/>
            <w:tcMar>
              <w:left w:w="28" w:type="dxa"/>
              <w:right w:w="28" w:type="dxa"/>
            </w:tcMar>
            <w:vAlign w:val="center"/>
          </w:tcPr>
          <w:p w:rsidR="008F3BDB" w:rsidRPr="00633D13" w:rsidRDefault="008F3BDB" w:rsidP="008F3BDB">
            <w:pPr>
              <w:pStyle w:val="Tablewriting"/>
              <w:keepNext/>
              <w:jc w:val="center"/>
              <w:rPr>
                <w:rFonts w:eastAsia="MS Mincho"/>
              </w:rPr>
            </w:pPr>
            <w:r w:rsidRPr="00633D13">
              <w:rPr>
                <w:rFonts w:eastAsia="MS Mincho"/>
              </w:rPr>
              <w:t>1.22</w:t>
            </w:r>
          </w:p>
          <w:p w:rsidR="003370C1" w:rsidRPr="00633D13" w:rsidRDefault="008F3BDB" w:rsidP="00A5263B">
            <w:pPr>
              <w:pStyle w:val="Tablewriting"/>
              <w:keepNext/>
              <w:jc w:val="center"/>
              <w:rPr>
                <w:rFonts w:eastAsia="MS Mincho"/>
              </w:rPr>
            </w:pPr>
            <w:r w:rsidRPr="00633D13">
              <w:rPr>
                <w:rFonts w:eastAsia="MS Mincho"/>
              </w:rPr>
              <w:t>(0.92, 1.61)</w:t>
            </w:r>
          </w:p>
        </w:tc>
      </w:tr>
      <w:tr w:rsidR="003370C1" w:rsidRPr="00061F78" w:rsidTr="001B2A43">
        <w:trPr>
          <w:cantSplit/>
          <w:trHeight w:val="99"/>
        </w:trPr>
        <w:tc>
          <w:tcPr>
            <w:tcW w:w="5000" w:type="pct"/>
            <w:gridSpan w:val="5"/>
            <w:shd w:val="clear" w:color="auto" w:fill="auto"/>
            <w:tcMar>
              <w:left w:w="28" w:type="dxa"/>
              <w:right w:w="28" w:type="dxa"/>
            </w:tcMar>
            <w:vAlign w:val="center"/>
          </w:tcPr>
          <w:p w:rsidR="001B2A43" w:rsidRPr="004064A7" w:rsidRDefault="001B2A43" w:rsidP="00A5263B">
            <w:pPr>
              <w:pStyle w:val="Tablewriting"/>
              <w:keepNext/>
              <w:rPr>
                <w:rFonts w:eastAsia="MS Mincho"/>
                <w:b/>
                <w:bCs/>
                <w:highlight w:val="yellow"/>
              </w:rPr>
            </w:pPr>
            <w:r w:rsidRPr="004064A7">
              <w:rPr>
                <w:rFonts w:eastAsia="MS Mincho"/>
                <w:b/>
                <w:bCs/>
              </w:rPr>
              <w:t>Nasal spray fixed dosing versus ad lib dosing</w:t>
            </w:r>
            <w:r w:rsidR="004064A7">
              <w:rPr>
                <w:rFonts w:eastAsia="MS Mincho"/>
                <w:b/>
                <w:bCs/>
              </w:rPr>
              <w:t xml:space="preserve"> subgroup</w:t>
            </w:r>
          </w:p>
        </w:tc>
      </w:tr>
      <w:tr w:rsidR="003370C1" w:rsidRPr="00061F78" w:rsidTr="001B2A43">
        <w:trPr>
          <w:cantSplit/>
          <w:trHeight w:val="99"/>
        </w:trPr>
        <w:tc>
          <w:tcPr>
            <w:tcW w:w="747" w:type="pct"/>
            <w:shd w:val="clear" w:color="auto" w:fill="auto"/>
            <w:tcMar>
              <w:left w:w="28" w:type="dxa"/>
              <w:right w:w="28" w:type="dxa"/>
            </w:tcMar>
            <w:vAlign w:val="center"/>
          </w:tcPr>
          <w:p w:rsidR="003370C1" w:rsidRPr="005D18BC" w:rsidRDefault="008F3BDB" w:rsidP="00A5263B">
            <w:pPr>
              <w:pStyle w:val="Tablewriting"/>
              <w:keepNext/>
              <w:rPr>
                <w:rFonts w:eastAsia="MS Mincho"/>
                <w:highlight w:val="yellow"/>
              </w:rPr>
            </w:pPr>
            <w:r>
              <w:rPr>
                <w:rFonts w:eastAsia="MS Mincho"/>
              </w:rPr>
              <w:t>Lindson (2019)</w:t>
            </w:r>
          </w:p>
        </w:tc>
        <w:tc>
          <w:tcPr>
            <w:tcW w:w="1205" w:type="pct"/>
            <w:shd w:val="clear" w:color="auto" w:fill="auto"/>
            <w:vAlign w:val="center"/>
          </w:tcPr>
          <w:p w:rsidR="008F3BDB" w:rsidRDefault="008F3BDB" w:rsidP="008F3BDB">
            <w:pPr>
              <w:pStyle w:val="Tablewriting"/>
              <w:keepNext/>
              <w:jc w:val="center"/>
              <w:rPr>
                <w:rFonts w:eastAsia="MS Mincho"/>
              </w:rPr>
            </w:pPr>
            <w:r>
              <w:rPr>
                <w:rFonts w:eastAsia="MS Mincho"/>
              </w:rPr>
              <w:t xml:space="preserve">Cochrane Review </w:t>
            </w:r>
          </w:p>
          <w:p w:rsidR="003370C1" w:rsidRPr="00A22F63" w:rsidRDefault="008F3BDB" w:rsidP="00A5263B">
            <w:pPr>
              <w:pStyle w:val="Tablewriting"/>
              <w:keepNext/>
              <w:jc w:val="center"/>
              <w:rPr>
                <w:rFonts w:eastAsia="MS Mincho"/>
              </w:rPr>
            </w:pPr>
            <w:r>
              <w:rPr>
                <w:rFonts w:eastAsia="MS Mincho"/>
              </w:rPr>
              <w:t xml:space="preserve">(2 </w:t>
            </w:r>
            <w:r w:rsidRPr="00A22F63">
              <w:rPr>
                <w:rFonts w:eastAsia="MS Mincho"/>
              </w:rPr>
              <w:t>RCT</w:t>
            </w:r>
            <w:r>
              <w:rPr>
                <w:rFonts w:eastAsia="MS Mincho"/>
              </w:rPr>
              <w:t>s)</w:t>
            </w:r>
          </w:p>
        </w:tc>
        <w:tc>
          <w:tcPr>
            <w:tcW w:w="1015" w:type="pct"/>
            <w:shd w:val="clear" w:color="auto" w:fill="auto"/>
            <w:tcMar>
              <w:left w:w="28" w:type="dxa"/>
              <w:right w:w="28" w:type="dxa"/>
            </w:tcMar>
            <w:vAlign w:val="center"/>
          </w:tcPr>
          <w:p w:rsidR="001B2A43" w:rsidRDefault="006056C2" w:rsidP="008F3BDB">
            <w:pPr>
              <w:pStyle w:val="Tablewriting"/>
              <w:keepNext/>
              <w:jc w:val="center"/>
              <w:rPr>
                <w:rFonts w:eastAsia="MS Mincho"/>
              </w:rPr>
            </w:pPr>
            <w:r>
              <w:rPr>
                <w:rFonts w:eastAsia="MS Mincho"/>
              </w:rPr>
              <w:t>10/69</w:t>
            </w:r>
          </w:p>
          <w:p w:rsidR="003370C1" w:rsidRPr="00571B3B" w:rsidRDefault="006056C2" w:rsidP="00A5263B">
            <w:pPr>
              <w:pStyle w:val="Tablewriting"/>
              <w:keepNext/>
              <w:jc w:val="center"/>
              <w:rPr>
                <w:rFonts w:eastAsia="MS Mincho"/>
              </w:rPr>
            </w:pPr>
            <w:r>
              <w:rPr>
                <w:rFonts w:eastAsia="MS Mincho"/>
              </w:rPr>
              <w:t>(</w:t>
            </w:r>
            <w:r w:rsidR="00A44806">
              <w:rPr>
                <w:rFonts w:eastAsia="MS Mincho"/>
              </w:rPr>
              <w:t>14.5</w:t>
            </w:r>
            <w:r>
              <w:rPr>
                <w:rFonts w:eastAsia="MS Mincho"/>
              </w:rPr>
              <w:t>%)</w:t>
            </w:r>
          </w:p>
        </w:tc>
        <w:tc>
          <w:tcPr>
            <w:tcW w:w="1017" w:type="pct"/>
            <w:shd w:val="clear" w:color="auto" w:fill="auto"/>
            <w:tcMar>
              <w:left w:w="28" w:type="dxa"/>
              <w:right w:w="28" w:type="dxa"/>
            </w:tcMar>
            <w:vAlign w:val="center"/>
          </w:tcPr>
          <w:p w:rsidR="001B2A43" w:rsidRDefault="006056C2" w:rsidP="008F3BDB">
            <w:pPr>
              <w:pStyle w:val="Tablewriting"/>
              <w:keepNext/>
              <w:jc w:val="center"/>
              <w:rPr>
                <w:rFonts w:eastAsia="MS Mincho"/>
              </w:rPr>
            </w:pPr>
            <w:r>
              <w:rPr>
                <w:rFonts w:eastAsia="MS Mincho"/>
              </w:rPr>
              <w:t>15/70</w:t>
            </w:r>
          </w:p>
          <w:p w:rsidR="003370C1" w:rsidRPr="00571B3B" w:rsidRDefault="006056C2" w:rsidP="00A5263B">
            <w:pPr>
              <w:pStyle w:val="Tablewriting"/>
              <w:keepNext/>
              <w:jc w:val="center"/>
              <w:rPr>
                <w:rFonts w:eastAsia="MS Mincho"/>
              </w:rPr>
            </w:pPr>
            <w:r>
              <w:rPr>
                <w:rFonts w:eastAsia="MS Mincho"/>
              </w:rPr>
              <w:t>(</w:t>
            </w:r>
            <w:r w:rsidR="00A44806">
              <w:rPr>
                <w:rFonts w:eastAsia="MS Mincho"/>
              </w:rPr>
              <w:t>21.4</w:t>
            </w:r>
            <w:r>
              <w:rPr>
                <w:rFonts w:eastAsia="MS Mincho"/>
              </w:rPr>
              <w:t>%)</w:t>
            </w:r>
          </w:p>
        </w:tc>
        <w:tc>
          <w:tcPr>
            <w:tcW w:w="1016" w:type="pct"/>
            <w:shd w:val="clear" w:color="auto" w:fill="auto"/>
            <w:tcMar>
              <w:left w:w="28" w:type="dxa"/>
              <w:right w:w="28" w:type="dxa"/>
            </w:tcMar>
            <w:vAlign w:val="center"/>
          </w:tcPr>
          <w:p w:rsidR="003370C1" w:rsidRPr="00C42CE7" w:rsidRDefault="003370C1" w:rsidP="00A5263B">
            <w:pPr>
              <w:pStyle w:val="Tablewriting"/>
              <w:keepNext/>
              <w:jc w:val="center"/>
              <w:rPr>
                <w:rFonts w:eastAsia="MS Mincho"/>
              </w:rPr>
            </w:pPr>
            <w:r w:rsidRPr="00C42CE7">
              <w:rPr>
                <w:rFonts w:eastAsia="MS Mincho"/>
              </w:rPr>
              <w:t>0.67</w:t>
            </w:r>
          </w:p>
          <w:p w:rsidR="003370C1" w:rsidRPr="00C42CE7" w:rsidRDefault="003370C1" w:rsidP="00A5263B">
            <w:pPr>
              <w:pStyle w:val="Tablewriting"/>
              <w:keepNext/>
              <w:jc w:val="center"/>
              <w:rPr>
                <w:rFonts w:eastAsia="MS Mincho"/>
              </w:rPr>
            </w:pPr>
            <w:r w:rsidRPr="00C42CE7">
              <w:rPr>
                <w:rFonts w:eastAsia="MS Mincho"/>
              </w:rPr>
              <w:t>(0.</w:t>
            </w:r>
            <w:r w:rsidR="008F3BDB">
              <w:rPr>
                <w:rFonts w:eastAsia="MS Mincho"/>
              </w:rPr>
              <w:t>35</w:t>
            </w:r>
            <w:r w:rsidRPr="00C42CE7">
              <w:rPr>
                <w:rFonts w:eastAsia="MS Mincho"/>
              </w:rPr>
              <w:t>, 1.</w:t>
            </w:r>
            <w:r w:rsidR="008F3BDB">
              <w:rPr>
                <w:rFonts w:eastAsia="MS Mincho"/>
              </w:rPr>
              <w:t>3</w:t>
            </w:r>
            <w:r w:rsidRPr="00C42CE7">
              <w:rPr>
                <w:rFonts w:eastAsia="MS Mincho"/>
              </w:rPr>
              <w:t>)</w:t>
            </w:r>
          </w:p>
        </w:tc>
      </w:tr>
      <w:tr w:rsidR="00927EC4" w:rsidRPr="00061F78" w:rsidTr="001B2A43">
        <w:trPr>
          <w:cantSplit/>
          <w:trHeight w:val="99"/>
        </w:trPr>
        <w:tc>
          <w:tcPr>
            <w:tcW w:w="5000" w:type="pct"/>
            <w:gridSpan w:val="5"/>
            <w:shd w:val="clear" w:color="auto" w:fill="auto"/>
            <w:tcMar>
              <w:left w:w="28" w:type="dxa"/>
              <w:right w:w="28" w:type="dxa"/>
            </w:tcMar>
            <w:vAlign w:val="center"/>
          </w:tcPr>
          <w:p w:rsidR="001B2A43" w:rsidRPr="004064A7" w:rsidRDefault="001B2A43" w:rsidP="001B2A43">
            <w:pPr>
              <w:pStyle w:val="Tablewriting"/>
              <w:keepNext/>
              <w:rPr>
                <w:rFonts w:eastAsia="MS Mincho"/>
                <w:b/>
                <w:bCs/>
                <w:highlight w:val="yellow"/>
              </w:rPr>
            </w:pPr>
            <w:r w:rsidRPr="004064A7">
              <w:rPr>
                <w:rFonts w:eastAsia="MS Mincho"/>
                <w:b/>
                <w:bCs/>
              </w:rPr>
              <w:t>Fixed versus ad lib dose dosing (pooled)</w:t>
            </w:r>
          </w:p>
        </w:tc>
      </w:tr>
      <w:tr w:rsidR="00927EC4" w:rsidRPr="00061F78" w:rsidTr="001B2A43">
        <w:trPr>
          <w:cantSplit/>
          <w:trHeight w:val="99"/>
        </w:trPr>
        <w:tc>
          <w:tcPr>
            <w:tcW w:w="747" w:type="pct"/>
            <w:shd w:val="clear" w:color="auto" w:fill="auto"/>
            <w:tcMar>
              <w:left w:w="28" w:type="dxa"/>
              <w:right w:w="28" w:type="dxa"/>
            </w:tcMar>
            <w:vAlign w:val="center"/>
          </w:tcPr>
          <w:p w:rsidR="00927EC4" w:rsidRDefault="001B2A43" w:rsidP="008F3BDB">
            <w:pPr>
              <w:pStyle w:val="Tablewriting"/>
              <w:keepNext/>
              <w:rPr>
                <w:rFonts w:eastAsia="MS Mincho"/>
              </w:rPr>
            </w:pPr>
            <w:r>
              <w:rPr>
                <w:rFonts w:eastAsia="MS Mincho"/>
              </w:rPr>
              <w:t>Lindson (2019)</w:t>
            </w:r>
          </w:p>
        </w:tc>
        <w:tc>
          <w:tcPr>
            <w:tcW w:w="1205" w:type="pct"/>
            <w:shd w:val="clear" w:color="auto" w:fill="auto"/>
            <w:vAlign w:val="center"/>
          </w:tcPr>
          <w:p w:rsidR="001B2A43" w:rsidRDefault="001B2A43" w:rsidP="001B2A43">
            <w:pPr>
              <w:pStyle w:val="Tablewriting"/>
              <w:keepNext/>
              <w:jc w:val="center"/>
              <w:rPr>
                <w:rFonts w:eastAsia="MS Mincho"/>
              </w:rPr>
            </w:pPr>
            <w:r>
              <w:rPr>
                <w:rFonts w:eastAsia="MS Mincho"/>
              </w:rPr>
              <w:t xml:space="preserve">Cochrane Review </w:t>
            </w:r>
          </w:p>
          <w:p w:rsidR="00927EC4" w:rsidRDefault="001B2A43" w:rsidP="008F3BDB">
            <w:pPr>
              <w:pStyle w:val="Tablewriting"/>
              <w:keepNext/>
              <w:jc w:val="center"/>
              <w:rPr>
                <w:rFonts w:eastAsia="MS Mincho"/>
              </w:rPr>
            </w:pPr>
            <w:r>
              <w:rPr>
                <w:rFonts w:eastAsia="MS Mincho"/>
              </w:rPr>
              <w:t xml:space="preserve">(4 </w:t>
            </w:r>
            <w:r w:rsidRPr="00A22F63">
              <w:rPr>
                <w:rFonts w:eastAsia="MS Mincho"/>
              </w:rPr>
              <w:t>RCT</w:t>
            </w:r>
            <w:r>
              <w:rPr>
                <w:rFonts w:eastAsia="MS Mincho"/>
              </w:rPr>
              <w:t>s)</w:t>
            </w:r>
          </w:p>
        </w:tc>
        <w:tc>
          <w:tcPr>
            <w:tcW w:w="1015" w:type="pct"/>
            <w:shd w:val="clear" w:color="auto" w:fill="auto"/>
            <w:tcMar>
              <w:left w:w="28" w:type="dxa"/>
              <w:right w:w="28" w:type="dxa"/>
            </w:tcMar>
            <w:vAlign w:val="center"/>
          </w:tcPr>
          <w:p w:rsidR="001B2A43" w:rsidRDefault="00A4106A" w:rsidP="001B2A43">
            <w:pPr>
              <w:pStyle w:val="Tablewriting"/>
              <w:keepNext/>
              <w:jc w:val="center"/>
              <w:rPr>
                <w:rFonts w:eastAsia="MS Mincho"/>
              </w:rPr>
            </w:pPr>
            <w:r>
              <w:rPr>
                <w:rFonts w:eastAsia="MS Mincho"/>
              </w:rPr>
              <w:t>95/415</w:t>
            </w:r>
          </w:p>
          <w:p w:rsidR="00927EC4" w:rsidRPr="00571B3B" w:rsidRDefault="00A4106A" w:rsidP="008F3BDB">
            <w:pPr>
              <w:pStyle w:val="Tablewriting"/>
              <w:keepNext/>
              <w:jc w:val="center"/>
              <w:rPr>
                <w:rFonts w:eastAsia="MS Mincho"/>
              </w:rPr>
            </w:pPr>
            <w:r>
              <w:rPr>
                <w:rFonts w:eastAsia="MS Mincho"/>
              </w:rPr>
              <w:t>(</w:t>
            </w:r>
            <w:r w:rsidR="00A44806">
              <w:rPr>
                <w:rFonts w:eastAsia="MS Mincho"/>
              </w:rPr>
              <w:t>22.9</w:t>
            </w:r>
            <w:r>
              <w:rPr>
                <w:rFonts w:eastAsia="MS Mincho"/>
              </w:rPr>
              <w:t>%)</w:t>
            </w:r>
          </w:p>
        </w:tc>
        <w:tc>
          <w:tcPr>
            <w:tcW w:w="1017" w:type="pct"/>
            <w:shd w:val="clear" w:color="auto" w:fill="auto"/>
            <w:tcMar>
              <w:left w:w="28" w:type="dxa"/>
              <w:right w:w="28" w:type="dxa"/>
            </w:tcMar>
            <w:vAlign w:val="center"/>
          </w:tcPr>
          <w:p w:rsidR="001B2A43" w:rsidRDefault="005D69AF" w:rsidP="001B2A43">
            <w:pPr>
              <w:pStyle w:val="Tablewriting"/>
              <w:keepNext/>
              <w:jc w:val="center"/>
              <w:rPr>
                <w:rFonts w:eastAsia="MS Mincho"/>
              </w:rPr>
            </w:pPr>
            <w:r>
              <w:rPr>
                <w:rFonts w:eastAsia="MS Mincho"/>
              </w:rPr>
              <w:t>84/413</w:t>
            </w:r>
          </w:p>
          <w:p w:rsidR="00927EC4" w:rsidRPr="00571B3B" w:rsidRDefault="005D69AF" w:rsidP="008F3BDB">
            <w:pPr>
              <w:pStyle w:val="Tablewriting"/>
              <w:keepNext/>
              <w:jc w:val="center"/>
              <w:rPr>
                <w:rFonts w:eastAsia="MS Mincho"/>
              </w:rPr>
            </w:pPr>
            <w:r>
              <w:rPr>
                <w:rFonts w:eastAsia="MS Mincho"/>
              </w:rPr>
              <w:t>(</w:t>
            </w:r>
            <w:r w:rsidR="0008509E">
              <w:rPr>
                <w:rFonts w:eastAsia="MS Mincho"/>
              </w:rPr>
              <w:t>20.3</w:t>
            </w:r>
            <w:r>
              <w:rPr>
                <w:rFonts w:eastAsia="MS Mincho"/>
              </w:rPr>
              <w:t>%)</w:t>
            </w:r>
          </w:p>
        </w:tc>
        <w:tc>
          <w:tcPr>
            <w:tcW w:w="1016" w:type="pct"/>
            <w:shd w:val="clear" w:color="auto" w:fill="auto"/>
            <w:tcMar>
              <w:left w:w="28" w:type="dxa"/>
              <w:right w:w="28" w:type="dxa"/>
            </w:tcMar>
            <w:vAlign w:val="center"/>
          </w:tcPr>
          <w:p w:rsidR="001B2A43" w:rsidRDefault="001B2A43" w:rsidP="001B2A43">
            <w:pPr>
              <w:pStyle w:val="Tablewriting"/>
              <w:keepNext/>
              <w:jc w:val="center"/>
              <w:rPr>
                <w:rFonts w:eastAsia="MS Mincho"/>
              </w:rPr>
            </w:pPr>
            <w:r>
              <w:rPr>
                <w:rFonts w:eastAsia="MS Mincho"/>
              </w:rPr>
              <w:t>1.12</w:t>
            </w:r>
          </w:p>
          <w:p w:rsidR="00927EC4" w:rsidRDefault="001B2A43" w:rsidP="008F3BDB">
            <w:pPr>
              <w:pStyle w:val="Tablewriting"/>
              <w:keepNext/>
              <w:jc w:val="center"/>
              <w:rPr>
                <w:rFonts w:eastAsia="MS Mincho"/>
              </w:rPr>
            </w:pPr>
            <w:r>
              <w:rPr>
                <w:rFonts w:eastAsia="MS Mincho"/>
              </w:rPr>
              <w:t>(0.87, 1.45)</w:t>
            </w:r>
          </w:p>
        </w:tc>
      </w:tr>
    </w:tbl>
    <w:p w:rsidR="003370C1" w:rsidRPr="00566F12" w:rsidRDefault="003370C1" w:rsidP="003370C1">
      <w:pPr>
        <w:pStyle w:val="TableFooter"/>
        <w:keepNext/>
      </w:pPr>
      <w:r w:rsidRPr="00566F12">
        <w:t>Source: Lindson et al. (2019)</w:t>
      </w:r>
    </w:p>
    <w:p w:rsidR="003370C1" w:rsidRPr="00566F12" w:rsidRDefault="003370C1" w:rsidP="003370C1">
      <w:pPr>
        <w:pStyle w:val="TableFooter"/>
        <w:keepNext/>
        <w:rPr>
          <w:i/>
        </w:rPr>
      </w:pPr>
      <w:r w:rsidRPr="00566F12">
        <w:t xml:space="preserve">Abbreviations: CI = confidence interval; RCT = randomised controlled trial; RD = risk difference; RR = risk ratio </w:t>
      </w:r>
    </w:p>
    <w:p w:rsidR="005D69AF" w:rsidRDefault="003370C1" w:rsidP="005D69AF">
      <w:pPr>
        <w:pStyle w:val="TableFooter"/>
      </w:pPr>
      <w:r w:rsidRPr="00566F12">
        <w:t>Notes:</w:t>
      </w:r>
    </w:p>
    <w:p w:rsidR="003370C1" w:rsidRDefault="005D69AF" w:rsidP="003370C1">
      <w:pPr>
        <w:pStyle w:val="TableFooter"/>
      </w:pPr>
      <w:r>
        <w:t>1</w:t>
      </w:r>
      <w:r w:rsidR="003370C1">
        <w:t xml:space="preserve"> </w:t>
      </w:r>
      <w:r w:rsidR="003370C1" w:rsidRPr="0041240E">
        <w:t xml:space="preserve">Calculated </w:t>
      </w:r>
      <w:r>
        <w:t>by Cochrane Review authors using a fixed-effect model</w:t>
      </w:r>
      <w:r w:rsidR="00ED0CBA">
        <w:t>.</w:t>
      </w:r>
    </w:p>
    <w:p w:rsidR="003370C1" w:rsidRDefault="003370C1" w:rsidP="003370C1">
      <w:pPr>
        <w:pStyle w:val="TableFooter"/>
        <w:jc w:val="both"/>
        <w:rPr>
          <w:sz w:val="24"/>
        </w:rPr>
      </w:pPr>
    </w:p>
    <w:p w:rsidR="003370C1" w:rsidRPr="00C43497" w:rsidRDefault="003370C1" w:rsidP="003370C1">
      <w:pPr>
        <w:pStyle w:val="TableFooter"/>
        <w:jc w:val="both"/>
        <w:rPr>
          <w:sz w:val="24"/>
        </w:rPr>
      </w:pPr>
      <w:r w:rsidRPr="00F136E9">
        <w:rPr>
          <w:sz w:val="24"/>
        </w:rPr>
        <w:t>The results of the individual studies</w:t>
      </w:r>
      <w:r>
        <w:rPr>
          <w:sz w:val="24"/>
        </w:rPr>
        <w:t xml:space="preserve"> relevant to </w:t>
      </w:r>
      <w:r w:rsidRPr="00F95541">
        <w:rPr>
          <w:sz w:val="24"/>
        </w:rPr>
        <w:t>fixed versus ad lib dos</w:t>
      </w:r>
      <w:r w:rsidR="00E43F07">
        <w:rPr>
          <w:sz w:val="24"/>
        </w:rPr>
        <w:t>ing</w:t>
      </w:r>
      <w:r w:rsidRPr="00F95541">
        <w:rPr>
          <w:sz w:val="24"/>
        </w:rPr>
        <w:t xml:space="preserve"> schedule</w:t>
      </w:r>
      <w:r>
        <w:rPr>
          <w:sz w:val="24"/>
        </w:rPr>
        <w:t xml:space="preserve"> comparison which </w:t>
      </w:r>
      <w:r w:rsidRPr="00F136E9">
        <w:rPr>
          <w:sz w:val="24"/>
        </w:rPr>
        <w:t>included in Lindson et al. (2019) are presented using a forest plot i</w:t>
      </w:r>
      <w:r>
        <w:rPr>
          <w:sz w:val="24"/>
        </w:rPr>
        <w:t>n</w:t>
      </w:r>
      <w:r w:rsidR="00C43497">
        <w:rPr>
          <w:sz w:val="24"/>
        </w:rPr>
        <w:t xml:space="preserve"> </w:t>
      </w:r>
      <w:r w:rsidR="003C4A1C" w:rsidRPr="003C4A1C">
        <w:rPr>
          <w:sz w:val="24"/>
        </w:rPr>
        <w:t>Figure 31</w:t>
      </w:r>
      <w:r w:rsidR="00C43497">
        <w:rPr>
          <w:sz w:val="24"/>
        </w:rPr>
        <w:t>.</w:t>
      </w:r>
    </w:p>
    <w:p w:rsidR="003F0658" w:rsidRDefault="003370C1" w:rsidP="00A92524">
      <w:r>
        <w:rPr>
          <w:noProof/>
        </w:rPr>
        <w:drawing>
          <wp:inline distT="0" distB="0" distL="0" distR="0" wp14:anchorId="5A1E6B48" wp14:editId="7F920E7F">
            <wp:extent cx="5731510" cy="2800350"/>
            <wp:effectExtent l="0" t="0" r="2540" b="0"/>
            <wp:docPr id="69" name="Picture 6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pic:nvPicPr>
                  <pic:blipFill>
                    <a:blip r:embed="rId48">
                      <a:extLst>
                        <a:ext uri="{28A0092B-C50C-407E-A947-70E740481C1C}">
                          <a14:useLocalDpi xmlns:a14="http://schemas.microsoft.com/office/drawing/2010/main" val="0"/>
                        </a:ext>
                      </a:extLst>
                    </a:blip>
                    <a:stretch>
                      <a:fillRect/>
                    </a:stretch>
                  </pic:blipFill>
                  <pic:spPr>
                    <a:xfrm>
                      <a:off x="0" y="0"/>
                      <a:ext cx="5731510" cy="2800350"/>
                    </a:xfrm>
                    <a:prstGeom prst="rect">
                      <a:avLst/>
                    </a:prstGeom>
                  </pic:spPr>
                </pic:pic>
              </a:graphicData>
            </a:graphic>
          </wp:inline>
        </w:drawing>
      </w:r>
    </w:p>
    <w:p w:rsidR="003370C1" w:rsidRDefault="003F0658" w:rsidP="003F0658">
      <w:pPr>
        <w:pStyle w:val="Caption"/>
      </w:pPr>
      <w:bookmarkStart w:id="205" w:name="_Ref59701859"/>
      <w:r>
        <w:lastRenderedPageBreak/>
        <w:t xml:space="preserve">Figure </w:t>
      </w:r>
      <w:r w:rsidR="003C4A1C">
        <w:rPr>
          <w:noProof/>
        </w:rPr>
        <w:t>31</w:t>
      </w:r>
      <w:bookmarkEnd w:id="205"/>
      <w:r>
        <w:t xml:space="preserve">: </w:t>
      </w:r>
      <w:r w:rsidRPr="0009767A">
        <w:t>Results of smoking cessation f</w:t>
      </w:r>
      <w:r w:rsidR="00C623F4">
        <w:t>or</w:t>
      </w:r>
      <w:r w:rsidRPr="0009767A">
        <w:t xml:space="preserve"> at least six months follow-up, fixed versus ad lib dose schedule</w:t>
      </w:r>
    </w:p>
    <w:p w:rsidR="00C43497" w:rsidRPr="00543DB6" w:rsidRDefault="00C43497" w:rsidP="00C43497">
      <w:pPr>
        <w:pStyle w:val="TableFooter"/>
        <w:keepNext/>
      </w:pPr>
      <w:r w:rsidRPr="00543DB6">
        <w:t>Source: Lindson et al. (2019)</w:t>
      </w:r>
    </w:p>
    <w:p w:rsidR="003370C1" w:rsidRDefault="00C43497" w:rsidP="00C43497">
      <w:pPr>
        <w:pStyle w:val="TableFooter"/>
        <w:keepNext/>
      </w:pPr>
      <w:r w:rsidRPr="00543DB6">
        <w:t>Abbreviations: CI = confidence interval</w:t>
      </w:r>
    </w:p>
    <w:p w:rsidR="004D63D8" w:rsidRPr="004D63D8" w:rsidRDefault="004D63D8" w:rsidP="004D63D8">
      <w:pPr>
        <w:rPr>
          <w:u w:val="single"/>
        </w:rPr>
      </w:pPr>
      <w:r w:rsidRPr="004D63D8">
        <w:rPr>
          <w:u w:val="single"/>
        </w:rPr>
        <w:t>Safety</w:t>
      </w:r>
    </w:p>
    <w:p w:rsidR="00AE06E1" w:rsidRDefault="00AE06E1" w:rsidP="00AE06E1">
      <w:pPr>
        <w:jc w:val="both"/>
      </w:pPr>
      <w:r>
        <w:t xml:space="preserve">A summary of key adverse events </w:t>
      </w:r>
      <w:r w:rsidRPr="006F1FEC">
        <w:t xml:space="preserve">in Lindson et al. </w:t>
      </w:r>
      <w:r>
        <w:t>(</w:t>
      </w:r>
      <w:r w:rsidRPr="006F1FEC">
        <w:t>2019</w:t>
      </w:r>
      <w:r>
        <w:t>)</w:t>
      </w:r>
      <w:r w:rsidRPr="006F1FEC">
        <w:t xml:space="preserve"> </w:t>
      </w:r>
      <w:r>
        <w:t>comparing fixed with ad lib dos</w:t>
      </w:r>
      <w:r w:rsidR="00E43F07">
        <w:t>ing</w:t>
      </w:r>
      <w:r>
        <w:t xml:space="preserve"> schedule is presented in</w:t>
      </w:r>
      <w:r w:rsidR="00D010D6">
        <w:t xml:space="preserve"> </w:t>
      </w:r>
      <w:r w:rsidR="003C4A1C">
        <w:t xml:space="preserve">Table </w:t>
      </w:r>
      <w:r w:rsidR="003C4A1C">
        <w:rPr>
          <w:noProof/>
        </w:rPr>
        <w:t>99</w:t>
      </w:r>
      <w:r>
        <w:t>.</w:t>
      </w:r>
      <w:r w:rsidRPr="00371997">
        <w:t xml:space="preserve"> </w:t>
      </w:r>
      <w:r>
        <w:t>Overall, there were no statistically significant differences in serious adverse events and treatment withdrawals between the two treatment arms for NRT nasal spray and gum.</w:t>
      </w:r>
    </w:p>
    <w:p w:rsidR="00AE06E1" w:rsidRDefault="00AE06E1" w:rsidP="00AE06E1">
      <w:pPr>
        <w:pStyle w:val="Caption"/>
        <w:keepNext/>
      </w:pPr>
      <w:bookmarkStart w:id="206" w:name="_Ref62117788"/>
      <w:r>
        <w:t xml:space="preserve">Table </w:t>
      </w:r>
      <w:r w:rsidR="003C4A1C">
        <w:rPr>
          <w:noProof/>
        </w:rPr>
        <w:t>99</w:t>
      </w:r>
      <w:bookmarkEnd w:id="206"/>
      <w:r>
        <w:t xml:space="preserve">: </w:t>
      </w:r>
      <w:r w:rsidRPr="00311750">
        <w:t>Summary of key adverse events in Lindson et al. (2019), fixed versus ad lib dosing</w:t>
      </w:r>
    </w:p>
    <w:tbl>
      <w:tblPr>
        <w:tblStyle w:val="TableGrid"/>
        <w:tblW w:w="5000" w:type="pct"/>
        <w:tblLook w:val="04A0" w:firstRow="1" w:lastRow="0" w:firstColumn="1" w:lastColumn="0" w:noHBand="0" w:noVBand="1"/>
        <w:tblCaption w:val="Efficacy results of adalimumab trials (PASI 75 and DLQI)"/>
      </w:tblPr>
      <w:tblGrid>
        <w:gridCol w:w="1981"/>
        <w:gridCol w:w="1984"/>
        <w:gridCol w:w="1843"/>
        <w:gridCol w:w="1702"/>
        <w:gridCol w:w="1506"/>
      </w:tblGrid>
      <w:tr w:rsidR="00AE06E1" w:rsidRPr="00061F78" w:rsidTr="00125A1C">
        <w:trPr>
          <w:cantSplit/>
          <w:trHeight w:val="299"/>
          <w:tblHeader/>
        </w:trPr>
        <w:tc>
          <w:tcPr>
            <w:tcW w:w="1099" w:type="pct"/>
            <w:shd w:val="clear" w:color="auto" w:fill="BFBFBF" w:themeFill="background1" w:themeFillShade="BF"/>
            <w:tcMar>
              <w:left w:w="28" w:type="dxa"/>
              <w:right w:w="28" w:type="dxa"/>
            </w:tcMar>
            <w:vAlign w:val="center"/>
          </w:tcPr>
          <w:p w:rsidR="00AE06E1" w:rsidRDefault="00016CDD" w:rsidP="00125A1C">
            <w:pPr>
              <w:pStyle w:val="Tableheading"/>
              <w:rPr>
                <w:rFonts w:eastAsia="MS Mincho"/>
              </w:rPr>
            </w:pPr>
            <w:r>
              <w:rPr>
                <w:rFonts w:eastAsia="MS Mincho"/>
              </w:rPr>
              <w:t>Outcome</w:t>
            </w:r>
          </w:p>
        </w:tc>
        <w:tc>
          <w:tcPr>
            <w:tcW w:w="1100" w:type="pct"/>
            <w:shd w:val="clear" w:color="auto" w:fill="BFBFBF" w:themeFill="background1" w:themeFillShade="BF"/>
            <w:vAlign w:val="center"/>
          </w:tcPr>
          <w:p w:rsidR="00AE06E1" w:rsidRDefault="00AE06E1" w:rsidP="00125A1C">
            <w:pPr>
              <w:pStyle w:val="Tableheading"/>
              <w:jc w:val="center"/>
              <w:rPr>
                <w:rFonts w:eastAsia="MS Mincho"/>
              </w:rPr>
            </w:pPr>
            <w:r>
              <w:rPr>
                <w:rFonts w:eastAsia="MS Mincho"/>
              </w:rPr>
              <w:t>Study type</w:t>
            </w:r>
          </w:p>
        </w:tc>
        <w:tc>
          <w:tcPr>
            <w:tcW w:w="1022" w:type="pct"/>
            <w:shd w:val="clear" w:color="auto" w:fill="BFBFBF" w:themeFill="background1" w:themeFillShade="BF"/>
            <w:tcMar>
              <w:left w:w="28" w:type="dxa"/>
              <w:right w:w="28" w:type="dxa"/>
            </w:tcMar>
            <w:vAlign w:val="center"/>
          </w:tcPr>
          <w:p w:rsidR="00AE06E1" w:rsidRPr="00061F78" w:rsidRDefault="00AE06E1" w:rsidP="00125A1C">
            <w:pPr>
              <w:pStyle w:val="Tableheading"/>
              <w:jc w:val="center"/>
              <w:rPr>
                <w:rFonts w:eastAsia="MS Mincho"/>
              </w:rPr>
            </w:pPr>
            <w:r>
              <w:rPr>
                <w:rFonts w:eastAsia="MS Mincho"/>
              </w:rPr>
              <w:t xml:space="preserve">Fixed dosing </w:t>
            </w:r>
          </w:p>
        </w:tc>
        <w:tc>
          <w:tcPr>
            <w:tcW w:w="944" w:type="pct"/>
            <w:shd w:val="clear" w:color="auto" w:fill="BFBFBF" w:themeFill="background1" w:themeFillShade="BF"/>
            <w:tcMar>
              <w:left w:w="28" w:type="dxa"/>
              <w:right w:w="28" w:type="dxa"/>
            </w:tcMar>
            <w:vAlign w:val="center"/>
          </w:tcPr>
          <w:p w:rsidR="00AE06E1" w:rsidRPr="00061F78" w:rsidRDefault="00AE06E1" w:rsidP="00125A1C">
            <w:pPr>
              <w:pStyle w:val="Tableheading"/>
              <w:jc w:val="center"/>
              <w:rPr>
                <w:rFonts w:eastAsia="MS Mincho"/>
              </w:rPr>
            </w:pPr>
            <w:r>
              <w:rPr>
                <w:rFonts w:eastAsia="MS Mincho"/>
              </w:rPr>
              <w:t>Ad lib dosing</w:t>
            </w:r>
          </w:p>
        </w:tc>
        <w:tc>
          <w:tcPr>
            <w:tcW w:w="836" w:type="pct"/>
            <w:shd w:val="clear" w:color="auto" w:fill="BFBFBF" w:themeFill="background1" w:themeFillShade="BF"/>
            <w:tcMar>
              <w:left w:w="28" w:type="dxa"/>
              <w:right w:w="28" w:type="dxa"/>
            </w:tcMar>
            <w:vAlign w:val="center"/>
          </w:tcPr>
          <w:p w:rsidR="00AE06E1" w:rsidRPr="00681ACA" w:rsidRDefault="00AE06E1" w:rsidP="00125A1C">
            <w:pPr>
              <w:pStyle w:val="Tableheading"/>
              <w:jc w:val="center"/>
              <w:rPr>
                <w:rFonts w:eastAsia="MS Mincho"/>
                <w:vertAlign w:val="superscript"/>
              </w:rPr>
            </w:pPr>
            <w:r>
              <w:rPr>
                <w:rFonts w:eastAsia="MS Mincho"/>
              </w:rPr>
              <w:t>RR (95% CI)</w:t>
            </w:r>
            <w:r w:rsidR="00FC0ADE">
              <w:rPr>
                <w:rFonts w:eastAsia="MS Mincho"/>
                <w:vertAlign w:val="superscript"/>
              </w:rPr>
              <w:t>1</w:t>
            </w:r>
          </w:p>
        </w:tc>
      </w:tr>
      <w:tr w:rsidR="00AE06E1" w:rsidRPr="00061F78" w:rsidTr="00407317">
        <w:trPr>
          <w:cantSplit/>
          <w:trHeight w:val="149"/>
        </w:trPr>
        <w:tc>
          <w:tcPr>
            <w:tcW w:w="5000" w:type="pct"/>
            <w:gridSpan w:val="5"/>
            <w:shd w:val="clear" w:color="auto" w:fill="auto"/>
            <w:tcMar>
              <w:left w:w="28" w:type="dxa"/>
              <w:right w:w="28" w:type="dxa"/>
            </w:tcMar>
          </w:tcPr>
          <w:p w:rsidR="00AE06E1" w:rsidRPr="00D010D6" w:rsidRDefault="00AE06E1" w:rsidP="00125A1C">
            <w:pPr>
              <w:pStyle w:val="Tablewriting"/>
              <w:rPr>
                <w:rFonts w:eastAsia="MS Mincho"/>
                <w:b/>
                <w:bCs/>
              </w:rPr>
            </w:pPr>
            <w:r w:rsidRPr="00D010D6">
              <w:rPr>
                <w:rFonts w:eastAsia="MS Mincho"/>
                <w:b/>
                <w:bCs/>
              </w:rPr>
              <w:t>Overall SAEs</w:t>
            </w:r>
          </w:p>
        </w:tc>
      </w:tr>
      <w:tr w:rsidR="00AE06E1" w:rsidRPr="00061F78" w:rsidTr="00125A1C">
        <w:trPr>
          <w:cantSplit/>
          <w:trHeight w:val="149"/>
        </w:trPr>
        <w:tc>
          <w:tcPr>
            <w:tcW w:w="1099" w:type="pct"/>
            <w:tcMar>
              <w:left w:w="28" w:type="dxa"/>
              <w:right w:w="28" w:type="dxa"/>
            </w:tcMar>
          </w:tcPr>
          <w:p w:rsidR="00AE06E1" w:rsidRPr="001B3B7C" w:rsidRDefault="00AE06E1" w:rsidP="00125A1C">
            <w:pPr>
              <w:pStyle w:val="Tablewriting"/>
              <w:rPr>
                <w:rFonts w:eastAsia="MS Mincho"/>
              </w:rPr>
            </w:pPr>
            <w:r>
              <w:rPr>
                <w:rFonts w:eastAsia="MS Mincho"/>
              </w:rPr>
              <w:t xml:space="preserve">Nasal spray </w:t>
            </w:r>
          </w:p>
        </w:tc>
        <w:tc>
          <w:tcPr>
            <w:tcW w:w="1100" w:type="pct"/>
            <w:vAlign w:val="center"/>
          </w:tcPr>
          <w:p w:rsidR="00AE06E1" w:rsidRDefault="00AE06E1" w:rsidP="00125A1C">
            <w:pPr>
              <w:pStyle w:val="Tablewriting"/>
              <w:jc w:val="center"/>
              <w:rPr>
                <w:rFonts w:eastAsia="MS Mincho"/>
              </w:rPr>
            </w:pPr>
            <w:r>
              <w:rPr>
                <w:rFonts w:eastAsia="MS Mincho"/>
              </w:rPr>
              <w:t>Cochrane Review</w:t>
            </w:r>
          </w:p>
          <w:p w:rsidR="00AE06E1" w:rsidRPr="001B3B7C" w:rsidRDefault="00AE06E1" w:rsidP="00125A1C">
            <w:pPr>
              <w:pStyle w:val="Tablewriting"/>
              <w:jc w:val="center"/>
              <w:rPr>
                <w:rFonts w:eastAsia="MS Mincho"/>
              </w:rPr>
            </w:pPr>
            <w:r>
              <w:rPr>
                <w:rFonts w:eastAsia="MS Mincho"/>
              </w:rPr>
              <w:t>(1 RCT)</w:t>
            </w:r>
          </w:p>
        </w:tc>
        <w:tc>
          <w:tcPr>
            <w:tcW w:w="1022" w:type="pct"/>
            <w:vAlign w:val="center"/>
          </w:tcPr>
          <w:p w:rsidR="00AE06E1" w:rsidRDefault="00AE06E1" w:rsidP="00125A1C">
            <w:pPr>
              <w:pStyle w:val="Tablewriting"/>
              <w:jc w:val="center"/>
              <w:rPr>
                <w:rFonts w:eastAsia="MS Mincho"/>
              </w:rPr>
            </w:pPr>
            <w:r>
              <w:rPr>
                <w:rFonts w:eastAsia="MS Mincho"/>
              </w:rPr>
              <w:t>0/44</w:t>
            </w:r>
          </w:p>
          <w:p w:rsidR="00AE06E1" w:rsidRPr="001B3B7C" w:rsidRDefault="00AE06E1" w:rsidP="00125A1C">
            <w:pPr>
              <w:pStyle w:val="Tablewriting"/>
              <w:jc w:val="center"/>
              <w:rPr>
                <w:rFonts w:eastAsia="MS Mincho"/>
              </w:rPr>
            </w:pPr>
            <w:r>
              <w:rPr>
                <w:rFonts w:eastAsia="MS Mincho"/>
              </w:rPr>
              <w:t>(0%)</w:t>
            </w:r>
          </w:p>
        </w:tc>
        <w:tc>
          <w:tcPr>
            <w:tcW w:w="944" w:type="pct"/>
            <w:vAlign w:val="center"/>
          </w:tcPr>
          <w:p w:rsidR="00AE06E1" w:rsidRDefault="00AE06E1" w:rsidP="00125A1C">
            <w:pPr>
              <w:pStyle w:val="Tablewriting"/>
              <w:jc w:val="center"/>
              <w:rPr>
                <w:rFonts w:eastAsia="MS Mincho"/>
              </w:rPr>
            </w:pPr>
            <w:r>
              <w:rPr>
                <w:rFonts w:eastAsia="MS Mincho"/>
              </w:rPr>
              <w:t>0/45</w:t>
            </w:r>
          </w:p>
          <w:p w:rsidR="00AE06E1" w:rsidRPr="001B3B7C" w:rsidRDefault="00AE06E1" w:rsidP="00125A1C">
            <w:pPr>
              <w:pStyle w:val="Tablewriting"/>
              <w:jc w:val="center"/>
              <w:rPr>
                <w:rFonts w:eastAsia="MS Mincho"/>
              </w:rPr>
            </w:pPr>
            <w:r>
              <w:rPr>
                <w:rFonts w:eastAsia="MS Mincho"/>
              </w:rPr>
              <w:t>(0%)</w:t>
            </w:r>
          </w:p>
        </w:tc>
        <w:tc>
          <w:tcPr>
            <w:tcW w:w="836" w:type="pct"/>
            <w:tcMar>
              <w:left w:w="28" w:type="dxa"/>
              <w:right w:w="28" w:type="dxa"/>
            </w:tcMar>
            <w:vAlign w:val="center"/>
          </w:tcPr>
          <w:p w:rsidR="00AE06E1" w:rsidRPr="001B3B7C" w:rsidRDefault="00AE06E1" w:rsidP="00125A1C">
            <w:pPr>
              <w:pStyle w:val="Tablewriting"/>
              <w:jc w:val="center"/>
              <w:rPr>
                <w:rFonts w:eastAsia="MS Mincho"/>
              </w:rPr>
            </w:pPr>
            <w:r>
              <w:rPr>
                <w:rFonts w:eastAsia="MS Mincho"/>
              </w:rPr>
              <w:t>NE</w:t>
            </w:r>
          </w:p>
        </w:tc>
      </w:tr>
      <w:tr w:rsidR="00AE06E1" w:rsidRPr="00061F78" w:rsidTr="00407317">
        <w:trPr>
          <w:cantSplit/>
          <w:trHeight w:val="149"/>
        </w:trPr>
        <w:tc>
          <w:tcPr>
            <w:tcW w:w="5000" w:type="pct"/>
            <w:gridSpan w:val="5"/>
            <w:shd w:val="clear" w:color="auto" w:fill="auto"/>
            <w:tcMar>
              <w:left w:w="28" w:type="dxa"/>
              <w:right w:w="28" w:type="dxa"/>
            </w:tcMar>
          </w:tcPr>
          <w:p w:rsidR="00AE06E1" w:rsidRPr="00407317" w:rsidRDefault="00AE06E1" w:rsidP="00125A1C">
            <w:pPr>
              <w:pStyle w:val="Tablewriting"/>
              <w:rPr>
                <w:rFonts w:eastAsia="MS Mincho"/>
                <w:b/>
                <w:bCs/>
              </w:rPr>
            </w:pPr>
            <w:r w:rsidRPr="00407317">
              <w:rPr>
                <w:rFonts w:eastAsia="MS Mincho"/>
                <w:b/>
                <w:bCs/>
              </w:rPr>
              <w:t>Treatment withdrawals</w:t>
            </w:r>
          </w:p>
        </w:tc>
      </w:tr>
      <w:tr w:rsidR="00AE06E1" w:rsidRPr="00061F78" w:rsidTr="00125A1C">
        <w:trPr>
          <w:cantSplit/>
          <w:trHeight w:val="149"/>
        </w:trPr>
        <w:tc>
          <w:tcPr>
            <w:tcW w:w="1099" w:type="pct"/>
            <w:tcMar>
              <w:left w:w="28" w:type="dxa"/>
              <w:right w:w="28" w:type="dxa"/>
            </w:tcMar>
          </w:tcPr>
          <w:p w:rsidR="00AE06E1" w:rsidRDefault="00AE06E1" w:rsidP="00125A1C">
            <w:pPr>
              <w:pStyle w:val="Tablewriting"/>
              <w:rPr>
                <w:rFonts w:eastAsia="MS Mincho"/>
              </w:rPr>
            </w:pPr>
            <w:r>
              <w:rPr>
                <w:rFonts w:eastAsia="MS Mincho"/>
              </w:rPr>
              <w:t>Nasal spray</w:t>
            </w:r>
          </w:p>
        </w:tc>
        <w:tc>
          <w:tcPr>
            <w:tcW w:w="1100" w:type="pct"/>
            <w:vAlign w:val="center"/>
          </w:tcPr>
          <w:p w:rsidR="00AE06E1" w:rsidRDefault="00AE06E1" w:rsidP="00125A1C">
            <w:pPr>
              <w:pStyle w:val="Tablewriting"/>
              <w:jc w:val="center"/>
              <w:rPr>
                <w:rFonts w:eastAsia="MS Mincho"/>
              </w:rPr>
            </w:pPr>
            <w:r>
              <w:rPr>
                <w:rFonts w:eastAsia="MS Mincho"/>
              </w:rPr>
              <w:t>Cochrane Review</w:t>
            </w:r>
          </w:p>
          <w:p w:rsidR="00AE06E1" w:rsidRDefault="00AE06E1" w:rsidP="00125A1C">
            <w:pPr>
              <w:pStyle w:val="Tablewriting"/>
              <w:jc w:val="center"/>
              <w:rPr>
                <w:rFonts w:eastAsia="MS Mincho"/>
              </w:rPr>
            </w:pPr>
            <w:r>
              <w:rPr>
                <w:rFonts w:eastAsia="MS Mincho"/>
              </w:rPr>
              <w:t>(1 RCT)</w:t>
            </w:r>
          </w:p>
        </w:tc>
        <w:tc>
          <w:tcPr>
            <w:tcW w:w="1022" w:type="pct"/>
            <w:tcMar>
              <w:left w:w="28" w:type="dxa"/>
              <w:right w:w="28" w:type="dxa"/>
            </w:tcMar>
            <w:vAlign w:val="center"/>
          </w:tcPr>
          <w:p w:rsidR="00AE06E1" w:rsidRDefault="00AE06E1" w:rsidP="00125A1C">
            <w:pPr>
              <w:pStyle w:val="Tablewriting"/>
              <w:jc w:val="center"/>
              <w:rPr>
                <w:rFonts w:eastAsia="MS Mincho"/>
              </w:rPr>
            </w:pPr>
            <w:r>
              <w:rPr>
                <w:rFonts w:eastAsia="MS Mincho"/>
              </w:rPr>
              <w:t>0/44</w:t>
            </w:r>
          </w:p>
          <w:p w:rsidR="00AE06E1" w:rsidRDefault="00AE06E1" w:rsidP="00125A1C">
            <w:pPr>
              <w:pStyle w:val="Tablewriting"/>
              <w:jc w:val="center"/>
              <w:rPr>
                <w:rFonts w:eastAsia="MS Mincho"/>
              </w:rPr>
            </w:pPr>
            <w:r>
              <w:rPr>
                <w:rFonts w:eastAsia="MS Mincho"/>
              </w:rPr>
              <w:t>(0%)</w:t>
            </w:r>
          </w:p>
        </w:tc>
        <w:tc>
          <w:tcPr>
            <w:tcW w:w="944" w:type="pct"/>
            <w:tcMar>
              <w:left w:w="28" w:type="dxa"/>
              <w:right w:w="28" w:type="dxa"/>
            </w:tcMar>
            <w:vAlign w:val="center"/>
          </w:tcPr>
          <w:p w:rsidR="00AE06E1" w:rsidRDefault="00AE06E1" w:rsidP="00125A1C">
            <w:pPr>
              <w:pStyle w:val="Tablewriting"/>
              <w:jc w:val="center"/>
              <w:rPr>
                <w:rFonts w:eastAsia="MS Mincho"/>
              </w:rPr>
            </w:pPr>
            <w:r>
              <w:rPr>
                <w:rFonts w:eastAsia="MS Mincho"/>
              </w:rPr>
              <w:t>0/45</w:t>
            </w:r>
          </w:p>
          <w:p w:rsidR="00AE06E1" w:rsidRDefault="00AE06E1" w:rsidP="00125A1C">
            <w:pPr>
              <w:pStyle w:val="Tablewriting"/>
              <w:jc w:val="center"/>
              <w:rPr>
                <w:rFonts w:eastAsia="MS Mincho"/>
              </w:rPr>
            </w:pPr>
            <w:r>
              <w:rPr>
                <w:rFonts w:eastAsia="MS Mincho"/>
              </w:rPr>
              <w:t>(0%)</w:t>
            </w:r>
          </w:p>
        </w:tc>
        <w:tc>
          <w:tcPr>
            <w:tcW w:w="836" w:type="pct"/>
            <w:tcMar>
              <w:left w:w="28" w:type="dxa"/>
              <w:right w:w="28" w:type="dxa"/>
            </w:tcMar>
            <w:vAlign w:val="center"/>
          </w:tcPr>
          <w:p w:rsidR="00AE06E1" w:rsidRDefault="00AE06E1" w:rsidP="00125A1C">
            <w:pPr>
              <w:pStyle w:val="Tablewriting"/>
              <w:jc w:val="center"/>
              <w:rPr>
                <w:rFonts w:eastAsia="MS Mincho"/>
              </w:rPr>
            </w:pPr>
            <w:r>
              <w:rPr>
                <w:rFonts w:eastAsia="MS Mincho"/>
              </w:rPr>
              <w:t>NE</w:t>
            </w:r>
          </w:p>
        </w:tc>
      </w:tr>
      <w:tr w:rsidR="00AE06E1" w:rsidRPr="00061F78" w:rsidTr="00125A1C">
        <w:trPr>
          <w:cantSplit/>
          <w:trHeight w:val="149"/>
        </w:trPr>
        <w:tc>
          <w:tcPr>
            <w:tcW w:w="1099" w:type="pct"/>
            <w:tcMar>
              <w:left w:w="28" w:type="dxa"/>
              <w:right w:w="28" w:type="dxa"/>
            </w:tcMar>
          </w:tcPr>
          <w:p w:rsidR="00AE06E1" w:rsidRPr="001B3B7C" w:rsidRDefault="00AE06E1" w:rsidP="00125A1C">
            <w:pPr>
              <w:pStyle w:val="Tablewriting"/>
              <w:rPr>
                <w:rFonts w:eastAsia="MS Mincho"/>
              </w:rPr>
            </w:pPr>
            <w:r>
              <w:rPr>
                <w:rFonts w:eastAsia="MS Mincho"/>
              </w:rPr>
              <w:t xml:space="preserve">Gum </w:t>
            </w:r>
          </w:p>
        </w:tc>
        <w:tc>
          <w:tcPr>
            <w:tcW w:w="1100" w:type="pct"/>
            <w:vAlign w:val="center"/>
          </w:tcPr>
          <w:p w:rsidR="00AE06E1" w:rsidRDefault="00AE06E1" w:rsidP="00125A1C">
            <w:pPr>
              <w:pStyle w:val="Tablewriting"/>
              <w:jc w:val="center"/>
              <w:rPr>
                <w:rFonts w:eastAsia="MS Mincho"/>
              </w:rPr>
            </w:pPr>
            <w:r>
              <w:rPr>
                <w:rFonts w:eastAsia="MS Mincho"/>
              </w:rPr>
              <w:t>Cochrane Review</w:t>
            </w:r>
          </w:p>
          <w:p w:rsidR="00AE06E1" w:rsidRPr="001B3B7C" w:rsidRDefault="00AE06E1" w:rsidP="00125A1C">
            <w:pPr>
              <w:pStyle w:val="Tablewriting"/>
              <w:jc w:val="center"/>
              <w:rPr>
                <w:rFonts w:eastAsia="MS Mincho"/>
              </w:rPr>
            </w:pPr>
            <w:r>
              <w:rPr>
                <w:rFonts w:eastAsia="MS Mincho"/>
              </w:rPr>
              <w:t>(1 RCT)</w:t>
            </w:r>
          </w:p>
        </w:tc>
        <w:tc>
          <w:tcPr>
            <w:tcW w:w="1022" w:type="pct"/>
            <w:tcMar>
              <w:left w:w="28" w:type="dxa"/>
              <w:right w:w="28" w:type="dxa"/>
            </w:tcMar>
            <w:vAlign w:val="center"/>
          </w:tcPr>
          <w:p w:rsidR="00AE06E1" w:rsidRDefault="00AE06E1" w:rsidP="00125A1C">
            <w:pPr>
              <w:pStyle w:val="Tablewriting"/>
              <w:jc w:val="center"/>
              <w:rPr>
                <w:rFonts w:eastAsia="MS Mincho"/>
              </w:rPr>
            </w:pPr>
            <w:r>
              <w:rPr>
                <w:rFonts w:eastAsia="MS Mincho"/>
              </w:rPr>
              <w:t>18/147</w:t>
            </w:r>
          </w:p>
          <w:p w:rsidR="00AE06E1" w:rsidRPr="001B3B7C" w:rsidRDefault="00AE06E1" w:rsidP="00125A1C">
            <w:pPr>
              <w:pStyle w:val="Tablewriting"/>
              <w:jc w:val="center"/>
              <w:rPr>
                <w:rFonts w:eastAsia="MS Mincho"/>
              </w:rPr>
            </w:pPr>
            <w:r>
              <w:rPr>
                <w:rFonts w:eastAsia="MS Mincho"/>
              </w:rPr>
              <w:t>(12.2%)</w:t>
            </w:r>
          </w:p>
        </w:tc>
        <w:tc>
          <w:tcPr>
            <w:tcW w:w="944" w:type="pct"/>
            <w:tcMar>
              <w:left w:w="28" w:type="dxa"/>
              <w:right w:w="28" w:type="dxa"/>
            </w:tcMar>
            <w:vAlign w:val="center"/>
          </w:tcPr>
          <w:p w:rsidR="00AE06E1" w:rsidRDefault="00AE06E1" w:rsidP="00125A1C">
            <w:pPr>
              <w:pStyle w:val="Tablewriting"/>
              <w:jc w:val="center"/>
              <w:rPr>
                <w:rFonts w:eastAsia="MS Mincho"/>
              </w:rPr>
            </w:pPr>
            <w:r>
              <w:rPr>
                <w:rFonts w:eastAsia="MS Mincho"/>
              </w:rPr>
              <w:t>21/152</w:t>
            </w:r>
          </w:p>
          <w:p w:rsidR="00AE06E1" w:rsidRPr="001B3B7C" w:rsidRDefault="00AE06E1" w:rsidP="00125A1C">
            <w:pPr>
              <w:pStyle w:val="Tablewriting"/>
              <w:jc w:val="center"/>
              <w:rPr>
                <w:rFonts w:eastAsia="MS Mincho"/>
              </w:rPr>
            </w:pPr>
            <w:r>
              <w:rPr>
                <w:rFonts w:eastAsia="MS Mincho"/>
              </w:rPr>
              <w:t>(13.8%)</w:t>
            </w:r>
          </w:p>
        </w:tc>
        <w:tc>
          <w:tcPr>
            <w:tcW w:w="836" w:type="pct"/>
            <w:tcMar>
              <w:left w:w="28" w:type="dxa"/>
              <w:right w:w="28" w:type="dxa"/>
            </w:tcMar>
            <w:vAlign w:val="center"/>
          </w:tcPr>
          <w:p w:rsidR="00AE06E1" w:rsidRDefault="00AE06E1" w:rsidP="00125A1C">
            <w:pPr>
              <w:pStyle w:val="Tablewriting"/>
              <w:jc w:val="center"/>
              <w:rPr>
                <w:rFonts w:eastAsia="MS Mincho"/>
              </w:rPr>
            </w:pPr>
            <w:r>
              <w:rPr>
                <w:rFonts w:eastAsia="MS Mincho"/>
              </w:rPr>
              <w:t>0.89</w:t>
            </w:r>
          </w:p>
          <w:p w:rsidR="00AE06E1" w:rsidRPr="001B3B7C" w:rsidRDefault="00AE06E1" w:rsidP="00125A1C">
            <w:pPr>
              <w:pStyle w:val="Tablewriting"/>
              <w:jc w:val="center"/>
              <w:rPr>
                <w:rFonts w:eastAsia="MS Mincho"/>
              </w:rPr>
            </w:pPr>
            <w:r>
              <w:rPr>
                <w:rFonts w:eastAsia="MS Mincho"/>
              </w:rPr>
              <w:t>(0.49, 1.59)</w:t>
            </w:r>
          </w:p>
        </w:tc>
      </w:tr>
    </w:tbl>
    <w:p w:rsidR="00AE06E1" w:rsidRPr="00E72520" w:rsidRDefault="00AE06E1" w:rsidP="004D63D8">
      <w:pPr>
        <w:pStyle w:val="TableFooter"/>
      </w:pPr>
      <w:r w:rsidRPr="00E72520">
        <w:t>Source: Lindson et al. (2019)</w:t>
      </w:r>
    </w:p>
    <w:p w:rsidR="00AE06E1" w:rsidRPr="00E72520" w:rsidRDefault="00AE06E1" w:rsidP="004D63D8">
      <w:pPr>
        <w:pStyle w:val="TableFooter"/>
      </w:pPr>
      <w:r w:rsidRPr="00E72520">
        <w:t>Abbreviations: CI = confidence interval; NE = not estimable; RCT = randomised controlled trial; RD = risk difference; RR = risk ratio</w:t>
      </w:r>
      <w:r>
        <w:t>; SAEs = serious adverse events.</w:t>
      </w:r>
    </w:p>
    <w:p w:rsidR="00AE06E1" w:rsidRPr="006F1FEC" w:rsidRDefault="00AE06E1" w:rsidP="004D63D8">
      <w:pPr>
        <w:pStyle w:val="TableFooter"/>
      </w:pPr>
      <w:r w:rsidRPr="006F1FEC">
        <w:t xml:space="preserve">Notes: See Appendix </w:t>
      </w:r>
      <w:r w:rsidR="003C4A1C">
        <w:t xml:space="preserve">Figure </w:t>
      </w:r>
      <w:r w:rsidR="003C4A1C">
        <w:rPr>
          <w:noProof/>
        </w:rPr>
        <w:t>98</w:t>
      </w:r>
      <w:r>
        <w:t xml:space="preserve"> and </w:t>
      </w:r>
      <w:r w:rsidR="003C4A1C">
        <w:t xml:space="preserve">Figure </w:t>
      </w:r>
      <w:r w:rsidR="003C4A1C">
        <w:rPr>
          <w:noProof/>
        </w:rPr>
        <w:t>99</w:t>
      </w:r>
      <w:r w:rsidRPr="006F1FEC">
        <w:t xml:space="preserve"> for forest plots of the respective outcomes which included the results of individual studies.</w:t>
      </w:r>
    </w:p>
    <w:p w:rsidR="00AE06E1" w:rsidRPr="00AE06E1" w:rsidRDefault="00AE06E1" w:rsidP="004D63D8">
      <w:pPr>
        <w:pStyle w:val="TableFooter"/>
      </w:pPr>
      <w:r>
        <w:t>1</w:t>
      </w:r>
      <w:r w:rsidRPr="00432CC7">
        <w:t xml:space="preserve"> </w:t>
      </w:r>
      <w:r w:rsidRPr="00185B35">
        <w:t xml:space="preserve">Calculated </w:t>
      </w:r>
      <w:r>
        <w:t>by Cochrane Review authors</w:t>
      </w:r>
      <w:r w:rsidRPr="00185B35">
        <w:t xml:space="preserve"> using a fixed-effect model.</w:t>
      </w:r>
      <w:r>
        <w:t xml:space="preserve"> </w:t>
      </w:r>
    </w:p>
    <w:p w:rsidR="003370C1" w:rsidRPr="00332321" w:rsidRDefault="003370C1" w:rsidP="00D02475">
      <w:pPr>
        <w:pStyle w:val="Heading5"/>
        <w:numPr>
          <w:ilvl w:val="0"/>
          <w:numId w:val="0"/>
        </w:numPr>
        <w:rPr>
          <w:i w:val="0"/>
        </w:rPr>
      </w:pPr>
      <w:r w:rsidRPr="00C74B37">
        <w:t>Preloading versus standard use</w:t>
      </w:r>
    </w:p>
    <w:p w:rsidR="004D63D8" w:rsidRPr="004D63D8" w:rsidRDefault="004D63D8" w:rsidP="004D63D8">
      <w:pPr>
        <w:rPr>
          <w:u w:val="single"/>
        </w:rPr>
      </w:pPr>
      <w:r w:rsidRPr="004D63D8">
        <w:rPr>
          <w:u w:val="single"/>
        </w:rPr>
        <w:t>Efficacy</w:t>
      </w:r>
    </w:p>
    <w:p w:rsidR="00A631B4" w:rsidRDefault="003370C1" w:rsidP="003370C1">
      <w:pPr>
        <w:jc w:val="both"/>
      </w:pPr>
      <w:r w:rsidRPr="0037074A">
        <w:t>A summary of the smoking cessation rates f</w:t>
      </w:r>
      <w:r w:rsidR="00C623F4">
        <w:t>or</w:t>
      </w:r>
      <w:r w:rsidRPr="0037074A">
        <w:t xml:space="preserve"> at least six months follow-up </w:t>
      </w:r>
      <w:r w:rsidR="008A5E3D">
        <w:t xml:space="preserve">for preloading versus standard use of NRT </w:t>
      </w:r>
      <w:r w:rsidRPr="0037074A">
        <w:t>is presented in</w:t>
      </w:r>
      <w:r w:rsidR="00DE7819">
        <w:t xml:space="preserve"> </w:t>
      </w:r>
      <w:r w:rsidR="003C4A1C">
        <w:t xml:space="preserve">Table </w:t>
      </w:r>
      <w:r w:rsidR="003C4A1C">
        <w:rPr>
          <w:noProof/>
        </w:rPr>
        <w:t>100</w:t>
      </w:r>
      <w:r>
        <w:t xml:space="preserve">. </w:t>
      </w:r>
      <w:r w:rsidR="00A631B4">
        <w:t xml:space="preserve">Based on the </w:t>
      </w:r>
      <w:r w:rsidR="005E111B">
        <w:t>Cochrane Review</w:t>
      </w:r>
      <w:r w:rsidR="00A631B4">
        <w:t xml:space="preserve"> by Lindson et al. (2019), the</w:t>
      </w:r>
      <w:r w:rsidR="005E111B">
        <w:t xml:space="preserve"> results of the meta-analysis </w:t>
      </w:r>
      <w:r w:rsidR="00351F66">
        <w:t>demonstrated</w:t>
      </w:r>
      <w:r w:rsidR="008D7CE1">
        <w:t xml:space="preserve"> a significant</w:t>
      </w:r>
      <w:r w:rsidR="007C7D2A">
        <w:t xml:space="preserve">ly higher </w:t>
      </w:r>
      <w:r w:rsidR="0097103C">
        <w:t xml:space="preserve">rate of </w:t>
      </w:r>
      <w:r w:rsidR="0018458F">
        <w:t xml:space="preserve">smoking cessation </w:t>
      </w:r>
      <w:r w:rsidR="0097103C">
        <w:t>in the</w:t>
      </w:r>
      <w:r w:rsidR="0018458F">
        <w:t xml:space="preserve"> preloading </w:t>
      </w:r>
      <w:r w:rsidR="00B33A91">
        <w:t xml:space="preserve">use of NRT </w:t>
      </w:r>
      <w:r w:rsidR="0097103C">
        <w:t xml:space="preserve">compared with </w:t>
      </w:r>
      <w:r w:rsidR="00B82757">
        <w:t xml:space="preserve">standard use </w:t>
      </w:r>
      <w:r w:rsidR="007C7D2A">
        <w:t>of NRT.</w:t>
      </w:r>
      <w:r w:rsidR="008D7CE1">
        <w:t xml:space="preserve"> </w:t>
      </w:r>
      <w:r w:rsidR="006773F1">
        <w:t>However,</w:t>
      </w:r>
      <w:r w:rsidR="00231B6B">
        <w:t xml:space="preserve"> the results </w:t>
      </w:r>
      <w:r w:rsidR="00C438DA">
        <w:t xml:space="preserve">were only statistically significant in the </w:t>
      </w:r>
      <w:r w:rsidR="00D17D8C">
        <w:t xml:space="preserve">NRT </w:t>
      </w:r>
      <w:r w:rsidR="00573F59">
        <w:t>patches</w:t>
      </w:r>
      <w:r w:rsidR="00EE7C53">
        <w:t xml:space="preserve"> subgroup</w:t>
      </w:r>
      <w:r w:rsidR="00D17D8C">
        <w:t xml:space="preserve"> and not</w:t>
      </w:r>
      <w:r w:rsidR="00EE7C53">
        <w:t xml:space="preserve"> in the</w:t>
      </w:r>
      <w:r w:rsidR="00D17D8C">
        <w:t xml:space="preserve"> NRT gum or patch in combination with gum</w:t>
      </w:r>
      <w:r w:rsidR="00EE7C53">
        <w:t xml:space="preserve"> subgroups</w:t>
      </w:r>
      <w:r w:rsidR="00D17D8C">
        <w:t>.</w:t>
      </w:r>
    </w:p>
    <w:p w:rsidR="00513201" w:rsidRDefault="00513201" w:rsidP="003370C1">
      <w:pPr>
        <w:jc w:val="both"/>
      </w:pPr>
      <w:r>
        <w:t xml:space="preserve">The results of the updated re-analysis for the NRT </w:t>
      </w:r>
      <w:r w:rsidR="00573F59">
        <w:t>patches</w:t>
      </w:r>
      <w:r>
        <w:t xml:space="preserve"> subgroup were consistent with the results from Lindson et al. (2019) (RR: 1.32, 95% CI: 1.09, 1.58).</w:t>
      </w:r>
    </w:p>
    <w:p w:rsidR="00DE7819" w:rsidRDefault="00DE7819" w:rsidP="00DE7819">
      <w:pPr>
        <w:pStyle w:val="Caption"/>
        <w:keepNext/>
      </w:pPr>
      <w:bookmarkStart w:id="207" w:name="_Ref59701376"/>
      <w:r>
        <w:t xml:space="preserve">Table </w:t>
      </w:r>
      <w:r w:rsidR="003C4A1C">
        <w:rPr>
          <w:noProof/>
        </w:rPr>
        <w:t>100</w:t>
      </w:r>
      <w:bookmarkEnd w:id="207"/>
      <w:r>
        <w:t xml:space="preserve">: </w:t>
      </w:r>
      <w:r w:rsidRPr="00B57E0E">
        <w:t>Results of smoking cessation f</w:t>
      </w:r>
      <w:r w:rsidR="00C623F4">
        <w:t>or</w:t>
      </w:r>
      <w:r w:rsidRPr="00B57E0E">
        <w:t xml:space="preserve"> at least six months follow-up, preloading versus standard use</w:t>
      </w:r>
    </w:p>
    <w:tbl>
      <w:tblPr>
        <w:tblStyle w:val="TableGrid"/>
        <w:tblW w:w="5000" w:type="pct"/>
        <w:tblLook w:val="04A0" w:firstRow="1" w:lastRow="0" w:firstColumn="1" w:lastColumn="0" w:noHBand="0" w:noVBand="1"/>
        <w:tblCaption w:val="Efficacy results of adalimumab trials (PASI 75 and DLQI)"/>
      </w:tblPr>
      <w:tblGrid>
        <w:gridCol w:w="1128"/>
        <w:gridCol w:w="2128"/>
        <w:gridCol w:w="1416"/>
        <w:gridCol w:w="1345"/>
        <w:gridCol w:w="1535"/>
        <w:gridCol w:w="1464"/>
      </w:tblGrid>
      <w:tr w:rsidR="004B4235" w:rsidRPr="00061F78" w:rsidTr="001908E2">
        <w:trPr>
          <w:cantSplit/>
          <w:trHeight w:val="299"/>
          <w:tblHeader/>
        </w:trPr>
        <w:tc>
          <w:tcPr>
            <w:tcW w:w="626" w:type="pct"/>
            <w:shd w:val="clear" w:color="auto" w:fill="BFBFBF" w:themeFill="background1" w:themeFillShade="BF"/>
            <w:tcMar>
              <w:left w:w="28" w:type="dxa"/>
              <w:right w:w="28" w:type="dxa"/>
            </w:tcMar>
          </w:tcPr>
          <w:p w:rsidR="003370C1" w:rsidRPr="00061F78" w:rsidRDefault="003370C1" w:rsidP="00A92524">
            <w:pPr>
              <w:pStyle w:val="Tableheading"/>
              <w:rPr>
                <w:rFonts w:eastAsia="MS Mincho"/>
              </w:rPr>
            </w:pPr>
            <w:r>
              <w:rPr>
                <w:rFonts w:eastAsia="MS Mincho"/>
              </w:rPr>
              <w:t>Study</w:t>
            </w:r>
          </w:p>
        </w:tc>
        <w:tc>
          <w:tcPr>
            <w:tcW w:w="1180" w:type="pct"/>
            <w:shd w:val="clear" w:color="auto" w:fill="BFBFBF" w:themeFill="background1" w:themeFillShade="BF"/>
            <w:vAlign w:val="center"/>
          </w:tcPr>
          <w:p w:rsidR="003370C1" w:rsidRDefault="003370C1" w:rsidP="00A92524">
            <w:pPr>
              <w:pStyle w:val="Tableheading"/>
              <w:jc w:val="center"/>
              <w:rPr>
                <w:rFonts w:eastAsia="MS Mincho"/>
              </w:rPr>
            </w:pPr>
            <w:r>
              <w:rPr>
                <w:rFonts w:eastAsia="MS Mincho"/>
              </w:rPr>
              <w:t>Study type</w:t>
            </w:r>
          </w:p>
        </w:tc>
        <w:tc>
          <w:tcPr>
            <w:tcW w:w="785" w:type="pct"/>
            <w:shd w:val="clear" w:color="auto" w:fill="BFBFBF" w:themeFill="background1" w:themeFillShade="BF"/>
            <w:tcMar>
              <w:left w:w="28" w:type="dxa"/>
              <w:right w:w="28" w:type="dxa"/>
            </w:tcMar>
            <w:vAlign w:val="center"/>
          </w:tcPr>
          <w:p w:rsidR="003370C1" w:rsidRPr="00061F78" w:rsidRDefault="003370C1" w:rsidP="00A92524">
            <w:pPr>
              <w:pStyle w:val="Tableheading"/>
              <w:jc w:val="center"/>
              <w:rPr>
                <w:rFonts w:eastAsia="MS Mincho"/>
              </w:rPr>
            </w:pPr>
            <w:r>
              <w:rPr>
                <w:rFonts w:eastAsia="MS Mincho"/>
              </w:rPr>
              <w:t>P</w:t>
            </w:r>
            <w:r w:rsidRPr="005D23B3">
              <w:rPr>
                <w:rFonts w:eastAsia="MS Mincho"/>
              </w:rPr>
              <w:t>reloading</w:t>
            </w:r>
          </w:p>
        </w:tc>
        <w:tc>
          <w:tcPr>
            <w:tcW w:w="746" w:type="pct"/>
            <w:shd w:val="clear" w:color="auto" w:fill="BFBFBF" w:themeFill="background1" w:themeFillShade="BF"/>
            <w:tcMar>
              <w:left w:w="28" w:type="dxa"/>
              <w:right w:w="28" w:type="dxa"/>
            </w:tcMar>
            <w:vAlign w:val="center"/>
          </w:tcPr>
          <w:p w:rsidR="003370C1" w:rsidRPr="00061F78" w:rsidRDefault="003370C1" w:rsidP="00A92524">
            <w:pPr>
              <w:pStyle w:val="Tableheading"/>
              <w:jc w:val="center"/>
              <w:rPr>
                <w:rFonts w:eastAsia="MS Mincho"/>
              </w:rPr>
            </w:pPr>
            <w:r>
              <w:rPr>
                <w:rFonts w:eastAsia="MS Mincho"/>
              </w:rPr>
              <w:t>S</w:t>
            </w:r>
            <w:r w:rsidRPr="002B3464">
              <w:rPr>
                <w:rFonts w:eastAsia="MS Mincho"/>
              </w:rPr>
              <w:t>tandard use</w:t>
            </w:r>
          </w:p>
        </w:tc>
        <w:tc>
          <w:tcPr>
            <w:tcW w:w="851" w:type="pct"/>
            <w:shd w:val="clear" w:color="auto" w:fill="BFBFBF" w:themeFill="background1" w:themeFillShade="BF"/>
            <w:tcMar>
              <w:left w:w="28" w:type="dxa"/>
              <w:right w:w="28" w:type="dxa"/>
            </w:tcMar>
            <w:vAlign w:val="center"/>
          </w:tcPr>
          <w:p w:rsidR="003370C1" w:rsidRPr="002D09A1" w:rsidRDefault="003370C1" w:rsidP="00A92524">
            <w:pPr>
              <w:pStyle w:val="Tableheading"/>
              <w:jc w:val="center"/>
              <w:rPr>
                <w:rFonts w:eastAsia="MS Mincho"/>
                <w:vertAlign w:val="superscript"/>
              </w:rPr>
            </w:pPr>
            <w:r>
              <w:rPr>
                <w:rFonts w:eastAsia="MS Mincho"/>
              </w:rPr>
              <w:t>RR (95% CI)</w:t>
            </w:r>
          </w:p>
        </w:tc>
        <w:tc>
          <w:tcPr>
            <w:tcW w:w="812" w:type="pct"/>
            <w:shd w:val="clear" w:color="auto" w:fill="BFBFBF" w:themeFill="background1" w:themeFillShade="BF"/>
            <w:vAlign w:val="center"/>
          </w:tcPr>
          <w:p w:rsidR="003370C1" w:rsidRDefault="003370C1" w:rsidP="00A92524">
            <w:pPr>
              <w:pStyle w:val="Tableheading"/>
              <w:jc w:val="center"/>
              <w:rPr>
                <w:rFonts w:eastAsia="MS Mincho"/>
              </w:rPr>
            </w:pPr>
            <w:r>
              <w:rPr>
                <w:rFonts w:eastAsia="MS Mincho"/>
              </w:rPr>
              <w:t>RD (95% CI)</w:t>
            </w:r>
            <w:r w:rsidRPr="0041240E">
              <w:rPr>
                <w:rFonts w:eastAsia="MS Mincho"/>
                <w:vertAlign w:val="superscript"/>
              </w:rPr>
              <w:t>^</w:t>
            </w:r>
          </w:p>
        </w:tc>
      </w:tr>
      <w:tr w:rsidR="003370C1" w:rsidRPr="00061F78" w:rsidTr="00A5263B">
        <w:trPr>
          <w:cantSplit/>
          <w:trHeight w:val="99"/>
        </w:trPr>
        <w:tc>
          <w:tcPr>
            <w:tcW w:w="5000" w:type="pct"/>
            <w:gridSpan w:val="6"/>
            <w:shd w:val="clear" w:color="auto" w:fill="auto"/>
            <w:tcMar>
              <w:left w:w="28" w:type="dxa"/>
              <w:right w:w="28" w:type="dxa"/>
            </w:tcMar>
          </w:tcPr>
          <w:p w:rsidR="003370C1" w:rsidRPr="00FC0ADE" w:rsidRDefault="003370C1" w:rsidP="00A92524">
            <w:pPr>
              <w:pStyle w:val="Tablewriting"/>
              <w:rPr>
                <w:rFonts w:eastAsia="MS Mincho"/>
                <w:b/>
                <w:bCs/>
                <w:highlight w:val="yellow"/>
              </w:rPr>
            </w:pPr>
            <w:r w:rsidRPr="00FC0ADE">
              <w:rPr>
                <w:rFonts w:eastAsia="MS Mincho"/>
                <w:b/>
                <w:bCs/>
              </w:rPr>
              <w:t xml:space="preserve">Patch </w:t>
            </w:r>
            <w:r w:rsidR="00FC0ADE">
              <w:rPr>
                <w:rFonts w:eastAsia="MS Mincho"/>
                <w:b/>
                <w:bCs/>
              </w:rPr>
              <w:t>subgroup</w:t>
            </w:r>
          </w:p>
        </w:tc>
      </w:tr>
      <w:tr w:rsidR="003370C1" w:rsidRPr="00061F78" w:rsidTr="001908E2">
        <w:trPr>
          <w:cantSplit/>
          <w:trHeight w:val="99"/>
        </w:trPr>
        <w:tc>
          <w:tcPr>
            <w:tcW w:w="626" w:type="pct"/>
            <w:shd w:val="clear" w:color="auto" w:fill="auto"/>
            <w:tcMar>
              <w:left w:w="28" w:type="dxa"/>
              <w:right w:w="28" w:type="dxa"/>
            </w:tcMar>
            <w:vAlign w:val="center"/>
          </w:tcPr>
          <w:p w:rsidR="003370C1" w:rsidRPr="004F4CAF" w:rsidRDefault="00FD5A27" w:rsidP="00A92524">
            <w:pPr>
              <w:pStyle w:val="Tablewriting"/>
              <w:rPr>
                <w:rFonts w:eastAsia="MS Mincho"/>
                <w:highlight w:val="yellow"/>
                <w:vertAlign w:val="superscript"/>
              </w:rPr>
            </w:pPr>
            <w:r>
              <w:rPr>
                <w:rFonts w:eastAsia="MS Mincho"/>
              </w:rPr>
              <w:t>Lindson (2019)</w:t>
            </w:r>
            <w:r w:rsidR="004F4CAF">
              <w:rPr>
                <w:rFonts w:eastAsia="MS Mincho"/>
                <w:vertAlign w:val="superscript"/>
              </w:rPr>
              <w:t>1</w:t>
            </w:r>
          </w:p>
        </w:tc>
        <w:tc>
          <w:tcPr>
            <w:tcW w:w="1180" w:type="pct"/>
            <w:shd w:val="clear" w:color="auto" w:fill="auto"/>
            <w:vAlign w:val="center"/>
          </w:tcPr>
          <w:p w:rsidR="00FD5A27" w:rsidRDefault="00FD5A27" w:rsidP="00A92524">
            <w:pPr>
              <w:pStyle w:val="Tablewriting"/>
              <w:jc w:val="center"/>
              <w:rPr>
                <w:rFonts w:eastAsia="MS Mincho"/>
              </w:rPr>
            </w:pPr>
            <w:r>
              <w:rPr>
                <w:rFonts w:eastAsia="MS Mincho"/>
              </w:rPr>
              <w:t>Cochrane Review</w:t>
            </w:r>
          </w:p>
          <w:p w:rsidR="003370C1" w:rsidRPr="00A22F63" w:rsidRDefault="00FD5A27" w:rsidP="00A92524">
            <w:pPr>
              <w:pStyle w:val="Tablewriting"/>
              <w:jc w:val="center"/>
              <w:rPr>
                <w:rFonts w:eastAsia="MS Mincho"/>
              </w:rPr>
            </w:pPr>
            <w:r>
              <w:rPr>
                <w:rFonts w:eastAsia="MS Mincho"/>
              </w:rPr>
              <w:t xml:space="preserve">(8 </w:t>
            </w:r>
            <w:r w:rsidR="003370C1" w:rsidRPr="00A22F63">
              <w:rPr>
                <w:rFonts w:eastAsia="MS Mincho"/>
              </w:rPr>
              <w:t>RCT</w:t>
            </w:r>
            <w:r>
              <w:rPr>
                <w:rFonts w:eastAsia="MS Mincho"/>
              </w:rPr>
              <w:t>s)</w:t>
            </w:r>
          </w:p>
        </w:tc>
        <w:tc>
          <w:tcPr>
            <w:tcW w:w="785" w:type="pct"/>
            <w:shd w:val="clear" w:color="auto" w:fill="auto"/>
            <w:tcMar>
              <w:left w:w="28" w:type="dxa"/>
              <w:right w:w="28" w:type="dxa"/>
            </w:tcMar>
            <w:vAlign w:val="center"/>
          </w:tcPr>
          <w:p w:rsidR="003370C1" w:rsidRDefault="00AB1378" w:rsidP="00A92524">
            <w:pPr>
              <w:pStyle w:val="Tablewriting"/>
              <w:jc w:val="center"/>
              <w:rPr>
                <w:rFonts w:eastAsia="MS Mincho"/>
              </w:rPr>
            </w:pPr>
            <w:r>
              <w:rPr>
                <w:rFonts w:eastAsia="MS Mincho"/>
              </w:rPr>
              <w:t>337/1,988</w:t>
            </w:r>
          </w:p>
          <w:p w:rsidR="003370C1" w:rsidRPr="00571B3B" w:rsidRDefault="00AB1378" w:rsidP="00A92524">
            <w:pPr>
              <w:pStyle w:val="Tablewriting"/>
              <w:jc w:val="center"/>
              <w:rPr>
                <w:rFonts w:eastAsia="MS Mincho"/>
              </w:rPr>
            </w:pPr>
            <w:r>
              <w:rPr>
                <w:rFonts w:eastAsia="MS Mincho"/>
              </w:rPr>
              <w:t>(</w:t>
            </w:r>
            <w:r w:rsidR="0008509E">
              <w:rPr>
                <w:rFonts w:eastAsia="MS Mincho"/>
              </w:rPr>
              <w:t>17</w:t>
            </w:r>
            <w:r>
              <w:rPr>
                <w:rFonts w:eastAsia="MS Mincho"/>
              </w:rPr>
              <w:t>%)</w:t>
            </w:r>
          </w:p>
        </w:tc>
        <w:tc>
          <w:tcPr>
            <w:tcW w:w="746" w:type="pct"/>
            <w:shd w:val="clear" w:color="auto" w:fill="auto"/>
            <w:tcMar>
              <w:left w:w="28" w:type="dxa"/>
              <w:right w:w="28" w:type="dxa"/>
            </w:tcMar>
            <w:vAlign w:val="center"/>
          </w:tcPr>
          <w:p w:rsidR="003370C1" w:rsidRDefault="00AB1378" w:rsidP="00A92524">
            <w:pPr>
              <w:pStyle w:val="Tablewriting"/>
              <w:jc w:val="center"/>
              <w:rPr>
                <w:rFonts w:eastAsia="MS Mincho"/>
              </w:rPr>
            </w:pPr>
            <w:r>
              <w:rPr>
                <w:rFonts w:eastAsia="MS Mincho"/>
              </w:rPr>
              <w:t>235/1,842</w:t>
            </w:r>
          </w:p>
          <w:p w:rsidR="003370C1" w:rsidRPr="00571B3B" w:rsidRDefault="00AB1378" w:rsidP="00A92524">
            <w:pPr>
              <w:pStyle w:val="Tablewriting"/>
              <w:jc w:val="center"/>
              <w:rPr>
                <w:rFonts w:eastAsia="MS Mincho"/>
              </w:rPr>
            </w:pPr>
            <w:r>
              <w:rPr>
                <w:rFonts w:eastAsia="MS Mincho"/>
              </w:rPr>
              <w:t>(</w:t>
            </w:r>
            <w:r w:rsidR="0008509E">
              <w:rPr>
                <w:rFonts w:eastAsia="MS Mincho"/>
              </w:rPr>
              <w:t>12.8</w:t>
            </w:r>
            <w:r>
              <w:rPr>
                <w:rFonts w:eastAsia="MS Mincho"/>
              </w:rPr>
              <w:t>%)</w:t>
            </w:r>
          </w:p>
        </w:tc>
        <w:tc>
          <w:tcPr>
            <w:tcW w:w="851" w:type="pct"/>
            <w:shd w:val="clear" w:color="auto" w:fill="auto"/>
            <w:tcMar>
              <w:left w:w="28" w:type="dxa"/>
              <w:right w:w="28" w:type="dxa"/>
            </w:tcMar>
            <w:vAlign w:val="center"/>
          </w:tcPr>
          <w:p w:rsidR="00FD5A27" w:rsidRDefault="00FD5A27" w:rsidP="00A92524">
            <w:pPr>
              <w:pStyle w:val="Tablewriting"/>
              <w:jc w:val="center"/>
              <w:rPr>
                <w:rFonts w:eastAsia="MS Mincho"/>
                <w:b/>
                <w:bCs/>
              </w:rPr>
            </w:pPr>
            <w:r w:rsidRPr="000175FC">
              <w:rPr>
                <w:rFonts w:eastAsia="MS Mincho"/>
                <w:b/>
                <w:bCs/>
              </w:rPr>
              <w:t xml:space="preserve">1.28 </w:t>
            </w:r>
          </w:p>
          <w:p w:rsidR="003370C1" w:rsidRPr="000175FC" w:rsidRDefault="00FD5A27" w:rsidP="00A92524">
            <w:pPr>
              <w:pStyle w:val="Tablewriting"/>
              <w:jc w:val="center"/>
              <w:rPr>
                <w:rFonts w:eastAsia="MS Mincho"/>
              </w:rPr>
            </w:pPr>
            <w:r w:rsidRPr="000175FC">
              <w:rPr>
                <w:rFonts w:eastAsia="MS Mincho"/>
                <w:b/>
                <w:bCs/>
              </w:rPr>
              <w:t>(1.09, 1.49)</w:t>
            </w:r>
          </w:p>
        </w:tc>
        <w:tc>
          <w:tcPr>
            <w:tcW w:w="812" w:type="pct"/>
            <w:shd w:val="clear" w:color="auto" w:fill="auto"/>
            <w:vAlign w:val="center"/>
          </w:tcPr>
          <w:p w:rsidR="003370C1" w:rsidRPr="005D18BC" w:rsidRDefault="008F5557" w:rsidP="00A92524">
            <w:pPr>
              <w:pStyle w:val="Tablewriting"/>
              <w:jc w:val="center"/>
              <w:rPr>
                <w:rFonts w:eastAsia="MS Mincho"/>
                <w:highlight w:val="yellow"/>
              </w:rPr>
            </w:pPr>
            <w:r w:rsidRPr="004F4CAF">
              <w:rPr>
                <w:rFonts w:eastAsia="MS Mincho"/>
              </w:rPr>
              <w:t>NR</w:t>
            </w:r>
          </w:p>
        </w:tc>
      </w:tr>
      <w:tr w:rsidR="008F5557" w:rsidRPr="00061F78" w:rsidTr="001908E2">
        <w:trPr>
          <w:cantSplit/>
          <w:trHeight w:val="99"/>
        </w:trPr>
        <w:tc>
          <w:tcPr>
            <w:tcW w:w="626" w:type="pct"/>
            <w:shd w:val="clear" w:color="auto" w:fill="auto"/>
            <w:tcMar>
              <w:left w:w="28" w:type="dxa"/>
              <w:right w:w="28" w:type="dxa"/>
            </w:tcMar>
            <w:vAlign w:val="center"/>
          </w:tcPr>
          <w:p w:rsidR="00264FAB" w:rsidRDefault="001908E2" w:rsidP="00A92524">
            <w:pPr>
              <w:pStyle w:val="Tablewriting"/>
            </w:pPr>
            <w:r>
              <w:lastRenderedPageBreak/>
              <w:t xml:space="preserve">Updated </w:t>
            </w:r>
          </w:p>
          <w:p w:rsidR="008F5557" w:rsidRPr="00B8568D" w:rsidRDefault="001908E2" w:rsidP="00A92524">
            <w:pPr>
              <w:pStyle w:val="Tablewriting"/>
              <w:rPr>
                <w:rFonts w:eastAsia="MS Mincho"/>
                <w:vertAlign w:val="superscript"/>
              </w:rPr>
            </w:pPr>
            <w:r>
              <w:t>re-analysis</w:t>
            </w:r>
            <w:r w:rsidR="00B8568D">
              <w:rPr>
                <w:vertAlign w:val="superscript"/>
              </w:rPr>
              <w:t>2</w:t>
            </w:r>
          </w:p>
        </w:tc>
        <w:tc>
          <w:tcPr>
            <w:tcW w:w="1180" w:type="pct"/>
            <w:shd w:val="clear" w:color="auto" w:fill="auto"/>
            <w:vAlign w:val="center"/>
          </w:tcPr>
          <w:p w:rsidR="008F5557" w:rsidRDefault="001908E2" w:rsidP="00A92524">
            <w:pPr>
              <w:pStyle w:val="Tablewriting"/>
              <w:jc w:val="center"/>
              <w:rPr>
                <w:rFonts w:eastAsia="MS Mincho"/>
              </w:rPr>
            </w:pPr>
            <w:r>
              <w:rPr>
                <w:rFonts w:eastAsia="MS Mincho"/>
              </w:rPr>
              <w:t>Lindson 2019 (8 RCTs) and Dedert 2018</w:t>
            </w:r>
          </w:p>
        </w:tc>
        <w:tc>
          <w:tcPr>
            <w:tcW w:w="785" w:type="pct"/>
            <w:shd w:val="clear" w:color="auto" w:fill="auto"/>
            <w:tcMar>
              <w:left w:w="28" w:type="dxa"/>
              <w:right w:w="28" w:type="dxa"/>
            </w:tcMar>
            <w:vAlign w:val="center"/>
          </w:tcPr>
          <w:p w:rsidR="008F5557" w:rsidRDefault="006312EE" w:rsidP="00A92524">
            <w:pPr>
              <w:pStyle w:val="Tablewriting"/>
              <w:jc w:val="center"/>
              <w:rPr>
                <w:rFonts w:eastAsia="MS Mincho"/>
              </w:rPr>
            </w:pPr>
            <w:r>
              <w:rPr>
                <w:rFonts w:eastAsia="MS Mincho"/>
              </w:rPr>
              <w:t>343/2,025</w:t>
            </w:r>
          </w:p>
          <w:p w:rsidR="008F5557" w:rsidRPr="00571B3B" w:rsidRDefault="001908E2" w:rsidP="00A92524">
            <w:pPr>
              <w:pStyle w:val="Tablewriting"/>
              <w:jc w:val="center"/>
              <w:rPr>
                <w:rFonts w:eastAsia="MS Mincho"/>
              </w:rPr>
            </w:pPr>
            <w:r>
              <w:rPr>
                <w:rFonts w:eastAsia="MS Mincho"/>
              </w:rPr>
              <w:t>(</w:t>
            </w:r>
            <w:r w:rsidR="0008509E">
              <w:rPr>
                <w:rFonts w:eastAsia="MS Mincho"/>
              </w:rPr>
              <w:t>16.9</w:t>
            </w:r>
            <w:r>
              <w:rPr>
                <w:rFonts w:eastAsia="MS Mincho"/>
              </w:rPr>
              <w:t>%)</w:t>
            </w:r>
          </w:p>
        </w:tc>
        <w:tc>
          <w:tcPr>
            <w:tcW w:w="746" w:type="pct"/>
            <w:shd w:val="clear" w:color="auto" w:fill="auto"/>
            <w:tcMar>
              <w:left w:w="28" w:type="dxa"/>
              <w:right w:w="28" w:type="dxa"/>
            </w:tcMar>
            <w:vAlign w:val="center"/>
          </w:tcPr>
          <w:p w:rsidR="006312EE" w:rsidRDefault="006312EE" w:rsidP="00A92524">
            <w:pPr>
              <w:pStyle w:val="Tablewriting"/>
              <w:jc w:val="center"/>
              <w:rPr>
                <w:rFonts w:eastAsia="MS Mincho"/>
              </w:rPr>
            </w:pPr>
            <w:r>
              <w:rPr>
                <w:rFonts w:eastAsia="MS Mincho"/>
              </w:rPr>
              <w:t>236/1,886</w:t>
            </w:r>
          </w:p>
          <w:p w:rsidR="008F5557" w:rsidRPr="00571B3B" w:rsidRDefault="001908E2" w:rsidP="00A92524">
            <w:pPr>
              <w:pStyle w:val="Tablewriting"/>
              <w:jc w:val="center"/>
              <w:rPr>
                <w:rFonts w:eastAsia="MS Mincho"/>
              </w:rPr>
            </w:pPr>
            <w:r>
              <w:rPr>
                <w:rFonts w:eastAsia="MS Mincho"/>
              </w:rPr>
              <w:t>(</w:t>
            </w:r>
            <w:r w:rsidR="00CB232C">
              <w:rPr>
                <w:rFonts w:eastAsia="MS Mincho"/>
              </w:rPr>
              <w:t>12.5</w:t>
            </w:r>
            <w:r>
              <w:rPr>
                <w:rFonts w:eastAsia="MS Mincho"/>
              </w:rPr>
              <w:t>%)</w:t>
            </w:r>
          </w:p>
        </w:tc>
        <w:tc>
          <w:tcPr>
            <w:tcW w:w="851" w:type="pct"/>
            <w:shd w:val="clear" w:color="auto" w:fill="auto"/>
            <w:tcMar>
              <w:left w:w="28" w:type="dxa"/>
              <w:right w:w="28" w:type="dxa"/>
            </w:tcMar>
            <w:vAlign w:val="center"/>
          </w:tcPr>
          <w:p w:rsidR="001908E2" w:rsidRDefault="006312EE" w:rsidP="00A92524">
            <w:pPr>
              <w:pStyle w:val="Tablewriting"/>
              <w:jc w:val="center"/>
              <w:rPr>
                <w:rFonts w:eastAsia="MS Mincho"/>
                <w:b/>
                <w:bCs/>
              </w:rPr>
            </w:pPr>
            <w:r>
              <w:rPr>
                <w:rFonts w:eastAsia="MS Mincho"/>
                <w:b/>
                <w:bCs/>
              </w:rPr>
              <w:t>1.32</w:t>
            </w:r>
          </w:p>
          <w:p w:rsidR="008F5557" w:rsidRPr="000175FC" w:rsidRDefault="006312EE" w:rsidP="00A92524">
            <w:pPr>
              <w:pStyle w:val="Tablewriting"/>
              <w:jc w:val="center"/>
              <w:rPr>
                <w:rFonts w:eastAsia="MS Mincho"/>
                <w:b/>
                <w:bCs/>
              </w:rPr>
            </w:pPr>
            <w:r>
              <w:rPr>
                <w:rFonts w:eastAsia="MS Mincho"/>
                <w:b/>
                <w:bCs/>
              </w:rPr>
              <w:t>(1.09, 1.58)</w:t>
            </w:r>
          </w:p>
        </w:tc>
        <w:tc>
          <w:tcPr>
            <w:tcW w:w="812" w:type="pct"/>
            <w:shd w:val="clear" w:color="auto" w:fill="auto"/>
            <w:vAlign w:val="center"/>
          </w:tcPr>
          <w:p w:rsidR="001908E2" w:rsidRPr="00C410FF" w:rsidRDefault="00C410FF" w:rsidP="00A92524">
            <w:pPr>
              <w:pStyle w:val="Tablewriting"/>
              <w:jc w:val="center"/>
              <w:rPr>
                <w:rFonts w:eastAsia="MS Mincho"/>
                <w:b/>
                <w:bCs/>
              </w:rPr>
            </w:pPr>
            <w:r w:rsidRPr="00C410FF">
              <w:rPr>
                <w:rFonts w:eastAsia="MS Mincho"/>
                <w:b/>
                <w:bCs/>
              </w:rPr>
              <w:t>0.04</w:t>
            </w:r>
          </w:p>
          <w:p w:rsidR="008F5557" w:rsidRPr="005D18BC" w:rsidRDefault="00C410FF" w:rsidP="00A92524">
            <w:pPr>
              <w:pStyle w:val="Tablewriting"/>
              <w:jc w:val="center"/>
              <w:rPr>
                <w:rFonts w:eastAsia="MS Mincho"/>
                <w:highlight w:val="yellow"/>
              </w:rPr>
            </w:pPr>
            <w:r w:rsidRPr="00C410FF">
              <w:rPr>
                <w:rFonts w:eastAsia="MS Mincho"/>
                <w:b/>
                <w:bCs/>
              </w:rPr>
              <w:t>(0.01, 0.05)</w:t>
            </w:r>
          </w:p>
        </w:tc>
      </w:tr>
      <w:tr w:rsidR="003370C1" w:rsidRPr="00061F78" w:rsidTr="00A5263B">
        <w:trPr>
          <w:cantSplit/>
          <w:trHeight w:val="99"/>
        </w:trPr>
        <w:tc>
          <w:tcPr>
            <w:tcW w:w="5000" w:type="pct"/>
            <w:gridSpan w:val="6"/>
            <w:shd w:val="clear" w:color="auto" w:fill="auto"/>
            <w:tcMar>
              <w:left w:w="28" w:type="dxa"/>
              <w:right w:w="28" w:type="dxa"/>
            </w:tcMar>
            <w:vAlign w:val="center"/>
          </w:tcPr>
          <w:p w:rsidR="003370C1" w:rsidRPr="00FC0ADE" w:rsidRDefault="003370C1" w:rsidP="00A92524">
            <w:pPr>
              <w:pStyle w:val="Tablewriting"/>
              <w:rPr>
                <w:rFonts w:eastAsia="MS Mincho"/>
                <w:b/>
                <w:bCs/>
                <w:highlight w:val="yellow"/>
              </w:rPr>
            </w:pPr>
            <w:r w:rsidRPr="00FC0ADE">
              <w:rPr>
                <w:rFonts w:eastAsia="MS Mincho"/>
                <w:b/>
                <w:bCs/>
              </w:rPr>
              <w:t xml:space="preserve">Gum </w:t>
            </w:r>
            <w:r w:rsidR="00FC0ADE">
              <w:rPr>
                <w:rFonts w:eastAsia="MS Mincho"/>
                <w:b/>
                <w:bCs/>
              </w:rPr>
              <w:t>subgroup</w:t>
            </w:r>
          </w:p>
        </w:tc>
      </w:tr>
      <w:tr w:rsidR="003370C1" w:rsidRPr="00061F78" w:rsidTr="001908E2">
        <w:trPr>
          <w:cantSplit/>
          <w:trHeight w:val="99"/>
        </w:trPr>
        <w:tc>
          <w:tcPr>
            <w:tcW w:w="626" w:type="pct"/>
            <w:shd w:val="clear" w:color="auto" w:fill="auto"/>
            <w:tcMar>
              <w:left w:w="28" w:type="dxa"/>
              <w:right w:w="28" w:type="dxa"/>
            </w:tcMar>
            <w:vAlign w:val="center"/>
          </w:tcPr>
          <w:p w:rsidR="003370C1" w:rsidRPr="00B8568D" w:rsidRDefault="00FD5A27" w:rsidP="00A92524">
            <w:pPr>
              <w:pStyle w:val="Tablewriting"/>
              <w:rPr>
                <w:rFonts w:eastAsia="MS Mincho"/>
                <w:highlight w:val="yellow"/>
                <w:vertAlign w:val="superscript"/>
              </w:rPr>
            </w:pPr>
            <w:r>
              <w:rPr>
                <w:rFonts w:eastAsia="MS Mincho"/>
              </w:rPr>
              <w:t>Lindson (2019)</w:t>
            </w:r>
            <w:r w:rsidR="00B8568D">
              <w:rPr>
                <w:rFonts w:eastAsia="MS Mincho"/>
                <w:vertAlign w:val="superscript"/>
              </w:rPr>
              <w:t>1</w:t>
            </w:r>
          </w:p>
        </w:tc>
        <w:tc>
          <w:tcPr>
            <w:tcW w:w="1180" w:type="pct"/>
            <w:shd w:val="clear" w:color="auto" w:fill="auto"/>
            <w:vAlign w:val="center"/>
          </w:tcPr>
          <w:p w:rsidR="00FD5A27" w:rsidRDefault="00FD5A27" w:rsidP="00A92524">
            <w:pPr>
              <w:pStyle w:val="Tablewriting"/>
              <w:jc w:val="center"/>
              <w:rPr>
                <w:rFonts w:eastAsia="MS Mincho"/>
              </w:rPr>
            </w:pPr>
            <w:r>
              <w:rPr>
                <w:rFonts w:eastAsia="MS Mincho"/>
              </w:rPr>
              <w:t>Cochrane Review</w:t>
            </w:r>
          </w:p>
          <w:p w:rsidR="003370C1" w:rsidRPr="00A22F63" w:rsidRDefault="00FD5A27" w:rsidP="00A92524">
            <w:pPr>
              <w:pStyle w:val="Tablewriting"/>
              <w:jc w:val="center"/>
              <w:rPr>
                <w:rFonts w:eastAsia="MS Mincho"/>
              </w:rPr>
            </w:pPr>
            <w:r>
              <w:rPr>
                <w:rFonts w:eastAsia="MS Mincho"/>
              </w:rPr>
              <w:t xml:space="preserve">(2 </w:t>
            </w:r>
            <w:r w:rsidRPr="00A22F63">
              <w:rPr>
                <w:rFonts w:eastAsia="MS Mincho"/>
              </w:rPr>
              <w:t>RCT</w:t>
            </w:r>
            <w:r>
              <w:rPr>
                <w:rFonts w:eastAsia="MS Mincho"/>
              </w:rPr>
              <w:t>s)</w:t>
            </w:r>
          </w:p>
        </w:tc>
        <w:tc>
          <w:tcPr>
            <w:tcW w:w="785" w:type="pct"/>
            <w:shd w:val="clear" w:color="auto" w:fill="auto"/>
            <w:tcMar>
              <w:left w:w="28" w:type="dxa"/>
              <w:right w:w="28" w:type="dxa"/>
            </w:tcMar>
            <w:vAlign w:val="center"/>
          </w:tcPr>
          <w:p w:rsidR="00FD5A27" w:rsidRDefault="00AB1378" w:rsidP="00A92524">
            <w:pPr>
              <w:pStyle w:val="Tablewriting"/>
              <w:jc w:val="center"/>
              <w:rPr>
                <w:rFonts w:eastAsia="MS Mincho"/>
              </w:rPr>
            </w:pPr>
            <w:r>
              <w:rPr>
                <w:rFonts w:eastAsia="MS Mincho"/>
              </w:rPr>
              <w:t>50/199</w:t>
            </w:r>
          </w:p>
          <w:p w:rsidR="003370C1" w:rsidRPr="00571B3B" w:rsidRDefault="00AB1378" w:rsidP="00A92524">
            <w:pPr>
              <w:pStyle w:val="Tablewriting"/>
              <w:jc w:val="center"/>
              <w:rPr>
                <w:rFonts w:eastAsia="MS Mincho"/>
              </w:rPr>
            </w:pPr>
            <w:r>
              <w:rPr>
                <w:rFonts w:eastAsia="MS Mincho"/>
              </w:rPr>
              <w:t>(</w:t>
            </w:r>
            <w:r w:rsidR="00CB232C">
              <w:rPr>
                <w:rFonts w:eastAsia="MS Mincho"/>
              </w:rPr>
              <w:t>25.1</w:t>
            </w:r>
            <w:r>
              <w:rPr>
                <w:rFonts w:eastAsia="MS Mincho"/>
              </w:rPr>
              <w:t>%)</w:t>
            </w:r>
          </w:p>
        </w:tc>
        <w:tc>
          <w:tcPr>
            <w:tcW w:w="746" w:type="pct"/>
            <w:shd w:val="clear" w:color="auto" w:fill="auto"/>
            <w:tcMar>
              <w:left w:w="28" w:type="dxa"/>
              <w:right w:w="28" w:type="dxa"/>
            </w:tcMar>
            <w:vAlign w:val="center"/>
          </w:tcPr>
          <w:p w:rsidR="00FD5A27" w:rsidRDefault="00AB1378" w:rsidP="00A92524">
            <w:pPr>
              <w:pStyle w:val="Tablewriting"/>
              <w:jc w:val="center"/>
              <w:rPr>
                <w:rFonts w:eastAsia="MS Mincho"/>
              </w:rPr>
            </w:pPr>
            <w:r>
              <w:rPr>
                <w:rFonts w:eastAsia="MS Mincho"/>
              </w:rPr>
              <w:t>26/107</w:t>
            </w:r>
          </w:p>
          <w:p w:rsidR="003370C1" w:rsidRPr="00571B3B" w:rsidRDefault="00AB1378" w:rsidP="00A92524">
            <w:pPr>
              <w:pStyle w:val="Tablewriting"/>
              <w:jc w:val="center"/>
              <w:rPr>
                <w:rFonts w:eastAsia="MS Mincho"/>
              </w:rPr>
            </w:pPr>
            <w:r>
              <w:rPr>
                <w:rFonts w:eastAsia="MS Mincho"/>
              </w:rPr>
              <w:t>(</w:t>
            </w:r>
            <w:r w:rsidR="00CB232C">
              <w:rPr>
                <w:rFonts w:eastAsia="MS Mincho"/>
              </w:rPr>
              <w:t>24.3</w:t>
            </w:r>
            <w:r>
              <w:rPr>
                <w:rFonts w:eastAsia="MS Mincho"/>
              </w:rPr>
              <w:t>%)</w:t>
            </w:r>
          </w:p>
        </w:tc>
        <w:tc>
          <w:tcPr>
            <w:tcW w:w="851" w:type="pct"/>
            <w:shd w:val="clear" w:color="auto" w:fill="auto"/>
            <w:tcMar>
              <w:left w:w="28" w:type="dxa"/>
              <w:right w:w="28" w:type="dxa"/>
            </w:tcMar>
            <w:vAlign w:val="center"/>
          </w:tcPr>
          <w:p w:rsidR="003370C1" w:rsidRDefault="003370C1" w:rsidP="00A92524">
            <w:pPr>
              <w:pStyle w:val="Tablewriting"/>
              <w:jc w:val="center"/>
              <w:rPr>
                <w:rFonts w:eastAsia="MS Mincho"/>
              </w:rPr>
            </w:pPr>
            <w:r w:rsidRPr="00390E4C">
              <w:rPr>
                <w:rFonts w:eastAsia="MS Mincho"/>
              </w:rPr>
              <w:t>0.</w:t>
            </w:r>
            <w:r w:rsidR="00FD5A27" w:rsidRPr="00390E4C">
              <w:rPr>
                <w:rFonts w:eastAsia="MS Mincho"/>
              </w:rPr>
              <w:t>93</w:t>
            </w:r>
            <w:r w:rsidRPr="00390E4C">
              <w:rPr>
                <w:rFonts w:eastAsia="MS Mincho"/>
              </w:rPr>
              <w:t xml:space="preserve"> </w:t>
            </w:r>
          </w:p>
          <w:p w:rsidR="003370C1" w:rsidRPr="00390E4C" w:rsidRDefault="003370C1" w:rsidP="00A92524">
            <w:pPr>
              <w:pStyle w:val="Tablewriting"/>
              <w:jc w:val="center"/>
              <w:rPr>
                <w:rFonts w:eastAsia="MS Mincho"/>
              </w:rPr>
            </w:pPr>
            <w:r w:rsidRPr="00390E4C">
              <w:rPr>
                <w:rFonts w:eastAsia="MS Mincho"/>
              </w:rPr>
              <w:t>(0.</w:t>
            </w:r>
            <w:r w:rsidR="00FD5A27" w:rsidRPr="00390E4C">
              <w:rPr>
                <w:rFonts w:eastAsia="MS Mincho"/>
              </w:rPr>
              <w:t>58</w:t>
            </w:r>
            <w:r w:rsidRPr="00390E4C">
              <w:rPr>
                <w:rFonts w:eastAsia="MS Mincho"/>
              </w:rPr>
              <w:t>, 1.</w:t>
            </w:r>
            <w:r w:rsidR="00FD5A27" w:rsidRPr="00390E4C">
              <w:rPr>
                <w:rFonts w:eastAsia="MS Mincho"/>
              </w:rPr>
              <w:t>49</w:t>
            </w:r>
            <w:r w:rsidRPr="00390E4C">
              <w:rPr>
                <w:rFonts w:eastAsia="MS Mincho"/>
              </w:rPr>
              <w:t>)</w:t>
            </w:r>
          </w:p>
        </w:tc>
        <w:tc>
          <w:tcPr>
            <w:tcW w:w="812" w:type="pct"/>
            <w:shd w:val="clear" w:color="auto" w:fill="auto"/>
            <w:vAlign w:val="center"/>
          </w:tcPr>
          <w:p w:rsidR="003370C1" w:rsidRPr="005D18BC" w:rsidRDefault="008F5557" w:rsidP="00A92524">
            <w:pPr>
              <w:pStyle w:val="Tablewriting"/>
              <w:jc w:val="center"/>
              <w:rPr>
                <w:rFonts w:eastAsia="MS Mincho"/>
                <w:highlight w:val="yellow"/>
              </w:rPr>
            </w:pPr>
            <w:r w:rsidRPr="004F4CAF">
              <w:rPr>
                <w:rFonts w:eastAsia="MS Mincho"/>
              </w:rPr>
              <w:t>NR</w:t>
            </w:r>
          </w:p>
        </w:tc>
      </w:tr>
      <w:tr w:rsidR="003370C1" w:rsidRPr="00061F78" w:rsidTr="00A5263B">
        <w:trPr>
          <w:cantSplit/>
          <w:trHeight w:val="99"/>
        </w:trPr>
        <w:tc>
          <w:tcPr>
            <w:tcW w:w="5000" w:type="pct"/>
            <w:gridSpan w:val="6"/>
            <w:shd w:val="clear" w:color="auto" w:fill="auto"/>
            <w:tcMar>
              <w:left w:w="28" w:type="dxa"/>
              <w:right w:w="28" w:type="dxa"/>
            </w:tcMar>
            <w:vAlign w:val="center"/>
          </w:tcPr>
          <w:p w:rsidR="003370C1" w:rsidRPr="00FC0ADE" w:rsidRDefault="003370C1" w:rsidP="00A92524">
            <w:pPr>
              <w:pStyle w:val="Tablewriting"/>
              <w:rPr>
                <w:rFonts w:eastAsia="MS Mincho"/>
                <w:b/>
                <w:bCs/>
                <w:highlight w:val="yellow"/>
              </w:rPr>
            </w:pPr>
            <w:r w:rsidRPr="00FC0ADE">
              <w:rPr>
                <w:rFonts w:eastAsia="MS Mincho"/>
                <w:b/>
                <w:bCs/>
              </w:rPr>
              <w:t xml:space="preserve">Patch + gum </w:t>
            </w:r>
            <w:r w:rsidR="00FC0ADE">
              <w:rPr>
                <w:rFonts w:eastAsia="MS Mincho"/>
                <w:b/>
                <w:bCs/>
              </w:rPr>
              <w:t>subgroup</w:t>
            </w:r>
          </w:p>
        </w:tc>
      </w:tr>
      <w:tr w:rsidR="003370C1" w:rsidRPr="00061F78" w:rsidTr="001908E2">
        <w:trPr>
          <w:cantSplit/>
          <w:trHeight w:val="99"/>
        </w:trPr>
        <w:tc>
          <w:tcPr>
            <w:tcW w:w="626" w:type="pct"/>
            <w:shd w:val="clear" w:color="auto" w:fill="auto"/>
            <w:tcMar>
              <w:left w:w="28" w:type="dxa"/>
              <w:right w:w="28" w:type="dxa"/>
            </w:tcMar>
            <w:vAlign w:val="center"/>
          </w:tcPr>
          <w:p w:rsidR="003370C1" w:rsidRPr="00B8568D" w:rsidRDefault="00FD5A27" w:rsidP="00A92524">
            <w:pPr>
              <w:pStyle w:val="Tablewriting"/>
              <w:rPr>
                <w:rFonts w:eastAsia="MS Mincho"/>
                <w:highlight w:val="yellow"/>
                <w:vertAlign w:val="superscript"/>
              </w:rPr>
            </w:pPr>
            <w:r>
              <w:rPr>
                <w:rFonts w:eastAsia="MS Mincho"/>
              </w:rPr>
              <w:t>Lindson (2019)</w:t>
            </w:r>
            <w:r w:rsidR="00B8568D">
              <w:rPr>
                <w:rFonts w:eastAsia="MS Mincho"/>
                <w:vertAlign w:val="superscript"/>
              </w:rPr>
              <w:t>1</w:t>
            </w:r>
          </w:p>
        </w:tc>
        <w:tc>
          <w:tcPr>
            <w:tcW w:w="1180" w:type="pct"/>
            <w:shd w:val="clear" w:color="auto" w:fill="auto"/>
            <w:vAlign w:val="center"/>
          </w:tcPr>
          <w:p w:rsidR="00FD5A27" w:rsidRDefault="00FD5A27" w:rsidP="00A92524">
            <w:pPr>
              <w:pStyle w:val="Tablewriting"/>
              <w:jc w:val="center"/>
              <w:rPr>
                <w:rFonts w:eastAsia="MS Mincho"/>
              </w:rPr>
            </w:pPr>
            <w:r>
              <w:rPr>
                <w:rFonts w:eastAsia="MS Mincho"/>
              </w:rPr>
              <w:t>Cochrane Review</w:t>
            </w:r>
          </w:p>
          <w:p w:rsidR="003370C1" w:rsidRPr="00A22F63" w:rsidRDefault="00FD5A27" w:rsidP="00A92524">
            <w:pPr>
              <w:pStyle w:val="Tablewriting"/>
              <w:jc w:val="center"/>
              <w:rPr>
                <w:rFonts w:eastAsia="MS Mincho"/>
              </w:rPr>
            </w:pPr>
            <w:r>
              <w:rPr>
                <w:rFonts w:eastAsia="MS Mincho"/>
              </w:rPr>
              <w:t xml:space="preserve">(2 </w:t>
            </w:r>
            <w:r w:rsidRPr="00A22F63">
              <w:rPr>
                <w:rFonts w:eastAsia="MS Mincho"/>
              </w:rPr>
              <w:t>RCT</w:t>
            </w:r>
            <w:r>
              <w:rPr>
                <w:rFonts w:eastAsia="MS Mincho"/>
              </w:rPr>
              <w:t>s)</w:t>
            </w:r>
          </w:p>
        </w:tc>
        <w:tc>
          <w:tcPr>
            <w:tcW w:w="785" w:type="pct"/>
            <w:shd w:val="clear" w:color="auto" w:fill="auto"/>
            <w:tcMar>
              <w:left w:w="28" w:type="dxa"/>
              <w:right w:w="28" w:type="dxa"/>
            </w:tcMar>
            <w:vAlign w:val="center"/>
          </w:tcPr>
          <w:p w:rsidR="00FD5A27" w:rsidRDefault="00D147C2" w:rsidP="00A92524">
            <w:pPr>
              <w:pStyle w:val="Tablewriting"/>
              <w:jc w:val="center"/>
              <w:rPr>
                <w:rFonts w:eastAsia="MS Mincho"/>
              </w:rPr>
            </w:pPr>
            <w:r>
              <w:rPr>
                <w:rFonts w:eastAsia="MS Mincho"/>
              </w:rPr>
              <w:t>59/191</w:t>
            </w:r>
          </w:p>
          <w:p w:rsidR="003370C1" w:rsidRPr="00571B3B" w:rsidRDefault="00D147C2" w:rsidP="00A92524">
            <w:pPr>
              <w:pStyle w:val="Tablewriting"/>
              <w:jc w:val="center"/>
              <w:rPr>
                <w:rFonts w:eastAsia="MS Mincho"/>
              </w:rPr>
            </w:pPr>
            <w:r>
              <w:rPr>
                <w:rFonts w:eastAsia="MS Mincho"/>
              </w:rPr>
              <w:t>(</w:t>
            </w:r>
            <w:r w:rsidR="00CB232C">
              <w:rPr>
                <w:rFonts w:eastAsia="MS Mincho"/>
              </w:rPr>
              <w:t>30.9</w:t>
            </w:r>
            <w:r>
              <w:rPr>
                <w:rFonts w:eastAsia="MS Mincho"/>
              </w:rPr>
              <w:t>%)</w:t>
            </w:r>
          </w:p>
        </w:tc>
        <w:tc>
          <w:tcPr>
            <w:tcW w:w="746" w:type="pct"/>
            <w:shd w:val="clear" w:color="auto" w:fill="auto"/>
            <w:tcMar>
              <w:left w:w="28" w:type="dxa"/>
              <w:right w:w="28" w:type="dxa"/>
            </w:tcMar>
            <w:vAlign w:val="center"/>
          </w:tcPr>
          <w:p w:rsidR="00FD5A27" w:rsidRDefault="00D147C2" w:rsidP="00A92524">
            <w:pPr>
              <w:pStyle w:val="Tablewriting"/>
              <w:jc w:val="center"/>
              <w:rPr>
                <w:rFonts w:eastAsia="MS Mincho"/>
              </w:rPr>
            </w:pPr>
            <w:r>
              <w:rPr>
                <w:rFonts w:eastAsia="MS Mincho"/>
              </w:rPr>
              <w:t>14/68</w:t>
            </w:r>
          </w:p>
          <w:p w:rsidR="003370C1" w:rsidRPr="00571B3B" w:rsidRDefault="00D147C2" w:rsidP="00A92524">
            <w:pPr>
              <w:pStyle w:val="Tablewriting"/>
              <w:jc w:val="center"/>
              <w:rPr>
                <w:rFonts w:eastAsia="MS Mincho"/>
              </w:rPr>
            </w:pPr>
            <w:r>
              <w:rPr>
                <w:rFonts w:eastAsia="MS Mincho"/>
              </w:rPr>
              <w:t>(</w:t>
            </w:r>
            <w:r w:rsidR="00CB232C">
              <w:rPr>
                <w:rFonts w:eastAsia="MS Mincho"/>
              </w:rPr>
              <w:t>20.6</w:t>
            </w:r>
            <w:r>
              <w:rPr>
                <w:rFonts w:eastAsia="MS Mincho"/>
              </w:rPr>
              <w:t>%)</w:t>
            </w:r>
          </w:p>
        </w:tc>
        <w:tc>
          <w:tcPr>
            <w:tcW w:w="851" w:type="pct"/>
            <w:shd w:val="clear" w:color="auto" w:fill="auto"/>
            <w:tcMar>
              <w:left w:w="28" w:type="dxa"/>
              <w:right w:w="28" w:type="dxa"/>
            </w:tcMar>
            <w:vAlign w:val="center"/>
          </w:tcPr>
          <w:p w:rsidR="003370C1" w:rsidRDefault="003370C1" w:rsidP="00A92524">
            <w:pPr>
              <w:pStyle w:val="Tablewriting"/>
              <w:jc w:val="center"/>
              <w:rPr>
                <w:rFonts w:eastAsia="MS Mincho"/>
              </w:rPr>
            </w:pPr>
            <w:r w:rsidRPr="00164377">
              <w:rPr>
                <w:rFonts w:eastAsia="MS Mincho"/>
              </w:rPr>
              <w:t>1.</w:t>
            </w:r>
            <w:r w:rsidR="00FD5A27" w:rsidRPr="00164377">
              <w:rPr>
                <w:rFonts w:eastAsia="MS Mincho"/>
              </w:rPr>
              <w:t>35</w:t>
            </w:r>
            <w:r w:rsidRPr="00164377">
              <w:rPr>
                <w:rFonts w:eastAsia="MS Mincho"/>
              </w:rPr>
              <w:t xml:space="preserve"> </w:t>
            </w:r>
          </w:p>
          <w:p w:rsidR="003370C1" w:rsidRPr="00164377" w:rsidRDefault="003370C1" w:rsidP="00A92524">
            <w:pPr>
              <w:pStyle w:val="Tablewriting"/>
              <w:jc w:val="center"/>
              <w:rPr>
                <w:rFonts w:eastAsia="MS Mincho"/>
              </w:rPr>
            </w:pPr>
            <w:r w:rsidRPr="00164377">
              <w:rPr>
                <w:rFonts w:eastAsia="MS Mincho"/>
              </w:rPr>
              <w:t>(0.</w:t>
            </w:r>
            <w:r w:rsidR="00FD5A27" w:rsidRPr="00164377">
              <w:rPr>
                <w:rFonts w:eastAsia="MS Mincho"/>
              </w:rPr>
              <w:t>8, 2.28)</w:t>
            </w:r>
          </w:p>
        </w:tc>
        <w:tc>
          <w:tcPr>
            <w:tcW w:w="812" w:type="pct"/>
            <w:shd w:val="clear" w:color="auto" w:fill="auto"/>
            <w:vAlign w:val="center"/>
          </w:tcPr>
          <w:p w:rsidR="003370C1" w:rsidRPr="005D18BC" w:rsidRDefault="008F5557" w:rsidP="00A92524">
            <w:pPr>
              <w:pStyle w:val="Tablewriting"/>
              <w:jc w:val="center"/>
              <w:rPr>
                <w:rFonts w:eastAsia="MS Mincho"/>
                <w:highlight w:val="yellow"/>
              </w:rPr>
            </w:pPr>
            <w:r w:rsidRPr="004F4CAF">
              <w:rPr>
                <w:rFonts w:eastAsia="MS Mincho"/>
              </w:rPr>
              <w:t>NR</w:t>
            </w:r>
          </w:p>
        </w:tc>
      </w:tr>
      <w:tr w:rsidR="00FD5A27" w:rsidRPr="00061F78" w:rsidTr="00FD5A27">
        <w:trPr>
          <w:cantSplit/>
          <w:trHeight w:val="99"/>
        </w:trPr>
        <w:tc>
          <w:tcPr>
            <w:tcW w:w="5000" w:type="pct"/>
            <w:gridSpan w:val="6"/>
            <w:shd w:val="clear" w:color="auto" w:fill="auto"/>
            <w:tcMar>
              <w:left w:w="28" w:type="dxa"/>
              <w:right w:w="28" w:type="dxa"/>
            </w:tcMar>
            <w:vAlign w:val="center"/>
          </w:tcPr>
          <w:p w:rsidR="00FD5A27" w:rsidRPr="00FC0ADE" w:rsidRDefault="00FD5A27" w:rsidP="00A92524">
            <w:pPr>
              <w:pStyle w:val="Tablewriting"/>
              <w:rPr>
                <w:rFonts w:eastAsia="MS Mincho"/>
                <w:b/>
                <w:bCs/>
              </w:rPr>
            </w:pPr>
            <w:r w:rsidRPr="00FC0ADE">
              <w:rPr>
                <w:rFonts w:eastAsia="MS Mincho"/>
                <w:b/>
                <w:bCs/>
              </w:rPr>
              <w:t>Preloading versus standard use (pooled analysis)</w:t>
            </w:r>
          </w:p>
        </w:tc>
      </w:tr>
      <w:tr w:rsidR="00FD5A27" w:rsidRPr="00061F78" w:rsidTr="001908E2">
        <w:trPr>
          <w:cantSplit/>
          <w:trHeight w:val="99"/>
        </w:trPr>
        <w:tc>
          <w:tcPr>
            <w:tcW w:w="626" w:type="pct"/>
            <w:shd w:val="clear" w:color="auto" w:fill="auto"/>
            <w:tcMar>
              <w:left w:w="28" w:type="dxa"/>
              <w:right w:w="28" w:type="dxa"/>
            </w:tcMar>
            <w:vAlign w:val="center"/>
          </w:tcPr>
          <w:p w:rsidR="00FD5A27" w:rsidRPr="00B8568D" w:rsidRDefault="00FD5A27" w:rsidP="00A92524">
            <w:pPr>
              <w:pStyle w:val="Tablewriting"/>
              <w:rPr>
                <w:rFonts w:eastAsia="MS Mincho"/>
                <w:vertAlign w:val="superscript"/>
              </w:rPr>
            </w:pPr>
            <w:r>
              <w:rPr>
                <w:rFonts w:eastAsia="MS Mincho"/>
              </w:rPr>
              <w:t>Lindson (2019)</w:t>
            </w:r>
            <w:r w:rsidR="00B8568D">
              <w:rPr>
                <w:rFonts w:eastAsia="MS Mincho"/>
                <w:vertAlign w:val="superscript"/>
              </w:rPr>
              <w:t>1</w:t>
            </w:r>
          </w:p>
        </w:tc>
        <w:tc>
          <w:tcPr>
            <w:tcW w:w="1180" w:type="pct"/>
            <w:shd w:val="clear" w:color="auto" w:fill="auto"/>
            <w:vAlign w:val="center"/>
          </w:tcPr>
          <w:p w:rsidR="00FD5A27" w:rsidRDefault="00FD5A27" w:rsidP="00A92524">
            <w:pPr>
              <w:pStyle w:val="Tablewriting"/>
              <w:jc w:val="center"/>
              <w:rPr>
                <w:rFonts w:eastAsia="MS Mincho"/>
              </w:rPr>
            </w:pPr>
            <w:r>
              <w:rPr>
                <w:rFonts w:eastAsia="MS Mincho"/>
              </w:rPr>
              <w:t>Cochrane Review</w:t>
            </w:r>
          </w:p>
          <w:p w:rsidR="00FD5A27" w:rsidRDefault="00FD5A27" w:rsidP="00A92524">
            <w:pPr>
              <w:pStyle w:val="Tablewriting"/>
              <w:jc w:val="center"/>
              <w:rPr>
                <w:rFonts w:eastAsia="MS Mincho"/>
              </w:rPr>
            </w:pPr>
            <w:r>
              <w:rPr>
                <w:rFonts w:eastAsia="MS Mincho"/>
              </w:rPr>
              <w:t>(</w:t>
            </w:r>
            <w:r w:rsidR="002C4FD0">
              <w:rPr>
                <w:rFonts w:eastAsia="MS Mincho"/>
              </w:rPr>
              <w:t>1</w:t>
            </w:r>
            <w:r>
              <w:rPr>
                <w:rFonts w:eastAsia="MS Mincho"/>
              </w:rPr>
              <w:t xml:space="preserve">2 </w:t>
            </w:r>
            <w:r w:rsidRPr="00A22F63">
              <w:rPr>
                <w:rFonts w:eastAsia="MS Mincho"/>
              </w:rPr>
              <w:t>RCT</w:t>
            </w:r>
            <w:r>
              <w:rPr>
                <w:rFonts w:eastAsia="MS Mincho"/>
              </w:rPr>
              <w:t>s)</w:t>
            </w:r>
          </w:p>
        </w:tc>
        <w:tc>
          <w:tcPr>
            <w:tcW w:w="785" w:type="pct"/>
            <w:shd w:val="clear" w:color="auto" w:fill="auto"/>
            <w:tcMar>
              <w:left w:w="28" w:type="dxa"/>
              <w:right w:w="28" w:type="dxa"/>
            </w:tcMar>
            <w:vAlign w:val="center"/>
          </w:tcPr>
          <w:p w:rsidR="00FD5A27" w:rsidRDefault="0002621C" w:rsidP="00A92524">
            <w:pPr>
              <w:pStyle w:val="Tablewriting"/>
              <w:jc w:val="center"/>
              <w:rPr>
                <w:rFonts w:eastAsia="MS Mincho"/>
              </w:rPr>
            </w:pPr>
            <w:r>
              <w:rPr>
                <w:rFonts w:eastAsia="MS Mincho"/>
              </w:rPr>
              <w:t>446/2,378</w:t>
            </w:r>
          </w:p>
          <w:p w:rsidR="00FD5A27" w:rsidRPr="00571B3B" w:rsidRDefault="0002621C" w:rsidP="00A92524">
            <w:pPr>
              <w:pStyle w:val="Tablewriting"/>
              <w:jc w:val="center"/>
              <w:rPr>
                <w:rFonts w:eastAsia="MS Mincho"/>
              </w:rPr>
            </w:pPr>
            <w:r>
              <w:rPr>
                <w:rFonts w:eastAsia="MS Mincho"/>
              </w:rPr>
              <w:t>(</w:t>
            </w:r>
            <w:r w:rsidR="00CB232C">
              <w:rPr>
                <w:rFonts w:eastAsia="MS Mincho"/>
              </w:rPr>
              <w:t>18.8</w:t>
            </w:r>
            <w:r>
              <w:rPr>
                <w:rFonts w:eastAsia="MS Mincho"/>
              </w:rPr>
              <w:t>%)</w:t>
            </w:r>
          </w:p>
        </w:tc>
        <w:tc>
          <w:tcPr>
            <w:tcW w:w="746" w:type="pct"/>
            <w:shd w:val="clear" w:color="auto" w:fill="auto"/>
            <w:tcMar>
              <w:left w:w="28" w:type="dxa"/>
              <w:right w:w="28" w:type="dxa"/>
            </w:tcMar>
            <w:vAlign w:val="center"/>
          </w:tcPr>
          <w:p w:rsidR="00FD5A27" w:rsidRDefault="0002621C" w:rsidP="00A92524">
            <w:pPr>
              <w:pStyle w:val="Tablewriting"/>
              <w:jc w:val="center"/>
              <w:rPr>
                <w:rFonts w:eastAsia="MS Mincho"/>
              </w:rPr>
            </w:pPr>
            <w:r>
              <w:rPr>
                <w:rFonts w:eastAsia="MS Mincho"/>
              </w:rPr>
              <w:t>275/2,017</w:t>
            </w:r>
          </w:p>
          <w:p w:rsidR="00FD5A27" w:rsidRPr="00571B3B" w:rsidRDefault="0002621C" w:rsidP="00A92524">
            <w:pPr>
              <w:pStyle w:val="Tablewriting"/>
              <w:jc w:val="center"/>
              <w:rPr>
                <w:rFonts w:eastAsia="MS Mincho"/>
              </w:rPr>
            </w:pPr>
            <w:r>
              <w:rPr>
                <w:rFonts w:eastAsia="MS Mincho"/>
              </w:rPr>
              <w:t>(</w:t>
            </w:r>
            <w:r w:rsidR="009B2334">
              <w:rPr>
                <w:rFonts w:eastAsia="MS Mincho"/>
              </w:rPr>
              <w:t>13.6</w:t>
            </w:r>
            <w:r>
              <w:rPr>
                <w:rFonts w:eastAsia="MS Mincho"/>
              </w:rPr>
              <w:t>%)</w:t>
            </w:r>
          </w:p>
        </w:tc>
        <w:tc>
          <w:tcPr>
            <w:tcW w:w="851" w:type="pct"/>
            <w:shd w:val="clear" w:color="auto" w:fill="auto"/>
            <w:tcMar>
              <w:left w:w="28" w:type="dxa"/>
              <w:right w:w="28" w:type="dxa"/>
            </w:tcMar>
            <w:vAlign w:val="center"/>
          </w:tcPr>
          <w:p w:rsidR="00FD5A27" w:rsidRPr="00B52BC6" w:rsidRDefault="00FD5A27" w:rsidP="00A92524">
            <w:pPr>
              <w:pStyle w:val="Tablewriting"/>
              <w:jc w:val="center"/>
              <w:rPr>
                <w:rFonts w:eastAsia="MS Mincho"/>
                <w:b/>
                <w:bCs/>
              </w:rPr>
            </w:pPr>
            <w:r w:rsidRPr="00B52BC6">
              <w:rPr>
                <w:rFonts w:eastAsia="MS Mincho"/>
                <w:b/>
                <w:bCs/>
              </w:rPr>
              <w:t>1.25</w:t>
            </w:r>
          </w:p>
          <w:p w:rsidR="00FD5A27" w:rsidRPr="00164377" w:rsidRDefault="00FD5A27" w:rsidP="00A92524">
            <w:pPr>
              <w:pStyle w:val="Tablewriting"/>
              <w:jc w:val="center"/>
              <w:rPr>
                <w:rFonts w:eastAsia="MS Mincho"/>
              </w:rPr>
            </w:pPr>
            <w:r w:rsidRPr="00B52BC6">
              <w:rPr>
                <w:rFonts w:eastAsia="MS Mincho"/>
                <w:b/>
                <w:bCs/>
              </w:rPr>
              <w:t>(1.08, 1.44)</w:t>
            </w:r>
          </w:p>
        </w:tc>
        <w:tc>
          <w:tcPr>
            <w:tcW w:w="812" w:type="pct"/>
            <w:shd w:val="clear" w:color="auto" w:fill="auto"/>
            <w:vAlign w:val="center"/>
          </w:tcPr>
          <w:p w:rsidR="00FD5A27" w:rsidRPr="005D18BC" w:rsidRDefault="008F5557" w:rsidP="00A92524">
            <w:pPr>
              <w:pStyle w:val="Tablewriting"/>
              <w:jc w:val="center"/>
              <w:rPr>
                <w:rFonts w:eastAsia="MS Mincho"/>
                <w:highlight w:val="yellow"/>
              </w:rPr>
            </w:pPr>
            <w:r w:rsidRPr="004F4CAF">
              <w:rPr>
                <w:rFonts w:eastAsia="MS Mincho"/>
              </w:rPr>
              <w:t>NR</w:t>
            </w:r>
          </w:p>
        </w:tc>
      </w:tr>
    </w:tbl>
    <w:p w:rsidR="003370C1" w:rsidRPr="00566F12" w:rsidRDefault="003370C1" w:rsidP="003370C1">
      <w:pPr>
        <w:pStyle w:val="TableFooter"/>
        <w:keepNext/>
      </w:pPr>
      <w:r w:rsidRPr="00566F12">
        <w:t>Source: Lindson et al. (2019)</w:t>
      </w:r>
      <w:r>
        <w:t xml:space="preserve"> and </w:t>
      </w:r>
      <w:r w:rsidRPr="00164377">
        <w:t>Dedert et al. 2018</w:t>
      </w:r>
      <w:r>
        <w:t xml:space="preserve">. </w:t>
      </w:r>
    </w:p>
    <w:p w:rsidR="003370C1" w:rsidRPr="00566F12" w:rsidRDefault="003370C1" w:rsidP="003370C1">
      <w:pPr>
        <w:pStyle w:val="TableFooter"/>
        <w:keepNext/>
        <w:rPr>
          <w:i/>
        </w:rPr>
      </w:pPr>
      <w:r w:rsidRPr="00566F12">
        <w:t>Abbreviations: CI = confidence interval; RCT = randomised controlled trial; RD = risk difference; RR = risk ratio</w:t>
      </w:r>
      <w:r>
        <w:t xml:space="preserve">; NE = not estimable. </w:t>
      </w:r>
      <w:r w:rsidRPr="00566F12">
        <w:t xml:space="preserve"> </w:t>
      </w:r>
    </w:p>
    <w:p w:rsidR="00B8568D" w:rsidRDefault="003370C1" w:rsidP="00B8568D">
      <w:pPr>
        <w:pStyle w:val="TableFooter"/>
      </w:pPr>
      <w:r w:rsidRPr="00566F12">
        <w:t>Notes:</w:t>
      </w:r>
      <w:r>
        <w:t xml:space="preserve"> </w:t>
      </w:r>
      <w:r w:rsidRPr="00AB1378">
        <w:t>Bold</w:t>
      </w:r>
      <w:r w:rsidRPr="0041240E">
        <w:t xml:space="preserve"> indicates statistically significant difference.</w:t>
      </w:r>
    </w:p>
    <w:p w:rsidR="00B8568D" w:rsidRDefault="00B8568D" w:rsidP="00B8568D">
      <w:pPr>
        <w:pStyle w:val="TableFooter"/>
      </w:pPr>
      <w:r>
        <w:t>1 Calculated by Cochrane Review authors using a fixed-effect model</w:t>
      </w:r>
      <w:r w:rsidR="00ED0CBA">
        <w:t>.</w:t>
      </w:r>
    </w:p>
    <w:p w:rsidR="003370C1" w:rsidRPr="0063394A" w:rsidRDefault="00B8568D" w:rsidP="003370C1">
      <w:pPr>
        <w:pStyle w:val="TableFooter"/>
      </w:pPr>
      <w:r>
        <w:t>2 Calculated during review using a random-effect model</w:t>
      </w:r>
      <w:r w:rsidR="00ED0CBA">
        <w:t>.</w:t>
      </w:r>
      <w:r w:rsidR="003370C1" w:rsidRPr="00566F12">
        <w:br/>
      </w:r>
    </w:p>
    <w:p w:rsidR="00123237" w:rsidRDefault="003370C1" w:rsidP="003370C1">
      <w:pPr>
        <w:jc w:val="both"/>
      </w:pPr>
      <w:r w:rsidRPr="00F136E9">
        <w:t>The results of the individual studies</w:t>
      </w:r>
      <w:r>
        <w:t xml:space="preserve"> </w:t>
      </w:r>
      <w:r w:rsidRPr="00F136E9">
        <w:t xml:space="preserve">included in Lindson et al. (2019) </w:t>
      </w:r>
      <w:r w:rsidR="00156205">
        <w:t xml:space="preserve">and in the updated re-analysis for the NRT </w:t>
      </w:r>
      <w:r w:rsidR="00573F59">
        <w:t>patches</w:t>
      </w:r>
      <w:r w:rsidR="00156205">
        <w:t xml:space="preserve"> subgroup</w:t>
      </w:r>
      <w:r w:rsidRPr="00F136E9">
        <w:t xml:space="preserve"> are presented using a forest plot i</w:t>
      </w:r>
      <w:r>
        <w:t>n</w:t>
      </w:r>
      <w:r w:rsidR="008A13D7">
        <w:t xml:space="preserve"> </w:t>
      </w:r>
      <w:r w:rsidR="003C4A1C" w:rsidRPr="00BD305A">
        <w:t xml:space="preserve">Figure </w:t>
      </w:r>
      <w:r w:rsidR="003C4A1C">
        <w:rPr>
          <w:noProof/>
        </w:rPr>
        <w:t>32</w:t>
      </w:r>
      <w:r>
        <w:t xml:space="preserve"> and </w:t>
      </w:r>
      <w:r w:rsidR="003C4A1C">
        <w:t xml:space="preserve">Figure </w:t>
      </w:r>
      <w:r w:rsidR="003C4A1C">
        <w:rPr>
          <w:noProof/>
        </w:rPr>
        <w:t>33</w:t>
      </w:r>
      <w:r w:rsidR="00156205">
        <w:t>, respectively</w:t>
      </w:r>
      <w:r>
        <w:t xml:space="preserve">. </w:t>
      </w:r>
    </w:p>
    <w:p w:rsidR="007207E3" w:rsidRDefault="7D69B53B" w:rsidP="007207E3">
      <w:pPr>
        <w:pStyle w:val="Caption"/>
        <w:keepNext/>
      </w:pPr>
      <w:r>
        <w:rPr>
          <w:noProof/>
        </w:rPr>
        <w:lastRenderedPageBreak/>
        <w:drawing>
          <wp:inline distT="0" distB="0" distL="0" distR="0" wp14:anchorId="010A403E" wp14:editId="6919144D">
            <wp:extent cx="5920237" cy="4266691"/>
            <wp:effectExtent l="0" t="0" r="0" b="635"/>
            <wp:docPr id="70" name="Picture 7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20237" cy="4266691"/>
                    </a:xfrm>
                    <a:prstGeom prst="rect">
                      <a:avLst/>
                    </a:prstGeom>
                  </pic:spPr>
                </pic:pic>
              </a:graphicData>
            </a:graphic>
          </wp:inline>
        </w:drawing>
      </w:r>
    </w:p>
    <w:p w:rsidR="003370C1" w:rsidRPr="00BD305A" w:rsidRDefault="00CF4593" w:rsidP="00BD305A">
      <w:pPr>
        <w:pStyle w:val="Caption"/>
      </w:pPr>
      <w:bookmarkStart w:id="208" w:name="_Ref61452436"/>
      <w:r w:rsidRPr="00BD305A">
        <w:t xml:space="preserve">Figure </w:t>
      </w:r>
      <w:r w:rsidR="003C4A1C">
        <w:rPr>
          <w:noProof/>
        </w:rPr>
        <w:t>32</w:t>
      </w:r>
      <w:bookmarkEnd w:id="208"/>
      <w:r w:rsidRPr="00BD305A">
        <w:t>: Results of smoking cessation f</w:t>
      </w:r>
      <w:r w:rsidR="00C623F4">
        <w:t>or</w:t>
      </w:r>
      <w:r w:rsidRPr="00BD305A">
        <w:t xml:space="preserve"> at least six months follow-up</w:t>
      </w:r>
      <w:r w:rsidR="006C3EF8">
        <w:t xml:space="preserve"> in Lindson et al. (2019)</w:t>
      </w:r>
      <w:r w:rsidRPr="00BD305A">
        <w:t>, preloading versus standard use</w:t>
      </w:r>
    </w:p>
    <w:p w:rsidR="00123237" w:rsidRDefault="00705126" w:rsidP="00123237">
      <w:pPr>
        <w:pStyle w:val="TableFooter"/>
        <w:keepNext/>
      </w:pPr>
      <w:r w:rsidRPr="00543DB6">
        <w:t>Source: Lindson et al. (2019)</w:t>
      </w:r>
    </w:p>
    <w:p w:rsidR="00CF4593" w:rsidRPr="00123237" w:rsidRDefault="00705126" w:rsidP="00123237">
      <w:pPr>
        <w:pStyle w:val="TableFooter"/>
        <w:keepNext/>
      </w:pPr>
      <w:r w:rsidRPr="00543DB6">
        <w:t>Abbreviations: CI = confidence interval</w:t>
      </w:r>
    </w:p>
    <w:p w:rsidR="007207E3" w:rsidRDefault="007207E3" w:rsidP="00123237">
      <w:pPr>
        <w:pStyle w:val="TableFooter"/>
        <w:keepNext/>
      </w:pPr>
    </w:p>
    <w:p w:rsidR="007207E3" w:rsidRDefault="007207E3" w:rsidP="007207E3">
      <w:pPr>
        <w:pStyle w:val="TableFooter"/>
        <w:keepNext/>
      </w:pPr>
      <w:r>
        <w:rPr>
          <w:noProof/>
        </w:rPr>
        <w:drawing>
          <wp:inline distT="0" distB="0" distL="0" distR="0" wp14:anchorId="07BD16DF" wp14:editId="266AC6F3">
            <wp:extent cx="5731510" cy="1930400"/>
            <wp:effectExtent l="0" t="0" r="254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pic:nvPicPr>
                  <pic:blipFill>
                    <a:blip r:embed="rId50">
                      <a:extLst>
                        <a:ext uri="{28A0092B-C50C-407E-A947-70E740481C1C}">
                          <a14:useLocalDpi xmlns:a14="http://schemas.microsoft.com/office/drawing/2010/main" val="0"/>
                        </a:ext>
                      </a:extLst>
                    </a:blip>
                    <a:stretch>
                      <a:fillRect/>
                    </a:stretch>
                  </pic:blipFill>
                  <pic:spPr>
                    <a:xfrm>
                      <a:off x="0" y="0"/>
                      <a:ext cx="5731510" cy="1930400"/>
                    </a:xfrm>
                    <a:prstGeom prst="rect">
                      <a:avLst/>
                    </a:prstGeom>
                  </pic:spPr>
                </pic:pic>
              </a:graphicData>
            </a:graphic>
          </wp:inline>
        </w:drawing>
      </w:r>
    </w:p>
    <w:p w:rsidR="007207E3" w:rsidRDefault="007207E3" w:rsidP="007207E3">
      <w:pPr>
        <w:pStyle w:val="Caption"/>
      </w:pPr>
      <w:bookmarkStart w:id="209" w:name="_Ref61452423"/>
      <w:r>
        <w:t xml:space="preserve">Figure </w:t>
      </w:r>
      <w:r w:rsidR="003C4A1C">
        <w:rPr>
          <w:noProof/>
        </w:rPr>
        <w:t>33</w:t>
      </w:r>
      <w:bookmarkEnd w:id="209"/>
      <w:r>
        <w:t xml:space="preserve">: </w:t>
      </w:r>
      <w:r w:rsidRPr="00A2685B">
        <w:t>Results of smoking cessation f</w:t>
      </w:r>
      <w:r w:rsidR="00C623F4">
        <w:t>or</w:t>
      </w:r>
      <w:r w:rsidRPr="00A2685B">
        <w:t xml:space="preserve"> at least six months follow-up</w:t>
      </w:r>
      <w:r>
        <w:t xml:space="preserve"> based on updated re-analysis</w:t>
      </w:r>
      <w:r w:rsidRPr="00A2685B">
        <w:t>, preloading versus standard use</w:t>
      </w:r>
    </w:p>
    <w:p w:rsidR="007207E3" w:rsidRDefault="007207E3" w:rsidP="007207E3">
      <w:pPr>
        <w:pStyle w:val="TableFooter"/>
        <w:keepNext/>
      </w:pPr>
      <w:r w:rsidRPr="00543DB6">
        <w:t>Source: Lindson et al. (2019)</w:t>
      </w:r>
      <w:r>
        <w:t>, Dedert et al. (2018)</w:t>
      </w:r>
    </w:p>
    <w:p w:rsidR="007207E3" w:rsidRDefault="007207E3" w:rsidP="007207E3">
      <w:pPr>
        <w:pStyle w:val="TableFooter"/>
        <w:keepNext/>
      </w:pPr>
      <w:r w:rsidRPr="00543DB6">
        <w:t>Abbreviations: CI = confidence interval</w:t>
      </w:r>
    </w:p>
    <w:p w:rsidR="004D63D8" w:rsidRPr="004D63D8" w:rsidRDefault="004D63D8" w:rsidP="004D63D8">
      <w:pPr>
        <w:rPr>
          <w:u w:val="single"/>
        </w:rPr>
      </w:pPr>
      <w:r w:rsidRPr="004D63D8">
        <w:rPr>
          <w:u w:val="single"/>
        </w:rPr>
        <w:t>Safety</w:t>
      </w:r>
    </w:p>
    <w:p w:rsidR="00D352A3" w:rsidRDefault="00D352A3" w:rsidP="00D352A3">
      <w:pPr>
        <w:jc w:val="both"/>
      </w:pPr>
      <w:r w:rsidRPr="00A67889">
        <w:t xml:space="preserve">A summary of key adverse events in Lindson et al. </w:t>
      </w:r>
      <w:r>
        <w:t>(</w:t>
      </w:r>
      <w:r w:rsidRPr="00A67889">
        <w:t>2019</w:t>
      </w:r>
      <w:r>
        <w:t>)</w:t>
      </w:r>
      <w:r w:rsidRPr="00A67889">
        <w:t xml:space="preserve"> </w:t>
      </w:r>
      <w:r>
        <w:t xml:space="preserve">comparing </w:t>
      </w:r>
      <w:r w:rsidRPr="00B13895">
        <w:t xml:space="preserve">preloading </w:t>
      </w:r>
      <w:r>
        <w:t>with</w:t>
      </w:r>
      <w:r w:rsidRPr="00B13895">
        <w:t xml:space="preserve"> standard use is presented in</w:t>
      </w:r>
      <w:r w:rsidR="00D97EEC">
        <w:t xml:space="preserve"> </w:t>
      </w:r>
      <w:r w:rsidR="003C4A1C">
        <w:t xml:space="preserve">Table </w:t>
      </w:r>
      <w:r w:rsidR="003C4A1C">
        <w:rPr>
          <w:noProof/>
        </w:rPr>
        <w:t>101</w:t>
      </w:r>
      <w:r>
        <w:t>.</w:t>
      </w:r>
      <w:r w:rsidRPr="00371997">
        <w:t xml:space="preserve"> </w:t>
      </w:r>
      <w:r>
        <w:t xml:space="preserve">Based on the Cochrane Review by Lindson et al. (2019), there </w:t>
      </w:r>
      <w:r>
        <w:lastRenderedPageBreak/>
        <w:t>was a significantly higher proportion of patients in the preloading arm experiencing palpitations compared with patients in the standard use arm. There were no statistically significant differences in cardiac adverse events, cardiac serious adverse events, overall serious adverse events and treatment withdrawals between the two treatment arms.</w:t>
      </w:r>
    </w:p>
    <w:p w:rsidR="00D352A3" w:rsidRDefault="00D352A3" w:rsidP="00D352A3">
      <w:pPr>
        <w:jc w:val="both"/>
      </w:pPr>
      <w:r>
        <w:t>The results of the updated re-analysis for the overall serious adverse events were consistent with the results from Lindson et al. (2019) (RR: 1.05, 95% CI: 0.56, 1.98).</w:t>
      </w:r>
    </w:p>
    <w:p w:rsidR="00D352A3" w:rsidRDefault="00D352A3" w:rsidP="00D352A3">
      <w:pPr>
        <w:pStyle w:val="Caption"/>
        <w:keepNext/>
      </w:pPr>
      <w:bookmarkStart w:id="210" w:name="_Ref62117930"/>
      <w:r>
        <w:t xml:space="preserve">Table </w:t>
      </w:r>
      <w:r w:rsidR="003C4A1C">
        <w:rPr>
          <w:noProof/>
        </w:rPr>
        <w:t>101</w:t>
      </w:r>
      <w:bookmarkEnd w:id="210"/>
      <w:r>
        <w:t xml:space="preserve">: </w:t>
      </w:r>
      <w:r w:rsidRPr="004E52B3">
        <w:t>Summary of key adverse events in Lindson et al. (2019), preloading versus standard use</w:t>
      </w:r>
    </w:p>
    <w:tbl>
      <w:tblPr>
        <w:tblStyle w:val="TableGrid"/>
        <w:tblW w:w="5000" w:type="pct"/>
        <w:tblLook w:val="04A0" w:firstRow="1" w:lastRow="0" w:firstColumn="1" w:lastColumn="0" w:noHBand="0" w:noVBand="1"/>
        <w:tblCaption w:val="Efficacy results of adalimumab trials (PASI 75 and DLQI)"/>
      </w:tblPr>
      <w:tblGrid>
        <w:gridCol w:w="1131"/>
        <w:gridCol w:w="1843"/>
        <w:gridCol w:w="1560"/>
        <w:gridCol w:w="1700"/>
        <w:gridCol w:w="1417"/>
        <w:gridCol w:w="1365"/>
      </w:tblGrid>
      <w:tr w:rsidR="00D352A3" w:rsidRPr="00061F78" w:rsidTr="00125A1C">
        <w:trPr>
          <w:cantSplit/>
          <w:trHeight w:val="299"/>
          <w:tblHeader/>
        </w:trPr>
        <w:tc>
          <w:tcPr>
            <w:tcW w:w="627" w:type="pct"/>
            <w:shd w:val="clear" w:color="auto" w:fill="BFBFBF" w:themeFill="background1" w:themeFillShade="BF"/>
            <w:tcMar>
              <w:left w:w="28" w:type="dxa"/>
              <w:right w:w="28" w:type="dxa"/>
            </w:tcMar>
            <w:vAlign w:val="center"/>
          </w:tcPr>
          <w:p w:rsidR="00D352A3" w:rsidRDefault="00D352A3" w:rsidP="00A92524">
            <w:pPr>
              <w:pStyle w:val="Tableheading"/>
              <w:rPr>
                <w:rFonts w:eastAsia="MS Mincho"/>
              </w:rPr>
            </w:pPr>
            <w:r>
              <w:rPr>
                <w:rFonts w:eastAsia="MS Mincho"/>
              </w:rPr>
              <w:t>Study</w:t>
            </w:r>
          </w:p>
        </w:tc>
        <w:tc>
          <w:tcPr>
            <w:tcW w:w="1022" w:type="pct"/>
            <w:shd w:val="clear" w:color="auto" w:fill="BFBFBF" w:themeFill="background1" w:themeFillShade="BF"/>
          </w:tcPr>
          <w:p w:rsidR="00D352A3" w:rsidRDefault="00D352A3" w:rsidP="00A92524">
            <w:pPr>
              <w:pStyle w:val="Tableheading"/>
              <w:jc w:val="center"/>
              <w:rPr>
                <w:rFonts w:eastAsia="MS Mincho"/>
              </w:rPr>
            </w:pPr>
            <w:r>
              <w:rPr>
                <w:rFonts w:eastAsia="MS Mincho"/>
              </w:rPr>
              <w:t>Study type</w:t>
            </w:r>
          </w:p>
        </w:tc>
        <w:tc>
          <w:tcPr>
            <w:tcW w:w="865" w:type="pct"/>
            <w:shd w:val="clear" w:color="auto" w:fill="BFBFBF" w:themeFill="background1" w:themeFillShade="BF"/>
            <w:tcMar>
              <w:left w:w="28" w:type="dxa"/>
              <w:right w:w="28" w:type="dxa"/>
            </w:tcMar>
            <w:vAlign w:val="center"/>
          </w:tcPr>
          <w:p w:rsidR="00D352A3" w:rsidRPr="00061F78" w:rsidRDefault="00D352A3" w:rsidP="00A92524">
            <w:pPr>
              <w:pStyle w:val="Tableheading"/>
              <w:jc w:val="center"/>
              <w:rPr>
                <w:rFonts w:eastAsia="MS Mincho"/>
              </w:rPr>
            </w:pPr>
            <w:r w:rsidRPr="00B13895">
              <w:rPr>
                <w:rFonts w:eastAsia="MS Mincho"/>
              </w:rPr>
              <w:t>Preloading</w:t>
            </w:r>
          </w:p>
        </w:tc>
        <w:tc>
          <w:tcPr>
            <w:tcW w:w="943" w:type="pct"/>
            <w:shd w:val="clear" w:color="auto" w:fill="BFBFBF" w:themeFill="background1" w:themeFillShade="BF"/>
            <w:tcMar>
              <w:left w:w="28" w:type="dxa"/>
              <w:right w:w="28" w:type="dxa"/>
            </w:tcMar>
            <w:vAlign w:val="center"/>
          </w:tcPr>
          <w:p w:rsidR="00D352A3" w:rsidRPr="00061F78" w:rsidRDefault="00D352A3" w:rsidP="00A92524">
            <w:pPr>
              <w:pStyle w:val="Tableheading"/>
              <w:jc w:val="center"/>
              <w:rPr>
                <w:rFonts w:eastAsia="MS Mincho"/>
              </w:rPr>
            </w:pPr>
            <w:r w:rsidRPr="00B13895">
              <w:rPr>
                <w:rFonts w:eastAsia="MS Mincho"/>
              </w:rPr>
              <w:t>Standard use</w:t>
            </w:r>
          </w:p>
        </w:tc>
        <w:tc>
          <w:tcPr>
            <w:tcW w:w="786" w:type="pct"/>
            <w:shd w:val="clear" w:color="auto" w:fill="BFBFBF" w:themeFill="background1" w:themeFillShade="BF"/>
            <w:tcMar>
              <w:left w:w="28" w:type="dxa"/>
              <w:right w:w="28" w:type="dxa"/>
            </w:tcMar>
            <w:vAlign w:val="center"/>
          </w:tcPr>
          <w:p w:rsidR="00D352A3" w:rsidRPr="00681ACA" w:rsidRDefault="00D352A3" w:rsidP="00A92524">
            <w:pPr>
              <w:pStyle w:val="Tableheading"/>
              <w:jc w:val="center"/>
              <w:rPr>
                <w:rFonts w:eastAsia="MS Mincho"/>
                <w:vertAlign w:val="superscript"/>
              </w:rPr>
            </w:pPr>
            <w:r>
              <w:rPr>
                <w:rFonts w:eastAsia="MS Mincho"/>
              </w:rPr>
              <w:t>RR (95% CI)</w:t>
            </w:r>
          </w:p>
        </w:tc>
        <w:tc>
          <w:tcPr>
            <w:tcW w:w="758" w:type="pct"/>
            <w:shd w:val="clear" w:color="auto" w:fill="BFBFBF" w:themeFill="background1" w:themeFillShade="BF"/>
            <w:vAlign w:val="center"/>
          </w:tcPr>
          <w:p w:rsidR="00D352A3" w:rsidRDefault="00D352A3" w:rsidP="00A92524">
            <w:pPr>
              <w:pStyle w:val="Tableheading"/>
              <w:jc w:val="center"/>
              <w:rPr>
                <w:rFonts w:eastAsia="MS Mincho"/>
              </w:rPr>
            </w:pPr>
            <w:r>
              <w:rPr>
                <w:rFonts w:eastAsia="MS Mincho"/>
              </w:rPr>
              <w:t>RD (95% CI)</w:t>
            </w:r>
          </w:p>
        </w:tc>
      </w:tr>
      <w:tr w:rsidR="00D352A3" w:rsidRPr="00061F78" w:rsidTr="00F46619">
        <w:trPr>
          <w:cantSplit/>
          <w:trHeight w:val="99"/>
        </w:trPr>
        <w:tc>
          <w:tcPr>
            <w:tcW w:w="5000" w:type="pct"/>
            <w:gridSpan w:val="6"/>
            <w:shd w:val="clear" w:color="auto" w:fill="auto"/>
          </w:tcPr>
          <w:p w:rsidR="00D352A3" w:rsidRPr="00F46619" w:rsidRDefault="00D352A3" w:rsidP="00A92524">
            <w:pPr>
              <w:pStyle w:val="Tablewriting"/>
              <w:rPr>
                <w:rFonts w:eastAsia="MS Mincho"/>
                <w:b/>
                <w:bCs/>
              </w:rPr>
            </w:pPr>
            <w:r w:rsidRPr="00F46619">
              <w:rPr>
                <w:rFonts w:eastAsia="MS Mincho"/>
                <w:b/>
                <w:bCs/>
              </w:rPr>
              <w:t>Palpitations</w:t>
            </w:r>
          </w:p>
        </w:tc>
      </w:tr>
      <w:tr w:rsidR="00D352A3" w:rsidRPr="00061F78" w:rsidTr="00125A1C">
        <w:trPr>
          <w:cantSplit/>
          <w:trHeight w:val="99"/>
        </w:trPr>
        <w:tc>
          <w:tcPr>
            <w:tcW w:w="627" w:type="pct"/>
            <w:shd w:val="clear" w:color="auto" w:fill="auto"/>
            <w:tcMar>
              <w:left w:w="28" w:type="dxa"/>
              <w:right w:w="28" w:type="dxa"/>
            </w:tcMar>
            <w:vAlign w:val="center"/>
          </w:tcPr>
          <w:p w:rsidR="00D352A3" w:rsidRPr="001C5A26" w:rsidRDefault="00D352A3" w:rsidP="00A92524">
            <w:pPr>
              <w:pStyle w:val="Tablewriting"/>
              <w:rPr>
                <w:rFonts w:eastAsia="MS Mincho"/>
                <w:vertAlign w:val="superscript"/>
              </w:rPr>
            </w:pPr>
            <w:r>
              <w:rPr>
                <w:rFonts w:eastAsia="MS Mincho"/>
              </w:rPr>
              <w:t>Lindson (2019)</w:t>
            </w:r>
            <w:r w:rsidR="00F46619">
              <w:rPr>
                <w:rFonts w:eastAsia="MS Mincho"/>
                <w:vertAlign w:val="superscript"/>
              </w:rPr>
              <w:t>1</w:t>
            </w:r>
          </w:p>
        </w:tc>
        <w:tc>
          <w:tcPr>
            <w:tcW w:w="1022" w:type="pct"/>
          </w:tcPr>
          <w:p w:rsidR="00D352A3" w:rsidRDefault="00D352A3" w:rsidP="00A92524">
            <w:pPr>
              <w:pStyle w:val="Tablewriting"/>
              <w:jc w:val="center"/>
              <w:rPr>
                <w:rFonts w:eastAsia="MS Mincho"/>
              </w:rPr>
            </w:pPr>
            <w:r>
              <w:rPr>
                <w:rFonts w:eastAsia="MS Mincho"/>
              </w:rPr>
              <w:t>Cochrane Review</w:t>
            </w:r>
          </w:p>
          <w:p w:rsidR="00D352A3" w:rsidRDefault="00D352A3" w:rsidP="00A92524">
            <w:pPr>
              <w:pStyle w:val="Tablewriting"/>
              <w:jc w:val="center"/>
              <w:rPr>
                <w:rFonts w:eastAsia="MS Mincho"/>
              </w:rPr>
            </w:pPr>
            <w:r>
              <w:rPr>
                <w:rFonts w:eastAsia="MS Mincho"/>
              </w:rPr>
              <w:t>(1 RCT)</w:t>
            </w:r>
          </w:p>
        </w:tc>
        <w:tc>
          <w:tcPr>
            <w:tcW w:w="865" w:type="pct"/>
            <w:shd w:val="clear" w:color="auto" w:fill="auto"/>
            <w:tcMar>
              <w:left w:w="28" w:type="dxa"/>
              <w:right w:w="28" w:type="dxa"/>
            </w:tcMar>
            <w:vAlign w:val="center"/>
          </w:tcPr>
          <w:p w:rsidR="00D352A3" w:rsidRDefault="00D352A3" w:rsidP="00A92524">
            <w:pPr>
              <w:pStyle w:val="Tablewriting"/>
              <w:jc w:val="center"/>
              <w:rPr>
                <w:rFonts w:eastAsia="MS Mincho"/>
              </w:rPr>
            </w:pPr>
            <w:r>
              <w:rPr>
                <w:rFonts w:eastAsia="MS Mincho"/>
              </w:rPr>
              <w:t>35/899</w:t>
            </w:r>
          </w:p>
          <w:p w:rsidR="00D352A3" w:rsidRPr="001B08F9" w:rsidRDefault="00D352A3" w:rsidP="00A92524">
            <w:pPr>
              <w:pStyle w:val="Tablewriting"/>
              <w:jc w:val="center"/>
              <w:rPr>
                <w:rFonts w:eastAsia="MS Mincho"/>
              </w:rPr>
            </w:pPr>
            <w:r>
              <w:rPr>
                <w:rFonts w:eastAsia="MS Mincho"/>
              </w:rPr>
              <w:t>(3.9%)</w:t>
            </w:r>
          </w:p>
        </w:tc>
        <w:tc>
          <w:tcPr>
            <w:tcW w:w="943" w:type="pct"/>
            <w:shd w:val="clear" w:color="auto" w:fill="auto"/>
            <w:tcMar>
              <w:left w:w="28" w:type="dxa"/>
              <w:right w:w="28" w:type="dxa"/>
            </w:tcMar>
            <w:vAlign w:val="center"/>
          </w:tcPr>
          <w:p w:rsidR="00D352A3" w:rsidRDefault="00D352A3" w:rsidP="00A92524">
            <w:pPr>
              <w:pStyle w:val="Tablewriting"/>
              <w:jc w:val="center"/>
              <w:rPr>
                <w:rFonts w:eastAsia="MS Mincho"/>
              </w:rPr>
            </w:pPr>
            <w:r>
              <w:rPr>
                <w:rFonts w:eastAsia="MS Mincho"/>
              </w:rPr>
              <w:t>17/893</w:t>
            </w:r>
          </w:p>
          <w:p w:rsidR="00D352A3" w:rsidRPr="001B08F9" w:rsidRDefault="00D352A3" w:rsidP="00A92524">
            <w:pPr>
              <w:pStyle w:val="Tablewriting"/>
              <w:jc w:val="center"/>
              <w:rPr>
                <w:rFonts w:eastAsia="MS Mincho"/>
              </w:rPr>
            </w:pPr>
            <w:r>
              <w:rPr>
                <w:rFonts w:eastAsia="MS Mincho"/>
              </w:rPr>
              <w:t>(1.9%)</w:t>
            </w:r>
          </w:p>
        </w:tc>
        <w:tc>
          <w:tcPr>
            <w:tcW w:w="786" w:type="pct"/>
            <w:shd w:val="clear" w:color="auto" w:fill="auto"/>
            <w:tcMar>
              <w:left w:w="28" w:type="dxa"/>
              <w:right w:w="28" w:type="dxa"/>
            </w:tcMar>
            <w:vAlign w:val="center"/>
          </w:tcPr>
          <w:p w:rsidR="00D352A3" w:rsidRDefault="00D352A3" w:rsidP="00A92524">
            <w:pPr>
              <w:pStyle w:val="Tablewriting"/>
              <w:jc w:val="center"/>
              <w:rPr>
                <w:rFonts w:eastAsia="MS Mincho"/>
                <w:b/>
              </w:rPr>
            </w:pPr>
            <w:r>
              <w:rPr>
                <w:rFonts w:eastAsia="MS Mincho"/>
                <w:b/>
              </w:rPr>
              <w:t xml:space="preserve">2.05 </w:t>
            </w:r>
          </w:p>
          <w:p w:rsidR="00D352A3" w:rsidRPr="001277A6" w:rsidRDefault="00D352A3" w:rsidP="00A92524">
            <w:pPr>
              <w:pStyle w:val="Tablewriting"/>
              <w:jc w:val="center"/>
              <w:rPr>
                <w:rFonts w:eastAsia="MS Mincho"/>
                <w:b/>
              </w:rPr>
            </w:pPr>
            <w:r>
              <w:rPr>
                <w:rFonts w:eastAsia="MS Mincho"/>
                <w:b/>
              </w:rPr>
              <w:t>(1.15, 3.62)</w:t>
            </w:r>
          </w:p>
        </w:tc>
        <w:tc>
          <w:tcPr>
            <w:tcW w:w="758" w:type="pct"/>
            <w:shd w:val="clear" w:color="auto" w:fill="auto"/>
            <w:vAlign w:val="center"/>
          </w:tcPr>
          <w:p w:rsidR="00D352A3" w:rsidRPr="001277A6" w:rsidRDefault="00D352A3" w:rsidP="00A92524">
            <w:pPr>
              <w:pStyle w:val="Tablewriting"/>
              <w:jc w:val="center"/>
              <w:rPr>
                <w:rFonts w:eastAsia="MS Mincho"/>
                <w:highlight w:val="yellow"/>
              </w:rPr>
            </w:pPr>
            <w:r w:rsidRPr="000B4DD6">
              <w:rPr>
                <w:rFonts w:eastAsia="MS Mincho"/>
              </w:rPr>
              <w:t>NR</w:t>
            </w:r>
          </w:p>
        </w:tc>
      </w:tr>
      <w:tr w:rsidR="00D352A3" w:rsidRPr="00061F78" w:rsidTr="00F46619">
        <w:trPr>
          <w:cantSplit/>
          <w:trHeight w:val="255"/>
        </w:trPr>
        <w:tc>
          <w:tcPr>
            <w:tcW w:w="5000" w:type="pct"/>
            <w:gridSpan w:val="6"/>
            <w:shd w:val="clear" w:color="auto" w:fill="auto"/>
          </w:tcPr>
          <w:p w:rsidR="00D352A3" w:rsidRPr="00F46619" w:rsidRDefault="00D352A3" w:rsidP="00A92524">
            <w:pPr>
              <w:pStyle w:val="Tablewriting"/>
              <w:rPr>
                <w:rFonts w:eastAsia="MS Mincho"/>
                <w:b/>
                <w:bCs/>
                <w:highlight w:val="yellow"/>
              </w:rPr>
            </w:pPr>
            <w:r w:rsidRPr="00F46619">
              <w:rPr>
                <w:rFonts w:eastAsia="MS Mincho"/>
                <w:b/>
                <w:bCs/>
              </w:rPr>
              <w:t>Cardiac AEs</w:t>
            </w:r>
          </w:p>
        </w:tc>
      </w:tr>
      <w:tr w:rsidR="00D352A3" w:rsidRPr="00061F78" w:rsidTr="00125A1C">
        <w:trPr>
          <w:cantSplit/>
          <w:trHeight w:val="149"/>
        </w:trPr>
        <w:tc>
          <w:tcPr>
            <w:tcW w:w="627" w:type="pct"/>
            <w:tcMar>
              <w:left w:w="28" w:type="dxa"/>
              <w:right w:w="28" w:type="dxa"/>
            </w:tcMar>
            <w:vAlign w:val="center"/>
          </w:tcPr>
          <w:p w:rsidR="00D352A3" w:rsidRPr="001C5A26" w:rsidRDefault="00D352A3" w:rsidP="00A92524">
            <w:pPr>
              <w:pStyle w:val="Tablewriting"/>
              <w:rPr>
                <w:rFonts w:eastAsia="MS Mincho"/>
                <w:highlight w:val="yellow"/>
                <w:vertAlign w:val="superscript"/>
              </w:rPr>
            </w:pPr>
            <w:r>
              <w:rPr>
                <w:rFonts w:eastAsia="MS Mincho"/>
              </w:rPr>
              <w:t>Lindson (2019)</w:t>
            </w:r>
            <w:r w:rsidR="00F46619">
              <w:rPr>
                <w:rFonts w:eastAsia="MS Mincho"/>
                <w:vertAlign w:val="superscript"/>
              </w:rPr>
              <w:t>1</w:t>
            </w:r>
          </w:p>
        </w:tc>
        <w:tc>
          <w:tcPr>
            <w:tcW w:w="1022" w:type="pct"/>
          </w:tcPr>
          <w:p w:rsidR="00D352A3" w:rsidRDefault="00D352A3" w:rsidP="00A92524">
            <w:pPr>
              <w:pStyle w:val="Tablewriting"/>
              <w:jc w:val="center"/>
              <w:rPr>
                <w:rFonts w:eastAsia="MS Mincho"/>
              </w:rPr>
            </w:pPr>
            <w:r>
              <w:rPr>
                <w:rFonts w:eastAsia="MS Mincho"/>
              </w:rPr>
              <w:t>Cochrane Review</w:t>
            </w:r>
          </w:p>
          <w:p w:rsidR="00D352A3" w:rsidRDefault="00D352A3" w:rsidP="00A92524">
            <w:pPr>
              <w:pStyle w:val="Tablewriting"/>
              <w:jc w:val="center"/>
              <w:rPr>
                <w:rFonts w:eastAsia="MS Mincho"/>
              </w:rPr>
            </w:pPr>
            <w:r>
              <w:rPr>
                <w:rFonts w:eastAsia="MS Mincho"/>
              </w:rPr>
              <w:t>(1 RCT)</w:t>
            </w:r>
          </w:p>
        </w:tc>
        <w:tc>
          <w:tcPr>
            <w:tcW w:w="865" w:type="pct"/>
            <w:tcMar>
              <w:left w:w="28" w:type="dxa"/>
              <w:right w:w="28" w:type="dxa"/>
            </w:tcMar>
            <w:vAlign w:val="center"/>
          </w:tcPr>
          <w:p w:rsidR="00D352A3" w:rsidRDefault="00D352A3" w:rsidP="00A92524">
            <w:pPr>
              <w:pStyle w:val="Tablewriting"/>
              <w:jc w:val="center"/>
              <w:rPr>
                <w:rFonts w:eastAsia="MS Mincho"/>
              </w:rPr>
            </w:pPr>
            <w:r w:rsidRPr="00567783">
              <w:rPr>
                <w:rFonts w:eastAsia="MS Mincho"/>
              </w:rPr>
              <w:t>10/549</w:t>
            </w:r>
          </w:p>
          <w:p w:rsidR="00D352A3" w:rsidRPr="00567783" w:rsidRDefault="00D352A3" w:rsidP="00A92524">
            <w:pPr>
              <w:pStyle w:val="Tablewriting"/>
              <w:jc w:val="center"/>
              <w:rPr>
                <w:rFonts w:eastAsia="MS Mincho"/>
              </w:rPr>
            </w:pPr>
            <w:r>
              <w:rPr>
                <w:rFonts w:eastAsia="MS Mincho"/>
              </w:rPr>
              <w:t>(1.8%)</w:t>
            </w:r>
          </w:p>
        </w:tc>
        <w:tc>
          <w:tcPr>
            <w:tcW w:w="943" w:type="pct"/>
            <w:tcMar>
              <w:left w:w="28" w:type="dxa"/>
              <w:right w:w="28" w:type="dxa"/>
            </w:tcMar>
            <w:vAlign w:val="center"/>
          </w:tcPr>
          <w:p w:rsidR="00D352A3" w:rsidRDefault="00D352A3" w:rsidP="00A92524">
            <w:pPr>
              <w:pStyle w:val="Tablewriting"/>
              <w:jc w:val="center"/>
              <w:rPr>
                <w:rFonts w:eastAsia="MS Mincho"/>
              </w:rPr>
            </w:pPr>
            <w:r>
              <w:rPr>
                <w:rFonts w:eastAsia="MS Mincho"/>
              </w:rPr>
              <w:t>8/551</w:t>
            </w:r>
          </w:p>
          <w:p w:rsidR="00D352A3" w:rsidRPr="00567783" w:rsidRDefault="00D352A3" w:rsidP="00A92524">
            <w:pPr>
              <w:pStyle w:val="Tablewriting"/>
              <w:jc w:val="center"/>
              <w:rPr>
                <w:rFonts w:eastAsia="MS Mincho"/>
              </w:rPr>
            </w:pPr>
            <w:r>
              <w:rPr>
                <w:rFonts w:eastAsia="MS Mincho"/>
              </w:rPr>
              <w:t>(1.5%)</w:t>
            </w:r>
          </w:p>
        </w:tc>
        <w:tc>
          <w:tcPr>
            <w:tcW w:w="786" w:type="pct"/>
            <w:tcMar>
              <w:left w:w="28" w:type="dxa"/>
              <w:right w:w="28" w:type="dxa"/>
            </w:tcMar>
            <w:vAlign w:val="center"/>
          </w:tcPr>
          <w:p w:rsidR="00D352A3" w:rsidRDefault="00D352A3" w:rsidP="00A92524">
            <w:pPr>
              <w:pStyle w:val="Tablewriting"/>
              <w:jc w:val="center"/>
              <w:rPr>
                <w:rFonts w:eastAsia="MS Mincho"/>
              </w:rPr>
            </w:pPr>
            <w:r>
              <w:rPr>
                <w:rFonts w:eastAsia="MS Mincho"/>
              </w:rPr>
              <w:t>1.25</w:t>
            </w:r>
          </w:p>
          <w:p w:rsidR="00D352A3" w:rsidRPr="00A10F2A" w:rsidRDefault="00D352A3" w:rsidP="00A92524">
            <w:pPr>
              <w:pStyle w:val="Tablewriting"/>
              <w:jc w:val="center"/>
              <w:rPr>
                <w:rFonts w:eastAsia="MS Mincho"/>
              </w:rPr>
            </w:pPr>
            <w:r>
              <w:rPr>
                <w:rFonts w:eastAsia="MS Mincho"/>
              </w:rPr>
              <w:t>(0.5, 3.15)</w:t>
            </w:r>
          </w:p>
        </w:tc>
        <w:tc>
          <w:tcPr>
            <w:tcW w:w="758" w:type="pct"/>
            <w:vAlign w:val="center"/>
          </w:tcPr>
          <w:p w:rsidR="00D352A3" w:rsidRPr="006A6520" w:rsidRDefault="00D352A3" w:rsidP="00A92524">
            <w:pPr>
              <w:pStyle w:val="Tablewriting"/>
              <w:jc w:val="center"/>
              <w:rPr>
                <w:rFonts w:eastAsia="MS Mincho"/>
              </w:rPr>
            </w:pPr>
            <w:r>
              <w:rPr>
                <w:rFonts w:eastAsia="MS Mincho"/>
              </w:rPr>
              <w:t>NR</w:t>
            </w:r>
          </w:p>
        </w:tc>
      </w:tr>
      <w:tr w:rsidR="00D352A3" w:rsidRPr="00061F78" w:rsidTr="00F46619">
        <w:trPr>
          <w:cantSplit/>
          <w:trHeight w:val="149"/>
        </w:trPr>
        <w:tc>
          <w:tcPr>
            <w:tcW w:w="5000" w:type="pct"/>
            <w:gridSpan w:val="6"/>
            <w:shd w:val="clear" w:color="auto" w:fill="auto"/>
          </w:tcPr>
          <w:p w:rsidR="00D352A3" w:rsidRPr="00F46619" w:rsidRDefault="00D352A3" w:rsidP="00A92524">
            <w:pPr>
              <w:pStyle w:val="Tablewriting"/>
              <w:rPr>
                <w:rFonts w:eastAsia="MS Mincho"/>
                <w:b/>
                <w:bCs/>
                <w:highlight w:val="yellow"/>
              </w:rPr>
            </w:pPr>
            <w:r w:rsidRPr="00F46619">
              <w:rPr>
                <w:rFonts w:eastAsia="MS Mincho"/>
                <w:b/>
                <w:bCs/>
              </w:rPr>
              <w:t>Cardiac SAEs</w:t>
            </w:r>
          </w:p>
        </w:tc>
      </w:tr>
      <w:tr w:rsidR="00D352A3" w:rsidRPr="00061F78" w:rsidTr="00125A1C">
        <w:trPr>
          <w:cantSplit/>
          <w:trHeight w:val="149"/>
        </w:trPr>
        <w:tc>
          <w:tcPr>
            <w:tcW w:w="627" w:type="pct"/>
            <w:tcMar>
              <w:left w:w="28" w:type="dxa"/>
              <w:right w:w="28" w:type="dxa"/>
            </w:tcMar>
            <w:vAlign w:val="center"/>
          </w:tcPr>
          <w:p w:rsidR="00D352A3" w:rsidRPr="001C5A26" w:rsidRDefault="00D352A3" w:rsidP="00A92524">
            <w:pPr>
              <w:pStyle w:val="Tablewriting"/>
              <w:rPr>
                <w:rFonts w:eastAsia="MS Mincho"/>
                <w:highlight w:val="yellow"/>
                <w:vertAlign w:val="superscript"/>
              </w:rPr>
            </w:pPr>
            <w:r>
              <w:rPr>
                <w:rFonts w:eastAsia="MS Mincho"/>
              </w:rPr>
              <w:t>Lindson (2019)</w:t>
            </w:r>
            <w:r w:rsidR="00F46619">
              <w:rPr>
                <w:rFonts w:eastAsia="MS Mincho"/>
                <w:vertAlign w:val="superscript"/>
              </w:rPr>
              <w:t>1</w:t>
            </w:r>
          </w:p>
        </w:tc>
        <w:tc>
          <w:tcPr>
            <w:tcW w:w="1022" w:type="pct"/>
          </w:tcPr>
          <w:p w:rsidR="00D352A3" w:rsidRDefault="00D352A3" w:rsidP="00A92524">
            <w:pPr>
              <w:pStyle w:val="Tablewriting"/>
              <w:jc w:val="center"/>
              <w:rPr>
                <w:rFonts w:eastAsia="MS Mincho"/>
              </w:rPr>
            </w:pPr>
            <w:r>
              <w:rPr>
                <w:rFonts w:eastAsia="MS Mincho"/>
              </w:rPr>
              <w:t>Cochrane Review</w:t>
            </w:r>
          </w:p>
          <w:p w:rsidR="00D352A3" w:rsidRDefault="00D352A3" w:rsidP="00A92524">
            <w:pPr>
              <w:pStyle w:val="Tablewriting"/>
              <w:jc w:val="center"/>
              <w:rPr>
                <w:rFonts w:eastAsia="MS Mincho"/>
              </w:rPr>
            </w:pPr>
            <w:r>
              <w:rPr>
                <w:rFonts w:eastAsia="MS Mincho"/>
              </w:rPr>
              <w:t>(3 RCTs)</w:t>
            </w:r>
          </w:p>
        </w:tc>
        <w:tc>
          <w:tcPr>
            <w:tcW w:w="865" w:type="pct"/>
            <w:tcMar>
              <w:left w:w="28" w:type="dxa"/>
              <w:right w:w="28" w:type="dxa"/>
            </w:tcMar>
            <w:vAlign w:val="center"/>
          </w:tcPr>
          <w:p w:rsidR="00D352A3" w:rsidRDefault="00D352A3" w:rsidP="00A92524">
            <w:pPr>
              <w:pStyle w:val="Tablewriting"/>
              <w:jc w:val="center"/>
              <w:rPr>
                <w:rFonts w:eastAsia="MS Mincho"/>
              </w:rPr>
            </w:pPr>
            <w:r>
              <w:rPr>
                <w:rFonts w:eastAsia="MS Mincho"/>
              </w:rPr>
              <w:t>14/1,943</w:t>
            </w:r>
          </w:p>
          <w:p w:rsidR="00D352A3" w:rsidRPr="001B08F9" w:rsidRDefault="00D352A3" w:rsidP="00A92524">
            <w:pPr>
              <w:pStyle w:val="Tablewriting"/>
              <w:jc w:val="center"/>
              <w:rPr>
                <w:rFonts w:eastAsia="MS Mincho"/>
              </w:rPr>
            </w:pPr>
            <w:r>
              <w:rPr>
                <w:rFonts w:eastAsia="MS Mincho"/>
              </w:rPr>
              <w:t>(0.7%)</w:t>
            </w:r>
          </w:p>
        </w:tc>
        <w:tc>
          <w:tcPr>
            <w:tcW w:w="943" w:type="pct"/>
            <w:tcMar>
              <w:left w:w="28" w:type="dxa"/>
              <w:right w:w="28" w:type="dxa"/>
            </w:tcMar>
            <w:vAlign w:val="center"/>
          </w:tcPr>
          <w:p w:rsidR="00D352A3" w:rsidRDefault="00D352A3" w:rsidP="00A92524">
            <w:pPr>
              <w:pStyle w:val="Tablewriting"/>
              <w:jc w:val="center"/>
              <w:rPr>
                <w:rFonts w:eastAsia="MS Mincho"/>
              </w:rPr>
            </w:pPr>
            <w:r>
              <w:rPr>
                <w:rFonts w:eastAsia="MS Mincho"/>
              </w:rPr>
              <w:t>7/1,586</w:t>
            </w:r>
          </w:p>
          <w:p w:rsidR="00D352A3" w:rsidRPr="001B08F9" w:rsidRDefault="00D352A3" w:rsidP="00A92524">
            <w:pPr>
              <w:pStyle w:val="Tablewriting"/>
              <w:jc w:val="center"/>
              <w:rPr>
                <w:rFonts w:eastAsia="MS Mincho"/>
              </w:rPr>
            </w:pPr>
            <w:r>
              <w:rPr>
                <w:rFonts w:eastAsia="MS Mincho"/>
              </w:rPr>
              <w:t>(0.4%)</w:t>
            </w:r>
          </w:p>
        </w:tc>
        <w:tc>
          <w:tcPr>
            <w:tcW w:w="786" w:type="pct"/>
            <w:tcMar>
              <w:left w:w="28" w:type="dxa"/>
              <w:right w:w="28" w:type="dxa"/>
            </w:tcMar>
            <w:vAlign w:val="center"/>
          </w:tcPr>
          <w:p w:rsidR="00D352A3" w:rsidRDefault="00D352A3" w:rsidP="00A92524">
            <w:pPr>
              <w:pStyle w:val="Tablewriting"/>
              <w:jc w:val="center"/>
              <w:rPr>
                <w:rFonts w:eastAsia="MS Mincho"/>
              </w:rPr>
            </w:pPr>
            <w:r>
              <w:rPr>
                <w:rFonts w:eastAsia="MS Mincho"/>
              </w:rPr>
              <w:t>1.94</w:t>
            </w:r>
          </w:p>
          <w:p w:rsidR="00D352A3" w:rsidRPr="00A10F2A" w:rsidRDefault="00D352A3" w:rsidP="00A92524">
            <w:pPr>
              <w:pStyle w:val="Tablewriting"/>
              <w:jc w:val="center"/>
              <w:rPr>
                <w:rFonts w:eastAsia="MS Mincho"/>
              </w:rPr>
            </w:pPr>
            <w:r>
              <w:rPr>
                <w:rFonts w:eastAsia="MS Mincho"/>
              </w:rPr>
              <w:t>(0.81, 4.65)</w:t>
            </w:r>
          </w:p>
        </w:tc>
        <w:tc>
          <w:tcPr>
            <w:tcW w:w="758" w:type="pct"/>
            <w:vAlign w:val="center"/>
          </w:tcPr>
          <w:p w:rsidR="00D352A3" w:rsidRPr="00432A29" w:rsidRDefault="00D352A3" w:rsidP="00A92524">
            <w:pPr>
              <w:pStyle w:val="Tablewriting"/>
              <w:jc w:val="center"/>
              <w:rPr>
                <w:rFonts w:eastAsia="MS Mincho"/>
                <w:highlight w:val="yellow"/>
              </w:rPr>
            </w:pPr>
            <w:r w:rsidRPr="000B4DD6">
              <w:rPr>
                <w:rFonts w:eastAsia="MS Mincho"/>
              </w:rPr>
              <w:t>NR</w:t>
            </w:r>
          </w:p>
        </w:tc>
      </w:tr>
      <w:tr w:rsidR="00D352A3" w:rsidRPr="00061F78" w:rsidTr="00F46619">
        <w:trPr>
          <w:cantSplit/>
          <w:trHeight w:val="149"/>
        </w:trPr>
        <w:tc>
          <w:tcPr>
            <w:tcW w:w="5000" w:type="pct"/>
            <w:gridSpan w:val="6"/>
            <w:shd w:val="clear" w:color="auto" w:fill="auto"/>
          </w:tcPr>
          <w:p w:rsidR="00D352A3" w:rsidRPr="00F46619" w:rsidRDefault="00D352A3" w:rsidP="00A92524">
            <w:pPr>
              <w:pStyle w:val="Tablewriting"/>
              <w:rPr>
                <w:rFonts w:eastAsia="MS Mincho"/>
                <w:b/>
                <w:bCs/>
              </w:rPr>
            </w:pPr>
            <w:r w:rsidRPr="00F46619">
              <w:rPr>
                <w:rFonts w:eastAsia="MS Mincho"/>
                <w:b/>
                <w:bCs/>
              </w:rPr>
              <w:t>Overall SAEs</w:t>
            </w:r>
          </w:p>
        </w:tc>
      </w:tr>
      <w:tr w:rsidR="00D352A3" w:rsidRPr="00061F78" w:rsidTr="00125A1C">
        <w:trPr>
          <w:cantSplit/>
          <w:trHeight w:val="149"/>
        </w:trPr>
        <w:tc>
          <w:tcPr>
            <w:tcW w:w="627" w:type="pct"/>
            <w:tcMar>
              <w:left w:w="28" w:type="dxa"/>
              <w:right w:w="28" w:type="dxa"/>
            </w:tcMar>
            <w:vAlign w:val="center"/>
          </w:tcPr>
          <w:p w:rsidR="00D352A3" w:rsidRPr="004004E8" w:rsidRDefault="00D352A3" w:rsidP="00A92524">
            <w:pPr>
              <w:pStyle w:val="Tablewriting"/>
              <w:rPr>
                <w:rFonts w:eastAsia="MS Mincho"/>
                <w:vertAlign w:val="superscript"/>
              </w:rPr>
            </w:pPr>
            <w:r>
              <w:rPr>
                <w:rFonts w:eastAsia="MS Mincho"/>
              </w:rPr>
              <w:t>Lindson (2019)</w:t>
            </w:r>
            <w:r w:rsidR="00F46619">
              <w:rPr>
                <w:rFonts w:eastAsia="MS Mincho"/>
                <w:vertAlign w:val="superscript"/>
              </w:rPr>
              <w:t>1</w:t>
            </w:r>
          </w:p>
        </w:tc>
        <w:tc>
          <w:tcPr>
            <w:tcW w:w="1022" w:type="pct"/>
          </w:tcPr>
          <w:p w:rsidR="00D352A3" w:rsidRDefault="00D352A3" w:rsidP="00A92524">
            <w:pPr>
              <w:pStyle w:val="Tablewriting"/>
              <w:jc w:val="center"/>
              <w:rPr>
                <w:rFonts w:eastAsia="MS Mincho"/>
              </w:rPr>
            </w:pPr>
            <w:r>
              <w:rPr>
                <w:rFonts w:eastAsia="MS Mincho"/>
              </w:rPr>
              <w:t>Cochrane Review</w:t>
            </w:r>
          </w:p>
          <w:p w:rsidR="00D352A3" w:rsidRDefault="00D352A3" w:rsidP="00A92524">
            <w:pPr>
              <w:pStyle w:val="Tablewriting"/>
              <w:jc w:val="center"/>
              <w:rPr>
                <w:rFonts w:eastAsia="MS Mincho"/>
              </w:rPr>
            </w:pPr>
            <w:r>
              <w:rPr>
                <w:rFonts w:eastAsia="MS Mincho"/>
              </w:rPr>
              <w:t>(4 RCTs)</w:t>
            </w:r>
          </w:p>
        </w:tc>
        <w:tc>
          <w:tcPr>
            <w:tcW w:w="865" w:type="pct"/>
            <w:tcMar>
              <w:left w:w="28" w:type="dxa"/>
              <w:right w:w="28" w:type="dxa"/>
            </w:tcMar>
            <w:vAlign w:val="center"/>
          </w:tcPr>
          <w:p w:rsidR="00D352A3" w:rsidRDefault="00D352A3" w:rsidP="00A92524">
            <w:pPr>
              <w:pStyle w:val="Tablewriting"/>
              <w:jc w:val="center"/>
              <w:rPr>
                <w:rFonts w:eastAsia="MS Mincho"/>
              </w:rPr>
            </w:pPr>
            <w:r>
              <w:rPr>
                <w:rFonts w:eastAsia="MS Mincho"/>
              </w:rPr>
              <w:t>20/2,134</w:t>
            </w:r>
          </w:p>
          <w:p w:rsidR="00D352A3" w:rsidRPr="000911DD" w:rsidRDefault="00D352A3" w:rsidP="00A92524">
            <w:pPr>
              <w:pStyle w:val="Tablewriting"/>
              <w:jc w:val="center"/>
              <w:rPr>
                <w:rFonts w:eastAsia="MS Mincho"/>
              </w:rPr>
            </w:pPr>
            <w:r>
              <w:rPr>
                <w:rFonts w:eastAsia="MS Mincho"/>
              </w:rPr>
              <w:t>(0.9%)</w:t>
            </w:r>
          </w:p>
        </w:tc>
        <w:tc>
          <w:tcPr>
            <w:tcW w:w="943" w:type="pct"/>
            <w:tcMar>
              <w:left w:w="28" w:type="dxa"/>
              <w:right w:w="28" w:type="dxa"/>
            </w:tcMar>
            <w:vAlign w:val="center"/>
          </w:tcPr>
          <w:p w:rsidR="00D352A3" w:rsidRDefault="00D352A3" w:rsidP="00A92524">
            <w:pPr>
              <w:pStyle w:val="Tablewriting"/>
              <w:jc w:val="center"/>
              <w:rPr>
                <w:rFonts w:eastAsia="MS Mincho"/>
              </w:rPr>
            </w:pPr>
            <w:r>
              <w:rPr>
                <w:rFonts w:eastAsia="MS Mincho"/>
              </w:rPr>
              <w:t>18/1,774</w:t>
            </w:r>
          </w:p>
          <w:p w:rsidR="00D352A3" w:rsidRPr="000911DD" w:rsidRDefault="00D352A3" w:rsidP="00A92524">
            <w:pPr>
              <w:pStyle w:val="Tablewriting"/>
              <w:jc w:val="center"/>
              <w:rPr>
                <w:rFonts w:eastAsia="MS Mincho"/>
              </w:rPr>
            </w:pPr>
            <w:r>
              <w:rPr>
                <w:rFonts w:eastAsia="MS Mincho"/>
              </w:rPr>
              <w:t>(1%)</w:t>
            </w:r>
          </w:p>
        </w:tc>
        <w:tc>
          <w:tcPr>
            <w:tcW w:w="786" w:type="pct"/>
            <w:tcMar>
              <w:left w:w="28" w:type="dxa"/>
              <w:right w:w="28" w:type="dxa"/>
            </w:tcMar>
            <w:vAlign w:val="center"/>
          </w:tcPr>
          <w:p w:rsidR="00D352A3" w:rsidRDefault="00D352A3" w:rsidP="00A92524">
            <w:pPr>
              <w:pStyle w:val="Tablewriting"/>
              <w:jc w:val="center"/>
              <w:rPr>
                <w:rFonts w:eastAsia="MS Mincho"/>
              </w:rPr>
            </w:pPr>
            <w:r>
              <w:rPr>
                <w:rFonts w:eastAsia="MS Mincho"/>
              </w:rPr>
              <w:t>1.11</w:t>
            </w:r>
          </w:p>
          <w:p w:rsidR="00D352A3" w:rsidRPr="00432A29" w:rsidRDefault="00D352A3" w:rsidP="00A92524">
            <w:pPr>
              <w:pStyle w:val="Tablewriting"/>
              <w:jc w:val="center"/>
              <w:rPr>
                <w:rFonts w:eastAsia="MS Mincho"/>
              </w:rPr>
            </w:pPr>
            <w:r>
              <w:rPr>
                <w:rFonts w:eastAsia="MS Mincho"/>
              </w:rPr>
              <w:t>(0.59, 2.09)</w:t>
            </w:r>
          </w:p>
        </w:tc>
        <w:tc>
          <w:tcPr>
            <w:tcW w:w="758" w:type="pct"/>
            <w:vAlign w:val="center"/>
          </w:tcPr>
          <w:p w:rsidR="00D352A3" w:rsidRPr="002970F5" w:rsidRDefault="00D352A3" w:rsidP="00A92524">
            <w:pPr>
              <w:pStyle w:val="Tablewriting"/>
              <w:jc w:val="center"/>
              <w:rPr>
                <w:rFonts w:eastAsia="MS Mincho"/>
                <w:highlight w:val="yellow"/>
              </w:rPr>
            </w:pPr>
            <w:r w:rsidRPr="000B4DD6">
              <w:rPr>
                <w:rFonts w:eastAsia="MS Mincho"/>
              </w:rPr>
              <w:t>NR</w:t>
            </w:r>
          </w:p>
        </w:tc>
      </w:tr>
      <w:tr w:rsidR="00D352A3" w:rsidRPr="00061F78" w:rsidTr="00125A1C">
        <w:trPr>
          <w:cantSplit/>
          <w:trHeight w:val="149"/>
        </w:trPr>
        <w:tc>
          <w:tcPr>
            <w:tcW w:w="627" w:type="pct"/>
            <w:tcMar>
              <w:left w:w="28" w:type="dxa"/>
              <w:right w:w="28" w:type="dxa"/>
            </w:tcMar>
            <w:vAlign w:val="center"/>
          </w:tcPr>
          <w:p w:rsidR="00D352A3" w:rsidRDefault="00D352A3" w:rsidP="00A92524">
            <w:pPr>
              <w:pStyle w:val="Tablewriting"/>
              <w:rPr>
                <w:rFonts w:eastAsia="MS Mincho"/>
              </w:rPr>
            </w:pPr>
            <w:r>
              <w:rPr>
                <w:rFonts w:eastAsia="MS Mincho"/>
              </w:rPr>
              <w:t xml:space="preserve">Updated </w:t>
            </w:r>
          </w:p>
          <w:p w:rsidR="00D352A3" w:rsidRPr="001C5A26" w:rsidRDefault="00D352A3" w:rsidP="00A92524">
            <w:pPr>
              <w:pStyle w:val="Tablewriting"/>
              <w:rPr>
                <w:rFonts w:eastAsia="MS Mincho"/>
                <w:vertAlign w:val="superscript"/>
              </w:rPr>
            </w:pPr>
            <w:r>
              <w:rPr>
                <w:rFonts w:eastAsia="MS Mincho"/>
              </w:rPr>
              <w:t>re-analysis</w:t>
            </w:r>
            <w:r w:rsidR="00F46619">
              <w:rPr>
                <w:rFonts w:eastAsia="MS Mincho"/>
                <w:vertAlign w:val="superscript"/>
              </w:rPr>
              <w:t>2</w:t>
            </w:r>
          </w:p>
        </w:tc>
        <w:tc>
          <w:tcPr>
            <w:tcW w:w="1022" w:type="pct"/>
          </w:tcPr>
          <w:p w:rsidR="00D352A3" w:rsidRDefault="00D352A3" w:rsidP="00A92524">
            <w:pPr>
              <w:pStyle w:val="Tablewriting"/>
              <w:jc w:val="center"/>
              <w:rPr>
                <w:rFonts w:eastAsia="MS Mincho"/>
              </w:rPr>
            </w:pPr>
            <w:r>
              <w:rPr>
                <w:rFonts w:eastAsia="MS Mincho"/>
              </w:rPr>
              <w:t>Lindson (2019) and Dedert (2018)</w:t>
            </w:r>
          </w:p>
        </w:tc>
        <w:tc>
          <w:tcPr>
            <w:tcW w:w="865" w:type="pct"/>
            <w:tcMar>
              <w:left w:w="28" w:type="dxa"/>
              <w:right w:w="28" w:type="dxa"/>
            </w:tcMar>
            <w:vAlign w:val="center"/>
          </w:tcPr>
          <w:p w:rsidR="00D352A3" w:rsidRDefault="00D352A3" w:rsidP="00A92524">
            <w:pPr>
              <w:pStyle w:val="Tablewriting"/>
              <w:jc w:val="center"/>
              <w:rPr>
                <w:rFonts w:eastAsia="MS Mincho"/>
              </w:rPr>
            </w:pPr>
            <w:r>
              <w:rPr>
                <w:rFonts w:eastAsia="MS Mincho"/>
              </w:rPr>
              <w:t>20/2,172</w:t>
            </w:r>
          </w:p>
          <w:p w:rsidR="00D352A3" w:rsidRPr="000911DD" w:rsidRDefault="00D352A3" w:rsidP="00A92524">
            <w:pPr>
              <w:pStyle w:val="Tablewriting"/>
              <w:jc w:val="center"/>
              <w:rPr>
                <w:rFonts w:eastAsia="MS Mincho"/>
              </w:rPr>
            </w:pPr>
            <w:r>
              <w:rPr>
                <w:rFonts w:eastAsia="MS Mincho"/>
              </w:rPr>
              <w:t>(0.9%)</w:t>
            </w:r>
          </w:p>
        </w:tc>
        <w:tc>
          <w:tcPr>
            <w:tcW w:w="943" w:type="pct"/>
            <w:tcMar>
              <w:left w:w="28" w:type="dxa"/>
              <w:right w:w="28" w:type="dxa"/>
            </w:tcMar>
            <w:vAlign w:val="center"/>
          </w:tcPr>
          <w:p w:rsidR="00D352A3" w:rsidRDefault="00D352A3" w:rsidP="00A92524">
            <w:pPr>
              <w:pStyle w:val="Tablewriting"/>
              <w:jc w:val="center"/>
              <w:rPr>
                <w:rFonts w:eastAsia="MS Mincho"/>
              </w:rPr>
            </w:pPr>
            <w:r>
              <w:rPr>
                <w:rFonts w:eastAsia="MS Mincho"/>
              </w:rPr>
              <w:t>20/1,818</w:t>
            </w:r>
          </w:p>
          <w:p w:rsidR="00D352A3" w:rsidRPr="000911DD" w:rsidRDefault="00D352A3" w:rsidP="00A92524">
            <w:pPr>
              <w:pStyle w:val="Tablewriting"/>
              <w:jc w:val="center"/>
              <w:rPr>
                <w:rFonts w:eastAsia="MS Mincho"/>
              </w:rPr>
            </w:pPr>
            <w:r>
              <w:rPr>
                <w:rFonts w:eastAsia="MS Mincho"/>
              </w:rPr>
              <w:t>(1.1%)</w:t>
            </w:r>
          </w:p>
        </w:tc>
        <w:tc>
          <w:tcPr>
            <w:tcW w:w="786" w:type="pct"/>
            <w:tcMar>
              <w:left w:w="28" w:type="dxa"/>
              <w:right w:w="28" w:type="dxa"/>
            </w:tcMar>
            <w:vAlign w:val="center"/>
          </w:tcPr>
          <w:p w:rsidR="00D352A3" w:rsidRDefault="00D352A3" w:rsidP="00A92524">
            <w:pPr>
              <w:pStyle w:val="Tablewriting"/>
              <w:jc w:val="center"/>
              <w:rPr>
                <w:rFonts w:eastAsia="MS Mincho"/>
              </w:rPr>
            </w:pPr>
            <w:r>
              <w:rPr>
                <w:rFonts w:eastAsia="MS Mincho"/>
              </w:rPr>
              <w:t>1.05</w:t>
            </w:r>
          </w:p>
          <w:p w:rsidR="00D352A3" w:rsidRDefault="00D352A3" w:rsidP="00A92524">
            <w:pPr>
              <w:pStyle w:val="Tablewriting"/>
              <w:jc w:val="center"/>
              <w:rPr>
                <w:rFonts w:eastAsia="MS Mincho"/>
              </w:rPr>
            </w:pPr>
            <w:r>
              <w:rPr>
                <w:rFonts w:eastAsia="MS Mincho"/>
              </w:rPr>
              <w:t>(0.56, 1.98)</w:t>
            </w:r>
          </w:p>
        </w:tc>
        <w:tc>
          <w:tcPr>
            <w:tcW w:w="758" w:type="pct"/>
            <w:vAlign w:val="center"/>
          </w:tcPr>
          <w:p w:rsidR="00D352A3" w:rsidRPr="00EF7887" w:rsidRDefault="00D352A3" w:rsidP="00A92524">
            <w:pPr>
              <w:pStyle w:val="Tablewriting"/>
              <w:jc w:val="center"/>
              <w:rPr>
                <w:rFonts w:eastAsia="MS Mincho"/>
              </w:rPr>
            </w:pPr>
            <w:r w:rsidRPr="00EF7887">
              <w:rPr>
                <w:rFonts w:eastAsia="MS Mincho"/>
              </w:rPr>
              <w:t>-0.00</w:t>
            </w:r>
          </w:p>
          <w:p w:rsidR="00D352A3" w:rsidRDefault="00D352A3" w:rsidP="00A92524">
            <w:pPr>
              <w:pStyle w:val="Tablewriting"/>
              <w:jc w:val="center"/>
              <w:rPr>
                <w:rFonts w:eastAsia="MS Mincho"/>
                <w:highlight w:val="yellow"/>
              </w:rPr>
            </w:pPr>
            <w:r w:rsidRPr="00EF7887">
              <w:rPr>
                <w:rFonts w:eastAsia="MS Mincho"/>
              </w:rPr>
              <w:t>(-0.01, 0.01)</w:t>
            </w:r>
          </w:p>
        </w:tc>
      </w:tr>
      <w:tr w:rsidR="00D352A3" w:rsidRPr="00061F78" w:rsidTr="00F46619">
        <w:trPr>
          <w:cantSplit/>
          <w:trHeight w:val="149"/>
        </w:trPr>
        <w:tc>
          <w:tcPr>
            <w:tcW w:w="5000" w:type="pct"/>
            <w:gridSpan w:val="6"/>
            <w:shd w:val="clear" w:color="auto" w:fill="auto"/>
          </w:tcPr>
          <w:p w:rsidR="00D352A3" w:rsidRPr="00F46619" w:rsidRDefault="00D352A3" w:rsidP="00A92524">
            <w:pPr>
              <w:pStyle w:val="Tablewriting"/>
              <w:rPr>
                <w:rFonts w:eastAsia="MS Mincho"/>
                <w:b/>
                <w:bCs/>
                <w:highlight w:val="yellow"/>
              </w:rPr>
            </w:pPr>
            <w:r w:rsidRPr="00F46619">
              <w:rPr>
                <w:rFonts w:eastAsia="MS Mincho"/>
                <w:b/>
                <w:bCs/>
              </w:rPr>
              <w:t>Treatment withdrawals</w:t>
            </w:r>
          </w:p>
        </w:tc>
      </w:tr>
      <w:tr w:rsidR="00D352A3" w:rsidRPr="00061F78" w:rsidTr="00125A1C">
        <w:trPr>
          <w:cantSplit/>
          <w:trHeight w:val="149"/>
        </w:trPr>
        <w:tc>
          <w:tcPr>
            <w:tcW w:w="627" w:type="pct"/>
            <w:tcMar>
              <w:left w:w="28" w:type="dxa"/>
              <w:right w:w="28" w:type="dxa"/>
            </w:tcMar>
            <w:vAlign w:val="center"/>
          </w:tcPr>
          <w:p w:rsidR="00D352A3" w:rsidRPr="004004E8" w:rsidRDefault="00D352A3" w:rsidP="00A92524">
            <w:pPr>
              <w:pStyle w:val="Tablewriting"/>
              <w:rPr>
                <w:rFonts w:eastAsia="MS Mincho"/>
                <w:vertAlign w:val="superscript"/>
              </w:rPr>
            </w:pPr>
            <w:r>
              <w:rPr>
                <w:rFonts w:eastAsia="MS Mincho"/>
              </w:rPr>
              <w:t>Lindson (2019)</w:t>
            </w:r>
            <w:r w:rsidR="00F46619">
              <w:rPr>
                <w:rFonts w:eastAsia="MS Mincho"/>
                <w:vertAlign w:val="superscript"/>
              </w:rPr>
              <w:t>1</w:t>
            </w:r>
          </w:p>
        </w:tc>
        <w:tc>
          <w:tcPr>
            <w:tcW w:w="1022" w:type="pct"/>
          </w:tcPr>
          <w:p w:rsidR="00D352A3" w:rsidRDefault="00D352A3" w:rsidP="00A92524">
            <w:pPr>
              <w:pStyle w:val="Tablewriting"/>
              <w:jc w:val="center"/>
              <w:rPr>
                <w:rFonts w:eastAsia="MS Mincho"/>
              </w:rPr>
            </w:pPr>
            <w:r>
              <w:rPr>
                <w:rFonts w:eastAsia="MS Mincho"/>
              </w:rPr>
              <w:t>Cochrane Review</w:t>
            </w:r>
          </w:p>
          <w:p w:rsidR="00D352A3" w:rsidRDefault="00D352A3" w:rsidP="00A92524">
            <w:pPr>
              <w:pStyle w:val="Tablewriting"/>
              <w:jc w:val="center"/>
              <w:rPr>
                <w:rFonts w:eastAsia="MS Mincho"/>
              </w:rPr>
            </w:pPr>
            <w:r>
              <w:rPr>
                <w:rFonts w:eastAsia="MS Mincho"/>
              </w:rPr>
              <w:t>(1 RCT)</w:t>
            </w:r>
          </w:p>
        </w:tc>
        <w:tc>
          <w:tcPr>
            <w:tcW w:w="865" w:type="pct"/>
            <w:vAlign w:val="center"/>
          </w:tcPr>
          <w:p w:rsidR="00D352A3" w:rsidRDefault="00D352A3" w:rsidP="00A92524">
            <w:pPr>
              <w:pStyle w:val="Tablewriting"/>
              <w:jc w:val="center"/>
              <w:rPr>
                <w:rFonts w:eastAsia="MS Mincho"/>
              </w:rPr>
            </w:pPr>
            <w:r>
              <w:rPr>
                <w:rFonts w:eastAsia="MS Mincho"/>
              </w:rPr>
              <w:t>0/40</w:t>
            </w:r>
          </w:p>
          <w:p w:rsidR="00D352A3" w:rsidRPr="000911DD" w:rsidRDefault="00D352A3" w:rsidP="00A92524">
            <w:pPr>
              <w:pStyle w:val="Tablewriting"/>
              <w:jc w:val="center"/>
              <w:rPr>
                <w:rFonts w:eastAsia="MS Mincho"/>
              </w:rPr>
            </w:pPr>
            <w:r>
              <w:rPr>
                <w:rFonts w:eastAsia="MS Mincho"/>
              </w:rPr>
              <w:t>(0%)</w:t>
            </w:r>
          </w:p>
        </w:tc>
        <w:tc>
          <w:tcPr>
            <w:tcW w:w="943" w:type="pct"/>
            <w:vAlign w:val="center"/>
          </w:tcPr>
          <w:p w:rsidR="00D352A3" w:rsidRDefault="00D352A3" w:rsidP="00A92524">
            <w:pPr>
              <w:pStyle w:val="Tablewriting"/>
              <w:jc w:val="center"/>
              <w:rPr>
                <w:rFonts w:eastAsia="MS Mincho"/>
              </w:rPr>
            </w:pPr>
            <w:r>
              <w:rPr>
                <w:rFonts w:eastAsia="MS Mincho"/>
              </w:rPr>
              <w:t>1/40</w:t>
            </w:r>
          </w:p>
          <w:p w:rsidR="00D352A3" w:rsidRPr="000911DD" w:rsidRDefault="00D352A3" w:rsidP="00A92524">
            <w:pPr>
              <w:pStyle w:val="Tablewriting"/>
              <w:jc w:val="center"/>
              <w:rPr>
                <w:rFonts w:eastAsia="MS Mincho"/>
              </w:rPr>
            </w:pPr>
            <w:r>
              <w:rPr>
                <w:rFonts w:eastAsia="MS Mincho"/>
              </w:rPr>
              <w:t>(2.5%)</w:t>
            </w:r>
          </w:p>
        </w:tc>
        <w:tc>
          <w:tcPr>
            <w:tcW w:w="786" w:type="pct"/>
            <w:tcMar>
              <w:left w:w="28" w:type="dxa"/>
              <w:right w:w="28" w:type="dxa"/>
            </w:tcMar>
            <w:vAlign w:val="center"/>
          </w:tcPr>
          <w:p w:rsidR="00D352A3" w:rsidRDefault="00D352A3" w:rsidP="00A92524">
            <w:pPr>
              <w:pStyle w:val="Tablewriting"/>
              <w:jc w:val="center"/>
              <w:rPr>
                <w:rFonts w:eastAsia="MS Mincho"/>
              </w:rPr>
            </w:pPr>
            <w:r>
              <w:rPr>
                <w:rFonts w:eastAsia="MS Mincho"/>
              </w:rPr>
              <w:t>0.33</w:t>
            </w:r>
          </w:p>
          <w:p w:rsidR="00D352A3" w:rsidRDefault="00D352A3" w:rsidP="00A92524">
            <w:pPr>
              <w:pStyle w:val="Tablewriting"/>
              <w:jc w:val="center"/>
              <w:rPr>
                <w:rFonts w:eastAsia="MS Mincho"/>
              </w:rPr>
            </w:pPr>
            <w:r>
              <w:rPr>
                <w:rFonts w:eastAsia="MS Mincho"/>
              </w:rPr>
              <w:t>(0.01, 7.95)</w:t>
            </w:r>
          </w:p>
        </w:tc>
        <w:tc>
          <w:tcPr>
            <w:tcW w:w="758" w:type="pct"/>
            <w:vAlign w:val="center"/>
          </w:tcPr>
          <w:p w:rsidR="00D352A3" w:rsidRDefault="00D352A3" w:rsidP="00A92524">
            <w:pPr>
              <w:pStyle w:val="Tablewriting"/>
              <w:jc w:val="center"/>
              <w:rPr>
                <w:rFonts w:eastAsia="MS Mincho"/>
                <w:highlight w:val="yellow"/>
              </w:rPr>
            </w:pPr>
            <w:r w:rsidRPr="000B4DD6">
              <w:rPr>
                <w:rFonts w:eastAsia="MS Mincho"/>
              </w:rPr>
              <w:t>NR</w:t>
            </w:r>
          </w:p>
        </w:tc>
      </w:tr>
    </w:tbl>
    <w:p w:rsidR="00D352A3" w:rsidRDefault="00D352A3" w:rsidP="00D352A3">
      <w:pPr>
        <w:pStyle w:val="TableFooter"/>
        <w:keepNext/>
      </w:pPr>
      <w:r>
        <w:t>Source: Lindson et al. (2019), Dedert et al. (2018)</w:t>
      </w:r>
    </w:p>
    <w:p w:rsidR="00D352A3" w:rsidRDefault="00D352A3" w:rsidP="00D352A3">
      <w:pPr>
        <w:pStyle w:val="TableFooter"/>
        <w:keepNext/>
      </w:pPr>
      <w:r>
        <w:t>Abbreviations: AEs = adverse events; CI = confidence interval; N</w:t>
      </w:r>
      <w:r w:rsidR="00F46619">
        <w:t>R</w:t>
      </w:r>
      <w:r>
        <w:t xml:space="preserve"> = not </w:t>
      </w:r>
      <w:r w:rsidR="00F46619">
        <w:t>reported</w:t>
      </w:r>
      <w:r>
        <w:t>; RCT = randomised controlled trial; RD = risk difference; RR = risk ratio; SAEs = serious adverse events.</w:t>
      </w:r>
    </w:p>
    <w:p w:rsidR="00D352A3" w:rsidRDefault="00D352A3" w:rsidP="00D352A3">
      <w:pPr>
        <w:pStyle w:val="TableFooter"/>
        <w:keepNext/>
      </w:pPr>
      <w:r w:rsidRPr="00FD4061">
        <w:t>Note</w:t>
      </w:r>
      <w:r>
        <w:t>s</w:t>
      </w:r>
      <w:r w:rsidRPr="00FD4061">
        <w:t xml:space="preserve">: </w:t>
      </w:r>
      <w:r w:rsidRPr="008D1485">
        <w:t>Bold</w:t>
      </w:r>
      <w:r w:rsidRPr="00FD4061">
        <w:t xml:space="preserve"> indicates statistically significant difference.</w:t>
      </w:r>
      <w:r>
        <w:t xml:space="preserve"> </w:t>
      </w:r>
      <w:r w:rsidRPr="00B032C3">
        <w:t xml:space="preserve">See </w:t>
      </w:r>
      <w:r w:rsidRPr="00425FCE">
        <w:t xml:space="preserve">Appendix </w:t>
      </w:r>
      <w:r w:rsidR="003C4A1C">
        <w:t xml:space="preserve">Figure </w:t>
      </w:r>
      <w:r w:rsidR="003C4A1C">
        <w:rPr>
          <w:noProof/>
        </w:rPr>
        <w:t>100</w:t>
      </w:r>
      <w:r w:rsidR="00425FCE">
        <w:t xml:space="preserve">, </w:t>
      </w:r>
      <w:r w:rsidR="003C4A1C">
        <w:t xml:space="preserve">Figure </w:t>
      </w:r>
      <w:r w:rsidR="003C4A1C">
        <w:rPr>
          <w:noProof/>
        </w:rPr>
        <w:t>101</w:t>
      </w:r>
      <w:r w:rsidR="00425FCE">
        <w:t xml:space="preserve">, </w:t>
      </w:r>
      <w:r w:rsidR="003C4A1C">
        <w:t xml:space="preserve">Figure </w:t>
      </w:r>
      <w:r w:rsidR="003C4A1C">
        <w:rPr>
          <w:noProof/>
        </w:rPr>
        <w:t>102</w:t>
      </w:r>
      <w:r w:rsidR="00425FCE">
        <w:t xml:space="preserve">, </w:t>
      </w:r>
      <w:r w:rsidR="003C4A1C">
        <w:t xml:space="preserve">Figure </w:t>
      </w:r>
      <w:r w:rsidR="003C4A1C">
        <w:rPr>
          <w:noProof/>
        </w:rPr>
        <w:t>103</w:t>
      </w:r>
      <w:r w:rsidR="00425FCE">
        <w:t xml:space="preserve">, and </w:t>
      </w:r>
      <w:r w:rsidR="003C4A1C">
        <w:t xml:space="preserve">Figure </w:t>
      </w:r>
      <w:r w:rsidR="003C4A1C">
        <w:rPr>
          <w:noProof/>
        </w:rPr>
        <w:t>104</w:t>
      </w:r>
      <w:r>
        <w:t xml:space="preserve"> </w:t>
      </w:r>
      <w:r w:rsidRPr="00B032C3">
        <w:t>for forest plots of the respective outcomes which included the results of individual studies.</w:t>
      </w:r>
    </w:p>
    <w:p w:rsidR="00D352A3" w:rsidRDefault="00D352A3" w:rsidP="00D352A3">
      <w:pPr>
        <w:pStyle w:val="TableFooter"/>
        <w:keepNext/>
      </w:pPr>
      <w:r>
        <w:t>1</w:t>
      </w:r>
      <w:r w:rsidRPr="00432CC7">
        <w:t xml:space="preserve"> </w:t>
      </w:r>
      <w:r w:rsidRPr="00D32EBD">
        <w:t xml:space="preserve">Calculated </w:t>
      </w:r>
      <w:r>
        <w:t xml:space="preserve">by Cochrane Review authors </w:t>
      </w:r>
      <w:r w:rsidRPr="00D32EBD">
        <w:t>using a fixed-effect model</w:t>
      </w:r>
      <w:r w:rsidR="00ED0CBA">
        <w:t>.</w:t>
      </w:r>
    </w:p>
    <w:p w:rsidR="00D352A3" w:rsidRPr="00D352A3" w:rsidRDefault="00F46619" w:rsidP="00D352A3">
      <w:pPr>
        <w:pStyle w:val="TableFooter"/>
        <w:keepNext/>
      </w:pPr>
      <w:r>
        <w:t>2</w:t>
      </w:r>
      <w:r w:rsidR="00D352A3">
        <w:t xml:space="preserve"> Calculated during the review using a random-effect model</w:t>
      </w:r>
      <w:r w:rsidR="00ED0CBA">
        <w:t>.</w:t>
      </w:r>
      <w:r w:rsidR="00D352A3">
        <w:t xml:space="preserve"> </w:t>
      </w:r>
    </w:p>
    <w:p w:rsidR="003370C1" w:rsidRDefault="003370C1" w:rsidP="00D02475">
      <w:pPr>
        <w:pStyle w:val="Heading5"/>
        <w:numPr>
          <w:ilvl w:val="0"/>
          <w:numId w:val="0"/>
        </w:numPr>
      </w:pPr>
      <w:r w:rsidRPr="00C74B37">
        <w:t>Cut down to quit</w:t>
      </w:r>
    </w:p>
    <w:p w:rsidR="004D63D8" w:rsidRPr="004D63D8" w:rsidRDefault="004D63D8" w:rsidP="004D63D8">
      <w:pPr>
        <w:rPr>
          <w:u w:val="single"/>
        </w:rPr>
      </w:pPr>
      <w:r w:rsidRPr="004D63D8">
        <w:rPr>
          <w:u w:val="single"/>
        </w:rPr>
        <w:t>Efficacy</w:t>
      </w:r>
    </w:p>
    <w:p w:rsidR="00855B2F" w:rsidRDefault="003370C1" w:rsidP="003370C1">
      <w:pPr>
        <w:jc w:val="both"/>
      </w:pPr>
      <w:r w:rsidRPr="0037074A">
        <w:t>A summary of the smoking cessation rates f</w:t>
      </w:r>
      <w:r w:rsidR="00C623F4">
        <w:t>or</w:t>
      </w:r>
      <w:r w:rsidRPr="0037074A">
        <w:t xml:space="preserve"> at least six months follow-up</w:t>
      </w:r>
      <w:r w:rsidR="00840A12">
        <w:t xml:space="preserve"> for reduction with pharmacotherapy versus reduction alone</w:t>
      </w:r>
      <w:r w:rsidRPr="0037074A">
        <w:t xml:space="preserve"> is presented in</w:t>
      </w:r>
      <w:r w:rsidR="0004644D">
        <w:t xml:space="preserve"> </w:t>
      </w:r>
      <w:r w:rsidR="003C4A1C">
        <w:t xml:space="preserve">Table </w:t>
      </w:r>
      <w:r w:rsidR="003C4A1C">
        <w:rPr>
          <w:noProof/>
        </w:rPr>
        <w:t>102</w:t>
      </w:r>
      <w:r>
        <w:t xml:space="preserve">. </w:t>
      </w:r>
      <w:r w:rsidR="00855B2F">
        <w:t xml:space="preserve">Based on the </w:t>
      </w:r>
      <w:r w:rsidR="009D4E55">
        <w:t>Cochrane Review</w:t>
      </w:r>
      <w:r w:rsidR="00855B2F">
        <w:t xml:space="preserve"> conducted by Lindson et al. (2019b),</w:t>
      </w:r>
      <w:r w:rsidR="009D4E55">
        <w:t xml:space="preserve"> the results of the meta-analysis demonstrated a </w:t>
      </w:r>
      <w:r w:rsidR="00975A5E">
        <w:t>significantly higher</w:t>
      </w:r>
      <w:r w:rsidR="00A65518">
        <w:t xml:space="preserve"> rate of smoking cessation in reduction with pharmacotherapy versus reduction alone </w:t>
      </w:r>
      <w:r w:rsidR="00770209">
        <w:t>in</w:t>
      </w:r>
      <w:r w:rsidR="00A65518">
        <w:t xml:space="preserve"> </w:t>
      </w:r>
      <w:r w:rsidR="00E43F07">
        <w:t xml:space="preserve">the </w:t>
      </w:r>
      <w:r w:rsidR="00A65518">
        <w:t>fast acting NRT</w:t>
      </w:r>
      <w:r w:rsidR="00770209">
        <w:t xml:space="preserve"> subgroup</w:t>
      </w:r>
      <w:r w:rsidR="00BE1D59">
        <w:t>. There were no statistically significant difference</w:t>
      </w:r>
      <w:r w:rsidR="0032299D">
        <w:t>s</w:t>
      </w:r>
      <w:r w:rsidR="00BE1D59">
        <w:t xml:space="preserve"> </w:t>
      </w:r>
      <w:r w:rsidR="0032299D">
        <w:t xml:space="preserve">between the two treatment arms </w:t>
      </w:r>
      <w:r w:rsidR="00770209">
        <w:t xml:space="preserve">in </w:t>
      </w:r>
      <w:r w:rsidR="0097468B">
        <w:t>either</w:t>
      </w:r>
      <w:r w:rsidR="0032299D">
        <w:t xml:space="preserve"> combination NRT </w:t>
      </w:r>
      <w:r w:rsidR="0097468B">
        <w:t>or</w:t>
      </w:r>
      <w:r w:rsidR="0032299D">
        <w:t xml:space="preserve"> NRT </w:t>
      </w:r>
      <w:r w:rsidR="00573F59">
        <w:t>patches</w:t>
      </w:r>
      <w:r w:rsidR="0097468B">
        <w:t xml:space="preserve"> subgroups</w:t>
      </w:r>
      <w:r w:rsidR="0032299D">
        <w:t>.</w:t>
      </w:r>
      <w:r w:rsidR="00855B2F">
        <w:t xml:space="preserve"> </w:t>
      </w:r>
    </w:p>
    <w:p w:rsidR="00DE7819" w:rsidRDefault="00DE7819" w:rsidP="00DE7819">
      <w:pPr>
        <w:pStyle w:val="Caption"/>
        <w:keepNext/>
      </w:pPr>
      <w:bookmarkStart w:id="211" w:name="_Ref59701461"/>
      <w:r>
        <w:lastRenderedPageBreak/>
        <w:t xml:space="preserve">Table </w:t>
      </w:r>
      <w:r w:rsidR="003C4A1C">
        <w:rPr>
          <w:noProof/>
        </w:rPr>
        <w:t>102</w:t>
      </w:r>
      <w:bookmarkEnd w:id="211"/>
      <w:r>
        <w:t xml:space="preserve">: </w:t>
      </w:r>
      <w:r w:rsidRPr="00497D03">
        <w:t>Results of smoking cessation f</w:t>
      </w:r>
      <w:r w:rsidR="00C623F4">
        <w:t>or</w:t>
      </w:r>
      <w:r w:rsidRPr="00497D03">
        <w:t xml:space="preserve"> at least six months follow-up, reduction with pharmacotherapy versus reduction alone</w:t>
      </w:r>
    </w:p>
    <w:tbl>
      <w:tblPr>
        <w:tblStyle w:val="TableGrid"/>
        <w:tblW w:w="5000" w:type="pct"/>
        <w:tblLook w:val="04A0" w:firstRow="1" w:lastRow="0" w:firstColumn="1" w:lastColumn="0" w:noHBand="0" w:noVBand="1"/>
        <w:tblCaption w:val="Efficacy results of adalimumab trials (PASI 75 and DLQI)"/>
      </w:tblPr>
      <w:tblGrid>
        <w:gridCol w:w="1346"/>
        <w:gridCol w:w="2167"/>
        <w:gridCol w:w="1843"/>
        <w:gridCol w:w="1832"/>
        <w:gridCol w:w="1828"/>
      </w:tblGrid>
      <w:tr w:rsidR="003370C1" w:rsidRPr="00061F78" w:rsidTr="00535FAC">
        <w:trPr>
          <w:cantSplit/>
          <w:trHeight w:val="299"/>
          <w:tblHeader/>
        </w:trPr>
        <w:tc>
          <w:tcPr>
            <w:tcW w:w="746" w:type="pct"/>
            <w:shd w:val="clear" w:color="auto" w:fill="BFBFBF" w:themeFill="background1" w:themeFillShade="BF"/>
            <w:tcMar>
              <w:left w:w="28" w:type="dxa"/>
              <w:right w:w="28" w:type="dxa"/>
            </w:tcMar>
          </w:tcPr>
          <w:p w:rsidR="003370C1" w:rsidRPr="00061F78" w:rsidRDefault="003370C1" w:rsidP="00A5263B">
            <w:pPr>
              <w:pStyle w:val="Tableheading"/>
              <w:keepNext/>
              <w:rPr>
                <w:rFonts w:eastAsia="MS Mincho"/>
              </w:rPr>
            </w:pPr>
            <w:r>
              <w:rPr>
                <w:rFonts w:eastAsia="MS Mincho"/>
              </w:rPr>
              <w:t>Study</w:t>
            </w:r>
          </w:p>
        </w:tc>
        <w:tc>
          <w:tcPr>
            <w:tcW w:w="1202" w:type="pct"/>
            <w:shd w:val="clear" w:color="auto" w:fill="BFBFBF" w:themeFill="background1" w:themeFillShade="BF"/>
            <w:vAlign w:val="center"/>
          </w:tcPr>
          <w:p w:rsidR="003370C1" w:rsidRDefault="003370C1" w:rsidP="00A5263B">
            <w:pPr>
              <w:pStyle w:val="Tableheading"/>
              <w:keepNext/>
              <w:jc w:val="center"/>
              <w:rPr>
                <w:rFonts w:eastAsia="MS Mincho"/>
              </w:rPr>
            </w:pPr>
            <w:r>
              <w:rPr>
                <w:rFonts w:eastAsia="MS Mincho"/>
              </w:rPr>
              <w:t>Study type</w:t>
            </w:r>
          </w:p>
        </w:tc>
        <w:tc>
          <w:tcPr>
            <w:tcW w:w="1022" w:type="pct"/>
            <w:shd w:val="clear" w:color="auto" w:fill="BFBFBF" w:themeFill="background1" w:themeFillShade="BF"/>
            <w:tcMar>
              <w:left w:w="28" w:type="dxa"/>
              <w:right w:w="28" w:type="dxa"/>
            </w:tcMar>
            <w:vAlign w:val="center"/>
          </w:tcPr>
          <w:p w:rsidR="003370C1" w:rsidRPr="00061F78" w:rsidRDefault="003370C1" w:rsidP="00A5263B">
            <w:pPr>
              <w:pStyle w:val="Tableheading"/>
              <w:keepNext/>
              <w:jc w:val="center"/>
              <w:rPr>
                <w:rFonts w:eastAsia="MS Mincho"/>
              </w:rPr>
            </w:pPr>
            <w:r w:rsidRPr="00121B29">
              <w:rPr>
                <w:rFonts w:eastAsia="MS Mincho"/>
              </w:rPr>
              <w:t>Reduction</w:t>
            </w:r>
            <w:r>
              <w:rPr>
                <w:rFonts w:eastAsia="MS Mincho"/>
              </w:rPr>
              <w:t xml:space="preserve"> </w:t>
            </w:r>
            <w:r w:rsidRPr="00121B29">
              <w:rPr>
                <w:rFonts w:eastAsia="MS Mincho"/>
              </w:rPr>
              <w:t>+ phar</w:t>
            </w:r>
            <w:r>
              <w:rPr>
                <w:rFonts w:eastAsia="MS Mincho"/>
              </w:rPr>
              <w:t>macotherapy</w:t>
            </w:r>
          </w:p>
        </w:tc>
        <w:tc>
          <w:tcPr>
            <w:tcW w:w="1016" w:type="pct"/>
            <w:shd w:val="clear" w:color="auto" w:fill="BFBFBF" w:themeFill="background1" w:themeFillShade="BF"/>
            <w:tcMar>
              <w:left w:w="28" w:type="dxa"/>
              <w:right w:w="28" w:type="dxa"/>
            </w:tcMar>
            <w:vAlign w:val="center"/>
          </w:tcPr>
          <w:p w:rsidR="003370C1" w:rsidRPr="00061F78" w:rsidRDefault="003370C1" w:rsidP="00A5263B">
            <w:pPr>
              <w:pStyle w:val="Tableheading"/>
              <w:keepNext/>
              <w:jc w:val="center"/>
              <w:rPr>
                <w:rFonts w:eastAsia="MS Mincho"/>
              </w:rPr>
            </w:pPr>
            <w:r w:rsidRPr="00121B29">
              <w:rPr>
                <w:rFonts w:eastAsia="MS Mincho"/>
              </w:rPr>
              <w:t>Reduction</w:t>
            </w:r>
            <w:r>
              <w:rPr>
                <w:rFonts w:eastAsia="MS Mincho"/>
              </w:rPr>
              <w:t xml:space="preserve"> </w:t>
            </w:r>
            <w:r w:rsidRPr="00121B29">
              <w:rPr>
                <w:rFonts w:eastAsia="MS Mincho"/>
              </w:rPr>
              <w:t>alon</w:t>
            </w:r>
            <w:r>
              <w:rPr>
                <w:rFonts w:eastAsia="MS Mincho"/>
              </w:rPr>
              <w:t>e</w:t>
            </w:r>
          </w:p>
        </w:tc>
        <w:tc>
          <w:tcPr>
            <w:tcW w:w="1014" w:type="pct"/>
            <w:shd w:val="clear" w:color="auto" w:fill="BFBFBF" w:themeFill="background1" w:themeFillShade="BF"/>
            <w:tcMar>
              <w:left w:w="28" w:type="dxa"/>
              <w:right w:w="28" w:type="dxa"/>
            </w:tcMar>
            <w:vAlign w:val="center"/>
          </w:tcPr>
          <w:p w:rsidR="003370C1" w:rsidRPr="002D09A1" w:rsidRDefault="003370C1" w:rsidP="00A5263B">
            <w:pPr>
              <w:pStyle w:val="Tableheading"/>
              <w:keepNext/>
              <w:jc w:val="center"/>
              <w:rPr>
                <w:rFonts w:eastAsia="MS Mincho"/>
                <w:vertAlign w:val="superscript"/>
              </w:rPr>
            </w:pPr>
            <w:r>
              <w:rPr>
                <w:rFonts w:eastAsia="MS Mincho"/>
              </w:rPr>
              <w:t>RR (95% CI)</w:t>
            </w:r>
          </w:p>
        </w:tc>
      </w:tr>
      <w:tr w:rsidR="003370C1" w:rsidRPr="00061F78" w:rsidTr="00535FAC">
        <w:trPr>
          <w:cantSplit/>
          <w:trHeight w:val="257"/>
        </w:trPr>
        <w:tc>
          <w:tcPr>
            <w:tcW w:w="5000" w:type="pct"/>
            <w:gridSpan w:val="5"/>
            <w:shd w:val="clear" w:color="auto" w:fill="auto"/>
            <w:tcMar>
              <w:left w:w="28" w:type="dxa"/>
              <w:right w:w="28" w:type="dxa"/>
            </w:tcMar>
          </w:tcPr>
          <w:p w:rsidR="00535FAC" w:rsidRPr="0093605F" w:rsidRDefault="00535FAC" w:rsidP="00A5263B">
            <w:pPr>
              <w:pStyle w:val="Tablewriting"/>
              <w:keepNext/>
              <w:rPr>
                <w:rFonts w:eastAsia="MS Mincho"/>
                <w:b/>
                <w:bCs/>
              </w:rPr>
            </w:pPr>
            <w:r w:rsidRPr="0093605F">
              <w:rPr>
                <w:rFonts w:eastAsia="MS Mincho"/>
                <w:b/>
                <w:bCs/>
              </w:rPr>
              <w:t>Combination NRT</w:t>
            </w:r>
          </w:p>
        </w:tc>
      </w:tr>
      <w:tr w:rsidR="003370C1" w:rsidRPr="00061F78" w:rsidTr="00535FAC">
        <w:trPr>
          <w:cantSplit/>
          <w:trHeight w:val="99"/>
        </w:trPr>
        <w:tc>
          <w:tcPr>
            <w:tcW w:w="746" w:type="pct"/>
            <w:shd w:val="clear" w:color="auto" w:fill="auto"/>
            <w:tcMar>
              <w:left w:w="28" w:type="dxa"/>
              <w:right w:w="28" w:type="dxa"/>
            </w:tcMar>
            <w:vAlign w:val="center"/>
          </w:tcPr>
          <w:p w:rsidR="003370C1" w:rsidRPr="005D18BC" w:rsidRDefault="00535FAC" w:rsidP="00A5263B">
            <w:pPr>
              <w:pStyle w:val="Tablewriting"/>
              <w:keepNext/>
              <w:rPr>
                <w:rFonts w:eastAsia="MS Mincho"/>
                <w:highlight w:val="yellow"/>
              </w:rPr>
            </w:pPr>
            <w:r>
              <w:rPr>
                <w:rFonts w:eastAsia="MS Mincho"/>
              </w:rPr>
              <w:t>Lindson (2019</w:t>
            </w:r>
            <w:r w:rsidR="005B6285">
              <w:rPr>
                <w:rFonts w:eastAsia="MS Mincho"/>
              </w:rPr>
              <w:t>b</w:t>
            </w:r>
            <w:r>
              <w:rPr>
                <w:rFonts w:eastAsia="MS Mincho"/>
              </w:rPr>
              <w:t>)</w:t>
            </w:r>
          </w:p>
        </w:tc>
        <w:tc>
          <w:tcPr>
            <w:tcW w:w="1202" w:type="pct"/>
            <w:shd w:val="clear" w:color="auto" w:fill="auto"/>
            <w:vAlign w:val="center"/>
          </w:tcPr>
          <w:p w:rsidR="00535FAC" w:rsidRDefault="00535FAC" w:rsidP="00A5263B">
            <w:pPr>
              <w:pStyle w:val="Tablewriting"/>
              <w:keepNext/>
              <w:jc w:val="center"/>
              <w:rPr>
                <w:rFonts w:eastAsia="MS Mincho"/>
              </w:rPr>
            </w:pPr>
            <w:r>
              <w:rPr>
                <w:rFonts w:eastAsia="MS Mincho"/>
              </w:rPr>
              <w:t>Cochrane Review</w:t>
            </w:r>
          </w:p>
          <w:p w:rsidR="003370C1" w:rsidRPr="00A22F63" w:rsidRDefault="00535FAC" w:rsidP="00A5263B">
            <w:pPr>
              <w:pStyle w:val="Tablewriting"/>
              <w:keepNext/>
              <w:jc w:val="center"/>
              <w:rPr>
                <w:rFonts w:eastAsia="MS Mincho"/>
              </w:rPr>
            </w:pPr>
            <w:r>
              <w:rPr>
                <w:rFonts w:eastAsia="MS Mincho"/>
              </w:rPr>
              <w:t>(4 RCTs)</w:t>
            </w:r>
          </w:p>
        </w:tc>
        <w:tc>
          <w:tcPr>
            <w:tcW w:w="1022" w:type="pct"/>
            <w:shd w:val="clear" w:color="auto" w:fill="auto"/>
            <w:tcMar>
              <w:left w:w="28" w:type="dxa"/>
              <w:right w:w="28" w:type="dxa"/>
            </w:tcMar>
            <w:vAlign w:val="center"/>
          </w:tcPr>
          <w:p w:rsidR="00535FAC" w:rsidRDefault="00535FAC" w:rsidP="00A5263B">
            <w:pPr>
              <w:pStyle w:val="Tablewriting"/>
              <w:keepNext/>
              <w:jc w:val="center"/>
              <w:rPr>
                <w:rFonts w:eastAsia="MS Mincho"/>
              </w:rPr>
            </w:pPr>
            <w:r>
              <w:rPr>
                <w:rFonts w:eastAsia="MS Mincho"/>
              </w:rPr>
              <w:t>85/578</w:t>
            </w:r>
          </w:p>
          <w:p w:rsidR="003370C1" w:rsidRPr="000F20CA" w:rsidRDefault="00535FAC" w:rsidP="00A5263B">
            <w:pPr>
              <w:pStyle w:val="Tablewriting"/>
              <w:keepNext/>
              <w:jc w:val="center"/>
              <w:rPr>
                <w:rFonts w:eastAsia="MS Mincho"/>
              </w:rPr>
            </w:pPr>
            <w:r>
              <w:rPr>
                <w:rFonts w:eastAsia="MS Mincho"/>
              </w:rPr>
              <w:t>(</w:t>
            </w:r>
            <w:r w:rsidR="000E698E">
              <w:rPr>
                <w:rFonts w:eastAsia="MS Mincho"/>
              </w:rPr>
              <w:t>14.7</w:t>
            </w:r>
            <w:r>
              <w:rPr>
                <w:rFonts w:eastAsia="MS Mincho"/>
              </w:rPr>
              <w:t>%)</w:t>
            </w:r>
          </w:p>
        </w:tc>
        <w:tc>
          <w:tcPr>
            <w:tcW w:w="1016" w:type="pct"/>
            <w:shd w:val="clear" w:color="auto" w:fill="auto"/>
            <w:tcMar>
              <w:left w:w="28" w:type="dxa"/>
              <w:right w:w="28" w:type="dxa"/>
            </w:tcMar>
            <w:vAlign w:val="center"/>
          </w:tcPr>
          <w:p w:rsidR="00535FAC" w:rsidRDefault="00535FAC" w:rsidP="00A5263B">
            <w:pPr>
              <w:pStyle w:val="Tablewriting"/>
              <w:keepNext/>
              <w:jc w:val="center"/>
              <w:rPr>
                <w:rFonts w:eastAsia="MS Mincho"/>
              </w:rPr>
            </w:pPr>
            <w:r>
              <w:rPr>
                <w:rFonts w:eastAsia="MS Mincho"/>
              </w:rPr>
              <w:t>81/546</w:t>
            </w:r>
          </w:p>
          <w:p w:rsidR="003370C1" w:rsidRPr="000F20CA" w:rsidRDefault="00535FAC" w:rsidP="00A5263B">
            <w:pPr>
              <w:pStyle w:val="Tablewriting"/>
              <w:keepNext/>
              <w:jc w:val="center"/>
              <w:rPr>
                <w:rFonts w:eastAsia="MS Mincho"/>
              </w:rPr>
            </w:pPr>
            <w:r>
              <w:rPr>
                <w:rFonts w:eastAsia="MS Mincho"/>
              </w:rPr>
              <w:t>(</w:t>
            </w:r>
            <w:r w:rsidR="000E698E">
              <w:rPr>
                <w:rFonts w:eastAsia="MS Mincho"/>
              </w:rPr>
              <w:t>14.8</w:t>
            </w:r>
            <w:r>
              <w:rPr>
                <w:rFonts w:eastAsia="MS Mincho"/>
              </w:rPr>
              <w:t>%)</w:t>
            </w:r>
          </w:p>
        </w:tc>
        <w:tc>
          <w:tcPr>
            <w:tcW w:w="1014" w:type="pct"/>
            <w:shd w:val="clear" w:color="auto" w:fill="auto"/>
            <w:tcMar>
              <w:left w:w="28" w:type="dxa"/>
              <w:right w:w="28" w:type="dxa"/>
            </w:tcMar>
            <w:vAlign w:val="center"/>
          </w:tcPr>
          <w:p w:rsidR="00535FAC" w:rsidRPr="00121B29" w:rsidRDefault="00535FAC" w:rsidP="006232E8">
            <w:pPr>
              <w:pStyle w:val="Tablewriting"/>
              <w:keepNext/>
              <w:jc w:val="center"/>
              <w:rPr>
                <w:rFonts w:eastAsia="MS Mincho"/>
              </w:rPr>
            </w:pPr>
            <w:r w:rsidRPr="00121B29">
              <w:rPr>
                <w:rFonts w:eastAsia="MS Mincho"/>
              </w:rPr>
              <w:t xml:space="preserve">1.02 </w:t>
            </w:r>
          </w:p>
          <w:p w:rsidR="003370C1" w:rsidRPr="00A22F63" w:rsidRDefault="00535FAC" w:rsidP="00A5263B">
            <w:pPr>
              <w:pStyle w:val="Tablewriting"/>
              <w:keepNext/>
              <w:jc w:val="center"/>
              <w:rPr>
                <w:rFonts w:eastAsia="MS Mincho"/>
                <w:b/>
                <w:bCs/>
              </w:rPr>
            </w:pPr>
            <w:r w:rsidRPr="00121B29">
              <w:rPr>
                <w:rFonts w:eastAsia="MS Mincho"/>
              </w:rPr>
              <w:t>(0.61, 1.69)</w:t>
            </w:r>
          </w:p>
        </w:tc>
      </w:tr>
      <w:tr w:rsidR="003370C1" w:rsidRPr="00061F78" w:rsidTr="00535FAC">
        <w:trPr>
          <w:cantSplit/>
          <w:trHeight w:val="99"/>
        </w:trPr>
        <w:tc>
          <w:tcPr>
            <w:tcW w:w="5000" w:type="pct"/>
            <w:gridSpan w:val="5"/>
            <w:shd w:val="clear" w:color="auto" w:fill="auto"/>
            <w:tcMar>
              <w:left w:w="28" w:type="dxa"/>
              <w:right w:w="28" w:type="dxa"/>
            </w:tcMar>
            <w:vAlign w:val="center"/>
          </w:tcPr>
          <w:p w:rsidR="00535FAC" w:rsidRPr="0093605F" w:rsidRDefault="00535FAC" w:rsidP="00A5263B">
            <w:pPr>
              <w:pStyle w:val="Tablewriting"/>
              <w:keepNext/>
              <w:rPr>
                <w:rFonts w:eastAsia="MS Mincho"/>
                <w:b/>
                <w:bCs/>
              </w:rPr>
            </w:pPr>
            <w:r w:rsidRPr="0093605F">
              <w:rPr>
                <w:rFonts w:eastAsia="MS Mincho"/>
                <w:b/>
                <w:bCs/>
              </w:rPr>
              <w:t>Patch</w:t>
            </w:r>
          </w:p>
        </w:tc>
      </w:tr>
      <w:tr w:rsidR="003370C1" w:rsidRPr="00061F78" w:rsidTr="00535FAC">
        <w:trPr>
          <w:cantSplit/>
          <w:trHeight w:val="99"/>
        </w:trPr>
        <w:tc>
          <w:tcPr>
            <w:tcW w:w="746" w:type="pct"/>
            <w:shd w:val="clear" w:color="auto" w:fill="auto"/>
            <w:tcMar>
              <w:left w:w="28" w:type="dxa"/>
              <w:right w:w="28" w:type="dxa"/>
            </w:tcMar>
            <w:vAlign w:val="center"/>
          </w:tcPr>
          <w:p w:rsidR="003370C1" w:rsidRPr="00121B29" w:rsidRDefault="00535FAC" w:rsidP="00A5263B">
            <w:pPr>
              <w:pStyle w:val="Tablewriting"/>
              <w:keepNext/>
              <w:rPr>
                <w:rFonts w:eastAsia="MS Mincho"/>
              </w:rPr>
            </w:pPr>
            <w:r>
              <w:rPr>
                <w:rFonts w:eastAsia="MS Mincho"/>
              </w:rPr>
              <w:t>Lindson (2019</w:t>
            </w:r>
            <w:r w:rsidR="005B6285">
              <w:rPr>
                <w:rFonts w:eastAsia="MS Mincho"/>
              </w:rPr>
              <w:t>b</w:t>
            </w:r>
            <w:r>
              <w:rPr>
                <w:rFonts w:eastAsia="MS Mincho"/>
              </w:rPr>
              <w:t>)</w:t>
            </w:r>
          </w:p>
        </w:tc>
        <w:tc>
          <w:tcPr>
            <w:tcW w:w="1202" w:type="pct"/>
            <w:shd w:val="clear" w:color="auto" w:fill="auto"/>
            <w:vAlign w:val="center"/>
          </w:tcPr>
          <w:p w:rsidR="00535FAC" w:rsidRDefault="00535FAC" w:rsidP="006232E8">
            <w:pPr>
              <w:pStyle w:val="Tablewriting"/>
              <w:keepNext/>
              <w:jc w:val="center"/>
              <w:rPr>
                <w:rFonts w:eastAsia="MS Mincho"/>
              </w:rPr>
            </w:pPr>
            <w:r>
              <w:rPr>
                <w:rFonts w:eastAsia="MS Mincho"/>
              </w:rPr>
              <w:t>Cochrane Review</w:t>
            </w:r>
          </w:p>
          <w:p w:rsidR="003370C1" w:rsidRPr="00A22F63" w:rsidRDefault="00535FAC" w:rsidP="00A5263B">
            <w:pPr>
              <w:pStyle w:val="Tablewriting"/>
              <w:keepNext/>
              <w:jc w:val="center"/>
              <w:rPr>
                <w:rFonts w:eastAsia="MS Mincho"/>
              </w:rPr>
            </w:pPr>
            <w:r>
              <w:rPr>
                <w:rFonts w:eastAsia="MS Mincho"/>
              </w:rPr>
              <w:t>(2 RCTs)</w:t>
            </w:r>
          </w:p>
        </w:tc>
        <w:tc>
          <w:tcPr>
            <w:tcW w:w="1022" w:type="pct"/>
            <w:shd w:val="clear" w:color="auto" w:fill="auto"/>
            <w:tcMar>
              <w:left w:w="28" w:type="dxa"/>
              <w:right w:w="28" w:type="dxa"/>
            </w:tcMar>
            <w:vAlign w:val="center"/>
          </w:tcPr>
          <w:p w:rsidR="00535FAC" w:rsidRDefault="00D622DA" w:rsidP="006232E8">
            <w:pPr>
              <w:pStyle w:val="Tablewriting"/>
              <w:keepNext/>
              <w:jc w:val="center"/>
              <w:rPr>
                <w:rFonts w:eastAsia="MS Mincho"/>
              </w:rPr>
            </w:pPr>
            <w:r>
              <w:rPr>
                <w:rFonts w:eastAsia="MS Mincho"/>
              </w:rPr>
              <w:t>3/65</w:t>
            </w:r>
          </w:p>
          <w:p w:rsidR="003370C1" w:rsidRPr="000F20CA" w:rsidRDefault="00D622DA" w:rsidP="00A5263B">
            <w:pPr>
              <w:pStyle w:val="Tablewriting"/>
              <w:keepNext/>
              <w:jc w:val="center"/>
              <w:rPr>
                <w:rFonts w:eastAsia="MS Mincho"/>
              </w:rPr>
            </w:pPr>
            <w:r>
              <w:rPr>
                <w:rFonts w:eastAsia="MS Mincho"/>
              </w:rPr>
              <w:t>(</w:t>
            </w:r>
            <w:r w:rsidR="000E698E">
              <w:rPr>
                <w:rFonts w:eastAsia="MS Mincho"/>
              </w:rPr>
              <w:t>4.6</w:t>
            </w:r>
            <w:r>
              <w:rPr>
                <w:rFonts w:eastAsia="MS Mincho"/>
              </w:rPr>
              <w:t>%)</w:t>
            </w:r>
          </w:p>
        </w:tc>
        <w:tc>
          <w:tcPr>
            <w:tcW w:w="1016" w:type="pct"/>
            <w:shd w:val="clear" w:color="auto" w:fill="auto"/>
            <w:tcMar>
              <w:left w:w="28" w:type="dxa"/>
              <w:right w:w="28" w:type="dxa"/>
            </w:tcMar>
            <w:vAlign w:val="center"/>
          </w:tcPr>
          <w:p w:rsidR="00535FAC" w:rsidRDefault="00D622DA" w:rsidP="006232E8">
            <w:pPr>
              <w:pStyle w:val="Tablewriting"/>
              <w:keepNext/>
              <w:jc w:val="center"/>
              <w:rPr>
                <w:rFonts w:eastAsia="MS Mincho"/>
              </w:rPr>
            </w:pPr>
            <w:r>
              <w:rPr>
                <w:rFonts w:eastAsia="MS Mincho"/>
              </w:rPr>
              <w:t>3/20</w:t>
            </w:r>
          </w:p>
          <w:p w:rsidR="003370C1" w:rsidRPr="000F20CA" w:rsidRDefault="00D622DA" w:rsidP="00A5263B">
            <w:pPr>
              <w:pStyle w:val="Tablewriting"/>
              <w:keepNext/>
              <w:jc w:val="center"/>
              <w:rPr>
                <w:rFonts w:eastAsia="MS Mincho"/>
              </w:rPr>
            </w:pPr>
            <w:r>
              <w:rPr>
                <w:rFonts w:eastAsia="MS Mincho"/>
              </w:rPr>
              <w:t>(</w:t>
            </w:r>
            <w:r w:rsidR="000E698E">
              <w:rPr>
                <w:rFonts w:eastAsia="MS Mincho"/>
              </w:rPr>
              <w:t>15</w:t>
            </w:r>
            <w:r>
              <w:rPr>
                <w:rFonts w:eastAsia="MS Mincho"/>
              </w:rPr>
              <w:t>%)</w:t>
            </w:r>
          </w:p>
        </w:tc>
        <w:tc>
          <w:tcPr>
            <w:tcW w:w="1014" w:type="pct"/>
            <w:shd w:val="clear" w:color="auto" w:fill="auto"/>
            <w:tcMar>
              <w:left w:w="28" w:type="dxa"/>
              <w:right w:w="28" w:type="dxa"/>
            </w:tcMar>
            <w:vAlign w:val="center"/>
          </w:tcPr>
          <w:p w:rsidR="00535FAC" w:rsidRDefault="00535FAC" w:rsidP="006232E8">
            <w:pPr>
              <w:pStyle w:val="Tablewriting"/>
              <w:keepNext/>
              <w:jc w:val="center"/>
              <w:rPr>
                <w:rFonts w:eastAsia="MS Mincho"/>
              </w:rPr>
            </w:pPr>
            <w:r>
              <w:rPr>
                <w:rFonts w:eastAsia="MS Mincho"/>
              </w:rPr>
              <w:t>0.34</w:t>
            </w:r>
          </w:p>
          <w:p w:rsidR="003370C1" w:rsidRPr="00A22F63" w:rsidRDefault="00535FAC" w:rsidP="00A5263B">
            <w:pPr>
              <w:pStyle w:val="Tablewriting"/>
              <w:keepNext/>
              <w:jc w:val="center"/>
              <w:rPr>
                <w:rFonts w:eastAsia="MS Mincho"/>
                <w:b/>
                <w:bCs/>
              </w:rPr>
            </w:pPr>
            <w:r>
              <w:rPr>
                <w:rFonts w:eastAsia="MS Mincho"/>
              </w:rPr>
              <w:t>(0.02, 5.31)</w:t>
            </w:r>
          </w:p>
        </w:tc>
      </w:tr>
      <w:tr w:rsidR="003370C1" w:rsidRPr="00061F78" w:rsidTr="00535FAC">
        <w:trPr>
          <w:cantSplit/>
          <w:trHeight w:val="99"/>
        </w:trPr>
        <w:tc>
          <w:tcPr>
            <w:tcW w:w="5000" w:type="pct"/>
            <w:gridSpan w:val="5"/>
            <w:shd w:val="clear" w:color="auto" w:fill="auto"/>
            <w:tcMar>
              <w:left w:w="28" w:type="dxa"/>
              <w:right w:w="28" w:type="dxa"/>
            </w:tcMar>
            <w:vAlign w:val="center"/>
          </w:tcPr>
          <w:p w:rsidR="00535FAC" w:rsidRPr="0093605F" w:rsidRDefault="00535FAC" w:rsidP="00A5263B">
            <w:pPr>
              <w:pStyle w:val="Tablewriting"/>
              <w:keepNext/>
              <w:rPr>
                <w:rFonts w:eastAsia="MS Mincho"/>
                <w:b/>
                <w:bCs/>
              </w:rPr>
            </w:pPr>
            <w:r w:rsidRPr="0093605F">
              <w:rPr>
                <w:rFonts w:eastAsia="MS Mincho"/>
                <w:b/>
                <w:bCs/>
              </w:rPr>
              <w:t>Fast acting NRT</w:t>
            </w:r>
          </w:p>
        </w:tc>
      </w:tr>
      <w:tr w:rsidR="003370C1" w:rsidRPr="00061F78" w:rsidTr="00535FAC">
        <w:trPr>
          <w:cantSplit/>
          <w:trHeight w:val="99"/>
        </w:trPr>
        <w:tc>
          <w:tcPr>
            <w:tcW w:w="746" w:type="pct"/>
            <w:shd w:val="clear" w:color="auto" w:fill="auto"/>
            <w:tcMar>
              <w:left w:w="28" w:type="dxa"/>
              <w:right w:w="28" w:type="dxa"/>
            </w:tcMar>
            <w:vAlign w:val="center"/>
          </w:tcPr>
          <w:p w:rsidR="003370C1" w:rsidRPr="00121B29" w:rsidRDefault="00535FAC" w:rsidP="00A5263B">
            <w:pPr>
              <w:pStyle w:val="Tablewriting"/>
              <w:keepNext/>
              <w:rPr>
                <w:rFonts w:eastAsia="MS Mincho"/>
              </w:rPr>
            </w:pPr>
            <w:r>
              <w:rPr>
                <w:rFonts w:eastAsia="MS Mincho"/>
              </w:rPr>
              <w:t>Lindson (2019</w:t>
            </w:r>
            <w:r w:rsidR="005B6285">
              <w:rPr>
                <w:rFonts w:eastAsia="MS Mincho"/>
              </w:rPr>
              <w:t>b</w:t>
            </w:r>
            <w:r>
              <w:rPr>
                <w:rFonts w:eastAsia="MS Mincho"/>
              </w:rPr>
              <w:t>)</w:t>
            </w:r>
          </w:p>
        </w:tc>
        <w:tc>
          <w:tcPr>
            <w:tcW w:w="1202" w:type="pct"/>
            <w:shd w:val="clear" w:color="auto" w:fill="auto"/>
            <w:vAlign w:val="center"/>
          </w:tcPr>
          <w:p w:rsidR="00535FAC" w:rsidRDefault="00535FAC" w:rsidP="006232E8">
            <w:pPr>
              <w:pStyle w:val="Tablewriting"/>
              <w:keepNext/>
              <w:jc w:val="center"/>
              <w:rPr>
                <w:rFonts w:eastAsia="MS Mincho"/>
              </w:rPr>
            </w:pPr>
            <w:r>
              <w:rPr>
                <w:rFonts w:eastAsia="MS Mincho"/>
              </w:rPr>
              <w:t>Cochrane Review</w:t>
            </w:r>
          </w:p>
          <w:p w:rsidR="003370C1" w:rsidRPr="00A22F63" w:rsidRDefault="00535FAC" w:rsidP="00A5263B">
            <w:pPr>
              <w:pStyle w:val="Tablewriting"/>
              <w:keepNext/>
              <w:jc w:val="center"/>
              <w:rPr>
                <w:rFonts w:eastAsia="MS Mincho"/>
              </w:rPr>
            </w:pPr>
            <w:r>
              <w:rPr>
                <w:rFonts w:eastAsia="MS Mincho"/>
              </w:rPr>
              <w:t>(8 RCTs)</w:t>
            </w:r>
          </w:p>
        </w:tc>
        <w:tc>
          <w:tcPr>
            <w:tcW w:w="1022" w:type="pct"/>
            <w:shd w:val="clear" w:color="auto" w:fill="auto"/>
            <w:tcMar>
              <w:left w:w="28" w:type="dxa"/>
              <w:right w:w="28" w:type="dxa"/>
            </w:tcMar>
            <w:vAlign w:val="center"/>
          </w:tcPr>
          <w:p w:rsidR="00535FAC" w:rsidRDefault="00D622DA" w:rsidP="006232E8">
            <w:pPr>
              <w:pStyle w:val="Tablewriting"/>
              <w:keepNext/>
              <w:jc w:val="center"/>
              <w:rPr>
                <w:rFonts w:eastAsia="MS Mincho"/>
              </w:rPr>
            </w:pPr>
            <w:r>
              <w:rPr>
                <w:rFonts w:eastAsia="MS Mincho"/>
              </w:rPr>
              <w:t>193/2,737</w:t>
            </w:r>
          </w:p>
          <w:p w:rsidR="003370C1" w:rsidRPr="00BB489A" w:rsidRDefault="00D622DA" w:rsidP="00A5263B">
            <w:pPr>
              <w:pStyle w:val="Tablewriting"/>
              <w:keepNext/>
              <w:jc w:val="center"/>
              <w:rPr>
                <w:rFonts w:eastAsia="MS Mincho"/>
              </w:rPr>
            </w:pPr>
            <w:r>
              <w:rPr>
                <w:rFonts w:eastAsia="MS Mincho"/>
              </w:rPr>
              <w:t>(</w:t>
            </w:r>
            <w:r w:rsidR="000E698E">
              <w:rPr>
                <w:rFonts w:eastAsia="MS Mincho"/>
              </w:rPr>
              <w:t>7.1</w:t>
            </w:r>
            <w:r>
              <w:rPr>
                <w:rFonts w:eastAsia="MS Mincho"/>
              </w:rPr>
              <w:t>%)</w:t>
            </w:r>
          </w:p>
        </w:tc>
        <w:tc>
          <w:tcPr>
            <w:tcW w:w="1016" w:type="pct"/>
            <w:shd w:val="clear" w:color="auto" w:fill="auto"/>
            <w:tcMar>
              <w:left w:w="28" w:type="dxa"/>
              <w:right w:w="28" w:type="dxa"/>
            </w:tcMar>
            <w:vAlign w:val="center"/>
          </w:tcPr>
          <w:p w:rsidR="00535FAC" w:rsidRDefault="00D622DA" w:rsidP="006232E8">
            <w:pPr>
              <w:pStyle w:val="Tablewriting"/>
              <w:keepNext/>
              <w:jc w:val="center"/>
              <w:rPr>
                <w:rFonts w:eastAsia="MS Mincho"/>
              </w:rPr>
            </w:pPr>
            <w:r>
              <w:rPr>
                <w:rFonts w:eastAsia="MS Mincho"/>
              </w:rPr>
              <w:t>62/2,586</w:t>
            </w:r>
          </w:p>
          <w:p w:rsidR="003370C1" w:rsidRPr="00BB489A" w:rsidRDefault="00D622DA" w:rsidP="00A5263B">
            <w:pPr>
              <w:pStyle w:val="Tablewriting"/>
              <w:keepNext/>
              <w:jc w:val="center"/>
              <w:rPr>
                <w:rFonts w:eastAsia="MS Mincho"/>
              </w:rPr>
            </w:pPr>
            <w:r>
              <w:rPr>
                <w:rFonts w:eastAsia="MS Mincho"/>
              </w:rPr>
              <w:t>(</w:t>
            </w:r>
            <w:r w:rsidR="000E698E">
              <w:rPr>
                <w:rFonts w:eastAsia="MS Mincho"/>
              </w:rPr>
              <w:t>2.4</w:t>
            </w:r>
            <w:r>
              <w:rPr>
                <w:rFonts w:eastAsia="MS Mincho"/>
              </w:rPr>
              <w:t>%)</w:t>
            </w:r>
          </w:p>
        </w:tc>
        <w:tc>
          <w:tcPr>
            <w:tcW w:w="1014" w:type="pct"/>
            <w:shd w:val="clear" w:color="auto" w:fill="auto"/>
            <w:tcMar>
              <w:left w:w="28" w:type="dxa"/>
              <w:right w:w="28" w:type="dxa"/>
            </w:tcMar>
            <w:vAlign w:val="center"/>
          </w:tcPr>
          <w:p w:rsidR="00535FAC" w:rsidRDefault="00535FAC" w:rsidP="003F28CF">
            <w:pPr>
              <w:pStyle w:val="Tablewriting"/>
              <w:keepNext/>
              <w:jc w:val="center"/>
              <w:rPr>
                <w:rFonts w:eastAsia="MS Mincho"/>
                <w:b/>
                <w:bCs/>
              </w:rPr>
            </w:pPr>
            <w:r>
              <w:rPr>
                <w:rFonts w:eastAsia="MS Mincho"/>
                <w:b/>
                <w:bCs/>
              </w:rPr>
              <w:t xml:space="preserve">2.56 </w:t>
            </w:r>
          </w:p>
          <w:p w:rsidR="003370C1" w:rsidRPr="0046171E" w:rsidRDefault="00535FAC" w:rsidP="00A5263B">
            <w:pPr>
              <w:pStyle w:val="Tablewriting"/>
              <w:keepNext/>
              <w:jc w:val="center"/>
              <w:rPr>
                <w:rFonts w:eastAsia="MS Mincho"/>
              </w:rPr>
            </w:pPr>
            <w:r>
              <w:rPr>
                <w:rFonts w:eastAsia="MS Mincho"/>
                <w:b/>
                <w:bCs/>
              </w:rPr>
              <w:t>(1.93, 3.39</w:t>
            </w:r>
            <w:r w:rsidRPr="003F28CF">
              <w:rPr>
                <w:rFonts w:eastAsia="MS Mincho"/>
                <w:b/>
                <w:bCs/>
              </w:rPr>
              <w:t>)</w:t>
            </w:r>
          </w:p>
        </w:tc>
      </w:tr>
    </w:tbl>
    <w:p w:rsidR="003370C1" w:rsidRPr="00566F12" w:rsidRDefault="003370C1" w:rsidP="003370C1">
      <w:pPr>
        <w:pStyle w:val="TableFooter"/>
        <w:keepNext/>
      </w:pPr>
      <w:r w:rsidRPr="00566F12">
        <w:t xml:space="preserve">Source: Lindson et al. </w:t>
      </w:r>
      <w:r w:rsidRPr="00B631F0">
        <w:t>(2019</w:t>
      </w:r>
      <w:r w:rsidR="005C0865" w:rsidRPr="00B631F0">
        <w:t>b</w:t>
      </w:r>
      <w:r w:rsidRPr="00B631F0">
        <w:t>)</w:t>
      </w:r>
      <w:r>
        <w:t xml:space="preserve"> </w:t>
      </w:r>
    </w:p>
    <w:p w:rsidR="00D622DA" w:rsidRDefault="003370C1" w:rsidP="00D622DA">
      <w:pPr>
        <w:pStyle w:val="TableFooter"/>
      </w:pPr>
      <w:r w:rsidRPr="00566F12">
        <w:t>Abbreviations: CI = confidence interval; RCT = randomised controlled trial; RR = risk ratio</w:t>
      </w:r>
      <w:r>
        <w:t xml:space="preserve">. </w:t>
      </w:r>
    </w:p>
    <w:p w:rsidR="003370C1" w:rsidRDefault="003370C1" w:rsidP="003370C1">
      <w:pPr>
        <w:pStyle w:val="TableFooter"/>
      </w:pPr>
      <w:r w:rsidRPr="00566F12">
        <w:t>Notes:</w:t>
      </w:r>
      <w:r>
        <w:t xml:space="preserve"> </w:t>
      </w:r>
      <w:r w:rsidRPr="00D622DA">
        <w:t>Bold</w:t>
      </w:r>
      <w:r w:rsidRPr="0041240E">
        <w:t xml:space="preserve"> indicates statistically significant difference.</w:t>
      </w:r>
    </w:p>
    <w:p w:rsidR="00D622DA" w:rsidRDefault="00D622DA" w:rsidP="00D622DA">
      <w:pPr>
        <w:pStyle w:val="TableFooter"/>
      </w:pPr>
      <w:r>
        <w:t>1 Calculated by Cochrane Review authors using a fixed-effect model</w:t>
      </w:r>
      <w:r w:rsidR="00ED0CBA">
        <w:t>.</w:t>
      </w:r>
    </w:p>
    <w:p w:rsidR="003370C1" w:rsidRDefault="003370C1" w:rsidP="003370C1">
      <w:pPr>
        <w:pStyle w:val="TableFooter"/>
        <w:keepNext/>
        <w:rPr>
          <w:sz w:val="24"/>
        </w:rPr>
      </w:pPr>
    </w:p>
    <w:p w:rsidR="003370C1" w:rsidRPr="005B308B" w:rsidRDefault="003370C1" w:rsidP="003370C1">
      <w:pPr>
        <w:pStyle w:val="TableFooter"/>
        <w:jc w:val="both"/>
        <w:rPr>
          <w:sz w:val="24"/>
        </w:rPr>
      </w:pPr>
      <w:r w:rsidRPr="00F136E9">
        <w:rPr>
          <w:sz w:val="24"/>
        </w:rPr>
        <w:t>The results of the individual studies</w:t>
      </w:r>
      <w:r>
        <w:rPr>
          <w:sz w:val="24"/>
        </w:rPr>
        <w:t xml:space="preserve"> relevant to cut down to quit comparisons </w:t>
      </w:r>
      <w:r w:rsidRPr="00F136E9">
        <w:rPr>
          <w:sz w:val="24"/>
        </w:rPr>
        <w:t>are presented using a forest plot i</w:t>
      </w:r>
      <w:r>
        <w:rPr>
          <w:sz w:val="24"/>
        </w:rPr>
        <w:t>n</w:t>
      </w:r>
      <w:r w:rsidR="005B308B">
        <w:rPr>
          <w:sz w:val="24"/>
        </w:rPr>
        <w:t xml:space="preserve"> </w:t>
      </w:r>
      <w:r w:rsidR="003C4A1C" w:rsidRPr="003C4A1C">
        <w:rPr>
          <w:sz w:val="24"/>
        </w:rPr>
        <w:t>Figure 34</w:t>
      </w:r>
      <w:r w:rsidR="005B308B">
        <w:rPr>
          <w:sz w:val="24"/>
        </w:rPr>
        <w:t xml:space="preserve">. </w:t>
      </w:r>
    </w:p>
    <w:p w:rsidR="00885CA2" w:rsidRDefault="008D25B2" w:rsidP="00885CA2">
      <w:pPr>
        <w:keepNext/>
        <w:spacing w:line="276" w:lineRule="auto"/>
      </w:pPr>
      <w:r>
        <w:rPr>
          <w:noProof/>
        </w:rPr>
        <w:lastRenderedPageBreak/>
        <mc:AlternateContent>
          <mc:Choice Requires="wpg">
            <w:drawing>
              <wp:anchor distT="0" distB="0" distL="114300" distR="114300" simplePos="0" relativeHeight="251658240" behindDoc="0" locked="0" layoutInCell="1" allowOverlap="1" wp14:anchorId="354E9A9B" wp14:editId="2E91CADA">
                <wp:simplePos x="0" y="0"/>
                <wp:positionH relativeFrom="column">
                  <wp:posOffset>0</wp:posOffset>
                </wp:positionH>
                <wp:positionV relativeFrom="paragraph">
                  <wp:posOffset>0</wp:posOffset>
                </wp:positionV>
                <wp:extent cx="5731510" cy="7280275"/>
                <wp:effectExtent l="0" t="0" r="2540" b="0"/>
                <wp:wrapSquare wrapText="bothSides"/>
                <wp:docPr id="118" name="Group 118"/>
                <wp:cNvGraphicFramePr/>
                <a:graphic xmlns:a="http://schemas.openxmlformats.org/drawingml/2006/main">
                  <a:graphicData uri="http://schemas.microsoft.com/office/word/2010/wordprocessingGroup">
                    <wpg:wgp>
                      <wpg:cNvGrpSpPr/>
                      <wpg:grpSpPr>
                        <a:xfrm>
                          <a:off x="0" y="0"/>
                          <a:ext cx="5731510" cy="7280275"/>
                          <a:chOff x="0" y="0"/>
                          <a:chExt cx="5731510" cy="7280275"/>
                        </a:xfrm>
                      </wpg:grpSpPr>
                      <pic:pic xmlns:pic="http://schemas.openxmlformats.org/drawingml/2006/picture">
                        <pic:nvPicPr>
                          <pic:cNvPr id="71" name="Picture 71"/>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5731510" cy="655320"/>
                          </a:xfrm>
                          <a:prstGeom prst="rect">
                            <a:avLst/>
                          </a:prstGeom>
                        </pic:spPr>
                      </pic:pic>
                      <pic:pic xmlns:pic="http://schemas.openxmlformats.org/drawingml/2006/picture">
                        <pic:nvPicPr>
                          <pic:cNvPr id="72" name="Picture 72" descr="Diagram&#10;&#10;Description automatically generated"/>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657225"/>
                            <a:ext cx="5731510" cy="6623050"/>
                          </a:xfrm>
                          <a:prstGeom prst="rect">
                            <a:avLst/>
                          </a:prstGeom>
                        </pic:spPr>
                      </pic:pic>
                    </wpg:wgp>
                  </a:graphicData>
                </a:graphic>
              </wp:anchor>
            </w:drawing>
          </mc:Choice>
          <mc:Fallback>
            <w:pict>
              <v:group w14:anchorId="00D11B9F" id="Group 118" o:spid="_x0000_s1026" style="position:absolute;margin-left:0;margin-top:0;width:451.3pt;height:573.25pt;z-index:251658240" coordsize="57315,72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 o:spid="_x0000_s1027" type="#_x0000_t75" style="position:absolute;width:57315;height:6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">
                  <v:imagedata r:id="rId53" o:title=""/>
                  <v:path arrowok="t"/>
                </v:shape>
                <v:shape id="Picture 72" o:spid="_x0000_s1028" type="#_x0000_t75" alt="Diagram&#10;&#10;Description automatically generated" style="position:absolute;top:6572;width:57315;height:66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">
                  <v:imagedata r:id="rId54" o:title="Diagram&#10;&#10;Description automatically generated"/>
                  <v:path arrowok="t"/>
                </v:shape>
                <w10:wrap type="square"/>
              </v:group>
            </w:pict>
          </mc:Fallback>
        </mc:AlternateContent>
      </w:r>
    </w:p>
    <w:p w:rsidR="003370C1" w:rsidRDefault="00885CA2" w:rsidP="00885CA2">
      <w:pPr>
        <w:pStyle w:val="Caption"/>
        <w:rPr>
          <w:u w:val="single"/>
        </w:rPr>
      </w:pPr>
      <w:bookmarkStart w:id="212" w:name="_Ref59702228"/>
      <w:r>
        <w:t xml:space="preserve">Figure </w:t>
      </w:r>
      <w:r w:rsidR="003C4A1C">
        <w:rPr>
          <w:noProof/>
        </w:rPr>
        <w:t>34</w:t>
      </w:r>
      <w:bookmarkEnd w:id="212"/>
      <w:r>
        <w:t xml:space="preserve">: </w:t>
      </w:r>
      <w:r w:rsidRPr="00EC18EF">
        <w:t>Results of smoking cessation f</w:t>
      </w:r>
      <w:r w:rsidR="00C623F4">
        <w:t>or</w:t>
      </w:r>
      <w:r w:rsidRPr="00EC18EF">
        <w:t xml:space="preserve"> at least six months follow-up</w:t>
      </w:r>
      <w:r w:rsidR="00F87F0A">
        <w:t xml:space="preserve"> in Lindson et al. (2019b)</w:t>
      </w:r>
      <w:r w:rsidRPr="00EC18EF">
        <w:t>, reduction with pharmacotherapy versus reduction alone</w:t>
      </w:r>
    </w:p>
    <w:p w:rsidR="005B308B" w:rsidRPr="00543DB6" w:rsidRDefault="005B308B" w:rsidP="005B308B">
      <w:pPr>
        <w:pStyle w:val="TableFooter"/>
        <w:keepNext/>
      </w:pPr>
      <w:r w:rsidRPr="00543DB6">
        <w:t>Source: Lindson et al. (</w:t>
      </w:r>
      <w:r w:rsidRPr="004E0192">
        <w:t>2019b</w:t>
      </w:r>
      <w:r w:rsidRPr="00543DB6">
        <w:t>)</w:t>
      </w:r>
    </w:p>
    <w:p w:rsidR="005B308B" w:rsidRDefault="005B308B" w:rsidP="005B308B">
      <w:pPr>
        <w:pStyle w:val="TableFooter"/>
        <w:keepNext/>
      </w:pPr>
      <w:r w:rsidRPr="00543DB6">
        <w:t>Abbreviations: CI = confidence interval</w:t>
      </w:r>
    </w:p>
    <w:p w:rsidR="008D25B2" w:rsidRDefault="008D25B2" w:rsidP="008D25B2">
      <w:pPr>
        <w:rPr>
          <w:u w:val="single"/>
        </w:rPr>
      </w:pPr>
    </w:p>
    <w:p w:rsidR="003370C1" w:rsidRDefault="004D63D8" w:rsidP="008D25B2">
      <w:pPr>
        <w:rPr>
          <w:u w:val="single"/>
        </w:rPr>
      </w:pPr>
      <w:r w:rsidRPr="004D63D8">
        <w:rPr>
          <w:u w:val="single"/>
        </w:rPr>
        <w:lastRenderedPageBreak/>
        <w:t>Safety</w:t>
      </w:r>
    </w:p>
    <w:p w:rsidR="007A248F" w:rsidRDefault="007A248F" w:rsidP="00456678">
      <w:pPr>
        <w:jc w:val="both"/>
      </w:pPr>
      <w:r w:rsidRPr="00A67889">
        <w:t xml:space="preserve">A summary of key adverse events in Lindson et al. </w:t>
      </w:r>
      <w:r>
        <w:t>(</w:t>
      </w:r>
      <w:r w:rsidRPr="00116BA2">
        <w:t>2019b</w:t>
      </w:r>
      <w:r>
        <w:t>)</w:t>
      </w:r>
      <w:r w:rsidRPr="00A67889">
        <w:t xml:space="preserve"> </w:t>
      </w:r>
      <w:r w:rsidR="00116BA2">
        <w:t>comparing</w:t>
      </w:r>
      <w:r>
        <w:t xml:space="preserve"> </w:t>
      </w:r>
      <w:r w:rsidRPr="0045513E">
        <w:t xml:space="preserve">reduction with pharmacotherapy </w:t>
      </w:r>
      <w:r w:rsidR="002F45DB">
        <w:t>with</w:t>
      </w:r>
      <w:r w:rsidRPr="0045513E">
        <w:t xml:space="preserve"> reduction alone</w:t>
      </w:r>
      <w:r w:rsidR="002F45DB">
        <w:t xml:space="preserve"> for cut down to quit</w:t>
      </w:r>
      <w:r>
        <w:t xml:space="preserve"> </w:t>
      </w:r>
      <w:r w:rsidRPr="00B13895">
        <w:t>is presented in</w:t>
      </w:r>
      <w:r w:rsidR="004F5C79">
        <w:t xml:space="preserve"> </w:t>
      </w:r>
      <w:r w:rsidR="003C4A1C">
        <w:t xml:space="preserve">Table </w:t>
      </w:r>
      <w:r w:rsidR="003C4A1C">
        <w:rPr>
          <w:noProof/>
        </w:rPr>
        <w:t>103</w:t>
      </w:r>
      <w:r w:rsidR="004F5C79">
        <w:t>.</w:t>
      </w:r>
      <w:r w:rsidRPr="00371997">
        <w:t xml:space="preserve"> </w:t>
      </w:r>
    </w:p>
    <w:p w:rsidR="007A248F" w:rsidRDefault="00D14B9D" w:rsidP="00456678">
      <w:pPr>
        <w:jc w:val="both"/>
      </w:pPr>
      <w:r>
        <w:t>Based on Bolliger (2000a), t</w:t>
      </w:r>
      <w:r w:rsidR="007A248F" w:rsidRPr="003B2A4C">
        <w:t>here was no statistically significant</w:t>
      </w:r>
      <w:r w:rsidR="007A248F">
        <w:t xml:space="preserve"> </w:t>
      </w:r>
      <w:r w:rsidR="007A248F" w:rsidRPr="003B2A4C">
        <w:t>di</w:t>
      </w:r>
      <w:r w:rsidR="007A248F">
        <w:t>ff</w:t>
      </w:r>
      <w:r w:rsidR="007A248F" w:rsidRPr="003B2A4C">
        <w:t>erence</w:t>
      </w:r>
      <w:r w:rsidR="007A248F">
        <w:t xml:space="preserve"> between reduction with pharmacotherapy </w:t>
      </w:r>
      <w:r w:rsidR="000E3376">
        <w:t>and</w:t>
      </w:r>
      <w:r w:rsidR="007A248F">
        <w:t xml:space="preserve"> reduction alone in pre-quit adverse events. However,</w:t>
      </w:r>
      <w:r w:rsidR="001F6961">
        <w:t xml:space="preserve"> there was</w:t>
      </w:r>
      <w:r w:rsidR="007A248F">
        <w:t xml:space="preserve"> </w:t>
      </w:r>
      <w:r w:rsidR="00871302">
        <w:t xml:space="preserve">a significantly higher proportion of patients </w:t>
      </w:r>
      <w:r w:rsidR="00290439">
        <w:t xml:space="preserve">in </w:t>
      </w:r>
      <w:r w:rsidR="005B289C">
        <w:t>the reduction with pharmacotherapy arm experienc</w:t>
      </w:r>
      <w:r w:rsidR="001F6961">
        <w:t>ing</w:t>
      </w:r>
      <w:r w:rsidR="00937ED6">
        <w:t xml:space="preserve"> pre-quit adverse events compared with patients in the reduction alone arm in </w:t>
      </w:r>
      <w:r w:rsidR="007A248F">
        <w:t xml:space="preserve">ShiIman </w:t>
      </w:r>
      <w:r>
        <w:t>(</w:t>
      </w:r>
      <w:r w:rsidR="007A248F">
        <w:t>2009</w:t>
      </w:r>
      <w:r>
        <w:t>)</w:t>
      </w:r>
      <w:r w:rsidR="00FF2BD2">
        <w:t>.</w:t>
      </w:r>
      <w:r w:rsidR="007A248F">
        <w:t xml:space="preserve"> </w:t>
      </w:r>
    </w:p>
    <w:p w:rsidR="007A248F" w:rsidRDefault="00FF2BD2" w:rsidP="00456678">
      <w:pPr>
        <w:jc w:val="both"/>
      </w:pPr>
      <w:r>
        <w:t>For pre-quit serious adverse events, there were no statistically significant differences between the two treatment arms</w:t>
      </w:r>
      <w:r w:rsidR="00E348C5">
        <w:t xml:space="preserve"> based on the meta-analysis conducted by Lindson (2019b). </w:t>
      </w:r>
      <w:r w:rsidR="00990CDC">
        <w:t xml:space="preserve">It was noted that the number of events </w:t>
      </w:r>
      <w:r w:rsidR="00BD691B">
        <w:t>were low</w:t>
      </w:r>
      <w:r w:rsidR="0074036F">
        <w:t xml:space="preserve"> across both arms</w:t>
      </w:r>
      <w:r w:rsidR="00BD691B">
        <w:t>.</w:t>
      </w:r>
    </w:p>
    <w:p w:rsidR="008C212B" w:rsidRDefault="008C212B" w:rsidP="008C212B">
      <w:pPr>
        <w:pStyle w:val="Caption"/>
        <w:keepNext/>
      </w:pPr>
      <w:bookmarkStart w:id="213" w:name="_Ref59714222"/>
      <w:r>
        <w:t xml:space="preserve">Table </w:t>
      </w:r>
      <w:r w:rsidR="003C4A1C">
        <w:rPr>
          <w:noProof/>
        </w:rPr>
        <w:t>103</w:t>
      </w:r>
      <w:bookmarkEnd w:id="213"/>
      <w:r>
        <w:t xml:space="preserve">: </w:t>
      </w:r>
      <w:r w:rsidRPr="00252555">
        <w:t>Summary of key adverse events in Lindson et al. (2019), reduction with pharmacotherapy versus reduction alone</w:t>
      </w:r>
    </w:p>
    <w:tbl>
      <w:tblPr>
        <w:tblStyle w:val="TableGrid"/>
        <w:tblW w:w="5000" w:type="pct"/>
        <w:tblLook w:val="04A0" w:firstRow="1" w:lastRow="0" w:firstColumn="1" w:lastColumn="0" w:noHBand="0" w:noVBand="1"/>
        <w:tblCaption w:val="Efficacy results of adalimumab trials (PASI 75 and DLQI)"/>
      </w:tblPr>
      <w:tblGrid>
        <w:gridCol w:w="1297"/>
        <w:gridCol w:w="1765"/>
        <w:gridCol w:w="2036"/>
        <w:gridCol w:w="1985"/>
        <w:gridCol w:w="1933"/>
      </w:tblGrid>
      <w:tr w:rsidR="00E45F0E" w:rsidRPr="00061F78" w:rsidTr="0093605F">
        <w:trPr>
          <w:cantSplit/>
          <w:trHeight w:val="299"/>
          <w:tblHeader/>
        </w:trPr>
        <w:tc>
          <w:tcPr>
            <w:tcW w:w="719" w:type="pct"/>
            <w:shd w:val="clear" w:color="auto" w:fill="BFBFBF" w:themeFill="background1" w:themeFillShade="BF"/>
            <w:tcMar>
              <w:left w:w="28" w:type="dxa"/>
              <w:right w:w="28" w:type="dxa"/>
            </w:tcMar>
            <w:vAlign w:val="center"/>
          </w:tcPr>
          <w:p w:rsidR="007A248F" w:rsidRDefault="00FC3507" w:rsidP="00A5263B">
            <w:pPr>
              <w:pStyle w:val="Tableheading"/>
              <w:keepNext/>
              <w:rPr>
                <w:rFonts w:eastAsia="MS Mincho"/>
              </w:rPr>
            </w:pPr>
            <w:r>
              <w:rPr>
                <w:rFonts w:eastAsia="MS Mincho"/>
              </w:rPr>
              <w:t>Study</w:t>
            </w:r>
          </w:p>
        </w:tc>
        <w:tc>
          <w:tcPr>
            <w:tcW w:w="979" w:type="pct"/>
            <w:shd w:val="clear" w:color="auto" w:fill="BFBFBF" w:themeFill="background1" w:themeFillShade="BF"/>
            <w:vAlign w:val="center"/>
          </w:tcPr>
          <w:p w:rsidR="007265B5" w:rsidRDefault="007265B5" w:rsidP="007265B5">
            <w:pPr>
              <w:pStyle w:val="Tableheading"/>
              <w:keepNext/>
              <w:jc w:val="center"/>
            </w:pPr>
            <w:r>
              <w:t>Study type</w:t>
            </w:r>
          </w:p>
        </w:tc>
        <w:tc>
          <w:tcPr>
            <w:tcW w:w="1129" w:type="pct"/>
            <w:shd w:val="clear" w:color="auto" w:fill="BFBFBF" w:themeFill="background1" w:themeFillShade="BF"/>
            <w:tcMar>
              <w:left w:w="28" w:type="dxa"/>
              <w:right w:w="28" w:type="dxa"/>
            </w:tcMar>
            <w:vAlign w:val="center"/>
          </w:tcPr>
          <w:p w:rsidR="007A248F" w:rsidRPr="00061F78" w:rsidRDefault="007265B5" w:rsidP="00A5263B">
            <w:pPr>
              <w:pStyle w:val="Tableheading"/>
              <w:keepNext/>
              <w:jc w:val="center"/>
              <w:rPr>
                <w:rFonts w:eastAsia="MS Mincho"/>
              </w:rPr>
            </w:pPr>
            <w:r>
              <w:t>R</w:t>
            </w:r>
            <w:r w:rsidRPr="0045513E">
              <w:t>eduction</w:t>
            </w:r>
            <w:r w:rsidR="007A248F">
              <w:t xml:space="preserve"> with </w:t>
            </w:r>
            <w:r w:rsidR="007A248F" w:rsidRPr="0045513E">
              <w:t>pharmacotherapy</w:t>
            </w:r>
          </w:p>
        </w:tc>
        <w:tc>
          <w:tcPr>
            <w:tcW w:w="1101" w:type="pct"/>
            <w:shd w:val="clear" w:color="auto" w:fill="BFBFBF" w:themeFill="background1" w:themeFillShade="BF"/>
            <w:tcMar>
              <w:left w:w="28" w:type="dxa"/>
              <w:right w:w="28" w:type="dxa"/>
            </w:tcMar>
            <w:vAlign w:val="center"/>
          </w:tcPr>
          <w:p w:rsidR="007A248F" w:rsidRPr="00061F78" w:rsidRDefault="007265B5" w:rsidP="00A5263B">
            <w:pPr>
              <w:pStyle w:val="Tableheading"/>
              <w:keepNext/>
              <w:jc w:val="center"/>
              <w:rPr>
                <w:rFonts w:eastAsia="MS Mincho"/>
              </w:rPr>
            </w:pPr>
            <w:r>
              <w:t>R</w:t>
            </w:r>
            <w:r w:rsidRPr="0045513E">
              <w:t>eduction</w:t>
            </w:r>
            <w:r w:rsidR="007A248F" w:rsidRPr="0045513E">
              <w:t xml:space="preserve"> alone</w:t>
            </w:r>
          </w:p>
        </w:tc>
        <w:tc>
          <w:tcPr>
            <w:tcW w:w="1072" w:type="pct"/>
            <w:shd w:val="clear" w:color="auto" w:fill="BFBFBF" w:themeFill="background1" w:themeFillShade="BF"/>
            <w:tcMar>
              <w:left w:w="28" w:type="dxa"/>
              <w:right w:w="28" w:type="dxa"/>
            </w:tcMar>
            <w:vAlign w:val="center"/>
          </w:tcPr>
          <w:p w:rsidR="007A248F" w:rsidRPr="00681ACA" w:rsidRDefault="007A248F" w:rsidP="00A5263B">
            <w:pPr>
              <w:pStyle w:val="Tableheading"/>
              <w:keepNext/>
              <w:jc w:val="center"/>
              <w:rPr>
                <w:rFonts w:eastAsia="MS Mincho"/>
                <w:vertAlign w:val="superscript"/>
              </w:rPr>
            </w:pPr>
            <w:r>
              <w:rPr>
                <w:rFonts w:eastAsia="MS Mincho"/>
              </w:rPr>
              <w:t>RR (95% CI)</w:t>
            </w:r>
            <w:r w:rsidR="0093605F">
              <w:rPr>
                <w:rFonts w:eastAsia="MS Mincho"/>
                <w:vertAlign w:val="superscript"/>
              </w:rPr>
              <w:t>1</w:t>
            </w:r>
          </w:p>
        </w:tc>
      </w:tr>
      <w:tr w:rsidR="007A248F" w:rsidRPr="00061F78" w:rsidTr="0093605F">
        <w:trPr>
          <w:cantSplit/>
          <w:trHeight w:val="99"/>
        </w:trPr>
        <w:tc>
          <w:tcPr>
            <w:tcW w:w="5000" w:type="pct"/>
            <w:gridSpan w:val="5"/>
            <w:shd w:val="clear" w:color="auto" w:fill="auto"/>
          </w:tcPr>
          <w:p w:rsidR="007265B5" w:rsidRPr="0093605F" w:rsidRDefault="007265B5" w:rsidP="00A5263B">
            <w:pPr>
              <w:pStyle w:val="Tablewriting"/>
              <w:keepNext/>
              <w:rPr>
                <w:rFonts w:eastAsia="MS Mincho"/>
                <w:b/>
                <w:bCs/>
              </w:rPr>
            </w:pPr>
            <w:r w:rsidRPr="0093605F">
              <w:rPr>
                <w:rFonts w:eastAsia="MS Mincho"/>
                <w:b/>
                <w:bCs/>
              </w:rPr>
              <w:t>Pre-quit AEs</w:t>
            </w:r>
          </w:p>
        </w:tc>
      </w:tr>
      <w:tr w:rsidR="007A248F" w:rsidRPr="00061F78" w:rsidTr="0093605F">
        <w:trPr>
          <w:cantSplit/>
          <w:trHeight w:val="99"/>
        </w:trPr>
        <w:tc>
          <w:tcPr>
            <w:tcW w:w="719" w:type="pct"/>
            <w:shd w:val="clear" w:color="auto" w:fill="auto"/>
            <w:tcMar>
              <w:left w:w="28" w:type="dxa"/>
              <w:right w:w="28" w:type="dxa"/>
            </w:tcMar>
            <w:vAlign w:val="center"/>
          </w:tcPr>
          <w:p w:rsidR="007A248F" w:rsidRPr="001277A6" w:rsidRDefault="007A248F" w:rsidP="00A5263B">
            <w:pPr>
              <w:pStyle w:val="Tablewriting"/>
              <w:keepNext/>
              <w:rPr>
                <w:rFonts w:eastAsia="MS Mincho"/>
              </w:rPr>
            </w:pPr>
            <w:r w:rsidRPr="00E131C8">
              <w:rPr>
                <w:rFonts w:eastAsia="MS Mincho"/>
              </w:rPr>
              <w:t xml:space="preserve">Bolliger </w:t>
            </w:r>
            <w:r w:rsidR="007265B5">
              <w:rPr>
                <w:rFonts w:eastAsia="MS Mincho"/>
              </w:rPr>
              <w:t>(</w:t>
            </w:r>
            <w:r w:rsidRPr="00E131C8">
              <w:rPr>
                <w:rFonts w:eastAsia="MS Mincho"/>
              </w:rPr>
              <w:t>2000</w:t>
            </w:r>
            <w:r>
              <w:rPr>
                <w:rFonts w:eastAsia="MS Mincho"/>
              </w:rPr>
              <w:t>a</w:t>
            </w:r>
            <w:r w:rsidR="007265B5">
              <w:rPr>
                <w:rFonts w:eastAsia="MS Mincho"/>
              </w:rPr>
              <w:t>)</w:t>
            </w:r>
          </w:p>
        </w:tc>
        <w:tc>
          <w:tcPr>
            <w:tcW w:w="979" w:type="pct"/>
            <w:vAlign w:val="center"/>
          </w:tcPr>
          <w:p w:rsidR="007265B5" w:rsidRDefault="007265B5" w:rsidP="007265B5">
            <w:pPr>
              <w:pStyle w:val="Tablewriting"/>
              <w:keepNext/>
              <w:jc w:val="center"/>
              <w:rPr>
                <w:rFonts w:eastAsia="MS Mincho"/>
              </w:rPr>
            </w:pPr>
            <w:r>
              <w:rPr>
                <w:rFonts w:eastAsia="MS Mincho"/>
              </w:rPr>
              <w:t>RCT</w:t>
            </w:r>
          </w:p>
        </w:tc>
        <w:tc>
          <w:tcPr>
            <w:tcW w:w="1129" w:type="pct"/>
            <w:shd w:val="clear" w:color="auto" w:fill="auto"/>
            <w:tcMar>
              <w:left w:w="28" w:type="dxa"/>
              <w:right w:w="28" w:type="dxa"/>
            </w:tcMar>
            <w:vAlign w:val="center"/>
          </w:tcPr>
          <w:p w:rsidR="007A248F" w:rsidRDefault="007A248F" w:rsidP="00A5263B">
            <w:pPr>
              <w:pStyle w:val="Tablewriting"/>
              <w:keepNext/>
              <w:jc w:val="center"/>
              <w:rPr>
                <w:rFonts w:eastAsia="MS Mincho"/>
              </w:rPr>
            </w:pPr>
            <w:r>
              <w:rPr>
                <w:rFonts w:eastAsia="MS Mincho"/>
              </w:rPr>
              <w:t>113/200</w:t>
            </w:r>
          </w:p>
          <w:p w:rsidR="007A248F" w:rsidRPr="001B08F9" w:rsidRDefault="007A248F" w:rsidP="00A5263B">
            <w:pPr>
              <w:pStyle w:val="Tablewriting"/>
              <w:keepNext/>
              <w:jc w:val="center"/>
              <w:rPr>
                <w:rFonts w:eastAsia="MS Mincho"/>
              </w:rPr>
            </w:pPr>
            <w:r>
              <w:rPr>
                <w:rFonts w:eastAsia="MS Mincho"/>
              </w:rPr>
              <w:t>(56.5%)</w:t>
            </w:r>
          </w:p>
        </w:tc>
        <w:tc>
          <w:tcPr>
            <w:tcW w:w="1101" w:type="pct"/>
            <w:shd w:val="clear" w:color="auto" w:fill="auto"/>
            <w:tcMar>
              <w:left w:w="28" w:type="dxa"/>
              <w:right w:w="28" w:type="dxa"/>
            </w:tcMar>
            <w:vAlign w:val="center"/>
          </w:tcPr>
          <w:p w:rsidR="007A248F" w:rsidRDefault="007A248F" w:rsidP="00A5263B">
            <w:pPr>
              <w:pStyle w:val="Tablewriting"/>
              <w:keepNext/>
              <w:jc w:val="center"/>
              <w:rPr>
                <w:rFonts w:eastAsia="MS Mincho"/>
              </w:rPr>
            </w:pPr>
            <w:r>
              <w:rPr>
                <w:rFonts w:eastAsia="MS Mincho"/>
              </w:rPr>
              <w:t>114/200</w:t>
            </w:r>
          </w:p>
          <w:p w:rsidR="007A248F" w:rsidRPr="001B08F9" w:rsidRDefault="007A248F" w:rsidP="00A5263B">
            <w:pPr>
              <w:pStyle w:val="Tablewriting"/>
              <w:keepNext/>
              <w:jc w:val="center"/>
              <w:rPr>
                <w:rFonts w:eastAsia="MS Mincho"/>
              </w:rPr>
            </w:pPr>
            <w:r>
              <w:rPr>
                <w:rFonts w:eastAsia="MS Mincho"/>
              </w:rPr>
              <w:t>(57%)</w:t>
            </w:r>
          </w:p>
        </w:tc>
        <w:tc>
          <w:tcPr>
            <w:tcW w:w="1072" w:type="pct"/>
            <w:shd w:val="clear" w:color="auto" w:fill="auto"/>
            <w:tcMar>
              <w:left w:w="28" w:type="dxa"/>
              <w:right w:w="28" w:type="dxa"/>
            </w:tcMar>
            <w:vAlign w:val="center"/>
          </w:tcPr>
          <w:p w:rsidR="007A248F" w:rsidRPr="00E131C8" w:rsidRDefault="007A248F" w:rsidP="00A5263B">
            <w:pPr>
              <w:pStyle w:val="Tablewriting"/>
              <w:keepNext/>
              <w:jc w:val="center"/>
              <w:rPr>
                <w:rFonts w:eastAsia="MS Mincho"/>
                <w:bCs/>
              </w:rPr>
            </w:pPr>
            <w:r w:rsidRPr="00E131C8">
              <w:rPr>
                <w:rFonts w:eastAsia="MS Mincho"/>
                <w:bCs/>
              </w:rPr>
              <w:t>0.99</w:t>
            </w:r>
          </w:p>
          <w:p w:rsidR="007A248F" w:rsidRPr="001277A6" w:rsidRDefault="007A248F" w:rsidP="00A5263B">
            <w:pPr>
              <w:pStyle w:val="Tablewriting"/>
              <w:keepNext/>
              <w:jc w:val="center"/>
              <w:rPr>
                <w:rFonts w:eastAsia="MS Mincho"/>
                <w:b/>
              </w:rPr>
            </w:pPr>
            <w:r w:rsidRPr="00E131C8">
              <w:rPr>
                <w:rFonts w:eastAsia="MS Mincho"/>
                <w:bCs/>
              </w:rPr>
              <w:t>(0.84, 1.18)</w:t>
            </w:r>
          </w:p>
        </w:tc>
      </w:tr>
      <w:tr w:rsidR="007A248F" w:rsidRPr="00061F78" w:rsidTr="0093605F">
        <w:trPr>
          <w:cantSplit/>
          <w:trHeight w:val="99"/>
        </w:trPr>
        <w:tc>
          <w:tcPr>
            <w:tcW w:w="719" w:type="pct"/>
            <w:shd w:val="clear" w:color="auto" w:fill="auto"/>
            <w:tcMar>
              <w:left w:w="28" w:type="dxa"/>
              <w:right w:w="28" w:type="dxa"/>
            </w:tcMar>
            <w:vAlign w:val="center"/>
          </w:tcPr>
          <w:p w:rsidR="007A248F" w:rsidRPr="001277A6" w:rsidRDefault="007A248F" w:rsidP="00A5263B">
            <w:pPr>
              <w:pStyle w:val="Tablewriting"/>
              <w:keepNext/>
              <w:rPr>
                <w:rFonts w:eastAsia="MS Mincho"/>
              </w:rPr>
            </w:pPr>
            <w:r w:rsidRPr="00E131C8">
              <w:rPr>
                <w:rFonts w:eastAsia="MS Mincho"/>
              </w:rPr>
              <w:t xml:space="preserve">Shiffman </w:t>
            </w:r>
            <w:r w:rsidR="007265B5">
              <w:rPr>
                <w:rFonts w:eastAsia="MS Mincho"/>
              </w:rPr>
              <w:t>(</w:t>
            </w:r>
            <w:r w:rsidRPr="00E131C8">
              <w:rPr>
                <w:rFonts w:eastAsia="MS Mincho"/>
              </w:rPr>
              <w:t>2009</w:t>
            </w:r>
            <w:r w:rsidR="007265B5">
              <w:rPr>
                <w:rFonts w:eastAsia="MS Mincho"/>
              </w:rPr>
              <w:t>)</w:t>
            </w:r>
          </w:p>
        </w:tc>
        <w:tc>
          <w:tcPr>
            <w:tcW w:w="979" w:type="pct"/>
            <w:vAlign w:val="center"/>
          </w:tcPr>
          <w:p w:rsidR="007265B5" w:rsidRDefault="007265B5" w:rsidP="007265B5">
            <w:pPr>
              <w:pStyle w:val="Tablewriting"/>
              <w:keepNext/>
              <w:jc w:val="center"/>
              <w:rPr>
                <w:rFonts w:eastAsia="MS Mincho"/>
              </w:rPr>
            </w:pPr>
            <w:r>
              <w:rPr>
                <w:rFonts w:eastAsia="MS Mincho"/>
              </w:rPr>
              <w:t>RCT</w:t>
            </w:r>
          </w:p>
        </w:tc>
        <w:tc>
          <w:tcPr>
            <w:tcW w:w="1129" w:type="pct"/>
            <w:shd w:val="clear" w:color="auto" w:fill="auto"/>
            <w:tcMar>
              <w:left w:w="28" w:type="dxa"/>
              <w:right w:w="28" w:type="dxa"/>
            </w:tcMar>
            <w:vAlign w:val="center"/>
          </w:tcPr>
          <w:p w:rsidR="007A248F" w:rsidRDefault="007A248F" w:rsidP="00A5263B">
            <w:pPr>
              <w:pStyle w:val="Tablewriting"/>
              <w:keepNext/>
              <w:jc w:val="center"/>
              <w:rPr>
                <w:rFonts w:eastAsia="MS Mincho"/>
              </w:rPr>
            </w:pPr>
            <w:r>
              <w:rPr>
                <w:rFonts w:eastAsia="MS Mincho"/>
              </w:rPr>
              <w:t>795/1</w:t>
            </w:r>
            <w:r w:rsidR="0093605F">
              <w:rPr>
                <w:rFonts w:eastAsia="MS Mincho"/>
              </w:rPr>
              <w:t>,</w:t>
            </w:r>
            <w:r>
              <w:rPr>
                <w:rFonts w:eastAsia="MS Mincho"/>
              </w:rPr>
              <w:t>649</w:t>
            </w:r>
          </w:p>
          <w:p w:rsidR="007A248F" w:rsidRPr="001B08F9" w:rsidRDefault="007A248F" w:rsidP="00A5263B">
            <w:pPr>
              <w:pStyle w:val="Tablewriting"/>
              <w:keepNext/>
              <w:jc w:val="center"/>
              <w:rPr>
                <w:rFonts w:eastAsia="MS Mincho"/>
              </w:rPr>
            </w:pPr>
            <w:r>
              <w:rPr>
                <w:rFonts w:eastAsia="MS Mincho"/>
              </w:rPr>
              <w:t>(48.2%)</w:t>
            </w:r>
          </w:p>
        </w:tc>
        <w:tc>
          <w:tcPr>
            <w:tcW w:w="1101" w:type="pct"/>
            <w:shd w:val="clear" w:color="auto" w:fill="auto"/>
            <w:tcMar>
              <w:left w:w="28" w:type="dxa"/>
              <w:right w:w="28" w:type="dxa"/>
            </w:tcMar>
            <w:vAlign w:val="center"/>
          </w:tcPr>
          <w:p w:rsidR="007A248F" w:rsidRDefault="007A248F" w:rsidP="00A5263B">
            <w:pPr>
              <w:pStyle w:val="Tablewriting"/>
              <w:keepNext/>
              <w:jc w:val="center"/>
              <w:rPr>
                <w:rFonts w:eastAsia="MS Mincho"/>
              </w:rPr>
            </w:pPr>
            <w:r>
              <w:rPr>
                <w:rFonts w:eastAsia="MS Mincho"/>
              </w:rPr>
              <w:t>603/1</w:t>
            </w:r>
            <w:r w:rsidR="0093605F">
              <w:rPr>
                <w:rFonts w:eastAsia="MS Mincho"/>
              </w:rPr>
              <w:t>,</w:t>
            </w:r>
            <w:r>
              <w:rPr>
                <w:rFonts w:eastAsia="MS Mincho"/>
              </w:rPr>
              <w:t>648</w:t>
            </w:r>
          </w:p>
          <w:p w:rsidR="007A248F" w:rsidRPr="001B08F9" w:rsidRDefault="007A248F" w:rsidP="00A5263B">
            <w:pPr>
              <w:pStyle w:val="Tablewriting"/>
              <w:keepNext/>
              <w:jc w:val="center"/>
              <w:rPr>
                <w:rFonts w:eastAsia="MS Mincho"/>
              </w:rPr>
            </w:pPr>
            <w:r>
              <w:rPr>
                <w:rFonts w:eastAsia="MS Mincho"/>
              </w:rPr>
              <w:t>(36.6%)</w:t>
            </w:r>
          </w:p>
        </w:tc>
        <w:tc>
          <w:tcPr>
            <w:tcW w:w="1072" w:type="pct"/>
            <w:shd w:val="clear" w:color="auto" w:fill="auto"/>
            <w:tcMar>
              <w:left w:w="28" w:type="dxa"/>
              <w:right w:w="28" w:type="dxa"/>
            </w:tcMar>
            <w:vAlign w:val="center"/>
          </w:tcPr>
          <w:p w:rsidR="007A248F" w:rsidRDefault="007A248F" w:rsidP="00A5263B">
            <w:pPr>
              <w:pStyle w:val="Tablewriting"/>
              <w:keepNext/>
              <w:jc w:val="center"/>
              <w:rPr>
                <w:rFonts w:eastAsia="MS Mincho"/>
                <w:b/>
              </w:rPr>
            </w:pPr>
            <w:r>
              <w:rPr>
                <w:rFonts w:eastAsia="MS Mincho"/>
                <w:b/>
              </w:rPr>
              <w:t>1.32</w:t>
            </w:r>
          </w:p>
          <w:p w:rsidR="007A248F" w:rsidRPr="001277A6" w:rsidRDefault="007A248F" w:rsidP="00A5263B">
            <w:pPr>
              <w:pStyle w:val="Tablewriting"/>
              <w:keepNext/>
              <w:jc w:val="center"/>
              <w:rPr>
                <w:rFonts w:eastAsia="MS Mincho"/>
                <w:b/>
              </w:rPr>
            </w:pPr>
            <w:r>
              <w:rPr>
                <w:rFonts w:eastAsia="MS Mincho"/>
                <w:b/>
              </w:rPr>
              <w:t>(1.22, 1.43)</w:t>
            </w:r>
          </w:p>
        </w:tc>
      </w:tr>
      <w:tr w:rsidR="007A248F" w:rsidRPr="00061F78" w:rsidTr="0093605F">
        <w:trPr>
          <w:cantSplit/>
          <w:trHeight w:val="255"/>
        </w:trPr>
        <w:tc>
          <w:tcPr>
            <w:tcW w:w="5000" w:type="pct"/>
            <w:gridSpan w:val="5"/>
            <w:shd w:val="clear" w:color="auto" w:fill="auto"/>
          </w:tcPr>
          <w:p w:rsidR="007265B5" w:rsidRPr="0093605F" w:rsidRDefault="007265B5" w:rsidP="00A5263B">
            <w:pPr>
              <w:pStyle w:val="Tablewriting"/>
              <w:keepNext/>
              <w:rPr>
                <w:rFonts w:eastAsia="MS Mincho"/>
                <w:b/>
                <w:bCs/>
              </w:rPr>
            </w:pPr>
            <w:r w:rsidRPr="0093605F">
              <w:rPr>
                <w:rFonts w:eastAsia="MS Mincho"/>
                <w:b/>
                <w:bCs/>
              </w:rPr>
              <w:t>Pre-quit SAEs</w:t>
            </w:r>
          </w:p>
        </w:tc>
      </w:tr>
      <w:tr w:rsidR="007A248F" w:rsidRPr="00061F78" w:rsidTr="0093605F">
        <w:trPr>
          <w:cantSplit/>
          <w:trHeight w:val="149"/>
        </w:trPr>
        <w:tc>
          <w:tcPr>
            <w:tcW w:w="719" w:type="pct"/>
            <w:tcMar>
              <w:left w:w="28" w:type="dxa"/>
              <w:right w:w="28" w:type="dxa"/>
            </w:tcMar>
          </w:tcPr>
          <w:p w:rsidR="007A248F" w:rsidRPr="00567783" w:rsidRDefault="007265B5" w:rsidP="00A5263B">
            <w:pPr>
              <w:pStyle w:val="Tablewriting"/>
              <w:keepNext/>
              <w:tabs>
                <w:tab w:val="left" w:pos="975"/>
              </w:tabs>
              <w:rPr>
                <w:rFonts w:eastAsia="MS Mincho"/>
              </w:rPr>
            </w:pPr>
            <w:r>
              <w:rPr>
                <w:rFonts w:eastAsia="MS Mincho"/>
              </w:rPr>
              <w:t>Lindson (2019</w:t>
            </w:r>
            <w:r w:rsidR="00AD1A0F">
              <w:rPr>
                <w:rFonts w:eastAsia="MS Mincho"/>
              </w:rPr>
              <w:t>b</w:t>
            </w:r>
            <w:r>
              <w:rPr>
                <w:rFonts w:eastAsia="MS Mincho"/>
              </w:rPr>
              <w:t>)</w:t>
            </w:r>
          </w:p>
        </w:tc>
        <w:tc>
          <w:tcPr>
            <w:tcW w:w="979" w:type="pct"/>
          </w:tcPr>
          <w:p w:rsidR="007265B5" w:rsidRDefault="007265B5" w:rsidP="00A5263B">
            <w:pPr>
              <w:pStyle w:val="Tablewriting"/>
              <w:keepNext/>
              <w:jc w:val="center"/>
              <w:rPr>
                <w:rFonts w:eastAsia="MS Mincho"/>
              </w:rPr>
            </w:pPr>
            <w:r>
              <w:rPr>
                <w:rFonts w:eastAsia="MS Mincho"/>
              </w:rPr>
              <w:t>Cochrane Review</w:t>
            </w:r>
          </w:p>
          <w:p w:rsidR="007265B5" w:rsidRDefault="007265B5" w:rsidP="00A5263B">
            <w:pPr>
              <w:pStyle w:val="Tablewriting"/>
              <w:keepNext/>
              <w:jc w:val="center"/>
              <w:rPr>
                <w:rFonts w:eastAsia="MS Mincho"/>
              </w:rPr>
            </w:pPr>
            <w:r>
              <w:rPr>
                <w:rFonts w:eastAsia="MS Mincho"/>
              </w:rPr>
              <w:t>(2 RCTs)</w:t>
            </w:r>
          </w:p>
        </w:tc>
        <w:tc>
          <w:tcPr>
            <w:tcW w:w="1129" w:type="pct"/>
            <w:tcMar>
              <w:left w:w="28" w:type="dxa"/>
              <w:right w:w="28" w:type="dxa"/>
            </w:tcMar>
            <w:vAlign w:val="center"/>
          </w:tcPr>
          <w:p w:rsidR="007265B5" w:rsidRDefault="00464B11" w:rsidP="00A5263B">
            <w:pPr>
              <w:pStyle w:val="Tablewriting"/>
              <w:keepNext/>
              <w:jc w:val="center"/>
              <w:rPr>
                <w:rFonts w:eastAsia="MS Mincho"/>
              </w:rPr>
            </w:pPr>
            <w:r>
              <w:rPr>
                <w:rFonts w:eastAsia="MS Mincho"/>
              </w:rPr>
              <w:t>3/444</w:t>
            </w:r>
          </w:p>
          <w:p w:rsidR="007A248F" w:rsidRPr="00567783" w:rsidRDefault="00464B11" w:rsidP="00A5263B">
            <w:pPr>
              <w:pStyle w:val="Tablewriting"/>
              <w:keepNext/>
              <w:jc w:val="center"/>
              <w:rPr>
                <w:rFonts w:eastAsia="MS Mincho"/>
              </w:rPr>
            </w:pPr>
            <w:r>
              <w:rPr>
                <w:rFonts w:eastAsia="MS Mincho"/>
              </w:rPr>
              <w:t>(</w:t>
            </w:r>
            <w:r w:rsidR="001B5D49">
              <w:rPr>
                <w:rFonts w:eastAsia="MS Mincho"/>
              </w:rPr>
              <w:t>0.</w:t>
            </w:r>
            <w:r w:rsidR="007650CD">
              <w:rPr>
                <w:rFonts w:eastAsia="MS Mincho"/>
              </w:rPr>
              <w:t>7</w:t>
            </w:r>
            <w:r>
              <w:rPr>
                <w:rFonts w:eastAsia="MS Mincho"/>
              </w:rPr>
              <w:t>%)</w:t>
            </w:r>
          </w:p>
        </w:tc>
        <w:tc>
          <w:tcPr>
            <w:tcW w:w="1101" w:type="pct"/>
            <w:tcMar>
              <w:left w:w="28" w:type="dxa"/>
              <w:right w:w="28" w:type="dxa"/>
            </w:tcMar>
            <w:vAlign w:val="center"/>
          </w:tcPr>
          <w:p w:rsidR="007265B5" w:rsidRDefault="001F205B" w:rsidP="00A5263B">
            <w:pPr>
              <w:pStyle w:val="Tablewriting"/>
              <w:keepNext/>
              <w:jc w:val="center"/>
              <w:rPr>
                <w:rFonts w:eastAsia="MS Mincho"/>
              </w:rPr>
            </w:pPr>
            <w:r>
              <w:rPr>
                <w:rFonts w:eastAsia="MS Mincho"/>
              </w:rPr>
              <w:t>0/318</w:t>
            </w:r>
          </w:p>
          <w:p w:rsidR="007A248F" w:rsidRDefault="001F205B" w:rsidP="00A5263B">
            <w:pPr>
              <w:pStyle w:val="Tablewriting"/>
              <w:keepNext/>
              <w:jc w:val="center"/>
              <w:rPr>
                <w:rFonts w:eastAsia="MS Mincho"/>
              </w:rPr>
            </w:pPr>
            <w:r>
              <w:rPr>
                <w:rFonts w:eastAsia="MS Mincho"/>
              </w:rPr>
              <w:t>(</w:t>
            </w:r>
            <w:r w:rsidR="007650CD">
              <w:rPr>
                <w:rFonts w:eastAsia="MS Mincho"/>
              </w:rPr>
              <w:t>0</w:t>
            </w:r>
            <w:r>
              <w:rPr>
                <w:rFonts w:eastAsia="MS Mincho"/>
              </w:rPr>
              <w:t>%)</w:t>
            </w:r>
          </w:p>
        </w:tc>
        <w:tc>
          <w:tcPr>
            <w:tcW w:w="1072" w:type="pct"/>
            <w:tcMar>
              <w:left w:w="28" w:type="dxa"/>
              <w:right w:w="28" w:type="dxa"/>
            </w:tcMar>
            <w:vAlign w:val="center"/>
          </w:tcPr>
          <w:p w:rsidR="007A248F" w:rsidRDefault="007A248F" w:rsidP="00A5263B">
            <w:pPr>
              <w:pStyle w:val="Tablewriting"/>
              <w:keepNext/>
              <w:jc w:val="center"/>
              <w:rPr>
                <w:rFonts w:eastAsia="MS Mincho"/>
              </w:rPr>
            </w:pPr>
            <w:r>
              <w:rPr>
                <w:rFonts w:eastAsia="MS Mincho"/>
              </w:rPr>
              <w:t>7.28</w:t>
            </w:r>
          </w:p>
          <w:p w:rsidR="007A248F" w:rsidRDefault="007A248F" w:rsidP="00A5263B">
            <w:pPr>
              <w:pStyle w:val="Tablewriting"/>
              <w:keepNext/>
              <w:jc w:val="center"/>
              <w:rPr>
                <w:rFonts w:eastAsia="MS Mincho"/>
              </w:rPr>
            </w:pPr>
            <w:r>
              <w:rPr>
                <w:rFonts w:eastAsia="MS Mincho"/>
              </w:rPr>
              <w:t>(0.38, 140.28)</w:t>
            </w:r>
          </w:p>
        </w:tc>
      </w:tr>
    </w:tbl>
    <w:p w:rsidR="007A248F" w:rsidRDefault="007A248F" w:rsidP="007A248F">
      <w:pPr>
        <w:pStyle w:val="TableFooter"/>
        <w:keepNext/>
      </w:pPr>
      <w:r>
        <w:t>Source: Lindson et al. (</w:t>
      </w:r>
      <w:r w:rsidRPr="00010C85">
        <w:t>2019b</w:t>
      </w:r>
      <w:r>
        <w:t>)</w:t>
      </w:r>
    </w:p>
    <w:p w:rsidR="007A248F" w:rsidRDefault="007A248F" w:rsidP="007A248F">
      <w:pPr>
        <w:pStyle w:val="TableFooter"/>
        <w:keepNext/>
      </w:pPr>
      <w:r>
        <w:t>Abbreviations: AEs = adverse events; CI = confidence interval; RCT = randomised controlled trial; RR = risk ratio; SAEs = serious adverse events.</w:t>
      </w:r>
    </w:p>
    <w:p w:rsidR="007A248F" w:rsidRDefault="007A248F" w:rsidP="007A248F">
      <w:pPr>
        <w:pStyle w:val="TableFooter"/>
        <w:keepNext/>
      </w:pPr>
      <w:r w:rsidRPr="00FD4061">
        <w:t>Note</w:t>
      </w:r>
      <w:r>
        <w:t>s</w:t>
      </w:r>
      <w:r w:rsidRPr="00FD4061">
        <w:t xml:space="preserve">: </w:t>
      </w:r>
      <w:r w:rsidRPr="001F205B">
        <w:t>Bold</w:t>
      </w:r>
      <w:r w:rsidRPr="00FD4061">
        <w:t xml:space="preserve"> indicates statistically significant difference.</w:t>
      </w:r>
      <w:r>
        <w:t xml:space="preserve"> </w:t>
      </w:r>
      <w:r w:rsidR="00D71B48" w:rsidRPr="00B032C3">
        <w:t xml:space="preserve">See </w:t>
      </w:r>
      <w:r w:rsidR="00D71B48">
        <w:t xml:space="preserve">Appendix </w:t>
      </w:r>
      <w:r w:rsidR="003C4A1C">
        <w:t xml:space="preserve">Figure </w:t>
      </w:r>
      <w:r w:rsidR="003C4A1C">
        <w:rPr>
          <w:noProof/>
        </w:rPr>
        <w:t>105</w:t>
      </w:r>
      <w:r w:rsidR="00D71B48">
        <w:t xml:space="preserve"> and </w:t>
      </w:r>
      <w:r w:rsidR="003C4A1C">
        <w:t xml:space="preserve">Figure </w:t>
      </w:r>
      <w:r w:rsidR="003C4A1C">
        <w:rPr>
          <w:noProof/>
        </w:rPr>
        <w:t>106</w:t>
      </w:r>
      <w:r w:rsidR="00D71B48">
        <w:t xml:space="preserve"> </w:t>
      </w:r>
      <w:r w:rsidR="00D71B48" w:rsidRPr="00B032C3">
        <w:t>for forest plots of the respective outcomes which included the results of individual studies.</w:t>
      </w:r>
    </w:p>
    <w:p w:rsidR="000335AB" w:rsidRDefault="007A248F" w:rsidP="00D352A3">
      <w:pPr>
        <w:pStyle w:val="TableFooter"/>
        <w:keepNext/>
      </w:pPr>
      <w:r>
        <w:t>1</w:t>
      </w:r>
      <w:r w:rsidRPr="00432CC7">
        <w:t xml:space="preserve"> </w:t>
      </w:r>
      <w:r w:rsidRPr="00D32EBD">
        <w:t xml:space="preserve">Calculated </w:t>
      </w:r>
      <w:r w:rsidR="001F205B">
        <w:t>by Cochrane Review authors</w:t>
      </w:r>
      <w:r w:rsidRPr="00D32EBD">
        <w:t xml:space="preserve"> using a fixed-effect model.</w:t>
      </w:r>
      <w:r>
        <w:t xml:space="preserve"> </w:t>
      </w:r>
    </w:p>
    <w:p w:rsidR="00F523E8" w:rsidRPr="00F523E8" w:rsidRDefault="00F523E8" w:rsidP="00D02475">
      <w:pPr>
        <w:pStyle w:val="Heading4"/>
        <w:numPr>
          <w:ilvl w:val="0"/>
          <w:numId w:val="0"/>
        </w:numPr>
      </w:pPr>
      <w:r w:rsidRPr="00783202">
        <w:t xml:space="preserve">Non-PBS listed </w:t>
      </w:r>
      <w:r w:rsidR="0057154B">
        <w:t xml:space="preserve">NRT </w:t>
      </w:r>
      <w:r w:rsidR="0057154B" w:rsidRPr="00783202">
        <w:t>dosage forms</w:t>
      </w:r>
      <w:r w:rsidR="0057154B">
        <w:t xml:space="preserve"> </w:t>
      </w:r>
      <w:r w:rsidR="00B75E21">
        <w:t>(</w:t>
      </w:r>
      <w:r w:rsidRPr="00783202">
        <w:t>TGA</w:t>
      </w:r>
      <w:r w:rsidR="00AF527D">
        <w:t>-registered</w:t>
      </w:r>
      <w:r w:rsidR="0057154B">
        <w:t>)</w:t>
      </w:r>
      <w:r w:rsidRPr="00783202">
        <w:t xml:space="preserve"> </w:t>
      </w:r>
    </w:p>
    <w:p w:rsidR="005444BF" w:rsidRDefault="00F523E8" w:rsidP="00F523E8">
      <w:pPr>
        <w:jc w:val="both"/>
      </w:pPr>
      <w:r w:rsidRPr="00713891">
        <w:t xml:space="preserve">A summary of the characteristics of the studies comparing </w:t>
      </w:r>
      <w:r>
        <w:t xml:space="preserve">efficacy and safety of non-PBS listed NRT dosage forms </w:t>
      </w:r>
      <w:r w:rsidR="00E70D71">
        <w:t xml:space="preserve">which are </w:t>
      </w:r>
      <w:r>
        <w:t xml:space="preserve">TGA registered </w:t>
      </w:r>
      <w:r w:rsidRPr="00713891">
        <w:t>is presented in</w:t>
      </w:r>
      <w:r>
        <w:t xml:space="preserve"> </w:t>
      </w:r>
      <w:r w:rsidR="003C4A1C">
        <w:t xml:space="preserve">Table </w:t>
      </w:r>
      <w:r w:rsidR="003C4A1C">
        <w:rPr>
          <w:noProof/>
        </w:rPr>
        <w:t>104</w:t>
      </w:r>
      <w:r w:rsidRPr="00713891">
        <w:t xml:space="preserve">. </w:t>
      </w:r>
      <w:r w:rsidR="005444BF" w:rsidRPr="00796FC8">
        <w:t>The characteristics of the individual studies are presented in</w:t>
      </w:r>
      <w:r w:rsidR="005444BF">
        <w:t xml:space="preserve"> Appendix</w:t>
      </w:r>
      <w:r w:rsidR="005444BF" w:rsidRPr="00796FC8">
        <w:t xml:space="preserve"> </w:t>
      </w:r>
      <w:r w:rsidR="003C4A1C">
        <w:t xml:space="preserve">Table </w:t>
      </w:r>
      <w:r w:rsidR="003C4A1C">
        <w:rPr>
          <w:noProof/>
        </w:rPr>
        <w:t>164</w:t>
      </w:r>
      <w:r w:rsidR="005444BF" w:rsidRPr="00465020">
        <w:t>.</w:t>
      </w:r>
    </w:p>
    <w:p w:rsidR="002E7BA2" w:rsidRDefault="00025DA6" w:rsidP="00F523E8">
      <w:pPr>
        <w:jc w:val="both"/>
      </w:pPr>
      <w:r>
        <w:t xml:space="preserve">The </w:t>
      </w:r>
      <w:r w:rsidR="00CD12B1">
        <w:t xml:space="preserve">relevant studies </w:t>
      </w:r>
      <w:r w:rsidR="002E7BA2">
        <w:t xml:space="preserve">identified for inclusion are presented in this section based on </w:t>
      </w:r>
      <w:r w:rsidR="006934BE">
        <w:t>four</w:t>
      </w:r>
      <w:r w:rsidR="002E7BA2">
        <w:t xml:space="preserve"> categories:</w:t>
      </w:r>
    </w:p>
    <w:p w:rsidR="006934BE" w:rsidRPr="003B58ED" w:rsidRDefault="006934BE" w:rsidP="00C324F3">
      <w:pPr>
        <w:pStyle w:val="ListParagraph"/>
        <w:numPr>
          <w:ilvl w:val="0"/>
          <w:numId w:val="187"/>
        </w:numPr>
        <w:jc w:val="both"/>
      </w:pPr>
      <w:r w:rsidRPr="003B58ED">
        <w:t>Inhalator/inhaler (versus placebo</w:t>
      </w:r>
      <w:r w:rsidR="009C1032" w:rsidRPr="003B58ED">
        <w:t xml:space="preserve"> and </w:t>
      </w:r>
      <w:r w:rsidR="00573F59">
        <w:t>patches</w:t>
      </w:r>
      <w:r w:rsidR="009C1032" w:rsidRPr="003B58ED">
        <w:t>)</w:t>
      </w:r>
    </w:p>
    <w:p w:rsidR="009C1032" w:rsidRPr="003B58ED" w:rsidRDefault="009C1032" w:rsidP="00C324F3">
      <w:pPr>
        <w:pStyle w:val="ListParagraph"/>
        <w:numPr>
          <w:ilvl w:val="0"/>
          <w:numId w:val="187"/>
        </w:numPr>
        <w:jc w:val="both"/>
      </w:pPr>
      <w:r w:rsidRPr="003B58ED">
        <w:t>Intra</w:t>
      </w:r>
      <w:r w:rsidR="00A41791" w:rsidRPr="003B58ED">
        <w:t>nasal</w:t>
      </w:r>
      <w:r w:rsidR="00EC566F" w:rsidRPr="003B58ED">
        <w:t>/nasal</w:t>
      </w:r>
      <w:r w:rsidR="00A41791" w:rsidRPr="003B58ED">
        <w:t xml:space="preserve"> </w:t>
      </w:r>
      <w:r w:rsidR="00EC566F" w:rsidRPr="003B58ED">
        <w:t xml:space="preserve">spray (versus placebo and </w:t>
      </w:r>
      <w:r w:rsidR="00573F59">
        <w:t>patches</w:t>
      </w:r>
      <w:r w:rsidR="00EC566F" w:rsidRPr="003B58ED">
        <w:t>)</w:t>
      </w:r>
    </w:p>
    <w:p w:rsidR="00EC566F" w:rsidRPr="003B58ED" w:rsidRDefault="00B23522" w:rsidP="00C324F3">
      <w:pPr>
        <w:pStyle w:val="ListParagraph"/>
        <w:numPr>
          <w:ilvl w:val="0"/>
          <w:numId w:val="187"/>
        </w:numPr>
        <w:jc w:val="both"/>
      </w:pPr>
      <w:r w:rsidRPr="003B58ED">
        <w:t>Oral spray (versus placebo)</w:t>
      </w:r>
    </w:p>
    <w:p w:rsidR="00B23522" w:rsidRPr="003B58ED" w:rsidRDefault="00B23522" w:rsidP="00C324F3">
      <w:pPr>
        <w:pStyle w:val="ListParagraph"/>
        <w:numPr>
          <w:ilvl w:val="0"/>
          <w:numId w:val="187"/>
        </w:numPr>
        <w:jc w:val="both"/>
      </w:pPr>
      <w:r w:rsidRPr="003B58ED">
        <w:t>Inhalator + patch (versus placebo)</w:t>
      </w:r>
    </w:p>
    <w:p w:rsidR="00E11ADF" w:rsidRDefault="00E11ADF" w:rsidP="00E11ADF">
      <w:pPr>
        <w:jc w:val="both"/>
        <w:sectPr w:rsidR="00E11ADF" w:rsidSect="006356D2">
          <w:pgSz w:w="11906" w:h="16838"/>
          <w:pgMar w:top="1440" w:right="1440" w:bottom="1440" w:left="1440" w:header="708" w:footer="708" w:gutter="0"/>
          <w:cols w:space="708"/>
          <w:titlePg/>
          <w:docGrid w:linePitch="360"/>
        </w:sectPr>
      </w:pPr>
    </w:p>
    <w:p w:rsidR="00F523E8" w:rsidRDefault="00F523E8" w:rsidP="00F523E8">
      <w:pPr>
        <w:pStyle w:val="Caption"/>
        <w:keepNext/>
      </w:pPr>
      <w:bookmarkStart w:id="214" w:name="_Ref60846614"/>
      <w:r>
        <w:lastRenderedPageBreak/>
        <w:t xml:space="preserve">Table </w:t>
      </w:r>
      <w:r w:rsidR="003C4A1C">
        <w:rPr>
          <w:noProof/>
        </w:rPr>
        <w:t>104</w:t>
      </w:r>
      <w:bookmarkEnd w:id="214"/>
      <w:r>
        <w:t xml:space="preserve">: </w:t>
      </w:r>
      <w:r w:rsidRPr="00590805">
        <w:t>Characteristics of the studies comparing non-PBS listed NRT dosage forms</w:t>
      </w:r>
    </w:p>
    <w:tbl>
      <w:tblPr>
        <w:tblStyle w:val="TableGrid"/>
        <w:tblW w:w="5107" w:type="pct"/>
        <w:tblLook w:val="04A0" w:firstRow="1" w:lastRow="0" w:firstColumn="1" w:lastColumn="0" w:noHBand="0" w:noVBand="1"/>
        <w:tblCaption w:val="Efficacy results of adalimumab trials (PASI 75 and DLQI)"/>
      </w:tblPr>
      <w:tblGrid>
        <w:gridCol w:w="941"/>
        <w:gridCol w:w="988"/>
        <w:gridCol w:w="2319"/>
        <w:gridCol w:w="5670"/>
        <w:gridCol w:w="1701"/>
        <w:gridCol w:w="2627"/>
      </w:tblGrid>
      <w:tr w:rsidR="00E45F0E" w:rsidRPr="00061F78" w:rsidTr="00CB3AFC">
        <w:trPr>
          <w:trHeight w:val="299"/>
          <w:tblHeader/>
        </w:trPr>
        <w:tc>
          <w:tcPr>
            <w:tcW w:w="330" w:type="pct"/>
            <w:shd w:val="clear" w:color="auto" w:fill="BFBFBF" w:themeFill="background1" w:themeFillShade="BF"/>
            <w:tcMar>
              <w:left w:w="28" w:type="dxa"/>
              <w:right w:w="28" w:type="dxa"/>
            </w:tcMar>
          </w:tcPr>
          <w:p w:rsidR="00F523E8" w:rsidRPr="00061F78" w:rsidRDefault="00F523E8" w:rsidP="00E45F0E">
            <w:pPr>
              <w:pStyle w:val="Tableheading"/>
              <w:rPr>
                <w:rFonts w:eastAsia="MS Mincho"/>
              </w:rPr>
            </w:pPr>
            <w:r>
              <w:rPr>
                <w:rFonts w:eastAsia="MS Mincho"/>
              </w:rPr>
              <w:t>Study</w:t>
            </w:r>
          </w:p>
        </w:tc>
        <w:tc>
          <w:tcPr>
            <w:tcW w:w="347" w:type="pct"/>
            <w:shd w:val="clear" w:color="auto" w:fill="BFBFBF" w:themeFill="background1" w:themeFillShade="BF"/>
          </w:tcPr>
          <w:p w:rsidR="00F523E8" w:rsidRDefault="00F523E8" w:rsidP="00E45F0E">
            <w:pPr>
              <w:pStyle w:val="Tableheading"/>
              <w:jc w:val="center"/>
              <w:rPr>
                <w:rFonts w:eastAsia="MS Mincho"/>
              </w:rPr>
            </w:pPr>
            <w:r>
              <w:rPr>
                <w:rFonts w:eastAsia="MS Mincho"/>
              </w:rPr>
              <w:t>Study type</w:t>
            </w:r>
          </w:p>
        </w:tc>
        <w:tc>
          <w:tcPr>
            <w:tcW w:w="814" w:type="pct"/>
            <w:shd w:val="clear" w:color="auto" w:fill="BFBFBF" w:themeFill="background1" w:themeFillShade="BF"/>
            <w:tcMar>
              <w:left w:w="28" w:type="dxa"/>
              <w:right w:w="28" w:type="dxa"/>
            </w:tcMar>
          </w:tcPr>
          <w:p w:rsidR="00F523E8" w:rsidRPr="002E1796" w:rsidRDefault="00F523E8" w:rsidP="00E45F0E">
            <w:pPr>
              <w:pStyle w:val="Tableheading"/>
              <w:jc w:val="center"/>
              <w:rPr>
                <w:rFonts w:eastAsia="MS Mincho"/>
              </w:rPr>
            </w:pPr>
            <w:r w:rsidRPr="005A1EEB">
              <w:rPr>
                <w:rFonts w:eastAsia="MS Mincho"/>
              </w:rPr>
              <w:t>Subgroup title/N</w:t>
            </w:r>
            <w:r w:rsidRPr="005A1EEB">
              <w:rPr>
                <w:rFonts w:eastAsia="MS Mincho"/>
                <w:vertAlign w:val="superscript"/>
              </w:rPr>
              <w:t>1</w:t>
            </w:r>
          </w:p>
        </w:tc>
        <w:tc>
          <w:tcPr>
            <w:tcW w:w="1990" w:type="pct"/>
            <w:shd w:val="clear" w:color="auto" w:fill="BFBFBF" w:themeFill="background1" w:themeFillShade="BF"/>
            <w:tcMar>
              <w:left w:w="28" w:type="dxa"/>
              <w:right w:w="28" w:type="dxa"/>
            </w:tcMar>
          </w:tcPr>
          <w:p w:rsidR="00F523E8" w:rsidRPr="00061F78" w:rsidRDefault="00F523E8" w:rsidP="00E45F0E">
            <w:pPr>
              <w:pStyle w:val="Tableheading"/>
              <w:jc w:val="center"/>
              <w:rPr>
                <w:rFonts w:eastAsia="MS Mincho"/>
              </w:rPr>
            </w:pPr>
            <w:r w:rsidRPr="00061F78">
              <w:rPr>
                <w:rFonts w:eastAsia="MS Mincho"/>
              </w:rPr>
              <w:t>P</w:t>
            </w:r>
            <w:r>
              <w:rPr>
                <w:rFonts w:eastAsia="MS Mincho"/>
              </w:rPr>
              <w:t>opulation</w:t>
            </w:r>
          </w:p>
        </w:tc>
        <w:tc>
          <w:tcPr>
            <w:tcW w:w="597" w:type="pct"/>
            <w:shd w:val="clear" w:color="auto" w:fill="BFBFBF" w:themeFill="background1" w:themeFillShade="BF"/>
          </w:tcPr>
          <w:p w:rsidR="00F523E8" w:rsidRDefault="00F523E8" w:rsidP="00E45F0E">
            <w:pPr>
              <w:pStyle w:val="Tableheading"/>
              <w:jc w:val="center"/>
              <w:rPr>
                <w:rFonts w:eastAsia="MS Mincho"/>
              </w:rPr>
            </w:pPr>
            <w:r>
              <w:rPr>
                <w:rFonts w:eastAsia="MS Mincho"/>
              </w:rPr>
              <w:t>Intervention and comparator</w:t>
            </w:r>
          </w:p>
        </w:tc>
        <w:tc>
          <w:tcPr>
            <w:tcW w:w="922" w:type="pct"/>
            <w:shd w:val="clear" w:color="auto" w:fill="BFBFBF" w:themeFill="background1" w:themeFillShade="BF"/>
            <w:tcMar>
              <w:left w:w="28" w:type="dxa"/>
              <w:right w:w="28" w:type="dxa"/>
            </w:tcMar>
          </w:tcPr>
          <w:p w:rsidR="00F523E8" w:rsidRPr="00061F78" w:rsidRDefault="00F523E8" w:rsidP="00E45F0E">
            <w:pPr>
              <w:pStyle w:val="Tableheading"/>
              <w:jc w:val="center"/>
              <w:rPr>
                <w:rFonts w:eastAsia="MS Mincho"/>
              </w:rPr>
            </w:pPr>
            <w:r>
              <w:rPr>
                <w:rFonts w:eastAsia="MS Mincho"/>
              </w:rPr>
              <w:t>Outcomes</w:t>
            </w:r>
          </w:p>
        </w:tc>
      </w:tr>
      <w:tr w:rsidR="00AA3BFF" w:rsidRPr="00061F78" w:rsidTr="007231A4">
        <w:trPr>
          <w:trHeight w:val="149"/>
        </w:trPr>
        <w:tc>
          <w:tcPr>
            <w:tcW w:w="5000" w:type="pct"/>
            <w:gridSpan w:val="6"/>
            <w:shd w:val="clear" w:color="auto" w:fill="auto"/>
            <w:tcMar>
              <w:left w:w="28" w:type="dxa"/>
              <w:right w:w="28" w:type="dxa"/>
            </w:tcMar>
          </w:tcPr>
          <w:p w:rsidR="00AA3BFF" w:rsidRPr="00AA3BFF" w:rsidRDefault="00AA3BFF" w:rsidP="00E45F0E">
            <w:pPr>
              <w:pStyle w:val="Tablewriting"/>
              <w:rPr>
                <w:rFonts w:eastAsia="MS Mincho"/>
                <w:b/>
                <w:bCs/>
                <w:u w:val="single"/>
              </w:rPr>
            </w:pPr>
            <w:r w:rsidRPr="00AA3BFF">
              <w:rPr>
                <w:b/>
                <w:bCs/>
              </w:rPr>
              <w:t>Inhalator/inhaler</w:t>
            </w:r>
          </w:p>
        </w:tc>
      </w:tr>
      <w:tr w:rsidR="00F523E8" w:rsidRPr="00061F78" w:rsidTr="00CB3AFC">
        <w:trPr>
          <w:trHeight w:val="149"/>
        </w:trPr>
        <w:tc>
          <w:tcPr>
            <w:tcW w:w="330" w:type="pct"/>
            <w:tcMar>
              <w:left w:w="28" w:type="dxa"/>
              <w:right w:w="28" w:type="dxa"/>
            </w:tcMar>
          </w:tcPr>
          <w:p w:rsidR="00F523E8" w:rsidRPr="00687B43" w:rsidRDefault="00F523E8" w:rsidP="00E45F0E">
            <w:pPr>
              <w:pStyle w:val="Tablewriting"/>
              <w:rPr>
                <w:rFonts w:eastAsia="MS Mincho"/>
              </w:rPr>
            </w:pPr>
            <w:r w:rsidRPr="004110FF">
              <w:t xml:space="preserve">Hartmann-Boyce  </w:t>
            </w:r>
            <w:r>
              <w:t>(</w:t>
            </w:r>
            <w:r w:rsidRPr="004110FF">
              <w:t>2018</w:t>
            </w:r>
            <w:r>
              <w:t>)</w:t>
            </w:r>
          </w:p>
        </w:tc>
        <w:tc>
          <w:tcPr>
            <w:tcW w:w="347" w:type="pct"/>
          </w:tcPr>
          <w:p w:rsidR="00F523E8" w:rsidRPr="00992D9B" w:rsidRDefault="00F523E8" w:rsidP="00E45F0E">
            <w:pPr>
              <w:pStyle w:val="Tablewriting"/>
              <w:rPr>
                <w:rFonts w:eastAsia="MS Mincho"/>
              </w:rPr>
            </w:pPr>
            <w:r w:rsidRPr="00992D9B">
              <w:rPr>
                <w:rFonts w:eastAsia="MS Mincho"/>
              </w:rPr>
              <w:t xml:space="preserve">Cochrane </w:t>
            </w:r>
            <w:r w:rsidR="00803EBA" w:rsidRPr="00992D9B">
              <w:rPr>
                <w:rFonts w:eastAsia="MS Mincho"/>
              </w:rPr>
              <w:t>R</w:t>
            </w:r>
            <w:r w:rsidRPr="00992D9B">
              <w:rPr>
                <w:rFonts w:eastAsia="MS Mincho"/>
              </w:rPr>
              <w:t xml:space="preserve">eview </w:t>
            </w:r>
          </w:p>
          <w:p w:rsidR="00F523E8" w:rsidRPr="00186C2B" w:rsidRDefault="00F523E8" w:rsidP="00E45F0E">
            <w:pPr>
              <w:pStyle w:val="Tablewriting"/>
              <w:rPr>
                <w:rFonts w:eastAsia="MS Mincho"/>
                <w:highlight w:val="yellow"/>
              </w:rPr>
            </w:pPr>
            <w:r w:rsidRPr="00992D9B">
              <w:rPr>
                <w:rFonts w:eastAsia="MS Mincho"/>
              </w:rPr>
              <w:t>(</w:t>
            </w:r>
            <w:r>
              <w:rPr>
                <w:rFonts w:eastAsia="MS Mincho"/>
              </w:rPr>
              <w:t>4</w:t>
            </w:r>
            <w:r w:rsidRPr="00992D9B">
              <w:rPr>
                <w:rFonts w:eastAsia="MS Mincho"/>
              </w:rPr>
              <w:t xml:space="preserve"> RCTs</w:t>
            </w:r>
            <w:r w:rsidRPr="00992D9B">
              <w:rPr>
                <w:rFonts w:eastAsia="MS Mincho"/>
                <w:vertAlign w:val="superscript"/>
              </w:rPr>
              <w:t>2</w:t>
            </w:r>
            <w:r w:rsidRPr="00992D9B">
              <w:rPr>
                <w:rFonts w:eastAsia="MS Mincho"/>
              </w:rPr>
              <w:t>)</w:t>
            </w:r>
          </w:p>
        </w:tc>
        <w:tc>
          <w:tcPr>
            <w:tcW w:w="814" w:type="pct"/>
            <w:tcMar>
              <w:left w:w="28" w:type="dxa"/>
              <w:right w:w="28" w:type="dxa"/>
            </w:tcMar>
          </w:tcPr>
          <w:p w:rsidR="00F523E8" w:rsidRDefault="00F523E8" w:rsidP="00E45F0E">
            <w:pPr>
              <w:pStyle w:val="Tablewriting"/>
              <w:rPr>
                <w:rFonts w:eastAsia="MS Mincho"/>
                <w:u w:val="single"/>
              </w:rPr>
            </w:pPr>
            <w:r w:rsidRPr="00662E6F">
              <w:rPr>
                <w:rFonts w:eastAsia="MS Mincho"/>
                <w:u w:val="single"/>
              </w:rPr>
              <w:t>Inhalator versus placebo</w:t>
            </w:r>
          </w:p>
          <w:p w:rsidR="00F523E8" w:rsidRDefault="00F523E8" w:rsidP="00E45F0E">
            <w:pPr>
              <w:pStyle w:val="Tablewriting"/>
              <w:rPr>
                <w:rFonts w:eastAsia="MS Mincho"/>
              </w:rPr>
            </w:pPr>
            <w:r w:rsidRPr="00992D9B">
              <w:rPr>
                <w:rFonts w:eastAsia="MS Mincho"/>
              </w:rPr>
              <w:t>N=</w:t>
            </w:r>
            <w:r>
              <w:rPr>
                <w:rFonts w:eastAsia="MS Mincho"/>
              </w:rPr>
              <w:t xml:space="preserve"> 976 </w:t>
            </w:r>
            <w:r w:rsidRPr="00992D9B">
              <w:rPr>
                <w:rFonts w:eastAsia="MS Mincho"/>
              </w:rPr>
              <w:t>(</w:t>
            </w:r>
            <w:r>
              <w:rPr>
                <w:rFonts w:eastAsia="MS Mincho"/>
              </w:rPr>
              <w:t xml:space="preserve">4 </w:t>
            </w:r>
            <w:r w:rsidRPr="00992D9B">
              <w:rPr>
                <w:rFonts w:eastAsia="MS Mincho"/>
              </w:rPr>
              <w:t>RCT</w:t>
            </w:r>
            <w:r>
              <w:rPr>
                <w:rFonts w:eastAsia="MS Mincho"/>
              </w:rPr>
              <w:t>s</w:t>
            </w:r>
            <w:r w:rsidRPr="00992D9B">
              <w:rPr>
                <w:rFonts w:eastAsia="MS Mincho"/>
              </w:rPr>
              <w:t>)</w:t>
            </w:r>
          </w:p>
          <w:p w:rsidR="00F523E8" w:rsidRPr="00F4262F" w:rsidRDefault="00F523E8" w:rsidP="00E45F0E">
            <w:pPr>
              <w:pStyle w:val="Tablewriting"/>
              <w:rPr>
                <w:rFonts w:eastAsia="MS Mincho"/>
              </w:rPr>
            </w:pPr>
            <w:r>
              <w:rPr>
                <w:rFonts w:eastAsia="MS Mincho"/>
              </w:rPr>
              <w:t>Inhalator (</w:t>
            </w:r>
            <w:r w:rsidRPr="002F0CA7">
              <w:rPr>
                <w:rFonts w:eastAsia="MS Mincho"/>
              </w:rPr>
              <w:t>n=</w:t>
            </w:r>
            <w:r>
              <w:rPr>
                <w:rFonts w:eastAsia="MS Mincho"/>
              </w:rPr>
              <w:t>490</w:t>
            </w:r>
            <w:r w:rsidRPr="002F0CA7">
              <w:rPr>
                <w:rFonts w:eastAsia="MS Mincho"/>
              </w:rPr>
              <w:t>),</w:t>
            </w:r>
            <w:r>
              <w:rPr>
                <w:rFonts w:eastAsia="MS Mincho"/>
              </w:rPr>
              <w:t xml:space="preserve"> </w:t>
            </w:r>
            <w:r w:rsidR="00E11ADF">
              <w:rPr>
                <w:rFonts w:eastAsia="MS Mincho"/>
              </w:rPr>
              <w:t>P</w:t>
            </w:r>
            <w:r>
              <w:rPr>
                <w:rFonts w:eastAsia="MS Mincho"/>
              </w:rPr>
              <w:t xml:space="preserve">lacebo </w:t>
            </w:r>
            <w:r w:rsidRPr="002F0CA7">
              <w:rPr>
                <w:rFonts w:eastAsia="MS Mincho"/>
              </w:rPr>
              <w:t>(n=</w:t>
            </w:r>
            <w:r>
              <w:rPr>
                <w:rFonts w:eastAsia="MS Mincho"/>
              </w:rPr>
              <w:t>486</w:t>
            </w:r>
            <w:r w:rsidRPr="002F0CA7">
              <w:rPr>
                <w:rFonts w:eastAsia="MS Mincho"/>
              </w:rPr>
              <w:t>)</w:t>
            </w:r>
          </w:p>
        </w:tc>
        <w:tc>
          <w:tcPr>
            <w:tcW w:w="1990" w:type="pct"/>
            <w:tcMar>
              <w:left w:w="28" w:type="dxa"/>
              <w:right w:w="28" w:type="dxa"/>
            </w:tcMar>
          </w:tcPr>
          <w:p w:rsidR="00F523E8" w:rsidRDefault="00F523E8" w:rsidP="00E45F0E">
            <w:pPr>
              <w:pStyle w:val="Tablewriting"/>
              <w:rPr>
                <w:rFonts w:eastAsia="MS Mincho"/>
              </w:rPr>
            </w:pPr>
            <w:r w:rsidRPr="002C19B4">
              <w:rPr>
                <w:rFonts w:eastAsia="MS Mincho"/>
                <w:u w:val="single"/>
              </w:rPr>
              <w:t>Inclusion</w:t>
            </w:r>
            <w:r>
              <w:rPr>
                <w:rFonts w:eastAsia="MS Mincho"/>
              </w:rPr>
              <w:t xml:space="preserve">: </w:t>
            </w:r>
            <w:r w:rsidRPr="007B7C66">
              <w:rPr>
                <w:rFonts w:eastAsia="MS Mincho"/>
              </w:rPr>
              <w:t>men or women who smoked and were motivated to</w:t>
            </w:r>
            <w:r>
              <w:rPr>
                <w:rFonts w:eastAsia="MS Mincho"/>
              </w:rPr>
              <w:t xml:space="preserve"> </w:t>
            </w:r>
            <w:r w:rsidRPr="007B7C66">
              <w:rPr>
                <w:rFonts w:eastAsia="MS Mincho"/>
              </w:rPr>
              <w:t>quit, irrespective of the setting from which they were recruited</w:t>
            </w:r>
            <w:r>
              <w:rPr>
                <w:rFonts w:eastAsia="MS Mincho"/>
              </w:rPr>
              <w:t xml:space="preserve"> </w:t>
            </w:r>
            <w:r w:rsidRPr="007B7C66">
              <w:rPr>
                <w:rFonts w:eastAsia="MS Mincho"/>
              </w:rPr>
              <w:t>or their initial level of nicotine dependence, or both</w:t>
            </w:r>
            <w:r>
              <w:rPr>
                <w:rFonts w:eastAsia="MS Mincho"/>
              </w:rPr>
              <w:t>.</w:t>
            </w:r>
          </w:p>
          <w:p w:rsidR="00F523E8" w:rsidRPr="009830FA" w:rsidRDefault="00F523E8" w:rsidP="00E45F0E">
            <w:pPr>
              <w:pStyle w:val="Tablewriting"/>
              <w:rPr>
                <w:rFonts w:eastAsia="MS Mincho"/>
                <w:highlight w:val="yellow"/>
              </w:rPr>
            </w:pPr>
            <w:r w:rsidRPr="002C19B4">
              <w:rPr>
                <w:rFonts w:eastAsia="MS Mincho"/>
                <w:u w:val="single"/>
              </w:rPr>
              <w:t>Exclusion</w:t>
            </w:r>
            <w:r>
              <w:rPr>
                <w:rFonts w:eastAsia="MS Mincho"/>
              </w:rPr>
              <w:t xml:space="preserve">: trials that </w:t>
            </w:r>
            <w:r w:rsidRPr="00D8489B">
              <w:rPr>
                <w:rFonts w:eastAsia="MS Mincho"/>
              </w:rPr>
              <w:t>randomi</w:t>
            </w:r>
            <w:r>
              <w:rPr>
                <w:rFonts w:eastAsia="MS Mincho"/>
              </w:rPr>
              <w:t>s</w:t>
            </w:r>
            <w:r w:rsidRPr="00D8489B">
              <w:rPr>
                <w:rFonts w:eastAsia="MS Mincho"/>
              </w:rPr>
              <w:t>ed physicians or other therapists to</w:t>
            </w:r>
            <w:r>
              <w:rPr>
                <w:rFonts w:eastAsia="MS Mincho"/>
              </w:rPr>
              <w:t xml:space="preserve"> </w:t>
            </w:r>
            <w:r w:rsidRPr="00D8489B">
              <w:rPr>
                <w:rFonts w:eastAsia="MS Mincho"/>
              </w:rPr>
              <w:t>receive an educational intervention, which included encouraging</w:t>
            </w:r>
            <w:r>
              <w:rPr>
                <w:rFonts w:eastAsia="MS Mincho"/>
              </w:rPr>
              <w:t xml:space="preserve"> </w:t>
            </w:r>
            <w:r w:rsidRPr="00D8489B">
              <w:rPr>
                <w:rFonts w:eastAsia="MS Mincho"/>
              </w:rPr>
              <w:t>their patients to use NRT</w:t>
            </w:r>
            <w:r w:rsidR="00ED0CBA">
              <w:rPr>
                <w:rFonts w:eastAsia="MS Mincho"/>
              </w:rPr>
              <w:t>.</w:t>
            </w:r>
          </w:p>
        </w:tc>
        <w:tc>
          <w:tcPr>
            <w:tcW w:w="597" w:type="pct"/>
          </w:tcPr>
          <w:p w:rsidR="00F523E8" w:rsidRPr="003E5FF8" w:rsidRDefault="00F523E8" w:rsidP="00E45F0E">
            <w:pPr>
              <w:pStyle w:val="Tablewriting"/>
              <w:rPr>
                <w:rFonts w:eastAsia="MS Mincho"/>
              </w:rPr>
            </w:pPr>
            <w:r w:rsidRPr="003E5FF8">
              <w:rPr>
                <w:rFonts w:eastAsia="MS Mincho"/>
              </w:rPr>
              <w:t>NRT inhalator</w:t>
            </w:r>
          </w:p>
          <w:p w:rsidR="00F523E8" w:rsidRPr="00186C2B" w:rsidRDefault="00F523E8" w:rsidP="00E45F0E">
            <w:pPr>
              <w:pStyle w:val="Tablewriting"/>
              <w:rPr>
                <w:rFonts w:eastAsia="MS Mincho"/>
                <w:highlight w:val="yellow"/>
              </w:rPr>
            </w:pPr>
            <w:r w:rsidRPr="003E5FF8">
              <w:rPr>
                <w:rFonts w:eastAsia="MS Mincho"/>
              </w:rPr>
              <w:t>Placebo</w:t>
            </w:r>
          </w:p>
        </w:tc>
        <w:tc>
          <w:tcPr>
            <w:tcW w:w="922" w:type="pct"/>
            <w:tcMar>
              <w:left w:w="28" w:type="dxa"/>
              <w:right w:w="28" w:type="dxa"/>
            </w:tcMar>
          </w:tcPr>
          <w:p w:rsidR="00F523E8" w:rsidRPr="000D0785" w:rsidRDefault="00F523E8" w:rsidP="00E45F0E">
            <w:pPr>
              <w:pStyle w:val="Tablewriting"/>
              <w:rPr>
                <w:rFonts w:eastAsia="MS Mincho"/>
              </w:rPr>
            </w:pPr>
            <w:r w:rsidRPr="006E7EED">
              <w:rPr>
                <w:rFonts w:eastAsia="MS Mincho"/>
                <w:u w:val="single"/>
              </w:rPr>
              <w:t>Primary</w:t>
            </w:r>
            <w:r w:rsidRPr="006E7EED">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Pr>
                <w:rFonts w:eastAsia="MS Mincho"/>
              </w:rPr>
              <w:t>.</w:t>
            </w:r>
          </w:p>
          <w:p w:rsidR="00F523E8" w:rsidRPr="0050095A" w:rsidRDefault="00F523E8" w:rsidP="00E45F0E">
            <w:pPr>
              <w:pStyle w:val="Tablewriting"/>
              <w:rPr>
                <w:rFonts w:eastAsia="MS Mincho"/>
                <w:u w:val="single"/>
              </w:rPr>
            </w:pPr>
            <w:r w:rsidRPr="00E44230">
              <w:rPr>
                <w:rFonts w:eastAsia="MS Mincho"/>
                <w:u w:val="single"/>
              </w:rPr>
              <w:t>Secondary</w:t>
            </w:r>
            <w:r w:rsidRPr="00E44230">
              <w:rPr>
                <w:rFonts w:eastAsia="MS Mincho"/>
              </w:rPr>
              <w:t xml:space="preserve">: </w:t>
            </w:r>
            <w:r w:rsidRPr="009675A0">
              <w:rPr>
                <w:rFonts w:eastAsia="MS Mincho"/>
              </w:rPr>
              <w:t>NR</w:t>
            </w:r>
            <w:r w:rsidR="00ED0CBA">
              <w:rPr>
                <w:rFonts w:eastAsia="MS Mincho"/>
              </w:rPr>
              <w:t>.</w:t>
            </w:r>
            <w:r>
              <w:rPr>
                <w:rFonts w:eastAsia="MS Mincho"/>
              </w:rPr>
              <w:t xml:space="preserve"> </w:t>
            </w:r>
          </w:p>
        </w:tc>
      </w:tr>
      <w:tr w:rsidR="00F523E8" w:rsidRPr="00061F78" w:rsidTr="00CB3AFC">
        <w:trPr>
          <w:trHeight w:val="149"/>
        </w:trPr>
        <w:tc>
          <w:tcPr>
            <w:tcW w:w="330" w:type="pct"/>
            <w:tcMar>
              <w:left w:w="28" w:type="dxa"/>
              <w:right w:w="28" w:type="dxa"/>
            </w:tcMar>
          </w:tcPr>
          <w:p w:rsidR="00F523E8" w:rsidRPr="003018A2" w:rsidRDefault="00F523E8" w:rsidP="00E45F0E">
            <w:pPr>
              <w:pStyle w:val="Tablewriting"/>
            </w:pPr>
            <w:r w:rsidRPr="003018A2">
              <w:t>Oncken (2019)</w:t>
            </w:r>
          </w:p>
        </w:tc>
        <w:tc>
          <w:tcPr>
            <w:tcW w:w="347" w:type="pct"/>
          </w:tcPr>
          <w:p w:rsidR="00F523E8" w:rsidRPr="003018A2" w:rsidRDefault="00F523E8" w:rsidP="00E45F0E">
            <w:pPr>
              <w:pStyle w:val="Tablewriting"/>
              <w:rPr>
                <w:rFonts w:eastAsia="MS Mincho"/>
              </w:rPr>
            </w:pPr>
            <w:r w:rsidRPr="003018A2">
              <w:rPr>
                <w:rFonts w:eastAsia="MS Mincho"/>
              </w:rPr>
              <w:t>RCT</w:t>
            </w:r>
          </w:p>
        </w:tc>
        <w:tc>
          <w:tcPr>
            <w:tcW w:w="814" w:type="pct"/>
            <w:tcMar>
              <w:left w:w="28" w:type="dxa"/>
              <w:right w:w="28" w:type="dxa"/>
            </w:tcMar>
          </w:tcPr>
          <w:p w:rsidR="00F523E8" w:rsidRPr="003018A2" w:rsidRDefault="00F523E8" w:rsidP="00E45F0E">
            <w:pPr>
              <w:pStyle w:val="Tablewriting"/>
              <w:rPr>
                <w:rFonts w:eastAsia="MS Mincho"/>
                <w:u w:val="single"/>
              </w:rPr>
            </w:pPr>
            <w:r w:rsidRPr="003018A2">
              <w:rPr>
                <w:rFonts w:eastAsia="MS Mincho"/>
                <w:u w:val="single"/>
              </w:rPr>
              <w:t>Inhalator versus placebo</w:t>
            </w:r>
          </w:p>
          <w:p w:rsidR="00F523E8" w:rsidRPr="003018A2" w:rsidRDefault="00F523E8" w:rsidP="00E45F0E">
            <w:pPr>
              <w:pStyle w:val="Tablewriting"/>
              <w:rPr>
                <w:rFonts w:eastAsia="MS Mincho"/>
              </w:rPr>
            </w:pPr>
            <w:r w:rsidRPr="003018A2">
              <w:rPr>
                <w:rFonts w:eastAsia="MS Mincho"/>
              </w:rPr>
              <w:t xml:space="preserve">N= </w:t>
            </w:r>
            <w:r>
              <w:rPr>
                <w:rFonts w:eastAsia="MS Mincho"/>
              </w:rPr>
              <w:t xml:space="preserve">137 </w:t>
            </w:r>
            <w:r w:rsidRPr="003018A2">
              <w:rPr>
                <w:rFonts w:eastAsia="MS Mincho"/>
              </w:rPr>
              <w:t>(1 RCT)</w:t>
            </w:r>
          </w:p>
          <w:p w:rsidR="00E11ADF" w:rsidRDefault="00F523E8" w:rsidP="00482E97">
            <w:pPr>
              <w:pStyle w:val="Tablewriting"/>
              <w:rPr>
                <w:rFonts w:eastAsia="MS Mincho"/>
              </w:rPr>
            </w:pPr>
            <w:r w:rsidRPr="003018A2">
              <w:rPr>
                <w:rFonts w:eastAsia="MS Mincho"/>
              </w:rPr>
              <w:t xml:space="preserve">Inhalator (n=70), </w:t>
            </w:r>
          </w:p>
          <w:p w:rsidR="00F523E8" w:rsidRPr="003018A2" w:rsidRDefault="00E11ADF" w:rsidP="00E45F0E">
            <w:pPr>
              <w:pStyle w:val="Tablewriting"/>
              <w:rPr>
                <w:rFonts w:eastAsia="MS Mincho"/>
                <w:u w:val="single"/>
              </w:rPr>
            </w:pPr>
            <w:r w:rsidRPr="003018A2">
              <w:rPr>
                <w:rFonts w:eastAsia="MS Mincho"/>
              </w:rPr>
              <w:t>P</w:t>
            </w:r>
            <w:r w:rsidR="00F523E8" w:rsidRPr="003018A2">
              <w:rPr>
                <w:rFonts w:eastAsia="MS Mincho"/>
              </w:rPr>
              <w:t>lacebo (n=67)</w:t>
            </w:r>
          </w:p>
        </w:tc>
        <w:tc>
          <w:tcPr>
            <w:tcW w:w="1990" w:type="pct"/>
            <w:tcMar>
              <w:left w:w="28" w:type="dxa"/>
              <w:right w:w="28" w:type="dxa"/>
            </w:tcMar>
          </w:tcPr>
          <w:p w:rsidR="00F523E8" w:rsidRDefault="00F523E8" w:rsidP="00E45F0E">
            <w:pPr>
              <w:pStyle w:val="Tablewriting"/>
              <w:rPr>
                <w:rFonts w:eastAsia="MS Mincho"/>
              </w:rPr>
            </w:pPr>
            <w:r w:rsidRPr="003F619D">
              <w:rPr>
                <w:rFonts w:eastAsia="MS Mincho"/>
                <w:u w:val="single"/>
              </w:rPr>
              <w:t>Inclusion</w:t>
            </w:r>
            <w:r w:rsidRPr="003F619D">
              <w:rPr>
                <w:rFonts w:eastAsia="MS Mincho"/>
              </w:rPr>
              <w:t>:</w:t>
            </w:r>
            <w:r>
              <w:rPr>
                <w:rFonts w:eastAsia="MS Mincho"/>
              </w:rPr>
              <w:t xml:space="preserve"> </w:t>
            </w:r>
            <w:r w:rsidRPr="00A53DD4">
              <w:rPr>
                <w:rFonts w:eastAsia="MS Mincho"/>
              </w:rPr>
              <w:t xml:space="preserve">Pregnant women </w:t>
            </w:r>
            <w:r>
              <w:rPr>
                <w:rFonts w:eastAsia="MS Mincho"/>
              </w:rPr>
              <w:t>who</w:t>
            </w:r>
            <w:r w:rsidRPr="00A53DD4">
              <w:rPr>
                <w:rFonts w:eastAsia="MS Mincho"/>
              </w:rPr>
              <w:t xml:space="preserve"> were</w:t>
            </w:r>
            <w:r>
              <w:rPr>
                <w:rFonts w:eastAsia="MS Mincho"/>
              </w:rPr>
              <w:t xml:space="preserve"> </w:t>
            </w:r>
            <w:r w:rsidRPr="00A53DD4">
              <w:rPr>
                <w:rFonts w:eastAsia="MS Mincho"/>
              </w:rPr>
              <w:t>smoking</w:t>
            </w:r>
            <w:r>
              <w:rPr>
                <w:rFonts w:eastAsia="MS Mincho"/>
              </w:rPr>
              <w:t xml:space="preserve"> </w:t>
            </w:r>
            <w:r w:rsidR="00F13901">
              <w:rPr>
                <w:rFonts w:eastAsia="MS Mincho" w:cstheme="minorHAnsi"/>
              </w:rPr>
              <w:t>≥</w:t>
            </w:r>
            <w:r w:rsidRPr="00A53DD4">
              <w:rPr>
                <w:rFonts w:eastAsia="MS Mincho"/>
              </w:rPr>
              <w:t>5 cigarettes per day</w:t>
            </w:r>
            <w:r>
              <w:rPr>
                <w:rFonts w:eastAsia="MS Mincho"/>
              </w:rPr>
              <w:t xml:space="preserve">, </w:t>
            </w:r>
            <w:r w:rsidRPr="00A53DD4">
              <w:rPr>
                <w:rFonts w:eastAsia="MS Mincho"/>
              </w:rPr>
              <w:t>13</w:t>
            </w:r>
            <w:r>
              <w:rPr>
                <w:rFonts w:eastAsia="MS Mincho"/>
              </w:rPr>
              <w:t>-</w:t>
            </w:r>
            <w:r w:rsidRPr="00A53DD4">
              <w:rPr>
                <w:rFonts w:eastAsia="MS Mincho"/>
              </w:rPr>
              <w:t xml:space="preserve">26 </w:t>
            </w:r>
            <w:r w:rsidR="005320D0" w:rsidRPr="00A53DD4">
              <w:rPr>
                <w:rFonts w:eastAsia="MS Mincho"/>
              </w:rPr>
              <w:t>weeks’</w:t>
            </w:r>
            <w:r w:rsidRPr="00A53DD4">
              <w:rPr>
                <w:rFonts w:eastAsia="MS Mincho"/>
              </w:rPr>
              <w:t xml:space="preserve"> gestation</w:t>
            </w:r>
            <w:r>
              <w:rPr>
                <w:rFonts w:eastAsia="MS Mincho"/>
              </w:rPr>
              <w:t xml:space="preserve">, </w:t>
            </w:r>
            <w:r w:rsidRPr="00CE58B5">
              <w:rPr>
                <w:rFonts w:eastAsia="MS Mincho"/>
              </w:rPr>
              <w:t>≥</w:t>
            </w:r>
            <w:r w:rsidRPr="00A53DD4">
              <w:rPr>
                <w:rFonts w:eastAsia="MS Mincho"/>
              </w:rPr>
              <w:t>16 years of age</w:t>
            </w:r>
            <w:r>
              <w:rPr>
                <w:rFonts w:eastAsia="MS Mincho"/>
              </w:rPr>
              <w:t xml:space="preserve">, </w:t>
            </w:r>
            <w:r w:rsidRPr="00A53DD4">
              <w:rPr>
                <w:rFonts w:eastAsia="MS Mincho"/>
              </w:rPr>
              <w:t>intending</w:t>
            </w:r>
            <w:r>
              <w:rPr>
                <w:rFonts w:eastAsia="MS Mincho"/>
              </w:rPr>
              <w:t xml:space="preserve"> t</w:t>
            </w:r>
            <w:r w:rsidRPr="00A53DD4">
              <w:rPr>
                <w:rFonts w:eastAsia="MS Mincho"/>
              </w:rPr>
              <w:t>o carry their pregnancy to term</w:t>
            </w:r>
            <w:r>
              <w:rPr>
                <w:rFonts w:eastAsia="MS Mincho"/>
              </w:rPr>
              <w:t xml:space="preserve">, </w:t>
            </w:r>
            <w:r w:rsidRPr="00A53DD4">
              <w:rPr>
                <w:rFonts w:eastAsia="MS Mincho"/>
              </w:rPr>
              <w:t>living in a stable</w:t>
            </w:r>
            <w:r>
              <w:rPr>
                <w:rFonts w:eastAsia="MS Mincho"/>
              </w:rPr>
              <w:t xml:space="preserve"> </w:t>
            </w:r>
            <w:r w:rsidRPr="00A53DD4">
              <w:rPr>
                <w:rFonts w:eastAsia="MS Mincho"/>
              </w:rPr>
              <w:t>residence.</w:t>
            </w:r>
          </w:p>
          <w:p w:rsidR="00F523E8" w:rsidRPr="003F619D" w:rsidRDefault="00F523E8" w:rsidP="00E45F0E">
            <w:pPr>
              <w:pStyle w:val="Tablewriting"/>
              <w:rPr>
                <w:rFonts w:eastAsia="MS Mincho"/>
                <w:u w:val="single"/>
              </w:rPr>
            </w:pPr>
            <w:r w:rsidRPr="003F619D">
              <w:rPr>
                <w:rFonts w:eastAsia="MS Mincho"/>
                <w:u w:val="single"/>
              </w:rPr>
              <w:t>Exclusion</w:t>
            </w:r>
            <w:r w:rsidRPr="003F619D">
              <w:rPr>
                <w:rFonts w:eastAsia="MS Mincho"/>
              </w:rPr>
              <w:t xml:space="preserve">: </w:t>
            </w:r>
            <w:r w:rsidRPr="00A53DD4">
              <w:rPr>
                <w:rFonts w:eastAsia="MS Mincho"/>
              </w:rPr>
              <w:t>current drug abuse or dependence by self-report</w:t>
            </w:r>
            <w:r>
              <w:rPr>
                <w:rFonts w:eastAsia="MS Mincho"/>
              </w:rPr>
              <w:t>,</w:t>
            </w:r>
            <w:r w:rsidRPr="00A53DD4">
              <w:rPr>
                <w:rFonts w:eastAsia="MS Mincho"/>
              </w:rPr>
              <w:t xml:space="preserve"> twins or other multiple gestation</w:t>
            </w:r>
            <w:r>
              <w:rPr>
                <w:rFonts w:eastAsia="MS Mincho"/>
              </w:rPr>
              <w:t xml:space="preserve">, </w:t>
            </w:r>
            <w:r w:rsidRPr="00751435">
              <w:rPr>
                <w:rFonts w:eastAsia="MS Mincho"/>
              </w:rPr>
              <w:t>an unstable psychiatric or medical problem,</w:t>
            </w:r>
            <w:r w:rsidRPr="00A53DD4">
              <w:rPr>
                <w:rFonts w:eastAsia="MS Mincho"/>
              </w:rPr>
              <w:t xml:space="preserve"> and a congenital abnormality.</w:t>
            </w:r>
          </w:p>
        </w:tc>
        <w:tc>
          <w:tcPr>
            <w:tcW w:w="597" w:type="pct"/>
          </w:tcPr>
          <w:p w:rsidR="00F523E8" w:rsidRPr="003E5FF8" w:rsidRDefault="00F523E8" w:rsidP="00E45F0E">
            <w:pPr>
              <w:pStyle w:val="Tablewriting"/>
              <w:rPr>
                <w:rFonts w:eastAsia="MS Mincho"/>
              </w:rPr>
            </w:pPr>
            <w:r w:rsidRPr="003E5FF8">
              <w:rPr>
                <w:rFonts w:eastAsia="MS Mincho"/>
              </w:rPr>
              <w:t>NRT inhalator</w:t>
            </w:r>
          </w:p>
          <w:p w:rsidR="00F523E8" w:rsidRDefault="00F523E8" w:rsidP="00E45F0E">
            <w:pPr>
              <w:pStyle w:val="Tablewriting"/>
              <w:rPr>
                <w:rFonts w:eastAsia="MS Mincho"/>
              </w:rPr>
            </w:pPr>
            <w:r w:rsidRPr="003E5FF8">
              <w:rPr>
                <w:rFonts w:eastAsia="MS Mincho"/>
              </w:rPr>
              <w:t>Placebo</w:t>
            </w:r>
          </w:p>
          <w:p w:rsidR="00267A22" w:rsidRDefault="00267A22" w:rsidP="00E45F0E">
            <w:pPr>
              <w:pStyle w:val="Tablewriting"/>
              <w:rPr>
                <w:rFonts w:eastAsia="MS Mincho"/>
                <w:highlight w:val="yellow"/>
              </w:rPr>
            </w:pPr>
          </w:p>
          <w:p w:rsidR="00F523E8" w:rsidRPr="00186C2B" w:rsidRDefault="00267A22" w:rsidP="00E45F0E">
            <w:pPr>
              <w:pStyle w:val="Tablewriting"/>
              <w:rPr>
                <w:rFonts w:eastAsia="MS Mincho"/>
                <w:highlight w:val="yellow"/>
              </w:rPr>
            </w:pPr>
            <w:r w:rsidRPr="007818BC">
              <w:rPr>
                <w:rFonts w:eastAsia="MS Mincho"/>
              </w:rPr>
              <w:t>Behavioural support provided in both arms</w:t>
            </w:r>
            <w:r>
              <w:rPr>
                <w:rFonts w:eastAsia="MS Mincho"/>
              </w:rPr>
              <w:t>.</w:t>
            </w:r>
          </w:p>
        </w:tc>
        <w:tc>
          <w:tcPr>
            <w:tcW w:w="922" w:type="pct"/>
            <w:tcMar>
              <w:left w:w="28" w:type="dxa"/>
              <w:right w:w="28" w:type="dxa"/>
            </w:tcMar>
          </w:tcPr>
          <w:p w:rsidR="00F523E8" w:rsidRPr="00D47589" w:rsidRDefault="00F523E8" w:rsidP="00E45F0E">
            <w:pPr>
              <w:pStyle w:val="Tablewriting"/>
              <w:rPr>
                <w:rFonts w:eastAsia="MS Mincho"/>
              </w:rPr>
            </w:pPr>
            <w:r w:rsidRPr="006E7EED">
              <w:rPr>
                <w:rFonts w:eastAsia="MS Mincho"/>
                <w:u w:val="single"/>
              </w:rPr>
              <w:t>Primary</w:t>
            </w:r>
            <w:r w:rsidRPr="006E7EED">
              <w:rPr>
                <w:rFonts w:eastAsia="MS Mincho"/>
              </w:rPr>
              <w:t xml:space="preserve">: </w:t>
            </w:r>
            <w:r w:rsidRPr="00D47589">
              <w:rPr>
                <w:rFonts w:eastAsia="MS Mincho"/>
              </w:rPr>
              <w:t xml:space="preserve">7-day </w:t>
            </w:r>
            <w:r w:rsidR="00463409">
              <w:rPr>
                <w:rFonts w:eastAsia="MS Mincho"/>
              </w:rPr>
              <w:t>PPA</w:t>
            </w:r>
            <w:r w:rsidRPr="00D47589">
              <w:rPr>
                <w:rFonts w:eastAsia="MS Mincho"/>
              </w:rPr>
              <w:t xml:space="preserve"> at the end of pregnancy</w:t>
            </w:r>
            <w:r w:rsidR="009675A0">
              <w:rPr>
                <w:rFonts w:eastAsia="MS Mincho"/>
              </w:rPr>
              <w:t xml:space="preserve"> (</w:t>
            </w:r>
            <w:r w:rsidR="00F03A8F" w:rsidRPr="00F03A8F">
              <w:rPr>
                <w:rFonts w:eastAsia="MS Mincho"/>
              </w:rPr>
              <w:t>biochemically verified with exhaled breath carbon monoxide (CO) &lt;4 ppm</w:t>
            </w:r>
            <w:r w:rsidR="009675A0">
              <w:rPr>
                <w:rFonts w:eastAsia="MS Mincho"/>
              </w:rPr>
              <w:t>)</w:t>
            </w:r>
            <w:r w:rsidRPr="00D47589">
              <w:rPr>
                <w:rFonts w:eastAsia="MS Mincho"/>
              </w:rPr>
              <w:t>.</w:t>
            </w:r>
          </w:p>
          <w:p w:rsidR="00F523E8" w:rsidRDefault="00F523E8" w:rsidP="00E45F0E">
            <w:pPr>
              <w:pStyle w:val="Tablewriting"/>
              <w:rPr>
                <w:rFonts w:eastAsia="MS Mincho"/>
              </w:rPr>
            </w:pPr>
            <w:r w:rsidRPr="00E44230">
              <w:rPr>
                <w:rFonts w:eastAsia="MS Mincho"/>
                <w:u w:val="single"/>
              </w:rPr>
              <w:t>Secondary</w:t>
            </w:r>
            <w:r w:rsidRPr="00E44230">
              <w:rPr>
                <w:rFonts w:eastAsia="MS Mincho"/>
              </w:rPr>
              <w:t>:</w:t>
            </w:r>
            <w:r>
              <w:rPr>
                <w:rFonts w:eastAsia="MS Mincho"/>
              </w:rPr>
              <w:t xml:space="preserve"> </w:t>
            </w:r>
            <w:r w:rsidRPr="0013299B">
              <w:rPr>
                <w:rFonts w:eastAsia="MS Mincho"/>
              </w:rPr>
              <w:t>adverse events and serious adverse events</w:t>
            </w:r>
            <w:r w:rsidR="00ED0CBA">
              <w:rPr>
                <w:rFonts w:eastAsia="MS Mincho"/>
              </w:rPr>
              <w:t>.</w:t>
            </w:r>
          </w:p>
          <w:p w:rsidR="00F523E8" w:rsidRDefault="00F523E8" w:rsidP="00E45F0E">
            <w:pPr>
              <w:pStyle w:val="Tablewriting"/>
              <w:rPr>
                <w:rFonts w:eastAsia="MS Mincho"/>
              </w:rPr>
            </w:pPr>
          </w:p>
          <w:p w:rsidR="00F523E8" w:rsidRPr="0013299B" w:rsidRDefault="00F523E8" w:rsidP="00E45F0E">
            <w:pPr>
              <w:pStyle w:val="Tablewriting"/>
              <w:rPr>
                <w:rFonts w:eastAsia="MS Mincho"/>
              </w:rPr>
            </w:pPr>
            <w:r w:rsidRPr="009858E8">
              <w:rPr>
                <w:rFonts w:eastAsia="MS Mincho"/>
                <w:u w:val="single"/>
              </w:rPr>
              <w:t>Other:</w:t>
            </w:r>
            <w:r>
              <w:rPr>
                <w:rFonts w:eastAsia="MS Mincho"/>
              </w:rPr>
              <w:t xml:space="preserve"> </w:t>
            </w:r>
            <w:r w:rsidRPr="00D47589">
              <w:rPr>
                <w:rFonts w:eastAsia="MS Mincho"/>
              </w:rPr>
              <w:t>abstinence rates during treatment</w:t>
            </w:r>
            <w:r>
              <w:rPr>
                <w:rFonts w:eastAsia="MS Mincho"/>
              </w:rPr>
              <w:t xml:space="preserve">, </w:t>
            </w:r>
            <w:r w:rsidRPr="00D47589">
              <w:rPr>
                <w:rFonts w:eastAsia="MS Mincho"/>
              </w:rPr>
              <w:t>smoking reduction, birthweight,</w:t>
            </w:r>
            <w:r>
              <w:rPr>
                <w:rFonts w:eastAsia="MS Mincho"/>
              </w:rPr>
              <w:t xml:space="preserve"> and </w:t>
            </w:r>
            <w:r w:rsidRPr="00D47589">
              <w:rPr>
                <w:rFonts w:eastAsia="MS Mincho"/>
              </w:rPr>
              <w:t>gestational a</w:t>
            </w:r>
            <w:r>
              <w:rPr>
                <w:rFonts w:eastAsia="MS Mincho"/>
              </w:rPr>
              <w:t>ge</w:t>
            </w:r>
            <w:r w:rsidR="00ED0CBA">
              <w:rPr>
                <w:rFonts w:eastAsia="MS Mincho"/>
              </w:rPr>
              <w:t>.</w:t>
            </w:r>
          </w:p>
        </w:tc>
      </w:tr>
      <w:tr w:rsidR="00F523E8" w:rsidRPr="00061F78" w:rsidTr="00CB3AFC">
        <w:trPr>
          <w:trHeight w:val="149"/>
        </w:trPr>
        <w:tc>
          <w:tcPr>
            <w:tcW w:w="330" w:type="pct"/>
            <w:tcMar>
              <w:left w:w="28" w:type="dxa"/>
              <w:right w:w="28" w:type="dxa"/>
            </w:tcMar>
          </w:tcPr>
          <w:p w:rsidR="00F523E8" w:rsidRDefault="00F523E8" w:rsidP="00E45F0E">
            <w:pPr>
              <w:pStyle w:val="Tablewriting"/>
            </w:pPr>
            <w:r>
              <w:t>Lindson</w:t>
            </w:r>
            <w:r w:rsidRPr="00713891">
              <w:t xml:space="preserve">  (201</w:t>
            </w:r>
            <w:r>
              <w:t>9</w:t>
            </w:r>
            <w:r w:rsidRPr="00713891">
              <w:t>)</w:t>
            </w:r>
          </w:p>
        </w:tc>
        <w:tc>
          <w:tcPr>
            <w:tcW w:w="347" w:type="pct"/>
          </w:tcPr>
          <w:p w:rsidR="00F523E8" w:rsidRPr="002F0CA7" w:rsidRDefault="00F523E8" w:rsidP="00E45F0E">
            <w:pPr>
              <w:pStyle w:val="Tablewriting"/>
              <w:rPr>
                <w:rFonts w:eastAsia="MS Mincho"/>
              </w:rPr>
            </w:pPr>
            <w:r w:rsidRPr="002F0CA7">
              <w:rPr>
                <w:rFonts w:eastAsia="MS Mincho"/>
              </w:rPr>
              <w:t xml:space="preserve">Cochrane </w:t>
            </w:r>
            <w:r w:rsidR="00F86968" w:rsidRPr="002F0CA7">
              <w:rPr>
                <w:rFonts w:eastAsia="MS Mincho"/>
              </w:rPr>
              <w:t>R</w:t>
            </w:r>
            <w:r w:rsidRPr="002F0CA7">
              <w:rPr>
                <w:rFonts w:eastAsia="MS Mincho"/>
              </w:rPr>
              <w:t xml:space="preserve">eview </w:t>
            </w:r>
          </w:p>
          <w:p w:rsidR="00F523E8" w:rsidRPr="00992D9B" w:rsidRDefault="00F523E8" w:rsidP="00E45F0E">
            <w:pPr>
              <w:pStyle w:val="Tablewriting"/>
              <w:rPr>
                <w:rFonts w:eastAsia="MS Mincho"/>
              </w:rPr>
            </w:pPr>
            <w:r w:rsidRPr="002F0CA7">
              <w:rPr>
                <w:rFonts w:eastAsia="MS Mincho"/>
              </w:rPr>
              <w:t>(</w:t>
            </w:r>
            <w:r>
              <w:rPr>
                <w:rFonts w:eastAsia="MS Mincho"/>
              </w:rPr>
              <w:t>1</w:t>
            </w:r>
            <w:r w:rsidRPr="002F0CA7">
              <w:rPr>
                <w:rFonts w:eastAsia="MS Mincho"/>
              </w:rPr>
              <w:t xml:space="preserve"> RCTs</w:t>
            </w:r>
            <w:r>
              <w:rPr>
                <w:rFonts w:eastAsia="MS Mincho"/>
                <w:vertAlign w:val="superscript"/>
              </w:rPr>
              <w:t>3</w:t>
            </w:r>
            <w:r w:rsidRPr="002F0CA7">
              <w:rPr>
                <w:rFonts w:eastAsia="MS Mincho"/>
              </w:rPr>
              <w:t>)</w:t>
            </w:r>
          </w:p>
        </w:tc>
        <w:tc>
          <w:tcPr>
            <w:tcW w:w="814" w:type="pct"/>
            <w:tcMar>
              <w:left w:w="28" w:type="dxa"/>
              <w:right w:w="28" w:type="dxa"/>
            </w:tcMar>
          </w:tcPr>
          <w:p w:rsidR="00F523E8" w:rsidRPr="00662E6F" w:rsidRDefault="00F523E8" w:rsidP="00E45F0E">
            <w:pPr>
              <w:pStyle w:val="Tablewriting"/>
              <w:rPr>
                <w:rFonts w:eastAsia="MS Mincho"/>
                <w:u w:val="single"/>
              </w:rPr>
            </w:pPr>
            <w:r w:rsidRPr="00622792">
              <w:rPr>
                <w:rFonts w:eastAsia="MS Mincho"/>
                <w:u w:val="single"/>
              </w:rPr>
              <w:t>Inhal</w:t>
            </w:r>
            <w:r w:rsidR="005570D3">
              <w:rPr>
                <w:rFonts w:eastAsia="MS Mincho"/>
                <w:u w:val="single"/>
              </w:rPr>
              <w:t>ator</w:t>
            </w:r>
            <w:r w:rsidRPr="00622792">
              <w:rPr>
                <w:rFonts w:eastAsia="MS Mincho"/>
                <w:u w:val="single"/>
              </w:rPr>
              <w:t xml:space="preserve"> versus</w:t>
            </w:r>
            <w:r w:rsidRPr="00662E6F">
              <w:rPr>
                <w:rFonts w:eastAsia="MS Mincho"/>
                <w:u w:val="single"/>
              </w:rPr>
              <w:t xml:space="preserve"> p</w:t>
            </w:r>
            <w:r>
              <w:rPr>
                <w:rFonts w:eastAsia="MS Mincho"/>
                <w:u w:val="single"/>
              </w:rPr>
              <w:t>atch</w:t>
            </w:r>
          </w:p>
          <w:p w:rsidR="00F523E8" w:rsidRPr="002F0CA7" w:rsidRDefault="00F523E8" w:rsidP="00E45F0E">
            <w:pPr>
              <w:pStyle w:val="Tablewriting"/>
              <w:rPr>
                <w:rFonts w:eastAsia="MS Mincho"/>
              </w:rPr>
            </w:pPr>
            <w:r w:rsidRPr="002F0CA7">
              <w:rPr>
                <w:rFonts w:eastAsia="MS Mincho"/>
              </w:rPr>
              <w:t xml:space="preserve">N= </w:t>
            </w:r>
            <w:r>
              <w:rPr>
                <w:rFonts w:eastAsia="MS Mincho"/>
              </w:rPr>
              <w:t xml:space="preserve">222 </w:t>
            </w:r>
            <w:r w:rsidRPr="002F0CA7">
              <w:rPr>
                <w:rFonts w:eastAsia="MS Mincho"/>
              </w:rPr>
              <w:t>(</w:t>
            </w:r>
            <w:r>
              <w:rPr>
                <w:rFonts w:eastAsia="MS Mincho"/>
              </w:rPr>
              <w:t xml:space="preserve">1 </w:t>
            </w:r>
            <w:r w:rsidRPr="002F0CA7">
              <w:rPr>
                <w:rFonts w:eastAsia="MS Mincho"/>
              </w:rPr>
              <w:t>RCT)</w:t>
            </w:r>
          </w:p>
          <w:p w:rsidR="00E11ADF" w:rsidRDefault="00F523E8" w:rsidP="00482E97">
            <w:pPr>
              <w:pStyle w:val="Tablewriting"/>
              <w:rPr>
                <w:rFonts w:eastAsia="MS Mincho"/>
              </w:rPr>
            </w:pPr>
            <w:r>
              <w:rPr>
                <w:rFonts w:eastAsia="MS Mincho"/>
              </w:rPr>
              <w:t xml:space="preserve">Inhaler </w:t>
            </w:r>
            <w:r w:rsidRPr="002F0CA7">
              <w:rPr>
                <w:rFonts w:eastAsia="MS Mincho"/>
              </w:rPr>
              <w:t>(n=</w:t>
            </w:r>
            <w:r>
              <w:rPr>
                <w:rFonts w:eastAsia="MS Mincho"/>
              </w:rPr>
              <w:t xml:space="preserve"> 118</w:t>
            </w:r>
            <w:r w:rsidRPr="002F0CA7">
              <w:rPr>
                <w:rFonts w:eastAsia="MS Mincho"/>
              </w:rPr>
              <w:t>),</w:t>
            </w:r>
            <w:r>
              <w:rPr>
                <w:rFonts w:eastAsia="MS Mincho"/>
              </w:rPr>
              <w:t xml:space="preserve"> </w:t>
            </w:r>
          </w:p>
          <w:p w:rsidR="00F523E8" w:rsidRPr="00662E6F" w:rsidRDefault="00E11ADF" w:rsidP="00E45F0E">
            <w:pPr>
              <w:pStyle w:val="Tablewriting"/>
              <w:rPr>
                <w:rFonts w:eastAsia="MS Mincho"/>
                <w:u w:val="single"/>
              </w:rPr>
            </w:pPr>
            <w:r>
              <w:rPr>
                <w:rFonts w:eastAsia="MS Mincho"/>
              </w:rPr>
              <w:t>P</w:t>
            </w:r>
            <w:r w:rsidR="00F523E8">
              <w:rPr>
                <w:rFonts w:eastAsia="MS Mincho"/>
              </w:rPr>
              <w:t xml:space="preserve">atch </w:t>
            </w:r>
            <w:r w:rsidR="00F523E8" w:rsidRPr="002F0CA7">
              <w:rPr>
                <w:rFonts w:eastAsia="MS Mincho"/>
              </w:rPr>
              <w:t>(n=</w:t>
            </w:r>
            <w:r w:rsidR="00F523E8">
              <w:rPr>
                <w:rFonts w:eastAsia="MS Mincho"/>
              </w:rPr>
              <w:t xml:space="preserve"> 104</w:t>
            </w:r>
            <w:r w:rsidR="00F523E8" w:rsidRPr="002F0CA7">
              <w:rPr>
                <w:rFonts w:eastAsia="MS Mincho"/>
              </w:rPr>
              <w:t>)</w:t>
            </w:r>
          </w:p>
        </w:tc>
        <w:tc>
          <w:tcPr>
            <w:tcW w:w="1990" w:type="pct"/>
            <w:tcMar>
              <w:left w:w="28" w:type="dxa"/>
              <w:right w:w="28" w:type="dxa"/>
            </w:tcMar>
          </w:tcPr>
          <w:p w:rsidR="00F523E8" w:rsidRPr="00DC607E" w:rsidRDefault="00F523E8" w:rsidP="00E45F0E">
            <w:pPr>
              <w:pStyle w:val="Tablewriting"/>
              <w:rPr>
                <w:rFonts w:eastAsia="MS Mincho"/>
              </w:rPr>
            </w:pPr>
            <w:r w:rsidRPr="00DC607E">
              <w:rPr>
                <w:rFonts w:eastAsia="MS Mincho"/>
                <w:u w:val="single"/>
              </w:rPr>
              <w:t>Inclusion</w:t>
            </w:r>
            <w:r w:rsidRPr="00DC607E">
              <w:rPr>
                <w:rFonts w:eastAsia="MS Mincho"/>
              </w:rPr>
              <w:t>:</w:t>
            </w:r>
          </w:p>
          <w:p w:rsidR="00F523E8" w:rsidRPr="00DC607E" w:rsidRDefault="00F523E8" w:rsidP="00E45F0E">
            <w:pPr>
              <w:pStyle w:val="Tablewriting"/>
              <w:rPr>
                <w:rFonts w:eastAsia="MS Mincho"/>
              </w:rPr>
            </w:pPr>
            <w:r w:rsidRPr="00DC607E">
              <w:rPr>
                <w:rFonts w:eastAsia="MS Mincho"/>
              </w:rPr>
              <w:t xml:space="preserve">Adult smokers with an average age of approximately 45, </w:t>
            </w:r>
            <w:r w:rsidR="006E4D86">
              <w:rPr>
                <w:rFonts w:eastAsia="MS Mincho" w:cstheme="minorHAnsi"/>
              </w:rPr>
              <w:t>≥</w:t>
            </w:r>
            <w:r w:rsidRPr="00DC607E">
              <w:rPr>
                <w:rFonts w:eastAsia="MS Mincho"/>
              </w:rPr>
              <w:t>15 cigarettes a day</w:t>
            </w:r>
            <w:r w:rsidR="00B20C82">
              <w:rPr>
                <w:rFonts w:eastAsia="MS Mincho"/>
              </w:rPr>
              <w:t>,</w:t>
            </w:r>
            <w:r>
              <w:rPr>
                <w:rFonts w:eastAsia="MS Mincho"/>
              </w:rPr>
              <w:t xml:space="preserve"> </w:t>
            </w:r>
            <w:r w:rsidR="00B20C82">
              <w:rPr>
                <w:rFonts w:eastAsia="MS Mincho"/>
              </w:rPr>
              <w:t>s</w:t>
            </w:r>
            <w:r w:rsidRPr="0050095A">
              <w:rPr>
                <w:rFonts w:eastAsia="MS Mincho"/>
              </w:rPr>
              <w:t>tudies</w:t>
            </w:r>
            <w:r>
              <w:rPr>
                <w:rFonts w:eastAsia="MS Mincho"/>
              </w:rPr>
              <w:t xml:space="preserve"> </w:t>
            </w:r>
            <w:r w:rsidRPr="0050095A">
              <w:rPr>
                <w:rFonts w:eastAsia="MS Mincho"/>
              </w:rPr>
              <w:t>lasted for at least six months</w:t>
            </w:r>
            <w:r>
              <w:rPr>
                <w:rFonts w:eastAsia="MS Mincho"/>
              </w:rPr>
              <w:t xml:space="preserve">. </w:t>
            </w:r>
          </w:p>
          <w:p w:rsidR="00F523E8" w:rsidRPr="003F619D" w:rsidRDefault="00F523E8" w:rsidP="00E45F0E">
            <w:pPr>
              <w:pStyle w:val="Tablewriting"/>
              <w:rPr>
                <w:rFonts w:eastAsia="MS Mincho"/>
                <w:u w:val="single"/>
              </w:rPr>
            </w:pPr>
            <w:r w:rsidRPr="00DC607E">
              <w:rPr>
                <w:rFonts w:eastAsia="MS Mincho"/>
                <w:u w:val="single"/>
              </w:rPr>
              <w:t>Exclusion</w:t>
            </w:r>
            <w:r w:rsidRPr="00DC607E">
              <w:rPr>
                <w:rFonts w:eastAsia="MS Mincho"/>
              </w:rPr>
              <w:t>: Trials that did not assess cessation as an outcome, with follow-up less than six months, and with additional intervention components not matched between arms. Trials comparing NRT to control, and trials comparing NRT to other pharmacotherapies.</w:t>
            </w:r>
          </w:p>
        </w:tc>
        <w:tc>
          <w:tcPr>
            <w:tcW w:w="597" w:type="pct"/>
          </w:tcPr>
          <w:p w:rsidR="00F523E8" w:rsidRPr="003E5FF8" w:rsidRDefault="00F523E8" w:rsidP="00E45F0E">
            <w:pPr>
              <w:pStyle w:val="Tablewriting"/>
              <w:rPr>
                <w:rFonts w:eastAsia="MS Mincho"/>
              </w:rPr>
            </w:pPr>
            <w:r w:rsidRPr="003E5FF8">
              <w:rPr>
                <w:rFonts w:eastAsia="MS Mincho"/>
              </w:rPr>
              <w:t>NRT inhal</w:t>
            </w:r>
            <w:r w:rsidR="005570D3">
              <w:rPr>
                <w:rFonts w:eastAsia="MS Mincho"/>
              </w:rPr>
              <w:t>ator</w:t>
            </w:r>
          </w:p>
          <w:p w:rsidR="00F523E8" w:rsidRPr="00186C2B" w:rsidRDefault="00F523E8" w:rsidP="00E45F0E">
            <w:pPr>
              <w:pStyle w:val="Tablewriting"/>
              <w:rPr>
                <w:rFonts w:eastAsia="MS Mincho"/>
                <w:highlight w:val="yellow"/>
              </w:rPr>
            </w:pPr>
            <w:r w:rsidRPr="003E5FF8">
              <w:rPr>
                <w:rFonts w:eastAsia="MS Mincho"/>
              </w:rPr>
              <w:t>NRT patch</w:t>
            </w:r>
          </w:p>
        </w:tc>
        <w:tc>
          <w:tcPr>
            <w:tcW w:w="922" w:type="pct"/>
            <w:tcMar>
              <w:left w:w="28" w:type="dxa"/>
              <w:right w:w="28" w:type="dxa"/>
            </w:tcMar>
          </w:tcPr>
          <w:p w:rsidR="00F523E8" w:rsidRDefault="00F523E8" w:rsidP="00E45F0E">
            <w:pPr>
              <w:pStyle w:val="Tablewriting"/>
              <w:rPr>
                <w:rFonts w:eastAsia="MS Mincho"/>
              </w:rPr>
            </w:pPr>
            <w:r w:rsidRPr="006E7EED">
              <w:rPr>
                <w:rFonts w:eastAsia="MS Mincho"/>
                <w:u w:val="single"/>
              </w:rPr>
              <w:t>Primary</w:t>
            </w:r>
            <w:r w:rsidRPr="006E7EED">
              <w:rPr>
                <w:rFonts w:eastAsia="MS Mincho"/>
              </w:rPr>
              <w:t>:</w:t>
            </w:r>
            <w:r>
              <w:rPr>
                <w:rFonts w:eastAsia="MS Mincho"/>
              </w:rPr>
              <w:t xml:space="preserve"> </w:t>
            </w:r>
            <w:r w:rsidRPr="0050095A">
              <w:rPr>
                <w:rFonts w:eastAsia="MS Mincho"/>
              </w:rPr>
              <w:t>smoking cessation rates of at least six months after baseline.</w:t>
            </w:r>
          </w:p>
          <w:p w:rsidR="00F523E8" w:rsidRPr="006E7EED" w:rsidRDefault="00F523E8" w:rsidP="00E45F0E">
            <w:pPr>
              <w:pStyle w:val="Tablewriting"/>
              <w:rPr>
                <w:rFonts w:eastAsia="MS Mincho"/>
                <w:u w:val="single"/>
              </w:rPr>
            </w:pPr>
            <w:r w:rsidRPr="009D1F96">
              <w:rPr>
                <w:rFonts w:eastAsia="MS Mincho"/>
                <w:u w:val="single"/>
              </w:rPr>
              <w:t>Secondary</w:t>
            </w:r>
            <w:r w:rsidRPr="009D1F96">
              <w:rPr>
                <w:rFonts w:eastAsia="MS Mincho"/>
              </w:rPr>
              <w:t xml:space="preserve">: </w:t>
            </w:r>
            <w:r w:rsidRPr="0013299B">
              <w:rPr>
                <w:rFonts w:eastAsia="MS Mincho"/>
              </w:rPr>
              <w:t>adverse events</w:t>
            </w:r>
            <w:r>
              <w:rPr>
                <w:rFonts w:eastAsia="MS Mincho"/>
              </w:rPr>
              <w:t xml:space="preserve"> including overall </w:t>
            </w:r>
            <w:r w:rsidR="001220E0">
              <w:rPr>
                <w:rFonts w:eastAsia="MS Mincho"/>
              </w:rPr>
              <w:t>serious adverse event</w:t>
            </w:r>
            <w:r>
              <w:rPr>
                <w:rFonts w:eastAsia="MS Mincho"/>
              </w:rPr>
              <w:t xml:space="preserve">s. </w:t>
            </w:r>
          </w:p>
        </w:tc>
      </w:tr>
      <w:tr w:rsidR="00AA3BFF" w:rsidRPr="00061F78" w:rsidTr="007231A4">
        <w:trPr>
          <w:trHeight w:val="149"/>
        </w:trPr>
        <w:tc>
          <w:tcPr>
            <w:tcW w:w="5000" w:type="pct"/>
            <w:gridSpan w:val="6"/>
            <w:shd w:val="clear" w:color="auto" w:fill="auto"/>
            <w:tcMar>
              <w:left w:w="28" w:type="dxa"/>
              <w:right w:w="28" w:type="dxa"/>
            </w:tcMar>
          </w:tcPr>
          <w:p w:rsidR="00AA3BFF" w:rsidRPr="00AA3BFF" w:rsidRDefault="00AA3BFF" w:rsidP="00AA3BFF">
            <w:pPr>
              <w:pStyle w:val="Tablewriting"/>
              <w:rPr>
                <w:rFonts w:eastAsia="MS Mincho"/>
                <w:b/>
                <w:bCs/>
                <w:u w:val="single"/>
              </w:rPr>
            </w:pPr>
            <w:r w:rsidRPr="00AA3BFF">
              <w:rPr>
                <w:rFonts w:eastAsia="MS Mincho"/>
                <w:b/>
                <w:bCs/>
              </w:rPr>
              <w:t>Nasal/intranasal spray</w:t>
            </w:r>
          </w:p>
        </w:tc>
      </w:tr>
      <w:tr w:rsidR="00AA3BFF" w:rsidRPr="00061F78" w:rsidTr="00CB3AFC">
        <w:trPr>
          <w:trHeight w:val="149"/>
        </w:trPr>
        <w:tc>
          <w:tcPr>
            <w:tcW w:w="330" w:type="pct"/>
            <w:tcMar>
              <w:left w:w="28" w:type="dxa"/>
              <w:right w:w="28" w:type="dxa"/>
            </w:tcMar>
          </w:tcPr>
          <w:p w:rsidR="00AA3BFF" w:rsidRDefault="00AA3BFF" w:rsidP="00AA3BFF">
            <w:pPr>
              <w:pStyle w:val="Tablewriting"/>
              <w:rPr>
                <w:rFonts w:eastAsia="MS Mincho"/>
              </w:rPr>
            </w:pPr>
            <w:r w:rsidRPr="004110FF">
              <w:t xml:space="preserve">Hartmann-Boyce  </w:t>
            </w:r>
            <w:r>
              <w:t>(</w:t>
            </w:r>
            <w:r w:rsidRPr="004110FF">
              <w:t>2018</w:t>
            </w:r>
            <w:r>
              <w:t>)</w:t>
            </w:r>
          </w:p>
        </w:tc>
        <w:tc>
          <w:tcPr>
            <w:tcW w:w="347" w:type="pct"/>
          </w:tcPr>
          <w:p w:rsidR="00AA3BFF" w:rsidRPr="006B5D28" w:rsidRDefault="00AA3BFF" w:rsidP="00AA3BFF">
            <w:pPr>
              <w:pStyle w:val="Tablewriting"/>
              <w:rPr>
                <w:rFonts w:eastAsia="MS Mincho"/>
              </w:rPr>
            </w:pPr>
            <w:r w:rsidRPr="006B5D28">
              <w:rPr>
                <w:rFonts w:eastAsia="MS Mincho"/>
              </w:rPr>
              <w:t xml:space="preserve">Cochrane Review </w:t>
            </w:r>
          </w:p>
          <w:p w:rsidR="00AA3BFF" w:rsidRPr="00186C2B" w:rsidRDefault="00AA3BFF" w:rsidP="00AA3BFF">
            <w:pPr>
              <w:pStyle w:val="Tablewriting"/>
              <w:rPr>
                <w:rFonts w:eastAsia="MS Mincho"/>
                <w:highlight w:val="yellow"/>
              </w:rPr>
            </w:pPr>
            <w:r w:rsidRPr="006B5D28">
              <w:rPr>
                <w:rFonts w:eastAsia="MS Mincho"/>
              </w:rPr>
              <w:t>(</w:t>
            </w:r>
            <w:r>
              <w:rPr>
                <w:rFonts w:eastAsia="MS Mincho"/>
              </w:rPr>
              <w:t xml:space="preserve">4 </w:t>
            </w:r>
            <w:r w:rsidRPr="006B5D28">
              <w:rPr>
                <w:rFonts w:eastAsia="MS Mincho"/>
              </w:rPr>
              <w:t>RCTs</w:t>
            </w:r>
            <w:r w:rsidRPr="006B5D28">
              <w:rPr>
                <w:rFonts w:eastAsia="MS Mincho"/>
                <w:vertAlign w:val="superscript"/>
              </w:rPr>
              <w:t>2</w:t>
            </w:r>
            <w:r w:rsidRPr="006B5D28">
              <w:rPr>
                <w:rFonts w:eastAsia="MS Mincho"/>
              </w:rPr>
              <w:t>)</w:t>
            </w:r>
          </w:p>
        </w:tc>
        <w:tc>
          <w:tcPr>
            <w:tcW w:w="814" w:type="pct"/>
            <w:tcMar>
              <w:left w:w="28" w:type="dxa"/>
              <w:right w:w="28" w:type="dxa"/>
            </w:tcMar>
          </w:tcPr>
          <w:p w:rsidR="00AA3BFF" w:rsidRPr="00662E6F" w:rsidRDefault="00E83076" w:rsidP="00AA3BFF">
            <w:pPr>
              <w:pStyle w:val="Tablewriting"/>
              <w:rPr>
                <w:rFonts w:eastAsia="MS Mincho"/>
                <w:u w:val="single"/>
              </w:rPr>
            </w:pPr>
            <w:r>
              <w:rPr>
                <w:rFonts w:eastAsia="MS Mincho"/>
                <w:u w:val="single"/>
              </w:rPr>
              <w:t>N</w:t>
            </w:r>
            <w:r w:rsidR="00AA3BFF" w:rsidRPr="00662E6F">
              <w:rPr>
                <w:rFonts w:eastAsia="MS Mincho"/>
                <w:u w:val="single"/>
              </w:rPr>
              <w:t>asal spray</w:t>
            </w:r>
            <w:r w:rsidR="00AA3BFF">
              <w:rPr>
                <w:rFonts w:eastAsia="MS Mincho"/>
                <w:u w:val="single"/>
              </w:rPr>
              <w:t xml:space="preserve"> </w:t>
            </w:r>
            <w:r w:rsidR="00AA3BFF" w:rsidRPr="00662E6F">
              <w:rPr>
                <w:rFonts w:eastAsia="MS Mincho"/>
                <w:u w:val="single"/>
              </w:rPr>
              <w:t>versus placebo</w:t>
            </w:r>
          </w:p>
          <w:p w:rsidR="00AA3BFF" w:rsidRPr="002F0CA7" w:rsidRDefault="00AA3BFF" w:rsidP="00AA3BFF">
            <w:pPr>
              <w:pStyle w:val="Tablewriting"/>
              <w:rPr>
                <w:rFonts w:eastAsia="MS Mincho"/>
              </w:rPr>
            </w:pPr>
            <w:r w:rsidRPr="002F0CA7">
              <w:rPr>
                <w:rFonts w:eastAsia="MS Mincho"/>
              </w:rPr>
              <w:t xml:space="preserve">N= </w:t>
            </w:r>
            <w:r>
              <w:rPr>
                <w:rFonts w:eastAsia="MS Mincho"/>
              </w:rPr>
              <w:t xml:space="preserve">887 </w:t>
            </w:r>
            <w:r w:rsidRPr="002F0CA7">
              <w:rPr>
                <w:rFonts w:eastAsia="MS Mincho"/>
              </w:rPr>
              <w:t>(</w:t>
            </w:r>
            <w:r>
              <w:rPr>
                <w:rFonts w:eastAsia="MS Mincho"/>
              </w:rPr>
              <w:t xml:space="preserve">4 </w:t>
            </w:r>
            <w:r w:rsidRPr="002F0CA7">
              <w:rPr>
                <w:rFonts w:eastAsia="MS Mincho"/>
              </w:rPr>
              <w:t>RCT)</w:t>
            </w:r>
          </w:p>
          <w:p w:rsidR="00AA3BFF" w:rsidRPr="004110FF" w:rsidRDefault="00E83076" w:rsidP="00AA3BFF">
            <w:pPr>
              <w:pStyle w:val="Tablewriting"/>
              <w:rPr>
                <w:rFonts w:eastAsia="MS Mincho"/>
              </w:rPr>
            </w:pPr>
            <w:r>
              <w:rPr>
                <w:rFonts w:eastAsia="MS Mincho"/>
              </w:rPr>
              <w:t>N</w:t>
            </w:r>
            <w:r w:rsidR="00AA3BFF">
              <w:rPr>
                <w:rFonts w:eastAsia="MS Mincho"/>
              </w:rPr>
              <w:t xml:space="preserve">asal spray </w:t>
            </w:r>
            <w:r w:rsidR="00AA3BFF" w:rsidRPr="002F0CA7">
              <w:rPr>
                <w:rFonts w:eastAsia="MS Mincho"/>
              </w:rPr>
              <w:t>(n=</w:t>
            </w:r>
            <w:r w:rsidR="00AA3BFF">
              <w:rPr>
                <w:rFonts w:eastAsia="MS Mincho"/>
              </w:rPr>
              <w:t>448</w:t>
            </w:r>
            <w:r w:rsidR="00AA3BFF" w:rsidRPr="002F0CA7">
              <w:rPr>
                <w:rFonts w:eastAsia="MS Mincho"/>
              </w:rPr>
              <w:t>),</w:t>
            </w:r>
            <w:r w:rsidR="00AA3BFF">
              <w:rPr>
                <w:rFonts w:eastAsia="MS Mincho"/>
              </w:rPr>
              <w:t xml:space="preserve"> Placebo </w:t>
            </w:r>
            <w:r w:rsidR="00AA3BFF" w:rsidRPr="002F0CA7">
              <w:rPr>
                <w:rFonts w:eastAsia="MS Mincho"/>
              </w:rPr>
              <w:t>(n=</w:t>
            </w:r>
            <w:r w:rsidR="00AA3BFF">
              <w:rPr>
                <w:rFonts w:eastAsia="MS Mincho"/>
              </w:rPr>
              <w:t>439</w:t>
            </w:r>
            <w:r w:rsidR="00AA3BFF" w:rsidRPr="002F0CA7">
              <w:rPr>
                <w:rFonts w:eastAsia="MS Mincho"/>
              </w:rPr>
              <w:t>)</w:t>
            </w:r>
            <w:r w:rsidR="00AA3BFF" w:rsidRPr="005A1EEB">
              <w:rPr>
                <w:rFonts w:eastAsia="MS Mincho"/>
              </w:rPr>
              <w:t xml:space="preserve"> </w:t>
            </w:r>
          </w:p>
        </w:tc>
        <w:tc>
          <w:tcPr>
            <w:tcW w:w="1990" w:type="pct"/>
            <w:tcMar>
              <w:left w:w="28" w:type="dxa"/>
              <w:right w:w="28" w:type="dxa"/>
            </w:tcMar>
          </w:tcPr>
          <w:p w:rsidR="00AA3BFF" w:rsidRDefault="00AA3BFF" w:rsidP="00AA3BFF">
            <w:pPr>
              <w:pStyle w:val="Tablewriting"/>
              <w:rPr>
                <w:rFonts w:eastAsia="MS Mincho"/>
              </w:rPr>
            </w:pPr>
            <w:r w:rsidRPr="002C19B4">
              <w:rPr>
                <w:rFonts w:eastAsia="MS Mincho"/>
                <w:u w:val="single"/>
              </w:rPr>
              <w:t>Inclusion</w:t>
            </w:r>
            <w:r>
              <w:rPr>
                <w:rFonts w:eastAsia="MS Mincho"/>
              </w:rPr>
              <w:t xml:space="preserve">: </w:t>
            </w:r>
            <w:r w:rsidRPr="007B7C66">
              <w:rPr>
                <w:rFonts w:eastAsia="MS Mincho"/>
              </w:rPr>
              <w:t>men or women who smoked and were motivated to</w:t>
            </w:r>
            <w:r>
              <w:rPr>
                <w:rFonts w:eastAsia="MS Mincho"/>
              </w:rPr>
              <w:t xml:space="preserve"> </w:t>
            </w:r>
            <w:r w:rsidRPr="007B7C66">
              <w:rPr>
                <w:rFonts w:eastAsia="MS Mincho"/>
              </w:rPr>
              <w:t>quit, irrespective of the setting from which they were recruited</w:t>
            </w:r>
            <w:r>
              <w:rPr>
                <w:rFonts w:eastAsia="MS Mincho"/>
              </w:rPr>
              <w:t xml:space="preserve"> </w:t>
            </w:r>
            <w:r w:rsidRPr="007B7C66">
              <w:rPr>
                <w:rFonts w:eastAsia="MS Mincho"/>
              </w:rPr>
              <w:t>or their initial level of nicotine dependence, or both</w:t>
            </w:r>
            <w:r>
              <w:rPr>
                <w:rFonts w:eastAsia="MS Mincho"/>
              </w:rPr>
              <w:t>.</w:t>
            </w:r>
          </w:p>
          <w:p w:rsidR="00AA3BFF" w:rsidRPr="00186C2B" w:rsidRDefault="00AA3BFF" w:rsidP="00AA3BFF">
            <w:pPr>
              <w:pStyle w:val="Tablewriting"/>
              <w:rPr>
                <w:rFonts w:eastAsia="MS Mincho"/>
                <w:highlight w:val="yellow"/>
                <w:u w:val="single"/>
              </w:rPr>
            </w:pPr>
            <w:r w:rsidRPr="002C19B4">
              <w:rPr>
                <w:rFonts w:eastAsia="MS Mincho"/>
                <w:u w:val="single"/>
              </w:rPr>
              <w:lastRenderedPageBreak/>
              <w:t>Exclusion</w:t>
            </w:r>
            <w:r>
              <w:rPr>
                <w:rFonts w:eastAsia="MS Mincho"/>
              </w:rPr>
              <w:t xml:space="preserve">: trials that </w:t>
            </w:r>
            <w:r w:rsidRPr="00D8489B">
              <w:rPr>
                <w:rFonts w:eastAsia="MS Mincho"/>
              </w:rPr>
              <w:t>randomi</w:t>
            </w:r>
            <w:r>
              <w:rPr>
                <w:rFonts w:eastAsia="MS Mincho"/>
              </w:rPr>
              <w:t>s</w:t>
            </w:r>
            <w:r w:rsidRPr="00D8489B">
              <w:rPr>
                <w:rFonts w:eastAsia="MS Mincho"/>
              </w:rPr>
              <w:t>ed physicians or other therapists to</w:t>
            </w:r>
            <w:r>
              <w:rPr>
                <w:rFonts w:eastAsia="MS Mincho"/>
              </w:rPr>
              <w:t xml:space="preserve"> </w:t>
            </w:r>
            <w:r w:rsidRPr="00D8489B">
              <w:rPr>
                <w:rFonts w:eastAsia="MS Mincho"/>
              </w:rPr>
              <w:t>receive an educational intervention, which included encouraging</w:t>
            </w:r>
            <w:r>
              <w:rPr>
                <w:rFonts w:eastAsia="MS Mincho"/>
              </w:rPr>
              <w:t xml:space="preserve"> </w:t>
            </w:r>
            <w:r w:rsidRPr="00D8489B">
              <w:rPr>
                <w:rFonts w:eastAsia="MS Mincho"/>
              </w:rPr>
              <w:t>their patients to use NRT</w:t>
            </w:r>
            <w:r w:rsidR="00ED0CBA">
              <w:rPr>
                <w:rFonts w:eastAsia="MS Mincho"/>
              </w:rPr>
              <w:t>.</w:t>
            </w:r>
          </w:p>
        </w:tc>
        <w:tc>
          <w:tcPr>
            <w:tcW w:w="597" w:type="pct"/>
          </w:tcPr>
          <w:p w:rsidR="00AA3BFF" w:rsidRDefault="00AA3BFF" w:rsidP="00AA3BFF">
            <w:pPr>
              <w:pStyle w:val="Tablewriting"/>
              <w:rPr>
                <w:rFonts w:eastAsia="MS Mincho"/>
              </w:rPr>
            </w:pPr>
            <w:r>
              <w:rPr>
                <w:rFonts w:eastAsia="MS Mincho"/>
              </w:rPr>
              <w:lastRenderedPageBreak/>
              <w:t xml:space="preserve">NRT </w:t>
            </w:r>
            <w:r w:rsidRPr="003E5FF8">
              <w:rPr>
                <w:rFonts w:eastAsia="MS Mincho"/>
              </w:rPr>
              <w:t>nasal spray</w:t>
            </w:r>
          </w:p>
          <w:p w:rsidR="00AA3BFF" w:rsidRPr="00186C2B" w:rsidRDefault="00AA3BFF" w:rsidP="00AA3BFF">
            <w:pPr>
              <w:pStyle w:val="Tablewriting"/>
              <w:rPr>
                <w:rFonts w:eastAsia="MS Mincho"/>
                <w:highlight w:val="yellow"/>
              </w:rPr>
            </w:pPr>
            <w:r>
              <w:rPr>
                <w:rFonts w:eastAsia="MS Mincho"/>
              </w:rPr>
              <w:t>P</w:t>
            </w:r>
            <w:r w:rsidRPr="003E5FF8">
              <w:rPr>
                <w:rFonts w:eastAsia="MS Mincho"/>
              </w:rPr>
              <w:t>lacebo</w:t>
            </w:r>
          </w:p>
        </w:tc>
        <w:tc>
          <w:tcPr>
            <w:tcW w:w="922" w:type="pct"/>
            <w:tcMar>
              <w:left w:w="28" w:type="dxa"/>
              <w:right w:w="28" w:type="dxa"/>
            </w:tcMar>
          </w:tcPr>
          <w:p w:rsidR="00AA3BFF" w:rsidRDefault="00AA3BFF" w:rsidP="00AA3BFF">
            <w:pPr>
              <w:pStyle w:val="Tablewriting"/>
              <w:rPr>
                <w:rFonts w:eastAsia="MS Mincho"/>
              </w:rPr>
            </w:pPr>
            <w:r w:rsidRPr="006E7EED">
              <w:rPr>
                <w:rFonts w:eastAsia="MS Mincho"/>
                <w:u w:val="single"/>
              </w:rPr>
              <w:t>Primary</w:t>
            </w:r>
            <w:r w:rsidRPr="006E7EED">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Pr>
                <w:rFonts w:eastAsia="MS Mincho"/>
              </w:rPr>
              <w:t>.</w:t>
            </w:r>
          </w:p>
          <w:p w:rsidR="00AA3BFF" w:rsidRPr="00C64474" w:rsidRDefault="00AA3BFF" w:rsidP="00AA3BFF">
            <w:pPr>
              <w:pStyle w:val="Tablewriting"/>
              <w:rPr>
                <w:rFonts w:eastAsia="MS Mincho"/>
              </w:rPr>
            </w:pPr>
            <w:r w:rsidRPr="00E44230">
              <w:rPr>
                <w:rFonts w:eastAsia="MS Mincho"/>
                <w:u w:val="single"/>
              </w:rPr>
              <w:lastRenderedPageBreak/>
              <w:t>Secondary</w:t>
            </w:r>
            <w:r w:rsidRPr="00E44230">
              <w:rPr>
                <w:rFonts w:eastAsia="MS Mincho"/>
              </w:rPr>
              <w:t xml:space="preserve">: </w:t>
            </w:r>
            <w:r>
              <w:rPr>
                <w:rFonts w:eastAsia="MS Mincho"/>
              </w:rPr>
              <w:t xml:space="preserve">adverse event including palpitations/chest pains. </w:t>
            </w:r>
          </w:p>
        </w:tc>
      </w:tr>
      <w:tr w:rsidR="00AA3BFF" w:rsidRPr="00061F78" w:rsidTr="00CB3AFC">
        <w:trPr>
          <w:trHeight w:val="149"/>
        </w:trPr>
        <w:tc>
          <w:tcPr>
            <w:tcW w:w="330" w:type="pct"/>
            <w:tcMar>
              <w:left w:w="28" w:type="dxa"/>
              <w:right w:w="28" w:type="dxa"/>
            </w:tcMar>
          </w:tcPr>
          <w:p w:rsidR="00AA3BFF" w:rsidRPr="004110FF" w:rsidRDefault="00AA3BFF" w:rsidP="00AA3BFF">
            <w:pPr>
              <w:pStyle w:val="Tablewriting"/>
            </w:pPr>
            <w:r>
              <w:lastRenderedPageBreak/>
              <w:t>Lindson</w:t>
            </w:r>
            <w:r w:rsidRPr="00713891">
              <w:t xml:space="preserve"> (201</w:t>
            </w:r>
            <w:r>
              <w:t>9</w:t>
            </w:r>
            <w:r w:rsidRPr="00713891">
              <w:t>)</w:t>
            </w:r>
          </w:p>
        </w:tc>
        <w:tc>
          <w:tcPr>
            <w:tcW w:w="347" w:type="pct"/>
          </w:tcPr>
          <w:p w:rsidR="00AA3BFF" w:rsidRPr="002F0CA7" w:rsidRDefault="00AA3BFF" w:rsidP="00AA3BFF">
            <w:pPr>
              <w:pStyle w:val="Tablewriting"/>
              <w:rPr>
                <w:rFonts w:eastAsia="MS Mincho"/>
              </w:rPr>
            </w:pPr>
            <w:r w:rsidRPr="002F0CA7">
              <w:rPr>
                <w:rFonts w:eastAsia="MS Mincho"/>
              </w:rPr>
              <w:t xml:space="preserve">Cochrane Review </w:t>
            </w:r>
          </w:p>
          <w:p w:rsidR="00AA3BFF" w:rsidRPr="006B5D28" w:rsidRDefault="00AA3BFF" w:rsidP="00AA3BFF">
            <w:pPr>
              <w:pStyle w:val="Tablewriting"/>
              <w:rPr>
                <w:rFonts w:eastAsia="MS Mincho"/>
              </w:rPr>
            </w:pPr>
            <w:r w:rsidRPr="002F0CA7">
              <w:rPr>
                <w:rFonts w:eastAsia="MS Mincho"/>
              </w:rPr>
              <w:t>(</w:t>
            </w:r>
            <w:r>
              <w:rPr>
                <w:rFonts w:eastAsia="MS Mincho"/>
              </w:rPr>
              <w:t>2</w:t>
            </w:r>
            <w:r w:rsidRPr="002F0CA7">
              <w:rPr>
                <w:rFonts w:eastAsia="MS Mincho"/>
              </w:rPr>
              <w:t xml:space="preserve"> RCTs</w:t>
            </w:r>
            <w:r>
              <w:rPr>
                <w:rFonts w:eastAsia="MS Mincho"/>
                <w:vertAlign w:val="superscript"/>
              </w:rPr>
              <w:t>3</w:t>
            </w:r>
            <w:r w:rsidRPr="002F0CA7">
              <w:rPr>
                <w:rFonts w:eastAsia="MS Mincho"/>
              </w:rPr>
              <w:t>)</w:t>
            </w:r>
          </w:p>
        </w:tc>
        <w:tc>
          <w:tcPr>
            <w:tcW w:w="814" w:type="pct"/>
            <w:tcMar>
              <w:left w:w="28" w:type="dxa"/>
              <w:right w:w="28" w:type="dxa"/>
            </w:tcMar>
          </w:tcPr>
          <w:p w:rsidR="00AA3BFF" w:rsidRPr="00662E6F" w:rsidRDefault="00AA3BFF" w:rsidP="00AA3BFF">
            <w:pPr>
              <w:pStyle w:val="Tablewriting"/>
              <w:rPr>
                <w:rFonts w:eastAsia="MS Mincho"/>
                <w:u w:val="single"/>
              </w:rPr>
            </w:pPr>
            <w:r>
              <w:rPr>
                <w:rFonts w:eastAsia="MS Mincho"/>
                <w:u w:val="single"/>
              </w:rPr>
              <w:t>N</w:t>
            </w:r>
            <w:r w:rsidRPr="00662E6F">
              <w:rPr>
                <w:rFonts w:eastAsia="MS Mincho"/>
                <w:u w:val="single"/>
              </w:rPr>
              <w:t>asal spray</w:t>
            </w:r>
            <w:r>
              <w:rPr>
                <w:rFonts w:eastAsia="MS Mincho"/>
                <w:u w:val="single"/>
              </w:rPr>
              <w:t xml:space="preserve"> </w:t>
            </w:r>
            <w:r w:rsidRPr="00662E6F">
              <w:rPr>
                <w:rFonts w:eastAsia="MS Mincho"/>
                <w:u w:val="single"/>
              </w:rPr>
              <w:t>versus p</w:t>
            </w:r>
            <w:r>
              <w:rPr>
                <w:rFonts w:eastAsia="MS Mincho"/>
                <w:u w:val="single"/>
              </w:rPr>
              <w:t>atch</w:t>
            </w:r>
          </w:p>
          <w:p w:rsidR="00AA3BFF" w:rsidRPr="002F0CA7" w:rsidRDefault="00AA3BFF" w:rsidP="00AA3BFF">
            <w:pPr>
              <w:pStyle w:val="Tablewriting"/>
              <w:rPr>
                <w:rFonts w:eastAsia="MS Mincho"/>
              </w:rPr>
            </w:pPr>
            <w:r w:rsidRPr="002F0CA7">
              <w:rPr>
                <w:rFonts w:eastAsia="MS Mincho"/>
              </w:rPr>
              <w:t xml:space="preserve">N= </w:t>
            </w:r>
            <w:r>
              <w:rPr>
                <w:rFonts w:eastAsia="MS Mincho"/>
              </w:rPr>
              <w:t xml:space="preserve">1,272 </w:t>
            </w:r>
            <w:r w:rsidRPr="002F0CA7">
              <w:rPr>
                <w:rFonts w:eastAsia="MS Mincho"/>
              </w:rPr>
              <w:t>(</w:t>
            </w:r>
            <w:r>
              <w:rPr>
                <w:rFonts w:eastAsia="MS Mincho"/>
              </w:rPr>
              <w:t xml:space="preserve">2 </w:t>
            </w:r>
            <w:r w:rsidRPr="002F0CA7">
              <w:rPr>
                <w:rFonts w:eastAsia="MS Mincho"/>
              </w:rPr>
              <w:t>RCT)</w:t>
            </w:r>
          </w:p>
          <w:p w:rsidR="00AA3BFF" w:rsidRPr="00662E6F" w:rsidRDefault="00AA3BFF" w:rsidP="00AA3BFF">
            <w:pPr>
              <w:pStyle w:val="Tablewriting"/>
              <w:rPr>
                <w:rFonts w:eastAsia="MS Mincho"/>
                <w:u w:val="single"/>
              </w:rPr>
            </w:pPr>
            <w:r>
              <w:rPr>
                <w:rFonts w:eastAsia="MS Mincho"/>
              </w:rPr>
              <w:t xml:space="preserve">Nasal spray </w:t>
            </w:r>
            <w:r w:rsidRPr="002F0CA7">
              <w:rPr>
                <w:rFonts w:eastAsia="MS Mincho"/>
              </w:rPr>
              <w:t>(n=</w:t>
            </w:r>
            <w:r>
              <w:rPr>
                <w:rFonts w:eastAsia="MS Mincho"/>
              </w:rPr>
              <w:t>638</w:t>
            </w:r>
            <w:r w:rsidRPr="002F0CA7">
              <w:rPr>
                <w:rFonts w:eastAsia="MS Mincho"/>
              </w:rPr>
              <w:t>),</w:t>
            </w:r>
            <w:r>
              <w:rPr>
                <w:rFonts w:eastAsia="MS Mincho"/>
              </w:rPr>
              <w:t xml:space="preserve"> Patch </w:t>
            </w:r>
            <w:r w:rsidRPr="002F0CA7">
              <w:rPr>
                <w:rFonts w:eastAsia="MS Mincho"/>
              </w:rPr>
              <w:t>(n=</w:t>
            </w:r>
            <w:r>
              <w:rPr>
                <w:rFonts w:eastAsia="MS Mincho"/>
              </w:rPr>
              <w:t>634</w:t>
            </w:r>
            <w:r w:rsidRPr="002F0CA7">
              <w:rPr>
                <w:rFonts w:eastAsia="MS Mincho"/>
              </w:rPr>
              <w:t>)</w:t>
            </w:r>
          </w:p>
        </w:tc>
        <w:tc>
          <w:tcPr>
            <w:tcW w:w="1990" w:type="pct"/>
            <w:tcMar>
              <w:left w:w="28" w:type="dxa"/>
              <w:right w:w="28" w:type="dxa"/>
            </w:tcMar>
          </w:tcPr>
          <w:p w:rsidR="00AA3BFF" w:rsidRPr="00DC607E" w:rsidRDefault="00AA3BFF" w:rsidP="00AA3BFF">
            <w:pPr>
              <w:pStyle w:val="Tablewriting"/>
              <w:rPr>
                <w:rFonts w:eastAsia="MS Mincho"/>
              </w:rPr>
            </w:pPr>
            <w:r w:rsidRPr="00DC607E">
              <w:rPr>
                <w:rFonts w:eastAsia="MS Mincho"/>
                <w:u w:val="single"/>
              </w:rPr>
              <w:t>Inclusion</w:t>
            </w:r>
            <w:r w:rsidRPr="00DC607E">
              <w:rPr>
                <w:rFonts w:eastAsia="MS Mincho"/>
              </w:rPr>
              <w:t>:</w:t>
            </w:r>
          </w:p>
          <w:p w:rsidR="00AA3BFF" w:rsidRPr="00DC607E" w:rsidRDefault="00AA3BFF" w:rsidP="00AA3BFF">
            <w:pPr>
              <w:pStyle w:val="Tablewriting"/>
              <w:rPr>
                <w:rFonts w:eastAsia="MS Mincho"/>
              </w:rPr>
            </w:pPr>
            <w:r w:rsidRPr="00DC607E">
              <w:rPr>
                <w:rFonts w:eastAsia="MS Mincho"/>
              </w:rPr>
              <w:t xml:space="preserve">Adult smokers with an average age of approximately 45, </w:t>
            </w:r>
            <w:r>
              <w:rPr>
                <w:rFonts w:eastAsia="MS Mincho" w:cstheme="minorHAnsi"/>
              </w:rPr>
              <w:t>≥</w:t>
            </w:r>
            <w:r w:rsidRPr="00DC607E">
              <w:rPr>
                <w:rFonts w:eastAsia="MS Mincho"/>
              </w:rPr>
              <w:t>15 cigarettes a day</w:t>
            </w:r>
            <w:r>
              <w:rPr>
                <w:rFonts w:eastAsia="MS Mincho"/>
              </w:rPr>
              <w:t xml:space="preserve">, </w:t>
            </w:r>
            <w:r w:rsidRPr="0050095A">
              <w:rPr>
                <w:rFonts w:eastAsia="MS Mincho"/>
              </w:rPr>
              <w:t>studies</w:t>
            </w:r>
            <w:r>
              <w:rPr>
                <w:rFonts w:eastAsia="MS Mincho"/>
              </w:rPr>
              <w:t xml:space="preserve"> </w:t>
            </w:r>
            <w:r w:rsidRPr="0050095A">
              <w:rPr>
                <w:rFonts w:eastAsia="MS Mincho"/>
              </w:rPr>
              <w:t>lasted for at least six months</w:t>
            </w:r>
            <w:r>
              <w:rPr>
                <w:rFonts w:eastAsia="MS Mincho"/>
              </w:rPr>
              <w:t xml:space="preserve">. </w:t>
            </w:r>
          </w:p>
          <w:p w:rsidR="00AA3BFF" w:rsidRPr="003F619D" w:rsidRDefault="00AA3BFF" w:rsidP="00AA3BFF">
            <w:pPr>
              <w:pStyle w:val="Tablewriting"/>
              <w:rPr>
                <w:rFonts w:eastAsia="MS Mincho"/>
                <w:u w:val="single"/>
              </w:rPr>
            </w:pPr>
            <w:r w:rsidRPr="00DC607E">
              <w:rPr>
                <w:rFonts w:eastAsia="MS Mincho"/>
                <w:u w:val="single"/>
              </w:rPr>
              <w:t>Exclusion</w:t>
            </w:r>
            <w:r w:rsidRPr="00DC607E">
              <w:rPr>
                <w:rFonts w:eastAsia="MS Mincho"/>
              </w:rPr>
              <w:t>: Trials that did not assess cessation as an outcome, with follow-up less than six months, and with additional intervention components not matched between arms. Trials comparing NRT to control, and trials comparing NRT to other pharmacotherapies.</w:t>
            </w:r>
          </w:p>
        </w:tc>
        <w:tc>
          <w:tcPr>
            <w:tcW w:w="597" w:type="pct"/>
          </w:tcPr>
          <w:p w:rsidR="00AA3BFF" w:rsidRDefault="00AA3BFF" w:rsidP="00AA3BFF">
            <w:pPr>
              <w:pStyle w:val="Tablewriting"/>
              <w:rPr>
                <w:rFonts w:eastAsia="MS Mincho"/>
              </w:rPr>
            </w:pPr>
            <w:r>
              <w:rPr>
                <w:rFonts w:eastAsia="MS Mincho"/>
              </w:rPr>
              <w:t xml:space="preserve">NRT </w:t>
            </w:r>
            <w:r w:rsidRPr="003E5FF8">
              <w:rPr>
                <w:rFonts w:eastAsia="MS Mincho"/>
              </w:rPr>
              <w:t>nasal spray</w:t>
            </w:r>
          </w:p>
          <w:p w:rsidR="00AA3BFF" w:rsidRPr="00186C2B" w:rsidRDefault="00AA3BFF" w:rsidP="00AA3BFF">
            <w:pPr>
              <w:pStyle w:val="Tablewriting"/>
              <w:rPr>
                <w:rFonts w:eastAsia="MS Mincho"/>
                <w:highlight w:val="yellow"/>
              </w:rPr>
            </w:pPr>
            <w:r w:rsidRPr="003E5FF8">
              <w:rPr>
                <w:rFonts w:eastAsia="MS Mincho"/>
              </w:rPr>
              <w:t>NRT patch</w:t>
            </w:r>
          </w:p>
        </w:tc>
        <w:tc>
          <w:tcPr>
            <w:tcW w:w="922" w:type="pct"/>
            <w:tcMar>
              <w:left w:w="28" w:type="dxa"/>
              <w:right w:w="28" w:type="dxa"/>
            </w:tcMar>
          </w:tcPr>
          <w:p w:rsidR="00AA3BFF" w:rsidRDefault="00AA3BFF" w:rsidP="00AA3BFF">
            <w:pPr>
              <w:pStyle w:val="Tablewriting"/>
              <w:rPr>
                <w:rFonts w:eastAsia="MS Mincho"/>
              </w:rPr>
            </w:pPr>
            <w:r w:rsidRPr="006E7EED">
              <w:rPr>
                <w:rFonts w:eastAsia="MS Mincho"/>
                <w:u w:val="single"/>
              </w:rPr>
              <w:t>Primary</w:t>
            </w:r>
            <w:r w:rsidRPr="006E7EED">
              <w:rPr>
                <w:rFonts w:eastAsia="MS Mincho"/>
              </w:rPr>
              <w:t xml:space="preserve">: </w:t>
            </w:r>
            <w:r w:rsidRPr="0050095A">
              <w:rPr>
                <w:rFonts w:eastAsia="MS Mincho"/>
              </w:rPr>
              <w:t>smoking cessation rates of at least six months after baseline.</w:t>
            </w:r>
          </w:p>
          <w:p w:rsidR="00AA3BFF" w:rsidRPr="006E7EED" w:rsidRDefault="00AA3BFF" w:rsidP="00AA3BFF">
            <w:pPr>
              <w:pStyle w:val="Tablewriting"/>
              <w:rPr>
                <w:rFonts w:eastAsia="MS Mincho"/>
                <w:u w:val="single"/>
              </w:rPr>
            </w:pPr>
            <w:r w:rsidRPr="009D1F96">
              <w:rPr>
                <w:rFonts w:eastAsia="MS Mincho"/>
                <w:u w:val="single"/>
              </w:rPr>
              <w:t>Secondary</w:t>
            </w:r>
            <w:r w:rsidRPr="009D1F96">
              <w:rPr>
                <w:rFonts w:eastAsia="MS Mincho"/>
              </w:rPr>
              <w:t xml:space="preserve">: </w:t>
            </w:r>
            <w:r w:rsidRPr="0013299B">
              <w:rPr>
                <w:rFonts w:eastAsia="MS Mincho"/>
              </w:rPr>
              <w:t>adverse events</w:t>
            </w:r>
            <w:r>
              <w:rPr>
                <w:rFonts w:eastAsia="MS Mincho"/>
              </w:rPr>
              <w:t xml:space="preserve"> including overall serious adverse events and treatment withdrawal. </w:t>
            </w:r>
          </w:p>
        </w:tc>
      </w:tr>
      <w:tr w:rsidR="00AA3BFF" w:rsidRPr="00061F78" w:rsidTr="007231A4">
        <w:trPr>
          <w:trHeight w:val="149"/>
        </w:trPr>
        <w:tc>
          <w:tcPr>
            <w:tcW w:w="5000" w:type="pct"/>
            <w:gridSpan w:val="6"/>
            <w:shd w:val="clear" w:color="auto" w:fill="auto"/>
            <w:tcMar>
              <w:left w:w="28" w:type="dxa"/>
              <w:right w:w="28" w:type="dxa"/>
            </w:tcMar>
          </w:tcPr>
          <w:p w:rsidR="00AA3BFF" w:rsidRPr="006E7EED" w:rsidRDefault="00AA3BFF" w:rsidP="00AA3BFF">
            <w:pPr>
              <w:pStyle w:val="Tablewriting"/>
              <w:rPr>
                <w:rFonts w:eastAsia="MS Mincho"/>
                <w:u w:val="single"/>
              </w:rPr>
            </w:pPr>
            <w:r w:rsidRPr="00D65A3E">
              <w:rPr>
                <w:rFonts w:eastAsia="MS Mincho"/>
                <w:b/>
                <w:bCs/>
              </w:rPr>
              <w:t>Oral spray</w:t>
            </w:r>
          </w:p>
        </w:tc>
      </w:tr>
      <w:tr w:rsidR="00AA3BFF" w:rsidRPr="00061F78" w:rsidTr="00CB3AFC">
        <w:trPr>
          <w:trHeight w:val="149"/>
        </w:trPr>
        <w:tc>
          <w:tcPr>
            <w:tcW w:w="330" w:type="pct"/>
            <w:tcMar>
              <w:left w:w="28" w:type="dxa"/>
              <w:right w:w="28" w:type="dxa"/>
            </w:tcMar>
          </w:tcPr>
          <w:p w:rsidR="00AA3BFF" w:rsidRDefault="00AA3BFF" w:rsidP="00AA3BFF">
            <w:pPr>
              <w:pStyle w:val="Tablewriting"/>
            </w:pPr>
            <w:r w:rsidRPr="004110FF">
              <w:t xml:space="preserve">Hartmann-Boyce </w:t>
            </w:r>
            <w:r>
              <w:t>(</w:t>
            </w:r>
            <w:r w:rsidRPr="004110FF">
              <w:t>2018</w:t>
            </w:r>
            <w:r>
              <w:t>)</w:t>
            </w:r>
          </w:p>
        </w:tc>
        <w:tc>
          <w:tcPr>
            <w:tcW w:w="347" w:type="pct"/>
          </w:tcPr>
          <w:p w:rsidR="00AA3BFF" w:rsidRPr="002F0CA7" w:rsidRDefault="00AA3BFF" w:rsidP="00AA3BFF">
            <w:pPr>
              <w:pStyle w:val="Tablewriting"/>
              <w:rPr>
                <w:rFonts w:eastAsia="MS Mincho"/>
              </w:rPr>
            </w:pPr>
            <w:r w:rsidRPr="002F0CA7">
              <w:rPr>
                <w:rFonts w:eastAsia="MS Mincho"/>
              </w:rPr>
              <w:t xml:space="preserve">Cochrane Review </w:t>
            </w:r>
          </w:p>
          <w:p w:rsidR="00AA3BFF" w:rsidRPr="00186C2B" w:rsidRDefault="00AA3BFF" w:rsidP="00AA3BFF">
            <w:pPr>
              <w:pStyle w:val="Tablewriting"/>
              <w:rPr>
                <w:rFonts w:eastAsia="MS Mincho"/>
                <w:highlight w:val="yellow"/>
              </w:rPr>
            </w:pPr>
            <w:r w:rsidRPr="002F0CA7">
              <w:rPr>
                <w:rFonts w:eastAsia="MS Mincho"/>
              </w:rPr>
              <w:t>(</w:t>
            </w:r>
            <w:r>
              <w:rPr>
                <w:rFonts w:eastAsia="MS Mincho"/>
              </w:rPr>
              <w:t xml:space="preserve">1 </w:t>
            </w:r>
            <w:r w:rsidRPr="002F0CA7">
              <w:rPr>
                <w:rFonts w:eastAsia="MS Mincho"/>
              </w:rPr>
              <w:t>RCT</w:t>
            </w:r>
            <w:r w:rsidRPr="002F0CA7">
              <w:rPr>
                <w:rFonts w:eastAsia="MS Mincho"/>
                <w:vertAlign w:val="superscript"/>
              </w:rPr>
              <w:t>2</w:t>
            </w:r>
            <w:r w:rsidRPr="002F0CA7">
              <w:rPr>
                <w:rFonts w:eastAsia="MS Mincho"/>
              </w:rPr>
              <w:t>)</w:t>
            </w:r>
          </w:p>
        </w:tc>
        <w:tc>
          <w:tcPr>
            <w:tcW w:w="814" w:type="pct"/>
            <w:tcMar>
              <w:left w:w="28" w:type="dxa"/>
              <w:right w:w="28" w:type="dxa"/>
            </w:tcMar>
          </w:tcPr>
          <w:p w:rsidR="00AA3BFF" w:rsidRDefault="00AA3BFF" w:rsidP="00AA3BFF">
            <w:pPr>
              <w:pStyle w:val="Tablewriting"/>
              <w:rPr>
                <w:rFonts w:eastAsia="MS Mincho"/>
              </w:rPr>
            </w:pPr>
            <w:r>
              <w:rPr>
                <w:rFonts w:eastAsia="MS Mincho"/>
                <w:u w:val="single"/>
              </w:rPr>
              <w:t xml:space="preserve">Oral </w:t>
            </w:r>
            <w:r w:rsidRPr="00662E6F">
              <w:rPr>
                <w:rFonts w:eastAsia="MS Mincho"/>
                <w:u w:val="single"/>
              </w:rPr>
              <w:t>spray</w:t>
            </w:r>
            <w:r>
              <w:rPr>
                <w:rFonts w:eastAsia="MS Mincho"/>
                <w:u w:val="single"/>
              </w:rPr>
              <w:t xml:space="preserve"> </w:t>
            </w:r>
            <w:r w:rsidRPr="00662E6F">
              <w:rPr>
                <w:rFonts w:eastAsia="MS Mincho"/>
                <w:u w:val="single"/>
              </w:rPr>
              <w:t>versus placebo</w:t>
            </w:r>
          </w:p>
          <w:p w:rsidR="00AA3BFF" w:rsidRPr="002F0CA7" w:rsidRDefault="00AA3BFF" w:rsidP="00AA3BFF">
            <w:pPr>
              <w:pStyle w:val="Tablewriting"/>
              <w:rPr>
                <w:rFonts w:eastAsia="MS Mincho"/>
              </w:rPr>
            </w:pPr>
            <w:r w:rsidRPr="002F0CA7">
              <w:rPr>
                <w:rFonts w:eastAsia="MS Mincho"/>
              </w:rPr>
              <w:t xml:space="preserve">N= </w:t>
            </w:r>
            <w:r>
              <w:rPr>
                <w:rFonts w:eastAsia="MS Mincho"/>
              </w:rPr>
              <w:t xml:space="preserve">479 </w:t>
            </w:r>
            <w:r w:rsidRPr="002F0CA7">
              <w:rPr>
                <w:rFonts w:eastAsia="MS Mincho"/>
              </w:rPr>
              <w:t>(</w:t>
            </w:r>
            <w:r>
              <w:rPr>
                <w:rFonts w:eastAsia="MS Mincho"/>
              </w:rPr>
              <w:t xml:space="preserve">1 </w:t>
            </w:r>
            <w:r w:rsidRPr="002F0CA7">
              <w:rPr>
                <w:rFonts w:eastAsia="MS Mincho"/>
              </w:rPr>
              <w:t>RCT)</w:t>
            </w:r>
          </w:p>
          <w:p w:rsidR="00AA3BFF" w:rsidRPr="00F4262F" w:rsidRDefault="00AA3BFF" w:rsidP="00AA3BFF">
            <w:pPr>
              <w:pStyle w:val="Tablewriting"/>
              <w:rPr>
                <w:rFonts w:eastAsia="MS Mincho"/>
              </w:rPr>
            </w:pPr>
            <w:r>
              <w:rPr>
                <w:rFonts w:eastAsia="MS Mincho"/>
              </w:rPr>
              <w:t xml:space="preserve">Oral spray </w:t>
            </w:r>
            <w:r w:rsidRPr="002F0CA7">
              <w:rPr>
                <w:rFonts w:eastAsia="MS Mincho"/>
              </w:rPr>
              <w:t>(n=</w:t>
            </w:r>
            <w:r>
              <w:rPr>
                <w:rFonts w:eastAsia="MS Mincho"/>
              </w:rPr>
              <w:t>318</w:t>
            </w:r>
            <w:r w:rsidRPr="002F0CA7">
              <w:rPr>
                <w:rFonts w:eastAsia="MS Mincho"/>
              </w:rPr>
              <w:t>),</w:t>
            </w:r>
            <w:r>
              <w:rPr>
                <w:rFonts w:eastAsia="MS Mincho"/>
              </w:rPr>
              <w:t xml:space="preserve"> Placebo </w:t>
            </w:r>
            <w:r w:rsidRPr="002F0CA7">
              <w:rPr>
                <w:rFonts w:eastAsia="MS Mincho"/>
              </w:rPr>
              <w:t>(n=</w:t>
            </w:r>
            <w:r>
              <w:rPr>
                <w:rFonts w:eastAsia="MS Mincho"/>
              </w:rPr>
              <w:t>161</w:t>
            </w:r>
            <w:r w:rsidRPr="002F0CA7">
              <w:rPr>
                <w:rFonts w:eastAsia="MS Mincho"/>
              </w:rPr>
              <w:t>)</w:t>
            </w:r>
          </w:p>
        </w:tc>
        <w:tc>
          <w:tcPr>
            <w:tcW w:w="1990" w:type="pct"/>
            <w:tcMar>
              <w:left w:w="28" w:type="dxa"/>
              <w:right w:w="28" w:type="dxa"/>
            </w:tcMar>
          </w:tcPr>
          <w:p w:rsidR="00AA3BFF" w:rsidRDefault="00AA3BFF" w:rsidP="00AA3BFF">
            <w:pPr>
              <w:pStyle w:val="Tablewriting"/>
              <w:rPr>
                <w:rFonts w:eastAsia="MS Mincho"/>
              </w:rPr>
            </w:pPr>
            <w:r w:rsidRPr="002C19B4">
              <w:rPr>
                <w:rFonts w:eastAsia="MS Mincho"/>
                <w:u w:val="single"/>
              </w:rPr>
              <w:t>Inclusion</w:t>
            </w:r>
            <w:r>
              <w:rPr>
                <w:rFonts w:eastAsia="MS Mincho"/>
              </w:rPr>
              <w:t xml:space="preserve">: </w:t>
            </w:r>
            <w:r w:rsidRPr="007B7C66">
              <w:rPr>
                <w:rFonts w:eastAsia="MS Mincho"/>
              </w:rPr>
              <w:t>men or women who smoked and were motivated to</w:t>
            </w:r>
            <w:r>
              <w:rPr>
                <w:rFonts w:eastAsia="MS Mincho"/>
              </w:rPr>
              <w:t xml:space="preserve"> </w:t>
            </w:r>
            <w:r w:rsidRPr="007B7C66">
              <w:rPr>
                <w:rFonts w:eastAsia="MS Mincho"/>
              </w:rPr>
              <w:t>quit, irrespective of the setting from which they were recruited</w:t>
            </w:r>
            <w:r>
              <w:rPr>
                <w:rFonts w:eastAsia="MS Mincho"/>
              </w:rPr>
              <w:t xml:space="preserve"> </w:t>
            </w:r>
            <w:r w:rsidRPr="007B7C66">
              <w:rPr>
                <w:rFonts w:eastAsia="MS Mincho"/>
              </w:rPr>
              <w:t>or their initial level of nicotine dependence, or both</w:t>
            </w:r>
            <w:r>
              <w:rPr>
                <w:rFonts w:eastAsia="MS Mincho"/>
              </w:rPr>
              <w:t>.</w:t>
            </w:r>
          </w:p>
          <w:p w:rsidR="00AA3BFF" w:rsidRPr="00186C2B" w:rsidRDefault="00AA3BFF" w:rsidP="00AA3BFF">
            <w:pPr>
              <w:pStyle w:val="Tablewriting"/>
              <w:rPr>
                <w:rFonts w:eastAsia="MS Mincho"/>
                <w:highlight w:val="yellow"/>
                <w:u w:val="single"/>
              </w:rPr>
            </w:pPr>
            <w:r w:rsidRPr="002C19B4">
              <w:rPr>
                <w:rFonts w:eastAsia="MS Mincho"/>
                <w:u w:val="single"/>
              </w:rPr>
              <w:t>Exclusion</w:t>
            </w:r>
            <w:r>
              <w:rPr>
                <w:rFonts w:eastAsia="MS Mincho"/>
              </w:rPr>
              <w:t xml:space="preserve">: trials that </w:t>
            </w:r>
            <w:r w:rsidRPr="00D8489B">
              <w:rPr>
                <w:rFonts w:eastAsia="MS Mincho"/>
              </w:rPr>
              <w:t>randomi</w:t>
            </w:r>
            <w:r>
              <w:rPr>
                <w:rFonts w:eastAsia="MS Mincho"/>
              </w:rPr>
              <w:t>s</w:t>
            </w:r>
            <w:r w:rsidRPr="00D8489B">
              <w:rPr>
                <w:rFonts w:eastAsia="MS Mincho"/>
              </w:rPr>
              <w:t>ed physicians or other therapists to</w:t>
            </w:r>
            <w:r>
              <w:rPr>
                <w:rFonts w:eastAsia="MS Mincho"/>
              </w:rPr>
              <w:t xml:space="preserve"> </w:t>
            </w:r>
            <w:r w:rsidRPr="00D8489B">
              <w:rPr>
                <w:rFonts w:eastAsia="MS Mincho"/>
              </w:rPr>
              <w:t>receive an educational intervention, which included encouraging</w:t>
            </w:r>
            <w:r>
              <w:rPr>
                <w:rFonts w:eastAsia="MS Mincho"/>
              </w:rPr>
              <w:t xml:space="preserve"> </w:t>
            </w:r>
            <w:r w:rsidRPr="00D8489B">
              <w:rPr>
                <w:rFonts w:eastAsia="MS Mincho"/>
              </w:rPr>
              <w:t>their patients to use NRT</w:t>
            </w:r>
            <w:r w:rsidR="00ED0CBA">
              <w:rPr>
                <w:rFonts w:eastAsia="MS Mincho"/>
              </w:rPr>
              <w:t>.</w:t>
            </w:r>
          </w:p>
        </w:tc>
        <w:tc>
          <w:tcPr>
            <w:tcW w:w="597" w:type="pct"/>
          </w:tcPr>
          <w:p w:rsidR="00AA3BFF" w:rsidRPr="00192ADF" w:rsidRDefault="00AA3BFF" w:rsidP="00AA3BFF">
            <w:pPr>
              <w:pStyle w:val="Tablewriting"/>
              <w:rPr>
                <w:rFonts w:eastAsia="MS Mincho"/>
              </w:rPr>
            </w:pPr>
            <w:r w:rsidRPr="00192ADF">
              <w:rPr>
                <w:rFonts w:eastAsia="MS Mincho"/>
              </w:rPr>
              <w:t>NRT oral spray</w:t>
            </w:r>
          </w:p>
          <w:p w:rsidR="00AA3BFF" w:rsidRPr="00186C2B" w:rsidRDefault="00AA3BFF" w:rsidP="00AA3BFF">
            <w:pPr>
              <w:pStyle w:val="Tablewriting"/>
              <w:rPr>
                <w:rFonts w:eastAsia="MS Mincho"/>
                <w:highlight w:val="yellow"/>
              </w:rPr>
            </w:pPr>
            <w:r w:rsidRPr="00192ADF">
              <w:rPr>
                <w:rFonts w:eastAsia="MS Mincho"/>
              </w:rPr>
              <w:t>Placebo</w:t>
            </w:r>
          </w:p>
        </w:tc>
        <w:tc>
          <w:tcPr>
            <w:tcW w:w="922" w:type="pct"/>
            <w:tcMar>
              <w:left w:w="28" w:type="dxa"/>
              <w:right w:w="28" w:type="dxa"/>
            </w:tcMar>
          </w:tcPr>
          <w:p w:rsidR="00AA3BFF" w:rsidRDefault="00AA3BFF" w:rsidP="00AA3BFF">
            <w:pPr>
              <w:pStyle w:val="Tablewriting"/>
              <w:rPr>
                <w:rFonts w:eastAsia="MS Mincho"/>
              </w:rPr>
            </w:pPr>
            <w:r w:rsidRPr="006E7EED">
              <w:rPr>
                <w:rFonts w:eastAsia="MS Mincho"/>
                <w:u w:val="single"/>
              </w:rPr>
              <w:t>Primary</w:t>
            </w:r>
            <w:r w:rsidRPr="006E7EED">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Pr>
                <w:rFonts w:eastAsia="MS Mincho"/>
              </w:rPr>
              <w:t>.</w:t>
            </w:r>
          </w:p>
          <w:p w:rsidR="00AA3BFF" w:rsidRPr="0050095A" w:rsidRDefault="00AA3BFF" w:rsidP="00AA3BFF">
            <w:pPr>
              <w:pStyle w:val="Tablewriting"/>
              <w:rPr>
                <w:rFonts w:eastAsia="MS Mincho"/>
                <w:u w:val="single"/>
              </w:rPr>
            </w:pPr>
            <w:r w:rsidRPr="00915533">
              <w:rPr>
                <w:rFonts w:eastAsia="MS Mincho"/>
                <w:u w:val="single"/>
              </w:rPr>
              <w:t>Secondary</w:t>
            </w:r>
            <w:r w:rsidRPr="00915533">
              <w:rPr>
                <w:rFonts w:eastAsia="MS Mincho"/>
              </w:rPr>
              <w:t>: adverse event</w:t>
            </w:r>
            <w:r>
              <w:rPr>
                <w:rFonts w:eastAsia="MS Mincho"/>
              </w:rPr>
              <w:t>.</w:t>
            </w:r>
          </w:p>
        </w:tc>
      </w:tr>
      <w:tr w:rsidR="00AA3BFF" w:rsidRPr="00061F78" w:rsidTr="00CB3AFC">
        <w:trPr>
          <w:trHeight w:val="149"/>
        </w:trPr>
        <w:tc>
          <w:tcPr>
            <w:tcW w:w="330" w:type="pct"/>
            <w:tcMar>
              <w:left w:w="28" w:type="dxa"/>
              <w:right w:w="28" w:type="dxa"/>
            </w:tcMar>
          </w:tcPr>
          <w:p w:rsidR="00AA3BFF" w:rsidRPr="00AA142B" w:rsidRDefault="00AA3BFF" w:rsidP="00AA3BFF">
            <w:pPr>
              <w:pStyle w:val="Tablewriting"/>
            </w:pPr>
            <w:r w:rsidRPr="00AA142B">
              <w:t>Nides (2020)</w:t>
            </w:r>
          </w:p>
        </w:tc>
        <w:tc>
          <w:tcPr>
            <w:tcW w:w="347" w:type="pct"/>
          </w:tcPr>
          <w:p w:rsidR="00AA3BFF" w:rsidRPr="00AA142B" w:rsidRDefault="00AA3BFF" w:rsidP="00AA3BFF">
            <w:pPr>
              <w:pStyle w:val="Tablewriting"/>
              <w:rPr>
                <w:rFonts w:eastAsia="MS Mincho"/>
              </w:rPr>
            </w:pPr>
            <w:r w:rsidRPr="00AA142B">
              <w:rPr>
                <w:rFonts w:eastAsia="MS Mincho"/>
              </w:rPr>
              <w:t>RCT</w:t>
            </w:r>
            <w:r w:rsidR="008E64DE">
              <w:rPr>
                <w:rFonts w:eastAsia="MS Mincho"/>
                <w:vertAlign w:val="superscript"/>
              </w:rPr>
              <w:t>4</w:t>
            </w:r>
          </w:p>
        </w:tc>
        <w:tc>
          <w:tcPr>
            <w:tcW w:w="814" w:type="pct"/>
            <w:tcMar>
              <w:left w:w="28" w:type="dxa"/>
              <w:right w:w="28" w:type="dxa"/>
            </w:tcMar>
          </w:tcPr>
          <w:p w:rsidR="00AA3BFF" w:rsidRDefault="00AA3BFF" w:rsidP="00AA3BFF">
            <w:pPr>
              <w:pStyle w:val="Tablewriting"/>
              <w:rPr>
                <w:rFonts w:eastAsia="MS Mincho"/>
              </w:rPr>
            </w:pPr>
            <w:r>
              <w:rPr>
                <w:rFonts w:eastAsia="MS Mincho"/>
                <w:u w:val="single"/>
              </w:rPr>
              <w:t xml:space="preserve">Oral </w:t>
            </w:r>
            <w:r w:rsidRPr="00662E6F">
              <w:rPr>
                <w:rFonts w:eastAsia="MS Mincho"/>
                <w:u w:val="single"/>
              </w:rPr>
              <w:t>spray</w:t>
            </w:r>
            <w:r>
              <w:rPr>
                <w:rFonts w:eastAsia="MS Mincho"/>
                <w:u w:val="single"/>
              </w:rPr>
              <w:t xml:space="preserve"> </w:t>
            </w:r>
            <w:r w:rsidRPr="00662E6F">
              <w:rPr>
                <w:rFonts w:eastAsia="MS Mincho"/>
                <w:u w:val="single"/>
              </w:rPr>
              <w:t>versus placebo</w:t>
            </w:r>
          </w:p>
          <w:p w:rsidR="00AA3BFF" w:rsidRPr="00AA142B" w:rsidRDefault="00AA3BFF" w:rsidP="00AA3BFF">
            <w:pPr>
              <w:pStyle w:val="Tablewriting"/>
              <w:rPr>
                <w:rFonts w:eastAsia="MS Mincho"/>
              </w:rPr>
            </w:pPr>
            <w:r w:rsidRPr="00AA142B">
              <w:rPr>
                <w:rFonts w:eastAsia="MS Mincho"/>
              </w:rPr>
              <w:t>N= 1</w:t>
            </w:r>
            <w:r>
              <w:rPr>
                <w:rFonts w:eastAsia="MS Mincho"/>
              </w:rPr>
              <w:t>,</w:t>
            </w:r>
            <w:r w:rsidRPr="00AA142B">
              <w:rPr>
                <w:rFonts w:eastAsia="MS Mincho"/>
              </w:rPr>
              <w:t>198 (1 RCT)</w:t>
            </w:r>
          </w:p>
          <w:p w:rsidR="00AA3BFF" w:rsidRPr="00AA142B" w:rsidRDefault="00AA3BFF" w:rsidP="00AA3BFF">
            <w:pPr>
              <w:pStyle w:val="Tablewriting"/>
              <w:rPr>
                <w:rFonts w:eastAsia="MS Mincho"/>
              </w:rPr>
            </w:pPr>
            <w:r w:rsidRPr="00AA142B">
              <w:rPr>
                <w:rFonts w:eastAsia="MS Mincho"/>
              </w:rPr>
              <w:t>Oral spray (n=597), Placebo (n=601)</w:t>
            </w:r>
          </w:p>
        </w:tc>
        <w:tc>
          <w:tcPr>
            <w:tcW w:w="1990" w:type="pct"/>
            <w:tcMar>
              <w:left w:w="28" w:type="dxa"/>
              <w:right w:w="28" w:type="dxa"/>
            </w:tcMar>
          </w:tcPr>
          <w:p w:rsidR="00AA3BFF" w:rsidRDefault="00AA3BFF" w:rsidP="00AA3BFF">
            <w:pPr>
              <w:pStyle w:val="Tablewriting"/>
              <w:rPr>
                <w:rFonts w:eastAsia="MS Mincho"/>
                <w:u w:val="single"/>
              </w:rPr>
            </w:pPr>
            <w:r w:rsidRPr="007D6C25">
              <w:rPr>
                <w:rFonts w:eastAsia="MS Mincho"/>
                <w:u w:val="single"/>
              </w:rPr>
              <w:t xml:space="preserve">Inclusion: </w:t>
            </w:r>
            <w:r w:rsidRPr="00CC3E90">
              <w:rPr>
                <w:rFonts w:eastAsia="MS Mincho"/>
              </w:rPr>
              <w:t>smokers</w:t>
            </w:r>
            <w:r>
              <w:rPr>
                <w:rFonts w:eastAsia="MS Mincho"/>
              </w:rPr>
              <w:t>,</w:t>
            </w:r>
            <w:r w:rsidRPr="00CC3E90">
              <w:rPr>
                <w:rFonts w:eastAsia="MS Mincho"/>
              </w:rPr>
              <w:t xml:space="preserve"> motivated to quit smoking</w:t>
            </w:r>
            <w:r>
              <w:rPr>
                <w:rFonts w:eastAsia="MS Mincho"/>
              </w:rPr>
              <w:t xml:space="preserve">, </w:t>
            </w:r>
            <w:r>
              <w:rPr>
                <w:rFonts w:eastAsia="MS Mincho" w:cstheme="minorHAnsi"/>
              </w:rPr>
              <w:t>≥</w:t>
            </w:r>
            <w:r w:rsidRPr="00CC3E90">
              <w:rPr>
                <w:rFonts w:eastAsia="MS Mincho"/>
              </w:rPr>
              <w:t xml:space="preserve">18 years </w:t>
            </w:r>
            <w:r>
              <w:rPr>
                <w:rFonts w:eastAsia="MS Mincho"/>
              </w:rPr>
              <w:t>old</w:t>
            </w:r>
            <w:r w:rsidRPr="00CC3E90">
              <w:rPr>
                <w:rFonts w:eastAsia="MS Mincho"/>
              </w:rPr>
              <w:t>, exhaled CO</w:t>
            </w:r>
            <w:r>
              <w:rPr>
                <w:rFonts w:eastAsia="MS Mincho"/>
              </w:rPr>
              <w:t xml:space="preserve"> </w:t>
            </w:r>
            <w:r>
              <w:rPr>
                <w:rFonts w:eastAsia="MS Mincho" w:cstheme="minorHAnsi"/>
              </w:rPr>
              <w:t>≥</w:t>
            </w:r>
            <w:r w:rsidRPr="00CC3E90">
              <w:rPr>
                <w:rFonts w:eastAsia="MS Mincho"/>
              </w:rPr>
              <w:t>10 ppm at baseline,</w:t>
            </w:r>
            <w:r>
              <w:rPr>
                <w:rFonts w:eastAsia="MS Mincho"/>
              </w:rPr>
              <w:t xml:space="preserve"> </w:t>
            </w:r>
            <w:r w:rsidRPr="00CC3E90">
              <w:rPr>
                <w:rFonts w:eastAsia="MS Mincho"/>
              </w:rPr>
              <w:t xml:space="preserve">male or </w:t>
            </w:r>
            <w:r w:rsidR="00B05DCD" w:rsidRPr="00CC3E90">
              <w:rPr>
                <w:rFonts w:eastAsia="MS Mincho"/>
              </w:rPr>
              <w:t>non</w:t>
            </w:r>
            <w:r w:rsidR="00B05DCD">
              <w:rPr>
                <w:rFonts w:eastAsia="MS Mincho"/>
              </w:rPr>
              <w:t>-</w:t>
            </w:r>
            <w:r w:rsidR="00B05DCD" w:rsidRPr="00CC3E90">
              <w:rPr>
                <w:rFonts w:eastAsia="MS Mincho"/>
              </w:rPr>
              <w:t>pregnant</w:t>
            </w:r>
            <w:r w:rsidRPr="00CC3E90">
              <w:rPr>
                <w:rFonts w:eastAsia="MS Mincho"/>
              </w:rPr>
              <w:t xml:space="preserve"> or non</w:t>
            </w:r>
            <w:r w:rsidR="00B05DCD">
              <w:rPr>
                <w:rFonts w:eastAsia="MS Mincho"/>
              </w:rPr>
              <w:t>-</w:t>
            </w:r>
            <w:r w:rsidRPr="00CC3E90">
              <w:rPr>
                <w:rFonts w:eastAsia="MS Mincho"/>
              </w:rPr>
              <w:t>lactating female,</w:t>
            </w:r>
            <w:r>
              <w:rPr>
                <w:rFonts w:eastAsia="MS Mincho"/>
              </w:rPr>
              <w:t xml:space="preserve"> </w:t>
            </w:r>
            <w:r w:rsidRPr="00CC3E90">
              <w:rPr>
                <w:rFonts w:eastAsia="MS Mincho"/>
              </w:rPr>
              <w:t>agree to refrain from the use of cigarettes and other forms of tobacco/nicotine (including nicotine-containing electronic cigarettes), and agree to practice birth control during the 26-week study.</w:t>
            </w:r>
          </w:p>
          <w:p w:rsidR="00AA3BFF" w:rsidRPr="00594748" w:rsidRDefault="00AA3BFF" w:rsidP="00AA3BFF">
            <w:pPr>
              <w:pStyle w:val="Tablewriting"/>
              <w:rPr>
                <w:rFonts w:eastAsia="MS Mincho"/>
              </w:rPr>
            </w:pPr>
            <w:r w:rsidRPr="007D6C25">
              <w:rPr>
                <w:rFonts w:eastAsia="MS Mincho"/>
                <w:u w:val="single"/>
              </w:rPr>
              <w:t>Exclusion:</w:t>
            </w:r>
            <w:r>
              <w:rPr>
                <w:rFonts w:eastAsia="MS Mincho"/>
                <w:u w:val="single"/>
              </w:rPr>
              <w:t xml:space="preserve"> </w:t>
            </w:r>
            <w:r w:rsidRPr="00CC3E90">
              <w:rPr>
                <w:rFonts w:eastAsia="MS Mincho"/>
              </w:rPr>
              <w:t>history of cardiovascular disease, stomach ulcer, or diabetes</w:t>
            </w:r>
            <w:r>
              <w:rPr>
                <w:rFonts w:eastAsia="MS Mincho"/>
              </w:rPr>
              <w:t>;</w:t>
            </w:r>
            <w:r w:rsidRPr="00CC3E90">
              <w:rPr>
                <w:rFonts w:eastAsia="MS Mincho"/>
              </w:rPr>
              <w:t xml:space="preserve"> use of other forms of tobacco or nicotine-containing products other than cigarettes within 30 days before the baseline visit</w:t>
            </w:r>
            <w:r>
              <w:rPr>
                <w:rFonts w:eastAsia="MS Mincho"/>
              </w:rPr>
              <w:t xml:space="preserve">; </w:t>
            </w:r>
            <w:r w:rsidRPr="00CC3E90">
              <w:rPr>
                <w:rFonts w:eastAsia="MS Mincho"/>
              </w:rPr>
              <w:t xml:space="preserve">use of any NRTs, medicinal aids, or nondrug therapies for smoking cessation within 30 days before the baseline visit; those who participated in another clinical study or had used any investigational product within 30 days before the initial baseline visit; suspected alcohol or substance abuse or his- tory of significant psychiatric illness within the previous 12 months; and presence of an </w:t>
            </w:r>
            <w:r w:rsidRPr="00CC3E90">
              <w:rPr>
                <w:rFonts w:eastAsia="MS Mincho"/>
              </w:rPr>
              <w:lastRenderedPageBreak/>
              <w:t>oral lesion found at the baseline visual mouth inspection, requiring further investigation such as biopsy.</w:t>
            </w:r>
          </w:p>
        </w:tc>
        <w:tc>
          <w:tcPr>
            <w:tcW w:w="597" w:type="pct"/>
          </w:tcPr>
          <w:p w:rsidR="00AA3BFF" w:rsidRPr="00192ADF" w:rsidRDefault="00AA3BFF" w:rsidP="00AA3BFF">
            <w:pPr>
              <w:pStyle w:val="Tablewriting"/>
              <w:rPr>
                <w:rFonts w:eastAsia="MS Mincho"/>
              </w:rPr>
            </w:pPr>
            <w:r w:rsidRPr="00192ADF">
              <w:rPr>
                <w:rFonts w:eastAsia="MS Mincho"/>
              </w:rPr>
              <w:lastRenderedPageBreak/>
              <w:t>NRT oral spray</w:t>
            </w:r>
          </w:p>
          <w:p w:rsidR="00AA3BFF" w:rsidRDefault="00AA3BFF" w:rsidP="00AA3BFF">
            <w:pPr>
              <w:pStyle w:val="Tablewriting"/>
              <w:rPr>
                <w:rFonts w:eastAsia="MS Mincho"/>
              </w:rPr>
            </w:pPr>
            <w:r w:rsidRPr="00192ADF">
              <w:rPr>
                <w:rFonts w:eastAsia="MS Mincho"/>
              </w:rPr>
              <w:t>Placebo</w:t>
            </w:r>
          </w:p>
          <w:p w:rsidR="00AA3BFF" w:rsidRDefault="00AA3BFF" w:rsidP="00AA3BFF">
            <w:pPr>
              <w:pStyle w:val="Tablewriting"/>
              <w:rPr>
                <w:rFonts w:eastAsia="MS Mincho"/>
                <w:highlight w:val="yellow"/>
              </w:rPr>
            </w:pPr>
          </w:p>
          <w:p w:rsidR="00AA3BFF" w:rsidRPr="009A3B21" w:rsidRDefault="00AA3BFF" w:rsidP="00AA3BFF">
            <w:pPr>
              <w:pStyle w:val="Tablewriting"/>
              <w:rPr>
                <w:rFonts w:eastAsia="MS Mincho"/>
                <w:highlight w:val="yellow"/>
              </w:rPr>
            </w:pPr>
            <w:r>
              <w:rPr>
                <w:rFonts w:eastAsia="MS Mincho"/>
              </w:rPr>
              <w:t>No b</w:t>
            </w:r>
            <w:r w:rsidRPr="007818BC">
              <w:rPr>
                <w:rFonts w:eastAsia="MS Mincho"/>
              </w:rPr>
              <w:t>ehavioural support</w:t>
            </w:r>
            <w:r>
              <w:rPr>
                <w:rFonts w:eastAsia="MS Mincho"/>
              </w:rPr>
              <w:t xml:space="preserve">, </w:t>
            </w:r>
            <w:r w:rsidRPr="00A352F7">
              <w:rPr>
                <w:rFonts w:eastAsia="MS Mincho"/>
              </w:rPr>
              <w:t>counselling, or encouragement</w:t>
            </w:r>
            <w:r w:rsidRPr="007818BC">
              <w:rPr>
                <w:rFonts w:eastAsia="MS Mincho"/>
              </w:rPr>
              <w:t xml:space="preserve"> provided</w:t>
            </w:r>
            <w:r>
              <w:rPr>
                <w:rFonts w:eastAsia="MS Mincho"/>
              </w:rPr>
              <w:t>.</w:t>
            </w:r>
          </w:p>
        </w:tc>
        <w:tc>
          <w:tcPr>
            <w:tcW w:w="922" w:type="pct"/>
            <w:tcMar>
              <w:left w:w="28" w:type="dxa"/>
              <w:right w:w="28" w:type="dxa"/>
            </w:tcMar>
          </w:tcPr>
          <w:p w:rsidR="00AA3BFF" w:rsidRPr="00FA3FB4" w:rsidRDefault="00AA3BFF" w:rsidP="00AA3BFF">
            <w:pPr>
              <w:pStyle w:val="Tablewriting"/>
              <w:rPr>
                <w:rFonts w:eastAsia="MS Mincho"/>
              </w:rPr>
            </w:pPr>
            <w:r w:rsidRPr="00FA3FB4">
              <w:rPr>
                <w:rFonts w:eastAsia="MS Mincho"/>
                <w:u w:val="single"/>
              </w:rPr>
              <w:t>Primary</w:t>
            </w:r>
            <w:r w:rsidRPr="00FA3FB4">
              <w:rPr>
                <w:rFonts w:eastAsia="MS Mincho"/>
              </w:rPr>
              <w:t>:</w:t>
            </w:r>
            <w:r>
              <w:rPr>
                <w:rFonts w:eastAsia="MS Mincho"/>
              </w:rPr>
              <w:t xml:space="preserve"> CAR at Week 2-12 and Week 2-26</w:t>
            </w:r>
            <w:r w:rsidRPr="0013299B">
              <w:rPr>
                <w:rFonts w:eastAsia="MS Mincho"/>
              </w:rPr>
              <w:t>.</w:t>
            </w:r>
          </w:p>
          <w:p w:rsidR="00AA3BFF" w:rsidRPr="00FA3FB4" w:rsidRDefault="00AA3BFF" w:rsidP="00AA3BFF">
            <w:pPr>
              <w:pStyle w:val="Tablewriting"/>
              <w:rPr>
                <w:rFonts w:eastAsia="MS Mincho"/>
              </w:rPr>
            </w:pPr>
            <w:r>
              <w:rPr>
                <w:rFonts w:eastAsia="MS Mincho"/>
              </w:rPr>
              <w:t>CO-validated (</w:t>
            </w:r>
            <w:r w:rsidRPr="00A0566A">
              <w:rPr>
                <w:rFonts w:eastAsia="MS Mincho"/>
              </w:rPr>
              <w:t>A CO level at least 10 ppm classified the subject as a smoker</w:t>
            </w:r>
            <w:r>
              <w:rPr>
                <w:rFonts w:eastAsia="MS Mincho"/>
              </w:rPr>
              <w:t xml:space="preserve">). </w:t>
            </w:r>
          </w:p>
          <w:p w:rsidR="00AA3BFF" w:rsidRPr="0008319C" w:rsidRDefault="00AA3BFF" w:rsidP="00AA3BFF">
            <w:pPr>
              <w:pStyle w:val="Tablewriting"/>
              <w:rPr>
                <w:rFonts w:eastAsia="MS Mincho"/>
              </w:rPr>
            </w:pPr>
            <w:r w:rsidRPr="0008319C">
              <w:rPr>
                <w:rFonts w:eastAsia="MS Mincho"/>
                <w:u w:val="single"/>
              </w:rPr>
              <w:t>Secondary</w:t>
            </w:r>
            <w:r w:rsidRPr="0008319C">
              <w:rPr>
                <w:rFonts w:eastAsia="MS Mincho"/>
              </w:rPr>
              <w:t xml:space="preserve">: </w:t>
            </w:r>
            <w:r w:rsidRPr="0013299B">
              <w:rPr>
                <w:rFonts w:eastAsia="MS Mincho"/>
              </w:rPr>
              <w:t>number of cigarettes smoked</w:t>
            </w:r>
            <w:r>
              <w:rPr>
                <w:rFonts w:eastAsia="MS Mincho"/>
              </w:rPr>
              <w:t>, c</w:t>
            </w:r>
            <w:r w:rsidRPr="0013299B">
              <w:rPr>
                <w:rFonts w:eastAsia="MS Mincho"/>
              </w:rPr>
              <w:t>raving and withdrawal symptoms</w:t>
            </w:r>
            <w:r>
              <w:rPr>
                <w:rFonts w:eastAsia="MS Mincho"/>
              </w:rPr>
              <w:t xml:space="preserve">. </w:t>
            </w:r>
          </w:p>
          <w:p w:rsidR="00AA3BFF" w:rsidRPr="005308F0" w:rsidRDefault="00AA3BFF" w:rsidP="00AA3BFF">
            <w:pPr>
              <w:pStyle w:val="Tablewriting"/>
              <w:rPr>
                <w:rFonts w:eastAsia="MS Mincho"/>
                <w:highlight w:val="yellow"/>
              </w:rPr>
            </w:pPr>
          </w:p>
        </w:tc>
      </w:tr>
      <w:tr w:rsidR="00AA3BFF" w:rsidRPr="00061F78" w:rsidTr="007231A4">
        <w:trPr>
          <w:trHeight w:val="149"/>
        </w:trPr>
        <w:tc>
          <w:tcPr>
            <w:tcW w:w="5000" w:type="pct"/>
            <w:gridSpan w:val="6"/>
            <w:shd w:val="clear" w:color="auto" w:fill="auto"/>
            <w:tcMar>
              <w:left w:w="28" w:type="dxa"/>
              <w:right w:w="28" w:type="dxa"/>
            </w:tcMar>
          </w:tcPr>
          <w:p w:rsidR="00AA3BFF" w:rsidRPr="00AA3BFF" w:rsidRDefault="00AA3BFF" w:rsidP="00AA3BFF">
            <w:pPr>
              <w:pStyle w:val="Tablewriting"/>
              <w:rPr>
                <w:rFonts w:eastAsia="MS Mincho"/>
                <w:b/>
                <w:bCs/>
                <w:u w:val="single"/>
              </w:rPr>
            </w:pPr>
            <w:r w:rsidRPr="00AA3BFF">
              <w:rPr>
                <w:rFonts w:eastAsia="MS Mincho"/>
                <w:b/>
                <w:bCs/>
              </w:rPr>
              <w:t>Inhalator + patch</w:t>
            </w:r>
          </w:p>
        </w:tc>
      </w:tr>
      <w:tr w:rsidR="00AA3BFF" w:rsidRPr="00061F78" w:rsidTr="00CB3AFC">
        <w:trPr>
          <w:trHeight w:val="149"/>
        </w:trPr>
        <w:tc>
          <w:tcPr>
            <w:tcW w:w="330" w:type="pct"/>
            <w:tcMar>
              <w:left w:w="28" w:type="dxa"/>
              <w:right w:w="28" w:type="dxa"/>
            </w:tcMar>
          </w:tcPr>
          <w:p w:rsidR="00AA3BFF" w:rsidRDefault="00AA3BFF" w:rsidP="00AA3BFF">
            <w:pPr>
              <w:pStyle w:val="Tablewriting"/>
            </w:pPr>
            <w:r w:rsidRPr="004110FF">
              <w:t xml:space="preserve">Hartmann-Boyce </w:t>
            </w:r>
            <w:r>
              <w:t>(</w:t>
            </w:r>
            <w:r w:rsidRPr="004110FF">
              <w:t>2018</w:t>
            </w:r>
            <w:r>
              <w:t>)</w:t>
            </w:r>
          </w:p>
        </w:tc>
        <w:tc>
          <w:tcPr>
            <w:tcW w:w="347" w:type="pct"/>
          </w:tcPr>
          <w:p w:rsidR="00AA3BFF" w:rsidRPr="002F0CA7" w:rsidRDefault="00AA3BFF" w:rsidP="00AA3BFF">
            <w:pPr>
              <w:pStyle w:val="Tablewriting"/>
              <w:rPr>
                <w:rFonts w:eastAsia="MS Mincho"/>
              </w:rPr>
            </w:pPr>
            <w:r w:rsidRPr="002F0CA7">
              <w:rPr>
                <w:rFonts w:eastAsia="MS Mincho"/>
              </w:rPr>
              <w:t xml:space="preserve">Cochrane Review </w:t>
            </w:r>
          </w:p>
          <w:p w:rsidR="00AA3BFF" w:rsidRPr="00D65A3E" w:rsidRDefault="00AA3BFF" w:rsidP="00AA3BFF">
            <w:pPr>
              <w:pStyle w:val="Tablewriting"/>
              <w:rPr>
                <w:rFonts w:eastAsia="MS Mincho"/>
                <w:highlight w:val="yellow"/>
              </w:rPr>
            </w:pPr>
            <w:r w:rsidRPr="002F0CA7">
              <w:rPr>
                <w:rFonts w:eastAsia="MS Mincho"/>
              </w:rPr>
              <w:t>(</w:t>
            </w:r>
            <w:r>
              <w:rPr>
                <w:rFonts w:eastAsia="MS Mincho"/>
              </w:rPr>
              <w:t xml:space="preserve">1 </w:t>
            </w:r>
            <w:r w:rsidRPr="002F0CA7">
              <w:rPr>
                <w:rFonts w:eastAsia="MS Mincho"/>
              </w:rPr>
              <w:t>RCTs</w:t>
            </w:r>
            <w:r w:rsidRPr="002F0CA7">
              <w:rPr>
                <w:rFonts w:eastAsia="MS Mincho"/>
                <w:vertAlign w:val="superscript"/>
              </w:rPr>
              <w:t>2</w:t>
            </w:r>
            <w:r w:rsidRPr="002F0CA7">
              <w:rPr>
                <w:rFonts w:eastAsia="MS Mincho"/>
              </w:rPr>
              <w:t>)</w:t>
            </w:r>
          </w:p>
        </w:tc>
        <w:tc>
          <w:tcPr>
            <w:tcW w:w="814" w:type="pct"/>
            <w:tcMar>
              <w:left w:w="28" w:type="dxa"/>
              <w:right w:w="28" w:type="dxa"/>
            </w:tcMar>
          </w:tcPr>
          <w:p w:rsidR="00AA3BFF" w:rsidRDefault="00AA3BFF" w:rsidP="00AA3BFF">
            <w:pPr>
              <w:pStyle w:val="Tablewriting"/>
              <w:rPr>
                <w:rFonts w:eastAsia="MS Mincho"/>
              </w:rPr>
            </w:pPr>
            <w:r w:rsidRPr="00662E6F">
              <w:rPr>
                <w:rFonts w:eastAsia="MS Mincho"/>
                <w:u w:val="single"/>
              </w:rPr>
              <w:t>Inhalator +</w:t>
            </w:r>
            <w:r>
              <w:rPr>
                <w:rFonts w:eastAsia="MS Mincho"/>
                <w:u w:val="single"/>
              </w:rPr>
              <w:t xml:space="preserve"> </w:t>
            </w:r>
            <w:r w:rsidRPr="00662E6F">
              <w:rPr>
                <w:rFonts w:eastAsia="MS Mincho"/>
                <w:u w:val="single"/>
              </w:rPr>
              <w:t>patch</w:t>
            </w:r>
            <w:r>
              <w:rPr>
                <w:rFonts w:eastAsia="MS Mincho"/>
                <w:u w:val="single"/>
              </w:rPr>
              <w:t xml:space="preserve"> </w:t>
            </w:r>
            <w:r w:rsidRPr="00662E6F">
              <w:rPr>
                <w:rFonts w:eastAsia="MS Mincho"/>
                <w:u w:val="single"/>
              </w:rPr>
              <w:t>versus placebo</w:t>
            </w:r>
          </w:p>
          <w:p w:rsidR="00AA3BFF" w:rsidRPr="002F0CA7" w:rsidRDefault="00AA3BFF" w:rsidP="00AA3BFF">
            <w:pPr>
              <w:pStyle w:val="Tablewriting"/>
              <w:rPr>
                <w:rFonts w:eastAsia="MS Mincho"/>
              </w:rPr>
            </w:pPr>
            <w:r w:rsidRPr="002F0CA7">
              <w:rPr>
                <w:rFonts w:eastAsia="MS Mincho"/>
              </w:rPr>
              <w:t xml:space="preserve">N= </w:t>
            </w:r>
            <w:r>
              <w:rPr>
                <w:rFonts w:eastAsia="MS Mincho"/>
              </w:rPr>
              <w:t xml:space="preserve">245 </w:t>
            </w:r>
            <w:r w:rsidRPr="002F0CA7">
              <w:rPr>
                <w:rFonts w:eastAsia="MS Mincho"/>
              </w:rPr>
              <w:t>(</w:t>
            </w:r>
            <w:r>
              <w:rPr>
                <w:rFonts w:eastAsia="MS Mincho"/>
              </w:rPr>
              <w:t xml:space="preserve">1 </w:t>
            </w:r>
            <w:r w:rsidRPr="002F0CA7">
              <w:rPr>
                <w:rFonts w:eastAsia="MS Mincho"/>
              </w:rPr>
              <w:t>RCT)</w:t>
            </w:r>
          </w:p>
          <w:p w:rsidR="00AA3BFF" w:rsidRDefault="00AA3BFF" w:rsidP="00AA3BFF">
            <w:pPr>
              <w:pStyle w:val="Tablewriting"/>
              <w:rPr>
                <w:rFonts w:eastAsia="MS Mincho"/>
              </w:rPr>
            </w:pPr>
            <w:r w:rsidRPr="002F3280">
              <w:rPr>
                <w:rFonts w:eastAsia="MS Mincho"/>
              </w:rPr>
              <w:t>Combination NRT</w:t>
            </w:r>
            <w:r>
              <w:rPr>
                <w:rFonts w:eastAsia="MS Mincho"/>
              </w:rPr>
              <w:t xml:space="preserve"> </w:t>
            </w:r>
            <w:r w:rsidRPr="002F0CA7">
              <w:rPr>
                <w:rFonts w:eastAsia="MS Mincho"/>
              </w:rPr>
              <w:t>(n=</w:t>
            </w:r>
            <w:r>
              <w:rPr>
                <w:rFonts w:eastAsia="MS Mincho"/>
              </w:rPr>
              <w:t>136</w:t>
            </w:r>
            <w:r w:rsidRPr="002F0CA7">
              <w:rPr>
                <w:rFonts w:eastAsia="MS Mincho"/>
              </w:rPr>
              <w:t>),</w:t>
            </w:r>
            <w:r>
              <w:rPr>
                <w:rFonts w:eastAsia="MS Mincho"/>
              </w:rPr>
              <w:t xml:space="preserve"> </w:t>
            </w:r>
          </w:p>
          <w:p w:rsidR="00AA3BFF" w:rsidRPr="007D6C25" w:rsidRDefault="00AA3BFF" w:rsidP="00AA3BFF">
            <w:pPr>
              <w:pStyle w:val="Tablewriting"/>
              <w:rPr>
                <w:rFonts w:eastAsia="MS Mincho"/>
                <w:u w:val="single"/>
              </w:rPr>
            </w:pPr>
            <w:r>
              <w:rPr>
                <w:rFonts w:eastAsia="MS Mincho"/>
              </w:rPr>
              <w:t xml:space="preserve">Placebo </w:t>
            </w:r>
            <w:r w:rsidRPr="002F0CA7">
              <w:rPr>
                <w:rFonts w:eastAsia="MS Mincho"/>
              </w:rPr>
              <w:t>(n=</w:t>
            </w:r>
            <w:r>
              <w:rPr>
                <w:rFonts w:eastAsia="MS Mincho"/>
              </w:rPr>
              <w:t>109</w:t>
            </w:r>
            <w:r w:rsidRPr="002F0CA7">
              <w:rPr>
                <w:rFonts w:eastAsia="MS Mincho"/>
              </w:rPr>
              <w:t>)</w:t>
            </w:r>
          </w:p>
        </w:tc>
        <w:tc>
          <w:tcPr>
            <w:tcW w:w="1990" w:type="pct"/>
            <w:tcMar>
              <w:left w:w="28" w:type="dxa"/>
              <w:right w:w="28" w:type="dxa"/>
            </w:tcMar>
          </w:tcPr>
          <w:p w:rsidR="00AA3BFF" w:rsidRDefault="00AA3BFF" w:rsidP="00AA3BFF">
            <w:pPr>
              <w:pStyle w:val="Tablewriting"/>
              <w:rPr>
                <w:rFonts w:eastAsia="MS Mincho"/>
              </w:rPr>
            </w:pPr>
            <w:r w:rsidRPr="002C19B4">
              <w:rPr>
                <w:rFonts w:eastAsia="MS Mincho"/>
                <w:u w:val="single"/>
              </w:rPr>
              <w:t>Inclusion</w:t>
            </w:r>
            <w:r>
              <w:rPr>
                <w:rFonts w:eastAsia="MS Mincho"/>
              </w:rPr>
              <w:t xml:space="preserve">: </w:t>
            </w:r>
            <w:r w:rsidRPr="007B7C66">
              <w:rPr>
                <w:rFonts w:eastAsia="MS Mincho"/>
              </w:rPr>
              <w:t>men or women who smoked and were motivated to</w:t>
            </w:r>
            <w:r>
              <w:rPr>
                <w:rFonts w:eastAsia="MS Mincho"/>
              </w:rPr>
              <w:t xml:space="preserve"> </w:t>
            </w:r>
            <w:r w:rsidRPr="007B7C66">
              <w:rPr>
                <w:rFonts w:eastAsia="MS Mincho"/>
              </w:rPr>
              <w:t>quit, irrespective of the setting from which they were recruited</w:t>
            </w:r>
            <w:r>
              <w:rPr>
                <w:rFonts w:eastAsia="MS Mincho"/>
              </w:rPr>
              <w:t xml:space="preserve"> </w:t>
            </w:r>
            <w:r w:rsidRPr="007B7C66">
              <w:rPr>
                <w:rFonts w:eastAsia="MS Mincho"/>
              </w:rPr>
              <w:t>or their initial level of nicotine dependence, or both</w:t>
            </w:r>
            <w:r>
              <w:rPr>
                <w:rFonts w:eastAsia="MS Mincho"/>
              </w:rPr>
              <w:t>.</w:t>
            </w:r>
          </w:p>
          <w:p w:rsidR="00AA3BFF" w:rsidRPr="007D6C25" w:rsidRDefault="00AA3BFF" w:rsidP="00AA3BFF">
            <w:pPr>
              <w:pStyle w:val="Tablewriting"/>
              <w:rPr>
                <w:rFonts w:eastAsia="MS Mincho"/>
                <w:u w:val="single"/>
              </w:rPr>
            </w:pPr>
            <w:r w:rsidRPr="002C19B4">
              <w:rPr>
                <w:rFonts w:eastAsia="MS Mincho"/>
                <w:u w:val="single"/>
              </w:rPr>
              <w:t>Exclusion</w:t>
            </w:r>
            <w:r>
              <w:rPr>
                <w:rFonts w:eastAsia="MS Mincho"/>
              </w:rPr>
              <w:t xml:space="preserve">: trials that </w:t>
            </w:r>
            <w:r w:rsidRPr="00D8489B">
              <w:rPr>
                <w:rFonts w:eastAsia="MS Mincho"/>
              </w:rPr>
              <w:t>randomi</w:t>
            </w:r>
            <w:r>
              <w:rPr>
                <w:rFonts w:eastAsia="MS Mincho"/>
              </w:rPr>
              <w:t>s</w:t>
            </w:r>
            <w:r w:rsidRPr="00D8489B">
              <w:rPr>
                <w:rFonts w:eastAsia="MS Mincho"/>
              </w:rPr>
              <w:t>ed physicians or other therapists to</w:t>
            </w:r>
            <w:r>
              <w:rPr>
                <w:rFonts w:eastAsia="MS Mincho"/>
              </w:rPr>
              <w:t xml:space="preserve"> </w:t>
            </w:r>
            <w:r w:rsidRPr="00D8489B">
              <w:rPr>
                <w:rFonts w:eastAsia="MS Mincho"/>
              </w:rPr>
              <w:t>receive an educational intervention, which included encouraging</w:t>
            </w:r>
            <w:r>
              <w:rPr>
                <w:rFonts w:eastAsia="MS Mincho"/>
              </w:rPr>
              <w:t xml:space="preserve"> </w:t>
            </w:r>
            <w:r w:rsidRPr="00D8489B">
              <w:rPr>
                <w:rFonts w:eastAsia="MS Mincho"/>
              </w:rPr>
              <w:t>their patients to use NRT</w:t>
            </w:r>
            <w:r w:rsidR="00ED0CBA">
              <w:rPr>
                <w:rFonts w:eastAsia="MS Mincho"/>
              </w:rPr>
              <w:t>.</w:t>
            </w:r>
          </w:p>
        </w:tc>
        <w:tc>
          <w:tcPr>
            <w:tcW w:w="597" w:type="pct"/>
          </w:tcPr>
          <w:p w:rsidR="00AA3BFF" w:rsidRDefault="00AA3BFF" w:rsidP="00AA3BFF">
            <w:pPr>
              <w:pStyle w:val="Tablewriting"/>
              <w:rPr>
                <w:rFonts w:eastAsia="MS Mincho"/>
              </w:rPr>
            </w:pPr>
            <w:r>
              <w:rPr>
                <w:rFonts w:eastAsia="MS Mincho"/>
              </w:rPr>
              <w:t>NRT i</w:t>
            </w:r>
            <w:r w:rsidRPr="00CA2819">
              <w:rPr>
                <w:rFonts w:eastAsia="MS Mincho"/>
              </w:rPr>
              <w:t>nhalator + patch</w:t>
            </w:r>
          </w:p>
          <w:p w:rsidR="00AA3BFF" w:rsidRPr="009A3B21" w:rsidRDefault="00AA3BFF" w:rsidP="00AA3BFF">
            <w:pPr>
              <w:pStyle w:val="Tablewriting"/>
              <w:rPr>
                <w:rFonts w:eastAsia="MS Mincho"/>
                <w:highlight w:val="yellow"/>
              </w:rPr>
            </w:pPr>
            <w:r>
              <w:rPr>
                <w:rFonts w:eastAsia="MS Mincho"/>
              </w:rPr>
              <w:t>P</w:t>
            </w:r>
            <w:r w:rsidRPr="00CA2819">
              <w:rPr>
                <w:rFonts w:eastAsia="MS Mincho"/>
              </w:rPr>
              <w:t>lacebo</w:t>
            </w:r>
          </w:p>
        </w:tc>
        <w:tc>
          <w:tcPr>
            <w:tcW w:w="922" w:type="pct"/>
            <w:tcMar>
              <w:left w:w="28" w:type="dxa"/>
              <w:right w:w="28" w:type="dxa"/>
            </w:tcMar>
          </w:tcPr>
          <w:p w:rsidR="00AA3BFF" w:rsidRDefault="00AA3BFF" w:rsidP="00AA3BFF">
            <w:pPr>
              <w:pStyle w:val="Tablewriting"/>
              <w:rPr>
                <w:rFonts w:eastAsia="MS Mincho"/>
              </w:rPr>
            </w:pPr>
            <w:r w:rsidRPr="006E7EED">
              <w:rPr>
                <w:rFonts w:eastAsia="MS Mincho"/>
                <w:u w:val="single"/>
              </w:rPr>
              <w:t>Primary</w:t>
            </w:r>
            <w:r w:rsidRPr="006E7EED">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Pr>
                <w:rFonts w:eastAsia="MS Mincho"/>
              </w:rPr>
              <w:t>.</w:t>
            </w:r>
          </w:p>
          <w:p w:rsidR="00AA3BFF" w:rsidRPr="00FA3FB4" w:rsidRDefault="00AA3BFF" w:rsidP="00AA3BFF">
            <w:pPr>
              <w:pStyle w:val="Tablewriting"/>
              <w:rPr>
                <w:rFonts w:eastAsia="MS Mincho"/>
                <w:u w:val="single"/>
              </w:rPr>
            </w:pPr>
            <w:r w:rsidRPr="009D1F96">
              <w:rPr>
                <w:rFonts w:eastAsia="MS Mincho"/>
                <w:u w:val="single"/>
              </w:rPr>
              <w:t>Secondary</w:t>
            </w:r>
            <w:r w:rsidRPr="009D1F96">
              <w:rPr>
                <w:rFonts w:eastAsia="MS Mincho"/>
              </w:rPr>
              <w:t xml:space="preserve">: </w:t>
            </w:r>
            <w:r w:rsidRPr="00216D52">
              <w:rPr>
                <w:rFonts w:eastAsia="MS Mincho"/>
              </w:rPr>
              <w:t>NR</w:t>
            </w:r>
            <w:r w:rsidR="00ED0CBA">
              <w:rPr>
                <w:rFonts w:eastAsia="MS Mincho"/>
              </w:rPr>
              <w:t>.</w:t>
            </w:r>
          </w:p>
        </w:tc>
      </w:tr>
    </w:tbl>
    <w:p w:rsidR="00F523E8" w:rsidRPr="00EF44FE" w:rsidRDefault="00F523E8" w:rsidP="00F523E8">
      <w:pPr>
        <w:pStyle w:val="TableFooter"/>
        <w:keepNext/>
        <w:rPr>
          <w:i/>
        </w:rPr>
      </w:pPr>
      <w:r w:rsidRPr="00EF44FE">
        <w:t xml:space="preserve">Abbreviations: </w:t>
      </w:r>
      <w:r w:rsidR="002F0609">
        <w:t xml:space="preserve">CAR = continuous abstinence rate; </w:t>
      </w:r>
      <w:r w:rsidR="00785E3C">
        <w:t xml:space="preserve">CO = carbon monoxide; </w:t>
      </w:r>
      <w:r w:rsidRPr="00EF44FE">
        <w:t xml:space="preserve">NRT = nicotine replacement therapy; N/A = not applicable; RCT = randomised controlled trial </w:t>
      </w:r>
    </w:p>
    <w:p w:rsidR="00F523E8" w:rsidRPr="00EF44FE" w:rsidRDefault="00F523E8" w:rsidP="00F523E8">
      <w:pPr>
        <w:pStyle w:val="TableFooter"/>
        <w:keepNext/>
      </w:pPr>
      <w:r w:rsidRPr="00EF44FE">
        <w:t xml:space="preserve">Notes: </w:t>
      </w:r>
    </w:p>
    <w:p w:rsidR="00F523E8" w:rsidRPr="00EF44FE" w:rsidRDefault="00F523E8" w:rsidP="00F523E8">
      <w:pPr>
        <w:pStyle w:val="TableFooter"/>
        <w:keepNext/>
      </w:pPr>
      <w:r w:rsidRPr="00EF44FE">
        <w:t>1 Only the number of patients (n) in the relevant arms were included</w:t>
      </w:r>
      <w:r w:rsidR="00ED0CBA">
        <w:t>.</w:t>
      </w:r>
      <w:r w:rsidRPr="00EF44FE">
        <w:t xml:space="preserve"> </w:t>
      </w:r>
    </w:p>
    <w:p w:rsidR="00F523E8" w:rsidRPr="00EF44FE" w:rsidRDefault="00F523E8" w:rsidP="00F523E8">
      <w:pPr>
        <w:pStyle w:val="TableFooter"/>
        <w:keepNext/>
      </w:pPr>
      <w:r w:rsidRPr="00EF44FE">
        <w:t xml:space="preserve">2 The characteristics of the individual studies included in Hartmann-Boyce et al. (2018) are presented in </w:t>
      </w:r>
      <w:r w:rsidR="003C4A1C">
        <w:t xml:space="preserve">Table </w:t>
      </w:r>
      <w:r w:rsidR="003C4A1C">
        <w:rPr>
          <w:noProof/>
        </w:rPr>
        <w:t>164</w:t>
      </w:r>
      <w:r w:rsidRPr="00EF44FE">
        <w:t xml:space="preserve"> in the Appendix</w:t>
      </w:r>
    </w:p>
    <w:p w:rsidR="00F523E8" w:rsidRPr="00EF44FE" w:rsidRDefault="00F523E8" w:rsidP="00F523E8">
      <w:pPr>
        <w:pStyle w:val="TableFooter"/>
        <w:keepNext/>
      </w:pPr>
      <w:r w:rsidRPr="00EF44FE">
        <w:t xml:space="preserve">3 The characteristics of the individual studies included in Lindson et al. (2019) are presented in </w:t>
      </w:r>
      <w:r w:rsidR="003C4A1C">
        <w:t xml:space="preserve">Table </w:t>
      </w:r>
      <w:r w:rsidR="003C4A1C">
        <w:rPr>
          <w:noProof/>
        </w:rPr>
        <w:t>164</w:t>
      </w:r>
      <w:r w:rsidRPr="00EF44FE">
        <w:t xml:space="preserve"> in the Appendix.</w:t>
      </w:r>
    </w:p>
    <w:p w:rsidR="00F523E8" w:rsidRDefault="00F523E8" w:rsidP="00F523E8">
      <w:pPr>
        <w:pStyle w:val="TableFooter"/>
        <w:keepNext/>
      </w:pPr>
      <w:r w:rsidRPr="009E4299">
        <w:t xml:space="preserve">4 </w:t>
      </w:r>
      <w:r w:rsidR="00701219" w:rsidRPr="00701219">
        <w:t>In Nides et al. (2020), the concealment of the allocation sequence was not reported.</w:t>
      </w:r>
    </w:p>
    <w:p w:rsidR="00E11ADF" w:rsidRDefault="00E11ADF" w:rsidP="00F523E8">
      <w:pPr>
        <w:pStyle w:val="TableFooter"/>
        <w:keepNext/>
        <w:sectPr w:rsidR="00E11ADF" w:rsidSect="00E45F0E">
          <w:pgSz w:w="16838" w:h="11906" w:orient="landscape"/>
          <w:pgMar w:top="1440" w:right="1440" w:bottom="1440" w:left="1440" w:header="708" w:footer="708" w:gutter="0"/>
          <w:cols w:space="708"/>
          <w:titlePg/>
          <w:docGrid w:linePitch="360"/>
        </w:sectPr>
      </w:pPr>
    </w:p>
    <w:p w:rsidR="00F523E8" w:rsidRDefault="00F523E8" w:rsidP="00D02475">
      <w:pPr>
        <w:pStyle w:val="Heading5"/>
        <w:numPr>
          <w:ilvl w:val="0"/>
          <w:numId w:val="0"/>
        </w:numPr>
        <w:rPr>
          <w:i w:val="0"/>
        </w:rPr>
      </w:pPr>
      <w:r w:rsidRPr="008657EE">
        <w:lastRenderedPageBreak/>
        <w:t>Inhalator</w:t>
      </w:r>
      <w:r>
        <w:t>/inhaler</w:t>
      </w:r>
    </w:p>
    <w:p w:rsidR="004D63D8" w:rsidRPr="004D63D8" w:rsidRDefault="004D63D8" w:rsidP="004D63D8">
      <w:pPr>
        <w:rPr>
          <w:u w:val="single"/>
        </w:rPr>
      </w:pPr>
      <w:r w:rsidRPr="004D63D8">
        <w:rPr>
          <w:u w:val="single"/>
        </w:rPr>
        <w:t>Efficacy</w:t>
      </w:r>
    </w:p>
    <w:p w:rsidR="005A5B85" w:rsidRDefault="00F523E8" w:rsidP="00F523E8">
      <w:pPr>
        <w:jc w:val="both"/>
      </w:pPr>
      <w:r w:rsidRPr="00F136E9">
        <w:t>A summary of smoking cessation rates</w:t>
      </w:r>
      <w:r>
        <w:t xml:space="preserve"> </w:t>
      </w:r>
      <w:r w:rsidRPr="00F136E9">
        <w:t>f</w:t>
      </w:r>
      <w:r w:rsidR="00BC68E9">
        <w:t>or</w:t>
      </w:r>
      <w:r w:rsidRPr="00F136E9">
        <w:t xml:space="preserve"> at least six months follow-up</w:t>
      </w:r>
      <w:r>
        <w:t xml:space="preserve"> for the comparison of NRT inhalator versus placebo as well as inhaler </w:t>
      </w:r>
      <w:r w:rsidR="005163BE">
        <w:t xml:space="preserve">versus </w:t>
      </w:r>
      <w:r w:rsidR="00573F59">
        <w:t>patches</w:t>
      </w:r>
      <w:r>
        <w:t xml:space="preserve"> </w:t>
      </w:r>
      <w:r w:rsidRPr="00F136E9">
        <w:t xml:space="preserve">is </w:t>
      </w:r>
      <w:r w:rsidRPr="00D844A5">
        <w:t xml:space="preserve">presented in </w:t>
      </w:r>
      <w:r w:rsidR="003C4A1C">
        <w:t xml:space="preserve">Table </w:t>
      </w:r>
      <w:r w:rsidR="003C4A1C">
        <w:rPr>
          <w:noProof/>
        </w:rPr>
        <w:t>105</w:t>
      </w:r>
      <w:r w:rsidR="00D844A5" w:rsidRPr="00D844A5">
        <w:t xml:space="preserve"> and </w:t>
      </w:r>
      <w:r w:rsidR="003C4A1C">
        <w:t xml:space="preserve">Table </w:t>
      </w:r>
      <w:r w:rsidR="003C4A1C">
        <w:rPr>
          <w:noProof/>
        </w:rPr>
        <w:t>106</w:t>
      </w:r>
      <w:r w:rsidRPr="00D844A5">
        <w:t>.</w:t>
      </w:r>
      <w:r w:rsidRPr="00657867">
        <w:t xml:space="preserve"> </w:t>
      </w:r>
      <w:r w:rsidR="00D60F46">
        <w:t>Based on the Cochrane Review</w:t>
      </w:r>
      <w:r>
        <w:t xml:space="preserve"> by </w:t>
      </w:r>
      <w:r w:rsidRPr="00933815">
        <w:t xml:space="preserve">Hartmann-Boyce et al. </w:t>
      </w:r>
      <w:r w:rsidR="00D60F46">
        <w:t>(</w:t>
      </w:r>
      <w:r w:rsidRPr="00933815">
        <w:t>2018</w:t>
      </w:r>
      <w:r w:rsidR="00D60F46">
        <w:t>), the results of the meta-analysis comprising four RCTs demonstrated</w:t>
      </w:r>
      <w:r w:rsidDel="004177B5">
        <w:t xml:space="preserve"> </w:t>
      </w:r>
      <w:r w:rsidR="004177B5">
        <w:t>a</w:t>
      </w:r>
      <w:r w:rsidRPr="00657867">
        <w:t xml:space="preserve"> </w:t>
      </w:r>
      <w:r w:rsidRPr="006138C2">
        <w:t>statistically significant di</w:t>
      </w:r>
      <w:r>
        <w:t>ff</w:t>
      </w:r>
      <w:r w:rsidRPr="006138C2">
        <w:t xml:space="preserve">erence </w:t>
      </w:r>
      <w:r>
        <w:t xml:space="preserve">in </w:t>
      </w:r>
      <w:r w:rsidR="004177B5">
        <w:t>smoking cessation rates between the two treatment arms,</w:t>
      </w:r>
      <w:r>
        <w:t xml:space="preserve"> in favour of NRT inhalator. </w:t>
      </w:r>
      <w:r w:rsidR="004177B5">
        <w:t xml:space="preserve">The results of the updated re-analysis </w:t>
      </w:r>
      <w:r w:rsidR="00534723">
        <w:t xml:space="preserve">were no longer statistically significant after </w:t>
      </w:r>
      <w:r w:rsidR="00B679BC">
        <w:t>includ</w:t>
      </w:r>
      <w:r w:rsidR="00534723">
        <w:t>ing</w:t>
      </w:r>
      <w:r w:rsidR="00B679BC">
        <w:t xml:space="preserve"> </w:t>
      </w:r>
      <w:r w:rsidR="00534723">
        <w:t xml:space="preserve">the results from </w:t>
      </w:r>
      <w:r w:rsidR="00B679BC">
        <w:t>Oncken et al. (2019)</w:t>
      </w:r>
      <w:r w:rsidR="00DA35B1">
        <w:t xml:space="preserve"> (RR: </w:t>
      </w:r>
      <w:r w:rsidR="008D3721">
        <w:t>1.57; 95% CI: 0.97, 2.54)</w:t>
      </w:r>
      <w:r w:rsidR="00534723">
        <w:t>.</w:t>
      </w:r>
      <w:r w:rsidR="00B679BC">
        <w:t xml:space="preserve"> </w:t>
      </w:r>
    </w:p>
    <w:p w:rsidR="00F523E8" w:rsidRPr="0032214C" w:rsidRDefault="00534723" w:rsidP="00F523E8">
      <w:pPr>
        <w:jc w:val="both"/>
      </w:pPr>
      <w:r>
        <w:t>Based on the Cochrane Review by</w:t>
      </w:r>
      <w:r w:rsidR="00F523E8" w:rsidDel="00534723">
        <w:t xml:space="preserve"> </w:t>
      </w:r>
      <w:r w:rsidR="00F523E8">
        <w:t xml:space="preserve">Lindson et al. </w:t>
      </w:r>
      <w:r>
        <w:t>(</w:t>
      </w:r>
      <w:r w:rsidR="00F523E8">
        <w:t>2019</w:t>
      </w:r>
      <w:r>
        <w:t xml:space="preserve">), the </w:t>
      </w:r>
      <w:r w:rsidR="00DA35B1">
        <w:t>results</w:t>
      </w:r>
      <w:r w:rsidR="00F523E8">
        <w:t xml:space="preserve"> demonstrated no statistically significant difference </w:t>
      </w:r>
      <w:r w:rsidR="00DA35B1">
        <w:t xml:space="preserve">in smoking cessation rates between </w:t>
      </w:r>
      <w:r w:rsidR="00F523E8">
        <w:t>NRT inhal</w:t>
      </w:r>
      <w:r w:rsidR="005570D3">
        <w:t>ator</w:t>
      </w:r>
      <w:r w:rsidR="00F523E8">
        <w:t xml:space="preserve"> </w:t>
      </w:r>
      <w:r w:rsidR="00DA35B1">
        <w:t>and</w:t>
      </w:r>
      <w:r w:rsidR="00F523E8">
        <w:t xml:space="preserve"> </w:t>
      </w:r>
      <w:r w:rsidR="00573F59">
        <w:t>patches</w:t>
      </w:r>
      <w:r w:rsidR="00F523E8">
        <w:t>.</w:t>
      </w:r>
    </w:p>
    <w:p w:rsidR="001735FE" w:rsidRDefault="001735FE" w:rsidP="001735FE">
      <w:pPr>
        <w:pStyle w:val="Caption"/>
        <w:keepNext/>
      </w:pPr>
      <w:bookmarkStart w:id="215" w:name="_Ref60846746"/>
      <w:r>
        <w:t xml:space="preserve">Table </w:t>
      </w:r>
      <w:r w:rsidR="003C4A1C">
        <w:rPr>
          <w:noProof/>
        </w:rPr>
        <w:t>105</w:t>
      </w:r>
      <w:bookmarkEnd w:id="215"/>
      <w:r>
        <w:t xml:space="preserve">: </w:t>
      </w:r>
      <w:r w:rsidRPr="00F66C01">
        <w:t>Results of smoking cessation f</w:t>
      </w:r>
      <w:r w:rsidR="00BC68E9">
        <w:t>or</w:t>
      </w:r>
      <w:r w:rsidRPr="00F66C01">
        <w:t xml:space="preserve"> at least six months follow-up, inhalator versus placebo</w:t>
      </w:r>
    </w:p>
    <w:tbl>
      <w:tblPr>
        <w:tblStyle w:val="TableGrid"/>
        <w:tblW w:w="5000" w:type="pct"/>
        <w:tblLook w:val="04A0" w:firstRow="1" w:lastRow="0" w:firstColumn="1" w:lastColumn="0" w:noHBand="0" w:noVBand="1"/>
        <w:tblCaption w:val="Efficacy results of adalimumab trials (PASI 75 and DLQI)"/>
      </w:tblPr>
      <w:tblGrid>
        <w:gridCol w:w="1554"/>
        <w:gridCol w:w="1702"/>
        <w:gridCol w:w="1275"/>
        <w:gridCol w:w="1488"/>
        <w:gridCol w:w="1535"/>
        <w:gridCol w:w="1462"/>
      </w:tblGrid>
      <w:tr w:rsidR="00F523E8" w:rsidRPr="00061F78" w:rsidTr="004E20D5">
        <w:trPr>
          <w:cantSplit/>
          <w:trHeight w:val="299"/>
          <w:tblHeader/>
        </w:trPr>
        <w:tc>
          <w:tcPr>
            <w:tcW w:w="862" w:type="pct"/>
            <w:shd w:val="clear" w:color="auto" w:fill="BFBFBF" w:themeFill="background1" w:themeFillShade="BF"/>
            <w:tcMar>
              <w:left w:w="28" w:type="dxa"/>
              <w:right w:w="28" w:type="dxa"/>
            </w:tcMar>
          </w:tcPr>
          <w:p w:rsidR="00F523E8" w:rsidRPr="00061F78" w:rsidRDefault="00F523E8" w:rsidP="00A5263B">
            <w:pPr>
              <w:pStyle w:val="Tableheading"/>
              <w:keepNext/>
              <w:rPr>
                <w:rFonts w:eastAsia="MS Mincho"/>
              </w:rPr>
            </w:pPr>
            <w:r>
              <w:rPr>
                <w:rFonts w:eastAsia="MS Mincho"/>
              </w:rPr>
              <w:t>Study</w:t>
            </w:r>
          </w:p>
        </w:tc>
        <w:tc>
          <w:tcPr>
            <w:tcW w:w="944" w:type="pct"/>
            <w:shd w:val="clear" w:color="auto" w:fill="BFBFBF" w:themeFill="background1" w:themeFillShade="BF"/>
            <w:vAlign w:val="center"/>
          </w:tcPr>
          <w:p w:rsidR="00F523E8" w:rsidRDefault="00F523E8" w:rsidP="00A5263B">
            <w:pPr>
              <w:pStyle w:val="Tableheading"/>
              <w:keepNext/>
              <w:jc w:val="center"/>
              <w:rPr>
                <w:rFonts w:eastAsia="MS Mincho"/>
              </w:rPr>
            </w:pPr>
            <w:r>
              <w:rPr>
                <w:rFonts w:eastAsia="MS Mincho"/>
              </w:rPr>
              <w:t>Study type</w:t>
            </w:r>
          </w:p>
        </w:tc>
        <w:tc>
          <w:tcPr>
            <w:tcW w:w="707" w:type="pct"/>
            <w:shd w:val="clear" w:color="auto" w:fill="BFBFBF" w:themeFill="background1" w:themeFillShade="BF"/>
            <w:tcMar>
              <w:left w:w="28" w:type="dxa"/>
              <w:right w:w="28" w:type="dxa"/>
            </w:tcMar>
            <w:vAlign w:val="center"/>
          </w:tcPr>
          <w:p w:rsidR="00F523E8" w:rsidRPr="00061F78" w:rsidRDefault="00F523E8" w:rsidP="00A5263B">
            <w:pPr>
              <w:pStyle w:val="Tableheading"/>
              <w:keepNext/>
              <w:jc w:val="center"/>
              <w:rPr>
                <w:rFonts w:eastAsia="MS Mincho"/>
              </w:rPr>
            </w:pPr>
            <w:r>
              <w:rPr>
                <w:rFonts w:eastAsia="MS Mincho"/>
              </w:rPr>
              <w:t>Inhalator</w:t>
            </w:r>
          </w:p>
        </w:tc>
        <w:tc>
          <w:tcPr>
            <w:tcW w:w="825" w:type="pct"/>
            <w:shd w:val="clear" w:color="auto" w:fill="BFBFBF" w:themeFill="background1" w:themeFillShade="BF"/>
            <w:tcMar>
              <w:left w:w="28" w:type="dxa"/>
              <w:right w:w="28" w:type="dxa"/>
            </w:tcMar>
            <w:vAlign w:val="center"/>
          </w:tcPr>
          <w:p w:rsidR="00F523E8" w:rsidRPr="00061F78" w:rsidRDefault="00F523E8" w:rsidP="00A5263B">
            <w:pPr>
              <w:pStyle w:val="Tableheading"/>
              <w:keepNext/>
              <w:jc w:val="center"/>
              <w:rPr>
                <w:rFonts w:eastAsia="MS Mincho"/>
              </w:rPr>
            </w:pPr>
            <w:r>
              <w:rPr>
                <w:rFonts w:eastAsia="MS Mincho"/>
              </w:rPr>
              <w:t>Placebo</w:t>
            </w:r>
          </w:p>
        </w:tc>
        <w:tc>
          <w:tcPr>
            <w:tcW w:w="851" w:type="pct"/>
            <w:shd w:val="clear" w:color="auto" w:fill="BFBFBF" w:themeFill="background1" w:themeFillShade="BF"/>
            <w:tcMar>
              <w:left w:w="28" w:type="dxa"/>
              <w:right w:w="28" w:type="dxa"/>
            </w:tcMar>
            <w:vAlign w:val="center"/>
          </w:tcPr>
          <w:p w:rsidR="00F523E8" w:rsidRPr="002D09A1" w:rsidRDefault="00F523E8" w:rsidP="00A5263B">
            <w:pPr>
              <w:pStyle w:val="Tableheading"/>
              <w:keepNext/>
              <w:jc w:val="center"/>
              <w:rPr>
                <w:rFonts w:eastAsia="MS Mincho"/>
                <w:vertAlign w:val="superscript"/>
              </w:rPr>
            </w:pPr>
            <w:r>
              <w:rPr>
                <w:rFonts w:eastAsia="MS Mincho"/>
              </w:rPr>
              <w:t>RR (95% CI)</w:t>
            </w:r>
          </w:p>
        </w:tc>
        <w:tc>
          <w:tcPr>
            <w:tcW w:w="811" w:type="pct"/>
            <w:shd w:val="clear" w:color="auto" w:fill="BFBFBF" w:themeFill="background1" w:themeFillShade="BF"/>
            <w:vAlign w:val="center"/>
          </w:tcPr>
          <w:p w:rsidR="00F523E8" w:rsidRDefault="00F523E8" w:rsidP="00A5263B">
            <w:pPr>
              <w:pStyle w:val="Tableheading"/>
              <w:keepNext/>
              <w:jc w:val="center"/>
              <w:rPr>
                <w:rFonts w:eastAsia="MS Mincho"/>
              </w:rPr>
            </w:pPr>
            <w:r>
              <w:rPr>
                <w:rFonts w:eastAsia="MS Mincho"/>
              </w:rPr>
              <w:t>RD (95% CI)</w:t>
            </w:r>
          </w:p>
        </w:tc>
      </w:tr>
      <w:tr w:rsidR="00F523E8" w:rsidRPr="00061F78" w:rsidTr="004E20D5">
        <w:trPr>
          <w:cantSplit/>
          <w:trHeight w:val="99"/>
        </w:trPr>
        <w:tc>
          <w:tcPr>
            <w:tcW w:w="862" w:type="pct"/>
            <w:shd w:val="clear" w:color="auto" w:fill="auto"/>
            <w:tcMar>
              <w:left w:w="28" w:type="dxa"/>
              <w:right w:w="28" w:type="dxa"/>
            </w:tcMar>
            <w:vAlign w:val="center"/>
          </w:tcPr>
          <w:p w:rsidR="00F523E8" w:rsidRPr="00443F8F" w:rsidRDefault="005163BE" w:rsidP="00A5263B">
            <w:pPr>
              <w:pStyle w:val="Tablewriting"/>
              <w:keepNext/>
              <w:rPr>
                <w:rFonts w:eastAsia="MS Mincho"/>
                <w:highlight w:val="yellow"/>
                <w:vertAlign w:val="superscript"/>
              </w:rPr>
            </w:pPr>
            <w:r>
              <w:rPr>
                <w:rFonts w:eastAsia="MS Mincho"/>
              </w:rPr>
              <w:t>Hartmann-Boyce (2018)</w:t>
            </w:r>
            <w:r w:rsidR="001020B5">
              <w:rPr>
                <w:rFonts w:eastAsia="MS Mincho"/>
                <w:vertAlign w:val="superscript"/>
              </w:rPr>
              <w:t>1</w:t>
            </w:r>
          </w:p>
        </w:tc>
        <w:tc>
          <w:tcPr>
            <w:tcW w:w="944" w:type="pct"/>
            <w:shd w:val="clear" w:color="auto" w:fill="auto"/>
            <w:vAlign w:val="center"/>
          </w:tcPr>
          <w:p w:rsidR="005163BE" w:rsidRDefault="005163BE" w:rsidP="00A5263B">
            <w:pPr>
              <w:pStyle w:val="Tablewriting"/>
              <w:keepNext/>
              <w:jc w:val="center"/>
              <w:rPr>
                <w:rFonts w:eastAsia="MS Mincho"/>
              </w:rPr>
            </w:pPr>
            <w:r>
              <w:rPr>
                <w:rFonts w:eastAsia="MS Mincho"/>
              </w:rPr>
              <w:t xml:space="preserve">Cochrane Review </w:t>
            </w:r>
          </w:p>
          <w:p w:rsidR="00F523E8" w:rsidRPr="00A22F63" w:rsidRDefault="005163BE" w:rsidP="00A5263B">
            <w:pPr>
              <w:pStyle w:val="Tablewriting"/>
              <w:keepNext/>
              <w:jc w:val="center"/>
              <w:rPr>
                <w:rFonts w:eastAsia="MS Mincho"/>
              </w:rPr>
            </w:pPr>
            <w:r>
              <w:rPr>
                <w:rFonts w:eastAsia="MS Mincho"/>
              </w:rPr>
              <w:t xml:space="preserve">(4 </w:t>
            </w:r>
            <w:r w:rsidR="00F523E8" w:rsidRPr="00A22F63">
              <w:rPr>
                <w:rFonts w:eastAsia="MS Mincho"/>
              </w:rPr>
              <w:t>RCT</w:t>
            </w:r>
            <w:r>
              <w:rPr>
                <w:rFonts w:eastAsia="MS Mincho"/>
              </w:rPr>
              <w:t>s)</w:t>
            </w:r>
          </w:p>
        </w:tc>
        <w:tc>
          <w:tcPr>
            <w:tcW w:w="707" w:type="pct"/>
            <w:shd w:val="clear" w:color="auto" w:fill="auto"/>
            <w:tcMar>
              <w:left w:w="28" w:type="dxa"/>
              <w:right w:w="28" w:type="dxa"/>
            </w:tcMar>
            <w:vAlign w:val="center"/>
          </w:tcPr>
          <w:p w:rsidR="005A674D" w:rsidRDefault="005A674D" w:rsidP="00A5263B">
            <w:pPr>
              <w:pStyle w:val="Tablewriting"/>
              <w:keepNext/>
              <w:jc w:val="center"/>
              <w:rPr>
                <w:rFonts w:eastAsia="MS Mincho"/>
              </w:rPr>
            </w:pPr>
            <w:r>
              <w:rPr>
                <w:rFonts w:eastAsia="MS Mincho"/>
              </w:rPr>
              <w:t>84/490</w:t>
            </w:r>
          </w:p>
          <w:p w:rsidR="00F523E8" w:rsidRPr="00FA54BA" w:rsidRDefault="005A674D" w:rsidP="00A5263B">
            <w:pPr>
              <w:pStyle w:val="Tablewriting"/>
              <w:keepNext/>
              <w:jc w:val="center"/>
              <w:rPr>
                <w:rFonts w:eastAsia="MS Mincho"/>
              </w:rPr>
            </w:pPr>
            <w:r>
              <w:rPr>
                <w:rFonts w:eastAsia="MS Mincho"/>
              </w:rPr>
              <w:t>(</w:t>
            </w:r>
            <w:r w:rsidR="00C464ED">
              <w:rPr>
                <w:rFonts w:eastAsia="MS Mincho"/>
              </w:rPr>
              <w:t>17.1</w:t>
            </w:r>
            <w:r>
              <w:rPr>
                <w:rFonts w:eastAsia="MS Mincho"/>
              </w:rPr>
              <w:t>%)</w:t>
            </w:r>
          </w:p>
        </w:tc>
        <w:tc>
          <w:tcPr>
            <w:tcW w:w="825" w:type="pct"/>
            <w:shd w:val="clear" w:color="auto" w:fill="auto"/>
            <w:tcMar>
              <w:left w:w="28" w:type="dxa"/>
              <w:right w:w="28" w:type="dxa"/>
            </w:tcMar>
            <w:vAlign w:val="center"/>
          </w:tcPr>
          <w:p w:rsidR="005A674D" w:rsidRDefault="005A674D" w:rsidP="00A5263B">
            <w:pPr>
              <w:pStyle w:val="Tablewriting"/>
              <w:keepNext/>
              <w:jc w:val="center"/>
              <w:rPr>
                <w:rFonts w:eastAsia="MS Mincho"/>
              </w:rPr>
            </w:pPr>
            <w:r>
              <w:rPr>
                <w:rFonts w:eastAsia="MS Mincho"/>
              </w:rPr>
              <w:t>44/486</w:t>
            </w:r>
          </w:p>
          <w:p w:rsidR="00F523E8" w:rsidRPr="00FA54BA" w:rsidRDefault="005A674D" w:rsidP="00A5263B">
            <w:pPr>
              <w:pStyle w:val="Tablewriting"/>
              <w:keepNext/>
              <w:jc w:val="center"/>
              <w:rPr>
                <w:rFonts w:eastAsia="MS Mincho"/>
              </w:rPr>
            </w:pPr>
            <w:r>
              <w:rPr>
                <w:rFonts w:eastAsia="MS Mincho"/>
              </w:rPr>
              <w:t>(</w:t>
            </w:r>
            <w:r w:rsidR="004C5933">
              <w:rPr>
                <w:rFonts w:eastAsia="MS Mincho"/>
              </w:rPr>
              <w:t>9.1</w:t>
            </w:r>
            <w:r>
              <w:rPr>
                <w:rFonts w:eastAsia="MS Mincho"/>
              </w:rPr>
              <w:t>%)</w:t>
            </w:r>
          </w:p>
        </w:tc>
        <w:tc>
          <w:tcPr>
            <w:tcW w:w="851" w:type="pct"/>
            <w:shd w:val="clear" w:color="auto" w:fill="auto"/>
            <w:tcMar>
              <w:left w:w="28" w:type="dxa"/>
              <w:right w:w="28" w:type="dxa"/>
            </w:tcMar>
            <w:vAlign w:val="center"/>
          </w:tcPr>
          <w:p w:rsidR="005163BE" w:rsidRPr="00E42DF3" w:rsidRDefault="005163BE" w:rsidP="005163BE">
            <w:pPr>
              <w:pStyle w:val="Tablewriting"/>
              <w:keepNext/>
              <w:jc w:val="center"/>
              <w:rPr>
                <w:rFonts w:eastAsia="MS Mincho"/>
                <w:b/>
                <w:bCs/>
              </w:rPr>
            </w:pPr>
            <w:r w:rsidRPr="00E42DF3">
              <w:rPr>
                <w:rFonts w:eastAsia="MS Mincho"/>
                <w:b/>
                <w:bCs/>
              </w:rPr>
              <w:t>1.9</w:t>
            </w:r>
          </w:p>
          <w:p w:rsidR="00F523E8" w:rsidRPr="00D86FCC" w:rsidRDefault="005163BE" w:rsidP="00A5263B">
            <w:pPr>
              <w:pStyle w:val="Tablewriting"/>
              <w:keepNext/>
              <w:jc w:val="center"/>
              <w:rPr>
                <w:rFonts w:eastAsia="MS Mincho"/>
              </w:rPr>
            </w:pPr>
            <w:r w:rsidRPr="00E42DF3">
              <w:rPr>
                <w:rFonts w:eastAsia="MS Mincho"/>
                <w:b/>
                <w:bCs/>
              </w:rPr>
              <w:t>(1.36, 2.67)</w:t>
            </w:r>
          </w:p>
        </w:tc>
        <w:tc>
          <w:tcPr>
            <w:tcW w:w="811" w:type="pct"/>
            <w:shd w:val="clear" w:color="auto" w:fill="auto"/>
            <w:vAlign w:val="center"/>
          </w:tcPr>
          <w:p w:rsidR="00F523E8" w:rsidRPr="005D18BC" w:rsidRDefault="005A674D" w:rsidP="00A5263B">
            <w:pPr>
              <w:pStyle w:val="Tablewriting"/>
              <w:keepNext/>
              <w:jc w:val="center"/>
              <w:rPr>
                <w:rFonts w:eastAsia="MS Mincho"/>
                <w:highlight w:val="yellow"/>
              </w:rPr>
            </w:pPr>
            <w:r w:rsidRPr="00D8069A">
              <w:rPr>
                <w:rFonts w:eastAsia="MS Mincho"/>
              </w:rPr>
              <w:t>NR</w:t>
            </w:r>
          </w:p>
        </w:tc>
      </w:tr>
      <w:tr w:rsidR="00F523E8" w:rsidRPr="00061F78" w:rsidTr="00443F8F">
        <w:trPr>
          <w:cantSplit/>
          <w:trHeight w:val="99"/>
        </w:trPr>
        <w:tc>
          <w:tcPr>
            <w:tcW w:w="862" w:type="pct"/>
            <w:shd w:val="clear" w:color="auto" w:fill="auto"/>
            <w:tcMar>
              <w:left w:w="28" w:type="dxa"/>
              <w:right w:w="28" w:type="dxa"/>
            </w:tcMar>
            <w:vAlign w:val="center"/>
          </w:tcPr>
          <w:p w:rsidR="005163BE" w:rsidRDefault="00F523E8" w:rsidP="00A5263B">
            <w:pPr>
              <w:pStyle w:val="Tablewriting"/>
              <w:keepNext/>
              <w:rPr>
                <w:rFonts w:eastAsia="MS Mincho"/>
              </w:rPr>
            </w:pPr>
            <w:r w:rsidRPr="008661F1">
              <w:rPr>
                <w:rFonts w:eastAsia="MS Mincho"/>
              </w:rPr>
              <w:t xml:space="preserve">Oncken </w:t>
            </w:r>
          </w:p>
          <w:p w:rsidR="00F523E8" w:rsidRPr="008657EE" w:rsidRDefault="00F523E8" w:rsidP="00A5263B">
            <w:pPr>
              <w:pStyle w:val="Tablewriting"/>
              <w:keepNext/>
              <w:rPr>
                <w:rFonts w:eastAsia="MS Mincho"/>
              </w:rPr>
            </w:pPr>
            <w:r>
              <w:rPr>
                <w:rFonts w:eastAsia="MS Mincho"/>
              </w:rPr>
              <w:t>(</w:t>
            </w:r>
            <w:r w:rsidRPr="008661F1">
              <w:rPr>
                <w:rFonts w:eastAsia="MS Mincho"/>
              </w:rPr>
              <w:t>2019</w:t>
            </w:r>
            <w:r>
              <w:rPr>
                <w:rFonts w:eastAsia="MS Mincho"/>
              </w:rPr>
              <w:t>)</w:t>
            </w:r>
            <w:r w:rsidRPr="004A5F8B">
              <w:rPr>
                <w:rFonts w:eastAsia="MS Mincho"/>
                <w:vertAlign w:val="superscript"/>
              </w:rPr>
              <w:t>2</w:t>
            </w:r>
          </w:p>
        </w:tc>
        <w:tc>
          <w:tcPr>
            <w:tcW w:w="944" w:type="pct"/>
            <w:shd w:val="clear" w:color="auto" w:fill="auto"/>
            <w:vAlign w:val="center"/>
          </w:tcPr>
          <w:p w:rsidR="00F523E8" w:rsidRDefault="00F523E8" w:rsidP="00A5263B">
            <w:pPr>
              <w:pStyle w:val="Tablewriting"/>
              <w:keepNext/>
              <w:jc w:val="center"/>
              <w:rPr>
                <w:rFonts w:eastAsia="MS Mincho"/>
              </w:rPr>
            </w:pPr>
            <w:r>
              <w:rPr>
                <w:rFonts w:eastAsia="MS Mincho"/>
              </w:rPr>
              <w:t>RCT</w:t>
            </w:r>
          </w:p>
        </w:tc>
        <w:tc>
          <w:tcPr>
            <w:tcW w:w="707" w:type="pct"/>
            <w:shd w:val="clear" w:color="auto" w:fill="auto"/>
            <w:vAlign w:val="center"/>
          </w:tcPr>
          <w:p w:rsidR="00F523E8" w:rsidRPr="00D8069A" w:rsidRDefault="00F523E8" w:rsidP="00A5263B">
            <w:pPr>
              <w:pStyle w:val="Tablewriting"/>
              <w:keepNext/>
              <w:jc w:val="center"/>
              <w:rPr>
                <w:rFonts w:eastAsia="MS Mincho"/>
              </w:rPr>
            </w:pPr>
            <w:r w:rsidRPr="00D8069A">
              <w:rPr>
                <w:rFonts w:eastAsia="MS Mincho"/>
              </w:rPr>
              <w:t>7/70</w:t>
            </w:r>
          </w:p>
          <w:p w:rsidR="004C5933" w:rsidRPr="00D8069A" w:rsidRDefault="004C5933" w:rsidP="00A5263B">
            <w:pPr>
              <w:pStyle w:val="Tablewriting"/>
              <w:keepNext/>
              <w:jc w:val="center"/>
              <w:rPr>
                <w:rFonts w:eastAsia="MS Mincho"/>
              </w:rPr>
            </w:pPr>
            <w:r w:rsidRPr="00D8069A">
              <w:rPr>
                <w:rFonts w:eastAsia="MS Mincho"/>
              </w:rPr>
              <w:t>(10%)</w:t>
            </w:r>
          </w:p>
        </w:tc>
        <w:tc>
          <w:tcPr>
            <w:tcW w:w="825" w:type="pct"/>
            <w:shd w:val="clear" w:color="auto" w:fill="auto"/>
            <w:vAlign w:val="center"/>
          </w:tcPr>
          <w:p w:rsidR="00F523E8" w:rsidRPr="00D8069A" w:rsidRDefault="00F523E8" w:rsidP="00A5263B">
            <w:pPr>
              <w:pStyle w:val="Tablewriting"/>
              <w:keepNext/>
              <w:jc w:val="center"/>
              <w:rPr>
                <w:rFonts w:eastAsia="MS Mincho"/>
              </w:rPr>
            </w:pPr>
            <w:r w:rsidRPr="00D8069A">
              <w:rPr>
                <w:rFonts w:eastAsia="MS Mincho"/>
              </w:rPr>
              <w:t>12/67</w:t>
            </w:r>
          </w:p>
          <w:p w:rsidR="004C5933" w:rsidRPr="00D8069A" w:rsidRDefault="004C5933" w:rsidP="00A5263B">
            <w:pPr>
              <w:pStyle w:val="Tablewriting"/>
              <w:keepNext/>
              <w:jc w:val="center"/>
              <w:rPr>
                <w:rFonts w:eastAsia="MS Mincho"/>
              </w:rPr>
            </w:pPr>
            <w:r w:rsidRPr="00D8069A">
              <w:rPr>
                <w:rFonts w:eastAsia="MS Mincho"/>
              </w:rPr>
              <w:t>(17.</w:t>
            </w:r>
            <w:r w:rsidR="00443F8F" w:rsidRPr="00D8069A">
              <w:rPr>
                <w:rFonts w:eastAsia="MS Mincho"/>
              </w:rPr>
              <w:t>9</w:t>
            </w:r>
            <w:r w:rsidRPr="00D8069A">
              <w:rPr>
                <w:rFonts w:eastAsia="MS Mincho"/>
              </w:rPr>
              <w:t>%)</w:t>
            </w:r>
          </w:p>
        </w:tc>
        <w:tc>
          <w:tcPr>
            <w:tcW w:w="851" w:type="pct"/>
            <w:shd w:val="clear" w:color="auto" w:fill="auto"/>
            <w:tcMar>
              <w:left w:w="28" w:type="dxa"/>
              <w:right w:w="28" w:type="dxa"/>
            </w:tcMar>
            <w:vAlign w:val="center"/>
          </w:tcPr>
          <w:p w:rsidR="00F523E8" w:rsidRDefault="00955CE1" w:rsidP="00A5263B">
            <w:pPr>
              <w:pStyle w:val="Tablewriting"/>
              <w:keepNext/>
              <w:jc w:val="center"/>
              <w:rPr>
                <w:rFonts w:eastAsia="MS Mincho"/>
              </w:rPr>
            </w:pPr>
            <w:r w:rsidRPr="5C0EBDE8">
              <w:rPr>
                <w:rFonts w:eastAsia="MS Mincho"/>
              </w:rPr>
              <w:t>0.56</w:t>
            </w:r>
          </w:p>
          <w:p w:rsidR="00F523E8" w:rsidRPr="00D8069A" w:rsidRDefault="00955CE1" w:rsidP="00A5263B">
            <w:pPr>
              <w:pStyle w:val="Tablewriting"/>
              <w:keepNext/>
              <w:jc w:val="center"/>
              <w:rPr>
                <w:rFonts w:eastAsia="MS Mincho"/>
              </w:rPr>
            </w:pPr>
            <w:r w:rsidRPr="5C0EBDE8">
              <w:rPr>
                <w:rFonts w:eastAsia="MS Mincho"/>
              </w:rPr>
              <w:t>(0.23, 1.33)</w:t>
            </w:r>
          </w:p>
        </w:tc>
        <w:tc>
          <w:tcPr>
            <w:tcW w:w="811" w:type="pct"/>
            <w:shd w:val="clear" w:color="auto" w:fill="auto"/>
            <w:vAlign w:val="center"/>
          </w:tcPr>
          <w:p w:rsidR="00F523E8" w:rsidRDefault="00611DCF" w:rsidP="00A5263B">
            <w:pPr>
              <w:pStyle w:val="Tablewriting"/>
              <w:keepNext/>
              <w:jc w:val="center"/>
              <w:rPr>
                <w:rFonts w:eastAsia="MS Mincho"/>
              </w:rPr>
            </w:pPr>
            <w:r>
              <w:rPr>
                <w:rFonts w:eastAsia="MS Mincho"/>
              </w:rPr>
              <w:t>-0.08</w:t>
            </w:r>
          </w:p>
          <w:p w:rsidR="00F523E8" w:rsidRPr="00D8069A" w:rsidRDefault="00611DCF" w:rsidP="00A5263B">
            <w:pPr>
              <w:pStyle w:val="Tablewriting"/>
              <w:keepNext/>
              <w:jc w:val="center"/>
              <w:rPr>
                <w:rFonts w:eastAsia="MS Mincho"/>
              </w:rPr>
            </w:pPr>
            <w:r>
              <w:rPr>
                <w:rFonts w:eastAsia="MS Mincho"/>
              </w:rPr>
              <w:t>(-0.19, 0.04)</w:t>
            </w:r>
          </w:p>
        </w:tc>
      </w:tr>
      <w:tr w:rsidR="005A674D" w:rsidRPr="00061F78" w:rsidTr="005A674D">
        <w:trPr>
          <w:cantSplit/>
          <w:trHeight w:val="99"/>
        </w:trPr>
        <w:tc>
          <w:tcPr>
            <w:tcW w:w="5000" w:type="pct"/>
            <w:gridSpan w:val="6"/>
            <w:shd w:val="clear" w:color="auto" w:fill="auto"/>
            <w:tcMar>
              <w:left w:w="28" w:type="dxa"/>
              <w:right w:w="28" w:type="dxa"/>
            </w:tcMar>
            <w:vAlign w:val="center"/>
          </w:tcPr>
          <w:p w:rsidR="005A674D" w:rsidRPr="007231A4" w:rsidRDefault="005A674D" w:rsidP="00443F8F">
            <w:pPr>
              <w:pStyle w:val="Tablewriting"/>
              <w:keepNext/>
              <w:rPr>
                <w:rFonts w:eastAsia="MS Mincho"/>
                <w:b/>
                <w:bCs/>
              </w:rPr>
            </w:pPr>
            <w:r w:rsidRPr="007231A4">
              <w:rPr>
                <w:rFonts w:eastAsia="MS Mincho"/>
                <w:b/>
                <w:bCs/>
              </w:rPr>
              <w:t>Meta-analysis of Hartmann-Boyce (2018) and Oncken (2019)</w:t>
            </w:r>
          </w:p>
        </w:tc>
      </w:tr>
      <w:tr w:rsidR="005A674D" w:rsidRPr="00061F78" w:rsidTr="004E20D5">
        <w:trPr>
          <w:cantSplit/>
          <w:trHeight w:val="99"/>
        </w:trPr>
        <w:tc>
          <w:tcPr>
            <w:tcW w:w="862" w:type="pct"/>
            <w:shd w:val="clear" w:color="auto" w:fill="auto"/>
            <w:tcMar>
              <w:left w:w="28" w:type="dxa"/>
              <w:right w:w="28" w:type="dxa"/>
            </w:tcMar>
            <w:vAlign w:val="center"/>
          </w:tcPr>
          <w:p w:rsidR="00744B51" w:rsidRDefault="005A674D" w:rsidP="00A5263B">
            <w:pPr>
              <w:pStyle w:val="Tablewriting"/>
              <w:keepNext/>
              <w:rPr>
                <w:rFonts w:eastAsia="MS Mincho"/>
              </w:rPr>
            </w:pPr>
            <w:r>
              <w:rPr>
                <w:rFonts w:eastAsia="MS Mincho"/>
              </w:rPr>
              <w:t xml:space="preserve">Updated </w:t>
            </w:r>
          </w:p>
          <w:p w:rsidR="005A674D" w:rsidRPr="00443F8F" w:rsidRDefault="005A674D" w:rsidP="00A5263B">
            <w:pPr>
              <w:pStyle w:val="Tablewriting"/>
              <w:keepNext/>
              <w:rPr>
                <w:rFonts w:eastAsia="MS Mincho"/>
                <w:vertAlign w:val="superscript"/>
              </w:rPr>
            </w:pPr>
            <w:r>
              <w:rPr>
                <w:rFonts w:eastAsia="MS Mincho"/>
              </w:rPr>
              <w:t>re-analysis</w:t>
            </w:r>
            <w:r w:rsidR="001020B5">
              <w:rPr>
                <w:rFonts w:eastAsia="MS Mincho"/>
                <w:vertAlign w:val="superscript"/>
              </w:rPr>
              <w:t>3</w:t>
            </w:r>
          </w:p>
        </w:tc>
        <w:tc>
          <w:tcPr>
            <w:tcW w:w="944" w:type="pct"/>
            <w:shd w:val="clear" w:color="auto" w:fill="auto"/>
            <w:vAlign w:val="center"/>
          </w:tcPr>
          <w:p w:rsidR="005A674D" w:rsidRDefault="005A674D" w:rsidP="00A5263B">
            <w:pPr>
              <w:pStyle w:val="Tablewriting"/>
              <w:keepNext/>
              <w:jc w:val="center"/>
              <w:rPr>
                <w:rFonts w:eastAsia="MS Mincho"/>
              </w:rPr>
            </w:pPr>
            <w:r>
              <w:rPr>
                <w:rFonts w:eastAsia="MS Mincho"/>
              </w:rPr>
              <w:t>5 RCTs</w:t>
            </w:r>
          </w:p>
        </w:tc>
        <w:tc>
          <w:tcPr>
            <w:tcW w:w="707" w:type="pct"/>
            <w:shd w:val="clear" w:color="auto" w:fill="auto"/>
            <w:vAlign w:val="center"/>
          </w:tcPr>
          <w:p w:rsidR="005A674D" w:rsidRPr="00D8069A" w:rsidRDefault="00955CE1" w:rsidP="00A5263B">
            <w:pPr>
              <w:pStyle w:val="Tablewriting"/>
              <w:keepNext/>
              <w:jc w:val="center"/>
              <w:rPr>
                <w:rFonts w:eastAsia="MS Mincho"/>
              </w:rPr>
            </w:pPr>
            <w:r w:rsidRPr="00D8069A">
              <w:rPr>
                <w:rFonts w:eastAsia="MS Mincho"/>
              </w:rPr>
              <w:t>91/560</w:t>
            </w:r>
          </w:p>
          <w:p w:rsidR="005A674D" w:rsidRPr="00D8069A" w:rsidRDefault="00955CE1" w:rsidP="00A5263B">
            <w:pPr>
              <w:pStyle w:val="Tablewriting"/>
              <w:keepNext/>
              <w:jc w:val="center"/>
              <w:rPr>
                <w:rFonts w:eastAsia="MS Mincho"/>
              </w:rPr>
            </w:pPr>
            <w:r w:rsidRPr="00D8069A">
              <w:rPr>
                <w:rFonts w:eastAsia="MS Mincho"/>
              </w:rPr>
              <w:t>(</w:t>
            </w:r>
            <w:r w:rsidR="00AC0714">
              <w:rPr>
                <w:rFonts w:eastAsia="MS Mincho"/>
              </w:rPr>
              <w:t>16.3</w:t>
            </w:r>
            <w:r w:rsidRPr="00D8069A">
              <w:rPr>
                <w:rFonts w:eastAsia="MS Mincho"/>
              </w:rPr>
              <w:t>%)</w:t>
            </w:r>
          </w:p>
        </w:tc>
        <w:tc>
          <w:tcPr>
            <w:tcW w:w="825" w:type="pct"/>
            <w:shd w:val="clear" w:color="auto" w:fill="auto"/>
            <w:vAlign w:val="center"/>
          </w:tcPr>
          <w:p w:rsidR="005A674D" w:rsidRPr="00D8069A" w:rsidRDefault="0017580F" w:rsidP="00A5263B">
            <w:pPr>
              <w:pStyle w:val="Tablewriting"/>
              <w:keepNext/>
              <w:jc w:val="center"/>
              <w:rPr>
                <w:rFonts w:eastAsia="MS Mincho"/>
              </w:rPr>
            </w:pPr>
            <w:r w:rsidRPr="00D8069A">
              <w:rPr>
                <w:rFonts w:eastAsia="MS Mincho"/>
              </w:rPr>
              <w:t>56/553</w:t>
            </w:r>
          </w:p>
          <w:p w:rsidR="005A674D" w:rsidRPr="00D8069A" w:rsidRDefault="0017580F" w:rsidP="00A5263B">
            <w:pPr>
              <w:pStyle w:val="Tablewriting"/>
              <w:keepNext/>
              <w:jc w:val="center"/>
              <w:rPr>
                <w:rFonts w:eastAsia="MS Mincho"/>
              </w:rPr>
            </w:pPr>
            <w:r w:rsidRPr="00D8069A">
              <w:rPr>
                <w:rFonts w:eastAsia="MS Mincho"/>
              </w:rPr>
              <w:t>(</w:t>
            </w:r>
            <w:r w:rsidR="00EE2302">
              <w:rPr>
                <w:rFonts w:eastAsia="MS Mincho"/>
              </w:rPr>
              <w:t>10.1</w:t>
            </w:r>
            <w:r w:rsidRPr="00D8069A">
              <w:rPr>
                <w:rFonts w:eastAsia="MS Mincho"/>
              </w:rPr>
              <w:t>%)</w:t>
            </w:r>
          </w:p>
        </w:tc>
        <w:tc>
          <w:tcPr>
            <w:tcW w:w="851" w:type="pct"/>
            <w:shd w:val="clear" w:color="auto" w:fill="auto"/>
            <w:tcMar>
              <w:left w:w="28" w:type="dxa"/>
              <w:right w:w="28" w:type="dxa"/>
            </w:tcMar>
            <w:vAlign w:val="center"/>
          </w:tcPr>
          <w:p w:rsidR="005A674D" w:rsidRPr="00D8069A" w:rsidRDefault="0017580F" w:rsidP="00A5263B">
            <w:pPr>
              <w:pStyle w:val="Tablewriting"/>
              <w:keepNext/>
              <w:jc w:val="center"/>
              <w:rPr>
                <w:rFonts w:eastAsia="MS Mincho"/>
              </w:rPr>
            </w:pPr>
            <w:r w:rsidRPr="00D8069A">
              <w:rPr>
                <w:rFonts w:eastAsia="MS Mincho"/>
              </w:rPr>
              <w:t>1.57</w:t>
            </w:r>
          </w:p>
          <w:p w:rsidR="005A674D" w:rsidRPr="00D8069A" w:rsidRDefault="0017580F" w:rsidP="00A5263B">
            <w:pPr>
              <w:pStyle w:val="Tablewriting"/>
              <w:keepNext/>
              <w:jc w:val="center"/>
              <w:rPr>
                <w:rFonts w:eastAsia="MS Mincho"/>
              </w:rPr>
            </w:pPr>
            <w:r w:rsidRPr="00D8069A">
              <w:rPr>
                <w:rFonts w:eastAsia="MS Mincho"/>
              </w:rPr>
              <w:t>(0.97, 2.54)</w:t>
            </w:r>
          </w:p>
        </w:tc>
        <w:tc>
          <w:tcPr>
            <w:tcW w:w="811" w:type="pct"/>
            <w:shd w:val="clear" w:color="auto" w:fill="auto"/>
            <w:vAlign w:val="center"/>
          </w:tcPr>
          <w:p w:rsidR="005A674D" w:rsidRDefault="00611DCF" w:rsidP="00A5263B">
            <w:pPr>
              <w:pStyle w:val="Tablewriting"/>
              <w:keepNext/>
              <w:jc w:val="center"/>
              <w:rPr>
                <w:rFonts w:eastAsia="MS Mincho"/>
              </w:rPr>
            </w:pPr>
            <w:r>
              <w:rPr>
                <w:rFonts w:eastAsia="MS Mincho"/>
              </w:rPr>
              <w:t>0.06</w:t>
            </w:r>
          </w:p>
          <w:p w:rsidR="005A674D" w:rsidRPr="00D8069A" w:rsidRDefault="00611DCF" w:rsidP="00A5263B">
            <w:pPr>
              <w:pStyle w:val="Tablewriting"/>
              <w:keepNext/>
              <w:jc w:val="center"/>
              <w:rPr>
                <w:rFonts w:eastAsia="MS Mincho"/>
              </w:rPr>
            </w:pPr>
            <w:r>
              <w:rPr>
                <w:rFonts w:eastAsia="MS Mincho"/>
              </w:rPr>
              <w:t>(0.00, 0.11)</w:t>
            </w:r>
          </w:p>
        </w:tc>
      </w:tr>
    </w:tbl>
    <w:p w:rsidR="00F523E8" w:rsidRPr="00566F12" w:rsidRDefault="00F523E8" w:rsidP="00F523E8">
      <w:pPr>
        <w:pStyle w:val="TableFooter"/>
        <w:keepNext/>
      </w:pPr>
      <w:r w:rsidRPr="00566F12">
        <w:t xml:space="preserve">Source: </w:t>
      </w:r>
      <w:r w:rsidRPr="00637ACA">
        <w:t xml:space="preserve">Hartmann-Boyce et al. </w:t>
      </w:r>
      <w:r w:rsidR="005A674D">
        <w:t>(</w:t>
      </w:r>
      <w:r w:rsidRPr="00637ACA">
        <w:t>2018</w:t>
      </w:r>
      <w:r w:rsidR="005A674D">
        <w:t>)</w:t>
      </w:r>
      <w:r w:rsidR="00611DCF">
        <w:t>, Oncken et al. (2019)</w:t>
      </w:r>
    </w:p>
    <w:p w:rsidR="00F523E8" w:rsidRPr="00566F12" w:rsidRDefault="00F523E8" w:rsidP="00F523E8">
      <w:pPr>
        <w:pStyle w:val="TableFooter"/>
        <w:keepNext/>
        <w:rPr>
          <w:i/>
        </w:rPr>
      </w:pPr>
      <w:r w:rsidRPr="00566F12">
        <w:t xml:space="preserve">Abbreviations: CI = confidence interval; </w:t>
      </w:r>
      <w:r w:rsidR="001020B5">
        <w:t xml:space="preserve">NR = not reported; </w:t>
      </w:r>
      <w:r w:rsidRPr="00566F12">
        <w:t xml:space="preserve">RCT = randomised controlled trial; RD = risk difference; RR = risk ratio </w:t>
      </w:r>
    </w:p>
    <w:p w:rsidR="00F523E8" w:rsidRPr="00637ACA" w:rsidRDefault="00F523E8" w:rsidP="00F523E8">
      <w:pPr>
        <w:pStyle w:val="TableFooter"/>
        <w:rPr>
          <w:highlight w:val="yellow"/>
        </w:rPr>
      </w:pPr>
      <w:r w:rsidRPr="00566F12">
        <w:t>Notes:</w:t>
      </w:r>
      <w:r>
        <w:t xml:space="preserve"> </w:t>
      </w:r>
      <w:r w:rsidRPr="00443F8F">
        <w:t>Bold</w:t>
      </w:r>
      <w:r w:rsidRPr="00FD4061">
        <w:t xml:space="preserve"> indicates statistically significant difference</w:t>
      </w:r>
      <w:r>
        <w:t xml:space="preserve">. </w:t>
      </w:r>
    </w:p>
    <w:p w:rsidR="00F523E8" w:rsidRDefault="00F523E8" w:rsidP="00F523E8">
      <w:pPr>
        <w:pStyle w:val="TableFooter"/>
      </w:pPr>
      <w:r w:rsidRPr="004A5F8B">
        <w:t xml:space="preserve">1 </w:t>
      </w:r>
      <w:r w:rsidR="001020B5">
        <w:t>Calculated by Cochrane Review authors using a fixed-effect model</w:t>
      </w:r>
      <w:r w:rsidR="00ED0CBA">
        <w:t>.</w:t>
      </w:r>
      <w:r w:rsidRPr="00566F12">
        <w:t xml:space="preserve"> </w:t>
      </w:r>
    </w:p>
    <w:p w:rsidR="00F523E8" w:rsidRDefault="00F523E8" w:rsidP="00F523E8">
      <w:pPr>
        <w:pStyle w:val="TableFooter"/>
      </w:pPr>
      <w:r>
        <w:t>2 7-day PPA.</w:t>
      </w:r>
    </w:p>
    <w:p w:rsidR="001020B5" w:rsidRDefault="001020B5" w:rsidP="00F523E8">
      <w:pPr>
        <w:pStyle w:val="TableFooter"/>
      </w:pPr>
      <w:r>
        <w:t>3 Calculated during the review using a random-effect model</w:t>
      </w:r>
      <w:r w:rsidR="00ED0CBA">
        <w:t>.</w:t>
      </w:r>
    </w:p>
    <w:p w:rsidR="001735FE" w:rsidRDefault="001735FE" w:rsidP="001735FE">
      <w:pPr>
        <w:pStyle w:val="Caption"/>
        <w:keepNext/>
      </w:pPr>
      <w:bookmarkStart w:id="216" w:name="_Ref60846748"/>
      <w:r>
        <w:t xml:space="preserve">Table </w:t>
      </w:r>
      <w:r w:rsidR="003C4A1C">
        <w:rPr>
          <w:noProof/>
        </w:rPr>
        <w:t>106</w:t>
      </w:r>
      <w:bookmarkEnd w:id="216"/>
      <w:r>
        <w:t xml:space="preserve">: </w:t>
      </w:r>
      <w:r w:rsidRPr="00B02C63">
        <w:t>Results of smoking cessation f</w:t>
      </w:r>
      <w:r w:rsidR="00BC68E9">
        <w:t>or</w:t>
      </w:r>
      <w:r w:rsidRPr="00B02C63">
        <w:t xml:space="preserve"> at least six months follow-up, inhal</w:t>
      </w:r>
      <w:r w:rsidR="005570D3">
        <w:t>ator</w:t>
      </w:r>
      <w:r w:rsidRPr="00B02C63">
        <w:t xml:space="preserve"> versus patch</w:t>
      </w:r>
    </w:p>
    <w:tbl>
      <w:tblPr>
        <w:tblStyle w:val="TableGrid"/>
        <w:tblW w:w="5000" w:type="pct"/>
        <w:tblLook w:val="04A0" w:firstRow="1" w:lastRow="0" w:firstColumn="1" w:lastColumn="0" w:noHBand="0" w:noVBand="1"/>
        <w:tblCaption w:val="Efficacy results of adalimumab trials (PASI 75 and DLQI)"/>
      </w:tblPr>
      <w:tblGrid>
        <w:gridCol w:w="1376"/>
        <w:gridCol w:w="2292"/>
        <w:gridCol w:w="1780"/>
        <w:gridCol w:w="1785"/>
        <w:gridCol w:w="1783"/>
      </w:tblGrid>
      <w:tr w:rsidR="00F523E8" w:rsidRPr="00061F78" w:rsidTr="00443F8F">
        <w:trPr>
          <w:cantSplit/>
          <w:trHeight w:val="299"/>
          <w:tblHeader/>
        </w:trPr>
        <w:tc>
          <w:tcPr>
            <w:tcW w:w="763" w:type="pct"/>
            <w:shd w:val="clear" w:color="auto" w:fill="BFBFBF" w:themeFill="background1" w:themeFillShade="BF"/>
            <w:tcMar>
              <w:left w:w="28" w:type="dxa"/>
              <w:right w:w="28" w:type="dxa"/>
            </w:tcMar>
          </w:tcPr>
          <w:p w:rsidR="00F523E8" w:rsidRPr="00061F78" w:rsidRDefault="00F523E8" w:rsidP="00A5263B">
            <w:pPr>
              <w:pStyle w:val="Tableheading"/>
              <w:keepNext/>
              <w:rPr>
                <w:rFonts w:eastAsia="MS Mincho"/>
              </w:rPr>
            </w:pPr>
            <w:r>
              <w:rPr>
                <w:rFonts w:eastAsia="MS Mincho"/>
              </w:rPr>
              <w:t>Study</w:t>
            </w:r>
          </w:p>
        </w:tc>
        <w:tc>
          <w:tcPr>
            <w:tcW w:w="1271" w:type="pct"/>
            <w:shd w:val="clear" w:color="auto" w:fill="BFBFBF" w:themeFill="background1" w:themeFillShade="BF"/>
            <w:vAlign w:val="center"/>
          </w:tcPr>
          <w:p w:rsidR="00F523E8" w:rsidRDefault="00F523E8" w:rsidP="00A5263B">
            <w:pPr>
              <w:pStyle w:val="Tableheading"/>
              <w:keepNext/>
              <w:jc w:val="center"/>
              <w:rPr>
                <w:rFonts w:eastAsia="MS Mincho"/>
              </w:rPr>
            </w:pPr>
            <w:r>
              <w:rPr>
                <w:rFonts w:eastAsia="MS Mincho"/>
              </w:rPr>
              <w:t>Study type</w:t>
            </w:r>
          </w:p>
        </w:tc>
        <w:tc>
          <w:tcPr>
            <w:tcW w:w="987" w:type="pct"/>
            <w:shd w:val="clear" w:color="auto" w:fill="BFBFBF" w:themeFill="background1" w:themeFillShade="BF"/>
            <w:tcMar>
              <w:left w:w="28" w:type="dxa"/>
              <w:right w:w="28" w:type="dxa"/>
            </w:tcMar>
            <w:vAlign w:val="center"/>
          </w:tcPr>
          <w:p w:rsidR="00F523E8" w:rsidRPr="00061F78" w:rsidRDefault="00F523E8" w:rsidP="00A5263B">
            <w:pPr>
              <w:pStyle w:val="Tableheading"/>
              <w:keepNext/>
              <w:jc w:val="center"/>
              <w:rPr>
                <w:rFonts w:eastAsia="MS Mincho"/>
              </w:rPr>
            </w:pPr>
            <w:r>
              <w:rPr>
                <w:rFonts w:eastAsia="MS Mincho"/>
              </w:rPr>
              <w:t>Inhal</w:t>
            </w:r>
            <w:r w:rsidR="00A011FC">
              <w:rPr>
                <w:rFonts w:eastAsia="MS Mincho"/>
              </w:rPr>
              <w:t>ator</w:t>
            </w:r>
          </w:p>
        </w:tc>
        <w:tc>
          <w:tcPr>
            <w:tcW w:w="990" w:type="pct"/>
            <w:shd w:val="clear" w:color="auto" w:fill="BFBFBF" w:themeFill="background1" w:themeFillShade="BF"/>
            <w:tcMar>
              <w:left w:w="28" w:type="dxa"/>
              <w:right w:w="28" w:type="dxa"/>
            </w:tcMar>
            <w:vAlign w:val="center"/>
          </w:tcPr>
          <w:p w:rsidR="00F523E8" w:rsidRPr="00061F78" w:rsidRDefault="00F523E8" w:rsidP="00A5263B">
            <w:pPr>
              <w:pStyle w:val="Tableheading"/>
              <w:keepNext/>
              <w:jc w:val="center"/>
              <w:rPr>
                <w:rFonts w:eastAsia="MS Mincho"/>
              </w:rPr>
            </w:pPr>
            <w:r>
              <w:rPr>
                <w:rFonts w:eastAsia="MS Mincho"/>
              </w:rPr>
              <w:t>Patch</w:t>
            </w:r>
          </w:p>
        </w:tc>
        <w:tc>
          <w:tcPr>
            <w:tcW w:w="989" w:type="pct"/>
            <w:shd w:val="clear" w:color="auto" w:fill="BFBFBF" w:themeFill="background1" w:themeFillShade="BF"/>
            <w:tcMar>
              <w:left w:w="28" w:type="dxa"/>
              <w:right w:w="28" w:type="dxa"/>
            </w:tcMar>
            <w:vAlign w:val="center"/>
          </w:tcPr>
          <w:p w:rsidR="00F523E8" w:rsidRPr="002D09A1" w:rsidRDefault="00F523E8" w:rsidP="00A5263B">
            <w:pPr>
              <w:pStyle w:val="Tableheading"/>
              <w:keepNext/>
              <w:jc w:val="center"/>
              <w:rPr>
                <w:rFonts w:eastAsia="MS Mincho"/>
                <w:vertAlign w:val="superscript"/>
              </w:rPr>
            </w:pPr>
            <w:r>
              <w:rPr>
                <w:rFonts w:eastAsia="MS Mincho"/>
              </w:rPr>
              <w:t>RR (95% CI)</w:t>
            </w:r>
            <w:r w:rsidR="001020B5">
              <w:rPr>
                <w:rFonts w:eastAsia="MS Mincho"/>
                <w:vertAlign w:val="superscript"/>
              </w:rPr>
              <w:t>1</w:t>
            </w:r>
          </w:p>
        </w:tc>
      </w:tr>
      <w:tr w:rsidR="00F523E8" w:rsidRPr="00061F78" w:rsidTr="00443F8F">
        <w:trPr>
          <w:cantSplit/>
          <w:trHeight w:val="99"/>
        </w:trPr>
        <w:tc>
          <w:tcPr>
            <w:tcW w:w="763" w:type="pct"/>
            <w:shd w:val="clear" w:color="auto" w:fill="auto"/>
            <w:tcMar>
              <w:left w:w="28" w:type="dxa"/>
              <w:right w:w="28" w:type="dxa"/>
            </w:tcMar>
            <w:vAlign w:val="center"/>
          </w:tcPr>
          <w:p w:rsidR="001020B5" w:rsidRDefault="001020B5" w:rsidP="00A5263B">
            <w:pPr>
              <w:pStyle w:val="Tablewriting"/>
              <w:keepNext/>
              <w:rPr>
                <w:rFonts w:eastAsia="MS Mincho"/>
              </w:rPr>
            </w:pPr>
            <w:r>
              <w:rPr>
                <w:rFonts w:eastAsia="MS Mincho"/>
              </w:rPr>
              <w:t>Lindson</w:t>
            </w:r>
          </w:p>
          <w:p w:rsidR="00F523E8" w:rsidRPr="005D18BC" w:rsidRDefault="001020B5" w:rsidP="00A5263B">
            <w:pPr>
              <w:pStyle w:val="Tablewriting"/>
              <w:keepNext/>
              <w:rPr>
                <w:rFonts w:eastAsia="MS Mincho"/>
                <w:highlight w:val="yellow"/>
              </w:rPr>
            </w:pPr>
            <w:r w:rsidRPr="00443F8F">
              <w:rPr>
                <w:rFonts w:eastAsia="MS Mincho"/>
              </w:rPr>
              <w:t>(2019)</w:t>
            </w:r>
          </w:p>
        </w:tc>
        <w:tc>
          <w:tcPr>
            <w:tcW w:w="1271" w:type="pct"/>
            <w:shd w:val="clear" w:color="auto" w:fill="auto"/>
            <w:vAlign w:val="center"/>
          </w:tcPr>
          <w:p w:rsidR="001020B5" w:rsidRDefault="001020B5" w:rsidP="00A5263B">
            <w:pPr>
              <w:pStyle w:val="Tablewriting"/>
              <w:keepNext/>
              <w:jc w:val="center"/>
              <w:rPr>
                <w:rFonts w:eastAsia="MS Mincho"/>
              </w:rPr>
            </w:pPr>
            <w:r>
              <w:rPr>
                <w:rFonts w:eastAsia="MS Mincho"/>
              </w:rPr>
              <w:t>Cochrane Review</w:t>
            </w:r>
          </w:p>
          <w:p w:rsidR="00F523E8" w:rsidRPr="00A22F63" w:rsidRDefault="001020B5" w:rsidP="00A5263B">
            <w:pPr>
              <w:pStyle w:val="Tablewriting"/>
              <w:keepNext/>
              <w:jc w:val="center"/>
              <w:rPr>
                <w:rFonts w:eastAsia="MS Mincho"/>
              </w:rPr>
            </w:pPr>
            <w:r>
              <w:rPr>
                <w:rFonts w:eastAsia="MS Mincho"/>
              </w:rPr>
              <w:t xml:space="preserve">(1 </w:t>
            </w:r>
            <w:r w:rsidR="00F523E8" w:rsidRPr="00A22F63">
              <w:rPr>
                <w:rFonts w:eastAsia="MS Mincho"/>
              </w:rPr>
              <w:t>RCT</w:t>
            </w:r>
            <w:r>
              <w:rPr>
                <w:rFonts w:eastAsia="MS Mincho"/>
              </w:rPr>
              <w:t>)</w:t>
            </w:r>
          </w:p>
        </w:tc>
        <w:tc>
          <w:tcPr>
            <w:tcW w:w="987" w:type="pct"/>
            <w:shd w:val="clear" w:color="auto" w:fill="auto"/>
            <w:tcMar>
              <w:left w:w="28" w:type="dxa"/>
              <w:right w:w="28" w:type="dxa"/>
            </w:tcMar>
            <w:vAlign w:val="center"/>
          </w:tcPr>
          <w:p w:rsidR="00F523E8" w:rsidRPr="004A5F8B" w:rsidRDefault="00F523E8" w:rsidP="00A5263B">
            <w:pPr>
              <w:pStyle w:val="Tablewriting"/>
              <w:keepNext/>
              <w:jc w:val="center"/>
              <w:rPr>
                <w:rFonts w:eastAsia="MS Mincho"/>
              </w:rPr>
            </w:pPr>
            <w:r w:rsidRPr="004A5F8B">
              <w:rPr>
                <w:rFonts w:eastAsia="MS Mincho"/>
              </w:rPr>
              <w:t>6/118</w:t>
            </w:r>
          </w:p>
          <w:p w:rsidR="00F523E8" w:rsidRPr="004A5F8B" w:rsidRDefault="00F523E8" w:rsidP="00A5263B">
            <w:pPr>
              <w:pStyle w:val="Tablewriting"/>
              <w:keepNext/>
              <w:jc w:val="center"/>
              <w:rPr>
                <w:rFonts w:eastAsia="MS Mincho"/>
              </w:rPr>
            </w:pPr>
            <w:r w:rsidRPr="004A5F8B">
              <w:rPr>
                <w:rFonts w:eastAsia="MS Mincho"/>
              </w:rPr>
              <w:t>(5.1%)</w:t>
            </w:r>
          </w:p>
        </w:tc>
        <w:tc>
          <w:tcPr>
            <w:tcW w:w="990" w:type="pct"/>
            <w:shd w:val="clear" w:color="auto" w:fill="auto"/>
            <w:tcMar>
              <w:left w:w="28" w:type="dxa"/>
              <w:right w:w="28" w:type="dxa"/>
            </w:tcMar>
            <w:vAlign w:val="center"/>
          </w:tcPr>
          <w:p w:rsidR="00F523E8" w:rsidRPr="004A5F8B" w:rsidRDefault="00F523E8" w:rsidP="00A5263B">
            <w:pPr>
              <w:pStyle w:val="Tablewriting"/>
              <w:keepNext/>
              <w:jc w:val="center"/>
              <w:rPr>
                <w:rFonts w:eastAsia="MS Mincho"/>
              </w:rPr>
            </w:pPr>
            <w:r w:rsidRPr="004A5F8B">
              <w:rPr>
                <w:rFonts w:eastAsia="MS Mincho"/>
              </w:rPr>
              <w:t>9/104</w:t>
            </w:r>
          </w:p>
          <w:p w:rsidR="00F523E8" w:rsidRPr="004A5F8B" w:rsidRDefault="00F523E8" w:rsidP="00A5263B">
            <w:pPr>
              <w:pStyle w:val="Tablewriting"/>
              <w:keepNext/>
              <w:jc w:val="center"/>
              <w:rPr>
                <w:rFonts w:eastAsia="MS Mincho"/>
              </w:rPr>
            </w:pPr>
            <w:r w:rsidRPr="004A5F8B">
              <w:rPr>
                <w:rFonts w:eastAsia="MS Mincho"/>
              </w:rPr>
              <w:t>(8.7%)</w:t>
            </w:r>
          </w:p>
        </w:tc>
        <w:tc>
          <w:tcPr>
            <w:tcW w:w="989" w:type="pct"/>
            <w:shd w:val="clear" w:color="auto" w:fill="auto"/>
            <w:tcMar>
              <w:left w:w="28" w:type="dxa"/>
              <w:right w:w="28" w:type="dxa"/>
            </w:tcMar>
            <w:vAlign w:val="center"/>
          </w:tcPr>
          <w:p w:rsidR="00F523E8" w:rsidRDefault="00F523E8" w:rsidP="00A5263B">
            <w:pPr>
              <w:pStyle w:val="Tablewriting"/>
              <w:keepNext/>
              <w:jc w:val="center"/>
              <w:rPr>
                <w:rFonts w:eastAsia="MS Mincho"/>
              </w:rPr>
            </w:pPr>
            <w:r>
              <w:rPr>
                <w:rFonts w:eastAsia="MS Mincho"/>
              </w:rPr>
              <w:t>0.59</w:t>
            </w:r>
          </w:p>
          <w:p w:rsidR="00F523E8" w:rsidRPr="00D86FCC" w:rsidRDefault="00F523E8" w:rsidP="00A5263B">
            <w:pPr>
              <w:pStyle w:val="Tablewriting"/>
              <w:keepNext/>
              <w:jc w:val="center"/>
              <w:rPr>
                <w:rFonts w:eastAsia="MS Mincho"/>
              </w:rPr>
            </w:pPr>
            <w:r>
              <w:rPr>
                <w:rFonts w:eastAsia="MS Mincho"/>
              </w:rPr>
              <w:t>(0.22, 1.6)</w:t>
            </w:r>
          </w:p>
        </w:tc>
      </w:tr>
    </w:tbl>
    <w:p w:rsidR="00F523E8" w:rsidRPr="00566F12" w:rsidRDefault="00F523E8" w:rsidP="00F523E8">
      <w:pPr>
        <w:pStyle w:val="TableFooter"/>
        <w:keepNext/>
      </w:pPr>
      <w:r w:rsidRPr="00566F12">
        <w:t>Source: Lindson et al. (2019).</w:t>
      </w:r>
    </w:p>
    <w:p w:rsidR="00F523E8" w:rsidRPr="00566F12" w:rsidRDefault="00F523E8" w:rsidP="00F523E8">
      <w:pPr>
        <w:pStyle w:val="TableFooter"/>
        <w:keepNext/>
        <w:rPr>
          <w:i/>
        </w:rPr>
      </w:pPr>
      <w:r w:rsidRPr="00566F12">
        <w:t xml:space="preserve">Abbreviations: CI = confidence interval; RCT = randomised controlled trial; RR = risk ratio </w:t>
      </w:r>
    </w:p>
    <w:p w:rsidR="00F523E8" w:rsidRDefault="00F523E8" w:rsidP="00F523E8">
      <w:pPr>
        <w:pStyle w:val="TableFooter"/>
      </w:pPr>
      <w:r w:rsidRPr="00566F12">
        <w:t>Notes:</w:t>
      </w:r>
      <w:r>
        <w:t xml:space="preserve"> </w:t>
      </w:r>
      <w:r w:rsidRPr="00566F12">
        <w:br/>
      </w:r>
      <w:r>
        <w:t>1</w:t>
      </w:r>
      <w:r w:rsidRPr="00E42DF3">
        <w:t xml:space="preserve"> </w:t>
      </w:r>
      <w:r w:rsidR="001020B5">
        <w:t>Calculated by Cochrane Review authors using a fixed-effect model</w:t>
      </w:r>
      <w:r w:rsidR="00ED0CBA">
        <w:t>.</w:t>
      </w:r>
    </w:p>
    <w:p w:rsidR="00F523E8" w:rsidRDefault="00F523E8" w:rsidP="00D15590">
      <w:r w:rsidRPr="00F136E9">
        <w:t>The results of the individual studies</w:t>
      </w:r>
      <w:r>
        <w:t xml:space="preserve"> </w:t>
      </w:r>
      <w:r w:rsidR="00255A5F">
        <w:t xml:space="preserve">included in </w:t>
      </w:r>
      <w:r w:rsidR="00D91DA4">
        <w:t xml:space="preserve">Hartmann-Boyce et al. </w:t>
      </w:r>
      <w:r w:rsidR="00255A5F">
        <w:t xml:space="preserve">(2018, based on updated re-analysis) and Lindson et al. (2019) </w:t>
      </w:r>
      <w:r w:rsidRPr="00F136E9">
        <w:t>are presented using a forest plot in</w:t>
      </w:r>
      <w:r>
        <w:t xml:space="preserve"> </w:t>
      </w:r>
      <w:r w:rsidR="003C4A1C">
        <w:t>Figure 35</w:t>
      </w:r>
      <w:r w:rsidR="00FD268C">
        <w:t xml:space="preserve"> and</w:t>
      </w:r>
      <w:r w:rsidR="001A24E5">
        <w:t xml:space="preserve"> </w:t>
      </w:r>
      <w:r w:rsidR="003C4A1C">
        <w:t>Figure 36</w:t>
      </w:r>
      <w:r w:rsidR="00FD268C">
        <w:t>.</w:t>
      </w:r>
      <w:r>
        <w:t xml:space="preserve"> </w:t>
      </w:r>
    </w:p>
    <w:p w:rsidR="00F523E8" w:rsidRDefault="00F523E8" w:rsidP="00F523E8">
      <w:pPr>
        <w:pStyle w:val="TableFooter"/>
        <w:rPr>
          <w:sz w:val="24"/>
        </w:rPr>
      </w:pPr>
    </w:p>
    <w:p w:rsidR="00F523E8" w:rsidRDefault="00F523E8" w:rsidP="00F523E8">
      <w:pPr>
        <w:pStyle w:val="TableFooter"/>
      </w:pPr>
    </w:p>
    <w:p w:rsidR="00AA1849" w:rsidRDefault="00625508" w:rsidP="00AA1849">
      <w:pPr>
        <w:pStyle w:val="TableFooter"/>
        <w:keepNext/>
      </w:pPr>
      <w:r>
        <w:rPr>
          <w:noProof/>
        </w:rPr>
        <w:lastRenderedPageBreak/>
        <w:drawing>
          <wp:inline distT="0" distB="0" distL="0" distR="0" wp14:anchorId="31BB482D" wp14:editId="2A1FE949">
            <wp:extent cx="5731510" cy="1564640"/>
            <wp:effectExtent l="0" t="0" r="254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pic:nvPicPr>
                  <pic:blipFill>
                    <a:blip r:embed="rId55">
                      <a:extLst>
                        <a:ext uri="{28A0092B-C50C-407E-A947-70E740481C1C}">
                          <a14:useLocalDpi xmlns:a14="http://schemas.microsoft.com/office/drawing/2010/main" val="0"/>
                        </a:ext>
                      </a:extLst>
                    </a:blip>
                    <a:stretch>
                      <a:fillRect/>
                    </a:stretch>
                  </pic:blipFill>
                  <pic:spPr>
                    <a:xfrm>
                      <a:off x="0" y="0"/>
                      <a:ext cx="5731510" cy="1564640"/>
                    </a:xfrm>
                    <a:prstGeom prst="rect">
                      <a:avLst/>
                    </a:prstGeom>
                  </pic:spPr>
                </pic:pic>
              </a:graphicData>
            </a:graphic>
          </wp:inline>
        </w:drawing>
      </w:r>
    </w:p>
    <w:p w:rsidR="00F523E8" w:rsidRPr="00AA1849" w:rsidRDefault="00AA1849" w:rsidP="00AA1849">
      <w:pPr>
        <w:pStyle w:val="Caption"/>
      </w:pPr>
      <w:bookmarkStart w:id="217" w:name="_Ref60909073"/>
      <w:r>
        <w:t xml:space="preserve">Figure </w:t>
      </w:r>
      <w:r w:rsidR="003C4A1C">
        <w:rPr>
          <w:noProof/>
        </w:rPr>
        <w:t>35</w:t>
      </w:r>
      <w:bookmarkEnd w:id="217"/>
      <w:r>
        <w:t xml:space="preserve">: </w:t>
      </w:r>
      <w:r w:rsidRPr="00D05CAB">
        <w:t>Results of smoking cessation f</w:t>
      </w:r>
      <w:r w:rsidR="00BC68E9">
        <w:t>or</w:t>
      </w:r>
      <w:r w:rsidRPr="00D05CAB">
        <w:t xml:space="preserve"> at least six months follow-up </w:t>
      </w:r>
      <w:r w:rsidR="00625508">
        <w:t>based on updated re-analysis of</w:t>
      </w:r>
      <w:r w:rsidRPr="00D05CAB">
        <w:t xml:space="preserve"> Hartmann-Boyce et al. </w:t>
      </w:r>
      <w:r w:rsidR="00FD268C">
        <w:t>(</w:t>
      </w:r>
      <w:r w:rsidRPr="00D05CAB">
        <w:t>2018</w:t>
      </w:r>
      <w:r w:rsidR="00FD268C">
        <w:t>)</w:t>
      </w:r>
      <w:r w:rsidRPr="00D05CAB">
        <w:t>, inhalator versus placebo</w:t>
      </w:r>
    </w:p>
    <w:p w:rsidR="001607FC" w:rsidRPr="00543DB6" w:rsidRDefault="001607FC" w:rsidP="001607FC">
      <w:pPr>
        <w:pStyle w:val="TableFooter"/>
        <w:keepNext/>
      </w:pPr>
      <w:r w:rsidRPr="00543DB6">
        <w:t xml:space="preserve">Source: </w:t>
      </w:r>
      <w:r w:rsidRPr="001607FC">
        <w:t>Hartmann-Boyce et al. (2018</w:t>
      </w:r>
      <w:r>
        <w:t>)</w:t>
      </w:r>
    </w:p>
    <w:p w:rsidR="001607FC" w:rsidRPr="001607FC" w:rsidRDefault="001607FC" w:rsidP="001607FC">
      <w:pPr>
        <w:pStyle w:val="TableFooter"/>
        <w:keepNext/>
      </w:pPr>
      <w:r w:rsidRPr="00543DB6">
        <w:t>Abbreviations: CI = confidence interval</w:t>
      </w:r>
    </w:p>
    <w:p w:rsidR="00F523E8" w:rsidRDefault="00F523E8" w:rsidP="00F523E8">
      <w:pPr>
        <w:pStyle w:val="TableFooter"/>
      </w:pPr>
    </w:p>
    <w:p w:rsidR="00F523E8" w:rsidRDefault="00F523E8" w:rsidP="00F523E8">
      <w:pPr>
        <w:pStyle w:val="TableFooter"/>
      </w:pPr>
    </w:p>
    <w:p w:rsidR="00AA1849" w:rsidRDefault="00F523E8" w:rsidP="00AA1849">
      <w:pPr>
        <w:pStyle w:val="TableFooter"/>
        <w:keepNext/>
      </w:pPr>
      <w:r>
        <w:rPr>
          <w:noProof/>
        </w:rPr>
        <w:drawing>
          <wp:inline distT="0" distB="0" distL="0" distR="0" wp14:anchorId="4D837A0F" wp14:editId="25455210">
            <wp:extent cx="5731510" cy="2174240"/>
            <wp:effectExtent l="0" t="0" r="0" b="0"/>
            <wp:docPr id="88" name="Picture 8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pic:nvPicPr>
                  <pic:blipFill>
                    <a:blip r:embed="rId56">
                      <a:extLst>
                        <a:ext uri="{28A0092B-C50C-407E-A947-70E740481C1C}">
                          <a14:useLocalDpi xmlns:a14="http://schemas.microsoft.com/office/drawing/2010/main" val="0"/>
                        </a:ext>
                      </a:extLst>
                    </a:blip>
                    <a:stretch>
                      <a:fillRect/>
                    </a:stretch>
                  </pic:blipFill>
                  <pic:spPr>
                    <a:xfrm>
                      <a:off x="0" y="0"/>
                      <a:ext cx="5731510" cy="2174240"/>
                    </a:xfrm>
                    <a:prstGeom prst="rect">
                      <a:avLst/>
                    </a:prstGeom>
                  </pic:spPr>
                </pic:pic>
              </a:graphicData>
            </a:graphic>
          </wp:inline>
        </w:drawing>
      </w:r>
    </w:p>
    <w:p w:rsidR="00AA1849" w:rsidRPr="00AA1849" w:rsidRDefault="00AA1849" w:rsidP="00F10924">
      <w:pPr>
        <w:pStyle w:val="Caption"/>
      </w:pPr>
      <w:bookmarkStart w:id="218" w:name="_Ref60909075"/>
      <w:r>
        <w:t xml:space="preserve">Figure </w:t>
      </w:r>
      <w:r w:rsidR="003C4A1C">
        <w:rPr>
          <w:noProof/>
        </w:rPr>
        <w:t>36</w:t>
      </w:r>
      <w:bookmarkEnd w:id="218"/>
      <w:r>
        <w:t xml:space="preserve">: </w:t>
      </w:r>
      <w:r w:rsidRPr="00CF75AF">
        <w:t>Results of smoking cessation f</w:t>
      </w:r>
      <w:r w:rsidR="00BC68E9">
        <w:t>or</w:t>
      </w:r>
      <w:r w:rsidRPr="00CF75AF">
        <w:t xml:space="preserve"> at least six months follow-up Lindson et al. </w:t>
      </w:r>
      <w:r w:rsidR="00FD268C">
        <w:t>(</w:t>
      </w:r>
      <w:r w:rsidRPr="00CF75AF">
        <w:t>2019</w:t>
      </w:r>
      <w:r w:rsidR="00FD268C">
        <w:t>)</w:t>
      </w:r>
      <w:r w:rsidRPr="00CF75AF">
        <w:t>, inhaler versus patch</w:t>
      </w:r>
    </w:p>
    <w:p w:rsidR="001607FC" w:rsidRPr="00543DB6" w:rsidRDefault="001607FC" w:rsidP="001607FC">
      <w:pPr>
        <w:pStyle w:val="TableFooter"/>
        <w:keepNext/>
      </w:pPr>
      <w:r w:rsidRPr="00543DB6">
        <w:t xml:space="preserve">Source: </w:t>
      </w:r>
      <w:r w:rsidRPr="001607FC">
        <w:t>Lindson et al. (2019)</w:t>
      </w:r>
    </w:p>
    <w:p w:rsidR="00F10924" w:rsidRDefault="001607FC" w:rsidP="001607FC">
      <w:pPr>
        <w:pStyle w:val="TableFooter"/>
        <w:keepNext/>
      </w:pPr>
      <w:r w:rsidRPr="00543DB6">
        <w:t>Abbreviations: CI = confidence interval</w:t>
      </w:r>
    </w:p>
    <w:p w:rsidR="004D63D8" w:rsidRPr="004D63D8" w:rsidRDefault="004D63D8" w:rsidP="004D63D8">
      <w:pPr>
        <w:rPr>
          <w:u w:val="single"/>
        </w:rPr>
      </w:pPr>
      <w:r w:rsidRPr="004D63D8">
        <w:rPr>
          <w:u w:val="single"/>
        </w:rPr>
        <w:t>Safety</w:t>
      </w:r>
    </w:p>
    <w:p w:rsidR="00C41D4F" w:rsidRDefault="00C41D4F" w:rsidP="00C41D4F">
      <w:pPr>
        <w:jc w:val="both"/>
      </w:pPr>
      <w:r w:rsidRPr="006F6381">
        <w:t xml:space="preserve">A summary of key adverse events in </w:t>
      </w:r>
      <w:r>
        <w:t>Oncken</w:t>
      </w:r>
      <w:r w:rsidRPr="006F6381">
        <w:t xml:space="preserve"> et al. (2019) for comparison of NRT inhal</w:t>
      </w:r>
      <w:r>
        <w:t>ator</w:t>
      </w:r>
      <w:r w:rsidRPr="006F6381">
        <w:t xml:space="preserve"> against </w:t>
      </w:r>
      <w:r>
        <w:t>placebo</w:t>
      </w:r>
      <w:r w:rsidRPr="006F6381">
        <w:t xml:space="preserve"> is presented in</w:t>
      </w:r>
      <w:r w:rsidR="001450A2">
        <w:t xml:space="preserve"> </w:t>
      </w:r>
      <w:r w:rsidR="003C4A1C">
        <w:t xml:space="preserve">Table </w:t>
      </w:r>
      <w:r w:rsidR="003C4A1C">
        <w:rPr>
          <w:noProof/>
        </w:rPr>
        <w:t>107</w:t>
      </w:r>
      <w:r>
        <w:t>.</w:t>
      </w:r>
      <w:r w:rsidRPr="006F6381">
        <w:t xml:space="preserve"> </w:t>
      </w:r>
      <w:r w:rsidRPr="00137551">
        <w:t>There were no safety results reported from Hartmann-Boyce et al. (2018) for the study comparing inhalator with placebo.</w:t>
      </w:r>
    </w:p>
    <w:p w:rsidR="00C41D4F" w:rsidRDefault="00C41D4F" w:rsidP="00C41D4F">
      <w:pPr>
        <w:jc w:val="both"/>
      </w:pPr>
      <w:r>
        <w:t>The results demonstrated no statistically significant difference in terms of adverse events between the two treatment arms (based on risk ratio), noting that the results were statistically significant based on risk difference (absolute effect). T</w:t>
      </w:r>
      <w:r w:rsidRPr="00F27675">
        <w:t>he incidence of preterm delivery was higher in the placebo than the nicotine group: 15% (10/67) v</w:t>
      </w:r>
      <w:r>
        <w:t>ersus</w:t>
      </w:r>
      <w:r w:rsidRPr="00F27675">
        <w:t xml:space="preserve"> 4% (3/67), respectively </w:t>
      </w:r>
      <w:r>
        <w:t>(</w:t>
      </w:r>
      <w:r w:rsidRPr="00F27675">
        <w:t xml:space="preserve">p=0.030). </w:t>
      </w:r>
      <w:r>
        <w:t>Similarly, t</w:t>
      </w:r>
      <w:r w:rsidRPr="00F27675">
        <w:t>he incidence of delivering a low-birth-weight infant was higher in the placebo than the nicotine group: 15% (10/67) v</w:t>
      </w:r>
      <w:r>
        <w:t>ersus</w:t>
      </w:r>
      <w:r w:rsidRPr="00F27675">
        <w:t xml:space="preserve"> 6% (4/67), respectively </w:t>
      </w:r>
      <w:r>
        <w:t>(</w:t>
      </w:r>
      <w:r w:rsidRPr="00F27675">
        <w:t>p=0.035</w:t>
      </w:r>
      <w:r>
        <w:t>)</w:t>
      </w:r>
      <w:r w:rsidRPr="00F27675">
        <w:t xml:space="preserve">, but not after adjusting for preterm delivery </w:t>
      </w:r>
      <w:r>
        <w:t>(</w:t>
      </w:r>
      <w:r w:rsidRPr="00F27675">
        <w:t>p=0.268</w:t>
      </w:r>
      <w:r>
        <w:t>)</w:t>
      </w:r>
      <w:r w:rsidRPr="00F27675">
        <w:t xml:space="preserve">. </w:t>
      </w:r>
    </w:p>
    <w:p w:rsidR="00C41D4F" w:rsidRDefault="00C41D4F" w:rsidP="00C41D4F">
      <w:pPr>
        <w:pStyle w:val="Caption"/>
        <w:keepNext/>
      </w:pPr>
      <w:bookmarkStart w:id="219" w:name="_Ref62119084"/>
      <w:r>
        <w:lastRenderedPageBreak/>
        <w:t xml:space="preserve">Table </w:t>
      </w:r>
      <w:r w:rsidR="003C4A1C">
        <w:rPr>
          <w:noProof/>
        </w:rPr>
        <w:t>107</w:t>
      </w:r>
      <w:bookmarkEnd w:id="219"/>
      <w:r>
        <w:t xml:space="preserve">: </w:t>
      </w:r>
      <w:r w:rsidRPr="00782DE5">
        <w:t xml:space="preserve">Summary of key adverse events in </w:t>
      </w:r>
      <w:r>
        <w:t>Oncken</w:t>
      </w:r>
      <w:r w:rsidRPr="00782DE5">
        <w:t xml:space="preserve"> et al. (2019), NRT inhal</w:t>
      </w:r>
      <w:r w:rsidR="0094501E">
        <w:t>ator</w:t>
      </w:r>
      <w:r w:rsidRPr="00782DE5">
        <w:t xml:space="preserve"> versus p</w:t>
      </w:r>
      <w:r>
        <w:t>lacebo</w:t>
      </w:r>
    </w:p>
    <w:tbl>
      <w:tblPr>
        <w:tblStyle w:val="TableGrid"/>
        <w:tblW w:w="5000" w:type="pct"/>
        <w:tblLook w:val="04A0" w:firstRow="1" w:lastRow="0" w:firstColumn="1" w:lastColumn="0" w:noHBand="0" w:noVBand="1"/>
        <w:tblCaption w:val="Efficacy results of adalimumab trials (PASI 75 and DLQI)"/>
      </w:tblPr>
      <w:tblGrid>
        <w:gridCol w:w="1067"/>
        <w:gridCol w:w="1497"/>
        <w:gridCol w:w="1634"/>
        <w:gridCol w:w="1634"/>
        <w:gridCol w:w="1592"/>
        <w:gridCol w:w="1592"/>
      </w:tblGrid>
      <w:tr w:rsidR="00C41D4F" w:rsidRPr="00061F78" w:rsidTr="00125A1C">
        <w:trPr>
          <w:cantSplit/>
          <w:trHeight w:val="299"/>
          <w:tblHeader/>
        </w:trPr>
        <w:tc>
          <w:tcPr>
            <w:tcW w:w="592" w:type="pct"/>
            <w:shd w:val="clear" w:color="auto" w:fill="BFBFBF" w:themeFill="background1" w:themeFillShade="BF"/>
            <w:tcMar>
              <w:left w:w="28" w:type="dxa"/>
              <w:right w:w="28" w:type="dxa"/>
            </w:tcMar>
            <w:vAlign w:val="center"/>
          </w:tcPr>
          <w:p w:rsidR="00C41D4F" w:rsidRDefault="00C41D4F" w:rsidP="00125A1C">
            <w:pPr>
              <w:pStyle w:val="Tableheading"/>
              <w:rPr>
                <w:rFonts w:eastAsia="MS Mincho"/>
              </w:rPr>
            </w:pPr>
            <w:r>
              <w:rPr>
                <w:rFonts w:eastAsia="MS Mincho"/>
              </w:rPr>
              <w:t>Study</w:t>
            </w:r>
          </w:p>
        </w:tc>
        <w:tc>
          <w:tcPr>
            <w:tcW w:w="830" w:type="pct"/>
            <w:shd w:val="clear" w:color="auto" w:fill="BFBFBF" w:themeFill="background1" w:themeFillShade="BF"/>
            <w:vAlign w:val="center"/>
          </w:tcPr>
          <w:p w:rsidR="00C41D4F" w:rsidRDefault="00C41D4F" w:rsidP="00125A1C">
            <w:pPr>
              <w:pStyle w:val="Tableheading"/>
              <w:jc w:val="center"/>
              <w:rPr>
                <w:rFonts w:eastAsia="MS Mincho"/>
              </w:rPr>
            </w:pPr>
            <w:r>
              <w:rPr>
                <w:rFonts w:eastAsia="MS Mincho"/>
              </w:rPr>
              <w:t>Study type</w:t>
            </w:r>
          </w:p>
        </w:tc>
        <w:tc>
          <w:tcPr>
            <w:tcW w:w="906" w:type="pct"/>
            <w:shd w:val="clear" w:color="auto" w:fill="BFBFBF" w:themeFill="background1" w:themeFillShade="BF"/>
            <w:tcMar>
              <w:left w:w="28" w:type="dxa"/>
              <w:right w:w="28" w:type="dxa"/>
            </w:tcMar>
            <w:vAlign w:val="center"/>
          </w:tcPr>
          <w:p w:rsidR="00C41D4F" w:rsidRPr="00061F78" w:rsidRDefault="00C41D4F" w:rsidP="00125A1C">
            <w:pPr>
              <w:pStyle w:val="Tableheading"/>
              <w:jc w:val="center"/>
              <w:rPr>
                <w:rFonts w:eastAsia="MS Mincho"/>
              </w:rPr>
            </w:pPr>
            <w:r>
              <w:rPr>
                <w:rFonts w:eastAsia="MS Mincho"/>
              </w:rPr>
              <w:t>Inhal</w:t>
            </w:r>
            <w:r w:rsidR="0094501E">
              <w:rPr>
                <w:rFonts w:eastAsia="MS Mincho"/>
              </w:rPr>
              <w:t>ator</w:t>
            </w:r>
          </w:p>
        </w:tc>
        <w:tc>
          <w:tcPr>
            <w:tcW w:w="906" w:type="pct"/>
            <w:shd w:val="clear" w:color="auto" w:fill="BFBFBF" w:themeFill="background1" w:themeFillShade="BF"/>
            <w:tcMar>
              <w:left w:w="28" w:type="dxa"/>
              <w:right w:w="28" w:type="dxa"/>
            </w:tcMar>
            <w:vAlign w:val="center"/>
          </w:tcPr>
          <w:p w:rsidR="00C41D4F" w:rsidRPr="00061F78" w:rsidRDefault="00C41D4F" w:rsidP="00125A1C">
            <w:pPr>
              <w:pStyle w:val="Tableheading"/>
              <w:jc w:val="center"/>
              <w:rPr>
                <w:rFonts w:eastAsia="MS Mincho"/>
              </w:rPr>
            </w:pPr>
            <w:r>
              <w:rPr>
                <w:rFonts w:eastAsia="MS Mincho"/>
              </w:rPr>
              <w:t>Placebo</w:t>
            </w:r>
          </w:p>
        </w:tc>
        <w:tc>
          <w:tcPr>
            <w:tcW w:w="883" w:type="pct"/>
            <w:shd w:val="clear" w:color="auto" w:fill="BFBFBF" w:themeFill="background1" w:themeFillShade="BF"/>
            <w:tcMar>
              <w:left w:w="28" w:type="dxa"/>
              <w:right w:w="28" w:type="dxa"/>
            </w:tcMar>
            <w:vAlign w:val="center"/>
          </w:tcPr>
          <w:p w:rsidR="00C41D4F" w:rsidRPr="00681ACA" w:rsidRDefault="00C41D4F" w:rsidP="00125A1C">
            <w:pPr>
              <w:pStyle w:val="Tableheading"/>
              <w:jc w:val="center"/>
              <w:rPr>
                <w:rFonts w:eastAsia="MS Mincho"/>
                <w:vertAlign w:val="superscript"/>
              </w:rPr>
            </w:pPr>
            <w:r>
              <w:rPr>
                <w:rFonts w:eastAsia="MS Mincho"/>
              </w:rPr>
              <w:t>RR (95% CI)</w:t>
            </w:r>
            <w:r w:rsidR="001450A2">
              <w:rPr>
                <w:rFonts w:eastAsia="MS Mincho"/>
                <w:vertAlign w:val="superscript"/>
              </w:rPr>
              <w:t>1</w:t>
            </w:r>
          </w:p>
        </w:tc>
        <w:tc>
          <w:tcPr>
            <w:tcW w:w="883" w:type="pct"/>
            <w:shd w:val="clear" w:color="auto" w:fill="BFBFBF" w:themeFill="background1" w:themeFillShade="BF"/>
          </w:tcPr>
          <w:p w:rsidR="00C41D4F" w:rsidRDefault="00C41D4F" w:rsidP="00125A1C">
            <w:pPr>
              <w:pStyle w:val="Tableheading"/>
              <w:jc w:val="center"/>
              <w:rPr>
                <w:rFonts w:eastAsia="MS Mincho"/>
              </w:rPr>
            </w:pPr>
            <w:r>
              <w:rPr>
                <w:rFonts w:eastAsia="MS Mincho"/>
              </w:rPr>
              <w:t>RD (95% CI)</w:t>
            </w:r>
            <w:r w:rsidR="001450A2">
              <w:rPr>
                <w:rFonts w:eastAsia="MS Mincho"/>
                <w:vertAlign w:val="superscript"/>
              </w:rPr>
              <w:t>1</w:t>
            </w:r>
          </w:p>
        </w:tc>
      </w:tr>
      <w:tr w:rsidR="00C41D4F" w:rsidRPr="00061F78" w:rsidTr="00DB128B">
        <w:trPr>
          <w:cantSplit/>
          <w:trHeight w:val="99"/>
        </w:trPr>
        <w:tc>
          <w:tcPr>
            <w:tcW w:w="5000" w:type="pct"/>
            <w:gridSpan w:val="6"/>
            <w:shd w:val="clear" w:color="auto" w:fill="auto"/>
            <w:tcMar>
              <w:left w:w="28" w:type="dxa"/>
              <w:right w:w="28" w:type="dxa"/>
            </w:tcMar>
            <w:vAlign w:val="center"/>
          </w:tcPr>
          <w:p w:rsidR="00C41D4F" w:rsidRPr="00DB128B" w:rsidRDefault="00C41D4F" w:rsidP="00125A1C">
            <w:pPr>
              <w:pStyle w:val="Tablewriting"/>
              <w:rPr>
                <w:rFonts w:eastAsia="MS Mincho"/>
                <w:b/>
              </w:rPr>
            </w:pPr>
            <w:r w:rsidRPr="00DB128B">
              <w:rPr>
                <w:rFonts w:eastAsia="MS Mincho"/>
                <w:b/>
              </w:rPr>
              <w:t>Adverse events</w:t>
            </w:r>
          </w:p>
        </w:tc>
      </w:tr>
      <w:tr w:rsidR="00C41D4F" w:rsidRPr="00061F78" w:rsidTr="00125A1C">
        <w:trPr>
          <w:cantSplit/>
          <w:trHeight w:val="99"/>
        </w:trPr>
        <w:tc>
          <w:tcPr>
            <w:tcW w:w="592" w:type="pct"/>
            <w:shd w:val="clear" w:color="auto" w:fill="auto"/>
            <w:tcMar>
              <w:left w:w="28" w:type="dxa"/>
              <w:right w:w="28" w:type="dxa"/>
            </w:tcMar>
            <w:vAlign w:val="center"/>
          </w:tcPr>
          <w:p w:rsidR="00C41D4F" w:rsidRDefault="00C41D4F" w:rsidP="00125A1C">
            <w:pPr>
              <w:pStyle w:val="Tablewriting"/>
              <w:rPr>
                <w:rFonts w:eastAsia="MS Mincho"/>
              </w:rPr>
            </w:pPr>
            <w:r>
              <w:rPr>
                <w:rFonts w:eastAsia="MS Mincho"/>
              </w:rPr>
              <w:t xml:space="preserve">Oncken </w:t>
            </w:r>
          </w:p>
          <w:p w:rsidR="00C41D4F" w:rsidRPr="0031400A" w:rsidRDefault="00C41D4F" w:rsidP="00125A1C">
            <w:pPr>
              <w:pStyle w:val="Tablewriting"/>
              <w:rPr>
                <w:rFonts w:eastAsia="MS Mincho"/>
                <w:highlight w:val="yellow"/>
              </w:rPr>
            </w:pPr>
            <w:r>
              <w:rPr>
                <w:rFonts w:eastAsia="MS Mincho"/>
              </w:rPr>
              <w:t>(2019)</w:t>
            </w:r>
          </w:p>
        </w:tc>
        <w:tc>
          <w:tcPr>
            <w:tcW w:w="830" w:type="pct"/>
            <w:vAlign w:val="center"/>
          </w:tcPr>
          <w:p w:rsidR="00C41D4F" w:rsidRPr="001277A6" w:rsidRDefault="00C41D4F" w:rsidP="00125A1C">
            <w:pPr>
              <w:pStyle w:val="Tablewriting"/>
              <w:jc w:val="center"/>
              <w:rPr>
                <w:rFonts w:eastAsia="MS Mincho"/>
              </w:rPr>
            </w:pPr>
            <w:r>
              <w:rPr>
                <w:rFonts w:eastAsia="MS Mincho"/>
              </w:rPr>
              <w:t xml:space="preserve"> RCT</w:t>
            </w:r>
          </w:p>
        </w:tc>
        <w:tc>
          <w:tcPr>
            <w:tcW w:w="906" w:type="pct"/>
            <w:shd w:val="clear" w:color="auto" w:fill="auto"/>
            <w:tcMar>
              <w:left w:w="28" w:type="dxa"/>
              <w:right w:w="28" w:type="dxa"/>
            </w:tcMar>
            <w:vAlign w:val="center"/>
          </w:tcPr>
          <w:p w:rsidR="00C41D4F" w:rsidRDefault="00C41D4F" w:rsidP="00125A1C">
            <w:pPr>
              <w:pStyle w:val="Tablewriting"/>
              <w:jc w:val="center"/>
              <w:rPr>
                <w:rFonts w:eastAsia="MS Mincho"/>
              </w:rPr>
            </w:pPr>
            <w:r>
              <w:rPr>
                <w:rFonts w:eastAsia="MS Mincho"/>
              </w:rPr>
              <w:t>8/70</w:t>
            </w:r>
          </w:p>
          <w:p w:rsidR="00C41D4F" w:rsidRPr="001B08F9" w:rsidRDefault="00C41D4F" w:rsidP="00125A1C">
            <w:pPr>
              <w:pStyle w:val="Tablewriting"/>
              <w:jc w:val="center"/>
              <w:rPr>
                <w:rFonts w:eastAsia="MS Mincho"/>
              </w:rPr>
            </w:pPr>
            <w:r>
              <w:rPr>
                <w:rFonts w:eastAsia="MS Mincho"/>
              </w:rPr>
              <w:t>(11.4%)</w:t>
            </w:r>
          </w:p>
        </w:tc>
        <w:tc>
          <w:tcPr>
            <w:tcW w:w="906" w:type="pct"/>
            <w:shd w:val="clear" w:color="auto" w:fill="auto"/>
            <w:tcMar>
              <w:left w:w="28" w:type="dxa"/>
              <w:right w:w="28" w:type="dxa"/>
            </w:tcMar>
            <w:vAlign w:val="center"/>
          </w:tcPr>
          <w:p w:rsidR="00C41D4F" w:rsidRDefault="00C41D4F" w:rsidP="00125A1C">
            <w:pPr>
              <w:pStyle w:val="Tablewriting"/>
              <w:jc w:val="center"/>
              <w:rPr>
                <w:rFonts w:eastAsia="MS Mincho"/>
              </w:rPr>
            </w:pPr>
            <w:r>
              <w:rPr>
                <w:rFonts w:eastAsia="MS Mincho"/>
              </w:rPr>
              <w:t>0/67</w:t>
            </w:r>
          </w:p>
          <w:p w:rsidR="00C41D4F" w:rsidRPr="001B08F9" w:rsidRDefault="00C41D4F" w:rsidP="00125A1C">
            <w:pPr>
              <w:pStyle w:val="Tablewriting"/>
              <w:jc w:val="center"/>
              <w:rPr>
                <w:rFonts w:eastAsia="MS Mincho"/>
              </w:rPr>
            </w:pPr>
            <w:r>
              <w:rPr>
                <w:rFonts w:eastAsia="MS Mincho"/>
              </w:rPr>
              <w:t>(0%)</w:t>
            </w:r>
          </w:p>
        </w:tc>
        <w:tc>
          <w:tcPr>
            <w:tcW w:w="883" w:type="pct"/>
            <w:shd w:val="clear" w:color="auto" w:fill="auto"/>
            <w:tcMar>
              <w:left w:w="28" w:type="dxa"/>
              <w:right w:w="28" w:type="dxa"/>
            </w:tcMar>
            <w:vAlign w:val="center"/>
          </w:tcPr>
          <w:p w:rsidR="00C41D4F" w:rsidRDefault="00C41D4F" w:rsidP="00125A1C">
            <w:pPr>
              <w:pStyle w:val="Tablewriting"/>
              <w:jc w:val="center"/>
              <w:rPr>
                <w:rFonts w:eastAsia="MS Mincho"/>
                <w:bCs/>
              </w:rPr>
            </w:pPr>
            <w:r>
              <w:rPr>
                <w:rFonts w:eastAsia="MS Mincho"/>
                <w:bCs/>
              </w:rPr>
              <w:t>16.28</w:t>
            </w:r>
          </w:p>
          <w:p w:rsidR="00C41D4F" w:rsidRPr="009C6771" w:rsidRDefault="00C41D4F" w:rsidP="00125A1C">
            <w:pPr>
              <w:pStyle w:val="Tablewriting"/>
              <w:jc w:val="center"/>
              <w:rPr>
                <w:rFonts w:eastAsia="MS Mincho"/>
                <w:bCs/>
              </w:rPr>
            </w:pPr>
            <w:r>
              <w:rPr>
                <w:rFonts w:eastAsia="MS Mincho"/>
                <w:bCs/>
              </w:rPr>
              <w:t>(0.96, 276.65)</w:t>
            </w:r>
          </w:p>
        </w:tc>
        <w:tc>
          <w:tcPr>
            <w:tcW w:w="883" w:type="pct"/>
          </w:tcPr>
          <w:p w:rsidR="00C41D4F" w:rsidRPr="00137551" w:rsidRDefault="00C41D4F" w:rsidP="00125A1C">
            <w:pPr>
              <w:pStyle w:val="Tablewriting"/>
              <w:jc w:val="center"/>
              <w:rPr>
                <w:rFonts w:eastAsia="MS Mincho"/>
                <w:b/>
              </w:rPr>
            </w:pPr>
            <w:r w:rsidRPr="00137551">
              <w:rPr>
                <w:rFonts w:eastAsia="MS Mincho"/>
                <w:b/>
              </w:rPr>
              <w:t>0.11</w:t>
            </w:r>
          </w:p>
          <w:p w:rsidR="00C41D4F" w:rsidRDefault="00C41D4F" w:rsidP="00125A1C">
            <w:pPr>
              <w:pStyle w:val="Tablewriting"/>
              <w:jc w:val="center"/>
              <w:rPr>
                <w:rFonts w:eastAsia="MS Mincho"/>
                <w:bCs/>
              </w:rPr>
            </w:pPr>
            <w:r w:rsidRPr="00137551">
              <w:rPr>
                <w:rFonts w:eastAsia="MS Mincho"/>
                <w:b/>
              </w:rPr>
              <w:t>(0.04, 0.19)</w:t>
            </w:r>
          </w:p>
        </w:tc>
      </w:tr>
    </w:tbl>
    <w:p w:rsidR="00C41D4F" w:rsidRDefault="00C41D4F" w:rsidP="00C41D4F">
      <w:pPr>
        <w:pStyle w:val="TableFooter"/>
      </w:pPr>
      <w:r>
        <w:t>Source: Oncken et al. (2019)</w:t>
      </w:r>
    </w:p>
    <w:p w:rsidR="00C41D4F" w:rsidRDefault="00C41D4F" w:rsidP="00C41D4F">
      <w:pPr>
        <w:pStyle w:val="TableFooter"/>
      </w:pPr>
      <w:r>
        <w:t xml:space="preserve">Abbreviations: CI = confidence interval; RCT = randomised controlled trial; RD = risk difference; RR = risk ratio </w:t>
      </w:r>
    </w:p>
    <w:p w:rsidR="00C41D4F" w:rsidRDefault="00C41D4F" w:rsidP="00C41D4F">
      <w:pPr>
        <w:pStyle w:val="TableFooter"/>
      </w:pPr>
      <w:r w:rsidRPr="00FD4061">
        <w:t>Note</w:t>
      </w:r>
      <w:r>
        <w:t>s</w:t>
      </w:r>
      <w:r w:rsidRPr="00FD4061">
        <w:t>:</w:t>
      </w:r>
      <w:r>
        <w:t xml:space="preserve"> Bold indicates statistically significant difference. The calculated odds ratio was 18.36 (1.04, 324.74).</w:t>
      </w:r>
    </w:p>
    <w:p w:rsidR="00C41D4F" w:rsidRPr="00DE0048" w:rsidRDefault="00C41D4F" w:rsidP="00C41D4F">
      <w:pPr>
        <w:pStyle w:val="TableFooter"/>
      </w:pPr>
      <w:r>
        <w:t>1</w:t>
      </w:r>
      <w:r w:rsidRPr="00432CC7">
        <w:t xml:space="preserve"> </w:t>
      </w:r>
      <w:r w:rsidRPr="00D32EBD">
        <w:t xml:space="preserve">Calculated </w:t>
      </w:r>
      <w:r>
        <w:t>during the review</w:t>
      </w:r>
      <w:r w:rsidR="00ED0CBA">
        <w:t>.</w:t>
      </w:r>
      <w:r>
        <w:t xml:space="preserve"> </w:t>
      </w:r>
    </w:p>
    <w:p w:rsidR="00C41D4F" w:rsidRDefault="00C41D4F" w:rsidP="00C41D4F">
      <w:pPr>
        <w:jc w:val="both"/>
      </w:pPr>
      <w:r w:rsidRPr="00A67889">
        <w:t xml:space="preserve">A summary of key adverse events in Lindson et al. </w:t>
      </w:r>
      <w:r>
        <w:t>(</w:t>
      </w:r>
      <w:r w:rsidRPr="00A67889">
        <w:t>2019</w:t>
      </w:r>
      <w:r>
        <w:t>)</w:t>
      </w:r>
      <w:r w:rsidRPr="00A67889">
        <w:t xml:space="preserve"> for </w:t>
      </w:r>
      <w:r>
        <w:t>comparison of NRT inhal</w:t>
      </w:r>
      <w:r w:rsidR="0094501E">
        <w:t>ator</w:t>
      </w:r>
      <w:r>
        <w:t xml:space="preserve"> against </w:t>
      </w:r>
      <w:r w:rsidR="00573F59">
        <w:t>patches</w:t>
      </w:r>
      <w:r>
        <w:t xml:space="preserve"> </w:t>
      </w:r>
      <w:r w:rsidRPr="00A67889">
        <w:t xml:space="preserve">is presented </w:t>
      </w:r>
      <w:r w:rsidRPr="00086367">
        <w:t>in</w:t>
      </w:r>
      <w:r w:rsidR="001450A2">
        <w:t xml:space="preserve"> </w:t>
      </w:r>
      <w:r w:rsidR="003C4A1C">
        <w:t xml:space="preserve">Table </w:t>
      </w:r>
      <w:r w:rsidR="003C4A1C">
        <w:rPr>
          <w:noProof/>
        </w:rPr>
        <w:t>108</w:t>
      </w:r>
      <w:r w:rsidRPr="00086367">
        <w:t xml:space="preserve">. </w:t>
      </w:r>
      <w:r>
        <w:t xml:space="preserve">Based on </w:t>
      </w:r>
      <w:r w:rsidRPr="009D1B10">
        <w:t xml:space="preserve">Tønnesen </w:t>
      </w:r>
      <w:r>
        <w:t>et al. (</w:t>
      </w:r>
      <w:r w:rsidRPr="009D1B10">
        <w:t>2000</w:t>
      </w:r>
      <w:r>
        <w:t xml:space="preserve">), no serious adverse events were reported in both treatment arms. </w:t>
      </w:r>
    </w:p>
    <w:p w:rsidR="00C41D4F" w:rsidRDefault="00C41D4F" w:rsidP="00C41D4F">
      <w:pPr>
        <w:pStyle w:val="Caption"/>
        <w:keepNext/>
      </w:pPr>
      <w:bookmarkStart w:id="220" w:name="_Ref62119099"/>
      <w:r>
        <w:t xml:space="preserve">Table </w:t>
      </w:r>
      <w:r w:rsidR="003C4A1C">
        <w:rPr>
          <w:noProof/>
        </w:rPr>
        <w:t>108</w:t>
      </w:r>
      <w:bookmarkEnd w:id="220"/>
      <w:r>
        <w:t xml:space="preserve">: </w:t>
      </w:r>
      <w:r w:rsidRPr="00692192">
        <w:t>Summary of key adverse events in Lindson et al. (2019), NRT inhal</w:t>
      </w:r>
      <w:r w:rsidR="0094501E">
        <w:t>ator</w:t>
      </w:r>
      <w:r w:rsidRPr="00692192">
        <w:t xml:space="preserve"> versus patch</w:t>
      </w:r>
    </w:p>
    <w:tbl>
      <w:tblPr>
        <w:tblStyle w:val="TableGrid"/>
        <w:tblW w:w="5000" w:type="pct"/>
        <w:tblLook w:val="04A0" w:firstRow="1" w:lastRow="0" w:firstColumn="1" w:lastColumn="0" w:noHBand="0" w:noVBand="1"/>
        <w:tblCaption w:val="Efficacy results of adalimumab trials (PASI 75 and DLQI)"/>
      </w:tblPr>
      <w:tblGrid>
        <w:gridCol w:w="1296"/>
        <w:gridCol w:w="1818"/>
        <w:gridCol w:w="1984"/>
        <w:gridCol w:w="1985"/>
        <w:gridCol w:w="1933"/>
      </w:tblGrid>
      <w:tr w:rsidR="00C41D4F" w:rsidRPr="00061F78" w:rsidTr="00125A1C">
        <w:trPr>
          <w:cantSplit/>
          <w:trHeight w:val="299"/>
          <w:tblHeader/>
        </w:trPr>
        <w:tc>
          <w:tcPr>
            <w:tcW w:w="719" w:type="pct"/>
            <w:shd w:val="clear" w:color="auto" w:fill="BFBFBF" w:themeFill="background1" w:themeFillShade="BF"/>
            <w:tcMar>
              <w:left w:w="28" w:type="dxa"/>
              <w:right w:w="28" w:type="dxa"/>
            </w:tcMar>
            <w:vAlign w:val="center"/>
          </w:tcPr>
          <w:p w:rsidR="00C41D4F" w:rsidRDefault="00C41D4F" w:rsidP="00125A1C">
            <w:pPr>
              <w:pStyle w:val="Tableheading"/>
              <w:rPr>
                <w:rFonts w:eastAsia="MS Mincho"/>
              </w:rPr>
            </w:pPr>
            <w:r>
              <w:rPr>
                <w:rFonts w:eastAsia="MS Mincho"/>
              </w:rPr>
              <w:t>Study</w:t>
            </w:r>
          </w:p>
        </w:tc>
        <w:tc>
          <w:tcPr>
            <w:tcW w:w="1008" w:type="pct"/>
            <w:shd w:val="clear" w:color="auto" w:fill="BFBFBF" w:themeFill="background1" w:themeFillShade="BF"/>
            <w:vAlign w:val="center"/>
          </w:tcPr>
          <w:p w:rsidR="00C41D4F" w:rsidRDefault="00C41D4F" w:rsidP="00125A1C">
            <w:pPr>
              <w:pStyle w:val="Tableheading"/>
              <w:jc w:val="center"/>
              <w:rPr>
                <w:rFonts w:eastAsia="MS Mincho"/>
              </w:rPr>
            </w:pPr>
            <w:r>
              <w:rPr>
                <w:rFonts w:eastAsia="MS Mincho"/>
              </w:rPr>
              <w:t>Study type</w:t>
            </w:r>
          </w:p>
        </w:tc>
        <w:tc>
          <w:tcPr>
            <w:tcW w:w="1100" w:type="pct"/>
            <w:shd w:val="clear" w:color="auto" w:fill="BFBFBF" w:themeFill="background1" w:themeFillShade="BF"/>
            <w:tcMar>
              <w:left w:w="28" w:type="dxa"/>
              <w:right w:w="28" w:type="dxa"/>
            </w:tcMar>
            <w:vAlign w:val="center"/>
          </w:tcPr>
          <w:p w:rsidR="00C41D4F" w:rsidRPr="00061F78" w:rsidRDefault="00C41D4F" w:rsidP="00125A1C">
            <w:pPr>
              <w:pStyle w:val="Tableheading"/>
              <w:jc w:val="center"/>
              <w:rPr>
                <w:rFonts w:eastAsia="MS Mincho"/>
              </w:rPr>
            </w:pPr>
            <w:r>
              <w:rPr>
                <w:rFonts w:eastAsia="MS Mincho"/>
              </w:rPr>
              <w:t>Inhal</w:t>
            </w:r>
            <w:r w:rsidR="0094501E">
              <w:rPr>
                <w:rFonts w:eastAsia="MS Mincho"/>
              </w:rPr>
              <w:t>ator</w:t>
            </w:r>
          </w:p>
        </w:tc>
        <w:tc>
          <w:tcPr>
            <w:tcW w:w="1101" w:type="pct"/>
            <w:shd w:val="clear" w:color="auto" w:fill="BFBFBF" w:themeFill="background1" w:themeFillShade="BF"/>
            <w:tcMar>
              <w:left w:w="28" w:type="dxa"/>
              <w:right w:w="28" w:type="dxa"/>
            </w:tcMar>
            <w:vAlign w:val="center"/>
          </w:tcPr>
          <w:p w:rsidR="00C41D4F" w:rsidRPr="00061F78" w:rsidRDefault="00C41D4F" w:rsidP="00125A1C">
            <w:pPr>
              <w:pStyle w:val="Tableheading"/>
              <w:jc w:val="center"/>
              <w:rPr>
                <w:rFonts w:eastAsia="MS Mincho"/>
              </w:rPr>
            </w:pPr>
            <w:r>
              <w:rPr>
                <w:rFonts w:eastAsia="MS Mincho"/>
              </w:rPr>
              <w:t>Patch</w:t>
            </w:r>
          </w:p>
        </w:tc>
        <w:tc>
          <w:tcPr>
            <w:tcW w:w="1072" w:type="pct"/>
            <w:shd w:val="clear" w:color="auto" w:fill="BFBFBF" w:themeFill="background1" w:themeFillShade="BF"/>
            <w:tcMar>
              <w:left w:w="28" w:type="dxa"/>
              <w:right w:w="28" w:type="dxa"/>
            </w:tcMar>
            <w:vAlign w:val="center"/>
          </w:tcPr>
          <w:p w:rsidR="00C41D4F" w:rsidRPr="00681ACA" w:rsidRDefault="00C41D4F" w:rsidP="00125A1C">
            <w:pPr>
              <w:pStyle w:val="Tableheading"/>
              <w:jc w:val="center"/>
              <w:rPr>
                <w:rFonts w:eastAsia="MS Mincho"/>
                <w:vertAlign w:val="superscript"/>
              </w:rPr>
            </w:pPr>
            <w:r>
              <w:rPr>
                <w:rFonts w:eastAsia="MS Mincho"/>
              </w:rPr>
              <w:t>RR (95% CI)</w:t>
            </w:r>
            <w:r w:rsidR="001450A2">
              <w:rPr>
                <w:rFonts w:eastAsia="MS Mincho"/>
                <w:vertAlign w:val="superscript"/>
              </w:rPr>
              <w:t>1</w:t>
            </w:r>
          </w:p>
        </w:tc>
      </w:tr>
      <w:tr w:rsidR="00C41D4F" w:rsidRPr="00061F78" w:rsidTr="00DB128B">
        <w:trPr>
          <w:cantSplit/>
          <w:trHeight w:val="99"/>
        </w:trPr>
        <w:tc>
          <w:tcPr>
            <w:tcW w:w="5000" w:type="pct"/>
            <w:gridSpan w:val="5"/>
            <w:shd w:val="clear" w:color="auto" w:fill="auto"/>
            <w:tcMar>
              <w:left w:w="28" w:type="dxa"/>
              <w:right w:w="28" w:type="dxa"/>
            </w:tcMar>
            <w:vAlign w:val="center"/>
          </w:tcPr>
          <w:p w:rsidR="00C41D4F" w:rsidRPr="00DB128B" w:rsidRDefault="00C41D4F" w:rsidP="00125A1C">
            <w:pPr>
              <w:pStyle w:val="Tablewriting"/>
              <w:rPr>
                <w:rFonts w:eastAsia="MS Mincho"/>
                <w:b/>
              </w:rPr>
            </w:pPr>
            <w:r w:rsidRPr="00DB128B">
              <w:rPr>
                <w:rFonts w:eastAsia="MS Mincho"/>
                <w:b/>
              </w:rPr>
              <w:t>Overall SAEs</w:t>
            </w:r>
          </w:p>
        </w:tc>
      </w:tr>
      <w:tr w:rsidR="00C41D4F" w:rsidRPr="00061F78" w:rsidTr="00125A1C">
        <w:trPr>
          <w:cantSplit/>
          <w:trHeight w:val="99"/>
        </w:trPr>
        <w:tc>
          <w:tcPr>
            <w:tcW w:w="719" w:type="pct"/>
            <w:shd w:val="clear" w:color="auto" w:fill="auto"/>
            <w:tcMar>
              <w:left w:w="28" w:type="dxa"/>
              <w:right w:w="28" w:type="dxa"/>
            </w:tcMar>
            <w:vAlign w:val="center"/>
          </w:tcPr>
          <w:p w:rsidR="00C41D4F" w:rsidRDefault="00C41D4F" w:rsidP="00125A1C">
            <w:pPr>
              <w:pStyle w:val="Tablewriting"/>
              <w:rPr>
                <w:rFonts w:eastAsia="MS Mincho"/>
              </w:rPr>
            </w:pPr>
            <w:r>
              <w:rPr>
                <w:rFonts w:eastAsia="MS Mincho"/>
              </w:rPr>
              <w:t xml:space="preserve">Lindson </w:t>
            </w:r>
          </w:p>
          <w:p w:rsidR="00C41D4F" w:rsidRPr="0031400A" w:rsidRDefault="00C41D4F" w:rsidP="00125A1C">
            <w:pPr>
              <w:pStyle w:val="Tablewriting"/>
              <w:rPr>
                <w:rFonts w:eastAsia="MS Mincho"/>
                <w:highlight w:val="yellow"/>
              </w:rPr>
            </w:pPr>
            <w:r>
              <w:rPr>
                <w:rFonts w:eastAsia="MS Mincho"/>
              </w:rPr>
              <w:t>(2019)</w:t>
            </w:r>
          </w:p>
        </w:tc>
        <w:tc>
          <w:tcPr>
            <w:tcW w:w="1008" w:type="pct"/>
            <w:vAlign w:val="center"/>
          </w:tcPr>
          <w:p w:rsidR="00C41D4F" w:rsidRDefault="00C41D4F" w:rsidP="00125A1C">
            <w:pPr>
              <w:pStyle w:val="Tablewriting"/>
              <w:jc w:val="center"/>
              <w:rPr>
                <w:rFonts w:eastAsia="MS Mincho"/>
              </w:rPr>
            </w:pPr>
            <w:r>
              <w:rPr>
                <w:rFonts w:eastAsia="MS Mincho"/>
              </w:rPr>
              <w:t xml:space="preserve"> Cochrane Review</w:t>
            </w:r>
          </w:p>
          <w:p w:rsidR="00C41D4F" w:rsidRPr="001277A6" w:rsidRDefault="00C41D4F" w:rsidP="00125A1C">
            <w:pPr>
              <w:pStyle w:val="Tablewriting"/>
              <w:jc w:val="center"/>
              <w:rPr>
                <w:rFonts w:eastAsia="MS Mincho"/>
              </w:rPr>
            </w:pPr>
            <w:r>
              <w:rPr>
                <w:rFonts w:eastAsia="MS Mincho"/>
              </w:rPr>
              <w:t>(1 RCT)</w:t>
            </w:r>
          </w:p>
        </w:tc>
        <w:tc>
          <w:tcPr>
            <w:tcW w:w="1100" w:type="pct"/>
            <w:shd w:val="clear" w:color="auto" w:fill="auto"/>
            <w:tcMar>
              <w:left w:w="28" w:type="dxa"/>
              <w:right w:w="28" w:type="dxa"/>
            </w:tcMar>
            <w:vAlign w:val="center"/>
          </w:tcPr>
          <w:p w:rsidR="00C41D4F" w:rsidRDefault="00C41D4F" w:rsidP="00125A1C">
            <w:pPr>
              <w:pStyle w:val="Tablewriting"/>
              <w:jc w:val="center"/>
              <w:rPr>
                <w:rFonts w:eastAsia="MS Mincho"/>
              </w:rPr>
            </w:pPr>
            <w:r>
              <w:rPr>
                <w:rFonts w:eastAsia="MS Mincho"/>
              </w:rPr>
              <w:t>0/118</w:t>
            </w:r>
          </w:p>
          <w:p w:rsidR="00C41D4F" w:rsidRPr="001B08F9" w:rsidRDefault="00C41D4F" w:rsidP="00125A1C">
            <w:pPr>
              <w:pStyle w:val="Tablewriting"/>
              <w:jc w:val="center"/>
              <w:rPr>
                <w:rFonts w:eastAsia="MS Mincho"/>
              </w:rPr>
            </w:pPr>
            <w:r>
              <w:rPr>
                <w:rFonts w:eastAsia="MS Mincho"/>
              </w:rPr>
              <w:t>(0%)</w:t>
            </w:r>
          </w:p>
        </w:tc>
        <w:tc>
          <w:tcPr>
            <w:tcW w:w="1101" w:type="pct"/>
            <w:shd w:val="clear" w:color="auto" w:fill="auto"/>
            <w:tcMar>
              <w:left w:w="28" w:type="dxa"/>
              <w:right w:w="28" w:type="dxa"/>
            </w:tcMar>
            <w:vAlign w:val="center"/>
          </w:tcPr>
          <w:p w:rsidR="00C41D4F" w:rsidRDefault="00C41D4F" w:rsidP="00125A1C">
            <w:pPr>
              <w:pStyle w:val="Tablewriting"/>
              <w:jc w:val="center"/>
              <w:rPr>
                <w:rFonts w:eastAsia="MS Mincho"/>
              </w:rPr>
            </w:pPr>
            <w:r>
              <w:rPr>
                <w:rFonts w:eastAsia="MS Mincho"/>
              </w:rPr>
              <w:t>0/104</w:t>
            </w:r>
          </w:p>
          <w:p w:rsidR="00C41D4F" w:rsidRPr="001B08F9" w:rsidRDefault="00C41D4F" w:rsidP="00125A1C">
            <w:pPr>
              <w:pStyle w:val="Tablewriting"/>
              <w:jc w:val="center"/>
              <w:rPr>
                <w:rFonts w:eastAsia="MS Mincho"/>
              </w:rPr>
            </w:pPr>
            <w:r>
              <w:rPr>
                <w:rFonts w:eastAsia="MS Mincho"/>
              </w:rPr>
              <w:t>(0%)</w:t>
            </w:r>
          </w:p>
        </w:tc>
        <w:tc>
          <w:tcPr>
            <w:tcW w:w="1072" w:type="pct"/>
            <w:shd w:val="clear" w:color="auto" w:fill="auto"/>
            <w:tcMar>
              <w:left w:w="28" w:type="dxa"/>
              <w:right w:w="28" w:type="dxa"/>
            </w:tcMar>
            <w:vAlign w:val="center"/>
          </w:tcPr>
          <w:p w:rsidR="00C41D4F" w:rsidRPr="009C6771" w:rsidRDefault="00C41D4F" w:rsidP="00125A1C">
            <w:pPr>
              <w:pStyle w:val="Tablewriting"/>
              <w:jc w:val="center"/>
              <w:rPr>
                <w:rFonts w:eastAsia="MS Mincho"/>
                <w:bCs/>
              </w:rPr>
            </w:pPr>
            <w:r w:rsidRPr="009C6771">
              <w:rPr>
                <w:rFonts w:eastAsia="MS Mincho"/>
                <w:bCs/>
              </w:rPr>
              <w:t>NE</w:t>
            </w:r>
          </w:p>
        </w:tc>
      </w:tr>
    </w:tbl>
    <w:p w:rsidR="00C41D4F" w:rsidRDefault="00C41D4F" w:rsidP="00C41D4F">
      <w:pPr>
        <w:pStyle w:val="TableFooter"/>
      </w:pPr>
      <w:r>
        <w:t>Source: Lindson et al. (2019)</w:t>
      </w:r>
    </w:p>
    <w:p w:rsidR="00C41D4F" w:rsidRDefault="00C41D4F" w:rsidP="00C41D4F">
      <w:pPr>
        <w:pStyle w:val="TableFooter"/>
      </w:pPr>
      <w:r>
        <w:t xml:space="preserve">Abbreviations: CI = confidence interval; NE = not estimable; RCT = randomised controlled trial; RR = risk ratio; SAE = serious adverse event. </w:t>
      </w:r>
    </w:p>
    <w:p w:rsidR="00C41D4F" w:rsidRDefault="00C41D4F" w:rsidP="00C41D4F">
      <w:pPr>
        <w:pStyle w:val="TableFooter"/>
      </w:pPr>
      <w:r w:rsidRPr="00FD4061">
        <w:t>Note</w:t>
      </w:r>
      <w:r>
        <w:t>s</w:t>
      </w:r>
      <w:r w:rsidRPr="00FD4061">
        <w:t>:</w:t>
      </w:r>
      <w:r>
        <w:t xml:space="preserve"> </w:t>
      </w:r>
      <w:r w:rsidRPr="00B032C3">
        <w:t xml:space="preserve">See </w:t>
      </w:r>
      <w:r w:rsidRPr="00D71B48">
        <w:t xml:space="preserve">Appendix </w:t>
      </w:r>
      <w:r w:rsidR="003C4A1C">
        <w:t xml:space="preserve">Figure </w:t>
      </w:r>
      <w:r w:rsidR="003C4A1C">
        <w:rPr>
          <w:noProof/>
        </w:rPr>
        <w:t>107</w:t>
      </w:r>
      <w:r>
        <w:t xml:space="preserve"> </w:t>
      </w:r>
      <w:r w:rsidRPr="00B032C3">
        <w:t>for forest plots of the respective outcomes which included the results of individual studies.</w:t>
      </w:r>
    </w:p>
    <w:p w:rsidR="00C41D4F" w:rsidRPr="00C41D4F" w:rsidRDefault="00C41D4F" w:rsidP="00C41D4F">
      <w:pPr>
        <w:pStyle w:val="TableFooter"/>
      </w:pPr>
      <w:r>
        <w:t>1</w:t>
      </w:r>
      <w:r w:rsidRPr="00432CC7">
        <w:t xml:space="preserve"> </w:t>
      </w:r>
      <w:r w:rsidRPr="00D32EBD">
        <w:t xml:space="preserve">Calculated </w:t>
      </w:r>
      <w:r>
        <w:t>by Cochrane Review authors</w:t>
      </w:r>
      <w:r w:rsidRPr="00D32EBD">
        <w:t xml:space="preserve"> using a fixed-effect model.</w:t>
      </w:r>
      <w:r>
        <w:t xml:space="preserve"> </w:t>
      </w:r>
    </w:p>
    <w:p w:rsidR="00F523E8" w:rsidRDefault="00F523E8" w:rsidP="001C10FE">
      <w:pPr>
        <w:pStyle w:val="Heading5"/>
        <w:numPr>
          <w:ilvl w:val="0"/>
          <w:numId w:val="0"/>
        </w:numPr>
        <w:rPr>
          <w:i w:val="0"/>
        </w:rPr>
      </w:pPr>
      <w:r w:rsidRPr="008657EE">
        <w:t>Nasal/intranasal spray</w:t>
      </w:r>
    </w:p>
    <w:p w:rsidR="00C01C17" w:rsidRPr="00C01C17" w:rsidRDefault="00C01C17" w:rsidP="00C01C17">
      <w:pPr>
        <w:rPr>
          <w:u w:val="single"/>
        </w:rPr>
      </w:pPr>
      <w:r w:rsidRPr="00C01C17">
        <w:rPr>
          <w:u w:val="single"/>
        </w:rPr>
        <w:t>Efficacy</w:t>
      </w:r>
    </w:p>
    <w:p w:rsidR="00903E5A" w:rsidRDefault="00F523E8" w:rsidP="00F523E8">
      <w:pPr>
        <w:jc w:val="both"/>
      </w:pPr>
      <w:r w:rsidRPr="00F136E9">
        <w:t>A summary of smoking cessation rates</w:t>
      </w:r>
      <w:r>
        <w:t xml:space="preserve"> </w:t>
      </w:r>
      <w:r w:rsidRPr="00F136E9">
        <w:t>f</w:t>
      </w:r>
      <w:r w:rsidR="00E83076">
        <w:t>or</w:t>
      </w:r>
      <w:r w:rsidRPr="00F136E9">
        <w:t xml:space="preserve"> at least six months follow-up</w:t>
      </w:r>
      <w:r>
        <w:t xml:space="preserve"> for the comparison of NRT nasal spray versus placebo </w:t>
      </w:r>
      <w:r w:rsidRPr="00F136E9">
        <w:t xml:space="preserve">is presented </w:t>
      </w:r>
      <w:r w:rsidRPr="00657867">
        <w:t>in</w:t>
      </w:r>
      <w:r w:rsidR="00FF05E0">
        <w:t xml:space="preserve"> </w:t>
      </w:r>
      <w:r w:rsidR="003C4A1C">
        <w:t xml:space="preserve">Table </w:t>
      </w:r>
      <w:r w:rsidR="003C4A1C">
        <w:rPr>
          <w:noProof/>
        </w:rPr>
        <w:t>109</w:t>
      </w:r>
      <w:r w:rsidR="00FF05E0">
        <w:t xml:space="preserve"> and </w:t>
      </w:r>
      <w:r w:rsidR="003C4A1C">
        <w:t xml:space="preserve">Table </w:t>
      </w:r>
      <w:r w:rsidR="003C4A1C">
        <w:rPr>
          <w:noProof/>
        </w:rPr>
        <w:t>110</w:t>
      </w:r>
      <w:r w:rsidRPr="00657867">
        <w:t xml:space="preserve">. </w:t>
      </w:r>
      <w:r w:rsidR="00F962F6">
        <w:t>Based on t</w:t>
      </w:r>
      <w:r w:rsidRPr="00657867">
        <w:t xml:space="preserve">he </w:t>
      </w:r>
      <w:r w:rsidR="00F962F6">
        <w:t>Cochrane Review</w:t>
      </w:r>
      <w:r>
        <w:t xml:space="preserve"> by </w:t>
      </w:r>
      <w:r w:rsidRPr="00933815">
        <w:t xml:space="preserve">Hartmann-Boyce et al. </w:t>
      </w:r>
      <w:r w:rsidR="00F962F6">
        <w:t>(</w:t>
      </w:r>
      <w:r w:rsidRPr="00933815">
        <w:t>2018</w:t>
      </w:r>
      <w:r w:rsidR="00F962F6">
        <w:t>), the results of the meta-analysis comprising four RCTs demonstrated</w:t>
      </w:r>
      <w:r w:rsidDel="00F962F6">
        <w:t xml:space="preserve"> </w:t>
      </w:r>
      <w:r w:rsidR="00F962F6">
        <w:t>a</w:t>
      </w:r>
      <w:r w:rsidRPr="00657867">
        <w:t xml:space="preserve"> </w:t>
      </w:r>
      <w:r w:rsidRPr="006138C2">
        <w:t>statistically significant di</w:t>
      </w:r>
      <w:r>
        <w:t>ff</w:t>
      </w:r>
      <w:r w:rsidRPr="006138C2">
        <w:t xml:space="preserve">erence </w:t>
      </w:r>
      <w:r>
        <w:t xml:space="preserve">in </w:t>
      </w:r>
      <w:r w:rsidR="00F962F6">
        <w:t xml:space="preserve">smoking cessation rates between the two treatment arms, </w:t>
      </w:r>
      <w:r>
        <w:t xml:space="preserve">in favour of nasal spray. </w:t>
      </w:r>
    </w:p>
    <w:p w:rsidR="00F523E8" w:rsidRDefault="00F523E8" w:rsidP="00F523E8">
      <w:pPr>
        <w:jc w:val="both"/>
        <w:rPr>
          <w:i/>
          <w:iCs/>
        </w:rPr>
      </w:pPr>
      <w:r>
        <w:t xml:space="preserve">In contrast, the </w:t>
      </w:r>
      <w:r w:rsidR="00903E5A">
        <w:t>results of the meta-analysis comprising two RCTs conducted by</w:t>
      </w:r>
      <w:r>
        <w:t xml:space="preserve"> Lindson et al. </w:t>
      </w:r>
      <w:r w:rsidR="00903E5A">
        <w:t>(</w:t>
      </w:r>
      <w:r>
        <w:t>2019</w:t>
      </w:r>
      <w:r w:rsidR="00903E5A">
        <w:t>)</w:t>
      </w:r>
      <w:r>
        <w:t xml:space="preserve"> demonstrated no statistically significant difference </w:t>
      </w:r>
      <w:r w:rsidR="00903E5A">
        <w:t>in smoking cessation rates between</w:t>
      </w:r>
      <w:r>
        <w:t xml:space="preserve"> </w:t>
      </w:r>
      <w:r w:rsidR="00903E5A">
        <w:t>NRT</w:t>
      </w:r>
      <w:r>
        <w:t xml:space="preserve"> nasal spray </w:t>
      </w:r>
      <w:r w:rsidR="00903E5A">
        <w:t>and</w:t>
      </w:r>
      <w:r>
        <w:t xml:space="preserve"> </w:t>
      </w:r>
      <w:r w:rsidR="00573F59">
        <w:t>patches</w:t>
      </w:r>
      <w:r>
        <w:t xml:space="preserve"> (RR 0.9, 95% CI 0.64, 1.27).</w:t>
      </w:r>
    </w:p>
    <w:p w:rsidR="00C47A6B" w:rsidRDefault="00C47A6B" w:rsidP="00C47A6B">
      <w:pPr>
        <w:pStyle w:val="Caption"/>
        <w:keepNext/>
      </w:pPr>
      <w:bookmarkStart w:id="221" w:name="_Ref60846914"/>
      <w:r>
        <w:t xml:space="preserve">Table </w:t>
      </w:r>
      <w:r w:rsidR="003C4A1C">
        <w:rPr>
          <w:noProof/>
        </w:rPr>
        <w:t>109</w:t>
      </w:r>
      <w:bookmarkEnd w:id="221"/>
      <w:r>
        <w:t xml:space="preserve">: </w:t>
      </w:r>
      <w:r w:rsidRPr="00FE16AB">
        <w:t>Results of smoking cessation f</w:t>
      </w:r>
      <w:r w:rsidR="00E83076">
        <w:t>or</w:t>
      </w:r>
      <w:r w:rsidRPr="00FE16AB">
        <w:t xml:space="preserve"> at least six months follow-up, nasal spray versus placebo</w:t>
      </w:r>
    </w:p>
    <w:tbl>
      <w:tblPr>
        <w:tblStyle w:val="TableGrid"/>
        <w:tblW w:w="5000" w:type="pct"/>
        <w:tblLook w:val="04A0" w:firstRow="1" w:lastRow="0" w:firstColumn="1" w:lastColumn="0" w:noHBand="0" w:noVBand="1"/>
        <w:tblCaption w:val="Efficacy results of adalimumab trials (PASI 75 and DLQI)"/>
      </w:tblPr>
      <w:tblGrid>
        <w:gridCol w:w="1555"/>
        <w:gridCol w:w="1969"/>
        <w:gridCol w:w="1830"/>
        <w:gridCol w:w="1834"/>
        <w:gridCol w:w="1828"/>
      </w:tblGrid>
      <w:tr w:rsidR="00F523E8" w:rsidRPr="00061F78" w:rsidTr="00F977D9">
        <w:trPr>
          <w:cantSplit/>
          <w:trHeight w:val="299"/>
          <w:tblHeader/>
        </w:trPr>
        <w:tc>
          <w:tcPr>
            <w:tcW w:w="862" w:type="pct"/>
            <w:shd w:val="clear" w:color="auto" w:fill="BFBFBF" w:themeFill="background1" w:themeFillShade="BF"/>
            <w:tcMar>
              <w:left w:w="28" w:type="dxa"/>
              <w:right w:w="28" w:type="dxa"/>
            </w:tcMar>
          </w:tcPr>
          <w:p w:rsidR="00F523E8" w:rsidRPr="00061F78" w:rsidRDefault="00F523E8" w:rsidP="00C01C17">
            <w:pPr>
              <w:pStyle w:val="Tableheading"/>
              <w:rPr>
                <w:rFonts w:eastAsia="MS Mincho"/>
              </w:rPr>
            </w:pPr>
            <w:r>
              <w:rPr>
                <w:rFonts w:eastAsia="MS Mincho"/>
              </w:rPr>
              <w:t>Study</w:t>
            </w:r>
          </w:p>
        </w:tc>
        <w:tc>
          <w:tcPr>
            <w:tcW w:w="1092" w:type="pct"/>
            <w:shd w:val="clear" w:color="auto" w:fill="BFBFBF" w:themeFill="background1" w:themeFillShade="BF"/>
            <w:vAlign w:val="center"/>
          </w:tcPr>
          <w:p w:rsidR="00F523E8" w:rsidRDefault="00F523E8" w:rsidP="00C01C17">
            <w:pPr>
              <w:pStyle w:val="Tableheading"/>
              <w:jc w:val="center"/>
              <w:rPr>
                <w:rFonts w:eastAsia="MS Mincho"/>
              </w:rPr>
            </w:pPr>
            <w:r>
              <w:rPr>
                <w:rFonts w:eastAsia="MS Mincho"/>
              </w:rPr>
              <w:t>Study type</w:t>
            </w:r>
          </w:p>
        </w:tc>
        <w:tc>
          <w:tcPr>
            <w:tcW w:w="1015" w:type="pct"/>
            <w:shd w:val="clear" w:color="auto" w:fill="BFBFBF" w:themeFill="background1" w:themeFillShade="BF"/>
            <w:tcMar>
              <w:left w:w="28" w:type="dxa"/>
              <w:right w:w="28" w:type="dxa"/>
            </w:tcMar>
            <w:vAlign w:val="center"/>
          </w:tcPr>
          <w:p w:rsidR="00F523E8" w:rsidRPr="00061F78" w:rsidRDefault="00E83076" w:rsidP="00C01C17">
            <w:pPr>
              <w:pStyle w:val="Tableheading"/>
              <w:jc w:val="center"/>
              <w:rPr>
                <w:rFonts w:eastAsia="MS Mincho"/>
              </w:rPr>
            </w:pPr>
            <w:r>
              <w:rPr>
                <w:rFonts w:eastAsia="MS Mincho"/>
              </w:rPr>
              <w:t>N</w:t>
            </w:r>
            <w:r w:rsidR="00F523E8">
              <w:rPr>
                <w:rFonts w:eastAsia="MS Mincho"/>
              </w:rPr>
              <w:t>asal spray</w:t>
            </w:r>
          </w:p>
        </w:tc>
        <w:tc>
          <w:tcPr>
            <w:tcW w:w="1017" w:type="pct"/>
            <w:shd w:val="clear" w:color="auto" w:fill="BFBFBF" w:themeFill="background1" w:themeFillShade="BF"/>
            <w:tcMar>
              <w:left w:w="28" w:type="dxa"/>
              <w:right w:w="28" w:type="dxa"/>
            </w:tcMar>
            <w:vAlign w:val="center"/>
          </w:tcPr>
          <w:p w:rsidR="00F523E8" w:rsidRPr="00061F78" w:rsidRDefault="00F523E8" w:rsidP="00C01C17">
            <w:pPr>
              <w:pStyle w:val="Tableheading"/>
              <w:jc w:val="center"/>
              <w:rPr>
                <w:rFonts w:eastAsia="MS Mincho"/>
              </w:rPr>
            </w:pPr>
            <w:r>
              <w:rPr>
                <w:rFonts w:eastAsia="MS Mincho"/>
              </w:rPr>
              <w:t>Placebo</w:t>
            </w:r>
          </w:p>
        </w:tc>
        <w:tc>
          <w:tcPr>
            <w:tcW w:w="1014" w:type="pct"/>
            <w:shd w:val="clear" w:color="auto" w:fill="BFBFBF" w:themeFill="background1" w:themeFillShade="BF"/>
            <w:tcMar>
              <w:left w:w="28" w:type="dxa"/>
              <w:right w:w="28" w:type="dxa"/>
            </w:tcMar>
            <w:vAlign w:val="center"/>
          </w:tcPr>
          <w:p w:rsidR="00F523E8" w:rsidRPr="002D09A1" w:rsidRDefault="00F523E8" w:rsidP="00C01C17">
            <w:pPr>
              <w:pStyle w:val="Tableheading"/>
              <w:jc w:val="center"/>
              <w:rPr>
                <w:rFonts w:eastAsia="MS Mincho"/>
                <w:vertAlign w:val="superscript"/>
              </w:rPr>
            </w:pPr>
            <w:r>
              <w:rPr>
                <w:rFonts w:eastAsia="MS Mincho"/>
              </w:rPr>
              <w:t>RR (95% CI)</w:t>
            </w:r>
            <w:r w:rsidR="00C103C2">
              <w:rPr>
                <w:rFonts w:eastAsia="MS Mincho"/>
                <w:vertAlign w:val="superscript"/>
              </w:rPr>
              <w:t>1</w:t>
            </w:r>
          </w:p>
        </w:tc>
      </w:tr>
      <w:tr w:rsidR="00F523E8" w:rsidRPr="00061F78" w:rsidTr="00F977D9">
        <w:trPr>
          <w:cantSplit/>
          <w:trHeight w:val="99"/>
        </w:trPr>
        <w:tc>
          <w:tcPr>
            <w:tcW w:w="862" w:type="pct"/>
            <w:shd w:val="clear" w:color="auto" w:fill="auto"/>
            <w:tcMar>
              <w:left w:w="28" w:type="dxa"/>
              <w:right w:w="28" w:type="dxa"/>
            </w:tcMar>
            <w:vAlign w:val="center"/>
          </w:tcPr>
          <w:p w:rsidR="00F523E8" w:rsidRPr="005D18BC" w:rsidRDefault="00C103C2" w:rsidP="00C01C17">
            <w:pPr>
              <w:pStyle w:val="Tablewriting"/>
              <w:rPr>
                <w:rFonts w:eastAsia="MS Mincho"/>
                <w:highlight w:val="yellow"/>
              </w:rPr>
            </w:pPr>
            <w:r>
              <w:rPr>
                <w:rFonts w:eastAsia="MS Mincho"/>
              </w:rPr>
              <w:t>Hartmann-Boyce (2018)</w:t>
            </w:r>
          </w:p>
        </w:tc>
        <w:tc>
          <w:tcPr>
            <w:tcW w:w="1092" w:type="pct"/>
            <w:shd w:val="clear" w:color="auto" w:fill="auto"/>
            <w:vAlign w:val="center"/>
          </w:tcPr>
          <w:p w:rsidR="00C103C2" w:rsidRDefault="00C103C2" w:rsidP="00C01C17">
            <w:pPr>
              <w:pStyle w:val="Tablewriting"/>
              <w:jc w:val="center"/>
              <w:rPr>
                <w:rFonts w:eastAsia="MS Mincho"/>
              </w:rPr>
            </w:pPr>
            <w:r>
              <w:rPr>
                <w:rFonts w:eastAsia="MS Mincho"/>
              </w:rPr>
              <w:t xml:space="preserve">Cochrane Review </w:t>
            </w:r>
          </w:p>
          <w:p w:rsidR="00F523E8" w:rsidRPr="00A22F63" w:rsidRDefault="00C103C2" w:rsidP="00C01C17">
            <w:pPr>
              <w:pStyle w:val="Tablewriting"/>
              <w:jc w:val="center"/>
              <w:rPr>
                <w:rFonts w:eastAsia="MS Mincho"/>
              </w:rPr>
            </w:pPr>
            <w:r>
              <w:rPr>
                <w:rFonts w:eastAsia="MS Mincho"/>
              </w:rPr>
              <w:t xml:space="preserve">(4 </w:t>
            </w:r>
            <w:r w:rsidRPr="00A22F63">
              <w:rPr>
                <w:rFonts w:eastAsia="MS Mincho"/>
              </w:rPr>
              <w:t>RCT</w:t>
            </w:r>
            <w:r>
              <w:rPr>
                <w:rFonts w:eastAsia="MS Mincho"/>
              </w:rPr>
              <w:t>s)</w:t>
            </w:r>
          </w:p>
        </w:tc>
        <w:tc>
          <w:tcPr>
            <w:tcW w:w="1015" w:type="pct"/>
            <w:shd w:val="clear" w:color="auto" w:fill="auto"/>
            <w:tcMar>
              <w:left w:w="28" w:type="dxa"/>
              <w:right w:w="28" w:type="dxa"/>
            </w:tcMar>
            <w:vAlign w:val="center"/>
          </w:tcPr>
          <w:p w:rsidR="00C103C2" w:rsidRDefault="00C103C2" w:rsidP="00C01C17">
            <w:pPr>
              <w:pStyle w:val="Tablewriting"/>
              <w:jc w:val="center"/>
              <w:rPr>
                <w:rFonts w:eastAsia="MS Mincho"/>
              </w:rPr>
            </w:pPr>
            <w:r>
              <w:rPr>
                <w:rFonts w:eastAsia="MS Mincho"/>
              </w:rPr>
              <w:t>107/448</w:t>
            </w:r>
          </w:p>
          <w:p w:rsidR="00F523E8" w:rsidRPr="009A3570" w:rsidRDefault="00C103C2" w:rsidP="00C01C17">
            <w:pPr>
              <w:pStyle w:val="Tablewriting"/>
              <w:jc w:val="center"/>
              <w:rPr>
                <w:rFonts w:eastAsia="MS Mincho"/>
              </w:rPr>
            </w:pPr>
            <w:r>
              <w:rPr>
                <w:rFonts w:eastAsia="MS Mincho"/>
              </w:rPr>
              <w:t>(</w:t>
            </w:r>
            <w:r w:rsidR="00F977D9">
              <w:rPr>
                <w:rFonts w:eastAsia="MS Mincho"/>
              </w:rPr>
              <w:t>23.9</w:t>
            </w:r>
            <w:r>
              <w:rPr>
                <w:rFonts w:eastAsia="MS Mincho"/>
              </w:rPr>
              <w:t>%)</w:t>
            </w:r>
          </w:p>
        </w:tc>
        <w:tc>
          <w:tcPr>
            <w:tcW w:w="1017" w:type="pct"/>
            <w:shd w:val="clear" w:color="auto" w:fill="auto"/>
            <w:tcMar>
              <w:left w:w="28" w:type="dxa"/>
              <w:right w:w="28" w:type="dxa"/>
            </w:tcMar>
            <w:vAlign w:val="center"/>
          </w:tcPr>
          <w:p w:rsidR="00C103C2" w:rsidRDefault="00C103C2" w:rsidP="00C01C17">
            <w:pPr>
              <w:pStyle w:val="Tablewriting"/>
              <w:jc w:val="center"/>
              <w:rPr>
                <w:rFonts w:eastAsia="MS Mincho"/>
              </w:rPr>
            </w:pPr>
            <w:r>
              <w:rPr>
                <w:rFonts w:eastAsia="MS Mincho"/>
              </w:rPr>
              <w:t>52/439</w:t>
            </w:r>
          </w:p>
          <w:p w:rsidR="00F523E8" w:rsidRPr="009A3570" w:rsidRDefault="00C103C2" w:rsidP="00C01C17">
            <w:pPr>
              <w:pStyle w:val="Tablewriting"/>
              <w:jc w:val="center"/>
              <w:rPr>
                <w:rFonts w:eastAsia="MS Mincho"/>
              </w:rPr>
            </w:pPr>
            <w:r>
              <w:rPr>
                <w:rFonts w:eastAsia="MS Mincho"/>
              </w:rPr>
              <w:t>(</w:t>
            </w:r>
            <w:r w:rsidR="00B64FB2">
              <w:rPr>
                <w:rFonts w:eastAsia="MS Mincho"/>
              </w:rPr>
              <w:t>11.8</w:t>
            </w:r>
            <w:r>
              <w:rPr>
                <w:rFonts w:eastAsia="MS Mincho"/>
              </w:rPr>
              <w:t>%)</w:t>
            </w:r>
          </w:p>
        </w:tc>
        <w:tc>
          <w:tcPr>
            <w:tcW w:w="1014" w:type="pct"/>
            <w:shd w:val="clear" w:color="auto" w:fill="auto"/>
            <w:tcMar>
              <w:left w:w="28" w:type="dxa"/>
              <w:right w:w="28" w:type="dxa"/>
            </w:tcMar>
            <w:vAlign w:val="center"/>
          </w:tcPr>
          <w:p w:rsidR="00C103C2" w:rsidRPr="00A4465D" w:rsidRDefault="00C103C2" w:rsidP="00C01C17">
            <w:pPr>
              <w:pStyle w:val="Tablewriting"/>
              <w:jc w:val="center"/>
              <w:rPr>
                <w:rFonts w:eastAsia="MS Mincho"/>
                <w:b/>
                <w:bCs/>
              </w:rPr>
            </w:pPr>
            <w:r w:rsidRPr="00A4465D">
              <w:rPr>
                <w:rFonts w:eastAsia="MS Mincho"/>
                <w:b/>
                <w:bCs/>
              </w:rPr>
              <w:t>2.02</w:t>
            </w:r>
          </w:p>
          <w:p w:rsidR="00F523E8" w:rsidRPr="00D86FCC" w:rsidRDefault="00C103C2" w:rsidP="00C01C17">
            <w:pPr>
              <w:pStyle w:val="Tablewriting"/>
              <w:jc w:val="center"/>
              <w:rPr>
                <w:rFonts w:eastAsia="MS Mincho"/>
              </w:rPr>
            </w:pPr>
            <w:r w:rsidRPr="00A4465D">
              <w:rPr>
                <w:rFonts w:eastAsia="MS Mincho"/>
                <w:b/>
                <w:bCs/>
              </w:rPr>
              <w:t>(1.49, 2.73)</w:t>
            </w:r>
          </w:p>
        </w:tc>
      </w:tr>
    </w:tbl>
    <w:p w:rsidR="00F523E8" w:rsidRPr="00566F12" w:rsidRDefault="00F523E8" w:rsidP="00C01C17">
      <w:pPr>
        <w:pStyle w:val="TableFooter"/>
      </w:pPr>
      <w:r w:rsidRPr="00566F12">
        <w:t xml:space="preserve">Source: </w:t>
      </w:r>
      <w:r w:rsidRPr="00637ACA">
        <w:t xml:space="preserve">Hartmann-Boyce et al. </w:t>
      </w:r>
      <w:r w:rsidR="00C103C2">
        <w:t>(</w:t>
      </w:r>
      <w:r w:rsidRPr="00637ACA">
        <w:t>2018</w:t>
      </w:r>
      <w:r w:rsidR="00C103C2">
        <w:t>)</w:t>
      </w:r>
      <w:r w:rsidRPr="00566F12">
        <w:t>.</w:t>
      </w:r>
    </w:p>
    <w:p w:rsidR="00F523E8" w:rsidRPr="00566F12" w:rsidRDefault="00F523E8" w:rsidP="00C01C17">
      <w:pPr>
        <w:pStyle w:val="TableFooter"/>
        <w:rPr>
          <w:i/>
        </w:rPr>
      </w:pPr>
      <w:r w:rsidRPr="00566F12">
        <w:t xml:space="preserve">Abbreviations: CI = confidence interval; RCT = randomised controlled trial; RR = risk ratio </w:t>
      </w:r>
    </w:p>
    <w:p w:rsidR="00F523E8" w:rsidRPr="0046055A" w:rsidRDefault="00F523E8" w:rsidP="00C01C17">
      <w:pPr>
        <w:pStyle w:val="TableFooter"/>
        <w:rPr>
          <w:highlight w:val="yellow"/>
        </w:rPr>
      </w:pPr>
      <w:r w:rsidRPr="00566F12">
        <w:t>Notes:</w:t>
      </w:r>
      <w:r>
        <w:t xml:space="preserve"> </w:t>
      </w:r>
      <w:r w:rsidRPr="00F977D9">
        <w:t>Bold</w:t>
      </w:r>
      <w:r w:rsidRPr="00FD4061">
        <w:t xml:space="preserve"> indicates statistically significant difference</w:t>
      </w:r>
      <w:r>
        <w:t>.</w:t>
      </w:r>
      <w:r w:rsidRPr="00566F12">
        <w:br/>
      </w:r>
      <w:r>
        <w:t>1</w:t>
      </w:r>
      <w:r w:rsidRPr="007D5151">
        <w:t xml:space="preserve"> </w:t>
      </w:r>
      <w:r w:rsidR="00C103C2">
        <w:t>Calculated by Cochrane Review authors using a fixed-effect model</w:t>
      </w:r>
      <w:r w:rsidR="00ED0CBA">
        <w:t>.</w:t>
      </w:r>
      <w:r w:rsidRPr="00566F12">
        <w:t xml:space="preserve"> </w:t>
      </w:r>
    </w:p>
    <w:p w:rsidR="00E53912" w:rsidRDefault="00E53912" w:rsidP="00E53912">
      <w:pPr>
        <w:pStyle w:val="Caption"/>
        <w:keepNext/>
      </w:pPr>
      <w:bookmarkStart w:id="222" w:name="_Ref60846916"/>
      <w:r>
        <w:lastRenderedPageBreak/>
        <w:t xml:space="preserve">Table </w:t>
      </w:r>
      <w:r w:rsidR="003C4A1C">
        <w:rPr>
          <w:noProof/>
        </w:rPr>
        <w:t>110</w:t>
      </w:r>
      <w:bookmarkEnd w:id="222"/>
      <w:r>
        <w:t xml:space="preserve">: </w:t>
      </w:r>
      <w:r w:rsidRPr="00D554B3">
        <w:t>Results of smoking cessation f</w:t>
      </w:r>
      <w:r w:rsidR="00E83076">
        <w:t>or</w:t>
      </w:r>
      <w:r w:rsidRPr="00D554B3">
        <w:t xml:space="preserve"> at least six months follow-up, nasal spray versus patch</w:t>
      </w:r>
    </w:p>
    <w:tbl>
      <w:tblPr>
        <w:tblStyle w:val="TableGrid"/>
        <w:tblW w:w="5000" w:type="pct"/>
        <w:tblLook w:val="04A0" w:firstRow="1" w:lastRow="0" w:firstColumn="1" w:lastColumn="0" w:noHBand="0" w:noVBand="1"/>
        <w:tblCaption w:val="Efficacy results of adalimumab trials (PASI 75 and DLQI)"/>
      </w:tblPr>
      <w:tblGrid>
        <w:gridCol w:w="1555"/>
        <w:gridCol w:w="1985"/>
        <w:gridCol w:w="1843"/>
        <w:gridCol w:w="1895"/>
        <w:gridCol w:w="1738"/>
      </w:tblGrid>
      <w:tr w:rsidR="00F523E8" w:rsidRPr="00061F78" w:rsidTr="00C103C2">
        <w:trPr>
          <w:cantSplit/>
          <w:trHeight w:val="299"/>
          <w:tblHeader/>
        </w:trPr>
        <w:tc>
          <w:tcPr>
            <w:tcW w:w="862" w:type="pct"/>
            <w:shd w:val="clear" w:color="auto" w:fill="BFBFBF" w:themeFill="background1" w:themeFillShade="BF"/>
            <w:tcMar>
              <w:left w:w="28" w:type="dxa"/>
              <w:right w:w="28" w:type="dxa"/>
            </w:tcMar>
          </w:tcPr>
          <w:p w:rsidR="00F523E8" w:rsidRPr="00061F78" w:rsidRDefault="00F523E8" w:rsidP="00A5263B">
            <w:pPr>
              <w:pStyle w:val="Tableheading"/>
              <w:keepNext/>
              <w:rPr>
                <w:rFonts w:eastAsia="MS Mincho"/>
              </w:rPr>
            </w:pPr>
            <w:r>
              <w:rPr>
                <w:rFonts w:eastAsia="MS Mincho"/>
              </w:rPr>
              <w:t>Study</w:t>
            </w:r>
          </w:p>
        </w:tc>
        <w:tc>
          <w:tcPr>
            <w:tcW w:w="1100" w:type="pct"/>
            <w:shd w:val="clear" w:color="auto" w:fill="BFBFBF" w:themeFill="background1" w:themeFillShade="BF"/>
            <w:vAlign w:val="center"/>
          </w:tcPr>
          <w:p w:rsidR="00F523E8" w:rsidRDefault="00F523E8" w:rsidP="00A5263B">
            <w:pPr>
              <w:pStyle w:val="Tableheading"/>
              <w:keepNext/>
              <w:jc w:val="center"/>
              <w:rPr>
                <w:rFonts w:eastAsia="MS Mincho"/>
              </w:rPr>
            </w:pPr>
            <w:r>
              <w:rPr>
                <w:rFonts w:eastAsia="MS Mincho"/>
              </w:rPr>
              <w:t>Study type</w:t>
            </w:r>
          </w:p>
        </w:tc>
        <w:tc>
          <w:tcPr>
            <w:tcW w:w="1022" w:type="pct"/>
            <w:shd w:val="clear" w:color="auto" w:fill="BFBFBF" w:themeFill="background1" w:themeFillShade="BF"/>
            <w:tcMar>
              <w:left w:w="28" w:type="dxa"/>
              <w:right w:w="28" w:type="dxa"/>
            </w:tcMar>
            <w:vAlign w:val="center"/>
          </w:tcPr>
          <w:p w:rsidR="00F523E8" w:rsidRPr="00061F78" w:rsidRDefault="00F523E8" w:rsidP="00A5263B">
            <w:pPr>
              <w:pStyle w:val="Tableheading"/>
              <w:keepNext/>
              <w:jc w:val="center"/>
              <w:rPr>
                <w:rFonts w:eastAsia="MS Mincho"/>
              </w:rPr>
            </w:pPr>
            <w:r>
              <w:rPr>
                <w:rFonts w:eastAsia="MS Mincho"/>
              </w:rPr>
              <w:t>Nasal spray</w:t>
            </w:r>
          </w:p>
        </w:tc>
        <w:tc>
          <w:tcPr>
            <w:tcW w:w="1051" w:type="pct"/>
            <w:shd w:val="clear" w:color="auto" w:fill="BFBFBF" w:themeFill="background1" w:themeFillShade="BF"/>
            <w:tcMar>
              <w:left w:w="28" w:type="dxa"/>
              <w:right w:w="28" w:type="dxa"/>
            </w:tcMar>
            <w:vAlign w:val="center"/>
          </w:tcPr>
          <w:p w:rsidR="00F523E8" w:rsidRPr="00061F78" w:rsidRDefault="00F523E8" w:rsidP="00A5263B">
            <w:pPr>
              <w:pStyle w:val="Tableheading"/>
              <w:keepNext/>
              <w:jc w:val="center"/>
              <w:rPr>
                <w:rFonts w:eastAsia="MS Mincho"/>
              </w:rPr>
            </w:pPr>
            <w:r>
              <w:rPr>
                <w:rFonts w:eastAsia="MS Mincho"/>
              </w:rPr>
              <w:t>Patch</w:t>
            </w:r>
          </w:p>
        </w:tc>
        <w:tc>
          <w:tcPr>
            <w:tcW w:w="964" w:type="pct"/>
            <w:shd w:val="clear" w:color="auto" w:fill="BFBFBF" w:themeFill="background1" w:themeFillShade="BF"/>
            <w:tcMar>
              <w:left w:w="28" w:type="dxa"/>
              <w:right w:w="28" w:type="dxa"/>
            </w:tcMar>
            <w:vAlign w:val="center"/>
          </w:tcPr>
          <w:p w:rsidR="00F523E8" w:rsidRPr="002D09A1" w:rsidRDefault="00F523E8" w:rsidP="00A5263B">
            <w:pPr>
              <w:pStyle w:val="Tableheading"/>
              <w:keepNext/>
              <w:jc w:val="center"/>
              <w:rPr>
                <w:rFonts w:eastAsia="MS Mincho"/>
                <w:vertAlign w:val="superscript"/>
              </w:rPr>
            </w:pPr>
            <w:r>
              <w:rPr>
                <w:rFonts w:eastAsia="MS Mincho"/>
              </w:rPr>
              <w:t>RR (95% CI)</w:t>
            </w:r>
            <w:r w:rsidR="00C103C2">
              <w:rPr>
                <w:rFonts w:eastAsia="MS Mincho"/>
                <w:vertAlign w:val="superscript"/>
              </w:rPr>
              <w:t>1</w:t>
            </w:r>
          </w:p>
        </w:tc>
      </w:tr>
      <w:tr w:rsidR="00F523E8" w:rsidRPr="00061F78" w:rsidTr="00C103C2">
        <w:trPr>
          <w:cantSplit/>
          <w:trHeight w:val="99"/>
        </w:trPr>
        <w:tc>
          <w:tcPr>
            <w:tcW w:w="862" w:type="pct"/>
            <w:shd w:val="clear" w:color="auto" w:fill="auto"/>
            <w:tcMar>
              <w:left w:w="28" w:type="dxa"/>
              <w:right w:w="28" w:type="dxa"/>
            </w:tcMar>
            <w:vAlign w:val="center"/>
          </w:tcPr>
          <w:p w:rsidR="00C103C2" w:rsidRDefault="00C103C2" w:rsidP="00A5263B">
            <w:pPr>
              <w:pStyle w:val="Tablewriting"/>
              <w:keepNext/>
              <w:rPr>
                <w:rFonts w:eastAsia="MS Mincho"/>
              </w:rPr>
            </w:pPr>
            <w:r>
              <w:rPr>
                <w:rFonts w:eastAsia="MS Mincho"/>
              </w:rPr>
              <w:t>Lindson</w:t>
            </w:r>
          </w:p>
          <w:p w:rsidR="00F523E8" w:rsidRPr="005D18BC" w:rsidRDefault="00C103C2" w:rsidP="00A5263B">
            <w:pPr>
              <w:pStyle w:val="Tablewriting"/>
              <w:keepNext/>
              <w:rPr>
                <w:rFonts w:eastAsia="MS Mincho"/>
                <w:highlight w:val="yellow"/>
              </w:rPr>
            </w:pPr>
            <w:r w:rsidRPr="00F977D9">
              <w:rPr>
                <w:rFonts w:eastAsia="MS Mincho"/>
              </w:rPr>
              <w:t>(2019)</w:t>
            </w:r>
          </w:p>
        </w:tc>
        <w:tc>
          <w:tcPr>
            <w:tcW w:w="1100" w:type="pct"/>
            <w:shd w:val="clear" w:color="auto" w:fill="auto"/>
            <w:vAlign w:val="center"/>
          </w:tcPr>
          <w:p w:rsidR="00C103C2" w:rsidRDefault="00C103C2" w:rsidP="00A5263B">
            <w:pPr>
              <w:pStyle w:val="Tablewriting"/>
              <w:keepNext/>
              <w:jc w:val="center"/>
              <w:rPr>
                <w:rFonts w:eastAsia="MS Mincho"/>
              </w:rPr>
            </w:pPr>
            <w:r>
              <w:rPr>
                <w:rFonts w:eastAsia="MS Mincho"/>
              </w:rPr>
              <w:t>Cochrane Review</w:t>
            </w:r>
          </w:p>
          <w:p w:rsidR="00F523E8" w:rsidRPr="00A22F63" w:rsidRDefault="00C103C2" w:rsidP="00A5263B">
            <w:pPr>
              <w:pStyle w:val="Tablewriting"/>
              <w:keepNext/>
              <w:jc w:val="center"/>
              <w:rPr>
                <w:rFonts w:eastAsia="MS Mincho"/>
              </w:rPr>
            </w:pPr>
            <w:r>
              <w:rPr>
                <w:rFonts w:eastAsia="MS Mincho"/>
              </w:rPr>
              <w:t>(2 RCTs)</w:t>
            </w:r>
          </w:p>
        </w:tc>
        <w:tc>
          <w:tcPr>
            <w:tcW w:w="1022" w:type="pct"/>
            <w:shd w:val="clear" w:color="auto" w:fill="auto"/>
            <w:tcMar>
              <w:left w:w="28" w:type="dxa"/>
              <w:right w:w="28" w:type="dxa"/>
            </w:tcMar>
            <w:vAlign w:val="center"/>
          </w:tcPr>
          <w:p w:rsidR="00D91DA4" w:rsidRDefault="00D91DA4" w:rsidP="00A5263B">
            <w:pPr>
              <w:pStyle w:val="Tablewriting"/>
              <w:keepNext/>
              <w:jc w:val="center"/>
              <w:rPr>
                <w:rFonts w:eastAsia="MS Mincho"/>
              </w:rPr>
            </w:pPr>
            <w:r>
              <w:rPr>
                <w:rFonts w:eastAsia="MS Mincho"/>
              </w:rPr>
              <w:t>56/638</w:t>
            </w:r>
          </w:p>
          <w:p w:rsidR="00F523E8" w:rsidRPr="009A3570" w:rsidRDefault="00D91DA4" w:rsidP="00A5263B">
            <w:pPr>
              <w:pStyle w:val="Tablewriting"/>
              <w:keepNext/>
              <w:jc w:val="center"/>
              <w:rPr>
                <w:rFonts w:eastAsia="MS Mincho"/>
              </w:rPr>
            </w:pPr>
            <w:r>
              <w:rPr>
                <w:rFonts w:eastAsia="MS Mincho"/>
              </w:rPr>
              <w:t>(</w:t>
            </w:r>
            <w:r w:rsidR="008B5F75">
              <w:rPr>
                <w:rFonts w:eastAsia="MS Mincho"/>
              </w:rPr>
              <w:t>8.8</w:t>
            </w:r>
            <w:r>
              <w:rPr>
                <w:rFonts w:eastAsia="MS Mincho"/>
              </w:rPr>
              <w:t>%)</w:t>
            </w:r>
          </w:p>
        </w:tc>
        <w:tc>
          <w:tcPr>
            <w:tcW w:w="1051" w:type="pct"/>
            <w:shd w:val="clear" w:color="auto" w:fill="auto"/>
            <w:tcMar>
              <w:left w:w="28" w:type="dxa"/>
              <w:right w:w="28" w:type="dxa"/>
            </w:tcMar>
            <w:vAlign w:val="center"/>
          </w:tcPr>
          <w:p w:rsidR="00D91DA4" w:rsidRDefault="00D91DA4" w:rsidP="00A5263B">
            <w:pPr>
              <w:pStyle w:val="Tablewriting"/>
              <w:keepNext/>
              <w:jc w:val="center"/>
              <w:rPr>
                <w:rFonts w:eastAsia="MS Mincho"/>
              </w:rPr>
            </w:pPr>
            <w:r>
              <w:rPr>
                <w:rFonts w:eastAsia="MS Mincho"/>
              </w:rPr>
              <w:t>62/634</w:t>
            </w:r>
          </w:p>
          <w:p w:rsidR="00F523E8" w:rsidRPr="009A3570" w:rsidRDefault="00D91DA4" w:rsidP="00A5263B">
            <w:pPr>
              <w:pStyle w:val="Tablewriting"/>
              <w:keepNext/>
              <w:jc w:val="center"/>
              <w:rPr>
                <w:rFonts w:eastAsia="MS Mincho"/>
              </w:rPr>
            </w:pPr>
            <w:r>
              <w:rPr>
                <w:rFonts w:eastAsia="MS Mincho"/>
              </w:rPr>
              <w:t>(</w:t>
            </w:r>
            <w:r w:rsidR="008B5F75">
              <w:rPr>
                <w:rFonts w:eastAsia="MS Mincho"/>
              </w:rPr>
              <w:t>9.8</w:t>
            </w:r>
            <w:r>
              <w:rPr>
                <w:rFonts w:eastAsia="MS Mincho"/>
              </w:rPr>
              <w:t>%)</w:t>
            </w:r>
          </w:p>
        </w:tc>
        <w:tc>
          <w:tcPr>
            <w:tcW w:w="964" w:type="pct"/>
            <w:shd w:val="clear" w:color="auto" w:fill="auto"/>
            <w:tcMar>
              <w:left w:w="28" w:type="dxa"/>
              <w:right w:w="28" w:type="dxa"/>
            </w:tcMar>
            <w:vAlign w:val="center"/>
          </w:tcPr>
          <w:p w:rsidR="00C103C2" w:rsidRDefault="00C103C2" w:rsidP="00C103C2">
            <w:pPr>
              <w:pStyle w:val="Tablewriting"/>
              <w:keepNext/>
              <w:jc w:val="center"/>
              <w:rPr>
                <w:rFonts w:eastAsia="MS Mincho"/>
              </w:rPr>
            </w:pPr>
            <w:r>
              <w:rPr>
                <w:rFonts w:eastAsia="MS Mincho"/>
              </w:rPr>
              <w:t>0.9</w:t>
            </w:r>
          </w:p>
          <w:p w:rsidR="00F523E8" w:rsidRPr="00D86FCC" w:rsidRDefault="00C103C2" w:rsidP="00A5263B">
            <w:pPr>
              <w:pStyle w:val="Tablewriting"/>
              <w:keepNext/>
              <w:jc w:val="center"/>
              <w:rPr>
                <w:rFonts w:eastAsia="MS Mincho"/>
              </w:rPr>
            </w:pPr>
            <w:r>
              <w:rPr>
                <w:rFonts w:eastAsia="MS Mincho"/>
              </w:rPr>
              <w:t>(0.64, 1.27)</w:t>
            </w:r>
          </w:p>
        </w:tc>
      </w:tr>
    </w:tbl>
    <w:p w:rsidR="00F523E8" w:rsidRPr="00566F12" w:rsidRDefault="00F523E8" w:rsidP="00F523E8">
      <w:pPr>
        <w:pStyle w:val="TableFooter"/>
        <w:keepNext/>
      </w:pPr>
      <w:r w:rsidRPr="00566F12">
        <w:t>Source: Lindson et al. (2019).</w:t>
      </w:r>
    </w:p>
    <w:p w:rsidR="00F523E8" w:rsidRPr="004E508F" w:rsidRDefault="00F523E8" w:rsidP="00F523E8">
      <w:pPr>
        <w:pStyle w:val="TableFooter"/>
        <w:keepNext/>
        <w:rPr>
          <w:i/>
        </w:rPr>
      </w:pPr>
      <w:r w:rsidRPr="004E508F">
        <w:t xml:space="preserve">Abbreviations: CI = confidence interval; RCT = randomised controlled trial; RD = risk difference; RR = risk ratio </w:t>
      </w:r>
    </w:p>
    <w:p w:rsidR="00F523E8" w:rsidRPr="004E508F" w:rsidRDefault="00F523E8" w:rsidP="00F523E8">
      <w:pPr>
        <w:pStyle w:val="TableFooter"/>
      </w:pPr>
      <w:r w:rsidRPr="004E508F">
        <w:t xml:space="preserve">Notes: </w:t>
      </w:r>
      <w:r w:rsidRPr="004E508F">
        <w:br/>
        <w:t xml:space="preserve">1 </w:t>
      </w:r>
      <w:r w:rsidR="00C103C2">
        <w:t>Calculated by Cochrane Review authors using a fixed-effect model</w:t>
      </w:r>
      <w:r w:rsidR="00ED0CBA">
        <w:t>.</w:t>
      </w:r>
      <w:r w:rsidR="00C103C2" w:rsidRPr="00566F12">
        <w:t xml:space="preserve"> </w:t>
      </w:r>
    </w:p>
    <w:p w:rsidR="00F523E8" w:rsidRDefault="00F523E8" w:rsidP="00F523E8">
      <w:pPr>
        <w:jc w:val="both"/>
      </w:pPr>
      <w:r w:rsidRPr="00F136E9">
        <w:t>The results of the individual studies</w:t>
      </w:r>
      <w:r>
        <w:t xml:space="preserve"> relevant to NRT nasal dosage form </w:t>
      </w:r>
      <w:r w:rsidRPr="00F136E9">
        <w:t xml:space="preserve">included in </w:t>
      </w:r>
      <w:r w:rsidRPr="000E1B16">
        <w:t xml:space="preserve">Hartmann-Boyce et al. </w:t>
      </w:r>
      <w:r w:rsidR="00D91DA4">
        <w:t>(</w:t>
      </w:r>
      <w:r w:rsidRPr="000E1B16">
        <w:t>2018</w:t>
      </w:r>
      <w:r w:rsidR="00D91DA4">
        <w:t>)</w:t>
      </w:r>
      <w:r>
        <w:t xml:space="preserve"> and </w:t>
      </w:r>
      <w:r w:rsidRPr="00F136E9">
        <w:t xml:space="preserve">Lindson et al. (2019) are presented using a forest plot </w:t>
      </w:r>
      <w:r w:rsidRPr="00D6537E">
        <w:t xml:space="preserve">in </w:t>
      </w:r>
      <w:r w:rsidR="003C4A1C">
        <w:t xml:space="preserve">Figure </w:t>
      </w:r>
      <w:r w:rsidR="003C4A1C">
        <w:rPr>
          <w:noProof/>
        </w:rPr>
        <w:t>37</w:t>
      </w:r>
      <w:r w:rsidR="00D6537E" w:rsidRPr="00D6537E">
        <w:t xml:space="preserve"> and </w:t>
      </w:r>
      <w:r w:rsidR="003C4A1C">
        <w:t xml:space="preserve">Figure </w:t>
      </w:r>
      <w:r w:rsidR="003C4A1C">
        <w:rPr>
          <w:noProof/>
        </w:rPr>
        <w:t>38</w:t>
      </w:r>
      <w:r w:rsidR="00D6537E" w:rsidRPr="00D6537E">
        <w:t>.</w:t>
      </w:r>
    </w:p>
    <w:p w:rsidR="001A24E5" w:rsidRDefault="00F523E8" w:rsidP="001A24E5">
      <w:pPr>
        <w:pStyle w:val="TableFooter"/>
        <w:keepNext/>
      </w:pPr>
      <w:r>
        <w:rPr>
          <w:noProof/>
        </w:rPr>
        <w:drawing>
          <wp:inline distT="0" distB="0" distL="0" distR="0" wp14:anchorId="21855CD3" wp14:editId="6F6A00A8">
            <wp:extent cx="5731510" cy="1552575"/>
            <wp:effectExtent l="0" t="0" r="0" b="0"/>
            <wp:docPr id="80" name="Picture 80"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pic:nvPicPr>
                  <pic:blipFill>
                    <a:blip r:embed="rId57">
                      <a:extLst>
                        <a:ext uri="{28A0092B-C50C-407E-A947-70E740481C1C}">
                          <a14:useLocalDpi xmlns:a14="http://schemas.microsoft.com/office/drawing/2010/main" val="0"/>
                        </a:ext>
                      </a:extLst>
                    </a:blip>
                    <a:stretch>
                      <a:fillRect/>
                    </a:stretch>
                  </pic:blipFill>
                  <pic:spPr>
                    <a:xfrm>
                      <a:off x="0" y="0"/>
                      <a:ext cx="5731510" cy="1552575"/>
                    </a:xfrm>
                    <a:prstGeom prst="rect">
                      <a:avLst/>
                    </a:prstGeom>
                  </pic:spPr>
                </pic:pic>
              </a:graphicData>
            </a:graphic>
          </wp:inline>
        </w:drawing>
      </w:r>
    </w:p>
    <w:p w:rsidR="001A24E5" w:rsidRDefault="001A24E5" w:rsidP="001A24E5">
      <w:pPr>
        <w:pStyle w:val="Caption"/>
      </w:pPr>
      <w:bookmarkStart w:id="223" w:name="_Ref60909282"/>
      <w:r>
        <w:t xml:space="preserve">Figure </w:t>
      </w:r>
      <w:r w:rsidR="003C4A1C">
        <w:rPr>
          <w:noProof/>
        </w:rPr>
        <w:t>37</w:t>
      </w:r>
      <w:bookmarkEnd w:id="223"/>
      <w:r>
        <w:t xml:space="preserve">: </w:t>
      </w:r>
      <w:r w:rsidRPr="002B39CE">
        <w:t>Results of smoking cessation f</w:t>
      </w:r>
      <w:r w:rsidR="00E83076">
        <w:t>or</w:t>
      </w:r>
      <w:r w:rsidRPr="002B39CE">
        <w:t xml:space="preserve"> at least six months follow-up in Hartmann-Boyce et al. </w:t>
      </w:r>
      <w:r w:rsidR="00255A5F">
        <w:t>(</w:t>
      </w:r>
      <w:r w:rsidRPr="002B39CE">
        <w:t>2018</w:t>
      </w:r>
      <w:r w:rsidR="00255A5F">
        <w:t>)</w:t>
      </w:r>
      <w:r w:rsidRPr="002B39CE">
        <w:t>, nasal spray versus placebo</w:t>
      </w:r>
    </w:p>
    <w:p w:rsidR="00B958B9" w:rsidRPr="00543DB6" w:rsidRDefault="00B958B9" w:rsidP="00B958B9">
      <w:pPr>
        <w:pStyle w:val="TableFooter"/>
        <w:keepNext/>
      </w:pPr>
      <w:r w:rsidRPr="00543DB6">
        <w:t xml:space="preserve">Source: </w:t>
      </w:r>
      <w:r w:rsidRPr="001607FC">
        <w:t>Hartmann-Boyce et al. (2018</w:t>
      </w:r>
      <w:r>
        <w:t>)</w:t>
      </w:r>
    </w:p>
    <w:p w:rsidR="00B958B9" w:rsidRPr="00B958B9" w:rsidRDefault="00B958B9" w:rsidP="00B958B9">
      <w:pPr>
        <w:pStyle w:val="TableFooter"/>
        <w:keepNext/>
      </w:pPr>
      <w:r w:rsidRPr="00543DB6">
        <w:t>Abbreviations: CI = confidence interval</w:t>
      </w:r>
    </w:p>
    <w:p w:rsidR="00F523E8" w:rsidRDefault="00F523E8" w:rsidP="00F523E8">
      <w:pPr>
        <w:pStyle w:val="TableFooter"/>
        <w:rPr>
          <w:b/>
          <w:bCs/>
          <w:sz w:val="21"/>
          <w:szCs w:val="20"/>
        </w:rPr>
      </w:pPr>
    </w:p>
    <w:p w:rsidR="00F523E8" w:rsidRDefault="00F523E8" w:rsidP="00F523E8">
      <w:pPr>
        <w:pStyle w:val="TableFooter"/>
        <w:rPr>
          <w:b/>
          <w:bCs/>
          <w:sz w:val="21"/>
          <w:szCs w:val="20"/>
        </w:rPr>
      </w:pPr>
    </w:p>
    <w:p w:rsidR="001A24E5" w:rsidRDefault="00F523E8" w:rsidP="001A24E5">
      <w:pPr>
        <w:pStyle w:val="TableFooter"/>
        <w:keepNext/>
      </w:pPr>
      <w:r>
        <w:rPr>
          <w:noProof/>
        </w:rPr>
        <w:drawing>
          <wp:inline distT="0" distB="0" distL="0" distR="0" wp14:anchorId="796324DF" wp14:editId="50A82CDC">
            <wp:extent cx="5731510" cy="1207135"/>
            <wp:effectExtent l="0" t="0" r="0" b="0"/>
            <wp:docPr id="73" name="Picture 7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pic:nvPicPr>
                  <pic:blipFill>
                    <a:blip r:embed="rId58">
                      <a:extLst>
                        <a:ext uri="{28A0092B-C50C-407E-A947-70E740481C1C}">
                          <a14:useLocalDpi xmlns:a14="http://schemas.microsoft.com/office/drawing/2010/main" val="0"/>
                        </a:ext>
                      </a:extLst>
                    </a:blip>
                    <a:stretch>
                      <a:fillRect/>
                    </a:stretch>
                  </pic:blipFill>
                  <pic:spPr>
                    <a:xfrm>
                      <a:off x="0" y="0"/>
                      <a:ext cx="5731510" cy="1207135"/>
                    </a:xfrm>
                    <a:prstGeom prst="rect">
                      <a:avLst/>
                    </a:prstGeom>
                  </pic:spPr>
                </pic:pic>
              </a:graphicData>
            </a:graphic>
          </wp:inline>
        </w:drawing>
      </w:r>
    </w:p>
    <w:p w:rsidR="00F523E8" w:rsidRDefault="001A24E5" w:rsidP="001A24E5">
      <w:pPr>
        <w:pStyle w:val="Caption"/>
      </w:pPr>
      <w:bookmarkStart w:id="224" w:name="_Ref60909284"/>
      <w:r>
        <w:t xml:space="preserve">Figure </w:t>
      </w:r>
      <w:r w:rsidR="003C4A1C">
        <w:rPr>
          <w:noProof/>
        </w:rPr>
        <w:t>38</w:t>
      </w:r>
      <w:bookmarkEnd w:id="224"/>
      <w:r>
        <w:t xml:space="preserve">: </w:t>
      </w:r>
      <w:r w:rsidRPr="00AD09A9">
        <w:t>Results of smoking cessation f</w:t>
      </w:r>
      <w:r w:rsidR="00E83076">
        <w:t>or</w:t>
      </w:r>
      <w:r w:rsidRPr="00AD09A9">
        <w:t xml:space="preserve"> at least six months follow-up in Hartmann-Boyce et al. </w:t>
      </w:r>
      <w:r w:rsidR="00255A5F">
        <w:t>(</w:t>
      </w:r>
      <w:r w:rsidRPr="00AD09A9">
        <w:t>2018</w:t>
      </w:r>
      <w:r w:rsidR="00255A5F">
        <w:t>)</w:t>
      </w:r>
      <w:r w:rsidRPr="00AD09A9">
        <w:t>, nasal spray versus patch</w:t>
      </w:r>
    </w:p>
    <w:p w:rsidR="00B958B9" w:rsidRPr="00543DB6" w:rsidRDefault="00B958B9" w:rsidP="00B958B9">
      <w:pPr>
        <w:pStyle w:val="TableFooter"/>
        <w:keepNext/>
      </w:pPr>
      <w:r w:rsidRPr="00543DB6">
        <w:t xml:space="preserve">Source: </w:t>
      </w:r>
      <w:r w:rsidRPr="001607FC">
        <w:t>Hartmann-Boyce et al. (2018</w:t>
      </w:r>
      <w:r>
        <w:t>)</w:t>
      </w:r>
    </w:p>
    <w:p w:rsidR="00F523E8" w:rsidRDefault="00B958B9" w:rsidP="00B958B9">
      <w:pPr>
        <w:pStyle w:val="TableFooter"/>
        <w:keepNext/>
      </w:pPr>
      <w:r w:rsidRPr="00543DB6">
        <w:t>Abbreviations: CI = confidence interval</w:t>
      </w:r>
    </w:p>
    <w:p w:rsidR="00C01C17" w:rsidRPr="00C01C17" w:rsidRDefault="00C01C17" w:rsidP="00C01C17">
      <w:pPr>
        <w:rPr>
          <w:u w:val="single"/>
        </w:rPr>
      </w:pPr>
      <w:r w:rsidRPr="00C01C17">
        <w:rPr>
          <w:u w:val="single"/>
        </w:rPr>
        <w:t>Safety</w:t>
      </w:r>
    </w:p>
    <w:p w:rsidR="00C41D4F" w:rsidRDefault="00C41D4F" w:rsidP="00C41D4F">
      <w:pPr>
        <w:jc w:val="both"/>
      </w:pPr>
      <w:r w:rsidRPr="00A67889">
        <w:t xml:space="preserve">A summary of key adverse events in </w:t>
      </w:r>
      <w:r w:rsidRPr="000E1B16">
        <w:t xml:space="preserve">Hartmann-Boyce et al. </w:t>
      </w:r>
      <w:r>
        <w:t>(</w:t>
      </w:r>
      <w:r w:rsidRPr="000E1B16">
        <w:t>2018</w:t>
      </w:r>
      <w:r>
        <w:t>) for the comparison of intranasal spray versus placebo, and</w:t>
      </w:r>
      <w:r w:rsidRPr="00A67889">
        <w:t xml:space="preserve"> Lindson et al. </w:t>
      </w:r>
      <w:r>
        <w:t>(</w:t>
      </w:r>
      <w:r w:rsidRPr="00A67889">
        <w:t>2019</w:t>
      </w:r>
      <w:r>
        <w:t>)</w:t>
      </w:r>
      <w:r w:rsidRPr="00A67889">
        <w:t xml:space="preserve"> for </w:t>
      </w:r>
      <w:r>
        <w:t xml:space="preserve">comparison of NRT nasal spray against </w:t>
      </w:r>
      <w:r w:rsidR="00573F59">
        <w:t>patches</w:t>
      </w:r>
      <w:r>
        <w:t xml:space="preserve"> </w:t>
      </w:r>
      <w:r w:rsidRPr="00A67889">
        <w:t xml:space="preserve">is presented </w:t>
      </w:r>
      <w:r w:rsidRPr="00086367">
        <w:t>in</w:t>
      </w:r>
      <w:r>
        <w:t xml:space="preserve"> </w:t>
      </w:r>
      <w:r w:rsidR="003C4A1C">
        <w:t xml:space="preserve">Table </w:t>
      </w:r>
      <w:r w:rsidR="003C4A1C">
        <w:rPr>
          <w:noProof/>
        </w:rPr>
        <w:t>111</w:t>
      </w:r>
      <w:r w:rsidR="00DB128B">
        <w:t xml:space="preserve"> and </w:t>
      </w:r>
      <w:r w:rsidR="003C4A1C">
        <w:t xml:space="preserve">Table </w:t>
      </w:r>
      <w:r w:rsidR="003C4A1C">
        <w:rPr>
          <w:noProof/>
        </w:rPr>
        <w:t>112</w:t>
      </w:r>
      <w:r w:rsidR="00DB128B">
        <w:t>,</w:t>
      </w:r>
      <w:r>
        <w:t xml:space="preserve"> respectively</w:t>
      </w:r>
      <w:r w:rsidRPr="00086367">
        <w:t xml:space="preserve">. </w:t>
      </w:r>
    </w:p>
    <w:p w:rsidR="00C41D4F" w:rsidRPr="00A60E2F" w:rsidRDefault="00C41D4F" w:rsidP="00C41D4F">
      <w:pPr>
        <w:jc w:val="both"/>
        <w:rPr>
          <w:rFonts w:eastAsia="MS Mincho"/>
        </w:rPr>
      </w:pPr>
      <w:r>
        <w:rPr>
          <w:rFonts w:eastAsia="MS Mincho"/>
        </w:rPr>
        <w:t xml:space="preserve">Out of three RCTs comparing nasal spray against placebo which reported </w:t>
      </w:r>
      <w:r w:rsidR="003C3296" w:rsidRPr="00A60E2F">
        <w:rPr>
          <w:rFonts w:eastAsia="MS Mincho"/>
        </w:rPr>
        <w:t>p</w:t>
      </w:r>
      <w:r w:rsidRPr="00A60E2F">
        <w:rPr>
          <w:rFonts w:eastAsia="MS Mincho"/>
        </w:rPr>
        <w:t>alpitations/chest pains</w:t>
      </w:r>
      <w:r>
        <w:rPr>
          <w:rFonts w:eastAsia="MS Mincho"/>
        </w:rPr>
        <w:t xml:space="preserve"> adverse events, only one study (</w:t>
      </w:r>
      <w:r w:rsidRPr="00A60E2F">
        <w:rPr>
          <w:rFonts w:eastAsia="MS Mincho"/>
        </w:rPr>
        <w:t>Schneider 1995</w:t>
      </w:r>
      <w:r>
        <w:rPr>
          <w:rFonts w:eastAsia="MS Mincho"/>
        </w:rPr>
        <w:t xml:space="preserve">) demonstrated </w:t>
      </w:r>
      <w:r w:rsidR="009D41BD">
        <w:rPr>
          <w:rFonts w:eastAsia="MS Mincho"/>
        </w:rPr>
        <w:t xml:space="preserve">a </w:t>
      </w:r>
      <w:r>
        <w:rPr>
          <w:rFonts w:eastAsia="MS Mincho"/>
        </w:rPr>
        <w:t>significant</w:t>
      </w:r>
      <w:r w:rsidR="00A30DA1">
        <w:rPr>
          <w:rFonts w:eastAsia="MS Mincho"/>
        </w:rPr>
        <w:t>ly higher rate in the nasal spray arm</w:t>
      </w:r>
      <w:r>
        <w:rPr>
          <w:rFonts w:eastAsia="MS Mincho"/>
        </w:rPr>
        <w:t xml:space="preserve">. </w:t>
      </w:r>
      <w:r w:rsidR="00C547D5">
        <w:rPr>
          <w:rFonts w:eastAsia="MS Mincho"/>
        </w:rPr>
        <w:t>The results of the meta-analysis comprising the three RCTs</w:t>
      </w:r>
      <w:r w:rsidR="00420D42">
        <w:rPr>
          <w:rFonts w:eastAsia="MS Mincho"/>
        </w:rPr>
        <w:t xml:space="preserve"> </w:t>
      </w:r>
      <w:r w:rsidR="00420D42">
        <w:rPr>
          <w:rFonts w:eastAsia="MS Mincho"/>
        </w:rPr>
        <w:lastRenderedPageBreak/>
        <w:t>demonstrated a significantly higher incidence of palpitations/chest pains adverse</w:t>
      </w:r>
      <w:r w:rsidR="00F008B8">
        <w:rPr>
          <w:rFonts w:eastAsia="MS Mincho"/>
        </w:rPr>
        <w:t xml:space="preserve"> events in the nasal spray arm compared to placebo.</w:t>
      </w:r>
      <w:r>
        <w:rPr>
          <w:rFonts w:eastAsia="MS Mincho"/>
        </w:rPr>
        <w:t xml:space="preserve"> </w:t>
      </w:r>
    </w:p>
    <w:p w:rsidR="00C41D4F" w:rsidRDefault="00C41D4F" w:rsidP="00C41D4F">
      <w:pPr>
        <w:jc w:val="both"/>
        <w:rPr>
          <w:rFonts w:eastAsia="MS Mincho"/>
        </w:rPr>
      </w:pPr>
      <w:r>
        <w:t xml:space="preserve">Among studies comparing nasal spray versus </w:t>
      </w:r>
      <w:r w:rsidR="00573F59">
        <w:t>patches</w:t>
      </w:r>
      <w:r>
        <w:t xml:space="preserve">, </w:t>
      </w:r>
      <w:r w:rsidRPr="009D1B10">
        <w:t xml:space="preserve">Lerman </w:t>
      </w:r>
      <w:r w:rsidR="009921B8">
        <w:t>et al. (</w:t>
      </w:r>
      <w:r w:rsidRPr="009D1B10">
        <w:t>2004</w:t>
      </w:r>
      <w:r w:rsidR="009921B8">
        <w:t>)</w:t>
      </w:r>
      <w:r>
        <w:t xml:space="preserve"> reported no </w:t>
      </w:r>
      <w:r w:rsidR="002A2FBC">
        <w:t>serious adverse event</w:t>
      </w:r>
      <w:r>
        <w:t xml:space="preserve">s in </w:t>
      </w:r>
      <w:r w:rsidR="002A2FBC">
        <w:t>either</w:t>
      </w:r>
      <w:r>
        <w:t xml:space="preserve"> tr</w:t>
      </w:r>
      <w:r w:rsidR="00D705E9">
        <w:t>eatment</w:t>
      </w:r>
      <w:r>
        <w:t xml:space="preserve"> arm, while </w:t>
      </w:r>
      <w:r w:rsidRPr="005D65B1">
        <w:rPr>
          <w:rFonts w:eastAsia="MS Mincho"/>
        </w:rPr>
        <w:t>Croghan 2003</w:t>
      </w:r>
      <w:r>
        <w:rPr>
          <w:rFonts w:eastAsia="MS Mincho"/>
        </w:rPr>
        <w:t xml:space="preserve"> showed </w:t>
      </w:r>
      <w:r w:rsidR="009D41BD">
        <w:rPr>
          <w:rFonts w:eastAsia="MS Mincho"/>
        </w:rPr>
        <w:t xml:space="preserve">a </w:t>
      </w:r>
      <w:r>
        <w:rPr>
          <w:rFonts w:eastAsia="MS Mincho"/>
        </w:rPr>
        <w:t>significant</w:t>
      </w:r>
      <w:r w:rsidR="00D705E9">
        <w:rPr>
          <w:rFonts w:eastAsia="MS Mincho"/>
        </w:rPr>
        <w:t>ly higher</w:t>
      </w:r>
      <w:r>
        <w:rPr>
          <w:rFonts w:eastAsia="MS Mincho"/>
        </w:rPr>
        <w:t xml:space="preserve"> </w:t>
      </w:r>
      <w:r w:rsidR="008B12C5">
        <w:rPr>
          <w:rFonts w:eastAsia="MS Mincho"/>
        </w:rPr>
        <w:t>rate</w:t>
      </w:r>
      <w:r>
        <w:rPr>
          <w:rFonts w:eastAsia="MS Mincho"/>
        </w:rPr>
        <w:t xml:space="preserve"> of treatment withdrawals in </w:t>
      </w:r>
      <w:r w:rsidR="008B12C5">
        <w:rPr>
          <w:rFonts w:eastAsia="MS Mincho"/>
        </w:rPr>
        <w:t>the nasal spray arm</w:t>
      </w:r>
      <w:r>
        <w:rPr>
          <w:rFonts w:eastAsia="MS Mincho"/>
        </w:rPr>
        <w:t xml:space="preserve">. </w:t>
      </w:r>
    </w:p>
    <w:p w:rsidR="00C41D4F" w:rsidRDefault="00C41D4F" w:rsidP="00C41D4F">
      <w:pPr>
        <w:pStyle w:val="Caption"/>
        <w:keepNext/>
      </w:pPr>
      <w:bookmarkStart w:id="225" w:name="_Ref62122171"/>
      <w:r>
        <w:t xml:space="preserve">Table </w:t>
      </w:r>
      <w:r w:rsidR="003C4A1C">
        <w:rPr>
          <w:noProof/>
        </w:rPr>
        <w:t>111</w:t>
      </w:r>
      <w:bookmarkEnd w:id="225"/>
      <w:r>
        <w:t xml:space="preserve">: </w:t>
      </w:r>
      <w:r w:rsidRPr="00351900">
        <w:t xml:space="preserve">Summary of key adverse events in Hartmann-Boyce et al. </w:t>
      </w:r>
      <w:r>
        <w:t>(</w:t>
      </w:r>
      <w:r w:rsidRPr="00351900">
        <w:t>2018</w:t>
      </w:r>
      <w:r>
        <w:t>)</w:t>
      </w:r>
      <w:r w:rsidRPr="00351900">
        <w:t>, NRT nasal spray versus placebo</w:t>
      </w:r>
    </w:p>
    <w:tbl>
      <w:tblPr>
        <w:tblStyle w:val="TableGrid"/>
        <w:tblW w:w="5000" w:type="pct"/>
        <w:tblLook w:val="04A0" w:firstRow="1" w:lastRow="0" w:firstColumn="1" w:lastColumn="0" w:noHBand="0" w:noVBand="1"/>
        <w:tblCaption w:val="Efficacy results of adalimumab trials (PASI 75 and DLQI)"/>
      </w:tblPr>
      <w:tblGrid>
        <w:gridCol w:w="1417"/>
        <w:gridCol w:w="1416"/>
        <w:gridCol w:w="2124"/>
        <w:gridCol w:w="1843"/>
        <w:gridCol w:w="2216"/>
      </w:tblGrid>
      <w:tr w:rsidR="00C41D4F" w:rsidRPr="00061F78" w:rsidTr="00125A1C">
        <w:trPr>
          <w:cantSplit/>
          <w:trHeight w:val="299"/>
          <w:tblHeader/>
        </w:trPr>
        <w:tc>
          <w:tcPr>
            <w:tcW w:w="786" w:type="pct"/>
            <w:shd w:val="clear" w:color="auto" w:fill="BFBFBF" w:themeFill="background1" w:themeFillShade="BF"/>
            <w:tcMar>
              <w:left w:w="28" w:type="dxa"/>
              <w:right w:w="28" w:type="dxa"/>
            </w:tcMar>
            <w:vAlign w:val="center"/>
          </w:tcPr>
          <w:p w:rsidR="00C41D4F" w:rsidRDefault="00C41D4F" w:rsidP="00125A1C">
            <w:pPr>
              <w:pStyle w:val="Tableheading"/>
              <w:rPr>
                <w:rFonts w:eastAsia="MS Mincho"/>
              </w:rPr>
            </w:pPr>
            <w:r>
              <w:rPr>
                <w:rFonts w:eastAsia="MS Mincho"/>
              </w:rPr>
              <w:t>Study</w:t>
            </w:r>
          </w:p>
        </w:tc>
        <w:tc>
          <w:tcPr>
            <w:tcW w:w="785" w:type="pct"/>
            <w:shd w:val="clear" w:color="auto" w:fill="BFBFBF" w:themeFill="background1" w:themeFillShade="BF"/>
          </w:tcPr>
          <w:p w:rsidR="00C41D4F" w:rsidRDefault="00C41D4F" w:rsidP="00125A1C">
            <w:pPr>
              <w:pStyle w:val="Tableheading"/>
              <w:jc w:val="center"/>
              <w:rPr>
                <w:rFonts w:eastAsia="MS Mincho"/>
              </w:rPr>
            </w:pPr>
            <w:r>
              <w:rPr>
                <w:rFonts w:eastAsia="MS Mincho"/>
              </w:rPr>
              <w:t>Study type</w:t>
            </w:r>
          </w:p>
        </w:tc>
        <w:tc>
          <w:tcPr>
            <w:tcW w:w="1178" w:type="pct"/>
            <w:shd w:val="clear" w:color="auto" w:fill="BFBFBF" w:themeFill="background1" w:themeFillShade="BF"/>
            <w:tcMar>
              <w:left w:w="28" w:type="dxa"/>
              <w:right w:w="28" w:type="dxa"/>
            </w:tcMar>
            <w:vAlign w:val="center"/>
          </w:tcPr>
          <w:p w:rsidR="00C41D4F" w:rsidRPr="00061F78" w:rsidRDefault="001428E3" w:rsidP="00125A1C">
            <w:pPr>
              <w:pStyle w:val="Tableheading"/>
              <w:jc w:val="center"/>
              <w:rPr>
                <w:rFonts w:eastAsia="MS Mincho"/>
              </w:rPr>
            </w:pPr>
            <w:r>
              <w:rPr>
                <w:rFonts w:eastAsia="MS Mincho"/>
              </w:rPr>
              <w:t>N</w:t>
            </w:r>
            <w:r w:rsidR="00C41D4F">
              <w:rPr>
                <w:rFonts w:eastAsia="MS Mincho"/>
              </w:rPr>
              <w:t>asal spray</w:t>
            </w:r>
          </w:p>
        </w:tc>
        <w:tc>
          <w:tcPr>
            <w:tcW w:w="1022" w:type="pct"/>
            <w:shd w:val="clear" w:color="auto" w:fill="BFBFBF" w:themeFill="background1" w:themeFillShade="BF"/>
            <w:tcMar>
              <w:left w:w="28" w:type="dxa"/>
              <w:right w:w="28" w:type="dxa"/>
            </w:tcMar>
            <w:vAlign w:val="center"/>
          </w:tcPr>
          <w:p w:rsidR="00C41D4F" w:rsidRPr="00061F78" w:rsidRDefault="00C41D4F" w:rsidP="00125A1C">
            <w:pPr>
              <w:pStyle w:val="Tableheading"/>
              <w:jc w:val="center"/>
              <w:rPr>
                <w:rFonts w:eastAsia="MS Mincho"/>
              </w:rPr>
            </w:pPr>
            <w:r>
              <w:rPr>
                <w:rFonts w:eastAsia="MS Mincho"/>
              </w:rPr>
              <w:t>Placebo</w:t>
            </w:r>
          </w:p>
        </w:tc>
        <w:tc>
          <w:tcPr>
            <w:tcW w:w="1229" w:type="pct"/>
            <w:shd w:val="clear" w:color="auto" w:fill="BFBFBF" w:themeFill="background1" w:themeFillShade="BF"/>
            <w:tcMar>
              <w:left w:w="28" w:type="dxa"/>
              <w:right w:w="28" w:type="dxa"/>
            </w:tcMar>
            <w:vAlign w:val="center"/>
          </w:tcPr>
          <w:p w:rsidR="00C41D4F" w:rsidRPr="00681ACA" w:rsidRDefault="00C41D4F" w:rsidP="00125A1C">
            <w:pPr>
              <w:pStyle w:val="Tableheading"/>
              <w:jc w:val="center"/>
              <w:rPr>
                <w:rFonts w:eastAsia="MS Mincho"/>
                <w:vertAlign w:val="superscript"/>
              </w:rPr>
            </w:pPr>
            <w:r>
              <w:rPr>
                <w:rFonts w:eastAsia="MS Mincho"/>
              </w:rPr>
              <w:t>RR (95% CI)</w:t>
            </w:r>
          </w:p>
        </w:tc>
      </w:tr>
      <w:tr w:rsidR="00C41D4F" w:rsidRPr="00061F78" w:rsidTr="00DB128B">
        <w:trPr>
          <w:cantSplit/>
          <w:trHeight w:val="99"/>
        </w:trPr>
        <w:tc>
          <w:tcPr>
            <w:tcW w:w="5000" w:type="pct"/>
            <w:gridSpan w:val="5"/>
            <w:shd w:val="clear" w:color="auto" w:fill="auto"/>
          </w:tcPr>
          <w:p w:rsidR="00C41D4F" w:rsidRPr="00DB128B" w:rsidRDefault="00C41D4F" w:rsidP="00125A1C">
            <w:pPr>
              <w:pStyle w:val="Tablewriting"/>
              <w:rPr>
                <w:rFonts w:eastAsia="MS Mincho"/>
                <w:b/>
                <w:bCs/>
              </w:rPr>
            </w:pPr>
            <w:r w:rsidRPr="00DB128B">
              <w:rPr>
                <w:b/>
                <w:bCs/>
              </w:rPr>
              <w:t>Palpitations/chest pains</w:t>
            </w:r>
          </w:p>
        </w:tc>
      </w:tr>
      <w:tr w:rsidR="00C41D4F" w:rsidRPr="00061F78" w:rsidTr="00125A1C">
        <w:trPr>
          <w:cantSplit/>
          <w:trHeight w:val="99"/>
        </w:trPr>
        <w:tc>
          <w:tcPr>
            <w:tcW w:w="786" w:type="pct"/>
            <w:shd w:val="clear" w:color="auto" w:fill="auto"/>
            <w:tcMar>
              <w:left w:w="28" w:type="dxa"/>
              <w:right w:w="28" w:type="dxa"/>
            </w:tcMar>
            <w:vAlign w:val="center"/>
          </w:tcPr>
          <w:p w:rsidR="00C41D4F" w:rsidRDefault="00C41D4F" w:rsidP="00125A1C">
            <w:pPr>
              <w:pStyle w:val="Tablewriting"/>
              <w:rPr>
                <w:rFonts w:eastAsia="MS Mincho"/>
              </w:rPr>
            </w:pPr>
            <w:r w:rsidRPr="0072022D">
              <w:rPr>
                <w:rFonts w:eastAsia="MS Mincho"/>
              </w:rPr>
              <w:t xml:space="preserve">Hjalmarson </w:t>
            </w:r>
          </w:p>
          <w:p w:rsidR="00C41D4F" w:rsidRPr="001277A6" w:rsidRDefault="00C41D4F" w:rsidP="00125A1C">
            <w:pPr>
              <w:pStyle w:val="Tablewriting"/>
              <w:rPr>
                <w:rFonts w:eastAsia="MS Mincho"/>
              </w:rPr>
            </w:pPr>
            <w:r w:rsidRPr="4F0C2BFD">
              <w:rPr>
                <w:rFonts w:eastAsia="MS Mincho"/>
              </w:rPr>
              <w:t>(</w:t>
            </w:r>
            <w:r w:rsidRPr="0072022D">
              <w:rPr>
                <w:rFonts w:eastAsia="MS Mincho"/>
              </w:rPr>
              <w:t>1994</w:t>
            </w:r>
            <w:r w:rsidRPr="4F0C2BFD">
              <w:rPr>
                <w:rFonts w:eastAsia="MS Mincho"/>
              </w:rPr>
              <w:t>)</w:t>
            </w:r>
          </w:p>
        </w:tc>
        <w:tc>
          <w:tcPr>
            <w:tcW w:w="785" w:type="pct"/>
            <w:vAlign w:val="center"/>
          </w:tcPr>
          <w:p w:rsidR="00C41D4F" w:rsidRDefault="00C41D4F" w:rsidP="00125A1C">
            <w:pPr>
              <w:pStyle w:val="Tablewriting"/>
              <w:jc w:val="center"/>
              <w:rPr>
                <w:rFonts w:eastAsia="MS Mincho"/>
              </w:rPr>
            </w:pPr>
            <w:r>
              <w:rPr>
                <w:rFonts w:eastAsia="MS Mincho"/>
              </w:rPr>
              <w:t>RCT</w:t>
            </w:r>
          </w:p>
        </w:tc>
        <w:tc>
          <w:tcPr>
            <w:tcW w:w="1178" w:type="pct"/>
            <w:shd w:val="clear" w:color="auto" w:fill="auto"/>
            <w:tcMar>
              <w:left w:w="28" w:type="dxa"/>
              <w:right w:w="28" w:type="dxa"/>
            </w:tcMar>
            <w:vAlign w:val="center"/>
          </w:tcPr>
          <w:p w:rsidR="00C41D4F" w:rsidRPr="00605C3F" w:rsidRDefault="00C41D4F" w:rsidP="00125A1C">
            <w:pPr>
              <w:pStyle w:val="Tablewriting"/>
              <w:jc w:val="center"/>
              <w:rPr>
                <w:rFonts w:eastAsia="MS Mincho"/>
              </w:rPr>
            </w:pPr>
            <w:r w:rsidRPr="00605C3F">
              <w:rPr>
                <w:rFonts w:eastAsia="MS Mincho"/>
              </w:rPr>
              <w:t>6/116</w:t>
            </w:r>
          </w:p>
          <w:p w:rsidR="00C41D4F" w:rsidRPr="00605C3F" w:rsidRDefault="00C41D4F" w:rsidP="00125A1C">
            <w:pPr>
              <w:pStyle w:val="Tablewriting"/>
              <w:jc w:val="center"/>
              <w:rPr>
                <w:rFonts w:eastAsia="MS Mincho"/>
              </w:rPr>
            </w:pPr>
            <w:r w:rsidRPr="00605C3F">
              <w:rPr>
                <w:rFonts w:eastAsia="MS Mincho"/>
              </w:rPr>
              <w:t>(5.2%)</w:t>
            </w:r>
          </w:p>
        </w:tc>
        <w:tc>
          <w:tcPr>
            <w:tcW w:w="1022" w:type="pct"/>
            <w:shd w:val="clear" w:color="auto" w:fill="auto"/>
            <w:tcMar>
              <w:left w:w="28" w:type="dxa"/>
              <w:right w:w="28" w:type="dxa"/>
            </w:tcMar>
            <w:vAlign w:val="center"/>
          </w:tcPr>
          <w:p w:rsidR="00C41D4F" w:rsidRPr="00605C3F" w:rsidRDefault="00C41D4F" w:rsidP="00125A1C">
            <w:pPr>
              <w:pStyle w:val="Tablewriting"/>
              <w:jc w:val="center"/>
              <w:rPr>
                <w:rFonts w:eastAsia="MS Mincho"/>
              </w:rPr>
            </w:pPr>
            <w:r w:rsidRPr="00605C3F">
              <w:rPr>
                <w:rFonts w:eastAsia="MS Mincho"/>
              </w:rPr>
              <w:t>2/107</w:t>
            </w:r>
          </w:p>
          <w:p w:rsidR="00C41D4F" w:rsidRPr="00605C3F" w:rsidRDefault="00C41D4F" w:rsidP="00125A1C">
            <w:pPr>
              <w:pStyle w:val="Tablewriting"/>
              <w:jc w:val="center"/>
              <w:rPr>
                <w:rFonts w:eastAsia="MS Mincho"/>
              </w:rPr>
            </w:pPr>
            <w:r w:rsidRPr="00605C3F">
              <w:rPr>
                <w:rFonts w:eastAsia="MS Mincho"/>
              </w:rPr>
              <w:t>(1.9%)</w:t>
            </w:r>
          </w:p>
        </w:tc>
        <w:tc>
          <w:tcPr>
            <w:tcW w:w="1229" w:type="pct"/>
            <w:shd w:val="clear" w:color="auto" w:fill="auto"/>
            <w:tcMar>
              <w:left w:w="28" w:type="dxa"/>
              <w:right w:w="28" w:type="dxa"/>
            </w:tcMar>
            <w:vAlign w:val="center"/>
          </w:tcPr>
          <w:p w:rsidR="00C41D4F" w:rsidRDefault="00C41D4F" w:rsidP="00125A1C">
            <w:pPr>
              <w:pStyle w:val="Tablewriting"/>
              <w:jc w:val="center"/>
              <w:rPr>
                <w:rFonts w:eastAsia="MS Mincho"/>
                <w:bCs/>
              </w:rPr>
            </w:pPr>
            <w:r>
              <w:rPr>
                <w:rFonts w:eastAsia="MS Mincho"/>
                <w:bCs/>
              </w:rPr>
              <w:t>4.42</w:t>
            </w:r>
          </w:p>
          <w:p w:rsidR="00C41D4F" w:rsidRPr="009C6771" w:rsidRDefault="00C41D4F" w:rsidP="00125A1C">
            <w:pPr>
              <w:pStyle w:val="Tablewriting"/>
              <w:jc w:val="center"/>
              <w:rPr>
                <w:rFonts w:eastAsia="MS Mincho"/>
                <w:bCs/>
              </w:rPr>
            </w:pPr>
            <w:r>
              <w:rPr>
                <w:rFonts w:eastAsia="MS Mincho"/>
                <w:bCs/>
              </w:rPr>
              <w:t>(0.93, 20.92)</w:t>
            </w:r>
          </w:p>
        </w:tc>
      </w:tr>
      <w:tr w:rsidR="00C41D4F" w:rsidRPr="00061F78" w:rsidTr="00125A1C">
        <w:trPr>
          <w:cantSplit/>
          <w:trHeight w:val="99"/>
        </w:trPr>
        <w:tc>
          <w:tcPr>
            <w:tcW w:w="786" w:type="pct"/>
            <w:shd w:val="clear" w:color="auto" w:fill="auto"/>
            <w:tcMar>
              <w:left w:w="28" w:type="dxa"/>
              <w:right w:w="28" w:type="dxa"/>
            </w:tcMar>
            <w:vAlign w:val="center"/>
          </w:tcPr>
          <w:p w:rsidR="00C41D4F" w:rsidRDefault="00C41D4F" w:rsidP="00125A1C">
            <w:pPr>
              <w:pStyle w:val="Tablewriting"/>
              <w:rPr>
                <w:rFonts w:eastAsia="MS Mincho"/>
              </w:rPr>
            </w:pPr>
            <w:r w:rsidRPr="00E1350C">
              <w:rPr>
                <w:rFonts w:eastAsia="MS Mincho"/>
              </w:rPr>
              <w:t>Schneider</w:t>
            </w:r>
            <w:r>
              <w:rPr>
                <w:rFonts w:eastAsia="MS Mincho"/>
              </w:rPr>
              <w:t xml:space="preserve"> </w:t>
            </w:r>
          </w:p>
          <w:p w:rsidR="00C41D4F" w:rsidRPr="0072022D" w:rsidRDefault="00C41D4F" w:rsidP="00125A1C">
            <w:pPr>
              <w:pStyle w:val="Tablewriting"/>
              <w:rPr>
                <w:rFonts w:eastAsia="MS Mincho"/>
              </w:rPr>
            </w:pPr>
            <w:r w:rsidRPr="4F0C2BFD">
              <w:rPr>
                <w:rFonts w:eastAsia="MS Mincho"/>
              </w:rPr>
              <w:t>(</w:t>
            </w:r>
            <w:r w:rsidRPr="00E1350C">
              <w:rPr>
                <w:rFonts w:eastAsia="MS Mincho"/>
              </w:rPr>
              <w:t>1995</w:t>
            </w:r>
            <w:r w:rsidRPr="4F0C2BFD">
              <w:rPr>
                <w:rFonts w:eastAsia="MS Mincho"/>
              </w:rPr>
              <w:t>)</w:t>
            </w:r>
          </w:p>
        </w:tc>
        <w:tc>
          <w:tcPr>
            <w:tcW w:w="785" w:type="pct"/>
            <w:vAlign w:val="center"/>
          </w:tcPr>
          <w:p w:rsidR="00C41D4F" w:rsidRDefault="00C41D4F" w:rsidP="00125A1C">
            <w:pPr>
              <w:pStyle w:val="Tablewriting"/>
              <w:jc w:val="center"/>
              <w:rPr>
                <w:rFonts w:eastAsia="MS Mincho"/>
              </w:rPr>
            </w:pPr>
            <w:r>
              <w:rPr>
                <w:rFonts w:eastAsia="MS Mincho"/>
              </w:rPr>
              <w:t>RCT</w:t>
            </w:r>
          </w:p>
        </w:tc>
        <w:tc>
          <w:tcPr>
            <w:tcW w:w="1178" w:type="pct"/>
            <w:shd w:val="clear" w:color="auto" w:fill="auto"/>
            <w:tcMar>
              <w:left w:w="28" w:type="dxa"/>
              <w:right w:w="28" w:type="dxa"/>
            </w:tcMar>
            <w:vAlign w:val="center"/>
          </w:tcPr>
          <w:p w:rsidR="00C41D4F" w:rsidRPr="00605C3F" w:rsidRDefault="00C41D4F" w:rsidP="00125A1C">
            <w:pPr>
              <w:pStyle w:val="Tablewriting"/>
              <w:jc w:val="center"/>
              <w:rPr>
                <w:rFonts w:eastAsia="MS Mincho"/>
              </w:rPr>
            </w:pPr>
            <w:r w:rsidRPr="00605C3F">
              <w:rPr>
                <w:rFonts w:eastAsia="MS Mincho"/>
              </w:rPr>
              <w:t>23/128</w:t>
            </w:r>
          </w:p>
          <w:p w:rsidR="00C41D4F" w:rsidRPr="00605C3F" w:rsidRDefault="00C41D4F" w:rsidP="00125A1C">
            <w:pPr>
              <w:pStyle w:val="Tablewriting"/>
              <w:jc w:val="center"/>
              <w:rPr>
                <w:rFonts w:eastAsia="MS Mincho"/>
              </w:rPr>
            </w:pPr>
            <w:r w:rsidRPr="00605C3F">
              <w:rPr>
                <w:rFonts w:eastAsia="MS Mincho"/>
              </w:rPr>
              <w:t>(18%)</w:t>
            </w:r>
          </w:p>
        </w:tc>
        <w:tc>
          <w:tcPr>
            <w:tcW w:w="1022" w:type="pct"/>
            <w:shd w:val="clear" w:color="auto" w:fill="auto"/>
            <w:tcMar>
              <w:left w:w="28" w:type="dxa"/>
              <w:right w:w="28" w:type="dxa"/>
            </w:tcMar>
            <w:vAlign w:val="center"/>
          </w:tcPr>
          <w:p w:rsidR="00C41D4F" w:rsidRPr="00605C3F" w:rsidRDefault="00C41D4F" w:rsidP="00125A1C">
            <w:pPr>
              <w:pStyle w:val="Tablewriting"/>
              <w:jc w:val="center"/>
              <w:rPr>
                <w:rFonts w:eastAsia="MS Mincho"/>
              </w:rPr>
            </w:pPr>
            <w:r w:rsidRPr="00605C3F">
              <w:rPr>
                <w:rFonts w:eastAsia="MS Mincho"/>
              </w:rPr>
              <w:t>10/127</w:t>
            </w:r>
          </w:p>
          <w:p w:rsidR="00C41D4F" w:rsidRPr="00605C3F" w:rsidRDefault="00C41D4F" w:rsidP="00125A1C">
            <w:pPr>
              <w:pStyle w:val="Tablewriting"/>
              <w:jc w:val="center"/>
              <w:rPr>
                <w:rFonts w:eastAsia="MS Mincho"/>
              </w:rPr>
            </w:pPr>
            <w:r w:rsidRPr="00605C3F">
              <w:rPr>
                <w:rFonts w:eastAsia="MS Mincho"/>
              </w:rPr>
              <w:t>(7.9%)</w:t>
            </w:r>
          </w:p>
        </w:tc>
        <w:tc>
          <w:tcPr>
            <w:tcW w:w="1229" w:type="pct"/>
            <w:shd w:val="clear" w:color="auto" w:fill="auto"/>
            <w:tcMar>
              <w:left w:w="28" w:type="dxa"/>
              <w:right w:w="28" w:type="dxa"/>
            </w:tcMar>
            <w:vAlign w:val="center"/>
          </w:tcPr>
          <w:p w:rsidR="00C41D4F" w:rsidRPr="00AF5CCA" w:rsidRDefault="00C41D4F" w:rsidP="00125A1C">
            <w:pPr>
              <w:pStyle w:val="Tablewriting"/>
              <w:jc w:val="center"/>
              <w:rPr>
                <w:rFonts w:eastAsia="MS Mincho"/>
                <w:b/>
              </w:rPr>
            </w:pPr>
            <w:r w:rsidRPr="00AF5CCA">
              <w:rPr>
                <w:rFonts w:eastAsia="MS Mincho"/>
                <w:b/>
              </w:rPr>
              <w:t>2.56</w:t>
            </w:r>
          </w:p>
          <w:p w:rsidR="00C41D4F" w:rsidRPr="009C6771" w:rsidRDefault="00C41D4F" w:rsidP="00125A1C">
            <w:pPr>
              <w:pStyle w:val="Tablewriting"/>
              <w:jc w:val="center"/>
              <w:rPr>
                <w:rFonts w:eastAsia="MS Mincho"/>
                <w:bCs/>
              </w:rPr>
            </w:pPr>
            <w:r w:rsidRPr="00AF5CCA">
              <w:rPr>
                <w:rFonts w:eastAsia="MS Mincho"/>
                <w:b/>
              </w:rPr>
              <w:t>(1.17,5.63)</w:t>
            </w:r>
            <w:r>
              <w:rPr>
                <w:rFonts w:eastAsia="MS Mincho"/>
                <w:bCs/>
              </w:rPr>
              <w:t xml:space="preserve"> </w:t>
            </w:r>
          </w:p>
        </w:tc>
      </w:tr>
      <w:tr w:rsidR="00C41D4F" w:rsidRPr="00061F78" w:rsidTr="00125A1C">
        <w:trPr>
          <w:cantSplit/>
          <w:trHeight w:val="99"/>
        </w:trPr>
        <w:tc>
          <w:tcPr>
            <w:tcW w:w="786" w:type="pct"/>
            <w:shd w:val="clear" w:color="auto" w:fill="auto"/>
            <w:tcMar>
              <w:left w:w="28" w:type="dxa"/>
              <w:right w:w="28" w:type="dxa"/>
            </w:tcMar>
            <w:vAlign w:val="center"/>
          </w:tcPr>
          <w:p w:rsidR="00C41D4F" w:rsidRDefault="00C41D4F" w:rsidP="00125A1C">
            <w:pPr>
              <w:pStyle w:val="Tablewriting"/>
              <w:rPr>
                <w:rFonts w:eastAsia="MS Mincho"/>
              </w:rPr>
            </w:pPr>
            <w:r w:rsidRPr="007F3C11">
              <w:rPr>
                <w:rFonts w:eastAsia="MS Mincho"/>
              </w:rPr>
              <w:t xml:space="preserve">Sutherland </w:t>
            </w:r>
          </w:p>
          <w:p w:rsidR="00C41D4F" w:rsidRPr="0072022D" w:rsidRDefault="00C41D4F" w:rsidP="00125A1C">
            <w:pPr>
              <w:pStyle w:val="Tablewriting"/>
              <w:rPr>
                <w:rFonts w:eastAsia="MS Mincho"/>
              </w:rPr>
            </w:pPr>
            <w:r w:rsidRPr="4F0C2BFD">
              <w:rPr>
                <w:rFonts w:eastAsia="MS Mincho"/>
              </w:rPr>
              <w:t>(</w:t>
            </w:r>
            <w:r w:rsidRPr="007F3C11">
              <w:rPr>
                <w:rFonts w:eastAsia="MS Mincho"/>
              </w:rPr>
              <w:t>1992</w:t>
            </w:r>
            <w:r w:rsidRPr="4F0C2BFD">
              <w:rPr>
                <w:rFonts w:eastAsia="MS Mincho"/>
              </w:rPr>
              <w:t>)</w:t>
            </w:r>
            <w:r w:rsidRPr="007F3C11">
              <w:rPr>
                <w:rFonts w:eastAsia="MS Mincho"/>
              </w:rPr>
              <w:t xml:space="preserve"> </w:t>
            </w:r>
          </w:p>
        </w:tc>
        <w:tc>
          <w:tcPr>
            <w:tcW w:w="785" w:type="pct"/>
            <w:vAlign w:val="center"/>
          </w:tcPr>
          <w:p w:rsidR="00C41D4F" w:rsidRDefault="00C41D4F" w:rsidP="00125A1C">
            <w:pPr>
              <w:pStyle w:val="Tablewriting"/>
              <w:jc w:val="center"/>
              <w:rPr>
                <w:rFonts w:eastAsia="MS Mincho"/>
              </w:rPr>
            </w:pPr>
            <w:r>
              <w:rPr>
                <w:rFonts w:eastAsia="MS Mincho"/>
              </w:rPr>
              <w:t>RCT</w:t>
            </w:r>
          </w:p>
        </w:tc>
        <w:tc>
          <w:tcPr>
            <w:tcW w:w="1178" w:type="pct"/>
            <w:shd w:val="clear" w:color="auto" w:fill="auto"/>
            <w:tcMar>
              <w:left w:w="28" w:type="dxa"/>
              <w:right w:w="28" w:type="dxa"/>
            </w:tcMar>
            <w:vAlign w:val="center"/>
          </w:tcPr>
          <w:p w:rsidR="00C41D4F" w:rsidRPr="00605C3F" w:rsidRDefault="00C41D4F" w:rsidP="00125A1C">
            <w:pPr>
              <w:pStyle w:val="Tablewriting"/>
              <w:jc w:val="center"/>
              <w:rPr>
                <w:rFonts w:eastAsia="MS Mincho"/>
              </w:rPr>
            </w:pPr>
            <w:r w:rsidRPr="00605C3F">
              <w:rPr>
                <w:rFonts w:eastAsia="MS Mincho"/>
              </w:rPr>
              <w:t>26/111</w:t>
            </w:r>
          </w:p>
          <w:p w:rsidR="00C41D4F" w:rsidRPr="00605C3F" w:rsidRDefault="00C41D4F" w:rsidP="00125A1C">
            <w:pPr>
              <w:pStyle w:val="Tablewriting"/>
              <w:jc w:val="center"/>
              <w:rPr>
                <w:rFonts w:eastAsia="MS Mincho"/>
              </w:rPr>
            </w:pPr>
            <w:r w:rsidRPr="00605C3F">
              <w:rPr>
                <w:rFonts w:eastAsia="MS Mincho"/>
              </w:rPr>
              <w:t>(23.4%)</w:t>
            </w:r>
          </w:p>
        </w:tc>
        <w:tc>
          <w:tcPr>
            <w:tcW w:w="1022" w:type="pct"/>
            <w:shd w:val="clear" w:color="auto" w:fill="auto"/>
            <w:tcMar>
              <w:left w:w="28" w:type="dxa"/>
              <w:right w:w="28" w:type="dxa"/>
            </w:tcMar>
            <w:vAlign w:val="center"/>
          </w:tcPr>
          <w:p w:rsidR="00C41D4F" w:rsidRPr="00605C3F" w:rsidRDefault="00C41D4F" w:rsidP="00125A1C">
            <w:pPr>
              <w:pStyle w:val="Tablewriting"/>
              <w:jc w:val="center"/>
              <w:rPr>
                <w:rFonts w:eastAsia="MS Mincho"/>
              </w:rPr>
            </w:pPr>
            <w:r w:rsidRPr="00605C3F">
              <w:rPr>
                <w:rFonts w:eastAsia="MS Mincho"/>
              </w:rPr>
              <w:t>15/103</w:t>
            </w:r>
          </w:p>
          <w:p w:rsidR="00C41D4F" w:rsidRPr="00605C3F" w:rsidRDefault="00C41D4F" w:rsidP="00125A1C">
            <w:pPr>
              <w:pStyle w:val="Tablewriting"/>
              <w:jc w:val="center"/>
              <w:rPr>
                <w:rFonts w:eastAsia="MS Mincho"/>
              </w:rPr>
            </w:pPr>
            <w:r w:rsidRPr="00605C3F">
              <w:rPr>
                <w:rFonts w:eastAsia="MS Mincho"/>
              </w:rPr>
              <w:t>(14.6%)</w:t>
            </w:r>
          </w:p>
        </w:tc>
        <w:tc>
          <w:tcPr>
            <w:tcW w:w="1229" w:type="pct"/>
            <w:shd w:val="clear" w:color="auto" w:fill="auto"/>
            <w:tcMar>
              <w:left w:w="28" w:type="dxa"/>
              <w:right w:w="28" w:type="dxa"/>
            </w:tcMar>
            <w:vAlign w:val="center"/>
          </w:tcPr>
          <w:p w:rsidR="00C41D4F" w:rsidRDefault="00C41D4F" w:rsidP="00125A1C">
            <w:pPr>
              <w:pStyle w:val="Tablewriting"/>
              <w:jc w:val="center"/>
              <w:rPr>
                <w:rFonts w:eastAsia="MS Mincho"/>
                <w:bCs/>
              </w:rPr>
            </w:pPr>
            <w:r>
              <w:rPr>
                <w:rFonts w:eastAsia="MS Mincho"/>
                <w:bCs/>
              </w:rPr>
              <w:t>1.79</w:t>
            </w:r>
          </w:p>
          <w:p w:rsidR="00C41D4F" w:rsidRPr="009C6771" w:rsidRDefault="00C41D4F" w:rsidP="00125A1C">
            <w:pPr>
              <w:pStyle w:val="Tablewriting"/>
              <w:jc w:val="center"/>
              <w:rPr>
                <w:rFonts w:eastAsia="MS Mincho"/>
                <w:bCs/>
              </w:rPr>
            </w:pPr>
            <w:r>
              <w:rPr>
                <w:rFonts w:eastAsia="MS Mincho"/>
                <w:bCs/>
              </w:rPr>
              <w:t>(0.89, 3.62)</w:t>
            </w:r>
          </w:p>
        </w:tc>
      </w:tr>
      <w:tr w:rsidR="004D1740" w:rsidRPr="00061F78" w:rsidTr="004D1740">
        <w:trPr>
          <w:cantSplit/>
          <w:trHeight w:val="99"/>
        </w:trPr>
        <w:tc>
          <w:tcPr>
            <w:tcW w:w="5000" w:type="pct"/>
            <w:gridSpan w:val="5"/>
            <w:shd w:val="clear" w:color="auto" w:fill="auto"/>
            <w:tcMar>
              <w:left w:w="28" w:type="dxa"/>
              <w:right w:w="28" w:type="dxa"/>
            </w:tcMar>
            <w:vAlign w:val="center"/>
          </w:tcPr>
          <w:p w:rsidR="004D1740" w:rsidRPr="00C02D1A" w:rsidRDefault="000E1864" w:rsidP="00C02D1A">
            <w:pPr>
              <w:pStyle w:val="Tablewriting"/>
              <w:rPr>
                <w:rFonts w:eastAsia="MS Mincho"/>
                <w:b/>
              </w:rPr>
            </w:pPr>
            <w:r w:rsidRPr="00C02D1A">
              <w:rPr>
                <w:rFonts w:eastAsia="MS Mincho"/>
                <w:b/>
              </w:rPr>
              <w:t xml:space="preserve">Meta-analysis of </w:t>
            </w:r>
            <w:r w:rsidR="0003741A" w:rsidRPr="00C02D1A">
              <w:rPr>
                <w:rFonts w:eastAsia="MS Mincho"/>
                <w:b/>
              </w:rPr>
              <w:t>Hjalmarson (1994), Schenider (1995) and Sutherland (1992)</w:t>
            </w:r>
          </w:p>
        </w:tc>
      </w:tr>
      <w:tr w:rsidR="004D1740" w:rsidRPr="00061F78" w:rsidTr="00125A1C">
        <w:trPr>
          <w:cantSplit/>
          <w:trHeight w:val="99"/>
        </w:trPr>
        <w:tc>
          <w:tcPr>
            <w:tcW w:w="786" w:type="pct"/>
            <w:shd w:val="clear" w:color="auto" w:fill="auto"/>
            <w:tcMar>
              <w:left w:w="28" w:type="dxa"/>
              <w:right w:w="28" w:type="dxa"/>
            </w:tcMar>
            <w:vAlign w:val="center"/>
          </w:tcPr>
          <w:p w:rsidR="004D1740" w:rsidRPr="00C02D1A" w:rsidRDefault="0003741A" w:rsidP="00125A1C">
            <w:pPr>
              <w:pStyle w:val="Tablewriting"/>
              <w:rPr>
                <w:rFonts w:eastAsia="MS Mincho"/>
                <w:vertAlign w:val="superscript"/>
              </w:rPr>
            </w:pPr>
            <w:r>
              <w:rPr>
                <w:rFonts w:eastAsia="MS Mincho"/>
              </w:rPr>
              <w:t>Meta-analysis</w:t>
            </w:r>
            <w:r w:rsidR="00CE20B7">
              <w:rPr>
                <w:rFonts w:eastAsia="MS Mincho"/>
                <w:vertAlign w:val="superscript"/>
              </w:rPr>
              <w:t>1</w:t>
            </w:r>
          </w:p>
        </w:tc>
        <w:tc>
          <w:tcPr>
            <w:tcW w:w="785" w:type="pct"/>
            <w:vAlign w:val="center"/>
          </w:tcPr>
          <w:p w:rsidR="004D1740" w:rsidRDefault="0003741A" w:rsidP="00125A1C">
            <w:pPr>
              <w:pStyle w:val="Tablewriting"/>
              <w:jc w:val="center"/>
              <w:rPr>
                <w:rFonts w:eastAsia="MS Mincho"/>
              </w:rPr>
            </w:pPr>
            <w:r>
              <w:rPr>
                <w:rFonts w:eastAsia="MS Mincho"/>
              </w:rPr>
              <w:t>3 RCTs</w:t>
            </w:r>
          </w:p>
        </w:tc>
        <w:tc>
          <w:tcPr>
            <w:tcW w:w="1178" w:type="pct"/>
            <w:shd w:val="clear" w:color="auto" w:fill="auto"/>
            <w:tcMar>
              <w:left w:w="28" w:type="dxa"/>
              <w:right w:w="28" w:type="dxa"/>
            </w:tcMar>
            <w:vAlign w:val="center"/>
          </w:tcPr>
          <w:p w:rsidR="004D1740" w:rsidRDefault="00CE20B7" w:rsidP="00125A1C">
            <w:pPr>
              <w:pStyle w:val="Tablewriting"/>
              <w:jc w:val="center"/>
              <w:rPr>
                <w:rFonts w:eastAsia="MS Mincho"/>
              </w:rPr>
            </w:pPr>
            <w:r>
              <w:rPr>
                <w:rFonts w:eastAsia="MS Mincho"/>
              </w:rPr>
              <w:t>58/355</w:t>
            </w:r>
          </w:p>
          <w:p w:rsidR="00CE20B7" w:rsidRPr="00605C3F" w:rsidRDefault="00CE20B7" w:rsidP="00125A1C">
            <w:pPr>
              <w:pStyle w:val="Tablewriting"/>
              <w:jc w:val="center"/>
              <w:rPr>
                <w:rFonts w:eastAsia="MS Mincho"/>
              </w:rPr>
            </w:pPr>
            <w:r>
              <w:rPr>
                <w:rFonts w:eastAsia="MS Mincho"/>
              </w:rPr>
              <w:t>(</w:t>
            </w:r>
            <w:r w:rsidR="00C547D5">
              <w:rPr>
                <w:rFonts w:eastAsia="MS Mincho"/>
              </w:rPr>
              <w:t>16.3</w:t>
            </w:r>
            <w:r>
              <w:rPr>
                <w:rFonts w:eastAsia="MS Mincho"/>
              </w:rPr>
              <w:t>%)</w:t>
            </w:r>
          </w:p>
        </w:tc>
        <w:tc>
          <w:tcPr>
            <w:tcW w:w="1022" w:type="pct"/>
            <w:shd w:val="clear" w:color="auto" w:fill="auto"/>
            <w:tcMar>
              <w:left w:w="28" w:type="dxa"/>
              <w:right w:w="28" w:type="dxa"/>
            </w:tcMar>
            <w:vAlign w:val="center"/>
          </w:tcPr>
          <w:p w:rsidR="004D1740" w:rsidRDefault="00CE20B7" w:rsidP="00125A1C">
            <w:pPr>
              <w:pStyle w:val="Tablewriting"/>
              <w:jc w:val="center"/>
              <w:rPr>
                <w:rFonts w:eastAsia="MS Mincho"/>
              </w:rPr>
            </w:pPr>
            <w:r>
              <w:rPr>
                <w:rFonts w:eastAsia="MS Mincho"/>
              </w:rPr>
              <w:t>27/337</w:t>
            </w:r>
          </w:p>
          <w:p w:rsidR="00CE20B7" w:rsidRPr="00605C3F" w:rsidRDefault="00CE20B7" w:rsidP="00125A1C">
            <w:pPr>
              <w:pStyle w:val="Tablewriting"/>
              <w:jc w:val="center"/>
              <w:rPr>
                <w:rFonts w:eastAsia="MS Mincho"/>
              </w:rPr>
            </w:pPr>
            <w:r>
              <w:rPr>
                <w:rFonts w:eastAsia="MS Mincho"/>
              </w:rPr>
              <w:t>(</w:t>
            </w:r>
            <w:r w:rsidR="00C547D5">
              <w:rPr>
                <w:rFonts w:eastAsia="MS Mincho"/>
              </w:rPr>
              <w:t>8.0</w:t>
            </w:r>
            <w:r>
              <w:rPr>
                <w:rFonts w:eastAsia="MS Mincho"/>
              </w:rPr>
              <w:t>%)</w:t>
            </w:r>
          </w:p>
        </w:tc>
        <w:tc>
          <w:tcPr>
            <w:tcW w:w="1229" w:type="pct"/>
            <w:shd w:val="clear" w:color="auto" w:fill="auto"/>
            <w:tcMar>
              <w:left w:w="28" w:type="dxa"/>
              <w:right w:w="28" w:type="dxa"/>
            </w:tcMar>
            <w:vAlign w:val="center"/>
          </w:tcPr>
          <w:p w:rsidR="004D1740" w:rsidRPr="00C02D1A" w:rsidRDefault="00CE20B7" w:rsidP="00125A1C">
            <w:pPr>
              <w:pStyle w:val="Tablewriting"/>
              <w:jc w:val="center"/>
              <w:rPr>
                <w:rFonts w:eastAsia="MS Mincho"/>
                <w:b/>
              </w:rPr>
            </w:pPr>
            <w:r w:rsidRPr="00C02D1A">
              <w:rPr>
                <w:rFonts w:eastAsia="MS Mincho"/>
                <w:b/>
              </w:rPr>
              <w:t>2.27</w:t>
            </w:r>
          </w:p>
          <w:p w:rsidR="00CE20B7" w:rsidRDefault="00CE20B7" w:rsidP="00125A1C">
            <w:pPr>
              <w:pStyle w:val="Tablewriting"/>
              <w:jc w:val="center"/>
              <w:rPr>
                <w:rFonts w:eastAsia="MS Mincho"/>
                <w:bCs/>
              </w:rPr>
            </w:pPr>
            <w:r w:rsidRPr="00C02D1A">
              <w:rPr>
                <w:rFonts w:eastAsia="MS Mincho"/>
                <w:b/>
              </w:rPr>
              <w:t>(1.38, 3.72)</w:t>
            </w:r>
          </w:p>
        </w:tc>
      </w:tr>
    </w:tbl>
    <w:p w:rsidR="00C41D4F" w:rsidRDefault="00C41D4F" w:rsidP="00C41D4F">
      <w:pPr>
        <w:pStyle w:val="TableFooter"/>
      </w:pPr>
      <w:r>
        <w:t xml:space="preserve">Source: </w:t>
      </w:r>
      <w:r w:rsidRPr="00086BBB">
        <w:t>Hartmann-Boyce et al. 2018</w:t>
      </w:r>
      <w:r>
        <w:t xml:space="preserve">. </w:t>
      </w:r>
    </w:p>
    <w:p w:rsidR="00C41D4F" w:rsidRDefault="00C41D4F" w:rsidP="00C41D4F">
      <w:pPr>
        <w:pStyle w:val="TableFooter"/>
      </w:pPr>
      <w:r>
        <w:t xml:space="preserve">Abbreviations: CI = confidence interval; RCT = randomised controlled trial; RR = risk ratio. </w:t>
      </w:r>
    </w:p>
    <w:p w:rsidR="00C41D4F" w:rsidRDefault="00C41D4F" w:rsidP="00C41D4F">
      <w:pPr>
        <w:pStyle w:val="TableFooter"/>
      </w:pPr>
      <w:r w:rsidRPr="00FD4061">
        <w:t>Note</w:t>
      </w:r>
      <w:r>
        <w:t>s</w:t>
      </w:r>
      <w:r w:rsidRPr="00FD4061">
        <w:t>:</w:t>
      </w:r>
      <w:r>
        <w:t xml:space="preserve"> </w:t>
      </w:r>
      <w:r w:rsidRPr="007A6220">
        <w:t>Bold</w:t>
      </w:r>
      <w:r w:rsidRPr="00FD4061">
        <w:t xml:space="preserve"> indicates statistically significant difference</w:t>
      </w:r>
      <w:r>
        <w:t>.</w:t>
      </w:r>
      <w:r w:rsidR="00797AB5">
        <w:t xml:space="preserve"> </w:t>
      </w:r>
      <w:r w:rsidR="00797AB5" w:rsidRPr="00797AB5">
        <w:t xml:space="preserve">See Appendix </w:t>
      </w:r>
      <w:r w:rsidR="003C4A1C">
        <w:t xml:space="preserve">Figure </w:t>
      </w:r>
      <w:r w:rsidR="003C4A1C">
        <w:rPr>
          <w:noProof/>
        </w:rPr>
        <w:t>108</w:t>
      </w:r>
      <w:r w:rsidR="001C7C77">
        <w:t xml:space="preserve"> </w:t>
      </w:r>
      <w:r w:rsidR="00797AB5" w:rsidRPr="00797AB5">
        <w:t>for forest plot which included the results of individual studies</w:t>
      </w:r>
      <w:r w:rsidRPr="00B032C3" w:rsidDel="00797AB5">
        <w:t>.</w:t>
      </w:r>
    </w:p>
    <w:p w:rsidR="00C41D4F" w:rsidRDefault="00C41D4F" w:rsidP="00C41D4F">
      <w:pPr>
        <w:pStyle w:val="TableFooter"/>
      </w:pPr>
      <w:r>
        <w:t xml:space="preserve">1 Calculated </w:t>
      </w:r>
      <w:r w:rsidR="00CE20B7">
        <w:t>during the review</w:t>
      </w:r>
      <w:r>
        <w:t xml:space="preserve"> using a </w:t>
      </w:r>
      <w:r w:rsidR="00CE20B7">
        <w:t>random</w:t>
      </w:r>
      <w:r>
        <w:t>-effect model</w:t>
      </w:r>
      <w:r w:rsidR="00ED0CBA">
        <w:t>.</w:t>
      </w:r>
    </w:p>
    <w:p w:rsidR="00C41D4F" w:rsidRDefault="00C41D4F" w:rsidP="00C41D4F">
      <w:pPr>
        <w:pStyle w:val="Caption"/>
        <w:keepNext/>
      </w:pPr>
      <w:bookmarkStart w:id="226" w:name="_Ref62122172"/>
      <w:r>
        <w:t xml:space="preserve">Table </w:t>
      </w:r>
      <w:r w:rsidR="003C4A1C">
        <w:rPr>
          <w:noProof/>
        </w:rPr>
        <w:t>112</w:t>
      </w:r>
      <w:bookmarkEnd w:id="226"/>
      <w:r>
        <w:t xml:space="preserve">: </w:t>
      </w:r>
      <w:r w:rsidRPr="00002183">
        <w:t>Summary of key adverse events in Lindson et al. (2019), NRT nasal spray versus patch</w:t>
      </w:r>
    </w:p>
    <w:tbl>
      <w:tblPr>
        <w:tblStyle w:val="TableGrid"/>
        <w:tblW w:w="5000" w:type="pct"/>
        <w:tblLayout w:type="fixed"/>
        <w:tblLook w:val="04A0" w:firstRow="1" w:lastRow="0" w:firstColumn="1" w:lastColumn="0" w:noHBand="0" w:noVBand="1"/>
        <w:tblCaption w:val="Efficacy results of adalimumab trials (PASI 75 and DLQI)"/>
      </w:tblPr>
      <w:tblGrid>
        <w:gridCol w:w="845"/>
        <w:gridCol w:w="2126"/>
        <w:gridCol w:w="2128"/>
        <w:gridCol w:w="1984"/>
        <w:gridCol w:w="1933"/>
      </w:tblGrid>
      <w:tr w:rsidR="00C41D4F" w:rsidRPr="00061F78" w:rsidTr="00125A1C">
        <w:trPr>
          <w:cantSplit/>
          <w:trHeight w:val="299"/>
          <w:tblHeader/>
        </w:trPr>
        <w:tc>
          <w:tcPr>
            <w:tcW w:w="469" w:type="pct"/>
            <w:shd w:val="clear" w:color="auto" w:fill="BFBFBF" w:themeFill="background1" w:themeFillShade="BF"/>
            <w:tcMar>
              <w:left w:w="28" w:type="dxa"/>
              <w:right w:w="28" w:type="dxa"/>
            </w:tcMar>
            <w:vAlign w:val="center"/>
          </w:tcPr>
          <w:p w:rsidR="00C41D4F" w:rsidRDefault="00C41D4F" w:rsidP="00125A1C">
            <w:pPr>
              <w:pStyle w:val="Tableheading"/>
              <w:rPr>
                <w:rFonts w:eastAsia="MS Mincho"/>
              </w:rPr>
            </w:pPr>
            <w:r>
              <w:rPr>
                <w:rFonts w:eastAsia="MS Mincho"/>
              </w:rPr>
              <w:t>Study</w:t>
            </w:r>
          </w:p>
        </w:tc>
        <w:tc>
          <w:tcPr>
            <w:tcW w:w="1179" w:type="pct"/>
            <w:shd w:val="clear" w:color="auto" w:fill="BFBFBF" w:themeFill="background1" w:themeFillShade="BF"/>
          </w:tcPr>
          <w:p w:rsidR="00C41D4F" w:rsidRDefault="00C41D4F" w:rsidP="00125A1C">
            <w:pPr>
              <w:pStyle w:val="Tableheading"/>
              <w:jc w:val="center"/>
              <w:rPr>
                <w:rFonts w:eastAsia="MS Mincho"/>
              </w:rPr>
            </w:pPr>
            <w:r>
              <w:rPr>
                <w:rFonts w:eastAsia="MS Mincho"/>
              </w:rPr>
              <w:t>Study type</w:t>
            </w:r>
          </w:p>
        </w:tc>
        <w:tc>
          <w:tcPr>
            <w:tcW w:w="1180" w:type="pct"/>
            <w:shd w:val="clear" w:color="auto" w:fill="BFBFBF" w:themeFill="background1" w:themeFillShade="BF"/>
            <w:tcMar>
              <w:left w:w="28" w:type="dxa"/>
              <w:right w:w="28" w:type="dxa"/>
            </w:tcMar>
            <w:vAlign w:val="center"/>
          </w:tcPr>
          <w:p w:rsidR="00C41D4F" w:rsidRPr="00061F78" w:rsidRDefault="00C41D4F" w:rsidP="00125A1C">
            <w:pPr>
              <w:pStyle w:val="Tableheading"/>
              <w:jc w:val="center"/>
              <w:rPr>
                <w:rFonts w:eastAsia="MS Mincho"/>
              </w:rPr>
            </w:pPr>
            <w:r>
              <w:rPr>
                <w:rFonts w:eastAsia="MS Mincho"/>
              </w:rPr>
              <w:t>Nasal spray</w:t>
            </w:r>
          </w:p>
        </w:tc>
        <w:tc>
          <w:tcPr>
            <w:tcW w:w="1100" w:type="pct"/>
            <w:shd w:val="clear" w:color="auto" w:fill="BFBFBF" w:themeFill="background1" w:themeFillShade="BF"/>
            <w:tcMar>
              <w:left w:w="28" w:type="dxa"/>
              <w:right w:w="28" w:type="dxa"/>
            </w:tcMar>
            <w:vAlign w:val="center"/>
          </w:tcPr>
          <w:p w:rsidR="00C41D4F" w:rsidRPr="00061F78" w:rsidRDefault="00C41D4F" w:rsidP="00125A1C">
            <w:pPr>
              <w:pStyle w:val="Tableheading"/>
              <w:jc w:val="center"/>
              <w:rPr>
                <w:rFonts w:eastAsia="MS Mincho"/>
              </w:rPr>
            </w:pPr>
            <w:r>
              <w:rPr>
                <w:rFonts w:eastAsia="MS Mincho"/>
              </w:rPr>
              <w:t>Patch</w:t>
            </w:r>
          </w:p>
        </w:tc>
        <w:tc>
          <w:tcPr>
            <w:tcW w:w="1072" w:type="pct"/>
            <w:shd w:val="clear" w:color="auto" w:fill="BFBFBF" w:themeFill="background1" w:themeFillShade="BF"/>
            <w:tcMar>
              <w:left w:w="28" w:type="dxa"/>
              <w:right w:w="28" w:type="dxa"/>
            </w:tcMar>
            <w:vAlign w:val="center"/>
          </w:tcPr>
          <w:p w:rsidR="00C41D4F" w:rsidRPr="00681ACA" w:rsidRDefault="00C41D4F" w:rsidP="00125A1C">
            <w:pPr>
              <w:pStyle w:val="Tableheading"/>
              <w:jc w:val="center"/>
              <w:rPr>
                <w:rFonts w:eastAsia="MS Mincho"/>
                <w:vertAlign w:val="superscript"/>
              </w:rPr>
            </w:pPr>
            <w:r>
              <w:rPr>
                <w:rFonts w:eastAsia="MS Mincho"/>
              </w:rPr>
              <w:t>RR (95% CI)</w:t>
            </w:r>
            <w:r>
              <w:rPr>
                <w:rFonts w:eastAsia="MS Mincho"/>
                <w:vertAlign w:val="superscript"/>
              </w:rPr>
              <w:t>1</w:t>
            </w:r>
          </w:p>
        </w:tc>
      </w:tr>
      <w:tr w:rsidR="00C41D4F" w:rsidRPr="00061F78" w:rsidTr="00D15590">
        <w:trPr>
          <w:cantSplit/>
          <w:trHeight w:val="99"/>
        </w:trPr>
        <w:tc>
          <w:tcPr>
            <w:tcW w:w="5000" w:type="pct"/>
            <w:gridSpan w:val="5"/>
            <w:shd w:val="clear" w:color="auto" w:fill="auto"/>
          </w:tcPr>
          <w:p w:rsidR="00C41D4F" w:rsidRPr="00D15590" w:rsidRDefault="00C41D4F" w:rsidP="00125A1C">
            <w:pPr>
              <w:pStyle w:val="Tablewriting"/>
              <w:rPr>
                <w:rFonts w:eastAsia="MS Mincho"/>
                <w:b/>
                <w:bCs/>
              </w:rPr>
            </w:pPr>
            <w:r w:rsidRPr="00D15590">
              <w:rPr>
                <w:rFonts w:eastAsia="MS Mincho"/>
                <w:b/>
                <w:bCs/>
              </w:rPr>
              <w:t>Overall SAEs</w:t>
            </w:r>
          </w:p>
        </w:tc>
      </w:tr>
      <w:tr w:rsidR="00C41D4F" w:rsidRPr="00061F78" w:rsidTr="00125A1C">
        <w:trPr>
          <w:cantSplit/>
          <w:trHeight w:val="99"/>
        </w:trPr>
        <w:tc>
          <w:tcPr>
            <w:tcW w:w="469" w:type="pct"/>
            <w:shd w:val="clear" w:color="auto" w:fill="auto"/>
            <w:tcMar>
              <w:left w:w="28" w:type="dxa"/>
              <w:right w:w="28" w:type="dxa"/>
            </w:tcMar>
            <w:vAlign w:val="center"/>
          </w:tcPr>
          <w:p w:rsidR="00C41D4F" w:rsidRPr="001277A6" w:rsidRDefault="00C41D4F" w:rsidP="00125A1C">
            <w:pPr>
              <w:pStyle w:val="Tablewriting"/>
              <w:rPr>
                <w:rFonts w:eastAsia="MS Mincho"/>
              </w:rPr>
            </w:pPr>
            <w:r>
              <w:rPr>
                <w:rFonts w:eastAsia="MS Mincho"/>
              </w:rPr>
              <w:t xml:space="preserve"> Lindson (2019)</w:t>
            </w:r>
          </w:p>
        </w:tc>
        <w:tc>
          <w:tcPr>
            <w:tcW w:w="1179" w:type="pct"/>
          </w:tcPr>
          <w:p w:rsidR="00C41D4F" w:rsidRDefault="00C41D4F" w:rsidP="00125A1C">
            <w:pPr>
              <w:pStyle w:val="Tablewriting"/>
              <w:jc w:val="center"/>
              <w:rPr>
                <w:rFonts w:eastAsia="MS Mincho"/>
              </w:rPr>
            </w:pPr>
            <w:r>
              <w:rPr>
                <w:rFonts w:eastAsia="MS Mincho"/>
              </w:rPr>
              <w:t>Cochrane Review</w:t>
            </w:r>
          </w:p>
          <w:p w:rsidR="00C41D4F" w:rsidRDefault="00C41D4F" w:rsidP="00125A1C">
            <w:pPr>
              <w:pStyle w:val="Tablewriting"/>
              <w:jc w:val="center"/>
              <w:rPr>
                <w:rFonts w:eastAsia="MS Mincho"/>
              </w:rPr>
            </w:pPr>
            <w:r>
              <w:rPr>
                <w:rFonts w:eastAsia="MS Mincho"/>
              </w:rPr>
              <w:t>(1 RCT)</w:t>
            </w:r>
          </w:p>
        </w:tc>
        <w:tc>
          <w:tcPr>
            <w:tcW w:w="1180" w:type="pct"/>
            <w:shd w:val="clear" w:color="auto" w:fill="auto"/>
            <w:tcMar>
              <w:left w:w="28" w:type="dxa"/>
              <w:right w:w="28" w:type="dxa"/>
            </w:tcMar>
            <w:vAlign w:val="center"/>
          </w:tcPr>
          <w:p w:rsidR="00C41D4F" w:rsidRDefault="00C41D4F" w:rsidP="00125A1C">
            <w:pPr>
              <w:pStyle w:val="Tablewriting"/>
              <w:jc w:val="center"/>
              <w:rPr>
                <w:rFonts w:eastAsia="MS Mincho"/>
              </w:rPr>
            </w:pPr>
            <w:r>
              <w:rPr>
                <w:rFonts w:eastAsia="MS Mincho"/>
              </w:rPr>
              <w:t>0/175</w:t>
            </w:r>
          </w:p>
          <w:p w:rsidR="00C41D4F" w:rsidRPr="001B08F9" w:rsidRDefault="00C41D4F" w:rsidP="00125A1C">
            <w:pPr>
              <w:pStyle w:val="Tablewriting"/>
              <w:jc w:val="center"/>
              <w:rPr>
                <w:rFonts w:eastAsia="MS Mincho"/>
              </w:rPr>
            </w:pPr>
            <w:r>
              <w:rPr>
                <w:rFonts w:eastAsia="MS Mincho"/>
              </w:rPr>
              <w:t>(0%)</w:t>
            </w:r>
          </w:p>
        </w:tc>
        <w:tc>
          <w:tcPr>
            <w:tcW w:w="1100" w:type="pct"/>
            <w:shd w:val="clear" w:color="auto" w:fill="auto"/>
            <w:tcMar>
              <w:left w:w="28" w:type="dxa"/>
              <w:right w:w="28" w:type="dxa"/>
            </w:tcMar>
            <w:vAlign w:val="center"/>
          </w:tcPr>
          <w:p w:rsidR="00C41D4F" w:rsidRDefault="00C41D4F" w:rsidP="00125A1C">
            <w:pPr>
              <w:pStyle w:val="Tablewriting"/>
              <w:jc w:val="center"/>
              <w:rPr>
                <w:rFonts w:eastAsia="MS Mincho"/>
              </w:rPr>
            </w:pPr>
            <w:r>
              <w:rPr>
                <w:rFonts w:eastAsia="MS Mincho"/>
              </w:rPr>
              <w:t>0/175</w:t>
            </w:r>
          </w:p>
          <w:p w:rsidR="00C41D4F" w:rsidRPr="001B08F9" w:rsidRDefault="00C41D4F" w:rsidP="00125A1C">
            <w:pPr>
              <w:pStyle w:val="Tablewriting"/>
              <w:jc w:val="center"/>
              <w:rPr>
                <w:rFonts w:eastAsia="MS Mincho"/>
              </w:rPr>
            </w:pPr>
            <w:r>
              <w:rPr>
                <w:rFonts w:eastAsia="MS Mincho"/>
              </w:rPr>
              <w:t>(0%)</w:t>
            </w:r>
          </w:p>
        </w:tc>
        <w:tc>
          <w:tcPr>
            <w:tcW w:w="1072" w:type="pct"/>
            <w:shd w:val="clear" w:color="auto" w:fill="auto"/>
            <w:tcMar>
              <w:left w:w="28" w:type="dxa"/>
              <w:right w:w="28" w:type="dxa"/>
            </w:tcMar>
            <w:vAlign w:val="center"/>
          </w:tcPr>
          <w:p w:rsidR="00C41D4F" w:rsidRPr="009C6771" w:rsidRDefault="00C41D4F" w:rsidP="00125A1C">
            <w:pPr>
              <w:pStyle w:val="Tablewriting"/>
              <w:jc w:val="center"/>
              <w:rPr>
                <w:rFonts w:eastAsia="MS Mincho"/>
                <w:bCs/>
              </w:rPr>
            </w:pPr>
            <w:r w:rsidRPr="009C6771">
              <w:rPr>
                <w:rFonts w:eastAsia="MS Mincho"/>
                <w:bCs/>
              </w:rPr>
              <w:t>NE</w:t>
            </w:r>
          </w:p>
        </w:tc>
      </w:tr>
      <w:tr w:rsidR="00C41D4F" w:rsidRPr="00061F78" w:rsidTr="00D15590">
        <w:trPr>
          <w:cantSplit/>
          <w:trHeight w:val="99"/>
        </w:trPr>
        <w:tc>
          <w:tcPr>
            <w:tcW w:w="5000" w:type="pct"/>
            <w:gridSpan w:val="5"/>
            <w:shd w:val="clear" w:color="auto" w:fill="auto"/>
          </w:tcPr>
          <w:p w:rsidR="00C41D4F" w:rsidRPr="00D15590" w:rsidRDefault="00C41D4F" w:rsidP="00125A1C">
            <w:pPr>
              <w:pStyle w:val="Tablewriting"/>
              <w:rPr>
                <w:rFonts w:eastAsia="MS Mincho"/>
                <w:b/>
                <w:bCs/>
              </w:rPr>
            </w:pPr>
            <w:r w:rsidRPr="00D15590">
              <w:rPr>
                <w:b/>
                <w:bCs/>
              </w:rPr>
              <w:t>Treatment withdrawals</w:t>
            </w:r>
          </w:p>
        </w:tc>
      </w:tr>
      <w:tr w:rsidR="00C41D4F" w:rsidRPr="00061F78" w:rsidTr="00125A1C">
        <w:trPr>
          <w:cantSplit/>
          <w:trHeight w:val="99"/>
        </w:trPr>
        <w:tc>
          <w:tcPr>
            <w:tcW w:w="469" w:type="pct"/>
            <w:shd w:val="clear" w:color="auto" w:fill="auto"/>
            <w:tcMar>
              <w:left w:w="28" w:type="dxa"/>
              <w:right w:w="28" w:type="dxa"/>
            </w:tcMar>
            <w:vAlign w:val="center"/>
          </w:tcPr>
          <w:p w:rsidR="00C41D4F" w:rsidRDefault="00C41D4F" w:rsidP="00125A1C">
            <w:pPr>
              <w:pStyle w:val="Tablewriting"/>
              <w:rPr>
                <w:rFonts w:eastAsia="MS Mincho"/>
              </w:rPr>
            </w:pPr>
            <w:r>
              <w:rPr>
                <w:rFonts w:eastAsia="MS Mincho"/>
              </w:rPr>
              <w:t xml:space="preserve">Lindson </w:t>
            </w:r>
          </w:p>
          <w:p w:rsidR="00C41D4F" w:rsidRDefault="00C41D4F" w:rsidP="00125A1C">
            <w:pPr>
              <w:pStyle w:val="Tablewriting"/>
              <w:rPr>
                <w:rFonts w:eastAsia="MS Mincho"/>
              </w:rPr>
            </w:pPr>
            <w:r>
              <w:rPr>
                <w:rFonts w:eastAsia="MS Mincho"/>
              </w:rPr>
              <w:t>(2019)</w:t>
            </w:r>
          </w:p>
        </w:tc>
        <w:tc>
          <w:tcPr>
            <w:tcW w:w="1179" w:type="pct"/>
          </w:tcPr>
          <w:p w:rsidR="00C41D4F" w:rsidRDefault="00C41D4F" w:rsidP="00125A1C">
            <w:pPr>
              <w:pStyle w:val="Tablewriting"/>
              <w:jc w:val="center"/>
              <w:rPr>
                <w:rFonts w:eastAsia="MS Mincho"/>
              </w:rPr>
            </w:pPr>
            <w:r>
              <w:rPr>
                <w:rFonts w:eastAsia="MS Mincho"/>
              </w:rPr>
              <w:t>Cochrane Review</w:t>
            </w:r>
          </w:p>
          <w:p w:rsidR="00C41D4F" w:rsidRDefault="00C41D4F" w:rsidP="00125A1C">
            <w:pPr>
              <w:pStyle w:val="Tablewriting"/>
              <w:jc w:val="center"/>
              <w:rPr>
                <w:rFonts w:eastAsia="MS Mincho"/>
              </w:rPr>
            </w:pPr>
            <w:r>
              <w:rPr>
                <w:rFonts w:eastAsia="MS Mincho"/>
              </w:rPr>
              <w:t>(1 RCT)</w:t>
            </w:r>
          </w:p>
        </w:tc>
        <w:tc>
          <w:tcPr>
            <w:tcW w:w="1180" w:type="pct"/>
            <w:shd w:val="clear" w:color="auto" w:fill="auto"/>
            <w:tcMar>
              <w:left w:w="28" w:type="dxa"/>
              <w:right w:w="28" w:type="dxa"/>
            </w:tcMar>
            <w:vAlign w:val="center"/>
          </w:tcPr>
          <w:p w:rsidR="00C41D4F" w:rsidRDefault="00C41D4F" w:rsidP="00125A1C">
            <w:pPr>
              <w:pStyle w:val="Tablewriting"/>
              <w:jc w:val="center"/>
              <w:rPr>
                <w:rFonts w:eastAsia="MS Mincho"/>
              </w:rPr>
            </w:pPr>
            <w:r>
              <w:rPr>
                <w:rFonts w:eastAsia="MS Mincho"/>
              </w:rPr>
              <w:t>14/463</w:t>
            </w:r>
          </w:p>
          <w:p w:rsidR="00C41D4F" w:rsidRDefault="00C41D4F" w:rsidP="00125A1C">
            <w:pPr>
              <w:pStyle w:val="Tablewriting"/>
              <w:jc w:val="center"/>
              <w:rPr>
                <w:rFonts w:eastAsia="MS Mincho"/>
              </w:rPr>
            </w:pPr>
            <w:r>
              <w:rPr>
                <w:rFonts w:eastAsia="MS Mincho"/>
              </w:rPr>
              <w:t>(3%)</w:t>
            </w:r>
          </w:p>
        </w:tc>
        <w:tc>
          <w:tcPr>
            <w:tcW w:w="1100" w:type="pct"/>
            <w:shd w:val="clear" w:color="auto" w:fill="auto"/>
            <w:tcMar>
              <w:left w:w="28" w:type="dxa"/>
              <w:right w:w="28" w:type="dxa"/>
            </w:tcMar>
            <w:vAlign w:val="center"/>
          </w:tcPr>
          <w:p w:rsidR="00C41D4F" w:rsidRDefault="00C41D4F" w:rsidP="00125A1C">
            <w:pPr>
              <w:pStyle w:val="Tablewriting"/>
              <w:jc w:val="center"/>
              <w:rPr>
                <w:rFonts w:eastAsia="MS Mincho"/>
              </w:rPr>
            </w:pPr>
            <w:r>
              <w:rPr>
                <w:rFonts w:eastAsia="MS Mincho"/>
              </w:rPr>
              <w:t>4/459</w:t>
            </w:r>
          </w:p>
          <w:p w:rsidR="00C41D4F" w:rsidRDefault="00C41D4F" w:rsidP="00125A1C">
            <w:pPr>
              <w:pStyle w:val="Tablewriting"/>
              <w:jc w:val="center"/>
              <w:rPr>
                <w:rFonts w:eastAsia="MS Mincho"/>
              </w:rPr>
            </w:pPr>
            <w:r>
              <w:rPr>
                <w:rFonts w:eastAsia="MS Mincho"/>
              </w:rPr>
              <w:t>(0.9%)</w:t>
            </w:r>
          </w:p>
        </w:tc>
        <w:tc>
          <w:tcPr>
            <w:tcW w:w="1072" w:type="pct"/>
            <w:shd w:val="clear" w:color="auto" w:fill="auto"/>
            <w:tcMar>
              <w:left w:w="28" w:type="dxa"/>
              <w:right w:w="28" w:type="dxa"/>
            </w:tcMar>
            <w:vAlign w:val="center"/>
          </w:tcPr>
          <w:p w:rsidR="00C41D4F" w:rsidRPr="00D03D86" w:rsidRDefault="00C41D4F" w:rsidP="00125A1C">
            <w:pPr>
              <w:pStyle w:val="Tablewriting"/>
              <w:jc w:val="center"/>
              <w:rPr>
                <w:rFonts w:eastAsia="MS Mincho"/>
                <w:b/>
              </w:rPr>
            </w:pPr>
            <w:r w:rsidRPr="00D03D86">
              <w:rPr>
                <w:rFonts w:eastAsia="MS Mincho"/>
                <w:b/>
              </w:rPr>
              <w:t>3.47</w:t>
            </w:r>
          </w:p>
          <w:p w:rsidR="00C41D4F" w:rsidRPr="009C6771" w:rsidRDefault="00C41D4F" w:rsidP="00125A1C">
            <w:pPr>
              <w:pStyle w:val="Tablewriting"/>
              <w:jc w:val="center"/>
              <w:rPr>
                <w:rFonts w:eastAsia="MS Mincho"/>
                <w:bCs/>
              </w:rPr>
            </w:pPr>
            <w:r w:rsidRPr="00D03D86">
              <w:rPr>
                <w:rFonts w:eastAsia="MS Mincho"/>
                <w:b/>
              </w:rPr>
              <w:t>(1.15, 10.46)</w:t>
            </w:r>
          </w:p>
        </w:tc>
      </w:tr>
    </w:tbl>
    <w:p w:rsidR="00C41D4F" w:rsidRDefault="00C41D4F" w:rsidP="00C41D4F">
      <w:pPr>
        <w:pStyle w:val="TableFooter"/>
      </w:pPr>
      <w:r>
        <w:t>Source: Lindson et al. (2019)</w:t>
      </w:r>
    </w:p>
    <w:p w:rsidR="00C41D4F" w:rsidRDefault="00C41D4F" w:rsidP="00C41D4F">
      <w:pPr>
        <w:pStyle w:val="TableFooter"/>
      </w:pPr>
      <w:r>
        <w:t xml:space="preserve">Abbreviations: CI = confidence interval; NE = not estimable; RCT = randomised controlled trial; RR = risk ratio. </w:t>
      </w:r>
    </w:p>
    <w:p w:rsidR="00C41D4F" w:rsidRDefault="00C41D4F" w:rsidP="00C41D4F">
      <w:pPr>
        <w:pStyle w:val="TableFooter"/>
      </w:pPr>
      <w:r w:rsidRPr="00FD4061">
        <w:t>Note</w:t>
      </w:r>
      <w:r>
        <w:t>s</w:t>
      </w:r>
      <w:r w:rsidRPr="00FD4061">
        <w:t>:</w:t>
      </w:r>
      <w:r>
        <w:t xml:space="preserve"> </w:t>
      </w:r>
      <w:r w:rsidRPr="007A6220">
        <w:t>Bold</w:t>
      </w:r>
      <w:r w:rsidRPr="00FD4061">
        <w:t xml:space="preserve"> indicates statistically significant difference</w:t>
      </w:r>
      <w:r>
        <w:t xml:space="preserve">. </w:t>
      </w:r>
    </w:p>
    <w:p w:rsidR="00C41D4F" w:rsidRPr="00C41D4F" w:rsidRDefault="00C41D4F" w:rsidP="00C41D4F">
      <w:pPr>
        <w:pStyle w:val="TableFooter"/>
      </w:pPr>
      <w:r>
        <w:t>1</w:t>
      </w:r>
      <w:r w:rsidRPr="00D32EBD">
        <w:t xml:space="preserve"> Calculated </w:t>
      </w:r>
      <w:r>
        <w:t xml:space="preserve">by Cochrane Review authors </w:t>
      </w:r>
      <w:r w:rsidRPr="00D32EBD">
        <w:t>using a fixed-effect model.</w:t>
      </w:r>
    </w:p>
    <w:p w:rsidR="00F523E8" w:rsidRDefault="00F523E8" w:rsidP="001C10FE">
      <w:pPr>
        <w:pStyle w:val="Heading5"/>
        <w:numPr>
          <w:ilvl w:val="0"/>
          <w:numId w:val="0"/>
        </w:numPr>
      </w:pPr>
      <w:r w:rsidRPr="008657EE">
        <w:t>Oral spray</w:t>
      </w:r>
    </w:p>
    <w:p w:rsidR="00C01C17" w:rsidRPr="00C01C17" w:rsidRDefault="00C01C17" w:rsidP="00C01C17">
      <w:pPr>
        <w:rPr>
          <w:u w:val="single"/>
        </w:rPr>
      </w:pPr>
      <w:r w:rsidRPr="00C01C17">
        <w:rPr>
          <w:u w:val="single"/>
        </w:rPr>
        <w:t>Efficacy</w:t>
      </w:r>
    </w:p>
    <w:p w:rsidR="00F523E8" w:rsidRPr="00310511" w:rsidRDefault="00F523E8" w:rsidP="00F523E8">
      <w:pPr>
        <w:jc w:val="both"/>
      </w:pPr>
      <w:r w:rsidRPr="00F136E9">
        <w:t>A summary of smoking cessation rates</w:t>
      </w:r>
      <w:r>
        <w:t xml:space="preserve"> </w:t>
      </w:r>
      <w:r w:rsidRPr="00F136E9">
        <w:t>f</w:t>
      </w:r>
      <w:r w:rsidR="00DA78DD">
        <w:t>or</w:t>
      </w:r>
      <w:r w:rsidRPr="00F136E9">
        <w:t xml:space="preserve"> at least six months follow-up</w:t>
      </w:r>
      <w:r>
        <w:t xml:space="preserve"> for the comparison of NRT oral spray versus placebo </w:t>
      </w:r>
      <w:r w:rsidRPr="00F136E9">
        <w:t xml:space="preserve">is presented </w:t>
      </w:r>
      <w:r w:rsidRPr="00657867">
        <w:t>in</w:t>
      </w:r>
      <w:r>
        <w:t xml:space="preserve"> </w:t>
      </w:r>
      <w:r w:rsidR="003C4A1C">
        <w:t xml:space="preserve">Table </w:t>
      </w:r>
      <w:r w:rsidR="003C4A1C">
        <w:rPr>
          <w:noProof/>
        </w:rPr>
        <w:t>113</w:t>
      </w:r>
      <w:r w:rsidRPr="00657867">
        <w:t xml:space="preserve">. </w:t>
      </w:r>
      <w:r w:rsidR="00903E5A">
        <w:t>Based on the Cochrane Review</w:t>
      </w:r>
      <w:r>
        <w:t xml:space="preserve"> </w:t>
      </w:r>
      <w:r w:rsidR="005039D4">
        <w:t>by Hartmann-Boyce et al. (2018), the results of the identified RCT demonstrated a statistically significant difference in smoking cessation rates between the two treatment arms, in favour of NRT oral spray. The results of the updated re-analysis were consistent with the results from Hartmann-Boyce et al. (2018) after including the results from</w:t>
      </w:r>
      <w:r w:rsidDel="005039D4">
        <w:t xml:space="preserve"> </w:t>
      </w:r>
      <w:r>
        <w:t xml:space="preserve">Nides </w:t>
      </w:r>
      <w:r w:rsidR="005039D4">
        <w:t>et al. (</w:t>
      </w:r>
      <w:r>
        <w:t>2020</w:t>
      </w:r>
      <w:r w:rsidR="005039D4">
        <w:t>).</w:t>
      </w:r>
      <w:r>
        <w:t xml:space="preserve"> </w:t>
      </w:r>
      <w:r w:rsidR="000D728E">
        <w:t xml:space="preserve">It was noted </w:t>
      </w:r>
      <w:r w:rsidR="000D728E">
        <w:lastRenderedPageBreak/>
        <w:t>that the results of the updated re-analysis were not statistically significant based on risk difference (absolute effect).</w:t>
      </w:r>
    </w:p>
    <w:p w:rsidR="00B27344" w:rsidRDefault="00B27344" w:rsidP="00B27344">
      <w:pPr>
        <w:pStyle w:val="Caption"/>
        <w:keepNext/>
      </w:pPr>
      <w:bookmarkStart w:id="227" w:name="_Ref60847024"/>
      <w:r>
        <w:t xml:space="preserve">Table </w:t>
      </w:r>
      <w:r w:rsidR="003C4A1C">
        <w:rPr>
          <w:noProof/>
        </w:rPr>
        <w:t>113</w:t>
      </w:r>
      <w:bookmarkEnd w:id="227"/>
      <w:r>
        <w:t xml:space="preserve">: </w:t>
      </w:r>
      <w:r w:rsidRPr="006E0E8E">
        <w:t>Results of smoking cessation f</w:t>
      </w:r>
      <w:r w:rsidR="00DA78DD">
        <w:t>or</w:t>
      </w:r>
      <w:r w:rsidRPr="006E0E8E">
        <w:t xml:space="preserve"> at least six months follow-up, oral spray versus placebo</w:t>
      </w:r>
    </w:p>
    <w:tbl>
      <w:tblPr>
        <w:tblStyle w:val="TableGrid"/>
        <w:tblW w:w="5000" w:type="pct"/>
        <w:tblLook w:val="04A0" w:firstRow="1" w:lastRow="0" w:firstColumn="1" w:lastColumn="0" w:noHBand="0" w:noVBand="1"/>
        <w:tblCaption w:val="Efficacy results of adalimumab trials (PASI 75 and DLQI)"/>
      </w:tblPr>
      <w:tblGrid>
        <w:gridCol w:w="1555"/>
        <w:gridCol w:w="1700"/>
        <w:gridCol w:w="1417"/>
        <w:gridCol w:w="1347"/>
        <w:gridCol w:w="1535"/>
        <w:gridCol w:w="1462"/>
      </w:tblGrid>
      <w:tr w:rsidR="00F523E8" w:rsidRPr="00061F78" w:rsidTr="006A7681">
        <w:trPr>
          <w:cantSplit/>
          <w:trHeight w:val="299"/>
          <w:tblHeader/>
        </w:trPr>
        <w:tc>
          <w:tcPr>
            <w:tcW w:w="862" w:type="pct"/>
            <w:shd w:val="clear" w:color="auto" w:fill="BFBFBF" w:themeFill="background1" w:themeFillShade="BF"/>
            <w:tcMar>
              <w:left w:w="28" w:type="dxa"/>
              <w:right w:w="28" w:type="dxa"/>
            </w:tcMar>
          </w:tcPr>
          <w:p w:rsidR="00F523E8" w:rsidRPr="00061F78" w:rsidRDefault="00F523E8" w:rsidP="00A5263B">
            <w:pPr>
              <w:pStyle w:val="Tableheading"/>
              <w:keepNext/>
              <w:rPr>
                <w:rFonts w:eastAsia="MS Mincho"/>
              </w:rPr>
            </w:pPr>
            <w:r>
              <w:rPr>
                <w:rFonts w:eastAsia="MS Mincho"/>
              </w:rPr>
              <w:t>Study</w:t>
            </w:r>
          </w:p>
        </w:tc>
        <w:tc>
          <w:tcPr>
            <w:tcW w:w="943" w:type="pct"/>
            <w:shd w:val="clear" w:color="auto" w:fill="BFBFBF" w:themeFill="background1" w:themeFillShade="BF"/>
            <w:vAlign w:val="center"/>
          </w:tcPr>
          <w:p w:rsidR="00F523E8" w:rsidRDefault="00F523E8" w:rsidP="00A5263B">
            <w:pPr>
              <w:pStyle w:val="Tableheading"/>
              <w:keepNext/>
              <w:jc w:val="center"/>
              <w:rPr>
                <w:rFonts w:eastAsia="MS Mincho"/>
              </w:rPr>
            </w:pPr>
            <w:r>
              <w:rPr>
                <w:rFonts w:eastAsia="MS Mincho"/>
              </w:rPr>
              <w:t>Study type</w:t>
            </w:r>
          </w:p>
        </w:tc>
        <w:tc>
          <w:tcPr>
            <w:tcW w:w="786" w:type="pct"/>
            <w:shd w:val="clear" w:color="auto" w:fill="BFBFBF" w:themeFill="background1" w:themeFillShade="BF"/>
            <w:tcMar>
              <w:left w:w="28" w:type="dxa"/>
              <w:right w:w="28" w:type="dxa"/>
            </w:tcMar>
            <w:vAlign w:val="center"/>
          </w:tcPr>
          <w:p w:rsidR="00F523E8" w:rsidRPr="00061F78" w:rsidRDefault="00F523E8" w:rsidP="00A5263B">
            <w:pPr>
              <w:pStyle w:val="Tableheading"/>
              <w:keepNext/>
              <w:jc w:val="center"/>
              <w:rPr>
                <w:rFonts w:eastAsia="MS Mincho"/>
              </w:rPr>
            </w:pPr>
            <w:r>
              <w:rPr>
                <w:rFonts w:eastAsia="MS Mincho"/>
              </w:rPr>
              <w:t>Oral spray</w:t>
            </w:r>
          </w:p>
        </w:tc>
        <w:tc>
          <w:tcPr>
            <w:tcW w:w="747" w:type="pct"/>
            <w:shd w:val="clear" w:color="auto" w:fill="BFBFBF" w:themeFill="background1" w:themeFillShade="BF"/>
            <w:tcMar>
              <w:left w:w="28" w:type="dxa"/>
              <w:right w:w="28" w:type="dxa"/>
            </w:tcMar>
            <w:vAlign w:val="center"/>
          </w:tcPr>
          <w:p w:rsidR="00F523E8" w:rsidRPr="00061F78" w:rsidRDefault="00F523E8" w:rsidP="00A5263B">
            <w:pPr>
              <w:pStyle w:val="Tableheading"/>
              <w:keepNext/>
              <w:jc w:val="center"/>
              <w:rPr>
                <w:rFonts w:eastAsia="MS Mincho"/>
              </w:rPr>
            </w:pPr>
            <w:r>
              <w:rPr>
                <w:rFonts w:eastAsia="MS Mincho"/>
              </w:rPr>
              <w:t>Placebo</w:t>
            </w:r>
          </w:p>
        </w:tc>
        <w:tc>
          <w:tcPr>
            <w:tcW w:w="851" w:type="pct"/>
            <w:shd w:val="clear" w:color="auto" w:fill="BFBFBF" w:themeFill="background1" w:themeFillShade="BF"/>
            <w:tcMar>
              <w:left w:w="28" w:type="dxa"/>
              <w:right w:w="28" w:type="dxa"/>
            </w:tcMar>
            <w:vAlign w:val="center"/>
          </w:tcPr>
          <w:p w:rsidR="00F523E8" w:rsidRPr="002D09A1" w:rsidRDefault="00F523E8" w:rsidP="00A5263B">
            <w:pPr>
              <w:pStyle w:val="Tableheading"/>
              <w:keepNext/>
              <w:jc w:val="center"/>
              <w:rPr>
                <w:rFonts w:eastAsia="MS Mincho"/>
                <w:vertAlign w:val="superscript"/>
              </w:rPr>
            </w:pPr>
            <w:r>
              <w:rPr>
                <w:rFonts w:eastAsia="MS Mincho"/>
              </w:rPr>
              <w:t>RR (95% CI)</w:t>
            </w:r>
          </w:p>
        </w:tc>
        <w:tc>
          <w:tcPr>
            <w:tcW w:w="811" w:type="pct"/>
            <w:shd w:val="clear" w:color="auto" w:fill="BFBFBF" w:themeFill="background1" w:themeFillShade="BF"/>
            <w:vAlign w:val="center"/>
          </w:tcPr>
          <w:p w:rsidR="00F523E8" w:rsidRDefault="00F523E8" w:rsidP="00A5263B">
            <w:pPr>
              <w:pStyle w:val="Tableheading"/>
              <w:keepNext/>
              <w:jc w:val="center"/>
              <w:rPr>
                <w:rFonts w:eastAsia="MS Mincho"/>
              </w:rPr>
            </w:pPr>
            <w:r>
              <w:rPr>
                <w:rFonts w:eastAsia="MS Mincho"/>
              </w:rPr>
              <w:t>RD (95% CI)</w:t>
            </w:r>
          </w:p>
        </w:tc>
      </w:tr>
      <w:tr w:rsidR="00F523E8" w:rsidRPr="00061F78" w:rsidTr="006A7681">
        <w:trPr>
          <w:cantSplit/>
          <w:trHeight w:val="99"/>
        </w:trPr>
        <w:tc>
          <w:tcPr>
            <w:tcW w:w="862" w:type="pct"/>
            <w:shd w:val="clear" w:color="auto" w:fill="auto"/>
            <w:tcMar>
              <w:left w:w="28" w:type="dxa"/>
              <w:right w:w="28" w:type="dxa"/>
            </w:tcMar>
            <w:vAlign w:val="center"/>
          </w:tcPr>
          <w:p w:rsidR="00F523E8" w:rsidRDefault="00D40FB8" w:rsidP="00A5263B">
            <w:pPr>
              <w:pStyle w:val="Tablewriting"/>
              <w:keepNext/>
              <w:rPr>
                <w:rFonts w:eastAsia="MS Mincho"/>
              </w:rPr>
            </w:pPr>
            <w:r>
              <w:rPr>
                <w:rFonts w:eastAsia="MS Mincho"/>
              </w:rPr>
              <w:t>Hartmann-Boyce</w:t>
            </w:r>
          </w:p>
          <w:p w:rsidR="00F523E8" w:rsidRPr="006A7681" w:rsidRDefault="00D40FB8" w:rsidP="00A5263B">
            <w:pPr>
              <w:pStyle w:val="Tablewriting"/>
              <w:keepNext/>
              <w:rPr>
                <w:rFonts w:eastAsia="MS Mincho"/>
                <w:highlight w:val="yellow"/>
                <w:vertAlign w:val="superscript"/>
              </w:rPr>
            </w:pPr>
            <w:r w:rsidRPr="006A7681">
              <w:rPr>
                <w:rFonts w:eastAsia="MS Mincho"/>
              </w:rPr>
              <w:t>(2018)</w:t>
            </w:r>
            <w:r>
              <w:rPr>
                <w:rFonts w:eastAsia="MS Mincho"/>
                <w:vertAlign w:val="superscript"/>
              </w:rPr>
              <w:t>1</w:t>
            </w:r>
          </w:p>
        </w:tc>
        <w:tc>
          <w:tcPr>
            <w:tcW w:w="943" w:type="pct"/>
            <w:shd w:val="clear" w:color="auto" w:fill="auto"/>
            <w:vAlign w:val="center"/>
          </w:tcPr>
          <w:p w:rsidR="00D40FB8" w:rsidRDefault="00D40FB8" w:rsidP="00A5263B">
            <w:pPr>
              <w:pStyle w:val="Tablewriting"/>
              <w:keepNext/>
              <w:jc w:val="center"/>
              <w:rPr>
                <w:rFonts w:eastAsia="MS Mincho"/>
              </w:rPr>
            </w:pPr>
            <w:r>
              <w:rPr>
                <w:rFonts w:eastAsia="MS Mincho"/>
              </w:rPr>
              <w:t>Cochrane Review</w:t>
            </w:r>
          </w:p>
          <w:p w:rsidR="00F523E8" w:rsidRPr="00A22F63" w:rsidRDefault="00D40FB8" w:rsidP="00A5263B">
            <w:pPr>
              <w:pStyle w:val="Tablewriting"/>
              <w:keepNext/>
              <w:jc w:val="center"/>
              <w:rPr>
                <w:rFonts w:eastAsia="MS Mincho"/>
              </w:rPr>
            </w:pPr>
            <w:r>
              <w:rPr>
                <w:rFonts w:eastAsia="MS Mincho"/>
              </w:rPr>
              <w:t xml:space="preserve">(1 </w:t>
            </w:r>
            <w:r w:rsidR="00F523E8" w:rsidRPr="00A22F63">
              <w:rPr>
                <w:rFonts w:eastAsia="MS Mincho"/>
              </w:rPr>
              <w:t>RCT</w:t>
            </w:r>
            <w:r>
              <w:rPr>
                <w:rFonts w:eastAsia="MS Mincho"/>
              </w:rPr>
              <w:t>)</w:t>
            </w:r>
          </w:p>
        </w:tc>
        <w:tc>
          <w:tcPr>
            <w:tcW w:w="786" w:type="pct"/>
            <w:shd w:val="clear" w:color="auto" w:fill="auto"/>
            <w:tcMar>
              <w:left w:w="28" w:type="dxa"/>
              <w:right w:w="28" w:type="dxa"/>
            </w:tcMar>
            <w:vAlign w:val="center"/>
          </w:tcPr>
          <w:p w:rsidR="00F523E8" w:rsidRPr="0064318B" w:rsidRDefault="00F523E8" w:rsidP="00A5263B">
            <w:pPr>
              <w:pStyle w:val="Tablewriting"/>
              <w:keepNext/>
              <w:jc w:val="center"/>
              <w:rPr>
                <w:rFonts w:eastAsia="MS Mincho"/>
              </w:rPr>
            </w:pPr>
            <w:r w:rsidRPr="0064318B">
              <w:rPr>
                <w:rFonts w:eastAsia="MS Mincho"/>
              </w:rPr>
              <w:t>44/318</w:t>
            </w:r>
          </w:p>
          <w:p w:rsidR="00F523E8" w:rsidRPr="0064318B" w:rsidRDefault="00F523E8" w:rsidP="00A5263B">
            <w:pPr>
              <w:pStyle w:val="Tablewriting"/>
              <w:keepNext/>
              <w:jc w:val="center"/>
              <w:rPr>
                <w:rFonts w:eastAsia="MS Mincho"/>
              </w:rPr>
            </w:pPr>
            <w:r w:rsidRPr="0064318B">
              <w:rPr>
                <w:rFonts w:eastAsia="MS Mincho"/>
              </w:rPr>
              <w:t>(13.8%)</w:t>
            </w:r>
          </w:p>
        </w:tc>
        <w:tc>
          <w:tcPr>
            <w:tcW w:w="747" w:type="pct"/>
            <w:shd w:val="clear" w:color="auto" w:fill="auto"/>
            <w:tcMar>
              <w:left w:w="28" w:type="dxa"/>
              <w:right w:w="28" w:type="dxa"/>
            </w:tcMar>
            <w:vAlign w:val="center"/>
          </w:tcPr>
          <w:p w:rsidR="00F523E8" w:rsidRPr="0064318B" w:rsidRDefault="00F523E8" w:rsidP="00A5263B">
            <w:pPr>
              <w:pStyle w:val="Tablewriting"/>
              <w:keepNext/>
              <w:jc w:val="center"/>
              <w:rPr>
                <w:rFonts w:eastAsia="MS Mincho"/>
              </w:rPr>
            </w:pPr>
            <w:r w:rsidRPr="0064318B">
              <w:rPr>
                <w:rFonts w:eastAsia="MS Mincho"/>
              </w:rPr>
              <w:t>9/161</w:t>
            </w:r>
          </w:p>
          <w:p w:rsidR="00F523E8" w:rsidRPr="0064318B" w:rsidRDefault="00F523E8" w:rsidP="00A5263B">
            <w:pPr>
              <w:pStyle w:val="Tablewriting"/>
              <w:keepNext/>
              <w:jc w:val="center"/>
              <w:rPr>
                <w:rFonts w:eastAsia="MS Mincho"/>
              </w:rPr>
            </w:pPr>
            <w:r w:rsidRPr="0064318B">
              <w:rPr>
                <w:rFonts w:eastAsia="MS Mincho"/>
              </w:rPr>
              <w:t>(5.6%)</w:t>
            </w:r>
          </w:p>
        </w:tc>
        <w:tc>
          <w:tcPr>
            <w:tcW w:w="851" w:type="pct"/>
            <w:shd w:val="clear" w:color="auto" w:fill="auto"/>
            <w:tcMar>
              <w:left w:w="28" w:type="dxa"/>
              <w:right w:w="28" w:type="dxa"/>
            </w:tcMar>
            <w:vAlign w:val="center"/>
          </w:tcPr>
          <w:p w:rsidR="00F523E8" w:rsidRPr="006A7681" w:rsidRDefault="00F523E8" w:rsidP="00A5263B">
            <w:pPr>
              <w:pStyle w:val="Tablewriting"/>
              <w:keepNext/>
              <w:jc w:val="center"/>
              <w:rPr>
                <w:rFonts w:eastAsia="MS Mincho"/>
                <w:b/>
              </w:rPr>
            </w:pPr>
            <w:r w:rsidRPr="006A7681">
              <w:rPr>
                <w:rFonts w:eastAsia="MS Mincho"/>
                <w:b/>
              </w:rPr>
              <w:t>2.48</w:t>
            </w:r>
          </w:p>
          <w:p w:rsidR="00F523E8" w:rsidRPr="006A7681" w:rsidRDefault="00F523E8" w:rsidP="00A5263B">
            <w:pPr>
              <w:pStyle w:val="Tablewriting"/>
              <w:keepNext/>
              <w:jc w:val="center"/>
              <w:rPr>
                <w:rFonts w:eastAsia="MS Mincho"/>
                <w:b/>
              </w:rPr>
            </w:pPr>
            <w:r w:rsidRPr="006A7681">
              <w:rPr>
                <w:rFonts w:eastAsia="MS Mincho"/>
                <w:b/>
              </w:rPr>
              <w:t>(1.24, 4.94)</w:t>
            </w:r>
          </w:p>
        </w:tc>
        <w:tc>
          <w:tcPr>
            <w:tcW w:w="811" w:type="pct"/>
            <w:shd w:val="clear" w:color="auto" w:fill="auto"/>
            <w:vAlign w:val="center"/>
          </w:tcPr>
          <w:p w:rsidR="00F523E8" w:rsidRPr="005D18BC" w:rsidRDefault="00D40FB8" w:rsidP="00A5263B">
            <w:pPr>
              <w:pStyle w:val="Tablewriting"/>
              <w:keepNext/>
              <w:jc w:val="center"/>
              <w:rPr>
                <w:rFonts w:eastAsia="MS Mincho"/>
                <w:highlight w:val="yellow"/>
              </w:rPr>
            </w:pPr>
            <w:r w:rsidRPr="006A7681">
              <w:rPr>
                <w:rFonts w:eastAsia="MS Mincho"/>
              </w:rPr>
              <w:t>NR</w:t>
            </w:r>
          </w:p>
        </w:tc>
      </w:tr>
      <w:tr w:rsidR="00F523E8" w:rsidRPr="00061F78" w:rsidTr="006A7681">
        <w:trPr>
          <w:cantSplit/>
          <w:trHeight w:val="99"/>
        </w:trPr>
        <w:tc>
          <w:tcPr>
            <w:tcW w:w="862" w:type="pct"/>
            <w:shd w:val="clear" w:color="auto" w:fill="auto"/>
            <w:tcMar>
              <w:left w:w="28" w:type="dxa"/>
              <w:right w:w="28" w:type="dxa"/>
            </w:tcMar>
            <w:vAlign w:val="center"/>
          </w:tcPr>
          <w:p w:rsidR="00F523E8" w:rsidRPr="008657EE" w:rsidRDefault="00F523E8" w:rsidP="00A5263B">
            <w:pPr>
              <w:pStyle w:val="Tablewriting"/>
              <w:keepNext/>
              <w:rPr>
                <w:rFonts w:eastAsia="MS Mincho"/>
              </w:rPr>
            </w:pPr>
            <w:r w:rsidRPr="004F796B">
              <w:rPr>
                <w:rFonts w:eastAsia="MS Mincho"/>
              </w:rPr>
              <w:t xml:space="preserve">Nides </w:t>
            </w:r>
            <w:r>
              <w:rPr>
                <w:rFonts w:eastAsia="MS Mincho"/>
              </w:rPr>
              <w:t>(</w:t>
            </w:r>
            <w:r w:rsidRPr="004F796B">
              <w:rPr>
                <w:rFonts w:eastAsia="MS Mincho"/>
              </w:rPr>
              <w:t>2020</w:t>
            </w:r>
            <w:r>
              <w:rPr>
                <w:rFonts w:eastAsia="MS Mincho"/>
              </w:rPr>
              <w:t>)</w:t>
            </w:r>
            <w:r w:rsidRPr="004F796B">
              <w:rPr>
                <w:rFonts w:eastAsia="MS Mincho"/>
                <w:vertAlign w:val="superscript"/>
              </w:rPr>
              <w:t>2</w:t>
            </w:r>
          </w:p>
        </w:tc>
        <w:tc>
          <w:tcPr>
            <w:tcW w:w="943" w:type="pct"/>
            <w:shd w:val="clear" w:color="auto" w:fill="auto"/>
            <w:vAlign w:val="center"/>
          </w:tcPr>
          <w:p w:rsidR="00F523E8" w:rsidRDefault="00F523E8" w:rsidP="00A5263B">
            <w:pPr>
              <w:pStyle w:val="Tablewriting"/>
              <w:keepNext/>
              <w:jc w:val="center"/>
              <w:rPr>
                <w:rFonts w:eastAsia="MS Mincho"/>
              </w:rPr>
            </w:pPr>
            <w:r>
              <w:rPr>
                <w:rFonts w:eastAsia="MS Mincho"/>
              </w:rPr>
              <w:t>RCT</w:t>
            </w:r>
          </w:p>
        </w:tc>
        <w:tc>
          <w:tcPr>
            <w:tcW w:w="786" w:type="pct"/>
            <w:shd w:val="clear" w:color="auto" w:fill="auto"/>
            <w:vAlign w:val="center"/>
          </w:tcPr>
          <w:p w:rsidR="00F523E8" w:rsidRDefault="00F523E8" w:rsidP="00A5263B">
            <w:pPr>
              <w:pStyle w:val="Tablewriting"/>
              <w:keepNext/>
              <w:jc w:val="center"/>
              <w:rPr>
                <w:rFonts w:eastAsia="MS Mincho"/>
              </w:rPr>
            </w:pPr>
            <w:r>
              <w:rPr>
                <w:rFonts w:eastAsia="MS Mincho"/>
              </w:rPr>
              <w:t>20/597</w:t>
            </w:r>
          </w:p>
          <w:p w:rsidR="00F523E8" w:rsidRDefault="00F523E8" w:rsidP="00A5263B">
            <w:pPr>
              <w:pStyle w:val="Tablewriting"/>
              <w:keepNext/>
              <w:jc w:val="center"/>
              <w:rPr>
                <w:rFonts w:eastAsia="MS Mincho"/>
              </w:rPr>
            </w:pPr>
            <w:r>
              <w:rPr>
                <w:rFonts w:eastAsia="MS Mincho"/>
              </w:rPr>
              <w:t>(3.4%)</w:t>
            </w:r>
          </w:p>
        </w:tc>
        <w:tc>
          <w:tcPr>
            <w:tcW w:w="747" w:type="pct"/>
            <w:shd w:val="clear" w:color="auto" w:fill="auto"/>
            <w:vAlign w:val="center"/>
          </w:tcPr>
          <w:p w:rsidR="00F523E8" w:rsidRDefault="00F523E8" w:rsidP="00A5263B">
            <w:pPr>
              <w:pStyle w:val="Tablewriting"/>
              <w:keepNext/>
              <w:jc w:val="center"/>
              <w:rPr>
                <w:rFonts w:eastAsia="MS Mincho"/>
              </w:rPr>
            </w:pPr>
            <w:r>
              <w:rPr>
                <w:rFonts w:eastAsia="MS Mincho"/>
              </w:rPr>
              <w:t>7/601</w:t>
            </w:r>
          </w:p>
          <w:p w:rsidR="00F523E8" w:rsidRDefault="00F523E8" w:rsidP="00A5263B">
            <w:pPr>
              <w:pStyle w:val="Tablewriting"/>
              <w:keepNext/>
              <w:jc w:val="center"/>
              <w:rPr>
                <w:rFonts w:eastAsia="MS Mincho"/>
              </w:rPr>
            </w:pPr>
            <w:r>
              <w:rPr>
                <w:rFonts w:eastAsia="MS Mincho"/>
              </w:rPr>
              <w:t>(1.2%)</w:t>
            </w:r>
          </w:p>
        </w:tc>
        <w:tc>
          <w:tcPr>
            <w:tcW w:w="851" w:type="pct"/>
            <w:shd w:val="clear" w:color="auto" w:fill="auto"/>
            <w:tcMar>
              <w:left w:w="28" w:type="dxa"/>
              <w:right w:w="28" w:type="dxa"/>
            </w:tcMar>
            <w:vAlign w:val="center"/>
          </w:tcPr>
          <w:p w:rsidR="00F523E8" w:rsidRPr="006A7681" w:rsidRDefault="00F523E8" w:rsidP="00A5263B">
            <w:pPr>
              <w:pStyle w:val="Tablewriting"/>
              <w:keepNext/>
              <w:jc w:val="center"/>
              <w:rPr>
                <w:rFonts w:eastAsia="MS Mincho"/>
                <w:b/>
              </w:rPr>
            </w:pPr>
            <w:r w:rsidRPr="006A7681">
              <w:rPr>
                <w:rFonts w:eastAsia="MS Mincho"/>
                <w:b/>
              </w:rPr>
              <w:t>2.87</w:t>
            </w:r>
          </w:p>
          <w:p w:rsidR="00F523E8" w:rsidRPr="006A7681" w:rsidRDefault="00F523E8" w:rsidP="00A5263B">
            <w:pPr>
              <w:pStyle w:val="Tablewriting"/>
              <w:keepNext/>
              <w:jc w:val="center"/>
              <w:rPr>
                <w:rFonts w:eastAsia="MS Mincho"/>
                <w:b/>
              </w:rPr>
            </w:pPr>
            <w:r w:rsidRPr="006A7681">
              <w:rPr>
                <w:rFonts w:eastAsia="MS Mincho"/>
                <w:b/>
              </w:rPr>
              <w:t>(1.23, 6.71)</w:t>
            </w:r>
          </w:p>
        </w:tc>
        <w:tc>
          <w:tcPr>
            <w:tcW w:w="811" w:type="pct"/>
            <w:shd w:val="clear" w:color="auto" w:fill="auto"/>
            <w:vAlign w:val="center"/>
          </w:tcPr>
          <w:p w:rsidR="00F523E8" w:rsidRPr="0013248D" w:rsidRDefault="00F962F6" w:rsidP="00A5263B">
            <w:pPr>
              <w:pStyle w:val="Tablewriting"/>
              <w:keepNext/>
              <w:jc w:val="center"/>
              <w:rPr>
                <w:rFonts w:eastAsia="MS Mincho"/>
                <w:b/>
              </w:rPr>
            </w:pPr>
            <w:r w:rsidRPr="0013248D">
              <w:rPr>
                <w:rFonts w:eastAsia="MS Mincho"/>
                <w:b/>
              </w:rPr>
              <w:t>0.</w:t>
            </w:r>
            <w:r w:rsidRPr="0013248D">
              <w:rPr>
                <w:rFonts w:eastAsia="MS Mincho"/>
                <w:b/>
                <w:bCs/>
              </w:rPr>
              <w:t>08</w:t>
            </w:r>
          </w:p>
          <w:p w:rsidR="00F523E8" w:rsidRDefault="00F962F6" w:rsidP="00A5263B">
            <w:pPr>
              <w:pStyle w:val="Tablewriting"/>
              <w:keepNext/>
              <w:jc w:val="center"/>
              <w:rPr>
                <w:rFonts w:eastAsia="MS Mincho"/>
                <w:highlight w:val="yellow"/>
              </w:rPr>
            </w:pPr>
            <w:r w:rsidRPr="0013248D">
              <w:rPr>
                <w:rFonts w:eastAsia="MS Mincho"/>
                <w:b/>
              </w:rPr>
              <w:t>(0.03, 0.13)</w:t>
            </w:r>
          </w:p>
        </w:tc>
      </w:tr>
      <w:tr w:rsidR="00D40FB8" w:rsidRPr="00061F78" w:rsidTr="2A41F5C6">
        <w:trPr>
          <w:cantSplit/>
          <w:trHeight w:val="99"/>
        </w:trPr>
        <w:tc>
          <w:tcPr>
            <w:tcW w:w="5000" w:type="pct"/>
            <w:gridSpan w:val="6"/>
            <w:shd w:val="clear" w:color="auto" w:fill="auto"/>
            <w:tcMar>
              <w:left w:w="28" w:type="dxa"/>
              <w:right w:w="28" w:type="dxa"/>
            </w:tcMar>
            <w:vAlign w:val="center"/>
          </w:tcPr>
          <w:p w:rsidR="00D40FB8" w:rsidRPr="00D15590" w:rsidRDefault="00D40FB8" w:rsidP="006A7681">
            <w:pPr>
              <w:pStyle w:val="Tablewriting"/>
              <w:keepNext/>
              <w:rPr>
                <w:rFonts w:eastAsia="MS Mincho"/>
                <w:b/>
                <w:bCs/>
                <w:highlight w:val="yellow"/>
              </w:rPr>
            </w:pPr>
            <w:r w:rsidRPr="00D15590">
              <w:rPr>
                <w:rFonts w:eastAsia="MS Mincho"/>
                <w:b/>
                <w:bCs/>
              </w:rPr>
              <w:t>Meta-analysis of Hartmann-Boyce (2018) and Nides (2020)</w:t>
            </w:r>
          </w:p>
        </w:tc>
      </w:tr>
      <w:tr w:rsidR="00D40FB8" w:rsidRPr="00061F78" w:rsidTr="2A41F5C6">
        <w:trPr>
          <w:cantSplit/>
          <w:trHeight w:val="99"/>
        </w:trPr>
        <w:tc>
          <w:tcPr>
            <w:tcW w:w="862" w:type="pct"/>
            <w:shd w:val="clear" w:color="auto" w:fill="auto"/>
            <w:tcMar>
              <w:left w:w="28" w:type="dxa"/>
              <w:right w:w="28" w:type="dxa"/>
            </w:tcMar>
            <w:vAlign w:val="center"/>
          </w:tcPr>
          <w:p w:rsidR="00D15590" w:rsidRDefault="00D40FB8" w:rsidP="00A5263B">
            <w:pPr>
              <w:pStyle w:val="Tablewriting"/>
              <w:keepNext/>
              <w:rPr>
                <w:rFonts w:eastAsia="MS Mincho"/>
              </w:rPr>
            </w:pPr>
            <w:r>
              <w:rPr>
                <w:rFonts w:eastAsia="MS Mincho"/>
              </w:rPr>
              <w:t xml:space="preserve">Updated </w:t>
            </w:r>
          </w:p>
          <w:p w:rsidR="00D40FB8" w:rsidRPr="006A7681" w:rsidRDefault="00D40FB8" w:rsidP="00A5263B">
            <w:pPr>
              <w:pStyle w:val="Tablewriting"/>
              <w:keepNext/>
              <w:rPr>
                <w:rFonts w:eastAsia="MS Mincho"/>
                <w:vertAlign w:val="superscript"/>
              </w:rPr>
            </w:pPr>
            <w:r>
              <w:rPr>
                <w:rFonts w:eastAsia="MS Mincho"/>
              </w:rPr>
              <w:t>re-analysis</w:t>
            </w:r>
            <w:r>
              <w:rPr>
                <w:rFonts w:eastAsia="MS Mincho"/>
                <w:vertAlign w:val="superscript"/>
              </w:rPr>
              <w:t>3</w:t>
            </w:r>
          </w:p>
        </w:tc>
        <w:tc>
          <w:tcPr>
            <w:tcW w:w="943" w:type="pct"/>
            <w:shd w:val="clear" w:color="auto" w:fill="auto"/>
            <w:vAlign w:val="center"/>
          </w:tcPr>
          <w:p w:rsidR="00D40FB8" w:rsidRDefault="00D40FB8" w:rsidP="00A5263B">
            <w:pPr>
              <w:pStyle w:val="Tablewriting"/>
              <w:keepNext/>
              <w:jc w:val="center"/>
              <w:rPr>
                <w:rFonts w:eastAsia="MS Mincho"/>
              </w:rPr>
            </w:pPr>
            <w:r>
              <w:rPr>
                <w:rFonts w:eastAsia="MS Mincho"/>
              </w:rPr>
              <w:t>2 RCTs</w:t>
            </w:r>
          </w:p>
        </w:tc>
        <w:tc>
          <w:tcPr>
            <w:tcW w:w="786" w:type="pct"/>
            <w:shd w:val="clear" w:color="auto" w:fill="auto"/>
            <w:vAlign w:val="center"/>
          </w:tcPr>
          <w:p w:rsidR="00D40FB8" w:rsidRDefault="008D3721" w:rsidP="00A5263B">
            <w:pPr>
              <w:pStyle w:val="Tablewriting"/>
              <w:keepNext/>
              <w:jc w:val="center"/>
              <w:rPr>
                <w:rFonts w:eastAsia="MS Mincho"/>
              </w:rPr>
            </w:pPr>
            <w:r>
              <w:rPr>
                <w:rFonts w:eastAsia="MS Mincho"/>
              </w:rPr>
              <w:t>64/915</w:t>
            </w:r>
          </w:p>
          <w:p w:rsidR="00D40FB8" w:rsidRPr="0013248D" w:rsidRDefault="008D3721" w:rsidP="00A5263B">
            <w:pPr>
              <w:pStyle w:val="Tablewriting"/>
              <w:keepNext/>
              <w:jc w:val="center"/>
              <w:rPr>
                <w:rFonts w:eastAsia="MS Mincho"/>
              </w:rPr>
            </w:pPr>
            <w:r>
              <w:rPr>
                <w:rFonts w:eastAsia="MS Mincho"/>
              </w:rPr>
              <w:t>(</w:t>
            </w:r>
            <w:r w:rsidR="00016AD8">
              <w:rPr>
                <w:rFonts w:eastAsia="MS Mincho"/>
              </w:rPr>
              <w:t>7</w:t>
            </w:r>
            <w:r>
              <w:rPr>
                <w:rFonts w:eastAsia="MS Mincho"/>
              </w:rPr>
              <w:t>%)</w:t>
            </w:r>
          </w:p>
        </w:tc>
        <w:tc>
          <w:tcPr>
            <w:tcW w:w="747" w:type="pct"/>
            <w:shd w:val="clear" w:color="auto" w:fill="auto"/>
            <w:vAlign w:val="center"/>
          </w:tcPr>
          <w:p w:rsidR="00D40FB8" w:rsidRDefault="008D3721" w:rsidP="00A5263B">
            <w:pPr>
              <w:pStyle w:val="Tablewriting"/>
              <w:keepNext/>
              <w:jc w:val="center"/>
              <w:rPr>
                <w:rFonts w:eastAsia="MS Mincho"/>
              </w:rPr>
            </w:pPr>
            <w:r>
              <w:rPr>
                <w:rFonts w:eastAsia="MS Mincho"/>
              </w:rPr>
              <w:t>16/762</w:t>
            </w:r>
          </w:p>
          <w:p w:rsidR="00D40FB8" w:rsidRPr="0013248D" w:rsidRDefault="008D3721" w:rsidP="00A5263B">
            <w:pPr>
              <w:pStyle w:val="Tablewriting"/>
              <w:keepNext/>
              <w:jc w:val="center"/>
              <w:rPr>
                <w:rFonts w:eastAsia="MS Mincho"/>
              </w:rPr>
            </w:pPr>
            <w:r>
              <w:rPr>
                <w:rFonts w:eastAsia="MS Mincho"/>
              </w:rPr>
              <w:t>(</w:t>
            </w:r>
            <w:r w:rsidR="00016AD8">
              <w:rPr>
                <w:rFonts w:eastAsia="MS Mincho"/>
              </w:rPr>
              <w:t>2.1</w:t>
            </w:r>
            <w:r>
              <w:rPr>
                <w:rFonts w:eastAsia="MS Mincho"/>
              </w:rPr>
              <w:t>%)</w:t>
            </w:r>
          </w:p>
        </w:tc>
        <w:tc>
          <w:tcPr>
            <w:tcW w:w="851" w:type="pct"/>
            <w:shd w:val="clear" w:color="auto" w:fill="auto"/>
            <w:tcMar>
              <w:left w:w="28" w:type="dxa"/>
              <w:right w:w="28" w:type="dxa"/>
            </w:tcMar>
            <w:vAlign w:val="center"/>
          </w:tcPr>
          <w:p w:rsidR="00D40FB8" w:rsidRPr="0013248D" w:rsidRDefault="008D3721" w:rsidP="00A5263B">
            <w:pPr>
              <w:pStyle w:val="Tablewriting"/>
              <w:keepNext/>
              <w:jc w:val="center"/>
              <w:rPr>
                <w:rFonts w:eastAsia="MS Mincho"/>
                <w:b/>
              </w:rPr>
            </w:pPr>
            <w:r w:rsidRPr="0013248D">
              <w:rPr>
                <w:rFonts w:eastAsia="MS Mincho"/>
                <w:b/>
              </w:rPr>
              <w:t>2.</w:t>
            </w:r>
            <w:r w:rsidRPr="0013248D">
              <w:rPr>
                <w:rFonts w:eastAsia="MS Mincho"/>
                <w:b/>
                <w:bCs/>
              </w:rPr>
              <w:t>63</w:t>
            </w:r>
          </w:p>
          <w:p w:rsidR="00D40FB8" w:rsidRPr="0013248D" w:rsidRDefault="008D3721" w:rsidP="00A5263B">
            <w:pPr>
              <w:pStyle w:val="Tablewriting"/>
              <w:keepNext/>
              <w:jc w:val="center"/>
              <w:rPr>
                <w:rFonts w:eastAsia="MS Mincho"/>
              </w:rPr>
            </w:pPr>
            <w:r w:rsidRPr="0013248D">
              <w:rPr>
                <w:rFonts w:eastAsia="MS Mincho"/>
                <w:b/>
              </w:rPr>
              <w:t>(1.54, 4.50)</w:t>
            </w:r>
          </w:p>
        </w:tc>
        <w:tc>
          <w:tcPr>
            <w:tcW w:w="811" w:type="pct"/>
            <w:shd w:val="clear" w:color="auto" w:fill="auto"/>
            <w:vAlign w:val="center"/>
          </w:tcPr>
          <w:p w:rsidR="00D40FB8" w:rsidRDefault="00F962F6" w:rsidP="00A5263B">
            <w:pPr>
              <w:pStyle w:val="Tablewriting"/>
              <w:keepNext/>
              <w:jc w:val="center"/>
              <w:rPr>
                <w:rFonts w:eastAsia="MS Mincho"/>
              </w:rPr>
            </w:pPr>
            <w:r w:rsidRPr="28D1BB31">
              <w:rPr>
                <w:rFonts w:eastAsia="MS Mincho"/>
              </w:rPr>
              <w:t>0.05</w:t>
            </w:r>
          </w:p>
          <w:p w:rsidR="00D40FB8" w:rsidRPr="0013248D" w:rsidRDefault="00F962F6" w:rsidP="00A5263B">
            <w:pPr>
              <w:pStyle w:val="Tablewriting"/>
              <w:keepNext/>
              <w:jc w:val="center"/>
              <w:rPr>
                <w:rFonts w:eastAsia="MS Mincho"/>
              </w:rPr>
            </w:pPr>
            <w:r w:rsidRPr="28D1BB31">
              <w:rPr>
                <w:rFonts w:eastAsia="MS Mincho"/>
              </w:rPr>
              <w:t>(-0.02, 0.12)</w:t>
            </w:r>
          </w:p>
        </w:tc>
      </w:tr>
    </w:tbl>
    <w:p w:rsidR="00F523E8" w:rsidRPr="00566F12" w:rsidRDefault="00F523E8" w:rsidP="00F523E8">
      <w:pPr>
        <w:pStyle w:val="TableFooter"/>
        <w:keepNext/>
      </w:pPr>
      <w:r w:rsidRPr="00566F12">
        <w:t xml:space="preserve">Source: </w:t>
      </w:r>
      <w:r w:rsidRPr="00637ACA">
        <w:t xml:space="preserve">Hartmann-Boyce et al. </w:t>
      </w:r>
      <w:r w:rsidR="00D40FB8">
        <w:t>(</w:t>
      </w:r>
      <w:r w:rsidRPr="00637ACA">
        <w:t>2018</w:t>
      </w:r>
      <w:r w:rsidR="00D40FB8">
        <w:t>), Nides et al. (2020)</w:t>
      </w:r>
      <w:r w:rsidRPr="00566F12">
        <w:t>.</w:t>
      </w:r>
    </w:p>
    <w:p w:rsidR="00F523E8" w:rsidRDefault="00F523E8" w:rsidP="00F523E8">
      <w:pPr>
        <w:pStyle w:val="TableFooter"/>
        <w:keepNext/>
      </w:pPr>
      <w:r w:rsidRPr="00566F12">
        <w:t xml:space="preserve">Abbreviations: CI = confidence interval; </w:t>
      </w:r>
      <w:r w:rsidR="00D40FB8">
        <w:t xml:space="preserve">NR = not reported; </w:t>
      </w:r>
      <w:r w:rsidRPr="00566F12">
        <w:t>RCT = randomised controlled trial; RD = risk difference; RR = risk ratio</w:t>
      </w:r>
    </w:p>
    <w:p w:rsidR="00F523E8" w:rsidRDefault="00F523E8" w:rsidP="00F523E8">
      <w:pPr>
        <w:pStyle w:val="TableFooter"/>
        <w:keepNext/>
      </w:pPr>
      <w:r w:rsidRPr="00566F12">
        <w:t>Notes:</w:t>
      </w:r>
      <w:r>
        <w:t xml:space="preserve"> </w:t>
      </w:r>
      <w:r w:rsidR="00D40FB8">
        <w:t>Bold indicates statistically significant difference</w:t>
      </w:r>
      <w:r w:rsidR="00ED0CBA">
        <w:t>.</w:t>
      </w:r>
    </w:p>
    <w:p w:rsidR="00F523E8" w:rsidRDefault="00F523E8" w:rsidP="00F523E8">
      <w:pPr>
        <w:pStyle w:val="TableFooter"/>
        <w:keepNext/>
      </w:pPr>
      <w:r>
        <w:t xml:space="preserve">1 </w:t>
      </w:r>
      <w:r w:rsidR="00D40FB8">
        <w:t>Calculated by Cochrane Review authors using a fixed-effect model</w:t>
      </w:r>
      <w:r w:rsidR="00ED0CBA">
        <w:t>.</w:t>
      </w:r>
      <w:r>
        <w:t xml:space="preserve"> </w:t>
      </w:r>
    </w:p>
    <w:p w:rsidR="00D40FB8" w:rsidRDefault="00F523E8" w:rsidP="00F523E8">
      <w:pPr>
        <w:pStyle w:val="TableFooter"/>
        <w:keepNext/>
      </w:pPr>
      <w:r>
        <w:t>2 C</w:t>
      </w:r>
      <w:r w:rsidRPr="004F796B">
        <w:t>ontinuous abstinence</w:t>
      </w:r>
      <w:r>
        <w:t xml:space="preserve"> at week 26.</w:t>
      </w:r>
    </w:p>
    <w:p w:rsidR="00F523E8" w:rsidRPr="005B7F58" w:rsidRDefault="00D40FB8" w:rsidP="00F523E8">
      <w:pPr>
        <w:pStyle w:val="TableFooter"/>
        <w:keepNext/>
        <w:rPr>
          <w:i/>
        </w:rPr>
      </w:pPr>
      <w:r>
        <w:t>3 Calculated during the review using a random-effect model</w:t>
      </w:r>
      <w:r w:rsidR="00ED0CBA">
        <w:t>.</w:t>
      </w:r>
      <w:r w:rsidR="00F523E8">
        <w:t xml:space="preserve"> </w:t>
      </w:r>
    </w:p>
    <w:p w:rsidR="00F523E8" w:rsidRDefault="00F523E8" w:rsidP="00F523E8">
      <w:pPr>
        <w:pStyle w:val="TableFooter"/>
        <w:rPr>
          <w:sz w:val="24"/>
        </w:rPr>
      </w:pPr>
    </w:p>
    <w:p w:rsidR="00F523E8" w:rsidRDefault="00F523E8" w:rsidP="00F523E8">
      <w:pPr>
        <w:pStyle w:val="TableFooter"/>
        <w:rPr>
          <w:sz w:val="24"/>
        </w:rPr>
      </w:pPr>
      <w:r w:rsidRPr="00F136E9">
        <w:rPr>
          <w:sz w:val="24"/>
        </w:rPr>
        <w:t>The results of the individual studies</w:t>
      </w:r>
      <w:r>
        <w:rPr>
          <w:sz w:val="24"/>
        </w:rPr>
        <w:t xml:space="preserve"> relevant to NRT oral spray dosage form </w:t>
      </w:r>
      <w:r w:rsidR="00FC18A1">
        <w:rPr>
          <w:sz w:val="24"/>
        </w:rPr>
        <w:t>based on the updated</w:t>
      </w:r>
      <w:r w:rsidR="008D3721">
        <w:rPr>
          <w:sz w:val="24"/>
        </w:rPr>
        <w:t xml:space="preserve"> </w:t>
      </w:r>
      <w:r w:rsidR="00FC18A1">
        <w:rPr>
          <w:sz w:val="24"/>
        </w:rPr>
        <w:t>r</w:t>
      </w:r>
      <w:r w:rsidR="008D3721">
        <w:rPr>
          <w:sz w:val="24"/>
        </w:rPr>
        <w:t>e-</w:t>
      </w:r>
      <w:r w:rsidR="00FC18A1">
        <w:rPr>
          <w:sz w:val="24"/>
        </w:rPr>
        <w:t>analysis</w:t>
      </w:r>
      <w:r w:rsidRPr="00F136E9">
        <w:rPr>
          <w:sz w:val="24"/>
        </w:rPr>
        <w:t xml:space="preserve"> are presented using a forest plot in</w:t>
      </w:r>
      <w:r>
        <w:rPr>
          <w:sz w:val="24"/>
        </w:rPr>
        <w:t xml:space="preserve"> </w:t>
      </w:r>
      <w:r w:rsidR="003C4A1C" w:rsidRPr="003C4A1C">
        <w:rPr>
          <w:sz w:val="24"/>
        </w:rPr>
        <w:t>Figure 39</w:t>
      </w:r>
      <w:r w:rsidRPr="002175A5">
        <w:rPr>
          <w:sz w:val="24"/>
        </w:rPr>
        <w:t>.</w:t>
      </w:r>
      <w:r>
        <w:rPr>
          <w:sz w:val="24"/>
        </w:rPr>
        <w:t xml:space="preserve"> </w:t>
      </w:r>
    </w:p>
    <w:p w:rsidR="00F523E8" w:rsidRDefault="00F523E8" w:rsidP="00F523E8">
      <w:pPr>
        <w:pStyle w:val="TableFooter"/>
        <w:rPr>
          <w:sz w:val="24"/>
        </w:rPr>
      </w:pPr>
    </w:p>
    <w:p w:rsidR="002175A5" w:rsidRDefault="008D3721" w:rsidP="002175A5">
      <w:pPr>
        <w:pStyle w:val="TableFooter"/>
        <w:keepNext/>
      </w:pPr>
      <w:r>
        <w:rPr>
          <w:noProof/>
        </w:rPr>
        <w:drawing>
          <wp:inline distT="0" distB="0" distL="0" distR="0" wp14:anchorId="75CCBA45" wp14:editId="5ECDC943">
            <wp:extent cx="5731510" cy="1151890"/>
            <wp:effectExtent l="0" t="0" r="254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pic:nvPicPr>
                  <pic:blipFill>
                    <a:blip r:embed="rId59">
                      <a:extLst>
                        <a:ext uri="{28A0092B-C50C-407E-A947-70E740481C1C}">
                          <a14:useLocalDpi xmlns:a14="http://schemas.microsoft.com/office/drawing/2010/main" val="0"/>
                        </a:ext>
                      </a:extLst>
                    </a:blip>
                    <a:stretch>
                      <a:fillRect/>
                    </a:stretch>
                  </pic:blipFill>
                  <pic:spPr>
                    <a:xfrm>
                      <a:off x="0" y="0"/>
                      <a:ext cx="5731510" cy="1151890"/>
                    </a:xfrm>
                    <a:prstGeom prst="rect">
                      <a:avLst/>
                    </a:prstGeom>
                  </pic:spPr>
                </pic:pic>
              </a:graphicData>
            </a:graphic>
          </wp:inline>
        </w:drawing>
      </w:r>
    </w:p>
    <w:p w:rsidR="00F523E8" w:rsidRDefault="002175A5" w:rsidP="002175A5">
      <w:pPr>
        <w:pStyle w:val="Caption"/>
      </w:pPr>
      <w:bookmarkStart w:id="228" w:name="_Ref60909401"/>
      <w:r>
        <w:t xml:space="preserve">Figure </w:t>
      </w:r>
      <w:r w:rsidR="003C4A1C">
        <w:rPr>
          <w:noProof/>
        </w:rPr>
        <w:t>39</w:t>
      </w:r>
      <w:bookmarkEnd w:id="228"/>
      <w:r>
        <w:t xml:space="preserve">: </w:t>
      </w:r>
      <w:r w:rsidRPr="008A7E40">
        <w:t>Results of smoking cessation f</w:t>
      </w:r>
      <w:r w:rsidR="00DA78DD">
        <w:t>or</w:t>
      </w:r>
      <w:r w:rsidRPr="008A7E40">
        <w:t xml:space="preserve"> at least six months follow-up in Hartmann-Boyce et al. 2018</w:t>
      </w:r>
      <w:r w:rsidR="00CC60B2">
        <w:t xml:space="preserve"> and Nides (2020)</w:t>
      </w:r>
      <w:r w:rsidRPr="008A7E40">
        <w:t>, oral spray versus placebo</w:t>
      </w:r>
    </w:p>
    <w:p w:rsidR="00CC60B2" w:rsidRDefault="00CC60B2" w:rsidP="00CC60B2">
      <w:pPr>
        <w:pStyle w:val="TableFooter"/>
        <w:keepNext/>
      </w:pPr>
      <w:r w:rsidRPr="00543DB6">
        <w:t xml:space="preserve">Source: </w:t>
      </w:r>
      <w:r w:rsidRPr="001607FC">
        <w:t>Hartmann-Boyce et al. (2018</w:t>
      </w:r>
      <w:r>
        <w:t>) and Nides (2020)</w:t>
      </w:r>
    </w:p>
    <w:p w:rsidR="002175A5" w:rsidRDefault="00CC60B2" w:rsidP="00CC60B2">
      <w:pPr>
        <w:pStyle w:val="TableFooter"/>
        <w:keepNext/>
      </w:pPr>
      <w:r w:rsidRPr="00543DB6">
        <w:t>Abbreviations: CI = confidence interval</w:t>
      </w:r>
    </w:p>
    <w:p w:rsidR="00C01C17" w:rsidRPr="00C01C17" w:rsidRDefault="00C01C17" w:rsidP="00C01C17">
      <w:pPr>
        <w:rPr>
          <w:u w:val="single"/>
        </w:rPr>
      </w:pPr>
      <w:r w:rsidRPr="00C01C17">
        <w:rPr>
          <w:u w:val="single"/>
        </w:rPr>
        <w:t>Safe</w:t>
      </w:r>
      <w:r>
        <w:rPr>
          <w:u w:val="single"/>
        </w:rPr>
        <w:t>ty</w:t>
      </w:r>
    </w:p>
    <w:p w:rsidR="00C41D4F" w:rsidRPr="001E0E81" w:rsidRDefault="00C41D4F" w:rsidP="00D15590">
      <w:pPr>
        <w:rPr>
          <w:b/>
          <w:bCs/>
        </w:rPr>
      </w:pPr>
      <w:r w:rsidRPr="003658EF">
        <w:t xml:space="preserve">A summary of key adverse events in </w:t>
      </w:r>
      <w:r>
        <w:t>Nides</w:t>
      </w:r>
      <w:r w:rsidRPr="003658EF">
        <w:t xml:space="preserve"> et al. </w:t>
      </w:r>
      <w:r>
        <w:t>(</w:t>
      </w:r>
      <w:r w:rsidRPr="003658EF">
        <w:t>20</w:t>
      </w:r>
      <w:r>
        <w:t>20)</w:t>
      </w:r>
      <w:r w:rsidRPr="003658EF">
        <w:t xml:space="preserve"> for comparison of NRT </w:t>
      </w:r>
      <w:r>
        <w:t>oral</w:t>
      </w:r>
      <w:r w:rsidRPr="003658EF">
        <w:t xml:space="preserve"> spray against </w:t>
      </w:r>
      <w:r>
        <w:t xml:space="preserve">placebo </w:t>
      </w:r>
      <w:r w:rsidRPr="003658EF">
        <w:t>is presented in</w:t>
      </w:r>
      <w:r w:rsidR="00D15590">
        <w:rPr>
          <w:b/>
          <w:bCs/>
        </w:rPr>
        <w:t xml:space="preserve"> </w:t>
      </w:r>
      <w:r w:rsidR="003C4A1C">
        <w:t xml:space="preserve">Table </w:t>
      </w:r>
      <w:r w:rsidR="003C4A1C">
        <w:rPr>
          <w:noProof/>
        </w:rPr>
        <w:t>114</w:t>
      </w:r>
      <w:r w:rsidRPr="003658EF">
        <w:t xml:space="preserve">. </w:t>
      </w:r>
      <w:r w:rsidRPr="009F6AEB">
        <w:t xml:space="preserve">There were no safety results reported from Hartmann-Boyce et al. </w:t>
      </w:r>
      <w:r>
        <w:t>(</w:t>
      </w:r>
      <w:r w:rsidRPr="009F6AEB">
        <w:t>2018</w:t>
      </w:r>
      <w:r>
        <w:t>)</w:t>
      </w:r>
      <w:r w:rsidRPr="009F6AEB">
        <w:t xml:space="preserve"> for the study comparing oral spray </w:t>
      </w:r>
      <w:r>
        <w:t xml:space="preserve">with </w:t>
      </w:r>
      <w:r w:rsidRPr="009F6AEB">
        <w:t>placebo.</w:t>
      </w:r>
      <w:r>
        <w:t xml:space="preserve"> </w:t>
      </w:r>
    </w:p>
    <w:p w:rsidR="00C41D4F" w:rsidRPr="003D29D3" w:rsidRDefault="00C41D4F" w:rsidP="00D15590">
      <w:r>
        <w:t xml:space="preserve">Overall, a </w:t>
      </w:r>
      <w:r w:rsidRPr="003D29D3">
        <w:t xml:space="preserve">significantly higher proportion of patients in the </w:t>
      </w:r>
      <w:r>
        <w:t>oral spray</w:t>
      </w:r>
      <w:r w:rsidRPr="003D29D3">
        <w:t xml:space="preserve"> arm experienced any adverse events</w:t>
      </w:r>
      <w:r>
        <w:t xml:space="preserve"> </w:t>
      </w:r>
      <w:r w:rsidRPr="003D29D3">
        <w:t>and discontinuation due to adverse events compared with patients in the placebo arm</w:t>
      </w:r>
      <w:r>
        <w:t xml:space="preserve">. There were no patients in either arm </w:t>
      </w:r>
      <w:r w:rsidR="003B5412">
        <w:t xml:space="preserve">who experienced </w:t>
      </w:r>
      <w:r>
        <w:t>treatment-related serious adverse event</w:t>
      </w:r>
      <w:r w:rsidR="003B5412">
        <w:t>s</w:t>
      </w:r>
      <w:r>
        <w:t>.</w:t>
      </w:r>
    </w:p>
    <w:p w:rsidR="00C41D4F" w:rsidRDefault="00C41D4F" w:rsidP="00C41D4F">
      <w:pPr>
        <w:pStyle w:val="Caption"/>
        <w:keepNext/>
      </w:pPr>
      <w:bookmarkStart w:id="229" w:name="_Ref62122294"/>
      <w:r>
        <w:lastRenderedPageBreak/>
        <w:t xml:space="preserve">Table </w:t>
      </w:r>
      <w:r w:rsidR="003C4A1C">
        <w:rPr>
          <w:noProof/>
        </w:rPr>
        <w:t>114</w:t>
      </w:r>
      <w:bookmarkEnd w:id="229"/>
      <w:r>
        <w:t xml:space="preserve">: </w:t>
      </w:r>
      <w:r w:rsidRPr="00475F65">
        <w:t xml:space="preserve">Summary of key adverse events in Nides et al. (2020), NRT </w:t>
      </w:r>
      <w:r>
        <w:t>oral</w:t>
      </w:r>
      <w:r w:rsidRPr="00475F65">
        <w:t xml:space="preserve"> spray versus placebo</w:t>
      </w:r>
    </w:p>
    <w:tbl>
      <w:tblPr>
        <w:tblStyle w:val="TableGrid"/>
        <w:tblW w:w="5107" w:type="pct"/>
        <w:tblLayout w:type="fixed"/>
        <w:tblLook w:val="04A0" w:firstRow="1" w:lastRow="0" w:firstColumn="1" w:lastColumn="0" w:noHBand="0" w:noVBand="1"/>
        <w:tblCaption w:val="Efficacy results of adalimumab trials (PASI 75 and DLQI)"/>
      </w:tblPr>
      <w:tblGrid>
        <w:gridCol w:w="3804"/>
        <w:gridCol w:w="1255"/>
        <w:gridCol w:w="1115"/>
        <w:gridCol w:w="1619"/>
        <w:gridCol w:w="1416"/>
      </w:tblGrid>
      <w:tr w:rsidR="00C41D4F" w:rsidRPr="00061F78" w:rsidTr="00125A1C">
        <w:trPr>
          <w:cantSplit/>
          <w:trHeight w:val="299"/>
          <w:tblHeader/>
        </w:trPr>
        <w:tc>
          <w:tcPr>
            <w:tcW w:w="2065" w:type="pct"/>
            <w:shd w:val="clear" w:color="auto" w:fill="BFBFBF" w:themeFill="background1" w:themeFillShade="BF"/>
            <w:tcMar>
              <w:left w:w="28" w:type="dxa"/>
              <w:right w:w="28" w:type="dxa"/>
            </w:tcMar>
            <w:vAlign w:val="center"/>
          </w:tcPr>
          <w:p w:rsidR="00C41D4F" w:rsidRDefault="00C41D4F" w:rsidP="00125A1C">
            <w:pPr>
              <w:pStyle w:val="Tableheading"/>
              <w:keepNext/>
              <w:rPr>
                <w:rFonts w:eastAsia="MS Mincho"/>
              </w:rPr>
            </w:pPr>
            <w:r>
              <w:rPr>
                <w:rFonts w:eastAsia="MS Mincho"/>
              </w:rPr>
              <w:t>Outcome</w:t>
            </w:r>
          </w:p>
        </w:tc>
        <w:tc>
          <w:tcPr>
            <w:tcW w:w="681" w:type="pct"/>
            <w:shd w:val="clear" w:color="auto" w:fill="BFBFBF" w:themeFill="background1" w:themeFillShade="BF"/>
            <w:tcMar>
              <w:left w:w="28" w:type="dxa"/>
              <w:right w:w="28" w:type="dxa"/>
            </w:tcMar>
            <w:vAlign w:val="center"/>
          </w:tcPr>
          <w:p w:rsidR="00C41D4F" w:rsidRPr="00605EE5" w:rsidRDefault="00C41D4F" w:rsidP="00125A1C">
            <w:pPr>
              <w:pStyle w:val="Tableheading"/>
              <w:keepNext/>
              <w:jc w:val="center"/>
              <w:rPr>
                <w:rFonts w:eastAsia="MS Mincho"/>
              </w:rPr>
            </w:pPr>
            <w:r>
              <w:rPr>
                <w:rFonts w:eastAsia="MS Mincho"/>
              </w:rPr>
              <w:t>Oral spray</w:t>
            </w:r>
          </w:p>
        </w:tc>
        <w:tc>
          <w:tcPr>
            <w:tcW w:w="605" w:type="pct"/>
            <w:shd w:val="clear" w:color="auto" w:fill="BFBFBF" w:themeFill="background1" w:themeFillShade="BF"/>
            <w:tcMar>
              <w:left w:w="28" w:type="dxa"/>
              <w:right w:w="28" w:type="dxa"/>
            </w:tcMar>
            <w:vAlign w:val="center"/>
          </w:tcPr>
          <w:p w:rsidR="00C41D4F" w:rsidRPr="00B50849" w:rsidRDefault="00C41D4F" w:rsidP="00125A1C">
            <w:pPr>
              <w:pStyle w:val="Tableheading"/>
              <w:keepNext/>
              <w:jc w:val="center"/>
              <w:rPr>
                <w:rFonts w:eastAsia="MS Mincho"/>
              </w:rPr>
            </w:pPr>
            <w:r>
              <w:rPr>
                <w:rFonts w:eastAsia="MS Mincho"/>
              </w:rPr>
              <w:t>Placebo</w:t>
            </w:r>
          </w:p>
        </w:tc>
        <w:tc>
          <w:tcPr>
            <w:tcW w:w="879" w:type="pct"/>
            <w:shd w:val="clear" w:color="auto" w:fill="BFBFBF" w:themeFill="background1" w:themeFillShade="BF"/>
            <w:tcMar>
              <w:left w:w="28" w:type="dxa"/>
              <w:right w:w="28" w:type="dxa"/>
            </w:tcMar>
            <w:vAlign w:val="center"/>
          </w:tcPr>
          <w:p w:rsidR="00C41D4F" w:rsidRPr="00681ACA" w:rsidRDefault="00C41D4F" w:rsidP="00125A1C">
            <w:pPr>
              <w:pStyle w:val="Tableheading"/>
              <w:keepNext/>
              <w:jc w:val="center"/>
              <w:rPr>
                <w:rFonts w:eastAsia="MS Mincho"/>
                <w:vertAlign w:val="superscript"/>
              </w:rPr>
            </w:pPr>
            <w:r>
              <w:rPr>
                <w:rFonts w:eastAsia="MS Mincho"/>
              </w:rPr>
              <w:t>RR (95% CI)</w:t>
            </w:r>
            <w:r>
              <w:rPr>
                <w:rFonts w:eastAsia="MS Mincho"/>
                <w:vertAlign w:val="superscript"/>
              </w:rPr>
              <w:t>2</w:t>
            </w:r>
          </w:p>
        </w:tc>
        <w:tc>
          <w:tcPr>
            <w:tcW w:w="769" w:type="pct"/>
            <w:shd w:val="clear" w:color="auto" w:fill="BFBFBF" w:themeFill="background1" w:themeFillShade="BF"/>
            <w:vAlign w:val="center"/>
          </w:tcPr>
          <w:p w:rsidR="00C41D4F" w:rsidRPr="00A63061" w:rsidRDefault="00C41D4F" w:rsidP="00125A1C">
            <w:pPr>
              <w:pStyle w:val="Tableheading"/>
              <w:keepNext/>
              <w:jc w:val="center"/>
              <w:rPr>
                <w:rFonts w:eastAsia="MS Mincho"/>
                <w:vertAlign w:val="superscript"/>
              </w:rPr>
            </w:pPr>
            <w:r>
              <w:rPr>
                <w:rFonts w:eastAsia="MS Mincho"/>
              </w:rPr>
              <w:t>RD (95% CI)</w:t>
            </w:r>
            <w:r>
              <w:rPr>
                <w:rFonts w:eastAsia="MS Mincho"/>
                <w:vertAlign w:val="superscript"/>
              </w:rPr>
              <w:t>2</w:t>
            </w:r>
          </w:p>
        </w:tc>
      </w:tr>
      <w:tr w:rsidR="00C41D4F" w:rsidRPr="00061F78" w:rsidTr="00125A1C">
        <w:trPr>
          <w:cantSplit/>
          <w:trHeight w:val="99"/>
        </w:trPr>
        <w:tc>
          <w:tcPr>
            <w:tcW w:w="2065" w:type="pct"/>
            <w:shd w:val="clear" w:color="auto" w:fill="auto"/>
            <w:tcMar>
              <w:left w:w="28" w:type="dxa"/>
              <w:right w:w="28" w:type="dxa"/>
            </w:tcMar>
          </w:tcPr>
          <w:p w:rsidR="00C41D4F" w:rsidRPr="001277A6" w:rsidRDefault="00C41D4F" w:rsidP="00125A1C">
            <w:pPr>
              <w:pStyle w:val="Tablewriting"/>
              <w:keepNext/>
              <w:rPr>
                <w:rFonts w:eastAsia="MS Mincho"/>
              </w:rPr>
            </w:pPr>
            <w:r>
              <w:rPr>
                <w:rFonts w:eastAsia="MS Mincho"/>
              </w:rPr>
              <w:t>A</w:t>
            </w:r>
            <w:r w:rsidRPr="00DC1748">
              <w:rPr>
                <w:rFonts w:eastAsia="MS Mincho"/>
              </w:rPr>
              <w:t>dverse event</w:t>
            </w:r>
            <w:r>
              <w:rPr>
                <w:rFonts w:eastAsia="MS Mincho"/>
                <w:vertAlign w:val="superscript"/>
              </w:rPr>
              <w:t>1</w:t>
            </w:r>
          </w:p>
        </w:tc>
        <w:tc>
          <w:tcPr>
            <w:tcW w:w="681" w:type="pct"/>
            <w:shd w:val="clear" w:color="auto" w:fill="auto"/>
            <w:tcMar>
              <w:left w:w="28" w:type="dxa"/>
              <w:right w:w="28" w:type="dxa"/>
            </w:tcMar>
          </w:tcPr>
          <w:p w:rsidR="00C41D4F" w:rsidRDefault="00C41D4F" w:rsidP="00125A1C">
            <w:pPr>
              <w:pStyle w:val="Tablewriting"/>
              <w:keepNext/>
              <w:jc w:val="center"/>
              <w:rPr>
                <w:rFonts w:eastAsia="MS Mincho"/>
              </w:rPr>
            </w:pPr>
            <w:r w:rsidRPr="00DC1748">
              <w:rPr>
                <w:rFonts w:eastAsia="MS Mincho"/>
              </w:rPr>
              <w:t>345</w:t>
            </w:r>
            <w:r>
              <w:rPr>
                <w:rFonts w:eastAsia="MS Mincho"/>
              </w:rPr>
              <w:t>/597</w:t>
            </w:r>
            <w:r w:rsidRPr="00DC1748">
              <w:rPr>
                <w:rFonts w:eastAsia="MS Mincho"/>
              </w:rPr>
              <w:t xml:space="preserve"> </w:t>
            </w:r>
          </w:p>
          <w:p w:rsidR="00C41D4F" w:rsidRPr="001B08F9" w:rsidRDefault="00C41D4F" w:rsidP="00125A1C">
            <w:pPr>
              <w:pStyle w:val="Tablewriting"/>
              <w:keepNext/>
              <w:jc w:val="center"/>
              <w:rPr>
                <w:rFonts w:eastAsia="MS Mincho"/>
              </w:rPr>
            </w:pPr>
            <w:r w:rsidRPr="00DC1748">
              <w:rPr>
                <w:rFonts w:eastAsia="MS Mincho"/>
              </w:rPr>
              <w:t>(57.8</w:t>
            </w:r>
            <w:r>
              <w:rPr>
                <w:rFonts w:eastAsia="MS Mincho"/>
              </w:rPr>
              <w:t>%</w:t>
            </w:r>
            <w:r w:rsidRPr="00DC1748">
              <w:rPr>
                <w:rFonts w:eastAsia="MS Mincho"/>
              </w:rPr>
              <w:t>)</w:t>
            </w:r>
          </w:p>
        </w:tc>
        <w:tc>
          <w:tcPr>
            <w:tcW w:w="605" w:type="pct"/>
            <w:shd w:val="clear" w:color="auto" w:fill="auto"/>
            <w:tcMar>
              <w:left w:w="28" w:type="dxa"/>
              <w:right w:w="28" w:type="dxa"/>
            </w:tcMar>
          </w:tcPr>
          <w:p w:rsidR="00C41D4F" w:rsidRDefault="00C41D4F" w:rsidP="00125A1C">
            <w:pPr>
              <w:pStyle w:val="Tablewriting"/>
              <w:keepNext/>
              <w:jc w:val="center"/>
              <w:rPr>
                <w:rFonts w:eastAsia="MS Mincho"/>
              </w:rPr>
            </w:pPr>
            <w:r w:rsidRPr="00DC1748">
              <w:rPr>
                <w:rFonts w:eastAsia="MS Mincho"/>
              </w:rPr>
              <w:t>157</w:t>
            </w:r>
            <w:r>
              <w:rPr>
                <w:rFonts w:eastAsia="MS Mincho"/>
              </w:rPr>
              <w:t>/601</w:t>
            </w:r>
            <w:r w:rsidRPr="00DC1748">
              <w:rPr>
                <w:rFonts w:eastAsia="MS Mincho"/>
              </w:rPr>
              <w:t xml:space="preserve"> </w:t>
            </w:r>
          </w:p>
          <w:p w:rsidR="00C41D4F" w:rsidRPr="001B08F9" w:rsidRDefault="00C41D4F" w:rsidP="00125A1C">
            <w:pPr>
              <w:pStyle w:val="Tablewriting"/>
              <w:keepNext/>
              <w:jc w:val="center"/>
              <w:rPr>
                <w:rFonts w:eastAsia="MS Mincho"/>
              </w:rPr>
            </w:pPr>
            <w:r w:rsidRPr="00DC1748">
              <w:rPr>
                <w:rFonts w:eastAsia="MS Mincho"/>
              </w:rPr>
              <w:t>(26.1</w:t>
            </w:r>
            <w:r>
              <w:rPr>
                <w:rFonts w:eastAsia="MS Mincho"/>
              </w:rPr>
              <w:t>%</w:t>
            </w:r>
            <w:r w:rsidRPr="00DC1748">
              <w:rPr>
                <w:rFonts w:eastAsia="MS Mincho"/>
              </w:rPr>
              <w:t>)</w:t>
            </w:r>
          </w:p>
        </w:tc>
        <w:tc>
          <w:tcPr>
            <w:tcW w:w="879" w:type="pct"/>
            <w:shd w:val="clear" w:color="auto" w:fill="auto"/>
            <w:tcMar>
              <w:left w:w="28" w:type="dxa"/>
              <w:right w:w="28" w:type="dxa"/>
            </w:tcMar>
            <w:vAlign w:val="center"/>
          </w:tcPr>
          <w:p w:rsidR="00C41D4F" w:rsidRPr="00A63061" w:rsidRDefault="00C41D4F" w:rsidP="00125A1C">
            <w:pPr>
              <w:pStyle w:val="Tablewriting"/>
              <w:keepNext/>
              <w:jc w:val="center"/>
              <w:rPr>
                <w:rFonts w:eastAsia="MS Mincho"/>
                <w:b/>
                <w:bCs/>
              </w:rPr>
            </w:pPr>
            <w:r w:rsidRPr="00A63061">
              <w:rPr>
                <w:rFonts w:eastAsia="MS Mincho"/>
                <w:b/>
                <w:bCs/>
              </w:rPr>
              <w:t>2.21</w:t>
            </w:r>
          </w:p>
          <w:p w:rsidR="00C41D4F" w:rsidRPr="00A63061" w:rsidRDefault="00C41D4F" w:rsidP="00125A1C">
            <w:pPr>
              <w:pStyle w:val="Tablewriting"/>
              <w:keepNext/>
              <w:jc w:val="center"/>
              <w:rPr>
                <w:rFonts w:eastAsia="MS Mincho"/>
                <w:b/>
              </w:rPr>
            </w:pPr>
            <w:r w:rsidRPr="00A63061">
              <w:rPr>
                <w:rFonts w:eastAsia="MS Mincho"/>
                <w:b/>
                <w:bCs/>
              </w:rPr>
              <w:t>(1.90, 2.57)</w:t>
            </w:r>
          </w:p>
        </w:tc>
        <w:tc>
          <w:tcPr>
            <w:tcW w:w="769" w:type="pct"/>
            <w:shd w:val="clear" w:color="auto" w:fill="auto"/>
            <w:vAlign w:val="center"/>
          </w:tcPr>
          <w:p w:rsidR="00C41D4F" w:rsidRPr="00A63061" w:rsidRDefault="00C41D4F" w:rsidP="00125A1C">
            <w:pPr>
              <w:pStyle w:val="Tablewriting"/>
              <w:keepNext/>
              <w:jc w:val="center"/>
              <w:rPr>
                <w:rFonts w:eastAsia="MS Mincho"/>
                <w:b/>
                <w:bCs/>
              </w:rPr>
            </w:pPr>
            <w:r w:rsidRPr="00A63061">
              <w:rPr>
                <w:rFonts w:eastAsia="MS Mincho"/>
                <w:b/>
                <w:bCs/>
              </w:rPr>
              <w:t>0.32</w:t>
            </w:r>
          </w:p>
          <w:p w:rsidR="00C41D4F" w:rsidRPr="00A63061" w:rsidRDefault="00C41D4F" w:rsidP="00125A1C">
            <w:pPr>
              <w:pStyle w:val="Tablewriting"/>
              <w:keepNext/>
              <w:jc w:val="center"/>
              <w:rPr>
                <w:rFonts w:eastAsia="MS Mincho"/>
                <w:b/>
              </w:rPr>
            </w:pPr>
            <w:r w:rsidRPr="00A63061">
              <w:rPr>
                <w:rFonts w:eastAsia="MS Mincho"/>
                <w:b/>
                <w:bCs/>
              </w:rPr>
              <w:t>(0.26, 0.37)</w:t>
            </w:r>
          </w:p>
        </w:tc>
      </w:tr>
      <w:tr w:rsidR="00C41D4F" w:rsidRPr="00061F78" w:rsidTr="00125A1C">
        <w:trPr>
          <w:cantSplit/>
          <w:trHeight w:val="99"/>
        </w:trPr>
        <w:tc>
          <w:tcPr>
            <w:tcW w:w="2065" w:type="pct"/>
            <w:shd w:val="clear" w:color="auto" w:fill="auto"/>
            <w:tcMar>
              <w:left w:w="28" w:type="dxa"/>
              <w:right w:w="28" w:type="dxa"/>
            </w:tcMar>
          </w:tcPr>
          <w:p w:rsidR="00C41D4F" w:rsidRDefault="00C41D4F" w:rsidP="00125A1C">
            <w:pPr>
              <w:pStyle w:val="Tablewriting"/>
              <w:keepNext/>
              <w:rPr>
                <w:rFonts w:eastAsia="MS Mincho"/>
              </w:rPr>
            </w:pPr>
            <w:r>
              <w:rPr>
                <w:rFonts w:eastAsia="MS Mincho"/>
              </w:rPr>
              <w:t>S</w:t>
            </w:r>
            <w:r w:rsidRPr="00DC1748">
              <w:rPr>
                <w:rFonts w:eastAsia="MS Mincho"/>
              </w:rPr>
              <w:t>erious adverse event</w:t>
            </w:r>
          </w:p>
        </w:tc>
        <w:tc>
          <w:tcPr>
            <w:tcW w:w="681" w:type="pct"/>
            <w:shd w:val="clear" w:color="auto" w:fill="auto"/>
            <w:tcMar>
              <w:left w:w="28" w:type="dxa"/>
              <w:right w:w="28" w:type="dxa"/>
            </w:tcMar>
          </w:tcPr>
          <w:p w:rsidR="00C41D4F" w:rsidRDefault="00C41D4F" w:rsidP="00125A1C">
            <w:pPr>
              <w:pStyle w:val="Tablewriting"/>
              <w:keepNext/>
              <w:jc w:val="center"/>
              <w:rPr>
                <w:rFonts w:eastAsia="MS Mincho"/>
              </w:rPr>
            </w:pPr>
            <w:r w:rsidRPr="00DC1748">
              <w:rPr>
                <w:rFonts w:eastAsia="MS Mincho"/>
              </w:rPr>
              <w:t>0</w:t>
            </w:r>
            <w:r>
              <w:rPr>
                <w:rFonts w:eastAsia="MS Mincho"/>
              </w:rPr>
              <w:t>/597</w:t>
            </w:r>
            <w:r w:rsidRPr="00DC1748">
              <w:rPr>
                <w:rFonts w:eastAsia="MS Mincho"/>
              </w:rPr>
              <w:t xml:space="preserve"> </w:t>
            </w:r>
          </w:p>
          <w:p w:rsidR="00C41D4F" w:rsidRDefault="00C41D4F" w:rsidP="00125A1C">
            <w:pPr>
              <w:pStyle w:val="Tablewriting"/>
              <w:keepNext/>
              <w:jc w:val="center"/>
              <w:rPr>
                <w:rFonts w:eastAsia="MS Mincho"/>
              </w:rPr>
            </w:pPr>
            <w:r w:rsidRPr="00DC1748">
              <w:rPr>
                <w:rFonts w:eastAsia="MS Mincho"/>
              </w:rPr>
              <w:t>(0</w:t>
            </w:r>
            <w:r>
              <w:rPr>
                <w:rFonts w:eastAsia="MS Mincho"/>
              </w:rPr>
              <w:t>%</w:t>
            </w:r>
            <w:r w:rsidRPr="00DC1748">
              <w:rPr>
                <w:rFonts w:eastAsia="MS Mincho"/>
              </w:rPr>
              <w:t>)</w:t>
            </w:r>
          </w:p>
        </w:tc>
        <w:tc>
          <w:tcPr>
            <w:tcW w:w="605" w:type="pct"/>
            <w:shd w:val="clear" w:color="auto" w:fill="auto"/>
            <w:tcMar>
              <w:left w:w="28" w:type="dxa"/>
              <w:right w:w="28" w:type="dxa"/>
            </w:tcMar>
          </w:tcPr>
          <w:p w:rsidR="00C41D4F" w:rsidRDefault="00C41D4F" w:rsidP="00125A1C">
            <w:pPr>
              <w:pStyle w:val="Tablewriting"/>
              <w:keepNext/>
              <w:jc w:val="center"/>
              <w:rPr>
                <w:rFonts w:eastAsia="MS Mincho"/>
              </w:rPr>
            </w:pPr>
            <w:r w:rsidRPr="00DC1748">
              <w:rPr>
                <w:rFonts w:eastAsia="MS Mincho"/>
              </w:rPr>
              <w:t>0</w:t>
            </w:r>
            <w:r>
              <w:rPr>
                <w:rFonts w:eastAsia="MS Mincho"/>
              </w:rPr>
              <w:t>/601</w:t>
            </w:r>
            <w:r w:rsidRPr="00DC1748">
              <w:rPr>
                <w:rFonts w:eastAsia="MS Mincho"/>
              </w:rPr>
              <w:t xml:space="preserve"> </w:t>
            </w:r>
          </w:p>
          <w:p w:rsidR="00C41D4F" w:rsidRDefault="00C41D4F" w:rsidP="00125A1C">
            <w:pPr>
              <w:pStyle w:val="Tablewriting"/>
              <w:keepNext/>
              <w:jc w:val="center"/>
              <w:rPr>
                <w:rFonts w:eastAsia="MS Mincho"/>
              </w:rPr>
            </w:pPr>
            <w:r w:rsidRPr="00DC1748">
              <w:rPr>
                <w:rFonts w:eastAsia="MS Mincho"/>
              </w:rPr>
              <w:t>(0</w:t>
            </w:r>
            <w:r>
              <w:rPr>
                <w:rFonts w:eastAsia="MS Mincho"/>
              </w:rPr>
              <w:t>%</w:t>
            </w:r>
            <w:r w:rsidRPr="00DC1748">
              <w:rPr>
                <w:rFonts w:eastAsia="MS Mincho"/>
              </w:rPr>
              <w:t>)</w:t>
            </w:r>
          </w:p>
        </w:tc>
        <w:tc>
          <w:tcPr>
            <w:tcW w:w="879" w:type="pct"/>
            <w:shd w:val="clear" w:color="auto" w:fill="auto"/>
            <w:tcMar>
              <w:left w:w="28" w:type="dxa"/>
              <w:right w:w="28" w:type="dxa"/>
            </w:tcMar>
            <w:vAlign w:val="center"/>
          </w:tcPr>
          <w:p w:rsidR="00C41D4F" w:rsidRPr="00A63061" w:rsidRDefault="00C41D4F" w:rsidP="00125A1C">
            <w:pPr>
              <w:pStyle w:val="Tablewriting"/>
              <w:keepNext/>
              <w:jc w:val="center"/>
              <w:rPr>
                <w:rFonts w:eastAsia="MS Mincho"/>
              </w:rPr>
            </w:pPr>
            <w:r w:rsidRPr="00A63061">
              <w:rPr>
                <w:rFonts w:eastAsia="MS Mincho"/>
              </w:rPr>
              <w:t>NE</w:t>
            </w:r>
          </w:p>
        </w:tc>
        <w:tc>
          <w:tcPr>
            <w:tcW w:w="769" w:type="pct"/>
            <w:shd w:val="clear" w:color="auto" w:fill="auto"/>
            <w:vAlign w:val="center"/>
          </w:tcPr>
          <w:p w:rsidR="00C41D4F" w:rsidRPr="00A63061" w:rsidRDefault="00C41D4F" w:rsidP="00125A1C">
            <w:pPr>
              <w:pStyle w:val="Tablewriting"/>
              <w:keepNext/>
              <w:jc w:val="center"/>
              <w:rPr>
                <w:rFonts w:eastAsia="MS Mincho"/>
              </w:rPr>
            </w:pPr>
            <w:r w:rsidRPr="00A63061">
              <w:rPr>
                <w:rFonts w:eastAsia="MS Mincho"/>
              </w:rPr>
              <w:t>0</w:t>
            </w:r>
          </w:p>
          <w:p w:rsidR="00C41D4F" w:rsidRPr="00A63061" w:rsidRDefault="00C41D4F" w:rsidP="00125A1C">
            <w:pPr>
              <w:pStyle w:val="Tablewriting"/>
              <w:keepNext/>
              <w:jc w:val="center"/>
              <w:rPr>
                <w:rFonts w:eastAsia="MS Mincho"/>
              </w:rPr>
            </w:pPr>
            <w:r w:rsidRPr="00A63061">
              <w:rPr>
                <w:rFonts w:eastAsia="MS Mincho"/>
              </w:rPr>
              <w:t>(-0. 0)</w:t>
            </w:r>
          </w:p>
        </w:tc>
      </w:tr>
      <w:tr w:rsidR="00C41D4F" w:rsidRPr="00061F78" w:rsidTr="00125A1C">
        <w:trPr>
          <w:cantSplit/>
          <w:trHeight w:val="99"/>
        </w:trPr>
        <w:tc>
          <w:tcPr>
            <w:tcW w:w="2065" w:type="pct"/>
            <w:shd w:val="clear" w:color="auto" w:fill="auto"/>
            <w:tcMar>
              <w:left w:w="28" w:type="dxa"/>
              <w:right w:w="28" w:type="dxa"/>
            </w:tcMar>
          </w:tcPr>
          <w:p w:rsidR="00C41D4F" w:rsidRDefault="00C41D4F" w:rsidP="00125A1C">
            <w:pPr>
              <w:pStyle w:val="Tablewriting"/>
              <w:keepNext/>
              <w:rPr>
                <w:rFonts w:eastAsia="MS Mincho"/>
              </w:rPr>
            </w:pPr>
            <w:r>
              <w:rPr>
                <w:rFonts w:eastAsia="MS Mincho"/>
              </w:rPr>
              <w:t>D</w:t>
            </w:r>
            <w:r w:rsidRPr="00DC1748">
              <w:rPr>
                <w:rFonts w:eastAsia="MS Mincho"/>
              </w:rPr>
              <w:t>iscontinu</w:t>
            </w:r>
            <w:r>
              <w:rPr>
                <w:rFonts w:eastAsia="MS Mincho"/>
              </w:rPr>
              <w:t>ation due to</w:t>
            </w:r>
            <w:r w:rsidRPr="00DC1748">
              <w:rPr>
                <w:rFonts w:eastAsia="MS Mincho"/>
              </w:rPr>
              <w:t xml:space="preserve"> adverse event</w:t>
            </w:r>
          </w:p>
        </w:tc>
        <w:tc>
          <w:tcPr>
            <w:tcW w:w="681" w:type="pct"/>
            <w:shd w:val="clear" w:color="auto" w:fill="auto"/>
            <w:tcMar>
              <w:left w:w="28" w:type="dxa"/>
              <w:right w:w="28" w:type="dxa"/>
            </w:tcMar>
          </w:tcPr>
          <w:p w:rsidR="00C41D4F" w:rsidRDefault="00C41D4F" w:rsidP="00125A1C">
            <w:pPr>
              <w:pStyle w:val="Tablewriting"/>
              <w:keepNext/>
              <w:jc w:val="center"/>
              <w:rPr>
                <w:rFonts w:eastAsia="MS Mincho"/>
              </w:rPr>
            </w:pPr>
            <w:r w:rsidRPr="00DC1748">
              <w:rPr>
                <w:rFonts w:eastAsia="MS Mincho"/>
              </w:rPr>
              <w:t>24</w:t>
            </w:r>
            <w:r>
              <w:rPr>
                <w:rFonts w:eastAsia="MS Mincho"/>
              </w:rPr>
              <w:t>/597</w:t>
            </w:r>
            <w:r w:rsidRPr="00DC1748">
              <w:rPr>
                <w:rFonts w:eastAsia="MS Mincho"/>
              </w:rPr>
              <w:t xml:space="preserve"> </w:t>
            </w:r>
          </w:p>
          <w:p w:rsidR="00C41D4F" w:rsidRDefault="00C41D4F" w:rsidP="00125A1C">
            <w:pPr>
              <w:pStyle w:val="Tablewriting"/>
              <w:keepNext/>
              <w:jc w:val="center"/>
              <w:rPr>
                <w:rFonts w:eastAsia="MS Mincho"/>
              </w:rPr>
            </w:pPr>
            <w:r w:rsidRPr="00DC1748">
              <w:rPr>
                <w:rFonts w:eastAsia="MS Mincho"/>
              </w:rPr>
              <w:t>(4.0</w:t>
            </w:r>
            <w:r>
              <w:rPr>
                <w:rFonts w:eastAsia="MS Mincho"/>
              </w:rPr>
              <w:t>%</w:t>
            </w:r>
            <w:r w:rsidRPr="00DC1748">
              <w:rPr>
                <w:rFonts w:eastAsia="MS Mincho"/>
              </w:rPr>
              <w:t>)</w:t>
            </w:r>
          </w:p>
        </w:tc>
        <w:tc>
          <w:tcPr>
            <w:tcW w:w="605" w:type="pct"/>
            <w:shd w:val="clear" w:color="auto" w:fill="auto"/>
            <w:tcMar>
              <w:left w:w="28" w:type="dxa"/>
              <w:right w:w="28" w:type="dxa"/>
            </w:tcMar>
          </w:tcPr>
          <w:p w:rsidR="00C41D4F" w:rsidRDefault="00C41D4F" w:rsidP="00125A1C">
            <w:pPr>
              <w:pStyle w:val="Tablewriting"/>
              <w:keepNext/>
              <w:jc w:val="center"/>
              <w:rPr>
                <w:rFonts w:eastAsia="MS Mincho"/>
              </w:rPr>
            </w:pPr>
            <w:r w:rsidRPr="00DC1748">
              <w:rPr>
                <w:rFonts w:eastAsia="MS Mincho"/>
              </w:rPr>
              <w:t>7</w:t>
            </w:r>
            <w:r>
              <w:rPr>
                <w:rFonts w:eastAsia="MS Mincho"/>
              </w:rPr>
              <w:t>/601</w:t>
            </w:r>
            <w:r w:rsidRPr="00DC1748">
              <w:rPr>
                <w:rFonts w:eastAsia="MS Mincho"/>
              </w:rPr>
              <w:t xml:space="preserve"> </w:t>
            </w:r>
          </w:p>
          <w:p w:rsidR="00C41D4F" w:rsidRDefault="00C41D4F" w:rsidP="00125A1C">
            <w:pPr>
              <w:pStyle w:val="Tablewriting"/>
              <w:keepNext/>
              <w:jc w:val="center"/>
              <w:rPr>
                <w:rFonts w:eastAsia="MS Mincho"/>
              </w:rPr>
            </w:pPr>
            <w:r w:rsidRPr="00DC1748">
              <w:rPr>
                <w:rFonts w:eastAsia="MS Mincho"/>
              </w:rPr>
              <w:t>(1.2</w:t>
            </w:r>
            <w:r>
              <w:rPr>
                <w:rFonts w:eastAsia="MS Mincho"/>
              </w:rPr>
              <w:t>%</w:t>
            </w:r>
            <w:r w:rsidRPr="00DC1748">
              <w:rPr>
                <w:rFonts w:eastAsia="MS Mincho"/>
              </w:rPr>
              <w:t>)</w:t>
            </w:r>
          </w:p>
        </w:tc>
        <w:tc>
          <w:tcPr>
            <w:tcW w:w="879" w:type="pct"/>
            <w:shd w:val="clear" w:color="auto" w:fill="auto"/>
            <w:tcMar>
              <w:left w:w="28" w:type="dxa"/>
              <w:right w:w="28" w:type="dxa"/>
            </w:tcMar>
            <w:vAlign w:val="center"/>
          </w:tcPr>
          <w:p w:rsidR="00C41D4F" w:rsidRPr="00A63061" w:rsidRDefault="00C41D4F" w:rsidP="00125A1C">
            <w:pPr>
              <w:pStyle w:val="Tablewriting"/>
              <w:keepNext/>
              <w:jc w:val="center"/>
              <w:rPr>
                <w:rFonts w:eastAsia="MS Mincho"/>
                <w:b/>
                <w:bCs/>
              </w:rPr>
            </w:pPr>
            <w:r w:rsidRPr="00A63061">
              <w:rPr>
                <w:rFonts w:eastAsia="MS Mincho"/>
                <w:b/>
                <w:bCs/>
              </w:rPr>
              <w:t>3.45</w:t>
            </w:r>
          </w:p>
          <w:p w:rsidR="00C41D4F" w:rsidRPr="00A63061" w:rsidRDefault="00C41D4F" w:rsidP="00125A1C">
            <w:pPr>
              <w:pStyle w:val="Tablewriting"/>
              <w:keepNext/>
              <w:jc w:val="center"/>
              <w:rPr>
                <w:rFonts w:eastAsia="MS Mincho"/>
                <w:b/>
              </w:rPr>
            </w:pPr>
            <w:r w:rsidRPr="00A63061">
              <w:rPr>
                <w:rFonts w:eastAsia="MS Mincho"/>
                <w:b/>
                <w:bCs/>
              </w:rPr>
              <w:t>(1.50, 7.95)</w:t>
            </w:r>
          </w:p>
        </w:tc>
        <w:tc>
          <w:tcPr>
            <w:tcW w:w="769" w:type="pct"/>
            <w:shd w:val="clear" w:color="auto" w:fill="auto"/>
            <w:vAlign w:val="center"/>
          </w:tcPr>
          <w:p w:rsidR="00C41D4F" w:rsidRPr="00A63061" w:rsidRDefault="00C41D4F" w:rsidP="00125A1C">
            <w:pPr>
              <w:pStyle w:val="Tablewriting"/>
              <w:keepNext/>
              <w:jc w:val="center"/>
              <w:rPr>
                <w:rFonts w:eastAsia="MS Mincho"/>
                <w:b/>
                <w:bCs/>
              </w:rPr>
            </w:pPr>
            <w:r w:rsidRPr="00A63061">
              <w:rPr>
                <w:rFonts w:eastAsia="MS Mincho"/>
                <w:b/>
                <w:bCs/>
              </w:rPr>
              <w:t>0.03</w:t>
            </w:r>
          </w:p>
          <w:p w:rsidR="00C41D4F" w:rsidRPr="00A63061" w:rsidRDefault="00C41D4F" w:rsidP="00125A1C">
            <w:pPr>
              <w:pStyle w:val="Tablewriting"/>
              <w:keepNext/>
              <w:jc w:val="center"/>
              <w:rPr>
                <w:rFonts w:eastAsia="MS Mincho"/>
                <w:b/>
              </w:rPr>
            </w:pPr>
            <w:r w:rsidRPr="00A63061">
              <w:rPr>
                <w:rFonts w:eastAsia="MS Mincho"/>
                <w:b/>
                <w:bCs/>
              </w:rPr>
              <w:t>(0.01, 0.05)</w:t>
            </w:r>
          </w:p>
        </w:tc>
      </w:tr>
    </w:tbl>
    <w:p w:rsidR="00C41D4F" w:rsidRDefault="00C41D4F" w:rsidP="00C41D4F">
      <w:pPr>
        <w:pStyle w:val="TableFooter"/>
        <w:keepNext/>
      </w:pPr>
      <w:r>
        <w:t>Source: Nides</w:t>
      </w:r>
      <w:r w:rsidRPr="001E7C8B">
        <w:t xml:space="preserve"> et al. 20</w:t>
      </w:r>
      <w:r>
        <w:t xml:space="preserve">20. </w:t>
      </w:r>
    </w:p>
    <w:p w:rsidR="00C41D4F" w:rsidRDefault="00C41D4F" w:rsidP="00C41D4F">
      <w:pPr>
        <w:pStyle w:val="TableFooter"/>
        <w:keepNext/>
      </w:pPr>
      <w:r>
        <w:t xml:space="preserve">Abbreviations: CI = confidence interval; NR = not reported; RCT = randomised controlled trial; RD = risk difference; RR = risk ratio. </w:t>
      </w:r>
    </w:p>
    <w:p w:rsidR="00C41D4F" w:rsidRDefault="00C41D4F" w:rsidP="00C41D4F">
      <w:pPr>
        <w:pStyle w:val="TableFooter"/>
        <w:keepNext/>
      </w:pPr>
      <w:r w:rsidRPr="00FD4061">
        <w:t>Note</w:t>
      </w:r>
      <w:r>
        <w:t>s</w:t>
      </w:r>
      <w:r w:rsidRPr="00FD4061">
        <w:t>:</w:t>
      </w:r>
      <w:r w:rsidRPr="00625D7A">
        <w:t xml:space="preserve"> </w:t>
      </w:r>
      <w:r w:rsidRPr="007A6220">
        <w:t>Bold</w:t>
      </w:r>
      <w:r w:rsidRPr="00FD4061">
        <w:t xml:space="preserve"> indicates statistically significant difference</w:t>
      </w:r>
      <w:r w:rsidR="00ED0CBA">
        <w:t>.</w:t>
      </w:r>
      <w:r>
        <w:t xml:space="preserve"> </w:t>
      </w:r>
    </w:p>
    <w:p w:rsidR="00C41D4F" w:rsidRDefault="00C41D4F" w:rsidP="00C41D4F">
      <w:pPr>
        <w:pStyle w:val="TableFooter"/>
        <w:keepNext/>
      </w:pPr>
      <w:r>
        <w:t xml:space="preserve">1 </w:t>
      </w:r>
      <w:r w:rsidRPr="00946F60">
        <w:t>Adverse event presented by number of subjects in either treatment group who reported a treatment-related adverse event at least once</w:t>
      </w:r>
      <w:r>
        <w:t>.</w:t>
      </w:r>
    </w:p>
    <w:p w:rsidR="00C41D4F" w:rsidRPr="00C41D4F" w:rsidRDefault="00C41D4F" w:rsidP="00C41D4F">
      <w:pPr>
        <w:pStyle w:val="TableFooter"/>
        <w:keepNext/>
      </w:pPr>
      <w:r>
        <w:t>2 Calculated during the review</w:t>
      </w:r>
      <w:r w:rsidR="00ED0CBA">
        <w:t>.</w:t>
      </w:r>
    </w:p>
    <w:p w:rsidR="00F523E8" w:rsidRDefault="00F523E8" w:rsidP="001C10FE">
      <w:pPr>
        <w:pStyle w:val="Heading5"/>
        <w:numPr>
          <w:ilvl w:val="0"/>
          <w:numId w:val="0"/>
        </w:numPr>
      </w:pPr>
      <w:r w:rsidRPr="008657EE">
        <w:t>Inhalator and patch</w:t>
      </w:r>
    </w:p>
    <w:p w:rsidR="00C01C17" w:rsidRPr="00C01C17" w:rsidRDefault="00C01C17" w:rsidP="00C01C17">
      <w:pPr>
        <w:rPr>
          <w:u w:val="single"/>
        </w:rPr>
      </w:pPr>
      <w:r w:rsidRPr="00C01C17">
        <w:rPr>
          <w:u w:val="single"/>
        </w:rPr>
        <w:t>Efficacy</w:t>
      </w:r>
    </w:p>
    <w:p w:rsidR="00F523E8" w:rsidRPr="008471EA" w:rsidRDefault="00F523E8" w:rsidP="00F523E8">
      <w:pPr>
        <w:jc w:val="both"/>
      </w:pPr>
      <w:r w:rsidRPr="00F136E9">
        <w:t>A summary of smoking cessation rates</w:t>
      </w:r>
      <w:r>
        <w:t xml:space="preserve"> </w:t>
      </w:r>
      <w:r w:rsidRPr="00F136E9">
        <w:t>f</w:t>
      </w:r>
      <w:r w:rsidR="00DA78DD">
        <w:t>or</w:t>
      </w:r>
      <w:r w:rsidRPr="00F136E9">
        <w:t xml:space="preserve"> at least six months follow-up</w:t>
      </w:r>
      <w:r>
        <w:t xml:space="preserve"> for the comparison of NRT inhalator plus patch versus placebo </w:t>
      </w:r>
      <w:r w:rsidRPr="00F136E9">
        <w:t xml:space="preserve">is presented </w:t>
      </w:r>
      <w:r w:rsidRPr="00657867">
        <w:t>in</w:t>
      </w:r>
      <w:r>
        <w:t xml:space="preserve"> </w:t>
      </w:r>
      <w:r w:rsidR="003C4A1C">
        <w:t xml:space="preserve">Table </w:t>
      </w:r>
      <w:r w:rsidR="003C4A1C">
        <w:rPr>
          <w:noProof/>
        </w:rPr>
        <w:t>115</w:t>
      </w:r>
      <w:r w:rsidRPr="00657867">
        <w:t xml:space="preserve">. </w:t>
      </w:r>
      <w:r>
        <w:t>T</w:t>
      </w:r>
      <w:r w:rsidRPr="00657867">
        <w:t xml:space="preserve">he </w:t>
      </w:r>
      <w:r w:rsidR="00285843">
        <w:t>results demonstrated</w:t>
      </w:r>
      <w:r w:rsidRPr="00657867">
        <w:t xml:space="preserve"> </w:t>
      </w:r>
      <w:r>
        <w:t>no</w:t>
      </w:r>
      <w:r w:rsidRPr="006138C2">
        <w:t xml:space="preserve"> statistically significant di</w:t>
      </w:r>
      <w:r>
        <w:t>ff</w:t>
      </w:r>
      <w:r w:rsidRPr="006138C2">
        <w:t xml:space="preserve">erence </w:t>
      </w:r>
      <w:r>
        <w:t xml:space="preserve">in </w:t>
      </w:r>
      <w:r w:rsidR="00285843">
        <w:t>smoking cessation rates</w:t>
      </w:r>
      <w:r>
        <w:t xml:space="preserve"> (</w:t>
      </w:r>
      <w:r w:rsidRPr="006138C2">
        <w:t xml:space="preserve">abstinence </w:t>
      </w:r>
      <w:r>
        <w:t>rate at 12 month</w:t>
      </w:r>
      <w:r w:rsidR="003B5412">
        <w:t>s</w:t>
      </w:r>
      <w:r>
        <w:t>)</w:t>
      </w:r>
      <w:r w:rsidR="00285843">
        <w:t xml:space="preserve"> between the two treatment arms</w:t>
      </w:r>
      <w:r>
        <w:t xml:space="preserve">, </w:t>
      </w:r>
      <w:r w:rsidR="00285843">
        <w:t xml:space="preserve">although the results numerically favoured </w:t>
      </w:r>
      <w:r w:rsidR="003B5412">
        <w:t xml:space="preserve">the </w:t>
      </w:r>
      <w:r w:rsidR="00285843">
        <w:t>inhalator and patch combination</w:t>
      </w:r>
      <w:r>
        <w:t xml:space="preserve">. </w:t>
      </w:r>
    </w:p>
    <w:p w:rsidR="00B27344" w:rsidRDefault="00B27344" w:rsidP="00B27344">
      <w:pPr>
        <w:pStyle w:val="Caption"/>
        <w:keepNext/>
      </w:pPr>
      <w:bookmarkStart w:id="230" w:name="_Ref60847112"/>
      <w:r>
        <w:t xml:space="preserve">Table </w:t>
      </w:r>
      <w:r w:rsidR="003C4A1C">
        <w:rPr>
          <w:noProof/>
        </w:rPr>
        <w:t>115</w:t>
      </w:r>
      <w:bookmarkEnd w:id="230"/>
      <w:r>
        <w:t xml:space="preserve">: </w:t>
      </w:r>
      <w:r w:rsidRPr="00C80EA6">
        <w:t>Results of smoking cessation f</w:t>
      </w:r>
      <w:r w:rsidR="00DA78DD">
        <w:t>or</w:t>
      </w:r>
      <w:r w:rsidRPr="00C80EA6">
        <w:t xml:space="preserve"> at least six months follow-up, inhalator and patch versus placebo</w:t>
      </w:r>
    </w:p>
    <w:tbl>
      <w:tblPr>
        <w:tblStyle w:val="TableGrid"/>
        <w:tblW w:w="5000" w:type="pct"/>
        <w:tblLook w:val="04A0" w:firstRow="1" w:lastRow="0" w:firstColumn="1" w:lastColumn="0" w:noHBand="0" w:noVBand="1"/>
        <w:tblCaption w:val="Efficacy results of adalimumab trials (PASI 75 and DLQI)"/>
      </w:tblPr>
      <w:tblGrid>
        <w:gridCol w:w="1857"/>
        <w:gridCol w:w="1668"/>
        <w:gridCol w:w="1830"/>
        <w:gridCol w:w="1834"/>
        <w:gridCol w:w="1827"/>
      </w:tblGrid>
      <w:tr w:rsidR="00F523E8" w:rsidRPr="00061F78" w:rsidTr="00B5677D">
        <w:trPr>
          <w:cantSplit/>
          <w:trHeight w:val="299"/>
          <w:tblHeader/>
        </w:trPr>
        <w:tc>
          <w:tcPr>
            <w:tcW w:w="1030" w:type="pct"/>
            <w:shd w:val="clear" w:color="auto" w:fill="BFBFBF" w:themeFill="background1" w:themeFillShade="BF"/>
            <w:tcMar>
              <w:left w:w="28" w:type="dxa"/>
              <w:right w:w="28" w:type="dxa"/>
            </w:tcMar>
          </w:tcPr>
          <w:p w:rsidR="00F523E8" w:rsidRPr="00061F78" w:rsidRDefault="00F523E8" w:rsidP="00A5263B">
            <w:pPr>
              <w:pStyle w:val="Tableheading"/>
              <w:keepNext/>
              <w:rPr>
                <w:rFonts w:eastAsia="MS Mincho"/>
              </w:rPr>
            </w:pPr>
            <w:r>
              <w:rPr>
                <w:rFonts w:eastAsia="MS Mincho"/>
              </w:rPr>
              <w:t>Study</w:t>
            </w:r>
          </w:p>
        </w:tc>
        <w:tc>
          <w:tcPr>
            <w:tcW w:w="925" w:type="pct"/>
            <w:shd w:val="clear" w:color="auto" w:fill="BFBFBF" w:themeFill="background1" w:themeFillShade="BF"/>
            <w:vAlign w:val="center"/>
          </w:tcPr>
          <w:p w:rsidR="00F523E8" w:rsidRDefault="00F523E8" w:rsidP="00A5263B">
            <w:pPr>
              <w:pStyle w:val="Tableheading"/>
              <w:keepNext/>
              <w:jc w:val="center"/>
              <w:rPr>
                <w:rFonts w:eastAsia="MS Mincho"/>
              </w:rPr>
            </w:pPr>
            <w:r>
              <w:rPr>
                <w:rFonts w:eastAsia="MS Mincho"/>
              </w:rPr>
              <w:t>Study type</w:t>
            </w:r>
          </w:p>
        </w:tc>
        <w:tc>
          <w:tcPr>
            <w:tcW w:w="1015" w:type="pct"/>
            <w:shd w:val="clear" w:color="auto" w:fill="BFBFBF" w:themeFill="background1" w:themeFillShade="BF"/>
            <w:tcMar>
              <w:left w:w="28" w:type="dxa"/>
              <w:right w:w="28" w:type="dxa"/>
            </w:tcMar>
            <w:vAlign w:val="center"/>
          </w:tcPr>
          <w:p w:rsidR="00F523E8" w:rsidRPr="00061F78" w:rsidRDefault="00F523E8" w:rsidP="00A5263B">
            <w:pPr>
              <w:pStyle w:val="Tableheading"/>
              <w:keepNext/>
              <w:jc w:val="center"/>
              <w:rPr>
                <w:rFonts w:eastAsia="MS Mincho"/>
              </w:rPr>
            </w:pPr>
            <w:r>
              <w:rPr>
                <w:rFonts w:eastAsia="MS Mincho"/>
              </w:rPr>
              <w:t>Inhalator + patch</w:t>
            </w:r>
          </w:p>
        </w:tc>
        <w:tc>
          <w:tcPr>
            <w:tcW w:w="1017" w:type="pct"/>
            <w:shd w:val="clear" w:color="auto" w:fill="BFBFBF" w:themeFill="background1" w:themeFillShade="BF"/>
            <w:tcMar>
              <w:left w:w="28" w:type="dxa"/>
              <w:right w:w="28" w:type="dxa"/>
            </w:tcMar>
            <w:vAlign w:val="center"/>
          </w:tcPr>
          <w:p w:rsidR="00F523E8" w:rsidRPr="00061F78" w:rsidRDefault="00F523E8" w:rsidP="00A5263B">
            <w:pPr>
              <w:pStyle w:val="Tableheading"/>
              <w:keepNext/>
              <w:jc w:val="center"/>
              <w:rPr>
                <w:rFonts w:eastAsia="MS Mincho"/>
              </w:rPr>
            </w:pPr>
            <w:r>
              <w:rPr>
                <w:rFonts w:eastAsia="MS Mincho"/>
              </w:rPr>
              <w:t>Placebo</w:t>
            </w:r>
          </w:p>
        </w:tc>
        <w:tc>
          <w:tcPr>
            <w:tcW w:w="1014" w:type="pct"/>
            <w:shd w:val="clear" w:color="auto" w:fill="BFBFBF" w:themeFill="background1" w:themeFillShade="BF"/>
            <w:tcMar>
              <w:left w:w="28" w:type="dxa"/>
              <w:right w:w="28" w:type="dxa"/>
            </w:tcMar>
            <w:vAlign w:val="center"/>
          </w:tcPr>
          <w:p w:rsidR="00F523E8" w:rsidRPr="002D09A1" w:rsidRDefault="00F523E8" w:rsidP="00A5263B">
            <w:pPr>
              <w:pStyle w:val="Tableheading"/>
              <w:keepNext/>
              <w:jc w:val="center"/>
              <w:rPr>
                <w:rFonts w:eastAsia="MS Mincho"/>
                <w:vertAlign w:val="superscript"/>
              </w:rPr>
            </w:pPr>
            <w:r>
              <w:rPr>
                <w:rFonts w:eastAsia="MS Mincho"/>
              </w:rPr>
              <w:t>RR (95% CI)</w:t>
            </w:r>
          </w:p>
        </w:tc>
      </w:tr>
      <w:tr w:rsidR="00F523E8" w:rsidRPr="00061F78" w:rsidTr="00B5677D">
        <w:trPr>
          <w:cantSplit/>
          <w:trHeight w:val="99"/>
        </w:trPr>
        <w:tc>
          <w:tcPr>
            <w:tcW w:w="1030" w:type="pct"/>
            <w:shd w:val="clear" w:color="auto" w:fill="auto"/>
            <w:tcMar>
              <w:left w:w="28" w:type="dxa"/>
              <w:right w:w="28" w:type="dxa"/>
            </w:tcMar>
            <w:vAlign w:val="center"/>
          </w:tcPr>
          <w:p w:rsidR="00FC18A1" w:rsidRDefault="00FC18A1" w:rsidP="00FC18A1">
            <w:pPr>
              <w:pStyle w:val="Tablewriting"/>
              <w:keepNext/>
              <w:rPr>
                <w:rFonts w:eastAsia="MS Mincho"/>
              </w:rPr>
            </w:pPr>
            <w:r>
              <w:rPr>
                <w:rFonts w:eastAsia="MS Mincho"/>
              </w:rPr>
              <w:t>Hartmann-Boyce</w:t>
            </w:r>
          </w:p>
          <w:p w:rsidR="00F523E8" w:rsidRPr="005D18BC" w:rsidRDefault="00FC18A1" w:rsidP="00A5263B">
            <w:pPr>
              <w:pStyle w:val="Tablewriting"/>
              <w:keepNext/>
              <w:rPr>
                <w:rFonts w:eastAsia="MS Mincho"/>
                <w:highlight w:val="yellow"/>
              </w:rPr>
            </w:pPr>
            <w:r w:rsidRPr="009E3316">
              <w:rPr>
                <w:rFonts w:eastAsia="MS Mincho"/>
              </w:rPr>
              <w:t>(2018)</w:t>
            </w:r>
            <w:r>
              <w:rPr>
                <w:rFonts w:eastAsia="MS Mincho"/>
                <w:vertAlign w:val="superscript"/>
              </w:rPr>
              <w:t>1</w:t>
            </w:r>
          </w:p>
        </w:tc>
        <w:tc>
          <w:tcPr>
            <w:tcW w:w="925" w:type="pct"/>
            <w:shd w:val="clear" w:color="auto" w:fill="auto"/>
            <w:vAlign w:val="center"/>
          </w:tcPr>
          <w:p w:rsidR="00FC18A1" w:rsidRDefault="00FC18A1" w:rsidP="00FC18A1">
            <w:pPr>
              <w:pStyle w:val="Tablewriting"/>
              <w:keepNext/>
              <w:jc w:val="center"/>
              <w:rPr>
                <w:rFonts w:eastAsia="MS Mincho"/>
              </w:rPr>
            </w:pPr>
            <w:r>
              <w:rPr>
                <w:rFonts w:eastAsia="MS Mincho"/>
              </w:rPr>
              <w:t>Cochrane Review</w:t>
            </w:r>
          </w:p>
          <w:p w:rsidR="00F523E8" w:rsidRPr="00A22F63" w:rsidRDefault="00FC18A1" w:rsidP="00A5263B">
            <w:pPr>
              <w:pStyle w:val="Tablewriting"/>
              <w:keepNext/>
              <w:jc w:val="center"/>
              <w:rPr>
                <w:rFonts w:eastAsia="MS Mincho"/>
              </w:rPr>
            </w:pPr>
            <w:r>
              <w:rPr>
                <w:rFonts w:eastAsia="MS Mincho"/>
              </w:rPr>
              <w:t xml:space="preserve">(1 </w:t>
            </w:r>
            <w:r w:rsidRPr="00A22F63">
              <w:rPr>
                <w:rFonts w:eastAsia="MS Mincho"/>
              </w:rPr>
              <w:t>RCT</w:t>
            </w:r>
            <w:r>
              <w:rPr>
                <w:rFonts w:eastAsia="MS Mincho"/>
              </w:rPr>
              <w:t>)</w:t>
            </w:r>
          </w:p>
        </w:tc>
        <w:tc>
          <w:tcPr>
            <w:tcW w:w="1015" w:type="pct"/>
            <w:shd w:val="clear" w:color="auto" w:fill="auto"/>
            <w:tcMar>
              <w:left w:w="28" w:type="dxa"/>
              <w:right w:w="28" w:type="dxa"/>
            </w:tcMar>
            <w:vAlign w:val="center"/>
          </w:tcPr>
          <w:p w:rsidR="00F523E8" w:rsidRPr="00807DFE" w:rsidRDefault="00F523E8" w:rsidP="00A5263B">
            <w:pPr>
              <w:pStyle w:val="Tablewriting"/>
              <w:keepNext/>
              <w:jc w:val="center"/>
              <w:rPr>
                <w:rFonts w:eastAsia="MS Mincho"/>
              </w:rPr>
            </w:pPr>
            <w:r w:rsidRPr="00807DFE">
              <w:rPr>
                <w:rFonts w:eastAsia="MS Mincho"/>
              </w:rPr>
              <w:t>20/136</w:t>
            </w:r>
          </w:p>
          <w:p w:rsidR="00F523E8" w:rsidRPr="00807DFE" w:rsidRDefault="00F523E8" w:rsidP="00A5263B">
            <w:pPr>
              <w:pStyle w:val="Tablewriting"/>
              <w:keepNext/>
              <w:jc w:val="center"/>
              <w:rPr>
                <w:rFonts w:eastAsia="MS Mincho"/>
              </w:rPr>
            </w:pPr>
            <w:r w:rsidRPr="00807DFE">
              <w:rPr>
                <w:rFonts w:eastAsia="MS Mincho"/>
              </w:rPr>
              <w:t>(14.7%)</w:t>
            </w:r>
          </w:p>
        </w:tc>
        <w:tc>
          <w:tcPr>
            <w:tcW w:w="1017" w:type="pct"/>
            <w:shd w:val="clear" w:color="auto" w:fill="auto"/>
            <w:tcMar>
              <w:left w:w="28" w:type="dxa"/>
              <w:right w:w="28" w:type="dxa"/>
            </w:tcMar>
            <w:vAlign w:val="center"/>
          </w:tcPr>
          <w:p w:rsidR="00F523E8" w:rsidRPr="00807DFE" w:rsidRDefault="00F523E8" w:rsidP="00A5263B">
            <w:pPr>
              <w:pStyle w:val="Tablewriting"/>
              <w:keepNext/>
              <w:jc w:val="center"/>
              <w:rPr>
                <w:rFonts w:eastAsia="MS Mincho"/>
              </w:rPr>
            </w:pPr>
            <w:r w:rsidRPr="00807DFE">
              <w:rPr>
                <w:rFonts w:eastAsia="MS Mincho"/>
              </w:rPr>
              <w:t>15/109</w:t>
            </w:r>
          </w:p>
          <w:p w:rsidR="00F523E8" w:rsidRPr="00807DFE" w:rsidRDefault="00F523E8" w:rsidP="00A5263B">
            <w:pPr>
              <w:pStyle w:val="Tablewriting"/>
              <w:keepNext/>
              <w:jc w:val="center"/>
              <w:rPr>
                <w:rFonts w:eastAsia="MS Mincho"/>
              </w:rPr>
            </w:pPr>
            <w:r w:rsidRPr="00807DFE">
              <w:rPr>
                <w:rFonts w:eastAsia="MS Mincho"/>
              </w:rPr>
              <w:t>(13.8%)</w:t>
            </w:r>
          </w:p>
        </w:tc>
        <w:tc>
          <w:tcPr>
            <w:tcW w:w="1014" w:type="pct"/>
            <w:shd w:val="clear" w:color="auto" w:fill="auto"/>
            <w:tcMar>
              <w:left w:w="28" w:type="dxa"/>
              <w:right w:w="28" w:type="dxa"/>
            </w:tcMar>
            <w:vAlign w:val="center"/>
          </w:tcPr>
          <w:p w:rsidR="00F523E8" w:rsidRDefault="00F523E8" w:rsidP="00A5263B">
            <w:pPr>
              <w:pStyle w:val="Tablewriting"/>
              <w:keepNext/>
              <w:jc w:val="center"/>
              <w:rPr>
                <w:rFonts w:eastAsia="MS Mincho"/>
              </w:rPr>
            </w:pPr>
            <w:r>
              <w:rPr>
                <w:rFonts w:eastAsia="MS Mincho"/>
              </w:rPr>
              <w:t>1.07</w:t>
            </w:r>
          </w:p>
          <w:p w:rsidR="00F523E8" w:rsidRPr="00D86FCC" w:rsidRDefault="00F523E8" w:rsidP="00A5263B">
            <w:pPr>
              <w:pStyle w:val="Tablewriting"/>
              <w:keepNext/>
              <w:jc w:val="center"/>
              <w:rPr>
                <w:rFonts w:eastAsia="MS Mincho"/>
              </w:rPr>
            </w:pPr>
            <w:r>
              <w:rPr>
                <w:rFonts w:eastAsia="MS Mincho"/>
              </w:rPr>
              <w:t>(0.57, 1.99)</w:t>
            </w:r>
          </w:p>
        </w:tc>
      </w:tr>
    </w:tbl>
    <w:p w:rsidR="00F523E8" w:rsidRPr="00566F12" w:rsidRDefault="00F523E8" w:rsidP="00F523E8">
      <w:pPr>
        <w:pStyle w:val="TableFooter"/>
        <w:keepNext/>
      </w:pPr>
      <w:r w:rsidRPr="00566F12">
        <w:t xml:space="preserve">Source: </w:t>
      </w:r>
      <w:r w:rsidRPr="00637ACA">
        <w:t xml:space="preserve">Hartmann-Boyce et al. </w:t>
      </w:r>
      <w:r w:rsidR="00285843">
        <w:t>(</w:t>
      </w:r>
      <w:r w:rsidRPr="00637ACA">
        <w:t>2018</w:t>
      </w:r>
      <w:r w:rsidR="00285843">
        <w:t>)</w:t>
      </w:r>
      <w:r w:rsidRPr="00566F12">
        <w:t>.</w:t>
      </w:r>
    </w:p>
    <w:p w:rsidR="00F523E8" w:rsidRDefault="00F523E8" w:rsidP="00F523E8">
      <w:pPr>
        <w:pStyle w:val="TableFooter"/>
        <w:keepNext/>
      </w:pPr>
      <w:r w:rsidRPr="00566F12">
        <w:t>Abbreviations: CI = confidence interval; RCT = randomised controlled trial; RR = risk ratio</w:t>
      </w:r>
    </w:p>
    <w:p w:rsidR="00F523E8" w:rsidRDefault="00F523E8" w:rsidP="00F523E8">
      <w:pPr>
        <w:pStyle w:val="TableFooter"/>
        <w:keepNext/>
      </w:pPr>
      <w:r w:rsidRPr="00566F12">
        <w:t>Notes:</w:t>
      </w:r>
      <w:r>
        <w:t xml:space="preserve"> </w:t>
      </w:r>
    </w:p>
    <w:p w:rsidR="00F523E8" w:rsidRPr="002F3658" w:rsidRDefault="00F523E8" w:rsidP="00F523E8">
      <w:pPr>
        <w:pStyle w:val="TableFooter"/>
        <w:keepNext/>
      </w:pPr>
      <w:r>
        <w:t xml:space="preserve">1 </w:t>
      </w:r>
      <w:r w:rsidR="00FC18A1">
        <w:t>Calculated by Cochrane Review authors using a fixed-effect model</w:t>
      </w:r>
      <w:r>
        <w:t>.</w:t>
      </w:r>
    </w:p>
    <w:p w:rsidR="00F523E8" w:rsidRDefault="00F523E8" w:rsidP="00861713">
      <w:r w:rsidRPr="00F136E9">
        <w:t>The results of the individual studies</w:t>
      </w:r>
      <w:r>
        <w:t xml:space="preserve"> relevant to </w:t>
      </w:r>
      <w:r w:rsidR="003B5412">
        <w:t xml:space="preserve">the </w:t>
      </w:r>
      <w:r>
        <w:t xml:space="preserve">combination of NRT inhalator and patch </w:t>
      </w:r>
      <w:r w:rsidRPr="00F136E9">
        <w:t xml:space="preserve">included in </w:t>
      </w:r>
      <w:r w:rsidRPr="000E1B16">
        <w:t xml:space="preserve">Hartmann-Boyce et al. </w:t>
      </w:r>
      <w:r w:rsidR="00285843">
        <w:t>(</w:t>
      </w:r>
      <w:r w:rsidRPr="000E1B16">
        <w:t>2018</w:t>
      </w:r>
      <w:r w:rsidR="00285843">
        <w:t>)</w:t>
      </w:r>
      <w:r>
        <w:t xml:space="preserve"> </w:t>
      </w:r>
      <w:r w:rsidRPr="00F136E9">
        <w:t>are presented using a forest plot in</w:t>
      </w:r>
      <w:r>
        <w:t xml:space="preserve"> </w:t>
      </w:r>
      <w:r w:rsidR="003C4A1C">
        <w:t>Figure 40</w:t>
      </w:r>
      <w:r>
        <w:t xml:space="preserve">. </w:t>
      </w:r>
    </w:p>
    <w:p w:rsidR="00A5263B" w:rsidRDefault="00F523E8" w:rsidP="00A5263B">
      <w:pPr>
        <w:keepNext/>
        <w:spacing w:line="276" w:lineRule="auto"/>
      </w:pPr>
      <w:r>
        <w:rPr>
          <w:noProof/>
          <w:u w:val="single"/>
        </w:rPr>
        <w:drawing>
          <wp:inline distT="0" distB="0" distL="0" distR="0" wp14:anchorId="053F94C0" wp14:editId="17AF0B46">
            <wp:extent cx="5641145" cy="1131018"/>
            <wp:effectExtent l="0" t="0" r="0" b="0"/>
            <wp:docPr id="89" name="Picture 8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10;&#10;Description automatically generated"/>
                    <pic:cNvPicPr/>
                  </pic:nvPicPr>
                  <pic:blipFill rotWithShape="1">
                    <a:blip r:embed="rId60" cstate="print">
                      <a:extLst>
                        <a:ext uri="{28A0092B-C50C-407E-A947-70E740481C1C}">
                          <a14:useLocalDpi xmlns:a14="http://schemas.microsoft.com/office/drawing/2010/main" val="0"/>
                        </a:ext>
                      </a:extLst>
                    </a:blip>
                    <a:srcRect/>
                    <a:stretch/>
                  </pic:blipFill>
                  <pic:spPr bwMode="auto">
                    <a:xfrm>
                      <a:off x="0" y="0"/>
                      <a:ext cx="5664646" cy="1135730"/>
                    </a:xfrm>
                    <a:prstGeom prst="rect">
                      <a:avLst/>
                    </a:prstGeom>
                    <a:ln>
                      <a:noFill/>
                    </a:ln>
                    <a:extLst>
                      <a:ext uri="{53640926-AAD7-44D8-BBD7-CCE9431645EC}">
                        <a14:shadowObscured xmlns:a14="http://schemas.microsoft.com/office/drawing/2010/main"/>
                      </a:ext>
                    </a:extLst>
                  </pic:spPr>
                </pic:pic>
              </a:graphicData>
            </a:graphic>
          </wp:inline>
        </w:drawing>
      </w:r>
    </w:p>
    <w:p w:rsidR="00F523E8" w:rsidRDefault="00A5263B" w:rsidP="00A5263B">
      <w:pPr>
        <w:pStyle w:val="Caption"/>
        <w:rPr>
          <w:u w:val="single"/>
        </w:rPr>
      </w:pPr>
      <w:bookmarkStart w:id="231" w:name="_Ref60909570"/>
      <w:r>
        <w:t xml:space="preserve">Figure </w:t>
      </w:r>
      <w:r w:rsidR="003C4A1C">
        <w:rPr>
          <w:noProof/>
        </w:rPr>
        <w:t>40</w:t>
      </w:r>
      <w:bookmarkEnd w:id="231"/>
      <w:r>
        <w:t xml:space="preserve">: </w:t>
      </w:r>
      <w:r w:rsidRPr="009A3A87">
        <w:t>Results of smoking cessation of at least six months follow-up in Hartmann-Boyce et al. 2018, combination of NRT inhalator and patch versus placebo</w:t>
      </w:r>
    </w:p>
    <w:p w:rsidR="00CC60B2" w:rsidRDefault="00CC60B2" w:rsidP="00C01C17">
      <w:pPr>
        <w:pStyle w:val="TableFooter"/>
      </w:pPr>
      <w:r w:rsidRPr="00543DB6">
        <w:t xml:space="preserve">Source: </w:t>
      </w:r>
      <w:r w:rsidRPr="001607FC">
        <w:t>Hartmann-Boyce et al. (2018</w:t>
      </w:r>
      <w:r>
        <w:t xml:space="preserve">) </w:t>
      </w:r>
    </w:p>
    <w:p w:rsidR="00A5263B" w:rsidRPr="00CC60B2" w:rsidRDefault="00CC60B2" w:rsidP="00C01C17">
      <w:pPr>
        <w:pStyle w:val="TableFooter"/>
      </w:pPr>
      <w:r w:rsidRPr="00543DB6">
        <w:t>Abbreviations: CI = confidence interval</w:t>
      </w:r>
    </w:p>
    <w:p w:rsidR="00C01C17" w:rsidRPr="00C01C17" w:rsidRDefault="00C01C17" w:rsidP="00132A9A">
      <w:pPr>
        <w:pStyle w:val="Caption"/>
        <w:keepNext/>
        <w:rPr>
          <w:b w:val="0"/>
          <w:bCs w:val="0"/>
          <w:u w:val="single"/>
        </w:rPr>
      </w:pPr>
      <w:r w:rsidRPr="00C01C17">
        <w:rPr>
          <w:b w:val="0"/>
          <w:bCs w:val="0"/>
          <w:u w:val="single"/>
        </w:rPr>
        <w:lastRenderedPageBreak/>
        <w:t>Safety</w:t>
      </w:r>
    </w:p>
    <w:p w:rsidR="00132A9A" w:rsidRDefault="000435AA" w:rsidP="00C01C17">
      <w:pPr>
        <w:pStyle w:val="Caption"/>
        <w:keepNext/>
        <w:rPr>
          <w:b w:val="0"/>
          <w:bCs w:val="0"/>
        </w:rPr>
      </w:pPr>
      <w:r w:rsidRPr="00132A9A">
        <w:rPr>
          <w:b w:val="0"/>
          <w:bCs w:val="0"/>
        </w:rPr>
        <w:t xml:space="preserve">No adverse events were reported by </w:t>
      </w:r>
      <w:r w:rsidR="00E82A3A" w:rsidRPr="00132A9A">
        <w:rPr>
          <w:b w:val="0"/>
          <w:bCs w:val="0"/>
        </w:rPr>
        <w:t xml:space="preserve">Hartmann-Boyce et al. (2018) </w:t>
      </w:r>
      <w:r w:rsidR="008D7557">
        <w:rPr>
          <w:b w:val="0"/>
          <w:bCs w:val="0"/>
        </w:rPr>
        <w:t>nor Hand et al. (2002)</w:t>
      </w:r>
      <w:r w:rsidR="00E82A3A" w:rsidRPr="00132A9A">
        <w:rPr>
          <w:b w:val="0"/>
          <w:bCs w:val="0"/>
        </w:rPr>
        <w:t xml:space="preserve"> for the comparison of inhalator + patch versus placebo. </w:t>
      </w:r>
    </w:p>
    <w:p w:rsidR="00C01C17" w:rsidRPr="00C01C17" w:rsidRDefault="00C01C17" w:rsidP="00C01C17"/>
    <w:p w:rsidR="003658EF" w:rsidRDefault="00B36CAB" w:rsidP="001C10FE">
      <w:pPr>
        <w:pStyle w:val="Heading4"/>
        <w:numPr>
          <w:ilvl w:val="0"/>
          <w:numId w:val="0"/>
        </w:numPr>
      </w:pPr>
      <w:r>
        <w:t>Summary of evidence for NRT dose, dosage form and length of therapy</w:t>
      </w:r>
      <w:r w:rsidR="00946F60">
        <w:t xml:space="preserve"> </w:t>
      </w:r>
    </w:p>
    <w:p w:rsidR="00956FD5" w:rsidRDefault="00956FD5" w:rsidP="00956FD5">
      <w:pPr>
        <w:rPr>
          <w:b/>
        </w:rPr>
      </w:pPr>
      <w:r>
        <w:rPr>
          <w:b/>
        </w:rPr>
        <w:t xml:space="preserve">NRT </w:t>
      </w:r>
      <w:r w:rsidR="00130862">
        <w:rPr>
          <w:b/>
        </w:rPr>
        <w:t>dose</w:t>
      </w:r>
    </w:p>
    <w:p w:rsidR="00342387" w:rsidRDefault="0001540E" w:rsidP="00B45D3F">
      <w:pPr>
        <w:jc w:val="both"/>
      </w:pPr>
      <w:r>
        <w:t>H</w:t>
      </w:r>
      <w:r w:rsidR="00DA0C9A">
        <w:t xml:space="preserve">igher strength NRT </w:t>
      </w:r>
      <w:r w:rsidR="00573F59">
        <w:t>patches</w:t>
      </w:r>
      <w:r w:rsidR="00DA0C9A">
        <w:t xml:space="preserve"> (</w:t>
      </w:r>
      <w:r w:rsidR="00BE6151">
        <w:t xml:space="preserve">21 mg/24-hour) was shown </w:t>
      </w:r>
      <w:r w:rsidR="00B1445A">
        <w:t>in Lindson (2019)</w:t>
      </w:r>
      <w:r w:rsidR="00BE6151">
        <w:t xml:space="preserve"> to provide a</w:t>
      </w:r>
      <w:r w:rsidR="00557F81">
        <w:t xml:space="preserve"> </w:t>
      </w:r>
      <w:r w:rsidR="0067491F">
        <w:t xml:space="preserve">statistically significant improvement in long-term smoking cessation rates compared with lower </w:t>
      </w:r>
      <w:r w:rsidR="002E2519">
        <w:t>strength</w:t>
      </w:r>
      <w:r w:rsidR="000D4794">
        <w:t xml:space="preserve"> </w:t>
      </w:r>
      <w:r w:rsidR="00573F59">
        <w:t>patches</w:t>
      </w:r>
      <w:r w:rsidR="0067491F">
        <w:t xml:space="preserve"> (</w:t>
      </w:r>
      <w:r w:rsidR="002E2519">
        <w:t>14 mg/24-hour)</w:t>
      </w:r>
      <w:r w:rsidR="00517E3F" w:rsidRPr="00517E3F">
        <w:t xml:space="preserve"> based on trials that primarily involved participants who smoked 20 or more cigarettes a day</w:t>
      </w:r>
      <w:r w:rsidR="000D4794">
        <w:t xml:space="preserve">. </w:t>
      </w:r>
      <w:r w:rsidR="00980501">
        <w:t>There were n</w:t>
      </w:r>
      <w:r w:rsidR="000D4794">
        <w:t xml:space="preserve">o </w:t>
      </w:r>
      <w:r w:rsidR="00C16A8D">
        <w:t>stati</w:t>
      </w:r>
      <w:r w:rsidR="005E692A">
        <w:t>sti</w:t>
      </w:r>
      <w:r w:rsidR="00C16A8D">
        <w:t>cal</w:t>
      </w:r>
      <w:r w:rsidR="005E692A">
        <w:t>ly significant</w:t>
      </w:r>
      <w:r w:rsidR="000D4794">
        <w:t xml:space="preserve"> </w:t>
      </w:r>
      <w:r w:rsidR="00047CF9">
        <w:t>difference</w:t>
      </w:r>
      <w:r w:rsidR="00980501">
        <w:t>s</w:t>
      </w:r>
      <w:r w:rsidR="00047CF9">
        <w:t xml:space="preserve"> </w:t>
      </w:r>
      <w:r w:rsidR="00DF6813">
        <w:t xml:space="preserve">in </w:t>
      </w:r>
      <w:r w:rsidR="006F10B0">
        <w:t>long-term</w:t>
      </w:r>
      <w:r w:rsidR="00DF6813">
        <w:t xml:space="preserve"> smoking cessation rates </w:t>
      </w:r>
      <w:r w:rsidR="00E8725E">
        <w:t>for the other comparisons</w:t>
      </w:r>
      <w:r w:rsidR="00122C7A">
        <w:t xml:space="preserve"> (25 mg/16-hour </w:t>
      </w:r>
      <w:r w:rsidR="001A7731">
        <w:t>versus 15 mg</w:t>
      </w:r>
      <w:r w:rsidR="002D7CA3">
        <w:t>/</w:t>
      </w:r>
      <w:r w:rsidR="001A7731">
        <w:t xml:space="preserve">16-hour </w:t>
      </w:r>
      <w:r w:rsidR="00573F59">
        <w:t>patches</w:t>
      </w:r>
      <w:r w:rsidR="001A7731">
        <w:t>; 42/44 mg</w:t>
      </w:r>
      <w:r w:rsidR="00815073">
        <w:t>/24-hour</w:t>
      </w:r>
      <w:r w:rsidR="001A7731">
        <w:t xml:space="preserve"> versus 21/22 mg</w:t>
      </w:r>
      <w:r w:rsidR="00815073">
        <w:t>/</w:t>
      </w:r>
      <w:r w:rsidR="001A7731">
        <w:t xml:space="preserve">24-hour </w:t>
      </w:r>
      <w:r w:rsidR="00573F59">
        <w:t>patches</w:t>
      </w:r>
      <w:r w:rsidR="00342387">
        <w:t xml:space="preserve">). </w:t>
      </w:r>
      <w:r w:rsidR="00E923F8">
        <w:t xml:space="preserve">For safety, </w:t>
      </w:r>
      <w:r w:rsidR="00E923F8" w:rsidRPr="00E923F8">
        <w:t xml:space="preserve">there were no statistically significant differences </w:t>
      </w:r>
      <w:r w:rsidR="009B384F" w:rsidRPr="009B384F">
        <w:t xml:space="preserve">in the key adverse events </w:t>
      </w:r>
      <w:r w:rsidR="00E923F8" w:rsidRPr="00E923F8">
        <w:t xml:space="preserve">between </w:t>
      </w:r>
      <w:r w:rsidR="00D40E43">
        <w:t>higher strength and lower strength NRT patches</w:t>
      </w:r>
      <w:r w:rsidR="001E53B2" w:rsidDel="009B384F">
        <w:t xml:space="preserve"> </w:t>
      </w:r>
      <w:r w:rsidR="001E53B2">
        <w:t>for all comparisons</w:t>
      </w:r>
      <w:r w:rsidR="00E923F8" w:rsidRPr="00E923F8">
        <w:t xml:space="preserve"> except for treatment withdrawals comparing the 42/44 mg with 21/22 mg (24-hour) patches. </w:t>
      </w:r>
      <w:r w:rsidR="00C45123">
        <w:t>A</w:t>
      </w:r>
      <w:r w:rsidR="00342387">
        <w:t xml:space="preserve"> significantly higher treatment withdrawal rate was observed in patients treated with 42/44 mg (24-hour) </w:t>
      </w:r>
      <w:r w:rsidR="00573F59">
        <w:t>patches</w:t>
      </w:r>
      <w:r w:rsidR="00342387">
        <w:t xml:space="preserve"> compared to patients treated with 21/22 mg (24-hour) </w:t>
      </w:r>
      <w:r w:rsidR="00573F59">
        <w:t>patches</w:t>
      </w:r>
      <w:r w:rsidR="00342387">
        <w:t xml:space="preserve">. </w:t>
      </w:r>
    </w:p>
    <w:p w:rsidR="00130862" w:rsidRPr="003E000E" w:rsidRDefault="00915D8F" w:rsidP="00B45D3F">
      <w:pPr>
        <w:jc w:val="both"/>
        <w:rPr>
          <w:strike/>
        </w:rPr>
      </w:pPr>
      <w:r>
        <w:t xml:space="preserve">Based on </w:t>
      </w:r>
      <w:r w:rsidR="00C45123">
        <w:t xml:space="preserve">the </w:t>
      </w:r>
      <w:r>
        <w:t xml:space="preserve">evidence </w:t>
      </w:r>
      <w:r w:rsidR="00062658">
        <w:t>presented</w:t>
      </w:r>
      <w:r>
        <w:t xml:space="preserve"> </w:t>
      </w:r>
      <w:r w:rsidR="00062658">
        <w:t>(</w:t>
      </w:r>
      <w:r>
        <w:t>Lindson et al. 2019</w:t>
      </w:r>
      <w:r w:rsidR="00BF4E58" w:rsidDel="00815FCC">
        <w:t>)</w:t>
      </w:r>
      <w:r w:rsidR="002B72CA">
        <w:t xml:space="preserve">, </w:t>
      </w:r>
      <w:r w:rsidR="00835E7D">
        <w:t xml:space="preserve">the </w:t>
      </w:r>
      <w:r w:rsidR="00296BDD">
        <w:t xml:space="preserve">higher strength </w:t>
      </w:r>
      <w:r w:rsidR="00835E7D">
        <w:t xml:space="preserve">NRT </w:t>
      </w:r>
      <w:r w:rsidR="00296BDD">
        <w:t>gum</w:t>
      </w:r>
      <w:r w:rsidR="00815FCC">
        <w:t xml:space="preserve"> (4 mg)</w:t>
      </w:r>
      <w:r w:rsidR="00296BDD">
        <w:t xml:space="preserve"> demonstrated </w:t>
      </w:r>
      <w:r w:rsidR="003235CB">
        <w:t xml:space="preserve">a </w:t>
      </w:r>
      <w:r w:rsidR="002B72CA">
        <w:t xml:space="preserve">statistically significant </w:t>
      </w:r>
      <w:r w:rsidR="00296BDD">
        <w:t xml:space="preserve">benefit </w:t>
      </w:r>
      <w:r w:rsidR="00975FD2">
        <w:t>in long-term smoking cessation rates</w:t>
      </w:r>
      <w:r w:rsidR="00296BDD">
        <w:t xml:space="preserve"> over the lower strength</w:t>
      </w:r>
      <w:r w:rsidR="0038762C">
        <w:t xml:space="preserve"> gum</w:t>
      </w:r>
      <w:r w:rsidR="00815FCC">
        <w:t xml:space="preserve"> (2 mg)</w:t>
      </w:r>
      <w:r w:rsidR="00342387">
        <w:t xml:space="preserve"> </w:t>
      </w:r>
      <w:r w:rsidR="00B01049">
        <w:t>based on the</w:t>
      </w:r>
      <w:r w:rsidR="007F6F17">
        <w:t xml:space="preserve"> p</w:t>
      </w:r>
      <w:r w:rsidR="007F6F17" w:rsidRPr="007F6F17">
        <w:t xml:space="preserve">ooled </w:t>
      </w:r>
      <w:r>
        <w:t xml:space="preserve">results of </w:t>
      </w:r>
      <w:r w:rsidR="007F6F17" w:rsidRPr="007F6F17">
        <w:t>high-dependency and low-dependency smokers</w:t>
      </w:r>
      <w:r w:rsidR="00296BDD">
        <w:t xml:space="preserve">. </w:t>
      </w:r>
      <w:r w:rsidR="00F052FD" w:rsidRPr="00F052FD">
        <w:t>However, the results of the subgroup analysis suggest that only smokers who are highly dependent may benefit from the higher strength NRT gum (i.e. not statistically significantly different in low-dependency smokers)</w:t>
      </w:r>
      <w:r w:rsidR="00F052FD">
        <w:t>.</w:t>
      </w:r>
      <w:r w:rsidR="00296BDD">
        <w:t xml:space="preserve"> </w:t>
      </w:r>
      <w:r w:rsidR="000416B7">
        <w:t xml:space="preserve">There were </w:t>
      </w:r>
      <w:r w:rsidR="0094448C">
        <w:t>n</w:t>
      </w:r>
      <w:r w:rsidR="00980A44">
        <w:t xml:space="preserve">o </w:t>
      </w:r>
      <w:r w:rsidR="009A50DD">
        <w:t xml:space="preserve">statistically significant </w:t>
      </w:r>
      <w:r w:rsidR="00980A44">
        <w:t>difference</w:t>
      </w:r>
      <w:r w:rsidR="009A50DD">
        <w:t>s</w:t>
      </w:r>
      <w:r w:rsidR="00980A44">
        <w:t xml:space="preserve"> in </w:t>
      </w:r>
      <w:r w:rsidR="009A50DD">
        <w:t>palpitations and treatment withdrawals between the two treatment arms</w:t>
      </w:r>
      <w:r w:rsidR="00980A44">
        <w:t xml:space="preserve">. </w:t>
      </w:r>
    </w:p>
    <w:p w:rsidR="00130862" w:rsidRDefault="00130862" w:rsidP="00B45D3F">
      <w:pPr>
        <w:jc w:val="both"/>
        <w:rPr>
          <w:b/>
        </w:rPr>
      </w:pPr>
      <w:r>
        <w:rPr>
          <w:b/>
        </w:rPr>
        <w:t>Length of therapy</w:t>
      </w:r>
    </w:p>
    <w:p w:rsidR="00030AC9" w:rsidRPr="00385284" w:rsidRDefault="00AC1504">
      <w:pPr>
        <w:jc w:val="both"/>
        <w:rPr>
          <w:i/>
          <w:iCs/>
          <w:u w:val="single"/>
        </w:rPr>
      </w:pPr>
      <w:r>
        <w:t xml:space="preserve">For the comparison of longer duration versus shorter duration of </w:t>
      </w:r>
      <w:r w:rsidR="007450F3">
        <w:t>NRT monotherapy</w:t>
      </w:r>
      <w:r w:rsidR="001B2344">
        <w:t xml:space="preserve"> (patch or gum)</w:t>
      </w:r>
      <w:r w:rsidR="007450F3">
        <w:t xml:space="preserve"> and combination</w:t>
      </w:r>
      <w:r w:rsidR="001B2344">
        <w:t xml:space="preserve"> NRT</w:t>
      </w:r>
      <w:r w:rsidR="007450F3">
        <w:t xml:space="preserve"> therapy, </w:t>
      </w:r>
      <w:r w:rsidR="00EB3903" w:rsidRPr="00B519A3">
        <w:t xml:space="preserve">there were no statistically significant differences in </w:t>
      </w:r>
      <w:r w:rsidR="008F68B3">
        <w:t xml:space="preserve">long-term </w:t>
      </w:r>
      <w:r w:rsidR="00EB3903" w:rsidRPr="00B519A3">
        <w:t>smoking cessation rates</w:t>
      </w:r>
      <w:r w:rsidR="00976E80">
        <w:t xml:space="preserve"> and </w:t>
      </w:r>
      <w:r w:rsidR="001B2344">
        <w:t xml:space="preserve">any of </w:t>
      </w:r>
      <w:r w:rsidR="00976E80">
        <w:t xml:space="preserve">the key adverse events assessed </w:t>
      </w:r>
      <w:r w:rsidR="009F1454">
        <w:t xml:space="preserve">(Lindson et al. 2019, Ellerbeck et al. 2018). </w:t>
      </w:r>
      <w:r w:rsidR="00A4004B" w:rsidRPr="00A4004B">
        <w:t xml:space="preserve">Of note, the CEASE (1999) </w:t>
      </w:r>
      <w:r w:rsidR="00C67EB0">
        <w:t xml:space="preserve">study </w:t>
      </w:r>
      <w:r w:rsidR="00A4004B" w:rsidRPr="00A4004B">
        <w:t>compared 28 weeks with 12 weeks of NRT patches, with two patch doses (25 mg and 15 mg) examined in each duration.</w:t>
      </w:r>
      <w:r w:rsidR="009F675B" w:rsidRPr="009F675B">
        <w:t xml:space="preserve"> </w:t>
      </w:r>
      <w:r w:rsidR="008846EB">
        <w:rPr>
          <w:noProof/>
          <w:color w:val="000000"/>
          <w:highlight w:val="black"/>
        </w:rPr>
        <w:t>'''''''' '''''''''' ''''''' '''''' '''''''''''''' '''''''''''''''' '''''''''''''''''''' '''' '''''' '''''''''''''''''''' '''''''''' '''''''''''''''''' '''''''''''''''' '''''' ''''''''''' ''''''''''''''''''''''''''''' '''''' ''''''''''' '''' '' '''''' '''''' ''''''' ''''' '''''''''' '''''''' ''''''''''''''' ''''' '''''' '''''''' '''''''''''' ''''''' ''''''''''' '''''''''''' ''''''''''''''''''''' '''' ''''' '''''' ''''''' ''''' '''''''''' '''''''' '''''''''''''''''</w:t>
      </w:r>
    </w:p>
    <w:p w:rsidR="00130862" w:rsidRDefault="00EC33DE" w:rsidP="00B45D3F">
      <w:pPr>
        <w:jc w:val="both"/>
      </w:pPr>
      <w:r>
        <w:t>F</w:t>
      </w:r>
      <w:r w:rsidRPr="00EC33DE">
        <w:t xml:space="preserve">or other variations in NRT use (24-hour versus 16-hour </w:t>
      </w:r>
      <w:r w:rsidR="00573F59">
        <w:t>patches</w:t>
      </w:r>
      <w:r w:rsidRPr="00EC33DE">
        <w:t xml:space="preserve">, continue versus stop patch use on </w:t>
      </w:r>
      <w:r w:rsidR="003B5412">
        <w:t>re</w:t>
      </w:r>
      <w:r w:rsidRPr="00EC33DE">
        <w:t xml:space="preserve">lapse, and 22 weeks of combination of 35 mg </w:t>
      </w:r>
      <w:r w:rsidR="00573F59">
        <w:t>patches</w:t>
      </w:r>
      <w:r w:rsidRPr="00EC33DE">
        <w:t xml:space="preserve"> and fast-acting versus 10 weeks of 21 mg</w:t>
      </w:r>
      <w:r w:rsidR="003B5412">
        <w:t xml:space="preserve"> </w:t>
      </w:r>
      <w:r w:rsidR="00573F59">
        <w:t>patches</w:t>
      </w:r>
      <w:r w:rsidR="00FC322C" w:rsidDel="00EC33DE">
        <w:t>)</w:t>
      </w:r>
      <w:r w:rsidR="00320B2D">
        <w:t>,</w:t>
      </w:r>
      <w:r w:rsidR="00030AC9" w:rsidRPr="00030AC9" w:rsidDel="00320B2D">
        <w:t xml:space="preserve"> </w:t>
      </w:r>
      <w:r w:rsidR="00030AC9" w:rsidRPr="00030AC9">
        <w:t xml:space="preserve">there were no statistically significant differences in </w:t>
      </w:r>
      <w:r w:rsidR="00604736">
        <w:t>long-term</w:t>
      </w:r>
      <w:r w:rsidR="00030AC9" w:rsidRPr="00030AC9">
        <w:t xml:space="preserve"> smoking cessation rates</w:t>
      </w:r>
      <w:r w:rsidR="00FC322C">
        <w:t xml:space="preserve">, </w:t>
      </w:r>
      <w:r w:rsidR="00FC322C" w:rsidRPr="004B5740">
        <w:t>serious adverse events, treatment withdrawals and cardiac events</w:t>
      </w:r>
      <w:r w:rsidR="00030AC9" w:rsidRPr="00030AC9">
        <w:t xml:space="preserve"> in all comparisons </w:t>
      </w:r>
      <w:r>
        <w:t>(Lindson et al. 2019)</w:t>
      </w:r>
      <w:r w:rsidR="00030AC9" w:rsidRPr="00030AC9">
        <w:t>.</w:t>
      </w:r>
      <w:r w:rsidR="00030AC9">
        <w:t xml:space="preserve">   </w:t>
      </w:r>
      <w:r w:rsidR="00030AC9" w:rsidRPr="0043380C">
        <w:t xml:space="preserve"> </w:t>
      </w:r>
    </w:p>
    <w:p w:rsidR="00130862" w:rsidRPr="00385284" w:rsidRDefault="00130862" w:rsidP="00B45D3F">
      <w:pPr>
        <w:jc w:val="both"/>
        <w:rPr>
          <w:b/>
        </w:rPr>
      </w:pPr>
      <w:r w:rsidRPr="00385284">
        <w:rPr>
          <w:b/>
        </w:rPr>
        <w:t>Dosing schedule</w:t>
      </w:r>
    </w:p>
    <w:p w:rsidR="000E5CF1" w:rsidRDefault="00EF6140" w:rsidP="00B45D3F">
      <w:pPr>
        <w:jc w:val="both"/>
      </w:pPr>
      <w:r>
        <w:lastRenderedPageBreak/>
        <w:t xml:space="preserve">For the comparison of </w:t>
      </w:r>
      <w:r w:rsidRPr="00EF6140">
        <w:t xml:space="preserve">abrupt withdrawal </w:t>
      </w:r>
      <w:r>
        <w:t>versus</w:t>
      </w:r>
      <w:r w:rsidRPr="00EF6140">
        <w:t xml:space="preserve"> tapering patch dose</w:t>
      </w:r>
      <w:r>
        <w:t>,</w:t>
      </w:r>
      <w:r w:rsidRPr="00EF6140">
        <w:t xml:space="preserve"> </w:t>
      </w:r>
      <w:r w:rsidR="00FC162D">
        <w:t xml:space="preserve">there were </w:t>
      </w:r>
      <w:r w:rsidR="000E5CF1" w:rsidRPr="000E5CF1">
        <w:t xml:space="preserve">no statistically significant differences in </w:t>
      </w:r>
      <w:r w:rsidR="00764C5C">
        <w:t xml:space="preserve">long-term </w:t>
      </w:r>
      <w:r w:rsidR="000E5CF1" w:rsidRPr="000E5CF1">
        <w:t xml:space="preserve">smoking cessation rates </w:t>
      </w:r>
      <w:r w:rsidR="00960CE5">
        <w:t>a</w:t>
      </w:r>
      <w:r w:rsidR="004F6DEE">
        <w:t>nd</w:t>
      </w:r>
      <w:r w:rsidR="00960CE5">
        <w:t xml:space="preserve"> </w:t>
      </w:r>
      <w:r w:rsidR="00960CE5" w:rsidRPr="00FF476A">
        <w:t>treatment withdrawals</w:t>
      </w:r>
      <w:r w:rsidR="000E5CF1" w:rsidRPr="000E5CF1">
        <w:t xml:space="preserve"> between </w:t>
      </w:r>
      <w:r>
        <w:t>the two treatment arms (Lindson et al. 2019)</w:t>
      </w:r>
      <w:r w:rsidR="000E5CF1" w:rsidRPr="000E5CF1">
        <w:t xml:space="preserve">. </w:t>
      </w:r>
      <w:r w:rsidR="00EF72D5" w:rsidRPr="00EF72D5">
        <w:t>Th</w:t>
      </w:r>
      <w:r w:rsidR="007900F9">
        <w:t>is is consistent with previous</w:t>
      </w:r>
      <w:r w:rsidR="00EF72D5" w:rsidRPr="00EF72D5">
        <w:t xml:space="preserve"> PBAC </w:t>
      </w:r>
      <w:r w:rsidR="007900F9">
        <w:t>consideration</w:t>
      </w:r>
      <w:r w:rsidR="00764C5C">
        <w:t>s</w:t>
      </w:r>
      <w:r w:rsidR="007900F9">
        <w:t>, whereby</w:t>
      </w:r>
      <w:r w:rsidR="00EF72D5" w:rsidRPr="00EF72D5">
        <w:t xml:space="preserve"> gradual tapering compared with abrupt withdrawal w</w:t>
      </w:r>
      <w:r w:rsidR="00D151B2">
        <w:t>as</w:t>
      </w:r>
      <w:r w:rsidR="00EF72D5" w:rsidRPr="00EF72D5">
        <w:t xml:space="preserve"> </w:t>
      </w:r>
      <w:r w:rsidR="003B757F">
        <w:t>noted</w:t>
      </w:r>
      <w:r w:rsidR="00EF72D5" w:rsidRPr="00EF72D5">
        <w:t xml:space="preserve"> to result in minimal changes in clinical outcomes (NRT PSD, March 2010 PBAC meeting).</w:t>
      </w:r>
    </w:p>
    <w:p w:rsidR="0063427C" w:rsidRDefault="003B757F" w:rsidP="00B45D3F">
      <w:pPr>
        <w:jc w:val="both"/>
      </w:pPr>
      <w:r>
        <w:t>For the comparison of fixed versus ad lib dosing schedule</w:t>
      </w:r>
      <w:r w:rsidR="00D151B2">
        <w:t>s</w:t>
      </w:r>
      <w:r w:rsidR="0063427C">
        <w:t>, t</w:t>
      </w:r>
      <w:r w:rsidR="0063427C" w:rsidRPr="00592F74">
        <w:t>here w</w:t>
      </w:r>
      <w:r w:rsidR="0063427C">
        <w:t>ere</w:t>
      </w:r>
      <w:r w:rsidR="0063427C" w:rsidRPr="00592F74">
        <w:t xml:space="preserve"> no statistically significant </w:t>
      </w:r>
      <w:r w:rsidR="0063427C">
        <w:t xml:space="preserve">differences in </w:t>
      </w:r>
      <w:r w:rsidR="00F42BF5">
        <w:t xml:space="preserve">long-term </w:t>
      </w:r>
      <w:r w:rsidR="0063427C">
        <w:t>smoking cessation rates</w:t>
      </w:r>
      <w:r w:rsidR="00936DDF">
        <w:t xml:space="preserve">, </w:t>
      </w:r>
      <w:r w:rsidR="00936DDF" w:rsidRPr="00B163FE">
        <w:t>serious adverse events</w:t>
      </w:r>
      <w:r w:rsidR="00936DDF">
        <w:t>,</w:t>
      </w:r>
      <w:r w:rsidR="00936DDF" w:rsidRPr="00B163FE">
        <w:t xml:space="preserve"> and treatment withdrawals</w:t>
      </w:r>
      <w:r w:rsidR="0063427C">
        <w:t xml:space="preserve"> between</w:t>
      </w:r>
      <w:r w:rsidR="0063427C" w:rsidRPr="00592F74">
        <w:t xml:space="preserve"> </w:t>
      </w:r>
      <w:r w:rsidR="00275503">
        <w:t>the two treatment arms</w:t>
      </w:r>
      <w:r w:rsidR="00B06B46">
        <w:t xml:space="preserve"> for all comparisons</w:t>
      </w:r>
      <w:r w:rsidR="0063427C" w:rsidRPr="00592F74">
        <w:t xml:space="preserve"> </w:t>
      </w:r>
      <w:r w:rsidR="0063427C">
        <w:t>(</w:t>
      </w:r>
      <w:r w:rsidR="0063427C" w:rsidRPr="00592F74">
        <w:t>gum</w:t>
      </w:r>
      <w:r w:rsidR="0063427C">
        <w:t xml:space="preserve">, </w:t>
      </w:r>
      <w:r w:rsidR="0063427C" w:rsidRPr="00592F74">
        <w:t>nasal spray and</w:t>
      </w:r>
      <w:r w:rsidR="0063427C">
        <w:t xml:space="preserve"> pooled analysis)</w:t>
      </w:r>
      <w:r w:rsidR="00B06B46">
        <w:t xml:space="preserve"> (Lindson et al. 2019)</w:t>
      </w:r>
      <w:r w:rsidR="0063427C">
        <w:t xml:space="preserve">. </w:t>
      </w:r>
    </w:p>
    <w:p w:rsidR="00385284" w:rsidRDefault="00B06B46" w:rsidP="00B45D3F">
      <w:pPr>
        <w:jc w:val="both"/>
      </w:pPr>
      <w:r>
        <w:t>P</w:t>
      </w:r>
      <w:r w:rsidR="00291F32">
        <w:t>reloading use of NRT</w:t>
      </w:r>
      <w:r w:rsidR="004B1C54">
        <w:t xml:space="preserve"> </w:t>
      </w:r>
      <w:r>
        <w:t xml:space="preserve">was </w:t>
      </w:r>
      <w:r w:rsidR="004B1C54">
        <w:t xml:space="preserve">demonstrated </w:t>
      </w:r>
      <w:r w:rsidR="00587DFC">
        <w:t>to</w:t>
      </w:r>
      <w:r w:rsidR="004B1C54">
        <w:t xml:space="preserve"> significantly </w:t>
      </w:r>
      <w:r w:rsidR="00587DFC">
        <w:t>improve</w:t>
      </w:r>
      <w:r w:rsidR="004B1C54">
        <w:t xml:space="preserve"> </w:t>
      </w:r>
      <w:r w:rsidR="00F42BF5">
        <w:t>long-term</w:t>
      </w:r>
      <w:r w:rsidR="004B1C54">
        <w:t xml:space="preserve"> smoking cessation </w:t>
      </w:r>
      <w:r w:rsidR="00587DFC">
        <w:t xml:space="preserve">rates </w:t>
      </w:r>
      <w:r w:rsidR="004B1C54">
        <w:t>compared with standard use of NRT</w:t>
      </w:r>
      <w:r w:rsidR="00587DFC">
        <w:t xml:space="preserve"> (Lindson et al. 2019)</w:t>
      </w:r>
      <w:r w:rsidR="004B1C54">
        <w:t xml:space="preserve">. However, the results were only statistically significant in the NRT </w:t>
      </w:r>
      <w:r w:rsidR="00573F59">
        <w:t>patches</w:t>
      </w:r>
      <w:r w:rsidR="004B1C54">
        <w:t xml:space="preserve"> subgroup and not in the NRT gum or patch in combination with gum subgroups.</w:t>
      </w:r>
      <w:r w:rsidR="00161758">
        <w:t xml:space="preserve"> </w:t>
      </w:r>
      <w:r w:rsidR="004B1C54">
        <w:t xml:space="preserve">The results of the updated re-analysis </w:t>
      </w:r>
      <w:r w:rsidR="000F6242">
        <w:t>(</w:t>
      </w:r>
      <w:r w:rsidR="009C4E2D">
        <w:t xml:space="preserve">adding </w:t>
      </w:r>
      <w:r w:rsidR="000F6242">
        <w:t>Dedert 2018)</w:t>
      </w:r>
      <w:r w:rsidR="009C4E2D">
        <w:t xml:space="preserve"> </w:t>
      </w:r>
      <w:r w:rsidR="004B1C54">
        <w:t xml:space="preserve">for the NRT </w:t>
      </w:r>
      <w:r w:rsidR="00573F59">
        <w:t>patches</w:t>
      </w:r>
      <w:r w:rsidR="004B1C54">
        <w:t xml:space="preserve"> subgroup were consistent with the results from Lindson et al. (2019).</w:t>
      </w:r>
      <w:r w:rsidR="007231A4">
        <w:t xml:space="preserve"> </w:t>
      </w:r>
      <w:r w:rsidR="0098421B">
        <w:t>For safety</w:t>
      </w:r>
      <w:r w:rsidR="00B163FE">
        <w:t>, there was a significantly higher proportion of patients in the preloading arm experiencing palpitations compared with patients in the standard use arm. There were no statistically significant differences in cardiac adverse events, cardiac serious adverse events, overall serious adverse events and treatment withdrawals between the two treatment arms.</w:t>
      </w:r>
      <w:r w:rsidR="00874027">
        <w:t xml:space="preserve"> </w:t>
      </w:r>
      <w:r w:rsidR="00B163FE">
        <w:t>The results of the updated re-analysis for the overall serious adverse events were consistent with the results from Lindson et al. (2019).</w:t>
      </w:r>
    </w:p>
    <w:p w:rsidR="00B163FE" w:rsidRPr="00B163FE" w:rsidRDefault="00080E3F" w:rsidP="00B45D3F">
      <w:pPr>
        <w:jc w:val="both"/>
      </w:pPr>
      <w:r>
        <w:t xml:space="preserve">Based on </w:t>
      </w:r>
      <w:r w:rsidR="00C6595C">
        <w:t xml:space="preserve">evidence </w:t>
      </w:r>
      <w:r w:rsidR="0098421B">
        <w:t>presented</w:t>
      </w:r>
      <w:r>
        <w:t xml:space="preserve"> </w:t>
      </w:r>
      <w:r w:rsidR="006C17A7">
        <w:t>(</w:t>
      </w:r>
      <w:r>
        <w:t xml:space="preserve">Lindson et al. 2019b), </w:t>
      </w:r>
      <w:r w:rsidR="0027681B" w:rsidRPr="0027681B">
        <w:t xml:space="preserve">reduction </w:t>
      </w:r>
      <w:r w:rsidR="00D151B2">
        <w:t xml:space="preserve">(cut down to quit) </w:t>
      </w:r>
      <w:r w:rsidR="0027681B" w:rsidRPr="0027681B">
        <w:t>with pharmacotherapy</w:t>
      </w:r>
      <w:r>
        <w:t xml:space="preserve"> demonstrated a significantly higher rate of smoking cessation </w:t>
      </w:r>
      <w:r w:rsidR="0027681B">
        <w:t>compared with</w:t>
      </w:r>
      <w:r>
        <w:t xml:space="preserve"> reduction alone in </w:t>
      </w:r>
      <w:r w:rsidR="00D151B2">
        <w:t xml:space="preserve">the </w:t>
      </w:r>
      <w:r>
        <w:t>fast acting NRT subgroup</w:t>
      </w:r>
      <w:r w:rsidR="0019289E">
        <w:t xml:space="preserve">, </w:t>
      </w:r>
      <w:r w:rsidR="00D86D1D">
        <w:t>noting that</w:t>
      </w:r>
      <w:r w:rsidR="0019289E">
        <w:t xml:space="preserve"> t</w:t>
      </w:r>
      <w:r>
        <w:t xml:space="preserve">here were no statistically significant differences between the two treatment arms in either combination NRT or NRT </w:t>
      </w:r>
      <w:r w:rsidR="00573F59">
        <w:t>patches</w:t>
      </w:r>
      <w:r>
        <w:t xml:space="preserve"> subgroups. </w:t>
      </w:r>
      <w:r w:rsidR="0019289E">
        <w:t>T</w:t>
      </w:r>
      <w:r w:rsidR="00B163FE">
        <w:t>here was no statistically significant difference between reduction with pharmacotherapy and reduction alone in pre-quit adverse events</w:t>
      </w:r>
      <w:r w:rsidR="00936777">
        <w:t xml:space="preserve"> </w:t>
      </w:r>
      <w:r w:rsidR="00353F79">
        <w:t>(1 RCT</w:t>
      </w:r>
      <w:r w:rsidR="00201092">
        <w:t>; Bolliger 2000a</w:t>
      </w:r>
      <w:r w:rsidR="00353F79">
        <w:t>)</w:t>
      </w:r>
      <w:r w:rsidR="00936777">
        <w:t xml:space="preserve"> and pre-quit serious adverse events</w:t>
      </w:r>
      <w:r w:rsidR="00B163FE">
        <w:t xml:space="preserve">. However, there was a significantly higher proportion of patients in the reduction with pharmacotherapy arm experiencing pre-quit adverse events </w:t>
      </w:r>
      <w:r w:rsidR="00353F79">
        <w:t xml:space="preserve">in </w:t>
      </w:r>
      <w:r w:rsidR="00A626F5">
        <w:t>an</w:t>
      </w:r>
      <w:r w:rsidR="00353F79">
        <w:t xml:space="preserve">other </w:t>
      </w:r>
      <w:r w:rsidR="00760ADB">
        <w:t>study (</w:t>
      </w:r>
      <w:r w:rsidR="000C76CF">
        <w:t xml:space="preserve">1 </w:t>
      </w:r>
      <w:r w:rsidR="00353F79">
        <w:t>RCT</w:t>
      </w:r>
      <w:r w:rsidR="00760ADB">
        <w:t xml:space="preserve">; </w:t>
      </w:r>
      <w:r w:rsidR="00F8055E" w:rsidRPr="00F8055E">
        <w:t>ShiIman 2009)</w:t>
      </w:r>
      <w:r w:rsidR="00353F79">
        <w:t xml:space="preserve"> </w:t>
      </w:r>
      <w:r w:rsidR="00B163FE">
        <w:t xml:space="preserve">compared with patients in the reduction alone arm. </w:t>
      </w:r>
    </w:p>
    <w:p w:rsidR="00130862" w:rsidRDefault="00130862" w:rsidP="00B45D3F">
      <w:pPr>
        <w:jc w:val="both"/>
        <w:rPr>
          <w:b/>
        </w:rPr>
      </w:pPr>
      <w:r>
        <w:rPr>
          <w:b/>
        </w:rPr>
        <w:t>Non-PBS listed NRT dosage forms</w:t>
      </w:r>
    </w:p>
    <w:p w:rsidR="004A3991" w:rsidRDefault="00D151B2" w:rsidP="00B45D3F">
      <w:pPr>
        <w:jc w:val="both"/>
      </w:pPr>
      <w:r>
        <w:t xml:space="preserve">Use of an </w:t>
      </w:r>
      <w:r w:rsidR="003C6765">
        <w:t>NRT inhalator</w:t>
      </w:r>
      <w:r w:rsidR="004D7855">
        <w:t xml:space="preserve"> demonstrated</w:t>
      </w:r>
      <w:r w:rsidR="004D7855" w:rsidRPr="00657867">
        <w:t xml:space="preserve"> </w:t>
      </w:r>
      <w:r w:rsidR="004D7855">
        <w:t>a</w:t>
      </w:r>
      <w:r w:rsidR="004D7855" w:rsidRPr="00657867">
        <w:t xml:space="preserve"> </w:t>
      </w:r>
      <w:r w:rsidR="004D7855" w:rsidRPr="006138C2">
        <w:t xml:space="preserve">statistically significant </w:t>
      </w:r>
      <w:r w:rsidR="0093696A">
        <w:t>improvement</w:t>
      </w:r>
      <w:r w:rsidR="004D7855" w:rsidRPr="006138C2">
        <w:t xml:space="preserve"> </w:t>
      </w:r>
      <w:r w:rsidR="004D7855">
        <w:t xml:space="preserve">in </w:t>
      </w:r>
      <w:r w:rsidR="00F42BF5">
        <w:t xml:space="preserve">long-term </w:t>
      </w:r>
      <w:r w:rsidR="004D7855">
        <w:t xml:space="preserve">smoking cessation rates </w:t>
      </w:r>
      <w:r w:rsidR="005447A4">
        <w:t>compared to placebo</w:t>
      </w:r>
      <w:r w:rsidR="007D5FD3">
        <w:t xml:space="preserve"> (</w:t>
      </w:r>
      <w:r w:rsidR="007D5FD3" w:rsidRPr="00933815">
        <w:t>Hartmann-Boyce et al. 2018</w:t>
      </w:r>
      <w:r w:rsidR="007D5FD3">
        <w:t>)</w:t>
      </w:r>
      <w:r w:rsidR="004D7855">
        <w:t xml:space="preserve">. The results of the updated re-analysis were no longer statistically significant after including the results from </w:t>
      </w:r>
      <w:r w:rsidR="005447A4">
        <w:t>the new study (</w:t>
      </w:r>
      <w:r w:rsidR="004D7855">
        <w:t xml:space="preserve">Oncken et al. 2019). </w:t>
      </w:r>
      <w:r w:rsidR="00F42BF5">
        <w:t>For safety, there were</w:t>
      </w:r>
      <w:r w:rsidR="00F42BF5" w:rsidRPr="00F42BF5">
        <w:t xml:space="preserve"> no statistically significant difference in adverse events between the two treatment arms (based on risk ratio), noting that the results were statistically significant based on risk difference (absolute effect).</w:t>
      </w:r>
    </w:p>
    <w:p w:rsidR="008456D2" w:rsidRDefault="00173129" w:rsidP="00B45D3F">
      <w:pPr>
        <w:jc w:val="both"/>
      </w:pPr>
      <w:r>
        <w:t xml:space="preserve">For the comparison of </w:t>
      </w:r>
      <w:r w:rsidR="00043B53">
        <w:t>inhal</w:t>
      </w:r>
      <w:r w:rsidR="00D420E4">
        <w:t>ator</w:t>
      </w:r>
      <w:r w:rsidR="00043B53">
        <w:t xml:space="preserve"> versus </w:t>
      </w:r>
      <w:r w:rsidR="00573F59">
        <w:t>patches</w:t>
      </w:r>
      <w:r w:rsidR="00043B53">
        <w:t xml:space="preserve">, </w:t>
      </w:r>
      <w:r w:rsidR="003123F1">
        <w:t>there were</w:t>
      </w:r>
      <w:r w:rsidR="004D7855">
        <w:t xml:space="preserve"> no statistically significant difference</w:t>
      </w:r>
      <w:r w:rsidR="003123F1">
        <w:t>s</w:t>
      </w:r>
      <w:r w:rsidR="004D7855">
        <w:t xml:space="preserve"> in </w:t>
      </w:r>
      <w:r w:rsidR="00B50655">
        <w:t xml:space="preserve">long-term </w:t>
      </w:r>
      <w:r w:rsidR="004D7855">
        <w:t xml:space="preserve">smoking cessation rates </w:t>
      </w:r>
      <w:r w:rsidR="001C15E0">
        <w:t>between the two treatment arms</w:t>
      </w:r>
      <w:r w:rsidR="004D7855">
        <w:t>.</w:t>
      </w:r>
      <w:r w:rsidR="00881477">
        <w:t xml:space="preserve"> </w:t>
      </w:r>
      <w:r w:rsidR="006F20E6">
        <w:t>For</w:t>
      </w:r>
      <w:r w:rsidR="00CC26E3">
        <w:t xml:space="preserve"> safety</w:t>
      </w:r>
      <w:r w:rsidR="008456D2">
        <w:t xml:space="preserve">, </w:t>
      </w:r>
      <w:r w:rsidR="006F20E6">
        <w:t>t</w:t>
      </w:r>
      <w:r w:rsidR="006F20E6" w:rsidRPr="006F20E6">
        <w:t>he</w:t>
      </w:r>
      <w:r w:rsidR="00B50655">
        <w:t>re were no serious adverse events reported in either treatment arm</w:t>
      </w:r>
      <w:r w:rsidR="006F20E6" w:rsidRPr="006F20E6">
        <w:t>.</w:t>
      </w:r>
      <w:r w:rsidR="008456D2">
        <w:t xml:space="preserve"> </w:t>
      </w:r>
    </w:p>
    <w:p w:rsidR="00D95CD1" w:rsidRDefault="00D420E4" w:rsidP="00B45D3F">
      <w:pPr>
        <w:jc w:val="both"/>
      </w:pPr>
      <w:r>
        <w:t>N</w:t>
      </w:r>
      <w:r w:rsidR="00291B31">
        <w:t xml:space="preserve">asal spray </w:t>
      </w:r>
      <w:r w:rsidR="00546AC5">
        <w:t>demonstrated</w:t>
      </w:r>
      <w:r w:rsidR="00546AC5" w:rsidRPr="00657867">
        <w:t xml:space="preserve"> </w:t>
      </w:r>
      <w:r w:rsidR="00546AC5">
        <w:t>a</w:t>
      </w:r>
      <w:r w:rsidR="00546AC5" w:rsidRPr="00657867">
        <w:t xml:space="preserve"> </w:t>
      </w:r>
      <w:r w:rsidR="00546AC5" w:rsidRPr="006138C2">
        <w:t xml:space="preserve">statistically significant </w:t>
      </w:r>
      <w:r w:rsidR="00291B31">
        <w:t>benefit</w:t>
      </w:r>
      <w:r w:rsidR="00546AC5" w:rsidRPr="006138C2">
        <w:t xml:space="preserve"> </w:t>
      </w:r>
      <w:r w:rsidR="00546AC5">
        <w:t xml:space="preserve">in </w:t>
      </w:r>
      <w:r w:rsidR="00A30DA1">
        <w:t xml:space="preserve">long-term </w:t>
      </w:r>
      <w:r w:rsidR="00546AC5">
        <w:t xml:space="preserve">smoking cessation rates </w:t>
      </w:r>
      <w:r w:rsidR="00291B31">
        <w:t>compared to placebo</w:t>
      </w:r>
      <w:r w:rsidR="00350424">
        <w:t xml:space="preserve"> (</w:t>
      </w:r>
      <w:r w:rsidR="00350424" w:rsidRPr="00933815">
        <w:t>Hartmann-Boyce et al. 2018</w:t>
      </w:r>
      <w:r w:rsidR="00350424">
        <w:t>)</w:t>
      </w:r>
      <w:r w:rsidR="00291B31">
        <w:t xml:space="preserve">. </w:t>
      </w:r>
      <w:r w:rsidR="00134E10" w:rsidRPr="00134E10">
        <w:t xml:space="preserve">The results of the meta-analysis </w:t>
      </w:r>
      <w:r w:rsidR="00134E10" w:rsidRPr="00134E10">
        <w:lastRenderedPageBreak/>
        <w:t>comprising three RCTs demonstrated a significantly higher incidence of palpitations/chest pains adverse events in the nasal spray arm compared to placebo.</w:t>
      </w:r>
    </w:p>
    <w:p w:rsidR="00546AC5" w:rsidRDefault="00334A75" w:rsidP="00B45D3F">
      <w:pPr>
        <w:jc w:val="both"/>
      </w:pPr>
      <w:r>
        <w:t xml:space="preserve">For the comparison of nasal spray versus </w:t>
      </w:r>
      <w:r w:rsidR="00573F59">
        <w:t>patches</w:t>
      </w:r>
      <w:r>
        <w:t>,</w:t>
      </w:r>
      <w:r w:rsidR="000B181F" w:rsidDel="00334A75">
        <w:t xml:space="preserve"> </w:t>
      </w:r>
      <w:r w:rsidR="00A76608" w:rsidDel="00334A75">
        <w:t>in</w:t>
      </w:r>
      <w:r w:rsidR="00546AC5" w:rsidDel="00334A75">
        <w:t xml:space="preserve"> contrast,</w:t>
      </w:r>
      <w:r w:rsidR="00546AC5">
        <w:t xml:space="preserve"> the results </w:t>
      </w:r>
      <w:r w:rsidR="0093696A">
        <w:t>from</w:t>
      </w:r>
      <w:r w:rsidR="00546AC5">
        <w:t xml:space="preserve"> Lindson et al. (2019) demonstrated no statistically significant difference in </w:t>
      </w:r>
      <w:r w:rsidR="000A66E9">
        <w:t>long-term</w:t>
      </w:r>
      <w:r w:rsidR="00546AC5">
        <w:t xml:space="preserve"> smoking cessation rates </w:t>
      </w:r>
      <w:r>
        <w:t xml:space="preserve">between the two treatment </w:t>
      </w:r>
      <w:r w:rsidR="00A76608">
        <w:t>arms</w:t>
      </w:r>
      <w:r w:rsidR="00A76608" w:rsidDel="00334A75">
        <w:t xml:space="preserve"> when</w:t>
      </w:r>
      <w:r w:rsidR="00546AC5" w:rsidDel="00334A75">
        <w:t xml:space="preserve"> NRT nasal spray </w:t>
      </w:r>
      <w:r w:rsidR="00B05056">
        <w:t>was</w:t>
      </w:r>
      <w:r w:rsidR="00546AC5" w:rsidDel="00334A75">
        <w:t xml:space="preserve"> </w:t>
      </w:r>
      <w:r w:rsidR="0093696A" w:rsidDel="00334A75">
        <w:t>compared to</w:t>
      </w:r>
      <w:r w:rsidR="00546AC5" w:rsidDel="00334A75">
        <w:t xml:space="preserve"> </w:t>
      </w:r>
      <w:r w:rsidR="00573F59">
        <w:t>patches</w:t>
      </w:r>
      <w:r w:rsidR="00546AC5">
        <w:t>.</w:t>
      </w:r>
      <w:r w:rsidR="00536FED" w:rsidRPr="00536FED">
        <w:t xml:space="preserve"> Among studies comparing nasal spray versus </w:t>
      </w:r>
      <w:r w:rsidR="00573F59">
        <w:t>patches</w:t>
      </w:r>
      <w:r w:rsidR="00536FED" w:rsidRPr="00536FED">
        <w:t xml:space="preserve">, Lerman et al. (2004) reported no </w:t>
      </w:r>
      <w:r w:rsidR="00861713">
        <w:t>serious adverse event</w:t>
      </w:r>
      <w:r w:rsidR="00536FED" w:rsidRPr="00536FED">
        <w:t xml:space="preserve">s in </w:t>
      </w:r>
      <w:r w:rsidR="000A66E9">
        <w:t>either treatment</w:t>
      </w:r>
      <w:r w:rsidR="00536FED" w:rsidRPr="00536FED">
        <w:t xml:space="preserve"> arms, while Croghan </w:t>
      </w:r>
      <w:r w:rsidR="00A25C81">
        <w:t>et al. (</w:t>
      </w:r>
      <w:r w:rsidR="00536FED" w:rsidRPr="00536FED">
        <w:t>2003</w:t>
      </w:r>
      <w:r w:rsidR="00A25C81">
        <w:t>)</w:t>
      </w:r>
      <w:r w:rsidR="00536FED" w:rsidRPr="00536FED">
        <w:t xml:space="preserve"> showed </w:t>
      </w:r>
      <w:r w:rsidR="00B05056">
        <w:t xml:space="preserve">a </w:t>
      </w:r>
      <w:r w:rsidR="00536FED" w:rsidRPr="00536FED">
        <w:t>significant</w:t>
      </w:r>
      <w:r w:rsidR="000A66E9">
        <w:t>ly higher rate of</w:t>
      </w:r>
      <w:r w:rsidR="00536FED" w:rsidRPr="00536FED">
        <w:t xml:space="preserve"> treatment withdrawals in </w:t>
      </w:r>
      <w:r w:rsidR="00A257A3">
        <w:t>the nasal spray treatment arm</w:t>
      </w:r>
      <w:r w:rsidR="00536FED" w:rsidRPr="00536FED">
        <w:t>.</w:t>
      </w:r>
    </w:p>
    <w:p w:rsidR="00D32B79" w:rsidRPr="00052113" w:rsidRDefault="00980AA6" w:rsidP="00B45D3F">
      <w:pPr>
        <w:jc w:val="both"/>
        <w:rPr>
          <w:i/>
          <w:u w:val="single"/>
        </w:rPr>
      </w:pPr>
      <w:r>
        <w:t>NRT oral spray</w:t>
      </w:r>
      <w:r w:rsidR="00D32B79">
        <w:t xml:space="preserve"> demonstrated a statistically significant </w:t>
      </w:r>
      <w:r>
        <w:t>benefit</w:t>
      </w:r>
      <w:r w:rsidR="00D32B79">
        <w:t xml:space="preserve"> in </w:t>
      </w:r>
      <w:r w:rsidR="00A257A3">
        <w:t xml:space="preserve">long-term </w:t>
      </w:r>
      <w:r w:rsidR="00D32B79">
        <w:t xml:space="preserve">smoking cessation rates </w:t>
      </w:r>
      <w:r>
        <w:t>compared to placebo</w:t>
      </w:r>
      <w:r w:rsidR="00E50FEB">
        <w:t xml:space="preserve"> (Hartmann-Boyce et al. 2018)</w:t>
      </w:r>
      <w:r w:rsidR="00D32B79">
        <w:t>. The results of the updated re-analysis were consistent with the results from Hartmann-Boyce et al. (2018) after including the results from Nides et al. (2020). It was noted that the results of the updated re-analysis were not statistically significant based on risk difference (absolute effect).</w:t>
      </w:r>
    </w:p>
    <w:p w:rsidR="00772E34" w:rsidRPr="003D29D3" w:rsidRDefault="00004A71" w:rsidP="00772E34">
      <w:r w:rsidRPr="009F6AEB">
        <w:t xml:space="preserve">There were no safety results reported from Hartmann-Boyce et al. </w:t>
      </w:r>
      <w:r w:rsidR="00FA1A81">
        <w:t>(</w:t>
      </w:r>
      <w:r w:rsidRPr="009F6AEB">
        <w:t>2018</w:t>
      </w:r>
      <w:r w:rsidR="00FA1A81">
        <w:t>)</w:t>
      </w:r>
      <w:r w:rsidRPr="009F6AEB">
        <w:t xml:space="preserve"> for the study comparing oral spray versus placebo.</w:t>
      </w:r>
      <w:r>
        <w:t xml:space="preserve"> </w:t>
      </w:r>
      <w:r w:rsidR="00E14540">
        <w:t>I</w:t>
      </w:r>
      <w:r w:rsidR="00772E34">
        <w:t xml:space="preserve">n Nides et al. (2020), a </w:t>
      </w:r>
      <w:r w:rsidR="00772E34" w:rsidRPr="003D29D3">
        <w:t xml:space="preserve">significantly higher proportion of patients in the </w:t>
      </w:r>
      <w:r w:rsidR="00772E34">
        <w:t>oral spray</w:t>
      </w:r>
      <w:r w:rsidR="00772E34" w:rsidRPr="003D29D3">
        <w:t xml:space="preserve"> arm experienced any adverse events</w:t>
      </w:r>
      <w:r w:rsidR="00772E34">
        <w:t xml:space="preserve"> </w:t>
      </w:r>
      <w:r w:rsidR="00772E34" w:rsidRPr="003D29D3">
        <w:t>and discontinuation due to adverse events compared with patients in the placebo arm</w:t>
      </w:r>
      <w:r w:rsidR="00772E34">
        <w:t xml:space="preserve">. There were no patients in either arm </w:t>
      </w:r>
      <w:r w:rsidR="00B05056">
        <w:t xml:space="preserve">who </w:t>
      </w:r>
      <w:r w:rsidR="00772E34">
        <w:t>experienc</w:t>
      </w:r>
      <w:r w:rsidR="00B05056">
        <w:t>ed</w:t>
      </w:r>
      <w:r w:rsidR="00772E34">
        <w:t xml:space="preserve"> treatment-related serious adverse event.</w:t>
      </w:r>
    </w:p>
    <w:p w:rsidR="00546AC5" w:rsidRPr="007D0F01" w:rsidRDefault="005A3F39" w:rsidP="00B45D3F">
      <w:pPr>
        <w:jc w:val="both"/>
      </w:pPr>
      <w:r>
        <w:rPr>
          <w:rFonts w:asciiTheme="minorHAnsi" w:eastAsia="Times New Roman" w:hAnsiTheme="minorHAnsi" w:cs="Times New Roman"/>
          <w:szCs w:val="18"/>
        </w:rPr>
        <w:t>R</w:t>
      </w:r>
      <w:r w:rsidR="00230748">
        <w:t xml:space="preserve">esults </w:t>
      </w:r>
      <w:r>
        <w:t xml:space="preserve">from </w:t>
      </w:r>
      <w:r w:rsidR="008F086A" w:rsidRPr="00F56A95">
        <w:rPr>
          <w:rFonts w:asciiTheme="minorHAnsi" w:eastAsia="Times New Roman" w:hAnsiTheme="minorHAnsi" w:cs="Times New Roman"/>
          <w:szCs w:val="18"/>
        </w:rPr>
        <w:t xml:space="preserve">Hartmann-Boyce et al. </w:t>
      </w:r>
      <w:r w:rsidRPr="00F56A95">
        <w:rPr>
          <w:rFonts w:asciiTheme="minorHAnsi" w:eastAsia="Times New Roman" w:hAnsiTheme="minorHAnsi" w:cs="Times New Roman"/>
          <w:szCs w:val="18"/>
        </w:rPr>
        <w:t>2018</w:t>
      </w:r>
      <w:r w:rsidR="00DB4B7B">
        <w:rPr>
          <w:rFonts w:asciiTheme="minorHAnsi" w:eastAsia="Times New Roman" w:hAnsiTheme="minorHAnsi" w:cs="Times New Roman"/>
          <w:szCs w:val="18"/>
        </w:rPr>
        <w:t xml:space="preserve"> </w:t>
      </w:r>
      <w:r w:rsidR="00230748">
        <w:t>demonstrated</w:t>
      </w:r>
      <w:r w:rsidR="00230748" w:rsidRPr="00657867">
        <w:t xml:space="preserve"> </w:t>
      </w:r>
      <w:r w:rsidR="00230748">
        <w:t>no</w:t>
      </w:r>
      <w:r w:rsidR="00230748" w:rsidRPr="006138C2">
        <w:t xml:space="preserve"> statistically significant di</w:t>
      </w:r>
      <w:r w:rsidR="00230748">
        <w:t>ff</w:t>
      </w:r>
      <w:r w:rsidR="00230748" w:rsidRPr="006138C2">
        <w:t xml:space="preserve">erence </w:t>
      </w:r>
      <w:r w:rsidR="00230748">
        <w:t xml:space="preserve">in </w:t>
      </w:r>
      <w:r w:rsidR="008F086A">
        <w:t xml:space="preserve">long-term </w:t>
      </w:r>
      <w:r w:rsidR="00230748">
        <w:t xml:space="preserve">smoking cessation rates </w:t>
      </w:r>
      <w:r w:rsidR="00207FBC">
        <w:t>between</w:t>
      </w:r>
      <w:r w:rsidR="008F086A">
        <w:t xml:space="preserve"> inhalator + patch </w:t>
      </w:r>
      <w:r w:rsidR="00207FBC">
        <w:t>and</w:t>
      </w:r>
      <w:r w:rsidR="008F086A">
        <w:t xml:space="preserve"> placebo</w:t>
      </w:r>
      <w:r w:rsidR="00230748">
        <w:t xml:space="preserve">, although the results numerically favoured inhalator and patch combination. </w:t>
      </w:r>
      <w:r w:rsidR="008F086A">
        <w:t xml:space="preserve">In terms of safety, </w:t>
      </w:r>
      <w:r w:rsidR="008F086A">
        <w:rPr>
          <w:rFonts w:asciiTheme="minorHAnsi" w:eastAsia="Times New Roman" w:hAnsiTheme="minorHAnsi" w:cs="Times New Roman"/>
          <w:szCs w:val="18"/>
        </w:rPr>
        <w:t>n</w:t>
      </w:r>
      <w:r w:rsidR="0076604A" w:rsidRPr="00F56A95">
        <w:rPr>
          <w:rFonts w:asciiTheme="minorHAnsi" w:eastAsia="Times New Roman" w:hAnsiTheme="minorHAnsi" w:cs="Times New Roman"/>
          <w:szCs w:val="18"/>
        </w:rPr>
        <w:t xml:space="preserve">o adverse events were reported by Hartmann-Boyce et al. (2018) </w:t>
      </w:r>
      <w:r w:rsidR="00656059">
        <w:rPr>
          <w:rFonts w:asciiTheme="minorHAnsi" w:eastAsia="Times New Roman" w:hAnsiTheme="minorHAnsi" w:cs="Times New Roman"/>
          <w:szCs w:val="18"/>
        </w:rPr>
        <w:t>nor Hand et al. (2002</w:t>
      </w:r>
      <w:r w:rsidR="0076604A" w:rsidRPr="00F56A95">
        <w:rPr>
          <w:rFonts w:asciiTheme="minorHAnsi" w:eastAsia="Times New Roman" w:hAnsiTheme="minorHAnsi" w:cs="Times New Roman"/>
          <w:szCs w:val="18"/>
        </w:rPr>
        <w:t>) for the comparison of inhalator + patch versus placebo.</w:t>
      </w:r>
      <w:r w:rsidR="0076604A" w:rsidRPr="00132A9A">
        <w:rPr>
          <w:rFonts w:asciiTheme="minorHAnsi" w:eastAsia="Times New Roman" w:hAnsiTheme="minorHAnsi" w:cs="Times New Roman"/>
          <w:b/>
          <w:bCs/>
          <w:szCs w:val="18"/>
        </w:rPr>
        <w:t xml:space="preserve"> </w:t>
      </w:r>
    </w:p>
    <w:p w:rsidR="000D728E" w:rsidRDefault="000D728E" w:rsidP="00956FD5">
      <w:pPr>
        <w:sectPr w:rsidR="000D728E" w:rsidSect="006356D2">
          <w:pgSz w:w="11906" w:h="16838"/>
          <w:pgMar w:top="1440" w:right="1440" w:bottom="1440" w:left="1440" w:header="708" w:footer="708" w:gutter="0"/>
          <w:cols w:space="708"/>
          <w:titlePg/>
          <w:docGrid w:linePitch="360"/>
        </w:sectPr>
      </w:pPr>
    </w:p>
    <w:p w:rsidR="0049018A" w:rsidRDefault="00983B47" w:rsidP="00944A49">
      <w:pPr>
        <w:pStyle w:val="Heading3"/>
      </w:pPr>
      <w:bookmarkStart w:id="232" w:name="_Ref61966685"/>
      <w:bookmarkStart w:id="233" w:name="_Ref61966762"/>
      <w:bookmarkStart w:id="234" w:name="_Toc72850861"/>
      <w:bookmarkStart w:id="235" w:name="_Toc73525626"/>
      <w:r>
        <w:lastRenderedPageBreak/>
        <w:t>Behavioural interventions in combination with pharmacotherapies</w:t>
      </w:r>
      <w:bookmarkEnd w:id="232"/>
      <w:bookmarkEnd w:id="233"/>
      <w:bookmarkEnd w:id="234"/>
      <w:bookmarkEnd w:id="235"/>
    </w:p>
    <w:p w:rsidR="00256603" w:rsidRDefault="00EF0051" w:rsidP="008D43F8">
      <w:r>
        <w:t>Th</w:t>
      </w:r>
      <w:r w:rsidR="001E784D">
        <w:t>e</w:t>
      </w:r>
      <w:r>
        <w:t xml:space="preserve"> </w:t>
      </w:r>
      <w:r w:rsidR="00D9524F">
        <w:t xml:space="preserve">aim of this </w:t>
      </w:r>
      <w:r>
        <w:t xml:space="preserve">section </w:t>
      </w:r>
      <w:r w:rsidR="00D9524F">
        <w:t>was</w:t>
      </w:r>
      <w:r>
        <w:t xml:space="preserve"> to e</w:t>
      </w:r>
      <w:r w:rsidRPr="006B1A56">
        <w:t>xamine the importance of comprehensive support and counselling in combination with pharmacotherapies</w:t>
      </w:r>
      <w:r>
        <w:t xml:space="preserve">. </w:t>
      </w:r>
      <w:r w:rsidR="009768CC">
        <w:t xml:space="preserve">In this report, </w:t>
      </w:r>
      <w:r w:rsidR="000128B6">
        <w:t xml:space="preserve">only studies that </w:t>
      </w:r>
      <w:r w:rsidR="009B7068">
        <w:t>assess</w:t>
      </w:r>
      <w:r w:rsidR="006778ED">
        <w:t>ed</w:t>
      </w:r>
      <w:r w:rsidR="00F90691">
        <w:t xml:space="preserve"> the</w:t>
      </w:r>
      <w:r w:rsidR="00617049">
        <w:t xml:space="preserve"> comparative eff</w:t>
      </w:r>
      <w:r w:rsidR="00411104">
        <w:t>icacy</w:t>
      </w:r>
      <w:r w:rsidR="00647D61">
        <w:t xml:space="preserve"> of behavioural interventions</w:t>
      </w:r>
      <w:r w:rsidR="00744C23">
        <w:t xml:space="preserve"> versus minimal or no behavioural interventions (both</w:t>
      </w:r>
      <w:r w:rsidR="00647D61">
        <w:t xml:space="preserve"> in combination with pharmacotherapies</w:t>
      </w:r>
      <w:r w:rsidR="00744C23">
        <w:t>)</w:t>
      </w:r>
      <w:r w:rsidR="00647D61">
        <w:t xml:space="preserve"> were included. </w:t>
      </w:r>
      <w:r w:rsidR="00380BE0">
        <w:t xml:space="preserve">Studies that </w:t>
      </w:r>
      <w:r w:rsidR="0089457E">
        <w:t>compared</w:t>
      </w:r>
      <w:r w:rsidR="00380BE0">
        <w:t xml:space="preserve"> the different types of behavioural strategies were </w:t>
      </w:r>
      <w:r w:rsidR="00916BC9">
        <w:t>included in</w:t>
      </w:r>
      <w:r w:rsidR="00091EE2">
        <w:t xml:space="preserve"> th</w:t>
      </w:r>
      <w:r w:rsidR="00452F38">
        <w:t>e search strategy</w:t>
      </w:r>
      <w:r w:rsidR="00916BC9">
        <w:t>. However</w:t>
      </w:r>
      <w:r w:rsidR="00452F38">
        <w:t xml:space="preserve">, no review was identified that examined the comparative effectiveness and safety of different behavioural </w:t>
      </w:r>
      <w:r w:rsidR="00916BC9">
        <w:t xml:space="preserve">strategies used in conjunction with pharmacotherapy. </w:t>
      </w:r>
      <w:r w:rsidR="00EB073B">
        <w:t>.</w:t>
      </w:r>
    </w:p>
    <w:p w:rsidR="00632617" w:rsidRPr="00EF0051" w:rsidRDefault="009B02C3" w:rsidP="008D43F8">
      <w:r w:rsidRPr="00F414F9">
        <w:t>To access PBS-subsidised NRT</w:t>
      </w:r>
      <w:r w:rsidR="00C70C9E" w:rsidRPr="00F414F9">
        <w:t xml:space="preserve"> on the general and repatriation schedules</w:t>
      </w:r>
      <w:r w:rsidRPr="00F414F9">
        <w:t>, patients must</w:t>
      </w:r>
      <w:r w:rsidR="004450DB" w:rsidRPr="00F414F9">
        <w:t xml:space="preserve"> have entered </w:t>
      </w:r>
      <w:r w:rsidR="00FA193D" w:rsidRPr="00F414F9">
        <w:t xml:space="preserve">or be </w:t>
      </w:r>
      <w:r w:rsidR="009E0648" w:rsidRPr="00F414F9">
        <w:t xml:space="preserve">entering </w:t>
      </w:r>
      <w:r w:rsidR="0089186E" w:rsidRPr="00F414F9">
        <w:t xml:space="preserve">into </w:t>
      </w:r>
      <w:r w:rsidR="004450DB" w:rsidRPr="00F414F9">
        <w:t>a</w:t>
      </w:r>
      <w:r w:rsidR="00DE1DAC" w:rsidRPr="00F414F9">
        <w:t xml:space="preserve"> </w:t>
      </w:r>
      <w:r w:rsidR="002813FE" w:rsidRPr="00F414F9">
        <w:t xml:space="preserve">comprehensive </w:t>
      </w:r>
      <w:r w:rsidRPr="00F414F9">
        <w:t>support and counselling</w:t>
      </w:r>
      <w:r w:rsidR="004450DB" w:rsidRPr="00F414F9">
        <w:t xml:space="preserve"> p</w:t>
      </w:r>
      <w:r w:rsidR="00611BBF" w:rsidRPr="00F414F9">
        <w:t>rogram</w:t>
      </w:r>
      <w:r w:rsidR="00821286" w:rsidRPr="00F414F9">
        <w:t>. D</w:t>
      </w:r>
      <w:r w:rsidR="00611BBF" w:rsidRPr="00F414F9">
        <w:t xml:space="preserve">etails about the program </w:t>
      </w:r>
      <w:r w:rsidR="0089186E" w:rsidRPr="00F414F9">
        <w:t>must</w:t>
      </w:r>
      <w:r w:rsidR="00803125" w:rsidRPr="00F414F9">
        <w:t xml:space="preserve"> be </w:t>
      </w:r>
      <w:r w:rsidR="00611BBF" w:rsidRPr="00F414F9">
        <w:t xml:space="preserve">documented in the </w:t>
      </w:r>
      <w:r w:rsidR="001E2565" w:rsidRPr="00F414F9">
        <w:t>patient’s medical records</w:t>
      </w:r>
      <w:r w:rsidR="00803125" w:rsidRPr="00F414F9">
        <w:t xml:space="preserve"> under the </w:t>
      </w:r>
      <w:r w:rsidR="001E2565" w:rsidRPr="00F414F9">
        <w:t xml:space="preserve">general schedule only. For the </w:t>
      </w:r>
      <w:r w:rsidR="008424DC" w:rsidRPr="008424DC">
        <w:t>Aboriginal and Torres Strait Islander</w:t>
      </w:r>
      <w:r w:rsidR="001E2565" w:rsidRPr="00F414F9">
        <w:t xml:space="preserve"> listing</w:t>
      </w:r>
      <w:r w:rsidR="003908D8">
        <w:t>s</w:t>
      </w:r>
      <w:r w:rsidR="001E2565" w:rsidRPr="00F414F9">
        <w:t xml:space="preserve">, </w:t>
      </w:r>
      <w:r w:rsidR="00E57E40" w:rsidRPr="00F414F9">
        <w:t>the prescribing note indicate</w:t>
      </w:r>
      <w:r w:rsidR="00FC276D">
        <w:t>d</w:t>
      </w:r>
      <w:r w:rsidR="00E57E40" w:rsidRPr="00F414F9">
        <w:t xml:space="preserve"> </w:t>
      </w:r>
      <w:r w:rsidR="00803125" w:rsidRPr="00F414F9">
        <w:t>“</w:t>
      </w:r>
      <w:r w:rsidR="000A01BC" w:rsidRPr="00F414F9">
        <w:t>improved benefit</w:t>
      </w:r>
      <w:r w:rsidR="007E31C5" w:rsidRPr="00F414F9">
        <w:t xml:space="preserve"> from NRT if used in conjunction with </w:t>
      </w:r>
      <w:r w:rsidR="00632617" w:rsidRPr="00F414F9">
        <w:t>a comprehensive support and counselling program</w:t>
      </w:r>
      <w:r w:rsidR="00803125" w:rsidRPr="00F414F9">
        <w:t>”</w:t>
      </w:r>
      <w:r w:rsidR="00632617" w:rsidRPr="00F414F9">
        <w:t>.</w:t>
      </w:r>
    </w:p>
    <w:p w:rsidR="00861B45" w:rsidRPr="00F414F9" w:rsidRDefault="007660F0" w:rsidP="008D43F8">
      <w:r w:rsidRPr="00F414F9">
        <w:t xml:space="preserve">For bupropion and varenicline, </w:t>
      </w:r>
      <w:r w:rsidR="00F5744C" w:rsidRPr="00F414F9">
        <w:t xml:space="preserve">the PBS treatment criteria </w:t>
      </w:r>
      <w:r w:rsidR="00CA581F" w:rsidRPr="00F414F9">
        <w:t xml:space="preserve">also </w:t>
      </w:r>
      <w:r w:rsidR="00F5744C" w:rsidRPr="00F414F9">
        <w:t xml:space="preserve">indicated that </w:t>
      </w:r>
      <w:r w:rsidR="00CA581F" w:rsidRPr="00F414F9">
        <w:t xml:space="preserve">the patient must be </w:t>
      </w:r>
      <w:r w:rsidR="000D332A" w:rsidRPr="00F414F9">
        <w:t>undergoing concurrent</w:t>
      </w:r>
      <w:r w:rsidR="007E4D7C" w:rsidRPr="00F414F9">
        <w:t xml:space="preserve"> counselling for smoking cessation</w:t>
      </w:r>
      <w:r w:rsidR="003E60F4" w:rsidRPr="00F414F9">
        <w:t xml:space="preserve"> through</w:t>
      </w:r>
      <w:r w:rsidR="0087592E" w:rsidRPr="00F414F9">
        <w:t xml:space="preserve"> </w:t>
      </w:r>
      <w:r w:rsidR="003E60F4" w:rsidRPr="00F414F9">
        <w:t>a comprehensive counselling and support program</w:t>
      </w:r>
      <w:r w:rsidR="00F93AC9" w:rsidRPr="00F414F9">
        <w:t>. For</w:t>
      </w:r>
      <w:r w:rsidR="00821286" w:rsidRPr="00F414F9">
        <w:t xml:space="preserve"> varenicline, </w:t>
      </w:r>
      <w:r w:rsidR="00F93AC9" w:rsidRPr="00F414F9">
        <w:t xml:space="preserve">patients could also be </w:t>
      </w:r>
      <w:r w:rsidR="00550447" w:rsidRPr="00F414F9">
        <w:t xml:space="preserve">about to enter </w:t>
      </w:r>
      <w:r w:rsidR="00A0066F" w:rsidRPr="00F414F9">
        <w:t>such a program at the time of treatment initiation</w:t>
      </w:r>
      <w:r w:rsidR="001E7766" w:rsidRPr="00F414F9">
        <w:t>. Details of the program w</w:t>
      </w:r>
      <w:r w:rsidR="003908D8">
        <w:t>ere</w:t>
      </w:r>
      <w:r w:rsidR="001E7766" w:rsidRPr="00F414F9">
        <w:t xml:space="preserve"> required to be entered into patients</w:t>
      </w:r>
      <w:r w:rsidR="00A85AE0" w:rsidRPr="00F414F9">
        <w:t>’</w:t>
      </w:r>
      <w:r w:rsidR="001E7766" w:rsidRPr="00F414F9">
        <w:t xml:space="preserve"> medical records </w:t>
      </w:r>
      <w:r w:rsidR="00F93AC9" w:rsidRPr="00F414F9">
        <w:t xml:space="preserve">upon initiation of bupropion </w:t>
      </w:r>
      <w:r w:rsidR="006765F8" w:rsidRPr="00F414F9">
        <w:t>or varenicline but not during other treatment phases.</w:t>
      </w:r>
      <w:r w:rsidR="001E7766" w:rsidRPr="00F414F9">
        <w:t xml:space="preserve"> </w:t>
      </w:r>
      <w:r w:rsidR="006765F8" w:rsidRPr="00F414F9">
        <w:t>Use of a</w:t>
      </w:r>
      <w:r w:rsidR="001E7766" w:rsidRPr="00F414F9">
        <w:t xml:space="preserve"> </w:t>
      </w:r>
      <w:r w:rsidR="00A85AE0" w:rsidRPr="00F414F9">
        <w:t>counselling and support program was also required throughout the course</w:t>
      </w:r>
      <w:r w:rsidR="00A0066F" w:rsidRPr="00F414F9">
        <w:t xml:space="preserve"> of treatment</w:t>
      </w:r>
      <w:r w:rsidR="00861B45" w:rsidRPr="00F414F9">
        <w:t xml:space="preserve"> with varenicline or bupropion</w:t>
      </w:r>
      <w:r w:rsidR="00A0066F" w:rsidRPr="00F414F9">
        <w:t>.</w:t>
      </w:r>
    </w:p>
    <w:p w:rsidR="0033475C" w:rsidRDefault="00CA16FF" w:rsidP="008D43F8">
      <w:r w:rsidRPr="00F414F9">
        <w:t xml:space="preserve">Specific details about the nature of </w:t>
      </w:r>
      <w:r w:rsidR="00493CF9" w:rsidRPr="00F414F9">
        <w:t xml:space="preserve">the support and counselling </w:t>
      </w:r>
      <w:r w:rsidR="003401E5" w:rsidRPr="00F414F9">
        <w:t xml:space="preserve">program </w:t>
      </w:r>
      <w:r w:rsidR="00FC276D">
        <w:t>were</w:t>
      </w:r>
      <w:r w:rsidR="00FC276D" w:rsidRPr="00F414F9">
        <w:t xml:space="preserve"> </w:t>
      </w:r>
      <w:r w:rsidR="003401E5" w:rsidRPr="00F414F9">
        <w:t>not articulated in the PBS listings for smoking cessation therapies.</w:t>
      </w:r>
    </w:p>
    <w:p w:rsidR="00846CB6" w:rsidRDefault="00DD3A5D" w:rsidP="00846CB6">
      <w:r>
        <w:t>A s</w:t>
      </w:r>
      <w:r w:rsidR="00846CB6">
        <w:t xml:space="preserve">ummary of behavioural interventions included in the primary evidence </w:t>
      </w:r>
      <w:r w:rsidR="00933C84">
        <w:t>for bupropion, varenicline and NRT</w:t>
      </w:r>
      <w:r w:rsidR="00846CB6">
        <w:t xml:space="preserve"> </w:t>
      </w:r>
      <w:r w:rsidR="00334B59">
        <w:t>patches</w:t>
      </w:r>
      <w:r w:rsidR="00846CB6">
        <w:t xml:space="preserve"> reviewed by PBAC (5 RCTs) is presented in</w:t>
      </w:r>
      <w:r w:rsidR="00240680">
        <w:t xml:space="preserve"> </w:t>
      </w:r>
      <w:r w:rsidR="003C4A1C">
        <w:t xml:space="preserve">Table </w:t>
      </w:r>
      <w:r w:rsidR="003C4A1C">
        <w:rPr>
          <w:noProof/>
        </w:rPr>
        <w:t>116</w:t>
      </w:r>
      <w:r w:rsidR="00846CB6">
        <w:t xml:space="preserve">. </w:t>
      </w:r>
      <w:r w:rsidR="00BA18C8">
        <w:t>T</w:t>
      </w:r>
      <w:r w:rsidR="00846CB6">
        <w:t xml:space="preserve">he behavioural interventions </w:t>
      </w:r>
      <w:r w:rsidR="00BA18C8">
        <w:t>provided in the</w:t>
      </w:r>
      <w:r w:rsidR="00736AFB">
        <w:t>se</w:t>
      </w:r>
      <w:r w:rsidR="00BA18C8">
        <w:t xml:space="preserve"> stud</w:t>
      </w:r>
      <w:r w:rsidR="00736AFB">
        <w:t>ies</w:t>
      </w:r>
      <w:r w:rsidR="00BA18C8">
        <w:t xml:space="preserve"> </w:t>
      </w:r>
      <w:r w:rsidR="00846CB6">
        <w:t xml:space="preserve">comprised brief individual counselling sessions (10 </w:t>
      </w:r>
      <w:r w:rsidR="0069210E">
        <w:t>to 15</w:t>
      </w:r>
      <w:r w:rsidR="00846CB6">
        <w:t xml:space="preserve"> minutes or less) </w:t>
      </w:r>
      <w:r w:rsidR="00EC4712">
        <w:t xml:space="preserve">administered to both arms </w:t>
      </w:r>
      <w:r w:rsidR="00846CB6">
        <w:t>at each follow-up visit. Only one RCT (</w:t>
      </w:r>
      <w:r w:rsidR="00846CB6" w:rsidRPr="00FC1131">
        <w:t>Gonzales 2006</w:t>
      </w:r>
      <w:r w:rsidR="00846CB6">
        <w:t>) reported that the counselling sessions were standardised, and one RCT (</w:t>
      </w:r>
      <w:r w:rsidR="008846EB">
        <w:rPr>
          <w:noProof/>
          <w:color w:val="000000"/>
          <w:highlight w:val="black"/>
        </w:rPr>
        <w:t>'''''''''''''''' '''''''''</w:t>
      </w:r>
      <w:r w:rsidR="00846CB6">
        <w:t xml:space="preserve">) </w:t>
      </w:r>
      <w:r w:rsidR="00CA404F">
        <w:t>reported</w:t>
      </w:r>
      <w:r w:rsidR="00846CB6">
        <w:t xml:space="preserve"> the counselling topics </w:t>
      </w:r>
      <w:r w:rsidR="00846CB6" w:rsidRPr="00A21E99">
        <w:t>included motivation, identification of smoking triggers, coping responses, weight management, and use of the medications.</w:t>
      </w:r>
      <w:r w:rsidR="000B62B1">
        <w:t xml:space="preserve"> </w:t>
      </w:r>
      <w:r w:rsidR="00ED6540">
        <w:t>I</w:t>
      </w:r>
      <w:r w:rsidR="00846CB6">
        <w:t xml:space="preserve">n four </w:t>
      </w:r>
      <w:r w:rsidR="0032641A">
        <w:t>studie</w:t>
      </w:r>
      <w:r w:rsidR="00846CB6">
        <w:t>s (</w:t>
      </w:r>
      <w:r w:rsidR="008846EB">
        <w:rPr>
          <w:noProof/>
          <w:color w:val="000000"/>
          <w:highlight w:val="black"/>
        </w:rPr>
        <w:t>'''''''''''''' '''''''''''' '''''''' '''''''''''</w:t>
      </w:r>
      <w:r w:rsidR="00846CB6">
        <w:t xml:space="preserve"> </w:t>
      </w:r>
      <w:r w:rsidR="00846CB6" w:rsidRPr="00476421">
        <w:t>Gonzales 2006</w:t>
      </w:r>
      <w:r w:rsidR="00846CB6">
        <w:t xml:space="preserve"> and </w:t>
      </w:r>
      <w:r w:rsidR="00846CB6" w:rsidRPr="00E026E3">
        <w:t>Aubin 2008)</w:t>
      </w:r>
      <w:r w:rsidR="00ED6540">
        <w:t xml:space="preserve">, </w:t>
      </w:r>
      <w:r w:rsidR="00ED6540" w:rsidRPr="00ED6540">
        <w:t>self-help material was provided at baseline in addition to counselling</w:t>
      </w:r>
      <w:r w:rsidR="00846CB6">
        <w:t xml:space="preserve">. </w:t>
      </w:r>
    </w:p>
    <w:p w:rsidR="00240680" w:rsidRDefault="00240680" w:rsidP="00240680">
      <w:pPr>
        <w:pStyle w:val="Caption"/>
        <w:keepNext/>
      </w:pPr>
      <w:bookmarkStart w:id="236" w:name="_Ref66300944"/>
      <w:r>
        <w:t xml:space="preserve">Table </w:t>
      </w:r>
      <w:r w:rsidR="003C4A1C">
        <w:rPr>
          <w:noProof/>
        </w:rPr>
        <w:t>116</w:t>
      </w:r>
      <w:bookmarkEnd w:id="236"/>
      <w:r>
        <w:t xml:space="preserve">: </w:t>
      </w:r>
      <w:r w:rsidRPr="00173450">
        <w:t>Summary of behavioural interventions provided in the pivotal PBAC evidence</w:t>
      </w:r>
    </w:p>
    <w:tbl>
      <w:tblPr>
        <w:tblStyle w:val="TableGrid"/>
        <w:tblW w:w="0" w:type="auto"/>
        <w:tblLayout w:type="fixed"/>
        <w:tblLook w:val="04A0" w:firstRow="1" w:lastRow="0" w:firstColumn="1" w:lastColumn="0" w:noHBand="0" w:noVBand="1"/>
      </w:tblPr>
      <w:tblGrid>
        <w:gridCol w:w="1980"/>
        <w:gridCol w:w="4678"/>
        <w:gridCol w:w="2358"/>
      </w:tblGrid>
      <w:tr w:rsidR="00240680" w:rsidTr="008846EB">
        <w:tc>
          <w:tcPr>
            <w:tcW w:w="1980" w:type="dxa"/>
            <w:shd w:val="clear" w:color="auto" w:fill="BFBFBF" w:themeFill="background1" w:themeFillShade="BF"/>
          </w:tcPr>
          <w:p w:rsidR="00240680" w:rsidRPr="0004728C" w:rsidRDefault="00240680" w:rsidP="002321A9">
            <w:pPr>
              <w:rPr>
                <w:b/>
                <w:bCs/>
              </w:rPr>
            </w:pPr>
            <w:r w:rsidRPr="0004728C">
              <w:rPr>
                <w:b/>
                <w:bCs/>
              </w:rPr>
              <w:t>Study</w:t>
            </w:r>
          </w:p>
        </w:tc>
        <w:tc>
          <w:tcPr>
            <w:tcW w:w="4678" w:type="dxa"/>
            <w:shd w:val="clear" w:color="auto" w:fill="BFBFBF" w:themeFill="background1" w:themeFillShade="BF"/>
          </w:tcPr>
          <w:p w:rsidR="00240680" w:rsidRPr="0004728C" w:rsidRDefault="00240680" w:rsidP="002321A9">
            <w:pPr>
              <w:jc w:val="center"/>
              <w:rPr>
                <w:b/>
                <w:bCs/>
              </w:rPr>
            </w:pPr>
            <w:r w:rsidRPr="0004728C">
              <w:rPr>
                <w:rFonts w:eastAsia="MS Mincho"/>
                <w:b/>
                <w:bCs/>
              </w:rPr>
              <w:t>Intervention and comparator</w:t>
            </w:r>
          </w:p>
        </w:tc>
        <w:tc>
          <w:tcPr>
            <w:tcW w:w="2358" w:type="dxa"/>
            <w:shd w:val="clear" w:color="auto" w:fill="BFBFBF" w:themeFill="background1" w:themeFillShade="BF"/>
          </w:tcPr>
          <w:p w:rsidR="00240680" w:rsidRPr="0004728C" w:rsidRDefault="00240680" w:rsidP="002321A9">
            <w:pPr>
              <w:jc w:val="center"/>
              <w:rPr>
                <w:b/>
                <w:bCs/>
              </w:rPr>
            </w:pPr>
            <w:r w:rsidRPr="0004728C">
              <w:rPr>
                <w:rFonts w:eastAsia="MS Mincho"/>
                <w:b/>
                <w:bCs/>
              </w:rPr>
              <w:t>Behavioural intervention</w:t>
            </w:r>
          </w:p>
        </w:tc>
      </w:tr>
      <w:tr w:rsidR="00240680" w:rsidTr="008846EB">
        <w:tc>
          <w:tcPr>
            <w:tcW w:w="1980" w:type="dxa"/>
          </w:tcPr>
          <w:p w:rsidR="00240680" w:rsidRPr="008846EB" w:rsidRDefault="008846EB" w:rsidP="002321A9">
            <w:pPr>
              <w:rPr>
                <w:rFonts w:eastAsia="MS Mincho"/>
                <w:highlight w:val="black"/>
              </w:rPr>
            </w:pPr>
            <w:r>
              <w:rPr>
                <w:rFonts w:eastAsia="MS Mincho"/>
                <w:noProof/>
                <w:color w:val="000000"/>
                <w:highlight w:val="black"/>
              </w:rPr>
              <w:t>''''''''' '''''''''''</w:t>
            </w:r>
          </w:p>
        </w:tc>
        <w:tc>
          <w:tcPr>
            <w:tcW w:w="4678" w:type="dxa"/>
          </w:tcPr>
          <w:p w:rsidR="00240680" w:rsidRPr="008846EB" w:rsidRDefault="008846EB" w:rsidP="008846EB">
            <w:pPr>
              <w:pStyle w:val="Tablewriting"/>
              <w:ind w:left="360" w:hanging="360"/>
              <w:rPr>
                <w:rFonts w:eastAsia="MS Mincho"/>
                <w:highlight w:val="black"/>
              </w:rPr>
            </w:pP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p>
          <w:p w:rsidR="00240680" w:rsidRPr="008846EB" w:rsidRDefault="008846EB" w:rsidP="008846EB">
            <w:pPr>
              <w:pStyle w:val="Tablewriting"/>
              <w:ind w:left="360" w:hanging="360"/>
              <w:rPr>
                <w:rFonts w:eastAsia="MS Mincho"/>
                <w:highlight w:val="black"/>
              </w:rPr>
            </w:pP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p>
          <w:p w:rsidR="00240680" w:rsidRPr="008846EB" w:rsidRDefault="008846EB" w:rsidP="008846EB">
            <w:pPr>
              <w:pStyle w:val="Tablewriting"/>
              <w:ind w:left="360" w:hanging="360"/>
              <w:rPr>
                <w:rFonts w:eastAsia="MS Mincho"/>
                <w:highlight w:val="black"/>
              </w:rPr>
            </w:pP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r>
              <w:rPr>
                <w:rFonts w:ascii="Symbol" w:eastAsia="MS Mincho" w:hAnsi="Symbol"/>
                <w:noProof/>
                <w:color w:val="000000"/>
                <w:highlight w:val="black"/>
              </w:rPr>
              <w:t></w:t>
            </w:r>
          </w:p>
          <w:p w:rsidR="00240680" w:rsidRPr="008846EB" w:rsidRDefault="008846EB" w:rsidP="008846EB">
            <w:pPr>
              <w:pStyle w:val="Tablewriting"/>
              <w:keepNext/>
              <w:ind w:left="360" w:hanging="360"/>
              <w:rPr>
                <w:rFonts w:eastAsia="MS Mincho" w:cstheme="minorHAnsi"/>
                <w:highlight w:val="black"/>
              </w:rPr>
            </w:pP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p>
        </w:tc>
        <w:tc>
          <w:tcPr>
            <w:tcW w:w="2358" w:type="dxa"/>
          </w:tcPr>
          <w:p w:rsidR="00240680" w:rsidRPr="008846EB" w:rsidRDefault="008846EB" w:rsidP="002321A9">
            <w:pPr>
              <w:rPr>
                <w:rFonts w:eastAsia="MS Mincho" w:cstheme="minorHAnsi"/>
                <w:highlight w:val="black"/>
              </w:rPr>
            </w:pPr>
            <w:r>
              <w:rPr>
                <w:rFonts w:eastAsia="MS Mincho" w:cstheme="minorHAnsi"/>
                <w:noProof/>
                <w:color w:val="000000"/>
                <w:highlight w:val="black"/>
              </w:rPr>
              <w:t xml:space="preserve">''''''''' ''''''''''''''''''' ''''''''''''''''''' ''''''''''''''''''''''''''' ''''' ''''' ''''' '''''''''''''''' ''''' ''''''' ''''''''' '''''''' '''''''''' '''''''''''''' '''''''''''''''' ''''''''''''''''''''''''' ''''''''''''''' ''''' '''''''' ''''''''''''''''' ''''''''' ''''''' '''''''''''''''''' ''''''' ''''''''''''''' ''''''''''''''' ''''''''''' '''''' ''''''' ''''''''''''''''' ''''''''''''' </w:t>
            </w:r>
            <w:r>
              <w:rPr>
                <w:rFonts w:eastAsia="MS Mincho" w:cstheme="minorHAnsi"/>
                <w:noProof/>
                <w:color w:val="000000"/>
                <w:highlight w:val="black"/>
              </w:rPr>
              <w:lastRenderedPageBreak/>
              <w:t>'''''''''''''''''' '''''''''''''''' '''' ''''''' ''''''''''''''''' '''''''''''''''''' '''''' ''''''''''''''''''' '''''''' '''''''''' ''''''''''''' ''''''''''''''''' ''''' ''''' ''''''' ''''''''''''''' '''''''''''''' '''' ''''''''''''''''' '''' '''''''' '''''''''''''''''' ''''''''''' '''''' '''''''''''''' ''''' ''' '''''''''''''' ''''''''' ''''''' '''''''''''''''' ''' ''''''''''''''''''' '''''''''</w:t>
            </w:r>
          </w:p>
        </w:tc>
      </w:tr>
      <w:tr w:rsidR="00240680" w:rsidTr="008846EB">
        <w:tc>
          <w:tcPr>
            <w:tcW w:w="1980" w:type="dxa"/>
          </w:tcPr>
          <w:p w:rsidR="00240680" w:rsidRPr="008846EB" w:rsidRDefault="008846EB" w:rsidP="002321A9">
            <w:pPr>
              <w:rPr>
                <w:rFonts w:eastAsia="MS Mincho"/>
                <w:szCs w:val="22"/>
                <w:highlight w:val="black"/>
              </w:rPr>
            </w:pPr>
            <w:r>
              <w:rPr>
                <w:rFonts w:eastAsia="MS Mincho"/>
                <w:noProof/>
                <w:color w:val="000000"/>
                <w:highlight w:val="black"/>
              </w:rPr>
              <w:lastRenderedPageBreak/>
              <w:t>'''''''''''''''' '''''''''''</w:t>
            </w:r>
          </w:p>
        </w:tc>
        <w:tc>
          <w:tcPr>
            <w:tcW w:w="4678" w:type="dxa"/>
          </w:tcPr>
          <w:p w:rsidR="00240680" w:rsidRPr="008846EB" w:rsidRDefault="008846EB" w:rsidP="008846EB">
            <w:pPr>
              <w:pStyle w:val="Tablewriting"/>
              <w:keepNext/>
              <w:ind w:left="360" w:hanging="360"/>
              <w:rPr>
                <w:rFonts w:eastAsia="MS Mincho" w:cstheme="minorHAnsi"/>
                <w:highlight w:val="black"/>
              </w:rPr>
            </w:pP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p>
          <w:p w:rsidR="00240680" w:rsidRPr="008846EB" w:rsidRDefault="008846EB" w:rsidP="008846EB">
            <w:pPr>
              <w:pStyle w:val="Tablewriting"/>
              <w:keepNext/>
              <w:ind w:left="360" w:hanging="360"/>
              <w:rPr>
                <w:rFonts w:eastAsia="MS Mincho" w:cstheme="minorHAnsi"/>
                <w:highlight w:val="black"/>
              </w:rPr>
            </w:pP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p>
          <w:p w:rsidR="00240680" w:rsidRPr="008846EB" w:rsidRDefault="008846EB" w:rsidP="008846EB">
            <w:pPr>
              <w:pStyle w:val="Tablewriting"/>
              <w:keepNext/>
              <w:ind w:left="360" w:hanging="360"/>
              <w:rPr>
                <w:rFonts w:eastAsia="MS Mincho" w:cstheme="minorHAnsi"/>
                <w:highlight w:val="black"/>
              </w:rPr>
            </w:pP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p>
          <w:p w:rsidR="00240680" w:rsidRPr="008846EB" w:rsidRDefault="008846EB" w:rsidP="008846EB">
            <w:pPr>
              <w:pStyle w:val="Tablewriting"/>
              <w:keepNext/>
              <w:ind w:left="360" w:hanging="360"/>
              <w:rPr>
                <w:rFonts w:eastAsia="MS Mincho" w:cstheme="minorHAnsi"/>
                <w:highlight w:val="black"/>
              </w:rPr>
            </w:pP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r>
              <w:rPr>
                <w:rFonts w:ascii="Symbol" w:eastAsia="MS Mincho" w:hAnsi="Symbol" w:cstheme="minorHAnsi"/>
                <w:noProof/>
                <w:color w:val="000000"/>
                <w:highlight w:val="black"/>
              </w:rPr>
              <w:t></w:t>
            </w:r>
          </w:p>
        </w:tc>
        <w:tc>
          <w:tcPr>
            <w:tcW w:w="2358" w:type="dxa"/>
          </w:tcPr>
          <w:p w:rsidR="00240680" w:rsidRPr="008846EB" w:rsidRDefault="008846EB" w:rsidP="002321A9">
            <w:pPr>
              <w:rPr>
                <w:rFonts w:eastAsia="MS Mincho" w:cstheme="minorHAnsi"/>
                <w:szCs w:val="22"/>
                <w:highlight w:val="black"/>
              </w:rPr>
            </w:pPr>
            <w:r>
              <w:rPr>
                <w:rFonts w:eastAsia="MS Mincho" w:cstheme="minorHAnsi"/>
                <w:noProof/>
                <w:color w:val="000000"/>
                <w:highlight w:val="black"/>
              </w:rPr>
              <w:t>''''''''' ''''''''' '''''''''' '''''''''''''''''''' '''''''''''''''''''''' ''''''''''''''' '''' ''''''''' ''''''''''''' '''''''''''''''''''''''' '''''''' ''''''''''''''''''' ''''''' ''' ''''''''' ''''''''' ''''''' '''''''' '''''''''''''''''''' '''''''''''' ''''''''''''''' '''''''''''''''''''' ''''''''''''''''''''''''''' ''''' ''''''''''''''''' '''''''''''''''' '''''''''''' '''''''''''''''''' ''''''''''''' '''''''''''''''''''''''''' ''''''' ''''''' '''' ''''''' ''''''''''''''''''''''''</w:t>
            </w:r>
          </w:p>
        </w:tc>
      </w:tr>
      <w:tr w:rsidR="00240680" w:rsidTr="008846EB">
        <w:tc>
          <w:tcPr>
            <w:tcW w:w="1980" w:type="dxa"/>
          </w:tcPr>
          <w:p w:rsidR="00240680" w:rsidRPr="0004728C" w:rsidRDefault="00240680" w:rsidP="002321A9">
            <w:pPr>
              <w:rPr>
                <w:rFonts w:eastAsia="MS Mincho"/>
                <w:szCs w:val="22"/>
              </w:rPr>
            </w:pPr>
            <w:r w:rsidRPr="0004728C">
              <w:rPr>
                <w:rFonts w:eastAsia="MS Mincho"/>
                <w:szCs w:val="22"/>
              </w:rPr>
              <w:t>Gonzales (2006)</w:t>
            </w:r>
          </w:p>
        </w:tc>
        <w:tc>
          <w:tcPr>
            <w:tcW w:w="4678" w:type="dxa"/>
          </w:tcPr>
          <w:p w:rsidR="00240680" w:rsidRPr="0017192A" w:rsidRDefault="00240680" w:rsidP="00C324F3">
            <w:pPr>
              <w:pStyle w:val="Tablewriting"/>
              <w:numPr>
                <w:ilvl w:val="0"/>
                <w:numId w:val="25"/>
              </w:numPr>
              <w:rPr>
                <w:rFonts w:eastAsia="MS Mincho"/>
              </w:rPr>
            </w:pPr>
            <w:r w:rsidRPr="0017192A">
              <w:rPr>
                <w:rFonts w:eastAsia="MS Mincho"/>
              </w:rPr>
              <w:t>Bupropion, 300 mg/day for 12 weeks, begun 7 days pre-TQD</w:t>
            </w:r>
          </w:p>
          <w:p w:rsidR="00240680" w:rsidRDefault="00240680" w:rsidP="00C324F3">
            <w:pPr>
              <w:pStyle w:val="Tablewriting"/>
              <w:numPr>
                <w:ilvl w:val="0"/>
                <w:numId w:val="25"/>
              </w:numPr>
              <w:rPr>
                <w:rFonts w:eastAsia="MS Mincho"/>
              </w:rPr>
            </w:pPr>
            <w:r w:rsidRPr="0017192A">
              <w:rPr>
                <w:rFonts w:eastAsia="MS Mincho"/>
              </w:rPr>
              <w:t>Varenicline, 2 mg/day</w:t>
            </w:r>
          </w:p>
          <w:p w:rsidR="00240680" w:rsidRPr="0004728C" w:rsidRDefault="00240680" w:rsidP="00C324F3">
            <w:pPr>
              <w:pStyle w:val="Tablewriting"/>
              <w:numPr>
                <w:ilvl w:val="0"/>
                <w:numId w:val="25"/>
              </w:numPr>
              <w:rPr>
                <w:rFonts w:eastAsia="MS Mincho"/>
              </w:rPr>
            </w:pPr>
            <w:r w:rsidRPr="0004728C">
              <w:rPr>
                <w:rFonts w:eastAsia="MS Mincho"/>
              </w:rPr>
              <w:t>Placebo</w:t>
            </w:r>
          </w:p>
        </w:tc>
        <w:tc>
          <w:tcPr>
            <w:tcW w:w="2358" w:type="dxa"/>
          </w:tcPr>
          <w:p w:rsidR="00240680" w:rsidRPr="00F701E7" w:rsidRDefault="00240680" w:rsidP="002321A9">
            <w:pPr>
              <w:rPr>
                <w:rFonts w:eastAsia="MS Mincho" w:cstheme="minorHAnsi"/>
                <w:szCs w:val="22"/>
              </w:rPr>
            </w:pPr>
            <w:r w:rsidRPr="00D15A95">
              <w:rPr>
                <w:rFonts w:eastAsia="MS Mincho" w:cstheme="minorHAnsi"/>
                <w:szCs w:val="22"/>
              </w:rPr>
              <w:t>Brief (&lt;10</w:t>
            </w:r>
            <w:r>
              <w:rPr>
                <w:rFonts w:eastAsia="MS Mincho" w:cstheme="minorHAnsi"/>
                <w:szCs w:val="22"/>
              </w:rPr>
              <w:t xml:space="preserve"> </w:t>
            </w:r>
            <w:r w:rsidRPr="00D15A95">
              <w:rPr>
                <w:rFonts w:eastAsia="MS Mincho" w:cstheme="minorHAnsi"/>
                <w:szCs w:val="22"/>
              </w:rPr>
              <w:t>min</w:t>
            </w:r>
            <w:r>
              <w:rPr>
                <w:rFonts w:eastAsia="MS Mincho" w:cstheme="minorHAnsi"/>
                <w:szCs w:val="22"/>
              </w:rPr>
              <w:t>s</w:t>
            </w:r>
            <w:r w:rsidRPr="00D15A95">
              <w:rPr>
                <w:rFonts w:eastAsia="MS Mincho" w:cstheme="minorHAnsi"/>
                <w:szCs w:val="22"/>
              </w:rPr>
              <w:t>) standardi</w:t>
            </w:r>
            <w:r>
              <w:rPr>
                <w:rFonts w:eastAsia="MS Mincho" w:cstheme="minorHAnsi"/>
                <w:szCs w:val="22"/>
              </w:rPr>
              <w:t>s</w:t>
            </w:r>
            <w:r w:rsidRPr="00D15A95">
              <w:rPr>
                <w:rFonts w:eastAsia="MS Mincho" w:cstheme="minorHAnsi"/>
                <w:szCs w:val="22"/>
              </w:rPr>
              <w:t>ed individual counselling at 12 weekly visits during drug phase and follow-up</w:t>
            </w:r>
            <w:r>
              <w:rPr>
                <w:rFonts w:eastAsia="MS Mincho" w:cstheme="minorHAnsi"/>
                <w:szCs w:val="22"/>
              </w:rPr>
              <w:t xml:space="preserve"> </w:t>
            </w:r>
            <w:r w:rsidRPr="00823151">
              <w:rPr>
                <w:rFonts w:eastAsia="MS Mincho" w:cstheme="minorHAnsi"/>
                <w:szCs w:val="22"/>
              </w:rPr>
              <w:t>to assist in problem</w:t>
            </w:r>
            <w:r>
              <w:rPr>
                <w:rFonts w:eastAsia="MS Mincho" w:cstheme="minorHAnsi"/>
                <w:szCs w:val="22"/>
              </w:rPr>
              <w:t xml:space="preserve"> </w:t>
            </w:r>
            <w:r w:rsidRPr="00823151">
              <w:rPr>
                <w:rFonts w:eastAsia="MS Mincho" w:cstheme="minorHAnsi"/>
                <w:szCs w:val="22"/>
              </w:rPr>
              <w:t>solving and skills training for relapse</w:t>
            </w:r>
            <w:r>
              <w:rPr>
                <w:rFonts w:eastAsia="MS Mincho" w:cstheme="minorHAnsi"/>
                <w:szCs w:val="22"/>
              </w:rPr>
              <w:t xml:space="preserve"> </w:t>
            </w:r>
            <w:r w:rsidRPr="00823151">
              <w:rPr>
                <w:rFonts w:eastAsia="MS Mincho" w:cstheme="minorHAnsi"/>
                <w:szCs w:val="22"/>
              </w:rPr>
              <w:t>prevention</w:t>
            </w:r>
            <w:r>
              <w:rPr>
                <w:rFonts w:eastAsia="MS Mincho" w:cstheme="minorHAnsi"/>
                <w:szCs w:val="22"/>
              </w:rPr>
              <w:t xml:space="preserve">. </w:t>
            </w:r>
            <w:r w:rsidRPr="00F701E7">
              <w:rPr>
                <w:rFonts w:eastAsia="MS Mincho" w:cstheme="minorHAnsi"/>
                <w:szCs w:val="22"/>
              </w:rPr>
              <w:t>All participants</w:t>
            </w:r>
            <w:r>
              <w:rPr>
                <w:rFonts w:eastAsia="MS Mincho" w:cstheme="minorHAnsi"/>
                <w:szCs w:val="22"/>
              </w:rPr>
              <w:t xml:space="preserve"> also received ‘’</w:t>
            </w:r>
            <w:r w:rsidRPr="00F701E7">
              <w:rPr>
                <w:rFonts w:eastAsia="MS Mincho" w:cstheme="minorHAnsi"/>
                <w:szCs w:val="22"/>
              </w:rPr>
              <w:t>Clearing the Air: Quit Smoking</w:t>
            </w:r>
            <w:r>
              <w:rPr>
                <w:rFonts w:eastAsia="MS Mincho" w:cstheme="minorHAnsi"/>
                <w:szCs w:val="22"/>
              </w:rPr>
              <w:t xml:space="preserve"> </w:t>
            </w:r>
            <w:r w:rsidRPr="00F701E7">
              <w:rPr>
                <w:rFonts w:eastAsia="MS Mincho" w:cstheme="minorHAnsi"/>
                <w:szCs w:val="22"/>
              </w:rPr>
              <w:t>Today</w:t>
            </w:r>
            <w:r>
              <w:rPr>
                <w:rFonts w:eastAsia="MS Mincho" w:cstheme="minorHAnsi"/>
                <w:szCs w:val="22"/>
              </w:rPr>
              <w:t xml:space="preserve">’’ </w:t>
            </w:r>
            <w:r w:rsidRPr="00F701E7">
              <w:rPr>
                <w:rFonts w:eastAsia="MS Mincho" w:cstheme="minorHAnsi"/>
                <w:szCs w:val="22"/>
              </w:rPr>
              <w:t>a smoking cessation self-help</w:t>
            </w:r>
            <w:r>
              <w:rPr>
                <w:rFonts w:eastAsia="MS Mincho" w:cstheme="minorHAnsi"/>
                <w:szCs w:val="22"/>
              </w:rPr>
              <w:t xml:space="preserve"> </w:t>
            </w:r>
            <w:r w:rsidRPr="00F701E7">
              <w:rPr>
                <w:rFonts w:eastAsia="MS Mincho" w:cstheme="minorHAnsi"/>
                <w:szCs w:val="22"/>
              </w:rPr>
              <w:t>booklet as a guide to the quitting</w:t>
            </w:r>
          </w:p>
          <w:p w:rsidR="00240680" w:rsidRPr="00D15A95" w:rsidRDefault="00240680" w:rsidP="002321A9">
            <w:pPr>
              <w:rPr>
                <w:rFonts w:eastAsia="MS Mincho" w:cstheme="minorHAnsi"/>
                <w:szCs w:val="22"/>
              </w:rPr>
            </w:pPr>
            <w:r w:rsidRPr="00F701E7">
              <w:rPr>
                <w:rFonts w:eastAsia="MS Mincho" w:cstheme="minorHAnsi"/>
                <w:szCs w:val="22"/>
              </w:rPr>
              <w:t>Process</w:t>
            </w:r>
            <w:r>
              <w:rPr>
                <w:rFonts w:eastAsia="MS Mincho" w:cstheme="minorHAnsi"/>
                <w:szCs w:val="22"/>
              </w:rPr>
              <w:t xml:space="preserve">. </w:t>
            </w:r>
          </w:p>
        </w:tc>
      </w:tr>
      <w:tr w:rsidR="00240680" w:rsidTr="008846EB">
        <w:tc>
          <w:tcPr>
            <w:tcW w:w="1980" w:type="dxa"/>
          </w:tcPr>
          <w:p w:rsidR="00240680" w:rsidRPr="0004728C" w:rsidRDefault="00240680" w:rsidP="002321A9">
            <w:pPr>
              <w:rPr>
                <w:rFonts w:eastAsia="MS Mincho"/>
                <w:szCs w:val="22"/>
              </w:rPr>
            </w:pPr>
            <w:r w:rsidRPr="0004728C">
              <w:rPr>
                <w:rFonts w:eastAsia="MS Mincho"/>
                <w:szCs w:val="22"/>
              </w:rPr>
              <w:t>Jorenby (2006)</w:t>
            </w:r>
          </w:p>
        </w:tc>
        <w:tc>
          <w:tcPr>
            <w:tcW w:w="4678" w:type="dxa"/>
          </w:tcPr>
          <w:p w:rsidR="00240680" w:rsidRDefault="00240680" w:rsidP="00C324F3">
            <w:pPr>
              <w:pStyle w:val="Tablewriting"/>
              <w:numPr>
                <w:ilvl w:val="0"/>
                <w:numId w:val="32"/>
              </w:numPr>
              <w:rPr>
                <w:rFonts w:eastAsia="MS Mincho"/>
              </w:rPr>
            </w:pPr>
            <w:r w:rsidRPr="003078C0">
              <w:rPr>
                <w:rFonts w:eastAsia="MS Mincho"/>
              </w:rPr>
              <w:t>Bupropion 300 mg for 12 weeks + placebo varenicline</w:t>
            </w:r>
          </w:p>
          <w:p w:rsidR="00240680" w:rsidRDefault="00240680" w:rsidP="00C324F3">
            <w:pPr>
              <w:pStyle w:val="Tablewriting"/>
              <w:numPr>
                <w:ilvl w:val="0"/>
                <w:numId w:val="32"/>
              </w:numPr>
              <w:rPr>
                <w:rFonts w:eastAsia="MS Mincho"/>
              </w:rPr>
            </w:pPr>
            <w:r w:rsidRPr="003078C0">
              <w:rPr>
                <w:rFonts w:eastAsia="MS Mincho"/>
              </w:rPr>
              <w:t>Varenicline 2 mg for 12 weeks + placebo bupropion</w:t>
            </w:r>
          </w:p>
          <w:p w:rsidR="00240680" w:rsidRPr="0004728C" w:rsidRDefault="00240680" w:rsidP="00C324F3">
            <w:pPr>
              <w:pStyle w:val="Tablewriting"/>
              <w:numPr>
                <w:ilvl w:val="0"/>
                <w:numId w:val="32"/>
              </w:numPr>
              <w:rPr>
                <w:rFonts w:eastAsia="MS Mincho"/>
              </w:rPr>
            </w:pPr>
            <w:r w:rsidRPr="0004728C">
              <w:rPr>
                <w:rFonts w:eastAsia="MS Mincho"/>
              </w:rPr>
              <w:t>Placebo bupropion and placebo varenicline</w:t>
            </w:r>
          </w:p>
        </w:tc>
        <w:tc>
          <w:tcPr>
            <w:tcW w:w="2358" w:type="dxa"/>
          </w:tcPr>
          <w:p w:rsidR="00240680" w:rsidRPr="00D15A95" w:rsidRDefault="00240680" w:rsidP="002321A9">
            <w:pPr>
              <w:rPr>
                <w:rFonts w:eastAsia="MS Mincho" w:cstheme="minorHAnsi"/>
                <w:szCs w:val="22"/>
              </w:rPr>
            </w:pPr>
            <w:r w:rsidRPr="00314909">
              <w:rPr>
                <w:rFonts w:eastAsia="MS Mincho" w:cstheme="minorHAnsi"/>
                <w:szCs w:val="22"/>
              </w:rPr>
              <w:t>Brief (&lt; 10 min</w:t>
            </w:r>
            <w:r>
              <w:rPr>
                <w:rFonts w:eastAsia="MS Mincho" w:cstheme="minorHAnsi"/>
                <w:szCs w:val="22"/>
              </w:rPr>
              <w:t>s</w:t>
            </w:r>
            <w:r w:rsidRPr="00314909">
              <w:rPr>
                <w:rFonts w:eastAsia="MS Mincho" w:cstheme="minorHAnsi"/>
                <w:szCs w:val="22"/>
              </w:rPr>
              <w:t>) individual counselling at each weekly assessment for 12 weeks and 5 follow-up visits. One telephone call 3 days after quit day.</w:t>
            </w:r>
          </w:p>
        </w:tc>
      </w:tr>
      <w:tr w:rsidR="00240680" w:rsidTr="008846EB">
        <w:tc>
          <w:tcPr>
            <w:tcW w:w="1980" w:type="dxa"/>
          </w:tcPr>
          <w:p w:rsidR="00240680" w:rsidRPr="0004728C" w:rsidRDefault="00240680" w:rsidP="002321A9">
            <w:pPr>
              <w:rPr>
                <w:rFonts w:eastAsia="MS Mincho"/>
                <w:szCs w:val="22"/>
              </w:rPr>
            </w:pPr>
            <w:r w:rsidRPr="0004728C">
              <w:rPr>
                <w:rFonts w:eastAsia="MS Mincho"/>
                <w:szCs w:val="22"/>
              </w:rPr>
              <w:t>Aubin (2008)</w:t>
            </w:r>
          </w:p>
        </w:tc>
        <w:tc>
          <w:tcPr>
            <w:tcW w:w="4678" w:type="dxa"/>
          </w:tcPr>
          <w:p w:rsidR="00240680" w:rsidRDefault="00240680" w:rsidP="00C324F3">
            <w:pPr>
              <w:pStyle w:val="Tablewriting"/>
              <w:numPr>
                <w:ilvl w:val="0"/>
                <w:numId w:val="143"/>
              </w:numPr>
              <w:rPr>
                <w:rFonts w:eastAsia="MS Mincho" w:cstheme="minorHAnsi"/>
              </w:rPr>
            </w:pPr>
            <w:r w:rsidRPr="004926AC">
              <w:rPr>
                <w:rFonts w:eastAsia="MS Mincho" w:cstheme="minorHAnsi"/>
              </w:rPr>
              <w:t>Varenicline 1mg x 2/day for 12 w</w:t>
            </w:r>
            <w:r>
              <w:rPr>
                <w:rFonts w:eastAsia="MS Mincho" w:cstheme="minorHAnsi"/>
              </w:rPr>
              <w:t>ee</w:t>
            </w:r>
            <w:r w:rsidRPr="004926AC">
              <w:rPr>
                <w:rFonts w:eastAsia="MS Mincho" w:cstheme="minorHAnsi"/>
              </w:rPr>
              <w:t>ks, titrated 1st w</w:t>
            </w:r>
            <w:r>
              <w:rPr>
                <w:rFonts w:eastAsia="MS Mincho" w:cstheme="minorHAnsi"/>
              </w:rPr>
              <w:t>ee</w:t>
            </w:r>
            <w:r w:rsidRPr="004926AC">
              <w:rPr>
                <w:rFonts w:eastAsia="MS Mincho" w:cstheme="minorHAnsi"/>
              </w:rPr>
              <w:t>k</w:t>
            </w:r>
            <w:r>
              <w:rPr>
                <w:rFonts w:eastAsia="MS Mincho" w:cstheme="minorHAnsi"/>
              </w:rPr>
              <w:t>.</w:t>
            </w:r>
          </w:p>
          <w:p w:rsidR="00240680" w:rsidRDefault="00240680" w:rsidP="00C324F3">
            <w:pPr>
              <w:pStyle w:val="Tablewriting"/>
              <w:numPr>
                <w:ilvl w:val="0"/>
                <w:numId w:val="143"/>
              </w:numPr>
              <w:rPr>
                <w:rFonts w:eastAsia="MS Mincho" w:cstheme="minorHAnsi"/>
              </w:rPr>
            </w:pPr>
            <w:r>
              <w:rPr>
                <w:rFonts w:eastAsia="MS Mincho" w:cstheme="minorHAnsi"/>
              </w:rPr>
              <w:t>NRT</w:t>
            </w:r>
            <w:r w:rsidRPr="004926AC">
              <w:rPr>
                <w:rFonts w:eastAsia="MS Mincho" w:cstheme="minorHAnsi"/>
              </w:rPr>
              <w:t xml:space="preserve"> patch (21 mg w</w:t>
            </w:r>
            <w:r>
              <w:rPr>
                <w:rFonts w:eastAsia="MS Mincho" w:cstheme="minorHAnsi"/>
              </w:rPr>
              <w:t>ee</w:t>
            </w:r>
            <w:r w:rsidRPr="004926AC">
              <w:rPr>
                <w:rFonts w:eastAsia="MS Mincho" w:cstheme="minorHAnsi"/>
              </w:rPr>
              <w:t>ks 2 - 6, 14 mg w</w:t>
            </w:r>
            <w:r>
              <w:rPr>
                <w:rFonts w:eastAsia="MS Mincho" w:cstheme="minorHAnsi"/>
              </w:rPr>
              <w:t>ee</w:t>
            </w:r>
            <w:r w:rsidRPr="004926AC">
              <w:rPr>
                <w:rFonts w:eastAsia="MS Mincho" w:cstheme="minorHAnsi"/>
              </w:rPr>
              <w:t>ks 7 - 9, 7 mg w</w:t>
            </w:r>
            <w:r>
              <w:rPr>
                <w:rFonts w:eastAsia="MS Mincho" w:cstheme="minorHAnsi"/>
              </w:rPr>
              <w:t>ee</w:t>
            </w:r>
            <w:r w:rsidRPr="004926AC">
              <w:rPr>
                <w:rFonts w:eastAsia="MS Mincho" w:cstheme="minorHAnsi"/>
              </w:rPr>
              <w:t>ks 10 - 11)</w:t>
            </w:r>
            <w:r>
              <w:rPr>
                <w:rFonts w:eastAsia="MS Mincho" w:cstheme="minorHAnsi"/>
              </w:rPr>
              <w:t>.</w:t>
            </w:r>
          </w:p>
          <w:p w:rsidR="00240680" w:rsidRPr="0004728C" w:rsidRDefault="00240680" w:rsidP="00C324F3">
            <w:pPr>
              <w:pStyle w:val="Tablewriting"/>
              <w:numPr>
                <w:ilvl w:val="0"/>
                <w:numId w:val="143"/>
              </w:numPr>
              <w:rPr>
                <w:rFonts w:eastAsia="MS Mincho" w:cstheme="minorHAnsi"/>
              </w:rPr>
            </w:pPr>
            <w:r w:rsidRPr="0004728C">
              <w:rPr>
                <w:rFonts w:eastAsia="MS Mincho" w:cstheme="minorHAnsi"/>
              </w:rPr>
              <w:t>No placebo control group</w:t>
            </w:r>
          </w:p>
        </w:tc>
        <w:tc>
          <w:tcPr>
            <w:tcW w:w="2358" w:type="dxa"/>
          </w:tcPr>
          <w:p w:rsidR="00240680" w:rsidRPr="00E026E3" w:rsidRDefault="00240680" w:rsidP="002321A9">
            <w:pPr>
              <w:rPr>
                <w:rFonts w:eastAsia="MS Mincho" w:cstheme="minorHAnsi"/>
                <w:szCs w:val="22"/>
              </w:rPr>
            </w:pPr>
            <w:r>
              <w:rPr>
                <w:rFonts w:eastAsia="MS Mincho" w:cstheme="minorHAnsi"/>
                <w:szCs w:val="22"/>
              </w:rPr>
              <w:t>B</w:t>
            </w:r>
            <w:r w:rsidRPr="00E026E3">
              <w:rPr>
                <w:rFonts w:eastAsia="MS Mincho" w:cstheme="minorHAnsi"/>
                <w:szCs w:val="22"/>
              </w:rPr>
              <w:t>rief counselling (≤ 10 mins) at each clinic visit or by phone. TQD was at week 1 visit.</w:t>
            </w:r>
            <w:r>
              <w:rPr>
                <w:rFonts w:eastAsia="MS Mincho" w:cstheme="minorHAnsi"/>
                <w:szCs w:val="22"/>
              </w:rPr>
              <w:t xml:space="preserve"> </w:t>
            </w:r>
            <w:r w:rsidRPr="00E026E3">
              <w:rPr>
                <w:rFonts w:eastAsia="MS Mincho" w:cstheme="minorHAnsi"/>
                <w:szCs w:val="22"/>
              </w:rPr>
              <w:t>Clearing the Air S</w:t>
            </w:r>
            <w:r>
              <w:rPr>
                <w:rFonts w:eastAsia="MS Mincho" w:cstheme="minorHAnsi"/>
                <w:szCs w:val="22"/>
              </w:rPr>
              <w:t>elf</w:t>
            </w:r>
            <w:r w:rsidRPr="00E026E3">
              <w:rPr>
                <w:rFonts w:eastAsia="MS Mincho" w:cstheme="minorHAnsi"/>
                <w:szCs w:val="22"/>
              </w:rPr>
              <w:t>-H</w:t>
            </w:r>
            <w:r>
              <w:rPr>
                <w:rFonts w:eastAsia="MS Mincho" w:cstheme="minorHAnsi"/>
                <w:szCs w:val="22"/>
              </w:rPr>
              <w:t>elp</w:t>
            </w:r>
            <w:r w:rsidRPr="00E026E3">
              <w:rPr>
                <w:rFonts w:eastAsia="MS Mincho" w:cstheme="minorHAnsi"/>
                <w:szCs w:val="22"/>
              </w:rPr>
              <w:t xml:space="preserve"> booklet </w:t>
            </w:r>
            <w:r>
              <w:rPr>
                <w:rFonts w:eastAsia="MS Mincho" w:cstheme="minorHAnsi"/>
                <w:szCs w:val="22"/>
              </w:rPr>
              <w:t xml:space="preserve">was also provided </w:t>
            </w:r>
            <w:r w:rsidRPr="00E026E3">
              <w:rPr>
                <w:rFonts w:eastAsia="MS Mincho" w:cstheme="minorHAnsi"/>
                <w:szCs w:val="22"/>
              </w:rPr>
              <w:t>at baseline</w:t>
            </w:r>
            <w:r>
              <w:rPr>
                <w:rFonts w:eastAsia="MS Mincho" w:cstheme="minorHAnsi"/>
                <w:szCs w:val="22"/>
              </w:rPr>
              <w:t xml:space="preserve">. </w:t>
            </w:r>
          </w:p>
        </w:tc>
      </w:tr>
    </w:tbl>
    <w:p w:rsidR="00846CB6" w:rsidRDefault="00A676A6" w:rsidP="00A676A6">
      <w:pPr>
        <w:pStyle w:val="TableFooter"/>
        <w:keepNext/>
      </w:pPr>
      <w:r>
        <w:lastRenderedPageBreak/>
        <w:t>Source:</w:t>
      </w:r>
      <w:r w:rsidR="00AE7547">
        <w:t xml:space="preserve"> </w:t>
      </w:r>
      <w:r w:rsidR="008846EB">
        <w:rPr>
          <w:noProof/>
          <w:color w:val="000000"/>
          <w:highlight w:val="black"/>
        </w:rPr>
        <w:t>'''''''' ''''''''''' '''''''''''''''' ''''''''''</w:t>
      </w:r>
      <w:r w:rsidR="004974F8">
        <w:t xml:space="preserve"> Gonzales 2006; Jorenby 2006; Aubin 2008. </w:t>
      </w:r>
    </w:p>
    <w:p w:rsidR="00A676A6" w:rsidRPr="00F414F9" w:rsidRDefault="00B05DCD" w:rsidP="00A676A6">
      <w:pPr>
        <w:pStyle w:val="TableFooter"/>
        <w:keepNext/>
      </w:pPr>
      <w:r>
        <w:t>Abbreviations</w:t>
      </w:r>
      <w:r w:rsidR="00A676A6">
        <w:t xml:space="preserve">: NRT = nicotine replacement therapy; </w:t>
      </w:r>
      <w:r w:rsidR="00AE7547">
        <w:t xml:space="preserve">SR = sustained release; </w:t>
      </w:r>
      <w:r w:rsidR="002B0DC8">
        <w:t xml:space="preserve">TQD = target quit date. </w:t>
      </w:r>
    </w:p>
    <w:p w:rsidR="00526861" w:rsidRDefault="00526861" w:rsidP="008D43F8">
      <w:r w:rsidRPr="00526861">
        <w:t xml:space="preserve">A summary of the citation details for the studies </w:t>
      </w:r>
      <w:r w:rsidR="004D5642">
        <w:t xml:space="preserve">examining </w:t>
      </w:r>
      <w:r w:rsidR="004D5642" w:rsidRPr="004D5642">
        <w:t>the comparative eff</w:t>
      </w:r>
      <w:r w:rsidR="00411104">
        <w:t>icacy</w:t>
      </w:r>
      <w:r w:rsidR="004D5642" w:rsidRPr="004D5642">
        <w:t xml:space="preserve"> of behavioural support in addition to pharmacothera</w:t>
      </w:r>
      <w:r w:rsidR="00752D54">
        <w:t>pies</w:t>
      </w:r>
      <w:r w:rsidR="004D5642" w:rsidRPr="004D5642">
        <w:t xml:space="preserve"> </w:t>
      </w:r>
      <w:r w:rsidRPr="00526861">
        <w:t xml:space="preserve">is presented in </w:t>
      </w:r>
      <w:r w:rsidR="003C4A1C">
        <w:t xml:space="preserve">Table </w:t>
      </w:r>
      <w:r w:rsidR="003C4A1C">
        <w:rPr>
          <w:noProof/>
        </w:rPr>
        <w:t>117</w:t>
      </w:r>
      <w:r w:rsidRPr="00526861">
        <w:t xml:space="preserve">. </w:t>
      </w:r>
      <w:r w:rsidR="00191469">
        <w:t>Six</w:t>
      </w:r>
      <w:r w:rsidRPr="00526861">
        <w:t xml:space="preserve"> Cochrane Review</w:t>
      </w:r>
      <w:r w:rsidR="0056562B">
        <w:t>s</w:t>
      </w:r>
      <w:r w:rsidRPr="00526861">
        <w:t xml:space="preserve"> w</w:t>
      </w:r>
      <w:r w:rsidR="00191469">
        <w:t>ere</w:t>
      </w:r>
      <w:r w:rsidRPr="00526861">
        <w:t xml:space="preserve"> identified in the systematic literature review that </w:t>
      </w:r>
      <w:r w:rsidR="00A2470E">
        <w:t>provide evidence for the comparative eff</w:t>
      </w:r>
      <w:r w:rsidR="00E57256">
        <w:t>icacy</w:t>
      </w:r>
      <w:r w:rsidR="00A2470E">
        <w:t xml:space="preserve"> of behavioural support in addition to pharmacotherap</w:t>
      </w:r>
      <w:r w:rsidR="00752D54">
        <w:t>ies</w:t>
      </w:r>
      <w:r w:rsidRPr="00526861">
        <w:t xml:space="preserve"> and w</w:t>
      </w:r>
      <w:r w:rsidR="00A2470E">
        <w:t>ere</w:t>
      </w:r>
      <w:r w:rsidRPr="00526861">
        <w:t xml:space="preserve"> included in this report</w:t>
      </w:r>
      <w:r w:rsidR="0056562B">
        <w:t xml:space="preserve"> (</w:t>
      </w:r>
      <w:r w:rsidR="00C41E41">
        <w:t xml:space="preserve">Lancaster 2017, Stead 2017, </w:t>
      </w:r>
      <w:r w:rsidR="0056562B">
        <w:t xml:space="preserve">Carson-Chahhoud 2019, Hartmann-Boyce 2019, Livingstone-Banks 2019b, </w:t>
      </w:r>
      <w:r w:rsidR="00B05DCD">
        <w:t>and Matkin</w:t>
      </w:r>
      <w:r w:rsidR="0056562B">
        <w:t xml:space="preserve"> 2019</w:t>
      </w:r>
      <w:r w:rsidR="00C41E41">
        <w:t>)</w:t>
      </w:r>
      <w:r w:rsidRPr="00526861">
        <w:t>.</w:t>
      </w:r>
    </w:p>
    <w:p w:rsidR="00B100E0" w:rsidRDefault="00B100E0" w:rsidP="00B100E0">
      <w:pPr>
        <w:pStyle w:val="Caption"/>
        <w:keepNext/>
      </w:pPr>
      <w:bookmarkStart w:id="237" w:name="_Ref61773812"/>
      <w:r>
        <w:t xml:space="preserve">Table </w:t>
      </w:r>
      <w:r w:rsidR="003C4A1C">
        <w:rPr>
          <w:noProof/>
        </w:rPr>
        <w:t>117</w:t>
      </w:r>
      <w:bookmarkEnd w:id="237"/>
      <w:r>
        <w:t xml:space="preserve">: </w:t>
      </w:r>
      <w:r w:rsidRPr="00285E05">
        <w:t>List of studies examining behavioural support in addition to pharmacotherap</w:t>
      </w:r>
      <w:r w:rsidR="00752D54">
        <w:t>ies</w:t>
      </w:r>
    </w:p>
    <w:tbl>
      <w:tblPr>
        <w:tblStyle w:val="TableGrid"/>
        <w:tblW w:w="0" w:type="auto"/>
        <w:tblLook w:val="04A0" w:firstRow="1" w:lastRow="0" w:firstColumn="1" w:lastColumn="0" w:noHBand="0" w:noVBand="1"/>
      </w:tblPr>
      <w:tblGrid>
        <w:gridCol w:w="1838"/>
        <w:gridCol w:w="7178"/>
      </w:tblGrid>
      <w:tr w:rsidR="00843C2E" w:rsidRPr="00BB0BE1" w:rsidTr="00B100E0">
        <w:tc>
          <w:tcPr>
            <w:tcW w:w="1838" w:type="dxa"/>
            <w:shd w:val="clear" w:color="auto" w:fill="BFBFBF" w:themeFill="background1" w:themeFillShade="BF"/>
          </w:tcPr>
          <w:p w:rsidR="0066336F" w:rsidRPr="00B100E0" w:rsidRDefault="00B100E0" w:rsidP="00B100E0">
            <w:pPr>
              <w:pStyle w:val="Tablewriting"/>
              <w:rPr>
                <w:b/>
                <w:bCs/>
              </w:rPr>
            </w:pPr>
            <w:r>
              <w:rPr>
                <w:b/>
                <w:bCs/>
              </w:rPr>
              <w:t>Study</w:t>
            </w:r>
          </w:p>
        </w:tc>
        <w:tc>
          <w:tcPr>
            <w:tcW w:w="7178" w:type="dxa"/>
            <w:shd w:val="clear" w:color="auto" w:fill="BFBFBF" w:themeFill="background1" w:themeFillShade="BF"/>
          </w:tcPr>
          <w:p w:rsidR="0066336F" w:rsidRPr="00B100E0" w:rsidRDefault="0066336F" w:rsidP="00B100E0">
            <w:pPr>
              <w:pStyle w:val="Tablewriting"/>
              <w:jc w:val="center"/>
              <w:rPr>
                <w:b/>
                <w:bCs/>
              </w:rPr>
            </w:pPr>
            <w:r w:rsidRPr="00B100E0">
              <w:rPr>
                <w:b/>
                <w:bCs/>
              </w:rPr>
              <w:t>Citation</w:t>
            </w:r>
          </w:p>
        </w:tc>
      </w:tr>
      <w:tr w:rsidR="00843C2E" w:rsidTr="00B100E0">
        <w:tc>
          <w:tcPr>
            <w:tcW w:w="1838" w:type="dxa"/>
          </w:tcPr>
          <w:p w:rsidR="00C41E41" w:rsidRDefault="00C41E41" w:rsidP="00C41E41">
            <w:pPr>
              <w:pStyle w:val="Tablewriting"/>
            </w:pPr>
            <w:r>
              <w:t xml:space="preserve">Lancaster </w:t>
            </w:r>
          </w:p>
          <w:p w:rsidR="00C41E41" w:rsidRPr="00935B04" w:rsidRDefault="00C41E41" w:rsidP="00C41E41">
            <w:pPr>
              <w:pStyle w:val="Tablewriting"/>
            </w:pPr>
            <w:r>
              <w:t>(2017)</w:t>
            </w:r>
            <w:r w:rsidR="0039468B" w:rsidRPr="0039468B">
              <w:rPr>
                <w:noProof/>
                <w:vertAlign w:val="superscript"/>
              </w:rPr>
              <w:t>55</w:t>
            </w:r>
          </w:p>
        </w:tc>
        <w:tc>
          <w:tcPr>
            <w:tcW w:w="7178" w:type="dxa"/>
          </w:tcPr>
          <w:p w:rsidR="00C41E41" w:rsidRDefault="00C41E41" w:rsidP="00C41E41">
            <w:pPr>
              <w:pStyle w:val="Tablewriting"/>
            </w:pPr>
            <w:r w:rsidRPr="00BB0BE1">
              <w:t>Lancaster</w:t>
            </w:r>
            <w:r>
              <w:t xml:space="preserve"> </w:t>
            </w:r>
            <w:r w:rsidRPr="00BB0BE1">
              <w:t>T, Stead</w:t>
            </w:r>
            <w:r>
              <w:t xml:space="preserve"> </w:t>
            </w:r>
            <w:r w:rsidRPr="00BB0BE1">
              <w:t>LF. Individual behavioural counselling for smoking cessation. Cochrane Database of Systematic Reviews 2017, Issue 3. Art. No.: CD001292. DOI: 10.1002/14651858.CD001292.pub3</w:t>
            </w:r>
          </w:p>
        </w:tc>
      </w:tr>
      <w:tr w:rsidR="00843C2E" w:rsidTr="00B100E0">
        <w:tc>
          <w:tcPr>
            <w:tcW w:w="1838" w:type="dxa"/>
          </w:tcPr>
          <w:p w:rsidR="00C41E41" w:rsidRDefault="00C41E41" w:rsidP="00C41E41">
            <w:pPr>
              <w:pStyle w:val="Tablewriting"/>
            </w:pPr>
            <w:r>
              <w:t xml:space="preserve">Stead </w:t>
            </w:r>
          </w:p>
          <w:p w:rsidR="00C41E41" w:rsidRPr="00935B04" w:rsidRDefault="00C41E41" w:rsidP="00C41E41">
            <w:pPr>
              <w:pStyle w:val="Tablewriting"/>
            </w:pPr>
            <w:r>
              <w:t>(2017)</w:t>
            </w:r>
            <w:r w:rsidR="0039468B" w:rsidRPr="0039468B">
              <w:rPr>
                <w:noProof/>
                <w:vertAlign w:val="superscript"/>
              </w:rPr>
              <w:t>56</w:t>
            </w:r>
          </w:p>
        </w:tc>
        <w:tc>
          <w:tcPr>
            <w:tcW w:w="7178" w:type="dxa"/>
          </w:tcPr>
          <w:p w:rsidR="00C41E41" w:rsidRDefault="00C41E41" w:rsidP="00C41E41">
            <w:pPr>
              <w:pStyle w:val="Tablewriting"/>
            </w:pPr>
            <w:r w:rsidRPr="00FE0A44">
              <w:t>Stead</w:t>
            </w:r>
            <w:r>
              <w:t xml:space="preserve"> </w:t>
            </w:r>
            <w:r w:rsidRPr="00FE0A44">
              <w:t>LF, Carroll</w:t>
            </w:r>
            <w:r>
              <w:t xml:space="preserve"> </w:t>
            </w:r>
            <w:r w:rsidRPr="00FE0A44">
              <w:t>AJ, Lancaster</w:t>
            </w:r>
            <w:r>
              <w:t xml:space="preserve"> </w:t>
            </w:r>
            <w:r w:rsidRPr="00FE0A44">
              <w:t>T. Group behaviour therapy programmes for smoking cessation. Cochrane Database of Systematic Reviews 2017, Issue 3. Art. No.: CD001007. DOI: 10.1002/14651858.CD001007.pub3.</w:t>
            </w:r>
          </w:p>
        </w:tc>
      </w:tr>
      <w:tr w:rsidR="00843C2E" w:rsidTr="00B100E0">
        <w:tc>
          <w:tcPr>
            <w:tcW w:w="1838" w:type="dxa"/>
          </w:tcPr>
          <w:p w:rsidR="00B100E0" w:rsidRDefault="00A34EAA" w:rsidP="00B100E0">
            <w:pPr>
              <w:pStyle w:val="Tablewriting"/>
            </w:pPr>
            <w:r w:rsidRPr="00935B04">
              <w:t xml:space="preserve">Carson-Chahhoud </w:t>
            </w:r>
          </w:p>
          <w:p w:rsidR="00A34EAA" w:rsidRDefault="00B100E0" w:rsidP="00B100E0">
            <w:pPr>
              <w:pStyle w:val="Tablewriting"/>
            </w:pPr>
            <w:r>
              <w:t>(</w:t>
            </w:r>
            <w:r w:rsidR="00A34EAA" w:rsidRPr="00935B04">
              <w:t>2019</w:t>
            </w:r>
            <w:r>
              <w:t>)</w:t>
            </w:r>
            <w:r w:rsidR="0039468B" w:rsidRPr="0039468B">
              <w:rPr>
                <w:noProof/>
                <w:vertAlign w:val="superscript"/>
              </w:rPr>
              <w:t>57</w:t>
            </w:r>
          </w:p>
        </w:tc>
        <w:tc>
          <w:tcPr>
            <w:tcW w:w="7178" w:type="dxa"/>
          </w:tcPr>
          <w:p w:rsidR="00A34EAA" w:rsidRDefault="00CB4948" w:rsidP="00B100E0">
            <w:pPr>
              <w:pStyle w:val="Tablewriting"/>
            </w:pPr>
            <w:r>
              <w:t xml:space="preserve">Carson-Chahhoud KV, Livingstone-Banks J, Sharrad KJ, Kopsaftis </w:t>
            </w:r>
            <w:r w:rsidR="00E51BB3">
              <w:t>Z, Brinn MP, To-A-Nan R, Bond CM. Community pharmac</w:t>
            </w:r>
            <w:r w:rsidR="00477CBA">
              <w:t>y</w:t>
            </w:r>
            <w:r w:rsidR="00E51BB3">
              <w:t xml:space="preserve"> personnel interve</w:t>
            </w:r>
            <w:r w:rsidR="00477CBA">
              <w:t>nt</w:t>
            </w:r>
            <w:r w:rsidR="00E51BB3">
              <w:t>ions for smoking cessation</w:t>
            </w:r>
            <w:r w:rsidR="00813109">
              <w:t xml:space="preserve">. </w:t>
            </w:r>
            <w:r w:rsidR="00813109" w:rsidRPr="00813109">
              <w:t>Cochrane Database of Systematic Reviews 2019, Issue 10. Art. No.: CD003698. DOI: 10.1002/14651858.CD003698.pub3.</w:t>
            </w:r>
          </w:p>
        </w:tc>
      </w:tr>
      <w:tr w:rsidR="00843C2E" w:rsidTr="00B100E0">
        <w:tc>
          <w:tcPr>
            <w:tcW w:w="1838" w:type="dxa"/>
          </w:tcPr>
          <w:p w:rsidR="00A34EAA" w:rsidRDefault="00A34EAA" w:rsidP="00B100E0">
            <w:pPr>
              <w:pStyle w:val="Tablewriting"/>
            </w:pPr>
            <w:r>
              <w:t xml:space="preserve">Hartmann-Boyce </w:t>
            </w:r>
            <w:r w:rsidR="00B100E0">
              <w:t>(</w:t>
            </w:r>
            <w:r>
              <w:t>2019</w:t>
            </w:r>
            <w:r w:rsidR="00B100E0">
              <w:t>)</w:t>
            </w:r>
            <w:r w:rsidR="0039468B" w:rsidRPr="0039468B">
              <w:rPr>
                <w:noProof/>
                <w:vertAlign w:val="superscript"/>
              </w:rPr>
              <w:t>58</w:t>
            </w:r>
          </w:p>
        </w:tc>
        <w:tc>
          <w:tcPr>
            <w:tcW w:w="7178" w:type="dxa"/>
          </w:tcPr>
          <w:p w:rsidR="00A34EAA" w:rsidRDefault="009E330E" w:rsidP="00B100E0">
            <w:pPr>
              <w:pStyle w:val="Tablewriting"/>
            </w:pPr>
            <w:r w:rsidRPr="009E330E">
              <w:t>Hartmann-Boyce</w:t>
            </w:r>
            <w:r>
              <w:t xml:space="preserve"> </w:t>
            </w:r>
            <w:r w:rsidRPr="009E330E">
              <w:t>J, Hong</w:t>
            </w:r>
            <w:r>
              <w:t xml:space="preserve"> </w:t>
            </w:r>
            <w:r w:rsidRPr="009E330E">
              <w:t>B, Livingstone-Banks</w:t>
            </w:r>
            <w:r>
              <w:t xml:space="preserve"> </w:t>
            </w:r>
            <w:r w:rsidRPr="009E330E">
              <w:t>J, Wheat</w:t>
            </w:r>
            <w:r>
              <w:t xml:space="preserve"> </w:t>
            </w:r>
            <w:r w:rsidRPr="009E330E">
              <w:t>H, Fanshawe</w:t>
            </w:r>
            <w:r>
              <w:t xml:space="preserve"> </w:t>
            </w:r>
            <w:r w:rsidRPr="009E330E">
              <w:t>TR. Additional behavioural support as an adjunct to pharmacotherapy for smoking cessation. Cochrane Database of Systematic Reviews 2019, Issue 6. Art. No.: CD009670. DOI: 10.1002/14651858.CD009670.pub4.</w:t>
            </w:r>
          </w:p>
        </w:tc>
      </w:tr>
      <w:tr w:rsidR="00843C2E" w:rsidTr="00B100E0">
        <w:tc>
          <w:tcPr>
            <w:tcW w:w="1838" w:type="dxa"/>
          </w:tcPr>
          <w:p w:rsidR="00A34EAA" w:rsidRDefault="00A34EAA" w:rsidP="00B100E0">
            <w:pPr>
              <w:pStyle w:val="Tablewriting"/>
            </w:pPr>
            <w:r w:rsidRPr="00673DED">
              <w:t xml:space="preserve">Livingstone-Banks </w:t>
            </w:r>
            <w:r w:rsidR="00B100E0">
              <w:t>(</w:t>
            </w:r>
            <w:r w:rsidRPr="00673DED">
              <w:t>2019b)</w:t>
            </w:r>
            <w:r w:rsidR="0039468B" w:rsidRPr="0039468B">
              <w:rPr>
                <w:noProof/>
                <w:vertAlign w:val="superscript"/>
              </w:rPr>
              <w:t>59</w:t>
            </w:r>
          </w:p>
        </w:tc>
        <w:tc>
          <w:tcPr>
            <w:tcW w:w="7178" w:type="dxa"/>
          </w:tcPr>
          <w:p w:rsidR="00A34EAA" w:rsidRDefault="00EC132F" w:rsidP="00B100E0">
            <w:pPr>
              <w:pStyle w:val="Tablewriting"/>
            </w:pPr>
            <w:r w:rsidRPr="00EC132F">
              <w:t>Livingstone-Banks</w:t>
            </w:r>
            <w:r>
              <w:t xml:space="preserve"> </w:t>
            </w:r>
            <w:r w:rsidRPr="00EC132F">
              <w:t>J, Ordóñez-Mena</w:t>
            </w:r>
            <w:r>
              <w:t xml:space="preserve"> </w:t>
            </w:r>
            <w:r w:rsidRPr="00EC132F">
              <w:t>JM, Hartmann-Boyce</w:t>
            </w:r>
            <w:r>
              <w:t xml:space="preserve"> </w:t>
            </w:r>
            <w:r w:rsidRPr="00EC132F">
              <w:t>J. Print-based self-help interventions for smoking cessation. Cochrane Database of Systematic Reviews 2019, Issue 1. Art. No.: CD001118. DOI: 10.1002/14651858.CD001118.pub4.</w:t>
            </w:r>
          </w:p>
        </w:tc>
      </w:tr>
      <w:tr w:rsidR="00843C2E" w:rsidTr="00B100E0">
        <w:tc>
          <w:tcPr>
            <w:tcW w:w="1838" w:type="dxa"/>
          </w:tcPr>
          <w:p w:rsidR="00B100E0" w:rsidRDefault="00A34EAA" w:rsidP="00B100E0">
            <w:pPr>
              <w:pStyle w:val="Tablewriting"/>
            </w:pPr>
            <w:r>
              <w:t xml:space="preserve">Matkin </w:t>
            </w:r>
          </w:p>
          <w:p w:rsidR="00A34EAA" w:rsidRDefault="00B100E0" w:rsidP="00B100E0">
            <w:pPr>
              <w:pStyle w:val="Tablewriting"/>
            </w:pPr>
            <w:r>
              <w:t>(</w:t>
            </w:r>
            <w:r w:rsidR="00A34EAA">
              <w:t>2019</w:t>
            </w:r>
            <w:r>
              <w:t>)</w:t>
            </w:r>
            <w:r w:rsidR="0039468B" w:rsidRPr="0039468B">
              <w:rPr>
                <w:noProof/>
                <w:vertAlign w:val="superscript"/>
              </w:rPr>
              <w:t>60</w:t>
            </w:r>
          </w:p>
        </w:tc>
        <w:tc>
          <w:tcPr>
            <w:tcW w:w="7178" w:type="dxa"/>
          </w:tcPr>
          <w:p w:rsidR="00A34EAA" w:rsidRDefault="00656C69" w:rsidP="00B100E0">
            <w:pPr>
              <w:pStyle w:val="Tablewriting"/>
            </w:pPr>
            <w:r w:rsidRPr="00656C69">
              <w:t>Matkin</w:t>
            </w:r>
            <w:r>
              <w:t xml:space="preserve"> </w:t>
            </w:r>
            <w:r w:rsidRPr="00656C69">
              <w:t>W, Ordóñez-Mena</w:t>
            </w:r>
            <w:r>
              <w:t xml:space="preserve"> </w:t>
            </w:r>
            <w:r w:rsidRPr="00656C69">
              <w:t>JM, Hartmann-Boyce</w:t>
            </w:r>
            <w:r>
              <w:t xml:space="preserve"> </w:t>
            </w:r>
            <w:r w:rsidRPr="00656C69">
              <w:t>J. Telephone counselling for smoking cessation. Cochrane Database of Systematic Reviews 2019, Issue 5. Art. No.: CD002850. DOI: 10.1002/14651858.CD002850.pub4.</w:t>
            </w:r>
          </w:p>
        </w:tc>
      </w:tr>
    </w:tbl>
    <w:p w:rsidR="0066336F" w:rsidRDefault="0066336F" w:rsidP="008D43F8"/>
    <w:p w:rsidR="00796294" w:rsidRDefault="00796294" w:rsidP="008D43F8">
      <w:r w:rsidRPr="00796294">
        <w:t xml:space="preserve">A summary of the characteristics of the </w:t>
      </w:r>
      <w:r w:rsidR="00412CEC">
        <w:t>six Cochrane Reviews</w:t>
      </w:r>
      <w:r w:rsidRPr="00796294">
        <w:t xml:space="preserve"> </w:t>
      </w:r>
      <w:r w:rsidRPr="00285E05">
        <w:t>examining behavioural support in addition to</w:t>
      </w:r>
      <w:r w:rsidR="00752D54">
        <w:t xml:space="preserve"> pharmacotherapies</w:t>
      </w:r>
      <w:r w:rsidRPr="00796294">
        <w:t xml:space="preserve"> is presented in </w:t>
      </w:r>
      <w:r w:rsidR="003C4A1C">
        <w:t xml:space="preserve">Table </w:t>
      </w:r>
      <w:r w:rsidR="003C4A1C">
        <w:rPr>
          <w:noProof/>
        </w:rPr>
        <w:t>118</w:t>
      </w:r>
      <w:r w:rsidRPr="00796294">
        <w:t xml:space="preserve">. </w:t>
      </w:r>
    </w:p>
    <w:p w:rsidR="004E0304" w:rsidRDefault="004E0304" w:rsidP="008D43F8"/>
    <w:p w:rsidR="00796294" w:rsidRDefault="00796294" w:rsidP="008D43F8">
      <w:pPr>
        <w:sectPr w:rsidR="00796294" w:rsidSect="006356D2">
          <w:pgSz w:w="11906" w:h="16838"/>
          <w:pgMar w:top="1440" w:right="1440" w:bottom="1440" w:left="1440" w:header="708" w:footer="708" w:gutter="0"/>
          <w:cols w:space="708"/>
          <w:titlePg/>
          <w:docGrid w:linePitch="360"/>
        </w:sectPr>
      </w:pPr>
    </w:p>
    <w:p w:rsidR="004E4B29" w:rsidRDefault="004E4B29" w:rsidP="004E4B29">
      <w:pPr>
        <w:pStyle w:val="Caption"/>
        <w:keepNext/>
      </w:pPr>
      <w:bookmarkStart w:id="238" w:name="_Ref61791113"/>
      <w:r>
        <w:lastRenderedPageBreak/>
        <w:t xml:space="preserve">Table </w:t>
      </w:r>
      <w:r w:rsidR="003C4A1C">
        <w:rPr>
          <w:noProof/>
        </w:rPr>
        <w:t>118</w:t>
      </w:r>
      <w:bookmarkEnd w:id="238"/>
      <w:r>
        <w:t xml:space="preserve">: </w:t>
      </w:r>
      <w:r w:rsidRPr="008838E2">
        <w:t xml:space="preserve">Characteristics of the studies </w:t>
      </w:r>
      <w:r w:rsidRPr="004E4B29">
        <w:t>examining behavioural support in addition to pharmacotherapies</w:t>
      </w:r>
    </w:p>
    <w:tbl>
      <w:tblPr>
        <w:tblStyle w:val="TableGrid"/>
        <w:tblW w:w="5000" w:type="pct"/>
        <w:tblLook w:val="04A0" w:firstRow="1" w:lastRow="0" w:firstColumn="1" w:lastColumn="0" w:noHBand="0" w:noVBand="1"/>
      </w:tblPr>
      <w:tblGrid>
        <w:gridCol w:w="1390"/>
        <w:gridCol w:w="1261"/>
        <w:gridCol w:w="2307"/>
        <w:gridCol w:w="3827"/>
        <w:gridCol w:w="2862"/>
        <w:gridCol w:w="2301"/>
      </w:tblGrid>
      <w:tr w:rsidR="007D6ABC" w:rsidTr="008B55E6">
        <w:tc>
          <w:tcPr>
            <w:tcW w:w="498" w:type="pct"/>
            <w:shd w:val="clear" w:color="auto" w:fill="BFBFBF" w:themeFill="background1" w:themeFillShade="BF"/>
          </w:tcPr>
          <w:p w:rsidR="00E90CB9" w:rsidRPr="004E4B29" w:rsidRDefault="00E90CB9" w:rsidP="00796CE0">
            <w:pPr>
              <w:pStyle w:val="Tablewriting"/>
              <w:rPr>
                <w:b/>
                <w:bCs/>
              </w:rPr>
            </w:pPr>
            <w:r w:rsidRPr="004E4B29">
              <w:rPr>
                <w:b/>
                <w:bCs/>
              </w:rPr>
              <w:t>Study</w:t>
            </w:r>
          </w:p>
        </w:tc>
        <w:tc>
          <w:tcPr>
            <w:tcW w:w="452" w:type="pct"/>
            <w:shd w:val="clear" w:color="auto" w:fill="BFBFBF" w:themeFill="background1" w:themeFillShade="BF"/>
          </w:tcPr>
          <w:p w:rsidR="00E90CB9" w:rsidRPr="004E4B29" w:rsidRDefault="00E90CB9" w:rsidP="00B20C33">
            <w:pPr>
              <w:pStyle w:val="Tablewriting"/>
              <w:jc w:val="center"/>
              <w:rPr>
                <w:b/>
                <w:bCs/>
              </w:rPr>
            </w:pPr>
            <w:r w:rsidRPr="004E4B29">
              <w:rPr>
                <w:b/>
                <w:bCs/>
              </w:rPr>
              <w:t>Study Type</w:t>
            </w:r>
          </w:p>
        </w:tc>
        <w:tc>
          <w:tcPr>
            <w:tcW w:w="827" w:type="pct"/>
            <w:shd w:val="clear" w:color="auto" w:fill="BFBFBF" w:themeFill="background1" w:themeFillShade="BF"/>
          </w:tcPr>
          <w:p w:rsidR="00E90CB9" w:rsidRPr="00184000" w:rsidRDefault="00E90CB9" w:rsidP="00B20C33">
            <w:pPr>
              <w:pStyle w:val="Tablewriting"/>
              <w:jc w:val="center"/>
              <w:rPr>
                <w:b/>
                <w:bCs/>
                <w:vertAlign w:val="superscript"/>
              </w:rPr>
            </w:pPr>
            <w:r w:rsidRPr="004E4B29">
              <w:rPr>
                <w:b/>
                <w:bCs/>
              </w:rPr>
              <w:t>N</w:t>
            </w:r>
            <w:r w:rsidR="00184000">
              <w:rPr>
                <w:b/>
                <w:bCs/>
                <w:vertAlign w:val="superscript"/>
              </w:rPr>
              <w:t>1</w:t>
            </w:r>
          </w:p>
        </w:tc>
        <w:tc>
          <w:tcPr>
            <w:tcW w:w="1372" w:type="pct"/>
            <w:shd w:val="clear" w:color="auto" w:fill="BFBFBF" w:themeFill="background1" w:themeFillShade="BF"/>
          </w:tcPr>
          <w:p w:rsidR="00E90CB9" w:rsidRPr="004E4B29" w:rsidRDefault="00E90CB9" w:rsidP="00B20C33">
            <w:pPr>
              <w:pStyle w:val="Tablewriting"/>
              <w:jc w:val="center"/>
              <w:rPr>
                <w:b/>
                <w:bCs/>
              </w:rPr>
            </w:pPr>
            <w:r w:rsidRPr="004E4B29">
              <w:rPr>
                <w:b/>
                <w:bCs/>
              </w:rPr>
              <w:t>Population</w:t>
            </w:r>
          </w:p>
        </w:tc>
        <w:tc>
          <w:tcPr>
            <w:tcW w:w="1026" w:type="pct"/>
            <w:shd w:val="clear" w:color="auto" w:fill="BFBFBF" w:themeFill="background1" w:themeFillShade="BF"/>
          </w:tcPr>
          <w:p w:rsidR="00E90CB9" w:rsidRPr="004E4B29" w:rsidRDefault="00E90CB9" w:rsidP="00B20C33">
            <w:pPr>
              <w:pStyle w:val="Tablewriting"/>
              <w:jc w:val="center"/>
              <w:rPr>
                <w:b/>
                <w:bCs/>
              </w:rPr>
            </w:pPr>
            <w:r w:rsidRPr="004E4B29">
              <w:rPr>
                <w:b/>
                <w:bCs/>
              </w:rPr>
              <w:t>Intervention and comparator</w:t>
            </w:r>
          </w:p>
        </w:tc>
        <w:tc>
          <w:tcPr>
            <w:tcW w:w="825" w:type="pct"/>
            <w:shd w:val="clear" w:color="auto" w:fill="BFBFBF" w:themeFill="background1" w:themeFillShade="BF"/>
          </w:tcPr>
          <w:p w:rsidR="00E90CB9" w:rsidRPr="004E4B29" w:rsidRDefault="00E90CB9" w:rsidP="00B20C33">
            <w:pPr>
              <w:pStyle w:val="Tablewriting"/>
              <w:jc w:val="center"/>
              <w:rPr>
                <w:b/>
                <w:bCs/>
              </w:rPr>
            </w:pPr>
            <w:r w:rsidRPr="004E4B29">
              <w:rPr>
                <w:b/>
                <w:bCs/>
              </w:rPr>
              <w:t>Outcomes</w:t>
            </w:r>
          </w:p>
        </w:tc>
      </w:tr>
      <w:tr w:rsidR="00C41E41" w:rsidTr="008B55E6">
        <w:tc>
          <w:tcPr>
            <w:tcW w:w="498" w:type="pct"/>
          </w:tcPr>
          <w:p w:rsidR="00C41E41" w:rsidRDefault="00C41E41" w:rsidP="00C41E41">
            <w:pPr>
              <w:pStyle w:val="Tablewriting"/>
            </w:pPr>
            <w:r>
              <w:t>Lancaster (2017)</w:t>
            </w:r>
          </w:p>
        </w:tc>
        <w:tc>
          <w:tcPr>
            <w:tcW w:w="452" w:type="pct"/>
          </w:tcPr>
          <w:p w:rsidR="00C41E41" w:rsidRDefault="00C41E41" w:rsidP="00C41E41">
            <w:pPr>
              <w:pStyle w:val="Tablewriting"/>
            </w:pPr>
            <w:r>
              <w:t xml:space="preserve">Cochrane Review </w:t>
            </w:r>
          </w:p>
          <w:p w:rsidR="00C41E41" w:rsidRDefault="00C41E41" w:rsidP="00C41E41">
            <w:pPr>
              <w:pStyle w:val="Tablewriting"/>
            </w:pPr>
            <w:r>
              <w:t>(33 RCTs</w:t>
            </w:r>
            <w:r w:rsidRPr="00A76716">
              <w:rPr>
                <w:vertAlign w:val="superscript"/>
              </w:rPr>
              <w:t>2</w:t>
            </w:r>
            <w:r>
              <w:t>)</w:t>
            </w:r>
          </w:p>
        </w:tc>
        <w:tc>
          <w:tcPr>
            <w:tcW w:w="827" w:type="pct"/>
          </w:tcPr>
          <w:p w:rsidR="00C41E41" w:rsidRPr="001D0374" w:rsidRDefault="00C41E41" w:rsidP="00C41E41">
            <w:pPr>
              <w:pStyle w:val="Tablewriting"/>
              <w:rPr>
                <w:u w:val="single"/>
              </w:rPr>
            </w:pPr>
            <w:r w:rsidRPr="001D0374">
              <w:rPr>
                <w:u w:val="single"/>
              </w:rPr>
              <w:t>Efficacy (</w:t>
            </w:r>
            <w:r>
              <w:rPr>
                <w:u w:val="single"/>
              </w:rPr>
              <w:t>6</w:t>
            </w:r>
            <w:r w:rsidRPr="001D0374">
              <w:rPr>
                <w:u w:val="single"/>
              </w:rPr>
              <w:t xml:space="preserve"> RCTs)</w:t>
            </w:r>
          </w:p>
          <w:p w:rsidR="00C41E41" w:rsidRDefault="00C41E41" w:rsidP="00C41E41">
            <w:pPr>
              <w:pStyle w:val="Tablewriting"/>
            </w:pPr>
            <w:r>
              <w:t>N=2,662</w:t>
            </w:r>
          </w:p>
          <w:p w:rsidR="00C41E41" w:rsidRDefault="00C41E41" w:rsidP="00C41E41">
            <w:pPr>
              <w:pStyle w:val="Tablewriting"/>
            </w:pPr>
            <w:r>
              <w:t xml:space="preserve">Counselling + pharmacotherapy (n=1,196), </w:t>
            </w:r>
          </w:p>
          <w:p w:rsidR="00C41E41" w:rsidRPr="00184000" w:rsidRDefault="00C41E41" w:rsidP="00C41E41">
            <w:pPr>
              <w:pStyle w:val="Tablewriting"/>
              <w:rPr>
                <w:u w:val="single"/>
              </w:rPr>
            </w:pPr>
            <w:r>
              <w:t>Pharmacotherapy alone (n=1,466)</w:t>
            </w:r>
          </w:p>
        </w:tc>
        <w:tc>
          <w:tcPr>
            <w:tcW w:w="1372" w:type="pct"/>
          </w:tcPr>
          <w:p w:rsidR="00C41E41" w:rsidRDefault="00C41E41" w:rsidP="00C41E41">
            <w:pPr>
              <w:pStyle w:val="Tablewriting"/>
            </w:pPr>
            <w:r w:rsidRPr="00216E03">
              <w:rPr>
                <w:u w:val="single"/>
              </w:rPr>
              <w:t>Inclusion:</w:t>
            </w:r>
            <w:r>
              <w:t xml:space="preserve"> a</w:t>
            </w:r>
            <w:r w:rsidRPr="009F57AA">
              <w:t>ny smokers</w:t>
            </w:r>
            <w:r w:rsidR="00E512A4">
              <w:t>.</w:t>
            </w:r>
          </w:p>
          <w:p w:rsidR="00C41E41" w:rsidRPr="00EA340A" w:rsidRDefault="00C41E41" w:rsidP="00C41E41">
            <w:pPr>
              <w:pStyle w:val="Tablewriting"/>
              <w:rPr>
                <w:u w:val="single"/>
              </w:rPr>
            </w:pPr>
            <w:r w:rsidRPr="000D45B0">
              <w:rPr>
                <w:u w:val="single"/>
              </w:rPr>
              <w:t>Exclusion:</w:t>
            </w:r>
            <w:r w:rsidRPr="009F57AA">
              <w:t xml:space="preserve"> pregnant women</w:t>
            </w:r>
            <w:r>
              <w:t>, children, adolescents</w:t>
            </w:r>
            <w:r w:rsidR="00E512A4">
              <w:t>.</w:t>
            </w:r>
          </w:p>
        </w:tc>
        <w:tc>
          <w:tcPr>
            <w:tcW w:w="1026" w:type="pct"/>
          </w:tcPr>
          <w:p w:rsidR="00C41E41" w:rsidRDefault="00C41E41" w:rsidP="00C41E41">
            <w:pPr>
              <w:pStyle w:val="Tablewriting"/>
            </w:pPr>
            <w:r>
              <w:t>Individual counselling plus pharmacotherapy versus minimal contact plus pharmacotherapy</w:t>
            </w:r>
            <w:r w:rsidR="00E512A4">
              <w:t>.</w:t>
            </w:r>
          </w:p>
        </w:tc>
        <w:tc>
          <w:tcPr>
            <w:tcW w:w="825" w:type="pct"/>
          </w:tcPr>
          <w:p w:rsidR="00C41E41" w:rsidRPr="00923219" w:rsidRDefault="00C41E41" w:rsidP="00C41E41">
            <w:pPr>
              <w:pStyle w:val="Tablewriting"/>
              <w:rPr>
                <w:u w:val="single"/>
              </w:rPr>
            </w:pPr>
            <w:r w:rsidRPr="00AA6DE2">
              <w:rPr>
                <w:u w:val="single"/>
              </w:rPr>
              <w:t>Primary</w:t>
            </w:r>
            <w:r>
              <w:rPr>
                <w:u w:val="single"/>
              </w:rPr>
              <w:t>:</w:t>
            </w:r>
            <w:r>
              <w:t xml:space="preserve"> smoking cessation at longest follow-up (at least 6 months after the start of counselling)</w:t>
            </w:r>
            <w:r w:rsidR="00E512A4">
              <w:t>.</w:t>
            </w:r>
          </w:p>
        </w:tc>
      </w:tr>
      <w:tr w:rsidR="00C41E41" w:rsidTr="008B55E6">
        <w:tc>
          <w:tcPr>
            <w:tcW w:w="498" w:type="pct"/>
          </w:tcPr>
          <w:p w:rsidR="00C41E41" w:rsidRDefault="00C41E41" w:rsidP="00C41E41">
            <w:pPr>
              <w:pStyle w:val="Tablewriting"/>
            </w:pPr>
            <w:r>
              <w:t xml:space="preserve">Stead </w:t>
            </w:r>
          </w:p>
          <w:p w:rsidR="00C41E41" w:rsidRDefault="00C41E41" w:rsidP="00C41E41">
            <w:pPr>
              <w:pStyle w:val="Tablewriting"/>
            </w:pPr>
            <w:r>
              <w:t>(2017)</w:t>
            </w:r>
          </w:p>
        </w:tc>
        <w:tc>
          <w:tcPr>
            <w:tcW w:w="452" w:type="pct"/>
          </w:tcPr>
          <w:p w:rsidR="00C41E41" w:rsidRDefault="00C41E41" w:rsidP="00C41E41">
            <w:pPr>
              <w:pStyle w:val="Tablewriting"/>
            </w:pPr>
            <w:r>
              <w:t xml:space="preserve">Cochrane Review </w:t>
            </w:r>
          </w:p>
          <w:p w:rsidR="00C41E41" w:rsidRDefault="00C41E41" w:rsidP="00C41E41">
            <w:pPr>
              <w:pStyle w:val="Tablewriting"/>
            </w:pPr>
            <w:r>
              <w:t>(5 RCTs)</w:t>
            </w:r>
          </w:p>
        </w:tc>
        <w:tc>
          <w:tcPr>
            <w:tcW w:w="827" w:type="pct"/>
          </w:tcPr>
          <w:p w:rsidR="00C41E41" w:rsidRDefault="00C41E41" w:rsidP="00C41E41">
            <w:pPr>
              <w:pStyle w:val="Tablewriting"/>
            </w:pPr>
            <w:r>
              <w:t>N=1,523</w:t>
            </w:r>
          </w:p>
          <w:p w:rsidR="00C41E41" w:rsidRPr="00184000" w:rsidRDefault="00C41E41" w:rsidP="00C41E41">
            <w:pPr>
              <w:pStyle w:val="Tablewriting"/>
              <w:rPr>
                <w:u w:val="single"/>
              </w:rPr>
            </w:pPr>
            <w:r>
              <w:t>Group counselling + pharmacotherapy (n=843), Pharmacotherapy alone (n=680)</w:t>
            </w:r>
          </w:p>
        </w:tc>
        <w:tc>
          <w:tcPr>
            <w:tcW w:w="1372" w:type="pct"/>
          </w:tcPr>
          <w:p w:rsidR="00C41E41" w:rsidRDefault="00C41E41" w:rsidP="00C41E41">
            <w:pPr>
              <w:pStyle w:val="Tablewriting"/>
            </w:pPr>
            <w:r w:rsidRPr="00216E03">
              <w:rPr>
                <w:u w:val="single"/>
              </w:rPr>
              <w:t>Inclusion:</w:t>
            </w:r>
            <w:r>
              <w:t xml:space="preserve"> a</w:t>
            </w:r>
            <w:r w:rsidRPr="00994CD9">
              <w:t>dult smokers of either gender, irrespective of their initial level of nicotine dependency, recruited from any setting</w:t>
            </w:r>
            <w:r>
              <w:t>.</w:t>
            </w:r>
          </w:p>
          <w:p w:rsidR="00C41E41" w:rsidRPr="00EA340A" w:rsidRDefault="00C41E41" w:rsidP="00C41E41">
            <w:pPr>
              <w:pStyle w:val="Tablewriting"/>
              <w:rPr>
                <w:u w:val="single"/>
              </w:rPr>
            </w:pPr>
            <w:r w:rsidRPr="00323847">
              <w:rPr>
                <w:u w:val="single"/>
              </w:rPr>
              <w:t>Exclusion</w:t>
            </w:r>
            <w:r>
              <w:t>: trials recruiting pregnant women and</w:t>
            </w:r>
            <w:r w:rsidRPr="008D0C04">
              <w:t xml:space="preserve"> adolescent smokers</w:t>
            </w:r>
            <w:r w:rsidR="00E512A4">
              <w:t>.</w:t>
            </w:r>
          </w:p>
        </w:tc>
        <w:tc>
          <w:tcPr>
            <w:tcW w:w="1026" w:type="pct"/>
          </w:tcPr>
          <w:p w:rsidR="00C41E41" w:rsidRDefault="00C41E41" w:rsidP="00C41E41">
            <w:pPr>
              <w:pStyle w:val="Tablewriting"/>
            </w:pPr>
            <w:r>
              <w:t>Group behavioural counselling + pharmacotherapy versus brief behavioural intervention + pharmacotherapy</w:t>
            </w:r>
            <w:r w:rsidR="00E512A4">
              <w:t>.</w:t>
            </w:r>
          </w:p>
        </w:tc>
        <w:tc>
          <w:tcPr>
            <w:tcW w:w="825" w:type="pct"/>
          </w:tcPr>
          <w:p w:rsidR="00C41E41" w:rsidRPr="00923219" w:rsidRDefault="00C41E41" w:rsidP="00C41E41">
            <w:pPr>
              <w:pStyle w:val="Tablewriting"/>
              <w:rPr>
                <w:u w:val="single"/>
              </w:rPr>
            </w:pPr>
            <w:r w:rsidRPr="00AA6DE2">
              <w:rPr>
                <w:u w:val="single"/>
              </w:rPr>
              <w:t>Primary</w:t>
            </w:r>
            <w:r>
              <w:rPr>
                <w:u w:val="single"/>
              </w:rPr>
              <w:t>:</w:t>
            </w:r>
            <w:r>
              <w:t xml:space="preserve"> a</w:t>
            </w:r>
            <w:r w:rsidRPr="00FC2FC3">
              <w:t xml:space="preserve">bstinence from cigarettes at follow-up </w:t>
            </w:r>
            <w:r>
              <w:t>(</w:t>
            </w:r>
            <w:r w:rsidRPr="00FC2FC3">
              <w:t>at least six months a</w:t>
            </w:r>
            <w:r>
              <w:t>ft</w:t>
            </w:r>
            <w:r w:rsidRPr="00FC2FC3">
              <w:t>er the start of treatment</w:t>
            </w:r>
            <w:r>
              <w:t>)</w:t>
            </w:r>
            <w:r w:rsidR="00E512A4">
              <w:t>.</w:t>
            </w:r>
          </w:p>
        </w:tc>
      </w:tr>
      <w:tr w:rsidR="004E0304" w:rsidTr="008B55E6">
        <w:tc>
          <w:tcPr>
            <w:tcW w:w="498" w:type="pct"/>
          </w:tcPr>
          <w:p w:rsidR="00E90CB9" w:rsidRDefault="00504179" w:rsidP="00796CE0">
            <w:pPr>
              <w:pStyle w:val="Tablewriting"/>
            </w:pPr>
            <w:r>
              <w:t xml:space="preserve">Carson-Chahhoud </w:t>
            </w:r>
            <w:r w:rsidR="004E4B29">
              <w:t>(</w:t>
            </w:r>
            <w:r>
              <w:t>2019</w:t>
            </w:r>
            <w:r w:rsidR="004E4B29">
              <w:t>)</w:t>
            </w:r>
          </w:p>
        </w:tc>
        <w:tc>
          <w:tcPr>
            <w:tcW w:w="452" w:type="pct"/>
          </w:tcPr>
          <w:p w:rsidR="005F5549" w:rsidRDefault="00504179" w:rsidP="00796CE0">
            <w:pPr>
              <w:pStyle w:val="Tablewriting"/>
            </w:pPr>
            <w:r>
              <w:t xml:space="preserve">Cochrane Review </w:t>
            </w:r>
          </w:p>
          <w:p w:rsidR="00E90CB9" w:rsidRPr="00262C0E" w:rsidRDefault="00504179" w:rsidP="00796CE0">
            <w:pPr>
              <w:pStyle w:val="Tablewriting"/>
              <w:rPr>
                <w:vertAlign w:val="superscript"/>
              </w:rPr>
            </w:pPr>
            <w:r>
              <w:t>(</w:t>
            </w:r>
            <w:r w:rsidR="00184000">
              <w:t>7</w:t>
            </w:r>
            <w:r>
              <w:t xml:space="preserve"> RCTs</w:t>
            </w:r>
            <w:r w:rsidR="00A76716">
              <w:rPr>
                <w:vertAlign w:val="superscript"/>
              </w:rPr>
              <w:t>3</w:t>
            </w:r>
            <w:r>
              <w:t>)</w:t>
            </w:r>
          </w:p>
        </w:tc>
        <w:tc>
          <w:tcPr>
            <w:tcW w:w="827" w:type="pct"/>
          </w:tcPr>
          <w:p w:rsidR="00184000" w:rsidRPr="00184000" w:rsidRDefault="00184000" w:rsidP="00796CE0">
            <w:pPr>
              <w:pStyle w:val="Tablewriting"/>
              <w:rPr>
                <w:u w:val="single"/>
              </w:rPr>
            </w:pPr>
            <w:r w:rsidRPr="00184000">
              <w:rPr>
                <w:u w:val="single"/>
              </w:rPr>
              <w:t>Efficacy (6 RCTs)</w:t>
            </w:r>
          </w:p>
          <w:p w:rsidR="00E90CB9" w:rsidRDefault="00F7717B" w:rsidP="00796CE0">
            <w:pPr>
              <w:pStyle w:val="Tablewriting"/>
            </w:pPr>
            <w:r>
              <w:t>N=</w:t>
            </w:r>
            <w:r w:rsidR="001A4094">
              <w:t>1</w:t>
            </w:r>
            <w:r>
              <w:t>,</w:t>
            </w:r>
            <w:r w:rsidR="001A4094">
              <w:t>614</w:t>
            </w:r>
          </w:p>
          <w:p w:rsidR="00F7717B" w:rsidRDefault="008B55E6" w:rsidP="00796CE0">
            <w:pPr>
              <w:pStyle w:val="Tablewriting"/>
            </w:pPr>
            <w:r>
              <w:t>More intensive (n=845),</w:t>
            </w:r>
          </w:p>
          <w:p w:rsidR="008B55E6" w:rsidRDefault="008B55E6" w:rsidP="00796CE0">
            <w:pPr>
              <w:pStyle w:val="Tablewriting"/>
            </w:pPr>
            <w:r>
              <w:t>Less intensive (n=769)</w:t>
            </w:r>
          </w:p>
        </w:tc>
        <w:tc>
          <w:tcPr>
            <w:tcW w:w="1372" w:type="pct"/>
          </w:tcPr>
          <w:p w:rsidR="00E90CB9" w:rsidRDefault="00EA340A" w:rsidP="00796CE0">
            <w:pPr>
              <w:pStyle w:val="Tablewriting"/>
            </w:pPr>
            <w:r w:rsidRPr="00EA340A">
              <w:rPr>
                <w:u w:val="single"/>
              </w:rPr>
              <w:t>Inclusion</w:t>
            </w:r>
            <w:r>
              <w:t xml:space="preserve">: </w:t>
            </w:r>
            <w:r w:rsidR="00274344">
              <w:t>c</w:t>
            </w:r>
            <w:r w:rsidR="000B2588" w:rsidRPr="000B2588">
              <w:t>ommunity pharmacy clients who were current tobacco smokers and motivated to change their smoking behaviour.</w:t>
            </w:r>
          </w:p>
        </w:tc>
        <w:tc>
          <w:tcPr>
            <w:tcW w:w="1026" w:type="pct"/>
          </w:tcPr>
          <w:p w:rsidR="00E90CB9" w:rsidRDefault="000B2588" w:rsidP="00796CE0">
            <w:pPr>
              <w:pStyle w:val="Tablewriting"/>
            </w:pPr>
            <w:r>
              <w:t>More intensive</w:t>
            </w:r>
            <w:r w:rsidR="00583C97">
              <w:t xml:space="preserve">, face-to-face </w:t>
            </w:r>
            <w:r>
              <w:t xml:space="preserve">behavioural </w:t>
            </w:r>
            <w:r w:rsidR="00583C97">
              <w:t>interventions v</w:t>
            </w:r>
            <w:r w:rsidR="00CA25EB">
              <w:t>ersus</w:t>
            </w:r>
            <w:r w:rsidR="00356473">
              <w:t xml:space="preserve"> no or</w:t>
            </w:r>
            <w:r w:rsidR="00583C97">
              <w:t xml:space="preserve"> less intensive behavioural interventions </w:t>
            </w:r>
            <w:r w:rsidR="00EF2825">
              <w:t>(both with pharmacotherapy)</w:t>
            </w:r>
            <w:r w:rsidR="00E512A4">
              <w:t>.</w:t>
            </w:r>
          </w:p>
        </w:tc>
        <w:tc>
          <w:tcPr>
            <w:tcW w:w="825" w:type="pct"/>
          </w:tcPr>
          <w:p w:rsidR="00710C7A" w:rsidRDefault="00923219" w:rsidP="00796CE0">
            <w:pPr>
              <w:pStyle w:val="Tablewriting"/>
            </w:pPr>
            <w:r w:rsidRPr="00923219">
              <w:rPr>
                <w:u w:val="single"/>
              </w:rPr>
              <w:t>Primary</w:t>
            </w:r>
            <w:r>
              <w:t>: a</w:t>
            </w:r>
            <w:r w:rsidR="00710C7A">
              <w:t>bstinence from smoking six months or more after the start</w:t>
            </w:r>
          </w:p>
          <w:p w:rsidR="00E90CB9" w:rsidRDefault="00710C7A" w:rsidP="00796CE0">
            <w:pPr>
              <w:pStyle w:val="Tablewriting"/>
            </w:pPr>
            <w:r>
              <w:t>of the intervention.</w:t>
            </w:r>
          </w:p>
        </w:tc>
      </w:tr>
      <w:tr w:rsidR="004E0304" w:rsidTr="008B55E6">
        <w:tc>
          <w:tcPr>
            <w:tcW w:w="498" w:type="pct"/>
          </w:tcPr>
          <w:p w:rsidR="004E4B29" w:rsidRDefault="00BB78F3" w:rsidP="00796CE0">
            <w:pPr>
              <w:pStyle w:val="Tablewriting"/>
            </w:pPr>
            <w:r>
              <w:t xml:space="preserve">Hartmann-Boyce </w:t>
            </w:r>
          </w:p>
          <w:p w:rsidR="00E90CB9" w:rsidRDefault="004E4B29" w:rsidP="00796CE0">
            <w:pPr>
              <w:pStyle w:val="Tablewriting"/>
            </w:pPr>
            <w:r>
              <w:t>(</w:t>
            </w:r>
            <w:r w:rsidR="00BB78F3">
              <w:t>2019</w:t>
            </w:r>
            <w:r>
              <w:t>)</w:t>
            </w:r>
          </w:p>
        </w:tc>
        <w:tc>
          <w:tcPr>
            <w:tcW w:w="452" w:type="pct"/>
          </w:tcPr>
          <w:p w:rsidR="005F5549" w:rsidRDefault="00BB78F3" w:rsidP="00796CE0">
            <w:pPr>
              <w:pStyle w:val="Tablewriting"/>
            </w:pPr>
            <w:r>
              <w:t xml:space="preserve">Cochrane Review </w:t>
            </w:r>
          </w:p>
          <w:p w:rsidR="00E90CB9" w:rsidRPr="00262C0E" w:rsidRDefault="00BB78F3" w:rsidP="00796CE0">
            <w:pPr>
              <w:pStyle w:val="Tablewriting"/>
              <w:rPr>
                <w:vertAlign w:val="superscript"/>
              </w:rPr>
            </w:pPr>
            <w:r>
              <w:t>(</w:t>
            </w:r>
            <w:r w:rsidR="00262C0E">
              <w:t>65</w:t>
            </w:r>
            <w:r w:rsidR="002F2DE0">
              <w:t xml:space="preserve"> RCTs</w:t>
            </w:r>
            <w:r w:rsidR="00A76716">
              <w:rPr>
                <w:vertAlign w:val="superscript"/>
              </w:rPr>
              <w:t>4</w:t>
            </w:r>
            <w:r w:rsidR="002F2DE0">
              <w:t>)</w:t>
            </w:r>
          </w:p>
        </w:tc>
        <w:tc>
          <w:tcPr>
            <w:tcW w:w="827" w:type="pct"/>
          </w:tcPr>
          <w:p w:rsidR="00262C0E" w:rsidRPr="00262C0E" w:rsidRDefault="00262C0E" w:rsidP="00796CE0">
            <w:pPr>
              <w:pStyle w:val="Tablewriting"/>
              <w:rPr>
                <w:u w:val="single"/>
              </w:rPr>
            </w:pPr>
            <w:r w:rsidRPr="00262C0E">
              <w:rPr>
                <w:u w:val="single"/>
              </w:rPr>
              <w:t>Efficacy (59 RCTs)</w:t>
            </w:r>
          </w:p>
          <w:p w:rsidR="00E90CB9" w:rsidRDefault="007A09FF" w:rsidP="00796CE0">
            <w:pPr>
              <w:pStyle w:val="Tablewriting"/>
            </w:pPr>
            <w:r>
              <w:t>NRT (</w:t>
            </w:r>
            <w:r w:rsidR="009C5AD7">
              <w:t>N=</w:t>
            </w:r>
            <w:r>
              <w:t>16</w:t>
            </w:r>
            <w:r w:rsidR="009C5AD7">
              <w:t>,</w:t>
            </w:r>
            <w:r>
              <w:t>541)</w:t>
            </w:r>
            <w:r w:rsidR="001E49F9">
              <w:t>,</w:t>
            </w:r>
          </w:p>
          <w:p w:rsidR="007A09FF" w:rsidRDefault="007A09FF" w:rsidP="00796CE0">
            <w:pPr>
              <w:pStyle w:val="Tablewriting"/>
            </w:pPr>
            <w:r>
              <w:t>Bupropion (</w:t>
            </w:r>
            <w:r w:rsidR="006F7F17">
              <w:t>N=</w:t>
            </w:r>
            <w:r>
              <w:t>2</w:t>
            </w:r>
            <w:r w:rsidR="006F7F17">
              <w:t>,</w:t>
            </w:r>
            <w:r>
              <w:t>298)</w:t>
            </w:r>
            <w:r w:rsidR="001E49F9">
              <w:t>,</w:t>
            </w:r>
          </w:p>
          <w:p w:rsidR="007A09FF" w:rsidRDefault="007A09FF" w:rsidP="00796CE0">
            <w:pPr>
              <w:pStyle w:val="Tablewriting"/>
            </w:pPr>
            <w:r>
              <w:t>Varenicline (</w:t>
            </w:r>
            <w:r w:rsidR="006F7F17">
              <w:t>N=</w:t>
            </w:r>
            <w:r>
              <w:t>1</w:t>
            </w:r>
            <w:r w:rsidR="006F7F17">
              <w:t>,</w:t>
            </w:r>
            <w:r>
              <w:t>111)</w:t>
            </w:r>
            <w:r w:rsidR="001E49F9">
              <w:t>,</w:t>
            </w:r>
          </w:p>
          <w:p w:rsidR="007A09FF" w:rsidRDefault="007A09FF" w:rsidP="00796CE0">
            <w:pPr>
              <w:pStyle w:val="Tablewriting"/>
            </w:pPr>
            <w:r>
              <w:t>NRT &amp; bupropion (</w:t>
            </w:r>
            <w:r w:rsidR="006F7F17">
              <w:t>N=</w:t>
            </w:r>
            <w:r w:rsidR="009A2A1B">
              <w:t>719)</w:t>
            </w:r>
          </w:p>
        </w:tc>
        <w:tc>
          <w:tcPr>
            <w:tcW w:w="1372" w:type="pct"/>
          </w:tcPr>
          <w:p w:rsidR="005A30A9" w:rsidRDefault="00D1573E" w:rsidP="00796CE0">
            <w:pPr>
              <w:pStyle w:val="Tablewriting"/>
            </w:pPr>
            <w:r w:rsidRPr="00216E03">
              <w:rPr>
                <w:u w:val="single"/>
              </w:rPr>
              <w:t>Inclusion:</w:t>
            </w:r>
            <w:r>
              <w:t xml:space="preserve"> </w:t>
            </w:r>
            <w:r w:rsidR="00274344">
              <w:t>p</w:t>
            </w:r>
            <w:r w:rsidR="005A30A9" w:rsidRPr="005A30A9">
              <w:t xml:space="preserve">eople who smoke, recruited in any setting. </w:t>
            </w:r>
          </w:p>
          <w:p w:rsidR="00E90CB9" w:rsidRDefault="005A30A9" w:rsidP="00216E03">
            <w:pPr>
              <w:pStyle w:val="Tablewriting"/>
            </w:pPr>
            <w:r w:rsidRPr="00216E03">
              <w:rPr>
                <w:u w:val="single"/>
              </w:rPr>
              <w:t>Exclusion</w:t>
            </w:r>
            <w:r>
              <w:t>:</w:t>
            </w:r>
            <w:r w:rsidR="00216E03">
              <w:t xml:space="preserve"> </w:t>
            </w:r>
            <w:r w:rsidR="00274344">
              <w:t>t</w:t>
            </w:r>
            <w:r>
              <w:t xml:space="preserve">rials </w:t>
            </w:r>
            <w:r w:rsidRPr="005A30A9">
              <w:t>only recruit</w:t>
            </w:r>
            <w:r>
              <w:t>ing</w:t>
            </w:r>
            <w:r w:rsidRPr="005A30A9">
              <w:t xml:space="preserve"> pregnant women</w:t>
            </w:r>
            <w:r w:rsidR="00E512A4">
              <w:t>.</w:t>
            </w:r>
            <w:r w:rsidRPr="005A30A9">
              <w:t xml:space="preserve"> </w:t>
            </w:r>
          </w:p>
        </w:tc>
        <w:tc>
          <w:tcPr>
            <w:tcW w:w="1026" w:type="pct"/>
          </w:tcPr>
          <w:p w:rsidR="00E90CB9" w:rsidRDefault="00F22AF4" w:rsidP="00796CE0">
            <w:pPr>
              <w:pStyle w:val="Tablewriting"/>
            </w:pPr>
            <w:r>
              <w:t>Intensive behavioural support versus less intensive or no support</w:t>
            </w:r>
            <w:r w:rsidR="00744C23">
              <w:t xml:space="preserve"> (both with pharmacotherapy)</w:t>
            </w:r>
            <w:r w:rsidR="00E512A4">
              <w:t>.</w:t>
            </w:r>
          </w:p>
        </w:tc>
        <w:tc>
          <w:tcPr>
            <w:tcW w:w="825" w:type="pct"/>
          </w:tcPr>
          <w:p w:rsidR="00E90CB9" w:rsidRDefault="00274344" w:rsidP="00796CE0">
            <w:pPr>
              <w:pStyle w:val="Tablewriting"/>
            </w:pPr>
            <w:r w:rsidRPr="00AA6DE2">
              <w:rPr>
                <w:u w:val="single"/>
              </w:rPr>
              <w:t>Primary</w:t>
            </w:r>
            <w:r>
              <w:t>: a</w:t>
            </w:r>
            <w:r w:rsidR="0052591A">
              <w:t xml:space="preserve">bstinence at </w:t>
            </w:r>
            <w:r w:rsidR="00476670">
              <w:t>longest follow-up</w:t>
            </w:r>
            <w:r w:rsidR="00293B12">
              <w:t xml:space="preserve"> (</w:t>
            </w:r>
            <w:r w:rsidR="00DD51E7">
              <w:t>i.e.,</w:t>
            </w:r>
            <w:r>
              <w:t xml:space="preserve"> </w:t>
            </w:r>
            <w:r w:rsidR="00293B12">
              <w:t>6</w:t>
            </w:r>
            <w:r>
              <w:t xml:space="preserve"> </w:t>
            </w:r>
            <w:r w:rsidR="00293B12">
              <w:t>mo</w:t>
            </w:r>
            <w:r>
              <w:t>nths or longer</w:t>
            </w:r>
            <w:r w:rsidR="00293B12">
              <w:t>)</w:t>
            </w:r>
            <w:r w:rsidR="00E512A4">
              <w:t>.</w:t>
            </w:r>
          </w:p>
        </w:tc>
      </w:tr>
      <w:tr w:rsidR="004E0304" w:rsidTr="008B55E6">
        <w:tc>
          <w:tcPr>
            <w:tcW w:w="498" w:type="pct"/>
          </w:tcPr>
          <w:p w:rsidR="001E49F9" w:rsidRDefault="00EC4339" w:rsidP="00796CE0">
            <w:pPr>
              <w:pStyle w:val="Tablewriting"/>
            </w:pPr>
            <w:r>
              <w:t xml:space="preserve">Livingstone-Banks </w:t>
            </w:r>
          </w:p>
          <w:p w:rsidR="00E90CB9" w:rsidRDefault="005F5549" w:rsidP="00796CE0">
            <w:pPr>
              <w:pStyle w:val="Tablewriting"/>
            </w:pPr>
            <w:r>
              <w:t>(</w:t>
            </w:r>
            <w:r w:rsidR="00EC4339">
              <w:t>2019b</w:t>
            </w:r>
            <w:r>
              <w:t>)</w:t>
            </w:r>
          </w:p>
        </w:tc>
        <w:tc>
          <w:tcPr>
            <w:tcW w:w="452" w:type="pct"/>
          </w:tcPr>
          <w:p w:rsidR="005F5549" w:rsidRDefault="00EC4339" w:rsidP="00796CE0">
            <w:pPr>
              <w:pStyle w:val="Tablewriting"/>
            </w:pPr>
            <w:r>
              <w:t xml:space="preserve">Cochrane Review </w:t>
            </w:r>
          </w:p>
          <w:p w:rsidR="00E90CB9" w:rsidRDefault="00EC4339" w:rsidP="00796CE0">
            <w:pPr>
              <w:pStyle w:val="Tablewriting"/>
            </w:pPr>
            <w:r>
              <w:t>(</w:t>
            </w:r>
            <w:r w:rsidR="002F0309">
              <w:t xml:space="preserve">3 </w:t>
            </w:r>
            <w:r w:rsidR="00835EC0">
              <w:t>RCT</w:t>
            </w:r>
            <w:r w:rsidR="002F0309">
              <w:t>s</w:t>
            </w:r>
            <w:r w:rsidR="00903210">
              <w:t>)</w:t>
            </w:r>
          </w:p>
        </w:tc>
        <w:tc>
          <w:tcPr>
            <w:tcW w:w="827" w:type="pct"/>
          </w:tcPr>
          <w:p w:rsidR="00E90CB9" w:rsidRDefault="00FF612A" w:rsidP="00796CE0">
            <w:pPr>
              <w:pStyle w:val="Tablewriting"/>
            </w:pPr>
            <w:r>
              <w:t>N=</w:t>
            </w:r>
            <w:r w:rsidR="00903210">
              <w:t>1</w:t>
            </w:r>
            <w:r>
              <w:t>,</w:t>
            </w:r>
            <w:r w:rsidR="00903210">
              <w:t>769</w:t>
            </w:r>
          </w:p>
          <w:p w:rsidR="00FF612A" w:rsidRDefault="00FF612A" w:rsidP="00796CE0">
            <w:pPr>
              <w:pStyle w:val="Tablewriting"/>
            </w:pPr>
            <w:r>
              <w:t>Self-help + NRT (n=881),</w:t>
            </w:r>
          </w:p>
          <w:p w:rsidR="00FF612A" w:rsidRDefault="00FF612A" w:rsidP="00796CE0">
            <w:pPr>
              <w:pStyle w:val="Tablewriting"/>
            </w:pPr>
            <w:r>
              <w:t>NRT alone (n=888)</w:t>
            </w:r>
          </w:p>
        </w:tc>
        <w:tc>
          <w:tcPr>
            <w:tcW w:w="1372" w:type="pct"/>
          </w:tcPr>
          <w:p w:rsidR="00E90CB9" w:rsidRDefault="00274B51" w:rsidP="00796CE0">
            <w:pPr>
              <w:pStyle w:val="Tablewriting"/>
            </w:pPr>
            <w:r w:rsidRPr="00216E03">
              <w:rPr>
                <w:u w:val="single"/>
              </w:rPr>
              <w:t>Inclusion:</w:t>
            </w:r>
            <w:r>
              <w:t xml:space="preserve"> a</w:t>
            </w:r>
            <w:r w:rsidR="00A0044A" w:rsidRPr="00A0044A">
              <w:t>ny smoker</w:t>
            </w:r>
            <w:r w:rsidR="00294038">
              <w:t>s</w:t>
            </w:r>
            <w:r w:rsidR="00A0044A" w:rsidRPr="00A0044A">
              <w:t xml:space="preserve"> except pregnant smokers and adolescent smokers.</w:t>
            </w:r>
          </w:p>
        </w:tc>
        <w:tc>
          <w:tcPr>
            <w:tcW w:w="1026" w:type="pct"/>
          </w:tcPr>
          <w:p w:rsidR="00E90CB9" w:rsidRDefault="00B11D66" w:rsidP="00796CE0">
            <w:pPr>
              <w:pStyle w:val="Tablewriting"/>
            </w:pPr>
            <w:r>
              <w:t>Self-help materials &amp; NRT versus NRT</w:t>
            </w:r>
            <w:r w:rsidR="00B1128D">
              <w:t xml:space="preserve"> alone</w:t>
            </w:r>
            <w:r w:rsidR="00E512A4">
              <w:t>.</w:t>
            </w:r>
          </w:p>
        </w:tc>
        <w:tc>
          <w:tcPr>
            <w:tcW w:w="825" w:type="pct"/>
          </w:tcPr>
          <w:p w:rsidR="00E90CB9" w:rsidRDefault="00BB126B" w:rsidP="00796CE0">
            <w:pPr>
              <w:pStyle w:val="Tablewriting"/>
            </w:pPr>
            <w:r w:rsidRPr="00AA6DE2">
              <w:rPr>
                <w:u w:val="single"/>
              </w:rPr>
              <w:t>Primary</w:t>
            </w:r>
            <w:r>
              <w:rPr>
                <w:u w:val="single"/>
              </w:rPr>
              <w:t>:</w:t>
            </w:r>
            <w:r>
              <w:t xml:space="preserve"> s</w:t>
            </w:r>
            <w:r w:rsidR="00B11D66">
              <w:t>ustained abstinence, or point prevalence</w:t>
            </w:r>
            <w:r>
              <w:t xml:space="preserve"> (at least 6 months follow-up)</w:t>
            </w:r>
            <w:r w:rsidR="00E512A4">
              <w:t>.</w:t>
            </w:r>
          </w:p>
        </w:tc>
      </w:tr>
      <w:tr w:rsidR="004E0304" w:rsidTr="008B55E6">
        <w:tc>
          <w:tcPr>
            <w:tcW w:w="498" w:type="pct"/>
          </w:tcPr>
          <w:p w:rsidR="007276E6" w:rsidRDefault="00A95A7F" w:rsidP="00796CE0">
            <w:pPr>
              <w:pStyle w:val="Tablewriting"/>
            </w:pPr>
            <w:r>
              <w:t>Matkin</w:t>
            </w:r>
            <w:r w:rsidR="00C64B82">
              <w:t xml:space="preserve"> </w:t>
            </w:r>
          </w:p>
          <w:p w:rsidR="00E90CB9" w:rsidRDefault="005F5549" w:rsidP="00796CE0">
            <w:pPr>
              <w:pStyle w:val="Tablewriting"/>
            </w:pPr>
            <w:r>
              <w:t>(</w:t>
            </w:r>
            <w:r w:rsidR="00C64B82">
              <w:t>2019</w:t>
            </w:r>
            <w:r>
              <w:t>)</w:t>
            </w:r>
          </w:p>
        </w:tc>
        <w:tc>
          <w:tcPr>
            <w:tcW w:w="452" w:type="pct"/>
          </w:tcPr>
          <w:p w:rsidR="009A25C4" w:rsidRDefault="00C64B82" w:rsidP="00796CE0">
            <w:pPr>
              <w:pStyle w:val="Tablewriting"/>
            </w:pPr>
            <w:r>
              <w:t>Cochrane Review</w:t>
            </w:r>
            <w:r w:rsidR="00D3151F">
              <w:t xml:space="preserve"> </w:t>
            </w:r>
          </w:p>
          <w:p w:rsidR="00E90CB9" w:rsidRDefault="00D3151F" w:rsidP="00796CE0">
            <w:pPr>
              <w:pStyle w:val="Tablewriting"/>
            </w:pPr>
            <w:r>
              <w:t>(</w:t>
            </w:r>
            <w:r w:rsidR="001D0374">
              <w:t>65</w:t>
            </w:r>
            <w:r w:rsidR="00E5459B">
              <w:t xml:space="preserve"> </w:t>
            </w:r>
            <w:r w:rsidR="0031766A">
              <w:t>RCT</w:t>
            </w:r>
            <w:r w:rsidR="00E5459B">
              <w:t>s</w:t>
            </w:r>
            <w:r w:rsidR="00A76716">
              <w:rPr>
                <w:vertAlign w:val="superscript"/>
              </w:rPr>
              <w:t>5</w:t>
            </w:r>
            <w:r w:rsidR="00E5459B">
              <w:t>)</w:t>
            </w:r>
          </w:p>
        </w:tc>
        <w:tc>
          <w:tcPr>
            <w:tcW w:w="827" w:type="pct"/>
          </w:tcPr>
          <w:p w:rsidR="001D0374" w:rsidRPr="001D0374" w:rsidRDefault="001D0374" w:rsidP="00796CE0">
            <w:pPr>
              <w:pStyle w:val="Tablewriting"/>
              <w:rPr>
                <w:u w:val="single"/>
              </w:rPr>
            </w:pPr>
            <w:r w:rsidRPr="001D0374">
              <w:rPr>
                <w:u w:val="single"/>
              </w:rPr>
              <w:t>Efficacy (18 RCTs)</w:t>
            </w:r>
          </w:p>
          <w:p w:rsidR="00E90CB9" w:rsidRDefault="007276E6" w:rsidP="00796CE0">
            <w:pPr>
              <w:pStyle w:val="Tablewriting"/>
            </w:pPr>
            <w:r>
              <w:t>N=</w:t>
            </w:r>
            <w:r w:rsidR="00FE76E1">
              <w:t>12</w:t>
            </w:r>
            <w:r>
              <w:t>,</w:t>
            </w:r>
            <w:r w:rsidR="00FE76E1">
              <w:t>865</w:t>
            </w:r>
          </w:p>
          <w:p w:rsidR="0031766A" w:rsidRDefault="0031766A" w:rsidP="00796CE0">
            <w:pPr>
              <w:pStyle w:val="Tablewriting"/>
            </w:pPr>
            <w:r>
              <w:t>Proactive counselling + pharmacotherapy (n=</w:t>
            </w:r>
            <w:r w:rsidR="001D0374">
              <w:t xml:space="preserve">6,714), </w:t>
            </w:r>
          </w:p>
          <w:p w:rsidR="001D0374" w:rsidRDefault="001D0374" w:rsidP="00796CE0">
            <w:pPr>
              <w:pStyle w:val="Tablewriting"/>
            </w:pPr>
            <w:r>
              <w:lastRenderedPageBreak/>
              <w:t>Pharmacotherapy alone (n=6,151)</w:t>
            </w:r>
          </w:p>
          <w:p w:rsidR="007276E6" w:rsidRDefault="007276E6" w:rsidP="00796CE0">
            <w:pPr>
              <w:pStyle w:val="Tablewriting"/>
            </w:pPr>
          </w:p>
        </w:tc>
        <w:tc>
          <w:tcPr>
            <w:tcW w:w="1372" w:type="pct"/>
          </w:tcPr>
          <w:p w:rsidR="00143AEA" w:rsidRDefault="00F809D3" w:rsidP="00796CE0">
            <w:pPr>
              <w:pStyle w:val="Tablewriting"/>
            </w:pPr>
            <w:r w:rsidRPr="00216E03">
              <w:rPr>
                <w:u w:val="single"/>
              </w:rPr>
              <w:lastRenderedPageBreak/>
              <w:t>Inclusion:</w:t>
            </w:r>
            <w:r>
              <w:t xml:space="preserve"> c</w:t>
            </w:r>
            <w:r w:rsidR="001B4A4B" w:rsidRPr="001B4A4B">
              <w:t>urrent smoker</w:t>
            </w:r>
            <w:r w:rsidR="00143AEA">
              <w:t>s,</w:t>
            </w:r>
            <w:r w:rsidR="001B4A4B">
              <w:t xml:space="preserve"> </w:t>
            </w:r>
            <w:r w:rsidR="00143AEA">
              <w:t>t</w:t>
            </w:r>
            <w:r w:rsidR="001B4A4B" w:rsidRPr="001B4A4B">
              <w:t xml:space="preserve">rials with a mixture of current smokers and recent quitters if the recent quitters were only a small proportion of the entire study population. </w:t>
            </w:r>
          </w:p>
          <w:p w:rsidR="00E90CB9" w:rsidRDefault="00E8474B" w:rsidP="00796CE0">
            <w:pPr>
              <w:pStyle w:val="Tablewriting"/>
            </w:pPr>
            <w:r w:rsidRPr="00143AEA">
              <w:rPr>
                <w:u w:val="single"/>
              </w:rPr>
              <w:lastRenderedPageBreak/>
              <w:t>Exclusion:</w:t>
            </w:r>
            <w:r w:rsidR="001B4A4B" w:rsidRPr="001B4A4B">
              <w:t xml:space="preserve"> </w:t>
            </w:r>
            <w:r w:rsidR="00143AEA">
              <w:t>t</w:t>
            </w:r>
            <w:r>
              <w:t>rials exclusively</w:t>
            </w:r>
            <w:r w:rsidR="001B4A4B" w:rsidRPr="001B4A4B">
              <w:t xml:space="preserve"> recruit</w:t>
            </w:r>
            <w:r>
              <w:t>ing</w:t>
            </w:r>
            <w:r w:rsidR="001B4A4B" w:rsidRPr="001B4A4B">
              <w:t xml:space="preserve"> quitters or were focused on telephone counselling as an intervention for relapse</w:t>
            </w:r>
            <w:r>
              <w:t>.</w:t>
            </w:r>
          </w:p>
        </w:tc>
        <w:tc>
          <w:tcPr>
            <w:tcW w:w="1026" w:type="pct"/>
          </w:tcPr>
          <w:p w:rsidR="00E90CB9" w:rsidRDefault="00000287" w:rsidP="00796CE0">
            <w:pPr>
              <w:pStyle w:val="Tablewriting"/>
            </w:pPr>
            <w:r>
              <w:lastRenderedPageBreak/>
              <w:t xml:space="preserve">Proactive </w:t>
            </w:r>
            <w:r w:rsidR="00FF7481">
              <w:t xml:space="preserve">telephone </w:t>
            </w:r>
            <w:r>
              <w:t>counselling</w:t>
            </w:r>
            <w:r w:rsidR="00E8474B">
              <w:t xml:space="preserve"> + pharmacotherapy versus pharmacotherapy</w:t>
            </w:r>
            <w:r w:rsidR="00E512A4">
              <w:t>.</w:t>
            </w:r>
          </w:p>
        </w:tc>
        <w:tc>
          <w:tcPr>
            <w:tcW w:w="825" w:type="pct"/>
          </w:tcPr>
          <w:p w:rsidR="00E90CB9" w:rsidRDefault="0043613C" w:rsidP="00796CE0">
            <w:pPr>
              <w:pStyle w:val="Tablewriting"/>
            </w:pPr>
            <w:r w:rsidRPr="00AA6DE2">
              <w:rPr>
                <w:u w:val="single"/>
              </w:rPr>
              <w:t>Primary</w:t>
            </w:r>
            <w:r>
              <w:rPr>
                <w:u w:val="single"/>
              </w:rPr>
              <w:t>:</w:t>
            </w:r>
            <w:r>
              <w:t xml:space="preserve"> l</w:t>
            </w:r>
            <w:r w:rsidR="009B6D81">
              <w:t>ong-term smoking abstinence (</w:t>
            </w:r>
            <w:r>
              <w:t>at least 6 months after the start of intervention)</w:t>
            </w:r>
            <w:r w:rsidR="00E512A4">
              <w:t>.</w:t>
            </w:r>
          </w:p>
        </w:tc>
      </w:tr>
    </w:tbl>
    <w:p w:rsidR="00170B6E" w:rsidRDefault="00170B6E" w:rsidP="00170B6E">
      <w:pPr>
        <w:pStyle w:val="TableFooter"/>
        <w:keepNext/>
        <w:rPr>
          <w:i/>
        </w:rPr>
      </w:pPr>
      <w:r>
        <w:t>Abbreviations: NRT = nicotine replacement therapy; RCT = randomised controlled trial</w:t>
      </w:r>
      <w:r w:rsidRPr="00061F78">
        <w:t xml:space="preserve"> </w:t>
      </w:r>
    </w:p>
    <w:p w:rsidR="007276E6" w:rsidRDefault="007276E6" w:rsidP="00184000">
      <w:pPr>
        <w:pStyle w:val="TableFooter"/>
        <w:keepNext/>
      </w:pPr>
      <w:r>
        <w:t>Notes: Only studies that assessed behavioural interventions in combination with pharmacotherapies were included</w:t>
      </w:r>
      <w:r w:rsidR="00E512A4">
        <w:t>.</w:t>
      </w:r>
    </w:p>
    <w:p w:rsidR="00184000" w:rsidRDefault="00184000" w:rsidP="00184000">
      <w:pPr>
        <w:pStyle w:val="TableFooter"/>
        <w:keepNext/>
      </w:pPr>
      <w:r>
        <w:t>1 Only the number of patients (n) in the relevant arms were included</w:t>
      </w:r>
      <w:r w:rsidR="00E512A4">
        <w:t>.</w:t>
      </w:r>
    </w:p>
    <w:p w:rsidR="00C41E41" w:rsidRDefault="00C41E41" w:rsidP="00C41E41">
      <w:pPr>
        <w:pStyle w:val="TableFooter"/>
        <w:keepNext/>
      </w:pPr>
      <w:r>
        <w:t xml:space="preserve">2 </w:t>
      </w:r>
      <w:r w:rsidRPr="00184000">
        <w:t xml:space="preserve">A total of </w:t>
      </w:r>
      <w:r>
        <w:t>33</w:t>
      </w:r>
      <w:r w:rsidRPr="00184000">
        <w:t xml:space="preserve"> RCTs</w:t>
      </w:r>
      <w:r>
        <w:t xml:space="preserve"> comparing individual counselling with minimal contact control (irrespective of adjunct pharmacotherapy) </w:t>
      </w:r>
      <w:r w:rsidRPr="00184000">
        <w:t xml:space="preserve">were identified. Of the </w:t>
      </w:r>
      <w:r>
        <w:t>33</w:t>
      </w:r>
      <w:r w:rsidRPr="00184000">
        <w:t xml:space="preserve"> RCTs, </w:t>
      </w:r>
      <w:r>
        <w:t>6</w:t>
      </w:r>
      <w:r w:rsidRPr="00184000">
        <w:t xml:space="preserve"> RCTs were</w:t>
      </w:r>
      <w:r>
        <w:t xml:space="preserve"> studies assessing cou</w:t>
      </w:r>
      <w:r w:rsidRPr="0017503E">
        <w:t>nselling as an adjunct to pharmacotherapy</w:t>
      </w:r>
      <w:r w:rsidRPr="00184000">
        <w:t xml:space="preserve">. </w:t>
      </w:r>
      <w:r w:rsidR="00C67372">
        <w:t xml:space="preserve">Please refer to </w:t>
      </w:r>
      <w:r w:rsidR="00B96C1C">
        <w:t>Lancaster et al.</w:t>
      </w:r>
      <w:r w:rsidR="00B96C1C" w:rsidRPr="00184000">
        <w:t xml:space="preserve"> (201</w:t>
      </w:r>
      <w:r w:rsidR="00B96C1C">
        <w:t>9</w:t>
      </w:r>
      <w:r w:rsidR="00B96C1C" w:rsidRPr="00184000">
        <w:t>)</w:t>
      </w:r>
      <w:r w:rsidR="00B96C1C">
        <w:t xml:space="preserve"> for </w:t>
      </w:r>
      <w:r w:rsidR="00B96C1C" w:rsidRPr="00184000">
        <w:t>t</w:t>
      </w:r>
      <w:r w:rsidRPr="00184000">
        <w:t>he characteristics of the individual studies</w:t>
      </w:r>
      <w:r>
        <w:t xml:space="preserve">. </w:t>
      </w:r>
      <w:r w:rsidRPr="00AB5E3E">
        <w:t xml:space="preserve">Individual counselling was defined as a face-to face encounter between a smoker and </w:t>
      </w:r>
      <w:r w:rsidR="00B05DCD">
        <w:t xml:space="preserve">a </w:t>
      </w:r>
      <w:r w:rsidRPr="00AB5E3E">
        <w:t xml:space="preserve">trained smoking cessation counsellor. </w:t>
      </w:r>
    </w:p>
    <w:p w:rsidR="00184000" w:rsidRDefault="00C41E41" w:rsidP="00184000">
      <w:pPr>
        <w:pStyle w:val="TableFooter"/>
        <w:keepNext/>
      </w:pPr>
      <w:r>
        <w:t>3</w:t>
      </w:r>
      <w:r w:rsidR="00184000">
        <w:t xml:space="preserve"> </w:t>
      </w:r>
      <w:r w:rsidR="00184000" w:rsidRPr="00184000">
        <w:t xml:space="preserve">A total of </w:t>
      </w:r>
      <w:r w:rsidR="00184000">
        <w:t>7</w:t>
      </w:r>
      <w:r w:rsidR="00184000" w:rsidRPr="00184000">
        <w:t xml:space="preserve"> RCTs comparing</w:t>
      </w:r>
      <w:r w:rsidR="001C0CFF">
        <w:t xml:space="preserve"> more intensive versus less intensive behavioural interventions</w:t>
      </w:r>
      <w:r w:rsidR="00184000" w:rsidRPr="00184000">
        <w:t xml:space="preserve"> were identified. Of the </w:t>
      </w:r>
      <w:r w:rsidR="00AC11FA">
        <w:t>7</w:t>
      </w:r>
      <w:r w:rsidR="00184000" w:rsidRPr="00184000">
        <w:t xml:space="preserve"> RCTs, </w:t>
      </w:r>
      <w:r w:rsidR="00AC11FA">
        <w:t>6</w:t>
      </w:r>
      <w:r w:rsidR="00184000" w:rsidRPr="00184000">
        <w:t xml:space="preserve"> RCTs were included in the primary efficacy analysis</w:t>
      </w:r>
      <w:r w:rsidR="007749CF">
        <w:t xml:space="preserve"> due to clinical heterogeneity with other studies and did not include pharmacotherapy</w:t>
      </w:r>
      <w:r w:rsidR="00184000" w:rsidRPr="00184000">
        <w:t xml:space="preserve">. </w:t>
      </w:r>
      <w:r w:rsidR="006106BF" w:rsidRPr="006106BF">
        <w:t xml:space="preserve">Please refer to Carson-Chahhoud et al. (2019) for </w:t>
      </w:r>
      <w:r w:rsidR="006106BF" w:rsidRPr="00184000">
        <w:t>t</w:t>
      </w:r>
      <w:r w:rsidR="00184000" w:rsidRPr="00184000">
        <w:t>he characteristics of the individual studies.</w:t>
      </w:r>
    </w:p>
    <w:p w:rsidR="00262C0E" w:rsidRDefault="00C41E41" w:rsidP="00184000">
      <w:pPr>
        <w:pStyle w:val="TableFooter"/>
        <w:keepNext/>
      </w:pPr>
      <w:r>
        <w:t>4</w:t>
      </w:r>
      <w:r w:rsidR="00262C0E">
        <w:t xml:space="preserve"> </w:t>
      </w:r>
      <w:r w:rsidR="00262C0E" w:rsidRPr="00184000">
        <w:t xml:space="preserve">A total of </w:t>
      </w:r>
      <w:r w:rsidR="00262C0E">
        <w:t>65</w:t>
      </w:r>
      <w:r w:rsidR="00262C0E" w:rsidRPr="00184000">
        <w:t xml:space="preserve"> RCTs comparing </w:t>
      </w:r>
      <w:r w:rsidR="00933A26">
        <w:t xml:space="preserve">more intensive </w:t>
      </w:r>
      <w:r w:rsidR="00EF3E4A">
        <w:t>with</w:t>
      </w:r>
      <w:r w:rsidR="00933A26">
        <w:t xml:space="preserve"> less intensive behavioural interventions</w:t>
      </w:r>
      <w:r w:rsidR="00D51721">
        <w:t xml:space="preserve"> (</w:t>
      </w:r>
      <w:r w:rsidR="00EF3E4A">
        <w:t xml:space="preserve">both </w:t>
      </w:r>
      <w:r w:rsidR="00D51721">
        <w:t>in combination with pharmacotherapy)</w:t>
      </w:r>
      <w:r w:rsidR="00933A26">
        <w:t xml:space="preserve"> </w:t>
      </w:r>
      <w:r w:rsidR="00262C0E" w:rsidRPr="00184000">
        <w:t xml:space="preserve">were identified. Of the </w:t>
      </w:r>
      <w:r w:rsidR="00B86DC4">
        <w:t>65</w:t>
      </w:r>
      <w:r w:rsidR="00262C0E" w:rsidRPr="00184000">
        <w:t xml:space="preserve"> RCTs, </w:t>
      </w:r>
      <w:r w:rsidR="00B86DC4">
        <w:t>59</w:t>
      </w:r>
      <w:r w:rsidR="00262C0E" w:rsidRPr="00184000">
        <w:t xml:space="preserve"> RCTs were</w:t>
      </w:r>
      <w:r w:rsidR="004020F1">
        <w:t xml:space="preserve"> studies </w:t>
      </w:r>
      <w:r w:rsidR="0059015F">
        <w:t>assessing PBS-listed pharmacotherapies</w:t>
      </w:r>
      <w:r w:rsidR="00262C0E" w:rsidRPr="00184000">
        <w:t xml:space="preserve">. </w:t>
      </w:r>
      <w:r w:rsidR="006106BF" w:rsidRPr="006106BF">
        <w:t>Please refer to Hartmann-Boyce et al. (2019)</w:t>
      </w:r>
      <w:r w:rsidR="006106BF">
        <w:t xml:space="preserve"> </w:t>
      </w:r>
      <w:r w:rsidR="006106BF" w:rsidRPr="006106BF">
        <w:t xml:space="preserve">for </w:t>
      </w:r>
      <w:r w:rsidR="006106BF" w:rsidRPr="00184000">
        <w:t>t</w:t>
      </w:r>
      <w:r w:rsidR="00262C0E" w:rsidRPr="00184000">
        <w:t>he characteristics of the individual studies.</w:t>
      </w:r>
    </w:p>
    <w:p w:rsidR="00EF3E4A" w:rsidRDefault="00C41E41" w:rsidP="00184000">
      <w:pPr>
        <w:pStyle w:val="TableFooter"/>
        <w:keepNext/>
      </w:pPr>
      <w:r>
        <w:t>5</w:t>
      </w:r>
      <w:r w:rsidR="001D0374">
        <w:t xml:space="preserve"> </w:t>
      </w:r>
      <w:r w:rsidR="001D0374" w:rsidRPr="00184000">
        <w:t xml:space="preserve">A total of </w:t>
      </w:r>
      <w:r w:rsidR="001D0374">
        <w:t>65</w:t>
      </w:r>
      <w:r w:rsidR="001D0374" w:rsidRPr="00184000">
        <w:t xml:space="preserve"> RCTs </w:t>
      </w:r>
      <w:r w:rsidR="001D0374">
        <w:t>assessing proactive counselling (not initiated by calls to quitlines</w:t>
      </w:r>
      <w:r w:rsidR="0017503E">
        <w:t>)</w:t>
      </w:r>
      <w:r w:rsidR="001D0374">
        <w:t xml:space="preserve"> </w:t>
      </w:r>
      <w:r w:rsidR="001D0374" w:rsidRPr="00184000">
        <w:t xml:space="preserve">were identified. Of the </w:t>
      </w:r>
      <w:r w:rsidR="001D0374">
        <w:t>65</w:t>
      </w:r>
      <w:r w:rsidR="001D0374" w:rsidRPr="00184000">
        <w:t xml:space="preserve"> RCTs, </w:t>
      </w:r>
      <w:r w:rsidR="0017503E">
        <w:t>18</w:t>
      </w:r>
      <w:r w:rsidR="001D0374" w:rsidRPr="00184000">
        <w:t xml:space="preserve"> RCTs were</w:t>
      </w:r>
      <w:r w:rsidR="001D0374">
        <w:t xml:space="preserve"> studies assessing </w:t>
      </w:r>
      <w:r w:rsidR="0017503E" w:rsidRPr="0017503E">
        <w:t>telephone counselling as an adjunct to pharmacotherapy</w:t>
      </w:r>
      <w:r w:rsidR="001D0374" w:rsidRPr="00184000">
        <w:t xml:space="preserve">. </w:t>
      </w:r>
      <w:r w:rsidR="00F77549" w:rsidRPr="00F77549">
        <w:t xml:space="preserve">Please refer to Matkin et al. (2019) for </w:t>
      </w:r>
      <w:r w:rsidR="00F77549" w:rsidRPr="00184000">
        <w:t>t</w:t>
      </w:r>
      <w:r w:rsidR="001D0374" w:rsidRPr="00184000">
        <w:t>he characteristics of the individual studies</w:t>
      </w:r>
      <w:r w:rsidR="007D6ABC">
        <w:t>. Proactive counselling involves the</w:t>
      </w:r>
      <w:r w:rsidR="007D6ABC" w:rsidRPr="007D6ABC">
        <w:t xml:space="preserve"> counsellor initiat</w:t>
      </w:r>
      <w:r w:rsidR="007D6ABC">
        <w:t>ing</w:t>
      </w:r>
      <w:r w:rsidR="007D6ABC" w:rsidRPr="007D6ABC">
        <w:t xml:space="preserve"> one or more calls to provide support in making a quit attempt or avoiding relapse.</w:t>
      </w:r>
    </w:p>
    <w:p w:rsidR="004E0304" w:rsidRDefault="004E0304" w:rsidP="008D43F8">
      <w:pPr>
        <w:sectPr w:rsidR="004E0304" w:rsidSect="004E0304">
          <w:pgSz w:w="16838" w:h="11906" w:orient="landscape"/>
          <w:pgMar w:top="1440" w:right="1440" w:bottom="1440" w:left="1440" w:header="708" w:footer="708" w:gutter="0"/>
          <w:cols w:space="708"/>
          <w:titlePg/>
          <w:docGrid w:linePitch="360"/>
        </w:sectPr>
      </w:pPr>
    </w:p>
    <w:p w:rsidR="00A76716" w:rsidRPr="009C047D" w:rsidRDefault="00A76716" w:rsidP="00A76716">
      <w:pPr>
        <w:rPr>
          <w:u w:val="single"/>
        </w:rPr>
      </w:pPr>
      <w:r w:rsidRPr="009C047D">
        <w:rPr>
          <w:u w:val="single"/>
        </w:rPr>
        <w:lastRenderedPageBreak/>
        <w:t>Individual counselling plus pharmacotherapy versus minimal contact (usual care, brief advice or self-help materials) plus pharmacotherapy</w:t>
      </w:r>
    </w:p>
    <w:p w:rsidR="00A76716" w:rsidRDefault="00A76716" w:rsidP="00A76716">
      <w:r>
        <w:t xml:space="preserve">Lancaster et al. (2017) identified 33 studies that examined individual counselling compared to minimal contact (i.e. usual care, brief advice or self-help materials). The authors of the Cochrane Review </w:t>
      </w:r>
      <w:r w:rsidRPr="0005159C">
        <w:t xml:space="preserve">defined </w:t>
      </w:r>
      <w:r>
        <w:t xml:space="preserve">individual counselling </w:t>
      </w:r>
      <w:r w:rsidRPr="0005159C">
        <w:t>as a face-to face encounter between a smoker and</w:t>
      </w:r>
      <w:r w:rsidR="00B05DCD">
        <w:t xml:space="preserve"> a</w:t>
      </w:r>
      <w:r w:rsidRPr="0005159C">
        <w:t xml:space="preserve"> trained smoking cessation counsellor. </w:t>
      </w:r>
      <w:r>
        <w:t xml:space="preserve">Studies that evaluated </w:t>
      </w:r>
      <w:r w:rsidRPr="0005159C">
        <w:t>counselling delivered by doctors and nurses as a part of a cl</w:t>
      </w:r>
      <w:r>
        <w:t>i</w:t>
      </w:r>
      <w:r w:rsidRPr="0005159C">
        <w:t xml:space="preserve">nical encounter, </w:t>
      </w:r>
      <w:r>
        <w:t xml:space="preserve">or </w:t>
      </w:r>
      <w:r w:rsidRPr="0005159C">
        <w:t>interven</w:t>
      </w:r>
      <w:r>
        <w:t>t</w:t>
      </w:r>
      <w:r w:rsidRPr="0005159C">
        <w:t xml:space="preserve">ions that combined counselling with </w:t>
      </w:r>
      <w:r>
        <w:t>p</w:t>
      </w:r>
      <w:r w:rsidRPr="0005159C">
        <w:t>harmacotherapy compared to brief support</w:t>
      </w:r>
      <w:r>
        <w:t xml:space="preserve"> alone</w:t>
      </w:r>
      <w:r w:rsidRPr="0005159C">
        <w:t xml:space="preserve">, </w:t>
      </w:r>
      <w:r>
        <w:t xml:space="preserve">or </w:t>
      </w:r>
      <w:r w:rsidRPr="0005159C">
        <w:t>studies of motivational interviewing</w:t>
      </w:r>
      <w:r>
        <w:t xml:space="preserve"> were excluded</w:t>
      </w:r>
      <w:r w:rsidRPr="0005159C">
        <w:t>.</w:t>
      </w:r>
    </w:p>
    <w:p w:rsidR="008D4FD7" w:rsidRDefault="00A76716" w:rsidP="00A76716">
      <w:r w:rsidRPr="007D3767">
        <w:t>A summary of the smoking cessation rates f</w:t>
      </w:r>
      <w:r w:rsidR="00760D68">
        <w:t>or</w:t>
      </w:r>
      <w:r w:rsidRPr="007D3767">
        <w:t xml:space="preserve"> at least six months follow-up </w:t>
      </w:r>
      <w:r>
        <w:t xml:space="preserve">comparing individual counselling with minimal contact </w:t>
      </w:r>
      <w:r w:rsidR="00D50CB2">
        <w:t xml:space="preserve">based on use </w:t>
      </w:r>
      <w:r w:rsidR="008D4FD7">
        <w:t xml:space="preserve">with or without pharmacotherapy </w:t>
      </w:r>
      <w:r w:rsidRPr="007D3767">
        <w:t>is</w:t>
      </w:r>
      <w:r>
        <w:t xml:space="preserve"> presented in </w:t>
      </w:r>
      <w:r w:rsidR="003C4A1C">
        <w:t xml:space="preserve">Table </w:t>
      </w:r>
      <w:r w:rsidR="003C4A1C">
        <w:rPr>
          <w:noProof/>
        </w:rPr>
        <w:t>119</w:t>
      </w:r>
      <w:r>
        <w:t>.</w:t>
      </w:r>
      <w:r w:rsidRPr="00114126">
        <w:t xml:space="preserve"> </w:t>
      </w:r>
      <w:r w:rsidR="008D4FD7">
        <w:t xml:space="preserve">The </w:t>
      </w:r>
      <w:r w:rsidR="00412613" w:rsidRPr="00114126">
        <w:t xml:space="preserve">results of the meta-analysis comprising </w:t>
      </w:r>
      <w:r w:rsidR="008D4FD7">
        <w:t xml:space="preserve">six studies (NRT=5, bupropion=1) that offered pharmacotherapy to all participants </w:t>
      </w:r>
      <w:r w:rsidR="00D31B4C">
        <w:t>demonstrated</w:t>
      </w:r>
      <w:r w:rsidR="00D31B4C" w:rsidRPr="00114126">
        <w:t xml:space="preserve"> a statistically significant difference in long-term smoking cessation rates, in favour of </w:t>
      </w:r>
      <w:r w:rsidR="00D31B4C">
        <w:t>individual counselling in combination with pharmacotherapy</w:t>
      </w:r>
      <w:r w:rsidR="00D31B4C" w:rsidRPr="00114126">
        <w:t>.</w:t>
      </w:r>
    </w:p>
    <w:p w:rsidR="00A76716" w:rsidRDefault="00A76716" w:rsidP="00A76716">
      <w:r w:rsidRPr="00114126">
        <w:t xml:space="preserve">The </w:t>
      </w:r>
      <w:r w:rsidR="00412613">
        <w:t>overall pooled</w:t>
      </w:r>
      <w:r w:rsidR="00DF14AE">
        <w:t xml:space="preserve"> results</w:t>
      </w:r>
      <w:r w:rsidRPr="00114126">
        <w:t xml:space="preserve"> comprising </w:t>
      </w:r>
      <w:r>
        <w:t>33</w:t>
      </w:r>
      <w:r w:rsidRPr="00114126">
        <w:t xml:space="preserve"> RCTs </w:t>
      </w:r>
      <w:r w:rsidR="00DF14AE">
        <w:t xml:space="preserve">(irrespective of use in combination with pharmacotherapy) </w:t>
      </w:r>
      <w:r w:rsidRPr="00114126">
        <w:t xml:space="preserve">conducted by </w:t>
      </w:r>
      <w:r>
        <w:t>Lancaster</w:t>
      </w:r>
      <w:r w:rsidRPr="00114126">
        <w:t xml:space="preserve"> et al. (201</w:t>
      </w:r>
      <w:r>
        <w:t>7</w:t>
      </w:r>
      <w:r w:rsidRPr="00114126">
        <w:t xml:space="preserve">) </w:t>
      </w:r>
      <w:r w:rsidR="0076688E">
        <w:t xml:space="preserve">were consistent with the results of the </w:t>
      </w:r>
      <w:r w:rsidR="00B96418">
        <w:t xml:space="preserve">use in combination with pharmacotherapy </w:t>
      </w:r>
      <w:r w:rsidR="0076688E">
        <w:t>subgroup</w:t>
      </w:r>
      <w:r w:rsidR="00B96418">
        <w:t>.</w:t>
      </w:r>
      <w:r w:rsidR="0076688E">
        <w:t xml:space="preserve"> </w:t>
      </w:r>
    </w:p>
    <w:p w:rsidR="00A76716" w:rsidRDefault="00A76716" w:rsidP="00A76716">
      <w:pPr>
        <w:pStyle w:val="Caption"/>
        <w:keepNext/>
      </w:pPr>
      <w:bookmarkStart w:id="239" w:name="_Ref62028320"/>
      <w:r>
        <w:t xml:space="preserve">Table </w:t>
      </w:r>
      <w:r w:rsidR="003C4A1C">
        <w:rPr>
          <w:noProof/>
        </w:rPr>
        <w:t>119</w:t>
      </w:r>
      <w:bookmarkEnd w:id="239"/>
      <w:r>
        <w:t xml:space="preserve">: </w:t>
      </w:r>
      <w:r w:rsidRPr="00F13B4B">
        <w:t>Results of smoking cessation f</w:t>
      </w:r>
      <w:r w:rsidR="00760D68">
        <w:t>or</w:t>
      </w:r>
      <w:r w:rsidRPr="00F13B4B">
        <w:t xml:space="preserve"> at least six months follow-up in Lancaster et al. (2017), individual counselling versus minimal contact control</w:t>
      </w:r>
    </w:p>
    <w:tbl>
      <w:tblPr>
        <w:tblStyle w:val="TableGrid"/>
        <w:tblW w:w="0" w:type="auto"/>
        <w:tblLook w:val="04A0" w:firstRow="1" w:lastRow="0" w:firstColumn="1" w:lastColumn="0" w:noHBand="0" w:noVBand="1"/>
      </w:tblPr>
      <w:tblGrid>
        <w:gridCol w:w="1696"/>
        <w:gridCol w:w="1701"/>
        <w:gridCol w:w="2127"/>
        <w:gridCol w:w="1842"/>
        <w:gridCol w:w="1650"/>
      </w:tblGrid>
      <w:tr w:rsidR="00A76716" w:rsidRPr="00A87B25" w:rsidTr="00486A67">
        <w:tc>
          <w:tcPr>
            <w:tcW w:w="1696" w:type="dxa"/>
            <w:shd w:val="clear" w:color="auto" w:fill="BFBFBF" w:themeFill="background1" w:themeFillShade="BF"/>
          </w:tcPr>
          <w:p w:rsidR="00A76716" w:rsidRPr="007D3767" w:rsidRDefault="00A76716" w:rsidP="00486A67">
            <w:pPr>
              <w:pStyle w:val="Tablewriting"/>
              <w:rPr>
                <w:b/>
                <w:bCs/>
              </w:rPr>
            </w:pPr>
            <w:r w:rsidRPr="007D3767">
              <w:rPr>
                <w:b/>
                <w:bCs/>
              </w:rPr>
              <w:t>Study</w:t>
            </w:r>
          </w:p>
        </w:tc>
        <w:tc>
          <w:tcPr>
            <w:tcW w:w="1701" w:type="dxa"/>
            <w:shd w:val="clear" w:color="auto" w:fill="BFBFBF" w:themeFill="background1" w:themeFillShade="BF"/>
          </w:tcPr>
          <w:p w:rsidR="00A76716" w:rsidRPr="007D3767" w:rsidRDefault="00A76716" w:rsidP="00486A67">
            <w:pPr>
              <w:pStyle w:val="Tablewriting"/>
              <w:jc w:val="center"/>
              <w:rPr>
                <w:b/>
                <w:bCs/>
              </w:rPr>
            </w:pPr>
            <w:r w:rsidRPr="007D3767">
              <w:rPr>
                <w:b/>
                <w:bCs/>
              </w:rPr>
              <w:t>Study Type</w:t>
            </w:r>
          </w:p>
        </w:tc>
        <w:tc>
          <w:tcPr>
            <w:tcW w:w="2127" w:type="dxa"/>
            <w:shd w:val="clear" w:color="auto" w:fill="BFBFBF" w:themeFill="background1" w:themeFillShade="BF"/>
          </w:tcPr>
          <w:p w:rsidR="00A76716" w:rsidRPr="007D3767" w:rsidRDefault="00A76716" w:rsidP="00486A67">
            <w:pPr>
              <w:pStyle w:val="Tablewriting"/>
              <w:jc w:val="center"/>
              <w:rPr>
                <w:b/>
                <w:bCs/>
              </w:rPr>
            </w:pPr>
            <w:r>
              <w:rPr>
                <w:b/>
                <w:bCs/>
              </w:rPr>
              <w:t>Individual counselling</w:t>
            </w:r>
          </w:p>
        </w:tc>
        <w:tc>
          <w:tcPr>
            <w:tcW w:w="1842" w:type="dxa"/>
            <w:shd w:val="clear" w:color="auto" w:fill="BFBFBF" w:themeFill="background1" w:themeFillShade="BF"/>
          </w:tcPr>
          <w:p w:rsidR="00A76716" w:rsidRPr="007D3767" w:rsidRDefault="00A76716" w:rsidP="00486A67">
            <w:pPr>
              <w:pStyle w:val="Tablewriting"/>
              <w:jc w:val="center"/>
              <w:rPr>
                <w:b/>
                <w:bCs/>
              </w:rPr>
            </w:pPr>
            <w:r>
              <w:rPr>
                <w:b/>
                <w:bCs/>
              </w:rPr>
              <w:t>Minimal contact</w:t>
            </w:r>
          </w:p>
        </w:tc>
        <w:tc>
          <w:tcPr>
            <w:tcW w:w="1650" w:type="dxa"/>
            <w:shd w:val="clear" w:color="auto" w:fill="BFBFBF" w:themeFill="background1" w:themeFillShade="BF"/>
          </w:tcPr>
          <w:p w:rsidR="00A76716" w:rsidRPr="0063602A" w:rsidRDefault="00A76716" w:rsidP="00486A67">
            <w:pPr>
              <w:pStyle w:val="Tablewriting"/>
              <w:jc w:val="center"/>
              <w:rPr>
                <w:b/>
                <w:bCs/>
                <w:vertAlign w:val="superscript"/>
              </w:rPr>
            </w:pPr>
            <w:r w:rsidRPr="007D3767">
              <w:rPr>
                <w:b/>
                <w:bCs/>
              </w:rPr>
              <w:t>RR (95%</w:t>
            </w:r>
            <w:r>
              <w:rPr>
                <w:b/>
                <w:bCs/>
              </w:rPr>
              <w:t xml:space="preserve"> </w:t>
            </w:r>
            <w:r w:rsidRPr="007D3767">
              <w:rPr>
                <w:b/>
                <w:bCs/>
              </w:rPr>
              <w:t>CI)</w:t>
            </w:r>
            <w:r>
              <w:rPr>
                <w:b/>
                <w:bCs/>
                <w:vertAlign w:val="superscript"/>
              </w:rPr>
              <w:t>1</w:t>
            </w:r>
          </w:p>
        </w:tc>
      </w:tr>
      <w:tr w:rsidR="00A76716" w:rsidRPr="00402359" w:rsidTr="008C1D8E">
        <w:tc>
          <w:tcPr>
            <w:tcW w:w="9016" w:type="dxa"/>
            <w:gridSpan w:val="5"/>
            <w:shd w:val="clear" w:color="auto" w:fill="auto"/>
          </w:tcPr>
          <w:p w:rsidR="00A76716" w:rsidRPr="00FB6174" w:rsidRDefault="00A76716" w:rsidP="00486A67">
            <w:pPr>
              <w:pStyle w:val="Tablewriting"/>
              <w:rPr>
                <w:b/>
                <w:bCs/>
              </w:rPr>
            </w:pPr>
            <w:r>
              <w:rPr>
                <w:b/>
                <w:bCs/>
              </w:rPr>
              <w:t>Use in combination with pharmacotherapy subgroup</w:t>
            </w:r>
          </w:p>
        </w:tc>
      </w:tr>
      <w:tr w:rsidR="00A76716" w:rsidRPr="00402359" w:rsidTr="00486A67">
        <w:tc>
          <w:tcPr>
            <w:tcW w:w="1696" w:type="dxa"/>
          </w:tcPr>
          <w:p w:rsidR="00A76716" w:rsidRDefault="00A76716" w:rsidP="00486A67">
            <w:pPr>
              <w:pStyle w:val="Tablewriting"/>
            </w:pPr>
            <w:r>
              <w:t>Lancaster</w:t>
            </w:r>
          </w:p>
          <w:p w:rsidR="00A76716" w:rsidRPr="00402359" w:rsidRDefault="00A76716" w:rsidP="00486A67">
            <w:pPr>
              <w:pStyle w:val="Tablewriting"/>
            </w:pPr>
            <w:r>
              <w:t>(2017)</w:t>
            </w:r>
          </w:p>
        </w:tc>
        <w:tc>
          <w:tcPr>
            <w:tcW w:w="1701" w:type="dxa"/>
          </w:tcPr>
          <w:p w:rsidR="00A76716" w:rsidRDefault="00A76716" w:rsidP="00486A67">
            <w:pPr>
              <w:pStyle w:val="Tablewriting"/>
              <w:jc w:val="center"/>
            </w:pPr>
            <w:r>
              <w:t xml:space="preserve">Cochrane Review </w:t>
            </w:r>
          </w:p>
          <w:p w:rsidR="00A76716" w:rsidRPr="00402359" w:rsidRDefault="00A76716" w:rsidP="00486A67">
            <w:pPr>
              <w:pStyle w:val="Tablewriting"/>
              <w:jc w:val="center"/>
            </w:pPr>
            <w:r>
              <w:t>(6 RCTs)</w:t>
            </w:r>
          </w:p>
        </w:tc>
        <w:tc>
          <w:tcPr>
            <w:tcW w:w="2127" w:type="dxa"/>
          </w:tcPr>
          <w:p w:rsidR="00A76716" w:rsidRDefault="00A76716" w:rsidP="00486A67">
            <w:pPr>
              <w:pStyle w:val="Tablewriting"/>
              <w:jc w:val="center"/>
            </w:pPr>
            <w:r>
              <w:t>161/1,196</w:t>
            </w:r>
          </w:p>
          <w:p w:rsidR="00A76716" w:rsidRPr="00402359" w:rsidRDefault="00A76716" w:rsidP="00486A67">
            <w:pPr>
              <w:pStyle w:val="Tablewriting"/>
              <w:jc w:val="center"/>
            </w:pPr>
            <w:r>
              <w:t>(13.5%)</w:t>
            </w:r>
          </w:p>
        </w:tc>
        <w:tc>
          <w:tcPr>
            <w:tcW w:w="1842" w:type="dxa"/>
          </w:tcPr>
          <w:p w:rsidR="00A76716" w:rsidRDefault="00A76716" w:rsidP="00486A67">
            <w:pPr>
              <w:pStyle w:val="Tablewriting"/>
              <w:jc w:val="center"/>
            </w:pPr>
            <w:r>
              <w:t>154/1,466</w:t>
            </w:r>
          </w:p>
          <w:p w:rsidR="00A76716" w:rsidRPr="00402359" w:rsidRDefault="00A76716" w:rsidP="00486A67">
            <w:pPr>
              <w:pStyle w:val="Tablewriting"/>
              <w:jc w:val="center"/>
            </w:pPr>
            <w:r>
              <w:t>(10.5%)</w:t>
            </w:r>
          </w:p>
        </w:tc>
        <w:tc>
          <w:tcPr>
            <w:tcW w:w="1650" w:type="dxa"/>
          </w:tcPr>
          <w:p w:rsidR="00A76716" w:rsidRDefault="00A76716" w:rsidP="00486A67">
            <w:pPr>
              <w:pStyle w:val="Tablewriting"/>
              <w:jc w:val="center"/>
              <w:rPr>
                <w:b/>
                <w:bCs/>
              </w:rPr>
            </w:pPr>
            <w:r>
              <w:rPr>
                <w:b/>
                <w:bCs/>
              </w:rPr>
              <w:t>1.24</w:t>
            </w:r>
          </w:p>
          <w:p w:rsidR="00A76716" w:rsidRPr="00FB6174" w:rsidRDefault="00A76716" w:rsidP="00486A67">
            <w:pPr>
              <w:pStyle w:val="Tablewriting"/>
              <w:jc w:val="center"/>
              <w:rPr>
                <w:b/>
                <w:bCs/>
              </w:rPr>
            </w:pPr>
            <w:r>
              <w:rPr>
                <w:b/>
                <w:bCs/>
              </w:rPr>
              <w:t>(1.01, 1.51)</w:t>
            </w:r>
          </w:p>
        </w:tc>
      </w:tr>
      <w:tr w:rsidR="00A76716" w:rsidRPr="00402359" w:rsidTr="008C1D8E">
        <w:tc>
          <w:tcPr>
            <w:tcW w:w="9016" w:type="dxa"/>
            <w:gridSpan w:val="5"/>
            <w:shd w:val="clear" w:color="auto" w:fill="auto"/>
          </w:tcPr>
          <w:p w:rsidR="00A76716" w:rsidRPr="003D1773" w:rsidRDefault="00A76716" w:rsidP="00486A67">
            <w:pPr>
              <w:pStyle w:val="Tablewriting"/>
              <w:rPr>
                <w:b/>
                <w:bCs/>
              </w:rPr>
            </w:pPr>
            <w:r>
              <w:rPr>
                <w:b/>
                <w:bCs/>
              </w:rPr>
              <w:t>Irrespective of use in combination with pharmacotherapy (with or without)</w:t>
            </w:r>
          </w:p>
        </w:tc>
      </w:tr>
      <w:tr w:rsidR="00A76716" w:rsidRPr="00402359" w:rsidTr="00486A67">
        <w:tc>
          <w:tcPr>
            <w:tcW w:w="1696" w:type="dxa"/>
          </w:tcPr>
          <w:p w:rsidR="00A76716" w:rsidRDefault="00A76716" w:rsidP="00486A67">
            <w:pPr>
              <w:pStyle w:val="Tablewriting"/>
            </w:pPr>
            <w:r>
              <w:t xml:space="preserve">Lancaster </w:t>
            </w:r>
          </w:p>
          <w:p w:rsidR="00A76716" w:rsidRPr="00402359" w:rsidRDefault="00A76716" w:rsidP="00486A67">
            <w:pPr>
              <w:pStyle w:val="Tablewriting"/>
            </w:pPr>
            <w:r>
              <w:t>(2017)</w:t>
            </w:r>
          </w:p>
        </w:tc>
        <w:tc>
          <w:tcPr>
            <w:tcW w:w="1701" w:type="dxa"/>
          </w:tcPr>
          <w:p w:rsidR="00A76716" w:rsidRDefault="00A76716" w:rsidP="00486A67">
            <w:pPr>
              <w:pStyle w:val="Tablewriting"/>
              <w:jc w:val="center"/>
            </w:pPr>
            <w:r>
              <w:t xml:space="preserve">Cochrane Review </w:t>
            </w:r>
          </w:p>
          <w:p w:rsidR="00A76716" w:rsidRDefault="00A76716" w:rsidP="00486A67">
            <w:pPr>
              <w:pStyle w:val="Tablewriting"/>
              <w:jc w:val="center"/>
            </w:pPr>
            <w:r>
              <w:t>(33 RCTs)</w:t>
            </w:r>
          </w:p>
        </w:tc>
        <w:tc>
          <w:tcPr>
            <w:tcW w:w="2127" w:type="dxa"/>
          </w:tcPr>
          <w:p w:rsidR="00A76716" w:rsidRDefault="00A76716" w:rsidP="00486A67">
            <w:pPr>
              <w:pStyle w:val="Tablewriting"/>
              <w:jc w:val="center"/>
            </w:pPr>
            <w:r>
              <w:t>765/6,715</w:t>
            </w:r>
          </w:p>
          <w:p w:rsidR="00A76716" w:rsidRDefault="00A76716" w:rsidP="00486A67">
            <w:pPr>
              <w:pStyle w:val="Tablewriting"/>
              <w:jc w:val="center"/>
            </w:pPr>
            <w:r>
              <w:t>(11.4%)</w:t>
            </w:r>
          </w:p>
        </w:tc>
        <w:tc>
          <w:tcPr>
            <w:tcW w:w="1842" w:type="dxa"/>
          </w:tcPr>
          <w:p w:rsidR="00A76716" w:rsidRDefault="00A76716" w:rsidP="00486A67">
            <w:pPr>
              <w:pStyle w:val="Tablewriting"/>
              <w:jc w:val="center"/>
            </w:pPr>
            <w:r>
              <w:t>546/7,047</w:t>
            </w:r>
          </w:p>
          <w:p w:rsidR="00A76716" w:rsidRDefault="00A76716" w:rsidP="00486A67">
            <w:pPr>
              <w:pStyle w:val="Tablewriting"/>
              <w:jc w:val="center"/>
            </w:pPr>
            <w:r>
              <w:t>(7.7%)</w:t>
            </w:r>
          </w:p>
        </w:tc>
        <w:tc>
          <w:tcPr>
            <w:tcW w:w="1650" w:type="dxa"/>
          </w:tcPr>
          <w:p w:rsidR="00A76716" w:rsidRDefault="00A76716" w:rsidP="00486A67">
            <w:pPr>
              <w:pStyle w:val="Tablewriting"/>
              <w:jc w:val="center"/>
              <w:rPr>
                <w:b/>
                <w:bCs/>
              </w:rPr>
            </w:pPr>
            <w:r>
              <w:rPr>
                <w:b/>
                <w:bCs/>
              </w:rPr>
              <w:t>1.48</w:t>
            </w:r>
          </w:p>
          <w:p w:rsidR="00A76716" w:rsidRDefault="00A76716" w:rsidP="00486A67">
            <w:pPr>
              <w:pStyle w:val="Tablewriting"/>
              <w:jc w:val="center"/>
            </w:pPr>
            <w:r>
              <w:rPr>
                <w:b/>
                <w:bCs/>
              </w:rPr>
              <w:t>(1.34, 1.64)</w:t>
            </w:r>
          </w:p>
        </w:tc>
      </w:tr>
    </w:tbl>
    <w:p w:rsidR="00A76716" w:rsidRDefault="00A76716" w:rsidP="00A76716">
      <w:pPr>
        <w:pStyle w:val="TableFooter"/>
      </w:pPr>
      <w:r>
        <w:t>Source: Lancaster et al. (2017)</w:t>
      </w:r>
    </w:p>
    <w:p w:rsidR="00A76716" w:rsidRDefault="00A76716" w:rsidP="00A76716">
      <w:pPr>
        <w:pStyle w:val="TableFooter"/>
        <w:rPr>
          <w:i/>
        </w:rPr>
      </w:pPr>
      <w:r>
        <w:t>Abbreviations: CI = confidence interval; RCT = randomised controlled trial; RR = risk ratio</w:t>
      </w:r>
      <w:r w:rsidRPr="00061F78">
        <w:t xml:space="preserve"> </w:t>
      </w:r>
    </w:p>
    <w:p w:rsidR="00A76716" w:rsidRDefault="00A76716" w:rsidP="00A76716">
      <w:pPr>
        <w:pStyle w:val="TableFooter"/>
      </w:pPr>
      <w:r w:rsidRPr="00D468CF">
        <w:t>Note</w:t>
      </w:r>
      <w:r>
        <w:t>s</w:t>
      </w:r>
      <w:r w:rsidRPr="00D468CF">
        <w:t>: Bold indicates statistically significant difference.</w:t>
      </w:r>
      <w:r w:rsidRPr="00962408">
        <w:t xml:space="preserve"> See </w:t>
      </w:r>
      <w:r w:rsidRPr="00B25100">
        <w:t>Appendix</w:t>
      </w:r>
      <w:r w:rsidR="003772D9">
        <w:t xml:space="preserve"> </w:t>
      </w:r>
      <w:r w:rsidR="003C4A1C">
        <w:t xml:space="preserve">Figure </w:t>
      </w:r>
      <w:r w:rsidR="003C4A1C">
        <w:rPr>
          <w:noProof/>
        </w:rPr>
        <w:t>109</w:t>
      </w:r>
      <w:r w:rsidRPr="00962408">
        <w:t xml:space="preserve"> for forest plot</w:t>
      </w:r>
      <w:r>
        <w:t xml:space="preserve"> </w:t>
      </w:r>
      <w:r w:rsidRPr="00962408">
        <w:t>which included the results of individual studies</w:t>
      </w:r>
      <w:r>
        <w:t>,</w:t>
      </w:r>
      <w:r w:rsidRPr="000F139B">
        <w:t xml:space="preserve"> </w:t>
      </w:r>
      <w:r>
        <w:t>the results of use without pharmacotherapy subgroup were not presented in this table.</w:t>
      </w:r>
    </w:p>
    <w:p w:rsidR="00A76716" w:rsidRPr="006D3AFE" w:rsidRDefault="00A76716" w:rsidP="00A76716">
      <w:pPr>
        <w:pStyle w:val="TableFooter"/>
      </w:pPr>
      <w:r>
        <w:t>1 Calculated by Cochrane Review authors using a fixed-effect model</w:t>
      </w:r>
      <w:r w:rsidR="005A689C">
        <w:t>.</w:t>
      </w:r>
    </w:p>
    <w:p w:rsidR="00A76716" w:rsidRDefault="00A76716" w:rsidP="00A76716">
      <w:pPr>
        <w:rPr>
          <w:u w:val="single"/>
        </w:rPr>
      </w:pPr>
      <w:r>
        <w:t xml:space="preserve">Lancaster et al. (2017) also pooled 11 studies to investigate the additional benefit of more intensive individual counselling compared to less intensive interventions. The results of the meta-analysis comprising 11 RCTs demonstrated </w:t>
      </w:r>
      <w:r w:rsidRPr="00114126">
        <w:t>a statistically significant difference in long-term smoking cessation rates</w:t>
      </w:r>
      <w:r>
        <w:t xml:space="preserve">, in favour of more intensive counselling. Of these, eight studies provided pharmacotherapy to all participants. The pooled risk ratio of the eight studies was consistent with the overall results (RR: 1.26; 95% CI: 1.04, 1.52), which overlapped with the remaining studies that did not offer pharmacotherapy to all participants. </w:t>
      </w:r>
    </w:p>
    <w:p w:rsidR="00A76716" w:rsidRPr="000909FA" w:rsidRDefault="00A76716" w:rsidP="00A76716">
      <w:pPr>
        <w:rPr>
          <w:u w:val="single"/>
        </w:rPr>
      </w:pPr>
      <w:r w:rsidRPr="000909FA">
        <w:rPr>
          <w:u w:val="single"/>
        </w:rPr>
        <w:t>Group therapy interventions plus pharmacotherapy versus brief cessation support plus pharmacotherapy</w:t>
      </w:r>
    </w:p>
    <w:p w:rsidR="00A76716" w:rsidRDefault="00A76716" w:rsidP="00A76716">
      <w:r>
        <w:lastRenderedPageBreak/>
        <w:t xml:space="preserve">Stead et al. (2017) identified five studies that examined group therapy plus pharmacotherapy as compared to pharmacotherapy with brief support. Three of these studies provided NRT while the remaining studies provided bupropion. In addition to pharmacotherapy, the control conditions ranged from minimal contact and medication instructions only, to fewer and less intense group sessions. </w:t>
      </w:r>
    </w:p>
    <w:p w:rsidR="00A76716" w:rsidRDefault="00A76716" w:rsidP="00A76716">
      <w:r w:rsidRPr="003457E5">
        <w:t>A summary of the smoking cessation rates f</w:t>
      </w:r>
      <w:r w:rsidR="00760D68">
        <w:t>or</w:t>
      </w:r>
      <w:r w:rsidRPr="003457E5">
        <w:t xml:space="preserve"> at least six months follow-up comparing </w:t>
      </w:r>
      <w:r w:rsidRPr="0028732A">
        <w:t>group therapy plus pharmacotherapy versus pharmacotherapy alone</w:t>
      </w:r>
      <w:r w:rsidRPr="003457E5">
        <w:t xml:space="preserve"> is presented</w:t>
      </w:r>
      <w:r>
        <w:t xml:space="preserve"> in </w:t>
      </w:r>
      <w:r w:rsidR="003C4A1C">
        <w:t xml:space="preserve">Table </w:t>
      </w:r>
      <w:r w:rsidR="003C4A1C">
        <w:rPr>
          <w:noProof/>
        </w:rPr>
        <w:t>120</w:t>
      </w:r>
      <w:r>
        <w:t>.</w:t>
      </w:r>
      <w:r w:rsidRPr="003457E5">
        <w:t xml:space="preserve"> </w:t>
      </w:r>
      <w:r w:rsidRPr="00AB0131">
        <w:t xml:space="preserve">The results of the meta-analysis comprising </w:t>
      </w:r>
      <w:r>
        <w:t>five</w:t>
      </w:r>
      <w:r w:rsidRPr="00AB0131">
        <w:t xml:space="preserve"> RCTs conducted by </w:t>
      </w:r>
      <w:r>
        <w:t>Stead</w:t>
      </w:r>
      <w:r w:rsidRPr="00AB0131">
        <w:t xml:space="preserve"> et al. (2017) </w:t>
      </w:r>
      <w:r>
        <w:t>demonstrated</w:t>
      </w:r>
      <w:r w:rsidRPr="00AB0131">
        <w:t xml:space="preserve"> </w:t>
      </w:r>
      <w:r>
        <w:t>no</w:t>
      </w:r>
      <w:r w:rsidRPr="00AB0131">
        <w:t xml:space="preserve"> statistically significant difference</w:t>
      </w:r>
      <w:r>
        <w:t>s</w:t>
      </w:r>
      <w:r w:rsidRPr="00AB0131">
        <w:t xml:space="preserve"> in long-term smoking cessation rates</w:t>
      </w:r>
      <w:r>
        <w:t xml:space="preserve"> between the two treatment arms</w:t>
      </w:r>
      <w:r w:rsidRPr="00AB0131">
        <w:t xml:space="preserve">, </w:t>
      </w:r>
      <w:r>
        <w:t>although the results numerically favoured group therapy plus pharmacotherapy. It was observed that none of the individual studies reported a statistically significant result.</w:t>
      </w:r>
    </w:p>
    <w:p w:rsidR="00A76716" w:rsidRDefault="00A76716" w:rsidP="00A76716">
      <w:pPr>
        <w:pStyle w:val="Caption"/>
        <w:keepNext/>
      </w:pPr>
      <w:bookmarkStart w:id="240" w:name="_Ref62029110"/>
      <w:r>
        <w:t xml:space="preserve">Table </w:t>
      </w:r>
      <w:r w:rsidR="003C4A1C">
        <w:rPr>
          <w:noProof/>
        </w:rPr>
        <w:t>120</w:t>
      </w:r>
      <w:bookmarkEnd w:id="240"/>
      <w:r>
        <w:t xml:space="preserve">: </w:t>
      </w:r>
      <w:r w:rsidRPr="003B5BEB">
        <w:t>Results of smoking cessation f</w:t>
      </w:r>
      <w:r w:rsidR="00760D68">
        <w:t>or</w:t>
      </w:r>
      <w:r w:rsidRPr="003B5BEB">
        <w:t xml:space="preserve"> at least six months follow-up in Stead et al. (2017), group therapy plus pharmacotherapy versus pharmacotherapy alone</w:t>
      </w:r>
    </w:p>
    <w:tbl>
      <w:tblPr>
        <w:tblStyle w:val="TableGrid"/>
        <w:tblW w:w="0" w:type="auto"/>
        <w:tblLook w:val="04A0" w:firstRow="1" w:lastRow="0" w:firstColumn="1" w:lastColumn="0" w:noHBand="0" w:noVBand="1"/>
      </w:tblPr>
      <w:tblGrid>
        <w:gridCol w:w="1696"/>
        <w:gridCol w:w="1701"/>
        <w:gridCol w:w="1985"/>
        <w:gridCol w:w="1984"/>
        <w:gridCol w:w="1650"/>
      </w:tblGrid>
      <w:tr w:rsidR="00A76716" w:rsidRPr="00A87B25" w:rsidTr="00486A67">
        <w:tc>
          <w:tcPr>
            <w:tcW w:w="1696" w:type="dxa"/>
            <w:shd w:val="clear" w:color="auto" w:fill="BFBFBF" w:themeFill="background1" w:themeFillShade="BF"/>
          </w:tcPr>
          <w:p w:rsidR="00A76716" w:rsidRPr="007D3767" w:rsidRDefault="00A76716" w:rsidP="00486A67">
            <w:pPr>
              <w:pStyle w:val="Tablewriting"/>
              <w:rPr>
                <w:b/>
                <w:bCs/>
              </w:rPr>
            </w:pPr>
            <w:r w:rsidRPr="007D3767">
              <w:rPr>
                <w:b/>
                <w:bCs/>
              </w:rPr>
              <w:t>Study</w:t>
            </w:r>
          </w:p>
        </w:tc>
        <w:tc>
          <w:tcPr>
            <w:tcW w:w="1701" w:type="dxa"/>
            <w:shd w:val="clear" w:color="auto" w:fill="BFBFBF" w:themeFill="background1" w:themeFillShade="BF"/>
          </w:tcPr>
          <w:p w:rsidR="00A76716" w:rsidRPr="007D3767" w:rsidRDefault="00A76716" w:rsidP="00486A67">
            <w:pPr>
              <w:pStyle w:val="Tablewriting"/>
              <w:jc w:val="center"/>
              <w:rPr>
                <w:b/>
                <w:bCs/>
              </w:rPr>
            </w:pPr>
            <w:r w:rsidRPr="007D3767">
              <w:rPr>
                <w:b/>
                <w:bCs/>
              </w:rPr>
              <w:t>Study Type</w:t>
            </w:r>
          </w:p>
        </w:tc>
        <w:tc>
          <w:tcPr>
            <w:tcW w:w="1985" w:type="dxa"/>
            <w:shd w:val="clear" w:color="auto" w:fill="BFBFBF" w:themeFill="background1" w:themeFillShade="BF"/>
          </w:tcPr>
          <w:p w:rsidR="00A76716" w:rsidRPr="007D3767" w:rsidRDefault="00A76716" w:rsidP="00486A67">
            <w:pPr>
              <w:pStyle w:val="Tablewriting"/>
              <w:jc w:val="center"/>
              <w:rPr>
                <w:b/>
                <w:bCs/>
              </w:rPr>
            </w:pPr>
            <w:r>
              <w:rPr>
                <w:b/>
                <w:bCs/>
              </w:rPr>
              <w:t>Group therapy plus pharmacotherapy</w:t>
            </w:r>
          </w:p>
        </w:tc>
        <w:tc>
          <w:tcPr>
            <w:tcW w:w="1984" w:type="dxa"/>
            <w:shd w:val="clear" w:color="auto" w:fill="BFBFBF" w:themeFill="background1" w:themeFillShade="BF"/>
          </w:tcPr>
          <w:p w:rsidR="00A76716" w:rsidRPr="007D3767" w:rsidRDefault="00A76716" w:rsidP="00486A67">
            <w:pPr>
              <w:pStyle w:val="Tablewriting"/>
              <w:jc w:val="center"/>
              <w:rPr>
                <w:b/>
                <w:bCs/>
              </w:rPr>
            </w:pPr>
            <w:r>
              <w:rPr>
                <w:b/>
                <w:bCs/>
              </w:rPr>
              <w:t>Pharmacotherapy alone</w:t>
            </w:r>
          </w:p>
        </w:tc>
        <w:tc>
          <w:tcPr>
            <w:tcW w:w="1650" w:type="dxa"/>
            <w:shd w:val="clear" w:color="auto" w:fill="BFBFBF" w:themeFill="background1" w:themeFillShade="BF"/>
          </w:tcPr>
          <w:p w:rsidR="00A76716" w:rsidRPr="0063602A" w:rsidRDefault="00A76716" w:rsidP="00486A67">
            <w:pPr>
              <w:pStyle w:val="Tablewriting"/>
              <w:jc w:val="center"/>
              <w:rPr>
                <w:b/>
                <w:bCs/>
                <w:vertAlign w:val="superscript"/>
              </w:rPr>
            </w:pPr>
            <w:r w:rsidRPr="007D3767">
              <w:rPr>
                <w:b/>
                <w:bCs/>
              </w:rPr>
              <w:t>RR (95%</w:t>
            </w:r>
            <w:r>
              <w:rPr>
                <w:b/>
                <w:bCs/>
              </w:rPr>
              <w:t xml:space="preserve"> </w:t>
            </w:r>
            <w:r w:rsidRPr="007D3767">
              <w:rPr>
                <w:b/>
                <w:bCs/>
              </w:rPr>
              <w:t>CI)</w:t>
            </w:r>
            <w:r>
              <w:rPr>
                <w:b/>
                <w:bCs/>
                <w:vertAlign w:val="superscript"/>
              </w:rPr>
              <w:t>1</w:t>
            </w:r>
          </w:p>
        </w:tc>
      </w:tr>
      <w:tr w:rsidR="00A76716" w:rsidRPr="00402359" w:rsidTr="00486A67">
        <w:tc>
          <w:tcPr>
            <w:tcW w:w="1696" w:type="dxa"/>
          </w:tcPr>
          <w:p w:rsidR="00A76716" w:rsidRDefault="00A76716" w:rsidP="00486A67">
            <w:pPr>
              <w:pStyle w:val="Tablewriting"/>
            </w:pPr>
            <w:r>
              <w:t>Stead</w:t>
            </w:r>
          </w:p>
          <w:p w:rsidR="00A76716" w:rsidRPr="00402359" w:rsidRDefault="00A76716" w:rsidP="00486A67">
            <w:pPr>
              <w:pStyle w:val="Tablewriting"/>
            </w:pPr>
            <w:r>
              <w:t>(2017)</w:t>
            </w:r>
          </w:p>
        </w:tc>
        <w:tc>
          <w:tcPr>
            <w:tcW w:w="1701" w:type="dxa"/>
          </w:tcPr>
          <w:p w:rsidR="00A76716" w:rsidRDefault="00A76716" w:rsidP="00486A67">
            <w:pPr>
              <w:pStyle w:val="Tablewriting"/>
              <w:jc w:val="center"/>
            </w:pPr>
            <w:r>
              <w:t xml:space="preserve">Cochrane Review </w:t>
            </w:r>
          </w:p>
          <w:p w:rsidR="00A76716" w:rsidRPr="00402359" w:rsidRDefault="00A76716" w:rsidP="00486A67">
            <w:pPr>
              <w:pStyle w:val="Tablewriting"/>
              <w:jc w:val="center"/>
            </w:pPr>
            <w:r>
              <w:t>(5 RCTs)</w:t>
            </w:r>
          </w:p>
        </w:tc>
        <w:tc>
          <w:tcPr>
            <w:tcW w:w="1985" w:type="dxa"/>
          </w:tcPr>
          <w:p w:rsidR="00A76716" w:rsidRDefault="00A76716" w:rsidP="00486A67">
            <w:pPr>
              <w:pStyle w:val="Tablewriting"/>
              <w:jc w:val="center"/>
            </w:pPr>
            <w:r>
              <w:t>238/843</w:t>
            </w:r>
          </w:p>
          <w:p w:rsidR="00A76716" w:rsidRPr="00402359" w:rsidRDefault="00A76716" w:rsidP="00486A67">
            <w:pPr>
              <w:pStyle w:val="Tablewriting"/>
              <w:jc w:val="center"/>
            </w:pPr>
            <w:r>
              <w:t>(28.2%)</w:t>
            </w:r>
          </w:p>
        </w:tc>
        <w:tc>
          <w:tcPr>
            <w:tcW w:w="1984" w:type="dxa"/>
          </w:tcPr>
          <w:p w:rsidR="00A76716" w:rsidRDefault="00A76716" w:rsidP="00486A67">
            <w:pPr>
              <w:pStyle w:val="Tablewriting"/>
              <w:jc w:val="center"/>
            </w:pPr>
            <w:r>
              <w:t>156/680</w:t>
            </w:r>
          </w:p>
          <w:p w:rsidR="00A76716" w:rsidRPr="00402359" w:rsidRDefault="00A76716" w:rsidP="00486A67">
            <w:pPr>
              <w:pStyle w:val="Tablewriting"/>
              <w:jc w:val="center"/>
            </w:pPr>
            <w:r>
              <w:t>(22.9%)</w:t>
            </w:r>
          </w:p>
        </w:tc>
        <w:tc>
          <w:tcPr>
            <w:tcW w:w="1650" w:type="dxa"/>
          </w:tcPr>
          <w:p w:rsidR="00A76716" w:rsidRPr="003457E5" w:rsidRDefault="00A76716" w:rsidP="00486A67">
            <w:pPr>
              <w:pStyle w:val="Tablewriting"/>
              <w:jc w:val="center"/>
            </w:pPr>
            <w:r w:rsidRPr="003457E5">
              <w:t>1.11</w:t>
            </w:r>
          </w:p>
          <w:p w:rsidR="00A76716" w:rsidRPr="00FB6174" w:rsidRDefault="00A76716" w:rsidP="00486A67">
            <w:pPr>
              <w:pStyle w:val="Tablewriting"/>
              <w:jc w:val="center"/>
              <w:rPr>
                <w:b/>
                <w:bCs/>
              </w:rPr>
            </w:pPr>
            <w:r w:rsidRPr="003457E5">
              <w:t>(0.93, 1.33)</w:t>
            </w:r>
          </w:p>
        </w:tc>
      </w:tr>
    </w:tbl>
    <w:p w:rsidR="00A76716" w:rsidRDefault="00A76716" w:rsidP="00A76716">
      <w:pPr>
        <w:pStyle w:val="TableFooter"/>
      </w:pPr>
      <w:r>
        <w:t>Source: Stead et al. (2017)</w:t>
      </w:r>
    </w:p>
    <w:p w:rsidR="00A76716" w:rsidRDefault="00A76716" w:rsidP="00A76716">
      <w:pPr>
        <w:pStyle w:val="TableFooter"/>
        <w:rPr>
          <w:i/>
        </w:rPr>
      </w:pPr>
      <w:r>
        <w:t>Abbreviations: CI = confidence interval; RCT = randomised controlled trial; RR = risk ratio</w:t>
      </w:r>
      <w:r w:rsidRPr="00061F78">
        <w:t xml:space="preserve"> </w:t>
      </w:r>
    </w:p>
    <w:p w:rsidR="00A76716" w:rsidRDefault="00A76716" w:rsidP="00A76716">
      <w:pPr>
        <w:pStyle w:val="TableFooter"/>
      </w:pPr>
      <w:r w:rsidRPr="00D468CF">
        <w:t>Note</w:t>
      </w:r>
      <w:r>
        <w:t>s</w:t>
      </w:r>
      <w:r w:rsidRPr="00D468CF">
        <w:t>: Bold indicates statistically significant difference.</w:t>
      </w:r>
      <w:r w:rsidRPr="00962408">
        <w:t xml:space="preserve"> See </w:t>
      </w:r>
      <w:r w:rsidRPr="00B25100">
        <w:t>Appendix</w:t>
      </w:r>
      <w:r w:rsidRPr="00962408">
        <w:t xml:space="preserve"> </w:t>
      </w:r>
      <w:r w:rsidR="003C4A1C">
        <w:t xml:space="preserve">Figure </w:t>
      </w:r>
      <w:r w:rsidR="003C4A1C">
        <w:rPr>
          <w:noProof/>
        </w:rPr>
        <w:t>110</w:t>
      </w:r>
      <w:r w:rsidRPr="00962408">
        <w:t xml:space="preserve"> for forest plot</w:t>
      </w:r>
      <w:r>
        <w:t xml:space="preserve"> </w:t>
      </w:r>
      <w:r w:rsidRPr="00962408">
        <w:t>which included the results of individual studies</w:t>
      </w:r>
      <w:r>
        <w:t>.</w:t>
      </w:r>
    </w:p>
    <w:p w:rsidR="00A76716" w:rsidRPr="006D3AFE" w:rsidRDefault="00A76716" w:rsidP="00A76716">
      <w:pPr>
        <w:pStyle w:val="TableFooter"/>
      </w:pPr>
      <w:r>
        <w:t>1 Calculated by Cochrane Review authors using a fixed-effect model</w:t>
      </w:r>
      <w:r w:rsidR="005A689C">
        <w:t>.</w:t>
      </w:r>
    </w:p>
    <w:p w:rsidR="00EE3B90" w:rsidRPr="009D3978" w:rsidRDefault="00EE3B90" w:rsidP="00EE3B90">
      <w:pPr>
        <w:rPr>
          <w:u w:val="single"/>
        </w:rPr>
      </w:pPr>
      <w:r>
        <w:rPr>
          <w:u w:val="single"/>
        </w:rPr>
        <w:t>More intensive behavioural support delivered by c</w:t>
      </w:r>
      <w:r w:rsidRPr="009D3978">
        <w:rPr>
          <w:u w:val="single"/>
        </w:rPr>
        <w:t>ommunity pharmacy personnel interventions</w:t>
      </w:r>
      <w:r>
        <w:rPr>
          <w:u w:val="single"/>
        </w:rPr>
        <w:t xml:space="preserve"> versus less intensive smoking cessation support</w:t>
      </w:r>
      <w:r w:rsidR="009C047D">
        <w:rPr>
          <w:u w:val="single"/>
        </w:rPr>
        <w:t xml:space="preserve"> (both in combination with pharmacotherapy)</w:t>
      </w:r>
    </w:p>
    <w:p w:rsidR="00EE3B90" w:rsidRDefault="00EE3B90" w:rsidP="00971AC4">
      <w:r>
        <w:t xml:space="preserve">Carson-Chahhoud et al. (2019) identified seven studies that examined face-to-face behavioural interventions delivered by community pharmacy personnel as compared to “usual care”. The behavioural interventions were broadly based on various psychological theories of behaviour change but varied in content and the frequency of interactions (i.e. contact time). Usual care also varied between the studies, ranging from one-off-brief behavioural advice to print-based interventions and less intensive smoking cessation programmes. Participants in both groups had access to pharmacotherapy in all but one study where pharmacotherapy was not provided or available to participants in either group </w:t>
      </w:r>
      <w:r w:rsidRPr="00467484">
        <w:t xml:space="preserve">(Burford </w:t>
      </w:r>
      <w:r w:rsidR="00467484" w:rsidRPr="00467484">
        <w:t xml:space="preserve">et al. </w:t>
      </w:r>
      <w:r w:rsidRPr="00467484">
        <w:t>2013</w:t>
      </w:r>
      <w:r>
        <w:t xml:space="preserve">). Additionally, another study </w:t>
      </w:r>
      <w:r w:rsidR="005E61B4">
        <w:t>(</w:t>
      </w:r>
      <w:r w:rsidRPr="005E61B4">
        <w:t>El Hajj</w:t>
      </w:r>
      <w:r w:rsidR="005E61B4" w:rsidRPr="005E61B4">
        <w:t xml:space="preserve"> et al.</w:t>
      </w:r>
      <w:r w:rsidRPr="005E61B4">
        <w:t xml:space="preserve"> 2017</w:t>
      </w:r>
      <w:r w:rsidR="005E61B4">
        <w:t>)</w:t>
      </w:r>
      <w:r w:rsidR="008472F9">
        <w:t xml:space="preserve"> reported that</w:t>
      </w:r>
      <w:r>
        <w:t xml:space="preserve"> pharmacotherapy </w:t>
      </w:r>
      <w:r w:rsidR="008472F9">
        <w:t xml:space="preserve">was provided </w:t>
      </w:r>
      <w:r>
        <w:t xml:space="preserve">to intervention group </w:t>
      </w:r>
      <w:r w:rsidR="00550394">
        <w:t>participants but</w:t>
      </w:r>
      <w:r>
        <w:t xml:space="preserve"> </w:t>
      </w:r>
      <w:r w:rsidR="008472F9">
        <w:t xml:space="preserve">was </w:t>
      </w:r>
      <w:r>
        <w:t>only offered to control group participants.</w:t>
      </w:r>
      <w:r w:rsidR="00971AC4">
        <w:t xml:space="preserve"> It was unclear whether the pharmacotherapy provided in both arms was matched</w:t>
      </w:r>
      <w:r w:rsidR="008472F9">
        <w:t>.</w:t>
      </w:r>
    </w:p>
    <w:p w:rsidR="00ED4D7D" w:rsidRDefault="00396722" w:rsidP="00EE3B90">
      <w:r w:rsidRPr="007D3767">
        <w:t>A summary of the smoking cessation rates f</w:t>
      </w:r>
      <w:r w:rsidR="00760D68">
        <w:t>or</w:t>
      </w:r>
      <w:r w:rsidRPr="007D3767">
        <w:t xml:space="preserve"> at least six months follow-up comparing </w:t>
      </w:r>
      <w:r>
        <w:t xml:space="preserve">more intensive with less intensive smoking cessation support </w:t>
      </w:r>
      <w:r w:rsidRPr="007D3767">
        <w:t>is presented</w:t>
      </w:r>
      <w:r w:rsidR="001966B8">
        <w:t xml:space="preserve"> in </w:t>
      </w:r>
      <w:r w:rsidR="003C4A1C">
        <w:t xml:space="preserve">Table </w:t>
      </w:r>
      <w:r w:rsidR="003C4A1C">
        <w:rPr>
          <w:noProof/>
        </w:rPr>
        <w:t>121</w:t>
      </w:r>
      <w:r w:rsidR="001966B8">
        <w:t>.</w:t>
      </w:r>
      <w:r>
        <w:t xml:space="preserve"> </w:t>
      </w:r>
      <w:r w:rsidR="003E7377">
        <w:t xml:space="preserve">The </w:t>
      </w:r>
      <w:r w:rsidR="00061E95">
        <w:t>results of the</w:t>
      </w:r>
      <w:r w:rsidR="00FB5A00">
        <w:t xml:space="preserve"> meta-analysis </w:t>
      </w:r>
      <w:r w:rsidR="00B340CB">
        <w:t xml:space="preserve">comprising six RCTs </w:t>
      </w:r>
      <w:r w:rsidR="00241248">
        <w:t xml:space="preserve">(excluding Burford 2013) </w:t>
      </w:r>
      <w:r w:rsidR="00FB5A00">
        <w:t xml:space="preserve">conducted by Carson-Chahhoud et al. (2019) </w:t>
      </w:r>
      <w:r w:rsidR="001966B8">
        <w:t>demonstrated</w:t>
      </w:r>
      <w:r w:rsidR="004F53D2">
        <w:t xml:space="preserve"> </w:t>
      </w:r>
      <w:r w:rsidR="00B340CB" w:rsidRPr="00B340CB">
        <w:t xml:space="preserve">a statistically significant difference in long-term smoking cessation rates, in favour of </w:t>
      </w:r>
      <w:r w:rsidR="004F53D2">
        <w:t xml:space="preserve">more intensive </w:t>
      </w:r>
      <w:r w:rsidR="00F253F8">
        <w:t xml:space="preserve">face-to-face behavioural smoking cessation in combination with pharmacotherapy. An additional sensitivity analysis </w:t>
      </w:r>
      <w:r w:rsidR="00F253F8">
        <w:lastRenderedPageBreak/>
        <w:t xml:space="preserve">conducted by the </w:t>
      </w:r>
      <w:r w:rsidR="00BF0668">
        <w:t xml:space="preserve">Cochrane Review </w:t>
      </w:r>
      <w:r w:rsidR="00F253F8">
        <w:t>author</w:t>
      </w:r>
      <w:r w:rsidR="00BF0668">
        <w:t>s by r</w:t>
      </w:r>
      <w:r w:rsidR="00EE3B90">
        <w:t xml:space="preserve">emoving El Hajj </w:t>
      </w:r>
      <w:r w:rsidR="00BF0668">
        <w:t>et al. (</w:t>
      </w:r>
      <w:r w:rsidR="00EE3B90">
        <w:t>2017</w:t>
      </w:r>
      <w:r w:rsidR="00BF0668">
        <w:t>)</w:t>
      </w:r>
      <w:r w:rsidR="00EE3B90">
        <w:t xml:space="preserve"> did not have any notable effect on this estimate.</w:t>
      </w:r>
    </w:p>
    <w:p w:rsidR="003D2C0D" w:rsidRDefault="003D2C0D" w:rsidP="003D2C0D">
      <w:pPr>
        <w:pStyle w:val="Caption"/>
        <w:keepNext/>
      </w:pPr>
      <w:bookmarkStart w:id="241" w:name="_Ref62026556"/>
      <w:r>
        <w:t xml:space="preserve">Table </w:t>
      </w:r>
      <w:r w:rsidR="003C4A1C">
        <w:rPr>
          <w:noProof/>
        </w:rPr>
        <w:t>121</w:t>
      </w:r>
      <w:bookmarkEnd w:id="241"/>
      <w:r>
        <w:t xml:space="preserve">: </w:t>
      </w:r>
      <w:r w:rsidRPr="00E90764">
        <w:t>Results of smoking cessation f</w:t>
      </w:r>
      <w:r w:rsidR="00760D68">
        <w:t>or</w:t>
      </w:r>
      <w:r w:rsidRPr="00E90764">
        <w:t xml:space="preserve"> at least six months follow-up in Carson-Chahhoud et al. (2019), more versus less intensive smoking cessation support</w:t>
      </w:r>
    </w:p>
    <w:tbl>
      <w:tblPr>
        <w:tblStyle w:val="TableGrid"/>
        <w:tblW w:w="0" w:type="auto"/>
        <w:tblLook w:val="04A0" w:firstRow="1" w:lastRow="0" w:firstColumn="1" w:lastColumn="0" w:noHBand="0" w:noVBand="1"/>
      </w:tblPr>
      <w:tblGrid>
        <w:gridCol w:w="1696"/>
        <w:gridCol w:w="1701"/>
        <w:gridCol w:w="1985"/>
        <w:gridCol w:w="1984"/>
        <w:gridCol w:w="1650"/>
      </w:tblGrid>
      <w:tr w:rsidR="00ED4D7D" w:rsidRPr="00A87B25" w:rsidTr="00486A67">
        <w:tc>
          <w:tcPr>
            <w:tcW w:w="1696" w:type="dxa"/>
            <w:shd w:val="clear" w:color="auto" w:fill="BFBFBF" w:themeFill="background1" w:themeFillShade="BF"/>
          </w:tcPr>
          <w:p w:rsidR="00ED4D7D" w:rsidRPr="007D3767" w:rsidRDefault="00ED4D7D" w:rsidP="00486A67">
            <w:pPr>
              <w:pStyle w:val="Tablewriting"/>
              <w:rPr>
                <w:b/>
                <w:bCs/>
              </w:rPr>
            </w:pPr>
            <w:r w:rsidRPr="007D3767">
              <w:rPr>
                <w:b/>
                <w:bCs/>
              </w:rPr>
              <w:t>Study</w:t>
            </w:r>
          </w:p>
        </w:tc>
        <w:tc>
          <w:tcPr>
            <w:tcW w:w="1701" w:type="dxa"/>
            <w:shd w:val="clear" w:color="auto" w:fill="BFBFBF" w:themeFill="background1" w:themeFillShade="BF"/>
          </w:tcPr>
          <w:p w:rsidR="00ED4D7D" w:rsidRPr="007D3767" w:rsidRDefault="00ED4D7D" w:rsidP="00486A67">
            <w:pPr>
              <w:pStyle w:val="Tablewriting"/>
              <w:jc w:val="center"/>
              <w:rPr>
                <w:b/>
                <w:bCs/>
              </w:rPr>
            </w:pPr>
            <w:r w:rsidRPr="007D3767">
              <w:rPr>
                <w:b/>
                <w:bCs/>
              </w:rPr>
              <w:t>Study Type</w:t>
            </w:r>
          </w:p>
        </w:tc>
        <w:tc>
          <w:tcPr>
            <w:tcW w:w="1985" w:type="dxa"/>
            <w:shd w:val="clear" w:color="auto" w:fill="BFBFBF" w:themeFill="background1" w:themeFillShade="BF"/>
          </w:tcPr>
          <w:p w:rsidR="00ED4D7D" w:rsidRPr="007D3767" w:rsidRDefault="00ED4D7D" w:rsidP="00486A67">
            <w:pPr>
              <w:pStyle w:val="Tablewriting"/>
              <w:jc w:val="center"/>
              <w:rPr>
                <w:b/>
                <w:bCs/>
              </w:rPr>
            </w:pPr>
            <w:r>
              <w:rPr>
                <w:b/>
                <w:bCs/>
              </w:rPr>
              <w:t>More intensive</w:t>
            </w:r>
          </w:p>
        </w:tc>
        <w:tc>
          <w:tcPr>
            <w:tcW w:w="1984" w:type="dxa"/>
            <w:shd w:val="clear" w:color="auto" w:fill="BFBFBF" w:themeFill="background1" w:themeFillShade="BF"/>
          </w:tcPr>
          <w:p w:rsidR="00ED4D7D" w:rsidRPr="007D3767" w:rsidRDefault="00ED4D7D" w:rsidP="00486A67">
            <w:pPr>
              <w:pStyle w:val="Tablewriting"/>
              <w:jc w:val="center"/>
              <w:rPr>
                <w:b/>
                <w:bCs/>
              </w:rPr>
            </w:pPr>
            <w:r>
              <w:rPr>
                <w:b/>
                <w:bCs/>
              </w:rPr>
              <w:t>Less intensive</w:t>
            </w:r>
          </w:p>
        </w:tc>
        <w:tc>
          <w:tcPr>
            <w:tcW w:w="1650" w:type="dxa"/>
            <w:shd w:val="clear" w:color="auto" w:fill="BFBFBF" w:themeFill="background1" w:themeFillShade="BF"/>
          </w:tcPr>
          <w:p w:rsidR="00ED4D7D" w:rsidRPr="0063602A" w:rsidRDefault="00ED4D7D" w:rsidP="00486A67">
            <w:pPr>
              <w:pStyle w:val="Tablewriting"/>
              <w:jc w:val="center"/>
              <w:rPr>
                <w:b/>
                <w:bCs/>
                <w:vertAlign w:val="superscript"/>
              </w:rPr>
            </w:pPr>
            <w:r w:rsidRPr="007D3767">
              <w:rPr>
                <w:b/>
                <w:bCs/>
              </w:rPr>
              <w:t>RR (95%</w:t>
            </w:r>
            <w:r>
              <w:rPr>
                <w:b/>
                <w:bCs/>
              </w:rPr>
              <w:t xml:space="preserve"> </w:t>
            </w:r>
            <w:r w:rsidRPr="007D3767">
              <w:rPr>
                <w:b/>
                <w:bCs/>
              </w:rPr>
              <w:t>CI)</w:t>
            </w:r>
            <w:r>
              <w:rPr>
                <w:b/>
                <w:bCs/>
                <w:vertAlign w:val="superscript"/>
              </w:rPr>
              <w:t>1</w:t>
            </w:r>
          </w:p>
        </w:tc>
      </w:tr>
      <w:tr w:rsidR="00ED4D7D" w:rsidRPr="00402359" w:rsidTr="00486A67">
        <w:tc>
          <w:tcPr>
            <w:tcW w:w="1696" w:type="dxa"/>
          </w:tcPr>
          <w:p w:rsidR="00ED4D7D" w:rsidRDefault="00DC7C2B" w:rsidP="00486A67">
            <w:pPr>
              <w:pStyle w:val="Tablewriting"/>
            </w:pPr>
            <w:r>
              <w:t>Carson-Chahhoud</w:t>
            </w:r>
          </w:p>
          <w:p w:rsidR="00ED4D7D" w:rsidRPr="00402359" w:rsidRDefault="00ED4D7D" w:rsidP="00486A67">
            <w:pPr>
              <w:pStyle w:val="Tablewriting"/>
            </w:pPr>
            <w:r>
              <w:t>(2019)</w:t>
            </w:r>
          </w:p>
        </w:tc>
        <w:tc>
          <w:tcPr>
            <w:tcW w:w="1701" w:type="dxa"/>
          </w:tcPr>
          <w:p w:rsidR="00ED4D7D" w:rsidRDefault="00ED4D7D" w:rsidP="00486A67">
            <w:pPr>
              <w:pStyle w:val="Tablewriting"/>
              <w:jc w:val="center"/>
            </w:pPr>
            <w:r>
              <w:t xml:space="preserve">Cochrane Review </w:t>
            </w:r>
          </w:p>
          <w:p w:rsidR="00ED4D7D" w:rsidRPr="00402359" w:rsidRDefault="00ED4D7D" w:rsidP="00486A67">
            <w:pPr>
              <w:pStyle w:val="Tablewriting"/>
              <w:jc w:val="center"/>
            </w:pPr>
            <w:r>
              <w:t>(</w:t>
            </w:r>
            <w:r w:rsidR="00DC7C2B">
              <w:t>6</w:t>
            </w:r>
            <w:r>
              <w:t xml:space="preserve"> RCTs)</w:t>
            </w:r>
          </w:p>
        </w:tc>
        <w:tc>
          <w:tcPr>
            <w:tcW w:w="1985" w:type="dxa"/>
          </w:tcPr>
          <w:p w:rsidR="00ED4D7D" w:rsidRDefault="00ED4D7D" w:rsidP="00486A67">
            <w:pPr>
              <w:pStyle w:val="Tablewriting"/>
              <w:jc w:val="center"/>
            </w:pPr>
            <w:r>
              <w:t>1</w:t>
            </w:r>
            <w:r w:rsidR="00D156DD">
              <w:t>11</w:t>
            </w:r>
            <w:r>
              <w:t>/</w:t>
            </w:r>
            <w:r w:rsidR="00D156DD">
              <w:t>845</w:t>
            </w:r>
          </w:p>
          <w:p w:rsidR="00ED4D7D" w:rsidRPr="00402359" w:rsidRDefault="00ED4D7D" w:rsidP="00486A67">
            <w:pPr>
              <w:pStyle w:val="Tablewriting"/>
              <w:jc w:val="center"/>
            </w:pPr>
            <w:r>
              <w:t>(</w:t>
            </w:r>
            <w:r w:rsidR="00067BFA">
              <w:t>13.1</w:t>
            </w:r>
            <w:r>
              <w:t>%)</w:t>
            </w:r>
          </w:p>
        </w:tc>
        <w:tc>
          <w:tcPr>
            <w:tcW w:w="1984" w:type="dxa"/>
          </w:tcPr>
          <w:p w:rsidR="00ED4D7D" w:rsidRDefault="00D156DD" w:rsidP="00486A67">
            <w:pPr>
              <w:pStyle w:val="Tablewriting"/>
              <w:jc w:val="center"/>
            </w:pPr>
            <w:r>
              <w:t>46</w:t>
            </w:r>
            <w:r w:rsidR="00ED4D7D">
              <w:t>/</w:t>
            </w:r>
            <w:r>
              <w:t>769</w:t>
            </w:r>
          </w:p>
          <w:p w:rsidR="00ED4D7D" w:rsidRPr="00402359" w:rsidRDefault="00ED4D7D" w:rsidP="00486A67">
            <w:pPr>
              <w:pStyle w:val="Tablewriting"/>
              <w:jc w:val="center"/>
            </w:pPr>
            <w:r>
              <w:t>(</w:t>
            </w:r>
            <w:r w:rsidR="00233CBA">
              <w:t>6.0</w:t>
            </w:r>
            <w:r>
              <w:t>%)</w:t>
            </w:r>
          </w:p>
        </w:tc>
        <w:tc>
          <w:tcPr>
            <w:tcW w:w="1650" w:type="dxa"/>
          </w:tcPr>
          <w:p w:rsidR="00ED4D7D" w:rsidRDefault="00D156DD" w:rsidP="00486A67">
            <w:pPr>
              <w:pStyle w:val="Tablewriting"/>
              <w:jc w:val="center"/>
              <w:rPr>
                <w:b/>
                <w:bCs/>
              </w:rPr>
            </w:pPr>
            <w:r>
              <w:rPr>
                <w:b/>
                <w:bCs/>
              </w:rPr>
              <w:t>2.30</w:t>
            </w:r>
          </w:p>
          <w:p w:rsidR="00ED4D7D" w:rsidRPr="00FB6174" w:rsidRDefault="00ED4D7D" w:rsidP="00486A67">
            <w:pPr>
              <w:pStyle w:val="Tablewriting"/>
              <w:jc w:val="center"/>
              <w:rPr>
                <w:b/>
                <w:bCs/>
              </w:rPr>
            </w:pPr>
            <w:r>
              <w:rPr>
                <w:b/>
                <w:bCs/>
              </w:rPr>
              <w:t>(1.</w:t>
            </w:r>
            <w:r w:rsidR="00D156DD">
              <w:rPr>
                <w:b/>
                <w:bCs/>
              </w:rPr>
              <w:t>33</w:t>
            </w:r>
            <w:r>
              <w:rPr>
                <w:b/>
                <w:bCs/>
              </w:rPr>
              <w:t xml:space="preserve">, </w:t>
            </w:r>
            <w:r w:rsidR="00D156DD">
              <w:rPr>
                <w:b/>
                <w:bCs/>
              </w:rPr>
              <w:t>3.97</w:t>
            </w:r>
            <w:r>
              <w:rPr>
                <w:b/>
                <w:bCs/>
              </w:rPr>
              <w:t>)</w:t>
            </w:r>
          </w:p>
        </w:tc>
      </w:tr>
    </w:tbl>
    <w:p w:rsidR="00430F36" w:rsidRDefault="00430F36" w:rsidP="00430F36">
      <w:pPr>
        <w:pStyle w:val="TableFooter"/>
      </w:pPr>
      <w:r>
        <w:t xml:space="preserve">Source: </w:t>
      </w:r>
      <w:r w:rsidR="0020021F">
        <w:t>Carson-Chahhoud</w:t>
      </w:r>
      <w:r>
        <w:t xml:space="preserve"> et al. (2019)</w:t>
      </w:r>
    </w:p>
    <w:p w:rsidR="00430F36" w:rsidRDefault="00430F36" w:rsidP="00430F36">
      <w:pPr>
        <w:pStyle w:val="TableFooter"/>
        <w:rPr>
          <w:i/>
        </w:rPr>
      </w:pPr>
      <w:r>
        <w:t>Abbreviations: CI = confidence interval; RCT = randomised controlled trial; RR = risk ratio</w:t>
      </w:r>
      <w:r w:rsidRPr="00061F78">
        <w:t xml:space="preserve"> </w:t>
      </w:r>
    </w:p>
    <w:p w:rsidR="00FB5A00" w:rsidRDefault="00430F36" w:rsidP="003D2C0D">
      <w:pPr>
        <w:pStyle w:val="TableFooter"/>
      </w:pPr>
      <w:r w:rsidRPr="00D468CF">
        <w:t>Note</w:t>
      </w:r>
      <w:r>
        <w:t>s</w:t>
      </w:r>
      <w:r w:rsidRPr="00D468CF">
        <w:t>: Bold indicates statistically significant difference.</w:t>
      </w:r>
      <w:r w:rsidRPr="00962408">
        <w:t xml:space="preserve"> See </w:t>
      </w:r>
      <w:r w:rsidRPr="00B25100">
        <w:t>Appendix</w:t>
      </w:r>
      <w:r w:rsidRPr="00962408">
        <w:t xml:space="preserve"> </w:t>
      </w:r>
      <w:r w:rsidR="003C4A1C">
        <w:t xml:space="preserve">Figure </w:t>
      </w:r>
      <w:r w:rsidR="003C4A1C">
        <w:rPr>
          <w:noProof/>
        </w:rPr>
        <w:t>111</w:t>
      </w:r>
      <w:r w:rsidRPr="00962408">
        <w:t xml:space="preserve"> for forest plot</w:t>
      </w:r>
      <w:r>
        <w:t xml:space="preserve"> </w:t>
      </w:r>
      <w:r w:rsidRPr="00962408">
        <w:t>which included the results of individual studies</w:t>
      </w:r>
      <w:r>
        <w:t>.</w:t>
      </w:r>
    </w:p>
    <w:p w:rsidR="003D2C0D" w:rsidRDefault="003D2C0D" w:rsidP="003D2C0D">
      <w:pPr>
        <w:pStyle w:val="TableFooter"/>
      </w:pPr>
      <w:r>
        <w:t>1 Calculated by Cochrane Review authors using a random-effect model</w:t>
      </w:r>
      <w:r w:rsidR="005A689C">
        <w:t>.</w:t>
      </w:r>
    </w:p>
    <w:p w:rsidR="00D86DCE" w:rsidRPr="00497072" w:rsidRDefault="00497072" w:rsidP="008D43F8">
      <w:pPr>
        <w:rPr>
          <w:u w:val="single"/>
        </w:rPr>
      </w:pPr>
      <w:r w:rsidRPr="00497072">
        <w:rPr>
          <w:u w:val="single"/>
        </w:rPr>
        <w:t>M</w:t>
      </w:r>
      <w:r w:rsidR="0035476C" w:rsidRPr="00497072">
        <w:rPr>
          <w:u w:val="single"/>
        </w:rPr>
        <w:t xml:space="preserve">ore intensive behavioural support </w:t>
      </w:r>
      <w:r w:rsidR="003805CC" w:rsidRPr="00497072">
        <w:rPr>
          <w:u w:val="single"/>
        </w:rPr>
        <w:t xml:space="preserve">(in-person or via telephone) </w:t>
      </w:r>
      <w:r w:rsidRPr="00497072">
        <w:rPr>
          <w:u w:val="single"/>
        </w:rPr>
        <w:t>versus less intensive/no behavioural support</w:t>
      </w:r>
      <w:r w:rsidR="009C047D">
        <w:rPr>
          <w:u w:val="single"/>
        </w:rPr>
        <w:t xml:space="preserve"> (both in combination with pharmacotherapy)</w:t>
      </w:r>
    </w:p>
    <w:p w:rsidR="007B540F" w:rsidRDefault="00666B04" w:rsidP="008D43F8">
      <w:r>
        <w:t xml:space="preserve">Hartmann-Boyce </w:t>
      </w:r>
      <w:r w:rsidR="006A7000">
        <w:t>et al. (</w:t>
      </w:r>
      <w:r w:rsidR="001F4158">
        <w:t>2019</w:t>
      </w:r>
      <w:r w:rsidR="006A7000">
        <w:t>)</w:t>
      </w:r>
      <w:r w:rsidR="001F4158">
        <w:t xml:space="preserve"> </w:t>
      </w:r>
      <w:r w:rsidR="00B95815">
        <w:t>pooled</w:t>
      </w:r>
      <w:r>
        <w:t xml:space="preserve"> </w:t>
      </w:r>
      <w:r w:rsidR="00F12121">
        <w:t xml:space="preserve">65 studies comparing </w:t>
      </w:r>
      <w:r w:rsidR="00B95815">
        <w:t>more intensive behav</w:t>
      </w:r>
      <w:r w:rsidR="00087B05">
        <w:t>ioural s</w:t>
      </w:r>
      <w:r w:rsidR="00B95815">
        <w:t xml:space="preserve">upport </w:t>
      </w:r>
      <w:r w:rsidR="00087B05">
        <w:t>to less intensive or no support</w:t>
      </w:r>
      <w:r w:rsidR="00AC472B">
        <w:t xml:space="preserve"> as an adjunct to pharmacotherapy</w:t>
      </w:r>
      <w:r w:rsidR="00317D67">
        <w:t xml:space="preserve">. </w:t>
      </w:r>
      <w:r w:rsidR="00723153">
        <w:t xml:space="preserve">In these studies, </w:t>
      </w:r>
      <w:r w:rsidR="003A7359">
        <w:t xml:space="preserve">all participants had access to </w:t>
      </w:r>
      <w:r w:rsidR="005663CA">
        <w:t>a smoking cessation pharmacotherapy. T</w:t>
      </w:r>
      <w:r w:rsidR="00D2364E">
        <w:t xml:space="preserve">he </w:t>
      </w:r>
      <w:r w:rsidR="005663CA">
        <w:t xml:space="preserve">behavioural support </w:t>
      </w:r>
      <w:r w:rsidR="00D2364E">
        <w:t xml:space="preserve">intervention could </w:t>
      </w:r>
      <w:r w:rsidR="005663CA">
        <w:t>comprise</w:t>
      </w:r>
      <w:r w:rsidR="00D2364E">
        <w:t xml:space="preserve"> </w:t>
      </w:r>
      <w:r w:rsidR="00D342A3">
        <w:t xml:space="preserve">different or additional types of therapy content but had to involve person-to-person contact which could be in-person or via telephone. </w:t>
      </w:r>
      <w:r w:rsidR="00084AEC">
        <w:t xml:space="preserve">The control group could </w:t>
      </w:r>
      <w:r w:rsidR="008C7006">
        <w:t>offer</w:t>
      </w:r>
      <w:r w:rsidR="00084AEC">
        <w:t xml:space="preserve"> any level of </w:t>
      </w:r>
      <w:r w:rsidR="007B540F">
        <w:t xml:space="preserve">behavioural </w:t>
      </w:r>
      <w:r w:rsidR="00084AEC">
        <w:t xml:space="preserve">support </w:t>
      </w:r>
      <w:r w:rsidR="00904015">
        <w:t>from minimal to multi</w:t>
      </w:r>
      <w:r w:rsidR="00D513DB">
        <w:t>-</w:t>
      </w:r>
      <w:r w:rsidR="00904015">
        <w:t xml:space="preserve">session counselling </w:t>
      </w:r>
      <w:r w:rsidR="00084AEC">
        <w:t xml:space="preserve">as long as it was less </w:t>
      </w:r>
      <w:r w:rsidR="00904015">
        <w:t xml:space="preserve">intensive </w:t>
      </w:r>
      <w:r w:rsidR="00084AEC">
        <w:t xml:space="preserve">than the </w:t>
      </w:r>
      <w:r w:rsidR="00904015">
        <w:t xml:space="preserve">intervention group. </w:t>
      </w:r>
    </w:p>
    <w:p w:rsidR="002E2528" w:rsidRDefault="00317D67" w:rsidP="008D43F8">
      <w:r>
        <w:t>Of the</w:t>
      </w:r>
      <w:r w:rsidR="002E2528">
        <w:t xml:space="preserve"> 65</w:t>
      </w:r>
      <w:r w:rsidR="00FE76E1">
        <w:t xml:space="preserve"> </w:t>
      </w:r>
      <w:r w:rsidR="007A2F41">
        <w:t>RCTs</w:t>
      </w:r>
      <w:r>
        <w:t xml:space="preserve">, </w:t>
      </w:r>
      <w:r w:rsidR="003C0099">
        <w:t>4</w:t>
      </w:r>
      <w:r w:rsidR="00B1275C">
        <w:t>9</w:t>
      </w:r>
      <w:r w:rsidR="00D513DB">
        <w:t xml:space="preserve"> </w:t>
      </w:r>
      <w:r w:rsidR="003C0099">
        <w:t xml:space="preserve">studies </w:t>
      </w:r>
      <w:r w:rsidR="00723153">
        <w:t>provi</w:t>
      </w:r>
      <w:r w:rsidR="00D513DB">
        <w:t>ded</w:t>
      </w:r>
      <w:r w:rsidR="00723153">
        <w:t xml:space="preserve"> </w:t>
      </w:r>
      <w:r w:rsidR="003C0099">
        <w:t xml:space="preserve">NRT, </w:t>
      </w:r>
      <w:r w:rsidR="00D513DB">
        <w:t xml:space="preserve">five studies provided </w:t>
      </w:r>
      <w:r w:rsidR="00164187">
        <w:t>bupropion</w:t>
      </w:r>
      <w:r w:rsidR="00A04C9A">
        <w:t>,</w:t>
      </w:r>
      <w:r w:rsidR="00D513DB">
        <w:t xml:space="preserve"> two studies provided</w:t>
      </w:r>
      <w:r w:rsidR="003C0099">
        <w:t xml:space="preserve"> </w:t>
      </w:r>
      <w:r w:rsidR="00164187">
        <w:t>varenicline</w:t>
      </w:r>
      <w:r w:rsidR="002E2528">
        <w:t xml:space="preserve"> and three studies provided NRT</w:t>
      </w:r>
      <w:r w:rsidR="002E6D15">
        <w:t xml:space="preserve"> plus</w:t>
      </w:r>
      <w:r w:rsidR="002E2528">
        <w:t xml:space="preserve"> bupropion</w:t>
      </w:r>
      <w:r w:rsidR="003C0099">
        <w:t xml:space="preserve">. </w:t>
      </w:r>
      <w:r w:rsidR="002E2528">
        <w:t xml:space="preserve">The remaining studies provided nortriptyline </w:t>
      </w:r>
      <w:r w:rsidR="0000349C">
        <w:t xml:space="preserve">(two studies) </w:t>
      </w:r>
      <w:r w:rsidR="002E2528">
        <w:t>and choice of pharmacotherapy</w:t>
      </w:r>
      <w:r w:rsidR="0000349C">
        <w:t xml:space="preserve"> (5 </w:t>
      </w:r>
      <w:r w:rsidR="007A2F41">
        <w:t>studies)</w:t>
      </w:r>
      <w:r w:rsidR="002E2528">
        <w:t>.</w:t>
      </w:r>
    </w:p>
    <w:p w:rsidR="00DD0250" w:rsidRDefault="007D3767" w:rsidP="008D43F8">
      <w:r w:rsidRPr="007D3767">
        <w:t>A summary of the smoking cessation rates f</w:t>
      </w:r>
      <w:r w:rsidR="00760D68">
        <w:t>or</w:t>
      </w:r>
      <w:r w:rsidRPr="007D3767">
        <w:t xml:space="preserve"> at least six months follow-up comparing </w:t>
      </w:r>
      <w:r w:rsidR="00507673">
        <w:t>more intensive</w:t>
      </w:r>
      <w:r w:rsidR="0018485E">
        <w:t xml:space="preserve"> with less intensive behavioural support</w:t>
      </w:r>
      <w:r w:rsidRPr="007D3767">
        <w:t xml:space="preserve"> </w:t>
      </w:r>
      <w:r w:rsidR="009B6411">
        <w:t xml:space="preserve">based on subgroup of PBS-listed pharmacotherapies </w:t>
      </w:r>
      <w:r w:rsidRPr="007D3767">
        <w:t>is presented</w:t>
      </w:r>
      <w:r w:rsidR="00F67229">
        <w:t xml:space="preserve"> in </w:t>
      </w:r>
      <w:r w:rsidR="003C4A1C">
        <w:t xml:space="preserve">Table </w:t>
      </w:r>
      <w:r w:rsidR="003C4A1C">
        <w:rPr>
          <w:noProof/>
        </w:rPr>
        <w:t>122</w:t>
      </w:r>
      <w:r w:rsidR="00F67229">
        <w:t>.</w:t>
      </w:r>
      <w:r w:rsidRPr="007D3767">
        <w:t xml:space="preserve"> </w:t>
      </w:r>
      <w:r w:rsidR="009B6411">
        <w:t>The results demonstrated</w:t>
      </w:r>
      <w:r w:rsidR="001F2F4E">
        <w:t xml:space="preserve"> that increasing the intensity of behavioural support for people making a cessation attempt with the aid of </w:t>
      </w:r>
      <w:r w:rsidR="008C7A14">
        <w:t xml:space="preserve">NRT </w:t>
      </w:r>
      <w:r w:rsidR="000A35E6">
        <w:t>or</w:t>
      </w:r>
      <w:r w:rsidR="008C7A14">
        <w:t xml:space="preserve"> </w:t>
      </w:r>
      <w:r w:rsidR="00B37135">
        <w:t>b</w:t>
      </w:r>
      <w:r w:rsidR="008C7A14">
        <w:t>upropion</w:t>
      </w:r>
      <w:r w:rsidR="00162C84">
        <w:t xml:space="preserve"> alone </w:t>
      </w:r>
      <w:r w:rsidR="00603CBF">
        <w:t>resulted in a statistically significant improvement in</w:t>
      </w:r>
      <w:r w:rsidR="00D67699">
        <w:t xml:space="preserve"> the proportion who </w:t>
      </w:r>
      <w:r w:rsidR="0057384A">
        <w:t>had</w:t>
      </w:r>
      <w:r w:rsidR="00D67699">
        <w:t xml:space="preserve"> quit at six to 12 months.</w:t>
      </w:r>
      <w:r w:rsidR="00162C84">
        <w:t xml:space="preserve"> </w:t>
      </w:r>
    </w:p>
    <w:p w:rsidR="004822DB" w:rsidRDefault="00162C84" w:rsidP="008D43F8">
      <w:r>
        <w:t>For varenicline</w:t>
      </w:r>
      <w:r w:rsidR="00B37135">
        <w:t xml:space="preserve"> and NRT </w:t>
      </w:r>
      <w:r w:rsidR="009C4327">
        <w:t>plus</w:t>
      </w:r>
      <w:r w:rsidR="00B37135">
        <w:t xml:space="preserve"> bupropion</w:t>
      </w:r>
      <w:r>
        <w:t xml:space="preserve">, </w:t>
      </w:r>
      <w:r w:rsidR="00B37135">
        <w:t xml:space="preserve">which </w:t>
      </w:r>
      <w:r w:rsidR="009F04D4">
        <w:t>included fewer studies,</w:t>
      </w:r>
      <w:r w:rsidR="00B37135">
        <w:t xml:space="preserve"> </w:t>
      </w:r>
      <w:r>
        <w:t>the</w:t>
      </w:r>
      <w:r w:rsidR="00BA2DF8">
        <w:t>re were no statistically significant difference</w:t>
      </w:r>
      <w:r w:rsidR="008C224F">
        <w:t>s</w:t>
      </w:r>
      <w:r w:rsidR="00BA2DF8">
        <w:t xml:space="preserve"> between </w:t>
      </w:r>
      <w:r w:rsidR="00DD0250">
        <w:t>more intensive with less intensive behavioural support</w:t>
      </w:r>
      <w:r w:rsidR="00BA2DF8">
        <w:t xml:space="preserve">, although the results </w:t>
      </w:r>
      <w:r w:rsidR="0057384A">
        <w:t xml:space="preserve">numerically </w:t>
      </w:r>
      <w:r>
        <w:t xml:space="preserve">favoured </w:t>
      </w:r>
      <w:r w:rsidR="00AD0BEA">
        <w:t xml:space="preserve">the </w:t>
      </w:r>
      <w:r w:rsidR="00E238F3">
        <w:t xml:space="preserve">more intensive </w:t>
      </w:r>
      <w:r w:rsidR="00285B2C">
        <w:t>intervention</w:t>
      </w:r>
      <w:r w:rsidR="00D2746D">
        <w:t>.</w:t>
      </w:r>
      <w:r w:rsidR="00B37135">
        <w:t xml:space="preserve"> </w:t>
      </w:r>
      <w:r w:rsidR="00B81707">
        <w:t>This was likely due</w:t>
      </w:r>
      <w:r w:rsidR="009D74D2">
        <w:t xml:space="preserve"> to the smaller number of studies leading to lower precision rather than a true difference in effect.</w:t>
      </w:r>
      <w:r w:rsidR="00B37135">
        <w:t xml:space="preserve"> </w:t>
      </w:r>
      <w:r>
        <w:t xml:space="preserve"> </w:t>
      </w:r>
    </w:p>
    <w:p w:rsidR="00EE3FCD" w:rsidRDefault="004822DB" w:rsidP="008D43F8">
      <w:r w:rsidRPr="004822DB">
        <w:t xml:space="preserve">The overall estimated pooled risk ratio </w:t>
      </w:r>
      <w:r w:rsidR="0010423B">
        <w:t>irrespective of the type of</w:t>
      </w:r>
      <w:r w:rsidRPr="004822DB">
        <w:t xml:space="preserve"> pharmacotherapy was 1.15 (95% CI: 1.08, 1.22).</w:t>
      </w:r>
      <w:r>
        <w:t xml:space="preserve"> </w:t>
      </w:r>
      <w:r w:rsidR="0048690F">
        <w:t xml:space="preserve">The </w:t>
      </w:r>
      <w:r w:rsidR="00495879">
        <w:t>effect size</w:t>
      </w:r>
      <w:r w:rsidR="009A7264">
        <w:t xml:space="preserve"> across </w:t>
      </w:r>
      <w:r w:rsidR="00495879">
        <w:t>all PBS-listed and non-PBS listed pharmacotherapy</w:t>
      </w:r>
      <w:r w:rsidR="009A7264">
        <w:t xml:space="preserve"> subgroups</w:t>
      </w:r>
      <w:r w:rsidR="0063169F">
        <w:t xml:space="preserve"> w</w:t>
      </w:r>
      <w:r w:rsidR="00495879">
        <w:t>ere</w:t>
      </w:r>
      <w:r w:rsidR="0063169F">
        <w:t xml:space="preserve"> similar</w:t>
      </w:r>
      <w:r w:rsidR="00A76A7E">
        <w:t xml:space="preserve"> (test for subgroup differences</w:t>
      </w:r>
      <w:r w:rsidR="00E238F3">
        <w:t>;</w:t>
      </w:r>
      <w:r w:rsidR="00A76A7E">
        <w:t xml:space="preserve"> P=0.45, I</w:t>
      </w:r>
      <w:r w:rsidR="00A76A7E" w:rsidRPr="00E238F3">
        <w:rPr>
          <w:vertAlign w:val="superscript"/>
        </w:rPr>
        <w:t>2</w:t>
      </w:r>
      <w:r w:rsidR="00A76A7E">
        <w:t xml:space="preserve"> = 0%).</w:t>
      </w:r>
      <w:r w:rsidR="004569E5">
        <w:t xml:space="preserve"> </w:t>
      </w:r>
    </w:p>
    <w:p w:rsidR="0018485E" w:rsidRDefault="0018485E" w:rsidP="0018485E">
      <w:pPr>
        <w:pStyle w:val="Caption"/>
        <w:keepNext/>
      </w:pPr>
      <w:bookmarkStart w:id="242" w:name="_Ref61798988"/>
      <w:r>
        <w:t xml:space="preserve">Table </w:t>
      </w:r>
      <w:r w:rsidR="003C4A1C">
        <w:rPr>
          <w:noProof/>
        </w:rPr>
        <w:t>122</w:t>
      </w:r>
      <w:bookmarkEnd w:id="242"/>
      <w:r>
        <w:t xml:space="preserve">: </w:t>
      </w:r>
      <w:r w:rsidRPr="00783CD3">
        <w:t>Results of smoking cessation f</w:t>
      </w:r>
      <w:r w:rsidR="00760D68">
        <w:t>or</w:t>
      </w:r>
      <w:r w:rsidRPr="00783CD3">
        <w:t xml:space="preserve"> at least six months follow-up in </w:t>
      </w:r>
      <w:r w:rsidR="0063602A">
        <w:t>Hartmann-Boyce</w:t>
      </w:r>
      <w:r w:rsidRPr="00783CD3">
        <w:t xml:space="preserve"> et al. (2019), more versus less intensive </w:t>
      </w:r>
      <w:r w:rsidR="0063602A">
        <w:t>behavioural</w:t>
      </w:r>
      <w:r w:rsidRPr="00783CD3">
        <w:t xml:space="preserve"> support</w:t>
      </w:r>
    </w:p>
    <w:tbl>
      <w:tblPr>
        <w:tblStyle w:val="TableGrid"/>
        <w:tblW w:w="0" w:type="auto"/>
        <w:tblLook w:val="04A0" w:firstRow="1" w:lastRow="0" w:firstColumn="1" w:lastColumn="0" w:noHBand="0" w:noVBand="1"/>
      </w:tblPr>
      <w:tblGrid>
        <w:gridCol w:w="1696"/>
        <w:gridCol w:w="1701"/>
        <w:gridCol w:w="1985"/>
        <w:gridCol w:w="1984"/>
        <w:gridCol w:w="1650"/>
      </w:tblGrid>
      <w:tr w:rsidR="0063602A" w:rsidRPr="00A87B25" w:rsidTr="00E445D9">
        <w:tc>
          <w:tcPr>
            <w:tcW w:w="1696" w:type="dxa"/>
            <w:shd w:val="clear" w:color="auto" w:fill="BFBFBF" w:themeFill="background1" w:themeFillShade="BF"/>
          </w:tcPr>
          <w:p w:rsidR="00A24845" w:rsidRPr="007D3767" w:rsidRDefault="00A24845" w:rsidP="007D3767">
            <w:pPr>
              <w:pStyle w:val="Tablewriting"/>
              <w:rPr>
                <w:b/>
                <w:bCs/>
              </w:rPr>
            </w:pPr>
            <w:r w:rsidRPr="007D3767">
              <w:rPr>
                <w:b/>
                <w:bCs/>
              </w:rPr>
              <w:t>Study</w:t>
            </w:r>
          </w:p>
        </w:tc>
        <w:tc>
          <w:tcPr>
            <w:tcW w:w="1701" w:type="dxa"/>
            <w:shd w:val="clear" w:color="auto" w:fill="BFBFBF" w:themeFill="background1" w:themeFillShade="BF"/>
          </w:tcPr>
          <w:p w:rsidR="00A24845" w:rsidRPr="007D3767" w:rsidRDefault="00A24845" w:rsidP="0063602A">
            <w:pPr>
              <w:pStyle w:val="Tablewriting"/>
              <w:jc w:val="center"/>
              <w:rPr>
                <w:b/>
                <w:bCs/>
              </w:rPr>
            </w:pPr>
            <w:r w:rsidRPr="007D3767">
              <w:rPr>
                <w:b/>
                <w:bCs/>
              </w:rPr>
              <w:t>Study Type</w:t>
            </w:r>
          </w:p>
        </w:tc>
        <w:tc>
          <w:tcPr>
            <w:tcW w:w="1985" w:type="dxa"/>
            <w:shd w:val="clear" w:color="auto" w:fill="BFBFBF" w:themeFill="background1" w:themeFillShade="BF"/>
          </w:tcPr>
          <w:p w:rsidR="00A24845" w:rsidRPr="007D3767" w:rsidRDefault="00CA656C" w:rsidP="0063602A">
            <w:pPr>
              <w:pStyle w:val="Tablewriting"/>
              <w:jc w:val="center"/>
              <w:rPr>
                <w:b/>
                <w:bCs/>
              </w:rPr>
            </w:pPr>
            <w:r>
              <w:rPr>
                <w:b/>
                <w:bCs/>
              </w:rPr>
              <w:t>More support</w:t>
            </w:r>
          </w:p>
        </w:tc>
        <w:tc>
          <w:tcPr>
            <w:tcW w:w="1984" w:type="dxa"/>
            <w:shd w:val="clear" w:color="auto" w:fill="BFBFBF" w:themeFill="background1" w:themeFillShade="BF"/>
          </w:tcPr>
          <w:p w:rsidR="00A24845" w:rsidRPr="007D3767" w:rsidRDefault="00CA656C" w:rsidP="0063602A">
            <w:pPr>
              <w:pStyle w:val="Tablewriting"/>
              <w:jc w:val="center"/>
              <w:rPr>
                <w:b/>
                <w:bCs/>
              </w:rPr>
            </w:pPr>
            <w:r>
              <w:rPr>
                <w:b/>
                <w:bCs/>
              </w:rPr>
              <w:t>Less support</w:t>
            </w:r>
          </w:p>
        </w:tc>
        <w:tc>
          <w:tcPr>
            <w:tcW w:w="1650" w:type="dxa"/>
            <w:shd w:val="clear" w:color="auto" w:fill="BFBFBF" w:themeFill="background1" w:themeFillShade="BF"/>
          </w:tcPr>
          <w:p w:rsidR="00A24845" w:rsidRPr="0063602A" w:rsidRDefault="00437C92" w:rsidP="0063602A">
            <w:pPr>
              <w:pStyle w:val="Tablewriting"/>
              <w:jc w:val="center"/>
              <w:rPr>
                <w:b/>
                <w:bCs/>
                <w:vertAlign w:val="superscript"/>
              </w:rPr>
            </w:pPr>
            <w:r w:rsidRPr="007D3767">
              <w:rPr>
                <w:b/>
                <w:bCs/>
              </w:rPr>
              <w:t>RR</w:t>
            </w:r>
            <w:r w:rsidR="00A4786C" w:rsidRPr="007D3767">
              <w:rPr>
                <w:b/>
                <w:bCs/>
              </w:rPr>
              <w:t xml:space="preserve"> (95%</w:t>
            </w:r>
            <w:r w:rsidR="00CA656C">
              <w:rPr>
                <w:b/>
                <w:bCs/>
              </w:rPr>
              <w:t xml:space="preserve"> </w:t>
            </w:r>
            <w:r w:rsidR="00A4786C" w:rsidRPr="007D3767">
              <w:rPr>
                <w:b/>
                <w:bCs/>
              </w:rPr>
              <w:t>CI)</w:t>
            </w:r>
            <w:r w:rsidR="0063602A">
              <w:rPr>
                <w:b/>
                <w:bCs/>
                <w:vertAlign w:val="superscript"/>
              </w:rPr>
              <w:t>1</w:t>
            </w:r>
          </w:p>
        </w:tc>
      </w:tr>
      <w:tr w:rsidR="00CA656C" w:rsidRPr="00402359" w:rsidTr="008C1D8E">
        <w:tc>
          <w:tcPr>
            <w:tcW w:w="9016" w:type="dxa"/>
            <w:gridSpan w:val="5"/>
            <w:shd w:val="clear" w:color="auto" w:fill="auto"/>
          </w:tcPr>
          <w:p w:rsidR="00CA656C" w:rsidRPr="00FB6174" w:rsidRDefault="00F0521B" w:rsidP="00CA656C">
            <w:pPr>
              <w:pStyle w:val="Tablewriting"/>
              <w:rPr>
                <w:b/>
                <w:bCs/>
              </w:rPr>
            </w:pPr>
            <w:r>
              <w:rPr>
                <w:b/>
                <w:bCs/>
              </w:rPr>
              <w:t>Use i</w:t>
            </w:r>
            <w:r w:rsidR="00CA656C">
              <w:rPr>
                <w:b/>
                <w:bCs/>
              </w:rPr>
              <w:t>n combination with NRT</w:t>
            </w:r>
            <w:r w:rsidR="0099316A">
              <w:rPr>
                <w:b/>
                <w:bCs/>
              </w:rPr>
              <w:t xml:space="preserve"> subgroup</w:t>
            </w:r>
          </w:p>
        </w:tc>
      </w:tr>
      <w:tr w:rsidR="00CA656C" w:rsidRPr="00402359" w:rsidTr="00E445D9">
        <w:tc>
          <w:tcPr>
            <w:tcW w:w="1696" w:type="dxa"/>
          </w:tcPr>
          <w:p w:rsidR="00A24845" w:rsidRPr="00402359" w:rsidRDefault="00402359" w:rsidP="007D3767">
            <w:pPr>
              <w:pStyle w:val="Tablewriting"/>
            </w:pPr>
            <w:r w:rsidRPr="00402359">
              <w:lastRenderedPageBreak/>
              <w:t>Hartman</w:t>
            </w:r>
            <w:r w:rsidR="00E445D9">
              <w:t>n</w:t>
            </w:r>
            <w:r>
              <w:t xml:space="preserve">-Boyce </w:t>
            </w:r>
            <w:r w:rsidR="0063602A">
              <w:t>(</w:t>
            </w:r>
            <w:r>
              <w:t>2019</w:t>
            </w:r>
            <w:r w:rsidR="0063602A">
              <w:t>)</w:t>
            </w:r>
          </w:p>
        </w:tc>
        <w:tc>
          <w:tcPr>
            <w:tcW w:w="1701" w:type="dxa"/>
          </w:tcPr>
          <w:p w:rsidR="0063602A" w:rsidRDefault="00402359" w:rsidP="0063602A">
            <w:pPr>
              <w:pStyle w:val="Tablewriting"/>
              <w:jc w:val="center"/>
            </w:pPr>
            <w:r>
              <w:t>Cochrane</w:t>
            </w:r>
            <w:r w:rsidR="004E307B">
              <w:t xml:space="preserve"> Review </w:t>
            </w:r>
          </w:p>
          <w:p w:rsidR="00A24845" w:rsidRPr="00402359" w:rsidRDefault="004E307B" w:rsidP="0063602A">
            <w:pPr>
              <w:pStyle w:val="Tablewriting"/>
              <w:jc w:val="center"/>
            </w:pPr>
            <w:r>
              <w:t>(</w:t>
            </w:r>
            <w:r w:rsidR="00B21A54">
              <w:t>49 RCTs)</w:t>
            </w:r>
          </w:p>
        </w:tc>
        <w:tc>
          <w:tcPr>
            <w:tcW w:w="1985" w:type="dxa"/>
          </w:tcPr>
          <w:p w:rsidR="00A24845" w:rsidRDefault="001E4524" w:rsidP="0063602A">
            <w:pPr>
              <w:pStyle w:val="Tablewriting"/>
              <w:jc w:val="center"/>
            </w:pPr>
            <w:r>
              <w:t>1,435/8,265</w:t>
            </w:r>
          </w:p>
          <w:p w:rsidR="001E4524" w:rsidRPr="00402359" w:rsidRDefault="001E4524" w:rsidP="0063602A">
            <w:pPr>
              <w:pStyle w:val="Tablewriting"/>
              <w:jc w:val="center"/>
            </w:pPr>
            <w:r>
              <w:t>(</w:t>
            </w:r>
            <w:r w:rsidR="00B30E66">
              <w:t>17.4</w:t>
            </w:r>
            <w:r>
              <w:t>%)</w:t>
            </w:r>
          </w:p>
        </w:tc>
        <w:tc>
          <w:tcPr>
            <w:tcW w:w="1984" w:type="dxa"/>
          </w:tcPr>
          <w:p w:rsidR="00A24845" w:rsidRDefault="001E4524" w:rsidP="0063602A">
            <w:pPr>
              <w:pStyle w:val="Tablewriting"/>
              <w:jc w:val="center"/>
            </w:pPr>
            <w:r>
              <w:t>1,291/8,276</w:t>
            </w:r>
          </w:p>
          <w:p w:rsidR="001E4524" w:rsidRPr="00402359" w:rsidRDefault="001E4524" w:rsidP="0063602A">
            <w:pPr>
              <w:pStyle w:val="Tablewriting"/>
              <w:jc w:val="center"/>
            </w:pPr>
            <w:r>
              <w:t>(</w:t>
            </w:r>
            <w:r w:rsidR="00B30E66">
              <w:t>15.6</w:t>
            </w:r>
            <w:r>
              <w:t>%)</w:t>
            </w:r>
          </w:p>
        </w:tc>
        <w:tc>
          <w:tcPr>
            <w:tcW w:w="1650" w:type="dxa"/>
          </w:tcPr>
          <w:p w:rsidR="0063602A" w:rsidRPr="00FB6174" w:rsidRDefault="00A4786C" w:rsidP="0063602A">
            <w:pPr>
              <w:pStyle w:val="Tablewriting"/>
              <w:jc w:val="center"/>
              <w:rPr>
                <w:b/>
                <w:bCs/>
              </w:rPr>
            </w:pPr>
            <w:r w:rsidRPr="00FB6174">
              <w:rPr>
                <w:b/>
                <w:bCs/>
              </w:rPr>
              <w:t xml:space="preserve">1.12 </w:t>
            </w:r>
          </w:p>
          <w:p w:rsidR="00A24845" w:rsidRPr="00FB6174" w:rsidRDefault="00A4786C" w:rsidP="0063602A">
            <w:pPr>
              <w:pStyle w:val="Tablewriting"/>
              <w:jc w:val="center"/>
              <w:rPr>
                <w:b/>
                <w:bCs/>
              </w:rPr>
            </w:pPr>
            <w:r w:rsidRPr="00FB6174">
              <w:rPr>
                <w:b/>
                <w:bCs/>
              </w:rPr>
              <w:t>(1.04, 1.21)</w:t>
            </w:r>
          </w:p>
        </w:tc>
      </w:tr>
      <w:tr w:rsidR="00CA656C" w:rsidRPr="00402359" w:rsidTr="008C1D8E">
        <w:tc>
          <w:tcPr>
            <w:tcW w:w="9016" w:type="dxa"/>
            <w:gridSpan w:val="5"/>
            <w:shd w:val="clear" w:color="auto" w:fill="auto"/>
          </w:tcPr>
          <w:p w:rsidR="00CA656C" w:rsidRPr="00FB6174" w:rsidRDefault="00F0521B" w:rsidP="00CA656C">
            <w:pPr>
              <w:pStyle w:val="Tablewriting"/>
              <w:rPr>
                <w:b/>
                <w:bCs/>
              </w:rPr>
            </w:pPr>
            <w:r>
              <w:rPr>
                <w:b/>
                <w:bCs/>
              </w:rPr>
              <w:t>Use i</w:t>
            </w:r>
            <w:r w:rsidR="00CA656C">
              <w:rPr>
                <w:b/>
                <w:bCs/>
              </w:rPr>
              <w:t>n combination with bupropion</w:t>
            </w:r>
            <w:r w:rsidR="0099316A">
              <w:rPr>
                <w:b/>
                <w:bCs/>
              </w:rPr>
              <w:t xml:space="preserve"> subgroup</w:t>
            </w:r>
          </w:p>
        </w:tc>
      </w:tr>
      <w:tr w:rsidR="00CA656C" w:rsidRPr="00402359" w:rsidTr="00E445D9">
        <w:tc>
          <w:tcPr>
            <w:tcW w:w="1696" w:type="dxa"/>
          </w:tcPr>
          <w:p w:rsidR="00A4786C" w:rsidRPr="00402359" w:rsidRDefault="00A4786C" w:rsidP="007D3767">
            <w:pPr>
              <w:pStyle w:val="Tablewriting"/>
            </w:pPr>
            <w:r w:rsidRPr="00402359">
              <w:t>Hartma</w:t>
            </w:r>
            <w:r w:rsidR="00E445D9">
              <w:t>n</w:t>
            </w:r>
            <w:r w:rsidRPr="00402359">
              <w:t>n</w:t>
            </w:r>
            <w:r>
              <w:t xml:space="preserve">-Boyce </w:t>
            </w:r>
            <w:r w:rsidR="0063602A">
              <w:t>(</w:t>
            </w:r>
            <w:r>
              <w:t>2019</w:t>
            </w:r>
            <w:r w:rsidR="0063602A">
              <w:t>)</w:t>
            </w:r>
          </w:p>
        </w:tc>
        <w:tc>
          <w:tcPr>
            <w:tcW w:w="1701" w:type="dxa"/>
          </w:tcPr>
          <w:p w:rsidR="0063602A" w:rsidRDefault="00A4786C" w:rsidP="0063602A">
            <w:pPr>
              <w:pStyle w:val="Tablewriting"/>
              <w:jc w:val="center"/>
            </w:pPr>
            <w:r>
              <w:t xml:space="preserve">Cochrane Review </w:t>
            </w:r>
          </w:p>
          <w:p w:rsidR="00A4786C" w:rsidRPr="00402359" w:rsidRDefault="00A4786C" w:rsidP="0063602A">
            <w:pPr>
              <w:pStyle w:val="Tablewriting"/>
              <w:jc w:val="center"/>
            </w:pPr>
            <w:r>
              <w:t>(</w:t>
            </w:r>
            <w:r w:rsidR="0054212A">
              <w:t>5</w:t>
            </w:r>
            <w:r>
              <w:t xml:space="preserve"> RCTs)</w:t>
            </w:r>
          </w:p>
        </w:tc>
        <w:tc>
          <w:tcPr>
            <w:tcW w:w="1985" w:type="dxa"/>
          </w:tcPr>
          <w:p w:rsidR="00A4786C" w:rsidRDefault="001E4524" w:rsidP="0063602A">
            <w:pPr>
              <w:pStyle w:val="Tablewriting"/>
              <w:jc w:val="center"/>
            </w:pPr>
            <w:r>
              <w:t>322/1,120</w:t>
            </w:r>
          </w:p>
          <w:p w:rsidR="001E4524" w:rsidRPr="00402359" w:rsidRDefault="001E4524" w:rsidP="0063602A">
            <w:pPr>
              <w:pStyle w:val="Tablewriting"/>
              <w:jc w:val="center"/>
            </w:pPr>
            <w:r>
              <w:t>(</w:t>
            </w:r>
            <w:r w:rsidR="00F31363">
              <w:t>28.8</w:t>
            </w:r>
            <w:r>
              <w:t>%)</w:t>
            </w:r>
          </w:p>
        </w:tc>
        <w:tc>
          <w:tcPr>
            <w:tcW w:w="1984" w:type="dxa"/>
          </w:tcPr>
          <w:p w:rsidR="00A4786C" w:rsidRDefault="000B5023" w:rsidP="0063602A">
            <w:pPr>
              <w:pStyle w:val="Tablewriting"/>
              <w:jc w:val="center"/>
            </w:pPr>
            <w:r>
              <w:t>262/1,178</w:t>
            </w:r>
          </w:p>
          <w:p w:rsidR="000B5023" w:rsidRPr="00402359" w:rsidRDefault="000B5023" w:rsidP="0063602A">
            <w:pPr>
              <w:pStyle w:val="Tablewriting"/>
              <w:jc w:val="center"/>
            </w:pPr>
            <w:r>
              <w:t>(</w:t>
            </w:r>
            <w:r w:rsidR="00F31363">
              <w:t>22.2</w:t>
            </w:r>
            <w:r>
              <w:t>%)</w:t>
            </w:r>
          </w:p>
        </w:tc>
        <w:tc>
          <w:tcPr>
            <w:tcW w:w="1650" w:type="dxa"/>
          </w:tcPr>
          <w:p w:rsidR="0063602A" w:rsidRPr="00FB6174" w:rsidRDefault="00DA7301" w:rsidP="0063602A">
            <w:pPr>
              <w:pStyle w:val="Tablewriting"/>
              <w:jc w:val="center"/>
              <w:rPr>
                <w:b/>
                <w:bCs/>
              </w:rPr>
            </w:pPr>
            <w:r w:rsidRPr="00FB6174">
              <w:rPr>
                <w:b/>
                <w:bCs/>
              </w:rPr>
              <w:t>1.27</w:t>
            </w:r>
            <w:r w:rsidR="00A4786C" w:rsidRPr="00FB6174">
              <w:rPr>
                <w:b/>
                <w:bCs/>
              </w:rPr>
              <w:t xml:space="preserve"> </w:t>
            </w:r>
          </w:p>
          <w:p w:rsidR="00A4786C" w:rsidRPr="00FB6174" w:rsidRDefault="00A4786C" w:rsidP="0063602A">
            <w:pPr>
              <w:pStyle w:val="Tablewriting"/>
              <w:jc w:val="center"/>
              <w:rPr>
                <w:b/>
                <w:bCs/>
              </w:rPr>
            </w:pPr>
            <w:r w:rsidRPr="00FB6174">
              <w:rPr>
                <w:b/>
                <w:bCs/>
              </w:rPr>
              <w:t>(1.</w:t>
            </w:r>
            <w:r w:rsidR="00DA7301" w:rsidRPr="00FB6174">
              <w:rPr>
                <w:b/>
                <w:bCs/>
              </w:rPr>
              <w:t>10</w:t>
            </w:r>
            <w:r w:rsidRPr="00FB6174">
              <w:rPr>
                <w:b/>
                <w:bCs/>
              </w:rPr>
              <w:t>, 1.</w:t>
            </w:r>
            <w:r w:rsidR="00DA7301" w:rsidRPr="00FB6174">
              <w:rPr>
                <w:b/>
                <w:bCs/>
              </w:rPr>
              <w:t>46</w:t>
            </w:r>
            <w:r w:rsidRPr="00FB6174">
              <w:rPr>
                <w:b/>
                <w:bCs/>
              </w:rPr>
              <w:t>)</w:t>
            </w:r>
          </w:p>
        </w:tc>
      </w:tr>
      <w:tr w:rsidR="00CA656C" w:rsidRPr="00402359" w:rsidTr="008C1D8E">
        <w:tc>
          <w:tcPr>
            <w:tcW w:w="9016" w:type="dxa"/>
            <w:gridSpan w:val="5"/>
            <w:shd w:val="clear" w:color="auto" w:fill="auto"/>
          </w:tcPr>
          <w:p w:rsidR="00CA656C" w:rsidRPr="00FB6174" w:rsidRDefault="00F0521B" w:rsidP="00CA656C">
            <w:pPr>
              <w:pStyle w:val="Tablewriting"/>
              <w:rPr>
                <w:b/>
                <w:bCs/>
              </w:rPr>
            </w:pPr>
            <w:r>
              <w:rPr>
                <w:b/>
                <w:bCs/>
              </w:rPr>
              <w:t>Use i</w:t>
            </w:r>
            <w:r w:rsidR="00CA656C">
              <w:rPr>
                <w:b/>
                <w:bCs/>
              </w:rPr>
              <w:t>n combination with varenicline</w:t>
            </w:r>
            <w:r w:rsidR="0099316A">
              <w:rPr>
                <w:b/>
                <w:bCs/>
              </w:rPr>
              <w:t xml:space="preserve"> subgroup</w:t>
            </w:r>
          </w:p>
        </w:tc>
      </w:tr>
      <w:tr w:rsidR="00CA656C" w:rsidRPr="00402359" w:rsidTr="00E445D9">
        <w:tc>
          <w:tcPr>
            <w:tcW w:w="1696" w:type="dxa"/>
          </w:tcPr>
          <w:p w:rsidR="00A4786C" w:rsidRPr="00402359" w:rsidRDefault="00A4786C" w:rsidP="007D3767">
            <w:pPr>
              <w:pStyle w:val="Tablewriting"/>
            </w:pPr>
            <w:r w:rsidRPr="00402359">
              <w:t>Hartma</w:t>
            </w:r>
            <w:r w:rsidR="00E445D9">
              <w:t>n</w:t>
            </w:r>
            <w:r w:rsidRPr="00402359">
              <w:t>n</w:t>
            </w:r>
            <w:r>
              <w:t xml:space="preserve">-Boyce </w:t>
            </w:r>
            <w:r w:rsidR="0063602A">
              <w:t>(</w:t>
            </w:r>
            <w:r>
              <w:t>2019</w:t>
            </w:r>
            <w:r w:rsidR="0063602A">
              <w:t>)</w:t>
            </w:r>
          </w:p>
        </w:tc>
        <w:tc>
          <w:tcPr>
            <w:tcW w:w="1701" w:type="dxa"/>
          </w:tcPr>
          <w:p w:rsidR="0063602A" w:rsidRDefault="00A4786C" w:rsidP="0063602A">
            <w:pPr>
              <w:pStyle w:val="Tablewriting"/>
              <w:jc w:val="center"/>
            </w:pPr>
            <w:r>
              <w:t xml:space="preserve">Cochrane Review </w:t>
            </w:r>
          </w:p>
          <w:p w:rsidR="00A4786C" w:rsidRPr="00402359" w:rsidRDefault="00A4786C" w:rsidP="0063602A">
            <w:pPr>
              <w:pStyle w:val="Tablewriting"/>
              <w:jc w:val="center"/>
            </w:pPr>
            <w:r>
              <w:t>(</w:t>
            </w:r>
            <w:r w:rsidR="008D29FA">
              <w:t>2</w:t>
            </w:r>
            <w:r>
              <w:t xml:space="preserve"> RCTs)</w:t>
            </w:r>
          </w:p>
        </w:tc>
        <w:tc>
          <w:tcPr>
            <w:tcW w:w="1985" w:type="dxa"/>
          </w:tcPr>
          <w:p w:rsidR="00A4786C" w:rsidRDefault="000B5023" w:rsidP="0063602A">
            <w:pPr>
              <w:pStyle w:val="Tablewriting"/>
              <w:jc w:val="center"/>
            </w:pPr>
            <w:r>
              <w:t>159/555</w:t>
            </w:r>
          </w:p>
          <w:p w:rsidR="000B5023" w:rsidRPr="00402359" w:rsidRDefault="000B5023" w:rsidP="0063602A">
            <w:pPr>
              <w:pStyle w:val="Tablewriting"/>
              <w:jc w:val="center"/>
            </w:pPr>
            <w:r>
              <w:t>(</w:t>
            </w:r>
            <w:r w:rsidR="00F31363">
              <w:t>28.6</w:t>
            </w:r>
            <w:r>
              <w:t>%)</w:t>
            </w:r>
          </w:p>
        </w:tc>
        <w:tc>
          <w:tcPr>
            <w:tcW w:w="1984" w:type="dxa"/>
          </w:tcPr>
          <w:p w:rsidR="00A4786C" w:rsidRDefault="000B5023" w:rsidP="0063602A">
            <w:pPr>
              <w:pStyle w:val="Tablewriting"/>
              <w:jc w:val="center"/>
            </w:pPr>
            <w:r>
              <w:t>152/556</w:t>
            </w:r>
          </w:p>
          <w:p w:rsidR="000B5023" w:rsidRPr="00402359" w:rsidRDefault="000B5023" w:rsidP="0063602A">
            <w:pPr>
              <w:pStyle w:val="Tablewriting"/>
              <w:jc w:val="center"/>
            </w:pPr>
            <w:r>
              <w:t>(</w:t>
            </w:r>
            <w:r w:rsidR="001B7D17">
              <w:t>27.3</w:t>
            </w:r>
            <w:r>
              <w:t>%)</w:t>
            </w:r>
          </w:p>
        </w:tc>
        <w:tc>
          <w:tcPr>
            <w:tcW w:w="1650" w:type="dxa"/>
          </w:tcPr>
          <w:p w:rsidR="0063602A" w:rsidRDefault="00A4786C" w:rsidP="0063602A">
            <w:pPr>
              <w:pStyle w:val="Tablewriting"/>
              <w:jc w:val="center"/>
            </w:pPr>
            <w:r>
              <w:t>1.</w:t>
            </w:r>
            <w:r w:rsidR="00A87B25">
              <w:t>05</w:t>
            </w:r>
            <w:r>
              <w:t xml:space="preserve"> </w:t>
            </w:r>
          </w:p>
          <w:p w:rsidR="00A4786C" w:rsidRPr="00402359" w:rsidRDefault="00A4786C" w:rsidP="0063602A">
            <w:pPr>
              <w:pStyle w:val="Tablewriting"/>
              <w:jc w:val="center"/>
            </w:pPr>
            <w:r>
              <w:t>(</w:t>
            </w:r>
            <w:r w:rsidR="00A87B25">
              <w:t>0.87</w:t>
            </w:r>
            <w:r>
              <w:t>, 1.2</w:t>
            </w:r>
            <w:r w:rsidR="00A87B25">
              <w:t>7</w:t>
            </w:r>
            <w:r>
              <w:t>)</w:t>
            </w:r>
          </w:p>
        </w:tc>
      </w:tr>
      <w:tr w:rsidR="00CA656C" w:rsidRPr="00402359" w:rsidTr="008C1D8E">
        <w:tc>
          <w:tcPr>
            <w:tcW w:w="9016" w:type="dxa"/>
            <w:gridSpan w:val="5"/>
            <w:shd w:val="clear" w:color="auto" w:fill="auto"/>
          </w:tcPr>
          <w:p w:rsidR="00CA656C" w:rsidRPr="00CA656C" w:rsidRDefault="00F0521B" w:rsidP="00CA656C">
            <w:pPr>
              <w:pStyle w:val="Tablewriting"/>
              <w:rPr>
                <w:b/>
                <w:bCs/>
              </w:rPr>
            </w:pPr>
            <w:r>
              <w:rPr>
                <w:b/>
                <w:bCs/>
              </w:rPr>
              <w:t>Use i</w:t>
            </w:r>
            <w:r w:rsidR="00CA656C">
              <w:rPr>
                <w:b/>
                <w:bCs/>
              </w:rPr>
              <w:t xml:space="preserve">n combination with </w:t>
            </w:r>
            <w:r w:rsidR="00CA656C" w:rsidRPr="00CA656C">
              <w:rPr>
                <w:b/>
                <w:bCs/>
              </w:rPr>
              <w:t>NRT and bupropion</w:t>
            </w:r>
            <w:r w:rsidR="0099316A">
              <w:rPr>
                <w:b/>
                <w:bCs/>
              </w:rPr>
              <w:t xml:space="preserve"> subgroup</w:t>
            </w:r>
          </w:p>
        </w:tc>
      </w:tr>
      <w:tr w:rsidR="00CA656C" w:rsidRPr="00402359" w:rsidTr="00E445D9">
        <w:tc>
          <w:tcPr>
            <w:tcW w:w="1696" w:type="dxa"/>
          </w:tcPr>
          <w:p w:rsidR="00A4786C" w:rsidRPr="00402359" w:rsidRDefault="00A4786C" w:rsidP="007D3767">
            <w:pPr>
              <w:pStyle w:val="Tablewriting"/>
            </w:pPr>
            <w:r w:rsidRPr="00402359">
              <w:t>Hartma</w:t>
            </w:r>
            <w:r w:rsidR="00E445D9">
              <w:t>n</w:t>
            </w:r>
            <w:r w:rsidRPr="00402359">
              <w:t>n</w:t>
            </w:r>
            <w:r>
              <w:t xml:space="preserve">-Boyce </w:t>
            </w:r>
            <w:r w:rsidR="0063602A">
              <w:t>(</w:t>
            </w:r>
            <w:r>
              <w:t>2019</w:t>
            </w:r>
            <w:r w:rsidR="0063602A">
              <w:t>)</w:t>
            </w:r>
          </w:p>
        </w:tc>
        <w:tc>
          <w:tcPr>
            <w:tcW w:w="1701" w:type="dxa"/>
          </w:tcPr>
          <w:p w:rsidR="0063602A" w:rsidRDefault="00A4786C" w:rsidP="0063602A">
            <w:pPr>
              <w:pStyle w:val="Tablewriting"/>
              <w:jc w:val="center"/>
            </w:pPr>
            <w:r>
              <w:t xml:space="preserve">Cochrane Review </w:t>
            </w:r>
          </w:p>
          <w:p w:rsidR="00A4786C" w:rsidRPr="00402359" w:rsidRDefault="00A4786C" w:rsidP="0063602A">
            <w:pPr>
              <w:pStyle w:val="Tablewriting"/>
              <w:jc w:val="center"/>
            </w:pPr>
            <w:r>
              <w:t>(</w:t>
            </w:r>
            <w:r w:rsidR="008D29FA">
              <w:t>3</w:t>
            </w:r>
            <w:r>
              <w:t xml:space="preserve"> RCTs)</w:t>
            </w:r>
          </w:p>
        </w:tc>
        <w:tc>
          <w:tcPr>
            <w:tcW w:w="1985" w:type="dxa"/>
          </w:tcPr>
          <w:p w:rsidR="00A4786C" w:rsidRDefault="000B5023" w:rsidP="0063602A">
            <w:pPr>
              <w:pStyle w:val="Tablewriting"/>
              <w:jc w:val="center"/>
            </w:pPr>
            <w:r>
              <w:t>127/363</w:t>
            </w:r>
          </w:p>
          <w:p w:rsidR="000B5023" w:rsidRPr="00402359" w:rsidRDefault="000B5023" w:rsidP="0063602A">
            <w:pPr>
              <w:pStyle w:val="Tablewriting"/>
              <w:jc w:val="center"/>
            </w:pPr>
            <w:r>
              <w:t>(</w:t>
            </w:r>
            <w:r w:rsidR="001B7D17">
              <w:t>35.0</w:t>
            </w:r>
            <w:r>
              <w:t>%)</w:t>
            </w:r>
          </w:p>
        </w:tc>
        <w:tc>
          <w:tcPr>
            <w:tcW w:w="1984" w:type="dxa"/>
          </w:tcPr>
          <w:p w:rsidR="00A4786C" w:rsidRDefault="000B5023" w:rsidP="0063602A">
            <w:pPr>
              <w:pStyle w:val="Tablewriting"/>
              <w:jc w:val="center"/>
            </w:pPr>
            <w:r>
              <w:t>100/356</w:t>
            </w:r>
          </w:p>
          <w:p w:rsidR="000B5023" w:rsidRPr="00402359" w:rsidRDefault="000B5023" w:rsidP="0063602A">
            <w:pPr>
              <w:pStyle w:val="Tablewriting"/>
              <w:jc w:val="center"/>
            </w:pPr>
            <w:r>
              <w:t>(</w:t>
            </w:r>
            <w:r w:rsidR="001B7D17">
              <w:t>28.1</w:t>
            </w:r>
            <w:r>
              <w:t>%)</w:t>
            </w:r>
          </w:p>
        </w:tc>
        <w:tc>
          <w:tcPr>
            <w:tcW w:w="1650" w:type="dxa"/>
          </w:tcPr>
          <w:p w:rsidR="0063602A" w:rsidRDefault="00A4786C" w:rsidP="0063602A">
            <w:pPr>
              <w:pStyle w:val="Tablewriting"/>
              <w:jc w:val="center"/>
            </w:pPr>
            <w:r>
              <w:t>1.</w:t>
            </w:r>
            <w:r w:rsidR="00A87B25">
              <w:t>24</w:t>
            </w:r>
            <w:r>
              <w:t xml:space="preserve"> </w:t>
            </w:r>
          </w:p>
          <w:p w:rsidR="00A4786C" w:rsidRPr="00402359" w:rsidRDefault="00A4786C" w:rsidP="0063602A">
            <w:pPr>
              <w:pStyle w:val="Tablewriting"/>
              <w:jc w:val="center"/>
            </w:pPr>
            <w:r>
              <w:t>(1.0</w:t>
            </w:r>
            <w:r w:rsidR="00A87B25">
              <w:t>0</w:t>
            </w:r>
            <w:r>
              <w:t>, 1.</w:t>
            </w:r>
            <w:r w:rsidR="00A87B25">
              <w:t>54</w:t>
            </w:r>
            <w:r>
              <w:t>)</w:t>
            </w:r>
          </w:p>
        </w:tc>
      </w:tr>
      <w:tr w:rsidR="003D1773" w:rsidRPr="00402359" w:rsidTr="008C1D8E">
        <w:tc>
          <w:tcPr>
            <w:tcW w:w="9016" w:type="dxa"/>
            <w:gridSpan w:val="5"/>
            <w:shd w:val="clear" w:color="auto" w:fill="auto"/>
          </w:tcPr>
          <w:p w:rsidR="003D1773" w:rsidRPr="003D1773" w:rsidRDefault="00CA67A5" w:rsidP="003D1773">
            <w:pPr>
              <w:pStyle w:val="Tablewriting"/>
              <w:rPr>
                <w:b/>
                <w:bCs/>
              </w:rPr>
            </w:pPr>
            <w:r>
              <w:rPr>
                <w:b/>
                <w:bCs/>
              </w:rPr>
              <w:t>Irrespective of type of pharmacotherapy</w:t>
            </w:r>
            <w:r w:rsidR="00EA755F">
              <w:rPr>
                <w:b/>
                <w:bCs/>
              </w:rPr>
              <w:t xml:space="preserve"> (PBS-listed and non</w:t>
            </w:r>
            <w:r w:rsidR="0051740B">
              <w:rPr>
                <w:b/>
                <w:bCs/>
              </w:rPr>
              <w:t>-</w:t>
            </w:r>
            <w:r w:rsidR="00EA755F">
              <w:rPr>
                <w:b/>
                <w:bCs/>
              </w:rPr>
              <w:t>PBS-listed)</w:t>
            </w:r>
          </w:p>
        </w:tc>
      </w:tr>
      <w:tr w:rsidR="00CA67A5" w:rsidRPr="00402359" w:rsidTr="00E445D9">
        <w:tc>
          <w:tcPr>
            <w:tcW w:w="1696" w:type="dxa"/>
          </w:tcPr>
          <w:p w:rsidR="00CA67A5" w:rsidRPr="00402359" w:rsidRDefault="00CA67A5" w:rsidP="00CA67A5">
            <w:pPr>
              <w:pStyle w:val="Tablewriting"/>
            </w:pPr>
            <w:r w:rsidRPr="00402359">
              <w:t>Hartma</w:t>
            </w:r>
            <w:r w:rsidR="00E445D9">
              <w:t>n</w:t>
            </w:r>
            <w:r w:rsidRPr="00402359">
              <w:t>n</w:t>
            </w:r>
            <w:r>
              <w:t>-Boyce (2019)</w:t>
            </w:r>
          </w:p>
        </w:tc>
        <w:tc>
          <w:tcPr>
            <w:tcW w:w="1701" w:type="dxa"/>
          </w:tcPr>
          <w:p w:rsidR="00CA67A5" w:rsidRDefault="00CA67A5" w:rsidP="00CA67A5">
            <w:pPr>
              <w:pStyle w:val="Tablewriting"/>
              <w:jc w:val="center"/>
            </w:pPr>
            <w:r>
              <w:t xml:space="preserve">Cochrane Review </w:t>
            </w:r>
          </w:p>
          <w:p w:rsidR="00CA67A5" w:rsidRDefault="00CA67A5" w:rsidP="00CA67A5">
            <w:pPr>
              <w:pStyle w:val="Tablewriting"/>
              <w:jc w:val="center"/>
            </w:pPr>
            <w:r>
              <w:t>(65 RCTs)</w:t>
            </w:r>
          </w:p>
        </w:tc>
        <w:tc>
          <w:tcPr>
            <w:tcW w:w="1985" w:type="dxa"/>
          </w:tcPr>
          <w:p w:rsidR="00CA67A5" w:rsidRDefault="008F1196" w:rsidP="00CA67A5">
            <w:pPr>
              <w:pStyle w:val="Tablewriting"/>
              <w:jc w:val="center"/>
            </w:pPr>
            <w:r>
              <w:t>2,291</w:t>
            </w:r>
            <w:r w:rsidR="00CA67A5">
              <w:t>/</w:t>
            </w:r>
            <w:r>
              <w:t>11,630</w:t>
            </w:r>
          </w:p>
          <w:p w:rsidR="00CA67A5" w:rsidRDefault="00CA67A5" w:rsidP="00CA67A5">
            <w:pPr>
              <w:pStyle w:val="Tablewriting"/>
              <w:jc w:val="center"/>
            </w:pPr>
            <w:r>
              <w:t>(</w:t>
            </w:r>
            <w:r w:rsidR="001B7D17">
              <w:t>19.7</w:t>
            </w:r>
            <w:r>
              <w:t>%)</w:t>
            </w:r>
          </w:p>
        </w:tc>
        <w:tc>
          <w:tcPr>
            <w:tcW w:w="1984" w:type="dxa"/>
          </w:tcPr>
          <w:p w:rsidR="00CA67A5" w:rsidRDefault="008F1196" w:rsidP="00CA67A5">
            <w:pPr>
              <w:pStyle w:val="Tablewriting"/>
              <w:jc w:val="center"/>
            </w:pPr>
            <w:r>
              <w:t>2,006/11,701</w:t>
            </w:r>
          </w:p>
          <w:p w:rsidR="00CA67A5" w:rsidRDefault="00CA67A5" w:rsidP="00CA67A5">
            <w:pPr>
              <w:pStyle w:val="Tablewriting"/>
              <w:jc w:val="center"/>
            </w:pPr>
            <w:r>
              <w:t>(</w:t>
            </w:r>
            <w:r w:rsidR="008C1452">
              <w:t>17.1</w:t>
            </w:r>
            <w:r>
              <w:t>%)</w:t>
            </w:r>
          </w:p>
        </w:tc>
        <w:tc>
          <w:tcPr>
            <w:tcW w:w="1650" w:type="dxa"/>
          </w:tcPr>
          <w:p w:rsidR="00CA67A5" w:rsidRPr="00CA67A5" w:rsidRDefault="00CA67A5" w:rsidP="00CA67A5">
            <w:pPr>
              <w:pStyle w:val="Tablewriting"/>
              <w:jc w:val="center"/>
              <w:rPr>
                <w:b/>
                <w:bCs/>
              </w:rPr>
            </w:pPr>
            <w:r w:rsidRPr="00CA67A5">
              <w:rPr>
                <w:b/>
                <w:bCs/>
              </w:rPr>
              <w:t xml:space="preserve">1.15 </w:t>
            </w:r>
          </w:p>
          <w:p w:rsidR="00CA67A5" w:rsidRDefault="00CA67A5" w:rsidP="00CA67A5">
            <w:pPr>
              <w:pStyle w:val="Tablewriting"/>
              <w:jc w:val="center"/>
            </w:pPr>
            <w:r w:rsidRPr="00CA67A5">
              <w:rPr>
                <w:b/>
                <w:bCs/>
              </w:rPr>
              <w:t>(1.08, 1.22)</w:t>
            </w:r>
          </w:p>
        </w:tc>
      </w:tr>
    </w:tbl>
    <w:p w:rsidR="0063602A" w:rsidRDefault="0063602A" w:rsidP="0063602A">
      <w:pPr>
        <w:pStyle w:val="TableFooter"/>
      </w:pPr>
      <w:r>
        <w:t>Source: Hartmann-Boyce et al. (2019)</w:t>
      </w:r>
    </w:p>
    <w:p w:rsidR="0063602A" w:rsidRDefault="0063602A" w:rsidP="0063602A">
      <w:pPr>
        <w:pStyle w:val="TableFooter"/>
        <w:rPr>
          <w:i/>
        </w:rPr>
      </w:pPr>
      <w:r>
        <w:t>Abbreviations: CI = confidence interval; RCT = randomised controlled trial; RR = risk ratio</w:t>
      </w:r>
      <w:r w:rsidRPr="00061F78">
        <w:t xml:space="preserve"> </w:t>
      </w:r>
    </w:p>
    <w:p w:rsidR="0063602A" w:rsidRDefault="0063602A" w:rsidP="0063602A">
      <w:pPr>
        <w:pStyle w:val="TableFooter"/>
      </w:pPr>
      <w:r w:rsidRPr="00D468CF">
        <w:t>Note</w:t>
      </w:r>
      <w:r>
        <w:t>s</w:t>
      </w:r>
      <w:r w:rsidRPr="00D468CF">
        <w:t>: Bold indicates statistically significant difference.</w:t>
      </w:r>
      <w:r w:rsidR="00962408" w:rsidRPr="00962408">
        <w:t xml:space="preserve"> See </w:t>
      </w:r>
      <w:r w:rsidR="00962408" w:rsidRPr="00B25100">
        <w:t>Appendix</w:t>
      </w:r>
      <w:r w:rsidR="003772D9">
        <w:t xml:space="preserve"> </w:t>
      </w:r>
      <w:r w:rsidR="003C4A1C">
        <w:t xml:space="preserve">Figure </w:t>
      </w:r>
      <w:r w:rsidR="003C4A1C">
        <w:rPr>
          <w:noProof/>
        </w:rPr>
        <w:t>112</w:t>
      </w:r>
      <w:r w:rsidR="00962408" w:rsidRPr="00962408">
        <w:t xml:space="preserve"> for forest plot</w:t>
      </w:r>
      <w:r w:rsidR="00815F78">
        <w:t xml:space="preserve"> </w:t>
      </w:r>
      <w:r w:rsidR="00962408" w:rsidRPr="00962408">
        <w:t>which included the results of individual studies</w:t>
      </w:r>
      <w:r w:rsidR="00F73991">
        <w:t>, the results of non-PBS listed pharmacotherapy subgroups were not presented in this table.</w:t>
      </w:r>
      <w:r w:rsidR="009B6411">
        <w:t xml:space="preserve"> </w:t>
      </w:r>
      <w:r>
        <w:br/>
        <w:t>1 Calculated by Cochrane Review authors using a random-effect model</w:t>
      </w:r>
      <w:r w:rsidR="005A689C">
        <w:t>.</w:t>
      </w:r>
    </w:p>
    <w:p w:rsidR="00015FE2" w:rsidRDefault="007D3767" w:rsidP="007D3767">
      <w:r w:rsidRPr="007D3767">
        <w:t>Other subgroup analyses conducted by Hartmann-Boyce</w:t>
      </w:r>
      <w:r w:rsidR="003367EC">
        <w:t xml:space="preserve"> et al.</w:t>
      </w:r>
      <w:r w:rsidRPr="007D3767">
        <w:t xml:space="preserve"> </w:t>
      </w:r>
      <w:r w:rsidR="003367EC">
        <w:t>(</w:t>
      </w:r>
      <w:r w:rsidRPr="007D3767">
        <w:t>2019</w:t>
      </w:r>
      <w:r w:rsidR="003367EC">
        <w:t>)</w:t>
      </w:r>
      <w:r w:rsidRPr="007D3767">
        <w:t xml:space="preserve"> showed </w:t>
      </w:r>
      <w:r w:rsidR="0022737D">
        <w:t>there w</w:t>
      </w:r>
      <w:r w:rsidR="009C0828">
        <w:t>as</w:t>
      </w:r>
      <w:r w:rsidRPr="007D3767">
        <w:t xml:space="preserve"> little evidence of subgroup difference</w:t>
      </w:r>
      <w:r w:rsidR="009C0828">
        <w:t>s</w:t>
      </w:r>
      <w:r w:rsidRPr="007D3767">
        <w:t xml:space="preserve"> based on the relative difference in the number of contacts between groups, no evidence of any dose-response relationship and, from a non-prespecified sub-group analysis, no difference based on the level of control group contact (i.e. brief intervention up to 30</w:t>
      </w:r>
      <w:r w:rsidR="00A0214C">
        <w:t xml:space="preserve"> </w:t>
      </w:r>
      <w:r w:rsidRPr="007D3767">
        <w:t>minutes, more than 30 minutes, and no advice or contact). A second non-prespecified analysis did find a significant subgroup difference in favour of studies providing telephone counselling relative to face-to-face support (P=0.03, I</w:t>
      </w:r>
      <w:r w:rsidRPr="00A0214C">
        <w:rPr>
          <w:vertAlign w:val="superscript"/>
        </w:rPr>
        <w:t>2</w:t>
      </w:r>
      <w:r w:rsidRPr="007D3767">
        <w:t xml:space="preserve"> = 78%), however both subgroups demonstrated evidence of benefit of additional behavioural support (telephone counselling</w:t>
      </w:r>
      <w:r w:rsidR="006875C7">
        <w:t>,</w:t>
      </w:r>
      <w:r w:rsidRPr="007D3767">
        <w:t xml:space="preserve"> RR</w:t>
      </w:r>
      <w:r w:rsidR="00A0214C">
        <w:t>:</w:t>
      </w:r>
      <w:r w:rsidRPr="007D3767">
        <w:t xml:space="preserve"> 1.25</w:t>
      </w:r>
      <w:r w:rsidR="006875C7">
        <w:t>,</w:t>
      </w:r>
      <w:r w:rsidRPr="007D3767">
        <w:t xml:space="preserve"> 95% CI</w:t>
      </w:r>
      <w:r w:rsidR="006875C7">
        <w:t>:</w:t>
      </w:r>
      <w:r w:rsidRPr="007D3767">
        <w:t xml:space="preserve"> 1.15 to 1.3</w:t>
      </w:r>
      <w:r w:rsidR="00C1160C">
        <w:t>7</w:t>
      </w:r>
      <w:r w:rsidRPr="007D3767">
        <w:t>; face-to face</w:t>
      </w:r>
      <w:r w:rsidR="00015FE2">
        <w:t>,</w:t>
      </w:r>
      <w:r w:rsidRPr="007D3767">
        <w:t xml:space="preserve"> RR</w:t>
      </w:r>
      <w:r w:rsidR="00015FE2">
        <w:t>:</w:t>
      </w:r>
      <w:r w:rsidRPr="007D3767">
        <w:t xml:space="preserve"> 1.11</w:t>
      </w:r>
      <w:r w:rsidR="00015FE2">
        <w:t xml:space="preserve">, </w:t>
      </w:r>
      <w:r w:rsidRPr="007D3767">
        <w:t>95% CI</w:t>
      </w:r>
      <w:r w:rsidR="00015FE2">
        <w:t>:</w:t>
      </w:r>
      <w:r w:rsidRPr="007D3767">
        <w:t xml:space="preserve"> 1.03 to 1.19).</w:t>
      </w:r>
    </w:p>
    <w:p w:rsidR="00015FE2" w:rsidRPr="000A3EFE" w:rsidRDefault="00015FE2" w:rsidP="00015FE2">
      <w:pPr>
        <w:rPr>
          <w:u w:val="single"/>
        </w:rPr>
      </w:pPr>
      <w:r w:rsidRPr="000A3EFE">
        <w:rPr>
          <w:u w:val="single"/>
        </w:rPr>
        <w:t>Print-based self-help materials</w:t>
      </w:r>
      <w:r>
        <w:rPr>
          <w:u w:val="single"/>
        </w:rPr>
        <w:t xml:space="preserve"> versus NRT alone</w:t>
      </w:r>
    </w:p>
    <w:p w:rsidR="00295763" w:rsidRDefault="00015FE2" w:rsidP="00015FE2">
      <w:r>
        <w:t xml:space="preserve">Livingstone-Banks et al. (2019b) identified four studies that examined print-based self-help materials in addition to NRT compared to NRT alone. </w:t>
      </w:r>
      <w:r w:rsidR="0057605A">
        <w:t xml:space="preserve">One study </w:t>
      </w:r>
      <w:r w:rsidR="00787E26">
        <w:t xml:space="preserve">(Fraser et al. 2014) </w:t>
      </w:r>
      <w:r w:rsidR="0057605A">
        <w:t xml:space="preserve">was excluded from the analysis by the </w:t>
      </w:r>
      <w:r w:rsidR="00787E26">
        <w:t xml:space="preserve">Cochrane Review </w:t>
      </w:r>
      <w:r w:rsidR="0057605A">
        <w:t>authors due to insufficient data</w:t>
      </w:r>
      <w:r w:rsidR="00787E26">
        <w:t>.</w:t>
      </w:r>
    </w:p>
    <w:p w:rsidR="00730430" w:rsidRDefault="0020021F" w:rsidP="00015FE2">
      <w:r w:rsidRPr="007D3767">
        <w:t>A summary of the smoking cessation rates f</w:t>
      </w:r>
      <w:r w:rsidR="0060431F">
        <w:t>or</w:t>
      </w:r>
      <w:r w:rsidRPr="007D3767">
        <w:t xml:space="preserve"> at least six months follow-up </w:t>
      </w:r>
      <w:r w:rsidR="0084019C">
        <w:t xml:space="preserve">comparing </w:t>
      </w:r>
      <w:r w:rsidR="00C20330">
        <w:t>self-help plus NRT with NRT alone</w:t>
      </w:r>
      <w:r>
        <w:t xml:space="preserve"> </w:t>
      </w:r>
      <w:r w:rsidRPr="007D3767">
        <w:t>is</w:t>
      </w:r>
      <w:r w:rsidR="00C20330">
        <w:t xml:space="preserve"> presented in </w:t>
      </w:r>
      <w:r w:rsidR="003C4A1C">
        <w:t xml:space="preserve">Table </w:t>
      </w:r>
      <w:r w:rsidR="003C4A1C">
        <w:rPr>
          <w:noProof/>
        </w:rPr>
        <w:t>123</w:t>
      </w:r>
      <w:r w:rsidR="00C20330">
        <w:t>.</w:t>
      </w:r>
      <w:r w:rsidRPr="007D3767">
        <w:t xml:space="preserve"> </w:t>
      </w:r>
      <w:r w:rsidR="00730430" w:rsidRPr="00730430">
        <w:t xml:space="preserve">The results of the meta-analysis comprising </w:t>
      </w:r>
      <w:r w:rsidR="00730430">
        <w:t>three</w:t>
      </w:r>
      <w:r w:rsidR="00730430" w:rsidRPr="00730430">
        <w:t xml:space="preserve"> RCTs (excluding </w:t>
      </w:r>
      <w:r w:rsidR="00730430">
        <w:t>Fraser 2014</w:t>
      </w:r>
      <w:r w:rsidR="00730430" w:rsidRPr="00730430">
        <w:t xml:space="preserve">) conducted by </w:t>
      </w:r>
      <w:r w:rsidR="00730430">
        <w:t>Livingstone-Banks et al. (2019b</w:t>
      </w:r>
      <w:r w:rsidR="00730430" w:rsidRPr="00730430">
        <w:t xml:space="preserve">) </w:t>
      </w:r>
      <w:r w:rsidR="00C20330">
        <w:t>demonstrated</w:t>
      </w:r>
      <w:r w:rsidR="00730430" w:rsidRPr="00730430">
        <w:t xml:space="preserve"> </w:t>
      </w:r>
      <w:r w:rsidR="00730430">
        <w:t>no</w:t>
      </w:r>
      <w:r w:rsidR="00730430" w:rsidRPr="00730430">
        <w:t xml:space="preserve"> statistically significant difference</w:t>
      </w:r>
      <w:r w:rsidR="00730430">
        <w:t>s</w:t>
      </w:r>
      <w:r w:rsidR="00730430" w:rsidRPr="00730430">
        <w:t xml:space="preserve"> in long-term smoking cessation rates</w:t>
      </w:r>
      <w:r w:rsidR="00A214FF">
        <w:t xml:space="preserve"> between self-help plus NRT and NRT alone.</w:t>
      </w:r>
    </w:p>
    <w:p w:rsidR="0020021F" w:rsidRDefault="0020021F" w:rsidP="0020021F">
      <w:pPr>
        <w:pStyle w:val="Caption"/>
        <w:keepNext/>
      </w:pPr>
      <w:bookmarkStart w:id="243" w:name="_Ref62026827"/>
      <w:r>
        <w:t xml:space="preserve">Table </w:t>
      </w:r>
      <w:r w:rsidR="003C4A1C">
        <w:rPr>
          <w:noProof/>
        </w:rPr>
        <w:t>123</w:t>
      </w:r>
      <w:bookmarkEnd w:id="243"/>
      <w:r>
        <w:t xml:space="preserve">: </w:t>
      </w:r>
      <w:r w:rsidRPr="00CA42D2">
        <w:t>Results of smoking cessation f</w:t>
      </w:r>
      <w:r w:rsidR="0060431F">
        <w:t>or</w:t>
      </w:r>
      <w:r w:rsidRPr="00CA42D2">
        <w:t xml:space="preserve"> at least six months follow-up in Livingstone-Banks et al. (2019b), self-help plus NRT versus NRT alone</w:t>
      </w:r>
    </w:p>
    <w:tbl>
      <w:tblPr>
        <w:tblStyle w:val="TableGrid"/>
        <w:tblW w:w="0" w:type="auto"/>
        <w:tblLook w:val="04A0" w:firstRow="1" w:lastRow="0" w:firstColumn="1" w:lastColumn="0" w:noHBand="0" w:noVBand="1"/>
      </w:tblPr>
      <w:tblGrid>
        <w:gridCol w:w="1696"/>
        <w:gridCol w:w="1701"/>
        <w:gridCol w:w="1985"/>
        <w:gridCol w:w="1984"/>
        <w:gridCol w:w="1650"/>
      </w:tblGrid>
      <w:tr w:rsidR="00714E55" w:rsidRPr="00A87B25" w:rsidTr="00486A67">
        <w:tc>
          <w:tcPr>
            <w:tcW w:w="1696" w:type="dxa"/>
            <w:shd w:val="clear" w:color="auto" w:fill="BFBFBF" w:themeFill="background1" w:themeFillShade="BF"/>
          </w:tcPr>
          <w:p w:rsidR="00714E55" w:rsidRPr="007D3767" w:rsidRDefault="00714E55" w:rsidP="00486A67">
            <w:pPr>
              <w:pStyle w:val="Tablewriting"/>
              <w:rPr>
                <w:b/>
                <w:bCs/>
              </w:rPr>
            </w:pPr>
            <w:r w:rsidRPr="007D3767">
              <w:rPr>
                <w:b/>
                <w:bCs/>
              </w:rPr>
              <w:t>Study</w:t>
            </w:r>
          </w:p>
        </w:tc>
        <w:tc>
          <w:tcPr>
            <w:tcW w:w="1701" w:type="dxa"/>
            <w:shd w:val="clear" w:color="auto" w:fill="BFBFBF" w:themeFill="background1" w:themeFillShade="BF"/>
          </w:tcPr>
          <w:p w:rsidR="00714E55" w:rsidRPr="007D3767" w:rsidRDefault="00714E55" w:rsidP="00486A67">
            <w:pPr>
              <w:pStyle w:val="Tablewriting"/>
              <w:jc w:val="center"/>
              <w:rPr>
                <w:b/>
                <w:bCs/>
              </w:rPr>
            </w:pPr>
            <w:r w:rsidRPr="007D3767">
              <w:rPr>
                <w:b/>
                <w:bCs/>
              </w:rPr>
              <w:t>Study Type</w:t>
            </w:r>
          </w:p>
        </w:tc>
        <w:tc>
          <w:tcPr>
            <w:tcW w:w="1985" w:type="dxa"/>
            <w:shd w:val="clear" w:color="auto" w:fill="BFBFBF" w:themeFill="background1" w:themeFillShade="BF"/>
          </w:tcPr>
          <w:p w:rsidR="00714E55" w:rsidRPr="007D3767" w:rsidRDefault="00A51186" w:rsidP="00486A67">
            <w:pPr>
              <w:pStyle w:val="Tablewriting"/>
              <w:jc w:val="center"/>
              <w:rPr>
                <w:b/>
                <w:bCs/>
              </w:rPr>
            </w:pPr>
            <w:r>
              <w:rPr>
                <w:b/>
                <w:bCs/>
              </w:rPr>
              <w:t>Self-help plus NRT</w:t>
            </w:r>
          </w:p>
        </w:tc>
        <w:tc>
          <w:tcPr>
            <w:tcW w:w="1984" w:type="dxa"/>
            <w:shd w:val="clear" w:color="auto" w:fill="BFBFBF" w:themeFill="background1" w:themeFillShade="BF"/>
          </w:tcPr>
          <w:p w:rsidR="00714E55" w:rsidRPr="007D3767" w:rsidRDefault="00A51186" w:rsidP="00486A67">
            <w:pPr>
              <w:pStyle w:val="Tablewriting"/>
              <w:jc w:val="center"/>
              <w:rPr>
                <w:b/>
                <w:bCs/>
              </w:rPr>
            </w:pPr>
            <w:r>
              <w:rPr>
                <w:b/>
                <w:bCs/>
              </w:rPr>
              <w:t>NRT alone</w:t>
            </w:r>
          </w:p>
        </w:tc>
        <w:tc>
          <w:tcPr>
            <w:tcW w:w="1650" w:type="dxa"/>
            <w:shd w:val="clear" w:color="auto" w:fill="BFBFBF" w:themeFill="background1" w:themeFillShade="BF"/>
          </w:tcPr>
          <w:p w:rsidR="00714E55" w:rsidRPr="0063602A" w:rsidRDefault="00714E55" w:rsidP="00486A67">
            <w:pPr>
              <w:pStyle w:val="Tablewriting"/>
              <w:jc w:val="center"/>
              <w:rPr>
                <w:b/>
                <w:bCs/>
                <w:vertAlign w:val="superscript"/>
              </w:rPr>
            </w:pPr>
            <w:r w:rsidRPr="007D3767">
              <w:rPr>
                <w:b/>
                <w:bCs/>
              </w:rPr>
              <w:t>RR (95%</w:t>
            </w:r>
            <w:r>
              <w:rPr>
                <w:b/>
                <w:bCs/>
              </w:rPr>
              <w:t xml:space="preserve"> </w:t>
            </w:r>
            <w:r w:rsidRPr="007D3767">
              <w:rPr>
                <w:b/>
                <w:bCs/>
              </w:rPr>
              <w:t>CI)</w:t>
            </w:r>
            <w:r>
              <w:rPr>
                <w:b/>
                <w:bCs/>
                <w:vertAlign w:val="superscript"/>
              </w:rPr>
              <w:t>1</w:t>
            </w:r>
          </w:p>
        </w:tc>
      </w:tr>
      <w:tr w:rsidR="00714E55" w:rsidRPr="00402359" w:rsidTr="00486A67">
        <w:tc>
          <w:tcPr>
            <w:tcW w:w="1696" w:type="dxa"/>
          </w:tcPr>
          <w:p w:rsidR="00714E55" w:rsidRDefault="00A51186" w:rsidP="00486A67">
            <w:pPr>
              <w:pStyle w:val="Tablewriting"/>
            </w:pPr>
            <w:r>
              <w:t>Livingstone-Banks</w:t>
            </w:r>
          </w:p>
          <w:p w:rsidR="00714E55" w:rsidRPr="00402359" w:rsidRDefault="00714E55" w:rsidP="00486A67">
            <w:pPr>
              <w:pStyle w:val="Tablewriting"/>
            </w:pPr>
            <w:r>
              <w:t>(2019b)</w:t>
            </w:r>
          </w:p>
        </w:tc>
        <w:tc>
          <w:tcPr>
            <w:tcW w:w="1701" w:type="dxa"/>
          </w:tcPr>
          <w:p w:rsidR="00714E55" w:rsidRDefault="00714E55" w:rsidP="00486A67">
            <w:pPr>
              <w:pStyle w:val="Tablewriting"/>
              <w:jc w:val="center"/>
            </w:pPr>
            <w:r>
              <w:t xml:space="preserve">Cochrane Review </w:t>
            </w:r>
          </w:p>
          <w:p w:rsidR="00714E55" w:rsidRPr="00402359" w:rsidRDefault="00714E55" w:rsidP="00486A67">
            <w:pPr>
              <w:pStyle w:val="Tablewriting"/>
              <w:jc w:val="center"/>
            </w:pPr>
            <w:r>
              <w:t>(</w:t>
            </w:r>
            <w:r w:rsidR="00A51186">
              <w:t>3</w:t>
            </w:r>
            <w:r>
              <w:t xml:space="preserve"> RCTs)</w:t>
            </w:r>
          </w:p>
        </w:tc>
        <w:tc>
          <w:tcPr>
            <w:tcW w:w="1985" w:type="dxa"/>
          </w:tcPr>
          <w:p w:rsidR="00714E55" w:rsidRDefault="00714E55" w:rsidP="00486A67">
            <w:pPr>
              <w:pStyle w:val="Tablewriting"/>
              <w:jc w:val="center"/>
            </w:pPr>
            <w:r>
              <w:t>1</w:t>
            </w:r>
            <w:r w:rsidR="00A51186">
              <w:t>4</w:t>
            </w:r>
            <w:r>
              <w:t>1/8</w:t>
            </w:r>
            <w:r w:rsidR="00A51186">
              <w:t>81</w:t>
            </w:r>
          </w:p>
          <w:p w:rsidR="00714E55" w:rsidRPr="00402359" w:rsidRDefault="00714E55" w:rsidP="00486A67">
            <w:pPr>
              <w:pStyle w:val="Tablewriting"/>
              <w:jc w:val="center"/>
            </w:pPr>
            <w:r>
              <w:t>(</w:t>
            </w:r>
            <w:r w:rsidR="00233CBA">
              <w:t>16.0</w:t>
            </w:r>
            <w:r>
              <w:t>%)</w:t>
            </w:r>
          </w:p>
        </w:tc>
        <w:tc>
          <w:tcPr>
            <w:tcW w:w="1984" w:type="dxa"/>
          </w:tcPr>
          <w:p w:rsidR="00714E55" w:rsidRDefault="00436009" w:rsidP="00486A67">
            <w:pPr>
              <w:pStyle w:val="Tablewriting"/>
              <w:jc w:val="center"/>
            </w:pPr>
            <w:r>
              <w:t>133</w:t>
            </w:r>
            <w:r w:rsidR="00714E55">
              <w:t>/</w:t>
            </w:r>
            <w:r w:rsidR="0020021F">
              <w:t>888</w:t>
            </w:r>
          </w:p>
          <w:p w:rsidR="00714E55" w:rsidRPr="00402359" w:rsidRDefault="00714E55" w:rsidP="00486A67">
            <w:pPr>
              <w:pStyle w:val="Tablewriting"/>
              <w:jc w:val="center"/>
            </w:pPr>
            <w:r>
              <w:t>(</w:t>
            </w:r>
            <w:r w:rsidR="00233CBA">
              <w:t>15.0</w:t>
            </w:r>
            <w:r>
              <w:t>%)</w:t>
            </w:r>
          </w:p>
        </w:tc>
        <w:tc>
          <w:tcPr>
            <w:tcW w:w="1650" w:type="dxa"/>
          </w:tcPr>
          <w:p w:rsidR="00714E55" w:rsidRPr="0020021F" w:rsidRDefault="0020021F" w:rsidP="00486A67">
            <w:pPr>
              <w:pStyle w:val="Tablewriting"/>
              <w:jc w:val="center"/>
            </w:pPr>
            <w:r w:rsidRPr="0020021F">
              <w:t>1.05</w:t>
            </w:r>
          </w:p>
          <w:p w:rsidR="0020021F" w:rsidRPr="00FB6174" w:rsidRDefault="0020021F" w:rsidP="00486A67">
            <w:pPr>
              <w:pStyle w:val="Tablewriting"/>
              <w:jc w:val="center"/>
              <w:rPr>
                <w:b/>
                <w:bCs/>
              </w:rPr>
            </w:pPr>
            <w:r w:rsidRPr="0020021F">
              <w:t>(0.86, 1.30)</w:t>
            </w:r>
          </w:p>
        </w:tc>
      </w:tr>
    </w:tbl>
    <w:p w:rsidR="006D3AFE" w:rsidRDefault="006D3AFE" w:rsidP="0020021F">
      <w:pPr>
        <w:pStyle w:val="TableFooter"/>
      </w:pPr>
      <w:r>
        <w:lastRenderedPageBreak/>
        <w:t>Source: Livingstone-Banks et al. (2019b)</w:t>
      </w:r>
    </w:p>
    <w:p w:rsidR="0020021F" w:rsidRDefault="0020021F" w:rsidP="0020021F">
      <w:pPr>
        <w:pStyle w:val="TableFooter"/>
        <w:rPr>
          <w:i/>
        </w:rPr>
      </w:pPr>
      <w:r>
        <w:t>Abbreviations: CI = confidence interval; RCT = randomised controlled trial; RR = risk ratio</w:t>
      </w:r>
      <w:r w:rsidRPr="00061F78">
        <w:t xml:space="preserve"> </w:t>
      </w:r>
    </w:p>
    <w:p w:rsidR="0020021F" w:rsidRDefault="0020021F" w:rsidP="0020021F">
      <w:pPr>
        <w:pStyle w:val="TableFooter"/>
      </w:pPr>
      <w:r w:rsidRPr="00D468CF">
        <w:t>Note</w:t>
      </w:r>
      <w:r>
        <w:t>s</w:t>
      </w:r>
      <w:r w:rsidRPr="00D468CF">
        <w:t>: Bold indicates statistically significant difference.</w:t>
      </w:r>
      <w:r w:rsidRPr="00962408">
        <w:t xml:space="preserve"> See </w:t>
      </w:r>
      <w:r w:rsidRPr="00B25100">
        <w:t>Appendix</w:t>
      </w:r>
      <w:r w:rsidRPr="00962408">
        <w:t xml:space="preserve"> </w:t>
      </w:r>
      <w:r w:rsidR="003C4A1C">
        <w:t xml:space="preserve">Figure </w:t>
      </w:r>
      <w:r w:rsidR="003C4A1C">
        <w:rPr>
          <w:noProof/>
        </w:rPr>
        <w:t>113</w:t>
      </w:r>
      <w:r w:rsidRPr="00962408">
        <w:t xml:space="preserve"> for forest plot</w:t>
      </w:r>
      <w:r>
        <w:t xml:space="preserve"> </w:t>
      </w:r>
      <w:r w:rsidRPr="00962408">
        <w:t>which included the results of individual studies</w:t>
      </w:r>
      <w:r>
        <w:t>.</w:t>
      </w:r>
    </w:p>
    <w:p w:rsidR="0020021F" w:rsidRDefault="0020021F" w:rsidP="0020021F">
      <w:pPr>
        <w:pStyle w:val="TableFooter"/>
      </w:pPr>
      <w:r>
        <w:t>1 Calculated by Cochrane Review authors using a random-effect model</w:t>
      </w:r>
      <w:r w:rsidR="005A689C">
        <w:t>.</w:t>
      </w:r>
    </w:p>
    <w:p w:rsidR="00A7748B" w:rsidRPr="000A3EFE" w:rsidRDefault="00A7748B" w:rsidP="008D43F8">
      <w:pPr>
        <w:rPr>
          <w:u w:val="single"/>
        </w:rPr>
      </w:pPr>
      <w:r w:rsidRPr="000A3EFE">
        <w:rPr>
          <w:u w:val="single"/>
        </w:rPr>
        <w:t>Proactive telephone counselling</w:t>
      </w:r>
      <w:r w:rsidR="000F12C4">
        <w:rPr>
          <w:u w:val="single"/>
        </w:rPr>
        <w:t xml:space="preserve"> plus pharmacotherapy versus pharmacotherapy alone</w:t>
      </w:r>
    </w:p>
    <w:p w:rsidR="0099316A" w:rsidRDefault="001F4158" w:rsidP="008D43F8">
      <w:r w:rsidRPr="001F4158">
        <w:t>Matkin</w:t>
      </w:r>
      <w:r>
        <w:t xml:space="preserve"> </w:t>
      </w:r>
      <w:r w:rsidR="000B5023">
        <w:t>et al. (</w:t>
      </w:r>
      <w:r>
        <w:t>2019</w:t>
      </w:r>
      <w:r w:rsidR="000B5023">
        <w:t>)</w:t>
      </w:r>
      <w:r>
        <w:t xml:space="preserve"> </w:t>
      </w:r>
      <w:r w:rsidR="004D2188">
        <w:t xml:space="preserve">identified and </w:t>
      </w:r>
      <w:r>
        <w:t>pooled 65 studies comparing</w:t>
      </w:r>
      <w:r w:rsidR="00000E40">
        <w:t xml:space="preserve"> proactive telephone counselling for smokers not calling quitlines</w:t>
      </w:r>
      <w:r w:rsidR="007B487C">
        <w:t xml:space="preserve"> </w:t>
      </w:r>
      <w:r w:rsidR="005D2541">
        <w:t>compared to those that did not receive telephone counselling</w:t>
      </w:r>
      <w:r w:rsidR="007B487C">
        <w:t>.</w:t>
      </w:r>
      <w:r w:rsidR="005D2541">
        <w:t xml:space="preserve"> </w:t>
      </w:r>
      <w:r w:rsidR="0099316A" w:rsidRPr="0099316A">
        <w:t>Of the 65 RCTs, 18 RCTs were studies assessing telephone counselling as an adjunct to pharmacotherapy</w:t>
      </w:r>
      <w:r w:rsidR="009C0828">
        <w:t xml:space="preserve">, specifically, </w:t>
      </w:r>
      <w:r w:rsidR="00FD2BA2" w:rsidRPr="00FD2BA2">
        <w:t xml:space="preserve">the systematic use or offer of NRT </w:t>
      </w:r>
      <w:r w:rsidR="00573F59">
        <w:t>patches</w:t>
      </w:r>
      <w:r w:rsidR="00FD2BA2" w:rsidRPr="00FD2BA2">
        <w:t xml:space="preserve"> or gum (n=15), varenicline (n=1) or either NRT or bupropion (n=2).</w:t>
      </w:r>
    </w:p>
    <w:p w:rsidR="0099316A" w:rsidRDefault="0099316A" w:rsidP="0099316A">
      <w:r w:rsidRPr="007D3767">
        <w:t>A summary of the smoking cessation rates f</w:t>
      </w:r>
      <w:r w:rsidR="0060431F">
        <w:t>or</w:t>
      </w:r>
      <w:r w:rsidRPr="007D3767">
        <w:t xml:space="preserve"> at least six months follow-up comparing </w:t>
      </w:r>
      <w:r w:rsidR="00B41EEC">
        <w:t>proactive telephone counselling for smokers not calling quitlines with those that did not receive telephone counselling</w:t>
      </w:r>
      <w:r w:rsidRPr="007D3767">
        <w:t xml:space="preserve"> </w:t>
      </w:r>
      <w:r>
        <w:t xml:space="preserve">based on </w:t>
      </w:r>
      <w:r w:rsidR="00E91E94">
        <w:t xml:space="preserve">the </w:t>
      </w:r>
      <w:r>
        <w:t xml:space="preserve">subgroup of </w:t>
      </w:r>
      <w:r w:rsidR="00E91E94">
        <w:t>telephone counselling as an</w:t>
      </w:r>
      <w:r>
        <w:t xml:space="preserve"> </w:t>
      </w:r>
      <w:r w:rsidR="00B41EEC">
        <w:t>adjunct to pharmacotherapy</w:t>
      </w:r>
      <w:r>
        <w:t xml:space="preserve"> </w:t>
      </w:r>
      <w:r w:rsidRPr="007D3767">
        <w:t>is presented</w:t>
      </w:r>
      <w:r>
        <w:t xml:space="preserve"> in</w:t>
      </w:r>
      <w:r w:rsidR="00B41EEC">
        <w:t xml:space="preserve"> </w:t>
      </w:r>
      <w:r w:rsidR="003C4A1C">
        <w:t xml:space="preserve">Table </w:t>
      </w:r>
      <w:r w:rsidR="003C4A1C">
        <w:rPr>
          <w:noProof/>
        </w:rPr>
        <w:t>124</w:t>
      </w:r>
      <w:r>
        <w:t>.</w:t>
      </w:r>
      <w:r w:rsidRPr="007D3767">
        <w:t xml:space="preserve"> </w:t>
      </w:r>
      <w:r>
        <w:t xml:space="preserve">The results </w:t>
      </w:r>
      <w:r w:rsidR="00C56436">
        <w:t xml:space="preserve">of the meta-analysis comprising 18 RCTs </w:t>
      </w:r>
      <w:r w:rsidR="007F6B71">
        <w:t xml:space="preserve">by Matkin et al. (2019) </w:t>
      </w:r>
      <w:r>
        <w:t xml:space="preserve">demonstrated </w:t>
      </w:r>
      <w:r w:rsidR="007F6B71">
        <w:t xml:space="preserve">a </w:t>
      </w:r>
      <w:r>
        <w:t xml:space="preserve">statistically significant difference </w:t>
      </w:r>
      <w:r w:rsidR="007F6B71">
        <w:t>in smoking cessation rates</w:t>
      </w:r>
      <w:r>
        <w:t xml:space="preserve"> the two treatment arms, </w:t>
      </w:r>
      <w:r w:rsidR="007F6B71">
        <w:t xml:space="preserve">in favour of proactive </w:t>
      </w:r>
      <w:r w:rsidR="00A70197">
        <w:t xml:space="preserve">telephone </w:t>
      </w:r>
      <w:r w:rsidR="007F6B71">
        <w:t>counselling in combination with pharmacotherapy</w:t>
      </w:r>
      <w:r>
        <w:t xml:space="preserve">.  </w:t>
      </w:r>
    </w:p>
    <w:p w:rsidR="001F4158" w:rsidRDefault="00286FC8" w:rsidP="008D43F8">
      <w:r>
        <w:t>The</w:t>
      </w:r>
      <w:r w:rsidR="007F6B71">
        <w:t xml:space="preserve"> overall</w:t>
      </w:r>
      <w:r>
        <w:t xml:space="preserve"> estimated pooled risk ratio for proactive telephone counselling</w:t>
      </w:r>
      <w:r w:rsidR="000909FA">
        <w:t xml:space="preserve"> (irrespective of type of adjunctive intervention)</w:t>
      </w:r>
      <w:r>
        <w:t xml:space="preserve"> suggested a modest benefit </w:t>
      </w:r>
      <w:r w:rsidR="00B01B3C">
        <w:t>in smoking cessation rates</w:t>
      </w:r>
      <w:r>
        <w:t xml:space="preserve"> (RR</w:t>
      </w:r>
      <w:r w:rsidR="000909FA">
        <w:t>:</w:t>
      </w:r>
      <w:r>
        <w:t xml:space="preserve"> 1.25</w:t>
      </w:r>
      <w:r w:rsidR="000909FA">
        <w:t>;</w:t>
      </w:r>
      <w:r>
        <w:t xml:space="preserve"> 95%</w:t>
      </w:r>
      <w:r w:rsidR="000909FA">
        <w:t xml:space="preserve"> </w:t>
      </w:r>
      <w:r>
        <w:t>CI</w:t>
      </w:r>
      <w:r w:rsidR="000909FA">
        <w:t>:</w:t>
      </w:r>
      <w:r>
        <w:t xml:space="preserve"> 1.15</w:t>
      </w:r>
      <w:r w:rsidR="000909FA">
        <w:t xml:space="preserve">, </w:t>
      </w:r>
      <w:r>
        <w:t>1.35</w:t>
      </w:r>
      <w:r w:rsidR="000909FA">
        <w:t>)</w:t>
      </w:r>
      <w:r>
        <w:t>.</w:t>
      </w:r>
    </w:p>
    <w:p w:rsidR="00B55773" w:rsidRDefault="00B55773" w:rsidP="00B55773">
      <w:pPr>
        <w:pStyle w:val="Caption"/>
        <w:keepNext/>
      </w:pPr>
      <w:bookmarkStart w:id="244" w:name="_Ref61809141"/>
      <w:r>
        <w:t xml:space="preserve">Table </w:t>
      </w:r>
      <w:r w:rsidR="003C4A1C">
        <w:rPr>
          <w:noProof/>
        </w:rPr>
        <w:t>124</w:t>
      </w:r>
      <w:bookmarkEnd w:id="244"/>
      <w:r>
        <w:t xml:space="preserve">: </w:t>
      </w:r>
      <w:r w:rsidRPr="000814F2">
        <w:t>Results of smoking cessation f</w:t>
      </w:r>
      <w:r w:rsidR="0060431F">
        <w:t>or</w:t>
      </w:r>
      <w:r w:rsidRPr="000814F2">
        <w:t xml:space="preserve"> at least six months follow-up in </w:t>
      </w:r>
      <w:r>
        <w:t>Matkin</w:t>
      </w:r>
      <w:r w:rsidRPr="000814F2">
        <w:t xml:space="preserve"> et al. (2019), </w:t>
      </w:r>
      <w:r w:rsidR="00810B30">
        <w:t>proactive telephone counselling versus no counselling</w:t>
      </w:r>
    </w:p>
    <w:tbl>
      <w:tblPr>
        <w:tblStyle w:val="TableGrid"/>
        <w:tblW w:w="0" w:type="auto"/>
        <w:tblLook w:val="04A0" w:firstRow="1" w:lastRow="0" w:firstColumn="1" w:lastColumn="0" w:noHBand="0" w:noVBand="1"/>
      </w:tblPr>
      <w:tblGrid>
        <w:gridCol w:w="1696"/>
        <w:gridCol w:w="1701"/>
        <w:gridCol w:w="1985"/>
        <w:gridCol w:w="1984"/>
        <w:gridCol w:w="1650"/>
      </w:tblGrid>
      <w:tr w:rsidR="008C1452" w:rsidRPr="00A87B25" w:rsidTr="00612758">
        <w:tc>
          <w:tcPr>
            <w:tcW w:w="1696" w:type="dxa"/>
            <w:shd w:val="clear" w:color="auto" w:fill="BFBFBF" w:themeFill="background1" w:themeFillShade="BF"/>
          </w:tcPr>
          <w:p w:rsidR="008C1452" w:rsidRPr="007D3767" w:rsidRDefault="008C1452" w:rsidP="00612758">
            <w:pPr>
              <w:pStyle w:val="Tablewriting"/>
              <w:rPr>
                <w:b/>
                <w:bCs/>
              </w:rPr>
            </w:pPr>
            <w:r w:rsidRPr="007D3767">
              <w:rPr>
                <w:b/>
                <w:bCs/>
              </w:rPr>
              <w:t>Study</w:t>
            </w:r>
          </w:p>
        </w:tc>
        <w:tc>
          <w:tcPr>
            <w:tcW w:w="1701" w:type="dxa"/>
            <w:shd w:val="clear" w:color="auto" w:fill="BFBFBF" w:themeFill="background1" w:themeFillShade="BF"/>
          </w:tcPr>
          <w:p w:rsidR="008C1452" w:rsidRPr="007D3767" w:rsidRDefault="008C1452" w:rsidP="00612758">
            <w:pPr>
              <w:pStyle w:val="Tablewriting"/>
              <w:jc w:val="center"/>
              <w:rPr>
                <w:b/>
                <w:bCs/>
              </w:rPr>
            </w:pPr>
            <w:r w:rsidRPr="007D3767">
              <w:rPr>
                <w:b/>
                <w:bCs/>
              </w:rPr>
              <w:t>Study Type</w:t>
            </w:r>
          </w:p>
        </w:tc>
        <w:tc>
          <w:tcPr>
            <w:tcW w:w="1985" w:type="dxa"/>
            <w:shd w:val="clear" w:color="auto" w:fill="BFBFBF" w:themeFill="background1" w:themeFillShade="BF"/>
          </w:tcPr>
          <w:p w:rsidR="008C1452" w:rsidRPr="007D3767" w:rsidRDefault="00B55773" w:rsidP="00612758">
            <w:pPr>
              <w:pStyle w:val="Tablewriting"/>
              <w:jc w:val="center"/>
              <w:rPr>
                <w:b/>
                <w:bCs/>
              </w:rPr>
            </w:pPr>
            <w:r>
              <w:rPr>
                <w:b/>
                <w:bCs/>
              </w:rPr>
              <w:t>Proactive counselling</w:t>
            </w:r>
          </w:p>
        </w:tc>
        <w:tc>
          <w:tcPr>
            <w:tcW w:w="1984" w:type="dxa"/>
            <w:shd w:val="clear" w:color="auto" w:fill="BFBFBF" w:themeFill="background1" w:themeFillShade="BF"/>
          </w:tcPr>
          <w:p w:rsidR="008C1452" w:rsidRPr="007D3767" w:rsidRDefault="00B55773" w:rsidP="00612758">
            <w:pPr>
              <w:pStyle w:val="Tablewriting"/>
              <w:jc w:val="center"/>
              <w:rPr>
                <w:b/>
                <w:bCs/>
              </w:rPr>
            </w:pPr>
            <w:r>
              <w:rPr>
                <w:b/>
                <w:bCs/>
              </w:rPr>
              <w:t>No counselling</w:t>
            </w:r>
          </w:p>
        </w:tc>
        <w:tc>
          <w:tcPr>
            <w:tcW w:w="1650" w:type="dxa"/>
            <w:shd w:val="clear" w:color="auto" w:fill="BFBFBF" w:themeFill="background1" w:themeFillShade="BF"/>
          </w:tcPr>
          <w:p w:rsidR="008C1452" w:rsidRPr="0063602A" w:rsidRDefault="008C1452" w:rsidP="00612758">
            <w:pPr>
              <w:pStyle w:val="Tablewriting"/>
              <w:jc w:val="center"/>
              <w:rPr>
                <w:b/>
                <w:bCs/>
                <w:vertAlign w:val="superscript"/>
              </w:rPr>
            </w:pPr>
            <w:r w:rsidRPr="007D3767">
              <w:rPr>
                <w:b/>
                <w:bCs/>
              </w:rPr>
              <w:t>RR (95%</w:t>
            </w:r>
            <w:r>
              <w:rPr>
                <w:b/>
                <w:bCs/>
              </w:rPr>
              <w:t xml:space="preserve"> </w:t>
            </w:r>
            <w:r w:rsidRPr="007D3767">
              <w:rPr>
                <w:b/>
                <w:bCs/>
              </w:rPr>
              <w:t>CI)</w:t>
            </w:r>
            <w:r>
              <w:rPr>
                <w:b/>
                <w:bCs/>
                <w:vertAlign w:val="superscript"/>
              </w:rPr>
              <w:t>1</w:t>
            </w:r>
          </w:p>
        </w:tc>
      </w:tr>
      <w:tr w:rsidR="008C1452" w:rsidRPr="00402359" w:rsidTr="008C1D8E">
        <w:tc>
          <w:tcPr>
            <w:tcW w:w="9016" w:type="dxa"/>
            <w:gridSpan w:val="5"/>
            <w:shd w:val="clear" w:color="auto" w:fill="auto"/>
          </w:tcPr>
          <w:p w:rsidR="008C1452" w:rsidRPr="00FB6174" w:rsidRDefault="008C1452" w:rsidP="00612758">
            <w:pPr>
              <w:pStyle w:val="Tablewriting"/>
              <w:rPr>
                <w:b/>
                <w:bCs/>
              </w:rPr>
            </w:pPr>
            <w:r>
              <w:rPr>
                <w:b/>
                <w:bCs/>
              </w:rPr>
              <w:t>Adjunct to pharmacotherapy</w:t>
            </w:r>
            <w:r w:rsidR="0099316A">
              <w:rPr>
                <w:b/>
                <w:bCs/>
              </w:rPr>
              <w:t xml:space="preserve"> subgroup</w:t>
            </w:r>
          </w:p>
        </w:tc>
      </w:tr>
      <w:tr w:rsidR="008C1452" w:rsidRPr="00402359" w:rsidTr="00612758">
        <w:tc>
          <w:tcPr>
            <w:tcW w:w="1696" w:type="dxa"/>
          </w:tcPr>
          <w:p w:rsidR="00AF1372" w:rsidRDefault="00AF1372" w:rsidP="00612758">
            <w:pPr>
              <w:pStyle w:val="Tablewriting"/>
            </w:pPr>
            <w:r>
              <w:t>Matkin</w:t>
            </w:r>
          </w:p>
          <w:p w:rsidR="008C1452" w:rsidRPr="00402359" w:rsidRDefault="008C1452" w:rsidP="00612758">
            <w:pPr>
              <w:pStyle w:val="Tablewriting"/>
            </w:pPr>
            <w:r>
              <w:t>(2019)</w:t>
            </w:r>
          </w:p>
        </w:tc>
        <w:tc>
          <w:tcPr>
            <w:tcW w:w="1701" w:type="dxa"/>
          </w:tcPr>
          <w:p w:rsidR="008C1452" w:rsidRDefault="008C1452" w:rsidP="00612758">
            <w:pPr>
              <w:pStyle w:val="Tablewriting"/>
              <w:jc w:val="center"/>
            </w:pPr>
            <w:r>
              <w:t xml:space="preserve">Cochrane Review </w:t>
            </w:r>
          </w:p>
          <w:p w:rsidR="008C1452" w:rsidRPr="00402359" w:rsidRDefault="008C1452" w:rsidP="00612758">
            <w:pPr>
              <w:pStyle w:val="Tablewriting"/>
              <w:jc w:val="center"/>
            </w:pPr>
            <w:r>
              <w:t>(</w:t>
            </w:r>
            <w:r w:rsidR="0084096A">
              <w:t>18</w:t>
            </w:r>
            <w:r>
              <w:t xml:space="preserve"> RCTs)</w:t>
            </w:r>
          </w:p>
        </w:tc>
        <w:tc>
          <w:tcPr>
            <w:tcW w:w="1985" w:type="dxa"/>
          </w:tcPr>
          <w:p w:rsidR="008C1452" w:rsidRDefault="008C1452" w:rsidP="00612758">
            <w:pPr>
              <w:pStyle w:val="Tablewriting"/>
              <w:jc w:val="center"/>
            </w:pPr>
            <w:r>
              <w:t>1,</w:t>
            </w:r>
            <w:r w:rsidR="001B5DBF">
              <w:t>330</w:t>
            </w:r>
            <w:r>
              <w:t>/</w:t>
            </w:r>
            <w:r w:rsidR="001B5DBF">
              <w:t>6,714</w:t>
            </w:r>
          </w:p>
          <w:p w:rsidR="008C1452" w:rsidRPr="00402359" w:rsidRDefault="008C1452" w:rsidP="00612758">
            <w:pPr>
              <w:pStyle w:val="Tablewriting"/>
              <w:jc w:val="center"/>
            </w:pPr>
            <w:r>
              <w:t>(</w:t>
            </w:r>
            <w:r w:rsidR="00D129AC">
              <w:t>19.8</w:t>
            </w:r>
            <w:r>
              <w:t>%)</w:t>
            </w:r>
          </w:p>
        </w:tc>
        <w:tc>
          <w:tcPr>
            <w:tcW w:w="1984" w:type="dxa"/>
          </w:tcPr>
          <w:p w:rsidR="008C1452" w:rsidRDefault="008C1452" w:rsidP="00612758">
            <w:pPr>
              <w:pStyle w:val="Tablewriting"/>
              <w:jc w:val="center"/>
            </w:pPr>
            <w:r>
              <w:t>1,</w:t>
            </w:r>
            <w:r w:rsidR="001B5DBF">
              <w:t>056</w:t>
            </w:r>
            <w:r>
              <w:t>/</w:t>
            </w:r>
            <w:r w:rsidR="001B5DBF">
              <w:t>6,151</w:t>
            </w:r>
          </w:p>
          <w:p w:rsidR="008C1452" w:rsidRPr="00402359" w:rsidRDefault="008C1452" w:rsidP="00612758">
            <w:pPr>
              <w:pStyle w:val="Tablewriting"/>
              <w:jc w:val="center"/>
            </w:pPr>
            <w:r>
              <w:t>(</w:t>
            </w:r>
            <w:r w:rsidR="00870929">
              <w:t>17.2</w:t>
            </w:r>
            <w:r>
              <w:t>%)</w:t>
            </w:r>
          </w:p>
        </w:tc>
        <w:tc>
          <w:tcPr>
            <w:tcW w:w="1650" w:type="dxa"/>
          </w:tcPr>
          <w:p w:rsidR="008C1452" w:rsidRDefault="001B5DBF" w:rsidP="00612758">
            <w:pPr>
              <w:pStyle w:val="Tablewriting"/>
              <w:jc w:val="center"/>
              <w:rPr>
                <w:b/>
                <w:bCs/>
              </w:rPr>
            </w:pPr>
            <w:r>
              <w:rPr>
                <w:b/>
                <w:bCs/>
              </w:rPr>
              <w:t>1.14</w:t>
            </w:r>
          </w:p>
          <w:p w:rsidR="001B5DBF" w:rsidRPr="00FB6174" w:rsidRDefault="001B5DBF" w:rsidP="00612758">
            <w:pPr>
              <w:pStyle w:val="Tablewriting"/>
              <w:jc w:val="center"/>
              <w:rPr>
                <w:b/>
                <w:bCs/>
              </w:rPr>
            </w:pPr>
            <w:r>
              <w:rPr>
                <w:b/>
                <w:bCs/>
              </w:rPr>
              <w:t>(1.03, 1.26)</w:t>
            </w:r>
          </w:p>
        </w:tc>
      </w:tr>
      <w:tr w:rsidR="008C1452" w:rsidRPr="00402359" w:rsidTr="008C1D8E">
        <w:tc>
          <w:tcPr>
            <w:tcW w:w="9016" w:type="dxa"/>
            <w:gridSpan w:val="5"/>
            <w:shd w:val="clear" w:color="auto" w:fill="auto"/>
          </w:tcPr>
          <w:p w:rsidR="008C1452" w:rsidRPr="003D1773" w:rsidRDefault="008C1452" w:rsidP="00612758">
            <w:pPr>
              <w:pStyle w:val="Tablewriting"/>
              <w:rPr>
                <w:b/>
                <w:bCs/>
              </w:rPr>
            </w:pPr>
            <w:r>
              <w:rPr>
                <w:b/>
                <w:bCs/>
              </w:rPr>
              <w:t xml:space="preserve">Irrespective of type of </w:t>
            </w:r>
            <w:r w:rsidR="0084096A">
              <w:rPr>
                <w:b/>
                <w:bCs/>
              </w:rPr>
              <w:t>adjunctive intervention</w:t>
            </w:r>
          </w:p>
        </w:tc>
      </w:tr>
      <w:tr w:rsidR="008C1452" w:rsidRPr="00402359" w:rsidTr="00612758">
        <w:tc>
          <w:tcPr>
            <w:tcW w:w="1696" w:type="dxa"/>
          </w:tcPr>
          <w:p w:rsidR="0084096A" w:rsidRDefault="0084096A" w:rsidP="00612758">
            <w:pPr>
              <w:pStyle w:val="Tablewriting"/>
            </w:pPr>
            <w:r>
              <w:t>Matkin</w:t>
            </w:r>
            <w:r w:rsidR="008C1452">
              <w:t xml:space="preserve"> </w:t>
            </w:r>
          </w:p>
          <w:p w:rsidR="008C1452" w:rsidRPr="00402359" w:rsidRDefault="008C1452" w:rsidP="00612758">
            <w:pPr>
              <w:pStyle w:val="Tablewriting"/>
            </w:pPr>
            <w:r>
              <w:t>(2019)</w:t>
            </w:r>
          </w:p>
        </w:tc>
        <w:tc>
          <w:tcPr>
            <w:tcW w:w="1701" w:type="dxa"/>
          </w:tcPr>
          <w:p w:rsidR="008C1452" w:rsidRDefault="008C1452" w:rsidP="00612758">
            <w:pPr>
              <w:pStyle w:val="Tablewriting"/>
              <w:jc w:val="center"/>
            </w:pPr>
            <w:r>
              <w:t xml:space="preserve">Cochrane Review </w:t>
            </w:r>
          </w:p>
          <w:p w:rsidR="008C1452" w:rsidRDefault="008C1452" w:rsidP="00612758">
            <w:pPr>
              <w:pStyle w:val="Tablewriting"/>
              <w:jc w:val="center"/>
            </w:pPr>
            <w:r>
              <w:t>(65 RCTs)</w:t>
            </w:r>
          </w:p>
        </w:tc>
        <w:tc>
          <w:tcPr>
            <w:tcW w:w="1985" w:type="dxa"/>
          </w:tcPr>
          <w:p w:rsidR="008C1452" w:rsidRDefault="008C1452" w:rsidP="00612758">
            <w:pPr>
              <w:pStyle w:val="Tablewriting"/>
              <w:jc w:val="center"/>
            </w:pPr>
            <w:r>
              <w:t>2,</w:t>
            </w:r>
            <w:r w:rsidR="001B5DBF">
              <w:t>924</w:t>
            </w:r>
            <w:r>
              <w:t>/</w:t>
            </w:r>
            <w:r w:rsidR="001B5DBF">
              <w:t>2</w:t>
            </w:r>
            <w:r>
              <w:t>1,</w:t>
            </w:r>
            <w:r w:rsidR="001B5DBF">
              <w:t>001</w:t>
            </w:r>
          </w:p>
          <w:p w:rsidR="008C1452" w:rsidRDefault="008C1452" w:rsidP="00612758">
            <w:pPr>
              <w:pStyle w:val="Tablewriting"/>
              <w:jc w:val="center"/>
            </w:pPr>
            <w:r>
              <w:t>(</w:t>
            </w:r>
            <w:r w:rsidR="00870929">
              <w:t>13.9</w:t>
            </w:r>
            <w:r>
              <w:t>%)</w:t>
            </w:r>
          </w:p>
        </w:tc>
        <w:tc>
          <w:tcPr>
            <w:tcW w:w="1984" w:type="dxa"/>
          </w:tcPr>
          <w:p w:rsidR="008C1452" w:rsidRDefault="008C1452" w:rsidP="00612758">
            <w:pPr>
              <w:pStyle w:val="Tablewriting"/>
              <w:jc w:val="center"/>
            </w:pPr>
            <w:r>
              <w:t>2,</w:t>
            </w:r>
            <w:r w:rsidR="00B55773">
              <w:t>229</w:t>
            </w:r>
            <w:r>
              <w:t>/</w:t>
            </w:r>
            <w:r w:rsidR="00B55773">
              <w:t>20</w:t>
            </w:r>
            <w:r>
              <w:t>,</w:t>
            </w:r>
            <w:r w:rsidR="00B55773">
              <w:t>232</w:t>
            </w:r>
          </w:p>
          <w:p w:rsidR="008C1452" w:rsidRDefault="008C1452" w:rsidP="00612758">
            <w:pPr>
              <w:pStyle w:val="Tablewriting"/>
              <w:jc w:val="center"/>
            </w:pPr>
            <w:r>
              <w:t>(</w:t>
            </w:r>
            <w:r w:rsidR="00870929">
              <w:t>11.0</w:t>
            </w:r>
            <w:r>
              <w:t>%)</w:t>
            </w:r>
          </w:p>
        </w:tc>
        <w:tc>
          <w:tcPr>
            <w:tcW w:w="1650" w:type="dxa"/>
          </w:tcPr>
          <w:p w:rsidR="008C1452" w:rsidRDefault="001B5DBF" w:rsidP="00612758">
            <w:pPr>
              <w:pStyle w:val="Tablewriting"/>
              <w:jc w:val="center"/>
              <w:rPr>
                <w:b/>
                <w:bCs/>
              </w:rPr>
            </w:pPr>
            <w:r>
              <w:rPr>
                <w:b/>
                <w:bCs/>
              </w:rPr>
              <w:t>1.25</w:t>
            </w:r>
          </w:p>
          <w:p w:rsidR="001B5DBF" w:rsidRDefault="001B5DBF" w:rsidP="00612758">
            <w:pPr>
              <w:pStyle w:val="Tablewriting"/>
              <w:jc w:val="center"/>
            </w:pPr>
            <w:r>
              <w:rPr>
                <w:b/>
                <w:bCs/>
              </w:rPr>
              <w:t>(1.15, 1.35)</w:t>
            </w:r>
          </w:p>
        </w:tc>
      </w:tr>
    </w:tbl>
    <w:p w:rsidR="00810B30" w:rsidRDefault="00810B30" w:rsidP="00810B30">
      <w:pPr>
        <w:pStyle w:val="TableFooter"/>
      </w:pPr>
      <w:r>
        <w:t>Source: Matkin et al. (2019)</w:t>
      </w:r>
    </w:p>
    <w:p w:rsidR="00810B30" w:rsidRDefault="00810B30" w:rsidP="00810B30">
      <w:pPr>
        <w:pStyle w:val="TableFooter"/>
        <w:rPr>
          <w:i/>
        </w:rPr>
      </w:pPr>
      <w:r>
        <w:t>Abbreviations: CI = confidence interval; RCT = randomised controlled trial; RR = risk ratio</w:t>
      </w:r>
      <w:r w:rsidRPr="00061F78">
        <w:t xml:space="preserve"> </w:t>
      </w:r>
    </w:p>
    <w:p w:rsidR="00810B30" w:rsidRDefault="00810B30" w:rsidP="00810B30">
      <w:pPr>
        <w:pStyle w:val="TableFooter"/>
      </w:pPr>
      <w:r w:rsidRPr="00D468CF">
        <w:t>Note</w:t>
      </w:r>
      <w:r>
        <w:t>s</w:t>
      </w:r>
      <w:r w:rsidRPr="00D468CF">
        <w:t>: Bold indicates statistically significant difference.</w:t>
      </w:r>
      <w:r w:rsidRPr="00962408">
        <w:t xml:space="preserve"> See </w:t>
      </w:r>
      <w:r w:rsidRPr="008138B1">
        <w:t>Appendix</w:t>
      </w:r>
      <w:r w:rsidR="003772D9">
        <w:t xml:space="preserve"> </w:t>
      </w:r>
      <w:r w:rsidR="003C4A1C">
        <w:t xml:space="preserve">Figure </w:t>
      </w:r>
      <w:r w:rsidR="003C4A1C">
        <w:rPr>
          <w:noProof/>
        </w:rPr>
        <w:t>114</w:t>
      </w:r>
      <w:r w:rsidRPr="00962408">
        <w:t xml:space="preserve"> for forest plot</w:t>
      </w:r>
      <w:r>
        <w:t xml:space="preserve"> </w:t>
      </w:r>
      <w:r w:rsidRPr="00962408">
        <w:t>which included the results of individual studies</w:t>
      </w:r>
      <w:r>
        <w:t>, the results of other adjunctive interventions (</w:t>
      </w:r>
      <w:r w:rsidR="0099316A">
        <w:t>self-help or minimal intervention, brief intervention or counselling, incentives for smoking cessation)</w:t>
      </w:r>
      <w:r>
        <w:t xml:space="preserve"> subgroups were not presented in this table. </w:t>
      </w:r>
      <w:r>
        <w:br/>
        <w:t>1 Calculated by Cochrane Review authors using a random-effect model</w:t>
      </w:r>
      <w:r w:rsidR="005A689C">
        <w:t>.</w:t>
      </w:r>
    </w:p>
    <w:p w:rsidR="004127C5" w:rsidRDefault="00612758" w:rsidP="0044056F">
      <w:pPr>
        <w:pStyle w:val="Heading4"/>
        <w:numPr>
          <w:ilvl w:val="0"/>
          <w:numId w:val="0"/>
        </w:numPr>
      </w:pPr>
      <w:r>
        <w:t>Summary of evidence for behavioural interventions in combination with pharmacotherapies</w:t>
      </w:r>
    </w:p>
    <w:p w:rsidR="00D55C07" w:rsidRDefault="00A10996" w:rsidP="00612758">
      <w:r>
        <w:t>The evidence presented from the six Cochrane Review</w:t>
      </w:r>
      <w:r w:rsidR="00333F55">
        <w:t>s</w:t>
      </w:r>
      <w:r>
        <w:t xml:space="preserve"> </w:t>
      </w:r>
      <w:r w:rsidR="00333F55" w:rsidRPr="00333F55">
        <w:t xml:space="preserve">(Lancaster 2017, Stead 2017, Carson-Chahhoud 2019, Hartmann-Boyce 2019, Livingstone-Banks 2019b, Matkin 2019) </w:t>
      </w:r>
      <w:r w:rsidR="003B1C88">
        <w:t>comparing</w:t>
      </w:r>
      <w:r w:rsidR="00333F55" w:rsidRPr="00333F55">
        <w:t xml:space="preserve"> the efficacy of behavioural support </w:t>
      </w:r>
      <w:r w:rsidR="003B1C88">
        <w:t xml:space="preserve">with minimal or no behavioural interventions (both in combination with pharmacotherapies) </w:t>
      </w:r>
      <w:r w:rsidR="00333F55">
        <w:t>were inconclusive</w:t>
      </w:r>
      <w:r w:rsidR="00A57EE5">
        <w:t xml:space="preserve">, noting the </w:t>
      </w:r>
      <w:r w:rsidR="00017CAF">
        <w:t>different</w:t>
      </w:r>
      <w:r w:rsidR="00A57EE5">
        <w:t xml:space="preserve"> type</w:t>
      </w:r>
      <w:r w:rsidR="00017CAF">
        <w:t>s</w:t>
      </w:r>
      <w:r w:rsidR="00A57EE5">
        <w:t xml:space="preserve"> of behavioural interventions </w:t>
      </w:r>
      <w:r w:rsidR="00017CAF">
        <w:t>examined</w:t>
      </w:r>
      <w:r w:rsidR="00A57EE5">
        <w:t xml:space="preserve"> across the reviews</w:t>
      </w:r>
      <w:r w:rsidR="00333F55">
        <w:t xml:space="preserve">. </w:t>
      </w:r>
    </w:p>
    <w:p w:rsidR="00D91015" w:rsidRDefault="00867C91" w:rsidP="00612758">
      <w:r>
        <w:lastRenderedPageBreak/>
        <w:t xml:space="preserve">The results </w:t>
      </w:r>
      <w:r w:rsidR="00635270">
        <w:t xml:space="preserve">of </w:t>
      </w:r>
      <w:r w:rsidR="00CB0E33">
        <w:t>long-term</w:t>
      </w:r>
      <w:r w:rsidR="00635270">
        <w:t xml:space="preserve"> smoking cessation rates </w:t>
      </w:r>
      <w:r>
        <w:t>from three Cochrane Reviews</w:t>
      </w:r>
      <w:r w:rsidR="001C38E3">
        <w:t xml:space="preserve"> (Lancaster 2017, Carson-Chahhoud 2019, </w:t>
      </w:r>
      <w:r w:rsidR="00B05DCD">
        <w:t>and Matkin</w:t>
      </w:r>
      <w:r w:rsidR="001C38E3">
        <w:t xml:space="preserve"> 2019)</w:t>
      </w:r>
      <w:r w:rsidR="00635270">
        <w:t xml:space="preserve"> were statistically significantly different, in favour of </w:t>
      </w:r>
      <w:r w:rsidR="00116AAF">
        <w:t>behavioural intervention</w:t>
      </w:r>
      <w:r w:rsidR="00510B48">
        <w:t xml:space="preserve"> when used</w:t>
      </w:r>
      <w:r w:rsidR="00116AAF">
        <w:t xml:space="preserve"> in combination with pharmacotherapies.</w:t>
      </w:r>
      <w:r w:rsidR="00F86A66">
        <w:t xml:space="preserve"> </w:t>
      </w:r>
      <w:r w:rsidR="00A70197">
        <w:t xml:space="preserve">The behavioural interventions were proactive telephone counselling, more intensive face-to-face behavioural interventions delivered by community pharmacy personnel, and </w:t>
      </w:r>
      <w:r w:rsidR="00882354">
        <w:t>individual face-to-face counselling by a trained smoking cessation counsellor.</w:t>
      </w:r>
      <w:r w:rsidR="00A70197">
        <w:t xml:space="preserve"> </w:t>
      </w:r>
      <w:r w:rsidR="00545742" w:rsidRPr="00545742">
        <w:t>The primary evidence previously considered by the PBAC for bup</w:t>
      </w:r>
      <w:r w:rsidR="00586226">
        <w:t>ropion</w:t>
      </w:r>
      <w:r w:rsidR="00545742" w:rsidRPr="00545742">
        <w:t>, var</w:t>
      </w:r>
      <w:r w:rsidR="00586226">
        <w:t>enicline</w:t>
      </w:r>
      <w:r w:rsidR="00545742" w:rsidRPr="00545742">
        <w:t>, and NRT patches included the provision of individual counselling sessions in addition to pharmacotherapy</w:t>
      </w:r>
      <w:r w:rsidR="00F64F5B">
        <w:t>.</w:t>
      </w:r>
    </w:p>
    <w:p w:rsidR="004F436D" w:rsidRDefault="00C273F6" w:rsidP="00612758">
      <w:r>
        <w:t xml:space="preserve">In contrast, </w:t>
      </w:r>
      <w:r w:rsidR="00D833FE">
        <w:t xml:space="preserve">two of the Cochrane Reviews </w:t>
      </w:r>
      <w:r w:rsidR="001C38E3">
        <w:t xml:space="preserve">(Stead 2017, Livingstone-Banks 2019b) </w:t>
      </w:r>
      <w:r w:rsidR="00882354">
        <w:t xml:space="preserve">that </w:t>
      </w:r>
      <w:r w:rsidR="00F62242">
        <w:t>examined group therapy and print-based self-help materials in addition to NRT respectively</w:t>
      </w:r>
      <w:r w:rsidR="00882354">
        <w:t xml:space="preserve"> </w:t>
      </w:r>
      <w:r w:rsidR="00C85E63">
        <w:t>demonstrated no</w:t>
      </w:r>
      <w:r w:rsidR="00D833FE">
        <w:t xml:space="preserve"> statistically significant differen</w:t>
      </w:r>
      <w:r w:rsidR="00C85E63">
        <w:t xml:space="preserve">ce in </w:t>
      </w:r>
      <w:r w:rsidR="00D85AB2">
        <w:t xml:space="preserve">long-term </w:t>
      </w:r>
      <w:r w:rsidR="00C85E63">
        <w:t>smoking cessation rates</w:t>
      </w:r>
      <w:r w:rsidR="000176F8">
        <w:t xml:space="preserve"> between the two treatment arm</w:t>
      </w:r>
      <w:r w:rsidR="001C38E3">
        <w:t xml:space="preserve">s, noting that the results numerically favoured </w:t>
      </w:r>
      <w:r w:rsidR="007C3641">
        <w:t>the behavioural intervention in combination with pharmacotherapy treatment arm</w:t>
      </w:r>
      <w:r w:rsidR="00D833FE">
        <w:t>.</w:t>
      </w:r>
      <w:r w:rsidR="00D55C07">
        <w:t xml:space="preserve"> </w:t>
      </w:r>
    </w:p>
    <w:p w:rsidR="00612758" w:rsidRPr="00612758" w:rsidRDefault="00855984" w:rsidP="00612758">
      <w:r>
        <w:t xml:space="preserve">In Hartmann-Boyce et al. (2019), </w:t>
      </w:r>
      <w:r w:rsidR="000176F8">
        <w:t xml:space="preserve">a statistically significant improvement in </w:t>
      </w:r>
      <w:r w:rsidR="000D4301">
        <w:t>long-term</w:t>
      </w:r>
      <w:r w:rsidR="000176F8">
        <w:t xml:space="preserve"> smoking cessation rates was </w:t>
      </w:r>
      <w:r w:rsidR="00A56AFE">
        <w:t>observed in patients receiving</w:t>
      </w:r>
      <w:r w:rsidR="00F37D3B">
        <w:t xml:space="preserve"> more intensive</w:t>
      </w:r>
      <w:r w:rsidR="00A56AFE">
        <w:t xml:space="preserve"> behavioural intervention</w:t>
      </w:r>
      <w:r w:rsidR="00F37D3B">
        <w:t xml:space="preserve"> when used in combination with NRT or bupropion. There were no statistically significant difference</w:t>
      </w:r>
      <w:r w:rsidR="00F0521B">
        <w:t>s</w:t>
      </w:r>
      <w:r w:rsidR="00F37D3B">
        <w:t xml:space="preserve"> </w:t>
      </w:r>
      <w:r w:rsidR="004F436D">
        <w:t xml:space="preserve">in smoking cessation rates </w:t>
      </w:r>
      <w:r w:rsidR="003713BF">
        <w:t xml:space="preserve">between the more intensive and the less intensive arms </w:t>
      </w:r>
      <w:r w:rsidR="009C4327">
        <w:t xml:space="preserve">when used </w:t>
      </w:r>
      <w:r w:rsidR="00F0521B">
        <w:t>i</w:t>
      </w:r>
      <w:r w:rsidR="00F6127F">
        <w:t>n</w:t>
      </w:r>
      <w:r w:rsidR="006454CC">
        <w:t xml:space="preserve"> </w:t>
      </w:r>
      <w:r w:rsidR="009C4327">
        <w:t>combination with</w:t>
      </w:r>
      <w:r w:rsidR="006454CC">
        <w:t xml:space="preserve"> varenicline </w:t>
      </w:r>
      <w:r w:rsidR="009C4327">
        <w:t>or</w:t>
      </w:r>
      <w:r w:rsidR="006454CC">
        <w:t xml:space="preserve"> NRT </w:t>
      </w:r>
      <w:r w:rsidR="009C4327">
        <w:t>plus</w:t>
      </w:r>
      <w:r w:rsidR="006454CC">
        <w:t xml:space="preserve"> bupropion</w:t>
      </w:r>
      <w:r w:rsidR="00382159">
        <w:t>, which</w:t>
      </w:r>
      <w:r w:rsidR="00382159" w:rsidRPr="00382159">
        <w:t xml:space="preserve"> was likely due to the smaller number of studies leading to lower precision rather than a true difference in effect</w:t>
      </w:r>
      <w:r w:rsidR="009C4327">
        <w:t>.</w:t>
      </w:r>
      <w:r w:rsidR="006454CC">
        <w:t xml:space="preserve"> </w:t>
      </w:r>
      <w:r w:rsidR="00846FEB" w:rsidRPr="00846FEB">
        <w:t xml:space="preserve">The </w:t>
      </w:r>
      <w:r w:rsidR="00846FEB">
        <w:t xml:space="preserve">results of the </w:t>
      </w:r>
      <w:r w:rsidR="00846FEB" w:rsidRPr="00846FEB">
        <w:t xml:space="preserve">overall estimated pooled risk ratio </w:t>
      </w:r>
      <w:r w:rsidR="0010423B">
        <w:t>irrespective of the</w:t>
      </w:r>
      <w:r w:rsidR="00846FEB" w:rsidRPr="00846FEB">
        <w:t xml:space="preserve"> type of pharmacotherapy</w:t>
      </w:r>
      <w:r w:rsidR="00846FEB">
        <w:t xml:space="preserve"> (PBS-listed and non-PBS listed) were statistically significant</w:t>
      </w:r>
      <w:r w:rsidR="0010423B">
        <w:t>ly different, in favour of the more intensive behavioural intervention.</w:t>
      </w:r>
      <w:r w:rsidR="00116AAF">
        <w:t xml:space="preserve">  </w:t>
      </w:r>
    </w:p>
    <w:p w:rsidR="00612758" w:rsidRPr="00612758" w:rsidRDefault="00612758" w:rsidP="00612758"/>
    <w:p w:rsidR="004127C5" w:rsidRDefault="004127C5" w:rsidP="004127C5">
      <w:pPr>
        <w:rPr>
          <w:highlight w:val="yellow"/>
        </w:rPr>
      </w:pPr>
    </w:p>
    <w:p w:rsidR="004127C5" w:rsidRDefault="004127C5" w:rsidP="004127C5">
      <w:pPr>
        <w:rPr>
          <w:highlight w:val="yellow"/>
        </w:rPr>
      </w:pPr>
    </w:p>
    <w:p w:rsidR="004127C5" w:rsidRPr="004127C5" w:rsidRDefault="004127C5" w:rsidP="004127C5">
      <w:pPr>
        <w:rPr>
          <w:highlight w:val="yellow"/>
        </w:rPr>
        <w:sectPr w:rsidR="004127C5" w:rsidRPr="004127C5" w:rsidSect="006356D2">
          <w:pgSz w:w="11906" w:h="16838"/>
          <w:pgMar w:top="1440" w:right="1440" w:bottom="1440" w:left="1440" w:header="708" w:footer="708" w:gutter="0"/>
          <w:cols w:space="708"/>
          <w:titlePg/>
          <w:docGrid w:linePitch="360"/>
        </w:sectPr>
      </w:pPr>
    </w:p>
    <w:p w:rsidR="00816F95" w:rsidRDefault="00504801" w:rsidP="00816F95">
      <w:pPr>
        <w:pStyle w:val="Heading3"/>
      </w:pPr>
      <w:bookmarkStart w:id="245" w:name="_Ref61966694"/>
      <w:bookmarkStart w:id="246" w:name="_Ref61966770"/>
      <w:bookmarkStart w:id="247" w:name="_Toc72850862"/>
      <w:bookmarkStart w:id="248" w:name="_Toc73525627"/>
      <w:r>
        <w:lastRenderedPageBreak/>
        <w:t>P</w:t>
      </w:r>
      <w:r w:rsidR="00816F95">
        <w:t>opulations</w:t>
      </w:r>
      <w:bookmarkEnd w:id="245"/>
      <w:bookmarkEnd w:id="246"/>
      <w:r>
        <w:t xml:space="preserve"> who have specific needs</w:t>
      </w:r>
      <w:bookmarkEnd w:id="247"/>
      <w:bookmarkEnd w:id="248"/>
    </w:p>
    <w:p w:rsidR="00C4240C" w:rsidRDefault="00C4240C" w:rsidP="005B74B5">
      <w:r>
        <w:t>Th</w:t>
      </w:r>
      <w:r w:rsidR="00D9524F">
        <w:t>e aim of this</w:t>
      </w:r>
      <w:r>
        <w:t xml:space="preserve"> section </w:t>
      </w:r>
      <w:r w:rsidR="00D9524F">
        <w:t>was</w:t>
      </w:r>
      <w:r>
        <w:t xml:space="preserve"> to e</w:t>
      </w:r>
      <w:r w:rsidRPr="00C4240C">
        <w:t xml:space="preserve">xamine the evidence of efficacy and safety of smoking cessation medicines </w:t>
      </w:r>
      <w:r w:rsidR="00C21A15">
        <w:t>for populations</w:t>
      </w:r>
      <w:r w:rsidR="00FB1B11">
        <w:t xml:space="preserve"> who have specific needs</w:t>
      </w:r>
      <w:r>
        <w:t>.</w:t>
      </w:r>
    </w:p>
    <w:p w:rsidR="00B155B2" w:rsidRDefault="004A3275" w:rsidP="005B74B5">
      <w:r w:rsidRPr="004A3275">
        <w:t xml:space="preserve">Most of the national and international guidelines </w:t>
      </w:r>
      <w:r w:rsidR="00B155B2">
        <w:t xml:space="preserve">identified in ToR 1 </w:t>
      </w:r>
      <w:r w:rsidRPr="004A3275">
        <w:t xml:space="preserve">addressed the general population (all smokers) within the targeted setting. While populations </w:t>
      </w:r>
      <w:r w:rsidR="00FB1B11">
        <w:t xml:space="preserve">with specific needs </w:t>
      </w:r>
      <w:r w:rsidRPr="004A3275">
        <w:t xml:space="preserve">were mentioned in many national and international guidelines, the overall approach to pharmacotherapies for smoking cessation did not markedly differ aside from observing drug-specific precautions or contraindications. The only exceptions were in pregnancy and breastfeeding women, and adolescents. </w:t>
      </w:r>
    </w:p>
    <w:p w:rsidR="004A3275" w:rsidRPr="005B74B5" w:rsidRDefault="004A3275" w:rsidP="005B74B5">
      <w:r w:rsidRPr="004A3275">
        <w:t>For pregnancy and breastfeeding</w:t>
      </w:r>
      <w:r w:rsidR="00B155B2">
        <w:t>,</w:t>
      </w:r>
      <w:r w:rsidRPr="004A3275">
        <w:t xml:space="preserve"> there was consensus that pharmacotherapy should be avoided if possible, but if smoking cessation could not be achieved with behavioural support alone, then NRT was the preferred pharmacotherapy (specifically short-acting options if possible). For adolescents, there was general agreement that NRT could be used if needed.</w:t>
      </w:r>
    </w:p>
    <w:p w:rsidR="00816F95" w:rsidRDefault="00816F95" w:rsidP="0044056F">
      <w:pPr>
        <w:pStyle w:val="Heading4"/>
        <w:numPr>
          <w:ilvl w:val="0"/>
          <w:numId w:val="0"/>
        </w:numPr>
      </w:pPr>
      <w:r>
        <w:t>Pregnancy and lactation</w:t>
      </w:r>
    </w:p>
    <w:p w:rsidR="004935B2" w:rsidRDefault="00142590" w:rsidP="004935B2">
      <w:r w:rsidRPr="00CC6C58">
        <w:t xml:space="preserve">A summary of the citation details for the studies </w:t>
      </w:r>
      <w:r w:rsidR="005B74B5">
        <w:t>evaluating</w:t>
      </w:r>
      <w:r w:rsidRPr="00CC6C58">
        <w:t xml:space="preserve"> </w:t>
      </w:r>
      <w:r w:rsidR="003544F9">
        <w:t xml:space="preserve">the efficacy and safety of </w:t>
      </w:r>
      <w:r w:rsidR="00595D95">
        <w:t xml:space="preserve">smoking cessation </w:t>
      </w:r>
      <w:r w:rsidR="005B74B5">
        <w:t>pharmacotherap</w:t>
      </w:r>
      <w:r w:rsidR="00595D95">
        <w:t>ies</w:t>
      </w:r>
      <w:r w:rsidR="005B74B5">
        <w:t xml:space="preserve"> </w:t>
      </w:r>
      <w:r w:rsidR="00057C98">
        <w:t>used</w:t>
      </w:r>
      <w:r w:rsidR="005B74B5">
        <w:t xml:space="preserve"> </w:t>
      </w:r>
      <w:r w:rsidR="00057C98">
        <w:t>in later pregnancy and after childbirth</w:t>
      </w:r>
      <w:r w:rsidRPr="00CC6C58">
        <w:t xml:space="preserve"> is presented in</w:t>
      </w:r>
      <w:r w:rsidR="007A7C74">
        <w:t xml:space="preserve"> </w:t>
      </w:r>
      <w:r w:rsidR="003C4A1C">
        <w:t xml:space="preserve">Table </w:t>
      </w:r>
      <w:r w:rsidR="003C4A1C">
        <w:rPr>
          <w:noProof/>
        </w:rPr>
        <w:t>125</w:t>
      </w:r>
      <w:r w:rsidR="00E10688">
        <w:t xml:space="preserve">. </w:t>
      </w:r>
      <w:r w:rsidR="00E10688" w:rsidRPr="00CC6C58">
        <w:t xml:space="preserve">A recently conducted Cochrane </w:t>
      </w:r>
      <w:r w:rsidR="00B75400" w:rsidRPr="00CC6C58">
        <w:t>R</w:t>
      </w:r>
      <w:r w:rsidR="00E10688" w:rsidRPr="00CC6C58">
        <w:t xml:space="preserve">eview by </w:t>
      </w:r>
      <w:r w:rsidR="00E10688">
        <w:t>Claire</w:t>
      </w:r>
      <w:r w:rsidR="00E10688" w:rsidRPr="00CC6C58">
        <w:t xml:space="preserve"> et al. (20</w:t>
      </w:r>
      <w:r w:rsidR="00E10688">
        <w:t>20</w:t>
      </w:r>
      <w:r w:rsidR="00E10688" w:rsidRPr="00CC6C58">
        <w:t xml:space="preserve">) was identified in the systematic literature review that compared </w:t>
      </w:r>
      <w:r w:rsidR="00595D95">
        <w:t>smoking cessation pharmacotherapies during pregnancy</w:t>
      </w:r>
      <w:r w:rsidR="00E10688" w:rsidRPr="00CC6C58">
        <w:t>.</w:t>
      </w:r>
      <w:r w:rsidR="001D7118">
        <w:t xml:space="preserve"> </w:t>
      </w:r>
    </w:p>
    <w:p w:rsidR="008A04E9" w:rsidRDefault="008A04E9" w:rsidP="005C5DEA">
      <w:pPr>
        <w:pStyle w:val="Caption"/>
        <w:keepNext/>
      </w:pPr>
      <w:bookmarkStart w:id="249" w:name="_Ref61868413"/>
      <w:r>
        <w:t xml:space="preserve">Table </w:t>
      </w:r>
      <w:r w:rsidR="003C4A1C">
        <w:rPr>
          <w:noProof/>
        </w:rPr>
        <w:t>125</w:t>
      </w:r>
      <w:bookmarkEnd w:id="249"/>
      <w:r>
        <w:t xml:space="preserve">: </w:t>
      </w:r>
      <w:r w:rsidRPr="009C6EAA">
        <w:t>List of studies evaluating pharmacotherapy for smoking cessation during pregnancy/lactation</w:t>
      </w:r>
    </w:p>
    <w:tbl>
      <w:tblPr>
        <w:tblStyle w:val="TableGrid"/>
        <w:tblW w:w="0" w:type="auto"/>
        <w:tblLook w:val="04A0" w:firstRow="1" w:lastRow="0" w:firstColumn="1" w:lastColumn="0" w:noHBand="0" w:noVBand="1"/>
      </w:tblPr>
      <w:tblGrid>
        <w:gridCol w:w="1530"/>
        <w:gridCol w:w="7486"/>
      </w:tblGrid>
      <w:tr w:rsidR="00D17542" w:rsidTr="005C5DEA">
        <w:tc>
          <w:tcPr>
            <w:tcW w:w="1530" w:type="dxa"/>
            <w:shd w:val="clear" w:color="auto" w:fill="BFBFBF" w:themeFill="background1" w:themeFillShade="BF"/>
          </w:tcPr>
          <w:p w:rsidR="00D17542" w:rsidRPr="00965D0C" w:rsidRDefault="008A04E9" w:rsidP="00965D0C">
            <w:pPr>
              <w:pStyle w:val="Tablewriting"/>
              <w:rPr>
                <w:b/>
                <w:bCs/>
              </w:rPr>
            </w:pPr>
            <w:r>
              <w:rPr>
                <w:b/>
                <w:bCs/>
              </w:rPr>
              <w:t>Study</w:t>
            </w:r>
          </w:p>
        </w:tc>
        <w:tc>
          <w:tcPr>
            <w:tcW w:w="7486" w:type="dxa"/>
            <w:shd w:val="clear" w:color="auto" w:fill="BFBFBF" w:themeFill="background1" w:themeFillShade="BF"/>
          </w:tcPr>
          <w:p w:rsidR="00D17542" w:rsidRPr="00965D0C" w:rsidRDefault="003E66A8" w:rsidP="00965D0C">
            <w:pPr>
              <w:pStyle w:val="Tablewriting"/>
              <w:jc w:val="center"/>
              <w:rPr>
                <w:b/>
                <w:bCs/>
              </w:rPr>
            </w:pPr>
            <w:r w:rsidRPr="00965D0C">
              <w:rPr>
                <w:b/>
                <w:bCs/>
              </w:rPr>
              <w:t>Citation</w:t>
            </w:r>
          </w:p>
        </w:tc>
      </w:tr>
      <w:tr w:rsidR="00D17542" w:rsidTr="005C5DEA">
        <w:tc>
          <w:tcPr>
            <w:tcW w:w="1530" w:type="dxa"/>
          </w:tcPr>
          <w:p w:rsidR="008A04E9" w:rsidRDefault="00612C5C" w:rsidP="008A04E9">
            <w:pPr>
              <w:pStyle w:val="Tablewriting"/>
            </w:pPr>
            <w:r>
              <w:t xml:space="preserve">Claire </w:t>
            </w:r>
          </w:p>
          <w:p w:rsidR="00D17542" w:rsidRDefault="008A04E9" w:rsidP="00965D0C">
            <w:pPr>
              <w:pStyle w:val="Tablewriting"/>
            </w:pPr>
            <w:r>
              <w:t>(</w:t>
            </w:r>
            <w:r w:rsidR="00612C5C">
              <w:t>2020</w:t>
            </w:r>
            <w:r>
              <w:t>)</w:t>
            </w:r>
            <w:r w:rsidR="0039468B" w:rsidRPr="0039468B">
              <w:rPr>
                <w:noProof/>
                <w:vertAlign w:val="superscript"/>
              </w:rPr>
              <w:t>61</w:t>
            </w:r>
          </w:p>
        </w:tc>
        <w:tc>
          <w:tcPr>
            <w:tcW w:w="7486" w:type="dxa"/>
          </w:tcPr>
          <w:p w:rsidR="00D17542" w:rsidRDefault="00612C5C" w:rsidP="00965D0C">
            <w:pPr>
              <w:pStyle w:val="Tablewriting"/>
            </w:pPr>
            <w:r w:rsidRPr="00612C5C">
              <w:t>Claire</w:t>
            </w:r>
            <w:r>
              <w:t xml:space="preserve"> </w:t>
            </w:r>
            <w:r w:rsidRPr="00612C5C">
              <w:t>R, Chamberlain</w:t>
            </w:r>
            <w:r>
              <w:t xml:space="preserve"> </w:t>
            </w:r>
            <w:r w:rsidRPr="00612C5C">
              <w:t>C, Davey</w:t>
            </w:r>
            <w:r>
              <w:t xml:space="preserve"> </w:t>
            </w:r>
            <w:r w:rsidRPr="00612C5C">
              <w:t>MA, Cooper</w:t>
            </w:r>
            <w:r>
              <w:t xml:space="preserve"> </w:t>
            </w:r>
            <w:r w:rsidRPr="00612C5C">
              <w:t>SE, Berlin</w:t>
            </w:r>
            <w:r>
              <w:t xml:space="preserve"> </w:t>
            </w:r>
            <w:r w:rsidRPr="00612C5C">
              <w:t>I, Leonardi-Bee</w:t>
            </w:r>
            <w:r>
              <w:t xml:space="preserve"> </w:t>
            </w:r>
            <w:r w:rsidRPr="00612C5C">
              <w:t>J, Coleman</w:t>
            </w:r>
            <w:r>
              <w:t xml:space="preserve"> </w:t>
            </w:r>
            <w:r w:rsidRPr="00612C5C">
              <w:t>T. Pharmacological interventions for promoting smoking cessation during pregnancy. Cochrane Database of Systematic Reviews 2020, Issue 3. Art. No.: CD010078. DOI: 10.1002/14651858.CD010078.pub3.</w:t>
            </w:r>
          </w:p>
        </w:tc>
      </w:tr>
    </w:tbl>
    <w:p w:rsidR="00D17542" w:rsidRDefault="00D17542" w:rsidP="004935B2"/>
    <w:p w:rsidR="00EE2FFC" w:rsidRDefault="00EE2FFC" w:rsidP="004935B2">
      <w:r w:rsidRPr="00EE2FFC">
        <w:t>A summary of the characteristics of the studies evaluating pharmacotherapy for smoking cessation during pregnancy</w:t>
      </w:r>
      <w:r>
        <w:t xml:space="preserve"> and </w:t>
      </w:r>
      <w:r w:rsidRPr="00EE2FFC">
        <w:t>lactation</w:t>
      </w:r>
      <w:r>
        <w:t xml:space="preserve"> is presented in </w:t>
      </w:r>
      <w:r w:rsidR="003C4A1C">
        <w:t xml:space="preserve">Table </w:t>
      </w:r>
      <w:r w:rsidR="003C4A1C">
        <w:rPr>
          <w:noProof/>
        </w:rPr>
        <w:t>126</w:t>
      </w:r>
      <w:r w:rsidRPr="00EE2FFC">
        <w:t xml:space="preserve">. A total of </w:t>
      </w:r>
      <w:r w:rsidR="00965D0C">
        <w:t>11</w:t>
      </w:r>
      <w:r w:rsidRPr="00EE2FFC">
        <w:t xml:space="preserve"> RCTs were identified by </w:t>
      </w:r>
      <w:r w:rsidR="005C5DEA">
        <w:t>Claire</w:t>
      </w:r>
      <w:r w:rsidRPr="00EE2FFC">
        <w:t xml:space="preserve"> et al. (2020). </w:t>
      </w:r>
      <w:r w:rsidR="00F95509" w:rsidRPr="00F95509">
        <w:t xml:space="preserve">Nine studies investigated the efficacy and safety of different forms of NRT (6 studies, patch; 1 study, gum; 1 study, inhaler; 1 study; patch or gum or </w:t>
      </w:r>
      <w:r w:rsidR="00573F59">
        <w:t>lozenges</w:t>
      </w:r>
      <w:r w:rsidR="00F95509" w:rsidRPr="00F95509">
        <w:t>) as an adjunct to behavioural support</w:t>
      </w:r>
      <w:r w:rsidR="00F95509">
        <w:t xml:space="preserve"> while t</w:t>
      </w:r>
      <w:r w:rsidR="00F95509" w:rsidRPr="00F95509">
        <w:t>wo studies investigated bupropion.</w:t>
      </w:r>
      <w:r w:rsidR="00F95509">
        <w:t xml:space="preserve"> </w:t>
      </w:r>
      <w:r w:rsidRPr="00EE2FFC">
        <w:t xml:space="preserve">The characteristics of the individual studies are presented in </w:t>
      </w:r>
      <w:r w:rsidRPr="008138B1">
        <w:t>Appendix</w:t>
      </w:r>
      <w:r w:rsidRPr="00EE2FFC">
        <w:t xml:space="preserve"> </w:t>
      </w:r>
      <w:r w:rsidR="003C4A1C">
        <w:t xml:space="preserve">Table </w:t>
      </w:r>
      <w:r w:rsidR="003C4A1C">
        <w:rPr>
          <w:noProof/>
        </w:rPr>
        <w:t>165</w:t>
      </w:r>
      <w:r w:rsidRPr="00EE2FFC">
        <w:t>.</w:t>
      </w:r>
    </w:p>
    <w:p w:rsidR="005C5DEA" w:rsidRDefault="005C5DEA" w:rsidP="005C5DEA">
      <w:pPr>
        <w:pStyle w:val="Caption"/>
        <w:keepNext/>
      </w:pPr>
      <w:bookmarkStart w:id="250" w:name="_Ref61869165"/>
      <w:r>
        <w:t xml:space="preserve">Table </w:t>
      </w:r>
      <w:r w:rsidR="003C4A1C">
        <w:rPr>
          <w:noProof/>
        </w:rPr>
        <w:t>126</w:t>
      </w:r>
      <w:bookmarkEnd w:id="250"/>
      <w:r>
        <w:t xml:space="preserve">: </w:t>
      </w:r>
      <w:r w:rsidRPr="009C354B">
        <w:t>Characteristics of the studies evaluating pharmacotherapy for smoking cessation during pregnancy/lactation</w:t>
      </w:r>
    </w:p>
    <w:tbl>
      <w:tblPr>
        <w:tblStyle w:val="TableGrid"/>
        <w:tblW w:w="0" w:type="auto"/>
        <w:tblLook w:val="04A0" w:firstRow="1" w:lastRow="0" w:firstColumn="1" w:lastColumn="0" w:noHBand="0" w:noVBand="1"/>
      </w:tblPr>
      <w:tblGrid>
        <w:gridCol w:w="846"/>
        <w:gridCol w:w="1276"/>
        <w:gridCol w:w="1134"/>
        <w:gridCol w:w="1417"/>
        <w:gridCol w:w="2693"/>
        <w:gridCol w:w="1650"/>
      </w:tblGrid>
      <w:tr w:rsidR="00370B83" w:rsidTr="00253718">
        <w:tc>
          <w:tcPr>
            <w:tcW w:w="846" w:type="dxa"/>
            <w:shd w:val="clear" w:color="auto" w:fill="BFBFBF" w:themeFill="background1" w:themeFillShade="BF"/>
          </w:tcPr>
          <w:p w:rsidR="00050F29" w:rsidRPr="005C5DEA" w:rsidRDefault="00050F29" w:rsidP="005C5DEA">
            <w:pPr>
              <w:pStyle w:val="Tablewriting"/>
              <w:rPr>
                <w:b/>
                <w:bCs/>
              </w:rPr>
            </w:pPr>
            <w:r w:rsidRPr="005C5DEA">
              <w:rPr>
                <w:b/>
                <w:bCs/>
              </w:rPr>
              <w:t>Study</w:t>
            </w:r>
          </w:p>
        </w:tc>
        <w:tc>
          <w:tcPr>
            <w:tcW w:w="1276" w:type="dxa"/>
            <w:shd w:val="clear" w:color="auto" w:fill="BFBFBF" w:themeFill="background1" w:themeFillShade="BF"/>
          </w:tcPr>
          <w:p w:rsidR="00050F29" w:rsidRPr="005C5DEA" w:rsidRDefault="00050F29" w:rsidP="005C5DEA">
            <w:pPr>
              <w:pStyle w:val="Tablewriting"/>
              <w:jc w:val="center"/>
              <w:rPr>
                <w:b/>
                <w:bCs/>
              </w:rPr>
            </w:pPr>
            <w:r w:rsidRPr="005C5DEA">
              <w:rPr>
                <w:b/>
                <w:bCs/>
              </w:rPr>
              <w:t>Study Type</w:t>
            </w:r>
          </w:p>
        </w:tc>
        <w:tc>
          <w:tcPr>
            <w:tcW w:w="1134" w:type="dxa"/>
            <w:shd w:val="clear" w:color="auto" w:fill="BFBFBF" w:themeFill="background1" w:themeFillShade="BF"/>
          </w:tcPr>
          <w:p w:rsidR="00050F29" w:rsidRPr="00F95509" w:rsidRDefault="00050F29" w:rsidP="005C5DEA">
            <w:pPr>
              <w:pStyle w:val="Tablewriting"/>
              <w:jc w:val="center"/>
              <w:rPr>
                <w:b/>
                <w:bCs/>
                <w:vertAlign w:val="superscript"/>
              </w:rPr>
            </w:pPr>
            <w:r w:rsidRPr="005C5DEA">
              <w:rPr>
                <w:b/>
                <w:bCs/>
              </w:rPr>
              <w:t>N</w:t>
            </w:r>
            <w:r w:rsidR="00F95509">
              <w:rPr>
                <w:b/>
                <w:bCs/>
                <w:vertAlign w:val="superscript"/>
              </w:rPr>
              <w:t>1</w:t>
            </w:r>
          </w:p>
        </w:tc>
        <w:tc>
          <w:tcPr>
            <w:tcW w:w="1417" w:type="dxa"/>
            <w:shd w:val="clear" w:color="auto" w:fill="BFBFBF" w:themeFill="background1" w:themeFillShade="BF"/>
          </w:tcPr>
          <w:p w:rsidR="00050F29" w:rsidRPr="005C5DEA" w:rsidRDefault="00050F29" w:rsidP="005C5DEA">
            <w:pPr>
              <w:pStyle w:val="Tablewriting"/>
              <w:jc w:val="center"/>
              <w:rPr>
                <w:b/>
                <w:bCs/>
              </w:rPr>
            </w:pPr>
            <w:r w:rsidRPr="005C5DEA">
              <w:rPr>
                <w:b/>
                <w:bCs/>
              </w:rPr>
              <w:t>Population</w:t>
            </w:r>
          </w:p>
        </w:tc>
        <w:tc>
          <w:tcPr>
            <w:tcW w:w="2693" w:type="dxa"/>
            <w:shd w:val="clear" w:color="auto" w:fill="BFBFBF" w:themeFill="background1" w:themeFillShade="BF"/>
          </w:tcPr>
          <w:p w:rsidR="00050F29" w:rsidRPr="005C5DEA" w:rsidRDefault="00050F29" w:rsidP="005C5DEA">
            <w:pPr>
              <w:pStyle w:val="Tablewriting"/>
              <w:jc w:val="center"/>
              <w:rPr>
                <w:b/>
                <w:bCs/>
              </w:rPr>
            </w:pPr>
            <w:r w:rsidRPr="005C5DEA">
              <w:rPr>
                <w:b/>
                <w:bCs/>
              </w:rPr>
              <w:t>Intervention and comparator</w:t>
            </w:r>
          </w:p>
        </w:tc>
        <w:tc>
          <w:tcPr>
            <w:tcW w:w="1650" w:type="dxa"/>
            <w:shd w:val="clear" w:color="auto" w:fill="BFBFBF" w:themeFill="background1" w:themeFillShade="BF"/>
          </w:tcPr>
          <w:p w:rsidR="00050F29" w:rsidRPr="005C5DEA" w:rsidRDefault="00050F29" w:rsidP="005C5DEA">
            <w:pPr>
              <w:pStyle w:val="Tablewriting"/>
              <w:jc w:val="center"/>
              <w:rPr>
                <w:b/>
                <w:bCs/>
              </w:rPr>
            </w:pPr>
            <w:r w:rsidRPr="005C5DEA">
              <w:rPr>
                <w:b/>
                <w:bCs/>
              </w:rPr>
              <w:t>Outcomes</w:t>
            </w:r>
          </w:p>
        </w:tc>
      </w:tr>
      <w:tr w:rsidR="00253718" w:rsidTr="00253718">
        <w:tc>
          <w:tcPr>
            <w:tcW w:w="846" w:type="dxa"/>
          </w:tcPr>
          <w:p w:rsidR="00EE2FFC" w:rsidRDefault="00050F29" w:rsidP="00EE2FFC">
            <w:pPr>
              <w:pStyle w:val="Tablewriting"/>
            </w:pPr>
            <w:r>
              <w:t xml:space="preserve">Claire </w:t>
            </w:r>
          </w:p>
          <w:p w:rsidR="00050F29" w:rsidRDefault="00EE2FFC" w:rsidP="005C5DEA">
            <w:pPr>
              <w:pStyle w:val="Tablewriting"/>
            </w:pPr>
            <w:r>
              <w:t>(</w:t>
            </w:r>
            <w:r w:rsidR="00050F29">
              <w:t>2020</w:t>
            </w:r>
            <w:r>
              <w:t>)</w:t>
            </w:r>
          </w:p>
        </w:tc>
        <w:tc>
          <w:tcPr>
            <w:tcW w:w="1276" w:type="dxa"/>
          </w:tcPr>
          <w:p w:rsidR="00EE2FFC" w:rsidRDefault="00050F29" w:rsidP="00EE2FFC">
            <w:pPr>
              <w:pStyle w:val="Tablewriting"/>
            </w:pPr>
            <w:r>
              <w:t xml:space="preserve">Cochrane Review </w:t>
            </w:r>
          </w:p>
          <w:p w:rsidR="00050F29" w:rsidRDefault="00050F29" w:rsidP="005C5DEA">
            <w:pPr>
              <w:pStyle w:val="Tablewriting"/>
            </w:pPr>
            <w:r>
              <w:t>(</w:t>
            </w:r>
            <w:r w:rsidR="00B15AEC">
              <w:t>11</w:t>
            </w:r>
            <w:r>
              <w:t xml:space="preserve"> RCTs</w:t>
            </w:r>
            <w:r w:rsidR="00F95509">
              <w:rPr>
                <w:vertAlign w:val="superscript"/>
              </w:rPr>
              <w:t>2</w:t>
            </w:r>
            <w:r>
              <w:t>)</w:t>
            </w:r>
          </w:p>
        </w:tc>
        <w:tc>
          <w:tcPr>
            <w:tcW w:w="1134" w:type="dxa"/>
          </w:tcPr>
          <w:p w:rsidR="00050F29" w:rsidRDefault="00370B83" w:rsidP="005C5DEA">
            <w:pPr>
              <w:pStyle w:val="Tablewriting"/>
            </w:pPr>
            <w:r>
              <w:t>N=</w:t>
            </w:r>
            <w:r w:rsidR="00B15AEC">
              <w:t>2</w:t>
            </w:r>
            <w:r>
              <w:t>,</w:t>
            </w:r>
            <w:r w:rsidR="00B15AEC">
              <w:t>412</w:t>
            </w:r>
          </w:p>
          <w:p w:rsidR="00B15AEC" w:rsidRDefault="00B15AEC" w:rsidP="005C5DEA">
            <w:pPr>
              <w:pStyle w:val="Tablewriting"/>
            </w:pPr>
            <w:r>
              <w:t xml:space="preserve">NRT </w:t>
            </w:r>
            <w:r w:rsidR="00370B83">
              <w:t>(</w:t>
            </w:r>
            <w:r>
              <w:t>n=</w:t>
            </w:r>
            <w:r w:rsidR="00BE72B5">
              <w:t>2</w:t>
            </w:r>
            <w:r w:rsidR="00370B83">
              <w:t>,</w:t>
            </w:r>
            <w:r w:rsidR="00BE72B5">
              <w:t>336</w:t>
            </w:r>
            <w:r w:rsidR="00370B83">
              <w:t>),</w:t>
            </w:r>
          </w:p>
          <w:p w:rsidR="00BE72B5" w:rsidRDefault="00BE72B5" w:rsidP="005C5DEA">
            <w:pPr>
              <w:pStyle w:val="Tablewriting"/>
            </w:pPr>
            <w:r>
              <w:t>Bupropion</w:t>
            </w:r>
            <w:r w:rsidR="007E4A70">
              <w:t xml:space="preserve"> </w:t>
            </w:r>
            <w:r w:rsidR="00370B83">
              <w:t>(</w:t>
            </w:r>
            <w:r>
              <w:t>n=76</w:t>
            </w:r>
            <w:r w:rsidR="00370B83">
              <w:t>)</w:t>
            </w:r>
          </w:p>
          <w:p w:rsidR="00B15AEC" w:rsidRDefault="00B15AEC" w:rsidP="005C5DEA">
            <w:pPr>
              <w:pStyle w:val="Tablewriting"/>
            </w:pPr>
          </w:p>
        </w:tc>
        <w:tc>
          <w:tcPr>
            <w:tcW w:w="1417" w:type="dxa"/>
          </w:tcPr>
          <w:p w:rsidR="00050F29" w:rsidRDefault="00370B83" w:rsidP="005C5DEA">
            <w:pPr>
              <w:pStyle w:val="Tablewriting"/>
            </w:pPr>
            <w:r w:rsidRPr="005C5DEA">
              <w:rPr>
                <w:u w:val="single"/>
              </w:rPr>
              <w:t>Inclusion:</w:t>
            </w:r>
            <w:r>
              <w:t xml:space="preserve"> w</w:t>
            </w:r>
            <w:r w:rsidR="007E4A70" w:rsidRPr="007E4A70">
              <w:t xml:space="preserve">omen who were pregnant and who also smoked tobacco at </w:t>
            </w:r>
            <w:r w:rsidR="007E4A70" w:rsidRPr="007E4A70">
              <w:lastRenderedPageBreak/>
              <w:t>study baseline.</w:t>
            </w:r>
          </w:p>
        </w:tc>
        <w:tc>
          <w:tcPr>
            <w:tcW w:w="2693" w:type="dxa"/>
          </w:tcPr>
          <w:p w:rsidR="00AE1E80" w:rsidRDefault="00D82B15" w:rsidP="005C5DEA">
            <w:pPr>
              <w:pStyle w:val="Tablewriting"/>
            </w:pPr>
            <w:r w:rsidRPr="00D82B15">
              <w:lastRenderedPageBreak/>
              <w:t xml:space="preserve">Pharmacological treatments (including </w:t>
            </w:r>
            <w:r>
              <w:t>electronic cigarettes</w:t>
            </w:r>
            <w:r w:rsidRPr="00D82B15">
              <w:t xml:space="preserve">) aimed at promoting smoking cessation including, but not limited to, treatments that have been </w:t>
            </w:r>
            <w:r w:rsidRPr="00D82B15">
              <w:lastRenderedPageBreak/>
              <w:t>proven e</w:t>
            </w:r>
            <w:r>
              <w:t>ff</w:t>
            </w:r>
            <w:r w:rsidRPr="00D82B15">
              <w:t>ective in non-pregnant adults (e.g. NRT</w:t>
            </w:r>
            <w:r>
              <w:t>,</w:t>
            </w:r>
            <w:r w:rsidRPr="00D82B15">
              <w:t xml:space="preserve"> bupropion</w:t>
            </w:r>
            <w:r>
              <w:t xml:space="preserve">, </w:t>
            </w:r>
            <w:r w:rsidRPr="00D82B15">
              <w:t>varenicline, and ECs</w:t>
            </w:r>
            <w:r>
              <w:t>.</w:t>
            </w:r>
            <w:r w:rsidR="00253718">
              <w:t xml:space="preserve"> </w:t>
            </w:r>
            <w:r w:rsidR="00AE1E80">
              <w:t>Placebo control or no smoking cessation</w:t>
            </w:r>
          </w:p>
          <w:p w:rsidR="00AE1E80" w:rsidRDefault="00AE1E80" w:rsidP="005C5DEA">
            <w:pPr>
              <w:pStyle w:val="Tablewriting"/>
            </w:pPr>
            <w:r>
              <w:t>pharmacotherapy/EC</w:t>
            </w:r>
            <w:r w:rsidR="00253718">
              <w:t>.</w:t>
            </w:r>
          </w:p>
        </w:tc>
        <w:tc>
          <w:tcPr>
            <w:tcW w:w="1650" w:type="dxa"/>
          </w:tcPr>
          <w:p w:rsidR="00050F29" w:rsidRDefault="00965D0C" w:rsidP="005C5DEA">
            <w:pPr>
              <w:pStyle w:val="Tablewriting"/>
            </w:pPr>
            <w:r w:rsidRPr="005C5DEA">
              <w:rPr>
                <w:u w:val="single"/>
              </w:rPr>
              <w:lastRenderedPageBreak/>
              <w:t>Primary</w:t>
            </w:r>
            <w:r>
              <w:t>: s</w:t>
            </w:r>
            <w:r w:rsidR="001F034E" w:rsidRPr="001F034E">
              <w:t xml:space="preserve">elf-reported abstinence from smoking at the latest time point in pregnancy at </w:t>
            </w:r>
            <w:r w:rsidR="001F034E" w:rsidRPr="001F034E">
              <w:lastRenderedPageBreak/>
              <w:t>which this was measured and, where available, validated biochemically</w:t>
            </w:r>
            <w:r w:rsidR="001F034E">
              <w:t>.</w:t>
            </w:r>
          </w:p>
        </w:tc>
      </w:tr>
    </w:tbl>
    <w:p w:rsidR="005C5DEA" w:rsidRDefault="005C5DEA" w:rsidP="005C5DEA">
      <w:pPr>
        <w:pStyle w:val="TableFooter"/>
        <w:keepNext/>
        <w:rPr>
          <w:i/>
        </w:rPr>
      </w:pPr>
      <w:r>
        <w:lastRenderedPageBreak/>
        <w:t xml:space="preserve">Abbreviations: </w:t>
      </w:r>
      <w:r w:rsidR="00253718">
        <w:t xml:space="preserve">EC = electronic cigarettes; </w:t>
      </w:r>
      <w:r>
        <w:t>NRT = nicotine replacement therapy; RCT = randomised controlled trial</w:t>
      </w:r>
      <w:r w:rsidRPr="00061F78">
        <w:t xml:space="preserve"> </w:t>
      </w:r>
    </w:p>
    <w:p w:rsidR="00F95509" w:rsidRDefault="00F95509" w:rsidP="005C5DEA">
      <w:pPr>
        <w:pStyle w:val="TableFooter"/>
        <w:keepNext/>
      </w:pPr>
      <w:r>
        <w:t>Notes:</w:t>
      </w:r>
    </w:p>
    <w:p w:rsidR="005C5DEA" w:rsidRDefault="005C5DEA" w:rsidP="005C5DEA">
      <w:pPr>
        <w:pStyle w:val="TableFooter"/>
        <w:keepNext/>
      </w:pPr>
      <w:r>
        <w:t>1 Only the number of patients (n) in the relevant arms were included</w:t>
      </w:r>
      <w:r w:rsidR="005A689C">
        <w:t>.</w:t>
      </w:r>
      <w:r>
        <w:t xml:space="preserve"> </w:t>
      </w:r>
    </w:p>
    <w:p w:rsidR="005C5DEA" w:rsidRPr="00061F78" w:rsidRDefault="005C5DEA" w:rsidP="005C5DEA">
      <w:pPr>
        <w:pStyle w:val="TableFooter"/>
      </w:pPr>
      <w:r>
        <w:t xml:space="preserve">2 The characteristics of the individual studies included in </w:t>
      </w:r>
      <w:r w:rsidR="00F95509">
        <w:t>Claire</w:t>
      </w:r>
      <w:r>
        <w:t xml:space="preserve"> et al. (2020) are presented in </w:t>
      </w:r>
      <w:r w:rsidRPr="008138B1">
        <w:t>Appendix</w:t>
      </w:r>
      <w:r w:rsidR="008138B1" w:rsidRPr="008138B1">
        <w:t xml:space="preserve"> </w:t>
      </w:r>
      <w:r w:rsidR="003C4A1C">
        <w:t xml:space="preserve">Table </w:t>
      </w:r>
      <w:r w:rsidR="003C4A1C">
        <w:rPr>
          <w:noProof/>
        </w:rPr>
        <w:t>165</w:t>
      </w:r>
      <w:r w:rsidRPr="008138B1">
        <w:t>.</w:t>
      </w:r>
      <w:r>
        <w:t xml:space="preserve"> </w:t>
      </w:r>
    </w:p>
    <w:p w:rsidR="008A684C" w:rsidRPr="004C5C69" w:rsidRDefault="008A684C" w:rsidP="005E196D">
      <w:pPr>
        <w:rPr>
          <w:b/>
          <w:bCs/>
        </w:rPr>
      </w:pPr>
      <w:r w:rsidRPr="004C5C69">
        <w:rPr>
          <w:b/>
          <w:bCs/>
        </w:rPr>
        <w:t>NRT</w:t>
      </w:r>
    </w:p>
    <w:p w:rsidR="009033DF" w:rsidRPr="009033DF" w:rsidRDefault="005E196D" w:rsidP="004A7BC3">
      <w:pPr>
        <w:rPr>
          <w:i/>
          <w:iCs/>
        </w:rPr>
      </w:pPr>
      <w:r w:rsidRPr="00F612E1">
        <w:rPr>
          <w:u w:val="single"/>
        </w:rPr>
        <w:t>Efficacy</w:t>
      </w:r>
    </w:p>
    <w:p w:rsidR="00071134" w:rsidRDefault="004A7BC3" w:rsidP="004A7BC3">
      <w:r>
        <w:t>A summary of the smoking cessation rates at the longest follow-up</w:t>
      </w:r>
      <w:r w:rsidR="009F40C2">
        <w:t xml:space="preserve"> comparing NRT </w:t>
      </w:r>
      <w:r w:rsidR="00A25021">
        <w:t>(long-acting and fast-acting)</w:t>
      </w:r>
      <w:r w:rsidR="009F40C2">
        <w:t xml:space="preserve"> with control</w:t>
      </w:r>
      <w:r>
        <w:t xml:space="preserve"> is presented in</w:t>
      </w:r>
      <w:r w:rsidR="009F40C2">
        <w:t xml:space="preserve"> </w:t>
      </w:r>
      <w:r w:rsidR="003C4A1C">
        <w:t xml:space="preserve">Table </w:t>
      </w:r>
      <w:r w:rsidR="003C4A1C">
        <w:rPr>
          <w:noProof/>
        </w:rPr>
        <w:t>127</w:t>
      </w:r>
      <w:r w:rsidR="009033DF">
        <w:t xml:space="preserve">. </w:t>
      </w:r>
      <w:r>
        <w:t xml:space="preserve">The results of the meta-analysis comprising </w:t>
      </w:r>
      <w:r w:rsidR="00C73CD3">
        <w:t>nine</w:t>
      </w:r>
      <w:r>
        <w:t xml:space="preserve"> RCTs by </w:t>
      </w:r>
      <w:r w:rsidR="005F4DEB">
        <w:t>Claire et al</w:t>
      </w:r>
      <w:r>
        <w:t>. (20</w:t>
      </w:r>
      <w:r w:rsidR="005F4DEB">
        <w:t>20</w:t>
      </w:r>
      <w:r>
        <w:t xml:space="preserve">) demonstrated </w:t>
      </w:r>
      <w:r w:rsidR="00F12D8C">
        <w:t xml:space="preserve">a significant improvement in smoking cessation rates </w:t>
      </w:r>
      <w:r w:rsidR="0039794D">
        <w:t>with the use of NRT relative to control</w:t>
      </w:r>
      <w:r w:rsidR="008B3688">
        <w:t>. Subgroup analysis by fast</w:t>
      </w:r>
      <w:r w:rsidR="00395525">
        <w:t xml:space="preserve">-acting and nicotine </w:t>
      </w:r>
      <w:r w:rsidR="00573F59">
        <w:t>patches</w:t>
      </w:r>
      <w:r w:rsidR="00395525">
        <w:t xml:space="preserve"> did not reveal evidence that the effect differed by NRT type</w:t>
      </w:r>
      <w:r w:rsidR="00396A0C">
        <w:t xml:space="preserve"> (P=0.08)</w:t>
      </w:r>
      <w:r w:rsidR="00D514D4">
        <w:t xml:space="preserve">, although the results were not statistically significant </w:t>
      </w:r>
      <w:r w:rsidR="003F26E4">
        <w:t>in the fast-acting NRT subgroup</w:t>
      </w:r>
      <w:r w:rsidR="00F74EEE">
        <w:t xml:space="preserve">. </w:t>
      </w:r>
    </w:p>
    <w:p w:rsidR="004A7BC3" w:rsidRPr="00B63241" w:rsidRDefault="00F74EEE" w:rsidP="004A7BC3">
      <w:r>
        <w:t xml:space="preserve">By contrast, </w:t>
      </w:r>
      <w:r w:rsidR="00D84D39">
        <w:t xml:space="preserve">a </w:t>
      </w:r>
      <w:r>
        <w:t xml:space="preserve">significant subgroup </w:t>
      </w:r>
      <w:r w:rsidR="00D84D39">
        <w:t>difference was detected when splitting the studies by comparator type – placebo or no placebo</w:t>
      </w:r>
      <w:r w:rsidR="00707439">
        <w:t>;</w:t>
      </w:r>
      <w:r w:rsidR="00A300F8">
        <w:t xml:space="preserve"> </w:t>
      </w:r>
      <w:r w:rsidR="00BD6132">
        <w:t>w</w:t>
      </w:r>
      <w:r w:rsidR="00A300F8">
        <w:t xml:space="preserve">hen compared against placebo, </w:t>
      </w:r>
      <w:r w:rsidR="00A05B3F">
        <w:t>the C</w:t>
      </w:r>
      <w:r w:rsidR="00D47EC2">
        <w:t>I</w:t>
      </w:r>
      <w:r w:rsidR="00A05B3F">
        <w:t xml:space="preserve">s </w:t>
      </w:r>
      <w:r w:rsidR="00A300F8">
        <w:t>incorporated</w:t>
      </w:r>
      <w:r w:rsidR="00D47EC2">
        <w:t xml:space="preserve"> zero</w:t>
      </w:r>
      <w:r w:rsidR="00A300F8">
        <w:t xml:space="preserve"> but numerically favoured NRT</w:t>
      </w:r>
      <w:r w:rsidR="00DA6471">
        <w:t xml:space="preserve"> and was more precise</w:t>
      </w:r>
      <w:r w:rsidR="00D80553">
        <w:t xml:space="preserve"> (RR</w:t>
      </w:r>
      <w:r w:rsidR="00071134">
        <w:t>:</w:t>
      </w:r>
      <w:r w:rsidR="00D80553">
        <w:t xml:space="preserve"> 1.21</w:t>
      </w:r>
      <w:r w:rsidR="00071134">
        <w:t>;</w:t>
      </w:r>
      <w:r w:rsidR="00D80553">
        <w:t xml:space="preserve"> 95%</w:t>
      </w:r>
      <w:r w:rsidR="00071134">
        <w:t xml:space="preserve"> </w:t>
      </w:r>
      <w:r w:rsidR="00D80553">
        <w:t>CI</w:t>
      </w:r>
      <w:r w:rsidR="00071134">
        <w:t>:</w:t>
      </w:r>
      <w:r w:rsidR="00D80553">
        <w:t xml:space="preserve"> 0.9</w:t>
      </w:r>
      <w:r w:rsidR="00DA6471">
        <w:t>5</w:t>
      </w:r>
      <w:r w:rsidR="00071134">
        <w:t>,</w:t>
      </w:r>
      <w:r w:rsidR="00D80553">
        <w:t xml:space="preserve"> 1.55)</w:t>
      </w:r>
      <w:r w:rsidR="00BD6132">
        <w:t xml:space="preserve">, but when compared with non-placebo </w:t>
      </w:r>
      <w:r w:rsidR="00F81BB2">
        <w:t>controls the effect estimate significantly favoured NRT</w:t>
      </w:r>
      <w:r w:rsidR="00DA6471">
        <w:t xml:space="preserve"> but was imprecise (RR</w:t>
      </w:r>
      <w:r w:rsidR="00071134">
        <w:t>:</w:t>
      </w:r>
      <w:r w:rsidR="00DA6471">
        <w:t xml:space="preserve"> 8.55</w:t>
      </w:r>
      <w:r w:rsidR="00071134">
        <w:t>;</w:t>
      </w:r>
      <w:r w:rsidR="00DA6471">
        <w:t xml:space="preserve"> 95%</w:t>
      </w:r>
      <w:r w:rsidR="00071134">
        <w:t xml:space="preserve"> </w:t>
      </w:r>
      <w:r w:rsidR="00DA6471">
        <w:t>CI</w:t>
      </w:r>
      <w:r w:rsidR="00071134">
        <w:t>:</w:t>
      </w:r>
      <w:r w:rsidR="00DA6471">
        <w:t xml:space="preserve"> 2.05</w:t>
      </w:r>
      <w:r w:rsidR="00071134">
        <w:t>,</w:t>
      </w:r>
      <w:r w:rsidR="00DA6471">
        <w:t xml:space="preserve"> 35.71)</w:t>
      </w:r>
      <w:r w:rsidR="0007113C">
        <w:t xml:space="preserve">. </w:t>
      </w:r>
      <w:r w:rsidR="00D10C8D">
        <w:t>It was observed that the sample size</w:t>
      </w:r>
      <w:r w:rsidR="00BD5F4F">
        <w:t>s</w:t>
      </w:r>
      <w:r w:rsidR="00D10C8D">
        <w:t xml:space="preserve"> of the non-placebo</w:t>
      </w:r>
      <w:r w:rsidR="00B01D92">
        <w:t>-</w:t>
      </w:r>
      <w:r w:rsidR="00D10C8D">
        <w:t>controlled trials w</w:t>
      </w:r>
      <w:r w:rsidR="00BD5F4F">
        <w:t>ere</w:t>
      </w:r>
      <w:r w:rsidR="00D10C8D">
        <w:t xml:space="preserve"> relatively small</w:t>
      </w:r>
      <w:r w:rsidR="00B01D92">
        <w:t xml:space="preserve"> which may have resulted in the wide confidence interval. </w:t>
      </w:r>
      <w:r w:rsidR="004766AB">
        <w:t>Because of this, Claire et al</w:t>
      </w:r>
      <w:r w:rsidR="00071134">
        <w:t>. (2020)</w:t>
      </w:r>
      <w:r w:rsidR="00AE2488">
        <w:t xml:space="preserve"> stated that</w:t>
      </w:r>
      <w:r w:rsidR="004766AB">
        <w:t xml:space="preserve"> the pooled estimate</w:t>
      </w:r>
      <w:r w:rsidR="00AE2488">
        <w:t xml:space="preserve"> should be interpreted with caution</w:t>
      </w:r>
      <w:r w:rsidR="004766AB">
        <w:t xml:space="preserve">, suggesting </w:t>
      </w:r>
      <w:r w:rsidR="00F27935">
        <w:t xml:space="preserve">a lower efficacy of NRT </w:t>
      </w:r>
      <w:r w:rsidR="006B6A83">
        <w:t>than the pooled estimate.</w:t>
      </w:r>
    </w:p>
    <w:p w:rsidR="00FE31C8" w:rsidRDefault="00FE31C8" w:rsidP="009F40C2">
      <w:pPr>
        <w:pStyle w:val="Caption"/>
        <w:keepNext/>
      </w:pPr>
      <w:bookmarkStart w:id="251" w:name="_Ref61871237"/>
      <w:r>
        <w:t xml:space="preserve">Table </w:t>
      </w:r>
      <w:r w:rsidR="003C4A1C">
        <w:rPr>
          <w:noProof/>
        </w:rPr>
        <w:t>127</w:t>
      </w:r>
      <w:bookmarkEnd w:id="251"/>
      <w:r>
        <w:t xml:space="preserve">: </w:t>
      </w:r>
      <w:r w:rsidRPr="00D536C5">
        <w:t xml:space="preserve">Results of smoking cessation </w:t>
      </w:r>
      <w:r w:rsidR="00B15BB7">
        <w:t>in later pregnancy</w:t>
      </w:r>
      <w:r w:rsidR="00900291">
        <w:t xml:space="preserve"> </w:t>
      </w:r>
      <w:r w:rsidRPr="00D536C5">
        <w:t xml:space="preserve">in </w:t>
      </w:r>
      <w:r w:rsidR="008C5037">
        <w:t xml:space="preserve">Claire </w:t>
      </w:r>
      <w:r w:rsidRPr="00D536C5">
        <w:t>et al. (20</w:t>
      </w:r>
      <w:r w:rsidR="008C5037">
        <w:t>20</w:t>
      </w:r>
      <w:r w:rsidRPr="00D536C5">
        <w:t xml:space="preserve">), </w:t>
      </w:r>
      <w:r w:rsidR="008C5037">
        <w:t>NRT versus control</w:t>
      </w:r>
    </w:p>
    <w:tbl>
      <w:tblPr>
        <w:tblStyle w:val="TableGrid"/>
        <w:tblW w:w="5000" w:type="pct"/>
        <w:tblLook w:val="04A0" w:firstRow="1" w:lastRow="0" w:firstColumn="1" w:lastColumn="0" w:noHBand="0" w:noVBand="1"/>
      </w:tblPr>
      <w:tblGrid>
        <w:gridCol w:w="1186"/>
        <w:gridCol w:w="2386"/>
        <w:gridCol w:w="1798"/>
        <w:gridCol w:w="1859"/>
        <w:gridCol w:w="1787"/>
      </w:tblGrid>
      <w:tr w:rsidR="00EE3496" w:rsidRPr="007D5EC7" w:rsidTr="00AE2488">
        <w:tc>
          <w:tcPr>
            <w:tcW w:w="658" w:type="pct"/>
            <w:shd w:val="clear" w:color="auto" w:fill="BFBFBF" w:themeFill="background1" w:themeFillShade="BF"/>
          </w:tcPr>
          <w:p w:rsidR="00FE31C8" w:rsidRPr="00A02A98" w:rsidRDefault="00FE31C8" w:rsidP="009F40C2">
            <w:pPr>
              <w:pStyle w:val="Tablewriting"/>
              <w:rPr>
                <w:b/>
              </w:rPr>
            </w:pPr>
            <w:r w:rsidRPr="00A02A98">
              <w:rPr>
                <w:b/>
              </w:rPr>
              <w:t>Study</w:t>
            </w:r>
          </w:p>
        </w:tc>
        <w:tc>
          <w:tcPr>
            <w:tcW w:w="1323" w:type="pct"/>
            <w:shd w:val="clear" w:color="auto" w:fill="BFBFBF" w:themeFill="background1" w:themeFillShade="BF"/>
          </w:tcPr>
          <w:p w:rsidR="00FE31C8" w:rsidRPr="00DA1082" w:rsidRDefault="00FE31C8" w:rsidP="009F40C2">
            <w:pPr>
              <w:pStyle w:val="Tablewriting"/>
              <w:jc w:val="center"/>
              <w:rPr>
                <w:b/>
              </w:rPr>
            </w:pPr>
            <w:r w:rsidRPr="00005A11">
              <w:rPr>
                <w:b/>
              </w:rPr>
              <w:t>Study Type</w:t>
            </w:r>
          </w:p>
        </w:tc>
        <w:tc>
          <w:tcPr>
            <w:tcW w:w="997" w:type="pct"/>
            <w:shd w:val="clear" w:color="auto" w:fill="BFBFBF" w:themeFill="background1" w:themeFillShade="BF"/>
          </w:tcPr>
          <w:p w:rsidR="00FE31C8" w:rsidRPr="00AC43C5" w:rsidRDefault="00FE31C8" w:rsidP="009F40C2">
            <w:pPr>
              <w:pStyle w:val="Tablewriting"/>
              <w:jc w:val="center"/>
              <w:rPr>
                <w:b/>
              </w:rPr>
            </w:pPr>
            <w:r w:rsidRPr="005D7675">
              <w:rPr>
                <w:b/>
              </w:rPr>
              <w:t>NRT</w:t>
            </w:r>
          </w:p>
        </w:tc>
        <w:tc>
          <w:tcPr>
            <w:tcW w:w="1031" w:type="pct"/>
            <w:shd w:val="clear" w:color="auto" w:fill="BFBFBF" w:themeFill="background1" w:themeFillShade="BF"/>
          </w:tcPr>
          <w:p w:rsidR="00FE31C8" w:rsidRPr="009F40C2" w:rsidRDefault="00EE3496" w:rsidP="009F40C2">
            <w:pPr>
              <w:pStyle w:val="Tablewriting"/>
              <w:jc w:val="center"/>
              <w:rPr>
                <w:b/>
                <w:bCs/>
              </w:rPr>
            </w:pPr>
            <w:r>
              <w:rPr>
                <w:b/>
                <w:bCs/>
              </w:rPr>
              <w:t>C</w:t>
            </w:r>
            <w:r w:rsidR="00FE31C8" w:rsidRPr="009F40C2">
              <w:rPr>
                <w:b/>
                <w:bCs/>
              </w:rPr>
              <w:t>ontrol</w:t>
            </w:r>
            <w:r>
              <w:rPr>
                <w:b/>
                <w:bCs/>
              </w:rPr>
              <w:t>/Placebo</w:t>
            </w:r>
          </w:p>
        </w:tc>
        <w:tc>
          <w:tcPr>
            <w:tcW w:w="991" w:type="pct"/>
            <w:shd w:val="clear" w:color="auto" w:fill="BFBFBF" w:themeFill="background1" w:themeFillShade="BF"/>
          </w:tcPr>
          <w:p w:rsidR="00FE31C8" w:rsidRPr="009F40C2" w:rsidRDefault="00FE31C8" w:rsidP="009F40C2">
            <w:pPr>
              <w:pStyle w:val="Tablewriting"/>
              <w:jc w:val="center"/>
              <w:rPr>
                <w:b/>
                <w:bCs/>
                <w:vertAlign w:val="superscript"/>
              </w:rPr>
            </w:pPr>
            <w:r w:rsidRPr="009F40C2">
              <w:rPr>
                <w:b/>
                <w:bCs/>
              </w:rPr>
              <w:t>RR (95%CI)</w:t>
            </w:r>
            <w:r w:rsidR="008C5037">
              <w:rPr>
                <w:b/>
                <w:bCs/>
                <w:vertAlign w:val="superscript"/>
              </w:rPr>
              <w:t>1</w:t>
            </w:r>
          </w:p>
        </w:tc>
      </w:tr>
      <w:tr w:rsidR="00FE31C8" w:rsidTr="00AE2488">
        <w:tc>
          <w:tcPr>
            <w:tcW w:w="658" w:type="pct"/>
          </w:tcPr>
          <w:p w:rsidR="00FE31C8" w:rsidRDefault="00FE31C8" w:rsidP="009F40C2">
            <w:pPr>
              <w:pStyle w:val="Tablewriting"/>
            </w:pPr>
            <w:r>
              <w:t>Claire (2020)</w:t>
            </w:r>
          </w:p>
        </w:tc>
        <w:tc>
          <w:tcPr>
            <w:tcW w:w="1323" w:type="pct"/>
          </w:tcPr>
          <w:p w:rsidR="00FE31C8" w:rsidRDefault="00FE31C8" w:rsidP="00253718">
            <w:pPr>
              <w:pStyle w:val="Tablewriting"/>
              <w:jc w:val="center"/>
            </w:pPr>
            <w:r>
              <w:t xml:space="preserve">Cochrane Review </w:t>
            </w:r>
          </w:p>
          <w:p w:rsidR="00FE31C8" w:rsidRDefault="00FE31C8" w:rsidP="009F40C2">
            <w:pPr>
              <w:pStyle w:val="Tablewriting"/>
              <w:jc w:val="center"/>
            </w:pPr>
            <w:r>
              <w:t>(9 RCTs)</w:t>
            </w:r>
          </w:p>
        </w:tc>
        <w:tc>
          <w:tcPr>
            <w:tcW w:w="997" w:type="pct"/>
          </w:tcPr>
          <w:p w:rsidR="00FE31C8" w:rsidRDefault="00FE31C8" w:rsidP="00253718">
            <w:pPr>
              <w:pStyle w:val="Tablewriting"/>
              <w:jc w:val="center"/>
            </w:pPr>
            <w:r>
              <w:t>150/1,203</w:t>
            </w:r>
          </w:p>
          <w:p w:rsidR="00FE31C8" w:rsidRDefault="00FE31C8" w:rsidP="009F40C2">
            <w:pPr>
              <w:pStyle w:val="Tablewriting"/>
              <w:jc w:val="center"/>
            </w:pPr>
            <w:r>
              <w:t>(</w:t>
            </w:r>
            <w:r w:rsidR="009F40C2">
              <w:t>12.5</w:t>
            </w:r>
            <w:r>
              <w:t>%)</w:t>
            </w:r>
          </w:p>
        </w:tc>
        <w:tc>
          <w:tcPr>
            <w:tcW w:w="1031" w:type="pct"/>
          </w:tcPr>
          <w:p w:rsidR="00FE31C8" w:rsidRDefault="00FE31C8" w:rsidP="00253718">
            <w:pPr>
              <w:pStyle w:val="Tablewriting"/>
              <w:jc w:val="center"/>
            </w:pPr>
            <w:r>
              <w:t>103/1,133</w:t>
            </w:r>
          </w:p>
          <w:p w:rsidR="00FE31C8" w:rsidRDefault="00FE31C8" w:rsidP="009F40C2">
            <w:pPr>
              <w:pStyle w:val="Tablewriting"/>
              <w:jc w:val="center"/>
            </w:pPr>
            <w:r>
              <w:t>(</w:t>
            </w:r>
            <w:r w:rsidR="009F40C2">
              <w:t>9.1</w:t>
            </w:r>
            <w:r>
              <w:t>%)</w:t>
            </w:r>
          </w:p>
        </w:tc>
        <w:tc>
          <w:tcPr>
            <w:tcW w:w="991" w:type="pct"/>
          </w:tcPr>
          <w:p w:rsidR="00FE31C8" w:rsidRPr="009F40C2" w:rsidRDefault="00FE31C8" w:rsidP="00253718">
            <w:pPr>
              <w:pStyle w:val="Tablewriting"/>
              <w:jc w:val="center"/>
              <w:rPr>
                <w:b/>
                <w:bCs/>
              </w:rPr>
            </w:pPr>
            <w:r w:rsidRPr="009F40C2">
              <w:rPr>
                <w:b/>
                <w:bCs/>
              </w:rPr>
              <w:t xml:space="preserve">1.37 </w:t>
            </w:r>
          </w:p>
          <w:p w:rsidR="00FE31C8" w:rsidRDefault="00FE31C8" w:rsidP="009F40C2">
            <w:pPr>
              <w:pStyle w:val="Tablewriting"/>
              <w:jc w:val="center"/>
            </w:pPr>
            <w:r w:rsidRPr="009F40C2">
              <w:rPr>
                <w:b/>
                <w:bCs/>
              </w:rPr>
              <w:t>(1.08, 1.74)</w:t>
            </w:r>
          </w:p>
        </w:tc>
      </w:tr>
    </w:tbl>
    <w:p w:rsidR="008C5037" w:rsidRDefault="008C5037" w:rsidP="008C5037">
      <w:pPr>
        <w:pStyle w:val="TableFooter"/>
      </w:pPr>
      <w:r>
        <w:t>Source: Claire et al. (20</w:t>
      </w:r>
      <w:r w:rsidR="00900291">
        <w:t>20</w:t>
      </w:r>
      <w:r>
        <w:t>)</w:t>
      </w:r>
    </w:p>
    <w:p w:rsidR="008C5037" w:rsidRDefault="008C5037" w:rsidP="008C5037">
      <w:pPr>
        <w:pStyle w:val="TableFooter"/>
        <w:rPr>
          <w:i/>
        </w:rPr>
      </w:pPr>
      <w:r>
        <w:t>Abbreviations: CI = confidence interval; RCT = randomised controlled trial; RR = risk ratio</w:t>
      </w:r>
      <w:r w:rsidRPr="00061F78">
        <w:t xml:space="preserve"> </w:t>
      </w:r>
    </w:p>
    <w:p w:rsidR="008C5037" w:rsidRDefault="008C5037" w:rsidP="008C5037">
      <w:pPr>
        <w:pStyle w:val="TableFooter"/>
      </w:pPr>
      <w:r w:rsidRPr="00D468CF">
        <w:t>Note</w:t>
      </w:r>
      <w:r>
        <w:t>s</w:t>
      </w:r>
      <w:r w:rsidRPr="00D468CF">
        <w:t>: Bold indicates statistically significant difference.</w:t>
      </w:r>
      <w:r w:rsidRPr="00962408">
        <w:t xml:space="preserve"> </w:t>
      </w:r>
      <w:r>
        <w:br/>
        <w:t xml:space="preserve">1 Calculated by Cochrane Review authors using a </w:t>
      </w:r>
      <w:r w:rsidR="00821BAA">
        <w:t>fixed</w:t>
      </w:r>
      <w:r>
        <w:t>-effect model</w:t>
      </w:r>
      <w:r w:rsidR="005A689C">
        <w:t>.</w:t>
      </w:r>
    </w:p>
    <w:p w:rsidR="00A92202" w:rsidRPr="00B63241" w:rsidRDefault="00A92202" w:rsidP="00A92202">
      <w:r w:rsidRPr="00B817FB">
        <w:t xml:space="preserve">The results of the individual studies included in </w:t>
      </w:r>
      <w:r>
        <w:t>Claire</w:t>
      </w:r>
      <w:r w:rsidRPr="00B817FB">
        <w:t xml:space="preserve"> et al. (20</w:t>
      </w:r>
      <w:r>
        <w:t>20</w:t>
      </w:r>
      <w:r w:rsidRPr="00B817FB">
        <w:t xml:space="preserve">) </w:t>
      </w:r>
      <w:r w:rsidR="00C957DD">
        <w:t xml:space="preserve">and sub-grouped by NRT type </w:t>
      </w:r>
      <w:r w:rsidRPr="00B817FB">
        <w:t xml:space="preserve">are presented using a forest plot </w:t>
      </w:r>
      <w:r>
        <w:t xml:space="preserve">in </w:t>
      </w:r>
      <w:r w:rsidR="003C4A1C">
        <w:t xml:space="preserve">Figure </w:t>
      </w:r>
      <w:r w:rsidR="003C4A1C">
        <w:rPr>
          <w:noProof/>
        </w:rPr>
        <w:t>41</w:t>
      </w:r>
      <w:r w:rsidRPr="00B817FB">
        <w:t xml:space="preserve">. </w:t>
      </w:r>
    </w:p>
    <w:p w:rsidR="00AE2488" w:rsidRDefault="153C738D" w:rsidP="00B15BB7">
      <w:pPr>
        <w:keepNext/>
      </w:pPr>
      <w:r>
        <w:rPr>
          <w:noProof/>
        </w:rPr>
        <w:lastRenderedPageBreak/>
        <w:drawing>
          <wp:inline distT="0" distB="0" distL="0" distR="0" wp14:anchorId="3DB52E58" wp14:editId="3150408A">
            <wp:extent cx="5731510" cy="2952750"/>
            <wp:effectExtent l="0" t="0" r="254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pic:nvPicPr>
                  <pic:blipFill>
                    <a:blip r:embed="rId61">
                      <a:extLst>
                        <a:ext uri="{28A0092B-C50C-407E-A947-70E740481C1C}">
                          <a14:useLocalDpi xmlns:a14="http://schemas.microsoft.com/office/drawing/2010/main" val="0"/>
                        </a:ext>
                      </a:extLst>
                    </a:blip>
                    <a:stretch>
                      <a:fillRect/>
                    </a:stretch>
                  </pic:blipFill>
                  <pic:spPr>
                    <a:xfrm>
                      <a:off x="0" y="0"/>
                      <a:ext cx="5731510" cy="2952750"/>
                    </a:xfrm>
                    <a:prstGeom prst="rect">
                      <a:avLst/>
                    </a:prstGeom>
                  </pic:spPr>
                </pic:pic>
              </a:graphicData>
            </a:graphic>
          </wp:inline>
        </w:drawing>
      </w:r>
    </w:p>
    <w:p w:rsidR="00AE2488" w:rsidRDefault="00AE2488" w:rsidP="00B15BB7">
      <w:pPr>
        <w:pStyle w:val="Caption"/>
        <w:rPr>
          <w:highlight w:val="yellow"/>
        </w:rPr>
      </w:pPr>
      <w:bookmarkStart w:id="252" w:name="_Ref61871922"/>
      <w:r>
        <w:t xml:space="preserve">Figure </w:t>
      </w:r>
      <w:r w:rsidR="003C4A1C">
        <w:rPr>
          <w:noProof/>
        </w:rPr>
        <w:t>41</w:t>
      </w:r>
      <w:bookmarkEnd w:id="252"/>
      <w:r>
        <w:t xml:space="preserve">: </w:t>
      </w:r>
      <w:r w:rsidRPr="00CD1448">
        <w:t xml:space="preserve">Results of smoking cessation in </w:t>
      </w:r>
      <w:r w:rsidR="00B15BB7">
        <w:t xml:space="preserve">later pregnancy in Claire </w:t>
      </w:r>
      <w:r w:rsidRPr="00CD1448">
        <w:t>et al. (20</w:t>
      </w:r>
      <w:r w:rsidR="00B15BB7">
        <w:t>20</w:t>
      </w:r>
      <w:r w:rsidRPr="00CD1448">
        <w:t xml:space="preserve">), </w:t>
      </w:r>
      <w:r w:rsidR="00B15BB7">
        <w:t>NRT versus control</w:t>
      </w:r>
    </w:p>
    <w:p w:rsidR="00900291" w:rsidRDefault="00900291" w:rsidP="00900291">
      <w:pPr>
        <w:pStyle w:val="FigureFooter"/>
      </w:pPr>
      <w:r>
        <w:t>Source: Claire et al. (2020)</w:t>
      </w:r>
    </w:p>
    <w:p w:rsidR="00900291" w:rsidRDefault="00900291" w:rsidP="00900291">
      <w:pPr>
        <w:pStyle w:val="FigureFooter"/>
      </w:pPr>
      <w:r>
        <w:t>Abbreviations: CI = confidence interval</w:t>
      </w:r>
    </w:p>
    <w:p w:rsidR="00B95CD0" w:rsidRDefault="00960B93" w:rsidP="004935B2">
      <w:r>
        <w:t>Claire et al</w:t>
      </w:r>
      <w:r w:rsidR="00900291">
        <w:t>.</w:t>
      </w:r>
      <w:r>
        <w:t xml:space="preserve"> </w:t>
      </w:r>
      <w:r w:rsidR="00900291">
        <w:t>(</w:t>
      </w:r>
      <w:r>
        <w:t>2020</w:t>
      </w:r>
      <w:r w:rsidR="00900291">
        <w:t>)</w:t>
      </w:r>
      <w:r>
        <w:t xml:space="preserve"> also investigated the impact of NRT on smoking cessation after childbirth</w:t>
      </w:r>
      <w:r w:rsidR="00BC04D6">
        <w:t xml:space="preserve">. </w:t>
      </w:r>
      <w:r w:rsidR="00D14291">
        <w:t>There was no evidence of clear benefit for NRT when p</w:t>
      </w:r>
      <w:r w:rsidR="00BC04D6">
        <w:t>ooling</w:t>
      </w:r>
      <w:r w:rsidR="00900291">
        <w:t xml:space="preserve"> the</w:t>
      </w:r>
      <w:r w:rsidR="00BC04D6">
        <w:t xml:space="preserve"> </w:t>
      </w:r>
      <w:r w:rsidR="00900291">
        <w:t>three</w:t>
      </w:r>
      <w:r w:rsidR="00BC04D6">
        <w:t xml:space="preserve"> studies that reported non-validated 7-day PPA</w:t>
      </w:r>
      <w:r w:rsidR="003A0B83">
        <w:t xml:space="preserve"> of</w:t>
      </w:r>
      <w:r w:rsidR="00BC04D6">
        <w:t xml:space="preserve"> up to 6 months after childbirth</w:t>
      </w:r>
      <w:r w:rsidR="00D14291">
        <w:t xml:space="preserve"> (</w:t>
      </w:r>
      <w:r w:rsidR="00776A48">
        <w:t>RR</w:t>
      </w:r>
      <w:r w:rsidR="003A0B83">
        <w:t>:</w:t>
      </w:r>
      <w:r w:rsidR="00776A48">
        <w:t xml:space="preserve"> 1.22</w:t>
      </w:r>
      <w:r w:rsidR="003A0B83">
        <w:t>;</w:t>
      </w:r>
      <w:r w:rsidR="00776A48">
        <w:t xml:space="preserve"> 95%</w:t>
      </w:r>
      <w:r w:rsidR="003A0B83">
        <w:t xml:space="preserve"> </w:t>
      </w:r>
      <w:r w:rsidR="00776A48">
        <w:t>CI</w:t>
      </w:r>
      <w:r w:rsidR="003A0B83">
        <w:t>:</w:t>
      </w:r>
      <w:r w:rsidR="00776A48">
        <w:t xml:space="preserve"> 0.84</w:t>
      </w:r>
      <w:r w:rsidR="003A0B83">
        <w:t>,</w:t>
      </w:r>
      <w:r w:rsidR="00776A48">
        <w:t xml:space="preserve"> 1.78</w:t>
      </w:r>
      <w:r w:rsidR="003A0B83">
        <w:t>;</w:t>
      </w:r>
      <w:r w:rsidR="009E6483">
        <w:t xml:space="preserve"> 625 women) or when pooling </w:t>
      </w:r>
      <w:r w:rsidR="003A0B83">
        <w:t>the two</w:t>
      </w:r>
      <w:r w:rsidR="009E6483">
        <w:t xml:space="preserve"> studies</w:t>
      </w:r>
      <w:r w:rsidR="00A25FFE">
        <w:t xml:space="preserve"> that reported non-validated 7-day PPA </w:t>
      </w:r>
      <w:r w:rsidR="00BC095E">
        <w:t>one year after childbirth (RR</w:t>
      </w:r>
      <w:r w:rsidR="003A0B83">
        <w:t>:</w:t>
      </w:r>
      <w:r w:rsidR="00BC095E">
        <w:t xml:space="preserve"> 1.35</w:t>
      </w:r>
      <w:r w:rsidR="003A0B83">
        <w:t>;</w:t>
      </w:r>
      <w:r w:rsidR="00BC095E">
        <w:t xml:space="preserve"> 95%</w:t>
      </w:r>
      <w:r w:rsidR="003A0B83">
        <w:t xml:space="preserve"> </w:t>
      </w:r>
      <w:r w:rsidR="00BC095E">
        <w:t>CI</w:t>
      </w:r>
      <w:r w:rsidR="003A0B83">
        <w:t>:</w:t>
      </w:r>
      <w:r w:rsidR="00BC095E">
        <w:t xml:space="preserve"> 0.97</w:t>
      </w:r>
      <w:r w:rsidR="003A0B83">
        <w:t>,</w:t>
      </w:r>
      <w:r w:rsidR="00BC095E">
        <w:t xml:space="preserve"> 1.88</w:t>
      </w:r>
      <w:r w:rsidR="003A0B83">
        <w:t>;</w:t>
      </w:r>
      <w:r w:rsidR="00BC095E">
        <w:t xml:space="preserve"> 1</w:t>
      </w:r>
      <w:r w:rsidR="003A0B83">
        <w:t>,</w:t>
      </w:r>
      <w:r w:rsidR="00BC095E">
        <w:t>296 women).</w:t>
      </w:r>
    </w:p>
    <w:p w:rsidR="003A0B83" w:rsidRPr="003A0B83" w:rsidRDefault="003A0B83" w:rsidP="004935B2">
      <w:pPr>
        <w:rPr>
          <w:u w:val="single"/>
        </w:rPr>
      </w:pPr>
      <w:r w:rsidRPr="003A0B83">
        <w:rPr>
          <w:u w:val="single"/>
        </w:rPr>
        <w:t>Safety</w:t>
      </w:r>
    </w:p>
    <w:p w:rsidR="008203CD" w:rsidRDefault="008203CD" w:rsidP="003A0B83">
      <w:r w:rsidRPr="008203CD">
        <w:t xml:space="preserve">A summary of key adverse events comparing </w:t>
      </w:r>
      <w:r>
        <w:t>NRT</w:t>
      </w:r>
      <w:r w:rsidRPr="008203CD">
        <w:t xml:space="preserve"> with </w:t>
      </w:r>
      <w:r>
        <w:t xml:space="preserve">control </w:t>
      </w:r>
      <w:r w:rsidRPr="008203CD">
        <w:t>is presented in</w:t>
      </w:r>
      <w:r w:rsidR="00081059">
        <w:t xml:space="preserve"> </w:t>
      </w:r>
      <w:r w:rsidR="003C4A1C">
        <w:t xml:space="preserve">Table </w:t>
      </w:r>
      <w:r w:rsidR="003C4A1C">
        <w:rPr>
          <w:noProof/>
        </w:rPr>
        <w:t>128</w:t>
      </w:r>
      <w:r w:rsidRPr="008203CD">
        <w:t xml:space="preserve">. </w:t>
      </w:r>
      <w:r w:rsidR="00E33F6D">
        <w:t>Based on the meta-analysis by Claire et al. (2020),</w:t>
      </w:r>
      <w:r w:rsidR="00081059">
        <w:t xml:space="preserve"> there were no statistically significant differences in rates of preterm births, neonatal intensive care unit admissions, neonatal deaths, congenital abnormalities and caesarean birth between the two treatment arms. Similarly, no statistically significant difference</w:t>
      </w:r>
      <w:r w:rsidR="00E33F6D">
        <w:t>s</w:t>
      </w:r>
      <w:r w:rsidR="00081059">
        <w:t xml:space="preserve"> w</w:t>
      </w:r>
      <w:r w:rsidR="00E33F6D">
        <w:t>ere</w:t>
      </w:r>
      <w:r w:rsidR="00081059">
        <w:t xml:space="preserve"> </w:t>
      </w:r>
      <w:r w:rsidR="00E33F6D">
        <w:t>observed</w:t>
      </w:r>
      <w:r w:rsidR="00081059">
        <w:t xml:space="preserve"> for mean birthweight </w:t>
      </w:r>
      <w:r w:rsidR="00E33F6D">
        <w:t xml:space="preserve">(mean difference: 99.73g; 95% CI: -6.65, 206.10) </w:t>
      </w:r>
      <w:r w:rsidR="00081059">
        <w:t>and the risk of miscarriage/spontaneous abortion</w:t>
      </w:r>
      <w:r w:rsidR="00E33F6D">
        <w:t xml:space="preserve"> (RR: 1.60; 95% CI: 0.53, 4.83).</w:t>
      </w:r>
    </w:p>
    <w:p w:rsidR="00C96D69" w:rsidRDefault="00C96D69" w:rsidP="00C96D69">
      <w:pPr>
        <w:pStyle w:val="Caption"/>
        <w:keepNext/>
      </w:pPr>
      <w:bookmarkStart w:id="253" w:name="_Ref61873873"/>
      <w:r>
        <w:t xml:space="preserve">Table </w:t>
      </w:r>
      <w:r w:rsidR="003C4A1C">
        <w:rPr>
          <w:noProof/>
        </w:rPr>
        <w:t>128</w:t>
      </w:r>
      <w:bookmarkEnd w:id="253"/>
      <w:r>
        <w:t xml:space="preserve">: </w:t>
      </w:r>
      <w:r w:rsidRPr="000252BF">
        <w:t>Summary of key adverse events,</w:t>
      </w:r>
      <w:r w:rsidR="00EE3496">
        <w:t xml:space="preserve"> NRT</w:t>
      </w:r>
      <w:r w:rsidRPr="000252BF">
        <w:t xml:space="preserve"> versus </w:t>
      </w:r>
      <w:r w:rsidR="008203CD">
        <w:t>control</w:t>
      </w:r>
    </w:p>
    <w:tbl>
      <w:tblPr>
        <w:tblStyle w:val="TableGrid"/>
        <w:tblW w:w="0" w:type="auto"/>
        <w:tblLook w:val="04A0" w:firstRow="1" w:lastRow="0" w:firstColumn="1" w:lastColumn="0" w:noHBand="0" w:noVBand="1"/>
      </w:tblPr>
      <w:tblGrid>
        <w:gridCol w:w="1129"/>
        <w:gridCol w:w="1701"/>
        <w:gridCol w:w="1985"/>
        <w:gridCol w:w="1984"/>
        <w:gridCol w:w="2217"/>
      </w:tblGrid>
      <w:tr w:rsidR="00BE6CD7" w:rsidRPr="007D5EC7" w:rsidTr="00BE6CD7">
        <w:tc>
          <w:tcPr>
            <w:tcW w:w="1129" w:type="dxa"/>
            <w:shd w:val="clear" w:color="auto" w:fill="BFBFBF" w:themeFill="background1" w:themeFillShade="BF"/>
          </w:tcPr>
          <w:p w:rsidR="00BE6CD7" w:rsidRPr="00BE6CD7" w:rsidRDefault="00BE6CD7" w:rsidP="00BE6CD7">
            <w:pPr>
              <w:pStyle w:val="Tablewriting"/>
              <w:rPr>
                <w:b/>
                <w:bCs/>
              </w:rPr>
            </w:pPr>
            <w:r w:rsidRPr="00BE6CD7">
              <w:rPr>
                <w:b/>
                <w:bCs/>
              </w:rPr>
              <w:t>Study</w:t>
            </w:r>
          </w:p>
        </w:tc>
        <w:tc>
          <w:tcPr>
            <w:tcW w:w="1701" w:type="dxa"/>
            <w:shd w:val="clear" w:color="auto" w:fill="BFBFBF" w:themeFill="background1" w:themeFillShade="BF"/>
          </w:tcPr>
          <w:p w:rsidR="00BE6CD7" w:rsidRPr="00BE6CD7" w:rsidRDefault="00BE6CD7" w:rsidP="00BE6CD7">
            <w:pPr>
              <w:pStyle w:val="Tablewriting"/>
              <w:jc w:val="center"/>
              <w:rPr>
                <w:b/>
                <w:bCs/>
              </w:rPr>
            </w:pPr>
            <w:r w:rsidRPr="00BE6CD7">
              <w:rPr>
                <w:b/>
                <w:bCs/>
              </w:rPr>
              <w:t>Study Type</w:t>
            </w:r>
          </w:p>
        </w:tc>
        <w:tc>
          <w:tcPr>
            <w:tcW w:w="1985" w:type="dxa"/>
            <w:shd w:val="clear" w:color="auto" w:fill="BFBFBF" w:themeFill="background1" w:themeFillShade="BF"/>
          </w:tcPr>
          <w:p w:rsidR="00BE6CD7" w:rsidRPr="00BE6CD7" w:rsidRDefault="00BE6CD7" w:rsidP="00BE6CD7">
            <w:pPr>
              <w:pStyle w:val="Tablewriting"/>
              <w:jc w:val="center"/>
              <w:rPr>
                <w:b/>
                <w:bCs/>
              </w:rPr>
            </w:pPr>
            <w:r w:rsidRPr="00BE6CD7">
              <w:rPr>
                <w:b/>
                <w:bCs/>
              </w:rPr>
              <w:t>NRT</w:t>
            </w:r>
          </w:p>
        </w:tc>
        <w:tc>
          <w:tcPr>
            <w:tcW w:w="1984" w:type="dxa"/>
            <w:shd w:val="clear" w:color="auto" w:fill="BFBFBF" w:themeFill="background1" w:themeFillShade="BF"/>
          </w:tcPr>
          <w:p w:rsidR="00BE6CD7" w:rsidRPr="00BE6CD7" w:rsidRDefault="00EE3496" w:rsidP="00BE6CD7">
            <w:pPr>
              <w:pStyle w:val="Tablewriting"/>
              <w:jc w:val="center"/>
              <w:rPr>
                <w:b/>
                <w:bCs/>
              </w:rPr>
            </w:pPr>
            <w:r>
              <w:rPr>
                <w:b/>
                <w:bCs/>
              </w:rPr>
              <w:t>C</w:t>
            </w:r>
            <w:r w:rsidR="00BE6CD7" w:rsidRPr="00BE6CD7">
              <w:rPr>
                <w:b/>
                <w:bCs/>
              </w:rPr>
              <w:t>ontrol</w:t>
            </w:r>
            <w:r>
              <w:rPr>
                <w:b/>
                <w:bCs/>
              </w:rPr>
              <w:t>/Placebo</w:t>
            </w:r>
          </w:p>
        </w:tc>
        <w:tc>
          <w:tcPr>
            <w:tcW w:w="2217" w:type="dxa"/>
            <w:shd w:val="clear" w:color="auto" w:fill="BFBFBF" w:themeFill="background1" w:themeFillShade="BF"/>
          </w:tcPr>
          <w:p w:rsidR="00BE6CD7" w:rsidRPr="00EE3496" w:rsidRDefault="00BE6CD7" w:rsidP="00BE6CD7">
            <w:pPr>
              <w:pStyle w:val="Tablewriting"/>
              <w:jc w:val="center"/>
              <w:rPr>
                <w:b/>
                <w:bCs/>
                <w:vertAlign w:val="superscript"/>
              </w:rPr>
            </w:pPr>
            <w:r w:rsidRPr="00BE6CD7">
              <w:rPr>
                <w:b/>
                <w:bCs/>
              </w:rPr>
              <w:t>RR (95%CI)</w:t>
            </w:r>
            <w:r w:rsidR="00EE3496">
              <w:rPr>
                <w:b/>
                <w:bCs/>
                <w:vertAlign w:val="superscript"/>
              </w:rPr>
              <w:t>1</w:t>
            </w:r>
          </w:p>
        </w:tc>
      </w:tr>
      <w:tr w:rsidR="003A0B83" w:rsidTr="00B1096E">
        <w:tc>
          <w:tcPr>
            <w:tcW w:w="9016" w:type="dxa"/>
            <w:gridSpan w:val="5"/>
            <w:shd w:val="clear" w:color="auto" w:fill="auto"/>
          </w:tcPr>
          <w:p w:rsidR="003A0B83" w:rsidRPr="00B1096E" w:rsidRDefault="003A0B83" w:rsidP="00BE6CD7">
            <w:pPr>
              <w:pStyle w:val="Tablewriting"/>
              <w:rPr>
                <w:b/>
              </w:rPr>
            </w:pPr>
            <w:r w:rsidRPr="00B1096E">
              <w:rPr>
                <w:b/>
              </w:rPr>
              <w:t>Preterm births</w:t>
            </w:r>
          </w:p>
        </w:tc>
      </w:tr>
      <w:tr w:rsidR="00BE6CD7" w:rsidTr="00BE6CD7">
        <w:tc>
          <w:tcPr>
            <w:tcW w:w="1129" w:type="dxa"/>
          </w:tcPr>
          <w:p w:rsidR="00BE6CD7" w:rsidRDefault="00BE6CD7" w:rsidP="00BE6CD7">
            <w:pPr>
              <w:pStyle w:val="Tablewriting"/>
            </w:pPr>
            <w:r>
              <w:t xml:space="preserve">Claire </w:t>
            </w:r>
          </w:p>
          <w:p w:rsidR="00BE6CD7" w:rsidRDefault="00BE6CD7" w:rsidP="00BE6CD7">
            <w:pPr>
              <w:pStyle w:val="Tablewriting"/>
            </w:pPr>
            <w:r>
              <w:t>(2020)</w:t>
            </w:r>
          </w:p>
        </w:tc>
        <w:tc>
          <w:tcPr>
            <w:tcW w:w="1701" w:type="dxa"/>
          </w:tcPr>
          <w:p w:rsidR="00BE6CD7" w:rsidRDefault="00BE6CD7" w:rsidP="00BE6CD7">
            <w:pPr>
              <w:pStyle w:val="Tablewriting"/>
              <w:jc w:val="center"/>
            </w:pPr>
            <w:r>
              <w:t>Cochrane Review (7 RCTs)</w:t>
            </w:r>
          </w:p>
        </w:tc>
        <w:tc>
          <w:tcPr>
            <w:tcW w:w="1985" w:type="dxa"/>
          </w:tcPr>
          <w:p w:rsidR="00BE6CD7" w:rsidRDefault="00BE6CD7" w:rsidP="00BE6CD7">
            <w:pPr>
              <w:pStyle w:val="Tablewriting"/>
              <w:jc w:val="center"/>
            </w:pPr>
            <w:r>
              <w:t>104/1,120</w:t>
            </w:r>
          </w:p>
          <w:p w:rsidR="00C96D69" w:rsidRDefault="00C96D69" w:rsidP="00BE6CD7">
            <w:pPr>
              <w:pStyle w:val="Tablewriting"/>
              <w:jc w:val="center"/>
            </w:pPr>
            <w:r>
              <w:t>(</w:t>
            </w:r>
            <w:r w:rsidR="008203CD">
              <w:t>9.3</w:t>
            </w:r>
            <w:r>
              <w:t>%)</w:t>
            </w:r>
          </w:p>
        </w:tc>
        <w:tc>
          <w:tcPr>
            <w:tcW w:w="1984" w:type="dxa"/>
          </w:tcPr>
          <w:p w:rsidR="00BE6CD7" w:rsidRDefault="00BE6CD7" w:rsidP="00BE6CD7">
            <w:pPr>
              <w:pStyle w:val="Tablewriting"/>
              <w:jc w:val="center"/>
            </w:pPr>
            <w:r>
              <w:t>114/1</w:t>
            </w:r>
            <w:r w:rsidR="00C96D69">
              <w:t>,</w:t>
            </w:r>
            <w:r>
              <w:t>062</w:t>
            </w:r>
          </w:p>
          <w:p w:rsidR="00C96D69" w:rsidRDefault="00C96D69" w:rsidP="00BE6CD7">
            <w:pPr>
              <w:pStyle w:val="Tablewriting"/>
              <w:jc w:val="center"/>
            </w:pPr>
            <w:r>
              <w:t>(</w:t>
            </w:r>
            <w:r w:rsidR="008203CD">
              <w:t>10.7</w:t>
            </w:r>
            <w:r>
              <w:t>%)</w:t>
            </w:r>
          </w:p>
        </w:tc>
        <w:tc>
          <w:tcPr>
            <w:tcW w:w="2217" w:type="dxa"/>
          </w:tcPr>
          <w:p w:rsidR="00BE6CD7" w:rsidRDefault="00BE6CD7" w:rsidP="00BE6CD7">
            <w:pPr>
              <w:pStyle w:val="Tablewriting"/>
              <w:jc w:val="center"/>
            </w:pPr>
            <w:r>
              <w:t xml:space="preserve">0.81 </w:t>
            </w:r>
          </w:p>
          <w:p w:rsidR="00BE6CD7" w:rsidRDefault="00BE6CD7" w:rsidP="00BE6CD7">
            <w:pPr>
              <w:pStyle w:val="Tablewriting"/>
              <w:jc w:val="center"/>
            </w:pPr>
            <w:r>
              <w:t>(0.59 to 1.11)</w:t>
            </w:r>
          </w:p>
        </w:tc>
      </w:tr>
      <w:tr w:rsidR="003A0B83" w:rsidTr="00B1096E">
        <w:tc>
          <w:tcPr>
            <w:tcW w:w="9016" w:type="dxa"/>
            <w:gridSpan w:val="5"/>
            <w:shd w:val="clear" w:color="auto" w:fill="auto"/>
          </w:tcPr>
          <w:p w:rsidR="003A0B83" w:rsidRPr="00B1096E" w:rsidRDefault="003A0B83" w:rsidP="00BE6CD7">
            <w:pPr>
              <w:pStyle w:val="Tablewriting"/>
              <w:rPr>
                <w:b/>
              </w:rPr>
            </w:pPr>
            <w:r w:rsidRPr="00B1096E">
              <w:rPr>
                <w:b/>
              </w:rPr>
              <w:t>Neonatal intensive care unit admissions</w:t>
            </w:r>
          </w:p>
        </w:tc>
      </w:tr>
      <w:tr w:rsidR="00BE6CD7" w:rsidTr="00BE6CD7">
        <w:tc>
          <w:tcPr>
            <w:tcW w:w="1129" w:type="dxa"/>
          </w:tcPr>
          <w:p w:rsidR="00BE6CD7" w:rsidRDefault="00BE6CD7" w:rsidP="00BE6CD7">
            <w:pPr>
              <w:pStyle w:val="Tablewriting"/>
            </w:pPr>
            <w:r>
              <w:t xml:space="preserve">Claire </w:t>
            </w:r>
          </w:p>
          <w:p w:rsidR="00BE6CD7" w:rsidRDefault="00BE6CD7" w:rsidP="00BE6CD7">
            <w:pPr>
              <w:pStyle w:val="Tablewriting"/>
            </w:pPr>
            <w:r>
              <w:t>(2020)</w:t>
            </w:r>
          </w:p>
        </w:tc>
        <w:tc>
          <w:tcPr>
            <w:tcW w:w="1701" w:type="dxa"/>
          </w:tcPr>
          <w:p w:rsidR="00BE6CD7" w:rsidRDefault="00BE6CD7" w:rsidP="00BE6CD7">
            <w:pPr>
              <w:pStyle w:val="Tablewriting"/>
              <w:jc w:val="center"/>
            </w:pPr>
            <w:r>
              <w:t>Cochrane Review (4 RCTs)</w:t>
            </w:r>
          </w:p>
        </w:tc>
        <w:tc>
          <w:tcPr>
            <w:tcW w:w="1985" w:type="dxa"/>
          </w:tcPr>
          <w:p w:rsidR="00BE6CD7" w:rsidRDefault="00BE6CD7" w:rsidP="00BE6CD7">
            <w:pPr>
              <w:pStyle w:val="Tablewriting"/>
              <w:jc w:val="center"/>
            </w:pPr>
            <w:r>
              <w:t>63/908</w:t>
            </w:r>
          </w:p>
          <w:p w:rsidR="00C96D69" w:rsidRDefault="00C96D69" w:rsidP="00BE6CD7">
            <w:pPr>
              <w:pStyle w:val="Tablewriting"/>
              <w:jc w:val="center"/>
            </w:pPr>
            <w:r>
              <w:t>(</w:t>
            </w:r>
            <w:r w:rsidR="008203CD">
              <w:t>6.9</w:t>
            </w:r>
            <w:r>
              <w:t>%)</w:t>
            </w:r>
          </w:p>
        </w:tc>
        <w:tc>
          <w:tcPr>
            <w:tcW w:w="1984" w:type="dxa"/>
          </w:tcPr>
          <w:p w:rsidR="00BE6CD7" w:rsidRDefault="00BE6CD7" w:rsidP="00BE6CD7">
            <w:pPr>
              <w:pStyle w:val="Tablewriting"/>
              <w:jc w:val="center"/>
            </w:pPr>
            <w:r>
              <w:t>63/848</w:t>
            </w:r>
          </w:p>
          <w:p w:rsidR="00C96D69" w:rsidRDefault="00C96D69" w:rsidP="00BE6CD7">
            <w:pPr>
              <w:pStyle w:val="Tablewriting"/>
              <w:jc w:val="center"/>
            </w:pPr>
            <w:r>
              <w:t>(</w:t>
            </w:r>
            <w:r w:rsidR="008203CD">
              <w:t>7.4</w:t>
            </w:r>
            <w:r>
              <w:t>%)</w:t>
            </w:r>
          </w:p>
        </w:tc>
        <w:tc>
          <w:tcPr>
            <w:tcW w:w="2217" w:type="dxa"/>
          </w:tcPr>
          <w:p w:rsidR="00BE6CD7" w:rsidRDefault="00BE6CD7" w:rsidP="00BE6CD7">
            <w:pPr>
              <w:pStyle w:val="Tablewriting"/>
              <w:jc w:val="center"/>
            </w:pPr>
            <w:r>
              <w:t xml:space="preserve">0.90 </w:t>
            </w:r>
          </w:p>
          <w:p w:rsidR="00BE6CD7" w:rsidRDefault="00BE6CD7" w:rsidP="00BE6CD7">
            <w:pPr>
              <w:pStyle w:val="Tablewriting"/>
              <w:jc w:val="center"/>
            </w:pPr>
            <w:r>
              <w:t>(0.63 to 1.27)</w:t>
            </w:r>
          </w:p>
        </w:tc>
      </w:tr>
      <w:tr w:rsidR="003A0B83" w:rsidTr="00B1096E">
        <w:tc>
          <w:tcPr>
            <w:tcW w:w="9016" w:type="dxa"/>
            <w:gridSpan w:val="5"/>
            <w:shd w:val="clear" w:color="auto" w:fill="auto"/>
          </w:tcPr>
          <w:p w:rsidR="003A0B83" w:rsidRPr="00B1096E" w:rsidRDefault="003A0B83" w:rsidP="00BE6CD7">
            <w:pPr>
              <w:pStyle w:val="Tablewriting"/>
              <w:rPr>
                <w:b/>
              </w:rPr>
            </w:pPr>
            <w:r w:rsidRPr="00B1096E">
              <w:rPr>
                <w:b/>
              </w:rPr>
              <w:t>Neonatal deaths</w:t>
            </w:r>
          </w:p>
        </w:tc>
      </w:tr>
      <w:tr w:rsidR="00BE6CD7" w:rsidTr="00BE6CD7">
        <w:tc>
          <w:tcPr>
            <w:tcW w:w="1129" w:type="dxa"/>
          </w:tcPr>
          <w:p w:rsidR="00BE6CD7" w:rsidRDefault="00BE6CD7" w:rsidP="00BE6CD7">
            <w:pPr>
              <w:pStyle w:val="Tablewriting"/>
            </w:pPr>
            <w:r>
              <w:t xml:space="preserve">Claire </w:t>
            </w:r>
          </w:p>
          <w:p w:rsidR="00BE6CD7" w:rsidRDefault="00BE6CD7" w:rsidP="00BE6CD7">
            <w:pPr>
              <w:pStyle w:val="Tablewriting"/>
            </w:pPr>
            <w:r>
              <w:t>(2020)</w:t>
            </w:r>
          </w:p>
        </w:tc>
        <w:tc>
          <w:tcPr>
            <w:tcW w:w="1701" w:type="dxa"/>
          </w:tcPr>
          <w:p w:rsidR="00BE6CD7" w:rsidRDefault="00BE6CD7" w:rsidP="00BE6CD7">
            <w:pPr>
              <w:pStyle w:val="Tablewriting"/>
              <w:jc w:val="center"/>
            </w:pPr>
            <w:r>
              <w:t>Cochrane Review (4 RCTs)</w:t>
            </w:r>
          </w:p>
        </w:tc>
        <w:tc>
          <w:tcPr>
            <w:tcW w:w="1985" w:type="dxa"/>
          </w:tcPr>
          <w:p w:rsidR="00BE6CD7" w:rsidRDefault="00BE6CD7" w:rsidP="00BE6CD7">
            <w:pPr>
              <w:pStyle w:val="Tablewriting"/>
              <w:jc w:val="center"/>
            </w:pPr>
            <w:r>
              <w:t>4/898</w:t>
            </w:r>
          </w:p>
          <w:p w:rsidR="00C96D69" w:rsidRDefault="00C96D69" w:rsidP="00BE6CD7">
            <w:pPr>
              <w:pStyle w:val="Tablewriting"/>
              <w:jc w:val="center"/>
            </w:pPr>
            <w:r>
              <w:t>(</w:t>
            </w:r>
            <w:r w:rsidR="008203CD">
              <w:t>0.4</w:t>
            </w:r>
            <w:r>
              <w:t>%)</w:t>
            </w:r>
          </w:p>
        </w:tc>
        <w:tc>
          <w:tcPr>
            <w:tcW w:w="1984" w:type="dxa"/>
          </w:tcPr>
          <w:p w:rsidR="00BE6CD7" w:rsidRDefault="00BE6CD7" w:rsidP="00BE6CD7">
            <w:pPr>
              <w:pStyle w:val="Tablewriting"/>
              <w:jc w:val="center"/>
            </w:pPr>
            <w:r>
              <w:t>5/848</w:t>
            </w:r>
          </w:p>
          <w:p w:rsidR="00C96D69" w:rsidRDefault="00C96D69" w:rsidP="00BE6CD7">
            <w:pPr>
              <w:pStyle w:val="Tablewriting"/>
              <w:jc w:val="center"/>
            </w:pPr>
            <w:r>
              <w:t>(</w:t>
            </w:r>
            <w:r w:rsidR="008203CD">
              <w:t>0.6</w:t>
            </w:r>
            <w:r>
              <w:t>%)</w:t>
            </w:r>
          </w:p>
        </w:tc>
        <w:tc>
          <w:tcPr>
            <w:tcW w:w="2217" w:type="dxa"/>
          </w:tcPr>
          <w:p w:rsidR="00BE6CD7" w:rsidRDefault="00BE6CD7" w:rsidP="00BE6CD7">
            <w:pPr>
              <w:pStyle w:val="Tablewriting"/>
              <w:jc w:val="center"/>
            </w:pPr>
            <w:r>
              <w:t xml:space="preserve">0.66 </w:t>
            </w:r>
          </w:p>
          <w:p w:rsidR="00BE6CD7" w:rsidRDefault="00BE6CD7" w:rsidP="00BE6CD7">
            <w:pPr>
              <w:pStyle w:val="Tablewriting"/>
              <w:jc w:val="center"/>
            </w:pPr>
            <w:r>
              <w:t>(0.17 to 2.62)</w:t>
            </w:r>
          </w:p>
        </w:tc>
      </w:tr>
      <w:tr w:rsidR="003A0B83" w:rsidTr="00B1096E">
        <w:tc>
          <w:tcPr>
            <w:tcW w:w="9016" w:type="dxa"/>
            <w:gridSpan w:val="5"/>
            <w:shd w:val="clear" w:color="auto" w:fill="auto"/>
          </w:tcPr>
          <w:p w:rsidR="003A0B83" w:rsidRPr="00B1096E" w:rsidRDefault="003A0B83" w:rsidP="00BE6CD7">
            <w:pPr>
              <w:pStyle w:val="Tablewriting"/>
              <w:rPr>
                <w:b/>
              </w:rPr>
            </w:pPr>
            <w:r w:rsidRPr="00B1096E">
              <w:rPr>
                <w:b/>
              </w:rPr>
              <w:lastRenderedPageBreak/>
              <w:t>Congenital a</w:t>
            </w:r>
            <w:r w:rsidR="00821BAA" w:rsidRPr="00B1096E">
              <w:rPr>
                <w:b/>
              </w:rPr>
              <w:t>bnormalities</w:t>
            </w:r>
          </w:p>
        </w:tc>
      </w:tr>
      <w:tr w:rsidR="00BE6CD7" w:rsidTr="00BE6CD7">
        <w:tc>
          <w:tcPr>
            <w:tcW w:w="1129" w:type="dxa"/>
          </w:tcPr>
          <w:p w:rsidR="00BE6CD7" w:rsidRDefault="00BE6CD7" w:rsidP="00BE6CD7">
            <w:pPr>
              <w:pStyle w:val="Tablewriting"/>
            </w:pPr>
            <w:r>
              <w:t xml:space="preserve">Claire </w:t>
            </w:r>
          </w:p>
          <w:p w:rsidR="00BE6CD7" w:rsidRDefault="00BE6CD7" w:rsidP="00BE6CD7">
            <w:pPr>
              <w:pStyle w:val="Tablewriting"/>
            </w:pPr>
            <w:r>
              <w:t>(2020)</w:t>
            </w:r>
          </w:p>
        </w:tc>
        <w:tc>
          <w:tcPr>
            <w:tcW w:w="1701" w:type="dxa"/>
          </w:tcPr>
          <w:p w:rsidR="00BE6CD7" w:rsidRDefault="00BE6CD7" w:rsidP="00BE6CD7">
            <w:pPr>
              <w:pStyle w:val="Tablewriting"/>
              <w:jc w:val="center"/>
            </w:pPr>
            <w:r>
              <w:t>Cochrane Review (2 RCTs)</w:t>
            </w:r>
          </w:p>
        </w:tc>
        <w:tc>
          <w:tcPr>
            <w:tcW w:w="1985" w:type="dxa"/>
          </w:tcPr>
          <w:p w:rsidR="00BE6CD7" w:rsidRDefault="00BE6CD7" w:rsidP="00BE6CD7">
            <w:pPr>
              <w:pStyle w:val="Tablewriting"/>
              <w:jc w:val="center"/>
            </w:pPr>
            <w:r>
              <w:t>13/696</w:t>
            </w:r>
          </w:p>
          <w:p w:rsidR="00C96D69" w:rsidRDefault="00C96D69" w:rsidP="00BE6CD7">
            <w:pPr>
              <w:pStyle w:val="Tablewriting"/>
              <w:jc w:val="center"/>
            </w:pPr>
            <w:r>
              <w:t>(</w:t>
            </w:r>
            <w:r w:rsidR="008203CD">
              <w:t>1.9</w:t>
            </w:r>
            <w:r>
              <w:t>%)</w:t>
            </w:r>
          </w:p>
        </w:tc>
        <w:tc>
          <w:tcPr>
            <w:tcW w:w="1984" w:type="dxa"/>
          </w:tcPr>
          <w:p w:rsidR="00BE6CD7" w:rsidRDefault="00BE6CD7" w:rsidP="00BE6CD7">
            <w:pPr>
              <w:pStyle w:val="Tablewriting"/>
              <w:jc w:val="center"/>
            </w:pPr>
            <w:r>
              <w:t>18/705</w:t>
            </w:r>
          </w:p>
          <w:p w:rsidR="00C96D69" w:rsidRDefault="00C96D69" w:rsidP="00BE6CD7">
            <w:pPr>
              <w:pStyle w:val="Tablewriting"/>
              <w:jc w:val="center"/>
            </w:pPr>
            <w:r>
              <w:t>(</w:t>
            </w:r>
            <w:r w:rsidR="008203CD">
              <w:t>2.6</w:t>
            </w:r>
            <w:r>
              <w:t>%)</w:t>
            </w:r>
          </w:p>
        </w:tc>
        <w:tc>
          <w:tcPr>
            <w:tcW w:w="2217" w:type="dxa"/>
          </w:tcPr>
          <w:p w:rsidR="00BE6CD7" w:rsidRDefault="00BE6CD7" w:rsidP="00BE6CD7">
            <w:pPr>
              <w:pStyle w:val="Tablewriting"/>
              <w:jc w:val="center"/>
            </w:pPr>
            <w:r>
              <w:t xml:space="preserve">0.73 </w:t>
            </w:r>
          </w:p>
          <w:p w:rsidR="00BE6CD7" w:rsidRDefault="00BE6CD7" w:rsidP="00BE6CD7">
            <w:pPr>
              <w:pStyle w:val="Tablewriting"/>
              <w:jc w:val="center"/>
            </w:pPr>
            <w:r>
              <w:t>(0.36 to 1.48)</w:t>
            </w:r>
          </w:p>
        </w:tc>
      </w:tr>
      <w:tr w:rsidR="00BE6CD7" w:rsidTr="00B1096E">
        <w:tc>
          <w:tcPr>
            <w:tcW w:w="9016" w:type="dxa"/>
            <w:gridSpan w:val="5"/>
            <w:shd w:val="clear" w:color="auto" w:fill="auto"/>
          </w:tcPr>
          <w:p w:rsidR="00BE6CD7" w:rsidRPr="00B1096E" w:rsidRDefault="00BE6CD7" w:rsidP="00BE6CD7">
            <w:pPr>
              <w:pStyle w:val="Tablewriting"/>
              <w:rPr>
                <w:b/>
              </w:rPr>
            </w:pPr>
            <w:r w:rsidRPr="00B1096E">
              <w:rPr>
                <w:b/>
              </w:rPr>
              <w:t>Caesarean birth</w:t>
            </w:r>
          </w:p>
        </w:tc>
      </w:tr>
      <w:tr w:rsidR="00BE6CD7" w:rsidTr="00BE6CD7">
        <w:tc>
          <w:tcPr>
            <w:tcW w:w="1129" w:type="dxa"/>
          </w:tcPr>
          <w:p w:rsidR="00BE6CD7" w:rsidRDefault="00BE6CD7" w:rsidP="00BE6CD7">
            <w:pPr>
              <w:pStyle w:val="Tablewriting"/>
            </w:pPr>
            <w:r>
              <w:t xml:space="preserve">Claire </w:t>
            </w:r>
          </w:p>
          <w:p w:rsidR="00BE6CD7" w:rsidRDefault="00BE6CD7" w:rsidP="00BE6CD7">
            <w:pPr>
              <w:pStyle w:val="Tablewriting"/>
            </w:pPr>
            <w:r>
              <w:t>(2020)</w:t>
            </w:r>
          </w:p>
        </w:tc>
        <w:tc>
          <w:tcPr>
            <w:tcW w:w="1701" w:type="dxa"/>
          </w:tcPr>
          <w:p w:rsidR="00BE6CD7" w:rsidRDefault="00BE6CD7" w:rsidP="00BE6CD7">
            <w:pPr>
              <w:pStyle w:val="Tablewriting"/>
              <w:jc w:val="center"/>
            </w:pPr>
            <w:r>
              <w:t>Cochrane Review (2 RCTs)</w:t>
            </w:r>
          </w:p>
        </w:tc>
        <w:tc>
          <w:tcPr>
            <w:tcW w:w="1985" w:type="dxa"/>
          </w:tcPr>
          <w:p w:rsidR="00BE6CD7" w:rsidRDefault="00BE6CD7" w:rsidP="00BE6CD7">
            <w:pPr>
              <w:pStyle w:val="Tablewriting"/>
              <w:jc w:val="center"/>
            </w:pPr>
            <w:r>
              <w:t>133/696</w:t>
            </w:r>
          </w:p>
          <w:p w:rsidR="00C96D69" w:rsidRDefault="00C96D69" w:rsidP="00BE6CD7">
            <w:pPr>
              <w:pStyle w:val="Tablewriting"/>
              <w:jc w:val="center"/>
            </w:pPr>
            <w:r>
              <w:t>(</w:t>
            </w:r>
            <w:r w:rsidR="008203CD">
              <w:t>19.1</w:t>
            </w:r>
            <w:r>
              <w:t>%)</w:t>
            </w:r>
          </w:p>
        </w:tc>
        <w:tc>
          <w:tcPr>
            <w:tcW w:w="1984" w:type="dxa"/>
          </w:tcPr>
          <w:p w:rsidR="00BE6CD7" w:rsidRDefault="00BE6CD7" w:rsidP="00BE6CD7">
            <w:pPr>
              <w:pStyle w:val="Tablewriting"/>
              <w:jc w:val="center"/>
            </w:pPr>
            <w:r>
              <w:t>109/705</w:t>
            </w:r>
          </w:p>
          <w:p w:rsidR="00C96D69" w:rsidRDefault="00C96D69" w:rsidP="00BE6CD7">
            <w:pPr>
              <w:pStyle w:val="Tablewriting"/>
              <w:jc w:val="center"/>
            </w:pPr>
            <w:r>
              <w:t>(</w:t>
            </w:r>
            <w:r w:rsidR="008203CD">
              <w:t>15.5</w:t>
            </w:r>
            <w:r>
              <w:t>%)</w:t>
            </w:r>
          </w:p>
        </w:tc>
        <w:tc>
          <w:tcPr>
            <w:tcW w:w="2217" w:type="dxa"/>
          </w:tcPr>
          <w:p w:rsidR="00BE6CD7" w:rsidRDefault="00BE6CD7" w:rsidP="00BE6CD7">
            <w:pPr>
              <w:pStyle w:val="Tablewriting"/>
              <w:jc w:val="center"/>
            </w:pPr>
            <w:r>
              <w:t xml:space="preserve">1.18 </w:t>
            </w:r>
          </w:p>
          <w:p w:rsidR="00BE6CD7" w:rsidRDefault="00BE6CD7" w:rsidP="00BE6CD7">
            <w:pPr>
              <w:pStyle w:val="Tablewriting"/>
              <w:jc w:val="center"/>
            </w:pPr>
            <w:r>
              <w:t>(0.83 to 1.69)</w:t>
            </w:r>
          </w:p>
        </w:tc>
      </w:tr>
    </w:tbl>
    <w:p w:rsidR="00EE3496" w:rsidRDefault="00EE3496" w:rsidP="00EE3496">
      <w:pPr>
        <w:pStyle w:val="TableFooter"/>
        <w:keepNext/>
      </w:pPr>
      <w:r>
        <w:t>Source: Claire et al. (2020)</w:t>
      </w:r>
    </w:p>
    <w:p w:rsidR="00EE3496" w:rsidRDefault="00EE3496" w:rsidP="00EE3496">
      <w:pPr>
        <w:pStyle w:val="TableFooter"/>
        <w:keepNext/>
      </w:pPr>
      <w:r>
        <w:t>Abbreviations: CI = confidence interval; RCT = randomised controlled trial; RR = risk ratio</w:t>
      </w:r>
    </w:p>
    <w:p w:rsidR="00EE3496" w:rsidRDefault="00EE3496" w:rsidP="00EE3496">
      <w:pPr>
        <w:pStyle w:val="TableFooter"/>
        <w:keepNext/>
      </w:pPr>
      <w:r w:rsidRPr="00FD4061">
        <w:t>Note</w:t>
      </w:r>
      <w:r>
        <w:t>s</w:t>
      </w:r>
      <w:r w:rsidRPr="00FD4061">
        <w:t>: Bold indicates statistically significant difference.</w:t>
      </w:r>
      <w:r>
        <w:t xml:space="preserve"> See </w:t>
      </w:r>
      <w:r w:rsidRPr="00B25100">
        <w:t>Appendix</w:t>
      </w:r>
      <w:r>
        <w:t xml:space="preserve"> </w:t>
      </w:r>
      <w:r w:rsidR="003C4A1C">
        <w:t xml:space="preserve">Figure </w:t>
      </w:r>
      <w:r w:rsidR="003C4A1C">
        <w:rPr>
          <w:noProof/>
        </w:rPr>
        <w:t>115</w:t>
      </w:r>
      <w:r w:rsidR="00576A9E" w:rsidRPr="00B25100">
        <w:t xml:space="preserve"> to </w:t>
      </w:r>
      <w:r w:rsidR="003C4A1C">
        <w:t xml:space="preserve">Figure </w:t>
      </w:r>
      <w:r w:rsidR="003C4A1C">
        <w:rPr>
          <w:noProof/>
        </w:rPr>
        <w:t>119</w:t>
      </w:r>
      <w:r>
        <w:t xml:space="preserve"> for forest plots of the respective outcomes which included the results of individual studies.</w:t>
      </w:r>
    </w:p>
    <w:p w:rsidR="00EE3496" w:rsidRDefault="00EE3496" w:rsidP="00EE3496">
      <w:pPr>
        <w:pStyle w:val="TableFooter"/>
        <w:keepNext/>
      </w:pPr>
      <w:r>
        <w:t xml:space="preserve">1 </w:t>
      </w:r>
      <w:r w:rsidRPr="00B25100">
        <w:t>Calculated by Cochrane Review authors using a random-effect model</w:t>
      </w:r>
      <w:r w:rsidR="005A689C">
        <w:t>.</w:t>
      </w:r>
    </w:p>
    <w:p w:rsidR="000B61FD" w:rsidRDefault="000B61FD" w:rsidP="000B61FD">
      <w:r>
        <w:t>Claire et al. (2020) provided a narrative synthesis of non-serious adverse effects reported from 6 RCTs. Only one study (Oncken et al. 2019) reported a significantly higher number of non-serious adverse events (i.e. throat irritation, cough, nausea) in women using NRT inhaler (11%) than placebo inhaler (0%), and two women in this study discontinuing treatment due to persistently elevated cotinine concentrations.</w:t>
      </w:r>
    </w:p>
    <w:p w:rsidR="002612A0" w:rsidRDefault="002612A0" w:rsidP="004935B2">
      <w:pPr>
        <w:rPr>
          <w:b/>
          <w:bCs/>
        </w:rPr>
      </w:pPr>
      <w:r w:rsidRPr="000B61FD">
        <w:rPr>
          <w:b/>
          <w:bCs/>
        </w:rPr>
        <w:t>Bupropion</w:t>
      </w:r>
    </w:p>
    <w:p w:rsidR="000B61FD" w:rsidRPr="000B61FD" w:rsidRDefault="000B61FD" w:rsidP="004935B2">
      <w:pPr>
        <w:rPr>
          <w:u w:val="single"/>
        </w:rPr>
      </w:pPr>
      <w:r>
        <w:rPr>
          <w:u w:val="single"/>
        </w:rPr>
        <w:t xml:space="preserve">Efficacy </w:t>
      </w:r>
    </w:p>
    <w:p w:rsidR="009F7BDF" w:rsidRDefault="004A57A6" w:rsidP="00C73CD3">
      <w:r w:rsidRPr="004A57A6">
        <w:t xml:space="preserve">A summary of the smoking cessation rates at the longest follow-up comparing </w:t>
      </w:r>
      <w:r w:rsidR="00C73CD3">
        <w:t>bupropion</w:t>
      </w:r>
      <w:r w:rsidRPr="004A57A6">
        <w:t xml:space="preserve"> with </w:t>
      </w:r>
      <w:r w:rsidR="00C73CD3">
        <w:t>placebo</w:t>
      </w:r>
      <w:r w:rsidRPr="004A57A6">
        <w:t xml:space="preserve"> is presented in </w:t>
      </w:r>
      <w:r w:rsidR="003C4A1C">
        <w:t xml:space="preserve">Table </w:t>
      </w:r>
      <w:r w:rsidR="003C4A1C">
        <w:rPr>
          <w:noProof/>
        </w:rPr>
        <w:t>129</w:t>
      </w:r>
      <w:r w:rsidRPr="004A57A6">
        <w:t xml:space="preserve">. The results of the meta-analysis comprising </w:t>
      </w:r>
      <w:r w:rsidR="00C73CD3">
        <w:t>two</w:t>
      </w:r>
      <w:r w:rsidRPr="004A57A6">
        <w:t xml:space="preserve"> RCTs by Claire et al. (2020) demonstrated </w:t>
      </w:r>
      <w:r w:rsidR="00C73CD3">
        <w:t>no statistically significant difference in smoking cessation rates between the two treatment arms, noting the relatively small sample size</w:t>
      </w:r>
      <w:r w:rsidRPr="004A57A6">
        <w:t xml:space="preserve">. </w:t>
      </w:r>
    </w:p>
    <w:p w:rsidR="004A57A6" w:rsidRDefault="004A57A6" w:rsidP="004A57A6">
      <w:pPr>
        <w:pStyle w:val="Caption"/>
        <w:keepNext/>
      </w:pPr>
      <w:bookmarkStart w:id="254" w:name="_Ref61874659"/>
      <w:r>
        <w:t xml:space="preserve">Table </w:t>
      </w:r>
      <w:r w:rsidR="003C4A1C">
        <w:rPr>
          <w:noProof/>
        </w:rPr>
        <w:t>129</w:t>
      </w:r>
      <w:bookmarkEnd w:id="254"/>
      <w:r>
        <w:t xml:space="preserve">: </w:t>
      </w:r>
      <w:r w:rsidRPr="00EC2D54">
        <w:t xml:space="preserve">Results of smoking cessation in later pregnancy in Claire et al. (2020), </w:t>
      </w:r>
      <w:r>
        <w:t>bupropion</w:t>
      </w:r>
      <w:r w:rsidRPr="00EC2D54">
        <w:t xml:space="preserve"> versus </w:t>
      </w:r>
      <w:r>
        <w:t>placebo</w:t>
      </w:r>
    </w:p>
    <w:tbl>
      <w:tblPr>
        <w:tblStyle w:val="TableGrid"/>
        <w:tblW w:w="5000" w:type="pct"/>
        <w:tblLook w:val="04A0" w:firstRow="1" w:lastRow="0" w:firstColumn="1" w:lastColumn="0" w:noHBand="0" w:noVBand="1"/>
      </w:tblPr>
      <w:tblGrid>
        <w:gridCol w:w="1128"/>
        <w:gridCol w:w="1985"/>
        <w:gridCol w:w="1984"/>
        <w:gridCol w:w="2121"/>
        <w:gridCol w:w="1798"/>
      </w:tblGrid>
      <w:tr w:rsidR="00261EB1" w:rsidRPr="007D5EC7" w:rsidTr="00261EB1">
        <w:tc>
          <w:tcPr>
            <w:tcW w:w="626" w:type="pct"/>
            <w:shd w:val="clear" w:color="auto" w:fill="BFBFBF" w:themeFill="background1" w:themeFillShade="BF"/>
          </w:tcPr>
          <w:p w:rsidR="00261EB1" w:rsidRPr="00261EB1" w:rsidRDefault="00261EB1" w:rsidP="00261EB1">
            <w:pPr>
              <w:pStyle w:val="Tablewriting"/>
              <w:rPr>
                <w:b/>
                <w:bCs/>
              </w:rPr>
            </w:pPr>
            <w:r w:rsidRPr="00261EB1">
              <w:rPr>
                <w:b/>
                <w:bCs/>
              </w:rPr>
              <w:t>Study</w:t>
            </w:r>
          </w:p>
        </w:tc>
        <w:tc>
          <w:tcPr>
            <w:tcW w:w="1101" w:type="pct"/>
            <w:shd w:val="clear" w:color="auto" w:fill="BFBFBF" w:themeFill="background1" w:themeFillShade="BF"/>
          </w:tcPr>
          <w:p w:rsidR="00261EB1" w:rsidRPr="00261EB1" w:rsidRDefault="00261EB1" w:rsidP="00261EB1">
            <w:pPr>
              <w:pStyle w:val="Tablewriting"/>
              <w:jc w:val="center"/>
              <w:rPr>
                <w:b/>
                <w:bCs/>
              </w:rPr>
            </w:pPr>
            <w:r w:rsidRPr="00261EB1">
              <w:rPr>
                <w:b/>
                <w:bCs/>
              </w:rPr>
              <w:t>Study Type</w:t>
            </w:r>
          </w:p>
        </w:tc>
        <w:tc>
          <w:tcPr>
            <w:tcW w:w="1100" w:type="pct"/>
            <w:shd w:val="clear" w:color="auto" w:fill="BFBFBF" w:themeFill="background1" w:themeFillShade="BF"/>
          </w:tcPr>
          <w:p w:rsidR="00261EB1" w:rsidRPr="00261EB1" w:rsidRDefault="00261EB1" w:rsidP="00261EB1">
            <w:pPr>
              <w:pStyle w:val="Tablewriting"/>
              <w:jc w:val="center"/>
              <w:rPr>
                <w:b/>
                <w:bCs/>
              </w:rPr>
            </w:pPr>
            <w:r w:rsidRPr="00261EB1">
              <w:rPr>
                <w:b/>
                <w:bCs/>
              </w:rPr>
              <w:t>Bupropion</w:t>
            </w:r>
          </w:p>
        </w:tc>
        <w:tc>
          <w:tcPr>
            <w:tcW w:w="1176" w:type="pct"/>
            <w:shd w:val="clear" w:color="auto" w:fill="BFBFBF" w:themeFill="background1" w:themeFillShade="BF"/>
          </w:tcPr>
          <w:p w:rsidR="00261EB1" w:rsidRPr="00261EB1" w:rsidRDefault="00261EB1" w:rsidP="00261EB1">
            <w:pPr>
              <w:pStyle w:val="Tablewriting"/>
              <w:jc w:val="center"/>
              <w:rPr>
                <w:b/>
                <w:bCs/>
              </w:rPr>
            </w:pPr>
            <w:r w:rsidRPr="00261EB1">
              <w:rPr>
                <w:b/>
                <w:bCs/>
              </w:rPr>
              <w:t>Placebo</w:t>
            </w:r>
          </w:p>
        </w:tc>
        <w:tc>
          <w:tcPr>
            <w:tcW w:w="997" w:type="pct"/>
            <w:shd w:val="clear" w:color="auto" w:fill="BFBFBF" w:themeFill="background1" w:themeFillShade="BF"/>
          </w:tcPr>
          <w:p w:rsidR="00261EB1" w:rsidRPr="004A57A6" w:rsidRDefault="00261EB1" w:rsidP="00261EB1">
            <w:pPr>
              <w:pStyle w:val="Tablewriting"/>
              <w:jc w:val="center"/>
              <w:rPr>
                <w:b/>
                <w:bCs/>
                <w:vertAlign w:val="superscript"/>
              </w:rPr>
            </w:pPr>
            <w:r w:rsidRPr="00261EB1">
              <w:rPr>
                <w:b/>
                <w:bCs/>
              </w:rPr>
              <w:t>RR (95%CI)</w:t>
            </w:r>
            <w:r w:rsidR="004A57A6">
              <w:rPr>
                <w:b/>
                <w:bCs/>
                <w:vertAlign w:val="superscript"/>
              </w:rPr>
              <w:t>1</w:t>
            </w:r>
          </w:p>
        </w:tc>
      </w:tr>
      <w:tr w:rsidR="00261EB1" w:rsidTr="00261EB1">
        <w:tc>
          <w:tcPr>
            <w:tcW w:w="626" w:type="pct"/>
          </w:tcPr>
          <w:p w:rsidR="00261EB1" w:rsidRDefault="00261EB1" w:rsidP="00261EB1">
            <w:pPr>
              <w:pStyle w:val="Tablewriting"/>
            </w:pPr>
            <w:r>
              <w:t xml:space="preserve">Claire </w:t>
            </w:r>
          </w:p>
          <w:p w:rsidR="00261EB1" w:rsidRDefault="00261EB1" w:rsidP="00261EB1">
            <w:pPr>
              <w:pStyle w:val="Tablewriting"/>
            </w:pPr>
            <w:r>
              <w:t>(2020)</w:t>
            </w:r>
          </w:p>
        </w:tc>
        <w:tc>
          <w:tcPr>
            <w:tcW w:w="1101" w:type="pct"/>
          </w:tcPr>
          <w:p w:rsidR="00261EB1" w:rsidRDefault="00261EB1" w:rsidP="00261EB1">
            <w:pPr>
              <w:pStyle w:val="Tablewriting"/>
              <w:jc w:val="center"/>
            </w:pPr>
            <w:r>
              <w:t xml:space="preserve">Cochrane Review </w:t>
            </w:r>
          </w:p>
          <w:p w:rsidR="00261EB1" w:rsidRDefault="00261EB1" w:rsidP="00261EB1">
            <w:pPr>
              <w:pStyle w:val="Tablewriting"/>
              <w:jc w:val="center"/>
            </w:pPr>
            <w:r>
              <w:t>(2 RCTs)</w:t>
            </w:r>
          </w:p>
        </w:tc>
        <w:tc>
          <w:tcPr>
            <w:tcW w:w="1100" w:type="pct"/>
          </w:tcPr>
          <w:p w:rsidR="00261EB1" w:rsidRDefault="00261EB1" w:rsidP="00261EB1">
            <w:pPr>
              <w:pStyle w:val="Tablewriting"/>
              <w:jc w:val="center"/>
            </w:pPr>
            <w:r>
              <w:t>3/35</w:t>
            </w:r>
          </w:p>
          <w:p w:rsidR="004A57A6" w:rsidRDefault="004A57A6" w:rsidP="00261EB1">
            <w:pPr>
              <w:pStyle w:val="Tablewriting"/>
              <w:jc w:val="center"/>
            </w:pPr>
            <w:r>
              <w:t>(8.6%)</w:t>
            </w:r>
          </w:p>
        </w:tc>
        <w:tc>
          <w:tcPr>
            <w:tcW w:w="1176" w:type="pct"/>
          </w:tcPr>
          <w:p w:rsidR="00261EB1" w:rsidRDefault="00261EB1" w:rsidP="00261EB1">
            <w:pPr>
              <w:pStyle w:val="Tablewriting"/>
              <w:jc w:val="center"/>
            </w:pPr>
            <w:r>
              <w:t>5/41</w:t>
            </w:r>
          </w:p>
          <w:p w:rsidR="004A57A6" w:rsidRDefault="004A57A6" w:rsidP="00261EB1">
            <w:pPr>
              <w:pStyle w:val="Tablewriting"/>
              <w:jc w:val="center"/>
            </w:pPr>
            <w:r>
              <w:t>(12.2%)</w:t>
            </w:r>
          </w:p>
        </w:tc>
        <w:tc>
          <w:tcPr>
            <w:tcW w:w="997" w:type="pct"/>
          </w:tcPr>
          <w:p w:rsidR="00261EB1" w:rsidRDefault="00261EB1" w:rsidP="00261EB1">
            <w:pPr>
              <w:pStyle w:val="Tablewriting"/>
              <w:jc w:val="center"/>
            </w:pPr>
            <w:r>
              <w:t xml:space="preserve">0.74 </w:t>
            </w:r>
          </w:p>
          <w:p w:rsidR="00261EB1" w:rsidRDefault="00261EB1" w:rsidP="00261EB1">
            <w:pPr>
              <w:pStyle w:val="Tablewriting"/>
              <w:jc w:val="center"/>
            </w:pPr>
            <w:r>
              <w:t>(0.21, 2.64)</w:t>
            </w:r>
          </w:p>
        </w:tc>
      </w:tr>
    </w:tbl>
    <w:p w:rsidR="004A57A6" w:rsidRDefault="004A57A6" w:rsidP="004A57A6">
      <w:pPr>
        <w:pStyle w:val="TableFooter"/>
      </w:pPr>
      <w:r>
        <w:t>Source: Claire et al. (2020)</w:t>
      </w:r>
    </w:p>
    <w:p w:rsidR="004A57A6" w:rsidRDefault="004A57A6" w:rsidP="004A57A6">
      <w:pPr>
        <w:pStyle w:val="TableFooter"/>
        <w:rPr>
          <w:i/>
        </w:rPr>
      </w:pPr>
      <w:r>
        <w:t>Abbreviations: CI = confidence interval; RCT = randomised controlled trial; RR = risk ratio</w:t>
      </w:r>
      <w:r w:rsidRPr="00061F78">
        <w:t xml:space="preserve"> </w:t>
      </w:r>
    </w:p>
    <w:p w:rsidR="004A57A6" w:rsidRDefault="004A57A6" w:rsidP="004A57A6">
      <w:pPr>
        <w:pStyle w:val="TableFooter"/>
      </w:pPr>
      <w:r w:rsidRPr="00D468CF">
        <w:t>Note</w:t>
      </w:r>
      <w:r>
        <w:t>s</w:t>
      </w:r>
      <w:r w:rsidRPr="00D468CF">
        <w:t>: Bold indicates statistically significant difference.</w:t>
      </w:r>
      <w:r w:rsidRPr="00962408">
        <w:t xml:space="preserve"> </w:t>
      </w:r>
      <w:r>
        <w:br/>
        <w:t>1 Calculated by Cochrane Review authors using a fixed-effect model</w:t>
      </w:r>
      <w:r w:rsidR="005A689C">
        <w:t>.</w:t>
      </w:r>
    </w:p>
    <w:p w:rsidR="009F7BDF" w:rsidRDefault="00C73CD3" w:rsidP="004935B2">
      <w:r w:rsidRPr="00C73CD3">
        <w:t>The results of the individual studies included in Claire et al. (2020) are presented using a forest plot in</w:t>
      </w:r>
      <w:r w:rsidR="00CE1466">
        <w:t xml:space="preserve"> </w:t>
      </w:r>
      <w:r w:rsidR="003C4A1C">
        <w:t xml:space="preserve">Figure </w:t>
      </w:r>
      <w:r w:rsidR="003C4A1C">
        <w:rPr>
          <w:noProof/>
        </w:rPr>
        <w:t>42</w:t>
      </w:r>
      <w:r w:rsidR="00CE1466">
        <w:t>.</w:t>
      </w:r>
      <w:r w:rsidR="00D4167A">
        <w:t xml:space="preserve"> It was observed that the results of the individual studies were not statistically significant.</w:t>
      </w:r>
    </w:p>
    <w:p w:rsidR="00CE1466" w:rsidRDefault="6B9A4B1E" w:rsidP="00594205">
      <w:r>
        <w:rPr>
          <w:noProof/>
        </w:rPr>
        <w:drawing>
          <wp:inline distT="0" distB="0" distL="0" distR="0" wp14:anchorId="0E58B56A" wp14:editId="6EC8CC3D">
            <wp:extent cx="5731510" cy="1591310"/>
            <wp:effectExtent l="0" t="0" r="254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pic:nvPicPr>
                  <pic:blipFill>
                    <a:blip r:embed="rId62">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rsidR="005C4E44" w:rsidRDefault="00CE1466" w:rsidP="00CE1466">
      <w:pPr>
        <w:pStyle w:val="Caption"/>
      </w:pPr>
      <w:bookmarkStart w:id="255" w:name="_Ref61874853"/>
      <w:r>
        <w:lastRenderedPageBreak/>
        <w:t xml:space="preserve">Figure </w:t>
      </w:r>
      <w:r w:rsidR="003C4A1C">
        <w:rPr>
          <w:noProof/>
        </w:rPr>
        <w:t>42</w:t>
      </w:r>
      <w:bookmarkEnd w:id="255"/>
      <w:r>
        <w:t xml:space="preserve">: </w:t>
      </w:r>
      <w:r w:rsidRPr="004746B4">
        <w:t xml:space="preserve">Results of smoking cessation in later pregnancy in Claire et al. (2020), </w:t>
      </w:r>
      <w:r>
        <w:t>bupropion</w:t>
      </w:r>
      <w:r w:rsidRPr="004746B4">
        <w:t xml:space="preserve"> versus </w:t>
      </w:r>
      <w:r>
        <w:t>placebo</w:t>
      </w:r>
    </w:p>
    <w:p w:rsidR="00CE1466" w:rsidRDefault="00CE1466" w:rsidP="00CE1466">
      <w:pPr>
        <w:pStyle w:val="FigureFooter"/>
      </w:pPr>
      <w:r>
        <w:t>Source: Claire et al. (2020)</w:t>
      </w:r>
    </w:p>
    <w:p w:rsidR="00CE1466" w:rsidRDefault="00CE1466" w:rsidP="00CE1466">
      <w:pPr>
        <w:pStyle w:val="FigureFooter"/>
      </w:pPr>
      <w:r>
        <w:t>Abbreviations: CI = confidence interval</w:t>
      </w:r>
    </w:p>
    <w:p w:rsidR="00F612E1" w:rsidRDefault="00F612E1" w:rsidP="004935B2">
      <w:pPr>
        <w:rPr>
          <w:u w:val="single"/>
        </w:rPr>
      </w:pPr>
      <w:r w:rsidRPr="00F612E1">
        <w:rPr>
          <w:u w:val="single"/>
        </w:rPr>
        <w:t>Safety</w:t>
      </w:r>
    </w:p>
    <w:p w:rsidR="00A37AD8" w:rsidRDefault="00F87211" w:rsidP="004935B2">
      <w:r>
        <w:t>The</w:t>
      </w:r>
      <w:r w:rsidR="00572FAC">
        <w:t xml:space="preserve"> pooled estimate for</w:t>
      </w:r>
      <w:r w:rsidR="00394D60">
        <w:t xml:space="preserve"> mean</w:t>
      </w:r>
      <w:r w:rsidR="00572FAC">
        <w:t xml:space="preserve"> birthweight </w:t>
      </w:r>
      <w:r>
        <w:t>estimated by Claire et al</w:t>
      </w:r>
      <w:r w:rsidR="00394D60">
        <w:t>. (2020)</w:t>
      </w:r>
      <w:r>
        <w:t xml:space="preserve"> </w:t>
      </w:r>
      <w:r w:rsidR="00090C67">
        <w:t>was not</w:t>
      </w:r>
      <w:r>
        <w:t xml:space="preserve"> statistically significant differen</w:t>
      </w:r>
      <w:r w:rsidR="00090C67">
        <w:t xml:space="preserve">t </w:t>
      </w:r>
      <w:r w:rsidR="00572FAC">
        <w:t>for bupropion</w:t>
      </w:r>
      <w:r w:rsidR="00132065">
        <w:t xml:space="preserve"> </w:t>
      </w:r>
      <w:r w:rsidR="00394D60">
        <w:t>versus placebo</w:t>
      </w:r>
      <w:r w:rsidR="00132065">
        <w:t xml:space="preserve"> </w:t>
      </w:r>
      <w:r w:rsidR="00090C67">
        <w:t>(mean difference</w:t>
      </w:r>
      <w:r w:rsidR="00394D60">
        <w:t>:</w:t>
      </w:r>
      <w:r w:rsidR="00CC753E">
        <w:t xml:space="preserve"> 122.64g</w:t>
      </w:r>
      <w:r w:rsidR="00394D60">
        <w:t>;</w:t>
      </w:r>
      <w:r w:rsidR="00CC753E">
        <w:t xml:space="preserve"> 95%</w:t>
      </w:r>
      <w:r w:rsidR="00394D60">
        <w:t xml:space="preserve"> </w:t>
      </w:r>
      <w:r w:rsidR="00CC753E">
        <w:t>CI</w:t>
      </w:r>
      <w:r w:rsidR="00394D60">
        <w:t>:</w:t>
      </w:r>
      <w:r w:rsidR="00CC753E">
        <w:t xml:space="preserve"> -98.82</w:t>
      </w:r>
      <w:r w:rsidR="00394D60">
        <w:t>,</w:t>
      </w:r>
      <w:r w:rsidR="00CC753E">
        <w:t xml:space="preserve"> 344.10</w:t>
      </w:r>
      <w:r w:rsidR="00756B69">
        <w:t>;</w:t>
      </w:r>
      <w:r w:rsidR="00CC753E">
        <w:t xml:space="preserve"> 2 studies</w:t>
      </w:r>
      <w:r w:rsidR="00756B69">
        <w:t>)</w:t>
      </w:r>
      <w:r w:rsidR="00CC753E">
        <w:t>.</w:t>
      </w:r>
      <w:r w:rsidR="007E31E4">
        <w:t xml:space="preserve"> </w:t>
      </w:r>
      <w:r w:rsidR="00756B69">
        <w:t>Neither stud</w:t>
      </w:r>
      <w:r w:rsidR="00BD5F4F">
        <w:t>y</w:t>
      </w:r>
      <w:r w:rsidR="007E31E4">
        <w:t xml:space="preserve"> detect</w:t>
      </w:r>
      <w:r w:rsidR="00756B69">
        <w:t>ed</w:t>
      </w:r>
      <w:r w:rsidR="007E31E4">
        <w:t xml:space="preserve"> a difference between groups in mean length of infants</w:t>
      </w:r>
      <w:r w:rsidR="00B05DCD">
        <w:t>. O</w:t>
      </w:r>
      <w:r w:rsidR="004663BB">
        <w:t>ne study (</w:t>
      </w:r>
      <w:r w:rsidR="004663BB" w:rsidRPr="00756B69">
        <w:t xml:space="preserve">Nanovskaya </w:t>
      </w:r>
      <w:r w:rsidR="00756B69" w:rsidRPr="00756B69">
        <w:t xml:space="preserve">et al. </w:t>
      </w:r>
      <w:r w:rsidR="004663BB" w:rsidRPr="00756B69">
        <w:t>2017</w:t>
      </w:r>
      <w:r w:rsidR="004663BB">
        <w:t xml:space="preserve">) did not report a difference in systolic of diastolic blood pressure at the end of pregnancy. </w:t>
      </w:r>
    </w:p>
    <w:p w:rsidR="00B547FD" w:rsidRPr="007D6A37" w:rsidRDefault="00B547FD" w:rsidP="004935B2">
      <w:r>
        <w:t xml:space="preserve">Non-serious adverse effects </w:t>
      </w:r>
      <w:r w:rsidR="00E47DA8">
        <w:t xml:space="preserve">from the two bupropion </w:t>
      </w:r>
      <w:r w:rsidR="00756B69">
        <w:t>studies</w:t>
      </w:r>
      <w:r w:rsidR="00E47DA8">
        <w:t xml:space="preserve"> </w:t>
      </w:r>
      <w:r>
        <w:t xml:space="preserve">were </w:t>
      </w:r>
      <w:r w:rsidR="00E47DA8">
        <w:t>synthesised</w:t>
      </w:r>
      <w:r w:rsidR="00756B69">
        <w:t xml:space="preserve"> qualitatively</w:t>
      </w:r>
      <w:r w:rsidR="00E47DA8">
        <w:t xml:space="preserve"> by Claire et al</w:t>
      </w:r>
      <w:r w:rsidR="00756B69">
        <w:t>. (2020)</w:t>
      </w:r>
      <w:r w:rsidR="0017235C">
        <w:t xml:space="preserve">, noting that women across all studies reported known adverse effects of bupropion (i.e. </w:t>
      </w:r>
      <w:r w:rsidR="00545C74">
        <w:t xml:space="preserve">vomiting, headache, difficulty sleeping). </w:t>
      </w:r>
      <w:r w:rsidR="00545C74" w:rsidRPr="00756B69">
        <w:t>Nanovs</w:t>
      </w:r>
      <w:r w:rsidR="00DE1212" w:rsidRPr="00756B69">
        <w:t xml:space="preserve">kaya </w:t>
      </w:r>
      <w:r w:rsidR="00756B69" w:rsidRPr="00756B69">
        <w:t>et al. (</w:t>
      </w:r>
      <w:r w:rsidR="00DE1212" w:rsidRPr="00756B69">
        <w:t>2017</w:t>
      </w:r>
      <w:r w:rsidR="00756B69" w:rsidRPr="00756B69">
        <w:t>)</w:t>
      </w:r>
      <w:r w:rsidR="00DE1212">
        <w:t xml:space="preserve"> reported no statistical</w:t>
      </w:r>
      <w:r w:rsidR="00756B69">
        <w:t>ly significant</w:t>
      </w:r>
      <w:r w:rsidR="00DE1212">
        <w:t xml:space="preserve"> differences between the bupropion and control groups. </w:t>
      </w:r>
    </w:p>
    <w:p w:rsidR="00816F95" w:rsidRDefault="00C2195B" w:rsidP="0044056F">
      <w:pPr>
        <w:pStyle w:val="Heading4"/>
        <w:numPr>
          <w:ilvl w:val="0"/>
          <w:numId w:val="0"/>
        </w:numPr>
      </w:pPr>
      <w:r>
        <w:t>Adolescents</w:t>
      </w:r>
    </w:p>
    <w:p w:rsidR="00167A60" w:rsidRDefault="00167A60" w:rsidP="00167A60">
      <w:r w:rsidRPr="00CC6C58">
        <w:t xml:space="preserve">A summary of the citation details for the studies </w:t>
      </w:r>
      <w:r>
        <w:t>evaluating</w:t>
      </w:r>
      <w:r w:rsidRPr="00CC6C58">
        <w:t xml:space="preserve"> </w:t>
      </w:r>
      <w:r>
        <w:t xml:space="preserve">the efficacy and safety of smoking cessation pharmacotherapies </w:t>
      </w:r>
      <w:r w:rsidR="003350C4">
        <w:t>in</w:t>
      </w:r>
      <w:r w:rsidR="000A5F04">
        <w:t xml:space="preserve"> adolescents</w:t>
      </w:r>
      <w:r>
        <w:t xml:space="preserve"> </w:t>
      </w:r>
      <w:r w:rsidRPr="00CC6C58">
        <w:t>is presented in</w:t>
      </w:r>
      <w:r>
        <w:t xml:space="preserve"> </w:t>
      </w:r>
      <w:r w:rsidR="003C4A1C">
        <w:t xml:space="preserve">Table </w:t>
      </w:r>
      <w:r w:rsidR="003C4A1C">
        <w:rPr>
          <w:noProof/>
        </w:rPr>
        <w:t>130</w:t>
      </w:r>
      <w:r>
        <w:t xml:space="preserve">. </w:t>
      </w:r>
      <w:r w:rsidRPr="00CC6C58">
        <w:t xml:space="preserve">A recently conducted Cochrane review by </w:t>
      </w:r>
      <w:r w:rsidR="004B426D">
        <w:t>Fanshawe</w:t>
      </w:r>
      <w:r w:rsidRPr="00CC6C58">
        <w:t xml:space="preserve"> et al. (20</w:t>
      </w:r>
      <w:r w:rsidR="004B426D">
        <w:t>17</w:t>
      </w:r>
      <w:r w:rsidRPr="00CC6C58">
        <w:t xml:space="preserve">) was identified in the systematic literature review that compared </w:t>
      </w:r>
      <w:r>
        <w:t xml:space="preserve">smoking cessation pharmacotherapies </w:t>
      </w:r>
      <w:r w:rsidR="00A04311">
        <w:t>in</w:t>
      </w:r>
      <w:r w:rsidR="00CB6301">
        <w:t xml:space="preserve"> adolescents</w:t>
      </w:r>
      <w:r w:rsidRPr="00CC6C58">
        <w:t>.</w:t>
      </w:r>
      <w:r w:rsidR="00CB6301">
        <w:t xml:space="preserve"> Two </w:t>
      </w:r>
      <w:r w:rsidR="009F44E3">
        <w:t xml:space="preserve">subsequent </w:t>
      </w:r>
      <w:r w:rsidR="00CB6301">
        <w:t xml:space="preserve">systematic reviews </w:t>
      </w:r>
      <w:r w:rsidR="001D7118">
        <w:t>(</w:t>
      </w:r>
      <w:r w:rsidR="00CB6301">
        <w:t>Myung 2019</w:t>
      </w:r>
      <w:r w:rsidR="001D7118">
        <w:t>,</w:t>
      </w:r>
      <w:r w:rsidR="00CB6301">
        <w:t xml:space="preserve"> Selph 2019</w:t>
      </w:r>
      <w:r w:rsidR="00403918">
        <w:t>)</w:t>
      </w:r>
      <w:r w:rsidR="009F44E3">
        <w:t xml:space="preserve"> were also identified in the systematic </w:t>
      </w:r>
      <w:r w:rsidR="000E43A1">
        <w:t>literature review</w:t>
      </w:r>
      <w:r w:rsidR="009F44E3">
        <w:t>.</w:t>
      </w:r>
      <w:r w:rsidR="00CE542E">
        <w:t xml:space="preserve"> </w:t>
      </w:r>
      <w:r w:rsidR="00CE542E" w:rsidRPr="001D7118">
        <w:t xml:space="preserve">No new studies comparing smoking cessation pharmacotherapies </w:t>
      </w:r>
      <w:r w:rsidR="00CE542E">
        <w:t>in adolescents</w:t>
      </w:r>
      <w:r w:rsidR="00CE542E" w:rsidRPr="001D7118">
        <w:t xml:space="preserve"> were identified in the supplemental literature search.</w:t>
      </w:r>
    </w:p>
    <w:p w:rsidR="00AE5A8E" w:rsidRDefault="00AE5A8E" w:rsidP="00AE5A8E">
      <w:pPr>
        <w:pStyle w:val="Caption"/>
        <w:keepNext/>
      </w:pPr>
      <w:bookmarkStart w:id="256" w:name="_Ref61882010"/>
      <w:r>
        <w:t xml:space="preserve">Table </w:t>
      </w:r>
      <w:r w:rsidR="003C4A1C">
        <w:rPr>
          <w:noProof/>
        </w:rPr>
        <w:t>130</w:t>
      </w:r>
      <w:bookmarkEnd w:id="256"/>
      <w:r>
        <w:t xml:space="preserve">: </w:t>
      </w:r>
      <w:r w:rsidRPr="00215B85">
        <w:t xml:space="preserve">List of studies evaluating pharmacotherapy for smoking cessation </w:t>
      </w:r>
      <w:r w:rsidR="003350C4">
        <w:t>in</w:t>
      </w:r>
      <w:r w:rsidR="00C67414">
        <w:t xml:space="preserve"> adolescents</w:t>
      </w:r>
    </w:p>
    <w:tbl>
      <w:tblPr>
        <w:tblStyle w:val="TableGrid"/>
        <w:tblW w:w="0" w:type="auto"/>
        <w:tblLook w:val="04A0" w:firstRow="1" w:lastRow="0" w:firstColumn="1" w:lastColumn="0" w:noHBand="0" w:noVBand="1"/>
      </w:tblPr>
      <w:tblGrid>
        <w:gridCol w:w="1129"/>
        <w:gridCol w:w="7887"/>
      </w:tblGrid>
      <w:tr w:rsidR="003A3687" w:rsidTr="00862329">
        <w:tc>
          <w:tcPr>
            <w:tcW w:w="1129" w:type="dxa"/>
            <w:shd w:val="clear" w:color="auto" w:fill="BFBFBF" w:themeFill="background1" w:themeFillShade="BF"/>
          </w:tcPr>
          <w:p w:rsidR="003A3687" w:rsidRPr="00AE5A8E" w:rsidRDefault="00AE5A8E" w:rsidP="00AE5A8E">
            <w:pPr>
              <w:pStyle w:val="Tablewriting"/>
              <w:rPr>
                <w:b/>
                <w:bCs/>
              </w:rPr>
            </w:pPr>
            <w:r>
              <w:rPr>
                <w:b/>
                <w:bCs/>
              </w:rPr>
              <w:t>Study</w:t>
            </w:r>
          </w:p>
        </w:tc>
        <w:tc>
          <w:tcPr>
            <w:tcW w:w="7887" w:type="dxa"/>
            <w:shd w:val="clear" w:color="auto" w:fill="BFBFBF" w:themeFill="background1" w:themeFillShade="BF"/>
          </w:tcPr>
          <w:p w:rsidR="003A3687" w:rsidRPr="00AE5A8E" w:rsidRDefault="003A3687" w:rsidP="00AE5A8E">
            <w:pPr>
              <w:pStyle w:val="Tablewriting"/>
              <w:jc w:val="center"/>
              <w:rPr>
                <w:b/>
                <w:bCs/>
              </w:rPr>
            </w:pPr>
            <w:r w:rsidRPr="00AE5A8E">
              <w:rPr>
                <w:b/>
                <w:bCs/>
              </w:rPr>
              <w:t>Citation</w:t>
            </w:r>
          </w:p>
        </w:tc>
      </w:tr>
      <w:tr w:rsidR="003A3687" w:rsidTr="00862329">
        <w:tc>
          <w:tcPr>
            <w:tcW w:w="1129" w:type="dxa"/>
          </w:tcPr>
          <w:p w:rsidR="00AE5A8E" w:rsidRDefault="00056D54" w:rsidP="00AE5A8E">
            <w:pPr>
              <w:pStyle w:val="Tablewriting"/>
            </w:pPr>
            <w:r>
              <w:t xml:space="preserve">Fanshawe </w:t>
            </w:r>
          </w:p>
          <w:p w:rsidR="003A3687" w:rsidRDefault="00AE5A8E" w:rsidP="00AE5A8E">
            <w:pPr>
              <w:pStyle w:val="Tablewriting"/>
            </w:pPr>
            <w:r>
              <w:t>(</w:t>
            </w:r>
            <w:r w:rsidR="00056D54">
              <w:t>2017</w:t>
            </w:r>
            <w:r>
              <w:t>)</w:t>
            </w:r>
            <w:r w:rsidR="0039468B" w:rsidRPr="0039468B">
              <w:rPr>
                <w:noProof/>
                <w:vertAlign w:val="superscript"/>
              </w:rPr>
              <w:t>62</w:t>
            </w:r>
          </w:p>
        </w:tc>
        <w:tc>
          <w:tcPr>
            <w:tcW w:w="7887" w:type="dxa"/>
          </w:tcPr>
          <w:p w:rsidR="003A3687" w:rsidRDefault="008B20EF" w:rsidP="00AE5A8E">
            <w:pPr>
              <w:pStyle w:val="Tablewriting"/>
            </w:pPr>
            <w:r w:rsidRPr="008B20EF">
              <w:t>Fanshawe</w:t>
            </w:r>
            <w:r>
              <w:t xml:space="preserve"> </w:t>
            </w:r>
            <w:r w:rsidRPr="008B20EF">
              <w:t>TR, Halliwell</w:t>
            </w:r>
            <w:r>
              <w:t xml:space="preserve"> </w:t>
            </w:r>
            <w:r w:rsidRPr="008B20EF">
              <w:t>W, Lindson</w:t>
            </w:r>
            <w:r>
              <w:t xml:space="preserve"> </w:t>
            </w:r>
            <w:r w:rsidRPr="008B20EF">
              <w:t>N, Aveyard</w:t>
            </w:r>
            <w:r>
              <w:t xml:space="preserve"> </w:t>
            </w:r>
            <w:r w:rsidRPr="008B20EF">
              <w:t>P, Livingstone-Banks</w:t>
            </w:r>
            <w:r w:rsidR="005A66F0">
              <w:t xml:space="preserve"> </w:t>
            </w:r>
            <w:r w:rsidRPr="008B20EF">
              <w:t>J, Hartmann-Boyce</w:t>
            </w:r>
            <w:r w:rsidR="005A66F0">
              <w:t xml:space="preserve"> </w:t>
            </w:r>
            <w:r w:rsidRPr="008B20EF">
              <w:t>J. Tobacco cessation interventions for young people. Cochrane Database of Systematic Reviews 2017, Issue 11. Art. No.: CD003289. DOI: 10.1002/14651858.CD003289.pub6.</w:t>
            </w:r>
          </w:p>
        </w:tc>
      </w:tr>
      <w:tr w:rsidR="003A3687" w:rsidTr="00862329">
        <w:tc>
          <w:tcPr>
            <w:tcW w:w="1129" w:type="dxa"/>
          </w:tcPr>
          <w:p w:rsidR="00AE5A8E" w:rsidRDefault="005F114B" w:rsidP="00AE5A8E">
            <w:pPr>
              <w:pStyle w:val="Tablewriting"/>
            </w:pPr>
            <w:r>
              <w:t xml:space="preserve">Myung </w:t>
            </w:r>
          </w:p>
          <w:p w:rsidR="003A3687" w:rsidRDefault="00AE5A8E" w:rsidP="00AE5A8E">
            <w:pPr>
              <w:pStyle w:val="Tablewriting"/>
            </w:pPr>
            <w:r>
              <w:t>(</w:t>
            </w:r>
            <w:r w:rsidR="005F114B">
              <w:t>2019</w:t>
            </w:r>
            <w:r w:rsidR="00A41969">
              <w:t>)</w:t>
            </w:r>
            <w:r w:rsidR="0039468B" w:rsidRPr="0039468B">
              <w:rPr>
                <w:noProof/>
                <w:vertAlign w:val="superscript"/>
              </w:rPr>
              <w:t>63</w:t>
            </w:r>
          </w:p>
        </w:tc>
        <w:tc>
          <w:tcPr>
            <w:tcW w:w="7887" w:type="dxa"/>
          </w:tcPr>
          <w:p w:rsidR="003A3687" w:rsidRDefault="001844CE" w:rsidP="00AE5A8E">
            <w:pPr>
              <w:pStyle w:val="Tablewriting"/>
            </w:pPr>
            <w:r>
              <w:t xml:space="preserve">Myung S-K, Park J-Y. </w:t>
            </w:r>
            <w:r w:rsidR="005A66F0">
              <w:t xml:space="preserve">Efficacy of pharmacotherapy for smoking cessation in adolescent smokers: a meta-analysis of randomized controlled trials. </w:t>
            </w:r>
            <w:r w:rsidR="00266518">
              <w:t>Nicotine &amp; tobacco research 2019,</w:t>
            </w:r>
            <w:r w:rsidR="004B7631">
              <w:t xml:space="preserve"> 21(11):</w:t>
            </w:r>
            <w:r w:rsidR="00266518">
              <w:t xml:space="preserve"> 1473-1479</w:t>
            </w:r>
            <w:r w:rsidR="004B7631">
              <w:t xml:space="preserve">. doi: </w:t>
            </w:r>
            <w:r w:rsidR="004B7631" w:rsidRPr="00257C8F">
              <w:rPr>
                <w:rFonts w:cstheme="minorHAnsi"/>
              </w:rPr>
              <w:t>10.1093/ntr/nty180</w:t>
            </w:r>
          </w:p>
        </w:tc>
      </w:tr>
      <w:tr w:rsidR="003A3687" w:rsidTr="00862329">
        <w:tc>
          <w:tcPr>
            <w:tcW w:w="1129" w:type="dxa"/>
          </w:tcPr>
          <w:p w:rsidR="00AE5A8E" w:rsidRDefault="00774AE6" w:rsidP="00AE5A8E">
            <w:pPr>
              <w:pStyle w:val="Tablewriting"/>
            </w:pPr>
            <w:r>
              <w:t xml:space="preserve">Selph </w:t>
            </w:r>
          </w:p>
          <w:p w:rsidR="003A3687" w:rsidRDefault="00AE5A8E" w:rsidP="00AE5A8E">
            <w:pPr>
              <w:pStyle w:val="Tablewriting"/>
            </w:pPr>
            <w:r>
              <w:t>(</w:t>
            </w:r>
            <w:r w:rsidR="00F93F82">
              <w:t>20</w:t>
            </w:r>
            <w:r w:rsidR="00483C3A">
              <w:t>20</w:t>
            </w:r>
            <w:r>
              <w:t>)</w:t>
            </w:r>
            <w:r w:rsidR="0039468B" w:rsidRPr="0039468B">
              <w:rPr>
                <w:noProof/>
                <w:vertAlign w:val="superscript"/>
              </w:rPr>
              <w:t>64</w:t>
            </w:r>
          </w:p>
        </w:tc>
        <w:tc>
          <w:tcPr>
            <w:tcW w:w="7887" w:type="dxa"/>
          </w:tcPr>
          <w:p w:rsidR="003A3687" w:rsidRDefault="00F93F82" w:rsidP="00AE5A8E">
            <w:pPr>
              <w:pStyle w:val="Tablewriting"/>
            </w:pPr>
            <w:r w:rsidRPr="00F93F82">
              <w:t>Selph</w:t>
            </w:r>
            <w:r>
              <w:t xml:space="preserve"> S</w:t>
            </w:r>
            <w:r w:rsidRPr="00F93F82">
              <w:t>, Patnode</w:t>
            </w:r>
            <w:r>
              <w:t xml:space="preserve"> C,</w:t>
            </w:r>
            <w:r w:rsidRPr="00F93F82">
              <w:t xml:space="preserve"> Bailey</w:t>
            </w:r>
            <w:r>
              <w:t xml:space="preserve"> SR</w:t>
            </w:r>
            <w:r w:rsidRPr="00F93F82">
              <w:t>, Pappas</w:t>
            </w:r>
            <w:r>
              <w:t xml:space="preserve"> M</w:t>
            </w:r>
            <w:r w:rsidRPr="00F93F82">
              <w:t>, Stoner</w:t>
            </w:r>
            <w:r>
              <w:t xml:space="preserve"> R</w:t>
            </w:r>
            <w:r w:rsidRPr="00F93F82">
              <w:t>, Chou</w:t>
            </w:r>
            <w:r w:rsidR="007563EA">
              <w:t xml:space="preserve"> R. </w:t>
            </w:r>
            <w:r w:rsidR="007563EA" w:rsidRPr="007563EA">
              <w:t>Primary Care–Relevant Interventions for Tobacco and Nicotine Use Prevention and Cessation in Children and Adolescents Updated Evidence Report and Systematic Review for the US Preventive Services Task Force</w:t>
            </w:r>
            <w:r w:rsidR="007563EA">
              <w:t xml:space="preserve">. </w:t>
            </w:r>
            <w:r w:rsidR="008643DA" w:rsidRPr="008643DA">
              <w:t>JAMA. 2020;323(16):1599-1608. doi:10.1001/jama.2020.3332</w:t>
            </w:r>
          </w:p>
        </w:tc>
      </w:tr>
    </w:tbl>
    <w:p w:rsidR="003A3687" w:rsidRPr="004935B2" w:rsidRDefault="003A3687" w:rsidP="004935B2"/>
    <w:p w:rsidR="00061F78" w:rsidRDefault="000E43A1" w:rsidP="000A5F04">
      <w:r w:rsidRPr="000E43A1">
        <w:t xml:space="preserve">A summary of the characteristics of the studies evaluating pharmacotherapy </w:t>
      </w:r>
      <w:r w:rsidR="00A04311">
        <w:t>in</w:t>
      </w:r>
      <w:r w:rsidRPr="000E43A1">
        <w:t xml:space="preserve"> </w:t>
      </w:r>
      <w:r w:rsidR="00854681">
        <w:t>adolescents</w:t>
      </w:r>
      <w:r w:rsidRPr="000E43A1">
        <w:t xml:space="preserve"> is presented in </w:t>
      </w:r>
      <w:r w:rsidR="003C4A1C">
        <w:t xml:space="preserve">Table </w:t>
      </w:r>
      <w:r w:rsidR="003C4A1C">
        <w:rPr>
          <w:noProof/>
        </w:rPr>
        <w:t>131</w:t>
      </w:r>
      <w:r w:rsidRPr="000E43A1">
        <w:t xml:space="preserve">. A total of </w:t>
      </w:r>
      <w:r w:rsidR="005D5913">
        <w:t>five</w:t>
      </w:r>
      <w:r w:rsidRPr="000E43A1">
        <w:t xml:space="preserve"> RCTs were identified by </w:t>
      </w:r>
      <w:r w:rsidR="005D5913">
        <w:t>Fanshawe</w:t>
      </w:r>
      <w:r w:rsidRPr="000E43A1">
        <w:t xml:space="preserve"> et al. (20</w:t>
      </w:r>
      <w:r w:rsidR="005D5913">
        <w:t>17</w:t>
      </w:r>
      <w:r w:rsidRPr="000E43A1">
        <w:t>)</w:t>
      </w:r>
      <w:r w:rsidR="005D5913">
        <w:t xml:space="preserve">, with four RCTs contributing to </w:t>
      </w:r>
      <w:r w:rsidRPr="000E43A1">
        <w:t xml:space="preserve">the </w:t>
      </w:r>
      <w:r w:rsidR="005D5913">
        <w:t xml:space="preserve">primary </w:t>
      </w:r>
      <w:r w:rsidRPr="000E43A1">
        <w:t xml:space="preserve">efficacy </w:t>
      </w:r>
      <w:r w:rsidR="005D5913">
        <w:t>analysis</w:t>
      </w:r>
      <w:r w:rsidRPr="000E43A1">
        <w:t xml:space="preserve">. </w:t>
      </w:r>
      <w:r w:rsidR="005D5913">
        <w:t xml:space="preserve">Myung et al. (2019) </w:t>
      </w:r>
      <w:r w:rsidRPr="000E43A1">
        <w:t xml:space="preserve">and </w:t>
      </w:r>
      <w:r w:rsidR="005D5913">
        <w:t xml:space="preserve">Selph et al. (2019) identified nine and four RCTs, respectively. </w:t>
      </w:r>
      <w:r w:rsidR="00797412">
        <w:t>Four RCTs in Myung (2019)</w:t>
      </w:r>
      <w:r w:rsidR="005D5913">
        <w:t xml:space="preserve"> and </w:t>
      </w:r>
      <w:r w:rsidR="00797412">
        <w:t>three RCTs in Selph (2019) were previously included in Fanshawe (2017).</w:t>
      </w:r>
      <w:r w:rsidRPr="000E43A1">
        <w:t xml:space="preserve"> The characteristics of the individual studies are presented in </w:t>
      </w:r>
      <w:r w:rsidRPr="008138B1">
        <w:t xml:space="preserve">Appendix </w:t>
      </w:r>
      <w:r w:rsidR="003C4A1C">
        <w:t xml:space="preserve">Table </w:t>
      </w:r>
      <w:r w:rsidR="003C4A1C">
        <w:rPr>
          <w:noProof/>
        </w:rPr>
        <w:t>166</w:t>
      </w:r>
      <w:r w:rsidR="008138B1" w:rsidRPr="008138B1">
        <w:t xml:space="preserve"> to </w:t>
      </w:r>
      <w:r w:rsidR="003C4A1C">
        <w:t xml:space="preserve">Table </w:t>
      </w:r>
      <w:r w:rsidR="003C4A1C">
        <w:rPr>
          <w:noProof/>
        </w:rPr>
        <w:t>168</w:t>
      </w:r>
      <w:r w:rsidRPr="008138B1">
        <w:t>.</w:t>
      </w:r>
    </w:p>
    <w:p w:rsidR="004C6D5C" w:rsidRDefault="004C6D5C" w:rsidP="000A5F04">
      <w:pPr>
        <w:sectPr w:rsidR="004C6D5C" w:rsidSect="006356D2">
          <w:pgSz w:w="11906" w:h="16838"/>
          <w:pgMar w:top="1440" w:right="1440" w:bottom="1440" w:left="1440" w:header="708" w:footer="708" w:gutter="0"/>
          <w:cols w:space="708"/>
          <w:titlePg/>
          <w:docGrid w:linePitch="360"/>
        </w:sectPr>
      </w:pPr>
    </w:p>
    <w:p w:rsidR="00854681" w:rsidRDefault="00854681" w:rsidP="00A61088">
      <w:pPr>
        <w:pStyle w:val="Caption"/>
        <w:keepNext/>
      </w:pPr>
      <w:bookmarkStart w:id="257" w:name="_Ref61949362"/>
      <w:r>
        <w:lastRenderedPageBreak/>
        <w:t xml:space="preserve">Table </w:t>
      </w:r>
      <w:r w:rsidR="003C4A1C">
        <w:rPr>
          <w:noProof/>
        </w:rPr>
        <w:t>131</w:t>
      </w:r>
      <w:bookmarkEnd w:id="257"/>
      <w:r>
        <w:t xml:space="preserve">: </w:t>
      </w:r>
      <w:r w:rsidRPr="00A56CEC">
        <w:t>Characteristics of the studies evaluating pharmacotherapy for smoking cessation</w:t>
      </w:r>
      <w:r>
        <w:t xml:space="preserve"> in adolescents</w:t>
      </w:r>
    </w:p>
    <w:tbl>
      <w:tblPr>
        <w:tblStyle w:val="TableGrid"/>
        <w:tblW w:w="5000" w:type="pct"/>
        <w:tblLook w:val="04A0" w:firstRow="1" w:lastRow="0" w:firstColumn="1" w:lastColumn="0" w:noHBand="0" w:noVBand="1"/>
      </w:tblPr>
      <w:tblGrid>
        <w:gridCol w:w="1077"/>
        <w:gridCol w:w="1389"/>
        <w:gridCol w:w="2491"/>
        <w:gridCol w:w="3827"/>
        <w:gridCol w:w="2550"/>
        <w:gridCol w:w="2614"/>
      </w:tblGrid>
      <w:tr w:rsidR="00862E17" w:rsidTr="000B47EB">
        <w:tc>
          <w:tcPr>
            <w:tcW w:w="386" w:type="pct"/>
            <w:shd w:val="clear" w:color="auto" w:fill="BFBFBF" w:themeFill="background1" w:themeFillShade="BF"/>
          </w:tcPr>
          <w:p w:rsidR="00050F29" w:rsidRPr="001E56A6" w:rsidRDefault="00050F29" w:rsidP="001E56A6">
            <w:pPr>
              <w:pStyle w:val="Tablewriting"/>
              <w:rPr>
                <w:b/>
              </w:rPr>
            </w:pPr>
            <w:r w:rsidRPr="001E56A6">
              <w:rPr>
                <w:b/>
              </w:rPr>
              <w:t>Study</w:t>
            </w:r>
          </w:p>
        </w:tc>
        <w:tc>
          <w:tcPr>
            <w:tcW w:w="498" w:type="pct"/>
            <w:shd w:val="clear" w:color="auto" w:fill="BFBFBF" w:themeFill="background1" w:themeFillShade="BF"/>
          </w:tcPr>
          <w:p w:rsidR="00050F29" w:rsidRPr="001E56A6" w:rsidRDefault="00050F29" w:rsidP="001E56A6">
            <w:pPr>
              <w:pStyle w:val="Tablewriting"/>
              <w:jc w:val="center"/>
              <w:rPr>
                <w:b/>
              </w:rPr>
            </w:pPr>
            <w:r w:rsidRPr="001E56A6">
              <w:rPr>
                <w:b/>
              </w:rPr>
              <w:t>Study Type</w:t>
            </w:r>
          </w:p>
        </w:tc>
        <w:tc>
          <w:tcPr>
            <w:tcW w:w="893" w:type="pct"/>
            <w:shd w:val="clear" w:color="auto" w:fill="BFBFBF" w:themeFill="background1" w:themeFillShade="BF"/>
          </w:tcPr>
          <w:p w:rsidR="00050F29" w:rsidRPr="009F6B4C" w:rsidRDefault="00050F29" w:rsidP="001E56A6">
            <w:pPr>
              <w:pStyle w:val="Tablewriting"/>
              <w:jc w:val="center"/>
              <w:rPr>
                <w:b/>
                <w:vertAlign w:val="superscript"/>
              </w:rPr>
            </w:pPr>
            <w:r w:rsidRPr="001E56A6">
              <w:rPr>
                <w:b/>
                <w:bCs/>
              </w:rPr>
              <w:t>N</w:t>
            </w:r>
            <w:r w:rsidR="00B75E91">
              <w:rPr>
                <w:b/>
                <w:bCs/>
                <w:vertAlign w:val="superscript"/>
              </w:rPr>
              <w:t>1</w:t>
            </w:r>
          </w:p>
        </w:tc>
        <w:tc>
          <w:tcPr>
            <w:tcW w:w="1372" w:type="pct"/>
            <w:shd w:val="clear" w:color="auto" w:fill="BFBFBF" w:themeFill="background1" w:themeFillShade="BF"/>
          </w:tcPr>
          <w:p w:rsidR="00050F29" w:rsidRPr="001E56A6" w:rsidRDefault="00050F29" w:rsidP="001E56A6">
            <w:pPr>
              <w:pStyle w:val="Tablewriting"/>
              <w:jc w:val="center"/>
              <w:rPr>
                <w:b/>
              </w:rPr>
            </w:pPr>
            <w:r w:rsidRPr="001E56A6">
              <w:rPr>
                <w:b/>
              </w:rPr>
              <w:t>Population</w:t>
            </w:r>
          </w:p>
        </w:tc>
        <w:tc>
          <w:tcPr>
            <w:tcW w:w="914" w:type="pct"/>
            <w:shd w:val="clear" w:color="auto" w:fill="BFBFBF" w:themeFill="background1" w:themeFillShade="BF"/>
          </w:tcPr>
          <w:p w:rsidR="00050F29" w:rsidRPr="001E56A6" w:rsidRDefault="00050F29" w:rsidP="001E56A6">
            <w:pPr>
              <w:pStyle w:val="Tablewriting"/>
              <w:jc w:val="center"/>
              <w:rPr>
                <w:b/>
              </w:rPr>
            </w:pPr>
            <w:r w:rsidRPr="001E56A6">
              <w:rPr>
                <w:b/>
              </w:rPr>
              <w:t>Intervention and comparator</w:t>
            </w:r>
          </w:p>
        </w:tc>
        <w:tc>
          <w:tcPr>
            <w:tcW w:w="937" w:type="pct"/>
            <w:shd w:val="clear" w:color="auto" w:fill="BFBFBF" w:themeFill="background1" w:themeFillShade="BF"/>
          </w:tcPr>
          <w:p w:rsidR="00050F29" w:rsidRPr="001E56A6" w:rsidRDefault="00050F29" w:rsidP="001E56A6">
            <w:pPr>
              <w:pStyle w:val="Tablewriting"/>
              <w:jc w:val="center"/>
              <w:rPr>
                <w:b/>
              </w:rPr>
            </w:pPr>
            <w:r w:rsidRPr="001E56A6">
              <w:rPr>
                <w:b/>
              </w:rPr>
              <w:t>Outcomes</w:t>
            </w:r>
          </w:p>
        </w:tc>
      </w:tr>
      <w:tr w:rsidR="00FC76C4" w:rsidTr="0082427B">
        <w:trPr>
          <w:trHeight w:val="1731"/>
        </w:trPr>
        <w:tc>
          <w:tcPr>
            <w:tcW w:w="386" w:type="pct"/>
          </w:tcPr>
          <w:p w:rsidR="00050F29" w:rsidRDefault="00050F29" w:rsidP="001E56A6">
            <w:pPr>
              <w:pStyle w:val="Tablewriting"/>
            </w:pPr>
            <w:r>
              <w:t xml:space="preserve">Fanshawe </w:t>
            </w:r>
            <w:r w:rsidR="000A0293">
              <w:t>(</w:t>
            </w:r>
            <w:r>
              <w:t>2017</w:t>
            </w:r>
            <w:r w:rsidR="000A0293">
              <w:t>)</w:t>
            </w:r>
          </w:p>
        </w:tc>
        <w:tc>
          <w:tcPr>
            <w:tcW w:w="498" w:type="pct"/>
          </w:tcPr>
          <w:p w:rsidR="006E5ED0" w:rsidRDefault="001F034E" w:rsidP="00854681">
            <w:pPr>
              <w:pStyle w:val="Tablewriting"/>
            </w:pPr>
            <w:r>
              <w:t xml:space="preserve">Cochrane </w:t>
            </w:r>
          </w:p>
          <w:p w:rsidR="001E56A6" w:rsidRDefault="00130212" w:rsidP="00854681">
            <w:pPr>
              <w:pStyle w:val="Tablewriting"/>
            </w:pPr>
            <w:r>
              <w:t>R</w:t>
            </w:r>
            <w:r w:rsidR="001F034E">
              <w:t>eview</w:t>
            </w:r>
            <w:r w:rsidR="00E57E63">
              <w:t xml:space="preserve"> </w:t>
            </w:r>
          </w:p>
          <w:p w:rsidR="00050F29" w:rsidRDefault="001F034E" w:rsidP="001E56A6">
            <w:pPr>
              <w:pStyle w:val="Tablewriting"/>
            </w:pPr>
            <w:r>
              <w:t>(</w:t>
            </w:r>
            <w:r w:rsidR="006E5ED0">
              <w:t>5</w:t>
            </w:r>
            <w:r w:rsidR="00FD1358">
              <w:t xml:space="preserve"> RCTs</w:t>
            </w:r>
            <w:r w:rsidR="00B75E91">
              <w:rPr>
                <w:vertAlign w:val="superscript"/>
              </w:rPr>
              <w:t>2</w:t>
            </w:r>
            <w:r w:rsidR="004C456B">
              <w:t>)</w:t>
            </w:r>
          </w:p>
        </w:tc>
        <w:tc>
          <w:tcPr>
            <w:tcW w:w="893" w:type="pct"/>
          </w:tcPr>
          <w:p w:rsidR="00196015" w:rsidRPr="004C6D5C" w:rsidRDefault="00196015" w:rsidP="001E56A6">
            <w:pPr>
              <w:pStyle w:val="Tablewriting"/>
              <w:rPr>
                <w:u w:val="single"/>
              </w:rPr>
            </w:pPr>
            <w:r w:rsidRPr="004C6D5C">
              <w:rPr>
                <w:u w:val="single"/>
              </w:rPr>
              <w:t xml:space="preserve">Efficacy (4 RCTs) </w:t>
            </w:r>
          </w:p>
          <w:p w:rsidR="00050F29" w:rsidRDefault="004C456B" w:rsidP="001E56A6">
            <w:pPr>
              <w:pStyle w:val="Tablewriting"/>
            </w:pPr>
            <w:r>
              <w:t>NRT</w:t>
            </w:r>
            <w:r w:rsidR="00D97977">
              <w:t xml:space="preserve"> versus placebo</w:t>
            </w:r>
            <w:r w:rsidR="00265FEA">
              <w:t xml:space="preserve"> (N=385),</w:t>
            </w:r>
          </w:p>
          <w:p w:rsidR="004C456B" w:rsidRDefault="004C456B" w:rsidP="001E56A6">
            <w:pPr>
              <w:pStyle w:val="Tablewriting"/>
            </w:pPr>
            <w:r>
              <w:t>Bupropion</w:t>
            </w:r>
            <w:r w:rsidR="00D035F1">
              <w:t xml:space="preserve"> </w:t>
            </w:r>
            <w:r w:rsidR="00D97977">
              <w:t>versus placebo</w:t>
            </w:r>
            <w:r w:rsidR="00265FEA">
              <w:t xml:space="preserve"> (N=</w:t>
            </w:r>
            <w:r w:rsidR="00D035F1" w:rsidDel="001F793C">
              <w:t>207</w:t>
            </w:r>
            <w:r w:rsidR="00265FEA">
              <w:t>),</w:t>
            </w:r>
          </w:p>
          <w:p w:rsidR="004C456B" w:rsidRDefault="00D035F1" w:rsidP="001E56A6">
            <w:pPr>
              <w:pStyle w:val="Tablewriting"/>
            </w:pPr>
            <w:r>
              <w:t xml:space="preserve">NRT + bupropion </w:t>
            </w:r>
            <w:r w:rsidR="001F793C">
              <w:t>versus NRT + placebo</w:t>
            </w:r>
            <w:r w:rsidR="000B47EB">
              <w:t xml:space="preserve"> </w:t>
            </w:r>
            <w:r w:rsidR="00265FEA">
              <w:t>(</w:t>
            </w:r>
            <w:r w:rsidR="001F793C">
              <w:t>N</w:t>
            </w:r>
            <w:r w:rsidR="00265FEA">
              <w:t>=</w:t>
            </w:r>
            <w:r>
              <w:t>211</w:t>
            </w:r>
            <w:r w:rsidR="00265FEA">
              <w:t>)</w:t>
            </w:r>
          </w:p>
        </w:tc>
        <w:tc>
          <w:tcPr>
            <w:tcW w:w="1372" w:type="pct"/>
          </w:tcPr>
          <w:p w:rsidR="000B47EB" w:rsidRDefault="005D10A6" w:rsidP="001E56A6">
            <w:pPr>
              <w:pStyle w:val="Tablewriting"/>
            </w:pPr>
            <w:r w:rsidRPr="004C6D5C">
              <w:rPr>
                <w:u w:val="single"/>
              </w:rPr>
              <w:t>Inclusion:</w:t>
            </w:r>
            <w:r>
              <w:t xml:space="preserve"> p</w:t>
            </w:r>
            <w:r w:rsidR="00897DD2">
              <w:t>articipants were young people, aged under 20 years, who were</w:t>
            </w:r>
            <w:r w:rsidR="004C6D5C">
              <w:t xml:space="preserve"> </w:t>
            </w:r>
            <w:r w:rsidR="00897DD2">
              <w:t>regular, current tobacco smokers</w:t>
            </w:r>
            <w:r w:rsidR="00594205">
              <w:rPr>
                <w:vertAlign w:val="superscript"/>
              </w:rPr>
              <w:t>5</w:t>
            </w:r>
            <w:r w:rsidR="000A1430">
              <w:t xml:space="preserve">. </w:t>
            </w:r>
          </w:p>
          <w:p w:rsidR="00050F29" w:rsidRDefault="00594205" w:rsidP="001E56A6">
            <w:pPr>
              <w:pStyle w:val="Tablewriting"/>
            </w:pPr>
            <w:r w:rsidRPr="004C6D5C">
              <w:rPr>
                <w:u w:val="single"/>
              </w:rPr>
              <w:t>Exclusion:</w:t>
            </w:r>
            <w:r w:rsidR="000A1430">
              <w:t xml:space="preserve"> participants who were not current smokers, or if </w:t>
            </w:r>
            <w:r w:rsidR="001D4B71">
              <w:t>the majority of participants included were beyond their 20</w:t>
            </w:r>
            <w:r w:rsidR="001D4B71" w:rsidRPr="001D4B71">
              <w:rPr>
                <w:vertAlign w:val="superscript"/>
              </w:rPr>
              <w:t>th</w:t>
            </w:r>
            <w:r w:rsidR="001D4B71">
              <w:t xml:space="preserve"> birthday</w:t>
            </w:r>
            <w:r w:rsidR="005A689C">
              <w:t>.</w:t>
            </w:r>
          </w:p>
        </w:tc>
        <w:tc>
          <w:tcPr>
            <w:tcW w:w="914" w:type="pct"/>
          </w:tcPr>
          <w:p w:rsidR="00C23084" w:rsidRDefault="00C23084" w:rsidP="001E56A6">
            <w:pPr>
              <w:pStyle w:val="Tablewriting"/>
            </w:pPr>
            <w:r>
              <w:t>Pharmacotherapy</w:t>
            </w:r>
            <w:r w:rsidR="000B47EB">
              <w:t xml:space="preserve"> </w:t>
            </w:r>
            <w:r w:rsidR="00975ADB">
              <w:t>(monotherapy or combination)</w:t>
            </w:r>
            <w:r w:rsidR="003720DC">
              <w:t>, Placebo</w:t>
            </w:r>
            <w:r w:rsidR="005A689C">
              <w:t>.</w:t>
            </w:r>
          </w:p>
        </w:tc>
        <w:tc>
          <w:tcPr>
            <w:tcW w:w="937" w:type="pct"/>
          </w:tcPr>
          <w:p w:rsidR="00050F29" w:rsidRDefault="000B47EB" w:rsidP="001E56A6">
            <w:pPr>
              <w:pStyle w:val="Tablewriting"/>
            </w:pPr>
            <w:r w:rsidRPr="00BD6D77">
              <w:rPr>
                <w:u w:val="single"/>
              </w:rPr>
              <w:t>Primary</w:t>
            </w:r>
            <w:r>
              <w:t xml:space="preserve">: </w:t>
            </w:r>
            <w:r w:rsidR="00BD6D77">
              <w:t>c</w:t>
            </w:r>
            <w:r w:rsidR="005C5114">
              <w:t>hange in smoking behaviour</w:t>
            </w:r>
            <w:r w:rsidR="00BD6D77">
              <w:t xml:space="preserve"> </w:t>
            </w:r>
            <w:r w:rsidR="005C5114">
              <w:t>(being a smoker at baseline and becoming and ex-smoker at follow</w:t>
            </w:r>
            <w:r>
              <w:t>-</w:t>
            </w:r>
            <w:r w:rsidR="005C5114">
              <w:t>up)</w:t>
            </w:r>
            <w:r>
              <w:t xml:space="preserve"> </w:t>
            </w:r>
            <w:r w:rsidR="005C5114">
              <w:t xml:space="preserve">at six months follow-up or longer. </w:t>
            </w:r>
          </w:p>
        </w:tc>
      </w:tr>
      <w:tr w:rsidR="00FC76C4" w:rsidTr="0082427B">
        <w:tc>
          <w:tcPr>
            <w:tcW w:w="386" w:type="pct"/>
          </w:tcPr>
          <w:p w:rsidR="000A0293" w:rsidRDefault="00050F29" w:rsidP="00854681">
            <w:pPr>
              <w:pStyle w:val="Tablewriting"/>
            </w:pPr>
            <w:r>
              <w:t xml:space="preserve">Myung </w:t>
            </w:r>
          </w:p>
          <w:p w:rsidR="00050F29" w:rsidRDefault="000A0293" w:rsidP="001E56A6">
            <w:pPr>
              <w:pStyle w:val="Tablewriting"/>
            </w:pPr>
            <w:r>
              <w:t>(</w:t>
            </w:r>
            <w:r w:rsidR="00050F29">
              <w:t>2019</w:t>
            </w:r>
            <w:r>
              <w:t>)</w:t>
            </w:r>
          </w:p>
        </w:tc>
        <w:tc>
          <w:tcPr>
            <w:tcW w:w="498" w:type="pct"/>
          </w:tcPr>
          <w:p w:rsidR="006E5ED0" w:rsidRDefault="006E5ED0" w:rsidP="006E5ED0">
            <w:pPr>
              <w:pStyle w:val="Tablewriting"/>
            </w:pPr>
            <w:r>
              <w:t>SR and MA</w:t>
            </w:r>
          </w:p>
          <w:p w:rsidR="00050F29" w:rsidRDefault="00130212" w:rsidP="001E56A6">
            <w:pPr>
              <w:pStyle w:val="Tablewriting"/>
            </w:pPr>
            <w:r>
              <w:t>(9</w:t>
            </w:r>
            <w:r w:rsidR="00626446">
              <w:t xml:space="preserve"> RCTs</w:t>
            </w:r>
            <w:r w:rsidR="005750D8">
              <w:rPr>
                <w:vertAlign w:val="superscript"/>
              </w:rPr>
              <w:t>3</w:t>
            </w:r>
            <w:r w:rsidR="004B1E25">
              <w:t>)</w:t>
            </w:r>
          </w:p>
        </w:tc>
        <w:tc>
          <w:tcPr>
            <w:tcW w:w="893" w:type="pct"/>
          </w:tcPr>
          <w:p w:rsidR="00050F29" w:rsidRDefault="00196015" w:rsidP="001E56A6">
            <w:pPr>
              <w:pStyle w:val="Tablewriting"/>
            </w:pPr>
            <w:r>
              <w:t>N=</w:t>
            </w:r>
            <w:r w:rsidR="00A91D17">
              <w:t>1</w:t>
            </w:r>
            <w:r>
              <w:t>,</w:t>
            </w:r>
            <w:r w:rsidR="00A91D17">
              <w:t>188</w:t>
            </w:r>
          </w:p>
        </w:tc>
        <w:tc>
          <w:tcPr>
            <w:tcW w:w="1372" w:type="pct"/>
          </w:tcPr>
          <w:p w:rsidR="00050F29" w:rsidRDefault="003720DC" w:rsidP="001E56A6">
            <w:pPr>
              <w:pStyle w:val="Tablewriting"/>
            </w:pPr>
            <w:r w:rsidRPr="00E119DC">
              <w:rPr>
                <w:u w:val="single"/>
              </w:rPr>
              <w:t>Inclusion:</w:t>
            </w:r>
            <w:r>
              <w:t xml:space="preserve"> a</w:t>
            </w:r>
            <w:r w:rsidR="00A91D17">
              <w:t>dolescent smokers</w:t>
            </w:r>
            <w:r w:rsidR="000B47EB">
              <w:t xml:space="preserve"> </w:t>
            </w:r>
            <w:r w:rsidR="00A91D17">
              <w:t>aged less than 20 years</w:t>
            </w:r>
            <w:r w:rsidR="005A689C">
              <w:t>.</w:t>
            </w:r>
          </w:p>
        </w:tc>
        <w:tc>
          <w:tcPr>
            <w:tcW w:w="914" w:type="pct"/>
          </w:tcPr>
          <w:p w:rsidR="00F141D5" w:rsidRDefault="00F141D5" w:rsidP="001E56A6">
            <w:pPr>
              <w:pStyle w:val="Tablewriting"/>
            </w:pPr>
            <w:r>
              <w:t>Pharmacotherapy (monotherapy or in combination)</w:t>
            </w:r>
            <w:r w:rsidR="003720DC">
              <w:t>, Placebo</w:t>
            </w:r>
            <w:r w:rsidR="005A689C">
              <w:t>.</w:t>
            </w:r>
          </w:p>
        </w:tc>
        <w:tc>
          <w:tcPr>
            <w:tcW w:w="937" w:type="pct"/>
          </w:tcPr>
          <w:p w:rsidR="00050F29" w:rsidRDefault="00BD6D77" w:rsidP="001E56A6">
            <w:pPr>
              <w:pStyle w:val="Tablewriting"/>
            </w:pPr>
            <w:r w:rsidRPr="00E119DC">
              <w:rPr>
                <w:u w:val="single"/>
              </w:rPr>
              <w:t>Primary</w:t>
            </w:r>
            <w:r>
              <w:t>: s</w:t>
            </w:r>
            <w:r w:rsidR="004B1E25">
              <w:t>moking abstinence, biochemically validated, longest follow-up</w:t>
            </w:r>
            <w:r w:rsidR="005E196D">
              <w:t xml:space="preserve"> (could be &lt;6</w:t>
            </w:r>
            <w:r>
              <w:t xml:space="preserve"> </w:t>
            </w:r>
            <w:r w:rsidR="005E196D">
              <w:t>mo</w:t>
            </w:r>
            <w:r>
              <w:t>nths</w:t>
            </w:r>
            <w:r w:rsidR="005E196D">
              <w:t>)</w:t>
            </w:r>
            <w:r w:rsidR="005A689C">
              <w:t>.</w:t>
            </w:r>
          </w:p>
        </w:tc>
      </w:tr>
      <w:tr w:rsidR="00FC76C4" w:rsidTr="0082427B">
        <w:tc>
          <w:tcPr>
            <w:tcW w:w="386" w:type="pct"/>
          </w:tcPr>
          <w:p w:rsidR="000A0293" w:rsidRDefault="00050F29" w:rsidP="00854681">
            <w:pPr>
              <w:pStyle w:val="Tablewriting"/>
            </w:pPr>
            <w:r>
              <w:t xml:space="preserve">Selph </w:t>
            </w:r>
          </w:p>
          <w:p w:rsidR="00050F29" w:rsidRDefault="000A0293" w:rsidP="00C84EF6">
            <w:pPr>
              <w:pStyle w:val="Tablewriting"/>
            </w:pPr>
            <w:r>
              <w:t>(</w:t>
            </w:r>
            <w:r w:rsidR="00050F29">
              <w:t>20</w:t>
            </w:r>
            <w:r w:rsidR="00483C3A">
              <w:t>20</w:t>
            </w:r>
            <w:r>
              <w:t>)</w:t>
            </w:r>
          </w:p>
        </w:tc>
        <w:tc>
          <w:tcPr>
            <w:tcW w:w="498" w:type="pct"/>
          </w:tcPr>
          <w:p w:rsidR="006E5ED0" w:rsidRDefault="006E5ED0" w:rsidP="006E5ED0">
            <w:pPr>
              <w:pStyle w:val="Tablewriting"/>
            </w:pPr>
            <w:r>
              <w:t xml:space="preserve"> SR </w:t>
            </w:r>
          </w:p>
          <w:p w:rsidR="00050F29" w:rsidRDefault="006E5ED0" w:rsidP="00C84EF6">
            <w:pPr>
              <w:pStyle w:val="Tablewriting"/>
            </w:pPr>
            <w:r>
              <w:t>(4 RCTs</w:t>
            </w:r>
            <w:r w:rsidR="00594205">
              <w:rPr>
                <w:vertAlign w:val="superscript"/>
              </w:rPr>
              <w:t>4</w:t>
            </w:r>
            <w:r>
              <w:t>)</w:t>
            </w:r>
          </w:p>
        </w:tc>
        <w:tc>
          <w:tcPr>
            <w:tcW w:w="893" w:type="pct"/>
          </w:tcPr>
          <w:p w:rsidR="003A395F" w:rsidRPr="00E119DC" w:rsidRDefault="003A395F" w:rsidP="003A395F">
            <w:pPr>
              <w:pStyle w:val="Tablewriting"/>
              <w:rPr>
                <w:u w:val="single"/>
              </w:rPr>
            </w:pPr>
            <w:r w:rsidRPr="00E119DC">
              <w:rPr>
                <w:u w:val="single"/>
              </w:rPr>
              <w:t>Efficacy (</w:t>
            </w:r>
            <w:r>
              <w:rPr>
                <w:u w:val="single"/>
              </w:rPr>
              <w:t>3</w:t>
            </w:r>
            <w:r w:rsidRPr="00E119DC">
              <w:rPr>
                <w:u w:val="single"/>
              </w:rPr>
              <w:t xml:space="preserve"> RCTs) </w:t>
            </w:r>
          </w:p>
          <w:p w:rsidR="00050F29" w:rsidRDefault="007B76CD" w:rsidP="00C84EF6">
            <w:pPr>
              <w:pStyle w:val="Tablewriting"/>
            </w:pPr>
            <w:r>
              <w:t xml:space="preserve">NRT </w:t>
            </w:r>
            <w:r w:rsidR="003A395F">
              <w:t>(</w:t>
            </w:r>
            <w:r w:rsidR="00EF330A">
              <w:t>N</w:t>
            </w:r>
            <w:r w:rsidR="003715AE">
              <w:t>=257</w:t>
            </w:r>
            <w:r w:rsidR="00EF330A">
              <w:t>),</w:t>
            </w:r>
          </w:p>
          <w:p w:rsidR="003715AE" w:rsidRDefault="003715AE" w:rsidP="00C84EF6">
            <w:pPr>
              <w:pStyle w:val="Tablewriting"/>
            </w:pPr>
            <w:r>
              <w:t>Bupropion</w:t>
            </w:r>
            <w:r w:rsidR="00EF330A">
              <w:t xml:space="preserve"> (N</w:t>
            </w:r>
            <w:r>
              <w:t>=523</w:t>
            </w:r>
            <w:r w:rsidR="00EF330A">
              <w:t>)</w:t>
            </w:r>
          </w:p>
        </w:tc>
        <w:tc>
          <w:tcPr>
            <w:tcW w:w="1372" w:type="pct"/>
          </w:tcPr>
          <w:p w:rsidR="00050F29" w:rsidRDefault="003720DC" w:rsidP="00C84EF6">
            <w:pPr>
              <w:pStyle w:val="Tablewriting"/>
            </w:pPr>
            <w:r w:rsidRPr="00E119DC">
              <w:rPr>
                <w:u w:val="single"/>
              </w:rPr>
              <w:t>Inclusion:</w:t>
            </w:r>
            <w:r>
              <w:t xml:space="preserve"> c</w:t>
            </w:r>
            <w:r w:rsidR="005F1A4A" w:rsidRPr="005F1A4A">
              <w:t>hildren and adolescent</w:t>
            </w:r>
            <w:r w:rsidR="005F1A4A">
              <w:t xml:space="preserve"> smokers</w:t>
            </w:r>
            <w:r w:rsidR="005A689C">
              <w:t>.</w:t>
            </w:r>
          </w:p>
        </w:tc>
        <w:tc>
          <w:tcPr>
            <w:tcW w:w="914" w:type="pct"/>
          </w:tcPr>
          <w:p w:rsidR="00050F29" w:rsidRDefault="00D57E58" w:rsidP="00C84EF6">
            <w:pPr>
              <w:pStyle w:val="Tablewriting"/>
            </w:pPr>
            <w:r>
              <w:t>Pharmacological interventions</w:t>
            </w:r>
            <w:r w:rsidR="004C6D5C">
              <w:t>,</w:t>
            </w:r>
            <w:r w:rsidR="000B47EB">
              <w:t xml:space="preserve"> </w:t>
            </w:r>
            <w:r>
              <w:t>Minimal or no tobacco use interventions</w:t>
            </w:r>
            <w:r w:rsidR="005A689C">
              <w:t>.</w:t>
            </w:r>
            <w:r w:rsidR="00E76F42">
              <w:t xml:space="preserve"> </w:t>
            </w:r>
          </w:p>
        </w:tc>
        <w:tc>
          <w:tcPr>
            <w:tcW w:w="937" w:type="pct"/>
          </w:tcPr>
          <w:p w:rsidR="00210C3D" w:rsidRDefault="00BD6D77" w:rsidP="00C84EF6">
            <w:pPr>
              <w:pStyle w:val="Tablewriting"/>
            </w:pPr>
            <w:r w:rsidRPr="00E119DC">
              <w:rPr>
                <w:u w:val="single"/>
              </w:rPr>
              <w:t>Primary</w:t>
            </w:r>
            <w:r>
              <w:t>: s</w:t>
            </w:r>
            <w:r w:rsidR="005B6A54">
              <w:t>moking abstinence at longest follow-up</w:t>
            </w:r>
            <w:r>
              <w:t xml:space="preserve"> (minimum of 6 months)</w:t>
            </w:r>
            <w:r w:rsidR="005A689C">
              <w:t>.</w:t>
            </w:r>
          </w:p>
        </w:tc>
      </w:tr>
    </w:tbl>
    <w:p w:rsidR="00CE1793" w:rsidRDefault="00CE1793" w:rsidP="004C6D5C">
      <w:pPr>
        <w:pStyle w:val="TableFooter"/>
        <w:rPr>
          <w:i/>
        </w:rPr>
      </w:pPr>
      <w:r>
        <w:t xml:space="preserve">Abbreviations: </w:t>
      </w:r>
      <w:r w:rsidR="005D35C5">
        <w:t>MA = meta-analysis;</w:t>
      </w:r>
      <w:r>
        <w:t xml:space="preserve"> NRT = nicotine replacement therapy; RCT = randomised controlled trial</w:t>
      </w:r>
      <w:r w:rsidR="00754AA1">
        <w:t>; SR = systematic review</w:t>
      </w:r>
      <w:r w:rsidRPr="00061F78">
        <w:t xml:space="preserve"> </w:t>
      </w:r>
    </w:p>
    <w:p w:rsidR="00CE1793" w:rsidRDefault="00CE1793" w:rsidP="004C6D5C">
      <w:pPr>
        <w:pStyle w:val="TableFooter"/>
      </w:pPr>
      <w:r>
        <w:t>Notes:</w:t>
      </w:r>
    </w:p>
    <w:p w:rsidR="00B75E91" w:rsidRDefault="00CE1793" w:rsidP="004C6D5C">
      <w:pPr>
        <w:pStyle w:val="TableFooter"/>
      </w:pPr>
      <w:r>
        <w:t>1 Only the number of patients (n) in the relevant arms were included</w:t>
      </w:r>
      <w:r w:rsidR="005A689C">
        <w:t>.</w:t>
      </w:r>
    </w:p>
    <w:p w:rsidR="005750D8" w:rsidRDefault="00B75E91" w:rsidP="004C6D5C">
      <w:pPr>
        <w:pStyle w:val="TableFooter"/>
      </w:pPr>
      <w:r>
        <w:t>2</w:t>
      </w:r>
      <w:r w:rsidR="00CE1793">
        <w:t xml:space="preserve"> </w:t>
      </w:r>
      <w:r w:rsidR="006E5ED0">
        <w:t>A total of 5 RCTs were identified, with 4 RCTs contributing to primary efficacy analysis.</w:t>
      </w:r>
      <w:r w:rsidR="00CE1793">
        <w:t xml:space="preserve"> </w:t>
      </w:r>
      <w:r w:rsidR="005517FC">
        <w:t xml:space="preserve">Of the 4 RCTs, </w:t>
      </w:r>
      <w:r w:rsidR="009F68B5">
        <w:t>2</w:t>
      </w:r>
      <w:r w:rsidR="005517FC">
        <w:t xml:space="preserve"> RCT</w:t>
      </w:r>
      <w:r w:rsidR="009F68B5">
        <w:t>s</w:t>
      </w:r>
      <w:r w:rsidR="005517FC">
        <w:t xml:space="preserve"> compared NRT with placebo, 1 </w:t>
      </w:r>
      <w:r w:rsidR="009F68B5">
        <w:t>RCT compared bupropion with placebo and 1 RCT compared NRT</w:t>
      </w:r>
      <w:r w:rsidR="00F839C1">
        <w:t xml:space="preserve"> patch </w:t>
      </w:r>
      <w:r w:rsidR="009F68B5">
        <w:t>+</w:t>
      </w:r>
      <w:r w:rsidR="00F839C1">
        <w:t xml:space="preserve"> </w:t>
      </w:r>
      <w:r w:rsidR="009F68B5">
        <w:t>bupropion with NRT</w:t>
      </w:r>
      <w:r w:rsidR="00F839C1">
        <w:t xml:space="preserve"> patch + placebo.</w:t>
      </w:r>
      <w:r w:rsidR="00CE1793">
        <w:t xml:space="preserve"> The characteristics of the individual studies included in </w:t>
      </w:r>
      <w:r w:rsidR="00F839C1">
        <w:t>Fanshawe</w:t>
      </w:r>
      <w:r w:rsidR="00CE1793">
        <w:t xml:space="preserve"> et al. </w:t>
      </w:r>
      <w:r w:rsidR="00CE1793" w:rsidRPr="008138B1">
        <w:t>(20</w:t>
      </w:r>
      <w:r w:rsidR="00F839C1" w:rsidRPr="008138B1">
        <w:t>17</w:t>
      </w:r>
      <w:r w:rsidR="00CE1793" w:rsidRPr="008138B1">
        <w:t>) are presented in Appendix</w:t>
      </w:r>
      <w:r w:rsidR="008138B1" w:rsidRPr="008138B1">
        <w:t xml:space="preserve"> </w:t>
      </w:r>
      <w:r w:rsidR="003C4A1C">
        <w:t xml:space="preserve">Table </w:t>
      </w:r>
      <w:r w:rsidR="003C4A1C">
        <w:rPr>
          <w:noProof/>
        </w:rPr>
        <w:t>166</w:t>
      </w:r>
      <w:r w:rsidR="00CE1793" w:rsidRPr="008138B1">
        <w:t>.</w:t>
      </w:r>
    </w:p>
    <w:p w:rsidR="009F6B4C" w:rsidRDefault="005750D8" w:rsidP="004C6D5C">
      <w:pPr>
        <w:pStyle w:val="TableFooter"/>
      </w:pPr>
      <w:r>
        <w:t xml:space="preserve">3 Of the 9 RCTs, </w:t>
      </w:r>
      <w:r w:rsidR="0055553D">
        <w:t>5</w:t>
      </w:r>
      <w:r>
        <w:t xml:space="preserve"> RCTs compared NRT with placebo, </w:t>
      </w:r>
      <w:r w:rsidR="0055553D">
        <w:t>3</w:t>
      </w:r>
      <w:r>
        <w:t xml:space="preserve"> RCT</w:t>
      </w:r>
      <w:r w:rsidR="0055553D">
        <w:t>s</w:t>
      </w:r>
      <w:r>
        <w:t xml:space="preserve"> compared bupropion with placebo and 1 RCT compared NRT patch + bupropion with NRT patch + placebo. </w:t>
      </w:r>
      <w:r w:rsidR="00052D34">
        <w:t xml:space="preserve">4 RCTs </w:t>
      </w:r>
      <w:r w:rsidR="00D97977">
        <w:t>(Killen 2004, Moolchan 2005, Muramoto 2007, Scherphof 2014)</w:t>
      </w:r>
      <w:r w:rsidR="00052D34">
        <w:t xml:space="preserve"> were previously included in Fanshawe et al. (2017) and the remaining studies excluded from Fanshawe (2017) because the outcomes were assessed </w:t>
      </w:r>
      <w:r w:rsidR="003C10F8">
        <w:t xml:space="preserve">at </w:t>
      </w:r>
      <w:r w:rsidR="00052D34">
        <w:t xml:space="preserve">&lt;6 months. </w:t>
      </w:r>
      <w:r>
        <w:t xml:space="preserve">The characteristics of the individual studies included in </w:t>
      </w:r>
      <w:r w:rsidR="00052D34">
        <w:t>Myung</w:t>
      </w:r>
      <w:r>
        <w:t xml:space="preserve"> et al. </w:t>
      </w:r>
      <w:r w:rsidRPr="008138B1">
        <w:t>(201</w:t>
      </w:r>
      <w:r w:rsidR="00052D34" w:rsidRPr="008138B1">
        <w:t>9</w:t>
      </w:r>
      <w:r w:rsidRPr="008138B1">
        <w:t>) are presented in Appendix</w:t>
      </w:r>
      <w:r w:rsidR="008138B1" w:rsidRPr="008138B1">
        <w:t xml:space="preserve"> </w:t>
      </w:r>
      <w:r w:rsidR="003C4A1C">
        <w:t xml:space="preserve">Table </w:t>
      </w:r>
      <w:r w:rsidR="003C4A1C">
        <w:rPr>
          <w:noProof/>
        </w:rPr>
        <w:t>167</w:t>
      </w:r>
      <w:r w:rsidRPr="008138B1">
        <w:t>.</w:t>
      </w:r>
      <w:r w:rsidR="006F3D13">
        <w:t xml:space="preserve"> </w:t>
      </w:r>
      <w:r w:rsidR="00324ED8">
        <w:t xml:space="preserve">Myung et al. (2019) did not </w:t>
      </w:r>
      <w:r w:rsidR="006F3D13" w:rsidRPr="006F3D13">
        <w:t>state whether a protocol was registered before commencement of the review</w:t>
      </w:r>
      <w:r w:rsidR="00324ED8">
        <w:t xml:space="preserve"> (AMSTAR 2 critical domain).</w:t>
      </w:r>
    </w:p>
    <w:p w:rsidR="00594205" w:rsidRDefault="009F6B4C" w:rsidP="004C6D5C">
      <w:pPr>
        <w:pStyle w:val="TableFooter"/>
      </w:pPr>
      <w:r>
        <w:t xml:space="preserve">4 A total of 4 RCTs were identified, with 3 RCTs contributing to primary efficacy analysis. Of the 3 RCTs, </w:t>
      </w:r>
      <w:r w:rsidR="00CF7F89">
        <w:t>1</w:t>
      </w:r>
      <w:r>
        <w:t xml:space="preserve"> RCT compared NRT with placebo, </w:t>
      </w:r>
      <w:r w:rsidR="00CF7F89">
        <w:t>1</w:t>
      </w:r>
      <w:r>
        <w:t xml:space="preserve"> RCT compared bupropion with placebo and 1 RCT compared NRT patch + bupropion with NRT patch + placebo. </w:t>
      </w:r>
      <w:r w:rsidR="00CF7F89">
        <w:t>The 3</w:t>
      </w:r>
      <w:r>
        <w:t xml:space="preserve"> RCTs</w:t>
      </w:r>
      <w:r w:rsidR="00CF7F89">
        <w:t xml:space="preserve"> (Killen 2004, Muramoto 2007, </w:t>
      </w:r>
      <w:r w:rsidR="009E7142">
        <w:t>and Scherpof</w:t>
      </w:r>
      <w:r w:rsidR="00CF7F89">
        <w:t xml:space="preserve"> 2014)</w:t>
      </w:r>
      <w:r>
        <w:t xml:space="preserve"> were previously included in Fanshawe et al. (2017</w:t>
      </w:r>
      <w:r w:rsidR="00CF7F89">
        <w:t>)</w:t>
      </w:r>
      <w:r>
        <w:t xml:space="preserve">. The characteristics of the individual studies included in </w:t>
      </w:r>
      <w:r w:rsidR="00CF7F89">
        <w:t>Selph</w:t>
      </w:r>
      <w:r>
        <w:t xml:space="preserve"> et al. </w:t>
      </w:r>
      <w:r w:rsidRPr="008138B1">
        <w:t>(2019) are presented in Appendix</w:t>
      </w:r>
      <w:r w:rsidR="008138B1" w:rsidRPr="008138B1">
        <w:t xml:space="preserve"> </w:t>
      </w:r>
      <w:r w:rsidR="003C4A1C">
        <w:t xml:space="preserve">Table </w:t>
      </w:r>
      <w:r w:rsidR="003C4A1C">
        <w:rPr>
          <w:noProof/>
        </w:rPr>
        <w:t>168</w:t>
      </w:r>
      <w:r w:rsidRPr="008138B1">
        <w:t>.</w:t>
      </w:r>
      <w:r w:rsidR="00324ED8">
        <w:t xml:space="preserve"> Selph et al. (2020) did not </w:t>
      </w:r>
      <w:r w:rsidR="00324ED8" w:rsidRPr="006F3D13">
        <w:t>state whether a protocol was registered before commencement of the review</w:t>
      </w:r>
      <w:r w:rsidR="00324ED8" w:rsidRPr="00324ED8">
        <w:t xml:space="preserve"> </w:t>
      </w:r>
      <w:r w:rsidR="00324ED8">
        <w:t xml:space="preserve">and </w:t>
      </w:r>
      <w:r w:rsidR="00324ED8" w:rsidRPr="00324ED8">
        <w:t>did not assess the presence and likely impact of publication bias.</w:t>
      </w:r>
      <w:r w:rsidR="00324ED8">
        <w:t xml:space="preserve"> (AMSTAR 2 critical domain).</w:t>
      </w:r>
    </w:p>
    <w:p w:rsidR="004C6D5C" w:rsidRDefault="00594205" w:rsidP="004C6D5C">
      <w:pPr>
        <w:pStyle w:val="TableFooter"/>
      </w:pPr>
      <w:r>
        <w:t>5 Regular smokers were defined as a young person who smokes an average of at least one cigarette a week, and has done so for at least six months</w:t>
      </w:r>
      <w:r w:rsidR="005A689C">
        <w:t>.</w:t>
      </w:r>
    </w:p>
    <w:p w:rsidR="004C6D5C" w:rsidRDefault="004C6D5C" w:rsidP="004C6D5C">
      <w:pPr>
        <w:pStyle w:val="TableFooter"/>
        <w:keepNext/>
        <w:sectPr w:rsidR="004C6D5C" w:rsidSect="004C6D5C">
          <w:pgSz w:w="16838" w:h="11906" w:orient="landscape"/>
          <w:pgMar w:top="1440" w:right="1440" w:bottom="1440" w:left="1440" w:header="708" w:footer="708" w:gutter="0"/>
          <w:cols w:space="708"/>
          <w:titlePg/>
          <w:docGrid w:linePitch="360"/>
        </w:sectPr>
      </w:pPr>
    </w:p>
    <w:p w:rsidR="00634E0F" w:rsidRDefault="002E0537" w:rsidP="00816F95">
      <w:r>
        <w:lastRenderedPageBreak/>
        <w:t xml:space="preserve">While Myung et al. (2019) and Selph et al. (2019) were published after </w:t>
      </w:r>
      <w:r w:rsidR="001F4FDB">
        <w:t>Fanshawe et al</w:t>
      </w:r>
      <w:r>
        <w:t>. (2017), there w</w:t>
      </w:r>
      <w:r w:rsidR="00345DA4">
        <w:t>as</w:t>
      </w:r>
      <w:r>
        <w:t xml:space="preserve"> no new evidence identified since 2017</w:t>
      </w:r>
      <w:r w:rsidR="00105A73">
        <w:t xml:space="preserve"> (i.e. </w:t>
      </w:r>
      <w:r w:rsidR="00BD5F4F">
        <w:t>the</w:t>
      </w:r>
      <w:r w:rsidR="00105A73">
        <w:t xml:space="preserve"> latest RCT identified was Scherphof et al. 2014</w:t>
      </w:r>
      <w:r w:rsidR="00BA29DF">
        <w:t xml:space="preserve"> included in Fanshawe et al. 2017</w:t>
      </w:r>
      <w:r w:rsidR="00105A73">
        <w:t>).</w:t>
      </w:r>
      <w:r>
        <w:t xml:space="preserve"> </w:t>
      </w:r>
      <w:r w:rsidR="00B42367">
        <w:t>It was noted that</w:t>
      </w:r>
      <w:r w:rsidR="002705FE">
        <w:t xml:space="preserve"> five </w:t>
      </w:r>
      <w:r w:rsidR="00B42367">
        <w:t>RCTs in Myung et al. (2019)</w:t>
      </w:r>
      <w:r w:rsidR="002705FE">
        <w:t xml:space="preserve"> were excluded </w:t>
      </w:r>
      <w:r w:rsidR="00FA24EE">
        <w:t>by</w:t>
      </w:r>
      <w:r w:rsidR="002705FE">
        <w:t xml:space="preserve"> Fanshawe </w:t>
      </w:r>
      <w:r w:rsidR="00FA24EE">
        <w:t>et al</w:t>
      </w:r>
      <w:r w:rsidR="00B42367">
        <w:t>. (2017)</w:t>
      </w:r>
      <w:r w:rsidR="00FA24EE">
        <w:t xml:space="preserve"> </w:t>
      </w:r>
      <w:r w:rsidR="002705FE">
        <w:t xml:space="preserve">because the </w:t>
      </w:r>
      <w:r w:rsidR="00351375">
        <w:t xml:space="preserve">outcomes </w:t>
      </w:r>
      <w:r w:rsidR="00FA24EE">
        <w:t xml:space="preserve">in those trials </w:t>
      </w:r>
      <w:r w:rsidR="00351375">
        <w:t xml:space="preserve">were assessed at less than 6 months. </w:t>
      </w:r>
      <w:r w:rsidR="00BA29DF">
        <w:t>Of the five RCTs, t</w:t>
      </w:r>
      <w:r w:rsidR="00CA0F4F">
        <w:t>hree RCT</w:t>
      </w:r>
      <w:r w:rsidR="00A519B5">
        <w:t>s involved NRT</w:t>
      </w:r>
      <w:r w:rsidR="00263A80">
        <w:t xml:space="preserve"> (</w:t>
      </w:r>
      <w:r w:rsidR="00263A80" w:rsidRPr="008138B1">
        <w:t>Hanson 2003, Roddy 2006, Rubinstein 2008</w:t>
      </w:r>
      <w:r w:rsidR="00263A80">
        <w:t>)</w:t>
      </w:r>
      <w:r w:rsidR="00394914">
        <w:t xml:space="preserve"> and two </w:t>
      </w:r>
      <w:r w:rsidR="00CA0F4F">
        <w:t>RCTs</w:t>
      </w:r>
      <w:r w:rsidR="00394914">
        <w:t xml:space="preserve"> </w:t>
      </w:r>
      <w:r w:rsidR="00A519B5">
        <w:t>involved bupropion</w:t>
      </w:r>
      <w:r w:rsidR="00263A80">
        <w:t xml:space="preserve"> </w:t>
      </w:r>
      <w:r w:rsidR="00263A80" w:rsidRPr="008138B1">
        <w:t>(</w:t>
      </w:r>
      <w:r w:rsidR="007B58A5" w:rsidRPr="008138B1">
        <w:t>Niederhofer 2004, Gray 2011</w:t>
      </w:r>
      <w:r w:rsidR="007B58A5">
        <w:t>)</w:t>
      </w:r>
      <w:r w:rsidR="00263A80">
        <w:t>.</w:t>
      </w:r>
    </w:p>
    <w:p w:rsidR="006434E2" w:rsidRDefault="00CA0F4F" w:rsidP="00816F95">
      <w:r>
        <w:t xml:space="preserve">Accordingly, </w:t>
      </w:r>
      <w:r w:rsidR="00614D15">
        <w:t xml:space="preserve">the Cochrane Review by Fanshawe et al. (2017) was presented as the primary evidence for adolescents in this report while </w:t>
      </w:r>
      <w:r w:rsidR="006434E2">
        <w:t xml:space="preserve">Myung </w:t>
      </w:r>
      <w:r w:rsidR="00614D15">
        <w:t>et al. (</w:t>
      </w:r>
      <w:r w:rsidR="006434E2">
        <w:t>2019</w:t>
      </w:r>
      <w:r w:rsidR="00614D15">
        <w:t>)</w:t>
      </w:r>
      <w:r w:rsidR="006434E2">
        <w:t xml:space="preserve"> and Selph </w:t>
      </w:r>
      <w:r w:rsidR="00614D15">
        <w:t>et al. (</w:t>
      </w:r>
      <w:r w:rsidR="006434E2">
        <w:t>2019</w:t>
      </w:r>
      <w:r w:rsidR="00614D15">
        <w:t>)</w:t>
      </w:r>
      <w:r w:rsidR="006434E2">
        <w:t xml:space="preserve"> are presented as supportive evidence. </w:t>
      </w:r>
    </w:p>
    <w:p w:rsidR="00862C77" w:rsidRPr="00862C77" w:rsidRDefault="00862C77" w:rsidP="00816F95">
      <w:pPr>
        <w:rPr>
          <w:b/>
          <w:bCs/>
        </w:rPr>
      </w:pPr>
      <w:r w:rsidRPr="00862C77">
        <w:rPr>
          <w:b/>
          <w:bCs/>
        </w:rPr>
        <w:t>NRT</w:t>
      </w:r>
    </w:p>
    <w:p w:rsidR="003967C8" w:rsidRDefault="003967C8" w:rsidP="00816F95">
      <w:r w:rsidRPr="005E196D">
        <w:rPr>
          <w:u w:val="single"/>
        </w:rPr>
        <w:t>Efficacy</w:t>
      </w:r>
    </w:p>
    <w:p w:rsidR="00DC7755" w:rsidRDefault="00DC7755" w:rsidP="00816F95">
      <w:r>
        <w:t xml:space="preserve">A summary of the smoking cessation rates at the longest follow-up </w:t>
      </w:r>
      <w:r w:rsidR="00F9564A">
        <w:t xml:space="preserve">comparing </w:t>
      </w:r>
      <w:r w:rsidR="00D936F9">
        <w:t xml:space="preserve">NRT </w:t>
      </w:r>
      <w:r w:rsidR="004A3532">
        <w:t>(patch or gum)</w:t>
      </w:r>
      <w:r w:rsidR="00D936F9">
        <w:t xml:space="preserve"> with placebo</w:t>
      </w:r>
      <w:r>
        <w:t xml:space="preserve"> is presented in </w:t>
      </w:r>
      <w:r w:rsidR="003C4A1C">
        <w:t xml:space="preserve">Table </w:t>
      </w:r>
      <w:r w:rsidR="003C4A1C">
        <w:rPr>
          <w:noProof/>
        </w:rPr>
        <w:t>132</w:t>
      </w:r>
      <w:r>
        <w:t>.</w:t>
      </w:r>
      <w:r w:rsidR="00DB5108">
        <w:t xml:space="preserve"> </w:t>
      </w:r>
      <w:r w:rsidR="00DB5108" w:rsidRPr="00B817FB">
        <w:t xml:space="preserve">The results of the </w:t>
      </w:r>
      <w:r w:rsidR="00D936F9">
        <w:t>meta-analysis comprising two RCTs by Fanshawe et al. (2017) demonstrated</w:t>
      </w:r>
      <w:r w:rsidR="00D936F9" w:rsidRPr="00D936F9">
        <w:t xml:space="preserve"> </w:t>
      </w:r>
      <w:r w:rsidR="00D936F9">
        <w:t>no</w:t>
      </w:r>
      <w:r w:rsidR="00D936F9" w:rsidRPr="00D936F9">
        <w:t xml:space="preserve"> </w:t>
      </w:r>
      <w:r w:rsidR="00D936F9">
        <w:t xml:space="preserve">statistically </w:t>
      </w:r>
      <w:r w:rsidR="00D936F9" w:rsidRPr="00D936F9">
        <w:t xml:space="preserve">significant </w:t>
      </w:r>
      <w:r w:rsidR="00D936F9">
        <w:t>difference</w:t>
      </w:r>
      <w:r w:rsidR="00D936F9" w:rsidRPr="00D936F9">
        <w:t xml:space="preserve"> in smoking cessation rates </w:t>
      </w:r>
      <w:r w:rsidR="00D936F9">
        <w:t>between the two treatment arms</w:t>
      </w:r>
      <w:r w:rsidR="00D936F9" w:rsidRPr="00D936F9">
        <w:t xml:space="preserve">. Subgroup analysis by </w:t>
      </w:r>
      <w:r w:rsidR="008E0AD1">
        <w:t xml:space="preserve">NRT </w:t>
      </w:r>
      <w:r w:rsidR="00573F59">
        <w:t>patches</w:t>
      </w:r>
      <w:r w:rsidR="00D936F9" w:rsidRPr="00D936F9">
        <w:t xml:space="preserve"> and </w:t>
      </w:r>
      <w:r w:rsidR="008E0AD1">
        <w:t>NRT gum</w:t>
      </w:r>
      <w:r w:rsidR="00D936F9" w:rsidRPr="00D936F9">
        <w:t xml:space="preserve"> did not reveal evidence that the effect differed by NRT type (P=0.</w:t>
      </w:r>
      <w:r w:rsidR="008E0AD1">
        <w:t>65</w:t>
      </w:r>
      <w:r w:rsidR="00D936F9" w:rsidRPr="00D936F9">
        <w:t>).</w:t>
      </w:r>
      <w:r w:rsidR="006E1678">
        <w:t xml:space="preserve"> </w:t>
      </w:r>
      <w:r w:rsidR="006E1678" w:rsidRPr="006E1678">
        <w:t>Fanshawe et al</w:t>
      </w:r>
      <w:r w:rsidR="006E1678">
        <w:t>. (2017)</w:t>
      </w:r>
      <w:r w:rsidR="006E1678" w:rsidRPr="006E1678">
        <w:t xml:space="preserve"> noted that the wide confidence intervals and small number of events in both arms suggest that the studies were underpowered to detect any differences.</w:t>
      </w:r>
    </w:p>
    <w:p w:rsidR="00F155EA" w:rsidRDefault="00F155EA" w:rsidP="00F155EA">
      <w:pPr>
        <w:pStyle w:val="Caption"/>
        <w:keepNext/>
      </w:pPr>
      <w:bookmarkStart w:id="258" w:name="_Ref61957934"/>
      <w:r>
        <w:t xml:space="preserve">Table </w:t>
      </w:r>
      <w:r w:rsidR="003C4A1C">
        <w:rPr>
          <w:noProof/>
        </w:rPr>
        <w:t>132</w:t>
      </w:r>
      <w:bookmarkEnd w:id="258"/>
      <w:r>
        <w:t xml:space="preserve">: </w:t>
      </w:r>
      <w:r w:rsidRPr="00B95017">
        <w:t xml:space="preserve">Results of smoking cessation in </w:t>
      </w:r>
      <w:r>
        <w:t>adolescents</w:t>
      </w:r>
      <w:r w:rsidRPr="00B95017">
        <w:t xml:space="preserve"> in </w:t>
      </w:r>
      <w:r>
        <w:t>Fanshawe</w:t>
      </w:r>
      <w:r w:rsidRPr="00B95017">
        <w:t xml:space="preserve"> et al. (20</w:t>
      </w:r>
      <w:r>
        <w:t>17</w:t>
      </w:r>
      <w:r w:rsidRPr="00B95017">
        <w:t xml:space="preserve">), </w:t>
      </w:r>
      <w:r>
        <w:t>NRT</w:t>
      </w:r>
      <w:r w:rsidRPr="00B95017">
        <w:t xml:space="preserve"> versus placebo</w:t>
      </w:r>
    </w:p>
    <w:tbl>
      <w:tblPr>
        <w:tblStyle w:val="TableGrid"/>
        <w:tblW w:w="5000" w:type="pct"/>
        <w:tblLook w:val="04A0" w:firstRow="1" w:lastRow="0" w:firstColumn="1" w:lastColumn="0" w:noHBand="0" w:noVBand="1"/>
      </w:tblPr>
      <w:tblGrid>
        <w:gridCol w:w="1129"/>
        <w:gridCol w:w="1985"/>
        <w:gridCol w:w="1843"/>
        <w:gridCol w:w="2126"/>
        <w:gridCol w:w="1933"/>
      </w:tblGrid>
      <w:tr w:rsidR="00AB043F" w:rsidRPr="007D5EC7" w:rsidTr="004E05BB">
        <w:tc>
          <w:tcPr>
            <w:tcW w:w="626" w:type="pct"/>
            <w:shd w:val="clear" w:color="auto" w:fill="BFBFBF" w:themeFill="background1" w:themeFillShade="BF"/>
          </w:tcPr>
          <w:p w:rsidR="00AB043F" w:rsidRPr="007D5EC7" w:rsidRDefault="00AB043F" w:rsidP="00A33E0D">
            <w:pPr>
              <w:pStyle w:val="Tablewriting"/>
              <w:rPr>
                <w:b/>
                <w:bCs/>
              </w:rPr>
            </w:pPr>
            <w:r w:rsidRPr="007D5EC7">
              <w:rPr>
                <w:b/>
                <w:bCs/>
              </w:rPr>
              <w:t>Study</w:t>
            </w:r>
          </w:p>
        </w:tc>
        <w:tc>
          <w:tcPr>
            <w:tcW w:w="1101" w:type="pct"/>
            <w:shd w:val="clear" w:color="auto" w:fill="BFBFBF" w:themeFill="background1" w:themeFillShade="BF"/>
          </w:tcPr>
          <w:p w:rsidR="00AB043F" w:rsidRPr="007D5EC7" w:rsidRDefault="00AB043F" w:rsidP="00525B39">
            <w:pPr>
              <w:pStyle w:val="Tablewriting"/>
              <w:jc w:val="center"/>
              <w:rPr>
                <w:b/>
                <w:bCs/>
              </w:rPr>
            </w:pPr>
            <w:r w:rsidRPr="007D5EC7">
              <w:rPr>
                <w:b/>
                <w:bCs/>
              </w:rPr>
              <w:t>Study Type</w:t>
            </w:r>
          </w:p>
        </w:tc>
        <w:tc>
          <w:tcPr>
            <w:tcW w:w="1022" w:type="pct"/>
            <w:shd w:val="clear" w:color="auto" w:fill="BFBFBF" w:themeFill="background1" w:themeFillShade="BF"/>
          </w:tcPr>
          <w:p w:rsidR="00AB043F" w:rsidRPr="007D5EC7" w:rsidRDefault="00AB043F" w:rsidP="00525B39">
            <w:pPr>
              <w:pStyle w:val="Tablewriting"/>
              <w:jc w:val="center"/>
              <w:rPr>
                <w:b/>
                <w:bCs/>
              </w:rPr>
            </w:pPr>
            <w:r w:rsidRPr="007D5EC7">
              <w:rPr>
                <w:b/>
                <w:bCs/>
              </w:rPr>
              <w:t>NRT</w:t>
            </w:r>
          </w:p>
        </w:tc>
        <w:tc>
          <w:tcPr>
            <w:tcW w:w="1179" w:type="pct"/>
            <w:shd w:val="clear" w:color="auto" w:fill="BFBFBF" w:themeFill="background1" w:themeFillShade="BF"/>
          </w:tcPr>
          <w:p w:rsidR="00AB043F" w:rsidRPr="007D5EC7" w:rsidRDefault="00AB043F" w:rsidP="00525B39">
            <w:pPr>
              <w:pStyle w:val="Tablewriting"/>
              <w:jc w:val="center"/>
              <w:rPr>
                <w:b/>
                <w:bCs/>
              </w:rPr>
            </w:pPr>
            <w:r w:rsidRPr="007D5EC7">
              <w:rPr>
                <w:b/>
                <w:bCs/>
              </w:rPr>
              <w:t>Placebo</w:t>
            </w:r>
          </w:p>
        </w:tc>
        <w:tc>
          <w:tcPr>
            <w:tcW w:w="1072" w:type="pct"/>
            <w:shd w:val="clear" w:color="auto" w:fill="BFBFBF" w:themeFill="background1" w:themeFillShade="BF"/>
          </w:tcPr>
          <w:p w:rsidR="00AB043F" w:rsidRPr="00F9564A" w:rsidRDefault="00AB043F" w:rsidP="00525B39">
            <w:pPr>
              <w:pStyle w:val="Tablewriting"/>
              <w:jc w:val="center"/>
              <w:rPr>
                <w:b/>
                <w:vertAlign w:val="superscript"/>
              </w:rPr>
            </w:pPr>
            <w:r w:rsidRPr="007D5EC7">
              <w:rPr>
                <w:b/>
                <w:bCs/>
              </w:rPr>
              <w:t>RR (95%CI)</w:t>
            </w:r>
            <w:r w:rsidR="00F9564A">
              <w:rPr>
                <w:b/>
                <w:bCs/>
                <w:vertAlign w:val="superscript"/>
              </w:rPr>
              <w:t>1</w:t>
            </w:r>
          </w:p>
        </w:tc>
      </w:tr>
      <w:tr w:rsidR="00AB043F" w:rsidTr="004E05BB">
        <w:tc>
          <w:tcPr>
            <w:tcW w:w="626" w:type="pct"/>
          </w:tcPr>
          <w:p w:rsidR="00525B39" w:rsidRDefault="00E71654" w:rsidP="00A33E0D">
            <w:pPr>
              <w:pStyle w:val="Tablewriting"/>
            </w:pPr>
            <w:r>
              <w:t xml:space="preserve">Fanshawe </w:t>
            </w:r>
          </w:p>
          <w:p w:rsidR="00AB043F" w:rsidRDefault="00525B39" w:rsidP="00A33E0D">
            <w:pPr>
              <w:pStyle w:val="Tablewriting"/>
            </w:pPr>
            <w:r>
              <w:t>(</w:t>
            </w:r>
            <w:r w:rsidR="00E71654">
              <w:t>2017</w:t>
            </w:r>
            <w:r>
              <w:t>)</w:t>
            </w:r>
          </w:p>
        </w:tc>
        <w:tc>
          <w:tcPr>
            <w:tcW w:w="1101" w:type="pct"/>
          </w:tcPr>
          <w:p w:rsidR="00525B39" w:rsidRDefault="00A33E0D" w:rsidP="00525B39">
            <w:pPr>
              <w:pStyle w:val="Tablewriting"/>
              <w:jc w:val="center"/>
            </w:pPr>
            <w:r>
              <w:t xml:space="preserve">Cochrane Review </w:t>
            </w:r>
          </w:p>
          <w:p w:rsidR="00AB043F" w:rsidRDefault="00A33E0D" w:rsidP="00525B39">
            <w:pPr>
              <w:pStyle w:val="Tablewriting"/>
              <w:jc w:val="center"/>
            </w:pPr>
            <w:r>
              <w:t xml:space="preserve">(2 </w:t>
            </w:r>
            <w:r w:rsidR="00525B39">
              <w:t>RCT</w:t>
            </w:r>
            <w:r>
              <w:t>s</w:t>
            </w:r>
            <w:r w:rsidR="00525B39">
              <w:t>)</w:t>
            </w:r>
          </w:p>
        </w:tc>
        <w:tc>
          <w:tcPr>
            <w:tcW w:w="1022" w:type="pct"/>
          </w:tcPr>
          <w:p w:rsidR="00A33E0D" w:rsidRDefault="00B92264" w:rsidP="00525B39">
            <w:pPr>
              <w:pStyle w:val="Tablewriting"/>
              <w:jc w:val="center"/>
            </w:pPr>
            <w:r>
              <w:t>17/216</w:t>
            </w:r>
          </w:p>
          <w:p w:rsidR="00AB043F" w:rsidRDefault="00B92264" w:rsidP="00525B39">
            <w:pPr>
              <w:pStyle w:val="Tablewriting"/>
              <w:jc w:val="center"/>
            </w:pPr>
            <w:r>
              <w:t>(</w:t>
            </w:r>
            <w:r w:rsidR="0030637C">
              <w:t>7.9</w:t>
            </w:r>
            <w:r>
              <w:t>%)</w:t>
            </w:r>
          </w:p>
        </w:tc>
        <w:tc>
          <w:tcPr>
            <w:tcW w:w="1179" w:type="pct"/>
          </w:tcPr>
          <w:p w:rsidR="005C396C" w:rsidRDefault="005C396C" w:rsidP="00525B39">
            <w:pPr>
              <w:pStyle w:val="Tablewriting"/>
              <w:jc w:val="center"/>
            </w:pPr>
            <w:r>
              <w:t>10/169</w:t>
            </w:r>
          </w:p>
          <w:p w:rsidR="00AB043F" w:rsidRDefault="005C396C" w:rsidP="00525B39">
            <w:pPr>
              <w:pStyle w:val="Tablewriting"/>
              <w:jc w:val="center"/>
            </w:pPr>
            <w:r>
              <w:t>(</w:t>
            </w:r>
            <w:r w:rsidR="0030637C">
              <w:t>5.9</w:t>
            </w:r>
            <w:r>
              <w:t>%)</w:t>
            </w:r>
          </w:p>
        </w:tc>
        <w:tc>
          <w:tcPr>
            <w:tcW w:w="1072" w:type="pct"/>
          </w:tcPr>
          <w:p w:rsidR="00F155EA" w:rsidRDefault="00F155EA" w:rsidP="00525B39">
            <w:pPr>
              <w:pStyle w:val="Tablewriting"/>
              <w:jc w:val="center"/>
            </w:pPr>
            <w:r>
              <w:t>1.11</w:t>
            </w:r>
            <w:r w:rsidR="00A33E0D">
              <w:t xml:space="preserve"> </w:t>
            </w:r>
          </w:p>
          <w:p w:rsidR="00AB043F" w:rsidRDefault="00A33E0D" w:rsidP="00525B39">
            <w:pPr>
              <w:pStyle w:val="Tablewriting"/>
              <w:jc w:val="center"/>
            </w:pPr>
            <w:r>
              <w:t>(</w:t>
            </w:r>
            <w:r w:rsidR="00AB043F">
              <w:t>0.</w:t>
            </w:r>
            <w:r w:rsidR="00F155EA">
              <w:t>48</w:t>
            </w:r>
            <w:r w:rsidR="00AB043F">
              <w:t>, 2.</w:t>
            </w:r>
            <w:r w:rsidR="00F155EA">
              <w:t>58</w:t>
            </w:r>
            <w:r w:rsidR="00AB043F">
              <w:t>)</w:t>
            </w:r>
          </w:p>
        </w:tc>
      </w:tr>
    </w:tbl>
    <w:p w:rsidR="00F155EA" w:rsidRDefault="00F155EA" w:rsidP="00F155EA">
      <w:pPr>
        <w:pStyle w:val="TableFooter"/>
      </w:pPr>
      <w:r>
        <w:t>Source: Fanshawe et al. (2017)</w:t>
      </w:r>
    </w:p>
    <w:p w:rsidR="00F155EA" w:rsidRDefault="00F155EA" w:rsidP="00F155EA">
      <w:pPr>
        <w:pStyle w:val="TableFooter"/>
        <w:rPr>
          <w:i/>
        </w:rPr>
      </w:pPr>
      <w:r>
        <w:t>Abbreviations: CI = confidence interval; RCT = randomised controlled trial; RR = risk ratio</w:t>
      </w:r>
      <w:r w:rsidRPr="00061F78">
        <w:t xml:space="preserve"> </w:t>
      </w:r>
    </w:p>
    <w:p w:rsidR="00F155EA" w:rsidRDefault="00F155EA" w:rsidP="00F155EA">
      <w:pPr>
        <w:pStyle w:val="TableFooter"/>
      </w:pPr>
      <w:r w:rsidRPr="00D468CF">
        <w:t>Note</w:t>
      </w:r>
      <w:r>
        <w:t>s</w:t>
      </w:r>
      <w:r w:rsidRPr="00D468CF">
        <w:t>: Bold indicates statistically significant difference.</w:t>
      </w:r>
      <w:r w:rsidRPr="00962408">
        <w:t xml:space="preserve"> </w:t>
      </w:r>
      <w:r>
        <w:br/>
        <w:t>1 Calculated by Cochrane Review authors using a fixed-effect model</w:t>
      </w:r>
      <w:r w:rsidR="005A689C">
        <w:t>.</w:t>
      </w:r>
    </w:p>
    <w:p w:rsidR="00DC7755" w:rsidRDefault="00D936F9" w:rsidP="00816F95">
      <w:r w:rsidRPr="00B817FB">
        <w:t xml:space="preserve">The results of the individual studies included in </w:t>
      </w:r>
      <w:r>
        <w:t>Fanshawe et al</w:t>
      </w:r>
      <w:r w:rsidRPr="00B817FB">
        <w:t>. (20</w:t>
      </w:r>
      <w:r>
        <w:t>17</w:t>
      </w:r>
      <w:r w:rsidRPr="00B817FB">
        <w:t xml:space="preserve">) </w:t>
      </w:r>
      <w:r>
        <w:t>and sub</w:t>
      </w:r>
      <w:r w:rsidR="006E1678">
        <w:t>-</w:t>
      </w:r>
      <w:r>
        <w:t xml:space="preserve">grouped by NRT type </w:t>
      </w:r>
      <w:r w:rsidRPr="00B817FB">
        <w:t xml:space="preserve">are presented using a forest plot </w:t>
      </w:r>
      <w:r>
        <w:t xml:space="preserve">in </w:t>
      </w:r>
      <w:r w:rsidR="003C4A1C">
        <w:t xml:space="preserve">Figure </w:t>
      </w:r>
      <w:r w:rsidR="003C4A1C">
        <w:rPr>
          <w:noProof/>
        </w:rPr>
        <w:t>43</w:t>
      </w:r>
      <w:r w:rsidR="00D024F9">
        <w:t>.</w:t>
      </w:r>
    </w:p>
    <w:p w:rsidR="00D024F9" w:rsidRDefault="182FFB49" w:rsidP="006E1678">
      <w:r>
        <w:rPr>
          <w:noProof/>
        </w:rPr>
        <w:drawing>
          <wp:inline distT="0" distB="0" distL="0" distR="0" wp14:anchorId="26B9CBC5" wp14:editId="285045C2">
            <wp:extent cx="5731510" cy="2381250"/>
            <wp:effectExtent l="0" t="0" r="254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63">
                      <a:extLst>
                        <a:ext uri="{28A0092B-C50C-407E-A947-70E740481C1C}">
                          <a14:useLocalDpi xmlns:a14="http://schemas.microsoft.com/office/drawing/2010/main" val="0"/>
                        </a:ext>
                      </a:extLst>
                    </a:blip>
                    <a:stretch>
                      <a:fillRect/>
                    </a:stretch>
                  </pic:blipFill>
                  <pic:spPr>
                    <a:xfrm>
                      <a:off x="0" y="0"/>
                      <a:ext cx="5731510" cy="2381250"/>
                    </a:xfrm>
                    <a:prstGeom prst="rect">
                      <a:avLst/>
                    </a:prstGeom>
                  </pic:spPr>
                </pic:pic>
              </a:graphicData>
            </a:graphic>
          </wp:inline>
        </w:drawing>
      </w:r>
    </w:p>
    <w:p w:rsidR="000859BD" w:rsidRDefault="00D024F9" w:rsidP="006E1678">
      <w:pPr>
        <w:pStyle w:val="Caption"/>
      </w:pPr>
      <w:bookmarkStart w:id="259" w:name="_Ref61958172"/>
      <w:r>
        <w:lastRenderedPageBreak/>
        <w:t xml:space="preserve">Figure </w:t>
      </w:r>
      <w:r w:rsidR="003C4A1C">
        <w:rPr>
          <w:noProof/>
        </w:rPr>
        <w:t>43</w:t>
      </w:r>
      <w:bookmarkEnd w:id="259"/>
      <w:r>
        <w:t xml:space="preserve">: </w:t>
      </w:r>
      <w:r w:rsidRPr="00394A23">
        <w:t>Results of smoking cessation in adolescents in Fanshawe et al. (2017), NRT versus placebo</w:t>
      </w:r>
    </w:p>
    <w:p w:rsidR="00D024F9" w:rsidRDefault="00D024F9" w:rsidP="006E1678">
      <w:pPr>
        <w:pStyle w:val="FigureFooter"/>
      </w:pPr>
      <w:r>
        <w:t>Source: Fanshawe et al. (2017)</w:t>
      </w:r>
    </w:p>
    <w:p w:rsidR="00D024F9" w:rsidRDefault="00D024F9" w:rsidP="006E1678">
      <w:pPr>
        <w:pStyle w:val="FigureFooter"/>
      </w:pPr>
      <w:r>
        <w:t>Abbreviations: CI = confidence interval</w:t>
      </w:r>
    </w:p>
    <w:p w:rsidR="005D01E2" w:rsidRDefault="007023C0" w:rsidP="00816F95">
      <w:r>
        <w:t xml:space="preserve">Myung </w:t>
      </w:r>
      <w:r w:rsidR="0056442B">
        <w:t>et al. (</w:t>
      </w:r>
      <w:r>
        <w:t>2019</w:t>
      </w:r>
      <w:r w:rsidR="0056442B">
        <w:t>)</w:t>
      </w:r>
      <w:r w:rsidR="002E2667">
        <w:t xml:space="preserve"> meta-analysed an additional three trials that measured </w:t>
      </w:r>
      <w:r w:rsidR="006508C0">
        <w:t xml:space="preserve">the impact of NRT </w:t>
      </w:r>
      <w:r w:rsidR="00FF4FA3">
        <w:t>(patch or nasal spray)</w:t>
      </w:r>
      <w:r w:rsidR="006508C0">
        <w:t xml:space="preserve"> on </w:t>
      </w:r>
      <w:r w:rsidR="002E2667">
        <w:t>smoking cessation</w:t>
      </w:r>
      <w:r w:rsidR="003D4073">
        <w:t xml:space="preserve"> </w:t>
      </w:r>
      <w:r w:rsidR="00470E89">
        <w:t xml:space="preserve">outcomes </w:t>
      </w:r>
      <w:r w:rsidR="003D4073">
        <w:t xml:space="preserve">earlier than 6 months, and similarly found no evidence of benefit </w:t>
      </w:r>
      <w:r w:rsidR="0056442B">
        <w:t>in the use of</w:t>
      </w:r>
      <w:r w:rsidR="003D4073">
        <w:t xml:space="preserve"> NRT (</w:t>
      </w:r>
      <w:r w:rsidR="001C3FE4">
        <w:t>RR</w:t>
      </w:r>
      <w:r w:rsidR="0056442B">
        <w:t>:</w:t>
      </w:r>
      <w:r w:rsidR="001C3FE4">
        <w:t xml:space="preserve"> 1.38</w:t>
      </w:r>
      <w:r w:rsidR="0056442B">
        <w:t>;</w:t>
      </w:r>
      <w:r w:rsidR="001C3FE4">
        <w:t xml:space="preserve"> 95%</w:t>
      </w:r>
      <w:r w:rsidR="0056442B">
        <w:t xml:space="preserve"> </w:t>
      </w:r>
      <w:r w:rsidR="001C3FE4">
        <w:t>CI</w:t>
      </w:r>
      <w:r w:rsidR="0056442B">
        <w:t>:</w:t>
      </w:r>
      <w:r w:rsidR="001C3FE4">
        <w:t xml:space="preserve"> 0.79</w:t>
      </w:r>
      <w:r w:rsidR="0056442B">
        <w:t>,</w:t>
      </w:r>
      <w:r w:rsidR="001C3FE4">
        <w:t xml:space="preserve"> 2.42)</w:t>
      </w:r>
      <w:r w:rsidR="001B501C">
        <w:t xml:space="preserve">. </w:t>
      </w:r>
      <w:r w:rsidR="00C25679">
        <w:t>Selph et al</w:t>
      </w:r>
      <w:r w:rsidR="0056442B">
        <w:t>.</w:t>
      </w:r>
      <w:r w:rsidR="00C25679">
        <w:t xml:space="preserve"> </w:t>
      </w:r>
      <w:r w:rsidR="0056442B">
        <w:t>(</w:t>
      </w:r>
      <w:r w:rsidR="00C25679">
        <w:t>2019</w:t>
      </w:r>
      <w:r w:rsidR="0056442B">
        <w:t>)</w:t>
      </w:r>
      <w:r w:rsidR="00C25679">
        <w:t xml:space="preserve"> </w:t>
      </w:r>
      <w:r w:rsidR="002308F6">
        <w:t>provided only a narrative review of one NRT study</w:t>
      </w:r>
      <w:r w:rsidR="006858BC">
        <w:t xml:space="preserve"> (</w:t>
      </w:r>
      <w:r w:rsidR="006858BC" w:rsidRPr="008138B1">
        <w:t xml:space="preserve">Scherphof </w:t>
      </w:r>
      <w:r w:rsidR="0056442B" w:rsidRPr="008138B1">
        <w:t xml:space="preserve">et al. </w:t>
      </w:r>
      <w:r w:rsidR="006858BC" w:rsidRPr="008138B1">
        <w:t>2014</w:t>
      </w:r>
      <w:r w:rsidR="006858BC">
        <w:t>)</w:t>
      </w:r>
      <w:r w:rsidR="007B3B21">
        <w:t xml:space="preserve"> </w:t>
      </w:r>
      <w:r w:rsidR="0056442B">
        <w:t xml:space="preserve">which was </w:t>
      </w:r>
      <w:r w:rsidR="007B3B21">
        <w:t xml:space="preserve">included in </w:t>
      </w:r>
      <w:r w:rsidR="00171BE6">
        <w:t xml:space="preserve">both </w:t>
      </w:r>
      <w:r w:rsidR="0056442B">
        <w:t>reviews by</w:t>
      </w:r>
      <w:r w:rsidR="00171BE6">
        <w:t xml:space="preserve"> </w:t>
      </w:r>
      <w:r w:rsidR="00CB5843">
        <w:t xml:space="preserve">Fanshawe </w:t>
      </w:r>
      <w:r w:rsidR="0056442B">
        <w:t xml:space="preserve">et al. (2017) and </w:t>
      </w:r>
      <w:r w:rsidR="00171BE6">
        <w:t>Myung</w:t>
      </w:r>
      <w:r w:rsidR="0056442B">
        <w:t xml:space="preserve"> et al. (2019)</w:t>
      </w:r>
      <w:r w:rsidR="0021141E">
        <w:t xml:space="preserve"> </w:t>
      </w:r>
      <w:r w:rsidR="006858BC">
        <w:t>and concluded that there was</w:t>
      </w:r>
      <w:r w:rsidR="00CB5843">
        <w:t xml:space="preserve"> no evidence of </w:t>
      </w:r>
      <w:r w:rsidR="006858BC">
        <w:t>an effect of NRT on adolescents.</w:t>
      </w:r>
    </w:p>
    <w:p w:rsidR="0021141E" w:rsidRPr="0021141E" w:rsidRDefault="0021141E" w:rsidP="00816F95">
      <w:pPr>
        <w:rPr>
          <w:u w:val="single"/>
        </w:rPr>
      </w:pPr>
      <w:r w:rsidRPr="0021141E">
        <w:rPr>
          <w:u w:val="single"/>
        </w:rPr>
        <w:t>Safety</w:t>
      </w:r>
    </w:p>
    <w:p w:rsidR="0021141E" w:rsidRDefault="0021141E" w:rsidP="0021141E">
      <w:r>
        <w:t xml:space="preserve">Fanshawe et al. (2017) provided a narrative summary of adverse events that were reported in three NRT RCTs. </w:t>
      </w:r>
      <w:r w:rsidR="002613F3">
        <w:t>In Moolchan et al. (2005),</w:t>
      </w:r>
      <w:r w:rsidDel="002613F3">
        <w:t xml:space="preserve"> </w:t>
      </w:r>
      <w:r>
        <w:t>a</w:t>
      </w:r>
      <w:r w:rsidR="002613F3">
        <w:t xml:space="preserve"> sig</w:t>
      </w:r>
      <w:r>
        <w:t>n</w:t>
      </w:r>
      <w:r w:rsidR="002613F3">
        <w:t>ificant</w:t>
      </w:r>
      <w:r>
        <w:t xml:space="preserve"> increase in adverse events </w:t>
      </w:r>
      <w:r w:rsidR="002613F3">
        <w:t xml:space="preserve">was observed </w:t>
      </w:r>
      <w:r>
        <w:t>in the NRT arm compared to placebo arm, specifically sore</w:t>
      </w:r>
      <w:r w:rsidR="00C24499">
        <w:t xml:space="preserve"> </w:t>
      </w:r>
      <w:r>
        <w:t xml:space="preserve">throat, hiccups, erythema, </w:t>
      </w:r>
      <w:r w:rsidR="009E7142">
        <w:t>pruritus</w:t>
      </w:r>
      <w:r>
        <w:t xml:space="preserve"> and </w:t>
      </w:r>
      <w:r w:rsidR="002613F3">
        <w:t>shoulder/arm</w:t>
      </w:r>
      <w:r>
        <w:t xml:space="preserve"> pain. </w:t>
      </w:r>
      <w:r w:rsidR="006A3554">
        <w:t xml:space="preserve">In Scherphof et al. (2014), a significantly higher incidence of headache, cough, abnormal dreams, </w:t>
      </w:r>
      <w:r w:rsidR="002940ED">
        <w:t xml:space="preserve">muscle pain and all patch-related adverse events were reported </w:t>
      </w:r>
      <w:r w:rsidR="00EF7489">
        <w:t xml:space="preserve">with </w:t>
      </w:r>
      <w:r w:rsidR="002940ED">
        <w:t xml:space="preserve">NRT </w:t>
      </w:r>
      <w:r w:rsidR="003A64CE">
        <w:t>compared to placebo</w:t>
      </w:r>
      <w:r w:rsidR="002940ED">
        <w:t xml:space="preserve">. </w:t>
      </w:r>
      <w:r w:rsidR="00EE5674">
        <w:t xml:space="preserve">Scherphof et al. </w:t>
      </w:r>
      <w:r w:rsidR="00CE2787">
        <w:t xml:space="preserve">(2014) </w:t>
      </w:r>
      <w:r w:rsidR="008F48AA" w:rsidRPr="008F48AA">
        <w:t>reported a lower level of insomnia in the NRT arm compared with placebo and attributed this observation to withdrawal effects</w:t>
      </w:r>
      <w:r w:rsidR="008F48AA">
        <w:t>.</w:t>
      </w:r>
      <w:r w:rsidR="008F48AA" w:rsidRPr="008F48AA">
        <w:t xml:space="preserve"> </w:t>
      </w:r>
      <w:r w:rsidR="002613F3">
        <w:t xml:space="preserve">In Bailey et al. (2013), </w:t>
      </w:r>
      <w:r w:rsidR="002E019E" w:rsidRPr="002E019E">
        <w:t xml:space="preserve">73 unspecified adverse events </w:t>
      </w:r>
      <w:r w:rsidR="002E019E">
        <w:t xml:space="preserve">were reported </w:t>
      </w:r>
      <w:r w:rsidR="002E019E" w:rsidRPr="002E019E">
        <w:t xml:space="preserve">during the open-label </w:t>
      </w:r>
      <w:r w:rsidR="002E019E">
        <w:t>NRT</w:t>
      </w:r>
      <w:r w:rsidR="002E019E" w:rsidRPr="002E019E">
        <w:t xml:space="preserve"> patch treatment phase, but none of these w</w:t>
      </w:r>
      <w:r w:rsidR="002E019E">
        <w:t xml:space="preserve">ere considered </w:t>
      </w:r>
      <w:r w:rsidR="002E019E" w:rsidRPr="002E019E">
        <w:t>medically serious.</w:t>
      </w:r>
      <w:r w:rsidR="002E019E">
        <w:t xml:space="preserve"> </w:t>
      </w:r>
    </w:p>
    <w:p w:rsidR="0021141E" w:rsidRDefault="0021141E" w:rsidP="0021141E">
      <w:r>
        <w:t xml:space="preserve">Myung </w:t>
      </w:r>
      <w:r w:rsidR="00604CA5">
        <w:t>et al. (</w:t>
      </w:r>
      <w:r>
        <w:t>2019</w:t>
      </w:r>
      <w:r w:rsidR="00604CA5">
        <w:t>)</w:t>
      </w:r>
      <w:r>
        <w:t xml:space="preserve"> </w:t>
      </w:r>
      <w:r w:rsidR="00CC7D3A">
        <w:t>tabulated</w:t>
      </w:r>
      <w:r>
        <w:t xml:space="preserve"> the adverse events and serious adverse events reported in each trial along with a narrative summary. The profile of adverse events reported by Myung et al</w:t>
      </w:r>
      <w:r w:rsidR="00CC7D3A">
        <w:t>. (2019)</w:t>
      </w:r>
      <w:r>
        <w:t xml:space="preserve"> </w:t>
      </w:r>
      <w:r w:rsidR="00CC7D3A">
        <w:t xml:space="preserve">were </w:t>
      </w:r>
      <w:r>
        <w:t>aligned with those reported in Fanshawe et al</w:t>
      </w:r>
      <w:r w:rsidR="00CC7D3A">
        <w:t>.</w:t>
      </w:r>
      <w:r>
        <w:t xml:space="preserve"> (2017). Selph et al</w:t>
      </w:r>
      <w:r w:rsidR="00CC7D3A">
        <w:t>.</w:t>
      </w:r>
      <w:r>
        <w:t xml:space="preserve"> (2019) reported the same findings in their narrative review of one NRT trial, highlighting the absence of serious adverse events </w:t>
      </w:r>
      <w:r w:rsidR="003F0275">
        <w:t>in either arm</w:t>
      </w:r>
      <w:r>
        <w:t xml:space="preserve">. </w:t>
      </w:r>
    </w:p>
    <w:p w:rsidR="00864AF9" w:rsidRDefault="00864AF9" w:rsidP="00816F95">
      <w:pPr>
        <w:rPr>
          <w:b/>
        </w:rPr>
      </w:pPr>
      <w:r w:rsidRPr="003F0275">
        <w:rPr>
          <w:b/>
        </w:rPr>
        <w:t>Bupropion</w:t>
      </w:r>
    </w:p>
    <w:p w:rsidR="003F0275" w:rsidRPr="003F0275" w:rsidRDefault="003F0275" w:rsidP="00816F95">
      <w:pPr>
        <w:rPr>
          <w:u w:val="single"/>
        </w:rPr>
      </w:pPr>
      <w:r w:rsidRPr="003F0275">
        <w:rPr>
          <w:u w:val="single"/>
        </w:rPr>
        <w:t>Efficacy</w:t>
      </w:r>
    </w:p>
    <w:p w:rsidR="00864AF9" w:rsidRDefault="00B92C81" w:rsidP="00816F95">
      <w:r>
        <w:t xml:space="preserve">A summary of the smoking cessation rates at the longest follow-up comparing bupropion with placebo is presented in </w:t>
      </w:r>
      <w:r w:rsidR="003C4A1C">
        <w:t xml:space="preserve">Table </w:t>
      </w:r>
      <w:r w:rsidR="003C4A1C">
        <w:rPr>
          <w:noProof/>
        </w:rPr>
        <w:t>133</w:t>
      </w:r>
      <w:r>
        <w:t xml:space="preserve">. </w:t>
      </w:r>
      <w:r w:rsidR="00DA2EFB">
        <w:t>Based on the Cochrane Review by Fansha</w:t>
      </w:r>
      <w:r>
        <w:t>we et al. (2017)</w:t>
      </w:r>
      <w:r w:rsidR="00DA2EFB">
        <w:t>, the results of the one RCT (Muramoto et al. 2007)</w:t>
      </w:r>
      <w:r>
        <w:t xml:space="preserve"> demonstrated</w:t>
      </w:r>
      <w:r w:rsidRPr="00D936F9">
        <w:t xml:space="preserve"> </w:t>
      </w:r>
      <w:r>
        <w:t>no</w:t>
      </w:r>
      <w:r w:rsidRPr="00D936F9">
        <w:t xml:space="preserve"> </w:t>
      </w:r>
      <w:r>
        <w:t xml:space="preserve">statistically </w:t>
      </w:r>
      <w:r w:rsidRPr="00D936F9">
        <w:t xml:space="preserve">significant </w:t>
      </w:r>
      <w:r>
        <w:t>difference</w:t>
      </w:r>
      <w:r w:rsidRPr="00D936F9">
        <w:t xml:space="preserve"> in smoking cessation rates </w:t>
      </w:r>
      <w:r>
        <w:t>between the two treatment arms</w:t>
      </w:r>
      <w:r w:rsidR="00C8196D">
        <w:t>, although the results numerically favoured bupropion.</w:t>
      </w:r>
      <w:r w:rsidRPr="00D936F9">
        <w:t xml:space="preserve"> </w:t>
      </w:r>
      <w:r w:rsidR="00542A25">
        <w:t>T</w:t>
      </w:r>
      <w:r w:rsidR="00542A25" w:rsidRPr="006E1678">
        <w:t>he wide confidence intervals and small number of events in both arms suggest that the stud</w:t>
      </w:r>
      <w:r w:rsidR="00542A25">
        <w:t>y</w:t>
      </w:r>
      <w:r w:rsidR="00542A25" w:rsidRPr="006E1678">
        <w:t xml:space="preserve"> w</w:t>
      </w:r>
      <w:r w:rsidR="00542A25">
        <w:t>as</w:t>
      </w:r>
      <w:r w:rsidR="00542A25" w:rsidRPr="006E1678">
        <w:t xml:space="preserve"> underpowered to detect any differences.</w:t>
      </w:r>
    </w:p>
    <w:p w:rsidR="00086CB3" w:rsidRDefault="00086CB3" w:rsidP="00086CB3">
      <w:pPr>
        <w:pStyle w:val="Caption"/>
        <w:keepNext/>
      </w:pPr>
      <w:bookmarkStart w:id="260" w:name="_Ref61959754"/>
      <w:r>
        <w:t xml:space="preserve">Table </w:t>
      </w:r>
      <w:r w:rsidR="003C4A1C">
        <w:rPr>
          <w:noProof/>
        </w:rPr>
        <w:t>133</w:t>
      </w:r>
      <w:bookmarkEnd w:id="260"/>
      <w:r>
        <w:t xml:space="preserve">: </w:t>
      </w:r>
      <w:r w:rsidRPr="00B633F8">
        <w:t xml:space="preserve">Results of smoking cessation in adolescents in Fanshawe et al. (2017), </w:t>
      </w:r>
      <w:r>
        <w:t>bupropion</w:t>
      </w:r>
      <w:r w:rsidRPr="00B633F8">
        <w:t xml:space="preserve"> versus placebo</w:t>
      </w:r>
    </w:p>
    <w:tbl>
      <w:tblPr>
        <w:tblStyle w:val="TableGrid"/>
        <w:tblW w:w="5000" w:type="pct"/>
        <w:tblLook w:val="04A0" w:firstRow="1" w:lastRow="0" w:firstColumn="1" w:lastColumn="0" w:noHBand="0" w:noVBand="1"/>
      </w:tblPr>
      <w:tblGrid>
        <w:gridCol w:w="1133"/>
        <w:gridCol w:w="1701"/>
        <w:gridCol w:w="2268"/>
        <w:gridCol w:w="1985"/>
        <w:gridCol w:w="1929"/>
      </w:tblGrid>
      <w:tr w:rsidR="00646418" w:rsidRPr="007D5EC7" w:rsidTr="00B92C81">
        <w:tc>
          <w:tcPr>
            <w:tcW w:w="628" w:type="pct"/>
            <w:shd w:val="clear" w:color="auto" w:fill="BFBFBF" w:themeFill="background1" w:themeFillShade="BF"/>
          </w:tcPr>
          <w:p w:rsidR="00646418" w:rsidRPr="007D5EC7" w:rsidRDefault="00646418" w:rsidP="009E68ED">
            <w:pPr>
              <w:pStyle w:val="Tablewriting"/>
              <w:rPr>
                <w:b/>
                <w:bCs/>
              </w:rPr>
            </w:pPr>
            <w:r w:rsidRPr="007D5EC7">
              <w:rPr>
                <w:b/>
                <w:bCs/>
              </w:rPr>
              <w:t>Study</w:t>
            </w:r>
          </w:p>
        </w:tc>
        <w:tc>
          <w:tcPr>
            <w:tcW w:w="943" w:type="pct"/>
            <w:shd w:val="clear" w:color="auto" w:fill="BFBFBF" w:themeFill="background1" w:themeFillShade="BF"/>
          </w:tcPr>
          <w:p w:rsidR="00646418" w:rsidRPr="007D5EC7" w:rsidRDefault="00646418" w:rsidP="009E68ED">
            <w:pPr>
              <w:pStyle w:val="Tablewriting"/>
              <w:jc w:val="center"/>
              <w:rPr>
                <w:b/>
                <w:bCs/>
              </w:rPr>
            </w:pPr>
            <w:r w:rsidRPr="007D5EC7">
              <w:rPr>
                <w:b/>
                <w:bCs/>
              </w:rPr>
              <w:t>Study Type</w:t>
            </w:r>
          </w:p>
        </w:tc>
        <w:tc>
          <w:tcPr>
            <w:tcW w:w="1258" w:type="pct"/>
            <w:shd w:val="clear" w:color="auto" w:fill="BFBFBF" w:themeFill="background1" w:themeFillShade="BF"/>
          </w:tcPr>
          <w:p w:rsidR="00646418" w:rsidRPr="007D5EC7" w:rsidRDefault="00646418" w:rsidP="009E68ED">
            <w:pPr>
              <w:pStyle w:val="Tablewriting"/>
              <w:jc w:val="center"/>
              <w:rPr>
                <w:b/>
                <w:bCs/>
              </w:rPr>
            </w:pPr>
            <w:r>
              <w:rPr>
                <w:b/>
                <w:bCs/>
              </w:rPr>
              <w:t>Bupropion</w:t>
            </w:r>
          </w:p>
        </w:tc>
        <w:tc>
          <w:tcPr>
            <w:tcW w:w="1101" w:type="pct"/>
            <w:shd w:val="clear" w:color="auto" w:fill="BFBFBF" w:themeFill="background1" w:themeFillShade="BF"/>
          </w:tcPr>
          <w:p w:rsidR="00646418" w:rsidRPr="007D5EC7" w:rsidRDefault="00646418" w:rsidP="009E68ED">
            <w:pPr>
              <w:pStyle w:val="Tablewriting"/>
              <w:jc w:val="center"/>
              <w:rPr>
                <w:b/>
                <w:bCs/>
              </w:rPr>
            </w:pPr>
            <w:r w:rsidRPr="007D5EC7">
              <w:rPr>
                <w:b/>
                <w:bCs/>
              </w:rPr>
              <w:t>Placebo</w:t>
            </w:r>
          </w:p>
        </w:tc>
        <w:tc>
          <w:tcPr>
            <w:tcW w:w="1070" w:type="pct"/>
            <w:shd w:val="clear" w:color="auto" w:fill="BFBFBF" w:themeFill="background1" w:themeFillShade="BF"/>
          </w:tcPr>
          <w:p w:rsidR="00646418" w:rsidRPr="00A41E46" w:rsidRDefault="00646418" w:rsidP="009E68ED">
            <w:pPr>
              <w:pStyle w:val="Tablewriting"/>
              <w:jc w:val="center"/>
              <w:rPr>
                <w:b/>
                <w:vertAlign w:val="superscript"/>
              </w:rPr>
            </w:pPr>
            <w:r w:rsidRPr="007D5EC7">
              <w:rPr>
                <w:b/>
                <w:bCs/>
              </w:rPr>
              <w:t>RR (95%CI)</w:t>
            </w:r>
            <w:r w:rsidR="00A41E46">
              <w:rPr>
                <w:b/>
                <w:bCs/>
                <w:vertAlign w:val="superscript"/>
              </w:rPr>
              <w:t>1</w:t>
            </w:r>
          </w:p>
        </w:tc>
      </w:tr>
      <w:tr w:rsidR="00646418" w:rsidTr="00B92C81">
        <w:tc>
          <w:tcPr>
            <w:tcW w:w="628" w:type="pct"/>
          </w:tcPr>
          <w:p w:rsidR="009E68ED" w:rsidRDefault="00646418" w:rsidP="009E68ED">
            <w:pPr>
              <w:pStyle w:val="Tablewriting"/>
            </w:pPr>
            <w:r>
              <w:t xml:space="preserve">Fanshawe </w:t>
            </w:r>
          </w:p>
          <w:p w:rsidR="00646418" w:rsidRDefault="009E68ED" w:rsidP="009E68ED">
            <w:pPr>
              <w:pStyle w:val="Tablewriting"/>
            </w:pPr>
            <w:r>
              <w:t>(</w:t>
            </w:r>
            <w:r w:rsidR="00646418">
              <w:t>2017</w:t>
            </w:r>
            <w:r>
              <w:t>)</w:t>
            </w:r>
          </w:p>
        </w:tc>
        <w:tc>
          <w:tcPr>
            <w:tcW w:w="943" w:type="pct"/>
          </w:tcPr>
          <w:p w:rsidR="00646418" w:rsidRDefault="00646418" w:rsidP="009E68ED">
            <w:pPr>
              <w:pStyle w:val="Tablewriting"/>
              <w:jc w:val="center"/>
            </w:pPr>
            <w:r>
              <w:t xml:space="preserve">Cochrane Review (1 </w:t>
            </w:r>
            <w:r w:rsidR="009E68ED">
              <w:t>RCT</w:t>
            </w:r>
            <w:r>
              <w:t>)</w:t>
            </w:r>
          </w:p>
        </w:tc>
        <w:tc>
          <w:tcPr>
            <w:tcW w:w="1258" w:type="pct"/>
          </w:tcPr>
          <w:p w:rsidR="009E68ED" w:rsidRDefault="00213ABA" w:rsidP="009E68ED">
            <w:pPr>
              <w:pStyle w:val="Tablewriting"/>
              <w:jc w:val="center"/>
            </w:pPr>
            <w:r>
              <w:t>9/104</w:t>
            </w:r>
          </w:p>
          <w:p w:rsidR="00646418" w:rsidRDefault="009E68ED" w:rsidP="009E68ED">
            <w:pPr>
              <w:pStyle w:val="Tablewriting"/>
              <w:jc w:val="center"/>
            </w:pPr>
            <w:r>
              <w:t>(</w:t>
            </w:r>
            <w:r w:rsidR="00B92C81">
              <w:t>8.7</w:t>
            </w:r>
            <w:r>
              <w:t>%)</w:t>
            </w:r>
          </w:p>
        </w:tc>
        <w:tc>
          <w:tcPr>
            <w:tcW w:w="1101" w:type="pct"/>
          </w:tcPr>
          <w:p w:rsidR="009E68ED" w:rsidRDefault="00213ABA" w:rsidP="009E68ED">
            <w:pPr>
              <w:pStyle w:val="Tablewriting"/>
              <w:jc w:val="center"/>
            </w:pPr>
            <w:r>
              <w:t>6/103</w:t>
            </w:r>
          </w:p>
          <w:p w:rsidR="00646418" w:rsidRDefault="009E68ED" w:rsidP="009E68ED">
            <w:pPr>
              <w:pStyle w:val="Tablewriting"/>
              <w:jc w:val="center"/>
            </w:pPr>
            <w:r>
              <w:t>(</w:t>
            </w:r>
            <w:r w:rsidR="00B92C81">
              <w:t>5.8</w:t>
            </w:r>
            <w:r>
              <w:t>%)</w:t>
            </w:r>
          </w:p>
        </w:tc>
        <w:tc>
          <w:tcPr>
            <w:tcW w:w="1070" w:type="pct"/>
          </w:tcPr>
          <w:p w:rsidR="0030637C" w:rsidRDefault="00E04E62" w:rsidP="009E68ED">
            <w:pPr>
              <w:pStyle w:val="Tablewriting"/>
              <w:jc w:val="center"/>
            </w:pPr>
            <w:r>
              <w:t>1.49</w:t>
            </w:r>
            <w:r w:rsidR="00646418">
              <w:t xml:space="preserve"> </w:t>
            </w:r>
          </w:p>
          <w:p w:rsidR="00646418" w:rsidRDefault="00646418" w:rsidP="009E68ED">
            <w:pPr>
              <w:pStyle w:val="Tablewriting"/>
              <w:jc w:val="center"/>
            </w:pPr>
            <w:r>
              <w:t>(</w:t>
            </w:r>
            <w:r w:rsidR="00E04E62">
              <w:t>0.55</w:t>
            </w:r>
            <w:r>
              <w:t xml:space="preserve">, </w:t>
            </w:r>
            <w:r w:rsidR="00E04E62">
              <w:t>4.02</w:t>
            </w:r>
            <w:r>
              <w:t>)</w:t>
            </w:r>
          </w:p>
        </w:tc>
      </w:tr>
    </w:tbl>
    <w:p w:rsidR="00B92C81" w:rsidRDefault="00B92C81" w:rsidP="00B92C81">
      <w:pPr>
        <w:pStyle w:val="TableFooter"/>
      </w:pPr>
      <w:r>
        <w:t>Source: Fanshawe et al. (2017)</w:t>
      </w:r>
    </w:p>
    <w:p w:rsidR="00B92C81" w:rsidRDefault="00B92C81" w:rsidP="00B92C81">
      <w:pPr>
        <w:pStyle w:val="TableFooter"/>
        <w:rPr>
          <w:i/>
        </w:rPr>
      </w:pPr>
      <w:r>
        <w:t>Abbreviations: CI = confidence interval; RCT = randomised controlled trial; RR = risk ratio</w:t>
      </w:r>
      <w:r w:rsidRPr="00061F78">
        <w:t xml:space="preserve"> </w:t>
      </w:r>
    </w:p>
    <w:p w:rsidR="00B92C81" w:rsidRDefault="00B92C81" w:rsidP="00B92C81">
      <w:pPr>
        <w:pStyle w:val="TableFooter"/>
      </w:pPr>
      <w:r w:rsidRPr="00D468CF">
        <w:lastRenderedPageBreak/>
        <w:t>Note</w:t>
      </w:r>
      <w:r>
        <w:t>s</w:t>
      </w:r>
      <w:r w:rsidRPr="00D468CF">
        <w:t>: Bold indicates statistically significant difference.</w:t>
      </w:r>
      <w:r w:rsidRPr="00962408">
        <w:t xml:space="preserve"> </w:t>
      </w:r>
      <w:r>
        <w:br/>
        <w:t>1 Calculated by Cochrane Review authors using a fixed-effect model</w:t>
      </w:r>
      <w:r w:rsidR="005A689C">
        <w:t>.</w:t>
      </w:r>
    </w:p>
    <w:p w:rsidR="00EC5104" w:rsidRDefault="00EC5104" w:rsidP="00EC5104">
      <w:r w:rsidRPr="00B817FB">
        <w:t xml:space="preserve">The results of the </w:t>
      </w:r>
      <w:r>
        <w:t>study</w:t>
      </w:r>
      <w:r w:rsidRPr="00B817FB">
        <w:t xml:space="preserve"> included in </w:t>
      </w:r>
      <w:r>
        <w:t>Fanshawe et al</w:t>
      </w:r>
      <w:r w:rsidRPr="00B817FB">
        <w:t>. (20</w:t>
      </w:r>
      <w:r>
        <w:t>17</w:t>
      </w:r>
      <w:r w:rsidRPr="00B817FB">
        <w:t xml:space="preserve">) </w:t>
      </w:r>
      <w:r>
        <w:t>a</w:t>
      </w:r>
      <w:r w:rsidRPr="00B817FB">
        <w:t>re presented using a forest plot</w:t>
      </w:r>
      <w:r>
        <w:t xml:space="preserve"> in </w:t>
      </w:r>
      <w:r w:rsidR="003C4A1C">
        <w:t xml:space="preserve">Figure </w:t>
      </w:r>
      <w:r w:rsidR="003C4A1C">
        <w:rPr>
          <w:noProof/>
        </w:rPr>
        <w:t>44</w:t>
      </w:r>
      <w:r>
        <w:t>.</w:t>
      </w:r>
    </w:p>
    <w:p w:rsidR="00EC5104" w:rsidRDefault="4A907E23" w:rsidP="00EC5104">
      <w:pPr>
        <w:keepNext/>
      </w:pPr>
      <w:r>
        <w:rPr>
          <w:noProof/>
        </w:rPr>
        <w:drawing>
          <wp:inline distT="0" distB="0" distL="0" distR="0" wp14:anchorId="794FEEA4" wp14:editId="2A90F839">
            <wp:extent cx="5731510" cy="1200150"/>
            <wp:effectExtent l="0" t="0" r="254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64">
                      <a:extLst>
                        <a:ext uri="{28A0092B-C50C-407E-A947-70E740481C1C}">
                          <a14:useLocalDpi xmlns:a14="http://schemas.microsoft.com/office/drawing/2010/main" val="0"/>
                        </a:ext>
                      </a:extLst>
                    </a:blip>
                    <a:stretch>
                      <a:fillRect/>
                    </a:stretch>
                  </pic:blipFill>
                  <pic:spPr>
                    <a:xfrm>
                      <a:off x="0" y="0"/>
                      <a:ext cx="5731510" cy="1200150"/>
                    </a:xfrm>
                    <a:prstGeom prst="rect">
                      <a:avLst/>
                    </a:prstGeom>
                  </pic:spPr>
                </pic:pic>
              </a:graphicData>
            </a:graphic>
          </wp:inline>
        </w:drawing>
      </w:r>
    </w:p>
    <w:p w:rsidR="00EC5104" w:rsidRDefault="00EC5104" w:rsidP="00EC5104">
      <w:pPr>
        <w:pStyle w:val="Caption"/>
      </w:pPr>
      <w:bookmarkStart w:id="261" w:name="_Ref61960588"/>
      <w:r>
        <w:t xml:space="preserve">Figure </w:t>
      </w:r>
      <w:r w:rsidR="003C4A1C">
        <w:rPr>
          <w:noProof/>
        </w:rPr>
        <w:t>44</w:t>
      </w:r>
      <w:bookmarkEnd w:id="261"/>
      <w:r>
        <w:t xml:space="preserve">: </w:t>
      </w:r>
      <w:r w:rsidRPr="00CD51F1">
        <w:t>Results of smoking cessation in adolescents in Fanshawe et al. (2017), bupropion versus placebo</w:t>
      </w:r>
    </w:p>
    <w:p w:rsidR="00EC5104" w:rsidRDefault="00EC5104" w:rsidP="00EC5104">
      <w:pPr>
        <w:pStyle w:val="FigureFooter"/>
      </w:pPr>
      <w:r>
        <w:t>Source: Fanshawe et al. (2017)</w:t>
      </w:r>
    </w:p>
    <w:p w:rsidR="00EC5104" w:rsidRDefault="00EC5104" w:rsidP="00EC5104">
      <w:pPr>
        <w:pStyle w:val="FigureFooter"/>
      </w:pPr>
      <w:r>
        <w:t>Abbreviations: CI = confidence interval</w:t>
      </w:r>
    </w:p>
    <w:p w:rsidR="00B92C81" w:rsidRDefault="00B92C81" w:rsidP="00B92C81">
      <w:r>
        <w:t>Myung et al</w:t>
      </w:r>
      <w:r w:rsidR="00591002">
        <w:t>.</w:t>
      </w:r>
      <w:r>
        <w:t xml:space="preserve"> (2019) identified a further three RCTs that measured the impact of bupropion on smoking cessation outcomes </w:t>
      </w:r>
      <w:r w:rsidR="00605610">
        <w:t xml:space="preserve">at follow-ups of less </w:t>
      </w:r>
      <w:r>
        <w:t xml:space="preserve">than 6 months. One of the studies included Killen (2014) which evaluated bupropion in combination with NRT compared with </w:t>
      </w:r>
      <w:r w:rsidR="007D63C9">
        <w:t xml:space="preserve">placebo in combination with </w:t>
      </w:r>
      <w:r>
        <w:t xml:space="preserve">NRT. </w:t>
      </w:r>
      <w:r w:rsidR="007D63C9">
        <w:t>Based on the</w:t>
      </w:r>
      <w:r>
        <w:t xml:space="preserve"> meta-analysis</w:t>
      </w:r>
      <w:r w:rsidR="007D63C9">
        <w:t xml:space="preserve"> conducted by</w:t>
      </w:r>
      <w:r>
        <w:t xml:space="preserve"> Myung et al</w:t>
      </w:r>
      <w:r w:rsidR="007D63C9">
        <w:t>.</w:t>
      </w:r>
      <w:r>
        <w:t xml:space="preserve"> (2019)</w:t>
      </w:r>
      <w:r w:rsidR="00DD6593">
        <w:t>,</w:t>
      </w:r>
      <w:r>
        <w:t xml:space="preserve"> </w:t>
      </w:r>
      <w:r w:rsidR="00DD6593">
        <w:t>bupropion was shown to significantly improve smoking cessation rates compared</w:t>
      </w:r>
      <w:r w:rsidR="00E75990">
        <w:t xml:space="preserve"> with placebo</w:t>
      </w:r>
      <w:r>
        <w:t xml:space="preserve"> (RR</w:t>
      </w:r>
      <w:r w:rsidR="00E75990">
        <w:t>:</w:t>
      </w:r>
      <w:r>
        <w:t xml:space="preserve"> 2.03</w:t>
      </w:r>
      <w:r w:rsidR="00E75990">
        <w:t>;</w:t>
      </w:r>
      <w:r>
        <w:t xml:space="preserve"> 95%</w:t>
      </w:r>
      <w:r w:rsidR="00E75990">
        <w:t xml:space="preserve"> </w:t>
      </w:r>
      <w:r>
        <w:t>CI</w:t>
      </w:r>
      <w:r w:rsidR="00E75990">
        <w:t>:</w:t>
      </w:r>
      <w:r>
        <w:t xml:space="preserve"> 1.09</w:t>
      </w:r>
      <w:r w:rsidR="00E75990">
        <w:t>,</w:t>
      </w:r>
      <w:r>
        <w:t xml:space="preserve"> 3.77). However, two of the additional studies included in the</w:t>
      </w:r>
      <w:r w:rsidR="00E75990">
        <w:t xml:space="preserve"> meta-analysis by </w:t>
      </w:r>
      <w:r>
        <w:t>Myung et al</w:t>
      </w:r>
      <w:r w:rsidR="00E75990">
        <w:t>.</w:t>
      </w:r>
      <w:r>
        <w:t xml:space="preserve"> </w:t>
      </w:r>
      <w:r w:rsidR="00E75990">
        <w:t>(</w:t>
      </w:r>
      <w:r>
        <w:t>2019</w:t>
      </w:r>
      <w:r w:rsidR="00E75990">
        <w:t>)</w:t>
      </w:r>
      <w:r w:rsidR="00CB274A">
        <w:t xml:space="preserve"> were found to</w:t>
      </w:r>
      <w:r>
        <w:t xml:space="preserve"> </w:t>
      </w:r>
      <w:r w:rsidR="00CD40CF">
        <w:t xml:space="preserve">have </w:t>
      </w:r>
      <w:r>
        <w:t>substantially influence</w:t>
      </w:r>
      <w:r w:rsidR="00CD40CF">
        <w:t>d</w:t>
      </w:r>
      <w:r>
        <w:t xml:space="preserve"> the pooled estimat</w:t>
      </w:r>
      <w:r w:rsidR="00CD40CF">
        <w:t>e. T</w:t>
      </w:r>
      <w:r w:rsidR="00DA4774">
        <w:t>he smoki</w:t>
      </w:r>
      <w:r w:rsidR="0087015B">
        <w:t xml:space="preserve">ng </w:t>
      </w:r>
      <w:r w:rsidR="00DA4774">
        <w:t>cessation outcomes in these studies were</w:t>
      </w:r>
      <w:r>
        <w:t xml:space="preserve"> measured </w:t>
      </w:r>
      <w:r w:rsidR="00DA4774">
        <w:t>a</w:t>
      </w:r>
      <w:r>
        <w:t>t 3 months</w:t>
      </w:r>
      <w:r w:rsidR="00CD40CF">
        <w:t xml:space="preserve"> </w:t>
      </w:r>
      <w:r w:rsidR="003E74A9">
        <w:t>with</w:t>
      </w:r>
      <w:r w:rsidR="00CD40CF">
        <w:t xml:space="preserve"> a</w:t>
      </w:r>
      <w:r>
        <w:t xml:space="preserve"> relatively small sample size</w:t>
      </w:r>
      <w:r w:rsidR="0087015B">
        <w:t xml:space="preserve"> </w:t>
      </w:r>
      <w:r>
        <w:t>and very wide confidence intervals (Gray 2011</w:t>
      </w:r>
      <w:r w:rsidR="003E74A9">
        <w:t>:</w:t>
      </w:r>
      <w:r>
        <w:t xml:space="preserve"> RR</w:t>
      </w:r>
      <w:r w:rsidR="0087015B">
        <w:t>:</w:t>
      </w:r>
      <w:r>
        <w:t xml:space="preserve"> 2.51</w:t>
      </w:r>
      <w:r w:rsidR="003E74A9">
        <w:t>,</w:t>
      </w:r>
      <w:r>
        <w:t xml:space="preserve"> 95%</w:t>
      </w:r>
      <w:r w:rsidR="003E74A9">
        <w:t xml:space="preserve"> </w:t>
      </w:r>
      <w:r>
        <w:t>CI</w:t>
      </w:r>
      <w:r w:rsidR="003E74A9">
        <w:t>:</w:t>
      </w:r>
      <w:r>
        <w:t xml:space="preserve"> 0.52</w:t>
      </w:r>
      <w:r w:rsidR="003E74A9">
        <w:t>,</w:t>
      </w:r>
      <w:r>
        <w:t xml:space="preserve"> 11.97; Niederhofer 2004: RR</w:t>
      </w:r>
      <w:r w:rsidR="003E74A9">
        <w:t>:</w:t>
      </w:r>
      <w:r>
        <w:t xml:space="preserve"> 3.00</w:t>
      </w:r>
      <w:r w:rsidR="003E74A9">
        <w:t>.</w:t>
      </w:r>
      <w:r>
        <w:t xml:space="preserve"> 95%</w:t>
      </w:r>
      <w:r w:rsidR="003E74A9">
        <w:t xml:space="preserve"> </w:t>
      </w:r>
      <w:r>
        <w:t>CI</w:t>
      </w:r>
      <w:r w:rsidR="003E74A9">
        <w:t>:</w:t>
      </w:r>
      <w:r>
        <w:t xml:space="preserve"> 0.77</w:t>
      </w:r>
      <w:r w:rsidR="003E74A9">
        <w:t>,</w:t>
      </w:r>
      <w:r>
        <w:t xml:space="preserve"> 11.74). Further, </w:t>
      </w:r>
      <w:r w:rsidR="00580F73">
        <w:t xml:space="preserve">the study by </w:t>
      </w:r>
      <w:r>
        <w:t>Niederhofer</w:t>
      </w:r>
      <w:r w:rsidR="00580F73">
        <w:t xml:space="preserve"> et al.</w:t>
      </w:r>
      <w:r>
        <w:t xml:space="preserve"> </w:t>
      </w:r>
      <w:r w:rsidR="00580F73">
        <w:t>(</w:t>
      </w:r>
      <w:r>
        <w:t xml:space="preserve">2004) used a </w:t>
      </w:r>
      <w:r w:rsidR="00580F73">
        <w:t>lower</w:t>
      </w:r>
      <w:r>
        <w:t xml:space="preserve"> dose of bupropion (150</w:t>
      </w:r>
      <w:r w:rsidR="00580F73">
        <w:t xml:space="preserve"> </w:t>
      </w:r>
      <w:r>
        <w:t xml:space="preserve">mg/day). </w:t>
      </w:r>
    </w:p>
    <w:p w:rsidR="00B92C81" w:rsidRDefault="00B92C81" w:rsidP="00B92C81">
      <w:r>
        <w:t>Selph et al</w:t>
      </w:r>
      <w:r w:rsidR="000B73F1">
        <w:t>. (2019)</w:t>
      </w:r>
      <w:r>
        <w:t xml:space="preserve"> concluded </w:t>
      </w:r>
      <w:r w:rsidR="00506D91">
        <w:t>that there was</w:t>
      </w:r>
      <w:r>
        <w:t xml:space="preserve"> an absence of benefit of bupropion on smoking cessation in adolescents compared </w:t>
      </w:r>
      <w:r w:rsidR="0045313C">
        <w:t>with</w:t>
      </w:r>
      <w:r>
        <w:t xml:space="preserve"> placebo</w:t>
      </w:r>
      <w:r w:rsidR="0045313C">
        <w:t xml:space="preserve"> based on one RCT (Muramoto 2007) which was included</w:t>
      </w:r>
      <w:r>
        <w:t xml:space="preserve"> in Fanshawe </w:t>
      </w:r>
      <w:r w:rsidR="0045313C">
        <w:t>et al. (</w:t>
      </w:r>
      <w:r>
        <w:t>2017</w:t>
      </w:r>
      <w:r w:rsidR="0045313C">
        <w:t>)</w:t>
      </w:r>
      <w:r>
        <w:t xml:space="preserve"> and Myung </w:t>
      </w:r>
      <w:r w:rsidR="0045313C">
        <w:t>et al. (</w:t>
      </w:r>
      <w:r>
        <w:t>2019</w:t>
      </w:r>
      <w:r w:rsidR="0045313C">
        <w:t>)</w:t>
      </w:r>
      <w:r>
        <w:t>.</w:t>
      </w:r>
    </w:p>
    <w:p w:rsidR="00646418" w:rsidRPr="0045313C" w:rsidRDefault="0045313C" w:rsidP="00816F95">
      <w:pPr>
        <w:rPr>
          <w:u w:val="single"/>
        </w:rPr>
      </w:pPr>
      <w:r w:rsidRPr="0045313C">
        <w:rPr>
          <w:u w:val="single"/>
        </w:rPr>
        <w:t>Safety</w:t>
      </w:r>
    </w:p>
    <w:p w:rsidR="0045313C" w:rsidRDefault="0045313C" w:rsidP="0045313C">
      <w:r>
        <w:t>Fanshawe et al. (2017) provided a narrative summary of adverse events</w:t>
      </w:r>
      <w:r w:rsidR="001740F8">
        <w:t xml:space="preserve"> </w:t>
      </w:r>
      <w:r w:rsidR="0066775B">
        <w:t>based on the study by Muramoto et al. (2007).</w:t>
      </w:r>
      <w:r>
        <w:t xml:space="preserve"> </w:t>
      </w:r>
      <w:r w:rsidR="0066775B">
        <w:t xml:space="preserve">The Cochrane Review authors stated that </w:t>
      </w:r>
      <w:r>
        <w:t xml:space="preserve">a large number of </w:t>
      </w:r>
      <w:r w:rsidR="0066775B">
        <w:t xml:space="preserve">patients </w:t>
      </w:r>
      <w:r w:rsidR="00614E6F">
        <w:t xml:space="preserve">in both treatment arms reported </w:t>
      </w:r>
      <w:r>
        <w:t xml:space="preserve">adverse events </w:t>
      </w:r>
      <w:r w:rsidR="00B569F8">
        <w:t>which include</w:t>
      </w:r>
      <w:r>
        <w:t xml:space="preserve"> headache,</w:t>
      </w:r>
      <w:r w:rsidR="00B569F8">
        <w:t xml:space="preserve"> cough, throat symptoms, sleep disturbance and nausea</w:t>
      </w:r>
      <w:r>
        <w:t xml:space="preserve">. Additionally, treatment discontinuation due to adverse events was reported by </w:t>
      </w:r>
      <w:r w:rsidR="00C845F5">
        <w:t>eight patients in the bupropion arm</w:t>
      </w:r>
      <w:r>
        <w:t xml:space="preserve"> and a further two pa</w:t>
      </w:r>
      <w:r w:rsidR="00C845F5">
        <w:t>tient</w:t>
      </w:r>
      <w:r>
        <w:t>s</w:t>
      </w:r>
      <w:r w:rsidR="00C845F5">
        <w:t xml:space="preserve"> in the same arm</w:t>
      </w:r>
      <w:r>
        <w:t xml:space="preserve"> </w:t>
      </w:r>
      <w:r w:rsidR="0051486A">
        <w:t>experienced</w:t>
      </w:r>
      <w:r>
        <w:t xml:space="preserve"> serious adverse events </w:t>
      </w:r>
      <w:r w:rsidR="0051486A">
        <w:t>which led</w:t>
      </w:r>
      <w:r>
        <w:t xml:space="preserve"> to hospitalisation: </w:t>
      </w:r>
      <w:r w:rsidR="001C5C11" w:rsidRPr="001C5C11">
        <w:t>one pa</w:t>
      </w:r>
      <w:r w:rsidR="001C5C11">
        <w:t xml:space="preserve">tient </w:t>
      </w:r>
      <w:r w:rsidR="001C5C11" w:rsidRPr="001C5C11">
        <w:t>was admitted for anticholinergic crisis a</w:t>
      </w:r>
      <w:r w:rsidR="001C5C11">
        <w:t>fter</w:t>
      </w:r>
      <w:r w:rsidR="001C5C11" w:rsidRPr="001C5C11">
        <w:t xml:space="preserve"> ingesting Datura innoxia and one pa</w:t>
      </w:r>
      <w:r w:rsidR="001C5C11">
        <w:t>tient</w:t>
      </w:r>
      <w:r w:rsidR="001C5C11" w:rsidRPr="001C5C11">
        <w:t xml:space="preserve"> intentionally overdosed on study medication and other substances.</w:t>
      </w:r>
    </w:p>
    <w:p w:rsidR="0045313C" w:rsidRDefault="0045313C" w:rsidP="0045313C">
      <w:r>
        <w:t>Myung et al</w:t>
      </w:r>
      <w:r w:rsidR="001C5C11">
        <w:t>.</w:t>
      </w:r>
      <w:r>
        <w:t xml:space="preserve"> (2019) reported the following common adverse events</w:t>
      </w:r>
      <w:r w:rsidR="00E25A3E">
        <w:t xml:space="preserve"> were related to the use of</w:t>
      </w:r>
      <w:r>
        <w:t xml:space="preserve"> bupropion: headache, irritability, insomnia and dream disturbances</w:t>
      </w:r>
      <w:r w:rsidR="00217767">
        <w:t>. The authors noted that</w:t>
      </w:r>
      <w:r w:rsidR="0041065D">
        <w:t xml:space="preserve"> </w:t>
      </w:r>
      <w:r>
        <w:t>there were no significant differences between the intervention and control groups</w:t>
      </w:r>
      <w:r w:rsidR="0041065D">
        <w:t>, except for dream disturbances in Gray et al. (2011)</w:t>
      </w:r>
      <w:r>
        <w:t xml:space="preserve">. </w:t>
      </w:r>
    </w:p>
    <w:p w:rsidR="0045313C" w:rsidRDefault="0045313C" w:rsidP="0045313C">
      <w:r>
        <w:lastRenderedPageBreak/>
        <w:t>Selph et al</w:t>
      </w:r>
      <w:r w:rsidR="0041065D">
        <w:t>.</w:t>
      </w:r>
      <w:r>
        <w:t xml:space="preserve"> (2019) </w:t>
      </w:r>
      <w:r w:rsidR="00C059E0">
        <w:t xml:space="preserve">stated that there were </w:t>
      </w:r>
      <w:r>
        <w:t xml:space="preserve">no increases in body mass index </w:t>
      </w:r>
      <w:r w:rsidR="00BF061D">
        <w:t xml:space="preserve">with the use of bupropion, </w:t>
      </w:r>
      <w:r>
        <w:t>either among those who achieved smoking abstinence or not</w:t>
      </w:r>
      <w:r w:rsidR="00BF061D">
        <w:t>, based on the study by</w:t>
      </w:r>
      <w:r w:rsidR="00AC252D">
        <w:t xml:space="preserve"> Muramoto et al. (2007)</w:t>
      </w:r>
      <w:r>
        <w:t xml:space="preserve">. Additionally, Selph </w:t>
      </w:r>
      <w:r w:rsidR="00AC252D">
        <w:t>et al. (</w:t>
      </w:r>
      <w:r>
        <w:t>2019</w:t>
      </w:r>
      <w:r w:rsidR="00AC252D">
        <w:t>)</w:t>
      </w:r>
      <w:r>
        <w:t xml:space="preserve"> highlighted the association of bupropion with abnormal dreams </w:t>
      </w:r>
      <w:r w:rsidR="004475DD">
        <w:t xml:space="preserve">based on the study by </w:t>
      </w:r>
      <w:r>
        <w:t xml:space="preserve">Gray </w:t>
      </w:r>
      <w:r w:rsidR="004475DD">
        <w:t>et al. (</w:t>
      </w:r>
      <w:r>
        <w:t>2011</w:t>
      </w:r>
      <w:r w:rsidR="004475DD">
        <w:t>)</w:t>
      </w:r>
      <w:r>
        <w:t xml:space="preserve">, </w:t>
      </w:r>
      <w:r w:rsidR="004475DD">
        <w:t>however</w:t>
      </w:r>
      <w:r>
        <w:t xml:space="preserve"> </w:t>
      </w:r>
      <w:r w:rsidR="002537AA">
        <w:t xml:space="preserve">the results should be interpreted with caution due to the wide confidence interval </w:t>
      </w:r>
      <w:r>
        <w:t>(RR</w:t>
      </w:r>
      <w:r w:rsidR="002537AA">
        <w:t>:</w:t>
      </w:r>
      <w:r>
        <w:t xml:space="preserve"> 15.92</w:t>
      </w:r>
      <w:r w:rsidR="002537AA">
        <w:t>;</w:t>
      </w:r>
      <w:r>
        <w:t xml:space="preserve"> 95%</w:t>
      </w:r>
      <w:r w:rsidR="002537AA">
        <w:t xml:space="preserve"> </w:t>
      </w:r>
      <w:r>
        <w:t>CI</w:t>
      </w:r>
      <w:r w:rsidR="002537AA">
        <w:t>:</w:t>
      </w:r>
      <w:r>
        <w:t xml:space="preserve"> 0.95</w:t>
      </w:r>
      <w:r w:rsidR="002537AA">
        <w:t>,</w:t>
      </w:r>
      <w:r w:rsidDel="002537AA">
        <w:t xml:space="preserve"> </w:t>
      </w:r>
      <w:r>
        <w:t>268).</w:t>
      </w:r>
    </w:p>
    <w:p w:rsidR="001B26E2" w:rsidRDefault="005E7A4B" w:rsidP="00816F95">
      <w:pPr>
        <w:rPr>
          <w:b/>
        </w:rPr>
      </w:pPr>
      <w:r w:rsidRPr="007A3B1B">
        <w:rPr>
          <w:b/>
        </w:rPr>
        <w:t xml:space="preserve">Bupropion </w:t>
      </w:r>
      <w:r w:rsidR="00B74F13" w:rsidRPr="007A3B1B">
        <w:rPr>
          <w:b/>
        </w:rPr>
        <w:t xml:space="preserve">plus NRT patch versus </w:t>
      </w:r>
      <w:r w:rsidR="007A3B1B">
        <w:rPr>
          <w:b/>
          <w:bCs/>
        </w:rPr>
        <w:t xml:space="preserve">placebo plus </w:t>
      </w:r>
      <w:r w:rsidR="007C20D6" w:rsidRPr="007A3B1B">
        <w:rPr>
          <w:b/>
        </w:rPr>
        <w:t>NRT patch</w:t>
      </w:r>
    </w:p>
    <w:p w:rsidR="007A3B1B" w:rsidRPr="007A3B1B" w:rsidRDefault="007A3B1B" w:rsidP="00816F95">
      <w:pPr>
        <w:rPr>
          <w:u w:val="single"/>
        </w:rPr>
      </w:pPr>
      <w:r w:rsidRPr="007A3B1B">
        <w:rPr>
          <w:u w:val="single"/>
        </w:rPr>
        <w:t>Efficacy</w:t>
      </w:r>
    </w:p>
    <w:p w:rsidR="008750AD" w:rsidRDefault="008750AD" w:rsidP="007C20D6">
      <w:r w:rsidRPr="008750AD">
        <w:t xml:space="preserve">A summary of the smoking cessation rates at the longest follow-up comparing bupropion </w:t>
      </w:r>
      <w:r>
        <w:t xml:space="preserve">plus NRT patch </w:t>
      </w:r>
      <w:r w:rsidRPr="008750AD">
        <w:t>with placebo</w:t>
      </w:r>
      <w:r>
        <w:t xml:space="preserve"> plus NRT patch</w:t>
      </w:r>
      <w:r w:rsidRPr="008750AD">
        <w:t xml:space="preserve"> is presented in </w:t>
      </w:r>
      <w:r w:rsidR="003C4A1C">
        <w:t xml:space="preserve">Table </w:t>
      </w:r>
      <w:r w:rsidR="003C4A1C">
        <w:rPr>
          <w:noProof/>
        </w:rPr>
        <w:t>134</w:t>
      </w:r>
      <w:r w:rsidRPr="008750AD">
        <w:t>. Based on the Cochrane Review by Fanshawe et al. (2017), the results of the one RCT (</w:t>
      </w:r>
      <w:r w:rsidR="00EB246D">
        <w:t>Killen</w:t>
      </w:r>
      <w:r w:rsidRPr="008750AD">
        <w:t xml:space="preserve"> et al. 200</w:t>
      </w:r>
      <w:r w:rsidR="00EB246D">
        <w:t>4</w:t>
      </w:r>
      <w:r w:rsidRPr="008750AD">
        <w:t>) demonstrated no statistically significant difference in smoking cessation rates between the two treatment arms, although the results numerically favoured bupropion</w:t>
      </w:r>
      <w:r w:rsidR="00EB246D">
        <w:t xml:space="preserve"> plus NRT patch</w:t>
      </w:r>
      <w:r w:rsidRPr="008750AD">
        <w:t>. The wide confidence intervals and small number of events in both arms suggest that the study was underpowered to detect any differences.</w:t>
      </w:r>
    </w:p>
    <w:p w:rsidR="00A41E46" w:rsidRDefault="00A41E46" w:rsidP="00A41E46">
      <w:pPr>
        <w:pStyle w:val="Caption"/>
        <w:keepNext/>
      </w:pPr>
      <w:bookmarkStart w:id="262" w:name="_Ref61962277"/>
      <w:r>
        <w:t xml:space="preserve">Table </w:t>
      </w:r>
      <w:r w:rsidR="003C4A1C">
        <w:rPr>
          <w:noProof/>
        </w:rPr>
        <w:t>134</w:t>
      </w:r>
      <w:bookmarkEnd w:id="262"/>
      <w:r>
        <w:t xml:space="preserve">: </w:t>
      </w:r>
      <w:r w:rsidRPr="00BE33BF">
        <w:t>Results of smoking cessation in adolescents in Fanshawe et al. (2017), bupropion</w:t>
      </w:r>
      <w:r w:rsidR="008750AD">
        <w:t xml:space="preserve"> + NRT patch </w:t>
      </w:r>
      <w:r w:rsidRPr="00BE33BF">
        <w:t>versus placebo</w:t>
      </w:r>
      <w:r w:rsidR="008750AD">
        <w:t xml:space="preserve"> + NRT patch</w:t>
      </w:r>
    </w:p>
    <w:tbl>
      <w:tblPr>
        <w:tblStyle w:val="TableGrid"/>
        <w:tblW w:w="5000" w:type="pct"/>
        <w:tblLook w:val="04A0" w:firstRow="1" w:lastRow="0" w:firstColumn="1" w:lastColumn="0" w:noHBand="0" w:noVBand="1"/>
      </w:tblPr>
      <w:tblGrid>
        <w:gridCol w:w="1131"/>
        <w:gridCol w:w="1700"/>
        <w:gridCol w:w="2409"/>
        <w:gridCol w:w="1985"/>
        <w:gridCol w:w="1791"/>
      </w:tblGrid>
      <w:tr w:rsidR="007C20D6" w:rsidRPr="007D5EC7" w:rsidTr="007A3B1B">
        <w:tc>
          <w:tcPr>
            <w:tcW w:w="627" w:type="pct"/>
            <w:shd w:val="clear" w:color="auto" w:fill="BFBFBF" w:themeFill="background1" w:themeFillShade="BF"/>
          </w:tcPr>
          <w:p w:rsidR="007C20D6" w:rsidRPr="007D5EC7" w:rsidRDefault="007C20D6" w:rsidP="007A3B1B">
            <w:pPr>
              <w:pStyle w:val="Tablewriting"/>
              <w:rPr>
                <w:b/>
                <w:bCs/>
              </w:rPr>
            </w:pPr>
            <w:r w:rsidRPr="007D5EC7">
              <w:rPr>
                <w:b/>
                <w:bCs/>
              </w:rPr>
              <w:t>Study</w:t>
            </w:r>
          </w:p>
        </w:tc>
        <w:tc>
          <w:tcPr>
            <w:tcW w:w="943" w:type="pct"/>
            <w:shd w:val="clear" w:color="auto" w:fill="BFBFBF" w:themeFill="background1" w:themeFillShade="BF"/>
          </w:tcPr>
          <w:p w:rsidR="007C20D6" w:rsidRPr="007D5EC7" w:rsidRDefault="007C20D6" w:rsidP="007A3B1B">
            <w:pPr>
              <w:pStyle w:val="Tablewriting"/>
              <w:jc w:val="center"/>
              <w:rPr>
                <w:b/>
                <w:bCs/>
              </w:rPr>
            </w:pPr>
            <w:r w:rsidRPr="007D5EC7">
              <w:rPr>
                <w:b/>
                <w:bCs/>
              </w:rPr>
              <w:t>Study Type</w:t>
            </w:r>
          </w:p>
        </w:tc>
        <w:tc>
          <w:tcPr>
            <w:tcW w:w="1336" w:type="pct"/>
            <w:shd w:val="clear" w:color="auto" w:fill="BFBFBF" w:themeFill="background1" w:themeFillShade="BF"/>
          </w:tcPr>
          <w:p w:rsidR="007C20D6" w:rsidRPr="007D5EC7" w:rsidRDefault="007C20D6" w:rsidP="007A3B1B">
            <w:pPr>
              <w:pStyle w:val="Tablewriting"/>
              <w:jc w:val="center"/>
              <w:rPr>
                <w:b/>
                <w:bCs/>
              </w:rPr>
            </w:pPr>
            <w:r>
              <w:rPr>
                <w:b/>
                <w:bCs/>
              </w:rPr>
              <w:t>Bupropion</w:t>
            </w:r>
            <w:r w:rsidR="00B64887">
              <w:rPr>
                <w:b/>
                <w:bCs/>
              </w:rPr>
              <w:t xml:space="preserve"> + NRT patch</w:t>
            </w:r>
          </w:p>
        </w:tc>
        <w:tc>
          <w:tcPr>
            <w:tcW w:w="1101" w:type="pct"/>
            <w:shd w:val="clear" w:color="auto" w:fill="BFBFBF" w:themeFill="background1" w:themeFillShade="BF"/>
          </w:tcPr>
          <w:p w:rsidR="007C20D6" w:rsidRPr="007D5EC7" w:rsidRDefault="007C20D6" w:rsidP="007A3B1B">
            <w:pPr>
              <w:pStyle w:val="Tablewriting"/>
              <w:jc w:val="center"/>
              <w:rPr>
                <w:b/>
                <w:bCs/>
              </w:rPr>
            </w:pPr>
            <w:r w:rsidRPr="007D5EC7">
              <w:rPr>
                <w:b/>
                <w:bCs/>
              </w:rPr>
              <w:t>Placebo</w:t>
            </w:r>
            <w:r w:rsidR="0056089A">
              <w:rPr>
                <w:b/>
                <w:bCs/>
              </w:rPr>
              <w:t xml:space="preserve"> </w:t>
            </w:r>
            <w:r w:rsidR="00B64887">
              <w:rPr>
                <w:b/>
                <w:bCs/>
              </w:rPr>
              <w:t>+ NRT patch</w:t>
            </w:r>
          </w:p>
        </w:tc>
        <w:tc>
          <w:tcPr>
            <w:tcW w:w="993" w:type="pct"/>
            <w:shd w:val="clear" w:color="auto" w:fill="BFBFBF" w:themeFill="background1" w:themeFillShade="BF"/>
          </w:tcPr>
          <w:p w:rsidR="007C20D6" w:rsidRPr="00A41E46" w:rsidRDefault="007C20D6" w:rsidP="007A3B1B">
            <w:pPr>
              <w:pStyle w:val="Tablewriting"/>
              <w:jc w:val="center"/>
              <w:rPr>
                <w:b/>
                <w:vertAlign w:val="superscript"/>
              </w:rPr>
            </w:pPr>
            <w:r w:rsidRPr="007D5EC7">
              <w:rPr>
                <w:b/>
                <w:bCs/>
              </w:rPr>
              <w:t>RR (95%CI)</w:t>
            </w:r>
            <w:r w:rsidR="00A41E46">
              <w:rPr>
                <w:b/>
                <w:bCs/>
                <w:vertAlign w:val="superscript"/>
              </w:rPr>
              <w:t>1</w:t>
            </w:r>
          </w:p>
        </w:tc>
      </w:tr>
      <w:tr w:rsidR="007C20D6" w:rsidTr="007A3B1B">
        <w:tc>
          <w:tcPr>
            <w:tcW w:w="627" w:type="pct"/>
          </w:tcPr>
          <w:p w:rsidR="007A3B1B" w:rsidRDefault="007C20D6" w:rsidP="007A3B1B">
            <w:pPr>
              <w:pStyle w:val="Tablewriting"/>
            </w:pPr>
            <w:r>
              <w:t xml:space="preserve">Fanshawe </w:t>
            </w:r>
          </w:p>
          <w:p w:rsidR="007C20D6" w:rsidRDefault="007A3B1B" w:rsidP="007A3B1B">
            <w:pPr>
              <w:pStyle w:val="Tablewriting"/>
            </w:pPr>
            <w:r>
              <w:t>(</w:t>
            </w:r>
            <w:r w:rsidR="007C20D6">
              <w:t>2017</w:t>
            </w:r>
            <w:r>
              <w:t>)</w:t>
            </w:r>
          </w:p>
        </w:tc>
        <w:tc>
          <w:tcPr>
            <w:tcW w:w="943" w:type="pct"/>
          </w:tcPr>
          <w:p w:rsidR="007C20D6" w:rsidRDefault="007C20D6" w:rsidP="007A3B1B">
            <w:pPr>
              <w:pStyle w:val="Tablewriting"/>
              <w:jc w:val="center"/>
            </w:pPr>
            <w:r>
              <w:t xml:space="preserve">Cochrane Review (1 </w:t>
            </w:r>
            <w:r w:rsidR="007A3B1B">
              <w:t>RCT</w:t>
            </w:r>
            <w:r>
              <w:t>)</w:t>
            </w:r>
          </w:p>
        </w:tc>
        <w:tc>
          <w:tcPr>
            <w:tcW w:w="1336" w:type="pct"/>
          </w:tcPr>
          <w:p w:rsidR="007A3B1B" w:rsidRDefault="00E04E62" w:rsidP="007A3B1B">
            <w:pPr>
              <w:pStyle w:val="Tablewriting"/>
              <w:jc w:val="center"/>
            </w:pPr>
            <w:r>
              <w:t>8/103</w:t>
            </w:r>
          </w:p>
          <w:p w:rsidR="007C20D6" w:rsidRDefault="0056089A" w:rsidP="007A3B1B">
            <w:pPr>
              <w:pStyle w:val="Tablewriting"/>
              <w:jc w:val="center"/>
            </w:pPr>
            <w:r>
              <w:t>(</w:t>
            </w:r>
            <w:r w:rsidR="008B4393">
              <w:t>7.8</w:t>
            </w:r>
            <w:r>
              <w:t>%)</w:t>
            </w:r>
          </w:p>
        </w:tc>
        <w:tc>
          <w:tcPr>
            <w:tcW w:w="1101" w:type="pct"/>
          </w:tcPr>
          <w:p w:rsidR="007A3B1B" w:rsidRDefault="00E04E62" w:rsidP="007A3B1B">
            <w:pPr>
              <w:pStyle w:val="Tablewriting"/>
              <w:jc w:val="center"/>
            </w:pPr>
            <w:r>
              <w:t>8/108</w:t>
            </w:r>
          </w:p>
          <w:p w:rsidR="007C20D6" w:rsidRDefault="0056089A" w:rsidP="007A3B1B">
            <w:pPr>
              <w:pStyle w:val="Tablewriting"/>
              <w:jc w:val="center"/>
            </w:pPr>
            <w:r>
              <w:t>(</w:t>
            </w:r>
            <w:r w:rsidR="000E6AE7">
              <w:t>7.4</w:t>
            </w:r>
            <w:r>
              <w:t>%)</w:t>
            </w:r>
          </w:p>
        </w:tc>
        <w:tc>
          <w:tcPr>
            <w:tcW w:w="993" w:type="pct"/>
          </w:tcPr>
          <w:p w:rsidR="0056089A" w:rsidRDefault="00E04E62" w:rsidP="007A3B1B">
            <w:pPr>
              <w:pStyle w:val="Tablewriting"/>
              <w:jc w:val="center"/>
            </w:pPr>
            <w:r>
              <w:t>1.05</w:t>
            </w:r>
            <w:r w:rsidR="007C20D6">
              <w:t xml:space="preserve"> </w:t>
            </w:r>
          </w:p>
          <w:p w:rsidR="007C20D6" w:rsidRDefault="007C20D6" w:rsidP="007A3B1B">
            <w:pPr>
              <w:pStyle w:val="Tablewriting"/>
              <w:jc w:val="center"/>
            </w:pPr>
            <w:r>
              <w:t>(</w:t>
            </w:r>
            <w:r w:rsidR="00E04E62">
              <w:t>0.</w:t>
            </w:r>
            <w:r w:rsidR="0056089A">
              <w:t>41</w:t>
            </w:r>
            <w:r w:rsidR="007A3B1B">
              <w:t xml:space="preserve">, </w:t>
            </w:r>
            <w:r w:rsidR="0056089A">
              <w:t>2.69</w:t>
            </w:r>
            <w:r>
              <w:t>)</w:t>
            </w:r>
          </w:p>
        </w:tc>
      </w:tr>
    </w:tbl>
    <w:p w:rsidR="0056089A" w:rsidRDefault="0056089A" w:rsidP="0056089A">
      <w:pPr>
        <w:pStyle w:val="TableFooter"/>
      </w:pPr>
      <w:r>
        <w:t>Source: Fanshawe et al. (2017)</w:t>
      </w:r>
    </w:p>
    <w:p w:rsidR="0056089A" w:rsidRDefault="0056089A" w:rsidP="0056089A">
      <w:pPr>
        <w:pStyle w:val="TableFooter"/>
        <w:rPr>
          <w:i/>
        </w:rPr>
      </w:pPr>
      <w:r>
        <w:t xml:space="preserve">Abbreviations: CI = confidence interval; </w:t>
      </w:r>
      <w:r w:rsidR="008750AD">
        <w:t xml:space="preserve">NRT = nicotine replacement therapy; </w:t>
      </w:r>
      <w:r>
        <w:t>RCT = randomised controlled trial; RR = risk ratio</w:t>
      </w:r>
      <w:r w:rsidRPr="00061F78">
        <w:t xml:space="preserve"> </w:t>
      </w:r>
    </w:p>
    <w:p w:rsidR="0056089A" w:rsidRDefault="0056089A" w:rsidP="0056089A">
      <w:pPr>
        <w:pStyle w:val="TableFooter"/>
      </w:pPr>
      <w:r w:rsidRPr="00D468CF">
        <w:t>Note</w:t>
      </w:r>
      <w:r>
        <w:t>s</w:t>
      </w:r>
      <w:r w:rsidRPr="00D468CF">
        <w:t>: Bold indicates statistically significant difference.</w:t>
      </w:r>
      <w:r w:rsidRPr="00962408">
        <w:t xml:space="preserve"> </w:t>
      </w:r>
      <w:r>
        <w:br/>
        <w:t>1 Calculated by Cochrane Review authors using a fixed-effect model</w:t>
      </w:r>
      <w:r w:rsidR="005A689C">
        <w:t>.</w:t>
      </w:r>
    </w:p>
    <w:p w:rsidR="00CE542E" w:rsidRDefault="00CE542E" w:rsidP="00CE542E">
      <w:r w:rsidRPr="00B817FB">
        <w:t xml:space="preserve">The results of the </w:t>
      </w:r>
      <w:r>
        <w:t>study</w:t>
      </w:r>
      <w:r w:rsidRPr="00B817FB">
        <w:t xml:space="preserve"> included in </w:t>
      </w:r>
      <w:r>
        <w:t>Fanshawe et al</w:t>
      </w:r>
      <w:r w:rsidRPr="00B817FB">
        <w:t>. (20</w:t>
      </w:r>
      <w:r>
        <w:t>17</w:t>
      </w:r>
      <w:r w:rsidRPr="00B817FB">
        <w:t xml:space="preserve">) </w:t>
      </w:r>
      <w:r>
        <w:t>a</w:t>
      </w:r>
      <w:r w:rsidRPr="00B817FB">
        <w:t>re presented using a forest plot</w:t>
      </w:r>
      <w:r>
        <w:t xml:space="preserve"> in </w:t>
      </w:r>
      <w:r w:rsidR="003C4A1C">
        <w:t xml:space="preserve">Figure </w:t>
      </w:r>
      <w:r w:rsidR="003C4A1C">
        <w:rPr>
          <w:noProof/>
        </w:rPr>
        <w:t>45</w:t>
      </w:r>
      <w:r>
        <w:t>.</w:t>
      </w:r>
    </w:p>
    <w:p w:rsidR="00CE542E" w:rsidRDefault="5F70F5D0" w:rsidP="00CE542E">
      <w:pPr>
        <w:keepNext/>
      </w:pPr>
      <w:r>
        <w:rPr>
          <w:noProof/>
        </w:rPr>
        <w:drawing>
          <wp:inline distT="0" distB="0" distL="0" distR="0" wp14:anchorId="23629C30" wp14:editId="168F66E5">
            <wp:extent cx="5731510" cy="1200150"/>
            <wp:effectExtent l="0" t="0" r="254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pic:nvPicPr>
                  <pic:blipFill>
                    <a:blip r:embed="rId65">
                      <a:extLst>
                        <a:ext uri="{28A0092B-C50C-407E-A947-70E740481C1C}">
                          <a14:useLocalDpi xmlns:a14="http://schemas.microsoft.com/office/drawing/2010/main" val="0"/>
                        </a:ext>
                      </a:extLst>
                    </a:blip>
                    <a:stretch>
                      <a:fillRect/>
                    </a:stretch>
                  </pic:blipFill>
                  <pic:spPr>
                    <a:xfrm>
                      <a:off x="0" y="0"/>
                      <a:ext cx="5731510" cy="1200150"/>
                    </a:xfrm>
                    <a:prstGeom prst="rect">
                      <a:avLst/>
                    </a:prstGeom>
                  </pic:spPr>
                </pic:pic>
              </a:graphicData>
            </a:graphic>
          </wp:inline>
        </w:drawing>
      </w:r>
    </w:p>
    <w:p w:rsidR="007C20D6" w:rsidRDefault="00CE542E" w:rsidP="00CE542E">
      <w:pPr>
        <w:pStyle w:val="Caption"/>
      </w:pPr>
      <w:bookmarkStart w:id="263" w:name="_Ref61962522"/>
      <w:r>
        <w:t xml:space="preserve">Figure </w:t>
      </w:r>
      <w:r w:rsidR="003C4A1C">
        <w:rPr>
          <w:noProof/>
        </w:rPr>
        <w:t>45</w:t>
      </w:r>
      <w:bookmarkEnd w:id="263"/>
      <w:r>
        <w:t xml:space="preserve">: </w:t>
      </w:r>
      <w:r w:rsidRPr="00D7243A">
        <w:t>Results of smoking cessation in adolescents in Fanshawe et al. (2017), bupropion + NRT patch versus placebo + NRT patch</w:t>
      </w:r>
    </w:p>
    <w:p w:rsidR="00CE542E" w:rsidRDefault="00CE542E" w:rsidP="00CE542E">
      <w:pPr>
        <w:pStyle w:val="FigureFooter"/>
      </w:pPr>
      <w:r>
        <w:t>Source: Fanshawe et al. (2017)</w:t>
      </w:r>
    </w:p>
    <w:p w:rsidR="00CE542E" w:rsidRDefault="00CE542E" w:rsidP="00CE542E">
      <w:pPr>
        <w:pStyle w:val="FigureFooter"/>
      </w:pPr>
      <w:r>
        <w:t>Abbreviations: CI = confidence interval</w:t>
      </w:r>
    </w:p>
    <w:p w:rsidR="00CE542E" w:rsidRDefault="00CE542E" w:rsidP="00816F95">
      <w:r>
        <w:t>No other studies comparing bupropion plus NRT patch versus placebo plus NRT patch were identified by Myung et al. (2019) or Selph et al. (2019).</w:t>
      </w:r>
    </w:p>
    <w:p w:rsidR="00412FA2" w:rsidRPr="00CE542E" w:rsidRDefault="00556DDE" w:rsidP="00816F95">
      <w:pPr>
        <w:rPr>
          <w:u w:val="single"/>
        </w:rPr>
      </w:pPr>
      <w:r w:rsidRPr="00CE542E">
        <w:rPr>
          <w:u w:val="single"/>
        </w:rPr>
        <w:t>Safety</w:t>
      </w:r>
    </w:p>
    <w:p w:rsidR="00DC7755" w:rsidRPr="0094078B" w:rsidRDefault="00556DDE" w:rsidP="00816F95">
      <w:r>
        <w:lastRenderedPageBreak/>
        <w:t>Fanshawe et al</w:t>
      </w:r>
      <w:r w:rsidR="00CE542E">
        <w:t>.</w:t>
      </w:r>
      <w:r>
        <w:t xml:space="preserve"> (2017)</w:t>
      </w:r>
      <w:r w:rsidR="00911828">
        <w:t xml:space="preserve"> </w:t>
      </w:r>
      <w:r>
        <w:t xml:space="preserve">provided a narrative summary of adverse events </w:t>
      </w:r>
      <w:r w:rsidR="00CE542E">
        <w:t xml:space="preserve">based on the study by Killen et al. (2004). </w:t>
      </w:r>
      <w:r w:rsidR="00C269D6">
        <w:t>The Cochrane Review authors stated that</w:t>
      </w:r>
      <w:r w:rsidR="006C1EFC">
        <w:t xml:space="preserve"> </w:t>
      </w:r>
      <w:r w:rsidR="003627FE">
        <w:t>none of</w:t>
      </w:r>
      <w:r w:rsidR="00CE0A6B">
        <w:t xml:space="preserve"> </w:t>
      </w:r>
      <w:r w:rsidR="003627FE">
        <w:t>the</w:t>
      </w:r>
      <w:r w:rsidR="00CE0A6B">
        <w:t xml:space="preserve"> 47</w:t>
      </w:r>
      <w:r w:rsidR="003B2A9A">
        <w:t xml:space="preserve"> self-reported adverse events </w:t>
      </w:r>
      <w:r w:rsidR="008D0C38">
        <w:t xml:space="preserve">in the study (nausea being the most common) </w:t>
      </w:r>
      <w:r w:rsidR="00CE0A6B">
        <w:t>were classified as severe.</w:t>
      </w:r>
      <w:r w:rsidR="0025036E">
        <w:t xml:space="preserve"> Neither Myung </w:t>
      </w:r>
      <w:r w:rsidR="008D0C38">
        <w:t>et al. (</w:t>
      </w:r>
      <w:r w:rsidR="0025036E">
        <w:t>2019</w:t>
      </w:r>
      <w:r w:rsidR="008D0C38">
        <w:t>)</w:t>
      </w:r>
      <w:r w:rsidR="0025036E">
        <w:t xml:space="preserve"> nor Selph </w:t>
      </w:r>
      <w:r w:rsidR="008D0C38">
        <w:t>et al. (</w:t>
      </w:r>
      <w:r w:rsidR="0025036E">
        <w:t>2019</w:t>
      </w:r>
      <w:r w:rsidR="008D0C38">
        <w:t>)</w:t>
      </w:r>
      <w:r w:rsidR="0025036E">
        <w:t xml:space="preserve"> provided any further </w:t>
      </w:r>
      <w:r w:rsidR="00EC4F94">
        <w:t xml:space="preserve">safety </w:t>
      </w:r>
      <w:r w:rsidR="0025036E">
        <w:t xml:space="preserve">information.  </w:t>
      </w:r>
    </w:p>
    <w:p w:rsidR="00AA1D1D" w:rsidRDefault="001C09E6" w:rsidP="0044056F">
      <w:pPr>
        <w:pStyle w:val="Heading4"/>
        <w:numPr>
          <w:ilvl w:val="0"/>
          <w:numId w:val="0"/>
        </w:numPr>
      </w:pPr>
      <w:r>
        <w:t>Summary of evidence for use in populations</w:t>
      </w:r>
      <w:r w:rsidR="00A86D1F">
        <w:t xml:space="preserve"> who have specific needs</w:t>
      </w:r>
    </w:p>
    <w:p w:rsidR="007D6453" w:rsidRDefault="007D6453" w:rsidP="007D6453">
      <w:pPr>
        <w:rPr>
          <w:b/>
          <w:bCs/>
        </w:rPr>
      </w:pPr>
      <w:r w:rsidRPr="007D6453">
        <w:rPr>
          <w:b/>
          <w:bCs/>
        </w:rPr>
        <w:t>Pregnancy and lactation</w:t>
      </w:r>
    </w:p>
    <w:p w:rsidR="003F26E4" w:rsidRDefault="00DB297B" w:rsidP="00DB297B">
      <w:r>
        <w:t xml:space="preserve">Based on the evidence presented (Claire et al. 2020), </w:t>
      </w:r>
      <w:r w:rsidR="000E3BEC">
        <w:t>NRT</w:t>
      </w:r>
      <w:r>
        <w:t xml:space="preserve"> was shown to provide a statistically significant improvement in smoking cessation rates </w:t>
      </w:r>
      <w:r w:rsidR="009E254D">
        <w:t>(</w:t>
      </w:r>
      <w:r w:rsidR="009E254D" w:rsidRPr="009E254D">
        <w:t>self-reported abstinence from smoking at the latest time point in pregnancy</w:t>
      </w:r>
      <w:r w:rsidR="009E254D">
        <w:t xml:space="preserve">; </w:t>
      </w:r>
      <w:r w:rsidR="009E254D" w:rsidRPr="009E254D">
        <w:t>biochemically validated where available)</w:t>
      </w:r>
      <w:r>
        <w:t xml:space="preserve"> compared with placebo</w:t>
      </w:r>
      <w:r w:rsidR="003F26E4">
        <w:t>/control</w:t>
      </w:r>
      <w:r>
        <w:t xml:space="preserve">, noting the </w:t>
      </w:r>
      <w:r w:rsidR="003B5EFF">
        <w:t>results were statistically significant in the long-acting NRT subgroup but not the fast-acting NRT subgroup</w:t>
      </w:r>
      <w:r w:rsidR="002B3167">
        <w:t xml:space="preserve"> which had fewer studies and participants included in the analysis</w:t>
      </w:r>
      <w:r w:rsidR="003B5EFF">
        <w:t>.</w:t>
      </w:r>
      <w:r w:rsidR="0039052A" w:rsidRPr="0039052A">
        <w:t xml:space="preserve"> </w:t>
      </w:r>
      <w:r w:rsidR="0039052A">
        <w:t xml:space="preserve">In terms of safety, </w:t>
      </w:r>
      <w:r w:rsidR="0039052A" w:rsidRPr="0039052A">
        <w:t>there were no statistically significant differences in rates of preterm births, neonatal intensive care unit admissions, neonatal deaths, congenital abnormalities</w:t>
      </w:r>
      <w:r w:rsidR="0039052A">
        <w:t xml:space="preserve">, </w:t>
      </w:r>
      <w:r w:rsidR="0039052A" w:rsidRPr="0039052A">
        <w:t>caesarean birth</w:t>
      </w:r>
      <w:r w:rsidR="0039052A">
        <w:t xml:space="preserve">, mean birthweight and </w:t>
      </w:r>
      <w:r w:rsidR="0039052A" w:rsidRPr="0039052A">
        <w:t>risk of miscarriage/spontaneous abortion between the two treatment arms.</w:t>
      </w:r>
    </w:p>
    <w:p w:rsidR="00AA1D1D" w:rsidRDefault="001F4201" w:rsidP="00816F95">
      <w:r>
        <w:t xml:space="preserve">For the comparison of bupropion versus placebo, </w:t>
      </w:r>
      <w:r w:rsidR="0052629A">
        <w:t xml:space="preserve">there were </w:t>
      </w:r>
      <w:r w:rsidR="0052629A" w:rsidRPr="0052629A">
        <w:t>no statistically significant difference in smoking cessation rates</w:t>
      </w:r>
      <w:r w:rsidR="00601EBA">
        <w:t>, mean birthweight, mean length of infants and systolic of diastolic blood pressure at the end of pregnancy</w:t>
      </w:r>
      <w:r w:rsidR="0052629A" w:rsidRPr="0052629A">
        <w:t xml:space="preserve"> between the two treatment arms, noting the relatively small sample size</w:t>
      </w:r>
      <w:r w:rsidR="00656435">
        <w:t xml:space="preserve">. </w:t>
      </w:r>
      <w:r w:rsidR="00D2611B">
        <w:t>It was noted that</w:t>
      </w:r>
      <w:r w:rsidR="00D2611B" w:rsidRPr="00D2611B">
        <w:t xml:space="preserve"> women across all studies reported known adverse effects of bupropion (i.e. vomiting, headache, difficulty sleeping).</w:t>
      </w:r>
    </w:p>
    <w:p w:rsidR="00483B74" w:rsidRPr="00483B74" w:rsidRDefault="00483B74" w:rsidP="00816F95">
      <w:pPr>
        <w:rPr>
          <w:b/>
          <w:bCs/>
        </w:rPr>
      </w:pPr>
      <w:r w:rsidRPr="00483B74">
        <w:rPr>
          <w:b/>
          <w:bCs/>
        </w:rPr>
        <w:t>Adolescents</w:t>
      </w:r>
    </w:p>
    <w:p w:rsidR="00517B21" w:rsidRDefault="00FD6C22" w:rsidP="00483B74">
      <w:r>
        <w:t>S</w:t>
      </w:r>
      <w:r w:rsidR="00517B21" w:rsidRPr="00517B21">
        <w:t xml:space="preserve">tudies which assessed the use of pharmacotherapy for smoking cessation in adolescents </w:t>
      </w:r>
      <w:r>
        <w:t>may</w:t>
      </w:r>
      <w:r w:rsidR="00517B21" w:rsidRPr="00517B21">
        <w:t xml:space="preserve"> be underpowered given the small number of individuals in both the intervention or control groups who achieved smoking cessation at any point during follow-up. As such, the results from these studies should be interpreted with caution.</w:t>
      </w:r>
    </w:p>
    <w:p w:rsidR="00BA221C" w:rsidRDefault="00483B74" w:rsidP="00483B74">
      <w:r>
        <w:t>Based on the evidence presented (</w:t>
      </w:r>
      <w:r w:rsidR="00B7779E">
        <w:t xml:space="preserve">Fanshawe et al. 2017, Myung </w:t>
      </w:r>
      <w:r w:rsidR="00901B2A">
        <w:t xml:space="preserve">et al. </w:t>
      </w:r>
      <w:r w:rsidR="00B7779E">
        <w:t xml:space="preserve">2019, Selph </w:t>
      </w:r>
      <w:r w:rsidR="00901B2A">
        <w:t xml:space="preserve">et al. </w:t>
      </w:r>
      <w:r w:rsidR="00B7779E">
        <w:t>2019</w:t>
      </w:r>
      <w:r>
        <w:t xml:space="preserve">), </w:t>
      </w:r>
      <w:r w:rsidR="00286B68">
        <w:t>there were no</w:t>
      </w:r>
      <w:r>
        <w:t xml:space="preserve"> statistically significant </w:t>
      </w:r>
      <w:r w:rsidR="00286B68">
        <w:t>differences</w:t>
      </w:r>
      <w:r>
        <w:t xml:space="preserve"> in smoking cessation rates</w:t>
      </w:r>
      <w:r w:rsidR="00BA221C">
        <w:t xml:space="preserve"> </w:t>
      </w:r>
      <w:r w:rsidR="00C116E0">
        <w:t>(short-term</w:t>
      </w:r>
      <w:r w:rsidR="00BA221C">
        <w:t xml:space="preserve"> and </w:t>
      </w:r>
      <w:r w:rsidR="00C116E0">
        <w:t>long-term)</w:t>
      </w:r>
      <w:r w:rsidR="00BA221C">
        <w:t xml:space="preserve"> between NRT </w:t>
      </w:r>
      <w:r w:rsidR="00D83B0B">
        <w:t xml:space="preserve">(patch, gum, nasal spray) </w:t>
      </w:r>
      <w:r w:rsidR="00BA221C">
        <w:t>and placebo. In terms of safety, the</w:t>
      </w:r>
      <w:r w:rsidR="00BA221C" w:rsidRPr="00BA221C">
        <w:t xml:space="preserve"> studies reported a </w:t>
      </w:r>
      <w:r w:rsidR="00751F63">
        <w:t>significantly higher incidence</w:t>
      </w:r>
      <w:r w:rsidR="00601B5B">
        <w:t xml:space="preserve"> of</w:t>
      </w:r>
      <w:r w:rsidR="00BA221C" w:rsidRPr="00BA221C">
        <w:t xml:space="preserve"> adverse events in the NRT arm compared to placebo arm, specifically sore throat, hiccups, erythema, </w:t>
      </w:r>
      <w:r w:rsidR="009E7142" w:rsidRPr="00BA221C">
        <w:t>pruritus</w:t>
      </w:r>
      <w:r w:rsidR="00927A21">
        <w:t>, shoulder/arm pain,</w:t>
      </w:r>
      <w:r w:rsidR="00BA221C" w:rsidRPr="00BA221C">
        <w:t xml:space="preserve"> </w:t>
      </w:r>
      <w:r w:rsidR="00927A21" w:rsidRPr="00927A21">
        <w:t>headache, cough, abnormal dreams</w:t>
      </w:r>
      <w:r w:rsidR="00927A21">
        <w:t xml:space="preserve">, </w:t>
      </w:r>
      <w:r w:rsidR="00BA221C" w:rsidRPr="00BA221C">
        <w:t>and muscle pain.</w:t>
      </w:r>
    </w:p>
    <w:p w:rsidR="003B5B02" w:rsidRDefault="00562AEF" w:rsidP="00562AEF">
      <w:r>
        <w:t xml:space="preserve">For the comparison of bupropion versus placebo, </w:t>
      </w:r>
      <w:r w:rsidR="00E754C5" w:rsidRPr="00E754C5">
        <w:t xml:space="preserve">there were no statistically significant differences </w:t>
      </w:r>
      <w:r w:rsidR="004A77F0">
        <w:t>in long-term smoking cessation rates between the two treatment arms</w:t>
      </w:r>
      <w:r w:rsidR="00E07DBD">
        <w:t xml:space="preserve"> </w:t>
      </w:r>
      <w:r w:rsidR="003B5B02">
        <w:t xml:space="preserve">based on the one study (Muramoto </w:t>
      </w:r>
      <w:r w:rsidR="00DB296C">
        <w:t>et al.</w:t>
      </w:r>
      <w:r w:rsidR="003B5B02">
        <w:t xml:space="preserve"> 2007) identified by Fanshawe et al. (2017). </w:t>
      </w:r>
      <w:r w:rsidR="00C116E0">
        <w:t xml:space="preserve">However, </w:t>
      </w:r>
      <w:r w:rsidR="00C116E0" w:rsidRPr="00C116E0">
        <w:t xml:space="preserve">bupropion was shown to significantly improve smoking cessation rates compared with placebo </w:t>
      </w:r>
      <w:r w:rsidR="00896264">
        <w:t>based on the meta-analysis conducted by Myung et al. (2019),</w:t>
      </w:r>
      <w:r w:rsidR="00C7422F">
        <w:t xml:space="preserve"> noting that</w:t>
      </w:r>
      <w:r w:rsidR="003A6587">
        <w:t xml:space="preserve"> the</w:t>
      </w:r>
      <w:r w:rsidR="00C116E0" w:rsidRPr="00C116E0">
        <w:t xml:space="preserve"> two additional studies included </w:t>
      </w:r>
      <w:r w:rsidR="003A6587">
        <w:t xml:space="preserve">in the meta-analysis </w:t>
      </w:r>
      <w:r w:rsidR="00C116E0" w:rsidRPr="00C116E0">
        <w:t>measured</w:t>
      </w:r>
      <w:r w:rsidR="00C7422F">
        <w:t xml:space="preserve"> smoking cessation outcomes </w:t>
      </w:r>
      <w:r w:rsidR="00C116E0" w:rsidRPr="00C116E0">
        <w:t>at 3 months</w:t>
      </w:r>
      <w:r w:rsidR="00414FAB">
        <w:t>, had</w:t>
      </w:r>
      <w:r w:rsidR="00C116E0" w:rsidRPr="00C116E0">
        <w:t xml:space="preserve"> a relatively small sample size and wide confidence intervals</w:t>
      </w:r>
      <w:r w:rsidR="003A6587">
        <w:t>.</w:t>
      </w:r>
      <w:r w:rsidR="00C116E0" w:rsidRPr="00C116E0">
        <w:t xml:space="preserve"> </w:t>
      </w:r>
      <w:r w:rsidR="003B5B02">
        <w:t xml:space="preserve">For safety, </w:t>
      </w:r>
      <w:r w:rsidR="00145BA3">
        <w:t>the</w:t>
      </w:r>
      <w:r w:rsidR="00445901">
        <w:t>re were no significant differences in</w:t>
      </w:r>
      <w:r w:rsidR="00145BA3">
        <w:t xml:space="preserve"> common adverse events </w:t>
      </w:r>
      <w:r w:rsidR="00A85F64">
        <w:t xml:space="preserve">between </w:t>
      </w:r>
      <w:r w:rsidR="00145BA3">
        <w:t xml:space="preserve">bupropion </w:t>
      </w:r>
      <w:r w:rsidR="00A85F64">
        <w:t xml:space="preserve">and placebo (i.e. headache, irritability, insomnia), except for </w:t>
      </w:r>
      <w:r w:rsidR="00145BA3">
        <w:t>dream disturbances</w:t>
      </w:r>
      <w:r w:rsidR="00463B48">
        <w:t xml:space="preserve"> which was significantly higher in the bupropion arm </w:t>
      </w:r>
      <w:r w:rsidR="00A32ACE">
        <w:t xml:space="preserve"> (Fanshawe</w:t>
      </w:r>
      <w:r w:rsidR="00DB296C">
        <w:t xml:space="preserve"> et al</w:t>
      </w:r>
      <w:r w:rsidR="00145BA3">
        <w:t xml:space="preserve">. </w:t>
      </w:r>
      <w:r w:rsidR="00DB296C">
        <w:t>2017,</w:t>
      </w:r>
      <w:r w:rsidR="00DB296C" w:rsidRPr="00DB296C">
        <w:t xml:space="preserve"> </w:t>
      </w:r>
      <w:r w:rsidR="00DB296C">
        <w:t>Myung et al. 2019, Selph et al. 2019).</w:t>
      </w:r>
    </w:p>
    <w:p w:rsidR="00483B74" w:rsidRDefault="00A32ACE" w:rsidP="00816F95">
      <w:r>
        <w:lastRenderedPageBreak/>
        <w:t xml:space="preserve">For the comparison of </w:t>
      </w:r>
      <w:r w:rsidRPr="008750AD">
        <w:t xml:space="preserve">bupropion </w:t>
      </w:r>
      <w:r>
        <w:t>plus NRT patch versus</w:t>
      </w:r>
      <w:r w:rsidRPr="008750AD">
        <w:t xml:space="preserve"> placebo</w:t>
      </w:r>
      <w:r>
        <w:t xml:space="preserve"> plus NRT patch, </w:t>
      </w:r>
      <w:r w:rsidR="004A77F0" w:rsidRPr="004A77F0">
        <w:t xml:space="preserve">there were no statistically significant differences </w:t>
      </w:r>
      <w:r w:rsidR="004A77F0">
        <w:t>in long-term smoking cessation rates between the two treatment arms</w:t>
      </w:r>
      <w:r>
        <w:t xml:space="preserve"> based on the one study (</w:t>
      </w:r>
      <w:r w:rsidR="00DB296C">
        <w:t>Killen 2004</w:t>
      </w:r>
      <w:r>
        <w:t>) identified by Fanshawe et al. (2017).</w:t>
      </w:r>
      <w:r w:rsidR="00DB296C">
        <w:t xml:space="preserve"> For safety, Fanshawe et al. (2017) stated that none of the 47 self-reported adverse events in the study (nausea being the most common) were classified as severe</w:t>
      </w:r>
      <w:r w:rsidR="00336B9E">
        <w:t xml:space="preserve">; no statistical comparison </w:t>
      </w:r>
      <w:r w:rsidR="00602EA3">
        <w:t>was conducted by the authors of the study</w:t>
      </w:r>
      <w:r w:rsidR="00DB296C">
        <w:t>.</w:t>
      </w:r>
    </w:p>
    <w:p w:rsidR="00AA1D1D" w:rsidRPr="00D2611B" w:rsidRDefault="00AA1D1D" w:rsidP="00816F95">
      <w:pPr>
        <w:rPr>
          <w:b/>
        </w:rPr>
        <w:sectPr w:rsidR="00AA1D1D" w:rsidRPr="00D2611B" w:rsidSect="006356D2">
          <w:pgSz w:w="11906" w:h="16838"/>
          <w:pgMar w:top="1440" w:right="1440" w:bottom="1440" w:left="1440" w:header="708" w:footer="708" w:gutter="0"/>
          <w:cols w:space="708"/>
          <w:titlePg/>
          <w:docGrid w:linePitch="360"/>
        </w:sectPr>
      </w:pPr>
    </w:p>
    <w:p w:rsidR="00923556" w:rsidRPr="00A41970" w:rsidRDefault="00923556" w:rsidP="00CF4741">
      <w:pPr>
        <w:pStyle w:val="Heading1"/>
        <w:numPr>
          <w:ilvl w:val="0"/>
          <w:numId w:val="0"/>
        </w:numPr>
      </w:pPr>
      <w:bookmarkStart w:id="264" w:name="_Toc72850863"/>
      <w:bookmarkStart w:id="265" w:name="_Toc73525628"/>
      <w:bookmarkEnd w:id="50"/>
      <w:r w:rsidRPr="00CE54F7">
        <w:lastRenderedPageBreak/>
        <w:t>References</w:t>
      </w:r>
      <w:bookmarkEnd w:id="264"/>
      <w:bookmarkEnd w:id="265"/>
    </w:p>
    <w:p w:rsidR="0039468B" w:rsidRPr="008846EB" w:rsidRDefault="008846EB" w:rsidP="0039468B">
      <w:pPr>
        <w:pStyle w:val="EndNoteBibliography"/>
        <w:spacing w:after="0"/>
        <w:rPr>
          <w:highlight w:val="green"/>
        </w:rPr>
      </w:pPr>
      <w:r>
        <w:rPr>
          <w:color w:val="000000"/>
          <w:highlight w:val="black"/>
        </w:rPr>
        <w:t xml:space="preserve">''''''''''''' ''''''' '''''''''' ''''''' ''''''''''''' '''''' '''' '''' ''' ''''''''''''''''''''''' '''' ''''''''''''''''''''''''''''' '''''''''''''''''' ''''''' '''''''''''''' '''''' '''''''''''''''' ''''''''''''''''''' </w:t>
      </w:r>
      <w:r>
        <w:rPr>
          <w:i/>
          <w:color w:val="000000"/>
          <w:highlight w:val="black"/>
        </w:rPr>
        <w:t>'''' ''''''''' '' ''''''''</w:t>
      </w:r>
      <w:r>
        <w:rPr>
          <w:color w:val="000000"/>
          <w:highlight w:val="black"/>
        </w:rPr>
        <w:t xml:space="preserve"> '''''''''' </w:t>
      </w:r>
      <w:r>
        <w:rPr>
          <w:b/>
          <w:color w:val="000000"/>
          <w:highlight w:val="black"/>
        </w:rPr>
        <w:t>''''''''</w:t>
      </w:r>
      <w:r>
        <w:rPr>
          <w:color w:val="000000"/>
          <w:highlight w:val="black"/>
        </w:rPr>
        <w:t>''''''''' '''''''''''''''''''''</w:t>
      </w:r>
    </w:p>
    <w:p w:rsidR="0039468B" w:rsidRPr="008846EB" w:rsidRDefault="008846EB" w:rsidP="0039468B">
      <w:pPr>
        <w:pStyle w:val="EndNoteBibliography"/>
        <w:spacing w:after="0"/>
      </w:pPr>
      <w:r>
        <w:rPr>
          <w:color w:val="000000"/>
          <w:highlight w:val="black"/>
        </w:rPr>
        <w:t xml:space="preserve">'''''''''''''''''' ''''''' ''''''''''''''''' '''' ''''''''''' ''''''' '''' '''' ''' '''''''''''''''''' ''''''' '''' ''''''''''''''''''''''''''''' '''''''''''''''''''' ''' ''''''''''''''' ''''''''''' ''''' '''''''''' '''''' ''''''''''''''' '''''''''''''''''' </w:t>
      </w:r>
      <w:r>
        <w:rPr>
          <w:i/>
          <w:color w:val="000000"/>
          <w:highlight w:val="black"/>
        </w:rPr>
        <w:t>''' '''''''' '' '''''''''</w:t>
      </w:r>
      <w:r>
        <w:rPr>
          <w:color w:val="000000"/>
          <w:highlight w:val="black"/>
        </w:rPr>
        <w:t xml:space="preserve"> ''''''''''' </w:t>
      </w:r>
      <w:r>
        <w:rPr>
          <w:b/>
          <w:color w:val="000000"/>
          <w:highlight w:val="black"/>
        </w:rPr>
        <w:t>'''''''</w:t>
      </w:r>
      <w:r>
        <w:rPr>
          <w:color w:val="000000"/>
          <w:highlight w:val="black"/>
        </w:rPr>
        <w:t>''''''' '''''''''''''''</w:t>
      </w:r>
    </w:p>
    <w:p w:rsidR="0039468B" w:rsidRPr="0039468B" w:rsidRDefault="0039468B" w:rsidP="0039468B">
      <w:pPr>
        <w:pStyle w:val="EndNoteBibliography"/>
        <w:spacing w:after="0"/>
      </w:pPr>
      <w:bookmarkStart w:id="266" w:name="_ENREF_3"/>
      <w:r w:rsidRPr="0039468B">
        <w:t>3.</w:t>
      </w:r>
      <w:r w:rsidRPr="0039468B">
        <w:tab/>
        <w:t xml:space="preserve">Howes S, Hartmann‐Boyce J, Livingstone‐Banks J, Hong B, Lindson N. Antidepressants for smoking cessation. </w:t>
      </w:r>
      <w:r w:rsidRPr="0039468B">
        <w:rPr>
          <w:i/>
        </w:rPr>
        <w:t>Cochrane Database of Systematic Reviews</w:t>
      </w:r>
      <w:r w:rsidRPr="0039468B">
        <w:t xml:space="preserve"> 2020; (4).</w:t>
      </w:r>
      <w:bookmarkEnd w:id="266"/>
    </w:p>
    <w:p w:rsidR="0039468B" w:rsidRPr="0039468B" w:rsidRDefault="0039468B" w:rsidP="0039468B">
      <w:pPr>
        <w:pStyle w:val="EndNoteBibliography"/>
        <w:spacing w:after="0"/>
      </w:pPr>
      <w:bookmarkStart w:id="267" w:name="_ENREF_4"/>
      <w:r w:rsidRPr="0039468B">
        <w:t>4.</w:t>
      </w:r>
      <w:r w:rsidRPr="0039468B">
        <w:tab/>
        <w:t xml:space="preserve">Benowitz NL, Pipe A, West R, et al. Cardiovascular Safety of Varenicline, Bupropion, and Nicotine Patch in Smokers: a Randomized Clinical Trial. </w:t>
      </w:r>
      <w:r w:rsidRPr="0039468B">
        <w:rPr>
          <w:i/>
        </w:rPr>
        <w:t>JAMA internal medicine</w:t>
      </w:r>
      <w:r w:rsidRPr="0039468B">
        <w:t xml:space="preserve"> 2018; </w:t>
      </w:r>
      <w:r w:rsidRPr="0039468B">
        <w:rPr>
          <w:b/>
        </w:rPr>
        <w:t>178</w:t>
      </w:r>
      <w:r w:rsidRPr="0039468B">
        <w:t>(5): 622‐31.</w:t>
      </w:r>
      <w:bookmarkEnd w:id="267"/>
    </w:p>
    <w:p w:rsidR="0039468B" w:rsidRPr="0039468B" w:rsidRDefault="0039468B" w:rsidP="0039468B">
      <w:pPr>
        <w:pStyle w:val="EndNoteBibliography"/>
        <w:spacing w:after="0"/>
      </w:pPr>
      <w:bookmarkStart w:id="268" w:name="_ENREF_5"/>
      <w:r w:rsidRPr="0039468B">
        <w:t>5.</w:t>
      </w:r>
      <w:r w:rsidRPr="0039468B">
        <w:tab/>
        <w:t xml:space="preserve">Gorecka D, Bednarek M, Nowinski A, Puscinska E, Goljan-Geremek A, Zielinski J. [Effect of treatment for nicotine dependence in patients with COPD]. </w:t>
      </w:r>
      <w:r w:rsidRPr="0039468B">
        <w:rPr>
          <w:i/>
        </w:rPr>
        <w:t>Pneumonol Alergol Pol</w:t>
      </w:r>
      <w:r w:rsidRPr="0039468B">
        <w:t xml:space="preserve"> 2003; </w:t>
      </w:r>
      <w:r w:rsidRPr="0039468B">
        <w:rPr>
          <w:b/>
        </w:rPr>
        <w:t>71</w:t>
      </w:r>
      <w:r w:rsidRPr="0039468B">
        <w:t>(9-10): 411-7.</w:t>
      </w:r>
      <w:bookmarkEnd w:id="268"/>
    </w:p>
    <w:p w:rsidR="0039468B" w:rsidRPr="0039468B" w:rsidRDefault="0039468B" w:rsidP="0039468B">
      <w:pPr>
        <w:pStyle w:val="EndNoteBibliography"/>
        <w:spacing w:after="0"/>
      </w:pPr>
      <w:bookmarkStart w:id="269" w:name="_ENREF_6"/>
      <w:r w:rsidRPr="0039468B">
        <w:t>6.</w:t>
      </w:r>
      <w:r w:rsidRPr="0039468B">
        <w:tab/>
        <w:t xml:space="preserve">Uyar M, Filiz A, Bayram N, et al. A randomized trial of smoking cessation. Medication versus motivation. </w:t>
      </w:r>
      <w:r w:rsidRPr="0039468B">
        <w:rPr>
          <w:i/>
        </w:rPr>
        <w:t>Saudi Med J</w:t>
      </w:r>
      <w:r w:rsidRPr="0039468B">
        <w:t xml:space="preserve"> 2007; </w:t>
      </w:r>
      <w:r w:rsidRPr="0039468B">
        <w:rPr>
          <w:b/>
        </w:rPr>
        <w:t>28</w:t>
      </w:r>
      <w:r w:rsidRPr="0039468B">
        <w:t>(6): 922-6.</w:t>
      </w:r>
      <w:bookmarkEnd w:id="269"/>
    </w:p>
    <w:p w:rsidR="0039468B" w:rsidRPr="0039468B" w:rsidRDefault="0039468B" w:rsidP="0039468B">
      <w:pPr>
        <w:pStyle w:val="EndNoteBibliography"/>
        <w:spacing w:after="0"/>
      </w:pPr>
      <w:bookmarkStart w:id="270" w:name="_ENREF_7"/>
      <w:r w:rsidRPr="0039468B">
        <w:t>7.</w:t>
      </w:r>
      <w:r w:rsidRPr="0039468B">
        <w:tab/>
        <w:t xml:space="preserve">Piper ME, Smith SS, Schlam TR, et al. A randomized placebo-controlled clinical trial of 5 smoking cessation pharmacotherapies. </w:t>
      </w:r>
      <w:r w:rsidRPr="0039468B">
        <w:rPr>
          <w:i/>
        </w:rPr>
        <w:t>Arch Gen Psychiatry</w:t>
      </w:r>
      <w:r w:rsidRPr="0039468B">
        <w:t xml:space="preserve"> 2009; </w:t>
      </w:r>
      <w:r w:rsidRPr="0039468B">
        <w:rPr>
          <w:b/>
        </w:rPr>
        <w:t>66</w:t>
      </w:r>
      <w:r w:rsidRPr="0039468B">
        <w:t>(11): 1253-62.</w:t>
      </w:r>
      <w:bookmarkEnd w:id="270"/>
    </w:p>
    <w:p w:rsidR="0039468B" w:rsidRPr="0039468B" w:rsidRDefault="0039468B" w:rsidP="0039468B">
      <w:pPr>
        <w:pStyle w:val="EndNoteBibliography"/>
        <w:spacing w:after="0"/>
      </w:pPr>
      <w:bookmarkStart w:id="271" w:name="_ENREF_8"/>
      <w:r w:rsidRPr="0039468B">
        <w:t>8.</w:t>
      </w:r>
      <w:r w:rsidRPr="0039468B">
        <w:tab/>
        <w:t xml:space="preserve">Gonzales D, Rennard SI, Nides M, et al. Varenicline, an alpha4beta2 nicotinic acetylcholine receptor partial agonist, vs sustained-release bupropion and placebo for smoking cessation: a randomized controlled trial. </w:t>
      </w:r>
      <w:r w:rsidRPr="0039468B">
        <w:rPr>
          <w:i/>
        </w:rPr>
        <w:t>JAMA</w:t>
      </w:r>
      <w:r w:rsidRPr="0039468B">
        <w:t xml:space="preserve"> 2006; </w:t>
      </w:r>
      <w:r w:rsidRPr="0039468B">
        <w:rPr>
          <w:b/>
        </w:rPr>
        <w:t>296</w:t>
      </w:r>
      <w:r w:rsidRPr="0039468B">
        <w:t>(1): 47-55.</w:t>
      </w:r>
      <w:bookmarkEnd w:id="271"/>
    </w:p>
    <w:p w:rsidR="0039468B" w:rsidRPr="0039468B" w:rsidRDefault="0039468B" w:rsidP="0039468B">
      <w:pPr>
        <w:pStyle w:val="EndNoteBibliography"/>
        <w:spacing w:after="0"/>
      </w:pPr>
      <w:bookmarkStart w:id="272" w:name="_ENREF_9"/>
      <w:r w:rsidRPr="0039468B">
        <w:t>9.</w:t>
      </w:r>
      <w:r w:rsidRPr="0039468B">
        <w:tab/>
        <w:t xml:space="preserve">Jorenby DE, Hays JT, Rigotti NA, et al. Efficacy of varenicline, an alpha4beta2 nicotinic acetylcholine receptor partial agonist, vs placebo or sustained-release bupropion for smoking cessation: a randomized controlled trial. </w:t>
      </w:r>
      <w:r w:rsidRPr="0039468B">
        <w:rPr>
          <w:i/>
        </w:rPr>
        <w:t>JAMA</w:t>
      </w:r>
      <w:r w:rsidRPr="0039468B">
        <w:t xml:space="preserve"> 2006; </w:t>
      </w:r>
      <w:r w:rsidRPr="0039468B">
        <w:rPr>
          <w:b/>
        </w:rPr>
        <w:t>296</w:t>
      </w:r>
      <w:r w:rsidRPr="0039468B">
        <w:t>(1): 56-63.</w:t>
      </w:r>
      <w:bookmarkEnd w:id="272"/>
    </w:p>
    <w:p w:rsidR="0039468B" w:rsidRPr="0039468B" w:rsidRDefault="0039468B" w:rsidP="0039468B">
      <w:pPr>
        <w:pStyle w:val="EndNoteBibliography"/>
        <w:spacing w:after="0"/>
      </w:pPr>
      <w:bookmarkStart w:id="273" w:name="_ENREF_10"/>
      <w:r w:rsidRPr="0039468B">
        <w:t>10.</w:t>
      </w:r>
      <w:r w:rsidRPr="0039468B">
        <w:tab/>
        <w:t xml:space="preserve">Oncken C, Gonzales D, Nides M, et al. Efficacy and safety of the novel selective nicotinic acetylcholine receptor partial agonist, varenicline, for smoking cessation. </w:t>
      </w:r>
      <w:r w:rsidRPr="0039468B">
        <w:rPr>
          <w:i/>
        </w:rPr>
        <w:t>Arch Intern Med</w:t>
      </w:r>
      <w:r w:rsidRPr="0039468B">
        <w:t xml:space="preserve"> 2006; </w:t>
      </w:r>
      <w:r w:rsidRPr="0039468B">
        <w:rPr>
          <w:b/>
        </w:rPr>
        <w:t>166</w:t>
      </w:r>
      <w:r w:rsidRPr="0039468B">
        <w:t>(15): 1571-7.</w:t>
      </w:r>
      <w:bookmarkEnd w:id="273"/>
    </w:p>
    <w:p w:rsidR="0039468B" w:rsidRPr="0039468B" w:rsidRDefault="0039468B" w:rsidP="0039468B">
      <w:pPr>
        <w:pStyle w:val="EndNoteBibliography"/>
        <w:spacing w:after="0"/>
      </w:pPr>
      <w:bookmarkStart w:id="274" w:name="_ENREF_11"/>
      <w:r w:rsidRPr="0039468B">
        <w:t>11.</w:t>
      </w:r>
      <w:r w:rsidRPr="0039468B">
        <w:tab/>
        <w:t xml:space="preserve">Nakamura M, Oshima A, Fujimoto Y, Maruyama N, Ishibashi T, Reeves KR. Efficacy and tolerability of varenicline, an alpha4beta2 nicotinic acetylcholine receptor partial agonist, in a 12-week, randomized, placebo-controlled, dose-response study with 40-week follow-up for smoking cessation in Japanese smokers. </w:t>
      </w:r>
      <w:r w:rsidRPr="0039468B">
        <w:rPr>
          <w:i/>
        </w:rPr>
        <w:t>Clin Ther</w:t>
      </w:r>
      <w:r w:rsidRPr="0039468B">
        <w:t xml:space="preserve"> 2007; </w:t>
      </w:r>
      <w:r w:rsidRPr="0039468B">
        <w:rPr>
          <w:b/>
        </w:rPr>
        <w:t>29</w:t>
      </w:r>
      <w:r w:rsidRPr="0039468B">
        <w:t>(6): 1040-56.</w:t>
      </w:r>
      <w:bookmarkEnd w:id="274"/>
    </w:p>
    <w:p w:rsidR="0039468B" w:rsidRPr="0039468B" w:rsidRDefault="0039468B" w:rsidP="0039468B">
      <w:pPr>
        <w:pStyle w:val="EndNoteBibliography"/>
        <w:spacing w:after="0"/>
      </w:pPr>
      <w:bookmarkStart w:id="275" w:name="_ENREF_12"/>
      <w:r w:rsidRPr="0039468B">
        <w:t>12.</w:t>
      </w:r>
      <w:r w:rsidRPr="0039468B">
        <w:tab/>
        <w:t xml:space="preserve">Tsai ST, Cho HJ, Cheng HS, et al. A randomized, placebo-controlled trial of varenicline, a selective alpha4beta2 nicotinic acetylcholine receptor partial agonist, as a new therapy for smoking cessation in Asian smokers. </w:t>
      </w:r>
      <w:r w:rsidRPr="0039468B">
        <w:rPr>
          <w:i/>
        </w:rPr>
        <w:t>Clin Ther</w:t>
      </w:r>
      <w:r w:rsidRPr="0039468B">
        <w:t xml:space="preserve"> 2007; </w:t>
      </w:r>
      <w:r w:rsidRPr="0039468B">
        <w:rPr>
          <w:b/>
        </w:rPr>
        <w:t>29</w:t>
      </w:r>
      <w:r w:rsidRPr="0039468B">
        <w:t>(6): 1027-39.</w:t>
      </w:r>
      <w:bookmarkEnd w:id="275"/>
    </w:p>
    <w:p w:rsidR="0039468B" w:rsidRPr="0039468B" w:rsidRDefault="0039468B" w:rsidP="0039468B">
      <w:pPr>
        <w:pStyle w:val="EndNoteBibliography"/>
        <w:spacing w:after="0"/>
      </w:pPr>
      <w:bookmarkStart w:id="276" w:name="_ENREF_13"/>
      <w:r w:rsidRPr="0039468B">
        <w:t>13.</w:t>
      </w:r>
      <w:r w:rsidRPr="0039468B">
        <w:tab/>
        <w:t xml:space="preserve">Wang C, Xiao D, Chan KP, Pothirat C, Garza D, Davies S. Varenicline for smoking cessation: a placebo-controlled, randomized study. </w:t>
      </w:r>
      <w:r w:rsidRPr="0039468B">
        <w:rPr>
          <w:i/>
        </w:rPr>
        <w:t>Respirology</w:t>
      </w:r>
      <w:r w:rsidRPr="0039468B">
        <w:t xml:space="preserve"> 2009; </w:t>
      </w:r>
      <w:r w:rsidRPr="0039468B">
        <w:rPr>
          <w:b/>
        </w:rPr>
        <w:t>14</w:t>
      </w:r>
      <w:r w:rsidRPr="0039468B">
        <w:t>(3): 384-92.</w:t>
      </w:r>
      <w:bookmarkEnd w:id="276"/>
    </w:p>
    <w:p w:rsidR="0039468B" w:rsidRPr="0039468B" w:rsidRDefault="0039468B" w:rsidP="0039468B">
      <w:pPr>
        <w:pStyle w:val="EndNoteBibliography"/>
        <w:spacing w:after="0"/>
      </w:pPr>
      <w:bookmarkStart w:id="277" w:name="_ENREF_14"/>
      <w:r w:rsidRPr="0039468B">
        <w:t>14.</w:t>
      </w:r>
      <w:r w:rsidRPr="0039468B">
        <w:tab/>
        <w:t xml:space="preserve">Bolliger CT, Issa JS, Posadas-Valay R, et al. Effects of varenicline in adult smokers: a multinational, 24-week, randomized, double-blind, placebo-controlled study. </w:t>
      </w:r>
      <w:r w:rsidRPr="0039468B">
        <w:rPr>
          <w:i/>
        </w:rPr>
        <w:t>Clin Ther</w:t>
      </w:r>
      <w:r w:rsidRPr="0039468B">
        <w:t xml:space="preserve"> 2011; </w:t>
      </w:r>
      <w:r w:rsidRPr="0039468B">
        <w:rPr>
          <w:b/>
        </w:rPr>
        <w:t>33</w:t>
      </w:r>
      <w:r w:rsidRPr="0039468B">
        <w:t>(4): 465-77.</w:t>
      </w:r>
      <w:bookmarkEnd w:id="277"/>
    </w:p>
    <w:p w:rsidR="0039468B" w:rsidRPr="0039468B" w:rsidRDefault="0039468B" w:rsidP="0039468B">
      <w:pPr>
        <w:pStyle w:val="EndNoteBibliography"/>
        <w:spacing w:after="0"/>
      </w:pPr>
      <w:bookmarkStart w:id="278" w:name="_ENREF_15"/>
      <w:r w:rsidRPr="0039468B">
        <w:t>15.</w:t>
      </w:r>
      <w:r w:rsidRPr="0039468B">
        <w:tab/>
        <w:t xml:space="preserve">Rigotti NA, Pipe AL, Benowitz NL, Arteaga C, Garza D, Tonstad S. Efficacy and safety of varenicline for smoking cessation in patients with cardiovascular disease: a randomized trial. </w:t>
      </w:r>
      <w:r w:rsidRPr="0039468B">
        <w:rPr>
          <w:i/>
        </w:rPr>
        <w:t>Circulation</w:t>
      </w:r>
      <w:r w:rsidRPr="0039468B">
        <w:t xml:space="preserve"> 2010; </w:t>
      </w:r>
      <w:r w:rsidRPr="0039468B">
        <w:rPr>
          <w:b/>
        </w:rPr>
        <w:t>121</w:t>
      </w:r>
      <w:r w:rsidRPr="0039468B">
        <w:t>(2): 221-9.</w:t>
      </w:r>
      <w:bookmarkEnd w:id="278"/>
    </w:p>
    <w:p w:rsidR="0039468B" w:rsidRPr="0039468B" w:rsidRDefault="0039468B" w:rsidP="0039468B">
      <w:pPr>
        <w:pStyle w:val="EndNoteBibliography"/>
        <w:spacing w:after="0"/>
      </w:pPr>
      <w:bookmarkStart w:id="279" w:name="_ENREF_16"/>
      <w:r w:rsidRPr="0039468B">
        <w:lastRenderedPageBreak/>
        <w:t>16.</w:t>
      </w:r>
      <w:r w:rsidRPr="0039468B">
        <w:tab/>
        <w:t xml:space="preserve">Tashkin DP, Rennard S, Hays JT, Ma W, Lawrence D, Lee TC. Effects of varenicline on smoking cessation in patients with mild to moderate COPD: a randomized controlled trial. </w:t>
      </w:r>
      <w:r w:rsidRPr="0039468B">
        <w:rPr>
          <w:i/>
        </w:rPr>
        <w:t>Chest</w:t>
      </w:r>
      <w:r w:rsidRPr="0039468B">
        <w:t xml:space="preserve"> 2011; </w:t>
      </w:r>
      <w:r w:rsidRPr="0039468B">
        <w:rPr>
          <w:b/>
        </w:rPr>
        <w:t>139</w:t>
      </w:r>
      <w:r w:rsidRPr="0039468B">
        <w:t>(3): 591-9.</w:t>
      </w:r>
      <w:bookmarkEnd w:id="279"/>
    </w:p>
    <w:p w:rsidR="0039468B" w:rsidRPr="0039468B" w:rsidRDefault="0039468B" w:rsidP="0039468B">
      <w:pPr>
        <w:pStyle w:val="EndNoteBibliography"/>
        <w:spacing w:after="0"/>
      </w:pPr>
      <w:bookmarkStart w:id="280" w:name="_ENREF_17"/>
      <w:r w:rsidRPr="0039468B">
        <w:t>17.</w:t>
      </w:r>
      <w:r w:rsidRPr="0039468B">
        <w:tab/>
        <w:t xml:space="preserve">Rennard S, Hughes J, Cinciripini PM, et al. A randomized placebo-controlled trial of varenicline for smoking cessation allowing flexible quit dates. </w:t>
      </w:r>
      <w:r w:rsidRPr="0039468B">
        <w:rPr>
          <w:i/>
        </w:rPr>
        <w:t>Nicotine Tob Res</w:t>
      </w:r>
      <w:r w:rsidRPr="0039468B">
        <w:t xml:space="preserve"> 2012; </w:t>
      </w:r>
      <w:r w:rsidRPr="0039468B">
        <w:rPr>
          <w:b/>
        </w:rPr>
        <w:t>14</w:t>
      </w:r>
      <w:r w:rsidRPr="0039468B">
        <w:t>(3): 343-50.</w:t>
      </w:r>
      <w:bookmarkEnd w:id="280"/>
    </w:p>
    <w:p w:rsidR="0039468B" w:rsidRPr="0039468B" w:rsidRDefault="0039468B" w:rsidP="0039468B">
      <w:pPr>
        <w:pStyle w:val="EndNoteBibliography"/>
        <w:spacing w:after="0"/>
      </w:pPr>
      <w:bookmarkStart w:id="281" w:name="_ENREF_18"/>
      <w:r w:rsidRPr="0039468B">
        <w:t>18.</w:t>
      </w:r>
      <w:r w:rsidRPr="0039468B">
        <w:tab/>
        <w:t xml:space="preserve">Anthenelli RM, Benowitz NL, West R, et al. Neuropsychiatric safety and efficacy of varenicline, bupropion, and nicotine patch in smokers with and without psychiatric disorders (EAGLES): a double-blind, randomised, placebo-controlled clinical trial. </w:t>
      </w:r>
      <w:r w:rsidRPr="0039468B">
        <w:rPr>
          <w:i/>
        </w:rPr>
        <w:t>Lancet</w:t>
      </w:r>
      <w:r w:rsidRPr="0039468B">
        <w:t xml:space="preserve"> 2016; </w:t>
      </w:r>
      <w:r w:rsidRPr="0039468B">
        <w:rPr>
          <w:b/>
        </w:rPr>
        <w:t>387</w:t>
      </w:r>
      <w:r w:rsidRPr="0039468B">
        <w:t>(10037): 2507-20.</w:t>
      </w:r>
      <w:bookmarkEnd w:id="281"/>
    </w:p>
    <w:p w:rsidR="0039468B" w:rsidRPr="0039468B" w:rsidRDefault="0039468B" w:rsidP="0039468B">
      <w:pPr>
        <w:pStyle w:val="EndNoteBibliography"/>
        <w:spacing w:after="0"/>
      </w:pPr>
      <w:bookmarkStart w:id="282" w:name="_ENREF_19"/>
      <w:r w:rsidRPr="0039468B">
        <w:t>19.</w:t>
      </w:r>
      <w:r w:rsidRPr="0039468B">
        <w:tab/>
        <w:t xml:space="preserve">Cahill K, Lindson-Hawley N, Thomas KH, Fanshawe TR, Lancaster T. Nicotine receptor partial agonists for smoking cessation. </w:t>
      </w:r>
      <w:r w:rsidRPr="0039468B">
        <w:rPr>
          <w:i/>
        </w:rPr>
        <w:t>Cochrane Database of Systematic Reviews</w:t>
      </w:r>
      <w:r w:rsidRPr="0039468B">
        <w:t xml:space="preserve"> 2016; (5): CD006103.</w:t>
      </w:r>
      <w:bookmarkEnd w:id="282"/>
    </w:p>
    <w:p w:rsidR="0039468B" w:rsidRPr="0039468B" w:rsidRDefault="0039468B" w:rsidP="0039468B">
      <w:pPr>
        <w:pStyle w:val="EndNoteBibliography"/>
        <w:spacing w:after="0"/>
      </w:pPr>
      <w:bookmarkStart w:id="283" w:name="_ENREF_20"/>
      <w:r w:rsidRPr="0039468B">
        <w:t>20.</w:t>
      </w:r>
      <w:r w:rsidRPr="0039468B">
        <w:tab/>
        <w:t xml:space="preserve">Lerman C, Schnoll RA, Hawk LW, et al. Use of the nicotine metabolite ratio as a genetically informed biomarker of response to nicotine patch or varenicline for smoking cessation: a randomised, double-blind placebo-controlled trial. </w:t>
      </w:r>
      <w:r w:rsidRPr="0039468B">
        <w:rPr>
          <w:i/>
        </w:rPr>
        <w:t>The lancet Respiratory medicine</w:t>
      </w:r>
      <w:r w:rsidRPr="0039468B">
        <w:t xml:space="preserve"> 2015; </w:t>
      </w:r>
      <w:r w:rsidRPr="0039468B">
        <w:rPr>
          <w:b/>
        </w:rPr>
        <w:t>3</w:t>
      </w:r>
      <w:r w:rsidRPr="0039468B">
        <w:t>(2): 131‐8.</w:t>
      </w:r>
      <w:bookmarkEnd w:id="283"/>
    </w:p>
    <w:p w:rsidR="0039468B" w:rsidRPr="0039468B" w:rsidRDefault="0039468B" w:rsidP="0039468B">
      <w:pPr>
        <w:pStyle w:val="EndNoteBibliography"/>
        <w:spacing w:after="0"/>
      </w:pPr>
      <w:bookmarkStart w:id="284" w:name="_ENREF_21"/>
      <w:r w:rsidRPr="0039468B">
        <w:t>21.</w:t>
      </w:r>
      <w:r w:rsidRPr="0039468B">
        <w:tab/>
        <w:t xml:space="preserve">Littlewood RA, Claus ED, Wilcox CE, et al. Moderators of smoking cessation outcomes in a randomized-controlled trial of varenicline versus placebo. </w:t>
      </w:r>
      <w:r w:rsidRPr="0039468B">
        <w:rPr>
          <w:i/>
        </w:rPr>
        <w:t>Psychopharmacology</w:t>
      </w:r>
      <w:r w:rsidRPr="0039468B">
        <w:t xml:space="preserve"> 2017; </w:t>
      </w:r>
      <w:r w:rsidRPr="0039468B">
        <w:rPr>
          <w:b/>
        </w:rPr>
        <w:t>234</w:t>
      </w:r>
      <w:r w:rsidRPr="0039468B">
        <w:t>(23‐24): 3417‐29.</w:t>
      </w:r>
      <w:bookmarkEnd w:id="284"/>
    </w:p>
    <w:p w:rsidR="0039468B" w:rsidRPr="0039468B" w:rsidRDefault="0039468B" w:rsidP="0039468B">
      <w:pPr>
        <w:pStyle w:val="EndNoteBibliography"/>
        <w:spacing w:after="0"/>
      </w:pPr>
      <w:bookmarkStart w:id="285" w:name="_ENREF_22"/>
      <w:r w:rsidRPr="0039468B">
        <w:t>22.</w:t>
      </w:r>
      <w:r w:rsidRPr="0039468B">
        <w:tab/>
        <w:t xml:space="preserve">Hurt RT, Ebbert JO, Croghan IT, Schroeder DR, Hurt RD, Hays JT. Varenicline for tobacco-dependence treatment in alcohol-dependent smokers: a randomized controlled trial. </w:t>
      </w:r>
      <w:r w:rsidRPr="0039468B">
        <w:rPr>
          <w:i/>
        </w:rPr>
        <w:t>Drug and alcohol dependence</w:t>
      </w:r>
      <w:r w:rsidRPr="0039468B">
        <w:t xml:space="preserve"> 2018; </w:t>
      </w:r>
      <w:r w:rsidRPr="0039468B">
        <w:rPr>
          <w:b/>
        </w:rPr>
        <w:t>184</w:t>
      </w:r>
      <w:r w:rsidRPr="0039468B">
        <w:t>: 12‐7.</w:t>
      </w:r>
      <w:bookmarkEnd w:id="285"/>
    </w:p>
    <w:p w:rsidR="0039468B" w:rsidRPr="0039468B" w:rsidRDefault="0039468B" w:rsidP="0039468B">
      <w:pPr>
        <w:pStyle w:val="EndNoteBibliography"/>
        <w:spacing w:after="0"/>
      </w:pPr>
      <w:bookmarkStart w:id="286" w:name="_ENREF_23"/>
      <w:r w:rsidRPr="0039468B">
        <w:t>23.</w:t>
      </w:r>
      <w:r w:rsidRPr="0039468B">
        <w:tab/>
        <w:t xml:space="preserve">Mercie P, Arsandaux J, Katlama C, et al. Efficacy and safety of varenicline for smoking cessation in people living with HIV in France (ANRS 144 Inter-ACTIV): a randomised controlled phase 3 clinical trial. </w:t>
      </w:r>
      <w:r w:rsidRPr="0039468B">
        <w:rPr>
          <w:i/>
        </w:rPr>
        <w:t>Lancet HIV</w:t>
      </w:r>
      <w:r w:rsidRPr="0039468B">
        <w:t xml:space="preserve"> 2018; </w:t>
      </w:r>
      <w:r w:rsidRPr="0039468B">
        <w:rPr>
          <w:b/>
        </w:rPr>
        <w:t>5</w:t>
      </w:r>
      <w:r w:rsidRPr="0039468B">
        <w:t>(3): e126-e35.</w:t>
      </w:r>
      <w:bookmarkEnd w:id="286"/>
    </w:p>
    <w:p w:rsidR="0039468B" w:rsidRPr="0039468B" w:rsidRDefault="0039468B" w:rsidP="0039468B">
      <w:pPr>
        <w:pStyle w:val="EndNoteBibliography"/>
        <w:spacing w:after="0"/>
      </w:pPr>
      <w:bookmarkStart w:id="287" w:name="_ENREF_24"/>
      <w:r w:rsidRPr="0039468B">
        <w:t>24.</w:t>
      </w:r>
      <w:r w:rsidRPr="0039468B">
        <w:tab/>
        <w:t xml:space="preserve">Windle SB, Dehghani P, Roy N, et al. Smoking abstinence 1 year after acute coronary syndrome: follow-up from a randomized controlled trial of varenicline in patients admitted to hospital. </w:t>
      </w:r>
      <w:r w:rsidRPr="0039468B">
        <w:rPr>
          <w:i/>
        </w:rPr>
        <w:t>CMAJ : Canadian Medical Association journal</w:t>
      </w:r>
      <w:r w:rsidRPr="0039468B">
        <w:t xml:space="preserve"> 2018; </w:t>
      </w:r>
      <w:r w:rsidRPr="0039468B">
        <w:rPr>
          <w:b/>
        </w:rPr>
        <w:t>190</w:t>
      </w:r>
      <w:r w:rsidRPr="0039468B">
        <w:t>(12): E347‐E54.</w:t>
      </w:r>
      <w:bookmarkEnd w:id="287"/>
    </w:p>
    <w:p w:rsidR="0039468B" w:rsidRPr="0039468B" w:rsidRDefault="0039468B" w:rsidP="0039468B">
      <w:pPr>
        <w:pStyle w:val="EndNoteBibliography"/>
        <w:spacing w:after="0"/>
      </w:pPr>
      <w:bookmarkStart w:id="288" w:name="_ENREF_25"/>
      <w:r w:rsidRPr="0039468B">
        <w:t>25.</w:t>
      </w:r>
      <w:r w:rsidRPr="0039468B">
        <w:tab/>
        <w:t xml:space="preserve">Ashare RL, Thompson M, Serrano K, et al. Placebo-controlled randomized clinical trial testing the efficacy and safety of varenicline for smokers with HIV. </w:t>
      </w:r>
      <w:r w:rsidRPr="0039468B">
        <w:rPr>
          <w:i/>
        </w:rPr>
        <w:t>Drug &amp; Alcohol Dependence</w:t>
      </w:r>
      <w:r w:rsidRPr="0039468B">
        <w:t xml:space="preserve"> 2019; </w:t>
      </w:r>
      <w:r w:rsidRPr="0039468B">
        <w:rPr>
          <w:b/>
        </w:rPr>
        <w:t>200</w:t>
      </w:r>
      <w:r w:rsidRPr="0039468B">
        <w:t>: 26-33.</w:t>
      </w:r>
      <w:bookmarkEnd w:id="288"/>
    </w:p>
    <w:p w:rsidR="0039468B" w:rsidRPr="0039468B" w:rsidRDefault="0039468B" w:rsidP="0039468B">
      <w:pPr>
        <w:pStyle w:val="EndNoteBibliography"/>
        <w:spacing w:after="0"/>
      </w:pPr>
      <w:bookmarkStart w:id="289" w:name="_ENREF_26"/>
      <w:r w:rsidRPr="0039468B">
        <w:t>26.</w:t>
      </w:r>
      <w:r w:rsidRPr="0039468B">
        <w:tab/>
        <w:t xml:space="preserve">Chen LS, Baker TB, Miller JP, et al. Genetic Variant in CHRNA5 and Response to Varenicline and Combination Nicotine Replacement in a Randomized Placebo-Controlled Trial. </w:t>
      </w:r>
      <w:r w:rsidRPr="0039468B">
        <w:rPr>
          <w:i/>
        </w:rPr>
        <w:t>Clinical Pharmacology and Therapeutics</w:t>
      </w:r>
      <w:r w:rsidRPr="0039468B">
        <w:t xml:space="preserve"> 2020.</w:t>
      </w:r>
      <w:bookmarkEnd w:id="289"/>
    </w:p>
    <w:p w:rsidR="0039468B" w:rsidRPr="008846EB" w:rsidRDefault="008846EB" w:rsidP="0039468B">
      <w:pPr>
        <w:pStyle w:val="EndNoteBibliography"/>
        <w:spacing w:after="0"/>
        <w:rPr>
          <w:highlight w:val="red"/>
        </w:rPr>
      </w:pPr>
      <w:r>
        <w:rPr>
          <w:color w:val="000000"/>
          <w:highlight w:val="black"/>
        </w:rPr>
        <w:t xml:space="preserve">''''''''''''''''''''''' '''' '''''''''''''' ''' ''''''''''''''''''''''' '''' '''' ''''' '''''''''''' '''''''''''' '''''''''''''' ''''''''''''' ''''''''''''''' '''''''''''''''' ''''''''''''''''' ''''''''''''''''' ''''''''''' ''''''''''''' ''''''''' ''''''' '''''''''''''''' ''''''''''''' '''''''' '''''''''''''''''''''''''' ''''''''''''''''''' ''''''''''''''''''''''''' '''''''''''''''''''''' ''''''''''''''''' '''''''''''''''''''''' ''''''''''''''' </w:t>
      </w:r>
      <w:r>
        <w:rPr>
          <w:i/>
          <w:color w:val="000000"/>
          <w:highlight w:val="black"/>
        </w:rPr>
        <w:t>'''''''' ''''''''''''' ''</w:t>
      </w:r>
      <w:r>
        <w:rPr>
          <w:color w:val="000000"/>
          <w:highlight w:val="black"/>
        </w:rPr>
        <w:t xml:space="preserve"> '''''''''' </w:t>
      </w:r>
      <w:r>
        <w:rPr>
          <w:b/>
          <w:color w:val="000000"/>
          <w:highlight w:val="black"/>
        </w:rPr>
        <w:t>'''''</w:t>
      </w:r>
      <w:r>
        <w:rPr>
          <w:color w:val="000000"/>
          <w:highlight w:val="black"/>
        </w:rPr>
        <w:t>''''''' ''''''''''''''</w:t>
      </w:r>
    </w:p>
    <w:p w:rsidR="0039468B" w:rsidRPr="008846EB" w:rsidRDefault="008846EB" w:rsidP="0039468B">
      <w:pPr>
        <w:pStyle w:val="EndNoteBibliography"/>
        <w:spacing w:after="0"/>
      </w:pPr>
      <w:r>
        <w:rPr>
          <w:color w:val="000000"/>
          <w:highlight w:val="black"/>
        </w:rPr>
        <w:t xml:space="preserve">''''''''''''''' ''' '''''''''''''''' '''' '''''''''' ''''' ''''''''' '''' '''''''''''' '''' '''''''''''''' '''''''''''''''''''''' '''''''''''''''' '''''' '''''''''''''''' ''''''''''''''''''' </w:t>
      </w:r>
      <w:r>
        <w:rPr>
          <w:i/>
          <w:color w:val="000000"/>
          <w:highlight w:val="black"/>
        </w:rPr>
        <w:t>'''''''''''''''' ''''''''''''''''''' '''' '''''''''''''''''''' '''''''''''''''</w:t>
      </w:r>
      <w:r>
        <w:rPr>
          <w:color w:val="000000"/>
          <w:highlight w:val="black"/>
        </w:rPr>
        <w:t xml:space="preserve"> ''''''''''' '''''''</w:t>
      </w:r>
    </w:p>
    <w:p w:rsidR="0039468B" w:rsidRPr="0039468B" w:rsidRDefault="0039468B" w:rsidP="0039468B">
      <w:pPr>
        <w:pStyle w:val="EndNoteBibliography"/>
        <w:spacing w:after="0"/>
      </w:pPr>
      <w:bookmarkStart w:id="290" w:name="_ENREF_29"/>
      <w:r w:rsidRPr="0039468B">
        <w:t>29.</w:t>
      </w:r>
      <w:r w:rsidRPr="0039468B">
        <w:tab/>
        <w:t xml:space="preserve">Stead LF, Perera R, Bullen C, Mant D, Lancaster T. Nicotine replacement therapy for smoking cessation. </w:t>
      </w:r>
      <w:r w:rsidRPr="0039468B">
        <w:rPr>
          <w:i/>
        </w:rPr>
        <w:t>Cochrane Database of Systematic Reviews</w:t>
      </w:r>
      <w:r w:rsidRPr="0039468B">
        <w:t xml:space="preserve"> 2008; (1).</w:t>
      </w:r>
      <w:bookmarkEnd w:id="290"/>
    </w:p>
    <w:p w:rsidR="0039468B" w:rsidRPr="0039468B" w:rsidRDefault="0039468B" w:rsidP="0039468B">
      <w:pPr>
        <w:pStyle w:val="EndNoteBibliography"/>
        <w:spacing w:after="0"/>
      </w:pPr>
      <w:bookmarkStart w:id="291" w:name="_ENREF_30"/>
      <w:r w:rsidRPr="0039468B">
        <w:t>30.</w:t>
      </w:r>
      <w:r w:rsidRPr="0039468B">
        <w:tab/>
        <w:t xml:space="preserve">Hartmann-Boyce J, Chepkin SC, Ye W, Bullen C, Lancaster T. Nicotine replacement therapy versus control for smoking cessation. </w:t>
      </w:r>
      <w:r w:rsidRPr="0039468B">
        <w:rPr>
          <w:i/>
        </w:rPr>
        <w:t>Cochrane Database Syst Rev</w:t>
      </w:r>
      <w:r w:rsidRPr="0039468B">
        <w:t xml:space="preserve"> 2018; </w:t>
      </w:r>
      <w:r w:rsidRPr="0039468B">
        <w:rPr>
          <w:b/>
        </w:rPr>
        <w:t>5</w:t>
      </w:r>
      <w:r w:rsidRPr="0039468B">
        <w:t>: CD000146.</w:t>
      </w:r>
      <w:bookmarkEnd w:id="291"/>
    </w:p>
    <w:p w:rsidR="0039468B" w:rsidRPr="0039468B" w:rsidRDefault="0039468B" w:rsidP="0039468B">
      <w:pPr>
        <w:pStyle w:val="EndNoteBibliography"/>
        <w:spacing w:after="0"/>
      </w:pPr>
      <w:bookmarkStart w:id="292" w:name="_ENREF_31"/>
      <w:r w:rsidRPr="0039468B">
        <w:lastRenderedPageBreak/>
        <w:t>31.</w:t>
      </w:r>
      <w:r w:rsidRPr="0039468B">
        <w:tab/>
        <w:t xml:space="preserve">Aubin HJ, Bobak A, Britton JR, et al. Varenicline versus transdermal nicotine patch for smoking cessation: results from a randomised open-label trial. </w:t>
      </w:r>
      <w:r w:rsidRPr="0039468B">
        <w:rPr>
          <w:i/>
        </w:rPr>
        <w:t>Thorax</w:t>
      </w:r>
      <w:r w:rsidRPr="0039468B">
        <w:t xml:space="preserve"> 2008; </w:t>
      </w:r>
      <w:r w:rsidRPr="0039468B">
        <w:rPr>
          <w:b/>
        </w:rPr>
        <w:t>63</w:t>
      </w:r>
      <w:r w:rsidRPr="0039468B">
        <w:t>(8): 717-24.</w:t>
      </w:r>
      <w:bookmarkEnd w:id="292"/>
    </w:p>
    <w:p w:rsidR="0039468B" w:rsidRPr="0039468B" w:rsidRDefault="0039468B" w:rsidP="0039468B">
      <w:pPr>
        <w:pStyle w:val="EndNoteBibliography"/>
        <w:spacing w:after="0"/>
      </w:pPr>
      <w:bookmarkStart w:id="293" w:name="_ENREF_32"/>
      <w:r w:rsidRPr="0039468B">
        <w:t>32.</w:t>
      </w:r>
      <w:r w:rsidRPr="0039468B">
        <w:tab/>
        <w:t xml:space="preserve">Tulloch HE, Pipe AL, Els C, Clyde MJ, Reid RD. Flexible, dual-form nicotine replacement therapy or varenicline in comparison with nicotine patch for smoking cessation: A randomized controlled trial. </w:t>
      </w:r>
      <w:r w:rsidRPr="0039468B">
        <w:rPr>
          <w:i/>
        </w:rPr>
        <w:t>BMC Medicine</w:t>
      </w:r>
      <w:r w:rsidRPr="0039468B">
        <w:t xml:space="preserve"> 2016; </w:t>
      </w:r>
      <w:r w:rsidRPr="0039468B">
        <w:rPr>
          <w:b/>
        </w:rPr>
        <w:t>14</w:t>
      </w:r>
      <w:r w:rsidRPr="0039468B">
        <w:t>(1).</w:t>
      </w:r>
      <w:bookmarkEnd w:id="293"/>
    </w:p>
    <w:p w:rsidR="0039468B" w:rsidRPr="0039468B" w:rsidRDefault="0039468B" w:rsidP="0039468B">
      <w:pPr>
        <w:pStyle w:val="EndNoteBibliography"/>
        <w:spacing w:after="0"/>
      </w:pPr>
      <w:bookmarkStart w:id="294" w:name="_ENREF_33"/>
      <w:r w:rsidRPr="0039468B">
        <w:t>33.</w:t>
      </w:r>
      <w:r w:rsidRPr="0039468B">
        <w:tab/>
        <w:t xml:space="preserve">Rohsenow DJ, Tidey JW, Martin RA, et al. Varenicline versus nicotine patch with brief advice for smokers with substance use disorders with or without depression: effects on smoking, substance use and depressive symptoms. </w:t>
      </w:r>
      <w:r w:rsidRPr="0039468B">
        <w:rPr>
          <w:i/>
        </w:rPr>
        <w:t>Addiction (Abingdon, England)</w:t>
      </w:r>
      <w:r w:rsidRPr="0039468B">
        <w:t xml:space="preserve"> 2017; </w:t>
      </w:r>
      <w:r w:rsidRPr="0039468B">
        <w:rPr>
          <w:b/>
        </w:rPr>
        <w:t>112</w:t>
      </w:r>
      <w:r w:rsidRPr="0039468B">
        <w:t>(10): 1808-20.</w:t>
      </w:r>
      <w:bookmarkEnd w:id="294"/>
    </w:p>
    <w:p w:rsidR="0039468B" w:rsidRPr="0039468B" w:rsidRDefault="0039468B" w:rsidP="0039468B">
      <w:pPr>
        <w:pStyle w:val="EndNoteBibliography"/>
        <w:spacing w:after="0"/>
      </w:pPr>
      <w:bookmarkStart w:id="295" w:name="_ENREF_34"/>
      <w:r w:rsidRPr="0039468B">
        <w:t>34.</w:t>
      </w:r>
      <w:r w:rsidRPr="0039468B">
        <w:tab/>
        <w:t xml:space="preserve">Moolchan ET, Robinson ML, Ernst M, et al. Safety and efficacy of the nicotine patch and gum for the treatment of adolescent tobacco addiction. </w:t>
      </w:r>
      <w:r w:rsidRPr="0039468B">
        <w:rPr>
          <w:i/>
        </w:rPr>
        <w:t>Pediatrics</w:t>
      </w:r>
      <w:r w:rsidRPr="0039468B">
        <w:t xml:space="preserve"> 2005; </w:t>
      </w:r>
      <w:r w:rsidRPr="0039468B">
        <w:rPr>
          <w:b/>
        </w:rPr>
        <w:t>115</w:t>
      </w:r>
      <w:r w:rsidRPr="0039468B">
        <w:t>(4): e407-14.</w:t>
      </w:r>
      <w:bookmarkEnd w:id="295"/>
    </w:p>
    <w:p w:rsidR="0039468B" w:rsidRPr="0039468B" w:rsidRDefault="0039468B" w:rsidP="0039468B">
      <w:pPr>
        <w:pStyle w:val="EndNoteBibliography"/>
        <w:spacing w:after="0"/>
      </w:pPr>
      <w:bookmarkStart w:id="296" w:name="_ENREF_35"/>
      <w:r w:rsidRPr="0039468B">
        <w:t>35.</w:t>
      </w:r>
      <w:r w:rsidRPr="0039468B">
        <w:tab/>
        <w:t xml:space="preserve">Smith SS, McCarthy DE, Japuntich SJ, et al. Comparative effectiveness of 5 smoking cessation pharmacotherapies in primary care clinics. </w:t>
      </w:r>
      <w:r w:rsidRPr="0039468B">
        <w:rPr>
          <w:i/>
        </w:rPr>
        <w:t>Arch Intern Med</w:t>
      </w:r>
      <w:r w:rsidRPr="0039468B">
        <w:t xml:space="preserve"> 2009; </w:t>
      </w:r>
      <w:r w:rsidRPr="0039468B">
        <w:rPr>
          <w:b/>
        </w:rPr>
        <w:t>169</w:t>
      </w:r>
      <w:r w:rsidRPr="0039468B">
        <w:t>(22): 2148-55.</w:t>
      </w:r>
      <w:bookmarkEnd w:id="296"/>
    </w:p>
    <w:p w:rsidR="0039468B" w:rsidRPr="0039468B" w:rsidRDefault="0039468B" w:rsidP="0039468B">
      <w:pPr>
        <w:pStyle w:val="EndNoteBibliography"/>
        <w:spacing w:after="0"/>
      </w:pPr>
      <w:bookmarkStart w:id="297" w:name="_ENREF_36"/>
      <w:r w:rsidRPr="0039468B">
        <w:t>36.</w:t>
      </w:r>
      <w:r w:rsidRPr="0039468B">
        <w:tab/>
        <w:t xml:space="preserve">Schnoll RA, Martinez E, Tatum KL, et al. Nicotine patch vs. nicotine lozenge for smoking cessation: an effectiveness trial coordinated by the Community Clinical Oncology Program. </w:t>
      </w:r>
      <w:r w:rsidRPr="0039468B">
        <w:rPr>
          <w:i/>
        </w:rPr>
        <w:t>Drug Alcohol Depend</w:t>
      </w:r>
      <w:r w:rsidRPr="0039468B">
        <w:t xml:space="preserve"> 2010; </w:t>
      </w:r>
      <w:r w:rsidRPr="0039468B">
        <w:rPr>
          <w:b/>
        </w:rPr>
        <w:t>107</w:t>
      </w:r>
      <w:r w:rsidRPr="0039468B">
        <w:t>(2-3): 237-43.</w:t>
      </w:r>
      <w:bookmarkEnd w:id="297"/>
    </w:p>
    <w:p w:rsidR="0039468B" w:rsidRPr="0039468B" w:rsidRDefault="0039468B" w:rsidP="0039468B">
      <w:pPr>
        <w:pStyle w:val="EndNoteBibliography"/>
        <w:spacing w:after="0"/>
      </w:pPr>
      <w:bookmarkStart w:id="298" w:name="_ENREF_37"/>
      <w:r w:rsidRPr="0039468B">
        <w:t>37.</w:t>
      </w:r>
      <w:r w:rsidRPr="0039468B">
        <w:tab/>
        <w:t xml:space="preserve">Stead LF, Perera R, Bullen C, et al. Nicotine replacement therapy for smoking cessation. </w:t>
      </w:r>
      <w:r w:rsidRPr="0039468B">
        <w:rPr>
          <w:i/>
        </w:rPr>
        <w:t>Cochrane Database of Systematic Reviews</w:t>
      </w:r>
      <w:r w:rsidRPr="0039468B">
        <w:t xml:space="preserve"> 2012; (11).</w:t>
      </w:r>
      <w:bookmarkEnd w:id="298"/>
    </w:p>
    <w:p w:rsidR="0039468B" w:rsidRPr="0039468B" w:rsidRDefault="0039468B" w:rsidP="0039468B">
      <w:pPr>
        <w:pStyle w:val="EndNoteBibliography"/>
        <w:spacing w:after="0"/>
      </w:pPr>
      <w:bookmarkStart w:id="299" w:name="_ENREF_38"/>
      <w:r w:rsidRPr="0039468B">
        <w:t>38.</w:t>
      </w:r>
      <w:r w:rsidRPr="0039468B">
        <w:tab/>
        <w:t xml:space="preserve">Lindson N, Chepkin SC, Ye W, Fanshawe TR, Bullen C, Hartmann‐Boyce J. Different doses, durations and modes of delivery of nicotine replacement therapy for smoking cessation. </w:t>
      </w:r>
      <w:r w:rsidRPr="0039468B">
        <w:rPr>
          <w:i/>
        </w:rPr>
        <w:t>Cochrane Database of Systematic Reviews</w:t>
      </w:r>
      <w:r w:rsidRPr="0039468B">
        <w:t xml:space="preserve"> 2019; (4).</w:t>
      </w:r>
      <w:bookmarkEnd w:id="299"/>
    </w:p>
    <w:p w:rsidR="0039468B" w:rsidRPr="0039468B" w:rsidRDefault="0039468B" w:rsidP="0039468B">
      <w:pPr>
        <w:pStyle w:val="EndNoteBibliography"/>
        <w:spacing w:after="0"/>
      </w:pPr>
      <w:bookmarkStart w:id="300" w:name="_ENREF_39"/>
      <w:r w:rsidRPr="0039468B">
        <w:t>39.</w:t>
      </w:r>
      <w:r w:rsidRPr="0039468B">
        <w:tab/>
        <w:t xml:space="preserve">Tonstad S, Tonnesen P, Hajek P, et al. Effect of maintenance therapy with varenicline on smoking cessation: a randomized controlled trial. </w:t>
      </w:r>
      <w:r w:rsidRPr="0039468B">
        <w:rPr>
          <w:i/>
        </w:rPr>
        <w:t>JAMA</w:t>
      </w:r>
      <w:r w:rsidRPr="0039468B">
        <w:t xml:space="preserve"> 2006; </w:t>
      </w:r>
      <w:r w:rsidRPr="0039468B">
        <w:rPr>
          <w:b/>
        </w:rPr>
        <w:t>296</w:t>
      </w:r>
      <w:r w:rsidRPr="0039468B">
        <w:t>(1): 64-71.</w:t>
      </w:r>
      <w:bookmarkEnd w:id="300"/>
    </w:p>
    <w:p w:rsidR="0039468B" w:rsidRPr="0039468B" w:rsidRDefault="0039468B" w:rsidP="0039468B">
      <w:pPr>
        <w:pStyle w:val="EndNoteBibliography"/>
        <w:spacing w:after="0"/>
      </w:pPr>
      <w:bookmarkStart w:id="301" w:name="_ENREF_40"/>
      <w:r w:rsidRPr="0039468B">
        <w:t>40.</w:t>
      </w:r>
      <w:r w:rsidRPr="0039468B">
        <w:tab/>
        <w:t xml:space="preserve">Livingstone-Banks J, Norris E, Hartmann-Boyce J, et al. Relapse prevention interventions for smoking cessation. </w:t>
      </w:r>
      <w:r w:rsidRPr="0039468B">
        <w:rPr>
          <w:i/>
        </w:rPr>
        <w:t>Cochrane Database Syst Rev</w:t>
      </w:r>
      <w:r w:rsidRPr="0039468B">
        <w:t xml:space="preserve"> 2019; </w:t>
      </w:r>
      <w:r w:rsidRPr="0039468B">
        <w:rPr>
          <w:b/>
        </w:rPr>
        <w:t>2019</w:t>
      </w:r>
      <w:r w:rsidRPr="0039468B">
        <w:t>(10).</w:t>
      </w:r>
      <w:bookmarkEnd w:id="301"/>
    </w:p>
    <w:p w:rsidR="0039468B" w:rsidRPr="0039468B" w:rsidRDefault="0039468B" w:rsidP="0039468B">
      <w:pPr>
        <w:pStyle w:val="EndNoteBibliography"/>
        <w:spacing w:after="0"/>
      </w:pPr>
      <w:bookmarkStart w:id="302" w:name="_ENREF_41"/>
      <w:r w:rsidRPr="0039468B">
        <w:t>41.</w:t>
      </w:r>
      <w:r w:rsidRPr="0039468B">
        <w:tab/>
        <w:t xml:space="preserve">Schnoll R, Leone F, Veluz-Wilkins A, et al. A randomized controlled trial of 24 weeks of varenicline for tobacco use among cancer patients: Efficacy, safety, and adherence. </w:t>
      </w:r>
      <w:r w:rsidRPr="0039468B">
        <w:rPr>
          <w:i/>
        </w:rPr>
        <w:t>Psycho-Oncology</w:t>
      </w:r>
      <w:r w:rsidRPr="0039468B">
        <w:t xml:space="preserve"> 2019; </w:t>
      </w:r>
      <w:r w:rsidRPr="0039468B">
        <w:rPr>
          <w:b/>
        </w:rPr>
        <w:t>28</w:t>
      </w:r>
      <w:r w:rsidRPr="0039468B">
        <w:t>(3): 561-9.</w:t>
      </w:r>
      <w:bookmarkEnd w:id="302"/>
    </w:p>
    <w:p w:rsidR="0039468B" w:rsidRPr="0039468B" w:rsidRDefault="0039468B" w:rsidP="0039468B">
      <w:pPr>
        <w:pStyle w:val="EndNoteBibliography"/>
        <w:spacing w:after="0"/>
      </w:pPr>
      <w:bookmarkStart w:id="303" w:name="_ENREF_42"/>
      <w:r w:rsidRPr="0039468B">
        <w:t>42.</w:t>
      </w:r>
      <w:r w:rsidRPr="0039468B">
        <w:tab/>
        <w:t xml:space="preserve">Gonzales D, Hajek P, Pliamm L, et al. Retreatment with varenicline for smoking cessation in smokers who have previously taken varenicline: a randomized, placebo-controlled trial. </w:t>
      </w:r>
      <w:r w:rsidRPr="0039468B">
        <w:rPr>
          <w:i/>
        </w:rPr>
        <w:t>Clin Pharmacol Ther</w:t>
      </w:r>
      <w:r w:rsidRPr="0039468B">
        <w:t xml:space="preserve"> 2014; </w:t>
      </w:r>
      <w:r w:rsidRPr="0039468B">
        <w:rPr>
          <w:b/>
        </w:rPr>
        <w:t>96</w:t>
      </w:r>
      <w:r w:rsidRPr="0039468B">
        <w:t>(3): 390-6.</w:t>
      </w:r>
      <w:bookmarkEnd w:id="303"/>
    </w:p>
    <w:p w:rsidR="0039468B" w:rsidRPr="0039468B" w:rsidRDefault="0039468B" w:rsidP="0039468B">
      <w:pPr>
        <w:pStyle w:val="EndNoteBibliography"/>
        <w:spacing w:after="0"/>
      </w:pPr>
      <w:bookmarkStart w:id="304" w:name="_ENREF_43"/>
      <w:r w:rsidRPr="0039468B">
        <w:t>43.</w:t>
      </w:r>
      <w:r w:rsidRPr="0039468B">
        <w:tab/>
        <w:t xml:space="preserve">Gonzales DH, Nides MA, Ferry LH, et al. Bupropion SR as an aid to smoking cessation in smokers treated previously with bupropion: a randomized placebo‐controlled study. </w:t>
      </w:r>
      <w:r w:rsidRPr="0039468B">
        <w:rPr>
          <w:i/>
        </w:rPr>
        <w:t>Clinical Pharmacology &amp; Therapeutics</w:t>
      </w:r>
      <w:r w:rsidRPr="0039468B">
        <w:t xml:space="preserve"> 2001; </w:t>
      </w:r>
      <w:r w:rsidRPr="0039468B">
        <w:rPr>
          <w:b/>
        </w:rPr>
        <w:t>69</w:t>
      </w:r>
      <w:r w:rsidRPr="0039468B">
        <w:t>(6): 438-44.</w:t>
      </w:r>
      <w:bookmarkEnd w:id="304"/>
    </w:p>
    <w:p w:rsidR="0039468B" w:rsidRPr="0039468B" w:rsidRDefault="0039468B" w:rsidP="0039468B">
      <w:pPr>
        <w:pStyle w:val="EndNoteBibliography"/>
        <w:spacing w:after="0"/>
      </w:pPr>
      <w:bookmarkStart w:id="305" w:name="_ENREF_44"/>
      <w:r w:rsidRPr="0039468B">
        <w:t>44.</w:t>
      </w:r>
      <w:r w:rsidRPr="0039468B">
        <w:tab/>
        <w:t xml:space="preserve">Selby P, Ainslie M, Stepner N, Roberts J. Sustained‐release bupropion (Zybanr) is effective in the re‐treatment of relapsed adult smokers. </w:t>
      </w:r>
      <w:r w:rsidRPr="0039468B">
        <w:rPr>
          <w:i/>
        </w:rPr>
        <w:t>American Journal of Respiratory and Critical Care Medicine</w:t>
      </w:r>
      <w:r w:rsidRPr="0039468B">
        <w:t xml:space="preserve"> 2003; </w:t>
      </w:r>
      <w:r w:rsidRPr="0039468B">
        <w:rPr>
          <w:b/>
        </w:rPr>
        <w:t>167</w:t>
      </w:r>
      <w:r w:rsidRPr="0039468B">
        <w:t>(7): A47.</w:t>
      </w:r>
      <w:bookmarkEnd w:id="305"/>
    </w:p>
    <w:p w:rsidR="0039468B" w:rsidRPr="0039468B" w:rsidRDefault="0039468B" w:rsidP="0039468B">
      <w:pPr>
        <w:pStyle w:val="EndNoteBibliography"/>
        <w:spacing w:after="0"/>
      </w:pPr>
      <w:bookmarkStart w:id="306" w:name="_ENREF_45"/>
      <w:r w:rsidRPr="0039468B">
        <w:t>45.</w:t>
      </w:r>
      <w:r w:rsidRPr="0039468B">
        <w:tab/>
        <w:t xml:space="preserve">Gourlay SG, Forbes A, Marriner T, Pethica D, McNeil JJ. Double blind trial of repeated treatment with transdermal nicotine for relapsed smokers. </w:t>
      </w:r>
      <w:r w:rsidRPr="0039468B">
        <w:rPr>
          <w:i/>
        </w:rPr>
        <w:t>BMJ</w:t>
      </w:r>
      <w:r w:rsidRPr="0039468B">
        <w:t xml:space="preserve"> 1995; </w:t>
      </w:r>
      <w:r w:rsidRPr="0039468B">
        <w:rPr>
          <w:b/>
        </w:rPr>
        <w:t>311</w:t>
      </w:r>
      <w:r w:rsidRPr="0039468B">
        <w:t>(7001): 363-6.</w:t>
      </w:r>
      <w:bookmarkEnd w:id="306"/>
    </w:p>
    <w:p w:rsidR="0039468B" w:rsidRPr="0039468B" w:rsidRDefault="0039468B" w:rsidP="0039468B">
      <w:pPr>
        <w:pStyle w:val="EndNoteBibliography"/>
        <w:spacing w:after="0"/>
      </w:pPr>
      <w:bookmarkStart w:id="307" w:name="_ENREF_46"/>
      <w:r w:rsidRPr="0039468B">
        <w:t>46.</w:t>
      </w:r>
      <w:r w:rsidRPr="0039468B">
        <w:tab/>
        <w:t xml:space="preserve">Chen LS, Baker TB, Miller JP, et al. Genetic Variant in CHRNA5 and Response to Varenicline and Combination Nicotine Replacement in a Randomized Placebo-Controlled Trial. </w:t>
      </w:r>
      <w:r w:rsidRPr="0039468B">
        <w:rPr>
          <w:i/>
        </w:rPr>
        <w:t>Clin Pharmacol Ther</w:t>
      </w:r>
      <w:r w:rsidRPr="0039468B">
        <w:t xml:space="preserve"> 2020.</w:t>
      </w:r>
      <w:bookmarkEnd w:id="307"/>
    </w:p>
    <w:p w:rsidR="0039468B" w:rsidRPr="0039468B" w:rsidRDefault="0039468B" w:rsidP="0039468B">
      <w:pPr>
        <w:pStyle w:val="EndNoteBibliography"/>
        <w:spacing w:after="0"/>
      </w:pPr>
      <w:bookmarkStart w:id="308" w:name="_ENREF_47"/>
      <w:r w:rsidRPr="0039468B">
        <w:lastRenderedPageBreak/>
        <w:t>47.</w:t>
      </w:r>
      <w:r w:rsidRPr="0039468B">
        <w:tab/>
        <w:t xml:space="preserve">Leung MKW, Bai D, Yip BHK, et al. Combined nicotine patch with gum versus nicotine patch alone in smoking cessation in Hong Kong primary care clinics: a randomised controlled trial. </w:t>
      </w:r>
      <w:r w:rsidRPr="0039468B">
        <w:rPr>
          <w:i/>
        </w:rPr>
        <w:t>BMC public health</w:t>
      </w:r>
      <w:r w:rsidRPr="0039468B">
        <w:t xml:space="preserve"> 2019; </w:t>
      </w:r>
      <w:r w:rsidRPr="0039468B">
        <w:rPr>
          <w:b/>
        </w:rPr>
        <w:t>19</w:t>
      </w:r>
      <w:r w:rsidRPr="0039468B">
        <w:t>(1): 1302.</w:t>
      </w:r>
      <w:bookmarkEnd w:id="308"/>
    </w:p>
    <w:p w:rsidR="0039468B" w:rsidRPr="0039468B" w:rsidRDefault="0039468B" w:rsidP="0039468B">
      <w:pPr>
        <w:pStyle w:val="EndNoteBibliography"/>
        <w:spacing w:after="0"/>
      </w:pPr>
      <w:bookmarkStart w:id="309" w:name="_ENREF_48"/>
      <w:r w:rsidRPr="0039468B">
        <w:t>48.</w:t>
      </w:r>
      <w:r w:rsidRPr="0039468B">
        <w:tab/>
        <w:t xml:space="preserve">Cahill K, Stevens S, Perera R, Lancaster T. Pharmacological interventions for smoking cessation: an overview and network meta-analysis. </w:t>
      </w:r>
      <w:r w:rsidRPr="0039468B">
        <w:rPr>
          <w:i/>
        </w:rPr>
        <w:t>The Cochrane database of systematic reviews</w:t>
      </w:r>
      <w:r w:rsidRPr="0039468B">
        <w:t xml:space="preserve"> 2013; </w:t>
      </w:r>
      <w:r w:rsidRPr="0039468B">
        <w:rPr>
          <w:b/>
        </w:rPr>
        <w:t>5</w:t>
      </w:r>
      <w:r w:rsidRPr="0039468B">
        <w:t>: CD009329.</w:t>
      </w:r>
      <w:bookmarkEnd w:id="309"/>
    </w:p>
    <w:p w:rsidR="0039468B" w:rsidRPr="0039468B" w:rsidRDefault="0039468B" w:rsidP="0039468B">
      <w:pPr>
        <w:pStyle w:val="EndNoteBibliography"/>
        <w:spacing w:after="0"/>
      </w:pPr>
      <w:bookmarkStart w:id="310" w:name="_ENREF_49"/>
      <w:r w:rsidRPr="0039468B">
        <w:t>49.</w:t>
      </w:r>
      <w:r w:rsidRPr="0039468B">
        <w:tab/>
        <w:t xml:space="preserve">Chang PH, Chiang CH, Ho WC, Wu PZ, Tsai JS, Guo FR. Combination therapy of varenicline with nicotine replacement therapy is better than varenicline alone: a systematic review and meta-analysis of randomized controlled trials. </w:t>
      </w:r>
      <w:r w:rsidRPr="0039468B">
        <w:rPr>
          <w:i/>
        </w:rPr>
        <w:t>BMC Public Health</w:t>
      </w:r>
      <w:r w:rsidRPr="0039468B">
        <w:t xml:space="preserve"> 2015; </w:t>
      </w:r>
      <w:r w:rsidRPr="0039468B">
        <w:rPr>
          <w:b/>
        </w:rPr>
        <w:t>15</w:t>
      </w:r>
      <w:r w:rsidRPr="0039468B">
        <w:t>: 689.</w:t>
      </w:r>
      <w:bookmarkEnd w:id="310"/>
    </w:p>
    <w:p w:rsidR="0039468B" w:rsidRPr="0039468B" w:rsidRDefault="0039468B" w:rsidP="0039468B">
      <w:pPr>
        <w:pStyle w:val="EndNoteBibliography"/>
        <w:spacing w:after="0"/>
      </w:pPr>
      <w:bookmarkStart w:id="311" w:name="_ENREF_50"/>
      <w:r w:rsidRPr="0039468B">
        <w:t>50.</w:t>
      </w:r>
      <w:r w:rsidRPr="0039468B">
        <w:tab/>
        <w:t xml:space="preserve">Lindson N, Klemperer E, Hong B, Ordonez-Mena JM, Aveyard P. Smoking reduction interventions for smoking cessation. </w:t>
      </w:r>
      <w:r w:rsidRPr="0039468B">
        <w:rPr>
          <w:i/>
        </w:rPr>
        <w:t>Cochrane Database Syst Rev</w:t>
      </w:r>
      <w:r w:rsidRPr="0039468B">
        <w:t xml:space="preserve"> 2019; </w:t>
      </w:r>
      <w:r w:rsidRPr="0039468B">
        <w:rPr>
          <w:b/>
        </w:rPr>
        <w:t>9</w:t>
      </w:r>
      <w:r w:rsidRPr="0039468B">
        <w:t>: CD013183.</w:t>
      </w:r>
      <w:bookmarkEnd w:id="311"/>
    </w:p>
    <w:p w:rsidR="0039468B" w:rsidRPr="0039468B" w:rsidRDefault="0039468B" w:rsidP="0039468B">
      <w:pPr>
        <w:pStyle w:val="EndNoteBibliography"/>
        <w:spacing w:after="0"/>
      </w:pPr>
      <w:bookmarkStart w:id="312" w:name="_ENREF_51"/>
      <w:r w:rsidRPr="0039468B">
        <w:t>51.</w:t>
      </w:r>
      <w:r w:rsidRPr="0039468B">
        <w:tab/>
        <w:t xml:space="preserve">Ellerbeck EF, Nollen N, Hutcheson TD, et al. Effect of Long-term Nicotine Replacement Therapy vs Standard Smoking Cessation for Smokers With Chronic Lung Disease: A Randomized Clinical Trial. </w:t>
      </w:r>
      <w:r w:rsidRPr="0039468B">
        <w:rPr>
          <w:i/>
        </w:rPr>
        <w:t>JAMA Netw Open</w:t>
      </w:r>
      <w:r w:rsidRPr="0039468B">
        <w:t xml:space="preserve"> 2018; </w:t>
      </w:r>
      <w:r w:rsidRPr="0039468B">
        <w:rPr>
          <w:b/>
        </w:rPr>
        <w:t>1</w:t>
      </w:r>
      <w:r w:rsidRPr="0039468B">
        <w:t>(5): e181843.</w:t>
      </w:r>
      <w:bookmarkEnd w:id="312"/>
    </w:p>
    <w:p w:rsidR="0039468B" w:rsidRPr="0039468B" w:rsidRDefault="0039468B" w:rsidP="0039468B">
      <w:pPr>
        <w:pStyle w:val="EndNoteBibliography"/>
        <w:spacing w:after="0"/>
      </w:pPr>
      <w:bookmarkStart w:id="313" w:name="_ENREF_52"/>
      <w:r w:rsidRPr="0039468B">
        <w:t>52.</w:t>
      </w:r>
      <w:r w:rsidRPr="0039468B">
        <w:tab/>
        <w:t xml:space="preserve">Dedert EA, Dennis PA, Calhoun PS, Dennis MF, Beckham JC. A Randomized Clinical Trial of Nicotine Preloading for Smoking Cessation in People with Posttraumatic Stress Disorder. </w:t>
      </w:r>
      <w:r w:rsidRPr="0039468B">
        <w:rPr>
          <w:i/>
        </w:rPr>
        <w:t>J Dual Diagn</w:t>
      </w:r>
      <w:r w:rsidRPr="0039468B">
        <w:t xml:space="preserve"> 2018; </w:t>
      </w:r>
      <w:r w:rsidRPr="0039468B">
        <w:rPr>
          <w:b/>
        </w:rPr>
        <w:t>14</w:t>
      </w:r>
      <w:r w:rsidRPr="0039468B">
        <w:t>(3): 148-57.</w:t>
      </w:r>
      <w:bookmarkEnd w:id="313"/>
    </w:p>
    <w:p w:rsidR="0039468B" w:rsidRPr="0039468B" w:rsidRDefault="0039468B" w:rsidP="0039468B">
      <w:pPr>
        <w:pStyle w:val="EndNoteBibliography"/>
        <w:spacing w:after="0"/>
      </w:pPr>
      <w:bookmarkStart w:id="314" w:name="_ENREF_53"/>
      <w:r w:rsidRPr="0039468B">
        <w:t>53.</w:t>
      </w:r>
      <w:r w:rsidRPr="0039468B">
        <w:tab/>
        <w:t xml:space="preserve">Oncken C, Dornelas EA, Kuo CL, et al. Randomized Trial of Nicotine Inhaler for Pregnant Smokers. </w:t>
      </w:r>
      <w:r w:rsidRPr="0039468B">
        <w:rPr>
          <w:i/>
        </w:rPr>
        <w:t>Am J Obstet Gynecol MFM</w:t>
      </w:r>
      <w:r w:rsidRPr="0039468B">
        <w:t xml:space="preserve"> 2019; </w:t>
      </w:r>
      <w:r w:rsidRPr="0039468B">
        <w:rPr>
          <w:b/>
        </w:rPr>
        <w:t>1</w:t>
      </w:r>
      <w:r w:rsidRPr="0039468B">
        <w:t>(1): 10-8.</w:t>
      </w:r>
      <w:bookmarkEnd w:id="314"/>
    </w:p>
    <w:p w:rsidR="0039468B" w:rsidRPr="0039468B" w:rsidRDefault="0039468B" w:rsidP="0039468B">
      <w:pPr>
        <w:pStyle w:val="EndNoteBibliography"/>
        <w:spacing w:after="0"/>
      </w:pPr>
      <w:bookmarkStart w:id="315" w:name="_ENREF_54"/>
      <w:r w:rsidRPr="0039468B">
        <w:t>54.</w:t>
      </w:r>
      <w:r w:rsidRPr="0039468B">
        <w:tab/>
        <w:t xml:space="preserve">Nides M, Danielsson T, Saunders F, et al. Efficacy and Safety of a Nicotine Mouth Spray for Smoking Cessation: A Randomized, Multicenter, Controlled Study in a Naturalistic Setting. </w:t>
      </w:r>
      <w:r w:rsidRPr="0039468B">
        <w:rPr>
          <w:i/>
        </w:rPr>
        <w:t>Nicotine Tob Res</w:t>
      </w:r>
      <w:r w:rsidRPr="0039468B">
        <w:t xml:space="preserve"> 2020; </w:t>
      </w:r>
      <w:r w:rsidRPr="0039468B">
        <w:rPr>
          <w:b/>
        </w:rPr>
        <w:t>22</w:t>
      </w:r>
      <w:r w:rsidRPr="0039468B">
        <w:t>(3): 339-45.</w:t>
      </w:r>
      <w:bookmarkEnd w:id="315"/>
    </w:p>
    <w:p w:rsidR="0039468B" w:rsidRPr="0039468B" w:rsidRDefault="0039468B" w:rsidP="0039468B">
      <w:pPr>
        <w:pStyle w:val="EndNoteBibliography"/>
        <w:spacing w:after="0"/>
      </w:pPr>
      <w:bookmarkStart w:id="316" w:name="_ENREF_55"/>
      <w:r w:rsidRPr="0039468B">
        <w:t>55.</w:t>
      </w:r>
      <w:r w:rsidRPr="0039468B">
        <w:tab/>
        <w:t xml:space="preserve">Lancaster T, Stead LF. Individual behavioural counselling for smoking cessation. </w:t>
      </w:r>
      <w:r w:rsidRPr="0039468B">
        <w:rPr>
          <w:i/>
        </w:rPr>
        <w:t>Cochrane Database Syst Rev</w:t>
      </w:r>
      <w:r w:rsidRPr="0039468B">
        <w:t xml:space="preserve"> 2017; </w:t>
      </w:r>
      <w:r w:rsidRPr="0039468B">
        <w:rPr>
          <w:b/>
        </w:rPr>
        <w:t>3</w:t>
      </w:r>
      <w:r w:rsidRPr="0039468B">
        <w:t>: CD001292.</w:t>
      </w:r>
      <w:bookmarkEnd w:id="316"/>
    </w:p>
    <w:p w:rsidR="0039468B" w:rsidRPr="0039468B" w:rsidRDefault="0039468B" w:rsidP="0039468B">
      <w:pPr>
        <w:pStyle w:val="EndNoteBibliography"/>
        <w:spacing w:after="0"/>
      </w:pPr>
      <w:bookmarkStart w:id="317" w:name="_ENREF_56"/>
      <w:r w:rsidRPr="0039468B">
        <w:t>56.</w:t>
      </w:r>
      <w:r w:rsidRPr="0039468B">
        <w:tab/>
        <w:t xml:space="preserve">Stead LF, Carroll AJ, Lancaster T. Group behaviour therapy programmes for smoking cessation. </w:t>
      </w:r>
      <w:r w:rsidRPr="0039468B">
        <w:rPr>
          <w:i/>
        </w:rPr>
        <w:t>Cochrane Database Syst Rev</w:t>
      </w:r>
      <w:r w:rsidRPr="0039468B">
        <w:t xml:space="preserve"> 2017; </w:t>
      </w:r>
      <w:r w:rsidRPr="0039468B">
        <w:rPr>
          <w:b/>
        </w:rPr>
        <w:t>3</w:t>
      </w:r>
      <w:r w:rsidRPr="0039468B">
        <w:t>: CD001007.</w:t>
      </w:r>
      <w:bookmarkEnd w:id="317"/>
    </w:p>
    <w:p w:rsidR="0039468B" w:rsidRPr="0039468B" w:rsidRDefault="0039468B" w:rsidP="0039468B">
      <w:pPr>
        <w:pStyle w:val="EndNoteBibliography"/>
        <w:spacing w:after="0"/>
      </w:pPr>
      <w:bookmarkStart w:id="318" w:name="_ENREF_57"/>
      <w:r w:rsidRPr="0039468B">
        <w:t>57.</w:t>
      </w:r>
      <w:r w:rsidRPr="0039468B">
        <w:tab/>
        <w:t xml:space="preserve">Carson-Chahhoud KV, Livingstone-Banks J, Sharrad KJ, et al. Community pharmacy personnel interventions for smoking cessation. </w:t>
      </w:r>
      <w:r w:rsidRPr="0039468B">
        <w:rPr>
          <w:i/>
        </w:rPr>
        <w:t>Cochrane Database Syst Rev</w:t>
      </w:r>
      <w:r w:rsidRPr="0039468B">
        <w:t xml:space="preserve"> 2019; </w:t>
      </w:r>
      <w:r w:rsidRPr="0039468B">
        <w:rPr>
          <w:b/>
        </w:rPr>
        <w:t>2019</w:t>
      </w:r>
      <w:r w:rsidRPr="0039468B">
        <w:t>(10).</w:t>
      </w:r>
      <w:bookmarkEnd w:id="318"/>
    </w:p>
    <w:p w:rsidR="0039468B" w:rsidRPr="0039468B" w:rsidRDefault="0039468B" w:rsidP="0039468B">
      <w:pPr>
        <w:pStyle w:val="EndNoteBibliography"/>
        <w:spacing w:after="0"/>
      </w:pPr>
      <w:bookmarkStart w:id="319" w:name="_ENREF_58"/>
      <w:r w:rsidRPr="0039468B">
        <w:t>58.</w:t>
      </w:r>
      <w:r w:rsidRPr="0039468B">
        <w:tab/>
        <w:t xml:space="preserve">Hartmann-Boyce J, Hong B, Livingstone-Banks J, Wheat H, Fanshawe TR. Additional behavioural support as an adjunct to pharmacotherapy for smoking cessation. </w:t>
      </w:r>
      <w:r w:rsidRPr="0039468B">
        <w:rPr>
          <w:i/>
        </w:rPr>
        <w:t>Cochrane Database Syst Rev</w:t>
      </w:r>
      <w:r w:rsidRPr="0039468B">
        <w:t xml:space="preserve"> 2019; </w:t>
      </w:r>
      <w:r w:rsidRPr="0039468B">
        <w:rPr>
          <w:b/>
        </w:rPr>
        <w:t>6</w:t>
      </w:r>
      <w:r w:rsidRPr="0039468B">
        <w:t>: CD009670.</w:t>
      </w:r>
      <w:bookmarkEnd w:id="319"/>
    </w:p>
    <w:p w:rsidR="0039468B" w:rsidRPr="0039468B" w:rsidRDefault="0039468B" w:rsidP="0039468B">
      <w:pPr>
        <w:pStyle w:val="EndNoteBibliography"/>
        <w:spacing w:after="0"/>
      </w:pPr>
      <w:bookmarkStart w:id="320" w:name="_ENREF_59"/>
      <w:r w:rsidRPr="0039468B">
        <w:t>59.</w:t>
      </w:r>
      <w:r w:rsidRPr="0039468B">
        <w:tab/>
        <w:t xml:space="preserve">Livingstone-Banks J, Ordonez-Mena JM, Hartmann-Boyce J. Print-based self-help interventions for smoking cessation. </w:t>
      </w:r>
      <w:r w:rsidRPr="0039468B">
        <w:rPr>
          <w:i/>
        </w:rPr>
        <w:t>Cochrane Database Syst Rev</w:t>
      </w:r>
      <w:r w:rsidRPr="0039468B">
        <w:t xml:space="preserve"> 2019; </w:t>
      </w:r>
      <w:r w:rsidRPr="0039468B">
        <w:rPr>
          <w:b/>
        </w:rPr>
        <w:t>1</w:t>
      </w:r>
      <w:r w:rsidRPr="0039468B">
        <w:t>: CD001118.</w:t>
      </w:r>
      <w:bookmarkEnd w:id="320"/>
    </w:p>
    <w:p w:rsidR="0039468B" w:rsidRPr="0039468B" w:rsidRDefault="0039468B" w:rsidP="0039468B">
      <w:pPr>
        <w:pStyle w:val="EndNoteBibliography"/>
        <w:spacing w:after="0"/>
      </w:pPr>
      <w:bookmarkStart w:id="321" w:name="_ENREF_60"/>
      <w:r w:rsidRPr="0039468B">
        <w:t>60.</w:t>
      </w:r>
      <w:r w:rsidRPr="0039468B">
        <w:tab/>
        <w:t xml:space="preserve">Matkin W, Ordonez-Mena JM, Hartmann-Boyce J. Telephone counselling for smoking cessation. </w:t>
      </w:r>
      <w:r w:rsidRPr="0039468B">
        <w:rPr>
          <w:i/>
        </w:rPr>
        <w:t>Cochrane Database Syst Rev</w:t>
      </w:r>
      <w:r w:rsidRPr="0039468B">
        <w:t xml:space="preserve"> 2019; </w:t>
      </w:r>
      <w:r w:rsidRPr="0039468B">
        <w:rPr>
          <w:b/>
        </w:rPr>
        <w:t>5</w:t>
      </w:r>
      <w:r w:rsidRPr="0039468B">
        <w:t>: CD002850.</w:t>
      </w:r>
      <w:bookmarkEnd w:id="321"/>
    </w:p>
    <w:p w:rsidR="0039468B" w:rsidRPr="0039468B" w:rsidRDefault="0039468B" w:rsidP="0039468B">
      <w:pPr>
        <w:pStyle w:val="EndNoteBibliography"/>
        <w:spacing w:after="0"/>
      </w:pPr>
      <w:bookmarkStart w:id="322" w:name="_ENREF_61"/>
      <w:r w:rsidRPr="0039468B">
        <w:t>61.</w:t>
      </w:r>
      <w:r w:rsidRPr="0039468B">
        <w:tab/>
        <w:t xml:space="preserve">Claire R, Chamberlain C, Davey MA, et al. Pharmacological interventions for promoting smoking cessation during pregnancy. </w:t>
      </w:r>
      <w:r w:rsidRPr="0039468B">
        <w:rPr>
          <w:i/>
        </w:rPr>
        <w:t>Cochrane Database Syst Rev</w:t>
      </w:r>
      <w:r w:rsidRPr="0039468B">
        <w:t xml:space="preserve"> 2020; </w:t>
      </w:r>
      <w:r w:rsidRPr="0039468B">
        <w:rPr>
          <w:b/>
        </w:rPr>
        <w:t>3</w:t>
      </w:r>
      <w:r w:rsidRPr="0039468B">
        <w:t>: CD010078.</w:t>
      </w:r>
      <w:bookmarkEnd w:id="322"/>
    </w:p>
    <w:p w:rsidR="0039468B" w:rsidRPr="0039468B" w:rsidRDefault="0039468B" w:rsidP="0039468B">
      <w:pPr>
        <w:pStyle w:val="EndNoteBibliography"/>
        <w:spacing w:after="0"/>
      </w:pPr>
      <w:bookmarkStart w:id="323" w:name="_ENREF_62"/>
      <w:r w:rsidRPr="0039468B">
        <w:t>62.</w:t>
      </w:r>
      <w:r w:rsidRPr="0039468B">
        <w:tab/>
        <w:t xml:space="preserve">Fanshawe TR, Halliwell W, Lindson N, Aveyard P, Livingstone-Banks J, Hartmann-Boyce J. Tobacco cessation interventions for young people. </w:t>
      </w:r>
      <w:r w:rsidRPr="0039468B">
        <w:rPr>
          <w:i/>
        </w:rPr>
        <w:t>Cochrane Database Syst Rev</w:t>
      </w:r>
      <w:r w:rsidRPr="0039468B">
        <w:t xml:space="preserve"> 2017; </w:t>
      </w:r>
      <w:r w:rsidRPr="0039468B">
        <w:rPr>
          <w:b/>
        </w:rPr>
        <w:t>11</w:t>
      </w:r>
      <w:r w:rsidRPr="0039468B">
        <w:t>: CD003289.</w:t>
      </w:r>
      <w:bookmarkEnd w:id="323"/>
    </w:p>
    <w:p w:rsidR="0039468B" w:rsidRPr="0039468B" w:rsidRDefault="0039468B" w:rsidP="0039468B">
      <w:pPr>
        <w:pStyle w:val="EndNoteBibliography"/>
        <w:spacing w:after="0"/>
      </w:pPr>
      <w:bookmarkStart w:id="324" w:name="_ENREF_63"/>
      <w:r w:rsidRPr="0039468B">
        <w:t>63.</w:t>
      </w:r>
      <w:r w:rsidRPr="0039468B">
        <w:tab/>
        <w:t xml:space="preserve">Myung SK, Park JY. Efficacy of Pharmacotherapy for Smoking Cessation in Adolescent Smokers: A Meta-analysis of Randomized Controlled Trials. </w:t>
      </w:r>
      <w:r w:rsidRPr="0039468B">
        <w:rPr>
          <w:i/>
        </w:rPr>
        <w:t>Nicotine Tob Res</w:t>
      </w:r>
      <w:r w:rsidRPr="0039468B">
        <w:t xml:space="preserve"> 2019; </w:t>
      </w:r>
      <w:r w:rsidRPr="0039468B">
        <w:rPr>
          <w:b/>
        </w:rPr>
        <w:t>21</w:t>
      </w:r>
      <w:r w:rsidRPr="0039468B">
        <w:t>(11): 1473-9.</w:t>
      </w:r>
      <w:bookmarkEnd w:id="324"/>
    </w:p>
    <w:p w:rsidR="0039468B" w:rsidRPr="0039468B" w:rsidRDefault="0039468B" w:rsidP="0039468B">
      <w:pPr>
        <w:pStyle w:val="EndNoteBibliography"/>
      </w:pPr>
      <w:bookmarkStart w:id="325" w:name="_ENREF_64"/>
      <w:r w:rsidRPr="0039468B">
        <w:t>64.</w:t>
      </w:r>
      <w:r w:rsidRPr="0039468B">
        <w:tab/>
        <w:t xml:space="preserve">Selph S, Patnode C, Bailey SR, Pappas M, Stoner R, Chou R. Primary Care-Relevant Interventions for Tobacco and Nicotine Use Prevention and Cessation in Children and </w:t>
      </w:r>
      <w:r w:rsidRPr="0039468B">
        <w:lastRenderedPageBreak/>
        <w:t xml:space="preserve">Adolescents: Updated Evidence Report and Systematic Review for the US Preventive Services Task Force. </w:t>
      </w:r>
      <w:r w:rsidRPr="0039468B">
        <w:rPr>
          <w:i/>
        </w:rPr>
        <w:t>JAMA</w:t>
      </w:r>
      <w:r w:rsidRPr="0039468B">
        <w:t xml:space="preserve"> 2020; </w:t>
      </w:r>
      <w:r w:rsidRPr="0039468B">
        <w:rPr>
          <w:b/>
        </w:rPr>
        <w:t>323</w:t>
      </w:r>
      <w:r w:rsidRPr="0039468B">
        <w:t>(16): 1599-608.</w:t>
      </w:r>
      <w:bookmarkEnd w:id="325"/>
    </w:p>
    <w:p w:rsidR="00294174" w:rsidRDefault="00294174" w:rsidP="00A41970">
      <w:pPr>
        <w:rPr>
          <w:rFonts w:asciiTheme="majorHAnsi" w:eastAsiaTheme="majorEastAsia" w:hAnsiTheme="majorHAnsi" w:cstheme="majorBidi"/>
          <w:b/>
          <w:bCs/>
          <w:color w:val="4F81BD" w:themeColor="accent1"/>
          <w:sz w:val="32"/>
          <w:szCs w:val="26"/>
        </w:rPr>
      </w:pPr>
      <w:r>
        <w:br w:type="page"/>
      </w:r>
    </w:p>
    <w:p w:rsidR="00D35EC1" w:rsidRDefault="00D35EC1" w:rsidP="0057325D">
      <w:pPr>
        <w:pStyle w:val="Heading1"/>
        <w:sectPr w:rsidR="00D35EC1" w:rsidSect="006356D2">
          <w:pgSz w:w="11906" w:h="16838"/>
          <w:pgMar w:top="1440" w:right="1440" w:bottom="1440" w:left="1440" w:header="708" w:footer="708" w:gutter="0"/>
          <w:cols w:space="708"/>
          <w:titlePg/>
          <w:docGrid w:linePitch="360"/>
        </w:sectPr>
      </w:pPr>
    </w:p>
    <w:p w:rsidR="00E51A3B" w:rsidRPr="00EB70E6" w:rsidRDefault="00E51A3B" w:rsidP="00CF4741">
      <w:pPr>
        <w:pStyle w:val="Heading1"/>
        <w:numPr>
          <w:ilvl w:val="0"/>
          <w:numId w:val="0"/>
        </w:numPr>
      </w:pPr>
      <w:bookmarkStart w:id="326" w:name="_Appendix_A_-"/>
      <w:bookmarkStart w:id="327" w:name="_Appendix_A_–"/>
      <w:bookmarkStart w:id="328" w:name="_Toc72850864"/>
      <w:bookmarkStart w:id="329" w:name="_Toc73525629"/>
      <w:bookmarkEnd w:id="326"/>
      <w:bookmarkEnd w:id="327"/>
      <w:r w:rsidRPr="00EB70E6">
        <w:lastRenderedPageBreak/>
        <w:t>Appendix</w:t>
      </w:r>
      <w:bookmarkEnd w:id="328"/>
      <w:bookmarkEnd w:id="329"/>
    </w:p>
    <w:p w:rsidR="002550E0" w:rsidRDefault="002C3EF9" w:rsidP="00CF4741">
      <w:pPr>
        <w:pStyle w:val="Heading2"/>
        <w:numPr>
          <w:ilvl w:val="0"/>
          <w:numId w:val="0"/>
        </w:numPr>
      </w:pPr>
      <w:bookmarkStart w:id="330" w:name="_Toc72850865"/>
      <w:bookmarkStart w:id="331" w:name="_Toc73525630"/>
      <w:r>
        <w:t>A</w:t>
      </w:r>
      <w:r w:rsidR="002550E0">
        <w:t xml:space="preserve"> Methodology and identification of relevant studies</w:t>
      </w:r>
      <w:bookmarkEnd w:id="330"/>
      <w:bookmarkEnd w:id="331"/>
    </w:p>
    <w:p w:rsidR="001B2507" w:rsidRDefault="001B2507" w:rsidP="00CF4741">
      <w:pPr>
        <w:pStyle w:val="Heading3"/>
        <w:numPr>
          <w:ilvl w:val="0"/>
          <w:numId w:val="0"/>
        </w:numPr>
      </w:pPr>
      <w:bookmarkStart w:id="332" w:name="_Toc72850866"/>
      <w:bookmarkStart w:id="333" w:name="_Toc73525631"/>
      <w:r>
        <w:t>A.1 Key outcomes previously considered by the PBAC</w:t>
      </w:r>
      <w:bookmarkEnd w:id="332"/>
      <w:bookmarkEnd w:id="333"/>
    </w:p>
    <w:p w:rsidR="001B2507" w:rsidRDefault="001B2507" w:rsidP="001B2507">
      <w:pPr>
        <w:pStyle w:val="Caption"/>
        <w:keepNext/>
      </w:pPr>
      <w:bookmarkStart w:id="334" w:name="_Ref60648875"/>
      <w:r>
        <w:t xml:space="preserve">Table </w:t>
      </w:r>
      <w:r w:rsidR="003C4A1C">
        <w:rPr>
          <w:noProof/>
        </w:rPr>
        <w:t>135</w:t>
      </w:r>
      <w:bookmarkEnd w:id="334"/>
      <w:r>
        <w:t>: Key outcomes previously considered by the PBAC</w:t>
      </w:r>
    </w:p>
    <w:tbl>
      <w:tblPr>
        <w:tblStyle w:val="TableGrid"/>
        <w:tblW w:w="5000" w:type="pct"/>
        <w:tblLook w:val="0420" w:firstRow="1" w:lastRow="0" w:firstColumn="0" w:lastColumn="0" w:noHBand="0" w:noVBand="1"/>
      </w:tblPr>
      <w:tblGrid>
        <w:gridCol w:w="995"/>
        <w:gridCol w:w="633"/>
        <w:gridCol w:w="2350"/>
        <w:gridCol w:w="5038"/>
      </w:tblGrid>
      <w:tr w:rsidR="001B2507" w:rsidRPr="00AE3CBC" w:rsidTr="002002BD">
        <w:trPr>
          <w:trHeight w:val="288"/>
        </w:trPr>
        <w:tc>
          <w:tcPr>
            <w:tcW w:w="552" w:type="pct"/>
            <w:shd w:val="clear" w:color="auto" w:fill="BFBFBF" w:themeFill="background1" w:themeFillShade="BF"/>
            <w:hideMark/>
          </w:tcPr>
          <w:p w:rsidR="001B2507" w:rsidRPr="00CF4ECB" w:rsidRDefault="001B2507" w:rsidP="002002BD">
            <w:pPr>
              <w:pStyle w:val="Tableheading"/>
            </w:pPr>
            <w:r>
              <w:t>PBAC meeting</w:t>
            </w:r>
          </w:p>
        </w:tc>
        <w:tc>
          <w:tcPr>
            <w:tcW w:w="351" w:type="pct"/>
            <w:shd w:val="clear" w:color="auto" w:fill="BFBFBF" w:themeFill="background1" w:themeFillShade="BF"/>
            <w:hideMark/>
          </w:tcPr>
          <w:p w:rsidR="001B2507" w:rsidRPr="00CF4ECB" w:rsidRDefault="001B2507" w:rsidP="002002BD">
            <w:pPr>
              <w:pStyle w:val="Tableheading"/>
              <w:jc w:val="center"/>
            </w:pPr>
            <w:r w:rsidRPr="00CF4ECB">
              <w:t>Drug</w:t>
            </w:r>
          </w:p>
        </w:tc>
        <w:tc>
          <w:tcPr>
            <w:tcW w:w="1303" w:type="pct"/>
            <w:shd w:val="clear" w:color="auto" w:fill="BFBFBF" w:themeFill="background1" w:themeFillShade="BF"/>
            <w:hideMark/>
          </w:tcPr>
          <w:p w:rsidR="001B2507" w:rsidRPr="00CF4ECB" w:rsidRDefault="001B2507" w:rsidP="002002BD">
            <w:pPr>
              <w:pStyle w:val="Tableheading"/>
              <w:jc w:val="center"/>
            </w:pPr>
            <w:r w:rsidRPr="00CF4ECB">
              <w:t>Comparison</w:t>
            </w:r>
          </w:p>
        </w:tc>
        <w:tc>
          <w:tcPr>
            <w:tcW w:w="2794" w:type="pct"/>
            <w:shd w:val="clear" w:color="auto" w:fill="BFBFBF" w:themeFill="background1" w:themeFillShade="BF"/>
            <w:hideMark/>
          </w:tcPr>
          <w:p w:rsidR="001B2507" w:rsidRPr="007B21C2" w:rsidRDefault="001B2507" w:rsidP="002002BD">
            <w:pPr>
              <w:pStyle w:val="Tableheading"/>
              <w:jc w:val="center"/>
              <w:rPr>
                <w:vertAlign w:val="superscript"/>
              </w:rPr>
            </w:pPr>
            <w:r w:rsidRPr="00CF4ECB">
              <w:t>Key outcomes</w:t>
            </w:r>
            <w:r w:rsidR="007B21C2">
              <w:rPr>
                <w:vertAlign w:val="superscript"/>
              </w:rPr>
              <w:t>1</w:t>
            </w:r>
          </w:p>
        </w:tc>
      </w:tr>
      <w:tr w:rsidR="001B2507" w:rsidRPr="00AE3CBC" w:rsidTr="002002BD">
        <w:trPr>
          <w:trHeight w:val="722"/>
        </w:trPr>
        <w:tc>
          <w:tcPr>
            <w:tcW w:w="552" w:type="pct"/>
            <w:hideMark/>
          </w:tcPr>
          <w:p w:rsidR="001B2507" w:rsidRPr="00AE3CBC" w:rsidRDefault="001B2507" w:rsidP="002002BD">
            <w:pPr>
              <w:pStyle w:val="Tablewriting"/>
            </w:pPr>
            <w:r w:rsidRPr="00AE3CBC">
              <w:t>Jul</w:t>
            </w:r>
            <w:r>
              <w:t xml:space="preserve"> 20</w:t>
            </w:r>
            <w:r w:rsidRPr="00AE3CBC">
              <w:t>07</w:t>
            </w:r>
          </w:p>
        </w:tc>
        <w:tc>
          <w:tcPr>
            <w:tcW w:w="351" w:type="pct"/>
            <w:hideMark/>
          </w:tcPr>
          <w:p w:rsidR="001B2507" w:rsidRPr="00AE3CBC" w:rsidRDefault="001B2507" w:rsidP="002002BD">
            <w:pPr>
              <w:pStyle w:val="Tablewriting"/>
            </w:pPr>
            <w:r w:rsidRPr="00AE3CBC">
              <w:t>VAR</w:t>
            </w:r>
          </w:p>
        </w:tc>
        <w:tc>
          <w:tcPr>
            <w:tcW w:w="1303" w:type="pct"/>
            <w:hideMark/>
          </w:tcPr>
          <w:p w:rsidR="001B2507" w:rsidRPr="00AE3CBC" w:rsidRDefault="001B2507" w:rsidP="002002BD">
            <w:pPr>
              <w:pStyle w:val="Tablewriting"/>
            </w:pPr>
            <w:r w:rsidRPr="00AE3CBC">
              <w:t>VAR versus BUP</w:t>
            </w:r>
          </w:p>
        </w:tc>
        <w:tc>
          <w:tcPr>
            <w:tcW w:w="2794" w:type="pct"/>
            <w:hideMark/>
          </w:tcPr>
          <w:p w:rsidR="001B2507" w:rsidRPr="00AE3CBC" w:rsidRDefault="001B2507" w:rsidP="002002BD">
            <w:pPr>
              <w:pStyle w:val="Tablewriting"/>
            </w:pPr>
            <w:r w:rsidRPr="00AE3CBC">
              <w:t xml:space="preserve">Primary: 4-week continuous quit rate </w:t>
            </w:r>
            <w:r>
              <w:t xml:space="preserve">week </w:t>
            </w:r>
            <w:r w:rsidRPr="00AE3CBC">
              <w:t>9-12</w:t>
            </w:r>
            <w:r w:rsidRPr="00AE3CBC">
              <w:br/>
              <w:t xml:space="preserve">Secondary: continuous abstinence </w:t>
            </w:r>
            <w:r>
              <w:t xml:space="preserve">week </w:t>
            </w:r>
            <w:r w:rsidRPr="00AE3CBC">
              <w:t>9-52</w:t>
            </w:r>
            <w:r>
              <w:t>,</w:t>
            </w:r>
            <w:r w:rsidRPr="00AE3CBC">
              <w:t xml:space="preserve"> safety including discontinuation due to AE</w:t>
            </w:r>
          </w:p>
        </w:tc>
      </w:tr>
      <w:tr w:rsidR="001B2507" w:rsidRPr="00AE3CBC" w:rsidTr="002002BD">
        <w:trPr>
          <w:trHeight w:val="493"/>
        </w:trPr>
        <w:tc>
          <w:tcPr>
            <w:tcW w:w="552" w:type="pct"/>
            <w:hideMark/>
          </w:tcPr>
          <w:p w:rsidR="001B2507" w:rsidRPr="00AE3CBC" w:rsidRDefault="001B2507" w:rsidP="002002BD">
            <w:pPr>
              <w:pStyle w:val="Tablewriting"/>
            </w:pPr>
            <w:r w:rsidRPr="00AE3CBC">
              <w:t>Nov</w:t>
            </w:r>
            <w:r>
              <w:t xml:space="preserve"> 20</w:t>
            </w:r>
            <w:r w:rsidRPr="00AE3CBC">
              <w:t>09</w:t>
            </w:r>
          </w:p>
        </w:tc>
        <w:tc>
          <w:tcPr>
            <w:tcW w:w="351" w:type="pct"/>
            <w:hideMark/>
          </w:tcPr>
          <w:p w:rsidR="001B2507" w:rsidRPr="00AE3CBC" w:rsidRDefault="001B2507" w:rsidP="002002BD">
            <w:pPr>
              <w:pStyle w:val="Tablewriting"/>
            </w:pPr>
            <w:r w:rsidRPr="00AE3CBC">
              <w:t>VAR</w:t>
            </w:r>
          </w:p>
        </w:tc>
        <w:tc>
          <w:tcPr>
            <w:tcW w:w="1303" w:type="pct"/>
            <w:hideMark/>
          </w:tcPr>
          <w:p w:rsidR="001B2507" w:rsidRPr="00AE3CBC" w:rsidRDefault="001B2507" w:rsidP="002002BD">
            <w:pPr>
              <w:pStyle w:val="Tablewriting"/>
            </w:pPr>
            <w:r w:rsidRPr="00AE3CBC">
              <w:t>VAR versus PBO</w:t>
            </w:r>
          </w:p>
        </w:tc>
        <w:tc>
          <w:tcPr>
            <w:tcW w:w="2794" w:type="pct"/>
            <w:hideMark/>
          </w:tcPr>
          <w:p w:rsidR="001B2507" w:rsidRPr="00AE3CBC" w:rsidRDefault="001B2507" w:rsidP="002002BD">
            <w:pPr>
              <w:pStyle w:val="Tablewriting"/>
            </w:pPr>
            <w:r w:rsidRPr="00AE3CBC">
              <w:t xml:space="preserve">Primary: continuous abstinence </w:t>
            </w:r>
            <w:r>
              <w:t xml:space="preserve">week </w:t>
            </w:r>
            <w:r w:rsidRPr="00AE3CBC">
              <w:t>13-24</w:t>
            </w:r>
            <w:r w:rsidRPr="00AE3CBC">
              <w:br/>
              <w:t xml:space="preserve">Secondary: continuous abstinence </w:t>
            </w:r>
            <w:r>
              <w:t xml:space="preserve">week </w:t>
            </w:r>
            <w:r w:rsidRPr="00AE3CBC">
              <w:t>13-52</w:t>
            </w:r>
            <w:r>
              <w:t>,</w:t>
            </w:r>
            <w:r w:rsidRPr="00AE3CBC">
              <w:t xml:space="preserve"> safety</w:t>
            </w:r>
          </w:p>
        </w:tc>
      </w:tr>
      <w:tr w:rsidR="001B2507" w:rsidRPr="00AE3CBC" w:rsidTr="002002BD">
        <w:trPr>
          <w:trHeight w:val="784"/>
        </w:trPr>
        <w:tc>
          <w:tcPr>
            <w:tcW w:w="552" w:type="pct"/>
            <w:hideMark/>
          </w:tcPr>
          <w:p w:rsidR="001B2507" w:rsidRPr="00AE3CBC" w:rsidRDefault="001B2507" w:rsidP="002002BD">
            <w:pPr>
              <w:pStyle w:val="Tablewriting"/>
            </w:pPr>
            <w:r w:rsidRPr="00AE3CBC">
              <w:t>Mar</w:t>
            </w:r>
            <w:r>
              <w:t xml:space="preserve"> 20</w:t>
            </w:r>
            <w:r w:rsidRPr="00AE3CBC">
              <w:t>10</w:t>
            </w:r>
          </w:p>
        </w:tc>
        <w:tc>
          <w:tcPr>
            <w:tcW w:w="351" w:type="pct"/>
            <w:hideMark/>
          </w:tcPr>
          <w:p w:rsidR="001B2507" w:rsidRPr="00AE3CBC" w:rsidRDefault="001B2507" w:rsidP="002002BD">
            <w:pPr>
              <w:pStyle w:val="Tablewriting"/>
            </w:pPr>
            <w:r w:rsidRPr="00AE3CBC">
              <w:t>NRT</w:t>
            </w:r>
          </w:p>
        </w:tc>
        <w:tc>
          <w:tcPr>
            <w:tcW w:w="1303" w:type="pct"/>
            <w:hideMark/>
          </w:tcPr>
          <w:p w:rsidR="001B2507" w:rsidRPr="00AE3CBC" w:rsidRDefault="001B2507" w:rsidP="002002BD">
            <w:pPr>
              <w:pStyle w:val="Tablewriting"/>
            </w:pPr>
            <w:r w:rsidRPr="00AE3CBC">
              <w:t>NRT versus VAR</w:t>
            </w:r>
            <w:r>
              <w:t>,</w:t>
            </w:r>
            <w:r w:rsidRPr="00AE3CBC">
              <w:br/>
              <w:t>NRT versus BUP</w:t>
            </w:r>
          </w:p>
        </w:tc>
        <w:tc>
          <w:tcPr>
            <w:tcW w:w="2794" w:type="pct"/>
            <w:hideMark/>
          </w:tcPr>
          <w:p w:rsidR="001B2507" w:rsidRPr="00AE3CBC" w:rsidRDefault="001B2507" w:rsidP="002002BD">
            <w:pPr>
              <w:pStyle w:val="Tablewriting"/>
            </w:pPr>
            <w:r w:rsidRPr="00AE3CBC">
              <w:t xml:space="preserve">Primary: 4-week continuous abstinence </w:t>
            </w:r>
            <w:r>
              <w:t xml:space="preserve">week </w:t>
            </w:r>
            <w:r w:rsidRPr="00AE3CBC">
              <w:t>9-12</w:t>
            </w:r>
            <w:r w:rsidRPr="00AE3CBC">
              <w:br/>
              <w:t>Secondary: continuous abstinence at 24 weeks and at 52 weeks, measures of craving, withdrawal and smoking cessation</w:t>
            </w:r>
          </w:p>
        </w:tc>
      </w:tr>
      <w:tr w:rsidR="001B2507" w:rsidRPr="00AE3CBC" w:rsidTr="002002BD">
        <w:trPr>
          <w:trHeight w:val="554"/>
        </w:trPr>
        <w:tc>
          <w:tcPr>
            <w:tcW w:w="552" w:type="pct"/>
            <w:hideMark/>
          </w:tcPr>
          <w:p w:rsidR="001B2507" w:rsidRPr="00AE3CBC" w:rsidRDefault="001B2507" w:rsidP="002002BD">
            <w:pPr>
              <w:pStyle w:val="Tablewriting"/>
            </w:pPr>
            <w:r w:rsidRPr="00AE3CBC">
              <w:t>Nov</w:t>
            </w:r>
            <w:r>
              <w:t xml:space="preserve"> 20</w:t>
            </w:r>
            <w:r w:rsidRPr="00AE3CBC">
              <w:t>12</w:t>
            </w:r>
          </w:p>
        </w:tc>
        <w:tc>
          <w:tcPr>
            <w:tcW w:w="351" w:type="pct"/>
            <w:hideMark/>
          </w:tcPr>
          <w:p w:rsidR="001B2507" w:rsidRPr="00AE3CBC" w:rsidRDefault="001B2507" w:rsidP="002002BD">
            <w:pPr>
              <w:pStyle w:val="Tablewriting"/>
            </w:pPr>
            <w:r w:rsidRPr="00AE3CBC">
              <w:t>VAR</w:t>
            </w:r>
          </w:p>
        </w:tc>
        <w:tc>
          <w:tcPr>
            <w:tcW w:w="1303" w:type="pct"/>
            <w:hideMark/>
          </w:tcPr>
          <w:p w:rsidR="001B2507" w:rsidRPr="00AE3CBC" w:rsidRDefault="001B2507" w:rsidP="002002BD">
            <w:pPr>
              <w:pStyle w:val="Tablewriting"/>
            </w:pPr>
            <w:r w:rsidRPr="00AE3CBC">
              <w:t>VAR versus PBO</w:t>
            </w:r>
            <w:r>
              <w:t>,</w:t>
            </w:r>
            <w:r w:rsidRPr="00AE3CBC">
              <w:br/>
              <w:t>VAR versus BUP/PBO</w:t>
            </w:r>
            <w:r>
              <w:t>,</w:t>
            </w:r>
            <w:r w:rsidRPr="00AE3CBC">
              <w:br/>
              <w:t>VAR versus NRT</w:t>
            </w:r>
          </w:p>
        </w:tc>
        <w:tc>
          <w:tcPr>
            <w:tcW w:w="2794" w:type="pct"/>
            <w:hideMark/>
          </w:tcPr>
          <w:p w:rsidR="001B2507" w:rsidRDefault="001B2507" w:rsidP="002002BD">
            <w:pPr>
              <w:pStyle w:val="Tablewriting"/>
            </w:pPr>
            <w:r w:rsidRPr="00AE3CBC">
              <w:t xml:space="preserve">Primary: continuous abstinence </w:t>
            </w:r>
            <w:r>
              <w:t xml:space="preserve">week </w:t>
            </w:r>
            <w:r w:rsidRPr="00AE3CBC">
              <w:t>9-52</w:t>
            </w:r>
          </w:p>
          <w:p w:rsidR="001B2507" w:rsidRPr="00AE3CBC" w:rsidRDefault="001B2507" w:rsidP="002002BD">
            <w:pPr>
              <w:pStyle w:val="Tablewriting"/>
            </w:pPr>
            <w:r>
              <w:t>Secondary: safety</w:t>
            </w:r>
          </w:p>
        </w:tc>
      </w:tr>
      <w:tr w:rsidR="001B2507" w:rsidRPr="00AE3CBC" w:rsidTr="002002BD">
        <w:trPr>
          <w:trHeight w:val="584"/>
        </w:trPr>
        <w:tc>
          <w:tcPr>
            <w:tcW w:w="552" w:type="pct"/>
            <w:hideMark/>
          </w:tcPr>
          <w:p w:rsidR="001B2507" w:rsidRPr="00AE3CBC" w:rsidRDefault="001B2507" w:rsidP="002002BD">
            <w:pPr>
              <w:pStyle w:val="Tablewriting"/>
            </w:pPr>
            <w:r w:rsidRPr="00AE3CBC">
              <w:t>Mar</w:t>
            </w:r>
            <w:r>
              <w:t xml:space="preserve"> 20</w:t>
            </w:r>
            <w:r w:rsidRPr="00AE3CBC">
              <w:t>14</w:t>
            </w:r>
          </w:p>
        </w:tc>
        <w:tc>
          <w:tcPr>
            <w:tcW w:w="351" w:type="pct"/>
            <w:hideMark/>
          </w:tcPr>
          <w:p w:rsidR="001B2507" w:rsidRPr="00AE3CBC" w:rsidRDefault="001B2507" w:rsidP="002002BD">
            <w:pPr>
              <w:pStyle w:val="Tablewriting"/>
            </w:pPr>
            <w:r w:rsidRPr="00AE3CBC">
              <w:t>VAR</w:t>
            </w:r>
          </w:p>
        </w:tc>
        <w:tc>
          <w:tcPr>
            <w:tcW w:w="1303" w:type="pct"/>
            <w:hideMark/>
          </w:tcPr>
          <w:p w:rsidR="001B2507" w:rsidRPr="00AE3CBC" w:rsidRDefault="001B2507" w:rsidP="002002BD">
            <w:pPr>
              <w:pStyle w:val="Tablewriting"/>
            </w:pPr>
            <w:r w:rsidRPr="00AE3CBC">
              <w:t>VAR versus PBO</w:t>
            </w:r>
            <w:r>
              <w:t>,</w:t>
            </w:r>
            <w:r w:rsidRPr="00AE3CBC">
              <w:br/>
              <w:t>VAR versus BUP/PBO</w:t>
            </w:r>
          </w:p>
        </w:tc>
        <w:tc>
          <w:tcPr>
            <w:tcW w:w="2794" w:type="pct"/>
            <w:hideMark/>
          </w:tcPr>
          <w:p w:rsidR="001B2507" w:rsidRPr="00AE3CBC" w:rsidRDefault="001B2507" w:rsidP="002002BD">
            <w:pPr>
              <w:pStyle w:val="Tablewriting"/>
            </w:pPr>
            <w:r w:rsidRPr="00AE3CBC">
              <w:t xml:space="preserve">Primary: continuous quit rate </w:t>
            </w:r>
            <w:r>
              <w:t xml:space="preserve">week </w:t>
            </w:r>
            <w:r w:rsidRPr="00AE3CBC">
              <w:t>9-12</w:t>
            </w:r>
            <w:r w:rsidRPr="00AE3CBC">
              <w:br/>
              <w:t xml:space="preserve">Secondary: continuous abstinence rate </w:t>
            </w:r>
            <w:r>
              <w:t xml:space="preserve">week </w:t>
            </w:r>
            <w:r w:rsidRPr="00AE3CBC">
              <w:t xml:space="preserve">9-24 and </w:t>
            </w:r>
            <w:r>
              <w:t xml:space="preserve">week </w:t>
            </w:r>
            <w:r w:rsidRPr="00AE3CBC">
              <w:t>9-52</w:t>
            </w:r>
            <w:r>
              <w:t>, safety</w:t>
            </w:r>
          </w:p>
        </w:tc>
      </w:tr>
      <w:tr w:rsidR="001B2507" w:rsidRPr="00AE3CBC" w:rsidTr="002002BD">
        <w:trPr>
          <w:trHeight w:val="864"/>
        </w:trPr>
        <w:tc>
          <w:tcPr>
            <w:tcW w:w="552" w:type="pct"/>
            <w:hideMark/>
          </w:tcPr>
          <w:p w:rsidR="001B2507" w:rsidRPr="00AE3CBC" w:rsidRDefault="001B2507" w:rsidP="002002BD">
            <w:pPr>
              <w:pStyle w:val="Tablewriting"/>
            </w:pPr>
            <w:r w:rsidRPr="00AE3CBC">
              <w:t>Nov</w:t>
            </w:r>
            <w:r>
              <w:t xml:space="preserve"> 20</w:t>
            </w:r>
            <w:r w:rsidRPr="00AE3CBC">
              <w:t>16</w:t>
            </w:r>
          </w:p>
        </w:tc>
        <w:tc>
          <w:tcPr>
            <w:tcW w:w="351" w:type="pct"/>
            <w:hideMark/>
          </w:tcPr>
          <w:p w:rsidR="001B2507" w:rsidRPr="00AE3CBC" w:rsidRDefault="001B2507" w:rsidP="002002BD">
            <w:pPr>
              <w:pStyle w:val="Tablewriting"/>
            </w:pPr>
            <w:r w:rsidRPr="00AE3CBC">
              <w:t>VAR</w:t>
            </w:r>
          </w:p>
        </w:tc>
        <w:tc>
          <w:tcPr>
            <w:tcW w:w="1303" w:type="pct"/>
            <w:hideMark/>
          </w:tcPr>
          <w:p w:rsidR="001B2507" w:rsidRPr="00AE3CBC" w:rsidRDefault="001B2507" w:rsidP="002002BD">
            <w:pPr>
              <w:pStyle w:val="Tablewriting"/>
            </w:pPr>
            <w:r w:rsidRPr="00AE3CBC">
              <w:t>VAR versus BUP/PBO/NRT</w:t>
            </w:r>
          </w:p>
        </w:tc>
        <w:tc>
          <w:tcPr>
            <w:tcW w:w="2794" w:type="pct"/>
            <w:hideMark/>
          </w:tcPr>
          <w:p w:rsidR="001B2507" w:rsidRPr="00AE3CBC" w:rsidRDefault="001B2507" w:rsidP="002002BD">
            <w:pPr>
              <w:pStyle w:val="Tablewriting"/>
            </w:pPr>
            <w:r w:rsidRPr="00AE3CBC">
              <w:t xml:space="preserve">Primary: continuous abstinence from smoking </w:t>
            </w:r>
            <w:r>
              <w:t xml:space="preserve">week </w:t>
            </w:r>
            <w:r w:rsidRPr="00AE3CBC">
              <w:t>9-24 (stratified based on psychiatric history)</w:t>
            </w:r>
            <w:r w:rsidRPr="00AE3CBC">
              <w:br/>
              <w:t>Secondary: neuropsychiatric adverse events (stratified based on psychiatric history)</w:t>
            </w:r>
          </w:p>
        </w:tc>
      </w:tr>
      <w:tr w:rsidR="001B2507" w:rsidRPr="00AE3CBC" w:rsidTr="002002BD">
        <w:trPr>
          <w:trHeight w:val="648"/>
        </w:trPr>
        <w:tc>
          <w:tcPr>
            <w:tcW w:w="552" w:type="pct"/>
            <w:hideMark/>
          </w:tcPr>
          <w:p w:rsidR="001B2507" w:rsidRPr="00AE3CBC" w:rsidRDefault="001B2507" w:rsidP="002002BD">
            <w:pPr>
              <w:pStyle w:val="Tablewriting"/>
            </w:pPr>
            <w:r w:rsidRPr="00AE3CBC">
              <w:t>Jul</w:t>
            </w:r>
            <w:r>
              <w:t xml:space="preserve"> 20</w:t>
            </w:r>
            <w:r w:rsidRPr="00AE3CBC">
              <w:t>17</w:t>
            </w:r>
          </w:p>
        </w:tc>
        <w:tc>
          <w:tcPr>
            <w:tcW w:w="351" w:type="pct"/>
            <w:hideMark/>
          </w:tcPr>
          <w:p w:rsidR="001B2507" w:rsidRPr="00AE3CBC" w:rsidRDefault="001B2507" w:rsidP="002002BD">
            <w:pPr>
              <w:pStyle w:val="Tablewriting"/>
            </w:pPr>
            <w:r w:rsidRPr="00AE3CBC">
              <w:t>NRT</w:t>
            </w:r>
          </w:p>
        </w:tc>
        <w:tc>
          <w:tcPr>
            <w:tcW w:w="1303" w:type="pct"/>
            <w:hideMark/>
          </w:tcPr>
          <w:p w:rsidR="001B2507" w:rsidRPr="00AE3CBC" w:rsidRDefault="001B2507" w:rsidP="002002BD">
            <w:pPr>
              <w:pStyle w:val="Tablewriting"/>
            </w:pPr>
            <w:r w:rsidRPr="00AE3CBC">
              <w:t>NRT loz</w:t>
            </w:r>
            <w:r>
              <w:t>enge</w:t>
            </w:r>
            <w:r w:rsidRPr="00AE3CBC">
              <w:t xml:space="preserve"> v</w:t>
            </w:r>
            <w:r>
              <w:t>er</w:t>
            </w:r>
            <w:r w:rsidRPr="00AE3CBC">
              <w:t>s</w:t>
            </w:r>
            <w:r>
              <w:t>us</w:t>
            </w:r>
            <w:r w:rsidRPr="00AE3CBC">
              <w:t xml:space="preserve"> patch</w:t>
            </w:r>
            <w:r>
              <w:t xml:space="preserve">, </w:t>
            </w:r>
            <w:r w:rsidRPr="00AE3CBC">
              <w:t>NRT gum v</w:t>
            </w:r>
            <w:r>
              <w:t>er</w:t>
            </w:r>
            <w:r w:rsidRPr="00AE3CBC">
              <w:t>s</w:t>
            </w:r>
            <w:r>
              <w:t>us</w:t>
            </w:r>
            <w:r w:rsidRPr="00AE3CBC">
              <w:t xml:space="preserve"> patch</w:t>
            </w:r>
          </w:p>
        </w:tc>
        <w:tc>
          <w:tcPr>
            <w:tcW w:w="2794" w:type="pct"/>
            <w:hideMark/>
          </w:tcPr>
          <w:p w:rsidR="001B2507" w:rsidRPr="00AE3CBC" w:rsidRDefault="001B2507" w:rsidP="002002BD">
            <w:pPr>
              <w:pStyle w:val="Tablewriting"/>
            </w:pPr>
            <w:r w:rsidRPr="00AE3CBC">
              <w:t>Primary: sustained abstinence (six-month)</w:t>
            </w:r>
            <w:r w:rsidRPr="00AE3CBC">
              <w:br/>
              <w:t>Secondary: nausea/vomiting, sleep problems, skin reaction, oral reaction, hiccups</w:t>
            </w:r>
          </w:p>
        </w:tc>
      </w:tr>
      <w:tr w:rsidR="001B2507" w:rsidRPr="00AE3CBC" w:rsidTr="002002BD">
        <w:trPr>
          <w:trHeight w:val="276"/>
        </w:trPr>
        <w:tc>
          <w:tcPr>
            <w:tcW w:w="552" w:type="pct"/>
            <w:hideMark/>
          </w:tcPr>
          <w:p w:rsidR="001B2507" w:rsidRPr="00AE3CBC" w:rsidRDefault="001B2507" w:rsidP="002002BD">
            <w:pPr>
              <w:pStyle w:val="Tablewriting"/>
            </w:pPr>
            <w:r w:rsidRPr="00AE3CBC">
              <w:t>Nov</w:t>
            </w:r>
            <w:r>
              <w:t xml:space="preserve"> 20</w:t>
            </w:r>
            <w:r w:rsidRPr="00AE3CBC">
              <w:t>17</w:t>
            </w:r>
          </w:p>
        </w:tc>
        <w:tc>
          <w:tcPr>
            <w:tcW w:w="351" w:type="pct"/>
            <w:hideMark/>
          </w:tcPr>
          <w:p w:rsidR="001B2507" w:rsidRPr="00AE3CBC" w:rsidRDefault="001B2507" w:rsidP="002002BD">
            <w:pPr>
              <w:pStyle w:val="Tablewriting"/>
            </w:pPr>
            <w:r w:rsidRPr="00AE3CBC">
              <w:t>VAR</w:t>
            </w:r>
          </w:p>
        </w:tc>
        <w:tc>
          <w:tcPr>
            <w:tcW w:w="1303" w:type="pct"/>
            <w:hideMark/>
          </w:tcPr>
          <w:p w:rsidR="001B2507" w:rsidRPr="00AE3CBC" w:rsidRDefault="001B2507" w:rsidP="002002BD">
            <w:pPr>
              <w:pStyle w:val="Tablewriting"/>
            </w:pPr>
            <w:r>
              <w:t>Not applicable</w:t>
            </w:r>
          </w:p>
        </w:tc>
        <w:tc>
          <w:tcPr>
            <w:tcW w:w="2794" w:type="pct"/>
            <w:hideMark/>
          </w:tcPr>
          <w:p w:rsidR="001B2507" w:rsidRPr="00AE3CBC" w:rsidRDefault="001B2507" w:rsidP="002002BD">
            <w:pPr>
              <w:pStyle w:val="Tablewriting"/>
            </w:pPr>
            <w:r>
              <w:t>Not applicable – clinical criteria amendment</w:t>
            </w:r>
          </w:p>
        </w:tc>
      </w:tr>
      <w:tr w:rsidR="001B2507" w:rsidRPr="00AE3CBC" w:rsidTr="002002BD">
        <w:trPr>
          <w:trHeight w:val="288"/>
        </w:trPr>
        <w:tc>
          <w:tcPr>
            <w:tcW w:w="552" w:type="pct"/>
            <w:hideMark/>
          </w:tcPr>
          <w:p w:rsidR="001B2507" w:rsidRPr="00AE3CBC" w:rsidRDefault="001B2507" w:rsidP="002002BD">
            <w:pPr>
              <w:pStyle w:val="Tablewriting"/>
            </w:pPr>
            <w:r w:rsidRPr="00AE3CBC">
              <w:t>Mar</w:t>
            </w:r>
            <w:r>
              <w:t xml:space="preserve"> 20</w:t>
            </w:r>
            <w:r w:rsidRPr="00AE3CBC">
              <w:t>18</w:t>
            </w:r>
          </w:p>
        </w:tc>
        <w:tc>
          <w:tcPr>
            <w:tcW w:w="351" w:type="pct"/>
            <w:hideMark/>
          </w:tcPr>
          <w:p w:rsidR="001B2507" w:rsidRPr="00AE3CBC" w:rsidRDefault="001B2507" w:rsidP="002002BD">
            <w:pPr>
              <w:pStyle w:val="Tablewriting"/>
            </w:pPr>
            <w:r w:rsidRPr="00AE3CBC">
              <w:t>NRT</w:t>
            </w:r>
          </w:p>
        </w:tc>
        <w:tc>
          <w:tcPr>
            <w:tcW w:w="1303" w:type="pct"/>
            <w:hideMark/>
          </w:tcPr>
          <w:p w:rsidR="001B2507" w:rsidRPr="00AE3CBC" w:rsidRDefault="001B2507" w:rsidP="002002BD">
            <w:pPr>
              <w:pStyle w:val="Tablewriting"/>
            </w:pPr>
            <w:r>
              <w:t>Unchanged from</w:t>
            </w:r>
            <w:r w:rsidRPr="00AE3CBC">
              <w:t xml:space="preserve"> Jul 17</w:t>
            </w:r>
          </w:p>
        </w:tc>
        <w:tc>
          <w:tcPr>
            <w:tcW w:w="2794" w:type="pct"/>
            <w:hideMark/>
          </w:tcPr>
          <w:p w:rsidR="001B2507" w:rsidRPr="00AE3CBC" w:rsidRDefault="001B2507" w:rsidP="002002BD">
            <w:pPr>
              <w:pStyle w:val="Tablewriting"/>
            </w:pPr>
            <w:r>
              <w:t>Unchanged from</w:t>
            </w:r>
            <w:r w:rsidRPr="00AE3CBC">
              <w:t xml:space="preserve"> Jul 17</w:t>
            </w:r>
          </w:p>
        </w:tc>
      </w:tr>
    </w:tbl>
    <w:p w:rsidR="001B2507" w:rsidRDefault="001B2507" w:rsidP="001B2507">
      <w:pPr>
        <w:pStyle w:val="TableFooter"/>
      </w:pPr>
      <w:r>
        <w:t>Abbreviations: BUP = bupropion; NRT = nicotine replacement therapy; PBO = placebo; VAR = varenicline</w:t>
      </w:r>
    </w:p>
    <w:p w:rsidR="007B21C2" w:rsidRDefault="001B2507" w:rsidP="001B2507">
      <w:pPr>
        <w:pStyle w:val="TableFooter"/>
      </w:pPr>
      <w:r>
        <w:t>Note: Compiled during the review using public summary documents available since July 2005. Bupropion was considered prior to this date.</w:t>
      </w:r>
    </w:p>
    <w:p w:rsidR="001B2507" w:rsidRDefault="007B21C2" w:rsidP="001B2507">
      <w:pPr>
        <w:pStyle w:val="TableFooter"/>
      </w:pPr>
      <w:r>
        <w:t xml:space="preserve">1 </w:t>
      </w:r>
      <w:r w:rsidRPr="007B21C2">
        <w:t>The PBAC has previously considered continuous abstinence rate to be the most relevant patient outcome.</w:t>
      </w:r>
    </w:p>
    <w:p w:rsidR="008F1238" w:rsidRDefault="008F1238" w:rsidP="00CF4741">
      <w:pPr>
        <w:pStyle w:val="Heading3"/>
        <w:numPr>
          <w:ilvl w:val="0"/>
          <w:numId w:val="0"/>
        </w:numPr>
      </w:pPr>
      <w:bookmarkStart w:id="335" w:name="_Toc72850867"/>
      <w:bookmarkStart w:id="336" w:name="_Toc73525632"/>
      <w:r w:rsidRPr="008F1238">
        <w:t>A.</w:t>
      </w:r>
      <w:r w:rsidR="001B2507">
        <w:t>2</w:t>
      </w:r>
      <w:r>
        <w:t xml:space="preserve"> Search Strategy</w:t>
      </w:r>
      <w:bookmarkEnd w:id="335"/>
      <w:bookmarkEnd w:id="336"/>
    </w:p>
    <w:p w:rsidR="000713E9" w:rsidRPr="003145A2" w:rsidRDefault="000713E9" w:rsidP="00FA331D">
      <w:pPr>
        <w:pStyle w:val="Tableheading"/>
        <w:rPr>
          <w:rFonts w:eastAsia="Times New Roman" w:cs="Times New Roman"/>
          <w:sz w:val="24"/>
          <w:szCs w:val="18"/>
        </w:rPr>
      </w:pPr>
      <w:bookmarkStart w:id="337" w:name="_Ref49755631"/>
      <w:r w:rsidRPr="003145A2">
        <w:rPr>
          <w:rFonts w:eastAsia="Times New Roman" w:cs="Times New Roman"/>
          <w:sz w:val="24"/>
          <w:szCs w:val="18"/>
        </w:rPr>
        <w:t xml:space="preserve">Table </w:t>
      </w:r>
      <w:r w:rsidR="003C4A1C">
        <w:rPr>
          <w:rFonts w:eastAsia="Times New Roman" w:cs="Times New Roman"/>
          <w:noProof/>
          <w:sz w:val="24"/>
          <w:szCs w:val="18"/>
        </w:rPr>
        <w:t>136</w:t>
      </w:r>
      <w:bookmarkEnd w:id="337"/>
      <w:r w:rsidRPr="003145A2">
        <w:rPr>
          <w:rFonts w:eastAsia="Times New Roman" w:cs="Times New Roman"/>
          <w:sz w:val="24"/>
          <w:szCs w:val="18"/>
        </w:rPr>
        <w:t>: Search Strategy</w:t>
      </w:r>
      <w:r w:rsidR="000805A9" w:rsidRPr="003145A2">
        <w:rPr>
          <w:rFonts w:eastAsia="Times New Roman" w:cs="Times New Roman"/>
          <w:sz w:val="24"/>
          <w:szCs w:val="18"/>
        </w:rPr>
        <w:t>, Search date: 22/7/2020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813"/>
        <w:gridCol w:w="6182"/>
      </w:tblGrid>
      <w:tr w:rsidR="008647AA" w:rsidRPr="00A16D20" w:rsidTr="00CB27AE">
        <w:tc>
          <w:tcPr>
            <w:tcW w:w="0" w:type="auto"/>
            <w:gridSpan w:val="3"/>
            <w:tcBorders>
              <w:top w:val="single" w:sz="4" w:space="0" w:color="auto"/>
              <w:bottom w:val="single" w:sz="4" w:space="0" w:color="auto"/>
            </w:tcBorders>
          </w:tcPr>
          <w:p w:rsidR="008647AA" w:rsidRPr="00A16D20" w:rsidRDefault="008647AA" w:rsidP="00CB27AE">
            <w:pPr>
              <w:jc w:val="center"/>
              <w:rPr>
                <w:rFonts w:ascii="Arial Narrow" w:hAnsi="Arial Narrow" w:cs="Arial"/>
                <w:b/>
                <w:bCs/>
              </w:rPr>
            </w:pPr>
            <w:r w:rsidRPr="00A16D20">
              <w:rPr>
                <w:rFonts w:ascii="Arial Narrow" w:hAnsi="Arial Narrow" w:cs="Arial"/>
                <w:b/>
                <w:bCs/>
              </w:rPr>
              <w:t>Ovid MEDLINE</w:t>
            </w:r>
            <w:r w:rsidRPr="00A16D20">
              <w:rPr>
                <w:rFonts w:ascii="Arial Narrow" w:hAnsi="Arial Narrow"/>
              </w:rPr>
              <w:t xml:space="preserve"> </w:t>
            </w:r>
            <w:r w:rsidRPr="00A16D20">
              <w:rPr>
                <w:rFonts w:ascii="Arial Narrow" w:hAnsi="Arial Narrow" w:cs="Arial"/>
                <w:b/>
                <w:bCs/>
              </w:rPr>
              <w:t>(R) and In-Process &amp; Other Non-Indexed Citations and Daily</w:t>
            </w:r>
          </w:p>
        </w:tc>
      </w:tr>
      <w:tr w:rsidR="008647AA" w:rsidRPr="00A16D20" w:rsidTr="00CB27AE">
        <w:tc>
          <w:tcPr>
            <w:tcW w:w="0" w:type="auto"/>
            <w:tcBorders>
              <w:top w:val="single" w:sz="4" w:space="0" w:color="auto"/>
              <w:bottom w:val="single" w:sz="4" w:space="0" w:color="auto"/>
            </w:tcBorders>
            <w:shd w:val="clear" w:color="auto" w:fill="000000" w:themeFill="text1"/>
          </w:tcPr>
          <w:p w:rsidR="008647AA" w:rsidRPr="00A16D20" w:rsidRDefault="008647AA" w:rsidP="00CB27AE">
            <w:pPr>
              <w:jc w:val="center"/>
              <w:rPr>
                <w:rFonts w:ascii="Arial Narrow" w:hAnsi="Arial Narrow" w:cs="Arial"/>
                <w:b/>
                <w:bCs/>
              </w:rPr>
            </w:pPr>
          </w:p>
        </w:tc>
        <w:tc>
          <w:tcPr>
            <w:tcW w:w="0" w:type="auto"/>
            <w:tcBorders>
              <w:top w:val="single" w:sz="4" w:space="0" w:color="auto"/>
              <w:bottom w:val="single" w:sz="4" w:space="0" w:color="auto"/>
            </w:tcBorders>
            <w:shd w:val="clear" w:color="auto" w:fill="000000" w:themeFill="text1"/>
          </w:tcPr>
          <w:p w:rsidR="008647AA" w:rsidRPr="00A16D20" w:rsidRDefault="008647AA" w:rsidP="00CB27AE">
            <w:pPr>
              <w:jc w:val="center"/>
              <w:rPr>
                <w:rFonts w:ascii="Arial Narrow" w:hAnsi="Arial Narrow" w:cs="Arial"/>
                <w:b/>
                <w:bCs/>
              </w:rPr>
            </w:pPr>
            <w:r w:rsidRPr="00A16D20">
              <w:rPr>
                <w:rFonts w:ascii="Arial Narrow" w:hAnsi="Arial Narrow" w:cs="Arial"/>
                <w:b/>
                <w:bCs/>
              </w:rPr>
              <w:t>Search ID</w:t>
            </w:r>
          </w:p>
        </w:tc>
        <w:tc>
          <w:tcPr>
            <w:tcW w:w="0" w:type="auto"/>
            <w:tcBorders>
              <w:top w:val="single" w:sz="4" w:space="0" w:color="auto"/>
              <w:bottom w:val="single" w:sz="4" w:space="0" w:color="auto"/>
            </w:tcBorders>
            <w:shd w:val="clear" w:color="auto" w:fill="000000" w:themeFill="text1"/>
          </w:tcPr>
          <w:p w:rsidR="008647AA" w:rsidRPr="00A16D20" w:rsidRDefault="008647AA" w:rsidP="00CB27AE">
            <w:pPr>
              <w:jc w:val="center"/>
              <w:rPr>
                <w:rFonts w:ascii="Arial Narrow" w:hAnsi="Arial Narrow" w:cs="Arial"/>
                <w:b/>
                <w:bCs/>
              </w:rPr>
            </w:pPr>
            <w:r w:rsidRPr="00A16D20">
              <w:rPr>
                <w:rFonts w:ascii="Arial Narrow" w:hAnsi="Arial Narrow" w:cs="Arial"/>
                <w:b/>
                <w:bCs/>
              </w:rPr>
              <w:t>Search Terms</w:t>
            </w:r>
          </w:p>
        </w:tc>
      </w:tr>
      <w:tr w:rsidR="008647AA" w:rsidRPr="00A16D20" w:rsidTr="00CB27AE">
        <w:tc>
          <w:tcPr>
            <w:tcW w:w="0" w:type="auto"/>
            <w:tcBorders>
              <w:top w:val="single" w:sz="4" w:space="0" w:color="auto"/>
            </w:tcBorders>
            <w:shd w:val="clear" w:color="auto" w:fill="EEECE1" w:themeFill="background2"/>
          </w:tcPr>
          <w:p w:rsidR="008647AA" w:rsidRPr="00A16D20" w:rsidRDefault="008647AA" w:rsidP="00CB27AE">
            <w:pPr>
              <w:rPr>
                <w:rFonts w:ascii="Arial Narrow" w:hAnsi="Arial Narrow" w:cs="Arial"/>
              </w:rPr>
            </w:pPr>
            <w:r w:rsidRPr="00A16D20">
              <w:rPr>
                <w:rFonts w:ascii="Arial Narrow" w:hAnsi="Arial Narrow" w:cs="Arial"/>
                <w:b/>
                <w:bCs/>
              </w:rPr>
              <w:t>Patient, Population, Problem terms</w:t>
            </w:r>
          </w:p>
        </w:tc>
        <w:tc>
          <w:tcPr>
            <w:tcW w:w="0" w:type="auto"/>
            <w:tcBorders>
              <w:top w:val="single" w:sz="4" w:space="0" w:color="auto"/>
            </w:tcBorders>
            <w:shd w:val="clear" w:color="auto" w:fill="EEECE1" w:themeFill="background2"/>
          </w:tcPr>
          <w:p w:rsidR="008647AA" w:rsidRPr="00A16D20" w:rsidRDefault="008647AA" w:rsidP="00CB27AE">
            <w:pPr>
              <w:jc w:val="center"/>
              <w:rPr>
                <w:rFonts w:ascii="Arial Narrow" w:hAnsi="Arial Narrow" w:cs="Arial"/>
              </w:rPr>
            </w:pPr>
            <w:r w:rsidRPr="00A16D20">
              <w:rPr>
                <w:rFonts w:ascii="Arial Narrow" w:hAnsi="Arial Narrow" w:cs="Arial"/>
              </w:rPr>
              <w:t>S1</w:t>
            </w:r>
          </w:p>
        </w:tc>
        <w:tc>
          <w:tcPr>
            <w:tcW w:w="0" w:type="auto"/>
            <w:tcBorders>
              <w:top w:val="single" w:sz="4" w:space="0" w:color="auto"/>
            </w:tcBorders>
            <w:shd w:val="clear" w:color="auto" w:fill="EEECE1" w:themeFill="background2"/>
          </w:tcPr>
          <w:p w:rsidR="008647AA" w:rsidRPr="00A16D20" w:rsidRDefault="008647AA" w:rsidP="00CB27AE">
            <w:pPr>
              <w:rPr>
                <w:rFonts w:ascii="Arial Narrow" w:hAnsi="Arial Narrow" w:cs="Arial"/>
              </w:rPr>
            </w:pPr>
            <w:r w:rsidRPr="00A16D20">
              <w:rPr>
                <w:rFonts w:ascii="Arial Narrow" w:hAnsi="Arial Narrow" w:cs="Arial"/>
              </w:rPr>
              <w:t>smoking cessation/</w:t>
            </w:r>
          </w:p>
        </w:tc>
      </w:tr>
      <w:tr w:rsidR="008647AA" w:rsidRPr="00A16D20" w:rsidTr="00CB27AE">
        <w:tc>
          <w:tcPr>
            <w:tcW w:w="0" w:type="auto"/>
            <w:shd w:val="clear" w:color="auto" w:fill="EEECE1" w:themeFill="background2"/>
          </w:tcPr>
          <w:p w:rsidR="008647AA" w:rsidRPr="00A16D20" w:rsidRDefault="008647AA" w:rsidP="00CB27AE">
            <w:pPr>
              <w:rPr>
                <w:rFonts w:ascii="Arial Narrow" w:hAnsi="Arial Narrow" w:cs="Arial"/>
              </w:rPr>
            </w:pPr>
          </w:p>
        </w:tc>
        <w:tc>
          <w:tcPr>
            <w:tcW w:w="0" w:type="auto"/>
            <w:shd w:val="clear" w:color="auto" w:fill="EEECE1" w:themeFill="background2"/>
          </w:tcPr>
          <w:p w:rsidR="008647AA" w:rsidRPr="00A16D20" w:rsidRDefault="008647AA" w:rsidP="00CB27AE">
            <w:pPr>
              <w:jc w:val="center"/>
              <w:rPr>
                <w:rFonts w:ascii="Arial Narrow" w:hAnsi="Arial Narrow" w:cs="Arial"/>
              </w:rPr>
            </w:pPr>
            <w:r w:rsidRPr="00A16D20">
              <w:rPr>
                <w:rFonts w:ascii="Arial Narrow" w:hAnsi="Arial Narrow" w:cs="Arial"/>
              </w:rPr>
              <w:t>S2</w:t>
            </w:r>
          </w:p>
        </w:tc>
        <w:tc>
          <w:tcPr>
            <w:tcW w:w="0" w:type="auto"/>
            <w:shd w:val="clear" w:color="auto" w:fill="EEECE1" w:themeFill="background2"/>
          </w:tcPr>
          <w:p w:rsidR="008647AA" w:rsidRPr="00A16D20" w:rsidRDefault="008647AA" w:rsidP="00CB27AE">
            <w:pPr>
              <w:rPr>
                <w:rFonts w:ascii="Arial Narrow" w:hAnsi="Arial Narrow" w:cs="Arial"/>
              </w:rPr>
            </w:pPr>
            <w:r w:rsidRPr="00A16D20">
              <w:rPr>
                <w:rFonts w:ascii="Arial Narrow" w:eastAsiaTheme="majorEastAsia" w:hAnsi="Arial Narrow"/>
              </w:rPr>
              <w:t>"tobacco use cessation"/</w:t>
            </w:r>
          </w:p>
        </w:tc>
      </w:tr>
      <w:tr w:rsidR="008647AA" w:rsidRPr="00A16D20" w:rsidTr="00CB27AE">
        <w:tc>
          <w:tcPr>
            <w:tcW w:w="0" w:type="auto"/>
            <w:shd w:val="clear" w:color="auto" w:fill="EEECE1" w:themeFill="background2"/>
          </w:tcPr>
          <w:p w:rsidR="008647AA" w:rsidRPr="00A16D20" w:rsidRDefault="008647AA" w:rsidP="00CB27AE">
            <w:pPr>
              <w:rPr>
                <w:rFonts w:ascii="Arial Narrow" w:hAnsi="Arial Narrow" w:cs="Arial"/>
              </w:rPr>
            </w:pPr>
          </w:p>
        </w:tc>
        <w:tc>
          <w:tcPr>
            <w:tcW w:w="0" w:type="auto"/>
            <w:shd w:val="clear" w:color="auto" w:fill="EEECE1" w:themeFill="background2"/>
          </w:tcPr>
          <w:p w:rsidR="008647AA" w:rsidRPr="00A16D20" w:rsidRDefault="008647AA" w:rsidP="00CB27AE">
            <w:pPr>
              <w:jc w:val="center"/>
              <w:rPr>
                <w:rFonts w:ascii="Arial Narrow" w:hAnsi="Arial Narrow" w:cs="Arial"/>
              </w:rPr>
            </w:pPr>
            <w:r w:rsidRPr="00A16D20">
              <w:rPr>
                <w:rFonts w:ascii="Arial Narrow" w:hAnsi="Arial Narrow" w:cs="Arial"/>
              </w:rPr>
              <w:t>S3</w:t>
            </w:r>
          </w:p>
        </w:tc>
        <w:tc>
          <w:tcPr>
            <w:tcW w:w="0" w:type="auto"/>
            <w:shd w:val="clear" w:color="auto" w:fill="EEECE1" w:themeFill="background2"/>
          </w:tcPr>
          <w:p w:rsidR="008647AA" w:rsidRPr="00A16D20" w:rsidRDefault="008647AA" w:rsidP="00CB27AE">
            <w:pPr>
              <w:rPr>
                <w:rFonts w:ascii="Arial Narrow" w:hAnsi="Arial Narrow" w:cs="Arial"/>
              </w:rPr>
            </w:pPr>
            <w:r w:rsidRPr="00A16D20">
              <w:rPr>
                <w:rFonts w:ascii="Arial Narrow" w:eastAsiaTheme="majorEastAsia" w:hAnsi="Arial Narrow"/>
              </w:rPr>
              <w:t>smoking/dt [drug therapy]</w:t>
            </w:r>
          </w:p>
        </w:tc>
      </w:tr>
      <w:tr w:rsidR="008647AA" w:rsidRPr="00A16D20" w:rsidTr="00CB27AE">
        <w:tc>
          <w:tcPr>
            <w:tcW w:w="0" w:type="auto"/>
            <w:shd w:val="clear" w:color="auto" w:fill="EEECE1" w:themeFill="background2"/>
          </w:tcPr>
          <w:p w:rsidR="008647AA" w:rsidRPr="00A16D20" w:rsidRDefault="008647AA" w:rsidP="00CB27AE">
            <w:pPr>
              <w:rPr>
                <w:rFonts w:ascii="Arial Narrow" w:hAnsi="Arial Narrow" w:cs="Arial"/>
              </w:rPr>
            </w:pPr>
          </w:p>
        </w:tc>
        <w:tc>
          <w:tcPr>
            <w:tcW w:w="0" w:type="auto"/>
            <w:shd w:val="clear" w:color="auto" w:fill="EEECE1" w:themeFill="background2"/>
          </w:tcPr>
          <w:p w:rsidR="008647AA" w:rsidRPr="00A16D20" w:rsidRDefault="008647AA" w:rsidP="00CB27AE">
            <w:pPr>
              <w:jc w:val="center"/>
              <w:rPr>
                <w:rFonts w:ascii="Arial Narrow" w:hAnsi="Arial Narrow" w:cs="Arial"/>
              </w:rPr>
            </w:pPr>
            <w:r w:rsidRPr="00A16D20">
              <w:rPr>
                <w:rFonts w:ascii="Arial Narrow" w:hAnsi="Arial Narrow" w:cs="Arial"/>
              </w:rPr>
              <w:t>S4</w:t>
            </w:r>
          </w:p>
        </w:tc>
        <w:tc>
          <w:tcPr>
            <w:tcW w:w="0" w:type="auto"/>
            <w:shd w:val="clear" w:color="auto" w:fill="EEECE1" w:themeFill="background2"/>
          </w:tcPr>
          <w:p w:rsidR="008647AA" w:rsidRPr="00A16D20" w:rsidRDefault="008647AA" w:rsidP="00CB27AE">
            <w:pPr>
              <w:rPr>
                <w:rFonts w:ascii="Arial Narrow" w:eastAsiaTheme="majorEastAsia" w:hAnsi="Arial Narrow"/>
              </w:rPr>
            </w:pPr>
            <w:r w:rsidRPr="00A16D20">
              <w:rPr>
                <w:rFonts w:ascii="Arial Narrow" w:eastAsiaTheme="majorEastAsia" w:hAnsi="Arial Narrow"/>
              </w:rPr>
              <w:t>smoking/th [therapy]</w:t>
            </w:r>
          </w:p>
        </w:tc>
      </w:tr>
      <w:tr w:rsidR="008647AA" w:rsidRPr="00A16D20" w:rsidTr="00CB27AE">
        <w:tc>
          <w:tcPr>
            <w:tcW w:w="0" w:type="auto"/>
            <w:shd w:val="clear" w:color="auto" w:fill="EEECE1" w:themeFill="background2"/>
          </w:tcPr>
          <w:p w:rsidR="008647AA" w:rsidRPr="00A16D20" w:rsidRDefault="008647AA" w:rsidP="00CB27AE">
            <w:pPr>
              <w:rPr>
                <w:rFonts w:ascii="Arial Narrow" w:hAnsi="Arial Narrow" w:cs="Arial"/>
              </w:rPr>
            </w:pPr>
          </w:p>
        </w:tc>
        <w:tc>
          <w:tcPr>
            <w:tcW w:w="0" w:type="auto"/>
            <w:shd w:val="clear" w:color="auto" w:fill="EEECE1" w:themeFill="background2"/>
          </w:tcPr>
          <w:p w:rsidR="008647AA" w:rsidRPr="00A16D20" w:rsidRDefault="008647AA" w:rsidP="00CB27AE">
            <w:pPr>
              <w:jc w:val="center"/>
              <w:rPr>
                <w:rFonts w:ascii="Arial Narrow" w:hAnsi="Arial Narrow" w:cs="Arial"/>
              </w:rPr>
            </w:pPr>
            <w:r w:rsidRPr="00A16D20">
              <w:rPr>
                <w:rFonts w:ascii="Arial Narrow" w:hAnsi="Arial Narrow" w:cs="Arial"/>
              </w:rPr>
              <w:t>S5</w:t>
            </w:r>
          </w:p>
        </w:tc>
        <w:tc>
          <w:tcPr>
            <w:tcW w:w="0" w:type="auto"/>
            <w:shd w:val="clear" w:color="auto" w:fill="EEECE1" w:themeFill="background2"/>
          </w:tcPr>
          <w:p w:rsidR="008647AA" w:rsidRPr="00A16D20" w:rsidRDefault="008647AA" w:rsidP="00CB27AE">
            <w:pPr>
              <w:rPr>
                <w:rFonts w:ascii="Arial Narrow" w:hAnsi="Arial Narrow" w:cs="Arial"/>
              </w:rPr>
            </w:pPr>
            <w:r w:rsidRPr="00A16D20">
              <w:rPr>
                <w:rFonts w:ascii="Arial Narrow" w:eastAsiaTheme="majorEastAsia" w:hAnsi="Arial Narrow"/>
              </w:rPr>
              <w:t>exp tobacco smoking/dt [drug therapy]</w:t>
            </w:r>
          </w:p>
        </w:tc>
      </w:tr>
      <w:tr w:rsidR="008647AA" w:rsidRPr="00A16D20" w:rsidTr="00CB27AE">
        <w:tc>
          <w:tcPr>
            <w:tcW w:w="0" w:type="auto"/>
            <w:shd w:val="clear" w:color="auto" w:fill="EEECE1" w:themeFill="background2"/>
          </w:tcPr>
          <w:p w:rsidR="008647AA" w:rsidRPr="00A16D20" w:rsidRDefault="008647AA" w:rsidP="00CB27AE">
            <w:pPr>
              <w:rPr>
                <w:rFonts w:ascii="Arial Narrow" w:hAnsi="Arial Narrow" w:cs="Arial"/>
              </w:rPr>
            </w:pPr>
          </w:p>
        </w:tc>
        <w:tc>
          <w:tcPr>
            <w:tcW w:w="0" w:type="auto"/>
            <w:shd w:val="clear" w:color="auto" w:fill="EEECE1" w:themeFill="background2"/>
          </w:tcPr>
          <w:p w:rsidR="008647AA" w:rsidRPr="00A16D20" w:rsidRDefault="008647AA" w:rsidP="00CB27AE">
            <w:pPr>
              <w:jc w:val="center"/>
              <w:rPr>
                <w:rFonts w:ascii="Arial Narrow" w:hAnsi="Arial Narrow" w:cs="Arial"/>
              </w:rPr>
            </w:pPr>
            <w:r w:rsidRPr="00A16D20">
              <w:rPr>
                <w:rFonts w:ascii="Arial Narrow" w:hAnsi="Arial Narrow" w:cs="Arial"/>
              </w:rPr>
              <w:t>S6</w:t>
            </w:r>
          </w:p>
        </w:tc>
        <w:tc>
          <w:tcPr>
            <w:tcW w:w="0" w:type="auto"/>
            <w:shd w:val="clear" w:color="auto" w:fill="EEECE1" w:themeFill="background2"/>
          </w:tcPr>
          <w:p w:rsidR="008647AA" w:rsidRPr="00A16D20" w:rsidRDefault="008647AA" w:rsidP="00CB27AE">
            <w:pPr>
              <w:rPr>
                <w:rFonts w:ascii="Arial Narrow" w:hAnsi="Arial Narrow" w:cs="Arial"/>
              </w:rPr>
            </w:pPr>
            <w:r w:rsidRPr="00A16D20">
              <w:rPr>
                <w:rFonts w:ascii="Arial Narrow" w:hAnsi="Arial Narrow"/>
              </w:rPr>
              <w:t>exp tobacco smoking/th [therapy]</w:t>
            </w:r>
          </w:p>
        </w:tc>
      </w:tr>
      <w:tr w:rsidR="008647AA" w:rsidRPr="00A16D20" w:rsidTr="00CB27AE">
        <w:tc>
          <w:tcPr>
            <w:tcW w:w="0" w:type="auto"/>
            <w:tcBorders>
              <w:bottom w:val="single" w:sz="4" w:space="0" w:color="auto"/>
            </w:tcBorders>
            <w:shd w:val="clear" w:color="auto" w:fill="EEECE1" w:themeFill="background2"/>
          </w:tcPr>
          <w:p w:rsidR="008647AA" w:rsidRPr="00A16D20" w:rsidRDefault="008647AA" w:rsidP="00CB27AE">
            <w:pPr>
              <w:rPr>
                <w:rFonts w:ascii="Arial Narrow" w:hAnsi="Arial Narrow" w:cs="Arial"/>
                <w:b/>
                <w:bCs/>
              </w:rPr>
            </w:pPr>
          </w:p>
        </w:tc>
        <w:tc>
          <w:tcPr>
            <w:tcW w:w="0" w:type="auto"/>
            <w:tcBorders>
              <w:bottom w:val="single" w:sz="4" w:space="0" w:color="auto"/>
            </w:tcBorders>
            <w:shd w:val="clear" w:color="auto" w:fill="EEECE1" w:themeFill="background2"/>
          </w:tcPr>
          <w:p w:rsidR="008647AA" w:rsidRPr="00A16D20" w:rsidRDefault="008647AA" w:rsidP="00CB27AE">
            <w:pPr>
              <w:jc w:val="center"/>
              <w:rPr>
                <w:rFonts w:ascii="Arial Narrow" w:hAnsi="Arial Narrow" w:cs="Arial"/>
                <w:b/>
                <w:bCs/>
              </w:rPr>
            </w:pPr>
            <w:r w:rsidRPr="00A16D20">
              <w:rPr>
                <w:rFonts w:ascii="Arial Narrow" w:hAnsi="Arial Narrow" w:cs="Arial"/>
                <w:b/>
                <w:bCs/>
              </w:rPr>
              <w:t>S7</w:t>
            </w:r>
          </w:p>
        </w:tc>
        <w:tc>
          <w:tcPr>
            <w:tcW w:w="0" w:type="auto"/>
            <w:tcBorders>
              <w:bottom w:val="single" w:sz="4" w:space="0" w:color="auto"/>
            </w:tcBorders>
            <w:shd w:val="clear" w:color="auto" w:fill="EEECE1" w:themeFill="background2"/>
          </w:tcPr>
          <w:p w:rsidR="008647AA" w:rsidRPr="00A16D20" w:rsidRDefault="008647AA" w:rsidP="00CB27AE">
            <w:pPr>
              <w:rPr>
                <w:rFonts w:ascii="Arial Narrow" w:hAnsi="Arial Narrow" w:cs="Arial"/>
                <w:b/>
                <w:bCs/>
              </w:rPr>
            </w:pPr>
            <w:r w:rsidRPr="00A16D20">
              <w:rPr>
                <w:rFonts w:ascii="Arial Narrow" w:eastAsiaTheme="majorEastAsia" w:hAnsi="Arial Narrow"/>
                <w:b/>
                <w:bCs/>
              </w:rPr>
              <w:t>S1 or S2 or S3 or S4 or S5 or S6</w:t>
            </w:r>
          </w:p>
        </w:tc>
      </w:tr>
      <w:tr w:rsidR="008647AA" w:rsidRPr="00A16D20" w:rsidTr="00CB27AE">
        <w:trPr>
          <w:trHeight w:val="125"/>
        </w:trPr>
        <w:tc>
          <w:tcPr>
            <w:tcW w:w="0" w:type="auto"/>
            <w:tcBorders>
              <w:top w:val="single" w:sz="4" w:space="0" w:color="auto"/>
              <w:bottom w:val="single" w:sz="4" w:space="0" w:color="auto"/>
            </w:tcBorders>
            <w:shd w:val="clear" w:color="auto" w:fill="FFFFFF" w:themeFill="background1"/>
          </w:tcPr>
          <w:p w:rsidR="008647AA" w:rsidRPr="00A16D20" w:rsidRDefault="008647AA" w:rsidP="00CB27AE">
            <w:pPr>
              <w:rPr>
                <w:rFonts w:ascii="Arial Narrow" w:hAnsi="Arial Narrow" w:cs="Arial"/>
              </w:rPr>
            </w:pPr>
          </w:p>
        </w:tc>
        <w:tc>
          <w:tcPr>
            <w:tcW w:w="0" w:type="auto"/>
            <w:tcBorders>
              <w:top w:val="single" w:sz="4" w:space="0" w:color="auto"/>
              <w:bottom w:val="single" w:sz="4" w:space="0" w:color="auto"/>
            </w:tcBorders>
            <w:shd w:val="clear" w:color="auto" w:fill="FFFFFF" w:themeFill="background1"/>
          </w:tcPr>
          <w:p w:rsidR="008647AA" w:rsidRPr="00A16D20" w:rsidRDefault="008647AA" w:rsidP="00CB27AE">
            <w:pPr>
              <w:jc w:val="center"/>
              <w:rPr>
                <w:rFonts w:ascii="Arial Narrow" w:hAnsi="Arial Narrow" w:cs="Arial"/>
              </w:rPr>
            </w:pPr>
          </w:p>
        </w:tc>
        <w:tc>
          <w:tcPr>
            <w:tcW w:w="0" w:type="auto"/>
            <w:tcBorders>
              <w:top w:val="single" w:sz="4" w:space="0" w:color="auto"/>
              <w:bottom w:val="single" w:sz="4" w:space="0" w:color="auto"/>
            </w:tcBorders>
            <w:shd w:val="clear" w:color="auto" w:fill="FFFFFF" w:themeFill="background1"/>
          </w:tcPr>
          <w:p w:rsidR="008647AA" w:rsidRPr="00A16D20" w:rsidRDefault="008647AA" w:rsidP="00CB27AE">
            <w:pPr>
              <w:rPr>
                <w:rFonts w:ascii="Arial Narrow" w:hAnsi="Arial Narrow" w:cs="Arial"/>
              </w:rPr>
            </w:pPr>
          </w:p>
        </w:tc>
      </w:tr>
      <w:tr w:rsidR="008647AA" w:rsidRPr="00A16D20" w:rsidTr="00CB27AE">
        <w:tc>
          <w:tcPr>
            <w:tcW w:w="0" w:type="auto"/>
            <w:tcBorders>
              <w:top w:val="single" w:sz="4" w:space="0" w:color="auto"/>
            </w:tcBorders>
            <w:shd w:val="clear" w:color="auto" w:fill="EEECE1" w:themeFill="background2"/>
          </w:tcPr>
          <w:p w:rsidR="008647AA" w:rsidRPr="00A16D20" w:rsidRDefault="008647AA" w:rsidP="00CB27AE">
            <w:pPr>
              <w:rPr>
                <w:rFonts w:ascii="Arial Narrow" w:hAnsi="Arial Narrow" w:cs="Arial"/>
              </w:rPr>
            </w:pPr>
            <w:r w:rsidRPr="00A16D20">
              <w:rPr>
                <w:rFonts w:ascii="Arial Narrow" w:hAnsi="Arial Narrow" w:cs="Arial"/>
              </w:rPr>
              <w:t>Intervention – Varenicline terms</w:t>
            </w:r>
          </w:p>
        </w:tc>
        <w:tc>
          <w:tcPr>
            <w:tcW w:w="0" w:type="auto"/>
            <w:tcBorders>
              <w:top w:val="single" w:sz="4" w:space="0" w:color="auto"/>
            </w:tcBorders>
            <w:shd w:val="clear" w:color="auto" w:fill="EEECE1" w:themeFill="background2"/>
          </w:tcPr>
          <w:p w:rsidR="008647AA" w:rsidRPr="00A16D20" w:rsidRDefault="008647AA" w:rsidP="00CB27AE">
            <w:pPr>
              <w:jc w:val="center"/>
              <w:rPr>
                <w:rFonts w:ascii="Arial Narrow" w:hAnsi="Arial Narrow" w:cs="Arial"/>
              </w:rPr>
            </w:pPr>
            <w:r w:rsidRPr="00A16D20">
              <w:rPr>
                <w:rFonts w:ascii="Arial Narrow" w:hAnsi="Arial Narrow" w:cs="Arial"/>
              </w:rPr>
              <w:t>S8</w:t>
            </w:r>
          </w:p>
        </w:tc>
        <w:tc>
          <w:tcPr>
            <w:tcW w:w="0" w:type="auto"/>
            <w:tcBorders>
              <w:top w:val="single" w:sz="4" w:space="0" w:color="auto"/>
            </w:tcBorders>
            <w:shd w:val="clear" w:color="auto" w:fill="EEECE1" w:themeFill="background2"/>
          </w:tcPr>
          <w:p w:rsidR="008647AA" w:rsidRPr="00A16D20" w:rsidRDefault="008647AA" w:rsidP="00CB27AE">
            <w:pPr>
              <w:rPr>
                <w:rFonts w:ascii="Arial Narrow" w:hAnsi="Arial Narrow" w:cs="Arial"/>
              </w:rPr>
            </w:pPr>
            <w:r w:rsidRPr="00A16D20">
              <w:rPr>
                <w:rFonts w:ascii="Arial Narrow" w:hAnsi="Arial Narrow"/>
              </w:rPr>
              <w:t>varenicline/</w:t>
            </w:r>
          </w:p>
        </w:tc>
      </w:tr>
      <w:tr w:rsidR="008647AA" w:rsidRPr="00A16D20" w:rsidTr="00CB27AE">
        <w:tc>
          <w:tcPr>
            <w:tcW w:w="0" w:type="auto"/>
            <w:shd w:val="clear" w:color="auto" w:fill="EEECE1" w:themeFill="background2"/>
          </w:tcPr>
          <w:p w:rsidR="008647AA" w:rsidRPr="00A16D20" w:rsidRDefault="008647AA" w:rsidP="00CB27AE">
            <w:pPr>
              <w:rPr>
                <w:rFonts w:ascii="Arial Narrow" w:hAnsi="Arial Narrow" w:cs="Arial"/>
              </w:rPr>
            </w:pPr>
          </w:p>
        </w:tc>
        <w:tc>
          <w:tcPr>
            <w:tcW w:w="0" w:type="auto"/>
            <w:shd w:val="clear" w:color="auto" w:fill="EEECE1" w:themeFill="background2"/>
          </w:tcPr>
          <w:p w:rsidR="008647AA" w:rsidRPr="00A16D20" w:rsidRDefault="008647AA" w:rsidP="00CB27AE">
            <w:pPr>
              <w:jc w:val="center"/>
              <w:rPr>
                <w:rFonts w:ascii="Arial Narrow" w:hAnsi="Arial Narrow" w:cs="Arial"/>
              </w:rPr>
            </w:pPr>
            <w:r w:rsidRPr="00A16D20">
              <w:rPr>
                <w:rFonts w:ascii="Arial Narrow" w:hAnsi="Arial Narrow" w:cs="Arial"/>
              </w:rPr>
              <w:t>S9</w:t>
            </w:r>
          </w:p>
        </w:tc>
        <w:tc>
          <w:tcPr>
            <w:tcW w:w="0" w:type="auto"/>
            <w:shd w:val="clear" w:color="auto" w:fill="EEECE1" w:themeFill="background2"/>
          </w:tcPr>
          <w:p w:rsidR="008647AA" w:rsidRPr="00A16D20" w:rsidRDefault="008647AA" w:rsidP="00CB27AE">
            <w:pPr>
              <w:rPr>
                <w:rFonts w:ascii="Arial Narrow" w:hAnsi="Arial Narrow" w:cs="Arial"/>
              </w:rPr>
            </w:pPr>
            <w:r w:rsidRPr="00A16D20">
              <w:rPr>
                <w:rFonts w:ascii="Arial Narrow" w:hAnsi="Arial Narrow"/>
              </w:rPr>
              <w:t>(varenicline or champix* or chantix* or cp 526555-18 or unii-82269asb48).tw,kf.</w:t>
            </w:r>
          </w:p>
        </w:tc>
      </w:tr>
      <w:tr w:rsidR="008647AA" w:rsidRPr="00A16D20" w:rsidTr="00CB27AE">
        <w:tc>
          <w:tcPr>
            <w:tcW w:w="0" w:type="auto"/>
            <w:shd w:val="clear" w:color="auto" w:fill="EEECE1" w:themeFill="background2"/>
          </w:tcPr>
          <w:p w:rsidR="008647AA" w:rsidRPr="00A16D20" w:rsidRDefault="008647AA" w:rsidP="00CB27AE">
            <w:pPr>
              <w:rPr>
                <w:rFonts w:ascii="Arial Narrow" w:hAnsi="Arial Narrow" w:cs="Arial"/>
              </w:rPr>
            </w:pPr>
          </w:p>
        </w:tc>
        <w:tc>
          <w:tcPr>
            <w:tcW w:w="0" w:type="auto"/>
            <w:shd w:val="clear" w:color="auto" w:fill="EEECE1" w:themeFill="background2"/>
          </w:tcPr>
          <w:p w:rsidR="008647AA" w:rsidRPr="00A16D20" w:rsidRDefault="008647AA" w:rsidP="00CB27AE">
            <w:pPr>
              <w:jc w:val="center"/>
              <w:rPr>
                <w:rFonts w:ascii="Arial Narrow" w:hAnsi="Arial Narrow" w:cs="Arial"/>
              </w:rPr>
            </w:pPr>
          </w:p>
        </w:tc>
        <w:tc>
          <w:tcPr>
            <w:tcW w:w="0" w:type="auto"/>
            <w:shd w:val="clear" w:color="auto" w:fill="EEECE1" w:themeFill="background2"/>
          </w:tcPr>
          <w:p w:rsidR="008647AA" w:rsidRPr="00A16D20" w:rsidRDefault="008647AA" w:rsidP="00CB27AE">
            <w:pPr>
              <w:rPr>
                <w:rFonts w:ascii="Arial Narrow" w:hAnsi="Arial Narrow"/>
              </w:rPr>
            </w:pPr>
          </w:p>
        </w:tc>
      </w:tr>
      <w:tr w:rsidR="008647AA" w:rsidRPr="00A16D20" w:rsidTr="00CB27AE">
        <w:tc>
          <w:tcPr>
            <w:tcW w:w="0" w:type="auto"/>
            <w:shd w:val="clear" w:color="auto" w:fill="EEECE1" w:themeFill="background2"/>
          </w:tcPr>
          <w:p w:rsidR="008647AA" w:rsidRPr="00A16D20" w:rsidRDefault="008647AA" w:rsidP="00CB27AE">
            <w:pPr>
              <w:rPr>
                <w:rFonts w:ascii="Arial Narrow" w:hAnsi="Arial Narrow" w:cs="Arial"/>
              </w:rPr>
            </w:pPr>
            <w:r w:rsidRPr="00A16D20">
              <w:rPr>
                <w:rFonts w:ascii="Arial Narrow" w:hAnsi="Arial Narrow"/>
              </w:rPr>
              <w:t>Intervention – Bupropion terms</w:t>
            </w:r>
          </w:p>
        </w:tc>
        <w:tc>
          <w:tcPr>
            <w:tcW w:w="0" w:type="auto"/>
            <w:shd w:val="clear" w:color="auto" w:fill="EEECE1" w:themeFill="background2"/>
          </w:tcPr>
          <w:p w:rsidR="008647AA" w:rsidRPr="00A16D20" w:rsidRDefault="008647AA" w:rsidP="00CB27AE">
            <w:pPr>
              <w:jc w:val="center"/>
              <w:rPr>
                <w:rFonts w:ascii="Arial Narrow" w:hAnsi="Arial Narrow" w:cs="Arial"/>
              </w:rPr>
            </w:pPr>
            <w:r w:rsidRPr="00A16D20">
              <w:rPr>
                <w:rFonts w:ascii="Arial Narrow" w:hAnsi="Arial Narrow" w:cs="Arial"/>
              </w:rPr>
              <w:t>S10</w:t>
            </w:r>
          </w:p>
        </w:tc>
        <w:tc>
          <w:tcPr>
            <w:tcW w:w="0" w:type="auto"/>
            <w:shd w:val="clear" w:color="auto" w:fill="EEECE1" w:themeFill="background2"/>
          </w:tcPr>
          <w:p w:rsidR="008647AA" w:rsidRPr="00A16D20" w:rsidRDefault="008647AA" w:rsidP="00CB27AE">
            <w:pPr>
              <w:rPr>
                <w:rFonts w:ascii="Arial Narrow" w:hAnsi="Arial Narrow" w:cs="Arial"/>
              </w:rPr>
            </w:pPr>
            <w:r w:rsidRPr="00A16D20">
              <w:rPr>
                <w:rFonts w:ascii="Arial Narrow" w:eastAsiaTheme="majorEastAsia" w:hAnsi="Arial Narrow"/>
              </w:rPr>
              <w:t>amfebutamone.mp. or bupropion/</w:t>
            </w:r>
          </w:p>
        </w:tc>
      </w:tr>
      <w:tr w:rsidR="008647AA" w:rsidRPr="00A16D20" w:rsidTr="00CB27AE">
        <w:tc>
          <w:tcPr>
            <w:tcW w:w="0" w:type="auto"/>
            <w:shd w:val="clear" w:color="auto" w:fill="EEECE1" w:themeFill="background2"/>
          </w:tcPr>
          <w:p w:rsidR="008647AA" w:rsidRPr="00A16D20" w:rsidRDefault="008647AA" w:rsidP="00CB27AE">
            <w:pPr>
              <w:rPr>
                <w:rFonts w:ascii="Arial Narrow" w:hAnsi="Arial Narrow" w:cs="Arial"/>
              </w:rPr>
            </w:pPr>
          </w:p>
        </w:tc>
        <w:tc>
          <w:tcPr>
            <w:tcW w:w="0" w:type="auto"/>
            <w:shd w:val="clear" w:color="auto" w:fill="EEECE1" w:themeFill="background2"/>
          </w:tcPr>
          <w:p w:rsidR="008647AA" w:rsidRPr="00A16D20" w:rsidRDefault="008647AA" w:rsidP="00CB27AE">
            <w:pPr>
              <w:jc w:val="center"/>
              <w:rPr>
                <w:rFonts w:ascii="Arial Narrow" w:hAnsi="Arial Narrow" w:cs="Arial"/>
              </w:rPr>
            </w:pPr>
            <w:r w:rsidRPr="00A16D20">
              <w:rPr>
                <w:rFonts w:ascii="Arial Narrow" w:hAnsi="Arial Narrow" w:cs="Arial"/>
              </w:rPr>
              <w:t>S11</w:t>
            </w:r>
          </w:p>
        </w:tc>
        <w:tc>
          <w:tcPr>
            <w:tcW w:w="0" w:type="auto"/>
            <w:shd w:val="clear" w:color="auto" w:fill="EEECE1" w:themeFill="background2"/>
          </w:tcPr>
          <w:p w:rsidR="008647AA" w:rsidRPr="00A16D20" w:rsidRDefault="008647AA" w:rsidP="00CB27AE">
            <w:pPr>
              <w:rPr>
                <w:rFonts w:ascii="Arial Narrow" w:hAnsi="Arial Narrow" w:cs="Arial"/>
              </w:rPr>
            </w:pPr>
            <w:r w:rsidRPr="00A16D20">
              <w:rPr>
                <w:rFonts w:ascii="Arial Narrow" w:eastAsiaTheme="majorEastAsia" w:hAnsi="Arial Narrow"/>
              </w:rPr>
              <w:t>(bupropion* or wellbutrin or zyban or zyntabac* or 249296-44-4).tw,kf.</w:t>
            </w:r>
          </w:p>
        </w:tc>
      </w:tr>
      <w:tr w:rsidR="008647AA" w:rsidRPr="00A16D20" w:rsidTr="00CB27AE">
        <w:tc>
          <w:tcPr>
            <w:tcW w:w="0" w:type="auto"/>
            <w:shd w:val="clear" w:color="auto" w:fill="EEECE1" w:themeFill="background2"/>
          </w:tcPr>
          <w:p w:rsidR="008647AA" w:rsidRPr="00A16D20" w:rsidRDefault="008647AA" w:rsidP="00CB27AE">
            <w:pPr>
              <w:rPr>
                <w:rFonts w:ascii="Arial Narrow" w:hAnsi="Arial Narrow" w:cs="Arial"/>
                <w:b/>
                <w:bCs/>
              </w:rPr>
            </w:pPr>
          </w:p>
        </w:tc>
        <w:tc>
          <w:tcPr>
            <w:tcW w:w="0" w:type="auto"/>
            <w:shd w:val="clear" w:color="auto" w:fill="EEECE1" w:themeFill="background2"/>
          </w:tcPr>
          <w:p w:rsidR="008647AA" w:rsidRPr="00A16D20" w:rsidRDefault="008647AA" w:rsidP="00CB27AE">
            <w:pPr>
              <w:jc w:val="center"/>
              <w:rPr>
                <w:rFonts w:ascii="Arial Narrow" w:hAnsi="Arial Narrow" w:cs="Arial"/>
                <w:b/>
                <w:bCs/>
              </w:rPr>
            </w:pPr>
            <w:r w:rsidRPr="00A16D20">
              <w:rPr>
                <w:rFonts w:ascii="Arial Narrow" w:hAnsi="Arial Narrow" w:cs="Arial"/>
                <w:b/>
                <w:bCs/>
              </w:rPr>
              <w:t>S12</w:t>
            </w:r>
          </w:p>
        </w:tc>
        <w:tc>
          <w:tcPr>
            <w:tcW w:w="0" w:type="auto"/>
            <w:shd w:val="clear" w:color="auto" w:fill="EEECE1" w:themeFill="background2"/>
          </w:tcPr>
          <w:p w:rsidR="008647AA" w:rsidRPr="00A16D20" w:rsidRDefault="008647AA" w:rsidP="00CB27AE">
            <w:pPr>
              <w:rPr>
                <w:rFonts w:ascii="Arial Narrow" w:hAnsi="Arial Narrow" w:cs="Arial"/>
                <w:b/>
                <w:bCs/>
              </w:rPr>
            </w:pPr>
            <w:r w:rsidRPr="00A16D20">
              <w:rPr>
                <w:rFonts w:ascii="Arial Narrow" w:hAnsi="Arial Narrow"/>
                <w:b/>
                <w:bCs/>
              </w:rPr>
              <w:t>S8 or S9 or S10 or S11</w:t>
            </w:r>
          </w:p>
        </w:tc>
      </w:tr>
      <w:tr w:rsidR="008647AA" w:rsidRPr="00A16D20" w:rsidTr="00CB27AE">
        <w:tc>
          <w:tcPr>
            <w:tcW w:w="0" w:type="auto"/>
            <w:shd w:val="clear" w:color="auto" w:fill="EEECE1" w:themeFill="background2"/>
          </w:tcPr>
          <w:p w:rsidR="008647AA" w:rsidRPr="00A16D20" w:rsidRDefault="008647AA" w:rsidP="00CB27AE">
            <w:pPr>
              <w:rPr>
                <w:rFonts w:ascii="Arial Narrow" w:hAnsi="Arial Narrow" w:cs="Arial"/>
              </w:rPr>
            </w:pPr>
            <w:r w:rsidRPr="00A16D20">
              <w:rPr>
                <w:rFonts w:ascii="Arial Narrow" w:hAnsi="Arial Narrow" w:cs="Arial"/>
              </w:rPr>
              <w:t>Comparator – Nicotine Replacement Therapy (NRT)</w:t>
            </w:r>
          </w:p>
        </w:tc>
        <w:tc>
          <w:tcPr>
            <w:tcW w:w="0" w:type="auto"/>
            <w:shd w:val="clear" w:color="auto" w:fill="EEECE1" w:themeFill="background2"/>
          </w:tcPr>
          <w:p w:rsidR="008647AA" w:rsidRPr="00A16D20" w:rsidRDefault="008647AA" w:rsidP="00CB27AE">
            <w:pPr>
              <w:jc w:val="center"/>
              <w:rPr>
                <w:rFonts w:ascii="Arial Narrow" w:hAnsi="Arial Narrow" w:cs="Arial"/>
              </w:rPr>
            </w:pPr>
            <w:r w:rsidRPr="00A16D20">
              <w:rPr>
                <w:rFonts w:ascii="Arial Narrow" w:hAnsi="Arial Narrow" w:cs="Arial"/>
              </w:rPr>
              <w:t>S13</w:t>
            </w:r>
          </w:p>
        </w:tc>
        <w:tc>
          <w:tcPr>
            <w:tcW w:w="0" w:type="auto"/>
            <w:shd w:val="clear" w:color="auto" w:fill="EEECE1" w:themeFill="background2"/>
          </w:tcPr>
          <w:p w:rsidR="008647AA" w:rsidRPr="00A16D20" w:rsidRDefault="008647AA" w:rsidP="00CB27AE">
            <w:pPr>
              <w:rPr>
                <w:rFonts w:ascii="Arial Narrow" w:hAnsi="Arial Narrow" w:cs="Arial"/>
              </w:rPr>
            </w:pPr>
            <w:r w:rsidRPr="00A16D20">
              <w:rPr>
                <w:rFonts w:ascii="Arial Narrow" w:eastAsiaTheme="majorEastAsia" w:hAnsi="Arial Narrow"/>
              </w:rPr>
              <w:t>"tobacco use cessation products".mp. or "tobacco use cessation devices"/</w:t>
            </w:r>
          </w:p>
        </w:tc>
      </w:tr>
      <w:tr w:rsidR="008647AA" w:rsidRPr="00A16D20" w:rsidTr="00CB27AE">
        <w:tc>
          <w:tcPr>
            <w:tcW w:w="0" w:type="auto"/>
            <w:shd w:val="clear" w:color="auto" w:fill="EEECE1" w:themeFill="background2"/>
          </w:tcPr>
          <w:p w:rsidR="008647AA" w:rsidRPr="00A16D20" w:rsidRDefault="008647AA" w:rsidP="00CB27AE">
            <w:pPr>
              <w:rPr>
                <w:rFonts w:ascii="Arial Narrow" w:hAnsi="Arial Narrow" w:cs="Arial"/>
              </w:rPr>
            </w:pPr>
          </w:p>
        </w:tc>
        <w:tc>
          <w:tcPr>
            <w:tcW w:w="0" w:type="auto"/>
            <w:shd w:val="clear" w:color="auto" w:fill="EEECE1" w:themeFill="background2"/>
          </w:tcPr>
          <w:p w:rsidR="008647AA" w:rsidRPr="00A16D20" w:rsidRDefault="008647AA" w:rsidP="00CB27AE">
            <w:pPr>
              <w:jc w:val="center"/>
              <w:rPr>
                <w:rFonts w:ascii="Arial Narrow" w:hAnsi="Arial Narrow" w:cs="Arial"/>
              </w:rPr>
            </w:pPr>
            <w:r w:rsidRPr="00A16D20">
              <w:rPr>
                <w:rFonts w:ascii="Arial Narrow" w:hAnsi="Arial Narrow" w:cs="Arial"/>
              </w:rPr>
              <w:t>S14</w:t>
            </w:r>
          </w:p>
        </w:tc>
        <w:tc>
          <w:tcPr>
            <w:tcW w:w="0" w:type="auto"/>
            <w:shd w:val="clear" w:color="auto" w:fill="EEECE1" w:themeFill="background2"/>
          </w:tcPr>
          <w:p w:rsidR="008647AA" w:rsidRPr="00A16D20" w:rsidRDefault="008647AA" w:rsidP="00CB27AE">
            <w:pPr>
              <w:rPr>
                <w:rFonts w:ascii="Arial Narrow" w:hAnsi="Arial Narrow" w:cs="Arial"/>
              </w:rPr>
            </w:pPr>
            <w:r w:rsidRPr="00A16D20">
              <w:rPr>
                <w:rFonts w:ascii="Arial Narrow" w:eastAsiaTheme="majorEastAsia" w:hAnsi="Arial Narrow"/>
              </w:rPr>
              <w:t>(nicotine adj2 replac*).tw,kf.</w:t>
            </w:r>
          </w:p>
        </w:tc>
      </w:tr>
      <w:tr w:rsidR="008647AA" w:rsidRPr="00A16D20" w:rsidTr="00CB27AE">
        <w:tc>
          <w:tcPr>
            <w:tcW w:w="0" w:type="auto"/>
            <w:shd w:val="clear" w:color="auto" w:fill="EEECE1" w:themeFill="background2"/>
          </w:tcPr>
          <w:p w:rsidR="008647AA" w:rsidRPr="00A16D20" w:rsidRDefault="008647AA" w:rsidP="00CB27AE">
            <w:pPr>
              <w:rPr>
                <w:rFonts w:ascii="Arial Narrow" w:hAnsi="Arial Narrow" w:cs="Arial"/>
              </w:rPr>
            </w:pPr>
          </w:p>
        </w:tc>
        <w:tc>
          <w:tcPr>
            <w:tcW w:w="0" w:type="auto"/>
            <w:shd w:val="clear" w:color="auto" w:fill="EEECE1" w:themeFill="background2"/>
          </w:tcPr>
          <w:p w:rsidR="008647AA" w:rsidRPr="00A16D20" w:rsidRDefault="008647AA" w:rsidP="00CB27AE">
            <w:pPr>
              <w:jc w:val="center"/>
              <w:rPr>
                <w:rFonts w:ascii="Arial Narrow" w:hAnsi="Arial Narrow" w:cs="Arial"/>
              </w:rPr>
            </w:pPr>
            <w:r w:rsidRPr="00A16D20">
              <w:rPr>
                <w:rFonts w:ascii="Arial Narrow" w:hAnsi="Arial Narrow" w:cs="Arial"/>
              </w:rPr>
              <w:t>S15</w:t>
            </w:r>
          </w:p>
        </w:tc>
        <w:tc>
          <w:tcPr>
            <w:tcW w:w="0" w:type="auto"/>
            <w:shd w:val="clear" w:color="auto" w:fill="EEECE1" w:themeFill="background2"/>
          </w:tcPr>
          <w:p w:rsidR="008647AA" w:rsidRPr="00A16D20" w:rsidRDefault="008647AA" w:rsidP="00CB27AE">
            <w:pPr>
              <w:rPr>
                <w:rFonts w:ascii="Arial Narrow" w:hAnsi="Arial Narrow" w:cs="Arial"/>
              </w:rPr>
            </w:pPr>
            <w:r w:rsidRPr="00A16D20">
              <w:rPr>
                <w:rFonts w:ascii="Arial Narrow" w:eastAsiaTheme="majorEastAsia" w:hAnsi="Arial Narrow"/>
              </w:rPr>
              <w:t>(nicotine adj3 (gum* or lozenge* or patch* or tablet* or transdermal* or inhaler* or spray*)).tw,kf.</w:t>
            </w:r>
          </w:p>
        </w:tc>
      </w:tr>
      <w:tr w:rsidR="008647AA" w:rsidRPr="00A16D20" w:rsidTr="00CB27AE">
        <w:tc>
          <w:tcPr>
            <w:tcW w:w="0" w:type="auto"/>
            <w:shd w:val="clear" w:color="auto" w:fill="EEECE1" w:themeFill="background2"/>
          </w:tcPr>
          <w:p w:rsidR="008647AA" w:rsidRPr="00A16D20" w:rsidRDefault="008647AA" w:rsidP="00CB27AE">
            <w:pPr>
              <w:rPr>
                <w:rFonts w:ascii="Arial Narrow" w:hAnsi="Arial Narrow" w:cs="Arial"/>
              </w:rPr>
            </w:pPr>
          </w:p>
        </w:tc>
        <w:tc>
          <w:tcPr>
            <w:tcW w:w="0" w:type="auto"/>
            <w:shd w:val="clear" w:color="auto" w:fill="EEECE1" w:themeFill="background2"/>
          </w:tcPr>
          <w:p w:rsidR="008647AA" w:rsidRPr="00A16D20" w:rsidRDefault="008647AA" w:rsidP="00CB27AE">
            <w:pPr>
              <w:jc w:val="center"/>
              <w:rPr>
                <w:rFonts w:ascii="Arial Narrow" w:hAnsi="Arial Narrow" w:cs="Arial"/>
              </w:rPr>
            </w:pPr>
            <w:r w:rsidRPr="00A16D20">
              <w:rPr>
                <w:rFonts w:ascii="Arial Narrow" w:hAnsi="Arial Narrow" w:cs="Arial"/>
              </w:rPr>
              <w:t>S16</w:t>
            </w:r>
          </w:p>
        </w:tc>
        <w:tc>
          <w:tcPr>
            <w:tcW w:w="0" w:type="auto"/>
            <w:shd w:val="clear" w:color="auto" w:fill="EEECE1" w:themeFill="background2"/>
          </w:tcPr>
          <w:p w:rsidR="008647AA" w:rsidRPr="00A16D20" w:rsidRDefault="008647AA" w:rsidP="00CB27AE">
            <w:pPr>
              <w:rPr>
                <w:rFonts w:ascii="Arial Narrow" w:hAnsi="Arial Narrow" w:cs="Arial"/>
              </w:rPr>
            </w:pPr>
            <w:r w:rsidRPr="00A16D20">
              <w:rPr>
                <w:rFonts w:ascii="Arial Narrow" w:eastAsiaTheme="majorEastAsia" w:hAnsi="Arial Narrow"/>
              </w:rPr>
              <w:t>(nrt adj3 (gum* or lozenge* or tablet* or patch* or transdermal* or inhaler* or spray*)).tw,kf.</w:t>
            </w:r>
          </w:p>
        </w:tc>
      </w:tr>
      <w:tr w:rsidR="008647AA" w:rsidRPr="00A16D20" w:rsidTr="00CB27AE">
        <w:tc>
          <w:tcPr>
            <w:tcW w:w="0" w:type="auto"/>
            <w:shd w:val="clear" w:color="auto" w:fill="EEECE1" w:themeFill="background2"/>
          </w:tcPr>
          <w:p w:rsidR="008647AA" w:rsidRPr="00A16D20" w:rsidRDefault="008647AA" w:rsidP="00CB27AE">
            <w:pPr>
              <w:rPr>
                <w:rFonts w:ascii="Arial Narrow" w:hAnsi="Arial Narrow" w:cs="Arial"/>
                <w:b/>
                <w:bCs/>
              </w:rPr>
            </w:pPr>
          </w:p>
        </w:tc>
        <w:tc>
          <w:tcPr>
            <w:tcW w:w="0" w:type="auto"/>
            <w:shd w:val="clear" w:color="auto" w:fill="EEECE1" w:themeFill="background2"/>
          </w:tcPr>
          <w:p w:rsidR="008647AA" w:rsidRPr="00A16D20" w:rsidRDefault="008647AA" w:rsidP="00CB27AE">
            <w:pPr>
              <w:jc w:val="center"/>
              <w:rPr>
                <w:rFonts w:ascii="Arial Narrow" w:hAnsi="Arial Narrow" w:cs="Arial"/>
                <w:b/>
                <w:bCs/>
              </w:rPr>
            </w:pPr>
            <w:r w:rsidRPr="00A16D20">
              <w:rPr>
                <w:rFonts w:ascii="Arial Narrow" w:hAnsi="Arial Narrow" w:cs="Arial"/>
                <w:b/>
                <w:bCs/>
              </w:rPr>
              <w:t>S17</w:t>
            </w:r>
          </w:p>
        </w:tc>
        <w:tc>
          <w:tcPr>
            <w:tcW w:w="0" w:type="auto"/>
            <w:shd w:val="clear" w:color="auto" w:fill="EEECE1" w:themeFill="background2"/>
          </w:tcPr>
          <w:p w:rsidR="008647AA" w:rsidRPr="00A16D20" w:rsidRDefault="008647AA" w:rsidP="00CB27AE">
            <w:pPr>
              <w:rPr>
                <w:rFonts w:ascii="Arial Narrow" w:hAnsi="Arial Narrow" w:cs="Arial"/>
                <w:b/>
                <w:bCs/>
              </w:rPr>
            </w:pPr>
            <w:r w:rsidRPr="00A16D20">
              <w:rPr>
                <w:rFonts w:ascii="Arial Narrow" w:eastAsiaTheme="majorEastAsia" w:hAnsi="Arial Narrow"/>
                <w:b/>
                <w:bCs/>
              </w:rPr>
              <w:t>S13 or S14 or S15 or S16</w:t>
            </w:r>
          </w:p>
        </w:tc>
      </w:tr>
      <w:tr w:rsidR="008647AA" w:rsidRPr="00A16D20" w:rsidTr="00CB27AE">
        <w:tc>
          <w:tcPr>
            <w:tcW w:w="0" w:type="auto"/>
            <w:shd w:val="clear" w:color="auto" w:fill="EEECE1" w:themeFill="background2"/>
          </w:tcPr>
          <w:p w:rsidR="008647AA" w:rsidRPr="00A16D20" w:rsidRDefault="008647AA" w:rsidP="00CB27AE">
            <w:pPr>
              <w:rPr>
                <w:rFonts w:ascii="Arial Narrow" w:hAnsi="Arial Narrow" w:cs="Arial"/>
              </w:rPr>
            </w:pPr>
            <w:r w:rsidRPr="00A16D20">
              <w:rPr>
                <w:rFonts w:ascii="Arial Narrow" w:hAnsi="Arial Narrow" w:cs="Arial"/>
              </w:rPr>
              <w:t>Comparator – Behavioural interventions for smoking cessation</w:t>
            </w:r>
          </w:p>
        </w:tc>
        <w:tc>
          <w:tcPr>
            <w:tcW w:w="0" w:type="auto"/>
            <w:shd w:val="clear" w:color="auto" w:fill="EEECE1" w:themeFill="background2"/>
          </w:tcPr>
          <w:p w:rsidR="008647AA" w:rsidRPr="00A16D20" w:rsidRDefault="008647AA" w:rsidP="00CB27AE">
            <w:pPr>
              <w:jc w:val="center"/>
              <w:rPr>
                <w:rFonts w:ascii="Arial Narrow" w:hAnsi="Arial Narrow" w:cs="Arial"/>
              </w:rPr>
            </w:pPr>
            <w:r w:rsidRPr="00A16D20">
              <w:rPr>
                <w:rFonts w:ascii="Arial Narrow" w:hAnsi="Arial Narrow" w:cs="Arial"/>
              </w:rPr>
              <w:t>S18</w:t>
            </w:r>
          </w:p>
        </w:tc>
        <w:tc>
          <w:tcPr>
            <w:tcW w:w="0" w:type="auto"/>
            <w:shd w:val="clear" w:color="auto" w:fill="EEECE1" w:themeFill="background2"/>
          </w:tcPr>
          <w:p w:rsidR="008647AA" w:rsidRPr="00A16D20" w:rsidRDefault="008647AA" w:rsidP="00CB27AE">
            <w:pPr>
              <w:rPr>
                <w:rFonts w:ascii="Arial Narrow" w:hAnsi="Arial Narrow" w:cs="Arial"/>
              </w:rPr>
            </w:pPr>
            <w:r w:rsidRPr="00A16D20">
              <w:rPr>
                <w:rFonts w:ascii="Arial Narrow" w:eastAsiaTheme="majorEastAsia" w:hAnsi="Arial Narrow"/>
              </w:rPr>
              <w:t>behavior therapy/ or cognitive behavioral therapy/ or "acceptance and commitment therapy"/ or relaxation therapy/ or meditation/ or motivational interviewing/ or residential treatment/ or peer group/ or mindfulness/ or counseling/</w:t>
            </w:r>
          </w:p>
        </w:tc>
      </w:tr>
      <w:tr w:rsidR="008647AA" w:rsidRPr="00A16D20" w:rsidTr="00CB27AE">
        <w:tc>
          <w:tcPr>
            <w:tcW w:w="0" w:type="auto"/>
            <w:shd w:val="clear" w:color="auto" w:fill="EEECE1" w:themeFill="background2"/>
          </w:tcPr>
          <w:p w:rsidR="008647AA" w:rsidRPr="00A16D20" w:rsidRDefault="008647AA" w:rsidP="00CB27AE">
            <w:pPr>
              <w:rPr>
                <w:rFonts w:ascii="Arial Narrow" w:hAnsi="Arial Narrow" w:cs="Arial"/>
              </w:rPr>
            </w:pPr>
          </w:p>
        </w:tc>
        <w:tc>
          <w:tcPr>
            <w:tcW w:w="0" w:type="auto"/>
            <w:shd w:val="clear" w:color="auto" w:fill="EEECE1" w:themeFill="background2"/>
          </w:tcPr>
          <w:p w:rsidR="008647AA" w:rsidRPr="00A16D20" w:rsidRDefault="008647AA" w:rsidP="00CB27AE">
            <w:pPr>
              <w:jc w:val="center"/>
              <w:rPr>
                <w:rFonts w:ascii="Arial Narrow" w:hAnsi="Arial Narrow" w:cs="Arial"/>
              </w:rPr>
            </w:pPr>
            <w:r w:rsidRPr="00A16D20">
              <w:rPr>
                <w:rFonts w:ascii="Arial Narrow" w:hAnsi="Arial Narrow" w:cs="Arial"/>
              </w:rPr>
              <w:t>S19</w:t>
            </w:r>
          </w:p>
        </w:tc>
        <w:tc>
          <w:tcPr>
            <w:tcW w:w="0" w:type="auto"/>
            <w:shd w:val="clear" w:color="auto" w:fill="EEECE1" w:themeFill="background2"/>
          </w:tcPr>
          <w:p w:rsidR="008647AA" w:rsidRPr="00A16D20" w:rsidRDefault="008647AA" w:rsidP="00CB27AE">
            <w:pPr>
              <w:rPr>
                <w:rFonts w:ascii="Arial Narrow" w:hAnsi="Arial Narrow"/>
              </w:rPr>
            </w:pPr>
            <w:r w:rsidRPr="00A16D20">
              <w:rPr>
                <w:rFonts w:ascii="Arial Narrow" w:eastAsiaTheme="majorEastAsia" w:hAnsi="Arial Narrow"/>
              </w:rPr>
              <w:t>((behavio?r therapy or cognitive behavio?al therapy or "acceptance and commitment therapy" or relaxation therapy or meditation or motivational interview* or mindful* or positive psychotherapy or peer support program* or residential treat* or counsel*).kw,ti,ab</w:t>
            </w:r>
          </w:p>
        </w:tc>
      </w:tr>
      <w:tr w:rsidR="008647AA" w:rsidRPr="00A16D20" w:rsidTr="00CB27AE">
        <w:tc>
          <w:tcPr>
            <w:tcW w:w="0" w:type="auto"/>
            <w:shd w:val="clear" w:color="auto" w:fill="EEECE1" w:themeFill="background2"/>
          </w:tcPr>
          <w:p w:rsidR="008647AA" w:rsidRPr="00A16D20" w:rsidRDefault="008647AA" w:rsidP="00CB27AE">
            <w:pPr>
              <w:rPr>
                <w:rFonts w:ascii="Arial Narrow" w:hAnsi="Arial Narrow" w:cs="Arial"/>
              </w:rPr>
            </w:pPr>
          </w:p>
        </w:tc>
        <w:tc>
          <w:tcPr>
            <w:tcW w:w="0" w:type="auto"/>
            <w:shd w:val="clear" w:color="auto" w:fill="EEECE1" w:themeFill="background2"/>
          </w:tcPr>
          <w:p w:rsidR="008647AA" w:rsidRPr="00A16D20" w:rsidRDefault="008647AA" w:rsidP="00CB27AE">
            <w:pPr>
              <w:jc w:val="center"/>
              <w:rPr>
                <w:rFonts w:ascii="Arial Narrow" w:hAnsi="Arial Narrow" w:cs="Arial"/>
              </w:rPr>
            </w:pPr>
            <w:r w:rsidRPr="00A16D20">
              <w:rPr>
                <w:rFonts w:ascii="Arial Narrow" w:hAnsi="Arial Narrow" w:cs="Arial"/>
              </w:rPr>
              <w:t>S20</w:t>
            </w:r>
          </w:p>
          <w:p w:rsidR="008647AA" w:rsidRPr="00A16D20" w:rsidRDefault="008647AA" w:rsidP="00CB27AE">
            <w:pPr>
              <w:jc w:val="center"/>
              <w:rPr>
                <w:rFonts w:ascii="Arial Narrow" w:hAnsi="Arial Narrow" w:cs="Arial"/>
              </w:rPr>
            </w:pPr>
          </w:p>
        </w:tc>
        <w:tc>
          <w:tcPr>
            <w:tcW w:w="0" w:type="auto"/>
            <w:shd w:val="clear" w:color="auto" w:fill="EEECE1" w:themeFill="background2"/>
          </w:tcPr>
          <w:p w:rsidR="008647AA" w:rsidRPr="00A16D20" w:rsidRDefault="008647AA" w:rsidP="00CB27AE">
            <w:pPr>
              <w:rPr>
                <w:rFonts w:ascii="Arial Narrow" w:eastAsiaTheme="majorEastAsia" w:hAnsi="Arial Narrow"/>
              </w:rPr>
            </w:pPr>
            <w:r w:rsidRPr="00A16D20">
              <w:rPr>
                <w:rFonts w:ascii="Arial Narrow" w:eastAsiaTheme="majorEastAsia" w:hAnsi="Arial Narrow"/>
              </w:rPr>
              <w:t>18 or 19</w:t>
            </w:r>
          </w:p>
          <w:p w:rsidR="008647AA" w:rsidRPr="00A16D20" w:rsidRDefault="008647AA" w:rsidP="00CB27AE">
            <w:pPr>
              <w:rPr>
                <w:rFonts w:ascii="Arial Narrow" w:hAnsi="Arial Narrow" w:cs="Arial"/>
              </w:rPr>
            </w:pPr>
          </w:p>
        </w:tc>
      </w:tr>
      <w:tr w:rsidR="008647AA" w:rsidRPr="00A16D20" w:rsidTr="00CB27AE">
        <w:tc>
          <w:tcPr>
            <w:tcW w:w="0" w:type="auto"/>
            <w:tcBorders>
              <w:bottom w:val="single" w:sz="4" w:space="0" w:color="auto"/>
            </w:tcBorders>
            <w:shd w:val="clear" w:color="auto" w:fill="EEECE1" w:themeFill="background2"/>
          </w:tcPr>
          <w:p w:rsidR="008647AA" w:rsidRPr="00A16D20" w:rsidRDefault="008647AA" w:rsidP="00CB27AE">
            <w:pPr>
              <w:rPr>
                <w:rFonts w:ascii="Arial Narrow" w:hAnsi="Arial Narrow" w:cs="Arial"/>
                <w:lang w:val="en-MY"/>
              </w:rPr>
            </w:pPr>
          </w:p>
        </w:tc>
        <w:tc>
          <w:tcPr>
            <w:tcW w:w="0" w:type="auto"/>
            <w:tcBorders>
              <w:bottom w:val="single" w:sz="4" w:space="0" w:color="auto"/>
            </w:tcBorders>
            <w:shd w:val="clear" w:color="auto" w:fill="EEECE1" w:themeFill="background2"/>
          </w:tcPr>
          <w:p w:rsidR="008647AA" w:rsidRPr="00A16D20" w:rsidRDefault="008647AA" w:rsidP="00CB27AE">
            <w:pPr>
              <w:jc w:val="center"/>
              <w:rPr>
                <w:rFonts w:ascii="Arial Narrow" w:hAnsi="Arial Narrow" w:cs="Arial"/>
              </w:rPr>
            </w:pPr>
            <w:r w:rsidRPr="00A16D20">
              <w:rPr>
                <w:rFonts w:ascii="Arial Narrow" w:hAnsi="Arial Narrow" w:cs="Arial"/>
                <w:b/>
                <w:bCs/>
              </w:rPr>
              <w:t>S21</w:t>
            </w:r>
          </w:p>
        </w:tc>
        <w:tc>
          <w:tcPr>
            <w:tcW w:w="0" w:type="auto"/>
            <w:tcBorders>
              <w:bottom w:val="single" w:sz="4" w:space="0" w:color="auto"/>
            </w:tcBorders>
            <w:shd w:val="clear" w:color="auto" w:fill="EEECE1" w:themeFill="background2"/>
          </w:tcPr>
          <w:p w:rsidR="008647AA" w:rsidRPr="00A16D20" w:rsidRDefault="008647AA" w:rsidP="00CB27AE">
            <w:pPr>
              <w:rPr>
                <w:rFonts w:ascii="Arial Narrow" w:hAnsi="Arial Narrow" w:cs="Arial"/>
              </w:rPr>
            </w:pPr>
            <w:r w:rsidRPr="00A16D20">
              <w:rPr>
                <w:rFonts w:ascii="Arial Narrow" w:hAnsi="Arial Narrow" w:cs="Arial"/>
                <w:b/>
                <w:bCs/>
              </w:rPr>
              <w:t>S12 OR S17 OR (S20 AND S12) OR (S20 AND S17)</w:t>
            </w:r>
          </w:p>
        </w:tc>
      </w:tr>
      <w:tr w:rsidR="008647AA" w:rsidRPr="00A16D20" w:rsidTr="00CB27AE">
        <w:trPr>
          <w:trHeight w:val="206"/>
        </w:trPr>
        <w:tc>
          <w:tcPr>
            <w:tcW w:w="0" w:type="auto"/>
            <w:tcBorders>
              <w:bottom w:val="single" w:sz="4" w:space="0" w:color="auto"/>
            </w:tcBorders>
            <w:shd w:val="clear" w:color="auto" w:fill="FFFFFF" w:themeFill="background1"/>
          </w:tcPr>
          <w:p w:rsidR="008647AA" w:rsidRPr="00A16D20" w:rsidRDefault="008647AA" w:rsidP="00CB27AE">
            <w:pPr>
              <w:rPr>
                <w:rFonts w:ascii="Arial Narrow" w:hAnsi="Arial Narrow" w:cs="Arial"/>
              </w:rPr>
            </w:pPr>
          </w:p>
        </w:tc>
        <w:tc>
          <w:tcPr>
            <w:tcW w:w="0" w:type="auto"/>
            <w:tcBorders>
              <w:bottom w:val="single" w:sz="4" w:space="0" w:color="auto"/>
            </w:tcBorders>
            <w:shd w:val="clear" w:color="auto" w:fill="FFFFFF" w:themeFill="background1"/>
          </w:tcPr>
          <w:p w:rsidR="008647AA" w:rsidRPr="00A16D20" w:rsidRDefault="008647AA" w:rsidP="00CB27AE">
            <w:pPr>
              <w:jc w:val="center"/>
              <w:rPr>
                <w:rFonts w:ascii="Arial Narrow" w:hAnsi="Arial Narrow" w:cs="Arial"/>
                <w:b/>
                <w:bCs/>
              </w:rPr>
            </w:pPr>
          </w:p>
        </w:tc>
        <w:tc>
          <w:tcPr>
            <w:tcW w:w="0" w:type="auto"/>
            <w:tcBorders>
              <w:bottom w:val="single" w:sz="4" w:space="0" w:color="auto"/>
            </w:tcBorders>
            <w:shd w:val="clear" w:color="auto" w:fill="FFFFFF" w:themeFill="background1"/>
          </w:tcPr>
          <w:p w:rsidR="008647AA" w:rsidRPr="00A16D20" w:rsidRDefault="008647AA" w:rsidP="00CB27AE">
            <w:pPr>
              <w:rPr>
                <w:rFonts w:ascii="Arial Narrow" w:hAnsi="Arial Narrow" w:cs="Arial"/>
                <w:b/>
                <w:bCs/>
              </w:rPr>
            </w:pPr>
          </w:p>
        </w:tc>
      </w:tr>
      <w:tr w:rsidR="008647AA" w:rsidRPr="00A16D20" w:rsidTr="00CB27AE">
        <w:tc>
          <w:tcPr>
            <w:tcW w:w="0" w:type="auto"/>
            <w:tcBorders>
              <w:top w:val="single" w:sz="4" w:space="0" w:color="auto"/>
              <w:bottom w:val="single" w:sz="4" w:space="0" w:color="auto"/>
            </w:tcBorders>
            <w:shd w:val="clear" w:color="auto" w:fill="FFFF00"/>
          </w:tcPr>
          <w:p w:rsidR="008647AA" w:rsidRPr="00A16D20" w:rsidRDefault="008647AA" w:rsidP="00CB27AE">
            <w:pPr>
              <w:rPr>
                <w:rFonts w:ascii="Arial Narrow" w:hAnsi="Arial Narrow" w:cs="Arial"/>
                <w:b/>
                <w:bCs/>
              </w:rPr>
            </w:pPr>
          </w:p>
        </w:tc>
        <w:tc>
          <w:tcPr>
            <w:tcW w:w="0" w:type="auto"/>
            <w:tcBorders>
              <w:top w:val="single" w:sz="4" w:space="0" w:color="auto"/>
              <w:bottom w:val="single" w:sz="4" w:space="0" w:color="auto"/>
            </w:tcBorders>
            <w:shd w:val="clear" w:color="auto" w:fill="FFFF00"/>
          </w:tcPr>
          <w:p w:rsidR="008647AA" w:rsidRPr="00A16D20" w:rsidRDefault="008647AA" w:rsidP="00CB27AE">
            <w:pPr>
              <w:jc w:val="center"/>
              <w:rPr>
                <w:rFonts w:ascii="Arial Narrow" w:hAnsi="Arial Narrow" w:cs="Arial"/>
                <w:b/>
                <w:bCs/>
              </w:rPr>
            </w:pPr>
            <w:r w:rsidRPr="00A16D20">
              <w:rPr>
                <w:rFonts w:ascii="Arial Narrow" w:hAnsi="Arial Narrow" w:cs="Arial"/>
                <w:b/>
                <w:bCs/>
              </w:rPr>
              <w:t>S22</w:t>
            </w:r>
          </w:p>
        </w:tc>
        <w:tc>
          <w:tcPr>
            <w:tcW w:w="0" w:type="auto"/>
            <w:tcBorders>
              <w:top w:val="single" w:sz="4" w:space="0" w:color="auto"/>
              <w:bottom w:val="single" w:sz="4" w:space="0" w:color="auto"/>
            </w:tcBorders>
            <w:shd w:val="clear" w:color="auto" w:fill="FFFF00"/>
          </w:tcPr>
          <w:p w:rsidR="008647AA" w:rsidRPr="00A16D20" w:rsidRDefault="008647AA" w:rsidP="00CB27AE">
            <w:pPr>
              <w:rPr>
                <w:rFonts w:ascii="Arial Narrow" w:hAnsi="Arial Narrow" w:cs="Arial"/>
                <w:b/>
                <w:bCs/>
              </w:rPr>
            </w:pPr>
            <w:r w:rsidRPr="00A16D20">
              <w:rPr>
                <w:rFonts w:ascii="Arial Narrow" w:eastAsiaTheme="majorEastAsia" w:hAnsi="Arial Narrow"/>
                <w:b/>
                <w:bCs/>
              </w:rPr>
              <w:t>S7 and S26</w:t>
            </w:r>
          </w:p>
        </w:tc>
      </w:tr>
      <w:tr w:rsidR="008647AA" w:rsidRPr="00A16D20" w:rsidTr="00CB27AE">
        <w:tc>
          <w:tcPr>
            <w:tcW w:w="0" w:type="auto"/>
            <w:tcBorders>
              <w:top w:val="single" w:sz="4" w:space="0" w:color="auto"/>
              <w:bottom w:val="single" w:sz="4" w:space="0" w:color="auto"/>
            </w:tcBorders>
            <w:shd w:val="clear" w:color="auto" w:fill="FFFFFF" w:themeFill="background1"/>
          </w:tcPr>
          <w:p w:rsidR="008647AA" w:rsidRPr="00A16D20" w:rsidRDefault="008647AA" w:rsidP="00CB27AE">
            <w:pPr>
              <w:rPr>
                <w:rFonts w:ascii="Arial Narrow" w:hAnsi="Arial Narrow" w:cs="Arial"/>
              </w:rPr>
            </w:pPr>
            <w:r w:rsidRPr="00A16D20">
              <w:rPr>
                <w:rFonts w:ascii="Arial Narrow" w:hAnsi="Arial Narrow" w:cs="Arial"/>
              </w:rPr>
              <w:t>Limit to systematic review/meta-analysis</w:t>
            </w:r>
          </w:p>
        </w:tc>
        <w:tc>
          <w:tcPr>
            <w:tcW w:w="0" w:type="auto"/>
            <w:tcBorders>
              <w:top w:val="single" w:sz="4" w:space="0" w:color="auto"/>
              <w:bottom w:val="single" w:sz="4" w:space="0" w:color="auto"/>
            </w:tcBorders>
            <w:shd w:val="clear" w:color="auto" w:fill="FFFFFF" w:themeFill="background1"/>
          </w:tcPr>
          <w:p w:rsidR="008647AA" w:rsidRPr="00A16D20" w:rsidRDefault="008647AA" w:rsidP="00CB27AE">
            <w:pPr>
              <w:jc w:val="center"/>
              <w:rPr>
                <w:rFonts w:ascii="Arial Narrow" w:hAnsi="Arial Narrow" w:cs="Arial"/>
                <w:b/>
                <w:bCs/>
              </w:rPr>
            </w:pPr>
            <w:r w:rsidRPr="00A16D20">
              <w:rPr>
                <w:rFonts w:ascii="Arial Narrow" w:hAnsi="Arial Narrow" w:cs="Arial"/>
                <w:b/>
                <w:bCs/>
              </w:rPr>
              <w:t>S23</w:t>
            </w:r>
          </w:p>
        </w:tc>
        <w:tc>
          <w:tcPr>
            <w:tcW w:w="0" w:type="auto"/>
            <w:tcBorders>
              <w:top w:val="single" w:sz="4" w:space="0" w:color="auto"/>
              <w:bottom w:val="single" w:sz="4" w:space="0" w:color="auto"/>
            </w:tcBorders>
            <w:shd w:val="clear" w:color="auto" w:fill="FFFFFF" w:themeFill="background1"/>
          </w:tcPr>
          <w:p w:rsidR="008647AA" w:rsidRPr="00A16D20" w:rsidRDefault="008647AA" w:rsidP="00CB27AE">
            <w:pPr>
              <w:rPr>
                <w:rFonts w:ascii="Arial Narrow" w:eastAsiaTheme="majorEastAsia" w:hAnsi="Arial Narrow"/>
                <w:b/>
                <w:bCs/>
              </w:rPr>
            </w:pPr>
            <w:r w:rsidRPr="00A16D20">
              <w:rPr>
                <w:rFonts w:eastAsiaTheme="majorEastAsia"/>
              </w:rPr>
              <w:t>"Systematic Review"/</w:t>
            </w:r>
          </w:p>
        </w:tc>
      </w:tr>
      <w:tr w:rsidR="008647AA" w:rsidRPr="00A16D20" w:rsidTr="00CB27AE">
        <w:tc>
          <w:tcPr>
            <w:tcW w:w="0" w:type="auto"/>
            <w:tcBorders>
              <w:top w:val="single" w:sz="4" w:space="0" w:color="auto"/>
              <w:bottom w:val="single" w:sz="4" w:space="0" w:color="auto"/>
            </w:tcBorders>
            <w:shd w:val="clear" w:color="auto" w:fill="FFFFFF" w:themeFill="background1"/>
          </w:tcPr>
          <w:p w:rsidR="008647AA" w:rsidRPr="00A16D20" w:rsidRDefault="008647AA" w:rsidP="00CB27AE">
            <w:pPr>
              <w:rPr>
                <w:rFonts w:ascii="Arial Narrow" w:hAnsi="Arial Narrow" w:cs="Arial"/>
                <w:b/>
                <w:bCs/>
              </w:rPr>
            </w:pPr>
          </w:p>
        </w:tc>
        <w:tc>
          <w:tcPr>
            <w:tcW w:w="0" w:type="auto"/>
            <w:tcBorders>
              <w:top w:val="single" w:sz="4" w:space="0" w:color="auto"/>
              <w:bottom w:val="single" w:sz="4" w:space="0" w:color="auto"/>
            </w:tcBorders>
            <w:shd w:val="clear" w:color="auto" w:fill="FFFFFF" w:themeFill="background1"/>
          </w:tcPr>
          <w:p w:rsidR="008647AA" w:rsidRPr="00A16D20" w:rsidRDefault="008647AA" w:rsidP="00CB27AE">
            <w:pPr>
              <w:jc w:val="center"/>
              <w:rPr>
                <w:rFonts w:ascii="Arial Narrow" w:hAnsi="Arial Narrow" w:cs="Arial"/>
                <w:b/>
                <w:bCs/>
              </w:rPr>
            </w:pPr>
            <w:r w:rsidRPr="00A16D20">
              <w:rPr>
                <w:rFonts w:ascii="Arial Narrow" w:hAnsi="Arial Narrow" w:cs="Arial"/>
                <w:b/>
                <w:bCs/>
              </w:rPr>
              <w:t>S24</w:t>
            </w:r>
          </w:p>
        </w:tc>
        <w:tc>
          <w:tcPr>
            <w:tcW w:w="0" w:type="auto"/>
            <w:tcBorders>
              <w:top w:val="single" w:sz="4" w:space="0" w:color="auto"/>
              <w:bottom w:val="single" w:sz="4" w:space="0" w:color="auto"/>
            </w:tcBorders>
            <w:shd w:val="clear" w:color="auto" w:fill="FFFFFF" w:themeFill="background1"/>
          </w:tcPr>
          <w:p w:rsidR="008647AA" w:rsidRPr="00A16D20" w:rsidRDefault="008647AA" w:rsidP="00CB27AE">
            <w:pPr>
              <w:rPr>
                <w:rFonts w:ascii="Times New Roman" w:hAnsi="Times New Roman"/>
                <w:sz w:val="24"/>
                <w:szCs w:val="24"/>
              </w:rPr>
            </w:pPr>
            <w:r w:rsidRPr="00A16D20">
              <w:rPr>
                <w:rFonts w:ascii="Times New Roman" w:hAnsi="Times New Roman"/>
                <w:sz w:val="24"/>
                <w:szCs w:val="24"/>
              </w:rPr>
              <w:t xml:space="preserve">Meta-Analysis/ </w:t>
            </w:r>
          </w:p>
        </w:tc>
      </w:tr>
      <w:tr w:rsidR="008647AA" w:rsidRPr="00A16D20" w:rsidTr="00CB27AE">
        <w:tc>
          <w:tcPr>
            <w:tcW w:w="0" w:type="auto"/>
            <w:tcBorders>
              <w:top w:val="single" w:sz="4" w:space="0" w:color="auto"/>
              <w:bottom w:val="single" w:sz="4" w:space="0" w:color="auto"/>
            </w:tcBorders>
            <w:shd w:val="clear" w:color="auto" w:fill="FFFFFF" w:themeFill="background1"/>
          </w:tcPr>
          <w:p w:rsidR="008647AA" w:rsidRPr="00A16D20" w:rsidRDefault="008647AA" w:rsidP="00CB27AE">
            <w:pPr>
              <w:rPr>
                <w:rFonts w:ascii="Arial Narrow" w:hAnsi="Arial Narrow" w:cs="Arial"/>
                <w:b/>
                <w:bCs/>
              </w:rPr>
            </w:pPr>
          </w:p>
        </w:tc>
        <w:tc>
          <w:tcPr>
            <w:tcW w:w="0" w:type="auto"/>
            <w:tcBorders>
              <w:top w:val="single" w:sz="4" w:space="0" w:color="auto"/>
              <w:bottom w:val="single" w:sz="4" w:space="0" w:color="auto"/>
            </w:tcBorders>
            <w:shd w:val="clear" w:color="auto" w:fill="FFFFFF" w:themeFill="background1"/>
          </w:tcPr>
          <w:p w:rsidR="008647AA" w:rsidRPr="00A16D20" w:rsidRDefault="008647AA" w:rsidP="00CB27AE">
            <w:pPr>
              <w:jc w:val="center"/>
              <w:rPr>
                <w:rFonts w:ascii="Arial Narrow" w:hAnsi="Arial Narrow" w:cs="Arial"/>
                <w:b/>
                <w:bCs/>
              </w:rPr>
            </w:pPr>
            <w:r w:rsidRPr="00A16D20">
              <w:rPr>
                <w:rFonts w:ascii="Arial Narrow" w:hAnsi="Arial Narrow" w:cs="Arial"/>
                <w:b/>
                <w:bCs/>
              </w:rPr>
              <w:t>S25</w:t>
            </w:r>
          </w:p>
        </w:tc>
        <w:tc>
          <w:tcPr>
            <w:tcW w:w="0" w:type="auto"/>
            <w:tcBorders>
              <w:top w:val="single" w:sz="4" w:space="0" w:color="auto"/>
              <w:bottom w:val="single" w:sz="4" w:space="0" w:color="auto"/>
            </w:tcBorders>
            <w:shd w:val="clear" w:color="auto" w:fill="FFFFFF" w:themeFill="background1"/>
          </w:tcPr>
          <w:p w:rsidR="008647AA" w:rsidRPr="00A16D20" w:rsidRDefault="008647AA" w:rsidP="00CB27AE">
            <w:pPr>
              <w:rPr>
                <w:rFonts w:ascii="Times New Roman" w:hAnsi="Times New Roman"/>
                <w:sz w:val="24"/>
                <w:szCs w:val="24"/>
              </w:rPr>
            </w:pPr>
            <w:r w:rsidRPr="00A16D20">
              <w:rPr>
                <w:rFonts w:ascii="Times New Roman" w:hAnsi="Times New Roman"/>
                <w:sz w:val="24"/>
                <w:szCs w:val="24"/>
              </w:rPr>
              <w:t>(systematic review or meta?analysis).ti,ab.</w:t>
            </w:r>
          </w:p>
        </w:tc>
      </w:tr>
      <w:tr w:rsidR="008647AA" w:rsidRPr="00A16D20" w:rsidTr="00CB27AE">
        <w:tc>
          <w:tcPr>
            <w:tcW w:w="0" w:type="auto"/>
            <w:tcBorders>
              <w:top w:val="single" w:sz="4" w:space="0" w:color="auto"/>
              <w:bottom w:val="single" w:sz="4" w:space="0" w:color="auto"/>
            </w:tcBorders>
            <w:shd w:val="clear" w:color="auto" w:fill="FFFFFF" w:themeFill="background1"/>
          </w:tcPr>
          <w:p w:rsidR="008647AA" w:rsidRPr="00A16D20" w:rsidRDefault="008647AA" w:rsidP="00CB27AE">
            <w:pPr>
              <w:rPr>
                <w:rFonts w:ascii="Arial Narrow" w:hAnsi="Arial Narrow" w:cs="Arial"/>
                <w:b/>
                <w:bCs/>
              </w:rPr>
            </w:pPr>
          </w:p>
        </w:tc>
        <w:tc>
          <w:tcPr>
            <w:tcW w:w="0" w:type="auto"/>
            <w:tcBorders>
              <w:top w:val="single" w:sz="4" w:space="0" w:color="auto"/>
              <w:bottom w:val="single" w:sz="4" w:space="0" w:color="auto"/>
            </w:tcBorders>
            <w:shd w:val="clear" w:color="auto" w:fill="FFFFFF" w:themeFill="background1"/>
          </w:tcPr>
          <w:p w:rsidR="008647AA" w:rsidRPr="00A16D20" w:rsidRDefault="008647AA" w:rsidP="00CB27AE">
            <w:pPr>
              <w:jc w:val="center"/>
              <w:rPr>
                <w:rFonts w:ascii="Arial Narrow" w:hAnsi="Arial Narrow" w:cs="Arial"/>
                <w:b/>
                <w:bCs/>
              </w:rPr>
            </w:pPr>
            <w:r w:rsidRPr="00A16D20">
              <w:rPr>
                <w:rFonts w:ascii="Arial Narrow" w:hAnsi="Arial Narrow" w:cs="Arial"/>
                <w:b/>
                <w:bCs/>
              </w:rPr>
              <w:t>S26</w:t>
            </w:r>
          </w:p>
        </w:tc>
        <w:tc>
          <w:tcPr>
            <w:tcW w:w="0" w:type="auto"/>
            <w:tcBorders>
              <w:top w:val="single" w:sz="4" w:space="0" w:color="auto"/>
              <w:bottom w:val="single" w:sz="4" w:space="0" w:color="auto"/>
            </w:tcBorders>
            <w:shd w:val="clear" w:color="auto" w:fill="FFFFFF" w:themeFill="background1"/>
          </w:tcPr>
          <w:p w:rsidR="008647AA" w:rsidRPr="00A16D20" w:rsidRDefault="008647AA" w:rsidP="00CB27AE">
            <w:pPr>
              <w:rPr>
                <w:rFonts w:ascii="Times New Roman" w:hAnsi="Times New Roman"/>
                <w:sz w:val="24"/>
                <w:szCs w:val="24"/>
              </w:rPr>
            </w:pPr>
            <w:r w:rsidRPr="00A16D20">
              <w:rPr>
                <w:rFonts w:ascii="Times New Roman" w:hAnsi="Times New Roman"/>
                <w:sz w:val="24"/>
                <w:szCs w:val="24"/>
              </w:rPr>
              <w:t>S23 or S24 or S25</w:t>
            </w:r>
          </w:p>
        </w:tc>
      </w:tr>
      <w:tr w:rsidR="008647AA" w:rsidRPr="00A16D20" w:rsidTr="00CB27AE">
        <w:tc>
          <w:tcPr>
            <w:tcW w:w="0" w:type="auto"/>
            <w:tcBorders>
              <w:top w:val="single" w:sz="4" w:space="0" w:color="auto"/>
              <w:bottom w:val="single" w:sz="4" w:space="0" w:color="auto"/>
            </w:tcBorders>
            <w:shd w:val="clear" w:color="auto" w:fill="FFC000"/>
          </w:tcPr>
          <w:p w:rsidR="008647AA" w:rsidRPr="00A16D20" w:rsidRDefault="008647AA" w:rsidP="00CB27AE">
            <w:pPr>
              <w:rPr>
                <w:rFonts w:ascii="Arial Narrow" w:hAnsi="Arial Narrow" w:cs="Arial"/>
                <w:b/>
                <w:bCs/>
              </w:rPr>
            </w:pPr>
          </w:p>
        </w:tc>
        <w:tc>
          <w:tcPr>
            <w:tcW w:w="0" w:type="auto"/>
            <w:tcBorders>
              <w:top w:val="single" w:sz="4" w:space="0" w:color="auto"/>
              <w:bottom w:val="single" w:sz="4" w:space="0" w:color="auto"/>
            </w:tcBorders>
            <w:shd w:val="clear" w:color="auto" w:fill="FFC000"/>
          </w:tcPr>
          <w:p w:rsidR="008647AA" w:rsidRPr="00A16D20" w:rsidRDefault="008647AA" w:rsidP="00CB27AE">
            <w:pPr>
              <w:jc w:val="center"/>
              <w:rPr>
                <w:rFonts w:ascii="Arial Narrow" w:hAnsi="Arial Narrow" w:cs="Arial"/>
                <w:b/>
                <w:bCs/>
              </w:rPr>
            </w:pPr>
            <w:r w:rsidRPr="00A16D20">
              <w:rPr>
                <w:rFonts w:ascii="Arial Narrow" w:hAnsi="Arial Narrow" w:cs="Arial"/>
                <w:b/>
                <w:bCs/>
              </w:rPr>
              <w:t>S27</w:t>
            </w:r>
          </w:p>
        </w:tc>
        <w:tc>
          <w:tcPr>
            <w:tcW w:w="0" w:type="auto"/>
            <w:tcBorders>
              <w:top w:val="single" w:sz="4" w:space="0" w:color="auto"/>
              <w:bottom w:val="single" w:sz="4" w:space="0" w:color="auto"/>
            </w:tcBorders>
            <w:shd w:val="clear" w:color="auto" w:fill="FFC000"/>
          </w:tcPr>
          <w:p w:rsidR="008647AA" w:rsidRPr="00A16D20" w:rsidRDefault="008647AA" w:rsidP="00CB27AE">
            <w:pPr>
              <w:rPr>
                <w:rFonts w:ascii="Arial Narrow" w:eastAsiaTheme="majorEastAsia" w:hAnsi="Arial Narrow"/>
                <w:b/>
                <w:bCs/>
              </w:rPr>
            </w:pPr>
            <w:r w:rsidRPr="00A16D20">
              <w:rPr>
                <w:rFonts w:eastAsiaTheme="majorEastAsia"/>
                <w:b/>
                <w:bCs/>
              </w:rPr>
              <w:t>S22 and S26</w:t>
            </w:r>
          </w:p>
        </w:tc>
      </w:tr>
    </w:tbl>
    <w:p w:rsidR="00410E91" w:rsidRPr="008F1238" w:rsidRDefault="00410E91" w:rsidP="00E51A3B"/>
    <w:p w:rsidR="00EB70E6" w:rsidRDefault="00EB70E6" w:rsidP="00E51A3B">
      <w:pPr>
        <w:rPr>
          <w:highlight w:val="yellow"/>
        </w:rPr>
      </w:pPr>
    </w:p>
    <w:p w:rsidR="008647AA" w:rsidRDefault="008647AA">
      <w:pPr>
        <w:spacing w:line="276" w:lineRule="auto"/>
        <w:rPr>
          <w:highlight w:val="yellow"/>
        </w:rPr>
      </w:pPr>
      <w:r>
        <w:rPr>
          <w:highlight w:val="yellow"/>
        </w:rPr>
        <w:br w:type="page"/>
      </w:r>
    </w:p>
    <w:p w:rsidR="005A7664" w:rsidRPr="005A7664" w:rsidRDefault="008647AA" w:rsidP="003145A2">
      <w:pPr>
        <w:pStyle w:val="Heading3"/>
        <w:numPr>
          <w:ilvl w:val="0"/>
          <w:numId w:val="0"/>
        </w:numPr>
      </w:pPr>
      <w:bookmarkStart w:id="338" w:name="_Toc72850868"/>
      <w:bookmarkStart w:id="339" w:name="_Toc73525633"/>
      <w:r w:rsidRPr="004D1EE8">
        <w:lastRenderedPageBreak/>
        <w:t>A.</w:t>
      </w:r>
      <w:r w:rsidR="004C1E72">
        <w:t>3</w:t>
      </w:r>
      <w:r w:rsidR="005E6157">
        <w:t xml:space="preserve"> </w:t>
      </w:r>
      <w:r w:rsidR="004B0626" w:rsidRPr="004D1EE8">
        <w:t>PRISMA flow diagram</w:t>
      </w:r>
      <w:bookmarkEnd w:id="338"/>
      <w:bookmarkEnd w:id="339"/>
    </w:p>
    <w:p w:rsidR="00ED3594" w:rsidRDefault="00ED3594" w:rsidP="00ED3594">
      <w:pPr>
        <w:pStyle w:val="Caption"/>
        <w:keepNext/>
      </w:pPr>
      <w:bookmarkStart w:id="340" w:name="_Ref62818086"/>
      <w:r>
        <w:t xml:space="preserve">Figure </w:t>
      </w:r>
      <w:r w:rsidR="003C4A1C">
        <w:rPr>
          <w:noProof/>
        </w:rPr>
        <w:t>46</w:t>
      </w:r>
      <w:bookmarkEnd w:id="340"/>
      <w:r>
        <w:t xml:space="preserve">: </w:t>
      </w:r>
      <w:r w:rsidRPr="00301508">
        <w:t>PRISMA diagram for the primary literature search</w:t>
      </w:r>
    </w:p>
    <w:p w:rsidR="004D1EE8" w:rsidRDefault="009A6EC1" w:rsidP="00127BAD">
      <w:pPr>
        <w:keepNext/>
      </w:pPr>
      <w:r>
        <w:rPr>
          <w:b/>
          <w:bCs/>
          <w:noProof/>
        </w:rPr>
        <w:drawing>
          <wp:inline distT="0" distB="0" distL="0" distR="0" wp14:anchorId="0091F039" wp14:editId="56E1A2EA">
            <wp:extent cx="5731510" cy="6025515"/>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5731510" cy="6025515"/>
                    </a:xfrm>
                    <a:prstGeom prst="rect">
                      <a:avLst/>
                    </a:prstGeom>
                  </pic:spPr>
                </pic:pic>
              </a:graphicData>
            </a:graphic>
          </wp:inline>
        </w:drawing>
      </w:r>
    </w:p>
    <w:p w:rsidR="007F7677" w:rsidRDefault="007F7677" w:rsidP="00E51A3B">
      <w:pPr>
        <w:rPr>
          <w:b/>
          <w:bCs/>
          <w:highlight w:val="yellow"/>
        </w:rPr>
      </w:pPr>
    </w:p>
    <w:p w:rsidR="00ED3594" w:rsidRDefault="00ED3594" w:rsidP="00ED3594">
      <w:pPr>
        <w:pStyle w:val="Caption"/>
        <w:keepNext/>
      </w:pPr>
      <w:bookmarkStart w:id="341" w:name="_Ref61471739"/>
      <w:r>
        <w:lastRenderedPageBreak/>
        <w:t xml:space="preserve">Figure </w:t>
      </w:r>
      <w:r w:rsidR="003C4A1C">
        <w:rPr>
          <w:noProof/>
        </w:rPr>
        <w:t>47</w:t>
      </w:r>
      <w:bookmarkEnd w:id="341"/>
      <w:r>
        <w:t xml:space="preserve">: </w:t>
      </w:r>
      <w:r w:rsidRPr="003A3644">
        <w:t>PRISMA diagram for the supplemental literature search</w:t>
      </w:r>
    </w:p>
    <w:p w:rsidR="00ED3594" w:rsidRDefault="00ED3594" w:rsidP="00ED3594">
      <w:pPr>
        <w:keepNext/>
      </w:pPr>
      <w:r>
        <w:rPr>
          <w:b/>
          <w:bCs/>
          <w:noProof/>
        </w:rPr>
        <w:drawing>
          <wp:inline distT="0" distB="0" distL="0" distR="0" wp14:anchorId="6C50564F" wp14:editId="767BD3B7">
            <wp:extent cx="5731510" cy="6247765"/>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67">
                      <a:extLst>
                        <a:ext uri="{28A0092B-C50C-407E-A947-70E740481C1C}">
                          <a14:useLocalDpi xmlns:a14="http://schemas.microsoft.com/office/drawing/2010/main" val="0"/>
                        </a:ext>
                      </a:extLst>
                    </a:blip>
                    <a:stretch>
                      <a:fillRect/>
                    </a:stretch>
                  </pic:blipFill>
                  <pic:spPr>
                    <a:xfrm>
                      <a:off x="0" y="0"/>
                      <a:ext cx="5731510" cy="6247765"/>
                    </a:xfrm>
                    <a:prstGeom prst="rect">
                      <a:avLst/>
                    </a:prstGeom>
                  </pic:spPr>
                </pic:pic>
              </a:graphicData>
            </a:graphic>
          </wp:inline>
        </w:drawing>
      </w:r>
    </w:p>
    <w:p w:rsidR="00740045" w:rsidRDefault="00740045" w:rsidP="00E51A3B">
      <w:pPr>
        <w:rPr>
          <w:b/>
          <w:bCs/>
          <w:highlight w:val="yellow"/>
        </w:rPr>
      </w:pPr>
    </w:p>
    <w:p w:rsidR="00472BBD" w:rsidRDefault="00472BBD" w:rsidP="00E51A3B">
      <w:pPr>
        <w:rPr>
          <w:b/>
          <w:bCs/>
          <w:highlight w:val="yellow"/>
        </w:rPr>
        <w:sectPr w:rsidR="00472BBD" w:rsidSect="00294174">
          <w:type w:val="continuous"/>
          <w:pgSz w:w="11906" w:h="16838"/>
          <w:pgMar w:top="1440" w:right="1440" w:bottom="1440" w:left="1440" w:header="708" w:footer="708" w:gutter="0"/>
          <w:cols w:space="708"/>
          <w:titlePg/>
          <w:docGrid w:linePitch="360"/>
        </w:sectPr>
      </w:pPr>
    </w:p>
    <w:p w:rsidR="004952E5" w:rsidRDefault="00D219CE" w:rsidP="00CF4741">
      <w:pPr>
        <w:pStyle w:val="Heading3"/>
        <w:numPr>
          <w:ilvl w:val="0"/>
          <w:numId w:val="0"/>
        </w:numPr>
      </w:pPr>
      <w:bookmarkStart w:id="342" w:name="_Toc72850869"/>
      <w:bookmarkStart w:id="343" w:name="_Toc73525634"/>
      <w:r>
        <w:lastRenderedPageBreak/>
        <w:t>A</w:t>
      </w:r>
      <w:r w:rsidR="00F60F1B">
        <w:t>.</w:t>
      </w:r>
      <w:r w:rsidR="00916CE5">
        <w:t>4</w:t>
      </w:r>
      <w:r w:rsidR="00F60F1B">
        <w:t xml:space="preserve"> </w:t>
      </w:r>
      <w:r w:rsidR="004952E5">
        <w:t xml:space="preserve">Characteristics of </w:t>
      </w:r>
      <w:r w:rsidR="004952E5" w:rsidRPr="00C43A69">
        <w:t xml:space="preserve">Cochrane </w:t>
      </w:r>
      <w:r w:rsidR="004952E5">
        <w:t xml:space="preserve">systematic </w:t>
      </w:r>
      <w:r w:rsidR="004952E5" w:rsidRPr="00C43A69">
        <w:t>reviews</w:t>
      </w:r>
      <w:bookmarkEnd w:id="342"/>
      <w:bookmarkEnd w:id="343"/>
      <w:r w:rsidR="004952E5" w:rsidRPr="00C43A69">
        <w:t xml:space="preserve"> </w:t>
      </w:r>
    </w:p>
    <w:p w:rsidR="002D12B2" w:rsidRDefault="002D12B2" w:rsidP="002D12B2">
      <w:pPr>
        <w:pStyle w:val="Caption"/>
        <w:keepNext/>
      </w:pPr>
      <w:bookmarkStart w:id="344" w:name="_Ref49755288"/>
      <w:r>
        <w:t xml:space="preserve">Table </w:t>
      </w:r>
      <w:r w:rsidR="003C4A1C">
        <w:rPr>
          <w:noProof/>
        </w:rPr>
        <w:t>137</w:t>
      </w:r>
      <w:bookmarkEnd w:id="344"/>
      <w:r>
        <w:t xml:space="preserve">: </w:t>
      </w:r>
      <w:r w:rsidRPr="005B610F">
        <w:t>Characteristics of Cochrane systematic reviews included in qualitative synthesis (n=</w:t>
      </w:r>
      <w:r w:rsidR="00091B34">
        <w:t>1</w:t>
      </w:r>
      <w:r w:rsidR="00C74000">
        <w:t>5</w:t>
      </w:r>
      <w:r w:rsidRPr="005B610F">
        <w:t>)</w:t>
      </w:r>
    </w:p>
    <w:tbl>
      <w:tblPr>
        <w:tblStyle w:val="TableGrid"/>
        <w:tblW w:w="0" w:type="auto"/>
        <w:tblLayout w:type="fixed"/>
        <w:tblLook w:val="04A0" w:firstRow="1" w:lastRow="0" w:firstColumn="1" w:lastColumn="0" w:noHBand="0" w:noVBand="1"/>
      </w:tblPr>
      <w:tblGrid>
        <w:gridCol w:w="421"/>
        <w:gridCol w:w="850"/>
        <w:gridCol w:w="1985"/>
        <w:gridCol w:w="1134"/>
        <w:gridCol w:w="1701"/>
        <w:gridCol w:w="1134"/>
        <w:gridCol w:w="1134"/>
        <w:gridCol w:w="1520"/>
        <w:gridCol w:w="1031"/>
        <w:gridCol w:w="992"/>
        <w:gridCol w:w="1418"/>
      </w:tblGrid>
      <w:tr w:rsidR="00F144E3" w:rsidRPr="001A0D0B" w:rsidTr="00B33FD4">
        <w:trPr>
          <w:tblHeader/>
        </w:trPr>
        <w:tc>
          <w:tcPr>
            <w:tcW w:w="421" w:type="dxa"/>
            <w:vMerge w:val="restart"/>
            <w:shd w:val="clear" w:color="auto" w:fill="BFBFBF" w:themeFill="background1" w:themeFillShade="BF"/>
            <w:noWrap/>
          </w:tcPr>
          <w:p w:rsidR="00F144E3" w:rsidRPr="001A0D0B" w:rsidRDefault="00F144E3" w:rsidP="00CB27AE">
            <w:pPr>
              <w:rPr>
                <w:rFonts w:cs="Calibri"/>
                <w:b/>
                <w:bCs/>
                <w:sz w:val="18"/>
                <w:szCs w:val="18"/>
              </w:rPr>
            </w:pPr>
            <w:r w:rsidRPr="001A0D0B">
              <w:rPr>
                <w:rFonts w:cs="Calibri"/>
                <w:b/>
                <w:bCs/>
                <w:sz w:val="18"/>
                <w:szCs w:val="18"/>
              </w:rPr>
              <w:t>No</w:t>
            </w:r>
          </w:p>
        </w:tc>
        <w:tc>
          <w:tcPr>
            <w:tcW w:w="850" w:type="dxa"/>
            <w:vMerge w:val="restart"/>
            <w:shd w:val="clear" w:color="auto" w:fill="BFBFBF" w:themeFill="background1" w:themeFillShade="BF"/>
            <w:noWrap/>
          </w:tcPr>
          <w:p w:rsidR="00F144E3" w:rsidRPr="001A0D0B" w:rsidRDefault="00F144E3" w:rsidP="00CB27AE">
            <w:pPr>
              <w:rPr>
                <w:rFonts w:cs="Calibri"/>
                <w:b/>
                <w:bCs/>
                <w:sz w:val="18"/>
                <w:szCs w:val="18"/>
              </w:rPr>
            </w:pPr>
            <w:r w:rsidRPr="001A0D0B">
              <w:rPr>
                <w:rFonts w:cs="Calibri"/>
                <w:b/>
                <w:bCs/>
                <w:sz w:val="18"/>
                <w:szCs w:val="18"/>
              </w:rPr>
              <w:t>Author (year)</w:t>
            </w:r>
          </w:p>
        </w:tc>
        <w:tc>
          <w:tcPr>
            <w:tcW w:w="1985" w:type="dxa"/>
            <w:vMerge w:val="restart"/>
            <w:shd w:val="clear" w:color="auto" w:fill="BFBFBF" w:themeFill="background1" w:themeFillShade="BF"/>
            <w:noWrap/>
          </w:tcPr>
          <w:p w:rsidR="00F144E3" w:rsidRPr="001A0D0B" w:rsidRDefault="00F144E3" w:rsidP="00CB27AE">
            <w:pPr>
              <w:ind w:left="360"/>
              <w:jc w:val="center"/>
              <w:rPr>
                <w:rFonts w:cs="Calibri"/>
                <w:b/>
                <w:bCs/>
                <w:sz w:val="18"/>
                <w:szCs w:val="18"/>
              </w:rPr>
            </w:pPr>
            <w:r w:rsidRPr="001A0D0B">
              <w:rPr>
                <w:rFonts w:cs="Calibri"/>
                <w:b/>
                <w:bCs/>
                <w:sz w:val="18"/>
                <w:szCs w:val="18"/>
              </w:rPr>
              <w:t>Aim</w:t>
            </w:r>
          </w:p>
        </w:tc>
        <w:tc>
          <w:tcPr>
            <w:tcW w:w="1134" w:type="dxa"/>
            <w:vMerge w:val="restart"/>
            <w:shd w:val="clear" w:color="auto" w:fill="BFBFBF" w:themeFill="background1" w:themeFillShade="BF"/>
            <w:noWrap/>
          </w:tcPr>
          <w:p w:rsidR="00F144E3" w:rsidRPr="001A0D0B" w:rsidRDefault="00F144E3" w:rsidP="00CB27AE">
            <w:pPr>
              <w:jc w:val="center"/>
              <w:rPr>
                <w:rFonts w:cs="Calibri"/>
                <w:b/>
                <w:bCs/>
                <w:sz w:val="18"/>
                <w:szCs w:val="18"/>
              </w:rPr>
            </w:pPr>
            <w:r w:rsidRPr="001A0D0B">
              <w:rPr>
                <w:rFonts w:cs="Calibri"/>
                <w:b/>
                <w:bCs/>
                <w:sz w:val="18"/>
                <w:szCs w:val="18"/>
              </w:rPr>
              <w:t>Type of studies and participants</w:t>
            </w:r>
          </w:p>
        </w:tc>
        <w:tc>
          <w:tcPr>
            <w:tcW w:w="1701" w:type="dxa"/>
            <w:vMerge w:val="restart"/>
            <w:shd w:val="clear" w:color="auto" w:fill="BFBFBF" w:themeFill="background1" w:themeFillShade="BF"/>
            <w:noWrap/>
          </w:tcPr>
          <w:p w:rsidR="00F144E3" w:rsidRPr="001A0D0B" w:rsidRDefault="00F144E3" w:rsidP="00CB27AE">
            <w:pPr>
              <w:jc w:val="center"/>
              <w:rPr>
                <w:rFonts w:cs="Calibri"/>
                <w:b/>
                <w:bCs/>
                <w:sz w:val="18"/>
                <w:szCs w:val="18"/>
              </w:rPr>
            </w:pPr>
            <w:r w:rsidRPr="001A0D0B">
              <w:rPr>
                <w:rFonts w:cs="Calibri"/>
                <w:b/>
                <w:bCs/>
                <w:sz w:val="18"/>
                <w:szCs w:val="18"/>
              </w:rPr>
              <w:t>Interventions /</w:t>
            </w:r>
          </w:p>
          <w:p w:rsidR="00F144E3" w:rsidRPr="001A0D0B" w:rsidRDefault="00F144E3" w:rsidP="00CB27AE">
            <w:pPr>
              <w:jc w:val="center"/>
              <w:rPr>
                <w:rFonts w:cs="Calibri"/>
                <w:b/>
                <w:bCs/>
                <w:sz w:val="18"/>
                <w:szCs w:val="18"/>
              </w:rPr>
            </w:pPr>
            <w:r w:rsidRPr="001A0D0B">
              <w:rPr>
                <w:rFonts w:cs="Calibri"/>
                <w:b/>
                <w:bCs/>
                <w:sz w:val="18"/>
                <w:szCs w:val="18"/>
              </w:rPr>
              <w:t>comparisons</w:t>
            </w:r>
          </w:p>
        </w:tc>
        <w:tc>
          <w:tcPr>
            <w:tcW w:w="3788" w:type="dxa"/>
            <w:gridSpan w:val="3"/>
            <w:shd w:val="clear" w:color="auto" w:fill="BFBFBF" w:themeFill="background1" w:themeFillShade="BF"/>
            <w:noWrap/>
          </w:tcPr>
          <w:p w:rsidR="00F144E3" w:rsidRPr="001A0D0B" w:rsidRDefault="00F144E3" w:rsidP="00CB27AE">
            <w:pPr>
              <w:jc w:val="center"/>
              <w:rPr>
                <w:rFonts w:cs="Calibri"/>
                <w:b/>
                <w:bCs/>
                <w:sz w:val="18"/>
                <w:szCs w:val="18"/>
              </w:rPr>
            </w:pPr>
            <w:r w:rsidRPr="001A0D0B">
              <w:rPr>
                <w:rFonts w:cs="Calibri"/>
                <w:b/>
                <w:bCs/>
                <w:sz w:val="18"/>
                <w:szCs w:val="18"/>
              </w:rPr>
              <w:t>Types of outcome measures</w:t>
            </w:r>
          </w:p>
        </w:tc>
        <w:tc>
          <w:tcPr>
            <w:tcW w:w="1031" w:type="dxa"/>
            <w:vMerge w:val="restart"/>
            <w:shd w:val="clear" w:color="auto" w:fill="BFBFBF" w:themeFill="background1" w:themeFillShade="BF"/>
            <w:noWrap/>
          </w:tcPr>
          <w:p w:rsidR="00F144E3" w:rsidRPr="001A0D0B" w:rsidRDefault="00F144E3" w:rsidP="00CB27AE">
            <w:pPr>
              <w:jc w:val="center"/>
              <w:rPr>
                <w:rFonts w:cs="Calibri"/>
                <w:b/>
                <w:bCs/>
                <w:sz w:val="18"/>
                <w:szCs w:val="18"/>
              </w:rPr>
            </w:pPr>
            <w:r w:rsidRPr="001A0D0B">
              <w:rPr>
                <w:rFonts w:cs="Calibri"/>
                <w:b/>
                <w:bCs/>
                <w:sz w:val="18"/>
                <w:szCs w:val="18"/>
              </w:rPr>
              <w:t>Analysis</w:t>
            </w:r>
          </w:p>
        </w:tc>
        <w:tc>
          <w:tcPr>
            <w:tcW w:w="992" w:type="dxa"/>
            <w:vMerge w:val="restart"/>
            <w:shd w:val="clear" w:color="auto" w:fill="BFBFBF" w:themeFill="background1" w:themeFillShade="BF"/>
            <w:noWrap/>
          </w:tcPr>
          <w:p w:rsidR="00F144E3" w:rsidRPr="001A0D0B" w:rsidRDefault="00F144E3" w:rsidP="00CB27AE">
            <w:pPr>
              <w:jc w:val="center"/>
              <w:rPr>
                <w:rFonts w:cs="Calibri"/>
                <w:b/>
                <w:bCs/>
                <w:sz w:val="18"/>
                <w:szCs w:val="18"/>
              </w:rPr>
            </w:pPr>
            <w:r w:rsidRPr="001A0D0B">
              <w:rPr>
                <w:rFonts w:cs="Calibri"/>
                <w:b/>
                <w:bCs/>
                <w:sz w:val="18"/>
                <w:szCs w:val="18"/>
              </w:rPr>
              <w:t>Number studies</w:t>
            </w:r>
          </w:p>
        </w:tc>
        <w:tc>
          <w:tcPr>
            <w:tcW w:w="1418" w:type="dxa"/>
            <w:vMerge w:val="restart"/>
            <w:shd w:val="clear" w:color="auto" w:fill="BFBFBF" w:themeFill="background1" w:themeFillShade="BF"/>
            <w:noWrap/>
          </w:tcPr>
          <w:p w:rsidR="00F144E3" w:rsidRPr="001A0D0B" w:rsidRDefault="00F144E3" w:rsidP="00CB27AE">
            <w:pPr>
              <w:jc w:val="center"/>
              <w:rPr>
                <w:rFonts w:cs="Calibri"/>
                <w:b/>
                <w:bCs/>
                <w:sz w:val="18"/>
                <w:szCs w:val="18"/>
              </w:rPr>
            </w:pPr>
            <w:r w:rsidRPr="001A0D0B">
              <w:rPr>
                <w:rFonts w:cs="Calibri"/>
                <w:b/>
                <w:bCs/>
                <w:sz w:val="18"/>
                <w:szCs w:val="18"/>
              </w:rPr>
              <w:t>Total participants (n)</w:t>
            </w:r>
          </w:p>
        </w:tc>
      </w:tr>
      <w:tr w:rsidR="00B33FD4" w:rsidRPr="001A0D0B" w:rsidTr="00B33FD4">
        <w:trPr>
          <w:tblHeader/>
        </w:trPr>
        <w:tc>
          <w:tcPr>
            <w:tcW w:w="421" w:type="dxa"/>
            <w:vMerge/>
            <w:shd w:val="clear" w:color="auto" w:fill="BFBFBF" w:themeFill="background1" w:themeFillShade="BF"/>
            <w:noWrap/>
          </w:tcPr>
          <w:p w:rsidR="00F144E3" w:rsidRPr="001A0D0B" w:rsidRDefault="00F144E3" w:rsidP="00CB27AE">
            <w:pPr>
              <w:rPr>
                <w:rFonts w:cs="Calibri"/>
                <w:b/>
                <w:bCs/>
                <w:sz w:val="18"/>
                <w:szCs w:val="18"/>
              </w:rPr>
            </w:pPr>
          </w:p>
        </w:tc>
        <w:tc>
          <w:tcPr>
            <w:tcW w:w="850" w:type="dxa"/>
            <w:vMerge/>
            <w:shd w:val="clear" w:color="auto" w:fill="BFBFBF" w:themeFill="background1" w:themeFillShade="BF"/>
            <w:noWrap/>
          </w:tcPr>
          <w:p w:rsidR="00F144E3" w:rsidRPr="001A0D0B" w:rsidRDefault="00F144E3" w:rsidP="00CB27AE">
            <w:pPr>
              <w:rPr>
                <w:rFonts w:cs="Calibri"/>
                <w:b/>
                <w:bCs/>
                <w:sz w:val="18"/>
                <w:szCs w:val="18"/>
              </w:rPr>
            </w:pPr>
          </w:p>
        </w:tc>
        <w:tc>
          <w:tcPr>
            <w:tcW w:w="1985" w:type="dxa"/>
            <w:vMerge/>
            <w:shd w:val="clear" w:color="auto" w:fill="BFBFBF" w:themeFill="background1" w:themeFillShade="BF"/>
            <w:noWrap/>
          </w:tcPr>
          <w:p w:rsidR="00F144E3" w:rsidRPr="001A0D0B" w:rsidRDefault="00F144E3" w:rsidP="00CB27AE">
            <w:pPr>
              <w:ind w:left="360"/>
              <w:jc w:val="center"/>
              <w:rPr>
                <w:rFonts w:cs="Calibri"/>
                <w:b/>
                <w:bCs/>
                <w:sz w:val="18"/>
                <w:szCs w:val="18"/>
              </w:rPr>
            </w:pPr>
          </w:p>
        </w:tc>
        <w:tc>
          <w:tcPr>
            <w:tcW w:w="1134" w:type="dxa"/>
            <w:vMerge/>
            <w:shd w:val="clear" w:color="auto" w:fill="BFBFBF" w:themeFill="background1" w:themeFillShade="BF"/>
            <w:noWrap/>
          </w:tcPr>
          <w:p w:rsidR="00F144E3" w:rsidRPr="001A0D0B" w:rsidRDefault="00F144E3" w:rsidP="00CB27AE">
            <w:pPr>
              <w:jc w:val="center"/>
              <w:rPr>
                <w:rFonts w:cs="Calibri"/>
                <w:b/>
                <w:bCs/>
                <w:sz w:val="18"/>
                <w:szCs w:val="18"/>
              </w:rPr>
            </w:pPr>
          </w:p>
        </w:tc>
        <w:tc>
          <w:tcPr>
            <w:tcW w:w="1701" w:type="dxa"/>
            <w:vMerge/>
            <w:shd w:val="clear" w:color="auto" w:fill="BFBFBF" w:themeFill="background1" w:themeFillShade="BF"/>
            <w:noWrap/>
          </w:tcPr>
          <w:p w:rsidR="00F144E3" w:rsidRPr="001A0D0B" w:rsidRDefault="00F144E3" w:rsidP="00CB27AE">
            <w:pPr>
              <w:jc w:val="center"/>
              <w:rPr>
                <w:rFonts w:cs="Calibri"/>
                <w:b/>
                <w:bCs/>
                <w:sz w:val="18"/>
                <w:szCs w:val="18"/>
              </w:rPr>
            </w:pPr>
          </w:p>
        </w:tc>
        <w:tc>
          <w:tcPr>
            <w:tcW w:w="1134" w:type="dxa"/>
            <w:shd w:val="clear" w:color="auto" w:fill="BFBFBF" w:themeFill="background1" w:themeFillShade="BF"/>
            <w:noWrap/>
          </w:tcPr>
          <w:p w:rsidR="00F144E3" w:rsidRPr="001A0D0B" w:rsidRDefault="00F144E3" w:rsidP="00CB27AE">
            <w:pPr>
              <w:jc w:val="center"/>
              <w:rPr>
                <w:rFonts w:cs="Calibri"/>
                <w:b/>
                <w:bCs/>
                <w:sz w:val="18"/>
                <w:szCs w:val="18"/>
              </w:rPr>
            </w:pPr>
            <w:r w:rsidRPr="001A0D0B">
              <w:rPr>
                <w:rFonts w:cs="Calibri"/>
                <w:b/>
                <w:bCs/>
                <w:sz w:val="18"/>
                <w:szCs w:val="18"/>
              </w:rPr>
              <w:t>Primary outcomes</w:t>
            </w:r>
          </w:p>
        </w:tc>
        <w:tc>
          <w:tcPr>
            <w:tcW w:w="1134" w:type="dxa"/>
            <w:shd w:val="clear" w:color="auto" w:fill="BFBFBF" w:themeFill="background1" w:themeFillShade="BF"/>
            <w:noWrap/>
          </w:tcPr>
          <w:p w:rsidR="00F144E3" w:rsidRPr="001A0D0B" w:rsidRDefault="00F144E3" w:rsidP="00CB27AE">
            <w:pPr>
              <w:jc w:val="center"/>
              <w:rPr>
                <w:rFonts w:cs="Calibri"/>
                <w:b/>
                <w:bCs/>
                <w:sz w:val="18"/>
                <w:szCs w:val="18"/>
              </w:rPr>
            </w:pPr>
            <w:r w:rsidRPr="001A0D0B">
              <w:rPr>
                <w:rFonts w:cs="Calibri"/>
                <w:b/>
                <w:bCs/>
                <w:sz w:val="18"/>
                <w:szCs w:val="18"/>
              </w:rPr>
              <w:t>Secondary outcomes</w:t>
            </w:r>
          </w:p>
        </w:tc>
        <w:tc>
          <w:tcPr>
            <w:tcW w:w="1520" w:type="dxa"/>
            <w:shd w:val="clear" w:color="auto" w:fill="BFBFBF" w:themeFill="background1" w:themeFillShade="BF"/>
            <w:noWrap/>
          </w:tcPr>
          <w:p w:rsidR="00F144E3" w:rsidRPr="001A0D0B" w:rsidRDefault="00F144E3" w:rsidP="00CB27AE">
            <w:pPr>
              <w:jc w:val="center"/>
              <w:rPr>
                <w:rFonts w:cs="Calibri"/>
                <w:b/>
                <w:bCs/>
                <w:sz w:val="18"/>
                <w:szCs w:val="18"/>
              </w:rPr>
            </w:pPr>
            <w:r w:rsidRPr="001A0D0B">
              <w:rPr>
                <w:rFonts w:cs="Calibri"/>
                <w:b/>
                <w:bCs/>
                <w:sz w:val="18"/>
                <w:szCs w:val="18"/>
              </w:rPr>
              <w:t>Harmful outcomes</w:t>
            </w:r>
          </w:p>
        </w:tc>
        <w:tc>
          <w:tcPr>
            <w:tcW w:w="1031" w:type="dxa"/>
            <w:vMerge/>
            <w:shd w:val="clear" w:color="auto" w:fill="BFBFBF" w:themeFill="background1" w:themeFillShade="BF"/>
            <w:noWrap/>
          </w:tcPr>
          <w:p w:rsidR="00F144E3" w:rsidRPr="001A0D0B" w:rsidRDefault="00F144E3" w:rsidP="00CB27AE">
            <w:pPr>
              <w:jc w:val="center"/>
              <w:rPr>
                <w:rFonts w:cs="Calibri"/>
                <w:b/>
                <w:bCs/>
                <w:sz w:val="18"/>
                <w:szCs w:val="18"/>
              </w:rPr>
            </w:pPr>
          </w:p>
        </w:tc>
        <w:tc>
          <w:tcPr>
            <w:tcW w:w="992" w:type="dxa"/>
            <w:vMerge/>
            <w:shd w:val="clear" w:color="auto" w:fill="BFBFBF" w:themeFill="background1" w:themeFillShade="BF"/>
            <w:noWrap/>
          </w:tcPr>
          <w:p w:rsidR="00F144E3" w:rsidRPr="001A0D0B" w:rsidRDefault="00F144E3" w:rsidP="00CB27AE">
            <w:pPr>
              <w:jc w:val="center"/>
              <w:rPr>
                <w:rFonts w:cs="Calibri"/>
                <w:b/>
                <w:bCs/>
                <w:sz w:val="18"/>
                <w:szCs w:val="18"/>
              </w:rPr>
            </w:pPr>
          </w:p>
        </w:tc>
        <w:tc>
          <w:tcPr>
            <w:tcW w:w="1418" w:type="dxa"/>
            <w:vMerge/>
            <w:shd w:val="clear" w:color="auto" w:fill="BFBFBF" w:themeFill="background1" w:themeFillShade="BF"/>
            <w:noWrap/>
          </w:tcPr>
          <w:p w:rsidR="00F144E3" w:rsidRPr="001A0D0B" w:rsidRDefault="00F144E3" w:rsidP="00CB27AE">
            <w:pPr>
              <w:jc w:val="center"/>
              <w:rPr>
                <w:rFonts w:cs="Calibri"/>
                <w:b/>
                <w:bCs/>
                <w:sz w:val="18"/>
                <w:szCs w:val="18"/>
              </w:rPr>
            </w:pPr>
          </w:p>
        </w:tc>
      </w:tr>
      <w:tr w:rsidR="00F144E3" w:rsidRPr="001A0D0B" w:rsidTr="00B33FD4">
        <w:tc>
          <w:tcPr>
            <w:tcW w:w="421" w:type="dxa"/>
            <w:noWrap/>
          </w:tcPr>
          <w:p w:rsidR="00F144E3" w:rsidRPr="001A0D0B" w:rsidRDefault="00F144E3" w:rsidP="00C324F3">
            <w:pPr>
              <w:numPr>
                <w:ilvl w:val="0"/>
                <w:numId w:val="6"/>
              </w:numPr>
              <w:rPr>
                <w:rFonts w:cs="Calibri"/>
                <w:sz w:val="18"/>
                <w:szCs w:val="18"/>
              </w:rPr>
            </w:pPr>
          </w:p>
        </w:tc>
        <w:tc>
          <w:tcPr>
            <w:tcW w:w="850" w:type="dxa"/>
            <w:noWrap/>
          </w:tcPr>
          <w:p w:rsidR="00F144E3" w:rsidRPr="001A0D0B" w:rsidRDefault="00F144E3" w:rsidP="00CB27AE">
            <w:pPr>
              <w:rPr>
                <w:rFonts w:cs="Calibri"/>
                <w:sz w:val="18"/>
                <w:szCs w:val="18"/>
              </w:rPr>
            </w:pPr>
            <w:r w:rsidRPr="001A0D0B">
              <w:rPr>
                <w:rFonts w:cs="Calibri"/>
                <w:sz w:val="18"/>
                <w:szCs w:val="18"/>
              </w:rPr>
              <w:t>Howes 2020</w:t>
            </w:r>
          </w:p>
        </w:tc>
        <w:tc>
          <w:tcPr>
            <w:tcW w:w="1985" w:type="dxa"/>
            <w:noWrap/>
          </w:tcPr>
          <w:p w:rsidR="00F144E3" w:rsidRPr="001A0D0B" w:rsidRDefault="00F144E3" w:rsidP="00CB27AE">
            <w:pPr>
              <w:rPr>
                <w:rFonts w:cs="Calibri"/>
                <w:sz w:val="18"/>
                <w:szCs w:val="18"/>
              </w:rPr>
            </w:pPr>
            <w:r w:rsidRPr="001A0D0B">
              <w:rPr>
                <w:rFonts w:cs="Calibri"/>
                <w:sz w:val="18"/>
                <w:szCs w:val="18"/>
              </w:rPr>
              <w:t>To assess the efficacy, safety and tolerability of medications with antidepressant properties in assisting long-term tobacco smoking cessation in people who smoke cigarettes</w:t>
            </w:r>
          </w:p>
        </w:tc>
        <w:tc>
          <w:tcPr>
            <w:tcW w:w="1134" w:type="dxa"/>
            <w:noWrap/>
          </w:tcPr>
          <w:p w:rsidR="00F144E3" w:rsidRPr="001A0D0B" w:rsidRDefault="00F144E3" w:rsidP="00CB27AE">
            <w:pPr>
              <w:rPr>
                <w:rFonts w:cs="Calibri"/>
                <w:sz w:val="18"/>
                <w:szCs w:val="18"/>
              </w:rPr>
            </w:pPr>
            <w:r w:rsidRPr="001A0D0B">
              <w:rPr>
                <w:rFonts w:cs="Calibri"/>
                <w:sz w:val="18"/>
                <w:szCs w:val="18"/>
              </w:rPr>
              <w:t>RCTs and cluster-RCTs</w:t>
            </w:r>
          </w:p>
          <w:p w:rsidR="00F144E3" w:rsidRPr="001A0D0B" w:rsidRDefault="00F144E3" w:rsidP="00CB27AE">
            <w:pPr>
              <w:rPr>
                <w:rFonts w:cs="Calibri"/>
                <w:sz w:val="18"/>
                <w:szCs w:val="18"/>
              </w:rPr>
            </w:pPr>
            <w:r w:rsidRPr="001A0D0B">
              <w:rPr>
                <w:rFonts w:cs="Calibri"/>
                <w:sz w:val="18"/>
                <w:szCs w:val="18"/>
              </w:rPr>
              <w:t>Tobacco smokers</w:t>
            </w:r>
          </w:p>
        </w:tc>
        <w:tc>
          <w:tcPr>
            <w:tcW w:w="1701" w:type="dxa"/>
            <w:noWrap/>
          </w:tcPr>
          <w:p w:rsidR="00F144E3" w:rsidRPr="001A0D0B" w:rsidRDefault="00F144E3" w:rsidP="00CB27AE">
            <w:pPr>
              <w:rPr>
                <w:rFonts w:cs="Calibri"/>
                <w:sz w:val="18"/>
                <w:szCs w:val="18"/>
              </w:rPr>
            </w:pPr>
            <w:r w:rsidRPr="001A0D0B">
              <w:rPr>
                <w:rFonts w:cs="Calibri"/>
                <w:sz w:val="18"/>
                <w:szCs w:val="18"/>
              </w:rPr>
              <w:t>Pharmacotherapies with antidepressant, behavioural strategies</w:t>
            </w:r>
          </w:p>
          <w:p w:rsidR="00F144E3" w:rsidRPr="001A0D0B" w:rsidRDefault="00F144E3" w:rsidP="00CB27AE">
            <w:pPr>
              <w:rPr>
                <w:rFonts w:cs="Calibri"/>
                <w:sz w:val="18"/>
                <w:szCs w:val="18"/>
              </w:rPr>
            </w:pPr>
          </w:p>
          <w:p w:rsidR="00F144E3" w:rsidRPr="001A0D0B" w:rsidRDefault="00F144E3" w:rsidP="00CB27AE">
            <w:pPr>
              <w:rPr>
                <w:rFonts w:cs="Calibri"/>
                <w:sz w:val="18"/>
                <w:szCs w:val="18"/>
              </w:rPr>
            </w:pPr>
            <w:r w:rsidRPr="001A0D0B">
              <w:rPr>
                <w:rFonts w:cs="Calibri"/>
                <w:sz w:val="18"/>
                <w:szCs w:val="18"/>
              </w:rPr>
              <w:t>Placebo, no pharmacotherapy, alternative therapeutic control, or different dosages.</w:t>
            </w:r>
          </w:p>
        </w:tc>
        <w:tc>
          <w:tcPr>
            <w:tcW w:w="1134" w:type="dxa"/>
            <w:noWrap/>
          </w:tcPr>
          <w:p w:rsidR="00F144E3" w:rsidRPr="001A0D0B" w:rsidRDefault="00F144E3" w:rsidP="00CB27AE">
            <w:pPr>
              <w:rPr>
                <w:rFonts w:cs="Calibri"/>
                <w:sz w:val="18"/>
                <w:szCs w:val="18"/>
              </w:rPr>
            </w:pPr>
            <w:r w:rsidRPr="001A0D0B">
              <w:rPr>
                <w:rFonts w:cs="Calibri"/>
                <w:sz w:val="18"/>
                <w:szCs w:val="18"/>
              </w:rPr>
              <w:t>Smoking cessation rates at least six months after baseline</w:t>
            </w:r>
          </w:p>
        </w:tc>
        <w:tc>
          <w:tcPr>
            <w:tcW w:w="1134" w:type="dxa"/>
            <w:noWrap/>
          </w:tcPr>
          <w:p w:rsidR="00F144E3" w:rsidRPr="001A0D0B" w:rsidRDefault="00F144E3" w:rsidP="00CB27AE">
            <w:pPr>
              <w:rPr>
                <w:rFonts w:cs="Calibri"/>
                <w:sz w:val="18"/>
                <w:szCs w:val="18"/>
              </w:rPr>
            </w:pPr>
            <w:r w:rsidRPr="001A0D0B">
              <w:rPr>
                <w:rFonts w:cs="Calibri"/>
                <w:sz w:val="18"/>
                <w:szCs w:val="18"/>
              </w:rPr>
              <w:t>N/A</w:t>
            </w:r>
          </w:p>
        </w:tc>
        <w:tc>
          <w:tcPr>
            <w:tcW w:w="1520" w:type="dxa"/>
            <w:noWrap/>
          </w:tcPr>
          <w:p w:rsidR="00F144E3" w:rsidRPr="001A0D0B" w:rsidRDefault="00F144E3" w:rsidP="00CB27AE">
            <w:pPr>
              <w:rPr>
                <w:rFonts w:cs="Calibri"/>
                <w:sz w:val="18"/>
                <w:szCs w:val="18"/>
              </w:rPr>
            </w:pPr>
            <w:r w:rsidRPr="001A0D0B">
              <w:rPr>
                <w:rFonts w:cs="Calibri"/>
                <w:sz w:val="18"/>
                <w:szCs w:val="18"/>
              </w:rPr>
              <w:t>Adverse events (AEs) of any severity</w:t>
            </w:r>
          </w:p>
          <w:p w:rsidR="00F144E3" w:rsidRPr="001A0D0B" w:rsidRDefault="00F144E3" w:rsidP="00CB27AE">
            <w:pPr>
              <w:rPr>
                <w:rFonts w:cs="Calibri"/>
                <w:sz w:val="18"/>
                <w:szCs w:val="18"/>
              </w:rPr>
            </w:pPr>
            <w:r w:rsidRPr="001A0D0B">
              <w:rPr>
                <w:rFonts w:cs="Calibri"/>
                <w:sz w:val="18"/>
                <w:szCs w:val="18"/>
              </w:rPr>
              <w:t>Psychiatric AEs</w:t>
            </w:r>
          </w:p>
          <w:p w:rsidR="00F144E3" w:rsidRPr="001A0D0B" w:rsidRDefault="00F144E3" w:rsidP="00CB27AE">
            <w:pPr>
              <w:rPr>
                <w:rFonts w:cs="Calibri"/>
                <w:sz w:val="18"/>
                <w:szCs w:val="18"/>
              </w:rPr>
            </w:pPr>
            <w:r w:rsidRPr="001A0D0B">
              <w:rPr>
                <w:rFonts w:cs="Calibri"/>
                <w:sz w:val="18"/>
                <w:szCs w:val="18"/>
              </w:rPr>
              <w:t>Serious adverse events (SAEs)</w:t>
            </w:r>
          </w:p>
        </w:tc>
        <w:tc>
          <w:tcPr>
            <w:tcW w:w="1031" w:type="dxa"/>
            <w:noWrap/>
          </w:tcPr>
          <w:p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rsidR="00F144E3" w:rsidRPr="001A0D0B" w:rsidRDefault="00F144E3" w:rsidP="00CB27AE">
            <w:pPr>
              <w:jc w:val="center"/>
              <w:rPr>
                <w:rFonts w:cs="Calibri"/>
                <w:sz w:val="18"/>
                <w:szCs w:val="18"/>
              </w:rPr>
            </w:pPr>
            <w:r w:rsidRPr="001A0D0B">
              <w:rPr>
                <w:rFonts w:cs="Calibri"/>
                <w:sz w:val="18"/>
                <w:szCs w:val="18"/>
              </w:rPr>
              <w:t>115</w:t>
            </w:r>
          </w:p>
        </w:tc>
        <w:tc>
          <w:tcPr>
            <w:tcW w:w="1418" w:type="dxa"/>
            <w:noWrap/>
          </w:tcPr>
          <w:p w:rsidR="00F144E3" w:rsidRPr="001A0D0B" w:rsidRDefault="00F144E3" w:rsidP="00CB27AE">
            <w:pPr>
              <w:rPr>
                <w:rFonts w:cs="Calibri"/>
                <w:sz w:val="18"/>
                <w:szCs w:val="18"/>
              </w:rPr>
            </w:pPr>
            <w:r w:rsidRPr="001A0D0B">
              <w:rPr>
                <w:rFonts w:cs="Calibri"/>
                <w:sz w:val="18"/>
                <w:szCs w:val="18"/>
              </w:rPr>
              <w:t>BUP v</w:t>
            </w:r>
            <w:r w:rsidR="002436C7">
              <w:rPr>
                <w:rFonts w:cs="Calibri"/>
                <w:sz w:val="18"/>
                <w:szCs w:val="18"/>
              </w:rPr>
              <w:t>ersus</w:t>
            </w:r>
            <w:r w:rsidRPr="001A0D0B">
              <w:rPr>
                <w:rFonts w:cs="Calibri"/>
                <w:sz w:val="18"/>
                <w:szCs w:val="18"/>
              </w:rPr>
              <w:t xml:space="preserve"> PBO = 40,831;</w:t>
            </w:r>
          </w:p>
          <w:p w:rsidR="00F144E3" w:rsidRPr="001A0D0B" w:rsidRDefault="00F144E3" w:rsidP="00CB27AE">
            <w:pPr>
              <w:rPr>
                <w:rFonts w:cs="Calibri"/>
                <w:sz w:val="18"/>
                <w:szCs w:val="18"/>
              </w:rPr>
            </w:pPr>
            <w:r w:rsidRPr="001A0D0B">
              <w:rPr>
                <w:rFonts w:cs="Calibri"/>
                <w:sz w:val="18"/>
                <w:szCs w:val="18"/>
              </w:rPr>
              <w:t>BUP + NRT v</w:t>
            </w:r>
            <w:r w:rsidR="002436C7">
              <w:rPr>
                <w:rFonts w:cs="Calibri"/>
                <w:sz w:val="18"/>
                <w:szCs w:val="18"/>
              </w:rPr>
              <w:t>e</w:t>
            </w:r>
            <w:r w:rsidR="00A86D76">
              <w:rPr>
                <w:rFonts w:cs="Calibri"/>
                <w:sz w:val="18"/>
                <w:szCs w:val="18"/>
              </w:rPr>
              <w:t>rsus</w:t>
            </w:r>
            <w:r w:rsidRPr="001A0D0B">
              <w:rPr>
                <w:rFonts w:cs="Calibri"/>
                <w:sz w:val="18"/>
                <w:szCs w:val="18"/>
              </w:rPr>
              <w:t xml:space="preserve"> NRT = 4,632;</w:t>
            </w:r>
          </w:p>
          <w:p w:rsidR="00F144E3" w:rsidRPr="001A0D0B" w:rsidRDefault="00F144E3" w:rsidP="00CB27AE">
            <w:pPr>
              <w:rPr>
                <w:rFonts w:cs="Calibri"/>
                <w:sz w:val="18"/>
                <w:szCs w:val="18"/>
              </w:rPr>
            </w:pPr>
            <w:r w:rsidRPr="001A0D0B">
              <w:rPr>
                <w:rFonts w:cs="Calibri"/>
                <w:sz w:val="18"/>
                <w:szCs w:val="18"/>
              </w:rPr>
              <w:t>BUP + VAR v</w:t>
            </w:r>
            <w:r w:rsidR="00C07E81">
              <w:rPr>
                <w:rFonts w:cs="Calibri"/>
                <w:sz w:val="18"/>
                <w:szCs w:val="18"/>
              </w:rPr>
              <w:t>ersus</w:t>
            </w:r>
            <w:r w:rsidRPr="001A0D0B">
              <w:rPr>
                <w:rFonts w:cs="Calibri"/>
                <w:sz w:val="18"/>
                <w:szCs w:val="18"/>
              </w:rPr>
              <w:t xml:space="preserve"> VAR = 3,381</w:t>
            </w:r>
          </w:p>
        </w:tc>
      </w:tr>
      <w:tr w:rsidR="00F144E3" w:rsidRPr="001A0D0B" w:rsidTr="00B33FD4">
        <w:tc>
          <w:tcPr>
            <w:tcW w:w="421" w:type="dxa"/>
            <w:noWrap/>
          </w:tcPr>
          <w:p w:rsidR="00F144E3" w:rsidRPr="001A0D0B" w:rsidRDefault="00F144E3" w:rsidP="00C324F3">
            <w:pPr>
              <w:numPr>
                <w:ilvl w:val="0"/>
                <w:numId w:val="6"/>
              </w:numPr>
              <w:rPr>
                <w:rFonts w:cs="Calibri"/>
                <w:sz w:val="18"/>
                <w:szCs w:val="18"/>
              </w:rPr>
            </w:pPr>
          </w:p>
        </w:tc>
        <w:tc>
          <w:tcPr>
            <w:tcW w:w="850" w:type="dxa"/>
            <w:noWrap/>
          </w:tcPr>
          <w:p w:rsidR="00F144E3" w:rsidRPr="001A0D0B" w:rsidRDefault="00F144E3" w:rsidP="00CB27AE">
            <w:pPr>
              <w:rPr>
                <w:rFonts w:cs="Calibri"/>
                <w:sz w:val="18"/>
                <w:szCs w:val="18"/>
              </w:rPr>
            </w:pPr>
            <w:r w:rsidRPr="001A0D0B">
              <w:rPr>
                <w:rFonts w:cs="Calibri"/>
                <w:sz w:val="18"/>
                <w:szCs w:val="18"/>
              </w:rPr>
              <w:t>Claire 2020</w:t>
            </w:r>
          </w:p>
        </w:tc>
        <w:tc>
          <w:tcPr>
            <w:tcW w:w="1985" w:type="dxa"/>
            <w:noWrap/>
          </w:tcPr>
          <w:p w:rsidR="00F144E3" w:rsidRPr="001A0D0B" w:rsidRDefault="00F144E3" w:rsidP="00CB27AE">
            <w:pPr>
              <w:rPr>
                <w:rFonts w:cs="Calibri"/>
                <w:sz w:val="18"/>
                <w:szCs w:val="18"/>
              </w:rPr>
            </w:pPr>
            <w:r w:rsidRPr="001A0D0B">
              <w:rPr>
                <w:rFonts w:cs="Calibri"/>
                <w:sz w:val="18"/>
                <w:szCs w:val="18"/>
              </w:rPr>
              <w:t>Determine the efficacy and safety of smoking cessation pharmacotherapies and ECs used during pregnancy for smoking cessation in later pregnancy and after childbirth. Determine adherence to smoking cessation pharmacotherapies and ECs for smoking cessation during pregnancy</w:t>
            </w:r>
          </w:p>
        </w:tc>
        <w:tc>
          <w:tcPr>
            <w:tcW w:w="1134" w:type="dxa"/>
            <w:noWrap/>
          </w:tcPr>
          <w:p w:rsidR="00F144E3" w:rsidRPr="001A0D0B" w:rsidRDefault="00F144E3" w:rsidP="00CB27AE">
            <w:pPr>
              <w:rPr>
                <w:rFonts w:cs="Calibri"/>
                <w:sz w:val="18"/>
                <w:szCs w:val="18"/>
              </w:rPr>
            </w:pPr>
            <w:r w:rsidRPr="001A0D0B">
              <w:rPr>
                <w:rFonts w:cs="Calibri"/>
                <w:sz w:val="18"/>
                <w:szCs w:val="18"/>
              </w:rPr>
              <w:t>Parallel- or cluster-RCTs</w:t>
            </w:r>
          </w:p>
          <w:p w:rsidR="00F144E3" w:rsidRPr="001A0D0B" w:rsidRDefault="00F144E3" w:rsidP="00CB27AE">
            <w:pPr>
              <w:rPr>
                <w:rFonts w:cs="Calibri"/>
                <w:sz w:val="18"/>
                <w:szCs w:val="18"/>
              </w:rPr>
            </w:pPr>
            <w:r w:rsidRPr="001A0D0B">
              <w:rPr>
                <w:rFonts w:cs="Calibri"/>
                <w:sz w:val="18"/>
                <w:szCs w:val="18"/>
              </w:rPr>
              <w:t>Pregnant smokers</w:t>
            </w:r>
          </w:p>
        </w:tc>
        <w:tc>
          <w:tcPr>
            <w:tcW w:w="1701" w:type="dxa"/>
            <w:noWrap/>
          </w:tcPr>
          <w:p w:rsidR="00F144E3" w:rsidRPr="001A0D0B" w:rsidRDefault="00F144E3" w:rsidP="00CB27AE">
            <w:pPr>
              <w:rPr>
                <w:rFonts w:cs="Calibri"/>
                <w:sz w:val="18"/>
                <w:szCs w:val="18"/>
              </w:rPr>
            </w:pPr>
            <w:r w:rsidRPr="001A0D0B">
              <w:rPr>
                <w:rFonts w:cs="Calibri"/>
                <w:sz w:val="18"/>
                <w:szCs w:val="18"/>
              </w:rPr>
              <w:t>NRT and BUP</w:t>
            </w:r>
          </w:p>
          <w:p w:rsidR="00F144E3" w:rsidRPr="001A0D0B" w:rsidRDefault="00F144E3" w:rsidP="00CB27AE">
            <w:pPr>
              <w:rPr>
                <w:rFonts w:cs="Calibri"/>
                <w:sz w:val="18"/>
                <w:szCs w:val="18"/>
              </w:rPr>
            </w:pPr>
          </w:p>
          <w:p w:rsidR="00F144E3" w:rsidRPr="001A0D0B" w:rsidRDefault="00F144E3" w:rsidP="00CB27AE">
            <w:pPr>
              <w:rPr>
                <w:rFonts w:cs="Calibri"/>
                <w:sz w:val="18"/>
                <w:szCs w:val="18"/>
              </w:rPr>
            </w:pPr>
            <w:r w:rsidRPr="001A0D0B">
              <w:rPr>
                <w:rFonts w:cs="Calibri"/>
                <w:sz w:val="18"/>
                <w:szCs w:val="18"/>
              </w:rPr>
              <w:t>Placebo, no smoking, other pharmacotherapy</w:t>
            </w:r>
          </w:p>
        </w:tc>
        <w:tc>
          <w:tcPr>
            <w:tcW w:w="1134" w:type="dxa"/>
            <w:noWrap/>
          </w:tcPr>
          <w:p w:rsidR="00F144E3" w:rsidRPr="001A0D0B" w:rsidRDefault="00F144E3" w:rsidP="00CB27AE">
            <w:pPr>
              <w:rPr>
                <w:rFonts w:cs="Calibri"/>
                <w:sz w:val="18"/>
                <w:szCs w:val="18"/>
              </w:rPr>
            </w:pPr>
            <w:r w:rsidRPr="001A0D0B">
              <w:rPr>
                <w:rFonts w:cs="Calibri"/>
                <w:sz w:val="18"/>
                <w:szCs w:val="18"/>
              </w:rPr>
              <w:t>Prolonged or continuous abstinence measures</w:t>
            </w:r>
          </w:p>
        </w:tc>
        <w:tc>
          <w:tcPr>
            <w:tcW w:w="1134" w:type="dxa"/>
            <w:noWrap/>
          </w:tcPr>
          <w:p w:rsidR="00F144E3" w:rsidRPr="001A0D0B" w:rsidRDefault="00F144E3" w:rsidP="00CB27AE">
            <w:pPr>
              <w:rPr>
                <w:rFonts w:cs="Calibri"/>
                <w:sz w:val="18"/>
                <w:szCs w:val="18"/>
              </w:rPr>
            </w:pPr>
            <w:r w:rsidRPr="001A0D0B">
              <w:rPr>
                <w:rFonts w:cs="Calibri"/>
                <w:sz w:val="18"/>
                <w:szCs w:val="18"/>
              </w:rPr>
              <w:t>N/A</w:t>
            </w:r>
          </w:p>
        </w:tc>
        <w:tc>
          <w:tcPr>
            <w:tcW w:w="1520" w:type="dxa"/>
            <w:noWrap/>
          </w:tcPr>
          <w:p w:rsidR="00F144E3" w:rsidRPr="001A0D0B" w:rsidRDefault="00F144E3" w:rsidP="00CB27AE">
            <w:pPr>
              <w:rPr>
                <w:rFonts w:cs="Calibri"/>
                <w:sz w:val="18"/>
                <w:szCs w:val="18"/>
              </w:rPr>
            </w:pPr>
            <w:r w:rsidRPr="001A0D0B">
              <w:rPr>
                <w:rFonts w:cs="Calibri"/>
                <w:sz w:val="18"/>
                <w:szCs w:val="18"/>
              </w:rPr>
              <w:t>Safety</w:t>
            </w:r>
          </w:p>
          <w:p w:rsidR="00F144E3" w:rsidRPr="001A0D0B" w:rsidRDefault="00F144E3" w:rsidP="00CB27AE">
            <w:pPr>
              <w:rPr>
                <w:rFonts w:cs="Calibri"/>
                <w:sz w:val="18"/>
                <w:szCs w:val="18"/>
              </w:rPr>
            </w:pPr>
            <w:r w:rsidRPr="001A0D0B">
              <w:rPr>
                <w:rFonts w:cs="Calibri"/>
                <w:sz w:val="18"/>
                <w:szCs w:val="18"/>
              </w:rPr>
              <w:t>Non-SAEs</w:t>
            </w:r>
          </w:p>
          <w:p w:rsidR="00F144E3" w:rsidRPr="001A0D0B" w:rsidRDefault="00F144E3" w:rsidP="00CB27AE">
            <w:pPr>
              <w:rPr>
                <w:rFonts w:cs="Calibri"/>
                <w:sz w:val="18"/>
                <w:szCs w:val="18"/>
              </w:rPr>
            </w:pPr>
            <w:r w:rsidRPr="001A0D0B">
              <w:rPr>
                <w:rFonts w:cs="Calibri"/>
                <w:sz w:val="18"/>
                <w:szCs w:val="18"/>
              </w:rPr>
              <w:t>Any reported long-term effects of smoking cessation pharmacotherapies on safety</w:t>
            </w:r>
          </w:p>
        </w:tc>
        <w:tc>
          <w:tcPr>
            <w:tcW w:w="1031" w:type="dxa"/>
            <w:noWrap/>
          </w:tcPr>
          <w:p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rsidR="00F144E3" w:rsidRPr="001A0D0B" w:rsidRDefault="00F144E3" w:rsidP="00CB27AE">
            <w:pPr>
              <w:jc w:val="center"/>
              <w:rPr>
                <w:rFonts w:cs="Calibri"/>
                <w:sz w:val="18"/>
                <w:szCs w:val="18"/>
              </w:rPr>
            </w:pPr>
            <w:r w:rsidRPr="001A0D0B">
              <w:rPr>
                <w:rFonts w:cs="Calibri"/>
                <w:sz w:val="18"/>
                <w:szCs w:val="18"/>
              </w:rPr>
              <w:t>11</w:t>
            </w:r>
          </w:p>
        </w:tc>
        <w:tc>
          <w:tcPr>
            <w:tcW w:w="1418" w:type="dxa"/>
            <w:noWrap/>
          </w:tcPr>
          <w:p w:rsidR="00F144E3" w:rsidRPr="001A0D0B" w:rsidRDefault="00F144E3" w:rsidP="00CB27AE">
            <w:pPr>
              <w:rPr>
                <w:rFonts w:cs="Calibri"/>
                <w:sz w:val="18"/>
                <w:szCs w:val="18"/>
              </w:rPr>
            </w:pPr>
            <w:r w:rsidRPr="001A0D0B">
              <w:rPr>
                <w:rFonts w:cs="Calibri"/>
                <w:sz w:val="18"/>
                <w:szCs w:val="18"/>
              </w:rPr>
              <w:t>2412</w:t>
            </w:r>
          </w:p>
        </w:tc>
      </w:tr>
      <w:tr w:rsidR="00F144E3" w:rsidRPr="001A0D0B" w:rsidTr="00B33FD4">
        <w:tc>
          <w:tcPr>
            <w:tcW w:w="421" w:type="dxa"/>
            <w:noWrap/>
          </w:tcPr>
          <w:p w:rsidR="00F144E3" w:rsidRPr="001A0D0B" w:rsidRDefault="00F144E3" w:rsidP="00C324F3">
            <w:pPr>
              <w:numPr>
                <w:ilvl w:val="0"/>
                <w:numId w:val="6"/>
              </w:numPr>
              <w:rPr>
                <w:rFonts w:cs="Calibri"/>
                <w:sz w:val="18"/>
                <w:szCs w:val="18"/>
              </w:rPr>
            </w:pPr>
          </w:p>
        </w:tc>
        <w:tc>
          <w:tcPr>
            <w:tcW w:w="850" w:type="dxa"/>
            <w:noWrap/>
          </w:tcPr>
          <w:p w:rsidR="00F144E3" w:rsidRPr="001A0D0B" w:rsidRDefault="00F144E3" w:rsidP="00CB27AE">
            <w:pPr>
              <w:rPr>
                <w:rFonts w:cs="Calibri"/>
                <w:sz w:val="18"/>
                <w:szCs w:val="18"/>
              </w:rPr>
            </w:pPr>
            <w:r w:rsidRPr="001A0D0B">
              <w:rPr>
                <w:rFonts w:cs="Calibri"/>
                <w:sz w:val="18"/>
                <w:szCs w:val="18"/>
              </w:rPr>
              <w:t>Matkin 2019</w:t>
            </w:r>
          </w:p>
        </w:tc>
        <w:tc>
          <w:tcPr>
            <w:tcW w:w="1985" w:type="dxa"/>
            <w:noWrap/>
          </w:tcPr>
          <w:p w:rsidR="00F144E3" w:rsidRPr="001A0D0B" w:rsidRDefault="00F144E3" w:rsidP="00CB27AE">
            <w:pPr>
              <w:rPr>
                <w:rFonts w:cs="Calibri"/>
                <w:sz w:val="18"/>
                <w:szCs w:val="18"/>
              </w:rPr>
            </w:pPr>
            <w:r w:rsidRPr="001A0D0B">
              <w:rPr>
                <w:rFonts w:cs="Calibri"/>
                <w:sz w:val="18"/>
                <w:szCs w:val="18"/>
              </w:rPr>
              <w:t xml:space="preserve">Evaluate the effect of telephone support to help smokers quit, including proactive or reactive counselling, or the provision of other </w:t>
            </w:r>
            <w:r w:rsidRPr="001A0D0B">
              <w:rPr>
                <w:rFonts w:cs="Calibri"/>
                <w:sz w:val="18"/>
                <w:szCs w:val="18"/>
              </w:rPr>
              <w:lastRenderedPageBreak/>
              <w:t>information to smokers calling a helpline</w:t>
            </w:r>
          </w:p>
        </w:tc>
        <w:tc>
          <w:tcPr>
            <w:tcW w:w="1134" w:type="dxa"/>
            <w:noWrap/>
          </w:tcPr>
          <w:p w:rsidR="00F144E3" w:rsidRPr="001A0D0B" w:rsidRDefault="00F144E3" w:rsidP="00CB27AE">
            <w:pPr>
              <w:rPr>
                <w:rFonts w:cs="Calibri"/>
                <w:sz w:val="18"/>
                <w:szCs w:val="18"/>
              </w:rPr>
            </w:pPr>
            <w:r w:rsidRPr="001A0D0B">
              <w:rPr>
                <w:rFonts w:cs="Calibri"/>
                <w:sz w:val="18"/>
                <w:szCs w:val="18"/>
              </w:rPr>
              <w:lastRenderedPageBreak/>
              <w:t>RCTs or quasi-RCTs</w:t>
            </w:r>
          </w:p>
          <w:p w:rsidR="00F144E3" w:rsidRPr="001A0D0B" w:rsidRDefault="00F144E3" w:rsidP="00CB27AE">
            <w:pPr>
              <w:rPr>
                <w:rFonts w:cs="Calibri"/>
                <w:sz w:val="18"/>
                <w:szCs w:val="18"/>
              </w:rPr>
            </w:pPr>
            <w:r w:rsidRPr="001A0D0B">
              <w:rPr>
                <w:rFonts w:cs="Calibri"/>
                <w:sz w:val="18"/>
                <w:szCs w:val="18"/>
              </w:rPr>
              <w:t xml:space="preserve">Adult smokers from the </w:t>
            </w:r>
            <w:r w:rsidRPr="001A0D0B">
              <w:rPr>
                <w:rFonts w:cs="Calibri"/>
                <w:sz w:val="18"/>
                <w:szCs w:val="18"/>
              </w:rPr>
              <w:lastRenderedPageBreak/>
              <w:t>general population</w:t>
            </w:r>
          </w:p>
          <w:p w:rsidR="00F144E3" w:rsidRPr="001A0D0B" w:rsidRDefault="00F144E3" w:rsidP="00CB27AE">
            <w:pPr>
              <w:rPr>
                <w:rFonts w:eastAsiaTheme="minorEastAsia" w:cs="Calibri"/>
                <w:sz w:val="18"/>
                <w:szCs w:val="18"/>
              </w:rPr>
            </w:pPr>
            <w:r w:rsidRPr="001A0D0B">
              <w:rPr>
                <w:rFonts w:cs="Calibri"/>
                <w:sz w:val="18"/>
                <w:szCs w:val="18"/>
              </w:rPr>
              <w:t>Individuals who were current smokers</w:t>
            </w:r>
          </w:p>
        </w:tc>
        <w:tc>
          <w:tcPr>
            <w:tcW w:w="1701" w:type="dxa"/>
            <w:noWrap/>
          </w:tcPr>
          <w:p w:rsidR="00F144E3" w:rsidRPr="001A0D0B" w:rsidRDefault="00F144E3" w:rsidP="00CB27AE">
            <w:pPr>
              <w:rPr>
                <w:rFonts w:cs="Calibri"/>
                <w:sz w:val="18"/>
                <w:szCs w:val="18"/>
              </w:rPr>
            </w:pPr>
            <w:r w:rsidRPr="001A0D0B">
              <w:rPr>
                <w:rFonts w:cs="Calibri"/>
                <w:sz w:val="18"/>
                <w:szCs w:val="18"/>
              </w:rPr>
              <w:lastRenderedPageBreak/>
              <w:t xml:space="preserve">Behavioural interventions, pharmacotherapy </w:t>
            </w:r>
          </w:p>
        </w:tc>
        <w:tc>
          <w:tcPr>
            <w:tcW w:w="1134" w:type="dxa"/>
            <w:noWrap/>
          </w:tcPr>
          <w:p w:rsidR="00F144E3" w:rsidRPr="001A0D0B" w:rsidRDefault="00F144E3" w:rsidP="00CB27AE">
            <w:pPr>
              <w:rPr>
                <w:rFonts w:cs="Calibri"/>
                <w:sz w:val="18"/>
                <w:szCs w:val="18"/>
              </w:rPr>
            </w:pPr>
            <w:r w:rsidRPr="001A0D0B">
              <w:rPr>
                <w:rFonts w:cs="Calibri"/>
                <w:sz w:val="18"/>
                <w:szCs w:val="18"/>
              </w:rPr>
              <w:t>Long-term smoking cessation</w:t>
            </w:r>
          </w:p>
        </w:tc>
        <w:tc>
          <w:tcPr>
            <w:tcW w:w="1134" w:type="dxa"/>
            <w:noWrap/>
          </w:tcPr>
          <w:p w:rsidR="00F144E3" w:rsidRPr="001A0D0B" w:rsidRDefault="00F144E3" w:rsidP="00CB27AE">
            <w:pPr>
              <w:rPr>
                <w:rFonts w:cs="Calibri"/>
                <w:sz w:val="18"/>
                <w:szCs w:val="18"/>
              </w:rPr>
            </w:pPr>
            <w:r w:rsidRPr="001A0D0B">
              <w:rPr>
                <w:rFonts w:cs="Calibri"/>
                <w:sz w:val="18"/>
                <w:szCs w:val="18"/>
              </w:rPr>
              <w:t>N/A</w:t>
            </w:r>
          </w:p>
        </w:tc>
        <w:tc>
          <w:tcPr>
            <w:tcW w:w="1520" w:type="dxa"/>
            <w:noWrap/>
          </w:tcPr>
          <w:p w:rsidR="00F144E3" w:rsidRPr="001A0D0B" w:rsidRDefault="00F144E3" w:rsidP="00CB27AE">
            <w:pPr>
              <w:rPr>
                <w:rFonts w:cs="Calibri"/>
                <w:sz w:val="18"/>
                <w:szCs w:val="18"/>
              </w:rPr>
            </w:pPr>
            <w:r w:rsidRPr="001A0D0B">
              <w:rPr>
                <w:rFonts w:cs="Calibri"/>
                <w:sz w:val="18"/>
                <w:szCs w:val="18"/>
              </w:rPr>
              <w:t>N/A</w:t>
            </w:r>
          </w:p>
        </w:tc>
        <w:tc>
          <w:tcPr>
            <w:tcW w:w="1031" w:type="dxa"/>
            <w:noWrap/>
          </w:tcPr>
          <w:p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rsidR="00F144E3" w:rsidRPr="001A0D0B" w:rsidRDefault="00F144E3" w:rsidP="00CB27AE">
            <w:pPr>
              <w:jc w:val="center"/>
              <w:rPr>
                <w:rFonts w:cs="Calibri"/>
                <w:sz w:val="18"/>
                <w:szCs w:val="18"/>
              </w:rPr>
            </w:pPr>
            <w:r w:rsidRPr="001A0D0B">
              <w:rPr>
                <w:rFonts w:cs="Calibri"/>
                <w:sz w:val="18"/>
                <w:szCs w:val="18"/>
              </w:rPr>
              <w:t>104</w:t>
            </w:r>
          </w:p>
        </w:tc>
        <w:tc>
          <w:tcPr>
            <w:tcW w:w="1418" w:type="dxa"/>
            <w:noWrap/>
          </w:tcPr>
          <w:p w:rsidR="00F144E3" w:rsidRPr="001A0D0B" w:rsidRDefault="00F144E3" w:rsidP="00CB27AE">
            <w:pPr>
              <w:rPr>
                <w:rFonts w:cs="Calibri"/>
                <w:sz w:val="18"/>
                <w:szCs w:val="18"/>
              </w:rPr>
            </w:pPr>
            <w:r w:rsidRPr="001A0D0B">
              <w:rPr>
                <w:rFonts w:cs="Calibri"/>
                <w:sz w:val="18"/>
                <w:szCs w:val="18"/>
              </w:rPr>
              <w:t>111,653</w:t>
            </w:r>
          </w:p>
        </w:tc>
      </w:tr>
      <w:tr w:rsidR="00F144E3" w:rsidRPr="001A0D0B" w:rsidTr="00B33FD4">
        <w:tc>
          <w:tcPr>
            <w:tcW w:w="421" w:type="dxa"/>
            <w:noWrap/>
          </w:tcPr>
          <w:p w:rsidR="00F144E3" w:rsidRPr="001A0D0B" w:rsidRDefault="00F144E3" w:rsidP="00C324F3">
            <w:pPr>
              <w:numPr>
                <w:ilvl w:val="0"/>
                <w:numId w:val="6"/>
              </w:numPr>
              <w:rPr>
                <w:rFonts w:cs="Calibri"/>
                <w:sz w:val="18"/>
                <w:szCs w:val="18"/>
              </w:rPr>
            </w:pPr>
          </w:p>
        </w:tc>
        <w:tc>
          <w:tcPr>
            <w:tcW w:w="850" w:type="dxa"/>
            <w:noWrap/>
          </w:tcPr>
          <w:p w:rsidR="00F144E3" w:rsidRPr="001A0D0B" w:rsidRDefault="00F144E3" w:rsidP="00CB27AE">
            <w:pPr>
              <w:rPr>
                <w:rFonts w:cs="Calibri"/>
                <w:sz w:val="18"/>
                <w:szCs w:val="18"/>
              </w:rPr>
            </w:pPr>
            <w:r w:rsidRPr="001A0D0B">
              <w:rPr>
                <w:rFonts w:cs="Calibri"/>
                <w:sz w:val="18"/>
                <w:szCs w:val="18"/>
              </w:rPr>
              <w:t>Livingstone-Banks 2019a</w:t>
            </w:r>
          </w:p>
        </w:tc>
        <w:tc>
          <w:tcPr>
            <w:tcW w:w="1985" w:type="dxa"/>
            <w:noWrap/>
          </w:tcPr>
          <w:p w:rsidR="00F144E3" w:rsidRPr="001A0D0B" w:rsidRDefault="00F144E3" w:rsidP="00CB27AE">
            <w:pPr>
              <w:rPr>
                <w:rFonts w:cs="Calibri"/>
                <w:sz w:val="18"/>
                <w:szCs w:val="18"/>
              </w:rPr>
            </w:pPr>
            <w:r w:rsidRPr="001A0D0B">
              <w:rPr>
                <w:rFonts w:cs="Calibri"/>
                <w:sz w:val="18"/>
                <w:szCs w:val="18"/>
              </w:rPr>
              <w:t>To assess whether specific interventions for relapse prevention reduce the proportion of recent quitters who return to smoking</w:t>
            </w:r>
          </w:p>
        </w:tc>
        <w:tc>
          <w:tcPr>
            <w:tcW w:w="1134" w:type="dxa"/>
            <w:noWrap/>
          </w:tcPr>
          <w:p w:rsidR="00F144E3" w:rsidRPr="001A0D0B" w:rsidRDefault="00F144E3" w:rsidP="00CB27AE">
            <w:pPr>
              <w:rPr>
                <w:rFonts w:cs="Calibri"/>
                <w:sz w:val="18"/>
                <w:szCs w:val="18"/>
              </w:rPr>
            </w:pPr>
            <w:r w:rsidRPr="001A0D0B">
              <w:rPr>
                <w:rFonts w:cs="Calibri"/>
                <w:sz w:val="18"/>
                <w:szCs w:val="18"/>
              </w:rPr>
              <w:t>RCTs or quasi-RCTs</w:t>
            </w:r>
          </w:p>
          <w:p w:rsidR="00F144E3" w:rsidRPr="001A0D0B" w:rsidRDefault="00F144E3" w:rsidP="00CB27AE">
            <w:pPr>
              <w:rPr>
                <w:rFonts w:cs="Calibri"/>
                <w:sz w:val="18"/>
                <w:szCs w:val="18"/>
              </w:rPr>
            </w:pPr>
            <w:r w:rsidRPr="001A0D0B">
              <w:rPr>
                <w:rFonts w:cs="Calibri"/>
                <w:sz w:val="18"/>
                <w:szCs w:val="18"/>
              </w:rPr>
              <w:t>People who had quit smoking on their own</w:t>
            </w:r>
          </w:p>
          <w:p w:rsidR="00F144E3" w:rsidRPr="001A0D0B" w:rsidRDefault="00F144E3" w:rsidP="00CB27AE">
            <w:pPr>
              <w:rPr>
                <w:rFonts w:cs="Calibri"/>
                <w:sz w:val="18"/>
                <w:szCs w:val="18"/>
              </w:rPr>
            </w:pPr>
            <w:r w:rsidRPr="001A0D0B">
              <w:rPr>
                <w:rFonts w:cs="Calibri"/>
                <w:sz w:val="18"/>
                <w:szCs w:val="18"/>
              </w:rPr>
              <w:t>People who were undergoing enforced abstinence</w:t>
            </w:r>
          </w:p>
          <w:p w:rsidR="00F144E3" w:rsidRPr="001A0D0B" w:rsidRDefault="00F144E3" w:rsidP="00CB27AE">
            <w:pPr>
              <w:rPr>
                <w:rFonts w:cs="Calibri"/>
                <w:sz w:val="18"/>
                <w:szCs w:val="18"/>
              </w:rPr>
            </w:pPr>
            <w:r w:rsidRPr="001A0D0B">
              <w:rPr>
                <w:rFonts w:cs="Calibri"/>
                <w:sz w:val="18"/>
                <w:szCs w:val="18"/>
              </w:rPr>
              <w:t>Smokers participating in treatment programmes to assist initial cessation</w:t>
            </w:r>
          </w:p>
        </w:tc>
        <w:tc>
          <w:tcPr>
            <w:tcW w:w="1701" w:type="dxa"/>
            <w:noWrap/>
          </w:tcPr>
          <w:p w:rsidR="00F144E3" w:rsidRPr="001A0D0B" w:rsidRDefault="00F144E3" w:rsidP="00CB27AE">
            <w:pPr>
              <w:rPr>
                <w:rFonts w:cs="Calibri"/>
                <w:sz w:val="18"/>
                <w:szCs w:val="18"/>
              </w:rPr>
            </w:pPr>
            <w:r w:rsidRPr="001A0D0B">
              <w:rPr>
                <w:rFonts w:cs="Calibri"/>
                <w:sz w:val="18"/>
                <w:szCs w:val="18"/>
              </w:rPr>
              <w:t>Extended use of smoking cessation medications, behavioural support/no intervention, shorter intervention or an intervention not oriented towards relapse prevention</w:t>
            </w:r>
          </w:p>
        </w:tc>
        <w:tc>
          <w:tcPr>
            <w:tcW w:w="1134" w:type="dxa"/>
            <w:noWrap/>
          </w:tcPr>
          <w:p w:rsidR="00F144E3" w:rsidRPr="001A0D0B" w:rsidRDefault="00F144E3" w:rsidP="00CB27AE">
            <w:pPr>
              <w:rPr>
                <w:rFonts w:cs="Calibri"/>
                <w:sz w:val="18"/>
                <w:szCs w:val="18"/>
              </w:rPr>
            </w:pPr>
            <w:r w:rsidRPr="001A0D0B">
              <w:rPr>
                <w:rFonts w:cs="Calibri"/>
                <w:sz w:val="18"/>
                <w:szCs w:val="18"/>
              </w:rPr>
              <w:t xml:space="preserve">Prolonged or multiple point prevalence abstinence </w:t>
            </w:r>
          </w:p>
          <w:p w:rsidR="00F144E3" w:rsidRPr="001A0D0B" w:rsidRDefault="00F144E3" w:rsidP="00CB27AE">
            <w:pPr>
              <w:rPr>
                <w:rFonts w:cs="Calibri"/>
                <w:sz w:val="18"/>
                <w:szCs w:val="18"/>
              </w:rPr>
            </w:pPr>
            <w:r w:rsidRPr="001A0D0B">
              <w:rPr>
                <w:rFonts w:cs="Calibri"/>
                <w:sz w:val="18"/>
                <w:szCs w:val="18"/>
              </w:rPr>
              <w:t xml:space="preserve">Reported only point prevalence abstinence </w:t>
            </w:r>
          </w:p>
        </w:tc>
        <w:tc>
          <w:tcPr>
            <w:tcW w:w="1134" w:type="dxa"/>
            <w:noWrap/>
          </w:tcPr>
          <w:p w:rsidR="00F144E3" w:rsidRPr="001A0D0B" w:rsidRDefault="00F144E3" w:rsidP="00CB27AE">
            <w:pPr>
              <w:rPr>
                <w:rFonts w:cs="Calibri"/>
                <w:sz w:val="18"/>
                <w:szCs w:val="18"/>
              </w:rPr>
            </w:pPr>
            <w:r w:rsidRPr="001A0D0B">
              <w:rPr>
                <w:rFonts w:cs="Calibri"/>
                <w:sz w:val="18"/>
                <w:szCs w:val="18"/>
              </w:rPr>
              <w:t>N/A</w:t>
            </w:r>
          </w:p>
        </w:tc>
        <w:tc>
          <w:tcPr>
            <w:tcW w:w="1520" w:type="dxa"/>
            <w:noWrap/>
          </w:tcPr>
          <w:p w:rsidR="00F144E3" w:rsidRPr="001A0D0B" w:rsidRDefault="00F144E3" w:rsidP="00CB27AE">
            <w:pPr>
              <w:rPr>
                <w:rFonts w:cs="Calibri"/>
                <w:sz w:val="18"/>
                <w:szCs w:val="18"/>
              </w:rPr>
            </w:pPr>
            <w:r w:rsidRPr="001A0D0B">
              <w:rPr>
                <w:rFonts w:cs="Calibri"/>
                <w:sz w:val="18"/>
                <w:szCs w:val="18"/>
              </w:rPr>
              <w:t>N/A</w:t>
            </w:r>
          </w:p>
        </w:tc>
        <w:tc>
          <w:tcPr>
            <w:tcW w:w="1031" w:type="dxa"/>
            <w:noWrap/>
          </w:tcPr>
          <w:p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rsidR="00F144E3" w:rsidRPr="001A0D0B" w:rsidRDefault="00F144E3" w:rsidP="00CB27AE">
            <w:pPr>
              <w:jc w:val="center"/>
              <w:rPr>
                <w:rFonts w:cs="Calibri"/>
                <w:sz w:val="18"/>
                <w:szCs w:val="18"/>
              </w:rPr>
            </w:pPr>
            <w:r w:rsidRPr="001A0D0B">
              <w:rPr>
                <w:rFonts w:cs="Calibri"/>
                <w:sz w:val="18"/>
                <w:szCs w:val="18"/>
              </w:rPr>
              <w:t>81</w:t>
            </w:r>
          </w:p>
        </w:tc>
        <w:tc>
          <w:tcPr>
            <w:tcW w:w="1418" w:type="dxa"/>
            <w:noWrap/>
          </w:tcPr>
          <w:p w:rsidR="00F144E3" w:rsidRPr="001A0D0B" w:rsidRDefault="00F144E3" w:rsidP="00CB27AE">
            <w:pPr>
              <w:rPr>
                <w:rFonts w:cs="Calibri"/>
                <w:sz w:val="18"/>
                <w:szCs w:val="18"/>
              </w:rPr>
            </w:pPr>
            <w:r w:rsidRPr="001A0D0B">
              <w:rPr>
                <w:rFonts w:cs="Calibri"/>
                <w:sz w:val="18"/>
                <w:szCs w:val="18"/>
              </w:rPr>
              <w:t>69,094</w:t>
            </w:r>
          </w:p>
        </w:tc>
      </w:tr>
      <w:tr w:rsidR="00F144E3" w:rsidRPr="001A0D0B" w:rsidTr="00B33FD4">
        <w:tc>
          <w:tcPr>
            <w:tcW w:w="421" w:type="dxa"/>
            <w:noWrap/>
          </w:tcPr>
          <w:p w:rsidR="00F144E3" w:rsidRPr="001A0D0B" w:rsidRDefault="00F144E3" w:rsidP="00C324F3">
            <w:pPr>
              <w:numPr>
                <w:ilvl w:val="0"/>
                <w:numId w:val="6"/>
              </w:numPr>
              <w:rPr>
                <w:rFonts w:cs="Calibri"/>
                <w:sz w:val="18"/>
                <w:szCs w:val="18"/>
              </w:rPr>
            </w:pPr>
          </w:p>
        </w:tc>
        <w:tc>
          <w:tcPr>
            <w:tcW w:w="850" w:type="dxa"/>
            <w:noWrap/>
          </w:tcPr>
          <w:p w:rsidR="00F144E3" w:rsidRPr="001A0D0B" w:rsidRDefault="00F144E3" w:rsidP="00CB27AE">
            <w:pPr>
              <w:rPr>
                <w:rFonts w:cs="Calibri"/>
                <w:sz w:val="18"/>
                <w:szCs w:val="18"/>
              </w:rPr>
            </w:pPr>
            <w:r w:rsidRPr="001A0D0B">
              <w:rPr>
                <w:rFonts w:cs="Calibri"/>
                <w:sz w:val="18"/>
                <w:szCs w:val="18"/>
              </w:rPr>
              <w:t>Livingstone-Banks 2019b</w:t>
            </w:r>
          </w:p>
        </w:tc>
        <w:tc>
          <w:tcPr>
            <w:tcW w:w="1985" w:type="dxa"/>
            <w:noWrap/>
          </w:tcPr>
          <w:p w:rsidR="00F144E3" w:rsidRPr="001A0D0B" w:rsidRDefault="00F144E3" w:rsidP="00CB27AE">
            <w:pPr>
              <w:rPr>
                <w:rFonts w:cs="Calibri"/>
                <w:sz w:val="18"/>
                <w:szCs w:val="18"/>
              </w:rPr>
            </w:pPr>
            <w:r w:rsidRPr="001A0D0B">
              <w:rPr>
                <w:rFonts w:cs="Calibri"/>
                <w:sz w:val="18"/>
                <w:szCs w:val="18"/>
              </w:rPr>
              <w:t xml:space="preserve">The aims of this review were to determine the effectiveness of different forms of print-based self-help materials that provide a structured programme for smokers to follow, compared with no treatment and with other minimal contact strategies, and to </w:t>
            </w:r>
            <w:r w:rsidRPr="001A0D0B">
              <w:rPr>
                <w:rFonts w:cs="Calibri"/>
                <w:sz w:val="18"/>
                <w:szCs w:val="18"/>
              </w:rPr>
              <w:lastRenderedPageBreak/>
              <w:t>determine the comparative effectiveness of different components and characteristics of print-based self-help, such as computer-generated feedback, additional materials, tailoring of materials to individuals, and targeting of materials at specific groups</w:t>
            </w:r>
          </w:p>
        </w:tc>
        <w:tc>
          <w:tcPr>
            <w:tcW w:w="1134" w:type="dxa"/>
            <w:noWrap/>
          </w:tcPr>
          <w:p w:rsidR="00F144E3" w:rsidRPr="001A0D0B" w:rsidRDefault="00F144E3" w:rsidP="00CB27AE">
            <w:pPr>
              <w:rPr>
                <w:rFonts w:cs="Calibri"/>
                <w:sz w:val="18"/>
                <w:szCs w:val="18"/>
              </w:rPr>
            </w:pPr>
            <w:r w:rsidRPr="001A0D0B">
              <w:rPr>
                <w:rFonts w:cs="Calibri"/>
                <w:sz w:val="18"/>
                <w:szCs w:val="18"/>
              </w:rPr>
              <w:lastRenderedPageBreak/>
              <w:t>RCTs</w:t>
            </w:r>
          </w:p>
          <w:p w:rsidR="00F144E3" w:rsidRPr="001A0D0B" w:rsidRDefault="00F144E3" w:rsidP="00CB27AE">
            <w:pPr>
              <w:rPr>
                <w:rFonts w:cs="Calibri"/>
                <w:sz w:val="18"/>
                <w:szCs w:val="18"/>
              </w:rPr>
            </w:pPr>
            <w:r w:rsidRPr="001A0D0B">
              <w:rPr>
                <w:rFonts w:cs="Calibri"/>
                <w:sz w:val="18"/>
                <w:szCs w:val="18"/>
              </w:rPr>
              <w:t>Any smoker</w:t>
            </w:r>
          </w:p>
        </w:tc>
        <w:tc>
          <w:tcPr>
            <w:tcW w:w="1701" w:type="dxa"/>
            <w:noWrap/>
          </w:tcPr>
          <w:p w:rsidR="00F144E3" w:rsidRPr="001A0D0B" w:rsidRDefault="00F144E3" w:rsidP="00CB27AE">
            <w:pPr>
              <w:rPr>
                <w:rFonts w:cs="Calibri"/>
                <w:sz w:val="18"/>
                <w:szCs w:val="18"/>
              </w:rPr>
            </w:pPr>
            <w:r w:rsidRPr="001A0D0B">
              <w:rPr>
                <w:rFonts w:cs="Calibri"/>
                <w:sz w:val="18"/>
                <w:szCs w:val="18"/>
              </w:rPr>
              <w:t>Print-based self-help materials/no treatment and with other minimal contact strategies</w:t>
            </w:r>
          </w:p>
        </w:tc>
        <w:tc>
          <w:tcPr>
            <w:tcW w:w="1134" w:type="dxa"/>
            <w:noWrap/>
          </w:tcPr>
          <w:p w:rsidR="00F144E3" w:rsidRPr="001A0D0B" w:rsidRDefault="00F144E3" w:rsidP="00CB27AE">
            <w:pPr>
              <w:rPr>
                <w:rFonts w:cs="Calibri"/>
                <w:sz w:val="18"/>
                <w:szCs w:val="18"/>
              </w:rPr>
            </w:pPr>
            <w:r w:rsidRPr="001A0D0B">
              <w:rPr>
                <w:rFonts w:cs="Calibri"/>
                <w:sz w:val="18"/>
                <w:szCs w:val="18"/>
              </w:rPr>
              <w:t>Sustained abstinence, or point prevalence</w:t>
            </w:r>
          </w:p>
          <w:p w:rsidR="00F144E3" w:rsidRPr="001A0D0B" w:rsidRDefault="00F144E3" w:rsidP="00CB27AE">
            <w:pPr>
              <w:rPr>
                <w:rFonts w:cs="Calibri"/>
                <w:sz w:val="18"/>
                <w:szCs w:val="18"/>
              </w:rPr>
            </w:pPr>
            <w:r w:rsidRPr="001A0D0B">
              <w:rPr>
                <w:rFonts w:cs="Calibri"/>
                <w:sz w:val="18"/>
                <w:szCs w:val="18"/>
              </w:rPr>
              <w:t>Self‐report of cessation alone or biochemically validated cessation</w:t>
            </w:r>
          </w:p>
        </w:tc>
        <w:tc>
          <w:tcPr>
            <w:tcW w:w="1134" w:type="dxa"/>
            <w:noWrap/>
          </w:tcPr>
          <w:p w:rsidR="00F144E3" w:rsidRPr="001A0D0B" w:rsidRDefault="00F144E3" w:rsidP="00CB27AE">
            <w:pPr>
              <w:rPr>
                <w:rFonts w:cs="Calibri"/>
                <w:sz w:val="18"/>
                <w:szCs w:val="18"/>
              </w:rPr>
            </w:pPr>
            <w:r w:rsidRPr="001A0D0B">
              <w:rPr>
                <w:rFonts w:cs="Calibri"/>
                <w:sz w:val="18"/>
                <w:szCs w:val="18"/>
              </w:rPr>
              <w:t>N/A</w:t>
            </w:r>
          </w:p>
        </w:tc>
        <w:tc>
          <w:tcPr>
            <w:tcW w:w="1520" w:type="dxa"/>
            <w:noWrap/>
          </w:tcPr>
          <w:p w:rsidR="00F144E3" w:rsidRPr="001A0D0B" w:rsidRDefault="00F144E3" w:rsidP="00CB27AE">
            <w:pPr>
              <w:rPr>
                <w:rFonts w:cs="Calibri"/>
                <w:sz w:val="18"/>
                <w:szCs w:val="18"/>
              </w:rPr>
            </w:pPr>
            <w:r w:rsidRPr="001A0D0B">
              <w:rPr>
                <w:rFonts w:cs="Calibri"/>
                <w:sz w:val="18"/>
                <w:szCs w:val="18"/>
              </w:rPr>
              <w:t>N/A</w:t>
            </w:r>
          </w:p>
        </w:tc>
        <w:tc>
          <w:tcPr>
            <w:tcW w:w="1031" w:type="dxa"/>
            <w:noWrap/>
          </w:tcPr>
          <w:p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rsidR="00F144E3" w:rsidRPr="001A0D0B" w:rsidRDefault="00F144E3" w:rsidP="00CB27AE">
            <w:pPr>
              <w:jc w:val="center"/>
              <w:rPr>
                <w:rFonts w:cs="Calibri"/>
                <w:sz w:val="18"/>
                <w:szCs w:val="18"/>
              </w:rPr>
            </w:pPr>
            <w:r w:rsidRPr="001A0D0B">
              <w:rPr>
                <w:rFonts w:cs="Calibri"/>
                <w:sz w:val="18"/>
                <w:szCs w:val="18"/>
              </w:rPr>
              <w:t>75</w:t>
            </w:r>
          </w:p>
        </w:tc>
        <w:tc>
          <w:tcPr>
            <w:tcW w:w="1418" w:type="dxa"/>
            <w:noWrap/>
          </w:tcPr>
          <w:p w:rsidR="00F144E3" w:rsidRPr="001A0D0B" w:rsidRDefault="00F144E3" w:rsidP="00CB27AE">
            <w:pPr>
              <w:rPr>
                <w:rFonts w:cs="Calibri"/>
                <w:sz w:val="18"/>
                <w:szCs w:val="18"/>
              </w:rPr>
            </w:pPr>
            <w:r w:rsidRPr="001A0D0B">
              <w:rPr>
                <w:rFonts w:cs="Calibri"/>
                <w:sz w:val="18"/>
                <w:szCs w:val="18"/>
              </w:rPr>
              <w:t>Not mentioned</w:t>
            </w:r>
          </w:p>
        </w:tc>
      </w:tr>
      <w:tr w:rsidR="00F144E3" w:rsidRPr="001A0D0B" w:rsidTr="00B33FD4">
        <w:tc>
          <w:tcPr>
            <w:tcW w:w="421" w:type="dxa"/>
            <w:noWrap/>
          </w:tcPr>
          <w:p w:rsidR="00F144E3" w:rsidRPr="001A0D0B" w:rsidRDefault="00F144E3" w:rsidP="00C324F3">
            <w:pPr>
              <w:numPr>
                <w:ilvl w:val="0"/>
                <w:numId w:val="6"/>
              </w:numPr>
              <w:rPr>
                <w:rFonts w:cs="Calibri"/>
                <w:sz w:val="18"/>
                <w:szCs w:val="18"/>
              </w:rPr>
            </w:pPr>
          </w:p>
        </w:tc>
        <w:tc>
          <w:tcPr>
            <w:tcW w:w="850" w:type="dxa"/>
            <w:noWrap/>
          </w:tcPr>
          <w:p w:rsidR="00F144E3" w:rsidRPr="001A0D0B" w:rsidRDefault="00F144E3" w:rsidP="00CB27AE">
            <w:pPr>
              <w:rPr>
                <w:rFonts w:cs="Calibri"/>
                <w:sz w:val="18"/>
                <w:szCs w:val="18"/>
              </w:rPr>
            </w:pPr>
            <w:r w:rsidRPr="001A0D0B">
              <w:rPr>
                <w:rFonts w:cs="Calibri"/>
                <w:sz w:val="18"/>
                <w:szCs w:val="18"/>
              </w:rPr>
              <w:t>Lindson 2019a</w:t>
            </w:r>
          </w:p>
        </w:tc>
        <w:tc>
          <w:tcPr>
            <w:tcW w:w="1985" w:type="dxa"/>
            <w:noWrap/>
          </w:tcPr>
          <w:p w:rsidR="00F144E3" w:rsidRPr="001A0D0B" w:rsidRDefault="00F144E3" w:rsidP="00CB27AE">
            <w:pPr>
              <w:rPr>
                <w:rFonts w:cs="Calibri"/>
                <w:sz w:val="18"/>
                <w:szCs w:val="18"/>
              </w:rPr>
            </w:pPr>
            <w:r w:rsidRPr="001A0D0B">
              <w:rPr>
                <w:rFonts w:cs="Calibri"/>
                <w:sz w:val="18"/>
                <w:szCs w:val="18"/>
              </w:rPr>
              <w:t>To determine the effectiveness and safety of different forms, deliveries, doses, durations and schedules of NRT, for achieving long-term smoking cessation, compared to one another</w:t>
            </w:r>
          </w:p>
        </w:tc>
        <w:tc>
          <w:tcPr>
            <w:tcW w:w="1134" w:type="dxa"/>
            <w:noWrap/>
          </w:tcPr>
          <w:p w:rsidR="00F144E3" w:rsidRPr="001A0D0B" w:rsidRDefault="00F144E3" w:rsidP="00CB27AE">
            <w:pPr>
              <w:rPr>
                <w:rFonts w:cs="Calibri"/>
                <w:sz w:val="18"/>
                <w:szCs w:val="18"/>
              </w:rPr>
            </w:pPr>
            <w:r w:rsidRPr="001A0D0B">
              <w:rPr>
                <w:rFonts w:cs="Calibri"/>
                <w:sz w:val="18"/>
                <w:szCs w:val="18"/>
              </w:rPr>
              <w:t>RCTs</w:t>
            </w:r>
          </w:p>
          <w:p w:rsidR="00F144E3" w:rsidRPr="001A0D0B" w:rsidRDefault="00F144E3" w:rsidP="00CB27AE">
            <w:pPr>
              <w:rPr>
                <w:rFonts w:cs="Calibri"/>
                <w:sz w:val="18"/>
                <w:szCs w:val="18"/>
              </w:rPr>
            </w:pPr>
            <w:r w:rsidRPr="001A0D0B">
              <w:rPr>
                <w:rFonts w:cs="Calibri"/>
                <w:sz w:val="18"/>
                <w:szCs w:val="18"/>
              </w:rPr>
              <w:t>People of any age who smoked and were motivated to quit</w:t>
            </w:r>
          </w:p>
        </w:tc>
        <w:tc>
          <w:tcPr>
            <w:tcW w:w="1701" w:type="dxa"/>
            <w:noWrap/>
          </w:tcPr>
          <w:p w:rsidR="00F144E3" w:rsidRPr="001A0D0B" w:rsidRDefault="00F144E3" w:rsidP="00CB27AE">
            <w:pPr>
              <w:rPr>
                <w:rFonts w:cs="Calibri"/>
                <w:sz w:val="18"/>
                <w:szCs w:val="18"/>
              </w:rPr>
            </w:pPr>
            <w:r w:rsidRPr="001A0D0B">
              <w:rPr>
                <w:rFonts w:cs="Calibri"/>
                <w:sz w:val="18"/>
                <w:szCs w:val="18"/>
              </w:rPr>
              <w:t>Any form, dose, duration, schedule of NRT use/any other form(s), dose(s), duration(s), schedule(s) of NRT use</w:t>
            </w:r>
          </w:p>
        </w:tc>
        <w:tc>
          <w:tcPr>
            <w:tcW w:w="1134" w:type="dxa"/>
            <w:noWrap/>
          </w:tcPr>
          <w:p w:rsidR="00F144E3" w:rsidRPr="001A0D0B" w:rsidRDefault="00F144E3" w:rsidP="00CB27AE">
            <w:pPr>
              <w:rPr>
                <w:rFonts w:cs="Calibri"/>
                <w:sz w:val="18"/>
                <w:szCs w:val="18"/>
              </w:rPr>
            </w:pPr>
            <w:r w:rsidRPr="001A0D0B">
              <w:rPr>
                <w:rFonts w:cs="Calibri"/>
                <w:sz w:val="18"/>
                <w:szCs w:val="18"/>
              </w:rPr>
              <w:t>Smoking cessation</w:t>
            </w:r>
          </w:p>
          <w:p w:rsidR="00F144E3" w:rsidRPr="001A0D0B" w:rsidRDefault="00F144E3" w:rsidP="00CB27AE">
            <w:pPr>
              <w:rPr>
                <w:rFonts w:cs="Calibri"/>
                <w:sz w:val="18"/>
                <w:szCs w:val="18"/>
              </w:rPr>
            </w:pPr>
            <w:r w:rsidRPr="001A0D0B">
              <w:rPr>
                <w:rFonts w:cs="Calibri"/>
                <w:sz w:val="18"/>
                <w:szCs w:val="18"/>
              </w:rPr>
              <w:t>AEs and SAEs).</w:t>
            </w:r>
          </w:p>
        </w:tc>
        <w:tc>
          <w:tcPr>
            <w:tcW w:w="1134" w:type="dxa"/>
            <w:noWrap/>
          </w:tcPr>
          <w:p w:rsidR="00F144E3" w:rsidRPr="001A0D0B" w:rsidRDefault="00F144E3" w:rsidP="00CB27AE">
            <w:pPr>
              <w:rPr>
                <w:rFonts w:cs="Calibri"/>
                <w:sz w:val="18"/>
                <w:szCs w:val="18"/>
              </w:rPr>
            </w:pPr>
            <w:r w:rsidRPr="001A0D0B">
              <w:rPr>
                <w:rFonts w:cs="Calibri"/>
                <w:sz w:val="18"/>
                <w:szCs w:val="18"/>
              </w:rPr>
              <w:t>N/A</w:t>
            </w:r>
            <w:r w:rsidR="00621F25" w:rsidRPr="001A0D0B">
              <w:rPr>
                <w:rFonts w:cs="Calibri"/>
                <w:sz w:val="18"/>
                <w:szCs w:val="18"/>
              </w:rPr>
              <w:t xml:space="preserve"> </w:t>
            </w:r>
          </w:p>
        </w:tc>
        <w:tc>
          <w:tcPr>
            <w:tcW w:w="1520" w:type="dxa"/>
            <w:noWrap/>
          </w:tcPr>
          <w:p w:rsidR="00F144E3" w:rsidRPr="001A0D0B" w:rsidRDefault="00F144E3" w:rsidP="00CB27AE">
            <w:pPr>
              <w:rPr>
                <w:rFonts w:cs="Calibri"/>
                <w:sz w:val="18"/>
                <w:szCs w:val="18"/>
              </w:rPr>
            </w:pPr>
            <w:r w:rsidRPr="001A0D0B">
              <w:rPr>
                <w:rFonts w:cs="Calibri"/>
                <w:sz w:val="18"/>
                <w:szCs w:val="18"/>
              </w:rPr>
              <w:t>N/A</w:t>
            </w:r>
          </w:p>
        </w:tc>
        <w:tc>
          <w:tcPr>
            <w:tcW w:w="1031" w:type="dxa"/>
            <w:noWrap/>
          </w:tcPr>
          <w:p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rsidR="00F144E3" w:rsidRPr="001A0D0B" w:rsidRDefault="00F144E3" w:rsidP="00CB27AE">
            <w:pPr>
              <w:jc w:val="center"/>
              <w:rPr>
                <w:rFonts w:cs="Calibri"/>
                <w:sz w:val="18"/>
                <w:szCs w:val="18"/>
              </w:rPr>
            </w:pPr>
            <w:r w:rsidRPr="001A0D0B">
              <w:rPr>
                <w:rFonts w:cs="Calibri"/>
                <w:sz w:val="18"/>
                <w:szCs w:val="18"/>
              </w:rPr>
              <w:t>63</w:t>
            </w:r>
          </w:p>
        </w:tc>
        <w:tc>
          <w:tcPr>
            <w:tcW w:w="1418" w:type="dxa"/>
            <w:noWrap/>
          </w:tcPr>
          <w:p w:rsidR="00F144E3" w:rsidRPr="001A0D0B" w:rsidRDefault="00F144E3" w:rsidP="00CB27AE">
            <w:pPr>
              <w:rPr>
                <w:rFonts w:cs="Calibri"/>
                <w:sz w:val="18"/>
                <w:szCs w:val="18"/>
              </w:rPr>
            </w:pPr>
            <w:r w:rsidRPr="001A0D0B">
              <w:rPr>
                <w:rFonts w:cs="Calibri"/>
                <w:sz w:val="18"/>
                <w:szCs w:val="18"/>
              </w:rPr>
              <w:t>41,509</w:t>
            </w:r>
          </w:p>
        </w:tc>
      </w:tr>
      <w:tr w:rsidR="00F144E3" w:rsidRPr="001A0D0B" w:rsidTr="00B33FD4">
        <w:tc>
          <w:tcPr>
            <w:tcW w:w="421" w:type="dxa"/>
            <w:noWrap/>
          </w:tcPr>
          <w:p w:rsidR="00F144E3" w:rsidRPr="001A0D0B" w:rsidRDefault="00F144E3" w:rsidP="00C324F3">
            <w:pPr>
              <w:numPr>
                <w:ilvl w:val="0"/>
                <w:numId w:val="6"/>
              </w:numPr>
              <w:rPr>
                <w:rFonts w:cs="Calibri"/>
                <w:sz w:val="18"/>
                <w:szCs w:val="18"/>
              </w:rPr>
            </w:pPr>
          </w:p>
        </w:tc>
        <w:tc>
          <w:tcPr>
            <w:tcW w:w="850" w:type="dxa"/>
            <w:noWrap/>
          </w:tcPr>
          <w:p w:rsidR="00F144E3" w:rsidRPr="001A0D0B" w:rsidRDefault="00F144E3" w:rsidP="00CB27AE">
            <w:pPr>
              <w:rPr>
                <w:rFonts w:cs="Calibri"/>
                <w:sz w:val="18"/>
                <w:szCs w:val="18"/>
              </w:rPr>
            </w:pPr>
            <w:r w:rsidRPr="001A0D0B">
              <w:rPr>
                <w:rFonts w:cs="Calibri"/>
                <w:sz w:val="18"/>
                <w:szCs w:val="18"/>
              </w:rPr>
              <w:t>Lindson 2019</w:t>
            </w:r>
            <w:r w:rsidR="00954253" w:rsidRPr="001A0D0B">
              <w:rPr>
                <w:rFonts w:cs="Calibri"/>
                <w:sz w:val="18"/>
                <w:szCs w:val="18"/>
              </w:rPr>
              <w:t>b</w:t>
            </w:r>
          </w:p>
        </w:tc>
        <w:tc>
          <w:tcPr>
            <w:tcW w:w="1985" w:type="dxa"/>
            <w:noWrap/>
          </w:tcPr>
          <w:p w:rsidR="00F144E3" w:rsidRPr="001A0D0B" w:rsidRDefault="00F144E3" w:rsidP="00CB27AE">
            <w:pPr>
              <w:rPr>
                <w:rFonts w:cs="Calibri"/>
                <w:sz w:val="18"/>
                <w:szCs w:val="18"/>
              </w:rPr>
            </w:pPr>
            <w:r w:rsidRPr="001A0D0B">
              <w:rPr>
                <w:rFonts w:cs="Calibri"/>
                <w:sz w:val="18"/>
                <w:szCs w:val="18"/>
              </w:rPr>
              <w:t>To assess the effect of reduction-to-quit interventions on long-term smoking cessation</w:t>
            </w:r>
          </w:p>
        </w:tc>
        <w:tc>
          <w:tcPr>
            <w:tcW w:w="1134" w:type="dxa"/>
            <w:noWrap/>
          </w:tcPr>
          <w:p w:rsidR="00F144E3" w:rsidRPr="001A0D0B" w:rsidRDefault="00F144E3" w:rsidP="00CB27AE">
            <w:pPr>
              <w:rPr>
                <w:rFonts w:eastAsiaTheme="minorEastAsia" w:cs="Calibri"/>
                <w:sz w:val="18"/>
                <w:szCs w:val="18"/>
              </w:rPr>
            </w:pPr>
            <w:r w:rsidRPr="001A0D0B">
              <w:rPr>
                <w:rFonts w:cs="Calibri"/>
                <w:sz w:val="18"/>
                <w:szCs w:val="18"/>
              </w:rPr>
              <w:t>RCT</w:t>
            </w:r>
            <w:r w:rsidR="00D43CA9" w:rsidRPr="001A0D0B">
              <w:rPr>
                <w:rFonts w:cs="Calibri"/>
                <w:sz w:val="18"/>
                <w:szCs w:val="18"/>
              </w:rPr>
              <w:t>s</w:t>
            </w:r>
          </w:p>
          <w:p w:rsidR="00F144E3" w:rsidRPr="001A0D0B" w:rsidRDefault="00F144E3" w:rsidP="00CB27AE">
            <w:pPr>
              <w:rPr>
                <w:rFonts w:cs="Calibri"/>
                <w:sz w:val="18"/>
                <w:szCs w:val="18"/>
              </w:rPr>
            </w:pPr>
            <w:r w:rsidRPr="001A0D0B">
              <w:rPr>
                <w:rFonts w:cs="Calibri"/>
                <w:sz w:val="18"/>
                <w:szCs w:val="18"/>
              </w:rPr>
              <w:t xml:space="preserve">Cigarette smokers of any age </w:t>
            </w:r>
          </w:p>
        </w:tc>
        <w:tc>
          <w:tcPr>
            <w:tcW w:w="1701" w:type="dxa"/>
            <w:noWrap/>
          </w:tcPr>
          <w:p w:rsidR="00F144E3" w:rsidRPr="001A0D0B" w:rsidRDefault="00F144E3" w:rsidP="00CB27AE">
            <w:pPr>
              <w:rPr>
                <w:rFonts w:cs="Calibri"/>
                <w:sz w:val="18"/>
                <w:szCs w:val="18"/>
              </w:rPr>
            </w:pPr>
            <w:r w:rsidRPr="001A0D0B">
              <w:rPr>
                <w:rFonts w:cs="Calibri"/>
                <w:sz w:val="18"/>
                <w:szCs w:val="18"/>
              </w:rPr>
              <w:t xml:space="preserve">NRT, VAR, and behavioural interventions/no smoking cessation, treatment or advice              </w:t>
            </w:r>
          </w:p>
        </w:tc>
        <w:tc>
          <w:tcPr>
            <w:tcW w:w="1134" w:type="dxa"/>
            <w:noWrap/>
          </w:tcPr>
          <w:p w:rsidR="00F144E3" w:rsidRPr="001A0D0B" w:rsidRDefault="00F144E3" w:rsidP="00CB27AE">
            <w:pPr>
              <w:rPr>
                <w:rFonts w:cs="Calibri"/>
                <w:sz w:val="18"/>
                <w:szCs w:val="18"/>
              </w:rPr>
            </w:pPr>
            <w:r w:rsidRPr="001A0D0B">
              <w:rPr>
                <w:rFonts w:cs="Calibri"/>
                <w:sz w:val="18"/>
                <w:szCs w:val="18"/>
              </w:rPr>
              <w:t>Smoking abstinence at long-term follow-up</w:t>
            </w:r>
          </w:p>
        </w:tc>
        <w:tc>
          <w:tcPr>
            <w:tcW w:w="1134" w:type="dxa"/>
            <w:noWrap/>
          </w:tcPr>
          <w:p w:rsidR="00F144E3" w:rsidRPr="001A0D0B" w:rsidRDefault="00F144E3" w:rsidP="00CB27AE">
            <w:pPr>
              <w:rPr>
                <w:rFonts w:cs="Calibri"/>
                <w:sz w:val="18"/>
                <w:szCs w:val="18"/>
              </w:rPr>
            </w:pPr>
            <w:r w:rsidRPr="001A0D0B">
              <w:rPr>
                <w:rFonts w:cs="Calibri"/>
                <w:sz w:val="18"/>
                <w:szCs w:val="18"/>
              </w:rPr>
              <w:t>Reduction in smoking behaviour</w:t>
            </w:r>
          </w:p>
          <w:p w:rsidR="00F144E3" w:rsidRPr="001A0D0B" w:rsidRDefault="00F144E3" w:rsidP="00CB27AE">
            <w:pPr>
              <w:rPr>
                <w:rFonts w:cs="Calibri"/>
                <w:sz w:val="18"/>
                <w:szCs w:val="18"/>
              </w:rPr>
            </w:pPr>
            <w:r w:rsidRPr="001A0D0B">
              <w:rPr>
                <w:rFonts w:cs="Calibri"/>
                <w:sz w:val="18"/>
                <w:szCs w:val="18"/>
              </w:rPr>
              <w:t xml:space="preserve">Proportion of participants who made a quit attempt </w:t>
            </w:r>
          </w:p>
          <w:p w:rsidR="00F144E3" w:rsidRPr="001A0D0B" w:rsidRDefault="00F144E3" w:rsidP="00CB27AE">
            <w:pPr>
              <w:rPr>
                <w:rFonts w:cs="Calibri"/>
                <w:sz w:val="18"/>
                <w:szCs w:val="18"/>
              </w:rPr>
            </w:pPr>
            <w:r w:rsidRPr="001A0D0B">
              <w:rPr>
                <w:rFonts w:cs="Calibri"/>
                <w:sz w:val="18"/>
                <w:szCs w:val="18"/>
              </w:rPr>
              <w:t>AEs</w:t>
            </w:r>
          </w:p>
        </w:tc>
        <w:tc>
          <w:tcPr>
            <w:tcW w:w="1520" w:type="dxa"/>
            <w:noWrap/>
          </w:tcPr>
          <w:p w:rsidR="00F144E3" w:rsidRPr="001A0D0B" w:rsidRDefault="00F144E3" w:rsidP="00CB27AE">
            <w:pPr>
              <w:rPr>
                <w:rFonts w:cs="Calibri"/>
                <w:sz w:val="18"/>
                <w:szCs w:val="18"/>
              </w:rPr>
            </w:pPr>
            <w:r w:rsidRPr="001A0D0B">
              <w:rPr>
                <w:rFonts w:cs="Calibri"/>
                <w:sz w:val="18"/>
                <w:szCs w:val="18"/>
              </w:rPr>
              <w:t>N/A</w:t>
            </w:r>
          </w:p>
        </w:tc>
        <w:tc>
          <w:tcPr>
            <w:tcW w:w="1031" w:type="dxa"/>
            <w:noWrap/>
          </w:tcPr>
          <w:p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rsidR="00F144E3" w:rsidRPr="001A0D0B" w:rsidRDefault="00F144E3" w:rsidP="00CB27AE">
            <w:pPr>
              <w:jc w:val="center"/>
              <w:rPr>
                <w:rFonts w:cs="Calibri"/>
                <w:sz w:val="18"/>
                <w:szCs w:val="18"/>
              </w:rPr>
            </w:pPr>
            <w:r w:rsidRPr="001A0D0B">
              <w:rPr>
                <w:rFonts w:cs="Calibri"/>
                <w:sz w:val="18"/>
                <w:szCs w:val="18"/>
              </w:rPr>
              <w:t>51</w:t>
            </w:r>
          </w:p>
        </w:tc>
        <w:tc>
          <w:tcPr>
            <w:tcW w:w="1418" w:type="dxa"/>
            <w:noWrap/>
          </w:tcPr>
          <w:p w:rsidR="00F144E3" w:rsidRPr="001A0D0B" w:rsidRDefault="00F144E3" w:rsidP="00CB27AE">
            <w:pPr>
              <w:rPr>
                <w:rFonts w:cs="Calibri"/>
                <w:sz w:val="18"/>
                <w:szCs w:val="18"/>
              </w:rPr>
            </w:pPr>
            <w:r w:rsidRPr="001A0D0B">
              <w:rPr>
                <w:rFonts w:cs="Calibri"/>
                <w:sz w:val="18"/>
                <w:szCs w:val="18"/>
              </w:rPr>
              <w:t>22,509</w:t>
            </w:r>
          </w:p>
        </w:tc>
      </w:tr>
      <w:tr w:rsidR="00F144E3" w:rsidRPr="001A0D0B" w:rsidTr="00B33FD4">
        <w:tc>
          <w:tcPr>
            <w:tcW w:w="421" w:type="dxa"/>
            <w:noWrap/>
          </w:tcPr>
          <w:p w:rsidR="00F144E3" w:rsidRPr="001A0D0B" w:rsidRDefault="00F144E3" w:rsidP="00C324F3">
            <w:pPr>
              <w:numPr>
                <w:ilvl w:val="0"/>
                <w:numId w:val="6"/>
              </w:numPr>
              <w:rPr>
                <w:rFonts w:cs="Calibri"/>
                <w:sz w:val="18"/>
                <w:szCs w:val="18"/>
              </w:rPr>
            </w:pPr>
          </w:p>
        </w:tc>
        <w:tc>
          <w:tcPr>
            <w:tcW w:w="850" w:type="dxa"/>
            <w:noWrap/>
          </w:tcPr>
          <w:p w:rsidR="00F144E3" w:rsidRPr="001A0D0B" w:rsidRDefault="00F144E3" w:rsidP="00CB27AE">
            <w:pPr>
              <w:rPr>
                <w:rFonts w:cs="Calibri"/>
                <w:sz w:val="18"/>
                <w:szCs w:val="18"/>
              </w:rPr>
            </w:pPr>
            <w:r w:rsidRPr="001A0D0B">
              <w:rPr>
                <w:rFonts w:cs="Calibri"/>
                <w:sz w:val="18"/>
                <w:szCs w:val="18"/>
              </w:rPr>
              <w:t>Hartmann-Boyce 2019</w:t>
            </w:r>
          </w:p>
        </w:tc>
        <w:tc>
          <w:tcPr>
            <w:tcW w:w="1985" w:type="dxa"/>
            <w:noWrap/>
          </w:tcPr>
          <w:p w:rsidR="00F144E3" w:rsidRPr="001A0D0B" w:rsidRDefault="00F144E3" w:rsidP="00CB27AE">
            <w:pPr>
              <w:rPr>
                <w:rFonts w:cs="Calibri"/>
                <w:sz w:val="18"/>
                <w:szCs w:val="18"/>
              </w:rPr>
            </w:pPr>
            <w:r w:rsidRPr="001A0D0B">
              <w:rPr>
                <w:rFonts w:cs="Calibri"/>
                <w:sz w:val="18"/>
                <w:szCs w:val="18"/>
              </w:rPr>
              <w:t xml:space="preserve">To evaluate the effect of adding or increasing the intensity of behavioural support for </w:t>
            </w:r>
            <w:r w:rsidRPr="001A0D0B">
              <w:rPr>
                <w:rFonts w:cs="Calibri"/>
                <w:sz w:val="18"/>
                <w:szCs w:val="18"/>
              </w:rPr>
              <w:lastRenderedPageBreak/>
              <w:t>people using smoking cessation medications, and to assess whether there are different effects depending on the type of pharmacotherapy, or the amount of support in each condition.</w:t>
            </w:r>
          </w:p>
          <w:p w:rsidR="00F144E3" w:rsidRPr="001A0D0B" w:rsidRDefault="00F144E3" w:rsidP="00CB27AE">
            <w:pPr>
              <w:rPr>
                <w:rFonts w:cs="Calibri"/>
                <w:sz w:val="18"/>
                <w:szCs w:val="18"/>
              </w:rPr>
            </w:pPr>
            <w:r w:rsidRPr="001A0D0B">
              <w:rPr>
                <w:rFonts w:cs="Calibri"/>
                <w:sz w:val="18"/>
                <w:szCs w:val="18"/>
              </w:rPr>
              <w:t>We also looked at studies which directly compare behavioural interventions matched for contact time, where pharmacotherapy is provided to both groups (e.g. tests of different components or approaches to behavioural support as an adjunct to pharmacotherapy)</w:t>
            </w:r>
          </w:p>
        </w:tc>
        <w:tc>
          <w:tcPr>
            <w:tcW w:w="1134" w:type="dxa"/>
            <w:noWrap/>
          </w:tcPr>
          <w:p w:rsidR="00F144E3" w:rsidRPr="001A0D0B" w:rsidRDefault="00F144E3" w:rsidP="00CB27AE">
            <w:pPr>
              <w:rPr>
                <w:rFonts w:cs="Calibri"/>
                <w:sz w:val="18"/>
                <w:szCs w:val="18"/>
              </w:rPr>
            </w:pPr>
            <w:r w:rsidRPr="001A0D0B">
              <w:rPr>
                <w:rFonts w:cs="Calibri"/>
                <w:sz w:val="18"/>
                <w:szCs w:val="18"/>
              </w:rPr>
              <w:lastRenderedPageBreak/>
              <w:t>RCTs, including cluster-RCTs</w:t>
            </w:r>
          </w:p>
          <w:p w:rsidR="00F144E3" w:rsidRPr="001A0D0B" w:rsidRDefault="00F144E3" w:rsidP="00CB27AE">
            <w:pPr>
              <w:rPr>
                <w:rFonts w:cs="Calibri"/>
                <w:sz w:val="18"/>
                <w:szCs w:val="18"/>
              </w:rPr>
            </w:pPr>
            <w:r w:rsidRPr="001A0D0B">
              <w:rPr>
                <w:rFonts w:cs="Calibri"/>
                <w:sz w:val="18"/>
                <w:szCs w:val="18"/>
              </w:rPr>
              <w:lastRenderedPageBreak/>
              <w:t>People who smoke</w:t>
            </w:r>
          </w:p>
        </w:tc>
        <w:tc>
          <w:tcPr>
            <w:tcW w:w="1701" w:type="dxa"/>
            <w:noWrap/>
          </w:tcPr>
          <w:p w:rsidR="00F144E3" w:rsidRPr="001A0D0B" w:rsidRDefault="00F144E3" w:rsidP="00CB27AE">
            <w:pPr>
              <w:rPr>
                <w:rFonts w:cs="Calibri"/>
                <w:sz w:val="18"/>
                <w:szCs w:val="18"/>
              </w:rPr>
            </w:pPr>
            <w:r w:rsidRPr="001A0D0B">
              <w:rPr>
                <w:rFonts w:cs="Calibri"/>
                <w:sz w:val="18"/>
                <w:szCs w:val="18"/>
              </w:rPr>
              <w:lastRenderedPageBreak/>
              <w:t>NRT, BUP, VAR, or nortriptyline and behavioural support/NA</w:t>
            </w:r>
          </w:p>
        </w:tc>
        <w:tc>
          <w:tcPr>
            <w:tcW w:w="1134" w:type="dxa"/>
            <w:noWrap/>
          </w:tcPr>
          <w:p w:rsidR="00F144E3" w:rsidRPr="001A0D0B" w:rsidRDefault="00F144E3" w:rsidP="00CB27AE">
            <w:pPr>
              <w:rPr>
                <w:rFonts w:cs="Calibri"/>
                <w:sz w:val="18"/>
                <w:szCs w:val="18"/>
              </w:rPr>
            </w:pPr>
            <w:r w:rsidRPr="001A0D0B">
              <w:rPr>
                <w:rFonts w:cs="Calibri"/>
                <w:sz w:val="18"/>
                <w:szCs w:val="18"/>
              </w:rPr>
              <w:t>Smoking cessation</w:t>
            </w:r>
          </w:p>
        </w:tc>
        <w:tc>
          <w:tcPr>
            <w:tcW w:w="1134" w:type="dxa"/>
            <w:noWrap/>
          </w:tcPr>
          <w:p w:rsidR="00F144E3" w:rsidRPr="001A0D0B" w:rsidRDefault="00F144E3" w:rsidP="00CB27AE">
            <w:pPr>
              <w:rPr>
                <w:rFonts w:cs="Calibri"/>
                <w:sz w:val="18"/>
                <w:szCs w:val="18"/>
              </w:rPr>
            </w:pPr>
            <w:r w:rsidRPr="001A0D0B">
              <w:rPr>
                <w:rFonts w:cs="Calibri"/>
                <w:sz w:val="18"/>
                <w:szCs w:val="18"/>
              </w:rPr>
              <w:t>N/A</w:t>
            </w:r>
          </w:p>
        </w:tc>
        <w:tc>
          <w:tcPr>
            <w:tcW w:w="1520" w:type="dxa"/>
            <w:noWrap/>
          </w:tcPr>
          <w:p w:rsidR="00F144E3" w:rsidRPr="001A0D0B" w:rsidRDefault="00F144E3" w:rsidP="00CB27AE">
            <w:pPr>
              <w:rPr>
                <w:rFonts w:cs="Calibri"/>
                <w:sz w:val="18"/>
                <w:szCs w:val="18"/>
              </w:rPr>
            </w:pPr>
            <w:r w:rsidRPr="001A0D0B">
              <w:rPr>
                <w:rFonts w:cs="Calibri"/>
                <w:sz w:val="18"/>
                <w:szCs w:val="18"/>
              </w:rPr>
              <w:t>N/A</w:t>
            </w:r>
          </w:p>
        </w:tc>
        <w:tc>
          <w:tcPr>
            <w:tcW w:w="1031" w:type="dxa"/>
            <w:noWrap/>
          </w:tcPr>
          <w:p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rsidR="00F144E3" w:rsidRPr="001A0D0B" w:rsidRDefault="00F144E3" w:rsidP="00CB27AE">
            <w:pPr>
              <w:jc w:val="center"/>
              <w:rPr>
                <w:rFonts w:cs="Calibri"/>
                <w:sz w:val="18"/>
                <w:szCs w:val="18"/>
              </w:rPr>
            </w:pPr>
            <w:r w:rsidRPr="001A0D0B">
              <w:rPr>
                <w:rFonts w:cs="Calibri"/>
                <w:sz w:val="18"/>
                <w:szCs w:val="18"/>
              </w:rPr>
              <w:t>83</w:t>
            </w:r>
          </w:p>
        </w:tc>
        <w:tc>
          <w:tcPr>
            <w:tcW w:w="1418" w:type="dxa"/>
            <w:noWrap/>
          </w:tcPr>
          <w:p w:rsidR="00F144E3" w:rsidRPr="001A0D0B" w:rsidRDefault="00F144E3" w:rsidP="00CB27AE">
            <w:pPr>
              <w:rPr>
                <w:rFonts w:cs="Calibri"/>
                <w:sz w:val="18"/>
                <w:szCs w:val="18"/>
              </w:rPr>
            </w:pPr>
            <w:r w:rsidRPr="001A0D0B">
              <w:rPr>
                <w:rFonts w:cs="Calibri"/>
                <w:sz w:val="18"/>
                <w:szCs w:val="18"/>
              </w:rPr>
              <w:t>29,536</w:t>
            </w:r>
          </w:p>
        </w:tc>
      </w:tr>
      <w:tr w:rsidR="00F144E3" w:rsidRPr="001A0D0B" w:rsidTr="00B33FD4">
        <w:tc>
          <w:tcPr>
            <w:tcW w:w="421" w:type="dxa"/>
            <w:noWrap/>
          </w:tcPr>
          <w:p w:rsidR="00F144E3" w:rsidRPr="001A0D0B" w:rsidRDefault="00F144E3" w:rsidP="00C324F3">
            <w:pPr>
              <w:numPr>
                <w:ilvl w:val="0"/>
                <w:numId w:val="6"/>
              </w:numPr>
              <w:rPr>
                <w:rFonts w:cs="Calibri"/>
                <w:sz w:val="18"/>
                <w:szCs w:val="18"/>
              </w:rPr>
            </w:pPr>
          </w:p>
        </w:tc>
        <w:tc>
          <w:tcPr>
            <w:tcW w:w="850" w:type="dxa"/>
            <w:noWrap/>
          </w:tcPr>
          <w:p w:rsidR="00F144E3" w:rsidRPr="001A0D0B" w:rsidRDefault="00F144E3" w:rsidP="00CB27AE">
            <w:pPr>
              <w:rPr>
                <w:rFonts w:cs="Calibri"/>
                <w:sz w:val="18"/>
                <w:szCs w:val="18"/>
              </w:rPr>
            </w:pPr>
            <w:r w:rsidRPr="001A0D0B">
              <w:rPr>
                <w:rFonts w:cs="Calibri"/>
                <w:sz w:val="18"/>
                <w:szCs w:val="18"/>
              </w:rPr>
              <w:t>Carson-Chahhoud 2019</w:t>
            </w:r>
          </w:p>
        </w:tc>
        <w:tc>
          <w:tcPr>
            <w:tcW w:w="1985" w:type="dxa"/>
            <w:noWrap/>
          </w:tcPr>
          <w:p w:rsidR="00F144E3" w:rsidRPr="001A0D0B" w:rsidRDefault="00F144E3" w:rsidP="00CB27AE">
            <w:pPr>
              <w:rPr>
                <w:rFonts w:cs="Calibri"/>
                <w:sz w:val="18"/>
                <w:szCs w:val="18"/>
              </w:rPr>
            </w:pPr>
            <w:r w:rsidRPr="001A0D0B">
              <w:rPr>
                <w:rFonts w:cs="Calibri"/>
                <w:sz w:val="18"/>
                <w:szCs w:val="18"/>
              </w:rPr>
              <w:t>To assess the effectiveness of interventions delivered by community pharmacy personnel to assist people to stop smoking, with or without concurrent use of pharmacotherapy</w:t>
            </w:r>
          </w:p>
        </w:tc>
        <w:tc>
          <w:tcPr>
            <w:tcW w:w="1134" w:type="dxa"/>
            <w:noWrap/>
          </w:tcPr>
          <w:p w:rsidR="00F144E3" w:rsidRPr="001A0D0B" w:rsidRDefault="00F144E3" w:rsidP="00CB27AE">
            <w:pPr>
              <w:rPr>
                <w:rFonts w:cs="Calibri"/>
                <w:sz w:val="18"/>
                <w:szCs w:val="18"/>
              </w:rPr>
            </w:pPr>
            <w:r w:rsidRPr="001A0D0B">
              <w:rPr>
                <w:rFonts w:cs="Calibri"/>
                <w:sz w:val="18"/>
                <w:szCs w:val="18"/>
              </w:rPr>
              <w:t>RCTs, including cluster-RCTs</w:t>
            </w:r>
          </w:p>
          <w:p w:rsidR="00F144E3" w:rsidRPr="001A0D0B" w:rsidRDefault="00F144E3" w:rsidP="00CB27AE">
            <w:pPr>
              <w:rPr>
                <w:rFonts w:cs="Calibri"/>
                <w:sz w:val="18"/>
                <w:szCs w:val="18"/>
              </w:rPr>
            </w:pPr>
            <w:r w:rsidRPr="001A0D0B">
              <w:rPr>
                <w:rFonts w:cs="Calibri"/>
                <w:sz w:val="18"/>
                <w:szCs w:val="18"/>
              </w:rPr>
              <w:t xml:space="preserve">Community pharmacy clients who were current tobacco smokers and motivated to change their </w:t>
            </w:r>
            <w:r w:rsidRPr="001A0D0B">
              <w:rPr>
                <w:rFonts w:cs="Calibri"/>
                <w:sz w:val="18"/>
                <w:szCs w:val="18"/>
              </w:rPr>
              <w:lastRenderedPageBreak/>
              <w:t>smoking behaviour</w:t>
            </w:r>
          </w:p>
        </w:tc>
        <w:tc>
          <w:tcPr>
            <w:tcW w:w="1701" w:type="dxa"/>
            <w:noWrap/>
          </w:tcPr>
          <w:p w:rsidR="00F144E3" w:rsidRPr="001A0D0B" w:rsidRDefault="00F144E3" w:rsidP="00CB27AE">
            <w:pPr>
              <w:rPr>
                <w:rFonts w:cs="Calibri"/>
                <w:sz w:val="18"/>
                <w:szCs w:val="18"/>
              </w:rPr>
            </w:pPr>
            <w:r w:rsidRPr="001A0D0B">
              <w:rPr>
                <w:rFonts w:cs="Calibri"/>
                <w:sz w:val="18"/>
                <w:szCs w:val="18"/>
              </w:rPr>
              <w:lastRenderedPageBreak/>
              <w:t>Behavioural interventions provided by community pharmacy personnel/no or less intensive behavioural support.</w:t>
            </w:r>
          </w:p>
        </w:tc>
        <w:tc>
          <w:tcPr>
            <w:tcW w:w="1134" w:type="dxa"/>
            <w:noWrap/>
          </w:tcPr>
          <w:p w:rsidR="00F144E3" w:rsidRPr="001A0D0B" w:rsidRDefault="00F144E3" w:rsidP="00CB27AE">
            <w:pPr>
              <w:rPr>
                <w:rFonts w:cs="Calibri"/>
                <w:sz w:val="18"/>
                <w:szCs w:val="18"/>
              </w:rPr>
            </w:pPr>
            <w:r w:rsidRPr="001A0D0B">
              <w:rPr>
                <w:rFonts w:cs="Calibri"/>
                <w:sz w:val="18"/>
                <w:szCs w:val="18"/>
              </w:rPr>
              <w:t>Abstinence from smoking</w:t>
            </w:r>
          </w:p>
        </w:tc>
        <w:tc>
          <w:tcPr>
            <w:tcW w:w="1134" w:type="dxa"/>
            <w:noWrap/>
          </w:tcPr>
          <w:p w:rsidR="00F144E3" w:rsidRPr="001A0D0B" w:rsidRDefault="00F144E3" w:rsidP="00CB27AE">
            <w:pPr>
              <w:rPr>
                <w:rFonts w:cs="Calibri"/>
                <w:sz w:val="18"/>
                <w:szCs w:val="18"/>
              </w:rPr>
            </w:pPr>
            <w:r w:rsidRPr="001A0D0B">
              <w:rPr>
                <w:rFonts w:cs="Calibri"/>
                <w:sz w:val="18"/>
                <w:szCs w:val="18"/>
              </w:rPr>
              <w:t>Cost-effectiveness</w:t>
            </w:r>
          </w:p>
        </w:tc>
        <w:tc>
          <w:tcPr>
            <w:tcW w:w="1520" w:type="dxa"/>
            <w:noWrap/>
          </w:tcPr>
          <w:p w:rsidR="00F144E3" w:rsidRPr="001A0D0B" w:rsidRDefault="00F144E3" w:rsidP="00CB27AE">
            <w:pPr>
              <w:rPr>
                <w:rFonts w:cs="Calibri"/>
                <w:sz w:val="18"/>
                <w:szCs w:val="18"/>
              </w:rPr>
            </w:pPr>
            <w:r w:rsidRPr="001A0D0B">
              <w:rPr>
                <w:rFonts w:cs="Calibri"/>
                <w:sz w:val="18"/>
                <w:szCs w:val="18"/>
              </w:rPr>
              <w:t>AEs</w:t>
            </w:r>
          </w:p>
        </w:tc>
        <w:tc>
          <w:tcPr>
            <w:tcW w:w="1031" w:type="dxa"/>
            <w:noWrap/>
          </w:tcPr>
          <w:p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rsidR="00F144E3" w:rsidRPr="001A0D0B" w:rsidRDefault="00F144E3" w:rsidP="00CB27AE">
            <w:pPr>
              <w:jc w:val="center"/>
              <w:rPr>
                <w:rFonts w:cs="Calibri"/>
                <w:sz w:val="18"/>
                <w:szCs w:val="18"/>
              </w:rPr>
            </w:pPr>
            <w:r w:rsidRPr="001A0D0B">
              <w:rPr>
                <w:rFonts w:cs="Calibri"/>
                <w:sz w:val="18"/>
                <w:szCs w:val="18"/>
              </w:rPr>
              <w:t>7</w:t>
            </w:r>
          </w:p>
        </w:tc>
        <w:tc>
          <w:tcPr>
            <w:tcW w:w="1418" w:type="dxa"/>
            <w:noWrap/>
          </w:tcPr>
          <w:p w:rsidR="00F144E3" w:rsidRPr="001A0D0B" w:rsidRDefault="00F144E3" w:rsidP="00CB27AE">
            <w:pPr>
              <w:rPr>
                <w:rFonts w:cs="Calibri"/>
                <w:sz w:val="18"/>
                <w:szCs w:val="18"/>
              </w:rPr>
            </w:pPr>
            <w:r w:rsidRPr="001A0D0B">
              <w:rPr>
                <w:rFonts w:cs="Calibri"/>
                <w:sz w:val="18"/>
                <w:szCs w:val="18"/>
              </w:rPr>
              <w:t>1,774</w:t>
            </w:r>
          </w:p>
        </w:tc>
      </w:tr>
      <w:tr w:rsidR="00F144E3" w:rsidRPr="001A0D0B" w:rsidTr="00B33FD4">
        <w:tc>
          <w:tcPr>
            <w:tcW w:w="421" w:type="dxa"/>
            <w:noWrap/>
          </w:tcPr>
          <w:p w:rsidR="00F144E3" w:rsidRPr="001A0D0B" w:rsidRDefault="00F144E3" w:rsidP="00C324F3">
            <w:pPr>
              <w:numPr>
                <w:ilvl w:val="0"/>
                <w:numId w:val="6"/>
              </w:numPr>
              <w:rPr>
                <w:rFonts w:cs="Calibri"/>
                <w:sz w:val="18"/>
                <w:szCs w:val="18"/>
              </w:rPr>
            </w:pPr>
          </w:p>
        </w:tc>
        <w:tc>
          <w:tcPr>
            <w:tcW w:w="850" w:type="dxa"/>
            <w:noWrap/>
          </w:tcPr>
          <w:p w:rsidR="00F144E3" w:rsidRPr="001A0D0B" w:rsidRDefault="00F144E3" w:rsidP="00CB27AE">
            <w:pPr>
              <w:rPr>
                <w:rFonts w:cs="Calibri"/>
                <w:sz w:val="18"/>
                <w:szCs w:val="18"/>
              </w:rPr>
            </w:pPr>
            <w:r w:rsidRPr="001A0D0B">
              <w:rPr>
                <w:rFonts w:cs="Calibri"/>
                <w:sz w:val="18"/>
                <w:szCs w:val="18"/>
              </w:rPr>
              <w:t>Hartmann-Boyce 2018</w:t>
            </w:r>
          </w:p>
        </w:tc>
        <w:tc>
          <w:tcPr>
            <w:tcW w:w="1985" w:type="dxa"/>
            <w:noWrap/>
          </w:tcPr>
          <w:p w:rsidR="00F144E3" w:rsidRPr="001A0D0B" w:rsidRDefault="00F144E3" w:rsidP="00CB27AE">
            <w:pPr>
              <w:rPr>
                <w:rFonts w:cs="Calibri"/>
                <w:sz w:val="18"/>
                <w:szCs w:val="18"/>
              </w:rPr>
            </w:pPr>
            <w:r w:rsidRPr="001A0D0B">
              <w:rPr>
                <w:rFonts w:cs="Calibri"/>
                <w:sz w:val="18"/>
                <w:szCs w:val="18"/>
              </w:rPr>
              <w:t>To determine the effectiveness and safety of nicotine replacement therapy (NRT), including gum, transdermal patch, intranasal spray and inhaled and oral preparations, for achieving long-term smoking cessation, compared to placebo or 'no NRT' interventions</w:t>
            </w:r>
          </w:p>
        </w:tc>
        <w:tc>
          <w:tcPr>
            <w:tcW w:w="1134" w:type="dxa"/>
            <w:noWrap/>
          </w:tcPr>
          <w:p w:rsidR="00F144E3" w:rsidRPr="001A0D0B" w:rsidRDefault="00F144E3" w:rsidP="00CB27AE">
            <w:pPr>
              <w:rPr>
                <w:rFonts w:cs="Calibri"/>
                <w:sz w:val="18"/>
                <w:szCs w:val="18"/>
              </w:rPr>
            </w:pPr>
            <w:r w:rsidRPr="001A0D0B">
              <w:rPr>
                <w:rFonts w:cs="Calibri"/>
                <w:sz w:val="18"/>
                <w:szCs w:val="18"/>
              </w:rPr>
              <w:t>RCTs</w:t>
            </w:r>
          </w:p>
          <w:p w:rsidR="00F144E3" w:rsidRPr="001A0D0B" w:rsidRDefault="00F144E3" w:rsidP="00CB27AE">
            <w:pPr>
              <w:rPr>
                <w:rFonts w:cs="Calibri"/>
                <w:sz w:val="18"/>
                <w:szCs w:val="18"/>
              </w:rPr>
            </w:pPr>
            <w:r w:rsidRPr="001A0D0B">
              <w:rPr>
                <w:rFonts w:cs="Calibri"/>
                <w:sz w:val="18"/>
                <w:szCs w:val="18"/>
              </w:rPr>
              <w:t>Men or women who smoked and were motivated to quit</w:t>
            </w:r>
          </w:p>
        </w:tc>
        <w:tc>
          <w:tcPr>
            <w:tcW w:w="1701" w:type="dxa"/>
            <w:noWrap/>
          </w:tcPr>
          <w:p w:rsidR="00F144E3" w:rsidRPr="001A0D0B" w:rsidRDefault="00F144E3" w:rsidP="00CB27AE">
            <w:pPr>
              <w:rPr>
                <w:rFonts w:cs="Calibri"/>
                <w:sz w:val="18"/>
                <w:szCs w:val="18"/>
              </w:rPr>
            </w:pPr>
            <w:r w:rsidRPr="001A0D0B">
              <w:rPr>
                <w:rFonts w:cs="Calibri"/>
                <w:sz w:val="18"/>
                <w:szCs w:val="18"/>
              </w:rPr>
              <w:t>NRT/placebo or no NRT</w:t>
            </w:r>
          </w:p>
        </w:tc>
        <w:tc>
          <w:tcPr>
            <w:tcW w:w="1134" w:type="dxa"/>
            <w:noWrap/>
          </w:tcPr>
          <w:p w:rsidR="00F144E3" w:rsidRPr="001A0D0B" w:rsidRDefault="00F144E3" w:rsidP="00CB27AE">
            <w:pPr>
              <w:rPr>
                <w:rFonts w:cs="Calibri"/>
                <w:sz w:val="18"/>
                <w:szCs w:val="18"/>
              </w:rPr>
            </w:pPr>
            <w:r w:rsidRPr="001A0D0B">
              <w:rPr>
                <w:rFonts w:cs="Calibri"/>
                <w:sz w:val="18"/>
                <w:szCs w:val="18"/>
              </w:rPr>
              <w:t>Smoking cessation</w:t>
            </w:r>
          </w:p>
        </w:tc>
        <w:tc>
          <w:tcPr>
            <w:tcW w:w="1134" w:type="dxa"/>
            <w:noWrap/>
          </w:tcPr>
          <w:p w:rsidR="00F144E3" w:rsidRPr="001A0D0B" w:rsidRDefault="00F144E3" w:rsidP="00CB27AE">
            <w:pPr>
              <w:rPr>
                <w:rFonts w:cs="Calibri"/>
                <w:sz w:val="18"/>
                <w:szCs w:val="18"/>
              </w:rPr>
            </w:pPr>
            <w:r w:rsidRPr="001A0D0B">
              <w:rPr>
                <w:rFonts w:cs="Calibri"/>
                <w:sz w:val="18"/>
                <w:szCs w:val="18"/>
              </w:rPr>
              <w:t>N/A</w:t>
            </w:r>
          </w:p>
        </w:tc>
        <w:tc>
          <w:tcPr>
            <w:tcW w:w="1520" w:type="dxa"/>
            <w:noWrap/>
          </w:tcPr>
          <w:p w:rsidR="00F144E3" w:rsidRPr="001A0D0B" w:rsidRDefault="00F144E3" w:rsidP="00CB27AE">
            <w:pPr>
              <w:rPr>
                <w:rFonts w:cs="Calibri"/>
                <w:sz w:val="18"/>
                <w:szCs w:val="18"/>
              </w:rPr>
            </w:pPr>
            <w:r w:rsidRPr="001A0D0B">
              <w:rPr>
                <w:rFonts w:cs="Calibri"/>
                <w:sz w:val="18"/>
                <w:szCs w:val="18"/>
              </w:rPr>
              <w:t>AEs</w:t>
            </w:r>
          </w:p>
        </w:tc>
        <w:tc>
          <w:tcPr>
            <w:tcW w:w="1031" w:type="dxa"/>
            <w:noWrap/>
          </w:tcPr>
          <w:p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rsidR="00F144E3" w:rsidRPr="001A0D0B" w:rsidRDefault="00F144E3" w:rsidP="00CB27AE">
            <w:pPr>
              <w:jc w:val="center"/>
              <w:rPr>
                <w:rFonts w:cs="Calibri"/>
                <w:sz w:val="18"/>
                <w:szCs w:val="18"/>
              </w:rPr>
            </w:pPr>
            <w:r w:rsidRPr="001A0D0B">
              <w:rPr>
                <w:rFonts w:cs="Calibri"/>
                <w:sz w:val="18"/>
                <w:szCs w:val="18"/>
              </w:rPr>
              <w:t>134</w:t>
            </w:r>
          </w:p>
        </w:tc>
        <w:tc>
          <w:tcPr>
            <w:tcW w:w="1418" w:type="dxa"/>
            <w:noWrap/>
          </w:tcPr>
          <w:p w:rsidR="00F144E3" w:rsidRPr="001A0D0B" w:rsidRDefault="00F144E3" w:rsidP="00CB27AE">
            <w:pPr>
              <w:rPr>
                <w:rFonts w:cs="Calibri"/>
                <w:sz w:val="18"/>
                <w:szCs w:val="18"/>
              </w:rPr>
            </w:pPr>
            <w:r w:rsidRPr="001A0D0B">
              <w:rPr>
                <w:rFonts w:cs="Calibri"/>
                <w:sz w:val="18"/>
                <w:szCs w:val="18"/>
              </w:rPr>
              <w:t>64,640</w:t>
            </w:r>
          </w:p>
        </w:tc>
      </w:tr>
      <w:tr w:rsidR="00F144E3" w:rsidRPr="001A0D0B" w:rsidTr="00B33FD4">
        <w:tc>
          <w:tcPr>
            <w:tcW w:w="421" w:type="dxa"/>
            <w:noWrap/>
          </w:tcPr>
          <w:p w:rsidR="00F144E3" w:rsidRPr="001A0D0B" w:rsidRDefault="00F144E3" w:rsidP="00C324F3">
            <w:pPr>
              <w:numPr>
                <w:ilvl w:val="0"/>
                <w:numId w:val="6"/>
              </w:numPr>
              <w:rPr>
                <w:rFonts w:cs="Calibri"/>
                <w:sz w:val="18"/>
                <w:szCs w:val="18"/>
              </w:rPr>
            </w:pPr>
          </w:p>
        </w:tc>
        <w:tc>
          <w:tcPr>
            <w:tcW w:w="850" w:type="dxa"/>
            <w:noWrap/>
          </w:tcPr>
          <w:p w:rsidR="00F144E3" w:rsidRPr="001A0D0B" w:rsidRDefault="00F144E3" w:rsidP="00CB27AE">
            <w:pPr>
              <w:rPr>
                <w:rFonts w:cs="Calibri"/>
                <w:sz w:val="18"/>
                <w:szCs w:val="18"/>
              </w:rPr>
            </w:pPr>
            <w:r w:rsidRPr="001A0D0B">
              <w:rPr>
                <w:rFonts w:cs="Calibri"/>
                <w:sz w:val="18"/>
                <w:szCs w:val="18"/>
              </w:rPr>
              <w:t>Stead 2017</w:t>
            </w:r>
          </w:p>
        </w:tc>
        <w:tc>
          <w:tcPr>
            <w:tcW w:w="1985" w:type="dxa"/>
            <w:noWrap/>
          </w:tcPr>
          <w:p w:rsidR="00F144E3" w:rsidRPr="001A0D0B" w:rsidRDefault="00F144E3" w:rsidP="00CB27AE">
            <w:pPr>
              <w:rPr>
                <w:rFonts w:cs="Calibri"/>
                <w:sz w:val="18"/>
                <w:szCs w:val="18"/>
              </w:rPr>
            </w:pPr>
            <w:r w:rsidRPr="001A0D0B">
              <w:rPr>
                <w:rFonts w:cs="Calibri"/>
                <w:sz w:val="18"/>
                <w:szCs w:val="18"/>
              </w:rPr>
              <w:t>To determine the effect of group-delivered behavioural interventions in achieving long-term smoking cessation</w:t>
            </w:r>
          </w:p>
        </w:tc>
        <w:tc>
          <w:tcPr>
            <w:tcW w:w="1134" w:type="dxa"/>
            <w:noWrap/>
          </w:tcPr>
          <w:p w:rsidR="00F144E3" w:rsidRPr="001A0D0B" w:rsidRDefault="00F144E3" w:rsidP="00CB27AE">
            <w:pPr>
              <w:rPr>
                <w:rFonts w:cs="Calibri"/>
                <w:sz w:val="18"/>
                <w:szCs w:val="18"/>
              </w:rPr>
            </w:pPr>
            <w:r w:rsidRPr="001A0D0B">
              <w:rPr>
                <w:rFonts w:cs="Calibri"/>
                <w:sz w:val="18"/>
                <w:szCs w:val="18"/>
              </w:rPr>
              <w:t>RCTs</w:t>
            </w:r>
          </w:p>
          <w:p w:rsidR="00F144E3" w:rsidRPr="001A0D0B" w:rsidRDefault="00F144E3" w:rsidP="00CB27AE">
            <w:pPr>
              <w:rPr>
                <w:rFonts w:cs="Calibri"/>
                <w:sz w:val="18"/>
                <w:szCs w:val="18"/>
              </w:rPr>
            </w:pPr>
            <w:r w:rsidRPr="001A0D0B">
              <w:rPr>
                <w:rFonts w:cs="Calibri"/>
                <w:sz w:val="18"/>
                <w:szCs w:val="18"/>
              </w:rPr>
              <w:t>Trials that compared more than one group programme</w:t>
            </w:r>
          </w:p>
          <w:p w:rsidR="00F144E3" w:rsidRPr="001A0D0B" w:rsidRDefault="00F144E3" w:rsidP="00CB27AE">
            <w:pPr>
              <w:rPr>
                <w:rFonts w:eastAsiaTheme="minorEastAsia" w:cs="Calibri"/>
                <w:sz w:val="18"/>
                <w:szCs w:val="18"/>
              </w:rPr>
            </w:pPr>
            <w:r w:rsidRPr="001A0D0B">
              <w:rPr>
                <w:rFonts w:cs="Calibri"/>
                <w:sz w:val="18"/>
                <w:szCs w:val="18"/>
              </w:rPr>
              <w:t xml:space="preserve">Trials with a minimum of two group meetings, and follow-up of smoking status at least six months </w:t>
            </w:r>
          </w:p>
          <w:p w:rsidR="00F144E3" w:rsidRPr="001A0D0B" w:rsidRDefault="00F144E3" w:rsidP="00CB27AE">
            <w:pPr>
              <w:rPr>
                <w:rFonts w:cs="Calibri"/>
                <w:sz w:val="18"/>
                <w:szCs w:val="18"/>
              </w:rPr>
            </w:pPr>
            <w:r w:rsidRPr="001A0D0B">
              <w:rPr>
                <w:rFonts w:cs="Calibri"/>
                <w:sz w:val="18"/>
                <w:szCs w:val="18"/>
              </w:rPr>
              <w:t>Adult smokers of either gender</w:t>
            </w:r>
          </w:p>
        </w:tc>
        <w:tc>
          <w:tcPr>
            <w:tcW w:w="1701" w:type="dxa"/>
            <w:noWrap/>
          </w:tcPr>
          <w:p w:rsidR="00F144E3" w:rsidRPr="001A0D0B" w:rsidRDefault="00F144E3" w:rsidP="00CB27AE">
            <w:pPr>
              <w:rPr>
                <w:rFonts w:cs="Calibri"/>
                <w:sz w:val="18"/>
                <w:szCs w:val="18"/>
              </w:rPr>
            </w:pPr>
            <w:r w:rsidRPr="001A0D0B">
              <w:rPr>
                <w:rFonts w:cs="Calibri"/>
                <w:sz w:val="18"/>
                <w:szCs w:val="18"/>
              </w:rPr>
              <w:t>Group therapy and pharmacotherapy/self-help programmes, other less intensive interventions, pharmacotherapy alone, individual counselling sessions, no intervention</w:t>
            </w:r>
          </w:p>
        </w:tc>
        <w:tc>
          <w:tcPr>
            <w:tcW w:w="1134" w:type="dxa"/>
            <w:noWrap/>
          </w:tcPr>
          <w:p w:rsidR="00F144E3" w:rsidRPr="001A0D0B" w:rsidRDefault="00F144E3" w:rsidP="00CB27AE">
            <w:pPr>
              <w:rPr>
                <w:rFonts w:cs="Calibri"/>
                <w:sz w:val="18"/>
                <w:szCs w:val="18"/>
              </w:rPr>
            </w:pPr>
            <w:r w:rsidRPr="001A0D0B">
              <w:rPr>
                <w:rFonts w:cs="Calibri"/>
                <w:sz w:val="18"/>
                <w:szCs w:val="18"/>
              </w:rPr>
              <w:t xml:space="preserve">Abstinence from cigarettes </w:t>
            </w:r>
          </w:p>
        </w:tc>
        <w:tc>
          <w:tcPr>
            <w:tcW w:w="1134" w:type="dxa"/>
            <w:noWrap/>
          </w:tcPr>
          <w:p w:rsidR="00F144E3" w:rsidRPr="001A0D0B" w:rsidRDefault="00F144E3" w:rsidP="00CB27AE">
            <w:pPr>
              <w:rPr>
                <w:rFonts w:cs="Calibri"/>
                <w:sz w:val="18"/>
                <w:szCs w:val="18"/>
              </w:rPr>
            </w:pPr>
            <w:r w:rsidRPr="001A0D0B">
              <w:rPr>
                <w:rFonts w:cs="Calibri"/>
                <w:sz w:val="18"/>
                <w:szCs w:val="18"/>
              </w:rPr>
              <w:t>N/A</w:t>
            </w:r>
          </w:p>
        </w:tc>
        <w:tc>
          <w:tcPr>
            <w:tcW w:w="1520" w:type="dxa"/>
            <w:noWrap/>
          </w:tcPr>
          <w:p w:rsidR="00F144E3" w:rsidRPr="001A0D0B" w:rsidRDefault="00F144E3" w:rsidP="00CB27AE">
            <w:pPr>
              <w:rPr>
                <w:rFonts w:cs="Calibri"/>
                <w:sz w:val="18"/>
                <w:szCs w:val="18"/>
              </w:rPr>
            </w:pPr>
            <w:r w:rsidRPr="001A0D0B">
              <w:rPr>
                <w:rFonts w:cs="Calibri"/>
                <w:sz w:val="18"/>
                <w:szCs w:val="18"/>
              </w:rPr>
              <w:t>N/A</w:t>
            </w:r>
          </w:p>
        </w:tc>
        <w:tc>
          <w:tcPr>
            <w:tcW w:w="1031" w:type="dxa"/>
            <w:noWrap/>
          </w:tcPr>
          <w:p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rsidR="00F144E3" w:rsidRPr="001A0D0B" w:rsidRDefault="00F144E3" w:rsidP="00CB27AE">
            <w:pPr>
              <w:jc w:val="center"/>
              <w:rPr>
                <w:rFonts w:cs="Calibri"/>
                <w:sz w:val="18"/>
                <w:szCs w:val="18"/>
              </w:rPr>
            </w:pPr>
            <w:r w:rsidRPr="001A0D0B">
              <w:rPr>
                <w:rFonts w:cs="Calibri"/>
                <w:sz w:val="18"/>
                <w:szCs w:val="18"/>
              </w:rPr>
              <w:t>Group programme compared to self-help programme = 13;</w:t>
            </w:r>
          </w:p>
          <w:p w:rsidR="00F144E3" w:rsidRPr="001A0D0B" w:rsidRDefault="00F144E3" w:rsidP="00CB27AE">
            <w:pPr>
              <w:jc w:val="center"/>
              <w:rPr>
                <w:rFonts w:cs="Calibri"/>
                <w:sz w:val="18"/>
                <w:szCs w:val="18"/>
              </w:rPr>
            </w:pPr>
            <w:r w:rsidRPr="001A0D0B">
              <w:rPr>
                <w:rFonts w:cs="Calibri"/>
                <w:sz w:val="18"/>
                <w:szCs w:val="18"/>
              </w:rPr>
              <w:t>Group programme compared to brief support = 16;</w:t>
            </w:r>
          </w:p>
          <w:p w:rsidR="00F144E3" w:rsidRPr="001A0D0B" w:rsidRDefault="00F144E3" w:rsidP="00CB27AE">
            <w:pPr>
              <w:jc w:val="center"/>
              <w:rPr>
                <w:rFonts w:cs="Calibri"/>
                <w:sz w:val="18"/>
                <w:szCs w:val="18"/>
              </w:rPr>
            </w:pPr>
            <w:r w:rsidRPr="001A0D0B">
              <w:rPr>
                <w:rFonts w:cs="Calibri"/>
                <w:sz w:val="18"/>
                <w:szCs w:val="18"/>
              </w:rPr>
              <w:t xml:space="preserve">Group programme compared to face-to-face in- dividual </w:t>
            </w:r>
            <w:r w:rsidRPr="001A0D0B">
              <w:rPr>
                <w:rFonts w:cs="Calibri"/>
                <w:sz w:val="18"/>
                <w:szCs w:val="18"/>
              </w:rPr>
              <w:lastRenderedPageBreak/>
              <w:t>intervention = 6;</w:t>
            </w:r>
          </w:p>
          <w:p w:rsidR="00F144E3" w:rsidRPr="001A0D0B" w:rsidRDefault="00F144E3" w:rsidP="00CB27AE">
            <w:pPr>
              <w:jc w:val="center"/>
              <w:rPr>
                <w:rFonts w:cs="Calibri"/>
                <w:sz w:val="18"/>
                <w:szCs w:val="18"/>
              </w:rPr>
            </w:pPr>
            <w:r w:rsidRPr="001A0D0B">
              <w:rPr>
                <w:rFonts w:cs="Calibri"/>
                <w:sz w:val="18"/>
                <w:szCs w:val="18"/>
              </w:rPr>
              <w:t>Group prog</w:t>
            </w:r>
            <w:r w:rsidR="009E7142">
              <w:rPr>
                <w:rFonts w:cs="Calibri"/>
                <w:sz w:val="18"/>
                <w:szCs w:val="18"/>
              </w:rPr>
              <w:t>ramme plus pharmacotherapy ver</w:t>
            </w:r>
            <w:r w:rsidRPr="001A0D0B">
              <w:rPr>
                <w:rFonts w:cs="Calibri"/>
                <w:sz w:val="18"/>
                <w:szCs w:val="18"/>
              </w:rPr>
              <w:t>sus pharmacotherapy and brief support alone = 5;</w:t>
            </w:r>
          </w:p>
          <w:p w:rsidR="00F144E3" w:rsidRPr="001A0D0B" w:rsidRDefault="00F144E3" w:rsidP="00CB27AE">
            <w:pPr>
              <w:jc w:val="center"/>
              <w:rPr>
                <w:rFonts w:cs="Calibri"/>
                <w:sz w:val="18"/>
                <w:szCs w:val="18"/>
              </w:rPr>
            </w:pPr>
            <w:r w:rsidRPr="001A0D0B">
              <w:rPr>
                <w:rFonts w:cs="Calibri"/>
                <w:sz w:val="18"/>
                <w:szCs w:val="18"/>
              </w:rPr>
              <w:t>Group programme versus 'no intervention' controls = 9</w:t>
            </w:r>
          </w:p>
        </w:tc>
        <w:tc>
          <w:tcPr>
            <w:tcW w:w="1418" w:type="dxa"/>
            <w:noWrap/>
          </w:tcPr>
          <w:p w:rsidR="00F144E3" w:rsidRPr="001A0D0B" w:rsidRDefault="00F144E3" w:rsidP="00CB27AE">
            <w:pPr>
              <w:rPr>
                <w:rFonts w:cs="Calibri"/>
                <w:sz w:val="18"/>
                <w:szCs w:val="18"/>
              </w:rPr>
            </w:pPr>
            <w:r w:rsidRPr="001A0D0B">
              <w:rPr>
                <w:rFonts w:cs="Calibri"/>
                <w:sz w:val="18"/>
                <w:szCs w:val="18"/>
              </w:rPr>
              <w:lastRenderedPageBreak/>
              <w:t>Group programme compared to self-help programme =4395;</w:t>
            </w:r>
          </w:p>
          <w:p w:rsidR="00F144E3" w:rsidRPr="001A0D0B" w:rsidRDefault="00F144E3" w:rsidP="00CB27AE">
            <w:pPr>
              <w:rPr>
                <w:rFonts w:cs="Calibri"/>
                <w:sz w:val="18"/>
                <w:szCs w:val="18"/>
              </w:rPr>
            </w:pPr>
          </w:p>
          <w:p w:rsidR="00F144E3" w:rsidRPr="001A0D0B" w:rsidRDefault="00F144E3" w:rsidP="00CB27AE">
            <w:pPr>
              <w:rPr>
                <w:rFonts w:cs="Calibri"/>
                <w:sz w:val="18"/>
                <w:szCs w:val="18"/>
              </w:rPr>
            </w:pPr>
            <w:r w:rsidRPr="001A0D0B">
              <w:rPr>
                <w:rFonts w:cs="Calibri"/>
                <w:sz w:val="18"/>
                <w:szCs w:val="18"/>
              </w:rPr>
              <w:t>Group programme compared to brief support:  7601;</w:t>
            </w:r>
          </w:p>
          <w:p w:rsidR="00F144E3" w:rsidRPr="001A0D0B" w:rsidRDefault="00F144E3" w:rsidP="00CB27AE">
            <w:pPr>
              <w:rPr>
                <w:rFonts w:cs="Calibri"/>
                <w:sz w:val="18"/>
                <w:szCs w:val="18"/>
              </w:rPr>
            </w:pPr>
          </w:p>
          <w:p w:rsidR="00F144E3" w:rsidRPr="001A0D0B" w:rsidRDefault="00F144E3" w:rsidP="00CB27AE">
            <w:pPr>
              <w:rPr>
                <w:rFonts w:cs="Calibri"/>
                <w:sz w:val="18"/>
                <w:szCs w:val="18"/>
              </w:rPr>
            </w:pPr>
            <w:r w:rsidRPr="001A0D0B">
              <w:rPr>
                <w:rFonts w:cs="Calibri"/>
                <w:sz w:val="18"/>
                <w:szCs w:val="18"/>
              </w:rPr>
              <w:t>Group programme compared to face-to-face in- dividual intervention:  980;</w:t>
            </w:r>
          </w:p>
          <w:p w:rsidR="00F144E3" w:rsidRPr="001A0D0B" w:rsidRDefault="00F144E3" w:rsidP="00CB27AE">
            <w:pPr>
              <w:rPr>
                <w:rFonts w:cs="Calibri"/>
                <w:sz w:val="18"/>
                <w:szCs w:val="18"/>
              </w:rPr>
            </w:pPr>
          </w:p>
          <w:p w:rsidR="00F144E3" w:rsidRPr="001A0D0B" w:rsidRDefault="00F144E3" w:rsidP="00CB27AE">
            <w:pPr>
              <w:rPr>
                <w:rFonts w:cs="Calibri"/>
                <w:sz w:val="18"/>
                <w:szCs w:val="18"/>
              </w:rPr>
            </w:pPr>
            <w:r w:rsidRPr="001A0D0B">
              <w:rPr>
                <w:rFonts w:cs="Calibri"/>
                <w:sz w:val="18"/>
                <w:szCs w:val="18"/>
              </w:rPr>
              <w:lastRenderedPageBreak/>
              <w:t>Group progra</w:t>
            </w:r>
            <w:r w:rsidR="009E7142">
              <w:rPr>
                <w:rFonts w:cs="Calibri"/>
                <w:sz w:val="18"/>
                <w:szCs w:val="18"/>
              </w:rPr>
              <w:t>mme plus pharmacotherapy ver</w:t>
            </w:r>
            <w:r w:rsidRPr="001A0D0B">
              <w:rPr>
                <w:rFonts w:cs="Calibri"/>
                <w:sz w:val="18"/>
                <w:szCs w:val="18"/>
              </w:rPr>
              <w:t>sus pharmacotherapy and brief support alone:   1523;</w:t>
            </w:r>
          </w:p>
          <w:p w:rsidR="00F144E3" w:rsidRPr="001A0D0B" w:rsidRDefault="00F144E3" w:rsidP="00CB27AE">
            <w:pPr>
              <w:rPr>
                <w:rFonts w:cs="Calibri"/>
                <w:sz w:val="18"/>
                <w:szCs w:val="18"/>
              </w:rPr>
            </w:pPr>
          </w:p>
          <w:p w:rsidR="00F144E3" w:rsidRPr="001A0D0B" w:rsidRDefault="00F144E3" w:rsidP="00CB27AE">
            <w:pPr>
              <w:rPr>
                <w:rFonts w:cs="Calibri"/>
                <w:sz w:val="18"/>
                <w:szCs w:val="18"/>
              </w:rPr>
            </w:pPr>
            <w:r w:rsidRPr="001A0D0B">
              <w:rPr>
                <w:rFonts w:cs="Calibri"/>
                <w:sz w:val="18"/>
                <w:szCs w:val="18"/>
              </w:rPr>
              <w:t>Group programme versus 'no intervention' controls = 1098</w:t>
            </w:r>
          </w:p>
        </w:tc>
      </w:tr>
      <w:tr w:rsidR="00F144E3" w:rsidRPr="001A0D0B" w:rsidTr="00B33FD4">
        <w:tc>
          <w:tcPr>
            <w:tcW w:w="421" w:type="dxa"/>
            <w:noWrap/>
          </w:tcPr>
          <w:p w:rsidR="00F144E3" w:rsidRPr="001A0D0B" w:rsidRDefault="00F144E3" w:rsidP="00C324F3">
            <w:pPr>
              <w:numPr>
                <w:ilvl w:val="0"/>
                <w:numId w:val="6"/>
              </w:numPr>
              <w:rPr>
                <w:rFonts w:cs="Calibri"/>
                <w:sz w:val="18"/>
                <w:szCs w:val="18"/>
              </w:rPr>
            </w:pPr>
          </w:p>
        </w:tc>
        <w:tc>
          <w:tcPr>
            <w:tcW w:w="850" w:type="dxa"/>
            <w:noWrap/>
          </w:tcPr>
          <w:p w:rsidR="00F144E3" w:rsidRPr="001A0D0B" w:rsidRDefault="00F144E3" w:rsidP="00CB27AE">
            <w:pPr>
              <w:rPr>
                <w:rFonts w:cs="Calibri"/>
                <w:sz w:val="18"/>
                <w:szCs w:val="18"/>
              </w:rPr>
            </w:pPr>
            <w:r w:rsidRPr="001A0D0B">
              <w:rPr>
                <w:rFonts w:cs="Calibri"/>
                <w:sz w:val="18"/>
                <w:szCs w:val="18"/>
              </w:rPr>
              <w:t>Lancaster 2017</w:t>
            </w:r>
          </w:p>
        </w:tc>
        <w:tc>
          <w:tcPr>
            <w:tcW w:w="1985" w:type="dxa"/>
            <w:noWrap/>
          </w:tcPr>
          <w:p w:rsidR="00F144E3" w:rsidRPr="001A0D0B" w:rsidRDefault="00F144E3" w:rsidP="00CB27AE">
            <w:pPr>
              <w:rPr>
                <w:rFonts w:cs="Calibri"/>
                <w:sz w:val="18"/>
                <w:szCs w:val="18"/>
              </w:rPr>
            </w:pPr>
            <w:r w:rsidRPr="001A0D0B">
              <w:rPr>
                <w:rFonts w:cs="Calibri"/>
                <w:sz w:val="18"/>
                <w:szCs w:val="18"/>
              </w:rPr>
              <w:t>The review addresses the following hypotheses:</w:t>
            </w:r>
          </w:p>
          <w:p w:rsidR="00F144E3" w:rsidRPr="001A0D0B" w:rsidRDefault="00F144E3" w:rsidP="00CB27AE">
            <w:pPr>
              <w:rPr>
                <w:rFonts w:cs="Calibri"/>
                <w:sz w:val="18"/>
                <w:szCs w:val="18"/>
              </w:rPr>
            </w:pPr>
            <w:r w:rsidRPr="001A0D0B">
              <w:rPr>
                <w:rFonts w:cs="Calibri"/>
                <w:sz w:val="18"/>
                <w:szCs w:val="18"/>
              </w:rPr>
              <w:t>Individual counselling is more effective than no treatment or brief advice in promoting smoking cessation;</w:t>
            </w:r>
          </w:p>
          <w:p w:rsidR="00F144E3" w:rsidRPr="001A0D0B" w:rsidRDefault="00F144E3" w:rsidP="00CB27AE">
            <w:pPr>
              <w:rPr>
                <w:rFonts w:cs="Calibri"/>
                <w:sz w:val="18"/>
                <w:szCs w:val="18"/>
              </w:rPr>
            </w:pPr>
            <w:r w:rsidRPr="001A0D0B">
              <w:rPr>
                <w:rFonts w:cs="Calibri"/>
                <w:sz w:val="18"/>
                <w:szCs w:val="18"/>
              </w:rPr>
              <w:t>Individual counselling is more effective than self-help materials in promoting smoking cessation; and</w:t>
            </w:r>
          </w:p>
          <w:p w:rsidR="00F144E3" w:rsidRPr="001A0D0B" w:rsidRDefault="00F144E3" w:rsidP="00CB27AE">
            <w:pPr>
              <w:rPr>
                <w:rFonts w:cs="Calibri"/>
                <w:sz w:val="18"/>
                <w:szCs w:val="18"/>
              </w:rPr>
            </w:pPr>
            <w:r w:rsidRPr="001A0D0B">
              <w:rPr>
                <w:rFonts w:cs="Calibri"/>
                <w:sz w:val="18"/>
                <w:szCs w:val="18"/>
              </w:rPr>
              <w:t xml:space="preserve">A more intensive counselling intervention is more </w:t>
            </w:r>
            <w:r w:rsidRPr="001A0D0B">
              <w:rPr>
                <w:rFonts w:cs="Calibri"/>
                <w:sz w:val="18"/>
                <w:szCs w:val="18"/>
              </w:rPr>
              <w:lastRenderedPageBreak/>
              <w:t>effective than a less intensive intervention</w:t>
            </w:r>
          </w:p>
        </w:tc>
        <w:tc>
          <w:tcPr>
            <w:tcW w:w="1134" w:type="dxa"/>
            <w:noWrap/>
          </w:tcPr>
          <w:p w:rsidR="00F144E3" w:rsidRPr="001A0D0B" w:rsidRDefault="00F144E3" w:rsidP="00CB27AE">
            <w:pPr>
              <w:rPr>
                <w:rFonts w:cs="Calibri"/>
                <w:sz w:val="18"/>
                <w:szCs w:val="18"/>
              </w:rPr>
            </w:pPr>
            <w:r w:rsidRPr="001A0D0B">
              <w:rPr>
                <w:rFonts w:cs="Calibri"/>
                <w:sz w:val="18"/>
                <w:szCs w:val="18"/>
              </w:rPr>
              <w:lastRenderedPageBreak/>
              <w:t>RCTs or quasi-RCTs with a minimum follow-up of six months</w:t>
            </w:r>
          </w:p>
          <w:p w:rsidR="00F144E3" w:rsidRPr="001A0D0B" w:rsidRDefault="00F144E3" w:rsidP="00CB27AE">
            <w:pPr>
              <w:rPr>
                <w:rFonts w:cs="Calibri"/>
                <w:sz w:val="18"/>
                <w:szCs w:val="18"/>
              </w:rPr>
            </w:pPr>
            <w:r w:rsidRPr="001A0D0B">
              <w:rPr>
                <w:rFonts w:cs="Calibri"/>
                <w:sz w:val="18"/>
                <w:szCs w:val="18"/>
              </w:rPr>
              <w:t>Any smokers</w:t>
            </w:r>
          </w:p>
        </w:tc>
        <w:tc>
          <w:tcPr>
            <w:tcW w:w="1701" w:type="dxa"/>
            <w:noWrap/>
          </w:tcPr>
          <w:p w:rsidR="00F144E3" w:rsidRPr="001A0D0B" w:rsidRDefault="00F144E3" w:rsidP="00CB27AE">
            <w:pPr>
              <w:rPr>
                <w:rFonts w:cs="Calibri"/>
                <w:sz w:val="18"/>
                <w:szCs w:val="18"/>
              </w:rPr>
            </w:pPr>
            <w:r w:rsidRPr="001A0D0B">
              <w:rPr>
                <w:rFonts w:cs="Calibri"/>
                <w:sz w:val="18"/>
                <w:szCs w:val="18"/>
              </w:rPr>
              <w:t>Individual counselling/no treatment or brief advice or self-help materials or less intensive intervention</w:t>
            </w:r>
          </w:p>
        </w:tc>
        <w:tc>
          <w:tcPr>
            <w:tcW w:w="1134" w:type="dxa"/>
            <w:noWrap/>
          </w:tcPr>
          <w:p w:rsidR="00F144E3" w:rsidRPr="001A0D0B" w:rsidRDefault="00F144E3" w:rsidP="00CB27AE">
            <w:pPr>
              <w:rPr>
                <w:rFonts w:cs="Calibri"/>
                <w:sz w:val="18"/>
                <w:szCs w:val="18"/>
              </w:rPr>
            </w:pPr>
            <w:r w:rsidRPr="001A0D0B">
              <w:rPr>
                <w:rFonts w:cs="Calibri"/>
                <w:sz w:val="18"/>
                <w:szCs w:val="18"/>
              </w:rPr>
              <w:t>Smoking cessation at the longest reported follow-up</w:t>
            </w:r>
          </w:p>
        </w:tc>
        <w:tc>
          <w:tcPr>
            <w:tcW w:w="1134" w:type="dxa"/>
            <w:noWrap/>
          </w:tcPr>
          <w:p w:rsidR="00F144E3" w:rsidRPr="001A0D0B" w:rsidRDefault="00F144E3" w:rsidP="00CB27AE">
            <w:pPr>
              <w:rPr>
                <w:rFonts w:cs="Calibri"/>
                <w:sz w:val="18"/>
                <w:szCs w:val="18"/>
              </w:rPr>
            </w:pPr>
            <w:r w:rsidRPr="001A0D0B">
              <w:rPr>
                <w:rFonts w:cs="Calibri"/>
                <w:sz w:val="18"/>
                <w:szCs w:val="18"/>
              </w:rPr>
              <w:t>N/A</w:t>
            </w:r>
          </w:p>
        </w:tc>
        <w:tc>
          <w:tcPr>
            <w:tcW w:w="1520" w:type="dxa"/>
            <w:noWrap/>
          </w:tcPr>
          <w:p w:rsidR="00F144E3" w:rsidRPr="001A0D0B" w:rsidRDefault="00F144E3" w:rsidP="00CB27AE">
            <w:pPr>
              <w:rPr>
                <w:rFonts w:cs="Calibri"/>
                <w:sz w:val="18"/>
                <w:szCs w:val="18"/>
              </w:rPr>
            </w:pPr>
            <w:r w:rsidRPr="001A0D0B">
              <w:rPr>
                <w:rFonts w:cs="Calibri"/>
                <w:sz w:val="18"/>
                <w:szCs w:val="18"/>
              </w:rPr>
              <w:t>N/A</w:t>
            </w:r>
          </w:p>
        </w:tc>
        <w:tc>
          <w:tcPr>
            <w:tcW w:w="1031" w:type="dxa"/>
            <w:noWrap/>
          </w:tcPr>
          <w:p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rsidR="00F144E3" w:rsidRPr="001A0D0B" w:rsidRDefault="00F144E3" w:rsidP="00CB27AE">
            <w:pPr>
              <w:jc w:val="center"/>
              <w:rPr>
                <w:rFonts w:cs="Calibri"/>
                <w:sz w:val="18"/>
                <w:szCs w:val="18"/>
              </w:rPr>
            </w:pPr>
            <w:r w:rsidRPr="001A0D0B">
              <w:rPr>
                <w:rFonts w:cs="Calibri"/>
                <w:sz w:val="18"/>
                <w:szCs w:val="18"/>
              </w:rPr>
              <w:t>49</w:t>
            </w:r>
          </w:p>
        </w:tc>
        <w:tc>
          <w:tcPr>
            <w:tcW w:w="1418" w:type="dxa"/>
            <w:noWrap/>
          </w:tcPr>
          <w:p w:rsidR="00F144E3" w:rsidRPr="001A0D0B" w:rsidRDefault="00F144E3" w:rsidP="00CB27AE">
            <w:pPr>
              <w:rPr>
                <w:rFonts w:cs="Calibri"/>
                <w:sz w:val="18"/>
                <w:szCs w:val="18"/>
              </w:rPr>
            </w:pPr>
            <w:r w:rsidRPr="001A0D0B">
              <w:rPr>
                <w:rFonts w:cs="Calibri"/>
                <w:sz w:val="18"/>
                <w:szCs w:val="18"/>
              </w:rPr>
              <w:t>19,000</w:t>
            </w:r>
          </w:p>
        </w:tc>
      </w:tr>
      <w:tr w:rsidR="00F144E3" w:rsidRPr="001A0D0B" w:rsidTr="00B33FD4">
        <w:tc>
          <w:tcPr>
            <w:tcW w:w="421" w:type="dxa"/>
            <w:noWrap/>
          </w:tcPr>
          <w:p w:rsidR="00F144E3" w:rsidRPr="001A0D0B" w:rsidRDefault="00F144E3" w:rsidP="00C324F3">
            <w:pPr>
              <w:numPr>
                <w:ilvl w:val="0"/>
                <w:numId w:val="6"/>
              </w:numPr>
              <w:rPr>
                <w:rFonts w:cs="Calibri"/>
                <w:sz w:val="18"/>
                <w:szCs w:val="18"/>
              </w:rPr>
            </w:pPr>
          </w:p>
        </w:tc>
        <w:tc>
          <w:tcPr>
            <w:tcW w:w="850" w:type="dxa"/>
            <w:noWrap/>
          </w:tcPr>
          <w:p w:rsidR="00F144E3" w:rsidRPr="001A0D0B" w:rsidRDefault="00F144E3" w:rsidP="00CB27AE">
            <w:pPr>
              <w:rPr>
                <w:rFonts w:cs="Calibri"/>
                <w:sz w:val="18"/>
                <w:szCs w:val="18"/>
              </w:rPr>
            </w:pPr>
            <w:r w:rsidRPr="001A0D0B">
              <w:rPr>
                <w:rFonts w:cs="Calibri"/>
                <w:sz w:val="18"/>
                <w:szCs w:val="18"/>
              </w:rPr>
              <w:t>Fanshawe 2017</w:t>
            </w:r>
          </w:p>
        </w:tc>
        <w:tc>
          <w:tcPr>
            <w:tcW w:w="1985" w:type="dxa"/>
            <w:noWrap/>
          </w:tcPr>
          <w:p w:rsidR="00F144E3" w:rsidRPr="001A0D0B" w:rsidRDefault="00F144E3" w:rsidP="00CB27AE">
            <w:pPr>
              <w:rPr>
                <w:rFonts w:cs="Calibri"/>
                <w:sz w:val="18"/>
                <w:szCs w:val="18"/>
              </w:rPr>
            </w:pPr>
            <w:r w:rsidRPr="001A0D0B">
              <w:rPr>
                <w:rFonts w:cs="Calibri"/>
                <w:sz w:val="18"/>
                <w:szCs w:val="18"/>
              </w:rPr>
              <w:t>To evaluate the effectiveness of strategies that help young people to stop smoking tobacco</w:t>
            </w:r>
          </w:p>
        </w:tc>
        <w:tc>
          <w:tcPr>
            <w:tcW w:w="1134" w:type="dxa"/>
            <w:noWrap/>
          </w:tcPr>
          <w:p w:rsidR="00F144E3" w:rsidRPr="001A0D0B" w:rsidRDefault="00F144E3" w:rsidP="00CB27AE">
            <w:pPr>
              <w:rPr>
                <w:rFonts w:cs="Calibri"/>
                <w:sz w:val="18"/>
                <w:szCs w:val="18"/>
              </w:rPr>
            </w:pPr>
            <w:r w:rsidRPr="001A0D0B">
              <w:rPr>
                <w:rFonts w:cs="Calibri"/>
                <w:sz w:val="18"/>
                <w:szCs w:val="18"/>
              </w:rPr>
              <w:t>RCTs</w:t>
            </w:r>
          </w:p>
          <w:p w:rsidR="00F144E3" w:rsidRPr="001A0D0B" w:rsidRDefault="00F144E3" w:rsidP="00CB27AE">
            <w:pPr>
              <w:rPr>
                <w:rFonts w:cs="Calibri"/>
                <w:sz w:val="18"/>
                <w:szCs w:val="18"/>
              </w:rPr>
            </w:pPr>
            <w:r w:rsidRPr="001A0D0B">
              <w:rPr>
                <w:rFonts w:cs="Calibri"/>
                <w:sz w:val="18"/>
                <w:szCs w:val="18"/>
              </w:rPr>
              <w:t>Young people, aged under 20 years, who were regular, current tobacco smokers</w:t>
            </w:r>
          </w:p>
        </w:tc>
        <w:tc>
          <w:tcPr>
            <w:tcW w:w="1701" w:type="dxa"/>
            <w:noWrap/>
          </w:tcPr>
          <w:p w:rsidR="00F144E3" w:rsidRPr="001A0D0B" w:rsidRDefault="00F144E3" w:rsidP="00CB27AE">
            <w:pPr>
              <w:rPr>
                <w:rFonts w:cs="Calibri"/>
                <w:sz w:val="18"/>
                <w:szCs w:val="18"/>
              </w:rPr>
            </w:pPr>
            <w:r w:rsidRPr="001A0D0B">
              <w:rPr>
                <w:rFonts w:cs="Calibri"/>
                <w:sz w:val="18"/>
                <w:szCs w:val="18"/>
              </w:rPr>
              <w:t>NRT, BUP, nicotine patch + BUP, individual counselling, group counselling, computer-based interventions/</w:t>
            </w:r>
          </w:p>
          <w:p w:rsidR="00F144E3" w:rsidRPr="001A0D0B" w:rsidRDefault="00F144E3" w:rsidP="00CB27AE">
            <w:pPr>
              <w:rPr>
                <w:rFonts w:cs="Calibri"/>
                <w:sz w:val="18"/>
                <w:szCs w:val="18"/>
              </w:rPr>
            </w:pPr>
          </w:p>
          <w:p w:rsidR="00F144E3" w:rsidRPr="001A0D0B" w:rsidRDefault="00F144E3" w:rsidP="00CB27AE">
            <w:pPr>
              <w:rPr>
                <w:rFonts w:cs="Calibri"/>
                <w:sz w:val="18"/>
                <w:szCs w:val="18"/>
              </w:rPr>
            </w:pPr>
            <w:r w:rsidRPr="001A0D0B">
              <w:rPr>
                <w:rFonts w:cs="Calibri"/>
                <w:sz w:val="18"/>
                <w:szCs w:val="18"/>
              </w:rPr>
              <w:t>Placebo</w:t>
            </w:r>
          </w:p>
        </w:tc>
        <w:tc>
          <w:tcPr>
            <w:tcW w:w="1134" w:type="dxa"/>
            <w:noWrap/>
          </w:tcPr>
          <w:p w:rsidR="00F144E3" w:rsidRPr="001A0D0B" w:rsidRDefault="00F144E3" w:rsidP="00CB27AE">
            <w:pPr>
              <w:rPr>
                <w:rFonts w:cs="Calibri"/>
                <w:sz w:val="18"/>
                <w:szCs w:val="18"/>
              </w:rPr>
            </w:pPr>
            <w:r w:rsidRPr="001A0D0B">
              <w:rPr>
                <w:rFonts w:cs="Calibri"/>
                <w:sz w:val="18"/>
                <w:szCs w:val="18"/>
              </w:rPr>
              <w:t>Change in smoking behaviour (being a smoker at baseline and becoming an ex-smoker at follow- up) at six months' follow-up or longer</w:t>
            </w:r>
          </w:p>
        </w:tc>
        <w:tc>
          <w:tcPr>
            <w:tcW w:w="1134" w:type="dxa"/>
            <w:noWrap/>
          </w:tcPr>
          <w:p w:rsidR="00F144E3" w:rsidRPr="001A0D0B" w:rsidRDefault="00F144E3" w:rsidP="00CB27AE">
            <w:pPr>
              <w:rPr>
                <w:rFonts w:cs="Calibri"/>
                <w:sz w:val="18"/>
                <w:szCs w:val="18"/>
              </w:rPr>
            </w:pPr>
            <w:r w:rsidRPr="001A0D0B">
              <w:rPr>
                <w:rFonts w:cs="Calibri"/>
                <w:sz w:val="18"/>
                <w:szCs w:val="18"/>
              </w:rPr>
              <w:t>N/A</w:t>
            </w:r>
          </w:p>
        </w:tc>
        <w:tc>
          <w:tcPr>
            <w:tcW w:w="1520" w:type="dxa"/>
            <w:noWrap/>
          </w:tcPr>
          <w:p w:rsidR="00F144E3" w:rsidRPr="001A0D0B" w:rsidRDefault="00F144E3" w:rsidP="00CB27AE">
            <w:pPr>
              <w:rPr>
                <w:rFonts w:cs="Calibri"/>
                <w:sz w:val="18"/>
                <w:szCs w:val="18"/>
              </w:rPr>
            </w:pPr>
            <w:r w:rsidRPr="001A0D0B">
              <w:rPr>
                <w:rFonts w:cs="Calibri"/>
                <w:sz w:val="18"/>
                <w:szCs w:val="18"/>
              </w:rPr>
              <w:t>N/A</w:t>
            </w:r>
          </w:p>
        </w:tc>
        <w:tc>
          <w:tcPr>
            <w:tcW w:w="1031" w:type="dxa"/>
            <w:noWrap/>
          </w:tcPr>
          <w:p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rsidR="00F144E3" w:rsidRPr="001A0D0B" w:rsidRDefault="00F144E3" w:rsidP="00CB27AE">
            <w:pPr>
              <w:jc w:val="center"/>
              <w:rPr>
                <w:rFonts w:cs="Calibri"/>
                <w:sz w:val="18"/>
                <w:szCs w:val="18"/>
              </w:rPr>
            </w:pPr>
            <w:r w:rsidRPr="001A0D0B">
              <w:rPr>
                <w:rFonts w:cs="Calibri"/>
                <w:sz w:val="18"/>
                <w:szCs w:val="18"/>
              </w:rPr>
              <w:t>41</w:t>
            </w:r>
          </w:p>
        </w:tc>
        <w:tc>
          <w:tcPr>
            <w:tcW w:w="1418" w:type="dxa"/>
            <w:noWrap/>
          </w:tcPr>
          <w:p w:rsidR="00F144E3" w:rsidRPr="001A0D0B" w:rsidRDefault="00F144E3" w:rsidP="00CB27AE">
            <w:pPr>
              <w:rPr>
                <w:rFonts w:cs="Calibri"/>
                <w:sz w:val="18"/>
                <w:szCs w:val="18"/>
              </w:rPr>
            </w:pPr>
            <w:r w:rsidRPr="001A0D0B">
              <w:rPr>
                <w:rFonts w:cs="Calibri"/>
                <w:sz w:val="18"/>
                <w:szCs w:val="18"/>
              </w:rPr>
              <w:t>Around 13,000</w:t>
            </w:r>
          </w:p>
        </w:tc>
      </w:tr>
      <w:tr w:rsidR="00F144E3" w:rsidRPr="001A0D0B" w:rsidTr="00B33FD4">
        <w:tc>
          <w:tcPr>
            <w:tcW w:w="421" w:type="dxa"/>
            <w:noWrap/>
          </w:tcPr>
          <w:p w:rsidR="00F144E3" w:rsidRPr="001A0D0B" w:rsidRDefault="00F144E3" w:rsidP="00C324F3">
            <w:pPr>
              <w:numPr>
                <w:ilvl w:val="0"/>
                <w:numId w:val="6"/>
              </w:numPr>
              <w:rPr>
                <w:rFonts w:cs="Calibri"/>
                <w:sz w:val="18"/>
                <w:szCs w:val="18"/>
              </w:rPr>
            </w:pPr>
          </w:p>
        </w:tc>
        <w:tc>
          <w:tcPr>
            <w:tcW w:w="850" w:type="dxa"/>
            <w:noWrap/>
          </w:tcPr>
          <w:p w:rsidR="00F144E3" w:rsidRPr="001A0D0B" w:rsidRDefault="00F144E3" w:rsidP="00CB27AE">
            <w:pPr>
              <w:rPr>
                <w:rFonts w:cs="Calibri"/>
                <w:sz w:val="18"/>
                <w:szCs w:val="18"/>
              </w:rPr>
            </w:pPr>
            <w:r w:rsidRPr="001A0D0B">
              <w:rPr>
                <w:rFonts w:cs="Calibri"/>
                <w:sz w:val="18"/>
                <w:szCs w:val="18"/>
              </w:rPr>
              <w:t>Cahill 2016</w:t>
            </w:r>
          </w:p>
        </w:tc>
        <w:tc>
          <w:tcPr>
            <w:tcW w:w="1985" w:type="dxa"/>
            <w:noWrap/>
          </w:tcPr>
          <w:p w:rsidR="00F144E3" w:rsidRPr="001A0D0B" w:rsidRDefault="00F144E3" w:rsidP="00CB27AE">
            <w:pPr>
              <w:rPr>
                <w:rFonts w:cs="Calibri"/>
                <w:sz w:val="18"/>
                <w:szCs w:val="18"/>
              </w:rPr>
            </w:pPr>
            <w:r w:rsidRPr="001A0D0B">
              <w:rPr>
                <w:rFonts w:cs="Calibri"/>
                <w:sz w:val="18"/>
                <w:szCs w:val="18"/>
              </w:rPr>
              <w:t>To review the efficacy of nicotine receptor partial agonists, including varenicline and cytisine, for smoking cessation</w:t>
            </w:r>
          </w:p>
        </w:tc>
        <w:tc>
          <w:tcPr>
            <w:tcW w:w="1134" w:type="dxa"/>
            <w:noWrap/>
          </w:tcPr>
          <w:p w:rsidR="00F144E3" w:rsidRPr="001A0D0B" w:rsidRDefault="00F144E3" w:rsidP="00CB27AE">
            <w:pPr>
              <w:rPr>
                <w:rFonts w:cs="Calibri"/>
                <w:sz w:val="18"/>
                <w:szCs w:val="18"/>
              </w:rPr>
            </w:pPr>
            <w:r w:rsidRPr="001A0D0B">
              <w:rPr>
                <w:rFonts w:cs="Calibri"/>
                <w:sz w:val="18"/>
                <w:szCs w:val="18"/>
              </w:rPr>
              <w:t>RCTs</w:t>
            </w:r>
          </w:p>
          <w:p w:rsidR="00F144E3" w:rsidRPr="001A0D0B" w:rsidRDefault="00F144E3" w:rsidP="00CB27AE">
            <w:pPr>
              <w:rPr>
                <w:rFonts w:cs="Calibri"/>
                <w:sz w:val="18"/>
                <w:szCs w:val="18"/>
              </w:rPr>
            </w:pPr>
            <w:r w:rsidRPr="001A0D0B">
              <w:rPr>
                <w:rFonts w:cs="Calibri"/>
                <w:sz w:val="18"/>
                <w:szCs w:val="18"/>
              </w:rPr>
              <w:t>Adult smokers</w:t>
            </w:r>
          </w:p>
        </w:tc>
        <w:tc>
          <w:tcPr>
            <w:tcW w:w="1701" w:type="dxa"/>
            <w:noWrap/>
          </w:tcPr>
          <w:p w:rsidR="00F144E3" w:rsidRPr="001A0D0B" w:rsidRDefault="00F144E3" w:rsidP="00CB27AE">
            <w:pPr>
              <w:rPr>
                <w:rFonts w:cs="Calibri"/>
                <w:sz w:val="18"/>
                <w:szCs w:val="18"/>
              </w:rPr>
            </w:pPr>
            <w:r w:rsidRPr="001A0D0B">
              <w:rPr>
                <w:rFonts w:cs="Calibri"/>
                <w:sz w:val="18"/>
                <w:szCs w:val="18"/>
              </w:rPr>
              <w:t>Selective nicotine receptor partial agonists</w:t>
            </w:r>
          </w:p>
          <w:p w:rsidR="00F144E3" w:rsidRPr="001A0D0B" w:rsidRDefault="00F144E3" w:rsidP="00CB27AE">
            <w:pPr>
              <w:rPr>
                <w:rFonts w:cs="Calibri"/>
                <w:sz w:val="18"/>
                <w:szCs w:val="18"/>
              </w:rPr>
            </w:pPr>
          </w:p>
          <w:p w:rsidR="00F144E3" w:rsidRPr="001A0D0B" w:rsidRDefault="00F144E3" w:rsidP="00CB27AE">
            <w:pPr>
              <w:rPr>
                <w:rFonts w:cs="Calibri"/>
                <w:sz w:val="18"/>
                <w:szCs w:val="18"/>
              </w:rPr>
            </w:pPr>
            <w:r w:rsidRPr="001A0D0B">
              <w:rPr>
                <w:rFonts w:cs="Calibri"/>
                <w:sz w:val="18"/>
                <w:szCs w:val="18"/>
              </w:rPr>
              <w:t>Placebo, NRT, both NRT and placebo, quitline counselling alone</w:t>
            </w:r>
          </w:p>
        </w:tc>
        <w:tc>
          <w:tcPr>
            <w:tcW w:w="1134" w:type="dxa"/>
            <w:noWrap/>
          </w:tcPr>
          <w:p w:rsidR="00F144E3" w:rsidRPr="001A0D0B" w:rsidRDefault="00F144E3" w:rsidP="00CB27AE">
            <w:pPr>
              <w:rPr>
                <w:rFonts w:cs="Calibri"/>
                <w:sz w:val="18"/>
                <w:szCs w:val="18"/>
              </w:rPr>
            </w:pPr>
            <w:r w:rsidRPr="001A0D0B">
              <w:rPr>
                <w:rFonts w:cs="Calibri"/>
                <w:sz w:val="18"/>
                <w:szCs w:val="18"/>
              </w:rPr>
              <w:t>A minimum of six months abstinence is the primary outcome measure.</w:t>
            </w:r>
          </w:p>
        </w:tc>
        <w:tc>
          <w:tcPr>
            <w:tcW w:w="1134" w:type="dxa"/>
            <w:noWrap/>
          </w:tcPr>
          <w:p w:rsidR="00F144E3" w:rsidRPr="001A0D0B" w:rsidRDefault="00F144E3" w:rsidP="00CB27AE">
            <w:pPr>
              <w:rPr>
                <w:rFonts w:cs="Calibri"/>
                <w:sz w:val="18"/>
                <w:szCs w:val="18"/>
              </w:rPr>
            </w:pPr>
            <w:r w:rsidRPr="001A0D0B">
              <w:rPr>
                <w:rFonts w:cs="Calibri"/>
                <w:sz w:val="18"/>
                <w:szCs w:val="18"/>
              </w:rPr>
              <w:t>N/A</w:t>
            </w:r>
          </w:p>
        </w:tc>
        <w:tc>
          <w:tcPr>
            <w:tcW w:w="1520" w:type="dxa"/>
            <w:noWrap/>
          </w:tcPr>
          <w:p w:rsidR="00F144E3" w:rsidRPr="001A0D0B" w:rsidRDefault="00F144E3" w:rsidP="00CB27AE">
            <w:pPr>
              <w:ind w:hanging="27"/>
              <w:rPr>
                <w:rFonts w:cs="Calibri"/>
                <w:sz w:val="18"/>
                <w:szCs w:val="18"/>
              </w:rPr>
            </w:pPr>
            <w:r w:rsidRPr="001A0D0B">
              <w:rPr>
                <w:rFonts w:cs="Calibri"/>
                <w:sz w:val="18"/>
                <w:szCs w:val="18"/>
              </w:rPr>
              <w:t>Adverse event: nausea, insomnia, abnormal dreams, headache, depression, suicidal ideation;</w:t>
            </w:r>
          </w:p>
          <w:p w:rsidR="00F144E3" w:rsidRPr="001A0D0B" w:rsidRDefault="00F144E3" w:rsidP="00CB27AE">
            <w:pPr>
              <w:ind w:hanging="27"/>
              <w:rPr>
                <w:rFonts w:cs="Calibri"/>
                <w:sz w:val="18"/>
                <w:szCs w:val="18"/>
              </w:rPr>
            </w:pPr>
            <w:r w:rsidRPr="001A0D0B">
              <w:rPr>
                <w:rFonts w:cs="Calibri"/>
                <w:sz w:val="18"/>
                <w:szCs w:val="18"/>
              </w:rPr>
              <w:t>Serious adverse events: neuropsychiatric SAEs (not deaths), Cardiac SAEs, including deaths</w:t>
            </w:r>
          </w:p>
        </w:tc>
        <w:tc>
          <w:tcPr>
            <w:tcW w:w="1031" w:type="dxa"/>
            <w:noWrap/>
          </w:tcPr>
          <w:p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rsidR="00F144E3" w:rsidRPr="001A0D0B" w:rsidRDefault="00F144E3" w:rsidP="00CB27AE">
            <w:pPr>
              <w:jc w:val="center"/>
              <w:rPr>
                <w:rFonts w:cs="Calibri"/>
                <w:sz w:val="18"/>
                <w:szCs w:val="18"/>
              </w:rPr>
            </w:pPr>
            <w:r w:rsidRPr="001A0D0B">
              <w:rPr>
                <w:rFonts w:cs="Calibri"/>
                <w:sz w:val="18"/>
                <w:szCs w:val="18"/>
              </w:rPr>
              <w:t xml:space="preserve">44 trials </w:t>
            </w:r>
          </w:p>
        </w:tc>
        <w:tc>
          <w:tcPr>
            <w:tcW w:w="1418" w:type="dxa"/>
            <w:noWrap/>
          </w:tcPr>
          <w:p w:rsidR="00F144E3" w:rsidRPr="001A0D0B" w:rsidRDefault="00F144E3" w:rsidP="00CB27AE">
            <w:pPr>
              <w:rPr>
                <w:rFonts w:cs="Calibri"/>
                <w:sz w:val="18"/>
                <w:szCs w:val="18"/>
              </w:rPr>
            </w:pPr>
            <w:r w:rsidRPr="001A0D0B">
              <w:rPr>
                <w:rFonts w:cs="Calibri"/>
                <w:sz w:val="18"/>
                <w:szCs w:val="18"/>
              </w:rPr>
              <w:t>Not mentioned</w:t>
            </w:r>
          </w:p>
        </w:tc>
      </w:tr>
      <w:tr w:rsidR="00F144E3" w:rsidRPr="001A0D0B" w:rsidTr="00B33FD4">
        <w:tc>
          <w:tcPr>
            <w:tcW w:w="421" w:type="dxa"/>
            <w:noWrap/>
          </w:tcPr>
          <w:p w:rsidR="00F144E3" w:rsidRPr="001A0D0B" w:rsidRDefault="00F144E3" w:rsidP="00C324F3">
            <w:pPr>
              <w:numPr>
                <w:ilvl w:val="0"/>
                <w:numId w:val="6"/>
              </w:numPr>
              <w:rPr>
                <w:rFonts w:cs="Calibri"/>
                <w:sz w:val="18"/>
                <w:szCs w:val="18"/>
              </w:rPr>
            </w:pPr>
          </w:p>
        </w:tc>
        <w:tc>
          <w:tcPr>
            <w:tcW w:w="850" w:type="dxa"/>
            <w:noWrap/>
          </w:tcPr>
          <w:p w:rsidR="00F144E3" w:rsidRPr="001A0D0B" w:rsidRDefault="00F144E3" w:rsidP="00CB27AE">
            <w:pPr>
              <w:rPr>
                <w:rFonts w:cs="Calibri"/>
                <w:sz w:val="18"/>
                <w:szCs w:val="18"/>
              </w:rPr>
            </w:pPr>
            <w:r w:rsidRPr="001A0D0B">
              <w:rPr>
                <w:rFonts w:cs="Calibri"/>
                <w:sz w:val="18"/>
                <w:szCs w:val="18"/>
              </w:rPr>
              <w:t>Cahill 2013</w:t>
            </w:r>
          </w:p>
        </w:tc>
        <w:tc>
          <w:tcPr>
            <w:tcW w:w="1985" w:type="dxa"/>
            <w:noWrap/>
          </w:tcPr>
          <w:p w:rsidR="00F144E3" w:rsidRPr="001A0D0B" w:rsidRDefault="00F144E3" w:rsidP="00CB27AE">
            <w:pPr>
              <w:rPr>
                <w:rFonts w:cs="Calibri"/>
                <w:sz w:val="18"/>
                <w:szCs w:val="18"/>
              </w:rPr>
            </w:pPr>
            <w:r w:rsidRPr="001A0D0B">
              <w:rPr>
                <w:rFonts w:cs="Calibri"/>
                <w:sz w:val="18"/>
                <w:szCs w:val="18"/>
              </w:rPr>
              <w:t xml:space="preserve">To conduct an overview of Cochrane reviews which assess the efficacy and safety of pharmacological </w:t>
            </w:r>
            <w:r w:rsidRPr="001A0D0B">
              <w:rPr>
                <w:rFonts w:cs="Calibri"/>
                <w:sz w:val="18"/>
                <w:szCs w:val="18"/>
              </w:rPr>
              <w:lastRenderedPageBreak/>
              <w:t>interventions designed to support smoking cessation attempts</w:t>
            </w:r>
          </w:p>
        </w:tc>
        <w:tc>
          <w:tcPr>
            <w:tcW w:w="1134" w:type="dxa"/>
            <w:noWrap/>
          </w:tcPr>
          <w:p w:rsidR="00F144E3" w:rsidRPr="001A0D0B" w:rsidRDefault="00F144E3" w:rsidP="00CB27AE">
            <w:pPr>
              <w:rPr>
                <w:rFonts w:cs="Calibri"/>
                <w:sz w:val="18"/>
                <w:szCs w:val="18"/>
              </w:rPr>
            </w:pPr>
            <w:r w:rsidRPr="001A0D0B">
              <w:rPr>
                <w:rFonts w:cs="Calibri"/>
                <w:sz w:val="18"/>
                <w:szCs w:val="18"/>
              </w:rPr>
              <w:lastRenderedPageBreak/>
              <w:t xml:space="preserve">RCTs </w:t>
            </w:r>
          </w:p>
          <w:p w:rsidR="00F144E3" w:rsidRPr="001A0D0B" w:rsidRDefault="00F144E3" w:rsidP="00CB27AE">
            <w:pPr>
              <w:rPr>
                <w:rFonts w:cs="Calibri"/>
                <w:sz w:val="18"/>
                <w:szCs w:val="18"/>
              </w:rPr>
            </w:pPr>
            <w:r w:rsidRPr="001A0D0B">
              <w:rPr>
                <w:rFonts w:cs="Calibri"/>
                <w:sz w:val="18"/>
                <w:szCs w:val="18"/>
              </w:rPr>
              <w:t xml:space="preserve">Post-marketing surveillance data where </w:t>
            </w:r>
            <w:r w:rsidRPr="001A0D0B">
              <w:rPr>
                <w:rFonts w:cs="Calibri"/>
                <w:sz w:val="18"/>
                <w:szCs w:val="18"/>
              </w:rPr>
              <w:lastRenderedPageBreak/>
              <w:t>these are available and appropriate</w:t>
            </w:r>
          </w:p>
          <w:p w:rsidR="00F144E3" w:rsidRPr="001A0D0B" w:rsidRDefault="00F144E3" w:rsidP="00CB27AE">
            <w:pPr>
              <w:rPr>
                <w:rFonts w:cs="Calibri"/>
                <w:sz w:val="18"/>
                <w:szCs w:val="18"/>
              </w:rPr>
            </w:pPr>
          </w:p>
          <w:p w:rsidR="00F144E3" w:rsidRPr="001A0D0B" w:rsidRDefault="00F144E3" w:rsidP="00CB27AE">
            <w:pPr>
              <w:rPr>
                <w:rFonts w:cs="Calibri"/>
                <w:sz w:val="18"/>
                <w:szCs w:val="18"/>
              </w:rPr>
            </w:pPr>
            <w:r w:rsidRPr="001A0D0B">
              <w:rPr>
                <w:rFonts w:cs="Calibri"/>
                <w:sz w:val="18"/>
                <w:szCs w:val="18"/>
              </w:rPr>
              <w:t>Adult smokers, of either gender, and of any nationality and ethnicity</w:t>
            </w:r>
          </w:p>
        </w:tc>
        <w:tc>
          <w:tcPr>
            <w:tcW w:w="1701" w:type="dxa"/>
            <w:noWrap/>
          </w:tcPr>
          <w:p w:rsidR="00F144E3" w:rsidRPr="001A0D0B" w:rsidRDefault="00F144E3" w:rsidP="00CB27AE">
            <w:pPr>
              <w:rPr>
                <w:rFonts w:cs="Calibri"/>
                <w:sz w:val="18"/>
                <w:szCs w:val="18"/>
              </w:rPr>
            </w:pPr>
            <w:r w:rsidRPr="001A0D0B">
              <w:rPr>
                <w:rFonts w:cs="Calibri"/>
                <w:sz w:val="18"/>
                <w:szCs w:val="18"/>
              </w:rPr>
              <w:lastRenderedPageBreak/>
              <w:t xml:space="preserve">NRT, antidepressants (bupropion and nortriptyline), nicotine receptor </w:t>
            </w:r>
            <w:r w:rsidRPr="001A0D0B">
              <w:rPr>
                <w:rFonts w:cs="Calibri"/>
                <w:sz w:val="18"/>
                <w:szCs w:val="18"/>
              </w:rPr>
              <w:lastRenderedPageBreak/>
              <w:t>partial agonists (varenicline and cytisine), anxiolytics, selective type 1 cannabinoid receptor antagonists (rimonabant), clonidine, lobeline, dianicline, mecamylamine, Nicobrevin, opioid antagonists, nicotine vaccines, and silver acetate. These interventions may be delivered as monotherapies or in combination.</w:t>
            </w:r>
          </w:p>
          <w:p w:rsidR="00F144E3" w:rsidRPr="001A0D0B" w:rsidRDefault="00F144E3" w:rsidP="00CB27AE">
            <w:pPr>
              <w:rPr>
                <w:rFonts w:cs="Calibri"/>
                <w:sz w:val="18"/>
                <w:szCs w:val="18"/>
              </w:rPr>
            </w:pPr>
          </w:p>
          <w:p w:rsidR="00F144E3" w:rsidRPr="001A0D0B" w:rsidRDefault="00F144E3" w:rsidP="00CB27AE">
            <w:pPr>
              <w:rPr>
                <w:rFonts w:cs="Calibri"/>
                <w:sz w:val="18"/>
                <w:szCs w:val="18"/>
              </w:rPr>
            </w:pPr>
            <w:r w:rsidRPr="001A0D0B">
              <w:rPr>
                <w:rFonts w:cs="Calibri"/>
                <w:sz w:val="18"/>
                <w:szCs w:val="18"/>
              </w:rPr>
              <w:t>Placebo, other pharmacological treatments or combinations of treatments, and usual or standard care.</w:t>
            </w:r>
          </w:p>
        </w:tc>
        <w:tc>
          <w:tcPr>
            <w:tcW w:w="1134" w:type="dxa"/>
            <w:noWrap/>
          </w:tcPr>
          <w:p w:rsidR="00F144E3" w:rsidRPr="001A0D0B" w:rsidRDefault="00F144E3" w:rsidP="00CB27AE">
            <w:pPr>
              <w:rPr>
                <w:rFonts w:cs="Calibri"/>
                <w:sz w:val="18"/>
                <w:szCs w:val="18"/>
              </w:rPr>
            </w:pPr>
            <w:r w:rsidRPr="001A0D0B">
              <w:rPr>
                <w:rFonts w:cs="Calibri"/>
                <w:sz w:val="18"/>
                <w:szCs w:val="18"/>
              </w:rPr>
              <w:lastRenderedPageBreak/>
              <w:t xml:space="preserve">Sustained smoking cessation, i.e. for six </w:t>
            </w:r>
            <w:r w:rsidRPr="001A0D0B">
              <w:rPr>
                <w:rFonts w:cs="Calibri"/>
                <w:sz w:val="18"/>
                <w:szCs w:val="18"/>
              </w:rPr>
              <w:lastRenderedPageBreak/>
              <w:t xml:space="preserve">months or longer. </w:t>
            </w:r>
          </w:p>
        </w:tc>
        <w:tc>
          <w:tcPr>
            <w:tcW w:w="1134" w:type="dxa"/>
            <w:noWrap/>
          </w:tcPr>
          <w:p w:rsidR="00F144E3" w:rsidRPr="001A0D0B" w:rsidRDefault="00F144E3" w:rsidP="00CB27AE">
            <w:pPr>
              <w:rPr>
                <w:rFonts w:cs="Calibri"/>
                <w:sz w:val="18"/>
                <w:szCs w:val="18"/>
              </w:rPr>
            </w:pPr>
            <w:r w:rsidRPr="001A0D0B">
              <w:rPr>
                <w:rFonts w:cs="Calibri"/>
                <w:sz w:val="18"/>
                <w:szCs w:val="18"/>
              </w:rPr>
              <w:lastRenderedPageBreak/>
              <w:t xml:space="preserve">Reduction of withdrawal symptoms and </w:t>
            </w:r>
            <w:r w:rsidRPr="001A0D0B">
              <w:rPr>
                <w:rFonts w:cs="Calibri"/>
                <w:sz w:val="18"/>
                <w:szCs w:val="18"/>
              </w:rPr>
              <w:lastRenderedPageBreak/>
              <w:t>reduction of craving</w:t>
            </w:r>
          </w:p>
        </w:tc>
        <w:tc>
          <w:tcPr>
            <w:tcW w:w="1520" w:type="dxa"/>
            <w:noWrap/>
          </w:tcPr>
          <w:p w:rsidR="00F144E3" w:rsidRPr="001A0D0B" w:rsidRDefault="00F144E3" w:rsidP="00CB27AE">
            <w:pPr>
              <w:rPr>
                <w:rFonts w:cs="Calibri"/>
                <w:sz w:val="18"/>
                <w:szCs w:val="18"/>
              </w:rPr>
            </w:pPr>
            <w:r w:rsidRPr="001A0D0B">
              <w:rPr>
                <w:rFonts w:cs="Calibri"/>
                <w:sz w:val="18"/>
                <w:szCs w:val="18"/>
              </w:rPr>
              <w:lastRenderedPageBreak/>
              <w:t>N/A</w:t>
            </w:r>
          </w:p>
        </w:tc>
        <w:tc>
          <w:tcPr>
            <w:tcW w:w="1031" w:type="dxa"/>
            <w:noWrap/>
          </w:tcPr>
          <w:p w:rsidR="00F144E3" w:rsidRPr="001A0D0B" w:rsidRDefault="00F144E3" w:rsidP="00CB27AE">
            <w:pPr>
              <w:jc w:val="center"/>
              <w:rPr>
                <w:rFonts w:cs="Calibri"/>
                <w:sz w:val="18"/>
                <w:szCs w:val="18"/>
              </w:rPr>
            </w:pPr>
            <w:r w:rsidRPr="001A0D0B">
              <w:rPr>
                <w:rFonts w:cs="Calibri"/>
                <w:sz w:val="18"/>
                <w:szCs w:val="18"/>
              </w:rPr>
              <w:t>Network meta-analysis</w:t>
            </w:r>
          </w:p>
        </w:tc>
        <w:tc>
          <w:tcPr>
            <w:tcW w:w="992" w:type="dxa"/>
            <w:noWrap/>
          </w:tcPr>
          <w:p w:rsidR="00F144E3" w:rsidRPr="001A0D0B" w:rsidRDefault="00F144E3" w:rsidP="00CB27AE">
            <w:pPr>
              <w:jc w:val="center"/>
              <w:rPr>
                <w:rFonts w:cs="Calibri"/>
                <w:sz w:val="18"/>
                <w:szCs w:val="18"/>
              </w:rPr>
            </w:pPr>
            <w:r w:rsidRPr="001A0D0B">
              <w:rPr>
                <w:rFonts w:cs="Calibri"/>
                <w:sz w:val="18"/>
                <w:szCs w:val="18"/>
              </w:rPr>
              <w:t>24</w:t>
            </w:r>
          </w:p>
        </w:tc>
        <w:tc>
          <w:tcPr>
            <w:tcW w:w="1418" w:type="dxa"/>
            <w:noWrap/>
          </w:tcPr>
          <w:p w:rsidR="00F144E3" w:rsidRPr="001A0D0B" w:rsidRDefault="00F144E3" w:rsidP="00CB27AE">
            <w:pPr>
              <w:rPr>
                <w:rFonts w:cs="Calibri"/>
                <w:sz w:val="18"/>
                <w:szCs w:val="18"/>
              </w:rPr>
            </w:pPr>
            <w:r w:rsidRPr="001A0D0B">
              <w:rPr>
                <w:rFonts w:cs="Calibri"/>
                <w:sz w:val="18"/>
                <w:szCs w:val="18"/>
              </w:rPr>
              <w:t>101,804</w:t>
            </w:r>
          </w:p>
        </w:tc>
      </w:tr>
    </w:tbl>
    <w:p w:rsidR="00906D7B" w:rsidRDefault="00FF725F" w:rsidP="00E715CC">
      <w:pPr>
        <w:pStyle w:val="TableFooter"/>
      </w:pPr>
      <w:bookmarkStart w:id="345" w:name="_Appendix_B_–"/>
      <w:bookmarkStart w:id="346" w:name="_Appendix_C_–"/>
      <w:bookmarkEnd w:id="345"/>
      <w:bookmarkEnd w:id="346"/>
      <w:r>
        <w:t xml:space="preserve">Abbreviations: </w:t>
      </w:r>
      <w:r w:rsidR="000B4669">
        <w:t xml:space="preserve">AE = adverse event; </w:t>
      </w:r>
      <w:r w:rsidR="00BA54F4">
        <w:t xml:space="preserve">BUP = bupropion; </w:t>
      </w:r>
      <w:r w:rsidR="00C4141A">
        <w:t xml:space="preserve">COPD = chronic obstructive pulmonary disease; </w:t>
      </w:r>
      <w:r w:rsidR="0075643B">
        <w:t xml:space="preserve">EC = e-cigarette; </w:t>
      </w:r>
      <w:r w:rsidR="000B4669">
        <w:t xml:space="preserve">NRT = nicotine replacement therapy; </w:t>
      </w:r>
      <w:r w:rsidR="002144A5">
        <w:t xml:space="preserve">PBO = placebo; </w:t>
      </w:r>
      <w:r w:rsidR="000E3A8C">
        <w:t xml:space="preserve">PLWHA = people living with HIV/AIDS; </w:t>
      </w:r>
      <w:r w:rsidR="007949DB">
        <w:t xml:space="preserve">QoL = quality of life; </w:t>
      </w:r>
      <w:r w:rsidR="000B4669">
        <w:t>RCT = randomised controlled trial;</w:t>
      </w:r>
      <w:r w:rsidR="00BA54F4" w:rsidRPr="00BA54F4">
        <w:t xml:space="preserve"> </w:t>
      </w:r>
      <w:r w:rsidR="007949DB">
        <w:t xml:space="preserve">SAE = serious adverse event; </w:t>
      </w:r>
      <w:r w:rsidR="002A45B9">
        <w:t xml:space="preserve">SNP = </w:t>
      </w:r>
      <w:r w:rsidR="002A45B9" w:rsidRPr="002A45B9">
        <w:t xml:space="preserve">single-nucleotide polymorphisms </w:t>
      </w:r>
      <w:r w:rsidR="00BA54F4">
        <w:t>VAR = varenicline</w:t>
      </w:r>
      <w:r>
        <w:t>.</w:t>
      </w:r>
      <w:r w:rsidR="000E3A8C">
        <w:t xml:space="preserve"> </w:t>
      </w:r>
    </w:p>
    <w:p w:rsidR="00B87979" w:rsidRDefault="00B87979" w:rsidP="00E715CC">
      <w:pPr>
        <w:pStyle w:val="TableFooter"/>
      </w:pPr>
    </w:p>
    <w:p w:rsidR="00C614E0" w:rsidRPr="00C614E0" w:rsidRDefault="00C614E0" w:rsidP="00C614E0">
      <w:pPr>
        <w:pStyle w:val="TableFooter"/>
      </w:pPr>
    </w:p>
    <w:p w:rsidR="00C614E0" w:rsidRPr="00C614E0" w:rsidRDefault="00FD59DC" w:rsidP="00C614E0">
      <w:pPr>
        <w:pStyle w:val="Heading3"/>
        <w:numPr>
          <w:ilvl w:val="0"/>
          <w:numId w:val="0"/>
        </w:numPr>
      </w:pPr>
      <w:bookmarkStart w:id="347" w:name="_Toc72850870"/>
      <w:bookmarkStart w:id="348" w:name="_Toc73525635"/>
      <w:r>
        <w:lastRenderedPageBreak/>
        <w:t>A.</w:t>
      </w:r>
      <w:r w:rsidR="00120334">
        <w:t>5</w:t>
      </w:r>
      <w:r>
        <w:t xml:space="preserve"> </w:t>
      </w:r>
      <w:r w:rsidR="00701DEA" w:rsidRPr="00701DEA">
        <w:t>Risk of bias assessment for included Cochrane reviews</w:t>
      </w:r>
      <w:bookmarkEnd w:id="347"/>
      <w:bookmarkEnd w:id="348"/>
    </w:p>
    <w:p w:rsidR="00A90EA3" w:rsidRDefault="00A90EA3" w:rsidP="00A90EA3">
      <w:pPr>
        <w:pStyle w:val="Caption"/>
        <w:keepNext/>
      </w:pPr>
      <w:bookmarkStart w:id="349" w:name="_Ref62651210"/>
      <w:r>
        <w:t xml:space="preserve">Table </w:t>
      </w:r>
      <w:r w:rsidR="003C4A1C">
        <w:rPr>
          <w:noProof/>
        </w:rPr>
        <w:t>138</w:t>
      </w:r>
      <w:bookmarkEnd w:id="349"/>
      <w:r>
        <w:t xml:space="preserve">: Quality assessment </w:t>
      </w:r>
      <w:r w:rsidR="001003C6">
        <w:t xml:space="preserve">for Cochrane Reviews </w:t>
      </w:r>
      <w:r>
        <w:t>using AMSTAR 2</w:t>
      </w:r>
      <w:r w:rsidR="0072171B">
        <w:t xml:space="preserve"> (1 of 2)</w:t>
      </w:r>
    </w:p>
    <w:tbl>
      <w:tblPr>
        <w:tblStyle w:val="TableGrid"/>
        <w:tblW w:w="5085" w:type="pct"/>
        <w:tblLook w:val="04A0" w:firstRow="1" w:lastRow="0" w:firstColumn="1" w:lastColumn="0" w:noHBand="0" w:noVBand="1"/>
      </w:tblPr>
      <w:tblGrid>
        <w:gridCol w:w="419"/>
        <w:gridCol w:w="5962"/>
        <w:gridCol w:w="780"/>
        <w:gridCol w:w="692"/>
        <w:gridCol w:w="1047"/>
        <w:gridCol w:w="1223"/>
        <w:gridCol w:w="1223"/>
        <w:gridCol w:w="860"/>
        <w:gridCol w:w="860"/>
        <w:gridCol w:w="1119"/>
      </w:tblGrid>
      <w:tr w:rsidR="00987C5E" w:rsidRPr="00C62D0D" w:rsidTr="000C2B11">
        <w:trPr>
          <w:trHeight w:val="658"/>
        </w:trPr>
        <w:tc>
          <w:tcPr>
            <w:tcW w:w="148" w:type="pct"/>
            <w:shd w:val="clear" w:color="auto" w:fill="BFBFBF" w:themeFill="background1" w:themeFillShade="BF"/>
            <w:noWrap/>
            <w:vAlign w:val="center"/>
            <w:hideMark/>
          </w:tcPr>
          <w:p w:rsidR="000453CB" w:rsidRPr="00C62D0D" w:rsidRDefault="000453CB" w:rsidP="00367134">
            <w:pPr>
              <w:pStyle w:val="Tablewriting"/>
              <w:rPr>
                <w:b/>
              </w:rPr>
            </w:pPr>
            <w:r w:rsidRPr="00C62D0D">
              <w:rPr>
                <w:b/>
              </w:rPr>
              <w:t> </w:t>
            </w:r>
          </w:p>
        </w:tc>
        <w:tc>
          <w:tcPr>
            <w:tcW w:w="2102" w:type="pct"/>
            <w:shd w:val="clear" w:color="auto" w:fill="BFBFBF" w:themeFill="background1" w:themeFillShade="BF"/>
            <w:vAlign w:val="center"/>
            <w:hideMark/>
          </w:tcPr>
          <w:p w:rsidR="000453CB" w:rsidRPr="00C62D0D" w:rsidRDefault="000453CB" w:rsidP="00367134">
            <w:pPr>
              <w:pStyle w:val="Tablewriting"/>
              <w:rPr>
                <w:b/>
              </w:rPr>
            </w:pPr>
            <w:r w:rsidRPr="00C62D0D">
              <w:rPr>
                <w:b/>
              </w:rPr>
              <w:t>Assessment criteria</w:t>
            </w:r>
          </w:p>
        </w:tc>
        <w:tc>
          <w:tcPr>
            <w:tcW w:w="275" w:type="pct"/>
            <w:shd w:val="clear" w:color="auto" w:fill="BFBFBF" w:themeFill="background1" w:themeFillShade="BF"/>
            <w:vAlign w:val="center"/>
            <w:hideMark/>
          </w:tcPr>
          <w:p w:rsidR="000453CB" w:rsidRPr="00C62D0D" w:rsidRDefault="000453CB" w:rsidP="00367134">
            <w:pPr>
              <w:pStyle w:val="Tablewriting"/>
              <w:rPr>
                <w:b/>
              </w:rPr>
            </w:pPr>
            <w:r w:rsidRPr="00C62D0D">
              <w:rPr>
                <w:b/>
              </w:rPr>
              <w:t>Howes 2020</w:t>
            </w:r>
          </w:p>
        </w:tc>
        <w:tc>
          <w:tcPr>
            <w:tcW w:w="244" w:type="pct"/>
            <w:shd w:val="clear" w:color="auto" w:fill="BFBFBF" w:themeFill="background1" w:themeFillShade="BF"/>
            <w:vAlign w:val="center"/>
            <w:hideMark/>
          </w:tcPr>
          <w:p w:rsidR="000453CB" w:rsidRPr="00C62D0D" w:rsidRDefault="000453CB" w:rsidP="00367134">
            <w:pPr>
              <w:pStyle w:val="Tablewriting"/>
              <w:rPr>
                <w:b/>
              </w:rPr>
            </w:pPr>
            <w:r w:rsidRPr="00C62D0D">
              <w:rPr>
                <w:b/>
              </w:rPr>
              <w:t>Claire 2020</w:t>
            </w:r>
          </w:p>
        </w:tc>
        <w:tc>
          <w:tcPr>
            <w:tcW w:w="369" w:type="pct"/>
            <w:shd w:val="clear" w:color="auto" w:fill="BFBFBF" w:themeFill="background1" w:themeFillShade="BF"/>
            <w:vAlign w:val="center"/>
            <w:hideMark/>
          </w:tcPr>
          <w:p w:rsidR="000453CB" w:rsidRPr="00C62D0D" w:rsidRDefault="000453CB" w:rsidP="00367134">
            <w:pPr>
              <w:pStyle w:val="Tablewriting"/>
              <w:rPr>
                <w:b/>
              </w:rPr>
            </w:pPr>
            <w:r w:rsidRPr="00C62D0D">
              <w:rPr>
                <w:b/>
              </w:rPr>
              <w:t>Matkin 2019</w:t>
            </w:r>
          </w:p>
        </w:tc>
        <w:tc>
          <w:tcPr>
            <w:tcW w:w="431" w:type="pct"/>
            <w:shd w:val="clear" w:color="auto" w:fill="BFBFBF" w:themeFill="background1" w:themeFillShade="BF"/>
            <w:vAlign w:val="center"/>
            <w:hideMark/>
          </w:tcPr>
          <w:p w:rsidR="000453CB" w:rsidRPr="00C62D0D" w:rsidRDefault="000453CB" w:rsidP="00367134">
            <w:pPr>
              <w:pStyle w:val="Tablewriting"/>
              <w:rPr>
                <w:b/>
              </w:rPr>
            </w:pPr>
            <w:r w:rsidRPr="00C62D0D">
              <w:rPr>
                <w:b/>
              </w:rPr>
              <w:t>Livingstone-Banks 2019a</w:t>
            </w:r>
          </w:p>
        </w:tc>
        <w:tc>
          <w:tcPr>
            <w:tcW w:w="431" w:type="pct"/>
            <w:shd w:val="clear" w:color="auto" w:fill="BFBFBF" w:themeFill="background1" w:themeFillShade="BF"/>
            <w:vAlign w:val="center"/>
            <w:hideMark/>
          </w:tcPr>
          <w:p w:rsidR="000453CB" w:rsidRPr="00C62D0D" w:rsidRDefault="000453CB" w:rsidP="00367134">
            <w:pPr>
              <w:pStyle w:val="Tablewriting"/>
              <w:rPr>
                <w:b/>
              </w:rPr>
            </w:pPr>
            <w:r w:rsidRPr="00C62D0D">
              <w:rPr>
                <w:b/>
              </w:rPr>
              <w:t>Livingstone-Banks 2019b</w:t>
            </w:r>
          </w:p>
        </w:tc>
        <w:tc>
          <w:tcPr>
            <w:tcW w:w="303" w:type="pct"/>
            <w:shd w:val="clear" w:color="auto" w:fill="BFBFBF" w:themeFill="background1" w:themeFillShade="BF"/>
            <w:vAlign w:val="center"/>
            <w:hideMark/>
          </w:tcPr>
          <w:p w:rsidR="000453CB" w:rsidRPr="00C62D0D" w:rsidRDefault="000453CB" w:rsidP="00367134">
            <w:pPr>
              <w:pStyle w:val="Tablewriting"/>
              <w:rPr>
                <w:b/>
              </w:rPr>
            </w:pPr>
            <w:r w:rsidRPr="00C62D0D">
              <w:rPr>
                <w:b/>
              </w:rPr>
              <w:t>Lindson 2019a</w:t>
            </w:r>
          </w:p>
        </w:tc>
        <w:tc>
          <w:tcPr>
            <w:tcW w:w="303" w:type="pct"/>
            <w:shd w:val="clear" w:color="auto" w:fill="BFBFBF" w:themeFill="background1" w:themeFillShade="BF"/>
            <w:vAlign w:val="center"/>
            <w:hideMark/>
          </w:tcPr>
          <w:p w:rsidR="000453CB" w:rsidRPr="00C62D0D" w:rsidRDefault="000453CB" w:rsidP="00367134">
            <w:pPr>
              <w:pStyle w:val="Tablewriting"/>
              <w:rPr>
                <w:b/>
              </w:rPr>
            </w:pPr>
            <w:r w:rsidRPr="00C62D0D">
              <w:rPr>
                <w:b/>
              </w:rPr>
              <w:t>Lindson 2019b</w:t>
            </w:r>
          </w:p>
        </w:tc>
        <w:tc>
          <w:tcPr>
            <w:tcW w:w="394" w:type="pct"/>
            <w:shd w:val="clear" w:color="auto" w:fill="BFBFBF" w:themeFill="background1" w:themeFillShade="BF"/>
            <w:vAlign w:val="center"/>
            <w:hideMark/>
          </w:tcPr>
          <w:p w:rsidR="000453CB" w:rsidRPr="00C62D0D" w:rsidRDefault="000453CB" w:rsidP="00367134">
            <w:pPr>
              <w:pStyle w:val="Tablewriting"/>
              <w:rPr>
                <w:b/>
              </w:rPr>
            </w:pPr>
            <w:r w:rsidRPr="00C62D0D">
              <w:rPr>
                <w:b/>
              </w:rPr>
              <w:t>Hartmann-Boyce 2019</w:t>
            </w:r>
          </w:p>
        </w:tc>
      </w:tr>
      <w:tr w:rsidR="000453CB" w:rsidRPr="00C62D0D" w:rsidTr="000C2B11">
        <w:trPr>
          <w:trHeight w:val="143"/>
        </w:trPr>
        <w:tc>
          <w:tcPr>
            <w:tcW w:w="148" w:type="pct"/>
            <w:noWrap/>
            <w:vAlign w:val="center"/>
            <w:hideMark/>
          </w:tcPr>
          <w:p w:rsidR="000453CB" w:rsidRPr="00367134" w:rsidRDefault="000453CB" w:rsidP="00367134">
            <w:pPr>
              <w:pStyle w:val="Tablewriting"/>
            </w:pPr>
            <w:r w:rsidRPr="00367134">
              <w:t>1</w:t>
            </w:r>
          </w:p>
        </w:tc>
        <w:tc>
          <w:tcPr>
            <w:tcW w:w="2102" w:type="pct"/>
            <w:vAlign w:val="center"/>
            <w:hideMark/>
          </w:tcPr>
          <w:p w:rsidR="000453CB" w:rsidRPr="00367134" w:rsidRDefault="000453CB" w:rsidP="00367134">
            <w:pPr>
              <w:pStyle w:val="Tablewriting"/>
            </w:pPr>
            <w:r w:rsidRPr="00367134">
              <w:t xml:space="preserve">Did the research questions and inclusion criteria for the review include the components of PICO? </w:t>
            </w:r>
          </w:p>
        </w:tc>
        <w:tc>
          <w:tcPr>
            <w:tcW w:w="275" w:type="pct"/>
            <w:vAlign w:val="center"/>
            <w:hideMark/>
          </w:tcPr>
          <w:p w:rsidR="000453CB" w:rsidRPr="00367134" w:rsidRDefault="000453CB" w:rsidP="00367134">
            <w:pPr>
              <w:pStyle w:val="Tablewriting"/>
            </w:pPr>
            <w:r w:rsidRPr="00367134">
              <w:t>Yes</w:t>
            </w:r>
          </w:p>
        </w:tc>
        <w:tc>
          <w:tcPr>
            <w:tcW w:w="244" w:type="pct"/>
            <w:vAlign w:val="center"/>
            <w:hideMark/>
          </w:tcPr>
          <w:p w:rsidR="000453CB" w:rsidRPr="00367134" w:rsidRDefault="000453CB" w:rsidP="00367134">
            <w:pPr>
              <w:pStyle w:val="Tablewriting"/>
            </w:pPr>
            <w:r w:rsidRPr="00367134">
              <w:t>Yes</w:t>
            </w:r>
          </w:p>
        </w:tc>
        <w:tc>
          <w:tcPr>
            <w:tcW w:w="369" w:type="pct"/>
            <w:vAlign w:val="center"/>
            <w:hideMark/>
          </w:tcPr>
          <w:p w:rsidR="000453CB" w:rsidRPr="00367134" w:rsidRDefault="000453CB" w:rsidP="00367134">
            <w:pPr>
              <w:pStyle w:val="Tablewriting"/>
            </w:pPr>
            <w:r w:rsidRPr="00367134">
              <w:t>Yes</w:t>
            </w:r>
          </w:p>
        </w:tc>
        <w:tc>
          <w:tcPr>
            <w:tcW w:w="431" w:type="pct"/>
            <w:vAlign w:val="center"/>
            <w:hideMark/>
          </w:tcPr>
          <w:p w:rsidR="000453CB" w:rsidRPr="00367134" w:rsidRDefault="000453CB" w:rsidP="00367134">
            <w:pPr>
              <w:pStyle w:val="Tablewriting"/>
            </w:pPr>
            <w:r w:rsidRPr="00367134">
              <w:t>Yes</w:t>
            </w:r>
          </w:p>
        </w:tc>
        <w:tc>
          <w:tcPr>
            <w:tcW w:w="431" w:type="pct"/>
            <w:vAlign w:val="center"/>
            <w:hideMark/>
          </w:tcPr>
          <w:p w:rsidR="000453CB" w:rsidRPr="00367134" w:rsidRDefault="000453CB" w:rsidP="00367134">
            <w:pPr>
              <w:pStyle w:val="Tablewriting"/>
            </w:pPr>
            <w:r w:rsidRPr="00367134">
              <w:t>Yes</w:t>
            </w:r>
          </w:p>
        </w:tc>
        <w:tc>
          <w:tcPr>
            <w:tcW w:w="303" w:type="pct"/>
            <w:vAlign w:val="center"/>
            <w:hideMark/>
          </w:tcPr>
          <w:p w:rsidR="000453CB" w:rsidRPr="00367134" w:rsidRDefault="000453CB" w:rsidP="00367134">
            <w:pPr>
              <w:pStyle w:val="Tablewriting"/>
            </w:pPr>
            <w:r w:rsidRPr="00367134">
              <w:t>Yes</w:t>
            </w:r>
          </w:p>
        </w:tc>
        <w:tc>
          <w:tcPr>
            <w:tcW w:w="303" w:type="pct"/>
            <w:vAlign w:val="center"/>
            <w:hideMark/>
          </w:tcPr>
          <w:p w:rsidR="000453CB" w:rsidRPr="00367134" w:rsidRDefault="000453CB" w:rsidP="00367134">
            <w:pPr>
              <w:pStyle w:val="Tablewriting"/>
            </w:pPr>
            <w:r w:rsidRPr="00367134">
              <w:t>Yes</w:t>
            </w:r>
          </w:p>
        </w:tc>
        <w:tc>
          <w:tcPr>
            <w:tcW w:w="394" w:type="pct"/>
            <w:vAlign w:val="center"/>
            <w:hideMark/>
          </w:tcPr>
          <w:p w:rsidR="000453CB" w:rsidRPr="00367134" w:rsidRDefault="000453CB" w:rsidP="00367134">
            <w:pPr>
              <w:pStyle w:val="Tablewriting"/>
            </w:pPr>
            <w:r w:rsidRPr="00367134">
              <w:t>Yes</w:t>
            </w:r>
          </w:p>
        </w:tc>
      </w:tr>
      <w:tr w:rsidR="000453CB" w:rsidRPr="00C62D0D" w:rsidTr="000C2B11">
        <w:trPr>
          <w:trHeight w:val="367"/>
        </w:trPr>
        <w:tc>
          <w:tcPr>
            <w:tcW w:w="148" w:type="pct"/>
            <w:noWrap/>
            <w:vAlign w:val="center"/>
            <w:hideMark/>
          </w:tcPr>
          <w:p w:rsidR="000453CB" w:rsidRPr="00C62D0D" w:rsidRDefault="000453CB" w:rsidP="00367134">
            <w:pPr>
              <w:pStyle w:val="Tablewriting"/>
            </w:pPr>
            <w:r w:rsidRPr="00C62D0D">
              <w:t>2</w:t>
            </w:r>
          </w:p>
        </w:tc>
        <w:tc>
          <w:tcPr>
            <w:tcW w:w="2102" w:type="pct"/>
            <w:vAlign w:val="center"/>
            <w:hideMark/>
          </w:tcPr>
          <w:p w:rsidR="000453CB" w:rsidRPr="00C62D0D" w:rsidRDefault="000453CB" w:rsidP="00367134">
            <w:pPr>
              <w:pStyle w:val="Tablewriting"/>
            </w:pPr>
            <w:r w:rsidRPr="00C62D0D">
              <w:t xml:space="preserve">Did the report of the review contain an explicit statement that the review methods were established prior to the conduct of the review and did the report justify any significant deviations from the protocol? </w:t>
            </w:r>
          </w:p>
        </w:tc>
        <w:tc>
          <w:tcPr>
            <w:tcW w:w="275" w:type="pct"/>
            <w:noWrap/>
            <w:vAlign w:val="center"/>
            <w:hideMark/>
          </w:tcPr>
          <w:p w:rsidR="000453CB" w:rsidRPr="00C62D0D" w:rsidRDefault="000453CB" w:rsidP="00367134">
            <w:pPr>
              <w:pStyle w:val="Tablewriting"/>
            </w:pPr>
            <w:r w:rsidRPr="00C62D0D">
              <w:t>Yes</w:t>
            </w:r>
          </w:p>
        </w:tc>
        <w:tc>
          <w:tcPr>
            <w:tcW w:w="244" w:type="pct"/>
            <w:noWrap/>
            <w:vAlign w:val="center"/>
            <w:hideMark/>
          </w:tcPr>
          <w:p w:rsidR="000453CB" w:rsidRPr="00C62D0D" w:rsidRDefault="000453CB" w:rsidP="00367134">
            <w:pPr>
              <w:pStyle w:val="Tablewriting"/>
            </w:pPr>
            <w:r w:rsidRPr="00C62D0D">
              <w:t>Yes</w:t>
            </w:r>
          </w:p>
        </w:tc>
        <w:tc>
          <w:tcPr>
            <w:tcW w:w="369" w:type="pct"/>
            <w:noWrap/>
            <w:vAlign w:val="center"/>
            <w:hideMark/>
          </w:tcPr>
          <w:p w:rsidR="000453CB" w:rsidRPr="00C62D0D" w:rsidRDefault="000453CB" w:rsidP="00367134">
            <w:pPr>
              <w:pStyle w:val="Tablewriting"/>
            </w:pPr>
            <w:r w:rsidRPr="00C62D0D">
              <w:t>Yes</w:t>
            </w:r>
          </w:p>
        </w:tc>
        <w:tc>
          <w:tcPr>
            <w:tcW w:w="431" w:type="pct"/>
            <w:noWrap/>
            <w:vAlign w:val="center"/>
            <w:hideMark/>
          </w:tcPr>
          <w:p w:rsidR="000453CB" w:rsidRPr="00C62D0D" w:rsidRDefault="000453CB" w:rsidP="00367134">
            <w:pPr>
              <w:pStyle w:val="Tablewriting"/>
            </w:pPr>
            <w:r w:rsidRPr="00C62D0D">
              <w:t>Yes</w:t>
            </w:r>
          </w:p>
        </w:tc>
        <w:tc>
          <w:tcPr>
            <w:tcW w:w="431" w:type="pct"/>
            <w:noWrap/>
            <w:vAlign w:val="center"/>
            <w:hideMark/>
          </w:tcPr>
          <w:p w:rsidR="000453CB" w:rsidRPr="00C62D0D" w:rsidRDefault="000453CB" w:rsidP="00367134">
            <w:pPr>
              <w:pStyle w:val="Tablewriting"/>
            </w:pPr>
            <w:r w:rsidRPr="00C62D0D">
              <w:t>Yes</w:t>
            </w:r>
          </w:p>
        </w:tc>
        <w:tc>
          <w:tcPr>
            <w:tcW w:w="303" w:type="pct"/>
            <w:noWrap/>
            <w:vAlign w:val="center"/>
            <w:hideMark/>
          </w:tcPr>
          <w:p w:rsidR="000453CB" w:rsidRPr="00C62D0D" w:rsidRDefault="000453CB" w:rsidP="00367134">
            <w:pPr>
              <w:pStyle w:val="Tablewriting"/>
            </w:pPr>
            <w:r w:rsidRPr="00C62D0D">
              <w:t>Yes</w:t>
            </w:r>
          </w:p>
        </w:tc>
        <w:tc>
          <w:tcPr>
            <w:tcW w:w="303" w:type="pct"/>
            <w:noWrap/>
            <w:vAlign w:val="center"/>
            <w:hideMark/>
          </w:tcPr>
          <w:p w:rsidR="000453CB" w:rsidRPr="00C62D0D" w:rsidRDefault="000453CB" w:rsidP="00367134">
            <w:pPr>
              <w:pStyle w:val="Tablewriting"/>
            </w:pPr>
            <w:r w:rsidRPr="00C62D0D">
              <w:t>Yes</w:t>
            </w:r>
          </w:p>
        </w:tc>
        <w:tc>
          <w:tcPr>
            <w:tcW w:w="394" w:type="pct"/>
            <w:noWrap/>
            <w:vAlign w:val="center"/>
            <w:hideMark/>
          </w:tcPr>
          <w:p w:rsidR="000453CB" w:rsidRPr="00C62D0D" w:rsidRDefault="000453CB" w:rsidP="00367134">
            <w:pPr>
              <w:pStyle w:val="Tablewriting"/>
            </w:pPr>
            <w:r w:rsidRPr="00C62D0D">
              <w:t>Yes</w:t>
            </w:r>
          </w:p>
        </w:tc>
      </w:tr>
      <w:tr w:rsidR="000453CB" w:rsidRPr="00C62D0D" w:rsidTr="000C2B11">
        <w:trPr>
          <w:trHeight w:val="375"/>
        </w:trPr>
        <w:tc>
          <w:tcPr>
            <w:tcW w:w="148" w:type="pct"/>
            <w:noWrap/>
            <w:vAlign w:val="center"/>
            <w:hideMark/>
          </w:tcPr>
          <w:p w:rsidR="000453CB" w:rsidRPr="00C62D0D" w:rsidRDefault="000453CB" w:rsidP="00367134">
            <w:pPr>
              <w:pStyle w:val="Tablewriting"/>
            </w:pPr>
            <w:r w:rsidRPr="00C62D0D">
              <w:t>3</w:t>
            </w:r>
          </w:p>
        </w:tc>
        <w:tc>
          <w:tcPr>
            <w:tcW w:w="2102" w:type="pct"/>
            <w:vAlign w:val="center"/>
            <w:hideMark/>
          </w:tcPr>
          <w:p w:rsidR="000453CB" w:rsidRPr="00C62D0D" w:rsidRDefault="000453CB" w:rsidP="00367134">
            <w:pPr>
              <w:pStyle w:val="Tablewriting"/>
            </w:pPr>
            <w:r w:rsidRPr="00C62D0D">
              <w:t xml:space="preserve">Did the review authors perform study selection in duplicate? </w:t>
            </w:r>
          </w:p>
        </w:tc>
        <w:tc>
          <w:tcPr>
            <w:tcW w:w="275" w:type="pct"/>
            <w:vAlign w:val="center"/>
            <w:hideMark/>
          </w:tcPr>
          <w:p w:rsidR="000453CB" w:rsidRPr="00C62D0D" w:rsidRDefault="000453CB" w:rsidP="00367134">
            <w:pPr>
              <w:pStyle w:val="Tablewriting"/>
            </w:pPr>
            <w:r w:rsidRPr="00C62D0D">
              <w:t>Yes</w:t>
            </w:r>
          </w:p>
        </w:tc>
        <w:tc>
          <w:tcPr>
            <w:tcW w:w="244" w:type="pct"/>
            <w:vAlign w:val="center"/>
            <w:hideMark/>
          </w:tcPr>
          <w:p w:rsidR="000453CB" w:rsidRPr="00C62D0D" w:rsidRDefault="000453CB" w:rsidP="00367134">
            <w:pPr>
              <w:pStyle w:val="Tablewriting"/>
            </w:pPr>
            <w:r w:rsidRPr="00C62D0D">
              <w:t>Yes</w:t>
            </w:r>
          </w:p>
        </w:tc>
        <w:tc>
          <w:tcPr>
            <w:tcW w:w="369"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94" w:type="pct"/>
            <w:vAlign w:val="center"/>
            <w:hideMark/>
          </w:tcPr>
          <w:p w:rsidR="000453CB" w:rsidRPr="00C62D0D" w:rsidRDefault="000453CB" w:rsidP="00367134">
            <w:pPr>
              <w:pStyle w:val="Tablewriting"/>
            </w:pPr>
            <w:r w:rsidRPr="00C62D0D">
              <w:t>Yes</w:t>
            </w:r>
          </w:p>
        </w:tc>
      </w:tr>
      <w:tr w:rsidR="000453CB" w:rsidRPr="00C62D0D" w:rsidTr="000C2B11">
        <w:trPr>
          <w:trHeight w:val="375"/>
        </w:trPr>
        <w:tc>
          <w:tcPr>
            <w:tcW w:w="148" w:type="pct"/>
            <w:noWrap/>
            <w:vAlign w:val="center"/>
            <w:hideMark/>
          </w:tcPr>
          <w:p w:rsidR="000453CB" w:rsidRPr="00C62D0D" w:rsidRDefault="000453CB" w:rsidP="00367134">
            <w:pPr>
              <w:pStyle w:val="Tablewriting"/>
            </w:pPr>
            <w:r w:rsidRPr="00C62D0D">
              <w:t>4</w:t>
            </w:r>
          </w:p>
        </w:tc>
        <w:tc>
          <w:tcPr>
            <w:tcW w:w="2102" w:type="pct"/>
            <w:vAlign w:val="center"/>
            <w:hideMark/>
          </w:tcPr>
          <w:p w:rsidR="000453CB" w:rsidRPr="00C62D0D" w:rsidRDefault="000453CB" w:rsidP="00367134">
            <w:pPr>
              <w:pStyle w:val="Tablewriting"/>
            </w:pPr>
            <w:r w:rsidRPr="00C62D0D">
              <w:t xml:space="preserve">Did the review authors use a comprehensive literature search strategy? </w:t>
            </w:r>
          </w:p>
        </w:tc>
        <w:tc>
          <w:tcPr>
            <w:tcW w:w="275" w:type="pct"/>
            <w:noWrap/>
            <w:vAlign w:val="center"/>
            <w:hideMark/>
          </w:tcPr>
          <w:p w:rsidR="000453CB" w:rsidRPr="00C62D0D" w:rsidRDefault="000453CB" w:rsidP="00367134">
            <w:pPr>
              <w:pStyle w:val="Tablewriting"/>
            </w:pPr>
            <w:r w:rsidRPr="00C62D0D">
              <w:t>Yes</w:t>
            </w:r>
          </w:p>
        </w:tc>
        <w:tc>
          <w:tcPr>
            <w:tcW w:w="244" w:type="pct"/>
            <w:noWrap/>
            <w:vAlign w:val="center"/>
            <w:hideMark/>
          </w:tcPr>
          <w:p w:rsidR="000453CB" w:rsidRPr="00C62D0D" w:rsidRDefault="000453CB" w:rsidP="00367134">
            <w:pPr>
              <w:pStyle w:val="Tablewriting"/>
            </w:pPr>
            <w:r w:rsidRPr="00C62D0D">
              <w:t>Yes</w:t>
            </w:r>
          </w:p>
        </w:tc>
        <w:tc>
          <w:tcPr>
            <w:tcW w:w="369" w:type="pct"/>
            <w:noWrap/>
            <w:vAlign w:val="center"/>
            <w:hideMark/>
          </w:tcPr>
          <w:p w:rsidR="004368CE" w:rsidRPr="00C62D0D" w:rsidRDefault="000453CB" w:rsidP="00367134">
            <w:pPr>
              <w:pStyle w:val="Tablewriting"/>
            </w:pPr>
            <w:r w:rsidRPr="00C62D0D">
              <w:t>Partial</w:t>
            </w:r>
          </w:p>
          <w:p w:rsidR="000453CB" w:rsidRPr="00C62D0D" w:rsidRDefault="000453CB" w:rsidP="00367134">
            <w:pPr>
              <w:pStyle w:val="Tablewriting"/>
            </w:pPr>
            <w:r w:rsidRPr="00C62D0D">
              <w:t>yes</w:t>
            </w:r>
          </w:p>
        </w:tc>
        <w:tc>
          <w:tcPr>
            <w:tcW w:w="431" w:type="pct"/>
            <w:noWrap/>
            <w:vAlign w:val="center"/>
            <w:hideMark/>
          </w:tcPr>
          <w:p w:rsidR="000453CB" w:rsidRPr="00C62D0D" w:rsidRDefault="000453CB" w:rsidP="00367134">
            <w:pPr>
              <w:pStyle w:val="Tablewriting"/>
            </w:pPr>
            <w:r w:rsidRPr="00C62D0D">
              <w:t>Yes</w:t>
            </w:r>
          </w:p>
        </w:tc>
        <w:tc>
          <w:tcPr>
            <w:tcW w:w="431" w:type="pct"/>
            <w:noWrap/>
            <w:vAlign w:val="center"/>
            <w:hideMark/>
          </w:tcPr>
          <w:p w:rsidR="000453CB" w:rsidRPr="00C62D0D" w:rsidRDefault="000453CB" w:rsidP="00367134">
            <w:pPr>
              <w:pStyle w:val="Tablewriting"/>
            </w:pPr>
            <w:r w:rsidRPr="00C62D0D">
              <w:t>Yes</w:t>
            </w:r>
          </w:p>
        </w:tc>
        <w:tc>
          <w:tcPr>
            <w:tcW w:w="303" w:type="pct"/>
            <w:noWrap/>
            <w:vAlign w:val="center"/>
            <w:hideMark/>
          </w:tcPr>
          <w:p w:rsidR="000453CB" w:rsidRPr="00C62D0D" w:rsidRDefault="000453CB" w:rsidP="00367134">
            <w:pPr>
              <w:pStyle w:val="Tablewriting"/>
            </w:pPr>
            <w:r w:rsidRPr="00C62D0D">
              <w:t>Yes</w:t>
            </w:r>
          </w:p>
        </w:tc>
        <w:tc>
          <w:tcPr>
            <w:tcW w:w="303" w:type="pct"/>
            <w:noWrap/>
            <w:vAlign w:val="center"/>
            <w:hideMark/>
          </w:tcPr>
          <w:p w:rsidR="000453CB" w:rsidRPr="00C62D0D" w:rsidRDefault="000453CB" w:rsidP="00367134">
            <w:pPr>
              <w:pStyle w:val="Tablewriting"/>
            </w:pPr>
            <w:r w:rsidRPr="00C62D0D">
              <w:t>Yes</w:t>
            </w:r>
          </w:p>
        </w:tc>
        <w:tc>
          <w:tcPr>
            <w:tcW w:w="394" w:type="pct"/>
            <w:noWrap/>
            <w:vAlign w:val="center"/>
            <w:hideMark/>
          </w:tcPr>
          <w:p w:rsidR="000453CB" w:rsidRPr="00C62D0D" w:rsidRDefault="000453CB" w:rsidP="00367134">
            <w:pPr>
              <w:pStyle w:val="Tablewriting"/>
            </w:pPr>
            <w:r w:rsidRPr="00C62D0D">
              <w:t>Yes</w:t>
            </w:r>
          </w:p>
        </w:tc>
      </w:tr>
      <w:tr w:rsidR="000453CB" w:rsidRPr="00C62D0D" w:rsidTr="000C2B11">
        <w:trPr>
          <w:trHeight w:val="375"/>
        </w:trPr>
        <w:tc>
          <w:tcPr>
            <w:tcW w:w="148" w:type="pct"/>
            <w:vAlign w:val="center"/>
            <w:hideMark/>
          </w:tcPr>
          <w:p w:rsidR="000453CB" w:rsidRPr="00C62D0D" w:rsidRDefault="000453CB" w:rsidP="00367134">
            <w:pPr>
              <w:pStyle w:val="Tablewriting"/>
            </w:pPr>
            <w:r w:rsidRPr="00C62D0D">
              <w:t>5</w:t>
            </w:r>
          </w:p>
        </w:tc>
        <w:tc>
          <w:tcPr>
            <w:tcW w:w="2102" w:type="pct"/>
            <w:vAlign w:val="center"/>
            <w:hideMark/>
          </w:tcPr>
          <w:p w:rsidR="000453CB" w:rsidRPr="00C62D0D" w:rsidRDefault="000453CB" w:rsidP="00367134">
            <w:pPr>
              <w:pStyle w:val="Tablewriting"/>
            </w:pPr>
            <w:r w:rsidRPr="00C62D0D">
              <w:t>Did the review authors perform study selection in duplicate?</w:t>
            </w:r>
          </w:p>
        </w:tc>
        <w:tc>
          <w:tcPr>
            <w:tcW w:w="275" w:type="pct"/>
            <w:vAlign w:val="center"/>
            <w:hideMark/>
          </w:tcPr>
          <w:p w:rsidR="000453CB" w:rsidRPr="00C62D0D" w:rsidRDefault="000453CB" w:rsidP="00367134">
            <w:pPr>
              <w:pStyle w:val="Tablewriting"/>
            </w:pPr>
            <w:r w:rsidRPr="00C62D0D">
              <w:t>Yes</w:t>
            </w:r>
          </w:p>
        </w:tc>
        <w:tc>
          <w:tcPr>
            <w:tcW w:w="244" w:type="pct"/>
            <w:vAlign w:val="center"/>
            <w:hideMark/>
          </w:tcPr>
          <w:p w:rsidR="000453CB" w:rsidRPr="00C62D0D" w:rsidRDefault="000453CB" w:rsidP="00367134">
            <w:pPr>
              <w:pStyle w:val="Tablewriting"/>
            </w:pPr>
            <w:r w:rsidRPr="00C62D0D">
              <w:t>Yes</w:t>
            </w:r>
          </w:p>
        </w:tc>
        <w:tc>
          <w:tcPr>
            <w:tcW w:w="369" w:type="pct"/>
            <w:vAlign w:val="center"/>
            <w:hideMark/>
          </w:tcPr>
          <w:p w:rsidR="000453CB" w:rsidRPr="00C62D0D" w:rsidRDefault="000453CB" w:rsidP="00367134">
            <w:pPr>
              <w:pStyle w:val="Tablewriting"/>
            </w:pPr>
            <w:r w:rsidRPr="00C62D0D">
              <w:t>No</w:t>
            </w:r>
          </w:p>
        </w:tc>
        <w:tc>
          <w:tcPr>
            <w:tcW w:w="431"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94" w:type="pct"/>
            <w:vAlign w:val="center"/>
            <w:hideMark/>
          </w:tcPr>
          <w:p w:rsidR="000453CB" w:rsidRPr="00C62D0D" w:rsidRDefault="000453CB" w:rsidP="00367134">
            <w:pPr>
              <w:pStyle w:val="Tablewriting"/>
            </w:pPr>
            <w:r w:rsidRPr="00C62D0D">
              <w:t>Yes</w:t>
            </w:r>
          </w:p>
        </w:tc>
      </w:tr>
      <w:tr w:rsidR="000453CB" w:rsidRPr="00C62D0D" w:rsidTr="000C2B11">
        <w:trPr>
          <w:trHeight w:val="375"/>
        </w:trPr>
        <w:tc>
          <w:tcPr>
            <w:tcW w:w="148" w:type="pct"/>
            <w:vAlign w:val="center"/>
            <w:hideMark/>
          </w:tcPr>
          <w:p w:rsidR="000453CB" w:rsidRPr="00C62D0D" w:rsidRDefault="000453CB" w:rsidP="00367134">
            <w:pPr>
              <w:pStyle w:val="Tablewriting"/>
            </w:pPr>
            <w:r w:rsidRPr="00C62D0D">
              <w:t>6</w:t>
            </w:r>
          </w:p>
        </w:tc>
        <w:tc>
          <w:tcPr>
            <w:tcW w:w="2102" w:type="pct"/>
            <w:vAlign w:val="center"/>
            <w:hideMark/>
          </w:tcPr>
          <w:p w:rsidR="000453CB" w:rsidRPr="00C62D0D" w:rsidRDefault="000453CB" w:rsidP="00367134">
            <w:pPr>
              <w:pStyle w:val="Tablewriting"/>
            </w:pPr>
            <w:r w:rsidRPr="00C62D0D">
              <w:t xml:space="preserve">Did the review authors perform data extraction in duplicate? </w:t>
            </w:r>
          </w:p>
        </w:tc>
        <w:tc>
          <w:tcPr>
            <w:tcW w:w="275" w:type="pct"/>
            <w:vAlign w:val="center"/>
            <w:hideMark/>
          </w:tcPr>
          <w:p w:rsidR="000453CB" w:rsidRPr="00C62D0D" w:rsidRDefault="000453CB" w:rsidP="00367134">
            <w:pPr>
              <w:pStyle w:val="Tablewriting"/>
            </w:pPr>
            <w:r w:rsidRPr="00C62D0D">
              <w:t>Yes</w:t>
            </w:r>
          </w:p>
        </w:tc>
        <w:tc>
          <w:tcPr>
            <w:tcW w:w="244" w:type="pct"/>
            <w:vAlign w:val="center"/>
            <w:hideMark/>
          </w:tcPr>
          <w:p w:rsidR="000453CB" w:rsidRPr="00C62D0D" w:rsidRDefault="000453CB" w:rsidP="00367134">
            <w:pPr>
              <w:pStyle w:val="Tablewriting"/>
            </w:pPr>
            <w:r w:rsidRPr="00C62D0D">
              <w:t>Yes</w:t>
            </w:r>
          </w:p>
        </w:tc>
        <w:tc>
          <w:tcPr>
            <w:tcW w:w="369"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94" w:type="pct"/>
            <w:vAlign w:val="center"/>
            <w:hideMark/>
          </w:tcPr>
          <w:p w:rsidR="000453CB" w:rsidRPr="00C62D0D" w:rsidRDefault="000453CB" w:rsidP="00367134">
            <w:pPr>
              <w:pStyle w:val="Tablewriting"/>
            </w:pPr>
            <w:r w:rsidRPr="00C62D0D">
              <w:t>Yes</w:t>
            </w:r>
          </w:p>
        </w:tc>
      </w:tr>
      <w:tr w:rsidR="000453CB" w:rsidRPr="00C62D0D" w:rsidTr="000C2B11">
        <w:trPr>
          <w:trHeight w:val="375"/>
        </w:trPr>
        <w:tc>
          <w:tcPr>
            <w:tcW w:w="148" w:type="pct"/>
            <w:vAlign w:val="center"/>
            <w:hideMark/>
          </w:tcPr>
          <w:p w:rsidR="000453CB" w:rsidRPr="00C62D0D" w:rsidRDefault="000453CB" w:rsidP="00367134">
            <w:pPr>
              <w:pStyle w:val="Tablewriting"/>
            </w:pPr>
            <w:r w:rsidRPr="00C62D0D">
              <w:t>7</w:t>
            </w:r>
          </w:p>
        </w:tc>
        <w:tc>
          <w:tcPr>
            <w:tcW w:w="2102" w:type="pct"/>
            <w:vAlign w:val="center"/>
            <w:hideMark/>
          </w:tcPr>
          <w:p w:rsidR="000453CB" w:rsidRPr="00C62D0D" w:rsidRDefault="000453CB" w:rsidP="00367134">
            <w:pPr>
              <w:pStyle w:val="Tablewriting"/>
            </w:pPr>
            <w:r w:rsidRPr="00C62D0D">
              <w:t xml:space="preserve">Did the review authors provide a list of excluded studies and justify the exclusions? </w:t>
            </w:r>
          </w:p>
        </w:tc>
        <w:tc>
          <w:tcPr>
            <w:tcW w:w="275" w:type="pct"/>
            <w:noWrap/>
            <w:vAlign w:val="center"/>
            <w:hideMark/>
          </w:tcPr>
          <w:p w:rsidR="000453CB" w:rsidRPr="000453CB" w:rsidRDefault="000453CB" w:rsidP="00367134">
            <w:pPr>
              <w:pStyle w:val="Tablewriting"/>
            </w:pPr>
            <w:r w:rsidRPr="000453CB">
              <w:t>Yes</w:t>
            </w:r>
          </w:p>
        </w:tc>
        <w:tc>
          <w:tcPr>
            <w:tcW w:w="244" w:type="pct"/>
            <w:noWrap/>
            <w:vAlign w:val="center"/>
            <w:hideMark/>
          </w:tcPr>
          <w:p w:rsidR="000453CB" w:rsidRPr="000453CB" w:rsidRDefault="000453CB" w:rsidP="00367134">
            <w:pPr>
              <w:pStyle w:val="Tablewriting"/>
            </w:pPr>
            <w:r w:rsidRPr="000453CB">
              <w:t>Yes</w:t>
            </w:r>
          </w:p>
        </w:tc>
        <w:tc>
          <w:tcPr>
            <w:tcW w:w="369" w:type="pct"/>
            <w:noWrap/>
            <w:vAlign w:val="center"/>
            <w:hideMark/>
          </w:tcPr>
          <w:p w:rsidR="000453CB" w:rsidRPr="000453CB" w:rsidRDefault="000453CB" w:rsidP="00367134">
            <w:pPr>
              <w:pStyle w:val="Tablewriting"/>
            </w:pPr>
            <w:r w:rsidRPr="000453CB">
              <w:t>Yes</w:t>
            </w:r>
          </w:p>
        </w:tc>
        <w:tc>
          <w:tcPr>
            <w:tcW w:w="431" w:type="pct"/>
            <w:noWrap/>
            <w:vAlign w:val="center"/>
            <w:hideMark/>
          </w:tcPr>
          <w:p w:rsidR="000453CB" w:rsidRPr="000453CB" w:rsidRDefault="000453CB" w:rsidP="00367134">
            <w:pPr>
              <w:pStyle w:val="Tablewriting"/>
            </w:pPr>
            <w:r w:rsidRPr="000453CB">
              <w:t>Yes</w:t>
            </w:r>
          </w:p>
        </w:tc>
        <w:tc>
          <w:tcPr>
            <w:tcW w:w="431" w:type="pct"/>
            <w:noWrap/>
            <w:vAlign w:val="center"/>
            <w:hideMark/>
          </w:tcPr>
          <w:p w:rsidR="000453CB" w:rsidRPr="000453CB" w:rsidRDefault="000453CB" w:rsidP="00367134">
            <w:pPr>
              <w:pStyle w:val="Tablewriting"/>
            </w:pPr>
            <w:r w:rsidRPr="000453CB">
              <w:t>Yes</w:t>
            </w:r>
          </w:p>
        </w:tc>
        <w:tc>
          <w:tcPr>
            <w:tcW w:w="303" w:type="pct"/>
            <w:noWrap/>
            <w:vAlign w:val="center"/>
            <w:hideMark/>
          </w:tcPr>
          <w:p w:rsidR="000453CB" w:rsidRPr="000453CB" w:rsidRDefault="000453CB" w:rsidP="00367134">
            <w:pPr>
              <w:pStyle w:val="Tablewriting"/>
            </w:pPr>
            <w:r w:rsidRPr="000453CB">
              <w:t>Yes</w:t>
            </w:r>
          </w:p>
        </w:tc>
        <w:tc>
          <w:tcPr>
            <w:tcW w:w="303" w:type="pct"/>
            <w:noWrap/>
            <w:vAlign w:val="center"/>
            <w:hideMark/>
          </w:tcPr>
          <w:p w:rsidR="000453CB" w:rsidRPr="000453CB" w:rsidRDefault="000453CB" w:rsidP="00367134">
            <w:pPr>
              <w:pStyle w:val="Tablewriting"/>
            </w:pPr>
            <w:r w:rsidRPr="000453CB">
              <w:t>Yes</w:t>
            </w:r>
          </w:p>
        </w:tc>
        <w:tc>
          <w:tcPr>
            <w:tcW w:w="394" w:type="pct"/>
            <w:noWrap/>
            <w:vAlign w:val="center"/>
            <w:hideMark/>
          </w:tcPr>
          <w:p w:rsidR="000453CB" w:rsidRPr="000453CB" w:rsidRDefault="000453CB" w:rsidP="00367134">
            <w:pPr>
              <w:pStyle w:val="Tablewriting"/>
            </w:pPr>
            <w:r w:rsidRPr="000453CB">
              <w:t>Yes</w:t>
            </w:r>
          </w:p>
        </w:tc>
      </w:tr>
      <w:tr w:rsidR="000453CB" w:rsidRPr="00C62D0D" w:rsidTr="000C2B11">
        <w:trPr>
          <w:trHeight w:val="375"/>
        </w:trPr>
        <w:tc>
          <w:tcPr>
            <w:tcW w:w="148" w:type="pct"/>
            <w:vAlign w:val="center"/>
            <w:hideMark/>
          </w:tcPr>
          <w:p w:rsidR="000453CB" w:rsidRPr="00C62D0D" w:rsidRDefault="000453CB" w:rsidP="00367134">
            <w:pPr>
              <w:pStyle w:val="Tablewriting"/>
            </w:pPr>
            <w:r w:rsidRPr="00C62D0D">
              <w:t>8</w:t>
            </w:r>
          </w:p>
        </w:tc>
        <w:tc>
          <w:tcPr>
            <w:tcW w:w="2102" w:type="pct"/>
            <w:vAlign w:val="center"/>
            <w:hideMark/>
          </w:tcPr>
          <w:p w:rsidR="000453CB" w:rsidRPr="00C62D0D" w:rsidRDefault="000453CB" w:rsidP="00367134">
            <w:pPr>
              <w:pStyle w:val="Tablewriting"/>
            </w:pPr>
            <w:r w:rsidRPr="00C62D0D">
              <w:t>Did the review authors describe the included studies in adequate detail?</w:t>
            </w:r>
          </w:p>
        </w:tc>
        <w:tc>
          <w:tcPr>
            <w:tcW w:w="275" w:type="pct"/>
            <w:noWrap/>
            <w:vAlign w:val="center"/>
            <w:hideMark/>
          </w:tcPr>
          <w:p w:rsidR="000453CB" w:rsidRPr="00C62D0D" w:rsidRDefault="000453CB" w:rsidP="00367134">
            <w:pPr>
              <w:pStyle w:val="Tablewriting"/>
            </w:pPr>
            <w:r w:rsidRPr="00C62D0D">
              <w:t>Yes</w:t>
            </w:r>
          </w:p>
        </w:tc>
        <w:tc>
          <w:tcPr>
            <w:tcW w:w="244" w:type="pct"/>
            <w:noWrap/>
            <w:vAlign w:val="center"/>
            <w:hideMark/>
          </w:tcPr>
          <w:p w:rsidR="000453CB" w:rsidRPr="00C62D0D" w:rsidRDefault="000453CB" w:rsidP="00367134">
            <w:pPr>
              <w:pStyle w:val="Tablewriting"/>
            </w:pPr>
            <w:r w:rsidRPr="00C62D0D">
              <w:t>Yes</w:t>
            </w:r>
          </w:p>
        </w:tc>
        <w:tc>
          <w:tcPr>
            <w:tcW w:w="369" w:type="pct"/>
            <w:noWrap/>
            <w:vAlign w:val="center"/>
            <w:hideMark/>
          </w:tcPr>
          <w:p w:rsidR="000453CB" w:rsidRPr="00C62D0D" w:rsidRDefault="000453CB" w:rsidP="00367134">
            <w:pPr>
              <w:pStyle w:val="Tablewriting"/>
            </w:pPr>
            <w:r w:rsidRPr="00C62D0D">
              <w:t>Yes</w:t>
            </w:r>
          </w:p>
        </w:tc>
        <w:tc>
          <w:tcPr>
            <w:tcW w:w="431" w:type="pct"/>
            <w:noWrap/>
            <w:vAlign w:val="center"/>
            <w:hideMark/>
          </w:tcPr>
          <w:p w:rsidR="000453CB" w:rsidRPr="00C62D0D" w:rsidRDefault="000453CB" w:rsidP="00367134">
            <w:pPr>
              <w:pStyle w:val="Tablewriting"/>
            </w:pPr>
            <w:r w:rsidRPr="00C62D0D">
              <w:t>Yes</w:t>
            </w:r>
          </w:p>
        </w:tc>
        <w:tc>
          <w:tcPr>
            <w:tcW w:w="431" w:type="pct"/>
            <w:noWrap/>
            <w:vAlign w:val="center"/>
            <w:hideMark/>
          </w:tcPr>
          <w:p w:rsidR="000453CB" w:rsidRPr="00C62D0D" w:rsidRDefault="000453CB" w:rsidP="00367134">
            <w:pPr>
              <w:pStyle w:val="Tablewriting"/>
            </w:pPr>
            <w:r w:rsidRPr="00C62D0D">
              <w:t>Yes</w:t>
            </w:r>
          </w:p>
        </w:tc>
        <w:tc>
          <w:tcPr>
            <w:tcW w:w="303" w:type="pct"/>
            <w:noWrap/>
            <w:vAlign w:val="center"/>
            <w:hideMark/>
          </w:tcPr>
          <w:p w:rsidR="000453CB" w:rsidRPr="00C62D0D" w:rsidRDefault="000453CB" w:rsidP="00367134">
            <w:pPr>
              <w:pStyle w:val="Tablewriting"/>
            </w:pPr>
            <w:r w:rsidRPr="00C62D0D">
              <w:t>Yes</w:t>
            </w:r>
          </w:p>
        </w:tc>
        <w:tc>
          <w:tcPr>
            <w:tcW w:w="303" w:type="pct"/>
            <w:noWrap/>
            <w:vAlign w:val="center"/>
            <w:hideMark/>
          </w:tcPr>
          <w:p w:rsidR="000453CB" w:rsidRPr="00C62D0D" w:rsidRDefault="000453CB" w:rsidP="00367134">
            <w:pPr>
              <w:pStyle w:val="Tablewriting"/>
            </w:pPr>
            <w:r w:rsidRPr="00C62D0D">
              <w:t>Yes</w:t>
            </w:r>
          </w:p>
        </w:tc>
        <w:tc>
          <w:tcPr>
            <w:tcW w:w="394" w:type="pct"/>
            <w:noWrap/>
            <w:vAlign w:val="center"/>
            <w:hideMark/>
          </w:tcPr>
          <w:p w:rsidR="000453CB" w:rsidRPr="00C62D0D" w:rsidRDefault="000453CB" w:rsidP="00367134">
            <w:pPr>
              <w:pStyle w:val="Tablewriting"/>
            </w:pPr>
            <w:r w:rsidRPr="00C62D0D">
              <w:t>Yes</w:t>
            </w:r>
          </w:p>
        </w:tc>
      </w:tr>
      <w:tr w:rsidR="000453CB" w:rsidRPr="00C62D0D" w:rsidTr="000C2B11">
        <w:trPr>
          <w:trHeight w:val="750"/>
        </w:trPr>
        <w:tc>
          <w:tcPr>
            <w:tcW w:w="148" w:type="pct"/>
            <w:vAlign w:val="center"/>
            <w:hideMark/>
          </w:tcPr>
          <w:p w:rsidR="000453CB" w:rsidRPr="00C62D0D" w:rsidRDefault="000453CB" w:rsidP="00367134">
            <w:pPr>
              <w:pStyle w:val="Tablewriting"/>
            </w:pPr>
            <w:r w:rsidRPr="00C62D0D">
              <w:t>9</w:t>
            </w:r>
          </w:p>
        </w:tc>
        <w:tc>
          <w:tcPr>
            <w:tcW w:w="2102" w:type="pct"/>
            <w:vAlign w:val="center"/>
            <w:hideMark/>
          </w:tcPr>
          <w:p w:rsidR="000453CB" w:rsidRPr="00C62D0D" w:rsidRDefault="000453CB" w:rsidP="00367134">
            <w:pPr>
              <w:pStyle w:val="Tablewriting"/>
            </w:pPr>
            <w:r w:rsidRPr="00C62D0D">
              <w:t xml:space="preserve">Did the review authors use a satisfactory technique for assessing the risk of bias (RoB) in individual studies that were included in the review? </w:t>
            </w:r>
          </w:p>
        </w:tc>
        <w:tc>
          <w:tcPr>
            <w:tcW w:w="275" w:type="pct"/>
            <w:noWrap/>
            <w:vAlign w:val="center"/>
            <w:hideMark/>
          </w:tcPr>
          <w:p w:rsidR="000453CB" w:rsidRPr="00C62D0D" w:rsidRDefault="000453CB" w:rsidP="00367134">
            <w:pPr>
              <w:pStyle w:val="Tablewriting"/>
            </w:pPr>
            <w:r w:rsidRPr="00C62D0D">
              <w:t>Yes</w:t>
            </w:r>
          </w:p>
        </w:tc>
        <w:tc>
          <w:tcPr>
            <w:tcW w:w="244" w:type="pct"/>
            <w:noWrap/>
            <w:vAlign w:val="center"/>
            <w:hideMark/>
          </w:tcPr>
          <w:p w:rsidR="000453CB" w:rsidRPr="00C62D0D" w:rsidRDefault="000453CB" w:rsidP="00367134">
            <w:pPr>
              <w:pStyle w:val="Tablewriting"/>
            </w:pPr>
            <w:r w:rsidRPr="00C62D0D">
              <w:t>Yes</w:t>
            </w:r>
          </w:p>
        </w:tc>
        <w:tc>
          <w:tcPr>
            <w:tcW w:w="369" w:type="pct"/>
            <w:noWrap/>
            <w:vAlign w:val="center"/>
            <w:hideMark/>
          </w:tcPr>
          <w:p w:rsidR="000453CB" w:rsidRPr="00C62D0D" w:rsidRDefault="000453CB" w:rsidP="00367134">
            <w:pPr>
              <w:pStyle w:val="Tablewriting"/>
            </w:pPr>
            <w:r w:rsidRPr="00C62D0D">
              <w:t>Yes</w:t>
            </w:r>
          </w:p>
        </w:tc>
        <w:tc>
          <w:tcPr>
            <w:tcW w:w="431" w:type="pct"/>
            <w:noWrap/>
            <w:vAlign w:val="center"/>
            <w:hideMark/>
          </w:tcPr>
          <w:p w:rsidR="000453CB" w:rsidRPr="00C62D0D" w:rsidRDefault="000453CB" w:rsidP="00367134">
            <w:pPr>
              <w:pStyle w:val="Tablewriting"/>
            </w:pPr>
            <w:r w:rsidRPr="00C62D0D">
              <w:t>Yes</w:t>
            </w:r>
          </w:p>
        </w:tc>
        <w:tc>
          <w:tcPr>
            <w:tcW w:w="431" w:type="pct"/>
            <w:noWrap/>
            <w:vAlign w:val="center"/>
            <w:hideMark/>
          </w:tcPr>
          <w:p w:rsidR="000453CB" w:rsidRPr="00C62D0D" w:rsidRDefault="000453CB" w:rsidP="00367134">
            <w:pPr>
              <w:pStyle w:val="Tablewriting"/>
            </w:pPr>
            <w:r w:rsidRPr="00C62D0D">
              <w:t>Yes</w:t>
            </w:r>
          </w:p>
        </w:tc>
        <w:tc>
          <w:tcPr>
            <w:tcW w:w="303" w:type="pct"/>
            <w:noWrap/>
            <w:vAlign w:val="center"/>
            <w:hideMark/>
          </w:tcPr>
          <w:p w:rsidR="000453CB" w:rsidRPr="00C62D0D" w:rsidRDefault="000453CB" w:rsidP="00367134">
            <w:pPr>
              <w:pStyle w:val="Tablewriting"/>
            </w:pPr>
            <w:r w:rsidRPr="00C62D0D">
              <w:t>Yes</w:t>
            </w:r>
          </w:p>
        </w:tc>
        <w:tc>
          <w:tcPr>
            <w:tcW w:w="303" w:type="pct"/>
            <w:noWrap/>
            <w:vAlign w:val="center"/>
            <w:hideMark/>
          </w:tcPr>
          <w:p w:rsidR="000453CB" w:rsidRPr="00C62D0D" w:rsidRDefault="000453CB" w:rsidP="00367134">
            <w:pPr>
              <w:pStyle w:val="Tablewriting"/>
            </w:pPr>
            <w:r w:rsidRPr="00C62D0D">
              <w:t>Yes</w:t>
            </w:r>
          </w:p>
        </w:tc>
        <w:tc>
          <w:tcPr>
            <w:tcW w:w="394" w:type="pct"/>
            <w:noWrap/>
            <w:vAlign w:val="center"/>
            <w:hideMark/>
          </w:tcPr>
          <w:p w:rsidR="000453CB" w:rsidRPr="00C62D0D" w:rsidRDefault="000453CB" w:rsidP="00367134">
            <w:pPr>
              <w:pStyle w:val="Tablewriting"/>
            </w:pPr>
            <w:r w:rsidRPr="00C62D0D">
              <w:t>Yes</w:t>
            </w:r>
          </w:p>
        </w:tc>
      </w:tr>
      <w:tr w:rsidR="000453CB" w:rsidRPr="00C62D0D" w:rsidTr="000C2B11">
        <w:trPr>
          <w:trHeight w:val="220"/>
        </w:trPr>
        <w:tc>
          <w:tcPr>
            <w:tcW w:w="148" w:type="pct"/>
            <w:vAlign w:val="center"/>
            <w:hideMark/>
          </w:tcPr>
          <w:p w:rsidR="000453CB" w:rsidRPr="00C62D0D" w:rsidRDefault="000453CB" w:rsidP="00367134">
            <w:pPr>
              <w:pStyle w:val="Tablewriting"/>
            </w:pPr>
            <w:r w:rsidRPr="00C62D0D">
              <w:t>10</w:t>
            </w:r>
          </w:p>
        </w:tc>
        <w:tc>
          <w:tcPr>
            <w:tcW w:w="2102" w:type="pct"/>
            <w:vAlign w:val="center"/>
            <w:hideMark/>
          </w:tcPr>
          <w:p w:rsidR="000453CB" w:rsidRPr="00C62D0D" w:rsidRDefault="000453CB" w:rsidP="00367134">
            <w:pPr>
              <w:pStyle w:val="Tablewriting"/>
            </w:pPr>
            <w:r w:rsidRPr="00C62D0D">
              <w:t xml:space="preserve">Did the review authors report on the sources of funding for the studies included in the review? </w:t>
            </w:r>
          </w:p>
        </w:tc>
        <w:tc>
          <w:tcPr>
            <w:tcW w:w="275" w:type="pct"/>
            <w:vAlign w:val="center"/>
            <w:hideMark/>
          </w:tcPr>
          <w:p w:rsidR="000453CB" w:rsidRPr="00C62D0D" w:rsidRDefault="000453CB" w:rsidP="00367134">
            <w:pPr>
              <w:pStyle w:val="Tablewriting"/>
            </w:pPr>
            <w:r w:rsidRPr="00C62D0D">
              <w:t>Yes</w:t>
            </w:r>
          </w:p>
        </w:tc>
        <w:tc>
          <w:tcPr>
            <w:tcW w:w="244" w:type="pct"/>
            <w:vAlign w:val="center"/>
            <w:hideMark/>
          </w:tcPr>
          <w:p w:rsidR="000453CB" w:rsidRPr="00C62D0D" w:rsidRDefault="000453CB" w:rsidP="00367134">
            <w:pPr>
              <w:pStyle w:val="Tablewriting"/>
            </w:pPr>
            <w:r w:rsidRPr="00C62D0D">
              <w:t>Yes</w:t>
            </w:r>
          </w:p>
        </w:tc>
        <w:tc>
          <w:tcPr>
            <w:tcW w:w="369"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94" w:type="pct"/>
            <w:vAlign w:val="center"/>
            <w:hideMark/>
          </w:tcPr>
          <w:p w:rsidR="000453CB" w:rsidRPr="00C62D0D" w:rsidRDefault="000453CB" w:rsidP="00367134">
            <w:pPr>
              <w:pStyle w:val="Tablewriting"/>
            </w:pPr>
            <w:r w:rsidRPr="00C62D0D">
              <w:t>Yes</w:t>
            </w:r>
          </w:p>
        </w:tc>
      </w:tr>
      <w:tr w:rsidR="000453CB" w:rsidRPr="00C62D0D" w:rsidTr="000C2B11">
        <w:trPr>
          <w:trHeight w:val="89"/>
        </w:trPr>
        <w:tc>
          <w:tcPr>
            <w:tcW w:w="148" w:type="pct"/>
            <w:vAlign w:val="center"/>
            <w:hideMark/>
          </w:tcPr>
          <w:p w:rsidR="000453CB" w:rsidRPr="00C62D0D" w:rsidRDefault="000453CB" w:rsidP="00367134">
            <w:pPr>
              <w:pStyle w:val="Tablewriting"/>
            </w:pPr>
            <w:r w:rsidRPr="00C62D0D">
              <w:t>11</w:t>
            </w:r>
          </w:p>
        </w:tc>
        <w:tc>
          <w:tcPr>
            <w:tcW w:w="2102" w:type="pct"/>
            <w:vAlign w:val="center"/>
            <w:hideMark/>
          </w:tcPr>
          <w:p w:rsidR="000453CB" w:rsidRPr="00C62D0D" w:rsidRDefault="000453CB" w:rsidP="00367134">
            <w:pPr>
              <w:pStyle w:val="Tablewriting"/>
            </w:pPr>
            <w:r w:rsidRPr="00C62D0D">
              <w:t xml:space="preserve">If meta-analysis was performed did the review authors use appropriate methods for statistical combination of results? </w:t>
            </w:r>
          </w:p>
        </w:tc>
        <w:tc>
          <w:tcPr>
            <w:tcW w:w="275" w:type="pct"/>
            <w:vAlign w:val="center"/>
            <w:hideMark/>
          </w:tcPr>
          <w:p w:rsidR="000453CB" w:rsidRPr="00C62D0D" w:rsidRDefault="000453CB" w:rsidP="00367134">
            <w:pPr>
              <w:pStyle w:val="Tablewriting"/>
            </w:pPr>
            <w:r w:rsidRPr="00C62D0D">
              <w:t>Yes</w:t>
            </w:r>
          </w:p>
        </w:tc>
        <w:tc>
          <w:tcPr>
            <w:tcW w:w="244" w:type="pct"/>
            <w:vAlign w:val="center"/>
            <w:hideMark/>
          </w:tcPr>
          <w:p w:rsidR="000453CB" w:rsidRPr="00C62D0D" w:rsidRDefault="000453CB" w:rsidP="00367134">
            <w:pPr>
              <w:pStyle w:val="Tablewriting"/>
            </w:pPr>
            <w:r w:rsidRPr="00C62D0D">
              <w:t>Yes</w:t>
            </w:r>
          </w:p>
        </w:tc>
        <w:tc>
          <w:tcPr>
            <w:tcW w:w="369"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94" w:type="pct"/>
            <w:vAlign w:val="center"/>
            <w:hideMark/>
          </w:tcPr>
          <w:p w:rsidR="000453CB" w:rsidRPr="00C62D0D" w:rsidRDefault="000453CB" w:rsidP="00367134">
            <w:pPr>
              <w:pStyle w:val="Tablewriting"/>
            </w:pPr>
            <w:r w:rsidRPr="00C62D0D">
              <w:t>Yes</w:t>
            </w:r>
          </w:p>
        </w:tc>
      </w:tr>
      <w:tr w:rsidR="000453CB" w:rsidRPr="00C62D0D" w:rsidTr="000C2B11">
        <w:trPr>
          <w:trHeight w:val="750"/>
        </w:trPr>
        <w:tc>
          <w:tcPr>
            <w:tcW w:w="148" w:type="pct"/>
            <w:vAlign w:val="center"/>
            <w:hideMark/>
          </w:tcPr>
          <w:p w:rsidR="000453CB" w:rsidRPr="00C62D0D" w:rsidRDefault="000453CB" w:rsidP="00367134">
            <w:pPr>
              <w:pStyle w:val="Tablewriting"/>
            </w:pPr>
            <w:r w:rsidRPr="00C62D0D">
              <w:t>12</w:t>
            </w:r>
          </w:p>
        </w:tc>
        <w:tc>
          <w:tcPr>
            <w:tcW w:w="2102" w:type="pct"/>
            <w:vAlign w:val="center"/>
            <w:hideMark/>
          </w:tcPr>
          <w:p w:rsidR="000453CB" w:rsidRPr="00C62D0D" w:rsidRDefault="000453CB" w:rsidP="00367134">
            <w:pPr>
              <w:pStyle w:val="Tablewriting"/>
            </w:pPr>
            <w:r w:rsidRPr="00C62D0D">
              <w:t xml:space="preserve">If meta-analysis was performed, did the review authors assess the potential impact of RoB in individual studies on the results of the meta-analysis or other evidence synthesis? </w:t>
            </w:r>
          </w:p>
        </w:tc>
        <w:tc>
          <w:tcPr>
            <w:tcW w:w="275" w:type="pct"/>
            <w:vAlign w:val="center"/>
            <w:hideMark/>
          </w:tcPr>
          <w:p w:rsidR="000453CB" w:rsidRPr="00C62D0D" w:rsidRDefault="000453CB" w:rsidP="00367134">
            <w:pPr>
              <w:pStyle w:val="Tablewriting"/>
            </w:pPr>
            <w:r w:rsidRPr="00C62D0D">
              <w:t>Yes</w:t>
            </w:r>
          </w:p>
        </w:tc>
        <w:tc>
          <w:tcPr>
            <w:tcW w:w="244" w:type="pct"/>
            <w:vAlign w:val="center"/>
            <w:hideMark/>
          </w:tcPr>
          <w:p w:rsidR="000453CB" w:rsidRPr="00C62D0D" w:rsidRDefault="000453CB" w:rsidP="00367134">
            <w:pPr>
              <w:pStyle w:val="Tablewriting"/>
            </w:pPr>
            <w:r w:rsidRPr="00C62D0D">
              <w:t>Yes</w:t>
            </w:r>
          </w:p>
        </w:tc>
        <w:tc>
          <w:tcPr>
            <w:tcW w:w="369"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94" w:type="pct"/>
            <w:vAlign w:val="center"/>
            <w:hideMark/>
          </w:tcPr>
          <w:p w:rsidR="000453CB" w:rsidRPr="00C62D0D" w:rsidRDefault="000453CB" w:rsidP="00367134">
            <w:pPr>
              <w:pStyle w:val="Tablewriting"/>
            </w:pPr>
            <w:r w:rsidRPr="00C62D0D">
              <w:t>Yes</w:t>
            </w:r>
          </w:p>
        </w:tc>
      </w:tr>
      <w:tr w:rsidR="000453CB" w:rsidRPr="00C62D0D" w:rsidTr="000C2B11">
        <w:trPr>
          <w:trHeight w:val="72"/>
        </w:trPr>
        <w:tc>
          <w:tcPr>
            <w:tcW w:w="148" w:type="pct"/>
            <w:vAlign w:val="center"/>
            <w:hideMark/>
          </w:tcPr>
          <w:p w:rsidR="000453CB" w:rsidRPr="00C62D0D" w:rsidRDefault="000453CB" w:rsidP="00367134">
            <w:pPr>
              <w:pStyle w:val="Tablewriting"/>
            </w:pPr>
            <w:r w:rsidRPr="00C62D0D">
              <w:t>13</w:t>
            </w:r>
          </w:p>
        </w:tc>
        <w:tc>
          <w:tcPr>
            <w:tcW w:w="2102" w:type="pct"/>
            <w:vAlign w:val="center"/>
            <w:hideMark/>
          </w:tcPr>
          <w:p w:rsidR="000453CB" w:rsidRPr="00C62D0D" w:rsidRDefault="000453CB" w:rsidP="00367134">
            <w:pPr>
              <w:pStyle w:val="Tablewriting"/>
            </w:pPr>
            <w:r w:rsidRPr="00C62D0D">
              <w:t xml:space="preserve">Did the review authors account for RoB in individual studies when interpreting/ discussing the results of the review? </w:t>
            </w:r>
          </w:p>
        </w:tc>
        <w:tc>
          <w:tcPr>
            <w:tcW w:w="275" w:type="pct"/>
            <w:vAlign w:val="center"/>
            <w:hideMark/>
          </w:tcPr>
          <w:p w:rsidR="000453CB" w:rsidRPr="00C62D0D" w:rsidRDefault="000453CB" w:rsidP="00367134">
            <w:pPr>
              <w:pStyle w:val="Tablewriting"/>
            </w:pPr>
            <w:r w:rsidRPr="00C62D0D">
              <w:t>Yes</w:t>
            </w:r>
          </w:p>
        </w:tc>
        <w:tc>
          <w:tcPr>
            <w:tcW w:w="244" w:type="pct"/>
            <w:vAlign w:val="center"/>
            <w:hideMark/>
          </w:tcPr>
          <w:p w:rsidR="000453CB" w:rsidRPr="00C62D0D" w:rsidRDefault="000453CB" w:rsidP="00367134">
            <w:pPr>
              <w:pStyle w:val="Tablewriting"/>
            </w:pPr>
            <w:r w:rsidRPr="00C62D0D">
              <w:t>Yes</w:t>
            </w:r>
          </w:p>
        </w:tc>
        <w:tc>
          <w:tcPr>
            <w:tcW w:w="369"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94" w:type="pct"/>
            <w:vAlign w:val="center"/>
            <w:hideMark/>
          </w:tcPr>
          <w:p w:rsidR="000453CB" w:rsidRPr="00C62D0D" w:rsidRDefault="000453CB" w:rsidP="00367134">
            <w:pPr>
              <w:pStyle w:val="Tablewriting"/>
            </w:pPr>
            <w:r w:rsidRPr="00C62D0D">
              <w:t>Yes</w:t>
            </w:r>
          </w:p>
        </w:tc>
      </w:tr>
      <w:tr w:rsidR="000453CB" w:rsidRPr="00C62D0D" w:rsidTr="000C2B11">
        <w:trPr>
          <w:trHeight w:val="181"/>
        </w:trPr>
        <w:tc>
          <w:tcPr>
            <w:tcW w:w="148" w:type="pct"/>
            <w:vAlign w:val="center"/>
            <w:hideMark/>
          </w:tcPr>
          <w:p w:rsidR="000453CB" w:rsidRPr="00C62D0D" w:rsidRDefault="000453CB" w:rsidP="00367134">
            <w:pPr>
              <w:pStyle w:val="Tablewriting"/>
            </w:pPr>
            <w:r w:rsidRPr="00C62D0D">
              <w:lastRenderedPageBreak/>
              <w:t>14</w:t>
            </w:r>
          </w:p>
        </w:tc>
        <w:tc>
          <w:tcPr>
            <w:tcW w:w="2102" w:type="pct"/>
            <w:vAlign w:val="center"/>
            <w:hideMark/>
          </w:tcPr>
          <w:p w:rsidR="000453CB" w:rsidRPr="00C62D0D" w:rsidRDefault="000453CB" w:rsidP="00367134">
            <w:pPr>
              <w:pStyle w:val="Tablewriting"/>
            </w:pPr>
            <w:r w:rsidRPr="00C62D0D">
              <w:t xml:space="preserve">Did the review authors provide a satisfactory explanation for, and discussion of, any heterogeneity observed in the results of the review? </w:t>
            </w:r>
          </w:p>
        </w:tc>
        <w:tc>
          <w:tcPr>
            <w:tcW w:w="275" w:type="pct"/>
            <w:vAlign w:val="center"/>
            <w:hideMark/>
          </w:tcPr>
          <w:p w:rsidR="000453CB" w:rsidRPr="00C62D0D" w:rsidRDefault="000453CB" w:rsidP="00367134">
            <w:pPr>
              <w:pStyle w:val="Tablewriting"/>
            </w:pPr>
            <w:r w:rsidRPr="00C62D0D">
              <w:t>Yes</w:t>
            </w:r>
          </w:p>
        </w:tc>
        <w:tc>
          <w:tcPr>
            <w:tcW w:w="244" w:type="pct"/>
            <w:vAlign w:val="center"/>
            <w:hideMark/>
          </w:tcPr>
          <w:p w:rsidR="000453CB" w:rsidRPr="00C62D0D" w:rsidRDefault="000453CB" w:rsidP="00367134">
            <w:pPr>
              <w:pStyle w:val="Tablewriting"/>
            </w:pPr>
            <w:r w:rsidRPr="00C62D0D">
              <w:t>Yes</w:t>
            </w:r>
          </w:p>
        </w:tc>
        <w:tc>
          <w:tcPr>
            <w:tcW w:w="369"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94" w:type="pct"/>
            <w:vAlign w:val="center"/>
            <w:hideMark/>
          </w:tcPr>
          <w:p w:rsidR="000453CB" w:rsidRPr="00C62D0D" w:rsidRDefault="000453CB" w:rsidP="00367134">
            <w:pPr>
              <w:pStyle w:val="Tablewriting"/>
            </w:pPr>
            <w:r w:rsidRPr="00C62D0D">
              <w:t>Yes</w:t>
            </w:r>
          </w:p>
        </w:tc>
      </w:tr>
      <w:tr w:rsidR="000453CB" w:rsidRPr="00C62D0D" w:rsidTr="000C2B11">
        <w:trPr>
          <w:trHeight w:val="547"/>
        </w:trPr>
        <w:tc>
          <w:tcPr>
            <w:tcW w:w="148" w:type="pct"/>
            <w:vAlign w:val="center"/>
            <w:hideMark/>
          </w:tcPr>
          <w:p w:rsidR="000453CB" w:rsidRPr="00C62D0D" w:rsidRDefault="000453CB" w:rsidP="00367134">
            <w:pPr>
              <w:pStyle w:val="Tablewriting"/>
            </w:pPr>
            <w:r w:rsidRPr="00C62D0D">
              <w:t>15</w:t>
            </w:r>
          </w:p>
        </w:tc>
        <w:tc>
          <w:tcPr>
            <w:tcW w:w="2102" w:type="pct"/>
            <w:vAlign w:val="center"/>
            <w:hideMark/>
          </w:tcPr>
          <w:p w:rsidR="000453CB" w:rsidRPr="00C62D0D" w:rsidRDefault="000453CB" w:rsidP="00367134">
            <w:pPr>
              <w:pStyle w:val="Tablewriting"/>
            </w:pPr>
            <w:r w:rsidRPr="00C62D0D">
              <w:t xml:space="preserve">If they performed quantitative synthesis did the review authors carry out an adequate investigation of publication bias (small study bias) and discuss its likely impact on the results of the review? </w:t>
            </w:r>
          </w:p>
        </w:tc>
        <w:tc>
          <w:tcPr>
            <w:tcW w:w="275" w:type="pct"/>
            <w:vAlign w:val="center"/>
            <w:hideMark/>
          </w:tcPr>
          <w:p w:rsidR="000453CB" w:rsidRPr="00C62D0D" w:rsidRDefault="000453CB" w:rsidP="00367134">
            <w:pPr>
              <w:pStyle w:val="Tablewriting"/>
            </w:pPr>
            <w:r w:rsidRPr="00C62D0D">
              <w:t>Yes</w:t>
            </w:r>
          </w:p>
        </w:tc>
        <w:tc>
          <w:tcPr>
            <w:tcW w:w="244" w:type="pct"/>
            <w:vAlign w:val="center"/>
            <w:hideMark/>
          </w:tcPr>
          <w:p w:rsidR="000453CB" w:rsidRPr="00C62D0D" w:rsidRDefault="000453CB" w:rsidP="00367134">
            <w:pPr>
              <w:pStyle w:val="Tablewriting"/>
            </w:pPr>
            <w:r w:rsidRPr="00C62D0D">
              <w:t>Yes</w:t>
            </w:r>
          </w:p>
        </w:tc>
        <w:tc>
          <w:tcPr>
            <w:tcW w:w="369"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94" w:type="pct"/>
            <w:vAlign w:val="center"/>
            <w:hideMark/>
          </w:tcPr>
          <w:p w:rsidR="000453CB" w:rsidRPr="00C62D0D" w:rsidRDefault="000453CB" w:rsidP="00367134">
            <w:pPr>
              <w:pStyle w:val="Tablewriting"/>
            </w:pPr>
            <w:r w:rsidRPr="00C62D0D">
              <w:t>Yes</w:t>
            </w:r>
          </w:p>
        </w:tc>
      </w:tr>
      <w:tr w:rsidR="000453CB" w:rsidRPr="00C62D0D" w:rsidTr="000C2B11">
        <w:trPr>
          <w:trHeight w:val="750"/>
        </w:trPr>
        <w:tc>
          <w:tcPr>
            <w:tcW w:w="148" w:type="pct"/>
            <w:vAlign w:val="center"/>
            <w:hideMark/>
          </w:tcPr>
          <w:p w:rsidR="000453CB" w:rsidRPr="00C62D0D" w:rsidRDefault="000453CB" w:rsidP="00367134">
            <w:pPr>
              <w:pStyle w:val="Tablewriting"/>
            </w:pPr>
            <w:r w:rsidRPr="00C62D0D">
              <w:t>16</w:t>
            </w:r>
          </w:p>
        </w:tc>
        <w:tc>
          <w:tcPr>
            <w:tcW w:w="2102" w:type="pct"/>
            <w:vAlign w:val="center"/>
            <w:hideMark/>
          </w:tcPr>
          <w:p w:rsidR="000453CB" w:rsidRPr="00C62D0D" w:rsidRDefault="000453CB" w:rsidP="00367134">
            <w:pPr>
              <w:pStyle w:val="Tablewriting"/>
            </w:pPr>
            <w:r w:rsidRPr="00C62D0D">
              <w:t xml:space="preserve">Did the review authors report any potential sources of conflict of interest, including any funding they received for conducting the review? </w:t>
            </w:r>
          </w:p>
        </w:tc>
        <w:tc>
          <w:tcPr>
            <w:tcW w:w="275" w:type="pct"/>
            <w:vAlign w:val="center"/>
            <w:hideMark/>
          </w:tcPr>
          <w:p w:rsidR="000453CB" w:rsidRPr="00C62D0D" w:rsidRDefault="000453CB" w:rsidP="00367134">
            <w:pPr>
              <w:pStyle w:val="Tablewriting"/>
            </w:pPr>
            <w:r w:rsidRPr="00C62D0D">
              <w:t>Yes</w:t>
            </w:r>
          </w:p>
        </w:tc>
        <w:tc>
          <w:tcPr>
            <w:tcW w:w="244" w:type="pct"/>
            <w:vAlign w:val="center"/>
            <w:hideMark/>
          </w:tcPr>
          <w:p w:rsidR="000453CB" w:rsidRPr="00C62D0D" w:rsidRDefault="000453CB" w:rsidP="00367134">
            <w:pPr>
              <w:pStyle w:val="Tablewriting"/>
            </w:pPr>
            <w:r w:rsidRPr="00C62D0D">
              <w:t>Yes</w:t>
            </w:r>
          </w:p>
        </w:tc>
        <w:tc>
          <w:tcPr>
            <w:tcW w:w="369"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431"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03" w:type="pct"/>
            <w:vAlign w:val="center"/>
            <w:hideMark/>
          </w:tcPr>
          <w:p w:rsidR="000453CB" w:rsidRPr="00C62D0D" w:rsidRDefault="000453CB" w:rsidP="00367134">
            <w:pPr>
              <w:pStyle w:val="Tablewriting"/>
            </w:pPr>
            <w:r w:rsidRPr="00C62D0D">
              <w:t>Yes</w:t>
            </w:r>
          </w:p>
        </w:tc>
        <w:tc>
          <w:tcPr>
            <w:tcW w:w="394" w:type="pct"/>
            <w:vAlign w:val="center"/>
            <w:hideMark/>
          </w:tcPr>
          <w:p w:rsidR="000453CB" w:rsidRPr="00C62D0D" w:rsidRDefault="000453CB" w:rsidP="00367134">
            <w:pPr>
              <w:pStyle w:val="Tablewriting"/>
            </w:pPr>
            <w:r w:rsidRPr="00C62D0D">
              <w:t>Yes</w:t>
            </w:r>
          </w:p>
        </w:tc>
      </w:tr>
    </w:tbl>
    <w:p w:rsidR="00987C5E" w:rsidRPr="00987C5E" w:rsidRDefault="00F75497" w:rsidP="007A4CBA">
      <w:pPr>
        <w:pStyle w:val="TableFooter"/>
      </w:pPr>
      <w:r>
        <w:t xml:space="preserve">Abbreviations: </w:t>
      </w:r>
      <w:r w:rsidR="00C269D8">
        <w:t xml:space="preserve">AMSTAR = </w:t>
      </w:r>
      <w:r w:rsidR="00C269D8" w:rsidRPr="00C269D8">
        <w:t>Assessing the Methodological Quality of Systematic Reviews</w:t>
      </w:r>
      <w:r w:rsidR="00C269D8">
        <w:t>;</w:t>
      </w:r>
      <w:r w:rsidR="00C269D8" w:rsidRPr="00C269D8">
        <w:t xml:space="preserve"> </w:t>
      </w:r>
      <w:r w:rsidR="00C269D8">
        <w:t>RoB = risk of bias</w:t>
      </w:r>
    </w:p>
    <w:p w:rsidR="0072171B" w:rsidRDefault="0072171B" w:rsidP="0072171B">
      <w:pPr>
        <w:pStyle w:val="Caption"/>
        <w:keepNext/>
      </w:pPr>
      <w:bookmarkStart w:id="350" w:name="_Ref62651212"/>
      <w:r>
        <w:t xml:space="preserve">Table </w:t>
      </w:r>
      <w:r w:rsidR="003C4A1C">
        <w:rPr>
          <w:noProof/>
        </w:rPr>
        <w:t>139</w:t>
      </w:r>
      <w:bookmarkEnd w:id="350"/>
      <w:r>
        <w:t xml:space="preserve">: </w:t>
      </w:r>
      <w:r w:rsidRPr="0023339C">
        <w:t>Quality assessment for Cochrane Reviews using AMSTAR 2 (</w:t>
      </w:r>
      <w:r>
        <w:t>2</w:t>
      </w:r>
      <w:r w:rsidRPr="0023339C">
        <w:t xml:space="preserve"> of 2)</w:t>
      </w:r>
    </w:p>
    <w:tbl>
      <w:tblPr>
        <w:tblStyle w:val="TableGrid"/>
        <w:tblW w:w="5000" w:type="pct"/>
        <w:tblLook w:val="04A0" w:firstRow="1" w:lastRow="0" w:firstColumn="1" w:lastColumn="0" w:noHBand="0" w:noVBand="1"/>
      </w:tblPr>
      <w:tblGrid>
        <w:gridCol w:w="419"/>
        <w:gridCol w:w="6641"/>
        <w:gridCol w:w="1066"/>
        <w:gridCol w:w="1266"/>
        <w:gridCol w:w="976"/>
        <w:gridCol w:w="1010"/>
        <w:gridCol w:w="1050"/>
        <w:gridCol w:w="806"/>
        <w:gridCol w:w="714"/>
      </w:tblGrid>
      <w:tr w:rsidR="00FC008C" w:rsidRPr="00C62D0D" w:rsidTr="000C2B11">
        <w:trPr>
          <w:trHeight w:val="552"/>
        </w:trPr>
        <w:tc>
          <w:tcPr>
            <w:tcW w:w="150" w:type="pct"/>
            <w:shd w:val="clear" w:color="auto" w:fill="BFBFBF" w:themeFill="background1" w:themeFillShade="BF"/>
            <w:noWrap/>
            <w:vAlign w:val="center"/>
            <w:hideMark/>
          </w:tcPr>
          <w:p w:rsidR="00816E55" w:rsidRPr="00832D16" w:rsidRDefault="00816E55" w:rsidP="00C62D0D">
            <w:pPr>
              <w:pStyle w:val="Tablewriting"/>
              <w:rPr>
                <w:b/>
              </w:rPr>
            </w:pPr>
            <w:r w:rsidRPr="00832D16">
              <w:rPr>
                <w:b/>
              </w:rPr>
              <w:t> </w:t>
            </w:r>
          </w:p>
        </w:tc>
        <w:tc>
          <w:tcPr>
            <w:tcW w:w="2381" w:type="pct"/>
            <w:shd w:val="clear" w:color="auto" w:fill="BFBFBF" w:themeFill="background1" w:themeFillShade="BF"/>
            <w:vAlign w:val="center"/>
            <w:hideMark/>
          </w:tcPr>
          <w:p w:rsidR="00816E55" w:rsidRPr="00832D16" w:rsidRDefault="00816E55" w:rsidP="00C62D0D">
            <w:pPr>
              <w:pStyle w:val="Tablewriting"/>
              <w:rPr>
                <w:b/>
              </w:rPr>
            </w:pPr>
            <w:r w:rsidRPr="00832D16">
              <w:rPr>
                <w:b/>
              </w:rPr>
              <w:t>Assessment criteria</w:t>
            </w:r>
          </w:p>
        </w:tc>
        <w:tc>
          <w:tcPr>
            <w:tcW w:w="382" w:type="pct"/>
            <w:shd w:val="clear" w:color="auto" w:fill="BFBFBF" w:themeFill="background1" w:themeFillShade="BF"/>
            <w:vAlign w:val="center"/>
            <w:hideMark/>
          </w:tcPr>
          <w:p w:rsidR="00816E55" w:rsidRPr="00832D16" w:rsidRDefault="00816E55" w:rsidP="00C62D0D">
            <w:pPr>
              <w:pStyle w:val="Tablewriting"/>
              <w:rPr>
                <w:b/>
              </w:rPr>
            </w:pPr>
            <w:r w:rsidRPr="00832D16">
              <w:rPr>
                <w:b/>
              </w:rPr>
              <w:t>Carson-Chahhoud 2019</w:t>
            </w:r>
          </w:p>
        </w:tc>
        <w:tc>
          <w:tcPr>
            <w:tcW w:w="454" w:type="pct"/>
            <w:shd w:val="clear" w:color="auto" w:fill="BFBFBF" w:themeFill="background1" w:themeFillShade="BF"/>
            <w:vAlign w:val="center"/>
            <w:hideMark/>
          </w:tcPr>
          <w:p w:rsidR="00816E55" w:rsidRPr="00832D16" w:rsidRDefault="00816E55" w:rsidP="00C62D0D">
            <w:pPr>
              <w:pStyle w:val="Tablewriting"/>
              <w:rPr>
                <w:b/>
              </w:rPr>
            </w:pPr>
            <w:r w:rsidRPr="00832D16">
              <w:rPr>
                <w:b/>
              </w:rPr>
              <w:t>Hartmann-Boyce 2018</w:t>
            </w:r>
          </w:p>
        </w:tc>
        <w:tc>
          <w:tcPr>
            <w:tcW w:w="350" w:type="pct"/>
            <w:shd w:val="clear" w:color="auto" w:fill="BFBFBF" w:themeFill="background1" w:themeFillShade="BF"/>
            <w:vAlign w:val="center"/>
            <w:hideMark/>
          </w:tcPr>
          <w:p w:rsidR="00816E55" w:rsidRPr="00832D16" w:rsidRDefault="00816E55" w:rsidP="00C62D0D">
            <w:pPr>
              <w:pStyle w:val="Tablewriting"/>
              <w:rPr>
                <w:b/>
              </w:rPr>
            </w:pPr>
            <w:r w:rsidRPr="00832D16">
              <w:rPr>
                <w:b/>
              </w:rPr>
              <w:t>Stead 2017</w:t>
            </w:r>
          </w:p>
        </w:tc>
        <w:tc>
          <w:tcPr>
            <w:tcW w:w="362" w:type="pct"/>
            <w:shd w:val="clear" w:color="auto" w:fill="BFBFBF" w:themeFill="background1" w:themeFillShade="BF"/>
            <w:vAlign w:val="center"/>
            <w:hideMark/>
          </w:tcPr>
          <w:p w:rsidR="00816E55" w:rsidRPr="00832D16" w:rsidRDefault="00816E55" w:rsidP="00C62D0D">
            <w:pPr>
              <w:pStyle w:val="Tablewriting"/>
              <w:rPr>
                <w:b/>
              </w:rPr>
            </w:pPr>
            <w:r w:rsidRPr="00832D16">
              <w:rPr>
                <w:b/>
              </w:rPr>
              <w:t>Lancaster 2017</w:t>
            </w:r>
          </w:p>
        </w:tc>
        <w:tc>
          <w:tcPr>
            <w:tcW w:w="376" w:type="pct"/>
            <w:shd w:val="clear" w:color="auto" w:fill="BFBFBF" w:themeFill="background1" w:themeFillShade="BF"/>
            <w:vAlign w:val="center"/>
            <w:hideMark/>
          </w:tcPr>
          <w:p w:rsidR="00816E55" w:rsidRPr="00832D16" w:rsidRDefault="00816E55" w:rsidP="00C62D0D">
            <w:pPr>
              <w:pStyle w:val="Tablewriting"/>
              <w:rPr>
                <w:b/>
              </w:rPr>
            </w:pPr>
            <w:r w:rsidRPr="00832D16">
              <w:rPr>
                <w:b/>
              </w:rPr>
              <w:t>Fanshawe 2017</w:t>
            </w:r>
          </w:p>
        </w:tc>
        <w:tc>
          <w:tcPr>
            <w:tcW w:w="289" w:type="pct"/>
            <w:shd w:val="clear" w:color="auto" w:fill="BFBFBF" w:themeFill="background1" w:themeFillShade="BF"/>
            <w:vAlign w:val="center"/>
            <w:hideMark/>
          </w:tcPr>
          <w:p w:rsidR="00816E55" w:rsidRPr="00832D16" w:rsidRDefault="00816E55" w:rsidP="00C62D0D">
            <w:pPr>
              <w:pStyle w:val="Tablewriting"/>
              <w:rPr>
                <w:b/>
              </w:rPr>
            </w:pPr>
            <w:r w:rsidRPr="00832D16">
              <w:rPr>
                <w:b/>
              </w:rPr>
              <w:t>Cahill 2016</w:t>
            </w:r>
          </w:p>
        </w:tc>
        <w:tc>
          <w:tcPr>
            <w:tcW w:w="256" w:type="pct"/>
            <w:shd w:val="clear" w:color="auto" w:fill="BFBFBF" w:themeFill="background1" w:themeFillShade="BF"/>
            <w:vAlign w:val="center"/>
            <w:hideMark/>
          </w:tcPr>
          <w:p w:rsidR="00816E55" w:rsidRPr="00832D16" w:rsidRDefault="00816E55" w:rsidP="00C62D0D">
            <w:pPr>
              <w:pStyle w:val="Tablewriting"/>
              <w:rPr>
                <w:b/>
              </w:rPr>
            </w:pPr>
            <w:r w:rsidRPr="00832D16">
              <w:rPr>
                <w:b/>
              </w:rPr>
              <w:t>Cahill 2013</w:t>
            </w:r>
          </w:p>
        </w:tc>
      </w:tr>
      <w:tr w:rsidR="00816E55" w:rsidRPr="00C62D0D" w:rsidTr="000C2B11">
        <w:trPr>
          <w:trHeight w:val="291"/>
        </w:trPr>
        <w:tc>
          <w:tcPr>
            <w:tcW w:w="150" w:type="pct"/>
            <w:noWrap/>
            <w:vAlign w:val="center"/>
            <w:hideMark/>
          </w:tcPr>
          <w:p w:rsidR="00816E55" w:rsidRPr="00C62D0D" w:rsidRDefault="00816E55" w:rsidP="00C62D0D">
            <w:pPr>
              <w:pStyle w:val="Tablewriting"/>
            </w:pPr>
            <w:r w:rsidRPr="00C62D0D">
              <w:t>1</w:t>
            </w:r>
          </w:p>
        </w:tc>
        <w:tc>
          <w:tcPr>
            <w:tcW w:w="2381" w:type="pct"/>
            <w:vAlign w:val="center"/>
            <w:hideMark/>
          </w:tcPr>
          <w:p w:rsidR="00816E55" w:rsidRPr="00C62D0D" w:rsidRDefault="00816E55" w:rsidP="00C62D0D">
            <w:pPr>
              <w:pStyle w:val="Tablewriting"/>
            </w:pPr>
            <w:r w:rsidRPr="00C62D0D">
              <w:t xml:space="preserve">Did the research questions and inclusion criteria for the review include the components of PICO? </w:t>
            </w:r>
          </w:p>
        </w:tc>
        <w:tc>
          <w:tcPr>
            <w:tcW w:w="382" w:type="pct"/>
            <w:vAlign w:val="center"/>
            <w:hideMark/>
          </w:tcPr>
          <w:p w:rsidR="00816E55" w:rsidRPr="00C62D0D" w:rsidRDefault="00816E55" w:rsidP="00C62D0D">
            <w:pPr>
              <w:pStyle w:val="Tablewriting"/>
            </w:pPr>
            <w:r w:rsidRPr="00C62D0D">
              <w:t>Yes</w:t>
            </w:r>
          </w:p>
        </w:tc>
        <w:tc>
          <w:tcPr>
            <w:tcW w:w="454" w:type="pct"/>
            <w:vAlign w:val="center"/>
            <w:hideMark/>
          </w:tcPr>
          <w:p w:rsidR="00816E55" w:rsidRPr="00C62D0D" w:rsidRDefault="00816E55" w:rsidP="00C62D0D">
            <w:pPr>
              <w:pStyle w:val="Tablewriting"/>
            </w:pPr>
            <w:r w:rsidRPr="00C62D0D">
              <w:t>Yes</w:t>
            </w:r>
          </w:p>
        </w:tc>
        <w:tc>
          <w:tcPr>
            <w:tcW w:w="350" w:type="pct"/>
            <w:vAlign w:val="center"/>
            <w:hideMark/>
          </w:tcPr>
          <w:p w:rsidR="00816E55" w:rsidRPr="00C62D0D" w:rsidRDefault="00816E55" w:rsidP="00C62D0D">
            <w:pPr>
              <w:pStyle w:val="Tablewriting"/>
            </w:pPr>
            <w:r w:rsidRPr="00C62D0D">
              <w:t>Yes</w:t>
            </w:r>
          </w:p>
        </w:tc>
        <w:tc>
          <w:tcPr>
            <w:tcW w:w="362" w:type="pct"/>
            <w:vAlign w:val="center"/>
            <w:hideMark/>
          </w:tcPr>
          <w:p w:rsidR="00816E55" w:rsidRPr="00C62D0D" w:rsidRDefault="00816E55" w:rsidP="00C62D0D">
            <w:pPr>
              <w:pStyle w:val="Tablewriting"/>
            </w:pPr>
            <w:r w:rsidRPr="00C62D0D">
              <w:t>Yes</w:t>
            </w:r>
          </w:p>
        </w:tc>
        <w:tc>
          <w:tcPr>
            <w:tcW w:w="376" w:type="pct"/>
            <w:vAlign w:val="center"/>
            <w:hideMark/>
          </w:tcPr>
          <w:p w:rsidR="00816E55" w:rsidRPr="00C62D0D" w:rsidRDefault="00816E55" w:rsidP="00C62D0D">
            <w:pPr>
              <w:pStyle w:val="Tablewriting"/>
            </w:pPr>
            <w:r w:rsidRPr="00C62D0D">
              <w:t>Yes</w:t>
            </w:r>
          </w:p>
        </w:tc>
        <w:tc>
          <w:tcPr>
            <w:tcW w:w="289" w:type="pct"/>
            <w:vAlign w:val="center"/>
            <w:hideMark/>
          </w:tcPr>
          <w:p w:rsidR="00816E55" w:rsidRPr="00C62D0D" w:rsidRDefault="00816E55" w:rsidP="00C62D0D">
            <w:pPr>
              <w:pStyle w:val="Tablewriting"/>
            </w:pPr>
            <w:r w:rsidRPr="00C62D0D">
              <w:t>Yes</w:t>
            </w:r>
          </w:p>
        </w:tc>
        <w:tc>
          <w:tcPr>
            <w:tcW w:w="256" w:type="pct"/>
            <w:vAlign w:val="center"/>
            <w:hideMark/>
          </w:tcPr>
          <w:p w:rsidR="00816E55" w:rsidRPr="00C62D0D" w:rsidRDefault="00816E55" w:rsidP="00C62D0D">
            <w:pPr>
              <w:pStyle w:val="Tablewriting"/>
            </w:pPr>
            <w:r w:rsidRPr="00C62D0D">
              <w:t>Yes</w:t>
            </w:r>
          </w:p>
        </w:tc>
      </w:tr>
      <w:tr w:rsidR="00816E55" w:rsidRPr="00C62D0D" w:rsidTr="000C2B11">
        <w:trPr>
          <w:trHeight w:val="497"/>
        </w:trPr>
        <w:tc>
          <w:tcPr>
            <w:tcW w:w="150" w:type="pct"/>
            <w:noWrap/>
            <w:vAlign w:val="center"/>
            <w:hideMark/>
          </w:tcPr>
          <w:p w:rsidR="00816E55" w:rsidRPr="00C62D0D" w:rsidRDefault="00816E55" w:rsidP="00C62D0D">
            <w:pPr>
              <w:pStyle w:val="Tablewriting"/>
            </w:pPr>
            <w:r w:rsidRPr="00C62D0D">
              <w:t>2</w:t>
            </w:r>
          </w:p>
        </w:tc>
        <w:tc>
          <w:tcPr>
            <w:tcW w:w="2381" w:type="pct"/>
            <w:vAlign w:val="center"/>
            <w:hideMark/>
          </w:tcPr>
          <w:p w:rsidR="00816E55" w:rsidRPr="00C62D0D" w:rsidRDefault="00816E55" w:rsidP="00C62D0D">
            <w:pPr>
              <w:pStyle w:val="Tablewriting"/>
            </w:pPr>
            <w:r w:rsidRPr="00C62D0D">
              <w:t xml:space="preserve">Did the report of the review contain an explicit statement that the review methods were established prior to the conduct of the review and did the report justify any significant deviations from the protocol? </w:t>
            </w:r>
          </w:p>
        </w:tc>
        <w:tc>
          <w:tcPr>
            <w:tcW w:w="382" w:type="pct"/>
            <w:noWrap/>
            <w:vAlign w:val="center"/>
            <w:hideMark/>
          </w:tcPr>
          <w:p w:rsidR="00816E55" w:rsidRPr="00C62D0D" w:rsidRDefault="00816E55" w:rsidP="00C62D0D">
            <w:pPr>
              <w:pStyle w:val="Tablewriting"/>
            </w:pPr>
            <w:r w:rsidRPr="00C62D0D">
              <w:t>Yes</w:t>
            </w:r>
          </w:p>
        </w:tc>
        <w:tc>
          <w:tcPr>
            <w:tcW w:w="454" w:type="pct"/>
            <w:noWrap/>
            <w:vAlign w:val="center"/>
            <w:hideMark/>
          </w:tcPr>
          <w:p w:rsidR="00816E55" w:rsidRPr="00C62D0D" w:rsidRDefault="00816E55" w:rsidP="00C62D0D">
            <w:pPr>
              <w:pStyle w:val="Tablewriting"/>
            </w:pPr>
            <w:r w:rsidRPr="00C62D0D">
              <w:t>Yes</w:t>
            </w:r>
          </w:p>
        </w:tc>
        <w:tc>
          <w:tcPr>
            <w:tcW w:w="350" w:type="pct"/>
            <w:noWrap/>
            <w:vAlign w:val="center"/>
            <w:hideMark/>
          </w:tcPr>
          <w:p w:rsidR="00816E55" w:rsidRPr="00C62D0D" w:rsidRDefault="00816E55" w:rsidP="00C62D0D">
            <w:pPr>
              <w:pStyle w:val="Tablewriting"/>
            </w:pPr>
            <w:r w:rsidRPr="00C62D0D">
              <w:t>Yes</w:t>
            </w:r>
          </w:p>
        </w:tc>
        <w:tc>
          <w:tcPr>
            <w:tcW w:w="362" w:type="pct"/>
            <w:noWrap/>
            <w:vAlign w:val="center"/>
            <w:hideMark/>
          </w:tcPr>
          <w:p w:rsidR="00816E55" w:rsidRPr="00C62D0D" w:rsidRDefault="00816E55" w:rsidP="00C62D0D">
            <w:pPr>
              <w:pStyle w:val="Tablewriting"/>
            </w:pPr>
            <w:r w:rsidRPr="00C62D0D">
              <w:t>Yes</w:t>
            </w:r>
          </w:p>
        </w:tc>
        <w:tc>
          <w:tcPr>
            <w:tcW w:w="376" w:type="pct"/>
            <w:noWrap/>
            <w:vAlign w:val="center"/>
            <w:hideMark/>
          </w:tcPr>
          <w:p w:rsidR="00816E55" w:rsidRPr="00C62D0D" w:rsidRDefault="00816E55" w:rsidP="00C62D0D">
            <w:pPr>
              <w:pStyle w:val="Tablewriting"/>
            </w:pPr>
            <w:r w:rsidRPr="00C62D0D">
              <w:t>Yes</w:t>
            </w:r>
          </w:p>
        </w:tc>
        <w:tc>
          <w:tcPr>
            <w:tcW w:w="289" w:type="pct"/>
            <w:vAlign w:val="center"/>
            <w:hideMark/>
          </w:tcPr>
          <w:p w:rsidR="00816E55" w:rsidRPr="00C62D0D" w:rsidRDefault="00816E55" w:rsidP="00C62D0D">
            <w:pPr>
              <w:pStyle w:val="Tablewriting"/>
            </w:pPr>
            <w:r w:rsidRPr="00C62D0D">
              <w:t>Yes</w:t>
            </w:r>
          </w:p>
        </w:tc>
        <w:tc>
          <w:tcPr>
            <w:tcW w:w="256" w:type="pct"/>
            <w:vAlign w:val="center"/>
            <w:hideMark/>
          </w:tcPr>
          <w:p w:rsidR="00816E55" w:rsidRPr="00C62D0D" w:rsidRDefault="00816E55" w:rsidP="00C62D0D">
            <w:pPr>
              <w:pStyle w:val="Tablewriting"/>
            </w:pPr>
            <w:r w:rsidRPr="00C62D0D">
              <w:t>Yes</w:t>
            </w:r>
          </w:p>
        </w:tc>
      </w:tr>
      <w:tr w:rsidR="00816E55" w:rsidRPr="00C62D0D" w:rsidTr="000C2B11">
        <w:trPr>
          <w:trHeight w:val="181"/>
        </w:trPr>
        <w:tc>
          <w:tcPr>
            <w:tcW w:w="150" w:type="pct"/>
            <w:noWrap/>
            <w:vAlign w:val="center"/>
            <w:hideMark/>
          </w:tcPr>
          <w:p w:rsidR="00816E55" w:rsidRPr="00C62D0D" w:rsidRDefault="00816E55" w:rsidP="00C62D0D">
            <w:pPr>
              <w:pStyle w:val="Tablewriting"/>
            </w:pPr>
            <w:r w:rsidRPr="00C62D0D">
              <w:t>3</w:t>
            </w:r>
          </w:p>
        </w:tc>
        <w:tc>
          <w:tcPr>
            <w:tcW w:w="2381" w:type="pct"/>
            <w:vAlign w:val="center"/>
            <w:hideMark/>
          </w:tcPr>
          <w:p w:rsidR="00816E55" w:rsidRPr="00C62D0D" w:rsidRDefault="00816E55" w:rsidP="00C62D0D">
            <w:pPr>
              <w:pStyle w:val="Tablewriting"/>
            </w:pPr>
            <w:r w:rsidRPr="00C62D0D">
              <w:t xml:space="preserve">Did the review authors perform study selection in duplicate? </w:t>
            </w:r>
          </w:p>
        </w:tc>
        <w:tc>
          <w:tcPr>
            <w:tcW w:w="382" w:type="pct"/>
            <w:vAlign w:val="center"/>
            <w:hideMark/>
          </w:tcPr>
          <w:p w:rsidR="00816E55" w:rsidRPr="00C62D0D" w:rsidRDefault="00816E55" w:rsidP="00C62D0D">
            <w:pPr>
              <w:pStyle w:val="Tablewriting"/>
            </w:pPr>
            <w:r w:rsidRPr="00C62D0D">
              <w:t>Yes</w:t>
            </w:r>
          </w:p>
        </w:tc>
        <w:tc>
          <w:tcPr>
            <w:tcW w:w="454" w:type="pct"/>
            <w:vAlign w:val="center"/>
            <w:hideMark/>
          </w:tcPr>
          <w:p w:rsidR="00816E55" w:rsidRPr="00C62D0D" w:rsidRDefault="00816E55" w:rsidP="00C62D0D">
            <w:pPr>
              <w:pStyle w:val="Tablewriting"/>
            </w:pPr>
            <w:r w:rsidRPr="00C62D0D">
              <w:t>Yes</w:t>
            </w:r>
          </w:p>
        </w:tc>
        <w:tc>
          <w:tcPr>
            <w:tcW w:w="350" w:type="pct"/>
            <w:vAlign w:val="center"/>
            <w:hideMark/>
          </w:tcPr>
          <w:p w:rsidR="00816E55" w:rsidRPr="00C62D0D" w:rsidRDefault="00816E55" w:rsidP="00C62D0D">
            <w:pPr>
              <w:pStyle w:val="Tablewriting"/>
            </w:pPr>
            <w:r w:rsidRPr="00C62D0D">
              <w:t>Yes</w:t>
            </w:r>
          </w:p>
        </w:tc>
        <w:tc>
          <w:tcPr>
            <w:tcW w:w="362" w:type="pct"/>
            <w:vAlign w:val="center"/>
            <w:hideMark/>
          </w:tcPr>
          <w:p w:rsidR="00816E55" w:rsidRPr="00C62D0D" w:rsidRDefault="00816E55" w:rsidP="00C62D0D">
            <w:pPr>
              <w:pStyle w:val="Tablewriting"/>
            </w:pPr>
            <w:r w:rsidRPr="00C62D0D">
              <w:t>Yes</w:t>
            </w:r>
          </w:p>
        </w:tc>
        <w:tc>
          <w:tcPr>
            <w:tcW w:w="376" w:type="pct"/>
            <w:vAlign w:val="center"/>
            <w:hideMark/>
          </w:tcPr>
          <w:p w:rsidR="00816E55" w:rsidRPr="00C62D0D" w:rsidRDefault="00816E55" w:rsidP="00C62D0D">
            <w:pPr>
              <w:pStyle w:val="Tablewriting"/>
            </w:pPr>
            <w:r w:rsidRPr="00C62D0D">
              <w:t>Yes</w:t>
            </w:r>
          </w:p>
        </w:tc>
        <w:tc>
          <w:tcPr>
            <w:tcW w:w="289" w:type="pct"/>
            <w:vAlign w:val="center"/>
            <w:hideMark/>
          </w:tcPr>
          <w:p w:rsidR="00816E55" w:rsidRPr="00C62D0D" w:rsidRDefault="00816E55" w:rsidP="00C62D0D">
            <w:pPr>
              <w:pStyle w:val="Tablewriting"/>
            </w:pPr>
            <w:r w:rsidRPr="00C62D0D">
              <w:t>Yes</w:t>
            </w:r>
          </w:p>
        </w:tc>
        <w:tc>
          <w:tcPr>
            <w:tcW w:w="256" w:type="pct"/>
            <w:vAlign w:val="center"/>
            <w:hideMark/>
          </w:tcPr>
          <w:p w:rsidR="00816E55" w:rsidRPr="00C62D0D" w:rsidRDefault="00816E55" w:rsidP="00C62D0D">
            <w:pPr>
              <w:pStyle w:val="Tablewriting"/>
            </w:pPr>
            <w:r w:rsidRPr="00C62D0D">
              <w:t>Yes</w:t>
            </w:r>
          </w:p>
        </w:tc>
      </w:tr>
      <w:tr w:rsidR="00816E55" w:rsidRPr="00C62D0D" w:rsidTr="000C2B11">
        <w:trPr>
          <w:trHeight w:val="157"/>
        </w:trPr>
        <w:tc>
          <w:tcPr>
            <w:tcW w:w="150" w:type="pct"/>
            <w:noWrap/>
            <w:vAlign w:val="center"/>
            <w:hideMark/>
          </w:tcPr>
          <w:p w:rsidR="00816E55" w:rsidRPr="00C62D0D" w:rsidRDefault="00816E55" w:rsidP="00C62D0D">
            <w:pPr>
              <w:pStyle w:val="Tablewriting"/>
            </w:pPr>
            <w:r w:rsidRPr="00C62D0D">
              <w:t>4</w:t>
            </w:r>
          </w:p>
        </w:tc>
        <w:tc>
          <w:tcPr>
            <w:tcW w:w="2381" w:type="pct"/>
            <w:vAlign w:val="center"/>
            <w:hideMark/>
          </w:tcPr>
          <w:p w:rsidR="00816E55" w:rsidRPr="00C62D0D" w:rsidRDefault="00816E55" w:rsidP="00C62D0D">
            <w:pPr>
              <w:pStyle w:val="Tablewriting"/>
            </w:pPr>
            <w:r w:rsidRPr="00C62D0D">
              <w:t xml:space="preserve">Did the review authors use a comprehensive literature search strategy? </w:t>
            </w:r>
          </w:p>
        </w:tc>
        <w:tc>
          <w:tcPr>
            <w:tcW w:w="382" w:type="pct"/>
            <w:noWrap/>
            <w:vAlign w:val="center"/>
            <w:hideMark/>
          </w:tcPr>
          <w:p w:rsidR="00816E55" w:rsidRPr="00C62D0D" w:rsidRDefault="00816E55" w:rsidP="00C62D0D">
            <w:pPr>
              <w:pStyle w:val="Tablewriting"/>
            </w:pPr>
            <w:r w:rsidRPr="00C62D0D">
              <w:t>Yes</w:t>
            </w:r>
          </w:p>
        </w:tc>
        <w:tc>
          <w:tcPr>
            <w:tcW w:w="454" w:type="pct"/>
            <w:noWrap/>
            <w:vAlign w:val="center"/>
            <w:hideMark/>
          </w:tcPr>
          <w:p w:rsidR="00816E55" w:rsidRPr="00C62D0D" w:rsidRDefault="00816E55" w:rsidP="00C62D0D">
            <w:pPr>
              <w:pStyle w:val="Tablewriting"/>
            </w:pPr>
            <w:r w:rsidRPr="00C62D0D">
              <w:t>Yes</w:t>
            </w:r>
          </w:p>
        </w:tc>
        <w:tc>
          <w:tcPr>
            <w:tcW w:w="350" w:type="pct"/>
            <w:noWrap/>
            <w:vAlign w:val="center"/>
            <w:hideMark/>
          </w:tcPr>
          <w:p w:rsidR="00816E55" w:rsidRPr="00C62D0D" w:rsidRDefault="00816E55" w:rsidP="00C62D0D">
            <w:pPr>
              <w:pStyle w:val="Tablewriting"/>
            </w:pPr>
            <w:r w:rsidRPr="00C62D0D">
              <w:t>Yes</w:t>
            </w:r>
          </w:p>
        </w:tc>
        <w:tc>
          <w:tcPr>
            <w:tcW w:w="362" w:type="pct"/>
            <w:noWrap/>
            <w:vAlign w:val="center"/>
            <w:hideMark/>
          </w:tcPr>
          <w:p w:rsidR="00816E55" w:rsidRPr="00C62D0D" w:rsidRDefault="00816E55" w:rsidP="00C62D0D">
            <w:pPr>
              <w:pStyle w:val="Tablewriting"/>
            </w:pPr>
            <w:r w:rsidRPr="00C62D0D">
              <w:t>Yes</w:t>
            </w:r>
          </w:p>
        </w:tc>
        <w:tc>
          <w:tcPr>
            <w:tcW w:w="376" w:type="pct"/>
            <w:noWrap/>
            <w:vAlign w:val="center"/>
            <w:hideMark/>
          </w:tcPr>
          <w:p w:rsidR="00816E55" w:rsidRPr="00C62D0D" w:rsidRDefault="00816E55" w:rsidP="00C62D0D">
            <w:pPr>
              <w:pStyle w:val="Tablewriting"/>
            </w:pPr>
            <w:r w:rsidRPr="00C62D0D">
              <w:t>Yes</w:t>
            </w:r>
          </w:p>
        </w:tc>
        <w:tc>
          <w:tcPr>
            <w:tcW w:w="289" w:type="pct"/>
            <w:noWrap/>
            <w:vAlign w:val="center"/>
            <w:hideMark/>
          </w:tcPr>
          <w:p w:rsidR="00816E55" w:rsidRPr="00C62D0D" w:rsidRDefault="00816E55" w:rsidP="00C62D0D">
            <w:pPr>
              <w:pStyle w:val="Tablewriting"/>
            </w:pPr>
            <w:r w:rsidRPr="00C62D0D">
              <w:t>Yes</w:t>
            </w:r>
          </w:p>
        </w:tc>
        <w:tc>
          <w:tcPr>
            <w:tcW w:w="256" w:type="pct"/>
            <w:noWrap/>
            <w:vAlign w:val="center"/>
            <w:hideMark/>
          </w:tcPr>
          <w:p w:rsidR="00816E55" w:rsidRPr="00C62D0D" w:rsidRDefault="00816E55" w:rsidP="00C62D0D">
            <w:pPr>
              <w:pStyle w:val="Tablewriting"/>
            </w:pPr>
            <w:r w:rsidRPr="00C62D0D">
              <w:t>Yes</w:t>
            </w:r>
          </w:p>
        </w:tc>
      </w:tr>
      <w:tr w:rsidR="00816E55" w:rsidRPr="00C62D0D" w:rsidTr="000C2B11">
        <w:trPr>
          <w:trHeight w:val="70"/>
        </w:trPr>
        <w:tc>
          <w:tcPr>
            <w:tcW w:w="150" w:type="pct"/>
            <w:vAlign w:val="center"/>
            <w:hideMark/>
          </w:tcPr>
          <w:p w:rsidR="00816E55" w:rsidRPr="00C62D0D" w:rsidRDefault="00816E55" w:rsidP="00C62D0D">
            <w:pPr>
              <w:pStyle w:val="Tablewriting"/>
            </w:pPr>
            <w:r w:rsidRPr="00C62D0D">
              <w:t>5</w:t>
            </w:r>
          </w:p>
        </w:tc>
        <w:tc>
          <w:tcPr>
            <w:tcW w:w="2381" w:type="pct"/>
            <w:vAlign w:val="center"/>
            <w:hideMark/>
          </w:tcPr>
          <w:p w:rsidR="00816E55" w:rsidRPr="00C62D0D" w:rsidRDefault="00816E55" w:rsidP="00C62D0D">
            <w:pPr>
              <w:pStyle w:val="Tablewriting"/>
            </w:pPr>
            <w:r w:rsidRPr="00C62D0D">
              <w:t>Did the review authors perform study selection in duplicate?</w:t>
            </w:r>
          </w:p>
        </w:tc>
        <w:tc>
          <w:tcPr>
            <w:tcW w:w="382" w:type="pct"/>
            <w:vAlign w:val="center"/>
            <w:hideMark/>
          </w:tcPr>
          <w:p w:rsidR="00816E55" w:rsidRPr="00C62D0D" w:rsidRDefault="00816E55" w:rsidP="00C62D0D">
            <w:pPr>
              <w:pStyle w:val="Tablewriting"/>
            </w:pPr>
            <w:r w:rsidRPr="00C62D0D">
              <w:t>Yes</w:t>
            </w:r>
          </w:p>
        </w:tc>
        <w:tc>
          <w:tcPr>
            <w:tcW w:w="454" w:type="pct"/>
            <w:vAlign w:val="center"/>
            <w:hideMark/>
          </w:tcPr>
          <w:p w:rsidR="00816E55" w:rsidRPr="00C62D0D" w:rsidRDefault="00816E55" w:rsidP="00C62D0D">
            <w:pPr>
              <w:pStyle w:val="Tablewriting"/>
            </w:pPr>
            <w:r w:rsidRPr="00C62D0D">
              <w:t>Yes</w:t>
            </w:r>
          </w:p>
        </w:tc>
        <w:tc>
          <w:tcPr>
            <w:tcW w:w="350" w:type="pct"/>
            <w:vAlign w:val="center"/>
            <w:hideMark/>
          </w:tcPr>
          <w:p w:rsidR="00816E55" w:rsidRPr="00C62D0D" w:rsidRDefault="00816E55" w:rsidP="00C62D0D">
            <w:pPr>
              <w:pStyle w:val="Tablewriting"/>
            </w:pPr>
            <w:r w:rsidRPr="00C62D0D">
              <w:t>Yes</w:t>
            </w:r>
          </w:p>
        </w:tc>
        <w:tc>
          <w:tcPr>
            <w:tcW w:w="362" w:type="pct"/>
            <w:vAlign w:val="center"/>
            <w:hideMark/>
          </w:tcPr>
          <w:p w:rsidR="00816E55" w:rsidRPr="00C62D0D" w:rsidRDefault="00816E55" w:rsidP="00C62D0D">
            <w:pPr>
              <w:pStyle w:val="Tablewriting"/>
            </w:pPr>
            <w:r w:rsidRPr="00C62D0D">
              <w:t>Yes</w:t>
            </w:r>
          </w:p>
        </w:tc>
        <w:tc>
          <w:tcPr>
            <w:tcW w:w="376" w:type="pct"/>
            <w:vAlign w:val="center"/>
            <w:hideMark/>
          </w:tcPr>
          <w:p w:rsidR="00816E55" w:rsidRPr="00C62D0D" w:rsidRDefault="00816E55" w:rsidP="00C62D0D">
            <w:pPr>
              <w:pStyle w:val="Tablewriting"/>
            </w:pPr>
            <w:r w:rsidRPr="00C62D0D">
              <w:t>Yes</w:t>
            </w:r>
          </w:p>
        </w:tc>
        <w:tc>
          <w:tcPr>
            <w:tcW w:w="289" w:type="pct"/>
            <w:vAlign w:val="center"/>
            <w:hideMark/>
          </w:tcPr>
          <w:p w:rsidR="00816E55" w:rsidRPr="00C62D0D" w:rsidRDefault="00816E55" w:rsidP="00C62D0D">
            <w:pPr>
              <w:pStyle w:val="Tablewriting"/>
            </w:pPr>
            <w:r w:rsidRPr="00C62D0D">
              <w:t>Yes</w:t>
            </w:r>
          </w:p>
        </w:tc>
        <w:tc>
          <w:tcPr>
            <w:tcW w:w="256" w:type="pct"/>
            <w:vAlign w:val="center"/>
            <w:hideMark/>
          </w:tcPr>
          <w:p w:rsidR="00816E55" w:rsidRPr="00C62D0D" w:rsidRDefault="00816E55" w:rsidP="00C62D0D">
            <w:pPr>
              <w:pStyle w:val="Tablewriting"/>
            </w:pPr>
            <w:r w:rsidRPr="00C62D0D">
              <w:t>Yes</w:t>
            </w:r>
          </w:p>
        </w:tc>
      </w:tr>
      <w:tr w:rsidR="00816E55" w:rsidRPr="00C62D0D" w:rsidTr="000C2B11">
        <w:trPr>
          <w:trHeight w:val="82"/>
        </w:trPr>
        <w:tc>
          <w:tcPr>
            <w:tcW w:w="150" w:type="pct"/>
            <w:vAlign w:val="center"/>
            <w:hideMark/>
          </w:tcPr>
          <w:p w:rsidR="00816E55" w:rsidRPr="00C62D0D" w:rsidRDefault="00816E55" w:rsidP="00C62D0D">
            <w:pPr>
              <w:pStyle w:val="Tablewriting"/>
            </w:pPr>
            <w:r w:rsidRPr="00C62D0D">
              <w:t>6</w:t>
            </w:r>
          </w:p>
        </w:tc>
        <w:tc>
          <w:tcPr>
            <w:tcW w:w="2381" w:type="pct"/>
            <w:vAlign w:val="center"/>
            <w:hideMark/>
          </w:tcPr>
          <w:p w:rsidR="00816E55" w:rsidRPr="00C62D0D" w:rsidRDefault="00816E55" w:rsidP="00C62D0D">
            <w:pPr>
              <w:pStyle w:val="Tablewriting"/>
            </w:pPr>
            <w:r w:rsidRPr="00C62D0D">
              <w:t xml:space="preserve">Did the review authors perform data extraction in duplicate? </w:t>
            </w:r>
          </w:p>
        </w:tc>
        <w:tc>
          <w:tcPr>
            <w:tcW w:w="382" w:type="pct"/>
            <w:vAlign w:val="center"/>
            <w:hideMark/>
          </w:tcPr>
          <w:p w:rsidR="00816E55" w:rsidRPr="00C62D0D" w:rsidRDefault="00816E55" w:rsidP="00C62D0D">
            <w:pPr>
              <w:pStyle w:val="Tablewriting"/>
            </w:pPr>
            <w:r w:rsidRPr="00C62D0D">
              <w:t>Yes</w:t>
            </w:r>
          </w:p>
        </w:tc>
        <w:tc>
          <w:tcPr>
            <w:tcW w:w="454" w:type="pct"/>
            <w:vAlign w:val="center"/>
            <w:hideMark/>
          </w:tcPr>
          <w:p w:rsidR="00816E55" w:rsidRPr="00C62D0D" w:rsidRDefault="00816E55" w:rsidP="00C62D0D">
            <w:pPr>
              <w:pStyle w:val="Tablewriting"/>
            </w:pPr>
            <w:r w:rsidRPr="00C62D0D">
              <w:t>Yes</w:t>
            </w:r>
          </w:p>
        </w:tc>
        <w:tc>
          <w:tcPr>
            <w:tcW w:w="350" w:type="pct"/>
            <w:vAlign w:val="center"/>
            <w:hideMark/>
          </w:tcPr>
          <w:p w:rsidR="00816E55" w:rsidRPr="00C62D0D" w:rsidRDefault="00816E55" w:rsidP="00C62D0D">
            <w:pPr>
              <w:pStyle w:val="Tablewriting"/>
            </w:pPr>
            <w:r w:rsidRPr="00C62D0D">
              <w:t>Yes</w:t>
            </w:r>
          </w:p>
        </w:tc>
        <w:tc>
          <w:tcPr>
            <w:tcW w:w="362" w:type="pct"/>
            <w:vAlign w:val="center"/>
            <w:hideMark/>
          </w:tcPr>
          <w:p w:rsidR="00816E55" w:rsidRPr="00C62D0D" w:rsidRDefault="00816E55" w:rsidP="00C62D0D">
            <w:pPr>
              <w:pStyle w:val="Tablewriting"/>
            </w:pPr>
            <w:r w:rsidRPr="00C62D0D">
              <w:t>Yes</w:t>
            </w:r>
          </w:p>
        </w:tc>
        <w:tc>
          <w:tcPr>
            <w:tcW w:w="376" w:type="pct"/>
            <w:vAlign w:val="center"/>
            <w:hideMark/>
          </w:tcPr>
          <w:p w:rsidR="00816E55" w:rsidRPr="00C62D0D" w:rsidRDefault="00816E55" w:rsidP="00C62D0D">
            <w:pPr>
              <w:pStyle w:val="Tablewriting"/>
            </w:pPr>
            <w:r w:rsidRPr="00C62D0D">
              <w:t>Yes</w:t>
            </w:r>
          </w:p>
        </w:tc>
        <w:tc>
          <w:tcPr>
            <w:tcW w:w="289" w:type="pct"/>
            <w:vAlign w:val="center"/>
            <w:hideMark/>
          </w:tcPr>
          <w:p w:rsidR="00816E55" w:rsidRPr="00C62D0D" w:rsidRDefault="00816E55" w:rsidP="00C62D0D">
            <w:pPr>
              <w:pStyle w:val="Tablewriting"/>
            </w:pPr>
            <w:r w:rsidRPr="00C62D0D">
              <w:t>Yes</w:t>
            </w:r>
          </w:p>
        </w:tc>
        <w:tc>
          <w:tcPr>
            <w:tcW w:w="256" w:type="pct"/>
            <w:vAlign w:val="center"/>
            <w:hideMark/>
          </w:tcPr>
          <w:p w:rsidR="00816E55" w:rsidRPr="00C62D0D" w:rsidRDefault="00816E55" w:rsidP="00C62D0D">
            <w:pPr>
              <w:pStyle w:val="Tablewriting"/>
            </w:pPr>
            <w:r w:rsidRPr="00C62D0D">
              <w:t>Yes</w:t>
            </w:r>
          </w:p>
        </w:tc>
      </w:tr>
      <w:tr w:rsidR="00816E55" w:rsidRPr="00C62D0D" w:rsidTr="000C2B11">
        <w:trPr>
          <w:trHeight w:val="375"/>
        </w:trPr>
        <w:tc>
          <w:tcPr>
            <w:tcW w:w="150" w:type="pct"/>
            <w:vAlign w:val="center"/>
            <w:hideMark/>
          </w:tcPr>
          <w:p w:rsidR="00816E55" w:rsidRPr="00C62D0D" w:rsidRDefault="00816E55" w:rsidP="00C62D0D">
            <w:pPr>
              <w:pStyle w:val="Tablewriting"/>
            </w:pPr>
            <w:r w:rsidRPr="00C62D0D">
              <w:t>7</w:t>
            </w:r>
          </w:p>
        </w:tc>
        <w:tc>
          <w:tcPr>
            <w:tcW w:w="2381" w:type="pct"/>
            <w:vAlign w:val="center"/>
            <w:hideMark/>
          </w:tcPr>
          <w:p w:rsidR="00816E55" w:rsidRPr="00C62D0D" w:rsidRDefault="00816E55" w:rsidP="00C62D0D">
            <w:pPr>
              <w:pStyle w:val="Tablewriting"/>
            </w:pPr>
            <w:r w:rsidRPr="00C62D0D">
              <w:t xml:space="preserve">Did the review authors provide a list of excluded studies and justify the exclusions? </w:t>
            </w:r>
          </w:p>
        </w:tc>
        <w:tc>
          <w:tcPr>
            <w:tcW w:w="382" w:type="pct"/>
            <w:noWrap/>
            <w:vAlign w:val="center"/>
            <w:hideMark/>
          </w:tcPr>
          <w:p w:rsidR="00816E55" w:rsidRPr="00816E55" w:rsidRDefault="00816E55" w:rsidP="00C62D0D">
            <w:pPr>
              <w:pStyle w:val="Tablewriting"/>
            </w:pPr>
            <w:r w:rsidRPr="00816E55">
              <w:t>Yes</w:t>
            </w:r>
          </w:p>
        </w:tc>
        <w:tc>
          <w:tcPr>
            <w:tcW w:w="454" w:type="pct"/>
            <w:noWrap/>
            <w:vAlign w:val="center"/>
            <w:hideMark/>
          </w:tcPr>
          <w:p w:rsidR="00816E55" w:rsidRPr="00816E55" w:rsidRDefault="00816E55" w:rsidP="00C62D0D">
            <w:pPr>
              <w:pStyle w:val="Tablewriting"/>
            </w:pPr>
            <w:r w:rsidRPr="00816E55">
              <w:t>Yes</w:t>
            </w:r>
          </w:p>
        </w:tc>
        <w:tc>
          <w:tcPr>
            <w:tcW w:w="350" w:type="pct"/>
            <w:noWrap/>
            <w:vAlign w:val="center"/>
            <w:hideMark/>
          </w:tcPr>
          <w:p w:rsidR="00816E55" w:rsidRPr="00816E55" w:rsidRDefault="00816E55" w:rsidP="00C62D0D">
            <w:pPr>
              <w:pStyle w:val="Tablewriting"/>
            </w:pPr>
            <w:r w:rsidRPr="00816E55">
              <w:t>Yes</w:t>
            </w:r>
          </w:p>
        </w:tc>
        <w:tc>
          <w:tcPr>
            <w:tcW w:w="362" w:type="pct"/>
            <w:noWrap/>
            <w:vAlign w:val="center"/>
            <w:hideMark/>
          </w:tcPr>
          <w:p w:rsidR="00816E55" w:rsidRPr="00816E55" w:rsidRDefault="00816E55" w:rsidP="00C62D0D">
            <w:pPr>
              <w:pStyle w:val="Tablewriting"/>
            </w:pPr>
            <w:r w:rsidRPr="00816E55">
              <w:t>Yes</w:t>
            </w:r>
          </w:p>
        </w:tc>
        <w:tc>
          <w:tcPr>
            <w:tcW w:w="376" w:type="pct"/>
            <w:noWrap/>
            <w:vAlign w:val="center"/>
            <w:hideMark/>
          </w:tcPr>
          <w:p w:rsidR="00816E55" w:rsidRPr="00816E55" w:rsidRDefault="00816E55" w:rsidP="00C62D0D">
            <w:pPr>
              <w:pStyle w:val="Tablewriting"/>
            </w:pPr>
            <w:r w:rsidRPr="00816E55">
              <w:t>Yes</w:t>
            </w:r>
          </w:p>
        </w:tc>
        <w:tc>
          <w:tcPr>
            <w:tcW w:w="289" w:type="pct"/>
            <w:vAlign w:val="center"/>
            <w:hideMark/>
          </w:tcPr>
          <w:p w:rsidR="00816E55" w:rsidRPr="00816E55" w:rsidRDefault="00816E55" w:rsidP="00C62D0D">
            <w:pPr>
              <w:pStyle w:val="Tablewriting"/>
            </w:pPr>
            <w:r w:rsidRPr="00816E55">
              <w:t>Yes</w:t>
            </w:r>
          </w:p>
        </w:tc>
        <w:tc>
          <w:tcPr>
            <w:tcW w:w="256" w:type="pct"/>
            <w:vAlign w:val="center"/>
            <w:hideMark/>
          </w:tcPr>
          <w:p w:rsidR="00816E55" w:rsidRPr="00816E55" w:rsidRDefault="00816E55" w:rsidP="00C62D0D">
            <w:pPr>
              <w:pStyle w:val="Tablewriting"/>
            </w:pPr>
            <w:r w:rsidRPr="00816E55">
              <w:t>Yes</w:t>
            </w:r>
          </w:p>
        </w:tc>
      </w:tr>
      <w:tr w:rsidR="00816E55" w:rsidRPr="00C62D0D" w:rsidTr="000C2B11">
        <w:trPr>
          <w:trHeight w:val="135"/>
        </w:trPr>
        <w:tc>
          <w:tcPr>
            <w:tcW w:w="150" w:type="pct"/>
            <w:vAlign w:val="center"/>
            <w:hideMark/>
          </w:tcPr>
          <w:p w:rsidR="00816E55" w:rsidRPr="00C62D0D" w:rsidRDefault="00816E55" w:rsidP="00C62D0D">
            <w:pPr>
              <w:pStyle w:val="Tablewriting"/>
            </w:pPr>
            <w:r w:rsidRPr="00C62D0D">
              <w:t>8</w:t>
            </w:r>
          </w:p>
        </w:tc>
        <w:tc>
          <w:tcPr>
            <w:tcW w:w="2381" w:type="pct"/>
            <w:vAlign w:val="center"/>
            <w:hideMark/>
          </w:tcPr>
          <w:p w:rsidR="00816E55" w:rsidRPr="00C62D0D" w:rsidRDefault="00816E55" w:rsidP="00C62D0D">
            <w:pPr>
              <w:pStyle w:val="Tablewriting"/>
            </w:pPr>
            <w:r w:rsidRPr="00C62D0D">
              <w:t>Did the review authors describe the included studies in adequate detail?</w:t>
            </w:r>
          </w:p>
        </w:tc>
        <w:tc>
          <w:tcPr>
            <w:tcW w:w="382" w:type="pct"/>
            <w:noWrap/>
            <w:vAlign w:val="center"/>
            <w:hideMark/>
          </w:tcPr>
          <w:p w:rsidR="00816E55" w:rsidRPr="00C62D0D" w:rsidRDefault="00816E55" w:rsidP="00C62D0D">
            <w:pPr>
              <w:pStyle w:val="Tablewriting"/>
            </w:pPr>
            <w:r w:rsidRPr="00C62D0D">
              <w:t>Yes</w:t>
            </w:r>
          </w:p>
        </w:tc>
        <w:tc>
          <w:tcPr>
            <w:tcW w:w="454" w:type="pct"/>
            <w:noWrap/>
            <w:vAlign w:val="center"/>
            <w:hideMark/>
          </w:tcPr>
          <w:p w:rsidR="00816E55" w:rsidRPr="00C62D0D" w:rsidRDefault="00816E55" w:rsidP="00C62D0D">
            <w:pPr>
              <w:pStyle w:val="Tablewriting"/>
            </w:pPr>
            <w:r w:rsidRPr="00C62D0D">
              <w:t>Yes</w:t>
            </w:r>
          </w:p>
        </w:tc>
        <w:tc>
          <w:tcPr>
            <w:tcW w:w="350" w:type="pct"/>
            <w:noWrap/>
            <w:vAlign w:val="center"/>
            <w:hideMark/>
          </w:tcPr>
          <w:p w:rsidR="00816E55" w:rsidRPr="00C62D0D" w:rsidRDefault="00816E55" w:rsidP="00C62D0D">
            <w:pPr>
              <w:pStyle w:val="Tablewriting"/>
            </w:pPr>
            <w:r w:rsidRPr="00C62D0D">
              <w:t>Yes</w:t>
            </w:r>
          </w:p>
        </w:tc>
        <w:tc>
          <w:tcPr>
            <w:tcW w:w="362" w:type="pct"/>
            <w:noWrap/>
            <w:vAlign w:val="center"/>
            <w:hideMark/>
          </w:tcPr>
          <w:p w:rsidR="00816E55" w:rsidRPr="00C62D0D" w:rsidRDefault="00816E55" w:rsidP="00C62D0D">
            <w:pPr>
              <w:pStyle w:val="Tablewriting"/>
            </w:pPr>
            <w:r w:rsidRPr="00C62D0D">
              <w:t>Yes</w:t>
            </w:r>
          </w:p>
        </w:tc>
        <w:tc>
          <w:tcPr>
            <w:tcW w:w="376" w:type="pct"/>
            <w:noWrap/>
            <w:vAlign w:val="center"/>
            <w:hideMark/>
          </w:tcPr>
          <w:p w:rsidR="00816E55" w:rsidRPr="00C62D0D" w:rsidRDefault="00816E55" w:rsidP="00C62D0D">
            <w:pPr>
              <w:pStyle w:val="Tablewriting"/>
            </w:pPr>
            <w:r w:rsidRPr="00C62D0D">
              <w:t>Yes</w:t>
            </w:r>
          </w:p>
        </w:tc>
        <w:tc>
          <w:tcPr>
            <w:tcW w:w="289" w:type="pct"/>
            <w:vAlign w:val="center"/>
            <w:hideMark/>
          </w:tcPr>
          <w:p w:rsidR="00816E55" w:rsidRPr="00C62D0D" w:rsidRDefault="00816E55" w:rsidP="00C62D0D">
            <w:pPr>
              <w:pStyle w:val="Tablewriting"/>
            </w:pPr>
            <w:r w:rsidRPr="00C62D0D">
              <w:t>Yes</w:t>
            </w:r>
          </w:p>
        </w:tc>
        <w:tc>
          <w:tcPr>
            <w:tcW w:w="256" w:type="pct"/>
            <w:vAlign w:val="center"/>
            <w:hideMark/>
          </w:tcPr>
          <w:p w:rsidR="00816E55" w:rsidRPr="00C62D0D" w:rsidRDefault="00816E55" w:rsidP="00C62D0D">
            <w:pPr>
              <w:pStyle w:val="Tablewriting"/>
            </w:pPr>
            <w:r w:rsidRPr="00C62D0D">
              <w:t>Yes</w:t>
            </w:r>
          </w:p>
        </w:tc>
      </w:tr>
      <w:tr w:rsidR="00816E55" w:rsidRPr="00C62D0D" w:rsidTr="000C2B11">
        <w:trPr>
          <w:trHeight w:val="70"/>
        </w:trPr>
        <w:tc>
          <w:tcPr>
            <w:tcW w:w="150" w:type="pct"/>
            <w:vAlign w:val="center"/>
            <w:hideMark/>
          </w:tcPr>
          <w:p w:rsidR="00816E55" w:rsidRPr="00C62D0D" w:rsidRDefault="00816E55" w:rsidP="00C62D0D">
            <w:pPr>
              <w:pStyle w:val="Tablewriting"/>
            </w:pPr>
            <w:r w:rsidRPr="00C62D0D">
              <w:t>9</w:t>
            </w:r>
          </w:p>
        </w:tc>
        <w:tc>
          <w:tcPr>
            <w:tcW w:w="2381" w:type="pct"/>
            <w:vAlign w:val="center"/>
            <w:hideMark/>
          </w:tcPr>
          <w:p w:rsidR="00816E55" w:rsidRPr="00C62D0D" w:rsidRDefault="00816E55" w:rsidP="00C62D0D">
            <w:pPr>
              <w:pStyle w:val="Tablewriting"/>
            </w:pPr>
            <w:r w:rsidRPr="00C62D0D">
              <w:t xml:space="preserve">Did the review authors use a satisfactory technique for assessing the risk of bias (RoB) in individual studies that were included in the review? </w:t>
            </w:r>
          </w:p>
        </w:tc>
        <w:tc>
          <w:tcPr>
            <w:tcW w:w="382" w:type="pct"/>
            <w:noWrap/>
            <w:vAlign w:val="center"/>
            <w:hideMark/>
          </w:tcPr>
          <w:p w:rsidR="00816E55" w:rsidRPr="00C62D0D" w:rsidRDefault="00816E55" w:rsidP="00C62D0D">
            <w:pPr>
              <w:pStyle w:val="Tablewriting"/>
            </w:pPr>
            <w:r w:rsidRPr="00C62D0D">
              <w:t>Yes</w:t>
            </w:r>
          </w:p>
        </w:tc>
        <w:tc>
          <w:tcPr>
            <w:tcW w:w="454" w:type="pct"/>
            <w:noWrap/>
            <w:vAlign w:val="center"/>
            <w:hideMark/>
          </w:tcPr>
          <w:p w:rsidR="00816E55" w:rsidRPr="00C62D0D" w:rsidRDefault="00816E55" w:rsidP="00C62D0D">
            <w:pPr>
              <w:pStyle w:val="Tablewriting"/>
            </w:pPr>
            <w:r w:rsidRPr="00C62D0D">
              <w:t>Yes</w:t>
            </w:r>
          </w:p>
        </w:tc>
        <w:tc>
          <w:tcPr>
            <w:tcW w:w="350" w:type="pct"/>
            <w:noWrap/>
            <w:vAlign w:val="center"/>
            <w:hideMark/>
          </w:tcPr>
          <w:p w:rsidR="00816E55" w:rsidRPr="00C62D0D" w:rsidRDefault="00816E55" w:rsidP="00C62D0D">
            <w:pPr>
              <w:pStyle w:val="Tablewriting"/>
            </w:pPr>
            <w:r w:rsidRPr="00C62D0D">
              <w:t>Yes</w:t>
            </w:r>
          </w:p>
        </w:tc>
        <w:tc>
          <w:tcPr>
            <w:tcW w:w="362" w:type="pct"/>
            <w:noWrap/>
            <w:vAlign w:val="center"/>
            <w:hideMark/>
          </w:tcPr>
          <w:p w:rsidR="00816E55" w:rsidRPr="00C62D0D" w:rsidRDefault="00816E55" w:rsidP="00C62D0D">
            <w:pPr>
              <w:pStyle w:val="Tablewriting"/>
            </w:pPr>
            <w:r w:rsidRPr="00C62D0D">
              <w:t>Yes</w:t>
            </w:r>
          </w:p>
        </w:tc>
        <w:tc>
          <w:tcPr>
            <w:tcW w:w="376" w:type="pct"/>
            <w:noWrap/>
            <w:vAlign w:val="center"/>
            <w:hideMark/>
          </w:tcPr>
          <w:p w:rsidR="00816E55" w:rsidRPr="00C62D0D" w:rsidRDefault="00816E55" w:rsidP="00C62D0D">
            <w:pPr>
              <w:pStyle w:val="Tablewriting"/>
            </w:pPr>
            <w:r w:rsidRPr="00C62D0D">
              <w:t>Yes</w:t>
            </w:r>
          </w:p>
        </w:tc>
        <w:tc>
          <w:tcPr>
            <w:tcW w:w="289" w:type="pct"/>
            <w:vAlign w:val="center"/>
            <w:hideMark/>
          </w:tcPr>
          <w:p w:rsidR="00816E55" w:rsidRPr="00C62D0D" w:rsidRDefault="00816E55" w:rsidP="00C62D0D">
            <w:pPr>
              <w:pStyle w:val="Tablewriting"/>
            </w:pPr>
            <w:r w:rsidRPr="00C62D0D">
              <w:t>Yes</w:t>
            </w:r>
          </w:p>
        </w:tc>
        <w:tc>
          <w:tcPr>
            <w:tcW w:w="256" w:type="pct"/>
            <w:vAlign w:val="center"/>
            <w:hideMark/>
          </w:tcPr>
          <w:p w:rsidR="00816E55" w:rsidRPr="00C62D0D" w:rsidRDefault="00816E55" w:rsidP="00C62D0D">
            <w:pPr>
              <w:pStyle w:val="Tablewriting"/>
            </w:pPr>
            <w:r w:rsidRPr="00C62D0D">
              <w:t>Yes</w:t>
            </w:r>
          </w:p>
        </w:tc>
      </w:tr>
      <w:tr w:rsidR="00816E55" w:rsidRPr="00C62D0D" w:rsidTr="000C2B11">
        <w:trPr>
          <w:trHeight w:val="317"/>
        </w:trPr>
        <w:tc>
          <w:tcPr>
            <w:tcW w:w="150" w:type="pct"/>
            <w:vAlign w:val="center"/>
            <w:hideMark/>
          </w:tcPr>
          <w:p w:rsidR="00816E55" w:rsidRPr="00C62D0D" w:rsidRDefault="00816E55" w:rsidP="00C62D0D">
            <w:pPr>
              <w:pStyle w:val="Tablewriting"/>
            </w:pPr>
            <w:r w:rsidRPr="00C62D0D">
              <w:t>10</w:t>
            </w:r>
          </w:p>
        </w:tc>
        <w:tc>
          <w:tcPr>
            <w:tcW w:w="2381" w:type="pct"/>
            <w:vAlign w:val="center"/>
            <w:hideMark/>
          </w:tcPr>
          <w:p w:rsidR="00816E55" w:rsidRPr="00C62D0D" w:rsidRDefault="00816E55" w:rsidP="00C62D0D">
            <w:pPr>
              <w:pStyle w:val="Tablewriting"/>
            </w:pPr>
            <w:r w:rsidRPr="00C62D0D">
              <w:t xml:space="preserve">Did the review authors report on the sources of funding for the studies included in the review? </w:t>
            </w:r>
          </w:p>
        </w:tc>
        <w:tc>
          <w:tcPr>
            <w:tcW w:w="382" w:type="pct"/>
            <w:vAlign w:val="center"/>
            <w:hideMark/>
          </w:tcPr>
          <w:p w:rsidR="00816E55" w:rsidRPr="00C62D0D" w:rsidRDefault="00816E55" w:rsidP="00C62D0D">
            <w:pPr>
              <w:pStyle w:val="Tablewriting"/>
            </w:pPr>
            <w:r w:rsidRPr="00C62D0D">
              <w:t>Yes</w:t>
            </w:r>
          </w:p>
        </w:tc>
        <w:tc>
          <w:tcPr>
            <w:tcW w:w="454" w:type="pct"/>
            <w:vAlign w:val="center"/>
            <w:hideMark/>
          </w:tcPr>
          <w:p w:rsidR="00816E55" w:rsidRPr="00C62D0D" w:rsidRDefault="00816E55" w:rsidP="00C62D0D">
            <w:pPr>
              <w:pStyle w:val="Tablewriting"/>
            </w:pPr>
            <w:r w:rsidRPr="00C62D0D">
              <w:t>Yes</w:t>
            </w:r>
          </w:p>
        </w:tc>
        <w:tc>
          <w:tcPr>
            <w:tcW w:w="350" w:type="pct"/>
            <w:vAlign w:val="center"/>
            <w:hideMark/>
          </w:tcPr>
          <w:p w:rsidR="00816E55" w:rsidRPr="00C62D0D" w:rsidRDefault="00816E55" w:rsidP="00C62D0D">
            <w:pPr>
              <w:pStyle w:val="Tablewriting"/>
            </w:pPr>
            <w:r w:rsidRPr="00C62D0D">
              <w:t>Yes</w:t>
            </w:r>
          </w:p>
        </w:tc>
        <w:tc>
          <w:tcPr>
            <w:tcW w:w="362" w:type="pct"/>
            <w:vAlign w:val="center"/>
            <w:hideMark/>
          </w:tcPr>
          <w:p w:rsidR="00816E55" w:rsidRPr="00C62D0D" w:rsidRDefault="00816E55" w:rsidP="00C62D0D">
            <w:pPr>
              <w:pStyle w:val="Tablewriting"/>
            </w:pPr>
            <w:r w:rsidRPr="00C62D0D">
              <w:t>Yes</w:t>
            </w:r>
          </w:p>
        </w:tc>
        <w:tc>
          <w:tcPr>
            <w:tcW w:w="376" w:type="pct"/>
            <w:vAlign w:val="center"/>
            <w:hideMark/>
          </w:tcPr>
          <w:p w:rsidR="00816E55" w:rsidRPr="00C62D0D" w:rsidRDefault="00816E55" w:rsidP="00C62D0D">
            <w:pPr>
              <w:pStyle w:val="Tablewriting"/>
            </w:pPr>
            <w:r w:rsidRPr="00C62D0D">
              <w:t>Yes</w:t>
            </w:r>
          </w:p>
        </w:tc>
        <w:tc>
          <w:tcPr>
            <w:tcW w:w="289" w:type="pct"/>
            <w:vAlign w:val="center"/>
            <w:hideMark/>
          </w:tcPr>
          <w:p w:rsidR="00816E55" w:rsidRPr="00C62D0D" w:rsidRDefault="00816E55" w:rsidP="00C62D0D">
            <w:pPr>
              <w:pStyle w:val="Tablewriting"/>
            </w:pPr>
            <w:r w:rsidRPr="00C62D0D">
              <w:t>Yes</w:t>
            </w:r>
          </w:p>
        </w:tc>
        <w:tc>
          <w:tcPr>
            <w:tcW w:w="256" w:type="pct"/>
            <w:vAlign w:val="center"/>
            <w:hideMark/>
          </w:tcPr>
          <w:p w:rsidR="00816E55" w:rsidRPr="00C62D0D" w:rsidRDefault="00816E55" w:rsidP="00C62D0D">
            <w:pPr>
              <w:pStyle w:val="Tablewriting"/>
            </w:pPr>
            <w:r w:rsidRPr="00C62D0D">
              <w:t>Yes</w:t>
            </w:r>
          </w:p>
        </w:tc>
      </w:tr>
      <w:tr w:rsidR="00816E55" w:rsidRPr="00C62D0D" w:rsidTr="000C2B11">
        <w:trPr>
          <w:trHeight w:val="132"/>
        </w:trPr>
        <w:tc>
          <w:tcPr>
            <w:tcW w:w="150" w:type="pct"/>
            <w:vAlign w:val="center"/>
            <w:hideMark/>
          </w:tcPr>
          <w:p w:rsidR="00816E55" w:rsidRPr="00C62D0D" w:rsidRDefault="00816E55" w:rsidP="00C62D0D">
            <w:pPr>
              <w:pStyle w:val="Tablewriting"/>
            </w:pPr>
            <w:r w:rsidRPr="00C62D0D">
              <w:t>11</w:t>
            </w:r>
          </w:p>
        </w:tc>
        <w:tc>
          <w:tcPr>
            <w:tcW w:w="2381" w:type="pct"/>
            <w:vAlign w:val="center"/>
            <w:hideMark/>
          </w:tcPr>
          <w:p w:rsidR="00816E55" w:rsidRPr="00C62D0D" w:rsidRDefault="00816E55" w:rsidP="00C62D0D">
            <w:pPr>
              <w:pStyle w:val="Tablewriting"/>
            </w:pPr>
            <w:r w:rsidRPr="00C62D0D">
              <w:t xml:space="preserve">If meta-analysis was performed did the review authors use appropriate methods for statistical combination of results? </w:t>
            </w:r>
          </w:p>
        </w:tc>
        <w:tc>
          <w:tcPr>
            <w:tcW w:w="382" w:type="pct"/>
            <w:vAlign w:val="center"/>
            <w:hideMark/>
          </w:tcPr>
          <w:p w:rsidR="00816E55" w:rsidRPr="00C62D0D" w:rsidRDefault="00816E55" w:rsidP="00C62D0D">
            <w:pPr>
              <w:pStyle w:val="Tablewriting"/>
            </w:pPr>
            <w:r w:rsidRPr="00C62D0D">
              <w:t>Yes</w:t>
            </w:r>
          </w:p>
        </w:tc>
        <w:tc>
          <w:tcPr>
            <w:tcW w:w="454" w:type="pct"/>
            <w:vAlign w:val="center"/>
            <w:hideMark/>
          </w:tcPr>
          <w:p w:rsidR="00816E55" w:rsidRPr="00C62D0D" w:rsidRDefault="00816E55" w:rsidP="00C62D0D">
            <w:pPr>
              <w:pStyle w:val="Tablewriting"/>
            </w:pPr>
            <w:r w:rsidRPr="00C62D0D">
              <w:t>Yes</w:t>
            </w:r>
          </w:p>
        </w:tc>
        <w:tc>
          <w:tcPr>
            <w:tcW w:w="350" w:type="pct"/>
            <w:vAlign w:val="center"/>
            <w:hideMark/>
          </w:tcPr>
          <w:p w:rsidR="00816E55" w:rsidRPr="00C62D0D" w:rsidRDefault="00816E55" w:rsidP="00C62D0D">
            <w:pPr>
              <w:pStyle w:val="Tablewriting"/>
            </w:pPr>
            <w:r w:rsidRPr="00C62D0D">
              <w:t>Yes</w:t>
            </w:r>
          </w:p>
        </w:tc>
        <w:tc>
          <w:tcPr>
            <w:tcW w:w="362" w:type="pct"/>
            <w:vAlign w:val="center"/>
            <w:hideMark/>
          </w:tcPr>
          <w:p w:rsidR="00816E55" w:rsidRPr="00C62D0D" w:rsidRDefault="00816E55" w:rsidP="00C62D0D">
            <w:pPr>
              <w:pStyle w:val="Tablewriting"/>
            </w:pPr>
            <w:r w:rsidRPr="00C62D0D">
              <w:t>Yes</w:t>
            </w:r>
          </w:p>
        </w:tc>
        <w:tc>
          <w:tcPr>
            <w:tcW w:w="376" w:type="pct"/>
            <w:vAlign w:val="center"/>
            <w:hideMark/>
          </w:tcPr>
          <w:p w:rsidR="00816E55" w:rsidRPr="00C62D0D" w:rsidRDefault="00816E55" w:rsidP="00C62D0D">
            <w:pPr>
              <w:pStyle w:val="Tablewriting"/>
            </w:pPr>
            <w:r w:rsidRPr="00C62D0D">
              <w:t>Yes</w:t>
            </w:r>
          </w:p>
        </w:tc>
        <w:tc>
          <w:tcPr>
            <w:tcW w:w="289" w:type="pct"/>
            <w:vAlign w:val="center"/>
            <w:hideMark/>
          </w:tcPr>
          <w:p w:rsidR="00816E55" w:rsidRPr="00C62D0D" w:rsidRDefault="00816E55" w:rsidP="00C62D0D">
            <w:pPr>
              <w:pStyle w:val="Tablewriting"/>
            </w:pPr>
            <w:r w:rsidRPr="00C62D0D">
              <w:t>Yes</w:t>
            </w:r>
          </w:p>
        </w:tc>
        <w:tc>
          <w:tcPr>
            <w:tcW w:w="256" w:type="pct"/>
            <w:vAlign w:val="center"/>
            <w:hideMark/>
          </w:tcPr>
          <w:p w:rsidR="00816E55" w:rsidRPr="00C62D0D" w:rsidRDefault="00816E55" w:rsidP="00C62D0D">
            <w:pPr>
              <w:pStyle w:val="Tablewriting"/>
            </w:pPr>
            <w:r w:rsidRPr="00C62D0D">
              <w:t>Yes</w:t>
            </w:r>
          </w:p>
        </w:tc>
      </w:tr>
      <w:tr w:rsidR="00816E55" w:rsidRPr="00C62D0D" w:rsidTr="000C2B11">
        <w:trPr>
          <w:trHeight w:val="750"/>
        </w:trPr>
        <w:tc>
          <w:tcPr>
            <w:tcW w:w="150" w:type="pct"/>
            <w:vAlign w:val="center"/>
            <w:hideMark/>
          </w:tcPr>
          <w:p w:rsidR="00816E55" w:rsidRPr="00C62D0D" w:rsidRDefault="00816E55" w:rsidP="00C62D0D">
            <w:pPr>
              <w:pStyle w:val="Tablewriting"/>
            </w:pPr>
            <w:r w:rsidRPr="00C62D0D">
              <w:lastRenderedPageBreak/>
              <w:t>12</w:t>
            </w:r>
          </w:p>
        </w:tc>
        <w:tc>
          <w:tcPr>
            <w:tcW w:w="2381" w:type="pct"/>
            <w:vAlign w:val="center"/>
            <w:hideMark/>
          </w:tcPr>
          <w:p w:rsidR="00816E55" w:rsidRPr="00C62D0D" w:rsidRDefault="00816E55" w:rsidP="00C62D0D">
            <w:pPr>
              <w:pStyle w:val="Tablewriting"/>
            </w:pPr>
            <w:r w:rsidRPr="00C62D0D">
              <w:t xml:space="preserve">If meta-analysis was performed, did the review authors assess the potential impact of RoB in individual studies on the results of the meta-analysis or other evidence synthesis? </w:t>
            </w:r>
          </w:p>
        </w:tc>
        <w:tc>
          <w:tcPr>
            <w:tcW w:w="382" w:type="pct"/>
            <w:vAlign w:val="center"/>
            <w:hideMark/>
          </w:tcPr>
          <w:p w:rsidR="00816E55" w:rsidRPr="00C62D0D" w:rsidRDefault="00816E55" w:rsidP="00C62D0D">
            <w:pPr>
              <w:pStyle w:val="Tablewriting"/>
            </w:pPr>
            <w:r w:rsidRPr="00C62D0D">
              <w:t>Yes</w:t>
            </w:r>
          </w:p>
        </w:tc>
        <w:tc>
          <w:tcPr>
            <w:tcW w:w="454" w:type="pct"/>
            <w:vAlign w:val="center"/>
            <w:hideMark/>
          </w:tcPr>
          <w:p w:rsidR="00816E55" w:rsidRPr="00C62D0D" w:rsidRDefault="00816E55" w:rsidP="00C62D0D">
            <w:pPr>
              <w:pStyle w:val="Tablewriting"/>
            </w:pPr>
            <w:r w:rsidRPr="00C62D0D">
              <w:t>Yes</w:t>
            </w:r>
          </w:p>
        </w:tc>
        <w:tc>
          <w:tcPr>
            <w:tcW w:w="350" w:type="pct"/>
            <w:vAlign w:val="center"/>
            <w:hideMark/>
          </w:tcPr>
          <w:p w:rsidR="00816E55" w:rsidRPr="00C62D0D" w:rsidRDefault="00816E55" w:rsidP="00C62D0D">
            <w:pPr>
              <w:pStyle w:val="Tablewriting"/>
            </w:pPr>
            <w:r w:rsidRPr="00C62D0D">
              <w:t>Yes</w:t>
            </w:r>
          </w:p>
        </w:tc>
        <w:tc>
          <w:tcPr>
            <w:tcW w:w="362" w:type="pct"/>
            <w:vAlign w:val="center"/>
            <w:hideMark/>
          </w:tcPr>
          <w:p w:rsidR="00816E55" w:rsidRPr="00C62D0D" w:rsidRDefault="00816E55" w:rsidP="00C62D0D">
            <w:pPr>
              <w:pStyle w:val="Tablewriting"/>
            </w:pPr>
            <w:r w:rsidRPr="00C62D0D">
              <w:t>Yes</w:t>
            </w:r>
          </w:p>
        </w:tc>
        <w:tc>
          <w:tcPr>
            <w:tcW w:w="376" w:type="pct"/>
            <w:vAlign w:val="center"/>
            <w:hideMark/>
          </w:tcPr>
          <w:p w:rsidR="00816E55" w:rsidRPr="00C62D0D" w:rsidRDefault="00816E55" w:rsidP="00C62D0D">
            <w:pPr>
              <w:pStyle w:val="Tablewriting"/>
            </w:pPr>
            <w:r w:rsidRPr="00C62D0D">
              <w:t>Yes</w:t>
            </w:r>
          </w:p>
        </w:tc>
        <w:tc>
          <w:tcPr>
            <w:tcW w:w="289" w:type="pct"/>
            <w:vAlign w:val="center"/>
            <w:hideMark/>
          </w:tcPr>
          <w:p w:rsidR="00816E55" w:rsidRPr="00C62D0D" w:rsidRDefault="00816E55" w:rsidP="00C62D0D">
            <w:pPr>
              <w:pStyle w:val="Tablewriting"/>
            </w:pPr>
            <w:r w:rsidRPr="00C62D0D">
              <w:t>Yes</w:t>
            </w:r>
          </w:p>
        </w:tc>
        <w:tc>
          <w:tcPr>
            <w:tcW w:w="256" w:type="pct"/>
            <w:vAlign w:val="center"/>
            <w:hideMark/>
          </w:tcPr>
          <w:p w:rsidR="00816E55" w:rsidRPr="00C62D0D" w:rsidRDefault="00816E55" w:rsidP="00C62D0D">
            <w:pPr>
              <w:pStyle w:val="Tablewriting"/>
            </w:pPr>
            <w:r w:rsidRPr="00C62D0D">
              <w:t>Yes</w:t>
            </w:r>
          </w:p>
        </w:tc>
      </w:tr>
      <w:tr w:rsidR="00816E55" w:rsidRPr="00C62D0D" w:rsidTr="000C2B11">
        <w:trPr>
          <w:trHeight w:val="292"/>
        </w:trPr>
        <w:tc>
          <w:tcPr>
            <w:tcW w:w="150" w:type="pct"/>
            <w:vAlign w:val="center"/>
            <w:hideMark/>
          </w:tcPr>
          <w:p w:rsidR="00816E55" w:rsidRPr="00C62D0D" w:rsidRDefault="00816E55" w:rsidP="00C62D0D">
            <w:pPr>
              <w:pStyle w:val="Tablewriting"/>
            </w:pPr>
            <w:r w:rsidRPr="00C62D0D">
              <w:t>13</w:t>
            </w:r>
          </w:p>
        </w:tc>
        <w:tc>
          <w:tcPr>
            <w:tcW w:w="2381" w:type="pct"/>
            <w:vAlign w:val="center"/>
            <w:hideMark/>
          </w:tcPr>
          <w:p w:rsidR="00816E55" w:rsidRPr="00C62D0D" w:rsidRDefault="00816E55" w:rsidP="00C62D0D">
            <w:pPr>
              <w:pStyle w:val="Tablewriting"/>
            </w:pPr>
            <w:r w:rsidRPr="00C62D0D">
              <w:t xml:space="preserve">Did the review authors account for RoB in individual studies when interpreting/ discussing the results of the review? </w:t>
            </w:r>
          </w:p>
        </w:tc>
        <w:tc>
          <w:tcPr>
            <w:tcW w:w="382" w:type="pct"/>
            <w:vAlign w:val="center"/>
            <w:hideMark/>
          </w:tcPr>
          <w:p w:rsidR="00816E55" w:rsidRPr="00C62D0D" w:rsidRDefault="00816E55" w:rsidP="00C62D0D">
            <w:pPr>
              <w:pStyle w:val="Tablewriting"/>
            </w:pPr>
            <w:r w:rsidRPr="00C62D0D">
              <w:t>Yes</w:t>
            </w:r>
          </w:p>
        </w:tc>
        <w:tc>
          <w:tcPr>
            <w:tcW w:w="454" w:type="pct"/>
            <w:vAlign w:val="center"/>
            <w:hideMark/>
          </w:tcPr>
          <w:p w:rsidR="00816E55" w:rsidRPr="00C62D0D" w:rsidRDefault="00816E55" w:rsidP="00C62D0D">
            <w:pPr>
              <w:pStyle w:val="Tablewriting"/>
            </w:pPr>
            <w:r w:rsidRPr="00C62D0D">
              <w:t>Yes</w:t>
            </w:r>
          </w:p>
        </w:tc>
        <w:tc>
          <w:tcPr>
            <w:tcW w:w="350" w:type="pct"/>
            <w:vAlign w:val="center"/>
            <w:hideMark/>
          </w:tcPr>
          <w:p w:rsidR="00816E55" w:rsidRPr="00C62D0D" w:rsidRDefault="00816E55" w:rsidP="00C62D0D">
            <w:pPr>
              <w:pStyle w:val="Tablewriting"/>
            </w:pPr>
            <w:r w:rsidRPr="00C62D0D">
              <w:t>Yes</w:t>
            </w:r>
          </w:p>
        </w:tc>
        <w:tc>
          <w:tcPr>
            <w:tcW w:w="362" w:type="pct"/>
            <w:vAlign w:val="center"/>
            <w:hideMark/>
          </w:tcPr>
          <w:p w:rsidR="00816E55" w:rsidRPr="00C62D0D" w:rsidRDefault="00816E55" w:rsidP="00C62D0D">
            <w:pPr>
              <w:pStyle w:val="Tablewriting"/>
            </w:pPr>
            <w:r w:rsidRPr="00C62D0D">
              <w:t>Yes</w:t>
            </w:r>
          </w:p>
        </w:tc>
        <w:tc>
          <w:tcPr>
            <w:tcW w:w="376" w:type="pct"/>
            <w:vAlign w:val="center"/>
            <w:hideMark/>
          </w:tcPr>
          <w:p w:rsidR="00816E55" w:rsidRPr="00C62D0D" w:rsidRDefault="00816E55" w:rsidP="00C62D0D">
            <w:pPr>
              <w:pStyle w:val="Tablewriting"/>
            </w:pPr>
            <w:r w:rsidRPr="00C62D0D">
              <w:t>Yes</w:t>
            </w:r>
          </w:p>
        </w:tc>
        <w:tc>
          <w:tcPr>
            <w:tcW w:w="289" w:type="pct"/>
            <w:vAlign w:val="center"/>
            <w:hideMark/>
          </w:tcPr>
          <w:p w:rsidR="00816E55" w:rsidRPr="00C62D0D" w:rsidRDefault="00816E55" w:rsidP="00C62D0D">
            <w:pPr>
              <w:pStyle w:val="Tablewriting"/>
            </w:pPr>
            <w:r w:rsidRPr="00C62D0D">
              <w:t>Yes</w:t>
            </w:r>
          </w:p>
        </w:tc>
        <w:tc>
          <w:tcPr>
            <w:tcW w:w="256" w:type="pct"/>
            <w:vAlign w:val="center"/>
            <w:hideMark/>
          </w:tcPr>
          <w:p w:rsidR="00816E55" w:rsidRPr="00C62D0D" w:rsidRDefault="00816E55" w:rsidP="00C62D0D">
            <w:pPr>
              <w:pStyle w:val="Tablewriting"/>
            </w:pPr>
            <w:r w:rsidRPr="00C62D0D">
              <w:t>Yes</w:t>
            </w:r>
          </w:p>
        </w:tc>
      </w:tr>
      <w:tr w:rsidR="00816E55" w:rsidRPr="00C62D0D" w:rsidTr="000C2B11">
        <w:trPr>
          <w:trHeight w:val="213"/>
        </w:trPr>
        <w:tc>
          <w:tcPr>
            <w:tcW w:w="150" w:type="pct"/>
            <w:vAlign w:val="center"/>
            <w:hideMark/>
          </w:tcPr>
          <w:p w:rsidR="00816E55" w:rsidRPr="00C62D0D" w:rsidRDefault="00816E55" w:rsidP="00C62D0D">
            <w:pPr>
              <w:pStyle w:val="Tablewriting"/>
            </w:pPr>
            <w:r w:rsidRPr="00C62D0D">
              <w:t>14</w:t>
            </w:r>
          </w:p>
        </w:tc>
        <w:tc>
          <w:tcPr>
            <w:tcW w:w="2381" w:type="pct"/>
            <w:vAlign w:val="center"/>
            <w:hideMark/>
          </w:tcPr>
          <w:p w:rsidR="00816E55" w:rsidRPr="00C62D0D" w:rsidRDefault="00816E55" w:rsidP="00C62D0D">
            <w:pPr>
              <w:pStyle w:val="Tablewriting"/>
            </w:pPr>
            <w:r w:rsidRPr="00C62D0D">
              <w:t xml:space="preserve">Did the review authors provide a satisfactory explanation for, and discussion of, any heterogeneity observed in the results of the review? </w:t>
            </w:r>
          </w:p>
        </w:tc>
        <w:tc>
          <w:tcPr>
            <w:tcW w:w="382" w:type="pct"/>
            <w:vAlign w:val="center"/>
            <w:hideMark/>
          </w:tcPr>
          <w:p w:rsidR="00816E55" w:rsidRPr="00C62D0D" w:rsidRDefault="00816E55" w:rsidP="00C62D0D">
            <w:pPr>
              <w:pStyle w:val="Tablewriting"/>
            </w:pPr>
            <w:r w:rsidRPr="00C62D0D">
              <w:t>Yes</w:t>
            </w:r>
          </w:p>
        </w:tc>
        <w:tc>
          <w:tcPr>
            <w:tcW w:w="454" w:type="pct"/>
            <w:vAlign w:val="center"/>
            <w:hideMark/>
          </w:tcPr>
          <w:p w:rsidR="00816E55" w:rsidRPr="00C62D0D" w:rsidRDefault="00816E55" w:rsidP="00C62D0D">
            <w:pPr>
              <w:pStyle w:val="Tablewriting"/>
            </w:pPr>
            <w:r w:rsidRPr="00C62D0D">
              <w:t>Yes</w:t>
            </w:r>
          </w:p>
        </w:tc>
        <w:tc>
          <w:tcPr>
            <w:tcW w:w="350" w:type="pct"/>
            <w:vAlign w:val="center"/>
            <w:hideMark/>
          </w:tcPr>
          <w:p w:rsidR="00816E55" w:rsidRPr="00C62D0D" w:rsidRDefault="00816E55" w:rsidP="00C62D0D">
            <w:pPr>
              <w:pStyle w:val="Tablewriting"/>
            </w:pPr>
            <w:r w:rsidRPr="00C62D0D">
              <w:t>Yes</w:t>
            </w:r>
          </w:p>
        </w:tc>
        <w:tc>
          <w:tcPr>
            <w:tcW w:w="362" w:type="pct"/>
            <w:vAlign w:val="center"/>
            <w:hideMark/>
          </w:tcPr>
          <w:p w:rsidR="00816E55" w:rsidRPr="00C62D0D" w:rsidRDefault="00816E55" w:rsidP="00C62D0D">
            <w:pPr>
              <w:pStyle w:val="Tablewriting"/>
            </w:pPr>
            <w:r w:rsidRPr="00C62D0D">
              <w:t>Yes</w:t>
            </w:r>
          </w:p>
        </w:tc>
        <w:tc>
          <w:tcPr>
            <w:tcW w:w="376" w:type="pct"/>
            <w:vAlign w:val="center"/>
            <w:hideMark/>
          </w:tcPr>
          <w:p w:rsidR="00816E55" w:rsidRPr="00C62D0D" w:rsidRDefault="00816E55" w:rsidP="00C62D0D">
            <w:pPr>
              <w:pStyle w:val="Tablewriting"/>
            </w:pPr>
            <w:r w:rsidRPr="00C62D0D">
              <w:t>Yes</w:t>
            </w:r>
          </w:p>
        </w:tc>
        <w:tc>
          <w:tcPr>
            <w:tcW w:w="289" w:type="pct"/>
            <w:vAlign w:val="center"/>
            <w:hideMark/>
          </w:tcPr>
          <w:p w:rsidR="00816E55" w:rsidRPr="00C62D0D" w:rsidRDefault="00816E55" w:rsidP="00C62D0D">
            <w:pPr>
              <w:pStyle w:val="Tablewriting"/>
            </w:pPr>
            <w:r w:rsidRPr="00C62D0D">
              <w:t>Yes</w:t>
            </w:r>
          </w:p>
        </w:tc>
        <w:tc>
          <w:tcPr>
            <w:tcW w:w="256" w:type="pct"/>
            <w:vAlign w:val="center"/>
            <w:hideMark/>
          </w:tcPr>
          <w:p w:rsidR="00816E55" w:rsidRPr="00C62D0D" w:rsidRDefault="00816E55" w:rsidP="00C62D0D">
            <w:pPr>
              <w:pStyle w:val="Tablewriting"/>
            </w:pPr>
            <w:r w:rsidRPr="00C62D0D">
              <w:t>Yes</w:t>
            </w:r>
          </w:p>
        </w:tc>
      </w:tr>
      <w:tr w:rsidR="00816E55" w:rsidRPr="00C62D0D" w:rsidTr="000C2B11">
        <w:trPr>
          <w:trHeight w:val="149"/>
        </w:trPr>
        <w:tc>
          <w:tcPr>
            <w:tcW w:w="150" w:type="pct"/>
            <w:vAlign w:val="center"/>
            <w:hideMark/>
          </w:tcPr>
          <w:p w:rsidR="00816E55" w:rsidRPr="00C62D0D" w:rsidRDefault="00816E55" w:rsidP="00C62D0D">
            <w:pPr>
              <w:pStyle w:val="Tablewriting"/>
            </w:pPr>
            <w:r w:rsidRPr="00C62D0D">
              <w:t>15</w:t>
            </w:r>
          </w:p>
        </w:tc>
        <w:tc>
          <w:tcPr>
            <w:tcW w:w="2381" w:type="pct"/>
            <w:vAlign w:val="center"/>
            <w:hideMark/>
          </w:tcPr>
          <w:p w:rsidR="00816E55" w:rsidRPr="00C62D0D" w:rsidRDefault="00816E55" w:rsidP="00C62D0D">
            <w:pPr>
              <w:pStyle w:val="Tablewriting"/>
            </w:pPr>
            <w:r w:rsidRPr="00C62D0D">
              <w:t xml:space="preserve">If they performed quantitative synthesis did the review authors carry out an adequate investigation of publication bias (small study bias) and discuss its likely impact on the results of the review? </w:t>
            </w:r>
          </w:p>
        </w:tc>
        <w:tc>
          <w:tcPr>
            <w:tcW w:w="382" w:type="pct"/>
            <w:vAlign w:val="center"/>
            <w:hideMark/>
          </w:tcPr>
          <w:p w:rsidR="00816E55" w:rsidRPr="00C62D0D" w:rsidRDefault="00816E55" w:rsidP="00C62D0D">
            <w:pPr>
              <w:pStyle w:val="Tablewriting"/>
            </w:pPr>
            <w:r w:rsidRPr="00C62D0D">
              <w:t>Yes</w:t>
            </w:r>
          </w:p>
        </w:tc>
        <w:tc>
          <w:tcPr>
            <w:tcW w:w="454" w:type="pct"/>
            <w:vAlign w:val="center"/>
            <w:hideMark/>
          </w:tcPr>
          <w:p w:rsidR="00816E55" w:rsidRPr="00C62D0D" w:rsidRDefault="00816E55" w:rsidP="00C62D0D">
            <w:pPr>
              <w:pStyle w:val="Tablewriting"/>
            </w:pPr>
            <w:r w:rsidRPr="00C62D0D">
              <w:t>Yes</w:t>
            </w:r>
          </w:p>
        </w:tc>
        <w:tc>
          <w:tcPr>
            <w:tcW w:w="350" w:type="pct"/>
            <w:vAlign w:val="center"/>
            <w:hideMark/>
          </w:tcPr>
          <w:p w:rsidR="00816E55" w:rsidRPr="00C62D0D" w:rsidRDefault="00816E55" w:rsidP="00C62D0D">
            <w:pPr>
              <w:pStyle w:val="Tablewriting"/>
            </w:pPr>
            <w:r w:rsidRPr="00C62D0D">
              <w:t>Yes</w:t>
            </w:r>
          </w:p>
        </w:tc>
        <w:tc>
          <w:tcPr>
            <w:tcW w:w="362" w:type="pct"/>
            <w:vAlign w:val="center"/>
            <w:hideMark/>
          </w:tcPr>
          <w:p w:rsidR="00816E55" w:rsidRPr="00C62D0D" w:rsidRDefault="00816E55" w:rsidP="00C62D0D">
            <w:pPr>
              <w:pStyle w:val="Tablewriting"/>
            </w:pPr>
            <w:r w:rsidRPr="00C62D0D">
              <w:t>Yes</w:t>
            </w:r>
          </w:p>
        </w:tc>
        <w:tc>
          <w:tcPr>
            <w:tcW w:w="376" w:type="pct"/>
            <w:vAlign w:val="center"/>
            <w:hideMark/>
          </w:tcPr>
          <w:p w:rsidR="00816E55" w:rsidRPr="00C62D0D" w:rsidRDefault="00816E55" w:rsidP="00C62D0D">
            <w:pPr>
              <w:pStyle w:val="Tablewriting"/>
            </w:pPr>
            <w:r w:rsidRPr="00C62D0D">
              <w:t>Yes</w:t>
            </w:r>
          </w:p>
        </w:tc>
        <w:tc>
          <w:tcPr>
            <w:tcW w:w="289" w:type="pct"/>
            <w:vAlign w:val="center"/>
            <w:hideMark/>
          </w:tcPr>
          <w:p w:rsidR="00816E55" w:rsidRPr="00C62D0D" w:rsidRDefault="00816E55" w:rsidP="00C62D0D">
            <w:pPr>
              <w:pStyle w:val="Tablewriting"/>
            </w:pPr>
            <w:r w:rsidRPr="00C62D0D">
              <w:t>Yes</w:t>
            </w:r>
          </w:p>
        </w:tc>
        <w:tc>
          <w:tcPr>
            <w:tcW w:w="256" w:type="pct"/>
            <w:vAlign w:val="center"/>
            <w:hideMark/>
          </w:tcPr>
          <w:p w:rsidR="00816E55" w:rsidRPr="00C62D0D" w:rsidRDefault="00816E55" w:rsidP="00C62D0D">
            <w:pPr>
              <w:pStyle w:val="Tablewriting"/>
            </w:pPr>
            <w:r w:rsidRPr="00C62D0D">
              <w:t>Yes</w:t>
            </w:r>
          </w:p>
        </w:tc>
      </w:tr>
      <w:tr w:rsidR="00816E55" w:rsidRPr="00C62D0D" w:rsidTr="000C2B11">
        <w:trPr>
          <w:trHeight w:val="750"/>
        </w:trPr>
        <w:tc>
          <w:tcPr>
            <w:tcW w:w="150" w:type="pct"/>
            <w:vAlign w:val="center"/>
            <w:hideMark/>
          </w:tcPr>
          <w:p w:rsidR="00816E55" w:rsidRPr="00C62D0D" w:rsidRDefault="00816E55" w:rsidP="00C62D0D">
            <w:pPr>
              <w:pStyle w:val="Tablewriting"/>
            </w:pPr>
            <w:r w:rsidRPr="00C62D0D">
              <w:t>16</w:t>
            </w:r>
          </w:p>
        </w:tc>
        <w:tc>
          <w:tcPr>
            <w:tcW w:w="2381" w:type="pct"/>
            <w:vAlign w:val="center"/>
            <w:hideMark/>
          </w:tcPr>
          <w:p w:rsidR="00816E55" w:rsidRPr="00C62D0D" w:rsidRDefault="00816E55" w:rsidP="00C62D0D">
            <w:pPr>
              <w:pStyle w:val="Tablewriting"/>
            </w:pPr>
            <w:r w:rsidRPr="00C62D0D">
              <w:t xml:space="preserve">Did the review authors report any potential sources of conflict of interest, including any funding they received for conducting the review? </w:t>
            </w:r>
          </w:p>
        </w:tc>
        <w:tc>
          <w:tcPr>
            <w:tcW w:w="382" w:type="pct"/>
            <w:vAlign w:val="center"/>
            <w:hideMark/>
          </w:tcPr>
          <w:p w:rsidR="00816E55" w:rsidRPr="00C62D0D" w:rsidRDefault="00816E55" w:rsidP="00C62D0D">
            <w:pPr>
              <w:pStyle w:val="Tablewriting"/>
            </w:pPr>
            <w:r w:rsidRPr="00C62D0D">
              <w:t>Yes</w:t>
            </w:r>
          </w:p>
        </w:tc>
        <w:tc>
          <w:tcPr>
            <w:tcW w:w="454" w:type="pct"/>
            <w:vAlign w:val="center"/>
            <w:hideMark/>
          </w:tcPr>
          <w:p w:rsidR="00816E55" w:rsidRPr="00C62D0D" w:rsidRDefault="00816E55" w:rsidP="00C62D0D">
            <w:pPr>
              <w:pStyle w:val="Tablewriting"/>
            </w:pPr>
            <w:r w:rsidRPr="00C62D0D">
              <w:t>Yes</w:t>
            </w:r>
          </w:p>
        </w:tc>
        <w:tc>
          <w:tcPr>
            <w:tcW w:w="350" w:type="pct"/>
            <w:vAlign w:val="center"/>
            <w:hideMark/>
          </w:tcPr>
          <w:p w:rsidR="00816E55" w:rsidRPr="00C62D0D" w:rsidRDefault="00816E55" w:rsidP="00C62D0D">
            <w:pPr>
              <w:pStyle w:val="Tablewriting"/>
            </w:pPr>
            <w:r w:rsidRPr="00C62D0D">
              <w:t>Yes</w:t>
            </w:r>
          </w:p>
        </w:tc>
        <w:tc>
          <w:tcPr>
            <w:tcW w:w="362" w:type="pct"/>
            <w:vAlign w:val="center"/>
            <w:hideMark/>
          </w:tcPr>
          <w:p w:rsidR="00816E55" w:rsidRPr="00C62D0D" w:rsidRDefault="00816E55" w:rsidP="00C62D0D">
            <w:pPr>
              <w:pStyle w:val="Tablewriting"/>
            </w:pPr>
            <w:r w:rsidRPr="00C62D0D">
              <w:t>Yes</w:t>
            </w:r>
          </w:p>
        </w:tc>
        <w:tc>
          <w:tcPr>
            <w:tcW w:w="376" w:type="pct"/>
            <w:vAlign w:val="center"/>
            <w:hideMark/>
          </w:tcPr>
          <w:p w:rsidR="00816E55" w:rsidRPr="00C62D0D" w:rsidRDefault="00816E55" w:rsidP="00C62D0D">
            <w:pPr>
              <w:pStyle w:val="Tablewriting"/>
            </w:pPr>
            <w:r w:rsidRPr="00C62D0D">
              <w:t>Yes</w:t>
            </w:r>
          </w:p>
        </w:tc>
        <w:tc>
          <w:tcPr>
            <w:tcW w:w="289" w:type="pct"/>
            <w:vAlign w:val="center"/>
            <w:hideMark/>
          </w:tcPr>
          <w:p w:rsidR="00816E55" w:rsidRPr="00C62D0D" w:rsidRDefault="00816E55" w:rsidP="00C62D0D">
            <w:pPr>
              <w:pStyle w:val="Tablewriting"/>
            </w:pPr>
            <w:r w:rsidRPr="00C62D0D">
              <w:t>Yes</w:t>
            </w:r>
          </w:p>
        </w:tc>
        <w:tc>
          <w:tcPr>
            <w:tcW w:w="256" w:type="pct"/>
            <w:vAlign w:val="center"/>
            <w:hideMark/>
          </w:tcPr>
          <w:p w:rsidR="00816E55" w:rsidRPr="00C62D0D" w:rsidRDefault="00816E55" w:rsidP="00C62D0D">
            <w:pPr>
              <w:pStyle w:val="Tablewriting"/>
            </w:pPr>
            <w:r w:rsidRPr="00C62D0D">
              <w:t>Yes</w:t>
            </w:r>
          </w:p>
        </w:tc>
      </w:tr>
    </w:tbl>
    <w:p w:rsidR="00404D7A" w:rsidRDefault="00C269D8" w:rsidP="007A4CBA">
      <w:pPr>
        <w:pStyle w:val="TableFooter"/>
      </w:pPr>
      <w:r>
        <w:t xml:space="preserve">Abbreviations: AMSTAR = </w:t>
      </w:r>
      <w:r w:rsidRPr="00C269D8">
        <w:t>Assessing the Methodological Quality of Systematic Reviews</w:t>
      </w:r>
      <w:r>
        <w:t>;</w:t>
      </w:r>
      <w:r w:rsidRPr="00C269D8">
        <w:t xml:space="preserve"> </w:t>
      </w:r>
      <w:r>
        <w:t>RoB = risk of bias</w:t>
      </w:r>
    </w:p>
    <w:p w:rsidR="00C202F1" w:rsidRPr="00701DEA" w:rsidRDefault="00C202F1" w:rsidP="007A4CBA">
      <w:pPr>
        <w:pStyle w:val="TableFooter"/>
      </w:pPr>
    </w:p>
    <w:p w:rsidR="00294174" w:rsidRDefault="003B1140" w:rsidP="00FF725F">
      <w:pPr>
        <w:pStyle w:val="Heading3"/>
        <w:numPr>
          <w:ilvl w:val="0"/>
          <w:numId w:val="0"/>
        </w:numPr>
      </w:pPr>
      <w:bookmarkStart w:id="351" w:name="_Toc72850871"/>
      <w:bookmarkStart w:id="352" w:name="_Toc73525636"/>
      <w:r>
        <w:t>A.</w:t>
      </w:r>
      <w:r w:rsidR="00120334">
        <w:t>6</w:t>
      </w:r>
      <w:r w:rsidR="00701DEA">
        <w:t xml:space="preserve"> </w:t>
      </w:r>
      <w:r w:rsidR="00FD59DC">
        <w:t>Characteristics</w:t>
      </w:r>
      <w:r w:rsidR="00AC6E8A">
        <w:t xml:space="preserve"> of non-Cochrane systematic reviews</w:t>
      </w:r>
      <w:bookmarkEnd w:id="351"/>
      <w:bookmarkEnd w:id="352"/>
    </w:p>
    <w:p w:rsidR="006A4263" w:rsidRDefault="006A4263" w:rsidP="00FF725F">
      <w:pPr>
        <w:pStyle w:val="Caption"/>
        <w:keepNext/>
      </w:pPr>
      <w:bookmarkStart w:id="353" w:name="_Ref61472324"/>
      <w:r>
        <w:t xml:space="preserve">Table </w:t>
      </w:r>
      <w:r w:rsidR="003C4A1C">
        <w:rPr>
          <w:noProof/>
        </w:rPr>
        <w:t>140</w:t>
      </w:r>
      <w:bookmarkEnd w:id="353"/>
      <w:r>
        <w:t xml:space="preserve">: </w:t>
      </w:r>
      <w:r w:rsidRPr="008F57B9">
        <w:t>Characteristics of non-Cochrane systematic reviews</w:t>
      </w:r>
      <w:r>
        <w:t xml:space="preserve"> included in qualitative synthesis </w:t>
      </w:r>
      <w:r w:rsidR="003B6885">
        <w:t>(n=3)</w:t>
      </w:r>
    </w:p>
    <w:tbl>
      <w:tblPr>
        <w:tblStyle w:val="TableGrid"/>
        <w:tblW w:w="0" w:type="auto"/>
        <w:tblLayout w:type="fixed"/>
        <w:tblLook w:val="04A0" w:firstRow="1" w:lastRow="0" w:firstColumn="1" w:lastColumn="0" w:noHBand="0" w:noVBand="1"/>
      </w:tblPr>
      <w:tblGrid>
        <w:gridCol w:w="421"/>
        <w:gridCol w:w="992"/>
        <w:gridCol w:w="1209"/>
        <w:gridCol w:w="1447"/>
        <w:gridCol w:w="1617"/>
        <w:gridCol w:w="1251"/>
        <w:gridCol w:w="1197"/>
        <w:gridCol w:w="1745"/>
        <w:gridCol w:w="880"/>
        <w:gridCol w:w="1143"/>
        <w:gridCol w:w="1418"/>
      </w:tblGrid>
      <w:tr w:rsidR="00536754" w:rsidRPr="00C202F1" w:rsidTr="00693DA2">
        <w:trPr>
          <w:tblHeader/>
        </w:trPr>
        <w:tc>
          <w:tcPr>
            <w:tcW w:w="421" w:type="dxa"/>
            <w:vMerge w:val="restart"/>
            <w:shd w:val="clear" w:color="auto" w:fill="BFBFBF" w:themeFill="background1" w:themeFillShade="BF"/>
            <w:noWrap/>
          </w:tcPr>
          <w:p w:rsidR="00536754" w:rsidRPr="00C202F1" w:rsidRDefault="00536754" w:rsidP="00693DA2">
            <w:pPr>
              <w:rPr>
                <w:rFonts w:asciiTheme="minorHAnsi" w:hAnsiTheme="minorHAnsi" w:cstheme="minorHAnsi"/>
                <w:b/>
                <w:bCs/>
                <w:sz w:val="18"/>
                <w:szCs w:val="18"/>
              </w:rPr>
            </w:pPr>
            <w:r w:rsidRPr="00C202F1">
              <w:rPr>
                <w:rFonts w:asciiTheme="minorHAnsi" w:hAnsiTheme="minorHAnsi" w:cstheme="minorHAnsi"/>
                <w:b/>
                <w:bCs/>
                <w:sz w:val="18"/>
                <w:szCs w:val="18"/>
              </w:rPr>
              <w:t>No</w:t>
            </w:r>
          </w:p>
        </w:tc>
        <w:tc>
          <w:tcPr>
            <w:tcW w:w="992" w:type="dxa"/>
            <w:vMerge w:val="restart"/>
            <w:shd w:val="clear" w:color="auto" w:fill="BFBFBF" w:themeFill="background1" w:themeFillShade="BF"/>
            <w:noWrap/>
          </w:tcPr>
          <w:p w:rsidR="00536754" w:rsidRPr="00C202F1" w:rsidRDefault="00536754" w:rsidP="00693DA2">
            <w:pPr>
              <w:rPr>
                <w:rFonts w:asciiTheme="minorHAnsi" w:hAnsiTheme="minorHAnsi" w:cstheme="minorHAnsi"/>
                <w:b/>
                <w:bCs/>
                <w:sz w:val="18"/>
                <w:szCs w:val="18"/>
              </w:rPr>
            </w:pPr>
            <w:r w:rsidRPr="00C202F1">
              <w:rPr>
                <w:rFonts w:asciiTheme="minorHAnsi" w:hAnsiTheme="minorHAnsi" w:cstheme="minorHAnsi"/>
                <w:b/>
                <w:bCs/>
                <w:sz w:val="18"/>
                <w:szCs w:val="18"/>
              </w:rPr>
              <w:t>Author (year)</w:t>
            </w:r>
          </w:p>
        </w:tc>
        <w:tc>
          <w:tcPr>
            <w:tcW w:w="1209" w:type="dxa"/>
            <w:vMerge w:val="restart"/>
            <w:shd w:val="clear" w:color="auto" w:fill="BFBFBF" w:themeFill="background1" w:themeFillShade="BF"/>
            <w:noWrap/>
          </w:tcPr>
          <w:p w:rsidR="00536754" w:rsidRPr="00C202F1" w:rsidRDefault="00536754" w:rsidP="00693DA2">
            <w:pPr>
              <w:ind w:left="360"/>
              <w:jc w:val="center"/>
              <w:rPr>
                <w:rFonts w:asciiTheme="minorHAnsi" w:hAnsiTheme="minorHAnsi" w:cstheme="minorHAnsi"/>
                <w:b/>
                <w:bCs/>
                <w:sz w:val="18"/>
                <w:szCs w:val="18"/>
              </w:rPr>
            </w:pPr>
            <w:r w:rsidRPr="00C202F1">
              <w:rPr>
                <w:rFonts w:asciiTheme="minorHAnsi" w:hAnsiTheme="minorHAnsi" w:cstheme="minorHAnsi"/>
                <w:b/>
                <w:bCs/>
                <w:sz w:val="18"/>
                <w:szCs w:val="18"/>
              </w:rPr>
              <w:t>Aim</w:t>
            </w:r>
          </w:p>
        </w:tc>
        <w:tc>
          <w:tcPr>
            <w:tcW w:w="1447" w:type="dxa"/>
            <w:vMerge w:val="restart"/>
            <w:shd w:val="clear" w:color="auto" w:fill="BFBFBF" w:themeFill="background1" w:themeFillShade="BF"/>
            <w:noWrap/>
          </w:tcPr>
          <w:p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Type of studies and participants</w:t>
            </w:r>
          </w:p>
        </w:tc>
        <w:tc>
          <w:tcPr>
            <w:tcW w:w="1617" w:type="dxa"/>
            <w:vMerge w:val="restart"/>
            <w:shd w:val="clear" w:color="auto" w:fill="BFBFBF" w:themeFill="background1" w:themeFillShade="BF"/>
            <w:noWrap/>
          </w:tcPr>
          <w:p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Interventions /</w:t>
            </w:r>
          </w:p>
          <w:p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comparisons</w:t>
            </w:r>
          </w:p>
        </w:tc>
        <w:tc>
          <w:tcPr>
            <w:tcW w:w="4193" w:type="dxa"/>
            <w:gridSpan w:val="3"/>
            <w:shd w:val="clear" w:color="auto" w:fill="BFBFBF" w:themeFill="background1" w:themeFillShade="BF"/>
            <w:noWrap/>
          </w:tcPr>
          <w:p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Types of outcome measures</w:t>
            </w:r>
          </w:p>
        </w:tc>
        <w:tc>
          <w:tcPr>
            <w:tcW w:w="880" w:type="dxa"/>
            <w:vMerge w:val="restart"/>
            <w:shd w:val="clear" w:color="auto" w:fill="BFBFBF" w:themeFill="background1" w:themeFillShade="BF"/>
            <w:noWrap/>
          </w:tcPr>
          <w:p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Analysis</w:t>
            </w:r>
          </w:p>
        </w:tc>
        <w:tc>
          <w:tcPr>
            <w:tcW w:w="1143" w:type="dxa"/>
            <w:vMerge w:val="restart"/>
            <w:shd w:val="clear" w:color="auto" w:fill="BFBFBF" w:themeFill="background1" w:themeFillShade="BF"/>
            <w:noWrap/>
          </w:tcPr>
          <w:p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Number studies</w:t>
            </w:r>
          </w:p>
        </w:tc>
        <w:tc>
          <w:tcPr>
            <w:tcW w:w="1418" w:type="dxa"/>
            <w:vMerge w:val="restart"/>
            <w:shd w:val="clear" w:color="auto" w:fill="BFBFBF" w:themeFill="background1" w:themeFillShade="BF"/>
            <w:noWrap/>
          </w:tcPr>
          <w:p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Total participants (n)</w:t>
            </w:r>
          </w:p>
        </w:tc>
      </w:tr>
      <w:tr w:rsidR="00536754" w:rsidRPr="00C202F1" w:rsidTr="00693DA2">
        <w:trPr>
          <w:tblHeader/>
        </w:trPr>
        <w:tc>
          <w:tcPr>
            <w:tcW w:w="421" w:type="dxa"/>
            <w:vMerge/>
            <w:shd w:val="clear" w:color="auto" w:fill="BFBFBF" w:themeFill="background1" w:themeFillShade="BF"/>
            <w:noWrap/>
          </w:tcPr>
          <w:p w:rsidR="00536754" w:rsidRPr="00C202F1" w:rsidRDefault="00536754" w:rsidP="00693DA2">
            <w:pPr>
              <w:rPr>
                <w:rFonts w:asciiTheme="minorHAnsi" w:hAnsiTheme="minorHAnsi" w:cstheme="minorHAnsi"/>
                <w:b/>
                <w:bCs/>
                <w:sz w:val="18"/>
                <w:szCs w:val="18"/>
              </w:rPr>
            </w:pPr>
          </w:p>
        </w:tc>
        <w:tc>
          <w:tcPr>
            <w:tcW w:w="992" w:type="dxa"/>
            <w:vMerge/>
            <w:shd w:val="clear" w:color="auto" w:fill="BFBFBF" w:themeFill="background1" w:themeFillShade="BF"/>
            <w:noWrap/>
          </w:tcPr>
          <w:p w:rsidR="00536754" w:rsidRPr="00C202F1" w:rsidRDefault="00536754" w:rsidP="00693DA2">
            <w:pPr>
              <w:rPr>
                <w:rFonts w:asciiTheme="minorHAnsi" w:hAnsiTheme="minorHAnsi" w:cstheme="minorHAnsi"/>
                <w:b/>
                <w:bCs/>
                <w:sz w:val="18"/>
                <w:szCs w:val="18"/>
              </w:rPr>
            </w:pPr>
          </w:p>
        </w:tc>
        <w:tc>
          <w:tcPr>
            <w:tcW w:w="1209" w:type="dxa"/>
            <w:vMerge/>
            <w:shd w:val="clear" w:color="auto" w:fill="BFBFBF" w:themeFill="background1" w:themeFillShade="BF"/>
            <w:noWrap/>
          </w:tcPr>
          <w:p w:rsidR="00536754" w:rsidRPr="00C202F1" w:rsidRDefault="00536754" w:rsidP="00693DA2">
            <w:pPr>
              <w:ind w:left="360"/>
              <w:jc w:val="center"/>
              <w:rPr>
                <w:rFonts w:asciiTheme="minorHAnsi" w:hAnsiTheme="minorHAnsi" w:cstheme="minorHAnsi"/>
                <w:b/>
                <w:bCs/>
                <w:sz w:val="18"/>
                <w:szCs w:val="18"/>
              </w:rPr>
            </w:pPr>
          </w:p>
        </w:tc>
        <w:tc>
          <w:tcPr>
            <w:tcW w:w="1447" w:type="dxa"/>
            <w:vMerge/>
            <w:shd w:val="clear" w:color="auto" w:fill="BFBFBF" w:themeFill="background1" w:themeFillShade="BF"/>
            <w:noWrap/>
          </w:tcPr>
          <w:p w:rsidR="00536754" w:rsidRPr="00C202F1" w:rsidRDefault="00536754" w:rsidP="00693DA2">
            <w:pPr>
              <w:jc w:val="center"/>
              <w:rPr>
                <w:rFonts w:asciiTheme="minorHAnsi" w:hAnsiTheme="minorHAnsi" w:cstheme="minorHAnsi"/>
                <w:b/>
                <w:bCs/>
                <w:sz w:val="18"/>
                <w:szCs w:val="18"/>
              </w:rPr>
            </w:pPr>
          </w:p>
        </w:tc>
        <w:tc>
          <w:tcPr>
            <w:tcW w:w="1617" w:type="dxa"/>
            <w:vMerge/>
            <w:shd w:val="clear" w:color="auto" w:fill="BFBFBF" w:themeFill="background1" w:themeFillShade="BF"/>
            <w:noWrap/>
          </w:tcPr>
          <w:p w:rsidR="00536754" w:rsidRPr="00C202F1" w:rsidRDefault="00536754" w:rsidP="00693DA2">
            <w:pPr>
              <w:jc w:val="center"/>
              <w:rPr>
                <w:rFonts w:asciiTheme="minorHAnsi" w:hAnsiTheme="minorHAnsi" w:cstheme="minorHAnsi"/>
                <w:b/>
                <w:bCs/>
                <w:sz w:val="18"/>
                <w:szCs w:val="18"/>
              </w:rPr>
            </w:pPr>
          </w:p>
        </w:tc>
        <w:tc>
          <w:tcPr>
            <w:tcW w:w="1251" w:type="dxa"/>
            <w:shd w:val="clear" w:color="auto" w:fill="BFBFBF" w:themeFill="background1" w:themeFillShade="BF"/>
            <w:noWrap/>
          </w:tcPr>
          <w:p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Primary outcomes</w:t>
            </w:r>
          </w:p>
        </w:tc>
        <w:tc>
          <w:tcPr>
            <w:tcW w:w="1197" w:type="dxa"/>
            <w:shd w:val="clear" w:color="auto" w:fill="BFBFBF" w:themeFill="background1" w:themeFillShade="BF"/>
            <w:noWrap/>
          </w:tcPr>
          <w:p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Secondary outcomes</w:t>
            </w:r>
          </w:p>
        </w:tc>
        <w:tc>
          <w:tcPr>
            <w:tcW w:w="1745" w:type="dxa"/>
            <w:shd w:val="clear" w:color="auto" w:fill="BFBFBF" w:themeFill="background1" w:themeFillShade="BF"/>
            <w:noWrap/>
          </w:tcPr>
          <w:p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Harmful outcomes</w:t>
            </w:r>
          </w:p>
        </w:tc>
        <w:tc>
          <w:tcPr>
            <w:tcW w:w="880" w:type="dxa"/>
            <w:vMerge/>
            <w:shd w:val="clear" w:color="auto" w:fill="BFBFBF" w:themeFill="background1" w:themeFillShade="BF"/>
            <w:noWrap/>
          </w:tcPr>
          <w:p w:rsidR="00536754" w:rsidRPr="00C202F1" w:rsidRDefault="00536754" w:rsidP="00693DA2">
            <w:pPr>
              <w:jc w:val="center"/>
              <w:rPr>
                <w:rFonts w:asciiTheme="minorHAnsi" w:hAnsiTheme="minorHAnsi" w:cstheme="minorHAnsi"/>
                <w:b/>
                <w:bCs/>
                <w:sz w:val="18"/>
                <w:szCs w:val="18"/>
              </w:rPr>
            </w:pPr>
          </w:p>
        </w:tc>
        <w:tc>
          <w:tcPr>
            <w:tcW w:w="1143" w:type="dxa"/>
            <w:vMerge/>
            <w:shd w:val="clear" w:color="auto" w:fill="BFBFBF" w:themeFill="background1" w:themeFillShade="BF"/>
            <w:noWrap/>
          </w:tcPr>
          <w:p w:rsidR="00536754" w:rsidRPr="00C202F1" w:rsidRDefault="00536754" w:rsidP="00693DA2">
            <w:pPr>
              <w:jc w:val="center"/>
              <w:rPr>
                <w:rFonts w:asciiTheme="minorHAnsi" w:hAnsiTheme="minorHAnsi" w:cstheme="minorHAnsi"/>
                <w:b/>
                <w:bCs/>
                <w:sz w:val="18"/>
                <w:szCs w:val="18"/>
              </w:rPr>
            </w:pPr>
          </w:p>
        </w:tc>
        <w:tc>
          <w:tcPr>
            <w:tcW w:w="1418" w:type="dxa"/>
            <w:vMerge/>
            <w:shd w:val="clear" w:color="auto" w:fill="BFBFBF" w:themeFill="background1" w:themeFillShade="BF"/>
            <w:noWrap/>
          </w:tcPr>
          <w:p w:rsidR="00536754" w:rsidRPr="00C202F1" w:rsidRDefault="00536754" w:rsidP="00693DA2">
            <w:pPr>
              <w:jc w:val="center"/>
              <w:rPr>
                <w:rFonts w:asciiTheme="minorHAnsi" w:hAnsiTheme="minorHAnsi" w:cstheme="minorHAnsi"/>
                <w:b/>
                <w:bCs/>
                <w:sz w:val="18"/>
                <w:szCs w:val="18"/>
              </w:rPr>
            </w:pPr>
          </w:p>
        </w:tc>
      </w:tr>
      <w:tr w:rsidR="00536754" w:rsidRPr="00C202F1" w:rsidTr="00693DA2">
        <w:tc>
          <w:tcPr>
            <w:tcW w:w="421" w:type="dxa"/>
            <w:noWrap/>
          </w:tcPr>
          <w:p w:rsidR="00536754" w:rsidRPr="00C202F1" w:rsidRDefault="00536754" w:rsidP="00FF725F">
            <w:pPr>
              <w:rPr>
                <w:rFonts w:asciiTheme="minorHAnsi" w:hAnsiTheme="minorHAnsi" w:cstheme="minorHAnsi"/>
                <w:sz w:val="18"/>
                <w:szCs w:val="18"/>
              </w:rPr>
            </w:pPr>
            <w:r w:rsidRPr="00C202F1">
              <w:rPr>
                <w:rFonts w:asciiTheme="minorHAnsi" w:hAnsiTheme="minorHAnsi" w:cstheme="minorHAnsi"/>
                <w:sz w:val="18"/>
                <w:szCs w:val="18"/>
              </w:rPr>
              <w:t>1</w:t>
            </w:r>
          </w:p>
        </w:tc>
        <w:tc>
          <w:tcPr>
            <w:tcW w:w="992" w:type="dxa"/>
            <w:noWrap/>
          </w:tcPr>
          <w:p w:rsidR="00536754" w:rsidRPr="00C202F1" w:rsidRDefault="0007640C" w:rsidP="00693DA2">
            <w:pPr>
              <w:rPr>
                <w:rFonts w:asciiTheme="minorHAnsi" w:hAnsiTheme="minorHAnsi" w:cstheme="minorHAnsi"/>
                <w:sz w:val="18"/>
                <w:szCs w:val="18"/>
              </w:rPr>
            </w:pPr>
            <w:r w:rsidRPr="00C202F1">
              <w:rPr>
                <w:rFonts w:asciiTheme="minorHAnsi" w:hAnsiTheme="minorHAnsi" w:cstheme="minorHAnsi"/>
                <w:sz w:val="18"/>
                <w:szCs w:val="18"/>
              </w:rPr>
              <w:t>Selph 2020</w:t>
            </w:r>
          </w:p>
        </w:tc>
        <w:tc>
          <w:tcPr>
            <w:tcW w:w="1209" w:type="dxa"/>
            <w:noWrap/>
          </w:tcPr>
          <w:p w:rsidR="00536754" w:rsidRPr="00C202F1" w:rsidRDefault="0077650C" w:rsidP="00693DA2">
            <w:pPr>
              <w:rPr>
                <w:rFonts w:asciiTheme="minorHAnsi" w:hAnsiTheme="minorHAnsi" w:cstheme="minorHAnsi"/>
                <w:sz w:val="18"/>
                <w:szCs w:val="18"/>
              </w:rPr>
            </w:pPr>
            <w:r w:rsidRPr="00C202F1">
              <w:rPr>
                <w:rFonts w:asciiTheme="minorHAnsi" w:hAnsiTheme="minorHAnsi" w:cstheme="minorHAnsi"/>
                <w:sz w:val="18"/>
                <w:szCs w:val="18"/>
              </w:rPr>
              <w:t xml:space="preserve">To update the 2013 review on primary care–relevant interventions for tobacco use prevention and cessation in children and adolescents to inform the </w:t>
            </w:r>
            <w:r w:rsidRPr="00C202F1">
              <w:rPr>
                <w:rFonts w:asciiTheme="minorHAnsi" w:hAnsiTheme="minorHAnsi" w:cstheme="minorHAnsi"/>
                <w:sz w:val="18"/>
                <w:szCs w:val="18"/>
              </w:rPr>
              <w:lastRenderedPageBreak/>
              <w:t>US Preventive Services Task Force</w:t>
            </w:r>
          </w:p>
        </w:tc>
        <w:tc>
          <w:tcPr>
            <w:tcW w:w="1447" w:type="dxa"/>
            <w:noWrap/>
          </w:tcPr>
          <w:p w:rsidR="00536754" w:rsidRPr="00C202F1" w:rsidRDefault="00616AD7" w:rsidP="00693DA2">
            <w:pPr>
              <w:rPr>
                <w:rFonts w:asciiTheme="minorHAnsi" w:hAnsiTheme="minorHAnsi" w:cstheme="minorHAnsi"/>
                <w:sz w:val="18"/>
                <w:szCs w:val="18"/>
              </w:rPr>
            </w:pPr>
            <w:r w:rsidRPr="00C202F1">
              <w:rPr>
                <w:rFonts w:asciiTheme="minorHAnsi" w:hAnsiTheme="minorHAnsi" w:cstheme="minorHAnsi"/>
                <w:sz w:val="18"/>
                <w:szCs w:val="18"/>
              </w:rPr>
              <w:lastRenderedPageBreak/>
              <w:t>RCTs, non-RCTs</w:t>
            </w:r>
            <w:r w:rsidR="009B6B44" w:rsidRPr="00C202F1">
              <w:rPr>
                <w:rFonts w:asciiTheme="minorHAnsi" w:hAnsiTheme="minorHAnsi" w:cstheme="minorHAnsi"/>
                <w:sz w:val="18"/>
                <w:szCs w:val="18"/>
              </w:rPr>
              <w:t>, cohorts (harms only)</w:t>
            </w:r>
          </w:p>
          <w:p w:rsidR="00616AD7" w:rsidRPr="00C202F1" w:rsidRDefault="00616AD7" w:rsidP="00693DA2">
            <w:pPr>
              <w:rPr>
                <w:rFonts w:asciiTheme="minorHAnsi" w:hAnsiTheme="minorHAnsi" w:cstheme="minorHAnsi"/>
                <w:sz w:val="18"/>
                <w:szCs w:val="18"/>
              </w:rPr>
            </w:pPr>
            <w:r w:rsidRPr="00C202F1">
              <w:rPr>
                <w:rFonts w:asciiTheme="minorHAnsi" w:hAnsiTheme="minorHAnsi" w:cstheme="minorHAnsi"/>
                <w:sz w:val="18"/>
                <w:szCs w:val="18"/>
              </w:rPr>
              <w:t>Children and adolescents</w:t>
            </w:r>
            <w:r w:rsidR="00284EA0" w:rsidRPr="00C202F1">
              <w:rPr>
                <w:rFonts w:asciiTheme="minorHAnsi" w:hAnsiTheme="minorHAnsi" w:cstheme="minorHAnsi"/>
                <w:sz w:val="18"/>
                <w:szCs w:val="18"/>
              </w:rPr>
              <w:t>, parents/caregivers o</w:t>
            </w:r>
            <w:r w:rsidR="009B6B44" w:rsidRPr="00C202F1">
              <w:rPr>
                <w:rFonts w:asciiTheme="minorHAnsi" w:hAnsiTheme="minorHAnsi" w:cstheme="minorHAnsi"/>
                <w:sz w:val="18"/>
                <w:szCs w:val="18"/>
              </w:rPr>
              <w:t>r both</w:t>
            </w:r>
          </w:p>
        </w:tc>
        <w:tc>
          <w:tcPr>
            <w:tcW w:w="1617" w:type="dxa"/>
            <w:noWrap/>
          </w:tcPr>
          <w:p w:rsidR="00536754" w:rsidRPr="00C202F1" w:rsidRDefault="00E476B5" w:rsidP="00693DA2">
            <w:pPr>
              <w:rPr>
                <w:rFonts w:asciiTheme="minorHAnsi" w:hAnsiTheme="minorHAnsi" w:cstheme="minorHAnsi"/>
                <w:sz w:val="18"/>
                <w:szCs w:val="18"/>
              </w:rPr>
            </w:pPr>
            <w:r w:rsidRPr="00C202F1">
              <w:rPr>
                <w:rFonts w:asciiTheme="minorHAnsi" w:hAnsiTheme="minorHAnsi" w:cstheme="minorHAnsi"/>
                <w:sz w:val="18"/>
                <w:szCs w:val="18"/>
              </w:rPr>
              <w:t>Primary-care relevant pharmacotherapy</w:t>
            </w:r>
            <w:r w:rsidR="00207036" w:rsidRPr="00C202F1">
              <w:rPr>
                <w:rFonts w:asciiTheme="minorHAnsi" w:hAnsiTheme="minorHAnsi" w:cstheme="minorHAnsi"/>
                <w:sz w:val="18"/>
                <w:szCs w:val="18"/>
              </w:rPr>
              <w:t xml:space="preserve">, behavioural </w:t>
            </w:r>
            <w:r w:rsidR="009E7142" w:rsidRPr="00C202F1">
              <w:rPr>
                <w:rFonts w:asciiTheme="minorHAnsi" w:hAnsiTheme="minorHAnsi" w:cstheme="minorHAnsi"/>
                <w:sz w:val="18"/>
                <w:szCs w:val="18"/>
              </w:rPr>
              <w:t>counselling</w:t>
            </w:r>
            <w:r w:rsidR="00207036" w:rsidRPr="00C202F1">
              <w:rPr>
                <w:rFonts w:asciiTheme="minorHAnsi" w:hAnsiTheme="minorHAnsi" w:cstheme="minorHAnsi"/>
                <w:sz w:val="18"/>
                <w:szCs w:val="18"/>
              </w:rPr>
              <w:t xml:space="preserve"> </w:t>
            </w:r>
            <w:r w:rsidR="009E7142" w:rsidRPr="00C202F1">
              <w:rPr>
                <w:rFonts w:asciiTheme="minorHAnsi" w:hAnsiTheme="minorHAnsi" w:cstheme="minorHAnsi"/>
                <w:sz w:val="18"/>
                <w:szCs w:val="18"/>
              </w:rPr>
              <w:t>interventions</w:t>
            </w:r>
            <w:r w:rsidR="00207036" w:rsidRPr="00C202F1">
              <w:rPr>
                <w:rFonts w:asciiTheme="minorHAnsi" w:hAnsiTheme="minorHAnsi" w:cstheme="minorHAnsi"/>
                <w:sz w:val="18"/>
                <w:szCs w:val="18"/>
              </w:rPr>
              <w:t>, and complementary and alternative medicine treatments</w:t>
            </w:r>
          </w:p>
          <w:p w:rsidR="00207036" w:rsidRPr="00C202F1" w:rsidRDefault="00207036" w:rsidP="00693DA2">
            <w:pPr>
              <w:rPr>
                <w:rFonts w:asciiTheme="minorHAnsi" w:hAnsiTheme="minorHAnsi" w:cstheme="minorHAnsi"/>
                <w:sz w:val="18"/>
                <w:szCs w:val="18"/>
              </w:rPr>
            </w:pPr>
          </w:p>
          <w:p w:rsidR="00207036" w:rsidRPr="00C202F1" w:rsidRDefault="00207036" w:rsidP="009E7142">
            <w:pPr>
              <w:rPr>
                <w:rFonts w:asciiTheme="minorHAnsi" w:hAnsiTheme="minorHAnsi" w:cstheme="minorHAnsi"/>
                <w:sz w:val="18"/>
                <w:szCs w:val="18"/>
              </w:rPr>
            </w:pPr>
            <w:r w:rsidRPr="00C202F1">
              <w:rPr>
                <w:rFonts w:asciiTheme="minorHAnsi" w:hAnsiTheme="minorHAnsi" w:cstheme="minorHAnsi"/>
                <w:sz w:val="18"/>
                <w:szCs w:val="18"/>
              </w:rPr>
              <w:t>Usual care</w:t>
            </w:r>
            <w:r w:rsidR="00C42C28" w:rsidRPr="00C202F1">
              <w:rPr>
                <w:rFonts w:asciiTheme="minorHAnsi" w:hAnsiTheme="minorHAnsi" w:cstheme="minorHAnsi"/>
                <w:sz w:val="18"/>
                <w:szCs w:val="18"/>
              </w:rPr>
              <w:t xml:space="preserve">, </w:t>
            </w:r>
            <w:r w:rsidR="009E7142" w:rsidRPr="00C202F1">
              <w:rPr>
                <w:rFonts w:asciiTheme="minorHAnsi" w:hAnsiTheme="minorHAnsi" w:cstheme="minorHAnsi"/>
                <w:sz w:val="18"/>
                <w:szCs w:val="18"/>
              </w:rPr>
              <w:t>attention</w:t>
            </w:r>
            <w:r w:rsidR="009E7142">
              <w:rPr>
                <w:rFonts w:asciiTheme="minorHAnsi" w:hAnsiTheme="minorHAnsi" w:cstheme="minorHAnsi"/>
                <w:sz w:val="18"/>
                <w:szCs w:val="18"/>
              </w:rPr>
              <w:t xml:space="preserve"> control, wait-list control, o</w:t>
            </w:r>
            <w:r w:rsidR="00C42C28" w:rsidRPr="00C202F1">
              <w:rPr>
                <w:rFonts w:asciiTheme="minorHAnsi" w:hAnsiTheme="minorHAnsi" w:cstheme="minorHAnsi"/>
                <w:sz w:val="18"/>
                <w:szCs w:val="18"/>
              </w:rPr>
              <w:t>r other non</w:t>
            </w:r>
            <w:r w:rsidR="009E7142">
              <w:rPr>
                <w:rFonts w:asciiTheme="minorHAnsi" w:hAnsiTheme="minorHAnsi" w:cstheme="minorHAnsi"/>
                <w:sz w:val="18"/>
                <w:szCs w:val="18"/>
              </w:rPr>
              <w:t>-</w:t>
            </w:r>
            <w:r w:rsidR="00C42C28" w:rsidRPr="00C202F1">
              <w:rPr>
                <w:rFonts w:asciiTheme="minorHAnsi" w:hAnsiTheme="minorHAnsi" w:cstheme="minorHAnsi"/>
                <w:sz w:val="18"/>
                <w:szCs w:val="18"/>
              </w:rPr>
              <w:t xml:space="preserve">smoking </w:t>
            </w:r>
            <w:r w:rsidR="00C42C28" w:rsidRPr="00C202F1">
              <w:rPr>
                <w:rFonts w:asciiTheme="minorHAnsi" w:hAnsiTheme="minorHAnsi" w:cstheme="minorHAnsi"/>
                <w:sz w:val="18"/>
                <w:szCs w:val="18"/>
              </w:rPr>
              <w:lastRenderedPageBreak/>
              <w:t xml:space="preserve">or minimal </w:t>
            </w:r>
            <w:r w:rsidR="009E7142" w:rsidRPr="00C202F1">
              <w:rPr>
                <w:rFonts w:asciiTheme="minorHAnsi" w:hAnsiTheme="minorHAnsi" w:cstheme="minorHAnsi"/>
                <w:sz w:val="18"/>
                <w:szCs w:val="18"/>
              </w:rPr>
              <w:t>smoking</w:t>
            </w:r>
            <w:r w:rsidR="00C42C28" w:rsidRPr="00C202F1">
              <w:rPr>
                <w:rFonts w:asciiTheme="minorHAnsi" w:hAnsiTheme="minorHAnsi" w:cstheme="minorHAnsi"/>
                <w:sz w:val="18"/>
                <w:szCs w:val="18"/>
              </w:rPr>
              <w:t xml:space="preserve"> intervention</w:t>
            </w:r>
          </w:p>
        </w:tc>
        <w:tc>
          <w:tcPr>
            <w:tcW w:w="1251" w:type="dxa"/>
            <w:noWrap/>
          </w:tcPr>
          <w:p w:rsidR="00536754" w:rsidRPr="00C202F1" w:rsidRDefault="00AA22DC" w:rsidP="00693DA2">
            <w:pPr>
              <w:rPr>
                <w:rFonts w:asciiTheme="minorHAnsi" w:hAnsiTheme="minorHAnsi" w:cstheme="minorHAnsi"/>
                <w:sz w:val="18"/>
                <w:szCs w:val="18"/>
              </w:rPr>
            </w:pPr>
            <w:r w:rsidRPr="00C202F1">
              <w:rPr>
                <w:rFonts w:asciiTheme="minorHAnsi" w:hAnsiTheme="minorHAnsi" w:cstheme="minorHAnsi"/>
                <w:sz w:val="18"/>
                <w:szCs w:val="18"/>
              </w:rPr>
              <w:lastRenderedPageBreak/>
              <w:t>Preve</w:t>
            </w:r>
            <w:r w:rsidR="00417E20" w:rsidRPr="00C202F1">
              <w:rPr>
                <w:rFonts w:asciiTheme="minorHAnsi" w:hAnsiTheme="minorHAnsi" w:cstheme="minorHAnsi"/>
                <w:sz w:val="18"/>
                <w:szCs w:val="18"/>
              </w:rPr>
              <w:t>ntion of tobacco initiation</w:t>
            </w:r>
          </w:p>
          <w:p w:rsidR="00417E20" w:rsidRPr="00C202F1" w:rsidRDefault="00417E20" w:rsidP="00693DA2">
            <w:pPr>
              <w:rPr>
                <w:rFonts w:asciiTheme="minorHAnsi" w:hAnsiTheme="minorHAnsi" w:cstheme="minorHAnsi"/>
                <w:sz w:val="18"/>
                <w:szCs w:val="18"/>
              </w:rPr>
            </w:pPr>
          </w:p>
          <w:p w:rsidR="00417E20" w:rsidRPr="00C202F1" w:rsidRDefault="00417E20" w:rsidP="00693DA2">
            <w:pPr>
              <w:rPr>
                <w:rFonts w:asciiTheme="minorHAnsi" w:hAnsiTheme="minorHAnsi" w:cstheme="minorHAnsi"/>
                <w:sz w:val="18"/>
                <w:szCs w:val="18"/>
              </w:rPr>
            </w:pPr>
            <w:r w:rsidRPr="00C202F1">
              <w:rPr>
                <w:rFonts w:asciiTheme="minorHAnsi" w:hAnsiTheme="minorHAnsi" w:cstheme="minorHAnsi"/>
                <w:sz w:val="18"/>
                <w:szCs w:val="18"/>
              </w:rPr>
              <w:t>Cessation of current tobacco use</w:t>
            </w:r>
          </w:p>
        </w:tc>
        <w:tc>
          <w:tcPr>
            <w:tcW w:w="1197" w:type="dxa"/>
            <w:noWrap/>
          </w:tcPr>
          <w:p w:rsidR="00536754" w:rsidRPr="00C202F1" w:rsidRDefault="009B17BA" w:rsidP="00693DA2">
            <w:pPr>
              <w:rPr>
                <w:rFonts w:asciiTheme="minorHAnsi" w:hAnsiTheme="minorHAnsi" w:cstheme="minorHAnsi"/>
                <w:sz w:val="18"/>
                <w:szCs w:val="18"/>
              </w:rPr>
            </w:pPr>
            <w:r w:rsidRPr="00C202F1">
              <w:rPr>
                <w:rFonts w:asciiTheme="minorHAnsi" w:hAnsiTheme="minorHAnsi" w:cstheme="minorHAnsi"/>
                <w:sz w:val="18"/>
                <w:szCs w:val="18"/>
              </w:rPr>
              <w:t>N/A</w:t>
            </w:r>
          </w:p>
        </w:tc>
        <w:tc>
          <w:tcPr>
            <w:tcW w:w="1745" w:type="dxa"/>
            <w:noWrap/>
          </w:tcPr>
          <w:p w:rsidR="00536754" w:rsidRPr="00C202F1" w:rsidRDefault="000C1A0C" w:rsidP="00693DA2">
            <w:pPr>
              <w:rPr>
                <w:rFonts w:asciiTheme="minorHAnsi" w:hAnsiTheme="minorHAnsi" w:cstheme="minorHAnsi"/>
                <w:sz w:val="18"/>
                <w:szCs w:val="18"/>
              </w:rPr>
            </w:pPr>
            <w:r w:rsidRPr="00C202F1">
              <w:rPr>
                <w:rFonts w:asciiTheme="minorHAnsi" w:hAnsiTheme="minorHAnsi" w:cstheme="minorHAnsi"/>
                <w:sz w:val="18"/>
                <w:szCs w:val="18"/>
              </w:rPr>
              <w:t>SAE</w:t>
            </w:r>
          </w:p>
          <w:p w:rsidR="00A36D21" w:rsidRPr="00C202F1" w:rsidRDefault="00A36D21" w:rsidP="00693DA2">
            <w:pPr>
              <w:rPr>
                <w:rFonts w:asciiTheme="minorHAnsi" w:hAnsiTheme="minorHAnsi" w:cstheme="minorHAnsi"/>
                <w:sz w:val="18"/>
                <w:szCs w:val="18"/>
              </w:rPr>
            </w:pPr>
            <w:r w:rsidRPr="00C202F1">
              <w:rPr>
                <w:rFonts w:asciiTheme="minorHAnsi" w:hAnsiTheme="minorHAnsi" w:cstheme="minorHAnsi"/>
                <w:sz w:val="18"/>
                <w:szCs w:val="18"/>
              </w:rPr>
              <w:t>Withdrawals due to AE</w:t>
            </w:r>
          </w:p>
          <w:p w:rsidR="00A36D21" w:rsidRPr="00C202F1" w:rsidRDefault="00A36D21" w:rsidP="00693DA2">
            <w:pPr>
              <w:rPr>
                <w:rFonts w:asciiTheme="minorHAnsi" w:hAnsiTheme="minorHAnsi" w:cstheme="minorHAnsi"/>
                <w:sz w:val="18"/>
                <w:szCs w:val="18"/>
              </w:rPr>
            </w:pPr>
            <w:r w:rsidRPr="00C202F1">
              <w:rPr>
                <w:rFonts w:asciiTheme="minorHAnsi" w:hAnsiTheme="minorHAnsi" w:cstheme="minorHAnsi"/>
                <w:sz w:val="18"/>
                <w:szCs w:val="18"/>
              </w:rPr>
              <w:t>AEs</w:t>
            </w:r>
          </w:p>
        </w:tc>
        <w:tc>
          <w:tcPr>
            <w:tcW w:w="880" w:type="dxa"/>
            <w:noWrap/>
          </w:tcPr>
          <w:p w:rsidR="00536754" w:rsidRPr="00C202F1" w:rsidRDefault="009E7142" w:rsidP="00693DA2">
            <w:pPr>
              <w:jc w:val="center"/>
              <w:rPr>
                <w:rFonts w:asciiTheme="minorHAnsi" w:hAnsiTheme="minorHAnsi" w:cstheme="minorHAnsi"/>
                <w:sz w:val="18"/>
                <w:szCs w:val="18"/>
              </w:rPr>
            </w:pPr>
            <w:r w:rsidRPr="00C202F1">
              <w:rPr>
                <w:rFonts w:asciiTheme="minorHAnsi" w:hAnsiTheme="minorHAnsi" w:cstheme="minorHAnsi"/>
                <w:sz w:val="18"/>
                <w:szCs w:val="18"/>
              </w:rPr>
              <w:t>Qualitative</w:t>
            </w:r>
          </w:p>
        </w:tc>
        <w:tc>
          <w:tcPr>
            <w:tcW w:w="1143" w:type="dxa"/>
            <w:noWrap/>
          </w:tcPr>
          <w:p w:rsidR="00536754" w:rsidRPr="00C202F1" w:rsidRDefault="008F71B4" w:rsidP="00693DA2">
            <w:pPr>
              <w:jc w:val="center"/>
              <w:rPr>
                <w:rFonts w:asciiTheme="minorHAnsi" w:hAnsiTheme="minorHAnsi" w:cstheme="minorHAnsi"/>
                <w:sz w:val="18"/>
                <w:szCs w:val="18"/>
              </w:rPr>
            </w:pPr>
            <w:r w:rsidRPr="00C202F1">
              <w:rPr>
                <w:rFonts w:asciiTheme="minorHAnsi" w:hAnsiTheme="minorHAnsi" w:cstheme="minorHAnsi"/>
                <w:sz w:val="18"/>
                <w:szCs w:val="18"/>
              </w:rPr>
              <w:t>3</w:t>
            </w:r>
          </w:p>
        </w:tc>
        <w:tc>
          <w:tcPr>
            <w:tcW w:w="1418" w:type="dxa"/>
            <w:noWrap/>
          </w:tcPr>
          <w:p w:rsidR="00536754" w:rsidRPr="00C202F1" w:rsidRDefault="008F71B4" w:rsidP="00693DA2">
            <w:pPr>
              <w:rPr>
                <w:rFonts w:asciiTheme="minorHAnsi" w:hAnsiTheme="minorHAnsi" w:cstheme="minorHAnsi"/>
                <w:sz w:val="18"/>
                <w:szCs w:val="18"/>
              </w:rPr>
            </w:pPr>
            <w:r w:rsidRPr="00C202F1">
              <w:rPr>
                <w:rFonts w:asciiTheme="minorHAnsi" w:hAnsiTheme="minorHAnsi" w:cstheme="minorHAnsi"/>
                <w:sz w:val="18"/>
                <w:szCs w:val="18"/>
              </w:rPr>
              <w:t>780</w:t>
            </w:r>
          </w:p>
        </w:tc>
      </w:tr>
      <w:tr w:rsidR="00536754" w:rsidRPr="00C202F1" w:rsidTr="00693DA2">
        <w:tc>
          <w:tcPr>
            <w:tcW w:w="421" w:type="dxa"/>
            <w:noWrap/>
          </w:tcPr>
          <w:p w:rsidR="00536754" w:rsidRPr="00C202F1" w:rsidRDefault="00536754" w:rsidP="00FF725F">
            <w:pPr>
              <w:rPr>
                <w:rFonts w:asciiTheme="minorHAnsi" w:hAnsiTheme="minorHAnsi" w:cstheme="minorHAnsi"/>
                <w:sz w:val="18"/>
                <w:szCs w:val="18"/>
              </w:rPr>
            </w:pPr>
            <w:r w:rsidRPr="00C202F1">
              <w:rPr>
                <w:rFonts w:asciiTheme="minorHAnsi" w:hAnsiTheme="minorHAnsi" w:cstheme="minorHAnsi"/>
                <w:sz w:val="18"/>
                <w:szCs w:val="18"/>
              </w:rPr>
              <w:t>2</w:t>
            </w:r>
          </w:p>
        </w:tc>
        <w:tc>
          <w:tcPr>
            <w:tcW w:w="992" w:type="dxa"/>
            <w:noWrap/>
          </w:tcPr>
          <w:p w:rsidR="00536754" w:rsidRPr="00C202F1" w:rsidRDefault="007E494E" w:rsidP="00693DA2">
            <w:pPr>
              <w:rPr>
                <w:rFonts w:asciiTheme="minorHAnsi" w:hAnsiTheme="minorHAnsi" w:cstheme="minorHAnsi"/>
                <w:sz w:val="18"/>
                <w:szCs w:val="18"/>
              </w:rPr>
            </w:pPr>
            <w:r w:rsidRPr="00C202F1">
              <w:rPr>
                <w:rFonts w:asciiTheme="minorHAnsi" w:hAnsiTheme="minorHAnsi" w:cstheme="minorHAnsi"/>
                <w:sz w:val="18"/>
                <w:szCs w:val="18"/>
              </w:rPr>
              <w:t>Myung 2019</w:t>
            </w:r>
          </w:p>
        </w:tc>
        <w:tc>
          <w:tcPr>
            <w:tcW w:w="1209" w:type="dxa"/>
            <w:noWrap/>
          </w:tcPr>
          <w:p w:rsidR="00536754" w:rsidRPr="00C202F1" w:rsidRDefault="007828E5" w:rsidP="00693DA2">
            <w:pPr>
              <w:rPr>
                <w:rFonts w:asciiTheme="minorHAnsi" w:hAnsiTheme="minorHAnsi" w:cstheme="minorHAnsi"/>
                <w:sz w:val="18"/>
                <w:szCs w:val="18"/>
              </w:rPr>
            </w:pPr>
            <w:r w:rsidRPr="00C202F1">
              <w:rPr>
                <w:rFonts w:asciiTheme="minorHAnsi" w:hAnsiTheme="minorHAnsi" w:cstheme="minorHAnsi"/>
                <w:sz w:val="18"/>
                <w:szCs w:val="18"/>
              </w:rPr>
              <w:t>To evaluate the efficacy of pharmacotherapy for smoking cessation among adolescent smokers by using a meta-analysis of randomized controlled trials (RCTs).</w:t>
            </w:r>
          </w:p>
        </w:tc>
        <w:tc>
          <w:tcPr>
            <w:tcW w:w="1447" w:type="dxa"/>
            <w:noWrap/>
          </w:tcPr>
          <w:p w:rsidR="00536754" w:rsidRPr="00C202F1" w:rsidRDefault="007828E5" w:rsidP="00693DA2">
            <w:pPr>
              <w:rPr>
                <w:rFonts w:asciiTheme="minorHAnsi" w:hAnsiTheme="minorHAnsi" w:cstheme="minorHAnsi"/>
                <w:sz w:val="18"/>
                <w:szCs w:val="18"/>
              </w:rPr>
            </w:pPr>
            <w:r w:rsidRPr="00C202F1">
              <w:rPr>
                <w:rFonts w:asciiTheme="minorHAnsi" w:hAnsiTheme="minorHAnsi" w:cstheme="minorHAnsi"/>
                <w:sz w:val="18"/>
                <w:szCs w:val="18"/>
              </w:rPr>
              <w:t>RCT</w:t>
            </w:r>
          </w:p>
        </w:tc>
        <w:tc>
          <w:tcPr>
            <w:tcW w:w="1617" w:type="dxa"/>
            <w:noWrap/>
          </w:tcPr>
          <w:p w:rsidR="00536754" w:rsidRPr="00C202F1" w:rsidRDefault="00C36DC8" w:rsidP="00693DA2">
            <w:pPr>
              <w:rPr>
                <w:rFonts w:asciiTheme="minorHAnsi" w:hAnsiTheme="minorHAnsi" w:cstheme="minorHAnsi"/>
                <w:sz w:val="18"/>
                <w:szCs w:val="18"/>
              </w:rPr>
            </w:pPr>
            <w:r w:rsidRPr="00C202F1">
              <w:rPr>
                <w:rFonts w:asciiTheme="minorHAnsi" w:hAnsiTheme="minorHAnsi" w:cstheme="minorHAnsi"/>
                <w:sz w:val="18"/>
                <w:szCs w:val="18"/>
              </w:rPr>
              <w:t>Pharmacotherapy for smoking cessation</w:t>
            </w:r>
          </w:p>
          <w:p w:rsidR="00C36DC8" w:rsidRPr="00C202F1" w:rsidRDefault="00C36DC8" w:rsidP="00693DA2">
            <w:pPr>
              <w:rPr>
                <w:rFonts w:asciiTheme="minorHAnsi" w:hAnsiTheme="minorHAnsi" w:cstheme="minorHAnsi"/>
                <w:sz w:val="18"/>
                <w:szCs w:val="18"/>
              </w:rPr>
            </w:pPr>
            <w:r w:rsidRPr="00C202F1">
              <w:rPr>
                <w:rFonts w:asciiTheme="minorHAnsi" w:hAnsiTheme="minorHAnsi" w:cstheme="minorHAnsi"/>
                <w:sz w:val="18"/>
                <w:szCs w:val="18"/>
              </w:rPr>
              <w:t>Control/placebo</w:t>
            </w:r>
          </w:p>
        </w:tc>
        <w:tc>
          <w:tcPr>
            <w:tcW w:w="1251" w:type="dxa"/>
            <w:noWrap/>
          </w:tcPr>
          <w:p w:rsidR="00536754" w:rsidRPr="00C202F1" w:rsidRDefault="00C36DC8" w:rsidP="00693DA2">
            <w:pPr>
              <w:rPr>
                <w:rFonts w:asciiTheme="minorHAnsi" w:hAnsiTheme="minorHAnsi" w:cstheme="minorHAnsi"/>
                <w:sz w:val="18"/>
                <w:szCs w:val="18"/>
              </w:rPr>
            </w:pPr>
            <w:r w:rsidRPr="00C202F1">
              <w:rPr>
                <w:rFonts w:asciiTheme="minorHAnsi" w:hAnsiTheme="minorHAnsi" w:cstheme="minorHAnsi"/>
                <w:sz w:val="18"/>
                <w:szCs w:val="18"/>
              </w:rPr>
              <w:t xml:space="preserve">Smoking abstinence </w:t>
            </w:r>
            <w:r w:rsidR="00633241" w:rsidRPr="00C202F1">
              <w:rPr>
                <w:rFonts w:asciiTheme="minorHAnsi" w:hAnsiTheme="minorHAnsi" w:cstheme="minorHAnsi"/>
                <w:sz w:val="18"/>
                <w:szCs w:val="18"/>
              </w:rPr>
              <w:t xml:space="preserve">(validated) </w:t>
            </w:r>
            <w:r w:rsidRPr="00C202F1">
              <w:rPr>
                <w:rFonts w:asciiTheme="minorHAnsi" w:hAnsiTheme="minorHAnsi" w:cstheme="minorHAnsi"/>
                <w:sz w:val="18"/>
                <w:szCs w:val="18"/>
              </w:rPr>
              <w:t>rates</w:t>
            </w:r>
            <w:r w:rsidR="00633241" w:rsidRPr="00C202F1">
              <w:rPr>
                <w:rFonts w:asciiTheme="minorHAnsi" w:hAnsiTheme="minorHAnsi" w:cstheme="minorHAnsi"/>
                <w:sz w:val="18"/>
                <w:szCs w:val="18"/>
              </w:rPr>
              <w:t xml:space="preserve"> at longest follow-up</w:t>
            </w:r>
          </w:p>
        </w:tc>
        <w:tc>
          <w:tcPr>
            <w:tcW w:w="1197" w:type="dxa"/>
            <w:noWrap/>
          </w:tcPr>
          <w:p w:rsidR="00536754" w:rsidRPr="00C202F1" w:rsidRDefault="00633241" w:rsidP="00693DA2">
            <w:pPr>
              <w:rPr>
                <w:rFonts w:asciiTheme="minorHAnsi" w:hAnsiTheme="minorHAnsi" w:cstheme="minorHAnsi"/>
                <w:sz w:val="18"/>
                <w:szCs w:val="18"/>
              </w:rPr>
            </w:pPr>
            <w:r w:rsidRPr="00C202F1">
              <w:rPr>
                <w:rFonts w:asciiTheme="minorHAnsi" w:hAnsiTheme="minorHAnsi" w:cstheme="minorHAnsi"/>
                <w:sz w:val="18"/>
                <w:szCs w:val="18"/>
              </w:rPr>
              <w:t>N/A</w:t>
            </w:r>
          </w:p>
        </w:tc>
        <w:tc>
          <w:tcPr>
            <w:tcW w:w="1745" w:type="dxa"/>
            <w:noWrap/>
          </w:tcPr>
          <w:p w:rsidR="00536754" w:rsidRPr="00C202F1" w:rsidRDefault="00633241" w:rsidP="00693DA2">
            <w:pPr>
              <w:rPr>
                <w:rFonts w:asciiTheme="minorHAnsi" w:hAnsiTheme="minorHAnsi" w:cstheme="minorHAnsi"/>
                <w:sz w:val="18"/>
                <w:szCs w:val="18"/>
              </w:rPr>
            </w:pPr>
            <w:r w:rsidRPr="00C202F1">
              <w:rPr>
                <w:rFonts w:asciiTheme="minorHAnsi" w:hAnsiTheme="minorHAnsi" w:cstheme="minorHAnsi"/>
                <w:sz w:val="18"/>
                <w:szCs w:val="18"/>
              </w:rPr>
              <w:t>N/A</w:t>
            </w:r>
          </w:p>
        </w:tc>
        <w:tc>
          <w:tcPr>
            <w:tcW w:w="880" w:type="dxa"/>
            <w:noWrap/>
          </w:tcPr>
          <w:p w:rsidR="00536754" w:rsidRPr="00C202F1" w:rsidRDefault="00633241" w:rsidP="00693DA2">
            <w:pPr>
              <w:jc w:val="center"/>
              <w:rPr>
                <w:rFonts w:asciiTheme="minorHAnsi" w:hAnsiTheme="minorHAnsi" w:cstheme="minorHAnsi"/>
                <w:sz w:val="18"/>
                <w:szCs w:val="18"/>
              </w:rPr>
            </w:pPr>
            <w:r w:rsidRPr="00C202F1">
              <w:rPr>
                <w:rFonts w:asciiTheme="minorHAnsi" w:hAnsiTheme="minorHAnsi" w:cstheme="minorHAnsi"/>
                <w:sz w:val="18"/>
                <w:szCs w:val="18"/>
              </w:rPr>
              <w:t>Meta-analysis</w:t>
            </w:r>
          </w:p>
        </w:tc>
        <w:tc>
          <w:tcPr>
            <w:tcW w:w="1143" w:type="dxa"/>
            <w:noWrap/>
          </w:tcPr>
          <w:p w:rsidR="00536754" w:rsidRPr="00C202F1" w:rsidRDefault="001B0352" w:rsidP="00693DA2">
            <w:pPr>
              <w:jc w:val="center"/>
              <w:rPr>
                <w:rFonts w:asciiTheme="minorHAnsi" w:hAnsiTheme="minorHAnsi" w:cstheme="minorHAnsi"/>
                <w:sz w:val="18"/>
                <w:szCs w:val="18"/>
              </w:rPr>
            </w:pPr>
            <w:r w:rsidRPr="00C202F1">
              <w:rPr>
                <w:rFonts w:asciiTheme="minorHAnsi" w:hAnsiTheme="minorHAnsi" w:cstheme="minorHAnsi"/>
                <w:sz w:val="18"/>
                <w:szCs w:val="18"/>
              </w:rPr>
              <w:t>9</w:t>
            </w:r>
          </w:p>
        </w:tc>
        <w:tc>
          <w:tcPr>
            <w:tcW w:w="1418" w:type="dxa"/>
            <w:noWrap/>
          </w:tcPr>
          <w:p w:rsidR="00536754" w:rsidRPr="00C202F1" w:rsidRDefault="001B0352" w:rsidP="00693DA2">
            <w:pPr>
              <w:rPr>
                <w:rFonts w:asciiTheme="minorHAnsi" w:hAnsiTheme="minorHAnsi" w:cstheme="minorHAnsi"/>
                <w:sz w:val="18"/>
                <w:szCs w:val="18"/>
              </w:rPr>
            </w:pPr>
            <w:r w:rsidRPr="00C202F1">
              <w:rPr>
                <w:rFonts w:asciiTheme="minorHAnsi" w:hAnsiTheme="minorHAnsi" w:cstheme="minorHAnsi"/>
                <w:sz w:val="18"/>
                <w:szCs w:val="18"/>
              </w:rPr>
              <w:t>1188</w:t>
            </w:r>
          </w:p>
        </w:tc>
      </w:tr>
      <w:tr w:rsidR="000E096D" w:rsidRPr="00C202F1" w:rsidTr="00693DA2">
        <w:tc>
          <w:tcPr>
            <w:tcW w:w="421" w:type="dxa"/>
            <w:noWrap/>
          </w:tcPr>
          <w:p w:rsidR="000E096D" w:rsidRPr="00C202F1" w:rsidRDefault="00810A5C" w:rsidP="00536754">
            <w:pPr>
              <w:rPr>
                <w:rFonts w:asciiTheme="minorHAnsi" w:hAnsiTheme="minorHAnsi" w:cstheme="minorHAnsi"/>
                <w:sz w:val="18"/>
                <w:szCs w:val="18"/>
              </w:rPr>
            </w:pPr>
            <w:r w:rsidRPr="00C202F1">
              <w:rPr>
                <w:rFonts w:asciiTheme="minorHAnsi" w:hAnsiTheme="minorHAnsi" w:cstheme="minorHAnsi"/>
                <w:sz w:val="18"/>
                <w:szCs w:val="18"/>
              </w:rPr>
              <w:t>3</w:t>
            </w:r>
          </w:p>
        </w:tc>
        <w:tc>
          <w:tcPr>
            <w:tcW w:w="992" w:type="dxa"/>
            <w:noWrap/>
          </w:tcPr>
          <w:p w:rsidR="000E096D" w:rsidRPr="00C202F1" w:rsidRDefault="001B0352" w:rsidP="00693DA2">
            <w:pPr>
              <w:rPr>
                <w:rFonts w:asciiTheme="minorHAnsi" w:hAnsiTheme="minorHAnsi" w:cstheme="minorHAnsi"/>
                <w:sz w:val="18"/>
                <w:szCs w:val="18"/>
              </w:rPr>
            </w:pPr>
            <w:r w:rsidRPr="00C202F1">
              <w:rPr>
                <w:rFonts w:asciiTheme="minorHAnsi" w:hAnsiTheme="minorHAnsi" w:cstheme="minorHAnsi"/>
                <w:sz w:val="18"/>
                <w:szCs w:val="18"/>
              </w:rPr>
              <w:t>Chang</w:t>
            </w:r>
            <w:r w:rsidR="00D44C8A" w:rsidRPr="00C202F1">
              <w:rPr>
                <w:rFonts w:asciiTheme="minorHAnsi" w:hAnsiTheme="minorHAnsi" w:cstheme="minorHAnsi"/>
                <w:sz w:val="18"/>
                <w:szCs w:val="18"/>
              </w:rPr>
              <w:t xml:space="preserve"> </w:t>
            </w:r>
            <w:r w:rsidRPr="00C202F1">
              <w:rPr>
                <w:rFonts w:asciiTheme="minorHAnsi" w:hAnsiTheme="minorHAnsi" w:cstheme="minorHAnsi"/>
                <w:sz w:val="18"/>
                <w:szCs w:val="18"/>
              </w:rPr>
              <w:t>2015</w:t>
            </w:r>
          </w:p>
        </w:tc>
        <w:tc>
          <w:tcPr>
            <w:tcW w:w="1209" w:type="dxa"/>
            <w:noWrap/>
          </w:tcPr>
          <w:p w:rsidR="000E096D" w:rsidRPr="00C202F1" w:rsidRDefault="00E0743A" w:rsidP="00693DA2">
            <w:pPr>
              <w:rPr>
                <w:rFonts w:asciiTheme="minorHAnsi" w:hAnsiTheme="minorHAnsi" w:cstheme="minorHAnsi"/>
                <w:sz w:val="18"/>
                <w:szCs w:val="18"/>
              </w:rPr>
            </w:pPr>
            <w:r w:rsidRPr="00C202F1">
              <w:rPr>
                <w:rFonts w:asciiTheme="minorHAnsi" w:hAnsiTheme="minorHAnsi" w:cstheme="minorHAnsi"/>
                <w:sz w:val="18"/>
                <w:szCs w:val="18"/>
              </w:rPr>
              <w:t>To investigate the efficacy and safety of varenicline combined with NRT.</w:t>
            </w:r>
          </w:p>
        </w:tc>
        <w:tc>
          <w:tcPr>
            <w:tcW w:w="1447" w:type="dxa"/>
            <w:noWrap/>
          </w:tcPr>
          <w:p w:rsidR="000E096D" w:rsidRPr="00C202F1" w:rsidRDefault="000D017F" w:rsidP="00693DA2">
            <w:pPr>
              <w:rPr>
                <w:rFonts w:asciiTheme="minorHAnsi" w:hAnsiTheme="minorHAnsi" w:cstheme="minorHAnsi"/>
                <w:sz w:val="18"/>
                <w:szCs w:val="18"/>
              </w:rPr>
            </w:pPr>
            <w:r w:rsidRPr="00C202F1">
              <w:rPr>
                <w:rFonts w:asciiTheme="minorHAnsi" w:hAnsiTheme="minorHAnsi" w:cstheme="minorHAnsi"/>
                <w:sz w:val="18"/>
                <w:szCs w:val="18"/>
              </w:rPr>
              <w:t>RCT</w:t>
            </w:r>
          </w:p>
          <w:p w:rsidR="00812EAD" w:rsidRPr="00C202F1" w:rsidRDefault="00812EAD" w:rsidP="00693DA2">
            <w:pPr>
              <w:rPr>
                <w:rFonts w:asciiTheme="minorHAnsi" w:hAnsiTheme="minorHAnsi" w:cstheme="minorHAnsi"/>
                <w:sz w:val="18"/>
                <w:szCs w:val="18"/>
              </w:rPr>
            </w:pPr>
            <w:r w:rsidRPr="00C202F1">
              <w:rPr>
                <w:rFonts w:asciiTheme="minorHAnsi" w:hAnsiTheme="minorHAnsi" w:cstheme="minorHAnsi"/>
                <w:sz w:val="18"/>
                <w:szCs w:val="18"/>
              </w:rPr>
              <w:t>Adults</w:t>
            </w:r>
          </w:p>
        </w:tc>
        <w:tc>
          <w:tcPr>
            <w:tcW w:w="1617" w:type="dxa"/>
            <w:noWrap/>
          </w:tcPr>
          <w:p w:rsidR="000E096D" w:rsidRPr="00C202F1" w:rsidRDefault="0080798D" w:rsidP="00693DA2">
            <w:pPr>
              <w:rPr>
                <w:rFonts w:asciiTheme="minorHAnsi" w:hAnsiTheme="minorHAnsi" w:cstheme="minorHAnsi"/>
                <w:sz w:val="18"/>
                <w:szCs w:val="18"/>
              </w:rPr>
            </w:pPr>
            <w:r w:rsidRPr="00C202F1">
              <w:rPr>
                <w:rFonts w:asciiTheme="minorHAnsi" w:hAnsiTheme="minorHAnsi" w:cstheme="minorHAnsi"/>
                <w:sz w:val="18"/>
                <w:szCs w:val="18"/>
              </w:rPr>
              <w:t>Varenicline and nicotine replacement therapy</w:t>
            </w:r>
          </w:p>
          <w:p w:rsidR="0080798D" w:rsidRPr="00C202F1" w:rsidRDefault="0080798D" w:rsidP="00693DA2">
            <w:pPr>
              <w:rPr>
                <w:rFonts w:asciiTheme="minorHAnsi" w:hAnsiTheme="minorHAnsi" w:cstheme="minorHAnsi"/>
                <w:sz w:val="18"/>
                <w:szCs w:val="18"/>
              </w:rPr>
            </w:pPr>
            <w:r w:rsidRPr="00C202F1">
              <w:rPr>
                <w:rFonts w:asciiTheme="minorHAnsi" w:hAnsiTheme="minorHAnsi" w:cstheme="minorHAnsi"/>
                <w:sz w:val="18"/>
                <w:szCs w:val="18"/>
              </w:rPr>
              <w:t>Varenicline</w:t>
            </w:r>
          </w:p>
        </w:tc>
        <w:tc>
          <w:tcPr>
            <w:tcW w:w="1251" w:type="dxa"/>
            <w:noWrap/>
          </w:tcPr>
          <w:p w:rsidR="000E096D" w:rsidRPr="00C202F1" w:rsidRDefault="00936BA6" w:rsidP="00693DA2">
            <w:pPr>
              <w:rPr>
                <w:rFonts w:asciiTheme="minorHAnsi" w:hAnsiTheme="minorHAnsi" w:cstheme="minorHAnsi"/>
                <w:sz w:val="18"/>
                <w:szCs w:val="18"/>
              </w:rPr>
            </w:pPr>
            <w:r w:rsidRPr="00C202F1">
              <w:rPr>
                <w:rFonts w:asciiTheme="minorHAnsi" w:hAnsiTheme="minorHAnsi" w:cstheme="minorHAnsi"/>
                <w:sz w:val="18"/>
                <w:szCs w:val="18"/>
              </w:rPr>
              <w:t>Abstinence rates with biochemical verification</w:t>
            </w:r>
          </w:p>
        </w:tc>
        <w:tc>
          <w:tcPr>
            <w:tcW w:w="1197" w:type="dxa"/>
            <w:noWrap/>
          </w:tcPr>
          <w:p w:rsidR="000E096D" w:rsidRPr="00C202F1" w:rsidRDefault="00EA77E3" w:rsidP="00693DA2">
            <w:pPr>
              <w:rPr>
                <w:rFonts w:asciiTheme="minorHAnsi" w:hAnsiTheme="minorHAnsi" w:cstheme="minorHAnsi"/>
                <w:sz w:val="18"/>
                <w:szCs w:val="18"/>
              </w:rPr>
            </w:pPr>
            <w:r w:rsidRPr="00C202F1">
              <w:rPr>
                <w:rFonts w:asciiTheme="minorHAnsi" w:hAnsiTheme="minorHAnsi" w:cstheme="minorHAnsi"/>
                <w:sz w:val="18"/>
                <w:szCs w:val="18"/>
              </w:rPr>
              <w:t>N/A</w:t>
            </w:r>
          </w:p>
        </w:tc>
        <w:tc>
          <w:tcPr>
            <w:tcW w:w="1745" w:type="dxa"/>
            <w:noWrap/>
          </w:tcPr>
          <w:p w:rsidR="000E096D" w:rsidRPr="00C202F1" w:rsidRDefault="00EA77E3" w:rsidP="00693DA2">
            <w:pPr>
              <w:rPr>
                <w:rFonts w:asciiTheme="minorHAnsi" w:hAnsiTheme="minorHAnsi" w:cstheme="minorHAnsi"/>
                <w:sz w:val="18"/>
                <w:szCs w:val="18"/>
              </w:rPr>
            </w:pPr>
            <w:r w:rsidRPr="00C202F1">
              <w:rPr>
                <w:rFonts w:asciiTheme="minorHAnsi" w:hAnsiTheme="minorHAnsi" w:cstheme="minorHAnsi"/>
                <w:sz w:val="18"/>
                <w:szCs w:val="18"/>
              </w:rPr>
              <w:t>Safety profile, or tolerability of the therapy.</w:t>
            </w:r>
          </w:p>
        </w:tc>
        <w:tc>
          <w:tcPr>
            <w:tcW w:w="880" w:type="dxa"/>
            <w:noWrap/>
          </w:tcPr>
          <w:p w:rsidR="000E096D" w:rsidRPr="00C202F1" w:rsidRDefault="00EA77E3" w:rsidP="00693DA2">
            <w:pPr>
              <w:jc w:val="center"/>
              <w:rPr>
                <w:rFonts w:asciiTheme="minorHAnsi" w:hAnsiTheme="minorHAnsi" w:cstheme="minorHAnsi"/>
                <w:sz w:val="18"/>
                <w:szCs w:val="18"/>
              </w:rPr>
            </w:pPr>
            <w:r w:rsidRPr="00C202F1">
              <w:rPr>
                <w:rFonts w:asciiTheme="minorHAnsi" w:hAnsiTheme="minorHAnsi" w:cstheme="minorHAnsi"/>
                <w:sz w:val="18"/>
                <w:szCs w:val="18"/>
              </w:rPr>
              <w:t>Meta-analysis</w:t>
            </w:r>
          </w:p>
        </w:tc>
        <w:tc>
          <w:tcPr>
            <w:tcW w:w="1143" w:type="dxa"/>
            <w:noWrap/>
          </w:tcPr>
          <w:p w:rsidR="000E096D" w:rsidRPr="00C202F1" w:rsidRDefault="00EA77E3" w:rsidP="00693DA2">
            <w:pPr>
              <w:jc w:val="center"/>
              <w:rPr>
                <w:rFonts w:asciiTheme="minorHAnsi" w:hAnsiTheme="minorHAnsi" w:cstheme="minorHAnsi"/>
                <w:sz w:val="18"/>
                <w:szCs w:val="18"/>
              </w:rPr>
            </w:pPr>
            <w:r w:rsidRPr="00C202F1">
              <w:rPr>
                <w:rFonts w:asciiTheme="minorHAnsi" w:hAnsiTheme="minorHAnsi" w:cstheme="minorHAnsi"/>
                <w:sz w:val="18"/>
                <w:szCs w:val="18"/>
              </w:rPr>
              <w:t>3</w:t>
            </w:r>
          </w:p>
        </w:tc>
        <w:tc>
          <w:tcPr>
            <w:tcW w:w="1418" w:type="dxa"/>
            <w:noWrap/>
          </w:tcPr>
          <w:p w:rsidR="000E096D" w:rsidRPr="00C202F1" w:rsidRDefault="00EC53D0" w:rsidP="00693DA2">
            <w:pPr>
              <w:rPr>
                <w:rFonts w:asciiTheme="minorHAnsi" w:hAnsiTheme="minorHAnsi" w:cstheme="minorHAnsi"/>
                <w:sz w:val="18"/>
                <w:szCs w:val="18"/>
              </w:rPr>
            </w:pPr>
            <w:r w:rsidRPr="00C202F1">
              <w:rPr>
                <w:rFonts w:asciiTheme="minorHAnsi" w:hAnsiTheme="minorHAnsi" w:cstheme="minorHAnsi"/>
                <w:sz w:val="18"/>
                <w:szCs w:val="18"/>
              </w:rPr>
              <w:t>893</w:t>
            </w:r>
          </w:p>
        </w:tc>
      </w:tr>
    </w:tbl>
    <w:p w:rsidR="00FC008C" w:rsidRPr="003A2E44" w:rsidRDefault="009E7142" w:rsidP="00485ECA">
      <w:pPr>
        <w:pStyle w:val="TableFooter"/>
      </w:pPr>
      <w:bookmarkStart w:id="354" w:name="_Toc61966624"/>
      <w:bookmarkEnd w:id="354"/>
      <w:r>
        <w:t>Abbreviations</w:t>
      </w:r>
      <w:r w:rsidR="003A2E44">
        <w:t xml:space="preserve">: </w:t>
      </w:r>
      <w:r w:rsidR="007528B6">
        <w:t xml:space="preserve">AE = adverse event; </w:t>
      </w:r>
      <w:r w:rsidR="001802D6">
        <w:t xml:space="preserve">RCT = randomised controlled trial; </w:t>
      </w:r>
      <w:r w:rsidR="007528B6">
        <w:t>N/A = not applicable; SAE = serious adverse event</w:t>
      </w:r>
      <w:r w:rsidR="00485ECA">
        <w:t>.</w:t>
      </w:r>
      <w:r w:rsidR="00FC008C">
        <w:br w:type="page"/>
      </w:r>
    </w:p>
    <w:p w:rsidR="00701DEA" w:rsidRDefault="00FD59DC" w:rsidP="0050534C">
      <w:pPr>
        <w:pStyle w:val="Heading3"/>
        <w:numPr>
          <w:ilvl w:val="0"/>
          <w:numId w:val="0"/>
        </w:numPr>
      </w:pPr>
      <w:bookmarkStart w:id="355" w:name="_Toc72850872"/>
      <w:bookmarkStart w:id="356" w:name="_Toc73525637"/>
      <w:r w:rsidRPr="00E85569">
        <w:lastRenderedPageBreak/>
        <w:t>A.</w:t>
      </w:r>
      <w:r w:rsidR="00120334">
        <w:t>7</w:t>
      </w:r>
      <w:r w:rsidR="00404D7A">
        <w:t xml:space="preserve"> Risk of bias assessment for non-Cochrane evidence</w:t>
      </w:r>
      <w:bookmarkEnd w:id="355"/>
      <w:bookmarkEnd w:id="356"/>
    </w:p>
    <w:p w:rsidR="00BB2493" w:rsidRDefault="00BB2493" w:rsidP="001C4FD2">
      <w:pPr>
        <w:pStyle w:val="Caption"/>
        <w:keepNext/>
      </w:pPr>
      <w:bookmarkStart w:id="357" w:name="_Ref62720989"/>
      <w:r>
        <w:t xml:space="preserve">Table </w:t>
      </w:r>
      <w:r w:rsidR="003C4A1C">
        <w:rPr>
          <w:noProof/>
        </w:rPr>
        <w:t>141</w:t>
      </w:r>
      <w:bookmarkEnd w:id="357"/>
      <w:r>
        <w:t xml:space="preserve">: </w:t>
      </w:r>
      <w:r w:rsidRPr="004F6F7E">
        <w:t>Quality assessment for non-Cochrane reviews using AMSTAR 2</w:t>
      </w:r>
    </w:p>
    <w:tbl>
      <w:tblPr>
        <w:tblStyle w:val="TableGrid"/>
        <w:tblW w:w="4708" w:type="pct"/>
        <w:tblLook w:val="04A0" w:firstRow="1" w:lastRow="0" w:firstColumn="1" w:lastColumn="0" w:noHBand="0" w:noVBand="1"/>
      </w:tblPr>
      <w:tblGrid>
        <w:gridCol w:w="420"/>
        <w:gridCol w:w="8936"/>
        <w:gridCol w:w="1153"/>
        <w:gridCol w:w="1345"/>
        <w:gridCol w:w="1279"/>
      </w:tblGrid>
      <w:tr w:rsidR="00BB2493" w:rsidRPr="00C62D0D" w:rsidTr="0010575F">
        <w:trPr>
          <w:trHeight w:val="552"/>
        </w:trPr>
        <w:tc>
          <w:tcPr>
            <w:tcW w:w="160" w:type="pct"/>
            <w:shd w:val="clear" w:color="auto" w:fill="BFBFBF" w:themeFill="background1" w:themeFillShade="BF"/>
            <w:noWrap/>
            <w:vAlign w:val="center"/>
            <w:hideMark/>
          </w:tcPr>
          <w:p w:rsidR="00BB2493" w:rsidRPr="00832D16" w:rsidRDefault="00BB2493" w:rsidP="00FB500F">
            <w:pPr>
              <w:pStyle w:val="Tablewriting"/>
              <w:rPr>
                <w:b/>
              </w:rPr>
            </w:pPr>
            <w:r w:rsidRPr="00832D16">
              <w:rPr>
                <w:b/>
              </w:rPr>
              <w:t> </w:t>
            </w:r>
          </w:p>
        </w:tc>
        <w:tc>
          <w:tcPr>
            <w:tcW w:w="3402" w:type="pct"/>
            <w:shd w:val="clear" w:color="auto" w:fill="BFBFBF" w:themeFill="background1" w:themeFillShade="BF"/>
            <w:vAlign w:val="center"/>
            <w:hideMark/>
          </w:tcPr>
          <w:p w:rsidR="00BB2493" w:rsidRPr="00832D16" w:rsidRDefault="00BB2493" w:rsidP="00FB500F">
            <w:pPr>
              <w:pStyle w:val="Tablewriting"/>
              <w:rPr>
                <w:b/>
              </w:rPr>
            </w:pPr>
            <w:r w:rsidRPr="00832D16">
              <w:rPr>
                <w:b/>
              </w:rPr>
              <w:t>Assessment criteria</w:t>
            </w:r>
          </w:p>
        </w:tc>
        <w:tc>
          <w:tcPr>
            <w:tcW w:w="439" w:type="pct"/>
            <w:shd w:val="clear" w:color="auto" w:fill="BFBFBF" w:themeFill="background1" w:themeFillShade="BF"/>
            <w:vAlign w:val="center"/>
            <w:hideMark/>
          </w:tcPr>
          <w:p w:rsidR="00BB2493" w:rsidRPr="00832D16" w:rsidRDefault="0024348C" w:rsidP="00FB500F">
            <w:pPr>
              <w:pStyle w:val="Tablewriting"/>
              <w:rPr>
                <w:b/>
              </w:rPr>
            </w:pPr>
            <w:r w:rsidRPr="0024348C">
              <w:rPr>
                <w:b/>
              </w:rPr>
              <w:t>Selph 2020</w:t>
            </w:r>
          </w:p>
        </w:tc>
        <w:tc>
          <w:tcPr>
            <w:tcW w:w="512" w:type="pct"/>
            <w:shd w:val="clear" w:color="auto" w:fill="BFBFBF" w:themeFill="background1" w:themeFillShade="BF"/>
            <w:vAlign w:val="center"/>
          </w:tcPr>
          <w:p w:rsidR="00BB2493" w:rsidRPr="00832D16" w:rsidRDefault="0024348C" w:rsidP="00FB500F">
            <w:pPr>
              <w:pStyle w:val="Tablewriting"/>
              <w:rPr>
                <w:b/>
              </w:rPr>
            </w:pPr>
            <w:r w:rsidRPr="0024348C">
              <w:rPr>
                <w:b/>
              </w:rPr>
              <w:t>Myung 2019</w:t>
            </w:r>
          </w:p>
        </w:tc>
        <w:tc>
          <w:tcPr>
            <w:tcW w:w="488" w:type="pct"/>
            <w:shd w:val="clear" w:color="auto" w:fill="BFBFBF" w:themeFill="background1" w:themeFillShade="BF"/>
            <w:vAlign w:val="center"/>
          </w:tcPr>
          <w:p w:rsidR="00BB2493" w:rsidRPr="00832D16" w:rsidRDefault="0024348C" w:rsidP="00FB500F">
            <w:pPr>
              <w:pStyle w:val="Tablewriting"/>
              <w:rPr>
                <w:b/>
              </w:rPr>
            </w:pPr>
            <w:r w:rsidRPr="0024348C">
              <w:rPr>
                <w:b/>
              </w:rPr>
              <w:t>Chang 2015</w:t>
            </w:r>
          </w:p>
        </w:tc>
      </w:tr>
      <w:tr w:rsidR="00BB2493" w:rsidRPr="00C62D0D" w:rsidTr="0010575F">
        <w:trPr>
          <w:trHeight w:val="291"/>
        </w:trPr>
        <w:tc>
          <w:tcPr>
            <w:tcW w:w="160" w:type="pct"/>
            <w:noWrap/>
            <w:vAlign w:val="center"/>
            <w:hideMark/>
          </w:tcPr>
          <w:p w:rsidR="00BB2493" w:rsidRPr="00C62D0D" w:rsidRDefault="00BB2493" w:rsidP="00FB500F">
            <w:pPr>
              <w:pStyle w:val="Tablewriting"/>
            </w:pPr>
            <w:r w:rsidRPr="00C62D0D">
              <w:t>1</w:t>
            </w:r>
          </w:p>
        </w:tc>
        <w:tc>
          <w:tcPr>
            <w:tcW w:w="3402" w:type="pct"/>
            <w:vAlign w:val="center"/>
            <w:hideMark/>
          </w:tcPr>
          <w:p w:rsidR="00BB2493" w:rsidRPr="00C62D0D" w:rsidRDefault="00BB2493" w:rsidP="00FB500F">
            <w:pPr>
              <w:pStyle w:val="Tablewriting"/>
            </w:pPr>
            <w:r w:rsidRPr="00C62D0D">
              <w:t xml:space="preserve">Did the research questions and inclusion criteria for the review include the components of PICO? </w:t>
            </w:r>
          </w:p>
        </w:tc>
        <w:tc>
          <w:tcPr>
            <w:tcW w:w="439" w:type="pct"/>
            <w:vAlign w:val="center"/>
            <w:hideMark/>
          </w:tcPr>
          <w:p w:rsidR="00BB2493" w:rsidRPr="00C62D0D" w:rsidRDefault="00727095" w:rsidP="0010575F">
            <w:pPr>
              <w:pStyle w:val="Tablewriting"/>
            </w:pPr>
            <w:r>
              <w:t>Yes</w:t>
            </w:r>
          </w:p>
        </w:tc>
        <w:tc>
          <w:tcPr>
            <w:tcW w:w="512" w:type="pct"/>
            <w:vAlign w:val="center"/>
          </w:tcPr>
          <w:p w:rsidR="00BB2493" w:rsidRPr="00C62D0D" w:rsidRDefault="00727095" w:rsidP="0010575F">
            <w:pPr>
              <w:pStyle w:val="Tablewriting"/>
            </w:pPr>
            <w:r>
              <w:t>Yes</w:t>
            </w:r>
          </w:p>
        </w:tc>
        <w:tc>
          <w:tcPr>
            <w:tcW w:w="488" w:type="pct"/>
            <w:vAlign w:val="center"/>
          </w:tcPr>
          <w:p w:rsidR="00BB2493" w:rsidRPr="00C62D0D" w:rsidRDefault="00727095" w:rsidP="0010575F">
            <w:pPr>
              <w:pStyle w:val="Tablewriting"/>
            </w:pPr>
            <w:r>
              <w:t>Yes</w:t>
            </w:r>
          </w:p>
        </w:tc>
      </w:tr>
      <w:tr w:rsidR="00BB2493" w:rsidRPr="00C62D0D" w:rsidTr="0010575F">
        <w:trPr>
          <w:trHeight w:val="497"/>
        </w:trPr>
        <w:tc>
          <w:tcPr>
            <w:tcW w:w="160" w:type="pct"/>
            <w:noWrap/>
            <w:vAlign w:val="center"/>
            <w:hideMark/>
          </w:tcPr>
          <w:p w:rsidR="00BB2493" w:rsidRPr="00C62D0D" w:rsidRDefault="00BB2493" w:rsidP="00FB500F">
            <w:pPr>
              <w:pStyle w:val="Tablewriting"/>
            </w:pPr>
            <w:r w:rsidRPr="00C62D0D">
              <w:t>2</w:t>
            </w:r>
          </w:p>
        </w:tc>
        <w:tc>
          <w:tcPr>
            <w:tcW w:w="3402" w:type="pct"/>
            <w:vAlign w:val="center"/>
            <w:hideMark/>
          </w:tcPr>
          <w:p w:rsidR="00BB2493" w:rsidRPr="00C62D0D" w:rsidRDefault="00BB2493" w:rsidP="00FB500F">
            <w:pPr>
              <w:pStyle w:val="Tablewriting"/>
            </w:pPr>
            <w:r w:rsidRPr="00C62D0D">
              <w:t xml:space="preserve">Did the report of the review contain an explicit statement that the review methods were established prior to the conduct of the review and did the report justify any significant deviations from the protocol? </w:t>
            </w:r>
          </w:p>
        </w:tc>
        <w:tc>
          <w:tcPr>
            <w:tcW w:w="439" w:type="pct"/>
            <w:noWrap/>
            <w:vAlign w:val="center"/>
            <w:hideMark/>
          </w:tcPr>
          <w:p w:rsidR="00BB2493" w:rsidRPr="00C62D0D" w:rsidRDefault="00727095" w:rsidP="0010575F">
            <w:pPr>
              <w:pStyle w:val="Tablewriting"/>
            </w:pPr>
            <w:r>
              <w:t>No</w:t>
            </w:r>
          </w:p>
        </w:tc>
        <w:tc>
          <w:tcPr>
            <w:tcW w:w="512" w:type="pct"/>
            <w:vAlign w:val="center"/>
          </w:tcPr>
          <w:p w:rsidR="00BB2493" w:rsidRPr="00C62D0D" w:rsidRDefault="00727095" w:rsidP="0010575F">
            <w:pPr>
              <w:pStyle w:val="Tablewriting"/>
            </w:pPr>
            <w:r>
              <w:t>No</w:t>
            </w:r>
          </w:p>
        </w:tc>
        <w:tc>
          <w:tcPr>
            <w:tcW w:w="488" w:type="pct"/>
            <w:vAlign w:val="center"/>
          </w:tcPr>
          <w:p w:rsidR="00BB2493" w:rsidRPr="00C62D0D" w:rsidRDefault="00727095" w:rsidP="0010575F">
            <w:pPr>
              <w:pStyle w:val="Tablewriting"/>
            </w:pPr>
            <w:r>
              <w:t>No</w:t>
            </w:r>
          </w:p>
        </w:tc>
      </w:tr>
      <w:tr w:rsidR="00BB2493" w:rsidRPr="00C62D0D" w:rsidTr="0010575F">
        <w:trPr>
          <w:trHeight w:val="181"/>
        </w:trPr>
        <w:tc>
          <w:tcPr>
            <w:tcW w:w="160" w:type="pct"/>
            <w:noWrap/>
            <w:vAlign w:val="center"/>
            <w:hideMark/>
          </w:tcPr>
          <w:p w:rsidR="00BB2493" w:rsidRPr="00C62D0D" w:rsidRDefault="00BB2493" w:rsidP="00FB500F">
            <w:pPr>
              <w:pStyle w:val="Tablewriting"/>
            </w:pPr>
            <w:r w:rsidRPr="00C62D0D">
              <w:t>3</w:t>
            </w:r>
          </w:p>
        </w:tc>
        <w:tc>
          <w:tcPr>
            <w:tcW w:w="3402" w:type="pct"/>
            <w:vAlign w:val="center"/>
            <w:hideMark/>
          </w:tcPr>
          <w:p w:rsidR="00BB2493" w:rsidRPr="00C62D0D" w:rsidRDefault="00BB2493" w:rsidP="00FB500F">
            <w:pPr>
              <w:pStyle w:val="Tablewriting"/>
            </w:pPr>
            <w:r w:rsidRPr="00C62D0D">
              <w:t xml:space="preserve">Did the review authors perform study selection in duplicate? </w:t>
            </w:r>
          </w:p>
        </w:tc>
        <w:tc>
          <w:tcPr>
            <w:tcW w:w="439" w:type="pct"/>
            <w:vAlign w:val="center"/>
            <w:hideMark/>
          </w:tcPr>
          <w:p w:rsidR="00BB2493" w:rsidRPr="00C62D0D" w:rsidRDefault="003013E3" w:rsidP="0010575F">
            <w:pPr>
              <w:pStyle w:val="Tablewriting"/>
            </w:pPr>
            <w:r>
              <w:t>Yes</w:t>
            </w:r>
          </w:p>
        </w:tc>
        <w:tc>
          <w:tcPr>
            <w:tcW w:w="512" w:type="pct"/>
            <w:vAlign w:val="center"/>
          </w:tcPr>
          <w:p w:rsidR="00BB2493" w:rsidRPr="00C62D0D" w:rsidRDefault="003013E3" w:rsidP="0010575F">
            <w:pPr>
              <w:pStyle w:val="Tablewriting"/>
            </w:pPr>
            <w:r>
              <w:t>Yes</w:t>
            </w:r>
          </w:p>
        </w:tc>
        <w:tc>
          <w:tcPr>
            <w:tcW w:w="488" w:type="pct"/>
            <w:vAlign w:val="center"/>
          </w:tcPr>
          <w:p w:rsidR="00BB2493" w:rsidRPr="00C62D0D" w:rsidRDefault="003013E3" w:rsidP="0010575F">
            <w:pPr>
              <w:pStyle w:val="Tablewriting"/>
            </w:pPr>
            <w:r>
              <w:t>Yes</w:t>
            </w:r>
          </w:p>
        </w:tc>
      </w:tr>
      <w:tr w:rsidR="00BB2493" w:rsidRPr="00C62D0D" w:rsidTr="0010575F">
        <w:trPr>
          <w:trHeight w:val="157"/>
        </w:trPr>
        <w:tc>
          <w:tcPr>
            <w:tcW w:w="160" w:type="pct"/>
            <w:noWrap/>
            <w:vAlign w:val="center"/>
            <w:hideMark/>
          </w:tcPr>
          <w:p w:rsidR="00BB2493" w:rsidRPr="00C62D0D" w:rsidRDefault="00BB2493" w:rsidP="00FB500F">
            <w:pPr>
              <w:pStyle w:val="Tablewriting"/>
            </w:pPr>
            <w:r w:rsidRPr="00C62D0D">
              <w:t>4</w:t>
            </w:r>
          </w:p>
        </w:tc>
        <w:tc>
          <w:tcPr>
            <w:tcW w:w="3402" w:type="pct"/>
            <w:vAlign w:val="center"/>
            <w:hideMark/>
          </w:tcPr>
          <w:p w:rsidR="00BB2493" w:rsidRPr="00C62D0D" w:rsidRDefault="00BB2493" w:rsidP="00FB500F">
            <w:pPr>
              <w:pStyle w:val="Tablewriting"/>
            </w:pPr>
            <w:r w:rsidRPr="00C62D0D">
              <w:t xml:space="preserve">Did the review authors use a comprehensive literature search strategy? </w:t>
            </w:r>
          </w:p>
        </w:tc>
        <w:tc>
          <w:tcPr>
            <w:tcW w:w="439" w:type="pct"/>
            <w:noWrap/>
            <w:vAlign w:val="center"/>
            <w:hideMark/>
          </w:tcPr>
          <w:p w:rsidR="00BB2493" w:rsidRPr="00C62D0D" w:rsidRDefault="002732C5" w:rsidP="0010575F">
            <w:pPr>
              <w:pStyle w:val="Tablewriting"/>
            </w:pPr>
            <w:r>
              <w:t>Partial</w:t>
            </w:r>
            <w:r w:rsidR="00F85607">
              <w:t xml:space="preserve"> yes</w:t>
            </w:r>
          </w:p>
        </w:tc>
        <w:tc>
          <w:tcPr>
            <w:tcW w:w="512" w:type="pct"/>
            <w:vAlign w:val="center"/>
          </w:tcPr>
          <w:p w:rsidR="00BB2493" w:rsidRPr="00C62D0D" w:rsidRDefault="00F85607" w:rsidP="0010575F">
            <w:pPr>
              <w:pStyle w:val="Tablewriting"/>
            </w:pPr>
            <w:r>
              <w:t>Partial yes</w:t>
            </w:r>
          </w:p>
        </w:tc>
        <w:tc>
          <w:tcPr>
            <w:tcW w:w="488" w:type="pct"/>
            <w:vAlign w:val="center"/>
          </w:tcPr>
          <w:p w:rsidR="00BB2493" w:rsidRPr="00C62D0D" w:rsidRDefault="00F85607" w:rsidP="0010575F">
            <w:pPr>
              <w:pStyle w:val="Tablewriting"/>
            </w:pPr>
            <w:r>
              <w:t>Partial yes</w:t>
            </w:r>
          </w:p>
        </w:tc>
      </w:tr>
      <w:tr w:rsidR="00BB2493" w:rsidRPr="00C62D0D" w:rsidTr="0010575F">
        <w:trPr>
          <w:trHeight w:val="70"/>
        </w:trPr>
        <w:tc>
          <w:tcPr>
            <w:tcW w:w="160" w:type="pct"/>
            <w:vAlign w:val="center"/>
            <w:hideMark/>
          </w:tcPr>
          <w:p w:rsidR="00BB2493" w:rsidRPr="00C62D0D" w:rsidRDefault="00BB2493" w:rsidP="00FB500F">
            <w:pPr>
              <w:pStyle w:val="Tablewriting"/>
            </w:pPr>
            <w:r w:rsidRPr="00C62D0D">
              <w:t>5</w:t>
            </w:r>
          </w:p>
        </w:tc>
        <w:tc>
          <w:tcPr>
            <w:tcW w:w="3402" w:type="pct"/>
            <w:vAlign w:val="center"/>
            <w:hideMark/>
          </w:tcPr>
          <w:p w:rsidR="00BB2493" w:rsidRPr="00C62D0D" w:rsidRDefault="00BB2493" w:rsidP="00FB500F">
            <w:pPr>
              <w:pStyle w:val="Tablewriting"/>
            </w:pPr>
            <w:r w:rsidRPr="00C62D0D">
              <w:t>Did the review authors perform study selection in duplicate?</w:t>
            </w:r>
          </w:p>
        </w:tc>
        <w:tc>
          <w:tcPr>
            <w:tcW w:w="439" w:type="pct"/>
            <w:vAlign w:val="center"/>
            <w:hideMark/>
          </w:tcPr>
          <w:p w:rsidR="00BB2493" w:rsidRPr="00C62D0D" w:rsidRDefault="00F85607" w:rsidP="0010575F">
            <w:pPr>
              <w:pStyle w:val="Tablewriting"/>
            </w:pPr>
            <w:r>
              <w:t>Yes</w:t>
            </w:r>
          </w:p>
        </w:tc>
        <w:tc>
          <w:tcPr>
            <w:tcW w:w="512" w:type="pct"/>
            <w:vAlign w:val="center"/>
          </w:tcPr>
          <w:p w:rsidR="00BB2493" w:rsidRPr="00C62D0D" w:rsidRDefault="00F85607" w:rsidP="0010575F">
            <w:pPr>
              <w:pStyle w:val="Tablewriting"/>
            </w:pPr>
            <w:r>
              <w:t>Yes</w:t>
            </w:r>
          </w:p>
        </w:tc>
        <w:tc>
          <w:tcPr>
            <w:tcW w:w="488" w:type="pct"/>
            <w:vAlign w:val="center"/>
          </w:tcPr>
          <w:p w:rsidR="00BB2493" w:rsidRPr="00C62D0D" w:rsidRDefault="00F85607" w:rsidP="0010575F">
            <w:pPr>
              <w:pStyle w:val="Tablewriting"/>
            </w:pPr>
            <w:r>
              <w:t>Yes</w:t>
            </w:r>
          </w:p>
        </w:tc>
      </w:tr>
      <w:tr w:rsidR="00BB2493" w:rsidRPr="00C62D0D" w:rsidTr="0010575F">
        <w:trPr>
          <w:trHeight w:val="82"/>
        </w:trPr>
        <w:tc>
          <w:tcPr>
            <w:tcW w:w="160" w:type="pct"/>
            <w:vAlign w:val="center"/>
            <w:hideMark/>
          </w:tcPr>
          <w:p w:rsidR="00BB2493" w:rsidRPr="00C62D0D" w:rsidRDefault="00BB2493" w:rsidP="00FB500F">
            <w:pPr>
              <w:pStyle w:val="Tablewriting"/>
            </w:pPr>
            <w:r w:rsidRPr="00C62D0D">
              <w:t>6</w:t>
            </w:r>
          </w:p>
        </w:tc>
        <w:tc>
          <w:tcPr>
            <w:tcW w:w="3402" w:type="pct"/>
            <w:vAlign w:val="center"/>
            <w:hideMark/>
          </w:tcPr>
          <w:p w:rsidR="00BB2493" w:rsidRPr="00C62D0D" w:rsidRDefault="00BB2493" w:rsidP="00FB500F">
            <w:pPr>
              <w:pStyle w:val="Tablewriting"/>
            </w:pPr>
            <w:r w:rsidRPr="00C62D0D">
              <w:t xml:space="preserve">Did the review authors perform data extraction in duplicate? </w:t>
            </w:r>
          </w:p>
        </w:tc>
        <w:tc>
          <w:tcPr>
            <w:tcW w:w="439" w:type="pct"/>
            <w:vAlign w:val="center"/>
            <w:hideMark/>
          </w:tcPr>
          <w:p w:rsidR="00BB2493" w:rsidRPr="00C62D0D" w:rsidRDefault="0043053A" w:rsidP="0010575F">
            <w:pPr>
              <w:pStyle w:val="Tablewriting"/>
            </w:pPr>
            <w:r>
              <w:t>Yes</w:t>
            </w:r>
          </w:p>
        </w:tc>
        <w:tc>
          <w:tcPr>
            <w:tcW w:w="512" w:type="pct"/>
            <w:vAlign w:val="center"/>
          </w:tcPr>
          <w:p w:rsidR="00BB2493" w:rsidRPr="00C62D0D" w:rsidRDefault="0043053A" w:rsidP="0010575F">
            <w:pPr>
              <w:pStyle w:val="Tablewriting"/>
            </w:pPr>
            <w:r>
              <w:t>No</w:t>
            </w:r>
          </w:p>
        </w:tc>
        <w:tc>
          <w:tcPr>
            <w:tcW w:w="488" w:type="pct"/>
            <w:vAlign w:val="center"/>
          </w:tcPr>
          <w:p w:rsidR="00BB2493" w:rsidRPr="00C62D0D" w:rsidRDefault="0043053A" w:rsidP="0010575F">
            <w:pPr>
              <w:pStyle w:val="Tablewriting"/>
            </w:pPr>
            <w:r>
              <w:t>Yes</w:t>
            </w:r>
          </w:p>
        </w:tc>
      </w:tr>
      <w:tr w:rsidR="00BB2493" w:rsidRPr="00C62D0D" w:rsidTr="0010575F">
        <w:trPr>
          <w:trHeight w:val="375"/>
        </w:trPr>
        <w:tc>
          <w:tcPr>
            <w:tcW w:w="160" w:type="pct"/>
            <w:vAlign w:val="center"/>
            <w:hideMark/>
          </w:tcPr>
          <w:p w:rsidR="00BB2493" w:rsidRPr="00C62D0D" w:rsidRDefault="00BB2493" w:rsidP="00FB500F">
            <w:pPr>
              <w:pStyle w:val="Tablewriting"/>
            </w:pPr>
            <w:r w:rsidRPr="00C62D0D">
              <w:t>7</w:t>
            </w:r>
          </w:p>
        </w:tc>
        <w:tc>
          <w:tcPr>
            <w:tcW w:w="3402" w:type="pct"/>
            <w:vAlign w:val="center"/>
            <w:hideMark/>
          </w:tcPr>
          <w:p w:rsidR="00BB2493" w:rsidRPr="00C62D0D" w:rsidRDefault="00BB2493" w:rsidP="00FB500F">
            <w:pPr>
              <w:pStyle w:val="Tablewriting"/>
            </w:pPr>
            <w:r w:rsidRPr="00C62D0D">
              <w:t xml:space="preserve">Did the review authors provide a list of excluded studies and justify the exclusions? </w:t>
            </w:r>
          </w:p>
        </w:tc>
        <w:tc>
          <w:tcPr>
            <w:tcW w:w="439" w:type="pct"/>
            <w:noWrap/>
            <w:vAlign w:val="center"/>
            <w:hideMark/>
          </w:tcPr>
          <w:p w:rsidR="00BB2493" w:rsidRPr="00816E55" w:rsidRDefault="0043053A" w:rsidP="0010575F">
            <w:pPr>
              <w:pStyle w:val="Tablewriting"/>
            </w:pPr>
            <w:r>
              <w:t>Yes</w:t>
            </w:r>
          </w:p>
        </w:tc>
        <w:tc>
          <w:tcPr>
            <w:tcW w:w="512" w:type="pct"/>
            <w:vAlign w:val="center"/>
          </w:tcPr>
          <w:p w:rsidR="00BB2493" w:rsidRPr="00816E55" w:rsidRDefault="0043053A" w:rsidP="0010575F">
            <w:pPr>
              <w:pStyle w:val="Tablewriting"/>
            </w:pPr>
            <w:r>
              <w:t>Yes</w:t>
            </w:r>
          </w:p>
        </w:tc>
        <w:tc>
          <w:tcPr>
            <w:tcW w:w="488" w:type="pct"/>
            <w:vAlign w:val="center"/>
          </w:tcPr>
          <w:p w:rsidR="00BB2493" w:rsidRPr="00816E55" w:rsidRDefault="00927F8F" w:rsidP="0010575F">
            <w:pPr>
              <w:pStyle w:val="Tablewriting"/>
            </w:pPr>
            <w:r>
              <w:t>No</w:t>
            </w:r>
          </w:p>
        </w:tc>
      </w:tr>
      <w:tr w:rsidR="00BB2493" w:rsidRPr="00C62D0D" w:rsidTr="0010575F">
        <w:trPr>
          <w:trHeight w:val="135"/>
        </w:trPr>
        <w:tc>
          <w:tcPr>
            <w:tcW w:w="160" w:type="pct"/>
            <w:vAlign w:val="center"/>
            <w:hideMark/>
          </w:tcPr>
          <w:p w:rsidR="00BB2493" w:rsidRPr="00C62D0D" w:rsidRDefault="00BB2493" w:rsidP="00FB500F">
            <w:pPr>
              <w:pStyle w:val="Tablewriting"/>
            </w:pPr>
            <w:r w:rsidRPr="00C62D0D">
              <w:t>8</w:t>
            </w:r>
          </w:p>
        </w:tc>
        <w:tc>
          <w:tcPr>
            <w:tcW w:w="3402" w:type="pct"/>
            <w:vAlign w:val="center"/>
            <w:hideMark/>
          </w:tcPr>
          <w:p w:rsidR="00BB2493" w:rsidRPr="00C62D0D" w:rsidRDefault="00BB2493" w:rsidP="00FB500F">
            <w:pPr>
              <w:pStyle w:val="Tablewriting"/>
            </w:pPr>
            <w:r w:rsidRPr="00C62D0D">
              <w:t>Did the review authors describe the included studies in adequate detail?</w:t>
            </w:r>
          </w:p>
        </w:tc>
        <w:tc>
          <w:tcPr>
            <w:tcW w:w="439" w:type="pct"/>
            <w:noWrap/>
            <w:vAlign w:val="center"/>
            <w:hideMark/>
          </w:tcPr>
          <w:p w:rsidR="00BB2493" w:rsidRPr="00C62D0D" w:rsidRDefault="00927F8F" w:rsidP="0010575F">
            <w:pPr>
              <w:pStyle w:val="Tablewriting"/>
            </w:pPr>
            <w:r>
              <w:t>Yes</w:t>
            </w:r>
          </w:p>
        </w:tc>
        <w:tc>
          <w:tcPr>
            <w:tcW w:w="512" w:type="pct"/>
            <w:vAlign w:val="center"/>
          </w:tcPr>
          <w:p w:rsidR="00BB2493" w:rsidRPr="00C62D0D" w:rsidDel="00BB2493" w:rsidRDefault="00927F8F" w:rsidP="0010575F">
            <w:pPr>
              <w:pStyle w:val="Tablewriting"/>
            </w:pPr>
            <w:r>
              <w:t>Yes</w:t>
            </w:r>
          </w:p>
        </w:tc>
        <w:tc>
          <w:tcPr>
            <w:tcW w:w="488" w:type="pct"/>
            <w:vAlign w:val="center"/>
          </w:tcPr>
          <w:p w:rsidR="00BB2493" w:rsidRPr="00C62D0D" w:rsidDel="00BB2493" w:rsidRDefault="00927F8F" w:rsidP="0010575F">
            <w:pPr>
              <w:pStyle w:val="Tablewriting"/>
            </w:pPr>
            <w:r>
              <w:t>Yes</w:t>
            </w:r>
          </w:p>
        </w:tc>
      </w:tr>
      <w:tr w:rsidR="00BB2493" w:rsidRPr="00C62D0D" w:rsidTr="0010575F">
        <w:trPr>
          <w:trHeight w:val="70"/>
        </w:trPr>
        <w:tc>
          <w:tcPr>
            <w:tcW w:w="160" w:type="pct"/>
            <w:vAlign w:val="center"/>
            <w:hideMark/>
          </w:tcPr>
          <w:p w:rsidR="00BB2493" w:rsidRPr="00C62D0D" w:rsidRDefault="00BB2493" w:rsidP="00FB500F">
            <w:pPr>
              <w:pStyle w:val="Tablewriting"/>
            </w:pPr>
            <w:r w:rsidRPr="00C62D0D">
              <w:t>9</w:t>
            </w:r>
          </w:p>
        </w:tc>
        <w:tc>
          <w:tcPr>
            <w:tcW w:w="3402" w:type="pct"/>
            <w:vAlign w:val="center"/>
            <w:hideMark/>
          </w:tcPr>
          <w:p w:rsidR="00BB2493" w:rsidRPr="00C62D0D" w:rsidRDefault="00BB2493" w:rsidP="00FB500F">
            <w:pPr>
              <w:pStyle w:val="Tablewriting"/>
            </w:pPr>
            <w:r w:rsidRPr="00C62D0D">
              <w:t xml:space="preserve">Did the review authors use a satisfactory technique for assessing the risk of bias (RoB) in individual studies that were included in the review? </w:t>
            </w:r>
          </w:p>
        </w:tc>
        <w:tc>
          <w:tcPr>
            <w:tcW w:w="439" w:type="pct"/>
            <w:noWrap/>
            <w:vAlign w:val="center"/>
            <w:hideMark/>
          </w:tcPr>
          <w:p w:rsidR="00BB2493" w:rsidRPr="00C62D0D" w:rsidRDefault="00927F8F" w:rsidP="0010575F">
            <w:pPr>
              <w:pStyle w:val="Tablewriting"/>
            </w:pPr>
            <w:r>
              <w:t>Yes</w:t>
            </w:r>
          </w:p>
        </w:tc>
        <w:tc>
          <w:tcPr>
            <w:tcW w:w="512" w:type="pct"/>
            <w:vAlign w:val="center"/>
          </w:tcPr>
          <w:p w:rsidR="00BB2493" w:rsidRPr="00C62D0D" w:rsidDel="00BB2493" w:rsidRDefault="00927F8F" w:rsidP="0010575F">
            <w:pPr>
              <w:pStyle w:val="Tablewriting"/>
            </w:pPr>
            <w:r>
              <w:t>Yes</w:t>
            </w:r>
          </w:p>
        </w:tc>
        <w:tc>
          <w:tcPr>
            <w:tcW w:w="488" w:type="pct"/>
            <w:vAlign w:val="center"/>
          </w:tcPr>
          <w:p w:rsidR="00BB2493" w:rsidRPr="00C62D0D" w:rsidDel="00BB2493" w:rsidRDefault="00927F8F" w:rsidP="0010575F">
            <w:pPr>
              <w:pStyle w:val="Tablewriting"/>
            </w:pPr>
            <w:r>
              <w:t>Yes</w:t>
            </w:r>
          </w:p>
        </w:tc>
      </w:tr>
      <w:tr w:rsidR="00BB2493" w:rsidRPr="00C62D0D" w:rsidTr="0010575F">
        <w:trPr>
          <w:trHeight w:val="317"/>
        </w:trPr>
        <w:tc>
          <w:tcPr>
            <w:tcW w:w="160" w:type="pct"/>
            <w:vAlign w:val="center"/>
            <w:hideMark/>
          </w:tcPr>
          <w:p w:rsidR="00BB2493" w:rsidRPr="00C62D0D" w:rsidRDefault="00BB2493" w:rsidP="00FB500F">
            <w:pPr>
              <w:pStyle w:val="Tablewriting"/>
            </w:pPr>
            <w:r w:rsidRPr="00C62D0D">
              <w:t>10</w:t>
            </w:r>
          </w:p>
        </w:tc>
        <w:tc>
          <w:tcPr>
            <w:tcW w:w="3402" w:type="pct"/>
            <w:vAlign w:val="center"/>
            <w:hideMark/>
          </w:tcPr>
          <w:p w:rsidR="00BB2493" w:rsidRPr="00C62D0D" w:rsidRDefault="00BB2493" w:rsidP="00FB500F">
            <w:pPr>
              <w:pStyle w:val="Tablewriting"/>
            </w:pPr>
            <w:r w:rsidRPr="00C62D0D">
              <w:t xml:space="preserve">Did the review authors report on the sources of funding for the studies included in the review? </w:t>
            </w:r>
          </w:p>
        </w:tc>
        <w:tc>
          <w:tcPr>
            <w:tcW w:w="439" w:type="pct"/>
            <w:vAlign w:val="center"/>
            <w:hideMark/>
          </w:tcPr>
          <w:p w:rsidR="00BB2493" w:rsidRPr="00C62D0D" w:rsidRDefault="00927F8F" w:rsidP="0010575F">
            <w:pPr>
              <w:pStyle w:val="Tablewriting"/>
            </w:pPr>
            <w:r>
              <w:t>No</w:t>
            </w:r>
          </w:p>
        </w:tc>
        <w:tc>
          <w:tcPr>
            <w:tcW w:w="512" w:type="pct"/>
            <w:vAlign w:val="center"/>
          </w:tcPr>
          <w:p w:rsidR="00BB2493" w:rsidRPr="00C62D0D" w:rsidDel="00BB2493" w:rsidRDefault="00927F8F" w:rsidP="0010575F">
            <w:pPr>
              <w:pStyle w:val="Tablewriting"/>
            </w:pPr>
            <w:r>
              <w:t>No</w:t>
            </w:r>
          </w:p>
        </w:tc>
        <w:tc>
          <w:tcPr>
            <w:tcW w:w="488" w:type="pct"/>
            <w:vAlign w:val="center"/>
          </w:tcPr>
          <w:p w:rsidR="00BB2493" w:rsidRPr="00C62D0D" w:rsidDel="00BB2493" w:rsidRDefault="00927F8F" w:rsidP="0010575F">
            <w:pPr>
              <w:pStyle w:val="Tablewriting"/>
            </w:pPr>
            <w:r>
              <w:t>No</w:t>
            </w:r>
          </w:p>
        </w:tc>
      </w:tr>
      <w:tr w:rsidR="00BB2493" w:rsidRPr="00C62D0D" w:rsidTr="0010575F">
        <w:trPr>
          <w:trHeight w:val="132"/>
        </w:trPr>
        <w:tc>
          <w:tcPr>
            <w:tcW w:w="160" w:type="pct"/>
            <w:vAlign w:val="center"/>
            <w:hideMark/>
          </w:tcPr>
          <w:p w:rsidR="00BB2493" w:rsidRPr="00C62D0D" w:rsidRDefault="00BB2493" w:rsidP="00FB500F">
            <w:pPr>
              <w:pStyle w:val="Tablewriting"/>
            </w:pPr>
            <w:r w:rsidRPr="00C62D0D">
              <w:t>11</w:t>
            </w:r>
          </w:p>
        </w:tc>
        <w:tc>
          <w:tcPr>
            <w:tcW w:w="3402" w:type="pct"/>
            <w:vAlign w:val="center"/>
            <w:hideMark/>
          </w:tcPr>
          <w:p w:rsidR="00BB2493" w:rsidRPr="00C62D0D" w:rsidRDefault="00BB2493" w:rsidP="00FB500F">
            <w:pPr>
              <w:pStyle w:val="Tablewriting"/>
            </w:pPr>
            <w:r w:rsidRPr="00C62D0D">
              <w:t xml:space="preserve">If meta-analysis was performed did the review authors use appropriate methods for statistical combination of results? </w:t>
            </w:r>
          </w:p>
        </w:tc>
        <w:tc>
          <w:tcPr>
            <w:tcW w:w="439" w:type="pct"/>
            <w:vAlign w:val="center"/>
            <w:hideMark/>
          </w:tcPr>
          <w:p w:rsidR="00BB2493" w:rsidRPr="00C62D0D" w:rsidRDefault="00927F8F" w:rsidP="0010575F">
            <w:pPr>
              <w:pStyle w:val="Tablewriting"/>
            </w:pPr>
            <w:r>
              <w:t>Yes</w:t>
            </w:r>
          </w:p>
        </w:tc>
        <w:tc>
          <w:tcPr>
            <w:tcW w:w="512" w:type="pct"/>
            <w:vAlign w:val="center"/>
          </w:tcPr>
          <w:p w:rsidR="00BB2493" w:rsidRPr="00C62D0D" w:rsidRDefault="00927F8F" w:rsidP="0010575F">
            <w:pPr>
              <w:pStyle w:val="Tablewriting"/>
            </w:pPr>
            <w:r>
              <w:t>Yes</w:t>
            </w:r>
          </w:p>
        </w:tc>
        <w:tc>
          <w:tcPr>
            <w:tcW w:w="488" w:type="pct"/>
            <w:vAlign w:val="center"/>
          </w:tcPr>
          <w:p w:rsidR="00BB2493" w:rsidRPr="00C62D0D" w:rsidRDefault="00DF487B" w:rsidP="0010575F">
            <w:pPr>
              <w:pStyle w:val="Tablewriting"/>
            </w:pPr>
            <w:r>
              <w:t>Yes</w:t>
            </w:r>
          </w:p>
        </w:tc>
      </w:tr>
      <w:tr w:rsidR="00BB2493" w:rsidRPr="00C62D0D" w:rsidTr="00713BFA">
        <w:trPr>
          <w:trHeight w:val="423"/>
        </w:trPr>
        <w:tc>
          <w:tcPr>
            <w:tcW w:w="160" w:type="pct"/>
            <w:vAlign w:val="center"/>
            <w:hideMark/>
          </w:tcPr>
          <w:p w:rsidR="00BB2493" w:rsidRPr="00C62D0D" w:rsidRDefault="00BB2493" w:rsidP="00FB500F">
            <w:pPr>
              <w:pStyle w:val="Tablewriting"/>
            </w:pPr>
            <w:r w:rsidRPr="00C62D0D">
              <w:t>12</w:t>
            </w:r>
          </w:p>
        </w:tc>
        <w:tc>
          <w:tcPr>
            <w:tcW w:w="3402" w:type="pct"/>
            <w:vAlign w:val="center"/>
            <w:hideMark/>
          </w:tcPr>
          <w:p w:rsidR="00BB2493" w:rsidRPr="00C62D0D" w:rsidRDefault="00BB2493" w:rsidP="00FB500F">
            <w:pPr>
              <w:pStyle w:val="Tablewriting"/>
            </w:pPr>
            <w:r w:rsidRPr="00C62D0D">
              <w:t xml:space="preserve">If meta-analysis was performed, did the review authors assess the potential impact of RoB in individual studies on the results of the meta-analysis or other evidence synthesis? </w:t>
            </w:r>
          </w:p>
        </w:tc>
        <w:tc>
          <w:tcPr>
            <w:tcW w:w="439" w:type="pct"/>
            <w:vAlign w:val="center"/>
            <w:hideMark/>
          </w:tcPr>
          <w:p w:rsidR="00BB2493" w:rsidRPr="00C62D0D" w:rsidRDefault="00DF487B" w:rsidP="0010575F">
            <w:pPr>
              <w:pStyle w:val="Tablewriting"/>
            </w:pPr>
            <w:r>
              <w:t>Yes</w:t>
            </w:r>
          </w:p>
        </w:tc>
        <w:tc>
          <w:tcPr>
            <w:tcW w:w="512" w:type="pct"/>
            <w:vAlign w:val="center"/>
          </w:tcPr>
          <w:p w:rsidR="00BB2493" w:rsidRPr="00C62D0D" w:rsidRDefault="00DF487B" w:rsidP="0010575F">
            <w:pPr>
              <w:pStyle w:val="Tablewriting"/>
            </w:pPr>
            <w:r>
              <w:t>Yes</w:t>
            </w:r>
          </w:p>
        </w:tc>
        <w:tc>
          <w:tcPr>
            <w:tcW w:w="488" w:type="pct"/>
            <w:vAlign w:val="center"/>
          </w:tcPr>
          <w:p w:rsidR="00BB2493" w:rsidRPr="00C62D0D" w:rsidRDefault="00DF487B" w:rsidP="0010575F">
            <w:pPr>
              <w:pStyle w:val="Tablewriting"/>
            </w:pPr>
            <w:r>
              <w:t>Yes</w:t>
            </w:r>
          </w:p>
        </w:tc>
      </w:tr>
      <w:tr w:rsidR="00BB2493" w:rsidRPr="00C62D0D" w:rsidTr="0010575F">
        <w:trPr>
          <w:trHeight w:val="292"/>
        </w:trPr>
        <w:tc>
          <w:tcPr>
            <w:tcW w:w="160" w:type="pct"/>
            <w:vAlign w:val="center"/>
            <w:hideMark/>
          </w:tcPr>
          <w:p w:rsidR="00BB2493" w:rsidRPr="00C62D0D" w:rsidRDefault="00BB2493" w:rsidP="00FB500F">
            <w:pPr>
              <w:pStyle w:val="Tablewriting"/>
            </w:pPr>
            <w:r w:rsidRPr="00C62D0D">
              <w:t>13</w:t>
            </w:r>
          </w:p>
        </w:tc>
        <w:tc>
          <w:tcPr>
            <w:tcW w:w="3402" w:type="pct"/>
            <w:vAlign w:val="center"/>
            <w:hideMark/>
          </w:tcPr>
          <w:p w:rsidR="00BB2493" w:rsidRPr="00C62D0D" w:rsidRDefault="00BB2493" w:rsidP="00FB500F">
            <w:pPr>
              <w:pStyle w:val="Tablewriting"/>
            </w:pPr>
            <w:r w:rsidRPr="00C62D0D">
              <w:t xml:space="preserve">Did the review authors account for RoB in individual studies when interpreting/ discussing the results of the review? </w:t>
            </w:r>
          </w:p>
        </w:tc>
        <w:tc>
          <w:tcPr>
            <w:tcW w:w="439" w:type="pct"/>
            <w:vAlign w:val="center"/>
            <w:hideMark/>
          </w:tcPr>
          <w:p w:rsidR="00BB2493" w:rsidRPr="00C62D0D" w:rsidRDefault="00DF487B" w:rsidP="0010575F">
            <w:pPr>
              <w:pStyle w:val="Tablewriting"/>
            </w:pPr>
            <w:r>
              <w:t>Yes</w:t>
            </w:r>
          </w:p>
        </w:tc>
        <w:tc>
          <w:tcPr>
            <w:tcW w:w="512" w:type="pct"/>
            <w:vAlign w:val="center"/>
          </w:tcPr>
          <w:p w:rsidR="00BB2493" w:rsidRPr="00C62D0D" w:rsidRDefault="00DF487B" w:rsidP="0010575F">
            <w:pPr>
              <w:pStyle w:val="Tablewriting"/>
            </w:pPr>
            <w:r>
              <w:t>Yes</w:t>
            </w:r>
          </w:p>
        </w:tc>
        <w:tc>
          <w:tcPr>
            <w:tcW w:w="488" w:type="pct"/>
            <w:vAlign w:val="center"/>
          </w:tcPr>
          <w:p w:rsidR="00BB2493" w:rsidRPr="00C62D0D" w:rsidRDefault="00DF487B" w:rsidP="0010575F">
            <w:pPr>
              <w:pStyle w:val="Tablewriting"/>
            </w:pPr>
            <w:r>
              <w:t>Yes</w:t>
            </w:r>
          </w:p>
        </w:tc>
      </w:tr>
      <w:tr w:rsidR="00BB2493" w:rsidRPr="00C62D0D" w:rsidTr="0010575F">
        <w:trPr>
          <w:trHeight w:val="213"/>
        </w:trPr>
        <w:tc>
          <w:tcPr>
            <w:tcW w:w="160" w:type="pct"/>
            <w:vAlign w:val="center"/>
            <w:hideMark/>
          </w:tcPr>
          <w:p w:rsidR="00BB2493" w:rsidRPr="00C62D0D" w:rsidRDefault="00BB2493" w:rsidP="00FB500F">
            <w:pPr>
              <w:pStyle w:val="Tablewriting"/>
            </w:pPr>
            <w:r w:rsidRPr="00C62D0D">
              <w:t>14</w:t>
            </w:r>
          </w:p>
        </w:tc>
        <w:tc>
          <w:tcPr>
            <w:tcW w:w="3402" w:type="pct"/>
            <w:vAlign w:val="center"/>
            <w:hideMark/>
          </w:tcPr>
          <w:p w:rsidR="00BB2493" w:rsidRPr="00C62D0D" w:rsidRDefault="00BB2493" w:rsidP="00FB500F">
            <w:pPr>
              <w:pStyle w:val="Tablewriting"/>
            </w:pPr>
            <w:r w:rsidRPr="00C62D0D">
              <w:t xml:space="preserve">Did the review authors provide a satisfactory explanation for, and discussion of, any heterogeneity observed in the results of the review? </w:t>
            </w:r>
          </w:p>
        </w:tc>
        <w:tc>
          <w:tcPr>
            <w:tcW w:w="439" w:type="pct"/>
            <w:vAlign w:val="center"/>
            <w:hideMark/>
          </w:tcPr>
          <w:p w:rsidR="00BB2493" w:rsidRPr="00C62D0D" w:rsidRDefault="002D2CA9" w:rsidP="0010575F">
            <w:pPr>
              <w:pStyle w:val="Tablewriting"/>
            </w:pPr>
            <w:r>
              <w:t>Yes</w:t>
            </w:r>
          </w:p>
        </w:tc>
        <w:tc>
          <w:tcPr>
            <w:tcW w:w="512" w:type="pct"/>
            <w:vAlign w:val="center"/>
          </w:tcPr>
          <w:p w:rsidR="00BB2493" w:rsidRPr="00C62D0D" w:rsidRDefault="00927F8F" w:rsidP="0010575F">
            <w:pPr>
              <w:pStyle w:val="Tablewriting"/>
            </w:pPr>
            <w:r>
              <w:t>No</w:t>
            </w:r>
          </w:p>
        </w:tc>
        <w:tc>
          <w:tcPr>
            <w:tcW w:w="488" w:type="pct"/>
            <w:vAlign w:val="center"/>
          </w:tcPr>
          <w:p w:rsidR="00BB2493" w:rsidRPr="00C62D0D" w:rsidRDefault="00503403" w:rsidP="0010575F">
            <w:pPr>
              <w:pStyle w:val="Tablewriting"/>
            </w:pPr>
            <w:r>
              <w:t>Yes</w:t>
            </w:r>
          </w:p>
        </w:tc>
      </w:tr>
      <w:tr w:rsidR="00BB2493" w:rsidRPr="00C62D0D" w:rsidTr="0010575F">
        <w:trPr>
          <w:trHeight w:val="149"/>
        </w:trPr>
        <w:tc>
          <w:tcPr>
            <w:tcW w:w="160" w:type="pct"/>
            <w:vAlign w:val="center"/>
            <w:hideMark/>
          </w:tcPr>
          <w:p w:rsidR="00BB2493" w:rsidRPr="00C62D0D" w:rsidRDefault="00BB2493" w:rsidP="00FB500F">
            <w:pPr>
              <w:pStyle w:val="Tablewriting"/>
            </w:pPr>
            <w:r w:rsidRPr="00C62D0D">
              <w:t>15</w:t>
            </w:r>
          </w:p>
        </w:tc>
        <w:tc>
          <w:tcPr>
            <w:tcW w:w="3402" w:type="pct"/>
            <w:vAlign w:val="center"/>
            <w:hideMark/>
          </w:tcPr>
          <w:p w:rsidR="00BB2493" w:rsidRPr="00C62D0D" w:rsidRDefault="00BB2493" w:rsidP="00FB500F">
            <w:pPr>
              <w:pStyle w:val="Tablewriting"/>
            </w:pPr>
            <w:r w:rsidRPr="00C62D0D">
              <w:t xml:space="preserve">If they performed quantitative synthesis did the review authors carry out an adequate investigation of publication bias (small study bias) and discuss its likely impact on the results of the review? </w:t>
            </w:r>
          </w:p>
        </w:tc>
        <w:tc>
          <w:tcPr>
            <w:tcW w:w="439" w:type="pct"/>
            <w:vAlign w:val="center"/>
            <w:hideMark/>
          </w:tcPr>
          <w:p w:rsidR="00BB2493" w:rsidRPr="00C62D0D" w:rsidRDefault="00DF487B" w:rsidP="0010575F">
            <w:pPr>
              <w:pStyle w:val="Tablewriting"/>
            </w:pPr>
            <w:r>
              <w:t>No</w:t>
            </w:r>
          </w:p>
        </w:tc>
        <w:tc>
          <w:tcPr>
            <w:tcW w:w="512" w:type="pct"/>
            <w:vAlign w:val="center"/>
          </w:tcPr>
          <w:p w:rsidR="00BB2493" w:rsidRPr="00C62D0D" w:rsidRDefault="00DF487B" w:rsidP="0010575F">
            <w:pPr>
              <w:pStyle w:val="Tablewriting"/>
            </w:pPr>
            <w:r>
              <w:t>Yes</w:t>
            </w:r>
          </w:p>
        </w:tc>
        <w:tc>
          <w:tcPr>
            <w:tcW w:w="488" w:type="pct"/>
            <w:vAlign w:val="center"/>
          </w:tcPr>
          <w:p w:rsidR="00BB2493" w:rsidRPr="00C62D0D" w:rsidRDefault="00DF487B" w:rsidP="0010575F">
            <w:pPr>
              <w:pStyle w:val="Tablewriting"/>
            </w:pPr>
            <w:r>
              <w:t>Yes</w:t>
            </w:r>
          </w:p>
        </w:tc>
      </w:tr>
      <w:tr w:rsidR="00BB2493" w:rsidRPr="00C62D0D" w:rsidTr="00713BFA">
        <w:trPr>
          <w:trHeight w:val="267"/>
        </w:trPr>
        <w:tc>
          <w:tcPr>
            <w:tcW w:w="160" w:type="pct"/>
            <w:vAlign w:val="center"/>
            <w:hideMark/>
          </w:tcPr>
          <w:p w:rsidR="00BB2493" w:rsidRPr="00C62D0D" w:rsidRDefault="00BB2493" w:rsidP="00FB500F">
            <w:pPr>
              <w:pStyle w:val="Tablewriting"/>
            </w:pPr>
            <w:r w:rsidRPr="00C62D0D">
              <w:t>16</w:t>
            </w:r>
          </w:p>
        </w:tc>
        <w:tc>
          <w:tcPr>
            <w:tcW w:w="3402" w:type="pct"/>
            <w:vAlign w:val="center"/>
            <w:hideMark/>
          </w:tcPr>
          <w:p w:rsidR="00BB2493" w:rsidRPr="00C62D0D" w:rsidRDefault="00BB2493" w:rsidP="00FB500F">
            <w:pPr>
              <w:pStyle w:val="Tablewriting"/>
            </w:pPr>
            <w:r w:rsidRPr="00C62D0D">
              <w:t xml:space="preserve">Did the review authors report any potential sources of conflict of interest, including any funding they received for conducting the review? </w:t>
            </w:r>
          </w:p>
        </w:tc>
        <w:tc>
          <w:tcPr>
            <w:tcW w:w="439" w:type="pct"/>
            <w:vAlign w:val="center"/>
            <w:hideMark/>
          </w:tcPr>
          <w:p w:rsidR="00BB2493" w:rsidRPr="00C62D0D" w:rsidRDefault="00DF487B" w:rsidP="0010575F">
            <w:pPr>
              <w:pStyle w:val="Tablewriting"/>
            </w:pPr>
            <w:r>
              <w:t>Yes</w:t>
            </w:r>
          </w:p>
        </w:tc>
        <w:tc>
          <w:tcPr>
            <w:tcW w:w="512" w:type="pct"/>
            <w:vAlign w:val="center"/>
          </w:tcPr>
          <w:p w:rsidR="00BB2493" w:rsidRPr="00C62D0D" w:rsidRDefault="00DF487B" w:rsidP="0010575F">
            <w:pPr>
              <w:pStyle w:val="Tablewriting"/>
            </w:pPr>
            <w:r>
              <w:t>Yes</w:t>
            </w:r>
          </w:p>
        </w:tc>
        <w:tc>
          <w:tcPr>
            <w:tcW w:w="488" w:type="pct"/>
            <w:vAlign w:val="center"/>
          </w:tcPr>
          <w:p w:rsidR="00BB2493" w:rsidRPr="00C62D0D" w:rsidRDefault="00DF487B" w:rsidP="0010575F">
            <w:pPr>
              <w:pStyle w:val="Tablewriting"/>
            </w:pPr>
            <w:r>
              <w:t>Yes</w:t>
            </w:r>
          </w:p>
        </w:tc>
      </w:tr>
    </w:tbl>
    <w:p w:rsidR="00404D7A" w:rsidRPr="00404D7A" w:rsidRDefault="00E83C1A" w:rsidP="00AB465E">
      <w:pPr>
        <w:pStyle w:val="TableFooter"/>
      </w:pPr>
      <w:r>
        <w:t xml:space="preserve">Abbreviations: AMSTAR = </w:t>
      </w:r>
      <w:r w:rsidRPr="00C269D8">
        <w:t>Assessing the Methodological Quality of Systematic Reviews</w:t>
      </w:r>
      <w:r>
        <w:t>;</w:t>
      </w:r>
      <w:r w:rsidRPr="00C269D8">
        <w:t xml:space="preserve"> </w:t>
      </w:r>
      <w:r>
        <w:t>RoB = risk of bias</w:t>
      </w:r>
    </w:p>
    <w:p w:rsidR="000D14FB" w:rsidRPr="00A36ED1" w:rsidRDefault="00701DEA" w:rsidP="0050534C">
      <w:pPr>
        <w:pStyle w:val="Heading3"/>
        <w:numPr>
          <w:ilvl w:val="0"/>
          <w:numId w:val="0"/>
        </w:numPr>
      </w:pPr>
      <w:bookmarkStart w:id="358" w:name="_Toc72850873"/>
      <w:bookmarkStart w:id="359" w:name="_Toc73525638"/>
      <w:r>
        <w:lastRenderedPageBreak/>
        <w:t>A.</w:t>
      </w:r>
      <w:r w:rsidR="00120334">
        <w:t>8</w:t>
      </w:r>
      <w:r w:rsidR="00FD59DC" w:rsidRPr="00E85569">
        <w:t xml:space="preserve"> </w:t>
      </w:r>
      <w:r w:rsidR="000D14FB" w:rsidRPr="00E85569">
        <w:t>Characteristics of Supplemental RCT evidence</w:t>
      </w:r>
      <w:bookmarkEnd w:id="358"/>
      <w:bookmarkEnd w:id="359"/>
    </w:p>
    <w:p w:rsidR="006A4263" w:rsidRDefault="006A4263" w:rsidP="00FF725F">
      <w:pPr>
        <w:pStyle w:val="Caption"/>
        <w:keepNext/>
      </w:pPr>
      <w:bookmarkStart w:id="360" w:name="_Ref61472406"/>
      <w:r>
        <w:t xml:space="preserve">Table </w:t>
      </w:r>
      <w:r w:rsidR="003C4A1C">
        <w:rPr>
          <w:noProof/>
        </w:rPr>
        <w:t>142</w:t>
      </w:r>
      <w:bookmarkEnd w:id="360"/>
      <w:r>
        <w:t xml:space="preserve">: </w:t>
      </w:r>
      <w:r w:rsidRPr="00A36FBA">
        <w:t xml:space="preserve">Characteristics of </w:t>
      </w:r>
      <w:r w:rsidR="003B6885">
        <w:t>s</w:t>
      </w:r>
      <w:r w:rsidRPr="00A36FBA">
        <w:t>upplemental RCT evidence</w:t>
      </w:r>
      <w:r w:rsidR="003B6885">
        <w:t xml:space="preserve"> (n=22)</w:t>
      </w:r>
    </w:p>
    <w:tbl>
      <w:tblPr>
        <w:tblStyle w:val="TableGrid"/>
        <w:tblW w:w="5334" w:type="pct"/>
        <w:tblLook w:val="04A0" w:firstRow="1" w:lastRow="0" w:firstColumn="1" w:lastColumn="0" w:noHBand="0" w:noVBand="1"/>
        <w:tblCaption w:val="Efficacy results of adalimumab trials (PASI 75 and DLQI)"/>
      </w:tblPr>
      <w:tblGrid>
        <w:gridCol w:w="561"/>
        <w:gridCol w:w="1443"/>
        <w:gridCol w:w="1128"/>
        <w:gridCol w:w="1152"/>
        <w:gridCol w:w="1536"/>
        <w:gridCol w:w="3399"/>
        <w:gridCol w:w="2405"/>
        <w:gridCol w:w="3256"/>
      </w:tblGrid>
      <w:tr w:rsidR="00116486" w:rsidRPr="00061F78" w:rsidTr="0050534C">
        <w:trPr>
          <w:trHeight w:val="299"/>
          <w:tblHeader/>
        </w:trPr>
        <w:tc>
          <w:tcPr>
            <w:tcW w:w="189" w:type="pct"/>
            <w:shd w:val="clear" w:color="auto" w:fill="BFBFBF" w:themeFill="background1" w:themeFillShade="BF"/>
          </w:tcPr>
          <w:p w:rsidR="0050534C" w:rsidRDefault="0050534C" w:rsidP="00693DA2">
            <w:pPr>
              <w:pStyle w:val="Tableheading"/>
              <w:keepNext/>
              <w:rPr>
                <w:rFonts w:eastAsia="MS Mincho"/>
              </w:rPr>
            </w:pPr>
            <w:r>
              <w:rPr>
                <w:rFonts w:eastAsia="MS Mincho"/>
              </w:rPr>
              <w:t>No.</w:t>
            </w:r>
          </w:p>
        </w:tc>
        <w:tc>
          <w:tcPr>
            <w:tcW w:w="485" w:type="pct"/>
            <w:shd w:val="clear" w:color="auto" w:fill="BFBFBF" w:themeFill="background1" w:themeFillShade="BF"/>
            <w:tcMar>
              <w:left w:w="28" w:type="dxa"/>
              <w:right w:w="28" w:type="dxa"/>
            </w:tcMar>
          </w:tcPr>
          <w:p w:rsidR="001835D1" w:rsidRPr="00061F78" w:rsidRDefault="001835D1" w:rsidP="00693DA2">
            <w:pPr>
              <w:pStyle w:val="Tableheading"/>
              <w:keepNext/>
              <w:rPr>
                <w:rFonts w:eastAsia="MS Mincho"/>
              </w:rPr>
            </w:pPr>
            <w:r>
              <w:rPr>
                <w:rFonts w:eastAsia="MS Mincho"/>
              </w:rPr>
              <w:t>Study</w:t>
            </w:r>
          </w:p>
        </w:tc>
        <w:tc>
          <w:tcPr>
            <w:tcW w:w="379" w:type="pct"/>
            <w:shd w:val="clear" w:color="auto" w:fill="BFBFBF" w:themeFill="background1" w:themeFillShade="BF"/>
          </w:tcPr>
          <w:p w:rsidR="001835D1" w:rsidRDefault="001835D1" w:rsidP="00693DA2">
            <w:pPr>
              <w:pStyle w:val="Tableheading"/>
              <w:keepNext/>
              <w:jc w:val="center"/>
              <w:rPr>
                <w:rFonts w:eastAsia="MS Mincho"/>
              </w:rPr>
            </w:pPr>
            <w:r>
              <w:rPr>
                <w:rFonts w:eastAsia="MS Mincho"/>
              </w:rPr>
              <w:t>Study type</w:t>
            </w:r>
          </w:p>
        </w:tc>
        <w:tc>
          <w:tcPr>
            <w:tcW w:w="387" w:type="pct"/>
            <w:shd w:val="clear" w:color="auto" w:fill="BFBFBF" w:themeFill="background1" w:themeFillShade="BF"/>
          </w:tcPr>
          <w:p w:rsidR="001835D1" w:rsidRDefault="001835D1" w:rsidP="00693DA2">
            <w:pPr>
              <w:pStyle w:val="Tableheading"/>
              <w:keepNext/>
              <w:jc w:val="center"/>
              <w:rPr>
                <w:rFonts w:eastAsia="MS Mincho"/>
              </w:rPr>
            </w:pPr>
            <w:r>
              <w:rPr>
                <w:rFonts w:eastAsia="MS Mincho"/>
              </w:rPr>
              <w:t>Countries</w:t>
            </w:r>
          </w:p>
        </w:tc>
        <w:tc>
          <w:tcPr>
            <w:tcW w:w="516" w:type="pct"/>
            <w:shd w:val="clear" w:color="auto" w:fill="BFBFBF" w:themeFill="background1" w:themeFillShade="BF"/>
            <w:tcMar>
              <w:left w:w="28" w:type="dxa"/>
              <w:right w:w="28" w:type="dxa"/>
            </w:tcMar>
          </w:tcPr>
          <w:p w:rsidR="001835D1" w:rsidRPr="00061F78" w:rsidRDefault="001835D1" w:rsidP="00693DA2">
            <w:pPr>
              <w:pStyle w:val="Tableheading"/>
              <w:keepNext/>
              <w:jc w:val="center"/>
              <w:rPr>
                <w:rFonts w:eastAsia="MS Mincho"/>
              </w:rPr>
            </w:pPr>
            <w:r>
              <w:rPr>
                <w:rFonts w:eastAsia="MS Mincho"/>
              </w:rPr>
              <w:t>N</w:t>
            </w:r>
            <w:r w:rsidR="00EF4F5E" w:rsidRPr="00EF4F5E">
              <w:rPr>
                <w:rFonts w:eastAsia="MS Mincho"/>
                <w:vertAlign w:val="superscript"/>
              </w:rPr>
              <w:t>1</w:t>
            </w:r>
          </w:p>
        </w:tc>
        <w:tc>
          <w:tcPr>
            <w:tcW w:w="1142" w:type="pct"/>
            <w:shd w:val="clear" w:color="auto" w:fill="BFBFBF" w:themeFill="background1" w:themeFillShade="BF"/>
            <w:tcMar>
              <w:left w:w="28" w:type="dxa"/>
              <w:right w:w="28" w:type="dxa"/>
            </w:tcMar>
          </w:tcPr>
          <w:p w:rsidR="001835D1" w:rsidRPr="00061F78" w:rsidRDefault="001835D1" w:rsidP="00693DA2">
            <w:pPr>
              <w:pStyle w:val="Tableheading"/>
              <w:keepNext/>
              <w:jc w:val="center"/>
              <w:rPr>
                <w:rFonts w:eastAsia="MS Mincho"/>
              </w:rPr>
            </w:pPr>
            <w:r w:rsidRPr="00061F78">
              <w:rPr>
                <w:rFonts w:eastAsia="MS Mincho"/>
              </w:rPr>
              <w:t>P</w:t>
            </w:r>
            <w:r>
              <w:rPr>
                <w:rFonts w:eastAsia="MS Mincho"/>
              </w:rPr>
              <w:t>opulation</w:t>
            </w:r>
          </w:p>
        </w:tc>
        <w:tc>
          <w:tcPr>
            <w:tcW w:w="808" w:type="pct"/>
            <w:shd w:val="clear" w:color="auto" w:fill="BFBFBF" w:themeFill="background1" w:themeFillShade="BF"/>
          </w:tcPr>
          <w:p w:rsidR="001835D1" w:rsidRDefault="001835D1" w:rsidP="00693DA2">
            <w:pPr>
              <w:pStyle w:val="Tableheading"/>
              <w:keepNext/>
              <w:jc w:val="center"/>
              <w:rPr>
                <w:rFonts w:eastAsia="MS Mincho"/>
              </w:rPr>
            </w:pPr>
            <w:r>
              <w:rPr>
                <w:rFonts w:eastAsia="MS Mincho"/>
              </w:rPr>
              <w:t>Intervention and comparator</w:t>
            </w:r>
          </w:p>
        </w:tc>
        <w:tc>
          <w:tcPr>
            <w:tcW w:w="1094" w:type="pct"/>
            <w:shd w:val="clear" w:color="auto" w:fill="BFBFBF" w:themeFill="background1" w:themeFillShade="BF"/>
            <w:tcMar>
              <w:left w:w="28" w:type="dxa"/>
              <w:right w:w="28" w:type="dxa"/>
            </w:tcMar>
          </w:tcPr>
          <w:p w:rsidR="001835D1" w:rsidRPr="00061F78" w:rsidRDefault="001835D1" w:rsidP="00693DA2">
            <w:pPr>
              <w:pStyle w:val="Tableheading"/>
              <w:keepNext/>
              <w:jc w:val="center"/>
              <w:rPr>
                <w:rFonts w:eastAsia="MS Mincho"/>
              </w:rPr>
            </w:pPr>
            <w:r>
              <w:rPr>
                <w:rFonts w:eastAsia="MS Mincho"/>
              </w:rPr>
              <w:t>Outcomes</w:t>
            </w:r>
          </w:p>
        </w:tc>
      </w:tr>
      <w:tr w:rsidR="00F040D5"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1835D1" w:rsidRPr="001E2154" w:rsidRDefault="001835D1" w:rsidP="00693DA2">
            <w:pPr>
              <w:pStyle w:val="Tableheading"/>
              <w:autoSpaceDE w:val="0"/>
              <w:autoSpaceDN w:val="0"/>
              <w:adjustRightInd w:val="0"/>
              <w:rPr>
                <w:rFonts w:eastAsiaTheme="minorEastAsia" w:cs="Calibri"/>
                <w:b w:val="0"/>
              </w:rPr>
            </w:pPr>
            <w:r>
              <w:rPr>
                <w:rFonts w:eastAsiaTheme="minorEastAsia" w:cs="Calibri"/>
                <w:b w:val="0"/>
              </w:rPr>
              <w:t>Xiao 2020</w:t>
            </w:r>
          </w:p>
        </w:tc>
        <w:tc>
          <w:tcPr>
            <w:tcW w:w="379" w:type="pct"/>
            <w:shd w:val="clear" w:color="auto" w:fill="auto"/>
          </w:tcPr>
          <w:p w:rsidR="001835D1" w:rsidRPr="001E2154" w:rsidRDefault="001835D1" w:rsidP="00693DA2">
            <w:pPr>
              <w:pStyle w:val="Tableheading"/>
              <w:autoSpaceDE w:val="0"/>
              <w:autoSpaceDN w:val="0"/>
              <w:adjustRightInd w:val="0"/>
              <w:rPr>
                <w:rFonts w:eastAsiaTheme="minorEastAsia" w:cs="Calibri"/>
                <w:b w:val="0"/>
              </w:rPr>
            </w:pPr>
            <w:r w:rsidRPr="001E2154">
              <w:rPr>
                <w:rFonts w:eastAsiaTheme="minorEastAsia" w:cs="Calibri"/>
                <w:b w:val="0"/>
              </w:rPr>
              <w:t>RCT</w:t>
            </w:r>
          </w:p>
        </w:tc>
        <w:tc>
          <w:tcPr>
            <w:tcW w:w="387" w:type="pct"/>
          </w:tcPr>
          <w:p w:rsidR="001835D1" w:rsidRPr="001E2154" w:rsidRDefault="00F1226F" w:rsidP="00693DA2">
            <w:pPr>
              <w:pStyle w:val="Tableheading"/>
              <w:autoSpaceDE w:val="0"/>
              <w:autoSpaceDN w:val="0"/>
              <w:adjustRightInd w:val="0"/>
              <w:rPr>
                <w:rFonts w:eastAsiaTheme="minorEastAsia" w:cs="Calibri"/>
                <w:b w:val="0"/>
              </w:rPr>
            </w:pPr>
            <w:r>
              <w:rPr>
                <w:rFonts w:eastAsiaTheme="minorEastAsia" w:cs="Calibri"/>
                <w:b w:val="0"/>
              </w:rPr>
              <w:t>China</w:t>
            </w:r>
          </w:p>
        </w:tc>
        <w:tc>
          <w:tcPr>
            <w:tcW w:w="516" w:type="pct"/>
            <w:shd w:val="clear" w:color="auto" w:fill="auto"/>
            <w:tcMar>
              <w:left w:w="28" w:type="dxa"/>
              <w:right w:w="28" w:type="dxa"/>
            </w:tcMar>
          </w:tcPr>
          <w:p w:rsidR="001835D1" w:rsidRPr="001E2154" w:rsidRDefault="001835D1" w:rsidP="00693DA2">
            <w:pPr>
              <w:pStyle w:val="Tableheading"/>
              <w:autoSpaceDE w:val="0"/>
              <w:autoSpaceDN w:val="0"/>
              <w:adjustRightInd w:val="0"/>
              <w:rPr>
                <w:rFonts w:eastAsiaTheme="minorEastAsia" w:cs="Calibri"/>
                <w:b w:val="0"/>
              </w:rPr>
            </w:pPr>
            <w:r w:rsidRPr="001E2154">
              <w:rPr>
                <w:rFonts w:eastAsiaTheme="minorEastAsia" w:cs="Calibri"/>
                <w:b w:val="0"/>
              </w:rPr>
              <w:t>N=</w:t>
            </w:r>
            <w:r w:rsidR="005120ED">
              <w:rPr>
                <w:rFonts w:eastAsiaTheme="minorEastAsia" w:cs="Calibri"/>
                <w:b w:val="0"/>
              </w:rPr>
              <w:t>723</w:t>
            </w:r>
            <w:r w:rsidRPr="001E2154">
              <w:rPr>
                <w:rFonts w:eastAsiaTheme="minorEastAsia" w:cs="Calibri"/>
                <w:b w:val="0"/>
              </w:rPr>
              <w:t>;</w:t>
            </w:r>
          </w:p>
          <w:p w:rsidR="00116486" w:rsidRDefault="00116486" w:rsidP="00693DA2">
            <w:pPr>
              <w:pStyle w:val="Tableheading"/>
              <w:autoSpaceDE w:val="0"/>
              <w:autoSpaceDN w:val="0"/>
              <w:adjustRightInd w:val="0"/>
              <w:rPr>
                <w:rFonts w:eastAsiaTheme="minorEastAsia" w:cs="Calibri"/>
                <w:b w:val="0"/>
              </w:rPr>
            </w:pPr>
            <w:r>
              <w:rPr>
                <w:rFonts w:eastAsiaTheme="minorEastAsia" w:cs="Calibri"/>
                <w:b w:val="0"/>
              </w:rPr>
              <w:t>High dependence</w:t>
            </w:r>
          </w:p>
          <w:p w:rsidR="00B325A0" w:rsidRDefault="001835D1" w:rsidP="00693DA2">
            <w:pPr>
              <w:pStyle w:val="Tableheading"/>
              <w:autoSpaceDE w:val="0"/>
              <w:autoSpaceDN w:val="0"/>
              <w:adjustRightInd w:val="0"/>
              <w:rPr>
                <w:rFonts w:eastAsiaTheme="minorEastAsia" w:cs="Calibri"/>
                <w:b w:val="0"/>
              </w:rPr>
            </w:pPr>
            <w:r w:rsidRPr="001E2154">
              <w:rPr>
                <w:rFonts w:eastAsiaTheme="minorEastAsia" w:cs="Calibri"/>
                <w:b w:val="0"/>
              </w:rPr>
              <w:t>n=</w:t>
            </w:r>
            <w:r w:rsidR="00B325A0">
              <w:rPr>
                <w:rFonts w:eastAsiaTheme="minorEastAsia" w:cs="Calibri"/>
                <w:b w:val="0"/>
              </w:rPr>
              <w:t>120</w:t>
            </w:r>
            <w:r w:rsidR="002C30FC">
              <w:rPr>
                <w:rFonts w:eastAsiaTheme="minorEastAsia" w:cs="Calibri"/>
                <w:b w:val="0"/>
              </w:rPr>
              <w:t>,</w:t>
            </w:r>
          </w:p>
          <w:p w:rsidR="00B325A0" w:rsidRDefault="00B325A0" w:rsidP="00693DA2">
            <w:pPr>
              <w:pStyle w:val="Tableheading"/>
              <w:autoSpaceDE w:val="0"/>
              <w:autoSpaceDN w:val="0"/>
              <w:adjustRightInd w:val="0"/>
              <w:rPr>
                <w:rFonts w:eastAsiaTheme="minorEastAsia" w:cs="Calibri"/>
                <w:b w:val="0"/>
              </w:rPr>
            </w:pPr>
            <w:r>
              <w:rPr>
                <w:rFonts w:eastAsiaTheme="minorEastAsia" w:cs="Calibri"/>
                <w:b w:val="0"/>
              </w:rPr>
              <w:t>Low dependence</w:t>
            </w:r>
          </w:p>
          <w:p w:rsidR="00F040D5" w:rsidRDefault="00B325A0" w:rsidP="00693DA2">
            <w:pPr>
              <w:pStyle w:val="Tableheading"/>
              <w:autoSpaceDE w:val="0"/>
              <w:autoSpaceDN w:val="0"/>
              <w:adjustRightInd w:val="0"/>
              <w:rPr>
                <w:rFonts w:eastAsiaTheme="minorEastAsia" w:cs="Calibri"/>
                <w:b w:val="0"/>
              </w:rPr>
            </w:pPr>
            <w:r>
              <w:rPr>
                <w:rFonts w:eastAsiaTheme="minorEastAsia" w:cs="Calibri"/>
                <w:b w:val="0"/>
              </w:rPr>
              <w:t>n=</w:t>
            </w:r>
            <w:r w:rsidR="00F040D5">
              <w:rPr>
                <w:rFonts w:eastAsiaTheme="minorEastAsia" w:cs="Calibri"/>
                <w:b w:val="0"/>
              </w:rPr>
              <w:t>241</w:t>
            </w:r>
            <w:r w:rsidR="001835D1" w:rsidRPr="001E2154">
              <w:rPr>
                <w:rFonts w:eastAsiaTheme="minorEastAsia" w:cs="Calibri"/>
                <w:b w:val="0"/>
              </w:rPr>
              <w:t xml:space="preserve"> (bupropion), </w:t>
            </w:r>
            <w:r w:rsidR="00F040D5">
              <w:rPr>
                <w:rFonts w:eastAsiaTheme="minorEastAsia" w:cs="Calibri"/>
                <w:b w:val="0"/>
              </w:rPr>
              <w:t>High dependence</w:t>
            </w:r>
          </w:p>
          <w:p w:rsidR="00F040D5" w:rsidRDefault="001835D1" w:rsidP="00693DA2">
            <w:pPr>
              <w:pStyle w:val="Tableheading"/>
              <w:autoSpaceDE w:val="0"/>
              <w:autoSpaceDN w:val="0"/>
              <w:adjustRightInd w:val="0"/>
              <w:rPr>
                <w:rFonts w:eastAsiaTheme="minorEastAsia" w:cs="Calibri"/>
                <w:b w:val="0"/>
              </w:rPr>
            </w:pPr>
            <w:r w:rsidRPr="001E2154">
              <w:rPr>
                <w:rFonts w:eastAsiaTheme="minorEastAsia" w:cs="Calibri"/>
                <w:b w:val="0"/>
              </w:rPr>
              <w:t>n=</w:t>
            </w:r>
            <w:r w:rsidR="00F040D5">
              <w:rPr>
                <w:rFonts w:eastAsiaTheme="minorEastAsia" w:cs="Calibri"/>
                <w:b w:val="0"/>
              </w:rPr>
              <w:t>120</w:t>
            </w:r>
            <w:r w:rsidR="002C30FC">
              <w:rPr>
                <w:rFonts w:eastAsiaTheme="minorEastAsia" w:cs="Calibri"/>
                <w:b w:val="0"/>
              </w:rPr>
              <w:t>,</w:t>
            </w:r>
          </w:p>
          <w:p w:rsidR="00F040D5" w:rsidRDefault="00F040D5" w:rsidP="00693DA2">
            <w:pPr>
              <w:pStyle w:val="Tableheading"/>
              <w:autoSpaceDE w:val="0"/>
              <w:autoSpaceDN w:val="0"/>
              <w:adjustRightInd w:val="0"/>
              <w:rPr>
                <w:rFonts w:eastAsiaTheme="minorEastAsia" w:cs="Calibri"/>
                <w:b w:val="0"/>
              </w:rPr>
            </w:pPr>
            <w:r>
              <w:rPr>
                <w:rFonts w:eastAsiaTheme="minorEastAsia" w:cs="Calibri"/>
                <w:b w:val="0"/>
              </w:rPr>
              <w:t>Low dependence</w:t>
            </w:r>
          </w:p>
          <w:p w:rsidR="001835D1" w:rsidRPr="001E2154" w:rsidRDefault="00F040D5" w:rsidP="00693DA2">
            <w:pPr>
              <w:pStyle w:val="Tableheading"/>
              <w:autoSpaceDE w:val="0"/>
              <w:autoSpaceDN w:val="0"/>
              <w:adjustRightInd w:val="0"/>
              <w:rPr>
                <w:rFonts w:eastAsiaTheme="minorEastAsia" w:cs="Calibri"/>
                <w:b w:val="0"/>
              </w:rPr>
            </w:pPr>
            <w:r>
              <w:rPr>
                <w:rFonts w:eastAsiaTheme="minorEastAsia" w:cs="Calibri"/>
                <w:b w:val="0"/>
              </w:rPr>
              <w:t>n=</w:t>
            </w:r>
            <w:r w:rsidR="00446BE7">
              <w:rPr>
                <w:rFonts w:eastAsiaTheme="minorEastAsia" w:cs="Calibri"/>
                <w:b w:val="0"/>
              </w:rPr>
              <w:t>242</w:t>
            </w:r>
            <w:r w:rsidR="001835D1" w:rsidRPr="001E2154">
              <w:rPr>
                <w:rFonts w:eastAsiaTheme="minorEastAsia" w:cs="Calibri"/>
                <w:b w:val="0"/>
              </w:rPr>
              <w:t xml:space="preserve"> (placebo</w:t>
            </w:r>
            <w:r w:rsidR="0050534C" w:rsidRPr="001E2154">
              <w:rPr>
                <w:rFonts w:eastAsiaTheme="minorEastAsia" w:cs="Calibri"/>
                <w:b w:val="0"/>
              </w:rPr>
              <w:t>)</w:t>
            </w:r>
            <w:r w:rsidR="002C30FC">
              <w:rPr>
                <w:rFonts w:eastAsiaTheme="minorEastAsia" w:cs="Calibri"/>
                <w:b w:val="0"/>
              </w:rPr>
              <w:t>.</w:t>
            </w:r>
          </w:p>
        </w:tc>
        <w:tc>
          <w:tcPr>
            <w:tcW w:w="1142" w:type="pct"/>
            <w:shd w:val="clear" w:color="auto" w:fill="auto"/>
            <w:tcMar>
              <w:left w:w="28" w:type="dxa"/>
              <w:right w:w="28" w:type="dxa"/>
            </w:tcMar>
          </w:tcPr>
          <w:p w:rsidR="00446BE7" w:rsidRPr="00446BE7" w:rsidRDefault="00446BE7" w:rsidP="00446BE7">
            <w:pPr>
              <w:pStyle w:val="Tableheading"/>
              <w:autoSpaceDE w:val="0"/>
              <w:autoSpaceDN w:val="0"/>
              <w:adjustRightInd w:val="0"/>
              <w:rPr>
                <w:rFonts w:eastAsiaTheme="minorEastAsia" w:cs="Calibri"/>
                <w:b w:val="0"/>
              </w:rPr>
            </w:pPr>
            <w:r w:rsidRPr="00446BE7">
              <w:rPr>
                <w:rFonts w:eastAsiaTheme="minorEastAsia" w:cs="Calibri"/>
                <w:b w:val="0"/>
              </w:rPr>
              <w:t xml:space="preserve">Adult </w:t>
            </w:r>
            <w:r w:rsidR="0050534C" w:rsidRPr="00446BE7">
              <w:rPr>
                <w:rFonts w:eastAsiaTheme="minorEastAsia" w:cs="Calibri"/>
                <w:b w:val="0"/>
              </w:rPr>
              <w:t>(</w:t>
            </w:r>
            <w:r w:rsidR="00A314FD" w:rsidRPr="00A314FD">
              <w:rPr>
                <w:rFonts w:eastAsiaTheme="minorEastAsia" w:cs="Calibri"/>
                <w:b w:val="0"/>
              </w:rPr>
              <w:t xml:space="preserve">≥ </w:t>
            </w:r>
            <w:r w:rsidR="0050534C" w:rsidRPr="00446BE7">
              <w:rPr>
                <w:rFonts w:eastAsiaTheme="minorEastAsia" w:cs="Calibri"/>
                <w:b w:val="0"/>
              </w:rPr>
              <w:t>18</w:t>
            </w:r>
            <w:r w:rsidR="00A314FD">
              <w:rPr>
                <w:rFonts w:eastAsiaTheme="minorEastAsia" w:cs="Calibri"/>
                <w:b w:val="0"/>
              </w:rPr>
              <w:t xml:space="preserve"> </w:t>
            </w:r>
            <w:r w:rsidR="0050534C" w:rsidRPr="00446BE7">
              <w:rPr>
                <w:rFonts w:eastAsiaTheme="minorEastAsia" w:cs="Calibri"/>
                <w:b w:val="0"/>
              </w:rPr>
              <w:t>y</w:t>
            </w:r>
            <w:r w:rsidR="00A314FD">
              <w:rPr>
                <w:rFonts w:eastAsiaTheme="minorEastAsia" w:cs="Calibri"/>
                <w:b w:val="0"/>
              </w:rPr>
              <w:t>ears</w:t>
            </w:r>
            <w:r w:rsidR="0050534C" w:rsidRPr="00446BE7">
              <w:rPr>
                <w:rFonts w:eastAsiaTheme="minorEastAsia" w:cs="Calibri"/>
                <w:b w:val="0"/>
              </w:rPr>
              <w:t>)</w:t>
            </w:r>
            <w:r w:rsidRPr="00446BE7">
              <w:rPr>
                <w:rFonts w:eastAsiaTheme="minorEastAsia" w:cs="Calibri"/>
                <w:b w:val="0"/>
              </w:rPr>
              <w:t xml:space="preserve"> daily smokers </w:t>
            </w:r>
            <w:r w:rsidR="0050534C" w:rsidRPr="00446BE7">
              <w:rPr>
                <w:rFonts w:eastAsiaTheme="minorEastAsia" w:cs="Calibri"/>
                <w:b w:val="0"/>
              </w:rPr>
              <w:t>(</w:t>
            </w:r>
            <w:r w:rsidR="00A314FD" w:rsidRPr="00A314FD">
              <w:rPr>
                <w:rFonts w:eastAsiaTheme="minorEastAsia" w:cs="Calibri"/>
                <w:b w:val="0"/>
              </w:rPr>
              <w:t xml:space="preserve">≥ </w:t>
            </w:r>
            <w:r w:rsidRPr="00446BE7">
              <w:rPr>
                <w:rFonts w:eastAsiaTheme="minorEastAsia" w:cs="Calibri"/>
                <w:b w:val="0"/>
              </w:rPr>
              <w:t>1 year) motivated to quit</w:t>
            </w:r>
            <w:r w:rsidR="00554906">
              <w:rPr>
                <w:rFonts w:eastAsiaTheme="minorEastAsia" w:cs="Calibri"/>
                <w:b w:val="0"/>
              </w:rPr>
              <w:t>.</w:t>
            </w:r>
          </w:p>
          <w:p w:rsidR="001835D1" w:rsidRPr="001E2154" w:rsidRDefault="00446BE7" w:rsidP="00446BE7">
            <w:pPr>
              <w:pStyle w:val="Tableheading"/>
              <w:autoSpaceDE w:val="0"/>
              <w:autoSpaceDN w:val="0"/>
              <w:adjustRightInd w:val="0"/>
              <w:rPr>
                <w:rFonts w:eastAsiaTheme="minorEastAsia" w:cs="Calibri"/>
                <w:b w:val="0"/>
              </w:rPr>
            </w:pPr>
            <w:r w:rsidRPr="00621F25">
              <w:rPr>
                <w:rFonts w:eastAsiaTheme="minorEastAsia" w:cs="Calibri"/>
                <w:b w:val="0"/>
                <w:u w:val="single"/>
              </w:rPr>
              <w:t>Exclusions</w:t>
            </w:r>
            <w:r w:rsidRPr="00446BE7">
              <w:rPr>
                <w:rFonts w:eastAsiaTheme="minorEastAsia" w:cs="Calibri"/>
                <w:b w:val="0"/>
              </w:rPr>
              <w:t>:</w:t>
            </w:r>
            <w:r w:rsidR="00621F25">
              <w:rPr>
                <w:rFonts w:eastAsiaTheme="minorEastAsia" w:cs="Calibri"/>
                <w:b w:val="0"/>
              </w:rPr>
              <w:t xml:space="preserve"> </w:t>
            </w:r>
            <w:r>
              <w:rPr>
                <w:rFonts w:eastAsiaTheme="minorEastAsia" w:cs="Calibri"/>
                <w:b w:val="0"/>
              </w:rPr>
              <w:t>N</w:t>
            </w:r>
            <w:r w:rsidRPr="00446BE7">
              <w:rPr>
                <w:rFonts w:eastAsiaTheme="minorEastAsia" w:cs="Calibri"/>
                <w:b w:val="0"/>
              </w:rPr>
              <w:t>on-cigarette tobacco use or other NRT, illicit substance use, smoking cessation aids within 30 days, history of drug or alcohol use, involvement in other clinical trial, preg</w:t>
            </w:r>
            <w:r>
              <w:rPr>
                <w:rFonts w:eastAsiaTheme="minorEastAsia" w:cs="Calibri"/>
                <w:b w:val="0"/>
              </w:rPr>
              <w:t>n</w:t>
            </w:r>
            <w:r w:rsidRPr="00446BE7">
              <w:rPr>
                <w:rFonts w:eastAsiaTheme="minorEastAsia" w:cs="Calibri"/>
                <w:b w:val="0"/>
              </w:rPr>
              <w:t>ant, breastfeeding, childbearing potential refusing medical contraception, unstable or uncontrolled medical conditions, hyperthyr</w:t>
            </w:r>
            <w:r w:rsidR="00F64DCB">
              <w:rPr>
                <w:rFonts w:eastAsiaTheme="minorEastAsia" w:cs="Calibri"/>
                <w:b w:val="0"/>
              </w:rPr>
              <w:t>oi</w:t>
            </w:r>
            <w:r w:rsidRPr="00446BE7">
              <w:rPr>
                <w:rFonts w:eastAsiaTheme="minorEastAsia" w:cs="Calibri"/>
                <w:b w:val="0"/>
              </w:rPr>
              <w:t xml:space="preserve">dism or used medical insulin for diabetes, recent MI or cerebral vascular accidents, allergy to aspartame or phenylpyruvic acid, </w:t>
            </w:r>
            <w:r w:rsidR="009E7142" w:rsidRPr="00446BE7">
              <w:rPr>
                <w:rFonts w:eastAsiaTheme="minorEastAsia" w:cs="Calibri"/>
                <w:b w:val="0"/>
              </w:rPr>
              <w:t>phenylketonuria</w:t>
            </w:r>
            <w:r w:rsidRPr="00446BE7">
              <w:rPr>
                <w:rFonts w:eastAsiaTheme="minorEastAsia" w:cs="Calibri"/>
                <w:b w:val="0"/>
              </w:rPr>
              <w:t xml:space="preserve"> diagnosis, medical hist</w:t>
            </w:r>
            <w:r w:rsidR="00F64DCB">
              <w:rPr>
                <w:rFonts w:eastAsiaTheme="minorEastAsia" w:cs="Calibri"/>
                <w:b w:val="0"/>
              </w:rPr>
              <w:t>o</w:t>
            </w:r>
            <w:r w:rsidRPr="00446BE7">
              <w:rPr>
                <w:rFonts w:eastAsiaTheme="minorEastAsia" w:cs="Calibri"/>
                <w:b w:val="0"/>
              </w:rPr>
              <w:t>ry endangering subject safety or study re</w:t>
            </w:r>
            <w:r w:rsidR="00F64DCB">
              <w:rPr>
                <w:rFonts w:eastAsiaTheme="minorEastAsia" w:cs="Calibri"/>
                <w:b w:val="0"/>
              </w:rPr>
              <w:t>s</w:t>
            </w:r>
            <w:r w:rsidRPr="00446BE7">
              <w:rPr>
                <w:rFonts w:eastAsiaTheme="minorEastAsia" w:cs="Calibri"/>
                <w:b w:val="0"/>
              </w:rPr>
              <w:t>ult validity</w:t>
            </w:r>
            <w:r w:rsidR="00621F25">
              <w:rPr>
                <w:rFonts w:eastAsiaTheme="minorEastAsia" w:cs="Calibri"/>
                <w:b w:val="0"/>
              </w:rPr>
              <w:t>.</w:t>
            </w:r>
          </w:p>
        </w:tc>
        <w:tc>
          <w:tcPr>
            <w:tcW w:w="808" w:type="pct"/>
            <w:shd w:val="clear" w:color="auto" w:fill="auto"/>
          </w:tcPr>
          <w:p w:rsidR="00F64DCB" w:rsidRPr="00F64DCB" w:rsidRDefault="00F64DCB" w:rsidP="00C324F3">
            <w:pPr>
              <w:pStyle w:val="Tablewriting"/>
              <w:keepNext/>
              <w:numPr>
                <w:ilvl w:val="0"/>
                <w:numId w:val="8"/>
              </w:numPr>
              <w:rPr>
                <w:rFonts w:eastAsia="MS Mincho"/>
              </w:rPr>
            </w:pPr>
            <w:r w:rsidRPr="00F64DCB">
              <w:rPr>
                <w:rFonts w:eastAsia="MS Mincho"/>
              </w:rPr>
              <w:t>NRT lozenge (</w:t>
            </w:r>
            <w:r w:rsidR="0050534C" w:rsidRPr="00F64DCB">
              <w:rPr>
                <w:rFonts w:eastAsia="MS Mincho"/>
              </w:rPr>
              <w:t>2</w:t>
            </w:r>
            <w:r w:rsidR="002C30FC">
              <w:rPr>
                <w:rFonts w:eastAsia="MS Mincho"/>
              </w:rPr>
              <w:t xml:space="preserve"> </w:t>
            </w:r>
            <w:r w:rsidR="0050534C" w:rsidRPr="00F64DCB">
              <w:rPr>
                <w:rFonts w:eastAsia="MS Mincho"/>
              </w:rPr>
              <w:t>mg</w:t>
            </w:r>
            <w:r w:rsidRPr="00F64DCB">
              <w:rPr>
                <w:rFonts w:eastAsia="MS Mincho"/>
              </w:rPr>
              <w:t xml:space="preserve"> or </w:t>
            </w:r>
            <w:r w:rsidR="0050534C" w:rsidRPr="00F64DCB">
              <w:rPr>
                <w:rFonts w:eastAsia="MS Mincho"/>
              </w:rPr>
              <w:t>4</w:t>
            </w:r>
            <w:r w:rsidR="002C30FC">
              <w:rPr>
                <w:rFonts w:eastAsia="MS Mincho"/>
              </w:rPr>
              <w:t xml:space="preserve"> </w:t>
            </w:r>
            <w:r w:rsidR="0050534C" w:rsidRPr="00F64DCB">
              <w:rPr>
                <w:rFonts w:eastAsia="MS Mincho"/>
              </w:rPr>
              <w:t>mg</w:t>
            </w:r>
            <w:r w:rsidRPr="00F64DCB">
              <w:rPr>
                <w:rFonts w:eastAsia="MS Mincho"/>
              </w:rPr>
              <w:t xml:space="preserve">) daily, </w:t>
            </w:r>
            <w:r w:rsidR="0050534C" w:rsidRPr="00F64DCB">
              <w:rPr>
                <w:rFonts w:eastAsia="MS Mincho"/>
              </w:rPr>
              <w:t>12</w:t>
            </w:r>
            <w:r w:rsidR="002C30FC">
              <w:rPr>
                <w:rFonts w:eastAsia="MS Mincho"/>
              </w:rPr>
              <w:t xml:space="preserve"> </w:t>
            </w:r>
            <w:r w:rsidR="0050534C" w:rsidRPr="00F64DCB">
              <w:rPr>
                <w:rFonts w:eastAsia="MS Mincho"/>
              </w:rPr>
              <w:t>w</w:t>
            </w:r>
            <w:r w:rsidR="002C30FC">
              <w:rPr>
                <w:rFonts w:eastAsia="MS Mincho"/>
              </w:rPr>
              <w:t>ee</w:t>
            </w:r>
            <w:r w:rsidR="0050534C" w:rsidRPr="00F64DCB">
              <w:rPr>
                <w:rFonts w:eastAsia="MS Mincho"/>
              </w:rPr>
              <w:t>ks</w:t>
            </w:r>
            <w:r w:rsidRPr="00F64DCB">
              <w:rPr>
                <w:rFonts w:eastAsia="MS Mincho"/>
              </w:rPr>
              <w:t>, dose tapered down,  then occasional use for relapse prevention until week 24</w:t>
            </w:r>
          </w:p>
          <w:p w:rsidR="00F64DCB" w:rsidRPr="00F64DCB" w:rsidRDefault="00F64DCB" w:rsidP="00C324F3">
            <w:pPr>
              <w:pStyle w:val="Tablewriting"/>
              <w:keepNext/>
              <w:numPr>
                <w:ilvl w:val="0"/>
                <w:numId w:val="8"/>
              </w:numPr>
              <w:rPr>
                <w:rFonts w:eastAsia="MS Mincho"/>
              </w:rPr>
            </w:pPr>
            <w:r w:rsidRPr="00F64DCB">
              <w:rPr>
                <w:rFonts w:eastAsia="MS Mincho"/>
              </w:rPr>
              <w:t>Placebo</w:t>
            </w:r>
          </w:p>
          <w:p w:rsidR="00494AD7" w:rsidRDefault="00494AD7" w:rsidP="00A27426">
            <w:pPr>
              <w:pStyle w:val="Tablewriting"/>
              <w:keepNext/>
              <w:rPr>
                <w:rFonts w:eastAsia="MS Mincho"/>
                <w:u w:val="single"/>
              </w:rPr>
            </w:pPr>
          </w:p>
          <w:p w:rsidR="00F64DCB" w:rsidRPr="00494AD7" w:rsidRDefault="00F64DCB" w:rsidP="00A27426">
            <w:pPr>
              <w:pStyle w:val="Tablewriting"/>
              <w:keepNext/>
              <w:rPr>
                <w:rFonts w:eastAsia="MS Mincho"/>
                <w:u w:val="single"/>
              </w:rPr>
            </w:pPr>
            <w:r w:rsidRPr="00494AD7">
              <w:rPr>
                <w:rFonts w:eastAsia="MS Mincho"/>
                <w:u w:val="single"/>
              </w:rPr>
              <w:t>Common elements:</w:t>
            </w:r>
          </w:p>
          <w:p w:rsidR="001835D1" w:rsidRPr="00A34E7B" w:rsidRDefault="00F64DCB" w:rsidP="00693DA2">
            <w:pPr>
              <w:pStyle w:val="Tablewriting"/>
              <w:keepNext/>
              <w:rPr>
                <w:rFonts w:eastAsia="MS Mincho"/>
              </w:rPr>
            </w:pPr>
            <w:r w:rsidRPr="00F64DCB">
              <w:rPr>
                <w:rFonts w:eastAsia="MS Mincho"/>
              </w:rPr>
              <w:t xml:space="preserve">Low-intensity behavioural support </w:t>
            </w:r>
            <w:r w:rsidR="0050534C" w:rsidRPr="00F64DCB">
              <w:rPr>
                <w:rFonts w:eastAsia="MS Mincho"/>
              </w:rPr>
              <w:t>w</w:t>
            </w:r>
            <w:r w:rsidR="00494AD7">
              <w:rPr>
                <w:rFonts w:eastAsia="MS Mincho"/>
              </w:rPr>
              <w:t>ee</w:t>
            </w:r>
            <w:r w:rsidR="0050534C" w:rsidRPr="00F64DCB">
              <w:rPr>
                <w:rFonts w:eastAsia="MS Mincho"/>
              </w:rPr>
              <w:t>k</w:t>
            </w:r>
            <w:r w:rsidR="00494AD7">
              <w:rPr>
                <w:rFonts w:eastAsia="MS Mincho"/>
              </w:rPr>
              <w:t xml:space="preserve"> (</w:t>
            </w:r>
            <w:r w:rsidR="0050534C" w:rsidRPr="00F64DCB">
              <w:rPr>
                <w:rFonts w:eastAsia="MS Mincho"/>
              </w:rPr>
              <w:t>0</w:t>
            </w:r>
            <w:r w:rsidRPr="00F64DCB">
              <w:rPr>
                <w:rFonts w:eastAsia="MS Mincho"/>
              </w:rPr>
              <w:t>,1,2,4)</w:t>
            </w:r>
            <w:r w:rsidR="0028211B">
              <w:rPr>
                <w:rFonts w:eastAsia="MS Mincho"/>
              </w:rPr>
              <w:t xml:space="preserve">. </w:t>
            </w:r>
          </w:p>
        </w:tc>
        <w:tc>
          <w:tcPr>
            <w:tcW w:w="1094" w:type="pct"/>
            <w:shd w:val="clear" w:color="auto" w:fill="auto"/>
            <w:tcMar>
              <w:left w:w="28" w:type="dxa"/>
              <w:right w:w="28" w:type="dxa"/>
            </w:tcMar>
          </w:tcPr>
          <w:p w:rsidR="002E5408" w:rsidRDefault="001835D1" w:rsidP="00744925">
            <w:pPr>
              <w:pStyle w:val="Tableheading"/>
              <w:autoSpaceDE w:val="0"/>
              <w:autoSpaceDN w:val="0"/>
              <w:adjustRightInd w:val="0"/>
              <w:rPr>
                <w:rFonts w:eastAsiaTheme="minorEastAsia" w:cs="Calibri"/>
                <w:b w:val="0"/>
              </w:rPr>
            </w:pPr>
            <w:r w:rsidRPr="00320A67">
              <w:rPr>
                <w:rFonts w:eastAsiaTheme="minorEastAsia" w:cs="Calibri"/>
                <w:b w:val="0"/>
                <w:u w:val="single"/>
              </w:rPr>
              <w:t>Efficacy:</w:t>
            </w:r>
            <w:r w:rsidRPr="001E2154">
              <w:rPr>
                <w:rFonts w:eastAsiaTheme="minorEastAsia" w:cs="Calibri"/>
                <w:b w:val="0"/>
              </w:rPr>
              <w:t xml:space="preserve"> </w:t>
            </w:r>
          </w:p>
          <w:p w:rsidR="00744925" w:rsidRPr="00554906" w:rsidRDefault="00744925" w:rsidP="00744925">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rsidR="00744925" w:rsidRPr="00744925" w:rsidRDefault="00744925" w:rsidP="00744925">
            <w:pPr>
              <w:pStyle w:val="Tableheading"/>
              <w:autoSpaceDE w:val="0"/>
              <w:autoSpaceDN w:val="0"/>
              <w:adjustRightInd w:val="0"/>
              <w:rPr>
                <w:rFonts w:eastAsiaTheme="minorEastAsia" w:cs="Calibri"/>
                <w:b w:val="0"/>
              </w:rPr>
            </w:pPr>
            <w:r w:rsidRPr="00744925">
              <w:rPr>
                <w:rFonts w:eastAsiaTheme="minorEastAsia" w:cs="Calibri"/>
                <w:b w:val="0"/>
              </w:rPr>
              <w:t xml:space="preserve">28-day continuous abstinence </w:t>
            </w:r>
            <w:r w:rsidR="0050534C" w:rsidRPr="00744925">
              <w:rPr>
                <w:rFonts w:eastAsiaTheme="minorEastAsia" w:cs="Calibri"/>
                <w:b w:val="0"/>
              </w:rPr>
              <w:t>6</w:t>
            </w:r>
            <w:r w:rsidR="00494AD7">
              <w:rPr>
                <w:rFonts w:eastAsiaTheme="minorEastAsia" w:cs="Calibri"/>
                <w:b w:val="0"/>
              </w:rPr>
              <w:t xml:space="preserve"> </w:t>
            </w:r>
            <w:r w:rsidR="0050534C" w:rsidRPr="00744925">
              <w:rPr>
                <w:rFonts w:eastAsiaTheme="minorEastAsia" w:cs="Calibri"/>
                <w:b w:val="0"/>
              </w:rPr>
              <w:t>w</w:t>
            </w:r>
            <w:r w:rsidR="00494AD7">
              <w:rPr>
                <w:rFonts w:eastAsiaTheme="minorEastAsia" w:cs="Calibri"/>
                <w:b w:val="0"/>
              </w:rPr>
              <w:t>ee</w:t>
            </w:r>
            <w:r w:rsidR="0050534C" w:rsidRPr="00744925">
              <w:rPr>
                <w:rFonts w:eastAsiaTheme="minorEastAsia" w:cs="Calibri"/>
                <w:b w:val="0"/>
              </w:rPr>
              <w:t>k</w:t>
            </w:r>
            <w:r w:rsidRPr="00744925">
              <w:rPr>
                <w:rFonts w:eastAsiaTheme="minorEastAsia" w:cs="Calibri"/>
                <w:b w:val="0"/>
              </w:rPr>
              <w:t xml:space="preserve">, CO-verified </w:t>
            </w:r>
            <w:r w:rsidR="0050534C" w:rsidRPr="00744925">
              <w:rPr>
                <w:rFonts w:eastAsiaTheme="minorEastAsia" w:cs="Calibri"/>
                <w:b w:val="0"/>
              </w:rPr>
              <w:t>(</w:t>
            </w:r>
            <w:r w:rsidR="00494AD7" w:rsidRPr="00494AD7">
              <w:rPr>
                <w:rFonts w:eastAsiaTheme="minorEastAsia" w:cs="Calibri"/>
                <w:b w:val="0"/>
              </w:rPr>
              <w:t xml:space="preserve">≤ </w:t>
            </w:r>
            <w:r w:rsidRPr="00744925">
              <w:rPr>
                <w:rFonts w:eastAsiaTheme="minorEastAsia" w:cs="Calibri"/>
                <w:b w:val="0"/>
              </w:rPr>
              <w:t>10ppm)</w:t>
            </w:r>
            <w:r w:rsidR="002E5408">
              <w:rPr>
                <w:rFonts w:eastAsiaTheme="minorEastAsia" w:cs="Calibri"/>
                <w:b w:val="0"/>
              </w:rPr>
              <w:t>.</w:t>
            </w:r>
          </w:p>
          <w:p w:rsidR="00744925" w:rsidRPr="00494AD7" w:rsidRDefault="00744925" w:rsidP="00744925">
            <w:pPr>
              <w:pStyle w:val="Tableheading"/>
              <w:autoSpaceDE w:val="0"/>
              <w:autoSpaceDN w:val="0"/>
              <w:adjustRightInd w:val="0"/>
              <w:rPr>
                <w:rFonts w:eastAsiaTheme="minorEastAsia" w:cs="Calibri"/>
                <w:b w:val="0"/>
                <w:i/>
              </w:rPr>
            </w:pPr>
            <w:r w:rsidRPr="00494AD7">
              <w:rPr>
                <w:rFonts w:eastAsiaTheme="minorEastAsia" w:cs="Calibri"/>
                <w:b w:val="0"/>
                <w:i/>
              </w:rPr>
              <w:t>Secondary</w:t>
            </w:r>
            <w:r w:rsidR="00494AD7">
              <w:rPr>
                <w:rFonts w:eastAsiaTheme="minorEastAsia" w:cs="Calibri"/>
                <w:b w:val="0"/>
                <w:i/>
                <w:iCs/>
              </w:rPr>
              <w:t>:</w:t>
            </w:r>
          </w:p>
          <w:p w:rsidR="00744925" w:rsidRPr="00744925" w:rsidRDefault="00744925" w:rsidP="00744925">
            <w:pPr>
              <w:pStyle w:val="Tableheading"/>
              <w:autoSpaceDE w:val="0"/>
              <w:autoSpaceDN w:val="0"/>
              <w:adjustRightInd w:val="0"/>
              <w:rPr>
                <w:rFonts w:eastAsiaTheme="minorEastAsia" w:cs="Calibri"/>
                <w:b w:val="0"/>
              </w:rPr>
            </w:pPr>
            <w:r w:rsidRPr="00744925">
              <w:rPr>
                <w:rFonts w:eastAsiaTheme="minorEastAsia" w:cs="Calibri"/>
                <w:b w:val="0"/>
              </w:rPr>
              <w:t xml:space="preserve">7-day PPA, time points through to </w:t>
            </w:r>
            <w:r w:rsidR="0050534C" w:rsidRPr="00744925">
              <w:rPr>
                <w:rFonts w:eastAsiaTheme="minorEastAsia" w:cs="Calibri"/>
                <w:b w:val="0"/>
              </w:rPr>
              <w:t>w</w:t>
            </w:r>
            <w:r w:rsidR="00494AD7">
              <w:rPr>
                <w:rFonts w:eastAsiaTheme="minorEastAsia" w:cs="Calibri"/>
                <w:b w:val="0"/>
              </w:rPr>
              <w:t>ee</w:t>
            </w:r>
            <w:r w:rsidR="0050534C" w:rsidRPr="00744925">
              <w:rPr>
                <w:rFonts w:eastAsiaTheme="minorEastAsia" w:cs="Calibri"/>
                <w:b w:val="0"/>
              </w:rPr>
              <w:t>k</w:t>
            </w:r>
            <w:r w:rsidR="00494AD7">
              <w:rPr>
                <w:rFonts w:eastAsiaTheme="minorEastAsia" w:cs="Calibri"/>
                <w:b w:val="0"/>
              </w:rPr>
              <w:t xml:space="preserve"> </w:t>
            </w:r>
            <w:r w:rsidR="0050534C" w:rsidRPr="00744925">
              <w:rPr>
                <w:rFonts w:eastAsiaTheme="minorEastAsia" w:cs="Calibri"/>
                <w:b w:val="0"/>
              </w:rPr>
              <w:t>24</w:t>
            </w:r>
            <w:r w:rsidR="00494AD7">
              <w:rPr>
                <w:rFonts w:eastAsiaTheme="minorEastAsia" w:cs="Calibri"/>
                <w:b w:val="0"/>
              </w:rPr>
              <w:t>.</w:t>
            </w:r>
          </w:p>
          <w:p w:rsidR="00744925" w:rsidRPr="00744925" w:rsidRDefault="00744925" w:rsidP="00744925">
            <w:pPr>
              <w:pStyle w:val="Tableheading"/>
              <w:autoSpaceDE w:val="0"/>
              <w:autoSpaceDN w:val="0"/>
              <w:adjustRightInd w:val="0"/>
              <w:rPr>
                <w:rFonts w:eastAsiaTheme="minorEastAsia" w:cs="Calibri"/>
                <w:b w:val="0"/>
              </w:rPr>
            </w:pPr>
            <w:r w:rsidRPr="00744925">
              <w:rPr>
                <w:rFonts w:eastAsiaTheme="minorEastAsia" w:cs="Calibri"/>
                <w:b w:val="0"/>
              </w:rPr>
              <w:t xml:space="preserve">Long-term successful cessation, </w:t>
            </w:r>
            <w:r w:rsidR="0050534C" w:rsidRPr="00744925">
              <w:rPr>
                <w:rFonts w:eastAsiaTheme="minorEastAsia" w:cs="Calibri"/>
                <w:b w:val="0"/>
              </w:rPr>
              <w:t>w</w:t>
            </w:r>
            <w:r w:rsidR="00494AD7">
              <w:rPr>
                <w:rFonts w:eastAsiaTheme="minorEastAsia" w:cs="Calibri"/>
                <w:b w:val="0"/>
              </w:rPr>
              <w:t>ee</w:t>
            </w:r>
            <w:r w:rsidR="0050534C" w:rsidRPr="00744925">
              <w:rPr>
                <w:rFonts w:eastAsiaTheme="minorEastAsia" w:cs="Calibri"/>
                <w:b w:val="0"/>
              </w:rPr>
              <w:t>k</w:t>
            </w:r>
            <w:r w:rsidR="00494AD7">
              <w:rPr>
                <w:rFonts w:eastAsiaTheme="minorEastAsia" w:cs="Calibri"/>
                <w:b w:val="0"/>
              </w:rPr>
              <w:t xml:space="preserve"> </w:t>
            </w:r>
            <w:r w:rsidR="0050534C" w:rsidRPr="00744925">
              <w:rPr>
                <w:rFonts w:eastAsiaTheme="minorEastAsia" w:cs="Calibri"/>
                <w:b w:val="0"/>
              </w:rPr>
              <w:t>24</w:t>
            </w:r>
            <w:r w:rsidRPr="00744925">
              <w:rPr>
                <w:rFonts w:eastAsiaTheme="minorEastAsia" w:cs="Calibri"/>
                <w:b w:val="0"/>
              </w:rPr>
              <w:t xml:space="preserve"> (Primary endpoint AND smoking on </w:t>
            </w:r>
            <w:r w:rsidR="002C30FC" w:rsidRPr="00494AD7">
              <w:rPr>
                <w:rFonts w:eastAsiaTheme="minorEastAsia" w:cs="Calibri"/>
                <w:b w:val="0"/>
              </w:rPr>
              <w:t>≤</w:t>
            </w:r>
            <w:r w:rsidRPr="00744925">
              <w:rPr>
                <w:rFonts w:eastAsiaTheme="minorEastAsia" w:cs="Calibri"/>
                <w:b w:val="0"/>
              </w:rPr>
              <w:t>6</w:t>
            </w:r>
            <w:r w:rsidR="00FB72C8">
              <w:rPr>
                <w:rFonts w:eastAsiaTheme="minorEastAsia" w:cs="Calibri"/>
                <w:b w:val="0"/>
              </w:rPr>
              <w:t xml:space="preserve"> </w:t>
            </w:r>
            <w:r w:rsidRPr="00744925">
              <w:rPr>
                <w:rFonts w:eastAsiaTheme="minorEastAsia" w:cs="Calibri"/>
                <w:b w:val="0"/>
              </w:rPr>
              <w:t xml:space="preserve">days between </w:t>
            </w:r>
            <w:r w:rsidR="0050534C" w:rsidRPr="00744925">
              <w:rPr>
                <w:rFonts w:eastAsiaTheme="minorEastAsia" w:cs="Calibri"/>
                <w:b w:val="0"/>
              </w:rPr>
              <w:t>w</w:t>
            </w:r>
            <w:r w:rsidR="00494AD7">
              <w:rPr>
                <w:rFonts w:eastAsiaTheme="minorEastAsia" w:cs="Calibri"/>
                <w:b w:val="0"/>
              </w:rPr>
              <w:t>ee</w:t>
            </w:r>
            <w:r w:rsidR="0050534C" w:rsidRPr="00744925">
              <w:rPr>
                <w:rFonts w:eastAsiaTheme="minorEastAsia" w:cs="Calibri"/>
                <w:b w:val="0"/>
              </w:rPr>
              <w:t>k</w:t>
            </w:r>
            <w:r w:rsidR="00494AD7">
              <w:rPr>
                <w:rFonts w:eastAsiaTheme="minorEastAsia" w:cs="Calibri"/>
                <w:b w:val="0"/>
              </w:rPr>
              <w:t xml:space="preserve"> </w:t>
            </w:r>
            <w:r w:rsidR="0050534C" w:rsidRPr="00744925">
              <w:rPr>
                <w:rFonts w:eastAsiaTheme="minorEastAsia" w:cs="Calibri"/>
                <w:b w:val="0"/>
              </w:rPr>
              <w:t>6</w:t>
            </w:r>
            <w:r w:rsidRPr="00744925">
              <w:rPr>
                <w:rFonts w:eastAsiaTheme="minorEastAsia" w:cs="Calibri"/>
                <w:b w:val="0"/>
              </w:rPr>
              <w:t>=24)</w:t>
            </w:r>
            <w:r w:rsidR="00074910">
              <w:rPr>
                <w:rFonts w:eastAsiaTheme="minorEastAsia" w:cs="Calibri"/>
                <w:b w:val="0"/>
              </w:rPr>
              <w:t>.</w:t>
            </w:r>
          </w:p>
          <w:p w:rsidR="00621F25" w:rsidRDefault="00744925" w:rsidP="00693DA2">
            <w:pPr>
              <w:pStyle w:val="Tableheading"/>
              <w:autoSpaceDE w:val="0"/>
              <w:autoSpaceDN w:val="0"/>
              <w:adjustRightInd w:val="0"/>
              <w:rPr>
                <w:rFonts w:eastAsiaTheme="minorEastAsia" w:cs="Calibri"/>
                <w:b w:val="0"/>
              </w:rPr>
            </w:pPr>
            <w:r w:rsidRPr="00744925">
              <w:rPr>
                <w:rFonts w:eastAsiaTheme="minorEastAsia" w:cs="Calibri"/>
                <w:b w:val="0"/>
              </w:rPr>
              <w:t xml:space="preserve">Continuous successful smoking cessation (Primary endpoint AND complete cessation), </w:t>
            </w:r>
            <w:r w:rsidR="0050534C" w:rsidRPr="00744925">
              <w:rPr>
                <w:rFonts w:eastAsiaTheme="minorEastAsia" w:cs="Calibri"/>
                <w:b w:val="0"/>
              </w:rPr>
              <w:t>w</w:t>
            </w:r>
            <w:r w:rsidR="002C30FC">
              <w:rPr>
                <w:rFonts w:eastAsiaTheme="minorEastAsia" w:cs="Calibri"/>
                <w:b w:val="0"/>
              </w:rPr>
              <w:t>ee</w:t>
            </w:r>
            <w:r w:rsidR="0050534C" w:rsidRPr="00744925">
              <w:rPr>
                <w:rFonts w:eastAsiaTheme="minorEastAsia" w:cs="Calibri"/>
                <w:b w:val="0"/>
              </w:rPr>
              <w:t>k</w:t>
            </w:r>
            <w:r w:rsidRPr="00744925">
              <w:rPr>
                <w:rFonts w:eastAsiaTheme="minorEastAsia" w:cs="Calibri"/>
                <w:b w:val="0"/>
              </w:rPr>
              <w:t xml:space="preserve"> 12, </w:t>
            </w:r>
            <w:r w:rsidR="0050534C" w:rsidRPr="00744925">
              <w:rPr>
                <w:rFonts w:eastAsiaTheme="minorEastAsia" w:cs="Calibri"/>
                <w:b w:val="0"/>
              </w:rPr>
              <w:t>w</w:t>
            </w:r>
            <w:r w:rsidR="002C30FC">
              <w:rPr>
                <w:rFonts w:eastAsiaTheme="minorEastAsia" w:cs="Calibri"/>
                <w:b w:val="0"/>
              </w:rPr>
              <w:t>ee</w:t>
            </w:r>
            <w:r w:rsidR="0050534C" w:rsidRPr="00744925">
              <w:rPr>
                <w:rFonts w:eastAsiaTheme="minorEastAsia" w:cs="Calibri"/>
                <w:b w:val="0"/>
              </w:rPr>
              <w:t>k</w:t>
            </w:r>
            <w:r w:rsidRPr="00744925">
              <w:rPr>
                <w:rFonts w:eastAsiaTheme="minorEastAsia" w:cs="Calibri"/>
                <w:b w:val="0"/>
              </w:rPr>
              <w:t xml:space="preserve"> 24, month 12</w:t>
            </w:r>
            <w:r w:rsidR="00494AD7">
              <w:rPr>
                <w:rFonts w:eastAsiaTheme="minorEastAsia" w:cs="Calibri"/>
                <w:b w:val="0"/>
              </w:rPr>
              <w:t>.</w:t>
            </w:r>
          </w:p>
          <w:p w:rsidR="00494AD7" w:rsidRPr="00494AD7" w:rsidRDefault="00494AD7" w:rsidP="00693DA2">
            <w:pPr>
              <w:pStyle w:val="Tableheading"/>
              <w:autoSpaceDE w:val="0"/>
              <w:autoSpaceDN w:val="0"/>
              <w:adjustRightInd w:val="0"/>
              <w:rPr>
                <w:rFonts w:eastAsiaTheme="minorEastAsia" w:cs="Calibri"/>
                <w:b w:val="0"/>
              </w:rPr>
            </w:pPr>
          </w:p>
          <w:p w:rsidR="001835D1" w:rsidRPr="001E2154" w:rsidRDefault="001835D1" w:rsidP="00693DA2">
            <w:pPr>
              <w:pStyle w:val="Tableheading"/>
              <w:autoSpaceDE w:val="0"/>
              <w:autoSpaceDN w:val="0"/>
              <w:adjustRightInd w:val="0"/>
              <w:rPr>
                <w:rFonts w:eastAsiaTheme="minorEastAsia" w:cs="Calibri"/>
                <w:b w:val="0"/>
              </w:rPr>
            </w:pPr>
            <w:r w:rsidRPr="00320A67">
              <w:rPr>
                <w:rFonts w:eastAsiaTheme="minorEastAsia" w:cs="Calibri"/>
                <w:b w:val="0"/>
                <w:u w:val="single"/>
              </w:rPr>
              <w:t>Safety:</w:t>
            </w:r>
            <w:r w:rsidRPr="001E2154">
              <w:rPr>
                <w:rFonts w:eastAsiaTheme="minorEastAsia" w:cs="Calibri"/>
                <w:b w:val="0"/>
              </w:rPr>
              <w:t xml:space="preserve"> </w:t>
            </w:r>
            <w:r w:rsidR="002E5408">
              <w:rPr>
                <w:rFonts w:eastAsiaTheme="minorEastAsia" w:cs="Calibri"/>
                <w:b w:val="0"/>
              </w:rPr>
              <w:t>A</w:t>
            </w:r>
            <w:r w:rsidRPr="001E2154">
              <w:rPr>
                <w:rFonts w:eastAsiaTheme="minorEastAsia" w:cs="Calibri"/>
                <w:b w:val="0"/>
              </w:rPr>
              <w:t>dverse events</w:t>
            </w:r>
            <w:r w:rsidR="00A314FD">
              <w:rPr>
                <w:rFonts w:eastAsiaTheme="minorEastAsia" w:cs="Calibri"/>
                <w:b w:val="0"/>
              </w:rPr>
              <w:t>.</w:t>
            </w:r>
          </w:p>
        </w:tc>
      </w:tr>
      <w:tr w:rsidR="003A409B"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1835D1" w:rsidRPr="001E2154" w:rsidRDefault="00657964" w:rsidP="00693DA2">
            <w:pPr>
              <w:pStyle w:val="Tableheading"/>
              <w:autoSpaceDE w:val="0"/>
              <w:autoSpaceDN w:val="0"/>
              <w:adjustRightInd w:val="0"/>
              <w:rPr>
                <w:rFonts w:eastAsiaTheme="minorEastAsia" w:cs="Calibri"/>
                <w:b w:val="0"/>
              </w:rPr>
            </w:pPr>
            <w:r>
              <w:rPr>
                <w:rFonts w:eastAsiaTheme="minorEastAsia" w:cs="Calibri"/>
                <w:b w:val="0"/>
              </w:rPr>
              <w:t>Shiffman 2020</w:t>
            </w:r>
          </w:p>
        </w:tc>
        <w:tc>
          <w:tcPr>
            <w:tcW w:w="379" w:type="pct"/>
            <w:shd w:val="clear" w:color="auto" w:fill="auto"/>
          </w:tcPr>
          <w:p w:rsidR="001835D1" w:rsidRPr="001E2154" w:rsidRDefault="00657964"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1835D1" w:rsidRPr="001E2154" w:rsidRDefault="00C91205"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rsidR="001835D1" w:rsidRDefault="00C91205" w:rsidP="00693DA2">
            <w:pPr>
              <w:pStyle w:val="Tableheading"/>
              <w:autoSpaceDE w:val="0"/>
              <w:autoSpaceDN w:val="0"/>
              <w:adjustRightInd w:val="0"/>
              <w:rPr>
                <w:rFonts w:eastAsiaTheme="minorEastAsia" w:cs="Calibri"/>
                <w:b w:val="0"/>
              </w:rPr>
            </w:pPr>
            <w:r>
              <w:rPr>
                <w:rFonts w:eastAsiaTheme="minorEastAsia" w:cs="Calibri"/>
                <w:b w:val="0"/>
              </w:rPr>
              <w:t>N=369</w:t>
            </w:r>
          </w:p>
          <w:p w:rsidR="00C91205" w:rsidRDefault="00105F77" w:rsidP="00693DA2">
            <w:pPr>
              <w:pStyle w:val="Tableheading"/>
              <w:autoSpaceDE w:val="0"/>
              <w:autoSpaceDN w:val="0"/>
              <w:adjustRightInd w:val="0"/>
              <w:rPr>
                <w:rFonts w:eastAsiaTheme="minorEastAsia" w:cs="Calibri"/>
                <w:b w:val="0"/>
              </w:rPr>
            </w:pPr>
            <w:r>
              <w:rPr>
                <w:rFonts w:eastAsiaTheme="minorEastAsia" w:cs="Calibri"/>
                <w:b w:val="0"/>
              </w:rPr>
              <w:t>n=181 (NRT)</w:t>
            </w:r>
          </w:p>
          <w:p w:rsidR="00CA762D" w:rsidRPr="001E2154" w:rsidRDefault="00CA762D" w:rsidP="00693DA2">
            <w:pPr>
              <w:pStyle w:val="Tableheading"/>
              <w:autoSpaceDE w:val="0"/>
              <w:autoSpaceDN w:val="0"/>
              <w:adjustRightInd w:val="0"/>
              <w:rPr>
                <w:rFonts w:eastAsiaTheme="minorEastAsia" w:cs="Calibri"/>
                <w:b w:val="0"/>
              </w:rPr>
            </w:pPr>
            <w:r>
              <w:rPr>
                <w:rFonts w:eastAsiaTheme="minorEastAsia" w:cs="Calibri"/>
                <w:b w:val="0"/>
              </w:rPr>
              <w:t>n=188 (placebo)</w:t>
            </w:r>
          </w:p>
        </w:tc>
        <w:tc>
          <w:tcPr>
            <w:tcW w:w="1142" w:type="pct"/>
            <w:shd w:val="clear" w:color="auto" w:fill="auto"/>
            <w:tcMar>
              <w:left w:w="28" w:type="dxa"/>
              <w:right w:w="28" w:type="dxa"/>
            </w:tcMar>
          </w:tcPr>
          <w:p w:rsidR="00CA762D" w:rsidRPr="00CA762D" w:rsidRDefault="00CA762D" w:rsidP="00CA762D">
            <w:pPr>
              <w:pStyle w:val="Tableheading"/>
              <w:autoSpaceDE w:val="0"/>
              <w:autoSpaceDN w:val="0"/>
              <w:adjustRightInd w:val="0"/>
              <w:rPr>
                <w:rFonts w:eastAsiaTheme="minorEastAsia" w:cs="Calibri"/>
                <w:b w:val="0"/>
              </w:rPr>
            </w:pPr>
            <w:r w:rsidRPr="00CA762D">
              <w:rPr>
                <w:rFonts w:eastAsiaTheme="minorEastAsia" w:cs="Calibri"/>
                <w:b w:val="0"/>
              </w:rPr>
              <w:t xml:space="preserve">Adult </w:t>
            </w:r>
            <w:r w:rsidR="0050534C" w:rsidRPr="00CA762D">
              <w:rPr>
                <w:rFonts w:eastAsiaTheme="minorEastAsia" w:cs="Calibri"/>
                <w:b w:val="0"/>
              </w:rPr>
              <w:t>(</w:t>
            </w:r>
            <w:r w:rsidR="00A314FD" w:rsidRPr="00A314FD">
              <w:rPr>
                <w:rFonts w:eastAsiaTheme="minorEastAsia" w:cs="Calibri"/>
                <w:b w:val="0"/>
              </w:rPr>
              <w:t>≥</w:t>
            </w:r>
            <w:r w:rsidR="00A314FD">
              <w:rPr>
                <w:rFonts w:eastAsiaTheme="minorEastAsia" w:cs="Calibri"/>
                <w:b w:val="0"/>
              </w:rPr>
              <w:t xml:space="preserve"> </w:t>
            </w:r>
            <w:r w:rsidR="0050534C" w:rsidRPr="00CA762D">
              <w:rPr>
                <w:rFonts w:eastAsiaTheme="minorEastAsia" w:cs="Calibri"/>
                <w:b w:val="0"/>
              </w:rPr>
              <w:t>18</w:t>
            </w:r>
            <w:r w:rsidR="00A314FD">
              <w:rPr>
                <w:rFonts w:eastAsiaTheme="minorEastAsia" w:cs="Calibri"/>
                <w:b w:val="0"/>
              </w:rPr>
              <w:t xml:space="preserve"> years</w:t>
            </w:r>
            <w:r w:rsidR="0050534C" w:rsidRPr="00CA762D">
              <w:rPr>
                <w:rFonts w:eastAsiaTheme="minorEastAsia" w:cs="Calibri"/>
                <w:b w:val="0"/>
              </w:rPr>
              <w:t>)</w:t>
            </w:r>
            <w:r w:rsidRPr="00CA762D">
              <w:rPr>
                <w:rFonts w:eastAsiaTheme="minorEastAsia" w:cs="Calibri"/>
                <w:b w:val="0"/>
              </w:rPr>
              <w:t xml:space="preserve"> intermittent smokers (4-27 days per month for </w:t>
            </w:r>
            <w:r w:rsidR="0050534C" w:rsidRPr="00CA762D">
              <w:rPr>
                <w:rFonts w:eastAsiaTheme="minorEastAsia" w:cs="Calibri"/>
                <w:b w:val="0"/>
              </w:rPr>
              <w:t>1</w:t>
            </w:r>
            <w:r w:rsidR="00A314FD">
              <w:rPr>
                <w:rFonts w:eastAsiaTheme="minorEastAsia" w:cs="Calibri"/>
                <w:b w:val="0"/>
              </w:rPr>
              <w:t xml:space="preserve"> </w:t>
            </w:r>
            <w:r w:rsidR="0050534C" w:rsidRPr="00CA762D">
              <w:rPr>
                <w:rFonts w:eastAsiaTheme="minorEastAsia" w:cs="Calibri"/>
                <w:b w:val="0"/>
              </w:rPr>
              <w:t>y</w:t>
            </w:r>
            <w:r w:rsidR="00A314FD">
              <w:rPr>
                <w:rFonts w:eastAsiaTheme="minorEastAsia" w:cs="Calibri"/>
                <w:b w:val="0"/>
              </w:rPr>
              <w:t>ea</w:t>
            </w:r>
            <w:r w:rsidR="0050534C" w:rsidRPr="00CA762D">
              <w:rPr>
                <w:rFonts w:eastAsiaTheme="minorEastAsia" w:cs="Calibri"/>
                <w:b w:val="0"/>
              </w:rPr>
              <w:t>r</w:t>
            </w:r>
            <w:r w:rsidRPr="00CA762D">
              <w:rPr>
                <w:rFonts w:eastAsiaTheme="minorEastAsia" w:cs="Calibri"/>
                <w:b w:val="0"/>
              </w:rPr>
              <w:t xml:space="preserve"> or more and smoking for 3 years or more), interested in quitting, willing to use nicotine gum</w:t>
            </w:r>
            <w:r w:rsidR="00A314FD">
              <w:rPr>
                <w:rFonts w:eastAsiaTheme="minorEastAsia" w:cs="Calibri"/>
                <w:b w:val="0"/>
              </w:rPr>
              <w:t>.</w:t>
            </w:r>
          </w:p>
          <w:p w:rsidR="001835D1" w:rsidRPr="00A314FD" w:rsidRDefault="00CA762D" w:rsidP="00CA762D">
            <w:pPr>
              <w:pStyle w:val="Tableheading"/>
              <w:autoSpaceDE w:val="0"/>
              <w:autoSpaceDN w:val="0"/>
              <w:adjustRightInd w:val="0"/>
              <w:rPr>
                <w:rFonts w:eastAsiaTheme="minorEastAsia" w:cs="Calibri"/>
                <w:b w:val="0"/>
                <w:u w:val="single"/>
              </w:rPr>
            </w:pPr>
            <w:r w:rsidRPr="00A314FD">
              <w:rPr>
                <w:rFonts w:eastAsiaTheme="minorEastAsia" w:cs="Calibri"/>
                <w:b w:val="0"/>
                <w:u w:val="single"/>
              </w:rPr>
              <w:t>Exclusion:</w:t>
            </w:r>
            <w:r w:rsidR="00A314FD">
              <w:rPr>
                <w:rFonts w:eastAsiaTheme="minorEastAsia" w:cs="Calibri"/>
                <w:b w:val="0"/>
                <w:u w:val="single"/>
              </w:rPr>
              <w:t xml:space="preserve"> </w:t>
            </w:r>
            <w:r w:rsidRPr="00CA762D">
              <w:rPr>
                <w:rFonts w:eastAsiaTheme="minorEastAsia" w:cs="Calibri"/>
                <w:b w:val="0"/>
              </w:rPr>
              <w:t xml:space="preserve">received smoking cessation </w:t>
            </w:r>
            <w:r w:rsidR="009E7142" w:rsidRPr="00CA762D">
              <w:rPr>
                <w:rFonts w:eastAsiaTheme="minorEastAsia" w:cs="Calibri"/>
                <w:b w:val="0"/>
              </w:rPr>
              <w:t>counselling</w:t>
            </w:r>
            <w:r w:rsidRPr="00CA762D">
              <w:rPr>
                <w:rFonts w:eastAsiaTheme="minorEastAsia" w:cs="Calibri"/>
                <w:b w:val="0"/>
              </w:rPr>
              <w:t xml:space="preserve"> or any NRT in previous </w:t>
            </w:r>
            <w:r w:rsidR="0050534C" w:rsidRPr="00CA762D">
              <w:rPr>
                <w:rFonts w:eastAsiaTheme="minorEastAsia" w:cs="Calibri"/>
                <w:b w:val="0"/>
              </w:rPr>
              <w:t>2</w:t>
            </w:r>
            <w:r w:rsidR="00A314FD">
              <w:rPr>
                <w:rFonts w:eastAsiaTheme="minorEastAsia" w:cs="Calibri"/>
                <w:b w:val="0"/>
              </w:rPr>
              <w:t xml:space="preserve"> </w:t>
            </w:r>
            <w:r w:rsidR="0050534C" w:rsidRPr="00CA762D">
              <w:rPr>
                <w:rFonts w:eastAsiaTheme="minorEastAsia" w:cs="Calibri"/>
                <w:b w:val="0"/>
              </w:rPr>
              <w:t>mo</w:t>
            </w:r>
            <w:r w:rsidR="00A314FD">
              <w:rPr>
                <w:rFonts w:eastAsiaTheme="minorEastAsia" w:cs="Calibri"/>
                <w:b w:val="0"/>
              </w:rPr>
              <w:t>nths</w:t>
            </w:r>
            <w:r w:rsidRPr="00CA762D">
              <w:rPr>
                <w:rFonts w:eastAsiaTheme="minorEastAsia" w:cs="Calibri"/>
                <w:b w:val="0"/>
              </w:rPr>
              <w:t>, contraindications for NRT, unstable psychiatric status, pregnant (current or planning), breastfeeding</w:t>
            </w:r>
            <w:r w:rsidR="00FA729E">
              <w:rPr>
                <w:rFonts w:eastAsiaTheme="minorEastAsia" w:cs="Calibri"/>
                <w:b w:val="0"/>
              </w:rPr>
              <w:t>.</w:t>
            </w:r>
          </w:p>
        </w:tc>
        <w:tc>
          <w:tcPr>
            <w:tcW w:w="808" w:type="pct"/>
            <w:shd w:val="clear" w:color="auto" w:fill="auto"/>
          </w:tcPr>
          <w:p w:rsidR="00C64E3D" w:rsidRPr="00C64E3D" w:rsidRDefault="00C64E3D" w:rsidP="00C324F3">
            <w:pPr>
              <w:pStyle w:val="Tablewriting"/>
              <w:keepNext/>
              <w:numPr>
                <w:ilvl w:val="0"/>
                <w:numId w:val="8"/>
              </w:numPr>
              <w:rPr>
                <w:rFonts w:eastAsia="MS Mincho"/>
              </w:rPr>
            </w:pPr>
            <w:r w:rsidRPr="00C64E3D">
              <w:rPr>
                <w:rFonts w:eastAsia="MS Mincho"/>
              </w:rPr>
              <w:t xml:space="preserve">NRT (gum) </w:t>
            </w:r>
            <w:r w:rsidR="0050534C" w:rsidRPr="00C64E3D">
              <w:rPr>
                <w:rFonts w:eastAsia="MS Mincho"/>
              </w:rPr>
              <w:t>2</w:t>
            </w:r>
            <w:r w:rsidR="00FA729E">
              <w:rPr>
                <w:rFonts w:eastAsia="MS Mincho"/>
              </w:rPr>
              <w:t xml:space="preserve"> </w:t>
            </w:r>
            <w:r w:rsidR="0050534C" w:rsidRPr="00C64E3D">
              <w:rPr>
                <w:rFonts w:eastAsia="MS Mincho"/>
              </w:rPr>
              <w:t>mg</w:t>
            </w:r>
            <w:r w:rsidRPr="00C64E3D">
              <w:rPr>
                <w:rFonts w:eastAsia="MS Mincho"/>
              </w:rPr>
              <w:t xml:space="preserve"> with cravings, 8 </w:t>
            </w:r>
            <w:r w:rsidR="0050534C" w:rsidRPr="00C64E3D">
              <w:rPr>
                <w:rFonts w:eastAsia="MS Mincho"/>
              </w:rPr>
              <w:t>w</w:t>
            </w:r>
            <w:r w:rsidR="00FA729E">
              <w:rPr>
                <w:rFonts w:eastAsia="MS Mincho"/>
              </w:rPr>
              <w:t>ee</w:t>
            </w:r>
            <w:r w:rsidR="0050534C" w:rsidRPr="00C64E3D">
              <w:rPr>
                <w:rFonts w:eastAsia="MS Mincho"/>
              </w:rPr>
              <w:t>ks</w:t>
            </w:r>
            <w:r w:rsidRPr="00C64E3D">
              <w:rPr>
                <w:rFonts w:eastAsia="MS Mincho"/>
              </w:rPr>
              <w:t>,</w:t>
            </w:r>
          </w:p>
          <w:p w:rsidR="00C64E3D" w:rsidRPr="00C64E3D" w:rsidRDefault="00C64E3D" w:rsidP="00C324F3">
            <w:pPr>
              <w:pStyle w:val="Tablewriting"/>
              <w:keepNext/>
              <w:numPr>
                <w:ilvl w:val="0"/>
                <w:numId w:val="8"/>
              </w:numPr>
              <w:rPr>
                <w:rFonts w:eastAsia="MS Mincho"/>
              </w:rPr>
            </w:pPr>
            <w:r w:rsidRPr="00C64E3D">
              <w:rPr>
                <w:rFonts w:eastAsia="MS Mincho"/>
              </w:rPr>
              <w:t>Dentyne Arctic Chill mint gum</w:t>
            </w:r>
            <w:r w:rsidR="00120A81">
              <w:rPr>
                <w:rFonts w:eastAsia="MS Mincho"/>
              </w:rPr>
              <w:t>.</w:t>
            </w:r>
          </w:p>
          <w:p w:rsidR="00C64E3D" w:rsidRPr="00C64E3D" w:rsidRDefault="00C64E3D" w:rsidP="00FF725F">
            <w:pPr>
              <w:pStyle w:val="Tablewriting"/>
              <w:keepNext/>
              <w:rPr>
                <w:rFonts w:eastAsia="MS Mincho"/>
              </w:rPr>
            </w:pPr>
            <w:r w:rsidRPr="00554906">
              <w:rPr>
                <w:rFonts w:eastAsia="MS Mincho"/>
                <w:u w:val="single"/>
              </w:rPr>
              <w:t>Common elements</w:t>
            </w:r>
            <w:r w:rsidRPr="00C64E3D">
              <w:rPr>
                <w:rFonts w:eastAsia="MS Mincho"/>
              </w:rPr>
              <w:t>:</w:t>
            </w:r>
          </w:p>
          <w:p w:rsidR="001835D1" w:rsidRPr="00D11171" w:rsidRDefault="00C64E3D" w:rsidP="00C324F3">
            <w:pPr>
              <w:pStyle w:val="Tablewriting"/>
              <w:keepNext/>
              <w:numPr>
                <w:ilvl w:val="0"/>
                <w:numId w:val="8"/>
              </w:numPr>
              <w:rPr>
                <w:rFonts w:eastAsia="MS Mincho"/>
              </w:rPr>
            </w:pPr>
            <w:r w:rsidRPr="00C64E3D">
              <w:rPr>
                <w:rFonts w:eastAsia="MS Mincho"/>
              </w:rPr>
              <w:t xml:space="preserve">Counselling (enrolment to </w:t>
            </w:r>
            <w:r w:rsidR="0050534C" w:rsidRPr="00C64E3D">
              <w:rPr>
                <w:rFonts w:eastAsia="MS Mincho"/>
              </w:rPr>
              <w:t>w</w:t>
            </w:r>
            <w:r w:rsidR="00FA729E">
              <w:rPr>
                <w:rFonts w:eastAsia="MS Mincho"/>
              </w:rPr>
              <w:t>ee</w:t>
            </w:r>
            <w:r w:rsidR="0050534C" w:rsidRPr="00C64E3D">
              <w:rPr>
                <w:rFonts w:eastAsia="MS Mincho"/>
              </w:rPr>
              <w:t>k</w:t>
            </w:r>
            <w:r w:rsidR="00FA729E">
              <w:rPr>
                <w:rFonts w:eastAsia="MS Mincho"/>
              </w:rPr>
              <w:t xml:space="preserve"> </w:t>
            </w:r>
            <w:r w:rsidR="0050534C" w:rsidRPr="00C64E3D">
              <w:rPr>
                <w:rFonts w:eastAsia="MS Mincho"/>
              </w:rPr>
              <w:t>6</w:t>
            </w:r>
            <w:r w:rsidRPr="00C64E3D">
              <w:rPr>
                <w:rFonts w:eastAsia="MS Mincho"/>
              </w:rPr>
              <w:t>): cues and use of gum to threats in abstinence</w:t>
            </w:r>
          </w:p>
        </w:tc>
        <w:tc>
          <w:tcPr>
            <w:tcW w:w="1094" w:type="pct"/>
            <w:shd w:val="clear" w:color="auto" w:fill="auto"/>
            <w:tcMar>
              <w:left w:w="28" w:type="dxa"/>
              <w:right w:w="28" w:type="dxa"/>
            </w:tcMar>
          </w:tcPr>
          <w:p w:rsidR="00746F9A" w:rsidRDefault="004054DA" w:rsidP="004054DA">
            <w:pPr>
              <w:pStyle w:val="Tableheading"/>
              <w:autoSpaceDE w:val="0"/>
              <w:autoSpaceDN w:val="0"/>
              <w:adjustRightInd w:val="0"/>
              <w:rPr>
                <w:rFonts w:eastAsiaTheme="minorEastAsia" w:cs="Calibri"/>
                <w:b w:val="0"/>
                <w:u w:val="single"/>
              </w:rPr>
            </w:pPr>
            <w:r w:rsidRPr="004054DA">
              <w:rPr>
                <w:rFonts w:eastAsiaTheme="minorEastAsia" w:cs="Calibri"/>
                <w:b w:val="0"/>
                <w:u w:val="single"/>
              </w:rPr>
              <w:t>Efficacy:</w:t>
            </w:r>
            <w:r>
              <w:rPr>
                <w:rFonts w:eastAsiaTheme="minorEastAsia" w:cs="Calibri"/>
                <w:b w:val="0"/>
                <w:u w:val="single"/>
              </w:rPr>
              <w:t xml:space="preserve"> </w:t>
            </w:r>
          </w:p>
          <w:p w:rsidR="004054DA" w:rsidRPr="00FA729E" w:rsidRDefault="004054DA" w:rsidP="004054DA">
            <w:pPr>
              <w:pStyle w:val="Tableheading"/>
              <w:autoSpaceDE w:val="0"/>
              <w:autoSpaceDN w:val="0"/>
              <w:adjustRightInd w:val="0"/>
              <w:rPr>
                <w:rFonts w:eastAsiaTheme="minorEastAsia" w:cs="Calibri"/>
                <w:b w:val="0"/>
              </w:rPr>
            </w:pPr>
            <w:r w:rsidRPr="004E12E8">
              <w:rPr>
                <w:rFonts w:eastAsiaTheme="minorEastAsia" w:cs="Calibri"/>
                <w:b w:val="0"/>
                <w:i/>
                <w:iCs/>
              </w:rPr>
              <w:t>Primary</w:t>
            </w:r>
          </w:p>
          <w:p w:rsidR="004054DA" w:rsidRPr="00FA729E" w:rsidRDefault="004054DA" w:rsidP="004054DA">
            <w:pPr>
              <w:pStyle w:val="Tableheading"/>
              <w:autoSpaceDE w:val="0"/>
              <w:autoSpaceDN w:val="0"/>
              <w:adjustRightInd w:val="0"/>
              <w:rPr>
                <w:rFonts w:eastAsiaTheme="minorEastAsia" w:cs="Calibri"/>
                <w:b w:val="0"/>
              </w:rPr>
            </w:pPr>
            <w:r w:rsidRPr="00FA729E">
              <w:rPr>
                <w:rFonts w:eastAsiaTheme="minorEastAsia" w:cs="Calibri"/>
                <w:b w:val="0"/>
              </w:rPr>
              <w:t>CAR CO-verified (&lt;10ppm), w</w:t>
            </w:r>
            <w:r w:rsidR="004E12E8">
              <w:rPr>
                <w:rFonts w:eastAsiaTheme="minorEastAsia" w:cs="Calibri"/>
                <w:b w:val="0"/>
              </w:rPr>
              <w:t>ee</w:t>
            </w:r>
            <w:r w:rsidRPr="00FA729E">
              <w:rPr>
                <w:rFonts w:eastAsiaTheme="minorEastAsia" w:cs="Calibri"/>
                <w:b w:val="0"/>
              </w:rPr>
              <w:t>k 2-6</w:t>
            </w:r>
            <w:r w:rsidR="00746F9A">
              <w:rPr>
                <w:rFonts w:eastAsiaTheme="minorEastAsia" w:cs="Calibri"/>
                <w:b w:val="0"/>
              </w:rPr>
              <w:t>.</w:t>
            </w:r>
          </w:p>
          <w:p w:rsidR="004054DA" w:rsidRPr="004E12E8" w:rsidRDefault="004054DA" w:rsidP="004054DA">
            <w:pPr>
              <w:pStyle w:val="Tableheading"/>
              <w:autoSpaceDE w:val="0"/>
              <w:autoSpaceDN w:val="0"/>
              <w:adjustRightInd w:val="0"/>
              <w:rPr>
                <w:rFonts w:eastAsiaTheme="minorEastAsia" w:cs="Calibri"/>
                <w:b w:val="0"/>
                <w:i/>
                <w:iCs/>
              </w:rPr>
            </w:pPr>
            <w:r w:rsidRPr="004E12E8">
              <w:rPr>
                <w:rFonts w:eastAsiaTheme="minorEastAsia" w:cs="Calibri"/>
                <w:b w:val="0"/>
                <w:i/>
                <w:iCs/>
              </w:rPr>
              <w:t>Secondary</w:t>
            </w:r>
          </w:p>
          <w:p w:rsidR="004054DA" w:rsidRPr="00FA729E" w:rsidRDefault="004054DA" w:rsidP="004054DA">
            <w:pPr>
              <w:pStyle w:val="Tableheading"/>
              <w:autoSpaceDE w:val="0"/>
              <w:autoSpaceDN w:val="0"/>
              <w:adjustRightInd w:val="0"/>
              <w:rPr>
                <w:rFonts w:eastAsiaTheme="minorEastAsia" w:cs="Calibri"/>
                <w:b w:val="0"/>
              </w:rPr>
            </w:pPr>
            <w:r w:rsidRPr="00FA729E">
              <w:rPr>
                <w:rFonts w:eastAsiaTheme="minorEastAsia" w:cs="Calibri"/>
                <w:b w:val="0"/>
              </w:rPr>
              <w:t>CAR CO-verified (&lt;10ppm)</w:t>
            </w:r>
            <w:r w:rsidR="009E7142" w:rsidRPr="00FA729E">
              <w:rPr>
                <w:rFonts w:eastAsiaTheme="minorEastAsia" w:cs="Calibri"/>
                <w:b w:val="0"/>
              </w:rPr>
              <w:t>, week</w:t>
            </w:r>
            <w:r w:rsidRPr="00FA729E">
              <w:rPr>
                <w:rFonts w:eastAsiaTheme="minorEastAsia" w:cs="Calibri"/>
                <w:b w:val="0"/>
              </w:rPr>
              <w:t xml:space="preserve"> 2-12 and 2-26, 2-8, 2-16, 2-20</w:t>
            </w:r>
            <w:r w:rsidR="00746F9A">
              <w:rPr>
                <w:rFonts w:eastAsiaTheme="minorEastAsia" w:cs="Calibri"/>
                <w:b w:val="0"/>
              </w:rPr>
              <w:t>.</w:t>
            </w:r>
          </w:p>
          <w:p w:rsidR="004054DA" w:rsidRPr="00074910" w:rsidRDefault="004054DA" w:rsidP="004054DA">
            <w:pPr>
              <w:pStyle w:val="Tableheading"/>
              <w:autoSpaceDE w:val="0"/>
              <w:autoSpaceDN w:val="0"/>
              <w:adjustRightInd w:val="0"/>
              <w:rPr>
                <w:rFonts w:eastAsiaTheme="minorEastAsia" w:cs="Calibri"/>
                <w:b w:val="0"/>
              </w:rPr>
            </w:pPr>
            <w:r>
              <w:rPr>
                <w:rFonts w:eastAsiaTheme="minorEastAsia" w:cs="Calibri"/>
                <w:b w:val="0"/>
                <w:u w:val="single"/>
              </w:rPr>
              <w:t>Safety</w:t>
            </w:r>
            <w:r w:rsidRPr="004054DA">
              <w:rPr>
                <w:rFonts w:eastAsiaTheme="minorEastAsia" w:cs="Calibri"/>
                <w:b w:val="0"/>
                <w:u w:val="single"/>
              </w:rPr>
              <w:t>:</w:t>
            </w:r>
            <w:r w:rsidR="00074910">
              <w:rPr>
                <w:rFonts w:eastAsiaTheme="minorEastAsia" w:cs="Calibri"/>
                <w:b w:val="0"/>
              </w:rPr>
              <w:t xml:space="preserve"> </w:t>
            </w:r>
            <w:r w:rsidRPr="00074910">
              <w:rPr>
                <w:rFonts w:eastAsiaTheme="minorEastAsia" w:cs="Calibri"/>
                <w:b w:val="0"/>
              </w:rPr>
              <w:t>Any adverse event</w:t>
            </w:r>
            <w:r w:rsidR="00830E6B">
              <w:rPr>
                <w:rFonts w:eastAsiaTheme="minorEastAsia" w:cs="Calibri"/>
                <w:b w:val="0"/>
              </w:rPr>
              <w:t>, d</w:t>
            </w:r>
            <w:r w:rsidRPr="00074910">
              <w:rPr>
                <w:rFonts w:eastAsiaTheme="minorEastAsia" w:cs="Calibri"/>
                <w:b w:val="0"/>
              </w:rPr>
              <w:t>eath</w:t>
            </w:r>
          </w:p>
          <w:p w:rsidR="001835D1" w:rsidRPr="00320A67" w:rsidRDefault="00830E6B" w:rsidP="004054DA">
            <w:pPr>
              <w:pStyle w:val="Tableheading"/>
              <w:autoSpaceDE w:val="0"/>
              <w:autoSpaceDN w:val="0"/>
              <w:adjustRightInd w:val="0"/>
              <w:rPr>
                <w:rFonts w:eastAsiaTheme="minorEastAsia" w:cs="Calibri"/>
                <w:b w:val="0"/>
                <w:u w:val="single"/>
              </w:rPr>
            </w:pPr>
            <w:r>
              <w:rPr>
                <w:rFonts w:eastAsiaTheme="minorEastAsia" w:cs="Calibri"/>
                <w:b w:val="0"/>
              </w:rPr>
              <w:t>a</w:t>
            </w:r>
            <w:r w:rsidR="004054DA" w:rsidRPr="00074910">
              <w:rPr>
                <w:rFonts w:eastAsiaTheme="minorEastAsia" w:cs="Calibri"/>
                <w:b w:val="0"/>
              </w:rPr>
              <w:t>ny SAE</w:t>
            </w:r>
            <w:r>
              <w:rPr>
                <w:rFonts w:eastAsiaTheme="minorEastAsia" w:cs="Calibri"/>
                <w:b w:val="0"/>
              </w:rPr>
              <w:t>, t</w:t>
            </w:r>
            <w:r w:rsidR="004054DA" w:rsidRPr="00074910">
              <w:rPr>
                <w:rFonts w:eastAsiaTheme="minorEastAsia" w:cs="Calibri"/>
                <w:b w:val="0"/>
              </w:rPr>
              <w:t>reatment related AE (&gt;4%)</w:t>
            </w:r>
            <w:r>
              <w:rPr>
                <w:rFonts w:eastAsiaTheme="minorEastAsia" w:cs="Calibri"/>
                <w:b w:val="0"/>
              </w:rPr>
              <w:t>.</w:t>
            </w:r>
          </w:p>
        </w:tc>
      </w:tr>
      <w:tr w:rsidR="003A409B"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1835D1" w:rsidRPr="001E2154" w:rsidRDefault="00C20269" w:rsidP="00693DA2">
            <w:pPr>
              <w:pStyle w:val="Tableheading"/>
              <w:autoSpaceDE w:val="0"/>
              <w:autoSpaceDN w:val="0"/>
              <w:adjustRightInd w:val="0"/>
              <w:rPr>
                <w:rFonts w:eastAsiaTheme="minorEastAsia" w:cs="Calibri"/>
                <w:b w:val="0"/>
              </w:rPr>
            </w:pPr>
            <w:r>
              <w:rPr>
                <w:rFonts w:eastAsiaTheme="minorEastAsia" w:cs="Calibri"/>
                <w:b w:val="0"/>
              </w:rPr>
              <w:t>Nides 2020</w:t>
            </w:r>
          </w:p>
        </w:tc>
        <w:tc>
          <w:tcPr>
            <w:tcW w:w="379" w:type="pct"/>
            <w:shd w:val="clear" w:color="auto" w:fill="auto"/>
          </w:tcPr>
          <w:p w:rsidR="001835D1" w:rsidRPr="001E2154" w:rsidRDefault="00C25B08"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1835D1" w:rsidRPr="001E2154" w:rsidRDefault="00C25B08"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rsidR="001835D1" w:rsidRDefault="00C25B08" w:rsidP="00693DA2">
            <w:pPr>
              <w:pStyle w:val="Tableheading"/>
              <w:autoSpaceDE w:val="0"/>
              <w:autoSpaceDN w:val="0"/>
              <w:adjustRightInd w:val="0"/>
              <w:rPr>
                <w:rFonts w:eastAsiaTheme="minorEastAsia" w:cs="Calibri"/>
                <w:b w:val="0"/>
              </w:rPr>
            </w:pPr>
            <w:r>
              <w:rPr>
                <w:rFonts w:eastAsiaTheme="minorEastAsia" w:cs="Calibri"/>
                <w:b w:val="0"/>
              </w:rPr>
              <w:t>1198</w:t>
            </w:r>
          </w:p>
          <w:p w:rsidR="00831023" w:rsidRPr="001E2154" w:rsidRDefault="00DA59A2" w:rsidP="00693DA2">
            <w:pPr>
              <w:pStyle w:val="Tableheading"/>
              <w:autoSpaceDE w:val="0"/>
              <w:autoSpaceDN w:val="0"/>
              <w:adjustRightInd w:val="0"/>
              <w:rPr>
                <w:rFonts w:eastAsiaTheme="minorEastAsia" w:cs="Calibri"/>
                <w:b w:val="0"/>
              </w:rPr>
            </w:pPr>
            <w:r>
              <w:rPr>
                <w:rFonts w:eastAsiaTheme="minorEastAsia" w:cs="Calibri"/>
                <w:b w:val="0"/>
              </w:rPr>
              <w:t>n=597 (NRT) n=601 (placebo)</w:t>
            </w:r>
          </w:p>
        </w:tc>
        <w:tc>
          <w:tcPr>
            <w:tcW w:w="1142" w:type="pct"/>
            <w:shd w:val="clear" w:color="auto" w:fill="auto"/>
            <w:tcMar>
              <w:left w:w="28" w:type="dxa"/>
              <w:right w:w="28" w:type="dxa"/>
            </w:tcMar>
          </w:tcPr>
          <w:p w:rsidR="00C25B08" w:rsidRPr="00C25B08" w:rsidRDefault="00C25B08" w:rsidP="00C25B08">
            <w:pPr>
              <w:pStyle w:val="Tableheading"/>
              <w:autoSpaceDE w:val="0"/>
              <w:autoSpaceDN w:val="0"/>
              <w:adjustRightInd w:val="0"/>
              <w:rPr>
                <w:rFonts w:eastAsiaTheme="minorEastAsia" w:cs="Calibri"/>
                <w:b w:val="0"/>
              </w:rPr>
            </w:pPr>
            <w:r w:rsidRPr="00C25B08">
              <w:rPr>
                <w:rFonts w:eastAsiaTheme="minorEastAsia" w:cs="Calibri"/>
                <w:b w:val="0"/>
              </w:rPr>
              <w:t>Adult (18-65yrs) daily smokers willing to quit, exhaled CO ppm&gt;</w:t>
            </w:r>
            <w:r w:rsidR="000B79FB">
              <w:rPr>
                <w:rFonts w:eastAsiaTheme="minorEastAsia" w:cs="Calibri"/>
                <w:b w:val="0"/>
              </w:rPr>
              <w:t xml:space="preserve"> </w:t>
            </w:r>
            <w:r w:rsidRPr="00C25B08">
              <w:rPr>
                <w:rFonts w:eastAsiaTheme="minorEastAsia" w:cs="Calibri"/>
                <w:b w:val="0"/>
              </w:rPr>
              <w:t>10ppm</w:t>
            </w:r>
          </w:p>
          <w:p w:rsidR="00C25B08" w:rsidRPr="00C25B08" w:rsidRDefault="00C25B08" w:rsidP="00C25B08">
            <w:pPr>
              <w:pStyle w:val="Tableheading"/>
              <w:autoSpaceDE w:val="0"/>
              <w:autoSpaceDN w:val="0"/>
              <w:adjustRightInd w:val="0"/>
              <w:rPr>
                <w:rFonts w:eastAsiaTheme="minorEastAsia" w:cs="Calibri"/>
                <w:b w:val="0"/>
              </w:rPr>
            </w:pPr>
            <w:r w:rsidRPr="00C25B08">
              <w:rPr>
                <w:rFonts w:eastAsiaTheme="minorEastAsia" w:cs="Calibri"/>
                <w:b w:val="0"/>
              </w:rPr>
              <w:t>Exclusion:</w:t>
            </w:r>
          </w:p>
          <w:p w:rsidR="001835D1" w:rsidRPr="001E2154" w:rsidRDefault="00C25B08" w:rsidP="00C25B08">
            <w:pPr>
              <w:pStyle w:val="Tableheading"/>
              <w:autoSpaceDE w:val="0"/>
              <w:autoSpaceDN w:val="0"/>
              <w:adjustRightInd w:val="0"/>
              <w:rPr>
                <w:rFonts w:eastAsiaTheme="minorEastAsia" w:cs="Calibri"/>
                <w:b w:val="0"/>
              </w:rPr>
            </w:pPr>
            <w:r w:rsidRPr="00C25B08">
              <w:rPr>
                <w:rFonts w:eastAsiaTheme="minorEastAsia" w:cs="Calibri"/>
                <w:b w:val="0"/>
              </w:rPr>
              <w:t>Pregnant/lactating, history of cardiovascular disease, stomach ulcer, diabetes (unless with physician approval), use of other forms of nicotine containing products (except cigarettes), NRT or other medical aids or non-drug therapies for smoking cessation within 30days, participating in another study or investigational drugs within 30 days, suspected alcohol or other substance abuse or history of significant psychiatric illness within previous 12 months, presence of oral lesion requiring further inve</w:t>
            </w:r>
            <w:r>
              <w:rPr>
                <w:rFonts w:eastAsiaTheme="minorEastAsia" w:cs="Calibri"/>
                <w:b w:val="0"/>
              </w:rPr>
              <w:t>s</w:t>
            </w:r>
            <w:r w:rsidRPr="00C25B08">
              <w:rPr>
                <w:rFonts w:eastAsiaTheme="minorEastAsia" w:cs="Calibri"/>
                <w:b w:val="0"/>
              </w:rPr>
              <w:t>tigation at baseline.</w:t>
            </w:r>
          </w:p>
        </w:tc>
        <w:tc>
          <w:tcPr>
            <w:tcW w:w="808" w:type="pct"/>
            <w:shd w:val="clear" w:color="auto" w:fill="auto"/>
          </w:tcPr>
          <w:p w:rsidR="00831023" w:rsidRPr="00831023" w:rsidRDefault="00831023" w:rsidP="00C324F3">
            <w:pPr>
              <w:pStyle w:val="Tablewriting"/>
              <w:keepNext/>
              <w:numPr>
                <w:ilvl w:val="0"/>
                <w:numId w:val="8"/>
              </w:numPr>
              <w:rPr>
                <w:rFonts w:eastAsia="MS Mincho"/>
              </w:rPr>
            </w:pPr>
            <w:r w:rsidRPr="00831023">
              <w:rPr>
                <w:rFonts w:eastAsia="MS Mincho"/>
              </w:rPr>
              <w:t>NRT (1</w:t>
            </w:r>
            <w:r w:rsidR="006E016C">
              <w:rPr>
                <w:rFonts w:eastAsia="MS Mincho"/>
              </w:rPr>
              <w:t xml:space="preserve"> </w:t>
            </w:r>
            <w:r w:rsidRPr="00831023">
              <w:rPr>
                <w:rFonts w:eastAsia="MS Mincho"/>
              </w:rPr>
              <w:t>mg spray) with cravings, 12 w</w:t>
            </w:r>
            <w:r w:rsidR="006E016C">
              <w:rPr>
                <w:rFonts w:eastAsia="MS Mincho"/>
              </w:rPr>
              <w:t>ee</w:t>
            </w:r>
            <w:r w:rsidRPr="00831023">
              <w:rPr>
                <w:rFonts w:eastAsia="MS Mincho"/>
              </w:rPr>
              <w:t>ks, dose tapered down; additional product up to week 26 if requested by subject</w:t>
            </w:r>
          </w:p>
          <w:p w:rsidR="001835D1" w:rsidRPr="00D11171" w:rsidRDefault="00831023" w:rsidP="00C324F3">
            <w:pPr>
              <w:pStyle w:val="Tablewriting"/>
              <w:keepNext/>
              <w:numPr>
                <w:ilvl w:val="0"/>
                <w:numId w:val="8"/>
              </w:numPr>
              <w:rPr>
                <w:rFonts w:eastAsia="MS Mincho"/>
              </w:rPr>
            </w:pPr>
            <w:r w:rsidRPr="00831023">
              <w:rPr>
                <w:rFonts w:eastAsia="MS Mincho"/>
              </w:rPr>
              <w:t>Placebo</w:t>
            </w:r>
          </w:p>
        </w:tc>
        <w:tc>
          <w:tcPr>
            <w:tcW w:w="1094" w:type="pct"/>
            <w:shd w:val="clear" w:color="auto" w:fill="auto"/>
            <w:tcMar>
              <w:left w:w="28" w:type="dxa"/>
              <w:right w:w="28" w:type="dxa"/>
            </w:tcMar>
          </w:tcPr>
          <w:p w:rsidR="00831023" w:rsidRPr="00831023" w:rsidRDefault="00831023" w:rsidP="00831023">
            <w:pPr>
              <w:pStyle w:val="Tableheading"/>
              <w:autoSpaceDE w:val="0"/>
              <w:autoSpaceDN w:val="0"/>
              <w:adjustRightInd w:val="0"/>
              <w:rPr>
                <w:rFonts w:eastAsiaTheme="minorEastAsia" w:cs="Calibri"/>
                <w:b w:val="0"/>
                <w:u w:val="single"/>
              </w:rPr>
            </w:pPr>
            <w:r w:rsidRPr="00831023">
              <w:rPr>
                <w:rFonts w:eastAsiaTheme="minorEastAsia" w:cs="Calibri"/>
                <w:b w:val="0"/>
                <w:u w:val="single"/>
              </w:rPr>
              <w:t>Efficacy:</w:t>
            </w:r>
          </w:p>
          <w:p w:rsidR="00831023" w:rsidRPr="008366D4" w:rsidRDefault="00831023" w:rsidP="00831023">
            <w:pPr>
              <w:pStyle w:val="Tableheading"/>
              <w:autoSpaceDE w:val="0"/>
              <w:autoSpaceDN w:val="0"/>
              <w:adjustRightInd w:val="0"/>
              <w:rPr>
                <w:rFonts w:eastAsiaTheme="minorEastAsia" w:cs="Calibri"/>
                <w:b w:val="0"/>
                <w:i/>
                <w:iCs/>
              </w:rPr>
            </w:pPr>
            <w:r w:rsidRPr="008366D4">
              <w:rPr>
                <w:rFonts w:eastAsiaTheme="minorEastAsia" w:cs="Calibri"/>
                <w:b w:val="0"/>
                <w:i/>
                <w:iCs/>
              </w:rPr>
              <w:t>Primary</w:t>
            </w:r>
          </w:p>
          <w:p w:rsidR="00831023" w:rsidRPr="00F1381A" w:rsidRDefault="00831023" w:rsidP="00831023">
            <w:pPr>
              <w:pStyle w:val="Tableheading"/>
              <w:autoSpaceDE w:val="0"/>
              <w:autoSpaceDN w:val="0"/>
              <w:adjustRightInd w:val="0"/>
              <w:rPr>
                <w:rFonts w:eastAsiaTheme="minorEastAsia" w:cs="Calibri"/>
                <w:b w:val="0"/>
              </w:rPr>
            </w:pPr>
            <w:r w:rsidRPr="00F1381A">
              <w:rPr>
                <w:rFonts w:eastAsiaTheme="minorEastAsia" w:cs="Calibri"/>
                <w:b w:val="0"/>
              </w:rPr>
              <w:t>CAR CO-verified (&lt;10ppm), w</w:t>
            </w:r>
            <w:r w:rsidR="000B79FB">
              <w:rPr>
                <w:rFonts w:eastAsiaTheme="minorEastAsia" w:cs="Calibri"/>
                <w:b w:val="0"/>
              </w:rPr>
              <w:t>ee</w:t>
            </w:r>
            <w:r w:rsidRPr="00F1381A">
              <w:rPr>
                <w:rFonts w:eastAsiaTheme="minorEastAsia" w:cs="Calibri"/>
                <w:b w:val="0"/>
              </w:rPr>
              <w:t>k 2-6,</w:t>
            </w:r>
          </w:p>
          <w:p w:rsidR="00831023" w:rsidRPr="00F1381A" w:rsidRDefault="00831023" w:rsidP="00831023">
            <w:pPr>
              <w:pStyle w:val="Tableheading"/>
              <w:autoSpaceDE w:val="0"/>
              <w:autoSpaceDN w:val="0"/>
              <w:adjustRightInd w:val="0"/>
              <w:rPr>
                <w:rFonts w:eastAsiaTheme="minorEastAsia" w:cs="Calibri"/>
                <w:b w:val="0"/>
              </w:rPr>
            </w:pPr>
            <w:r w:rsidRPr="00F1381A">
              <w:rPr>
                <w:rFonts w:eastAsiaTheme="minorEastAsia" w:cs="Calibri"/>
                <w:b w:val="0"/>
              </w:rPr>
              <w:t>Secondary</w:t>
            </w:r>
          </w:p>
          <w:p w:rsidR="00831023" w:rsidRPr="00F1381A" w:rsidRDefault="00831023" w:rsidP="00831023">
            <w:pPr>
              <w:pStyle w:val="Tableheading"/>
              <w:autoSpaceDE w:val="0"/>
              <w:autoSpaceDN w:val="0"/>
              <w:adjustRightInd w:val="0"/>
              <w:rPr>
                <w:rFonts w:eastAsiaTheme="minorEastAsia" w:cs="Calibri"/>
                <w:b w:val="0"/>
              </w:rPr>
            </w:pPr>
            <w:r w:rsidRPr="00F1381A">
              <w:rPr>
                <w:rFonts w:eastAsiaTheme="minorEastAsia" w:cs="Calibri"/>
                <w:b w:val="0"/>
              </w:rPr>
              <w:t>CAR CO-verified (&lt;10ppm),  w</w:t>
            </w:r>
            <w:r w:rsidR="000B79FB">
              <w:rPr>
                <w:rFonts w:eastAsiaTheme="minorEastAsia" w:cs="Calibri"/>
                <w:b w:val="0"/>
              </w:rPr>
              <w:t>ee</w:t>
            </w:r>
            <w:r w:rsidRPr="00F1381A">
              <w:rPr>
                <w:rFonts w:eastAsiaTheme="minorEastAsia" w:cs="Calibri"/>
                <w:b w:val="0"/>
              </w:rPr>
              <w:t>k 2-12 and 2-26, 2-8, 2-16, 2-20</w:t>
            </w:r>
          </w:p>
          <w:p w:rsidR="00831023" w:rsidRPr="00831023" w:rsidRDefault="00831023" w:rsidP="00831023">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Pr="00831023">
              <w:rPr>
                <w:rFonts w:eastAsiaTheme="minorEastAsia" w:cs="Calibri"/>
                <w:b w:val="0"/>
                <w:u w:val="single"/>
              </w:rPr>
              <w:t>:</w:t>
            </w:r>
          </w:p>
          <w:p w:rsidR="001835D1" w:rsidRPr="00320A67" w:rsidRDefault="00831023" w:rsidP="00831023">
            <w:pPr>
              <w:pStyle w:val="Tableheading"/>
              <w:autoSpaceDE w:val="0"/>
              <w:autoSpaceDN w:val="0"/>
              <w:adjustRightInd w:val="0"/>
              <w:rPr>
                <w:rFonts w:eastAsiaTheme="minorEastAsia" w:cs="Calibri"/>
                <w:b w:val="0"/>
                <w:u w:val="single"/>
              </w:rPr>
            </w:pPr>
            <w:r w:rsidRPr="008366D4">
              <w:rPr>
                <w:rFonts w:eastAsiaTheme="minorEastAsia" w:cs="Calibri"/>
                <w:b w:val="0"/>
              </w:rPr>
              <w:t>Any adverse event</w:t>
            </w:r>
            <w:r w:rsidR="008366D4">
              <w:rPr>
                <w:rFonts w:eastAsiaTheme="minorEastAsia" w:cs="Calibri"/>
                <w:b w:val="0"/>
              </w:rPr>
              <w:t>, d</w:t>
            </w:r>
            <w:r w:rsidRPr="008366D4">
              <w:rPr>
                <w:rFonts w:eastAsiaTheme="minorEastAsia" w:cs="Calibri"/>
                <w:b w:val="0"/>
              </w:rPr>
              <w:t>eath</w:t>
            </w:r>
            <w:r w:rsidR="008366D4">
              <w:rPr>
                <w:rFonts w:eastAsiaTheme="minorEastAsia" w:cs="Calibri"/>
                <w:b w:val="0"/>
              </w:rPr>
              <w:t>, a</w:t>
            </w:r>
            <w:r w:rsidRPr="008366D4">
              <w:rPr>
                <w:rFonts w:eastAsiaTheme="minorEastAsia" w:cs="Calibri"/>
                <w:b w:val="0"/>
              </w:rPr>
              <w:t>ny SAE</w:t>
            </w:r>
            <w:r w:rsidR="008366D4">
              <w:rPr>
                <w:rFonts w:eastAsiaTheme="minorEastAsia" w:cs="Calibri"/>
                <w:b w:val="0"/>
              </w:rPr>
              <w:t>, t</w:t>
            </w:r>
            <w:r w:rsidRPr="000B79FB">
              <w:rPr>
                <w:rFonts w:eastAsiaTheme="minorEastAsia" w:cs="Calibri"/>
                <w:b w:val="0"/>
              </w:rPr>
              <w:t>reatment related AE (&gt;4%)</w:t>
            </w:r>
            <w:r w:rsidR="000B79FB">
              <w:rPr>
                <w:rFonts w:eastAsiaTheme="minorEastAsia" w:cs="Calibri"/>
                <w:b w:val="0"/>
              </w:rPr>
              <w:t>.</w:t>
            </w:r>
          </w:p>
        </w:tc>
      </w:tr>
      <w:tr w:rsidR="003A409B"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1835D1" w:rsidRPr="001E2154" w:rsidRDefault="002660D0" w:rsidP="00693DA2">
            <w:pPr>
              <w:pStyle w:val="Tableheading"/>
              <w:autoSpaceDE w:val="0"/>
              <w:autoSpaceDN w:val="0"/>
              <w:adjustRightInd w:val="0"/>
              <w:rPr>
                <w:rFonts w:eastAsiaTheme="minorEastAsia" w:cs="Calibri"/>
                <w:b w:val="0"/>
              </w:rPr>
            </w:pPr>
            <w:r>
              <w:rPr>
                <w:rFonts w:eastAsiaTheme="minorEastAsia" w:cs="Calibri"/>
                <w:b w:val="0"/>
              </w:rPr>
              <w:t>Chen 2020</w:t>
            </w:r>
          </w:p>
        </w:tc>
        <w:tc>
          <w:tcPr>
            <w:tcW w:w="379" w:type="pct"/>
            <w:shd w:val="clear" w:color="auto" w:fill="auto"/>
          </w:tcPr>
          <w:p w:rsidR="001835D1" w:rsidRPr="001E2154" w:rsidRDefault="002660D0"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1835D1" w:rsidRPr="001E2154" w:rsidRDefault="002660D0"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rsidR="001835D1" w:rsidRDefault="002660D0" w:rsidP="00693DA2">
            <w:pPr>
              <w:pStyle w:val="Tableheading"/>
              <w:autoSpaceDE w:val="0"/>
              <w:autoSpaceDN w:val="0"/>
              <w:adjustRightInd w:val="0"/>
              <w:rPr>
                <w:rFonts w:eastAsiaTheme="minorEastAsia" w:cs="Calibri"/>
                <w:b w:val="0"/>
              </w:rPr>
            </w:pPr>
            <w:r>
              <w:rPr>
                <w:rFonts w:eastAsiaTheme="minorEastAsia" w:cs="Calibri"/>
                <w:b w:val="0"/>
              </w:rPr>
              <w:t>822</w:t>
            </w:r>
          </w:p>
          <w:p w:rsidR="005140C7" w:rsidRDefault="00A43F37" w:rsidP="00693DA2">
            <w:pPr>
              <w:pStyle w:val="Tableheading"/>
              <w:autoSpaceDE w:val="0"/>
              <w:autoSpaceDN w:val="0"/>
              <w:adjustRightInd w:val="0"/>
              <w:rPr>
                <w:rFonts w:eastAsiaTheme="minorEastAsia" w:cs="Calibri"/>
                <w:b w:val="0"/>
              </w:rPr>
            </w:pPr>
            <w:r>
              <w:rPr>
                <w:rFonts w:eastAsiaTheme="minorEastAsia" w:cs="Calibri"/>
                <w:b w:val="0"/>
              </w:rPr>
              <w:t>n=275 (NRT) n=274 (</w:t>
            </w:r>
            <w:r w:rsidR="00963507">
              <w:rPr>
                <w:rFonts w:eastAsiaTheme="minorEastAsia" w:cs="Calibri"/>
                <w:b w:val="0"/>
              </w:rPr>
              <w:t>varenicline</w:t>
            </w:r>
            <w:r>
              <w:rPr>
                <w:rFonts w:eastAsiaTheme="minorEastAsia" w:cs="Calibri"/>
                <w:b w:val="0"/>
              </w:rPr>
              <w:t>)</w:t>
            </w:r>
          </w:p>
          <w:p w:rsidR="00963507" w:rsidRPr="001E2154" w:rsidRDefault="00963507" w:rsidP="00693DA2">
            <w:pPr>
              <w:pStyle w:val="Tableheading"/>
              <w:autoSpaceDE w:val="0"/>
              <w:autoSpaceDN w:val="0"/>
              <w:adjustRightInd w:val="0"/>
              <w:rPr>
                <w:rFonts w:eastAsiaTheme="minorEastAsia" w:cs="Calibri"/>
                <w:b w:val="0"/>
              </w:rPr>
            </w:pPr>
            <w:r>
              <w:rPr>
                <w:rFonts w:eastAsiaTheme="minorEastAsia" w:cs="Calibri"/>
                <w:b w:val="0"/>
              </w:rPr>
              <w:t>n=</w:t>
            </w:r>
            <w:r w:rsidR="007C38AC">
              <w:rPr>
                <w:rFonts w:eastAsiaTheme="minorEastAsia" w:cs="Calibri"/>
                <w:b w:val="0"/>
              </w:rPr>
              <w:t>273 (placebo)</w:t>
            </w:r>
          </w:p>
        </w:tc>
        <w:tc>
          <w:tcPr>
            <w:tcW w:w="1142" w:type="pct"/>
            <w:shd w:val="clear" w:color="auto" w:fill="auto"/>
            <w:tcMar>
              <w:left w:w="28" w:type="dxa"/>
              <w:right w:w="28" w:type="dxa"/>
            </w:tcMar>
          </w:tcPr>
          <w:p w:rsidR="002660D0" w:rsidRPr="002660D0" w:rsidRDefault="002660D0" w:rsidP="002660D0">
            <w:pPr>
              <w:pStyle w:val="Tableheading"/>
              <w:autoSpaceDE w:val="0"/>
              <w:autoSpaceDN w:val="0"/>
              <w:adjustRightInd w:val="0"/>
              <w:rPr>
                <w:rFonts w:eastAsiaTheme="minorEastAsia" w:cs="Calibri"/>
                <w:b w:val="0"/>
              </w:rPr>
            </w:pPr>
            <w:r w:rsidRPr="002660D0">
              <w:rPr>
                <w:rFonts w:eastAsiaTheme="minorEastAsia" w:cs="Calibri"/>
                <w:b w:val="0"/>
              </w:rPr>
              <w:t>Adults (21+) English speaking smokers (&gt;=5 cigarettes per day and exhaled CO &gt;=8 ppm), seeking treatment for cessation.</w:t>
            </w:r>
          </w:p>
          <w:p w:rsidR="001835D1" w:rsidRPr="001E2154" w:rsidRDefault="002660D0" w:rsidP="009E7142">
            <w:pPr>
              <w:pStyle w:val="Tableheading"/>
              <w:autoSpaceDE w:val="0"/>
              <w:autoSpaceDN w:val="0"/>
              <w:adjustRightInd w:val="0"/>
              <w:rPr>
                <w:rFonts w:eastAsiaTheme="minorEastAsia" w:cs="Calibri"/>
                <w:b w:val="0"/>
              </w:rPr>
            </w:pPr>
            <w:r w:rsidRPr="002660D0">
              <w:rPr>
                <w:rFonts w:eastAsiaTheme="minorEastAsia" w:cs="Calibri"/>
                <w:b w:val="0"/>
              </w:rPr>
              <w:t>Pregnancy or breastfeeding, active or recent use of medications or e-cigarettes for smoking cessation, allergy to interve</w:t>
            </w:r>
            <w:r>
              <w:rPr>
                <w:rFonts w:eastAsiaTheme="minorEastAsia" w:cs="Calibri"/>
                <w:b w:val="0"/>
              </w:rPr>
              <w:t>nt</w:t>
            </w:r>
            <w:r w:rsidRPr="002660D0">
              <w:rPr>
                <w:rFonts w:eastAsiaTheme="minorEastAsia" w:cs="Calibri"/>
                <w:b w:val="0"/>
              </w:rPr>
              <w:t>ions, unwillingness to prevent pregnancy during treatment or 1</w:t>
            </w:r>
            <w:r w:rsidR="009E7142">
              <w:rPr>
                <w:rFonts w:eastAsiaTheme="minorEastAsia" w:cs="Calibri"/>
                <w:b w:val="0"/>
              </w:rPr>
              <w:t xml:space="preserve"> </w:t>
            </w:r>
            <w:r w:rsidRPr="002660D0">
              <w:rPr>
                <w:rFonts w:eastAsiaTheme="minorEastAsia" w:cs="Calibri"/>
                <w:b w:val="0"/>
              </w:rPr>
              <w:t>mo</w:t>
            </w:r>
            <w:r w:rsidR="009E7142">
              <w:rPr>
                <w:rFonts w:eastAsiaTheme="minorEastAsia" w:cs="Calibri"/>
                <w:b w:val="0"/>
              </w:rPr>
              <w:t>nth</w:t>
            </w:r>
            <w:r w:rsidRPr="002660D0">
              <w:rPr>
                <w:rFonts w:eastAsiaTheme="minorEastAsia" w:cs="Calibri"/>
                <w:b w:val="0"/>
              </w:rPr>
              <w:t xml:space="preserve"> after, significant cardiac conditions, current heavy alcohol consumption, active psychosis or poorly controlled depression </w:t>
            </w:r>
            <w:r w:rsidR="009E7142">
              <w:rPr>
                <w:rFonts w:eastAsiaTheme="minorEastAsia" w:cs="Calibri"/>
                <w:b w:val="0"/>
              </w:rPr>
              <w:t>at</w:t>
            </w:r>
            <w:r w:rsidRPr="002660D0">
              <w:rPr>
                <w:rFonts w:eastAsiaTheme="minorEastAsia" w:cs="Calibri"/>
                <w:b w:val="0"/>
              </w:rPr>
              <w:t xml:space="preserve"> 6 mo</w:t>
            </w:r>
            <w:r w:rsidR="009E7142">
              <w:rPr>
                <w:rFonts w:eastAsiaTheme="minorEastAsia" w:cs="Calibri"/>
                <w:b w:val="0"/>
              </w:rPr>
              <w:t>nths</w:t>
            </w:r>
            <w:r w:rsidRPr="002660D0">
              <w:rPr>
                <w:rFonts w:eastAsiaTheme="minorEastAsia" w:cs="Calibri"/>
                <w:b w:val="0"/>
              </w:rPr>
              <w:t xml:space="preserve">, any prior suicide attempt or suicide ideation in </w:t>
            </w:r>
            <w:r w:rsidRPr="002660D0">
              <w:rPr>
                <w:rFonts w:eastAsiaTheme="minorEastAsia" w:cs="Calibri"/>
                <w:b w:val="0"/>
              </w:rPr>
              <w:lastRenderedPageBreak/>
              <w:t>past 6</w:t>
            </w:r>
            <w:r w:rsidR="009E7142">
              <w:rPr>
                <w:rFonts w:eastAsiaTheme="minorEastAsia" w:cs="Calibri"/>
                <w:b w:val="0"/>
              </w:rPr>
              <w:t xml:space="preserve"> </w:t>
            </w:r>
            <w:r w:rsidRPr="002660D0">
              <w:rPr>
                <w:rFonts w:eastAsiaTheme="minorEastAsia" w:cs="Calibri"/>
                <w:b w:val="0"/>
              </w:rPr>
              <w:t>mo</w:t>
            </w:r>
            <w:r w:rsidR="009E7142">
              <w:rPr>
                <w:rFonts w:eastAsiaTheme="minorEastAsia" w:cs="Calibri"/>
                <w:b w:val="0"/>
              </w:rPr>
              <w:t>nths</w:t>
            </w:r>
            <w:r w:rsidRPr="002660D0">
              <w:rPr>
                <w:rFonts w:eastAsiaTheme="minorEastAsia" w:cs="Calibri"/>
                <w:b w:val="0"/>
              </w:rPr>
              <w:t xml:space="preserve">, end stage renal disease with </w:t>
            </w:r>
            <w:r w:rsidR="009E7142" w:rsidRPr="002660D0">
              <w:rPr>
                <w:rFonts w:eastAsiaTheme="minorEastAsia" w:cs="Calibri"/>
                <w:b w:val="0"/>
              </w:rPr>
              <w:t>haemodialysis</w:t>
            </w:r>
            <w:r w:rsidRPr="002660D0">
              <w:rPr>
                <w:rFonts w:eastAsiaTheme="minorEastAsia" w:cs="Calibri"/>
                <w:b w:val="0"/>
              </w:rPr>
              <w:t>.</w:t>
            </w:r>
          </w:p>
        </w:tc>
        <w:tc>
          <w:tcPr>
            <w:tcW w:w="808" w:type="pct"/>
            <w:shd w:val="clear" w:color="auto" w:fill="auto"/>
          </w:tcPr>
          <w:p w:rsidR="00C05D96" w:rsidRPr="00C05D96" w:rsidRDefault="00C05D96" w:rsidP="00C324F3">
            <w:pPr>
              <w:pStyle w:val="Tablewriting"/>
              <w:keepNext/>
              <w:numPr>
                <w:ilvl w:val="0"/>
                <w:numId w:val="8"/>
              </w:numPr>
              <w:rPr>
                <w:rFonts w:eastAsia="MS Mincho"/>
              </w:rPr>
            </w:pPr>
            <w:r w:rsidRPr="00C05D96">
              <w:rPr>
                <w:rFonts w:eastAsia="MS Mincho"/>
              </w:rPr>
              <w:lastRenderedPageBreak/>
              <w:t>Varenicline, 12 weeks with 1 w</w:t>
            </w:r>
            <w:r w:rsidR="006E016C">
              <w:rPr>
                <w:rFonts w:eastAsia="MS Mincho"/>
              </w:rPr>
              <w:t>ee</w:t>
            </w:r>
            <w:r w:rsidRPr="00C05D96">
              <w:rPr>
                <w:rFonts w:eastAsia="MS Mincho"/>
              </w:rPr>
              <w:t>k titration prior to quit date</w:t>
            </w:r>
          </w:p>
          <w:p w:rsidR="00C05D96" w:rsidRPr="00C05D96" w:rsidRDefault="00C05D96" w:rsidP="00C324F3">
            <w:pPr>
              <w:pStyle w:val="Tablewriting"/>
              <w:keepNext/>
              <w:numPr>
                <w:ilvl w:val="0"/>
                <w:numId w:val="8"/>
              </w:numPr>
              <w:rPr>
                <w:rFonts w:eastAsia="MS Mincho"/>
              </w:rPr>
            </w:pPr>
            <w:r w:rsidRPr="00C05D96">
              <w:rPr>
                <w:rFonts w:eastAsia="MS Mincho"/>
              </w:rPr>
              <w:t xml:space="preserve">NRT patches and lozenges, 12 weeks with lozenges 1 wk prior to planned quit date </w:t>
            </w:r>
          </w:p>
          <w:p w:rsidR="00C05D96" w:rsidRPr="00C05D96" w:rsidRDefault="00C05D96" w:rsidP="00C324F3">
            <w:pPr>
              <w:pStyle w:val="Tablewriting"/>
              <w:keepNext/>
              <w:numPr>
                <w:ilvl w:val="0"/>
                <w:numId w:val="8"/>
              </w:numPr>
              <w:rPr>
                <w:rFonts w:eastAsia="MS Mincho"/>
              </w:rPr>
            </w:pPr>
            <w:r w:rsidRPr="00C05D96">
              <w:rPr>
                <w:rFonts w:eastAsia="MS Mincho"/>
              </w:rPr>
              <w:t>Placebo</w:t>
            </w:r>
          </w:p>
          <w:p w:rsidR="00C05D96" w:rsidRPr="00C05D96" w:rsidRDefault="00C05D96" w:rsidP="00FF725F">
            <w:pPr>
              <w:pStyle w:val="Tablewriting"/>
              <w:keepNext/>
              <w:rPr>
                <w:rFonts w:eastAsia="MS Mincho"/>
              </w:rPr>
            </w:pPr>
            <w:r w:rsidRPr="00554906">
              <w:rPr>
                <w:rFonts w:eastAsia="MS Mincho"/>
                <w:u w:val="single"/>
              </w:rPr>
              <w:t>Common elements</w:t>
            </w:r>
            <w:r w:rsidRPr="00C05D96">
              <w:rPr>
                <w:rFonts w:eastAsia="MS Mincho"/>
              </w:rPr>
              <w:t>:</w:t>
            </w:r>
          </w:p>
          <w:p w:rsidR="00D4427A" w:rsidRPr="00465ED1" w:rsidRDefault="00C05D96" w:rsidP="00C324F3">
            <w:pPr>
              <w:pStyle w:val="Tablewriting"/>
              <w:keepNext/>
              <w:numPr>
                <w:ilvl w:val="0"/>
                <w:numId w:val="8"/>
              </w:numPr>
              <w:rPr>
                <w:rFonts w:eastAsia="MS Mincho"/>
              </w:rPr>
            </w:pPr>
            <w:r w:rsidRPr="00C05D96">
              <w:rPr>
                <w:rFonts w:eastAsia="MS Mincho"/>
              </w:rPr>
              <w:t>Counselling</w:t>
            </w:r>
          </w:p>
        </w:tc>
        <w:tc>
          <w:tcPr>
            <w:tcW w:w="1094" w:type="pct"/>
            <w:shd w:val="clear" w:color="auto" w:fill="auto"/>
            <w:tcMar>
              <w:left w:w="28" w:type="dxa"/>
              <w:right w:w="28" w:type="dxa"/>
            </w:tcMar>
          </w:tcPr>
          <w:p w:rsidR="00C05D96" w:rsidRPr="00C05D96" w:rsidRDefault="00C05D96" w:rsidP="00C05D96">
            <w:pPr>
              <w:pStyle w:val="Tableheading"/>
              <w:autoSpaceDE w:val="0"/>
              <w:autoSpaceDN w:val="0"/>
              <w:adjustRightInd w:val="0"/>
              <w:rPr>
                <w:rFonts w:eastAsiaTheme="minorEastAsia" w:cs="Calibri"/>
                <w:b w:val="0"/>
                <w:u w:val="single"/>
              </w:rPr>
            </w:pPr>
            <w:r w:rsidRPr="00C05D96">
              <w:rPr>
                <w:rFonts w:eastAsiaTheme="minorEastAsia" w:cs="Calibri"/>
                <w:b w:val="0"/>
                <w:u w:val="single"/>
              </w:rPr>
              <w:t>Efficacy:</w:t>
            </w:r>
          </w:p>
          <w:p w:rsidR="002E5408" w:rsidRDefault="00C05D96" w:rsidP="00C05D96">
            <w:pPr>
              <w:pStyle w:val="Tableheading"/>
              <w:autoSpaceDE w:val="0"/>
              <w:autoSpaceDN w:val="0"/>
              <w:adjustRightInd w:val="0"/>
              <w:rPr>
                <w:rFonts w:eastAsiaTheme="minorEastAsia" w:cs="Calibri"/>
                <w:b w:val="0"/>
              </w:rPr>
            </w:pPr>
            <w:r w:rsidRPr="00554906">
              <w:rPr>
                <w:rFonts w:eastAsiaTheme="minorEastAsia" w:cs="Calibri"/>
                <w:b w:val="0"/>
                <w:i/>
                <w:iCs/>
              </w:rPr>
              <w:t>Primary:</w:t>
            </w:r>
            <w:r w:rsidRPr="00554906">
              <w:rPr>
                <w:rFonts w:eastAsiaTheme="minorEastAsia" w:cs="Calibri"/>
                <w:b w:val="0"/>
              </w:rPr>
              <w:t xml:space="preserve"> </w:t>
            </w:r>
          </w:p>
          <w:p w:rsidR="00C05D96" w:rsidRPr="00554906" w:rsidRDefault="00C05D96" w:rsidP="00C05D96">
            <w:pPr>
              <w:pStyle w:val="Tableheading"/>
              <w:autoSpaceDE w:val="0"/>
              <w:autoSpaceDN w:val="0"/>
              <w:adjustRightInd w:val="0"/>
              <w:rPr>
                <w:rFonts w:eastAsiaTheme="minorEastAsia" w:cs="Calibri"/>
                <w:b w:val="0"/>
              </w:rPr>
            </w:pPr>
            <w:r w:rsidRPr="00554906">
              <w:rPr>
                <w:rFonts w:eastAsiaTheme="minorEastAsia" w:cs="Calibri"/>
                <w:b w:val="0"/>
              </w:rPr>
              <w:t>7-day PPA,12</w:t>
            </w:r>
            <w:r w:rsidR="00E23963">
              <w:rPr>
                <w:rFonts w:eastAsiaTheme="minorEastAsia" w:cs="Calibri"/>
                <w:b w:val="0"/>
              </w:rPr>
              <w:t xml:space="preserve"> </w:t>
            </w:r>
            <w:r w:rsidRPr="00554906">
              <w:rPr>
                <w:rFonts w:eastAsiaTheme="minorEastAsia" w:cs="Calibri"/>
                <w:b w:val="0"/>
              </w:rPr>
              <w:t>w</w:t>
            </w:r>
            <w:r w:rsidR="00E23963">
              <w:rPr>
                <w:rFonts w:eastAsiaTheme="minorEastAsia" w:cs="Calibri"/>
                <w:b w:val="0"/>
              </w:rPr>
              <w:t>ee</w:t>
            </w:r>
            <w:r w:rsidRPr="00554906">
              <w:rPr>
                <w:rFonts w:eastAsiaTheme="minorEastAsia" w:cs="Calibri"/>
                <w:b w:val="0"/>
              </w:rPr>
              <w:t>k; CO</w:t>
            </w:r>
            <w:r w:rsidR="00952A8D">
              <w:rPr>
                <w:rFonts w:eastAsiaTheme="minorEastAsia" w:cs="Calibri"/>
                <w:b w:val="0"/>
              </w:rPr>
              <w:t xml:space="preserve">; </w:t>
            </w:r>
            <w:r w:rsidRPr="00554906">
              <w:rPr>
                <w:rFonts w:eastAsiaTheme="minorEastAsia" w:cs="Calibri"/>
                <w:b w:val="0"/>
              </w:rPr>
              <w:t>verification (&lt;8ppm)</w:t>
            </w:r>
          </w:p>
          <w:p w:rsidR="00C05D96" w:rsidRPr="00554906" w:rsidRDefault="00C05D96" w:rsidP="00C05D96">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rsidR="00C05D96" w:rsidRPr="00554906" w:rsidRDefault="00C05D96" w:rsidP="00C05D96">
            <w:pPr>
              <w:pStyle w:val="Tableheading"/>
              <w:autoSpaceDE w:val="0"/>
              <w:autoSpaceDN w:val="0"/>
              <w:adjustRightInd w:val="0"/>
              <w:rPr>
                <w:rFonts w:eastAsiaTheme="minorEastAsia" w:cs="Calibri"/>
                <w:b w:val="0"/>
              </w:rPr>
            </w:pPr>
            <w:r w:rsidRPr="00554906">
              <w:rPr>
                <w:rFonts w:eastAsiaTheme="minorEastAsia" w:cs="Calibri"/>
                <w:b w:val="0"/>
              </w:rPr>
              <w:t>CAR, 12</w:t>
            </w:r>
            <w:r w:rsidR="00E23963">
              <w:rPr>
                <w:rFonts w:eastAsiaTheme="minorEastAsia" w:cs="Calibri"/>
                <w:b w:val="0"/>
              </w:rPr>
              <w:t xml:space="preserve"> </w:t>
            </w:r>
            <w:r w:rsidRPr="00554906">
              <w:rPr>
                <w:rFonts w:eastAsiaTheme="minorEastAsia" w:cs="Calibri"/>
                <w:b w:val="0"/>
              </w:rPr>
              <w:t>w</w:t>
            </w:r>
            <w:r w:rsidR="00E23963">
              <w:rPr>
                <w:rFonts w:eastAsiaTheme="minorEastAsia" w:cs="Calibri"/>
                <w:b w:val="0"/>
              </w:rPr>
              <w:t>ee</w:t>
            </w:r>
            <w:r w:rsidRPr="00554906">
              <w:rPr>
                <w:rFonts w:eastAsiaTheme="minorEastAsia" w:cs="Calibri"/>
                <w:b w:val="0"/>
              </w:rPr>
              <w:t>k</w:t>
            </w:r>
            <w:r w:rsidR="00952A8D">
              <w:rPr>
                <w:rFonts w:eastAsiaTheme="minorEastAsia" w:cs="Calibri"/>
                <w:b w:val="0"/>
              </w:rPr>
              <w:t xml:space="preserve">, </w:t>
            </w:r>
            <w:r w:rsidRPr="00554906">
              <w:rPr>
                <w:rFonts w:eastAsiaTheme="minorEastAsia" w:cs="Calibri"/>
                <w:b w:val="0"/>
              </w:rPr>
              <w:t>7-day PPA, 6</w:t>
            </w:r>
            <w:r w:rsidR="00952A8D">
              <w:rPr>
                <w:rFonts w:eastAsiaTheme="minorEastAsia" w:cs="Calibri"/>
                <w:b w:val="0"/>
              </w:rPr>
              <w:t xml:space="preserve"> </w:t>
            </w:r>
            <w:r w:rsidRPr="00554906">
              <w:rPr>
                <w:rFonts w:eastAsiaTheme="minorEastAsia" w:cs="Calibri"/>
                <w:b w:val="0"/>
              </w:rPr>
              <w:t>mo</w:t>
            </w:r>
            <w:r w:rsidR="00952A8D">
              <w:rPr>
                <w:rFonts w:eastAsiaTheme="minorEastAsia" w:cs="Calibri"/>
                <w:b w:val="0"/>
              </w:rPr>
              <w:t>nths</w:t>
            </w:r>
          </w:p>
          <w:p w:rsidR="001835D1" w:rsidRPr="00320A67" w:rsidRDefault="00C05D96" w:rsidP="00C05D96">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Pr="00C05D96">
              <w:rPr>
                <w:rFonts w:eastAsiaTheme="minorEastAsia" w:cs="Calibri"/>
                <w:b w:val="0"/>
                <w:u w:val="single"/>
              </w:rPr>
              <w:t>:</w:t>
            </w:r>
            <w:r w:rsidR="00952A8D">
              <w:rPr>
                <w:rFonts w:eastAsiaTheme="minorEastAsia" w:cs="Calibri"/>
                <w:b w:val="0"/>
                <w:u w:val="single"/>
              </w:rPr>
              <w:t xml:space="preserve"> </w:t>
            </w:r>
            <w:r w:rsidRPr="005A157B">
              <w:rPr>
                <w:rFonts w:eastAsiaTheme="minorEastAsia" w:cs="Calibri"/>
                <w:b w:val="0"/>
              </w:rPr>
              <w:t>All AE, 12</w:t>
            </w:r>
            <w:r w:rsidR="00952A8D" w:rsidRPr="005A157B">
              <w:rPr>
                <w:rFonts w:eastAsiaTheme="minorEastAsia" w:cs="Calibri"/>
                <w:b w:val="0"/>
              </w:rPr>
              <w:t xml:space="preserve"> </w:t>
            </w:r>
            <w:r w:rsidRPr="005A157B">
              <w:rPr>
                <w:rFonts w:eastAsiaTheme="minorEastAsia" w:cs="Calibri"/>
                <w:b w:val="0"/>
              </w:rPr>
              <w:t>w</w:t>
            </w:r>
            <w:r w:rsidR="00952A8D" w:rsidRPr="005A157B">
              <w:rPr>
                <w:rFonts w:eastAsiaTheme="minorEastAsia" w:cs="Calibri"/>
                <w:b w:val="0"/>
              </w:rPr>
              <w:t>ee</w:t>
            </w:r>
            <w:r w:rsidRPr="005A157B">
              <w:rPr>
                <w:rFonts w:eastAsiaTheme="minorEastAsia" w:cs="Calibri"/>
                <w:b w:val="0"/>
              </w:rPr>
              <w:t>k</w:t>
            </w:r>
            <w:r w:rsidR="00952A8D" w:rsidRPr="005A157B">
              <w:rPr>
                <w:rFonts w:eastAsiaTheme="minorEastAsia" w:cs="Calibri"/>
                <w:b w:val="0"/>
              </w:rPr>
              <w:t>.</w:t>
            </w:r>
          </w:p>
        </w:tc>
      </w:tr>
      <w:tr w:rsidR="003A409B"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1835D1" w:rsidRPr="001E2154" w:rsidRDefault="000263E2" w:rsidP="00693DA2">
            <w:pPr>
              <w:pStyle w:val="Tableheading"/>
              <w:autoSpaceDE w:val="0"/>
              <w:autoSpaceDN w:val="0"/>
              <w:adjustRightInd w:val="0"/>
              <w:rPr>
                <w:rFonts w:eastAsiaTheme="minorEastAsia" w:cs="Calibri"/>
                <w:b w:val="0"/>
              </w:rPr>
            </w:pPr>
            <w:r>
              <w:rPr>
                <w:rFonts w:eastAsiaTheme="minorEastAsia" w:cs="Calibri"/>
                <w:b w:val="0"/>
              </w:rPr>
              <w:t>Schnoll 2019</w:t>
            </w:r>
          </w:p>
        </w:tc>
        <w:tc>
          <w:tcPr>
            <w:tcW w:w="379" w:type="pct"/>
            <w:shd w:val="clear" w:color="auto" w:fill="auto"/>
          </w:tcPr>
          <w:p w:rsidR="001835D1" w:rsidRPr="001E2154" w:rsidRDefault="000263E2"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1835D1" w:rsidRPr="001E2154" w:rsidRDefault="000263E2"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rsidR="001835D1" w:rsidRDefault="000263E2" w:rsidP="00693DA2">
            <w:pPr>
              <w:pStyle w:val="Tableheading"/>
              <w:autoSpaceDE w:val="0"/>
              <w:autoSpaceDN w:val="0"/>
              <w:adjustRightInd w:val="0"/>
              <w:rPr>
                <w:rFonts w:eastAsiaTheme="minorEastAsia" w:cs="Calibri"/>
                <w:b w:val="0"/>
              </w:rPr>
            </w:pPr>
            <w:r>
              <w:rPr>
                <w:rFonts w:eastAsiaTheme="minorEastAsia" w:cs="Calibri"/>
                <w:b w:val="0"/>
              </w:rPr>
              <w:t>207</w:t>
            </w:r>
          </w:p>
          <w:p w:rsidR="007C38AC" w:rsidRDefault="009B20B3" w:rsidP="00693DA2">
            <w:pPr>
              <w:pStyle w:val="Tableheading"/>
              <w:autoSpaceDE w:val="0"/>
              <w:autoSpaceDN w:val="0"/>
              <w:adjustRightInd w:val="0"/>
              <w:rPr>
                <w:rFonts w:eastAsiaTheme="minorEastAsia" w:cs="Calibri"/>
                <w:b w:val="0"/>
              </w:rPr>
            </w:pPr>
            <w:r>
              <w:rPr>
                <w:rFonts w:eastAsiaTheme="minorEastAsia" w:cs="Calibri"/>
                <w:b w:val="0"/>
              </w:rPr>
              <w:t>n=105 (varenicline) n=102 (placebo)</w:t>
            </w:r>
          </w:p>
          <w:p w:rsidR="005140C7" w:rsidRPr="001E2154" w:rsidRDefault="005140C7" w:rsidP="00693DA2">
            <w:pPr>
              <w:pStyle w:val="Tableheading"/>
              <w:autoSpaceDE w:val="0"/>
              <w:autoSpaceDN w:val="0"/>
              <w:adjustRightInd w:val="0"/>
              <w:rPr>
                <w:rFonts w:eastAsiaTheme="minorEastAsia" w:cs="Calibri"/>
                <w:b w:val="0"/>
              </w:rPr>
            </w:pPr>
          </w:p>
        </w:tc>
        <w:tc>
          <w:tcPr>
            <w:tcW w:w="1142" w:type="pct"/>
            <w:shd w:val="clear" w:color="auto" w:fill="auto"/>
            <w:tcMar>
              <w:left w:w="28" w:type="dxa"/>
              <w:right w:w="28" w:type="dxa"/>
            </w:tcMar>
          </w:tcPr>
          <w:p w:rsidR="005140C7" w:rsidRPr="005140C7" w:rsidRDefault="005140C7" w:rsidP="005140C7">
            <w:pPr>
              <w:pStyle w:val="Tableheading"/>
              <w:autoSpaceDE w:val="0"/>
              <w:autoSpaceDN w:val="0"/>
              <w:adjustRightInd w:val="0"/>
              <w:rPr>
                <w:rFonts w:eastAsiaTheme="minorEastAsia" w:cs="Calibri"/>
                <w:b w:val="0"/>
              </w:rPr>
            </w:pPr>
            <w:r w:rsidRPr="005140C7">
              <w:rPr>
                <w:rFonts w:eastAsiaTheme="minorEastAsia" w:cs="Calibri"/>
                <w:b w:val="0"/>
              </w:rPr>
              <w:t xml:space="preserve">Adults (18+) smokers (5 cigarettes per week), motivated to quit with a diagnosis of cancer or a recurrence within the past 5 years and Participants were required to a Karnofsky score ≥50 or an ECOG Performance status ≤2 </w:t>
            </w:r>
          </w:p>
          <w:p w:rsidR="005140C7" w:rsidRPr="005140C7" w:rsidRDefault="005140C7" w:rsidP="005140C7">
            <w:pPr>
              <w:pStyle w:val="Tableheading"/>
              <w:autoSpaceDE w:val="0"/>
              <w:autoSpaceDN w:val="0"/>
              <w:adjustRightInd w:val="0"/>
              <w:rPr>
                <w:rFonts w:eastAsiaTheme="minorEastAsia" w:cs="Calibri"/>
                <w:b w:val="0"/>
              </w:rPr>
            </w:pPr>
            <w:r w:rsidRPr="006A6B9B">
              <w:rPr>
                <w:rFonts w:eastAsiaTheme="minorEastAsia" w:cs="Calibri"/>
                <w:b w:val="0"/>
                <w:u w:val="single"/>
              </w:rPr>
              <w:t>Exclusions</w:t>
            </w:r>
            <w:r w:rsidRPr="005140C7">
              <w:rPr>
                <w:rFonts w:eastAsiaTheme="minorEastAsia" w:cs="Calibri"/>
                <w:b w:val="0"/>
              </w:rPr>
              <w:t>:</w:t>
            </w:r>
          </w:p>
          <w:p w:rsidR="001835D1" w:rsidRPr="001E2154" w:rsidRDefault="005140C7" w:rsidP="005140C7">
            <w:pPr>
              <w:pStyle w:val="Tableheading"/>
              <w:autoSpaceDE w:val="0"/>
              <w:autoSpaceDN w:val="0"/>
              <w:adjustRightInd w:val="0"/>
              <w:rPr>
                <w:rFonts w:eastAsiaTheme="minorEastAsia" w:cs="Calibri"/>
                <w:b w:val="0"/>
              </w:rPr>
            </w:pPr>
            <w:r w:rsidRPr="005140C7">
              <w:rPr>
                <w:rFonts w:eastAsiaTheme="minorEastAsia" w:cs="Calibri"/>
                <w:b w:val="0"/>
              </w:rPr>
              <w:t>Daily use of nicotine products other than cigarettes, unstable substance abuse/dependence in the last year, a current medical problem for which varenicline use is contraindicated (e.g., allergy), a lifetime DSM-IV diagnosis of psychotic or bipolar disorder or current unstable or untreated major depression, current suicidality or a past attempt as identified by the Mini International Neuropsychiatric Interview (MINI) or the Columbia-Suicide Severity Rating Scale, unable to communicate in English, pregnant, planning a pregnancy, or lactating.</w:t>
            </w:r>
          </w:p>
        </w:tc>
        <w:tc>
          <w:tcPr>
            <w:tcW w:w="808" w:type="pct"/>
            <w:shd w:val="clear" w:color="auto" w:fill="auto"/>
          </w:tcPr>
          <w:p w:rsidR="005140C7" w:rsidRPr="005140C7" w:rsidRDefault="005140C7" w:rsidP="00C324F3">
            <w:pPr>
              <w:pStyle w:val="Tablewriting"/>
              <w:keepNext/>
              <w:numPr>
                <w:ilvl w:val="0"/>
                <w:numId w:val="8"/>
              </w:numPr>
              <w:rPr>
                <w:rFonts w:eastAsia="MS Mincho"/>
              </w:rPr>
            </w:pPr>
            <w:r w:rsidRPr="005140C7">
              <w:rPr>
                <w:rFonts w:eastAsia="MS Mincho"/>
              </w:rPr>
              <w:t>Varenicline, 1mg b</w:t>
            </w:r>
            <w:r w:rsidR="0075452C">
              <w:rPr>
                <w:rFonts w:eastAsia="MS Mincho"/>
              </w:rPr>
              <w:t>.</w:t>
            </w:r>
            <w:r w:rsidRPr="005140C7">
              <w:rPr>
                <w:rFonts w:eastAsia="MS Mincho"/>
              </w:rPr>
              <w:t>d, 12</w:t>
            </w:r>
            <w:r w:rsidR="0075452C">
              <w:rPr>
                <w:rFonts w:eastAsia="MS Mincho"/>
              </w:rPr>
              <w:t xml:space="preserve"> </w:t>
            </w:r>
            <w:r w:rsidRPr="005140C7">
              <w:rPr>
                <w:rFonts w:eastAsia="MS Mincho"/>
              </w:rPr>
              <w:t>w</w:t>
            </w:r>
            <w:r w:rsidR="0075452C">
              <w:rPr>
                <w:rFonts w:eastAsia="MS Mincho"/>
              </w:rPr>
              <w:t>ee</w:t>
            </w:r>
            <w:r w:rsidRPr="005140C7">
              <w:rPr>
                <w:rFonts w:eastAsia="MS Mincho"/>
              </w:rPr>
              <w:t>ks from wks 12-24</w:t>
            </w:r>
          </w:p>
          <w:p w:rsidR="005140C7" w:rsidRPr="005140C7" w:rsidRDefault="005140C7" w:rsidP="00C324F3">
            <w:pPr>
              <w:pStyle w:val="Tablewriting"/>
              <w:keepNext/>
              <w:numPr>
                <w:ilvl w:val="0"/>
                <w:numId w:val="8"/>
              </w:numPr>
              <w:rPr>
                <w:rFonts w:eastAsia="MS Mincho"/>
              </w:rPr>
            </w:pPr>
            <w:r w:rsidRPr="005140C7">
              <w:rPr>
                <w:rFonts w:eastAsia="MS Mincho"/>
              </w:rPr>
              <w:t>Placebo, 12wks from wks 12-24</w:t>
            </w:r>
          </w:p>
          <w:p w:rsidR="005140C7" w:rsidRPr="005140C7" w:rsidRDefault="005140C7" w:rsidP="00FF725F">
            <w:pPr>
              <w:pStyle w:val="Tablewriting"/>
              <w:keepNext/>
              <w:rPr>
                <w:rFonts w:eastAsia="MS Mincho"/>
              </w:rPr>
            </w:pPr>
            <w:r w:rsidRPr="00554906">
              <w:rPr>
                <w:rFonts w:eastAsia="MS Mincho"/>
                <w:u w:val="single"/>
              </w:rPr>
              <w:t>Common elements</w:t>
            </w:r>
            <w:r w:rsidRPr="005140C7">
              <w:rPr>
                <w:rFonts w:eastAsia="MS Mincho"/>
              </w:rPr>
              <w:t>:</w:t>
            </w:r>
          </w:p>
          <w:p w:rsidR="005140C7" w:rsidRPr="005140C7" w:rsidRDefault="005140C7" w:rsidP="00C324F3">
            <w:pPr>
              <w:pStyle w:val="Tablewriting"/>
              <w:keepNext/>
              <w:numPr>
                <w:ilvl w:val="0"/>
                <w:numId w:val="8"/>
              </w:numPr>
              <w:rPr>
                <w:rFonts w:eastAsia="MS Mincho"/>
              </w:rPr>
            </w:pPr>
            <w:r w:rsidRPr="005140C7">
              <w:rPr>
                <w:rFonts w:eastAsia="MS Mincho"/>
              </w:rPr>
              <w:t>Varenicline, 1mg b</w:t>
            </w:r>
            <w:r w:rsidR="0075452C">
              <w:rPr>
                <w:rFonts w:eastAsia="MS Mincho"/>
              </w:rPr>
              <w:t>.</w:t>
            </w:r>
            <w:r w:rsidRPr="005140C7">
              <w:rPr>
                <w:rFonts w:eastAsia="MS Mincho"/>
              </w:rPr>
              <w:t>d, w</w:t>
            </w:r>
            <w:r w:rsidR="0075452C">
              <w:rPr>
                <w:rFonts w:eastAsia="MS Mincho"/>
              </w:rPr>
              <w:t>ee</w:t>
            </w:r>
            <w:r w:rsidRPr="005140C7">
              <w:rPr>
                <w:rFonts w:eastAsia="MS Mincho"/>
              </w:rPr>
              <w:t>ks 0-12, with 1 w</w:t>
            </w:r>
            <w:r w:rsidR="00E23963">
              <w:rPr>
                <w:rFonts w:eastAsia="MS Mincho"/>
              </w:rPr>
              <w:t>ee</w:t>
            </w:r>
            <w:r w:rsidRPr="005140C7">
              <w:rPr>
                <w:rFonts w:eastAsia="MS Mincho"/>
              </w:rPr>
              <w:t>k titrated dose prior to quit date</w:t>
            </w:r>
          </w:p>
          <w:p w:rsidR="001835D1" w:rsidRPr="00D11171" w:rsidRDefault="005140C7" w:rsidP="00C324F3">
            <w:pPr>
              <w:pStyle w:val="Tablewriting"/>
              <w:keepNext/>
              <w:numPr>
                <w:ilvl w:val="0"/>
                <w:numId w:val="8"/>
              </w:numPr>
              <w:rPr>
                <w:rFonts w:eastAsia="MS Mincho"/>
              </w:rPr>
            </w:pPr>
            <w:r w:rsidRPr="005140C7">
              <w:rPr>
                <w:rFonts w:eastAsia="MS Mincho"/>
              </w:rPr>
              <w:t>Smoking cessation counselling at Quit date then w</w:t>
            </w:r>
            <w:r w:rsidR="00742293">
              <w:rPr>
                <w:rFonts w:eastAsia="MS Mincho"/>
              </w:rPr>
              <w:t>ee</w:t>
            </w:r>
            <w:r w:rsidRPr="005140C7">
              <w:rPr>
                <w:rFonts w:eastAsia="MS Mincho"/>
              </w:rPr>
              <w:t>k 4,8,12,14,18.</w:t>
            </w:r>
          </w:p>
        </w:tc>
        <w:tc>
          <w:tcPr>
            <w:tcW w:w="1094" w:type="pct"/>
            <w:shd w:val="clear" w:color="auto" w:fill="auto"/>
            <w:tcMar>
              <w:left w:w="28" w:type="dxa"/>
              <w:right w:w="28" w:type="dxa"/>
            </w:tcMar>
          </w:tcPr>
          <w:p w:rsidR="005140C7" w:rsidRPr="005140C7" w:rsidRDefault="005140C7" w:rsidP="005140C7">
            <w:pPr>
              <w:pStyle w:val="Tableheading"/>
              <w:autoSpaceDE w:val="0"/>
              <w:autoSpaceDN w:val="0"/>
              <w:adjustRightInd w:val="0"/>
              <w:rPr>
                <w:rFonts w:eastAsiaTheme="minorEastAsia" w:cs="Calibri"/>
                <w:b w:val="0"/>
                <w:u w:val="single"/>
              </w:rPr>
            </w:pPr>
            <w:r w:rsidRPr="005140C7">
              <w:rPr>
                <w:rFonts w:eastAsiaTheme="minorEastAsia" w:cs="Calibri"/>
                <w:b w:val="0"/>
                <w:u w:val="single"/>
              </w:rPr>
              <w:t>Efficacy</w:t>
            </w:r>
          </w:p>
          <w:p w:rsidR="005140C7" w:rsidRPr="00554906" w:rsidRDefault="005140C7" w:rsidP="005140C7">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rsidR="005140C7" w:rsidRPr="00554906" w:rsidRDefault="005140C7" w:rsidP="005140C7">
            <w:pPr>
              <w:pStyle w:val="Tableheading"/>
              <w:autoSpaceDE w:val="0"/>
              <w:autoSpaceDN w:val="0"/>
              <w:adjustRightInd w:val="0"/>
              <w:rPr>
                <w:rFonts w:eastAsiaTheme="minorEastAsia" w:cs="Calibri"/>
                <w:b w:val="0"/>
              </w:rPr>
            </w:pPr>
            <w:r w:rsidRPr="00554906">
              <w:rPr>
                <w:rFonts w:eastAsiaTheme="minorEastAsia" w:cs="Calibri"/>
                <w:b w:val="0"/>
              </w:rPr>
              <w:t>7-day PPA, CO-confirmed (&lt;10ppm), w</w:t>
            </w:r>
            <w:r w:rsidR="00057A3C">
              <w:rPr>
                <w:rFonts w:eastAsiaTheme="minorEastAsia" w:cs="Calibri"/>
                <w:b w:val="0"/>
              </w:rPr>
              <w:t>ee</w:t>
            </w:r>
            <w:r w:rsidRPr="00554906">
              <w:rPr>
                <w:rFonts w:eastAsiaTheme="minorEastAsia" w:cs="Calibri"/>
                <w:b w:val="0"/>
              </w:rPr>
              <w:t>k</w:t>
            </w:r>
            <w:r w:rsidR="00057A3C">
              <w:rPr>
                <w:rFonts w:eastAsiaTheme="minorEastAsia" w:cs="Calibri"/>
                <w:b w:val="0"/>
              </w:rPr>
              <w:t xml:space="preserve"> </w:t>
            </w:r>
            <w:r w:rsidRPr="00554906">
              <w:rPr>
                <w:rFonts w:eastAsiaTheme="minorEastAsia" w:cs="Calibri"/>
                <w:b w:val="0"/>
              </w:rPr>
              <w:t>24 and 5</w:t>
            </w:r>
            <w:r w:rsidR="002E5408">
              <w:rPr>
                <w:rFonts w:eastAsiaTheme="minorEastAsia" w:cs="Calibri"/>
                <w:b w:val="0"/>
              </w:rPr>
              <w:t>2.</w:t>
            </w:r>
          </w:p>
          <w:p w:rsidR="005140C7" w:rsidRPr="00554906" w:rsidRDefault="005140C7" w:rsidP="005140C7">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rsidR="001835D1" w:rsidRPr="00554906" w:rsidRDefault="005140C7" w:rsidP="005140C7">
            <w:pPr>
              <w:pStyle w:val="Tableheading"/>
              <w:autoSpaceDE w:val="0"/>
              <w:autoSpaceDN w:val="0"/>
              <w:adjustRightInd w:val="0"/>
              <w:rPr>
                <w:rFonts w:eastAsiaTheme="minorEastAsia" w:cs="Calibri"/>
                <w:b w:val="0"/>
              </w:rPr>
            </w:pPr>
            <w:r w:rsidRPr="00554906">
              <w:rPr>
                <w:rFonts w:eastAsiaTheme="minorEastAsia" w:cs="Calibri"/>
                <w:b w:val="0"/>
              </w:rPr>
              <w:t xml:space="preserve">CAR, CO-confirmed (&lt;10ppm), </w:t>
            </w:r>
            <w:r w:rsidR="002E5408">
              <w:rPr>
                <w:rFonts w:eastAsiaTheme="minorEastAsia" w:cs="Calibri"/>
                <w:b w:val="0"/>
              </w:rPr>
              <w:t>wee</w:t>
            </w:r>
            <w:r w:rsidRPr="00554906">
              <w:rPr>
                <w:rFonts w:eastAsiaTheme="minorEastAsia" w:cs="Calibri"/>
                <w:b w:val="0"/>
              </w:rPr>
              <w:t xml:space="preserve">ks 9-24 and </w:t>
            </w:r>
            <w:r w:rsidR="002E5408">
              <w:rPr>
                <w:rFonts w:eastAsiaTheme="minorEastAsia" w:cs="Calibri"/>
                <w:b w:val="0"/>
              </w:rPr>
              <w:t>wee</w:t>
            </w:r>
            <w:r w:rsidRPr="00554906">
              <w:rPr>
                <w:rFonts w:eastAsiaTheme="minorEastAsia" w:cs="Calibri"/>
                <w:b w:val="0"/>
              </w:rPr>
              <w:t>ks 9-52</w:t>
            </w:r>
          </w:p>
        </w:tc>
      </w:tr>
      <w:tr w:rsidR="003A409B"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1835D1" w:rsidRPr="001E2154" w:rsidRDefault="00567E6C" w:rsidP="00693DA2">
            <w:pPr>
              <w:pStyle w:val="Tableheading"/>
              <w:autoSpaceDE w:val="0"/>
              <w:autoSpaceDN w:val="0"/>
              <w:adjustRightInd w:val="0"/>
              <w:rPr>
                <w:rFonts w:eastAsiaTheme="minorEastAsia" w:cs="Calibri"/>
                <w:b w:val="0"/>
              </w:rPr>
            </w:pPr>
            <w:r>
              <w:rPr>
                <w:rFonts w:eastAsiaTheme="minorEastAsia" w:cs="Calibri"/>
                <w:b w:val="0"/>
              </w:rPr>
              <w:t>Oncken 2019</w:t>
            </w:r>
          </w:p>
        </w:tc>
        <w:tc>
          <w:tcPr>
            <w:tcW w:w="379" w:type="pct"/>
            <w:shd w:val="clear" w:color="auto" w:fill="auto"/>
          </w:tcPr>
          <w:p w:rsidR="001835D1" w:rsidRPr="001E2154" w:rsidRDefault="00567E6C"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1835D1" w:rsidRPr="001E2154" w:rsidRDefault="00567E6C"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rsidR="001835D1" w:rsidRDefault="00567E6C" w:rsidP="00693DA2">
            <w:pPr>
              <w:pStyle w:val="Tableheading"/>
              <w:autoSpaceDE w:val="0"/>
              <w:autoSpaceDN w:val="0"/>
              <w:adjustRightInd w:val="0"/>
              <w:rPr>
                <w:rFonts w:eastAsiaTheme="minorEastAsia" w:cs="Calibri"/>
                <w:b w:val="0"/>
              </w:rPr>
            </w:pPr>
            <w:r>
              <w:rPr>
                <w:rFonts w:eastAsiaTheme="minorEastAsia" w:cs="Calibri"/>
                <w:b w:val="0"/>
              </w:rPr>
              <w:t>137</w:t>
            </w:r>
          </w:p>
          <w:p w:rsidR="00D84FBD" w:rsidRDefault="00D84FBD" w:rsidP="00693DA2">
            <w:pPr>
              <w:pStyle w:val="Tableheading"/>
              <w:autoSpaceDE w:val="0"/>
              <w:autoSpaceDN w:val="0"/>
              <w:adjustRightInd w:val="0"/>
              <w:rPr>
                <w:rFonts w:eastAsiaTheme="minorEastAsia" w:cs="Calibri"/>
                <w:b w:val="0"/>
              </w:rPr>
            </w:pPr>
            <w:r>
              <w:rPr>
                <w:rFonts w:eastAsiaTheme="minorEastAsia" w:cs="Calibri"/>
                <w:b w:val="0"/>
              </w:rPr>
              <w:t>n=70 (NRT)</w:t>
            </w:r>
          </w:p>
          <w:p w:rsidR="00856FDD" w:rsidRPr="001E2154" w:rsidRDefault="00856FDD" w:rsidP="00693DA2">
            <w:pPr>
              <w:pStyle w:val="Tableheading"/>
              <w:autoSpaceDE w:val="0"/>
              <w:autoSpaceDN w:val="0"/>
              <w:adjustRightInd w:val="0"/>
              <w:rPr>
                <w:rFonts w:eastAsiaTheme="minorEastAsia" w:cs="Calibri"/>
                <w:b w:val="0"/>
              </w:rPr>
            </w:pPr>
            <w:r>
              <w:rPr>
                <w:rFonts w:eastAsiaTheme="minorEastAsia" w:cs="Calibri"/>
                <w:b w:val="0"/>
              </w:rPr>
              <w:t>n=67 (placebo</w:t>
            </w:r>
            <w:r w:rsidR="00A02D42">
              <w:rPr>
                <w:rFonts w:eastAsiaTheme="minorEastAsia" w:cs="Calibri"/>
                <w:b w:val="0"/>
              </w:rPr>
              <w:t>)</w:t>
            </w:r>
          </w:p>
        </w:tc>
        <w:tc>
          <w:tcPr>
            <w:tcW w:w="1142" w:type="pct"/>
            <w:shd w:val="clear" w:color="auto" w:fill="auto"/>
            <w:tcMar>
              <w:left w:w="28" w:type="dxa"/>
              <w:right w:w="28" w:type="dxa"/>
            </w:tcMar>
          </w:tcPr>
          <w:p w:rsidR="002F7DDC" w:rsidRPr="002F7DDC" w:rsidRDefault="002F7DDC" w:rsidP="002F7DDC">
            <w:pPr>
              <w:pStyle w:val="Tableheading"/>
              <w:autoSpaceDE w:val="0"/>
              <w:autoSpaceDN w:val="0"/>
              <w:adjustRightInd w:val="0"/>
              <w:rPr>
                <w:rFonts w:eastAsiaTheme="minorEastAsia" w:cs="Calibri"/>
                <w:b w:val="0"/>
              </w:rPr>
            </w:pPr>
            <w:r w:rsidRPr="002F7DDC">
              <w:rPr>
                <w:rFonts w:eastAsiaTheme="minorEastAsia" w:cs="Calibri"/>
                <w:b w:val="0"/>
              </w:rPr>
              <w:t>Pregnant female (&gt;15 years) English speaking smokers (&gt;5 cigarettes per day), 13-26</w:t>
            </w:r>
            <w:r w:rsidR="00A02D42">
              <w:rPr>
                <w:rFonts w:eastAsiaTheme="minorEastAsia" w:cs="Calibri"/>
                <w:b w:val="0"/>
              </w:rPr>
              <w:t xml:space="preserve"> </w:t>
            </w:r>
            <w:r w:rsidRPr="002F7DDC">
              <w:rPr>
                <w:rFonts w:eastAsiaTheme="minorEastAsia" w:cs="Calibri"/>
                <w:b w:val="0"/>
              </w:rPr>
              <w:t>w</w:t>
            </w:r>
            <w:r w:rsidR="00A02D42">
              <w:rPr>
                <w:rFonts w:eastAsiaTheme="minorEastAsia" w:cs="Calibri"/>
                <w:b w:val="0"/>
              </w:rPr>
              <w:t>ee</w:t>
            </w:r>
            <w:r w:rsidRPr="002F7DDC">
              <w:rPr>
                <w:rFonts w:eastAsiaTheme="minorEastAsia" w:cs="Calibri"/>
                <w:b w:val="0"/>
              </w:rPr>
              <w:t>ks gestation, intending to carry pregnancy to term, living in stable residence</w:t>
            </w:r>
          </w:p>
          <w:p w:rsidR="002F7DDC" w:rsidRPr="006A6B9B" w:rsidRDefault="002F7DDC" w:rsidP="002F7DDC">
            <w:pPr>
              <w:pStyle w:val="Tableheading"/>
              <w:autoSpaceDE w:val="0"/>
              <w:autoSpaceDN w:val="0"/>
              <w:adjustRightInd w:val="0"/>
              <w:rPr>
                <w:rFonts w:eastAsiaTheme="minorEastAsia" w:cs="Calibri"/>
                <w:b w:val="0"/>
                <w:u w:val="single"/>
              </w:rPr>
            </w:pPr>
            <w:r w:rsidRPr="006A6B9B">
              <w:rPr>
                <w:rFonts w:eastAsiaTheme="minorEastAsia" w:cs="Calibri"/>
                <w:b w:val="0"/>
                <w:u w:val="single"/>
              </w:rPr>
              <w:t xml:space="preserve">Exclusions: </w:t>
            </w:r>
          </w:p>
          <w:p w:rsidR="001835D1" w:rsidRPr="001E2154" w:rsidRDefault="002F7DDC" w:rsidP="002F7DDC">
            <w:pPr>
              <w:pStyle w:val="Tableheading"/>
              <w:autoSpaceDE w:val="0"/>
              <w:autoSpaceDN w:val="0"/>
              <w:adjustRightInd w:val="0"/>
              <w:rPr>
                <w:rFonts w:eastAsiaTheme="minorEastAsia" w:cs="Calibri"/>
                <w:b w:val="0"/>
              </w:rPr>
            </w:pPr>
            <w:r w:rsidRPr="002F7DDC">
              <w:rPr>
                <w:rFonts w:eastAsiaTheme="minorEastAsia" w:cs="Calibri"/>
                <w:b w:val="0"/>
              </w:rPr>
              <w:t xml:space="preserve">Current drug abuse or dependence (self-report, excluding methadone </w:t>
            </w:r>
            <w:r w:rsidRPr="002F7DDC">
              <w:rPr>
                <w:rFonts w:eastAsiaTheme="minorEastAsia" w:cs="Calibri"/>
                <w:b w:val="0"/>
              </w:rPr>
              <w:lastRenderedPageBreak/>
              <w:t>maintenance), twins or other multiple gestation, unstable psychiatric (PRIME MD questionnaire) or medical condition, congenital abnormality</w:t>
            </w:r>
          </w:p>
        </w:tc>
        <w:tc>
          <w:tcPr>
            <w:tcW w:w="808" w:type="pct"/>
            <w:shd w:val="clear" w:color="auto" w:fill="auto"/>
          </w:tcPr>
          <w:p w:rsidR="002F7DDC" w:rsidRPr="002F7DDC" w:rsidRDefault="002F7DDC" w:rsidP="00C324F3">
            <w:pPr>
              <w:pStyle w:val="Tablewriting"/>
              <w:keepNext/>
              <w:numPr>
                <w:ilvl w:val="0"/>
                <w:numId w:val="8"/>
              </w:numPr>
              <w:rPr>
                <w:rFonts w:eastAsia="MS Mincho"/>
              </w:rPr>
            </w:pPr>
            <w:r w:rsidRPr="002F7DDC">
              <w:rPr>
                <w:rFonts w:eastAsia="MS Mincho"/>
              </w:rPr>
              <w:lastRenderedPageBreak/>
              <w:t xml:space="preserve">NRT (inhaler) while actively trying to quit (6 weeks, followed by </w:t>
            </w:r>
            <w:r w:rsidRPr="002F7DDC">
              <w:rPr>
                <w:rFonts w:eastAsia="MS Mincho"/>
              </w:rPr>
              <w:lastRenderedPageBreak/>
              <w:t>additional 6 weeks if abstinent)</w:t>
            </w:r>
          </w:p>
          <w:p w:rsidR="002F7DDC" w:rsidRPr="002F7DDC" w:rsidRDefault="002F7DDC" w:rsidP="00C324F3">
            <w:pPr>
              <w:pStyle w:val="Tablewriting"/>
              <w:keepNext/>
              <w:numPr>
                <w:ilvl w:val="0"/>
                <w:numId w:val="8"/>
              </w:numPr>
              <w:rPr>
                <w:rFonts w:eastAsia="MS Mincho"/>
              </w:rPr>
            </w:pPr>
            <w:r w:rsidRPr="002F7DDC">
              <w:rPr>
                <w:rFonts w:eastAsia="MS Mincho"/>
              </w:rPr>
              <w:t>Placebo</w:t>
            </w:r>
          </w:p>
          <w:p w:rsidR="002F7DDC" w:rsidRPr="002F7DDC" w:rsidRDefault="002F7DDC" w:rsidP="00FF725F">
            <w:pPr>
              <w:pStyle w:val="Tablewriting"/>
              <w:keepNext/>
              <w:rPr>
                <w:rFonts w:eastAsia="MS Mincho"/>
              </w:rPr>
            </w:pPr>
            <w:r w:rsidRPr="00554906">
              <w:rPr>
                <w:rFonts w:eastAsia="MS Mincho"/>
                <w:u w:val="single"/>
              </w:rPr>
              <w:t>Common elements</w:t>
            </w:r>
            <w:r w:rsidRPr="002F7DDC">
              <w:rPr>
                <w:rFonts w:eastAsia="MS Mincho"/>
              </w:rPr>
              <w:t>:</w:t>
            </w:r>
          </w:p>
          <w:p w:rsidR="002F7DDC" w:rsidRPr="002F7DDC" w:rsidRDefault="002F7DDC" w:rsidP="00C324F3">
            <w:pPr>
              <w:pStyle w:val="Tablewriting"/>
              <w:keepNext/>
              <w:numPr>
                <w:ilvl w:val="0"/>
                <w:numId w:val="8"/>
              </w:numPr>
              <w:rPr>
                <w:rFonts w:eastAsia="MS Mincho"/>
              </w:rPr>
            </w:pPr>
            <w:r w:rsidRPr="002F7DDC">
              <w:rPr>
                <w:rFonts w:eastAsia="MS Mincho"/>
              </w:rPr>
              <w:t>Individual smoking cessation counselling (motivational interviews) (baseline and 1 week after quit date</w:t>
            </w:r>
          </w:p>
          <w:p w:rsidR="001835D1" w:rsidRPr="00D11171" w:rsidRDefault="002F7DDC" w:rsidP="00C324F3">
            <w:pPr>
              <w:pStyle w:val="Tablewriting"/>
              <w:keepNext/>
              <w:numPr>
                <w:ilvl w:val="0"/>
                <w:numId w:val="8"/>
              </w:numPr>
              <w:rPr>
                <w:rFonts w:eastAsia="MS Mincho"/>
              </w:rPr>
            </w:pPr>
            <w:r w:rsidRPr="002F7DDC">
              <w:rPr>
                <w:rFonts w:eastAsia="MS Mincho"/>
              </w:rPr>
              <w:t>Written educational material</w:t>
            </w:r>
          </w:p>
        </w:tc>
        <w:tc>
          <w:tcPr>
            <w:tcW w:w="1094" w:type="pct"/>
            <w:shd w:val="clear" w:color="auto" w:fill="auto"/>
            <w:tcMar>
              <w:left w:w="28" w:type="dxa"/>
              <w:right w:w="28" w:type="dxa"/>
            </w:tcMar>
          </w:tcPr>
          <w:p w:rsidR="002F7DDC" w:rsidRPr="00554906" w:rsidRDefault="002F7DDC" w:rsidP="002F7DDC">
            <w:pPr>
              <w:pStyle w:val="Tableheading"/>
              <w:autoSpaceDE w:val="0"/>
              <w:autoSpaceDN w:val="0"/>
              <w:adjustRightInd w:val="0"/>
              <w:rPr>
                <w:rFonts w:eastAsiaTheme="minorEastAsia" w:cs="Calibri"/>
                <w:b w:val="0"/>
              </w:rPr>
            </w:pPr>
            <w:r w:rsidRPr="002F7DDC">
              <w:rPr>
                <w:rFonts w:eastAsiaTheme="minorEastAsia" w:cs="Calibri"/>
                <w:b w:val="0"/>
                <w:u w:val="single"/>
              </w:rPr>
              <w:lastRenderedPageBreak/>
              <w:t>Efficacy:</w:t>
            </w:r>
            <w:r w:rsidR="001A2257">
              <w:rPr>
                <w:rFonts w:eastAsiaTheme="minorEastAsia" w:cs="Calibri"/>
                <w:b w:val="0"/>
              </w:rPr>
              <w:t xml:space="preserve"> </w:t>
            </w:r>
            <w:r w:rsidRPr="00554906">
              <w:rPr>
                <w:rFonts w:eastAsiaTheme="minorEastAsia" w:cs="Calibri"/>
                <w:b w:val="0"/>
              </w:rPr>
              <w:t>7-day PPA, end of pregnancy, CO-confirmed (&lt;4ppm)</w:t>
            </w:r>
            <w:r w:rsidR="001A2257">
              <w:rPr>
                <w:rFonts w:eastAsiaTheme="minorEastAsia" w:cs="Calibri"/>
                <w:b w:val="0"/>
              </w:rPr>
              <w:t>.</w:t>
            </w:r>
          </w:p>
          <w:p w:rsidR="001835D1" w:rsidRPr="00320A67" w:rsidRDefault="00D84FBD" w:rsidP="002F7DDC">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001A2257" w:rsidRPr="005A157B">
              <w:rPr>
                <w:rFonts w:eastAsiaTheme="minorEastAsia" w:cs="Calibri"/>
                <w:b w:val="0"/>
              </w:rPr>
              <w:t xml:space="preserve">:  </w:t>
            </w:r>
            <w:r w:rsidR="002F7DDC" w:rsidRPr="005A157B">
              <w:rPr>
                <w:rFonts w:eastAsiaTheme="minorEastAsia" w:cs="Calibri"/>
                <w:b w:val="0"/>
              </w:rPr>
              <w:t>A</w:t>
            </w:r>
            <w:r w:rsidR="001A2257" w:rsidRPr="005A157B">
              <w:rPr>
                <w:rFonts w:eastAsiaTheme="minorEastAsia" w:cs="Calibri"/>
                <w:b w:val="0"/>
              </w:rPr>
              <w:t>Es</w:t>
            </w:r>
            <w:r w:rsidR="002F7DDC" w:rsidRPr="005A157B">
              <w:rPr>
                <w:rFonts w:eastAsiaTheme="minorEastAsia" w:cs="Calibri"/>
                <w:b w:val="0"/>
              </w:rPr>
              <w:t>, SAEs</w:t>
            </w:r>
            <w:r w:rsidR="000A529A">
              <w:rPr>
                <w:rFonts w:eastAsiaTheme="minorEastAsia" w:cs="Calibri"/>
                <w:b w:val="0"/>
              </w:rPr>
              <w:t>.</w:t>
            </w:r>
          </w:p>
        </w:tc>
      </w:tr>
      <w:tr w:rsidR="003A409B"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1835D1" w:rsidRPr="001E2154" w:rsidRDefault="00856FDD" w:rsidP="00693DA2">
            <w:pPr>
              <w:pStyle w:val="Tableheading"/>
              <w:autoSpaceDE w:val="0"/>
              <w:autoSpaceDN w:val="0"/>
              <w:adjustRightInd w:val="0"/>
              <w:rPr>
                <w:rFonts w:eastAsiaTheme="minorEastAsia" w:cs="Calibri"/>
                <w:b w:val="0"/>
              </w:rPr>
            </w:pPr>
            <w:r>
              <w:rPr>
                <w:rFonts w:eastAsiaTheme="minorEastAsia" w:cs="Calibri"/>
                <w:b w:val="0"/>
              </w:rPr>
              <w:t>Leung 2019</w:t>
            </w:r>
          </w:p>
        </w:tc>
        <w:tc>
          <w:tcPr>
            <w:tcW w:w="379" w:type="pct"/>
            <w:shd w:val="clear" w:color="auto" w:fill="auto"/>
          </w:tcPr>
          <w:p w:rsidR="001835D1" w:rsidRPr="001E2154" w:rsidRDefault="00856FDD"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1835D1" w:rsidRPr="001E2154" w:rsidRDefault="00856FDD" w:rsidP="00693DA2">
            <w:pPr>
              <w:pStyle w:val="Tableheading"/>
              <w:autoSpaceDE w:val="0"/>
              <w:autoSpaceDN w:val="0"/>
              <w:adjustRightInd w:val="0"/>
              <w:rPr>
                <w:rFonts w:eastAsiaTheme="minorEastAsia" w:cs="Calibri"/>
                <w:b w:val="0"/>
              </w:rPr>
            </w:pPr>
            <w:r>
              <w:rPr>
                <w:rFonts w:eastAsiaTheme="minorEastAsia" w:cs="Calibri"/>
                <w:b w:val="0"/>
              </w:rPr>
              <w:t>Hong Kong</w:t>
            </w:r>
          </w:p>
        </w:tc>
        <w:tc>
          <w:tcPr>
            <w:tcW w:w="516" w:type="pct"/>
            <w:shd w:val="clear" w:color="auto" w:fill="auto"/>
            <w:tcMar>
              <w:left w:w="28" w:type="dxa"/>
              <w:right w:w="28" w:type="dxa"/>
            </w:tcMar>
          </w:tcPr>
          <w:p w:rsidR="001835D1" w:rsidRDefault="00856FDD" w:rsidP="00693DA2">
            <w:pPr>
              <w:pStyle w:val="Tableheading"/>
              <w:autoSpaceDE w:val="0"/>
              <w:autoSpaceDN w:val="0"/>
              <w:adjustRightInd w:val="0"/>
              <w:rPr>
                <w:rFonts w:eastAsiaTheme="minorEastAsia" w:cs="Calibri"/>
                <w:b w:val="0"/>
              </w:rPr>
            </w:pPr>
            <w:r>
              <w:rPr>
                <w:rFonts w:eastAsiaTheme="minorEastAsia" w:cs="Calibri"/>
                <w:b w:val="0"/>
              </w:rPr>
              <w:t>560</w:t>
            </w:r>
          </w:p>
          <w:p w:rsidR="00A20D8D" w:rsidRDefault="00A20D8D" w:rsidP="00693DA2">
            <w:pPr>
              <w:pStyle w:val="Tableheading"/>
              <w:autoSpaceDE w:val="0"/>
              <w:autoSpaceDN w:val="0"/>
              <w:adjustRightInd w:val="0"/>
              <w:rPr>
                <w:rFonts w:eastAsiaTheme="minorEastAsia" w:cs="Calibri"/>
                <w:b w:val="0"/>
              </w:rPr>
            </w:pPr>
            <w:r>
              <w:rPr>
                <w:rFonts w:eastAsiaTheme="minorEastAsia" w:cs="Calibri"/>
                <w:b w:val="0"/>
              </w:rPr>
              <w:t>n=</w:t>
            </w:r>
            <w:r w:rsidR="002339E5">
              <w:rPr>
                <w:rFonts w:eastAsiaTheme="minorEastAsia" w:cs="Calibri"/>
                <w:b w:val="0"/>
              </w:rPr>
              <w:t>274 (NRT patch + gum)</w:t>
            </w:r>
          </w:p>
          <w:p w:rsidR="002339E5" w:rsidRPr="001E2154" w:rsidRDefault="002339E5" w:rsidP="00693DA2">
            <w:pPr>
              <w:pStyle w:val="Tableheading"/>
              <w:autoSpaceDE w:val="0"/>
              <w:autoSpaceDN w:val="0"/>
              <w:adjustRightInd w:val="0"/>
              <w:rPr>
                <w:rFonts w:eastAsiaTheme="minorEastAsia" w:cs="Calibri"/>
                <w:b w:val="0"/>
              </w:rPr>
            </w:pPr>
            <w:r>
              <w:rPr>
                <w:rFonts w:eastAsiaTheme="minorEastAsia" w:cs="Calibri"/>
                <w:b w:val="0"/>
              </w:rPr>
              <w:t>n=</w:t>
            </w:r>
            <w:r w:rsidR="0091711F">
              <w:rPr>
                <w:rFonts w:eastAsiaTheme="minorEastAsia" w:cs="Calibri"/>
                <w:b w:val="0"/>
              </w:rPr>
              <w:t>286 (NRT patch)</w:t>
            </w:r>
          </w:p>
        </w:tc>
        <w:tc>
          <w:tcPr>
            <w:tcW w:w="1142" w:type="pct"/>
            <w:shd w:val="clear" w:color="auto" w:fill="auto"/>
            <w:tcMar>
              <w:left w:w="28" w:type="dxa"/>
              <w:right w:w="28" w:type="dxa"/>
            </w:tcMar>
          </w:tcPr>
          <w:p w:rsidR="00A20D8D" w:rsidRPr="00A20D8D" w:rsidRDefault="00A20D8D" w:rsidP="00A20D8D">
            <w:pPr>
              <w:pStyle w:val="Tableheading"/>
              <w:autoSpaceDE w:val="0"/>
              <w:autoSpaceDN w:val="0"/>
              <w:adjustRightInd w:val="0"/>
              <w:rPr>
                <w:rFonts w:eastAsiaTheme="minorEastAsia" w:cs="Calibri"/>
                <w:b w:val="0"/>
              </w:rPr>
            </w:pPr>
            <w:r w:rsidRPr="00A20D8D">
              <w:rPr>
                <w:rFonts w:eastAsiaTheme="minorEastAsia" w:cs="Calibri"/>
                <w:b w:val="0"/>
              </w:rPr>
              <w:t>Adult smokers (&gt;=10 CPD for &gt;=1 yr)</w:t>
            </w:r>
          </w:p>
          <w:p w:rsidR="00A20D8D" w:rsidRPr="00A20D8D" w:rsidRDefault="00A20D8D" w:rsidP="00A20D8D">
            <w:pPr>
              <w:pStyle w:val="Tableheading"/>
              <w:autoSpaceDE w:val="0"/>
              <w:autoSpaceDN w:val="0"/>
              <w:adjustRightInd w:val="0"/>
              <w:rPr>
                <w:rFonts w:eastAsiaTheme="minorEastAsia" w:cs="Calibri"/>
                <w:b w:val="0"/>
              </w:rPr>
            </w:pPr>
            <w:r w:rsidRPr="00A20D8D">
              <w:rPr>
                <w:rFonts w:eastAsiaTheme="minorEastAsia" w:cs="Calibri"/>
                <w:b w:val="0"/>
              </w:rPr>
              <w:t>Exclusions:</w:t>
            </w:r>
          </w:p>
          <w:p w:rsidR="001835D1" w:rsidRPr="001E2154" w:rsidRDefault="00A20D8D" w:rsidP="00A20D8D">
            <w:pPr>
              <w:pStyle w:val="Tableheading"/>
              <w:autoSpaceDE w:val="0"/>
              <w:autoSpaceDN w:val="0"/>
              <w:adjustRightInd w:val="0"/>
              <w:rPr>
                <w:rFonts w:eastAsiaTheme="minorEastAsia" w:cs="Calibri"/>
                <w:b w:val="0"/>
              </w:rPr>
            </w:pPr>
            <w:r w:rsidRPr="00A20D8D">
              <w:rPr>
                <w:rFonts w:eastAsiaTheme="minorEastAsia" w:cs="Calibri"/>
                <w:b w:val="0"/>
              </w:rPr>
              <w:t>Unstable angina, severe cardiac arrhythmia, recent AMI or cerebrovascular accident in previous 3mo, pregnant or breastfeeding, unable to use gum, previous history of failure to NRT</w:t>
            </w:r>
          </w:p>
        </w:tc>
        <w:tc>
          <w:tcPr>
            <w:tcW w:w="808" w:type="pct"/>
            <w:shd w:val="clear" w:color="auto" w:fill="auto"/>
          </w:tcPr>
          <w:p w:rsidR="00A20D8D" w:rsidRPr="00A20D8D" w:rsidRDefault="00A20D8D" w:rsidP="00C324F3">
            <w:pPr>
              <w:pStyle w:val="Tablewriting"/>
              <w:keepNext/>
              <w:numPr>
                <w:ilvl w:val="0"/>
                <w:numId w:val="8"/>
              </w:numPr>
              <w:rPr>
                <w:rFonts w:eastAsia="MS Mincho"/>
              </w:rPr>
            </w:pPr>
            <w:r w:rsidRPr="00A20D8D">
              <w:rPr>
                <w:rFonts w:eastAsia="MS Mincho"/>
              </w:rPr>
              <w:t>NRT patch, 8 wks, dose tapered down, initial dose by CPD, PLUS NRT 2</w:t>
            </w:r>
            <w:r w:rsidR="00A1651B">
              <w:rPr>
                <w:rFonts w:eastAsia="MS Mincho"/>
              </w:rPr>
              <w:t xml:space="preserve"> </w:t>
            </w:r>
            <w:r w:rsidRPr="00A20D8D">
              <w:rPr>
                <w:rFonts w:eastAsia="MS Mincho"/>
              </w:rPr>
              <w:t>mg gum when required</w:t>
            </w:r>
          </w:p>
          <w:p w:rsidR="00A20D8D" w:rsidRPr="00A20D8D" w:rsidRDefault="00A20D8D" w:rsidP="00C324F3">
            <w:pPr>
              <w:pStyle w:val="Tablewriting"/>
              <w:keepNext/>
              <w:numPr>
                <w:ilvl w:val="0"/>
                <w:numId w:val="8"/>
              </w:numPr>
              <w:rPr>
                <w:rFonts w:eastAsia="MS Mincho"/>
              </w:rPr>
            </w:pPr>
            <w:r w:rsidRPr="00A20D8D">
              <w:rPr>
                <w:rFonts w:eastAsia="MS Mincho"/>
              </w:rPr>
              <w:t>NRT patch 8 w</w:t>
            </w:r>
            <w:r w:rsidR="0075573E">
              <w:rPr>
                <w:rFonts w:eastAsia="MS Mincho"/>
              </w:rPr>
              <w:t>ee</w:t>
            </w:r>
            <w:r w:rsidRPr="00A20D8D">
              <w:rPr>
                <w:rFonts w:eastAsia="MS Mincho"/>
              </w:rPr>
              <w:t>ks, dose tapered down, initial dose by CPD</w:t>
            </w:r>
            <w:r w:rsidR="0075573E">
              <w:rPr>
                <w:rFonts w:eastAsia="MS Mincho"/>
              </w:rPr>
              <w:t>.</w:t>
            </w:r>
          </w:p>
          <w:p w:rsidR="00A20D8D" w:rsidRPr="00554906" w:rsidRDefault="00A20D8D" w:rsidP="00FF725F">
            <w:pPr>
              <w:pStyle w:val="Tablewriting"/>
              <w:keepNext/>
              <w:rPr>
                <w:rFonts w:eastAsia="MS Mincho"/>
                <w:u w:val="single"/>
              </w:rPr>
            </w:pPr>
            <w:r w:rsidRPr="00554906">
              <w:rPr>
                <w:rFonts w:eastAsia="MS Mincho"/>
                <w:u w:val="single"/>
              </w:rPr>
              <w:t>Common elements</w:t>
            </w:r>
            <w:r w:rsidR="006E016C">
              <w:rPr>
                <w:rFonts w:eastAsia="MS Mincho"/>
                <w:u w:val="single"/>
              </w:rPr>
              <w:t>:</w:t>
            </w:r>
          </w:p>
          <w:p w:rsidR="001835D1" w:rsidRPr="00D11171" w:rsidRDefault="00A20D8D" w:rsidP="00C324F3">
            <w:pPr>
              <w:pStyle w:val="Tablewriting"/>
              <w:keepNext/>
              <w:numPr>
                <w:ilvl w:val="0"/>
                <w:numId w:val="8"/>
              </w:numPr>
              <w:rPr>
                <w:rFonts w:eastAsia="MS Mincho"/>
              </w:rPr>
            </w:pPr>
            <w:r w:rsidRPr="00A20D8D">
              <w:rPr>
                <w:rFonts w:eastAsia="MS Mincho"/>
              </w:rPr>
              <w:t xml:space="preserve">Counselling based on the 2013 service </w:t>
            </w:r>
            <w:r w:rsidR="009E7142" w:rsidRPr="00A20D8D">
              <w:rPr>
                <w:rFonts w:eastAsia="MS Mincho"/>
              </w:rPr>
              <w:t>framework</w:t>
            </w:r>
            <w:r w:rsidRPr="00A20D8D">
              <w:rPr>
                <w:rFonts w:eastAsia="MS Mincho"/>
              </w:rPr>
              <w:t xml:space="preserve"> from the Hospital Authority</w:t>
            </w:r>
            <w:r w:rsidR="0075573E">
              <w:rPr>
                <w:rFonts w:eastAsia="MS Mincho"/>
              </w:rPr>
              <w:t>.</w:t>
            </w:r>
          </w:p>
        </w:tc>
        <w:tc>
          <w:tcPr>
            <w:tcW w:w="1094" w:type="pct"/>
            <w:shd w:val="clear" w:color="auto" w:fill="auto"/>
            <w:tcMar>
              <w:left w:w="28" w:type="dxa"/>
              <w:right w:w="28" w:type="dxa"/>
            </w:tcMar>
          </w:tcPr>
          <w:p w:rsidR="00A20D8D" w:rsidRPr="00A20D8D" w:rsidRDefault="00A20D8D" w:rsidP="00A20D8D">
            <w:pPr>
              <w:pStyle w:val="Tableheading"/>
              <w:autoSpaceDE w:val="0"/>
              <w:autoSpaceDN w:val="0"/>
              <w:adjustRightInd w:val="0"/>
              <w:rPr>
                <w:rFonts w:eastAsiaTheme="minorEastAsia" w:cs="Calibri"/>
                <w:b w:val="0"/>
                <w:u w:val="single"/>
              </w:rPr>
            </w:pPr>
            <w:r w:rsidRPr="00A20D8D">
              <w:rPr>
                <w:rFonts w:eastAsiaTheme="minorEastAsia" w:cs="Calibri"/>
                <w:b w:val="0"/>
                <w:u w:val="single"/>
              </w:rPr>
              <w:t>Efficacy:</w:t>
            </w:r>
          </w:p>
          <w:p w:rsidR="001A2257" w:rsidRPr="00554906" w:rsidRDefault="00A20D8D" w:rsidP="00A20D8D">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rsidR="00A20D8D" w:rsidRPr="00881D39" w:rsidRDefault="00A20D8D" w:rsidP="00A20D8D">
            <w:pPr>
              <w:pStyle w:val="Tableheading"/>
              <w:autoSpaceDE w:val="0"/>
              <w:autoSpaceDN w:val="0"/>
              <w:adjustRightInd w:val="0"/>
              <w:rPr>
                <w:rFonts w:eastAsiaTheme="minorEastAsia" w:cs="Calibri"/>
                <w:b w:val="0"/>
              </w:rPr>
            </w:pPr>
            <w:r w:rsidRPr="00881D39">
              <w:rPr>
                <w:rFonts w:eastAsiaTheme="minorEastAsia" w:cs="Calibri"/>
                <w:b w:val="0"/>
              </w:rPr>
              <w:t>7-day PPA CO-verified (=&lt;6ppm), 52wks</w:t>
            </w:r>
          </w:p>
          <w:p w:rsidR="00A20D8D" w:rsidRPr="00554906" w:rsidRDefault="00A20D8D" w:rsidP="00A20D8D">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rsidR="00A20D8D" w:rsidRPr="00881D39" w:rsidRDefault="00A20D8D" w:rsidP="00A20D8D">
            <w:pPr>
              <w:pStyle w:val="Tableheading"/>
              <w:autoSpaceDE w:val="0"/>
              <w:autoSpaceDN w:val="0"/>
              <w:adjustRightInd w:val="0"/>
              <w:rPr>
                <w:rFonts w:eastAsiaTheme="minorEastAsia" w:cs="Calibri"/>
                <w:b w:val="0"/>
              </w:rPr>
            </w:pPr>
            <w:r w:rsidRPr="00881D39">
              <w:rPr>
                <w:rFonts w:eastAsiaTheme="minorEastAsia" w:cs="Calibri"/>
                <w:b w:val="0"/>
              </w:rPr>
              <w:t>7-day PPA CO-verified (=&lt;6ppm), 4, 12, 24</w:t>
            </w:r>
            <w:r w:rsidR="001A2257">
              <w:rPr>
                <w:rFonts w:eastAsiaTheme="minorEastAsia" w:cs="Calibri"/>
                <w:b w:val="0"/>
              </w:rPr>
              <w:t xml:space="preserve"> </w:t>
            </w:r>
            <w:r w:rsidRPr="00881D39">
              <w:rPr>
                <w:rFonts w:eastAsiaTheme="minorEastAsia" w:cs="Calibri"/>
                <w:b w:val="0"/>
              </w:rPr>
              <w:t>w</w:t>
            </w:r>
            <w:r w:rsidR="001A2257">
              <w:rPr>
                <w:rFonts w:eastAsiaTheme="minorEastAsia" w:cs="Calibri"/>
                <w:b w:val="0"/>
              </w:rPr>
              <w:t>ee</w:t>
            </w:r>
            <w:r w:rsidRPr="00881D39">
              <w:rPr>
                <w:rFonts w:eastAsiaTheme="minorEastAsia" w:cs="Calibri"/>
                <w:b w:val="0"/>
              </w:rPr>
              <w:t>k</w:t>
            </w:r>
            <w:r w:rsidR="001A2257">
              <w:rPr>
                <w:rFonts w:eastAsiaTheme="minorEastAsia" w:cs="Calibri"/>
                <w:b w:val="0"/>
              </w:rPr>
              <w:t>s.</w:t>
            </w:r>
          </w:p>
          <w:p w:rsidR="001835D1" w:rsidRPr="00320A67" w:rsidRDefault="00A20D8D" w:rsidP="00A20D8D">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00881D39">
              <w:rPr>
                <w:rFonts w:eastAsiaTheme="minorEastAsia" w:cs="Calibri"/>
                <w:b w:val="0"/>
                <w:u w:val="single"/>
              </w:rPr>
              <w:t xml:space="preserve">: </w:t>
            </w:r>
            <w:r w:rsidRPr="00881D39">
              <w:rPr>
                <w:rFonts w:eastAsiaTheme="minorEastAsia" w:cs="Calibri"/>
                <w:b w:val="0"/>
              </w:rPr>
              <w:t>Specific AE</w:t>
            </w:r>
            <w:r w:rsidR="00881D39">
              <w:rPr>
                <w:rFonts w:eastAsiaTheme="minorEastAsia" w:cs="Calibri"/>
                <w:b w:val="0"/>
              </w:rPr>
              <w:t>.</w:t>
            </w:r>
          </w:p>
        </w:tc>
      </w:tr>
      <w:tr w:rsidR="003A409B"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1835D1" w:rsidRPr="001E2154" w:rsidRDefault="0091711F" w:rsidP="00693DA2">
            <w:pPr>
              <w:pStyle w:val="Tableheading"/>
              <w:autoSpaceDE w:val="0"/>
              <w:autoSpaceDN w:val="0"/>
              <w:adjustRightInd w:val="0"/>
              <w:rPr>
                <w:rFonts w:eastAsiaTheme="minorEastAsia" w:cs="Calibri"/>
                <w:b w:val="0"/>
              </w:rPr>
            </w:pPr>
            <w:r>
              <w:rPr>
                <w:rFonts w:eastAsiaTheme="minorEastAsia" w:cs="Calibri"/>
                <w:b w:val="0"/>
              </w:rPr>
              <w:t>Ashare 2019</w:t>
            </w:r>
          </w:p>
        </w:tc>
        <w:tc>
          <w:tcPr>
            <w:tcW w:w="379" w:type="pct"/>
            <w:shd w:val="clear" w:color="auto" w:fill="auto"/>
          </w:tcPr>
          <w:p w:rsidR="001835D1" w:rsidRPr="001E2154" w:rsidRDefault="0091711F"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1835D1" w:rsidRPr="001E2154" w:rsidRDefault="004441BE"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rsidR="001835D1" w:rsidRDefault="004441BE" w:rsidP="00693DA2">
            <w:pPr>
              <w:pStyle w:val="Tableheading"/>
              <w:autoSpaceDE w:val="0"/>
              <w:autoSpaceDN w:val="0"/>
              <w:adjustRightInd w:val="0"/>
              <w:rPr>
                <w:rFonts w:eastAsiaTheme="minorEastAsia" w:cs="Calibri"/>
                <w:b w:val="0"/>
              </w:rPr>
            </w:pPr>
            <w:r>
              <w:rPr>
                <w:rFonts w:eastAsiaTheme="minorEastAsia" w:cs="Calibri"/>
                <w:b w:val="0"/>
              </w:rPr>
              <w:t>179</w:t>
            </w:r>
          </w:p>
          <w:p w:rsidR="008D2DAF" w:rsidRDefault="008D2DAF" w:rsidP="00693DA2">
            <w:pPr>
              <w:pStyle w:val="Tableheading"/>
              <w:autoSpaceDE w:val="0"/>
              <w:autoSpaceDN w:val="0"/>
              <w:adjustRightInd w:val="0"/>
              <w:rPr>
                <w:rFonts w:eastAsiaTheme="minorEastAsia" w:cs="Calibri"/>
                <w:b w:val="0"/>
              </w:rPr>
            </w:pPr>
            <w:r>
              <w:rPr>
                <w:rFonts w:eastAsiaTheme="minorEastAsia" w:cs="Calibri"/>
                <w:b w:val="0"/>
              </w:rPr>
              <w:t xml:space="preserve">n= </w:t>
            </w:r>
            <w:r w:rsidR="00142923">
              <w:rPr>
                <w:rFonts w:eastAsiaTheme="minorEastAsia" w:cs="Calibri"/>
                <w:b w:val="0"/>
              </w:rPr>
              <w:t xml:space="preserve">89 </w:t>
            </w:r>
            <w:r>
              <w:rPr>
                <w:rFonts w:eastAsiaTheme="minorEastAsia" w:cs="Calibri"/>
                <w:b w:val="0"/>
              </w:rPr>
              <w:t>(varenicline)</w:t>
            </w:r>
          </w:p>
          <w:p w:rsidR="008D2DAF" w:rsidRPr="001E2154" w:rsidRDefault="008D2DAF" w:rsidP="00693DA2">
            <w:pPr>
              <w:pStyle w:val="Tableheading"/>
              <w:autoSpaceDE w:val="0"/>
              <w:autoSpaceDN w:val="0"/>
              <w:adjustRightInd w:val="0"/>
              <w:rPr>
                <w:rFonts w:eastAsiaTheme="minorEastAsia" w:cs="Calibri"/>
                <w:b w:val="0"/>
              </w:rPr>
            </w:pPr>
            <w:r>
              <w:rPr>
                <w:rFonts w:eastAsiaTheme="minorEastAsia" w:cs="Calibri"/>
                <w:b w:val="0"/>
              </w:rPr>
              <w:t>n=</w:t>
            </w:r>
            <w:r w:rsidR="00142923">
              <w:rPr>
                <w:rFonts w:eastAsiaTheme="minorEastAsia" w:cs="Calibri"/>
                <w:b w:val="0"/>
              </w:rPr>
              <w:t>90</w:t>
            </w:r>
            <w:r>
              <w:rPr>
                <w:rFonts w:eastAsiaTheme="minorEastAsia" w:cs="Calibri"/>
                <w:b w:val="0"/>
              </w:rPr>
              <w:t xml:space="preserve"> (placebo)</w:t>
            </w:r>
          </w:p>
        </w:tc>
        <w:tc>
          <w:tcPr>
            <w:tcW w:w="1142" w:type="pct"/>
            <w:shd w:val="clear" w:color="auto" w:fill="auto"/>
            <w:tcMar>
              <w:left w:w="28" w:type="dxa"/>
              <w:right w:w="28" w:type="dxa"/>
            </w:tcMar>
          </w:tcPr>
          <w:p w:rsidR="004441BE" w:rsidRPr="004441BE" w:rsidRDefault="004441BE" w:rsidP="004441BE">
            <w:pPr>
              <w:pStyle w:val="Tableheading"/>
              <w:autoSpaceDE w:val="0"/>
              <w:autoSpaceDN w:val="0"/>
              <w:adjustRightInd w:val="0"/>
              <w:rPr>
                <w:rFonts w:eastAsiaTheme="minorEastAsia" w:cs="Calibri"/>
                <w:b w:val="0"/>
              </w:rPr>
            </w:pPr>
            <w:r w:rsidRPr="004441BE">
              <w:rPr>
                <w:rFonts w:eastAsiaTheme="minorEastAsia" w:cs="Calibri"/>
                <w:b w:val="0"/>
              </w:rPr>
              <w:t>Adult (18+ yrs) daily smokers with a confirmed HIV diagnosis, and treated with ART with HIV viral loads&lt;1000 copies/ml and CD4+ counts&gt;200 cells/mm3, ALT and AST &lt; 2 times upper limit of normal, and creatinine clearance&gt;50 mL/min</w:t>
            </w:r>
          </w:p>
          <w:p w:rsidR="004441BE" w:rsidRPr="006A6B9B" w:rsidRDefault="004441BE" w:rsidP="004441BE">
            <w:pPr>
              <w:pStyle w:val="Tableheading"/>
              <w:autoSpaceDE w:val="0"/>
              <w:autoSpaceDN w:val="0"/>
              <w:adjustRightInd w:val="0"/>
              <w:rPr>
                <w:rFonts w:eastAsiaTheme="minorEastAsia" w:cs="Calibri"/>
                <w:b w:val="0"/>
                <w:u w:val="single"/>
              </w:rPr>
            </w:pPr>
            <w:r w:rsidRPr="006A6B9B">
              <w:rPr>
                <w:rFonts w:eastAsiaTheme="minorEastAsia" w:cs="Calibri"/>
                <w:b w:val="0"/>
                <w:u w:val="single"/>
              </w:rPr>
              <w:lastRenderedPageBreak/>
              <w:t>Exclusions</w:t>
            </w:r>
            <w:r w:rsidR="00C52DE5" w:rsidRPr="006A6B9B">
              <w:rPr>
                <w:rFonts w:eastAsiaTheme="minorEastAsia" w:cs="Calibri"/>
                <w:b w:val="0"/>
                <w:u w:val="single"/>
              </w:rPr>
              <w:t>:</w:t>
            </w:r>
          </w:p>
          <w:p w:rsidR="001835D1" w:rsidRPr="001E2154" w:rsidRDefault="004441BE" w:rsidP="004441BE">
            <w:pPr>
              <w:pStyle w:val="Tableheading"/>
              <w:autoSpaceDE w:val="0"/>
              <w:autoSpaceDN w:val="0"/>
              <w:adjustRightInd w:val="0"/>
              <w:rPr>
                <w:rFonts w:eastAsiaTheme="minorEastAsia" w:cs="Calibri"/>
                <w:b w:val="0"/>
              </w:rPr>
            </w:pPr>
            <w:r w:rsidRPr="004441BE">
              <w:rPr>
                <w:rFonts w:eastAsiaTheme="minorEastAsia" w:cs="Calibri"/>
                <w:b w:val="0"/>
              </w:rPr>
              <w:t>Self-reported history of psychosis or a suicide attempt, self-reported current or planned pregnancy, self-reported current use of smoking cessation medications, unstable or untreated alcohol/substance abuse [those with current alcohol/substance use disorder were considered stable if they were currently receiving treatment (e.g., medication, group therapy, etc.) and had been in treatment and/or not using for more than 30 days], and uncontrolled hypertension (systolic &gt; 160 or diastolic &gt; 100).</w:t>
            </w:r>
          </w:p>
        </w:tc>
        <w:tc>
          <w:tcPr>
            <w:tcW w:w="808" w:type="pct"/>
            <w:shd w:val="clear" w:color="auto" w:fill="auto"/>
          </w:tcPr>
          <w:p w:rsidR="008D2DAF" w:rsidRPr="008D2DAF" w:rsidRDefault="008D2DAF" w:rsidP="00C324F3">
            <w:pPr>
              <w:pStyle w:val="Tablewriting"/>
              <w:keepNext/>
              <w:numPr>
                <w:ilvl w:val="0"/>
                <w:numId w:val="8"/>
              </w:numPr>
              <w:rPr>
                <w:rFonts w:eastAsia="MS Mincho"/>
              </w:rPr>
            </w:pPr>
            <w:r w:rsidRPr="008D2DAF">
              <w:rPr>
                <w:rFonts w:eastAsia="MS Mincho"/>
              </w:rPr>
              <w:lastRenderedPageBreak/>
              <w:t>Varenicline, 1</w:t>
            </w:r>
            <w:r w:rsidR="00A1651B">
              <w:rPr>
                <w:rFonts w:eastAsia="MS Mincho"/>
              </w:rPr>
              <w:t xml:space="preserve"> </w:t>
            </w:r>
            <w:r w:rsidRPr="008D2DAF">
              <w:rPr>
                <w:rFonts w:eastAsia="MS Mincho"/>
              </w:rPr>
              <w:t>mg bd, 12 w</w:t>
            </w:r>
            <w:r w:rsidR="0075573E">
              <w:rPr>
                <w:rFonts w:eastAsia="MS Mincho"/>
              </w:rPr>
              <w:t>ee</w:t>
            </w:r>
            <w:r w:rsidRPr="008D2DAF">
              <w:rPr>
                <w:rFonts w:eastAsia="MS Mincho"/>
              </w:rPr>
              <w:t xml:space="preserve">ks with 1 week </w:t>
            </w:r>
            <w:r w:rsidRPr="008D2DAF">
              <w:rPr>
                <w:rFonts w:eastAsia="MS Mincho"/>
              </w:rPr>
              <w:lastRenderedPageBreak/>
              <w:t>titrated dose prior to quit date</w:t>
            </w:r>
          </w:p>
          <w:p w:rsidR="008D2DAF" w:rsidRPr="008D2DAF" w:rsidRDefault="008D2DAF" w:rsidP="00C324F3">
            <w:pPr>
              <w:pStyle w:val="Tablewriting"/>
              <w:keepNext/>
              <w:numPr>
                <w:ilvl w:val="0"/>
                <w:numId w:val="8"/>
              </w:numPr>
              <w:rPr>
                <w:rFonts w:eastAsia="MS Mincho"/>
              </w:rPr>
            </w:pPr>
            <w:r w:rsidRPr="008D2DAF">
              <w:rPr>
                <w:rFonts w:eastAsia="MS Mincho"/>
              </w:rPr>
              <w:t>Placebo</w:t>
            </w:r>
          </w:p>
          <w:p w:rsidR="008D2DAF" w:rsidRPr="008D2DAF" w:rsidRDefault="008D2DAF" w:rsidP="00FF725F">
            <w:pPr>
              <w:pStyle w:val="Tablewriting"/>
              <w:keepNext/>
              <w:rPr>
                <w:rFonts w:eastAsia="MS Mincho"/>
              </w:rPr>
            </w:pPr>
            <w:r w:rsidRPr="00554906">
              <w:rPr>
                <w:rFonts w:eastAsia="MS Mincho"/>
                <w:u w:val="single"/>
              </w:rPr>
              <w:t>Common elements</w:t>
            </w:r>
            <w:r w:rsidRPr="008D2DAF">
              <w:rPr>
                <w:rFonts w:eastAsia="MS Mincho"/>
              </w:rPr>
              <w:t>:</w:t>
            </w:r>
          </w:p>
          <w:p w:rsidR="001835D1" w:rsidRPr="00D11171" w:rsidRDefault="008D2DAF" w:rsidP="00C324F3">
            <w:pPr>
              <w:pStyle w:val="Tablewriting"/>
              <w:keepNext/>
              <w:numPr>
                <w:ilvl w:val="0"/>
                <w:numId w:val="8"/>
              </w:numPr>
              <w:rPr>
                <w:rFonts w:eastAsia="MS Mincho"/>
              </w:rPr>
            </w:pPr>
            <w:r w:rsidRPr="008D2DAF">
              <w:rPr>
                <w:rFonts w:eastAsia="MS Mincho"/>
              </w:rPr>
              <w:t xml:space="preserve">6 smoking cessation </w:t>
            </w:r>
            <w:r w:rsidR="009E7142" w:rsidRPr="008D2DAF">
              <w:rPr>
                <w:rFonts w:eastAsia="MS Mincho"/>
              </w:rPr>
              <w:t>behavioural</w:t>
            </w:r>
            <w:r w:rsidR="0075573E">
              <w:rPr>
                <w:rFonts w:eastAsia="MS Mincho"/>
              </w:rPr>
              <w:t xml:space="preserve"> </w:t>
            </w:r>
            <w:r w:rsidRPr="008D2DAF">
              <w:rPr>
                <w:rFonts w:eastAsia="MS Mincho"/>
              </w:rPr>
              <w:t>counselling sessions</w:t>
            </w:r>
          </w:p>
        </w:tc>
        <w:tc>
          <w:tcPr>
            <w:tcW w:w="1094" w:type="pct"/>
            <w:shd w:val="clear" w:color="auto" w:fill="auto"/>
            <w:tcMar>
              <w:left w:w="28" w:type="dxa"/>
              <w:right w:w="28" w:type="dxa"/>
            </w:tcMar>
          </w:tcPr>
          <w:p w:rsidR="008D2DAF" w:rsidRPr="008D2DAF" w:rsidRDefault="008D2DAF" w:rsidP="008D2DAF">
            <w:pPr>
              <w:pStyle w:val="Tableheading"/>
              <w:autoSpaceDE w:val="0"/>
              <w:autoSpaceDN w:val="0"/>
              <w:adjustRightInd w:val="0"/>
              <w:rPr>
                <w:rFonts w:eastAsiaTheme="minorEastAsia" w:cs="Calibri"/>
                <w:b w:val="0"/>
                <w:u w:val="single"/>
              </w:rPr>
            </w:pPr>
            <w:r w:rsidRPr="008D2DAF">
              <w:rPr>
                <w:rFonts w:eastAsiaTheme="minorEastAsia" w:cs="Calibri"/>
                <w:b w:val="0"/>
                <w:u w:val="single"/>
              </w:rPr>
              <w:lastRenderedPageBreak/>
              <w:t>Efficacy</w:t>
            </w:r>
          </w:p>
          <w:p w:rsidR="001A2257" w:rsidRPr="00554906" w:rsidRDefault="008D2DAF" w:rsidP="008D2DAF">
            <w:pPr>
              <w:pStyle w:val="Tableheading"/>
              <w:autoSpaceDE w:val="0"/>
              <w:autoSpaceDN w:val="0"/>
              <w:adjustRightInd w:val="0"/>
              <w:rPr>
                <w:rFonts w:eastAsiaTheme="minorEastAsia" w:cs="Calibri"/>
                <w:b w:val="0"/>
                <w:i/>
                <w:iCs/>
              </w:rPr>
            </w:pPr>
            <w:r w:rsidRPr="00554906">
              <w:rPr>
                <w:rFonts w:eastAsiaTheme="minorEastAsia" w:cs="Calibri"/>
                <w:b w:val="0"/>
                <w:i/>
                <w:iCs/>
              </w:rPr>
              <w:t>Primar</w:t>
            </w:r>
            <w:r w:rsidR="001A2257">
              <w:rPr>
                <w:rFonts w:eastAsiaTheme="minorEastAsia" w:cs="Calibri"/>
                <w:b w:val="0"/>
                <w:i/>
                <w:iCs/>
              </w:rPr>
              <w:t>y</w:t>
            </w:r>
          </w:p>
          <w:p w:rsidR="008D2DAF" w:rsidRPr="00881D39" w:rsidRDefault="008D2DAF" w:rsidP="008D2DAF">
            <w:pPr>
              <w:pStyle w:val="Tableheading"/>
              <w:autoSpaceDE w:val="0"/>
              <w:autoSpaceDN w:val="0"/>
              <w:adjustRightInd w:val="0"/>
              <w:rPr>
                <w:rFonts w:eastAsiaTheme="minorEastAsia" w:cs="Calibri"/>
                <w:b w:val="0"/>
              </w:rPr>
            </w:pPr>
            <w:r w:rsidRPr="00881D39">
              <w:rPr>
                <w:rFonts w:eastAsiaTheme="minorEastAsia" w:cs="Calibri"/>
                <w:b w:val="0"/>
              </w:rPr>
              <w:t>7-day PPA, CO-confirmed &lt;=8ppm, 12, 24</w:t>
            </w:r>
            <w:r w:rsidR="001A2257">
              <w:rPr>
                <w:rFonts w:eastAsiaTheme="minorEastAsia" w:cs="Calibri"/>
                <w:b w:val="0"/>
              </w:rPr>
              <w:t xml:space="preserve"> </w:t>
            </w:r>
            <w:r w:rsidRPr="00881D39">
              <w:rPr>
                <w:rFonts w:eastAsiaTheme="minorEastAsia" w:cs="Calibri"/>
                <w:b w:val="0"/>
              </w:rPr>
              <w:t>w</w:t>
            </w:r>
            <w:r w:rsidR="001A2257">
              <w:rPr>
                <w:rFonts w:eastAsiaTheme="minorEastAsia" w:cs="Calibri"/>
                <w:b w:val="0"/>
              </w:rPr>
              <w:t>ee</w:t>
            </w:r>
            <w:r w:rsidRPr="00881D39">
              <w:rPr>
                <w:rFonts w:eastAsiaTheme="minorEastAsia" w:cs="Calibri"/>
                <w:b w:val="0"/>
              </w:rPr>
              <w:t>ks</w:t>
            </w:r>
          </w:p>
          <w:p w:rsidR="008D2DAF" w:rsidRPr="00554906" w:rsidRDefault="008D2DAF" w:rsidP="008D2DAF">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rsidR="008D2DAF" w:rsidRPr="00881D39" w:rsidRDefault="008D2DAF" w:rsidP="008D2DAF">
            <w:pPr>
              <w:pStyle w:val="Tableheading"/>
              <w:autoSpaceDE w:val="0"/>
              <w:autoSpaceDN w:val="0"/>
              <w:adjustRightInd w:val="0"/>
              <w:rPr>
                <w:rFonts w:eastAsiaTheme="minorEastAsia" w:cs="Calibri"/>
                <w:b w:val="0"/>
              </w:rPr>
            </w:pPr>
            <w:r w:rsidRPr="00881D39">
              <w:rPr>
                <w:rFonts w:eastAsiaTheme="minorEastAsia" w:cs="Calibri"/>
                <w:b w:val="0"/>
              </w:rPr>
              <w:lastRenderedPageBreak/>
              <w:t>Continuous abstinence, 9-12</w:t>
            </w:r>
            <w:r w:rsidR="001A2257">
              <w:rPr>
                <w:rFonts w:eastAsiaTheme="minorEastAsia" w:cs="Calibri"/>
                <w:b w:val="0"/>
              </w:rPr>
              <w:t xml:space="preserve"> </w:t>
            </w:r>
            <w:r w:rsidRPr="00881D39">
              <w:rPr>
                <w:rFonts w:eastAsiaTheme="minorEastAsia" w:cs="Calibri"/>
                <w:b w:val="0"/>
              </w:rPr>
              <w:t>w</w:t>
            </w:r>
            <w:r w:rsidR="001A2257">
              <w:rPr>
                <w:rFonts w:eastAsiaTheme="minorEastAsia" w:cs="Calibri"/>
                <w:b w:val="0"/>
              </w:rPr>
              <w:t>ee</w:t>
            </w:r>
            <w:r w:rsidRPr="00881D39">
              <w:rPr>
                <w:rFonts w:eastAsiaTheme="minorEastAsia" w:cs="Calibri"/>
                <w:b w:val="0"/>
              </w:rPr>
              <w:t>k, 9-18</w:t>
            </w:r>
            <w:r w:rsidR="001A2257">
              <w:rPr>
                <w:rFonts w:eastAsiaTheme="minorEastAsia" w:cs="Calibri"/>
                <w:b w:val="0"/>
              </w:rPr>
              <w:t xml:space="preserve"> </w:t>
            </w:r>
            <w:r w:rsidRPr="00881D39">
              <w:rPr>
                <w:rFonts w:eastAsiaTheme="minorEastAsia" w:cs="Calibri"/>
                <w:b w:val="0"/>
              </w:rPr>
              <w:t>w</w:t>
            </w:r>
            <w:r w:rsidR="001A2257">
              <w:rPr>
                <w:rFonts w:eastAsiaTheme="minorEastAsia" w:cs="Calibri"/>
                <w:b w:val="0"/>
              </w:rPr>
              <w:t>ee</w:t>
            </w:r>
            <w:r w:rsidRPr="00881D39">
              <w:rPr>
                <w:rFonts w:eastAsiaTheme="minorEastAsia" w:cs="Calibri"/>
                <w:b w:val="0"/>
              </w:rPr>
              <w:t>k, 9-24</w:t>
            </w:r>
            <w:r w:rsidR="001A2257">
              <w:rPr>
                <w:rFonts w:eastAsiaTheme="minorEastAsia" w:cs="Calibri"/>
                <w:b w:val="0"/>
              </w:rPr>
              <w:t xml:space="preserve"> </w:t>
            </w:r>
            <w:r w:rsidRPr="00881D39">
              <w:rPr>
                <w:rFonts w:eastAsiaTheme="minorEastAsia" w:cs="Calibri"/>
                <w:b w:val="0"/>
              </w:rPr>
              <w:t>w</w:t>
            </w:r>
            <w:r w:rsidR="001A2257">
              <w:rPr>
                <w:rFonts w:eastAsiaTheme="minorEastAsia" w:cs="Calibri"/>
                <w:b w:val="0"/>
              </w:rPr>
              <w:t>ee</w:t>
            </w:r>
            <w:r w:rsidRPr="00881D39">
              <w:rPr>
                <w:rFonts w:eastAsiaTheme="minorEastAsia" w:cs="Calibri"/>
                <w:b w:val="0"/>
              </w:rPr>
              <w:t>k</w:t>
            </w:r>
          </w:p>
          <w:p w:rsidR="008D2DAF" w:rsidRPr="00881D39" w:rsidRDefault="008D2DAF" w:rsidP="008D2DAF">
            <w:pPr>
              <w:pStyle w:val="Tableheading"/>
              <w:autoSpaceDE w:val="0"/>
              <w:autoSpaceDN w:val="0"/>
              <w:adjustRightInd w:val="0"/>
              <w:rPr>
                <w:rFonts w:eastAsiaTheme="minorEastAsia" w:cs="Calibri"/>
                <w:b w:val="0"/>
              </w:rPr>
            </w:pPr>
            <w:r w:rsidRPr="00881D39">
              <w:rPr>
                <w:rFonts w:eastAsiaTheme="minorEastAsia" w:cs="Calibri"/>
                <w:b w:val="0"/>
              </w:rPr>
              <w:t xml:space="preserve">7-day PPA </w:t>
            </w:r>
            <w:r w:rsidR="009E7142" w:rsidRPr="00881D39">
              <w:rPr>
                <w:rFonts w:eastAsiaTheme="minorEastAsia" w:cs="Calibri"/>
                <w:b w:val="0"/>
              </w:rPr>
              <w:t>CO-confirmed, week</w:t>
            </w:r>
            <w:r w:rsidRPr="00881D39">
              <w:rPr>
                <w:rFonts w:eastAsiaTheme="minorEastAsia" w:cs="Calibri"/>
                <w:b w:val="0"/>
              </w:rPr>
              <w:t xml:space="preserve"> 18</w:t>
            </w:r>
            <w:r w:rsidR="001A2257">
              <w:rPr>
                <w:rFonts w:eastAsiaTheme="minorEastAsia" w:cs="Calibri"/>
                <w:b w:val="0"/>
              </w:rPr>
              <w:t>.</w:t>
            </w:r>
          </w:p>
          <w:p w:rsidR="001835D1" w:rsidRPr="00320A67" w:rsidRDefault="008D2DAF" w:rsidP="008D2DAF">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00881D39">
              <w:rPr>
                <w:rFonts w:eastAsiaTheme="minorEastAsia" w:cs="Calibri"/>
                <w:b w:val="0"/>
                <w:u w:val="single"/>
              </w:rPr>
              <w:t xml:space="preserve">: </w:t>
            </w:r>
            <w:r w:rsidRPr="00881D39">
              <w:rPr>
                <w:rFonts w:eastAsiaTheme="minorEastAsia" w:cs="Calibri"/>
                <w:b w:val="0"/>
              </w:rPr>
              <w:t>SAEs</w:t>
            </w:r>
            <w:r w:rsidR="00881D39">
              <w:rPr>
                <w:rFonts w:eastAsiaTheme="minorEastAsia" w:cs="Calibri"/>
                <w:b w:val="0"/>
              </w:rPr>
              <w:t xml:space="preserve"> and</w:t>
            </w:r>
            <w:r>
              <w:rPr>
                <w:rFonts w:eastAsiaTheme="minorEastAsia" w:cs="Calibri"/>
                <w:b w:val="0"/>
              </w:rPr>
              <w:t xml:space="preserve"> </w:t>
            </w:r>
            <w:r w:rsidRPr="00881D39">
              <w:rPr>
                <w:rFonts w:eastAsiaTheme="minorEastAsia" w:cs="Calibri"/>
                <w:b w:val="0"/>
              </w:rPr>
              <w:t>AEs</w:t>
            </w:r>
            <w:r w:rsidR="00881D39">
              <w:rPr>
                <w:rFonts w:eastAsiaTheme="minorEastAsia" w:cs="Calibri"/>
                <w:b w:val="0"/>
              </w:rPr>
              <w:t>.</w:t>
            </w:r>
          </w:p>
        </w:tc>
      </w:tr>
      <w:tr w:rsidR="003A409B"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1835D1" w:rsidRPr="001E2154" w:rsidRDefault="00142923" w:rsidP="00693DA2">
            <w:pPr>
              <w:pStyle w:val="Tableheading"/>
              <w:autoSpaceDE w:val="0"/>
              <w:autoSpaceDN w:val="0"/>
              <w:adjustRightInd w:val="0"/>
              <w:rPr>
                <w:rFonts w:eastAsiaTheme="minorEastAsia" w:cs="Calibri"/>
                <w:b w:val="0"/>
              </w:rPr>
            </w:pPr>
            <w:r>
              <w:rPr>
                <w:rFonts w:eastAsiaTheme="minorEastAsia" w:cs="Calibri"/>
                <w:b w:val="0"/>
              </w:rPr>
              <w:t>Windle 2018</w:t>
            </w:r>
          </w:p>
        </w:tc>
        <w:tc>
          <w:tcPr>
            <w:tcW w:w="379" w:type="pct"/>
            <w:shd w:val="clear" w:color="auto" w:fill="auto"/>
          </w:tcPr>
          <w:p w:rsidR="001835D1" w:rsidRPr="001E2154" w:rsidRDefault="00142923"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1835D1" w:rsidRPr="001E2154" w:rsidRDefault="00FF5EBF" w:rsidP="00693DA2">
            <w:pPr>
              <w:pStyle w:val="Tableheading"/>
              <w:autoSpaceDE w:val="0"/>
              <w:autoSpaceDN w:val="0"/>
              <w:adjustRightInd w:val="0"/>
              <w:rPr>
                <w:rFonts w:eastAsiaTheme="minorEastAsia" w:cs="Calibri"/>
                <w:b w:val="0"/>
              </w:rPr>
            </w:pPr>
            <w:r>
              <w:rPr>
                <w:rFonts w:eastAsiaTheme="minorEastAsia" w:cs="Calibri"/>
                <w:b w:val="0"/>
              </w:rPr>
              <w:t>Canada, USA</w:t>
            </w:r>
          </w:p>
        </w:tc>
        <w:tc>
          <w:tcPr>
            <w:tcW w:w="516" w:type="pct"/>
            <w:shd w:val="clear" w:color="auto" w:fill="auto"/>
            <w:tcMar>
              <w:left w:w="28" w:type="dxa"/>
              <w:right w:w="28" w:type="dxa"/>
            </w:tcMar>
          </w:tcPr>
          <w:p w:rsidR="001835D1" w:rsidRDefault="00FF5EBF" w:rsidP="00693DA2">
            <w:pPr>
              <w:pStyle w:val="Tableheading"/>
              <w:autoSpaceDE w:val="0"/>
              <w:autoSpaceDN w:val="0"/>
              <w:adjustRightInd w:val="0"/>
              <w:rPr>
                <w:rFonts w:eastAsiaTheme="minorEastAsia" w:cs="Calibri"/>
                <w:b w:val="0"/>
              </w:rPr>
            </w:pPr>
            <w:r>
              <w:rPr>
                <w:rFonts w:eastAsiaTheme="minorEastAsia" w:cs="Calibri"/>
                <w:b w:val="0"/>
              </w:rPr>
              <w:t>302</w:t>
            </w:r>
          </w:p>
          <w:p w:rsidR="004B476A" w:rsidRDefault="004B476A" w:rsidP="00693DA2">
            <w:pPr>
              <w:pStyle w:val="Tableheading"/>
              <w:autoSpaceDE w:val="0"/>
              <w:autoSpaceDN w:val="0"/>
              <w:adjustRightInd w:val="0"/>
              <w:rPr>
                <w:rFonts w:eastAsiaTheme="minorEastAsia" w:cs="Calibri"/>
                <w:b w:val="0"/>
              </w:rPr>
            </w:pPr>
            <w:r>
              <w:rPr>
                <w:rFonts w:eastAsiaTheme="minorEastAsia" w:cs="Calibri"/>
                <w:b w:val="0"/>
              </w:rPr>
              <w:t xml:space="preserve"> n= </w:t>
            </w:r>
            <w:r w:rsidR="007D7DFF">
              <w:rPr>
                <w:rFonts w:eastAsiaTheme="minorEastAsia" w:cs="Calibri"/>
                <w:b w:val="0"/>
              </w:rPr>
              <w:t xml:space="preserve">151 </w:t>
            </w:r>
            <w:r>
              <w:rPr>
                <w:rFonts w:eastAsiaTheme="minorEastAsia" w:cs="Calibri"/>
                <w:b w:val="0"/>
              </w:rPr>
              <w:t>(varenicline)</w:t>
            </w:r>
          </w:p>
          <w:p w:rsidR="004B476A" w:rsidRPr="001E2154" w:rsidRDefault="004B476A" w:rsidP="00693DA2">
            <w:pPr>
              <w:pStyle w:val="Tableheading"/>
              <w:autoSpaceDE w:val="0"/>
              <w:autoSpaceDN w:val="0"/>
              <w:adjustRightInd w:val="0"/>
              <w:rPr>
                <w:rFonts w:eastAsiaTheme="minorEastAsia" w:cs="Calibri"/>
                <w:b w:val="0"/>
              </w:rPr>
            </w:pPr>
            <w:r>
              <w:rPr>
                <w:rFonts w:eastAsiaTheme="minorEastAsia" w:cs="Calibri"/>
                <w:b w:val="0"/>
              </w:rPr>
              <w:t>n=</w:t>
            </w:r>
            <w:r w:rsidR="007D7DFF">
              <w:rPr>
                <w:rFonts w:eastAsiaTheme="minorEastAsia" w:cs="Calibri"/>
                <w:b w:val="0"/>
              </w:rPr>
              <w:t>151</w:t>
            </w:r>
            <w:r>
              <w:rPr>
                <w:rFonts w:eastAsiaTheme="minorEastAsia" w:cs="Calibri"/>
                <w:b w:val="0"/>
              </w:rPr>
              <w:t xml:space="preserve"> (placebo)</w:t>
            </w:r>
          </w:p>
        </w:tc>
        <w:tc>
          <w:tcPr>
            <w:tcW w:w="1142" w:type="pct"/>
            <w:shd w:val="clear" w:color="auto" w:fill="auto"/>
            <w:tcMar>
              <w:left w:w="28" w:type="dxa"/>
              <w:right w:w="28" w:type="dxa"/>
            </w:tcMar>
          </w:tcPr>
          <w:p w:rsidR="00FF5EBF" w:rsidRPr="00FF5EBF" w:rsidRDefault="00FF5EBF" w:rsidP="00FF5EBF">
            <w:pPr>
              <w:pStyle w:val="Tableheading"/>
              <w:autoSpaceDE w:val="0"/>
              <w:autoSpaceDN w:val="0"/>
              <w:adjustRightInd w:val="0"/>
              <w:rPr>
                <w:rFonts w:eastAsiaTheme="minorEastAsia" w:cs="Calibri"/>
                <w:b w:val="0"/>
              </w:rPr>
            </w:pPr>
            <w:r w:rsidRPr="00FF5EBF">
              <w:rPr>
                <w:rFonts w:eastAsiaTheme="minorEastAsia" w:cs="Calibri"/>
                <w:b w:val="0"/>
              </w:rPr>
              <w:t>Adult (18yr+) smokers, (10+ CPD), motivated to quit, hospitalised for acute coronary syndrome (MI or unstable angina).</w:t>
            </w:r>
          </w:p>
          <w:p w:rsidR="00FF5EBF" w:rsidRPr="006A6B9B" w:rsidRDefault="00FF5EBF" w:rsidP="00FF5EBF">
            <w:pPr>
              <w:pStyle w:val="Tableheading"/>
              <w:autoSpaceDE w:val="0"/>
              <w:autoSpaceDN w:val="0"/>
              <w:adjustRightInd w:val="0"/>
              <w:rPr>
                <w:rFonts w:eastAsiaTheme="minorEastAsia" w:cs="Calibri"/>
                <w:b w:val="0"/>
                <w:u w:val="single"/>
              </w:rPr>
            </w:pPr>
            <w:r w:rsidRPr="006A6B9B">
              <w:rPr>
                <w:rFonts w:eastAsiaTheme="minorEastAsia" w:cs="Calibri"/>
                <w:b w:val="0"/>
                <w:u w:val="single"/>
              </w:rPr>
              <w:t>Exclusions:</w:t>
            </w:r>
          </w:p>
          <w:p w:rsidR="001835D1" w:rsidRPr="001E2154" w:rsidRDefault="00FF5EBF" w:rsidP="00FF5EBF">
            <w:pPr>
              <w:pStyle w:val="Tableheading"/>
              <w:autoSpaceDE w:val="0"/>
              <w:autoSpaceDN w:val="0"/>
              <w:adjustRightInd w:val="0"/>
              <w:rPr>
                <w:rFonts w:eastAsiaTheme="minorEastAsia" w:cs="Calibri"/>
                <w:b w:val="0"/>
              </w:rPr>
            </w:pPr>
            <w:r w:rsidRPr="00FF5EBF">
              <w:rPr>
                <w:rFonts w:eastAsiaTheme="minorEastAsia" w:cs="Calibri"/>
                <w:b w:val="0"/>
              </w:rPr>
              <w:t>Excessive alcohol, history of panic disorder, psychosis, bipolar disease, dementia, renal or hepatic impairment, current or recent drug use, history of suicidal ideation/attempt or family history of suicide</w:t>
            </w:r>
          </w:p>
        </w:tc>
        <w:tc>
          <w:tcPr>
            <w:tcW w:w="808" w:type="pct"/>
            <w:shd w:val="clear" w:color="auto" w:fill="auto"/>
          </w:tcPr>
          <w:p w:rsidR="00FF5EBF" w:rsidRPr="00FF5EBF" w:rsidRDefault="00FF5EBF" w:rsidP="00C324F3">
            <w:pPr>
              <w:pStyle w:val="Tablewriting"/>
              <w:keepNext/>
              <w:numPr>
                <w:ilvl w:val="0"/>
                <w:numId w:val="8"/>
              </w:numPr>
              <w:rPr>
                <w:rFonts w:eastAsia="MS Mincho"/>
              </w:rPr>
            </w:pPr>
            <w:r w:rsidRPr="00FF5EBF">
              <w:rPr>
                <w:rFonts w:eastAsia="MS Mincho"/>
              </w:rPr>
              <w:t>Varenicline, 1</w:t>
            </w:r>
            <w:r w:rsidR="00A1651B">
              <w:rPr>
                <w:rFonts w:eastAsia="MS Mincho"/>
              </w:rPr>
              <w:t xml:space="preserve"> </w:t>
            </w:r>
            <w:r w:rsidRPr="00FF5EBF">
              <w:rPr>
                <w:rFonts w:eastAsia="MS Mincho"/>
              </w:rPr>
              <w:t>mg bd, 12</w:t>
            </w:r>
            <w:r w:rsidR="00A1651B">
              <w:rPr>
                <w:rFonts w:eastAsia="MS Mincho"/>
              </w:rPr>
              <w:t xml:space="preserve"> </w:t>
            </w:r>
            <w:r w:rsidRPr="00FF5EBF">
              <w:rPr>
                <w:rFonts w:eastAsia="MS Mincho"/>
              </w:rPr>
              <w:t>w</w:t>
            </w:r>
            <w:r w:rsidR="00A1651B">
              <w:rPr>
                <w:rFonts w:eastAsia="MS Mincho"/>
              </w:rPr>
              <w:t>ee</w:t>
            </w:r>
            <w:r w:rsidRPr="00FF5EBF">
              <w:rPr>
                <w:rFonts w:eastAsia="MS Mincho"/>
              </w:rPr>
              <w:t>ks, with titrated dose 1 week before quit date</w:t>
            </w:r>
          </w:p>
          <w:p w:rsidR="00FF5EBF" w:rsidRPr="00FF5EBF" w:rsidRDefault="00FF5EBF" w:rsidP="00C324F3">
            <w:pPr>
              <w:pStyle w:val="Tablewriting"/>
              <w:keepNext/>
              <w:numPr>
                <w:ilvl w:val="0"/>
                <w:numId w:val="8"/>
              </w:numPr>
              <w:rPr>
                <w:rFonts w:eastAsia="MS Mincho"/>
              </w:rPr>
            </w:pPr>
            <w:r w:rsidRPr="00FF5EBF">
              <w:rPr>
                <w:rFonts w:eastAsia="MS Mincho"/>
              </w:rPr>
              <w:t>Placebo</w:t>
            </w:r>
          </w:p>
          <w:p w:rsidR="00FF5EBF" w:rsidRPr="00FF5EBF" w:rsidRDefault="00FF5EBF" w:rsidP="00FF725F">
            <w:pPr>
              <w:pStyle w:val="Tablewriting"/>
              <w:keepNext/>
              <w:rPr>
                <w:rFonts w:eastAsia="MS Mincho"/>
              </w:rPr>
            </w:pPr>
            <w:r w:rsidRPr="00554906">
              <w:rPr>
                <w:rFonts w:eastAsia="MS Mincho"/>
                <w:u w:val="single"/>
              </w:rPr>
              <w:t>Common elements</w:t>
            </w:r>
            <w:r w:rsidRPr="00FF5EBF">
              <w:rPr>
                <w:rFonts w:eastAsia="MS Mincho"/>
              </w:rPr>
              <w:t xml:space="preserve">: </w:t>
            </w:r>
          </w:p>
          <w:p w:rsidR="00FF5EBF" w:rsidRPr="00FF5EBF" w:rsidRDefault="00FF5EBF" w:rsidP="00C324F3">
            <w:pPr>
              <w:pStyle w:val="Tablewriting"/>
              <w:keepNext/>
              <w:numPr>
                <w:ilvl w:val="0"/>
                <w:numId w:val="8"/>
              </w:numPr>
              <w:rPr>
                <w:rFonts w:eastAsia="MS Mincho"/>
              </w:rPr>
            </w:pPr>
            <w:r w:rsidRPr="00FF5EBF">
              <w:rPr>
                <w:rFonts w:eastAsia="MS Mincho"/>
              </w:rPr>
              <w:t>Medication began in hospital</w:t>
            </w:r>
          </w:p>
          <w:p w:rsidR="001835D1" w:rsidRPr="00D11171" w:rsidRDefault="00FF5EBF" w:rsidP="00C324F3">
            <w:pPr>
              <w:pStyle w:val="Tablewriting"/>
              <w:keepNext/>
              <w:numPr>
                <w:ilvl w:val="0"/>
                <w:numId w:val="8"/>
              </w:numPr>
              <w:rPr>
                <w:rFonts w:eastAsia="MS Mincho"/>
              </w:rPr>
            </w:pPr>
            <w:r w:rsidRPr="00FF5EBF">
              <w:rPr>
                <w:rFonts w:eastAsia="MS Mincho"/>
              </w:rPr>
              <w:t>Low-intensity counselling for smoking cessation and relapse prevention</w:t>
            </w:r>
          </w:p>
        </w:tc>
        <w:tc>
          <w:tcPr>
            <w:tcW w:w="1094" w:type="pct"/>
            <w:shd w:val="clear" w:color="auto" w:fill="auto"/>
            <w:tcMar>
              <w:left w:w="28" w:type="dxa"/>
              <w:right w:w="28" w:type="dxa"/>
            </w:tcMar>
          </w:tcPr>
          <w:p w:rsidR="004B476A" w:rsidRPr="004B476A" w:rsidRDefault="004B476A" w:rsidP="004B476A">
            <w:pPr>
              <w:pStyle w:val="Tableheading"/>
              <w:autoSpaceDE w:val="0"/>
              <w:autoSpaceDN w:val="0"/>
              <w:adjustRightInd w:val="0"/>
              <w:rPr>
                <w:rFonts w:eastAsiaTheme="minorEastAsia" w:cs="Calibri"/>
                <w:b w:val="0"/>
                <w:u w:val="single"/>
              </w:rPr>
            </w:pPr>
            <w:r w:rsidRPr="004B476A">
              <w:rPr>
                <w:rFonts w:eastAsiaTheme="minorEastAsia" w:cs="Calibri"/>
                <w:b w:val="0"/>
                <w:u w:val="single"/>
              </w:rPr>
              <w:t>Efficacy</w:t>
            </w:r>
          </w:p>
          <w:p w:rsidR="004B476A" w:rsidRPr="00554906" w:rsidRDefault="004B476A" w:rsidP="004B476A">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rsidR="004B476A" w:rsidRPr="00881D39" w:rsidRDefault="004B476A" w:rsidP="004B476A">
            <w:pPr>
              <w:pStyle w:val="Tableheading"/>
              <w:autoSpaceDE w:val="0"/>
              <w:autoSpaceDN w:val="0"/>
              <w:adjustRightInd w:val="0"/>
              <w:rPr>
                <w:rFonts w:eastAsiaTheme="minorEastAsia" w:cs="Calibri"/>
                <w:b w:val="0"/>
              </w:rPr>
            </w:pPr>
            <w:r w:rsidRPr="00881D39">
              <w:rPr>
                <w:rFonts w:eastAsiaTheme="minorEastAsia" w:cs="Calibri"/>
                <w:b w:val="0"/>
              </w:rPr>
              <w:t>7-dayPPA, CO-confirmed &lt;=10ppm, 24</w:t>
            </w:r>
            <w:r w:rsidR="007719DB">
              <w:rPr>
                <w:rFonts w:eastAsiaTheme="minorEastAsia" w:cs="Calibri"/>
                <w:b w:val="0"/>
              </w:rPr>
              <w:t xml:space="preserve"> </w:t>
            </w:r>
            <w:r w:rsidRPr="00881D39">
              <w:rPr>
                <w:rFonts w:eastAsiaTheme="minorEastAsia" w:cs="Calibri"/>
                <w:b w:val="0"/>
              </w:rPr>
              <w:t>w</w:t>
            </w:r>
            <w:r w:rsidR="007719DB">
              <w:rPr>
                <w:rFonts w:eastAsiaTheme="minorEastAsia" w:cs="Calibri"/>
                <w:b w:val="0"/>
              </w:rPr>
              <w:t>ee</w:t>
            </w:r>
            <w:r w:rsidRPr="00881D39">
              <w:rPr>
                <w:rFonts w:eastAsiaTheme="minorEastAsia" w:cs="Calibri"/>
                <w:b w:val="0"/>
              </w:rPr>
              <w:t>ks</w:t>
            </w:r>
          </w:p>
          <w:p w:rsidR="004B476A" w:rsidRPr="00554906" w:rsidRDefault="004B476A" w:rsidP="004B476A">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rsidR="004B476A" w:rsidRPr="00881D39" w:rsidRDefault="004B476A" w:rsidP="004B476A">
            <w:pPr>
              <w:pStyle w:val="Tableheading"/>
              <w:autoSpaceDE w:val="0"/>
              <w:autoSpaceDN w:val="0"/>
              <w:adjustRightInd w:val="0"/>
              <w:rPr>
                <w:rFonts w:eastAsiaTheme="minorEastAsia" w:cs="Calibri"/>
                <w:b w:val="0"/>
              </w:rPr>
            </w:pPr>
            <w:r w:rsidRPr="00881D39">
              <w:rPr>
                <w:rFonts w:eastAsiaTheme="minorEastAsia" w:cs="Calibri"/>
                <w:b w:val="0"/>
              </w:rPr>
              <w:t>CA, CO-confirmed (&lt;=10ppm and 7-day PPA at all follow-up visits since baseline), all follow-up visits, w</w:t>
            </w:r>
            <w:r w:rsidR="007719DB">
              <w:rPr>
                <w:rFonts w:eastAsiaTheme="minorEastAsia" w:cs="Calibri"/>
                <w:b w:val="0"/>
              </w:rPr>
              <w:t>ee</w:t>
            </w:r>
            <w:r w:rsidRPr="00881D39">
              <w:rPr>
                <w:rFonts w:eastAsiaTheme="minorEastAsia" w:cs="Calibri"/>
                <w:b w:val="0"/>
              </w:rPr>
              <w:t>k 52</w:t>
            </w:r>
          </w:p>
          <w:p w:rsidR="004B476A" w:rsidRPr="00881D39" w:rsidRDefault="004B476A" w:rsidP="004B476A">
            <w:pPr>
              <w:pStyle w:val="Tableheading"/>
              <w:autoSpaceDE w:val="0"/>
              <w:autoSpaceDN w:val="0"/>
              <w:adjustRightInd w:val="0"/>
              <w:rPr>
                <w:rFonts w:eastAsiaTheme="minorEastAsia" w:cs="Calibri"/>
                <w:b w:val="0"/>
              </w:rPr>
            </w:pPr>
            <w:r w:rsidRPr="00881D39">
              <w:rPr>
                <w:rFonts w:eastAsiaTheme="minorEastAsia" w:cs="Calibri"/>
                <w:b w:val="0"/>
              </w:rPr>
              <w:t>7-day PPA CO-confirmed , other follow-up visits</w:t>
            </w:r>
          </w:p>
          <w:p w:rsidR="001835D1" w:rsidRPr="00320A67" w:rsidRDefault="004B476A" w:rsidP="004B476A">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00881D39">
              <w:rPr>
                <w:rFonts w:eastAsiaTheme="minorEastAsia" w:cs="Calibri"/>
                <w:b w:val="0"/>
                <w:u w:val="single"/>
              </w:rPr>
              <w:t xml:space="preserve">: </w:t>
            </w:r>
            <w:r w:rsidRPr="00881D39">
              <w:rPr>
                <w:rFonts w:eastAsiaTheme="minorEastAsia" w:cs="Calibri"/>
                <w:b w:val="0"/>
              </w:rPr>
              <w:t>SAEs</w:t>
            </w:r>
            <w:r w:rsidR="00881D39">
              <w:rPr>
                <w:rFonts w:eastAsiaTheme="minorEastAsia" w:cs="Calibri"/>
                <w:b w:val="0"/>
              </w:rPr>
              <w:t xml:space="preserve"> and</w:t>
            </w:r>
            <w:r>
              <w:rPr>
                <w:rFonts w:eastAsiaTheme="minorEastAsia" w:cs="Calibri"/>
                <w:b w:val="0"/>
              </w:rPr>
              <w:t xml:space="preserve"> </w:t>
            </w:r>
            <w:r w:rsidRPr="00881D39">
              <w:rPr>
                <w:rFonts w:eastAsiaTheme="minorEastAsia" w:cs="Calibri"/>
                <w:b w:val="0"/>
              </w:rPr>
              <w:t>AEs</w:t>
            </w:r>
            <w:r w:rsidR="00881D39">
              <w:rPr>
                <w:rFonts w:eastAsiaTheme="minorEastAsia" w:cs="Calibri"/>
                <w:b w:val="0"/>
              </w:rPr>
              <w:t>.</w:t>
            </w:r>
          </w:p>
        </w:tc>
      </w:tr>
      <w:tr w:rsidR="003A409B"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1835D1" w:rsidRPr="001E2154" w:rsidRDefault="007D7DFF" w:rsidP="00693DA2">
            <w:pPr>
              <w:pStyle w:val="Tableheading"/>
              <w:autoSpaceDE w:val="0"/>
              <w:autoSpaceDN w:val="0"/>
              <w:adjustRightInd w:val="0"/>
              <w:rPr>
                <w:rFonts w:eastAsiaTheme="minorEastAsia" w:cs="Calibri"/>
                <w:b w:val="0"/>
              </w:rPr>
            </w:pPr>
            <w:r>
              <w:rPr>
                <w:rFonts w:eastAsiaTheme="minorEastAsia" w:cs="Calibri"/>
                <w:b w:val="0"/>
              </w:rPr>
              <w:t>Mercie 2018</w:t>
            </w:r>
          </w:p>
        </w:tc>
        <w:tc>
          <w:tcPr>
            <w:tcW w:w="379" w:type="pct"/>
            <w:shd w:val="clear" w:color="auto" w:fill="auto"/>
          </w:tcPr>
          <w:p w:rsidR="001835D1" w:rsidRPr="001E2154" w:rsidRDefault="007D7DFF"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1835D1" w:rsidRPr="001E2154" w:rsidRDefault="007D7DFF" w:rsidP="00693DA2">
            <w:pPr>
              <w:pStyle w:val="Tableheading"/>
              <w:autoSpaceDE w:val="0"/>
              <w:autoSpaceDN w:val="0"/>
              <w:adjustRightInd w:val="0"/>
              <w:rPr>
                <w:rFonts w:eastAsiaTheme="minorEastAsia" w:cs="Calibri"/>
                <w:b w:val="0"/>
              </w:rPr>
            </w:pPr>
            <w:r>
              <w:rPr>
                <w:rFonts w:eastAsiaTheme="minorEastAsia" w:cs="Calibri"/>
                <w:b w:val="0"/>
              </w:rPr>
              <w:t>France</w:t>
            </w:r>
          </w:p>
        </w:tc>
        <w:tc>
          <w:tcPr>
            <w:tcW w:w="516" w:type="pct"/>
            <w:shd w:val="clear" w:color="auto" w:fill="auto"/>
            <w:tcMar>
              <w:left w:w="28" w:type="dxa"/>
              <w:right w:w="28" w:type="dxa"/>
            </w:tcMar>
          </w:tcPr>
          <w:p w:rsidR="001835D1" w:rsidRDefault="00890214" w:rsidP="00693DA2">
            <w:pPr>
              <w:pStyle w:val="Tableheading"/>
              <w:autoSpaceDE w:val="0"/>
              <w:autoSpaceDN w:val="0"/>
              <w:adjustRightInd w:val="0"/>
              <w:rPr>
                <w:rFonts w:eastAsiaTheme="minorEastAsia" w:cs="Calibri"/>
                <w:b w:val="0"/>
              </w:rPr>
            </w:pPr>
            <w:r>
              <w:rPr>
                <w:rFonts w:eastAsiaTheme="minorEastAsia" w:cs="Calibri"/>
                <w:b w:val="0"/>
              </w:rPr>
              <w:t>248</w:t>
            </w:r>
          </w:p>
          <w:p w:rsidR="00890214" w:rsidRDefault="00890214" w:rsidP="00693DA2">
            <w:pPr>
              <w:pStyle w:val="Tableheading"/>
              <w:autoSpaceDE w:val="0"/>
              <w:autoSpaceDN w:val="0"/>
              <w:adjustRightInd w:val="0"/>
              <w:rPr>
                <w:rFonts w:eastAsiaTheme="minorEastAsia" w:cs="Calibri"/>
                <w:b w:val="0"/>
              </w:rPr>
            </w:pPr>
            <w:r>
              <w:rPr>
                <w:rFonts w:eastAsiaTheme="minorEastAsia" w:cs="Calibri"/>
                <w:b w:val="0"/>
              </w:rPr>
              <w:t>n=</w:t>
            </w:r>
            <w:r w:rsidR="00CC316E">
              <w:rPr>
                <w:rFonts w:eastAsiaTheme="minorEastAsia" w:cs="Calibri"/>
                <w:b w:val="0"/>
              </w:rPr>
              <w:t xml:space="preserve"> 123(varenicline)</w:t>
            </w:r>
          </w:p>
          <w:p w:rsidR="00CC316E" w:rsidRPr="001E2154" w:rsidRDefault="00CC316E" w:rsidP="00693DA2">
            <w:pPr>
              <w:pStyle w:val="Tableheading"/>
              <w:autoSpaceDE w:val="0"/>
              <w:autoSpaceDN w:val="0"/>
              <w:adjustRightInd w:val="0"/>
              <w:rPr>
                <w:rFonts w:eastAsiaTheme="minorEastAsia" w:cs="Calibri"/>
                <w:b w:val="0"/>
              </w:rPr>
            </w:pPr>
            <w:r>
              <w:rPr>
                <w:rFonts w:eastAsiaTheme="minorEastAsia" w:cs="Calibri"/>
                <w:b w:val="0"/>
              </w:rPr>
              <w:t>n=125 (placebo)</w:t>
            </w:r>
          </w:p>
        </w:tc>
        <w:tc>
          <w:tcPr>
            <w:tcW w:w="1142" w:type="pct"/>
            <w:shd w:val="clear" w:color="auto" w:fill="auto"/>
            <w:tcMar>
              <w:left w:w="28" w:type="dxa"/>
              <w:right w:w="28" w:type="dxa"/>
            </w:tcMar>
          </w:tcPr>
          <w:p w:rsidR="00890214" w:rsidRPr="00890214" w:rsidRDefault="00890214" w:rsidP="00890214">
            <w:pPr>
              <w:pStyle w:val="Tableheading"/>
              <w:autoSpaceDE w:val="0"/>
              <w:autoSpaceDN w:val="0"/>
              <w:adjustRightInd w:val="0"/>
              <w:rPr>
                <w:rFonts w:eastAsiaTheme="minorEastAsia" w:cs="Calibri"/>
                <w:b w:val="0"/>
              </w:rPr>
            </w:pPr>
            <w:r w:rsidRPr="00890214">
              <w:rPr>
                <w:rFonts w:eastAsiaTheme="minorEastAsia" w:cs="Calibri"/>
                <w:b w:val="0"/>
              </w:rPr>
              <w:t xml:space="preserve">Adults (18 years +) smokers (10+ CPD for a year or more) with documented HIV infection, volunteered to stop smoking after completing a Q-MAT smoking </w:t>
            </w:r>
            <w:r w:rsidRPr="00890214">
              <w:rPr>
                <w:rFonts w:eastAsiaTheme="minorEastAsia" w:cs="Calibri"/>
                <w:b w:val="0"/>
              </w:rPr>
              <w:lastRenderedPageBreak/>
              <w:t>cessation motivation questionnaire and were regularly followed up in one of the participating French hospitals.</w:t>
            </w:r>
          </w:p>
          <w:p w:rsidR="00890214" w:rsidRPr="006A6B9B" w:rsidRDefault="00890214" w:rsidP="00890214">
            <w:pPr>
              <w:pStyle w:val="Tableheading"/>
              <w:autoSpaceDE w:val="0"/>
              <w:autoSpaceDN w:val="0"/>
              <w:adjustRightInd w:val="0"/>
              <w:rPr>
                <w:rFonts w:eastAsiaTheme="minorEastAsia" w:cs="Calibri"/>
                <w:b w:val="0"/>
                <w:u w:val="single"/>
              </w:rPr>
            </w:pPr>
            <w:r w:rsidRPr="006A6B9B">
              <w:rPr>
                <w:rFonts w:eastAsiaTheme="minorEastAsia" w:cs="Calibri"/>
                <w:b w:val="0"/>
                <w:u w:val="single"/>
              </w:rPr>
              <w:t>Exclusions:</w:t>
            </w:r>
          </w:p>
          <w:p w:rsidR="001835D1" w:rsidRPr="001E2154" w:rsidRDefault="00890214" w:rsidP="00890214">
            <w:pPr>
              <w:pStyle w:val="Tableheading"/>
              <w:autoSpaceDE w:val="0"/>
              <w:autoSpaceDN w:val="0"/>
              <w:adjustRightInd w:val="0"/>
              <w:rPr>
                <w:rFonts w:eastAsiaTheme="minorEastAsia" w:cs="Calibri"/>
                <w:b w:val="0"/>
              </w:rPr>
            </w:pPr>
            <w:r w:rsidRPr="00890214">
              <w:rPr>
                <w:rFonts w:eastAsiaTheme="minorEastAsia" w:cs="Calibri"/>
                <w:b w:val="0"/>
              </w:rPr>
              <w:t xml:space="preserve">Co-dependent on a psychoactive substance other than tobacco, depressive episode during enrolment diagnosed by a psychiatrist, ever attempted suicide, receiving ongoing treatment with interferon, taking efavirenz for less than 3 months, had neuropsychological drug-related adverse events while taking efavirenz. </w:t>
            </w:r>
            <w:r w:rsidR="009E7142" w:rsidRPr="00890214">
              <w:rPr>
                <w:rFonts w:eastAsiaTheme="minorEastAsia" w:cs="Calibri"/>
                <w:b w:val="0"/>
              </w:rPr>
              <w:t>Previous</w:t>
            </w:r>
            <w:r w:rsidRPr="00890214">
              <w:rPr>
                <w:rFonts w:eastAsiaTheme="minorEastAsia" w:cs="Calibri"/>
                <w:b w:val="0"/>
              </w:rPr>
              <w:t xml:space="preserve"> treatment with varenicline (or known hypersensitivity to varenicline) or bupropion or ongoing nicotine replacement therapy</w:t>
            </w:r>
            <w:r w:rsidR="009E7142" w:rsidRPr="00890214">
              <w:rPr>
                <w:rFonts w:eastAsiaTheme="minorEastAsia" w:cs="Calibri"/>
                <w:b w:val="0"/>
              </w:rPr>
              <w:t>, pregnant</w:t>
            </w:r>
            <w:r w:rsidRPr="00890214">
              <w:rPr>
                <w:rFonts w:eastAsiaTheme="minorEastAsia" w:cs="Calibri"/>
                <w:b w:val="0"/>
              </w:rPr>
              <w:t>, or ongoing breastfeeding. Participants were not eligible if they had occupations requiring high vigilance or if they were not affiliated to the health-care system.</w:t>
            </w:r>
          </w:p>
        </w:tc>
        <w:tc>
          <w:tcPr>
            <w:tcW w:w="808" w:type="pct"/>
            <w:shd w:val="clear" w:color="auto" w:fill="auto"/>
          </w:tcPr>
          <w:p w:rsidR="00890214" w:rsidRPr="00890214" w:rsidRDefault="00890214" w:rsidP="00C324F3">
            <w:pPr>
              <w:pStyle w:val="Tablewriting"/>
              <w:keepNext/>
              <w:numPr>
                <w:ilvl w:val="0"/>
                <w:numId w:val="8"/>
              </w:numPr>
              <w:rPr>
                <w:rFonts w:eastAsia="MS Mincho"/>
              </w:rPr>
            </w:pPr>
            <w:r w:rsidRPr="00890214">
              <w:rPr>
                <w:rFonts w:eastAsia="MS Mincho"/>
              </w:rPr>
              <w:lastRenderedPageBreak/>
              <w:t>Varenicline, 1mg bd, 12</w:t>
            </w:r>
            <w:r w:rsidR="00A1651B">
              <w:rPr>
                <w:rFonts w:eastAsia="MS Mincho"/>
              </w:rPr>
              <w:t xml:space="preserve"> </w:t>
            </w:r>
            <w:r w:rsidRPr="00890214">
              <w:rPr>
                <w:rFonts w:eastAsia="MS Mincho"/>
              </w:rPr>
              <w:t>w</w:t>
            </w:r>
            <w:r w:rsidR="00A1651B">
              <w:rPr>
                <w:rFonts w:eastAsia="MS Mincho"/>
              </w:rPr>
              <w:t>ee</w:t>
            </w:r>
            <w:r w:rsidRPr="00890214">
              <w:rPr>
                <w:rFonts w:eastAsia="MS Mincho"/>
              </w:rPr>
              <w:t xml:space="preserve">ks, with </w:t>
            </w:r>
            <w:r w:rsidRPr="00890214">
              <w:rPr>
                <w:rFonts w:eastAsia="MS Mincho"/>
              </w:rPr>
              <w:lastRenderedPageBreak/>
              <w:t>titrated dose 1 week before quit date</w:t>
            </w:r>
          </w:p>
          <w:p w:rsidR="00890214" w:rsidRPr="00890214" w:rsidRDefault="00890214" w:rsidP="00C324F3">
            <w:pPr>
              <w:pStyle w:val="Tablewriting"/>
              <w:keepNext/>
              <w:numPr>
                <w:ilvl w:val="0"/>
                <w:numId w:val="8"/>
              </w:numPr>
              <w:rPr>
                <w:rFonts w:eastAsia="MS Mincho"/>
              </w:rPr>
            </w:pPr>
            <w:r w:rsidRPr="00890214">
              <w:rPr>
                <w:rFonts w:eastAsia="MS Mincho"/>
              </w:rPr>
              <w:t>Placebo</w:t>
            </w:r>
          </w:p>
          <w:p w:rsidR="00890214" w:rsidRPr="00890214" w:rsidRDefault="00890214" w:rsidP="00FF725F">
            <w:pPr>
              <w:pStyle w:val="Tablewriting"/>
              <w:keepNext/>
              <w:rPr>
                <w:rFonts w:eastAsia="MS Mincho"/>
              </w:rPr>
            </w:pPr>
            <w:r w:rsidRPr="00554906">
              <w:rPr>
                <w:rFonts w:eastAsia="MS Mincho"/>
                <w:u w:val="single"/>
              </w:rPr>
              <w:t>Common elements</w:t>
            </w:r>
            <w:r w:rsidRPr="00890214">
              <w:rPr>
                <w:rFonts w:eastAsia="MS Mincho"/>
              </w:rPr>
              <w:t xml:space="preserve">: </w:t>
            </w:r>
          </w:p>
          <w:p w:rsidR="00890214" w:rsidRPr="00890214" w:rsidRDefault="00890214" w:rsidP="00C324F3">
            <w:pPr>
              <w:pStyle w:val="Tablewriting"/>
              <w:keepNext/>
              <w:numPr>
                <w:ilvl w:val="0"/>
                <w:numId w:val="8"/>
              </w:numPr>
              <w:rPr>
                <w:rFonts w:eastAsia="MS Mincho"/>
              </w:rPr>
            </w:pPr>
            <w:r w:rsidRPr="00890214">
              <w:rPr>
                <w:rFonts w:eastAsia="MS Mincho"/>
              </w:rPr>
              <w:t>Additional open-label 12 w</w:t>
            </w:r>
            <w:r w:rsidR="00A1651B">
              <w:rPr>
                <w:rFonts w:eastAsia="MS Mincho"/>
              </w:rPr>
              <w:t>ee</w:t>
            </w:r>
            <w:r w:rsidRPr="00890214">
              <w:rPr>
                <w:rFonts w:eastAsia="MS Mincho"/>
              </w:rPr>
              <w:t>ks of therapy if smoking at w</w:t>
            </w:r>
            <w:r w:rsidR="00A1651B">
              <w:rPr>
                <w:rFonts w:eastAsia="MS Mincho"/>
              </w:rPr>
              <w:t>ee</w:t>
            </w:r>
            <w:r w:rsidRPr="00890214">
              <w:rPr>
                <w:rFonts w:eastAsia="MS Mincho"/>
              </w:rPr>
              <w:t>k</w:t>
            </w:r>
            <w:r w:rsidR="00A1651B">
              <w:rPr>
                <w:rFonts w:eastAsia="MS Mincho"/>
              </w:rPr>
              <w:t xml:space="preserve"> </w:t>
            </w:r>
            <w:r w:rsidRPr="00890214">
              <w:rPr>
                <w:rFonts w:eastAsia="MS Mincho"/>
              </w:rPr>
              <w:t>24 and motivated to stop</w:t>
            </w:r>
          </w:p>
          <w:p w:rsidR="001835D1" w:rsidRPr="00D11171" w:rsidRDefault="00890214" w:rsidP="00C324F3">
            <w:pPr>
              <w:pStyle w:val="Tablewriting"/>
              <w:keepNext/>
              <w:numPr>
                <w:ilvl w:val="0"/>
                <w:numId w:val="8"/>
              </w:numPr>
              <w:rPr>
                <w:rFonts w:eastAsia="MS Mincho"/>
              </w:rPr>
            </w:pPr>
            <w:r w:rsidRPr="00890214">
              <w:rPr>
                <w:rFonts w:eastAsia="MS Mincho"/>
              </w:rPr>
              <w:t>Counselling (behavioural change) 4 weeks prior to quit date and 10-15 sessions over 1 y</w:t>
            </w:r>
            <w:r w:rsidR="0040273F">
              <w:rPr>
                <w:rFonts w:eastAsia="MS Mincho"/>
              </w:rPr>
              <w:t>ea</w:t>
            </w:r>
            <w:r w:rsidRPr="00890214">
              <w:rPr>
                <w:rFonts w:eastAsia="MS Mincho"/>
              </w:rPr>
              <w:t>r</w:t>
            </w:r>
          </w:p>
        </w:tc>
        <w:tc>
          <w:tcPr>
            <w:tcW w:w="1094" w:type="pct"/>
            <w:shd w:val="clear" w:color="auto" w:fill="auto"/>
            <w:tcMar>
              <w:left w:w="28" w:type="dxa"/>
              <w:right w:w="28" w:type="dxa"/>
            </w:tcMar>
          </w:tcPr>
          <w:p w:rsidR="00890214" w:rsidRPr="00890214" w:rsidRDefault="00890214" w:rsidP="00890214">
            <w:pPr>
              <w:pStyle w:val="Tableheading"/>
              <w:autoSpaceDE w:val="0"/>
              <w:autoSpaceDN w:val="0"/>
              <w:adjustRightInd w:val="0"/>
              <w:rPr>
                <w:rFonts w:eastAsiaTheme="minorEastAsia" w:cs="Calibri"/>
                <w:b w:val="0"/>
                <w:u w:val="single"/>
              </w:rPr>
            </w:pPr>
            <w:r w:rsidRPr="00890214">
              <w:rPr>
                <w:rFonts w:eastAsiaTheme="minorEastAsia" w:cs="Calibri"/>
                <w:b w:val="0"/>
                <w:u w:val="single"/>
              </w:rPr>
              <w:lastRenderedPageBreak/>
              <w:t>Efficacy:</w:t>
            </w:r>
          </w:p>
          <w:p w:rsidR="00890214" w:rsidRPr="00554906" w:rsidRDefault="00890214" w:rsidP="00890214">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rsidR="00890214" w:rsidRPr="00881D39" w:rsidRDefault="00890214" w:rsidP="00890214">
            <w:pPr>
              <w:pStyle w:val="Tableheading"/>
              <w:autoSpaceDE w:val="0"/>
              <w:autoSpaceDN w:val="0"/>
              <w:adjustRightInd w:val="0"/>
              <w:rPr>
                <w:rFonts w:eastAsiaTheme="minorEastAsia" w:cs="Calibri"/>
                <w:b w:val="0"/>
              </w:rPr>
            </w:pPr>
            <w:r w:rsidRPr="00881D39">
              <w:rPr>
                <w:rFonts w:eastAsiaTheme="minorEastAsia" w:cs="Calibri"/>
                <w:b w:val="0"/>
              </w:rPr>
              <w:t>CAR, w</w:t>
            </w:r>
            <w:r w:rsidR="00702B2B">
              <w:rPr>
                <w:rFonts w:eastAsiaTheme="minorEastAsia" w:cs="Calibri"/>
                <w:b w:val="0"/>
              </w:rPr>
              <w:t>ee</w:t>
            </w:r>
            <w:r w:rsidRPr="00881D39">
              <w:rPr>
                <w:rFonts w:eastAsiaTheme="minorEastAsia" w:cs="Calibri"/>
                <w:b w:val="0"/>
              </w:rPr>
              <w:t>k</w:t>
            </w:r>
            <w:r w:rsidR="00702B2B">
              <w:rPr>
                <w:rFonts w:eastAsiaTheme="minorEastAsia" w:cs="Calibri"/>
                <w:b w:val="0"/>
              </w:rPr>
              <w:t xml:space="preserve"> </w:t>
            </w:r>
            <w:r w:rsidRPr="00881D39">
              <w:rPr>
                <w:rFonts w:eastAsiaTheme="minorEastAsia" w:cs="Calibri"/>
                <w:b w:val="0"/>
              </w:rPr>
              <w:t>9-48 (non-validated)</w:t>
            </w:r>
            <w:r w:rsidR="00702B2B">
              <w:rPr>
                <w:rFonts w:eastAsiaTheme="minorEastAsia" w:cs="Calibri"/>
                <w:b w:val="0"/>
              </w:rPr>
              <w:t>.</w:t>
            </w:r>
          </w:p>
          <w:p w:rsidR="00890214" w:rsidRPr="00554906" w:rsidRDefault="00890214" w:rsidP="00890214">
            <w:pPr>
              <w:pStyle w:val="Tableheading"/>
              <w:autoSpaceDE w:val="0"/>
              <w:autoSpaceDN w:val="0"/>
              <w:adjustRightInd w:val="0"/>
              <w:rPr>
                <w:rFonts w:eastAsiaTheme="minorEastAsia" w:cs="Calibri"/>
                <w:b w:val="0"/>
                <w:i/>
                <w:iCs/>
              </w:rPr>
            </w:pPr>
            <w:r w:rsidRPr="00554906">
              <w:rPr>
                <w:rFonts w:eastAsiaTheme="minorEastAsia" w:cs="Calibri"/>
                <w:b w:val="0"/>
                <w:i/>
                <w:iCs/>
              </w:rPr>
              <w:lastRenderedPageBreak/>
              <w:t>Secondary</w:t>
            </w:r>
          </w:p>
          <w:p w:rsidR="00890214" w:rsidRPr="00881D39" w:rsidRDefault="00890214" w:rsidP="00890214">
            <w:pPr>
              <w:pStyle w:val="Tableheading"/>
              <w:autoSpaceDE w:val="0"/>
              <w:autoSpaceDN w:val="0"/>
              <w:adjustRightInd w:val="0"/>
              <w:rPr>
                <w:rFonts w:eastAsiaTheme="minorEastAsia" w:cs="Calibri"/>
                <w:b w:val="0"/>
              </w:rPr>
            </w:pPr>
            <w:r w:rsidRPr="00881D39">
              <w:rPr>
                <w:rFonts w:eastAsiaTheme="minorEastAsia" w:cs="Calibri"/>
                <w:b w:val="0"/>
              </w:rPr>
              <w:t>CAR, w</w:t>
            </w:r>
            <w:r w:rsidR="00702B2B">
              <w:rPr>
                <w:rFonts w:eastAsiaTheme="minorEastAsia" w:cs="Calibri"/>
                <w:b w:val="0"/>
              </w:rPr>
              <w:t>ee</w:t>
            </w:r>
            <w:r w:rsidRPr="00881D39">
              <w:rPr>
                <w:rFonts w:eastAsiaTheme="minorEastAsia" w:cs="Calibri"/>
                <w:b w:val="0"/>
              </w:rPr>
              <w:t>k</w:t>
            </w:r>
            <w:r w:rsidR="00702B2B">
              <w:rPr>
                <w:rFonts w:eastAsiaTheme="minorEastAsia" w:cs="Calibri"/>
                <w:b w:val="0"/>
              </w:rPr>
              <w:t xml:space="preserve"> </w:t>
            </w:r>
            <w:r w:rsidRPr="00881D39">
              <w:rPr>
                <w:rFonts w:eastAsiaTheme="minorEastAsia" w:cs="Calibri"/>
                <w:b w:val="0"/>
              </w:rPr>
              <w:t>9-12</w:t>
            </w:r>
            <w:r w:rsidR="00702B2B">
              <w:rPr>
                <w:rFonts w:eastAsiaTheme="minorEastAsia" w:cs="Calibri"/>
                <w:b w:val="0"/>
              </w:rPr>
              <w:t>.</w:t>
            </w:r>
          </w:p>
          <w:p w:rsidR="00890214" w:rsidRPr="00890214" w:rsidRDefault="00890214" w:rsidP="00890214">
            <w:pPr>
              <w:pStyle w:val="Tableheading"/>
              <w:autoSpaceDE w:val="0"/>
              <w:autoSpaceDN w:val="0"/>
              <w:adjustRightInd w:val="0"/>
              <w:rPr>
                <w:rFonts w:eastAsiaTheme="minorEastAsia" w:cs="Calibri"/>
                <w:b w:val="0"/>
                <w:u w:val="single"/>
              </w:rPr>
            </w:pPr>
            <w:r>
              <w:rPr>
                <w:rFonts w:eastAsiaTheme="minorEastAsia" w:cs="Calibri"/>
                <w:b w:val="0"/>
                <w:u w:val="single"/>
              </w:rPr>
              <w:t>Safety</w:t>
            </w:r>
          </w:p>
          <w:p w:rsidR="001835D1" w:rsidRPr="00320A67" w:rsidRDefault="00890214" w:rsidP="00890214">
            <w:pPr>
              <w:pStyle w:val="Tableheading"/>
              <w:autoSpaceDE w:val="0"/>
              <w:autoSpaceDN w:val="0"/>
              <w:adjustRightInd w:val="0"/>
              <w:rPr>
                <w:rFonts w:eastAsiaTheme="minorEastAsia" w:cs="Calibri"/>
                <w:b w:val="0"/>
                <w:u w:val="single"/>
              </w:rPr>
            </w:pPr>
            <w:r w:rsidRPr="00881D39">
              <w:rPr>
                <w:rFonts w:eastAsiaTheme="minorEastAsia" w:cs="Calibri"/>
                <w:b w:val="0"/>
              </w:rPr>
              <w:t>Depression</w:t>
            </w:r>
            <w:r w:rsidR="00702B2B">
              <w:rPr>
                <w:rFonts w:eastAsiaTheme="minorEastAsia" w:cs="Calibri"/>
                <w:b w:val="0"/>
              </w:rPr>
              <w:t xml:space="preserve">, </w:t>
            </w:r>
            <w:r w:rsidRPr="00881D39">
              <w:rPr>
                <w:rFonts w:eastAsiaTheme="minorEastAsia" w:cs="Calibri"/>
                <w:b w:val="0"/>
              </w:rPr>
              <w:t>cardiovascular and cerebrovascular events</w:t>
            </w:r>
            <w:r w:rsidR="00702B2B">
              <w:rPr>
                <w:rFonts w:eastAsiaTheme="minorEastAsia" w:cs="Calibri"/>
                <w:b w:val="0"/>
              </w:rPr>
              <w:t>.</w:t>
            </w:r>
          </w:p>
        </w:tc>
      </w:tr>
      <w:tr w:rsidR="003A409B"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1835D1" w:rsidRPr="001E2154" w:rsidRDefault="00C3743C" w:rsidP="00693DA2">
            <w:pPr>
              <w:pStyle w:val="Tableheading"/>
              <w:autoSpaceDE w:val="0"/>
              <w:autoSpaceDN w:val="0"/>
              <w:adjustRightInd w:val="0"/>
              <w:rPr>
                <w:rFonts w:eastAsiaTheme="minorEastAsia" w:cs="Calibri"/>
                <w:b w:val="0"/>
              </w:rPr>
            </w:pPr>
            <w:r>
              <w:rPr>
                <w:rFonts w:eastAsiaTheme="minorEastAsia" w:cs="Calibri"/>
                <w:b w:val="0"/>
              </w:rPr>
              <w:t>Hurt 2018</w:t>
            </w:r>
          </w:p>
        </w:tc>
        <w:tc>
          <w:tcPr>
            <w:tcW w:w="379" w:type="pct"/>
            <w:shd w:val="clear" w:color="auto" w:fill="auto"/>
          </w:tcPr>
          <w:p w:rsidR="001835D1" w:rsidRPr="001E2154" w:rsidRDefault="00C3743C"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1835D1" w:rsidRPr="001E2154" w:rsidRDefault="00C3743C"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rsidR="001835D1" w:rsidRDefault="00C3743C" w:rsidP="00693DA2">
            <w:pPr>
              <w:pStyle w:val="Tableheading"/>
              <w:autoSpaceDE w:val="0"/>
              <w:autoSpaceDN w:val="0"/>
              <w:adjustRightInd w:val="0"/>
              <w:rPr>
                <w:rFonts w:eastAsiaTheme="minorEastAsia" w:cs="Calibri"/>
                <w:b w:val="0"/>
              </w:rPr>
            </w:pPr>
            <w:r>
              <w:rPr>
                <w:rFonts w:eastAsiaTheme="minorEastAsia" w:cs="Calibri"/>
                <w:b w:val="0"/>
              </w:rPr>
              <w:t>33</w:t>
            </w:r>
          </w:p>
          <w:p w:rsidR="00FF6D7E" w:rsidRDefault="00FF6D7E" w:rsidP="00693DA2">
            <w:pPr>
              <w:pStyle w:val="Tableheading"/>
              <w:autoSpaceDE w:val="0"/>
              <w:autoSpaceDN w:val="0"/>
              <w:adjustRightInd w:val="0"/>
              <w:rPr>
                <w:rFonts w:eastAsiaTheme="minorEastAsia" w:cs="Calibri"/>
                <w:b w:val="0"/>
              </w:rPr>
            </w:pPr>
            <w:r>
              <w:rPr>
                <w:rFonts w:eastAsiaTheme="minorEastAsia" w:cs="Calibri"/>
                <w:b w:val="0"/>
              </w:rPr>
              <w:t xml:space="preserve">n= </w:t>
            </w:r>
            <w:r w:rsidR="00C42B22">
              <w:rPr>
                <w:rFonts w:eastAsiaTheme="minorEastAsia" w:cs="Calibri"/>
                <w:b w:val="0"/>
              </w:rPr>
              <w:t xml:space="preserve">16 </w:t>
            </w:r>
            <w:r>
              <w:rPr>
                <w:rFonts w:eastAsiaTheme="minorEastAsia" w:cs="Calibri"/>
                <w:b w:val="0"/>
              </w:rPr>
              <w:t>(varenicline)</w:t>
            </w:r>
          </w:p>
          <w:p w:rsidR="00FF6D7E" w:rsidRPr="001E2154" w:rsidRDefault="00FF6D7E" w:rsidP="00693DA2">
            <w:pPr>
              <w:pStyle w:val="Tableheading"/>
              <w:autoSpaceDE w:val="0"/>
              <w:autoSpaceDN w:val="0"/>
              <w:adjustRightInd w:val="0"/>
              <w:rPr>
                <w:rFonts w:eastAsiaTheme="minorEastAsia" w:cs="Calibri"/>
                <w:b w:val="0"/>
              </w:rPr>
            </w:pPr>
            <w:r>
              <w:rPr>
                <w:rFonts w:eastAsiaTheme="minorEastAsia" w:cs="Calibri"/>
                <w:b w:val="0"/>
              </w:rPr>
              <w:t>n=</w:t>
            </w:r>
            <w:r w:rsidR="00C42B22">
              <w:rPr>
                <w:rFonts w:eastAsiaTheme="minorEastAsia" w:cs="Calibri"/>
                <w:b w:val="0"/>
              </w:rPr>
              <w:t>17</w:t>
            </w:r>
            <w:r>
              <w:rPr>
                <w:rFonts w:eastAsiaTheme="minorEastAsia" w:cs="Calibri"/>
                <w:b w:val="0"/>
              </w:rPr>
              <w:t xml:space="preserve"> (placebo)</w:t>
            </w:r>
          </w:p>
        </w:tc>
        <w:tc>
          <w:tcPr>
            <w:tcW w:w="1142" w:type="pct"/>
            <w:shd w:val="clear" w:color="auto" w:fill="auto"/>
            <w:tcMar>
              <w:left w:w="28" w:type="dxa"/>
              <w:right w:w="28" w:type="dxa"/>
            </w:tcMar>
          </w:tcPr>
          <w:p w:rsidR="00C3743C" w:rsidRPr="00C3743C" w:rsidRDefault="00C3743C" w:rsidP="00C3743C">
            <w:pPr>
              <w:pStyle w:val="Tableheading"/>
              <w:autoSpaceDE w:val="0"/>
              <w:autoSpaceDN w:val="0"/>
              <w:adjustRightInd w:val="0"/>
              <w:rPr>
                <w:rFonts w:eastAsiaTheme="minorEastAsia" w:cs="Calibri"/>
                <w:b w:val="0"/>
              </w:rPr>
            </w:pPr>
            <w:r w:rsidRPr="00C3743C">
              <w:rPr>
                <w:rFonts w:eastAsiaTheme="minorEastAsia" w:cs="Calibri"/>
                <w:b w:val="0"/>
              </w:rPr>
              <w:t>Adult (18 yr+) smokers ( 10 or more CPD for 6 months or more) motivated to quit with alcohol dependence or abuse as assessed by the Mini-International Neuropsychiatric Interview and the physician investigator, currently drinking; and 5)</w:t>
            </w:r>
          </w:p>
          <w:p w:rsidR="00C3743C" w:rsidRPr="006A6B9B" w:rsidRDefault="00C3743C" w:rsidP="00C3743C">
            <w:pPr>
              <w:pStyle w:val="Tableheading"/>
              <w:autoSpaceDE w:val="0"/>
              <w:autoSpaceDN w:val="0"/>
              <w:adjustRightInd w:val="0"/>
              <w:rPr>
                <w:rFonts w:eastAsiaTheme="minorEastAsia" w:cs="Calibri"/>
                <w:b w:val="0"/>
                <w:u w:val="single"/>
              </w:rPr>
            </w:pPr>
            <w:r w:rsidRPr="006A6B9B">
              <w:rPr>
                <w:rFonts w:eastAsiaTheme="minorEastAsia" w:cs="Calibri"/>
                <w:b w:val="0"/>
                <w:u w:val="single"/>
              </w:rPr>
              <w:t>Exclusions:</w:t>
            </w:r>
          </w:p>
          <w:p w:rsidR="001835D1" w:rsidRPr="001E2154" w:rsidRDefault="00C3743C" w:rsidP="00C3743C">
            <w:pPr>
              <w:pStyle w:val="Tableheading"/>
              <w:autoSpaceDE w:val="0"/>
              <w:autoSpaceDN w:val="0"/>
              <w:adjustRightInd w:val="0"/>
              <w:rPr>
                <w:rFonts w:eastAsiaTheme="minorEastAsia" w:cs="Calibri"/>
                <w:b w:val="0"/>
              </w:rPr>
            </w:pPr>
            <w:r w:rsidRPr="00C3743C">
              <w:rPr>
                <w:rFonts w:eastAsiaTheme="minorEastAsia" w:cs="Calibri"/>
                <w:b w:val="0"/>
              </w:rPr>
              <w:t xml:space="preserve">Cardiac condition (angina, myocardial infarction, or coronary angioplasty within the past 3 months), untreated </w:t>
            </w:r>
            <w:r w:rsidRPr="00C3743C">
              <w:rPr>
                <w:rFonts w:eastAsiaTheme="minorEastAsia" w:cs="Calibri"/>
                <w:b w:val="0"/>
              </w:rPr>
              <w:lastRenderedPageBreak/>
              <w:t xml:space="preserve">cardiac dysrhythmia, kidney disease, or cancer;  psychosis, bipolar disorder, or unstable or untreated moderate or severe depression as assessed by the Center for Epidemiologic Studies-Depression scale , current nonspecific suicidal thoughts as defined by the Columbia-Suicide Severity Rating Scale or had ever made a suicide attempt, varenicline allergy, another member of their household participating in the study; undergoing current treatment with another investigational drug within the past 30 days, untreated hypertension or a baseline blood pressure higher than 180mm Hg systolic or 100mm Hg diastolic, currently using a tobacco-dependence treatment involving a drug, </w:t>
            </w:r>
            <w:r w:rsidR="009E7142" w:rsidRPr="00C3743C">
              <w:rPr>
                <w:rFonts w:eastAsiaTheme="minorEastAsia" w:cs="Calibri"/>
                <w:b w:val="0"/>
              </w:rPr>
              <w:t>behavioural</w:t>
            </w:r>
            <w:r w:rsidRPr="00C3743C">
              <w:rPr>
                <w:rFonts w:eastAsiaTheme="minorEastAsia" w:cs="Calibri"/>
                <w:b w:val="0"/>
              </w:rPr>
              <w:t xml:space="preserve"> intervention, or both; concurrently using another nicotine product other than cigarettes, women of childbearing potential or women who were pregnant, breastfeeding, or likely to become pregnant and who were not willing to use contraception during the medication phase of the trial .</w:t>
            </w:r>
          </w:p>
        </w:tc>
        <w:tc>
          <w:tcPr>
            <w:tcW w:w="808" w:type="pct"/>
            <w:shd w:val="clear" w:color="auto" w:fill="auto"/>
          </w:tcPr>
          <w:p w:rsidR="00FF6D7E" w:rsidRPr="00FF6D7E" w:rsidRDefault="00FF6D7E" w:rsidP="00C324F3">
            <w:pPr>
              <w:pStyle w:val="Tablewriting"/>
              <w:keepNext/>
              <w:numPr>
                <w:ilvl w:val="0"/>
                <w:numId w:val="8"/>
              </w:numPr>
              <w:rPr>
                <w:rFonts w:eastAsia="MS Mincho"/>
              </w:rPr>
            </w:pPr>
            <w:r w:rsidRPr="00FF6D7E">
              <w:rPr>
                <w:rFonts w:eastAsia="MS Mincho"/>
              </w:rPr>
              <w:lastRenderedPageBreak/>
              <w:t>Varenicline, 1</w:t>
            </w:r>
            <w:r w:rsidR="00FA4314">
              <w:rPr>
                <w:rFonts w:eastAsia="MS Mincho"/>
              </w:rPr>
              <w:t xml:space="preserve"> </w:t>
            </w:r>
            <w:r w:rsidRPr="00FF6D7E">
              <w:rPr>
                <w:rFonts w:eastAsia="MS Mincho"/>
              </w:rPr>
              <w:t>mg bd, 12</w:t>
            </w:r>
            <w:r w:rsidR="00A1651B">
              <w:rPr>
                <w:rFonts w:eastAsia="MS Mincho"/>
              </w:rPr>
              <w:t xml:space="preserve"> </w:t>
            </w:r>
            <w:r w:rsidRPr="00FF6D7E">
              <w:rPr>
                <w:rFonts w:eastAsia="MS Mincho"/>
              </w:rPr>
              <w:t>w</w:t>
            </w:r>
            <w:r w:rsidR="00A1651B">
              <w:rPr>
                <w:rFonts w:eastAsia="MS Mincho"/>
              </w:rPr>
              <w:t>ee</w:t>
            </w:r>
            <w:r w:rsidRPr="00FF6D7E">
              <w:rPr>
                <w:rFonts w:eastAsia="MS Mincho"/>
              </w:rPr>
              <w:t>ks, titrated dose 1 w</w:t>
            </w:r>
            <w:r w:rsidR="00A1651B">
              <w:rPr>
                <w:rFonts w:eastAsia="MS Mincho"/>
              </w:rPr>
              <w:t>ee</w:t>
            </w:r>
            <w:r w:rsidRPr="00FF6D7E">
              <w:rPr>
                <w:rFonts w:eastAsia="MS Mincho"/>
              </w:rPr>
              <w:t>k before quit date</w:t>
            </w:r>
          </w:p>
          <w:p w:rsidR="00FF6D7E" w:rsidRPr="00FF6D7E" w:rsidRDefault="00FF6D7E" w:rsidP="00C324F3">
            <w:pPr>
              <w:pStyle w:val="Tablewriting"/>
              <w:keepNext/>
              <w:numPr>
                <w:ilvl w:val="0"/>
                <w:numId w:val="8"/>
              </w:numPr>
              <w:rPr>
                <w:rFonts w:eastAsia="MS Mincho"/>
              </w:rPr>
            </w:pPr>
            <w:r w:rsidRPr="00FF6D7E">
              <w:rPr>
                <w:rFonts w:eastAsia="MS Mincho"/>
              </w:rPr>
              <w:t>Placebo</w:t>
            </w:r>
          </w:p>
          <w:p w:rsidR="00FF6D7E" w:rsidRPr="00FF6D7E" w:rsidRDefault="00FF6D7E" w:rsidP="00FF725F">
            <w:pPr>
              <w:pStyle w:val="Tablewriting"/>
              <w:keepNext/>
              <w:rPr>
                <w:rFonts w:eastAsia="MS Mincho"/>
              </w:rPr>
            </w:pPr>
            <w:r w:rsidRPr="00554906">
              <w:rPr>
                <w:rFonts w:eastAsia="MS Mincho"/>
                <w:u w:val="single"/>
              </w:rPr>
              <w:t>Common elements</w:t>
            </w:r>
            <w:r w:rsidRPr="00FF6D7E">
              <w:rPr>
                <w:rFonts w:eastAsia="MS Mincho"/>
              </w:rPr>
              <w:t>:</w:t>
            </w:r>
          </w:p>
          <w:p w:rsidR="001835D1" w:rsidRPr="00D11171" w:rsidRDefault="00FF6D7E" w:rsidP="00C324F3">
            <w:pPr>
              <w:pStyle w:val="Tablewriting"/>
              <w:keepNext/>
              <w:numPr>
                <w:ilvl w:val="0"/>
                <w:numId w:val="8"/>
              </w:numPr>
              <w:rPr>
                <w:rFonts w:eastAsia="MS Mincho"/>
              </w:rPr>
            </w:pPr>
            <w:r w:rsidRPr="00FF6D7E">
              <w:rPr>
                <w:rFonts w:eastAsia="MS Mincho"/>
              </w:rPr>
              <w:t>Brief behavioural counselling during study visits (w</w:t>
            </w:r>
            <w:r w:rsidR="00A1651B">
              <w:rPr>
                <w:rFonts w:eastAsia="MS Mincho"/>
              </w:rPr>
              <w:t>ee</w:t>
            </w:r>
            <w:r w:rsidRPr="00FF6D7E">
              <w:rPr>
                <w:rFonts w:eastAsia="MS Mincho"/>
              </w:rPr>
              <w:t>k 1-4, then q2w w</w:t>
            </w:r>
            <w:r w:rsidR="00A1651B">
              <w:rPr>
                <w:rFonts w:eastAsia="MS Mincho"/>
              </w:rPr>
              <w:t>ee</w:t>
            </w:r>
            <w:r w:rsidRPr="00FF6D7E">
              <w:rPr>
                <w:rFonts w:eastAsia="MS Mincho"/>
              </w:rPr>
              <w:t>ks 6-12</w:t>
            </w:r>
            <w:r w:rsidR="006E016C">
              <w:rPr>
                <w:rFonts w:eastAsia="MS Mincho"/>
              </w:rPr>
              <w:t>.</w:t>
            </w:r>
          </w:p>
        </w:tc>
        <w:tc>
          <w:tcPr>
            <w:tcW w:w="1094" w:type="pct"/>
            <w:shd w:val="clear" w:color="auto" w:fill="auto"/>
            <w:tcMar>
              <w:left w:w="28" w:type="dxa"/>
              <w:right w:w="28" w:type="dxa"/>
            </w:tcMar>
          </w:tcPr>
          <w:p w:rsidR="00FF6D7E" w:rsidRPr="00FF6D7E" w:rsidRDefault="00FF6D7E" w:rsidP="00FF6D7E">
            <w:pPr>
              <w:pStyle w:val="Tableheading"/>
              <w:autoSpaceDE w:val="0"/>
              <w:autoSpaceDN w:val="0"/>
              <w:adjustRightInd w:val="0"/>
              <w:rPr>
                <w:rFonts w:eastAsiaTheme="minorEastAsia" w:cs="Calibri"/>
                <w:b w:val="0"/>
                <w:u w:val="single"/>
              </w:rPr>
            </w:pPr>
            <w:r w:rsidRPr="00FF6D7E">
              <w:rPr>
                <w:rFonts w:eastAsiaTheme="minorEastAsia" w:cs="Calibri"/>
                <w:b w:val="0"/>
                <w:u w:val="single"/>
              </w:rPr>
              <w:t>Efficacy:</w:t>
            </w:r>
          </w:p>
          <w:p w:rsidR="00FF6D7E" w:rsidRPr="00554906" w:rsidRDefault="00FF6D7E" w:rsidP="00FF6D7E">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rsidR="00FF6D7E" w:rsidRPr="00881D39" w:rsidRDefault="00FF6D7E" w:rsidP="00FF6D7E">
            <w:pPr>
              <w:pStyle w:val="Tableheading"/>
              <w:autoSpaceDE w:val="0"/>
              <w:autoSpaceDN w:val="0"/>
              <w:adjustRightInd w:val="0"/>
              <w:rPr>
                <w:rFonts w:eastAsiaTheme="minorEastAsia" w:cs="Calibri"/>
                <w:b w:val="0"/>
              </w:rPr>
            </w:pPr>
            <w:r w:rsidRPr="00881D39">
              <w:rPr>
                <w:rFonts w:eastAsiaTheme="minorEastAsia" w:cs="Calibri"/>
                <w:b w:val="0"/>
              </w:rPr>
              <w:t>7-day PPA, CO-verified (&lt;=8ppm), 12 w</w:t>
            </w:r>
            <w:r w:rsidR="0040273F">
              <w:rPr>
                <w:rFonts w:eastAsiaTheme="minorEastAsia" w:cs="Calibri"/>
                <w:b w:val="0"/>
              </w:rPr>
              <w:t>ee</w:t>
            </w:r>
            <w:r w:rsidRPr="00881D39">
              <w:rPr>
                <w:rFonts w:eastAsiaTheme="minorEastAsia" w:cs="Calibri"/>
                <w:b w:val="0"/>
              </w:rPr>
              <w:t>ks</w:t>
            </w:r>
            <w:r w:rsidR="0040273F">
              <w:rPr>
                <w:rFonts w:eastAsiaTheme="minorEastAsia" w:cs="Calibri"/>
                <w:b w:val="0"/>
              </w:rPr>
              <w:t>.</w:t>
            </w:r>
          </w:p>
          <w:p w:rsidR="00FF6D7E" w:rsidRPr="00554906" w:rsidRDefault="00FF6D7E" w:rsidP="00FF6D7E">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rsidR="00FF6D7E" w:rsidRPr="00881D39" w:rsidRDefault="00FF6D7E" w:rsidP="00FF6D7E">
            <w:pPr>
              <w:pStyle w:val="Tableheading"/>
              <w:autoSpaceDE w:val="0"/>
              <w:autoSpaceDN w:val="0"/>
              <w:adjustRightInd w:val="0"/>
              <w:rPr>
                <w:rFonts w:eastAsiaTheme="minorEastAsia" w:cs="Calibri"/>
                <w:b w:val="0"/>
              </w:rPr>
            </w:pPr>
            <w:r w:rsidRPr="00881D39">
              <w:rPr>
                <w:rFonts w:eastAsiaTheme="minorEastAsia" w:cs="Calibri"/>
                <w:b w:val="0"/>
              </w:rPr>
              <w:t>7-day PPA, CO-verified (&lt;=8ppm), 24 weeks</w:t>
            </w:r>
            <w:r w:rsidR="0040273F">
              <w:rPr>
                <w:rFonts w:eastAsiaTheme="minorEastAsia" w:cs="Calibri"/>
                <w:b w:val="0"/>
              </w:rPr>
              <w:t>.</w:t>
            </w:r>
          </w:p>
          <w:p w:rsidR="00FF6D7E" w:rsidRPr="00881D39" w:rsidRDefault="00FF6D7E" w:rsidP="00FF6D7E">
            <w:pPr>
              <w:pStyle w:val="Tableheading"/>
              <w:autoSpaceDE w:val="0"/>
              <w:autoSpaceDN w:val="0"/>
              <w:adjustRightInd w:val="0"/>
              <w:rPr>
                <w:rFonts w:eastAsiaTheme="minorEastAsia" w:cs="Calibri"/>
                <w:b w:val="0"/>
              </w:rPr>
            </w:pPr>
            <w:r w:rsidRPr="00881D39">
              <w:rPr>
                <w:rFonts w:eastAsiaTheme="minorEastAsia" w:cs="Calibri"/>
                <w:b w:val="0"/>
              </w:rPr>
              <w:t>Prolonged smoking abstinence, 12</w:t>
            </w:r>
            <w:r w:rsidR="0040273F">
              <w:rPr>
                <w:rFonts w:eastAsiaTheme="minorEastAsia" w:cs="Calibri"/>
                <w:b w:val="0"/>
              </w:rPr>
              <w:t xml:space="preserve"> </w:t>
            </w:r>
            <w:r w:rsidRPr="00881D39">
              <w:rPr>
                <w:rFonts w:eastAsiaTheme="minorEastAsia" w:cs="Calibri"/>
                <w:b w:val="0"/>
              </w:rPr>
              <w:t>w</w:t>
            </w:r>
            <w:r w:rsidR="0040273F">
              <w:rPr>
                <w:rFonts w:eastAsiaTheme="minorEastAsia" w:cs="Calibri"/>
                <w:b w:val="0"/>
              </w:rPr>
              <w:t>ee</w:t>
            </w:r>
            <w:r w:rsidRPr="00881D39">
              <w:rPr>
                <w:rFonts w:eastAsiaTheme="minorEastAsia" w:cs="Calibri"/>
                <w:b w:val="0"/>
              </w:rPr>
              <w:t>ks, 24 w</w:t>
            </w:r>
            <w:r w:rsidR="0040273F">
              <w:rPr>
                <w:rFonts w:eastAsiaTheme="minorEastAsia" w:cs="Calibri"/>
                <w:b w:val="0"/>
              </w:rPr>
              <w:t>ee</w:t>
            </w:r>
            <w:r w:rsidRPr="00881D39">
              <w:rPr>
                <w:rFonts w:eastAsiaTheme="minorEastAsia" w:cs="Calibri"/>
                <w:b w:val="0"/>
              </w:rPr>
              <w:t>ks*</w:t>
            </w:r>
          </w:p>
          <w:p w:rsidR="001835D1" w:rsidRPr="00320A67" w:rsidRDefault="00FF6D7E" w:rsidP="00FF6D7E">
            <w:pPr>
              <w:pStyle w:val="Tableheading"/>
              <w:autoSpaceDE w:val="0"/>
              <w:autoSpaceDN w:val="0"/>
              <w:adjustRightInd w:val="0"/>
              <w:rPr>
                <w:rFonts w:eastAsiaTheme="minorEastAsia" w:cs="Calibri"/>
                <w:b w:val="0"/>
                <w:u w:val="single"/>
              </w:rPr>
            </w:pPr>
            <w:r w:rsidRPr="00881D39">
              <w:rPr>
                <w:rFonts w:eastAsiaTheme="minorEastAsia" w:cs="Calibri"/>
                <w:b w:val="0"/>
              </w:rPr>
              <w:lastRenderedPageBreak/>
              <w:t>*answer of “no” to both questions: 1) Since 14 days after your target quit date, have you used any tobacco on each of 7 consecutive days? and 2) Since 14 days after your target quit date, have you used any tobacco on at least 1 day in each of 2 consecutive weeks?</w:t>
            </w:r>
          </w:p>
        </w:tc>
      </w:tr>
      <w:tr w:rsidR="003A409B"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1835D1" w:rsidRPr="001E2154" w:rsidRDefault="00C42B22" w:rsidP="00693DA2">
            <w:pPr>
              <w:pStyle w:val="Tableheading"/>
              <w:autoSpaceDE w:val="0"/>
              <w:autoSpaceDN w:val="0"/>
              <w:adjustRightInd w:val="0"/>
              <w:rPr>
                <w:rFonts w:eastAsiaTheme="minorEastAsia" w:cs="Calibri"/>
                <w:b w:val="0"/>
              </w:rPr>
            </w:pPr>
            <w:r>
              <w:rPr>
                <w:rFonts w:eastAsiaTheme="minorEastAsia" w:cs="Calibri"/>
                <w:b w:val="0"/>
              </w:rPr>
              <w:t>Ellerbeck 2018</w:t>
            </w:r>
          </w:p>
        </w:tc>
        <w:tc>
          <w:tcPr>
            <w:tcW w:w="379" w:type="pct"/>
            <w:shd w:val="clear" w:color="auto" w:fill="auto"/>
          </w:tcPr>
          <w:p w:rsidR="001835D1" w:rsidRPr="001E2154" w:rsidRDefault="00C42B22"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1835D1" w:rsidRPr="001E2154" w:rsidRDefault="003C44D2"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rsidR="001835D1" w:rsidRDefault="003C44D2" w:rsidP="00693DA2">
            <w:pPr>
              <w:pStyle w:val="Tableheading"/>
              <w:autoSpaceDE w:val="0"/>
              <w:autoSpaceDN w:val="0"/>
              <w:adjustRightInd w:val="0"/>
              <w:rPr>
                <w:rFonts w:eastAsiaTheme="minorEastAsia" w:cs="Calibri"/>
                <w:b w:val="0"/>
              </w:rPr>
            </w:pPr>
            <w:r>
              <w:rPr>
                <w:rFonts w:eastAsiaTheme="minorEastAsia" w:cs="Calibri"/>
                <w:b w:val="0"/>
              </w:rPr>
              <w:t>398</w:t>
            </w:r>
          </w:p>
          <w:p w:rsidR="00386FCF" w:rsidRDefault="00386FCF" w:rsidP="00693DA2">
            <w:pPr>
              <w:pStyle w:val="Tableheading"/>
              <w:autoSpaceDE w:val="0"/>
              <w:autoSpaceDN w:val="0"/>
              <w:adjustRightInd w:val="0"/>
              <w:rPr>
                <w:rFonts w:eastAsiaTheme="minorEastAsia" w:cs="Calibri"/>
                <w:b w:val="0"/>
              </w:rPr>
            </w:pPr>
            <w:r>
              <w:rPr>
                <w:rFonts w:eastAsiaTheme="minorEastAsia" w:cs="Calibri"/>
                <w:b w:val="0"/>
              </w:rPr>
              <w:t>n=</w:t>
            </w:r>
            <w:r w:rsidR="00681271">
              <w:rPr>
                <w:rFonts w:eastAsiaTheme="minorEastAsia" w:cs="Calibri"/>
                <w:b w:val="0"/>
              </w:rPr>
              <w:t>200</w:t>
            </w:r>
            <w:r w:rsidR="00E42941">
              <w:rPr>
                <w:rFonts w:eastAsiaTheme="minorEastAsia" w:cs="Calibri"/>
                <w:b w:val="0"/>
              </w:rPr>
              <w:t xml:space="preserve"> (NRT, 10wks)</w:t>
            </w:r>
          </w:p>
          <w:p w:rsidR="00E42941" w:rsidRPr="001E2154" w:rsidRDefault="00E42941" w:rsidP="00693DA2">
            <w:pPr>
              <w:pStyle w:val="Tableheading"/>
              <w:autoSpaceDE w:val="0"/>
              <w:autoSpaceDN w:val="0"/>
              <w:adjustRightInd w:val="0"/>
              <w:rPr>
                <w:rFonts w:eastAsiaTheme="minorEastAsia" w:cs="Calibri"/>
                <w:b w:val="0"/>
              </w:rPr>
            </w:pPr>
            <w:r>
              <w:rPr>
                <w:rFonts w:eastAsiaTheme="minorEastAsia" w:cs="Calibri"/>
                <w:b w:val="0"/>
              </w:rPr>
              <w:t>n=</w:t>
            </w:r>
            <w:r w:rsidR="00681271">
              <w:rPr>
                <w:rFonts w:eastAsiaTheme="minorEastAsia" w:cs="Calibri"/>
                <w:b w:val="0"/>
              </w:rPr>
              <w:t>198</w:t>
            </w:r>
            <w:r>
              <w:rPr>
                <w:rFonts w:eastAsiaTheme="minorEastAsia" w:cs="Calibri"/>
                <w:b w:val="0"/>
              </w:rPr>
              <w:t xml:space="preserve"> (NRT, 52wks)</w:t>
            </w:r>
          </w:p>
        </w:tc>
        <w:tc>
          <w:tcPr>
            <w:tcW w:w="1142" w:type="pct"/>
            <w:shd w:val="clear" w:color="auto" w:fill="auto"/>
            <w:tcMar>
              <w:left w:w="28" w:type="dxa"/>
              <w:right w:w="28" w:type="dxa"/>
            </w:tcMar>
          </w:tcPr>
          <w:p w:rsidR="003C44D2" w:rsidRPr="003C44D2" w:rsidRDefault="003C44D2" w:rsidP="003C44D2">
            <w:pPr>
              <w:pStyle w:val="Tableheading"/>
              <w:autoSpaceDE w:val="0"/>
              <w:autoSpaceDN w:val="0"/>
              <w:adjustRightInd w:val="0"/>
              <w:rPr>
                <w:rFonts w:eastAsiaTheme="minorEastAsia" w:cs="Calibri"/>
                <w:b w:val="0"/>
              </w:rPr>
            </w:pPr>
            <w:r w:rsidRPr="003C44D2">
              <w:rPr>
                <w:rFonts w:eastAsiaTheme="minorEastAsia" w:cs="Calibri"/>
                <w:b w:val="0"/>
              </w:rPr>
              <w:t>Adult smokers (&gt;4 daily for 25 or last 30 days) with physician diagnosed COPD from academic medical centres</w:t>
            </w:r>
          </w:p>
          <w:p w:rsidR="003C44D2" w:rsidRPr="003C44D2" w:rsidRDefault="003C44D2" w:rsidP="003C44D2">
            <w:pPr>
              <w:pStyle w:val="Tableheading"/>
              <w:autoSpaceDE w:val="0"/>
              <w:autoSpaceDN w:val="0"/>
              <w:adjustRightInd w:val="0"/>
              <w:rPr>
                <w:rFonts w:eastAsiaTheme="minorEastAsia" w:cs="Calibri"/>
                <w:b w:val="0"/>
              </w:rPr>
            </w:pPr>
            <w:r w:rsidRPr="003C44D2">
              <w:rPr>
                <w:rFonts w:eastAsiaTheme="minorEastAsia" w:cs="Calibri"/>
                <w:b w:val="0"/>
              </w:rPr>
              <w:t>Exclusions:</w:t>
            </w:r>
          </w:p>
          <w:p w:rsidR="001835D1" w:rsidRPr="001E2154" w:rsidRDefault="003C44D2" w:rsidP="003C44D2">
            <w:pPr>
              <w:pStyle w:val="Tableheading"/>
              <w:autoSpaceDE w:val="0"/>
              <w:autoSpaceDN w:val="0"/>
              <w:adjustRightInd w:val="0"/>
              <w:rPr>
                <w:rFonts w:eastAsiaTheme="minorEastAsia" w:cs="Calibri"/>
                <w:b w:val="0"/>
              </w:rPr>
            </w:pPr>
            <w:r w:rsidRPr="003C44D2">
              <w:rPr>
                <w:rFonts w:eastAsiaTheme="minorEastAsia" w:cs="Calibri"/>
                <w:b w:val="0"/>
              </w:rPr>
              <w:t xml:space="preserve">Pregnant or breastfeeding in next year, Terminal illness, long-term facility </w:t>
            </w:r>
            <w:r w:rsidRPr="003C44D2">
              <w:rPr>
                <w:rFonts w:eastAsiaTheme="minorEastAsia" w:cs="Calibri"/>
                <w:b w:val="0"/>
              </w:rPr>
              <w:lastRenderedPageBreak/>
              <w:t>resident, severe cognitive impairment, another household member in the study, no home address, hospitalised with MI or experiencing irregular heartbeat or increasing angina in last 30 days.</w:t>
            </w:r>
          </w:p>
        </w:tc>
        <w:tc>
          <w:tcPr>
            <w:tcW w:w="808" w:type="pct"/>
            <w:shd w:val="clear" w:color="auto" w:fill="auto"/>
          </w:tcPr>
          <w:p w:rsidR="003C44D2" w:rsidRPr="003C44D2" w:rsidRDefault="003C44D2" w:rsidP="00C324F3">
            <w:pPr>
              <w:pStyle w:val="Tablewriting"/>
              <w:keepNext/>
              <w:numPr>
                <w:ilvl w:val="0"/>
                <w:numId w:val="8"/>
              </w:numPr>
              <w:rPr>
                <w:rFonts w:eastAsia="MS Mincho"/>
              </w:rPr>
            </w:pPr>
            <w:r w:rsidRPr="003C44D2">
              <w:rPr>
                <w:rFonts w:eastAsia="MS Mincho"/>
              </w:rPr>
              <w:lastRenderedPageBreak/>
              <w:t>Combination NRT (patch and gum/lozenge) for 10 weeks and 4 follow-</w:t>
            </w:r>
            <w:r w:rsidRPr="003C44D2">
              <w:rPr>
                <w:rFonts w:eastAsia="MS Mincho"/>
              </w:rPr>
              <w:lastRenderedPageBreak/>
              <w:t xml:space="preserve">up </w:t>
            </w:r>
            <w:r w:rsidR="009E7142" w:rsidRPr="003C44D2">
              <w:rPr>
                <w:rFonts w:eastAsia="MS Mincho"/>
              </w:rPr>
              <w:t>counselling</w:t>
            </w:r>
            <w:r w:rsidRPr="003C44D2">
              <w:rPr>
                <w:rFonts w:eastAsia="MS Mincho"/>
              </w:rPr>
              <w:t xml:space="preserve"> sessions</w:t>
            </w:r>
          </w:p>
          <w:p w:rsidR="003C44D2" w:rsidRPr="003C44D2" w:rsidRDefault="003C44D2" w:rsidP="00C324F3">
            <w:pPr>
              <w:pStyle w:val="Tablewriting"/>
              <w:keepNext/>
              <w:numPr>
                <w:ilvl w:val="0"/>
                <w:numId w:val="8"/>
              </w:numPr>
              <w:rPr>
                <w:rFonts w:eastAsia="MS Mincho"/>
              </w:rPr>
            </w:pPr>
            <w:r w:rsidRPr="003C44D2">
              <w:rPr>
                <w:rFonts w:eastAsia="MS Mincho"/>
              </w:rPr>
              <w:t xml:space="preserve">Combination NRT (patch and gum/lozenge) for 52 weeks and 6 follow-up </w:t>
            </w:r>
            <w:r w:rsidR="009E7142" w:rsidRPr="003C44D2">
              <w:rPr>
                <w:rFonts w:eastAsia="MS Mincho"/>
              </w:rPr>
              <w:t>counselling</w:t>
            </w:r>
            <w:r w:rsidRPr="003C44D2">
              <w:rPr>
                <w:rFonts w:eastAsia="MS Mincho"/>
              </w:rPr>
              <w:t xml:space="preserve"> sessions</w:t>
            </w:r>
          </w:p>
          <w:p w:rsidR="001835D1" w:rsidRPr="00D11171" w:rsidRDefault="003C44D2" w:rsidP="00FF725F">
            <w:pPr>
              <w:pStyle w:val="Tablewriting"/>
              <w:keepNext/>
              <w:ind w:left="360"/>
              <w:rPr>
                <w:rFonts w:eastAsia="MS Mincho"/>
              </w:rPr>
            </w:pPr>
            <w:r w:rsidRPr="003C44D2">
              <w:rPr>
                <w:rFonts w:eastAsia="MS Mincho"/>
              </w:rPr>
              <w:t>*counselling included motivational techniques, setting a quit date and personalised quit plans</w:t>
            </w:r>
          </w:p>
        </w:tc>
        <w:tc>
          <w:tcPr>
            <w:tcW w:w="1094" w:type="pct"/>
            <w:shd w:val="clear" w:color="auto" w:fill="auto"/>
            <w:tcMar>
              <w:left w:w="28" w:type="dxa"/>
              <w:right w:w="28" w:type="dxa"/>
            </w:tcMar>
          </w:tcPr>
          <w:p w:rsidR="00386FCF" w:rsidRPr="00386FCF" w:rsidRDefault="00386FCF" w:rsidP="00386FCF">
            <w:pPr>
              <w:pStyle w:val="Tableheading"/>
              <w:autoSpaceDE w:val="0"/>
              <w:autoSpaceDN w:val="0"/>
              <w:adjustRightInd w:val="0"/>
              <w:rPr>
                <w:rFonts w:eastAsiaTheme="minorEastAsia" w:cs="Calibri"/>
                <w:b w:val="0"/>
                <w:u w:val="single"/>
              </w:rPr>
            </w:pPr>
            <w:r w:rsidRPr="00386FCF">
              <w:rPr>
                <w:rFonts w:eastAsiaTheme="minorEastAsia" w:cs="Calibri"/>
                <w:b w:val="0"/>
                <w:u w:val="single"/>
              </w:rPr>
              <w:lastRenderedPageBreak/>
              <w:t>Efficacy</w:t>
            </w:r>
          </w:p>
          <w:p w:rsidR="0040273F" w:rsidRDefault="00386FCF" w:rsidP="00386FCF">
            <w:pPr>
              <w:pStyle w:val="Tableheading"/>
              <w:autoSpaceDE w:val="0"/>
              <w:autoSpaceDN w:val="0"/>
              <w:adjustRightInd w:val="0"/>
              <w:rPr>
                <w:rFonts w:eastAsiaTheme="minorEastAsia" w:cs="Calibri"/>
                <w:b w:val="0"/>
              </w:rPr>
            </w:pPr>
            <w:r w:rsidRPr="00554906">
              <w:rPr>
                <w:rFonts w:eastAsiaTheme="minorEastAsia" w:cs="Calibri"/>
                <w:b w:val="0"/>
                <w:i/>
                <w:iCs/>
              </w:rPr>
              <w:t>Primary</w:t>
            </w:r>
            <w:r w:rsidRPr="00881D39">
              <w:rPr>
                <w:rFonts w:eastAsiaTheme="minorEastAsia" w:cs="Calibri"/>
                <w:b w:val="0"/>
              </w:rPr>
              <w:t xml:space="preserve"> </w:t>
            </w:r>
          </w:p>
          <w:p w:rsidR="00386FCF" w:rsidRPr="00881D39" w:rsidRDefault="00386FCF" w:rsidP="00386FCF">
            <w:pPr>
              <w:pStyle w:val="Tableheading"/>
              <w:autoSpaceDE w:val="0"/>
              <w:autoSpaceDN w:val="0"/>
              <w:adjustRightInd w:val="0"/>
              <w:rPr>
                <w:rFonts w:eastAsiaTheme="minorEastAsia" w:cs="Calibri"/>
                <w:b w:val="0"/>
              </w:rPr>
            </w:pPr>
            <w:r w:rsidRPr="00881D39">
              <w:rPr>
                <w:rFonts w:eastAsiaTheme="minorEastAsia" w:cs="Calibri"/>
                <w:b w:val="0"/>
              </w:rPr>
              <w:t>12</w:t>
            </w:r>
            <w:r w:rsidR="0040273F">
              <w:rPr>
                <w:rFonts w:eastAsiaTheme="minorEastAsia" w:cs="Calibri"/>
                <w:b w:val="0"/>
              </w:rPr>
              <w:t xml:space="preserve"> </w:t>
            </w:r>
            <w:r w:rsidRPr="00881D39">
              <w:rPr>
                <w:rFonts w:eastAsiaTheme="minorEastAsia" w:cs="Calibri"/>
                <w:b w:val="0"/>
              </w:rPr>
              <w:t>mo</w:t>
            </w:r>
            <w:r w:rsidR="0040273F">
              <w:rPr>
                <w:rFonts w:eastAsiaTheme="minorEastAsia" w:cs="Calibri"/>
                <w:b w:val="0"/>
              </w:rPr>
              <w:t>nths</w:t>
            </w:r>
            <w:r w:rsidRPr="00881D39">
              <w:rPr>
                <w:rFonts w:eastAsiaTheme="minorEastAsia" w:cs="Calibri"/>
                <w:b w:val="0"/>
              </w:rPr>
              <w:t>, 7-day point prevalence of smoking abstinence verified by exhaled CO&lt;10</w:t>
            </w:r>
            <w:r w:rsidR="00FA4314">
              <w:rPr>
                <w:rFonts w:eastAsiaTheme="minorEastAsia" w:cs="Calibri"/>
                <w:b w:val="0"/>
              </w:rPr>
              <w:t xml:space="preserve"> </w:t>
            </w:r>
            <w:r w:rsidRPr="00881D39">
              <w:rPr>
                <w:rFonts w:eastAsiaTheme="minorEastAsia" w:cs="Calibri"/>
                <w:b w:val="0"/>
              </w:rPr>
              <w:t>ppm</w:t>
            </w:r>
            <w:r w:rsidR="00FA4314">
              <w:rPr>
                <w:rFonts w:eastAsiaTheme="minorEastAsia" w:cs="Calibri"/>
                <w:b w:val="0"/>
              </w:rPr>
              <w:t>.</w:t>
            </w:r>
          </w:p>
          <w:p w:rsidR="0040273F" w:rsidRDefault="00386FCF" w:rsidP="00386FCF">
            <w:pPr>
              <w:pStyle w:val="Tableheading"/>
              <w:autoSpaceDE w:val="0"/>
              <w:autoSpaceDN w:val="0"/>
              <w:adjustRightInd w:val="0"/>
              <w:rPr>
                <w:rFonts w:eastAsiaTheme="minorEastAsia" w:cs="Calibri"/>
                <w:b w:val="0"/>
              </w:rPr>
            </w:pPr>
            <w:r w:rsidRPr="00554906">
              <w:rPr>
                <w:rFonts w:eastAsiaTheme="minorEastAsia" w:cs="Calibri"/>
                <w:b w:val="0"/>
                <w:i/>
                <w:iCs/>
              </w:rPr>
              <w:lastRenderedPageBreak/>
              <w:t xml:space="preserve">Secondary </w:t>
            </w:r>
          </w:p>
          <w:p w:rsidR="00386FCF" w:rsidRPr="00881D39" w:rsidRDefault="00386FCF" w:rsidP="00386FCF">
            <w:pPr>
              <w:pStyle w:val="Tableheading"/>
              <w:autoSpaceDE w:val="0"/>
              <w:autoSpaceDN w:val="0"/>
              <w:adjustRightInd w:val="0"/>
              <w:rPr>
                <w:rFonts w:eastAsiaTheme="minorEastAsia" w:cs="Calibri"/>
                <w:b w:val="0"/>
              </w:rPr>
            </w:pPr>
            <w:r w:rsidRPr="00881D39">
              <w:rPr>
                <w:rFonts w:eastAsiaTheme="minorEastAsia" w:cs="Calibri"/>
                <w:b w:val="0"/>
              </w:rPr>
              <w:t>6</w:t>
            </w:r>
            <w:r w:rsidR="0040273F">
              <w:rPr>
                <w:rFonts w:eastAsiaTheme="minorEastAsia" w:cs="Calibri"/>
                <w:b w:val="0"/>
              </w:rPr>
              <w:t xml:space="preserve"> </w:t>
            </w:r>
            <w:r w:rsidRPr="00881D39">
              <w:rPr>
                <w:rFonts w:eastAsiaTheme="minorEastAsia" w:cs="Calibri"/>
                <w:b w:val="0"/>
              </w:rPr>
              <w:t>mo</w:t>
            </w:r>
            <w:r w:rsidR="0040273F">
              <w:rPr>
                <w:rFonts w:eastAsiaTheme="minorEastAsia" w:cs="Calibri"/>
                <w:b w:val="0"/>
              </w:rPr>
              <w:t>nths</w:t>
            </w:r>
            <w:r w:rsidRPr="00881D39">
              <w:rPr>
                <w:rFonts w:eastAsiaTheme="minorEastAsia" w:cs="Calibri"/>
                <w:b w:val="0"/>
              </w:rPr>
              <w:t xml:space="preserve"> sustained abstinence (CO-verified at 6</w:t>
            </w:r>
            <w:r w:rsidR="0040273F">
              <w:rPr>
                <w:rFonts w:eastAsiaTheme="minorEastAsia" w:cs="Calibri"/>
                <w:b w:val="0"/>
              </w:rPr>
              <w:t xml:space="preserve"> </w:t>
            </w:r>
            <w:r w:rsidR="009E7142" w:rsidRPr="00881D39">
              <w:rPr>
                <w:rFonts w:eastAsiaTheme="minorEastAsia" w:cs="Calibri"/>
                <w:b w:val="0"/>
              </w:rPr>
              <w:t>mo</w:t>
            </w:r>
            <w:r w:rsidR="009E7142">
              <w:rPr>
                <w:rFonts w:eastAsiaTheme="minorEastAsia" w:cs="Calibri"/>
                <w:b w:val="0"/>
              </w:rPr>
              <w:t>nths</w:t>
            </w:r>
            <w:r w:rsidRPr="00881D39">
              <w:rPr>
                <w:rFonts w:eastAsiaTheme="minorEastAsia" w:cs="Calibri"/>
                <w:b w:val="0"/>
              </w:rPr>
              <w:t xml:space="preserve"> &amp; 12 mo</w:t>
            </w:r>
            <w:r w:rsidR="0040273F">
              <w:rPr>
                <w:rFonts w:eastAsiaTheme="minorEastAsia" w:cs="Calibri"/>
                <w:b w:val="0"/>
              </w:rPr>
              <w:t>nths</w:t>
            </w:r>
            <w:r w:rsidRPr="00881D39">
              <w:rPr>
                <w:rFonts w:eastAsiaTheme="minorEastAsia" w:cs="Calibri"/>
                <w:b w:val="0"/>
              </w:rPr>
              <w:t>); cumulative number of quit attempts</w:t>
            </w:r>
          </w:p>
          <w:p w:rsidR="001835D1" w:rsidRPr="00320A67" w:rsidRDefault="00386FCF" w:rsidP="00386FCF">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00881D39">
              <w:rPr>
                <w:rFonts w:eastAsiaTheme="minorEastAsia" w:cs="Calibri"/>
                <w:b w:val="0"/>
                <w:u w:val="single"/>
              </w:rPr>
              <w:t xml:space="preserve">: </w:t>
            </w:r>
            <w:r w:rsidRPr="00881D39">
              <w:rPr>
                <w:rFonts w:eastAsiaTheme="minorEastAsia" w:cs="Calibri"/>
                <w:b w:val="0"/>
              </w:rPr>
              <w:t>Cardiovascular events</w:t>
            </w:r>
            <w:r w:rsidR="00881D39">
              <w:rPr>
                <w:rFonts w:eastAsiaTheme="minorEastAsia" w:cs="Calibri"/>
                <w:b w:val="0"/>
              </w:rPr>
              <w:t>.</w:t>
            </w:r>
          </w:p>
        </w:tc>
      </w:tr>
      <w:tr w:rsidR="003A409B"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1835D1" w:rsidRPr="001E2154" w:rsidRDefault="00681271" w:rsidP="00693DA2">
            <w:pPr>
              <w:pStyle w:val="Tableheading"/>
              <w:autoSpaceDE w:val="0"/>
              <w:autoSpaceDN w:val="0"/>
              <w:adjustRightInd w:val="0"/>
              <w:rPr>
                <w:rFonts w:eastAsiaTheme="minorEastAsia" w:cs="Calibri"/>
                <w:b w:val="0"/>
              </w:rPr>
            </w:pPr>
            <w:r>
              <w:rPr>
                <w:rFonts w:eastAsiaTheme="minorEastAsia" w:cs="Calibri"/>
                <w:b w:val="0"/>
              </w:rPr>
              <w:t>Dedert 2018</w:t>
            </w:r>
          </w:p>
        </w:tc>
        <w:tc>
          <w:tcPr>
            <w:tcW w:w="379" w:type="pct"/>
            <w:shd w:val="clear" w:color="auto" w:fill="auto"/>
          </w:tcPr>
          <w:p w:rsidR="001835D1" w:rsidRPr="001E2154" w:rsidRDefault="00681271"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1835D1" w:rsidRPr="001E2154" w:rsidRDefault="00681271"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rsidR="001835D1" w:rsidRDefault="00681271" w:rsidP="00693DA2">
            <w:pPr>
              <w:pStyle w:val="Tableheading"/>
              <w:autoSpaceDE w:val="0"/>
              <w:autoSpaceDN w:val="0"/>
              <w:adjustRightInd w:val="0"/>
              <w:rPr>
                <w:rFonts w:eastAsiaTheme="minorEastAsia" w:cs="Calibri"/>
                <w:b w:val="0"/>
              </w:rPr>
            </w:pPr>
            <w:r>
              <w:rPr>
                <w:rFonts w:eastAsiaTheme="minorEastAsia" w:cs="Calibri"/>
                <w:b w:val="0"/>
              </w:rPr>
              <w:t>81</w:t>
            </w:r>
          </w:p>
          <w:p w:rsidR="009400A3" w:rsidRDefault="009400A3" w:rsidP="00693DA2">
            <w:pPr>
              <w:pStyle w:val="Tableheading"/>
              <w:autoSpaceDE w:val="0"/>
              <w:autoSpaceDN w:val="0"/>
              <w:adjustRightInd w:val="0"/>
              <w:rPr>
                <w:rFonts w:eastAsiaTheme="minorEastAsia" w:cs="Calibri"/>
                <w:b w:val="0"/>
              </w:rPr>
            </w:pPr>
            <w:r>
              <w:rPr>
                <w:rFonts w:eastAsiaTheme="minorEastAsia" w:cs="Calibri"/>
                <w:b w:val="0"/>
              </w:rPr>
              <w:t>n=</w:t>
            </w:r>
            <w:r w:rsidR="00D72412">
              <w:rPr>
                <w:rFonts w:eastAsiaTheme="minorEastAsia" w:cs="Calibri"/>
                <w:b w:val="0"/>
              </w:rPr>
              <w:t>37</w:t>
            </w:r>
            <w:r>
              <w:rPr>
                <w:rFonts w:eastAsiaTheme="minorEastAsia" w:cs="Calibri"/>
                <w:b w:val="0"/>
              </w:rPr>
              <w:t xml:space="preserve"> (</w:t>
            </w:r>
            <w:r w:rsidR="0041384C">
              <w:rPr>
                <w:rFonts w:eastAsiaTheme="minorEastAsia" w:cs="Calibri"/>
                <w:b w:val="0"/>
              </w:rPr>
              <w:t>NRT</w:t>
            </w:r>
            <w:r>
              <w:rPr>
                <w:rFonts w:eastAsiaTheme="minorEastAsia" w:cs="Calibri"/>
                <w:b w:val="0"/>
              </w:rPr>
              <w:t>)</w:t>
            </w:r>
          </w:p>
          <w:p w:rsidR="0041384C" w:rsidRPr="001E2154" w:rsidRDefault="0041384C" w:rsidP="00693DA2">
            <w:pPr>
              <w:pStyle w:val="Tableheading"/>
              <w:autoSpaceDE w:val="0"/>
              <w:autoSpaceDN w:val="0"/>
              <w:adjustRightInd w:val="0"/>
              <w:rPr>
                <w:rFonts w:eastAsiaTheme="minorEastAsia" w:cs="Calibri"/>
                <w:b w:val="0"/>
              </w:rPr>
            </w:pPr>
            <w:r>
              <w:rPr>
                <w:rFonts w:eastAsiaTheme="minorEastAsia" w:cs="Calibri"/>
                <w:b w:val="0"/>
              </w:rPr>
              <w:t>n=</w:t>
            </w:r>
            <w:r w:rsidR="00D72412">
              <w:rPr>
                <w:rFonts w:eastAsiaTheme="minorEastAsia" w:cs="Calibri"/>
                <w:b w:val="0"/>
              </w:rPr>
              <w:t>44</w:t>
            </w:r>
            <w:r>
              <w:rPr>
                <w:rFonts w:eastAsiaTheme="minorEastAsia" w:cs="Calibri"/>
                <w:b w:val="0"/>
              </w:rPr>
              <w:t xml:space="preserve"> (placebo)</w:t>
            </w:r>
          </w:p>
        </w:tc>
        <w:tc>
          <w:tcPr>
            <w:tcW w:w="1142" w:type="pct"/>
            <w:shd w:val="clear" w:color="auto" w:fill="auto"/>
            <w:tcMar>
              <w:left w:w="28" w:type="dxa"/>
              <w:right w:w="28" w:type="dxa"/>
            </w:tcMar>
          </w:tcPr>
          <w:p w:rsidR="009400A3" w:rsidRPr="009400A3" w:rsidRDefault="009400A3" w:rsidP="009400A3">
            <w:pPr>
              <w:pStyle w:val="Tableheading"/>
              <w:autoSpaceDE w:val="0"/>
              <w:autoSpaceDN w:val="0"/>
              <w:adjustRightInd w:val="0"/>
              <w:rPr>
                <w:rFonts w:eastAsiaTheme="minorEastAsia" w:cs="Calibri"/>
                <w:b w:val="0"/>
              </w:rPr>
            </w:pPr>
            <w:r w:rsidRPr="009400A3">
              <w:rPr>
                <w:rFonts w:eastAsiaTheme="minorEastAsia" w:cs="Calibri"/>
                <w:b w:val="0"/>
              </w:rPr>
              <w:t>Military veterans and civilian adult (18-70 years) smokers (&gt;9 per day) with interview-verified PTSD, from outpatient clinics, and willing to make a quit attempt and fluent in English.</w:t>
            </w:r>
          </w:p>
          <w:p w:rsidR="009400A3" w:rsidRPr="009400A3" w:rsidRDefault="009400A3" w:rsidP="009400A3">
            <w:pPr>
              <w:pStyle w:val="Tableheading"/>
              <w:autoSpaceDE w:val="0"/>
              <w:autoSpaceDN w:val="0"/>
              <w:adjustRightInd w:val="0"/>
              <w:rPr>
                <w:rFonts w:eastAsiaTheme="minorEastAsia" w:cs="Calibri"/>
                <w:b w:val="0"/>
              </w:rPr>
            </w:pPr>
            <w:r w:rsidRPr="009400A3">
              <w:rPr>
                <w:rFonts w:eastAsiaTheme="minorEastAsia" w:cs="Calibri"/>
                <w:b w:val="0"/>
              </w:rPr>
              <w:t>Exclusion:</w:t>
            </w:r>
          </w:p>
          <w:p w:rsidR="001835D1" w:rsidRPr="001E2154" w:rsidRDefault="009400A3" w:rsidP="009400A3">
            <w:pPr>
              <w:pStyle w:val="Tableheading"/>
              <w:autoSpaceDE w:val="0"/>
              <w:autoSpaceDN w:val="0"/>
              <w:adjustRightInd w:val="0"/>
              <w:rPr>
                <w:rFonts w:eastAsiaTheme="minorEastAsia" w:cs="Calibri"/>
                <w:b w:val="0"/>
              </w:rPr>
            </w:pPr>
            <w:r w:rsidRPr="009400A3">
              <w:rPr>
                <w:rFonts w:eastAsiaTheme="minorEastAsia" w:cs="Calibri"/>
                <w:b w:val="0"/>
              </w:rPr>
              <w:t>Non-cigarette forms of nicotine, pregnant, major unstable medical problems or medication regimens, current manic syndrome, psychotic disorder, current drug or alcohol use disorder, using bupropion or benzodiazepines.</w:t>
            </w:r>
          </w:p>
        </w:tc>
        <w:tc>
          <w:tcPr>
            <w:tcW w:w="808" w:type="pct"/>
            <w:shd w:val="clear" w:color="auto" w:fill="auto"/>
          </w:tcPr>
          <w:p w:rsidR="009400A3" w:rsidRPr="009400A3" w:rsidRDefault="009400A3" w:rsidP="00C324F3">
            <w:pPr>
              <w:pStyle w:val="Tablewriting"/>
              <w:keepNext/>
              <w:numPr>
                <w:ilvl w:val="0"/>
                <w:numId w:val="8"/>
              </w:numPr>
              <w:rPr>
                <w:rFonts w:eastAsia="MS Mincho"/>
              </w:rPr>
            </w:pPr>
            <w:r w:rsidRPr="009400A3">
              <w:rPr>
                <w:rFonts w:eastAsia="MS Mincho"/>
              </w:rPr>
              <w:t>21mg/24hour NRT patch daily, 3</w:t>
            </w:r>
            <w:r w:rsidR="00F515B5">
              <w:rPr>
                <w:rFonts w:eastAsia="MS Mincho"/>
              </w:rPr>
              <w:t>-</w:t>
            </w:r>
            <w:r w:rsidRPr="009400A3">
              <w:rPr>
                <w:rFonts w:eastAsia="MS Mincho"/>
              </w:rPr>
              <w:t>w</w:t>
            </w:r>
            <w:r w:rsidR="00F515B5">
              <w:rPr>
                <w:rFonts w:eastAsia="MS Mincho"/>
              </w:rPr>
              <w:t>ee</w:t>
            </w:r>
            <w:r w:rsidRPr="009400A3">
              <w:rPr>
                <w:rFonts w:eastAsia="MS Mincho"/>
              </w:rPr>
              <w:t xml:space="preserve">k prior to quit date </w:t>
            </w:r>
          </w:p>
          <w:p w:rsidR="009400A3" w:rsidRPr="009400A3" w:rsidRDefault="009400A3" w:rsidP="00C324F3">
            <w:pPr>
              <w:pStyle w:val="Tablewriting"/>
              <w:keepNext/>
              <w:numPr>
                <w:ilvl w:val="0"/>
                <w:numId w:val="8"/>
              </w:numPr>
              <w:rPr>
                <w:rFonts w:eastAsia="MS Mincho"/>
              </w:rPr>
            </w:pPr>
            <w:r w:rsidRPr="009400A3">
              <w:rPr>
                <w:rFonts w:eastAsia="MS Mincho"/>
              </w:rPr>
              <w:t>Placebo patch daily, 3 wk prior to quit date</w:t>
            </w:r>
          </w:p>
          <w:p w:rsidR="009400A3" w:rsidRPr="009400A3" w:rsidRDefault="009400A3" w:rsidP="00FF725F">
            <w:pPr>
              <w:pStyle w:val="Tablewriting"/>
              <w:keepNext/>
              <w:rPr>
                <w:rFonts w:eastAsia="MS Mincho"/>
              </w:rPr>
            </w:pPr>
            <w:r w:rsidRPr="00554906">
              <w:rPr>
                <w:rFonts w:eastAsia="MS Mincho"/>
                <w:u w:val="single"/>
              </w:rPr>
              <w:t>Common elements</w:t>
            </w:r>
            <w:r w:rsidRPr="009400A3">
              <w:rPr>
                <w:rFonts w:eastAsia="MS Mincho"/>
              </w:rPr>
              <w:t>:</w:t>
            </w:r>
          </w:p>
          <w:p w:rsidR="009400A3" w:rsidRPr="009400A3" w:rsidRDefault="009400A3" w:rsidP="00C324F3">
            <w:pPr>
              <w:pStyle w:val="Tablewriting"/>
              <w:keepNext/>
              <w:numPr>
                <w:ilvl w:val="0"/>
                <w:numId w:val="8"/>
              </w:numPr>
              <w:rPr>
                <w:rFonts w:eastAsia="MS Mincho"/>
              </w:rPr>
            </w:pPr>
            <w:r w:rsidRPr="009400A3">
              <w:rPr>
                <w:rFonts w:eastAsia="MS Mincho"/>
              </w:rPr>
              <w:t>Counselling</w:t>
            </w:r>
          </w:p>
          <w:p w:rsidR="009400A3" w:rsidRPr="009400A3" w:rsidRDefault="009400A3" w:rsidP="00C324F3">
            <w:pPr>
              <w:pStyle w:val="Tablewriting"/>
              <w:keepNext/>
              <w:numPr>
                <w:ilvl w:val="0"/>
                <w:numId w:val="8"/>
              </w:numPr>
              <w:rPr>
                <w:rFonts w:eastAsia="MS Mincho"/>
              </w:rPr>
            </w:pPr>
            <w:r w:rsidRPr="009400A3">
              <w:rPr>
                <w:rFonts w:eastAsia="MS Mincho"/>
              </w:rPr>
              <w:t>Low nicotine cigarettes pre-quit phase</w:t>
            </w:r>
          </w:p>
          <w:p w:rsidR="009400A3" w:rsidRPr="009400A3" w:rsidRDefault="009400A3" w:rsidP="00C324F3">
            <w:pPr>
              <w:pStyle w:val="Tablewriting"/>
              <w:keepNext/>
              <w:numPr>
                <w:ilvl w:val="0"/>
                <w:numId w:val="8"/>
              </w:numPr>
              <w:rPr>
                <w:rFonts w:eastAsia="MS Mincho"/>
              </w:rPr>
            </w:pPr>
            <w:r w:rsidRPr="009400A3">
              <w:rPr>
                <w:rFonts w:eastAsia="MS Mincho"/>
              </w:rPr>
              <w:t>Bupropion 1wk prior to quit date until study completion</w:t>
            </w:r>
          </w:p>
          <w:p w:rsidR="001835D1" w:rsidRPr="00D11171" w:rsidRDefault="009400A3" w:rsidP="00C324F3">
            <w:pPr>
              <w:pStyle w:val="Tablewriting"/>
              <w:keepNext/>
              <w:numPr>
                <w:ilvl w:val="0"/>
                <w:numId w:val="8"/>
              </w:numPr>
              <w:rPr>
                <w:rFonts w:eastAsia="MS Mincho"/>
              </w:rPr>
            </w:pPr>
            <w:r w:rsidRPr="009400A3">
              <w:rPr>
                <w:rFonts w:eastAsia="MS Mincho"/>
              </w:rPr>
              <w:t>NRT for 6wks(patch: 21mg 2</w:t>
            </w:r>
            <w:r w:rsidR="006E016C">
              <w:rPr>
                <w:rFonts w:eastAsia="MS Mincho"/>
              </w:rPr>
              <w:t xml:space="preserve"> </w:t>
            </w:r>
            <w:r w:rsidRPr="009400A3">
              <w:rPr>
                <w:rFonts w:eastAsia="MS Mincho"/>
              </w:rPr>
              <w:t>w</w:t>
            </w:r>
            <w:r w:rsidR="006E016C">
              <w:rPr>
                <w:rFonts w:eastAsia="MS Mincho"/>
              </w:rPr>
              <w:t>ee</w:t>
            </w:r>
            <w:r w:rsidRPr="009400A3">
              <w:rPr>
                <w:rFonts w:eastAsia="MS Mincho"/>
              </w:rPr>
              <w:t>ks, 14mg 2</w:t>
            </w:r>
            <w:r w:rsidR="006E016C">
              <w:rPr>
                <w:rFonts w:eastAsia="MS Mincho"/>
              </w:rPr>
              <w:t xml:space="preserve"> </w:t>
            </w:r>
            <w:r w:rsidRPr="009400A3">
              <w:rPr>
                <w:rFonts w:eastAsia="MS Mincho"/>
              </w:rPr>
              <w:t>w</w:t>
            </w:r>
            <w:r w:rsidR="006E016C">
              <w:rPr>
                <w:rFonts w:eastAsia="MS Mincho"/>
              </w:rPr>
              <w:t>ee</w:t>
            </w:r>
            <w:r w:rsidRPr="009400A3">
              <w:rPr>
                <w:rFonts w:eastAsia="MS Mincho"/>
              </w:rPr>
              <w:t>ks, 7</w:t>
            </w:r>
            <w:r w:rsidR="006E016C">
              <w:rPr>
                <w:rFonts w:eastAsia="MS Mincho"/>
              </w:rPr>
              <w:t xml:space="preserve"> </w:t>
            </w:r>
            <w:r w:rsidRPr="009400A3">
              <w:rPr>
                <w:rFonts w:eastAsia="MS Mincho"/>
              </w:rPr>
              <w:t>mg 2</w:t>
            </w:r>
            <w:r w:rsidR="006E016C">
              <w:rPr>
                <w:rFonts w:eastAsia="MS Mincho"/>
              </w:rPr>
              <w:t xml:space="preserve"> </w:t>
            </w:r>
            <w:r w:rsidRPr="009400A3">
              <w:rPr>
                <w:rFonts w:eastAsia="MS Mincho"/>
              </w:rPr>
              <w:t>w</w:t>
            </w:r>
            <w:r w:rsidR="006E016C">
              <w:rPr>
                <w:rFonts w:eastAsia="MS Mincho"/>
              </w:rPr>
              <w:t>ee</w:t>
            </w:r>
            <w:r w:rsidRPr="009400A3">
              <w:rPr>
                <w:rFonts w:eastAsia="MS Mincho"/>
              </w:rPr>
              <w:t>ks and rescue NRT (gum/lozenge) as required)</w:t>
            </w:r>
          </w:p>
        </w:tc>
        <w:tc>
          <w:tcPr>
            <w:tcW w:w="1094" w:type="pct"/>
            <w:shd w:val="clear" w:color="auto" w:fill="auto"/>
            <w:tcMar>
              <w:left w:w="28" w:type="dxa"/>
              <w:right w:w="28" w:type="dxa"/>
            </w:tcMar>
          </w:tcPr>
          <w:p w:rsidR="00FC60E5" w:rsidRDefault="009400A3" w:rsidP="009400A3">
            <w:pPr>
              <w:pStyle w:val="Tableheading"/>
              <w:autoSpaceDE w:val="0"/>
              <w:autoSpaceDN w:val="0"/>
              <w:adjustRightInd w:val="0"/>
              <w:rPr>
                <w:rFonts w:eastAsiaTheme="minorEastAsia" w:cs="Calibri"/>
                <w:b w:val="0"/>
              </w:rPr>
            </w:pPr>
            <w:r w:rsidRPr="00554906">
              <w:rPr>
                <w:rFonts w:eastAsiaTheme="minorEastAsia" w:cs="Calibri"/>
                <w:b w:val="0"/>
                <w:i/>
                <w:iCs/>
              </w:rPr>
              <w:t>Primary</w:t>
            </w:r>
            <w:r w:rsidRPr="00554906">
              <w:rPr>
                <w:rFonts w:eastAsiaTheme="minorEastAsia" w:cs="Calibri"/>
                <w:b w:val="0"/>
              </w:rPr>
              <w:t xml:space="preserve"> </w:t>
            </w:r>
          </w:p>
          <w:p w:rsidR="009400A3" w:rsidRPr="00554906" w:rsidRDefault="009400A3" w:rsidP="009400A3">
            <w:pPr>
              <w:pStyle w:val="Tableheading"/>
              <w:autoSpaceDE w:val="0"/>
              <w:autoSpaceDN w:val="0"/>
              <w:adjustRightInd w:val="0"/>
              <w:rPr>
                <w:rFonts w:eastAsiaTheme="minorEastAsia" w:cs="Calibri"/>
                <w:b w:val="0"/>
              </w:rPr>
            </w:pPr>
            <w:r w:rsidRPr="00554906">
              <w:rPr>
                <w:rFonts w:eastAsiaTheme="minorEastAsia" w:cs="Calibri"/>
                <w:b w:val="0"/>
              </w:rPr>
              <w:t>6</w:t>
            </w:r>
            <w:r w:rsidR="00FC60E5">
              <w:rPr>
                <w:rFonts w:eastAsiaTheme="minorEastAsia" w:cs="Calibri"/>
                <w:b w:val="0"/>
              </w:rPr>
              <w:t xml:space="preserve"> </w:t>
            </w:r>
            <w:r w:rsidRPr="00554906">
              <w:rPr>
                <w:rFonts w:eastAsiaTheme="minorEastAsia" w:cs="Calibri"/>
                <w:b w:val="0"/>
              </w:rPr>
              <w:t>w</w:t>
            </w:r>
            <w:r w:rsidR="00FC60E5">
              <w:rPr>
                <w:rFonts w:eastAsiaTheme="minorEastAsia" w:cs="Calibri"/>
                <w:b w:val="0"/>
              </w:rPr>
              <w:t>ee</w:t>
            </w:r>
            <w:r w:rsidRPr="00554906">
              <w:rPr>
                <w:rFonts w:eastAsiaTheme="minorEastAsia" w:cs="Calibri"/>
                <w:b w:val="0"/>
              </w:rPr>
              <w:t>k 7-day self-reported abstinence verified by exhaled CO &lt;4</w:t>
            </w:r>
            <w:r w:rsidR="00FA4314">
              <w:rPr>
                <w:rFonts w:eastAsiaTheme="minorEastAsia" w:cs="Calibri"/>
                <w:b w:val="0"/>
              </w:rPr>
              <w:t xml:space="preserve"> </w:t>
            </w:r>
            <w:r w:rsidRPr="00554906">
              <w:rPr>
                <w:rFonts w:eastAsiaTheme="minorEastAsia" w:cs="Calibri"/>
                <w:b w:val="0"/>
              </w:rPr>
              <w:t>ppm</w:t>
            </w:r>
            <w:r w:rsidR="00FC60E5">
              <w:rPr>
                <w:rFonts w:eastAsiaTheme="minorEastAsia" w:cs="Calibri"/>
                <w:b w:val="0"/>
              </w:rPr>
              <w:t>.</w:t>
            </w:r>
          </w:p>
          <w:p w:rsidR="00FC60E5" w:rsidRPr="00554906" w:rsidRDefault="009400A3" w:rsidP="009400A3">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rsidR="001835D1" w:rsidRPr="00320A67" w:rsidRDefault="009400A3" w:rsidP="009400A3">
            <w:pPr>
              <w:pStyle w:val="Tableheading"/>
              <w:autoSpaceDE w:val="0"/>
              <w:autoSpaceDN w:val="0"/>
              <w:adjustRightInd w:val="0"/>
              <w:rPr>
                <w:rFonts w:eastAsiaTheme="minorEastAsia" w:cs="Calibri"/>
                <w:b w:val="0"/>
                <w:u w:val="single"/>
              </w:rPr>
            </w:pPr>
            <w:r w:rsidRPr="00554906">
              <w:rPr>
                <w:rFonts w:eastAsiaTheme="minorEastAsia" w:cs="Calibri"/>
                <w:b w:val="0"/>
              </w:rPr>
              <w:t>6mo 7-day self-reported abstinence verified by exhaled CO &lt;</w:t>
            </w:r>
            <w:r w:rsidR="00FA4314">
              <w:rPr>
                <w:rFonts w:eastAsiaTheme="minorEastAsia" w:cs="Calibri"/>
                <w:b w:val="0"/>
              </w:rPr>
              <w:t xml:space="preserve"> </w:t>
            </w:r>
            <w:r w:rsidRPr="00554906">
              <w:rPr>
                <w:rFonts w:eastAsiaTheme="minorEastAsia" w:cs="Calibri"/>
                <w:b w:val="0"/>
              </w:rPr>
              <w:t>4ppm</w:t>
            </w:r>
            <w:r w:rsidR="00FC60E5">
              <w:rPr>
                <w:rFonts w:eastAsiaTheme="minorEastAsia" w:cs="Calibri"/>
                <w:b w:val="0"/>
              </w:rPr>
              <w:t>.</w:t>
            </w:r>
          </w:p>
        </w:tc>
      </w:tr>
      <w:tr w:rsidR="003A409B"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1835D1" w:rsidRPr="001E2154" w:rsidRDefault="00D72412" w:rsidP="00693DA2">
            <w:pPr>
              <w:pStyle w:val="Tableheading"/>
              <w:autoSpaceDE w:val="0"/>
              <w:autoSpaceDN w:val="0"/>
              <w:adjustRightInd w:val="0"/>
              <w:rPr>
                <w:rFonts w:eastAsiaTheme="minorEastAsia" w:cs="Calibri"/>
                <w:b w:val="0"/>
              </w:rPr>
            </w:pPr>
            <w:r>
              <w:rPr>
                <w:rFonts w:eastAsiaTheme="minorEastAsia" w:cs="Calibri"/>
                <w:b w:val="0"/>
              </w:rPr>
              <w:t>Benowitz 2018</w:t>
            </w:r>
          </w:p>
        </w:tc>
        <w:tc>
          <w:tcPr>
            <w:tcW w:w="379" w:type="pct"/>
            <w:shd w:val="clear" w:color="auto" w:fill="auto"/>
          </w:tcPr>
          <w:p w:rsidR="001835D1" w:rsidRPr="001E2154" w:rsidRDefault="00D72412"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1835D1" w:rsidRPr="001E2154" w:rsidRDefault="00985E64" w:rsidP="00693DA2">
            <w:pPr>
              <w:pStyle w:val="Tableheading"/>
              <w:autoSpaceDE w:val="0"/>
              <w:autoSpaceDN w:val="0"/>
              <w:adjustRightInd w:val="0"/>
              <w:rPr>
                <w:rFonts w:eastAsiaTheme="minorEastAsia" w:cs="Calibri"/>
                <w:b w:val="0"/>
              </w:rPr>
            </w:pPr>
            <w:r w:rsidRPr="00985E64">
              <w:rPr>
                <w:rFonts w:eastAsiaTheme="minorEastAsia" w:cs="Calibri"/>
                <w:b w:val="0"/>
              </w:rPr>
              <w:t>USA, Australia, Canada, Denmark, Finland, Germany, New Zealand, South Africa, Spain, Bulgaria, Russian Federation, Slovakia, Argentina, Brazil, Chile, and Mexico</w:t>
            </w:r>
          </w:p>
        </w:tc>
        <w:tc>
          <w:tcPr>
            <w:tcW w:w="516" w:type="pct"/>
            <w:shd w:val="clear" w:color="auto" w:fill="auto"/>
            <w:tcMar>
              <w:left w:w="28" w:type="dxa"/>
              <w:right w:w="28" w:type="dxa"/>
            </w:tcMar>
          </w:tcPr>
          <w:p w:rsidR="00985E64" w:rsidRPr="00985E64" w:rsidRDefault="00985E64" w:rsidP="00985E64">
            <w:pPr>
              <w:pStyle w:val="Tableheading"/>
              <w:autoSpaceDE w:val="0"/>
              <w:autoSpaceDN w:val="0"/>
              <w:adjustRightInd w:val="0"/>
              <w:rPr>
                <w:rFonts w:eastAsiaTheme="minorEastAsia" w:cs="Calibri"/>
                <w:b w:val="0"/>
              </w:rPr>
            </w:pPr>
            <w:r w:rsidRPr="00985E64">
              <w:rPr>
                <w:rFonts w:eastAsiaTheme="minorEastAsia" w:cs="Calibri"/>
                <w:b w:val="0"/>
              </w:rPr>
              <w:t>EAGLES: 8058</w:t>
            </w:r>
          </w:p>
          <w:p w:rsidR="001835D1" w:rsidRDefault="00985E64" w:rsidP="00985E64">
            <w:pPr>
              <w:pStyle w:val="Tableheading"/>
              <w:autoSpaceDE w:val="0"/>
              <w:autoSpaceDN w:val="0"/>
              <w:adjustRightInd w:val="0"/>
              <w:rPr>
                <w:rFonts w:eastAsiaTheme="minorEastAsia" w:cs="Calibri"/>
                <w:b w:val="0"/>
              </w:rPr>
            </w:pPr>
            <w:r w:rsidRPr="00985E64">
              <w:rPr>
                <w:rFonts w:eastAsiaTheme="minorEastAsia" w:cs="Calibri"/>
                <w:b w:val="0"/>
              </w:rPr>
              <w:t>EAGLES Extension: 4595</w:t>
            </w:r>
          </w:p>
          <w:p w:rsidR="000A5831" w:rsidRDefault="000A5831" w:rsidP="00985E64">
            <w:pPr>
              <w:pStyle w:val="Tableheading"/>
              <w:autoSpaceDE w:val="0"/>
              <w:autoSpaceDN w:val="0"/>
              <w:adjustRightInd w:val="0"/>
              <w:rPr>
                <w:rFonts w:eastAsiaTheme="minorEastAsia" w:cs="Calibri"/>
                <w:b w:val="0"/>
              </w:rPr>
            </w:pPr>
            <w:r>
              <w:rPr>
                <w:rFonts w:eastAsiaTheme="minorEastAsia" w:cs="Calibri"/>
                <w:b w:val="0"/>
              </w:rPr>
              <w:t>n=</w:t>
            </w:r>
            <w:r w:rsidR="00642FF8">
              <w:rPr>
                <w:rFonts w:eastAsiaTheme="minorEastAsia" w:cs="Calibri"/>
                <w:b w:val="0"/>
              </w:rPr>
              <w:t>2022 (NRT)</w:t>
            </w:r>
          </w:p>
          <w:p w:rsidR="00642FF8" w:rsidRDefault="00642FF8" w:rsidP="00985E64">
            <w:pPr>
              <w:pStyle w:val="Tableheading"/>
              <w:autoSpaceDE w:val="0"/>
              <w:autoSpaceDN w:val="0"/>
              <w:adjustRightInd w:val="0"/>
              <w:rPr>
                <w:rFonts w:eastAsiaTheme="minorEastAsia" w:cs="Calibri"/>
                <w:b w:val="0"/>
              </w:rPr>
            </w:pPr>
            <w:r>
              <w:rPr>
                <w:rFonts w:eastAsiaTheme="minorEastAsia" w:cs="Calibri"/>
                <w:b w:val="0"/>
              </w:rPr>
              <w:t>n=</w:t>
            </w:r>
            <w:r w:rsidR="00F476D3">
              <w:rPr>
                <w:rFonts w:eastAsiaTheme="minorEastAsia" w:cs="Calibri"/>
                <w:b w:val="0"/>
              </w:rPr>
              <w:t>2016</w:t>
            </w:r>
            <w:r>
              <w:rPr>
                <w:rFonts w:eastAsiaTheme="minorEastAsia" w:cs="Calibri"/>
                <w:b w:val="0"/>
              </w:rPr>
              <w:t xml:space="preserve"> (varenicline)</w:t>
            </w:r>
          </w:p>
          <w:p w:rsidR="00642FF8" w:rsidRPr="001E2154" w:rsidRDefault="00642FF8" w:rsidP="00985E64">
            <w:pPr>
              <w:pStyle w:val="Tableheading"/>
              <w:autoSpaceDE w:val="0"/>
              <w:autoSpaceDN w:val="0"/>
              <w:adjustRightInd w:val="0"/>
              <w:rPr>
                <w:rFonts w:eastAsiaTheme="minorEastAsia" w:cs="Calibri"/>
                <w:b w:val="0"/>
              </w:rPr>
            </w:pPr>
            <w:r>
              <w:rPr>
                <w:rFonts w:eastAsiaTheme="minorEastAsia" w:cs="Calibri"/>
                <w:b w:val="0"/>
              </w:rPr>
              <w:t xml:space="preserve">n= </w:t>
            </w:r>
            <w:r w:rsidR="00F476D3">
              <w:rPr>
                <w:rFonts w:eastAsiaTheme="minorEastAsia" w:cs="Calibri"/>
                <w:b w:val="0"/>
              </w:rPr>
              <w:t xml:space="preserve">2014 </w:t>
            </w:r>
            <w:r>
              <w:rPr>
                <w:rFonts w:eastAsiaTheme="minorEastAsia" w:cs="Calibri"/>
                <w:b w:val="0"/>
              </w:rPr>
              <w:t>(placebo)</w:t>
            </w:r>
          </w:p>
        </w:tc>
        <w:tc>
          <w:tcPr>
            <w:tcW w:w="1142" w:type="pct"/>
            <w:shd w:val="clear" w:color="auto" w:fill="auto"/>
            <w:tcMar>
              <w:left w:w="28" w:type="dxa"/>
              <w:right w:w="28" w:type="dxa"/>
            </w:tcMar>
          </w:tcPr>
          <w:p w:rsidR="00985E64" w:rsidRPr="00985E64" w:rsidRDefault="009E7142" w:rsidP="00985E64">
            <w:pPr>
              <w:pStyle w:val="Tableheading"/>
              <w:autoSpaceDE w:val="0"/>
              <w:autoSpaceDN w:val="0"/>
              <w:adjustRightInd w:val="0"/>
              <w:rPr>
                <w:rFonts w:eastAsiaTheme="minorEastAsia" w:cs="Calibri"/>
                <w:b w:val="0"/>
              </w:rPr>
            </w:pPr>
            <w:r w:rsidRPr="00985E64">
              <w:rPr>
                <w:rFonts w:eastAsiaTheme="minorEastAsia" w:cs="Calibri"/>
                <w:b w:val="0"/>
              </w:rPr>
              <w:t>Adults (</w:t>
            </w:r>
            <w:r w:rsidR="00985E64" w:rsidRPr="00985E64">
              <w:rPr>
                <w:rFonts w:eastAsiaTheme="minorEastAsia" w:cs="Calibri"/>
                <w:b w:val="0"/>
              </w:rPr>
              <w:t>18 to 75 years), smokers (10 or more CPD), motivated to quit</w:t>
            </w:r>
            <w:r w:rsidRPr="00985E64">
              <w:rPr>
                <w:rFonts w:eastAsiaTheme="minorEastAsia" w:cs="Calibri"/>
                <w:b w:val="0"/>
              </w:rPr>
              <w:t>, randomized</w:t>
            </w:r>
            <w:r w:rsidR="00985E64" w:rsidRPr="00985E64">
              <w:rPr>
                <w:rFonts w:eastAsiaTheme="minorEastAsia" w:cs="Calibri"/>
                <w:b w:val="0"/>
              </w:rPr>
              <w:t xml:space="preserve"> to treatment in—and had completed the week 24 visit of—EAGLES. By definition, these participants met the inclusion or exclusion criteria for EAGLES. Participants were eligible for inclusion if they stopped study medication prematurely during EAGLES, so long as they had completed all EAGLES study visits. </w:t>
            </w:r>
          </w:p>
          <w:p w:rsidR="001835D1" w:rsidRPr="001E2154" w:rsidRDefault="00985E64" w:rsidP="00985E64">
            <w:pPr>
              <w:pStyle w:val="Tableheading"/>
              <w:autoSpaceDE w:val="0"/>
              <w:autoSpaceDN w:val="0"/>
              <w:adjustRightInd w:val="0"/>
              <w:rPr>
                <w:rFonts w:eastAsiaTheme="minorEastAsia" w:cs="Calibri"/>
                <w:b w:val="0"/>
              </w:rPr>
            </w:pPr>
            <w:r w:rsidRPr="00985E64">
              <w:rPr>
                <w:rFonts w:eastAsiaTheme="minorEastAsia" w:cs="Calibri"/>
                <w:b w:val="0"/>
              </w:rPr>
              <w:t>Exclusions: unstable psychiatric illness, active substance abuse, clinically significant CVD in the 2 months prior to study entry (eg, MI or coronary artery bypass graft), clinically significant cerebrovascular disease in the 2 months prior to study entry (eg, stroke or documented transient ischemic attack), or inadequate control of hypertension as judged by investigators at screening and baseline.</w:t>
            </w:r>
          </w:p>
        </w:tc>
        <w:tc>
          <w:tcPr>
            <w:tcW w:w="808" w:type="pct"/>
            <w:shd w:val="clear" w:color="auto" w:fill="auto"/>
          </w:tcPr>
          <w:p w:rsidR="000A5831" w:rsidRPr="000A5831" w:rsidRDefault="000A5831" w:rsidP="00C324F3">
            <w:pPr>
              <w:pStyle w:val="Tablewriting"/>
              <w:keepNext/>
              <w:numPr>
                <w:ilvl w:val="0"/>
                <w:numId w:val="8"/>
              </w:numPr>
              <w:rPr>
                <w:rFonts w:eastAsia="MS Mincho"/>
              </w:rPr>
            </w:pPr>
            <w:r w:rsidRPr="000A5831">
              <w:rPr>
                <w:rFonts w:eastAsia="MS Mincho"/>
              </w:rPr>
              <w:t>Varenicline, 1</w:t>
            </w:r>
            <w:r w:rsidR="00A1651B">
              <w:rPr>
                <w:rFonts w:eastAsia="MS Mincho"/>
              </w:rPr>
              <w:t xml:space="preserve"> </w:t>
            </w:r>
            <w:r w:rsidRPr="000A5831">
              <w:rPr>
                <w:rFonts w:eastAsia="MS Mincho"/>
              </w:rPr>
              <w:t>mg bd, 12 w</w:t>
            </w:r>
            <w:r w:rsidR="006E016C">
              <w:rPr>
                <w:rFonts w:eastAsia="MS Mincho"/>
              </w:rPr>
              <w:t>ee</w:t>
            </w:r>
            <w:r w:rsidRPr="000A5831">
              <w:rPr>
                <w:rFonts w:eastAsia="MS Mincho"/>
              </w:rPr>
              <w:t xml:space="preserve">ks; </w:t>
            </w:r>
          </w:p>
          <w:p w:rsidR="000A5831" w:rsidRPr="000A5831" w:rsidRDefault="000A5831" w:rsidP="00C324F3">
            <w:pPr>
              <w:pStyle w:val="Tablewriting"/>
              <w:keepNext/>
              <w:numPr>
                <w:ilvl w:val="0"/>
                <w:numId w:val="8"/>
              </w:numPr>
              <w:rPr>
                <w:rFonts w:eastAsia="MS Mincho"/>
              </w:rPr>
            </w:pPr>
            <w:r w:rsidRPr="000A5831">
              <w:rPr>
                <w:rFonts w:eastAsia="MS Mincho"/>
              </w:rPr>
              <w:t>Bupropion 150</w:t>
            </w:r>
            <w:r w:rsidR="00A1651B">
              <w:rPr>
                <w:rFonts w:eastAsia="MS Mincho"/>
              </w:rPr>
              <w:t xml:space="preserve"> </w:t>
            </w:r>
            <w:r w:rsidRPr="000A5831">
              <w:rPr>
                <w:rFonts w:eastAsia="MS Mincho"/>
              </w:rPr>
              <w:t>mg bd, 12</w:t>
            </w:r>
            <w:r w:rsidR="006E016C">
              <w:rPr>
                <w:rFonts w:eastAsia="MS Mincho"/>
              </w:rPr>
              <w:t xml:space="preserve"> </w:t>
            </w:r>
            <w:r w:rsidRPr="000A5831">
              <w:rPr>
                <w:rFonts w:eastAsia="MS Mincho"/>
              </w:rPr>
              <w:t>w</w:t>
            </w:r>
            <w:r w:rsidR="006E016C">
              <w:rPr>
                <w:rFonts w:eastAsia="MS Mincho"/>
              </w:rPr>
              <w:t>ee</w:t>
            </w:r>
            <w:r w:rsidRPr="000A5831">
              <w:rPr>
                <w:rFonts w:eastAsia="MS Mincho"/>
              </w:rPr>
              <w:t>ks</w:t>
            </w:r>
          </w:p>
          <w:p w:rsidR="000A5831" w:rsidRPr="000A5831" w:rsidRDefault="000A5831" w:rsidP="00C324F3">
            <w:pPr>
              <w:pStyle w:val="Tablewriting"/>
              <w:keepNext/>
              <w:numPr>
                <w:ilvl w:val="0"/>
                <w:numId w:val="8"/>
              </w:numPr>
              <w:rPr>
                <w:rFonts w:eastAsia="MS Mincho"/>
              </w:rPr>
            </w:pPr>
            <w:r w:rsidRPr="000A5831">
              <w:rPr>
                <w:rFonts w:eastAsia="MS Mincho"/>
              </w:rPr>
              <w:t>NRT patch, 12</w:t>
            </w:r>
            <w:r w:rsidR="006E016C">
              <w:rPr>
                <w:rFonts w:eastAsia="MS Mincho"/>
              </w:rPr>
              <w:t xml:space="preserve"> </w:t>
            </w:r>
            <w:r w:rsidRPr="000A5831">
              <w:rPr>
                <w:rFonts w:eastAsia="MS Mincho"/>
              </w:rPr>
              <w:t>w</w:t>
            </w:r>
            <w:r w:rsidR="006E016C">
              <w:rPr>
                <w:rFonts w:eastAsia="MS Mincho"/>
              </w:rPr>
              <w:t>ee</w:t>
            </w:r>
            <w:r w:rsidRPr="000A5831">
              <w:rPr>
                <w:rFonts w:eastAsia="MS Mincho"/>
              </w:rPr>
              <w:t>ks, 21</w:t>
            </w:r>
            <w:r w:rsidR="006E016C">
              <w:rPr>
                <w:rFonts w:eastAsia="MS Mincho"/>
              </w:rPr>
              <w:t xml:space="preserve"> </w:t>
            </w:r>
            <w:r w:rsidRPr="000A5831">
              <w:rPr>
                <w:rFonts w:eastAsia="MS Mincho"/>
              </w:rPr>
              <w:t>mg dose tapered down</w:t>
            </w:r>
          </w:p>
          <w:p w:rsidR="000A5831" w:rsidRPr="000A5831" w:rsidRDefault="000A5831" w:rsidP="00C324F3">
            <w:pPr>
              <w:pStyle w:val="Tablewriting"/>
              <w:keepNext/>
              <w:numPr>
                <w:ilvl w:val="0"/>
                <w:numId w:val="8"/>
              </w:numPr>
              <w:rPr>
                <w:rFonts w:eastAsia="MS Mincho"/>
              </w:rPr>
            </w:pPr>
            <w:r w:rsidRPr="000A5831">
              <w:rPr>
                <w:rFonts w:eastAsia="MS Mincho"/>
              </w:rPr>
              <w:t>Placebo, 12 w</w:t>
            </w:r>
            <w:r w:rsidR="006E016C">
              <w:rPr>
                <w:rFonts w:eastAsia="MS Mincho"/>
              </w:rPr>
              <w:t>ee</w:t>
            </w:r>
            <w:r w:rsidRPr="000A5831">
              <w:rPr>
                <w:rFonts w:eastAsia="MS Mincho"/>
              </w:rPr>
              <w:t>ks</w:t>
            </w:r>
          </w:p>
          <w:p w:rsidR="000A5831" w:rsidRPr="00554906" w:rsidRDefault="000A5831" w:rsidP="00FF725F">
            <w:pPr>
              <w:pStyle w:val="Tablewriting"/>
              <w:keepNext/>
              <w:rPr>
                <w:rFonts w:eastAsia="MS Mincho"/>
                <w:u w:val="single"/>
              </w:rPr>
            </w:pPr>
            <w:r w:rsidRPr="00554906">
              <w:rPr>
                <w:rFonts w:eastAsia="MS Mincho"/>
                <w:u w:val="single"/>
              </w:rPr>
              <w:t>Common elements</w:t>
            </w:r>
          </w:p>
          <w:p w:rsidR="001835D1" w:rsidRPr="00D11171" w:rsidRDefault="000A5831" w:rsidP="00C324F3">
            <w:pPr>
              <w:pStyle w:val="Tablewriting"/>
              <w:keepNext/>
              <w:numPr>
                <w:ilvl w:val="0"/>
                <w:numId w:val="8"/>
              </w:numPr>
              <w:rPr>
                <w:rFonts w:eastAsia="MS Mincho"/>
              </w:rPr>
            </w:pPr>
            <w:r w:rsidRPr="000A5831">
              <w:rPr>
                <w:rFonts w:eastAsia="MS Mincho"/>
              </w:rPr>
              <w:t>Smoking cessation counselling consisting of 10 minute sessions at each of the 15 clinic visits, totalling 2 hours and 30 minutes</w:t>
            </w:r>
          </w:p>
        </w:tc>
        <w:tc>
          <w:tcPr>
            <w:tcW w:w="1094" w:type="pct"/>
            <w:shd w:val="clear" w:color="auto" w:fill="auto"/>
            <w:tcMar>
              <w:left w:w="28" w:type="dxa"/>
              <w:right w:w="28" w:type="dxa"/>
            </w:tcMar>
          </w:tcPr>
          <w:p w:rsidR="000A5831" w:rsidRPr="000A5831" w:rsidRDefault="000A5831" w:rsidP="000A5831">
            <w:pPr>
              <w:pStyle w:val="Tableheading"/>
              <w:autoSpaceDE w:val="0"/>
              <w:autoSpaceDN w:val="0"/>
              <w:adjustRightInd w:val="0"/>
              <w:rPr>
                <w:rFonts w:eastAsiaTheme="minorEastAsia" w:cs="Calibri"/>
                <w:b w:val="0"/>
                <w:u w:val="single"/>
              </w:rPr>
            </w:pPr>
            <w:r>
              <w:rPr>
                <w:rFonts w:eastAsiaTheme="minorEastAsia" w:cs="Calibri"/>
                <w:b w:val="0"/>
                <w:u w:val="single"/>
              </w:rPr>
              <w:t>Safety</w:t>
            </w:r>
          </w:p>
          <w:p w:rsidR="000A5831" w:rsidRPr="00DD7C0B" w:rsidRDefault="000A5831" w:rsidP="000A5831">
            <w:pPr>
              <w:pStyle w:val="Tableheading"/>
              <w:autoSpaceDE w:val="0"/>
              <w:autoSpaceDN w:val="0"/>
              <w:adjustRightInd w:val="0"/>
              <w:rPr>
                <w:rFonts w:eastAsiaTheme="minorEastAsia" w:cs="Calibri"/>
                <w:b w:val="0"/>
              </w:rPr>
            </w:pPr>
            <w:r w:rsidRPr="00DD7C0B">
              <w:rPr>
                <w:rFonts w:eastAsiaTheme="minorEastAsia" w:cs="Calibri"/>
                <w:b w:val="0"/>
              </w:rPr>
              <w:t>MACE (time to major CV Event during treatment, i.e. CV death, nonfatal MI, nonfatal stroke)</w:t>
            </w:r>
          </w:p>
          <w:p w:rsidR="000A5831" w:rsidRPr="00DD7C0B" w:rsidRDefault="000A5831" w:rsidP="000A5831">
            <w:pPr>
              <w:pStyle w:val="Tableheading"/>
              <w:autoSpaceDE w:val="0"/>
              <w:autoSpaceDN w:val="0"/>
              <w:adjustRightInd w:val="0"/>
              <w:rPr>
                <w:rFonts w:eastAsiaTheme="minorEastAsia" w:cs="Calibri"/>
                <w:b w:val="0"/>
              </w:rPr>
            </w:pPr>
            <w:r w:rsidRPr="00DD7C0B">
              <w:rPr>
                <w:rFonts w:eastAsiaTheme="minorEastAsia" w:cs="Calibri"/>
                <w:b w:val="0"/>
              </w:rPr>
              <w:t>MACE (treatment-emergent)</w:t>
            </w:r>
          </w:p>
          <w:p w:rsidR="000A5831" w:rsidRPr="00DD7C0B" w:rsidRDefault="000A5831" w:rsidP="000A5831">
            <w:pPr>
              <w:pStyle w:val="Tableheading"/>
              <w:autoSpaceDE w:val="0"/>
              <w:autoSpaceDN w:val="0"/>
              <w:adjustRightInd w:val="0"/>
              <w:rPr>
                <w:rFonts w:eastAsiaTheme="minorEastAsia" w:cs="Calibri"/>
                <w:b w:val="0"/>
              </w:rPr>
            </w:pPr>
            <w:r w:rsidRPr="00DD7C0B">
              <w:rPr>
                <w:rFonts w:eastAsiaTheme="minorEastAsia" w:cs="Calibri"/>
                <w:b w:val="0"/>
              </w:rPr>
              <w:t>MACE (end-of-study, w</w:t>
            </w:r>
            <w:r w:rsidR="00FA4314">
              <w:rPr>
                <w:rFonts w:eastAsiaTheme="minorEastAsia" w:cs="Calibri"/>
                <w:b w:val="0"/>
              </w:rPr>
              <w:t>ee</w:t>
            </w:r>
            <w:r w:rsidRPr="00DD7C0B">
              <w:rPr>
                <w:rFonts w:eastAsiaTheme="minorEastAsia" w:cs="Calibri"/>
                <w:b w:val="0"/>
              </w:rPr>
              <w:t>k</w:t>
            </w:r>
            <w:r w:rsidR="00FA4314">
              <w:rPr>
                <w:rFonts w:eastAsiaTheme="minorEastAsia" w:cs="Calibri"/>
                <w:b w:val="0"/>
              </w:rPr>
              <w:t xml:space="preserve"> </w:t>
            </w:r>
            <w:r w:rsidRPr="00DD7C0B">
              <w:rPr>
                <w:rFonts w:eastAsiaTheme="minorEastAsia" w:cs="Calibri"/>
                <w:b w:val="0"/>
              </w:rPr>
              <w:t>52 for extension study and 24</w:t>
            </w:r>
            <w:r w:rsidR="00FA4314">
              <w:rPr>
                <w:rFonts w:eastAsiaTheme="minorEastAsia" w:cs="Calibri"/>
                <w:b w:val="0"/>
              </w:rPr>
              <w:t xml:space="preserve"> </w:t>
            </w:r>
            <w:r w:rsidRPr="00DD7C0B">
              <w:rPr>
                <w:rFonts w:eastAsiaTheme="minorEastAsia" w:cs="Calibri"/>
                <w:b w:val="0"/>
              </w:rPr>
              <w:t>w</w:t>
            </w:r>
            <w:r w:rsidR="00FA4314">
              <w:rPr>
                <w:rFonts w:eastAsiaTheme="minorEastAsia" w:cs="Calibri"/>
                <w:b w:val="0"/>
              </w:rPr>
              <w:t>ee</w:t>
            </w:r>
            <w:r w:rsidRPr="00DD7C0B">
              <w:rPr>
                <w:rFonts w:eastAsiaTheme="minorEastAsia" w:cs="Calibri"/>
                <w:b w:val="0"/>
              </w:rPr>
              <w:t>k for others)</w:t>
            </w:r>
          </w:p>
          <w:p w:rsidR="000A5831" w:rsidRPr="00554906" w:rsidRDefault="000A5831" w:rsidP="000A5831">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rsidR="000A5831" w:rsidRPr="00DD7C0B" w:rsidRDefault="000A5831" w:rsidP="000A5831">
            <w:pPr>
              <w:pStyle w:val="Tableheading"/>
              <w:autoSpaceDE w:val="0"/>
              <w:autoSpaceDN w:val="0"/>
              <w:adjustRightInd w:val="0"/>
              <w:rPr>
                <w:rFonts w:eastAsiaTheme="minorEastAsia" w:cs="Calibri"/>
                <w:b w:val="0"/>
              </w:rPr>
            </w:pPr>
            <w:r w:rsidRPr="00DD7C0B">
              <w:rPr>
                <w:rFonts w:eastAsiaTheme="minorEastAsia" w:cs="Calibri"/>
                <w:b w:val="0"/>
              </w:rPr>
              <w:t>Occurrence of MACE</w:t>
            </w:r>
            <w:r w:rsidR="00FA4314">
              <w:rPr>
                <w:rFonts w:eastAsiaTheme="minorEastAsia" w:cs="Calibri"/>
                <w:b w:val="0"/>
              </w:rPr>
              <w:t>, e</w:t>
            </w:r>
            <w:r w:rsidRPr="00DD7C0B">
              <w:rPr>
                <w:rFonts w:eastAsiaTheme="minorEastAsia" w:cs="Calibri"/>
                <w:b w:val="0"/>
              </w:rPr>
              <w:t>valuation of MACE+ (i.e. new or worsening PVD)</w:t>
            </w:r>
          </w:p>
          <w:p w:rsidR="000A5831" w:rsidRPr="00DD7C0B" w:rsidRDefault="000A5831" w:rsidP="000A5831">
            <w:pPr>
              <w:pStyle w:val="Tableheading"/>
              <w:autoSpaceDE w:val="0"/>
              <w:autoSpaceDN w:val="0"/>
              <w:adjustRightInd w:val="0"/>
              <w:rPr>
                <w:rFonts w:eastAsiaTheme="minorEastAsia" w:cs="Calibri"/>
                <w:b w:val="0"/>
              </w:rPr>
            </w:pPr>
            <w:r w:rsidRPr="00DD7C0B">
              <w:rPr>
                <w:rFonts w:eastAsiaTheme="minorEastAsia" w:cs="Calibri"/>
                <w:b w:val="0"/>
              </w:rPr>
              <w:t>CV deaths</w:t>
            </w:r>
            <w:r w:rsidR="00FA4314">
              <w:rPr>
                <w:rFonts w:eastAsiaTheme="minorEastAsia" w:cs="Calibri"/>
                <w:b w:val="0"/>
              </w:rPr>
              <w:t xml:space="preserve">, </w:t>
            </w:r>
            <w:r w:rsidRPr="00DD7C0B">
              <w:rPr>
                <w:rFonts w:eastAsiaTheme="minorEastAsia" w:cs="Calibri"/>
                <w:b w:val="0"/>
              </w:rPr>
              <w:t>nonfatal MI</w:t>
            </w:r>
            <w:r w:rsidR="00FF4C28">
              <w:rPr>
                <w:rFonts w:eastAsiaTheme="minorEastAsia" w:cs="Calibri"/>
                <w:b w:val="0"/>
              </w:rPr>
              <w:t xml:space="preserve">, </w:t>
            </w:r>
            <w:r w:rsidRPr="00DD7C0B">
              <w:rPr>
                <w:rFonts w:eastAsiaTheme="minorEastAsia" w:cs="Calibri"/>
                <w:b w:val="0"/>
              </w:rPr>
              <w:t>nonfatal stroke</w:t>
            </w:r>
          </w:p>
          <w:p w:rsidR="001835D1" w:rsidRPr="00320A67" w:rsidRDefault="000A5831" w:rsidP="000A5831">
            <w:pPr>
              <w:pStyle w:val="Tableheading"/>
              <w:autoSpaceDE w:val="0"/>
              <w:autoSpaceDN w:val="0"/>
              <w:adjustRightInd w:val="0"/>
              <w:rPr>
                <w:rFonts w:eastAsiaTheme="minorEastAsia" w:cs="Calibri"/>
                <w:b w:val="0"/>
                <w:u w:val="single"/>
              </w:rPr>
            </w:pPr>
            <w:r w:rsidRPr="00DD7C0B">
              <w:rPr>
                <w:rFonts w:eastAsiaTheme="minorEastAsia" w:cs="Calibri"/>
                <w:b w:val="0"/>
              </w:rPr>
              <w:t>Hospitalisations for CHF</w:t>
            </w:r>
            <w:r w:rsidR="00FF4C28">
              <w:rPr>
                <w:rFonts w:eastAsiaTheme="minorEastAsia" w:cs="Calibri"/>
                <w:b w:val="0"/>
              </w:rPr>
              <w:t>.</w:t>
            </w:r>
          </w:p>
        </w:tc>
      </w:tr>
      <w:tr w:rsidR="003A409B"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1835D1" w:rsidRPr="001E2154" w:rsidRDefault="00F476D3" w:rsidP="00693DA2">
            <w:pPr>
              <w:pStyle w:val="Tableheading"/>
              <w:autoSpaceDE w:val="0"/>
              <w:autoSpaceDN w:val="0"/>
              <w:adjustRightInd w:val="0"/>
              <w:rPr>
                <w:rFonts w:eastAsiaTheme="minorEastAsia" w:cs="Calibri"/>
                <w:b w:val="0"/>
              </w:rPr>
            </w:pPr>
            <w:r>
              <w:rPr>
                <w:rFonts w:eastAsiaTheme="minorEastAsia" w:cs="Calibri"/>
                <w:b w:val="0"/>
              </w:rPr>
              <w:t>Rohsenow 2017</w:t>
            </w:r>
          </w:p>
        </w:tc>
        <w:tc>
          <w:tcPr>
            <w:tcW w:w="379" w:type="pct"/>
            <w:shd w:val="clear" w:color="auto" w:fill="auto"/>
          </w:tcPr>
          <w:p w:rsidR="001835D1" w:rsidRPr="001E2154" w:rsidRDefault="00F476D3"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1835D1" w:rsidRPr="001E2154" w:rsidRDefault="00137DFA"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rsidR="001835D1" w:rsidRPr="001E2154" w:rsidRDefault="00137DFA" w:rsidP="00693DA2">
            <w:pPr>
              <w:pStyle w:val="Tableheading"/>
              <w:autoSpaceDE w:val="0"/>
              <w:autoSpaceDN w:val="0"/>
              <w:adjustRightInd w:val="0"/>
              <w:rPr>
                <w:rFonts w:eastAsiaTheme="minorEastAsia" w:cs="Calibri"/>
                <w:b w:val="0"/>
              </w:rPr>
            </w:pPr>
            <w:r>
              <w:rPr>
                <w:rFonts w:eastAsiaTheme="minorEastAsia" w:cs="Calibri"/>
                <w:b w:val="0"/>
              </w:rPr>
              <w:t>137</w:t>
            </w:r>
          </w:p>
        </w:tc>
        <w:tc>
          <w:tcPr>
            <w:tcW w:w="1142" w:type="pct"/>
            <w:shd w:val="clear" w:color="auto" w:fill="auto"/>
            <w:tcMar>
              <w:left w:w="28" w:type="dxa"/>
              <w:right w:w="28" w:type="dxa"/>
            </w:tcMar>
          </w:tcPr>
          <w:p w:rsidR="00137DFA" w:rsidRPr="00137DFA" w:rsidRDefault="00137DFA" w:rsidP="00137DFA">
            <w:pPr>
              <w:pStyle w:val="Tableheading"/>
              <w:autoSpaceDE w:val="0"/>
              <w:autoSpaceDN w:val="0"/>
              <w:adjustRightInd w:val="0"/>
              <w:rPr>
                <w:rFonts w:eastAsiaTheme="minorEastAsia" w:cs="Calibri"/>
                <w:b w:val="0"/>
              </w:rPr>
            </w:pPr>
            <w:r w:rsidRPr="00137DFA">
              <w:rPr>
                <w:rFonts w:eastAsiaTheme="minorEastAsia" w:cs="Calibri"/>
                <w:b w:val="0"/>
              </w:rPr>
              <w:t>Adult (18-75yrs) smokers (10+ CPD for the past 6</w:t>
            </w:r>
            <w:r w:rsidR="00E4625C">
              <w:rPr>
                <w:rFonts w:eastAsiaTheme="minorEastAsia" w:cs="Calibri"/>
                <w:b w:val="0"/>
              </w:rPr>
              <w:t xml:space="preserve"> </w:t>
            </w:r>
            <w:r w:rsidRPr="00137DFA">
              <w:rPr>
                <w:rFonts w:eastAsiaTheme="minorEastAsia" w:cs="Calibri"/>
                <w:b w:val="0"/>
              </w:rPr>
              <w:t>mo</w:t>
            </w:r>
            <w:r w:rsidR="00E4625C">
              <w:rPr>
                <w:rFonts w:eastAsiaTheme="minorEastAsia" w:cs="Calibri"/>
                <w:b w:val="0"/>
              </w:rPr>
              <w:t>nths</w:t>
            </w:r>
            <w:r w:rsidRPr="00137DFA">
              <w:rPr>
                <w:rFonts w:eastAsiaTheme="minorEastAsia" w:cs="Calibri"/>
                <w:b w:val="0"/>
              </w:rPr>
              <w:t xml:space="preserve">) with SUD diagnosis and enrolled in any out-patient SUD treatment. Did not need to be motivated to quit </w:t>
            </w:r>
          </w:p>
          <w:p w:rsidR="00137DFA" w:rsidRPr="00137DFA" w:rsidRDefault="00137DFA" w:rsidP="00137DFA">
            <w:pPr>
              <w:pStyle w:val="Tableheading"/>
              <w:autoSpaceDE w:val="0"/>
              <w:autoSpaceDN w:val="0"/>
              <w:adjustRightInd w:val="0"/>
              <w:rPr>
                <w:rFonts w:eastAsiaTheme="minorEastAsia" w:cs="Calibri"/>
                <w:b w:val="0"/>
              </w:rPr>
            </w:pPr>
            <w:r w:rsidRPr="00554906">
              <w:rPr>
                <w:rFonts w:eastAsiaTheme="minorEastAsia" w:cs="Calibri"/>
                <w:b w:val="0"/>
                <w:u w:val="single"/>
              </w:rPr>
              <w:t>Exclusions</w:t>
            </w:r>
            <w:r w:rsidRPr="00137DFA">
              <w:rPr>
                <w:rFonts w:eastAsiaTheme="minorEastAsia" w:cs="Calibri"/>
                <w:b w:val="0"/>
              </w:rPr>
              <w:t xml:space="preserve">: </w:t>
            </w:r>
          </w:p>
          <w:p w:rsidR="001835D1" w:rsidRPr="001E2154" w:rsidRDefault="00137DFA" w:rsidP="00137DFA">
            <w:pPr>
              <w:pStyle w:val="Tableheading"/>
              <w:autoSpaceDE w:val="0"/>
              <w:autoSpaceDN w:val="0"/>
              <w:adjustRightInd w:val="0"/>
              <w:rPr>
                <w:rFonts w:eastAsiaTheme="minorEastAsia" w:cs="Calibri"/>
                <w:b w:val="0"/>
              </w:rPr>
            </w:pPr>
            <w:r w:rsidRPr="00137DFA">
              <w:rPr>
                <w:rFonts w:eastAsiaTheme="minorEastAsia" w:cs="Calibri"/>
                <w:b w:val="0"/>
              </w:rPr>
              <w:t>Evidence of hallucinations or delusions</w:t>
            </w:r>
            <w:r w:rsidR="009E7142" w:rsidRPr="00137DFA">
              <w:rPr>
                <w:rFonts w:eastAsiaTheme="minorEastAsia" w:cs="Calibri"/>
                <w:b w:val="0"/>
              </w:rPr>
              <w:t>, current</w:t>
            </w:r>
            <w:r w:rsidRPr="00137DFA">
              <w:rPr>
                <w:rFonts w:eastAsiaTheme="minorEastAsia" w:cs="Calibri"/>
                <w:b w:val="0"/>
              </w:rPr>
              <w:t xml:space="preserve"> smoking cessation treatment, contraindications for either medication (such as pregnancy, uncontrolled </w:t>
            </w:r>
            <w:r w:rsidRPr="00137DFA">
              <w:rPr>
                <w:rFonts w:eastAsiaTheme="minorEastAsia" w:cs="Calibri"/>
                <w:b w:val="0"/>
              </w:rPr>
              <w:lastRenderedPageBreak/>
              <w:t>hypertension or severe renal impairment), using medications affected by smoking cessation (antipsychotics, warfarin, theophylline and insulin), suicidal plan or attempts in past 5 yrs, not willing to try to quit smoking and substance use reported on the day of or before recruitment or positive breath alcohol at recruitment.</w:t>
            </w:r>
          </w:p>
        </w:tc>
        <w:tc>
          <w:tcPr>
            <w:tcW w:w="808" w:type="pct"/>
            <w:shd w:val="clear" w:color="auto" w:fill="auto"/>
          </w:tcPr>
          <w:p w:rsidR="00137DFA" w:rsidRPr="00137DFA" w:rsidRDefault="00137DFA" w:rsidP="00C324F3">
            <w:pPr>
              <w:pStyle w:val="Tablewriting"/>
              <w:keepNext/>
              <w:numPr>
                <w:ilvl w:val="0"/>
                <w:numId w:val="8"/>
              </w:numPr>
              <w:rPr>
                <w:rFonts w:eastAsia="MS Mincho"/>
              </w:rPr>
            </w:pPr>
            <w:r w:rsidRPr="00137DFA">
              <w:rPr>
                <w:rFonts w:eastAsia="MS Mincho"/>
              </w:rPr>
              <w:lastRenderedPageBreak/>
              <w:t>Varenicline, 1</w:t>
            </w:r>
            <w:r w:rsidR="00DB7A7C">
              <w:rPr>
                <w:rFonts w:eastAsia="MS Mincho"/>
              </w:rPr>
              <w:t xml:space="preserve"> </w:t>
            </w:r>
            <w:r w:rsidRPr="00137DFA">
              <w:rPr>
                <w:rFonts w:eastAsia="MS Mincho"/>
              </w:rPr>
              <w:t>mg bd, 12 w</w:t>
            </w:r>
            <w:r w:rsidR="00DB7A7C">
              <w:rPr>
                <w:rFonts w:eastAsia="MS Mincho"/>
              </w:rPr>
              <w:t>ee</w:t>
            </w:r>
            <w:r w:rsidRPr="00137DFA">
              <w:rPr>
                <w:rFonts w:eastAsia="MS Mincho"/>
              </w:rPr>
              <w:t>ks with 1 week titrated dose prior to quit date</w:t>
            </w:r>
          </w:p>
          <w:p w:rsidR="00137DFA" w:rsidRPr="00137DFA" w:rsidRDefault="00137DFA" w:rsidP="00C324F3">
            <w:pPr>
              <w:pStyle w:val="Tablewriting"/>
              <w:keepNext/>
              <w:numPr>
                <w:ilvl w:val="0"/>
                <w:numId w:val="8"/>
              </w:numPr>
              <w:rPr>
                <w:rFonts w:eastAsia="MS Mincho"/>
              </w:rPr>
            </w:pPr>
            <w:r w:rsidRPr="00137DFA">
              <w:rPr>
                <w:rFonts w:eastAsia="MS Mincho"/>
              </w:rPr>
              <w:t>NRT patch, 12 weeks, 21</w:t>
            </w:r>
            <w:r w:rsidR="00A1651B">
              <w:rPr>
                <w:rFonts w:eastAsia="MS Mincho"/>
              </w:rPr>
              <w:t xml:space="preserve"> </w:t>
            </w:r>
            <w:r w:rsidRPr="00137DFA">
              <w:rPr>
                <w:rFonts w:eastAsia="MS Mincho"/>
              </w:rPr>
              <w:t>mg/24hours, dose tapered down</w:t>
            </w:r>
          </w:p>
          <w:p w:rsidR="00137DFA" w:rsidRPr="00137DFA" w:rsidRDefault="00137DFA" w:rsidP="00FF725F">
            <w:pPr>
              <w:pStyle w:val="Tablewriting"/>
              <w:keepNext/>
              <w:rPr>
                <w:rFonts w:eastAsia="MS Mincho"/>
              </w:rPr>
            </w:pPr>
            <w:r w:rsidRPr="00554906">
              <w:rPr>
                <w:rFonts w:eastAsia="MS Mincho"/>
                <w:u w:val="single"/>
              </w:rPr>
              <w:t>Common elements</w:t>
            </w:r>
            <w:r w:rsidRPr="00137DFA">
              <w:rPr>
                <w:rFonts w:eastAsia="MS Mincho"/>
              </w:rPr>
              <w:t>:</w:t>
            </w:r>
          </w:p>
          <w:p w:rsidR="001835D1" w:rsidRPr="00D11171" w:rsidRDefault="00137DFA" w:rsidP="00C324F3">
            <w:pPr>
              <w:pStyle w:val="Tablewriting"/>
              <w:keepNext/>
              <w:numPr>
                <w:ilvl w:val="0"/>
                <w:numId w:val="8"/>
              </w:numPr>
              <w:rPr>
                <w:rFonts w:eastAsia="MS Mincho"/>
              </w:rPr>
            </w:pPr>
            <w:r w:rsidRPr="00137DFA">
              <w:rPr>
                <w:rFonts w:eastAsia="MS Mincho"/>
              </w:rPr>
              <w:t xml:space="preserve">Brief advice sessions (pre-quit, quit day, 8 </w:t>
            </w:r>
            <w:r w:rsidRPr="00137DFA">
              <w:rPr>
                <w:rFonts w:eastAsia="MS Mincho"/>
              </w:rPr>
              <w:lastRenderedPageBreak/>
              <w:t>weekly 5-10 minute sessions)</w:t>
            </w:r>
          </w:p>
        </w:tc>
        <w:tc>
          <w:tcPr>
            <w:tcW w:w="1094" w:type="pct"/>
            <w:shd w:val="clear" w:color="auto" w:fill="auto"/>
            <w:tcMar>
              <w:left w:w="28" w:type="dxa"/>
              <w:right w:w="28" w:type="dxa"/>
            </w:tcMar>
          </w:tcPr>
          <w:p w:rsidR="00137DFA" w:rsidRPr="00137DFA" w:rsidRDefault="00137DFA" w:rsidP="00137DFA">
            <w:pPr>
              <w:pStyle w:val="Tableheading"/>
              <w:autoSpaceDE w:val="0"/>
              <w:autoSpaceDN w:val="0"/>
              <w:adjustRightInd w:val="0"/>
              <w:rPr>
                <w:rFonts w:eastAsiaTheme="minorEastAsia" w:cs="Calibri"/>
                <w:b w:val="0"/>
                <w:u w:val="single"/>
              </w:rPr>
            </w:pPr>
            <w:r w:rsidRPr="00137DFA">
              <w:rPr>
                <w:rFonts w:eastAsiaTheme="minorEastAsia" w:cs="Calibri"/>
                <w:b w:val="0"/>
                <w:u w:val="single"/>
              </w:rPr>
              <w:lastRenderedPageBreak/>
              <w:t>Efficacy</w:t>
            </w:r>
            <w:r w:rsidR="00F95EF8">
              <w:rPr>
                <w:rFonts w:eastAsiaTheme="minorEastAsia" w:cs="Calibri"/>
                <w:b w:val="0"/>
                <w:u w:val="single"/>
              </w:rPr>
              <w:t>:</w:t>
            </w:r>
          </w:p>
          <w:p w:rsidR="00F95EF8" w:rsidRDefault="00137DFA" w:rsidP="00137DFA">
            <w:pPr>
              <w:pStyle w:val="Tableheading"/>
              <w:autoSpaceDE w:val="0"/>
              <w:autoSpaceDN w:val="0"/>
              <w:adjustRightInd w:val="0"/>
              <w:rPr>
                <w:rFonts w:eastAsiaTheme="minorEastAsia" w:cs="Calibri"/>
                <w:b w:val="0"/>
              </w:rPr>
            </w:pPr>
            <w:r w:rsidRPr="00554906">
              <w:rPr>
                <w:rFonts w:eastAsiaTheme="minorEastAsia" w:cs="Calibri"/>
                <w:b w:val="0"/>
                <w:i/>
                <w:iCs/>
              </w:rPr>
              <w:t>Primary</w:t>
            </w:r>
          </w:p>
          <w:p w:rsidR="00137DFA" w:rsidRPr="003A352C" w:rsidRDefault="00137DFA" w:rsidP="00137DFA">
            <w:pPr>
              <w:pStyle w:val="Tableheading"/>
              <w:autoSpaceDE w:val="0"/>
              <w:autoSpaceDN w:val="0"/>
              <w:adjustRightInd w:val="0"/>
              <w:rPr>
                <w:rFonts w:eastAsiaTheme="minorEastAsia" w:cs="Calibri"/>
                <w:b w:val="0"/>
              </w:rPr>
            </w:pPr>
            <w:r w:rsidRPr="003A352C">
              <w:rPr>
                <w:rFonts w:eastAsiaTheme="minorEastAsia" w:cs="Calibri"/>
                <w:b w:val="0"/>
              </w:rPr>
              <w:t>7-day PPA, CO-confirmed (&lt;=4ppm and salivary cotinine &lt;=15ng/mL), 3 mo</w:t>
            </w:r>
            <w:r w:rsidR="00FF4C28">
              <w:rPr>
                <w:rFonts w:eastAsiaTheme="minorEastAsia" w:cs="Calibri"/>
                <w:b w:val="0"/>
              </w:rPr>
              <w:t>nths.</w:t>
            </w:r>
          </w:p>
          <w:p w:rsidR="00F95EF8" w:rsidRPr="00554906" w:rsidRDefault="00137DFA" w:rsidP="00137DFA">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rsidR="00137DFA" w:rsidRPr="003A352C" w:rsidRDefault="00137DFA" w:rsidP="00137DFA">
            <w:pPr>
              <w:pStyle w:val="Tableheading"/>
              <w:autoSpaceDE w:val="0"/>
              <w:autoSpaceDN w:val="0"/>
              <w:adjustRightInd w:val="0"/>
              <w:rPr>
                <w:rFonts w:eastAsiaTheme="minorEastAsia" w:cs="Calibri"/>
                <w:b w:val="0"/>
              </w:rPr>
            </w:pPr>
            <w:r w:rsidRPr="003A352C">
              <w:rPr>
                <w:rFonts w:eastAsiaTheme="minorEastAsia" w:cs="Calibri"/>
                <w:b w:val="0"/>
              </w:rPr>
              <w:t>7-day confirmed PPA,  6 mo</w:t>
            </w:r>
            <w:r w:rsidR="009E7142">
              <w:rPr>
                <w:rFonts w:eastAsiaTheme="minorEastAsia" w:cs="Calibri"/>
                <w:b w:val="0"/>
              </w:rPr>
              <w:t>nth</w:t>
            </w:r>
          </w:p>
          <w:p w:rsidR="001835D1" w:rsidRPr="00320A67" w:rsidRDefault="00137DFA" w:rsidP="00137DFA">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00F95EF8">
              <w:rPr>
                <w:rFonts w:eastAsiaTheme="minorEastAsia" w:cs="Calibri"/>
                <w:b w:val="0"/>
                <w:u w:val="single"/>
              </w:rPr>
              <w:t>:</w:t>
            </w:r>
            <w:r w:rsidR="00F95EF8">
              <w:rPr>
                <w:rFonts w:eastAsiaTheme="minorEastAsia" w:cs="Calibri"/>
                <w:b w:val="0"/>
              </w:rPr>
              <w:t xml:space="preserve"> </w:t>
            </w:r>
            <w:r w:rsidRPr="003A352C">
              <w:rPr>
                <w:rFonts w:eastAsiaTheme="minorEastAsia" w:cs="Calibri"/>
                <w:b w:val="0"/>
              </w:rPr>
              <w:t>Beck Depression Inventory (BDI)</w:t>
            </w:r>
            <w:r w:rsidR="00F95EF8">
              <w:rPr>
                <w:rFonts w:eastAsiaTheme="minorEastAsia" w:cs="Calibri"/>
                <w:b w:val="0"/>
              </w:rPr>
              <w:t xml:space="preserve">, </w:t>
            </w:r>
            <w:r w:rsidRPr="003A352C">
              <w:rPr>
                <w:rFonts w:eastAsiaTheme="minorEastAsia" w:cs="Calibri"/>
                <w:b w:val="0"/>
              </w:rPr>
              <w:t>AEs</w:t>
            </w:r>
            <w:r w:rsidR="00F95EF8">
              <w:rPr>
                <w:rFonts w:eastAsiaTheme="minorEastAsia" w:cs="Calibri"/>
                <w:b w:val="0"/>
              </w:rPr>
              <w:t>.</w:t>
            </w:r>
          </w:p>
        </w:tc>
      </w:tr>
      <w:tr w:rsidR="003A409B"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1835D1" w:rsidRPr="001E2154" w:rsidRDefault="0030465C" w:rsidP="00693DA2">
            <w:pPr>
              <w:pStyle w:val="Tableheading"/>
              <w:autoSpaceDE w:val="0"/>
              <w:autoSpaceDN w:val="0"/>
              <w:adjustRightInd w:val="0"/>
              <w:rPr>
                <w:rFonts w:eastAsiaTheme="minorEastAsia" w:cs="Calibri"/>
                <w:b w:val="0"/>
              </w:rPr>
            </w:pPr>
            <w:r>
              <w:rPr>
                <w:rFonts w:eastAsiaTheme="minorEastAsia" w:cs="Calibri"/>
                <w:b w:val="0"/>
              </w:rPr>
              <w:t>Littlewood 2017</w:t>
            </w:r>
          </w:p>
        </w:tc>
        <w:tc>
          <w:tcPr>
            <w:tcW w:w="379" w:type="pct"/>
            <w:shd w:val="clear" w:color="auto" w:fill="auto"/>
          </w:tcPr>
          <w:p w:rsidR="001835D1" w:rsidRPr="001E2154" w:rsidRDefault="005B23CF"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1835D1" w:rsidRPr="001E2154" w:rsidRDefault="005B23CF"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rsidR="001835D1" w:rsidRDefault="005B23CF" w:rsidP="00693DA2">
            <w:pPr>
              <w:pStyle w:val="Tableheading"/>
              <w:autoSpaceDE w:val="0"/>
              <w:autoSpaceDN w:val="0"/>
              <w:adjustRightInd w:val="0"/>
              <w:rPr>
                <w:rFonts w:eastAsiaTheme="minorEastAsia" w:cs="Calibri"/>
                <w:b w:val="0"/>
              </w:rPr>
            </w:pPr>
            <w:r>
              <w:rPr>
                <w:rFonts w:eastAsiaTheme="minorEastAsia" w:cs="Calibri"/>
                <w:b w:val="0"/>
              </w:rPr>
              <w:t>205</w:t>
            </w:r>
          </w:p>
          <w:p w:rsidR="005B23CF" w:rsidRDefault="005B23CF" w:rsidP="00693DA2">
            <w:pPr>
              <w:pStyle w:val="Tableheading"/>
              <w:autoSpaceDE w:val="0"/>
              <w:autoSpaceDN w:val="0"/>
              <w:adjustRightInd w:val="0"/>
              <w:rPr>
                <w:rFonts w:eastAsiaTheme="minorEastAsia" w:cs="Calibri"/>
                <w:b w:val="0"/>
              </w:rPr>
            </w:pPr>
            <w:r>
              <w:rPr>
                <w:rFonts w:eastAsiaTheme="minorEastAsia" w:cs="Calibri"/>
                <w:b w:val="0"/>
              </w:rPr>
              <w:t>n=</w:t>
            </w:r>
            <w:r w:rsidR="008B5A63">
              <w:rPr>
                <w:rFonts w:eastAsiaTheme="minorEastAsia" w:cs="Calibri"/>
                <w:b w:val="0"/>
              </w:rPr>
              <w:t>111</w:t>
            </w:r>
            <w:r>
              <w:rPr>
                <w:rFonts w:eastAsiaTheme="minorEastAsia" w:cs="Calibri"/>
                <w:b w:val="0"/>
              </w:rPr>
              <w:t xml:space="preserve"> (varenicline)</w:t>
            </w:r>
          </w:p>
          <w:p w:rsidR="005B23CF" w:rsidRPr="001E2154" w:rsidRDefault="005B23CF" w:rsidP="00693DA2">
            <w:pPr>
              <w:pStyle w:val="Tableheading"/>
              <w:autoSpaceDE w:val="0"/>
              <w:autoSpaceDN w:val="0"/>
              <w:adjustRightInd w:val="0"/>
              <w:rPr>
                <w:rFonts w:eastAsiaTheme="minorEastAsia" w:cs="Calibri"/>
                <w:b w:val="0"/>
              </w:rPr>
            </w:pPr>
            <w:r>
              <w:rPr>
                <w:rFonts w:eastAsiaTheme="minorEastAsia" w:cs="Calibri"/>
                <w:b w:val="0"/>
              </w:rPr>
              <w:t>n=</w:t>
            </w:r>
            <w:r w:rsidR="008B5A63">
              <w:rPr>
                <w:rFonts w:eastAsiaTheme="minorEastAsia" w:cs="Calibri"/>
                <w:b w:val="0"/>
              </w:rPr>
              <w:t>94</w:t>
            </w:r>
            <w:r>
              <w:rPr>
                <w:rFonts w:eastAsiaTheme="minorEastAsia" w:cs="Calibri"/>
                <w:b w:val="0"/>
              </w:rPr>
              <w:t xml:space="preserve"> (placebo)</w:t>
            </w:r>
          </w:p>
        </w:tc>
        <w:tc>
          <w:tcPr>
            <w:tcW w:w="1142" w:type="pct"/>
            <w:shd w:val="clear" w:color="auto" w:fill="auto"/>
            <w:tcMar>
              <w:left w:w="28" w:type="dxa"/>
              <w:right w:w="28" w:type="dxa"/>
            </w:tcMar>
          </w:tcPr>
          <w:p w:rsidR="002E0D7F" w:rsidRPr="002E0D7F" w:rsidRDefault="002E0D7F" w:rsidP="002E0D7F">
            <w:pPr>
              <w:pStyle w:val="Tableheading"/>
              <w:autoSpaceDE w:val="0"/>
              <w:autoSpaceDN w:val="0"/>
              <w:adjustRightInd w:val="0"/>
              <w:rPr>
                <w:rFonts w:eastAsiaTheme="minorEastAsia" w:cs="Calibri"/>
                <w:b w:val="0"/>
              </w:rPr>
            </w:pPr>
            <w:r w:rsidRPr="002E0D7F">
              <w:rPr>
                <w:rFonts w:eastAsiaTheme="minorEastAsia" w:cs="Calibri"/>
                <w:b w:val="0"/>
              </w:rPr>
              <w:t xml:space="preserve">Adults (18-55) smokers (&gt;=10 CPD), motivated to quit, </w:t>
            </w:r>
          </w:p>
          <w:p w:rsidR="002E0D7F" w:rsidRPr="002E0D7F" w:rsidRDefault="002E0D7F" w:rsidP="002E0D7F">
            <w:pPr>
              <w:pStyle w:val="Tableheading"/>
              <w:autoSpaceDE w:val="0"/>
              <w:autoSpaceDN w:val="0"/>
              <w:adjustRightInd w:val="0"/>
              <w:rPr>
                <w:rFonts w:eastAsiaTheme="minorEastAsia" w:cs="Calibri"/>
                <w:b w:val="0"/>
              </w:rPr>
            </w:pPr>
            <w:r w:rsidRPr="002E0D7F">
              <w:rPr>
                <w:rFonts w:eastAsiaTheme="minorEastAsia" w:cs="Calibri"/>
                <w:b w:val="0"/>
              </w:rPr>
              <w:t xml:space="preserve">Exclusions: </w:t>
            </w:r>
          </w:p>
          <w:p w:rsidR="001835D1" w:rsidRPr="001E2154" w:rsidRDefault="002E0D7F" w:rsidP="002E0D7F">
            <w:pPr>
              <w:pStyle w:val="Tableheading"/>
              <w:autoSpaceDE w:val="0"/>
              <w:autoSpaceDN w:val="0"/>
              <w:adjustRightInd w:val="0"/>
              <w:rPr>
                <w:rFonts w:eastAsiaTheme="minorEastAsia" w:cs="Calibri"/>
                <w:b w:val="0"/>
              </w:rPr>
            </w:pPr>
            <w:r w:rsidRPr="002E0D7F">
              <w:rPr>
                <w:rFonts w:eastAsiaTheme="minorEastAsia" w:cs="Calibri"/>
                <w:b w:val="0"/>
              </w:rPr>
              <w:t xml:space="preserve"> Previous varenicline use, serious medical of psychiatric condition in the past 6mo,illicit drug use (excluding marijuana in past 60 days, self-reported or physician identified health concerns (e.g. cardiovascular disease, uncontrolled hypertension, hepatic, or renal disease), currently taking insulin or oral </w:t>
            </w:r>
            <w:r w:rsidR="009E7142" w:rsidRPr="002E0D7F">
              <w:rPr>
                <w:rFonts w:eastAsiaTheme="minorEastAsia" w:cs="Calibri"/>
                <w:b w:val="0"/>
              </w:rPr>
              <w:t>hypoglycaemic</w:t>
            </w:r>
            <w:r w:rsidRPr="002E0D7F">
              <w:rPr>
                <w:rFonts w:eastAsiaTheme="minorEastAsia" w:cs="Calibri"/>
                <w:b w:val="0"/>
              </w:rPr>
              <w:t xml:space="preserve"> medication; self-reported use </w:t>
            </w:r>
            <w:r w:rsidR="009E7142" w:rsidRPr="002E0D7F">
              <w:rPr>
                <w:rFonts w:eastAsiaTheme="minorEastAsia" w:cs="Calibri"/>
                <w:b w:val="0"/>
              </w:rPr>
              <w:t>of cocaine</w:t>
            </w:r>
            <w:r w:rsidRPr="002E0D7F">
              <w:rPr>
                <w:rFonts w:eastAsiaTheme="minorEastAsia" w:cs="Calibri"/>
                <w:b w:val="0"/>
              </w:rPr>
              <w:t>, methamphetamine, heroin, or other illicit drugs (excluding marijuana) in the previous 60 days or a positive urine toxicology screen; (d) met DSM-</w:t>
            </w:r>
            <w:r w:rsidR="009E7142" w:rsidRPr="002E0D7F">
              <w:rPr>
                <w:rFonts w:eastAsiaTheme="minorEastAsia" w:cs="Calibri"/>
                <w:b w:val="0"/>
              </w:rPr>
              <w:t>I criteria</w:t>
            </w:r>
            <w:r w:rsidRPr="002E0D7F">
              <w:rPr>
                <w:rFonts w:eastAsiaTheme="minorEastAsia" w:cs="Calibri"/>
                <w:b w:val="0"/>
              </w:rPr>
              <w:t xml:space="preserve"> for psychotic disorder, bipolar disorder, or major depression in the past year.</w:t>
            </w:r>
          </w:p>
        </w:tc>
        <w:tc>
          <w:tcPr>
            <w:tcW w:w="808" w:type="pct"/>
            <w:shd w:val="clear" w:color="auto" w:fill="auto"/>
          </w:tcPr>
          <w:p w:rsidR="002E0D7F" w:rsidRPr="002E0D7F" w:rsidRDefault="002E0D7F" w:rsidP="00C324F3">
            <w:pPr>
              <w:pStyle w:val="Tablewriting"/>
              <w:keepNext/>
              <w:numPr>
                <w:ilvl w:val="0"/>
                <w:numId w:val="8"/>
              </w:numPr>
              <w:rPr>
                <w:rFonts w:eastAsia="MS Mincho"/>
              </w:rPr>
            </w:pPr>
            <w:r w:rsidRPr="002E0D7F">
              <w:rPr>
                <w:rFonts w:eastAsia="MS Mincho"/>
              </w:rPr>
              <w:t>Varenicline, 1</w:t>
            </w:r>
            <w:r w:rsidR="00DB7A7C">
              <w:rPr>
                <w:rFonts w:eastAsia="MS Mincho"/>
              </w:rPr>
              <w:t xml:space="preserve"> </w:t>
            </w:r>
            <w:r w:rsidRPr="002E0D7F">
              <w:rPr>
                <w:rFonts w:eastAsia="MS Mincho"/>
              </w:rPr>
              <w:t>mg bd, 12 w</w:t>
            </w:r>
            <w:r w:rsidR="00DB7A7C">
              <w:rPr>
                <w:rFonts w:eastAsia="MS Mincho"/>
              </w:rPr>
              <w:t>ee</w:t>
            </w:r>
            <w:r w:rsidRPr="002E0D7F">
              <w:rPr>
                <w:rFonts w:eastAsia="MS Mincho"/>
              </w:rPr>
              <w:t>ks with dose titration 1</w:t>
            </w:r>
            <w:r w:rsidR="00DB7A7C">
              <w:rPr>
                <w:rFonts w:eastAsia="MS Mincho"/>
              </w:rPr>
              <w:t xml:space="preserve"> </w:t>
            </w:r>
            <w:r w:rsidRPr="002E0D7F">
              <w:rPr>
                <w:rFonts w:eastAsia="MS Mincho"/>
              </w:rPr>
              <w:t>w</w:t>
            </w:r>
            <w:r w:rsidR="00DB7A7C">
              <w:rPr>
                <w:rFonts w:eastAsia="MS Mincho"/>
              </w:rPr>
              <w:t>ee</w:t>
            </w:r>
            <w:r w:rsidRPr="002E0D7F">
              <w:rPr>
                <w:rFonts w:eastAsia="MS Mincho"/>
              </w:rPr>
              <w:t>k prior to quit date</w:t>
            </w:r>
          </w:p>
          <w:p w:rsidR="002E0D7F" w:rsidRPr="002E0D7F" w:rsidRDefault="002E0D7F" w:rsidP="00C324F3">
            <w:pPr>
              <w:pStyle w:val="Tablewriting"/>
              <w:keepNext/>
              <w:numPr>
                <w:ilvl w:val="0"/>
                <w:numId w:val="8"/>
              </w:numPr>
              <w:rPr>
                <w:rFonts w:eastAsia="MS Mincho"/>
              </w:rPr>
            </w:pPr>
            <w:r w:rsidRPr="002E0D7F">
              <w:rPr>
                <w:rFonts w:eastAsia="MS Mincho"/>
              </w:rPr>
              <w:t>Placebo</w:t>
            </w:r>
          </w:p>
          <w:p w:rsidR="002E0D7F" w:rsidRPr="002E0D7F" w:rsidRDefault="002E0D7F" w:rsidP="00FF725F">
            <w:pPr>
              <w:pStyle w:val="Tablewriting"/>
              <w:keepNext/>
              <w:rPr>
                <w:rFonts w:eastAsia="MS Mincho"/>
              </w:rPr>
            </w:pPr>
            <w:r w:rsidRPr="00554906">
              <w:rPr>
                <w:rFonts w:eastAsia="MS Mincho"/>
                <w:u w:val="single"/>
              </w:rPr>
              <w:t>Common elements</w:t>
            </w:r>
            <w:r w:rsidRPr="002E0D7F">
              <w:rPr>
                <w:rFonts w:eastAsia="MS Mincho"/>
              </w:rPr>
              <w:t>:</w:t>
            </w:r>
          </w:p>
          <w:p w:rsidR="002E0D7F" w:rsidRPr="002E0D7F" w:rsidRDefault="002E0D7F" w:rsidP="00C324F3">
            <w:pPr>
              <w:pStyle w:val="Tablewriting"/>
              <w:keepNext/>
              <w:numPr>
                <w:ilvl w:val="0"/>
                <w:numId w:val="8"/>
              </w:numPr>
              <w:rPr>
                <w:rFonts w:eastAsia="MS Mincho"/>
              </w:rPr>
            </w:pPr>
            <w:r w:rsidRPr="002E0D7F">
              <w:rPr>
                <w:rFonts w:eastAsia="MS Mincho"/>
              </w:rPr>
              <w:t>30</w:t>
            </w:r>
            <w:r w:rsidR="00DB7A7C">
              <w:rPr>
                <w:rFonts w:eastAsia="MS Mincho"/>
              </w:rPr>
              <w:t xml:space="preserve"> </w:t>
            </w:r>
            <w:r w:rsidRPr="002E0D7F">
              <w:rPr>
                <w:rFonts w:eastAsia="MS Mincho"/>
              </w:rPr>
              <w:t>minute baseline counselling (motivational interviewing) plus 10-20 minute enhancement counselling at w</w:t>
            </w:r>
            <w:r w:rsidR="00DB7A7C">
              <w:rPr>
                <w:rFonts w:eastAsia="MS Mincho"/>
              </w:rPr>
              <w:t>ee</w:t>
            </w:r>
            <w:r w:rsidRPr="002E0D7F">
              <w:rPr>
                <w:rFonts w:eastAsia="MS Mincho"/>
              </w:rPr>
              <w:t>k 2, 6, 12)</w:t>
            </w:r>
          </w:p>
          <w:p w:rsidR="001835D1" w:rsidRPr="00D11171" w:rsidRDefault="002E0D7F" w:rsidP="00C324F3">
            <w:pPr>
              <w:pStyle w:val="Tablewriting"/>
              <w:keepNext/>
              <w:numPr>
                <w:ilvl w:val="0"/>
                <w:numId w:val="8"/>
              </w:numPr>
              <w:rPr>
                <w:rFonts w:eastAsia="MS Mincho"/>
              </w:rPr>
            </w:pPr>
            <w:r w:rsidRPr="002E0D7F">
              <w:rPr>
                <w:rFonts w:eastAsia="MS Mincho"/>
              </w:rPr>
              <w:t>*if unsuccessful quit attempt, encouraged to continue making quit attempts or gradually reduce smoking until abstinent</w:t>
            </w:r>
          </w:p>
        </w:tc>
        <w:tc>
          <w:tcPr>
            <w:tcW w:w="1094" w:type="pct"/>
            <w:shd w:val="clear" w:color="auto" w:fill="auto"/>
            <w:tcMar>
              <w:left w:w="28" w:type="dxa"/>
              <w:right w:w="28" w:type="dxa"/>
            </w:tcMar>
          </w:tcPr>
          <w:p w:rsidR="002E0D7F" w:rsidRPr="002E0D7F" w:rsidRDefault="002E0D7F" w:rsidP="002E0D7F">
            <w:pPr>
              <w:pStyle w:val="Tableheading"/>
              <w:autoSpaceDE w:val="0"/>
              <w:autoSpaceDN w:val="0"/>
              <w:adjustRightInd w:val="0"/>
              <w:rPr>
                <w:rFonts w:eastAsiaTheme="minorEastAsia" w:cs="Calibri"/>
                <w:b w:val="0"/>
                <w:u w:val="single"/>
              </w:rPr>
            </w:pPr>
            <w:r w:rsidRPr="002E0D7F">
              <w:rPr>
                <w:rFonts w:eastAsiaTheme="minorEastAsia" w:cs="Calibri"/>
                <w:b w:val="0"/>
                <w:u w:val="single"/>
              </w:rPr>
              <w:t>Efficacy:</w:t>
            </w:r>
          </w:p>
          <w:p w:rsidR="002E0D7F" w:rsidRPr="00554906" w:rsidRDefault="002E0D7F" w:rsidP="002E0D7F">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rsidR="002E0D7F" w:rsidRPr="003A352C" w:rsidRDefault="002E0D7F" w:rsidP="002E0D7F">
            <w:pPr>
              <w:pStyle w:val="Tableheading"/>
              <w:autoSpaceDE w:val="0"/>
              <w:autoSpaceDN w:val="0"/>
              <w:adjustRightInd w:val="0"/>
              <w:rPr>
                <w:rFonts w:eastAsiaTheme="minorEastAsia" w:cs="Calibri"/>
                <w:b w:val="0"/>
              </w:rPr>
            </w:pPr>
            <w:r w:rsidRPr="003A352C">
              <w:rPr>
                <w:rFonts w:eastAsiaTheme="minorEastAsia" w:cs="Calibri"/>
                <w:b w:val="0"/>
              </w:rPr>
              <w:t>CAR, w</w:t>
            </w:r>
            <w:r w:rsidR="00F95EF8">
              <w:rPr>
                <w:rFonts w:eastAsiaTheme="minorEastAsia" w:cs="Calibri"/>
                <w:b w:val="0"/>
              </w:rPr>
              <w:t>ee</w:t>
            </w:r>
            <w:r w:rsidRPr="003A352C">
              <w:rPr>
                <w:rFonts w:eastAsiaTheme="minorEastAsia" w:cs="Calibri"/>
                <w:b w:val="0"/>
              </w:rPr>
              <w:t>k</w:t>
            </w:r>
            <w:r w:rsidR="00F95EF8">
              <w:rPr>
                <w:rFonts w:eastAsiaTheme="minorEastAsia" w:cs="Calibri"/>
                <w:b w:val="0"/>
              </w:rPr>
              <w:t xml:space="preserve"> </w:t>
            </w:r>
            <w:r w:rsidRPr="003A352C">
              <w:rPr>
                <w:rFonts w:eastAsiaTheme="minorEastAsia" w:cs="Calibri"/>
                <w:b w:val="0"/>
              </w:rPr>
              <w:t>9-12 and w</w:t>
            </w:r>
            <w:r w:rsidR="00F95EF8">
              <w:rPr>
                <w:rFonts w:eastAsiaTheme="minorEastAsia" w:cs="Calibri"/>
                <w:b w:val="0"/>
              </w:rPr>
              <w:t>ee</w:t>
            </w:r>
            <w:r w:rsidRPr="003A352C">
              <w:rPr>
                <w:rFonts w:eastAsiaTheme="minorEastAsia" w:cs="Calibri"/>
                <w:b w:val="0"/>
              </w:rPr>
              <w:t>k</w:t>
            </w:r>
            <w:r w:rsidR="00F95EF8">
              <w:rPr>
                <w:rFonts w:eastAsiaTheme="minorEastAsia" w:cs="Calibri"/>
                <w:b w:val="0"/>
              </w:rPr>
              <w:t xml:space="preserve"> </w:t>
            </w:r>
            <w:r w:rsidRPr="003A352C">
              <w:rPr>
                <w:rFonts w:eastAsiaTheme="minorEastAsia" w:cs="Calibri"/>
                <w:b w:val="0"/>
              </w:rPr>
              <w:t>32-36, CO-verified (&lt;6ppm)</w:t>
            </w:r>
            <w:r w:rsidR="00F95EF8">
              <w:rPr>
                <w:rFonts w:eastAsiaTheme="minorEastAsia" w:cs="Calibri"/>
                <w:b w:val="0"/>
              </w:rPr>
              <w:t>.</w:t>
            </w:r>
          </w:p>
          <w:p w:rsidR="002E0D7F" w:rsidRPr="00554906" w:rsidRDefault="002E0D7F" w:rsidP="002E0D7F">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rsidR="002E0D7F" w:rsidRPr="003A352C" w:rsidRDefault="002E0D7F" w:rsidP="002E0D7F">
            <w:pPr>
              <w:pStyle w:val="Tableheading"/>
              <w:autoSpaceDE w:val="0"/>
              <w:autoSpaceDN w:val="0"/>
              <w:adjustRightInd w:val="0"/>
              <w:rPr>
                <w:rFonts w:eastAsiaTheme="minorEastAsia" w:cs="Calibri"/>
                <w:b w:val="0"/>
              </w:rPr>
            </w:pPr>
            <w:r w:rsidRPr="003A352C">
              <w:rPr>
                <w:rFonts w:eastAsiaTheme="minorEastAsia" w:cs="Calibri"/>
                <w:b w:val="0"/>
              </w:rPr>
              <w:t>7-day PPA, CO-confirmed (&lt;6ppm)</w:t>
            </w:r>
          </w:p>
          <w:p w:rsidR="001835D1" w:rsidRPr="00320A67" w:rsidRDefault="002E0D7F" w:rsidP="002E0D7F">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00F95EF8">
              <w:rPr>
                <w:rFonts w:eastAsiaTheme="minorEastAsia" w:cs="Calibri"/>
                <w:b w:val="0"/>
                <w:u w:val="single"/>
              </w:rPr>
              <w:t xml:space="preserve">: </w:t>
            </w:r>
            <w:r w:rsidRPr="003A352C">
              <w:rPr>
                <w:rFonts w:eastAsiaTheme="minorEastAsia" w:cs="Calibri"/>
                <w:b w:val="0"/>
              </w:rPr>
              <w:t>AE</w:t>
            </w:r>
            <w:r w:rsidR="00F95EF8">
              <w:rPr>
                <w:rFonts w:eastAsiaTheme="minorEastAsia" w:cs="Calibri"/>
                <w:b w:val="0"/>
              </w:rPr>
              <w:t xml:space="preserve">, </w:t>
            </w:r>
            <w:r w:rsidRPr="003A352C">
              <w:rPr>
                <w:rFonts w:eastAsiaTheme="minorEastAsia" w:cs="Calibri"/>
                <w:b w:val="0"/>
              </w:rPr>
              <w:t>SAE</w:t>
            </w:r>
            <w:r w:rsidR="00F95EF8">
              <w:rPr>
                <w:rFonts w:eastAsiaTheme="minorEastAsia" w:cs="Calibri"/>
                <w:b w:val="0"/>
              </w:rPr>
              <w:t>, t</w:t>
            </w:r>
            <w:r w:rsidRPr="003A352C">
              <w:rPr>
                <w:rFonts w:eastAsiaTheme="minorEastAsia" w:cs="Calibri"/>
                <w:b w:val="0"/>
              </w:rPr>
              <w:t>reatment discontinuation</w:t>
            </w:r>
            <w:r w:rsidR="00F95EF8">
              <w:rPr>
                <w:rFonts w:eastAsiaTheme="minorEastAsia" w:cs="Calibri"/>
                <w:b w:val="0"/>
              </w:rPr>
              <w:t>.</w:t>
            </w:r>
          </w:p>
        </w:tc>
      </w:tr>
      <w:tr w:rsidR="0030465C"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30465C" w:rsidRPr="001E2154" w:rsidRDefault="008B5A63" w:rsidP="00693DA2">
            <w:pPr>
              <w:pStyle w:val="Tableheading"/>
              <w:autoSpaceDE w:val="0"/>
              <w:autoSpaceDN w:val="0"/>
              <w:adjustRightInd w:val="0"/>
              <w:rPr>
                <w:rFonts w:eastAsiaTheme="minorEastAsia" w:cs="Calibri"/>
                <w:b w:val="0"/>
              </w:rPr>
            </w:pPr>
            <w:r>
              <w:rPr>
                <w:rFonts w:eastAsiaTheme="minorEastAsia" w:cs="Calibri"/>
                <w:b w:val="0"/>
              </w:rPr>
              <w:t>Tulloch 2016</w:t>
            </w:r>
          </w:p>
        </w:tc>
        <w:tc>
          <w:tcPr>
            <w:tcW w:w="379" w:type="pct"/>
            <w:shd w:val="clear" w:color="auto" w:fill="auto"/>
          </w:tcPr>
          <w:p w:rsidR="0030465C" w:rsidRPr="001E2154" w:rsidRDefault="008B5A63"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30465C" w:rsidRPr="001E2154" w:rsidRDefault="008B5A63" w:rsidP="00693DA2">
            <w:pPr>
              <w:pStyle w:val="Tableheading"/>
              <w:autoSpaceDE w:val="0"/>
              <w:autoSpaceDN w:val="0"/>
              <w:adjustRightInd w:val="0"/>
              <w:rPr>
                <w:rFonts w:eastAsiaTheme="minorEastAsia" w:cs="Calibri"/>
                <w:b w:val="0"/>
              </w:rPr>
            </w:pPr>
            <w:r>
              <w:rPr>
                <w:rFonts w:eastAsiaTheme="minorEastAsia" w:cs="Calibri"/>
                <w:b w:val="0"/>
              </w:rPr>
              <w:t>Canada</w:t>
            </w:r>
          </w:p>
        </w:tc>
        <w:tc>
          <w:tcPr>
            <w:tcW w:w="516" w:type="pct"/>
            <w:shd w:val="clear" w:color="auto" w:fill="auto"/>
            <w:tcMar>
              <w:left w:w="28" w:type="dxa"/>
              <w:right w:w="28" w:type="dxa"/>
            </w:tcMar>
          </w:tcPr>
          <w:p w:rsidR="0030465C" w:rsidRDefault="008B5A63" w:rsidP="00693DA2">
            <w:pPr>
              <w:pStyle w:val="Tableheading"/>
              <w:autoSpaceDE w:val="0"/>
              <w:autoSpaceDN w:val="0"/>
              <w:adjustRightInd w:val="0"/>
              <w:rPr>
                <w:rFonts w:eastAsiaTheme="minorEastAsia" w:cs="Calibri"/>
                <w:b w:val="0"/>
              </w:rPr>
            </w:pPr>
            <w:r>
              <w:rPr>
                <w:rFonts w:eastAsiaTheme="minorEastAsia" w:cs="Calibri"/>
                <w:b w:val="0"/>
              </w:rPr>
              <w:t>737</w:t>
            </w:r>
          </w:p>
          <w:p w:rsidR="00AB439E" w:rsidRDefault="00AB439E" w:rsidP="00693DA2">
            <w:pPr>
              <w:pStyle w:val="Tableheading"/>
              <w:autoSpaceDE w:val="0"/>
              <w:autoSpaceDN w:val="0"/>
              <w:adjustRightInd w:val="0"/>
              <w:rPr>
                <w:rFonts w:eastAsiaTheme="minorEastAsia" w:cs="Calibri"/>
                <w:b w:val="0"/>
              </w:rPr>
            </w:pPr>
            <w:r>
              <w:rPr>
                <w:rFonts w:eastAsiaTheme="minorEastAsia" w:cs="Calibri"/>
                <w:b w:val="0"/>
              </w:rPr>
              <w:t>n=</w:t>
            </w:r>
            <w:r w:rsidR="00E72EAF">
              <w:rPr>
                <w:rFonts w:eastAsiaTheme="minorEastAsia" w:cs="Calibri"/>
                <w:b w:val="0"/>
              </w:rPr>
              <w:t>245</w:t>
            </w:r>
            <w:r>
              <w:rPr>
                <w:rFonts w:eastAsiaTheme="minorEastAsia" w:cs="Calibri"/>
                <w:b w:val="0"/>
              </w:rPr>
              <w:t xml:space="preserve"> (NRT, standard)</w:t>
            </w:r>
          </w:p>
          <w:p w:rsidR="00AB439E" w:rsidRDefault="00AB439E" w:rsidP="00693DA2">
            <w:pPr>
              <w:pStyle w:val="Tableheading"/>
              <w:autoSpaceDE w:val="0"/>
              <w:autoSpaceDN w:val="0"/>
              <w:adjustRightInd w:val="0"/>
              <w:rPr>
                <w:rFonts w:eastAsiaTheme="minorEastAsia" w:cs="Calibri"/>
                <w:b w:val="0"/>
              </w:rPr>
            </w:pPr>
            <w:r>
              <w:rPr>
                <w:rFonts w:eastAsiaTheme="minorEastAsia" w:cs="Calibri"/>
                <w:b w:val="0"/>
              </w:rPr>
              <w:t>n=</w:t>
            </w:r>
            <w:r w:rsidR="00E72EAF">
              <w:rPr>
                <w:rFonts w:eastAsiaTheme="minorEastAsia" w:cs="Calibri"/>
                <w:b w:val="0"/>
              </w:rPr>
              <w:t>245</w:t>
            </w:r>
            <w:r>
              <w:rPr>
                <w:rFonts w:eastAsiaTheme="minorEastAsia" w:cs="Calibri"/>
                <w:b w:val="0"/>
              </w:rPr>
              <w:t xml:space="preserve"> (NRT, flexible)</w:t>
            </w:r>
          </w:p>
          <w:p w:rsidR="00AB439E" w:rsidRPr="001E2154" w:rsidRDefault="00AB439E" w:rsidP="00693DA2">
            <w:pPr>
              <w:pStyle w:val="Tableheading"/>
              <w:autoSpaceDE w:val="0"/>
              <w:autoSpaceDN w:val="0"/>
              <w:adjustRightInd w:val="0"/>
              <w:rPr>
                <w:rFonts w:eastAsiaTheme="minorEastAsia" w:cs="Calibri"/>
                <w:b w:val="0"/>
              </w:rPr>
            </w:pPr>
            <w:r>
              <w:rPr>
                <w:rFonts w:eastAsiaTheme="minorEastAsia" w:cs="Calibri"/>
                <w:b w:val="0"/>
              </w:rPr>
              <w:t>n=</w:t>
            </w:r>
            <w:r w:rsidR="00E72EAF">
              <w:rPr>
                <w:rFonts w:eastAsiaTheme="minorEastAsia" w:cs="Calibri"/>
                <w:b w:val="0"/>
              </w:rPr>
              <w:t>247</w:t>
            </w:r>
            <w:r>
              <w:rPr>
                <w:rFonts w:eastAsiaTheme="minorEastAsia" w:cs="Calibri"/>
                <w:b w:val="0"/>
              </w:rPr>
              <w:t xml:space="preserve"> (varenicline)</w:t>
            </w:r>
          </w:p>
        </w:tc>
        <w:tc>
          <w:tcPr>
            <w:tcW w:w="1142" w:type="pct"/>
            <w:shd w:val="clear" w:color="auto" w:fill="auto"/>
            <w:tcMar>
              <w:left w:w="28" w:type="dxa"/>
              <w:right w:w="28" w:type="dxa"/>
            </w:tcMar>
          </w:tcPr>
          <w:p w:rsidR="008B5A63" w:rsidRPr="008B5A63" w:rsidRDefault="008B5A63" w:rsidP="008B5A63">
            <w:pPr>
              <w:pStyle w:val="Tableheading"/>
              <w:autoSpaceDE w:val="0"/>
              <w:autoSpaceDN w:val="0"/>
              <w:adjustRightInd w:val="0"/>
              <w:rPr>
                <w:rFonts w:eastAsiaTheme="minorEastAsia" w:cs="Calibri"/>
                <w:b w:val="0"/>
              </w:rPr>
            </w:pPr>
            <w:r w:rsidRPr="008B5A63">
              <w:rPr>
                <w:rFonts w:eastAsiaTheme="minorEastAsia" w:cs="Calibri"/>
                <w:b w:val="0"/>
              </w:rPr>
              <w:t>Adult smokers (&gt;=10 CPD), willing to quit in 2-4wks</w:t>
            </w:r>
          </w:p>
          <w:p w:rsidR="008B5A63" w:rsidRPr="008B5A63" w:rsidRDefault="008B5A63" w:rsidP="008B5A63">
            <w:pPr>
              <w:pStyle w:val="Tableheading"/>
              <w:autoSpaceDE w:val="0"/>
              <w:autoSpaceDN w:val="0"/>
              <w:adjustRightInd w:val="0"/>
              <w:rPr>
                <w:rFonts w:eastAsiaTheme="minorEastAsia" w:cs="Calibri"/>
                <w:b w:val="0"/>
              </w:rPr>
            </w:pPr>
            <w:r w:rsidRPr="008B5A63">
              <w:rPr>
                <w:rFonts w:eastAsiaTheme="minorEastAsia" w:cs="Calibri"/>
                <w:b w:val="0"/>
              </w:rPr>
              <w:t>Exclusions</w:t>
            </w:r>
          </w:p>
          <w:p w:rsidR="0030465C" w:rsidRPr="001E2154" w:rsidRDefault="008B5A63" w:rsidP="008B5A63">
            <w:pPr>
              <w:pStyle w:val="Tableheading"/>
              <w:autoSpaceDE w:val="0"/>
              <w:autoSpaceDN w:val="0"/>
              <w:adjustRightInd w:val="0"/>
              <w:rPr>
                <w:rFonts w:eastAsiaTheme="minorEastAsia" w:cs="Calibri"/>
                <w:b w:val="0"/>
              </w:rPr>
            </w:pPr>
            <w:r w:rsidRPr="008B5A63">
              <w:rPr>
                <w:rFonts w:eastAsiaTheme="minorEastAsia" w:cs="Calibri"/>
                <w:b w:val="0"/>
              </w:rPr>
              <w:t xml:space="preserve">Use of NRT or varenicline for &gt; 3 days in the previous month, contraindications to study medications, serious cardiac arrhythmias or </w:t>
            </w:r>
            <w:r w:rsidR="00114FF2" w:rsidRPr="008B5A63">
              <w:rPr>
                <w:rFonts w:eastAsiaTheme="minorEastAsia" w:cs="Calibri"/>
                <w:b w:val="0"/>
              </w:rPr>
              <w:t>myocardial</w:t>
            </w:r>
            <w:r w:rsidRPr="008B5A63">
              <w:rPr>
                <w:rFonts w:eastAsiaTheme="minorEastAsia" w:cs="Calibri"/>
                <w:b w:val="0"/>
              </w:rPr>
              <w:t xml:space="preserve"> infarction or cerebral vascular accident within 10 days, severe or unstable angina </w:t>
            </w:r>
            <w:r w:rsidR="00114FF2" w:rsidRPr="008B5A63">
              <w:rPr>
                <w:rFonts w:eastAsiaTheme="minorEastAsia" w:cs="Calibri"/>
                <w:b w:val="0"/>
              </w:rPr>
              <w:t>pectoris</w:t>
            </w:r>
            <w:r w:rsidRPr="008B5A63">
              <w:rPr>
                <w:rFonts w:eastAsiaTheme="minorEastAsia" w:cs="Calibri"/>
                <w:b w:val="0"/>
              </w:rPr>
              <w:t>, end-stage renal disease or use of cimetidine, alcohol or substance abuse in the previous 3 months, unstable psychiatric symptoms precluding informed consent, inability to understand English or French, pregnant, lactating or likely to become pregnant in the next year, another household member enrolled in the trial.</w:t>
            </w:r>
          </w:p>
        </w:tc>
        <w:tc>
          <w:tcPr>
            <w:tcW w:w="808" w:type="pct"/>
            <w:shd w:val="clear" w:color="auto" w:fill="auto"/>
          </w:tcPr>
          <w:p w:rsidR="005D5CDA" w:rsidRPr="005D5CDA" w:rsidRDefault="005D5CDA" w:rsidP="00C324F3">
            <w:pPr>
              <w:pStyle w:val="Tablewriting"/>
              <w:keepNext/>
              <w:numPr>
                <w:ilvl w:val="0"/>
                <w:numId w:val="8"/>
              </w:numPr>
              <w:rPr>
                <w:rFonts w:eastAsia="MS Mincho"/>
              </w:rPr>
            </w:pPr>
            <w:r w:rsidRPr="005D5CDA">
              <w:rPr>
                <w:rFonts w:eastAsia="MS Mincho"/>
              </w:rPr>
              <w:t>NRT patch, 10</w:t>
            </w:r>
            <w:r w:rsidR="00E00D0D">
              <w:rPr>
                <w:rFonts w:eastAsia="MS Mincho"/>
              </w:rPr>
              <w:t xml:space="preserve"> </w:t>
            </w:r>
            <w:r w:rsidRPr="005D5CDA">
              <w:rPr>
                <w:rFonts w:eastAsia="MS Mincho"/>
              </w:rPr>
              <w:t>w</w:t>
            </w:r>
            <w:r w:rsidR="00E00D0D">
              <w:rPr>
                <w:rFonts w:eastAsia="MS Mincho"/>
              </w:rPr>
              <w:t>ee</w:t>
            </w:r>
            <w:r w:rsidRPr="005D5CDA">
              <w:rPr>
                <w:rFonts w:eastAsia="MS Mincho"/>
              </w:rPr>
              <w:t xml:space="preserve">ks, dose tapered down, initial dose by CPD </w:t>
            </w:r>
          </w:p>
          <w:p w:rsidR="005D5CDA" w:rsidRPr="005D5CDA" w:rsidRDefault="005D5CDA" w:rsidP="00C324F3">
            <w:pPr>
              <w:pStyle w:val="Tablewriting"/>
              <w:keepNext/>
              <w:numPr>
                <w:ilvl w:val="0"/>
                <w:numId w:val="8"/>
              </w:numPr>
              <w:rPr>
                <w:rFonts w:eastAsia="MS Mincho"/>
              </w:rPr>
            </w:pPr>
            <w:r w:rsidRPr="005D5CDA">
              <w:rPr>
                <w:rFonts w:eastAsia="MS Mincho"/>
              </w:rPr>
              <w:t>NRT patch, up to 22</w:t>
            </w:r>
            <w:r w:rsidR="00E00D0D">
              <w:rPr>
                <w:rFonts w:eastAsia="MS Mincho"/>
              </w:rPr>
              <w:t xml:space="preserve"> </w:t>
            </w:r>
            <w:r w:rsidRPr="005D5CDA">
              <w:rPr>
                <w:rFonts w:eastAsia="MS Mincho"/>
              </w:rPr>
              <w:t>w</w:t>
            </w:r>
            <w:r w:rsidR="00E00D0D">
              <w:rPr>
                <w:rFonts w:eastAsia="MS Mincho"/>
              </w:rPr>
              <w:t>ee</w:t>
            </w:r>
            <w:r w:rsidRPr="005D5CDA">
              <w:rPr>
                <w:rFonts w:eastAsia="MS Mincho"/>
              </w:rPr>
              <w:t xml:space="preserve">ks, titrated dosing by withdrawal symptoms up to 35mg/day using Minessota Nicotine withdrawal Scale used to titrate dose with scores&gt;=2 </w:t>
            </w:r>
            <w:r w:rsidR="00114FF2" w:rsidRPr="005D5CDA">
              <w:rPr>
                <w:rFonts w:eastAsia="MS Mincho"/>
              </w:rPr>
              <w:t>signalling</w:t>
            </w:r>
            <w:r w:rsidRPr="005D5CDA">
              <w:rPr>
                <w:rFonts w:eastAsia="MS Mincho"/>
              </w:rPr>
              <w:t xml:space="preserve"> increased dose, PLUS NRT gum or inhalers when required</w:t>
            </w:r>
          </w:p>
          <w:p w:rsidR="0030465C" w:rsidRPr="00D11171" w:rsidRDefault="005D5CDA" w:rsidP="00C324F3">
            <w:pPr>
              <w:pStyle w:val="Tablewriting"/>
              <w:keepNext/>
              <w:numPr>
                <w:ilvl w:val="0"/>
                <w:numId w:val="8"/>
              </w:numPr>
              <w:rPr>
                <w:rFonts w:eastAsia="MS Mincho"/>
              </w:rPr>
            </w:pPr>
            <w:r w:rsidRPr="005D5CDA">
              <w:rPr>
                <w:rFonts w:eastAsia="MS Mincho"/>
              </w:rPr>
              <w:t>Varenicline: 12 w</w:t>
            </w:r>
            <w:r w:rsidR="00E00D0D">
              <w:rPr>
                <w:rFonts w:eastAsia="MS Mincho"/>
              </w:rPr>
              <w:t>ee</w:t>
            </w:r>
            <w:r w:rsidRPr="005D5CDA">
              <w:rPr>
                <w:rFonts w:eastAsia="MS Mincho"/>
              </w:rPr>
              <w:t>ks including 1 w</w:t>
            </w:r>
            <w:r w:rsidR="00E00D0D">
              <w:rPr>
                <w:rFonts w:eastAsia="MS Mincho"/>
              </w:rPr>
              <w:t>ee</w:t>
            </w:r>
            <w:r w:rsidRPr="005D5CDA">
              <w:rPr>
                <w:rFonts w:eastAsia="MS Mincho"/>
              </w:rPr>
              <w:t>k titration dose before quit date. Additional 12 weeks supply if interested and recommended by study nurse or physician.</w:t>
            </w:r>
          </w:p>
        </w:tc>
        <w:tc>
          <w:tcPr>
            <w:tcW w:w="1094" w:type="pct"/>
            <w:shd w:val="clear" w:color="auto" w:fill="auto"/>
            <w:tcMar>
              <w:left w:w="28" w:type="dxa"/>
              <w:right w:w="28" w:type="dxa"/>
            </w:tcMar>
          </w:tcPr>
          <w:p w:rsidR="00AB439E" w:rsidRPr="00AB439E" w:rsidRDefault="00AB439E" w:rsidP="00AB439E">
            <w:pPr>
              <w:pStyle w:val="Tableheading"/>
              <w:autoSpaceDE w:val="0"/>
              <w:autoSpaceDN w:val="0"/>
              <w:adjustRightInd w:val="0"/>
              <w:rPr>
                <w:rFonts w:eastAsiaTheme="minorEastAsia" w:cs="Calibri"/>
                <w:b w:val="0"/>
                <w:u w:val="single"/>
              </w:rPr>
            </w:pPr>
            <w:r w:rsidRPr="00AB439E">
              <w:rPr>
                <w:rFonts w:eastAsiaTheme="minorEastAsia" w:cs="Calibri"/>
                <w:b w:val="0"/>
                <w:u w:val="single"/>
              </w:rPr>
              <w:t>Efficacy:</w:t>
            </w:r>
          </w:p>
          <w:p w:rsidR="00AB439E" w:rsidRPr="00554906" w:rsidRDefault="00AB439E" w:rsidP="00AB439E">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rsidR="00AB439E" w:rsidRPr="003A352C" w:rsidRDefault="00AB439E" w:rsidP="00AB439E">
            <w:pPr>
              <w:pStyle w:val="Tableheading"/>
              <w:autoSpaceDE w:val="0"/>
              <w:autoSpaceDN w:val="0"/>
              <w:adjustRightInd w:val="0"/>
              <w:rPr>
                <w:rFonts w:eastAsiaTheme="minorEastAsia" w:cs="Calibri"/>
                <w:b w:val="0"/>
              </w:rPr>
            </w:pPr>
            <w:r w:rsidRPr="003A352C">
              <w:rPr>
                <w:rFonts w:eastAsiaTheme="minorEastAsia" w:cs="Calibri"/>
                <w:b w:val="0"/>
              </w:rPr>
              <w:t>CAR, CO-confirmed (&lt;=9ppm), w</w:t>
            </w:r>
            <w:r w:rsidR="00F95EF8">
              <w:rPr>
                <w:rFonts w:eastAsiaTheme="minorEastAsia" w:cs="Calibri"/>
                <w:b w:val="0"/>
              </w:rPr>
              <w:t>ee</w:t>
            </w:r>
            <w:r w:rsidRPr="003A352C">
              <w:rPr>
                <w:rFonts w:eastAsiaTheme="minorEastAsia" w:cs="Calibri"/>
                <w:b w:val="0"/>
              </w:rPr>
              <w:t>k 5-52</w:t>
            </w:r>
          </w:p>
          <w:p w:rsidR="00AB439E" w:rsidRPr="00554906" w:rsidRDefault="00AB439E" w:rsidP="00AB439E">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rsidR="00AB439E" w:rsidRPr="003A352C" w:rsidRDefault="00AB439E" w:rsidP="00AB439E">
            <w:pPr>
              <w:pStyle w:val="Tableheading"/>
              <w:autoSpaceDE w:val="0"/>
              <w:autoSpaceDN w:val="0"/>
              <w:adjustRightInd w:val="0"/>
              <w:rPr>
                <w:rFonts w:eastAsiaTheme="minorEastAsia" w:cs="Calibri"/>
                <w:b w:val="0"/>
              </w:rPr>
            </w:pPr>
            <w:r w:rsidRPr="003A352C">
              <w:rPr>
                <w:rFonts w:eastAsiaTheme="minorEastAsia" w:cs="Calibri"/>
                <w:b w:val="0"/>
              </w:rPr>
              <w:t>CAR, CO-confirmed, w</w:t>
            </w:r>
            <w:r w:rsidR="00F95EF8">
              <w:rPr>
                <w:rFonts w:eastAsiaTheme="minorEastAsia" w:cs="Calibri"/>
                <w:b w:val="0"/>
              </w:rPr>
              <w:t>ee</w:t>
            </w:r>
            <w:r w:rsidRPr="003A352C">
              <w:rPr>
                <w:rFonts w:eastAsiaTheme="minorEastAsia" w:cs="Calibri"/>
                <w:b w:val="0"/>
              </w:rPr>
              <w:t>ks 5-10, 5-22</w:t>
            </w:r>
          </w:p>
          <w:p w:rsidR="00AB439E" w:rsidRPr="003A352C" w:rsidRDefault="00AB439E" w:rsidP="00AB439E">
            <w:pPr>
              <w:pStyle w:val="Tableheading"/>
              <w:autoSpaceDE w:val="0"/>
              <w:autoSpaceDN w:val="0"/>
              <w:adjustRightInd w:val="0"/>
              <w:rPr>
                <w:rFonts w:eastAsiaTheme="minorEastAsia" w:cs="Calibri"/>
                <w:b w:val="0"/>
              </w:rPr>
            </w:pPr>
            <w:r w:rsidRPr="003A352C">
              <w:rPr>
                <w:rFonts w:eastAsiaTheme="minorEastAsia" w:cs="Calibri"/>
                <w:b w:val="0"/>
              </w:rPr>
              <w:t>7-day PPA, CO-confirmed, w</w:t>
            </w:r>
            <w:r w:rsidR="00F95EF8">
              <w:rPr>
                <w:rFonts w:eastAsiaTheme="minorEastAsia" w:cs="Calibri"/>
                <w:b w:val="0"/>
              </w:rPr>
              <w:t>ee</w:t>
            </w:r>
            <w:r w:rsidRPr="003A352C">
              <w:rPr>
                <w:rFonts w:eastAsiaTheme="minorEastAsia" w:cs="Calibri"/>
                <w:b w:val="0"/>
              </w:rPr>
              <w:t>ks, 5, 10, 22, 52</w:t>
            </w:r>
            <w:r w:rsidR="00F95EF8">
              <w:rPr>
                <w:rFonts w:eastAsiaTheme="minorEastAsia" w:cs="Calibri"/>
                <w:b w:val="0"/>
              </w:rPr>
              <w:t>.</w:t>
            </w:r>
          </w:p>
          <w:p w:rsidR="0030465C" w:rsidRPr="00320A67" w:rsidRDefault="00AB439E" w:rsidP="00AB439E">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00F95EF8">
              <w:rPr>
                <w:rFonts w:eastAsiaTheme="minorEastAsia" w:cs="Calibri"/>
                <w:b w:val="0"/>
              </w:rPr>
              <w:t xml:space="preserve">: </w:t>
            </w:r>
            <w:r w:rsidRPr="003A352C">
              <w:rPr>
                <w:rFonts w:eastAsiaTheme="minorEastAsia" w:cs="Calibri"/>
                <w:b w:val="0"/>
              </w:rPr>
              <w:t>AE, specific</w:t>
            </w:r>
            <w:r w:rsidR="00F95EF8">
              <w:rPr>
                <w:rFonts w:eastAsiaTheme="minorEastAsia" w:cs="Calibri"/>
                <w:b w:val="0"/>
              </w:rPr>
              <w:t xml:space="preserve"> </w:t>
            </w:r>
            <w:r w:rsidRPr="003A352C">
              <w:rPr>
                <w:rFonts w:eastAsiaTheme="minorEastAsia" w:cs="Calibri"/>
                <w:b w:val="0"/>
              </w:rPr>
              <w:t>AE, treatment discontinuation</w:t>
            </w:r>
            <w:r w:rsidR="00F95EF8">
              <w:rPr>
                <w:rFonts w:eastAsiaTheme="minorEastAsia" w:cs="Calibri"/>
                <w:b w:val="0"/>
              </w:rPr>
              <w:t xml:space="preserve">, </w:t>
            </w:r>
            <w:r w:rsidRPr="003A352C">
              <w:rPr>
                <w:rFonts w:eastAsiaTheme="minorEastAsia" w:cs="Calibri"/>
                <w:b w:val="0"/>
              </w:rPr>
              <w:t>SAE</w:t>
            </w:r>
            <w:r w:rsidR="00F95EF8">
              <w:rPr>
                <w:rFonts w:eastAsiaTheme="minorEastAsia" w:cs="Calibri"/>
                <w:b w:val="0"/>
              </w:rPr>
              <w:t>.</w:t>
            </w:r>
          </w:p>
        </w:tc>
      </w:tr>
      <w:tr w:rsidR="0030465C"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30465C" w:rsidRPr="001E2154" w:rsidRDefault="00204015" w:rsidP="00693DA2">
            <w:pPr>
              <w:pStyle w:val="Tableheading"/>
              <w:autoSpaceDE w:val="0"/>
              <w:autoSpaceDN w:val="0"/>
              <w:adjustRightInd w:val="0"/>
              <w:rPr>
                <w:rFonts w:eastAsiaTheme="minorEastAsia" w:cs="Calibri"/>
                <w:b w:val="0"/>
              </w:rPr>
            </w:pPr>
            <w:r>
              <w:rPr>
                <w:rFonts w:eastAsiaTheme="minorEastAsia" w:cs="Calibri"/>
                <w:b w:val="0"/>
              </w:rPr>
              <w:t>Tuisku 2016</w:t>
            </w:r>
          </w:p>
        </w:tc>
        <w:tc>
          <w:tcPr>
            <w:tcW w:w="379" w:type="pct"/>
            <w:shd w:val="clear" w:color="auto" w:fill="auto"/>
          </w:tcPr>
          <w:p w:rsidR="0030465C" w:rsidRPr="001E2154" w:rsidRDefault="00204015"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30465C" w:rsidRPr="001E2154" w:rsidRDefault="00204015" w:rsidP="00693DA2">
            <w:pPr>
              <w:pStyle w:val="Tableheading"/>
              <w:autoSpaceDE w:val="0"/>
              <w:autoSpaceDN w:val="0"/>
              <w:adjustRightInd w:val="0"/>
              <w:rPr>
                <w:rFonts w:eastAsiaTheme="minorEastAsia" w:cs="Calibri"/>
                <w:b w:val="0"/>
              </w:rPr>
            </w:pPr>
            <w:r>
              <w:rPr>
                <w:rFonts w:eastAsiaTheme="minorEastAsia" w:cs="Calibri"/>
                <w:b w:val="0"/>
              </w:rPr>
              <w:t>Finland</w:t>
            </w:r>
          </w:p>
        </w:tc>
        <w:tc>
          <w:tcPr>
            <w:tcW w:w="516" w:type="pct"/>
            <w:shd w:val="clear" w:color="auto" w:fill="auto"/>
            <w:tcMar>
              <w:left w:w="28" w:type="dxa"/>
              <w:right w:w="28" w:type="dxa"/>
            </w:tcMar>
          </w:tcPr>
          <w:p w:rsidR="0030465C" w:rsidRDefault="00204015" w:rsidP="00693DA2">
            <w:pPr>
              <w:pStyle w:val="Tableheading"/>
              <w:autoSpaceDE w:val="0"/>
              <w:autoSpaceDN w:val="0"/>
              <w:adjustRightInd w:val="0"/>
              <w:rPr>
                <w:rFonts w:eastAsiaTheme="minorEastAsia" w:cs="Calibri"/>
                <w:b w:val="0"/>
              </w:rPr>
            </w:pPr>
            <w:r>
              <w:rPr>
                <w:rFonts w:eastAsiaTheme="minorEastAsia" w:cs="Calibri"/>
                <w:b w:val="0"/>
              </w:rPr>
              <w:t>291</w:t>
            </w:r>
          </w:p>
          <w:p w:rsidR="000A34E0" w:rsidRDefault="000A34E0" w:rsidP="00693DA2">
            <w:pPr>
              <w:pStyle w:val="Tableheading"/>
              <w:autoSpaceDE w:val="0"/>
              <w:autoSpaceDN w:val="0"/>
              <w:adjustRightInd w:val="0"/>
              <w:rPr>
                <w:rFonts w:eastAsiaTheme="minorEastAsia" w:cs="Calibri"/>
                <w:b w:val="0"/>
              </w:rPr>
            </w:pPr>
            <w:r>
              <w:rPr>
                <w:rFonts w:eastAsiaTheme="minorEastAsia" w:cs="Calibri"/>
                <w:b w:val="0"/>
              </w:rPr>
              <w:t>Heavy smokers</w:t>
            </w:r>
          </w:p>
          <w:p w:rsidR="000A34E0" w:rsidRDefault="000A34E0" w:rsidP="00693DA2">
            <w:pPr>
              <w:pStyle w:val="Tableheading"/>
              <w:autoSpaceDE w:val="0"/>
              <w:autoSpaceDN w:val="0"/>
              <w:adjustRightInd w:val="0"/>
              <w:rPr>
                <w:rFonts w:eastAsiaTheme="minorEastAsia" w:cs="Calibri"/>
                <w:b w:val="0"/>
              </w:rPr>
            </w:pPr>
            <w:r>
              <w:rPr>
                <w:rFonts w:eastAsiaTheme="minorEastAsia" w:cs="Calibri"/>
                <w:b w:val="0"/>
              </w:rPr>
              <w:t>n=</w:t>
            </w:r>
            <w:r w:rsidR="003F01AD">
              <w:rPr>
                <w:rFonts w:eastAsiaTheme="minorEastAsia" w:cs="Calibri"/>
                <w:b w:val="0"/>
              </w:rPr>
              <w:t>51</w:t>
            </w:r>
            <w:r>
              <w:rPr>
                <w:rFonts w:eastAsiaTheme="minorEastAsia" w:cs="Calibri"/>
                <w:b w:val="0"/>
              </w:rPr>
              <w:t xml:space="preserve"> (NRT)</w:t>
            </w:r>
          </w:p>
          <w:p w:rsidR="000A34E0" w:rsidRDefault="000A34E0" w:rsidP="00693DA2">
            <w:pPr>
              <w:pStyle w:val="Tableheading"/>
              <w:autoSpaceDE w:val="0"/>
              <w:autoSpaceDN w:val="0"/>
              <w:adjustRightInd w:val="0"/>
              <w:rPr>
                <w:rFonts w:eastAsiaTheme="minorEastAsia" w:cs="Calibri"/>
                <w:b w:val="0"/>
              </w:rPr>
            </w:pPr>
            <w:r>
              <w:rPr>
                <w:rFonts w:eastAsiaTheme="minorEastAsia" w:cs="Calibri"/>
                <w:b w:val="0"/>
              </w:rPr>
              <w:t>n=</w:t>
            </w:r>
            <w:r w:rsidR="003F01AD">
              <w:rPr>
                <w:rFonts w:eastAsiaTheme="minorEastAsia" w:cs="Calibri"/>
                <w:b w:val="0"/>
              </w:rPr>
              <w:t>60</w:t>
            </w:r>
            <w:r>
              <w:rPr>
                <w:rFonts w:eastAsiaTheme="minorEastAsia" w:cs="Calibri"/>
                <w:b w:val="0"/>
              </w:rPr>
              <w:t xml:space="preserve"> (varenicline)</w:t>
            </w:r>
          </w:p>
          <w:p w:rsidR="00136112" w:rsidRDefault="00136112" w:rsidP="00693DA2">
            <w:pPr>
              <w:pStyle w:val="Tableheading"/>
              <w:autoSpaceDE w:val="0"/>
              <w:autoSpaceDN w:val="0"/>
              <w:adjustRightInd w:val="0"/>
              <w:rPr>
                <w:rFonts w:eastAsiaTheme="minorEastAsia" w:cs="Calibri"/>
                <w:b w:val="0"/>
              </w:rPr>
            </w:pPr>
          </w:p>
          <w:p w:rsidR="00136112" w:rsidRPr="001E2154" w:rsidRDefault="00136112" w:rsidP="00693DA2">
            <w:pPr>
              <w:pStyle w:val="Tableheading"/>
              <w:autoSpaceDE w:val="0"/>
              <w:autoSpaceDN w:val="0"/>
              <w:adjustRightInd w:val="0"/>
              <w:rPr>
                <w:rFonts w:eastAsiaTheme="minorEastAsia" w:cs="Calibri"/>
                <w:b w:val="0"/>
              </w:rPr>
            </w:pPr>
            <w:r>
              <w:rPr>
                <w:rFonts w:eastAsiaTheme="minorEastAsia" w:cs="Calibri"/>
                <w:b w:val="0"/>
              </w:rPr>
              <w:t>*</w:t>
            </w:r>
            <w:r w:rsidR="00454E03">
              <w:rPr>
                <w:rFonts w:eastAsiaTheme="minorEastAsia" w:cs="Calibri"/>
                <w:b w:val="0"/>
              </w:rPr>
              <w:t>light smokers (n=180)  data already included in Hartmann-Boyce 2018</w:t>
            </w:r>
          </w:p>
        </w:tc>
        <w:tc>
          <w:tcPr>
            <w:tcW w:w="1142" w:type="pct"/>
            <w:shd w:val="clear" w:color="auto" w:fill="auto"/>
            <w:tcMar>
              <w:left w:w="28" w:type="dxa"/>
              <w:right w:w="28" w:type="dxa"/>
            </w:tcMar>
          </w:tcPr>
          <w:p w:rsidR="00092856" w:rsidRPr="00092856" w:rsidRDefault="00092856" w:rsidP="00092856">
            <w:pPr>
              <w:pStyle w:val="Tableheading"/>
              <w:autoSpaceDE w:val="0"/>
              <w:autoSpaceDN w:val="0"/>
              <w:adjustRightInd w:val="0"/>
              <w:rPr>
                <w:rFonts w:eastAsiaTheme="minorEastAsia" w:cs="Calibri"/>
                <w:b w:val="0"/>
              </w:rPr>
            </w:pPr>
            <w:r w:rsidRPr="00092856">
              <w:rPr>
                <w:rFonts w:eastAsiaTheme="minorEastAsia" w:cs="Calibri"/>
                <w:b w:val="0"/>
              </w:rPr>
              <w:t>18-26yo smokers (daily for the past month and 100 or more lifetime cigarettes), motivated to quit</w:t>
            </w:r>
          </w:p>
          <w:p w:rsidR="00092856" w:rsidRPr="00092856" w:rsidRDefault="00092856" w:rsidP="00092856">
            <w:pPr>
              <w:pStyle w:val="Tableheading"/>
              <w:autoSpaceDE w:val="0"/>
              <w:autoSpaceDN w:val="0"/>
              <w:adjustRightInd w:val="0"/>
              <w:rPr>
                <w:rFonts w:eastAsiaTheme="minorEastAsia" w:cs="Calibri"/>
                <w:b w:val="0"/>
              </w:rPr>
            </w:pPr>
            <w:r w:rsidRPr="00092856">
              <w:rPr>
                <w:rFonts w:eastAsiaTheme="minorEastAsia" w:cs="Calibri"/>
                <w:b w:val="0"/>
              </w:rPr>
              <w:t>Exclusions:</w:t>
            </w:r>
          </w:p>
          <w:p w:rsidR="0030465C" w:rsidRPr="001E2154" w:rsidRDefault="00092856" w:rsidP="00092856">
            <w:pPr>
              <w:pStyle w:val="Tableheading"/>
              <w:autoSpaceDE w:val="0"/>
              <w:autoSpaceDN w:val="0"/>
              <w:adjustRightInd w:val="0"/>
              <w:rPr>
                <w:rFonts w:eastAsiaTheme="minorEastAsia" w:cs="Calibri"/>
                <w:b w:val="0"/>
              </w:rPr>
            </w:pPr>
            <w:r w:rsidRPr="00092856">
              <w:rPr>
                <w:rFonts w:eastAsiaTheme="minorEastAsia" w:cs="Calibri"/>
                <w:b w:val="0"/>
              </w:rPr>
              <w:t>Current drug or alcohol abuse, known allergy to study medications, lactation, pregnancy or intention to become pregnant during study period.</w:t>
            </w:r>
          </w:p>
        </w:tc>
        <w:tc>
          <w:tcPr>
            <w:tcW w:w="808" w:type="pct"/>
            <w:shd w:val="clear" w:color="auto" w:fill="auto"/>
          </w:tcPr>
          <w:p w:rsidR="00092856" w:rsidRPr="00092856" w:rsidRDefault="00092856" w:rsidP="00FF725F">
            <w:pPr>
              <w:pStyle w:val="Tablewriting"/>
              <w:keepNext/>
              <w:rPr>
                <w:rFonts w:eastAsia="MS Mincho"/>
              </w:rPr>
            </w:pPr>
            <w:r w:rsidRPr="00092856">
              <w:rPr>
                <w:rFonts w:eastAsia="MS Mincho"/>
              </w:rPr>
              <w:t>HIS 0-2 points (light smokers):</w:t>
            </w:r>
          </w:p>
          <w:p w:rsidR="00092856" w:rsidRPr="00092856" w:rsidRDefault="00092856" w:rsidP="00C324F3">
            <w:pPr>
              <w:pStyle w:val="Tablewriting"/>
              <w:keepNext/>
              <w:numPr>
                <w:ilvl w:val="0"/>
                <w:numId w:val="8"/>
              </w:numPr>
              <w:rPr>
                <w:rFonts w:eastAsia="MS Mincho"/>
              </w:rPr>
            </w:pPr>
            <w:r w:rsidRPr="00092856">
              <w:rPr>
                <w:rFonts w:eastAsia="MS Mincho"/>
              </w:rPr>
              <w:t>NRT patch (10</w:t>
            </w:r>
            <w:r w:rsidR="00E00D0D">
              <w:rPr>
                <w:rFonts w:eastAsia="MS Mincho"/>
              </w:rPr>
              <w:t xml:space="preserve"> </w:t>
            </w:r>
            <w:r w:rsidRPr="00092856">
              <w:rPr>
                <w:rFonts w:eastAsia="MS Mincho"/>
              </w:rPr>
              <w:t>mg/16hr), 8wks</w:t>
            </w:r>
          </w:p>
          <w:p w:rsidR="00092856" w:rsidRPr="00092856" w:rsidRDefault="00092856" w:rsidP="00C324F3">
            <w:pPr>
              <w:pStyle w:val="Tablewriting"/>
              <w:keepNext/>
              <w:numPr>
                <w:ilvl w:val="0"/>
                <w:numId w:val="8"/>
              </w:numPr>
              <w:rPr>
                <w:rFonts w:eastAsia="MS Mincho"/>
              </w:rPr>
            </w:pPr>
            <w:r w:rsidRPr="00092856">
              <w:rPr>
                <w:rFonts w:eastAsia="MS Mincho"/>
              </w:rPr>
              <w:t>P</w:t>
            </w:r>
            <w:r w:rsidR="00D879FF">
              <w:rPr>
                <w:rFonts w:eastAsia="MS Mincho"/>
              </w:rPr>
              <w:t>l</w:t>
            </w:r>
            <w:r w:rsidRPr="00092856">
              <w:rPr>
                <w:rFonts w:eastAsia="MS Mincho"/>
              </w:rPr>
              <w:t>acebo patch</w:t>
            </w:r>
          </w:p>
          <w:p w:rsidR="00092856" w:rsidRPr="00092856" w:rsidRDefault="00092856" w:rsidP="00FF725F">
            <w:pPr>
              <w:pStyle w:val="Tablewriting"/>
              <w:keepNext/>
              <w:rPr>
                <w:rFonts w:eastAsia="MS Mincho"/>
              </w:rPr>
            </w:pPr>
            <w:r w:rsidRPr="00092856">
              <w:rPr>
                <w:rFonts w:eastAsia="MS Mincho"/>
              </w:rPr>
              <w:t>HIS 3-6 points (heavy smokers)</w:t>
            </w:r>
          </w:p>
          <w:p w:rsidR="00092856" w:rsidRPr="00092856" w:rsidRDefault="00092856" w:rsidP="00C324F3">
            <w:pPr>
              <w:pStyle w:val="Tablewriting"/>
              <w:keepNext/>
              <w:numPr>
                <w:ilvl w:val="0"/>
                <w:numId w:val="8"/>
              </w:numPr>
              <w:rPr>
                <w:rFonts w:eastAsia="MS Mincho"/>
              </w:rPr>
            </w:pPr>
            <w:r w:rsidRPr="00092856">
              <w:rPr>
                <w:rFonts w:eastAsia="MS Mincho"/>
              </w:rPr>
              <w:t>NRT patch (15</w:t>
            </w:r>
            <w:r w:rsidR="00E00D0D">
              <w:rPr>
                <w:rFonts w:eastAsia="MS Mincho"/>
              </w:rPr>
              <w:t xml:space="preserve"> </w:t>
            </w:r>
            <w:r w:rsidRPr="00092856">
              <w:rPr>
                <w:rFonts w:eastAsia="MS Mincho"/>
              </w:rPr>
              <w:t xml:space="preserve">mg/16hr) 8 wks) </w:t>
            </w:r>
          </w:p>
          <w:p w:rsidR="00092856" w:rsidRPr="00092856" w:rsidRDefault="00092856" w:rsidP="00C324F3">
            <w:pPr>
              <w:pStyle w:val="Tablewriting"/>
              <w:keepNext/>
              <w:numPr>
                <w:ilvl w:val="0"/>
                <w:numId w:val="8"/>
              </w:numPr>
              <w:rPr>
                <w:rFonts w:eastAsia="MS Mincho"/>
              </w:rPr>
            </w:pPr>
            <w:r w:rsidRPr="00092856">
              <w:rPr>
                <w:rFonts w:eastAsia="MS Mincho"/>
              </w:rPr>
              <w:t>Varenicline, 1</w:t>
            </w:r>
            <w:r w:rsidR="00E00D0D">
              <w:rPr>
                <w:rFonts w:eastAsia="MS Mincho"/>
              </w:rPr>
              <w:t xml:space="preserve"> </w:t>
            </w:r>
            <w:r w:rsidRPr="00092856">
              <w:rPr>
                <w:rFonts w:eastAsia="MS Mincho"/>
              </w:rPr>
              <w:t>mg bd, 12 w</w:t>
            </w:r>
            <w:r w:rsidR="00E00D0D">
              <w:rPr>
                <w:rFonts w:eastAsia="MS Mincho"/>
              </w:rPr>
              <w:t>ee</w:t>
            </w:r>
            <w:r w:rsidRPr="00092856">
              <w:rPr>
                <w:rFonts w:eastAsia="MS Mincho"/>
              </w:rPr>
              <w:t>ks with 1</w:t>
            </w:r>
            <w:r w:rsidR="00E00D0D">
              <w:rPr>
                <w:rFonts w:eastAsia="MS Mincho"/>
              </w:rPr>
              <w:t xml:space="preserve"> </w:t>
            </w:r>
            <w:r w:rsidRPr="00092856">
              <w:rPr>
                <w:rFonts w:eastAsia="MS Mincho"/>
              </w:rPr>
              <w:t>w</w:t>
            </w:r>
            <w:r w:rsidR="00E00D0D">
              <w:rPr>
                <w:rFonts w:eastAsia="MS Mincho"/>
              </w:rPr>
              <w:t>ee</w:t>
            </w:r>
            <w:r w:rsidRPr="00092856">
              <w:rPr>
                <w:rFonts w:eastAsia="MS Mincho"/>
              </w:rPr>
              <w:t xml:space="preserve">k dose titration </w:t>
            </w:r>
          </w:p>
          <w:p w:rsidR="00092856" w:rsidRPr="00092856" w:rsidRDefault="00092856" w:rsidP="00FF725F">
            <w:pPr>
              <w:pStyle w:val="Tablewriting"/>
              <w:keepNext/>
              <w:rPr>
                <w:rFonts w:eastAsia="MS Mincho"/>
              </w:rPr>
            </w:pPr>
            <w:r w:rsidRPr="00554906">
              <w:rPr>
                <w:rFonts w:eastAsia="MS Mincho"/>
                <w:u w:val="single"/>
              </w:rPr>
              <w:t>Common elements</w:t>
            </w:r>
            <w:r w:rsidRPr="00092856">
              <w:rPr>
                <w:rFonts w:eastAsia="MS Mincho"/>
              </w:rPr>
              <w:t>:</w:t>
            </w:r>
          </w:p>
          <w:p w:rsidR="0030465C" w:rsidRPr="00D11171" w:rsidRDefault="00092856" w:rsidP="00C324F3">
            <w:pPr>
              <w:pStyle w:val="Tablewriting"/>
              <w:keepNext/>
              <w:numPr>
                <w:ilvl w:val="0"/>
                <w:numId w:val="8"/>
              </w:numPr>
              <w:rPr>
                <w:rFonts w:eastAsia="MS Mincho"/>
              </w:rPr>
            </w:pPr>
            <w:r w:rsidRPr="00092856">
              <w:rPr>
                <w:rFonts w:eastAsia="MS Mincho"/>
              </w:rPr>
              <w:t>Motivational interviewing (30</w:t>
            </w:r>
            <w:r w:rsidR="00E00D0D">
              <w:rPr>
                <w:rFonts w:eastAsia="MS Mincho"/>
              </w:rPr>
              <w:t xml:space="preserve"> </w:t>
            </w:r>
            <w:r w:rsidRPr="00092856">
              <w:rPr>
                <w:rFonts w:eastAsia="MS Mincho"/>
              </w:rPr>
              <w:t>minutes), w</w:t>
            </w:r>
            <w:r w:rsidR="00E00D0D">
              <w:rPr>
                <w:rFonts w:eastAsia="MS Mincho"/>
              </w:rPr>
              <w:t>ee</w:t>
            </w:r>
            <w:r w:rsidRPr="00092856">
              <w:rPr>
                <w:rFonts w:eastAsia="MS Mincho"/>
              </w:rPr>
              <w:t>k 0, 4, 52)</w:t>
            </w:r>
          </w:p>
        </w:tc>
        <w:tc>
          <w:tcPr>
            <w:tcW w:w="1094" w:type="pct"/>
            <w:shd w:val="clear" w:color="auto" w:fill="auto"/>
            <w:tcMar>
              <w:left w:w="28" w:type="dxa"/>
              <w:right w:w="28" w:type="dxa"/>
            </w:tcMar>
          </w:tcPr>
          <w:p w:rsidR="00092856" w:rsidRPr="00092856" w:rsidRDefault="00092856" w:rsidP="00092856">
            <w:pPr>
              <w:pStyle w:val="Tableheading"/>
              <w:autoSpaceDE w:val="0"/>
              <w:autoSpaceDN w:val="0"/>
              <w:adjustRightInd w:val="0"/>
              <w:rPr>
                <w:rFonts w:eastAsiaTheme="minorEastAsia" w:cs="Calibri"/>
                <w:b w:val="0"/>
                <w:u w:val="single"/>
              </w:rPr>
            </w:pPr>
            <w:r w:rsidRPr="00092856">
              <w:rPr>
                <w:rFonts w:eastAsiaTheme="minorEastAsia" w:cs="Calibri"/>
                <w:b w:val="0"/>
                <w:u w:val="single"/>
              </w:rPr>
              <w:t>Efficacy:</w:t>
            </w:r>
          </w:p>
          <w:p w:rsidR="00092856" w:rsidRPr="00554906" w:rsidRDefault="00092856" w:rsidP="00092856">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rsidR="00092856" w:rsidRPr="003A352C" w:rsidRDefault="00092856" w:rsidP="00092856">
            <w:pPr>
              <w:pStyle w:val="Tableheading"/>
              <w:autoSpaceDE w:val="0"/>
              <w:autoSpaceDN w:val="0"/>
              <w:adjustRightInd w:val="0"/>
              <w:rPr>
                <w:rFonts w:eastAsiaTheme="minorEastAsia" w:cs="Calibri"/>
                <w:b w:val="0"/>
              </w:rPr>
            </w:pPr>
            <w:r w:rsidRPr="003A352C">
              <w:rPr>
                <w:rFonts w:eastAsiaTheme="minorEastAsia" w:cs="Calibri"/>
                <w:b w:val="0"/>
              </w:rPr>
              <w:t>7-day PPA, non-validated (=&lt;10ng/mL), 12 w</w:t>
            </w:r>
            <w:r w:rsidR="00F95EF8">
              <w:rPr>
                <w:rFonts w:eastAsiaTheme="minorEastAsia" w:cs="Calibri"/>
                <w:b w:val="0"/>
              </w:rPr>
              <w:t>ee</w:t>
            </w:r>
            <w:r w:rsidRPr="003A352C">
              <w:rPr>
                <w:rFonts w:eastAsiaTheme="minorEastAsia" w:cs="Calibri"/>
                <w:b w:val="0"/>
              </w:rPr>
              <w:t>ks</w:t>
            </w:r>
          </w:p>
          <w:p w:rsidR="00092856" w:rsidRPr="00554906" w:rsidRDefault="00092856" w:rsidP="00092856">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rsidR="00092856" w:rsidRPr="003A352C" w:rsidRDefault="00092856" w:rsidP="00092856">
            <w:pPr>
              <w:pStyle w:val="Tableheading"/>
              <w:autoSpaceDE w:val="0"/>
              <w:autoSpaceDN w:val="0"/>
              <w:adjustRightInd w:val="0"/>
              <w:rPr>
                <w:rFonts w:eastAsiaTheme="minorEastAsia" w:cs="Calibri"/>
                <w:b w:val="0"/>
              </w:rPr>
            </w:pPr>
            <w:r w:rsidRPr="003A352C">
              <w:rPr>
                <w:rFonts w:eastAsiaTheme="minorEastAsia" w:cs="Calibri"/>
                <w:b w:val="0"/>
              </w:rPr>
              <w:t>7-day PPA,  (non-validated), 1mo, 6mo</w:t>
            </w:r>
          </w:p>
          <w:p w:rsidR="00092856" w:rsidRPr="003A352C" w:rsidRDefault="00092856" w:rsidP="00092856">
            <w:pPr>
              <w:pStyle w:val="Tableheading"/>
              <w:autoSpaceDE w:val="0"/>
              <w:autoSpaceDN w:val="0"/>
              <w:adjustRightInd w:val="0"/>
              <w:rPr>
                <w:rFonts w:eastAsiaTheme="minorEastAsia" w:cs="Calibri"/>
                <w:b w:val="0"/>
              </w:rPr>
            </w:pPr>
            <w:r w:rsidRPr="003A352C">
              <w:rPr>
                <w:rFonts w:eastAsiaTheme="minorEastAsia" w:cs="Calibri"/>
                <w:b w:val="0"/>
              </w:rPr>
              <w:t>7-day PPA, continine-validated (=&lt;10ng/mL), 12 w</w:t>
            </w:r>
            <w:r w:rsidR="00F95EF8">
              <w:rPr>
                <w:rFonts w:eastAsiaTheme="minorEastAsia" w:cs="Calibri"/>
                <w:b w:val="0"/>
              </w:rPr>
              <w:t>ee</w:t>
            </w:r>
            <w:r w:rsidRPr="003A352C">
              <w:rPr>
                <w:rFonts w:eastAsiaTheme="minorEastAsia" w:cs="Calibri"/>
                <w:b w:val="0"/>
              </w:rPr>
              <w:t>ks</w:t>
            </w:r>
          </w:p>
          <w:p w:rsidR="00092856" w:rsidRPr="00092856" w:rsidRDefault="00092856" w:rsidP="00092856">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006A467D">
              <w:rPr>
                <w:rFonts w:eastAsiaTheme="minorEastAsia" w:cs="Calibri"/>
                <w:b w:val="0"/>
              </w:rPr>
              <w:t xml:space="preserve">: </w:t>
            </w:r>
            <w:r w:rsidRPr="003A352C">
              <w:rPr>
                <w:rFonts w:eastAsiaTheme="minorEastAsia" w:cs="Calibri"/>
                <w:b w:val="0"/>
              </w:rPr>
              <w:t>Treatment discontinuations due to AE</w:t>
            </w:r>
            <w:r w:rsidR="006A467D">
              <w:rPr>
                <w:rFonts w:eastAsiaTheme="minorEastAsia" w:cs="Calibri"/>
                <w:b w:val="0"/>
              </w:rPr>
              <w:t xml:space="preserve">, </w:t>
            </w:r>
            <w:r w:rsidRPr="003A352C">
              <w:rPr>
                <w:rFonts w:eastAsiaTheme="minorEastAsia" w:cs="Calibri"/>
                <w:b w:val="0"/>
              </w:rPr>
              <w:t>SAE</w:t>
            </w:r>
            <w:r w:rsidR="006A467D">
              <w:rPr>
                <w:rFonts w:eastAsiaTheme="minorEastAsia" w:cs="Calibri"/>
                <w:b w:val="0"/>
              </w:rPr>
              <w:t>.</w:t>
            </w:r>
          </w:p>
          <w:p w:rsidR="0030465C" w:rsidRPr="00320A67" w:rsidRDefault="0030465C" w:rsidP="00092856">
            <w:pPr>
              <w:pStyle w:val="Tableheading"/>
              <w:autoSpaceDE w:val="0"/>
              <w:autoSpaceDN w:val="0"/>
              <w:adjustRightInd w:val="0"/>
              <w:rPr>
                <w:rFonts w:eastAsiaTheme="minorEastAsia" w:cs="Calibri"/>
                <w:b w:val="0"/>
                <w:u w:val="single"/>
              </w:rPr>
            </w:pPr>
          </w:p>
        </w:tc>
      </w:tr>
      <w:tr w:rsidR="003A409B"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1835D1" w:rsidRPr="001E2154" w:rsidRDefault="003F01AD" w:rsidP="00693DA2">
            <w:pPr>
              <w:pStyle w:val="Tableheading"/>
              <w:autoSpaceDE w:val="0"/>
              <w:autoSpaceDN w:val="0"/>
              <w:adjustRightInd w:val="0"/>
              <w:rPr>
                <w:rFonts w:eastAsiaTheme="minorEastAsia" w:cs="Calibri"/>
                <w:b w:val="0"/>
              </w:rPr>
            </w:pPr>
            <w:r>
              <w:rPr>
                <w:rFonts w:eastAsiaTheme="minorEastAsia" w:cs="Calibri"/>
                <w:b w:val="0"/>
              </w:rPr>
              <w:t>Lerman 2015</w:t>
            </w:r>
          </w:p>
        </w:tc>
        <w:tc>
          <w:tcPr>
            <w:tcW w:w="379" w:type="pct"/>
            <w:shd w:val="clear" w:color="auto" w:fill="auto"/>
          </w:tcPr>
          <w:p w:rsidR="001835D1" w:rsidRPr="001E2154" w:rsidRDefault="003F01AD"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1835D1" w:rsidRPr="001E2154" w:rsidRDefault="003F01AD" w:rsidP="00693DA2">
            <w:pPr>
              <w:pStyle w:val="Tableheading"/>
              <w:autoSpaceDE w:val="0"/>
              <w:autoSpaceDN w:val="0"/>
              <w:adjustRightInd w:val="0"/>
              <w:rPr>
                <w:rFonts w:eastAsiaTheme="minorEastAsia" w:cs="Calibri"/>
                <w:b w:val="0"/>
              </w:rPr>
            </w:pPr>
            <w:r>
              <w:rPr>
                <w:rFonts w:eastAsiaTheme="minorEastAsia" w:cs="Calibri"/>
                <w:b w:val="0"/>
              </w:rPr>
              <w:t>USA, Canada</w:t>
            </w:r>
          </w:p>
        </w:tc>
        <w:tc>
          <w:tcPr>
            <w:tcW w:w="516" w:type="pct"/>
            <w:shd w:val="clear" w:color="auto" w:fill="auto"/>
            <w:tcMar>
              <w:left w:w="28" w:type="dxa"/>
              <w:right w:w="28" w:type="dxa"/>
            </w:tcMar>
          </w:tcPr>
          <w:p w:rsidR="001835D1" w:rsidRDefault="003F01AD" w:rsidP="00693DA2">
            <w:pPr>
              <w:pStyle w:val="Tableheading"/>
              <w:autoSpaceDE w:val="0"/>
              <w:autoSpaceDN w:val="0"/>
              <w:adjustRightInd w:val="0"/>
              <w:rPr>
                <w:rFonts w:eastAsiaTheme="minorEastAsia" w:cs="Calibri"/>
                <w:b w:val="0"/>
              </w:rPr>
            </w:pPr>
            <w:r>
              <w:rPr>
                <w:rFonts w:eastAsiaTheme="minorEastAsia" w:cs="Calibri"/>
                <w:b w:val="0"/>
              </w:rPr>
              <w:t>1246</w:t>
            </w:r>
          </w:p>
          <w:p w:rsidR="001572A8" w:rsidRDefault="006A076B" w:rsidP="00693DA2">
            <w:pPr>
              <w:pStyle w:val="Tableheading"/>
              <w:autoSpaceDE w:val="0"/>
              <w:autoSpaceDN w:val="0"/>
              <w:adjustRightInd w:val="0"/>
              <w:rPr>
                <w:rFonts w:eastAsiaTheme="minorEastAsia" w:cs="Calibri"/>
                <w:b w:val="0"/>
              </w:rPr>
            </w:pPr>
            <w:r>
              <w:rPr>
                <w:rFonts w:eastAsiaTheme="minorEastAsia" w:cs="Calibri"/>
                <w:b w:val="0"/>
              </w:rPr>
              <w:t>n=</w:t>
            </w:r>
            <w:r w:rsidR="009F45C0">
              <w:rPr>
                <w:rFonts w:eastAsiaTheme="minorEastAsia" w:cs="Calibri"/>
                <w:b w:val="0"/>
              </w:rPr>
              <w:t>418</w:t>
            </w:r>
            <w:r>
              <w:rPr>
                <w:rFonts w:eastAsiaTheme="minorEastAsia" w:cs="Calibri"/>
                <w:b w:val="0"/>
              </w:rPr>
              <w:t xml:space="preserve"> (NRT)</w:t>
            </w:r>
          </w:p>
          <w:p w:rsidR="006A076B" w:rsidRDefault="006A076B" w:rsidP="00693DA2">
            <w:pPr>
              <w:pStyle w:val="Tableheading"/>
              <w:autoSpaceDE w:val="0"/>
              <w:autoSpaceDN w:val="0"/>
              <w:adjustRightInd w:val="0"/>
              <w:rPr>
                <w:rFonts w:eastAsiaTheme="minorEastAsia" w:cs="Calibri"/>
                <w:b w:val="0"/>
              </w:rPr>
            </w:pPr>
            <w:r>
              <w:rPr>
                <w:rFonts w:eastAsiaTheme="minorEastAsia" w:cs="Calibri"/>
                <w:b w:val="0"/>
              </w:rPr>
              <w:t>n=</w:t>
            </w:r>
            <w:r w:rsidR="009F45C0">
              <w:rPr>
                <w:rFonts w:eastAsiaTheme="minorEastAsia" w:cs="Calibri"/>
                <w:b w:val="0"/>
              </w:rPr>
              <w:t>420</w:t>
            </w:r>
            <w:r>
              <w:rPr>
                <w:rFonts w:eastAsiaTheme="minorEastAsia" w:cs="Calibri"/>
                <w:b w:val="0"/>
              </w:rPr>
              <w:t xml:space="preserve"> (varenicline)</w:t>
            </w:r>
          </w:p>
          <w:p w:rsidR="006A076B" w:rsidRPr="001E2154" w:rsidRDefault="006A076B" w:rsidP="00693DA2">
            <w:pPr>
              <w:pStyle w:val="Tableheading"/>
              <w:autoSpaceDE w:val="0"/>
              <w:autoSpaceDN w:val="0"/>
              <w:adjustRightInd w:val="0"/>
              <w:rPr>
                <w:rFonts w:eastAsiaTheme="minorEastAsia" w:cs="Calibri"/>
                <w:b w:val="0"/>
              </w:rPr>
            </w:pPr>
            <w:r>
              <w:rPr>
                <w:rFonts w:eastAsiaTheme="minorEastAsia" w:cs="Calibri"/>
                <w:b w:val="0"/>
              </w:rPr>
              <w:t>n=</w:t>
            </w:r>
            <w:r w:rsidR="009F45C0">
              <w:rPr>
                <w:rFonts w:eastAsiaTheme="minorEastAsia" w:cs="Calibri"/>
                <w:b w:val="0"/>
              </w:rPr>
              <w:t>408</w:t>
            </w:r>
            <w:r>
              <w:rPr>
                <w:rFonts w:eastAsiaTheme="minorEastAsia" w:cs="Calibri"/>
                <w:b w:val="0"/>
              </w:rPr>
              <w:t xml:space="preserve"> (placebo)</w:t>
            </w:r>
          </w:p>
        </w:tc>
        <w:tc>
          <w:tcPr>
            <w:tcW w:w="1142" w:type="pct"/>
            <w:shd w:val="clear" w:color="auto" w:fill="auto"/>
            <w:tcMar>
              <w:left w:w="28" w:type="dxa"/>
              <w:right w:w="28" w:type="dxa"/>
            </w:tcMar>
          </w:tcPr>
          <w:p w:rsidR="001572A8" w:rsidRPr="001572A8" w:rsidRDefault="001572A8" w:rsidP="001572A8">
            <w:pPr>
              <w:pStyle w:val="Tableheading"/>
              <w:autoSpaceDE w:val="0"/>
              <w:autoSpaceDN w:val="0"/>
              <w:adjustRightInd w:val="0"/>
              <w:rPr>
                <w:rFonts w:eastAsiaTheme="minorEastAsia" w:cs="Calibri"/>
                <w:b w:val="0"/>
              </w:rPr>
            </w:pPr>
            <w:r w:rsidRPr="001572A8">
              <w:rPr>
                <w:rFonts w:eastAsiaTheme="minorEastAsia" w:cs="Calibri"/>
                <w:b w:val="0"/>
              </w:rPr>
              <w:t>Adults (18-65yrs) smokers (10 or more CPD for 6mo or longer, CO&gt;10ppm)</w:t>
            </w:r>
          </w:p>
          <w:p w:rsidR="001572A8" w:rsidRPr="001572A8" w:rsidRDefault="001572A8" w:rsidP="001572A8">
            <w:pPr>
              <w:pStyle w:val="Tableheading"/>
              <w:autoSpaceDE w:val="0"/>
              <w:autoSpaceDN w:val="0"/>
              <w:adjustRightInd w:val="0"/>
              <w:rPr>
                <w:rFonts w:eastAsiaTheme="minorEastAsia" w:cs="Calibri"/>
                <w:b w:val="0"/>
              </w:rPr>
            </w:pPr>
            <w:r w:rsidRPr="001572A8">
              <w:rPr>
                <w:rFonts w:eastAsiaTheme="minorEastAsia" w:cs="Calibri"/>
                <w:b w:val="0"/>
              </w:rPr>
              <w:t>Exclusions:</w:t>
            </w:r>
          </w:p>
          <w:p w:rsidR="001835D1" w:rsidRPr="001E2154" w:rsidRDefault="001572A8" w:rsidP="001572A8">
            <w:pPr>
              <w:pStyle w:val="Tableheading"/>
              <w:autoSpaceDE w:val="0"/>
              <w:autoSpaceDN w:val="0"/>
              <w:adjustRightInd w:val="0"/>
              <w:rPr>
                <w:rFonts w:eastAsiaTheme="minorEastAsia" w:cs="Calibri"/>
                <w:b w:val="0"/>
              </w:rPr>
            </w:pPr>
            <w:r w:rsidRPr="001572A8">
              <w:rPr>
                <w:rFonts w:eastAsiaTheme="minorEastAsia" w:cs="Calibri"/>
                <w:b w:val="0"/>
              </w:rPr>
              <w:t>Non-cigarette tobacco products, e-cigarettes, or current smoking treatment; history of substance misuse, current use of cocaine or methamphetamine, more than 25 alcoholic drinks per week, medical contraindications (pregnancy, history of cancer, kidney or liver disease, or transplant, clinically significance cardiac dysrhythmias, stroke, angin</w:t>
            </w:r>
            <w:r w:rsidR="009F45C0">
              <w:rPr>
                <w:rFonts w:eastAsiaTheme="minorEastAsia" w:cs="Calibri"/>
                <w:b w:val="0"/>
              </w:rPr>
              <w:t>a</w:t>
            </w:r>
            <w:r w:rsidRPr="001572A8">
              <w:rPr>
                <w:rFonts w:eastAsiaTheme="minorEastAsia" w:cs="Calibri"/>
                <w:b w:val="0"/>
              </w:rPr>
              <w:t xml:space="preserve">, heart attack, uncontrolled hypertension), </w:t>
            </w:r>
            <w:r w:rsidR="00114FF2" w:rsidRPr="001572A8">
              <w:rPr>
                <w:rFonts w:eastAsiaTheme="minorEastAsia" w:cs="Calibri"/>
                <w:b w:val="0"/>
              </w:rPr>
              <w:t>history</w:t>
            </w:r>
            <w:r w:rsidRPr="001572A8">
              <w:rPr>
                <w:rFonts w:eastAsiaTheme="minorEastAsia" w:cs="Calibri"/>
                <w:b w:val="0"/>
              </w:rPr>
              <w:t xml:space="preserve"> of DSM-IV Axis 1 psychiatric </w:t>
            </w:r>
            <w:r w:rsidRPr="001572A8">
              <w:rPr>
                <w:rFonts w:eastAsiaTheme="minorEastAsia" w:cs="Calibri"/>
                <w:b w:val="0"/>
              </w:rPr>
              <w:lastRenderedPageBreak/>
              <w:t xml:space="preserve">disorder or suicide risk score on MINI interview more than 1, current major depression, current use of antipsychotics, stimulants, opiates, anticoagulants, rescue inhalers, antiarrhythimics, medications altering CYP2A6 activity, inability to </w:t>
            </w:r>
            <w:r w:rsidR="00114FF2" w:rsidRPr="001572A8">
              <w:rPr>
                <w:rFonts w:eastAsiaTheme="minorEastAsia" w:cs="Calibri"/>
                <w:b w:val="0"/>
              </w:rPr>
              <w:t>provide</w:t>
            </w:r>
            <w:r w:rsidRPr="001572A8">
              <w:rPr>
                <w:rFonts w:eastAsiaTheme="minorEastAsia" w:cs="Calibri"/>
                <w:b w:val="0"/>
              </w:rPr>
              <w:t xml:space="preserve"> consent or any condition that </w:t>
            </w:r>
            <w:r w:rsidR="00114FF2" w:rsidRPr="001572A8">
              <w:rPr>
                <w:rFonts w:eastAsiaTheme="minorEastAsia" w:cs="Calibri"/>
                <w:b w:val="0"/>
              </w:rPr>
              <w:t>could compromise</w:t>
            </w:r>
            <w:r w:rsidRPr="001572A8">
              <w:rPr>
                <w:rFonts w:eastAsiaTheme="minorEastAsia" w:cs="Calibri"/>
                <w:b w:val="0"/>
              </w:rPr>
              <w:t xml:space="preserve"> safety.</w:t>
            </w:r>
          </w:p>
        </w:tc>
        <w:tc>
          <w:tcPr>
            <w:tcW w:w="808" w:type="pct"/>
            <w:shd w:val="clear" w:color="auto" w:fill="auto"/>
          </w:tcPr>
          <w:p w:rsidR="001572A8" w:rsidRPr="001572A8" w:rsidRDefault="001572A8" w:rsidP="00C324F3">
            <w:pPr>
              <w:pStyle w:val="Tablewriting"/>
              <w:keepNext/>
              <w:numPr>
                <w:ilvl w:val="0"/>
                <w:numId w:val="8"/>
              </w:numPr>
              <w:rPr>
                <w:rFonts w:eastAsia="MS Mincho"/>
              </w:rPr>
            </w:pPr>
            <w:r w:rsidRPr="001572A8">
              <w:rPr>
                <w:rFonts w:eastAsia="MS Mincho"/>
              </w:rPr>
              <w:lastRenderedPageBreak/>
              <w:t>NRT patch, 11 w</w:t>
            </w:r>
            <w:r w:rsidR="00E00D0D">
              <w:rPr>
                <w:rFonts w:eastAsia="MS Mincho"/>
              </w:rPr>
              <w:t>ee</w:t>
            </w:r>
            <w:r w:rsidRPr="001572A8">
              <w:rPr>
                <w:rFonts w:eastAsia="MS Mincho"/>
              </w:rPr>
              <w:t>k, dose tapered down</w:t>
            </w:r>
          </w:p>
          <w:p w:rsidR="001572A8" w:rsidRPr="001572A8" w:rsidRDefault="001572A8" w:rsidP="00C324F3">
            <w:pPr>
              <w:pStyle w:val="Tablewriting"/>
              <w:keepNext/>
              <w:numPr>
                <w:ilvl w:val="0"/>
                <w:numId w:val="8"/>
              </w:numPr>
              <w:rPr>
                <w:rFonts w:eastAsia="MS Mincho"/>
              </w:rPr>
            </w:pPr>
            <w:r w:rsidRPr="001572A8">
              <w:rPr>
                <w:rFonts w:eastAsia="MS Mincho"/>
              </w:rPr>
              <w:t>Varenicline , 1</w:t>
            </w:r>
            <w:r w:rsidR="00E00D0D">
              <w:rPr>
                <w:rFonts w:eastAsia="MS Mincho"/>
              </w:rPr>
              <w:t xml:space="preserve"> </w:t>
            </w:r>
            <w:r w:rsidRPr="001572A8">
              <w:rPr>
                <w:rFonts w:eastAsia="MS Mincho"/>
              </w:rPr>
              <w:t>mg bd, 12</w:t>
            </w:r>
            <w:r w:rsidR="00E00D0D">
              <w:rPr>
                <w:rFonts w:eastAsia="MS Mincho"/>
              </w:rPr>
              <w:t xml:space="preserve"> </w:t>
            </w:r>
            <w:r w:rsidRPr="001572A8">
              <w:rPr>
                <w:rFonts w:eastAsia="MS Mincho"/>
              </w:rPr>
              <w:t>w</w:t>
            </w:r>
            <w:r w:rsidR="00E00D0D">
              <w:rPr>
                <w:rFonts w:eastAsia="MS Mincho"/>
              </w:rPr>
              <w:t>ee</w:t>
            </w:r>
            <w:r w:rsidRPr="001572A8">
              <w:rPr>
                <w:rFonts w:eastAsia="MS Mincho"/>
              </w:rPr>
              <w:t>ks with 1</w:t>
            </w:r>
            <w:r w:rsidR="000C78BF">
              <w:rPr>
                <w:rFonts w:eastAsia="MS Mincho"/>
              </w:rPr>
              <w:t xml:space="preserve"> </w:t>
            </w:r>
            <w:r w:rsidRPr="001572A8">
              <w:rPr>
                <w:rFonts w:eastAsia="MS Mincho"/>
              </w:rPr>
              <w:t>w</w:t>
            </w:r>
            <w:r w:rsidR="000C78BF">
              <w:rPr>
                <w:rFonts w:eastAsia="MS Mincho"/>
              </w:rPr>
              <w:t>ee</w:t>
            </w:r>
            <w:r w:rsidRPr="001572A8">
              <w:rPr>
                <w:rFonts w:eastAsia="MS Mincho"/>
              </w:rPr>
              <w:t>k pre-quit dose titration</w:t>
            </w:r>
          </w:p>
          <w:p w:rsidR="001572A8" w:rsidRPr="001572A8" w:rsidRDefault="001572A8" w:rsidP="00C324F3">
            <w:pPr>
              <w:pStyle w:val="Tablewriting"/>
              <w:keepNext/>
              <w:numPr>
                <w:ilvl w:val="0"/>
                <w:numId w:val="8"/>
              </w:numPr>
              <w:rPr>
                <w:rFonts w:eastAsia="MS Mincho"/>
              </w:rPr>
            </w:pPr>
            <w:r w:rsidRPr="001572A8">
              <w:rPr>
                <w:rFonts w:eastAsia="MS Mincho"/>
              </w:rPr>
              <w:t>Placebo (11</w:t>
            </w:r>
            <w:r w:rsidR="000C78BF">
              <w:rPr>
                <w:rFonts w:eastAsia="MS Mincho"/>
              </w:rPr>
              <w:t xml:space="preserve"> </w:t>
            </w:r>
            <w:r w:rsidRPr="001572A8">
              <w:rPr>
                <w:rFonts w:eastAsia="MS Mincho"/>
              </w:rPr>
              <w:t>w</w:t>
            </w:r>
            <w:r w:rsidR="000C78BF">
              <w:rPr>
                <w:rFonts w:eastAsia="MS Mincho"/>
              </w:rPr>
              <w:t>ee</w:t>
            </w:r>
            <w:r w:rsidRPr="001572A8">
              <w:rPr>
                <w:rFonts w:eastAsia="MS Mincho"/>
              </w:rPr>
              <w:t>k)</w:t>
            </w:r>
          </w:p>
          <w:p w:rsidR="001572A8" w:rsidRPr="00554906" w:rsidRDefault="001572A8" w:rsidP="00FF725F">
            <w:pPr>
              <w:pStyle w:val="Tablewriting"/>
              <w:keepNext/>
              <w:rPr>
                <w:rFonts w:eastAsia="MS Mincho"/>
                <w:u w:val="single"/>
              </w:rPr>
            </w:pPr>
            <w:r w:rsidRPr="00554906">
              <w:rPr>
                <w:rFonts w:eastAsia="MS Mincho"/>
                <w:u w:val="single"/>
              </w:rPr>
              <w:t>Common elements</w:t>
            </w:r>
          </w:p>
          <w:p w:rsidR="001835D1" w:rsidRPr="00D11171" w:rsidRDefault="001572A8" w:rsidP="00C324F3">
            <w:pPr>
              <w:pStyle w:val="Tablewriting"/>
              <w:keepNext/>
              <w:numPr>
                <w:ilvl w:val="0"/>
                <w:numId w:val="8"/>
              </w:numPr>
              <w:rPr>
                <w:rFonts w:eastAsia="MS Mincho"/>
              </w:rPr>
            </w:pPr>
            <w:r w:rsidRPr="001572A8">
              <w:rPr>
                <w:rFonts w:eastAsia="MS Mincho"/>
              </w:rPr>
              <w:t>Behavioural counselling</w:t>
            </w:r>
          </w:p>
        </w:tc>
        <w:tc>
          <w:tcPr>
            <w:tcW w:w="1094" w:type="pct"/>
            <w:shd w:val="clear" w:color="auto" w:fill="auto"/>
            <w:tcMar>
              <w:left w:w="28" w:type="dxa"/>
              <w:right w:w="28" w:type="dxa"/>
            </w:tcMar>
          </w:tcPr>
          <w:p w:rsidR="001572A8" w:rsidRPr="001572A8" w:rsidRDefault="001572A8" w:rsidP="001572A8">
            <w:pPr>
              <w:pStyle w:val="Tableheading"/>
              <w:autoSpaceDE w:val="0"/>
              <w:autoSpaceDN w:val="0"/>
              <w:adjustRightInd w:val="0"/>
              <w:rPr>
                <w:rFonts w:eastAsiaTheme="minorEastAsia" w:cs="Calibri"/>
                <w:b w:val="0"/>
                <w:u w:val="single"/>
              </w:rPr>
            </w:pPr>
            <w:r w:rsidRPr="001572A8">
              <w:rPr>
                <w:rFonts w:eastAsiaTheme="minorEastAsia" w:cs="Calibri"/>
                <w:b w:val="0"/>
                <w:u w:val="single"/>
              </w:rPr>
              <w:t>Efficacy:</w:t>
            </w:r>
          </w:p>
          <w:p w:rsidR="001572A8" w:rsidRPr="00554906" w:rsidRDefault="001572A8" w:rsidP="001572A8">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rsidR="001572A8" w:rsidRPr="003A352C" w:rsidRDefault="001572A8" w:rsidP="001572A8">
            <w:pPr>
              <w:pStyle w:val="Tableheading"/>
              <w:autoSpaceDE w:val="0"/>
              <w:autoSpaceDN w:val="0"/>
              <w:adjustRightInd w:val="0"/>
              <w:rPr>
                <w:rFonts w:eastAsiaTheme="minorEastAsia" w:cs="Calibri"/>
                <w:b w:val="0"/>
              </w:rPr>
            </w:pPr>
            <w:r w:rsidRPr="003A352C">
              <w:rPr>
                <w:rFonts w:eastAsiaTheme="minorEastAsia" w:cs="Calibri"/>
                <w:b w:val="0"/>
              </w:rPr>
              <w:t>7-day PPA, w</w:t>
            </w:r>
            <w:r w:rsidR="006A467D">
              <w:rPr>
                <w:rFonts w:eastAsiaTheme="minorEastAsia" w:cs="Calibri"/>
                <w:b w:val="0"/>
              </w:rPr>
              <w:t>ee</w:t>
            </w:r>
            <w:r w:rsidRPr="003A352C">
              <w:rPr>
                <w:rFonts w:eastAsiaTheme="minorEastAsia" w:cs="Calibri"/>
                <w:b w:val="0"/>
              </w:rPr>
              <w:t>k</w:t>
            </w:r>
            <w:r w:rsidR="006A467D">
              <w:rPr>
                <w:rFonts w:eastAsiaTheme="minorEastAsia" w:cs="Calibri"/>
                <w:b w:val="0"/>
              </w:rPr>
              <w:t xml:space="preserve"> </w:t>
            </w:r>
            <w:r w:rsidRPr="003A352C">
              <w:rPr>
                <w:rFonts w:eastAsiaTheme="minorEastAsia" w:cs="Calibri"/>
                <w:b w:val="0"/>
              </w:rPr>
              <w:t>11, CO-confirmed &lt;=8ppm</w:t>
            </w:r>
          </w:p>
          <w:p w:rsidR="001572A8" w:rsidRPr="00554906" w:rsidRDefault="001572A8" w:rsidP="001572A8">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rsidR="001572A8" w:rsidRPr="003A352C" w:rsidRDefault="001572A8" w:rsidP="001572A8">
            <w:pPr>
              <w:pStyle w:val="Tableheading"/>
              <w:autoSpaceDE w:val="0"/>
              <w:autoSpaceDN w:val="0"/>
              <w:adjustRightInd w:val="0"/>
              <w:rPr>
                <w:rFonts w:eastAsiaTheme="minorEastAsia" w:cs="Calibri"/>
                <w:b w:val="0"/>
              </w:rPr>
            </w:pPr>
            <w:r w:rsidRPr="003A352C">
              <w:rPr>
                <w:rFonts w:eastAsiaTheme="minorEastAsia" w:cs="Calibri"/>
                <w:b w:val="0"/>
              </w:rPr>
              <w:t>7-day PPA 6</w:t>
            </w:r>
            <w:r w:rsidR="006A467D">
              <w:rPr>
                <w:rFonts w:eastAsiaTheme="minorEastAsia" w:cs="Calibri"/>
                <w:b w:val="0"/>
              </w:rPr>
              <w:t xml:space="preserve"> </w:t>
            </w:r>
            <w:r w:rsidRPr="003A352C">
              <w:rPr>
                <w:rFonts w:eastAsiaTheme="minorEastAsia" w:cs="Calibri"/>
                <w:b w:val="0"/>
              </w:rPr>
              <w:t>mo</w:t>
            </w:r>
            <w:r w:rsidR="006A467D">
              <w:rPr>
                <w:rFonts w:eastAsiaTheme="minorEastAsia" w:cs="Calibri"/>
                <w:b w:val="0"/>
              </w:rPr>
              <w:t>nths</w:t>
            </w:r>
            <w:r w:rsidRPr="003A352C">
              <w:rPr>
                <w:rFonts w:eastAsiaTheme="minorEastAsia" w:cs="Calibri"/>
                <w:b w:val="0"/>
              </w:rPr>
              <w:t>, 12</w:t>
            </w:r>
            <w:r w:rsidR="006A467D">
              <w:rPr>
                <w:rFonts w:eastAsiaTheme="minorEastAsia" w:cs="Calibri"/>
                <w:b w:val="0"/>
              </w:rPr>
              <w:t xml:space="preserve"> </w:t>
            </w:r>
            <w:r w:rsidRPr="003A352C">
              <w:rPr>
                <w:rFonts w:eastAsiaTheme="minorEastAsia" w:cs="Calibri"/>
                <w:b w:val="0"/>
              </w:rPr>
              <w:t>mo</w:t>
            </w:r>
            <w:r w:rsidR="006A467D">
              <w:rPr>
                <w:rFonts w:eastAsiaTheme="minorEastAsia" w:cs="Calibri"/>
                <w:b w:val="0"/>
              </w:rPr>
              <w:t>nths</w:t>
            </w:r>
            <w:r w:rsidR="00EF3BD0">
              <w:rPr>
                <w:rFonts w:eastAsiaTheme="minorEastAsia" w:cs="Calibri"/>
                <w:b w:val="0"/>
              </w:rPr>
              <w:t>.</w:t>
            </w:r>
            <w:r w:rsidRPr="003A352C">
              <w:rPr>
                <w:rFonts w:eastAsiaTheme="minorEastAsia" w:cs="Calibri"/>
                <w:b w:val="0"/>
              </w:rPr>
              <w:t xml:space="preserve"> </w:t>
            </w:r>
          </w:p>
          <w:p w:rsidR="001835D1" w:rsidRPr="003A352C" w:rsidRDefault="001572A8" w:rsidP="001572A8">
            <w:pPr>
              <w:pStyle w:val="Tableheading"/>
              <w:autoSpaceDE w:val="0"/>
              <w:autoSpaceDN w:val="0"/>
              <w:adjustRightInd w:val="0"/>
              <w:rPr>
                <w:rFonts w:eastAsiaTheme="minorEastAsia" w:cs="Calibri"/>
                <w:b w:val="0"/>
              </w:rPr>
            </w:pPr>
            <w:r>
              <w:rPr>
                <w:rFonts w:eastAsiaTheme="minorEastAsia" w:cs="Calibri"/>
                <w:b w:val="0"/>
                <w:u w:val="single"/>
              </w:rPr>
              <w:t>Safety</w:t>
            </w:r>
            <w:r w:rsidR="00EF3BD0">
              <w:rPr>
                <w:rFonts w:eastAsiaTheme="minorEastAsia" w:cs="Calibri"/>
                <w:b w:val="0"/>
              </w:rPr>
              <w:t xml:space="preserve">: </w:t>
            </w:r>
            <w:r w:rsidRPr="003A352C">
              <w:rPr>
                <w:rFonts w:eastAsiaTheme="minorEastAsia" w:cs="Calibri"/>
                <w:b w:val="0"/>
              </w:rPr>
              <w:t>Serious Adverse events</w:t>
            </w:r>
            <w:r w:rsidR="00EF3BD0">
              <w:rPr>
                <w:rFonts w:eastAsiaTheme="minorEastAsia" w:cs="Calibri"/>
                <w:b w:val="0"/>
              </w:rPr>
              <w:t>.</w:t>
            </w:r>
          </w:p>
        </w:tc>
      </w:tr>
      <w:tr w:rsidR="0068347E" w:rsidRPr="00061F78" w:rsidTr="00E07980">
        <w:trPr>
          <w:trHeight w:val="99"/>
        </w:trPr>
        <w:tc>
          <w:tcPr>
            <w:tcW w:w="5000" w:type="pct"/>
            <w:gridSpan w:val="8"/>
            <w:shd w:val="clear" w:color="auto" w:fill="D9D9D9" w:themeFill="background1" w:themeFillShade="D9"/>
          </w:tcPr>
          <w:p w:rsidR="0068347E" w:rsidRPr="0050534C" w:rsidRDefault="00E07980" w:rsidP="001572A8">
            <w:pPr>
              <w:pStyle w:val="Tableheading"/>
              <w:autoSpaceDE w:val="0"/>
              <w:autoSpaceDN w:val="0"/>
              <w:adjustRightInd w:val="0"/>
              <w:rPr>
                <w:rFonts w:eastAsiaTheme="minorEastAsia" w:cs="Calibri"/>
                <w:u w:val="single"/>
              </w:rPr>
            </w:pPr>
            <w:r w:rsidRPr="0050534C">
              <w:rPr>
                <w:rFonts w:eastAsiaTheme="minorEastAsia" w:cs="Calibri"/>
                <w:bCs w:val="0"/>
              </w:rPr>
              <w:t>Ongoing studies</w:t>
            </w:r>
          </w:p>
        </w:tc>
      </w:tr>
      <w:tr w:rsidR="0068347E" w:rsidRPr="00061F78" w:rsidTr="0050534C">
        <w:trPr>
          <w:trHeight w:val="99"/>
        </w:trPr>
        <w:tc>
          <w:tcPr>
            <w:tcW w:w="189" w:type="pct"/>
          </w:tcPr>
          <w:p w:rsidR="0050534C" w:rsidRPr="005B064B"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68347E" w:rsidRDefault="005B064B" w:rsidP="00693DA2">
            <w:pPr>
              <w:pStyle w:val="Tableheading"/>
              <w:autoSpaceDE w:val="0"/>
              <w:autoSpaceDN w:val="0"/>
              <w:adjustRightInd w:val="0"/>
              <w:rPr>
                <w:rFonts w:eastAsiaTheme="minorEastAsia" w:cs="Calibri"/>
                <w:b w:val="0"/>
              </w:rPr>
            </w:pPr>
            <w:r w:rsidRPr="005B064B">
              <w:rPr>
                <w:rFonts w:eastAsiaTheme="minorEastAsia" w:cs="Calibri"/>
                <w:b w:val="0"/>
              </w:rPr>
              <w:t>Zawertailo</w:t>
            </w:r>
            <w:r>
              <w:rPr>
                <w:rFonts w:eastAsiaTheme="minorEastAsia" w:cs="Calibri"/>
                <w:b w:val="0"/>
              </w:rPr>
              <w:t xml:space="preserve"> 2020</w:t>
            </w:r>
          </w:p>
        </w:tc>
        <w:tc>
          <w:tcPr>
            <w:tcW w:w="379" w:type="pct"/>
            <w:shd w:val="clear" w:color="auto" w:fill="auto"/>
          </w:tcPr>
          <w:p w:rsidR="0068347E" w:rsidRDefault="005B064B"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68347E" w:rsidRDefault="005E4A51" w:rsidP="00693DA2">
            <w:pPr>
              <w:pStyle w:val="Tableheading"/>
              <w:autoSpaceDE w:val="0"/>
              <w:autoSpaceDN w:val="0"/>
              <w:adjustRightInd w:val="0"/>
              <w:rPr>
                <w:rFonts w:eastAsiaTheme="minorEastAsia" w:cs="Calibri"/>
                <w:b w:val="0"/>
              </w:rPr>
            </w:pPr>
            <w:r>
              <w:rPr>
                <w:rFonts w:eastAsiaTheme="minorEastAsia" w:cs="Calibri"/>
                <w:b w:val="0"/>
              </w:rPr>
              <w:t>Canada</w:t>
            </w:r>
          </w:p>
        </w:tc>
        <w:tc>
          <w:tcPr>
            <w:tcW w:w="516" w:type="pct"/>
            <w:shd w:val="clear" w:color="auto" w:fill="auto"/>
            <w:tcMar>
              <w:left w:w="28" w:type="dxa"/>
              <w:right w:w="28" w:type="dxa"/>
            </w:tcMar>
          </w:tcPr>
          <w:p w:rsidR="0068347E" w:rsidRDefault="0068347E" w:rsidP="00693DA2">
            <w:pPr>
              <w:pStyle w:val="Tableheading"/>
              <w:autoSpaceDE w:val="0"/>
              <w:autoSpaceDN w:val="0"/>
              <w:adjustRightInd w:val="0"/>
              <w:rPr>
                <w:rFonts w:eastAsiaTheme="minorEastAsia" w:cs="Calibri"/>
                <w:b w:val="0"/>
              </w:rPr>
            </w:pPr>
          </w:p>
        </w:tc>
        <w:tc>
          <w:tcPr>
            <w:tcW w:w="1142" w:type="pct"/>
            <w:shd w:val="clear" w:color="auto" w:fill="auto"/>
            <w:tcMar>
              <w:left w:w="28" w:type="dxa"/>
              <w:right w:w="28" w:type="dxa"/>
            </w:tcMar>
          </w:tcPr>
          <w:p w:rsidR="0068347E" w:rsidRDefault="003E62AD" w:rsidP="001572A8">
            <w:pPr>
              <w:pStyle w:val="Tableheading"/>
              <w:autoSpaceDE w:val="0"/>
              <w:autoSpaceDN w:val="0"/>
              <w:adjustRightInd w:val="0"/>
              <w:rPr>
                <w:rFonts w:eastAsiaTheme="minorEastAsia" w:cs="Calibri"/>
                <w:b w:val="0"/>
              </w:rPr>
            </w:pPr>
            <w:r>
              <w:rPr>
                <w:rFonts w:eastAsiaTheme="minorEastAsia" w:cs="Calibri"/>
                <w:b w:val="0"/>
              </w:rPr>
              <w:t xml:space="preserve">Adults (18-75) </w:t>
            </w:r>
            <w:r w:rsidRPr="003E62AD">
              <w:rPr>
                <w:rFonts w:eastAsiaTheme="minorEastAsia" w:cs="Calibri"/>
                <w:b w:val="0"/>
              </w:rPr>
              <w:t>treatment-seeking daily tobacco smokers (at least 10 cigarettes per day), interested in using a nicotine patch for smoking cessation, and intending to make a quit attempt within the next 30 days.</w:t>
            </w:r>
          </w:p>
          <w:p w:rsidR="003E62AD" w:rsidRDefault="003E62AD" w:rsidP="001572A8">
            <w:pPr>
              <w:pStyle w:val="Tableheading"/>
              <w:autoSpaceDE w:val="0"/>
              <w:autoSpaceDN w:val="0"/>
              <w:adjustRightInd w:val="0"/>
              <w:rPr>
                <w:rFonts w:eastAsiaTheme="minorEastAsia" w:cs="Calibri"/>
                <w:b w:val="0"/>
              </w:rPr>
            </w:pPr>
            <w:r>
              <w:rPr>
                <w:rFonts w:eastAsiaTheme="minorEastAsia" w:cs="Calibri"/>
                <w:b w:val="0"/>
              </w:rPr>
              <w:t>Exclusion</w:t>
            </w:r>
          </w:p>
          <w:p w:rsidR="003E62AD" w:rsidRPr="001572A8" w:rsidRDefault="00CB59C5" w:rsidP="001572A8">
            <w:pPr>
              <w:pStyle w:val="Tableheading"/>
              <w:autoSpaceDE w:val="0"/>
              <w:autoSpaceDN w:val="0"/>
              <w:adjustRightInd w:val="0"/>
              <w:rPr>
                <w:rFonts w:eastAsiaTheme="minorEastAsia" w:cs="Calibri"/>
                <w:b w:val="0"/>
              </w:rPr>
            </w:pPr>
            <w:r>
              <w:rPr>
                <w:rFonts w:eastAsiaTheme="minorEastAsia" w:cs="Calibri"/>
                <w:b w:val="0"/>
              </w:rPr>
              <w:t>A</w:t>
            </w:r>
            <w:r w:rsidRPr="00CB59C5">
              <w:rPr>
                <w:rFonts w:eastAsiaTheme="minorEastAsia" w:cs="Calibri"/>
                <w:b w:val="0"/>
              </w:rPr>
              <w:t xml:space="preserve">t least weekly use of tobacco products other than cigarettes (e.g., oral tobacco, e-cigarettes); breastfeeding, pregnancy or not using a reliable form of birth control; any generalized skin disorders precluding use of the patch; any known hypersensitivity or allergies to any of the components of the nicotine patch; any life-threatening arrhythmias or severe/worsening angina pectoris; myocardial infarction or cerebral vascular accident in the past 2 weeks; currently using or has used NRT or other smoking cessation pharmacotherapy within the past 2 weeks; current (in the </w:t>
            </w:r>
            <w:r w:rsidRPr="00CB59C5">
              <w:rPr>
                <w:rFonts w:eastAsiaTheme="minorEastAsia" w:cs="Calibri"/>
                <w:b w:val="0"/>
              </w:rPr>
              <w:lastRenderedPageBreak/>
              <w:t>past month) active substance dependence (excluding caffeine) or unstable psychiatric condition which would compromise study compliance; diagnosed with a terminal illness; current regular use of e-cigarettes or other vaping devices containing nicotine (and not willing to stop using these devices for the duration of the study)</w:t>
            </w:r>
          </w:p>
        </w:tc>
        <w:tc>
          <w:tcPr>
            <w:tcW w:w="808" w:type="pct"/>
            <w:shd w:val="clear" w:color="auto" w:fill="auto"/>
          </w:tcPr>
          <w:p w:rsidR="00735388" w:rsidRDefault="00BA16F5" w:rsidP="00C324F3">
            <w:pPr>
              <w:pStyle w:val="Tablewriting"/>
              <w:keepNext/>
              <w:numPr>
                <w:ilvl w:val="0"/>
                <w:numId w:val="8"/>
              </w:numPr>
              <w:rPr>
                <w:rFonts w:eastAsia="MS Mincho"/>
              </w:rPr>
            </w:pPr>
            <w:r>
              <w:rPr>
                <w:rFonts w:eastAsia="MS Mincho"/>
              </w:rPr>
              <w:lastRenderedPageBreak/>
              <w:t>NRT patch, 21</w:t>
            </w:r>
            <w:r w:rsidR="000C78BF">
              <w:rPr>
                <w:rFonts w:eastAsia="MS Mincho"/>
              </w:rPr>
              <w:t xml:space="preserve"> </w:t>
            </w:r>
            <w:r>
              <w:rPr>
                <w:rFonts w:eastAsia="MS Mincho"/>
              </w:rPr>
              <w:t>mg + titration of active NRT patch doses until 7 consecutive days of abstinence</w:t>
            </w:r>
            <w:r w:rsidR="00774E44">
              <w:rPr>
                <w:rFonts w:eastAsia="MS Mincho"/>
              </w:rPr>
              <w:t>, max dose 84mg</w:t>
            </w:r>
          </w:p>
          <w:p w:rsidR="00774E44" w:rsidRDefault="00774E44" w:rsidP="00C324F3">
            <w:pPr>
              <w:pStyle w:val="Tablewriting"/>
              <w:keepNext/>
              <w:numPr>
                <w:ilvl w:val="0"/>
                <w:numId w:val="8"/>
              </w:numPr>
              <w:rPr>
                <w:rFonts w:eastAsia="MS Mincho"/>
              </w:rPr>
            </w:pPr>
            <w:r>
              <w:rPr>
                <w:rFonts w:eastAsia="MS Mincho"/>
              </w:rPr>
              <w:t>NRT patch 21</w:t>
            </w:r>
            <w:r w:rsidR="000C78BF">
              <w:rPr>
                <w:rFonts w:eastAsia="MS Mincho"/>
              </w:rPr>
              <w:t xml:space="preserve"> </w:t>
            </w:r>
            <w:r>
              <w:rPr>
                <w:rFonts w:eastAsia="MS Mincho"/>
              </w:rPr>
              <w:t xml:space="preserve">mg + placebo </w:t>
            </w:r>
            <w:r w:rsidR="009732BD">
              <w:rPr>
                <w:rFonts w:eastAsia="MS Mincho"/>
              </w:rPr>
              <w:t>patch until 7 consecutive days of abstinence; max dose of 21</w:t>
            </w:r>
            <w:r w:rsidR="000C78BF">
              <w:rPr>
                <w:rFonts w:eastAsia="MS Mincho"/>
              </w:rPr>
              <w:t xml:space="preserve"> </w:t>
            </w:r>
            <w:r w:rsidR="009732BD">
              <w:rPr>
                <w:rFonts w:eastAsia="MS Mincho"/>
              </w:rPr>
              <w:t>mg NRT and 3*21</w:t>
            </w:r>
            <w:r w:rsidR="000C78BF">
              <w:rPr>
                <w:rFonts w:eastAsia="MS Mincho"/>
              </w:rPr>
              <w:t xml:space="preserve"> </w:t>
            </w:r>
            <w:r w:rsidR="009732BD">
              <w:rPr>
                <w:rFonts w:eastAsia="MS Mincho"/>
              </w:rPr>
              <w:t>mg placebo</w:t>
            </w:r>
          </w:p>
          <w:p w:rsidR="009732BD" w:rsidRDefault="009732BD" w:rsidP="00C324F3">
            <w:pPr>
              <w:pStyle w:val="Tablewriting"/>
              <w:keepNext/>
              <w:numPr>
                <w:ilvl w:val="0"/>
                <w:numId w:val="8"/>
              </w:numPr>
              <w:rPr>
                <w:rFonts w:eastAsia="MS Mincho"/>
              </w:rPr>
            </w:pPr>
            <w:r>
              <w:rPr>
                <w:rFonts w:eastAsia="MS Mincho"/>
              </w:rPr>
              <w:t>NRT patch 21</w:t>
            </w:r>
            <w:r w:rsidR="000C78BF">
              <w:rPr>
                <w:rFonts w:eastAsia="MS Mincho"/>
              </w:rPr>
              <w:t xml:space="preserve"> </w:t>
            </w:r>
            <w:r>
              <w:rPr>
                <w:rFonts w:eastAsia="MS Mincho"/>
              </w:rPr>
              <w:t>mg, open-label</w:t>
            </w:r>
          </w:p>
          <w:p w:rsidR="0068347E" w:rsidRPr="00554906" w:rsidRDefault="00AC0981" w:rsidP="00FF725F">
            <w:pPr>
              <w:pStyle w:val="Tablewriting"/>
              <w:keepNext/>
              <w:rPr>
                <w:rFonts w:eastAsia="MS Mincho"/>
                <w:u w:val="single"/>
              </w:rPr>
            </w:pPr>
            <w:r w:rsidRPr="00554906">
              <w:rPr>
                <w:rFonts w:eastAsia="MS Mincho"/>
                <w:u w:val="single"/>
              </w:rPr>
              <w:t>Common elements</w:t>
            </w:r>
            <w:r w:rsidR="000C78BF">
              <w:rPr>
                <w:rFonts w:eastAsia="MS Mincho"/>
                <w:u w:val="single"/>
              </w:rPr>
              <w:t>:</w:t>
            </w:r>
          </w:p>
          <w:p w:rsidR="00AC0981" w:rsidRDefault="00AC0981" w:rsidP="00C324F3">
            <w:pPr>
              <w:pStyle w:val="Tablewriting"/>
              <w:keepNext/>
              <w:numPr>
                <w:ilvl w:val="0"/>
                <w:numId w:val="8"/>
              </w:numPr>
              <w:rPr>
                <w:rFonts w:eastAsia="MS Mincho"/>
              </w:rPr>
            </w:pPr>
            <w:r>
              <w:rPr>
                <w:rFonts w:eastAsia="MS Mincho"/>
              </w:rPr>
              <w:t>Weekly 10-minute brief behavioural support</w:t>
            </w:r>
          </w:p>
          <w:p w:rsidR="00AC0981" w:rsidRPr="001572A8" w:rsidRDefault="00735388" w:rsidP="00C324F3">
            <w:pPr>
              <w:pStyle w:val="Tablewriting"/>
              <w:keepNext/>
              <w:numPr>
                <w:ilvl w:val="0"/>
                <w:numId w:val="8"/>
              </w:numPr>
              <w:rPr>
                <w:rFonts w:eastAsia="MS Mincho"/>
              </w:rPr>
            </w:pPr>
            <w:r>
              <w:rPr>
                <w:rFonts w:eastAsia="MS Mincho"/>
              </w:rPr>
              <w:t>2-week run-in with NRT 21</w:t>
            </w:r>
            <w:r w:rsidR="00A1651B">
              <w:rPr>
                <w:rFonts w:eastAsia="MS Mincho"/>
              </w:rPr>
              <w:t xml:space="preserve"> </w:t>
            </w:r>
            <w:r>
              <w:rPr>
                <w:rFonts w:eastAsia="MS Mincho"/>
              </w:rPr>
              <w:t>mg</w:t>
            </w:r>
            <w:r w:rsidR="00A1651B">
              <w:rPr>
                <w:rFonts w:eastAsia="MS Mincho"/>
              </w:rPr>
              <w:t>.</w:t>
            </w:r>
          </w:p>
        </w:tc>
        <w:tc>
          <w:tcPr>
            <w:tcW w:w="1094" w:type="pct"/>
            <w:shd w:val="clear" w:color="auto" w:fill="auto"/>
            <w:tcMar>
              <w:left w:w="28" w:type="dxa"/>
              <w:right w:w="28" w:type="dxa"/>
            </w:tcMar>
          </w:tcPr>
          <w:p w:rsidR="0068347E" w:rsidRDefault="00CD11ED" w:rsidP="001572A8">
            <w:pPr>
              <w:pStyle w:val="Tableheading"/>
              <w:autoSpaceDE w:val="0"/>
              <w:autoSpaceDN w:val="0"/>
              <w:adjustRightInd w:val="0"/>
              <w:rPr>
                <w:rFonts w:eastAsiaTheme="minorEastAsia" w:cs="Calibri"/>
                <w:b w:val="0"/>
                <w:u w:val="single"/>
              </w:rPr>
            </w:pPr>
            <w:r>
              <w:rPr>
                <w:rFonts w:eastAsiaTheme="minorEastAsia" w:cs="Calibri"/>
                <w:b w:val="0"/>
                <w:u w:val="single"/>
              </w:rPr>
              <w:t>Efficacy</w:t>
            </w:r>
          </w:p>
          <w:p w:rsidR="00C51D64" w:rsidRPr="00554906" w:rsidRDefault="00CD11ED" w:rsidP="001572A8">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rsidR="005830E9" w:rsidRPr="003A352C" w:rsidRDefault="00CD11ED" w:rsidP="001572A8">
            <w:pPr>
              <w:pStyle w:val="Tableheading"/>
              <w:autoSpaceDE w:val="0"/>
              <w:autoSpaceDN w:val="0"/>
              <w:adjustRightInd w:val="0"/>
              <w:rPr>
                <w:rFonts w:eastAsiaTheme="minorEastAsia" w:cs="Calibri"/>
                <w:b w:val="0"/>
              </w:rPr>
            </w:pPr>
            <w:r w:rsidRPr="003A352C">
              <w:rPr>
                <w:rFonts w:eastAsiaTheme="minorEastAsia" w:cs="Calibri"/>
                <w:b w:val="0"/>
              </w:rPr>
              <w:t>CAR w</w:t>
            </w:r>
            <w:r w:rsidR="00C51D64">
              <w:rPr>
                <w:rFonts w:eastAsiaTheme="minorEastAsia" w:cs="Calibri"/>
                <w:b w:val="0"/>
              </w:rPr>
              <w:t>ee</w:t>
            </w:r>
            <w:r w:rsidRPr="003A352C">
              <w:rPr>
                <w:rFonts w:eastAsiaTheme="minorEastAsia" w:cs="Calibri"/>
                <w:b w:val="0"/>
              </w:rPr>
              <w:t>k 9-12, CO-confirmed</w:t>
            </w:r>
            <w:r w:rsidR="005830E9" w:rsidRPr="003A352C">
              <w:rPr>
                <w:rFonts w:eastAsiaTheme="minorEastAsia" w:cs="Calibri"/>
                <w:b w:val="0"/>
              </w:rPr>
              <w:t xml:space="preserve"> and urine confirmed</w:t>
            </w:r>
          </w:p>
          <w:p w:rsidR="00CD11ED" w:rsidRPr="00554906" w:rsidRDefault="005830E9" w:rsidP="001572A8">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rsidR="003324BA" w:rsidRPr="001572A8" w:rsidRDefault="003324BA" w:rsidP="001572A8">
            <w:pPr>
              <w:pStyle w:val="Tableheading"/>
              <w:autoSpaceDE w:val="0"/>
              <w:autoSpaceDN w:val="0"/>
              <w:adjustRightInd w:val="0"/>
              <w:rPr>
                <w:rFonts w:eastAsiaTheme="minorEastAsia" w:cs="Calibri"/>
                <w:b w:val="0"/>
                <w:u w:val="single"/>
              </w:rPr>
            </w:pPr>
            <w:r w:rsidRPr="003A352C">
              <w:rPr>
                <w:rFonts w:eastAsiaTheme="minorEastAsia" w:cs="Calibri"/>
                <w:b w:val="0"/>
              </w:rPr>
              <w:t>CAR, urinary confirmed w</w:t>
            </w:r>
            <w:r w:rsidR="00C51D64">
              <w:rPr>
                <w:rFonts w:eastAsiaTheme="minorEastAsia" w:cs="Calibri"/>
                <w:b w:val="0"/>
              </w:rPr>
              <w:t>ee</w:t>
            </w:r>
            <w:r w:rsidRPr="003A352C">
              <w:rPr>
                <w:rFonts w:eastAsiaTheme="minorEastAsia" w:cs="Calibri"/>
                <w:b w:val="0"/>
              </w:rPr>
              <w:t>k</w:t>
            </w:r>
            <w:r w:rsidR="00C51D64">
              <w:rPr>
                <w:rFonts w:eastAsiaTheme="minorEastAsia" w:cs="Calibri"/>
                <w:b w:val="0"/>
              </w:rPr>
              <w:t xml:space="preserve"> </w:t>
            </w:r>
            <w:r w:rsidRPr="003A352C">
              <w:rPr>
                <w:rFonts w:eastAsiaTheme="minorEastAsia" w:cs="Calibri"/>
                <w:b w:val="0"/>
              </w:rPr>
              <w:t>9-26, w</w:t>
            </w:r>
            <w:r w:rsidR="00C51D64">
              <w:rPr>
                <w:rFonts w:eastAsiaTheme="minorEastAsia" w:cs="Calibri"/>
                <w:b w:val="0"/>
              </w:rPr>
              <w:t>ee</w:t>
            </w:r>
            <w:r w:rsidRPr="003A352C">
              <w:rPr>
                <w:rFonts w:eastAsiaTheme="minorEastAsia" w:cs="Calibri"/>
                <w:b w:val="0"/>
              </w:rPr>
              <w:t>k</w:t>
            </w:r>
            <w:r w:rsidR="00C51D64">
              <w:rPr>
                <w:rFonts w:eastAsiaTheme="minorEastAsia" w:cs="Calibri"/>
                <w:b w:val="0"/>
              </w:rPr>
              <w:t xml:space="preserve"> </w:t>
            </w:r>
            <w:r w:rsidRPr="003A352C">
              <w:rPr>
                <w:rFonts w:eastAsiaTheme="minorEastAsia" w:cs="Calibri"/>
                <w:b w:val="0"/>
              </w:rPr>
              <w:t>9-52</w:t>
            </w:r>
            <w:r w:rsidR="00C51D64">
              <w:rPr>
                <w:rFonts w:eastAsiaTheme="minorEastAsia" w:cs="Calibri"/>
                <w:b w:val="0"/>
              </w:rPr>
              <w:t>.</w:t>
            </w:r>
          </w:p>
        </w:tc>
      </w:tr>
      <w:tr w:rsidR="0068347E" w:rsidRPr="00061F78" w:rsidTr="0050534C">
        <w:trPr>
          <w:trHeight w:val="99"/>
        </w:trPr>
        <w:tc>
          <w:tcPr>
            <w:tcW w:w="189" w:type="pct"/>
          </w:tcPr>
          <w:p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rsidR="0068347E" w:rsidRDefault="00F527BE" w:rsidP="00693DA2">
            <w:pPr>
              <w:pStyle w:val="Tableheading"/>
              <w:autoSpaceDE w:val="0"/>
              <w:autoSpaceDN w:val="0"/>
              <w:adjustRightInd w:val="0"/>
              <w:rPr>
                <w:rFonts w:eastAsiaTheme="minorEastAsia" w:cs="Calibri"/>
                <w:b w:val="0"/>
              </w:rPr>
            </w:pPr>
            <w:r>
              <w:rPr>
                <w:rFonts w:eastAsiaTheme="minorEastAsia" w:cs="Calibri"/>
                <w:b w:val="0"/>
              </w:rPr>
              <w:t>NCT</w:t>
            </w:r>
            <w:r w:rsidR="00A253DB">
              <w:rPr>
                <w:rFonts w:eastAsiaTheme="minorEastAsia" w:cs="Calibri"/>
                <w:b w:val="0"/>
              </w:rPr>
              <w:t>04188873</w:t>
            </w:r>
          </w:p>
        </w:tc>
        <w:tc>
          <w:tcPr>
            <w:tcW w:w="379" w:type="pct"/>
            <w:shd w:val="clear" w:color="auto" w:fill="auto"/>
          </w:tcPr>
          <w:p w:rsidR="0068347E" w:rsidRDefault="00A253DB"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rsidR="0068347E" w:rsidRDefault="00A253DB"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rsidR="0068347E" w:rsidRDefault="0068347E" w:rsidP="00693DA2">
            <w:pPr>
              <w:pStyle w:val="Tableheading"/>
              <w:autoSpaceDE w:val="0"/>
              <w:autoSpaceDN w:val="0"/>
              <w:adjustRightInd w:val="0"/>
              <w:rPr>
                <w:rFonts w:eastAsiaTheme="minorEastAsia" w:cs="Calibri"/>
                <w:b w:val="0"/>
              </w:rPr>
            </w:pPr>
          </w:p>
        </w:tc>
        <w:tc>
          <w:tcPr>
            <w:tcW w:w="1142" w:type="pct"/>
            <w:shd w:val="clear" w:color="auto" w:fill="auto"/>
            <w:tcMar>
              <w:left w:w="28" w:type="dxa"/>
              <w:right w:w="28" w:type="dxa"/>
            </w:tcMar>
          </w:tcPr>
          <w:p w:rsidR="0068347E" w:rsidRDefault="00A253DB" w:rsidP="001572A8">
            <w:pPr>
              <w:pStyle w:val="Tableheading"/>
              <w:autoSpaceDE w:val="0"/>
              <w:autoSpaceDN w:val="0"/>
              <w:adjustRightInd w:val="0"/>
              <w:rPr>
                <w:rFonts w:eastAsiaTheme="minorEastAsia" w:cs="Calibri"/>
                <w:b w:val="0"/>
              </w:rPr>
            </w:pPr>
            <w:r w:rsidRPr="00A253DB">
              <w:rPr>
                <w:rFonts w:eastAsiaTheme="minorEastAsia" w:cs="Calibri"/>
                <w:b w:val="0"/>
              </w:rPr>
              <w:t>Smoking &gt;4 cigarettes/day for the previous 6 months Able to read, write, and speak English If currently using nicotine replacement therapy (NRT), agreeing to use only study medication for the duration of the study Medically eligible to use study medications If the participant is a woman of childbearing potential, using an approved method of birth control during treatment</w:t>
            </w:r>
          </w:p>
          <w:p w:rsidR="00A253DB" w:rsidRDefault="00A253DB" w:rsidP="001572A8">
            <w:pPr>
              <w:pStyle w:val="Tableheading"/>
              <w:autoSpaceDE w:val="0"/>
              <w:autoSpaceDN w:val="0"/>
              <w:adjustRightInd w:val="0"/>
              <w:rPr>
                <w:rFonts w:eastAsiaTheme="minorEastAsia" w:cs="Calibri"/>
                <w:b w:val="0"/>
              </w:rPr>
            </w:pPr>
            <w:r>
              <w:rPr>
                <w:rFonts w:eastAsiaTheme="minorEastAsia" w:cs="Calibri"/>
                <w:b w:val="0"/>
              </w:rPr>
              <w:t>Exclusion</w:t>
            </w:r>
          </w:p>
          <w:p w:rsidR="00A253DB" w:rsidRPr="001572A8" w:rsidRDefault="003C69EF" w:rsidP="001572A8">
            <w:pPr>
              <w:pStyle w:val="Tableheading"/>
              <w:autoSpaceDE w:val="0"/>
              <w:autoSpaceDN w:val="0"/>
              <w:adjustRightInd w:val="0"/>
              <w:rPr>
                <w:rFonts w:eastAsiaTheme="minorEastAsia" w:cs="Calibri"/>
                <w:b w:val="0"/>
              </w:rPr>
            </w:pPr>
            <w:r w:rsidRPr="003C69EF">
              <w:rPr>
                <w:rFonts w:eastAsiaTheme="minorEastAsia" w:cs="Calibri"/>
                <w:b w:val="0"/>
              </w:rPr>
              <w:t>Currently taking bupropion or varenicline Suicidal ideation in the last 12 months or any suicide attempts in the past 10 years</w:t>
            </w:r>
          </w:p>
        </w:tc>
        <w:tc>
          <w:tcPr>
            <w:tcW w:w="808" w:type="pct"/>
            <w:shd w:val="clear" w:color="auto" w:fill="auto"/>
          </w:tcPr>
          <w:p w:rsidR="00E31559" w:rsidRDefault="00B0134A" w:rsidP="00C324F3">
            <w:pPr>
              <w:pStyle w:val="Tablewriting"/>
              <w:keepNext/>
              <w:numPr>
                <w:ilvl w:val="0"/>
                <w:numId w:val="8"/>
              </w:numPr>
              <w:rPr>
                <w:rFonts w:eastAsia="MS Mincho"/>
              </w:rPr>
            </w:pPr>
            <w:r w:rsidRPr="00B0134A">
              <w:rPr>
                <w:rFonts w:eastAsia="MS Mincho"/>
              </w:rPr>
              <w:t xml:space="preserve">Standard 12-week Varenicline </w:t>
            </w:r>
            <w:r w:rsidR="00B83892">
              <w:rPr>
                <w:rFonts w:eastAsia="MS Mincho"/>
              </w:rPr>
              <w:t>+ 2</w:t>
            </w:r>
            <w:r w:rsidR="00B83892" w:rsidRPr="00E31559">
              <w:rPr>
                <w:rFonts w:eastAsia="MS Mincho"/>
              </w:rPr>
              <w:t xml:space="preserve"> brief phone or video </w:t>
            </w:r>
            <w:r w:rsidR="00114FF2" w:rsidRPr="00E31559">
              <w:rPr>
                <w:rFonts w:eastAsia="MS Mincho"/>
              </w:rPr>
              <w:t>counselling</w:t>
            </w:r>
            <w:r w:rsidR="00B83892" w:rsidRPr="00E31559">
              <w:rPr>
                <w:rFonts w:eastAsia="MS Mincho"/>
              </w:rPr>
              <w:t xml:space="preserve"> sessions</w:t>
            </w:r>
          </w:p>
          <w:p w:rsidR="00E31559" w:rsidRPr="00B83892" w:rsidRDefault="00DD49F4" w:rsidP="00C324F3">
            <w:pPr>
              <w:pStyle w:val="Tablewriting"/>
              <w:keepNext/>
              <w:numPr>
                <w:ilvl w:val="0"/>
                <w:numId w:val="8"/>
              </w:numPr>
              <w:rPr>
                <w:rFonts w:eastAsia="MS Mincho"/>
              </w:rPr>
            </w:pPr>
            <w:r w:rsidRPr="00DD49F4">
              <w:rPr>
                <w:rFonts w:eastAsia="MS Mincho"/>
              </w:rPr>
              <w:t>15 weeks of varenicline starting 4 weeks pre-quit</w:t>
            </w:r>
            <w:r w:rsidR="00B83892">
              <w:rPr>
                <w:rFonts w:eastAsia="MS Mincho"/>
              </w:rPr>
              <w:t xml:space="preserve"> +2</w:t>
            </w:r>
            <w:r w:rsidR="00B83892" w:rsidRPr="00E31559">
              <w:rPr>
                <w:rFonts w:eastAsia="MS Mincho"/>
              </w:rPr>
              <w:t xml:space="preserve"> brief phone or video </w:t>
            </w:r>
            <w:r w:rsidR="00114FF2" w:rsidRPr="00E31559">
              <w:rPr>
                <w:rFonts w:eastAsia="MS Mincho"/>
              </w:rPr>
              <w:t>counselling</w:t>
            </w:r>
            <w:r w:rsidR="00B83892" w:rsidRPr="00E31559">
              <w:rPr>
                <w:rFonts w:eastAsia="MS Mincho"/>
              </w:rPr>
              <w:t xml:space="preserve"> sessions</w:t>
            </w:r>
          </w:p>
          <w:p w:rsidR="00E31559" w:rsidRPr="007C541C" w:rsidRDefault="00DD49F4" w:rsidP="00C324F3">
            <w:pPr>
              <w:pStyle w:val="Tablewriting"/>
              <w:keepNext/>
              <w:numPr>
                <w:ilvl w:val="0"/>
                <w:numId w:val="8"/>
              </w:numPr>
              <w:rPr>
                <w:rFonts w:eastAsia="MS Mincho"/>
              </w:rPr>
            </w:pPr>
            <w:r w:rsidRPr="00DD49F4">
              <w:rPr>
                <w:rFonts w:eastAsia="MS Mincho"/>
              </w:rPr>
              <w:t>24 weeks of varenicline</w:t>
            </w:r>
            <w:r w:rsidR="007C541C">
              <w:rPr>
                <w:rFonts w:eastAsia="MS Mincho"/>
              </w:rPr>
              <w:t xml:space="preserve"> + 2</w:t>
            </w:r>
            <w:r w:rsidR="007C541C" w:rsidRPr="00E31559">
              <w:rPr>
                <w:rFonts w:eastAsia="MS Mincho"/>
              </w:rPr>
              <w:t xml:space="preserve"> brief phone or video </w:t>
            </w:r>
            <w:r w:rsidR="00114FF2" w:rsidRPr="00E31559">
              <w:rPr>
                <w:rFonts w:eastAsia="MS Mincho"/>
              </w:rPr>
              <w:t>counselling</w:t>
            </w:r>
            <w:r w:rsidR="007C541C" w:rsidRPr="00E31559">
              <w:rPr>
                <w:rFonts w:eastAsia="MS Mincho"/>
              </w:rPr>
              <w:t xml:space="preserve"> sessions</w:t>
            </w:r>
          </w:p>
          <w:p w:rsidR="002E59BC" w:rsidRPr="007C541C" w:rsidRDefault="002E59BC" w:rsidP="00C324F3">
            <w:pPr>
              <w:pStyle w:val="Tablewriting"/>
              <w:keepNext/>
              <w:numPr>
                <w:ilvl w:val="0"/>
                <w:numId w:val="8"/>
              </w:numPr>
              <w:rPr>
                <w:rFonts w:eastAsia="MS Mincho"/>
              </w:rPr>
            </w:pPr>
            <w:r w:rsidRPr="002E59BC">
              <w:rPr>
                <w:rFonts w:eastAsia="MS Mincho"/>
              </w:rPr>
              <w:t>27 weeks of varenicline starting 4 weeks pre-quit</w:t>
            </w:r>
            <w:r w:rsidR="007C541C">
              <w:rPr>
                <w:rFonts w:eastAsia="MS Mincho"/>
              </w:rPr>
              <w:t xml:space="preserve"> + 2</w:t>
            </w:r>
            <w:r w:rsidR="007C541C" w:rsidRPr="00E31559">
              <w:rPr>
                <w:rFonts w:eastAsia="MS Mincho"/>
              </w:rPr>
              <w:t xml:space="preserve"> brief phone or video </w:t>
            </w:r>
            <w:r w:rsidR="00114FF2" w:rsidRPr="00E31559">
              <w:rPr>
                <w:rFonts w:eastAsia="MS Mincho"/>
              </w:rPr>
              <w:t>counselling</w:t>
            </w:r>
            <w:r w:rsidR="007C541C" w:rsidRPr="00E31559">
              <w:rPr>
                <w:rFonts w:eastAsia="MS Mincho"/>
              </w:rPr>
              <w:t xml:space="preserve"> sessions</w:t>
            </w:r>
          </w:p>
          <w:p w:rsidR="00E31559" w:rsidRDefault="00B83892" w:rsidP="00C324F3">
            <w:pPr>
              <w:pStyle w:val="Tablewriting"/>
              <w:keepNext/>
              <w:numPr>
                <w:ilvl w:val="0"/>
                <w:numId w:val="8"/>
              </w:numPr>
              <w:rPr>
                <w:rFonts w:eastAsia="MS Mincho"/>
              </w:rPr>
            </w:pPr>
            <w:r w:rsidRPr="00B83892">
              <w:rPr>
                <w:rFonts w:eastAsia="MS Mincho"/>
              </w:rPr>
              <w:t>12 weeks of varenicline</w:t>
            </w:r>
            <w:r>
              <w:rPr>
                <w:rFonts w:eastAsia="MS Mincho"/>
              </w:rPr>
              <w:t xml:space="preserve"> + 4</w:t>
            </w:r>
            <w:r w:rsidR="00E31559" w:rsidRPr="00E31559">
              <w:rPr>
                <w:rFonts w:eastAsia="MS Mincho"/>
              </w:rPr>
              <w:t xml:space="preserve"> brief phone or video </w:t>
            </w:r>
            <w:r w:rsidR="00114FF2" w:rsidRPr="00E31559">
              <w:rPr>
                <w:rFonts w:eastAsia="MS Mincho"/>
              </w:rPr>
              <w:t>counselling</w:t>
            </w:r>
            <w:r w:rsidR="00E31559" w:rsidRPr="00E31559">
              <w:rPr>
                <w:rFonts w:eastAsia="MS Mincho"/>
              </w:rPr>
              <w:t xml:space="preserve"> sessions</w:t>
            </w:r>
          </w:p>
          <w:p w:rsidR="00636017" w:rsidRPr="00266165" w:rsidRDefault="00636017" w:rsidP="00C324F3">
            <w:pPr>
              <w:pStyle w:val="Tablewriting"/>
              <w:keepNext/>
              <w:numPr>
                <w:ilvl w:val="0"/>
                <w:numId w:val="8"/>
              </w:numPr>
              <w:rPr>
                <w:rFonts w:eastAsia="MS Mincho"/>
              </w:rPr>
            </w:pPr>
            <w:r w:rsidRPr="00DD49F4">
              <w:rPr>
                <w:rFonts w:eastAsia="MS Mincho"/>
              </w:rPr>
              <w:t xml:space="preserve">15 weeks of varenicline starting 4 </w:t>
            </w:r>
            <w:r w:rsidRPr="00DD49F4">
              <w:rPr>
                <w:rFonts w:eastAsia="MS Mincho"/>
              </w:rPr>
              <w:lastRenderedPageBreak/>
              <w:t>weeks pre-quit</w:t>
            </w:r>
            <w:r>
              <w:rPr>
                <w:rFonts w:eastAsia="MS Mincho"/>
              </w:rPr>
              <w:t xml:space="preserve"> +</w:t>
            </w:r>
            <w:r w:rsidR="00132F90">
              <w:rPr>
                <w:rFonts w:eastAsia="MS Mincho"/>
              </w:rPr>
              <w:t>4</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rsidR="00636017" w:rsidRPr="00266165" w:rsidRDefault="00636017" w:rsidP="00C324F3">
            <w:pPr>
              <w:pStyle w:val="Tablewriting"/>
              <w:keepNext/>
              <w:numPr>
                <w:ilvl w:val="0"/>
                <w:numId w:val="8"/>
              </w:numPr>
              <w:rPr>
                <w:rFonts w:eastAsia="MS Mincho"/>
              </w:rPr>
            </w:pPr>
            <w:r w:rsidRPr="00DD49F4">
              <w:rPr>
                <w:rFonts w:eastAsia="MS Mincho"/>
              </w:rPr>
              <w:t>24 weeks of varenicline</w:t>
            </w:r>
            <w:r>
              <w:rPr>
                <w:rFonts w:eastAsia="MS Mincho"/>
              </w:rPr>
              <w:t xml:space="preserve"> + </w:t>
            </w:r>
            <w:r w:rsidR="00132F90">
              <w:rPr>
                <w:rFonts w:eastAsia="MS Mincho"/>
              </w:rPr>
              <w:t>4</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rsidR="00636017" w:rsidRPr="00266165" w:rsidRDefault="00636017" w:rsidP="00C324F3">
            <w:pPr>
              <w:pStyle w:val="Tablewriting"/>
              <w:keepNext/>
              <w:numPr>
                <w:ilvl w:val="0"/>
                <w:numId w:val="8"/>
              </w:numPr>
              <w:rPr>
                <w:rFonts w:eastAsia="MS Mincho"/>
              </w:rPr>
            </w:pPr>
            <w:r w:rsidRPr="002E59BC">
              <w:rPr>
                <w:rFonts w:eastAsia="MS Mincho"/>
              </w:rPr>
              <w:t>27 weeks of varenicline starting 4 weeks pre-quit</w:t>
            </w:r>
            <w:r>
              <w:rPr>
                <w:rFonts w:eastAsia="MS Mincho"/>
              </w:rPr>
              <w:t xml:space="preserve"> + </w:t>
            </w:r>
            <w:r w:rsidR="00132F90">
              <w:rPr>
                <w:rFonts w:eastAsia="MS Mincho"/>
              </w:rPr>
              <w:t>4</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rsidR="00BA0218" w:rsidRDefault="00BA0218" w:rsidP="00C324F3">
            <w:pPr>
              <w:pStyle w:val="Tablewriting"/>
              <w:keepNext/>
              <w:numPr>
                <w:ilvl w:val="0"/>
                <w:numId w:val="8"/>
              </w:numPr>
              <w:rPr>
                <w:rFonts w:eastAsia="MS Mincho"/>
              </w:rPr>
            </w:pPr>
            <w:r w:rsidRPr="00BA0218">
              <w:rPr>
                <w:rFonts w:eastAsia="MS Mincho"/>
              </w:rPr>
              <w:t>12 weeks of nicotine patch + nicotine mini-lozenge</w:t>
            </w:r>
            <w:r>
              <w:rPr>
                <w:rFonts w:eastAsia="MS Mincho"/>
              </w:rPr>
              <w:t xml:space="preserve"> + 2</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rsidR="007C541C" w:rsidRDefault="00074B91" w:rsidP="00C324F3">
            <w:pPr>
              <w:pStyle w:val="Tablewriting"/>
              <w:keepNext/>
              <w:numPr>
                <w:ilvl w:val="0"/>
                <w:numId w:val="8"/>
              </w:numPr>
              <w:rPr>
                <w:rFonts w:eastAsia="MS Mincho"/>
              </w:rPr>
            </w:pPr>
            <w:r w:rsidRPr="00074B91">
              <w:rPr>
                <w:rFonts w:eastAsia="MS Mincho"/>
              </w:rPr>
              <w:t>16 weeks of nicotine patch + nicotine mini-lozenge starting 4 weeks pre-quit</w:t>
            </w:r>
            <w:r>
              <w:rPr>
                <w:rFonts w:eastAsia="MS Mincho"/>
              </w:rPr>
              <w:t xml:space="preserve"> + 2</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rsidR="00074B91" w:rsidRDefault="000C5DBB" w:rsidP="00C324F3">
            <w:pPr>
              <w:pStyle w:val="Tablewriting"/>
              <w:keepNext/>
              <w:numPr>
                <w:ilvl w:val="0"/>
                <w:numId w:val="8"/>
              </w:numPr>
              <w:rPr>
                <w:rFonts w:eastAsia="MS Mincho"/>
              </w:rPr>
            </w:pPr>
            <w:r w:rsidRPr="000C5DBB">
              <w:rPr>
                <w:rFonts w:eastAsia="MS Mincho"/>
              </w:rPr>
              <w:t>24 weeks of nicotine patch + nicotine mini-lozenge</w:t>
            </w:r>
            <w:r>
              <w:rPr>
                <w:rFonts w:eastAsia="MS Mincho"/>
              </w:rPr>
              <w:t xml:space="preserve"> + 2</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rsidR="000C5DBB" w:rsidRDefault="00272A53" w:rsidP="00C324F3">
            <w:pPr>
              <w:pStyle w:val="Tablewriting"/>
              <w:keepNext/>
              <w:numPr>
                <w:ilvl w:val="0"/>
                <w:numId w:val="8"/>
              </w:numPr>
              <w:rPr>
                <w:rFonts w:eastAsia="MS Mincho"/>
              </w:rPr>
            </w:pPr>
            <w:r w:rsidRPr="00272A53">
              <w:rPr>
                <w:rFonts w:eastAsia="MS Mincho"/>
              </w:rPr>
              <w:t>28 weeks of nicotine patch + nicotine mini-lozenge starting 4 weeks pre-quit</w:t>
            </w:r>
            <w:r>
              <w:rPr>
                <w:rFonts w:eastAsia="MS Mincho"/>
              </w:rPr>
              <w:t xml:space="preserve"> + 2</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rsidR="00272A53" w:rsidRDefault="00272A53" w:rsidP="00C324F3">
            <w:pPr>
              <w:pStyle w:val="Tablewriting"/>
              <w:keepNext/>
              <w:numPr>
                <w:ilvl w:val="0"/>
                <w:numId w:val="8"/>
              </w:numPr>
              <w:rPr>
                <w:rFonts w:eastAsia="MS Mincho"/>
              </w:rPr>
            </w:pPr>
            <w:r w:rsidRPr="00BA0218">
              <w:rPr>
                <w:rFonts w:eastAsia="MS Mincho"/>
              </w:rPr>
              <w:t>12 weeks of nicotine patch + nicotine mini-</w:t>
            </w:r>
            <w:r w:rsidRPr="00BA0218">
              <w:rPr>
                <w:rFonts w:eastAsia="MS Mincho"/>
              </w:rPr>
              <w:lastRenderedPageBreak/>
              <w:t>lozenge</w:t>
            </w:r>
            <w:r>
              <w:rPr>
                <w:rFonts w:eastAsia="MS Mincho"/>
              </w:rPr>
              <w:t xml:space="preserve"> + 4</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rsidR="00272A53" w:rsidRDefault="00272A53" w:rsidP="00C324F3">
            <w:pPr>
              <w:pStyle w:val="Tablewriting"/>
              <w:keepNext/>
              <w:numPr>
                <w:ilvl w:val="0"/>
                <w:numId w:val="8"/>
              </w:numPr>
              <w:rPr>
                <w:rFonts w:eastAsia="MS Mincho"/>
              </w:rPr>
            </w:pPr>
            <w:r w:rsidRPr="00074B91">
              <w:rPr>
                <w:rFonts w:eastAsia="MS Mincho"/>
              </w:rPr>
              <w:t>16 weeks of nicotine patch + nicotine mini-lozenge starting 4 weeks pre-quit</w:t>
            </w:r>
            <w:r>
              <w:rPr>
                <w:rFonts w:eastAsia="MS Mincho"/>
              </w:rPr>
              <w:t xml:space="preserve"> + 2</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rsidR="00272A53" w:rsidRDefault="00272A53" w:rsidP="00C324F3">
            <w:pPr>
              <w:pStyle w:val="Tablewriting"/>
              <w:keepNext/>
              <w:numPr>
                <w:ilvl w:val="0"/>
                <w:numId w:val="8"/>
              </w:numPr>
              <w:rPr>
                <w:rFonts w:eastAsia="MS Mincho"/>
              </w:rPr>
            </w:pPr>
            <w:r w:rsidRPr="000C5DBB">
              <w:rPr>
                <w:rFonts w:eastAsia="MS Mincho"/>
              </w:rPr>
              <w:t>24 weeks of nicotine patch + nicotine mini-lozenge</w:t>
            </w:r>
            <w:r>
              <w:rPr>
                <w:rFonts w:eastAsia="MS Mincho"/>
              </w:rPr>
              <w:t xml:space="preserve"> + 4</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rsidR="00272A53" w:rsidRPr="00E31559" w:rsidRDefault="00272A53" w:rsidP="00C324F3">
            <w:pPr>
              <w:pStyle w:val="Tablewriting"/>
              <w:keepNext/>
              <w:numPr>
                <w:ilvl w:val="0"/>
                <w:numId w:val="8"/>
              </w:numPr>
              <w:rPr>
                <w:rFonts w:eastAsia="MS Mincho"/>
              </w:rPr>
            </w:pPr>
            <w:r w:rsidRPr="00272A53">
              <w:rPr>
                <w:rFonts w:eastAsia="MS Mincho"/>
              </w:rPr>
              <w:t>28 weeks of nicotine patch + nicotine mini-lozenge starting 4 weeks pre-quit</w:t>
            </w:r>
            <w:r>
              <w:rPr>
                <w:rFonts w:eastAsia="MS Mincho"/>
              </w:rPr>
              <w:t xml:space="preserve"> + 4</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tc>
        <w:tc>
          <w:tcPr>
            <w:tcW w:w="1094" w:type="pct"/>
            <w:shd w:val="clear" w:color="auto" w:fill="auto"/>
            <w:tcMar>
              <w:left w:w="28" w:type="dxa"/>
              <w:right w:w="28" w:type="dxa"/>
            </w:tcMar>
          </w:tcPr>
          <w:p w:rsidR="0068347E" w:rsidRDefault="00ED0783" w:rsidP="001572A8">
            <w:pPr>
              <w:pStyle w:val="Tableheading"/>
              <w:autoSpaceDE w:val="0"/>
              <w:autoSpaceDN w:val="0"/>
              <w:adjustRightInd w:val="0"/>
              <w:rPr>
                <w:rFonts w:eastAsiaTheme="minorEastAsia" w:cs="Calibri"/>
                <w:b w:val="0"/>
                <w:u w:val="single"/>
              </w:rPr>
            </w:pPr>
            <w:r>
              <w:rPr>
                <w:rFonts w:eastAsiaTheme="minorEastAsia" w:cs="Calibri"/>
                <w:b w:val="0"/>
                <w:u w:val="single"/>
              </w:rPr>
              <w:lastRenderedPageBreak/>
              <w:t>E</w:t>
            </w:r>
            <w:r w:rsidR="006C4766">
              <w:rPr>
                <w:rFonts w:eastAsiaTheme="minorEastAsia" w:cs="Calibri"/>
                <w:b w:val="0"/>
                <w:u w:val="single"/>
              </w:rPr>
              <w:t>f</w:t>
            </w:r>
            <w:r>
              <w:rPr>
                <w:rFonts w:eastAsiaTheme="minorEastAsia" w:cs="Calibri"/>
                <w:b w:val="0"/>
                <w:u w:val="single"/>
              </w:rPr>
              <w:t>ficacy</w:t>
            </w:r>
          </w:p>
          <w:p w:rsidR="00ED0783" w:rsidRPr="00554906" w:rsidRDefault="00ED0783" w:rsidP="001572A8">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rsidR="00ED0783" w:rsidRPr="003A352C" w:rsidRDefault="00ED0783" w:rsidP="001572A8">
            <w:pPr>
              <w:pStyle w:val="Tableheading"/>
              <w:autoSpaceDE w:val="0"/>
              <w:autoSpaceDN w:val="0"/>
              <w:adjustRightInd w:val="0"/>
              <w:rPr>
                <w:rFonts w:eastAsiaTheme="minorEastAsia" w:cs="Calibri"/>
                <w:b w:val="0"/>
              </w:rPr>
            </w:pPr>
            <w:r w:rsidRPr="003A352C">
              <w:rPr>
                <w:rFonts w:eastAsiaTheme="minorEastAsia" w:cs="Calibri"/>
                <w:b w:val="0"/>
              </w:rPr>
              <w:t>7-day PPA, CO-confirmed (&lt;5ppm)</w:t>
            </w:r>
          </w:p>
          <w:p w:rsidR="006C4766" w:rsidRPr="00554906" w:rsidRDefault="006C4766" w:rsidP="001572A8">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rsidR="006C4766" w:rsidRPr="001572A8" w:rsidRDefault="006C4766" w:rsidP="001572A8">
            <w:pPr>
              <w:pStyle w:val="Tableheading"/>
              <w:autoSpaceDE w:val="0"/>
              <w:autoSpaceDN w:val="0"/>
              <w:adjustRightInd w:val="0"/>
              <w:rPr>
                <w:rFonts w:eastAsiaTheme="minorEastAsia" w:cs="Calibri"/>
                <w:b w:val="0"/>
                <w:u w:val="single"/>
              </w:rPr>
            </w:pPr>
            <w:r w:rsidRPr="003A352C">
              <w:rPr>
                <w:rFonts w:eastAsiaTheme="minorEastAsia" w:cs="Calibri"/>
                <w:b w:val="0"/>
              </w:rPr>
              <w:t>Cost-effectiveness</w:t>
            </w:r>
          </w:p>
        </w:tc>
      </w:tr>
    </w:tbl>
    <w:p w:rsidR="001462DB" w:rsidRDefault="001462DB" w:rsidP="001462DB">
      <w:pPr>
        <w:pStyle w:val="TableFooter"/>
        <w:keepNext/>
      </w:pPr>
      <w:r>
        <w:lastRenderedPageBreak/>
        <w:t>Abbreviations:</w:t>
      </w:r>
      <w:r w:rsidR="00C04870">
        <w:t xml:space="preserve"> </w:t>
      </w:r>
      <w:r w:rsidRPr="009B042A">
        <w:t xml:space="preserve">PPA= point prevalence smoking abstinence; </w:t>
      </w:r>
      <w:r w:rsidR="00C04870">
        <w:t xml:space="preserve">b.d = twice </w:t>
      </w:r>
      <w:r w:rsidR="00114FF2">
        <w:t>daily</w:t>
      </w:r>
      <w:r w:rsidR="00C04870">
        <w:t xml:space="preserve">; </w:t>
      </w:r>
      <w:r>
        <w:t xml:space="preserve">CAR= continuous abstinence rate; </w:t>
      </w:r>
      <w:r w:rsidR="00E85E50">
        <w:t xml:space="preserve">CHF = congestive </w:t>
      </w:r>
      <w:r w:rsidR="00114FF2">
        <w:t>heart</w:t>
      </w:r>
      <w:r w:rsidR="00E85E50">
        <w:t xml:space="preserve"> failure; COPD = </w:t>
      </w:r>
      <w:r w:rsidR="003D6FE5" w:rsidRPr="003D6FE5">
        <w:t>Chronic obstructive pulmonary disease</w:t>
      </w:r>
      <w:r w:rsidR="00E85E50">
        <w:t xml:space="preserve">; PTSD = </w:t>
      </w:r>
      <w:r w:rsidR="003D6FE5">
        <w:t>p</w:t>
      </w:r>
      <w:r w:rsidR="00CE45F8" w:rsidRPr="00CE45F8">
        <w:t>ost-traumatic stress disorde</w:t>
      </w:r>
      <w:r w:rsidR="00CE45F8">
        <w:t>r</w:t>
      </w:r>
      <w:r w:rsidR="00E85E50">
        <w:t xml:space="preserve">; </w:t>
      </w:r>
      <w:r w:rsidRPr="009B042A">
        <w:t xml:space="preserve">RCT= randomised controlled trial; CO= carbon monoxide; </w:t>
      </w:r>
      <w:r w:rsidRPr="00D66694">
        <w:rPr>
          <w:szCs w:val="18"/>
        </w:rPr>
        <w:t>ppm=</w:t>
      </w:r>
      <w:r w:rsidRPr="009B042A">
        <w:t xml:space="preserve"> </w:t>
      </w:r>
      <w:r>
        <w:t>part per million; CPD= cigarette per day; AEs= adverse events; SAEs= serious adverse events;</w:t>
      </w:r>
      <w:r w:rsidR="003F4F6B">
        <w:t xml:space="preserve"> </w:t>
      </w:r>
      <w:r w:rsidR="00E85E50">
        <w:t xml:space="preserve">MI = </w:t>
      </w:r>
      <w:r w:rsidR="003D6FE5">
        <w:t>myocardial infarction</w:t>
      </w:r>
      <w:r w:rsidR="00E85E50">
        <w:t xml:space="preserve">; NRT = nicotine </w:t>
      </w:r>
      <w:r w:rsidR="00114FF2">
        <w:t>replacement</w:t>
      </w:r>
      <w:r w:rsidR="00E85E50">
        <w:t xml:space="preserve"> therapy</w:t>
      </w:r>
      <w:r>
        <w:t>.</w:t>
      </w:r>
    </w:p>
    <w:p w:rsidR="00924C32" w:rsidRPr="00822B64" w:rsidRDefault="00924C32" w:rsidP="001462DB">
      <w:pPr>
        <w:pStyle w:val="TableFooter"/>
        <w:keepNext/>
        <w:sectPr w:rsidR="00924C32" w:rsidRPr="00822B64" w:rsidSect="001F38AD">
          <w:footerReference w:type="default" r:id="rId68"/>
          <w:pgSz w:w="16838" w:h="11906" w:orient="landscape"/>
          <w:pgMar w:top="1440" w:right="1440" w:bottom="1440" w:left="1440" w:header="708" w:footer="708" w:gutter="0"/>
          <w:cols w:space="708"/>
          <w:titlePg/>
          <w:docGrid w:linePitch="360"/>
        </w:sectPr>
      </w:pPr>
      <w:r>
        <w:t>Note: 1</w:t>
      </w:r>
      <w:r w:rsidR="00E970F7">
        <w:t>.</w:t>
      </w:r>
      <w:r>
        <w:t xml:space="preserve"> </w:t>
      </w:r>
      <w:r w:rsidR="005E4156">
        <w:t xml:space="preserve">Total </w:t>
      </w:r>
      <w:r w:rsidR="00114FF2">
        <w:t>number</w:t>
      </w:r>
      <w:r w:rsidR="006A6B9B">
        <w:t xml:space="preserve"> of participants. </w:t>
      </w:r>
    </w:p>
    <w:p w:rsidR="00701DEA" w:rsidRDefault="00701DEA" w:rsidP="00701DEA">
      <w:pPr>
        <w:pStyle w:val="Heading3"/>
        <w:numPr>
          <w:ilvl w:val="0"/>
          <w:numId w:val="0"/>
        </w:numPr>
      </w:pPr>
      <w:bookmarkStart w:id="361" w:name="_Toc72850874"/>
      <w:bookmarkStart w:id="362" w:name="_Toc73525639"/>
      <w:r w:rsidRPr="00E85569">
        <w:lastRenderedPageBreak/>
        <w:t>A.</w:t>
      </w:r>
      <w:r w:rsidR="00120334">
        <w:t>9</w:t>
      </w:r>
      <w:r w:rsidR="00D358CB">
        <w:t xml:space="preserve"> Risk of bias assessment for supplemental evidence</w:t>
      </w:r>
      <w:bookmarkEnd w:id="361"/>
      <w:bookmarkEnd w:id="362"/>
    </w:p>
    <w:p w:rsidR="000240D8" w:rsidRDefault="00EF2220" w:rsidP="005B09FF">
      <w:pPr>
        <w:keepNext/>
      </w:pPr>
      <w:r w:rsidRPr="00EF2220">
        <w:rPr>
          <w:noProof/>
        </w:rPr>
        <w:drawing>
          <wp:inline distT="0" distB="0" distL="0" distR="0" wp14:anchorId="4CEBDEB3" wp14:editId="5E857FBC">
            <wp:extent cx="7620000" cy="3800475"/>
            <wp:effectExtent l="0" t="0" r="0"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620000" cy="3800475"/>
                    </a:xfrm>
                    <a:prstGeom prst="rect">
                      <a:avLst/>
                    </a:prstGeom>
                    <a:noFill/>
                    <a:ln>
                      <a:noFill/>
                    </a:ln>
                  </pic:spPr>
                </pic:pic>
              </a:graphicData>
            </a:graphic>
          </wp:inline>
        </w:drawing>
      </w:r>
    </w:p>
    <w:p w:rsidR="00D358CB" w:rsidRDefault="000240D8" w:rsidP="005B09FF">
      <w:pPr>
        <w:pStyle w:val="Caption"/>
      </w:pPr>
      <w:bookmarkStart w:id="363" w:name="_Ref62648339"/>
      <w:r>
        <w:t xml:space="preserve">Figure </w:t>
      </w:r>
      <w:r w:rsidR="003C4A1C">
        <w:rPr>
          <w:noProof/>
        </w:rPr>
        <w:t>48</w:t>
      </w:r>
      <w:bookmarkEnd w:id="363"/>
      <w:r>
        <w:t>: Risk of bias assessment for supplemental evidence</w:t>
      </w:r>
      <w:r w:rsidR="0072171B">
        <w:t xml:space="preserve"> </w:t>
      </w:r>
      <w:r w:rsidR="005B09FF">
        <w:t>using RoB 2 tool</w:t>
      </w:r>
    </w:p>
    <w:p w:rsidR="005C6181" w:rsidRPr="005C6181" w:rsidRDefault="005C6181" w:rsidP="00E90BA6">
      <w:pPr>
        <w:pStyle w:val="TableFooter"/>
      </w:pPr>
      <w:r>
        <w:t xml:space="preserve">Abbreviations: CAR = continuous abstinence rate; CV = cardiovascular; PPA = point prevalence abstinence; </w:t>
      </w:r>
      <w:r w:rsidR="00C269D8">
        <w:t xml:space="preserve">RoB = risk of bias; </w:t>
      </w:r>
      <w:r>
        <w:t>SAE = serious adverse events</w:t>
      </w:r>
    </w:p>
    <w:p w:rsidR="001E2B20" w:rsidRDefault="001E2B20">
      <w:pPr>
        <w:spacing w:line="276" w:lineRule="auto"/>
      </w:pPr>
    </w:p>
    <w:p w:rsidR="001E2B20" w:rsidRDefault="001E2B20" w:rsidP="000E7853">
      <w:pPr>
        <w:sectPr w:rsidR="001E2B20" w:rsidSect="00472BBD">
          <w:pgSz w:w="16838" w:h="11906" w:orient="landscape"/>
          <w:pgMar w:top="1440" w:right="1440" w:bottom="1440" w:left="1440" w:header="708" w:footer="708" w:gutter="0"/>
          <w:cols w:space="708"/>
          <w:titlePg/>
          <w:docGrid w:linePitch="360"/>
        </w:sectPr>
      </w:pPr>
    </w:p>
    <w:p w:rsidR="000A4FA9" w:rsidRDefault="002C3EF9" w:rsidP="00CF4741">
      <w:pPr>
        <w:pStyle w:val="Heading2"/>
        <w:numPr>
          <w:ilvl w:val="0"/>
          <w:numId w:val="0"/>
        </w:numPr>
      </w:pPr>
      <w:bookmarkStart w:id="364" w:name="_Toc72850875"/>
      <w:bookmarkStart w:id="365" w:name="_Toc73525640"/>
      <w:r>
        <w:lastRenderedPageBreak/>
        <w:t>B</w:t>
      </w:r>
      <w:r w:rsidR="002550E0">
        <w:t xml:space="preserve"> Summary of evidence</w:t>
      </w:r>
      <w:bookmarkEnd w:id="364"/>
      <w:bookmarkEnd w:id="365"/>
    </w:p>
    <w:p w:rsidR="00C81B46" w:rsidRDefault="002C3EF9" w:rsidP="00CF4741">
      <w:pPr>
        <w:pStyle w:val="Heading3"/>
        <w:numPr>
          <w:ilvl w:val="0"/>
          <w:numId w:val="0"/>
        </w:numPr>
      </w:pPr>
      <w:bookmarkStart w:id="366" w:name="_Toc72850876"/>
      <w:bookmarkStart w:id="367" w:name="_Toc73525641"/>
      <w:r>
        <w:t xml:space="preserve">B.1 </w:t>
      </w:r>
      <w:r w:rsidR="00C81B46">
        <w:t>Evidence previously considered by the PBAC</w:t>
      </w:r>
      <w:bookmarkEnd w:id="366"/>
      <w:bookmarkEnd w:id="367"/>
    </w:p>
    <w:p w:rsidR="00C81B46" w:rsidRDefault="00C81B46" w:rsidP="00C81B46">
      <w:pPr>
        <w:pStyle w:val="Caption"/>
        <w:keepNext/>
      </w:pPr>
      <w:bookmarkStart w:id="368" w:name="_Ref54768636"/>
      <w:r>
        <w:t xml:space="preserve">Table </w:t>
      </w:r>
      <w:r w:rsidR="003C4A1C">
        <w:rPr>
          <w:noProof/>
        </w:rPr>
        <w:t>143</w:t>
      </w:r>
      <w:bookmarkEnd w:id="368"/>
      <w:r>
        <w:t xml:space="preserve">: </w:t>
      </w:r>
      <w:r w:rsidRPr="00AB2947">
        <w:t>Details of the evidence previously considered by the PBAC and new evidence identified in this review</w:t>
      </w:r>
    </w:p>
    <w:tbl>
      <w:tblPr>
        <w:tblStyle w:val="TableGrid3"/>
        <w:tblW w:w="14174" w:type="dxa"/>
        <w:tblLook w:val="04A0" w:firstRow="1" w:lastRow="0" w:firstColumn="1" w:lastColumn="0" w:noHBand="0" w:noVBand="1"/>
      </w:tblPr>
      <w:tblGrid>
        <w:gridCol w:w="1652"/>
        <w:gridCol w:w="1455"/>
        <w:gridCol w:w="1803"/>
        <w:gridCol w:w="1743"/>
        <w:gridCol w:w="1723"/>
        <w:gridCol w:w="1761"/>
        <w:gridCol w:w="1376"/>
        <w:gridCol w:w="1305"/>
        <w:gridCol w:w="1356"/>
      </w:tblGrid>
      <w:tr w:rsidR="00C81B46" w:rsidRPr="00B11797" w:rsidTr="00560650">
        <w:trPr>
          <w:trHeight w:val="70"/>
        </w:trPr>
        <w:tc>
          <w:tcPr>
            <w:tcW w:w="1538" w:type="dxa"/>
            <w:shd w:val="clear" w:color="auto" w:fill="BFBFBF" w:themeFill="background1" w:themeFillShade="BF"/>
            <w:hideMark/>
          </w:tcPr>
          <w:p w:rsidR="00C81B46" w:rsidRPr="00B11797" w:rsidRDefault="00C81B46" w:rsidP="00560650">
            <w:pPr>
              <w:pStyle w:val="Tableheading"/>
            </w:pPr>
            <w:r w:rsidRPr="00B11797">
              <w:t xml:space="preserve">PBAC </w:t>
            </w:r>
            <w:r w:rsidR="00E556D2">
              <w:t>recommendation</w:t>
            </w:r>
          </w:p>
        </w:tc>
        <w:tc>
          <w:tcPr>
            <w:tcW w:w="1503" w:type="dxa"/>
            <w:shd w:val="clear" w:color="auto" w:fill="BFBFBF" w:themeFill="background1" w:themeFillShade="BF"/>
            <w:hideMark/>
          </w:tcPr>
          <w:p w:rsidR="00C81B46" w:rsidRPr="00B11797" w:rsidRDefault="00C81B46" w:rsidP="00560650">
            <w:pPr>
              <w:pStyle w:val="Tableheading"/>
              <w:jc w:val="center"/>
            </w:pPr>
            <w:r w:rsidRPr="00B11797">
              <w:t>Comparator</w:t>
            </w:r>
          </w:p>
        </w:tc>
        <w:tc>
          <w:tcPr>
            <w:tcW w:w="1959" w:type="dxa"/>
            <w:shd w:val="clear" w:color="auto" w:fill="BFBFBF" w:themeFill="background1" w:themeFillShade="BF"/>
            <w:hideMark/>
          </w:tcPr>
          <w:p w:rsidR="00C81B46" w:rsidRPr="00B11797" w:rsidRDefault="00C81B46" w:rsidP="00560650">
            <w:pPr>
              <w:pStyle w:val="Tableheading"/>
              <w:jc w:val="center"/>
            </w:pPr>
            <w:r w:rsidRPr="00B11797">
              <w:t>Evidence used</w:t>
            </w:r>
          </w:p>
        </w:tc>
        <w:tc>
          <w:tcPr>
            <w:tcW w:w="1743" w:type="dxa"/>
            <w:shd w:val="clear" w:color="auto" w:fill="BFBFBF" w:themeFill="background1" w:themeFillShade="BF"/>
            <w:hideMark/>
          </w:tcPr>
          <w:p w:rsidR="00C81B46" w:rsidRPr="00B11797" w:rsidRDefault="00C81B46" w:rsidP="00560650">
            <w:pPr>
              <w:pStyle w:val="Tableheading"/>
              <w:jc w:val="center"/>
            </w:pPr>
            <w:r w:rsidRPr="00B11797">
              <w:t>Evidence synthesis</w:t>
            </w:r>
          </w:p>
        </w:tc>
        <w:tc>
          <w:tcPr>
            <w:tcW w:w="1807" w:type="dxa"/>
            <w:shd w:val="clear" w:color="auto" w:fill="BFBFBF" w:themeFill="background1" w:themeFillShade="BF"/>
            <w:hideMark/>
          </w:tcPr>
          <w:p w:rsidR="00C81B46" w:rsidRPr="00B11797" w:rsidRDefault="00C81B46" w:rsidP="00560650">
            <w:pPr>
              <w:pStyle w:val="Tableheading"/>
              <w:jc w:val="center"/>
            </w:pPr>
            <w:r w:rsidRPr="00B11797">
              <w:t>Accepted Clinical Claim</w:t>
            </w:r>
          </w:p>
        </w:tc>
        <w:tc>
          <w:tcPr>
            <w:tcW w:w="1571" w:type="dxa"/>
            <w:shd w:val="clear" w:color="auto" w:fill="BFBFBF" w:themeFill="background1" w:themeFillShade="BF"/>
            <w:hideMark/>
          </w:tcPr>
          <w:p w:rsidR="00C81B46" w:rsidRPr="00B11797" w:rsidRDefault="00C81B46" w:rsidP="00560650">
            <w:pPr>
              <w:pStyle w:val="Tableheading"/>
              <w:jc w:val="center"/>
            </w:pPr>
            <w:r w:rsidRPr="00B11797">
              <w:t>Therapeutic Relativity</w:t>
            </w:r>
          </w:p>
        </w:tc>
        <w:tc>
          <w:tcPr>
            <w:tcW w:w="1415" w:type="dxa"/>
            <w:shd w:val="clear" w:color="auto" w:fill="BFBFBF" w:themeFill="background1" w:themeFillShade="BF"/>
            <w:hideMark/>
          </w:tcPr>
          <w:p w:rsidR="00C81B46" w:rsidRPr="00B11797" w:rsidRDefault="00C81B46" w:rsidP="00560650">
            <w:pPr>
              <w:pStyle w:val="Tableheading"/>
              <w:jc w:val="center"/>
            </w:pPr>
            <w:r w:rsidRPr="00B11797">
              <w:t>Updated Cochrane evidence</w:t>
            </w:r>
          </w:p>
        </w:tc>
        <w:tc>
          <w:tcPr>
            <w:tcW w:w="1367" w:type="dxa"/>
            <w:shd w:val="clear" w:color="auto" w:fill="BFBFBF" w:themeFill="background1" w:themeFillShade="BF"/>
            <w:hideMark/>
          </w:tcPr>
          <w:p w:rsidR="00C81B46" w:rsidRPr="00B11797" w:rsidRDefault="00C81B46" w:rsidP="00560650">
            <w:pPr>
              <w:pStyle w:val="Tableheading"/>
              <w:jc w:val="center"/>
            </w:pPr>
            <w:r w:rsidRPr="00B11797">
              <w:t>No. of trials in Cochrane review</w:t>
            </w:r>
          </w:p>
        </w:tc>
        <w:tc>
          <w:tcPr>
            <w:tcW w:w="1271" w:type="dxa"/>
            <w:shd w:val="clear" w:color="auto" w:fill="BFBFBF" w:themeFill="background1" w:themeFillShade="BF"/>
            <w:hideMark/>
          </w:tcPr>
          <w:p w:rsidR="00C81B46" w:rsidRPr="00B11797" w:rsidRDefault="00297ECE" w:rsidP="00560650">
            <w:pPr>
              <w:pStyle w:val="Tableheading"/>
              <w:jc w:val="center"/>
            </w:pPr>
            <w:r>
              <w:rPr>
                <w:rFonts w:eastAsiaTheme="minorEastAsia"/>
              </w:rPr>
              <w:t xml:space="preserve">No. of </w:t>
            </w:r>
            <w:r w:rsidR="005C1F56">
              <w:rPr>
                <w:rFonts w:eastAsiaTheme="minorEastAsia"/>
              </w:rPr>
              <w:t xml:space="preserve">trials </w:t>
            </w:r>
            <w:r w:rsidR="001A4582">
              <w:rPr>
                <w:rFonts w:eastAsiaTheme="minorEastAsia"/>
              </w:rPr>
              <w:t xml:space="preserve">in </w:t>
            </w:r>
            <w:r>
              <w:rPr>
                <w:rFonts w:eastAsiaTheme="minorEastAsia"/>
              </w:rPr>
              <w:t>supplemental evidenc</w:t>
            </w:r>
            <w:r w:rsidR="00C81B46" w:rsidRPr="00B11797">
              <w:rPr>
                <w:rFonts w:eastAsiaTheme="minorEastAsia"/>
              </w:rPr>
              <w:t>e</w:t>
            </w:r>
          </w:p>
        </w:tc>
      </w:tr>
      <w:tr w:rsidR="00C81B46" w:rsidRPr="00B11797" w:rsidTr="00560650">
        <w:trPr>
          <w:trHeight w:val="186"/>
        </w:trPr>
        <w:tc>
          <w:tcPr>
            <w:tcW w:w="14174" w:type="dxa"/>
            <w:gridSpan w:val="9"/>
            <w:shd w:val="clear" w:color="auto" w:fill="D9D9D9" w:themeFill="background1" w:themeFillShade="D9"/>
            <w:hideMark/>
          </w:tcPr>
          <w:p w:rsidR="00C81B46" w:rsidRPr="00574107" w:rsidRDefault="00C81B46" w:rsidP="00560650">
            <w:pPr>
              <w:pStyle w:val="Tablewriting"/>
              <w:rPr>
                <w:b/>
                <w:bCs/>
              </w:rPr>
            </w:pPr>
            <w:r w:rsidRPr="00574107">
              <w:rPr>
                <w:b/>
                <w:bCs/>
              </w:rPr>
              <w:t>Bupropion</w:t>
            </w:r>
          </w:p>
        </w:tc>
      </w:tr>
      <w:tr w:rsidR="00C81B46" w:rsidRPr="00B11797" w:rsidTr="00C324F3">
        <w:trPr>
          <w:trHeight w:val="234"/>
        </w:trPr>
        <w:tc>
          <w:tcPr>
            <w:tcW w:w="1538" w:type="dxa"/>
            <w:vMerge w:val="restart"/>
            <w:hideMark/>
          </w:tcPr>
          <w:p w:rsidR="00C81B46" w:rsidRPr="00B11797" w:rsidRDefault="00C81B46" w:rsidP="00560650">
            <w:pPr>
              <w:pStyle w:val="Tablewriting"/>
            </w:pPr>
            <w:r w:rsidRPr="00B11797">
              <w:t>2000</w:t>
            </w:r>
          </w:p>
          <w:p w:rsidR="00C81B46" w:rsidRPr="00B11797" w:rsidRDefault="00C81B46" w:rsidP="00560650">
            <w:pPr>
              <w:pStyle w:val="Tablewriting"/>
            </w:pPr>
            <w:r w:rsidRPr="00B11797">
              <w:t>(New listing)</w:t>
            </w:r>
          </w:p>
        </w:tc>
        <w:tc>
          <w:tcPr>
            <w:tcW w:w="1503" w:type="dxa"/>
            <w:hideMark/>
          </w:tcPr>
          <w:p w:rsidR="00C81B46" w:rsidRPr="00B11797" w:rsidRDefault="00C81B46" w:rsidP="00560650">
            <w:pPr>
              <w:pStyle w:val="Tablewriting"/>
            </w:pPr>
            <w:r w:rsidRPr="00B11797">
              <w:t>Placebo</w:t>
            </w:r>
          </w:p>
        </w:tc>
        <w:tc>
          <w:tcPr>
            <w:tcW w:w="1959" w:type="dxa"/>
            <w:hideMark/>
          </w:tcPr>
          <w:p w:rsidR="00C81B46" w:rsidRPr="008846EB" w:rsidRDefault="008846EB" w:rsidP="00560650">
            <w:pPr>
              <w:pStyle w:val="Tablewriting"/>
              <w:rPr>
                <w:highlight w:val="black"/>
              </w:rPr>
            </w:pPr>
            <w:r>
              <w:rPr>
                <w:noProof/>
                <w:color w:val="000000"/>
                <w:highlight w:val="black"/>
              </w:rPr>
              <w:t>'''''''''''''' '''''''''''''</w:t>
            </w:r>
          </w:p>
        </w:tc>
        <w:tc>
          <w:tcPr>
            <w:tcW w:w="1743" w:type="dxa"/>
            <w:hideMark/>
          </w:tcPr>
          <w:p w:rsidR="00C81B46" w:rsidRPr="008846EB" w:rsidRDefault="008846EB" w:rsidP="00560650">
            <w:pPr>
              <w:pStyle w:val="Tablewriting"/>
              <w:rPr>
                <w:highlight w:val="black"/>
              </w:rPr>
            </w:pPr>
            <w:r>
              <w:rPr>
                <w:noProof/>
                <w:color w:val="000000"/>
                <w:highlight w:val="black"/>
              </w:rPr>
              <w:t>''''''''''' '''''''''''''''''''''</w:t>
            </w:r>
          </w:p>
        </w:tc>
        <w:tc>
          <w:tcPr>
            <w:tcW w:w="1807" w:type="dxa"/>
            <w:hideMark/>
          </w:tcPr>
          <w:p w:rsidR="00C81B46" w:rsidRPr="008846EB" w:rsidRDefault="008846EB" w:rsidP="00560650">
            <w:pPr>
              <w:pStyle w:val="Tablewriting"/>
              <w:rPr>
                <w:highlight w:val="black"/>
              </w:rPr>
            </w:pPr>
            <w:r>
              <w:rPr>
                <w:noProof/>
                <w:color w:val="000000"/>
                <w:highlight w:val="black"/>
              </w:rPr>
              <w:t>'''''''''''''''' '''''''''''''' '''''''''''''' '''''''''''</w:t>
            </w:r>
          </w:p>
        </w:tc>
        <w:tc>
          <w:tcPr>
            <w:tcW w:w="1571" w:type="dxa"/>
            <w:hideMark/>
          </w:tcPr>
          <w:p w:rsidR="00C81B46" w:rsidRPr="008846EB" w:rsidRDefault="008846EB" w:rsidP="00560650">
            <w:pPr>
              <w:pStyle w:val="Tablewriting"/>
              <w:rPr>
                <w:highlight w:val="black"/>
              </w:rPr>
            </w:pPr>
            <w:r>
              <w:rPr>
                <w:noProof/>
                <w:color w:val="000000"/>
                <w:highlight w:val="black"/>
              </w:rPr>
              <w:t>''''''''''''''''''''''' ''''''''''''''''''''''''''''''''''' ''''''''''</w:t>
            </w:r>
          </w:p>
        </w:tc>
        <w:tc>
          <w:tcPr>
            <w:tcW w:w="1415" w:type="dxa"/>
            <w:hideMark/>
          </w:tcPr>
          <w:p w:rsidR="00C81B46" w:rsidRPr="00B11797" w:rsidRDefault="00C81B46" w:rsidP="00560650">
            <w:pPr>
              <w:pStyle w:val="Tablewriting"/>
            </w:pPr>
            <w:r w:rsidRPr="00B11797">
              <w:t>Howes (2020) (efficacy and safety)</w:t>
            </w:r>
          </w:p>
        </w:tc>
        <w:tc>
          <w:tcPr>
            <w:tcW w:w="1367" w:type="dxa"/>
            <w:hideMark/>
          </w:tcPr>
          <w:p w:rsidR="00C81B46" w:rsidRPr="00B11797" w:rsidRDefault="00C81B46" w:rsidP="00560650">
            <w:pPr>
              <w:pStyle w:val="Tablewriting"/>
            </w:pPr>
            <w:r w:rsidRPr="00B11797">
              <w:t xml:space="preserve">46 trials </w:t>
            </w:r>
            <w:r w:rsidRPr="00B11797">
              <w:rPr>
                <w:rFonts w:eastAsiaTheme="minorEastAsia"/>
              </w:rPr>
              <w:t>(</w:t>
            </w:r>
            <w:r w:rsidRPr="00B11797">
              <w:t>PBAC evidence included)</w:t>
            </w:r>
          </w:p>
        </w:tc>
        <w:tc>
          <w:tcPr>
            <w:tcW w:w="1271" w:type="dxa"/>
            <w:hideMark/>
          </w:tcPr>
          <w:p w:rsidR="00C81B46" w:rsidRPr="00B11797" w:rsidRDefault="00F2641F" w:rsidP="00560650">
            <w:pPr>
              <w:pStyle w:val="Tablewriting"/>
            </w:pPr>
            <w:r w:rsidRPr="00213443">
              <w:t>1</w:t>
            </w:r>
          </w:p>
        </w:tc>
      </w:tr>
      <w:tr w:rsidR="00C81B46" w:rsidRPr="00B11797" w:rsidTr="00C324F3">
        <w:trPr>
          <w:trHeight w:val="70"/>
        </w:trPr>
        <w:tc>
          <w:tcPr>
            <w:tcW w:w="1538" w:type="dxa"/>
            <w:vMerge/>
            <w:hideMark/>
          </w:tcPr>
          <w:p w:rsidR="00C81B46" w:rsidRPr="00B11797" w:rsidRDefault="00C81B46" w:rsidP="00560650">
            <w:pPr>
              <w:pStyle w:val="Tablewriting"/>
            </w:pPr>
          </w:p>
        </w:tc>
        <w:tc>
          <w:tcPr>
            <w:tcW w:w="1503" w:type="dxa"/>
            <w:hideMark/>
          </w:tcPr>
          <w:p w:rsidR="00C81B46" w:rsidRPr="00B11797" w:rsidRDefault="00C81B46" w:rsidP="00560650">
            <w:pPr>
              <w:pStyle w:val="Tablewriting"/>
            </w:pPr>
            <w:r w:rsidRPr="00B11797">
              <w:t>NRT</w:t>
            </w:r>
          </w:p>
        </w:tc>
        <w:tc>
          <w:tcPr>
            <w:tcW w:w="1959" w:type="dxa"/>
            <w:hideMark/>
          </w:tcPr>
          <w:p w:rsidR="00C81B46" w:rsidRPr="008846EB" w:rsidRDefault="008846EB" w:rsidP="00560650">
            <w:pPr>
              <w:pStyle w:val="Tablewriting"/>
              <w:rPr>
                <w:highlight w:val="black"/>
              </w:rPr>
            </w:pPr>
            <w:r>
              <w:rPr>
                <w:noProof/>
                <w:color w:val="000000"/>
                <w:highlight w:val="black"/>
              </w:rPr>
              <w:t>'''''''''''''''' ''''''''''''</w:t>
            </w:r>
          </w:p>
        </w:tc>
        <w:tc>
          <w:tcPr>
            <w:tcW w:w="1743" w:type="dxa"/>
            <w:hideMark/>
          </w:tcPr>
          <w:p w:rsidR="00C81B46" w:rsidRPr="008846EB" w:rsidRDefault="008846EB" w:rsidP="00560650">
            <w:pPr>
              <w:pStyle w:val="Tablewriting"/>
              <w:rPr>
                <w:highlight w:val="black"/>
              </w:rPr>
            </w:pPr>
            <w:r>
              <w:rPr>
                <w:noProof/>
                <w:color w:val="000000"/>
                <w:highlight w:val="black"/>
              </w:rPr>
              <w:t>'''''''''' '''''''''''''''''''''''</w:t>
            </w:r>
          </w:p>
        </w:tc>
        <w:tc>
          <w:tcPr>
            <w:tcW w:w="1807" w:type="dxa"/>
            <w:hideMark/>
          </w:tcPr>
          <w:p w:rsidR="00C81B46" w:rsidRPr="008846EB" w:rsidRDefault="008846EB" w:rsidP="00560650">
            <w:pPr>
              <w:pStyle w:val="Tablewriting"/>
              <w:rPr>
                <w:highlight w:val="black"/>
              </w:rPr>
            </w:pPr>
            <w:r>
              <w:rPr>
                <w:noProof/>
                <w:color w:val="000000"/>
                <w:highlight w:val="black"/>
              </w:rPr>
              <w:t xml:space="preserve">'''''''''''''''' ''''''''''''''''' </w:t>
            </w:r>
          </w:p>
          <w:p w:rsidR="00C81B46" w:rsidRPr="008846EB" w:rsidRDefault="008846EB" w:rsidP="00560650">
            <w:pPr>
              <w:pStyle w:val="Tablewriting"/>
              <w:rPr>
                <w:highlight w:val="black"/>
              </w:rPr>
            </w:pPr>
            <w:r>
              <w:rPr>
                <w:noProof/>
                <w:color w:val="000000"/>
                <w:highlight w:val="black"/>
              </w:rPr>
              <w:t>''''''''''''''''''''' '''''''''''' '''''''''''''' '''''''''''''''''</w:t>
            </w:r>
            <w:r w:rsidR="00C81B46" w:rsidRPr="008846EB">
              <w:rPr>
                <w:highlight w:val="black"/>
              </w:rPr>
              <w:t xml:space="preserve"> </w:t>
            </w:r>
          </w:p>
        </w:tc>
        <w:tc>
          <w:tcPr>
            <w:tcW w:w="1571" w:type="dxa"/>
            <w:hideMark/>
          </w:tcPr>
          <w:p w:rsidR="00C81B46" w:rsidRPr="008846EB" w:rsidRDefault="008846EB" w:rsidP="00560650">
            <w:pPr>
              <w:pStyle w:val="Tablewriting"/>
              <w:rPr>
                <w:highlight w:val="black"/>
              </w:rPr>
            </w:pPr>
            <w:r>
              <w:rPr>
                <w:noProof/>
                <w:color w:val="000000"/>
                <w:highlight w:val="black"/>
              </w:rPr>
              <w:t>'''''''''''''''''''''</w:t>
            </w:r>
          </w:p>
        </w:tc>
        <w:tc>
          <w:tcPr>
            <w:tcW w:w="1415" w:type="dxa"/>
            <w:hideMark/>
          </w:tcPr>
          <w:p w:rsidR="00C81B46" w:rsidRPr="00B11797" w:rsidRDefault="00C81B46" w:rsidP="00560650">
            <w:pPr>
              <w:pStyle w:val="Tablewriting"/>
            </w:pPr>
            <w:r w:rsidRPr="00B11797">
              <w:t>Howes (2020) (efficacy and safety)</w:t>
            </w:r>
          </w:p>
        </w:tc>
        <w:tc>
          <w:tcPr>
            <w:tcW w:w="1367" w:type="dxa"/>
            <w:hideMark/>
          </w:tcPr>
          <w:p w:rsidR="00C81B46" w:rsidRPr="00B11797" w:rsidRDefault="00C81B46" w:rsidP="00560650">
            <w:pPr>
              <w:pStyle w:val="Tablewriting"/>
            </w:pPr>
            <w:r w:rsidRPr="00B11797">
              <w:t xml:space="preserve">10 trials </w:t>
            </w:r>
            <w:r w:rsidRPr="00B11797">
              <w:rPr>
                <w:rFonts w:eastAsiaTheme="minorEastAsia"/>
              </w:rPr>
              <w:t>(</w:t>
            </w:r>
            <w:r w:rsidRPr="00B11797">
              <w:t>PBAC evidence included)</w:t>
            </w:r>
          </w:p>
        </w:tc>
        <w:tc>
          <w:tcPr>
            <w:tcW w:w="1271" w:type="dxa"/>
            <w:hideMark/>
          </w:tcPr>
          <w:p w:rsidR="00C81B46" w:rsidRPr="00B11797" w:rsidRDefault="007642A3" w:rsidP="00560650">
            <w:pPr>
              <w:pStyle w:val="Tablewriting"/>
            </w:pPr>
            <w:r w:rsidRPr="00213443">
              <w:t>1</w:t>
            </w:r>
          </w:p>
        </w:tc>
      </w:tr>
      <w:tr w:rsidR="00C81B46" w:rsidRPr="00B11797" w:rsidTr="00C324F3">
        <w:trPr>
          <w:trHeight w:val="164"/>
        </w:trPr>
        <w:tc>
          <w:tcPr>
            <w:tcW w:w="1538" w:type="dxa"/>
            <w:vMerge/>
            <w:hideMark/>
          </w:tcPr>
          <w:p w:rsidR="00C81B46" w:rsidRPr="00B11797" w:rsidRDefault="00C81B46" w:rsidP="00560650">
            <w:pPr>
              <w:pStyle w:val="Tablewriting"/>
            </w:pPr>
          </w:p>
        </w:tc>
        <w:tc>
          <w:tcPr>
            <w:tcW w:w="1503" w:type="dxa"/>
            <w:hideMark/>
          </w:tcPr>
          <w:p w:rsidR="00C81B46" w:rsidRPr="00B11797" w:rsidRDefault="00C81B46" w:rsidP="00560650">
            <w:pPr>
              <w:pStyle w:val="Tablewriting"/>
            </w:pPr>
            <w:r w:rsidRPr="00B11797">
              <w:t>Placebo </w:t>
            </w:r>
          </w:p>
        </w:tc>
        <w:tc>
          <w:tcPr>
            <w:tcW w:w="1959" w:type="dxa"/>
            <w:hideMark/>
          </w:tcPr>
          <w:p w:rsidR="00C81B46" w:rsidRPr="008846EB" w:rsidRDefault="008846EB" w:rsidP="00560650">
            <w:pPr>
              <w:pStyle w:val="Tablewriting"/>
              <w:rPr>
                <w:highlight w:val="black"/>
              </w:rPr>
            </w:pPr>
            <w:r>
              <w:rPr>
                <w:noProof/>
                <w:color w:val="000000"/>
                <w:highlight w:val="black"/>
              </w:rPr>
              <w:t>'''''''' '''''''''''</w:t>
            </w:r>
          </w:p>
        </w:tc>
        <w:tc>
          <w:tcPr>
            <w:tcW w:w="1743" w:type="dxa"/>
            <w:hideMark/>
          </w:tcPr>
          <w:p w:rsidR="00C81B46" w:rsidRPr="008846EB" w:rsidRDefault="008846EB" w:rsidP="00560650">
            <w:pPr>
              <w:pStyle w:val="Tablewriting"/>
              <w:rPr>
                <w:highlight w:val="black"/>
              </w:rPr>
            </w:pPr>
            <w:r>
              <w:rPr>
                <w:noProof/>
                <w:color w:val="000000"/>
                <w:highlight w:val="black"/>
              </w:rPr>
              <w:t>'''''''''''' ''''''''''''''''''''''' '''''''</w:t>
            </w:r>
            <w:r w:rsidR="00C81B46" w:rsidRPr="008846EB">
              <w:rPr>
                <w:highlight w:val="black"/>
              </w:rPr>
              <w:t>  </w:t>
            </w:r>
          </w:p>
        </w:tc>
        <w:tc>
          <w:tcPr>
            <w:tcW w:w="1807" w:type="dxa"/>
            <w:hideMark/>
          </w:tcPr>
          <w:p w:rsidR="00C81B46" w:rsidRPr="008846EB" w:rsidRDefault="008846EB" w:rsidP="00560650">
            <w:pPr>
              <w:pStyle w:val="Tablewriting"/>
              <w:rPr>
                <w:highlight w:val="black"/>
              </w:rPr>
            </w:pPr>
            <w:r>
              <w:rPr>
                <w:noProof/>
                <w:color w:val="000000"/>
                <w:highlight w:val="black"/>
              </w:rPr>
              <w:t>''''''''''''''''''''''</w:t>
            </w:r>
          </w:p>
          <w:p w:rsidR="00C81B46" w:rsidRPr="008846EB" w:rsidRDefault="008846EB" w:rsidP="00560650">
            <w:pPr>
              <w:pStyle w:val="Tablewriting"/>
              <w:rPr>
                <w:highlight w:val="black"/>
              </w:rPr>
            </w:pPr>
            <w:r>
              <w:rPr>
                <w:noProof/>
                <w:color w:val="000000"/>
                <w:highlight w:val="black"/>
              </w:rPr>
              <w:t>'''''''''''''''' ''''''''''''''''</w:t>
            </w:r>
          </w:p>
        </w:tc>
        <w:tc>
          <w:tcPr>
            <w:tcW w:w="1571" w:type="dxa"/>
            <w:hideMark/>
          </w:tcPr>
          <w:p w:rsidR="00C81B46" w:rsidRPr="008846EB" w:rsidRDefault="008846EB" w:rsidP="00560650">
            <w:pPr>
              <w:pStyle w:val="Tablewriting"/>
              <w:rPr>
                <w:highlight w:val="black"/>
              </w:rPr>
            </w:pPr>
            <w:r>
              <w:rPr>
                <w:noProof/>
                <w:color w:val="000000"/>
                <w:highlight w:val="black"/>
              </w:rPr>
              <w:t>'''''''</w:t>
            </w:r>
          </w:p>
        </w:tc>
        <w:tc>
          <w:tcPr>
            <w:tcW w:w="1415" w:type="dxa"/>
            <w:hideMark/>
          </w:tcPr>
          <w:p w:rsidR="00C81B46" w:rsidRPr="00B11797" w:rsidRDefault="00C81B46" w:rsidP="00560650">
            <w:pPr>
              <w:pStyle w:val="Tablewriting"/>
            </w:pPr>
            <w:r w:rsidRPr="00B11797">
              <w:t>Howes (2020) (efficacy and safety)</w:t>
            </w:r>
          </w:p>
        </w:tc>
        <w:tc>
          <w:tcPr>
            <w:tcW w:w="1367" w:type="dxa"/>
            <w:hideMark/>
          </w:tcPr>
          <w:p w:rsidR="00C81B46" w:rsidRPr="00B11797" w:rsidRDefault="00C81B46" w:rsidP="00560650">
            <w:pPr>
              <w:pStyle w:val="Tablewriting"/>
            </w:pPr>
            <w:r w:rsidRPr="00B11797">
              <w:t xml:space="preserve">46 trials </w:t>
            </w:r>
            <w:r w:rsidRPr="00B11797">
              <w:rPr>
                <w:rFonts w:eastAsiaTheme="minorEastAsia"/>
              </w:rPr>
              <w:t>(</w:t>
            </w:r>
            <w:r w:rsidRPr="00B11797">
              <w:t>PBAC evidence included)</w:t>
            </w:r>
          </w:p>
        </w:tc>
        <w:tc>
          <w:tcPr>
            <w:tcW w:w="1271" w:type="dxa"/>
            <w:hideMark/>
          </w:tcPr>
          <w:p w:rsidR="00C81B46" w:rsidRPr="00B11797" w:rsidRDefault="001A0888" w:rsidP="00560650">
            <w:pPr>
              <w:pStyle w:val="Tablewriting"/>
            </w:pPr>
            <w:r w:rsidRPr="00213443">
              <w:t>1</w:t>
            </w:r>
          </w:p>
        </w:tc>
      </w:tr>
      <w:tr w:rsidR="00C81B46" w:rsidRPr="00B11797" w:rsidTr="00560650">
        <w:trPr>
          <w:trHeight w:val="164"/>
        </w:trPr>
        <w:tc>
          <w:tcPr>
            <w:tcW w:w="14174" w:type="dxa"/>
            <w:gridSpan w:val="9"/>
            <w:shd w:val="clear" w:color="auto" w:fill="D9D9D9" w:themeFill="background1" w:themeFillShade="D9"/>
          </w:tcPr>
          <w:p w:rsidR="00C81B46" w:rsidRPr="00574107" w:rsidRDefault="00C81B46" w:rsidP="00560650">
            <w:pPr>
              <w:pStyle w:val="Tablewriting"/>
              <w:rPr>
                <w:b/>
                <w:bCs/>
              </w:rPr>
            </w:pPr>
            <w:r w:rsidRPr="00574107">
              <w:rPr>
                <w:b/>
                <w:bCs/>
              </w:rPr>
              <w:t>Varenicline</w:t>
            </w:r>
          </w:p>
        </w:tc>
      </w:tr>
      <w:tr w:rsidR="00C81B46" w:rsidRPr="00574107" w:rsidTr="00C324F3">
        <w:trPr>
          <w:trHeight w:val="391"/>
        </w:trPr>
        <w:tc>
          <w:tcPr>
            <w:tcW w:w="1538" w:type="dxa"/>
            <w:hideMark/>
          </w:tcPr>
          <w:p w:rsidR="00C81B46" w:rsidRPr="00574107" w:rsidRDefault="00C81B46" w:rsidP="00560650">
            <w:pPr>
              <w:pStyle w:val="Tablewriting"/>
            </w:pPr>
            <w:r w:rsidRPr="00574107">
              <w:t>2007</w:t>
            </w:r>
          </w:p>
          <w:p w:rsidR="00C81B46" w:rsidRPr="00574107" w:rsidRDefault="00C81B46" w:rsidP="00560650">
            <w:pPr>
              <w:pStyle w:val="Tablewriting"/>
            </w:pPr>
            <w:r w:rsidRPr="00574107">
              <w:t>(New listing)</w:t>
            </w:r>
          </w:p>
        </w:tc>
        <w:tc>
          <w:tcPr>
            <w:tcW w:w="1503" w:type="dxa"/>
            <w:hideMark/>
          </w:tcPr>
          <w:p w:rsidR="00C81B46" w:rsidRPr="00574107" w:rsidRDefault="00C81B46" w:rsidP="00560650">
            <w:pPr>
              <w:pStyle w:val="Tablewriting"/>
            </w:pPr>
            <w:r w:rsidRPr="00574107">
              <w:t>Bupropion</w:t>
            </w:r>
          </w:p>
        </w:tc>
        <w:tc>
          <w:tcPr>
            <w:tcW w:w="1959" w:type="dxa"/>
            <w:hideMark/>
          </w:tcPr>
          <w:p w:rsidR="00C81B46" w:rsidRPr="00574107" w:rsidRDefault="00C81B46" w:rsidP="00560650">
            <w:pPr>
              <w:pStyle w:val="Tablewriting"/>
            </w:pPr>
            <w:r w:rsidRPr="00574107">
              <w:t>Gonzales (2006)</w:t>
            </w:r>
          </w:p>
          <w:p w:rsidR="00C81B46" w:rsidRPr="00574107" w:rsidRDefault="00C81B46" w:rsidP="00560650">
            <w:pPr>
              <w:pStyle w:val="Tablewriting"/>
            </w:pPr>
            <w:r w:rsidRPr="00574107">
              <w:t>Jorenby (2006) </w:t>
            </w:r>
          </w:p>
        </w:tc>
        <w:tc>
          <w:tcPr>
            <w:tcW w:w="1743" w:type="dxa"/>
            <w:hideMark/>
          </w:tcPr>
          <w:p w:rsidR="00C81B46" w:rsidRPr="00574107" w:rsidRDefault="00C81B46" w:rsidP="00560650">
            <w:pPr>
              <w:pStyle w:val="Tablewriting"/>
            </w:pPr>
            <w:r w:rsidRPr="00574107">
              <w:t>Direct comparison/ Meta-analysis  </w:t>
            </w:r>
          </w:p>
        </w:tc>
        <w:tc>
          <w:tcPr>
            <w:tcW w:w="1807" w:type="dxa"/>
            <w:hideMark/>
          </w:tcPr>
          <w:p w:rsidR="00C81B46" w:rsidRPr="00574107" w:rsidRDefault="00C81B46" w:rsidP="00560650">
            <w:pPr>
              <w:pStyle w:val="Tablewriting"/>
            </w:pPr>
            <w:r w:rsidRPr="00574107">
              <w:t>Superior effectiveness</w:t>
            </w:r>
            <w:r>
              <w:t>,</w:t>
            </w:r>
          </w:p>
          <w:p w:rsidR="00C81B46" w:rsidRPr="00574107" w:rsidRDefault="00C81B46" w:rsidP="00560650">
            <w:pPr>
              <w:pStyle w:val="Tablewriting"/>
            </w:pPr>
            <w:r w:rsidRPr="00574107">
              <w:t>Similar or less toxicity</w:t>
            </w:r>
          </w:p>
        </w:tc>
        <w:tc>
          <w:tcPr>
            <w:tcW w:w="1571" w:type="dxa"/>
            <w:hideMark/>
          </w:tcPr>
          <w:p w:rsidR="00C81B46" w:rsidRPr="00574107" w:rsidRDefault="00C81B46" w:rsidP="00560650">
            <w:pPr>
              <w:pStyle w:val="Tablewriting"/>
            </w:pPr>
            <w:r w:rsidRPr="00574107">
              <w:t>Acceptable cost-effectiveness ratio</w:t>
            </w:r>
          </w:p>
        </w:tc>
        <w:tc>
          <w:tcPr>
            <w:tcW w:w="1415" w:type="dxa"/>
            <w:hideMark/>
          </w:tcPr>
          <w:p w:rsidR="00C81B46" w:rsidRPr="00574107" w:rsidRDefault="00C81B46" w:rsidP="00560650">
            <w:pPr>
              <w:pStyle w:val="Tablewriting"/>
            </w:pPr>
            <w:r w:rsidRPr="00574107">
              <w:t>Howes (2020) (efficacy and safety)</w:t>
            </w:r>
          </w:p>
        </w:tc>
        <w:tc>
          <w:tcPr>
            <w:tcW w:w="1367" w:type="dxa"/>
            <w:hideMark/>
          </w:tcPr>
          <w:p w:rsidR="00C81B46" w:rsidRPr="00574107" w:rsidRDefault="00C81B46" w:rsidP="00560650">
            <w:pPr>
              <w:pStyle w:val="Tablewriting"/>
            </w:pPr>
            <w:r w:rsidRPr="00574107">
              <w:t xml:space="preserve">6 trials </w:t>
            </w:r>
          </w:p>
          <w:p w:rsidR="00C81B46" w:rsidRPr="00574107" w:rsidRDefault="00C81B46" w:rsidP="00560650">
            <w:pPr>
              <w:pStyle w:val="Tablewriting"/>
            </w:pPr>
            <w:r w:rsidRPr="00574107">
              <w:rPr>
                <w:rFonts w:eastAsiaTheme="minorEastAsia"/>
              </w:rPr>
              <w:t>(</w:t>
            </w:r>
            <w:r w:rsidRPr="00574107">
              <w:t>PBAC evidence included)</w:t>
            </w:r>
          </w:p>
        </w:tc>
        <w:tc>
          <w:tcPr>
            <w:tcW w:w="1271" w:type="dxa"/>
            <w:hideMark/>
          </w:tcPr>
          <w:p w:rsidR="00C81B46" w:rsidRPr="00574107" w:rsidRDefault="00467D0E" w:rsidP="00560650">
            <w:pPr>
              <w:pStyle w:val="Tablewriting"/>
            </w:pPr>
            <w:r w:rsidRPr="00213443">
              <w:rPr>
                <w:rFonts w:eastAsia="Calibri"/>
              </w:rPr>
              <w:t>1</w:t>
            </w:r>
          </w:p>
        </w:tc>
      </w:tr>
      <w:tr w:rsidR="00C81B46" w:rsidRPr="00574107" w:rsidTr="00C324F3">
        <w:trPr>
          <w:trHeight w:val="70"/>
        </w:trPr>
        <w:tc>
          <w:tcPr>
            <w:tcW w:w="1538" w:type="dxa"/>
            <w:hideMark/>
          </w:tcPr>
          <w:p w:rsidR="00C81B46" w:rsidRPr="00574107" w:rsidRDefault="00C81B46" w:rsidP="00560650">
            <w:pPr>
              <w:pStyle w:val="Tablewriting"/>
            </w:pPr>
            <w:r w:rsidRPr="00574107">
              <w:t>2009</w:t>
            </w:r>
          </w:p>
          <w:p w:rsidR="00C81B46" w:rsidRPr="00574107" w:rsidRDefault="00C81B46" w:rsidP="00560650">
            <w:pPr>
              <w:pStyle w:val="Tablewriting"/>
            </w:pPr>
            <w:r w:rsidRPr="00574107">
              <w:t>(Additional 12 weeks, abstainers)</w:t>
            </w:r>
          </w:p>
        </w:tc>
        <w:tc>
          <w:tcPr>
            <w:tcW w:w="1503" w:type="dxa"/>
            <w:hideMark/>
          </w:tcPr>
          <w:p w:rsidR="00C81B46" w:rsidRPr="00574107" w:rsidRDefault="00C81B46" w:rsidP="00560650">
            <w:pPr>
              <w:pStyle w:val="Tablewriting"/>
            </w:pPr>
            <w:r w:rsidRPr="00574107">
              <w:t>Placebo </w:t>
            </w:r>
          </w:p>
        </w:tc>
        <w:tc>
          <w:tcPr>
            <w:tcW w:w="1959" w:type="dxa"/>
            <w:hideMark/>
          </w:tcPr>
          <w:p w:rsidR="00C81B46" w:rsidRPr="00574107" w:rsidRDefault="00C81B46" w:rsidP="00560650">
            <w:pPr>
              <w:pStyle w:val="Tablewriting"/>
            </w:pPr>
            <w:r w:rsidRPr="00574107">
              <w:t>Tonstad (2006) </w:t>
            </w:r>
          </w:p>
        </w:tc>
        <w:tc>
          <w:tcPr>
            <w:tcW w:w="1743" w:type="dxa"/>
            <w:hideMark/>
          </w:tcPr>
          <w:p w:rsidR="00C81B46" w:rsidRPr="00574107" w:rsidRDefault="00C81B46" w:rsidP="00560650">
            <w:pPr>
              <w:pStyle w:val="Tablewriting"/>
            </w:pPr>
            <w:r w:rsidRPr="00574107">
              <w:t>Direct comparison</w:t>
            </w:r>
          </w:p>
        </w:tc>
        <w:tc>
          <w:tcPr>
            <w:tcW w:w="1807" w:type="dxa"/>
            <w:hideMark/>
          </w:tcPr>
          <w:p w:rsidR="00C81B46" w:rsidRPr="00574107" w:rsidRDefault="00C81B46" w:rsidP="00560650">
            <w:pPr>
              <w:pStyle w:val="Tablewriting"/>
            </w:pPr>
            <w:r w:rsidRPr="00574107">
              <w:t>Superior efficacy and inferior safety</w:t>
            </w:r>
          </w:p>
        </w:tc>
        <w:tc>
          <w:tcPr>
            <w:tcW w:w="1571" w:type="dxa"/>
            <w:hideMark/>
          </w:tcPr>
          <w:p w:rsidR="00C81B46" w:rsidRPr="00574107" w:rsidRDefault="00C81B46" w:rsidP="00560650">
            <w:pPr>
              <w:pStyle w:val="Tablewriting"/>
            </w:pPr>
            <w:r w:rsidRPr="00574107">
              <w:t>Acceptable cost-effectiveness ratio</w:t>
            </w:r>
          </w:p>
        </w:tc>
        <w:tc>
          <w:tcPr>
            <w:tcW w:w="1415" w:type="dxa"/>
            <w:hideMark/>
          </w:tcPr>
          <w:p w:rsidR="00C81B46" w:rsidRPr="00574107" w:rsidRDefault="00C81B46" w:rsidP="00560650">
            <w:pPr>
              <w:pStyle w:val="Tablewriting"/>
            </w:pPr>
            <w:r w:rsidRPr="00574107">
              <w:t>Livingstone-Banks (2019) (efficacy)</w:t>
            </w:r>
          </w:p>
        </w:tc>
        <w:tc>
          <w:tcPr>
            <w:tcW w:w="1367" w:type="dxa"/>
            <w:hideMark/>
          </w:tcPr>
          <w:p w:rsidR="00C81B46" w:rsidRPr="00574107" w:rsidRDefault="00C81B46" w:rsidP="00560650">
            <w:pPr>
              <w:pStyle w:val="Tablewriting"/>
            </w:pPr>
            <w:r w:rsidRPr="00574107">
              <w:t xml:space="preserve">2 trials </w:t>
            </w:r>
          </w:p>
          <w:p w:rsidR="00C81B46" w:rsidRPr="00574107" w:rsidRDefault="00C81B46" w:rsidP="00560650">
            <w:pPr>
              <w:pStyle w:val="Tablewriting"/>
            </w:pPr>
            <w:r w:rsidRPr="00574107">
              <w:rPr>
                <w:rFonts w:eastAsiaTheme="minorEastAsia"/>
              </w:rPr>
              <w:t>(</w:t>
            </w:r>
            <w:r w:rsidRPr="00574107">
              <w:t>PBAC evidence included)</w:t>
            </w:r>
          </w:p>
        </w:tc>
        <w:tc>
          <w:tcPr>
            <w:tcW w:w="1271" w:type="dxa"/>
            <w:hideMark/>
          </w:tcPr>
          <w:p w:rsidR="00C81B46" w:rsidRPr="00574107" w:rsidRDefault="00920E58" w:rsidP="00560650">
            <w:pPr>
              <w:pStyle w:val="Tablewriting"/>
            </w:pPr>
            <w:r w:rsidRPr="00213443">
              <w:rPr>
                <w:rFonts w:eastAsia="Calibri"/>
              </w:rPr>
              <w:t>1</w:t>
            </w:r>
          </w:p>
        </w:tc>
      </w:tr>
      <w:tr w:rsidR="00C81B46" w:rsidRPr="00574107" w:rsidTr="00C324F3">
        <w:trPr>
          <w:trHeight w:val="70"/>
        </w:trPr>
        <w:tc>
          <w:tcPr>
            <w:tcW w:w="1538" w:type="dxa"/>
            <w:vMerge w:val="restart"/>
            <w:hideMark/>
          </w:tcPr>
          <w:p w:rsidR="00C81B46" w:rsidRPr="00574107" w:rsidRDefault="00C81B46" w:rsidP="00560650">
            <w:pPr>
              <w:pStyle w:val="Tablewriting"/>
            </w:pPr>
            <w:r w:rsidRPr="00574107">
              <w:rPr>
                <w:rFonts w:eastAsiaTheme="minorEastAsia"/>
              </w:rPr>
              <w:t>2014,</w:t>
            </w:r>
          </w:p>
          <w:p w:rsidR="00C81B46" w:rsidRPr="00574107" w:rsidRDefault="00C81B46" w:rsidP="00560650">
            <w:pPr>
              <w:pStyle w:val="Tablewriting"/>
            </w:pPr>
            <w:r w:rsidRPr="00574107">
              <w:rPr>
                <w:rFonts w:eastAsiaTheme="minorEastAsia"/>
              </w:rPr>
              <w:lastRenderedPageBreak/>
              <w:t xml:space="preserve">(Re-treatment, non- abstainers) </w:t>
            </w:r>
          </w:p>
        </w:tc>
        <w:tc>
          <w:tcPr>
            <w:tcW w:w="1503" w:type="dxa"/>
            <w:hideMark/>
          </w:tcPr>
          <w:p w:rsidR="00C81B46" w:rsidRPr="00574107" w:rsidRDefault="00C81B46" w:rsidP="00560650">
            <w:pPr>
              <w:pStyle w:val="Tablewriting"/>
            </w:pPr>
            <w:r w:rsidRPr="00574107">
              <w:rPr>
                <w:rFonts w:eastAsiaTheme="minorEastAsia"/>
              </w:rPr>
              <w:lastRenderedPageBreak/>
              <w:t>Placebo</w:t>
            </w:r>
          </w:p>
        </w:tc>
        <w:tc>
          <w:tcPr>
            <w:tcW w:w="1959" w:type="dxa"/>
            <w:hideMark/>
          </w:tcPr>
          <w:p w:rsidR="00C81B46" w:rsidRPr="00574107" w:rsidRDefault="00C81B46" w:rsidP="00560650">
            <w:pPr>
              <w:pStyle w:val="Tablewriting"/>
            </w:pPr>
            <w:r w:rsidRPr="00574107">
              <w:rPr>
                <w:rFonts w:eastAsiaTheme="minorEastAsia"/>
              </w:rPr>
              <w:t>Gonzales (2014)</w:t>
            </w:r>
          </w:p>
        </w:tc>
        <w:tc>
          <w:tcPr>
            <w:tcW w:w="1743" w:type="dxa"/>
            <w:hideMark/>
          </w:tcPr>
          <w:p w:rsidR="00C81B46" w:rsidRPr="00574107" w:rsidRDefault="00C81B46" w:rsidP="00560650">
            <w:pPr>
              <w:pStyle w:val="Tablewriting"/>
            </w:pPr>
            <w:r w:rsidRPr="00574107">
              <w:rPr>
                <w:rFonts w:eastAsiaTheme="minorEastAsia"/>
              </w:rPr>
              <w:t>Direct comparison</w:t>
            </w:r>
          </w:p>
        </w:tc>
        <w:tc>
          <w:tcPr>
            <w:tcW w:w="1807" w:type="dxa"/>
            <w:hideMark/>
          </w:tcPr>
          <w:p w:rsidR="00C81B46" w:rsidRPr="00574107" w:rsidRDefault="00C81B46" w:rsidP="00560650">
            <w:pPr>
              <w:pStyle w:val="Tablewriting"/>
            </w:pPr>
            <w:r w:rsidRPr="00574107">
              <w:rPr>
                <w:rFonts w:eastAsiaTheme="minorEastAsia"/>
              </w:rPr>
              <w:t>Pivotal, non- abstainers</w:t>
            </w:r>
          </w:p>
          <w:p w:rsidR="00C81B46" w:rsidRPr="00574107" w:rsidRDefault="00C81B46" w:rsidP="00560650">
            <w:pPr>
              <w:pStyle w:val="Tablewriting"/>
            </w:pPr>
            <w:r w:rsidRPr="00574107">
              <w:rPr>
                <w:rFonts w:eastAsiaTheme="minorEastAsia"/>
              </w:rPr>
              <w:lastRenderedPageBreak/>
              <w:t xml:space="preserve">Superior efficacy, Inferior safety </w:t>
            </w:r>
          </w:p>
        </w:tc>
        <w:tc>
          <w:tcPr>
            <w:tcW w:w="1571" w:type="dxa"/>
            <w:hideMark/>
          </w:tcPr>
          <w:p w:rsidR="00C81B46" w:rsidRPr="00574107" w:rsidRDefault="00C81B46" w:rsidP="00560650">
            <w:pPr>
              <w:pStyle w:val="Tablewriting"/>
            </w:pPr>
            <w:r w:rsidRPr="00574107">
              <w:rPr>
                <w:rFonts w:eastAsiaTheme="minorEastAsia"/>
              </w:rPr>
              <w:lastRenderedPageBreak/>
              <w:t>Acceptable cost-effectiveness ratio</w:t>
            </w:r>
          </w:p>
        </w:tc>
        <w:tc>
          <w:tcPr>
            <w:tcW w:w="1415" w:type="dxa"/>
            <w:hideMark/>
          </w:tcPr>
          <w:p w:rsidR="00C81B46" w:rsidRPr="00574107" w:rsidRDefault="00C81B46" w:rsidP="00560650">
            <w:pPr>
              <w:pStyle w:val="Tablewriting"/>
            </w:pPr>
            <w:r w:rsidRPr="00574107">
              <w:rPr>
                <w:rFonts w:eastAsiaTheme="minorEastAsia"/>
              </w:rPr>
              <w:t>Cahill (2016) (efficacy)</w:t>
            </w:r>
          </w:p>
        </w:tc>
        <w:tc>
          <w:tcPr>
            <w:tcW w:w="1367" w:type="dxa"/>
            <w:hideMark/>
          </w:tcPr>
          <w:p w:rsidR="00C81B46" w:rsidRPr="00574107" w:rsidRDefault="00C81B46" w:rsidP="00560650">
            <w:pPr>
              <w:pStyle w:val="Tablewriting"/>
            </w:pPr>
            <w:r w:rsidRPr="00574107">
              <w:rPr>
                <w:rFonts w:eastAsiaTheme="minorEastAsia"/>
              </w:rPr>
              <w:t xml:space="preserve">1 </w:t>
            </w:r>
          </w:p>
          <w:p w:rsidR="00C81B46" w:rsidRPr="00574107" w:rsidRDefault="00C81B46" w:rsidP="00560650">
            <w:pPr>
              <w:pStyle w:val="Tablewriting"/>
            </w:pPr>
            <w:r w:rsidRPr="00574107">
              <w:rPr>
                <w:rFonts w:eastAsiaTheme="minorEastAsia"/>
              </w:rPr>
              <w:lastRenderedPageBreak/>
              <w:t>(</w:t>
            </w:r>
            <w:r w:rsidRPr="00574107">
              <w:t>PBAC evidence included)</w:t>
            </w:r>
          </w:p>
        </w:tc>
        <w:tc>
          <w:tcPr>
            <w:tcW w:w="1271" w:type="dxa"/>
            <w:hideMark/>
          </w:tcPr>
          <w:p w:rsidR="00C81B46" w:rsidRPr="00574107" w:rsidRDefault="00920E58" w:rsidP="00560650">
            <w:pPr>
              <w:pStyle w:val="Tablewriting"/>
            </w:pPr>
            <w:r w:rsidRPr="00213443">
              <w:rPr>
                <w:rFonts w:eastAsiaTheme="minorEastAsia"/>
              </w:rPr>
              <w:lastRenderedPageBreak/>
              <w:t>8</w:t>
            </w:r>
          </w:p>
        </w:tc>
      </w:tr>
      <w:tr w:rsidR="00C81B46" w:rsidRPr="00574107" w:rsidTr="00C324F3">
        <w:trPr>
          <w:trHeight w:val="70"/>
        </w:trPr>
        <w:tc>
          <w:tcPr>
            <w:tcW w:w="1538" w:type="dxa"/>
            <w:vMerge/>
            <w:hideMark/>
          </w:tcPr>
          <w:p w:rsidR="00C81B46" w:rsidRPr="00574107" w:rsidRDefault="00C81B46" w:rsidP="00560650">
            <w:pPr>
              <w:pStyle w:val="Tablewriting"/>
            </w:pPr>
          </w:p>
        </w:tc>
        <w:tc>
          <w:tcPr>
            <w:tcW w:w="1503" w:type="dxa"/>
            <w:hideMark/>
          </w:tcPr>
          <w:p w:rsidR="00C81B46" w:rsidRPr="00574107" w:rsidRDefault="00C81B46" w:rsidP="00560650">
            <w:pPr>
              <w:pStyle w:val="Tablewriting"/>
            </w:pPr>
            <w:r w:rsidRPr="00574107">
              <w:t>Bupropion</w:t>
            </w:r>
          </w:p>
        </w:tc>
        <w:tc>
          <w:tcPr>
            <w:tcW w:w="1959" w:type="dxa"/>
            <w:hideMark/>
          </w:tcPr>
          <w:p w:rsidR="00C81B46" w:rsidRPr="00574107" w:rsidRDefault="00C81B46" w:rsidP="00560650">
            <w:pPr>
              <w:pStyle w:val="Tablewriting"/>
            </w:pPr>
            <w:r w:rsidRPr="00574107">
              <w:t>Gonzales (2006)</w:t>
            </w:r>
          </w:p>
          <w:p w:rsidR="00C81B46" w:rsidRPr="00574107" w:rsidRDefault="00C81B46" w:rsidP="00560650">
            <w:pPr>
              <w:pStyle w:val="Tablewriting"/>
            </w:pPr>
            <w:r w:rsidRPr="00574107">
              <w:t>Jorenby (2006)</w:t>
            </w:r>
          </w:p>
        </w:tc>
        <w:tc>
          <w:tcPr>
            <w:tcW w:w="1743" w:type="dxa"/>
            <w:hideMark/>
          </w:tcPr>
          <w:p w:rsidR="00C81B46" w:rsidRPr="00574107" w:rsidRDefault="00C81B46" w:rsidP="00560650">
            <w:pPr>
              <w:pStyle w:val="Tablewriting"/>
            </w:pPr>
            <w:r w:rsidRPr="00574107">
              <w:t>Direct comparison/ Meta-analysis</w:t>
            </w:r>
          </w:p>
        </w:tc>
        <w:tc>
          <w:tcPr>
            <w:tcW w:w="1807" w:type="dxa"/>
            <w:hideMark/>
          </w:tcPr>
          <w:p w:rsidR="00C81B46" w:rsidRPr="00574107" w:rsidRDefault="00C81B46" w:rsidP="00560650">
            <w:pPr>
              <w:pStyle w:val="Tablewriting"/>
            </w:pPr>
            <w:r w:rsidRPr="00574107">
              <w:t>Supportive, Tx naive</w:t>
            </w:r>
          </w:p>
          <w:p w:rsidR="00C81B46" w:rsidRPr="00574107" w:rsidRDefault="00C81B46" w:rsidP="00560650">
            <w:pPr>
              <w:pStyle w:val="Tablewriting"/>
            </w:pPr>
            <w:r w:rsidRPr="00574107">
              <w:t>Superior efficacy,</w:t>
            </w:r>
          </w:p>
          <w:p w:rsidR="00C81B46" w:rsidRPr="00574107" w:rsidRDefault="00C81B46" w:rsidP="00560650">
            <w:pPr>
              <w:pStyle w:val="Tablewriting"/>
            </w:pPr>
            <w:r w:rsidRPr="00574107">
              <w:t>Non-inferior safety</w:t>
            </w:r>
          </w:p>
        </w:tc>
        <w:tc>
          <w:tcPr>
            <w:tcW w:w="1571" w:type="dxa"/>
            <w:hideMark/>
          </w:tcPr>
          <w:p w:rsidR="00C81B46" w:rsidRPr="00574107" w:rsidRDefault="00C81B46" w:rsidP="00560650">
            <w:pPr>
              <w:pStyle w:val="Tablewriting"/>
            </w:pPr>
            <w:r w:rsidRPr="00574107">
              <w:t>Acceptable cost-effectiveness ratio</w:t>
            </w:r>
          </w:p>
        </w:tc>
        <w:tc>
          <w:tcPr>
            <w:tcW w:w="1415" w:type="dxa"/>
            <w:hideMark/>
          </w:tcPr>
          <w:p w:rsidR="00C81B46" w:rsidRPr="00574107" w:rsidRDefault="00C81B46" w:rsidP="00560650">
            <w:pPr>
              <w:pStyle w:val="Tablewriting"/>
            </w:pPr>
            <w:r w:rsidRPr="00574107">
              <w:t>Howes (2020) (efficacy and safety)</w:t>
            </w:r>
          </w:p>
        </w:tc>
        <w:tc>
          <w:tcPr>
            <w:tcW w:w="1367" w:type="dxa"/>
            <w:hideMark/>
          </w:tcPr>
          <w:p w:rsidR="00C81B46" w:rsidRPr="00574107" w:rsidRDefault="00C81B46" w:rsidP="00560650">
            <w:pPr>
              <w:pStyle w:val="Tablewriting"/>
            </w:pPr>
            <w:r w:rsidRPr="00574107">
              <w:t xml:space="preserve">6 trials </w:t>
            </w:r>
          </w:p>
          <w:p w:rsidR="00C81B46" w:rsidRPr="00574107" w:rsidRDefault="00C81B46" w:rsidP="00560650">
            <w:pPr>
              <w:pStyle w:val="Tablewriting"/>
            </w:pPr>
            <w:r w:rsidRPr="00574107">
              <w:t>(PBAC evidence included)</w:t>
            </w:r>
          </w:p>
        </w:tc>
        <w:tc>
          <w:tcPr>
            <w:tcW w:w="1271" w:type="dxa"/>
            <w:hideMark/>
          </w:tcPr>
          <w:p w:rsidR="00C81B46" w:rsidRPr="00574107" w:rsidRDefault="00C81B46" w:rsidP="00560650">
            <w:pPr>
              <w:pStyle w:val="Tablewriting"/>
            </w:pPr>
            <w:r w:rsidRPr="00574107">
              <w:rPr>
                <w:rFonts w:eastAsia="Calibri"/>
              </w:rPr>
              <w:t>0</w:t>
            </w:r>
          </w:p>
        </w:tc>
      </w:tr>
      <w:tr w:rsidR="00C81B46" w:rsidRPr="00574107" w:rsidTr="00C324F3">
        <w:trPr>
          <w:trHeight w:val="70"/>
        </w:trPr>
        <w:tc>
          <w:tcPr>
            <w:tcW w:w="1538" w:type="dxa"/>
            <w:vMerge/>
            <w:hideMark/>
          </w:tcPr>
          <w:p w:rsidR="00C81B46" w:rsidRPr="00574107" w:rsidRDefault="00C81B46" w:rsidP="00560650">
            <w:pPr>
              <w:pStyle w:val="Tablewriting"/>
            </w:pPr>
          </w:p>
        </w:tc>
        <w:tc>
          <w:tcPr>
            <w:tcW w:w="1503" w:type="dxa"/>
            <w:hideMark/>
          </w:tcPr>
          <w:p w:rsidR="00C81B46" w:rsidRPr="00574107" w:rsidRDefault="00C81B46" w:rsidP="00560650">
            <w:pPr>
              <w:pStyle w:val="Tablewriting"/>
            </w:pPr>
            <w:r w:rsidRPr="00574107">
              <w:t>NRT</w:t>
            </w:r>
          </w:p>
        </w:tc>
        <w:tc>
          <w:tcPr>
            <w:tcW w:w="1959" w:type="dxa"/>
            <w:hideMark/>
          </w:tcPr>
          <w:p w:rsidR="00C81B46" w:rsidRPr="00574107" w:rsidRDefault="00C81B46" w:rsidP="00560650">
            <w:pPr>
              <w:pStyle w:val="Tablewriting"/>
            </w:pPr>
            <w:r w:rsidRPr="00574107">
              <w:t>Aubin (2008) </w:t>
            </w:r>
          </w:p>
        </w:tc>
        <w:tc>
          <w:tcPr>
            <w:tcW w:w="1743" w:type="dxa"/>
            <w:hideMark/>
          </w:tcPr>
          <w:p w:rsidR="00C81B46" w:rsidRPr="00574107" w:rsidRDefault="00C81B46" w:rsidP="00560650">
            <w:pPr>
              <w:pStyle w:val="Tablewriting"/>
            </w:pPr>
            <w:r w:rsidRPr="00574107">
              <w:t>Direct comparison (open-label)</w:t>
            </w:r>
          </w:p>
        </w:tc>
        <w:tc>
          <w:tcPr>
            <w:tcW w:w="1807" w:type="dxa"/>
            <w:hideMark/>
          </w:tcPr>
          <w:p w:rsidR="00C81B46" w:rsidRPr="00574107" w:rsidRDefault="00C81B46" w:rsidP="00560650">
            <w:pPr>
              <w:pStyle w:val="Tablewriting"/>
            </w:pPr>
            <w:r w:rsidRPr="00574107">
              <w:t>Supportive, Tx naive</w:t>
            </w:r>
          </w:p>
          <w:p w:rsidR="00C81B46" w:rsidRPr="00574107" w:rsidRDefault="00C81B46" w:rsidP="00560650">
            <w:pPr>
              <w:pStyle w:val="Tablewriting"/>
            </w:pPr>
            <w:r w:rsidRPr="00574107">
              <w:t>Superior efficacy, Inferior safety </w:t>
            </w:r>
          </w:p>
        </w:tc>
        <w:tc>
          <w:tcPr>
            <w:tcW w:w="1571" w:type="dxa"/>
            <w:hideMark/>
          </w:tcPr>
          <w:p w:rsidR="00C81B46" w:rsidRPr="00574107" w:rsidRDefault="00C81B46" w:rsidP="00560650">
            <w:pPr>
              <w:pStyle w:val="Tablewriting"/>
            </w:pPr>
            <w:r w:rsidRPr="00574107">
              <w:t xml:space="preserve">Acceptable cost effectiveness ratio </w:t>
            </w:r>
          </w:p>
        </w:tc>
        <w:tc>
          <w:tcPr>
            <w:tcW w:w="1415" w:type="dxa"/>
            <w:hideMark/>
          </w:tcPr>
          <w:p w:rsidR="00C81B46" w:rsidRPr="00574107" w:rsidRDefault="00C81B46" w:rsidP="00560650">
            <w:pPr>
              <w:pStyle w:val="Tablewriting"/>
            </w:pPr>
            <w:r w:rsidRPr="00574107">
              <w:t>Cahill (2016) (efficacy)</w:t>
            </w:r>
          </w:p>
        </w:tc>
        <w:tc>
          <w:tcPr>
            <w:tcW w:w="1367" w:type="dxa"/>
            <w:hideMark/>
          </w:tcPr>
          <w:p w:rsidR="00C81B46" w:rsidRPr="00574107" w:rsidRDefault="00C81B46" w:rsidP="00560650">
            <w:pPr>
              <w:pStyle w:val="Tablewriting"/>
            </w:pPr>
            <w:r w:rsidRPr="00574107">
              <w:t xml:space="preserve">8 trials </w:t>
            </w:r>
          </w:p>
          <w:p w:rsidR="00C81B46" w:rsidRPr="00574107" w:rsidRDefault="00C81B46" w:rsidP="00560650">
            <w:pPr>
              <w:pStyle w:val="Tablewriting"/>
            </w:pPr>
            <w:r w:rsidRPr="00574107">
              <w:t>(PBAC evidence included)</w:t>
            </w:r>
          </w:p>
        </w:tc>
        <w:tc>
          <w:tcPr>
            <w:tcW w:w="1271" w:type="dxa"/>
            <w:hideMark/>
          </w:tcPr>
          <w:p w:rsidR="00C81B46" w:rsidRPr="00574107" w:rsidRDefault="00151D22" w:rsidP="00560650">
            <w:pPr>
              <w:pStyle w:val="Tablewriting"/>
            </w:pPr>
            <w:r w:rsidRPr="00213443">
              <w:rPr>
                <w:rFonts w:eastAsia="Calibri"/>
              </w:rPr>
              <w:t>4</w:t>
            </w:r>
          </w:p>
        </w:tc>
      </w:tr>
      <w:tr w:rsidR="00C81B46" w:rsidRPr="00574107" w:rsidTr="00C324F3">
        <w:trPr>
          <w:trHeight w:val="132"/>
        </w:trPr>
        <w:tc>
          <w:tcPr>
            <w:tcW w:w="1538" w:type="dxa"/>
            <w:vMerge/>
            <w:hideMark/>
          </w:tcPr>
          <w:p w:rsidR="00C81B46" w:rsidRPr="00574107" w:rsidRDefault="00C81B46" w:rsidP="00560650">
            <w:pPr>
              <w:pStyle w:val="Tablewriting"/>
            </w:pPr>
          </w:p>
        </w:tc>
        <w:tc>
          <w:tcPr>
            <w:tcW w:w="1503" w:type="dxa"/>
            <w:hideMark/>
          </w:tcPr>
          <w:p w:rsidR="00C81B46" w:rsidRPr="00574107" w:rsidRDefault="00C81B46" w:rsidP="00560650">
            <w:pPr>
              <w:pStyle w:val="Tablewriting"/>
            </w:pPr>
            <w:r w:rsidRPr="00574107">
              <w:t>Placebo</w:t>
            </w:r>
          </w:p>
        </w:tc>
        <w:tc>
          <w:tcPr>
            <w:tcW w:w="1959" w:type="dxa"/>
            <w:hideMark/>
          </w:tcPr>
          <w:p w:rsidR="00C81B46" w:rsidRPr="00574107" w:rsidRDefault="00C81B46" w:rsidP="00560650">
            <w:pPr>
              <w:pStyle w:val="Tablewriting"/>
            </w:pPr>
            <w:r w:rsidRPr="00574107">
              <w:t>Gonzales (2006), Jorenby (2006), Nakamura (2007), Rigotti (201</w:t>
            </w:r>
            <w:r>
              <w:t>0</w:t>
            </w:r>
            <w:r w:rsidRPr="00574107">
              <w:t>), Tashkin (2011) </w:t>
            </w:r>
          </w:p>
        </w:tc>
        <w:tc>
          <w:tcPr>
            <w:tcW w:w="1743" w:type="dxa"/>
            <w:hideMark/>
          </w:tcPr>
          <w:p w:rsidR="00C81B46" w:rsidRPr="00574107" w:rsidRDefault="00C81B46" w:rsidP="00560650">
            <w:pPr>
              <w:pStyle w:val="Tablewriting"/>
            </w:pPr>
            <w:r w:rsidRPr="00574107">
              <w:t>Direct comparison/ Meta-analysis</w:t>
            </w:r>
          </w:p>
        </w:tc>
        <w:tc>
          <w:tcPr>
            <w:tcW w:w="1807" w:type="dxa"/>
            <w:hideMark/>
          </w:tcPr>
          <w:p w:rsidR="00C81B46" w:rsidRPr="00574107" w:rsidRDefault="00C81B46" w:rsidP="00560650">
            <w:pPr>
              <w:pStyle w:val="Tablewriting"/>
            </w:pPr>
            <w:r w:rsidRPr="00574107">
              <w:t>Supportive, Tx naive</w:t>
            </w:r>
          </w:p>
          <w:p w:rsidR="00C81B46" w:rsidRPr="00574107" w:rsidRDefault="00C81B46" w:rsidP="00560650">
            <w:pPr>
              <w:pStyle w:val="Tablewriting"/>
            </w:pPr>
            <w:r w:rsidRPr="00574107">
              <w:t>Superior efficacy, Inferior safety</w:t>
            </w:r>
          </w:p>
        </w:tc>
        <w:tc>
          <w:tcPr>
            <w:tcW w:w="1571" w:type="dxa"/>
            <w:hideMark/>
          </w:tcPr>
          <w:p w:rsidR="00C81B46" w:rsidRPr="00574107" w:rsidRDefault="00C81B46" w:rsidP="00560650">
            <w:pPr>
              <w:pStyle w:val="Tablewriting"/>
            </w:pPr>
            <w:r w:rsidRPr="00574107">
              <w:t>Acceptable cost-effectiveness ratio</w:t>
            </w:r>
          </w:p>
        </w:tc>
        <w:tc>
          <w:tcPr>
            <w:tcW w:w="1415" w:type="dxa"/>
            <w:hideMark/>
          </w:tcPr>
          <w:p w:rsidR="00C81B46" w:rsidRPr="00574107" w:rsidRDefault="00C81B46" w:rsidP="00560650">
            <w:pPr>
              <w:pStyle w:val="Tablewriting"/>
            </w:pPr>
            <w:r w:rsidRPr="00574107">
              <w:t>Cahill (2016) (efficacy and safety)</w:t>
            </w:r>
          </w:p>
        </w:tc>
        <w:tc>
          <w:tcPr>
            <w:tcW w:w="1367" w:type="dxa"/>
            <w:hideMark/>
          </w:tcPr>
          <w:p w:rsidR="00C81B46" w:rsidRPr="00574107" w:rsidRDefault="00C81B46" w:rsidP="00560650">
            <w:pPr>
              <w:pStyle w:val="Tablewriting"/>
            </w:pPr>
            <w:r w:rsidRPr="00574107">
              <w:t>27 trials (PBAC evidence included) </w:t>
            </w:r>
          </w:p>
        </w:tc>
        <w:tc>
          <w:tcPr>
            <w:tcW w:w="1271" w:type="dxa"/>
            <w:hideMark/>
          </w:tcPr>
          <w:p w:rsidR="00C81B46" w:rsidRPr="00574107" w:rsidRDefault="00920E58" w:rsidP="00560650">
            <w:pPr>
              <w:pStyle w:val="Tablewriting"/>
            </w:pPr>
            <w:r w:rsidRPr="00213443">
              <w:rPr>
                <w:rFonts w:eastAsia="Calibri"/>
              </w:rPr>
              <w:t>8</w:t>
            </w:r>
          </w:p>
        </w:tc>
      </w:tr>
      <w:tr w:rsidR="00C81B46" w:rsidRPr="00574107" w:rsidTr="00C324F3">
        <w:trPr>
          <w:trHeight w:val="210"/>
        </w:trPr>
        <w:tc>
          <w:tcPr>
            <w:tcW w:w="1538" w:type="dxa"/>
            <w:vMerge w:val="restart"/>
            <w:hideMark/>
          </w:tcPr>
          <w:p w:rsidR="00C81B46" w:rsidRPr="00574107" w:rsidRDefault="00C81B46" w:rsidP="00560650">
            <w:pPr>
              <w:pStyle w:val="Tablewriting"/>
            </w:pPr>
            <w:r w:rsidRPr="00574107">
              <w:t>2016  </w:t>
            </w:r>
          </w:p>
          <w:p w:rsidR="00C81B46" w:rsidRPr="00574107" w:rsidRDefault="00C81B46" w:rsidP="00560650">
            <w:pPr>
              <w:pStyle w:val="Tablewriting"/>
            </w:pPr>
            <w:r w:rsidRPr="00574107">
              <w:t>(Authority Required</w:t>
            </w:r>
            <w:r>
              <w:t xml:space="preserve"> -</w:t>
            </w:r>
            <w:r w:rsidRPr="00574107">
              <w:t>STREAMLINED)</w:t>
            </w:r>
          </w:p>
        </w:tc>
        <w:tc>
          <w:tcPr>
            <w:tcW w:w="1503" w:type="dxa"/>
            <w:hideMark/>
          </w:tcPr>
          <w:p w:rsidR="00C81B46" w:rsidRPr="00574107" w:rsidRDefault="00C81B46" w:rsidP="00560650">
            <w:pPr>
              <w:pStyle w:val="Tablewriting"/>
            </w:pPr>
            <w:r w:rsidRPr="00574107">
              <w:t>Placebo</w:t>
            </w:r>
          </w:p>
        </w:tc>
        <w:tc>
          <w:tcPr>
            <w:tcW w:w="1959" w:type="dxa"/>
            <w:hideMark/>
          </w:tcPr>
          <w:p w:rsidR="00C81B46" w:rsidRPr="00574107" w:rsidRDefault="00C81B46" w:rsidP="00560650">
            <w:pPr>
              <w:pStyle w:val="Tablewriting"/>
            </w:pPr>
            <w:r w:rsidRPr="00574107">
              <w:t>Anthenelli (2016) EAGLES trial </w:t>
            </w:r>
          </w:p>
        </w:tc>
        <w:tc>
          <w:tcPr>
            <w:tcW w:w="1743" w:type="dxa"/>
            <w:hideMark/>
          </w:tcPr>
          <w:p w:rsidR="00C81B46" w:rsidRPr="00574107" w:rsidRDefault="00C81B46" w:rsidP="00560650">
            <w:pPr>
              <w:pStyle w:val="Tablewriting"/>
            </w:pPr>
            <w:r w:rsidRPr="00574107">
              <w:t>Direct comparison</w:t>
            </w:r>
          </w:p>
        </w:tc>
        <w:tc>
          <w:tcPr>
            <w:tcW w:w="1807" w:type="dxa"/>
            <w:hideMark/>
          </w:tcPr>
          <w:p w:rsidR="00C81B46" w:rsidRPr="00574107" w:rsidRDefault="00C81B46" w:rsidP="00560650">
            <w:pPr>
              <w:pStyle w:val="Tablewriting"/>
            </w:pPr>
            <w:r w:rsidRPr="00574107">
              <w:t>Primary comparison</w:t>
            </w:r>
          </w:p>
          <w:p w:rsidR="00C81B46" w:rsidRPr="00574107" w:rsidRDefault="00C81B46" w:rsidP="00560650">
            <w:pPr>
              <w:pStyle w:val="Tablewriting"/>
            </w:pPr>
            <w:r w:rsidRPr="00574107">
              <w:t xml:space="preserve">Superior efficacy, </w:t>
            </w:r>
          </w:p>
          <w:p w:rsidR="00C81B46" w:rsidRPr="00574107" w:rsidRDefault="00C81B46" w:rsidP="00560650">
            <w:pPr>
              <w:pStyle w:val="Tablewriting"/>
            </w:pPr>
            <w:r w:rsidRPr="00574107">
              <w:t>Non-inferior safety</w:t>
            </w:r>
          </w:p>
        </w:tc>
        <w:tc>
          <w:tcPr>
            <w:tcW w:w="1571" w:type="dxa"/>
            <w:hideMark/>
          </w:tcPr>
          <w:p w:rsidR="00C81B46" w:rsidRPr="00574107" w:rsidRDefault="00C81B46" w:rsidP="00560650">
            <w:pPr>
              <w:pStyle w:val="Tablewriting"/>
            </w:pPr>
            <w:r w:rsidRPr="00574107">
              <w:t>N/A</w:t>
            </w:r>
          </w:p>
        </w:tc>
        <w:tc>
          <w:tcPr>
            <w:tcW w:w="1415" w:type="dxa"/>
            <w:hideMark/>
          </w:tcPr>
          <w:p w:rsidR="00C81B46" w:rsidRPr="00574107" w:rsidRDefault="00C81B46" w:rsidP="00560650">
            <w:pPr>
              <w:pStyle w:val="Tablewriting"/>
            </w:pPr>
            <w:r w:rsidRPr="00574107">
              <w:t>Cahill (2016) (safety)</w:t>
            </w:r>
          </w:p>
        </w:tc>
        <w:tc>
          <w:tcPr>
            <w:tcW w:w="1367" w:type="dxa"/>
            <w:hideMark/>
          </w:tcPr>
          <w:p w:rsidR="00C81B46" w:rsidRPr="00574107" w:rsidRDefault="00C81B46" w:rsidP="00560650">
            <w:pPr>
              <w:pStyle w:val="Tablewriting"/>
            </w:pPr>
            <w:r w:rsidRPr="00574107">
              <w:t xml:space="preserve">36 trials </w:t>
            </w:r>
            <w:r w:rsidRPr="00574107">
              <w:rPr>
                <w:rFonts w:eastAsiaTheme="minorEastAsia"/>
              </w:rPr>
              <w:t>(</w:t>
            </w:r>
            <w:r w:rsidRPr="00574107">
              <w:t>PBAC evidence included)</w:t>
            </w:r>
          </w:p>
        </w:tc>
        <w:tc>
          <w:tcPr>
            <w:tcW w:w="1271" w:type="dxa"/>
            <w:hideMark/>
          </w:tcPr>
          <w:p w:rsidR="00C81B46" w:rsidRPr="00574107" w:rsidRDefault="00213443" w:rsidP="00560650">
            <w:pPr>
              <w:pStyle w:val="Tablewriting"/>
            </w:pPr>
            <w:r w:rsidRPr="00213443">
              <w:rPr>
                <w:rFonts w:eastAsiaTheme="minorEastAsia"/>
              </w:rPr>
              <w:t>0</w:t>
            </w:r>
          </w:p>
        </w:tc>
      </w:tr>
      <w:tr w:rsidR="00C81B46" w:rsidRPr="00574107" w:rsidTr="00C324F3">
        <w:trPr>
          <w:trHeight w:val="565"/>
        </w:trPr>
        <w:tc>
          <w:tcPr>
            <w:tcW w:w="1538" w:type="dxa"/>
            <w:vMerge/>
            <w:hideMark/>
          </w:tcPr>
          <w:p w:rsidR="00C81B46" w:rsidRPr="00574107" w:rsidRDefault="00C81B46" w:rsidP="00560650">
            <w:pPr>
              <w:pStyle w:val="Tablewriting"/>
            </w:pPr>
          </w:p>
        </w:tc>
        <w:tc>
          <w:tcPr>
            <w:tcW w:w="1503" w:type="dxa"/>
            <w:hideMark/>
          </w:tcPr>
          <w:p w:rsidR="00C81B46" w:rsidRPr="00574107" w:rsidRDefault="00C81B46" w:rsidP="00560650">
            <w:pPr>
              <w:pStyle w:val="Tablewriting"/>
            </w:pPr>
            <w:r w:rsidRPr="00574107">
              <w:t>Bupropion</w:t>
            </w:r>
          </w:p>
        </w:tc>
        <w:tc>
          <w:tcPr>
            <w:tcW w:w="1959" w:type="dxa"/>
            <w:hideMark/>
          </w:tcPr>
          <w:p w:rsidR="00C81B46" w:rsidRPr="00574107" w:rsidRDefault="00C81B46" w:rsidP="00560650">
            <w:pPr>
              <w:pStyle w:val="Tablewriting"/>
            </w:pPr>
            <w:r w:rsidRPr="00574107">
              <w:t>Anthenelli (2016) EAGLES trial</w:t>
            </w:r>
          </w:p>
        </w:tc>
        <w:tc>
          <w:tcPr>
            <w:tcW w:w="1743" w:type="dxa"/>
            <w:hideMark/>
          </w:tcPr>
          <w:p w:rsidR="00C81B46" w:rsidRPr="00574107" w:rsidRDefault="00C81B46" w:rsidP="00560650">
            <w:pPr>
              <w:pStyle w:val="Tablewriting"/>
            </w:pPr>
            <w:r w:rsidRPr="00574107">
              <w:t>Direct comparison</w:t>
            </w:r>
          </w:p>
        </w:tc>
        <w:tc>
          <w:tcPr>
            <w:tcW w:w="1807" w:type="dxa"/>
            <w:hideMark/>
          </w:tcPr>
          <w:p w:rsidR="00C81B46" w:rsidRPr="00574107" w:rsidRDefault="00C81B46" w:rsidP="00560650">
            <w:pPr>
              <w:pStyle w:val="Tablewriting"/>
            </w:pPr>
            <w:r w:rsidRPr="00574107">
              <w:t>Secondary comparison</w:t>
            </w:r>
          </w:p>
          <w:p w:rsidR="00C81B46" w:rsidRPr="00574107" w:rsidRDefault="00C81B46" w:rsidP="00560650">
            <w:pPr>
              <w:pStyle w:val="Tablewriting"/>
            </w:pPr>
            <w:r w:rsidRPr="00574107">
              <w:t xml:space="preserve">Superior efficacy, </w:t>
            </w:r>
          </w:p>
          <w:p w:rsidR="00C81B46" w:rsidRPr="00574107" w:rsidRDefault="00C81B46" w:rsidP="00560650">
            <w:pPr>
              <w:pStyle w:val="Tablewriting"/>
            </w:pPr>
            <w:r w:rsidRPr="00574107">
              <w:t>Non-inferior safety </w:t>
            </w:r>
          </w:p>
        </w:tc>
        <w:tc>
          <w:tcPr>
            <w:tcW w:w="1571" w:type="dxa"/>
            <w:hideMark/>
          </w:tcPr>
          <w:p w:rsidR="00C81B46" w:rsidRPr="00574107" w:rsidRDefault="00C81B46" w:rsidP="00560650">
            <w:pPr>
              <w:pStyle w:val="Tablewriting"/>
            </w:pPr>
            <w:r w:rsidRPr="00574107">
              <w:t>N/A</w:t>
            </w:r>
          </w:p>
        </w:tc>
        <w:tc>
          <w:tcPr>
            <w:tcW w:w="1415" w:type="dxa"/>
            <w:hideMark/>
          </w:tcPr>
          <w:p w:rsidR="00C81B46" w:rsidRPr="00574107" w:rsidRDefault="00C81B46" w:rsidP="00560650">
            <w:pPr>
              <w:pStyle w:val="Tablewriting"/>
            </w:pPr>
            <w:r w:rsidRPr="00574107">
              <w:t>Howes (2020) (safety)</w:t>
            </w:r>
          </w:p>
        </w:tc>
        <w:tc>
          <w:tcPr>
            <w:tcW w:w="1367" w:type="dxa"/>
            <w:hideMark/>
          </w:tcPr>
          <w:p w:rsidR="00C81B46" w:rsidRPr="00574107" w:rsidRDefault="00C81B46" w:rsidP="00560650">
            <w:pPr>
              <w:pStyle w:val="Tablewriting"/>
            </w:pPr>
            <w:r w:rsidRPr="00574107">
              <w:t xml:space="preserve">5 trials </w:t>
            </w:r>
            <w:r w:rsidRPr="00574107">
              <w:rPr>
                <w:rFonts w:eastAsiaTheme="minorEastAsia"/>
              </w:rPr>
              <w:t>(</w:t>
            </w:r>
            <w:r w:rsidRPr="00574107">
              <w:t>PBAC evidence included)</w:t>
            </w:r>
          </w:p>
        </w:tc>
        <w:tc>
          <w:tcPr>
            <w:tcW w:w="1271" w:type="dxa"/>
            <w:hideMark/>
          </w:tcPr>
          <w:p w:rsidR="00C81B46" w:rsidRPr="00574107" w:rsidRDefault="00C81B46" w:rsidP="00560650">
            <w:pPr>
              <w:pStyle w:val="Tablewriting"/>
            </w:pPr>
            <w:r w:rsidRPr="00574107">
              <w:rPr>
                <w:rFonts w:eastAsiaTheme="minorEastAsia"/>
              </w:rPr>
              <w:t>0</w:t>
            </w:r>
          </w:p>
        </w:tc>
      </w:tr>
      <w:tr w:rsidR="00C81B46" w:rsidRPr="00574107" w:rsidTr="00C324F3">
        <w:trPr>
          <w:trHeight w:val="70"/>
        </w:trPr>
        <w:tc>
          <w:tcPr>
            <w:tcW w:w="1538" w:type="dxa"/>
            <w:vMerge/>
            <w:hideMark/>
          </w:tcPr>
          <w:p w:rsidR="00C81B46" w:rsidRPr="00574107" w:rsidRDefault="00C81B46" w:rsidP="00560650">
            <w:pPr>
              <w:pStyle w:val="Tablewriting"/>
            </w:pPr>
          </w:p>
        </w:tc>
        <w:tc>
          <w:tcPr>
            <w:tcW w:w="1503" w:type="dxa"/>
            <w:hideMark/>
          </w:tcPr>
          <w:p w:rsidR="00C81B46" w:rsidRPr="00574107" w:rsidRDefault="00C81B46" w:rsidP="00560650">
            <w:pPr>
              <w:pStyle w:val="Tablewriting"/>
            </w:pPr>
            <w:r w:rsidRPr="00574107">
              <w:rPr>
                <w:rFonts w:eastAsiaTheme="minorEastAsia"/>
              </w:rPr>
              <w:t>NRT</w:t>
            </w:r>
          </w:p>
        </w:tc>
        <w:tc>
          <w:tcPr>
            <w:tcW w:w="1959" w:type="dxa"/>
            <w:hideMark/>
          </w:tcPr>
          <w:p w:rsidR="00C81B46" w:rsidRPr="00574107" w:rsidRDefault="00C81B46" w:rsidP="00560650">
            <w:pPr>
              <w:pStyle w:val="Tablewriting"/>
            </w:pPr>
            <w:r w:rsidRPr="00574107">
              <w:rPr>
                <w:rFonts w:eastAsiaTheme="minorEastAsia"/>
              </w:rPr>
              <w:t>Anthenelli (2016) EAGLES trial</w:t>
            </w:r>
          </w:p>
        </w:tc>
        <w:tc>
          <w:tcPr>
            <w:tcW w:w="1743" w:type="dxa"/>
            <w:hideMark/>
          </w:tcPr>
          <w:p w:rsidR="00C81B46" w:rsidRPr="00574107" w:rsidRDefault="00C81B46" w:rsidP="00560650">
            <w:pPr>
              <w:pStyle w:val="Tablewriting"/>
            </w:pPr>
            <w:r w:rsidRPr="00574107">
              <w:rPr>
                <w:rFonts w:eastAsiaTheme="minorEastAsia"/>
              </w:rPr>
              <w:t>Direct comparison</w:t>
            </w:r>
          </w:p>
        </w:tc>
        <w:tc>
          <w:tcPr>
            <w:tcW w:w="1807" w:type="dxa"/>
            <w:hideMark/>
          </w:tcPr>
          <w:p w:rsidR="00C81B46" w:rsidRPr="00574107" w:rsidRDefault="00C81B46" w:rsidP="00560650">
            <w:pPr>
              <w:pStyle w:val="Tablewriting"/>
            </w:pPr>
            <w:r w:rsidRPr="00574107">
              <w:rPr>
                <w:rFonts w:eastAsiaTheme="minorEastAsia"/>
              </w:rPr>
              <w:t>Secondary comparison</w:t>
            </w:r>
          </w:p>
          <w:p w:rsidR="00C81B46" w:rsidRPr="00574107" w:rsidRDefault="00C81B46" w:rsidP="00560650">
            <w:pPr>
              <w:pStyle w:val="Tablewriting"/>
            </w:pPr>
            <w:r w:rsidRPr="00574107">
              <w:rPr>
                <w:rFonts w:eastAsiaTheme="minorEastAsia"/>
              </w:rPr>
              <w:t xml:space="preserve">Superior efficacy, </w:t>
            </w:r>
          </w:p>
          <w:p w:rsidR="00C81B46" w:rsidRPr="00574107" w:rsidRDefault="00C81B46" w:rsidP="00560650">
            <w:pPr>
              <w:pStyle w:val="Tablewriting"/>
            </w:pPr>
            <w:r w:rsidRPr="00574107">
              <w:rPr>
                <w:rFonts w:eastAsiaTheme="minorEastAsia"/>
              </w:rPr>
              <w:t>Non-inferior safety</w:t>
            </w:r>
          </w:p>
        </w:tc>
        <w:tc>
          <w:tcPr>
            <w:tcW w:w="1571" w:type="dxa"/>
            <w:hideMark/>
          </w:tcPr>
          <w:p w:rsidR="00C81B46" w:rsidRPr="00574107" w:rsidRDefault="00C81B46" w:rsidP="00560650">
            <w:pPr>
              <w:pStyle w:val="Tablewriting"/>
            </w:pPr>
            <w:r w:rsidRPr="00574107">
              <w:rPr>
                <w:rFonts w:eastAsiaTheme="minorEastAsia"/>
              </w:rPr>
              <w:t>N/A</w:t>
            </w:r>
          </w:p>
        </w:tc>
        <w:tc>
          <w:tcPr>
            <w:tcW w:w="1415" w:type="dxa"/>
            <w:hideMark/>
          </w:tcPr>
          <w:p w:rsidR="00C81B46" w:rsidRPr="00574107" w:rsidRDefault="00C81B46" w:rsidP="00560650">
            <w:pPr>
              <w:pStyle w:val="Tablewriting"/>
            </w:pPr>
            <w:r w:rsidRPr="00574107">
              <w:rPr>
                <w:rFonts w:eastAsiaTheme="minorEastAsia"/>
              </w:rPr>
              <w:t>No updated safety evidence </w:t>
            </w:r>
          </w:p>
        </w:tc>
        <w:tc>
          <w:tcPr>
            <w:tcW w:w="1367" w:type="dxa"/>
            <w:hideMark/>
          </w:tcPr>
          <w:p w:rsidR="00C81B46" w:rsidRPr="00574107" w:rsidRDefault="00C81B46" w:rsidP="00560650">
            <w:pPr>
              <w:pStyle w:val="Tablewriting"/>
            </w:pPr>
            <w:r w:rsidRPr="00574107">
              <w:rPr>
                <w:rFonts w:eastAsiaTheme="minorEastAsia"/>
              </w:rPr>
              <w:t>N/A</w:t>
            </w:r>
          </w:p>
        </w:tc>
        <w:tc>
          <w:tcPr>
            <w:tcW w:w="1271" w:type="dxa"/>
            <w:hideMark/>
          </w:tcPr>
          <w:p w:rsidR="00C81B46" w:rsidRPr="00574107" w:rsidRDefault="005765E0" w:rsidP="00560650">
            <w:pPr>
              <w:pStyle w:val="Tablewriting"/>
            </w:pPr>
            <w:r w:rsidRPr="00213443">
              <w:rPr>
                <w:rFonts w:eastAsiaTheme="minorEastAsia"/>
              </w:rPr>
              <w:t>4</w:t>
            </w:r>
          </w:p>
        </w:tc>
      </w:tr>
      <w:tr w:rsidR="00C81B46" w:rsidRPr="00B11797" w:rsidTr="00560650">
        <w:trPr>
          <w:trHeight w:val="164"/>
        </w:trPr>
        <w:tc>
          <w:tcPr>
            <w:tcW w:w="14174" w:type="dxa"/>
            <w:gridSpan w:val="9"/>
            <w:shd w:val="clear" w:color="auto" w:fill="D9D9D9" w:themeFill="background1" w:themeFillShade="D9"/>
          </w:tcPr>
          <w:p w:rsidR="00C81B46" w:rsidRPr="00574107" w:rsidRDefault="00C81B46" w:rsidP="00560650">
            <w:pPr>
              <w:pStyle w:val="Tablewriting"/>
              <w:rPr>
                <w:b/>
                <w:bCs/>
              </w:rPr>
            </w:pPr>
            <w:r w:rsidRPr="00574107">
              <w:rPr>
                <w:b/>
                <w:bCs/>
              </w:rPr>
              <w:t xml:space="preserve">NRT </w:t>
            </w:r>
            <w:r>
              <w:rPr>
                <w:b/>
                <w:bCs/>
              </w:rPr>
              <w:t>p</w:t>
            </w:r>
            <w:r w:rsidRPr="00574107">
              <w:rPr>
                <w:b/>
                <w:bCs/>
              </w:rPr>
              <w:t>atch</w:t>
            </w:r>
          </w:p>
        </w:tc>
      </w:tr>
      <w:tr w:rsidR="00C81B46" w:rsidRPr="00574107" w:rsidTr="00560650">
        <w:trPr>
          <w:trHeight w:val="70"/>
        </w:trPr>
        <w:tc>
          <w:tcPr>
            <w:tcW w:w="1538" w:type="dxa"/>
            <w:vMerge w:val="restart"/>
            <w:hideMark/>
          </w:tcPr>
          <w:p w:rsidR="00C81B46" w:rsidRPr="00574107" w:rsidRDefault="00C81B46" w:rsidP="00560650">
            <w:pPr>
              <w:pStyle w:val="Tablewriting"/>
            </w:pPr>
            <w:r w:rsidRPr="00574107">
              <w:t>2008</w:t>
            </w:r>
          </w:p>
          <w:p w:rsidR="00C81B46" w:rsidRPr="00574107" w:rsidRDefault="00C81B46" w:rsidP="00560650">
            <w:pPr>
              <w:pStyle w:val="Tablewriting"/>
            </w:pPr>
            <w:r w:rsidRPr="00574107">
              <w:lastRenderedPageBreak/>
              <w:t xml:space="preserve">(New listing – </w:t>
            </w:r>
            <w:r w:rsidR="008424DC" w:rsidRPr="008424DC">
              <w:t>Aboriginal and Torres Strait Islander</w:t>
            </w:r>
            <w:r w:rsidR="00F0085D">
              <w:t xml:space="preserve"> population</w:t>
            </w:r>
            <w:r w:rsidRPr="00574107">
              <w:t>)</w:t>
            </w:r>
          </w:p>
        </w:tc>
        <w:tc>
          <w:tcPr>
            <w:tcW w:w="1503" w:type="dxa"/>
            <w:hideMark/>
          </w:tcPr>
          <w:p w:rsidR="00C81B46" w:rsidRPr="00574107" w:rsidRDefault="00C81B46" w:rsidP="00560650">
            <w:pPr>
              <w:pStyle w:val="Tablewriting"/>
            </w:pPr>
            <w:r w:rsidRPr="00574107">
              <w:rPr>
                <w:rFonts w:eastAsiaTheme="minorEastAsia"/>
              </w:rPr>
              <w:lastRenderedPageBreak/>
              <w:t>No control/ control group</w:t>
            </w:r>
          </w:p>
        </w:tc>
        <w:tc>
          <w:tcPr>
            <w:tcW w:w="1959" w:type="dxa"/>
            <w:hideMark/>
          </w:tcPr>
          <w:p w:rsidR="00C81B46" w:rsidRPr="008846EB" w:rsidRDefault="008846EB" w:rsidP="00560650">
            <w:pPr>
              <w:pStyle w:val="Tablewriting"/>
              <w:rPr>
                <w:highlight w:val="black"/>
              </w:rPr>
            </w:pPr>
            <w:r>
              <w:rPr>
                <w:rFonts w:eastAsiaTheme="minorEastAsia"/>
                <w:noProof/>
                <w:color w:val="000000"/>
                <w:highlight w:val="black"/>
              </w:rPr>
              <w:t>'''''''''' ''''''''''''' ''''''''''' ''''''''''''''' '''''''''''''' '''''''''''''</w:t>
            </w:r>
          </w:p>
        </w:tc>
        <w:tc>
          <w:tcPr>
            <w:tcW w:w="1743" w:type="dxa"/>
            <w:hideMark/>
          </w:tcPr>
          <w:p w:rsidR="00C81B46" w:rsidRPr="008846EB" w:rsidRDefault="008846EB" w:rsidP="00560650">
            <w:pPr>
              <w:pStyle w:val="Tablewriting"/>
              <w:rPr>
                <w:highlight w:val="black"/>
              </w:rPr>
            </w:pPr>
            <w:r>
              <w:rPr>
                <w:rFonts w:eastAsiaTheme="minorEastAsia"/>
                <w:noProof/>
                <w:color w:val="000000"/>
                <w:highlight w:val="black"/>
              </w:rPr>
              <w:t xml:space="preserve">''''''''''' ''''''''''''''''''''''''' </w:t>
            </w:r>
            <w:r>
              <w:rPr>
                <w:rFonts w:eastAsiaTheme="minorEastAsia"/>
                <w:noProof/>
                <w:color w:val="000000"/>
                <w:highlight w:val="black"/>
              </w:rPr>
              <w:lastRenderedPageBreak/>
              <w:t>''''''''''''''''''''''''''''''''' ''''''''</w:t>
            </w:r>
            <w:r w:rsidR="00C81B46" w:rsidRPr="008846EB">
              <w:rPr>
                <w:rFonts w:eastAsiaTheme="minorEastAsia"/>
                <w:highlight w:val="black"/>
              </w:rPr>
              <w:t xml:space="preserve"> </w:t>
            </w:r>
          </w:p>
        </w:tc>
        <w:tc>
          <w:tcPr>
            <w:tcW w:w="1807" w:type="dxa"/>
            <w:hideMark/>
          </w:tcPr>
          <w:p w:rsidR="00C81B46" w:rsidRPr="008846EB" w:rsidRDefault="008846EB" w:rsidP="00560650">
            <w:pPr>
              <w:pStyle w:val="Tablewriting"/>
              <w:rPr>
                <w:highlight w:val="black"/>
              </w:rPr>
            </w:pPr>
            <w:r>
              <w:rPr>
                <w:rFonts w:eastAsiaTheme="minorEastAsia"/>
                <w:noProof/>
                <w:color w:val="000000"/>
                <w:highlight w:val="black"/>
              </w:rPr>
              <w:lastRenderedPageBreak/>
              <w:t>'''''' '''''''''''' ''''''''''''''''' ''''''''''''</w:t>
            </w:r>
          </w:p>
        </w:tc>
        <w:tc>
          <w:tcPr>
            <w:tcW w:w="1571" w:type="dxa"/>
            <w:hideMark/>
          </w:tcPr>
          <w:p w:rsidR="00C81B46" w:rsidRPr="008846EB" w:rsidRDefault="008846EB" w:rsidP="00560650">
            <w:pPr>
              <w:pStyle w:val="Tablewriting"/>
              <w:rPr>
                <w:highlight w:val="black"/>
              </w:rPr>
            </w:pPr>
            <w:r>
              <w:rPr>
                <w:rFonts w:eastAsiaTheme="minorEastAsia"/>
                <w:noProof/>
                <w:color w:val="000000"/>
                <w:highlight w:val="black"/>
              </w:rPr>
              <w:t>''''' ''''''''''''''''''''''''''''''''' '''''''''''''''' '''''''''''''''''</w:t>
            </w:r>
          </w:p>
        </w:tc>
        <w:tc>
          <w:tcPr>
            <w:tcW w:w="1415" w:type="dxa"/>
            <w:hideMark/>
          </w:tcPr>
          <w:p w:rsidR="00C81B46" w:rsidRPr="00574107" w:rsidRDefault="00C81B46" w:rsidP="00560650">
            <w:pPr>
              <w:pStyle w:val="Tablewriting"/>
            </w:pPr>
            <w:r w:rsidRPr="00574107">
              <w:rPr>
                <w:rFonts w:eastAsiaTheme="minorEastAsia"/>
              </w:rPr>
              <w:t>Hartmann-Boyce (2018) (efficacy)</w:t>
            </w:r>
          </w:p>
          <w:p w:rsidR="00C81B46" w:rsidRPr="00574107" w:rsidRDefault="00C81B46" w:rsidP="00560650">
            <w:pPr>
              <w:pStyle w:val="Tablewriting"/>
            </w:pPr>
            <w:r w:rsidRPr="00574107">
              <w:rPr>
                <w:rFonts w:eastAsiaTheme="minorEastAsia"/>
              </w:rPr>
              <w:lastRenderedPageBreak/>
              <w:t> </w:t>
            </w:r>
          </w:p>
        </w:tc>
        <w:tc>
          <w:tcPr>
            <w:tcW w:w="1367" w:type="dxa"/>
            <w:hideMark/>
          </w:tcPr>
          <w:p w:rsidR="00C81B46" w:rsidRPr="00574107" w:rsidRDefault="00C81B46" w:rsidP="00560650">
            <w:pPr>
              <w:pStyle w:val="Tablewriting"/>
            </w:pPr>
            <w:r w:rsidRPr="00574107">
              <w:rPr>
                <w:rFonts w:eastAsiaTheme="minorEastAsia"/>
              </w:rPr>
              <w:lastRenderedPageBreak/>
              <w:t xml:space="preserve">51 trials (PBAC </w:t>
            </w:r>
            <w:r w:rsidRPr="00574107">
              <w:rPr>
                <w:rFonts w:eastAsiaTheme="minorEastAsia"/>
              </w:rPr>
              <w:lastRenderedPageBreak/>
              <w:t>evidence not included) </w:t>
            </w:r>
          </w:p>
        </w:tc>
        <w:tc>
          <w:tcPr>
            <w:tcW w:w="1271" w:type="dxa"/>
            <w:hideMark/>
          </w:tcPr>
          <w:p w:rsidR="00C81B46" w:rsidRPr="00574107" w:rsidRDefault="00C81B46" w:rsidP="00560650">
            <w:pPr>
              <w:pStyle w:val="Tablewriting"/>
            </w:pPr>
            <w:r w:rsidRPr="00574107">
              <w:rPr>
                <w:rFonts w:eastAsiaTheme="minorEastAsia"/>
              </w:rPr>
              <w:lastRenderedPageBreak/>
              <w:t>0</w:t>
            </w:r>
          </w:p>
        </w:tc>
      </w:tr>
      <w:tr w:rsidR="00C81B46" w:rsidRPr="00574107" w:rsidTr="00C324F3">
        <w:trPr>
          <w:trHeight w:val="841"/>
        </w:trPr>
        <w:tc>
          <w:tcPr>
            <w:tcW w:w="1538" w:type="dxa"/>
            <w:vMerge/>
            <w:hideMark/>
          </w:tcPr>
          <w:p w:rsidR="00C81B46" w:rsidRPr="00574107" w:rsidRDefault="00C81B46" w:rsidP="00560650">
            <w:pPr>
              <w:pStyle w:val="Tablewriting"/>
            </w:pPr>
          </w:p>
        </w:tc>
        <w:tc>
          <w:tcPr>
            <w:tcW w:w="1503" w:type="dxa"/>
            <w:hideMark/>
          </w:tcPr>
          <w:p w:rsidR="00C81B46" w:rsidRPr="00574107" w:rsidRDefault="00C81B46" w:rsidP="00560650">
            <w:pPr>
              <w:pStyle w:val="Tablewriting"/>
            </w:pPr>
            <w:r w:rsidRPr="00574107">
              <w:rPr>
                <w:rFonts w:eastAsiaTheme="minorEastAsia"/>
              </w:rPr>
              <w:t>Placebo</w:t>
            </w:r>
          </w:p>
        </w:tc>
        <w:tc>
          <w:tcPr>
            <w:tcW w:w="1959" w:type="dxa"/>
            <w:hideMark/>
          </w:tcPr>
          <w:p w:rsidR="00C81B46" w:rsidRPr="008846EB" w:rsidRDefault="008846EB" w:rsidP="00560650">
            <w:pPr>
              <w:pStyle w:val="Tablewriting"/>
              <w:rPr>
                <w:highlight w:val="black"/>
              </w:rPr>
            </w:pPr>
            <w:r>
              <w:rPr>
                <w:rFonts w:eastAsiaTheme="minorEastAsia"/>
                <w:noProof/>
                <w:color w:val="000000"/>
                <w:highlight w:val="black"/>
              </w:rPr>
              <w:t>'''''''''' ''''''''''''</w:t>
            </w:r>
          </w:p>
        </w:tc>
        <w:tc>
          <w:tcPr>
            <w:tcW w:w="1743" w:type="dxa"/>
            <w:hideMark/>
          </w:tcPr>
          <w:p w:rsidR="00C81B46" w:rsidRPr="008846EB" w:rsidRDefault="008846EB" w:rsidP="00560650">
            <w:pPr>
              <w:pStyle w:val="Tablewriting"/>
              <w:rPr>
                <w:highlight w:val="black"/>
              </w:rPr>
            </w:pPr>
            <w:r>
              <w:rPr>
                <w:rFonts w:eastAsiaTheme="minorEastAsia"/>
                <w:noProof/>
                <w:color w:val="000000"/>
                <w:highlight w:val="black"/>
              </w:rPr>
              <w:t>''''''''''''''''' ''''''''''''</w:t>
            </w:r>
          </w:p>
        </w:tc>
        <w:tc>
          <w:tcPr>
            <w:tcW w:w="1807" w:type="dxa"/>
            <w:hideMark/>
          </w:tcPr>
          <w:p w:rsidR="00C81B46" w:rsidRPr="008846EB" w:rsidRDefault="008846EB" w:rsidP="00560650">
            <w:pPr>
              <w:pStyle w:val="Tablewriting"/>
              <w:rPr>
                <w:highlight w:val="black"/>
              </w:rPr>
            </w:pPr>
            <w:r>
              <w:rPr>
                <w:rFonts w:eastAsiaTheme="minorEastAsia"/>
                <w:noProof/>
                <w:color w:val="000000"/>
                <w:highlight w:val="black"/>
              </w:rPr>
              <w:t>'''''' '''''''''''' '''''''''''''''' ''''''''''''</w:t>
            </w:r>
          </w:p>
        </w:tc>
        <w:tc>
          <w:tcPr>
            <w:tcW w:w="1571" w:type="dxa"/>
            <w:hideMark/>
          </w:tcPr>
          <w:p w:rsidR="00C81B46" w:rsidRPr="008846EB" w:rsidRDefault="008846EB" w:rsidP="00560650">
            <w:pPr>
              <w:pStyle w:val="Tablewriting"/>
              <w:rPr>
                <w:highlight w:val="black"/>
              </w:rPr>
            </w:pPr>
            <w:r>
              <w:rPr>
                <w:rFonts w:eastAsiaTheme="minorEastAsia"/>
                <w:noProof/>
                <w:color w:val="000000"/>
                <w:highlight w:val="black"/>
              </w:rPr>
              <w:t>''''' ''''''''''''''''''''''''''''''''' '''''''''''''' ''''''''''''''''''''</w:t>
            </w:r>
          </w:p>
        </w:tc>
        <w:tc>
          <w:tcPr>
            <w:tcW w:w="1415" w:type="dxa"/>
            <w:hideMark/>
          </w:tcPr>
          <w:p w:rsidR="00C81B46" w:rsidRPr="00574107" w:rsidRDefault="00C81B46" w:rsidP="00560650">
            <w:pPr>
              <w:pStyle w:val="Tablewriting"/>
            </w:pPr>
            <w:r w:rsidRPr="00574107">
              <w:rPr>
                <w:rFonts w:eastAsiaTheme="minorEastAsia"/>
              </w:rPr>
              <w:t>Hartmann-Boyce (2018) (efficacy)</w:t>
            </w:r>
          </w:p>
          <w:p w:rsidR="00C81B46" w:rsidRPr="00574107" w:rsidRDefault="00C81B46" w:rsidP="00560650">
            <w:pPr>
              <w:pStyle w:val="Tablewriting"/>
            </w:pPr>
            <w:r w:rsidRPr="00574107">
              <w:rPr>
                <w:rFonts w:eastAsiaTheme="minorEastAsia"/>
              </w:rPr>
              <w:t> </w:t>
            </w:r>
          </w:p>
        </w:tc>
        <w:tc>
          <w:tcPr>
            <w:tcW w:w="1367" w:type="dxa"/>
            <w:hideMark/>
          </w:tcPr>
          <w:p w:rsidR="00C81B46" w:rsidRPr="00574107" w:rsidRDefault="00C81B46" w:rsidP="00560650">
            <w:pPr>
              <w:pStyle w:val="Tablewriting"/>
            </w:pPr>
            <w:r w:rsidRPr="00574107">
              <w:rPr>
                <w:rFonts w:eastAsiaTheme="minorEastAsia"/>
              </w:rPr>
              <w:t>51 trials (PBAC evidence included) </w:t>
            </w:r>
          </w:p>
        </w:tc>
        <w:tc>
          <w:tcPr>
            <w:tcW w:w="1271" w:type="dxa"/>
            <w:hideMark/>
          </w:tcPr>
          <w:p w:rsidR="00C81B46" w:rsidRPr="00574107" w:rsidRDefault="00C81B46" w:rsidP="00560650">
            <w:pPr>
              <w:pStyle w:val="Tablewriting"/>
            </w:pPr>
            <w:r w:rsidRPr="00574107">
              <w:rPr>
                <w:rFonts w:eastAsiaTheme="minorEastAsia"/>
              </w:rPr>
              <w:t>0</w:t>
            </w:r>
          </w:p>
        </w:tc>
      </w:tr>
      <w:tr w:rsidR="00C81B46" w:rsidRPr="00574107" w:rsidTr="00C324F3">
        <w:trPr>
          <w:trHeight w:val="70"/>
        </w:trPr>
        <w:tc>
          <w:tcPr>
            <w:tcW w:w="1538" w:type="dxa"/>
            <w:vMerge w:val="restart"/>
            <w:hideMark/>
          </w:tcPr>
          <w:p w:rsidR="00C81B46" w:rsidRPr="00574107" w:rsidRDefault="00C81B46" w:rsidP="00560650">
            <w:pPr>
              <w:pStyle w:val="Tablewriting"/>
            </w:pPr>
            <w:r w:rsidRPr="00574107">
              <w:t>2010</w:t>
            </w:r>
          </w:p>
          <w:p w:rsidR="00C81B46" w:rsidRPr="00574107" w:rsidRDefault="00C81B46" w:rsidP="00560650">
            <w:pPr>
              <w:pStyle w:val="Tablewriting"/>
            </w:pPr>
            <w:r w:rsidRPr="00574107">
              <w:t>(General population)</w:t>
            </w:r>
          </w:p>
        </w:tc>
        <w:tc>
          <w:tcPr>
            <w:tcW w:w="1503" w:type="dxa"/>
            <w:hideMark/>
          </w:tcPr>
          <w:p w:rsidR="00C81B46" w:rsidRPr="00574107" w:rsidRDefault="00C81B46" w:rsidP="00560650">
            <w:pPr>
              <w:pStyle w:val="Tablewriting"/>
            </w:pPr>
            <w:r w:rsidRPr="00574107">
              <w:rPr>
                <w:rFonts w:eastAsiaTheme="minorEastAsia"/>
              </w:rPr>
              <w:t>Varenicline</w:t>
            </w:r>
          </w:p>
        </w:tc>
        <w:tc>
          <w:tcPr>
            <w:tcW w:w="1959" w:type="dxa"/>
            <w:hideMark/>
          </w:tcPr>
          <w:p w:rsidR="00C81B46" w:rsidRPr="00574107" w:rsidRDefault="00C81B46" w:rsidP="00560650">
            <w:pPr>
              <w:pStyle w:val="Tablewriting"/>
            </w:pPr>
            <w:r w:rsidRPr="00574107">
              <w:rPr>
                <w:rFonts w:eastAsiaTheme="minorEastAsia"/>
              </w:rPr>
              <w:t>Aubin (2008)</w:t>
            </w:r>
          </w:p>
        </w:tc>
        <w:tc>
          <w:tcPr>
            <w:tcW w:w="1743" w:type="dxa"/>
            <w:hideMark/>
          </w:tcPr>
          <w:p w:rsidR="00C81B46" w:rsidRPr="00574107" w:rsidRDefault="00C81B46" w:rsidP="00560650">
            <w:pPr>
              <w:pStyle w:val="Tablewriting"/>
            </w:pPr>
            <w:r w:rsidRPr="00574107">
              <w:rPr>
                <w:rFonts w:eastAsiaTheme="minorEastAsia"/>
              </w:rPr>
              <w:t>Direct comparison/ RCT</w:t>
            </w:r>
          </w:p>
        </w:tc>
        <w:tc>
          <w:tcPr>
            <w:tcW w:w="1807" w:type="dxa"/>
            <w:hideMark/>
          </w:tcPr>
          <w:p w:rsidR="00C81B46" w:rsidRPr="00574107" w:rsidRDefault="00C81B46" w:rsidP="00560650">
            <w:pPr>
              <w:pStyle w:val="Tablewriting"/>
            </w:pPr>
            <w:r w:rsidRPr="00574107">
              <w:rPr>
                <w:rFonts w:eastAsiaTheme="minorEastAsia"/>
              </w:rPr>
              <w:t>Uncertain (or inferior) efficacy, superior safety</w:t>
            </w:r>
          </w:p>
        </w:tc>
        <w:tc>
          <w:tcPr>
            <w:tcW w:w="1571" w:type="dxa"/>
            <w:hideMark/>
          </w:tcPr>
          <w:p w:rsidR="00C81B46" w:rsidRPr="00574107" w:rsidRDefault="00C81B46" w:rsidP="00560650">
            <w:pPr>
              <w:pStyle w:val="Tablewriting"/>
            </w:pPr>
            <w:r w:rsidRPr="00574107">
              <w:rPr>
                <w:rFonts w:eastAsiaTheme="minorEastAsia"/>
              </w:rPr>
              <w:t>Lower cost (cost analysis)</w:t>
            </w:r>
          </w:p>
        </w:tc>
        <w:tc>
          <w:tcPr>
            <w:tcW w:w="1415" w:type="dxa"/>
            <w:hideMark/>
          </w:tcPr>
          <w:p w:rsidR="00C81B46" w:rsidRPr="00574107" w:rsidRDefault="00C81B46" w:rsidP="00560650">
            <w:pPr>
              <w:pStyle w:val="Tablewriting"/>
            </w:pPr>
            <w:r w:rsidRPr="00574107">
              <w:rPr>
                <w:rFonts w:eastAsiaTheme="minorEastAsia"/>
              </w:rPr>
              <w:t>Cahill (2016) (efficacy)</w:t>
            </w:r>
          </w:p>
        </w:tc>
        <w:tc>
          <w:tcPr>
            <w:tcW w:w="1367" w:type="dxa"/>
            <w:hideMark/>
          </w:tcPr>
          <w:p w:rsidR="00C81B46" w:rsidRPr="00574107" w:rsidRDefault="00C81B46" w:rsidP="00560650">
            <w:pPr>
              <w:pStyle w:val="Tablewriting"/>
            </w:pPr>
            <w:r w:rsidRPr="00574107">
              <w:rPr>
                <w:rFonts w:eastAsiaTheme="minorEastAsia"/>
              </w:rPr>
              <w:t xml:space="preserve">8 trials </w:t>
            </w:r>
          </w:p>
          <w:p w:rsidR="00C81B46" w:rsidRPr="00574107" w:rsidRDefault="00C81B46" w:rsidP="00560650">
            <w:pPr>
              <w:pStyle w:val="Tablewriting"/>
            </w:pPr>
            <w:r w:rsidRPr="00574107">
              <w:rPr>
                <w:rFonts w:eastAsiaTheme="minorEastAsia"/>
              </w:rPr>
              <w:t>(PBAC evidence included) </w:t>
            </w:r>
          </w:p>
        </w:tc>
        <w:tc>
          <w:tcPr>
            <w:tcW w:w="1271" w:type="dxa"/>
            <w:hideMark/>
          </w:tcPr>
          <w:p w:rsidR="00C81B46" w:rsidRPr="00213443" w:rsidRDefault="00803FCE" w:rsidP="00560650">
            <w:pPr>
              <w:pStyle w:val="Tablewriting"/>
              <w:rPr>
                <w:rFonts w:eastAsiaTheme="minorEastAsia"/>
              </w:rPr>
            </w:pPr>
            <w:r w:rsidRPr="00213443">
              <w:rPr>
                <w:rFonts w:eastAsiaTheme="minorEastAsia"/>
              </w:rPr>
              <w:t>4</w:t>
            </w:r>
          </w:p>
        </w:tc>
      </w:tr>
      <w:tr w:rsidR="00C81B46" w:rsidRPr="00574107" w:rsidTr="00C324F3">
        <w:trPr>
          <w:trHeight w:val="70"/>
        </w:trPr>
        <w:tc>
          <w:tcPr>
            <w:tcW w:w="1538" w:type="dxa"/>
            <w:vMerge/>
            <w:hideMark/>
          </w:tcPr>
          <w:p w:rsidR="00C81B46" w:rsidRPr="00574107" w:rsidRDefault="00C81B46" w:rsidP="00560650">
            <w:pPr>
              <w:pStyle w:val="Tablewriting"/>
            </w:pPr>
          </w:p>
        </w:tc>
        <w:tc>
          <w:tcPr>
            <w:tcW w:w="1503" w:type="dxa"/>
            <w:hideMark/>
          </w:tcPr>
          <w:p w:rsidR="00C81B46" w:rsidRPr="00574107" w:rsidRDefault="00C81B46" w:rsidP="00560650">
            <w:pPr>
              <w:pStyle w:val="Tablewriting"/>
            </w:pPr>
            <w:r w:rsidRPr="00574107">
              <w:rPr>
                <w:rFonts w:eastAsiaTheme="minorEastAsia"/>
              </w:rPr>
              <w:t>Bupropion</w:t>
            </w:r>
          </w:p>
        </w:tc>
        <w:tc>
          <w:tcPr>
            <w:tcW w:w="1959" w:type="dxa"/>
            <w:hideMark/>
          </w:tcPr>
          <w:p w:rsidR="00C81B46" w:rsidRPr="00574107" w:rsidRDefault="00C81B46" w:rsidP="00560650">
            <w:pPr>
              <w:pStyle w:val="Tablewriting"/>
            </w:pPr>
            <w:r w:rsidRPr="00574107">
              <w:rPr>
                <w:rFonts w:eastAsiaTheme="minorEastAsia"/>
              </w:rPr>
              <w:t>Gore</w:t>
            </w:r>
            <w:r>
              <w:rPr>
                <w:rFonts w:eastAsiaTheme="minorEastAsia"/>
              </w:rPr>
              <w:t>c</w:t>
            </w:r>
            <w:r w:rsidRPr="00574107">
              <w:rPr>
                <w:rFonts w:eastAsiaTheme="minorEastAsia"/>
              </w:rPr>
              <w:t>ka (2003), Jorenby (1999), Uyar (2007)</w:t>
            </w:r>
            <w:r>
              <w:rPr>
                <w:rFonts w:eastAsiaTheme="minorEastAsia"/>
              </w:rPr>
              <w:t>, Piper (2009)</w:t>
            </w:r>
            <w:r w:rsidRPr="00574107">
              <w:rPr>
                <w:rFonts w:eastAsiaTheme="minorEastAsia"/>
              </w:rPr>
              <w:t xml:space="preserve"> </w:t>
            </w:r>
          </w:p>
        </w:tc>
        <w:tc>
          <w:tcPr>
            <w:tcW w:w="1743" w:type="dxa"/>
            <w:hideMark/>
          </w:tcPr>
          <w:p w:rsidR="00C81B46" w:rsidRPr="00574107" w:rsidRDefault="00C81B46" w:rsidP="00560650">
            <w:pPr>
              <w:pStyle w:val="Tablewriting"/>
            </w:pPr>
            <w:r w:rsidRPr="00574107">
              <w:rPr>
                <w:rFonts w:eastAsiaTheme="minorEastAsia"/>
              </w:rPr>
              <w:t>Direct comparison/ meta-analysis</w:t>
            </w:r>
          </w:p>
        </w:tc>
        <w:tc>
          <w:tcPr>
            <w:tcW w:w="1807" w:type="dxa"/>
            <w:hideMark/>
          </w:tcPr>
          <w:p w:rsidR="00C81B46" w:rsidRPr="00574107" w:rsidRDefault="00C81B46" w:rsidP="00560650">
            <w:pPr>
              <w:pStyle w:val="Tablewriting"/>
            </w:pPr>
            <w:r w:rsidRPr="00574107">
              <w:rPr>
                <w:rFonts w:eastAsiaTheme="minorEastAsia"/>
              </w:rPr>
              <w:t>Non-inferior efficacy, superior safety</w:t>
            </w:r>
          </w:p>
        </w:tc>
        <w:tc>
          <w:tcPr>
            <w:tcW w:w="1571" w:type="dxa"/>
            <w:hideMark/>
          </w:tcPr>
          <w:p w:rsidR="00C81B46" w:rsidRPr="00574107" w:rsidRDefault="00C81B46" w:rsidP="00560650">
            <w:pPr>
              <w:pStyle w:val="Tablewriting"/>
            </w:pPr>
            <w:r w:rsidRPr="00574107">
              <w:rPr>
                <w:rFonts w:eastAsiaTheme="minorEastAsia"/>
              </w:rPr>
              <w:t>Lower cost (cost analysis)</w:t>
            </w:r>
          </w:p>
        </w:tc>
        <w:tc>
          <w:tcPr>
            <w:tcW w:w="1415" w:type="dxa"/>
            <w:hideMark/>
          </w:tcPr>
          <w:p w:rsidR="00C81B46" w:rsidRPr="00574107" w:rsidRDefault="00C81B46" w:rsidP="00560650">
            <w:pPr>
              <w:pStyle w:val="Tablewriting"/>
            </w:pPr>
            <w:r w:rsidRPr="00574107">
              <w:t>Howes (2020)</w:t>
            </w:r>
          </w:p>
          <w:p w:rsidR="00C81B46" w:rsidRPr="00574107" w:rsidRDefault="00C81B46" w:rsidP="00560650">
            <w:pPr>
              <w:pStyle w:val="Tablewriting"/>
            </w:pPr>
            <w:r w:rsidRPr="00574107">
              <w:t xml:space="preserve">(efficacy and safety) </w:t>
            </w:r>
          </w:p>
        </w:tc>
        <w:tc>
          <w:tcPr>
            <w:tcW w:w="1367" w:type="dxa"/>
            <w:hideMark/>
          </w:tcPr>
          <w:p w:rsidR="00C81B46" w:rsidRPr="00574107" w:rsidRDefault="00C81B46" w:rsidP="00560650">
            <w:pPr>
              <w:pStyle w:val="Tablewriting"/>
            </w:pPr>
            <w:r w:rsidRPr="00574107">
              <w:rPr>
                <w:rFonts w:eastAsiaTheme="minorEastAsia"/>
              </w:rPr>
              <w:t xml:space="preserve">8 trials </w:t>
            </w:r>
          </w:p>
          <w:p w:rsidR="00C81B46" w:rsidRPr="00574107" w:rsidRDefault="00C81B46" w:rsidP="00560650">
            <w:pPr>
              <w:pStyle w:val="Tablewriting"/>
            </w:pPr>
            <w:r w:rsidRPr="00574107">
              <w:rPr>
                <w:rFonts w:eastAsiaTheme="minorEastAsia"/>
              </w:rPr>
              <w:t>(PBAC evidence included) </w:t>
            </w:r>
          </w:p>
        </w:tc>
        <w:tc>
          <w:tcPr>
            <w:tcW w:w="1271" w:type="dxa"/>
            <w:hideMark/>
          </w:tcPr>
          <w:p w:rsidR="00C81B46" w:rsidRPr="00574107" w:rsidRDefault="00C81B46" w:rsidP="00560650">
            <w:pPr>
              <w:pStyle w:val="Tablewriting"/>
            </w:pPr>
            <w:r w:rsidRPr="00574107">
              <w:rPr>
                <w:rFonts w:eastAsia="Calibri"/>
              </w:rPr>
              <w:t>0</w:t>
            </w:r>
          </w:p>
        </w:tc>
      </w:tr>
      <w:tr w:rsidR="00C81B46" w:rsidRPr="00574107" w:rsidTr="00C324F3">
        <w:trPr>
          <w:trHeight w:val="70"/>
        </w:trPr>
        <w:tc>
          <w:tcPr>
            <w:tcW w:w="1538" w:type="dxa"/>
            <w:vMerge/>
            <w:hideMark/>
          </w:tcPr>
          <w:p w:rsidR="00C81B46" w:rsidRPr="00574107" w:rsidRDefault="00C81B46" w:rsidP="00560650">
            <w:pPr>
              <w:pStyle w:val="Tablewriting"/>
            </w:pPr>
          </w:p>
        </w:tc>
        <w:tc>
          <w:tcPr>
            <w:tcW w:w="1503" w:type="dxa"/>
            <w:hideMark/>
          </w:tcPr>
          <w:p w:rsidR="00C81B46" w:rsidRPr="00574107" w:rsidRDefault="00C81B46" w:rsidP="00560650">
            <w:pPr>
              <w:pStyle w:val="Tablewriting"/>
            </w:pPr>
            <w:r w:rsidRPr="00574107">
              <w:rPr>
                <w:rFonts w:eastAsiaTheme="minorEastAsia"/>
              </w:rPr>
              <w:t>Placebo</w:t>
            </w:r>
          </w:p>
        </w:tc>
        <w:tc>
          <w:tcPr>
            <w:tcW w:w="1959" w:type="dxa"/>
            <w:hideMark/>
          </w:tcPr>
          <w:p w:rsidR="00C81B46" w:rsidRPr="00574107" w:rsidRDefault="00C81B46" w:rsidP="00560650">
            <w:pPr>
              <w:pStyle w:val="Tablewriting"/>
            </w:pPr>
            <w:r w:rsidRPr="00574107">
              <w:rPr>
                <w:rFonts w:eastAsiaTheme="minorEastAsia"/>
              </w:rPr>
              <w:t xml:space="preserve">Stead (2008) </w:t>
            </w:r>
          </w:p>
        </w:tc>
        <w:tc>
          <w:tcPr>
            <w:tcW w:w="1743" w:type="dxa"/>
            <w:hideMark/>
          </w:tcPr>
          <w:p w:rsidR="00C81B46" w:rsidRPr="00574107" w:rsidRDefault="00C81B46" w:rsidP="00560650">
            <w:pPr>
              <w:pStyle w:val="Tablewriting"/>
            </w:pPr>
            <w:r w:rsidRPr="00574107">
              <w:rPr>
                <w:rFonts w:eastAsiaTheme="minorEastAsia"/>
              </w:rPr>
              <w:t>Direct comparison/ meta-analysis</w:t>
            </w:r>
          </w:p>
        </w:tc>
        <w:tc>
          <w:tcPr>
            <w:tcW w:w="1807" w:type="dxa"/>
            <w:hideMark/>
          </w:tcPr>
          <w:p w:rsidR="00C81B46" w:rsidRPr="00574107" w:rsidRDefault="00C81B46" w:rsidP="00560650">
            <w:pPr>
              <w:pStyle w:val="Tablewriting"/>
            </w:pPr>
            <w:r w:rsidRPr="00574107">
              <w:rPr>
                <w:rFonts w:eastAsiaTheme="minorEastAsia"/>
              </w:rPr>
              <w:t xml:space="preserve">Supportive, </w:t>
            </w:r>
          </w:p>
          <w:p w:rsidR="00C81B46" w:rsidRPr="00574107" w:rsidRDefault="00C81B46" w:rsidP="00560650">
            <w:pPr>
              <w:pStyle w:val="Tablewriting"/>
            </w:pPr>
            <w:r w:rsidRPr="00574107">
              <w:rPr>
                <w:rFonts w:eastAsiaTheme="minorEastAsia"/>
              </w:rPr>
              <w:t>Superior efficacy,</w:t>
            </w:r>
          </w:p>
          <w:p w:rsidR="00C81B46" w:rsidRPr="00574107" w:rsidRDefault="00C81B46" w:rsidP="00560650">
            <w:pPr>
              <w:pStyle w:val="Tablewriting"/>
            </w:pPr>
            <w:r w:rsidRPr="00574107">
              <w:rPr>
                <w:rFonts w:eastAsiaTheme="minorEastAsia"/>
              </w:rPr>
              <w:t>Inferior safety</w:t>
            </w:r>
          </w:p>
        </w:tc>
        <w:tc>
          <w:tcPr>
            <w:tcW w:w="1571" w:type="dxa"/>
            <w:hideMark/>
          </w:tcPr>
          <w:p w:rsidR="00C81B46" w:rsidRPr="00574107" w:rsidRDefault="00C81B46" w:rsidP="00560650">
            <w:pPr>
              <w:pStyle w:val="Tablewriting"/>
            </w:pPr>
            <w:r w:rsidRPr="00574107">
              <w:rPr>
                <w:rFonts w:eastAsiaTheme="minorEastAsia"/>
              </w:rPr>
              <w:t>N/A</w:t>
            </w:r>
          </w:p>
        </w:tc>
        <w:tc>
          <w:tcPr>
            <w:tcW w:w="1415" w:type="dxa"/>
            <w:hideMark/>
          </w:tcPr>
          <w:p w:rsidR="00C81B46" w:rsidRPr="00574107" w:rsidRDefault="00C81B46" w:rsidP="00560650">
            <w:pPr>
              <w:pStyle w:val="Tablewriting"/>
            </w:pPr>
            <w:r w:rsidRPr="00574107">
              <w:t>Hartmann-Boyce (2018) (efficacy and safety)</w:t>
            </w:r>
          </w:p>
        </w:tc>
        <w:tc>
          <w:tcPr>
            <w:tcW w:w="1367" w:type="dxa"/>
            <w:hideMark/>
          </w:tcPr>
          <w:p w:rsidR="00C81B46" w:rsidRPr="00574107" w:rsidRDefault="00C81B46" w:rsidP="00560650">
            <w:pPr>
              <w:pStyle w:val="Tablewriting"/>
            </w:pPr>
            <w:r w:rsidRPr="00574107">
              <w:t xml:space="preserve">51 trials </w:t>
            </w:r>
          </w:p>
          <w:p w:rsidR="00C81B46" w:rsidRPr="00574107" w:rsidRDefault="00C81B46" w:rsidP="00560650">
            <w:pPr>
              <w:pStyle w:val="Tablewriting"/>
            </w:pPr>
            <w:r w:rsidRPr="00574107">
              <w:rPr>
                <w:rFonts w:eastAsiaTheme="minorEastAsia"/>
              </w:rPr>
              <w:t>(PBAC evidence included) </w:t>
            </w:r>
            <w:r w:rsidRPr="00574107">
              <w:t xml:space="preserve"> </w:t>
            </w:r>
          </w:p>
        </w:tc>
        <w:tc>
          <w:tcPr>
            <w:tcW w:w="1271" w:type="dxa"/>
            <w:hideMark/>
          </w:tcPr>
          <w:p w:rsidR="00C81B46" w:rsidRPr="00574107" w:rsidRDefault="0050195B" w:rsidP="00560650">
            <w:pPr>
              <w:pStyle w:val="Tablewriting"/>
            </w:pPr>
            <w:r w:rsidRPr="00213443">
              <w:rPr>
                <w:rFonts w:eastAsia="Calibri"/>
              </w:rPr>
              <w:t>3</w:t>
            </w:r>
          </w:p>
        </w:tc>
      </w:tr>
      <w:tr w:rsidR="00C81B46" w:rsidRPr="00574107" w:rsidTr="00C324F3">
        <w:trPr>
          <w:trHeight w:val="205"/>
        </w:trPr>
        <w:tc>
          <w:tcPr>
            <w:tcW w:w="1538" w:type="dxa"/>
            <w:hideMark/>
          </w:tcPr>
          <w:p w:rsidR="00C81B46" w:rsidRPr="00574107" w:rsidRDefault="00C81B46" w:rsidP="00560650">
            <w:pPr>
              <w:pStyle w:val="Tablewriting"/>
            </w:pPr>
            <w:r w:rsidRPr="00574107">
              <w:t>2011</w:t>
            </w:r>
          </w:p>
          <w:p w:rsidR="00C81B46" w:rsidRPr="00574107" w:rsidRDefault="00C81B46" w:rsidP="00560650">
            <w:pPr>
              <w:pStyle w:val="Tablewriting"/>
            </w:pPr>
            <w:r w:rsidRPr="00574107">
              <w:t>(Higher strength)</w:t>
            </w:r>
          </w:p>
        </w:tc>
        <w:tc>
          <w:tcPr>
            <w:tcW w:w="1503" w:type="dxa"/>
            <w:hideMark/>
          </w:tcPr>
          <w:p w:rsidR="00C81B46" w:rsidRPr="00574107" w:rsidRDefault="00C81B46" w:rsidP="00560650">
            <w:pPr>
              <w:pStyle w:val="Tablewriting"/>
            </w:pPr>
            <w:r w:rsidRPr="00574107">
              <w:t>Placebo</w:t>
            </w:r>
          </w:p>
        </w:tc>
        <w:tc>
          <w:tcPr>
            <w:tcW w:w="1959" w:type="dxa"/>
            <w:hideMark/>
          </w:tcPr>
          <w:p w:rsidR="00C81B46" w:rsidRPr="008846EB" w:rsidRDefault="008846EB" w:rsidP="00560650">
            <w:pPr>
              <w:pStyle w:val="Tablewriting"/>
              <w:rPr>
                <w:highlight w:val="black"/>
              </w:rPr>
            </w:pPr>
            <w:r>
              <w:rPr>
                <w:noProof/>
                <w:color w:val="000000"/>
                <w:highlight w:val="black"/>
              </w:rPr>
              <w:t>''''''''''''''''''' '''''''''''</w:t>
            </w:r>
          </w:p>
        </w:tc>
        <w:tc>
          <w:tcPr>
            <w:tcW w:w="1743" w:type="dxa"/>
            <w:hideMark/>
          </w:tcPr>
          <w:p w:rsidR="00C81B46" w:rsidRPr="008846EB" w:rsidRDefault="008846EB" w:rsidP="00560650">
            <w:pPr>
              <w:pStyle w:val="Tablewriting"/>
              <w:rPr>
                <w:highlight w:val="black"/>
              </w:rPr>
            </w:pPr>
            <w:r>
              <w:rPr>
                <w:noProof/>
                <w:color w:val="000000"/>
                <w:highlight w:val="black"/>
              </w:rPr>
              <w:t>'''''''''' '''''''''''''''''''''''''</w:t>
            </w:r>
          </w:p>
          <w:p w:rsidR="00C81B46" w:rsidRPr="008846EB" w:rsidRDefault="008846EB" w:rsidP="00560650">
            <w:pPr>
              <w:pStyle w:val="Tablewriting"/>
              <w:rPr>
                <w:highlight w:val="black"/>
              </w:rPr>
            </w:pPr>
            <w:r>
              <w:rPr>
                <w:noProof/>
                <w:color w:val="000000"/>
                <w:highlight w:val="black"/>
              </w:rPr>
              <w:t>''''''''</w:t>
            </w:r>
          </w:p>
        </w:tc>
        <w:tc>
          <w:tcPr>
            <w:tcW w:w="1807" w:type="dxa"/>
            <w:hideMark/>
          </w:tcPr>
          <w:p w:rsidR="00C81B46" w:rsidRPr="008846EB" w:rsidRDefault="008846EB" w:rsidP="00560650">
            <w:pPr>
              <w:pStyle w:val="Tablewriting"/>
              <w:rPr>
                <w:highlight w:val="black"/>
              </w:rPr>
            </w:pPr>
            <w:r>
              <w:rPr>
                <w:noProof/>
                <w:color w:val="000000"/>
                <w:highlight w:val="black"/>
              </w:rPr>
              <w:t>'''''' '''''''''''</w:t>
            </w:r>
          </w:p>
        </w:tc>
        <w:tc>
          <w:tcPr>
            <w:tcW w:w="1571" w:type="dxa"/>
            <w:hideMark/>
          </w:tcPr>
          <w:p w:rsidR="00C81B46" w:rsidRPr="008846EB" w:rsidRDefault="008846EB" w:rsidP="00560650">
            <w:pPr>
              <w:pStyle w:val="Tablewriting"/>
              <w:rPr>
                <w:highlight w:val="black"/>
              </w:rPr>
            </w:pPr>
            <w:r>
              <w:rPr>
                <w:noProof/>
                <w:color w:val="000000"/>
                <w:highlight w:val="black"/>
              </w:rPr>
              <w:t>''''''''</w:t>
            </w:r>
          </w:p>
        </w:tc>
        <w:tc>
          <w:tcPr>
            <w:tcW w:w="1415" w:type="dxa"/>
            <w:hideMark/>
          </w:tcPr>
          <w:p w:rsidR="00C81B46" w:rsidRPr="00574107" w:rsidRDefault="00C81B46" w:rsidP="00560650">
            <w:pPr>
              <w:pStyle w:val="Tablewriting"/>
            </w:pPr>
            <w:r w:rsidRPr="00574107">
              <w:t>Hartmann-Boyce (2018) (efficacy and safety)</w:t>
            </w:r>
          </w:p>
        </w:tc>
        <w:tc>
          <w:tcPr>
            <w:tcW w:w="1367" w:type="dxa"/>
            <w:hideMark/>
          </w:tcPr>
          <w:p w:rsidR="00C81B46" w:rsidRPr="00574107" w:rsidRDefault="00C81B46" w:rsidP="00560650">
            <w:pPr>
              <w:pStyle w:val="Tablewriting"/>
            </w:pPr>
            <w:r w:rsidRPr="00574107">
              <w:t>51 trials (PBAC evidence included) </w:t>
            </w:r>
          </w:p>
        </w:tc>
        <w:tc>
          <w:tcPr>
            <w:tcW w:w="1271" w:type="dxa"/>
            <w:hideMark/>
          </w:tcPr>
          <w:p w:rsidR="00C81B46" w:rsidRPr="00574107" w:rsidRDefault="00C81B46" w:rsidP="00560650">
            <w:pPr>
              <w:pStyle w:val="Tablewriting"/>
            </w:pPr>
            <w:r w:rsidRPr="00574107">
              <w:t>0</w:t>
            </w:r>
          </w:p>
        </w:tc>
      </w:tr>
      <w:tr w:rsidR="00C81B46" w:rsidRPr="00B11797" w:rsidTr="00560650">
        <w:trPr>
          <w:trHeight w:val="164"/>
        </w:trPr>
        <w:tc>
          <w:tcPr>
            <w:tcW w:w="14174" w:type="dxa"/>
            <w:gridSpan w:val="9"/>
            <w:shd w:val="clear" w:color="auto" w:fill="D9D9D9" w:themeFill="background1" w:themeFillShade="D9"/>
          </w:tcPr>
          <w:p w:rsidR="00C81B46" w:rsidRPr="00574107" w:rsidRDefault="00C81B46" w:rsidP="00560650">
            <w:pPr>
              <w:pStyle w:val="Tablewriting"/>
              <w:rPr>
                <w:b/>
                <w:bCs/>
              </w:rPr>
            </w:pPr>
            <w:r w:rsidRPr="00574107">
              <w:rPr>
                <w:b/>
                <w:bCs/>
              </w:rPr>
              <w:t>NRT lozenge</w:t>
            </w:r>
          </w:p>
        </w:tc>
      </w:tr>
      <w:tr w:rsidR="00C81B46" w:rsidRPr="00574107" w:rsidTr="00560650">
        <w:trPr>
          <w:trHeight w:val="547"/>
        </w:trPr>
        <w:tc>
          <w:tcPr>
            <w:tcW w:w="1538" w:type="dxa"/>
            <w:hideMark/>
          </w:tcPr>
          <w:p w:rsidR="00C81B46" w:rsidRPr="00574107" w:rsidRDefault="00C81B46" w:rsidP="00560650">
            <w:pPr>
              <w:pStyle w:val="Tablewriting"/>
            </w:pPr>
            <w:r w:rsidRPr="00574107">
              <w:t>201</w:t>
            </w:r>
            <w:r w:rsidR="005A5D92">
              <w:t xml:space="preserve">8 </w:t>
            </w:r>
          </w:p>
          <w:p w:rsidR="00C81B46" w:rsidRPr="00574107" w:rsidRDefault="00C81B46" w:rsidP="00560650">
            <w:pPr>
              <w:pStyle w:val="Tablewriting"/>
            </w:pPr>
            <w:r w:rsidRPr="00574107">
              <w:t>(New listing)</w:t>
            </w:r>
          </w:p>
        </w:tc>
        <w:tc>
          <w:tcPr>
            <w:tcW w:w="1503" w:type="dxa"/>
            <w:hideMark/>
          </w:tcPr>
          <w:p w:rsidR="00C81B46" w:rsidRPr="00574107" w:rsidRDefault="00C81B46" w:rsidP="00560650">
            <w:pPr>
              <w:pStyle w:val="Tablewriting"/>
            </w:pPr>
            <w:r w:rsidRPr="00574107">
              <w:t>NRT patches</w:t>
            </w:r>
          </w:p>
        </w:tc>
        <w:tc>
          <w:tcPr>
            <w:tcW w:w="1959" w:type="dxa"/>
            <w:hideMark/>
          </w:tcPr>
          <w:p w:rsidR="00C81B46" w:rsidRPr="00574107" w:rsidRDefault="00C81B46" w:rsidP="00560650">
            <w:pPr>
              <w:pStyle w:val="Tablewriting"/>
            </w:pPr>
            <w:r w:rsidRPr="00574107">
              <w:t>Schnoll (2010), Piper (2009), Smith (2009)</w:t>
            </w:r>
          </w:p>
        </w:tc>
        <w:tc>
          <w:tcPr>
            <w:tcW w:w="1743" w:type="dxa"/>
            <w:hideMark/>
          </w:tcPr>
          <w:p w:rsidR="00C81B46" w:rsidRPr="00574107" w:rsidRDefault="00C81B46" w:rsidP="00560650">
            <w:pPr>
              <w:pStyle w:val="Tablewriting"/>
            </w:pPr>
            <w:r w:rsidRPr="00574107">
              <w:t>Direct comparison/Meta-analysis</w:t>
            </w:r>
          </w:p>
        </w:tc>
        <w:tc>
          <w:tcPr>
            <w:tcW w:w="1807" w:type="dxa"/>
            <w:hideMark/>
          </w:tcPr>
          <w:p w:rsidR="00C81B46" w:rsidRPr="00574107" w:rsidRDefault="00C81B46" w:rsidP="00560650">
            <w:pPr>
              <w:pStyle w:val="Tablewriting"/>
            </w:pPr>
            <w:r w:rsidRPr="00574107">
              <w:t xml:space="preserve">Non inferior efficacy, </w:t>
            </w:r>
            <w:r w:rsidR="00114FF2" w:rsidRPr="00574107">
              <w:t>non-inferior</w:t>
            </w:r>
            <w:r w:rsidRPr="00574107">
              <w:t xml:space="preserve"> safety</w:t>
            </w:r>
          </w:p>
        </w:tc>
        <w:tc>
          <w:tcPr>
            <w:tcW w:w="1571" w:type="dxa"/>
            <w:hideMark/>
          </w:tcPr>
          <w:p w:rsidR="00C81B46" w:rsidRPr="00574107" w:rsidRDefault="00C81B46" w:rsidP="00560650">
            <w:pPr>
              <w:pStyle w:val="Tablewriting"/>
            </w:pPr>
            <w:r w:rsidRPr="00574107">
              <w:t>Acceptable cost-minimisation analysis</w:t>
            </w:r>
          </w:p>
        </w:tc>
        <w:tc>
          <w:tcPr>
            <w:tcW w:w="1415" w:type="dxa"/>
            <w:hideMark/>
          </w:tcPr>
          <w:p w:rsidR="00C81B46" w:rsidRPr="00574107" w:rsidRDefault="00C81B46" w:rsidP="00560650">
            <w:pPr>
              <w:pStyle w:val="Tablewriting"/>
            </w:pPr>
            <w:r w:rsidRPr="00574107">
              <w:t>Lindson (2019)(a) (efficacy and safety)</w:t>
            </w:r>
          </w:p>
        </w:tc>
        <w:tc>
          <w:tcPr>
            <w:tcW w:w="1367" w:type="dxa"/>
            <w:hideMark/>
          </w:tcPr>
          <w:p w:rsidR="00C81B46" w:rsidRPr="00574107" w:rsidRDefault="00C81B46" w:rsidP="00560650">
            <w:pPr>
              <w:pStyle w:val="Tablewriting"/>
            </w:pPr>
            <w:r w:rsidRPr="00574107">
              <w:t xml:space="preserve">3 trials </w:t>
            </w:r>
          </w:p>
          <w:p w:rsidR="00C81B46" w:rsidRPr="00574107" w:rsidRDefault="00C81B46" w:rsidP="00560650">
            <w:pPr>
              <w:pStyle w:val="Tablewriting"/>
            </w:pPr>
            <w:r w:rsidRPr="00574107">
              <w:rPr>
                <w:rFonts w:eastAsiaTheme="minorEastAsia"/>
              </w:rPr>
              <w:t>(PBAC evidence included)</w:t>
            </w:r>
          </w:p>
        </w:tc>
        <w:tc>
          <w:tcPr>
            <w:tcW w:w="1271" w:type="dxa"/>
            <w:hideMark/>
          </w:tcPr>
          <w:p w:rsidR="00C81B46" w:rsidRPr="00574107" w:rsidRDefault="00C81B46" w:rsidP="00560650">
            <w:pPr>
              <w:pStyle w:val="Tablewriting"/>
            </w:pPr>
            <w:r w:rsidRPr="00574107">
              <w:t>0</w:t>
            </w:r>
          </w:p>
        </w:tc>
      </w:tr>
      <w:tr w:rsidR="00C81B46" w:rsidRPr="00B11797" w:rsidTr="00560650">
        <w:trPr>
          <w:trHeight w:val="164"/>
        </w:trPr>
        <w:tc>
          <w:tcPr>
            <w:tcW w:w="14174" w:type="dxa"/>
            <w:gridSpan w:val="9"/>
            <w:shd w:val="clear" w:color="auto" w:fill="D9D9D9" w:themeFill="background1" w:themeFillShade="D9"/>
          </w:tcPr>
          <w:p w:rsidR="00C81B46" w:rsidRPr="00574107" w:rsidRDefault="00C81B46" w:rsidP="00560650">
            <w:pPr>
              <w:pStyle w:val="Tablewriting"/>
              <w:rPr>
                <w:b/>
                <w:bCs/>
              </w:rPr>
            </w:pPr>
            <w:r w:rsidRPr="00574107">
              <w:rPr>
                <w:b/>
                <w:bCs/>
              </w:rPr>
              <w:t>NRT gum</w:t>
            </w:r>
          </w:p>
        </w:tc>
      </w:tr>
      <w:tr w:rsidR="00C81B46" w:rsidRPr="00574107" w:rsidTr="00560650">
        <w:trPr>
          <w:trHeight w:val="416"/>
        </w:trPr>
        <w:tc>
          <w:tcPr>
            <w:tcW w:w="1538" w:type="dxa"/>
            <w:vMerge w:val="restart"/>
            <w:hideMark/>
          </w:tcPr>
          <w:p w:rsidR="00C81B46" w:rsidRPr="00574107" w:rsidRDefault="00C81B46" w:rsidP="00560650">
            <w:pPr>
              <w:pStyle w:val="Tablewriting"/>
            </w:pPr>
            <w:r w:rsidRPr="00574107">
              <w:t>201</w:t>
            </w:r>
            <w:r w:rsidR="005A5D92">
              <w:t xml:space="preserve">8 </w:t>
            </w:r>
          </w:p>
          <w:p w:rsidR="00C81B46" w:rsidRPr="00574107" w:rsidRDefault="00C81B46" w:rsidP="00560650">
            <w:pPr>
              <w:pStyle w:val="Tablewriting"/>
            </w:pPr>
            <w:r w:rsidRPr="00574107">
              <w:t>(New listing)</w:t>
            </w:r>
          </w:p>
        </w:tc>
        <w:tc>
          <w:tcPr>
            <w:tcW w:w="1503" w:type="dxa"/>
            <w:hideMark/>
          </w:tcPr>
          <w:p w:rsidR="00C81B46" w:rsidRPr="00574107" w:rsidRDefault="00C81B46" w:rsidP="00560650">
            <w:pPr>
              <w:pStyle w:val="Tablewriting"/>
            </w:pPr>
            <w:r w:rsidRPr="00574107">
              <w:t xml:space="preserve">NRT Patch </w:t>
            </w:r>
          </w:p>
          <w:p w:rsidR="00C81B46" w:rsidRPr="00574107" w:rsidRDefault="00C81B46" w:rsidP="00560650">
            <w:pPr>
              <w:pStyle w:val="Tablewriting"/>
            </w:pPr>
            <w:r w:rsidRPr="00574107">
              <w:t>(Placebo as common comparator)</w:t>
            </w:r>
          </w:p>
          <w:p w:rsidR="00C81B46" w:rsidRPr="00574107" w:rsidRDefault="00C81B46" w:rsidP="00560650">
            <w:pPr>
              <w:pStyle w:val="Tablewriting"/>
            </w:pPr>
            <w:r w:rsidRPr="00574107">
              <w:t> </w:t>
            </w:r>
          </w:p>
        </w:tc>
        <w:tc>
          <w:tcPr>
            <w:tcW w:w="1959" w:type="dxa"/>
            <w:hideMark/>
          </w:tcPr>
          <w:p w:rsidR="00C81B46" w:rsidRPr="00574107" w:rsidRDefault="00C81B46" w:rsidP="00560650">
            <w:pPr>
              <w:pStyle w:val="Tablewriting"/>
            </w:pPr>
            <w:r w:rsidRPr="00574107">
              <w:t>Stead (2012), Moolchan, (2005)</w:t>
            </w:r>
          </w:p>
        </w:tc>
        <w:tc>
          <w:tcPr>
            <w:tcW w:w="1743" w:type="dxa"/>
            <w:hideMark/>
          </w:tcPr>
          <w:p w:rsidR="00C81B46" w:rsidRPr="00574107" w:rsidRDefault="00C81B46" w:rsidP="00560650">
            <w:pPr>
              <w:pStyle w:val="Tablewriting"/>
            </w:pPr>
            <w:r w:rsidRPr="00574107">
              <w:t>Indirect comparison/ Meta-analysis</w:t>
            </w:r>
          </w:p>
        </w:tc>
        <w:tc>
          <w:tcPr>
            <w:tcW w:w="1807" w:type="dxa"/>
            <w:hideMark/>
          </w:tcPr>
          <w:p w:rsidR="00C81B46" w:rsidRPr="00574107" w:rsidRDefault="00C81B46" w:rsidP="00560650">
            <w:pPr>
              <w:pStyle w:val="Tablewriting"/>
            </w:pPr>
            <w:r w:rsidRPr="00574107">
              <w:t xml:space="preserve">Non inferior efficacy, </w:t>
            </w:r>
            <w:r w:rsidR="00114FF2" w:rsidRPr="00574107">
              <w:t>non-inferior</w:t>
            </w:r>
            <w:r w:rsidRPr="00574107">
              <w:t xml:space="preserve"> safety</w:t>
            </w:r>
          </w:p>
        </w:tc>
        <w:tc>
          <w:tcPr>
            <w:tcW w:w="1571" w:type="dxa"/>
            <w:hideMark/>
          </w:tcPr>
          <w:p w:rsidR="00C81B46" w:rsidRPr="00574107" w:rsidRDefault="00C81B46" w:rsidP="00560650">
            <w:pPr>
              <w:pStyle w:val="Tablewriting"/>
            </w:pPr>
            <w:r w:rsidRPr="00574107">
              <w:t>Acceptable cost-minimisation analysis</w:t>
            </w:r>
          </w:p>
        </w:tc>
        <w:tc>
          <w:tcPr>
            <w:tcW w:w="1415" w:type="dxa"/>
            <w:hideMark/>
          </w:tcPr>
          <w:p w:rsidR="00C81B46" w:rsidRPr="00574107" w:rsidRDefault="00C81B46" w:rsidP="00560650">
            <w:pPr>
              <w:pStyle w:val="Tablewriting"/>
            </w:pPr>
            <w:r w:rsidRPr="00574107">
              <w:t xml:space="preserve">Lindson (2019)(a) (efficacy and safety) </w:t>
            </w:r>
          </w:p>
          <w:p w:rsidR="00C81B46" w:rsidRPr="00574107" w:rsidRDefault="00C81B46" w:rsidP="00560650">
            <w:pPr>
              <w:pStyle w:val="Tablewriting"/>
            </w:pPr>
            <w:r w:rsidRPr="00574107">
              <w:t> </w:t>
            </w:r>
          </w:p>
          <w:p w:rsidR="00C81B46" w:rsidRPr="00574107" w:rsidRDefault="00C81B46" w:rsidP="00560650">
            <w:pPr>
              <w:pStyle w:val="Tablewriting"/>
            </w:pPr>
            <w:r w:rsidRPr="00574107">
              <w:t> </w:t>
            </w:r>
          </w:p>
        </w:tc>
        <w:tc>
          <w:tcPr>
            <w:tcW w:w="1367" w:type="dxa"/>
            <w:hideMark/>
          </w:tcPr>
          <w:p w:rsidR="00C81B46" w:rsidRPr="00574107" w:rsidRDefault="00C81B46" w:rsidP="00560650">
            <w:pPr>
              <w:pStyle w:val="Tablewriting"/>
            </w:pPr>
            <w:r w:rsidRPr="00574107">
              <w:t>2 trials</w:t>
            </w:r>
          </w:p>
          <w:p w:rsidR="00C81B46" w:rsidRPr="00574107" w:rsidRDefault="00C81B46" w:rsidP="00560650">
            <w:pPr>
              <w:pStyle w:val="Tablewriting"/>
            </w:pPr>
            <w:r w:rsidRPr="00574107">
              <w:t>(</w:t>
            </w:r>
            <w:r w:rsidRPr="00574107">
              <w:rPr>
                <w:rFonts w:eastAsiaTheme="minorEastAsia"/>
              </w:rPr>
              <w:t>PBAC evidence included)</w:t>
            </w:r>
          </w:p>
        </w:tc>
        <w:tc>
          <w:tcPr>
            <w:tcW w:w="1271" w:type="dxa"/>
            <w:hideMark/>
          </w:tcPr>
          <w:p w:rsidR="00C81B46" w:rsidRPr="00574107" w:rsidRDefault="00C81B46" w:rsidP="00560650">
            <w:pPr>
              <w:pStyle w:val="Tablewriting"/>
            </w:pPr>
            <w:r w:rsidRPr="00574107">
              <w:t>0</w:t>
            </w:r>
          </w:p>
        </w:tc>
      </w:tr>
      <w:tr w:rsidR="00C81B46" w:rsidRPr="00574107" w:rsidTr="00C324F3">
        <w:trPr>
          <w:trHeight w:val="70"/>
        </w:trPr>
        <w:tc>
          <w:tcPr>
            <w:tcW w:w="1538" w:type="dxa"/>
            <w:vMerge/>
            <w:hideMark/>
          </w:tcPr>
          <w:p w:rsidR="00C81B46" w:rsidRPr="00574107" w:rsidRDefault="00C81B46" w:rsidP="00560650">
            <w:pPr>
              <w:pStyle w:val="Tablewriting"/>
            </w:pPr>
          </w:p>
        </w:tc>
        <w:tc>
          <w:tcPr>
            <w:tcW w:w="1503" w:type="dxa"/>
            <w:hideMark/>
          </w:tcPr>
          <w:p w:rsidR="00C81B46" w:rsidRPr="00574107" w:rsidRDefault="00C81B46" w:rsidP="00560650">
            <w:pPr>
              <w:pStyle w:val="Tablewriting"/>
            </w:pPr>
            <w:r w:rsidRPr="00574107">
              <w:t>NRT Patch</w:t>
            </w:r>
          </w:p>
          <w:p w:rsidR="00C81B46" w:rsidRPr="008846EB" w:rsidRDefault="008846EB" w:rsidP="00560650">
            <w:pPr>
              <w:pStyle w:val="Tablewriting"/>
              <w:rPr>
                <w:highlight w:val="black"/>
              </w:rPr>
            </w:pPr>
            <w:r>
              <w:rPr>
                <w:noProof/>
                <w:color w:val="000000"/>
                <w:highlight w:val="black"/>
              </w:rPr>
              <w:t>''''''''' ''''''''''''''''' '''' ''''''''''''''' ''''''''''''''''''''''</w:t>
            </w:r>
          </w:p>
        </w:tc>
        <w:tc>
          <w:tcPr>
            <w:tcW w:w="1959" w:type="dxa"/>
            <w:hideMark/>
          </w:tcPr>
          <w:p w:rsidR="00C81B46" w:rsidRPr="00574107" w:rsidRDefault="008846EB" w:rsidP="00560650">
            <w:pPr>
              <w:pStyle w:val="Tablewriting"/>
            </w:pPr>
            <w:r>
              <w:rPr>
                <w:noProof/>
                <w:color w:val="000000"/>
                <w:highlight w:val="black"/>
              </w:rPr>
              <w:t>''''''''' '''''''''''' '''''''</w:t>
            </w:r>
            <w:r w:rsidR="00C81B46" w:rsidRPr="00574107">
              <w:t xml:space="preserve"> Piper (2009)</w:t>
            </w:r>
          </w:p>
        </w:tc>
        <w:tc>
          <w:tcPr>
            <w:tcW w:w="1743" w:type="dxa"/>
            <w:hideMark/>
          </w:tcPr>
          <w:p w:rsidR="00C81B46" w:rsidRPr="00574107" w:rsidRDefault="008846EB" w:rsidP="00560650">
            <w:pPr>
              <w:pStyle w:val="Tablewriting"/>
            </w:pPr>
            <w:r>
              <w:rPr>
                <w:noProof/>
                <w:color w:val="000000"/>
                <w:highlight w:val="black"/>
              </w:rPr>
              <w:t>'''''''''''''''' '''''''''''''''''''''''''</w:t>
            </w:r>
            <w:r w:rsidR="00C81B46" w:rsidRPr="00574107">
              <w:t xml:space="preserve"> RCT </w:t>
            </w:r>
            <w:r>
              <w:rPr>
                <w:noProof/>
                <w:color w:val="000000"/>
                <w:highlight w:val="black"/>
              </w:rPr>
              <w:t>''''''''''''''' ''''''''''''''''''''</w:t>
            </w:r>
          </w:p>
        </w:tc>
        <w:tc>
          <w:tcPr>
            <w:tcW w:w="1807" w:type="dxa"/>
            <w:hideMark/>
          </w:tcPr>
          <w:p w:rsidR="00C81B46" w:rsidRPr="008846EB" w:rsidRDefault="008846EB" w:rsidP="00560650">
            <w:pPr>
              <w:pStyle w:val="Tablewriting"/>
              <w:rPr>
                <w:highlight w:val="black"/>
              </w:rPr>
            </w:pPr>
            <w:r>
              <w:rPr>
                <w:noProof/>
                <w:color w:val="000000"/>
                <w:highlight w:val="black"/>
              </w:rPr>
              <w:t>''''''''''''''''''''' ''''''''''' ''''''''''''''''''''</w:t>
            </w:r>
          </w:p>
        </w:tc>
        <w:tc>
          <w:tcPr>
            <w:tcW w:w="1571" w:type="dxa"/>
            <w:hideMark/>
          </w:tcPr>
          <w:p w:rsidR="00C81B46" w:rsidRPr="00574107" w:rsidRDefault="00C81B46" w:rsidP="00560650">
            <w:pPr>
              <w:pStyle w:val="Tablewriting"/>
            </w:pPr>
            <w:r w:rsidRPr="00574107">
              <w:t>N/A</w:t>
            </w:r>
          </w:p>
        </w:tc>
        <w:tc>
          <w:tcPr>
            <w:tcW w:w="1415" w:type="dxa"/>
            <w:hideMark/>
          </w:tcPr>
          <w:p w:rsidR="00C81B46" w:rsidRPr="00574107" w:rsidRDefault="00C81B46" w:rsidP="00560650">
            <w:pPr>
              <w:pStyle w:val="Tablewriting"/>
            </w:pPr>
            <w:r w:rsidRPr="00574107">
              <w:t xml:space="preserve">Lindson (2019)(a) (efficacy and safety) </w:t>
            </w:r>
          </w:p>
          <w:p w:rsidR="00C81B46" w:rsidRPr="00574107" w:rsidRDefault="00C81B46" w:rsidP="00560650">
            <w:pPr>
              <w:pStyle w:val="Tablewriting"/>
            </w:pPr>
            <w:r w:rsidRPr="00574107">
              <w:t> </w:t>
            </w:r>
          </w:p>
          <w:p w:rsidR="00C81B46" w:rsidRPr="00574107" w:rsidRDefault="00C81B46" w:rsidP="00560650">
            <w:pPr>
              <w:pStyle w:val="Tablewriting"/>
            </w:pPr>
            <w:r w:rsidRPr="00574107">
              <w:t> </w:t>
            </w:r>
          </w:p>
        </w:tc>
        <w:tc>
          <w:tcPr>
            <w:tcW w:w="1367" w:type="dxa"/>
            <w:hideMark/>
          </w:tcPr>
          <w:p w:rsidR="00C81B46" w:rsidRPr="00574107" w:rsidRDefault="00C81B46" w:rsidP="00560650">
            <w:pPr>
              <w:pStyle w:val="Tablewriting"/>
            </w:pPr>
            <w:r w:rsidRPr="00574107">
              <w:t>2 trials</w:t>
            </w:r>
          </w:p>
          <w:p w:rsidR="00C81B46" w:rsidRPr="008846EB" w:rsidRDefault="008846EB" w:rsidP="00560650">
            <w:pPr>
              <w:pStyle w:val="Tablewriting"/>
              <w:rPr>
                <w:highlight w:val="black"/>
              </w:rPr>
            </w:pPr>
            <w:r>
              <w:rPr>
                <w:noProof/>
                <w:color w:val="000000"/>
                <w:highlight w:val="black"/>
              </w:rPr>
              <w:t>'''''''''' ''''''''''' ''''''' '''''''''''''''''</w:t>
            </w:r>
          </w:p>
        </w:tc>
        <w:tc>
          <w:tcPr>
            <w:tcW w:w="1271" w:type="dxa"/>
            <w:hideMark/>
          </w:tcPr>
          <w:p w:rsidR="00C81B46" w:rsidRPr="00574107" w:rsidRDefault="00C81B46" w:rsidP="00560650">
            <w:pPr>
              <w:pStyle w:val="Tablewriting"/>
            </w:pPr>
            <w:r w:rsidRPr="00574107">
              <w:rPr>
                <w:rFonts w:eastAsia="Calibri"/>
              </w:rPr>
              <w:t>0</w:t>
            </w:r>
          </w:p>
        </w:tc>
      </w:tr>
    </w:tbl>
    <w:p w:rsidR="00C81B46" w:rsidRDefault="00C81B46" w:rsidP="00C81B46">
      <w:pPr>
        <w:pStyle w:val="TableFooter"/>
      </w:pPr>
      <w:r>
        <w:t>Abbreviations: NRT = nicotine replacement therapy</w:t>
      </w:r>
    </w:p>
    <w:p w:rsidR="00F63C13" w:rsidRDefault="002C3EF9" w:rsidP="00CF4741">
      <w:pPr>
        <w:pStyle w:val="Heading3"/>
        <w:numPr>
          <w:ilvl w:val="0"/>
          <w:numId w:val="0"/>
        </w:numPr>
      </w:pPr>
      <w:bookmarkStart w:id="369" w:name="_Toc72850877"/>
      <w:bookmarkStart w:id="370" w:name="_Toc73525642"/>
      <w:bookmarkStart w:id="371" w:name="_Ref53135242"/>
      <w:r>
        <w:t xml:space="preserve">B.2 </w:t>
      </w:r>
      <w:r w:rsidR="00F63C13">
        <w:t>C</w:t>
      </w:r>
      <w:r w:rsidR="001738B6">
        <w:t>haracteristics of individual studies</w:t>
      </w:r>
      <w:bookmarkEnd w:id="369"/>
      <w:bookmarkEnd w:id="370"/>
    </w:p>
    <w:p w:rsidR="007237F2" w:rsidRDefault="007237F2" w:rsidP="007237F2">
      <w:pPr>
        <w:pStyle w:val="Caption"/>
        <w:keepNext/>
      </w:pPr>
      <w:bookmarkStart w:id="372" w:name="_Ref55118117"/>
      <w:r>
        <w:t xml:space="preserve">Table </w:t>
      </w:r>
      <w:r w:rsidR="003C4A1C">
        <w:rPr>
          <w:noProof/>
        </w:rPr>
        <w:t>144</w:t>
      </w:r>
      <w:bookmarkEnd w:id="371"/>
      <w:bookmarkEnd w:id="372"/>
      <w:r>
        <w:t>: Characteristics of studies</w:t>
      </w:r>
      <w:r w:rsidR="00126F24">
        <w:t xml:space="preserve"> included</w:t>
      </w:r>
      <w:r>
        <w:t xml:space="preserve"> in Howes et al. (2020), bupropion versus placebo</w:t>
      </w:r>
    </w:p>
    <w:tbl>
      <w:tblPr>
        <w:tblStyle w:val="TableGrid"/>
        <w:tblW w:w="5169" w:type="pct"/>
        <w:tblLook w:val="04A0" w:firstRow="1" w:lastRow="0" w:firstColumn="1" w:lastColumn="0" w:noHBand="0" w:noVBand="1"/>
        <w:tblCaption w:val="Efficacy results of adalimumab trials (PASI 75 and DLQI)"/>
      </w:tblPr>
      <w:tblGrid>
        <w:gridCol w:w="1628"/>
        <w:gridCol w:w="690"/>
        <w:gridCol w:w="1216"/>
        <w:gridCol w:w="1294"/>
        <w:gridCol w:w="3664"/>
        <w:gridCol w:w="3529"/>
        <w:gridCol w:w="2398"/>
      </w:tblGrid>
      <w:tr w:rsidR="00771C66" w:rsidRPr="00061F78" w:rsidTr="004529B1">
        <w:trPr>
          <w:trHeight w:val="299"/>
          <w:tblHeader/>
        </w:trPr>
        <w:tc>
          <w:tcPr>
            <w:tcW w:w="565" w:type="pct"/>
            <w:shd w:val="clear" w:color="auto" w:fill="BFBFBF" w:themeFill="background1" w:themeFillShade="BF"/>
            <w:tcMar>
              <w:left w:w="28" w:type="dxa"/>
              <w:right w:w="28" w:type="dxa"/>
            </w:tcMar>
          </w:tcPr>
          <w:p w:rsidR="00771C66" w:rsidRPr="00061F78" w:rsidRDefault="008B4BB0" w:rsidP="00A71365">
            <w:pPr>
              <w:pStyle w:val="Tableheading"/>
              <w:rPr>
                <w:rFonts w:eastAsia="MS Mincho"/>
              </w:rPr>
            </w:pPr>
            <w:r>
              <w:rPr>
                <w:rFonts w:eastAsia="MS Mincho"/>
              </w:rPr>
              <w:t>Study</w:t>
            </w:r>
          </w:p>
        </w:tc>
        <w:tc>
          <w:tcPr>
            <w:tcW w:w="238" w:type="pct"/>
            <w:shd w:val="clear" w:color="auto" w:fill="BFBFBF" w:themeFill="background1" w:themeFillShade="BF"/>
          </w:tcPr>
          <w:p w:rsidR="00771C66" w:rsidRDefault="00771C66" w:rsidP="00A71365">
            <w:pPr>
              <w:pStyle w:val="Tableheading"/>
              <w:jc w:val="center"/>
              <w:rPr>
                <w:rFonts w:eastAsia="MS Mincho"/>
              </w:rPr>
            </w:pPr>
            <w:r>
              <w:rPr>
                <w:rFonts w:eastAsia="MS Mincho"/>
              </w:rPr>
              <w:t>Study type</w:t>
            </w:r>
          </w:p>
        </w:tc>
        <w:tc>
          <w:tcPr>
            <w:tcW w:w="420" w:type="pct"/>
            <w:shd w:val="clear" w:color="auto" w:fill="BFBFBF" w:themeFill="background1" w:themeFillShade="BF"/>
          </w:tcPr>
          <w:p w:rsidR="002F2D96" w:rsidRDefault="002F2D96" w:rsidP="00A71365">
            <w:pPr>
              <w:pStyle w:val="Tableheading"/>
              <w:jc w:val="center"/>
              <w:rPr>
                <w:rFonts w:eastAsia="MS Mincho"/>
              </w:rPr>
            </w:pPr>
            <w:r>
              <w:rPr>
                <w:rFonts w:eastAsia="MS Mincho"/>
              </w:rPr>
              <w:t>Countries</w:t>
            </w:r>
          </w:p>
        </w:tc>
        <w:tc>
          <w:tcPr>
            <w:tcW w:w="449" w:type="pct"/>
            <w:shd w:val="clear" w:color="auto" w:fill="BFBFBF" w:themeFill="background1" w:themeFillShade="BF"/>
            <w:tcMar>
              <w:left w:w="28" w:type="dxa"/>
              <w:right w:w="28" w:type="dxa"/>
            </w:tcMar>
          </w:tcPr>
          <w:p w:rsidR="00771C66" w:rsidRPr="00061F78" w:rsidRDefault="00771C66" w:rsidP="00A71365">
            <w:pPr>
              <w:pStyle w:val="Tableheading"/>
              <w:jc w:val="center"/>
              <w:rPr>
                <w:rFonts w:eastAsia="MS Mincho"/>
              </w:rPr>
            </w:pPr>
            <w:r>
              <w:rPr>
                <w:rFonts w:eastAsia="MS Mincho"/>
              </w:rPr>
              <w:t>N</w:t>
            </w:r>
          </w:p>
        </w:tc>
        <w:tc>
          <w:tcPr>
            <w:tcW w:w="1271" w:type="pct"/>
            <w:shd w:val="clear" w:color="auto" w:fill="BFBFBF" w:themeFill="background1" w:themeFillShade="BF"/>
            <w:tcMar>
              <w:left w:w="28" w:type="dxa"/>
              <w:right w:w="28" w:type="dxa"/>
            </w:tcMar>
          </w:tcPr>
          <w:p w:rsidR="00771C66" w:rsidRPr="00061F78" w:rsidRDefault="00771C66" w:rsidP="00A71365">
            <w:pPr>
              <w:pStyle w:val="Tableheading"/>
              <w:jc w:val="center"/>
              <w:rPr>
                <w:rFonts w:eastAsia="MS Mincho"/>
              </w:rPr>
            </w:pPr>
            <w:r w:rsidRPr="00061F78">
              <w:rPr>
                <w:rFonts w:eastAsia="MS Mincho"/>
              </w:rPr>
              <w:t>P</w:t>
            </w:r>
            <w:r>
              <w:rPr>
                <w:rFonts w:eastAsia="MS Mincho"/>
              </w:rPr>
              <w:t>opulation</w:t>
            </w:r>
          </w:p>
        </w:tc>
        <w:tc>
          <w:tcPr>
            <w:tcW w:w="1224" w:type="pct"/>
            <w:shd w:val="clear" w:color="auto" w:fill="BFBFBF" w:themeFill="background1" w:themeFillShade="BF"/>
          </w:tcPr>
          <w:p w:rsidR="00771C66" w:rsidRDefault="00771C66" w:rsidP="00A71365">
            <w:pPr>
              <w:pStyle w:val="Tableheading"/>
              <w:jc w:val="center"/>
              <w:rPr>
                <w:rFonts w:eastAsia="MS Mincho"/>
              </w:rPr>
            </w:pPr>
            <w:r>
              <w:rPr>
                <w:rFonts w:eastAsia="MS Mincho"/>
              </w:rPr>
              <w:t>Intervention and comparator</w:t>
            </w:r>
          </w:p>
        </w:tc>
        <w:tc>
          <w:tcPr>
            <w:tcW w:w="832" w:type="pct"/>
            <w:shd w:val="clear" w:color="auto" w:fill="BFBFBF" w:themeFill="background1" w:themeFillShade="BF"/>
            <w:tcMar>
              <w:left w:w="28" w:type="dxa"/>
              <w:right w:w="28" w:type="dxa"/>
            </w:tcMar>
          </w:tcPr>
          <w:p w:rsidR="00771C66" w:rsidRPr="00061F78" w:rsidRDefault="00771C66" w:rsidP="00A71365">
            <w:pPr>
              <w:pStyle w:val="Tableheading"/>
              <w:jc w:val="center"/>
              <w:rPr>
                <w:rFonts w:eastAsia="MS Mincho"/>
              </w:rPr>
            </w:pPr>
            <w:r>
              <w:rPr>
                <w:rFonts w:eastAsia="MS Mincho"/>
              </w:rPr>
              <w:t>Outcomes</w:t>
            </w:r>
          </w:p>
        </w:tc>
      </w:tr>
      <w:tr w:rsidR="00771C66" w:rsidRPr="00061F78" w:rsidTr="004529B1">
        <w:trPr>
          <w:trHeight w:val="99"/>
        </w:trPr>
        <w:tc>
          <w:tcPr>
            <w:tcW w:w="565" w:type="pct"/>
            <w:shd w:val="clear" w:color="auto" w:fill="auto"/>
            <w:tcMar>
              <w:left w:w="28" w:type="dxa"/>
              <w:right w:w="28" w:type="dxa"/>
            </w:tcMar>
          </w:tcPr>
          <w:p w:rsidR="00771C66" w:rsidRPr="001E2154" w:rsidRDefault="00716C82" w:rsidP="00A71365">
            <w:pPr>
              <w:pStyle w:val="Tableheading"/>
              <w:autoSpaceDE w:val="0"/>
              <w:autoSpaceDN w:val="0"/>
              <w:adjustRightInd w:val="0"/>
              <w:rPr>
                <w:rFonts w:eastAsiaTheme="minorEastAsia" w:cs="Calibri"/>
                <w:b w:val="0"/>
              </w:rPr>
            </w:pPr>
            <w:r w:rsidRPr="001E2154">
              <w:rPr>
                <w:rFonts w:eastAsiaTheme="minorEastAsia" w:cs="Calibri"/>
                <w:b w:val="0"/>
              </w:rPr>
              <w:t xml:space="preserve">Ahluwalia </w:t>
            </w:r>
            <w:r w:rsidR="00A61F60" w:rsidRPr="001E2154">
              <w:rPr>
                <w:rFonts w:eastAsiaTheme="minorEastAsia" w:cs="Calibri"/>
                <w:b w:val="0"/>
              </w:rPr>
              <w:t>(</w:t>
            </w:r>
            <w:r w:rsidRPr="001E2154">
              <w:rPr>
                <w:rFonts w:eastAsiaTheme="minorEastAsia" w:cs="Calibri"/>
                <w:b w:val="0"/>
              </w:rPr>
              <w:t>2002</w:t>
            </w:r>
            <w:r w:rsidR="00A61F60" w:rsidRPr="001E2154">
              <w:rPr>
                <w:rFonts w:eastAsiaTheme="minorEastAsia" w:cs="Calibri"/>
                <w:b w:val="0"/>
              </w:rPr>
              <w:t>)</w:t>
            </w:r>
          </w:p>
        </w:tc>
        <w:tc>
          <w:tcPr>
            <w:tcW w:w="238" w:type="pct"/>
            <w:shd w:val="clear" w:color="auto" w:fill="auto"/>
          </w:tcPr>
          <w:p w:rsidR="00771C66" w:rsidRPr="001E2154" w:rsidRDefault="002F2D96" w:rsidP="00A71365">
            <w:pPr>
              <w:pStyle w:val="Tableheading"/>
              <w:autoSpaceDE w:val="0"/>
              <w:autoSpaceDN w:val="0"/>
              <w:adjustRightInd w:val="0"/>
              <w:rPr>
                <w:rFonts w:eastAsiaTheme="minorEastAsia" w:cs="Calibri"/>
                <w:b w:val="0"/>
              </w:rPr>
            </w:pPr>
            <w:r w:rsidRPr="001E2154">
              <w:rPr>
                <w:rFonts w:eastAsiaTheme="minorEastAsia" w:cs="Calibri"/>
                <w:b w:val="0"/>
              </w:rPr>
              <w:t>RCT</w:t>
            </w:r>
          </w:p>
        </w:tc>
        <w:tc>
          <w:tcPr>
            <w:tcW w:w="420" w:type="pct"/>
          </w:tcPr>
          <w:p w:rsidR="00E31549" w:rsidRPr="001E2154" w:rsidRDefault="00E31549" w:rsidP="00A71365">
            <w:pPr>
              <w:pStyle w:val="Tableheading"/>
              <w:autoSpaceDE w:val="0"/>
              <w:autoSpaceDN w:val="0"/>
              <w:adjustRightInd w:val="0"/>
              <w:rPr>
                <w:rFonts w:eastAsiaTheme="minorEastAsia" w:cs="Calibri"/>
                <w:b w:val="0"/>
              </w:rPr>
            </w:pPr>
            <w:r w:rsidRPr="001E2154">
              <w:rPr>
                <w:rFonts w:eastAsiaTheme="minorEastAsia" w:cs="Calibri"/>
                <w:b w:val="0"/>
              </w:rPr>
              <w:t>USA</w:t>
            </w:r>
          </w:p>
        </w:tc>
        <w:tc>
          <w:tcPr>
            <w:tcW w:w="449" w:type="pct"/>
            <w:shd w:val="clear" w:color="auto" w:fill="auto"/>
            <w:tcMar>
              <w:left w:w="28" w:type="dxa"/>
              <w:right w:w="28" w:type="dxa"/>
            </w:tcMar>
          </w:tcPr>
          <w:p w:rsidR="00771C66" w:rsidRPr="001E2154" w:rsidRDefault="004A288A" w:rsidP="00A71365">
            <w:pPr>
              <w:pStyle w:val="Tableheading"/>
              <w:autoSpaceDE w:val="0"/>
              <w:autoSpaceDN w:val="0"/>
              <w:adjustRightInd w:val="0"/>
              <w:rPr>
                <w:rFonts w:eastAsiaTheme="minorEastAsia" w:cs="Calibri"/>
                <w:b w:val="0"/>
              </w:rPr>
            </w:pPr>
            <w:r w:rsidRPr="001E2154">
              <w:rPr>
                <w:rFonts w:eastAsiaTheme="minorEastAsia" w:cs="Calibri"/>
                <w:b w:val="0"/>
              </w:rPr>
              <w:t>N=600</w:t>
            </w:r>
            <w:r w:rsidR="003B7E88" w:rsidRPr="001E2154">
              <w:rPr>
                <w:rFonts w:eastAsiaTheme="minorEastAsia" w:cs="Calibri"/>
                <w:b w:val="0"/>
              </w:rPr>
              <w:t>;</w:t>
            </w:r>
          </w:p>
          <w:p w:rsidR="00771C66" w:rsidRPr="001E2154" w:rsidRDefault="00A0733E" w:rsidP="00A71365">
            <w:pPr>
              <w:pStyle w:val="Tableheading"/>
              <w:autoSpaceDE w:val="0"/>
              <w:autoSpaceDN w:val="0"/>
              <w:adjustRightInd w:val="0"/>
              <w:rPr>
                <w:rFonts w:eastAsiaTheme="minorEastAsia" w:cs="Calibri"/>
                <w:b w:val="0"/>
              </w:rPr>
            </w:pPr>
            <w:r w:rsidRPr="001E2154">
              <w:rPr>
                <w:rFonts w:eastAsiaTheme="minorEastAsia" w:cs="Calibri"/>
                <w:b w:val="0"/>
              </w:rPr>
              <w:t>n</w:t>
            </w:r>
            <w:r w:rsidR="008B61A9" w:rsidRPr="001E2154">
              <w:rPr>
                <w:rFonts w:eastAsiaTheme="minorEastAsia" w:cs="Calibri"/>
                <w:b w:val="0"/>
              </w:rPr>
              <w:t>=</w:t>
            </w:r>
            <w:r w:rsidRPr="001E2154">
              <w:rPr>
                <w:rFonts w:eastAsiaTheme="minorEastAsia" w:cs="Calibri"/>
                <w:b w:val="0"/>
              </w:rPr>
              <w:t>300 (bupropion), n=300 (placebo)</w:t>
            </w:r>
          </w:p>
        </w:tc>
        <w:tc>
          <w:tcPr>
            <w:tcW w:w="1271" w:type="pct"/>
            <w:shd w:val="clear" w:color="auto" w:fill="auto"/>
            <w:tcMar>
              <w:left w:w="28" w:type="dxa"/>
              <w:right w:w="28" w:type="dxa"/>
            </w:tcMar>
          </w:tcPr>
          <w:p w:rsidR="00771C66" w:rsidRPr="001E2154" w:rsidRDefault="002F2D96" w:rsidP="00A71365">
            <w:pPr>
              <w:pStyle w:val="Tableheading"/>
              <w:autoSpaceDE w:val="0"/>
              <w:autoSpaceDN w:val="0"/>
              <w:adjustRightInd w:val="0"/>
              <w:rPr>
                <w:rFonts w:eastAsiaTheme="minorEastAsia" w:cs="Calibri"/>
                <w:b w:val="0"/>
              </w:rPr>
            </w:pPr>
            <w:r w:rsidRPr="001E2154">
              <w:rPr>
                <w:rFonts w:eastAsiaTheme="minorEastAsia" w:cs="Calibri"/>
                <w:b w:val="0"/>
              </w:rPr>
              <w:t>African American smokers</w:t>
            </w:r>
            <w:r w:rsidR="00AE162A" w:rsidRPr="001E2154">
              <w:rPr>
                <w:rFonts w:eastAsiaTheme="minorEastAsia" w:cs="Calibri"/>
                <w:b w:val="0"/>
              </w:rPr>
              <w:t>,</w:t>
            </w:r>
            <w:r w:rsidRPr="001E2154">
              <w:rPr>
                <w:rFonts w:eastAsiaTheme="minorEastAsia" w:cs="Calibri"/>
                <w:b w:val="0"/>
              </w:rPr>
              <w:t xml:space="preserve"> 70% female, average age 44</w:t>
            </w:r>
            <w:r w:rsidR="00AE162A" w:rsidRPr="001E2154">
              <w:rPr>
                <w:rFonts w:eastAsiaTheme="minorEastAsia" w:cs="Calibri"/>
                <w:b w:val="0"/>
              </w:rPr>
              <w:t>,</w:t>
            </w:r>
            <w:r w:rsidRPr="001E2154">
              <w:rPr>
                <w:rFonts w:eastAsiaTheme="minorEastAsia" w:cs="Calibri"/>
                <w:b w:val="0"/>
              </w:rPr>
              <w:t xml:space="preserve"> average cigarettes per day 17</w:t>
            </w:r>
            <w:r w:rsidR="00AE162A" w:rsidRPr="001E2154">
              <w:rPr>
                <w:rFonts w:eastAsiaTheme="minorEastAsia" w:cs="Calibri"/>
                <w:b w:val="0"/>
              </w:rPr>
              <w:t>,</w:t>
            </w:r>
            <w:r w:rsidR="004A288A" w:rsidRPr="001E2154">
              <w:rPr>
                <w:rFonts w:eastAsiaTheme="minorEastAsia" w:cs="Calibri"/>
                <w:b w:val="0"/>
              </w:rPr>
              <w:t xml:space="preserve"> </w:t>
            </w:r>
            <w:r w:rsidRPr="001E2154">
              <w:rPr>
                <w:rFonts w:eastAsiaTheme="minorEastAsia" w:cs="Calibri"/>
                <w:b w:val="0"/>
              </w:rPr>
              <w:t>27% had possible clinical depression CES-D &gt; 16</w:t>
            </w:r>
            <w:r w:rsidR="00AE162A" w:rsidRPr="001E2154">
              <w:rPr>
                <w:rFonts w:eastAsiaTheme="minorEastAsia" w:cs="Calibri"/>
                <w:b w:val="0"/>
              </w:rPr>
              <w:t>.</w:t>
            </w:r>
          </w:p>
        </w:tc>
        <w:tc>
          <w:tcPr>
            <w:tcW w:w="1224" w:type="pct"/>
            <w:shd w:val="clear" w:color="auto" w:fill="auto"/>
          </w:tcPr>
          <w:p w:rsidR="00771C66" w:rsidRDefault="00D11171" w:rsidP="00C324F3">
            <w:pPr>
              <w:pStyle w:val="Tablewriting"/>
              <w:numPr>
                <w:ilvl w:val="0"/>
                <w:numId w:val="8"/>
              </w:numPr>
              <w:rPr>
                <w:rFonts w:eastAsia="MS Mincho"/>
              </w:rPr>
            </w:pPr>
            <w:r w:rsidRPr="00D11171">
              <w:rPr>
                <w:rFonts w:eastAsia="MS Mincho"/>
              </w:rPr>
              <w:t xml:space="preserve">Bupropion, </w:t>
            </w:r>
            <w:r w:rsidR="00346ACC">
              <w:rPr>
                <w:rFonts w:eastAsia="MS Mincho"/>
              </w:rPr>
              <w:t>150 mg</w:t>
            </w:r>
            <w:r w:rsidR="008820DC">
              <w:rPr>
                <w:rFonts w:eastAsia="MS Mincho"/>
              </w:rPr>
              <w:t xml:space="preserve">/day for 3 days, then </w:t>
            </w:r>
            <w:r w:rsidRPr="00D11171">
              <w:rPr>
                <w:rFonts w:eastAsia="MS Mincho"/>
              </w:rPr>
              <w:t xml:space="preserve">300 mg/day for </w:t>
            </w:r>
            <w:r w:rsidR="008820DC">
              <w:rPr>
                <w:rFonts w:eastAsia="MS Mincho"/>
              </w:rPr>
              <w:t xml:space="preserve">a total of </w:t>
            </w:r>
            <w:r w:rsidRPr="00D11171">
              <w:rPr>
                <w:rFonts w:eastAsia="MS Mincho"/>
              </w:rPr>
              <w:t>7 weeks</w:t>
            </w:r>
          </w:p>
          <w:p w:rsidR="008229B2" w:rsidRPr="008229B2" w:rsidRDefault="008229B2" w:rsidP="00C324F3">
            <w:pPr>
              <w:pStyle w:val="Tablewriting"/>
              <w:numPr>
                <w:ilvl w:val="0"/>
                <w:numId w:val="8"/>
              </w:numPr>
              <w:rPr>
                <w:rFonts w:eastAsia="MS Mincho"/>
              </w:rPr>
            </w:pPr>
            <w:r w:rsidRPr="008229B2">
              <w:rPr>
                <w:rFonts w:eastAsia="MS Mincho"/>
              </w:rPr>
              <w:t>Placebo</w:t>
            </w:r>
          </w:p>
          <w:p w:rsidR="008229B2" w:rsidRDefault="008229B2" w:rsidP="00A71365">
            <w:pPr>
              <w:pStyle w:val="Tablewriting"/>
              <w:rPr>
                <w:rFonts w:eastAsia="MS Mincho"/>
              </w:rPr>
            </w:pPr>
          </w:p>
          <w:p w:rsidR="00771C66" w:rsidRPr="00A34E7B" w:rsidRDefault="008229B2" w:rsidP="00A71365">
            <w:pPr>
              <w:pStyle w:val="Tablewriting"/>
              <w:rPr>
                <w:rFonts w:eastAsia="MS Mincho"/>
              </w:rPr>
            </w:pPr>
            <w:r w:rsidRPr="00C324F3">
              <w:rPr>
                <w:rFonts w:eastAsia="MS Mincho"/>
                <w:u w:val="single"/>
              </w:rPr>
              <w:t>Common components</w:t>
            </w:r>
            <w:r w:rsidRPr="008229B2">
              <w:rPr>
                <w:rFonts w:eastAsia="MS Mincho"/>
              </w:rPr>
              <w:t>: 8 sessions of in-person or telephone</w:t>
            </w:r>
            <w:r>
              <w:rPr>
                <w:rFonts w:eastAsia="MS Mincho"/>
              </w:rPr>
              <w:t xml:space="preserve"> </w:t>
            </w:r>
            <w:r w:rsidRPr="008229B2">
              <w:rPr>
                <w:rFonts w:eastAsia="MS Mincho"/>
              </w:rPr>
              <w:t>counselling and self-help guide</w:t>
            </w:r>
            <w:r w:rsidR="00C553D1">
              <w:rPr>
                <w:rFonts w:eastAsia="MS Mincho"/>
              </w:rPr>
              <w:t>.</w:t>
            </w:r>
          </w:p>
        </w:tc>
        <w:tc>
          <w:tcPr>
            <w:tcW w:w="832" w:type="pct"/>
            <w:shd w:val="clear" w:color="auto" w:fill="auto"/>
            <w:tcMar>
              <w:left w:w="28" w:type="dxa"/>
              <w:right w:w="28" w:type="dxa"/>
            </w:tcMar>
          </w:tcPr>
          <w:p w:rsidR="002F2D96" w:rsidRPr="001E2154" w:rsidRDefault="00023A25" w:rsidP="00A71365">
            <w:pPr>
              <w:pStyle w:val="Tableheading"/>
              <w:autoSpaceDE w:val="0"/>
              <w:autoSpaceDN w:val="0"/>
              <w:adjustRightInd w:val="0"/>
              <w:rPr>
                <w:rFonts w:eastAsiaTheme="minorEastAsia" w:cs="Calibri"/>
                <w:b w:val="0"/>
              </w:rPr>
            </w:pPr>
            <w:r w:rsidRPr="00320A67">
              <w:rPr>
                <w:rFonts w:eastAsiaTheme="minorEastAsia" w:cs="Calibri"/>
                <w:b w:val="0"/>
                <w:u w:val="single"/>
              </w:rPr>
              <w:t>Efficacy</w:t>
            </w:r>
            <w:r w:rsidR="002F2D96" w:rsidRPr="00320A67">
              <w:rPr>
                <w:rFonts w:eastAsiaTheme="minorEastAsia" w:cs="Calibri"/>
                <w:b w:val="0"/>
                <w:u w:val="single"/>
              </w:rPr>
              <w:t>:</w:t>
            </w:r>
            <w:r w:rsidR="002F2D96" w:rsidRPr="001E2154">
              <w:rPr>
                <w:rFonts w:eastAsiaTheme="minorEastAsia" w:cs="Calibri"/>
                <w:b w:val="0"/>
              </w:rPr>
              <w:t xml:space="preserve"> prolonged abstinence at 26 weeks. Validated by CO </w:t>
            </w:r>
            <w:r w:rsidR="00D96BA4" w:rsidRPr="001E2154">
              <w:rPr>
                <w:rFonts w:eastAsiaTheme="minorEastAsia" w:cs="Calibri"/>
                <w:b w:val="0"/>
              </w:rPr>
              <w:t>≤</w:t>
            </w:r>
            <w:r w:rsidR="002F2D96" w:rsidRPr="001E2154">
              <w:rPr>
                <w:rFonts w:eastAsiaTheme="minorEastAsia" w:cs="Calibri"/>
                <w:b w:val="0"/>
              </w:rPr>
              <w:t xml:space="preserve"> 10 ppm, discrepancies resolved</w:t>
            </w:r>
            <w:r w:rsidR="00C553D1" w:rsidRPr="001E2154">
              <w:rPr>
                <w:rFonts w:eastAsiaTheme="minorEastAsia" w:cs="Calibri"/>
                <w:b w:val="0"/>
              </w:rPr>
              <w:t xml:space="preserve"> </w:t>
            </w:r>
            <w:r w:rsidR="002F2D96" w:rsidRPr="001E2154">
              <w:rPr>
                <w:rFonts w:eastAsiaTheme="minorEastAsia" w:cs="Calibri"/>
                <w:b w:val="0"/>
              </w:rPr>
              <w:t xml:space="preserve">with cotinine </w:t>
            </w:r>
            <w:r w:rsidR="003F5E89" w:rsidRPr="001E2154">
              <w:rPr>
                <w:rFonts w:eastAsiaTheme="minorEastAsia" w:cs="Calibri"/>
                <w:b w:val="0"/>
              </w:rPr>
              <w:t>≤</w:t>
            </w:r>
            <w:r w:rsidR="002F2D96" w:rsidRPr="001E2154">
              <w:rPr>
                <w:rFonts w:eastAsiaTheme="minorEastAsia" w:cs="Calibri"/>
                <w:b w:val="0"/>
              </w:rPr>
              <w:t>20 mg</w:t>
            </w:r>
            <w:r w:rsidR="00C553D1" w:rsidRPr="001E2154">
              <w:rPr>
                <w:rFonts w:eastAsiaTheme="minorEastAsia" w:cs="Calibri"/>
                <w:b w:val="0"/>
              </w:rPr>
              <w:t>.</w:t>
            </w:r>
          </w:p>
          <w:p w:rsidR="002F2D96" w:rsidRPr="001E2154" w:rsidRDefault="002F2D96" w:rsidP="00A71365">
            <w:pPr>
              <w:pStyle w:val="Tableheading"/>
              <w:autoSpaceDE w:val="0"/>
              <w:autoSpaceDN w:val="0"/>
              <w:adjustRightInd w:val="0"/>
              <w:rPr>
                <w:rFonts w:eastAsiaTheme="minorEastAsia" w:cs="Calibri"/>
                <w:b w:val="0"/>
              </w:rPr>
            </w:pPr>
          </w:p>
          <w:p w:rsidR="00771C66" w:rsidRPr="001E2154" w:rsidRDefault="00023A25" w:rsidP="00A71365">
            <w:pPr>
              <w:pStyle w:val="Tableheading"/>
              <w:autoSpaceDE w:val="0"/>
              <w:autoSpaceDN w:val="0"/>
              <w:adjustRightInd w:val="0"/>
              <w:rPr>
                <w:rFonts w:eastAsiaTheme="minorEastAsia" w:cs="Calibri"/>
                <w:b w:val="0"/>
              </w:rPr>
            </w:pPr>
            <w:r w:rsidRPr="00320A67">
              <w:rPr>
                <w:rFonts w:eastAsiaTheme="minorEastAsia" w:cs="Calibri"/>
                <w:b w:val="0"/>
                <w:u w:val="single"/>
              </w:rPr>
              <w:t>Safety:</w:t>
            </w:r>
            <w:r w:rsidR="002F2D96" w:rsidRPr="001E2154">
              <w:rPr>
                <w:rFonts w:eastAsiaTheme="minorEastAsia" w:cs="Calibri"/>
                <w:b w:val="0"/>
              </w:rPr>
              <w:t xml:space="preserve"> </w:t>
            </w:r>
            <w:r w:rsidR="00FA521C" w:rsidRPr="001E2154">
              <w:rPr>
                <w:rFonts w:eastAsiaTheme="minorEastAsia" w:cs="Calibri"/>
                <w:b w:val="0"/>
              </w:rPr>
              <w:t>adverse ev</w:t>
            </w:r>
            <w:r w:rsidR="006559C1" w:rsidRPr="001E2154">
              <w:rPr>
                <w:rFonts w:eastAsiaTheme="minorEastAsia" w:cs="Calibri"/>
                <w:b w:val="0"/>
              </w:rPr>
              <w:t xml:space="preserve">ents </w:t>
            </w:r>
            <w:r w:rsidR="002F2D96" w:rsidRPr="001E2154">
              <w:rPr>
                <w:rFonts w:eastAsiaTheme="minorEastAsia" w:cs="Calibri"/>
                <w:b w:val="0"/>
              </w:rPr>
              <w:t>measured for 26 weeks</w:t>
            </w:r>
            <w:r w:rsidR="00C553D1" w:rsidRPr="001E2154">
              <w:rPr>
                <w:rFonts w:eastAsiaTheme="minorEastAsia" w:cs="Calibri"/>
                <w:b w:val="0"/>
              </w:rPr>
              <w:t>.</w:t>
            </w:r>
          </w:p>
        </w:tc>
      </w:tr>
      <w:tr w:rsidR="00771C66" w:rsidRPr="00061F78" w:rsidTr="004529B1">
        <w:trPr>
          <w:trHeight w:val="149"/>
        </w:trPr>
        <w:tc>
          <w:tcPr>
            <w:tcW w:w="565" w:type="pct"/>
            <w:tcMar>
              <w:left w:w="28" w:type="dxa"/>
              <w:right w:w="28" w:type="dxa"/>
            </w:tcMar>
          </w:tcPr>
          <w:p w:rsidR="00771C66" w:rsidRPr="00320A67" w:rsidRDefault="003C7432" w:rsidP="00A71365">
            <w:pPr>
              <w:pStyle w:val="Tableheading"/>
              <w:autoSpaceDE w:val="0"/>
              <w:autoSpaceDN w:val="0"/>
              <w:adjustRightInd w:val="0"/>
              <w:rPr>
                <w:rFonts w:eastAsiaTheme="minorEastAsia" w:cs="Calibri"/>
                <w:b w:val="0"/>
              </w:rPr>
            </w:pPr>
            <w:r w:rsidRPr="00320A67">
              <w:rPr>
                <w:rFonts w:eastAsiaTheme="minorEastAsia" w:cs="Calibri"/>
                <w:b w:val="0"/>
              </w:rPr>
              <w:t xml:space="preserve">  </w:t>
            </w:r>
            <w:r w:rsidR="00D517C0" w:rsidRPr="00320A67">
              <w:rPr>
                <w:rFonts w:eastAsiaTheme="minorEastAsia" w:cs="Calibri"/>
                <w:b w:val="0"/>
              </w:rPr>
              <w:t xml:space="preserve">Anthenelli </w:t>
            </w:r>
            <w:r w:rsidR="002B4919" w:rsidRPr="00320A67">
              <w:rPr>
                <w:rFonts w:eastAsiaTheme="minorEastAsia" w:cs="Calibri"/>
                <w:b w:val="0"/>
              </w:rPr>
              <w:t>(</w:t>
            </w:r>
            <w:r w:rsidR="00D517C0" w:rsidRPr="00320A67">
              <w:rPr>
                <w:rFonts w:eastAsiaTheme="minorEastAsia" w:cs="Calibri"/>
                <w:b w:val="0"/>
              </w:rPr>
              <w:t>2016</w:t>
            </w:r>
            <w:r w:rsidR="002B4919" w:rsidRPr="00320A67">
              <w:rPr>
                <w:rFonts w:eastAsiaTheme="minorEastAsia" w:cs="Calibri"/>
                <w:b w:val="0"/>
              </w:rPr>
              <w:t>)</w:t>
            </w:r>
          </w:p>
        </w:tc>
        <w:tc>
          <w:tcPr>
            <w:tcW w:w="238" w:type="pct"/>
          </w:tcPr>
          <w:p w:rsidR="00771C66" w:rsidRPr="00320A67" w:rsidRDefault="003540CF" w:rsidP="00A71365">
            <w:pPr>
              <w:pStyle w:val="Tableheading"/>
              <w:autoSpaceDE w:val="0"/>
              <w:autoSpaceDN w:val="0"/>
              <w:adjustRightInd w:val="0"/>
              <w:rPr>
                <w:rFonts w:eastAsiaTheme="minorEastAsia" w:cs="Calibri"/>
                <w:b w:val="0"/>
              </w:rPr>
            </w:pPr>
            <w:r w:rsidRPr="00320A67">
              <w:rPr>
                <w:rFonts w:eastAsiaTheme="minorEastAsia" w:cs="Calibri"/>
                <w:b w:val="0"/>
              </w:rPr>
              <w:t>RCT</w:t>
            </w:r>
          </w:p>
        </w:tc>
        <w:tc>
          <w:tcPr>
            <w:tcW w:w="420" w:type="pct"/>
          </w:tcPr>
          <w:p w:rsidR="005A5FF0" w:rsidRPr="00320A67" w:rsidRDefault="005A5FF0" w:rsidP="00A71365">
            <w:pPr>
              <w:pStyle w:val="Tableheading"/>
              <w:autoSpaceDE w:val="0"/>
              <w:autoSpaceDN w:val="0"/>
              <w:adjustRightInd w:val="0"/>
              <w:rPr>
                <w:rFonts w:eastAsiaTheme="minorEastAsia" w:cs="Calibri"/>
                <w:b w:val="0"/>
              </w:rPr>
            </w:pPr>
            <w:r w:rsidRPr="00320A67">
              <w:rPr>
                <w:rFonts w:eastAsiaTheme="minorEastAsia" w:cs="Calibri"/>
                <w:b w:val="0"/>
              </w:rPr>
              <w:t>USA, Australia, Canada, Denmark, Finland, Germany, New Zealand, South Africa, Spain, Bulgaria,</w:t>
            </w:r>
          </w:p>
          <w:p w:rsidR="005A5FF0" w:rsidRPr="00320A67" w:rsidRDefault="005A5FF0" w:rsidP="00A71365">
            <w:pPr>
              <w:pStyle w:val="Tableheading"/>
              <w:autoSpaceDE w:val="0"/>
              <w:autoSpaceDN w:val="0"/>
              <w:adjustRightInd w:val="0"/>
              <w:rPr>
                <w:rFonts w:eastAsiaTheme="minorEastAsia" w:cs="Calibri"/>
                <w:b w:val="0"/>
              </w:rPr>
            </w:pPr>
            <w:r w:rsidRPr="00320A67">
              <w:rPr>
                <w:rFonts w:eastAsiaTheme="minorEastAsia" w:cs="Calibri"/>
                <w:b w:val="0"/>
              </w:rPr>
              <w:lastRenderedPageBreak/>
              <w:t>Russian Federation, Slovakia, Argentina, Brazil, Chile, and Mexico</w:t>
            </w:r>
          </w:p>
        </w:tc>
        <w:tc>
          <w:tcPr>
            <w:tcW w:w="449" w:type="pct"/>
            <w:tcMar>
              <w:left w:w="28" w:type="dxa"/>
              <w:right w:w="28" w:type="dxa"/>
            </w:tcMar>
          </w:tcPr>
          <w:p w:rsidR="002F2D96" w:rsidRPr="00320A67" w:rsidRDefault="00A5274A" w:rsidP="00A71365">
            <w:pPr>
              <w:pStyle w:val="Tableheading"/>
              <w:autoSpaceDE w:val="0"/>
              <w:autoSpaceDN w:val="0"/>
              <w:adjustRightInd w:val="0"/>
              <w:rPr>
                <w:rFonts w:eastAsiaTheme="minorEastAsia" w:cs="Calibri"/>
                <w:b w:val="0"/>
              </w:rPr>
            </w:pPr>
            <w:r w:rsidRPr="00320A67">
              <w:rPr>
                <w:rFonts w:eastAsiaTheme="minorEastAsia" w:cs="Calibri"/>
                <w:b w:val="0"/>
              </w:rPr>
              <w:lastRenderedPageBreak/>
              <w:t>N= 8144</w:t>
            </w:r>
          </w:p>
          <w:p w:rsidR="00290A75" w:rsidRPr="00320A67" w:rsidRDefault="00290A75" w:rsidP="00A71365">
            <w:pPr>
              <w:pStyle w:val="Tableheading"/>
              <w:autoSpaceDE w:val="0"/>
              <w:autoSpaceDN w:val="0"/>
              <w:adjustRightInd w:val="0"/>
              <w:rPr>
                <w:rFonts w:eastAsiaTheme="minorEastAsia" w:cs="Calibri"/>
                <w:b w:val="0"/>
              </w:rPr>
            </w:pPr>
          </w:p>
          <w:p w:rsidR="00771C66" w:rsidRPr="00320A67" w:rsidRDefault="00290A75" w:rsidP="00A71365">
            <w:pPr>
              <w:pStyle w:val="Tableheading"/>
              <w:autoSpaceDE w:val="0"/>
              <w:autoSpaceDN w:val="0"/>
              <w:adjustRightInd w:val="0"/>
              <w:rPr>
                <w:rFonts w:eastAsiaTheme="minorEastAsia" w:cs="Calibri"/>
                <w:b w:val="0"/>
              </w:rPr>
            </w:pPr>
            <w:r w:rsidRPr="00320A67">
              <w:rPr>
                <w:rFonts w:eastAsiaTheme="minorEastAsia" w:cs="Calibri"/>
                <w:b w:val="0"/>
                <w:u w:val="single"/>
              </w:rPr>
              <w:t>Special population:</w:t>
            </w:r>
            <w:r w:rsidRPr="00320A67">
              <w:rPr>
                <w:rFonts w:eastAsiaTheme="minorEastAsia" w:cs="Calibri"/>
                <w:b w:val="0"/>
              </w:rPr>
              <w:t xml:space="preserve"> participants psychiatric cohort (n= 4074), non-psychiatric cohort (n= 3984)</w:t>
            </w:r>
          </w:p>
        </w:tc>
        <w:tc>
          <w:tcPr>
            <w:tcW w:w="1271" w:type="pct"/>
            <w:tcMar>
              <w:left w:w="28" w:type="dxa"/>
              <w:right w:w="28" w:type="dxa"/>
            </w:tcMar>
          </w:tcPr>
          <w:p w:rsidR="007A4367" w:rsidRPr="007A4367" w:rsidRDefault="007A4367" w:rsidP="00A71365">
            <w:pPr>
              <w:pStyle w:val="Tablewriting"/>
              <w:rPr>
                <w:rFonts w:eastAsia="MS Mincho"/>
              </w:rPr>
            </w:pPr>
            <w:r w:rsidRPr="007A4367">
              <w:rPr>
                <w:rFonts w:eastAsia="MS Mincho"/>
              </w:rPr>
              <w:t>56% female</w:t>
            </w:r>
            <w:r w:rsidR="00C553D1">
              <w:rPr>
                <w:rFonts w:eastAsia="MS Mincho"/>
              </w:rPr>
              <w:t>,</w:t>
            </w:r>
            <w:r w:rsidRPr="007A4367">
              <w:rPr>
                <w:rFonts w:eastAsia="MS Mincho"/>
              </w:rPr>
              <w:t xml:space="preserve"> average age 46.5</w:t>
            </w:r>
            <w:r w:rsidR="00C553D1">
              <w:rPr>
                <w:rFonts w:eastAsia="MS Mincho"/>
              </w:rPr>
              <w:t>,</w:t>
            </w:r>
            <w:r w:rsidRPr="007A4367">
              <w:rPr>
                <w:rFonts w:eastAsia="MS Mincho"/>
              </w:rPr>
              <w:t xml:space="preserve"> average cigarettes per day 21, mean FTND 5.8</w:t>
            </w:r>
            <w:r w:rsidR="008546E9">
              <w:rPr>
                <w:rFonts w:eastAsia="MS Mincho"/>
              </w:rPr>
              <w:t>.</w:t>
            </w:r>
          </w:p>
          <w:p w:rsidR="00F644C9" w:rsidRDefault="00F644C9" w:rsidP="00A71365">
            <w:pPr>
              <w:pStyle w:val="Tablewriting"/>
              <w:rPr>
                <w:rFonts w:eastAsia="MS Mincho"/>
              </w:rPr>
            </w:pPr>
          </w:p>
          <w:p w:rsidR="00771C66" w:rsidRPr="00061F78" w:rsidRDefault="007A4367" w:rsidP="00A71365">
            <w:pPr>
              <w:pStyle w:val="Tablewriting"/>
              <w:rPr>
                <w:rFonts w:eastAsia="MS Mincho"/>
              </w:rPr>
            </w:pPr>
            <w:r w:rsidRPr="007A4367">
              <w:rPr>
                <w:rFonts w:eastAsia="MS Mincho"/>
              </w:rPr>
              <w:t>Participants were included in the psychiatric cohort if they met</w:t>
            </w:r>
            <w:r w:rsidR="008D7405">
              <w:rPr>
                <w:rFonts w:eastAsia="MS Mincho"/>
              </w:rPr>
              <w:t xml:space="preserve"> </w:t>
            </w:r>
            <w:r w:rsidRPr="007A4367">
              <w:rPr>
                <w:rFonts w:eastAsia="MS Mincho"/>
              </w:rPr>
              <w:t>Diagnostic and Statistical Manual of DSM-IV-TR diagnostic</w:t>
            </w:r>
            <w:r w:rsidR="008D7405">
              <w:rPr>
                <w:rFonts w:eastAsia="MS Mincho"/>
              </w:rPr>
              <w:t xml:space="preserve"> </w:t>
            </w:r>
            <w:r w:rsidRPr="007A4367">
              <w:rPr>
                <w:rFonts w:eastAsia="MS Mincho"/>
              </w:rPr>
              <w:t>criteria for mood disorders including major depressive disorder or bipolar disorder; anxiety disorders</w:t>
            </w:r>
            <w:r w:rsidR="002955E5">
              <w:rPr>
                <w:rFonts w:eastAsia="MS Mincho"/>
              </w:rPr>
              <w:t xml:space="preserve"> </w:t>
            </w:r>
            <w:r w:rsidRPr="007A4367">
              <w:rPr>
                <w:rFonts w:eastAsia="MS Mincho"/>
              </w:rPr>
              <w:t>including panic disorder, with or without agoraphobia, post-traumatic stress disorder, obsessive-compulsive disorder, social phobia, and generalized anxiety disorder; psychotic disorders including</w:t>
            </w:r>
            <w:r w:rsidR="002955E5">
              <w:rPr>
                <w:rFonts w:eastAsia="MS Mincho"/>
              </w:rPr>
              <w:t xml:space="preserve"> </w:t>
            </w:r>
            <w:r w:rsidRPr="007A4367">
              <w:rPr>
                <w:rFonts w:eastAsia="MS Mincho"/>
              </w:rPr>
              <w:lastRenderedPageBreak/>
              <w:t>schizophrenia and schizoaffective disorders; or borderline personality disorder. Participants in the</w:t>
            </w:r>
            <w:r w:rsidR="002955E5">
              <w:rPr>
                <w:rFonts w:eastAsia="MS Mincho"/>
              </w:rPr>
              <w:t xml:space="preserve"> </w:t>
            </w:r>
            <w:r w:rsidRPr="007A4367">
              <w:rPr>
                <w:rFonts w:eastAsia="MS Mincho"/>
              </w:rPr>
              <w:t>non-psychiatric cohort had no confirmed history of DSM-IV-TR Axis I or II disorders.</w:t>
            </w:r>
          </w:p>
        </w:tc>
        <w:tc>
          <w:tcPr>
            <w:tcW w:w="1224" w:type="pct"/>
          </w:tcPr>
          <w:p w:rsidR="00210580" w:rsidRPr="00210580" w:rsidRDefault="00210580" w:rsidP="00C324F3">
            <w:pPr>
              <w:pStyle w:val="Tablewriting"/>
              <w:numPr>
                <w:ilvl w:val="0"/>
                <w:numId w:val="9"/>
              </w:numPr>
              <w:rPr>
                <w:rFonts w:eastAsia="MS Mincho"/>
              </w:rPr>
            </w:pPr>
            <w:r w:rsidRPr="00210580">
              <w:rPr>
                <w:rFonts w:eastAsia="MS Mincho"/>
              </w:rPr>
              <w:lastRenderedPageBreak/>
              <w:t xml:space="preserve">Bupropion sustained release </w:t>
            </w:r>
            <w:r w:rsidR="00922FB2" w:rsidRPr="00210580">
              <w:rPr>
                <w:rFonts w:eastAsia="MS Mincho"/>
              </w:rPr>
              <w:t>150 mg twice a day</w:t>
            </w:r>
            <w:r w:rsidR="00922FB2">
              <w:rPr>
                <w:rFonts w:eastAsia="MS Mincho"/>
              </w:rPr>
              <w:t xml:space="preserve">, </w:t>
            </w:r>
            <w:r w:rsidRPr="00210580">
              <w:rPr>
                <w:rFonts w:eastAsia="MS Mincho"/>
              </w:rPr>
              <w:t>and placebo varenicline and placebo nicotine patch</w:t>
            </w:r>
          </w:p>
          <w:p w:rsidR="00210580" w:rsidRPr="00072AD3" w:rsidRDefault="00210580" w:rsidP="00C324F3">
            <w:pPr>
              <w:pStyle w:val="Tablewriting"/>
              <w:numPr>
                <w:ilvl w:val="0"/>
                <w:numId w:val="9"/>
              </w:numPr>
              <w:rPr>
                <w:rFonts w:eastAsia="MS Mincho"/>
              </w:rPr>
            </w:pPr>
            <w:r w:rsidRPr="00210580">
              <w:rPr>
                <w:rFonts w:eastAsia="MS Mincho"/>
              </w:rPr>
              <w:t xml:space="preserve">Varenicline </w:t>
            </w:r>
            <w:r w:rsidR="00EB78F9" w:rsidRPr="00210580">
              <w:rPr>
                <w:rFonts w:eastAsia="MS Mincho"/>
              </w:rPr>
              <w:t>1 mg twice a day</w:t>
            </w:r>
            <w:r w:rsidR="000F0658">
              <w:rPr>
                <w:rFonts w:eastAsia="MS Mincho"/>
              </w:rPr>
              <w:t xml:space="preserve">, </w:t>
            </w:r>
            <w:r w:rsidRPr="00210580">
              <w:rPr>
                <w:rFonts w:eastAsia="MS Mincho"/>
              </w:rPr>
              <w:t>and placebo bupropion sustained release and placebo nicotine patch</w:t>
            </w:r>
          </w:p>
          <w:p w:rsidR="00210580" w:rsidRPr="00072AD3" w:rsidRDefault="00210580" w:rsidP="00C324F3">
            <w:pPr>
              <w:pStyle w:val="Tablewriting"/>
              <w:numPr>
                <w:ilvl w:val="0"/>
                <w:numId w:val="9"/>
              </w:numPr>
              <w:rPr>
                <w:rFonts w:eastAsia="MS Mincho"/>
              </w:rPr>
            </w:pPr>
            <w:r w:rsidRPr="00210580">
              <w:rPr>
                <w:rFonts w:eastAsia="MS Mincho"/>
              </w:rPr>
              <w:t xml:space="preserve">Transdermal nicotine patch </w:t>
            </w:r>
            <w:r w:rsidR="000F0658" w:rsidRPr="00210580">
              <w:rPr>
                <w:rFonts w:eastAsia="MS Mincho"/>
              </w:rPr>
              <w:t>21 mg</w:t>
            </w:r>
            <w:r w:rsidR="000F0658">
              <w:rPr>
                <w:rFonts w:eastAsia="MS Mincho"/>
              </w:rPr>
              <w:t xml:space="preserve"> </w:t>
            </w:r>
            <w:r w:rsidR="000F0658" w:rsidRPr="00072AD3">
              <w:rPr>
                <w:rFonts w:eastAsia="MS Mincho"/>
              </w:rPr>
              <w:t>per day with taper for 12 weeks</w:t>
            </w:r>
            <w:r w:rsidR="000F0658">
              <w:rPr>
                <w:rFonts w:eastAsia="MS Mincho"/>
              </w:rPr>
              <w:t xml:space="preserve">, </w:t>
            </w:r>
            <w:r w:rsidRPr="00210580">
              <w:rPr>
                <w:rFonts w:eastAsia="MS Mincho"/>
              </w:rPr>
              <w:t>and placebo varenicline and placebo bupropion sustained release</w:t>
            </w:r>
          </w:p>
          <w:p w:rsidR="00210580" w:rsidRPr="00072AD3" w:rsidRDefault="00210580" w:rsidP="00C324F3">
            <w:pPr>
              <w:pStyle w:val="Tablewriting"/>
              <w:numPr>
                <w:ilvl w:val="0"/>
                <w:numId w:val="9"/>
              </w:numPr>
              <w:rPr>
                <w:rFonts w:eastAsia="MS Mincho"/>
              </w:rPr>
            </w:pPr>
            <w:r w:rsidRPr="00210580">
              <w:rPr>
                <w:rFonts w:eastAsia="MS Mincho"/>
              </w:rPr>
              <w:lastRenderedPageBreak/>
              <w:t>Placebo bupropion sustained release and placebo varenicline and placebo nicotine patch</w:t>
            </w:r>
          </w:p>
          <w:p w:rsidR="003D2AB2" w:rsidRPr="00072AD3" w:rsidRDefault="003D2AB2" w:rsidP="00A71365">
            <w:pPr>
              <w:pStyle w:val="Tablewriting"/>
              <w:rPr>
                <w:rFonts w:eastAsia="MS Mincho"/>
              </w:rPr>
            </w:pPr>
            <w:r>
              <w:rPr>
                <w:rFonts w:eastAsia="MS Mincho"/>
              </w:rPr>
              <w:t xml:space="preserve">Treatment duration was 12 weeks. </w:t>
            </w:r>
          </w:p>
          <w:p w:rsidR="00210580" w:rsidRDefault="00210580" w:rsidP="00A71365">
            <w:pPr>
              <w:pStyle w:val="Tablewriting"/>
              <w:rPr>
                <w:rFonts w:eastAsia="MS Mincho"/>
              </w:rPr>
            </w:pPr>
          </w:p>
          <w:p w:rsidR="00771C66" w:rsidRPr="00061F78" w:rsidRDefault="00210580" w:rsidP="00A71365">
            <w:pPr>
              <w:pStyle w:val="Tablewriting"/>
              <w:rPr>
                <w:rFonts w:eastAsia="MS Mincho"/>
              </w:rPr>
            </w:pPr>
            <w:r w:rsidRPr="0096450D">
              <w:rPr>
                <w:rFonts w:eastAsia="MS Mincho"/>
                <w:u w:val="single"/>
              </w:rPr>
              <w:t>Common components:</w:t>
            </w:r>
            <w:r w:rsidRPr="00210580">
              <w:rPr>
                <w:rFonts w:eastAsia="MS Mincho"/>
              </w:rPr>
              <w:t xml:space="preserve"> smoking cessation counselling consisting of </w:t>
            </w:r>
            <w:r w:rsidR="0096450D" w:rsidRPr="00210580">
              <w:rPr>
                <w:rFonts w:eastAsia="MS Mincho"/>
              </w:rPr>
              <w:t>10-minute</w:t>
            </w:r>
            <w:r w:rsidRPr="00210580">
              <w:rPr>
                <w:rFonts w:eastAsia="MS Mincho"/>
              </w:rPr>
              <w:t xml:space="preserve"> sessions at each of the</w:t>
            </w:r>
            <w:r w:rsidR="00887DF9">
              <w:rPr>
                <w:rFonts w:eastAsia="MS Mincho"/>
              </w:rPr>
              <w:t xml:space="preserve"> </w:t>
            </w:r>
            <w:r w:rsidRPr="00210580">
              <w:rPr>
                <w:rFonts w:eastAsia="MS Mincho"/>
              </w:rPr>
              <w:t>15 clinic visits, totalling 2 hours and 30 minutes</w:t>
            </w:r>
            <w:r w:rsidR="000E5A5C">
              <w:rPr>
                <w:rFonts w:eastAsia="MS Mincho"/>
              </w:rPr>
              <w:t>.</w:t>
            </w:r>
          </w:p>
        </w:tc>
        <w:tc>
          <w:tcPr>
            <w:tcW w:w="832" w:type="pct"/>
            <w:tcMar>
              <w:left w:w="28" w:type="dxa"/>
              <w:right w:w="28" w:type="dxa"/>
            </w:tcMar>
          </w:tcPr>
          <w:p w:rsidR="00F270CA" w:rsidRPr="00F270CA" w:rsidRDefault="004969C1" w:rsidP="00A71365">
            <w:pPr>
              <w:pStyle w:val="Tablewriting"/>
              <w:rPr>
                <w:rFonts w:eastAsia="MS Mincho"/>
              </w:rPr>
            </w:pPr>
            <w:r w:rsidRPr="004969C1">
              <w:rPr>
                <w:rFonts w:eastAsia="MS Mincho"/>
                <w:u w:val="single"/>
              </w:rPr>
              <w:lastRenderedPageBreak/>
              <w:t>Efficacy</w:t>
            </w:r>
            <w:r w:rsidR="00F270CA" w:rsidRPr="004969C1">
              <w:rPr>
                <w:rFonts w:eastAsia="MS Mincho"/>
                <w:u w:val="single"/>
              </w:rPr>
              <w:t>:</w:t>
            </w:r>
            <w:r w:rsidR="00F270CA" w:rsidRPr="00F270CA">
              <w:rPr>
                <w:rFonts w:eastAsia="MS Mincho"/>
              </w:rPr>
              <w:t xml:space="preserve"> continuous abstinence from week 9 to week 24 post-quit date (validated by CO</w:t>
            </w:r>
          </w:p>
          <w:p w:rsidR="00F270CA" w:rsidRPr="00F270CA" w:rsidRDefault="003F5E89" w:rsidP="00A71365">
            <w:pPr>
              <w:pStyle w:val="Tablewriting"/>
              <w:rPr>
                <w:rFonts w:eastAsia="MS Mincho"/>
              </w:rPr>
            </w:pPr>
            <w:r w:rsidRPr="00D96BA4">
              <w:rPr>
                <w:rFonts w:eastAsia="MS Mincho"/>
              </w:rPr>
              <w:t>≤</w:t>
            </w:r>
            <w:r w:rsidR="00F270CA" w:rsidRPr="00F270CA">
              <w:rPr>
                <w:rFonts w:eastAsia="MS Mincho"/>
              </w:rPr>
              <w:t xml:space="preserve"> 10 ppm)</w:t>
            </w:r>
            <w:r w:rsidR="00C553D1">
              <w:rPr>
                <w:rFonts w:eastAsia="MS Mincho"/>
              </w:rPr>
              <w:t>.</w:t>
            </w:r>
          </w:p>
          <w:p w:rsidR="00771C66" w:rsidRPr="00061F78" w:rsidRDefault="004969C1" w:rsidP="00A71365">
            <w:pPr>
              <w:pStyle w:val="Tablewriting"/>
              <w:rPr>
                <w:rFonts w:eastAsia="MS Mincho"/>
              </w:rPr>
            </w:pPr>
            <w:r w:rsidRPr="004969C1">
              <w:rPr>
                <w:rFonts w:eastAsia="MS Mincho"/>
                <w:u w:val="single"/>
              </w:rPr>
              <w:t>Safety</w:t>
            </w:r>
            <w:r w:rsidR="00F270CA" w:rsidRPr="004969C1">
              <w:rPr>
                <w:rFonts w:eastAsia="MS Mincho"/>
                <w:u w:val="single"/>
              </w:rPr>
              <w:t>:</w:t>
            </w:r>
            <w:r w:rsidR="00F270CA" w:rsidRPr="00F270CA">
              <w:rPr>
                <w:rFonts w:eastAsia="MS Mincho"/>
              </w:rPr>
              <w:t xml:space="preserve"> measured within 12-week treatment period, or for 30 days thereafter</w:t>
            </w:r>
            <w:r w:rsidR="00C553D1">
              <w:rPr>
                <w:rFonts w:eastAsia="MS Mincho"/>
              </w:rPr>
              <w:t>.</w:t>
            </w:r>
          </w:p>
        </w:tc>
      </w:tr>
      <w:tr w:rsidR="00541274" w:rsidRPr="00061F78" w:rsidTr="004529B1">
        <w:trPr>
          <w:trHeight w:val="149"/>
        </w:trPr>
        <w:tc>
          <w:tcPr>
            <w:tcW w:w="565" w:type="pct"/>
            <w:tcMar>
              <w:left w:w="28" w:type="dxa"/>
              <w:right w:w="28" w:type="dxa"/>
            </w:tcMar>
          </w:tcPr>
          <w:p w:rsidR="00541274" w:rsidRPr="00541274" w:rsidRDefault="0013284A" w:rsidP="00A71365">
            <w:pPr>
              <w:pStyle w:val="Tablewriting"/>
              <w:rPr>
                <w:rFonts w:eastAsia="MS Mincho"/>
              </w:rPr>
            </w:pPr>
            <w:r w:rsidRPr="0013284A">
              <w:rPr>
                <w:rFonts w:eastAsia="MS Mincho"/>
              </w:rPr>
              <w:t xml:space="preserve">Aubin </w:t>
            </w:r>
            <w:r w:rsidR="0065538B">
              <w:rPr>
                <w:rFonts w:eastAsia="MS Mincho"/>
              </w:rPr>
              <w:t>(</w:t>
            </w:r>
            <w:r w:rsidRPr="0013284A">
              <w:rPr>
                <w:rFonts w:eastAsia="MS Mincho"/>
              </w:rPr>
              <w:t>2004</w:t>
            </w:r>
            <w:r w:rsidR="0065538B">
              <w:rPr>
                <w:rFonts w:eastAsia="MS Mincho"/>
              </w:rPr>
              <w:t>)</w:t>
            </w:r>
          </w:p>
        </w:tc>
        <w:tc>
          <w:tcPr>
            <w:tcW w:w="238" w:type="pct"/>
          </w:tcPr>
          <w:p w:rsidR="00541274" w:rsidRDefault="003469C1" w:rsidP="00A71365">
            <w:pPr>
              <w:pStyle w:val="Tablewriting"/>
              <w:rPr>
                <w:rFonts w:eastAsia="MS Mincho"/>
              </w:rPr>
            </w:pPr>
            <w:r>
              <w:rPr>
                <w:rFonts w:eastAsia="MS Mincho"/>
              </w:rPr>
              <w:t>RCT</w:t>
            </w:r>
          </w:p>
        </w:tc>
        <w:tc>
          <w:tcPr>
            <w:tcW w:w="420" w:type="pct"/>
          </w:tcPr>
          <w:p w:rsidR="003469C1" w:rsidRPr="003469C1" w:rsidRDefault="003469C1" w:rsidP="00A71365">
            <w:pPr>
              <w:pStyle w:val="Tablewriting"/>
              <w:rPr>
                <w:rFonts w:eastAsia="MS Mincho"/>
              </w:rPr>
            </w:pPr>
            <w:r w:rsidRPr="003469C1">
              <w:rPr>
                <w:rFonts w:eastAsia="MS Mincho"/>
              </w:rPr>
              <w:t>France</w:t>
            </w:r>
          </w:p>
        </w:tc>
        <w:tc>
          <w:tcPr>
            <w:tcW w:w="449" w:type="pct"/>
            <w:tcMar>
              <w:left w:w="28" w:type="dxa"/>
              <w:right w:w="28" w:type="dxa"/>
            </w:tcMar>
          </w:tcPr>
          <w:p w:rsidR="00541274" w:rsidRPr="00061F78" w:rsidRDefault="000E0276" w:rsidP="00A71365">
            <w:pPr>
              <w:pStyle w:val="Tablewriting"/>
              <w:rPr>
                <w:rFonts w:eastAsia="MS Mincho"/>
              </w:rPr>
            </w:pPr>
            <w:r>
              <w:rPr>
                <w:rFonts w:eastAsia="MS Mincho"/>
              </w:rPr>
              <w:t>N=504</w:t>
            </w:r>
            <w:r w:rsidR="00301AA7">
              <w:rPr>
                <w:rFonts w:eastAsia="MS Mincho"/>
              </w:rPr>
              <w:t>; n=</w:t>
            </w:r>
            <w:r w:rsidR="00301AA7" w:rsidRPr="00301AA7">
              <w:rPr>
                <w:rFonts w:eastAsia="MS Mincho"/>
              </w:rPr>
              <w:t>34</w:t>
            </w:r>
            <w:r w:rsidR="00DC068A">
              <w:rPr>
                <w:rFonts w:eastAsia="MS Mincho"/>
              </w:rPr>
              <w:t>0</w:t>
            </w:r>
            <w:r w:rsidR="00301AA7" w:rsidRPr="00301AA7">
              <w:rPr>
                <w:rFonts w:eastAsia="MS Mincho"/>
              </w:rPr>
              <w:t xml:space="preserve"> </w:t>
            </w:r>
            <w:r w:rsidR="00301AA7">
              <w:rPr>
                <w:rFonts w:eastAsia="MS Mincho"/>
              </w:rPr>
              <w:t>(</w:t>
            </w:r>
            <w:r w:rsidR="00301AA7" w:rsidRPr="00301AA7">
              <w:rPr>
                <w:rFonts w:eastAsia="MS Mincho"/>
              </w:rPr>
              <w:t>bupropion</w:t>
            </w:r>
            <w:r w:rsidR="00301AA7">
              <w:rPr>
                <w:rFonts w:eastAsia="MS Mincho"/>
              </w:rPr>
              <w:t>),</w:t>
            </w:r>
            <w:r w:rsidR="00301AA7" w:rsidRPr="00301AA7">
              <w:rPr>
                <w:rFonts w:eastAsia="MS Mincho"/>
              </w:rPr>
              <w:t xml:space="preserve"> </w:t>
            </w:r>
            <w:r w:rsidR="00301AA7">
              <w:rPr>
                <w:rFonts w:eastAsia="MS Mincho"/>
              </w:rPr>
              <w:t>n=</w:t>
            </w:r>
            <w:r w:rsidR="00301AA7" w:rsidRPr="00301AA7">
              <w:rPr>
                <w:rFonts w:eastAsia="MS Mincho"/>
              </w:rPr>
              <w:t>16</w:t>
            </w:r>
            <w:r w:rsidR="00DC068A">
              <w:rPr>
                <w:rFonts w:eastAsia="MS Mincho"/>
              </w:rPr>
              <w:t xml:space="preserve">4 </w:t>
            </w:r>
            <w:r w:rsidR="00301AA7">
              <w:rPr>
                <w:rFonts w:eastAsia="MS Mincho"/>
              </w:rPr>
              <w:t>(</w:t>
            </w:r>
            <w:r w:rsidR="00301AA7" w:rsidRPr="00301AA7">
              <w:rPr>
                <w:rFonts w:eastAsia="MS Mincho"/>
              </w:rPr>
              <w:t>placebo)</w:t>
            </w:r>
          </w:p>
        </w:tc>
        <w:tc>
          <w:tcPr>
            <w:tcW w:w="1271" w:type="pct"/>
            <w:tcMar>
              <w:left w:w="28" w:type="dxa"/>
              <w:right w:w="28" w:type="dxa"/>
            </w:tcMar>
          </w:tcPr>
          <w:p w:rsidR="00541274" w:rsidRPr="00061F78" w:rsidRDefault="000E0276" w:rsidP="00A71365">
            <w:pPr>
              <w:pStyle w:val="Tablewriting"/>
              <w:rPr>
                <w:rFonts w:eastAsia="MS Mincho"/>
              </w:rPr>
            </w:pPr>
            <w:r w:rsidRPr="000E0276">
              <w:rPr>
                <w:rFonts w:eastAsia="MS Mincho"/>
              </w:rPr>
              <w:t>56% female, average age 41, average cigarettes per day</w:t>
            </w:r>
            <w:r w:rsidR="00DE1068">
              <w:rPr>
                <w:rFonts w:eastAsia="MS Mincho"/>
              </w:rPr>
              <w:t xml:space="preserve"> was</w:t>
            </w:r>
            <w:r w:rsidRPr="000E0276">
              <w:rPr>
                <w:rFonts w:eastAsia="MS Mincho"/>
              </w:rPr>
              <w:t xml:space="preserve"> not stated</w:t>
            </w:r>
            <w:r w:rsidR="00DE1068">
              <w:rPr>
                <w:rFonts w:eastAsia="MS Mincho"/>
              </w:rPr>
              <w:t>.</w:t>
            </w:r>
          </w:p>
        </w:tc>
        <w:tc>
          <w:tcPr>
            <w:tcW w:w="1224" w:type="pct"/>
          </w:tcPr>
          <w:p w:rsidR="008201C0" w:rsidRPr="008201C0" w:rsidRDefault="008201C0" w:rsidP="00C324F3">
            <w:pPr>
              <w:pStyle w:val="Tablewriting"/>
              <w:numPr>
                <w:ilvl w:val="0"/>
                <w:numId w:val="10"/>
              </w:numPr>
              <w:rPr>
                <w:rFonts w:eastAsia="MS Mincho"/>
              </w:rPr>
            </w:pPr>
            <w:r w:rsidRPr="008201C0">
              <w:rPr>
                <w:rFonts w:eastAsia="MS Mincho"/>
              </w:rPr>
              <w:t>Bupropion 300 mg</w:t>
            </w:r>
            <w:r w:rsidR="00FA5AC1">
              <w:rPr>
                <w:rFonts w:eastAsia="MS Mincho"/>
              </w:rPr>
              <w:t>/day</w:t>
            </w:r>
            <w:r w:rsidRPr="008201C0">
              <w:rPr>
                <w:rFonts w:eastAsia="MS Mincho"/>
              </w:rPr>
              <w:t xml:space="preserve"> for 7 weeks</w:t>
            </w:r>
          </w:p>
          <w:p w:rsidR="008201C0" w:rsidRPr="008201C0" w:rsidRDefault="008201C0" w:rsidP="00C324F3">
            <w:pPr>
              <w:pStyle w:val="Tablewriting"/>
              <w:numPr>
                <w:ilvl w:val="0"/>
                <w:numId w:val="10"/>
              </w:numPr>
              <w:rPr>
                <w:rFonts w:eastAsia="MS Mincho"/>
              </w:rPr>
            </w:pPr>
            <w:r w:rsidRPr="008201C0">
              <w:rPr>
                <w:rFonts w:eastAsia="MS Mincho"/>
              </w:rPr>
              <w:t>Placebo</w:t>
            </w:r>
          </w:p>
          <w:p w:rsidR="008201C0" w:rsidRDefault="008201C0" w:rsidP="00A71365">
            <w:pPr>
              <w:pStyle w:val="Tablewriting"/>
              <w:rPr>
                <w:rFonts w:eastAsia="MS Mincho"/>
              </w:rPr>
            </w:pPr>
          </w:p>
          <w:p w:rsidR="00541274" w:rsidRPr="00061F78" w:rsidRDefault="008201C0" w:rsidP="00A71365">
            <w:pPr>
              <w:pStyle w:val="Tablewriting"/>
              <w:rPr>
                <w:rFonts w:eastAsia="MS Mincho"/>
              </w:rPr>
            </w:pPr>
            <w:r w:rsidRPr="008201C0">
              <w:rPr>
                <w:rFonts w:eastAsia="MS Mincho"/>
                <w:u w:val="single"/>
              </w:rPr>
              <w:t>Common components:</w:t>
            </w:r>
            <w:r>
              <w:rPr>
                <w:rFonts w:eastAsia="MS Mincho"/>
                <w:u w:val="single"/>
              </w:rPr>
              <w:t xml:space="preserve"> </w:t>
            </w:r>
            <w:r w:rsidRPr="00AC66CC">
              <w:rPr>
                <w:rFonts w:eastAsia="MS Mincho"/>
              </w:rPr>
              <w:t>M</w:t>
            </w:r>
            <w:r w:rsidRPr="008201C0">
              <w:rPr>
                <w:rFonts w:eastAsia="MS Mincho"/>
              </w:rPr>
              <w:t>otivational support at clinic visits at baseline</w:t>
            </w:r>
            <w:r w:rsidR="00763500">
              <w:rPr>
                <w:rFonts w:eastAsia="MS Mincho"/>
              </w:rPr>
              <w:t xml:space="preserve"> (</w:t>
            </w:r>
            <w:r w:rsidRPr="008201C0">
              <w:rPr>
                <w:rFonts w:eastAsia="MS Mincho"/>
              </w:rPr>
              <w:t>w</w:t>
            </w:r>
            <w:r w:rsidR="005D6594">
              <w:rPr>
                <w:rFonts w:eastAsia="MS Mincho"/>
              </w:rPr>
              <w:t xml:space="preserve">eek </w:t>
            </w:r>
            <w:r w:rsidRPr="008201C0">
              <w:rPr>
                <w:rFonts w:eastAsia="MS Mincho"/>
              </w:rPr>
              <w:t xml:space="preserve">3, 7, </w:t>
            </w:r>
            <w:r w:rsidR="00F116E7">
              <w:rPr>
                <w:rFonts w:eastAsia="MS Mincho"/>
              </w:rPr>
              <w:t>and</w:t>
            </w:r>
            <w:r w:rsidR="005D6594">
              <w:rPr>
                <w:rFonts w:eastAsia="MS Mincho"/>
              </w:rPr>
              <w:t xml:space="preserve"> </w:t>
            </w:r>
            <w:r w:rsidRPr="008201C0">
              <w:rPr>
                <w:rFonts w:eastAsia="MS Mincho"/>
              </w:rPr>
              <w:t>12</w:t>
            </w:r>
            <w:r w:rsidR="00763500">
              <w:rPr>
                <w:rFonts w:eastAsia="MS Mincho"/>
              </w:rPr>
              <w:t>)</w:t>
            </w:r>
            <w:r w:rsidRPr="008201C0">
              <w:rPr>
                <w:rFonts w:eastAsia="MS Mincho"/>
              </w:rPr>
              <w:t xml:space="preserve"> and 3 phone calls</w:t>
            </w:r>
            <w:r>
              <w:rPr>
                <w:rFonts w:eastAsia="MS Mincho"/>
              </w:rPr>
              <w:t xml:space="preserve"> </w:t>
            </w:r>
            <w:r w:rsidRPr="008201C0">
              <w:rPr>
                <w:rFonts w:eastAsia="MS Mincho"/>
              </w:rPr>
              <w:t>TQD, 2 to 3 days later</w:t>
            </w:r>
            <w:r w:rsidR="00763500">
              <w:rPr>
                <w:rFonts w:eastAsia="MS Mincho"/>
              </w:rPr>
              <w:t xml:space="preserve"> (</w:t>
            </w:r>
            <w:r w:rsidRPr="008201C0">
              <w:rPr>
                <w:rFonts w:eastAsia="MS Mincho"/>
              </w:rPr>
              <w:t>w</w:t>
            </w:r>
            <w:r w:rsidR="005D6594">
              <w:rPr>
                <w:rFonts w:eastAsia="MS Mincho"/>
              </w:rPr>
              <w:t xml:space="preserve">eek </w:t>
            </w:r>
            <w:r w:rsidRPr="008201C0">
              <w:rPr>
                <w:rFonts w:eastAsia="MS Mincho"/>
              </w:rPr>
              <w:t>5</w:t>
            </w:r>
            <w:r w:rsidR="00763500">
              <w:rPr>
                <w:rFonts w:eastAsia="MS Mincho"/>
              </w:rPr>
              <w:t xml:space="preserve"> and </w:t>
            </w:r>
            <w:r w:rsidRPr="008201C0">
              <w:rPr>
                <w:rFonts w:eastAsia="MS Mincho"/>
              </w:rPr>
              <w:t>18</w:t>
            </w:r>
            <w:r w:rsidR="00763500">
              <w:rPr>
                <w:rFonts w:eastAsia="MS Mincho"/>
              </w:rPr>
              <w:t>)</w:t>
            </w:r>
          </w:p>
        </w:tc>
        <w:tc>
          <w:tcPr>
            <w:tcW w:w="832" w:type="pct"/>
            <w:tcMar>
              <w:left w:w="28" w:type="dxa"/>
              <w:right w:w="28" w:type="dxa"/>
            </w:tcMar>
          </w:tcPr>
          <w:p w:rsidR="00F11C03" w:rsidRDefault="002D4421" w:rsidP="00A71365">
            <w:pPr>
              <w:pStyle w:val="Tablewriting"/>
              <w:rPr>
                <w:rFonts w:eastAsia="MS Mincho"/>
              </w:rPr>
            </w:pPr>
            <w:r w:rsidRPr="002D4421">
              <w:rPr>
                <w:rFonts w:eastAsia="MS Mincho"/>
                <w:u w:val="single"/>
              </w:rPr>
              <w:t>Efficacy:</w:t>
            </w:r>
            <w:r>
              <w:rPr>
                <w:rFonts w:eastAsia="MS Mincho"/>
              </w:rPr>
              <w:t xml:space="preserve"> </w:t>
            </w:r>
          </w:p>
          <w:p w:rsidR="00F11C03" w:rsidRDefault="005D5C89" w:rsidP="00A71365">
            <w:pPr>
              <w:pStyle w:val="Tablewriting"/>
              <w:rPr>
                <w:rFonts w:eastAsia="MS Mincho"/>
              </w:rPr>
            </w:pPr>
            <w:r w:rsidRPr="005D5C89">
              <w:rPr>
                <w:rFonts w:eastAsia="MS Mincho"/>
              </w:rPr>
              <w:t>The primary efficacy criterion was point prevalence abstinence</w:t>
            </w:r>
            <w:r w:rsidR="00302972">
              <w:rPr>
                <w:rFonts w:eastAsia="MS Mincho"/>
              </w:rPr>
              <w:t xml:space="preserve"> </w:t>
            </w:r>
            <w:r w:rsidR="008139D1">
              <w:rPr>
                <w:rFonts w:eastAsia="MS Mincho"/>
              </w:rPr>
              <w:t>(PPA)</w:t>
            </w:r>
            <w:r w:rsidR="00302972">
              <w:rPr>
                <w:rFonts w:eastAsia="MS Mincho"/>
              </w:rPr>
              <w:t xml:space="preserve"> </w:t>
            </w:r>
            <w:r w:rsidRPr="005D5C89">
              <w:rPr>
                <w:rFonts w:eastAsia="MS Mincho"/>
              </w:rPr>
              <w:t>at</w:t>
            </w:r>
            <w:r w:rsidR="007D1F3D">
              <w:rPr>
                <w:rFonts w:eastAsia="MS Mincho"/>
              </w:rPr>
              <w:t xml:space="preserve"> </w:t>
            </w:r>
            <w:r w:rsidRPr="005D5C89">
              <w:rPr>
                <w:rFonts w:eastAsia="MS Mincho"/>
              </w:rPr>
              <w:t>week 26.</w:t>
            </w:r>
          </w:p>
          <w:p w:rsidR="006715A1" w:rsidRDefault="006715A1" w:rsidP="00A71365">
            <w:pPr>
              <w:pStyle w:val="Tablewriting"/>
              <w:rPr>
                <w:rFonts w:eastAsia="MS Mincho"/>
              </w:rPr>
            </w:pPr>
          </w:p>
          <w:p w:rsidR="00F11C03" w:rsidRPr="00F11C03" w:rsidRDefault="00F11C03" w:rsidP="00A71365">
            <w:pPr>
              <w:pStyle w:val="Tablewriting"/>
              <w:rPr>
                <w:rFonts w:eastAsia="MS Mincho"/>
              </w:rPr>
            </w:pPr>
            <w:r w:rsidRPr="00F11C03">
              <w:rPr>
                <w:rFonts w:eastAsia="MS Mincho"/>
              </w:rPr>
              <w:t>Secondary efficacy criteria were point prevalence abstinence</w:t>
            </w:r>
          </w:p>
          <w:p w:rsidR="005D5C89" w:rsidRDefault="00F11C03" w:rsidP="00A71365">
            <w:pPr>
              <w:pStyle w:val="Tablewriting"/>
              <w:rPr>
                <w:rFonts w:eastAsia="MS Mincho"/>
              </w:rPr>
            </w:pPr>
            <w:r w:rsidRPr="00F11C03">
              <w:rPr>
                <w:rFonts w:eastAsia="MS Mincho"/>
              </w:rPr>
              <w:t>at the end of the treatment phase (week 7), the</w:t>
            </w:r>
            <w:r w:rsidR="006715A1">
              <w:rPr>
                <w:rFonts w:eastAsia="MS Mincho"/>
              </w:rPr>
              <w:t xml:space="preserve"> </w:t>
            </w:r>
            <w:r w:rsidRPr="00F11C03">
              <w:rPr>
                <w:rFonts w:eastAsia="MS Mincho"/>
              </w:rPr>
              <w:t>rates of continuous abstinence over the treatment period</w:t>
            </w:r>
            <w:r w:rsidR="006715A1">
              <w:rPr>
                <w:rFonts w:eastAsia="MS Mincho"/>
              </w:rPr>
              <w:t xml:space="preserve"> </w:t>
            </w:r>
            <w:r w:rsidRPr="00F11C03">
              <w:rPr>
                <w:rFonts w:eastAsia="MS Mincho"/>
              </w:rPr>
              <w:t>(from weeks 4 to 7) and over the follow-up period</w:t>
            </w:r>
            <w:r w:rsidR="006715A1">
              <w:rPr>
                <w:rFonts w:eastAsia="MS Mincho"/>
              </w:rPr>
              <w:t xml:space="preserve"> </w:t>
            </w:r>
            <w:r w:rsidRPr="00F11C03">
              <w:rPr>
                <w:rFonts w:eastAsia="MS Mincho"/>
              </w:rPr>
              <w:t>(weeks 4–26)</w:t>
            </w:r>
            <w:r w:rsidR="0064534C">
              <w:rPr>
                <w:rFonts w:eastAsia="MS Mincho"/>
              </w:rPr>
              <w:t>.</w:t>
            </w:r>
            <w:r w:rsidR="005D5C89" w:rsidRPr="005D5C89">
              <w:rPr>
                <w:rFonts w:eastAsia="MS Mincho"/>
              </w:rPr>
              <w:t xml:space="preserve"> </w:t>
            </w:r>
          </w:p>
          <w:p w:rsidR="006715A1" w:rsidRDefault="006715A1" w:rsidP="00A71365">
            <w:pPr>
              <w:pStyle w:val="Tablewriting"/>
              <w:rPr>
                <w:rFonts w:eastAsia="MS Mincho"/>
              </w:rPr>
            </w:pPr>
          </w:p>
          <w:p w:rsidR="002F2D96" w:rsidRDefault="002D4421" w:rsidP="00A71365">
            <w:pPr>
              <w:pStyle w:val="Tablewriting"/>
              <w:rPr>
                <w:rFonts w:eastAsia="MS Mincho"/>
              </w:rPr>
            </w:pPr>
            <w:r w:rsidRPr="002D4421">
              <w:rPr>
                <w:rFonts w:eastAsia="MS Mincho"/>
              </w:rPr>
              <w:t>Validation: CO &lt; 10 ppm</w:t>
            </w:r>
          </w:p>
          <w:p w:rsidR="00FD30C5" w:rsidRDefault="00FD30C5" w:rsidP="00A71365">
            <w:pPr>
              <w:pStyle w:val="Tablewriting"/>
              <w:rPr>
                <w:rFonts w:eastAsia="MS Mincho"/>
              </w:rPr>
            </w:pPr>
          </w:p>
          <w:p w:rsidR="00541274" w:rsidRPr="00061F78" w:rsidRDefault="00FD30C5" w:rsidP="00A71365">
            <w:pPr>
              <w:pStyle w:val="Tablewriting"/>
              <w:rPr>
                <w:rFonts w:eastAsia="MS Mincho"/>
              </w:rPr>
            </w:pPr>
            <w:r w:rsidRPr="00FD30C5">
              <w:rPr>
                <w:rFonts w:eastAsia="MS Mincho"/>
                <w:u w:val="single"/>
              </w:rPr>
              <w:t>Safety:</w:t>
            </w:r>
            <w:r>
              <w:rPr>
                <w:rFonts w:eastAsia="MS Mincho"/>
              </w:rPr>
              <w:t xml:space="preserve"> </w:t>
            </w:r>
            <w:r w:rsidR="00F72929">
              <w:rPr>
                <w:rFonts w:eastAsia="MS Mincho"/>
              </w:rPr>
              <w:t>Adverse events</w:t>
            </w:r>
            <w:r w:rsidR="00801C6F">
              <w:rPr>
                <w:rFonts w:eastAsia="MS Mincho"/>
              </w:rPr>
              <w:t xml:space="preserve">, serious adverse events. </w:t>
            </w:r>
          </w:p>
        </w:tc>
      </w:tr>
      <w:tr w:rsidR="00541274" w:rsidRPr="00061F78" w:rsidTr="004529B1">
        <w:trPr>
          <w:trHeight w:val="149"/>
        </w:trPr>
        <w:tc>
          <w:tcPr>
            <w:tcW w:w="565" w:type="pct"/>
            <w:tcMar>
              <w:left w:w="28" w:type="dxa"/>
              <w:right w:w="28" w:type="dxa"/>
            </w:tcMar>
          </w:tcPr>
          <w:p w:rsidR="00541274" w:rsidRPr="00541274" w:rsidRDefault="0013284A" w:rsidP="00A71365">
            <w:pPr>
              <w:pStyle w:val="Tablewriting"/>
              <w:rPr>
                <w:rFonts w:eastAsia="MS Mincho"/>
              </w:rPr>
            </w:pPr>
            <w:r w:rsidRPr="0013284A">
              <w:rPr>
                <w:rFonts w:eastAsia="MS Mincho"/>
              </w:rPr>
              <w:t xml:space="preserve">Brown </w:t>
            </w:r>
            <w:r w:rsidR="0065538B">
              <w:rPr>
                <w:rFonts w:eastAsia="MS Mincho"/>
              </w:rPr>
              <w:t>(</w:t>
            </w:r>
            <w:r w:rsidRPr="0013284A">
              <w:rPr>
                <w:rFonts w:eastAsia="MS Mincho"/>
              </w:rPr>
              <w:t>2007</w:t>
            </w:r>
            <w:r w:rsidR="0065538B">
              <w:rPr>
                <w:rFonts w:eastAsia="MS Mincho"/>
              </w:rPr>
              <w:t>)</w:t>
            </w:r>
          </w:p>
        </w:tc>
        <w:tc>
          <w:tcPr>
            <w:tcW w:w="238" w:type="pct"/>
          </w:tcPr>
          <w:p w:rsidR="00541274" w:rsidRDefault="0019413C" w:rsidP="00A71365">
            <w:pPr>
              <w:pStyle w:val="Tablewriting"/>
              <w:rPr>
                <w:rFonts w:eastAsia="MS Mincho"/>
              </w:rPr>
            </w:pPr>
            <w:r>
              <w:rPr>
                <w:rFonts w:eastAsia="MS Mincho"/>
              </w:rPr>
              <w:t>RCT</w:t>
            </w:r>
          </w:p>
        </w:tc>
        <w:tc>
          <w:tcPr>
            <w:tcW w:w="420" w:type="pct"/>
          </w:tcPr>
          <w:p w:rsidR="0019413C" w:rsidRDefault="0019413C" w:rsidP="00A71365">
            <w:pPr>
              <w:pStyle w:val="Tablewriting"/>
              <w:rPr>
                <w:rFonts w:eastAsia="MS Mincho"/>
              </w:rPr>
            </w:pPr>
            <w:r>
              <w:rPr>
                <w:rFonts w:eastAsia="MS Mincho"/>
              </w:rPr>
              <w:t>USA</w:t>
            </w:r>
          </w:p>
        </w:tc>
        <w:tc>
          <w:tcPr>
            <w:tcW w:w="449" w:type="pct"/>
            <w:tcMar>
              <w:left w:w="28" w:type="dxa"/>
              <w:right w:w="28" w:type="dxa"/>
            </w:tcMar>
          </w:tcPr>
          <w:p w:rsidR="00541274" w:rsidRPr="00061F78" w:rsidRDefault="00B12A69" w:rsidP="00A71365">
            <w:pPr>
              <w:pStyle w:val="Tablewriting"/>
              <w:rPr>
                <w:rFonts w:eastAsia="MS Mincho"/>
              </w:rPr>
            </w:pPr>
            <w:r>
              <w:rPr>
                <w:rFonts w:eastAsia="MS Mincho"/>
              </w:rPr>
              <w:t>N=524</w:t>
            </w:r>
          </w:p>
        </w:tc>
        <w:tc>
          <w:tcPr>
            <w:tcW w:w="1271" w:type="pct"/>
            <w:tcMar>
              <w:left w:w="28" w:type="dxa"/>
              <w:right w:w="28" w:type="dxa"/>
            </w:tcMar>
          </w:tcPr>
          <w:p w:rsidR="00541274" w:rsidRPr="00061F78" w:rsidRDefault="00B12A69" w:rsidP="00A71365">
            <w:pPr>
              <w:pStyle w:val="Tablewriting"/>
              <w:rPr>
                <w:rFonts w:eastAsia="MS Mincho"/>
              </w:rPr>
            </w:pPr>
            <w:r w:rsidRPr="00B12A69">
              <w:rPr>
                <w:rFonts w:eastAsia="MS Mincho"/>
              </w:rPr>
              <w:t>48% female</w:t>
            </w:r>
            <w:r w:rsidR="0064534C">
              <w:rPr>
                <w:rFonts w:eastAsia="MS Mincho"/>
              </w:rPr>
              <w:t>,</w:t>
            </w:r>
            <w:r w:rsidRPr="00B12A69">
              <w:rPr>
                <w:rFonts w:eastAsia="MS Mincho"/>
              </w:rPr>
              <w:t xml:space="preserve"> average age 44</w:t>
            </w:r>
            <w:r w:rsidR="0064534C">
              <w:rPr>
                <w:rFonts w:eastAsia="MS Mincho"/>
              </w:rPr>
              <w:t>,</w:t>
            </w:r>
            <w:r w:rsidRPr="00B12A69">
              <w:rPr>
                <w:rFonts w:eastAsia="MS Mincho"/>
              </w:rPr>
              <w:t xml:space="preserve"> average cigarettes per day 25</w:t>
            </w:r>
            <w:r w:rsidR="0064534C">
              <w:rPr>
                <w:rFonts w:eastAsia="MS Mincho"/>
              </w:rPr>
              <w:t>.</w:t>
            </w:r>
          </w:p>
        </w:tc>
        <w:tc>
          <w:tcPr>
            <w:tcW w:w="1224" w:type="pct"/>
          </w:tcPr>
          <w:p w:rsidR="00B927EA" w:rsidRPr="00B927EA" w:rsidRDefault="00B927EA" w:rsidP="00C324F3">
            <w:pPr>
              <w:pStyle w:val="Tablewriting"/>
              <w:numPr>
                <w:ilvl w:val="0"/>
                <w:numId w:val="11"/>
              </w:numPr>
              <w:rPr>
                <w:rFonts w:eastAsia="MS Mincho"/>
              </w:rPr>
            </w:pPr>
            <w:r w:rsidRPr="00B927EA">
              <w:rPr>
                <w:rFonts w:eastAsia="MS Mincho"/>
              </w:rPr>
              <w:t>Bupropion 300 mg/day for 12 weeks</w:t>
            </w:r>
          </w:p>
          <w:p w:rsidR="002F2D96" w:rsidRDefault="00B927EA" w:rsidP="00C324F3">
            <w:pPr>
              <w:pStyle w:val="Tablewriting"/>
              <w:numPr>
                <w:ilvl w:val="0"/>
                <w:numId w:val="11"/>
              </w:numPr>
              <w:rPr>
                <w:rFonts w:eastAsia="MS Mincho"/>
              </w:rPr>
            </w:pPr>
            <w:r w:rsidRPr="00B927EA">
              <w:rPr>
                <w:rFonts w:eastAsia="MS Mincho"/>
              </w:rPr>
              <w:t>Placebo</w:t>
            </w:r>
          </w:p>
          <w:p w:rsidR="00A06F2A" w:rsidRDefault="00A06F2A" w:rsidP="00A71365">
            <w:pPr>
              <w:pStyle w:val="Tablewriting"/>
              <w:rPr>
                <w:rFonts w:eastAsia="MS Mincho"/>
              </w:rPr>
            </w:pPr>
          </w:p>
          <w:p w:rsidR="00541274" w:rsidRPr="00061F78" w:rsidRDefault="00A06F2A" w:rsidP="00A71365">
            <w:pPr>
              <w:pStyle w:val="Tablewriting"/>
              <w:rPr>
                <w:rFonts w:eastAsia="MS Mincho"/>
              </w:rPr>
            </w:pPr>
            <w:r w:rsidRPr="00494271">
              <w:rPr>
                <w:rFonts w:eastAsia="MS Mincho"/>
                <w:u w:val="single"/>
              </w:rPr>
              <w:t>Common components:</w:t>
            </w:r>
            <w:r w:rsidR="00494271" w:rsidRPr="00494271">
              <w:rPr>
                <w:rFonts w:eastAsia="MS Mincho"/>
                <w:u w:val="single"/>
              </w:rPr>
              <w:t xml:space="preserve"> </w:t>
            </w:r>
            <w:r w:rsidR="00494271" w:rsidRPr="00494271">
              <w:rPr>
                <w:rFonts w:eastAsia="MS Mincho"/>
              </w:rPr>
              <w:t>Alternative psychosocial treatments were standard cessation therapy or plus CBT</w:t>
            </w:r>
            <w:r w:rsidR="004C06B7">
              <w:rPr>
                <w:rFonts w:eastAsia="MS Mincho"/>
              </w:rPr>
              <w:t xml:space="preserve"> </w:t>
            </w:r>
            <w:r w:rsidR="00494271" w:rsidRPr="00494271">
              <w:rPr>
                <w:rFonts w:eastAsia="MS Mincho"/>
              </w:rPr>
              <w:t>for depression. Both had 12 x 90 min groups twice weekly/weekly/monthly for 12 weeks. TQD 5th session.</w:t>
            </w:r>
          </w:p>
        </w:tc>
        <w:tc>
          <w:tcPr>
            <w:tcW w:w="832" w:type="pct"/>
            <w:tcMar>
              <w:left w:w="28" w:type="dxa"/>
              <w:right w:w="28" w:type="dxa"/>
            </w:tcMar>
          </w:tcPr>
          <w:p w:rsidR="00BA3C72" w:rsidRPr="00BA3C72" w:rsidRDefault="00BA3C72" w:rsidP="00A71365">
            <w:pPr>
              <w:pStyle w:val="Tablewriting"/>
              <w:rPr>
                <w:rFonts w:eastAsia="MS Mincho"/>
              </w:rPr>
            </w:pPr>
            <w:r>
              <w:rPr>
                <w:rFonts w:eastAsia="MS Mincho"/>
                <w:u w:val="single"/>
              </w:rPr>
              <w:lastRenderedPageBreak/>
              <w:t>Efficacy:</w:t>
            </w:r>
            <w:r w:rsidRPr="00BA3C72">
              <w:rPr>
                <w:rFonts w:eastAsia="MS Mincho"/>
              </w:rPr>
              <w:t xml:space="preserve"> abstinence at 12 months (sustained at 4 </w:t>
            </w:r>
            <w:r w:rsidRPr="00BA3C72">
              <w:rPr>
                <w:rFonts w:eastAsia="MS Mincho"/>
              </w:rPr>
              <w:lastRenderedPageBreak/>
              <w:t xml:space="preserve">visits). Validated by CO </w:t>
            </w:r>
            <w:r w:rsidR="00AC7F27" w:rsidRPr="00D96BA4">
              <w:rPr>
                <w:rFonts w:eastAsia="MS Mincho"/>
              </w:rPr>
              <w:t>≤</w:t>
            </w:r>
            <w:r w:rsidRPr="00BA3C72">
              <w:rPr>
                <w:rFonts w:eastAsia="MS Mincho"/>
              </w:rPr>
              <w:t xml:space="preserve"> 10 ppm, saliva</w:t>
            </w:r>
          </w:p>
          <w:p w:rsidR="00BA3C72" w:rsidRPr="00BA3C72" w:rsidRDefault="00BA3C72" w:rsidP="00A71365">
            <w:pPr>
              <w:pStyle w:val="Tablewriting"/>
              <w:rPr>
                <w:rFonts w:eastAsia="MS Mincho"/>
              </w:rPr>
            </w:pPr>
            <w:r w:rsidRPr="00BA3C72">
              <w:rPr>
                <w:rFonts w:eastAsia="MS Mincho"/>
              </w:rPr>
              <w:t xml:space="preserve">cotinine </w:t>
            </w:r>
            <w:r w:rsidR="004E45D3" w:rsidRPr="00D96BA4">
              <w:rPr>
                <w:rFonts w:eastAsia="MS Mincho"/>
              </w:rPr>
              <w:t>≤</w:t>
            </w:r>
            <w:r w:rsidRPr="00BA3C72">
              <w:rPr>
                <w:rFonts w:eastAsia="MS Mincho"/>
              </w:rPr>
              <w:t xml:space="preserve"> 15 ng/mL</w:t>
            </w:r>
          </w:p>
          <w:p w:rsidR="00541274" w:rsidRPr="00061F78" w:rsidRDefault="00BA3C72" w:rsidP="00A71365">
            <w:pPr>
              <w:pStyle w:val="Tablewriting"/>
              <w:rPr>
                <w:rFonts w:eastAsia="MS Mincho"/>
              </w:rPr>
            </w:pPr>
            <w:r>
              <w:rPr>
                <w:rFonts w:eastAsia="MS Mincho"/>
                <w:u w:val="single"/>
              </w:rPr>
              <w:t>Safety:</w:t>
            </w:r>
            <w:r w:rsidRPr="00BA3C72">
              <w:rPr>
                <w:rFonts w:eastAsia="MS Mincho"/>
              </w:rPr>
              <w:t xml:space="preserve"> measured for 12 weeks</w:t>
            </w:r>
            <w:r w:rsidR="00975231">
              <w:rPr>
                <w:rFonts w:eastAsia="MS Mincho"/>
              </w:rPr>
              <w:t>.</w:t>
            </w:r>
          </w:p>
        </w:tc>
      </w:tr>
      <w:tr w:rsidR="00541274" w:rsidRPr="00061F78" w:rsidTr="004529B1">
        <w:trPr>
          <w:trHeight w:val="149"/>
        </w:trPr>
        <w:tc>
          <w:tcPr>
            <w:tcW w:w="565" w:type="pct"/>
            <w:tcMar>
              <w:left w:w="28" w:type="dxa"/>
              <w:right w:w="28" w:type="dxa"/>
            </w:tcMar>
          </w:tcPr>
          <w:p w:rsidR="00541274" w:rsidRPr="00541274" w:rsidRDefault="00FE349B" w:rsidP="00A71365">
            <w:pPr>
              <w:pStyle w:val="Tablewriting"/>
              <w:rPr>
                <w:rFonts w:eastAsia="MS Mincho"/>
              </w:rPr>
            </w:pPr>
            <w:r w:rsidRPr="00FE349B">
              <w:rPr>
                <w:rFonts w:eastAsia="MS Mincho"/>
              </w:rPr>
              <w:lastRenderedPageBreak/>
              <w:t xml:space="preserve">Cinciripini </w:t>
            </w:r>
            <w:r w:rsidR="0065538B">
              <w:rPr>
                <w:rFonts w:eastAsia="MS Mincho"/>
              </w:rPr>
              <w:t>(</w:t>
            </w:r>
            <w:r w:rsidRPr="00FE349B">
              <w:rPr>
                <w:rFonts w:eastAsia="MS Mincho"/>
              </w:rPr>
              <w:t>2013</w:t>
            </w:r>
            <w:r w:rsidR="0065538B">
              <w:rPr>
                <w:rFonts w:eastAsia="MS Mincho"/>
              </w:rPr>
              <w:t>)</w:t>
            </w:r>
          </w:p>
        </w:tc>
        <w:tc>
          <w:tcPr>
            <w:tcW w:w="238" w:type="pct"/>
          </w:tcPr>
          <w:p w:rsidR="00541274" w:rsidRDefault="00B51DDD" w:rsidP="00A71365">
            <w:pPr>
              <w:pStyle w:val="Tablewriting"/>
              <w:rPr>
                <w:rFonts w:eastAsia="MS Mincho"/>
              </w:rPr>
            </w:pPr>
            <w:r>
              <w:rPr>
                <w:rFonts w:eastAsia="MS Mincho"/>
              </w:rPr>
              <w:t>RCT</w:t>
            </w:r>
          </w:p>
        </w:tc>
        <w:tc>
          <w:tcPr>
            <w:tcW w:w="420" w:type="pct"/>
          </w:tcPr>
          <w:p w:rsidR="00B51DDD" w:rsidRDefault="00B51DDD" w:rsidP="00A71365">
            <w:pPr>
              <w:pStyle w:val="Tablewriting"/>
              <w:rPr>
                <w:rFonts w:eastAsia="MS Mincho"/>
              </w:rPr>
            </w:pPr>
            <w:r>
              <w:rPr>
                <w:rFonts w:eastAsia="MS Mincho"/>
              </w:rPr>
              <w:t>USA</w:t>
            </w:r>
          </w:p>
        </w:tc>
        <w:tc>
          <w:tcPr>
            <w:tcW w:w="449" w:type="pct"/>
            <w:tcMar>
              <w:left w:w="28" w:type="dxa"/>
              <w:right w:w="28" w:type="dxa"/>
            </w:tcMar>
          </w:tcPr>
          <w:p w:rsidR="00541274" w:rsidRPr="00061F78" w:rsidRDefault="00B51DDD" w:rsidP="00A71365">
            <w:pPr>
              <w:pStyle w:val="Tablewriting"/>
              <w:rPr>
                <w:rFonts w:eastAsia="MS Mincho"/>
              </w:rPr>
            </w:pPr>
            <w:r>
              <w:rPr>
                <w:rFonts w:eastAsia="MS Mincho"/>
              </w:rPr>
              <w:t>N=</w:t>
            </w:r>
            <w:r w:rsidR="00D80F8A">
              <w:rPr>
                <w:rFonts w:eastAsia="MS Mincho"/>
              </w:rPr>
              <w:t>294</w:t>
            </w:r>
          </w:p>
        </w:tc>
        <w:tc>
          <w:tcPr>
            <w:tcW w:w="1271" w:type="pct"/>
            <w:tcMar>
              <w:left w:w="28" w:type="dxa"/>
              <w:right w:w="28" w:type="dxa"/>
            </w:tcMar>
          </w:tcPr>
          <w:p w:rsidR="00541274" w:rsidRPr="00061F78" w:rsidRDefault="006862A4" w:rsidP="00A71365">
            <w:pPr>
              <w:pStyle w:val="Tablewriting"/>
              <w:rPr>
                <w:rFonts w:eastAsia="MS Mincho"/>
              </w:rPr>
            </w:pPr>
            <w:r w:rsidRPr="006862A4">
              <w:rPr>
                <w:rFonts w:eastAsia="MS Mincho"/>
              </w:rPr>
              <w:t>39% female</w:t>
            </w:r>
            <w:r w:rsidR="00A1641E">
              <w:rPr>
                <w:rFonts w:eastAsia="MS Mincho"/>
              </w:rPr>
              <w:t>,</w:t>
            </w:r>
            <w:r w:rsidRPr="006862A4">
              <w:rPr>
                <w:rFonts w:eastAsia="MS Mincho"/>
              </w:rPr>
              <w:t xml:space="preserve"> average age 44</w:t>
            </w:r>
            <w:r w:rsidR="00A1641E">
              <w:rPr>
                <w:rFonts w:eastAsia="MS Mincho"/>
              </w:rPr>
              <w:t>,</w:t>
            </w:r>
            <w:r w:rsidRPr="006862A4">
              <w:rPr>
                <w:rFonts w:eastAsia="MS Mincho"/>
              </w:rPr>
              <w:t xml:space="preserve"> average cigarettes per day 20</w:t>
            </w:r>
            <w:r w:rsidR="00A1641E">
              <w:rPr>
                <w:rFonts w:eastAsia="MS Mincho"/>
              </w:rPr>
              <w:t>,</w:t>
            </w:r>
            <w:r w:rsidRPr="006862A4">
              <w:rPr>
                <w:rFonts w:eastAsia="MS Mincho"/>
              </w:rPr>
              <w:t xml:space="preserve"> mean FTND</w:t>
            </w:r>
            <w:r w:rsidR="00A1641E">
              <w:rPr>
                <w:rFonts w:eastAsia="MS Mincho"/>
              </w:rPr>
              <w:t xml:space="preserve"> </w:t>
            </w:r>
            <w:r w:rsidRPr="006862A4">
              <w:rPr>
                <w:rFonts w:eastAsia="MS Mincho"/>
              </w:rPr>
              <w:t>4.5</w:t>
            </w:r>
            <w:r w:rsidR="00A1641E">
              <w:rPr>
                <w:rFonts w:eastAsia="MS Mincho"/>
              </w:rPr>
              <w:t>.</w:t>
            </w:r>
          </w:p>
        </w:tc>
        <w:tc>
          <w:tcPr>
            <w:tcW w:w="1224" w:type="pct"/>
          </w:tcPr>
          <w:p w:rsidR="006862A4" w:rsidRPr="006862A4" w:rsidRDefault="006862A4" w:rsidP="00C324F3">
            <w:pPr>
              <w:pStyle w:val="Tablewriting"/>
              <w:numPr>
                <w:ilvl w:val="0"/>
                <w:numId w:val="12"/>
              </w:numPr>
              <w:rPr>
                <w:rFonts w:eastAsia="MS Mincho"/>
              </w:rPr>
            </w:pPr>
            <w:r w:rsidRPr="006862A4">
              <w:rPr>
                <w:rFonts w:eastAsia="MS Mincho"/>
              </w:rPr>
              <w:t>Bupropion, 12 weeks, started 12 to 19 days before TQD (150 mg/d days 1 to 3, 300 mg/d thereafter)</w:t>
            </w:r>
          </w:p>
          <w:p w:rsidR="006862A4" w:rsidRPr="006862A4" w:rsidRDefault="006862A4" w:rsidP="00C324F3">
            <w:pPr>
              <w:pStyle w:val="Tablewriting"/>
              <w:numPr>
                <w:ilvl w:val="0"/>
                <w:numId w:val="12"/>
              </w:numPr>
              <w:rPr>
                <w:rFonts w:eastAsia="MS Mincho"/>
              </w:rPr>
            </w:pPr>
            <w:r w:rsidRPr="006862A4">
              <w:rPr>
                <w:rFonts w:eastAsia="MS Mincho"/>
              </w:rPr>
              <w:t>Varenicline, 12 weeks on same schedule (0.5 mg/day days 1 to 3, 1.0 mg/day, days 4 to 7, 2.0 mg/day</w:t>
            </w:r>
            <w:r>
              <w:rPr>
                <w:rFonts w:eastAsia="MS Mincho"/>
              </w:rPr>
              <w:t xml:space="preserve"> </w:t>
            </w:r>
            <w:r w:rsidRPr="006862A4">
              <w:rPr>
                <w:rFonts w:eastAsia="MS Mincho"/>
              </w:rPr>
              <w:t>hereafter)</w:t>
            </w:r>
          </w:p>
          <w:p w:rsidR="006862A4" w:rsidRPr="006862A4" w:rsidRDefault="006862A4" w:rsidP="00C324F3">
            <w:pPr>
              <w:pStyle w:val="Tablewriting"/>
              <w:numPr>
                <w:ilvl w:val="0"/>
                <w:numId w:val="13"/>
              </w:numPr>
              <w:rPr>
                <w:rFonts w:eastAsia="MS Mincho"/>
              </w:rPr>
            </w:pPr>
            <w:r w:rsidRPr="006862A4">
              <w:rPr>
                <w:rFonts w:eastAsia="MS Mincho"/>
              </w:rPr>
              <w:t>Placebo, same schedule as above</w:t>
            </w:r>
          </w:p>
          <w:p w:rsidR="006862A4" w:rsidRDefault="006862A4" w:rsidP="00A71365">
            <w:pPr>
              <w:pStyle w:val="Tablewriting"/>
              <w:rPr>
                <w:rFonts w:eastAsia="MS Mincho"/>
              </w:rPr>
            </w:pPr>
          </w:p>
          <w:p w:rsidR="00541274" w:rsidRPr="00061F78" w:rsidRDefault="006862A4" w:rsidP="00A71365">
            <w:pPr>
              <w:pStyle w:val="Tablewriting"/>
              <w:rPr>
                <w:rFonts w:eastAsia="MS Mincho"/>
              </w:rPr>
            </w:pPr>
            <w:r w:rsidRPr="006862A4">
              <w:rPr>
                <w:rFonts w:eastAsia="MS Mincho"/>
                <w:u w:val="single"/>
              </w:rPr>
              <w:t xml:space="preserve">Common components: </w:t>
            </w:r>
            <w:r w:rsidRPr="006862A4">
              <w:rPr>
                <w:rFonts w:eastAsia="MS Mincho"/>
              </w:rPr>
              <w:t>10 individual counselling sessions (6 in person, 4 via phone, 240 mins total)</w:t>
            </w:r>
          </w:p>
        </w:tc>
        <w:tc>
          <w:tcPr>
            <w:tcW w:w="832" w:type="pct"/>
            <w:tcMar>
              <w:left w:w="28" w:type="dxa"/>
              <w:right w:w="28" w:type="dxa"/>
            </w:tcMar>
          </w:tcPr>
          <w:p w:rsidR="00C034FD" w:rsidRPr="00C034FD" w:rsidRDefault="00C034FD" w:rsidP="00A71365">
            <w:pPr>
              <w:pStyle w:val="Tablewriting"/>
              <w:rPr>
                <w:rFonts w:eastAsia="MS Mincho"/>
              </w:rPr>
            </w:pPr>
            <w:r>
              <w:rPr>
                <w:rFonts w:eastAsia="MS Mincho"/>
                <w:u w:val="single"/>
              </w:rPr>
              <w:t>Efficacy</w:t>
            </w:r>
            <w:r w:rsidRPr="00C034FD">
              <w:rPr>
                <w:rFonts w:eastAsia="MS Mincho"/>
                <w:u w:val="single"/>
              </w:rPr>
              <w:t>:</w:t>
            </w:r>
            <w:r w:rsidRPr="00B4229F">
              <w:rPr>
                <w:rFonts w:eastAsia="MS Mincho"/>
              </w:rPr>
              <w:t xml:space="preserve"> </w:t>
            </w:r>
            <w:r w:rsidR="00174942" w:rsidRPr="00B4229F">
              <w:rPr>
                <w:rFonts w:eastAsia="MS Mincho"/>
              </w:rPr>
              <w:t>prolonged</w:t>
            </w:r>
            <w:r w:rsidRPr="00C034FD">
              <w:rPr>
                <w:rFonts w:eastAsia="MS Mincho"/>
              </w:rPr>
              <w:t xml:space="preserve"> abstinence after 2-week grace period at 6 months (validated by CO &lt;</w:t>
            </w:r>
            <w:r w:rsidR="00BF3230">
              <w:rPr>
                <w:rFonts w:eastAsia="MS Mincho"/>
              </w:rPr>
              <w:t xml:space="preserve"> </w:t>
            </w:r>
            <w:r w:rsidRPr="00C034FD">
              <w:rPr>
                <w:rFonts w:eastAsia="MS Mincho"/>
              </w:rPr>
              <w:t>10 ppm or salivary cotinine &lt; 15 ng/mL)</w:t>
            </w:r>
            <w:r w:rsidR="00BF3230">
              <w:rPr>
                <w:rFonts w:eastAsia="MS Mincho"/>
              </w:rPr>
              <w:t>.</w:t>
            </w:r>
          </w:p>
          <w:p w:rsidR="00541274" w:rsidRPr="00061F78" w:rsidRDefault="00C034FD" w:rsidP="00A71365">
            <w:pPr>
              <w:pStyle w:val="Tablewriting"/>
              <w:rPr>
                <w:rFonts w:eastAsia="MS Mincho"/>
              </w:rPr>
            </w:pPr>
            <w:r w:rsidRPr="00C034FD">
              <w:rPr>
                <w:rFonts w:eastAsia="MS Mincho"/>
                <w:u w:val="single"/>
              </w:rPr>
              <w:t>Safety:</w:t>
            </w:r>
            <w:r w:rsidRPr="00C034FD">
              <w:rPr>
                <w:rFonts w:eastAsia="MS Mincho"/>
              </w:rPr>
              <w:t xml:space="preserve"> measured for 12 weeks</w:t>
            </w:r>
            <w:r w:rsidR="00BF3230">
              <w:rPr>
                <w:rFonts w:eastAsia="MS Mincho"/>
              </w:rPr>
              <w:t>.</w:t>
            </w:r>
          </w:p>
        </w:tc>
      </w:tr>
      <w:tr w:rsidR="00541274" w:rsidRPr="00061F78" w:rsidTr="004529B1">
        <w:trPr>
          <w:trHeight w:val="149"/>
        </w:trPr>
        <w:tc>
          <w:tcPr>
            <w:tcW w:w="565" w:type="pct"/>
            <w:tcMar>
              <w:left w:w="28" w:type="dxa"/>
              <w:right w:w="28" w:type="dxa"/>
            </w:tcMar>
          </w:tcPr>
          <w:p w:rsidR="00541274" w:rsidRPr="00541274" w:rsidRDefault="00FE349B" w:rsidP="00A71365">
            <w:pPr>
              <w:pStyle w:val="Tablewriting"/>
              <w:rPr>
                <w:rFonts w:eastAsia="MS Mincho"/>
              </w:rPr>
            </w:pPr>
            <w:r w:rsidRPr="00A5320A">
              <w:rPr>
                <w:rFonts w:eastAsia="MS Mincho"/>
              </w:rPr>
              <w:t xml:space="preserve">Collins </w:t>
            </w:r>
            <w:r w:rsidR="0065538B">
              <w:rPr>
                <w:rFonts w:eastAsia="MS Mincho"/>
              </w:rPr>
              <w:t>(</w:t>
            </w:r>
            <w:r w:rsidRPr="00A5320A">
              <w:rPr>
                <w:rFonts w:eastAsia="MS Mincho"/>
              </w:rPr>
              <w:t>2004</w:t>
            </w:r>
            <w:r w:rsidR="0065538B">
              <w:rPr>
                <w:rFonts w:eastAsia="MS Mincho"/>
              </w:rPr>
              <w:t>)</w:t>
            </w:r>
          </w:p>
        </w:tc>
        <w:tc>
          <w:tcPr>
            <w:tcW w:w="238" w:type="pct"/>
          </w:tcPr>
          <w:p w:rsidR="00541274" w:rsidRDefault="00621FB0" w:rsidP="00A71365">
            <w:pPr>
              <w:pStyle w:val="Tablewriting"/>
              <w:rPr>
                <w:rFonts w:eastAsia="MS Mincho"/>
              </w:rPr>
            </w:pPr>
            <w:r>
              <w:rPr>
                <w:rFonts w:eastAsia="MS Mincho"/>
              </w:rPr>
              <w:t>RCT</w:t>
            </w:r>
          </w:p>
        </w:tc>
        <w:tc>
          <w:tcPr>
            <w:tcW w:w="420" w:type="pct"/>
          </w:tcPr>
          <w:p w:rsidR="00621FB0" w:rsidRDefault="00621FB0" w:rsidP="00A71365">
            <w:pPr>
              <w:pStyle w:val="Tablewriting"/>
              <w:rPr>
                <w:rFonts w:eastAsia="MS Mincho"/>
              </w:rPr>
            </w:pPr>
            <w:r>
              <w:rPr>
                <w:rFonts w:eastAsia="MS Mincho"/>
              </w:rPr>
              <w:t>USA</w:t>
            </w:r>
          </w:p>
        </w:tc>
        <w:tc>
          <w:tcPr>
            <w:tcW w:w="449" w:type="pct"/>
            <w:tcMar>
              <w:left w:w="28" w:type="dxa"/>
              <w:right w:w="28" w:type="dxa"/>
            </w:tcMar>
          </w:tcPr>
          <w:p w:rsidR="00541274" w:rsidRPr="00061F78" w:rsidRDefault="00621FB0" w:rsidP="00A71365">
            <w:pPr>
              <w:pStyle w:val="Tablewriting"/>
              <w:rPr>
                <w:rFonts w:eastAsia="MS Mincho"/>
              </w:rPr>
            </w:pPr>
            <w:r>
              <w:rPr>
                <w:rFonts w:eastAsia="MS Mincho"/>
              </w:rPr>
              <w:t>N=</w:t>
            </w:r>
            <w:r w:rsidR="008F3296">
              <w:rPr>
                <w:rFonts w:eastAsia="MS Mincho"/>
              </w:rPr>
              <w:t>555</w:t>
            </w:r>
          </w:p>
        </w:tc>
        <w:tc>
          <w:tcPr>
            <w:tcW w:w="1271" w:type="pct"/>
            <w:tcMar>
              <w:left w:w="28" w:type="dxa"/>
              <w:right w:w="28" w:type="dxa"/>
            </w:tcMar>
          </w:tcPr>
          <w:p w:rsidR="00541274" w:rsidRPr="00BF3230" w:rsidRDefault="008F3296" w:rsidP="00A71365">
            <w:pPr>
              <w:pStyle w:val="Tablewriting"/>
              <w:rPr>
                <w:rFonts w:eastAsia="MS Mincho"/>
                <w:lang w:val="en-GB"/>
              </w:rPr>
            </w:pPr>
            <w:r>
              <w:rPr>
                <w:rFonts w:eastAsia="MS Mincho"/>
                <w:lang w:val="en-GB"/>
              </w:rPr>
              <w:t>E</w:t>
            </w:r>
            <w:r w:rsidRPr="008F3296">
              <w:rPr>
                <w:rFonts w:eastAsia="MS Mincho"/>
                <w:lang w:val="en-GB"/>
              </w:rPr>
              <w:t>xcluding history of psychiatric disorder including MDD</w:t>
            </w:r>
            <w:r w:rsidR="00BF3230">
              <w:rPr>
                <w:rFonts w:eastAsia="MS Mincho"/>
                <w:lang w:val="en-GB"/>
              </w:rPr>
              <w:t>,</w:t>
            </w:r>
            <w:r w:rsidRPr="008F3296">
              <w:rPr>
                <w:rFonts w:eastAsia="MS Mincho"/>
                <w:lang w:val="en-GB"/>
              </w:rPr>
              <w:t xml:space="preserve"> 57% female, average</w:t>
            </w:r>
            <w:r w:rsidR="00BF3230">
              <w:rPr>
                <w:rFonts w:eastAsia="MS Mincho"/>
                <w:lang w:val="en-GB"/>
              </w:rPr>
              <w:t xml:space="preserve"> </w:t>
            </w:r>
            <w:r w:rsidRPr="008F3296">
              <w:rPr>
                <w:rFonts w:eastAsia="MS Mincho"/>
                <w:lang w:val="en-GB"/>
              </w:rPr>
              <w:t>age 46, average cigarettes per day 21</w:t>
            </w:r>
            <w:r w:rsidR="00BF3230">
              <w:rPr>
                <w:rFonts w:eastAsia="MS Mincho"/>
                <w:lang w:val="en-GB"/>
              </w:rPr>
              <w:t>.</w:t>
            </w:r>
          </w:p>
        </w:tc>
        <w:tc>
          <w:tcPr>
            <w:tcW w:w="1224" w:type="pct"/>
          </w:tcPr>
          <w:p w:rsidR="007577B3" w:rsidRPr="007577B3" w:rsidRDefault="007577B3" w:rsidP="00C324F3">
            <w:pPr>
              <w:pStyle w:val="Tablewriting"/>
              <w:numPr>
                <w:ilvl w:val="0"/>
                <w:numId w:val="13"/>
              </w:numPr>
              <w:rPr>
                <w:rFonts w:eastAsia="MS Mincho"/>
              </w:rPr>
            </w:pPr>
            <w:r w:rsidRPr="007577B3">
              <w:rPr>
                <w:rFonts w:eastAsia="MS Mincho"/>
              </w:rPr>
              <w:t>Bupropion 300 mg/day for 10 weeks beginning 2 weeks before TQD</w:t>
            </w:r>
          </w:p>
          <w:p w:rsidR="007577B3" w:rsidRPr="007577B3" w:rsidRDefault="007577B3" w:rsidP="00C324F3">
            <w:pPr>
              <w:pStyle w:val="Tablewriting"/>
              <w:numPr>
                <w:ilvl w:val="0"/>
                <w:numId w:val="13"/>
              </w:numPr>
              <w:rPr>
                <w:rFonts w:eastAsia="MS Mincho"/>
              </w:rPr>
            </w:pPr>
            <w:r w:rsidRPr="007577B3">
              <w:rPr>
                <w:rFonts w:eastAsia="MS Mincho"/>
              </w:rPr>
              <w:t>Placebo</w:t>
            </w:r>
          </w:p>
          <w:p w:rsidR="007577B3" w:rsidRDefault="007577B3" w:rsidP="00A71365">
            <w:pPr>
              <w:pStyle w:val="Tablewriting"/>
              <w:rPr>
                <w:rFonts w:eastAsia="MS Mincho"/>
              </w:rPr>
            </w:pPr>
          </w:p>
          <w:p w:rsidR="00541274" w:rsidRPr="00061F78" w:rsidRDefault="007577B3" w:rsidP="00A71365">
            <w:pPr>
              <w:pStyle w:val="Tablewriting"/>
              <w:rPr>
                <w:rFonts w:eastAsia="MS Mincho"/>
              </w:rPr>
            </w:pPr>
            <w:r w:rsidRPr="007577B3">
              <w:rPr>
                <w:rFonts w:eastAsia="MS Mincho"/>
                <w:u w:val="single"/>
              </w:rPr>
              <w:t>Common components:</w:t>
            </w:r>
            <w:r w:rsidRPr="007577B3">
              <w:rPr>
                <w:rFonts w:eastAsia="MS Mincho"/>
              </w:rPr>
              <w:t xml:space="preserve"> 7 sessions group behavioural counselling</w:t>
            </w:r>
            <w:r w:rsidR="0064534C">
              <w:rPr>
                <w:rFonts w:eastAsia="MS Mincho"/>
              </w:rPr>
              <w:t>.</w:t>
            </w:r>
          </w:p>
        </w:tc>
        <w:tc>
          <w:tcPr>
            <w:tcW w:w="832" w:type="pct"/>
            <w:tcMar>
              <w:left w:w="28" w:type="dxa"/>
              <w:right w:w="28" w:type="dxa"/>
            </w:tcMar>
          </w:tcPr>
          <w:p w:rsidR="0058223B" w:rsidRPr="0058223B" w:rsidRDefault="0058223B" w:rsidP="00A71365">
            <w:pPr>
              <w:pStyle w:val="Tablewriting"/>
              <w:rPr>
                <w:rFonts w:eastAsia="MS Mincho"/>
              </w:rPr>
            </w:pPr>
            <w:r w:rsidRPr="0058223B">
              <w:rPr>
                <w:rFonts w:eastAsia="MS Mincho"/>
                <w:u w:val="single"/>
              </w:rPr>
              <w:t>Efficacy:</w:t>
            </w:r>
            <w:r w:rsidRPr="0058223B">
              <w:rPr>
                <w:rFonts w:eastAsia="MS Mincho"/>
              </w:rPr>
              <w:t xml:space="preserve"> prolonged abstinence at 6 months (from week 2, 7 consecutive days of smoking</w:t>
            </w:r>
            <w:r>
              <w:rPr>
                <w:rFonts w:eastAsia="MS Mincho"/>
              </w:rPr>
              <w:t xml:space="preserve"> </w:t>
            </w:r>
            <w:r w:rsidRPr="0058223B">
              <w:rPr>
                <w:rFonts w:eastAsia="MS Mincho"/>
              </w:rPr>
              <w:t xml:space="preserve">defined as relapse). Validated by saliva cotinine </w:t>
            </w:r>
            <w:r w:rsidR="00AC7F27" w:rsidRPr="00D96BA4">
              <w:rPr>
                <w:rFonts w:eastAsia="MS Mincho"/>
              </w:rPr>
              <w:t>≤</w:t>
            </w:r>
            <w:r w:rsidRPr="0058223B">
              <w:rPr>
                <w:rFonts w:eastAsia="MS Mincho"/>
              </w:rPr>
              <w:t xml:space="preserve"> 15 ng/m</w:t>
            </w:r>
            <w:r w:rsidR="00DD0B9B">
              <w:rPr>
                <w:rFonts w:eastAsia="MS Mincho"/>
              </w:rPr>
              <w:t>l</w:t>
            </w:r>
            <w:r w:rsidRPr="0058223B">
              <w:rPr>
                <w:rFonts w:eastAsia="MS Mincho"/>
              </w:rPr>
              <w:t>.</w:t>
            </w:r>
          </w:p>
          <w:p w:rsidR="00541274" w:rsidRPr="00061F78" w:rsidRDefault="00FD5EA6" w:rsidP="00A71365">
            <w:pPr>
              <w:pStyle w:val="Tablewriting"/>
              <w:rPr>
                <w:rFonts w:eastAsia="MS Mincho"/>
              </w:rPr>
            </w:pPr>
            <w:r>
              <w:rPr>
                <w:rFonts w:eastAsia="MS Mincho"/>
                <w:u w:val="single"/>
              </w:rPr>
              <w:t>Safety</w:t>
            </w:r>
            <w:r w:rsidR="0058223B" w:rsidRPr="0058223B">
              <w:rPr>
                <w:rFonts w:eastAsia="MS Mincho"/>
              </w:rPr>
              <w:t>: measured for unspecified period</w:t>
            </w:r>
            <w:r w:rsidR="000A12DC">
              <w:rPr>
                <w:rFonts w:eastAsia="MS Mincho"/>
              </w:rPr>
              <w:t>.</w:t>
            </w:r>
          </w:p>
        </w:tc>
      </w:tr>
      <w:tr w:rsidR="00541274" w:rsidRPr="00061F78" w:rsidTr="004529B1">
        <w:trPr>
          <w:trHeight w:val="149"/>
        </w:trPr>
        <w:tc>
          <w:tcPr>
            <w:tcW w:w="565" w:type="pct"/>
            <w:tcMar>
              <w:left w:w="28" w:type="dxa"/>
              <w:right w:w="28" w:type="dxa"/>
            </w:tcMar>
          </w:tcPr>
          <w:p w:rsidR="00541274" w:rsidRPr="00541274" w:rsidRDefault="00D7259E" w:rsidP="00A71365">
            <w:pPr>
              <w:pStyle w:val="Tablewriting"/>
              <w:rPr>
                <w:rFonts w:eastAsia="MS Mincho"/>
              </w:rPr>
            </w:pPr>
            <w:r w:rsidRPr="00A5320A">
              <w:rPr>
                <w:rFonts w:eastAsia="MS Mincho"/>
              </w:rPr>
              <w:t xml:space="preserve">Cox </w:t>
            </w:r>
            <w:r w:rsidR="0065538B">
              <w:rPr>
                <w:rFonts w:eastAsia="MS Mincho"/>
              </w:rPr>
              <w:t>(</w:t>
            </w:r>
            <w:r w:rsidRPr="00A5320A">
              <w:rPr>
                <w:rFonts w:eastAsia="MS Mincho"/>
              </w:rPr>
              <w:t>2012</w:t>
            </w:r>
            <w:r w:rsidR="0065538B">
              <w:rPr>
                <w:rFonts w:eastAsia="MS Mincho"/>
              </w:rPr>
              <w:t>)</w:t>
            </w:r>
          </w:p>
        </w:tc>
        <w:tc>
          <w:tcPr>
            <w:tcW w:w="238" w:type="pct"/>
          </w:tcPr>
          <w:p w:rsidR="00541274" w:rsidRDefault="00333F19" w:rsidP="00A71365">
            <w:pPr>
              <w:pStyle w:val="Tablewriting"/>
              <w:rPr>
                <w:rFonts w:eastAsia="MS Mincho"/>
              </w:rPr>
            </w:pPr>
            <w:r>
              <w:rPr>
                <w:rFonts w:eastAsia="MS Mincho"/>
              </w:rPr>
              <w:t>RCT</w:t>
            </w:r>
          </w:p>
        </w:tc>
        <w:tc>
          <w:tcPr>
            <w:tcW w:w="420" w:type="pct"/>
          </w:tcPr>
          <w:p w:rsidR="00333F19" w:rsidRDefault="00D07711" w:rsidP="00A71365">
            <w:pPr>
              <w:pStyle w:val="Tablewriting"/>
              <w:rPr>
                <w:rFonts w:eastAsia="MS Mincho"/>
              </w:rPr>
            </w:pPr>
            <w:r>
              <w:rPr>
                <w:rFonts w:eastAsia="MS Mincho"/>
              </w:rPr>
              <w:t>USA</w:t>
            </w:r>
          </w:p>
        </w:tc>
        <w:tc>
          <w:tcPr>
            <w:tcW w:w="449" w:type="pct"/>
            <w:tcMar>
              <w:left w:w="28" w:type="dxa"/>
              <w:right w:w="28" w:type="dxa"/>
            </w:tcMar>
          </w:tcPr>
          <w:p w:rsidR="00541274" w:rsidRPr="00061F78" w:rsidRDefault="00333F19" w:rsidP="00A71365">
            <w:pPr>
              <w:pStyle w:val="Tablewriting"/>
              <w:rPr>
                <w:rFonts w:eastAsia="MS Mincho"/>
              </w:rPr>
            </w:pPr>
            <w:r>
              <w:rPr>
                <w:rFonts w:eastAsia="MS Mincho"/>
              </w:rPr>
              <w:t>N=</w:t>
            </w:r>
            <w:r w:rsidR="009610F9">
              <w:rPr>
                <w:rFonts w:eastAsia="MS Mincho"/>
              </w:rPr>
              <w:t>540</w:t>
            </w:r>
            <w:r w:rsidR="004C3EF8">
              <w:rPr>
                <w:rFonts w:eastAsia="MS Mincho"/>
              </w:rPr>
              <w:t>; n=270 (Buprop</w:t>
            </w:r>
            <w:r w:rsidR="0073240A">
              <w:rPr>
                <w:rFonts w:eastAsia="MS Mincho"/>
              </w:rPr>
              <w:t>ion</w:t>
            </w:r>
            <w:r w:rsidR="004C3EF8">
              <w:rPr>
                <w:rFonts w:eastAsia="MS Mincho"/>
              </w:rPr>
              <w:t>), n=270 (placebo).</w:t>
            </w:r>
          </w:p>
        </w:tc>
        <w:tc>
          <w:tcPr>
            <w:tcW w:w="1271" w:type="pct"/>
            <w:tcMar>
              <w:left w:w="28" w:type="dxa"/>
              <w:right w:w="28" w:type="dxa"/>
            </w:tcMar>
          </w:tcPr>
          <w:p w:rsidR="00541274" w:rsidRPr="00061F78" w:rsidRDefault="009610F9" w:rsidP="00A71365">
            <w:pPr>
              <w:pStyle w:val="Tablewriting"/>
              <w:rPr>
                <w:rFonts w:eastAsia="MS Mincho"/>
              </w:rPr>
            </w:pPr>
            <w:r w:rsidRPr="009610F9">
              <w:rPr>
                <w:rFonts w:eastAsia="MS Mincho"/>
              </w:rPr>
              <w:t>African American light smokers (</w:t>
            </w:r>
            <w:r w:rsidR="006F14A9" w:rsidRPr="006F14A9">
              <w:rPr>
                <w:rFonts w:eastAsia="MS Mincho"/>
              </w:rPr>
              <w:t>≥</w:t>
            </w:r>
            <w:r w:rsidRPr="009610F9">
              <w:rPr>
                <w:rFonts w:eastAsia="MS Mincho"/>
              </w:rPr>
              <w:t xml:space="preserve"> 10 cigarettes per day for </w:t>
            </w:r>
            <w:r w:rsidR="00D86357" w:rsidRPr="006F14A9">
              <w:rPr>
                <w:rFonts w:eastAsia="MS Mincho"/>
              </w:rPr>
              <w:t>≥</w:t>
            </w:r>
            <w:r w:rsidRPr="009610F9">
              <w:rPr>
                <w:rFonts w:eastAsia="MS Mincho"/>
              </w:rPr>
              <w:t xml:space="preserve"> 2 years, smoked on </w:t>
            </w:r>
            <w:r w:rsidR="00D86357" w:rsidRPr="006F14A9">
              <w:rPr>
                <w:rFonts w:eastAsia="MS Mincho"/>
              </w:rPr>
              <w:t>≥</w:t>
            </w:r>
            <w:r w:rsidR="00D86357">
              <w:rPr>
                <w:rFonts w:eastAsia="MS Mincho"/>
              </w:rPr>
              <w:t xml:space="preserve"> </w:t>
            </w:r>
            <w:r w:rsidRPr="009610F9">
              <w:rPr>
                <w:rFonts w:eastAsia="MS Mincho"/>
              </w:rPr>
              <w:t>25 days in past</w:t>
            </w:r>
            <w:r>
              <w:rPr>
                <w:rFonts w:eastAsia="MS Mincho"/>
              </w:rPr>
              <w:t xml:space="preserve"> </w:t>
            </w:r>
            <w:r w:rsidRPr="009610F9">
              <w:rPr>
                <w:rFonts w:eastAsia="MS Mincho"/>
              </w:rPr>
              <w:t>month)</w:t>
            </w:r>
            <w:r w:rsidR="000A12DC">
              <w:rPr>
                <w:rFonts w:eastAsia="MS Mincho"/>
              </w:rPr>
              <w:t>,</w:t>
            </w:r>
            <w:r w:rsidRPr="009610F9">
              <w:rPr>
                <w:rFonts w:eastAsia="MS Mincho"/>
              </w:rPr>
              <w:t xml:space="preserve"> 66% female</w:t>
            </w:r>
            <w:r w:rsidR="000A12DC">
              <w:rPr>
                <w:rFonts w:eastAsia="MS Mincho"/>
              </w:rPr>
              <w:t>,</w:t>
            </w:r>
            <w:r w:rsidRPr="009610F9">
              <w:rPr>
                <w:rFonts w:eastAsia="MS Mincho"/>
              </w:rPr>
              <w:t xml:space="preserve"> average age 47</w:t>
            </w:r>
            <w:r w:rsidR="000A12DC">
              <w:rPr>
                <w:rFonts w:eastAsia="MS Mincho"/>
              </w:rPr>
              <w:t xml:space="preserve"> years,</w:t>
            </w:r>
            <w:r w:rsidRPr="009610F9">
              <w:rPr>
                <w:rFonts w:eastAsia="MS Mincho"/>
              </w:rPr>
              <w:t xml:space="preserve"> average cigarettes per day 8</w:t>
            </w:r>
            <w:r w:rsidR="000A12DC">
              <w:rPr>
                <w:rFonts w:eastAsia="MS Mincho"/>
              </w:rPr>
              <w:t>,</w:t>
            </w:r>
            <w:r w:rsidRPr="009610F9">
              <w:rPr>
                <w:rFonts w:eastAsia="MS Mincho"/>
              </w:rPr>
              <w:t xml:space="preserve"> average FTND 3.2</w:t>
            </w:r>
            <w:r w:rsidR="000A12DC">
              <w:rPr>
                <w:rFonts w:eastAsia="MS Mincho"/>
              </w:rPr>
              <w:t>.</w:t>
            </w:r>
          </w:p>
        </w:tc>
        <w:tc>
          <w:tcPr>
            <w:tcW w:w="1224" w:type="pct"/>
          </w:tcPr>
          <w:p w:rsidR="00757CDB" w:rsidRPr="00757CDB" w:rsidRDefault="00757CDB" w:rsidP="00C324F3">
            <w:pPr>
              <w:pStyle w:val="Tablewriting"/>
              <w:numPr>
                <w:ilvl w:val="0"/>
                <w:numId w:val="14"/>
              </w:numPr>
              <w:rPr>
                <w:rFonts w:eastAsia="MS Mincho"/>
              </w:rPr>
            </w:pPr>
            <w:r w:rsidRPr="00757CDB">
              <w:rPr>
                <w:rFonts w:eastAsia="MS Mincho"/>
              </w:rPr>
              <w:t>Bupropion, 300 mg for 7 weeks (150 mg 1</w:t>
            </w:r>
            <w:r w:rsidR="00981B5D">
              <w:rPr>
                <w:rFonts w:eastAsia="MS Mincho"/>
              </w:rPr>
              <w:t xml:space="preserve"> </w:t>
            </w:r>
            <w:r w:rsidRPr="00757CDB">
              <w:rPr>
                <w:rFonts w:eastAsia="MS Mincho"/>
              </w:rPr>
              <w:t>x</w:t>
            </w:r>
            <w:r w:rsidR="00981B5D">
              <w:rPr>
                <w:rFonts w:eastAsia="MS Mincho"/>
              </w:rPr>
              <w:t xml:space="preserve"> </w:t>
            </w:r>
            <w:r w:rsidRPr="00757CDB">
              <w:rPr>
                <w:rFonts w:eastAsia="MS Mincho"/>
              </w:rPr>
              <w:t>d</w:t>
            </w:r>
            <w:r w:rsidR="00482964">
              <w:rPr>
                <w:rFonts w:eastAsia="MS Mincho"/>
              </w:rPr>
              <w:t>ay</w:t>
            </w:r>
            <w:r w:rsidRPr="00757CDB">
              <w:rPr>
                <w:rFonts w:eastAsia="MS Mincho"/>
              </w:rPr>
              <w:t xml:space="preserve"> for 3</w:t>
            </w:r>
            <w:r w:rsidR="00981B5D">
              <w:rPr>
                <w:rFonts w:eastAsia="MS Mincho"/>
              </w:rPr>
              <w:t xml:space="preserve"> </w:t>
            </w:r>
            <w:r w:rsidRPr="00757CDB">
              <w:rPr>
                <w:rFonts w:eastAsia="MS Mincho"/>
              </w:rPr>
              <w:t>d</w:t>
            </w:r>
            <w:r w:rsidR="00981B5D">
              <w:rPr>
                <w:rFonts w:eastAsia="MS Mincho"/>
              </w:rPr>
              <w:t>ays</w:t>
            </w:r>
            <w:r w:rsidRPr="00757CDB">
              <w:rPr>
                <w:rFonts w:eastAsia="MS Mincho"/>
              </w:rPr>
              <w:t>, then 150 mg 2</w:t>
            </w:r>
            <w:r w:rsidR="00981B5D">
              <w:rPr>
                <w:rFonts w:eastAsia="MS Mincho"/>
              </w:rPr>
              <w:t xml:space="preserve"> </w:t>
            </w:r>
            <w:r w:rsidRPr="00757CDB">
              <w:rPr>
                <w:rFonts w:eastAsia="MS Mincho"/>
              </w:rPr>
              <w:t>x</w:t>
            </w:r>
            <w:r w:rsidR="00981B5D">
              <w:rPr>
                <w:rFonts w:eastAsia="MS Mincho"/>
              </w:rPr>
              <w:t xml:space="preserve"> </w:t>
            </w:r>
            <w:r w:rsidRPr="00757CDB">
              <w:rPr>
                <w:rFonts w:eastAsia="MS Mincho"/>
              </w:rPr>
              <w:t>d</w:t>
            </w:r>
            <w:r w:rsidR="00981B5D">
              <w:rPr>
                <w:rFonts w:eastAsia="MS Mincho"/>
              </w:rPr>
              <w:t>ay</w:t>
            </w:r>
            <w:r w:rsidRPr="00757CDB">
              <w:rPr>
                <w:rFonts w:eastAsia="MS Mincho"/>
              </w:rPr>
              <w:t xml:space="preserve"> for remainder)</w:t>
            </w:r>
          </w:p>
          <w:p w:rsidR="00757CDB" w:rsidRPr="00757CDB" w:rsidRDefault="00757CDB" w:rsidP="00C324F3">
            <w:pPr>
              <w:pStyle w:val="Tablewriting"/>
              <w:numPr>
                <w:ilvl w:val="0"/>
                <w:numId w:val="14"/>
              </w:numPr>
              <w:rPr>
                <w:rFonts w:eastAsia="MS Mincho"/>
              </w:rPr>
            </w:pPr>
            <w:r w:rsidRPr="00757CDB">
              <w:rPr>
                <w:rFonts w:eastAsia="MS Mincho"/>
              </w:rPr>
              <w:t>Placebo, same schedule as bupropion</w:t>
            </w:r>
          </w:p>
          <w:p w:rsidR="00757CDB" w:rsidRDefault="00757CDB" w:rsidP="00A71365">
            <w:pPr>
              <w:pStyle w:val="Tablewriting"/>
              <w:rPr>
                <w:rFonts w:eastAsia="MS Mincho"/>
              </w:rPr>
            </w:pPr>
          </w:p>
          <w:p w:rsidR="00541274" w:rsidRPr="00061F78" w:rsidRDefault="00757CDB" w:rsidP="00A71365">
            <w:pPr>
              <w:pStyle w:val="Tablewriting"/>
              <w:rPr>
                <w:rFonts w:eastAsia="MS Mincho"/>
              </w:rPr>
            </w:pPr>
            <w:r w:rsidRPr="00757CDB">
              <w:rPr>
                <w:rFonts w:eastAsia="MS Mincho"/>
                <w:u w:val="single"/>
              </w:rPr>
              <w:lastRenderedPageBreak/>
              <w:t>Common components:</w:t>
            </w:r>
            <w:r w:rsidRPr="00757CDB">
              <w:rPr>
                <w:rFonts w:eastAsia="MS Mincho"/>
              </w:rPr>
              <w:t xml:space="preserve"> up to 6 one-to-one 15-20 minute individual counselling sessions, self-help guide</w:t>
            </w:r>
            <w:r w:rsidR="004128E3">
              <w:rPr>
                <w:rFonts w:eastAsia="MS Mincho"/>
              </w:rPr>
              <w:t xml:space="preserve"> </w:t>
            </w:r>
            <w:r w:rsidRPr="00757CDB">
              <w:rPr>
                <w:rFonts w:eastAsia="MS Mincho"/>
              </w:rPr>
              <w:t>at start</w:t>
            </w:r>
            <w:r w:rsidR="004128E3">
              <w:rPr>
                <w:rFonts w:eastAsia="MS Mincho"/>
              </w:rPr>
              <w:t>.</w:t>
            </w:r>
          </w:p>
        </w:tc>
        <w:tc>
          <w:tcPr>
            <w:tcW w:w="832" w:type="pct"/>
            <w:tcMar>
              <w:left w:w="28" w:type="dxa"/>
              <w:right w:w="28" w:type="dxa"/>
            </w:tcMar>
          </w:tcPr>
          <w:p w:rsidR="000C0013" w:rsidRPr="000C0013" w:rsidRDefault="000C0013" w:rsidP="00A71365">
            <w:pPr>
              <w:pStyle w:val="Tablewriting"/>
              <w:rPr>
                <w:rFonts w:eastAsia="MS Mincho"/>
              </w:rPr>
            </w:pPr>
            <w:r w:rsidRPr="000C0013">
              <w:rPr>
                <w:rFonts w:eastAsia="MS Mincho"/>
                <w:u w:val="single"/>
              </w:rPr>
              <w:lastRenderedPageBreak/>
              <w:t>Efficacy:</w:t>
            </w:r>
            <w:r w:rsidRPr="000C0013">
              <w:rPr>
                <w:rFonts w:eastAsia="MS Mincho"/>
              </w:rPr>
              <w:t xml:space="preserve"> 7-day </w:t>
            </w:r>
            <w:r w:rsidR="0035264F">
              <w:rPr>
                <w:rFonts w:eastAsia="MS Mincho"/>
              </w:rPr>
              <w:t>PPA</w:t>
            </w:r>
            <w:r w:rsidRPr="000C0013">
              <w:rPr>
                <w:rFonts w:eastAsia="MS Mincho"/>
              </w:rPr>
              <w:t xml:space="preserve"> at 6 months. Validated by salivary cotinine &lt; 15 ng/mL</w:t>
            </w:r>
          </w:p>
          <w:p w:rsidR="00541274" w:rsidRPr="00061F78" w:rsidRDefault="000C0013" w:rsidP="00A71365">
            <w:pPr>
              <w:pStyle w:val="Tablewriting"/>
              <w:rPr>
                <w:rFonts w:eastAsia="MS Mincho"/>
              </w:rPr>
            </w:pPr>
            <w:r w:rsidRPr="000C0013">
              <w:rPr>
                <w:rFonts w:eastAsia="MS Mincho"/>
                <w:u w:val="single"/>
              </w:rPr>
              <w:t>Safety:</w:t>
            </w:r>
            <w:r w:rsidRPr="000C0013">
              <w:rPr>
                <w:rFonts w:eastAsia="MS Mincho"/>
              </w:rPr>
              <w:t xml:space="preserve"> measured for 16 weeks</w:t>
            </w:r>
            <w:r w:rsidR="000A12DC">
              <w:rPr>
                <w:rFonts w:eastAsia="MS Mincho"/>
              </w:rPr>
              <w:t>.</w:t>
            </w:r>
          </w:p>
        </w:tc>
      </w:tr>
      <w:tr w:rsidR="00541274" w:rsidRPr="00061F78" w:rsidTr="004529B1">
        <w:trPr>
          <w:trHeight w:val="149"/>
        </w:trPr>
        <w:tc>
          <w:tcPr>
            <w:tcW w:w="565" w:type="pct"/>
            <w:tcMar>
              <w:left w:w="28" w:type="dxa"/>
              <w:right w:w="28" w:type="dxa"/>
            </w:tcMar>
          </w:tcPr>
          <w:p w:rsidR="00541274" w:rsidRPr="00541274" w:rsidRDefault="002F2D96" w:rsidP="00A71365">
            <w:pPr>
              <w:pStyle w:val="Tablewriting"/>
              <w:rPr>
                <w:rFonts w:eastAsia="MS Mincho"/>
              </w:rPr>
            </w:pPr>
            <w:r w:rsidRPr="00A5320A">
              <w:rPr>
                <w:rFonts w:eastAsia="MS Mincho"/>
              </w:rPr>
              <w:t>Dalsgar</w:t>
            </w:r>
            <w:r w:rsidR="00CA1C48">
              <w:rPr>
                <w:rFonts w:eastAsia="MS Mincho"/>
              </w:rPr>
              <w:t>o</w:t>
            </w:r>
            <w:r w:rsidR="00D7259E">
              <w:rPr>
                <w:rFonts w:eastAsia="MS Mincho"/>
              </w:rPr>
              <w:t xml:space="preserve"> </w:t>
            </w:r>
            <w:r w:rsidR="0065538B">
              <w:rPr>
                <w:rFonts w:eastAsia="MS Mincho"/>
              </w:rPr>
              <w:t>(</w:t>
            </w:r>
            <w:r w:rsidR="00D7259E" w:rsidRPr="00A5320A">
              <w:rPr>
                <w:rFonts w:eastAsia="MS Mincho"/>
              </w:rPr>
              <w:t>2004</w:t>
            </w:r>
            <w:r w:rsidR="0065538B">
              <w:rPr>
                <w:rFonts w:eastAsia="MS Mincho"/>
              </w:rPr>
              <w:t>)</w:t>
            </w:r>
          </w:p>
        </w:tc>
        <w:tc>
          <w:tcPr>
            <w:tcW w:w="238" w:type="pct"/>
          </w:tcPr>
          <w:p w:rsidR="00541274" w:rsidRDefault="00113AD7" w:rsidP="00A71365">
            <w:pPr>
              <w:pStyle w:val="Tablewriting"/>
              <w:rPr>
                <w:rFonts w:eastAsia="MS Mincho"/>
              </w:rPr>
            </w:pPr>
            <w:r>
              <w:rPr>
                <w:rFonts w:eastAsia="MS Mincho"/>
              </w:rPr>
              <w:t>RCT</w:t>
            </w:r>
          </w:p>
        </w:tc>
        <w:tc>
          <w:tcPr>
            <w:tcW w:w="420" w:type="pct"/>
          </w:tcPr>
          <w:p w:rsidR="00113AD7" w:rsidRDefault="00113AD7" w:rsidP="00A71365">
            <w:pPr>
              <w:pStyle w:val="Tablewriting"/>
              <w:rPr>
                <w:rFonts w:eastAsia="MS Mincho"/>
              </w:rPr>
            </w:pPr>
            <w:r>
              <w:rPr>
                <w:rFonts w:eastAsia="MS Mincho"/>
              </w:rPr>
              <w:t>Denmark</w:t>
            </w:r>
          </w:p>
        </w:tc>
        <w:tc>
          <w:tcPr>
            <w:tcW w:w="449" w:type="pct"/>
            <w:tcMar>
              <w:left w:w="28" w:type="dxa"/>
              <w:right w:w="28" w:type="dxa"/>
            </w:tcMar>
          </w:tcPr>
          <w:p w:rsidR="00541274" w:rsidRPr="00061F78" w:rsidRDefault="00113AD7" w:rsidP="00A71365">
            <w:pPr>
              <w:pStyle w:val="Tablewriting"/>
              <w:rPr>
                <w:rFonts w:eastAsia="MS Mincho"/>
              </w:rPr>
            </w:pPr>
            <w:r>
              <w:rPr>
                <w:rFonts w:eastAsia="MS Mincho"/>
              </w:rPr>
              <w:t>N=33</w:t>
            </w:r>
            <w:r w:rsidR="00BD47DA">
              <w:rPr>
                <w:rFonts w:eastAsia="MS Mincho"/>
              </w:rPr>
              <w:t>5</w:t>
            </w:r>
            <w:r w:rsidR="003C19C4">
              <w:rPr>
                <w:rFonts w:eastAsia="MS Mincho"/>
              </w:rPr>
              <w:t xml:space="preserve"> n=22</w:t>
            </w:r>
            <w:r w:rsidR="00BD47DA">
              <w:rPr>
                <w:rFonts w:eastAsia="MS Mincho"/>
              </w:rPr>
              <w:t>1</w:t>
            </w:r>
            <w:r w:rsidR="003C19C4">
              <w:rPr>
                <w:rFonts w:eastAsia="MS Mincho"/>
              </w:rPr>
              <w:t xml:space="preserve"> (bupropion), n=114 (placebo).</w:t>
            </w:r>
          </w:p>
        </w:tc>
        <w:tc>
          <w:tcPr>
            <w:tcW w:w="1271" w:type="pct"/>
            <w:tcMar>
              <w:left w:w="28" w:type="dxa"/>
              <w:right w:w="28" w:type="dxa"/>
            </w:tcMar>
          </w:tcPr>
          <w:p w:rsidR="00151EDE" w:rsidRDefault="00663FE5" w:rsidP="00A71365">
            <w:pPr>
              <w:pStyle w:val="Tablewriting"/>
              <w:rPr>
                <w:rFonts w:eastAsia="MS Mincho"/>
              </w:rPr>
            </w:pPr>
            <w:r>
              <w:rPr>
                <w:rFonts w:eastAsia="MS Mincho"/>
              </w:rPr>
              <w:t xml:space="preserve">Hospital </w:t>
            </w:r>
            <w:r w:rsidR="00046B7E">
              <w:rPr>
                <w:rFonts w:eastAsia="MS Mincho"/>
              </w:rPr>
              <w:t xml:space="preserve">employees </w:t>
            </w:r>
            <w:r w:rsidR="001F0C85" w:rsidRPr="00AE02E0">
              <w:rPr>
                <w:rFonts w:eastAsia="MS Mincho"/>
              </w:rPr>
              <w:t>including</w:t>
            </w:r>
            <w:r w:rsidR="00AE02E0" w:rsidRPr="00AE02E0">
              <w:rPr>
                <w:rFonts w:eastAsia="MS Mincho"/>
              </w:rPr>
              <w:t xml:space="preserve"> physicians, nurses, other hospital service and admin sta</w:t>
            </w:r>
            <w:r w:rsidR="00AE02E0">
              <w:rPr>
                <w:rFonts w:eastAsia="MS Mincho"/>
              </w:rPr>
              <w:t>ff</w:t>
            </w:r>
            <w:r w:rsidR="001F0C85">
              <w:rPr>
                <w:rFonts w:eastAsia="MS Mincho"/>
              </w:rPr>
              <w:t xml:space="preserve"> </w:t>
            </w:r>
            <w:r w:rsidR="001F0C85" w:rsidRPr="001F0C85">
              <w:rPr>
                <w:rFonts w:eastAsia="MS Mincho"/>
              </w:rPr>
              <w:t>who smoked at least 10 cigarettes</w:t>
            </w:r>
            <w:r w:rsidR="00151EDE">
              <w:rPr>
                <w:rFonts w:eastAsia="MS Mincho"/>
              </w:rPr>
              <w:t>.</w:t>
            </w:r>
          </w:p>
          <w:p w:rsidR="00541274" w:rsidRPr="00061F78" w:rsidRDefault="00AE02E0" w:rsidP="00A71365">
            <w:pPr>
              <w:pStyle w:val="Tablewriting"/>
              <w:rPr>
                <w:rFonts w:eastAsia="MS Mincho"/>
              </w:rPr>
            </w:pPr>
            <w:r w:rsidRPr="00AE02E0">
              <w:rPr>
                <w:rFonts w:eastAsia="MS Mincho"/>
              </w:rPr>
              <w:t xml:space="preserve"> 75% female</w:t>
            </w:r>
            <w:r w:rsidR="00151EDE">
              <w:rPr>
                <w:rFonts w:eastAsia="MS Mincho"/>
              </w:rPr>
              <w:t>,</w:t>
            </w:r>
            <w:r w:rsidRPr="00AE02E0">
              <w:rPr>
                <w:rFonts w:eastAsia="MS Mincho"/>
              </w:rPr>
              <w:t xml:space="preserve"> average</w:t>
            </w:r>
            <w:r>
              <w:rPr>
                <w:rFonts w:eastAsia="MS Mincho"/>
              </w:rPr>
              <w:t xml:space="preserve"> </w:t>
            </w:r>
            <w:r w:rsidRPr="00AE02E0">
              <w:rPr>
                <w:rFonts w:eastAsia="MS Mincho"/>
              </w:rPr>
              <w:t>age 43</w:t>
            </w:r>
            <w:r w:rsidR="002C6BE7">
              <w:rPr>
                <w:rFonts w:eastAsia="MS Mincho"/>
              </w:rPr>
              <w:t xml:space="preserve"> years</w:t>
            </w:r>
            <w:r w:rsidR="00151EDE">
              <w:rPr>
                <w:rFonts w:eastAsia="MS Mincho"/>
              </w:rPr>
              <w:t>,</w:t>
            </w:r>
            <w:r w:rsidRPr="00AE02E0">
              <w:rPr>
                <w:rFonts w:eastAsia="MS Mincho"/>
              </w:rPr>
              <w:t xml:space="preserve"> average cigarettes per day 19</w:t>
            </w:r>
            <w:r w:rsidR="00151EDE">
              <w:rPr>
                <w:rFonts w:eastAsia="MS Mincho"/>
              </w:rPr>
              <w:t>.</w:t>
            </w:r>
          </w:p>
        </w:tc>
        <w:tc>
          <w:tcPr>
            <w:tcW w:w="1224" w:type="pct"/>
          </w:tcPr>
          <w:p w:rsidR="00FB23C3" w:rsidRPr="00FB23C3" w:rsidRDefault="00FB23C3" w:rsidP="00C324F3">
            <w:pPr>
              <w:pStyle w:val="Tablewriting"/>
              <w:numPr>
                <w:ilvl w:val="0"/>
                <w:numId w:val="15"/>
              </w:numPr>
              <w:rPr>
                <w:rFonts w:eastAsia="MS Mincho"/>
              </w:rPr>
            </w:pPr>
            <w:r w:rsidRPr="00FB23C3">
              <w:rPr>
                <w:rFonts w:eastAsia="MS Mincho"/>
              </w:rPr>
              <w:t>Bupropion, 300 mg/day for 7 weeks</w:t>
            </w:r>
          </w:p>
          <w:p w:rsidR="00FB23C3" w:rsidRPr="00FB23C3" w:rsidRDefault="00FB23C3" w:rsidP="00C324F3">
            <w:pPr>
              <w:pStyle w:val="Tablewriting"/>
              <w:numPr>
                <w:ilvl w:val="0"/>
                <w:numId w:val="15"/>
              </w:numPr>
              <w:rPr>
                <w:rFonts w:eastAsia="MS Mincho"/>
              </w:rPr>
            </w:pPr>
            <w:r w:rsidRPr="00FB23C3">
              <w:rPr>
                <w:rFonts w:eastAsia="MS Mincho"/>
              </w:rPr>
              <w:t>Placebo</w:t>
            </w:r>
          </w:p>
          <w:p w:rsidR="00FB23C3" w:rsidRDefault="00FB23C3" w:rsidP="00A71365">
            <w:pPr>
              <w:pStyle w:val="Tablewriting"/>
              <w:rPr>
                <w:rFonts w:eastAsia="MS Mincho"/>
              </w:rPr>
            </w:pPr>
          </w:p>
          <w:p w:rsidR="00541274" w:rsidRPr="00061F78" w:rsidRDefault="00FB23C3" w:rsidP="00A71365">
            <w:pPr>
              <w:pStyle w:val="Tablewriting"/>
              <w:rPr>
                <w:rFonts w:eastAsia="MS Mincho"/>
              </w:rPr>
            </w:pPr>
            <w:r w:rsidRPr="00FB23C3">
              <w:rPr>
                <w:rFonts w:eastAsia="MS Mincho"/>
                <w:u w:val="single"/>
              </w:rPr>
              <w:t>Common components:</w:t>
            </w:r>
            <w:r>
              <w:rPr>
                <w:rFonts w:eastAsia="MS Mincho"/>
                <w:u w:val="single"/>
              </w:rPr>
              <w:t xml:space="preserve"> </w:t>
            </w:r>
            <w:r w:rsidR="00CA4A62" w:rsidRPr="00CA4A62">
              <w:rPr>
                <w:rFonts w:eastAsia="MS Mincho"/>
              </w:rPr>
              <w:t>M</w:t>
            </w:r>
            <w:r w:rsidRPr="00FB23C3">
              <w:rPr>
                <w:rFonts w:eastAsia="MS Mincho"/>
              </w:rPr>
              <w:t>otivational support around TQD, at weeks 3 and 7, and at 12-week follow-up</w:t>
            </w:r>
          </w:p>
        </w:tc>
        <w:tc>
          <w:tcPr>
            <w:tcW w:w="832" w:type="pct"/>
            <w:tcMar>
              <w:left w:w="28" w:type="dxa"/>
              <w:right w:w="28" w:type="dxa"/>
            </w:tcMar>
          </w:tcPr>
          <w:p w:rsidR="002F2D96" w:rsidRDefault="0079566E" w:rsidP="00A71365">
            <w:pPr>
              <w:pStyle w:val="Tablewriting"/>
              <w:rPr>
                <w:rFonts w:eastAsia="MS Mincho"/>
              </w:rPr>
            </w:pPr>
            <w:r w:rsidRPr="00C34B41">
              <w:rPr>
                <w:rFonts w:eastAsia="MS Mincho"/>
                <w:u w:val="single"/>
              </w:rPr>
              <w:t>Efficacy:</w:t>
            </w:r>
            <w:r w:rsidRPr="0079566E">
              <w:rPr>
                <w:rFonts w:eastAsia="MS Mincho"/>
              </w:rPr>
              <w:t xml:space="preserve"> </w:t>
            </w:r>
            <w:r w:rsidR="006D6B47">
              <w:rPr>
                <w:rFonts w:eastAsia="MS Mincho"/>
              </w:rPr>
              <w:t>P</w:t>
            </w:r>
            <w:r w:rsidRPr="0079566E">
              <w:rPr>
                <w:rFonts w:eastAsia="MS Mincho"/>
              </w:rPr>
              <w:t>rolonged abstinence at 6 months (starting from week 4) Validated by CO &lt; 10</w:t>
            </w:r>
            <w:r>
              <w:rPr>
                <w:rFonts w:eastAsia="MS Mincho"/>
              </w:rPr>
              <w:t xml:space="preserve"> </w:t>
            </w:r>
            <w:r w:rsidRPr="0079566E">
              <w:rPr>
                <w:rFonts w:eastAsia="MS Mincho"/>
              </w:rPr>
              <w:t>ppm</w:t>
            </w:r>
            <w:r w:rsidR="0064534C">
              <w:rPr>
                <w:rFonts w:eastAsia="MS Mincho"/>
              </w:rPr>
              <w:t>.</w:t>
            </w:r>
          </w:p>
          <w:p w:rsidR="00541274" w:rsidRPr="00C34B41" w:rsidRDefault="00C34B41" w:rsidP="00A71365">
            <w:pPr>
              <w:pStyle w:val="Tablewriting"/>
              <w:rPr>
                <w:rFonts w:eastAsia="MS Mincho"/>
                <w:u w:val="single"/>
              </w:rPr>
            </w:pPr>
            <w:r w:rsidRPr="00C34B41">
              <w:rPr>
                <w:rFonts w:eastAsia="MS Mincho"/>
                <w:u w:val="single"/>
              </w:rPr>
              <w:t>Safety:</w:t>
            </w:r>
            <w:r>
              <w:rPr>
                <w:rFonts w:eastAsia="MS Mincho"/>
                <w:u w:val="single"/>
              </w:rPr>
              <w:t xml:space="preserve"> </w:t>
            </w:r>
            <w:r w:rsidRPr="0064534C">
              <w:rPr>
                <w:rFonts w:eastAsia="MS Mincho"/>
              </w:rPr>
              <w:t>N</w:t>
            </w:r>
            <w:r w:rsidR="0064534C">
              <w:rPr>
                <w:rFonts w:eastAsia="MS Mincho"/>
              </w:rPr>
              <w:t>R</w:t>
            </w:r>
          </w:p>
        </w:tc>
      </w:tr>
      <w:tr w:rsidR="00541274" w:rsidRPr="00061F78" w:rsidTr="004529B1">
        <w:trPr>
          <w:trHeight w:val="149"/>
        </w:trPr>
        <w:tc>
          <w:tcPr>
            <w:tcW w:w="565" w:type="pct"/>
            <w:tcMar>
              <w:left w:w="28" w:type="dxa"/>
              <w:right w:w="28" w:type="dxa"/>
            </w:tcMar>
          </w:tcPr>
          <w:p w:rsidR="00541274" w:rsidRPr="00541274" w:rsidRDefault="00D7259E" w:rsidP="00A71365">
            <w:pPr>
              <w:pStyle w:val="Tablewriting"/>
              <w:rPr>
                <w:rFonts w:eastAsia="MS Mincho"/>
              </w:rPr>
            </w:pPr>
            <w:r w:rsidRPr="00A5320A">
              <w:rPr>
                <w:rFonts w:eastAsia="MS Mincho"/>
              </w:rPr>
              <w:t xml:space="preserve">Eisenberg </w:t>
            </w:r>
            <w:r w:rsidR="0065538B">
              <w:rPr>
                <w:rFonts w:eastAsia="MS Mincho"/>
              </w:rPr>
              <w:t>(</w:t>
            </w:r>
            <w:r w:rsidRPr="00A5320A">
              <w:rPr>
                <w:rFonts w:eastAsia="MS Mincho"/>
              </w:rPr>
              <w:t>2013</w:t>
            </w:r>
            <w:r w:rsidR="0065538B">
              <w:rPr>
                <w:rFonts w:eastAsia="MS Mincho"/>
              </w:rPr>
              <w:t>)</w:t>
            </w:r>
          </w:p>
        </w:tc>
        <w:tc>
          <w:tcPr>
            <w:tcW w:w="238" w:type="pct"/>
          </w:tcPr>
          <w:p w:rsidR="00541274" w:rsidRDefault="00D659EE" w:rsidP="00A71365">
            <w:pPr>
              <w:pStyle w:val="Tablewriting"/>
              <w:rPr>
                <w:rFonts w:eastAsia="MS Mincho"/>
              </w:rPr>
            </w:pPr>
            <w:r>
              <w:rPr>
                <w:rFonts w:eastAsia="MS Mincho"/>
              </w:rPr>
              <w:t>RCT</w:t>
            </w:r>
          </w:p>
        </w:tc>
        <w:tc>
          <w:tcPr>
            <w:tcW w:w="420" w:type="pct"/>
          </w:tcPr>
          <w:p w:rsidR="00D659EE" w:rsidRDefault="00D659EE" w:rsidP="00A71365">
            <w:pPr>
              <w:pStyle w:val="Tablewriting"/>
              <w:rPr>
                <w:rFonts w:eastAsia="MS Mincho"/>
              </w:rPr>
            </w:pPr>
            <w:r>
              <w:rPr>
                <w:rFonts w:eastAsia="MS Mincho"/>
              </w:rPr>
              <w:t>Canada</w:t>
            </w:r>
          </w:p>
        </w:tc>
        <w:tc>
          <w:tcPr>
            <w:tcW w:w="449" w:type="pct"/>
            <w:tcMar>
              <w:left w:w="28" w:type="dxa"/>
              <w:right w:w="28" w:type="dxa"/>
            </w:tcMar>
          </w:tcPr>
          <w:p w:rsidR="00541274" w:rsidRPr="00061F78" w:rsidRDefault="00CA3C21" w:rsidP="00A71365">
            <w:pPr>
              <w:pStyle w:val="Tablewriting"/>
              <w:rPr>
                <w:rFonts w:eastAsia="MS Mincho"/>
              </w:rPr>
            </w:pPr>
            <w:r>
              <w:rPr>
                <w:rFonts w:eastAsia="MS Mincho"/>
              </w:rPr>
              <w:t>N=392</w:t>
            </w:r>
            <w:r w:rsidR="00C75289">
              <w:rPr>
                <w:rFonts w:eastAsia="MS Mincho"/>
              </w:rPr>
              <w:t>;</w:t>
            </w:r>
            <w:r w:rsidR="00510700">
              <w:rPr>
                <w:rFonts w:eastAsia="MS Mincho"/>
              </w:rPr>
              <w:t xml:space="preserve"> n=192 (bupropion), n=200 (placebo)</w:t>
            </w:r>
          </w:p>
        </w:tc>
        <w:tc>
          <w:tcPr>
            <w:tcW w:w="1271" w:type="pct"/>
            <w:tcMar>
              <w:left w:w="28" w:type="dxa"/>
              <w:right w:w="28" w:type="dxa"/>
            </w:tcMar>
          </w:tcPr>
          <w:p w:rsidR="009A09F5" w:rsidRPr="009A09F5" w:rsidRDefault="009A09F5" w:rsidP="00A71365">
            <w:pPr>
              <w:pStyle w:val="Tablewriting"/>
              <w:rPr>
                <w:rFonts w:eastAsia="MS Mincho"/>
              </w:rPr>
            </w:pPr>
            <w:r>
              <w:rPr>
                <w:rFonts w:eastAsia="MS Mincho"/>
              </w:rPr>
              <w:t>S</w:t>
            </w:r>
            <w:r w:rsidRPr="009A09F5">
              <w:rPr>
                <w:rFonts w:eastAsia="MS Mincho"/>
              </w:rPr>
              <w:t>mokers of at least 10 cigarettes per day, hospitalized with enzyme positive acute myocardial infarction.</w:t>
            </w:r>
          </w:p>
          <w:p w:rsidR="00541274" w:rsidRPr="00061F78" w:rsidRDefault="009A09F5" w:rsidP="00A71365">
            <w:pPr>
              <w:pStyle w:val="Tablewriting"/>
              <w:rPr>
                <w:rFonts w:eastAsia="MS Mincho"/>
              </w:rPr>
            </w:pPr>
            <w:r w:rsidRPr="009A09F5">
              <w:rPr>
                <w:rFonts w:eastAsia="MS Mincho"/>
              </w:rPr>
              <w:t>16% female; average age 54</w:t>
            </w:r>
            <w:r w:rsidR="002C6BE7">
              <w:rPr>
                <w:rFonts w:eastAsia="MS Mincho"/>
              </w:rPr>
              <w:t xml:space="preserve"> years,</w:t>
            </w:r>
            <w:r w:rsidRPr="009A09F5">
              <w:rPr>
                <w:rFonts w:eastAsia="MS Mincho"/>
              </w:rPr>
              <w:t xml:space="preserve"> average cigarettes per day 23</w:t>
            </w:r>
            <w:r w:rsidR="002C6BE7">
              <w:rPr>
                <w:rFonts w:eastAsia="MS Mincho"/>
              </w:rPr>
              <w:t>,</w:t>
            </w:r>
            <w:r w:rsidRPr="009A09F5">
              <w:rPr>
                <w:rFonts w:eastAsia="MS Mincho"/>
              </w:rPr>
              <w:t xml:space="preserve"> average FTND not speci</w:t>
            </w:r>
            <w:r>
              <w:rPr>
                <w:rFonts w:eastAsia="MS Mincho"/>
              </w:rPr>
              <w:t>fied</w:t>
            </w:r>
            <w:r w:rsidR="002C6BE7">
              <w:rPr>
                <w:rFonts w:eastAsia="MS Mincho"/>
              </w:rPr>
              <w:t>.</w:t>
            </w:r>
          </w:p>
        </w:tc>
        <w:tc>
          <w:tcPr>
            <w:tcW w:w="1224" w:type="pct"/>
          </w:tcPr>
          <w:p w:rsidR="00374189" w:rsidRPr="00374189" w:rsidRDefault="00374189" w:rsidP="00C324F3">
            <w:pPr>
              <w:pStyle w:val="Tablewriting"/>
              <w:numPr>
                <w:ilvl w:val="0"/>
                <w:numId w:val="16"/>
              </w:numPr>
              <w:rPr>
                <w:rFonts w:eastAsia="MS Mincho"/>
              </w:rPr>
            </w:pPr>
            <w:r w:rsidRPr="00374189">
              <w:rPr>
                <w:rFonts w:eastAsia="MS Mincho"/>
              </w:rPr>
              <w:t>Bupropion, 300 mg/day for 9 weeks (150 mg for 3 days, then 150 mg 2 x day for remainder)</w:t>
            </w:r>
          </w:p>
          <w:p w:rsidR="00374189" w:rsidRPr="00374189" w:rsidRDefault="00374189" w:rsidP="00C324F3">
            <w:pPr>
              <w:pStyle w:val="Tablewriting"/>
              <w:numPr>
                <w:ilvl w:val="0"/>
                <w:numId w:val="16"/>
              </w:numPr>
              <w:rPr>
                <w:rFonts w:eastAsia="MS Mincho"/>
              </w:rPr>
            </w:pPr>
            <w:r w:rsidRPr="00374189">
              <w:rPr>
                <w:rFonts w:eastAsia="MS Mincho"/>
              </w:rPr>
              <w:t>Placebo, same schedule as bupropion</w:t>
            </w:r>
          </w:p>
          <w:p w:rsidR="00374189" w:rsidRDefault="00374189" w:rsidP="00A71365">
            <w:pPr>
              <w:pStyle w:val="Tablewriting"/>
              <w:rPr>
                <w:rFonts w:eastAsia="MS Mincho"/>
              </w:rPr>
            </w:pPr>
          </w:p>
          <w:p w:rsidR="00541274" w:rsidRPr="00061F78" w:rsidRDefault="00374189" w:rsidP="00A71365">
            <w:pPr>
              <w:pStyle w:val="Tablewriting"/>
              <w:rPr>
                <w:rFonts w:eastAsia="MS Mincho"/>
              </w:rPr>
            </w:pPr>
            <w:r w:rsidRPr="00374189">
              <w:rPr>
                <w:rFonts w:eastAsia="MS Mincho"/>
                <w:u w:val="single"/>
              </w:rPr>
              <w:t>Common components:</w:t>
            </w:r>
            <w:r w:rsidRPr="00374189">
              <w:rPr>
                <w:rFonts w:eastAsia="MS Mincho"/>
              </w:rPr>
              <w:t xml:space="preserve"> 7 one-to-one counselling sessions by research nurses at baseline and all follow-ups of &lt; 20 mins (average 5) – mix of phone and in-person</w:t>
            </w:r>
          </w:p>
        </w:tc>
        <w:tc>
          <w:tcPr>
            <w:tcW w:w="832" w:type="pct"/>
            <w:tcMar>
              <w:left w:w="28" w:type="dxa"/>
              <w:right w:w="28" w:type="dxa"/>
            </w:tcMar>
          </w:tcPr>
          <w:p w:rsidR="00810283" w:rsidRPr="00810283" w:rsidRDefault="00810283" w:rsidP="00A71365">
            <w:pPr>
              <w:pStyle w:val="Tablewriting"/>
              <w:rPr>
                <w:rFonts w:eastAsia="MS Mincho"/>
              </w:rPr>
            </w:pPr>
            <w:r>
              <w:rPr>
                <w:rFonts w:eastAsia="MS Mincho"/>
                <w:u w:val="single"/>
              </w:rPr>
              <w:t>Efficacy:</w:t>
            </w:r>
            <w:r w:rsidRPr="00810283">
              <w:rPr>
                <w:rFonts w:eastAsia="MS Mincho"/>
              </w:rPr>
              <w:t xml:space="preserve"> 12 months continuous abstinence (7 days </w:t>
            </w:r>
            <w:r w:rsidR="009358E1">
              <w:rPr>
                <w:rFonts w:eastAsia="MS Mincho"/>
              </w:rPr>
              <w:t>PPA</w:t>
            </w:r>
            <w:r w:rsidRPr="00810283">
              <w:rPr>
                <w:rFonts w:eastAsia="MS Mincho"/>
              </w:rPr>
              <w:t xml:space="preserve"> also reported). Validated by CO </w:t>
            </w:r>
            <w:r w:rsidR="00AC7F27" w:rsidRPr="00D96BA4">
              <w:rPr>
                <w:rFonts w:eastAsia="MS Mincho"/>
              </w:rPr>
              <w:t>≤</w:t>
            </w:r>
            <w:r w:rsidR="00095F26">
              <w:rPr>
                <w:rFonts w:eastAsia="MS Mincho"/>
              </w:rPr>
              <w:t xml:space="preserve"> </w:t>
            </w:r>
            <w:r w:rsidRPr="00810283">
              <w:rPr>
                <w:rFonts w:eastAsia="MS Mincho"/>
              </w:rPr>
              <w:t>10 ppm</w:t>
            </w:r>
          </w:p>
          <w:p w:rsidR="00541274" w:rsidRPr="00061F78" w:rsidRDefault="00810283" w:rsidP="00A71365">
            <w:pPr>
              <w:pStyle w:val="Tablewriting"/>
              <w:rPr>
                <w:rFonts w:eastAsia="MS Mincho"/>
              </w:rPr>
            </w:pPr>
            <w:r w:rsidRPr="00810283">
              <w:rPr>
                <w:rFonts w:eastAsia="MS Mincho"/>
                <w:u w:val="single"/>
              </w:rPr>
              <w:t>Safety:</w:t>
            </w:r>
            <w:r w:rsidRPr="00810283">
              <w:rPr>
                <w:rFonts w:eastAsia="MS Mincho"/>
              </w:rPr>
              <w:t xml:space="preserve"> non-SAEs measured for 9 weeks. SAEs measured for 12 months</w:t>
            </w:r>
            <w:r w:rsidR="00936C4D">
              <w:rPr>
                <w:rFonts w:eastAsia="MS Mincho"/>
              </w:rPr>
              <w:t>.</w:t>
            </w:r>
          </w:p>
        </w:tc>
      </w:tr>
      <w:tr w:rsidR="00E30B27" w:rsidRPr="00061F78" w:rsidTr="004529B1">
        <w:trPr>
          <w:trHeight w:val="149"/>
        </w:trPr>
        <w:tc>
          <w:tcPr>
            <w:tcW w:w="565" w:type="pct"/>
          </w:tcPr>
          <w:p w:rsidR="00E30B27" w:rsidRPr="00541274" w:rsidRDefault="00D7259E" w:rsidP="00A71365">
            <w:pPr>
              <w:pStyle w:val="Tablewriting"/>
              <w:rPr>
                <w:rFonts w:eastAsia="MS Mincho"/>
              </w:rPr>
            </w:pPr>
            <w:r w:rsidRPr="00A5320A">
              <w:rPr>
                <w:rFonts w:eastAsia="MS Mincho"/>
              </w:rPr>
              <w:t xml:space="preserve">Evins </w:t>
            </w:r>
            <w:r w:rsidR="0065538B">
              <w:rPr>
                <w:rFonts w:eastAsia="MS Mincho"/>
              </w:rPr>
              <w:t>(</w:t>
            </w:r>
            <w:r w:rsidRPr="00A5320A">
              <w:rPr>
                <w:rFonts w:eastAsia="MS Mincho"/>
              </w:rPr>
              <w:t>2001</w:t>
            </w:r>
            <w:r w:rsidR="0065538B">
              <w:rPr>
                <w:rFonts w:eastAsia="MS Mincho"/>
              </w:rPr>
              <w:t>)</w:t>
            </w:r>
          </w:p>
        </w:tc>
        <w:tc>
          <w:tcPr>
            <w:tcW w:w="238" w:type="pct"/>
          </w:tcPr>
          <w:p w:rsidR="00E30B27" w:rsidRDefault="00E66D7E" w:rsidP="00A71365">
            <w:pPr>
              <w:pStyle w:val="Tablewriting"/>
              <w:rPr>
                <w:rFonts w:eastAsia="MS Mincho"/>
              </w:rPr>
            </w:pPr>
            <w:r>
              <w:rPr>
                <w:rFonts w:eastAsia="MS Mincho"/>
              </w:rPr>
              <w:t>RCT</w:t>
            </w:r>
          </w:p>
        </w:tc>
        <w:tc>
          <w:tcPr>
            <w:tcW w:w="420" w:type="pct"/>
          </w:tcPr>
          <w:p w:rsidR="00E66D7E" w:rsidRDefault="00E66D7E" w:rsidP="00A71365">
            <w:pPr>
              <w:pStyle w:val="Tablewriting"/>
              <w:rPr>
                <w:rFonts w:eastAsia="MS Mincho"/>
              </w:rPr>
            </w:pPr>
            <w:r>
              <w:rPr>
                <w:rFonts w:eastAsia="MS Mincho"/>
              </w:rPr>
              <w:t>USA</w:t>
            </w:r>
          </w:p>
        </w:tc>
        <w:tc>
          <w:tcPr>
            <w:tcW w:w="449" w:type="pct"/>
          </w:tcPr>
          <w:p w:rsidR="00E30B27" w:rsidRPr="00061F78" w:rsidRDefault="00CA3C21" w:rsidP="00A71365">
            <w:pPr>
              <w:pStyle w:val="Tablewriting"/>
              <w:rPr>
                <w:rFonts w:eastAsia="MS Mincho"/>
              </w:rPr>
            </w:pPr>
            <w:r>
              <w:rPr>
                <w:rFonts w:eastAsia="MS Mincho"/>
              </w:rPr>
              <w:t>N=18</w:t>
            </w:r>
            <w:r w:rsidR="00193A2A">
              <w:rPr>
                <w:rFonts w:eastAsia="MS Mincho"/>
              </w:rPr>
              <w:t>; n=9 bupropion), n=9 (placebo).</w:t>
            </w:r>
          </w:p>
        </w:tc>
        <w:tc>
          <w:tcPr>
            <w:tcW w:w="1271" w:type="pct"/>
          </w:tcPr>
          <w:p w:rsidR="00E30B27" w:rsidRPr="00061F78" w:rsidRDefault="00E33E12" w:rsidP="00A71365">
            <w:pPr>
              <w:pStyle w:val="Tablewriting"/>
              <w:rPr>
                <w:rFonts w:eastAsia="MS Mincho"/>
              </w:rPr>
            </w:pPr>
            <w:r>
              <w:rPr>
                <w:rFonts w:eastAsia="MS Mincho"/>
              </w:rPr>
              <w:t>S</w:t>
            </w:r>
            <w:r w:rsidR="00186A66" w:rsidRPr="00186A66">
              <w:rPr>
                <w:rFonts w:eastAsia="MS Mincho"/>
              </w:rPr>
              <w:t>mokers with stable schizophrenia (excluding 1 dropout prior to</w:t>
            </w:r>
            <w:r w:rsidR="00186A66">
              <w:rPr>
                <w:rFonts w:eastAsia="MS Mincho"/>
              </w:rPr>
              <w:t xml:space="preserve"> </w:t>
            </w:r>
            <w:r w:rsidR="00186A66" w:rsidRPr="00186A66">
              <w:rPr>
                <w:rFonts w:eastAsia="MS Mincho"/>
              </w:rPr>
              <w:t>medication)</w:t>
            </w:r>
            <w:r w:rsidR="000C29E2">
              <w:rPr>
                <w:rFonts w:eastAsia="MS Mincho"/>
              </w:rPr>
              <w:t>,</w:t>
            </w:r>
            <w:r w:rsidR="00186A66" w:rsidRPr="00186A66">
              <w:rPr>
                <w:rFonts w:eastAsia="MS Mincho"/>
              </w:rPr>
              <w:t xml:space="preserve"> 39% female</w:t>
            </w:r>
            <w:r w:rsidR="002C6BE7">
              <w:rPr>
                <w:rFonts w:eastAsia="MS Mincho"/>
              </w:rPr>
              <w:t>,</w:t>
            </w:r>
            <w:r w:rsidR="00186A66" w:rsidRPr="00186A66">
              <w:rPr>
                <w:rFonts w:eastAsia="MS Mincho"/>
              </w:rPr>
              <w:t xml:space="preserve"> average</w:t>
            </w:r>
            <w:r w:rsidR="00592C3C">
              <w:rPr>
                <w:rFonts w:eastAsia="MS Mincho"/>
              </w:rPr>
              <w:t xml:space="preserve"> </w:t>
            </w:r>
            <w:r w:rsidR="00186A66" w:rsidRPr="00186A66">
              <w:rPr>
                <w:rFonts w:eastAsia="MS Mincho"/>
              </w:rPr>
              <w:t>age 45.5/42.7</w:t>
            </w:r>
            <w:r w:rsidR="002C6BE7">
              <w:rPr>
                <w:rFonts w:eastAsia="MS Mincho"/>
              </w:rPr>
              <w:t>,</w:t>
            </w:r>
            <w:r w:rsidR="00186A66" w:rsidRPr="00186A66">
              <w:rPr>
                <w:rFonts w:eastAsia="MS Mincho"/>
              </w:rPr>
              <w:t xml:space="preserve"> average cigarettes per day 34</w:t>
            </w:r>
            <w:r w:rsidR="002C6BE7">
              <w:rPr>
                <w:rFonts w:eastAsia="MS Mincho"/>
              </w:rPr>
              <w:t>.</w:t>
            </w:r>
          </w:p>
        </w:tc>
        <w:tc>
          <w:tcPr>
            <w:tcW w:w="1224" w:type="pct"/>
          </w:tcPr>
          <w:p w:rsidR="0025173C" w:rsidRPr="0025173C" w:rsidRDefault="0025173C" w:rsidP="00C324F3">
            <w:pPr>
              <w:pStyle w:val="Tablewriting"/>
              <w:numPr>
                <w:ilvl w:val="0"/>
                <w:numId w:val="17"/>
              </w:numPr>
              <w:rPr>
                <w:rFonts w:eastAsia="MS Mincho"/>
              </w:rPr>
            </w:pPr>
            <w:r w:rsidRPr="0025173C">
              <w:rPr>
                <w:rFonts w:eastAsia="MS Mincho"/>
              </w:rPr>
              <w:t>Bupropion</w:t>
            </w:r>
            <w:r>
              <w:rPr>
                <w:rFonts w:eastAsia="MS Mincho"/>
              </w:rPr>
              <w:t>,</w:t>
            </w:r>
            <w:r w:rsidRPr="0025173C">
              <w:rPr>
                <w:rFonts w:eastAsia="MS Mincho"/>
              </w:rPr>
              <w:t xml:space="preserve"> 300 mg/day for 3 months</w:t>
            </w:r>
            <w:r w:rsidR="0016533A">
              <w:rPr>
                <w:rFonts w:eastAsia="MS Mincho"/>
              </w:rPr>
              <w:t>,</w:t>
            </w:r>
            <w:r w:rsidRPr="0025173C">
              <w:rPr>
                <w:rFonts w:eastAsia="MS Mincho"/>
              </w:rPr>
              <w:t xml:space="preserve"> TQD after week 3</w:t>
            </w:r>
          </w:p>
          <w:p w:rsidR="0025173C" w:rsidRPr="0025173C" w:rsidRDefault="0025173C" w:rsidP="00C324F3">
            <w:pPr>
              <w:pStyle w:val="Tablewriting"/>
              <w:numPr>
                <w:ilvl w:val="0"/>
                <w:numId w:val="17"/>
              </w:numPr>
              <w:rPr>
                <w:rFonts w:eastAsia="MS Mincho"/>
              </w:rPr>
            </w:pPr>
            <w:r w:rsidRPr="0025173C">
              <w:rPr>
                <w:rFonts w:eastAsia="MS Mincho"/>
              </w:rPr>
              <w:t>Placebo</w:t>
            </w:r>
          </w:p>
          <w:p w:rsidR="0025173C" w:rsidRDefault="0025173C" w:rsidP="00A71365">
            <w:pPr>
              <w:pStyle w:val="Tablewriting"/>
              <w:rPr>
                <w:rFonts w:eastAsia="MS Mincho"/>
              </w:rPr>
            </w:pPr>
          </w:p>
          <w:p w:rsidR="00E30B27" w:rsidRPr="00061F78" w:rsidRDefault="0025173C" w:rsidP="00A71365">
            <w:pPr>
              <w:pStyle w:val="Tablewriting"/>
              <w:rPr>
                <w:rFonts w:eastAsia="MS Mincho"/>
              </w:rPr>
            </w:pPr>
            <w:r w:rsidRPr="0025173C">
              <w:rPr>
                <w:rFonts w:eastAsia="MS Mincho"/>
                <w:u w:val="single"/>
              </w:rPr>
              <w:t>Common components</w:t>
            </w:r>
            <w:r w:rsidRPr="0025173C">
              <w:rPr>
                <w:rFonts w:eastAsia="MS Mincho"/>
              </w:rPr>
              <w:t>: 9x1</w:t>
            </w:r>
            <w:r>
              <w:rPr>
                <w:rFonts w:eastAsia="MS Mincho"/>
              </w:rPr>
              <w:t xml:space="preserve"> </w:t>
            </w:r>
            <w:r w:rsidRPr="0025173C">
              <w:rPr>
                <w:rFonts w:eastAsia="MS Mincho"/>
              </w:rPr>
              <w:t>hour weekly group CBT</w:t>
            </w:r>
          </w:p>
        </w:tc>
        <w:tc>
          <w:tcPr>
            <w:tcW w:w="832" w:type="pct"/>
          </w:tcPr>
          <w:p w:rsidR="00514D56" w:rsidRPr="00514D56" w:rsidRDefault="00514D56" w:rsidP="00A71365">
            <w:pPr>
              <w:pStyle w:val="Tablewriting"/>
              <w:rPr>
                <w:rFonts w:eastAsia="MS Mincho"/>
              </w:rPr>
            </w:pPr>
            <w:r w:rsidRPr="00514D56">
              <w:rPr>
                <w:rFonts w:eastAsia="MS Mincho"/>
                <w:u w:val="single"/>
              </w:rPr>
              <w:t>Efficacy:</w:t>
            </w:r>
            <w:r w:rsidRPr="00514D56">
              <w:rPr>
                <w:rFonts w:eastAsia="MS Mincho"/>
              </w:rPr>
              <w:t xml:space="preserve"> prolonged abstinence at 6 months. Validated by CO &lt; 9 ppm or serum cotinine &lt;</w:t>
            </w:r>
            <w:r>
              <w:rPr>
                <w:rFonts w:eastAsia="MS Mincho"/>
              </w:rPr>
              <w:t xml:space="preserve"> </w:t>
            </w:r>
            <w:r w:rsidRPr="00514D56">
              <w:rPr>
                <w:rFonts w:eastAsia="MS Mincho"/>
              </w:rPr>
              <w:t>14 ng/mL</w:t>
            </w:r>
          </w:p>
          <w:p w:rsidR="00E30B27" w:rsidRPr="00061F78" w:rsidRDefault="00514D56" w:rsidP="00A71365">
            <w:pPr>
              <w:pStyle w:val="Tablewriting"/>
              <w:rPr>
                <w:rFonts w:eastAsia="MS Mincho"/>
              </w:rPr>
            </w:pPr>
            <w:r>
              <w:rPr>
                <w:rFonts w:eastAsia="MS Mincho"/>
                <w:u w:val="single"/>
              </w:rPr>
              <w:t>Safety</w:t>
            </w:r>
            <w:r w:rsidRPr="00514D56">
              <w:rPr>
                <w:rFonts w:eastAsia="MS Mincho"/>
              </w:rPr>
              <w:t>: measured for 24 weeks</w:t>
            </w:r>
          </w:p>
        </w:tc>
      </w:tr>
      <w:tr w:rsidR="00E30B27" w:rsidRPr="00061F78" w:rsidTr="004529B1">
        <w:trPr>
          <w:trHeight w:val="149"/>
        </w:trPr>
        <w:tc>
          <w:tcPr>
            <w:tcW w:w="565" w:type="pct"/>
          </w:tcPr>
          <w:p w:rsidR="00E30B27" w:rsidRPr="00541274" w:rsidRDefault="00F87B92" w:rsidP="00A71365">
            <w:pPr>
              <w:pStyle w:val="Tablewriting"/>
              <w:rPr>
                <w:rFonts w:eastAsia="MS Mincho"/>
              </w:rPr>
            </w:pPr>
            <w:r w:rsidRPr="00A5320A">
              <w:rPr>
                <w:rFonts w:eastAsia="MS Mincho"/>
              </w:rPr>
              <w:t xml:space="preserve">Evins </w:t>
            </w:r>
            <w:r w:rsidR="0065538B">
              <w:rPr>
                <w:rFonts w:eastAsia="MS Mincho"/>
              </w:rPr>
              <w:t>(</w:t>
            </w:r>
            <w:r w:rsidRPr="00A5320A">
              <w:rPr>
                <w:rFonts w:eastAsia="MS Mincho"/>
              </w:rPr>
              <w:t>2005</w:t>
            </w:r>
            <w:r w:rsidR="0065538B">
              <w:rPr>
                <w:rFonts w:eastAsia="MS Mincho"/>
              </w:rPr>
              <w:t>)</w:t>
            </w:r>
          </w:p>
        </w:tc>
        <w:tc>
          <w:tcPr>
            <w:tcW w:w="238" w:type="pct"/>
          </w:tcPr>
          <w:p w:rsidR="00E30B27" w:rsidRDefault="002832E8" w:rsidP="00A71365">
            <w:pPr>
              <w:pStyle w:val="Tablewriting"/>
              <w:rPr>
                <w:rFonts w:eastAsia="MS Mincho"/>
              </w:rPr>
            </w:pPr>
            <w:r>
              <w:rPr>
                <w:rFonts w:eastAsia="MS Mincho"/>
              </w:rPr>
              <w:t>RCT</w:t>
            </w:r>
          </w:p>
        </w:tc>
        <w:tc>
          <w:tcPr>
            <w:tcW w:w="420" w:type="pct"/>
          </w:tcPr>
          <w:p w:rsidR="002832E8" w:rsidRDefault="002832E8" w:rsidP="00A71365">
            <w:pPr>
              <w:pStyle w:val="Tablewriting"/>
              <w:rPr>
                <w:rFonts w:eastAsia="MS Mincho"/>
              </w:rPr>
            </w:pPr>
            <w:r>
              <w:rPr>
                <w:rFonts w:eastAsia="MS Mincho"/>
              </w:rPr>
              <w:t>USA</w:t>
            </w:r>
          </w:p>
        </w:tc>
        <w:tc>
          <w:tcPr>
            <w:tcW w:w="449" w:type="pct"/>
          </w:tcPr>
          <w:p w:rsidR="00E30B27" w:rsidRPr="00061F78" w:rsidRDefault="00CA3C21" w:rsidP="00A71365">
            <w:pPr>
              <w:pStyle w:val="Tablewriting"/>
              <w:rPr>
                <w:rFonts w:eastAsia="MS Mincho"/>
              </w:rPr>
            </w:pPr>
            <w:r>
              <w:rPr>
                <w:rFonts w:eastAsia="MS Mincho"/>
              </w:rPr>
              <w:t>N=56</w:t>
            </w:r>
            <w:r w:rsidR="00F370B3">
              <w:rPr>
                <w:rFonts w:eastAsia="MS Mincho"/>
              </w:rPr>
              <w:t>; n=</w:t>
            </w:r>
            <w:r w:rsidR="008271C0">
              <w:rPr>
                <w:rFonts w:eastAsia="MS Mincho"/>
              </w:rPr>
              <w:t xml:space="preserve">25 </w:t>
            </w:r>
            <w:r w:rsidR="00F370B3">
              <w:rPr>
                <w:rFonts w:eastAsia="MS Mincho"/>
              </w:rPr>
              <w:t xml:space="preserve">(bupropion), n= </w:t>
            </w:r>
            <w:r w:rsidR="008271C0">
              <w:rPr>
                <w:rFonts w:eastAsia="MS Mincho"/>
              </w:rPr>
              <w:t xml:space="preserve">28 </w:t>
            </w:r>
            <w:r w:rsidR="00F370B3">
              <w:rPr>
                <w:rFonts w:eastAsia="MS Mincho"/>
              </w:rPr>
              <w:t>(placebo).</w:t>
            </w:r>
          </w:p>
        </w:tc>
        <w:tc>
          <w:tcPr>
            <w:tcW w:w="1271" w:type="pct"/>
          </w:tcPr>
          <w:p w:rsidR="00E30B27" w:rsidRPr="00061F78" w:rsidRDefault="00E33E12" w:rsidP="00A71365">
            <w:pPr>
              <w:pStyle w:val="Tablewriting"/>
              <w:rPr>
                <w:rFonts w:eastAsia="MS Mincho"/>
              </w:rPr>
            </w:pPr>
            <w:r>
              <w:rPr>
                <w:rFonts w:eastAsia="MS Mincho"/>
              </w:rPr>
              <w:t>S</w:t>
            </w:r>
            <w:r w:rsidRPr="00E33E12">
              <w:rPr>
                <w:rFonts w:eastAsia="MS Mincho"/>
              </w:rPr>
              <w:t>mokers with schizophrenia (excluding 6 dropouts prior to medication)</w:t>
            </w:r>
            <w:r w:rsidR="000C29E2">
              <w:rPr>
                <w:rFonts w:eastAsia="MS Mincho"/>
              </w:rPr>
              <w:t>,</w:t>
            </w:r>
            <w:r w:rsidRPr="00E33E12">
              <w:rPr>
                <w:rFonts w:eastAsia="MS Mincho"/>
              </w:rPr>
              <w:t xml:space="preserve"> 27% female</w:t>
            </w:r>
            <w:r w:rsidR="000C29E2">
              <w:rPr>
                <w:rFonts w:eastAsia="MS Mincho"/>
              </w:rPr>
              <w:t>,</w:t>
            </w:r>
            <w:r w:rsidRPr="00E33E12">
              <w:rPr>
                <w:rFonts w:eastAsia="MS Mincho"/>
              </w:rPr>
              <w:t xml:space="preserve"> average age 45</w:t>
            </w:r>
            <w:r w:rsidR="000C29E2">
              <w:rPr>
                <w:rFonts w:eastAsia="MS Mincho"/>
              </w:rPr>
              <w:t xml:space="preserve"> years</w:t>
            </w:r>
            <w:r w:rsidRPr="00E33E12">
              <w:rPr>
                <w:rFonts w:eastAsia="MS Mincho"/>
              </w:rPr>
              <w:t>,</w:t>
            </w:r>
            <w:r>
              <w:rPr>
                <w:rFonts w:eastAsia="MS Mincho"/>
              </w:rPr>
              <w:t xml:space="preserve"> </w:t>
            </w:r>
            <w:r w:rsidRPr="00E33E12">
              <w:rPr>
                <w:rFonts w:eastAsia="MS Mincho"/>
              </w:rPr>
              <w:t>average cigarettes per day 37/26</w:t>
            </w:r>
            <w:r w:rsidR="008D5C7A">
              <w:rPr>
                <w:rFonts w:eastAsia="MS Mincho"/>
              </w:rPr>
              <w:t>.</w:t>
            </w:r>
          </w:p>
        </w:tc>
        <w:tc>
          <w:tcPr>
            <w:tcW w:w="1224" w:type="pct"/>
          </w:tcPr>
          <w:p w:rsidR="008A364D" w:rsidRPr="008A364D" w:rsidRDefault="008A364D" w:rsidP="00C324F3">
            <w:pPr>
              <w:pStyle w:val="Tablewriting"/>
              <w:numPr>
                <w:ilvl w:val="0"/>
                <w:numId w:val="18"/>
              </w:numPr>
              <w:rPr>
                <w:rFonts w:eastAsia="MS Mincho"/>
              </w:rPr>
            </w:pPr>
            <w:r w:rsidRPr="008A364D">
              <w:rPr>
                <w:rFonts w:eastAsia="MS Mincho"/>
              </w:rPr>
              <w:t>Bupropion, 300 mg/day for 3 months</w:t>
            </w:r>
          </w:p>
          <w:p w:rsidR="008A364D" w:rsidRPr="008A364D" w:rsidRDefault="008A364D" w:rsidP="00C324F3">
            <w:pPr>
              <w:pStyle w:val="Tablewriting"/>
              <w:numPr>
                <w:ilvl w:val="0"/>
                <w:numId w:val="18"/>
              </w:numPr>
              <w:rPr>
                <w:rFonts w:eastAsia="MS Mincho"/>
              </w:rPr>
            </w:pPr>
            <w:r w:rsidRPr="008A364D">
              <w:rPr>
                <w:rFonts w:eastAsia="MS Mincho"/>
              </w:rPr>
              <w:t>Placebo</w:t>
            </w:r>
          </w:p>
          <w:p w:rsidR="008A364D" w:rsidRDefault="008A364D" w:rsidP="00A71365">
            <w:pPr>
              <w:pStyle w:val="Tablewriting"/>
              <w:rPr>
                <w:rFonts w:eastAsia="MS Mincho"/>
              </w:rPr>
            </w:pPr>
          </w:p>
          <w:p w:rsidR="00E30B27" w:rsidRPr="00061F78" w:rsidRDefault="008A364D" w:rsidP="00A71365">
            <w:pPr>
              <w:pStyle w:val="Tablewriting"/>
              <w:rPr>
                <w:rFonts w:eastAsia="MS Mincho"/>
              </w:rPr>
            </w:pPr>
            <w:r w:rsidRPr="008A364D">
              <w:rPr>
                <w:rFonts w:eastAsia="MS Mincho"/>
                <w:u w:val="single"/>
              </w:rPr>
              <w:t>Common components:</w:t>
            </w:r>
            <w:r w:rsidRPr="008A364D">
              <w:rPr>
                <w:rFonts w:eastAsia="MS Mincho"/>
              </w:rPr>
              <w:t xml:space="preserve"> 12</w:t>
            </w:r>
            <w:r>
              <w:rPr>
                <w:rFonts w:eastAsia="MS Mincho"/>
              </w:rPr>
              <w:t xml:space="preserve"> </w:t>
            </w:r>
            <w:r w:rsidRPr="008A364D">
              <w:rPr>
                <w:rFonts w:eastAsia="MS Mincho"/>
              </w:rPr>
              <w:t>session group CBT</w:t>
            </w:r>
          </w:p>
        </w:tc>
        <w:tc>
          <w:tcPr>
            <w:tcW w:w="832" w:type="pct"/>
          </w:tcPr>
          <w:p w:rsidR="00C53007" w:rsidRPr="00C53007" w:rsidRDefault="00C53007" w:rsidP="00A71365">
            <w:pPr>
              <w:pStyle w:val="Tablewriting"/>
              <w:rPr>
                <w:rFonts w:eastAsia="MS Mincho"/>
              </w:rPr>
            </w:pPr>
            <w:r w:rsidRPr="00C53007">
              <w:rPr>
                <w:rFonts w:eastAsia="MS Mincho"/>
                <w:u w:val="single"/>
              </w:rPr>
              <w:t>Efficacy:</w:t>
            </w:r>
            <w:r w:rsidRPr="00C53007">
              <w:rPr>
                <w:rFonts w:eastAsia="MS Mincho"/>
              </w:rPr>
              <w:t xml:space="preserve"> </w:t>
            </w:r>
            <w:r w:rsidR="00BE4391" w:rsidRPr="00C53007">
              <w:rPr>
                <w:rFonts w:eastAsia="MS Mincho"/>
              </w:rPr>
              <w:t>7-day</w:t>
            </w:r>
            <w:r w:rsidRPr="00C53007">
              <w:rPr>
                <w:rFonts w:eastAsia="MS Mincho"/>
              </w:rPr>
              <w:t xml:space="preserve"> </w:t>
            </w:r>
            <w:r w:rsidR="009358E1">
              <w:rPr>
                <w:rFonts w:eastAsia="MS Mincho"/>
              </w:rPr>
              <w:t>PPA</w:t>
            </w:r>
            <w:r w:rsidRPr="00C53007">
              <w:rPr>
                <w:rFonts w:eastAsia="MS Mincho"/>
              </w:rPr>
              <w:t xml:space="preserve"> at 6 months. Validated by CO &lt;</w:t>
            </w:r>
            <w:r w:rsidR="00AE23CD">
              <w:rPr>
                <w:rFonts w:eastAsia="MS Mincho"/>
              </w:rPr>
              <w:t xml:space="preserve"> </w:t>
            </w:r>
            <w:r w:rsidRPr="00C53007">
              <w:rPr>
                <w:rFonts w:eastAsia="MS Mincho"/>
              </w:rPr>
              <w:t>9 ppm</w:t>
            </w:r>
            <w:r w:rsidR="00714110">
              <w:rPr>
                <w:rFonts w:eastAsia="MS Mincho"/>
              </w:rPr>
              <w:t>.</w:t>
            </w:r>
          </w:p>
          <w:p w:rsidR="00E30B27" w:rsidRPr="00061F78" w:rsidRDefault="00AE23CD" w:rsidP="00A71365">
            <w:pPr>
              <w:pStyle w:val="Tablewriting"/>
              <w:rPr>
                <w:rFonts w:eastAsia="MS Mincho"/>
              </w:rPr>
            </w:pPr>
            <w:r w:rsidRPr="00AE23CD">
              <w:rPr>
                <w:rFonts w:eastAsia="MS Mincho"/>
                <w:u w:val="single"/>
              </w:rPr>
              <w:t>Safety</w:t>
            </w:r>
            <w:r w:rsidR="00C53007" w:rsidRPr="00AE23CD">
              <w:rPr>
                <w:rFonts w:eastAsia="MS Mincho"/>
                <w:u w:val="single"/>
              </w:rPr>
              <w:t>:</w:t>
            </w:r>
            <w:r w:rsidR="00C53007" w:rsidRPr="00C53007">
              <w:rPr>
                <w:rFonts w:eastAsia="MS Mincho"/>
              </w:rPr>
              <w:t xml:space="preserve"> measured for</w:t>
            </w:r>
            <w:r>
              <w:rPr>
                <w:rFonts w:eastAsia="MS Mincho"/>
              </w:rPr>
              <w:t xml:space="preserve"> </w:t>
            </w:r>
            <w:r w:rsidR="00C53007" w:rsidRPr="00C53007">
              <w:rPr>
                <w:rFonts w:eastAsia="MS Mincho"/>
              </w:rPr>
              <w:t>unspecified period</w:t>
            </w:r>
          </w:p>
        </w:tc>
      </w:tr>
      <w:tr w:rsidR="00E30B27" w:rsidRPr="00061F78" w:rsidTr="004529B1">
        <w:trPr>
          <w:trHeight w:val="149"/>
        </w:trPr>
        <w:tc>
          <w:tcPr>
            <w:tcW w:w="565" w:type="pct"/>
          </w:tcPr>
          <w:p w:rsidR="00E30B27" w:rsidRPr="00541274" w:rsidRDefault="00443BE6" w:rsidP="00A71365">
            <w:pPr>
              <w:pStyle w:val="Tablewriting"/>
              <w:rPr>
                <w:rFonts w:eastAsia="MS Mincho"/>
              </w:rPr>
            </w:pPr>
            <w:r w:rsidRPr="00B63651">
              <w:rPr>
                <w:rFonts w:eastAsia="MS Mincho"/>
              </w:rPr>
              <w:lastRenderedPageBreak/>
              <w:t xml:space="preserve">Ferry </w:t>
            </w:r>
            <w:r w:rsidR="0065538B" w:rsidRPr="00B63651">
              <w:rPr>
                <w:rFonts w:eastAsia="MS Mincho"/>
              </w:rPr>
              <w:t>(</w:t>
            </w:r>
            <w:r w:rsidRPr="00B63651">
              <w:rPr>
                <w:rFonts w:eastAsia="MS Mincho"/>
              </w:rPr>
              <w:t>1992</w:t>
            </w:r>
            <w:r w:rsidR="0065538B" w:rsidRPr="00B63651">
              <w:rPr>
                <w:rFonts w:eastAsia="MS Mincho"/>
              </w:rPr>
              <w:t>)</w:t>
            </w:r>
          </w:p>
        </w:tc>
        <w:tc>
          <w:tcPr>
            <w:tcW w:w="238" w:type="pct"/>
          </w:tcPr>
          <w:p w:rsidR="00E30B27" w:rsidRDefault="00940DB3" w:rsidP="00A71365">
            <w:pPr>
              <w:pStyle w:val="Tablewriting"/>
              <w:rPr>
                <w:rFonts w:eastAsia="MS Mincho"/>
              </w:rPr>
            </w:pPr>
            <w:r>
              <w:rPr>
                <w:rFonts w:eastAsia="MS Mincho"/>
              </w:rPr>
              <w:t>RCT</w:t>
            </w:r>
          </w:p>
        </w:tc>
        <w:tc>
          <w:tcPr>
            <w:tcW w:w="420" w:type="pct"/>
          </w:tcPr>
          <w:p w:rsidR="00940DB3" w:rsidRDefault="00940DB3" w:rsidP="00A71365">
            <w:pPr>
              <w:pStyle w:val="Tablewriting"/>
              <w:rPr>
                <w:rFonts w:eastAsia="MS Mincho"/>
              </w:rPr>
            </w:pPr>
            <w:r>
              <w:rPr>
                <w:rFonts w:eastAsia="MS Mincho"/>
              </w:rPr>
              <w:t>USA</w:t>
            </w:r>
          </w:p>
        </w:tc>
        <w:tc>
          <w:tcPr>
            <w:tcW w:w="449" w:type="pct"/>
          </w:tcPr>
          <w:p w:rsidR="00E30B27" w:rsidRPr="00061F78" w:rsidRDefault="00940DB3" w:rsidP="00A71365">
            <w:pPr>
              <w:pStyle w:val="Tablewriting"/>
              <w:rPr>
                <w:rFonts w:eastAsia="MS Mincho"/>
              </w:rPr>
            </w:pPr>
            <w:r>
              <w:rPr>
                <w:rFonts w:eastAsia="MS Mincho"/>
              </w:rPr>
              <w:t>N=42</w:t>
            </w:r>
          </w:p>
        </w:tc>
        <w:tc>
          <w:tcPr>
            <w:tcW w:w="1271" w:type="pct"/>
          </w:tcPr>
          <w:p w:rsidR="00E30B27" w:rsidRPr="00061F78" w:rsidRDefault="00515A48" w:rsidP="00A71365">
            <w:pPr>
              <w:pStyle w:val="Tablewriting"/>
              <w:rPr>
                <w:rFonts w:eastAsia="MS Mincho"/>
              </w:rPr>
            </w:pPr>
            <w:r>
              <w:rPr>
                <w:rFonts w:eastAsia="MS Mincho"/>
              </w:rPr>
              <w:t>M</w:t>
            </w:r>
            <w:r w:rsidRPr="00515A48">
              <w:rPr>
                <w:rFonts w:eastAsia="MS Mincho"/>
              </w:rPr>
              <w:t>ale smokers</w:t>
            </w:r>
          </w:p>
        </w:tc>
        <w:tc>
          <w:tcPr>
            <w:tcW w:w="1224" w:type="pct"/>
          </w:tcPr>
          <w:p w:rsidR="00515A48" w:rsidRDefault="00515A48" w:rsidP="00C324F3">
            <w:pPr>
              <w:pStyle w:val="Tablewriting"/>
              <w:numPr>
                <w:ilvl w:val="0"/>
                <w:numId w:val="19"/>
              </w:numPr>
              <w:rPr>
                <w:rFonts w:eastAsia="MS Mincho"/>
              </w:rPr>
            </w:pPr>
            <w:r w:rsidRPr="00515A48">
              <w:rPr>
                <w:rFonts w:eastAsia="MS Mincho"/>
              </w:rPr>
              <w:t>Bupropion, 300 mg/day for 3 months</w:t>
            </w:r>
          </w:p>
          <w:p w:rsidR="00515A48" w:rsidRPr="00515A48" w:rsidRDefault="00515A48" w:rsidP="00C324F3">
            <w:pPr>
              <w:pStyle w:val="Tablewriting"/>
              <w:numPr>
                <w:ilvl w:val="0"/>
                <w:numId w:val="19"/>
              </w:numPr>
              <w:rPr>
                <w:rFonts w:eastAsia="MS Mincho"/>
              </w:rPr>
            </w:pPr>
            <w:r w:rsidRPr="00515A48">
              <w:rPr>
                <w:rFonts w:eastAsia="MS Mincho"/>
              </w:rPr>
              <w:t>Placebo</w:t>
            </w:r>
          </w:p>
          <w:p w:rsidR="00515A48" w:rsidRDefault="00515A48" w:rsidP="00A71365">
            <w:pPr>
              <w:pStyle w:val="Tablewriting"/>
              <w:rPr>
                <w:rFonts w:eastAsia="MS Mincho"/>
              </w:rPr>
            </w:pPr>
          </w:p>
          <w:p w:rsidR="00E30B27" w:rsidRPr="00061F78" w:rsidRDefault="00515A48" w:rsidP="00A71365">
            <w:pPr>
              <w:pStyle w:val="Tablewriting"/>
              <w:rPr>
                <w:rFonts w:eastAsia="MS Mincho"/>
              </w:rPr>
            </w:pPr>
            <w:r w:rsidRPr="00515A48">
              <w:rPr>
                <w:rFonts w:eastAsia="MS Mincho"/>
                <w:u w:val="single"/>
              </w:rPr>
              <w:t>Common components</w:t>
            </w:r>
            <w:r w:rsidRPr="00515A48">
              <w:rPr>
                <w:rFonts w:eastAsia="MS Mincho"/>
              </w:rPr>
              <w:t>: group smoking cessation and relapse prevention counselling</w:t>
            </w:r>
          </w:p>
        </w:tc>
        <w:tc>
          <w:tcPr>
            <w:tcW w:w="832" w:type="pct"/>
          </w:tcPr>
          <w:p w:rsidR="00166449" w:rsidRPr="00166449" w:rsidRDefault="00166449" w:rsidP="00A71365">
            <w:pPr>
              <w:pStyle w:val="Tablewriting"/>
              <w:rPr>
                <w:rFonts w:eastAsia="MS Mincho"/>
              </w:rPr>
            </w:pPr>
            <w:r w:rsidRPr="00166449">
              <w:rPr>
                <w:rFonts w:eastAsia="MS Mincho"/>
                <w:u w:val="single"/>
              </w:rPr>
              <w:t>Efficacy:</w:t>
            </w:r>
            <w:r w:rsidRPr="00166449">
              <w:rPr>
                <w:rFonts w:eastAsia="MS Mincho"/>
              </w:rPr>
              <w:t xml:space="preserve"> sustained abstinence at 6m from end of treatment. Validated by saliva cotinine</w:t>
            </w:r>
            <w:r w:rsidR="00714110">
              <w:rPr>
                <w:rFonts w:eastAsia="MS Mincho"/>
              </w:rPr>
              <w:t>.</w:t>
            </w:r>
          </w:p>
          <w:p w:rsidR="00E30B27" w:rsidRPr="00061F78" w:rsidRDefault="00166449" w:rsidP="00A71365">
            <w:pPr>
              <w:pStyle w:val="Tablewriting"/>
              <w:rPr>
                <w:rFonts w:eastAsia="MS Mincho"/>
              </w:rPr>
            </w:pPr>
            <w:r w:rsidRPr="00166449">
              <w:rPr>
                <w:rFonts w:eastAsia="MS Mincho"/>
                <w:u w:val="single"/>
              </w:rPr>
              <w:t>Safety:</w:t>
            </w:r>
            <w:r w:rsidRPr="00166449">
              <w:rPr>
                <w:rFonts w:eastAsia="MS Mincho"/>
              </w:rPr>
              <w:t xml:space="preserve"> measured for unspecified period</w:t>
            </w:r>
            <w:r w:rsidR="00714110">
              <w:rPr>
                <w:rFonts w:eastAsia="MS Mincho"/>
              </w:rPr>
              <w:t>.</w:t>
            </w:r>
          </w:p>
        </w:tc>
      </w:tr>
      <w:tr w:rsidR="00E30B27" w:rsidRPr="00061F78" w:rsidTr="004529B1">
        <w:trPr>
          <w:trHeight w:val="149"/>
        </w:trPr>
        <w:tc>
          <w:tcPr>
            <w:tcW w:w="565" w:type="pct"/>
          </w:tcPr>
          <w:p w:rsidR="00E30B27" w:rsidRPr="00541274" w:rsidRDefault="008B16AE" w:rsidP="00A71365">
            <w:pPr>
              <w:pStyle w:val="Tablewriting"/>
              <w:rPr>
                <w:rFonts w:eastAsia="MS Mincho"/>
              </w:rPr>
            </w:pPr>
            <w:r w:rsidRPr="000B7F41">
              <w:rPr>
                <w:rFonts w:eastAsia="MS Mincho"/>
              </w:rPr>
              <w:t xml:space="preserve">Ferry </w:t>
            </w:r>
            <w:r w:rsidR="0065538B" w:rsidRPr="000B7F41">
              <w:rPr>
                <w:rFonts w:eastAsia="MS Mincho"/>
              </w:rPr>
              <w:t>(</w:t>
            </w:r>
            <w:r w:rsidRPr="000B7F41">
              <w:rPr>
                <w:rFonts w:eastAsia="MS Mincho"/>
              </w:rPr>
              <w:t>1994</w:t>
            </w:r>
            <w:r w:rsidR="0065538B" w:rsidRPr="000B7F41">
              <w:rPr>
                <w:rFonts w:eastAsia="MS Mincho"/>
              </w:rPr>
              <w:t>)</w:t>
            </w:r>
          </w:p>
        </w:tc>
        <w:tc>
          <w:tcPr>
            <w:tcW w:w="238" w:type="pct"/>
          </w:tcPr>
          <w:p w:rsidR="00E30B27" w:rsidRDefault="00A76AB8" w:rsidP="00A71365">
            <w:pPr>
              <w:pStyle w:val="Tablewriting"/>
              <w:rPr>
                <w:rFonts w:eastAsia="MS Mincho"/>
              </w:rPr>
            </w:pPr>
            <w:r>
              <w:rPr>
                <w:rFonts w:eastAsia="MS Mincho"/>
              </w:rPr>
              <w:t>RCT</w:t>
            </w:r>
          </w:p>
        </w:tc>
        <w:tc>
          <w:tcPr>
            <w:tcW w:w="420" w:type="pct"/>
          </w:tcPr>
          <w:p w:rsidR="00A76AB8" w:rsidRDefault="00A76AB8" w:rsidP="00A71365">
            <w:pPr>
              <w:pStyle w:val="Tablewriting"/>
              <w:rPr>
                <w:rFonts w:eastAsia="MS Mincho"/>
              </w:rPr>
            </w:pPr>
            <w:r>
              <w:rPr>
                <w:rFonts w:eastAsia="MS Mincho"/>
              </w:rPr>
              <w:t>USA</w:t>
            </w:r>
          </w:p>
        </w:tc>
        <w:tc>
          <w:tcPr>
            <w:tcW w:w="449" w:type="pct"/>
          </w:tcPr>
          <w:p w:rsidR="00E30B27" w:rsidRPr="00061F78" w:rsidRDefault="00A76AB8" w:rsidP="00A71365">
            <w:pPr>
              <w:pStyle w:val="Tablewriting"/>
              <w:rPr>
                <w:rFonts w:eastAsia="MS Mincho"/>
              </w:rPr>
            </w:pPr>
            <w:r>
              <w:rPr>
                <w:rFonts w:eastAsia="MS Mincho"/>
              </w:rPr>
              <w:t>N=190</w:t>
            </w:r>
          </w:p>
        </w:tc>
        <w:tc>
          <w:tcPr>
            <w:tcW w:w="1271" w:type="pct"/>
          </w:tcPr>
          <w:p w:rsidR="00E30B27" w:rsidRPr="00061F78" w:rsidRDefault="00C577A2" w:rsidP="00A71365">
            <w:pPr>
              <w:pStyle w:val="Tablewriting"/>
              <w:rPr>
                <w:rFonts w:eastAsia="MS Mincho"/>
              </w:rPr>
            </w:pPr>
            <w:r>
              <w:rPr>
                <w:rFonts w:eastAsia="MS Mincho"/>
              </w:rPr>
              <w:t>Smokers</w:t>
            </w:r>
          </w:p>
        </w:tc>
        <w:tc>
          <w:tcPr>
            <w:tcW w:w="1224" w:type="pct"/>
          </w:tcPr>
          <w:p w:rsidR="00C577A2" w:rsidRPr="00C577A2" w:rsidRDefault="00C577A2" w:rsidP="00C324F3">
            <w:pPr>
              <w:pStyle w:val="Tablewriting"/>
              <w:numPr>
                <w:ilvl w:val="0"/>
                <w:numId w:val="20"/>
              </w:numPr>
              <w:rPr>
                <w:rFonts w:eastAsia="MS Mincho"/>
              </w:rPr>
            </w:pPr>
            <w:r w:rsidRPr="00C577A2">
              <w:rPr>
                <w:rFonts w:eastAsia="MS Mincho"/>
              </w:rPr>
              <w:t>Bupropion, 100 mg x 3/day for 12 weeks</w:t>
            </w:r>
          </w:p>
          <w:p w:rsidR="00C577A2" w:rsidRPr="00C577A2" w:rsidRDefault="00C577A2" w:rsidP="00C324F3">
            <w:pPr>
              <w:pStyle w:val="Tablewriting"/>
              <w:numPr>
                <w:ilvl w:val="0"/>
                <w:numId w:val="20"/>
              </w:numPr>
              <w:rPr>
                <w:rFonts w:eastAsia="MS Mincho"/>
              </w:rPr>
            </w:pPr>
            <w:r w:rsidRPr="00C577A2">
              <w:rPr>
                <w:rFonts w:eastAsia="MS Mincho"/>
              </w:rPr>
              <w:t>Placebo</w:t>
            </w:r>
          </w:p>
          <w:p w:rsidR="00C577A2" w:rsidRDefault="00C577A2" w:rsidP="00A71365">
            <w:pPr>
              <w:pStyle w:val="Tablewriting"/>
              <w:rPr>
                <w:rFonts w:eastAsia="MS Mincho"/>
              </w:rPr>
            </w:pPr>
          </w:p>
          <w:p w:rsidR="00C577A2" w:rsidRPr="00C577A2" w:rsidRDefault="00C577A2" w:rsidP="00A71365">
            <w:pPr>
              <w:pStyle w:val="Tablewriting"/>
              <w:rPr>
                <w:rFonts w:eastAsia="MS Mincho"/>
              </w:rPr>
            </w:pPr>
            <w:r w:rsidRPr="00C577A2">
              <w:rPr>
                <w:rFonts w:eastAsia="MS Mincho"/>
                <w:u w:val="single"/>
              </w:rPr>
              <w:t>Common components</w:t>
            </w:r>
            <w:r w:rsidRPr="00C577A2">
              <w:rPr>
                <w:rFonts w:eastAsia="MS Mincho"/>
              </w:rPr>
              <w:t>: group smoking cessation and relapse prevention counselling; TQD within first 4</w:t>
            </w:r>
          </w:p>
          <w:p w:rsidR="00E30B27" w:rsidRPr="00061F78" w:rsidRDefault="00C577A2" w:rsidP="00A71365">
            <w:pPr>
              <w:pStyle w:val="Tablewriting"/>
              <w:rPr>
                <w:rFonts w:eastAsia="MS Mincho"/>
              </w:rPr>
            </w:pPr>
            <w:r w:rsidRPr="00C577A2">
              <w:rPr>
                <w:rFonts w:eastAsia="MS Mincho"/>
              </w:rPr>
              <w:t>weeks</w:t>
            </w:r>
          </w:p>
        </w:tc>
        <w:tc>
          <w:tcPr>
            <w:tcW w:w="832" w:type="pct"/>
          </w:tcPr>
          <w:p w:rsidR="00D70018" w:rsidRDefault="00FE268C" w:rsidP="00A71365">
            <w:pPr>
              <w:pStyle w:val="Tablewriting"/>
              <w:rPr>
                <w:rFonts w:eastAsia="MS Mincho"/>
              </w:rPr>
            </w:pPr>
            <w:r w:rsidRPr="00FE268C">
              <w:rPr>
                <w:rFonts w:eastAsia="MS Mincho"/>
                <w:u w:val="single"/>
              </w:rPr>
              <w:t>Efficacy:</w:t>
            </w:r>
            <w:r w:rsidRPr="00FE268C">
              <w:rPr>
                <w:rFonts w:eastAsia="MS Mincho"/>
              </w:rPr>
              <w:t xml:space="preserve"> prolonged abstinence at 12 months (from day 29). Validated by saliva cotinine </w:t>
            </w:r>
            <w:r w:rsidR="00BD2306" w:rsidRPr="00BD2306">
              <w:rPr>
                <w:rFonts w:eastAsia="MS Mincho"/>
              </w:rPr>
              <w:t>≤</w:t>
            </w:r>
            <w:r w:rsidR="00771DEB">
              <w:rPr>
                <w:rFonts w:eastAsia="MS Mincho"/>
              </w:rPr>
              <w:t xml:space="preserve"> </w:t>
            </w:r>
            <w:r w:rsidRPr="00FE268C">
              <w:rPr>
                <w:rFonts w:eastAsia="MS Mincho"/>
              </w:rPr>
              <w:t>15 ng/mL</w:t>
            </w:r>
            <w:r w:rsidR="003C6675">
              <w:rPr>
                <w:rFonts w:eastAsia="MS Mincho"/>
              </w:rPr>
              <w:t xml:space="preserve"> </w:t>
            </w:r>
            <w:r w:rsidRPr="00FE268C">
              <w:rPr>
                <w:rFonts w:eastAsia="MS Mincho"/>
              </w:rPr>
              <w:t>at 6 months and 12 months</w:t>
            </w:r>
          </w:p>
          <w:p w:rsidR="00E30B27" w:rsidRPr="00061F78" w:rsidRDefault="00D70018" w:rsidP="00A71365">
            <w:pPr>
              <w:pStyle w:val="Tablewriting"/>
              <w:rPr>
                <w:rFonts w:eastAsia="MS Mincho"/>
              </w:rPr>
            </w:pPr>
            <w:r w:rsidRPr="00D70018">
              <w:rPr>
                <w:rFonts w:eastAsia="MS Mincho"/>
                <w:u w:val="single"/>
              </w:rPr>
              <w:t>Safety</w:t>
            </w:r>
            <w:r w:rsidR="00FE268C" w:rsidRPr="00D70018">
              <w:rPr>
                <w:rFonts w:eastAsia="MS Mincho"/>
                <w:u w:val="single"/>
              </w:rPr>
              <w:t>:</w:t>
            </w:r>
            <w:r w:rsidR="00FE268C" w:rsidRPr="00FE268C">
              <w:rPr>
                <w:rFonts w:eastAsia="MS Mincho"/>
              </w:rPr>
              <w:t xml:space="preserve"> measured for unspecified period</w:t>
            </w:r>
            <w:r w:rsidR="00714110">
              <w:rPr>
                <w:rFonts w:eastAsia="MS Mincho"/>
              </w:rPr>
              <w:t>.</w:t>
            </w:r>
          </w:p>
        </w:tc>
      </w:tr>
      <w:tr w:rsidR="00E30B27" w:rsidRPr="00061F78" w:rsidTr="004529B1">
        <w:trPr>
          <w:trHeight w:val="149"/>
        </w:trPr>
        <w:tc>
          <w:tcPr>
            <w:tcW w:w="565" w:type="pct"/>
          </w:tcPr>
          <w:p w:rsidR="00E30B27" w:rsidRPr="00541274" w:rsidRDefault="008B16AE" w:rsidP="00A71365">
            <w:pPr>
              <w:pStyle w:val="Tablewriting"/>
              <w:rPr>
                <w:rFonts w:eastAsia="MS Mincho"/>
              </w:rPr>
            </w:pPr>
            <w:r w:rsidRPr="00866DE0">
              <w:rPr>
                <w:rFonts w:eastAsia="MS Mincho"/>
              </w:rPr>
              <w:t xml:space="preserve">Fossati </w:t>
            </w:r>
            <w:r w:rsidR="0065538B">
              <w:rPr>
                <w:rFonts w:eastAsia="MS Mincho"/>
              </w:rPr>
              <w:t>(</w:t>
            </w:r>
            <w:r w:rsidRPr="00866DE0">
              <w:rPr>
                <w:rFonts w:eastAsia="MS Mincho"/>
              </w:rPr>
              <w:t>2007</w:t>
            </w:r>
            <w:r w:rsidR="0065538B">
              <w:rPr>
                <w:rFonts w:eastAsia="MS Mincho"/>
              </w:rPr>
              <w:t>)</w:t>
            </w:r>
          </w:p>
        </w:tc>
        <w:tc>
          <w:tcPr>
            <w:tcW w:w="238" w:type="pct"/>
          </w:tcPr>
          <w:p w:rsidR="00E30B27" w:rsidRDefault="00D505D0" w:rsidP="00A71365">
            <w:pPr>
              <w:pStyle w:val="Tablewriting"/>
              <w:rPr>
                <w:rFonts w:eastAsia="MS Mincho"/>
              </w:rPr>
            </w:pPr>
            <w:r>
              <w:rPr>
                <w:rFonts w:eastAsia="MS Mincho"/>
              </w:rPr>
              <w:t>RCT</w:t>
            </w:r>
          </w:p>
        </w:tc>
        <w:tc>
          <w:tcPr>
            <w:tcW w:w="420" w:type="pct"/>
          </w:tcPr>
          <w:p w:rsidR="00D505D0" w:rsidRDefault="00D505D0" w:rsidP="00A71365">
            <w:pPr>
              <w:pStyle w:val="Tablewriting"/>
              <w:rPr>
                <w:rFonts w:eastAsia="MS Mincho"/>
              </w:rPr>
            </w:pPr>
            <w:r>
              <w:rPr>
                <w:rFonts w:eastAsia="MS Mincho"/>
              </w:rPr>
              <w:t>Italy</w:t>
            </w:r>
          </w:p>
        </w:tc>
        <w:tc>
          <w:tcPr>
            <w:tcW w:w="449" w:type="pct"/>
          </w:tcPr>
          <w:p w:rsidR="00E30B27" w:rsidRPr="00061F78" w:rsidRDefault="00D505D0" w:rsidP="00A71365">
            <w:pPr>
              <w:pStyle w:val="Tablewriting"/>
              <w:rPr>
                <w:rFonts w:eastAsia="MS Mincho"/>
              </w:rPr>
            </w:pPr>
            <w:r>
              <w:rPr>
                <w:rFonts w:eastAsia="MS Mincho"/>
              </w:rPr>
              <w:t>N=</w:t>
            </w:r>
            <w:r w:rsidR="00A902CA">
              <w:rPr>
                <w:rFonts w:eastAsia="MS Mincho"/>
              </w:rPr>
              <w:t>593</w:t>
            </w:r>
          </w:p>
        </w:tc>
        <w:tc>
          <w:tcPr>
            <w:tcW w:w="1271" w:type="pct"/>
          </w:tcPr>
          <w:p w:rsidR="00E30B27" w:rsidRPr="00061F78" w:rsidRDefault="00A902CA" w:rsidP="00A71365">
            <w:pPr>
              <w:pStyle w:val="Tablewriting"/>
              <w:rPr>
                <w:rFonts w:eastAsia="MS Mincho"/>
              </w:rPr>
            </w:pPr>
            <w:r>
              <w:rPr>
                <w:rFonts w:eastAsia="MS Mincho"/>
              </w:rPr>
              <w:t>S</w:t>
            </w:r>
            <w:r w:rsidRPr="00A902CA">
              <w:rPr>
                <w:rFonts w:eastAsia="MS Mincho"/>
              </w:rPr>
              <w:t>mokers</w:t>
            </w:r>
            <w:r w:rsidR="005B0930">
              <w:rPr>
                <w:rFonts w:eastAsia="MS Mincho"/>
              </w:rPr>
              <w:t>,</w:t>
            </w:r>
            <w:r w:rsidRPr="00A902CA">
              <w:rPr>
                <w:rFonts w:eastAsia="MS Mincho"/>
              </w:rPr>
              <w:t xml:space="preserve"> 40% female</w:t>
            </w:r>
            <w:r w:rsidR="005B0930">
              <w:rPr>
                <w:rFonts w:eastAsia="MS Mincho"/>
              </w:rPr>
              <w:t>,</w:t>
            </w:r>
            <w:r w:rsidRPr="00A902CA">
              <w:rPr>
                <w:rFonts w:eastAsia="MS Mincho"/>
              </w:rPr>
              <w:t xml:space="preserve"> average age 49</w:t>
            </w:r>
            <w:r w:rsidR="005B0930">
              <w:rPr>
                <w:rFonts w:eastAsia="MS Mincho"/>
              </w:rPr>
              <w:t xml:space="preserve"> years,</w:t>
            </w:r>
            <w:r w:rsidRPr="00A902CA">
              <w:rPr>
                <w:rFonts w:eastAsia="MS Mincho"/>
              </w:rPr>
              <w:t xml:space="preserve"> average cigarettes per day 22</w:t>
            </w:r>
          </w:p>
        </w:tc>
        <w:tc>
          <w:tcPr>
            <w:tcW w:w="1224" w:type="pct"/>
          </w:tcPr>
          <w:p w:rsidR="00AD2097" w:rsidRPr="00AD2097" w:rsidRDefault="00AD2097" w:rsidP="00C324F3">
            <w:pPr>
              <w:pStyle w:val="Tablewriting"/>
              <w:numPr>
                <w:ilvl w:val="0"/>
                <w:numId w:val="21"/>
              </w:numPr>
              <w:rPr>
                <w:rFonts w:eastAsia="MS Mincho"/>
              </w:rPr>
            </w:pPr>
            <w:r w:rsidRPr="00AD2097">
              <w:rPr>
                <w:rFonts w:eastAsia="MS Mincho"/>
              </w:rPr>
              <w:t>Bupropion, 300 mg/day for 7 weeks</w:t>
            </w:r>
          </w:p>
          <w:p w:rsidR="00AD2097" w:rsidRPr="00AD2097" w:rsidRDefault="00AD2097" w:rsidP="00C324F3">
            <w:pPr>
              <w:pStyle w:val="Tablewriting"/>
              <w:numPr>
                <w:ilvl w:val="0"/>
                <w:numId w:val="21"/>
              </w:numPr>
              <w:rPr>
                <w:rFonts w:eastAsia="MS Mincho"/>
              </w:rPr>
            </w:pPr>
            <w:r w:rsidRPr="00AD2097">
              <w:rPr>
                <w:rFonts w:eastAsia="MS Mincho"/>
              </w:rPr>
              <w:t>Placebo</w:t>
            </w:r>
          </w:p>
          <w:p w:rsidR="00AD2097" w:rsidRDefault="00AD2097" w:rsidP="00A71365">
            <w:pPr>
              <w:pStyle w:val="Tablewriting"/>
              <w:rPr>
                <w:rFonts w:eastAsia="MS Mincho"/>
              </w:rPr>
            </w:pPr>
          </w:p>
          <w:p w:rsidR="00E30B27" w:rsidRPr="00061F78" w:rsidRDefault="00AD2097" w:rsidP="00A71365">
            <w:pPr>
              <w:pStyle w:val="Tablewriting"/>
              <w:rPr>
                <w:rFonts w:eastAsia="MS Mincho"/>
              </w:rPr>
            </w:pPr>
            <w:r w:rsidRPr="00AD2097">
              <w:rPr>
                <w:rFonts w:eastAsia="MS Mincho"/>
                <w:u w:val="single"/>
              </w:rPr>
              <w:t>Common components:</w:t>
            </w:r>
            <w:r w:rsidRPr="00AD2097">
              <w:rPr>
                <w:rFonts w:eastAsia="MS Mincho"/>
              </w:rPr>
              <w:t xml:space="preserve"> GP visits at enrolment and 4, 7, 26 &amp; 52 weeks, phone calls </w:t>
            </w:r>
            <w:r w:rsidR="00A85E94" w:rsidRPr="00AD2097">
              <w:rPr>
                <w:rFonts w:eastAsia="MS Mincho"/>
              </w:rPr>
              <w:t>1</w:t>
            </w:r>
            <w:r w:rsidR="00BA6341">
              <w:rPr>
                <w:rFonts w:eastAsia="MS Mincho"/>
              </w:rPr>
              <w:t>-</w:t>
            </w:r>
            <w:r w:rsidR="00A85E94" w:rsidRPr="00AD2097">
              <w:rPr>
                <w:rFonts w:eastAsia="MS Mincho"/>
              </w:rPr>
              <w:t>day</w:t>
            </w:r>
            <w:r w:rsidRPr="00AD2097">
              <w:rPr>
                <w:rFonts w:eastAsia="MS Mincho"/>
              </w:rPr>
              <w:t xml:space="preserve"> pre-TQD, 3</w:t>
            </w:r>
            <w:r>
              <w:rPr>
                <w:rFonts w:eastAsia="MS Mincho"/>
              </w:rPr>
              <w:t xml:space="preserve"> </w:t>
            </w:r>
            <w:r w:rsidRPr="00AD2097">
              <w:rPr>
                <w:rFonts w:eastAsia="MS Mincho"/>
              </w:rPr>
              <w:t>days post-TQD, 10 weeks post-enrolment. Classified as low intensity</w:t>
            </w:r>
          </w:p>
        </w:tc>
        <w:tc>
          <w:tcPr>
            <w:tcW w:w="832" w:type="pct"/>
          </w:tcPr>
          <w:p w:rsidR="00477864" w:rsidRPr="00477864" w:rsidRDefault="00477864" w:rsidP="00A71365">
            <w:pPr>
              <w:pStyle w:val="Tablewriting"/>
              <w:rPr>
                <w:rFonts w:eastAsia="MS Mincho"/>
              </w:rPr>
            </w:pPr>
            <w:r w:rsidRPr="00477864">
              <w:rPr>
                <w:rFonts w:eastAsia="MS Mincho"/>
                <w:u w:val="single"/>
              </w:rPr>
              <w:t>Efficacy:</w:t>
            </w:r>
            <w:r w:rsidRPr="00477864">
              <w:rPr>
                <w:rFonts w:eastAsia="MS Mincho"/>
              </w:rPr>
              <w:t xml:space="preserve"> abstinence at 12 months (continuous from week 4). Validated by CO </w:t>
            </w:r>
            <w:r w:rsidR="00AC7F27" w:rsidRPr="00D96BA4">
              <w:rPr>
                <w:rFonts w:eastAsia="MS Mincho"/>
              </w:rPr>
              <w:t>≤</w:t>
            </w:r>
            <w:r>
              <w:rPr>
                <w:rFonts w:eastAsia="MS Mincho"/>
              </w:rPr>
              <w:t xml:space="preserve"> </w:t>
            </w:r>
            <w:r w:rsidRPr="00477864">
              <w:rPr>
                <w:rFonts w:eastAsia="MS Mincho"/>
              </w:rPr>
              <w:t>10 ppm at</w:t>
            </w:r>
            <w:r>
              <w:rPr>
                <w:rFonts w:eastAsia="MS Mincho"/>
              </w:rPr>
              <w:t xml:space="preserve"> </w:t>
            </w:r>
            <w:r w:rsidRPr="00477864">
              <w:rPr>
                <w:rFonts w:eastAsia="MS Mincho"/>
              </w:rPr>
              <w:t>each visit</w:t>
            </w:r>
          </w:p>
          <w:p w:rsidR="00E30B27" w:rsidRPr="00061F78" w:rsidRDefault="00477864" w:rsidP="00A71365">
            <w:pPr>
              <w:pStyle w:val="Tablewriting"/>
              <w:rPr>
                <w:rFonts w:eastAsia="MS Mincho"/>
              </w:rPr>
            </w:pPr>
            <w:r w:rsidRPr="00477864">
              <w:rPr>
                <w:rFonts w:eastAsia="MS Mincho"/>
                <w:u w:val="single"/>
              </w:rPr>
              <w:t>Safety:</w:t>
            </w:r>
            <w:r w:rsidRPr="00477864">
              <w:rPr>
                <w:rFonts w:eastAsia="MS Mincho"/>
              </w:rPr>
              <w:t xml:space="preserve"> measured for 52 weeks</w:t>
            </w:r>
          </w:p>
        </w:tc>
      </w:tr>
      <w:tr w:rsidR="00E30B27" w:rsidRPr="00061F78" w:rsidTr="004529B1">
        <w:trPr>
          <w:trHeight w:val="149"/>
        </w:trPr>
        <w:tc>
          <w:tcPr>
            <w:tcW w:w="565" w:type="pct"/>
          </w:tcPr>
          <w:p w:rsidR="00E30B27" w:rsidRPr="00541274" w:rsidRDefault="00FB298F" w:rsidP="00A71365">
            <w:pPr>
              <w:pStyle w:val="Tablewriting"/>
              <w:rPr>
                <w:rFonts w:eastAsia="MS Mincho"/>
              </w:rPr>
            </w:pPr>
            <w:r w:rsidRPr="00866DE0">
              <w:rPr>
                <w:rFonts w:eastAsia="MS Mincho"/>
              </w:rPr>
              <w:t xml:space="preserve">George </w:t>
            </w:r>
            <w:r w:rsidR="0065538B">
              <w:rPr>
                <w:rFonts w:eastAsia="MS Mincho"/>
              </w:rPr>
              <w:t>(</w:t>
            </w:r>
            <w:r w:rsidRPr="00866DE0">
              <w:rPr>
                <w:rFonts w:eastAsia="MS Mincho"/>
              </w:rPr>
              <w:t>2002</w:t>
            </w:r>
            <w:r w:rsidR="0065538B">
              <w:rPr>
                <w:rFonts w:eastAsia="MS Mincho"/>
              </w:rPr>
              <w:t>)</w:t>
            </w:r>
          </w:p>
        </w:tc>
        <w:tc>
          <w:tcPr>
            <w:tcW w:w="238" w:type="pct"/>
          </w:tcPr>
          <w:p w:rsidR="00E30B27" w:rsidRDefault="00FC443A" w:rsidP="00A71365">
            <w:pPr>
              <w:pStyle w:val="Tablewriting"/>
              <w:rPr>
                <w:rFonts w:eastAsia="MS Mincho"/>
              </w:rPr>
            </w:pPr>
            <w:r>
              <w:rPr>
                <w:rFonts w:eastAsia="MS Mincho"/>
              </w:rPr>
              <w:t>RCT</w:t>
            </w:r>
          </w:p>
        </w:tc>
        <w:tc>
          <w:tcPr>
            <w:tcW w:w="420" w:type="pct"/>
          </w:tcPr>
          <w:p w:rsidR="00FC443A" w:rsidRDefault="00FC443A" w:rsidP="00A71365">
            <w:pPr>
              <w:pStyle w:val="Tablewriting"/>
              <w:rPr>
                <w:rFonts w:eastAsia="MS Mincho"/>
              </w:rPr>
            </w:pPr>
            <w:r>
              <w:rPr>
                <w:rFonts w:eastAsia="MS Mincho"/>
              </w:rPr>
              <w:t>USA</w:t>
            </w:r>
          </w:p>
        </w:tc>
        <w:tc>
          <w:tcPr>
            <w:tcW w:w="449" w:type="pct"/>
          </w:tcPr>
          <w:p w:rsidR="00E30B27" w:rsidRPr="00061F78" w:rsidRDefault="00FC443A" w:rsidP="00A71365">
            <w:pPr>
              <w:pStyle w:val="Tablewriting"/>
              <w:rPr>
                <w:rFonts w:eastAsia="MS Mincho"/>
              </w:rPr>
            </w:pPr>
            <w:r>
              <w:rPr>
                <w:rFonts w:eastAsia="MS Mincho"/>
              </w:rPr>
              <w:t>N=</w:t>
            </w:r>
            <w:r w:rsidR="00D8216A">
              <w:rPr>
                <w:rFonts w:eastAsia="MS Mincho"/>
              </w:rPr>
              <w:t>32</w:t>
            </w:r>
          </w:p>
        </w:tc>
        <w:tc>
          <w:tcPr>
            <w:tcW w:w="1271" w:type="pct"/>
          </w:tcPr>
          <w:p w:rsidR="00E30B27" w:rsidRPr="00061F78" w:rsidRDefault="00D8216A" w:rsidP="00A71365">
            <w:pPr>
              <w:pStyle w:val="Tablewriting"/>
              <w:rPr>
                <w:rFonts w:eastAsia="MS Mincho"/>
              </w:rPr>
            </w:pPr>
            <w:r>
              <w:rPr>
                <w:rFonts w:eastAsia="MS Mincho"/>
              </w:rPr>
              <w:t>S</w:t>
            </w:r>
            <w:r w:rsidRPr="00D8216A">
              <w:rPr>
                <w:rFonts w:eastAsia="MS Mincho"/>
              </w:rPr>
              <w:t>mokers with schizophrenia motivated to quit</w:t>
            </w:r>
            <w:r w:rsidR="005B0930">
              <w:rPr>
                <w:rFonts w:eastAsia="MS Mincho"/>
              </w:rPr>
              <w:t>,</w:t>
            </w:r>
            <w:r w:rsidRPr="00D8216A">
              <w:rPr>
                <w:rFonts w:eastAsia="MS Mincho"/>
              </w:rPr>
              <w:t xml:space="preserve"> 44% female</w:t>
            </w:r>
            <w:r w:rsidR="005B0930">
              <w:rPr>
                <w:rFonts w:eastAsia="MS Mincho"/>
              </w:rPr>
              <w:t>,</w:t>
            </w:r>
            <w:r w:rsidRPr="00D8216A">
              <w:rPr>
                <w:rFonts w:eastAsia="MS Mincho"/>
              </w:rPr>
              <w:t xml:space="preserve"> average age 41/45</w:t>
            </w:r>
            <w:r w:rsidR="005B0930">
              <w:rPr>
                <w:rFonts w:eastAsia="MS Mincho"/>
              </w:rPr>
              <w:t>,</w:t>
            </w:r>
            <w:r w:rsidRPr="00D8216A">
              <w:rPr>
                <w:rFonts w:eastAsia="MS Mincho"/>
              </w:rPr>
              <w:t xml:space="preserve"> average cigarettes</w:t>
            </w:r>
            <w:r>
              <w:rPr>
                <w:rFonts w:eastAsia="MS Mincho"/>
              </w:rPr>
              <w:t xml:space="preserve"> </w:t>
            </w:r>
            <w:r w:rsidRPr="00D8216A">
              <w:rPr>
                <w:rFonts w:eastAsia="MS Mincho"/>
              </w:rPr>
              <w:t>per day 24</w:t>
            </w:r>
          </w:p>
        </w:tc>
        <w:tc>
          <w:tcPr>
            <w:tcW w:w="1224" w:type="pct"/>
          </w:tcPr>
          <w:p w:rsidR="00801ABD" w:rsidRPr="00801ABD" w:rsidRDefault="00801ABD" w:rsidP="00C324F3">
            <w:pPr>
              <w:pStyle w:val="Tablewriting"/>
              <w:numPr>
                <w:ilvl w:val="0"/>
                <w:numId w:val="22"/>
              </w:numPr>
              <w:rPr>
                <w:rFonts w:eastAsia="MS Mincho"/>
              </w:rPr>
            </w:pPr>
            <w:r w:rsidRPr="00801ABD">
              <w:rPr>
                <w:rFonts w:eastAsia="MS Mincho"/>
              </w:rPr>
              <w:t>Bupropion, 300 mg/day for 9 weeks. TQD 3 weeks</w:t>
            </w:r>
          </w:p>
          <w:p w:rsidR="00801ABD" w:rsidRPr="00801ABD" w:rsidRDefault="00801ABD" w:rsidP="00C324F3">
            <w:pPr>
              <w:pStyle w:val="Tablewriting"/>
              <w:numPr>
                <w:ilvl w:val="0"/>
                <w:numId w:val="22"/>
              </w:numPr>
              <w:rPr>
                <w:rFonts w:eastAsia="MS Mincho"/>
              </w:rPr>
            </w:pPr>
            <w:r w:rsidRPr="00801ABD">
              <w:rPr>
                <w:rFonts w:eastAsia="MS Mincho"/>
              </w:rPr>
              <w:t>Placebo</w:t>
            </w:r>
          </w:p>
          <w:p w:rsidR="00801ABD" w:rsidRDefault="00801ABD" w:rsidP="00A71365">
            <w:pPr>
              <w:pStyle w:val="Tablewriting"/>
              <w:rPr>
                <w:rFonts w:eastAsia="MS Mincho"/>
              </w:rPr>
            </w:pPr>
          </w:p>
          <w:p w:rsidR="00E30B27" w:rsidRPr="00061F78" w:rsidRDefault="00801ABD" w:rsidP="00A71365">
            <w:pPr>
              <w:pStyle w:val="Tablewriting"/>
              <w:rPr>
                <w:rFonts w:eastAsia="MS Mincho"/>
              </w:rPr>
            </w:pPr>
            <w:r w:rsidRPr="00801ABD">
              <w:rPr>
                <w:rFonts w:eastAsia="MS Mincho"/>
                <w:u w:val="single"/>
              </w:rPr>
              <w:t>Common components:</w:t>
            </w:r>
            <w:r w:rsidRPr="00801ABD">
              <w:rPr>
                <w:rFonts w:eastAsia="MS Mincho"/>
              </w:rPr>
              <w:t xml:space="preserve"> 10 x 60-minute weekly group therapy</w:t>
            </w:r>
          </w:p>
        </w:tc>
        <w:tc>
          <w:tcPr>
            <w:tcW w:w="832" w:type="pct"/>
          </w:tcPr>
          <w:p w:rsidR="003479EA" w:rsidRPr="003479EA" w:rsidRDefault="003479EA" w:rsidP="00A71365">
            <w:pPr>
              <w:pStyle w:val="Tablewriting"/>
              <w:rPr>
                <w:rFonts w:eastAsia="MS Mincho"/>
              </w:rPr>
            </w:pPr>
            <w:r w:rsidRPr="003479EA">
              <w:rPr>
                <w:rFonts w:eastAsia="MS Mincho"/>
                <w:u w:val="single"/>
              </w:rPr>
              <w:t>Efficacy:</w:t>
            </w:r>
            <w:r w:rsidRPr="003479EA">
              <w:rPr>
                <w:rFonts w:eastAsia="MS Mincho"/>
              </w:rPr>
              <w:t xml:space="preserve"> 7</w:t>
            </w:r>
            <w:r w:rsidR="00BA6341" w:rsidRPr="003479EA">
              <w:rPr>
                <w:rFonts w:eastAsia="MS Mincho"/>
              </w:rPr>
              <w:t>-</w:t>
            </w:r>
            <w:r w:rsidRPr="003479EA">
              <w:rPr>
                <w:rFonts w:eastAsia="MS Mincho"/>
              </w:rPr>
              <w:t xml:space="preserve">day </w:t>
            </w:r>
            <w:r w:rsidR="000C29E2">
              <w:rPr>
                <w:rFonts w:eastAsia="MS Mincho"/>
              </w:rPr>
              <w:t>PPA</w:t>
            </w:r>
            <w:r w:rsidRPr="003479EA">
              <w:rPr>
                <w:rFonts w:eastAsia="MS Mincho"/>
              </w:rPr>
              <w:t xml:space="preserve"> at 6 months. Validated by expired CO &lt; 10 ppm</w:t>
            </w:r>
          </w:p>
          <w:p w:rsidR="00E30B27" w:rsidRPr="00061F78" w:rsidRDefault="003479EA" w:rsidP="00A71365">
            <w:pPr>
              <w:pStyle w:val="Tablewriting"/>
              <w:rPr>
                <w:rFonts w:eastAsia="MS Mincho"/>
              </w:rPr>
            </w:pPr>
            <w:r w:rsidRPr="003479EA">
              <w:rPr>
                <w:rFonts w:eastAsia="MS Mincho"/>
                <w:u w:val="single"/>
              </w:rPr>
              <w:t>Safety:</w:t>
            </w:r>
            <w:r w:rsidRPr="003479EA">
              <w:rPr>
                <w:rFonts w:eastAsia="MS Mincho"/>
              </w:rPr>
              <w:t xml:space="preserve"> measured for unspecified period</w:t>
            </w:r>
            <w:r w:rsidR="00714110">
              <w:rPr>
                <w:rFonts w:eastAsia="MS Mincho"/>
              </w:rPr>
              <w:t>.</w:t>
            </w:r>
          </w:p>
        </w:tc>
      </w:tr>
      <w:tr w:rsidR="00E30B27" w:rsidRPr="00061F78" w:rsidTr="004529B1">
        <w:trPr>
          <w:trHeight w:val="149"/>
        </w:trPr>
        <w:tc>
          <w:tcPr>
            <w:tcW w:w="565" w:type="pct"/>
          </w:tcPr>
          <w:p w:rsidR="00E30B27" w:rsidRPr="00541274" w:rsidRDefault="00FB298F" w:rsidP="00A71365">
            <w:pPr>
              <w:pStyle w:val="Tablewriting"/>
              <w:rPr>
                <w:rFonts w:eastAsia="MS Mincho"/>
              </w:rPr>
            </w:pPr>
            <w:r w:rsidRPr="00BF3058">
              <w:rPr>
                <w:rFonts w:eastAsia="MS Mincho"/>
              </w:rPr>
              <w:t xml:space="preserve">Gilbert </w:t>
            </w:r>
            <w:r w:rsidR="0065538B" w:rsidRPr="00BF3058">
              <w:rPr>
                <w:rFonts w:eastAsia="MS Mincho"/>
              </w:rPr>
              <w:t>(</w:t>
            </w:r>
            <w:r w:rsidRPr="00BF3058">
              <w:rPr>
                <w:rFonts w:eastAsia="MS Mincho"/>
              </w:rPr>
              <w:t>2019</w:t>
            </w:r>
            <w:r w:rsidR="0065538B" w:rsidRPr="00BF3058">
              <w:rPr>
                <w:rFonts w:eastAsia="MS Mincho"/>
              </w:rPr>
              <w:t>)</w:t>
            </w:r>
          </w:p>
        </w:tc>
        <w:tc>
          <w:tcPr>
            <w:tcW w:w="238" w:type="pct"/>
          </w:tcPr>
          <w:p w:rsidR="00E30B27" w:rsidRDefault="003E0711" w:rsidP="00A71365">
            <w:pPr>
              <w:pStyle w:val="Tablewriting"/>
              <w:rPr>
                <w:rFonts w:eastAsia="MS Mincho"/>
              </w:rPr>
            </w:pPr>
            <w:r>
              <w:rPr>
                <w:rFonts w:eastAsia="MS Mincho"/>
              </w:rPr>
              <w:t>RCT</w:t>
            </w:r>
          </w:p>
        </w:tc>
        <w:tc>
          <w:tcPr>
            <w:tcW w:w="420" w:type="pct"/>
          </w:tcPr>
          <w:p w:rsidR="003E0711" w:rsidRDefault="003E0711" w:rsidP="00A71365">
            <w:pPr>
              <w:pStyle w:val="Tablewriting"/>
              <w:rPr>
                <w:rFonts w:eastAsia="MS Mincho"/>
              </w:rPr>
            </w:pPr>
            <w:r>
              <w:rPr>
                <w:rFonts w:eastAsia="MS Mincho"/>
              </w:rPr>
              <w:t>USA</w:t>
            </w:r>
          </w:p>
        </w:tc>
        <w:tc>
          <w:tcPr>
            <w:tcW w:w="449" w:type="pct"/>
          </w:tcPr>
          <w:p w:rsidR="00E30B27" w:rsidRPr="00061F78" w:rsidRDefault="003E0711" w:rsidP="00A71365">
            <w:pPr>
              <w:pStyle w:val="Tablewriting"/>
              <w:rPr>
                <w:rFonts w:eastAsia="MS Mincho"/>
              </w:rPr>
            </w:pPr>
            <w:r>
              <w:rPr>
                <w:rFonts w:eastAsia="MS Mincho"/>
              </w:rPr>
              <w:t>N=</w:t>
            </w:r>
            <w:r w:rsidR="00E54128">
              <w:rPr>
                <w:rFonts w:eastAsia="MS Mincho"/>
              </w:rPr>
              <w:t>105</w:t>
            </w:r>
          </w:p>
        </w:tc>
        <w:tc>
          <w:tcPr>
            <w:tcW w:w="1271" w:type="pct"/>
          </w:tcPr>
          <w:p w:rsidR="00E54128" w:rsidRPr="00E54128" w:rsidRDefault="00E54128" w:rsidP="00A71365">
            <w:pPr>
              <w:pStyle w:val="Tablewriting"/>
              <w:rPr>
                <w:rFonts w:eastAsia="MS Mincho"/>
              </w:rPr>
            </w:pPr>
            <w:r w:rsidRPr="00E54128">
              <w:rPr>
                <w:rFonts w:eastAsia="MS Mincho"/>
              </w:rPr>
              <w:t>42% female</w:t>
            </w:r>
            <w:r w:rsidR="002B7E10">
              <w:rPr>
                <w:rFonts w:eastAsia="MS Mincho"/>
              </w:rPr>
              <w:t>,</w:t>
            </w:r>
            <w:r w:rsidRPr="00E54128">
              <w:rPr>
                <w:rFonts w:eastAsia="MS Mincho"/>
              </w:rPr>
              <w:t xml:space="preserve"> average age 26.4</w:t>
            </w:r>
            <w:r w:rsidR="002B7E10">
              <w:rPr>
                <w:rFonts w:eastAsia="MS Mincho"/>
              </w:rPr>
              <w:t>,</w:t>
            </w:r>
            <w:r w:rsidRPr="00E54128">
              <w:rPr>
                <w:rFonts w:eastAsia="MS Mincho"/>
              </w:rPr>
              <w:t xml:space="preserve"> average cigarettes per day 17.9, mean FTND</w:t>
            </w:r>
          </w:p>
          <w:p w:rsidR="00E30B27" w:rsidRPr="00061F78" w:rsidRDefault="00E54128" w:rsidP="00A71365">
            <w:pPr>
              <w:pStyle w:val="Tablewriting"/>
              <w:rPr>
                <w:rFonts w:eastAsia="MS Mincho"/>
              </w:rPr>
            </w:pPr>
            <w:r w:rsidRPr="00E54128">
              <w:rPr>
                <w:rFonts w:eastAsia="MS Mincho"/>
              </w:rPr>
              <w:t>4.2</w:t>
            </w:r>
          </w:p>
        </w:tc>
        <w:tc>
          <w:tcPr>
            <w:tcW w:w="1224" w:type="pct"/>
          </w:tcPr>
          <w:p w:rsidR="00046D27" w:rsidRPr="00046D27" w:rsidRDefault="00046D27" w:rsidP="00C324F3">
            <w:pPr>
              <w:pStyle w:val="Tablewriting"/>
              <w:numPr>
                <w:ilvl w:val="0"/>
                <w:numId w:val="23"/>
              </w:numPr>
              <w:rPr>
                <w:rFonts w:eastAsia="MS Mincho"/>
              </w:rPr>
            </w:pPr>
            <w:r w:rsidRPr="00046D27">
              <w:rPr>
                <w:rFonts w:eastAsia="MS Mincho"/>
              </w:rPr>
              <w:t>Bupropion SR and placebo nicotine patch. 150 mg pill once daily for 3 days, then twice daily for 56</w:t>
            </w:r>
            <w:r>
              <w:rPr>
                <w:rFonts w:eastAsia="MS Mincho"/>
              </w:rPr>
              <w:t xml:space="preserve"> </w:t>
            </w:r>
            <w:r w:rsidRPr="00046D27">
              <w:rPr>
                <w:rFonts w:eastAsia="MS Mincho"/>
              </w:rPr>
              <w:t xml:space="preserve">days, then once daily for three days. </w:t>
            </w:r>
            <w:r w:rsidRPr="00046D27">
              <w:rPr>
                <w:rFonts w:eastAsia="MS Mincho"/>
              </w:rPr>
              <w:lastRenderedPageBreak/>
              <w:t>Placebo nicotine patch schedule given below</w:t>
            </w:r>
          </w:p>
          <w:p w:rsidR="00046D27" w:rsidRPr="00046D27" w:rsidRDefault="00046D27" w:rsidP="00C324F3">
            <w:pPr>
              <w:pStyle w:val="Tablewriting"/>
              <w:numPr>
                <w:ilvl w:val="0"/>
                <w:numId w:val="23"/>
              </w:numPr>
              <w:rPr>
                <w:rFonts w:eastAsia="MS Mincho"/>
              </w:rPr>
            </w:pPr>
            <w:r w:rsidRPr="00046D27">
              <w:rPr>
                <w:rFonts w:eastAsia="MS Mincho"/>
              </w:rPr>
              <w:t>Nicotine patch and placebo bupropion. Beginning on first day of cessation: 21 mg for 24 days, 14 mg</w:t>
            </w:r>
            <w:r>
              <w:rPr>
                <w:rFonts w:eastAsia="MS Mincho"/>
              </w:rPr>
              <w:t xml:space="preserve"> </w:t>
            </w:r>
            <w:r w:rsidRPr="00046D27">
              <w:rPr>
                <w:rFonts w:eastAsia="MS Mincho"/>
              </w:rPr>
              <w:t>for 14 days, then 7 mg for 7 days. Placebo bupropion schedule as given above</w:t>
            </w:r>
          </w:p>
          <w:p w:rsidR="00046D27" w:rsidRPr="00046D27" w:rsidRDefault="00046D27" w:rsidP="00C324F3">
            <w:pPr>
              <w:pStyle w:val="Tablewriting"/>
              <w:numPr>
                <w:ilvl w:val="0"/>
                <w:numId w:val="23"/>
              </w:numPr>
              <w:rPr>
                <w:rFonts w:eastAsia="MS Mincho"/>
              </w:rPr>
            </w:pPr>
            <w:r w:rsidRPr="00046D27">
              <w:rPr>
                <w:rFonts w:eastAsia="MS Mincho"/>
              </w:rPr>
              <w:t>Matched placebos, according to the schedules given above</w:t>
            </w:r>
          </w:p>
          <w:p w:rsidR="00902695" w:rsidRDefault="00902695" w:rsidP="00A71365">
            <w:pPr>
              <w:pStyle w:val="Tablewriting"/>
              <w:rPr>
                <w:rFonts w:eastAsia="MS Mincho"/>
              </w:rPr>
            </w:pPr>
          </w:p>
          <w:p w:rsidR="00E30B27" w:rsidRPr="00061F78" w:rsidRDefault="00046D27" w:rsidP="00A71365">
            <w:pPr>
              <w:pStyle w:val="Tablewriting"/>
              <w:rPr>
                <w:rFonts w:eastAsia="MS Mincho"/>
              </w:rPr>
            </w:pPr>
            <w:r w:rsidRPr="00902695">
              <w:rPr>
                <w:rFonts w:eastAsia="MS Mincho"/>
                <w:u w:val="single"/>
              </w:rPr>
              <w:t>Common components:</w:t>
            </w:r>
            <w:r w:rsidRPr="00046D27">
              <w:rPr>
                <w:rFonts w:eastAsia="MS Mincho"/>
              </w:rPr>
              <w:t xml:space="preserve"> an abbreviated form of the American Lung Association smoking cessation program</w:t>
            </w:r>
          </w:p>
        </w:tc>
        <w:tc>
          <w:tcPr>
            <w:tcW w:w="832" w:type="pct"/>
          </w:tcPr>
          <w:p w:rsidR="002F2D96" w:rsidRDefault="007D6440" w:rsidP="00A71365">
            <w:pPr>
              <w:pStyle w:val="Tablewriting"/>
              <w:rPr>
                <w:rFonts w:eastAsia="MS Mincho"/>
              </w:rPr>
            </w:pPr>
            <w:r w:rsidRPr="007D6440">
              <w:rPr>
                <w:rFonts w:eastAsia="MS Mincho"/>
                <w:u w:val="single"/>
              </w:rPr>
              <w:lastRenderedPageBreak/>
              <w:t>Efficacy:</w:t>
            </w:r>
            <w:r w:rsidRPr="007D6440">
              <w:rPr>
                <w:rFonts w:eastAsia="MS Mincho"/>
              </w:rPr>
              <w:t xml:space="preserve"> prolonged abstinence at 12 months. Validation method not specified</w:t>
            </w:r>
          </w:p>
          <w:p w:rsidR="00E30B27" w:rsidRPr="007D6440" w:rsidRDefault="007D6440" w:rsidP="00A71365">
            <w:pPr>
              <w:pStyle w:val="Tablewriting"/>
              <w:rPr>
                <w:rFonts w:eastAsia="MS Mincho"/>
                <w:u w:val="single"/>
              </w:rPr>
            </w:pPr>
            <w:r w:rsidRPr="007D6440">
              <w:rPr>
                <w:rFonts w:eastAsia="MS Mincho"/>
                <w:u w:val="single"/>
              </w:rPr>
              <w:lastRenderedPageBreak/>
              <w:t>Safety:</w:t>
            </w:r>
            <w:r>
              <w:rPr>
                <w:rFonts w:eastAsia="MS Mincho"/>
                <w:u w:val="single"/>
              </w:rPr>
              <w:t xml:space="preserve"> </w:t>
            </w:r>
            <w:r w:rsidR="00B404D7" w:rsidRPr="00B404D7">
              <w:rPr>
                <w:rFonts w:eastAsia="MS Mincho"/>
              </w:rPr>
              <w:t>measured for 62 days</w:t>
            </w:r>
          </w:p>
        </w:tc>
      </w:tr>
      <w:tr w:rsidR="00E30B27" w:rsidRPr="00061F78" w:rsidTr="004529B1">
        <w:trPr>
          <w:trHeight w:val="149"/>
        </w:trPr>
        <w:tc>
          <w:tcPr>
            <w:tcW w:w="565" w:type="pct"/>
          </w:tcPr>
          <w:p w:rsidR="00E30B27" w:rsidRPr="00541274" w:rsidRDefault="00FB298F" w:rsidP="00A71365">
            <w:pPr>
              <w:pStyle w:val="Tablewriting"/>
              <w:rPr>
                <w:rFonts w:eastAsia="MS Mincho"/>
              </w:rPr>
            </w:pPr>
            <w:r w:rsidRPr="00B63651">
              <w:rPr>
                <w:rFonts w:eastAsia="MS Mincho"/>
              </w:rPr>
              <w:lastRenderedPageBreak/>
              <w:t xml:space="preserve">Gonzales </w:t>
            </w:r>
            <w:r w:rsidR="0065538B" w:rsidRPr="00B63651">
              <w:rPr>
                <w:rFonts w:eastAsia="MS Mincho"/>
              </w:rPr>
              <w:t>(</w:t>
            </w:r>
            <w:r w:rsidRPr="00B63651">
              <w:rPr>
                <w:rFonts w:eastAsia="MS Mincho"/>
              </w:rPr>
              <w:t>2001</w:t>
            </w:r>
            <w:r w:rsidR="0065538B" w:rsidRPr="00B63651">
              <w:rPr>
                <w:rFonts w:eastAsia="MS Mincho"/>
              </w:rPr>
              <w:t>)</w:t>
            </w:r>
          </w:p>
        </w:tc>
        <w:tc>
          <w:tcPr>
            <w:tcW w:w="238" w:type="pct"/>
          </w:tcPr>
          <w:p w:rsidR="00E30B27" w:rsidRDefault="00FF3AFA" w:rsidP="00A71365">
            <w:pPr>
              <w:pStyle w:val="Tablewriting"/>
              <w:rPr>
                <w:rFonts w:eastAsia="MS Mincho"/>
              </w:rPr>
            </w:pPr>
            <w:r>
              <w:rPr>
                <w:rFonts w:eastAsia="MS Mincho"/>
              </w:rPr>
              <w:t>RCT</w:t>
            </w:r>
          </w:p>
        </w:tc>
        <w:tc>
          <w:tcPr>
            <w:tcW w:w="420" w:type="pct"/>
          </w:tcPr>
          <w:p w:rsidR="00FF3AFA" w:rsidRDefault="00FF3AFA" w:rsidP="00A71365">
            <w:pPr>
              <w:pStyle w:val="Tablewriting"/>
              <w:rPr>
                <w:rFonts w:eastAsia="MS Mincho"/>
              </w:rPr>
            </w:pPr>
            <w:r>
              <w:rPr>
                <w:rFonts w:eastAsia="MS Mincho"/>
              </w:rPr>
              <w:t>USA</w:t>
            </w:r>
          </w:p>
        </w:tc>
        <w:tc>
          <w:tcPr>
            <w:tcW w:w="449" w:type="pct"/>
          </w:tcPr>
          <w:p w:rsidR="00E30B27" w:rsidRPr="00061F78" w:rsidRDefault="00FF3AFA" w:rsidP="00A71365">
            <w:pPr>
              <w:pStyle w:val="Tablewriting"/>
              <w:rPr>
                <w:rFonts w:eastAsia="MS Mincho"/>
              </w:rPr>
            </w:pPr>
            <w:r>
              <w:rPr>
                <w:rFonts w:eastAsia="MS Mincho"/>
              </w:rPr>
              <w:t>N=</w:t>
            </w:r>
            <w:r w:rsidR="0035253E">
              <w:rPr>
                <w:rFonts w:eastAsia="MS Mincho"/>
              </w:rPr>
              <w:t>450</w:t>
            </w:r>
          </w:p>
        </w:tc>
        <w:tc>
          <w:tcPr>
            <w:tcW w:w="1271" w:type="pct"/>
          </w:tcPr>
          <w:p w:rsidR="006A620F" w:rsidRPr="006A620F" w:rsidRDefault="006A620F" w:rsidP="00A71365">
            <w:pPr>
              <w:pStyle w:val="Tablewriting"/>
              <w:rPr>
                <w:rFonts w:eastAsia="MS Mincho"/>
              </w:rPr>
            </w:pPr>
            <w:r>
              <w:rPr>
                <w:rFonts w:eastAsia="MS Mincho"/>
              </w:rPr>
              <w:t>S</w:t>
            </w:r>
            <w:r w:rsidRPr="006A620F">
              <w:rPr>
                <w:rFonts w:eastAsia="MS Mincho"/>
              </w:rPr>
              <w:t>mokers who had previously used bupropion for at least 2 weeks without adverse effects and failed</w:t>
            </w:r>
          </w:p>
          <w:p w:rsidR="006A620F" w:rsidRPr="006A620F" w:rsidRDefault="006A620F" w:rsidP="00A71365">
            <w:pPr>
              <w:pStyle w:val="Tablewriting"/>
              <w:rPr>
                <w:rFonts w:eastAsia="MS Mincho"/>
              </w:rPr>
            </w:pPr>
            <w:r w:rsidRPr="006A620F">
              <w:rPr>
                <w:rFonts w:eastAsia="MS Mincho"/>
              </w:rPr>
              <w:t>to quit; 55% female in placebo arm, 48% female in bupropion arm</w:t>
            </w:r>
            <w:r w:rsidR="00B86921">
              <w:rPr>
                <w:rFonts w:eastAsia="MS Mincho"/>
              </w:rPr>
              <w:t>,</w:t>
            </w:r>
            <w:r>
              <w:rPr>
                <w:rFonts w:eastAsia="MS Mincho"/>
              </w:rPr>
              <w:t xml:space="preserve"> </w:t>
            </w:r>
            <w:r w:rsidRPr="006A620F">
              <w:rPr>
                <w:rFonts w:eastAsia="MS Mincho"/>
              </w:rPr>
              <w:t>average age 45</w:t>
            </w:r>
            <w:r w:rsidR="00B86921">
              <w:rPr>
                <w:rFonts w:eastAsia="MS Mincho"/>
              </w:rPr>
              <w:t xml:space="preserve"> years,</w:t>
            </w:r>
            <w:r w:rsidRPr="006A620F">
              <w:rPr>
                <w:rFonts w:eastAsia="MS Mincho"/>
              </w:rPr>
              <w:t xml:space="preserve"> average cigarettes</w:t>
            </w:r>
          </w:p>
          <w:p w:rsidR="00E30B27" w:rsidRPr="00061F78" w:rsidRDefault="006A620F" w:rsidP="00A71365">
            <w:pPr>
              <w:pStyle w:val="Tablewriting"/>
              <w:rPr>
                <w:rFonts w:eastAsia="MS Mincho"/>
              </w:rPr>
            </w:pPr>
            <w:r w:rsidRPr="006A620F">
              <w:rPr>
                <w:rFonts w:eastAsia="MS Mincho"/>
              </w:rPr>
              <w:t>per day not specified</w:t>
            </w:r>
          </w:p>
        </w:tc>
        <w:tc>
          <w:tcPr>
            <w:tcW w:w="1224" w:type="pct"/>
          </w:tcPr>
          <w:p w:rsidR="000B7780" w:rsidRPr="000B7780" w:rsidRDefault="000B7780" w:rsidP="00C324F3">
            <w:pPr>
              <w:pStyle w:val="Tablewriting"/>
              <w:numPr>
                <w:ilvl w:val="0"/>
                <w:numId w:val="24"/>
              </w:numPr>
              <w:rPr>
                <w:rFonts w:eastAsia="MS Mincho"/>
              </w:rPr>
            </w:pPr>
            <w:r w:rsidRPr="000B7780">
              <w:rPr>
                <w:rFonts w:eastAsia="MS Mincho"/>
              </w:rPr>
              <w:t>Bupropion, 300 mg/day for 12 weeks, begun 7 days pre-TQD</w:t>
            </w:r>
          </w:p>
          <w:p w:rsidR="000B7780" w:rsidRPr="000B7780" w:rsidRDefault="000B7780" w:rsidP="00C324F3">
            <w:pPr>
              <w:pStyle w:val="Tablewriting"/>
              <w:numPr>
                <w:ilvl w:val="0"/>
                <w:numId w:val="24"/>
              </w:numPr>
              <w:rPr>
                <w:rFonts w:eastAsia="MS Mincho"/>
              </w:rPr>
            </w:pPr>
            <w:r w:rsidRPr="000B7780">
              <w:rPr>
                <w:rFonts w:eastAsia="MS Mincho"/>
              </w:rPr>
              <w:t>Placebo</w:t>
            </w:r>
          </w:p>
          <w:p w:rsidR="005428E0" w:rsidRDefault="005428E0" w:rsidP="00A71365">
            <w:pPr>
              <w:pStyle w:val="Tablewriting"/>
              <w:rPr>
                <w:rFonts w:eastAsia="MS Mincho"/>
              </w:rPr>
            </w:pPr>
          </w:p>
          <w:p w:rsidR="00E30B27" w:rsidRPr="00061F78" w:rsidRDefault="000B7780" w:rsidP="00A71365">
            <w:pPr>
              <w:pStyle w:val="Tablewriting"/>
              <w:rPr>
                <w:rFonts w:eastAsia="MS Mincho"/>
              </w:rPr>
            </w:pPr>
            <w:r w:rsidRPr="005428E0">
              <w:rPr>
                <w:rFonts w:eastAsia="MS Mincho"/>
                <w:u w:val="single"/>
              </w:rPr>
              <w:t>Common components:</w:t>
            </w:r>
            <w:r w:rsidRPr="000B7780">
              <w:rPr>
                <w:rFonts w:eastAsia="MS Mincho"/>
              </w:rPr>
              <w:t xml:space="preserve"> brief individual counselling at visits weeks 1-7, 9, 12, + telephone counselling at</w:t>
            </w:r>
            <w:r w:rsidR="005428E0">
              <w:rPr>
                <w:rFonts w:eastAsia="MS Mincho"/>
              </w:rPr>
              <w:t xml:space="preserve"> </w:t>
            </w:r>
            <w:r w:rsidRPr="000B7780">
              <w:rPr>
                <w:rFonts w:eastAsia="MS Mincho"/>
              </w:rPr>
              <w:t>4 months and 5 months</w:t>
            </w:r>
          </w:p>
        </w:tc>
        <w:tc>
          <w:tcPr>
            <w:tcW w:w="832" w:type="pct"/>
          </w:tcPr>
          <w:p w:rsidR="00903D93" w:rsidRPr="00903D93" w:rsidRDefault="00903D93" w:rsidP="00A71365">
            <w:pPr>
              <w:pStyle w:val="Tablewriting"/>
              <w:rPr>
                <w:rFonts w:eastAsia="MS Mincho"/>
              </w:rPr>
            </w:pPr>
            <w:r w:rsidRPr="00903D93">
              <w:rPr>
                <w:rFonts w:eastAsia="MS Mincho"/>
                <w:u w:val="single"/>
              </w:rPr>
              <w:t>Efficacy:</w:t>
            </w:r>
            <w:r w:rsidRPr="00903D93">
              <w:rPr>
                <w:rFonts w:eastAsia="MS Mincho"/>
              </w:rPr>
              <w:t xml:space="preserve"> prolonged abstinence 12 months, starting from week 4. Validated by CO </w:t>
            </w:r>
            <w:r w:rsidR="00AC7F27" w:rsidRPr="00D96BA4">
              <w:rPr>
                <w:rFonts w:eastAsia="MS Mincho"/>
              </w:rPr>
              <w:t>≤</w:t>
            </w:r>
            <w:r w:rsidRPr="00903D93">
              <w:rPr>
                <w:rFonts w:eastAsia="MS Mincho"/>
              </w:rPr>
              <w:t xml:space="preserve"> 10 ppm</w:t>
            </w:r>
          </w:p>
          <w:p w:rsidR="00903D93" w:rsidRPr="00903D93" w:rsidRDefault="00903D93" w:rsidP="00A71365">
            <w:pPr>
              <w:pStyle w:val="Tablewriting"/>
              <w:rPr>
                <w:rFonts w:eastAsia="MS Mincho"/>
              </w:rPr>
            </w:pPr>
            <w:r w:rsidRPr="00903D93">
              <w:rPr>
                <w:rFonts w:eastAsia="MS Mincho"/>
              </w:rPr>
              <w:t>at each visit</w:t>
            </w:r>
          </w:p>
          <w:p w:rsidR="00E30B27" w:rsidRPr="00061F78" w:rsidRDefault="00903D93" w:rsidP="00A71365">
            <w:pPr>
              <w:pStyle w:val="Tablewriting"/>
              <w:rPr>
                <w:rFonts w:eastAsia="MS Mincho"/>
              </w:rPr>
            </w:pPr>
            <w:r w:rsidRPr="00903D93">
              <w:rPr>
                <w:rFonts w:eastAsia="MS Mincho"/>
                <w:u w:val="single"/>
              </w:rPr>
              <w:t>Safety:</w:t>
            </w:r>
            <w:r w:rsidRPr="00903D93">
              <w:rPr>
                <w:rFonts w:eastAsia="MS Mincho"/>
              </w:rPr>
              <w:t xml:space="preserve"> measured for</w:t>
            </w:r>
            <w:r>
              <w:rPr>
                <w:rFonts w:eastAsia="MS Mincho"/>
              </w:rPr>
              <w:t xml:space="preserve"> </w:t>
            </w:r>
            <w:r w:rsidRPr="00903D93">
              <w:rPr>
                <w:rFonts w:eastAsia="MS Mincho"/>
              </w:rPr>
              <w:t>unspecified duration</w:t>
            </w:r>
          </w:p>
        </w:tc>
      </w:tr>
      <w:tr w:rsidR="00E30B27" w:rsidRPr="00061F78" w:rsidTr="004529B1">
        <w:trPr>
          <w:trHeight w:val="149"/>
        </w:trPr>
        <w:tc>
          <w:tcPr>
            <w:tcW w:w="565" w:type="pct"/>
          </w:tcPr>
          <w:p w:rsidR="00E30B27" w:rsidRPr="00541274" w:rsidRDefault="00D166C4" w:rsidP="00A71365">
            <w:pPr>
              <w:pStyle w:val="Tablewriting"/>
              <w:rPr>
                <w:rFonts w:eastAsia="MS Mincho"/>
              </w:rPr>
            </w:pPr>
            <w:r w:rsidRPr="00866DE0">
              <w:rPr>
                <w:rFonts w:eastAsia="MS Mincho"/>
              </w:rPr>
              <w:t xml:space="preserve">Gonzales </w:t>
            </w:r>
            <w:r w:rsidR="0065538B">
              <w:rPr>
                <w:rFonts w:eastAsia="MS Mincho"/>
              </w:rPr>
              <w:t>(</w:t>
            </w:r>
            <w:r w:rsidRPr="00866DE0">
              <w:rPr>
                <w:rFonts w:eastAsia="MS Mincho"/>
              </w:rPr>
              <w:t>2006</w:t>
            </w:r>
            <w:r w:rsidR="0065538B">
              <w:rPr>
                <w:rFonts w:eastAsia="MS Mincho"/>
              </w:rPr>
              <w:t>)</w:t>
            </w:r>
          </w:p>
        </w:tc>
        <w:tc>
          <w:tcPr>
            <w:tcW w:w="238" w:type="pct"/>
          </w:tcPr>
          <w:p w:rsidR="00E30B27" w:rsidRDefault="0035253E" w:rsidP="00A71365">
            <w:pPr>
              <w:pStyle w:val="Tablewriting"/>
              <w:rPr>
                <w:rFonts w:eastAsia="MS Mincho"/>
              </w:rPr>
            </w:pPr>
            <w:r>
              <w:rPr>
                <w:rFonts w:eastAsia="MS Mincho"/>
              </w:rPr>
              <w:t>RCT</w:t>
            </w:r>
          </w:p>
        </w:tc>
        <w:tc>
          <w:tcPr>
            <w:tcW w:w="420" w:type="pct"/>
          </w:tcPr>
          <w:p w:rsidR="0035253E" w:rsidRDefault="0035253E" w:rsidP="00A71365">
            <w:pPr>
              <w:pStyle w:val="Tablewriting"/>
              <w:rPr>
                <w:rFonts w:eastAsia="MS Mincho"/>
              </w:rPr>
            </w:pPr>
            <w:r>
              <w:rPr>
                <w:rFonts w:eastAsia="MS Mincho"/>
              </w:rPr>
              <w:t>USA</w:t>
            </w:r>
          </w:p>
        </w:tc>
        <w:tc>
          <w:tcPr>
            <w:tcW w:w="449" w:type="pct"/>
          </w:tcPr>
          <w:p w:rsidR="00E30B27" w:rsidRPr="00061F78" w:rsidRDefault="0035253E" w:rsidP="00A71365">
            <w:pPr>
              <w:pStyle w:val="Tablewriting"/>
              <w:rPr>
                <w:rFonts w:eastAsia="MS Mincho"/>
              </w:rPr>
            </w:pPr>
            <w:r>
              <w:rPr>
                <w:rFonts w:eastAsia="MS Mincho"/>
              </w:rPr>
              <w:t>N=673</w:t>
            </w:r>
          </w:p>
        </w:tc>
        <w:tc>
          <w:tcPr>
            <w:tcW w:w="1271" w:type="pct"/>
          </w:tcPr>
          <w:p w:rsidR="00E30B27" w:rsidRPr="00061F78" w:rsidRDefault="00504862" w:rsidP="00A71365">
            <w:pPr>
              <w:pStyle w:val="Tablewriting"/>
              <w:rPr>
                <w:rFonts w:eastAsia="MS Mincho"/>
              </w:rPr>
            </w:pPr>
            <w:r w:rsidRPr="00504862">
              <w:rPr>
                <w:rFonts w:eastAsia="MS Mincho"/>
              </w:rPr>
              <w:t>Participants</w:t>
            </w:r>
            <w:r>
              <w:rPr>
                <w:rFonts w:eastAsia="MS Mincho"/>
              </w:rPr>
              <w:t xml:space="preserve"> </w:t>
            </w:r>
            <w:r w:rsidRPr="00504862">
              <w:rPr>
                <w:rFonts w:eastAsia="MS Mincho"/>
              </w:rPr>
              <w:t>with prior exposure to bupropion excluded</w:t>
            </w:r>
            <w:r w:rsidR="00B86921">
              <w:rPr>
                <w:rFonts w:eastAsia="MS Mincho"/>
              </w:rPr>
              <w:t>,</w:t>
            </w:r>
            <w:r w:rsidRPr="00504862">
              <w:rPr>
                <w:rFonts w:eastAsia="MS Mincho"/>
              </w:rPr>
              <w:t xml:space="preserve"> 46% female</w:t>
            </w:r>
            <w:r w:rsidR="00B86921">
              <w:rPr>
                <w:rFonts w:eastAsia="MS Mincho"/>
              </w:rPr>
              <w:t>,</w:t>
            </w:r>
            <w:r w:rsidRPr="00504862">
              <w:rPr>
                <w:rFonts w:eastAsia="MS Mincho"/>
              </w:rPr>
              <w:t xml:space="preserve"> average age 42</w:t>
            </w:r>
            <w:r w:rsidR="00B86921">
              <w:rPr>
                <w:rFonts w:eastAsia="MS Mincho"/>
              </w:rPr>
              <w:t>,</w:t>
            </w:r>
            <w:r w:rsidRPr="00504862">
              <w:rPr>
                <w:rFonts w:eastAsia="MS Mincho"/>
              </w:rPr>
              <w:t xml:space="preserve"> average cigarettes</w:t>
            </w:r>
            <w:r w:rsidR="00B86921">
              <w:rPr>
                <w:rFonts w:eastAsia="MS Mincho"/>
              </w:rPr>
              <w:t xml:space="preserve"> </w:t>
            </w:r>
            <w:r w:rsidRPr="00504862">
              <w:rPr>
                <w:rFonts w:eastAsia="MS Mincho"/>
              </w:rPr>
              <w:t>per day 21</w:t>
            </w:r>
          </w:p>
        </w:tc>
        <w:tc>
          <w:tcPr>
            <w:tcW w:w="1224" w:type="pct"/>
          </w:tcPr>
          <w:p w:rsidR="0017192A" w:rsidRPr="0017192A" w:rsidRDefault="0017192A" w:rsidP="00C324F3">
            <w:pPr>
              <w:pStyle w:val="Tablewriting"/>
              <w:numPr>
                <w:ilvl w:val="0"/>
                <w:numId w:val="25"/>
              </w:numPr>
              <w:rPr>
                <w:rFonts w:eastAsia="MS Mincho"/>
              </w:rPr>
            </w:pPr>
            <w:r w:rsidRPr="0017192A">
              <w:rPr>
                <w:rFonts w:eastAsia="MS Mincho"/>
              </w:rPr>
              <w:t>Bupropion, 300 mg/day for 12 weeks, begun 7 days pre-TQD</w:t>
            </w:r>
          </w:p>
          <w:p w:rsidR="0017192A" w:rsidRPr="0017192A" w:rsidRDefault="0017192A" w:rsidP="00C324F3">
            <w:pPr>
              <w:pStyle w:val="Tablewriting"/>
              <w:numPr>
                <w:ilvl w:val="0"/>
                <w:numId w:val="25"/>
              </w:numPr>
              <w:rPr>
                <w:rFonts w:eastAsia="MS Mincho"/>
              </w:rPr>
            </w:pPr>
            <w:r w:rsidRPr="0017192A">
              <w:rPr>
                <w:rFonts w:eastAsia="MS Mincho"/>
              </w:rPr>
              <w:t>Varenicline, 2 mg/day</w:t>
            </w:r>
          </w:p>
          <w:p w:rsidR="0017192A" w:rsidRPr="0017192A" w:rsidRDefault="0017192A" w:rsidP="00C324F3">
            <w:pPr>
              <w:pStyle w:val="Tablewriting"/>
              <w:numPr>
                <w:ilvl w:val="0"/>
                <w:numId w:val="25"/>
              </w:numPr>
              <w:rPr>
                <w:rFonts w:eastAsia="MS Mincho"/>
              </w:rPr>
            </w:pPr>
            <w:r w:rsidRPr="0017192A">
              <w:rPr>
                <w:rFonts w:eastAsia="MS Mincho"/>
              </w:rPr>
              <w:t>Placebo</w:t>
            </w:r>
          </w:p>
          <w:p w:rsidR="0017192A" w:rsidRDefault="0017192A" w:rsidP="00A71365">
            <w:pPr>
              <w:pStyle w:val="Tablewriting"/>
              <w:rPr>
                <w:rFonts w:eastAsia="MS Mincho"/>
              </w:rPr>
            </w:pPr>
          </w:p>
          <w:p w:rsidR="00E30B27" w:rsidRPr="00061F78" w:rsidRDefault="0017192A" w:rsidP="00A71365">
            <w:pPr>
              <w:pStyle w:val="Tablewriting"/>
              <w:rPr>
                <w:rFonts w:eastAsia="MS Mincho"/>
              </w:rPr>
            </w:pPr>
            <w:r w:rsidRPr="0017192A">
              <w:rPr>
                <w:rFonts w:eastAsia="MS Mincho"/>
                <w:u w:val="single"/>
              </w:rPr>
              <w:t>Common components:</w:t>
            </w:r>
            <w:r w:rsidRPr="0017192A">
              <w:rPr>
                <w:rFonts w:eastAsia="MS Mincho"/>
              </w:rPr>
              <w:t xml:space="preserve"> brief (&lt;10-minute) standardized individual counselling at 12</w:t>
            </w:r>
            <w:r>
              <w:rPr>
                <w:rFonts w:eastAsia="MS Mincho"/>
              </w:rPr>
              <w:t xml:space="preserve"> </w:t>
            </w:r>
            <w:r w:rsidRPr="0017192A">
              <w:rPr>
                <w:rFonts w:eastAsia="MS Mincho"/>
              </w:rPr>
              <w:t>weekly visits during</w:t>
            </w:r>
            <w:r>
              <w:rPr>
                <w:rFonts w:eastAsia="MS Mincho"/>
              </w:rPr>
              <w:t xml:space="preserve"> </w:t>
            </w:r>
            <w:r w:rsidRPr="0017192A">
              <w:rPr>
                <w:rFonts w:eastAsia="MS Mincho"/>
              </w:rPr>
              <w:t>drug phase and 11 clinic/phone visits</w:t>
            </w:r>
            <w:r>
              <w:rPr>
                <w:rFonts w:eastAsia="MS Mincho"/>
              </w:rPr>
              <w:t xml:space="preserve"> </w:t>
            </w:r>
            <w:r w:rsidRPr="0017192A">
              <w:rPr>
                <w:rFonts w:eastAsia="MS Mincho"/>
              </w:rPr>
              <w:t>during follow-up, problem</w:t>
            </w:r>
            <w:r>
              <w:rPr>
                <w:rFonts w:eastAsia="MS Mincho"/>
              </w:rPr>
              <w:t xml:space="preserve"> </w:t>
            </w:r>
            <w:r w:rsidRPr="0017192A">
              <w:rPr>
                <w:rFonts w:eastAsia="MS Mincho"/>
              </w:rPr>
              <w:t>solving and relapse prevention</w:t>
            </w:r>
            <w:r w:rsidR="00714110">
              <w:rPr>
                <w:rFonts w:eastAsia="MS Mincho"/>
              </w:rPr>
              <w:t>.</w:t>
            </w:r>
          </w:p>
        </w:tc>
        <w:tc>
          <w:tcPr>
            <w:tcW w:w="832" w:type="pct"/>
          </w:tcPr>
          <w:p w:rsidR="00BD16BB" w:rsidRPr="00BD16BB" w:rsidRDefault="00BD16BB" w:rsidP="00A71365">
            <w:pPr>
              <w:pStyle w:val="Tablewriting"/>
              <w:rPr>
                <w:rFonts w:eastAsia="MS Mincho"/>
              </w:rPr>
            </w:pPr>
            <w:r w:rsidRPr="00BD16BB">
              <w:rPr>
                <w:rFonts w:eastAsia="MS Mincho"/>
                <w:u w:val="single"/>
              </w:rPr>
              <w:t>Efficacy:</w:t>
            </w:r>
            <w:r w:rsidRPr="00BD16BB">
              <w:rPr>
                <w:rFonts w:eastAsia="MS Mincho"/>
              </w:rPr>
              <w:t xml:space="preserve"> sustained abstinence at 1 year (starting from week 4). Validated by CO </w:t>
            </w:r>
            <w:r w:rsidR="00AC7F27" w:rsidRPr="00D96BA4">
              <w:rPr>
                <w:rFonts w:eastAsia="MS Mincho"/>
              </w:rPr>
              <w:t>≤</w:t>
            </w:r>
            <w:r w:rsidRPr="00BD16BB">
              <w:rPr>
                <w:rFonts w:eastAsia="MS Mincho"/>
              </w:rPr>
              <w:t xml:space="preserve"> 10 ppm</w:t>
            </w:r>
            <w:r w:rsidR="00095F26">
              <w:rPr>
                <w:rFonts w:eastAsia="MS Mincho"/>
              </w:rPr>
              <w:t xml:space="preserve"> </w:t>
            </w:r>
            <w:r w:rsidRPr="00BD16BB">
              <w:rPr>
                <w:rFonts w:eastAsia="MS Mincho"/>
              </w:rPr>
              <w:t>at each visit</w:t>
            </w:r>
          </w:p>
          <w:p w:rsidR="00E30B27" w:rsidRPr="00061F78" w:rsidRDefault="00BD16BB" w:rsidP="00A71365">
            <w:pPr>
              <w:pStyle w:val="Tablewriting"/>
              <w:rPr>
                <w:rFonts w:eastAsia="MS Mincho"/>
              </w:rPr>
            </w:pPr>
            <w:r w:rsidRPr="00BD16BB">
              <w:rPr>
                <w:rFonts w:eastAsia="MS Mincho"/>
                <w:u w:val="single"/>
              </w:rPr>
              <w:t>Safety:</w:t>
            </w:r>
            <w:r w:rsidRPr="00BD16BB">
              <w:rPr>
                <w:rFonts w:eastAsia="MS Mincho"/>
              </w:rPr>
              <w:t xml:space="preserve"> measured for 13 weeks</w:t>
            </w:r>
            <w:r w:rsidR="00714110">
              <w:rPr>
                <w:rFonts w:eastAsia="MS Mincho"/>
              </w:rPr>
              <w:t>.</w:t>
            </w:r>
          </w:p>
        </w:tc>
      </w:tr>
      <w:tr w:rsidR="00E30B27" w:rsidRPr="00061F78" w:rsidTr="004529B1">
        <w:trPr>
          <w:trHeight w:val="149"/>
        </w:trPr>
        <w:tc>
          <w:tcPr>
            <w:tcW w:w="565" w:type="pct"/>
          </w:tcPr>
          <w:p w:rsidR="00E30B27" w:rsidRPr="00541274" w:rsidRDefault="00D166C4" w:rsidP="00A71365">
            <w:pPr>
              <w:pStyle w:val="Tablewriting"/>
              <w:rPr>
                <w:rFonts w:eastAsia="MS Mincho"/>
              </w:rPr>
            </w:pPr>
            <w:r w:rsidRPr="00866DE0">
              <w:rPr>
                <w:rFonts w:eastAsia="MS Mincho"/>
              </w:rPr>
              <w:lastRenderedPageBreak/>
              <w:t xml:space="preserve">Haggsträm </w:t>
            </w:r>
            <w:r w:rsidR="0065538B">
              <w:rPr>
                <w:rFonts w:eastAsia="MS Mincho"/>
              </w:rPr>
              <w:t>(</w:t>
            </w:r>
            <w:r w:rsidRPr="00866DE0">
              <w:rPr>
                <w:rFonts w:eastAsia="MS Mincho"/>
              </w:rPr>
              <w:t>2006</w:t>
            </w:r>
            <w:r w:rsidR="0065538B">
              <w:rPr>
                <w:rFonts w:eastAsia="MS Mincho"/>
              </w:rPr>
              <w:t>)</w:t>
            </w:r>
          </w:p>
        </w:tc>
        <w:tc>
          <w:tcPr>
            <w:tcW w:w="238" w:type="pct"/>
          </w:tcPr>
          <w:p w:rsidR="00E30B27" w:rsidRDefault="00D60542" w:rsidP="00A71365">
            <w:pPr>
              <w:pStyle w:val="Tablewriting"/>
              <w:rPr>
                <w:rFonts w:eastAsia="MS Mincho"/>
              </w:rPr>
            </w:pPr>
            <w:r>
              <w:rPr>
                <w:rFonts w:eastAsia="MS Mincho"/>
              </w:rPr>
              <w:t>RCT</w:t>
            </w:r>
          </w:p>
        </w:tc>
        <w:tc>
          <w:tcPr>
            <w:tcW w:w="420" w:type="pct"/>
          </w:tcPr>
          <w:p w:rsidR="00D60542" w:rsidRDefault="00D60542" w:rsidP="00A71365">
            <w:pPr>
              <w:pStyle w:val="Tablewriting"/>
              <w:rPr>
                <w:rFonts w:eastAsia="MS Mincho"/>
              </w:rPr>
            </w:pPr>
            <w:r>
              <w:rPr>
                <w:rFonts w:eastAsia="MS Mincho"/>
              </w:rPr>
              <w:t>Brazil</w:t>
            </w:r>
          </w:p>
        </w:tc>
        <w:tc>
          <w:tcPr>
            <w:tcW w:w="449" w:type="pct"/>
          </w:tcPr>
          <w:p w:rsidR="00E30B27" w:rsidRPr="00061F78" w:rsidRDefault="003B2251" w:rsidP="00A71365">
            <w:pPr>
              <w:pStyle w:val="Tablewriting"/>
              <w:rPr>
                <w:rFonts w:eastAsia="MS Mincho"/>
              </w:rPr>
            </w:pPr>
            <w:r>
              <w:rPr>
                <w:rFonts w:eastAsia="MS Mincho"/>
              </w:rPr>
              <w:t>N=156</w:t>
            </w:r>
          </w:p>
        </w:tc>
        <w:tc>
          <w:tcPr>
            <w:tcW w:w="1271" w:type="pct"/>
          </w:tcPr>
          <w:p w:rsidR="00E30B27" w:rsidRPr="00061F78" w:rsidRDefault="003B2251" w:rsidP="00A71365">
            <w:pPr>
              <w:pStyle w:val="Tablewriting"/>
              <w:rPr>
                <w:rFonts w:eastAsia="MS Mincho"/>
              </w:rPr>
            </w:pPr>
            <w:r w:rsidRPr="003B2251">
              <w:rPr>
                <w:rFonts w:eastAsia="MS Mincho"/>
              </w:rPr>
              <w:t>FTND &gt; 4; 70% female in placebo and nortriptyline arms, 59% in bupropion arm</w:t>
            </w:r>
            <w:r w:rsidR="00B86921">
              <w:rPr>
                <w:rFonts w:eastAsia="MS Mincho"/>
              </w:rPr>
              <w:t>,</w:t>
            </w:r>
            <w:r w:rsidRPr="003B2251">
              <w:rPr>
                <w:rFonts w:eastAsia="MS Mincho"/>
              </w:rPr>
              <w:t xml:space="preserve"> average</w:t>
            </w:r>
            <w:r w:rsidR="00B86921">
              <w:rPr>
                <w:rFonts w:eastAsia="MS Mincho"/>
              </w:rPr>
              <w:t xml:space="preserve"> </w:t>
            </w:r>
            <w:r w:rsidRPr="003B2251">
              <w:rPr>
                <w:rFonts w:eastAsia="MS Mincho"/>
              </w:rPr>
              <w:t>age 44</w:t>
            </w:r>
            <w:r w:rsidR="00B86921">
              <w:rPr>
                <w:rFonts w:eastAsia="MS Mincho"/>
              </w:rPr>
              <w:t xml:space="preserve"> years,</w:t>
            </w:r>
            <w:r w:rsidRPr="003B2251">
              <w:rPr>
                <w:rFonts w:eastAsia="MS Mincho"/>
              </w:rPr>
              <w:t xml:space="preserve"> average cigarettes per day not specified</w:t>
            </w:r>
          </w:p>
        </w:tc>
        <w:tc>
          <w:tcPr>
            <w:tcW w:w="1224" w:type="pct"/>
          </w:tcPr>
          <w:p w:rsidR="003B2251" w:rsidRPr="003B2251" w:rsidRDefault="003B2251" w:rsidP="00C324F3">
            <w:pPr>
              <w:pStyle w:val="Tablewriting"/>
              <w:numPr>
                <w:ilvl w:val="0"/>
                <w:numId w:val="26"/>
              </w:numPr>
              <w:rPr>
                <w:rFonts w:eastAsia="MS Mincho"/>
              </w:rPr>
            </w:pPr>
            <w:r w:rsidRPr="003B2251">
              <w:rPr>
                <w:rFonts w:eastAsia="MS Mincho"/>
              </w:rPr>
              <w:t>Bupropion, 300 mg/day for 60 days, placebo nortriptyline, TQD during week 2</w:t>
            </w:r>
          </w:p>
          <w:p w:rsidR="003B2251" w:rsidRPr="003B2251" w:rsidRDefault="004D0344" w:rsidP="00C324F3">
            <w:pPr>
              <w:pStyle w:val="Tablewriting"/>
              <w:numPr>
                <w:ilvl w:val="0"/>
                <w:numId w:val="26"/>
              </w:numPr>
              <w:rPr>
                <w:rFonts w:eastAsia="MS Mincho"/>
              </w:rPr>
            </w:pPr>
            <w:r w:rsidRPr="003B2251">
              <w:rPr>
                <w:rFonts w:eastAsia="MS Mincho"/>
              </w:rPr>
              <w:t>Nortriptyline</w:t>
            </w:r>
            <w:r w:rsidR="003B2251" w:rsidRPr="003B2251">
              <w:rPr>
                <w:rFonts w:eastAsia="MS Mincho"/>
              </w:rPr>
              <w:t>, 75 mg/day for 60 days, placebo bupropion</w:t>
            </w:r>
          </w:p>
          <w:p w:rsidR="003B2251" w:rsidRPr="003B2251" w:rsidRDefault="003B2251" w:rsidP="00C324F3">
            <w:pPr>
              <w:pStyle w:val="Tablewriting"/>
              <w:numPr>
                <w:ilvl w:val="0"/>
                <w:numId w:val="26"/>
              </w:numPr>
              <w:rPr>
                <w:rFonts w:eastAsia="MS Mincho"/>
              </w:rPr>
            </w:pPr>
            <w:r w:rsidRPr="003B2251">
              <w:rPr>
                <w:rFonts w:eastAsia="MS Mincho"/>
              </w:rPr>
              <w:t>Double placebo</w:t>
            </w:r>
          </w:p>
          <w:p w:rsidR="00D77219" w:rsidRDefault="00D77219" w:rsidP="00A71365">
            <w:pPr>
              <w:pStyle w:val="Tablewriting"/>
              <w:rPr>
                <w:rFonts w:eastAsia="MS Mincho"/>
              </w:rPr>
            </w:pPr>
          </w:p>
          <w:p w:rsidR="00E30B27" w:rsidRPr="00061F78" w:rsidRDefault="003B2251" w:rsidP="00A71365">
            <w:pPr>
              <w:pStyle w:val="Tablewriting"/>
              <w:rPr>
                <w:rFonts w:eastAsia="MS Mincho"/>
              </w:rPr>
            </w:pPr>
            <w:r w:rsidRPr="00D77219">
              <w:rPr>
                <w:rFonts w:eastAsia="MS Mincho"/>
                <w:u w:val="single"/>
              </w:rPr>
              <w:t>Common components:</w:t>
            </w:r>
            <w:r w:rsidRPr="003B2251">
              <w:rPr>
                <w:rFonts w:eastAsia="MS Mincho"/>
              </w:rPr>
              <w:t xml:space="preserve"> 6 x 15-min individual CBT, weekly then bi-weekly</w:t>
            </w:r>
          </w:p>
        </w:tc>
        <w:tc>
          <w:tcPr>
            <w:tcW w:w="832" w:type="pct"/>
          </w:tcPr>
          <w:p w:rsidR="00362303" w:rsidRPr="00362303" w:rsidRDefault="00362303" w:rsidP="00A71365">
            <w:pPr>
              <w:pStyle w:val="Tablewriting"/>
              <w:rPr>
                <w:rFonts w:eastAsia="MS Mincho"/>
              </w:rPr>
            </w:pPr>
            <w:r w:rsidRPr="00362303">
              <w:rPr>
                <w:rFonts w:eastAsia="MS Mincho"/>
                <w:u w:val="single"/>
              </w:rPr>
              <w:t>Efficacy</w:t>
            </w:r>
            <w:r w:rsidRPr="00362303">
              <w:rPr>
                <w:rFonts w:eastAsia="MS Mincho"/>
              </w:rPr>
              <w:t xml:space="preserve">: continuous abstinence at 6 metres (starting from TQD). Validated by CO </w:t>
            </w:r>
            <w:r w:rsidR="00AC7F27" w:rsidRPr="00D96BA4">
              <w:rPr>
                <w:rFonts w:eastAsia="MS Mincho"/>
              </w:rPr>
              <w:t>≤</w:t>
            </w:r>
            <w:r w:rsidRPr="00362303">
              <w:rPr>
                <w:rFonts w:eastAsia="MS Mincho"/>
              </w:rPr>
              <w:t xml:space="preserve"> 10 ppm</w:t>
            </w:r>
            <w:r w:rsidR="00095F26">
              <w:rPr>
                <w:rFonts w:eastAsia="MS Mincho"/>
              </w:rPr>
              <w:t xml:space="preserve"> </w:t>
            </w:r>
            <w:r w:rsidRPr="00362303">
              <w:rPr>
                <w:rFonts w:eastAsia="MS Mincho"/>
              </w:rPr>
              <w:t>at 3 months and 6 months</w:t>
            </w:r>
          </w:p>
          <w:p w:rsidR="00E30B27" w:rsidRPr="00061F78" w:rsidRDefault="00362303" w:rsidP="00A71365">
            <w:pPr>
              <w:pStyle w:val="Tablewriting"/>
              <w:rPr>
                <w:rFonts w:eastAsia="MS Mincho"/>
              </w:rPr>
            </w:pPr>
            <w:r w:rsidRPr="00362303">
              <w:rPr>
                <w:rFonts w:eastAsia="MS Mincho"/>
                <w:u w:val="single"/>
              </w:rPr>
              <w:t>Safety:</w:t>
            </w:r>
            <w:r w:rsidRPr="00362303">
              <w:rPr>
                <w:rFonts w:eastAsia="MS Mincho"/>
              </w:rPr>
              <w:t xml:space="preserve"> measured for 26 weeks</w:t>
            </w:r>
            <w:r w:rsidR="00714110">
              <w:rPr>
                <w:rFonts w:eastAsia="MS Mincho"/>
              </w:rPr>
              <w:t>.</w:t>
            </w:r>
          </w:p>
        </w:tc>
      </w:tr>
      <w:tr w:rsidR="00E30B27" w:rsidRPr="00061F78" w:rsidTr="004529B1">
        <w:trPr>
          <w:trHeight w:val="149"/>
        </w:trPr>
        <w:tc>
          <w:tcPr>
            <w:tcW w:w="565" w:type="pct"/>
          </w:tcPr>
          <w:p w:rsidR="00E30B27" w:rsidRPr="00541274" w:rsidRDefault="00D166C4" w:rsidP="00A71365">
            <w:pPr>
              <w:pStyle w:val="Tablewriting"/>
              <w:rPr>
                <w:rFonts w:eastAsia="MS Mincho"/>
              </w:rPr>
            </w:pPr>
            <w:r w:rsidRPr="00866DE0">
              <w:rPr>
                <w:rFonts w:eastAsia="MS Mincho"/>
              </w:rPr>
              <w:t xml:space="preserve">Hall </w:t>
            </w:r>
            <w:r w:rsidR="0065538B">
              <w:rPr>
                <w:rFonts w:eastAsia="MS Mincho"/>
              </w:rPr>
              <w:t>(</w:t>
            </w:r>
            <w:r w:rsidRPr="00866DE0">
              <w:rPr>
                <w:rFonts w:eastAsia="MS Mincho"/>
              </w:rPr>
              <w:t>2002</w:t>
            </w:r>
            <w:r w:rsidR="0065538B">
              <w:rPr>
                <w:rFonts w:eastAsia="MS Mincho"/>
              </w:rPr>
              <w:t>)</w:t>
            </w:r>
          </w:p>
        </w:tc>
        <w:tc>
          <w:tcPr>
            <w:tcW w:w="238" w:type="pct"/>
          </w:tcPr>
          <w:p w:rsidR="00E30B27" w:rsidRDefault="00C94D8E" w:rsidP="00A71365">
            <w:pPr>
              <w:pStyle w:val="Tablewriting"/>
              <w:rPr>
                <w:rFonts w:eastAsia="MS Mincho"/>
              </w:rPr>
            </w:pPr>
            <w:r>
              <w:rPr>
                <w:rFonts w:eastAsia="MS Mincho"/>
              </w:rPr>
              <w:t>RCT</w:t>
            </w:r>
          </w:p>
        </w:tc>
        <w:tc>
          <w:tcPr>
            <w:tcW w:w="420" w:type="pct"/>
          </w:tcPr>
          <w:p w:rsidR="00C94D8E" w:rsidRDefault="00C94D8E" w:rsidP="00A71365">
            <w:pPr>
              <w:pStyle w:val="Tablewriting"/>
              <w:rPr>
                <w:rFonts w:eastAsia="MS Mincho"/>
              </w:rPr>
            </w:pPr>
            <w:r>
              <w:rPr>
                <w:rFonts w:eastAsia="MS Mincho"/>
              </w:rPr>
              <w:t>USA</w:t>
            </w:r>
          </w:p>
        </w:tc>
        <w:tc>
          <w:tcPr>
            <w:tcW w:w="449" w:type="pct"/>
          </w:tcPr>
          <w:p w:rsidR="00E30B27" w:rsidRPr="00061F78" w:rsidRDefault="00EC6730" w:rsidP="00A71365">
            <w:pPr>
              <w:pStyle w:val="Tablewriting"/>
              <w:rPr>
                <w:rFonts w:eastAsia="MS Mincho"/>
              </w:rPr>
            </w:pPr>
            <w:r>
              <w:rPr>
                <w:rFonts w:eastAsia="MS Mincho"/>
              </w:rPr>
              <w:t>N=220</w:t>
            </w:r>
          </w:p>
        </w:tc>
        <w:tc>
          <w:tcPr>
            <w:tcW w:w="1271" w:type="pct"/>
          </w:tcPr>
          <w:p w:rsidR="00E30B27" w:rsidRPr="00061F78" w:rsidRDefault="003806E1" w:rsidP="00A71365">
            <w:pPr>
              <w:pStyle w:val="Tablewriting"/>
              <w:rPr>
                <w:rFonts w:eastAsia="MS Mincho"/>
              </w:rPr>
            </w:pPr>
            <w:r>
              <w:rPr>
                <w:rFonts w:eastAsia="MS Mincho"/>
              </w:rPr>
              <w:t>S</w:t>
            </w:r>
            <w:r w:rsidRPr="003806E1">
              <w:rPr>
                <w:rFonts w:eastAsia="MS Mincho"/>
              </w:rPr>
              <w:t>mokers; 40% to 47% female</w:t>
            </w:r>
            <w:r w:rsidR="00FA2F6C">
              <w:rPr>
                <w:rFonts w:eastAsia="MS Mincho"/>
              </w:rPr>
              <w:t>,</w:t>
            </w:r>
            <w:r w:rsidRPr="003806E1">
              <w:rPr>
                <w:rFonts w:eastAsia="MS Mincho"/>
              </w:rPr>
              <w:t xml:space="preserve"> average age 37-43</w:t>
            </w:r>
            <w:r w:rsidR="00FA2F6C">
              <w:rPr>
                <w:rFonts w:eastAsia="MS Mincho"/>
              </w:rPr>
              <w:t xml:space="preserve"> years,</w:t>
            </w:r>
            <w:r w:rsidRPr="003806E1">
              <w:rPr>
                <w:rFonts w:eastAsia="MS Mincho"/>
              </w:rPr>
              <w:t xml:space="preserve"> average cigarettes per day 20-23</w:t>
            </w:r>
          </w:p>
        </w:tc>
        <w:tc>
          <w:tcPr>
            <w:tcW w:w="1224" w:type="pct"/>
          </w:tcPr>
          <w:p w:rsidR="00EC6730" w:rsidRPr="00EC6730" w:rsidRDefault="00EC6730" w:rsidP="00C324F3">
            <w:pPr>
              <w:pStyle w:val="Tablewriting"/>
              <w:numPr>
                <w:ilvl w:val="0"/>
                <w:numId w:val="27"/>
              </w:numPr>
              <w:rPr>
                <w:rFonts w:eastAsia="MS Mincho"/>
                <w:lang w:val="en-GB"/>
              </w:rPr>
            </w:pPr>
            <w:r w:rsidRPr="00EC6730">
              <w:rPr>
                <w:rFonts w:eastAsia="MS Mincho"/>
                <w:lang w:val="en-GB"/>
              </w:rPr>
              <w:t>Bupropion, 300 mg/day, 12 weeks</w:t>
            </w:r>
          </w:p>
          <w:p w:rsidR="00EC6730" w:rsidRDefault="00EC6730" w:rsidP="00C324F3">
            <w:pPr>
              <w:pStyle w:val="Tablewriting"/>
              <w:numPr>
                <w:ilvl w:val="0"/>
                <w:numId w:val="27"/>
              </w:numPr>
              <w:rPr>
                <w:rFonts w:eastAsia="MS Mincho"/>
                <w:lang w:val="en-GB"/>
              </w:rPr>
            </w:pPr>
            <w:r w:rsidRPr="00EC6730">
              <w:rPr>
                <w:rFonts w:eastAsia="MS Mincho"/>
                <w:lang w:val="en-GB"/>
              </w:rPr>
              <w:t>Nortriptyline, titrated to therapeutic levels, 12 weeks</w:t>
            </w:r>
          </w:p>
          <w:p w:rsidR="00EC6730" w:rsidRPr="00EC6730" w:rsidRDefault="00EC6730" w:rsidP="00C324F3">
            <w:pPr>
              <w:pStyle w:val="Tablewriting"/>
              <w:numPr>
                <w:ilvl w:val="0"/>
                <w:numId w:val="27"/>
              </w:numPr>
              <w:rPr>
                <w:rFonts w:eastAsia="MS Mincho"/>
                <w:lang w:val="en-GB"/>
              </w:rPr>
            </w:pPr>
            <w:r w:rsidRPr="00EC6730">
              <w:rPr>
                <w:rFonts w:eastAsia="MS Mincho"/>
                <w:i/>
                <w:iCs/>
                <w:lang w:val="en-GB"/>
              </w:rPr>
              <w:t xml:space="preserve"> </w:t>
            </w:r>
            <w:r w:rsidRPr="00EC6730">
              <w:rPr>
                <w:rFonts w:eastAsia="MS Mincho"/>
                <w:lang w:val="en-GB"/>
              </w:rPr>
              <w:t>Placebo</w:t>
            </w:r>
          </w:p>
          <w:p w:rsidR="00EC6730" w:rsidRDefault="00EC6730" w:rsidP="00A71365">
            <w:pPr>
              <w:pStyle w:val="Tablewriting"/>
              <w:rPr>
                <w:rFonts w:eastAsia="MS Mincho"/>
                <w:lang w:val="en-GB"/>
              </w:rPr>
            </w:pPr>
          </w:p>
          <w:p w:rsidR="00EC6730" w:rsidRPr="00EC6730" w:rsidRDefault="00EC6730" w:rsidP="00A71365">
            <w:pPr>
              <w:pStyle w:val="Tablewriting"/>
              <w:rPr>
                <w:rFonts w:eastAsia="MS Mincho"/>
                <w:lang w:val="en-GB"/>
              </w:rPr>
            </w:pPr>
            <w:r w:rsidRPr="00EC6730">
              <w:rPr>
                <w:rFonts w:eastAsia="MS Mincho"/>
                <w:lang w:val="en-GB"/>
              </w:rPr>
              <w:t>3 x 2 factorial design. Alternative psychological interventions were Medical Management (MM, physician</w:t>
            </w:r>
          </w:p>
          <w:p w:rsidR="00E30B27" w:rsidRPr="00EC6730" w:rsidRDefault="00EC6730" w:rsidP="00A71365">
            <w:pPr>
              <w:pStyle w:val="Tablewriting"/>
              <w:rPr>
                <w:rFonts w:eastAsia="MS Mincho"/>
                <w:lang w:val="en-GB"/>
              </w:rPr>
            </w:pPr>
            <w:r w:rsidRPr="00EC6730">
              <w:rPr>
                <w:rFonts w:eastAsia="MS Mincho"/>
                <w:lang w:val="en-GB"/>
              </w:rPr>
              <w:t>advice, S-H, 10 mins to 20 mins 1st visit, 5 minds at 2, 6, 11 weeks) or Psychosocial Intervention (PI,</w:t>
            </w:r>
            <w:r>
              <w:rPr>
                <w:rFonts w:eastAsia="MS Mincho"/>
                <w:lang w:val="en-GB"/>
              </w:rPr>
              <w:t xml:space="preserve"> </w:t>
            </w:r>
            <w:r w:rsidRPr="00EC6730">
              <w:rPr>
                <w:rFonts w:eastAsia="MS Mincho"/>
                <w:lang w:val="en-GB"/>
              </w:rPr>
              <w:t>as MM plus 5 x 90-min group sessions at 4, 5, 7, 11 weeks)</w:t>
            </w:r>
            <w:r w:rsidR="00714110">
              <w:rPr>
                <w:rFonts w:eastAsia="MS Mincho"/>
                <w:lang w:val="en-GB"/>
              </w:rPr>
              <w:t>.</w:t>
            </w:r>
          </w:p>
        </w:tc>
        <w:tc>
          <w:tcPr>
            <w:tcW w:w="832" w:type="pct"/>
          </w:tcPr>
          <w:p w:rsidR="008314F4" w:rsidRPr="008314F4" w:rsidRDefault="00204F24" w:rsidP="00A71365">
            <w:pPr>
              <w:rPr>
                <w:rFonts w:eastAsia="MS Mincho"/>
                <w:lang w:eastAsia="en-US"/>
              </w:rPr>
            </w:pPr>
            <w:r w:rsidRPr="00204F24">
              <w:rPr>
                <w:rFonts w:eastAsia="MS Mincho"/>
                <w:u w:val="single"/>
                <w:lang w:eastAsia="en-US"/>
              </w:rPr>
              <w:t>Efficacy</w:t>
            </w:r>
            <w:r w:rsidR="008314F4" w:rsidRPr="00204F24">
              <w:rPr>
                <w:rFonts w:eastAsia="MS Mincho"/>
                <w:u w:val="single"/>
                <w:lang w:eastAsia="en-US"/>
              </w:rPr>
              <w:t>:</w:t>
            </w:r>
            <w:r w:rsidR="008314F4" w:rsidRPr="008314F4">
              <w:rPr>
                <w:rFonts w:eastAsia="MS Mincho"/>
                <w:lang w:eastAsia="en-US"/>
              </w:rPr>
              <w:t xml:space="preserve"> prolonged abstinence at 1 year (47 weeks post-quit date). Validated by CO </w:t>
            </w:r>
            <w:r w:rsidR="00AC7F27" w:rsidRPr="00D96BA4">
              <w:rPr>
                <w:rFonts w:eastAsia="MS Mincho"/>
              </w:rPr>
              <w:t>≤</w:t>
            </w:r>
            <w:r w:rsidR="008314F4" w:rsidRPr="008314F4">
              <w:rPr>
                <w:rFonts w:eastAsia="MS Mincho"/>
                <w:lang w:eastAsia="en-US"/>
              </w:rPr>
              <w:t xml:space="preserve"> 10</w:t>
            </w:r>
            <w:r>
              <w:rPr>
                <w:rFonts w:eastAsia="MS Mincho"/>
                <w:lang w:eastAsia="en-US"/>
              </w:rPr>
              <w:t xml:space="preserve"> </w:t>
            </w:r>
            <w:r w:rsidR="008314F4" w:rsidRPr="008314F4">
              <w:rPr>
                <w:rFonts w:eastAsia="MS Mincho"/>
                <w:lang w:eastAsia="en-US"/>
              </w:rPr>
              <w:t>ppm, urine cotinine h 60 ng/mL</w:t>
            </w:r>
          </w:p>
          <w:p w:rsidR="00E30B27" w:rsidRPr="00061F78" w:rsidRDefault="005B351C" w:rsidP="00A71365">
            <w:pPr>
              <w:rPr>
                <w:rFonts w:eastAsia="MS Mincho"/>
              </w:rPr>
            </w:pPr>
            <w:r w:rsidRPr="005B351C">
              <w:rPr>
                <w:rFonts w:eastAsia="MS Mincho"/>
                <w:u w:val="single"/>
                <w:lang w:eastAsia="en-US"/>
              </w:rPr>
              <w:t>Safety</w:t>
            </w:r>
            <w:r w:rsidR="008314F4" w:rsidRPr="005B351C">
              <w:rPr>
                <w:rFonts w:eastAsia="MS Mincho"/>
                <w:u w:val="single"/>
                <w:lang w:eastAsia="en-US"/>
              </w:rPr>
              <w:t>:</w:t>
            </w:r>
            <w:r w:rsidR="008314F4" w:rsidRPr="008314F4">
              <w:rPr>
                <w:rFonts w:eastAsia="MS Mincho"/>
                <w:lang w:eastAsia="en-US"/>
              </w:rPr>
              <w:t xml:space="preserve"> measured for unspecified period</w:t>
            </w:r>
            <w:r w:rsidR="00714110">
              <w:rPr>
                <w:rFonts w:eastAsia="MS Mincho"/>
                <w:lang w:eastAsia="en-US"/>
              </w:rPr>
              <w:t>.</w:t>
            </w:r>
          </w:p>
        </w:tc>
      </w:tr>
      <w:tr w:rsidR="00E30B27" w:rsidRPr="00061F78" w:rsidTr="004529B1">
        <w:trPr>
          <w:trHeight w:val="149"/>
        </w:trPr>
        <w:tc>
          <w:tcPr>
            <w:tcW w:w="565" w:type="pct"/>
          </w:tcPr>
          <w:p w:rsidR="00E30B27" w:rsidRPr="00541274" w:rsidRDefault="00D05A51" w:rsidP="00A71365">
            <w:pPr>
              <w:pStyle w:val="Tablewriting"/>
              <w:rPr>
                <w:rFonts w:eastAsia="MS Mincho"/>
              </w:rPr>
            </w:pPr>
            <w:r w:rsidRPr="00866DE0">
              <w:rPr>
                <w:rFonts w:eastAsia="MS Mincho"/>
              </w:rPr>
              <w:t xml:space="preserve">Hertzberg </w:t>
            </w:r>
            <w:r w:rsidR="0065538B">
              <w:rPr>
                <w:rFonts w:eastAsia="MS Mincho"/>
              </w:rPr>
              <w:t>(</w:t>
            </w:r>
            <w:r w:rsidRPr="00866DE0">
              <w:rPr>
                <w:rFonts w:eastAsia="MS Mincho"/>
              </w:rPr>
              <w:t>2001</w:t>
            </w:r>
            <w:r w:rsidR="0065538B">
              <w:rPr>
                <w:rFonts w:eastAsia="MS Mincho"/>
              </w:rPr>
              <w:t>)</w:t>
            </w:r>
          </w:p>
        </w:tc>
        <w:tc>
          <w:tcPr>
            <w:tcW w:w="238" w:type="pct"/>
          </w:tcPr>
          <w:p w:rsidR="00E30B27" w:rsidRDefault="00130CFF" w:rsidP="00A71365">
            <w:pPr>
              <w:pStyle w:val="Tablewriting"/>
              <w:rPr>
                <w:rFonts w:eastAsia="MS Mincho"/>
              </w:rPr>
            </w:pPr>
            <w:r>
              <w:rPr>
                <w:rFonts w:eastAsia="MS Mincho"/>
              </w:rPr>
              <w:t>RCT</w:t>
            </w:r>
          </w:p>
        </w:tc>
        <w:tc>
          <w:tcPr>
            <w:tcW w:w="420" w:type="pct"/>
          </w:tcPr>
          <w:p w:rsidR="0035253E" w:rsidRPr="00061F78" w:rsidRDefault="00130CFF" w:rsidP="00A71365">
            <w:pPr>
              <w:pStyle w:val="Tablewriting"/>
              <w:rPr>
                <w:rFonts w:eastAsia="MS Mincho"/>
              </w:rPr>
            </w:pPr>
            <w:r>
              <w:rPr>
                <w:rFonts w:eastAsia="MS Mincho"/>
              </w:rPr>
              <w:t>USA</w:t>
            </w:r>
          </w:p>
        </w:tc>
        <w:tc>
          <w:tcPr>
            <w:tcW w:w="449" w:type="pct"/>
          </w:tcPr>
          <w:p w:rsidR="00E30B27" w:rsidRPr="00061F78" w:rsidRDefault="00130CFF" w:rsidP="00A71365">
            <w:pPr>
              <w:pStyle w:val="Tablewriting"/>
              <w:rPr>
                <w:rFonts w:eastAsia="MS Mincho"/>
              </w:rPr>
            </w:pPr>
            <w:r>
              <w:rPr>
                <w:rFonts w:eastAsia="MS Mincho"/>
              </w:rPr>
              <w:t>N=15</w:t>
            </w:r>
          </w:p>
        </w:tc>
        <w:tc>
          <w:tcPr>
            <w:tcW w:w="1271" w:type="pct"/>
          </w:tcPr>
          <w:p w:rsidR="00E30B27" w:rsidRPr="00061F78" w:rsidRDefault="00130CFF" w:rsidP="00A71365">
            <w:pPr>
              <w:pStyle w:val="Tablewriting"/>
              <w:rPr>
                <w:rFonts w:eastAsia="MS Mincho"/>
              </w:rPr>
            </w:pPr>
            <w:r w:rsidRPr="00130CFF">
              <w:rPr>
                <w:rFonts w:eastAsia="MS Mincho"/>
              </w:rPr>
              <w:t>male veterans with post-traumatic stress disorder</w:t>
            </w:r>
            <w:r w:rsidR="002B1E57">
              <w:rPr>
                <w:rFonts w:eastAsia="MS Mincho"/>
              </w:rPr>
              <w:t>,</w:t>
            </w:r>
            <w:r w:rsidRPr="00130CFF">
              <w:rPr>
                <w:rFonts w:eastAsia="MS Mincho"/>
              </w:rPr>
              <w:t xml:space="preserve"> average age 50</w:t>
            </w:r>
            <w:r w:rsidR="002B1E57">
              <w:rPr>
                <w:rFonts w:eastAsia="MS Mincho"/>
              </w:rPr>
              <w:t xml:space="preserve"> years,</w:t>
            </w:r>
            <w:r w:rsidRPr="00130CFF">
              <w:rPr>
                <w:rFonts w:eastAsia="MS Mincho"/>
              </w:rPr>
              <w:t xml:space="preserve"> average cigarettes per day 33</w:t>
            </w:r>
          </w:p>
        </w:tc>
        <w:tc>
          <w:tcPr>
            <w:tcW w:w="1224" w:type="pct"/>
          </w:tcPr>
          <w:p w:rsidR="00130CFF" w:rsidRPr="00130CFF" w:rsidRDefault="00130CFF" w:rsidP="00C324F3">
            <w:pPr>
              <w:pStyle w:val="Tablewriting"/>
              <w:numPr>
                <w:ilvl w:val="0"/>
                <w:numId w:val="28"/>
              </w:numPr>
              <w:rPr>
                <w:rFonts w:eastAsia="MS Mincho"/>
              </w:rPr>
            </w:pPr>
            <w:r w:rsidRPr="00130CFF">
              <w:rPr>
                <w:rFonts w:eastAsia="MS Mincho"/>
              </w:rPr>
              <w:t>Bupropion, 300 mg/day, 12 weeks begun at least 1 week before TQD</w:t>
            </w:r>
          </w:p>
          <w:p w:rsidR="00130CFF" w:rsidRPr="00130CFF" w:rsidRDefault="00130CFF" w:rsidP="00C324F3">
            <w:pPr>
              <w:pStyle w:val="Tablewriting"/>
              <w:numPr>
                <w:ilvl w:val="0"/>
                <w:numId w:val="28"/>
              </w:numPr>
              <w:rPr>
                <w:rFonts w:eastAsia="MS Mincho"/>
              </w:rPr>
            </w:pPr>
            <w:r w:rsidRPr="00130CFF">
              <w:rPr>
                <w:rFonts w:eastAsia="MS Mincho"/>
              </w:rPr>
              <w:t>Placebo</w:t>
            </w:r>
          </w:p>
          <w:p w:rsidR="00130CFF" w:rsidRDefault="00130CFF" w:rsidP="00A71365">
            <w:pPr>
              <w:pStyle w:val="Tablewriting"/>
              <w:rPr>
                <w:rFonts w:eastAsia="MS Mincho"/>
              </w:rPr>
            </w:pPr>
          </w:p>
          <w:p w:rsidR="00E30B27" w:rsidRPr="00061F78" w:rsidRDefault="00130CFF" w:rsidP="00A71365">
            <w:pPr>
              <w:pStyle w:val="Tablewriting"/>
              <w:rPr>
                <w:rFonts w:eastAsia="MS Mincho"/>
              </w:rPr>
            </w:pPr>
            <w:r w:rsidRPr="00130CFF">
              <w:rPr>
                <w:rFonts w:eastAsia="MS Mincho"/>
                <w:u w:val="single"/>
              </w:rPr>
              <w:t>Common components</w:t>
            </w:r>
            <w:r w:rsidRPr="00130CFF">
              <w:rPr>
                <w:rFonts w:eastAsia="MS Mincho"/>
              </w:rPr>
              <w:t>:</w:t>
            </w:r>
            <w:r>
              <w:rPr>
                <w:rFonts w:eastAsia="MS Mincho"/>
              </w:rPr>
              <w:t xml:space="preserve"> </w:t>
            </w:r>
            <w:r w:rsidRPr="00130CFF">
              <w:rPr>
                <w:rFonts w:eastAsia="MS Mincho"/>
              </w:rPr>
              <w:t>individual counselling pre-quit, weeks 1, 2, 4, 8, 12</w:t>
            </w:r>
            <w:r w:rsidR="00714110">
              <w:rPr>
                <w:rFonts w:eastAsia="MS Mincho"/>
              </w:rPr>
              <w:t>.</w:t>
            </w:r>
          </w:p>
        </w:tc>
        <w:tc>
          <w:tcPr>
            <w:tcW w:w="832" w:type="pct"/>
          </w:tcPr>
          <w:p w:rsidR="00130CFF" w:rsidRPr="00130CFF" w:rsidRDefault="00130CFF" w:rsidP="00A71365">
            <w:pPr>
              <w:pStyle w:val="Tablewriting"/>
              <w:rPr>
                <w:rFonts w:eastAsia="MS Mincho"/>
              </w:rPr>
            </w:pPr>
            <w:r w:rsidRPr="00130CFF">
              <w:rPr>
                <w:rFonts w:eastAsia="MS Mincho"/>
                <w:u w:val="single"/>
              </w:rPr>
              <w:t>Efficacy:</w:t>
            </w:r>
            <w:r w:rsidRPr="00130CFF">
              <w:rPr>
                <w:rFonts w:eastAsia="MS Mincho"/>
              </w:rPr>
              <w:t xml:space="preserve"> prolonged abstinence at 6 months. Validated at weeks 2, 8 by CO </w:t>
            </w:r>
            <w:r w:rsidR="005B1423" w:rsidRPr="00D96BA4">
              <w:rPr>
                <w:rFonts w:eastAsia="MS Mincho"/>
              </w:rPr>
              <w:t>≤</w:t>
            </w:r>
            <w:r w:rsidRPr="00130CFF">
              <w:rPr>
                <w:rFonts w:eastAsia="MS Mincho"/>
              </w:rPr>
              <w:t xml:space="preserve"> 10 ppm</w:t>
            </w:r>
          </w:p>
          <w:p w:rsidR="00E30B27" w:rsidRPr="00061F78" w:rsidRDefault="00130CFF" w:rsidP="00A71365">
            <w:pPr>
              <w:pStyle w:val="Tablewriting"/>
              <w:rPr>
                <w:rFonts w:eastAsia="MS Mincho"/>
              </w:rPr>
            </w:pPr>
            <w:r w:rsidRPr="00130CFF">
              <w:rPr>
                <w:rFonts w:eastAsia="MS Mincho"/>
                <w:u w:val="single"/>
              </w:rPr>
              <w:t>Safety:</w:t>
            </w:r>
            <w:r w:rsidRPr="00130CFF">
              <w:rPr>
                <w:rFonts w:eastAsia="MS Mincho"/>
              </w:rPr>
              <w:t xml:space="preserve"> measured for 12 weeks</w:t>
            </w:r>
            <w:r w:rsidR="00714110">
              <w:rPr>
                <w:rFonts w:eastAsia="MS Mincho"/>
              </w:rPr>
              <w:t>.</w:t>
            </w:r>
          </w:p>
        </w:tc>
      </w:tr>
      <w:tr w:rsidR="00E30B27" w:rsidRPr="00061F78" w:rsidTr="004529B1">
        <w:trPr>
          <w:trHeight w:val="149"/>
        </w:trPr>
        <w:tc>
          <w:tcPr>
            <w:tcW w:w="565" w:type="pct"/>
          </w:tcPr>
          <w:p w:rsidR="00E30B27" w:rsidRPr="00541274" w:rsidRDefault="00D05A51" w:rsidP="00A71365">
            <w:pPr>
              <w:pStyle w:val="Tablewriting"/>
              <w:rPr>
                <w:rFonts w:eastAsia="MS Mincho"/>
              </w:rPr>
            </w:pPr>
            <w:r w:rsidRPr="00866DE0">
              <w:rPr>
                <w:rFonts w:eastAsia="MS Mincho"/>
              </w:rPr>
              <w:t xml:space="preserve">Holt </w:t>
            </w:r>
            <w:r w:rsidR="0065538B">
              <w:rPr>
                <w:rFonts w:eastAsia="MS Mincho"/>
              </w:rPr>
              <w:t>(</w:t>
            </w:r>
            <w:r w:rsidRPr="00866DE0">
              <w:rPr>
                <w:rFonts w:eastAsia="MS Mincho"/>
              </w:rPr>
              <w:t>2005</w:t>
            </w:r>
            <w:r w:rsidR="0065538B">
              <w:rPr>
                <w:rFonts w:eastAsia="MS Mincho"/>
              </w:rPr>
              <w:t>)</w:t>
            </w:r>
          </w:p>
        </w:tc>
        <w:tc>
          <w:tcPr>
            <w:tcW w:w="238" w:type="pct"/>
          </w:tcPr>
          <w:p w:rsidR="00E30B27" w:rsidRDefault="00D0432F" w:rsidP="00A71365">
            <w:pPr>
              <w:pStyle w:val="Tablewriting"/>
              <w:rPr>
                <w:rFonts w:eastAsia="MS Mincho"/>
              </w:rPr>
            </w:pPr>
            <w:r>
              <w:rPr>
                <w:rFonts w:eastAsia="MS Mincho"/>
              </w:rPr>
              <w:t>RCT</w:t>
            </w:r>
          </w:p>
        </w:tc>
        <w:tc>
          <w:tcPr>
            <w:tcW w:w="420" w:type="pct"/>
          </w:tcPr>
          <w:p w:rsidR="0035253E" w:rsidRPr="00061F78" w:rsidRDefault="00D0432F" w:rsidP="00A71365">
            <w:pPr>
              <w:pStyle w:val="Tablewriting"/>
              <w:rPr>
                <w:rFonts w:eastAsia="MS Mincho"/>
              </w:rPr>
            </w:pPr>
            <w:r>
              <w:rPr>
                <w:rFonts w:eastAsia="MS Mincho"/>
              </w:rPr>
              <w:t>New Zealand</w:t>
            </w:r>
          </w:p>
        </w:tc>
        <w:tc>
          <w:tcPr>
            <w:tcW w:w="449" w:type="pct"/>
          </w:tcPr>
          <w:p w:rsidR="00E30B27" w:rsidRPr="00061F78" w:rsidRDefault="00D0432F" w:rsidP="00A71365">
            <w:pPr>
              <w:pStyle w:val="Tablewriting"/>
              <w:rPr>
                <w:rFonts w:eastAsia="MS Mincho"/>
              </w:rPr>
            </w:pPr>
            <w:r>
              <w:rPr>
                <w:rFonts w:eastAsia="MS Mincho"/>
              </w:rPr>
              <w:t>N=</w:t>
            </w:r>
            <w:r w:rsidR="00302EAB">
              <w:rPr>
                <w:rFonts w:eastAsia="MS Mincho"/>
              </w:rPr>
              <w:t>134</w:t>
            </w:r>
          </w:p>
        </w:tc>
        <w:tc>
          <w:tcPr>
            <w:tcW w:w="1271" w:type="pct"/>
          </w:tcPr>
          <w:p w:rsidR="00E30B27" w:rsidRPr="00061F78" w:rsidRDefault="00302EAB" w:rsidP="00A71365">
            <w:pPr>
              <w:pStyle w:val="Tablewriting"/>
              <w:rPr>
                <w:rFonts w:eastAsia="MS Mincho"/>
              </w:rPr>
            </w:pPr>
            <w:r w:rsidRPr="00302EAB">
              <w:rPr>
                <w:rFonts w:eastAsia="MS Mincho"/>
              </w:rPr>
              <w:t>72% female</w:t>
            </w:r>
            <w:r w:rsidR="00803D0E">
              <w:rPr>
                <w:rFonts w:eastAsia="MS Mincho"/>
              </w:rPr>
              <w:t>,</w:t>
            </w:r>
            <w:r w:rsidRPr="00302EAB">
              <w:rPr>
                <w:rFonts w:eastAsia="MS Mincho"/>
              </w:rPr>
              <w:t xml:space="preserve"> average age 42/38</w:t>
            </w:r>
            <w:r w:rsidR="00803D0E">
              <w:rPr>
                <w:rFonts w:eastAsia="MS Mincho"/>
              </w:rPr>
              <w:t xml:space="preserve"> years</w:t>
            </w:r>
          </w:p>
        </w:tc>
        <w:tc>
          <w:tcPr>
            <w:tcW w:w="1224" w:type="pct"/>
          </w:tcPr>
          <w:p w:rsidR="00302EAB" w:rsidRPr="00302EAB" w:rsidRDefault="00302EAB" w:rsidP="00C324F3">
            <w:pPr>
              <w:pStyle w:val="Tablewriting"/>
              <w:numPr>
                <w:ilvl w:val="0"/>
                <w:numId w:val="29"/>
              </w:numPr>
              <w:rPr>
                <w:rFonts w:eastAsia="MS Mincho"/>
              </w:rPr>
            </w:pPr>
            <w:r w:rsidRPr="00302EAB">
              <w:rPr>
                <w:rFonts w:eastAsia="MS Mincho"/>
              </w:rPr>
              <w:t>Bupropion, 300 mg/day for 7 weeks</w:t>
            </w:r>
          </w:p>
          <w:p w:rsidR="00302EAB" w:rsidRPr="00302EAB" w:rsidRDefault="00302EAB" w:rsidP="00C324F3">
            <w:pPr>
              <w:pStyle w:val="Tablewriting"/>
              <w:numPr>
                <w:ilvl w:val="0"/>
                <w:numId w:val="29"/>
              </w:numPr>
              <w:rPr>
                <w:rFonts w:eastAsia="MS Mincho"/>
              </w:rPr>
            </w:pPr>
            <w:r w:rsidRPr="00302EAB">
              <w:rPr>
                <w:rFonts w:eastAsia="MS Mincho"/>
              </w:rPr>
              <w:t>Placebo</w:t>
            </w:r>
          </w:p>
          <w:p w:rsidR="00302EAB" w:rsidRDefault="00302EAB" w:rsidP="00A71365">
            <w:pPr>
              <w:pStyle w:val="Tablewriting"/>
              <w:rPr>
                <w:rFonts w:eastAsia="MS Mincho"/>
              </w:rPr>
            </w:pPr>
          </w:p>
          <w:p w:rsidR="00E30B27" w:rsidRPr="00061F78" w:rsidRDefault="00302EAB" w:rsidP="00A71365">
            <w:pPr>
              <w:pStyle w:val="Tablewriting"/>
              <w:rPr>
                <w:rFonts w:eastAsia="MS Mincho"/>
              </w:rPr>
            </w:pPr>
            <w:r w:rsidRPr="00302EAB">
              <w:rPr>
                <w:rFonts w:eastAsia="MS Mincho"/>
                <w:u w:val="single"/>
              </w:rPr>
              <w:t>Common components</w:t>
            </w:r>
            <w:r w:rsidRPr="00302EAB">
              <w:rPr>
                <w:rFonts w:eastAsia="MS Mincho"/>
              </w:rPr>
              <w:t xml:space="preserve">: counselling at 3 clinic visits during medication and 3 </w:t>
            </w:r>
            <w:r w:rsidRPr="00302EAB">
              <w:rPr>
                <w:rFonts w:eastAsia="MS Mincho"/>
              </w:rPr>
              <w:lastRenderedPageBreak/>
              <w:t>monthly follow-ups,</w:t>
            </w:r>
            <w:r>
              <w:rPr>
                <w:rFonts w:eastAsia="MS Mincho"/>
              </w:rPr>
              <w:t xml:space="preserve"> </w:t>
            </w:r>
            <w:r w:rsidRPr="00302EAB">
              <w:rPr>
                <w:rFonts w:eastAsia="MS Mincho"/>
              </w:rPr>
              <w:t>motivational</w:t>
            </w:r>
            <w:r>
              <w:rPr>
                <w:rFonts w:eastAsia="MS Mincho"/>
              </w:rPr>
              <w:t xml:space="preserve"> </w:t>
            </w:r>
            <w:r w:rsidRPr="00302EAB">
              <w:rPr>
                <w:rFonts w:eastAsia="MS Mincho"/>
              </w:rPr>
              <w:t>phone call 1 day before and 2 days after TQD</w:t>
            </w:r>
            <w:r w:rsidR="00714110">
              <w:rPr>
                <w:rFonts w:eastAsia="MS Mincho"/>
              </w:rPr>
              <w:t>.</w:t>
            </w:r>
          </w:p>
        </w:tc>
        <w:tc>
          <w:tcPr>
            <w:tcW w:w="832" w:type="pct"/>
          </w:tcPr>
          <w:p w:rsidR="00302EAB" w:rsidRPr="00302EAB" w:rsidRDefault="00302EAB" w:rsidP="00A71365">
            <w:pPr>
              <w:pStyle w:val="Tablewriting"/>
              <w:rPr>
                <w:rFonts w:eastAsia="MS Mincho"/>
              </w:rPr>
            </w:pPr>
            <w:r w:rsidRPr="00302EAB">
              <w:rPr>
                <w:rFonts w:eastAsia="MS Mincho"/>
                <w:u w:val="single"/>
              </w:rPr>
              <w:lastRenderedPageBreak/>
              <w:t>Efficacy:</w:t>
            </w:r>
            <w:r w:rsidRPr="00302EAB">
              <w:rPr>
                <w:rFonts w:eastAsia="MS Mincho"/>
              </w:rPr>
              <w:t xml:space="preserve"> continuous abstinence at 12 months. Validated by CO at each</w:t>
            </w:r>
            <w:r>
              <w:rPr>
                <w:rFonts w:eastAsia="MS Mincho"/>
              </w:rPr>
              <w:t xml:space="preserve"> </w:t>
            </w:r>
            <w:r w:rsidRPr="00302EAB">
              <w:rPr>
                <w:rFonts w:eastAsia="MS Mincho"/>
              </w:rPr>
              <w:t>visit</w:t>
            </w:r>
          </w:p>
          <w:p w:rsidR="00E30B27" w:rsidRPr="00061F78" w:rsidRDefault="00302EAB" w:rsidP="00A71365">
            <w:pPr>
              <w:pStyle w:val="Tablewriting"/>
              <w:rPr>
                <w:rFonts w:eastAsia="MS Mincho"/>
              </w:rPr>
            </w:pPr>
            <w:r w:rsidRPr="00302EAB">
              <w:rPr>
                <w:rFonts w:eastAsia="MS Mincho"/>
                <w:u w:val="single"/>
              </w:rPr>
              <w:lastRenderedPageBreak/>
              <w:t>Safety:</w:t>
            </w:r>
            <w:r w:rsidRPr="00302EAB">
              <w:rPr>
                <w:rFonts w:eastAsia="MS Mincho"/>
              </w:rPr>
              <w:t xml:space="preserve"> measured for 12 months</w:t>
            </w:r>
            <w:r w:rsidR="00714110">
              <w:rPr>
                <w:rFonts w:eastAsia="MS Mincho"/>
              </w:rPr>
              <w:t>.</w:t>
            </w:r>
          </w:p>
        </w:tc>
      </w:tr>
      <w:tr w:rsidR="00E30B27" w:rsidRPr="00061F78" w:rsidTr="004529B1">
        <w:trPr>
          <w:trHeight w:val="149"/>
        </w:trPr>
        <w:tc>
          <w:tcPr>
            <w:tcW w:w="565" w:type="pct"/>
          </w:tcPr>
          <w:p w:rsidR="00E30B27" w:rsidRPr="00541274" w:rsidRDefault="00D05A51" w:rsidP="00A71365">
            <w:pPr>
              <w:pStyle w:val="Tablewriting"/>
              <w:rPr>
                <w:rFonts w:eastAsia="MS Mincho"/>
              </w:rPr>
            </w:pPr>
            <w:r w:rsidRPr="00866DE0">
              <w:rPr>
                <w:rFonts w:eastAsia="MS Mincho"/>
              </w:rPr>
              <w:lastRenderedPageBreak/>
              <w:t xml:space="preserve">Hurt </w:t>
            </w:r>
            <w:r w:rsidR="0065538B">
              <w:rPr>
                <w:rFonts w:eastAsia="MS Mincho"/>
              </w:rPr>
              <w:t>(</w:t>
            </w:r>
            <w:r w:rsidRPr="00866DE0">
              <w:rPr>
                <w:rFonts w:eastAsia="MS Mincho"/>
              </w:rPr>
              <w:t>1997</w:t>
            </w:r>
            <w:r w:rsidR="0065538B">
              <w:rPr>
                <w:rFonts w:eastAsia="MS Mincho"/>
              </w:rPr>
              <w:t>)</w:t>
            </w:r>
          </w:p>
        </w:tc>
        <w:tc>
          <w:tcPr>
            <w:tcW w:w="238" w:type="pct"/>
          </w:tcPr>
          <w:p w:rsidR="00E30B27" w:rsidRDefault="00342971" w:rsidP="00A71365">
            <w:pPr>
              <w:pStyle w:val="Tablewriting"/>
              <w:rPr>
                <w:rFonts w:eastAsia="MS Mincho"/>
              </w:rPr>
            </w:pPr>
            <w:r>
              <w:rPr>
                <w:rFonts w:eastAsia="MS Mincho"/>
              </w:rPr>
              <w:t>RCT</w:t>
            </w:r>
          </w:p>
        </w:tc>
        <w:tc>
          <w:tcPr>
            <w:tcW w:w="420" w:type="pct"/>
          </w:tcPr>
          <w:p w:rsidR="0035253E" w:rsidRPr="00061F78" w:rsidRDefault="00342971" w:rsidP="00A71365">
            <w:pPr>
              <w:pStyle w:val="Tablewriting"/>
              <w:rPr>
                <w:rFonts w:eastAsia="MS Mincho"/>
              </w:rPr>
            </w:pPr>
            <w:r>
              <w:rPr>
                <w:rFonts w:eastAsia="MS Mincho"/>
              </w:rPr>
              <w:t>USA</w:t>
            </w:r>
          </w:p>
        </w:tc>
        <w:tc>
          <w:tcPr>
            <w:tcW w:w="449" w:type="pct"/>
          </w:tcPr>
          <w:p w:rsidR="00E30B27" w:rsidRPr="00061F78" w:rsidRDefault="00342971" w:rsidP="00A71365">
            <w:pPr>
              <w:pStyle w:val="Tablewriting"/>
              <w:rPr>
                <w:rFonts w:eastAsia="MS Mincho"/>
              </w:rPr>
            </w:pPr>
            <w:r>
              <w:rPr>
                <w:rFonts w:eastAsia="MS Mincho"/>
              </w:rPr>
              <w:t>N=</w:t>
            </w:r>
            <w:r w:rsidR="00E12C0A">
              <w:rPr>
                <w:rFonts w:eastAsia="MS Mincho"/>
              </w:rPr>
              <w:t>615</w:t>
            </w:r>
          </w:p>
        </w:tc>
        <w:tc>
          <w:tcPr>
            <w:tcW w:w="1271" w:type="pct"/>
          </w:tcPr>
          <w:p w:rsidR="00E30B27" w:rsidRPr="00061F78" w:rsidRDefault="00E12C0A" w:rsidP="00A71365">
            <w:pPr>
              <w:pStyle w:val="Tablewriting"/>
              <w:rPr>
                <w:rFonts w:eastAsia="MS Mincho"/>
              </w:rPr>
            </w:pPr>
            <w:r>
              <w:rPr>
                <w:rFonts w:eastAsia="MS Mincho"/>
              </w:rPr>
              <w:t>S</w:t>
            </w:r>
            <w:r w:rsidRPr="00E12C0A">
              <w:rPr>
                <w:rFonts w:eastAsia="MS Mincho"/>
              </w:rPr>
              <w:t>mokers; 55% female</w:t>
            </w:r>
            <w:r w:rsidR="00803D0E">
              <w:rPr>
                <w:rFonts w:eastAsia="MS Mincho"/>
              </w:rPr>
              <w:t>,</w:t>
            </w:r>
            <w:r w:rsidRPr="00E12C0A">
              <w:rPr>
                <w:rFonts w:eastAsia="MS Mincho"/>
              </w:rPr>
              <w:t xml:space="preserve"> average age 44</w:t>
            </w:r>
            <w:r w:rsidR="00803D0E">
              <w:rPr>
                <w:rFonts w:eastAsia="MS Mincho"/>
              </w:rPr>
              <w:t xml:space="preserve"> years,</w:t>
            </w:r>
            <w:r w:rsidRPr="00E12C0A">
              <w:rPr>
                <w:rFonts w:eastAsia="MS Mincho"/>
              </w:rPr>
              <w:t xml:space="preserve"> average cigarettes per day 27</w:t>
            </w:r>
          </w:p>
        </w:tc>
        <w:tc>
          <w:tcPr>
            <w:tcW w:w="1224" w:type="pct"/>
          </w:tcPr>
          <w:p w:rsidR="00F36C6A" w:rsidRPr="00F36C6A" w:rsidRDefault="00F36C6A" w:rsidP="00C324F3">
            <w:pPr>
              <w:pStyle w:val="Tablewriting"/>
              <w:numPr>
                <w:ilvl w:val="0"/>
                <w:numId w:val="30"/>
              </w:numPr>
              <w:rPr>
                <w:rFonts w:eastAsia="MS Mincho"/>
              </w:rPr>
            </w:pPr>
            <w:r w:rsidRPr="00F36C6A">
              <w:rPr>
                <w:rFonts w:eastAsia="MS Mincho"/>
              </w:rPr>
              <w:t>Bupropion,100 mg/day for 7 weeks</w:t>
            </w:r>
          </w:p>
          <w:p w:rsidR="00F36C6A" w:rsidRPr="00F36C6A" w:rsidRDefault="00F36C6A" w:rsidP="00C324F3">
            <w:pPr>
              <w:pStyle w:val="Tablewriting"/>
              <w:numPr>
                <w:ilvl w:val="0"/>
                <w:numId w:val="30"/>
              </w:numPr>
              <w:rPr>
                <w:rFonts w:eastAsia="MS Mincho"/>
              </w:rPr>
            </w:pPr>
            <w:r w:rsidRPr="00F36C6A">
              <w:rPr>
                <w:rFonts w:eastAsia="MS Mincho"/>
              </w:rPr>
              <w:t>Bupropion, 150 mg/day</w:t>
            </w:r>
          </w:p>
          <w:p w:rsidR="00F36C6A" w:rsidRPr="00F36C6A" w:rsidRDefault="00F36C6A" w:rsidP="00C324F3">
            <w:pPr>
              <w:pStyle w:val="Tablewriting"/>
              <w:numPr>
                <w:ilvl w:val="0"/>
                <w:numId w:val="30"/>
              </w:numPr>
              <w:rPr>
                <w:rFonts w:eastAsia="MS Mincho"/>
              </w:rPr>
            </w:pPr>
            <w:r w:rsidRPr="00F36C6A">
              <w:rPr>
                <w:rFonts w:eastAsia="MS Mincho"/>
              </w:rPr>
              <w:t>Bupropion, 300 mg/day</w:t>
            </w:r>
          </w:p>
          <w:p w:rsidR="00F36C6A" w:rsidRPr="00F36C6A" w:rsidRDefault="00F36C6A" w:rsidP="00C324F3">
            <w:pPr>
              <w:pStyle w:val="Tablewriting"/>
              <w:numPr>
                <w:ilvl w:val="0"/>
                <w:numId w:val="30"/>
              </w:numPr>
              <w:rPr>
                <w:rFonts w:eastAsia="MS Mincho"/>
              </w:rPr>
            </w:pPr>
            <w:r w:rsidRPr="00F36C6A">
              <w:rPr>
                <w:rFonts w:eastAsia="MS Mincho"/>
              </w:rPr>
              <w:t>Placebo</w:t>
            </w:r>
          </w:p>
          <w:p w:rsidR="00F36C6A" w:rsidRDefault="00F36C6A" w:rsidP="00A71365">
            <w:pPr>
              <w:pStyle w:val="Tablewriting"/>
              <w:rPr>
                <w:rFonts w:eastAsia="MS Mincho"/>
              </w:rPr>
            </w:pPr>
          </w:p>
          <w:p w:rsidR="00E30B27" w:rsidRPr="00061F78" w:rsidRDefault="00F36C6A" w:rsidP="00A71365">
            <w:pPr>
              <w:pStyle w:val="Tablewriting"/>
              <w:rPr>
                <w:rFonts w:eastAsia="MS Mincho"/>
              </w:rPr>
            </w:pPr>
            <w:r w:rsidRPr="00F36C6A">
              <w:rPr>
                <w:rFonts w:eastAsia="MS Mincho"/>
                <w:u w:val="single"/>
              </w:rPr>
              <w:t>Common components</w:t>
            </w:r>
            <w:r w:rsidRPr="00F36C6A">
              <w:rPr>
                <w:rFonts w:eastAsia="MS Mincho"/>
              </w:rPr>
              <w:t>:</w:t>
            </w:r>
            <w:r>
              <w:rPr>
                <w:rFonts w:eastAsia="MS Mincho"/>
              </w:rPr>
              <w:t xml:space="preserve"> </w:t>
            </w:r>
            <w:r w:rsidRPr="00F36C6A">
              <w:rPr>
                <w:rFonts w:eastAsia="MS Mincho"/>
              </w:rPr>
              <w:t>physician advice, S-H materials, and brief individual counselling by study assistant</w:t>
            </w:r>
            <w:r>
              <w:rPr>
                <w:rFonts w:eastAsia="MS Mincho"/>
              </w:rPr>
              <w:t xml:space="preserve"> </w:t>
            </w:r>
            <w:r w:rsidRPr="00F36C6A">
              <w:rPr>
                <w:rFonts w:eastAsia="MS Mincho"/>
              </w:rPr>
              <w:t>at each visit</w:t>
            </w:r>
            <w:r w:rsidR="00714110">
              <w:rPr>
                <w:rFonts w:eastAsia="MS Mincho"/>
              </w:rPr>
              <w:t>.</w:t>
            </w:r>
          </w:p>
        </w:tc>
        <w:tc>
          <w:tcPr>
            <w:tcW w:w="832" w:type="pct"/>
          </w:tcPr>
          <w:p w:rsidR="0004753B" w:rsidRPr="0004753B" w:rsidRDefault="0004753B" w:rsidP="00A71365">
            <w:pPr>
              <w:pStyle w:val="Tablewriting"/>
              <w:rPr>
                <w:rFonts w:eastAsia="MS Mincho"/>
              </w:rPr>
            </w:pPr>
            <w:r w:rsidRPr="0004753B">
              <w:rPr>
                <w:rFonts w:eastAsia="MS Mincho"/>
                <w:u w:val="single"/>
              </w:rPr>
              <w:t>Efficacy:</w:t>
            </w:r>
            <w:r w:rsidRPr="0004753B">
              <w:rPr>
                <w:rFonts w:eastAsia="MS Mincho"/>
              </w:rPr>
              <w:t xml:space="preserve"> prolonged abstinence at 12 months (starting from day 22). Validated by CO </w:t>
            </w:r>
            <w:r w:rsidR="005B1423" w:rsidRPr="00D96BA4">
              <w:rPr>
                <w:rFonts w:eastAsia="MS Mincho"/>
              </w:rPr>
              <w:t>≤</w:t>
            </w:r>
            <w:r w:rsidRPr="0004753B">
              <w:rPr>
                <w:rFonts w:eastAsia="MS Mincho"/>
              </w:rPr>
              <w:t xml:space="preserve"> 10</w:t>
            </w:r>
            <w:r>
              <w:rPr>
                <w:rFonts w:eastAsia="MS Mincho"/>
              </w:rPr>
              <w:t xml:space="preserve"> </w:t>
            </w:r>
            <w:r w:rsidRPr="0004753B">
              <w:rPr>
                <w:rFonts w:eastAsia="MS Mincho"/>
              </w:rPr>
              <w:t>ppm</w:t>
            </w:r>
          </w:p>
          <w:p w:rsidR="00E30B27" w:rsidRPr="00061F78" w:rsidRDefault="0004753B" w:rsidP="00A71365">
            <w:pPr>
              <w:pStyle w:val="Tablewriting"/>
              <w:rPr>
                <w:rFonts w:eastAsia="MS Mincho"/>
              </w:rPr>
            </w:pPr>
            <w:r w:rsidRPr="0004753B">
              <w:rPr>
                <w:rFonts w:eastAsia="MS Mincho"/>
                <w:u w:val="single"/>
              </w:rPr>
              <w:t>Safety</w:t>
            </w:r>
            <w:r w:rsidRPr="0004753B">
              <w:rPr>
                <w:rFonts w:eastAsia="MS Mincho"/>
              </w:rPr>
              <w:t>: measured for 52 weeks</w:t>
            </w:r>
            <w:r w:rsidR="00714110">
              <w:rPr>
                <w:rFonts w:eastAsia="MS Mincho"/>
              </w:rPr>
              <w:t>.</w:t>
            </w:r>
          </w:p>
        </w:tc>
      </w:tr>
      <w:tr w:rsidR="00E30B27" w:rsidRPr="00061F78" w:rsidTr="004529B1">
        <w:trPr>
          <w:trHeight w:val="149"/>
        </w:trPr>
        <w:tc>
          <w:tcPr>
            <w:tcW w:w="565" w:type="pct"/>
          </w:tcPr>
          <w:p w:rsidR="00E30B27" w:rsidRPr="00541274" w:rsidRDefault="00D05A51" w:rsidP="00A71365">
            <w:pPr>
              <w:pStyle w:val="Tablewriting"/>
              <w:rPr>
                <w:rFonts w:eastAsia="MS Mincho"/>
              </w:rPr>
            </w:pPr>
            <w:r w:rsidRPr="00866DE0">
              <w:rPr>
                <w:rFonts w:eastAsia="MS Mincho"/>
              </w:rPr>
              <w:t xml:space="preserve">Jorenby </w:t>
            </w:r>
            <w:r w:rsidR="0065538B">
              <w:rPr>
                <w:rFonts w:eastAsia="MS Mincho"/>
              </w:rPr>
              <w:t>(</w:t>
            </w:r>
            <w:r w:rsidRPr="00866DE0">
              <w:rPr>
                <w:rFonts w:eastAsia="MS Mincho"/>
              </w:rPr>
              <w:t>1999</w:t>
            </w:r>
            <w:r w:rsidR="0065538B">
              <w:rPr>
                <w:rFonts w:eastAsia="MS Mincho"/>
              </w:rPr>
              <w:t>)</w:t>
            </w:r>
          </w:p>
        </w:tc>
        <w:tc>
          <w:tcPr>
            <w:tcW w:w="238" w:type="pct"/>
          </w:tcPr>
          <w:p w:rsidR="00E30B27" w:rsidRDefault="009A2AB8" w:rsidP="00A71365">
            <w:pPr>
              <w:pStyle w:val="Tablewriting"/>
              <w:rPr>
                <w:rFonts w:eastAsia="MS Mincho"/>
              </w:rPr>
            </w:pPr>
            <w:r>
              <w:rPr>
                <w:rFonts w:eastAsia="MS Mincho"/>
              </w:rPr>
              <w:t>RCT</w:t>
            </w:r>
          </w:p>
        </w:tc>
        <w:tc>
          <w:tcPr>
            <w:tcW w:w="420" w:type="pct"/>
          </w:tcPr>
          <w:p w:rsidR="0035253E" w:rsidRPr="00061F78" w:rsidRDefault="009A2AB8" w:rsidP="00A71365">
            <w:pPr>
              <w:pStyle w:val="Tablewriting"/>
              <w:rPr>
                <w:rFonts w:eastAsia="MS Mincho"/>
              </w:rPr>
            </w:pPr>
            <w:r>
              <w:rPr>
                <w:rFonts w:eastAsia="MS Mincho"/>
              </w:rPr>
              <w:t>USA</w:t>
            </w:r>
          </w:p>
        </w:tc>
        <w:tc>
          <w:tcPr>
            <w:tcW w:w="449" w:type="pct"/>
          </w:tcPr>
          <w:p w:rsidR="00E30B27" w:rsidRPr="00061F78" w:rsidRDefault="0014446B" w:rsidP="00A71365">
            <w:pPr>
              <w:pStyle w:val="Tablewriting"/>
              <w:rPr>
                <w:rFonts w:eastAsia="MS Mincho"/>
              </w:rPr>
            </w:pPr>
            <w:r>
              <w:rPr>
                <w:rFonts w:eastAsia="MS Mincho"/>
              </w:rPr>
              <w:t>N=</w:t>
            </w:r>
            <w:r w:rsidR="008B7B32">
              <w:rPr>
                <w:rFonts w:eastAsia="MS Mincho"/>
              </w:rPr>
              <w:t>893</w:t>
            </w:r>
          </w:p>
        </w:tc>
        <w:tc>
          <w:tcPr>
            <w:tcW w:w="1271" w:type="pct"/>
          </w:tcPr>
          <w:p w:rsidR="00E30B27" w:rsidRPr="00061F78" w:rsidRDefault="0014446B" w:rsidP="00A71365">
            <w:pPr>
              <w:pStyle w:val="Tablewriting"/>
              <w:rPr>
                <w:rFonts w:eastAsia="MS Mincho"/>
              </w:rPr>
            </w:pPr>
            <w:r>
              <w:rPr>
                <w:rFonts w:eastAsia="MS Mincho"/>
              </w:rPr>
              <w:t>S</w:t>
            </w:r>
            <w:r w:rsidRPr="0014446B">
              <w:rPr>
                <w:rFonts w:eastAsia="MS Mincho"/>
              </w:rPr>
              <w:t>mokers</w:t>
            </w:r>
            <w:r w:rsidR="00E26655">
              <w:rPr>
                <w:rFonts w:eastAsia="MS Mincho"/>
              </w:rPr>
              <w:t>,</w:t>
            </w:r>
            <w:r w:rsidRPr="0014446B">
              <w:rPr>
                <w:rFonts w:eastAsia="MS Mincho"/>
              </w:rPr>
              <w:t xml:space="preserve"> 52% female</w:t>
            </w:r>
            <w:r w:rsidR="00E26655">
              <w:rPr>
                <w:rFonts w:eastAsia="MS Mincho"/>
              </w:rPr>
              <w:t>,</w:t>
            </w:r>
            <w:r w:rsidRPr="0014446B">
              <w:rPr>
                <w:rFonts w:eastAsia="MS Mincho"/>
              </w:rPr>
              <w:t xml:space="preserve"> average age 43</w:t>
            </w:r>
            <w:r w:rsidR="00E26655">
              <w:rPr>
                <w:rFonts w:eastAsia="MS Mincho"/>
              </w:rPr>
              <w:t xml:space="preserve"> years,</w:t>
            </w:r>
            <w:r w:rsidRPr="0014446B">
              <w:rPr>
                <w:rFonts w:eastAsia="MS Mincho"/>
              </w:rPr>
              <w:t xml:space="preserve"> average cigarettes per day 25</w:t>
            </w:r>
          </w:p>
        </w:tc>
        <w:tc>
          <w:tcPr>
            <w:tcW w:w="1224" w:type="pct"/>
          </w:tcPr>
          <w:p w:rsidR="00A842BF" w:rsidRDefault="00A842BF" w:rsidP="00C324F3">
            <w:pPr>
              <w:pStyle w:val="Tablewriting"/>
              <w:numPr>
                <w:ilvl w:val="0"/>
                <w:numId w:val="31"/>
              </w:numPr>
              <w:rPr>
                <w:rFonts w:eastAsia="MS Mincho"/>
              </w:rPr>
            </w:pPr>
            <w:r w:rsidRPr="00A842BF">
              <w:rPr>
                <w:rFonts w:eastAsia="MS Mincho"/>
              </w:rPr>
              <w:t>Nicotine patch and bupropion SR. Nicotine patch dosing and schedule 24 hr, 21 mg for 6 weeks, tapered</w:t>
            </w:r>
            <w:r>
              <w:rPr>
                <w:rFonts w:eastAsia="MS Mincho"/>
              </w:rPr>
              <w:t xml:space="preserve"> </w:t>
            </w:r>
            <w:r w:rsidRPr="00A842BF">
              <w:rPr>
                <w:rFonts w:eastAsia="MS Mincho"/>
              </w:rPr>
              <w:t>for 2 weeks. Bupropion dosing and schedule was 300 mg for 9 weeks from 1 week before quit day</w:t>
            </w:r>
          </w:p>
          <w:p w:rsidR="00A842BF" w:rsidRDefault="00A842BF" w:rsidP="00C324F3">
            <w:pPr>
              <w:pStyle w:val="Tablewriting"/>
              <w:numPr>
                <w:ilvl w:val="0"/>
                <w:numId w:val="31"/>
              </w:numPr>
              <w:rPr>
                <w:rFonts w:eastAsia="MS Mincho"/>
              </w:rPr>
            </w:pPr>
            <w:r w:rsidRPr="00A842BF">
              <w:rPr>
                <w:rFonts w:eastAsia="MS Mincho"/>
              </w:rPr>
              <w:t>Bupropion and placebo patch</w:t>
            </w:r>
          </w:p>
          <w:p w:rsidR="00A842BF" w:rsidRDefault="00A842BF" w:rsidP="00C324F3">
            <w:pPr>
              <w:pStyle w:val="Tablewriting"/>
              <w:numPr>
                <w:ilvl w:val="0"/>
                <w:numId w:val="31"/>
              </w:numPr>
              <w:rPr>
                <w:rFonts w:eastAsia="MS Mincho"/>
              </w:rPr>
            </w:pPr>
            <w:r w:rsidRPr="00A842BF">
              <w:rPr>
                <w:rFonts w:eastAsia="MS Mincho"/>
              </w:rPr>
              <w:t>Nicotine patch and placebo tablets</w:t>
            </w:r>
          </w:p>
          <w:p w:rsidR="00A842BF" w:rsidRPr="00A842BF" w:rsidRDefault="00A842BF" w:rsidP="00C324F3">
            <w:pPr>
              <w:pStyle w:val="Tablewriting"/>
              <w:numPr>
                <w:ilvl w:val="0"/>
                <w:numId w:val="31"/>
              </w:numPr>
              <w:rPr>
                <w:rFonts w:eastAsia="MS Mincho"/>
              </w:rPr>
            </w:pPr>
            <w:r w:rsidRPr="00A842BF">
              <w:rPr>
                <w:rFonts w:eastAsia="MS Mincho"/>
              </w:rPr>
              <w:t>Placebo patch and placebo tablets</w:t>
            </w:r>
          </w:p>
          <w:p w:rsidR="00A842BF" w:rsidRDefault="00A842BF" w:rsidP="00A71365">
            <w:pPr>
              <w:pStyle w:val="Tablewriting"/>
              <w:rPr>
                <w:rFonts w:eastAsia="MS Mincho"/>
              </w:rPr>
            </w:pPr>
          </w:p>
          <w:p w:rsidR="00E30B27" w:rsidRPr="00061F78" w:rsidRDefault="00A842BF" w:rsidP="00A71365">
            <w:pPr>
              <w:pStyle w:val="Tablewriting"/>
              <w:rPr>
                <w:rFonts w:eastAsia="MS Mincho"/>
              </w:rPr>
            </w:pPr>
            <w:r w:rsidRPr="00A842BF">
              <w:rPr>
                <w:rFonts w:eastAsia="MS Mincho"/>
                <w:u w:val="single"/>
              </w:rPr>
              <w:t>Common components:</w:t>
            </w:r>
            <w:r w:rsidRPr="00A842BF">
              <w:rPr>
                <w:rFonts w:eastAsia="MS Mincho"/>
              </w:rPr>
              <w:t xml:space="preserve"> brief (&lt; 15 min) individual counselling session at each weekly assessment. One</w:t>
            </w:r>
            <w:r>
              <w:rPr>
                <w:rFonts w:eastAsia="MS Mincho"/>
              </w:rPr>
              <w:t xml:space="preserve"> </w:t>
            </w:r>
            <w:r w:rsidRPr="00A842BF">
              <w:rPr>
                <w:rFonts w:eastAsia="MS Mincho"/>
              </w:rPr>
              <w:t>telephone call 3 days after quit day</w:t>
            </w:r>
          </w:p>
        </w:tc>
        <w:tc>
          <w:tcPr>
            <w:tcW w:w="832" w:type="pct"/>
          </w:tcPr>
          <w:p w:rsidR="00F93E6F" w:rsidRPr="00F93E6F" w:rsidRDefault="00F93E6F" w:rsidP="00A71365">
            <w:pPr>
              <w:pStyle w:val="Tablewriting"/>
              <w:rPr>
                <w:rFonts w:eastAsia="MS Mincho"/>
              </w:rPr>
            </w:pPr>
            <w:r w:rsidRPr="00F93E6F">
              <w:rPr>
                <w:rFonts w:eastAsia="MS Mincho"/>
                <w:u w:val="single"/>
              </w:rPr>
              <w:t>Efficacy:</w:t>
            </w:r>
            <w:r w:rsidRPr="00F93E6F">
              <w:rPr>
                <w:rFonts w:eastAsia="MS Mincho"/>
              </w:rPr>
              <w:t xml:space="preserve"> continuous </w:t>
            </w:r>
            <w:r w:rsidR="00934C77">
              <w:rPr>
                <w:rFonts w:eastAsia="MS Mincho"/>
              </w:rPr>
              <w:t>PPA</w:t>
            </w:r>
            <w:r w:rsidRPr="00F93E6F">
              <w:rPr>
                <w:rFonts w:eastAsia="MS Mincho"/>
              </w:rPr>
              <w:t xml:space="preserve"> at 12 months. Validated by CO &lt; 10 ppm at each clinic visit</w:t>
            </w:r>
          </w:p>
          <w:p w:rsidR="00E30B27" w:rsidRPr="00061F78" w:rsidRDefault="00F93E6F" w:rsidP="00A71365">
            <w:pPr>
              <w:pStyle w:val="Tablewriting"/>
              <w:rPr>
                <w:rFonts w:eastAsia="MS Mincho"/>
              </w:rPr>
            </w:pPr>
            <w:r w:rsidRPr="00F93E6F">
              <w:rPr>
                <w:rFonts w:eastAsia="MS Mincho"/>
                <w:u w:val="single"/>
              </w:rPr>
              <w:t>Safety:</w:t>
            </w:r>
            <w:r w:rsidRPr="00F93E6F">
              <w:rPr>
                <w:rFonts w:eastAsia="MS Mincho"/>
              </w:rPr>
              <w:t xml:space="preserve"> measured for unspecified period</w:t>
            </w:r>
            <w:r w:rsidR="00714110">
              <w:rPr>
                <w:rFonts w:eastAsia="MS Mincho"/>
              </w:rPr>
              <w:t>.</w:t>
            </w:r>
          </w:p>
        </w:tc>
      </w:tr>
      <w:tr w:rsidR="00E30B27" w:rsidRPr="00061F78" w:rsidTr="004529B1">
        <w:trPr>
          <w:trHeight w:val="149"/>
        </w:trPr>
        <w:tc>
          <w:tcPr>
            <w:tcW w:w="565" w:type="pct"/>
          </w:tcPr>
          <w:p w:rsidR="00E30B27" w:rsidRPr="00541274" w:rsidRDefault="003A2018" w:rsidP="00A71365">
            <w:pPr>
              <w:pStyle w:val="Tablewriting"/>
              <w:rPr>
                <w:rFonts w:eastAsia="MS Mincho"/>
              </w:rPr>
            </w:pPr>
            <w:r w:rsidRPr="00866DE0">
              <w:rPr>
                <w:rFonts w:eastAsia="MS Mincho"/>
              </w:rPr>
              <w:t xml:space="preserve">Jorenby </w:t>
            </w:r>
            <w:r w:rsidR="0065538B">
              <w:rPr>
                <w:rFonts w:eastAsia="MS Mincho"/>
              </w:rPr>
              <w:t>(</w:t>
            </w:r>
            <w:r w:rsidRPr="00866DE0">
              <w:rPr>
                <w:rFonts w:eastAsia="MS Mincho"/>
              </w:rPr>
              <w:t>2006</w:t>
            </w:r>
            <w:r w:rsidR="0065538B">
              <w:rPr>
                <w:rFonts w:eastAsia="MS Mincho"/>
              </w:rPr>
              <w:t>)</w:t>
            </w:r>
          </w:p>
        </w:tc>
        <w:tc>
          <w:tcPr>
            <w:tcW w:w="238" w:type="pct"/>
          </w:tcPr>
          <w:p w:rsidR="00E30B27" w:rsidRDefault="009A2AB8" w:rsidP="00A71365">
            <w:pPr>
              <w:pStyle w:val="Tablewriting"/>
              <w:rPr>
                <w:rFonts w:eastAsia="MS Mincho"/>
              </w:rPr>
            </w:pPr>
            <w:r>
              <w:rPr>
                <w:rFonts w:eastAsia="MS Mincho"/>
              </w:rPr>
              <w:t>RCT</w:t>
            </w:r>
          </w:p>
        </w:tc>
        <w:tc>
          <w:tcPr>
            <w:tcW w:w="420" w:type="pct"/>
          </w:tcPr>
          <w:p w:rsidR="0035253E" w:rsidRPr="00061F78" w:rsidRDefault="009A2AB8" w:rsidP="00A71365">
            <w:pPr>
              <w:pStyle w:val="Tablewriting"/>
              <w:rPr>
                <w:rFonts w:eastAsia="MS Mincho"/>
              </w:rPr>
            </w:pPr>
            <w:r>
              <w:rPr>
                <w:rFonts w:eastAsia="MS Mincho"/>
              </w:rPr>
              <w:t>USA</w:t>
            </w:r>
          </w:p>
        </w:tc>
        <w:tc>
          <w:tcPr>
            <w:tcW w:w="449" w:type="pct"/>
          </w:tcPr>
          <w:p w:rsidR="00E30B27" w:rsidRPr="00061F78" w:rsidRDefault="009A2AB8" w:rsidP="00A71365">
            <w:pPr>
              <w:pStyle w:val="Tablewriting"/>
              <w:rPr>
                <w:rFonts w:eastAsia="MS Mincho"/>
              </w:rPr>
            </w:pPr>
            <w:r>
              <w:rPr>
                <w:rFonts w:eastAsia="MS Mincho"/>
              </w:rPr>
              <w:t>N=</w:t>
            </w:r>
            <w:r w:rsidR="00FC26BE">
              <w:rPr>
                <w:rFonts w:eastAsia="MS Mincho"/>
              </w:rPr>
              <w:t>683</w:t>
            </w:r>
          </w:p>
        </w:tc>
        <w:tc>
          <w:tcPr>
            <w:tcW w:w="1271" w:type="pct"/>
          </w:tcPr>
          <w:p w:rsidR="00FC26BE" w:rsidRPr="00FC26BE" w:rsidRDefault="00FC26BE" w:rsidP="00A71365">
            <w:pPr>
              <w:pStyle w:val="Tablewriting"/>
              <w:rPr>
                <w:rFonts w:eastAsia="MS Mincho"/>
              </w:rPr>
            </w:pPr>
            <w:r>
              <w:rPr>
                <w:rFonts w:eastAsia="MS Mincho"/>
              </w:rPr>
              <w:t>S</w:t>
            </w:r>
            <w:r w:rsidRPr="00FC26BE">
              <w:rPr>
                <w:rFonts w:eastAsia="MS Mincho"/>
              </w:rPr>
              <w:t>mokers (in relevant arms), with prior exposure to bupropion excluded</w:t>
            </w:r>
            <w:r w:rsidR="001B5337">
              <w:rPr>
                <w:rFonts w:eastAsia="MS Mincho"/>
              </w:rPr>
              <w:t>,</w:t>
            </w:r>
            <w:r w:rsidRPr="00FC26BE">
              <w:rPr>
                <w:rFonts w:eastAsia="MS Mincho"/>
              </w:rPr>
              <w:t xml:space="preserve"> 41% female</w:t>
            </w:r>
            <w:r w:rsidR="001B5337">
              <w:rPr>
                <w:rFonts w:eastAsia="MS Mincho"/>
              </w:rPr>
              <w:t>,</w:t>
            </w:r>
            <w:r w:rsidRPr="00FC26BE">
              <w:rPr>
                <w:rFonts w:eastAsia="MS Mincho"/>
              </w:rPr>
              <w:t xml:space="preserve"> average age</w:t>
            </w:r>
          </w:p>
          <w:p w:rsidR="00E30B27" w:rsidRPr="00061F78" w:rsidRDefault="00FC26BE" w:rsidP="00A71365">
            <w:pPr>
              <w:pStyle w:val="Tablewriting"/>
              <w:rPr>
                <w:rFonts w:eastAsia="MS Mincho"/>
              </w:rPr>
            </w:pPr>
            <w:r w:rsidRPr="00FC26BE">
              <w:rPr>
                <w:rFonts w:eastAsia="MS Mincho"/>
              </w:rPr>
              <w:t>42</w:t>
            </w:r>
            <w:r w:rsidR="001B5337">
              <w:rPr>
                <w:rFonts w:eastAsia="MS Mincho"/>
              </w:rPr>
              <w:t>,</w:t>
            </w:r>
            <w:r w:rsidRPr="00FC26BE">
              <w:rPr>
                <w:rFonts w:eastAsia="MS Mincho"/>
              </w:rPr>
              <w:t xml:space="preserve"> average cigarettes per day 22</w:t>
            </w:r>
          </w:p>
        </w:tc>
        <w:tc>
          <w:tcPr>
            <w:tcW w:w="1224" w:type="pct"/>
          </w:tcPr>
          <w:p w:rsidR="003078C0" w:rsidRDefault="003078C0" w:rsidP="00C324F3">
            <w:pPr>
              <w:pStyle w:val="Tablewriting"/>
              <w:numPr>
                <w:ilvl w:val="0"/>
                <w:numId w:val="32"/>
              </w:numPr>
              <w:rPr>
                <w:rFonts w:eastAsia="MS Mincho"/>
              </w:rPr>
            </w:pPr>
            <w:r w:rsidRPr="003078C0">
              <w:rPr>
                <w:rFonts w:eastAsia="MS Mincho"/>
              </w:rPr>
              <w:t>Bupropion 300 mg for 12 weeks + placebo varenicline</w:t>
            </w:r>
          </w:p>
          <w:p w:rsidR="003078C0" w:rsidRDefault="003078C0" w:rsidP="00C324F3">
            <w:pPr>
              <w:pStyle w:val="Tablewriting"/>
              <w:numPr>
                <w:ilvl w:val="0"/>
                <w:numId w:val="32"/>
              </w:numPr>
              <w:rPr>
                <w:rFonts w:eastAsia="MS Mincho"/>
              </w:rPr>
            </w:pPr>
            <w:r w:rsidRPr="003078C0">
              <w:rPr>
                <w:rFonts w:eastAsia="MS Mincho"/>
              </w:rPr>
              <w:t>Varenicline 2 mg for 12 weeks + placebo bupropion</w:t>
            </w:r>
          </w:p>
          <w:p w:rsidR="003078C0" w:rsidRPr="003078C0" w:rsidRDefault="003078C0" w:rsidP="00C324F3">
            <w:pPr>
              <w:pStyle w:val="Tablewriting"/>
              <w:numPr>
                <w:ilvl w:val="0"/>
                <w:numId w:val="32"/>
              </w:numPr>
              <w:rPr>
                <w:rFonts w:eastAsia="MS Mincho"/>
              </w:rPr>
            </w:pPr>
            <w:r w:rsidRPr="003078C0">
              <w:rPr>
                <w:rFonts w:eastAsia="MS Mincho"/>
              </w:rPr>
              <w:t>Placebo bupropion and placebo varenicline</w:t>
            </w:r>
          </w:p>
          <w:p w:rsidR="003078C0" w:rsidRDefault="003078C0" w:rsidP="00A71365">
            <w:pPr>
              <w:pStyle w:val="Tablewriting"/>
              <w:rPr>
                <w:rFonts w:eastAsia="MS Mincho"/>
              </w:rPr>
            </w:pPr>
          </w:p>
          <w:p w:rsidR="00E30B27" w:rsidRPr="00061F78" w:rsidRDefault="003078C0" w:rsidP="00A71365">
            <w:pPr>
              <w:pStyle w:val="Tablewriting"/>
              <w:rPr>
                <w:rFonts w:eastAsia="MS Mincho"/>
              </w:rPr>
            </w:pPr>
            <w:r w:rsidRPr="003078C0">
              <w:rPr>
                <w:rFonts w:eastAsia="MS Mincho"/>
                <w:u w:val="single"/>
              </w:rPr>
              <w:lastRenderedPageBreak/>
              <w:t>Common components:</w:t>
            </w:r>
            <w:r w:rsidRPr="003078C0">
              <w:rPr>
                <w:rFonts w:eastAsia="MS Mincho"/>
              </w:rPr>
              <w:t xml:space="preserve"> brief (&lt; 10 min) individual counselling at each weekly assessment for 12 weeks</w:t>
            </w:r>
            <w:r>
              <w:rPr>
                <w:rFonts w:eastAsia="MS Mincho"/>
              </w:rPr>
              <w:t xml:space="preserve"> </w:t>
            </w:r>
            <w:r w:rsidRPr="003078C0">
              <w:rPr>
                <w:rFonts w:eastAsia="MS Mincho"/>
              </w:rPr>
              <w:t>and 5 follow-up visits. One telephone call 3 days after quit day</w:t>
            </w:r>
            <w:r w:rsidR="00714110">
              <w:rPr>
                <w:rFonts w:eastAsia="MS Mincho"/>
              </w:rPr>
              <w:t>.</w:t>
            </w:r>
          </w:p>
        </w:tc>
        <w:tc>
          <w:tcPr>
            <w:tcW w:w="832" w:type="pct"/>
          </w:tcPr>
          <w:p w:rsidR="00871B41" w:rsidRPr="00871B41" w:rsidRDefault="00871B41" w:rsidP="00A71365">
            <w:pPr>
              <w:pStyle w:val="Tablewriting"/>
              <w:rPr>
                <w:rFonts w:eastAsia="MS Mincho"/>
              </w:rPr>
            </w:pPr>
            <w:r w:rsidRPr="00871B41">
              <w:rPr>
                <w:rFonts w:eastAsia="MS Mincho"/>
                <w:u w:val="single"/>
              </w:rPr>
              <w:lastRenderedPageBreak/>
              <w:t xml:space="preserve">Efficacy: </w:t>
            </w:r>
            <w:r w:rsidRPr="00871B41">
              <w:rPr>
                <w:rFonts w:eastAsia="MS Mincho"/>
              </w:rPr>
              <w:t xml:space="preserve">sustained abstinence at 12 </w:t>
            </w:r>
            <w:r w:rsidR="000A7478" w:rsidRPr="00871B41">
              <w:rPr>
                <w:rFonts w:eastAsia="MS Mincho"/>
              </w:rPr>
              <w:t>months</w:t>
            </w:r>
            <w:r w:rsidRPr="00871B41">
              <w:rPr>
                <w:rFonts w:eastAsia="MS Mincho"/>
              </w:rPr>
              <w:t>, from week 9. Validated by CO &lt; 10 ppm at each</w:t>
            </w:r>
          </w:p>
          <w:p w:rsidR="0035253E" w:rsidRDefault="00871B41" w:rsidP="00A71365">
            <w:pPr>
              <w:pStyle w:val="Tablewriting"/>
              <w:rPr>
                <w:rFonts w:eastAsia="MS Mincho"/>
              </w:rPr>
            </w:pPr>
            <w:r w:rsidRPr="00871B41">
              <w:rPr>
                <w:rFonts w:eastAsia="MS Mincho"/>
              </w:rPr>
              <w:t>clinic visit</w:t>
            </w:r>
          </w:p>
          <w:p w:rsidR="00E30B27" w:rsidRPr="00061F78" w:rsidRDefault="00871B41" w:rsidP="00A71365">
            <w:pPr>
              <w:pStyle w:val="Tablewriting"/>
              <w:rPr>
                <w:rFonts w:eastAsia="MS Mincho"/>
              </w:rPr>
            </w:pPr>
            <w:r w:rsidRPr="00871B41">
              <w:rPr>
                <w:rFonts w:eastAsia="MS Mincho"/>
                <w:u w:val="single"/>
              </w:rPr>
              <w:t>Safety:</w:t>
            </w:r>
            <w:r>
              <w:rPr>
                <w:rFonts w:eastAsia="MS Mincho"/>
              </w:rPr>
              <w:t xml:space="preserve"> N/A</w:t>
            </w:r>
            <w:r w:rsidR="00714110">
              <w:rPr>
                <w:rFonts w:eastAsia="MS Mincho"/>
              </w:rPr>
              <w:t>.</w:t>
            </w:r>
          </w:p>
        </w:tc>
      </w:tr>
      <w:tr w:rsidR="00E30B27" w:rsidRPr="00061F78" w:rsidTr="004529B1">
        <w:trPr>
          <w:trHeight w:val="149"/>
        </w:trPr>
        <w:tc>
          <w:tcPr>
            <w:tcW w:w="565" w:type="pct"/>
          </w:tcPr>
          <w:p w:rsidR="00E30B27" w:rsidRPr="00541274" w:rsidRDefault="003A2018" w:rsidP="00A71365">
            <w:pPr>
              <w:pStyle w:val="Tablewriting"/>
              <w:rPr>
                <w:rFonts w:eastAsia="MS Mincho"/>
              </w:rPr>
            </w:pPr>
            <w:r w:rsidRPr="00866DE0">
              <w:rPr>
                <w:rFonts w:eastAsia="MS Mincho"/>
              </w:rPr>
              <w:t xml:space="preserve">Levine </w:t>
            </w:r>
            <w:r w:rsidR="0065538B">
              <w:rPr>
                <w:rFonts w:eastAsia="MS Mincho"/>
              </w:rPr>
              <w:t>(</w:t>
            </w:r>
            <w:r w:rsidRPr="00866DE0">
              <w:rPr>
                <w:rFonts w:eastAsia="MS Mincho"/>
              </w:rPr>
              <w:t>2010</w:t>
            </w:r>
            <w:r w:rsidR="0065538B">
              <w:rPr>
                <w:rFonts w:eastAsia="MS Mincho"/>
              </w:rPr>
              <w:t>)</w:t>
            </w:r>
          </w:p>
        </w:tc>
        <w:tc>
          <w:tcPr>
            <w:tcW w:w="238" w:type="pct"/>
          </w:tcPr>
          <w:p w:rsidR="00E30B27" w:rsidRDefault="00270AF3" w:rsidP="00A71365">
            <w:pPr>
              <w:pStyle w:val="Tablewriting"/>
              <w:rPr>
                <w:rFonts w:eastAsia="MS Mincho"/>
              </w:rPr>
            </w:pPr>
            <w:r>
              <w:rPr>
                <w:rFonts w:eastAsia="MS Mincho"/>
              </w:rPr>
              <w:t>RCT</w:t>
            </w:r>
          </w:p>
        </w:tc>
        <w:tc>
          <w:tcPr>
            <w:tcW w:w="420" w:type="pct"/>
          </w:tcPr>
          <w:p w:rsidR="0035253E" w:rsidRPr="00061F78" w:rsidRDefault="00270AF3" w:rsidP="00A71365">
            <w:pPr>
              <w:pStyle w:val="Tablewriting"/>
              <w:rPr>
                <w:rFonts w:eastAsia="MS Mincho"/>
              </w:rPr>
            </w:pPr>
            <w:r>
              <w:rPr>
                <w:rFonts w:eastAsia="MS Mincho"/>
              </w:rPr>
              <w:t>USA</w:t>
            </w:r>
          </w:p>
        </w:tc>
        <w:tc>
          <w:tcPr>
            <w:tcW w:w="449" w:type="pct"/>
          </w:tcPr>
          <w:p w:rsidR="00E30B27" w:rsidRPr="00061F78" w:rsidRDefault="00270AF3" w:rsidP="00A71365">
            <w:pPr>
              <w:pStyle w:val="Tablewriting"/>
              <w:rPr>
                <w:rFonts w:eastAsia="MS Mincho"/>
              </w:rPr>
            </w:pPr>
            <w:r>
              <w:rPr>
                <w:rFonts w:eastAsia="MS Mincho"/>
              </w:rPr>
              <w:t>N=349</w:t>
            </w:r>
          </w:p>
        </w:tc>
        <w:tc>
          <w:tcPr>
            <w:tcW w:w="1271" w:type="pct"/>
          </w:tcPr>
          <w:p w:rsidR="00E30B27" w:rsidRPr="00061F78" w:rsidRDefault="00D67249" w:rsidP="00A71365">
            <w:pPr>
              <w:pStyle w:val="Tablewriting"/>
              <w:rPr>
                <w:rFonts w:eastAsia="MS Mincho"/>
              </w:rPr>
            </w:pPr>
            <w:r>
              <w:rPr>
                <w:rFonts w:eastAsia="MS Mincho"/>
              </w:rPr>
              <w:t>W</w:t>
            </w:r>
            <w:r w:rsidRPr="00D67249">
              <w:rPr>
                <w:rFonts w:eastAsia="MS Mincho"/>
              </w:rPr>
              <w:t>eight-concerned women smokers</w:t>
            </w:r>
            <w:r w:rsidR="001B5337">
              <w:rPr>
                <w:rFonts w:eastAsia="MS Mincho"/>
              </w:rPr>
              <w:t>,</w:t>
            </w:r>
            <w:r w:rsidRPr="00D67249">
              <w:rPr>
                <w:rFonts w:eastAsia="MS Mincho"/>
              </w:rPr>
              <w:t xml:space="preserve"> average age 42</w:t>
            </w:r>
            <w:r w:rsidR="001B5337">
              <w:rPr>
                <w:rFonts w:eastAsia="MS Mincho"/>
              </w:rPr>
              <w:t xml:space="preserve"> years,</w:t>
            </w:r>
            <w:r w:rsidRPr="00D67249">
              <w:rPr>
                <w:rFonts w:eastAsia="MS Mincho"/>
              </w:rPr>
              <w:t xml:space="preserve"> average cigarettes per day 21</w:t>
            </w:r>
            <w:r w:rsidR="001B5337">
              <w:rPr>
                <w:rFonts w:eastAsia="MS Mincho"/>
              </w:rPr>
              <w:t xml:space="preserve">, </w:t>
            </w:r>
            <w:r w:rsidRPr="00D67249">
              <w:rPr>
                <w:rFonts w:eastAsia="MS Mincho"/>
              </w:rPr>
              <w:t xml:space="preserve"> mean FTND 5.2</w:t>
            </w:r>
          </w:p>
        </w:tc>
        <w:tc>
          <w:tcPr>
            <w:tcW w:w="1224" w:type="pct"/>
          </w:tcPr>
          <w:p w:rsidR="00D67249" w:rsidRDefault="00D67249" w:rsidP="00C324F3">
            <w:pPr>
              <w:pStyle w:val="Tablewriting"/>
              <w:numPr>
                <w:ilvl w:val="0"/>
                <w:numId w:val="33"/>
              </w:numPr>
              <w:rPr>
                <w:rFonts w:eastAsia="MS Mincho"/>
              </w:rPr>
            </w:pPr>
            <w:r w:rsidRPr="00D67249">
              <w:rPr>
                <w:rFonts w:eastAsia="MS Mincho"/>
              </w:rPr>
              <w:t>Bupropion SR. 26 weeks. 150 mg/day for first 2 days and 300 mg/day for remainder of treatment</w:t>
            </w:r>
          </w:p>
          <w:p w:rsidR="00D67249" w:rsidRPr="00D67249" w:rsidRDefault="00D67249" w:rsidP="00C324F3">
            <w:pPr>
              <w:pStyle w:val="Tablewriting"/>
              <w:numPr>
                <w:ilvl w:val="0"/>
                <w:numId w:val="33"/>
              </w:numPr>
              <w:rPr>
                <w:rFonts w:eastAsia="MS Mincho"/>
              </w:rPr>
            </w:pPr>
            <w:r w:rsidRPr="00D67249">
              <w:rPr>
                <w:rFonts w:eastAsia="MS Mincho"/>
              </w:rPr>
              <w:t>Placebo, same schedule</w:t>
            </w:r>
          </w:p>
          <w:p w:rsidR="00E00CF9" w:rsidRDefault="00E00CF9" w:rsidP="00A71365">
            <w:pPr>
              <w:pStyle w:val="Tablewriting"/>
              <w:rPr>
                <w:rFonts w:eastAsia="MS Mincho"/>
              </w:rPr>
            </w:pPr>
          </w:p>
          <w:p w:rsidR="00D67249" w:rsidRPr="00D67249" w:rsidRDefault="00D67249" w:rsidP="00A71365">
            <w:pPr>
              <w:pStyle w:val="Tablewriting"/>
              <w:rPr>
                <w:rFonts w:eastAsia="MS Mincho"/>
              </w:rPr>
            </w:pPr>
            <w:r w:rsidRPr="00D67249">
              <w:rPr>
                <w:rFonts w:eastAsia="MS Mincho"/>
              </w:rPr>
              <w:t>Counselling conditions</w:t>
            </w:r>
          </w:p>
          <w:p w:rsidR="00E00CF9" w:rsidRDefault="00D67249" w:rsidP="00C324F3">
            <w:pPr>
              <w:pStyle w:val="Tablewriting"/>
              <w:numPr>
                <w:ilvl w:val="0"/>
                <w:numId w:val="34"/>
              </w:numPr>
              <w:rPr>
                <w:rFonts w:eastAsia="MS Mincho"/>
              </w:rPr>
            </w:pPr>
            <w:r w:rsidRPr="00D67249">
              <w:rPr>
                <w:rFonts w:eastAsia="MS Mincho"/>
              </w:rPr>
              <w:t>Standard cessation counselling</w:t>
            </w:r>
          </w:p>
          <w:p w:rsidR="00D67249" w:rsidRPr="00D67249" w:rsidRDefault="00D67249" w:rsidP="00C324F3">
            <w:pPr>
              <w:pStyle w:val="Tablewriting"/>
              <w:numPr>
                <w:ilvl w:val="0"/>
                <w:numId w:val="34"/>
              </w:numPr>
              <w:rPr>
                <w:rFonts w:eastAsia="MS Mincho"/>
              </w:rPr>
            </w:pPr>
            <w:r w:rsidRPr="00D67249">
              <w:rPr>
                <w:rFonts w:eastAsia="MS Mincho"/>
              </w:rPr>
              <w:t>Standard cessation counselling + material on weight concerns</w:t>
            </w:r>
          </w:p>
          <w:p w:rsidR="00E00CF9" w:rsidRDefault="00E00CF9" w:rsidP="00A71365">
            <w:pPr>
              <w:pStyle w:val="Tablewriting"/>
              <w:rPr>
                <w:rFonts w:eastAsia="MS Mincho"/>
              </w:rPr>
            </w:pPr>
          </w:p>
          <w:p w:rsidR="00E30B27" w:rsidRPr="00061F78" w:rsidRDefault="00D67249" w:rsidP="00A71365">
            <w:pPr>
              <w:pStyle w:val="Tablewriting"/>
              <w:rPr>
                <w:rFonts w:eastAsia="MS Mincho"/>
              </w:rPr>
            </w:pPr>
            <w:r w:rsidRPr="00E00CF9">
              <w:rPr>
                <w:rFonts w:eastAsia="MS Mincho"/>
                <w:u w:val="single"/>
              </w:rPr>
              <w:t>Common components</w:t>
            </w:r>
            <w:r w:rsidRPr="00D67249">
              <w:rPr>
                <w:rFonts w:eastAsia="MS Mincho"/>
              </w:rPr>
              <w:t>: 12 x 90-minute group counselling sessions delivered over 3 months</w:t>
            </w:r>
            <w:r w:rsidR="00714110">
              <w:rPr>
                <w:rFonts w:eastAsia="MS Mincho"/>
              </w:rPr>
              <w:t>.</w:t>
            </w:r>
          </w:p>
        </w:tc>
        <w:tc>
          <w:tcPr>
            <w:tcW w:w="832" w:type="pct"/>
          </w:tcPr>
          <w:p w:rsidR="002C04F5" w:rsidRPr="002C04F5" w:rsidRDefault="002C04F5" w:rsidP="00A71365">
            <w:pPr>
              <w:pStyle w:val="Tablewriting"/>
              <w:rPr>
                <w:rFonts w:eastAsia="MS Mincho"/>
              </w:rPr>
            </w:pPr>
            <w:r w:rsidRPr="002C04F5">
              <w:rPr>
                <w:rFonts w:eastAsia="MS Mincho"/>
                <w:u w:val="single"/>
              </w:rPr>
              <w:t>Efficacy:</w:t>
            </w:r>
            <w:r w:rsidRPr="002C04F5">
              <w:rPr>
                <w:rFonts w:eastAsia="MS Mincho"/>
              </w:rPr>
              <w:t xml:space="preserve"> prolonged abstinence at 12 months. Validated by CO </w:t>
            </w:r>
            <w:r w:rsidR="005B1423" w:rsidRPr="00D96BA4">
              <w:rPr>
                <w:rFonts w:eastAsia="MS Mincho"/>
              </w:rPr>
              <w:t>≤</w:t>
            </w:r>
            <w:r w:rsidRPr="002C04F5">
              <w:rPr>
                <w:rFonts w:eastAsia="MS Mincho"/>
              </w:rPr>
              <w:t xml:space="preserve"> 8 ppm and salivary cotinine</w:t>
            </w:r>
          </w:p>
          <w:p w:rsidR="002C04F5" w:rsidRPr="002C04F5" w:rsidRDefault="005B1423" w:rsidP="00A71365">
            <w:pPr>
              <w:pStyle w:val="Tablewriting"/>
              <w:rPr>
                <w:rFonts w:eastAsia="MS Mincho"/>
              </w:rPr>
            </w:pPr>
            <w:r w:rsidRPr="00D96BA4">
              <w:rPr>
                <w:rFonts w:eastAsia="MS Mincho"/>
              </w:rPr>
              <w:t>≤</w:t>
            </w:r>
            <w:r w:rsidR="002C04F5" w:rsidRPr="002C04F5">
              <w:rPr>
                <w:rFonts w:eastAsia="MS Mincho"/>
              </w:rPr>
              <w:t xml:space="preserve"> 15 </w:t>
            </w:r>
            <w:r>
              <w:rPr>
                <w:rFonts w:eastAsia="MS Mincho"/>
              </w:rPr>
              <w:t>m</w:t>
            </w:r>
            <w:r w:rsidR="002C04F5" w:rsidRPr="002C04F5">
              <w:rPr>
                <w:rFonts w:eastAsia="MS Mincho"/>
              </w:rPr>
              <w:t>g</w:t>
            </w:r>
          </w:p>
          <w:p w:rsidR="00E30B27" w:rsidRPr="00061F78" w:rsidRDefault="002C04F5" w:rsidP="00A71365">
            <w:pPr>
              <w:pStyle w:val="Tablewriting"/>
              <w:rPr>
                <w:rFonts w:eastAsia="MS Mincho"/>
              </w:rPr>
            </w:pPr>
            <w:r w:rsidRPr="002C04F5">
              <w:rPr>
                <w:rFonts w:eastAsia="MS Mincho"/>
                <w:u w:val="single"/>
              </w:rPr>
              <w:t>Safety:</w:t>
            </w:r>
            <w:r w:rsidRPr="002C04F5">
              <w:rPr>
                <w:rFonts w:eastAsia="MS Mincho"/>
              </w:rPr>
              <w:t xml:space="preserve"> measured for 26 weeks</w:t>
            </w:r>
            <w:r w:rsidR="00714110">
              <w:rPr>
                <w:rFonts w:eastAsia="MS Mincho"/>
              </w:rPr>
              <w:t>.</w:t>
            </w:r>
          </w:p>
        </w:tc>
      </w:tr>
      <w:tr w:rsidR="00E30B27" w:rsidRPr="00061F78" w:rsidTr="004529B1">
        <w:trPr>
          <w:trHeight w:val="149"/>
        </w:trPr>
        <w:tc>
          <w:tcPr>
            <w:tcW w:w="565" w:type="pct"/>
          </w:tcPr>
          <w:p w:rsidR="00E30B27" w:rsidRPr="00541274" w:rsidRDefault="003A2018" w:rsidP="00A71365">
            <w:pPr>
              <w:pStyle w:val="Tablewriting"/>
              <w:rPr>
                <w:rFonts w:eastAsia="MS Mincho"/>
              </w:rPr>
            </w:pPr>
            <w:r w:rsidRPr="00866DE0">
              <w:rPr>
                <w:rFonts w:eastAsia="MS Mincho"/>
              </w:rPr>
              <w:t xml:space="preserve">McCarthy </w:t>
            </w:r>
            <w:r w:rsidR="0065538B">
              <w:rPr>
                <w:rFonts w:eastAsia="MS Mincho"/>
              </w:rPr>
              <w:t>(</w:t>
            </w:r>
            <w:r w:rsidRPr="00866DE0">
              <w:rPr>
                <w:rFonts w:eastAsia="MS Mincho"/>
              </w:rPr>
              <w:t>2008</w:t>
            </w:r>
            <w:r w:rsidR="0065538B">
              <w:rPr>
                <w:rFonts w:eastAsia="MS Mincho"/>
              </w:rPr>
              <w:t>)</w:t>
            </w:r>
          </w:p>
        </w:tc>
        <w:tc>
          <w:tcPr>
            <w:tcW w:w="238" w:type="pct"/>
          </w:tcPr>
          <w:p w:rsidR="00E30B27" w:rsidRDefault="0079584C" w:rsidP="00A71365">
            <w:pPr>
              <w:pStyle w:val="Tablewriting"/>
              <w:rPr>
                <w:rFonts w:eastAsia="MS Mincho"/>
              </w:rPr>
            </w:pPr>
            <w:r>
              <w:rPr>
                <w:rFonts w:eastAsia="MS Mincho"/>
              </w:rPr>
              <w:t>RCT</w:t>
            </w:r>
          </w:p>
        </w:tc>
        <w:tc>
          <w:tcPr>
            <w:tcW w:w="420" w:type="pct"/>
          </w:tcPr>
          <w:p w:rsidR="0035253E" w:rsidRPr="00061F78" w:rsidRDefault="0079584C" w:rsidP="00A71365">
            <w:pPr>
              <w:pStyle w:val="Tablewriting"/>
              <w:rPr>
                <w:rFonts w:eastAsia="MS Mincho"/>
              </w:rPr>
            </w:pPr>
            <w:r>
              <w:rPr>
                <w:rFonts w:eastAsia="MS Mincho"/>
              </w:rPr>
              <w:t>USA</w:t>
            </w:r>
          </w:p>
        </w:tc>
        <w:tc>
          <w:tcPr>
            <w:tcW w:w="449" w:type="pct"/>
          </w:tcPr>
          <w:p w:rsidR="00E30B27" w:rsidRPr="00061F78" w:rsidRDefault="0079584C" w:rsidP="00A71365">
            <w:pPr>
              <w:pStyle w:val="Tablewriting"/>
              <w:rPr>
                <w:rFonts w:eastAsia="MS Mincho"/>
              </w:rPr>
            </w:pPr>
            <w:r>
              <w:rPr>
                <w:rFonts w:eastAsia="MS Mincho"/>
              </w:rPr>
              <w:t>N=463</w:t>
            </w:r>
          </w:p>
        </w:tc>
        <w:tc>
          <w:tcPr>
            <w:tcW w:w="1271" w:type="pct"/>
          </w:tcPr>
          <w:p w:rsidR="00E30B27" w:rsidRPr="00061F78" w:rsidRDefault="0026462B" w:rsidP="00A71365">
            <w:pPr>
              <w:pStyle w:val="Tablewriting"/>
              <w:rPr>
                <w:rFonts w:eastAsia="MS Mincho"/>
              </w:rPr>
            </w:pPr>
            <w:r>
              <w:rPr>
                <w:rFonts w:eastAsia="MS Mincho"/>
              </w:rPr>
              <w:t>S</w:t>
            </w:r>
            <w:r w:rsidRPr="0026462B">
              <w:rPr>
                <w:rFonts w:eastAsia="MS Mincho"/>
              </w:rPr>
              <w:t>mokers</w:t>
            </w:r>
            <w:r w:rsidR="001B5337">
              <w:rPr>
                <w:rFonts w:eastAsia="MS Mincho"/>
              </w:rPr>
              <w:t>,</w:t>
            </w:r>
            <w:r w:rsidRPr="0026462B">
              <w:rPr>
                <w:rFonts w:eastAsia="MS Mincho"/>
              </w:rPr>
              <w:t xml:space="preserve"> 50% female</w:t>
            </w:r>
            <w:r w:rsidR="001B5337">
              <w:rPr>
                <w:rFonts w:eastAsia="MS Mincho"/>
              </w:rPr>
              <w:t>,</w:t>
            </w:r>
            <w:r w:rsidRPr="0026462B">
              <w:rPr>
                <w:rFonts w:eastAsia="MS Mincho"/>
              </w:rPr>
              <w:t xml:space="preserve"> average age 36-41</w:t>
            </w:r>
            <w:r w:rsidR="001B5337">
              <w:rPr>
                <w:rFonts w:eastAsia="MS Mincho"/>
              </w:rPr>
              <w:t>,</w:t>
            </w:r>
            <w:r w:rsidRPr="0026462B">
              <w:rPr>
                <w:rFonts w:eastAsia="MS Mincho"/>
              </w:rPr>
              <w:t xml:space="preserve"> average cigarettes per day 22</w:t>
            </w:r>
          </w:p>
        </w:tc>
        <w:tc>
          <w:tcPr>
            <w:tcW w:w="1224" w:type="pct"/>
          </w:tcPr>
          <w:p w:rsidR="008E3BA2" w:rsidRPr="008E3BA2" w:rsidRDefault="008E3BA2" w:rsidP="00C324F3">
            <w:pPr>
              <w:pStyle w:val="Tablewriting"/>
              <w:numPr>
                <w:ilvl w:val="0"/>
                <w:numId w:val="35"/>
              </w:numPr>
              <w:rPr>
                <w:rFonts w:eastAsia="MS Mincho"/>
              </w:rPr>
            </w:pPr>
            <w:r w:rsidRPr="008E3BA2">
              <w:rPr>
                <w:rFonts w:eastAsia="MS Mincho"/>
              </w:rPr>
              <w:t>Bupropion SR 300 mg for 8 weeks</w:t>
            </w:r>
          </w:p>
          <w:p w:rsidR="008E3BA2" w:rsidRPr="008E3BA2" w:rsidRDefault="008E3BA2" w:rsidP="00C324F3">
            <w:pPr>
              <w:pStyle w:val="Tablewriting"/>
              <w:numPr>
                <w:ilvl w:val="0"/>
                <w:numId w:val="35"/>
              </w:numPr>
              <w:rPr>
                <w:rFonts w:eastAsia="MS Mincho"/>
              </w:rPr>
            </w:pPr>
            <w:r w:rsidRPr="008E3BA2">
              <w:rPr>
                <w:rFonts w:eastAsia="MS Mincho"/>
              </w:rPr>
              <w:t>Placebo</w:t>
            </w:r>
          </w:p>
          <w:p w:rsidR="000403C7" w:rsidRDefault="000403C7" w:rsidP="00A71365">
            <w:pPr>
              <w:pStyle w:val="Tablewriting"/>
              <w:rPr>
                <w:rFonts w:eastAsia="MS Mincho"/>
              </w:rPr>
            </w:pPr>
          </w:p>
          <w:p w:rsidR="008E3BA2" w:rsidRPr="008E3BA2" w:rsidRDefault="008E3BA2" w:rsidP="00A71365">
            <w:pPr>
              <w:pStyle w:val="Tablewriting"/>
              <w:rPr>
                <w:rFonts w:eastAsia="MS Mincho"/>
              </w:rPr>
            </w:pPr>
            <w:r w:rsidRPr="008E3BA2">
              <w:rPr>
                <w:rFonts w:eastAsia="MS Mincho"/>
              </w:rPr>
              <w:t>Counselling conditions</w:t>
            </w:r>
          </w:p>
          <w:p w:rsidR="000403C7" w:rsidRDefault="008E3BA2" w:rsidP="00C324F3">
            <w:pPr>
              <w:pStyle w:val="Tablewriting"/>
              <w:numPr>
                <w:ilvl w:val="0"/>
                <w:numId w:val="36"/>
              </w:numPr>
              <w:rPr>
                <w:rFonts w:eastAsia="MS Mincho"/>
              </w:rPr>
            </w:pPr>
            <w:r w:rsidRPr="008E3BA2">
              <w:rPr>
                <w:rFonts w:eastAsia="MS Mincho"/>
              </w:rPr>
              <w:t>8 x 10-min session, 2 pre</w:t>
            </w:r>
            <w:r w:rsidR="00273AD6">
              <w:rPr>
                <w:rFonts w:eastAsia="MS Mincho"/>
              </w:rPr>
              <w:t>-</w:t>
            </w:r>
            <w:r w:rsidRPr="008E3BA2">
              <w:rPr>
                <w:rFonts w:eastAsia="MS Mincho"/>
              </w:rPr>
              <w:t>quit, TQD, 5 over 4 weeks</w:t>
            </w:r>
          </w:p>
          <w:p w:rsidR="00E30B27" w:rsidRPr="00061F78" w:rsidRDefault="008E3BA2" w:rsidP="00C324F3">
            <w:pPr>
              <w:pStyle w:val="Tablewriting"/>
              <w:numPr>
                <w:ilvl w:val="0"/>
                <w:numId w:val="36"/>
              </w:numPr>
              <w:rPr>
                <w:rFonts w:eastAsia="MS Mincho"/>
              </w:rPr>
            </w:pPr>
            <w:r w:rsidRPr="008E3BA2">
              <w:rPr>
                <w:rFonts w:eastAsia="MS Mincho"/>
              </w:rPr>
              <w:t>Psychoeducation about medication, support and encouragement. Same number of sessions, 80 mins</w:t>
            </w:r>
            <w:r w:rsidR="000403C7">
              <w:rPr>
                <w:rFonts w:eastAsia="MS Mincho"/>
              </w:rPr>
              <w:t xml:space="preserve"> </w:t>
            </w:r>
            <w:r w:rsidRPr="008E3BA2">
              <w:rPr>
                <w:rFonts w:eastAsia="MS Mincho"/>
              </w:rPr>
              <w:t>less contact time</w:t>
            </w:r>
          </w:p>
        </w:tc>
        <w:tc>
          <w:tcPr>
            <w:tcW w:w="832" w:type="pct"/>
          </w:tcPr>
          <w:p w:rsidR="0057734E" w:rsidRPr="0057734E" w:rsidRDefault="000403C7" w:rsidP="00A71365">
            <w:pPr>
              <w:pStyle w:val="Tablewriting"/>
              <w:rPr>
                <w:rFonts w:eastAsia="MS Mincho"/>
              </w:rPr>
            </w:pPr>
            <w:r w:rsidRPr="000403C7">
              <w:rPr>
                <w:rFonts w:eastAsia="MS Mincho"/>
                <w:u w:val="single"/>
              </w:rPr>
              <w:t>Efficacy</w:t>
            </w:r>
            <w:r w:rsidR="0057734E" w:rsidRPr="000403C7">
              <w:rPr>
                <w:rFonts w:eastAsia="MS Mincho"/>
                <w:u w:val="single"/>
              </w:rPr>
              <w:t>:</w:t>
            </w:r>
            <w:r w:rsidR="0057734E" w:rsidRPr="0057734E">
              <w:rPr>
                <w:rFonts w:eastAsia="MS Mincho"/>
              </w:rPr>
              <w:t xml:space="preserve"> 7</w:t>
            </w:r>
            <w:r w:rsidR="008F7343" w:rsidRPr="0057734E">
              <w:rPr>
                <w:rFonts w:eastAsia="MS Mincho"/>
              </w:rPr>
              <w:t>-</w:t>
            </w:r>
            <w:r w:rsidR="0057734E" w:rsidRPr="0057734E">
              <w:rPr>
                <w:rFonts w:eastAsia="MS Mincho"/>
              </w:rPr>
              <w:t xml:space="preserve">day </w:t>
            </w:r>
            <w:r w:rsidR="00273AD6">
              <w:rPr>
                <w:rFonts w:eastAsia="MS Mincho"/>
              </w:rPr>
              <w:t>PPA</w:t>
            </w:r>
            <w:r w:rsidR="0057734E" w:rsidRPr="0057734E">
              <w:rPr>
                <w:rFonts w:eastAsia="MS Mincho"/>
              </w:rPr>
              <w:t xml:space="preserve"> at 12 months. Validated by CO </w:t>
            </w:r>
            <w:r w:rsidR="005B1423" w:rsidRPr="00D96BA4">
              <w:rPr>
                <w:rFonts w:eastAsia="MS Mincho"/>
              </w:rPr>
              <w:t>≤</w:t>
            </w:r>
            <w:r w:rsidR="0057734E" w:rsidRPr="0057734E">
              <w:rPr>
                <w:rFonts w:eastAsia="MS Mincho"/>
              </w:rPr>
              <w:t xml:space="preserve"> 10 ppm. Prolonged self-reported abstinence</w:t>
            </w:r>
          </w:p>
          <w:p w:rsidR="0057734E" w:rsidRPr="0057734E" w:rsidRDefault="0057734E" w:rsidP="00A71365">
            <w:pPr>
              <w:pStyle w:val="Tablewriting"/>
              <w:rPr>
                <w:rFonts w:eastAsia="MS Mincho"/>
              </w:rPr>
            </w:pPr>
            <w:r w:rsidRPr="0057734E">
              <w:rPr>
                <w:rFonts w:eastAsia="MS Mincho"/>
              </w:rPr>
              <w:t>also assessed</w:t>
            </w:r>
          </w:p>
          <w:p w:rsidR="00E30B27" w:rsidRPr="00061F78" w:rsidRDefault="000403C7" w:rsidP="00A71365">
            <w:pPr>
              <w:pStyle w:val="Tablewriting"/>
              <w:rPr>
                <w:rFonts w:eastAsia="MS Mincho"/>
              </w:rPr>
            </w:pPr>
            <w:r w:rsidRPr="000403C7">
              <w:rPr>
                <w:rFonts w:eastAsia="MS Mincho"/>
                <w:u w:val="single"/>
              </w:rPr>
              <w:t>Safety</w:t>
            </w:r>
            <w:r w:rsidR="0057734E" w:rsidRPr="000403C7">
              <w:rPr>
                <w:rFonts w:eastAsia="MS Mincho"/>
                <w:u w:val="single"/>
              </w:rPr>
              <w:t>:</w:t>
            </w:r>
            <w:r w:rsidR="0057734E" w:rsidRPr="0057734E">
              <w:rPr>
                <w:rFonts w:eastAsia="MS Mincho"/>
              </w:rPr>
              <w:t xml:space="preserve"> measured for 9 weeks</w:t>
            </w:r>
            <w:r w:rsidR="00714110">
              <w:rPr>
                <w:rFonts w:eastAsia="MS Mincho"/>
              </w:rPr>
              <w:t>.</w:t>
            </w:r>
          </w:p>
        </w:tc>
      </w:tr>
      <w:tr w:rsidR="00E30B27" w:rsidRPr="00061F78" w:rsidTr="004529B1">
        <w:trPr>
          <w:trHeight w:val="149"/>
        </w:trPr>
        <w:tc>
          <w:tcPr>
            <w:tcW w:w="565" w:type="pct"/>
          </w:tcPr>
          <w:p w:rsidR="00E30B27" w:rsidRPr="00541274" w:rsidRDefault="00904F79" w:rsidP="00A71365">
            <w:pPr>
              <w:pStyle w:val="Tablewriting"/>
              <w:rPr>
                <w:rFonts w:eastAsia="MS Mincho"/>
              </w:rPr>
            </w:pPr>
            <w:r w:rsidRPr="00866DE0">
              <w:rPr>
                <w:rFonts w:eastAsia="MS Mincho"/>
              </w:rPr>
              <w:t xml:space="preserve">Muramoto </w:t>
            </w:r>
            <w:r w:rsidR="0065538B">
              <w:rPr>
                <w:rFonts w:eastAsia="MS Mincho"/>
              </w:rPr>
              <w:t>(</w:t>
            </w:r>
            <w:r w:rsidRPr="00866DE0">
              <w:rPr>
                <w:rFonts w:eastAsia="MS Mincho"/>
              </w:rPr>
              <w:t>2007</w:t>
            </w:r>
            <w:r w:rsidR="0065538B">
              <w:rPr>
                <w:rFonts w:eastAsia="MS Mincho"/>
              </w:rPr>
              <w:t>)</w:t>
            </w:r>
          </w:p>
        </w:tc>
        <w:tc>
          <w:tcPr>
            <w:tcW w:w="238" w:type="pct"/>
          </w:tcPr>
          <w:p w:rsidR="00E30B27" w:rsidRDefault="00DC0B5B" w:rsidP="00A71365">
            <w:pPr>
              <w:pStyle w:val="Tablewriting"/>
              <w:rPr>
                <w:rFonts w:eastAsia="MS Mincho"/>
              </w:rPr>
            </w:pPr>
            <w:r>
              <w:rPr>
                <w:rFonts w:eastAsia="MS Mincho"/>
              </w:rPr>
              <w:t>RCT</w:t>
            </w:r>
          </w:p>
        </w:tc>
        <w:tc>
          <w:tcPr>
            <w:tcW w:w="420" w:type="pct"/>
          </w:tcPr>
          <w:p w:rsidR="0035253E" w:rsidRPr="00061F78" w:rsidRDefault="00DC0B5B" w:rsidP="00A71365">
            <w:pPr>
              <w:pStyle w:val="Tablewriting"/>
              <w:rPr>
                <w:rFonts w:eastAsia="MS Mincho"/>
              </w:rPr>
            </w:pPr>
            <w:r>
              <w:rPr>
                <w:rFonts w:eastAsia="MS Mincho"/>
              </w:rPr>
              <w:t>USA</w:t>
            </w:r>
          </w:p>
        </w:tc>
        <w:tc>
          <w:tcPr>
            <w:tcW w:w="449" w:type="pct"/>
          </w:tcPr>
          <w:p w:rsidR="00E30B27" w:rsidRPr="00061F78" w:rsidRDefault="00056400" w:rsidP="00A71365">
            <w:pPr>
              <w:pStyle w:val="Tablewriting"/>
              <w:rPr>
                <w:rFonts w:eastAsia="MS Mincho"/>
              </w:rPr>
            </w:pPr>
            <w:r>
              <w:rPr>
                <w:rFonts w:eastAsia="MS Mincho"/>
              </w:rPr>
              <w:t>N=</w:t>
            </w:r>
            <w:r w:rsidRPr="00056400">
              <w:rPr>
                <w:rFonts w:eastAsia="MS Mincho"/>
              </w:rPr>
              <w:t>312</w:t>
            </w:r>
          </w:p>
        </w:tc>
        <w:tc>
          <w:tcPr>
            <w:tcW w:w="1271" w:type="pct"/>
          </w:tcPr>
          <w:p w:rsidR="00E30B27" w:rsidRPr="00061F78" w:rsidRDefault="00056400" w:rsidP="00A71365">
            <w:pPr>
              <w:pStyle w:val="Tablewriting"/>
              <w:rPr>
                <w:rFonts w:eastAsia="MS Mincho"/>
              </w:rPr>
            </w:pPr>
            <w:r>
              <w:rPr>
                <w:rFonts w:eastAsia="MS Mincho"/>
              </w:rPr>
              <w:t>A</w:t>
            </w:r>
            <w:r w:rsidRPr="00056400">
              <w:rPr>
                <w:rFonts w:eastAsia="MS Mincho"/>
              </w:rPr>
              <w:t>dolescents (14 to 17)</w:t>
            </w:r>
            <w:r w:rsidR="00587829">
              <w:rPr>
                <w:rFonts w:eastAsia="MS Mincho"/>
              </w:rPr>
              <w:t>,</w:t>
            </w:r>
            <w:r w:rsidRPr="00056400">
              <w:rPr>
                <w:rFonts w:eastAsia="MS Mincho"/>
              </w:rPr>
              <w:t xml:space="preserve"> 46% females</w:t>
            </w:r>
            <w:r w:rsidR="00587829">
              <w:rPr>
                <w:rFonts w:eastAsia="MS Mincho"/>
              </w:rPr>
              <w:t>,</w:t>
            </w:r>
            <w:r w:rsidRPr="00056400">
              <w:rPr>
                <w:rFonts w:eastAsia="MS Mincho"/>
              </w:rPr>
              <w:t xml:space="preserve"> median age 16</w:t>
            </w:r>
            <w:r w:rsidR="00587829">
              <w:rPr>
                <w:rFonts w:eastAsia="MS Mincho"/>
              </w:rPr>
              <w:t>,</w:t>
            </w:r>
            <w:r w:rsidRPr="00056400">
              <w:rPr>
                <w:rFonts w:eastAsia="MS Mincho"/>
              </w:rPr>
              <w:t xml:space="preserve"> median cigarettes per day 11</w:t>
            </w:r>
          </w:p>
        </w:tc>
        <w:tc>
          <w:tcPr>
            <w:tcW w:w="1224" w:type="pct"/>
          </w:tcPr>
          <w:p w:rsidR="00056400" w:rsidRDefault="00056400" w:rsidP="00C324F3">
            <w:pPr>
              <w:pStyle w:val="Tablewriting"/>
              <w:numPr>
                <w:ilvl w:val="0"/>
                <w:numId w:val="37"/>
              </w:numPr>
              <w:rPr>
                <w:rFonts w:eastAsia="MS Mincho"/>
              </w:rPr>
            </w:pPr>
            <w:r w:rsidRPr="00056400">
              <w:rPr>
                <w:rFonts w:eastAsia="MS Mincho"/>
              </w:rPr>
              <w:t>Bupropion, 300 mg for 7 weeks</w:t>
            </w:r>
          </w:p>
          <w:p w:rsidR="00056400" w:rsidRDefault="00056400" w:rsidP="00C324F3">
            <w:pPr>
              <w:pStyle w:val="Tablewriting"/>
              <w:numPr>
                <w:ilvl w:val="0"/>
                <w:numId w:val="37"/>
              </w:numPr>
              <w:rPr>
                <w:rFonts w:eastAsia="MS Mincho"/>
              </w:rPr>
            </w:pPr>
            <w:r w:rsidRPr="00056400">
              <w:rPr>
                <w:rFonts w:eastAsia="MS Mincho"/>
              </w:rPr>
              <w:t>Bupropion, 150 mg for 7 weeks</w:t>
            </w:r>
          </w:p>
          <w:p w:rsidR="00056400" w:rsidRPr="00056400" w:rsidRDefault="00056400" w:rsidP="00C324F3">
            <w:pPr>
              <w:pStyle w:val="Tablewriting"/>
              <w:numPr>
                <w:ilvl w:val="0"/>
                <w:numId w:val="37"/>
              </w:numPr>
              <w:rPr>
                <w:rFonts w:eastAsia="MS Mincho"/>
              </w:rPr>
            </w:pPr>
            <w:r w:rsidRPr="00056400">
              <w:rPr>
                <w:rFonts w:eastAsia="MS Mincho"/>
              </w:rPr>
              <w:t>Placebo</w:t>
            </w:r>
          </w:p>
          <w:p w:rsidR="00056400" w:rsidRDefault="00056400" w:rsidP="00A71365">
            <w:pPr>
              <w:pStyle w:val="Tablewriting"/>
              <w:rPr>
                <w:rFonts w:eastAsia="MS Mincho"/>
              </w:rPr>
            </w:pPr>
          </w:p>
          <w:p w:rsidR="00E30B27" w:rsidRPr="00061F78" w:rsidRDefault="00056400" w:rsidP="00A71365">
            <w:pPr>
              <w:pStyle w:val="Tablewriting"/>
              <w:rPr>
                <w:rFonts w:eastAsia="MS Mincho"/>
              </w:rPr>
            </w:pPr>
            <w:r w:rsidRPr="00056400">
              <w:rPr>
                <w:rFonts w:eastAsia="MS Mincho"/>
                <w:u w:val="single"/>
              </w:rPr>
              <w:lastRenderedPageBreak/>
              <w:t>Common components</w:t>
            </w:r>
            <w:r w:rsidRPr="00056400">
              <w:rPr>
                <w:rFonts w:eastAsia="MS Mincho"/>
              </w:rPr>
              <w:t>: brief (10-20 mins) individual counselling session pre-quit and at each weekly assessment</w:t>
            </w:r>
          </w:p>
        </w:tc>
        <w:tc>
          <w:tcPr>
            <w:tcW w:w="832" w:type="pct"/>
          </w:tcPr>
          <w:p w:rsidR="008931E1" w:rsidRPr="008931E1" w:rsidRDefault="008931E1" w:rsidP="00A71365">
            <w:pPr>
              <w:pStyle w:val="Tablewriting"/>
              <w:rPr>
                <w:rFonts w:eastAsia="MS Mincho"/>
              </w:rPr>
            </w:pPr>
            <w:r w:rsidRPr="008931E1">
              <w:rPr>
                <w:rFonts w:eastAsia="MS Mincho"/>
                <w:u w:val="single"/>
              </w:rPr>
              <w:lastRenderedPageBreak/>
              <w:t>Efficacy:</w:t>
            </w:r>
            <w:r w:rsidRPr="008931E1">
              <w:rPr>
                <w:rFonts w:eastAsia="MS Mincho"/>
              </w:rPr>
              <w:t xml:space="preserve"> 7-day </w:t>
            </w:r>
            <w:r w:rsidR="00273AD6">
              <w:rPr>
                <w:rFonts w:eastAsia="MS Mincho"/>
              </w:rPr>
              <w:t>PPA</w:t>
            </w:r>
            <w:r w:rsidRPr="008931E1">
              <w:rPr>
                <w:rFonts w:eastAsia="MS Mincho"/>
              </w:rPr>
              <w:t xml:space="preserve"> at 6 months. Validated by CO &lt; 10 ppm (cotinine at weeks 2 and 6 only)</w:t>
            </w:r>
          </w:p>
          <w:p w:rsidR="00E30B27" w:rsidRPr="00061F78" w:rsidRDefault="008931E1" w:rsidP="00A71365">
            <w:pPr>
              <w:pStyle w:val="Tablewriting"/>
              <w:rPr>
                <w:rFonts w:eastAsia="MS Mincho"/>
              </w:rPr>
            </w:pPr>
            <w:r w:rsidRPr="008931E1">
              <w:rPr>
                <w:rFonts w:eastAsia="MS Mincho"/>
                <w:u w:val="single"/>
              </w:rPr>
              <w:lastRenderedPageBreak/>
              <w:t>Safety:</w:t>
            </w:r>
            <w:r w:rsidRPr="008931E1">
              <w:rPr>
                <w:rFonts w:eastAsia="MS Mincho"/>
              </w:rPr>
              <w:t xml:space="preserve"> measured for 26 weeks</w:t>
            </w:r>
            <w:r w:rsidR="00714110">
              <w:rPr>
                <w:rFonts w:eastAsia="MS Mincho"/>
              </w:rPr>
              <w:t>.</w:t>
            </w:r>
          </w:p>
        </w:tc>
      </w:tr>
      <w:tr w:rsidR="00904F79" w:rsidRPr="00061F78" w:rsidTr="004529B1">
        <w:trPr>
          <w:trHeight w:val="149"/>
        </w:trPr>
        <w:tc>
          <w:tcPr>
            <w:tcW w:w="565" w:type="pct"/>
          </w:tcPr>
          <w:p w:rsidR="00904F79" w:rsidRPr="00866DE0" w:rsidRDefault="00F70D1A" w:rsidP="00A71365">
            <w:pPr>
              <w:pStyle w:val="Tablewriting"/>
              <w:rPr>
                <w:rFonts w:eastAsia="MS Mincho"/>
              </w:rPr>
            </w:pPr>
            <w:r w:rsidRPr="00866DE0">
              <w:rPr>
                <w:rFonts w:eastAsia="MS Mincho"/>
              </w:rPr>
              <w:lastRenderedPageBreak/>
              <w:t xml:space="preserve">Myles </w:t>
            </w:r>
            <w:r w:rsidR="0065538B">
              <w:rPr>
                <w:rFonts w:eastAsia="MS Mincho"/>
              </w:rPr>
              <w:t>(</w:t>
            </w:r>
            <w:r w:rsidRPr="00866DE0">
              <w:rPr>
                <w:rFonts w:eastAsia="MS Mincho"/>
              </w:rPr>
              <w:t>2004</w:t>
            </w:r>
            <w:r w:rsidR="0065538B">
              <w:rPr>
                <w:rFonts w:eastAsia="MS Mincho"/>
              </w:rPr>
              <w:t>)</w:t>
            </w:r>
          </w:p>
        </w:tc>
        <w:tc>
          <w:tcPr>
            <w:tcW w:w="238" w:type="pct"/>
          </w:tcPr>
          <w:p w:rsidR="00904F79" w:rsidRDefault="009144BE" w:rsidP="00A71365">
            <w:pPr>
              <w:pStyle w:val="Tablewriting"/>
              <w:rPr>
                <w:rFonts w:eastAsia="MS Mincho"/>
              </w:rPr>
            </w:pPr>
            <w:r>
              <w:rPr>
                <w:rFonts w:eastAsia="MS Mincho"/>
              </w:rPr>
              <w:t>RCT</w:t>
            </w:r>
          </w:p>
        </w:tc>
        <w:tc>
          <w:tcPr>
            <w:tcW w:w="420" w:type="pct"/>
          </w:tcPr>
          <w:p w:rsidR="0035253E" w:rsidRPr="00061F78" w:rsidRDefault="009144BE" w:rsidP="00A71365">
            <w:pPr>
              <w:pStyle w:val="Tablewriting"/>
              <w:rPr>
                <w:rFonts w:eastAsia="MS Mincho"/>
              </w:rPr>
            </w:pPr>
            <w:r>
              <w:rPr>
                <w:rFonts w:eastAsia="MS Mincho"/>
              </w:rPr>
              <w:t>Australia</w:t>
            </w:r>
          </w:p>
        </w:tc>
        <w:tc>
          <w:tcPr>
            <w:tcW w:w="449" w:type="pct"/>
          </w:tcPr>
          <w:p w:rsidR="00904F79" w:rsidRPr="00061F78" w:rsidRDefault="009144BE" w:rsidP="00A71365">
            <w:pPr>
              <w:pStyle w:val="Tablewriting"/>
              <w:rPr>
                <w:rFonts w:eastAsia="MS Mincho"/>
              </w:rPr>
            </w:pPr>
            <w:r>
              <w:rPr>
                <w:rFonts w:eastAsia="MS Mincho"/>
              </w:rPr>
              <w:t>N=47</w:t>
            </w:r>
          </w:p>
        </w:tc>
        <w:tc>
          <w:tcPr>
            <w:tcW w:w="1271" w:type="pct"/>
          </w:tcPr>
          <w:p w:rsidR="009144BE" w:rsidRPr="009144BE" w:rsidRDefault="009144BE" w:rsidP="00A71365">
            <w:pPr>
              <w:pStyle w:val="Tablewriting"/>
              <w:rPr>
                <w:rFonts w:eastAsia="MS Mincho"/>
              </w:rPr>
            </w:pPr>
            <w:r>
              <w:rPr>
                <w:rFonts w:eastAsia="MS Mincho"/>
              </w:rPr>
              <w:t>S</w:t>
            </w:r>
            <w:r w:rsidRPr="009144BE">
              <w:rPr>
                <w:rFonts w:eastAsia="MS Mincho"/>
              </w:rPr>
              <w:t>mokers expected to undergo surgery within 8-14 weeks</w:t>
            </w:r>
            <w:r w:rsidR="0014479B">
              <w:rPr>
                <w:rFonts w:eastAsia="MS Mincho"/>
              </w:rPr>
              <w:t>,</w:t>
            </w:r>
            <w:r w:rsidRPr="009144BE">
              <w:rPr>
                <w:rFonts w:eastAsia="MS Mincho"/>
              </w:rPr>
              <w:t xml:space="preserve"> 34% female</w:t>
            </w:r>
            <w:r w:rsidR="00587829">
              <w:rPr>
                <w:rFonts w:eastAsia="MS Mincho"/>
              </w:rPr>
              <w:t>,</w:t>
            </w:r>
            <w:r w:rsidRPr="009144BE">
              <w:rPr>
                <w:rFonts w:eastAsia="MS Mincho"/>
              </w:rPr>
              <w:t xml:space="preserve"> average age 45/40</w:t>
            </w:r>
            <w:r w:rsidR="0014479B">
              <w:rPr>
                <w:rFonts w:eastAsia="MS Mincho"/>
              </w:rPr>
              <w:t xml:space="preserve"> years,</w:t>
            </w:r>
            <w:r w:rsidRPr="009144BE">
              <w:rPr>
                <w:rFonts w:eastAsia="MS Mincho"/>
              </w:rPr>
              <w:t xml:space="preserve"> 49%</w:t>
            </w:r>
          </w:p>
          <w:p w:rsidR="00904F79" w:rsidRPr="00061F78" w:rsidRDefault="009144BE" w:rsidP="00A71365">
            <w:pPr>
              <w:pStyle w:val="Tablewriting"/>
              <w:rPr>
                <w:rFonts w:eastAsia="MS Mincho"/>
              </w:rPr>
            </w:pPr>
            <w:r w:rsidRPr="009144BE">
              <w:rPr>
                <w:rFonts w:eastAsia="MS Mincho"/>
              </w:rPr>
              <w:t>smoked 21-30 cigarettes per day</w:t>
            </w:r>
          </w:p>
        </w:tc>
        <w:tc>
          <w:tcPr>
            <w:tcW w:w="1224" w:type="pct"/>
          </w:tcPr>
          <w:p w:rsidR="0005143C" w:rsidRDefault="0005143C" w:rsidP="00C324F3">
            <w:pPr>
              <w:pStyle w:val="Tablewriting"/>
              <w:numPr>
                <w:ilvl w:val="0"/>
                <w:numId w:val="38"/>
              </w:numPr>
              <w:rPr>
                <w:rFonts w:eastAsia="MS Mincho"/>
              </w:rPr>
            </w:pPr>
            <w:r w:rsidRPr="0005143C">
              <w:rPr>
                <w:rFonts w:eastAsia="MS Mincho"/>
              </w:rPr>
              <w:t>Bupropion</w:t>
            </w:r>
            <w:r>
              <w:rPr>
                <w:rFonts w:eastAsia="MS Mincho"/>
              </w:rPr>
              <w:t>,</w:t>
            </w:r>
            <w:r w:rsidRPr="0005143C">
              <w:rPr>
                <w:rFonts w:eastAsia="MS Mincho"/>
              </w:rPr>
              <w:t xml:space="preserve"> 300 mg for 7 weeks</w:t>
            </w:r>
          </w:p>
          <w:p w:rsidR="0005143C" w:rsidRPr="0005143C" w:rsidRDefault="0005143C" w:rsidP="00C324F3">
            <w:pPr>
              <w:pStyle w:val="Tablewriting"/>
              <w:numPr>
                <w:ilvl w:val="0"/>
                <w:numId w:val="38"/>
              </w:numPr>
              <w:rPr>
                <w:rFonts w:eastAsia="MS Mincho"/>
              </w:rPr>
            </w:pPr>
            <w:r w:rsidRPr="0005143C">
              <w:rPr>
                <w:rFonts w:eastAsia="MS Mincho"/>
              </w:rPr>
              <w:t xml:space="preserve"> Placebo</w:t>
            </w:r>
          </w:p>
          <w:p w:rsidR="0005143C" w:rsidRDefault="0005143C" w:rsidP="00A71365">
            <w:pPr>
              <w:pStyle w:val="Tablewriting"/>
              <w:rPr>
                <w:rFonts w:eastAsia="MS Mincho"/>
              </w:rPr>
            </w:pPr>
          </w:p>
          <w:p w:rsidR="00904F79" w:rsidRPr="00061F78" w:rsidRDefault="0005143C" w:rsidP="00A71365">
            <w:pPr>
              <w:pStyle w:val="Tablewriting"/>
              <w:rPr>
                <w:rFonts w:eastAsia="MS Mincho"/>
              </w:rPr>
            </w:pPr>
            <w:r w:rsidRPr="0005143C">
              <w:rPr>
                <w:rFonts w:eastAsia="MS Mincho"/>
                <w:u w:val="single"/>
              </w:rPr>
              <w:t>Common components:</w:t>
            </w:r>
            <w:r w:rsidRPr="0005143C">
              <w:rPr>
                <w:rFonts w:eastAsia="MS Mincho"/>
              </w:rPr>
              <w:t xml:space="preserve"> advice at baseline, 1 phone call 2-4 days after TQD. Low intensity</w:t>
            </w:r>
            <w:r w:rsidR="00714110">
              <w:rPr>
                <w:rFonts w:eastAsia="MS Mincho"/>
              </w:rPr>
              <w:t>.</w:t>
            </w:r>
          </w:p>
        </w:tc>
        <w:tc>
          <w:tcPr>
            <w:tcW w:w="832" w:type="pct"/>
          </w:tcPr>
          <w:p w:rsidR="0005143C" w:rsidRPr="0005143C" w:rsidRDefault="0005143C" w:rsidP="00A71365">
            <w:pPr>
              <w:pStyle w:val="Tablewriting"/>
              <w:rPr>
                <w:rFonts w:eastAsia="MS Mincho"/>
              </w:rPr>
            </w:pPr>
            <w:r w:rsidRPr="0005143C">
              <w:rPr>
                <w:rFonts w:eastAsia="MS Mincho"/>
                <w:u w:val="single"/>
              </w:rPr>
              <w:t>Efficacy:</w:t>
            </w:r>
            <w:r w:rsidRPr="0005143C">
              <w:rPr>
                <w:rFonts w:eastAsia="MS Mincho"/>
              </w:rPr>
              <w:t xml:space="preserve"> 28-day </w:t>
            </w:r>
            <w:r w:rsidR="00587829">
              <w:rPr>
                <w:rFonts w:eastAsia="MS Mincho"/>
              </w:rPr>
              <w:t>PPA</w:t>
            </w:r>
            <w:r w:rsidRPr="0005143C">
              <w:rPr>
                <w:rFonts w:eastAsia="MS Mincho"/>
              </w:rPr>
              <w:t xml:space="preserve"> at 6 months. Validated by CO </w:t>
            </w:r>
            <w:r w:rsidR="005B1423" w:rsidRPr="00D96BA4">
              <w:rPr>
                <w:rFonts w:eastAsia="MS Mincho"/>
              </w:rPr>
              <w:t>≤</w:t>
            </w:r>
            <w:r w:rsidRPr="0005143C">
              <w:rPr>
                <w:rFonts w:eastAsia="MS Mincho"/>
              </w:rPr>
              <w:t xml:space="preserve"> 10 ppm</w:t>
            </w:r>
          </w:p>
          <w:p w:rsidR="00904F79" w:rsidRPr="00061F78" w:rsidRDefault="0005143C" w:rsidP="00A71365">
            <w:pPr>
              <w:pStyle w:val="Tablewriting"/>
              <w:rPr>
                <w:rFonts w:eastAsia="MS Mincho"/>
              </w:rPr>
            </w:pPr>
            <w:r w:rsidRPr="0005143C">
              <w:rPr>
                <w:rFonts w:eastAsia="MS Mincho"/>
                <w:u w:val="single"/>
              </w:rPr>
              <w:t>Safety:</w:t>
            </w:r>
            <w:r w:rsidRPr="0005143C">
              <w:rPr>
                <w:rFonts w:eastAsia="MS Mincho"/>
              </w:rPr>
              <w:t xml:space="preserve"> not clearly</w:t>
            </w:r>
            <w:r w:rsidR="00714110">
              <w:rPr>
                <w:rFonts w:eastAsia="MS Mincho"/>
              </w:rPr>
              <w:t xml:space="preserve"> </w:t>
            </w:r>
            <w:r w:rsidRPr="0005143C">
              <w:rPr>
                <w:rFonts w:eastAsia="MS Mincho"/>
              </w:rPr>
              <w:t>specified</w:t>
            </w:r>
            <w:r w:rsidR="00714110">
              <w:rPr>
                <w:rFonts w:eastAsia="MS Mincho"/>
              </w:rPr>
              <w:t>.</w:t>
            </w:r>
          </w:p>
        </w:tc>
      </w:tr>
      <w:tr w:rsidR="00D137CE" w:rsidRPr="00061F78" w:rsidTr="004529B1">
        <w:trPr>
          <w:trHeight w:val="149"/>
        </w:trPr>
        <w:tc>
          <w:tcPr>
            <w:tcW w:w="565" w:type="pct"/>
          </w:tcPr>
          <w:p w:rsidR="00D137CE" w:rsidRPr="00866DE0" w:rsidRDefault="00F70D1A" w:rsidP="00A71365">
            <w:pPr>
              <w:pStyle w:val="Tablewriting"/>
              <w:rPr>
                <w:rFonts w:eastAsia="MS Mincho"/>
              </w:rPr>
            </w:pPr>
            <w:r w:rsidRPr="00866DE0">
              <w:rPr>
                <w:rFonts w:eastAsia="MS Mincho"/>
              </w:rPr>
              <w:t xml:space="preserve">Nides </w:t>
            </w:r>
            <w:r w:rsidR="0065538B">
              <w:rPr>
                <w:rFonts w:eastAsia="MS Mincho"/>
              </w:rPr>
              <w:t>(</w:t>
            </w:r>
            <w:r w:rsidRPr="00866DE0">
              <w:rPr>
                <w:rFonts w:eastAsia="MS Mincho"/>
              </w:rPr>
              <w:t>2006</w:t>
            </w:r>
            <w:r w:rsidR="0065538B">
              <w:rPr>
                <w:rFonts w:eastAsia="MS Mincho"/>
              </w:rPr>
              <w:t>)</w:t>
            </w:r>
          </w:p>
        </w:tc>
        <w:tc>
          <w:tcPr>
            <w:tcW w:w="238" w:type="pct"/>
          </w:tcPr>
          <w:p w:rsidR="00D137CE" w:rsidRDefault="00AA76BD" w:rsidP="00A71365">
            <w:pPr>
              <w:pStyle w:val="Tablewriting"/>
              <w:rPr>
                <w:rFonts w:eastAsia="MS Mincho"/>
              </w:rPr>
            </w:pPr>
            <w:r>
              <w:rPr>
                <w:rFonts w:eastAsia="MS Mincho"/>
              </w:rPr>
              <w:t>RCT</w:t>
            </w:r>
          </w:p>
        </w:tc>
        <w:tc>
          <w:tcPr>
            <w:tcW w:w="420" w:type="pct"/>
          </w:tcPr>
          <w:p w:rsidR="0035253E" w:rsidRPr="00061F78" w:rsidRDefault="00AA76BD" w:rsidP="00A71365">
            <w:pPr>
              <w:pStyle w:val="Tablewriting"/>
              <w:rPr>
                <w:rFonts w:eastAsia="MS Mincho"/>
              </w:rPr>
            </w:pPr>
            <w:r>
              <w:rPr>
                <w:rFonts w:eastAsia="MS Mincho"/>
              </w:rPr>
              <w:t>USA</w:t>
            </w:r>
          </w:p>
        </w:tc>
        <w:tc>
          <w:tcPr>
            <w:tcW w:w="449" w:type="pct"/>
          </w:tcPr>
          <w:p w:rsidR="00D137CE" w:rsidRPr="00061F78" w:rsidRDefault="00AA76BD" w:rsidP="00A71365">
            <w:pPr>
              <w:pStyle w:val="Tablewriting"/>
              <w:rPr>
                <w:rFonts w:eastAsia="MS Mincho"/>
              </w:rPr>
            </w:pPr>
            <w:r>
              <w:rPr>
                <w:rFonts w:eastAsia="MS Mincho"/>
              </w:rPr>
              <w:t>N=</w:t>
            </w:r>
            <w:r w:rsidRPr="00AA76BD">
              <w:rPr>
                <w:rFonts w:eastAsia="MS Mincho"/>
              </w:rPr>
              <w:t>638</w:t>
            </w:r>
          </w:p>
        </w:tc>
        <w:tc>
          <w:tcPr>
            <w:tcW w:w="1271" w:type="pct"/>
          </w:tcPr>
          <w:p w:rsidR="00D137CE" w:rsidRPr="00061F78" w:rsidRDefault="00AA76BD" w:rsidP="00A71365">
            <w:pPr>
              <w:pStyle w:val="Tablewriting"/>
              <w:rPr>
                <w:rFonts w:eastAsia="MS Mincho"/>
              </w:rPr>
            </w:pPr>
            <w:r>
              <w:rPr>
                <w:rFonts w:eastAsia="MS Mincho"/>
              </w:rPr>
              <w:t>S</w:t>
            </w:r>
            <w:r w:rsidRPr="00AA76BD">
              <w:rPr>
                <w:rFonts w:eastAsia="MS Mincho"/>
              </w:rPr>
              <w:t>mokers (255 in relevant arms, including 2 bupropion and 4 placebo who did not start medication)</w:t>
            </w:r>
            <w:r w:rsidR="0014479B">
              <w:rPr>
                <w:rFonts w:eastAsia="MS Mincho"/>
              </w:rPr>
              <w:t>,</w:t>
            </w:r>
            <w:r>
              <w:rPr>
                <w:rFonts w:eastAsia="MS Mincho"/>
              </w:rPr>
              <w:t xml:space="preserve"> </w:t>
            </w:r>
            <w:r w:rsidRPr="00AA76BD">
              <w:rPr>
                <w:rFonts w:eastAsia="MS Mincho"/>
              </w:rPr>
              <w:t>51% female</w:t>
            </w:r>
            <w:r w:rsidR="0014479B">
              <w:rPr>
                <w:rFonts w:eastAsia="MS Mincho"/>
              </w:rPr>
              <w:t>,</w:t>
            </w:r>
            <w:r w:rsidRPr="00AA76BD">
              <w:rPr>
                <w:rFonts w:eastAsia="MS Mincho"/>
              </w:rPr>
              <w:t xml:space="preserve"> average age 41</w:t>
            </w:r>
            <w:r w:rsidR="0014479B">
              <w:rPr>
                <w:rFonts w:eastAsia="MS Mincho"/>
              </w:rPr>
              <w:t xml:space="preserve"> years,</w:t>
            </w:r>
            <w:r>
              <w:rPr>
                <w:rFonts w:eastAsia="MS Mincho"/>
              </w:rPr>
              <w:t xml:space="preserve"> </w:t>
            </w:r>
            <w:r w:rsidRPr="00AA76BD">
              <w:rPr>
                <w:rFonts w:eastAsia="MS Mincho"/>
              </w:rPr>
              <w:t>average cigarettes per day 20</w:t>
            </w:r>
          </w:p>
        </w:tc>
        <w:tc>
          <w:tcPr>
            <w:tcW w:w="1224" w:type="pct"/>
          </w:tcPr>
          <w:p w:rsidR="006B7916" w:rsidRPr="006B7916" w:rsidRDefault="006B7916" w:rsidP="00C324F3">
            <w:pPr>
              <w:pStyle w:val="Tablewriting"/>
              <w:numPr>
                <w:ilvl w:val="0"/>
                <w:numId w:val="39"/>
              </w:numPr>
              <w:rPr>
                <w:rFonts w:eastAsia="MS Mincho"/>
              </w:rPr>
            </w:pPr>
            <w:r w:rsidRPr="006B7916">
              <w:rPr>
                <w:rFonts w:eastAsia="MS Mincho"/>
              </w:rPr>
              <w:t>Bupropion, 300 mg for 7 weeks</w:t>
            </w:r>
          </w:p>
          <w:p w:rsidR="006B7916" w:rsidRDefault="006B7916" w:rsidP="00C324F3">
            <w:pPr>
              <w:pStyle w:val="Tablewriting"/>
              <w:numPr>
                <w:ilvl w:val="0"/>
                <w:numId w:val="39"/>
              </w:numPr>
              <w:rPr>
                <w:rFonts w:eastAsia="MS Mincho"/>
              </w:rPr>
            </w:pPr>
            <w:r w:rsidRPr="006B7916">
              <w:rPr>
                <w:rFonts w:eastAsia="MS Mincho"/>
              </w:rPr>
              <w:t>Varenicline, 2 mg for 7 weeks (other dose regimens not used in review)</w:t>
            </w:r>
          </w:p>
          <w:p w:rsidR="006B7916" w:rsidRPr="006B7916" w:rsidRDefault="006B7916" w:rsidP="00C324F3">
            <w:pPr>
              <w:pStyle w:val="Tablewriting"/>
              <w:numPr>
                <w:ilvl w:val="0"/>
                <w:numId w:val="39"/>
              </w:numPr>
              <w:rPr>
                <w:rFonts w:eastAsia="MS Mincho"/>
              </w:rPr>
            </w:pPr>
            <w:r w:rsidRPr="006B7916">
              <w:rPr>
                <w:rFonts w:eastAsia="MS Mincho"/>
              </w:rPr>
              <w:t xml:space="preserve"> Placebo</w:t>
            </w:r>
          </w:p>
          <w:p w:rsidR="006B7916" w:rsidRDefault="006B7916" w:rsidP="00A71365">
            <w:pPr>
              <w:pStyle w:val="Tablewriting"/>
              <w:rPr>
                <w:rFonts w:eastAsia="MS Mincho"/>
              </w:rPr>
            </w:pPr>
          </w:p>
          <w:p w:rsidR="00D137CE" w:rsidRPr="00061F78" w:rsidRDefault="006B7916" w:rsidP="00A71365">
            <w:pPr>
              <w:pStyle w:val="Tablewriting"/>
              <w:rPr>
                <w:rFonts w:eastAsia="MS Mincho"/>
              </w:rPr>
            </w:pPr>
            <w:r w:rsidRPr="006B7916">
              <w:rPr>
                <w:rFonts w:eastAsia="MS Mincho"/>
                <w:u w:val="single"/>
              </w:rPr>
              <w:t>Common components:</w:t>
            </w:r>
            <w:r w:rsidRPr="006B7916">
              <w:rPr>
                <w:rFonts w:eastAsia="MS Mincho"/>
              </w:rPr>
              <w:t xml:space="preserve"> up to 10 mins counselling at 7</w:t>
            </w:r>
            <w:r>
              <w:rPr>
                <w:rFonts w:eastAsia="MS Mincho"/>
              </w:rPr>
              <w:t xml:space="preserve"> </w:t>
            </w:r>
            <w:r w:rsidRPr="006B7916">
              <w:rPr>
                <w:rFonts w:eastAsia="MS Mincho"/>
              </w:rPr>
              <w:t>weekly clinic visits, 12 weeks and 24 weeks</w:t>
            </w:r>
          </w:p>
        </w:tc>
        <w:tc>
          <w:tcPr>
            <w:tcW w:w="832" w:type="pct"/>
          </w:tcPr>
          <w:p w:rsidR="000B11D5" w:rsidRPr="000B11D5" w:rsidRDefault="000B11D5" w:rsidP="00A71365">
            <w:pPr>
              <w:pStyle w:val="Tablewriting"/>
              <w:rPr>
                <w:rFonts w:eastAsia="MS Mincho"/>
              </w:rPr>
            </w:pPr>
            <w:r w:rsidRPr="000B11D5">
              <w:rPr>
                <w:rFonts w:eastAsia="MS Mincho"/>
                <w:u w:val="single"/>
              </w:rPr>
              <w:t>Efficacy</w:t>
            </w:r>
            <w:r w:rsidRPr="000B11D5">
              <w:rPr>
                <w:rFonts w:eastAsia="MS Mincho"/>
              </w:rPr>
              <w:t>: continuous abstinence at 12 months (starting from week 4). Validated by CO</w:t>
            </w:r>
          </w:p>
          <w:p w:rsidR="00D137CE" w:rsidRPr="00061F78" w:rsidRDefault="000B11D5" w:rsidP="00A71365">
            <w:pPr>
              <w:pStyle w:val="Tablewriting"/>
              <w:rPr>
                <w:rFonts w:eastAsia="MS Mincho"/>
              </w:rPr>
            </w:pPr>
            <w:r w:rsidRPr="000B11D5">
              <w:rPr>
                <w:rFonts w:eastAsia="MS Mincho"/>
                <w:u w:val="single"/>
              </w:rPr>
              <w:t>Safety:</w:t>
            </w:r>
            <w:r w:rsidRPr="000B11D5">
              <w:rPr>
                <w:rFonts w:eastAsia="MS Mincho"/>
              </w:rPr>
              <w:t xml:space="preserve"> measured for 11 weeks</w:t>
            </w:r>
            <w:r w:rsidR="00E41249">
              <w:rPr>
                <w:rFonts w:eastAsia="MS Mincho"/>
              </w:rPr>
              <w:t>.</w:t>
            </w:r>
          </w:p>
        </w:tc>
      </w:tr>
      <w:tr w:rsidR="00D137CE" w:rsidRPr="00061F78" w:rsidTr="004529B1">
        <w:trPr>
          <w:trHeight w:val="149"/>
        </w:trPr>
        <w:tc>
          <w:tcPr>
            <w:tcW w:w="565" w:type="pct"/>
          </w:tcPr>
          <w:p w:rsidR="00D137CE" w:rsidRPr="00866DE0" w:rsidRDefault="00E73E12" w:rsidP="00A71365">
            <w:pPr>
              <w:pStyle w:val="Tablewriting"/>
              <w:rPr>
                <w:rFonts w:eastAsia="MS Mincho"/>
              </w:rPr>
            </w:pPr>
            <w:r w:rsidRPr="00866DE0">
              <w:rPr>
                <w:rFonts w:eastAsia="MS Mincho"/>
              </w:rPr>
              <w:t xml:space="preserve">Piper </w:t>
            </w:r>
            <w:r w:rsidR="0065538B">
              <w:rPr>
                <w:rFonts w:eastAsia="MS Mincho"/>
              </w:rPr>
              <w:t>(</w:t>
            </w:r>
            <w:r w:rsidRPr="00866DE0">
              <w:rPr>
                <w:rFonts w:eastAsia="MS Mincho"/>
              </w:rPr>
              <w:t>2007</w:t>
            </w:r>
            <w:r w:rsidR="0065538B">
              <w:rPr>
                <w:rFonts w:eastAsia="MS Mincho"/>
              </w:rPr>
              <w:t>)</w:t>
            </w:r>
          </w:p>
        </w:tc>
        <w:tc>
          <w:tcPr>
            <w:tcW w:w="238" w:type="pct"/>
          </w:tcPr>
          <w:p w:rsidR="00D137CE" w:rsidRDefault="005051DC" w:rsidP="00A71365">
            <w:pPr>
              <w:pStyle w:val="Tablewriting"/>
              <w:rPr>
                <w:rFonts w:eastAsia="MS Mincho"/>
              </w:rPr>
            </w:pPr>
            <w:r>
              <w:rPr>
                <w:rFonts w:eastAsia="MS Mincho"/>
              </w:rPr>
              <w:t>RCT</w:t>
            </w:r>
          </w:p>
        </w:tc>
        <w:tc>
          <w:tcPr>
            <w:tcW w:w="420" w:type="pct"/>
          </w:tcPr>
          <w:p w:rsidR="0035253E" w:rsidRPr="00061F78" w:rsidRDefault="005051DC" w:rsidP="00A71365">
            <w:pPr>
              <w:pStyle w:val="Tablewriting"/>
              <w:rPr>
                <w:rFonts w:eastAsia="MS Mincho"/>
              </w:rPr>
            </w:pPr>
            <w:r>
              <w:rPr>
                <w:rFonts w:eastAsia="MS Mincho"/>
              </w:rPr>
              <w:t>USA</w:t>
            </w:r>
          </w:p>
        </w:tc>
        <w:tc>
          <w:tcPr>
            <w:tcW w:w="449" w:type="pct"/>
          </w:tcPr>
          <w:p w:rsidR="00D137CE" w:rsidRPr="00061F78" w:rsidRDefault="005051DC" w:rsidP="00A71365">
            <w:pPr>
              <w:pStyle w:val="Tablewriting"/>
              <w:rPr>
                <w:rFonts w:eastAsia="MS Mincho"/>
              </w:rPr>
            </w:pPr>
            <w:r>
              <w:rPr>
                <w:rFonts w:eastAsia="MS Mincho"/>
              </w:rPr>
              <w:t>N=</w:t>
            </w:r>
            <w:r w:rsidRPr="005051DC">
              <w:rPr>
                <w:rFonts w:eastAsia="MS Mincho"/>
              </w:rPr>
              <w:t xml:space="preserve">608 </w:t>
            </w:r>
          </w:p>
        </w:tc>
        <w:tc>
          <w:tcPr>
            <w:tcW w:w="1271" w:type="pct"/>
          </w:tcPr>
          <w:p w:rsidR="00D137CE" w:rsidRPr="00061F78" w:rsidRDefault="005051DC" w:rsidP="00A71365">
            <w:pPr>
              <w:pStyle w:val="Tablewriting"/>
              <w:rPr>
                <w:rFonts w:eastAsia="MS Mincho"/>
              </w:rPr>
            </w:pPr>
            <w:r>
              <w:rPr>
                <w:rFonts w:eastAsia="MS Mincho"/>
              </w:rPr>
              <w:t>S</w:t>
            </w:r>
            <w:r w:rsidRPr="005051DC">
              <w:rPr>
                <w:rFonts w:eastAsia="MS Mincho"/>
              </w:rPr>
              <w:t>mokers</w:t>
            </w:r>
            <w:r w:rsidR="0014479B">
              <w:rPr>
                <w:rFonts w:eastAsia="MS Mincho"/>
              </w:rPr>
              <w:t>,</w:t>
            </w:r>
            <w:r w:rsidRPr="005051DC">
              <w:rPr>
                <w:rFonts w:eastAsia="MS Mincho"/>
              </w:rPr>
              <w:t xml:space="preserve"> 58% female</w:t>
            </w:r>
            <w:r w:rsidR="0014479B">
              <w:rPr>
                <w:rFonts w:eastAsia="MS Mincho"/>
              </w:rPr>
              <w:t>,</w:t>
            </w:r>
            <w:r w:rsidRPr="005051DC">
              <w:rPr>
                <w:rFonts w:eastAsia="MS Mincho"/>
              </w:rPr>
              <w:t xml:space="preserve"> average age 42</w:t>
            </w:r>
            <w:r w:rsidR="0014479B">
              <w:rPr>
                <w:rFonts w:eastAsia="MS Mincho"/>
              </w:rPr>
              <w:t>,</w:t>
            </w:r>
            <w:r w:rsidRPr="005051DC">
              <w:rPr>
                <w:rFonts w:eastAsia="MS Mincho"/>
              </w:rPr>
              <w:t xml:space="preserve"> average cigarettes per day 22</w:t>
            </w:r>
          </w:p>
        </w:tc>
        <w:tc>
          <w:tcPr>
            <w:tcW w:w="1224" w:type="pct"/>
          </w:tcPr>
          <w:p w:rsidR="005051DC" w:rsidRPr="005051DC" w:rsidRDefault="005051DC" w:rsidP="00C324F3">
            <w:pPr>
              <w:pStyle w:val="Tablewriting"/>
              <w:numPr>
                <w:ilvl w:val="0"/>
                <w:numId w:val="40"/>
              </w:numPr>
              <w:rPr>
                <w:rFonts w:eastAsia="MS Mincho"/>
              </w:rPr>
            </w:pPr>
            <w:r w:rsidRPr="005051DC">
              <w:rPr>
                <w:rFonts w:eastAsia="MS Mincho"/>
              </w:rPr>
              <w:t>Nicotine gum and bupropion. Gum at 4 mg. Bupropion at 300 mg</w:t>
            </w:r>
          </w:p>
          <w:p w:rsidR="005051DC" w:rsidRPr="005051DC" w:rsidRDefault="005051DC" w:rsidP="00C324F3">
            <w:pPr>
              <w:pStyle w:val="Tablewriting"/>
              <w:numPr>
                <w:ilvl w:val="0"/>
                <w:numId w:val="40"/>
              </w:numPr>
              <w:rPr>
                <w:rFonts w:eastAsia="MS Mincho"/>
              </w:rPr>
            </w:pPr>
            <w:r w:rsidRPr="005051DC">
              <w:rPr>
                <w:rFonts w:eastAsia="MS Mincho"/>
              </w:rPr>
              <w:t>Placebo gum and bupropion</w:t>
            </w:r>
          </w:p>
          <w:p w:rsidR="005051DC" w:rsidRPr="005051DC" w:rsidRDefault="005051DC" w:rsidP="00C324F3">
            <w:pPr>
              <w:pStyle w:val="Tablewriting"/>
              <w:numPr>
                <w:ilvl w:val="0"/>
                <w:numId w:val="40"/>
              </w:numPr>
              <w:rPr>
                <w:rFonts w:eastAsia="MS Mincho"/>
              </w:rPr>
            </w:pPr>
            <w:r w:rsidRPr="005051DC">
              <w:rPr>
                <w:rFonts w:eastAsia="MS Mincho"/>
              </w:rPr>
              <w:t>Double placebo</w:t>
            </w:r>
          </w:p>
          <w:p w:rsidR="005051DC" w:rsidRDefault="005051DC" w:rsidP="00A71365">
            <w:pPr>
              <w:pStyle w:val="Tablewriting"/>
              <w:rPr>
                <w:rFonts w:eastAsia="MS Mincho"/>
              </w:rPr>
            </w:pPr>
          </w:p>
          <w:p w:rsidR="00D137CE" w:rsidRPr="00061F78" w:rsidRDefault="005051DC" w:rsidP="00A71365">
            <w:pPr>
              <w:pStyle w:val="Tablewriting"/>
              <w:rPr>
                <w:rFonts w:eastAsia="MS Mincho"/>
              </w:rPr>
            </w:pPr>
            <w:r w:rsidRPr="005051DC">
              <w:rPr>
                <w:rFonts w:eastAsia="MS Mincho"/>
                <w:u w:val="single"/>
              </w:rPr>
              <w:t>Common components:</w:t>
            </w:r>
            <w:r w:rsidRPr="005051DC">
              <w:rPr>
                <w:rFonts w:eastAsia="MS Mincho"/>
              </w:rPr>
              <w:t xml:space="preserve"> three 10-min counselling sessions over 3 weeks</w:t>
            </w:r>
          </w:p>
        </w:tc>
        <w:tc>
          <w:tcPr>
            <w:tcW w:w="832" w:type="pct"/>
          </w:tcPr>
          <w:p w:rsidR="008E15EF" w:rsidRPr="008E15EF" w:rsidRDefault="008E15EF" w:rsidP="00A71365">
            <w:pPr>
              <w:pStyle w:val="Tablewriting"/>
              <w:rPr>
                <w:rFonts w:eastAsia="MS Mincho"/>
              </w:rPr>
            </w:pPr>
            <w:r w:rsidRPr="008E15EF">
              <w:rPr>
                <w:rFonts w:eastAsia="MS Mincho"/>
                <w:u w:val="single"/>
              </w:rPr>
              <w:t>Efficacy:</w:t>
            </w:r>
            <w:r w:rsidRPr="008E15EF">
              <w:rPr>
                <w:rFonts w:eastAsia="MS Mincho"/>
              </w:rPr>
              <w:t xml:space="preserve"> </w:t>
            </w:r>
            <w:r w:rsidR="0014479B">
              <w:rPr>
                <w:rFonts w:eastAsia="MS Mincho"/>
              </w:rPr>
              <w:t>PPA</w:t>
            </w:r>
            <w:r w:rsidRPr="008E15EF">
              <w:rPr>
                <w:rFonts w:eastAsia="MS Mincho"/>
              </w:rPr>
              <w:t xml:space="preserve"> at 12 months. Validated by CO or blood cotinine</w:t>
            </w:r>
          </w:p>
          <w:p w:rsidR="00D137CE" w:rsidRPr="00061F78" w:rsidRDefault="008E15EF" w:rsidP="00A71365">
            <w:pPr>
              <w:pStyle w:val="Tablewriting"/>
              <w:rPr>
                <w:rFonts w:eastAsia="MS Mincho"/>
              </w:rPr>
            </w:pPr>
            <w:r w:rsidRPr="008E15EF">
              <w:rPr>
                <w:rFonts w:eastAsia="MS Mincho"/>
                <w:u w:val="single"/>
              </w:rPr>
              <w:t>Safety:</w:t>
            </w:r>
            <w:r w:rsidRPr="008E15EF">
              <w:rPr>
                <w:rFonts w:eastAsia="MS Mincho"/>
              </w:rPr>
              <w:t xml:space="preserve"> measured for unspecified period</w:t>
            </w:r>
            <w:r w:rsidR="00E41249">
              <w:rPr>
                <w:rFonts w:eastAsia="MS Mincho"/>
              </w:rPr>
              <w:t>.</w:t>
            </w:r>
          </w:p>
        </w:tc>
      </w:tr>
      <w:tr w:rsidR="00D137CE" w:rsidRPr="00061F78" w:rsidTr="004529B1">
        <w:trPr>
          <w:trHeight w:val="149"/>
        </w:trPr>
        <w:tc>
          <w:tcPr>
            <w:tcW w:w="565" w:type="pct"/>
          </w:tcPr>
          <w:p w:rsidR="00D137CE" w:rsidRPr="00866DE0" w:rsidRDefault="00E73E12" w:rsidP="00A71365">
            <w:pPr>
              <w:pStyle w:val="Tablewriting"/>
              <w:rPr>
                <w:rFonts w:eastAsia="MS Mincho"/>
              </w:rPr>
            </w:pPr>
            <w:r w:rsidRPr="00866DE0">
              <w:rPr>
                <w:rFonts w:eastAsia="MS Mincho"/>
              </w:rPr>
              <w:t xml:space="preserve">Piper </w:t>
            </w:r>
            <w:r w:rsidR="0065538B">
              <w:rPr>
                <w:rFonts w:eastAsia="MS Mincho"/>
              </w:rPr>
              <w:t>(</w:t>
            </w:r>
            <w:r w:rsidRPr="00866DE0">
              <w:rPr>
                <w:rFonts w:eastAsia="MS Mincho"/>
              </w:rPr>
              <w:t>2009</w:t>
            </w:r>
            <w:r w:rsidR="0065538B">
              <w:rPr>
                <w:rFonts w:eastAsia="MS Mincho"/>
              </w:rPr>
              <w:t>)</w:t>
            </w:r>
          </w:p>
        </w:tc>
        <w:tc>
          <w:tcPr>
            <w:tcW w:w="238" w:type="pct"/>
          </w:tcPr>
          <w:p w:rsidR="00D137CE" w:rsidRDefault="008E15EF" w:rsidP="00A71365">
            <w:pPr>
              <w:pStyle w:val="Tablewriting"/>
              <w:rPr>
                <w:rFonts w:eastAsia="MS Mincho"/>
              </w:rPr>
            </w:pPr>
            <w:r>
              <w:rPr>
                <w:rFonts w:eastAsia="MS Mincho"/>
              </w:rPr>
              <w:t>RCT</w:t>
            </w:r>
          </w:p>
        </w:tc>
        <w:tc>
          <w:tcPr>
            <w:tcW w:w="420" w:type="pct"/>
          </w:tcPr>
          <w:p w:rsidR="0035253E" w:rsidRPr="00061F78" w:rsidRDefault="008E15EF" w:rsidP="00A71365">
            <w:pPr>
              <w:pStyle w:val="Tablewriting"/>
              <w:rPr>
                <w:rFonts w:eastAsia="MS Mincho"/>
              </w:rPr>
            </w:pPr>
            <w:r>
              <w:rPr>
                <w:rFonts w:eastAsia="MS Mincho"/>
              </w:rPr>
              <w:t>USA</w:t>
            </w:r>
          </w:p>
        </w:tc>
        <w:tc>
          <w:tcPr>
            <w:tcW w:w="449" w:type="pct"/>
          </w:tcPr>
          <w:p w:rsidR="00D137CE" w:rsidRPr="00061F78" w:rsidRDefault="008E15EF" w:rsidP="00A71365">
            <w:pPr>
              <w:pStyle w:val="Tablewriting"/>
              <w:rPr>
                <w:rFonts w:eastAsia="MS Mincho"/>
              </w:rPr>
            </w:pPr>
            <w:r>
              <w:rPr>
                <w:rFonts w:eastAsia="MS Mincho"/>
              </w:rPr>
              <w:t>N=</w:t>
            </w:r>
            <w:r w:rsidRPr="008E15EF">
              <w:rPr>
                <w:rFonts w:eastAsia="MS Mincho"/>
              </w:rPr>
              <w:t xml:space="preserve">1504 </w:t>
            </w:r>
          </w:p>
        </w:tc>
        <w:tc>
          <w:tcPr>
            <w:tcW w:w="1271" w:type="pct"/>
          </w:tcPr>
          <w:p w:rsidR="00D137CE" w:rsidRPr="00061F78" w:rsidRDefault="008E15EF" w:rsidP="00A71365">
            <w:pPr>
              <w:pStyle w:val="Tablewriting"/>
              <w:rPr>
                <w:rFonts w:eastAsia="MS Mincho"/>
              </w:rPr>
            </w:pPr>
            <w:r>
              <w:rPr>
                <w:rFonts w:eastAsia="MS Mincho"/>
              </w:rPr>
              <w:t>S</w:t>
            </w:r>
            <w:r w:rsidRPr="008E15EF">
              <w:rPr>
                <w:rFonts w:eastAsia="MS Mincho"/>
              </w:rPr>
              <w:t>mokers</w:t>
            </w:r>
            <w:r w:rsidR="0014479B">
              <w:rPr>
                <w:rFonts w:eastAsia="MS Mincho"/>
              </w:rPr>
              <w:t>,</w:t>
            </w:r>
            <w:r w:rsidRPr="008E15EF">
              <w:rPr>
                <w:rFonts w:eastAsia="MS Mincho"/>
              </w:rPr>
              <w:t xml:space="preserve"> 58% female</w:t>
            </w:r>
            <w:r w:rsidR="0014479B">
              <w:rPr>
                <w:rFonts w:eastAsia="MS Mincho"/>
              </w:rPr>
              <w:t>,</w:t>
            </w:r>
            <w:r w:rsidRPr="008E15EF">
              <w:rPr>
                <w:rFonts w:eastAsia="MS Mincho"/>
              </w:rPr>
              <w:t xml:space="preserve"> average age 45</w:t>
            </w:r>
            <w:r w:rsidR="0014479B">
              <w:rPr>
                <w:rFonts w:eastAsia="MS Mincho"/>
              </w:rPr>
              <w:t>,</w:t>
            </w:r>
            <w:r w:rsidRPr="008E15EF">
              <w:rPr>
                <w:rFonts w:eastAsia="MS Mincho"/>
              </w:rPr>
              <w:t xml:space="preserve"> average cigarettes per day 21.4</w:t>
            </w:r>
          </w:p>
        </w:tc>
        <w:tc>
          <w:tcPr>
            <w:tcW w:w="1224" w:type="pct"/>
          </w:tcPr>
          <w:p w:rsidR="00643CC8" w:rsidRPr="00643CC8" w:rsidRDefault="00643CC8" w:rsidP="00C324F3">
            <w:pPr>
              <w:pStyle w:val="Tablewriting"/>
              <w:numPr>
                <w:ilvl w:val="0"/>
                <w:numId w:val="41"/>
              </w:numPr>
              <w:rPr>
                <w:rFonts w:eastAsia="MS Mincho"/>
              </w:rPr>
            </w:pPr>
            <w:r w:rsidRPr="00643CC8">
              <w:rPr>
                <w:rFonts w:eastAsia="MS Mincho"/>
              </w:rPr>
              <w:t>Bupropion SR. 150 mg twice/day, 1 week pre-quit, 8 weeks post-quit</w:t>
            </w:r>
          </w:p>
          <w:p w:rsidR="00643CC8" w:rsidRDefault="00643CC8" w:rsidP="00C324F3">
            <w:pPr>
              <w:pStyle w:val="Tablewriting"/>
              <w:numPr>
                <w:ilvl w:val="0"/>
                <w:numId w:val="41"/>
              </w:numPr>
              <w:rPr>
                <w:rFonts w:eastAsia="MS Mincho"/>
              </w:rPr>
            </w:pPr>
            <w:r w:rsidRPr="00643CC8">
              <w:rPr>
                <w:rFonts w:eastAsia="MS Mincho"/>
              </w:rPr>
              <w:t>Bupropion and nicotine lozenge. Duration and dosage as below</w:t>
            </w:r>
          </w:p>
          <w:p w:rsidR="00643CC8" w:rsidRDefault="00643CC8" w:rsidP="00C324F3">
            <w:pPr>
              <w:pStyle w:val="Tablewriting"/>
              <w:numPr>
                <w:ilvl w:val="0"/>
                <w:numId w:val="41"/>
              </w:numPr>
              <w:rPr>
                <w:rFonts w:eastAsia="MS Mincho"/>
              </w:rPr>
            </w:pPr>
            <w:r w:rsidRPr="00643CC8">
              <w:rPr>
                <w:rFonts w:eastAsia="MS Mincho"/>
              </w:rPr>
              <w:t>Nicotine lozenge. 2 mg or 4 mg for 12 weeks (based on dose-for-dependence level as per instructions)</w:t>
            </w:r>
          </w:p>
          <w:p w:rsidR="00643CC8" w:rsidRDefault="00643CC8" w:rsidP="00C324F3">
            <w:pPr>
              <w:pStyle w:val="Tablewriting"/>
              <w:numPr>
                <w:ilvl w:val="0"/>
                <w:numId w:val="41"/>
              </w:numPr>
              <w:rPr>
                <w:rFonts w:eastAsia="MS Mincho"/>
              </w:rPr>
            </w:pPr>
            <w:r w:rsidRPr="00643CC8">
              <w:rPr>
                <w:rFonts w:eastAsia="MS Mincho"/>
              </w:rPr>
              <w:lastRenderedPageBreak/>
              <w:t>Nicotine patch (24 hr, 21, 14, and 7 mg titrated down over 8-week period post-quit)</w:t>
            </w:r>
          </w:p>
          <w:p w:rsidR="00643CC8" w:rsidRDefault="00643CC8" w:rsidP="00C324F3">
            <w:pPr>
              <w:pStyle w:val="Tablewriting"/>
              <w:numPr>
                <w:ilvl w:val="0"/>
                <w:numId w:val="41"/>
              </w:numPr>
              <w:rPr>
                <w:rFonts w:eastAsia="MS Mincho"/>
              </w:rPr>
            </w:pPr>
            <w:r w:rsidRPr="00643CC8">
              <w:rPr>
                <w:rFonts w:eastAsia="MS Mincho"/>
              </w:rPr>
              <w:t>Nicotine lozenge and nicotine patch. Duration and dosage as above</w:t>
            </w:r>
          </w:p>
          <w:p w:rsidR="00643CC8" w:rsidRDefault="00643CC8" w:rsidP="00C324F3">
            <w:pPr>
              <w:pStyle w:val="Tablewriting"/>
              <w:numPr>
                <w:ilvl w:val="0"/>
                <w:numId w:val="41"/>
              </w:numPr>
              <w:rPr>
                <w:rFonts w:eastAsia="MS Mincho"/>
              </w:rPr>
            </w:pPr>
            <w:r w:rsidRPr="00643CC8">
              <w:rPr>
                <w:rFonts w:eastAsia="MS Mincho"/>
              </w:rPr>
              <w:t>Placebo bupropion</w:t>
            </w:r>
          </w:p>
          <w:p w:rsidR="00643CC8" w:rsidRDefault="00643CC8" w:rsidP="00C324F3">
            <w:pPr>
              <w:pStyle w:val="Tablewriting"/>
              <w:numPr>
                <w:ilvl w:val="0"/>
                <w:numId w:val="41"/>
              </w:numPr>
              <w:rPr>
                <w:rFonts w:eastAsia="MS Mincho"/>
              </w:rPr>
            </w:pPr>
            <w:r w:rsidRPr="00643CC8">
              <w:rPr>
                <w:rFonts w:eastAsia="MS Mincho"/>
              </w:rPr>
              <w:t>Placebo bupropion and placebo lozenge</w:t>
            </w:r>
          </w:p>
          <w:p w:rsidR="00643CC8" w:rsidRDefault="00643CC8" w:rsidP="00C324F3">
            <w:pPr>
              <w:pStyle w:val="Tablewriting"/>
              <w:numPr>
                <w:ilvl w:val="0"/>
                <w:numId w:val="41"/>
              </w:numPr>
              <w:rPr>
                <w:rFonts w:eastAsia="MS Mincho"/>
              </w:rPr>
            </w:pPr>
            <w:r w:rsidRPr="00643CC8">
              <w:rPr>
                <w:rFonts w:eastAsia="MS Mincho"/>
              </w:rPr>
              <w:t>Placebo lozenge</w:t>
            </w:r>
          </w:p>
          <w:p w:rsidR="00643CC8" w:rsidRDefault="00643CC8" w:rsidP="00C324F3">
            <w:pPr>
              <w:pStyle w:val="Tablewriting"/>
              <w:numPr>
                <w:ilvl w:val="0"/>
                <w:numId w:val="41"/>
              </w:numPr>
              <w:rPr>
                <w:rFonts w:eastAsia="MS Mincho"/>
              </w:rPr>
            </w:pPr>
            <w:r w:rsidRPr="00643CC8">
              <w:rPr>
                <w:rFonts w:eastAsia="MS Mincho"/>
              </w:rPr>
              <w:t>Placebo patch</w:t>
            </w:r>
          </w:p>
          <w:p w:rsidR="00643CC8" w:rsidRPr="00643CC8" w:rsidRDefault="00643CC8" w:rsidP="00C324F3">
            <w:pPr>
              <w:pStyle w:val="Tablewriting"/>
              <w:numPr>
                <w:ilvl w:val="0"/>
                <w:numId w:val="41"/>
              </w:numPr>
              <w:rPr>
                <w:rFonts w:eastAsia="MS Mincho"/>
              </w:rPr>
            </w:pPr>
            <w:r w:rsidRPr="00643CC8">
              <w:rPr>
                <w:rFonts w:eastAsia="MS Mincho"/>
              </w:rPr>
              <w:t>Placebo lozenge and placebo patch</w:t>
            </w:r>
          </w:p>
          <w:p w:rsidR="00643CC8" w:rsidRDefault="00643CC8" w:rsidP="00A71365">
            <w:pPr>
              <w:pStyle w:val="Tablewriting"/>
              <w:rPr>
                <w:rFonts w:eastAsia="MS Mincho"/>
              </w:rPr>
            </w:pPr>
          </w:p>
          <w:p w:rsidR="00D137CE" w:rsidRPr="00061F78" w:rsidRDefault="00643CC8" w:rsidP="00A71365">
            <w:pPr>
              <w:pStyle w:val="Tablewriting"/>
              <w:rPr>
                <w:rFonts w:eastAsia="MS Mincho"/>
              </w:rPr>
            </w:pPr>
            <w:r w:rsidRPr="00643CC8">
              <w:rPr>
                <w:rFonts w:eastAsia="MS Mincho"/>
                <w:u w:val="single"/>
              </w:rPr>
              <w:t>Common components:</w:t>
            </w:r>
            <w:r w:rsidRPr="00643CC8">
              <w:rPr>
                <w:rFonts w:eastAsia="MS Mincho"/>
              </w:rPr>
              <w:t xml:space="preserve"> 7 one-to-one 10 to 20-min</w:t>
            </w:r>
            <w:r>
              <w:rPr>
                <w:rFonts w:eastAsia="MS Mincho"/>
              </w:rPr>
              <w:t xml:space="preserve"> </w:t>
            </w:r>
            <w:r w:rsidRPr="00643CC8">
              <w:rPr>
                <w:rFonts w:eastAsia="MS Mincho"/>
              </w:rPr>
              <w:t>counselling sessions</w:t>
            </w:r>
          </w:p>
        </w:tc>
        <w:tc>
          <w:tcPr>
            <w:tcW w:w="832" w:type="pct"/>
          </w:tcPr>
          <w:p w:rsidR="001F1445" w:rsidRPr="001F1445" w:rsidRDefault="001F1445" w:rsidP="00A71365">
            <w:pPr>
              <w:pStyle w:val="Tablewriting"/>
              <w:rPr>
                <w:rFonts w:eastAsia="MS Mincho"/>
              </w:rPr>
            </w:pPr>
            <w:r w:rsidRPr="001F1445">
              <w:rPr>
                <w:rFonts w:eastAsia="MS Mincho"/>
                <w:u w:val="single"/>
              </w:rPr>
              <w:lastRenderedPageBreak/>
              <w:t>Efficacy:</w:t>
            </w:r>
            <w:r w:rsidRPr="001F1445">
              <w:rPr>
                <w:rFonts w:eastAsia="MS Mincho"/>
              </w:rPr>
              <w:t xml:space="preserve"> 7-day </w:t>
            </w:r>
            <w:r w:rsidR="0069303D">
              <w:rPr>
                <w:rFonts w:eastAsia="MS Mincho"/>
              </w:rPr>
              <w:t>PPA</w:t>
            </w:r>
            <w:r w:rsidRPr="001F1445">
              <w:rPr>
                <w:rFonts w:eastAsia="MS Mincho"/>
              </w:rPr>
              <w:t xml:space="preserve"> at 6 months. Validated by CO &lt; 10 ppm</w:t>
            </w:r>
          </w:p>
          <w:p w:rsidR="00D137CE" w:rsidRPr="00061F78" w:rsidRDefault="001F1445" w:rsidP="00A71365">
            <w:pPr>
              <w:pStyle w:val="Tablewriting"/>
              <w:rPr>
                <w:rFonts w:eastAsia="MS Mincho"/>
              </w:rPr>
            </w:pPr>
            <w:r w:rsidRPr="001F1445">
              <w:rPr>
                <w:rFonts w:eastAsia="MS Mincho"/>
                <w:u w:val="single"/>
              </w:rPr>
              <w:t>Safety:</w:t>
            </w:r>
            <w:r w:rsidRPr="001F1445">
              <w:rPr>
                <w:rFonts w:eastAsia="MS Mincho"/>
              </w:rPr>
              <w:t xml:space="preserve"> measured for 10 weeks</w:t>
            </w:r>
            <w:r w:rsidR="00E41249">
              <w:rPr>
                <w:rFonts w:eastAsia="MS Mincho"/>
              </w:rPr>
              <w:t>.</w:t>
            </w:r>
          </w:p>
        </w:tc>
      </w:tr>
      <w:tr w:rsidR="00D137CE" w:rsidRPr="00061F78" w:rsidTr="004529B1">
        <w:trPr>
          <w:trHeight w:val="149"/>
        </w:trPr>
        <w:tc>
          <w:tcPr>
            <w:tcW w:w="565" w:type="pct"/>
          </w:tcPr>
          <w:p w:rsidR="00D137CE" w:rsidRPr="00866DE0" w:rsidRDefault="00A71288" w:rsidP="00A71365">
            <w:pPr>
              <w:pStyle w:val="Tablewriting"/>
              <w:rPr>
                <w:rFonts w:eastAsia="MS Mincho"/>
              </w:rPr>
            </w:pPr>
            <w:r w:rsidRPr="00866DE0">
              <w:rPr>
                <w:rFonts w:eastAsia="MS Mincho"/>
              </w:rPr>
              <w:t xml:space="preserve">Planer </w:t>
            </w:r>
            <w:r w:rsidR="0065538B">
              <w:rPr>
                <w:rFonts w:eastAsia="MS Mincho"/>
              </w:rPr>
              <w:t>(</w:t>
            </w:r>
            <w:r w:rsidRPr="00866DE0">
              <w:rPr>
                <w:rFonts w:eastAsia="MS Mincho"/>
              </w:rPr>
              <w:t>2011</w:t>
            </w:r>
            <w:r w:rsidR="0065538B">
              <w:rPr>
                <w:rFonts w:eastAsia="MS Mincho"/>
              </w:rPr>
              <w:t>)</w:t>
            </w:r>
          </w:p>
        </w:tc>
        <w:tc>
          <w:tcPr>
            <w:tcW w:w="238" w:type="pct"/>
          </w:tcPr>
          <w:p w:rsidR="00D137CE" w:rsidRDefault="001A0B5B" w:rsidP="00A71365">
            <w:pPr>
              <w:pStyle w:val="Tablewriting"/>
              <w:rPr>
                <w:rFonts w:eastAsia="MS Mincho"/>
              </w:rPr>
            </w:pPr>
            <w:r>
              <w:rPr>
                <w:rFonts w:eastAsia="MS Mincho"/>
              </w:rPr>
              <w:t>RCT</w:t>
            </w:r>
          </w:p>
        </w:tc>
        <w:tc>
          <w:tcPr>
            <w:tcW w:w="420" w:type="pct"/>
          </w:tcPr>
          <w:p w:rsidR="0035253E" w:rsidRPr="00061F78" w:rsidRDefault="001A0B5B" w:rsidP="00A71365">
            <w:pPr>
              <w:pStyle w:val="Tablewriting"/>
              <w:rPr>
                <w:rFonts w:eastAsia="MS Mincho"/>
              </w:rPr>
            </w:pPr>
            <w:r>
              <w:rPr>
                <w:rFonts w:eastAsia="MS Mincho"/>
              </w:rPr>
              <w:t>Israel</w:t>
            </w:r>
          </w:p>
        </w:tc>
        <w:tc>
          <w:tcPr>
            <w:tcW w:w="449" w:type="pct"/>
          </w:tcPr>
          <w:p w:rsidR="00D137CE" w:rsidRPr="00061F78" w:rsidRDefault="001A0B5B" w:rsidP="00A71365">
            <w:pPr>
              <w:pStyle w:val="Tablewriting"/>
              <w:rPr>
                <w:rFonts w:eastAsia="MS Mincho"/>
              </w:rPr>
            </w:pPr>
            <w:r>
              <w:rPr>
                <w:rFonts w:eastAsia="MS Mincho"/>
              </w:rPr>
              <w:t>N=</w:t>
            </w:r>
            <w:r w:rsidR="006A7E6E" w:rsidRPr="006A7E6E">
              <w:rPr>
                <w:rFonts w:eastAsia="MS Mincho"/>
              </w:rPr>
              <w:t>151</w:t>
            </w:r>
          </w:p>
        </w:tc>
        <w:tc>
          <w:tcPr>
            <w:tcW w:w="1271" w:type="pct"/>
          </w:tcPr>
          <w:p w:rsidR="00D137CE" w:rsidRPr="00061F78" w:rsidRDefault="006A7E6E" w:rsidP="00A71365">
            <w:pPr>
              <w:pStyle w:val="Tablewriting"/>
              <w:rPr>
                <w:rFonts w:eastAsia="MS Mincho"/>
              </w:rPr>
            </w:pPr>
            <w:r>
              <w:rPr>
                <w:rFonts w:eastAsia="MS Mincho"/>
              </w:rPr>
              <w:t>S</w:t>
            </w:r>
            <w:r w:rsidRPr="006A7E6E">
              <w:rPr>
                <w:rFonts w:eastAsia="MS Mincho"/>
              </w:rPr>
              <w:t>mokers with diagnosis of acute coronary syndrome, motivated to quit</w:t>
            </w:r>
            <w:r w:rsidR="0014479B">
              <w:rPr>
                <w:rFonts w:eastAsia="MS Mincho"/>
              </w:rPr>
              <w:t>,</w:t>
            </w:r>
            <w:r w:rsidRPr="006A7E6E">
              <w:rPr>
                <w:rFonts w:eastAsia="MS Mincho"/>
              </w:rPr>
              <w:t xml:space="preserve"> average age 51.9</w:t>
            </w:r>
            <w:r w:rsidR="0014479B">
              <w:rPr>
                <w:rFonts w:eastAsia="MS Mincho"/>
              </w:rPr>
              <w:t>,</w:t>
            </w:r>
            <w:r w:rsidRPr="006A7E6E">
              <w:rPr>
                <w:rFonts w:eastAsia="MS Mincho"/>
              </w:rPr>
              <w:t xml:space="preserve"> 20.1% female</w:t>
            </w:r>
            <w:r w:rsidR="0014479B">
              <w:rPr>
                <w:rFonts w:eastAsia="MS Mincho"/>
              </w:rPr>
              <w:t>,</w:t>
            </w:r>
            <w:r>
              <w:rPr>
                <w:rFonts w:eastAsia="MS Mincho"/>
              </w:rPr>
              <w:t xml:space="preserve"> </w:t>
            </w:r>
            <w:r w:rsidRPr="006A7E6E">
              <w:rPr>
                <w:rFonts w:eastAsia="MS Mincho"/>
              </w:rPr>
              <w:t>average cigarettes per day 31</w:t>
            </w:r>
          </w:p>
        </w:tc>
        <w:tc>
          <w:tcPr>
            <w:tcW w:w="1224" w:type="pct"/>
          </w:tcPr>
          <w:p w:rsidR="006A7E6E" w:rsidRDefault="006A7E6E" w:rsidP="00C324F3">
            <w:pPr>
              <w:pStyle w:val="Tablewriting"/>
              <w:numPr>
                <w:ilvl w:val="0"/>
                <w:numId w:val="42"/>
              </w:numPr>
              <w:rPr>
                <w:rFonts w:eastAsia="MS Mincho"/>
              </w:rPr>
            </w:pPr>
            <w:r w:rsidRPr="006A7E6E">
              <w:rPr>
                <w:rFonts w:eastAsia="MS Mincho"/>
              </w:rPr>
              <w:t>Bupropion, 150 mg 1 x day for 3 days, then 2 x day for 2 months</w:t>
            </w:r>
          </w:p>
          <w:p w:rsidR="006A7E6E" w:rsidRPr="006A7E6E" w:rsidRDefault="006A7E6E" w:rsidP="00C324F3">
            <w:pPr>
              <w:pStyle w:val="Tablewriting"/>
              <w:numPr>
                <w:ilvl w:val="0"/>
                <w:numId w:val="42"/>
              </w:numPr>
              <w:rPr>
                <w:rFonts w:eastAsia="MS Mincho"/>
              </w:rPr>
            </w:pPr>
            <w:r w:rsidRPr="006A7E6E">
              <w:rPr>
                <w:rFonts w:eastAsia="MS Mincho"/>
              </w:rPr>
              <w:t>Placebo, same schedule as above</w:t>
            </w:r>
          </w:p>
          <w:p w:rsidR="006A7E6E" w:rsidRDefault="006A7E6E" w:rsidP="00A71365">
            <w:pPr>
              <w:pStyle w:val="Tablewriting"/>
              <w:rPr>
                <w:rFonts w:eastAsia="MS Mincho"/>
              </w:rPr>
            </w:pPr>
          </w:p>
          <w:p w:rsidR="006A7E6E" w:rsidRPr="006A7E6E" w:rsidRDefault="006A7E6E" w:rsidP="00A71365">
            <w:pPr>
              <w:pStyle w:val="Tablewriting"/>
              <w:rPr>
                <w:rFonts w:eastAsia="MS Mincho"/>
              </w:rPr>
            </w:pPr>
            <w:r w:rsidRPr="006A7E6E">
              <w:rPr>
                <w:rFonts w:eastAsia="MS Mincho"/>
                <w:u w:val="single"/>
              </w:rPr>
              <w:t>Common components:</w:t>
            </w:r>
            <w:r>
              <w:rPr>
                <w:rFonts w:eastAsia="MS Mincho"/>
                <w:u w:val="single"/>
              </w:rPr>
              <w:t xml:space="preserve"> </w:t>
            </w:r>
            <w:r w:rsidRPr="006A7E6E">
              <w:rPr>
                <w:rFonts w:eastAsia="MS Mincho"/>
              </w:rPr>
              <w:t>counselling (at least 15 min of motivational support) during hospitalization</w:t>
            </w:r>
          </w:p>
          <w:p w:rsidR="006A7E6E" w:rsidRPr="006A7E6E" w:rsidRDefault="006A7E6E" w:rsidP="00A71365">
            <w:pPr>
              <w:pStyle w:val="Tablewriting"/>
              <w:rPr>
                <w:rFonts w:eastAsia="MS Mincho"/>
              </w:rPr>
            </w:pPr>
            <w:r w:rsidRPr="006A7E6E">
              <w:rPr>
                <w:rFonts w:eastAsia="MS Mincho"/>
              </w:rPr>
              <w:t>and continued after discharge (at least 2 visits with physician and nurse at 1 month and 2 months and</w:t>
            </w:r>
            <w:r>
              <w:rPr>
                <w:rFonts w:eastAsia="MS Mincho"/>
              </w:rPr>
              <w:t xml:space="preserve"> </w:t>
            </w:r>
            <w:r w:rsidRPr="006A7E6E">
              <w:rPr>
                <w:rFonts w:eastAsia="MS Mincho"/>
              </w:rPr>
              <w:t>weekly telephone call by nurse during first and second month, then monthly telephone calls during rest</w:t>
            </w:r>
          </w:p>
          <w:p w:rsidR="00D137CE" w:rsidRPr="00061F78" w:rsidRDefault="006A7E6E" w:rsidP="00A71365">
            <w:pPr>
              <w:pStyle w:val="Tablewriting"/>
              <w:rPr>
                <w:rFonts w:eastAsia="MS Mincho"/>
              </w:rPr>
            </w:pPr>
            <w:r w:rsidRPr="006A7E6E">
              <w:rPr>
                <w:rFonts w:eastAsia="MS Mincho"/>
              </w:rPr>
              <w:t>of the year)</w:t>
            </w:r>
          </w:p>
        </w:tc>
        <w:tc>
          <w:tcPr>
            <w:tcW w:w="832" w:type="pct"/>
          </w:tcPr>
          <w:p w:rsidR="006A7E6E" w:rsidRPr="006A7E6E" w:rsidRDefault="006A7E6E" w:rsidP="00A71365">
            <w:pPr>
              <w:pStyle w:val="Tablewriting"/>
              <w:rPr>
                <w:rFonts w:eastAsia="MS Mincho"/>
              </w:rPr>
            </w:pPr>
            <w:r w:rsidRPr="006A7E6E">
              <w:rPr>
                <w:rFonts w:eastAsia="MS Mincho"/>
                <w:u w:val="single"/>
              </w:rPr>
              <w:t>Efficacy:</w:t>
            </w:r>
            <w:r w:rsidRPr="006A7E6E">
              <w:rPr>
                <w:rFonts w:eastAsia="MS Mincho"/>
              </w:rPr>
              <w:t xml:space="preserve"> self-reported continuous abstinence at 12 months</w:t>
            </w:r>
          </w:p>
          <w:p w:rsidR="00D137CE" w:rsidRPr="00061F78" w:rsidRDefault="006A7E6E" w:rsidP="00A71365">
            <w:pPr>
              <w:pStyle w:val="Tablewriting"/>
              <w:rPr>
                <w:rFonts w:eastAsia="MS Mincho"/>
              </w:rPr>
            </w:pPr>
            <w:r w:rsidRPr="006A7E6E">
              <w:rPr>
                <w:rFonts w:eastAsia="MS Mincho"/>
                <w:u w:val="single"/>
              </w:rPr>
              <w:t>Safety:</w:t>
            </w:r>
            <w:r w:rsidRPr="006A7E6E">
              <w:rPr>
                <w:rFonts w:eastAsia="MS Mincho"/>
              </w:rPr>
              <w:t xml:space="preserve"> measured for 12 months</w:t>
            </w:r>
            <w:r w:rsidR="00E41249">
              <w:rPr>
                <w:rFonts w:eastAsia="MS Mincho"/>
              </w:rPr>
              <w:t>.</w:t>
            </w:r>
          </w:p>
        </w:tc>
      </w:tr>
      <w:tr w:rsidR="00D137CE" w:rsidRPr="00061F78" w:rsidTr="004529B1">
        <w:trPr>
          <w:trHeight w:val="149"/>
        </w:trPr>
        <w:tc>
          <w:tcPr>
            <w:tcW w:w="565" w:type="pct"/>
          </w:tcPr>
          <w:p w:rsidR="00D137CE" w:rsidRPr="00866DE0" w:rsidRDefault="00A71288" w:rsidP="00A71365">
            <w:pPr>
              <w:pStyle w:val="Tablewriting"/>
              <w:rPr>
                <w:rFonts w:eastAsia="MS Mincho"/>
              </w:rPr>
            </w:pPr>
            <w:r w:rsidRPr="00B63651">
              <w:rPr>
                <w:rFonts w:eastAsia="MS Mincho"/>
              </w:rPr>
              <w:t xml:space="preserve">Rigotti </w:t>
            </w:r>
            <w:r w:rsidR="0065538B" w:rsidRPr="00B63651">
              <w:rPr>
                <w:rFonts w:eastAsia="MS Mincho"/>
              </w:rPr>
              <w:t>(</w:t>
            </w:r>
            <w:r w:rsidRPr="00B63651">
              <w:rPr>
                <w:rFonts w:eastAsia="MS Mincho"/>
              </w:rPr>
              <w:t>2006</w:t>
            </w:r>
            <w:r w:rsidR="0065538B" w:rsidRPr="00B63651">
              <w:rPr>
                <w:rFonts w:eastAsia="MS Mincho"/>
              </w:rPr>
              <w:t>)</w:t>
            </w:r>
          </w:p>
        </w:tc>
        <w:tc>
          <w:tcPr>
            <w:tcW w:w="238" w:type="pct"/>
          </w:tcPr>
          <w:p w:rsidR="00D137CE" w:rsidRDefault="00D31F6D" w:rsidP="00A71365">
            <w:pPr>
              <w:pStyle w:val="Tablewriting"/>
              <w:rPr>
                <w:rFonts w:eastAsia="MS Mincho"/>
              </w:rPr>
            </w:pPr>
            <w:r>
              <w:rPr>
                <w:rFonts w:eastAsia="MS Mincho"/>
              </w:rPr>
              <w:t>RCT</w:t>
            </w:r>
          </w:p>
        </w:tc>
        <w:tc>
          <w:tcPr>
            <w:tcW w:w="420" w:type="pct"/>
          </w:tcPr>
          <w:p w:rsidR="0035253E" w:rsidRPr="00061F78" w:rsidRDefault="00D31F6D" w:rsidP="00A71365">
            <w:pPr>
              <w:pStyle w:val="Tablewriting"/>
              <w:rPr>
                <w:rFonts w:eastAsia="MS Mincho"/>
              </w:rPr>
            </w:pPr>
            <w:r>
              <w:rPr>
                <w:rFonts w:eastAsia="MS Mincho"/>
              </w:rPr>
              <w:t>USA</w:t>
            </w:r>
          </w:p>
        </w:tc>
        <w:tc>
          <w:tcPr>
            <w:tcW w:w="449" w:type="pct"/>
          </w:tcPr>
          <w:p w:rsidR="00D137CE" w:rsidRPr="00061F78" w:rsidRDefault="00D31F6D" w:rsidP="00A71365">
            <w:pPr>
              <w:pStyle w:val="Tablewriting"/>
              <w:rPr>
                <w:rFonts w:eastAsia="MS Mincho"/>
              </w:rPr>
            </w:pPr>
            <w:r>
              <w:rPr>
                <w:rFonts w:eastAsia="MS Mincho"/>
              </w:rPr>
              <w:t>N=</w:t>
            </w:r>
            <w:r w:rsidRPr="00D31F6D">
              <w:rPr>
                <w:rFonts w:eastAsia="MS Mincho"/>
              </w:rPr>
              <w:t>248</w:t>
            </w:r>
          </w:p>
        </w:tc>
        <w:tc>
          <w:tcPr>
            <w:tcW w:w="1271" w:type="pct"/>
          </w:tcPr>
          <w:p w:rsidR="00D31F6D" w:rsidRPr="00D31F6D" w:rsidRDefault="00D31F6D" w:rsidP="00A71365">
            <w:pPr>
              <w:pStyle w:val="Tablewriting"/>
              <w:rPr>
                <w:rFonts w:eastAsia="MS Mincho"/>
              </w:rPr>
            </w:pPr>
            <w:r>
              <w:rPr>
                <w:rFonts w:eastAsia="MS Mincho"/>
              </w:rPr>
              <w:t>S</w:t>
            </w:r>
            <w:r w:rsidRPr="00D31F6D">
              <w:rPr>
                <w:rFonts w:eastAsia="MS Mincho"/>
              </w:rPr>
              <w:t>mokers hospitalized with cardiovascular disease (excludes 3/3 dropped prior to treatment and 2</w:t>
            </w:r>
          </w:p>
          <w:p w:rsidR="00D137CE" w:rsidRPr="00061F78" w:rsidRDefault="00D31F6D" w:rsidP="00A71365">
            <w:pPr>
              <w:pStyle w:val="Tablewriting"/>
              <w:rPr>
                <w:rFonts w:eastAsia="MS Mincho"/>
              </w:rPr>
            </w:pPr>
            <w:r w:rsidRPr="00D31F6D">
              <w:rPr>
                <w:rFonts w:eastAsia="MS Mincho"/>
              </w:rPr>
              <w:lastRenderedPageBreak/>
              <w:t>placebo deaths during follow-up)</w:t>
            </w:r>
            <w:r w:rsidR="0014479B">
              <w:rPr>
                <w:rFonts w:eastAsia="MS Mincho"/>
              </w:rPr>
              <w:t>,</w:t>
            </w:r>
            <w:r>
              <w:rPr>
                <w:rFonts w:eastAsia="MS Mincho"/>
              </w:rPr>
              <w:t xml:space="preserve"> </w:t>
            </w:r>
            <w:r w:rsidRPr="00D31F6D">
              <w:rPr>
                <w:rFonts w:eastAsia="MS Mincho"/>
              </w:rPr>
              <w:t>31% female</w:t>
            </w:r>
            <w:r w:rsidR="0014479B">
              <w:rPr>
                <w:rFonts w:eastAsia="MS Mincho"/>
              </w:rPr>
              <w:t>,</w:t>
            </w:r>
            <w:r w:rsidRPr="00D31F6D">
              <w:rPr>
                <w:rFonts w:eastAsia="MS Mincho"/>
              </w:rPr>
              <w:t xml:space="preserve"> average age 56</w:t>
            </w:r>
            <w:r w:rsidR="0014479B">
              <w:rPr>
                <w:rFonts w:eastAsia="MS Mincho"/>
              </w:rPr>
              <w:t xml:space="preserve"> years,</w:t>
            </w:r>
            <w:r>
              <w:rPr>
                <w:rFonts w:eastAsia="MS Mincho"/>
              </w:rPr>
              <w:t xml:space="preserve"> </w:t>
            </w:r>
            <w:r w:rsidRPr="00D31F6D">
              <w:rPr>
                <w:rFonts w:eastAsia="MS Mincho"/>
              </w:rPr>
              <w:t>average cigarettes per day 23/21</w:t>
            </w:r>
          </w:p>
        </w:tc>
        <w:tc>
          <w:tcPr>
            <w:tcW w:w="1224" w:type="pct"/>
          </w:tcPr>
          <w:p w:rsidR="00D31F6D" w:rsidRDefault="00D31F6D" w:rsidP="00C324F3">
            <w:pPr>
              <w:pStyle w:val="Tablewriting"/>
              <w:numPr>
                <w:ilvl w:val="0"/>
                <w:numId w:val="43"/>
              </w:numPr>
              <w:rPr>
                <w:rFonts w:eastAsia="MS Mincho"/>
              </w:rPr>
            </w:pPr>
            <w:r w:rsidRPr="00D31F6D">
              <w:rPr>
                <w:rFonts w:eastAsia="MS Mincho"/>
              </w:rPr>
              <w:lastRenderedPageBreak/>
              <w:t>Bupropion 300 mg for 12 weeks</w:t>
            </w:r>
          </w:p>
          <w:p w:rsidR="00D31F6D" w:rsidRPr="00D31F6D" w:rsidRDefault="00D31F6D" w:rsidP="00C324F3">
            <w:pPr>
              <w:pStyle w:val="Tablewriting"/>
              <w:numPr>
                <w:ilvl w:val="0"/>
                <w:numId w:val="43"/>
              </w:numPr>
              <w:rPr>
                <w:rFonts w:eastAsia="MS Mincho"/>
              </w:rPr>
            </w:pPr>
            <w:r w:rsidRPr="00D31F6D">
              <w:rPr>
                <w:rFonts w:eastAsia="MS Mincho"/>
              </w:rPr>
              <w:t>Placebo, same schedule as above</w:t>
            </w:r>
          </w:p>
          <w:p w:rsidR="00D31F6D" w:rsidRDefault="00D31F6D" w:rsidP="00A71365">
            <w:pPr>
              <w:pStyle w:val="Tablewriting"/>
              <w:rPr>
                <w:rFonts w:eastAsia="MS Mincho"/>
              </w:rPr>
            </w:pPr>
          </w:p>
          <w:p w:rsidR="00D31F6D" w:rsidRPr="00D31F6D" w:rsidRDefault="00D31F6D" w:rsidP="00A71365">
            <w:pPr>
              <w:pStyle w:val="Tablewriting"/>
              <w:rPr>
                <w:rFonts w:eastAsia="MS Mincho"/>
              </w:rPr>
            </w:pPr>
            <w:r w:rsidRPr="00D31F6D">
              <w:rPr>
                <w:rFonts w:eastAsia="MS Mincho"/>
                <w:u w:val="single"/>
              </w:rPr>
              <w:lastRenderedPageBreak/>
              <w:t>Common components:</w:t>
            </w:r>
            <w:r>
              <w:rPr>
                <w:rFonts w:eastAsia="MS Mincho"/>
                <w:u w:val="single"/>
              </w:rPr>
              <w:t xml:space="preserve"> </w:t>
            </w:r>
            <w:r w:rsidRPr="00D31F6D">
              <w:rPr>
                <w:rFonts w:eastAsia="MS Mincho"/>
              </w:rPr>
              <w:t>multicomponent CBT cessation and relapse prevention programme, motivational</w:t>
            </w:r>
            <w:r>
              <w:rPr>
                <w:rFonts w:eastAsia="MS Mincho"/>
              </w:rPr>
              <w:t xml:space="preserve"> </w:t>
            </w:r>
            <w:r w:rsidRPr="00D31F6D">
              <w:rPr>
                <w:rFonts w:eastAsia="MS Mincho"/>
              </w:rPr>
              <w:t>interviewing approach. Begun in hospital, 30-45 mins, 5 x 10 min post-discharge contacts (2 days,</w:t>
            </w:r>
          </w:p>
          <w:p w:rsidR="00D137CE" w:rsidRPr="00061F78" w:rsidRDefault="00D31F6D" w:rsidP="00A71365">
            <w:pPr>
              <w:pStyle w:val="Tablewriting"/>
              <w:rPr>
                <w:rFonts w:eastAsia="MS Mincho"/>
              </w:rPr>
            </w:pPr>
            <w:r w:rsidRPr="00D31F6D">
              <w:rPr>
                <w:rFonts w:eastAsia="MS Mincho"/>
              </w:rPr>
              <w:t>1 week, 3 weeks, 8 weeks, 12 weeks), self-help, chart</w:t>
            </w:r>
            <w:r>
              <w:rPr>
                <w:rFonts w:eastAsia="MS Mincho"/>
              </w:rPr>
              <w:t xml:space="preserve"> </w:t>
            </w:r>
            <w:r w:rsidRPr="00D31F6D">
              <w:rPr>
                <w:rFonts w:eastAsia="MS Mincho"/>
              </w:rPr>
              <w:t>prompt for physician. Total time 80-95 mins</w:t>
            </w:r>
          </w:p>
        </w:tc>
        <w:tc>
          <w:tcPr>
            <w:tcW w:w="832" w:type="pct"/>
          </w:tcPr>
          <w:p w:rsidR="002E76DB" w:rsidRPr="002E76DB" w:rsidRDefault="002E76DB" w:rsidP="00A71365">
            <w:pPr>
              <w:pStyle w:val="Tablewriting"/>
              <w:rPr>
                <w:rFonts w:eastAsia="MS Mincho"/>
              </w:rPr>
            </w:pPr>
            <w:r w:rsidRPr="002E76DB">
              <w:rPr>
                <w:rFonts w:eastAsia="MS Mincho"/>
                <w:u w:val="single"/>
              </w:rPr>
              <w:lastRenderedPageBreak/>
              <w:t>Efficacy</w:t>
            </w:r>
            <w:r w:rsidRPr="002E76DB">
              <w:rPr>
                <w:rFonts w:eastAsia="MS Mincho"/>
              </w:rPr>
              <w:t>: sustained abstinence at 12 months (at multiple follow-ups) Validated by saliva</w:t>
            </w:r>
            <w:r>
              <w:rPr>
                <w:rFonts w:eastAsia="MS Mincho"/>
              </w:rPr>
              <w:t xml:space="preserve"> </w:t>
            </w:r>
            <w:r w:rsidRPr="002E76DB">
              <w:rPr>
                <w:rFonts w:eastAsia="MS Mincho"/>
              </w:rPr>
              <w:lastRenderedPageBreak/>
              <w:t>cotinine at 12 weeks and 52 weeks, CO at 2 weeks and 4 weeks</w:t>
            </w:r>
          </w:p>
          <w:p w:rsidR="00D137CE" w:rsidRPr="00061F78" w:rsidRDefault="002E76DB" w:rsidP="00A71365">
            <w:pPr>
              <w:pStyle w:val="Tablewriting"/>
              <w:rPr>
                <w:rFonts w:eastAsia="MS Mincho"/>
              </w:rPr>
            </w:pPr>
            <w:r w:rsidRPr="002E76DB">
              <w:rPr>
                <w:rFonts w:eastAsia="MS Mincho"/>
                <w:u w:val="single"/>
              </w:rPr>
              <w:t>Safety:</w:t>
            </w:r>
            <w:r w:rsidRPr="002E76DB">
              <w:rPr>
                <w:rFonts w:eastAsia="MS Mincho"/>
              </w:rPr>
              <w:t xml:space="preserve"> measured for 52 weeks</w:t>
            </w:r>
            <w:r w:rsidR="00E41249">
              <w:rPr>
                <w:rFonts w:eastAsia="MS Mincho"/>
              </w:rPr>
              <w:t>.</w:t>
            </w:r>
          </w:p>
        </w:tc>
      </w:tr>
      <w:tr w:rsidR="00D137CE" w:rsidRPr="00061F78" w:rsidTr="004529B1">
        <w:trPr>
          <w:trHeight w:val="149"/>
        </w:trPr>
        <w:tc>
          <w:tcPr>
            <w:tcW w:w="565" w:type="pct"/>
          </w:tcPr>
          <w:p w:rsidR="00D137CE" w:rsidRPr="00866DE0" w:rsidRDefault="00D11E20" w:rsidP="00A71365">
            <w:pPr>
              <w:pStyle w:val="Tablewriting"/>
              <w:rPr>
                <w:rFonts w:eastAsia="MS Mincho"/>
              </w:rPr>
            </w:pPr>
            <w:r w:rsidRPr="00866DE0">
              <w:rPr>
                <w:rFonts w:eastAsia="MS Mincho"/>
              </w:rPr>
              <w:lastRenderedPageBreak/>
              <w:t xml:space="preserve">Rovina </w:t>
            </w:r>
            <w:r w:rsidR="0065538B">
              <w:rPr>
                <w:rFonts w:eastAsia="MS Mincho"/>
              </w:rPr>
              <w:t>(</w:t>
            </w:r>
            <w:r w:rsidRPr="00866DE0">
              <w:rPr>
                <w:rFonts w:eastAsia="MS Mincho"/>
              </w:rPr>
              <w:t>2009</w:t>
            </w:r>
            <w:r w:rsidR="0065538B">
              <w:rPr>
                <w:rFonts w:eastAsia="MS Mincho"/>
              </w:rPr>
              <w:t>)</w:t>
            </w:r>
          </w:p>
        </w:tc>
        <w:tc>
          <w:tcPr>
            <w:tcW w:w="238" w:type="pct"/>
          </w:tcPr>
          <w:p w:rsidR="00D137CE" w:rsidRDefault="00561439" w:rsidP="00A71365">
            <w:pPr>
              <w:pStyle w:val="Tablewriting"/>
              <w:rPr>
                <w:rFonts w:eastAsia="MS Mincho"/>
              </w:rPr>
            </w:pPr>
            <w:r>
              <w:rPr>
                <w:rFonts w:eastAsia="MS Mincho"/>
              </w:rPr>
              <w:t>RCT</w:t>
            </w:r>
          </w:p>
        </w:tc>
        <w:tc>
          <w:tcPr>
            <w:tcW w:w="420" w:type="pct"/>
          </w:tcPr>
          <w:p w:rsidR="0035253E" w:rsidRPr="00061F78" w:rsidRDefault="00561439" w:rsidP="00A71365">
            <w:pPr>
              <w:pStyle w:val="Tablewriting"/>
              <w:rPr>
                <w:rFonts w:eastAsia="MS Mincho"/>
              </w:rPr>
            </w:pPr>
            <w:r>
              <w:rPr>
                <w:rFonts w:eastAsia="MS Mincho"/>
              </w:rPr>
              <w:t>Greece</w:t>
            </w:r>
          </w:p>
        </w:tc>
        <w:tc>
          <w:tcPr>
            <w:tcW w:w="449" w:type="pct"/>
          </w:tcPr>
          <w:p w:rsidR="00D137CE" w:rsidRPr="00061F78" w:rsidRDefault="00561439" w:rsidP="00A71365">
            <w:pPr>
              <w:pStyle w:val="Tablewriting"/>
              <w:rPr>
                <w:rFonts w:eastAsia="MS Mincho"/>
              </w:rPr>
            </w:pPr>
            <w:r>
              <w:rPr>
                <w:rFonts w:eastAsia="MS Mincho"/>
              </w:rPr>
              <w:t>N=</w:t>
            </w:r>
            <w:r w:rsidR="007D0821" w:rsidRPr="007D0821">
              <w:rPr>
                <w:rFonts w:eastAsia="MS Mincho"/>
              </w:rPr>
              <w:t>205</w:t>
            </w:r>
          </w:p>
        </w:tc>
        <w:tc>
          <w:tcPr>
            <w:tcW w:w="1271" w:type="pct"/>
          </w:tcPr>
          <w:p w:rsidR="00D137CE" w:rsidRPr="00061F78" w:rsidRDefault="007D0821" w:rsidP="00A71365">
            <w:pPr>
              <w:pStyle w:val="Tablewriting"/>
              <w:rPr>
                <w:rFonts w:eastAsia="MS Mincho"/>
              </w:rPr>
            </w:pPr>
            <w:r>
              <w:rPr>
                <w:rFonts w:eastAsia="MS Mincho"/>
              </w:rPr>
              <w:t>S</w:t>
            </w:r>
            <w:r w:rsidRPr="007D0821">
              <w:rPr>
                <w:rFonts w:eastAsia="MS Mincho"/>
              </w:rPr>
              <w:t>mokers</w:t>
            </w:r>
            <w:r w:rsidR="0014479B">
              <w:rPr>
                <w:rFonts w:eastAsia="MS Mincho"/>
              </w:rPr>
              <w:t>,</w:t>
            </w:r>
            <w:r w:rsidRPr="007D0821">
              <w:rPr>
                <w:rFonts w:eastAsia="MS Mincho"/>
              </w:rPr>
              <w:t xml:space="preserve"> 40% female</w:t>
            </w:r>
            <w:r w:rsidR="0014479B">
              <w:rPr>
                <w:rFonts w:eastAsia="MS Mincho"/>
              </w:rPr>
              <w:t>,</w:t>
            </w:r>
            <w:r w:rsidRPr="007D0821">
              <w:rPr>
                <w:rFonts w:eastAsia="MS Mincho"/>
              </w:rPr>
              <w:t xml:space="preserve"> average age 45</w:t>
            </w:r>
            <w:r w:rsidR="0014479B">
              <w:rPr>
                <w:rFonts w:eastAsia="MS Mincho"/>
              </w:rPr>
              <w:t>,</w:t>
            </w:r>
            <w:r w:rsidRPr="007D0821">
              <w:rPr>
                <w:rFonts w:eastAsia="MS Mincho"/>
              </w:rPr>
              <w:t xml:space="preserve"> average cigarettes per day 37</w:t>
            </w:r>
          </w:p>
        </w:tc>
        <w:tc>
          <w:tcPr>
            <w:tcW w:w="1224" w:type="pct"/>
          </w:tcPr>
          <w:p w:rsidR="008904B1" w:rsidRDefault="008904B1" w:rsidP="00C324F3">
            <w:pPr>
              <w:pStyle w:val="Tablewriting"/>
              <w:numPr>
                <w:ilvl w:val="0"/>
                <w:numId w:val="44"/>
              </w:numPr>
              <w:rPr>
                <w:rFonts w:eastAsia="MS Mincho"/>
              </w:rPr>
            </w:pPr>
            <w:r w:rsidRPr="008904B1">
              <w:rPr>
                <w:rFonts w:eastAsia="MS Mincho"/>
              </w:rPr>
              <w:t>Bupropion 300 mg/day for 19 weeks + 15 mins physician counselling</w:t>
            </w:r>
          </w:p>
          <w:p w:rsidR="008904B1" w:rsidRDefault="008904B1" w:rsidP="00C324F3">
            <w:pPr>
              <w:pStyle w:val="Tablewriting"/>
              <w:numPr>
                <w:ilvl w:val="0"/>
                <w:numId w:val="44"/>
              </w:numPr>
              <w:rPr>
                <w:rFonts w:eastAsia="MS Mincho"/>
              </w:rPr>
            </w:pPr>
            <w:r w:rsidRPr="008904B1">
              <w:rPr>
                <w:rFonts w:eastAsia="MS Mincho"/>
              </w:rPr>
              <w:t>Bupropion 300 mg/day for 19 weeks + nonspecific group therapy, 1-hour weekly for 1 month, then</w:t>
            </w:r>
            <w:r>
              <w:rPr>
                <w:rFonts w:eastAsia="MS Mincho"/>
              </w:rPr>
              <w:t xml:space="preserve"> </w:t>
            </w:r>
            <w:r w:rsidRPr="008904B1">
              <w:rPr>
                <w:rFonts w:eastAsia="MS Mincho"/>
              </w:rPr>
              <w:t>every 3 weeks until 19 weeks</w:t>
            </w:r>
          </w:p>
          <w:p w:rsidR="008904B1" w:rsidRDefault="008904B1" w:rsidP="00C324F3">
            <w:pPr>
              <w:pStyle w:val="Tablewriting"/>
              <w:numPr>
                <w:ilvl w:val="0"/>
                <w:numId w:val="44"/>
              </w:numPr>
              <w:rPr>
                <w:rFonts w:eastAsia="MS Mincho"/>
              </w:rPr>
            </w:pPr>
            <w:r w:rsidRPr="008904B1">
              <w:rPr>
                <w:rFonts w:eastAsia="MS Mincho"/>
              </w:rPr>
              <w:t>Bupropion 300 mg/day for 19 weeks + CBGT, same</w:t>
            </w:r>
            <w:r>
              <w:rPr>
                <w:rFonts w:eastAsia="MS Mincho"/>
              </w:rPr>
              <w:t xml:space="preserve"> </w:t>
            </w:r>
            <w:r w:rsidRPr="008904B1">
              <w:rPr>
                <w:rFonts w:eastAsia="MS Mincho"/>
              </w:rPr>
              <w:t>schedule</w:t>
            </w:r>
          </w:p>
          <w:p w:rsidR="00D137CE" w:rsidRPr="008904B1" w:rsidRDefault="008904B1" w:rsidP="00C324F3">
            <w:pPr>
              <w:pStyle w:val="Tablewriting"/>
              <w:numPr>
                <w:ilvl w:val="0"/>
                <w:numId w:val="44"/>
              </w:numPr>
              <w:rPr>
                <w:rFonts w:eastAsia="MS Mincho"/>
              </w:rPr>
            </w:pPr>
            <w:r w:rsidRPr="008904B1">
              <w:rPr>
                <w:rFonts w:eastAsia="MS Mincho"/>
              </w:rPr>
              <w:t>CBGT without bupropion</w:t>
            </w:r>
          </w:p>
        </w:tc>
        <w:tc>
          <w:tcPr>
            <w:tcW w:w="832" w:type="pct"/>
          </w:tcPr>
          <w:p w:rsidR="006C3BE3" w:rsidRPr="006C3BE3" w:rsidRDefault="006C3BE3" w:rsidP="00A71365">
            <w:pPr>
              <w:pStyle w:val="Tablewriting"/>
              <w:rPr>
                <w:rFonts w:eastAsia="MS Mincho"/>
              </w:rPr>
            </w:pPr>
            <w:r w:rsidRPr="006C3BE3">
              <w:rPr>
                <w:rFonts w:eastAsia="MS Mincho"/>
                <w:u w:val="single"/>
              </w:rPr>
              <w:t>Efficacy:</w:t>
            </w:r>
            <w:r w:rsidRPr="006C3BE3">
              <w:rPr>
                <w:rFonts w:eastAsia="MS Mincho"/>
              </w:rPr>
              <w:t xml:space="preserve"> continuous abstinence at 12 months after end of treatment. Validated by CO </w:t>
            </w:r>
            <w:r w:rsidR="00424BE8" w:rsidRPr="00D96BA4">
              <w:rPr>
                <w:rFonts w:eastAsia="MS Mincho"/>
              </w:rPr>
              <w:t>≤</w:t>
            </w:r>
            <w:r w:rsidRPr="006C3BE3">
              <w:rPr>
                <w:rFonts w:eastAsia="MS Mincho"/>
              </w:rPr>
              <w:t xml:space="preserve"> 10</w:t>
            </w:r>
            <w:r w:rsidR="00095F26">
              <w:rPr>
                <w:rFonts w:eastAsia="MS Mincho"/>
              </w:rPr>
              <w:t xml:space="preserve"> </w:t>
            </w:r>
            <w:r w:rsidRPr="006C3BE3">
              <w:rPr>
                <w:rFonts w:eastAsia="MS Mincho"/>
              </w:rPr>
              <w:t>ppm</w:t>
            </w:r>
          </w:p>
          <w:p w:rsidR="00D137CE" w:rsidRPr="00061F78" w:rsidRDefault="006C3BE3" w:rsidP="00A71365">
            <w:pPr>
              <w:pStyle w:val="Tablewriting"/>
              <w:rPr>
                <w:rFonts w:eastAsia="MS Mincho"/>
              </w:rPr>
            </w:pPr>
            <w:r w:rsidRPr="006C3BE3">
              <w:rPr>
                <w:rFonts w:eastAsia="MS Mincho"/>
                <w:u w:val="single"/>
              </w:rPr>
              <w:t>Safety</w:t>
            </w:r>
            <w:r w:rsidRPr="006C3BE3">
              <w:rPr>
                <w:rFonts w:eastAsia="MS Mincho"/>
              </w:rPr>
              <w:t>: measured for 31 weeks</w:t>
            </w:r>
            <w:r w:rsidR="00E41249">
              <w:rPr>
                <w:rFonts w:eastAsia="MS Mincho"/>
              </w:rPr>
              <w:t>.</w:t>
            </w:r>
          </w:p>
        </w:tc>
      </w:tr>
      <w:tr w:rsidR="00D137CE" w:rsidRPr="00061F78" w:rsidTr="004529B1">
        <w:trPr>
          <w:trHeight w:val="149"/>
        </w:trPr>
        <w:tc>
          <w:tcPr>
            <w:tcW w:w="565" w:type="pct"/>
          </w:tcPr>
          <w:p w:rsidR="00D137CE" w:rsidRPr="00866DE0" w:rsidRDefault="00D11E20" w:rsidP="00A71365">
            <w:pPr>
              <w:pStyle w:val="Tablewriting"/>
              <w:rPr>
                <w:rFonts w:eastAsia="MS Mincho"/>
              </w:rPr>
            </w:pPr>
            <w:r w:rsidRPr="00866DE0">
              <w:rPr>
                <w:rFonts w:eastAsia="MS Mincho"/>
              </w:rPr>
              <w:t xml:space="preserve">Schmitz </w:t>
            </w:r>
            <w:r w:rsidR="0065538B">
              <w:rPr>
                <w:rFonts w:eastAsia="MS Mincho"/>
              </w:rPr>
              <w:t>(</w:t>
            </w:r>
            <w:r w:rsidRPr="00866DE0">
              <w:rPr>
                <w:rFonts w:eastAsia="MS Mincho"/>
              </w:rPr>
              <w:t>2007</w:t>
            </w:r>
            <w:r w:rsidR="0065538B">
              <w:rPr>
                <w:rFonts w:eastAsia="MS Mincho"/>
              </w:rPr>
              <w:t>)</w:t>
            </w:r>
          </w:p>
        </w:tc>
        <w:tc>
          <w:tcPr>
            <w:tcW w:w="238" w:type="pct"/>
          </w:tcPr>
          <w:p w:rsidR="00D137CE" w:rsidRDefault="00A1015D" w:rsidP="00A71365">
            <w:pPr>
              <w:pStyle w:val="Tablewriting"/>
              <w:rPr>
                <w:rFonts w:eastAsia="MS Mincho"/>
              </w:rPr>
            </w:pPr>
            <w:r>
              <w:rPr>
                <w:rFonts w:eastAsia="MS Mincho"/>
              </w:rPr>
              <w:t>RCT</w:t>
            </w:r>
          </w:p>
        </w:tc>
        <w:tc>
          <w:tcPr>
            <w:tcW w:w="420" w:type="pct"/>
          </w:tcPr>
          <w:p w:rsidR="0035253E" w:rsidRPr="00061F78" w:rsidRDefault="00425713" w:rsidP="00A71365">
            <w:pPr>
              <w:pStyle w:val="Tablewriting"/>
              <w:rPr>
                <w:rFonts w:eastAsia="MS Mincho"/>
              </w:rPr>
            </w:pPr>
            <w:r>
              <w:rPr>
                <w:rFonts w:eastAsia="MS Mincho"/>
              </w:rPr>
              <w:t>USA</w:t>
            </w:r>
          </w:p>
        </w:tc>
        <w:tc>
          <w:tcPr>
            <w:tcW w:w="449" w:type="pct"/>
          </w:tcPr>
          <w:p w:rsidR="00D137CE" w:rsidRPr="00061F78" w:rsidRDefault="00AF47CF" w:rsidP="00A71365">
            <w:pPr>
              <w:pStyle w:val="Tablewriting"/>
              <w:rPr>
                <w:rFonts w:eastAsia="MS Mincho"/>
              </w:rPr>
            </w:pPr>
            <w:r>
              <w:rPr>
                <w:rFonts w:eastAsia="MS Mincho"/>
              </w:rPr>
              <w:t>N=154</w:t>
            </w:r>
          </w:p>
        </w:tc>
        <w:tc>
          <w:tcPr>
            <w:tcW w:w="1271" w:type="pct"/>
          </w:tcPr>
          <w:p w:rsidR="00D137CE" w:rsidRPr="00061F78" w:rsidRDefault="00AF47CF" w:rsidP="00A71365">
            <w:pPr>
              <w:pStyle w:val="Tablewriting"/>
              <w:rPr>
                <w:rFonts w:eastAsia="MS Mincho"/>
              </w:rPr>
            </w:pPr>
            <w:r>
              <w:rPr>
                <w:rFonts w:eastAsia="MS Mincho"/>
              </w:rPr>
              <w:t>S</w:t>
            </w:r>
            <w:r w:rsidRPr="00AF47CF">
              <w:rPr>
                <w:rFonts w:eastAsia="MS Mincho"/>
              </w:rPr>
              <w:t>mokers</w:t>
            </w:r>
            <w:r w:rsidR="0053333D">
              <w:rPr>
                <w:rFonts w:eastAsia="MS Mincho"/>
              </w:rPr>
              <w:t>,</w:t>
            </w:r>
            <w:r w:rsidRPr="00AF47CF">
              <w:rPr>
                <w:rFonts w:eastAsia="MS Mincho"/>
              </w:rPr>
              <w:t xml:space="preserve"> average age 48</w:t>
            </w:r>
            <w:r w:rsidR="0053333D">
              <w:rPr>
                <w:rFonts w:eastAsia="MS Mincho"/>
              </w:rPr>
              <w:t>,</w:t>
            </w:r>
            <w:r w:rsidRPr="00AF47CF">
              <w:rPr>
                <w:rFonts w:eastAsia="MS Mincho"/>
              </w:rPr>
              <w:t xml:space="preserve"> average cigarettes per day 21</w:t>
            </w:r>
          </w:p>
        </w:tc>
        <w:tc>
          <w:tcPr>
            <w:tcW w:w="1224" w:type="pct"/>
          </w:tcPr>
          <w:p w:rsidR="004C772B" w:rsidRDefault="004C772B" w:rsidP="00C324F3">
            <w:pPr>
              <w:pStyle w:val="Tablewriting"/>
              <w:numPr>
                <w:ilvl w:val="0"/>
                <w:numId w:val="45"/>
              </w:numPr>
              <w:rPr>
                <w:rFonts w:eastAsia="MS Mincho"/>
              </w:rPr>
            </w:pPr>
            <w:r w:rsidRPr="004C772B">
              <w:rPr>
                <w:rFonts w:eastAsia="MS Mincho"/>
              </w:rPr>
              <w:t>Bupropion 300 mg/day for 7 weeks</w:t>
            </w:r>
          </w:p>
          <w:p w:rsidR="004C772B" w:rsidRPr="004C772B" w:rsidRDefault="004C772B" w:rsidP="00C324F3">
            <w:pPr>
              <w:pStyle w:val="Tablewriting"/>
              <w:numPr>
                <w:ilvl w:val="0"/>
                <w:numId w:val="45"/>
              </w:numPr>
              <w:rPr>
                <w:rFonts w:eastAsia="MS Mincho"/>
              </w:rPr>
            </w:pPr>
            <w:r w:rsidRPr="004C772B">
              <w:rPr>
                <w:rFonts w:eastAsia="MS Mincho"/>
              </w:rPr>
              <w:t>Placebo</w:t>
            </w:r>
          </w:p>
          <w:p w:rsidR="004C772B" w:rsidRDefault="004C772B" w:rsidP="00A71365">
            <w:pPr>
              <w:pStyle w:val="Tablewriting"/>
              <w:rPr>
                <w:rFonts w:eastAsia="MS Mincho"/>
              </w:rPr>
            </w:pPr>
          </w:p>
          <w:p w:rsidR="00D137CE" w:rsidRPr="00061F78" w:rsidRDefault="004C772B" w:rsidP="00A71365">
            <w:pPr>
              <w:pStyle w:val="Tablewriting"/>
              <w:rPr>
                <w:rFonts w:eastAsia="MS Mincho"/>
              </w:rPr>
            </w:pPr>
            <w:r w:rsidRPr="004C772B">
              <w:rPr>
                <w:rFonts w:eastAsia="MS Mincho"/>
                <w:u w:val="single"/>
              </w:rPr>
              <w:t>Common components</w:t>
            </w:r>
            <w:r w:rsidRPr="004C772B">
              <w:rPr>
                <w:rFonts w:eastAsia="MS Mincho"/>
              </w:rPr>
              <w:t>: either CBT based on relapse</w:t>
            </w:r>
            <w:r>
              <w:rPr>
                <w:rFonts w:eastAsia="MS Mincho"/>
              </w:rPr>
              <w:t xml:space="preserve"> </w:t>
            </w:r>
            <w:r w:rsidRPr="004C772B">
              <w:rPr>
                <w:rFonts w:eastAsia="MS Mincho"/>
              </w:rPr>
              <w:t>prevention model, or group support therapy, both</w:t>
            </w:r>
            <w:r w:rsidR="0053333D">
              <w:rPr>
                <w:rFonts w:eastAsia="MS Mincho"/>
              </w:rPr>
              <w:t xml:space="preserve"> </w:t>
            </w:r>
            <w:r w:rsidRPr="004C772B">
              <w:rPr>
                <w:rFonts w:eastAsia="MS Mincho"/>
              </w:rPr>
              <w:t>7 weekly 60-min meetings, TQD morning of 1st session, 10 days after start of medications</w:t>
            </w:r>
          </w:p>
        </w:tc>
        <w:tc>
          <w:tcPr>
            <w:tcW w:w="832" w:type="pct"/>
          </w:tcPr>
          <w:p w:rsidR="004C772B" w:rsidRPr="004C772B" w:rsidRDefault="004C772B" w:rsidP="00A71365">
            <w:pPr>
              <w:pStyle w:val="Tablewriting"/>
              <w:rPr>
                <w:rFonts w:eastAsia="MS Mincho"/>
              </w:rPr>
            </w:pPr>
            <w:r w:rsidRPr="004C772B">
              <w:rPr>
                <w:rFonts w:eastAsia="MS Mincho"/>
                <w:u w:val="single"/>
              </w:rPr>
              <w:t>Efficacy:</w:t>
            </w:r>
            <w:r w:rsidRPr="004C772B">
              <w:rPr>
                <w:rFonts w:eastAsia="MS Mincho"/>
              </w:rPr>
              <w:t xml:space="preserve"> 7-day </w:t>
            </w:r>
            <w:r w:rsidR="0053333D">
              <w:rPr>
                <w:rFonts w:eastAsia="MS Mincho"/>
              </w:rPr>
              <w:t>PPA</w:t>
            </w:r>
            <w:r w:rsidRPr="004C772B">
              <w:rPr>
                <w:rFonts w:eastAsia="MS Mincho"/>
              </w:rPr>
              <w:t xml:space="preserve"> at 12 months. Validated by CO </w:t>
            </w:r>
            <w:r w:rsidR="00424BE8" w:rsidRPr="00D96BA4">
              <w:rPr>
                <w:rFonts w:eastAsia="MS Mincho"/>
              </w:rPr>
              <w:t>≤</w:t>
            </w:r>
            <w:r w:rsidRPr="004C772B">
              <w:rPr>
                <w:rFonts w:eastAsia="MS Mincho"/>
              </w:rPr>
              <w:t xml:space="preserve"> 10 ppm, saliva cotinine &lt; 15ng/mL</w:t>
            </w:r>
          </w:p>
          <w:p w:rsidR="00D137CE" w:rsidRPr="00061F78" w:rsidRDefault="004C772B" w:rsidP="00A71365">
            <w:pPr>
              <w:pStyle w:val="Tablewriting"/>
              <w:rPr>
                <w:rFonts w:eastAsia="MS Mincho"/>
              </w:rPr>
            </w:pPr>
            <w:r w:rsidRPr="004C772B">
              <w:rPr>
                <w:rFonts w:eastAsia="MS Mincho"/>
                <w:u w:val="single"/>
              </w:rPr>
              <w:t>Safety:</w:t>
            </w:r>
            <w:r w:rsidRPr="004C772B">
              <w:rPr>
                <w:rFonts w:eastAsia="MS Mincho"/>
              </w:rPr>
              <w:t xml:space="preserve"> </w:t>
            </w:r>
            <w:r w:rsidR="00E0585F">
              <w:rPr>
                <w:rFonts w:eastAsia="MS Mincho"/>
              </w:rPr>
              <w:t>a</w:t>
            </w:r>
            <w:r w:rsidR="00E0585F" w:rsidRPr="00E0585F">
              <w:rPr>
                <w:rFonts w:eastAsia="MS Mincho"/>
              </w:rPr>
              <w:t>dverse events</w:t>
            </w:r>
            <w:r w:rsidR="00E0585F">
              <w:rPr>
                <w:rFonts w:eastAsia="MS Mincho"/>
              </w:rPr>
              <w:t xml:space="preserve"> at </w:t>
            </w:r>
            <w:r w:rsidRPr="004C772B">
              <w:rPr>
                <w:rFonts w:eastAsia="MS Mincho"/>
              </w:rPr>
              <w:t>7 weeks</w:t>
            </w:r>
            <w:r w:rsidR="00E41249">
              <w:rPr>
                <w:rFonts w:eastAsia="MS Mincho"/>
              </w:rPr>
              <w:t>.</w:t>
            </w:r>
          </w:p>
        </w:tc>
      </w:tr>
      <w:tr w:rsidR="00D137CE" w:rsidRPr="00061F78" w:rsidTr="004529B1">
        <w:trPr>
          <w:trHeight w:val="149"/>
        </w:trPr>
        <w:tc>
          <w:tcPr>
            <w:tcW w:w="565" w:type="pct"/>
          </w:tcPr>
          <w:p w:rsidR="00D137CE" w:rsidRPr="00866DE0" w:rsidRDefault="00005237" w:rsidP="00A71365">
            <w:pPr>
              <w:pStyle w:val="Tablewriting"/>
              <w:rPr>
                <w:rFonts w:eastAsia="MS Mincho"/>
              </w:rPr>
            </w:pPr>
            <w:r w:rsidRPr="00B63651">
              <w:rPr>
                <w:rFonts w:eastAsia="MS Mincho"/>
              </w:rPr>
              <w:t xml:space="preserve">Selby </w:t>
            </w:r>
            <w:r w:rsidR="0065538B" w:rsidRPr="00B63651">
              <w:rPr>
                <w:rFonts w:eastAsia="MS Mincho"/>
              </w:rPr>
              <w:t>(</w:t>
            </w:r>
            <w:r w:rsidRPr="00B63651">
              <w:rPr>
                <w:rFonts w:eastAsia="MS Mincho"/>
              </w:rPr>
              <w:t>2003</w:t>
            </w:r>
            <w:r w:rsidR="0065538B" w:rsidRPr="00B63651">
              <w:rPr>
                <w:rFonts w:eastAsia="MS Mincho"/>
              </w:rPr>
              <w:t>)</w:t>
            </w:r>
          </w:p>
        </w:tc>
        <w:tc>
          <w:tcPr>
            <w:tcW w:w="238" w:type="pct"/>
          </w:tcPr>
          <w:p w:rsidR="00D137CE" w:rsidRDefault="000A21D2" w:rsidP="00A71365">
            <w:pPr>
              <w:pStyle w:val="Tablewriting"/>
              <w:rPr>
                <w:rFonts w:eastAsia="MS Mincho"/>
              </w:rPr>
            </w:pPr>
            <w:r>
              <w:rPr>
                <w:rFonts w:eastAsia="MS Mincho"/>
              </w:rPr>
              <w:t>RCT</w:t>
            </w:r>
          </w:p>
        </w:tc>
        <w:tc>
          <w:tcPr>
            <w:tcW w:w="420" w:type="pct"/>
          </w:tcPr>
          <w:p w:rsidR="0035253E" w:rsidRPr="00061F78" w:rsidRDefault="000A21D2" w:rsidP="00A71365">
            <w:pPr>
              <w:pStyle w:val="Tablewriting"/>
              <w:rPr>
                <w:rFonts w:eastAsia="MS Mincho"/>
              </w:rPr>
            </w:pPr>
            <w:r>
              <w:rPr>
                <w:rFonts w:eastAsia="MS Mincho"/>
              </w:rPr>
              <w:t>Canada</w:t>
            </w:r>
          </w:p>
        </w:tc>
        <w:tc>
          <w:tcPr>
            <w:tcW w:w="449" w:type="pct"/>
          </w:tcPr>
          <w:p w:rsidR="00D137CE" w:rsidRPr="00061F78" w:rsidRDefault="000A21D2" w:rsidP="00A71365">
            <w:pPr>
              <w:pStyle w:val="Tablewriting"/>
              <w:rPr>
                <w:rFonts w:eastAsia="MS Mincho"/>
              </w:rPr>
            </w:pPr>
            <w:r>
              <w:rPr>
                <w:rFonts w:eastAsia="MS Mincho"/>
              </w:rPr>
              <w:t>N=284</w:t>
            </w:r>
          </w:p>
        </w:tc>
        <w:tc>
          <w:tcPr>
            <w:tcW w:w="1271" w:type="pct"/>
          </w:tcPr>
          <w:p w:rsidR="000A21D2" w:rsidRPr="000A21D2" w:rsidRDefault="000A21D2" w:rsidP="00A71365">
            <w:pPr>
              <w:pStyle w:val="Tablewriting"/>
              <w:rPr>
                <w:rFonts w:eastAsia="MS Mincho"/>
              </w:rPr>
            </w:pPr>
            <w:r>
              <w:rPr>
                <w:rFonts w:eastAsia="MS Mincho"/>
              </w:rPr>
              <w:t>S</w:t>
            </w:r>
            <w:r w:rsidRPr="000A21D2">
              <w:rPr>
                <w:rFonts w:eastAsia="MS Mincho"/>
              </w:rPr>
              <w:t>mokers previously exposed to bupropion for at least 2weeks, not quit for more than 24 hours in</w:t>
            </w:r>
          </w:p>
          <w:p w:rsidR="00D137CE" w:rsidRPr="00061F78" w:rsidRDefault="000A21D2" w:rsidP="00A71365">
            <w:pPr>
              <w:pStyle w:val="Tablewriting"/>
              <w:rPr>
                <w:rFonts w:eastAsia="MS Mincho"/>
              </w:rPr>
            </w:pPr>
            <w:r w:rsidRPr="000A21D2">
              <w:rPr>
                <w:rFonts w:eastAsia="MS Mincho"/>
              </w:rPr>
              <w:t>previous month</w:t>
            </w:r>
          </w:p>
        </w:tc>
        <w:tc>
          <w:tcPr>
            <w:tcW w:w="1224" w:type="pct"/>
          </w:tcPr>
          <w:p w:rsidR="000A21D2" w:rsidRDefault="000A21D2" w:rsidP="00C324F3">
            <w:pPr>
              <w:pStyle w:val="Tablewriting"/>
              <w:numPr>
                <w:ilvl w:val="0"/>
                <w:numId w:val="46"/>
              </w:numPr>
              <w:rPr>
                <w:rFonts w:eastAsia="MS Mincho"/>
              </w:rPr>
            </w:pPr>
            <w:r w:rsidRPr="000A21D2">
              <w:rPr>
                <w:rFonts w:eastAsia="MS Mincho"/>
              </w:rPr>
              <w:t>Bupropion 300 mg for 12 weeks</w:t>
            </w:r>
          </w:p>
          <w:p w:rsidR="000A21D2" w:rsidRDefault="000A21D2" w:rsidP="00C324F3">
            <w:pPr>
              <w:pStyle w:val="Tablewriting"/>
              <w:numPr>
                <w:ilvl w:val="0"/>
                <w:numId w:val="46"/>
              </w:numPr>
              <w:rPr>
                <w:rFonts w:eastAsia="MS Mincho"/>
              </w:rPr>
            </w:pPr>
            <w:r w:rsidRPr="000A21D2">
              <w:rPr>
                <w:rFonts w:eastAsia="MS Mincho"/>
              </w:rPr>
              <w:t>Placebo</w:t>
            </w:r>
          </w:p>
          <w:p w:rsidR="00654171" w:rsidRDefault="00654171" w:rsidP="00A71365">
            <w:pPr>
              <w:pStyle w:val="Tablewriting"/>
              <w:rPr>
                <w:rFonts w:eastAsia="MS Mincho"/>
              </w:rPr>
            </w:pPr>
          </w:p>
          <w:p w:rsidR="00D137CE" w:rsidRPr="00061F78" w:rsidRDefault="000A21D2" w:rsidP="00A71365">
            <w:pPr>
              <w:pStyle w:val="Tablewriting"/>
              <w:rPr>
                <w:rFonts w:eastAsia="MS Mincho"/>
              </w:rPr>
            </w:pPr>
            <w:r w:rsidRPr="000A21D2">
              <w:rPr>
                <w:rFonts w:eastAsia="MS Mincho"/>
              </w:rPr>
              <w:t>Behavioural support not described</w:t>
            </w:r>
          </w:p>
        </w:tc>
        <w:tc>
          <w:tcPr>
            <w:tcW w:w="832" w:type="pct"/>
          </w:tcPr>
          <w:p w:rsidR="000A21D2" w:rsidRPr="000A21D2" w:rsidRDefault="000A21D2" w:rsidP="00A71365">
            <w:pPr>
              <w:pStyle w:val="Tablewriting"/>
              <w:rPr>
                <w:rFonts w:eastAsia="MS Mincho"/>
              </w:rPr>
            </w:pPr>
            <w:r w:rsidRPr="0099009C">
              <w:rPr>
                <w:rFonts w:eastAsia="MS Mincho"/>
                <w:u w:val="single"/>
              </w:rPr>
              <w:t>Efficacy:</w:t>
            </w:r>
            <w:r w:rsidRPr="000A21D2">
              <w:rPr>
                <w:rFonts w:eastAsia="MS Mincho"/>
              </w:rPr>
              <w:t xml:space="preserve"> </w:t>
            </w:r>
            <w:r w:rsidR="0053333D">
              <w:rPr>
                <w:rFonts w:eastAsia="MS Mincho"/>
              </w:rPr>
              <w:t>PPA</w:t>
            </w:r>
            <w:r w:rsidRPr="000A21D2">
              <w:rPr>
                <w:rFonts w:eastAsia="MS Mincho"/>
              </w:rPr>
              <w:t xml:space="preserve"> at 12 months. Validated by CO </w:t>
            </w:r>
            <w:r w:rsidR="00424BE8" w:rsidRPr="00D96BA4">
              <w:rPr>
                <w:rFonts w:eastAsia="MS Mincho"/>
              </w:rPr>
              <w:t>≤</w:t>
            </w:r>
            <w:r w:rsidRPr="000A21D2">
              <w:rPr>
                <w:rFonts w:eastAsia="MS Mincho"/>
              </w:rPr>
              <w:t xml:space="preserve"> 10 ppm at treatment visits</w:t>
            </w:r>
          </w:p>
          <w:p w:rsidR="00D137CE" w:rsidRPr="00061F78" w:rsidRDefault="0099009C" w:rsidP="00A71365">
            <w:pPr>
              <w:pStyle w:val="Tablewriting"/>
              <w:rPr>
                <w:rFonts w:eastAsia="MS Mincho"/>
              </w:rPr>
            </w:pPr>
            <w:r w:rsidRPr="0099009C">
              <w:rPr>
                <w:rFonts w:eastAsia="MS Mincho"/>
                <w:u w:val="single"/>
              </w:rPr>
              <w:t>Safety:</w:t>
            </w:r>
            <w:r>
              <w:rPr>
                <w:rFonts w:eastAsia="MS Mincho"/>
              </w:rPr>
              <w:t xml:space="preserve"> a</w:t>
            </w:r>
            <w:r w:rsidR="000A21D2" w:rsidRPr="000A21D2">
              <w:rPr>
                <w:rFonts w:eastAsia="MS Mincho"/>
              </w:rPr>
              <w:t>dverse events</w:t>
            </w:r>
            <w:r>
              <w:rPr>
                <w:rFonts w:eastAsia="MS Mincho"/>
              </w:rPr>
              <w:t xml:space="preserve"> </w:t>
            </w:r>
            <w:r w:rsidR="000A21D2" w:rsidRPr="000A21D2">
              <w:rPr>
                <w:rFonts w:eastAsia="MS Mincho"/>
              </w:rPr>
              <w:t>measured for</w:t>
            </w:r>
            <w:r w:rsidR="00095F26">
              <w:rPr>
                <w:rFonts w:eastAsia="MS Mincho"/>
              </w:rPr>
              <w:t xml:space="preserve"> </w:t>
            </w:r>
            <w:r w:rsidR="000A21D2" w:rsidRPr="000A21D2">
              <w:rPr>
                <w:rFonts w:eastAsia="MS Mincho"/>
              </w:rPr>
              <w:t>unspecified period</w:t>
            </w:r>
            <w:r w:rsidR="00E41249">
              <w:rPr>
                <w:rFonts w:eastAsia="MS Mincho"/>
              </w:rPr>
              <w:t>.</w:t>
            </w:r>
          </w:p>
        </w:tc>
      </w:tr>
      <w:tr w:rsidR="00D137CE" w:rsidRPr="00061F78" w:rsidTr="004529B1">
        <w:trPr>
          <w:trHeight w:val="149"/>
        </w:trPr>
        <w:tc>
          <w:tcPr>
            <w:tcW w:w="565" w:type="pct"/>
          </w:tcPr>
          <w:p w:rsidR="00D137CE" w:rsidRPr="00866DE0" w:rsidRDefault="002C7C24" w:rsidP="00A71365">
            <w:pPr>
              <w:pStyle w:val="Tablewriting"/>
              <w:rPr>
                <w:rFonts w:eastAsia="MS Mincho"/>
              </w:rPr>
            </w:pPr>
            <w:r w:rsidRPr="00B63651">
              <w:rPr>
                <w:rFonts w:eastAsia="MS Mincho"/>
              </w:rPr>
              <w:lastRenderedPageBreak/>
              <w:t xml:space="preserve">Simon </w:t>
            </w:r>
            <w:r w:rsidR="0065538B" w:rsidRPr="00B63651">
              <w:rPr>
                <w:rFonts w:eastAsia="MS Mincho"/>
              </w:rPr>
              <w:t>(</w:t>
            </w:r>
            <w:r w:rsidRPr="00B63651">
              <w:rPr>
                <w:rFonts w:eastAsia="MS Mincho"/>
              </w:rPr>
              <w:t>2009</w:t>
            </w:r>
            <w:r w:rsidR="0065538B" w:rsidRPr="00B63651">
              <w:rPr>
                <w:rFonts w:eastAsia="MS Mincho"/>
              </w:rPr>
              <w:t>)</w:t>
            </w:r>
          </w:p>
        </w:tc>
        <w:tc>
          <w:tcPr>
            <w:tcW w:w="238" w:type="pct"/>
          </w:tcPr>
          <w:p w:rsidR="00D137CE" w:rsidRDefault="006955C7" w:rsidP="00A71365">
            <w:pPr>
              <w:pStyle w:val="Tablewriting"/>
              <w:rPr>
                <w:rFonts w:eastAsia="MS Mincho"/>
              </w:rPr>
            </w:pPr>
            <w:r>
              <w:rPr>
                <w:rFonts w:eastAsia="MS Mincho"/>
              </w:rPr>
              <w:t>RCT</w:t>
            </w:r>
          </w:p>
        </w:tc>
        <w:tc>
          <w:tcPr>
            <w:tcW w:w="420" w:type="pct"/>
          </w:tcPr>
          <w:p w:rsidR="0035253E" w:rsidRPr="00061F78" w:rsidRDefault="006955C7" w:rsidP="00A71365">
            <w:pPr>
              <w:pStyle w:val="Tablewriting"/>
              <w:rPr>
                <w:rFonts w:eastAsia="MS Mincho"/>
              </w:rPr>
            </w:pPr>
            <w:r>
              <w:rPr>
                <w:rFonts w:eastAsia="MS Mincho"/>
              </w:rPr>
              <w:t>USA</w:t>
            </w:r>
          </w:p>
        </w:tc>
        <w:tc>
          <w:tcPr>
            <w:tcW w:w="449" w:type="pct"/>
          </w:tcPr>
          <w:p w:rsidR="00D137CE" w:rsidRPr="00061F78" w:rsidRDefault="006955C7" w:rsidP="00A71365">
            <w:pPr>
              <w:pStyle w:val="Tablewriting"/>
              <w:rPr>
                <w:rFonts w:eastAsia="MS Mincho"/>
              </w:rPr>
            </w:pPr>
            <w:r>
              <w:rPr>
                <w:rFonts w:eastAsia="MS Mincho"/>
              </w:rPr>
              <w:t>N=</w:t>
            </w:r>
            <w:r w:rsidR="00E51F3C">
              <w:rPr>
                <w:rFonts w:eastAsia="MS Mincho"/>
              </w:rPr>
              <w:t>83</w:t>
            </w:r>
          </w:p>
        </w:tc>
        <w:tc>
          <w:tcPr>
            <w:tcW w:w="1271" w:type="pct"/>
          </w:tcPr>
          <w:p w:rsidR="00D137CE" w:rsidRPr="00061F78" w:rsidRDefault="00E51F3C" w:rsidP="00A71365">
            <w:pPr>
              <w:pStyle w:val="Tablewriting"/>
              <w:rPr>
                <w:rFonts w:eastAsia="MS Mincho"/>
              </w:rPr>
            </w:pPr>
            <w:r>
              <w:rPr>
                <w:rFonts w:eastAsia="MS Mincho"/>
              </w:rPr>
              <w:t>I</w:t>
            </w:r>
            <w:r w:rsidR="00C34C6B" w:rsidRPr="00C34C6B">
              <w:rPr>
                <w:rFonts w:eastAsia="MS Mincho"/>
              </w:rPr>
              <w:t>npatients smoking at least 5 cigarettes per day in previous year, smoking in week before admission,</w:t>
            </w:r>
            <w:r w:rsidR="00D66694">
              <w:rPr>
                <w:rFonts w:eastAsia="MS Mincho"/>
              </w:rPr>
              <w:t xml:space="preserve"> </w:t>
            </w:r>
            <w:r w:rsidR="00C34C6B" w:rsidRPr="00C34C6B">
              <w:rPr>
                <w:rFonts w:eastAsia="MS Mincho"/>
              </w:rPr>
              <w:t>in contemplation or preparation stage of change</w:t>
            </w:r>
          </w:p>
        </w:tc>
        <w:tc>
          <w:tcPr>
            <w:tcW w:w="1224" w:type="pct"/>
          </w:tcPr>
          <w:p w:rsidR="00BE0732" w:rsidRDefault="00BE0732" w:rsidP="00C324F3">
            <w:pPr>
              <w:pStyle w:val="Tablewriting"/>
              <w:numPr>
                <w:ilvl w:val="0"/>
                <w:numId w:val="47"/>
              </w:numPr>
              <w:rPr>
                <w:rFonts w:eastAsia="MS Mincho"/>
              </w:rPr>
            </w:pPr>
            <w:r w:rsidRPr="00BE0732">
              <w:rPr>
                <w:rFonts w:eastAsia="MS Mincho"/>
              </w:rPr>
              <w:t>Bupropion 300 mg for 7 weeks</w:t>
            </w:r>
          </w:p>
          <w:p w:rsidR="00BE0732" w:rsidRPr="00BE0732" w:rsidRDefault="00BE0732" w:rsidP="00C324F3">
            <w:pPr>
              <w:pStyle w:val="Tablewriting"/>
              <w:numPr>
                <w:ilvl w:val="0"/>
                <w:numId w:val="47"/>
              </w:numPr>
              <w:rPr>
                <w:rFonts w:eastAsia="MS Mincho"/>
              </w:rPr>
            </w:pPr>
            <w:r w:rsidRPr="00BE0732">
              <w:rPr>
                <w:rFonts w:eastAsia="MS Mincho"/>
              </w:rPr>
              <w:t>Placebo</w:t>
            </w:r>
          </w:p>
          <w:p w:rsidR="00BE0732" w:rsidRDefault="00BE0732" w:rsidP="00A71365">
            <w:pPr>
              <w:pStyle w:val="Tablewriting"/>
              <w:rPr>
                <w:rFonts w:eastAsia="MS Mincho"/>
              </w:rPr>
            </w:pPr>
          </w:p>
          <w:p w:rsidR="00D137CE" w:rsidRPr="00061F78" w:rsidRDefault="00BE0732" w:rsidP="00A71365">
            <w:pPr>
              <w:pStyle w:val="Tablewriting"/>
              <w:rPr>
                <w:rFonts w:eastAsia="MS Mincho"/>
              </w:rPr>
            </w:pPr>
            <w:r w:rsidRPr="00BE0732">
              <w:rPr>
                <w:rFonts w:eastAsia="MS Mincho"/>
                <w:u w:val="single"/>
              </w:rPr>
              <w:t>Common components:</w:t>
            </w:r>
            <w:r w:rsidRPr="00BE0732">
              <w:rPr>
                <w:rFonts w:eastAsia="MS Mincho"/>
              </w:rPr>
              <w:t xml:space="preserve"> individual CBT 30-60 min during hospital stay + 5 phone calls at week 1, week 3,</w:t>
            </w:r>
            <w:r>
              <w:rPr>
                <w:rFonts w:eastAsia="MS Mincho"/>
              </w:rPr>
              <w:t xml:space="preserve"> </w:t>
            </w:r>
            <w:r w:rsidRPr="00BE0732">
              <w:rPr>
                <w:rFonts w:eastAsia="MS Mincho"/>
              </w:rPr>
              <w:t>week 5, week 8, week 12, recycling encouraged</w:t>
            </w:r>
          </w:p>
        </w:tc>
        <w:tc>
          <w:tcPr>
            <w:tcW w:w="832" w:type="pct"/>
          </w:tcPr>
          <w:p w:rsidR="00AA47B9" w:rsidRPr="00AA47B9" w:rsidRDefault="00AA47B9" w:rsidP="00A71365">
            <w:pPr>
              <w:pStyle w:val="Tablewriting"/>
              <w:rPr>
                <w:rFonts w:eastAsia="MS Mincho"/>
              </w:rPr>
            </w:pPr>
            <w:r w:rsidRPr="00AA47B9">
              <w:rPr>
                <w:rFonts w:eastAsia="MS Mincho"/>
                <w:u w:val="single"/>
              </w:rPr>
              <w:t>Efficacy:</w:t>
            </w:r>
            <w:r w:rsidRPr="00AA47B9">
              <w:rPr>
                <w:rFonts w:eastAsia="MS Mincho"/>
              </w:rPr>
              <w:t xml:space="preserve"> continuous abstinence at 6 months. Validated at each visit by saliva cotinine &lt; 15</w:t>
            </w:r>
            <w:r w:rsidR="00095F26">
              <w:rPr>
                <w:rFonts w:eastAsia="MS Mincho"/>
              </w:rPr>
              <w:t xml:space="preserve"> </w:t>
            </w:r>
            <w:r w:rsidRPr="00AA47B9">
              <w:rPr>
                <w:rFonts w:eastAsia="MS Mincho"/>
              </w:rPr>
              <w:t>ng/mL</w:t>
            </w:r>
          </w:p>
          <w:p w:rsidR="00D137CE" w:rsidRPr="00061F78" w:rsidRDefault="00AA47B9" w:rsidP="00A71365">
            <w:pPr>
              <w:pStyle w:val="Tablewriting"/>
              <w:rPr>
                <w:rFonts w:eastAsia="MS Mincho"/>
              </w:rPr>
            </w:pPr>
            <w:r w:rsidRPr="00AA47B9">
              <w:rPr>
                <w:rFonts w:eastAsia="MS Mincho"/>
                <w:u w:val="single"/>
              </w:rPr>
              <w:t>Safety:</w:t>
            </w:r>
            <w:r>
              <w:rPr>
                <w:rFonts w:eastAsia="MS Mincho"/>
              </w:rPr>
              <w:t xml:space="preserve"> a</w:t>
            </w:r>
            <w:r w:rsidRPr="00AA47B9">
              <w:rPr>
                <w:rFonts w:eastAsia="MS Mincho"/>
              </w:rPr>
              <w:t>dverse events measured for 7 weeks</w:t>
            </w:r>
            <w:r w:rsidR="00E41249">
              <w:rPr>
                <w:rFonts w:eastAsia="MS Mincho"/>
              </w:rPr>
              <w:t>.</w:t>
            </w:r>
          </w:p>
        </w:tc>
      </w:tr>
      <w:tr w:rsidR="00D137CE" w:rsidRPr="00061F78" w:rsidTr="004529B1">
        <w:trPr>
          <w:trHeight w:val="149"/>
        </w:trPr>
        <w:tc>
          <w:tcPr>
            <w:tcW w:w="565" w:type="pct"/>
          </w:tcPr>
          <w:p w:rsidR="00D137CE" w:rsidRPr="00866DE0" w:rsidRDefault="00D77A5B" w:rsidP="00A71365">
            <w:pPr>
              <w:pStyle w:val="Tablewriting"/>
              <w:rPr>
                <w:rFonts w:eastAsia="MS Mincho"/>
              </w:rPr>
            </w:pPr>
            <w:r w:rsidRPr="00B63651">
              <w:rPr>
                <w:rFonts w:eastAsia="MS Mincho"/>
              </w:rPr>
              <w:t>SMK20001</w:t>
            </w:r>
          </w:p>
        </w:tc>
        <w:tc>
          <w:tcPr>
            <w:tcW w:w="238" w:type="pct"/>
          </w:tcPr>
          <w:p w:rsidR="00D137CE" w:rsidRDefault="00777277" w:rsidP="00A71365">
            <w:pPr>
              <w:pStyle w:val="Tablewriting"/>
              <w:rPr>
                <w:rFonts w:eastAsia="MS Mincho"/>
              </w:rPr>
            </w:pPr>
            <w:r>
              <w:rPr>
                <w:rFonts w:eastAsia="MS Mincho"/>
              </w:rPr>
              <w:t>RCT</w:t>
            </w:r>
          </w:p>
        </w:tc>
        <w:tc>
          <w:tcPr>
            <w:tcW w:w="420" w:type="pct"/>
          </w:tcPr>
          <w:p w:rsidR="0035253E" w:rsidRPr="00061F78" w:rsidRDefault="00777277" w:rsidP="00A71365">
            <w:pPr>
              <w:pStyle w:val="Tablewriting"/>
              <w:rPr>
                <w:rFonts w:eastAsia="MS Mincho"/>
              </w:rPr>
            </w:pPr>
            <w:r>
              <w:rPr>
                <w:rFonts w:eastAsia="MS Mincho"/>
              </w:rPr>
              <w:t>USA</w:t>
            </w:r>
          </w:p>
        </w:tc>
        <w:tc>
          <w:tcPr>
            <w:tcW w:w="449" w:type="pct"/>
          </w:tcPr>
          <w:p w:rsidR="00D137CE" w:rsidRPr="00061F78" w:rsidRDefault="00777277" w:rsidP="00A71365">
            <w:pPr>
              <w:pStyle w:val="Tablewriting"/>
              <w:rPr>
                <w:rFonts w:eastAsia="MS Mincho"/>
              </w:rPr>
            </w:pPr>
            <w:r>
              <w:rPr>
                <w:rFonts w:eastAsia="MS Mincho"/>
              </w:rPr>
              <w:t>N=286</w:t>
            </w:r>
          </w:p>
        </w:tc>
        <w:tc>
          <w:tcPr>
            <w:tcW w:w="1271" w:type="pct"/>
          </w:tcPr>
          <w:p w:rsidR="00D137CE" w:rsidRPr="00061F78" w:rsidRDefault="00777277" w:rsidP="00A71365">
            <w:pPr>
              <w:pStyle w:val="Tablewriting"/>
              <w:rPr>
                <w:rFonts w:eastAsia="MS Mincho"/>
              </w:rPr>
            </w:pPr>
            <w:r>
              <w:rPr>
                <w:rFonts w:eastAsia="MS Mincho"/>
              </w:rPr>
              <w:t>S</w:t>
            </w:r>
            <w:r w:rsidRPr="00777277">
              <w:rPr>
                <w:rFonts w:eastAsia="MS Mincho"/>
              </w:rPr>
              <w:t>mokers</w:t>
            </w:r>
            <w:r w:rsidR="00D66694">
              <w:rPr>
                <w:rFonts w:eastAsia="MS Mincho"/>
              </w:rPr>
              <w:t>,</w:t>
            </w:r>
            <w:r w:rsidRPr="00777277">
              <w:rPr>
                <w:rFonts w:eastAsia="MS Mincho"/>
              </w:rPr>
              <w:t xml:space="preserve"> 48% female</w:t>
            </w:r>
            <w:r w:rsidR="00D66694">
              <w:rPr>
                <w:rFonts w:eastAsia="MS Mincho"/>
              </w:rPr>
              <w:t>,</w:t>
            </w:r>
            <w:r w:rsidRPr="00777277">
              <w:rPr>
                <w:rFonts w:eastAsia="MS Mincho"/>
              </w:rPr>
              <w:t xml:space="preserve"> average age 42</w:t>
            </w:r>
            <w:r w:rsidR="00D66694">
              <w:rPr>
                <w:rFonts w:eastAsia="MS Mincho"/>
              </w:rPr>
              <w:t>,</w:t>
            </w:r>
            <w:r w:rsidRPr="00777277">
              <w:rPr>
                <w:rFonts w:eastAsia="MS Mincho"/>
              </w:rPr>
              <w:t xml:space="preserve"> average cigarettes per day not specified</w:t>
            </w:r>
          </w:p>
        </w:tc>
        <w:tc>
          <w:tcPr>
            <w:tcW w:w="1224" w:type="pct"/>
          </w:tcPr>
          <w:p w:rsidR="00D137CE" w:rsidRDefault="008C37BD" w:rsidP="00C324F3">
            <w:pPr>
              <w:pStyle w:val="Tablewriting"/>
              <w:numPr>
                <w:ilvl w:val="0"/>
                <w:numId w:val="48"/>
              </w:numPr>
              <w:rPr>
                <w:rFonts w:eastAsia="MS Mincho"/>
              </w:rPr>
            </w:pPr>
            <w:r w:rsidRPr="008C37BD">
              <w:rPr>
                <w:rFonts w:eastAsia="MS Mincho"/>
              </w:rPr>
              <w:t>Bupropion 300 mg for 7 weeks and placebo novel therapy</w:t>
            </w:r>
          </w:p>
          <w:p w:rsidR="00D137CE" w:rsidRPr="00061F78" w:rsidRDefault="008C37BD" w:rsidP="00C324F3">
            <w:pPr>
              <w:pStyle w:val="Tablewriting"/>
              <w:numPr>
                <w:ilvl w:val="0"/>
                <w:numId w:val="48"/>
              </w:numPr>
              <w:rPr>
                <w:rFonts w:eastAsia="MS Mincho"/>
              </w:rPr>
            </w:pPr>
            <w:r>
              <w:rPr>
                <w:rFonts w:eastAsia="MS Mincho"/>
              </w:rPr>
              <w:t>Double placebo</w:t>
            </w:r>
          </w:p>
        </w:tc>
        <w:tc>
          <w:tcPr>
            <w:tcW w:w="832" w:type="pct"/>
          </w:tcPr>
          <w:p w:rsidR="00D137CE" w:rsidRDefault="001B193C" w:rsidP="00A71365">
            <w:pPr>
              <w:pStyle w:val="Tablewriting"/>
              <w:rPr>
                <w:rFonts w:eastAsia="MS Mincho"/>
              </w:rPr>
            </w:pPr>
            <w:r w:rsidRPr="001B193C">
              <w:rPr>
                <w:rFonts w:eastAsia="MS Mincho"/>
                <w:u w:val="single"/>
              </w:rPr>
              <w:t>Efficacy:</w:t>
            </w:r>
            <w:r>
              <w:rPr>
                <w:rFonts w:eastAsia="MS Mincho"/>
              </w:rPr>
              <w:t xml:space="preserve"> </w:t>
            </w:r>
            <w:r w:rsidRPr="001B193C">
              <w:rPr>
                <w:rFonts w:eastAsia="MS Mincho"/>
              </w:rPr>
              <w:t xml:space="preserve">continuous abstinence at 12 months. Validated by CO </w:t>
            </w:r>
            <w:r w:rsidR="00424BE8" w:rsidRPr="00D96BA4">
              <w:rPr>
                <w:rFonts w:eastAsia="MS Mincho"/>
              </w:rPr>
              <w:t>≤</w:t>
            </w:r>
            <w:r w:rsidRPr="001B193C">
              <w:rPr>
                <w:rFonts w:eastAsia="MS Mincho"/>
              </w:rPr>
              <w:t xml:space="preserve"> 10 ppm</w:t>
            </w:r>
          </w:p>
          <w:p w:rsidR="00D137CE" w:rsidRPr="00061F78" w:rsidRDefault="001B193C" w:rsidP="00A71365">
            <w:pPr>
              <w:pStyle w:val="Tablewriting"/>
              <w:rPr>
                <w:rFonts w:eastAsia="MS Mincho"/>
              </w:rPr>
            </w:pPr>
            <w:r w:rsidRPr="001B193C">
              <w:rPr>
                <w:rFonts w:eastAsia="MS Mincho"/>
                <w:u w:val="single"/>
              </w:rPr>
              <w:t>Safety:</w:t>
            </w:r>
            <w:r>
              <w:rPr>
                <w:rFonts w:eastAsia="MS Mincho"/>
              </w:rPr>
              <w:t xml:space="preserve"> N/A</w:t>
            </w:r>
            <w:r w:rsidR="00E41249">
              <w:rPr>
                <w:rFonts w:eastAsia="MS Mincho"/>
              </w:rPr>
              <w:t>.</w:t>
            </w:r>
          </w:p>
        </w:tc>
      </w:tr>
      <w:tr w:rsidR="00D137CE" w:rsidRPr="00061F78" w:rsidTr="004529B1">
        <w:trPr>
          <w:trHeight w:val="149"/>
        </w:trPr>
        <w:tc>
          <w:tcPr>
            <w:tcW w:w="565" w:type="pct"/>
          </w:tcPr>
          <w:p w:rsidR="00D137CE" w:rsidRPr="00866DE0" w:rsidRDefault="0025513D" w:rsidP="00A71365">
            <w:pPr>
              <w:pStyle w:val="Tablewriting"/>
              <w:rPr>
                <w:rFonts w:eastAsia="MS Mincho"/>
              </w:rPr>
            </w:pPr>
            <w:r w:rsidRPr="00866DE0">
              <w:rPr>
                <w:rFonts w:eastAsia="MS Mincho"/>
              </w:rPr>
              <w:t xml:space="preserve">Tashkin </w:t>
            </w:r>
            <w:r w:rsidR="0065538B">
              <w:rPr>
                <w:rFonts w:eastAsia="MS Mincho"/>
              </w:rPr>
              <w:t>(</w:t>
            </w:r>
            <w:r w:rsidRPr="00866DE0">
              <w:rPr>
                <w:rFonts w:eastAsia="MS Mincho"/>
              </w:rPr>
              <w:t>2001</w:t>
            </w:r>
            <w:r w:rsidR="0065538B">
              <w:rPr>
                <w:rFonts w:eastAsia="MS Mincho"/>
              </w:rPr>
              <w:t>)</w:t>
            </w:r>
          </w:p>
        </w:tc>
        <w:tc>
          <w:tcPr>
            <w:tcW w:w="238" w:type="pct"/>
          </w:tcPr>
          <w:p w:rsidR="00D137CE" w:rsidRDefault="003C27CB" w:rsidP="00A71365">
            <w:pPr>
              <w:pStyle w:val="Tablewriting"/>
              <w:rPr>
                <w:rFonts w:eastAsia="MS Mincho"/>
              </w:rPr>
            </w:pPr>
            <w:r>
              <w:rPr>
                <w:rFonts w:eastAsia="MS Mincho"/>
              </w:rPr>
              <w:t>RCT</w:t>
            </w:r>
          </w:p>
        </w:tc>
        <w:tc>
          <w:tcPr>
            <w:tcW w:w="420" w:type="pct"/>
          </w:tcPr>
          <w:p w:rsidR="0035253E" w:rsidRPr="00061F78" w:rsidRDefault="009A3B97" w:rsidP="00A71365">
            <w:pPr>
              <w:pStyle w:val="Tablewriting"/>
              <w:rPr>
                <w:rFonts w:eastAsia="MS Mincho"/>
              </w:rPr>
            </w:pPr>
            <w:r>
              <w:rPr>
                <w:rFonts w:eastAsia="MS Mincho"/>
              </w:rPr>
              <w:t>USA</w:t>
            </w:r>
          </w:p>
        </w:tc>
        <w:tc>
          <w:tcPr>
            <w:tcW w:w="449" w:type="pct"/>
          </w:tcPr>
          <w:p w:rsidR="00D137CE" w:rsidRPr="00061F78" w:rsidRDefault="009A3B97" w:rsidP="00A71365">
            <w:pPr>
              <w:pStyle w:val="Tablewriting"/>
              <w:rPr>
                <w:rFonts w:eastAsia="MS Mincho"/>
              </w:rPr>
            </w:pPr>
            <w:r>
              <w:rPr>
                <w:rFonts w:eastAsia="MS Mincho"/>
              </w:rPr>
              <w:t>N=404</w:t>
            </w:r>
          </w:p>
        </w:tc>
        <w:tc>
          <w:tcPr>
            <w:tcW w:w="1271" w:type="pct"/>
          </w:tcPr>
          <w:p w:rsidR="00D137CE" w:rsidRPr="00061F78" w:rsidRDefault="009A3B97" w:rsidP="00A71365">
            <w:pPr>
              <w:pStyle w:val="Tablewriting"/>
              <w:rPr>
                <w:rFonts w:eastAsia="MS Mincho"/>
              </w:rPr>
            </w:pPr>
            <w:r>
              <w:rPr>
                <w:rFonts w:eastAsia="MS Mincho"/>
              </w:rPr>
              <w:t>S</w:t>
            </w:r>
            <w:r w:rsidR="003C27CB" w:rsidRPr="003C27CB">
              <w:rPr>
                <w:rFonts w:eastAsia="MS Mincho"/>
              </w:rPr>
              <w:t>mokers with mild to moderate COPD (excludes 7 early dropouts who did not take any study medication)</w:t>
            </w:r>
            <w:r w:rsidR="00D66694">
              <w:rPr>
                <w:rFonts w:eastAsia="MS Mincho"/>
              </w:rPr>
              <w:t>,</w:t>
            </w:r>
            <w:r>
              <w:rPr>
                <w:rFonts w:eastAsia="MS Mincho"/>
              </w:rPr>
              <w:t xml:space="preserve"> </w:t>
            </w:r>
            <w:r w:rsidR="003C27CB" w:rsidRPr="003C27CB">
              <w:rPr>
                <w:rFonts w:eastAsia="MS Mincho"/>
              </w:rPr>
              <w:t>45% female</w:t>
            </w:r>
            <w:r w:rsidR="00D66694">
              <w:rPr>
                <w:rFonts w:eastAsia="MS Mincho"/>
              </w:rPr>
              <w:t>,</w:t>
            </w:r>
            <w:r w:rsidR="003C27CB" w:rsidRPr="003C27CB">
              <w:rPr>
                <w:rFonts w:eastAsia="MS Mincho"/>
              </w:rPr>
              <w:t xml:space="preserve"> average age 53-54</w:t>
            </w:r>
            <w:r w:rsidR="00D66694">
              <w:rPr>
                <w:rFonts w:eastAsia="MS Mincho"/>
              </w:rPr>
              <w:t xml:space="preserve"> years,</w:t>
            </w:r>
            <w:r w:rsidR="003C27CB" w:rsidRPr="003C27CB">
              <w:rPr>
                <w:rFonts w:eastAsia="MS Mincho"/>
              </w:rPr>
              <w:t xml:space="preserve"> average cigarettes per day 28</w:t>
            </w:r>
          </w:p>
        </w:tc>
        <w:tc>
          <w:tcPr>
            <w:tcW w:w="1224" w:type="pct"/>
          </w:tcPr>
          <w:p w:rsidR="009A3B97" w:rsidRDefault="009A3B97" w:rsidP="00C324F3">
            <w:pPr>
              <w:pStyle w:val="Tablewriting"/>
              <w:numPr>
                <w:ilvl w:val="0"/>
                <w:numId w:val="49"/>
              </w:numPr>
              <w:rPr>
                <w:rFonts w:eastAsia="MS Mincho"/>
              </w:rPr>
            </w:pPr>
            <w:r w:rsidRPr="009A3B97">
              <w:rPr>
                <w:rFonts w:eastAsia="MS Mincho"/>
              </w:rPr>
              <w:t>Bupropion SR 300 mg/day for 12 weeks from 1 week before TQD</w:t>
            </w:r>
          </w:p>
          <w:p w:rsidR="009A3B97" w:rsidRPr="009A3B97" w:rsidRDefault="009A3B97" w:rsidP="00C324F3">
            <w:pPr>
              <w:pStyle w:val="Tablewriting"/>
              <w:numPr>
                <w:ilvl w:val="0"/>
                <w:numId w:val="49"/>
              </w:numPr>
              <w:rPr>
                <w:rFonts w:eastAsia="MS Mincho"/>
              </w:rPr>
            </w:pPr>
            <w:r w:rsidRPr="009A3B97">
              <w:rPr>
                <w:rFonts w:eastAsia="MS Mincho"/>
              </w:rPr>
              <w:t>Placebo</w:t>
            </w:r>
          </w:p>
          <w:p w:rsidR="009A3B97" w:rsidRDefault="009A3B97" w:rsidP="00A71365">
            <w:pPr>
              <w:pStyle w:val="Tablewriting"/>
              <w:rPr>
                <w:rFonts w:eastAsia="MS Mincho"/>
              </w:rPr>
            </w:pPr>
          </w:p>
          <w:p w:rsidR="00D137CE" w:rsidRPr="00061F78" w:rsidRDefault="009A3B97" w:rsidP="00A71365">
            <w:pPr>
              <w:pStyle w:val="Tablewriting"/>
              <w:rPr>
                <w:rFonts w:eastAsia="MS Mincho"/>
              </w:rPr>
            </w:pPr>
            <w:r w:rsidRPr="009A3B97">
              <w:rPr>
                <w:rFonts w:eastAsia="MS Mincho"/>
                <w:u w:val="single"/>
              </w:rPr>
              <w:t>Common components:</w:t>
            </w:r>
            <w:r w:rsidRPr="009A3B97">
              <w:rPr>
                <w:rFonts w:eastAsia="MS Mincho"/>
              </w:rPr>
              <w:t xml:space="preserve"> brief face-to-face counselling at each clinic visit (weeks 1-7, 10, 12), telephone</w:t>
            </w:r>
            <w:r>
              <w:rPr>
                <w:rFonts w:eastAsia="MS Mincho"/>
              </w:rPr>
              <w:t xml:space="preserve"> </w:t>
            </w:r>
            <w:r w:rsidRPr="009A3B97">
              <w:rPr>
                <w:rFonts w:eastAsia="MS Mincho"/>
              </w:rPr>
              <w:t>counselling 3 days after TQD</w:t>
            </w:r>
          </w:p>
        </w:tc>
        <w:tc>
          <w:tcPr>
            <w:tcW w:w="832" w:type="pct"/>
          </w:tcPr>
          <w:p w:rsidR="00A50485" w:rsidRDefault="00A50485" w:rsidP="00A71365">
            <w:pPr>
              <w:pStyle w:val="Tablewriting"/>
              <w:rPr>
                <w:rFonts w:eastAsia="MS Mincho"/>
              </w:rPr>
            </w:pPr>
            <w:r w:rsidRPr="00A50485">
              <w:rPr>
                <w:rFonts w:eastAsia="MS Mincho"/>
                <w:u w:val="single"/>
              </w:rPr>
              <w:t>Efficacy:</w:t>
            </w:r>
            <w:r w:rsidRPr="00A50485">
              <w:rPr>
                <w:rFonts w:eastAsia="MS Mincho"/>
              </w:rPr>
              <w:t xml:space="preserve"> sustained abstinence at 52 weeks (starting from week 4). Validated by CO </w:t>
            </w:r>
            <w:r w:rsidR="00424BE8" w:rsidRPr="00D96BA4">
              <w:rPr>
                <w:rFonts w:eastAsia="MS Mincho"/>
              </w:rPr>
              <w:t>≤</w:t>
            </w:r>
            <w:r w:rsidRPr="00A50485">
              <w:rPr>
                <w:rFonts w:eastAsia="MS Mincho"/>
              </w:rPr>
              <w:t xml:space="preserve"> 10</w:t>
            </w:r>
            <w:r w:rsidR="00095F26">
              <w:rPr>
                <w:rFonts w:eastAsia="MS Mincho"/>
              </w:rPr>
              <w:t xml:space="preserve"> </w:t>
            </w:r>
            <w:r w:rsidRPr="00A50485">
              <w:rPr>
                <w:rFonts w:eastAsia="MS Mincho"/>
              </w:rPr>
              <w:t>ppm at each visit</w:t>
            </w:r>
          </w:p>
          <w:p w:rsidR="00D137CE" w:rsidRPr="00061F78" w:rsidRDefault="00A50485" w:rsidP="00A71365">
            <w:pPr>
              <w:pStyle w:val="Tablewriting"/>
              <w:rPr>
                <w:rFonts w:eastAsia="MS Mincho"/>
              </w:rPr>
            </w:pPr>
            <w:r w:rsidRPr="00A50485">
              <w:rPr>
                <w:rFonts w:eastAsia="MS Mincho"/>
                <w:u w:val="single"/>
              </w:rPr>
              <w:t>Safety:</w:t>
            </w:r>
            <w:r>
              <w:rPr>
                <w:rFonts w:eastAsia="MS Mincho"/>
              </w:rPr>
              <w:t xml:space="preserve"> a</w:t>
            </w:r>
            <w:r w:rsidRPr="00A50485">
              <w:rPr>
                <w:rFonts w:eastAsia="MS Mincho"/>
              </w:rPr>
              <w:t>dverse events</w:t>
            </w:r>
            <w:r w:rsidR="008B77AB">
              <w:rPr>
                <w:rFonts w:eastAsia="MS Mincho"/>
              </w:rPr>
              <w:t xml:space="preserve"> </w:t>
            </w:r>
            <w:r w:rsidRPr="00A50485">
              <w:rPr>
                <w:rFonts w:eastAsia="MS Mincho"/>
              </w:rPr>
              <w:t>measured for 12 weeks</w:t>
            </w:r>
          </w:p>
        </w:tc>
      </w:tr>
      <w:tr w:rsidR="00D137CE" w:rsidRPr="00061F78" w:rsidTr="004529B1">
        <w:trPr>
          <w:trHeight w:val="149"/>
        </w:trPr>
        <w:tc>
          <w:tcPr>
            <w:tcW w:w="565" w:type="pct"/>
          </w:tcPr>
          <w:p w:rsidR="00D137CE" w:rsidRPr="00866DE0" w:rsidRDefault="007727E6" w:rsidP="00A71365">
            <w:pPr>
              <w:pStyle w:val="Tablewriting"/>
              <w:rPr>
                <w:rFonts w:eastAsia="MS Mincho"/>
              </w:rPr>
            </w:pPr>
            <w:r w:rsidRPr="00866DE0">
              <w:rPr>
                <w:rFonts w:eastAsia="MS Mincho"/>
              </w:rPr>
              <w:t xml:space="preserve">Tonnesen </w:t>
            </w:r>
            <w:r w:rsidR="0065538B">
              <w:rPr>
                <w:rFonts w:eastAsia="MS Mincho"/>
              </w:rPr>
              <w:t>(</w:t>
            </w:r>
            <w:r w:rsidRPr="00866DE0">
              <w:rPr>
                <w:rFonts w:eastAsia="MS Mincho"/>
              </w:rPr>
              <w:t>2003</w:t>
            </w:r>
            <w:r w:rsidR="0065538B">
              <w:rPr>
                <w:rFonts w:eastAsia="MS Mincho"/>
              </w:rPr>
              <w:t>)</w:t>
            </w:r>
          </w:p>
        </w:tc>
        <w:tc>
          <w:tcPr>
            <w:tcW w:w="238" w:type="pct"/>
          </w:tcPr>
          <w:p w:rsidR="00D137CE" w:rsidRDefault="00281838" w:rsidP="00A71365">
            <w:pPr>
              <w:pStyle w:val="Tablewriting"/>
              <w:rPr>
                <w:rFonts w:eastAsia="MS Mincho"/>
              </w:rPr>
            </w:pPr>
            <w:r>
              <w:rPr>
                <w:rFonts w:eastAsia="MS Mincho"/>
              </w:rPr>
              <w:t>RCT</w:t>
            </w:r>
          </w:p>
        </w:tc>
        <w:tc>
          <w:tcPr>
            <w:tcW w:w="420" w:type="pct"/>
          </w:tcPr>
          <w:p w:rsidR="0035253E" w:rsidRPr="00061F78" w:rsidRDefault="00281838" w:rsidP="00A71365">
            <w:pPr>
              <w:pStyle w:val="Tablewriting"/>
              <w:rPr>
                <w:rFonts w:eastAsia="MS Mincho"/>
              </w:rPr>
            </w:pPr>
            <w:r w:rsidRPr="00281838">
              <w:rPr>
                <w:rFonts w:eastAsia="MS Mincho"/>
              </w:rPr>
              <w:t>8 European countries, Australia, New Zealand</w:t>
            </w:r>
          </w:p>
        </w:tc>
        <w:tc>
          <w:tcPr>
            <w:tcW w:w="449" w:type="pct"/>
          </w:tcPr>
          <w:p w:rsidR="00D137CE" w:rsidRPr="00061F78" w:rsidRDefault="007103BA" w:rsidP="00A71365">
            <w:pPr>
              <w:pStyle w:val="Tablewriting"/>
              <w:rPr>
                <w:rFonts w:eastAsia="MS Mincho"/>
              </w:rPr>
            </w:pPr>
            <w:r>
              <w:rPr>
                <w:rFonts w:eastAsia="MS Mincho"/>
              </w:rPr>
              <w:t>N=710</w:t>
            </w:r>
          </w:p>
        </w:tc>
        <w:tc>
          <w:tcPr>
            <w:tcW w:w="1271" w:type="pct"/>
          </w:tcPr>
          <w:p w:rsidR="00D137CE" w:rsidRPr="00061F78" w:rsidRDefault="007103BA" w:rsidP="00A71365">
            <w:pPr>
              <w:pStyle w:val="Tablewriting"/>
              <w:rPr>
                <w:rFonts w:eastAsia="MS Mincho"/>
              </w:rPr>
            </w:pPr>
            <w:r>
              <w:rPr>
                <w:rFonts w:eastAsia="MS Mincho"/>
              </w:rPr>
              <w:t>S</w:t>
            </w:r>
            <w:r w:rsidRPr="007103BA">
              <w:rPr>
                <w:rFonts w:eastAsia="MS Mincho"/>
              </w:rPr>
              <w:t>mokers</w:t>
            </w:r>
            <w:r w:rsidR="00D66694">
              <w:rPr>
                <w:rFonts w:eastAsia="MS Mincho"/>
              </w:rPr>
              <w:t>,</w:t>
            </w:r>
            <w:r w:rsidRPr="007103BA">
              <w:rPr>
                <w:rFonts w:eastAsia="MS Mincho"/>
              </w:rPr>
              <w:t xml:space="preserve"> 51% female</w:t>
            </w:r>
            <w:r w:rsidR="00D66694">
              <w:rPr>
                <w:rFonts w:eastAsia="MS Mincho"/>
              </w:rPr>
              <w:t>,</w:t>
            </w:r>
            <w:r w:rsidRPr="007103BA">
              <w:rPr>
                <w:rFonts w:eastAsia="MS Mincho"/>
              </w:rPr>
              <w:t xml:space="preserve"> average age 42</w:t>
            </w:r>
            <w:r w:rsidR="00D66694">
              <w:rPr>
                <w:rFonts w:eastAsia="MS Mincho"/>
              </w:rPr>
              <w:t>,</w:t>
            </w:r>
            <w:r w:rsidRPr="007103BA">
              <w:rPr>
                <w:rFonts w:eastAsia="MS Mincho"/>
              </w:rPr>
              <w:t xml:space="preserve"> median cigarettes per day 20</w:t>
            </w:r>
          </w:p>
        </w:tc>
        <w:tc>
          <w:tcPr>
            <w:tcW w:w="1224" w:type="pct"/>
          </w:tcPr>
          <w:p w:rsidR="007103BA" w:rsidRDefault="007103BA" w:rsidP="00C324F3">
            <w:pPr>
              <w:pStyle w:val="Tablewriting"/>
              <w:numPr>
                <w:ilvl w:val="0"/>
                <w:numId w:val="50"/>
              </w:numPr>
              <w:rPr>
                <w:rFonts w:eastAsia="MS Mincho"/>
              </w:rPr>
            </w:pPr>
            <w:r w:rsidRPr="007103BA">
              <w:rPr>
                <w:rFonts w:eastAsia="MS Mincho"/>
              </w:rPr>
              <w:t>Bupropion SR 300 mg/day for 7 weeks</w:t>
            </w:r>
          </w:p>
          <w:p w:rsidR="007103BA" w:rsidRPr="007103BA" w:rsidRDefault="007103BA" w:rsidP="00C324F3">
            <w:pPr>
              <w:pStyle w:val="Tablewriting"/>
              <w:numPr>
                <w:ilvl w:val="0"/>
                <w:numId w:val="50"/>
              </w:numPr>
              <w:rPr>
                <w:rFonts w:eastAsia="MS Mincho"/>
              </w:rPr>
            </w:pPr>
            <w:r w:rsidRPr="007103BA">
              <w:rPr>
                <w:rFonts w:eastAsia="MS Mincho"/>
              </w:rPr>
              <w:t>Placebo</w:t>
            </w:r>
          </w:p>
          <w:p w:rsidR="007103BA" w:rsidRDefault="007103BA" w:rsidP="00A71365">
            <w:pPr>
              <w:pStyle w:val="Tablewriting"/>
              <w:rPr>
                <w:rFonts w:eastAsia="MS Mincho"/>
              </w:rPr>
            </w:pPr>
          </w:p>
          <w:p w:rsidR="007103BA" w:rsidRPr="007103BA" w:rsidRDefault="007103BA" w:rsidP="00A71365">
            <w:pPr>
              <w:pStyle w:val="Tablewriting"/>
              <w:rPr>
                <w:rFonts w:eastAsia="MS Mincho"/>
              </w:rPr>
            </w:pPr>
            <w:r w:rsidRPr="007103BA">
              <w:rPr>
                <w:rFonts w:eastAsia="MS Mincho"/>
                <w:u w:val="single"/>
              </w:rPr>
              <w:t>Common components</w:t>
            </w:r>
            <w:r w:rsidRPr="007103BA">
              <w:rPr>
                <w:rFonts w:eastAsia="MS Mincho"/>
              </w:rPr>
              <w:t>: brief motivational support at</w:t>
            </w:r>
            <w:r>
              <w:rPr>
                <w:rFonts w:eastAsia="MS Mincho"/>
              </w:rPr>
              <w:t xml:space="preserve"> </w:t>
            </w:r>
            <w:r w:rsidRPr="007103BA">
              <w:rPr>
                <w:rFonts w:eastAsia="MS Mincho"/>
              </w:rPr>
              <w:t>weekly clinic visits and telephone support during</w:t>
            </w:r>
          </w:p>
          <w:p w:rsidR="00D137CE" w:rsidRPr="00061F78" w:rsidRDefault="007103BA" w:rsidP="00A71365">
            <w:pPr>
              <w:pStyle w:val="Tablewriting"/>
              <w:rPr>
                <w:rFonts w:eastAsia="MS Mincho"/>
              </w:rPr>
            </w:pPr>
            <w:r w:rsidRPr="007103BA">
              <w:rPr>
                <w:rFonts w:eastAsia="MS Mincho"/>
              </w:rPr>
              <w:t>follow-up. 11 clinic visits and 10 phone calls scheduled</w:t>
            </w:r>
          </w:p>
        </w:tc>
        <w:tc>
          <w:tcPr>
            <w:tcW w:w="832" w:type="pct"/>
          </w:tcPr>
          <w:p w:rsidR="00FC3EC9" w:rsidRPr="00FC3EC9" w:rsidRDefault="00FC3EC9" w:rsidP="00A71365">
            <w:pPr>
              <w:pStyle w:val="Tablewriting"/>
              <w:rPr>
                <w:rFonts w:eastAsia="MS Mincho"/>
              </w:rPr>
            </w:pPr>
            <w:r w:rsidRPr="00FC3EC9">
              <w:rPr>
                <w:rFonts w:eastAsia="MS Mincho"/>
                <w:u w:val="single"/>
              </w:rPr>
              <w:t>Efficacy:</w:t>
            </w:r>
            <w:r w:rsidRPr="00FC3EC9">
              <w:rPr>
                <w:rFonts w:eastAsia="MS Mincho"/>
              </w:rPr>
              <w:t xml:space="preserve"> prolonged abstinence at 52 weeks (starting from week 4). Validated by CO </w:t>
            </w:r>
            <w:r w:rsidR="00424BE8" w:rsidRPr="00D96BA4">
              <w:rPr>
                <w:rFonts w:eastAsia="MS Mincho"/>
              </w:rPr>
              <w:t>≤</w:t>
            </w:r>
            <w:r w:rsidRPr="00FC3EC9">
              <w:rPr>
                <w:rFonts w:eastAsia="MS Mincho"/>
              </w:rPr>
              <w:t xml:space="preserve"> 10</w:t>
            </w:r>
            <w:r w:rsidR="00095F26">
              <w:rPr>
                <w:rFonts w:eastAsia="MS Mincho"/>
              </w:rPr>
              <w:t xml:space="preserve"> </w:t>
            </w:r>
            <w:r w:rsidRPr="00FC3EC9">
              <w:rPr>
                <w:rFonts w:eastAsia="MS Mincho"/>
              </w:rPr>
              <w:t>ppm</w:t>
            </w:r>
          </w:p>
          <w:p w:rsidR="00D137CE" w:rsidRPr="00061F78" w:rsidRDefault="00FC3EC9" w:rsidP="00A71365">
            <w:pPr>
              <w:pStyle w:val="Tablewriting"/>
              <w:rPr>
                <w:rFonts w:eastAsia="MS Mincho"/>
              </w:rPr>
            </w:pPr>
            <w:r w:rsidRPr="00FC3EC9">
              <w:rPr>
                <w:rFonts w:eastAsia="MS Mincho"/>
                <w:u w:val="single"/>
              </w:rPr>
              <w:t>Safety:</w:t>
            </w:r>
            <w:r>
              <w:rPr>
                <w:rFonts w:eastAsia="MS Mincho"/>
              </w:rPr>
              <w:t xml:space="preserve"> a</w:t>
            </w:r>
            <w:r w:rsidRPr="00FC3EC9">
              <w:rPr>
                <w:rFonts w:eastAsia="MS Mincho"/>
              </w:rPr>
              <w:t>dverse events</w:t>
            </w:r>
            <w:r w:rsidR="008B77AB">
              <w:rPr>
                <w:rFonts w:eastAsia="MS Mincho"/>
              </w:rPr>
              <w:t xml:space="preserve"> </w:t>
            </w:r>
            <w:r w:rsidRPr="00FC3EC9">
              <w:rPr>
                <w:rFonts w:eastAsia="MS Mincho"/>
              </w:rPr>
              <w:t>measured for 52</w:t>
            </w:r>
            <w:r w:rsidR="00095F26">
              <w:rPr>
                <w:rFonts w:eastAsia="MS Mincho"/>
              </w:rPr>
              <w:t xml:space="preserve"> </w:t>
            </w:r>
            <w:r w:rsidRPr="00FC3EC9">
              <w:rPr>
                <w:rFonts w:eastAsia="MS Mincho"/>
              </w:rPr>
              <w:t>weeks</w:t>
            </w:r>
            <w:r w:rsidR="00EF7420">
              <w:rPr>
                <w:rFonts w:eastAsia="MS Mincho"/>
              </w:rPr>
              <w:t>.</w:t>
            </w:r>
          </w:p>
        </w:tc>
      </w:tr>
      <w:tr w:rsidR="00D137CE" w:rsidRPr="00061F78" w:rsidTr="004529B1">
        <w:trPr>
          <w:trHeight w:val="149"/>
        </w:trPr>
        <w:tc>
          <w:tcPr>
            <w:tcW w:w="565" w:type="pct"/>
          </w:tcPr>
          <w:p w:rsidR="00D137CE" w:rsidRPr="00866DE0" w:rsidRDefault="002D407F" w:rsidP="00A71365">
            <w:pPr>
              <w:pStyle w:val="Tablewriting"/>
              <w:rPr>
                <w:rFonts w:eastAsia="MS Mincho"/>
              </w:rPr>
            </w:pPr>
            <w:r w:rsidRPr="00343F64">
              <w:rPr>
                <w:rFonts w:eastAsia="MS Mincho"/>
              </w:rPr>
              <w:t xml:space="preserve">Tonstad </w:t>
            </w:r>
            <w:r w:rsidR="0065538B" w:rsidRPr="00343F64">
              <w:rPr>
                <w:rFonts w:eastAsia="MS Mincho"/>
              </w:rPr>
              <w:t>(</w:t>
            </w:r>
            <w:r w:rsidRPr="00343F64">
              <w:rPr>
                <w:rFonts w:eastAsia="MS Mincho"/>
              </w:rPr>
              <w:t>2003</w:t>
            </w:r>
            <w:r w:rsidR="0065538B" w:rsidRPr="00343F64">
              <w:rPr>
                <w:rFonts w:eastAsia="MS Mincho"/>
              </w:rPr>
              <w:t>)</w:t>
            </w:r>
          </w:p>
        </w:tc>
        <w:tc>
          <w:tcPr>
            <w:tcW w:w="238" w:type="pct"/>
          </w:tcPr>
          <w:p w:rsidR="00D137CE" w:rsidRDefault="00B96CF7" w:rsidP="00A71365">
            <w:pPr>
              <w:pStyle w:val="Tablewriting"/>
              <w:rPr>
                <w:rFonts w:eastAsia="MS Mincho"/>
              </w:rPr>
            </w:pPr>
            <w:r>
              <w:rPr>
                <w:rFonts w:eastAsia="MS Mincho"/>
              </w:rPr>
              <w:t>RCT</w:t>
            </w:r>
          </w:p>
        </w:tc>
        <w:tc>
          <w:tcPr>
            <w:tcW w:w="420" w:type="pct"/>
          </w:tcPr>
          <w:p w:rsidR="0035253E" w:rsidRPr="00061F78" w:rsidRDefault="007D134F" w:rsidP="00A71365">
            <w:pPr>
              <w:pStyle w:val="Tablewriting"/>
              <w:rPr>
                <w:rFonts w:eastAsia="MS Mincho"/>
              </w:rPr>
            </w:pPr>
            <w:r w:rsidRPr="007D134F">
              <w:rPr>
                <w:rFonts w:eastAsia="MS Mincho"/>
              </w:rPr>
              <w:t xml:space="preserve">10 countries including European countries, </w:t>
            </w:r>
            <w:r w:rsidRPr="007D134F">
              <w:rPr>
                <w:rFonts w:eastAsia="MS Mincho"/>
              </w:rPr>
              <w:lastRenderedPageBreak/>
              <w:t>Australia, and NZ</w:t>
            </w:r>
          </w:p>
        </w:tc>
        <w:tc>
          <w:tcPr>
            <w:tcW w:w="449" w:type="pct"/>
          </w:tcPr>
          <w:p w:rsidR="00D137CE" w:rsidRPr="00061F78" w:rsidRDefault="00B96CF7" w:rsidP="00A71365">
            <w:pPr>
              <w:pStyle w:val="Tablewriting"/>
              <w:rPr>
                <w:rFonts w:eastAsia="MS Mincho"/>
              </w:rPr>
            </w:pPr>
            <w:r>
              <w:rPr>
                <w:rFonts w:eastAsia="MS Mincho"/>
              </w:rPr>
              <w:lastRenderedPageBreak/>
              <w:t>N=</w:t>
            </w:r>
            <w:r w:rsidR="007D134F">
              <w:rPr>
                <w:rFonts w:eastAsia="MS Mincho"/>
              </w:rPr>
              <w:t>629</w:t>
            </w:r>
          </w:p>
        </w:tc>
        <w:tc>
          <w:tcPr>
            <w:tcW w:w="1271" w:type="pct"/>
          </w:tcPr>
          <w:p w:rsidR="00D137CE" w:rsidRPr="00061F78" w:rsidRDefault="007D134F" w:rsidP="00A71365">
            <w:pPr>
              <w:pStyle w:val="Tablewriting"/>
              <w:rPr>
                <w:rFonts w:eastAsia="MS Mincho"/>
              </w:rPr>
            </w:pPr>
            <w:r>
              <w:rPr>
                <w:rFonts w:eastAsia="MS Mincho"/>
              </w:rPr>
              <w:t>S</w:t>
            </w:r>
            <w:r w:rsidRPr="007D134F">
              <w:rPr>
                <w:rFonts w:eastAsia="MS Mincho"/>
              </w:rPr>
              <w:t>mokers with stable CVD</w:t>
            </w:r>
            <w:r w:rsidR="00D66694">
              <w:rPr>
                <w:rFonts w:eastAsia="MS Mincho"/>
              </w:rPr>
              <w:t>,</w:t>
            </w:r>
            <w:r w:rsidRPr="007D134F">
              <w:rPr>
                <w:rFonts w:eastAsia="MS Mincho"/>
              </w:rPr>
              <w:t xml:space="preserve"> 23% female</w:t>
            </w:r>
            <w:r w:rsidR="00D66694">
              <w:rPr>
                <w:rFonts w:eastAsia="MS Mincho"/>
              </w:rPr>
              <w:t>,</w:t>
            </w:r>
            <w:r w:rsidRPr="007D134F">
              <w:rPr>
                <w:rFonts w:eastAsia="MS Mincho"/>
              </w:rPr>
              <w:t xml:space="preserve"> average age 55</w:t>
            </w:r>
            <w:r w:rsidR="00D66694">
              <w:rPr>
                <w:rFonts w:eastAsia="MS Mincho"/>
              </w:rPr>
              <w:t xml:space="preserve"> years,</w:t>
            </w:r>
            <w:r w:rsidRPr="007D134F">
              <w:rPr>
                <w:rFonts w:eastAsia="MS Mincho"/>
              </w:rPr>
              <w:t xml:space="preserve"> average cigarettes per day 25</w:t>
            </w:r>
            <w:r w:rsidR="00D66694">
              <w:rPr>
                <w:rFonts w:eastAsia="MS Mincho"/>
              </w:rPr>
              <w:t>,</w:t>
            </w:r>
            <w:r w:rsidRPr="007D134F">
              <w:rPr>
                <w:rFonts w:eastAsia="MS Mincho"/>
              </w:rPr>
              <w:t xml:space="preserve"> 49% had</w:t>
            </w:r>
            <w:r>
              <w:rPr>
                <w:rFonts w:eastAsia="MS Mincho"/>
              </w:rPr>
              <w:t xml:space="preserve"> </w:t>
            </w:r>
            <w:r w:rsidRPr="007D134F">
              <w:rPr>
                <w:rFonts w:eastAsia="MS Mincho"/>
              </w:rPr>
              <w:t>history</w:t>
            </w:r>
            <w:r>
              <w:rPr>
                <w:rFonts w:eastAsia="MS Mincho"/>
              </w:rPr>
              <w:t xml:space="preserve"> </w:t>
            </w:r>
            <w:r w:rsidRPr="007D134F">
              <w:rPr>
                <w:rFonts w:eastAsia="MS Mincho"/>
              </w:rPr>
              <w:t>of MI</w:t>
            </w:r>
          </w:p>
        </w:tc>
        <w:tc>
          <w:tcPr>
            <w:tcW w:w="1224" w:type="pct"/>
          </w:tcPr>
          <w:p w:rsidR="000A6BF0" w:rsidRDefault="000A6BF0" w:rsidP="00C324F3">
            <w:pPr>
              <w:pStyle w:val="Tablewriting"/>
              <w:numPr>
                <w:ilvl w:val="0"/>
                <w:numId w:val="51"/>
              </w:numPr>
              <w:rPr>
                <w:rFonts w:eastAsia="MS Mincho"/>
              </w:rPr>
            </w:pPr>
            <w:r w:rsidRPr="000A6BF0">
              <w:rPr>
                <w:rFonts w:eastAsia="MS Mincho"/>
              </w:rPr>
              <w:t>Bupropion SR 300 mg/day for 7 weeks, begun 1-2 weeks before TQD</w:t>
            </w:r>
          </w:p>
          <w:p w:rsidR="000A6BF0" w:rsidRPr="000A6BF0" w:rsidRDefault="000A6BF0" w:rsidP="00C324F3">
            <w:pPr>
              <w:pStyle w:val="Tablewriting"/>
              <w:numPr>
                <w:ilvl w:val="0"/>
                <w:numId w:val="51"/>
              </w:numPr>
              <w:rPr>
                <w:rFonts w:eastAsia="MS Mincho"/>
              </w:rPr>
            </w:pPr>
            <w:r w:rsidRPr="000A6BF0">
              <w:rPr>
                <w:rFonts w:eastAsia="MS Mincho"/>
              </w:rPr>
              <w:t>Placebo</w:t>
            </w:r>
          </w:p>
          <w:p w:rsidR="000A6BF0" w:rsidRDefault="000A6BF0" w:rsidP="00A71365">
            <w:pPr>
              <w:pStyle w:val="Tablewriting"/>
              <w:rPr>
                <w:rFonts w:eastAsia="MS Mincho"/>
              </w:rPr>
            </w:pPr>
          </w:p>
          <w:p w:rsidR="000A6BF0" w:rsidRPr="000A6BF0" w:rsidRDefault="000A6BF0" w:rsidP="00A71365">
            <w:pPr>
              <w:pStyle w:val="Tablewriting"/>
              <w:rPr>
                <w:rFonts w:eastAsia="MS Mincho"/>
              </w:rPr>
            </w:pPr>
            <w:r w:rsidRPr="000A6BF0">
              <w:rPr>
                <w:rFonts w:eastAsia="MS Mincho"/>
                <w:u w:val="single"/>
              </w:rPr>
              <w:lastRenderedPageBreak/>
              <w:t>Common components:</w:t>
            </w:r>
            <w:r w:rsidRPr="000A6BF0">
              <w:rPr>
                <w:rFonts w:eastAsia="MS Mincho"/>
              </w:rPr>
              <w:t xml:space="preserve"> brief motivational support at</w:t>
            </w:r>
            <w:r>
              <w:rPr>
                <w:rFonts w:eastAsia="MS Mincho"/>
              </w:rPr>
              <w:t xml:space="preserve"> </w:t>
            </w:r>
            <w:r w:rsidRPr="000A6BF0">
              <w:rPr>
                <w:rFonts w:eastAsia="MS Mincho"/>
              </w:rPr>
              <w:t>weekly clinic visits and</w:t>
            </w:r>
            <w:r>
              <w:rPr>
                <w:rFonts w:eastAsia="MS Mincho"/>
              </w:rPr>
              <w:t xml:space="preserve"> </w:t>
            </w:r>
            <w:r w:rsidRPr="000A6BF0">
              <w:rPr>
                <w:rFonts w:eastAsia="MS Mincho"/>
              </w:rPr>
              <w:t>telephone support during</w:t>
            </w:r>
          </w:p>
          <w:p w:rsidR="00D137CE" w:rsidRPr="00061F78" w:rsidRDefault="000A6BF0" w:rsidP="00A71365">
            <w:pPr>
              <w:pStyle w:val="Tablewriting"/>
              <w:rPr>
                <w:rFonts w:eastAsia="MS Mincho"/>
              </w:rPr>
            </w:pPr>
            <w:r w:rsidRPr="000A6BF0">
              <w:rPr>
                <w:rFonts w:eastAsia="MS Mincho"/>
              </w:rPr>
              <w:t>follow-up. 9 clinic visits and 10</w:t>
            </w:r>
            <w:r>
              <w:rPr>
                <w:rFonts w:eastAsia="MS Mincho"/>
              </w:rPr>
              <w:t xml:space="preserve"> </w:t>
            </w:r>
            <w:r w:rsidRPr="000A6BF0">
              <w:rPr>
                <w:rFonts w:eastAsia="MS Mincho"/>
              </w:rPr>
              <w:t>phone calls scheduled</w:t>
            </w:r>
          </w:p>
        </w:tc>
        <w:tc>
          <w:tcPr>
            <w:tcW w:w="832" w:type="pct"/>
          </w:tcPr>
          <w:p w:rsidR="00546DB2" w:rsidRPr="00546DB2" w:rsidRDefault="00546DB2" w:rsidP="00A71365">
            <w:pPr>
              <w:pStyle w:val="Tablewriting"/>
              <w:rPr>
                <w:rFonts w:eastAsia="MS Mincho"/>
              </w:rPr>
            </w:pPr>
            <w:r w:rsidRPr="00546DB2">
              <w:rPr>
                <w:rFonts w:eastAsia="MS Mincho"/>
                <w:u w:val="single"/>
              </w:rPr>
              <w:lastRenderedPageBreak/>
              <w:t>Efficacy</w:t>
            </w:r>
            <w:r w:rsidRPr="00546DB2">
              <w:rPr>
                <w:rFonts w:eastAsia="MS Mincho"/>
              </w:rPr>
              <w:t xml:space="preserve">: prolonged abstinence at 12 months (starting from week 4). Validated by CO </w:t>
            </w:r>
            <w:r w:rsidR="00424BE8" w:rsidRPr="00D96BA4">
              <w:rPr>
                <w:rFonts w:eastAsia="MS Mincho"/>
              </w:rPr>
              <w:t>≤</w:t>
            </w:r>
            <w:r w:rsidRPr="00546DB2">
              <w:rPr>
                <w:rFonts w:eastAsia="MS Mincho"/>
              </w:rPr>
              <w:t xml:space="preserve"> 10</w:t>
            </w:r>
            <w:r w:rsidR="00095F26">
              <w:rPr>
                <w:rFonts w:eastAsia="MS Mincho"/>
              </w:rPr>
              <w:t xml:space="preserve"> </w:t>
            </w:r>
            <w:r w:rsidRPr="00546DB2">
              <w:rPr>
                <w:rFonts w:eastAsia="MS Mincho"/>
              </w:rPr>
              <w:t>ppm</w:t>
            </w:r>
          </w:p>
          <w:p w:rsidR="00D137CE" w:rsidRPr="00061F78" w:rsidRDefault="008B77AB" w:rsidP="00A71365">
            <w:pPr>
              <w:pStyle w:val="Tablewriting"/>
              <w:rPr>
                <w:rFonts w:eastAsia="MS Mincho"/>
              </w:rPr>
            </w:pPr>
            <w:r>
              <w:rPr>
                <w:rFonts w:eastAsia="MS Mincho"/>
                <w:u w:val="single"/>
              </w:rPr>
              <w:lastRenderedPageBreak/>
              <w:t>Safety:</w:t>
            </w:r>
            <w:r>
              <w:rPr>
                <w:rFonts w:eastAsia="MS Mincho"/>
              </w:rPr>
              <w:t xml:space="preserve"> a</w:t>
            </w:r>
            <w:r w:rsidR="00546DB2" w:rsidRPr="00546DB2">
              <w:rPr>
                <w:rFonts w:eastAsia="MS Mincho"/>
              </w:rPr>
              <w:t>dverse events</w:t>
            </w:r>
            <w:r>
              <w:rPr>
                <w:rFonts w:eastAsia="MS Mincho"/>
              </w:rPr>
              <w:t xml:space="preserve"> </w:t>
            </w:r>
            <w:r w:rsidR="00546DB2" w:rsidRPr="00546DB2">
              <w:rPr>
                <w:rFonts w:eastAsia="MS Mincho"/>
              </w:rPr>
              <w:t>measured for 9 weeks</w:t>
            </w:r>
            <w:r w:rsidR="00EF7420">
              <w:rPr>
                <w:rFonts w:eastAsia="MS Mincho"/>
              </w:rPr>
              <w:t>.</w:t>
            </w:r>
          </w:p>
        </w:tc>
      </w:tr>
      <w:tr w:rsidR="00D137CE" w:rsidRPr="00061F78" w:rsidTr="004529B1">
        <w:trPr>
          <w:trHeight w:val="149"/>
        </w:trPr>
        <w:tc>
          <w:tcPr>
            <w:tcW w:w="565" w:type="pct"/>
          </w:tcPr>
          <w:p w:rsidR="00D137CE" w:rsidRPr="00866DE0" w:rsidRDefault="002D407F" w:rsidP="00A71365">
            <w:pPr>
              <w:pStyle w:val="Tablewriting"/>
              <w:rPr>
                <w:rFonts w:eastAsia="MS Mincho"/>
              </w:rPr>
            </w:pPr>
            <w:r w:rsidRPr="00B63651">
              <w:rPr>
                <w:rFonts w:eastAsia="MS Mincho"/>
              </w:rPr>
              <w:lastRenderedPageBreak/>
              <w:t xml:space="preserve">Uyar </w:t>
            </w:r>
            <w:r w:rsidR="0065538B" w:rsidRPr="00B63651">
              <w:rPr>
                <w:rFonts w:eastAsia="MS Mincho"/>
              </w:rPr>
              <w:t>(</w:t>
            </w:r>
            <w:r w:rsidRPr="00B63651">
              <w:rPr>
                <w:rFonts w:eastAsia="MS Mincho"/>
              </w:rPr>
              <w:t>2007</w:t>
            </w:r>
            <w:r w:rsidR="0065538B" w:rsidRPr="00B63651">
              <w:rPr>
                <w:rFonts w:eastAsia="MS Mincho"/>
              </w:rPr>
              <w:t>)</w:t>
            </w:r>
          </w:p>
        </w:tc>
        <w:tc>
          <w:tcPr>
            <w:tcW w:w="238" w:type="pct"/>
          </w:tcPr>
          <w:p w:rsidR="00D137CE" w:rsidRDefault="00B96CF7" w:rsidP="00A71365">
            <w:pPr>
              <w:pStyle w:val="Tablewriting"/>
              <w:rPr>
                <w:rFonts w:eastAsia="MS Mincho"/>
              </w:rPr>
            </w:pPr>
            <w:r w:rsidRPr="00DD3336">
              <w:rPr>
                <w:rFonts w:eastAsia="MS Mincho"/>
              </w:rPr>
              <w:t>RCT</w:t>
            </w:r>
          </w:p>
        </w:tc>
        <w:tc>
          <w:tcPr>
            <w:tcW w:w="420" w:type="pct"/>
          </w:tcPr>
          <w:p w:rsidR="0035253E" w:rsidRPr="00061F78" w:rsidRDefault="00C16B87" w:rsidP="00A71365">
            <w:pPr>
              <w:pStyle w:val="Tablewriting"/>
              <w:rPr>
                <w:rFonts w:eastAsia="MS Mincho"/>
              </w:rPr>
            </w:pPr>
            <w:r>
              <w:rPr>
                <w:rFonts w:eastAsia="MS Mincho"/>
              </w:rPr>
              <w:t>Turkey</w:t>
            </w:r>
          </w:p>
        </w:tc>
        <w:tc>
          <w:tcPr>
            <w:tcW w:w="449" w:type="pct"/>
          </w:tcPr>
          <w:p w:rsidR="00D137CE" w:rsidRPr="00061F78" w:rsidRDefault="00B96CF7" w:rsidP="00A71365">
            <w:pPr>
              <w:pStyle w:val="Tablewriting"/>
              <w:rPr>
                <w:rFonts w:eastAsia="MS Mincho"/>
              </w:rPr>
            </w:pPr>
            <w:r w:rsidRPr="00864366">
              <w:rPr>
                <w:rFonts w:eastAsia="MS Mincho"/>
              </w:rPr>
              <w:t>N=</w:t>
            </w:r>
            <w:r w:rsidR="00C16B87">
              <w:rPr>
                <w:rFonts w:eastAsia="MS Mincho"/>
              </w:rPr>
              <w:t>131</w:t>
            </w:r>
          </w:p>
        </w:tc>
        <w:tc>
          <w:tcPr>
            <w:tcW w:w="1271" w:type="pct"/>
          </w:tcPr>
          <w:p w:rsidR="00D137CE" w:rsidRPr="00061F78" w:rsidRDefault="00C16B87" w:rsidP="00A71365">
            <w:pPr>
              <w:pStyle w:val="Tablewriting"/>
              <w:rPr>
                <w:rFonts w:eastAsia="MS Mincho"/>
              </w:rPr>
            </w:pPr>
            <w:r>
              <w:rPr>
                <w:rFonts w:eastAsia="MS Mincho"/>
              </w:rPr>
              <w:t>S</w:t>
            </w:r>
            <w:r w:rsidRPr="00C16B87">
              <w:rPr>
                <w:rFonts w:eastAsia="MS Mincho"/>
              </w:rPr>
              <w:t>mokers</w:t>
            </w:r>
            <w:r w:rsidR="00D66694">
              <w:rPr>
                <w:rFonts w:eastAsia="MS Mincho"/>
              </w:rPr>
              <w:t>,</w:t>
            </w:r>
            <w:r w:rsidRPr="00C16B87">
              <w:rPr>
                <w:rFonts w:eastAsia="MS Mincho"/>
              </w:rPr>
              <w:t xml:space="preserve"> 19% female</w:t>
            </w:r>
            <w:r w:rsidR="00D66694">
              <w:rPr>
                <w:rFonts w:eastAsia="MS Mincho"/>
              </w:rPr>
              <w:t>,</w:t>
            </w:r>
            <w:r w:rsidRPr="00C16B87">
              <w:rPr>
                <w:rFonts w:eastAsia="MS Mincho"/>
              </w:rPr>
              <w:t xml:space="preserve"> average age</w:t>
            </w:r>
            <w:r>
              <w:rPr>
                <w:rFonts w:eastAsia="MS Mincho"/>
              </w:rPr>
              <w:t xml:space="preserve"> </w:t>
            </w:r>
            <w:r w:rsidRPr="00C16B87">
              <w:rPr>
                <w:rFonts w:eastAsia="MS Mincho"/>
              </w:rPr>
              <w:t>36</w:t>
            </w:r>
          </w:p>
        </w:tc>
        <w:tc>
          <w:tcPr>
            <w:tcW w:w="1224" w:type="pct"/>
          </w:tcPr>
          <w:p w:rsidR="00091A49" w:rsidRDefault="00091A49" w:rsidP="00C324F3">
            <w:pPr>
              <w:pStyle w:val="Tablewriting"/>
              <w:numPr>
                <w:ilvl w:val="0"/>
                <w:numId w:val="52"/>
              </w:numPr>
              <w:rPr>
                <w:rFonts w:eastAsia="MS Mincho"/>
              </w:rPr>
            </w:pPr>
            <w:r w:rsidRPr="00091A49">
              <w:rPr>
                <w:rFonts w:eastAsia="MS Mincho"/>
              </w:rPr>
              <w:t>Bupropion 300 mg for 7 weeks</w:t>
            </w:r>
          </w:p>
          <w:p w:rsidR="001E7A17" w:rsidRDefault="00091A49" w:rsidP="00C324F3">
            <w:pPr>
              <w:pStyle w:val="Tablewriting"/>
              <w:numPr>
                <w:ilvl w:val="0"/>
                <w:numId w:val="52"/>
              </w:numPr>
              <w:rPr>
                <w:rFonts w:eastAsia="MS Mincho"/>
              </w:rPr>
            </w:pPr>
            <w:r w:rsidRPr="00091A49">
              <w:rPr>
                <w:rFonts w:eastAsia="MS Mincho"/>
              </w:rPr>
              <w:t>Nicotine patch 21 mg for 6 weeks including tapering</w:t>
            </w:r>
          </w:p>
          <w:p w:rsidR="00091A49" w:rsidRPr="001E7A17" w:rsidRDefault="00091A49" w:rsidP="00C324F3">
            <w:pPr>
              <w:pStyle w:val="Tablewriting"/>
              <w:numPr>
                <w:ilvl w:val="0"/>
                <w:numId w:val="52"/>
              </w:numPr>
              <w:rPr>
                <w:rFonts w:eastAsia="MS Mincho"/>
              </w:rPr>
            </w:pPr>
            <w:r w:rsidRPr="001E7A17">
              <w:rPr>
                <w:rFonts w:eastAsia="MS Mincho"/>
              </w:rPr>
              <w:t>Advice and follow-up only</w:t>
            </w:r>
          </w:p>
          <w:p w:rsidR="00091A49" w:rsidRDefault="00091A49" w:rsidP="00A71365">
            <w:pPr>
              <w:pStyle w:val="Tablewriting"/>
              <w:rPr>
                <w:rFonts w:eastAsia="MS Mincho"/>
              </w:rPr>
            </w:pPr>
          </w:p>
          <w:p w:rsidR="00D137CE" w:rsidRPr="00061F78" w:rsidRDefault="00091A49" w:rsidP="00A71365">
            <w:pPr>
              <w:pStyle w:val="Tablewriting"/>
              <w:rPr>
                <w:rFonts w:eastAsia="MS Mincho"/>
              </w:rPr>
            </w:pPr>
            <w:r w:rsidRPr="00091A49">
              <w:rPr>
                <w:rFonts w:eastAsia="MS Mincho"/>
                <w:u w:val="single"/>
              </w:rPr>
              <w:t>Common components</w:t>
            </w:r>
            <w:r w:rsidRPr="00091A49">
              <w:rPr>
                <w:rFonts w:eastAsia="MS Mincho"/>
              </w:rPr>
              <w:t>: brief counselling on consequences of smoking with follow-up for 24 weeks</w:t>
            </w:r>
            <w:r w:rsidR="001E7A17">
              <w:rPr>
                <w:rFonts w:eastAsia="MS Mincho"/>
              </w:rPr>
              <w:t xml:space="preserve"> </w:t>
            </w:r>
            <w:r w:rsidRPr="00091A49">
              <w:rPr>
                <w:rFonts w:eastAsia="MS Mincho"/>
              </w:rPr>
              <w:t>more than low intensity</w:t>
            </w:r>
          </w:p>
        </w:tc>
        <w:tc>
          <w:tcPr>
            <w:tcW w:w="832" w:type="pct"/>
          </w:tcPr>
          <w:p w:rsidR="001E7A17" w:rsidRPr="001E7A17" w:rsidRDefault="001E7A17" w:rsidP="00A71365">
            <w:pPr>
              <w:pStyle w:val="Tablewriting"/>
              <w:rPr>
                <w:rFonts w:eastAsia="MS Mincho"/>
              </w:rPr>
            </w:pPr>
            <w:r w:rsidRPr="001E7A17">
              <w:rPr>
                <w:rFonts w:eastAsia="MS Mincho"/>
                <w:u w:val="single"/>
              </w:rPr>
              <w:t>Efficacy:</w:t>
            </w:r>
            <w:r w:rsidRPr="001E7A17">
              <w:rPr>
                <w:rFonts w:eastAsia="MS Mincho"/>
              </w:rPr>
              <w:t xml:space="preserve"> abstinence at 24 weeks (definition not specified). Validated by CO &lt; 10 ppm</w:t>
            </w:r>
          </w:p>
          <w:p w:rsidR="00D137CE" w:rsidRPr="00061F78" w:rsidRDefault="001E7A17" w:rsidP="00A71365">
            <w:pPr>
              <w:pStyle w:val="Tablewriting"/>
              <w:rPr>
                <w:rFonts w:eastAsia="MS Mincho"/>
              </w:rPr>
            </w:pPr>
            <w:r w:rsidRPr="001E7A17">
              <w:rPr>
                <w:rFonts w:eastAsia="MS Mincho"/>
                <w:u w:val="single"/>
              </w:rPr>
              <w:t>Safety:</w:t>
            </w:r>
            <w:r>
              <w:rPr>
                <w:rFonts w:eastAsia="MS Mincho"/>
              </w:rPr>
              <w:t xml:space="preserve"> a</w:t>
            </w:r>
            <w:r w:rsidRPr="001E7A17">
              <w:rPr>
                <w:rFonts w:eastAsia="MS Mincho"/>
              </w:rPr>
              <w:t>dverse events</w:t>
            </w:r>
            <w:r>
              <w:rPr>
                <w:rFonts w:eastAsia="MS Mincho"/>
              </w:rPr>
              <w:t xml:space="preserve"> </w:t>
            </w:r>
            <w:r w:rsidRPr="001E7A17">
              <w:rPr>
                <w:rFonts w:eastAsia="MS Mincho"/>
              </w:rPr>
              <w:t>measured for unspecified period</w:t>
            </w:r>
            <w:r w:rsidR="00EF7420">
              <w:rPr>
                <w:rFonts w:eastAsia="MS Mincho"/>
              </w:rPr>
              <w:t>.</w:t>
            </w:r>
          </w:p>
        </w:tc>
      </w:tr>
      <w:tr w:rsidR="004272CA" w:rsidRPr="00061F78" w:rsidTr="004529B1">
        <w:trPr>
          <w:trHeight w:val="149"/>
        </w:trPr>
        <w:tc>
          <w:tcPr>
            <w:tcW w:w="565" w:type="pct"/>
          </w:tcPr>
          <w:p w:rsidR="004272CA" w:rsidRPr="00866DE0" w:rsidRDefault="006561B9" w:rsidP="00A71365">
            <w:pPr>
              <w:pStyle w:val="Tablewriting"/>
              <w:rPr>
                <w:rFonts w:eastAsia="MS Mincho"/>
              </w:rPr>
            </w:pPr>
            <w:r w:rsidRPr="00866DE0">
              <w:rPr>
                <w:rFonts w:eastAsia="MS Mincho"/>
              </w:rPr>
              <w:t xml:space="preserve">Wagena </w:t>
            </w:r>
            <w:r w:rsidR="0065538B">
              <w:rPr>
                <w:rFonts w:eastAsia="MS Mincho"/>
              </w:rPr>
              <w:t>(</w:t>
            </w:r>
            <w:r w:rsidRPr="00866DE0">
              <w:rPr>
                <w:rFonts w:eastAsia="MS Mincho"/>
              </w:rPr>
              <w:t>2005</w:t>
            </w:r>
            <w:r w:rsidR="0065538B">
              <w:rPr>
                <w:rFonts w:eastAsia="MS Mincho"/>
              </w:rPr>
              <w:t>)</w:t>
            </w:r>
          </w:p>
        </w:tc>
        <w:tc>
          <w:tcPr>
            <w:tcW w:w="238" w:type="pct"/>
          </w:tcPr>
          <w:p w:rsidR="004272CA" w:rsidRDefault="00B96CF7" w:rsidP="00A71365">
            <w:pPr>
              <w:pStyle w:val="Tablewriting"/>
              <w:rPr>
                <w:rFonts w:eastAsia="MS Mincho"/>
              </w:rPr>
            </w:pPr>
            <w:r w:rsidRPr="00DD3336">
              <w:rPr>
                <w:rFonts w:eastAsia="MS Mincho"/>
              </w:rPr>
              <w:t>RCT</w:t>
            </w:r>
          </w:p>
        </w:tc>
        <w:tc>
          <w:tcPr>
            <w:tcW w:w="420" w:type="pct"/>
          </w:tcPr>
          <w:p w:rsidR="0035253E" w:rsidRPr="00061F78" w:rsidRDefault="00EE39C1" w:rsidP="00A71365">
            <w:pPr>
              <w:pStyle w:val="Tablewriting"/>
              <w:rPr>
                <w:rFonts w:eastAsia="MS Mincho"/>
              </w:rPr>
            </w:pPr>
            <w:r>
              <w:rPr>
                <w:rFonts w:eastAsia="MS Mincho"/>
              </w:rPr>
              <w:t>Netherlands</w:t>
            </w:r>
          </w:p>
        </w:tc>
        <w:tc>
          <w:tcPr>
            <w:tcW w:w="449" w:type="pct"/>
          </w:tcPr>
          <w:p w:rsidR="004272CA" w:rsidRPr="00061F78" w:rsidRDefault="00B96CF7" w:rsidP="00A71365">
            <w:pPr>
              <w:pStyle w:val="Tablewriting"/>
              <w:rPr>
                <w:rFonts w:eastAsia="MS Mincho"/>
              </w:rPr>
            </w:pPr>
            <w:r w:rsidRPr="00864366">
              <w:rPr>
                <w:rFonts w:eastAsia="MS Mincho"/>
              </w:rPr>
              <w:t>N=</w:t>
            </w:r>
            <w:r w:rsidR="00EE39C1">
              <w:rPr>
                <w:rFonts w:eastAsia="MS Mincho"/>
              </w:rPr>
              <w:t>255</w:t>
            </w:r>
          </w:p>
        </w:tc>
        <w:tc>
          <w:tcPr>
            <w:tcW w:w="1271" w:type="pct"/>
          </w:tcPr>
          <w:p w:rsidR="004272CA" w:rsidRPr="00061F78" w:rsidRDefault="00EE39C1" w:rsidP="00A71365">
            <w:pPr>
              <w:pStyle w:val="Tablewriting"/>
              <w:rPr>
                <w:rFonts w:eastAsia="MS Mincho"/>
              </w:rPr>
            </w:pPr>
            <w:r>
              <w:rPr>
                <w:rFonts w:eastAsia="MS Mincho"/>
              </w:rPr>
              <w:t>S</w:t>
            </w:r>
            <w:r w:rsidRPr="00EE39C1">
              <w:rPr>
                <w:rFonts w:eastAsia="MS Mincho"/>
              </w:rPr>
              <w:t>mokers with or at risk of COPD</w:t>
            </w:r>
            <w:r w:rsidR="00D66694">
              <w:rPr>
                <w:rFonts w:eastAsia="MS Mincho"/>
              </w:rPr>
              <w:t>,</w:t>
            </w:r>
            <w:r w:rsidRPr="00EE39C1">
              <w:rPr>
                <w:rFonts w:eastAsia="MS Mincho"/>
              </w:rPr>
              <w:t xml:space="preserve"> 51% female</w:t>
            </w:r>
            <w:r w:rsidR="00D66694">
              <w:rPr>
                <w:rFonts w:eastAsia="MS Mincho"/>
              </w:rPr>
              <w:t>,</w:t>
            </w:r>
            <w:r w:rsidRPr="00EE39C1">
              <w:rPr>
                <w:rFonts w:eastAsia="MS Mincho"/>
              </w:rPr>
              <w:t xml:space="preserve"> average age 51</w:t>
            </w:r>
            <w:r w:rsidR="00D66694">
              <w:rPr>
                <w:rFonts w:eastAsia="MS Mincho"/>
              </w:rPr>
              <w:t xml:space="preserve"> years,</w:t>
            </w:r>
            <w:r>
              <w:rPr>
                <w:rFonts w:eastAsia="MS Mincho"/>
              </w:rPr>
              <w:t xml:space="preserve"> </w:t>
            </w:r>
            <w:r w:rsidRPr="00EE39C1">
              <w:rPr>
                <w:rFonts w:eastAsia="MS Mincho"/>
              </w:rPr>
              <w:t>average cigarettes per day 23</w:t>
            </w:r>
          </w:p>
        </w:tc>
        <w:tc>
          <w:tcPr>
            <w:tcW w:w="1224" w:type="pct"/>
          </w:tcPr>
          <w:p w:rsidR="004F4EB7" w:rsidRDefault="004F4EB7" w:rsidP="00C324F3">
            <w:pPr>
              <w:pStyle w:val="Tablewriting"/>
              <w:numPr>
                <w:ilvl w:val="0"/>
                <w:numId w:val="53"/>
              </w:numPr>
              <w:rPr>
                <w:rFonts w:eastAsia="MS Mincho"/>
              </w:rPr>
            </w:pPr>
            <w:r w:rsidRPr="004F4EB7">
              <w:rPr>
                <w:rFonts w:eastAsia="MS Mincho"/>
              </w:rPr>
              <w:t>Bupropion SR 300 mg/day for 12 weeks</w:t>
            </w:r>
          </w:p>
          <w:p w:rsidR="004F4EB7" w:rsidRDefault="004F4EB7" w:rsidP="00C324F3">
            <w:pPr>
              <w:pStyle w:val="Tablewriting"/>
              <w:numPr>
                <w:ilvl w:val="0"/>
                <w:numId w:val="53"/>
              </w:numPr>
              <w:rPr>
                <w:rFonts w:eastAsia="MS Mincho"/>
              </w:rPr>
            </w:pPr>
            <w:r w:rsidRPr="004F4EB7">
              <w:rPr>
                <w:rFonts w:eastAsia="MS Mincho"/>
              </w:rPr>
              <w:t>Nortriptyline 75 mg/day for 12 weeks</w:t>
            </w:r>
          </w:p>
          <w:p w:rsidR="004F4EB7" w:rsidRPr="004F4EB7" w:rsidRDefault="004F4EB7" w:rsidP="00C324F3">
            <w:pPr>
              <w:pStyle w:val="Tablewriting"/>
              <w:numPr>
                <w:ilvl w:val="0"/>
                <w:numId w:val="53"/>
              </w:numPr>
              <w:rPr>
                <w:rFonts w:eastAsia="MS Mincho"/>
              </w:rPr>
            </w:pPr>
            <w:r w:rsidRPr="004F4EB7">
              <w:rPr>
                <w:rFonts w:eastAsia="MS Mincho"/>
              </w:rPr>
              <w:t>Placebo bupropion or placebo nortriptyline</w:t>
            </w:r>
          </w:p>
          <w:p w:rsidR="004F4EB7" w:rsidRDefault="004F4EB7" w:rsidP="00A71365">
            <w:pPr>
              <w:pStyle w:val="Tablewriting"/>
              <w:rPr>
                <w:rFonts w:eastAsia="MS Mincho"/>
              </w:rPr>
            </w:pPr>
          </w:p>
          <w:p w:rsidR="004272CA" w:rsidRPr="00061F78" w:rsidRDefault="004F4EB7" w:rsidP="00A71365">
            <w:pPr>
              <w:pStyle w:val="Tablewriting"/>
              <w:rPr>
                <w:rFonts w:eastAsia="MS Mincho"/>
              </w:rPr>
            </w:pPr>
            <w:r w:rsidRPr="004F4EB7">
              <w:rPr>
                <w:rFonts w:eastAsia="MS Mincho"/>
                <w:u w:val="single"/>
              </w:rPr>
              <w:t>Common components:</w:t>
            </w:r>
            <w:r w:rsidRPr="004F4EB7">
              <w:rPr>
                <w:rFonts w:eastAsia="MS Mincho"/>
              </w:rPr>
              <w:t xml:space="preserve"> individual counselling 10-20 mins at baseline, 1 week and 3 weeks post-TQD</w:t>
            </w:r>
            <w:r>
              <w:rPr>
                <w:rFonts w:eastAsia="MS Mincho"/>
              </w:rPr>
              <w:t xml:space="preserve"> </w:t>
            </w:r>
            <w:r w:rsidRPr="004F4EB7">
              <w:rPr>
                <w:rFonts w:eastAsia="MS Mincho"/>
              </w:rPr>
              <w:t>(TQD typically day 11). Telephone support TQD, 2 weeks, 4</w:t>
            </w:r>
            <w:r w:rsidR="001369EF">
              <w:rPr>
                <w:rFonts w:eastAsia="MS Mincho"/>
              </w:rPr>
              <w:t xml:space="preserve"> </w:t>
            </w:r>
            <w:r w:rsidRPr="004F4EB7">
              <w:rPr>
                <w:rFonts w:eastAsia="MS Mincho"/>
              </w:rPr>
              <w:t>weeks, 6 weeks, 8 weeks, 11 weeks</w:t>
            </w:r>
          </w:p>
        </w:tc>
        <w:tc>
          <w:tcPr>
            <w:tcW w:w="832" w:type="pct"/>
          </w:tcPr>
          <w:p w:rsidR="00DB28F6" w:rsidRPr="00DB28F6" w:rsidRDefault="00DB28F6" w:rsidP="00A71365">
            <w:pPr>
              <w:pStyle w:val="Tablewriting"/>
              <w:rPr>
                <w:rFonts w:eastAsia="MS Mincho"/>
              </w:rPr>
            </w:pPr>
            <w:r w:rsidRPr="00DB28F6">
              <w:rPr>
                <w:rFonts w:eastAsia="MS Mincho"/>
                <w:u w:val="single"/>
              </w:rPr>
              <w:t>Efficacy:</w:t>
            </w:r>
            <w:r w:rsidRPr="00DB28F6">
              <w:rPr>
                <w:rFonts w:eastAsia="MS Mincho"/>
              </w:rPr>
              <w:t xml:space="preserve"> prolonged abstinence at 26 weeks (pu</w:t>
            </w:r>
            <w:r w:rsidR="004039C9">
              <w:rPr>
                <w:rFonts w:eastAsia="MS Mincho"/>
              </w:rPr>
              <w:t>ff</w:t>
            </w:r>
            <w:r w:rsidRPr="00DB28F6">
              <w:rPr>
                <w:rFonts w:eastAsia="MS Mincho"/>
              </w:rPr>
              <w:t>-free from week 4). Validated by urine cotinine</w:t>
            </w:r>
            <w:r>
              <w:rPr>
                <w:rFonts w:eastAsia="MS Mincho"/>
              </w:rPr>
              <w:t xml:space="preserve"> </w:t>
            </w:r>
            <w:r w:rsidRPr="00DB28F6">
              <w:rPr>
                <w:rFonts w:eastAsia="MS Mincho"/>
              </w:rPr>
              <w:t>h 60 ng/mL at 4 weeks, 12 weeks and 26 weeks</w:t>
            </w:r>
          </w:p>
          <w:p w:rsidR="004272CA" w:rsidRPr="00061F78" w:rsidRDefault="00DB28F6" w:rsidP="00A71365">
            <w:pPr>
              <w:pStyle w:val="Tablewriting"/>
              <w:rPr>
                <w:rFonts w:eastAsia="MS Mincho"/>
              </w:rPr>
            </w:pPr>
            <w:r w:rsidRPr="00DB28F6">
              <w:rPr>
                <w:rFonts w:eastAsia="MS Mincho"/>
                <w:u w:val="single"/>
              </w:rPr>
              <w:t>Safety:</w:t>
            </w:r>
            <w:r>
              <w:rPr>
                <w:rFonts w:eastAsia="MS Mincho"/>
              </w:rPr>
              <w:t xml:space="preserve"> a</w:t>
            </w:r>
            <w:r w:rsidRPr="00DB28F6">
              <w:rPr>
                <w:rFonts w:eastAsia="MS Mincho"/>
              </w:rPr>
              <w:t>dverse</w:t>
            </w:r>
            <w:r w:rsidR="003470D6">
              <w:rPr>
                <w:rFonts w:eastAsia="MS Mincho"/>
              </w:rPr>
              <w:t xml:space="preserve"> </w:t>
            </w:r>
            <w:r w:rsidRPr="00DB28F6">
              <w:rPr>
                <w:rFonts w:eastAsia="MS Mincho"/>
              </w:rPr>
              <w:t>events none specified</w:t>
            </w:r>
            <w:r w:rsidR="00EF7420">
              <w:rPr>
                <w:rFonts w:eastAsia="MS Mincho"/>
              </w:rPr>
              <w:t>.</w:t>
            </w:r>
          </w:p>
        </w:tc>
      </w:tr>
      <w:tr w:rsidR="004272CA" w:rsidRPr="00061F78" w:rsidTr="004529B1">
        <w:trPr>
          <w:trHeight w:val="149"/>
        </w:trPr>
        <w:tc>
          <w:tcPr>
            <w:tcW w:w="565" w:type="pct"/>
          </w:tcPr>
          <w:p w:rsidR="004272CA" w:rsidRPr="00866DE0" w:rsidRDefault="00CA0718" w:rsidP="00A71365">
            <w:pPr>
              <w:pStyle w:val="Tablewriting"/>
              <w:rPr>
                <w:rFonts w:eastAsia="MS Mincho"/>
              </w:rPr>
            </w:pPr>
            <w:r w:rsidRPr="00866DE0">
              <w:rPr>
                <w:rFonts w:eastAsia="MS Mincho"/>
              </w:rPr>
              <w:t xml:space="preserve">Wittchen </w:t>
            </w:r>
            <w:r w:rsidR="0065538B">
              <w:rPr>
                <w:rFonts w:eastAsia="MS Mincho"/>
              </w:rPr>
              <w:t>(</w:t>
            </w:r>
            <w:r w:rsidRPr="00866DE0">
              <w:rPr>
                <w:rFonts w:eastAsia="MS Mincho"/>
              </w:rPr>
              <w:t>2011</w:t>
            </w:r>
            <w:r w:rsidR="0065538B">
              <w:rPr>
                <w:rFonts w:eastAsia="MS Mincho"/>
              </w:rPr>
              <w:t>)</w:t>
            </w:r>
          </w:p>
        </w:tc>
        <w:tc>
          <w:tcPr>
            <w:tcW w:w="238" w:type="pct"/>
          </w:tcPr>
          <w:p w:rsidR="004272CA" w:rsidRDefault="00B96CF7" w:rsidP="00A71365">
            <w:pPr>
              <w:pStyle w:val="Tablewriting"/>
              <w:rPr>
                <w:rFonts w:eastAsia="MS Mincho"/>
              </w:rPr>
            </w:pPr>
            <w:r w:rsidRPr="00DD3336">
              <w:rPr>
                <w:rFonts w:eastAsia="MS Mincho"/>
              </w:rPr>
              <w:t>RCT</w:t>
            </w:r>
          </w:p>
        </w:tc>
        <w:tc>
          <w:tcPr>
            <w:tcW w:w="420" w:type="pct"/>
          </w:tcPr>
          <w:p w:rsidR="0035253E" w:rsidRPr="00061F78" w:rsidRDefault="005C5699" w:rsidP="00A71365">
            <w:pPr>
              <w:pStyle w:val="Tablewriting"/>
              <w:rPr>
                <w:rFonts w:eastAsia="MS Mincho"/>
              </w:rPr>
            </w:pPr>
            <w:r>
              <w:rPr>
                <w:rFonts w:eastAsia="MS Mincho"/>
              </w:rPr>
              <w:t>Germany</w:t>
            </w:r>
          </w:p>
        </w:tc>
        <w:tc>
          <w:tcPr>
            <w:tcW w:w="449" w:type="pct"/>
          </w:tcPr>
          <w:p w:rsidR="004272CA" w:rsidRPr="00061F78" w:rsidRDefault="00B96CF7" w:rsidP="00A71365">
            <w:pPr>
              <w:pStyle w:val="Tablewriting"/>
              <w:rPr>
                <w:rFonts w:eastAsia="MS Mincho"/>
              </w:rPr>
            </w:pPr>
            <w:r w:rsidRPr="00864366">
              <w:rPr>
                <w:rFonts w:eastAsia="MS Mincho"/>
              </w:rPr>
              <w:t>N=</w:t>
            </w:r>
            <w:r w:rsidR="00693CD3">
              <w:rPr>
                <w:rFonts w:eastAsia="MS Mincho"/>
              </w:rPr>
              <w:t>467</w:t>
            </w:r>
          </w:p>
        </w:tc>
        <w:tc>
          <w:tcPr>
            <w:tcW w:w="1271" w:type="pct"/>
          </w:tcPr>
          <w:p w:rsidR="004272CA" w:rsidRPr="00061F78" w:rsidRDefault="00693CD3" w:rsidP="00A71365">
            <w:pPr>
              <w:pStyle w:val="Tablewriting"/>
              <w:rPr>
                <w:rFonts w:eastAsia="MS Mincho"/>
              </w:rPr>
            </w:pPr>
            <w:r w:rsidRPr="00693CD3">
              <w:rPr>
                <w:rFonts w:eastAsia="MS Mincho"/>
              </w:rPr>
              <w:t>"current regular smokers"; 52% female</w:t>
            </w:r>
            <w:r w:rsidR="00D66694">
              <w:rPr>
                <w:rFonts w:eastAsia="MS Mincho"/>
              </w:rPr>
              <w:t>,</w:t>
            </w:r>
            <w:r w:rsidRPr="00693CD3">
              <w:rPr>
                <w:rFonts w:eastAsia="MS Mincho"/>
              </w:rPr>
              <w:t xml:space="preserve"> average age 43</w:t>
            </w:r>
            <w:r w:rsidR="00D66694">
              <w:rPr>
                <w:rFonts w:eastAsia="MS Mincho"/>
              </w:rPr>
              <w:t xml:space="preserve"> years,</w:t>
            </w:r>
            <w:r w:rsidRPr="00693CD3">
              <w:rPr>
                <w:rFonts w:eastAsia="MS Mincho"/>
              </w:rPr>
              <w:t xml:space="preserve"> average cigarettes per day 20</w:t>
            </w:r>
          </w:p>
        </w:tc>
        <w:tc>
          <w:tcPr>
            <w:tcW w:w="1224" w:type="pct"/>
          </w:tcPr>
          <w:p w:rsidR="00B96CF7" w:rsidRDefault="00295E4E" w:rsidP="00C324F3">
            <w:pPr>
              <w:pStyle w:val="Tablewriting"/>
              <w:numPr>
                <w:ilvl w:val="0"/>
                <w:numId w:val="54"/>
              </w:numPr>
              <w:rPr>
                <w:rFonts w:eastAsia="MS Mincho"/>
              </w:rPr>
            </w:pPr>
            <w:r w:rsidRPr="00295E4E">
              <w:rPr>
                <w:rFonts w:eastAsia="MS Mincho"/>
              </w:rPr>
              <w:t>CBT 4-5 one-on-one counselling sessions for 20-30 mins</w:t>
            </w:r>
          </w:p>
          <w:p w:rsidR="00295E4E" w:rsidRPr="00295E4E" w:rsidRDefault="00295E4E" w:rsidP="00C324F3">
            <w:pPr>
              <w:pStyle w:val="Tablewriting"/>
              <w:numPr>
                <w:ilvl w:val="0"/>
                <w:numId w:val="54"/>
              </w:numPr>
              <w:rPr>
                <w:rFonts w:eastAsia="MS Mincho"/>
              </w:rPr>
            </w:pPr>
            <w:r w:rsidRPr="00295E4E">
              <w:rPr>
                <w:rFonts w:eastAsia="MS Mincho"/>
              </w:rPr>
              <w:t>CBT and bupropion SR. CBT as above. Bupropion SR (9-12 weeks, 150 mg;</w:t>
            </w:r>
            <w:r>
              <w:rPr>
                <w:rFonts w:eastAsia="MS Mincho"/>
              </w:rPr>
              <w:t xml:space="preserve"> </w:t>
            </w:r>
            <w:r w:rsidRPr="00295E4E">
              <w:rPr>
                <w:rFonts w:eastAsia="MS Mincho"/>
              </w:rPr>
              <w:t>1/day for first 6 days;</w:t>
            </w:r>
            <w:r>
              <w:rPr>
                <w:rFonts w:eastAsia="MS Mincho"/>
              </w:rPr>
              <w:t xml:space="preserve"> </w:t>
            </w:r>
            <w:r w:rsidRPr="00295E4E">
              <w:rPr>
                <w:rFonts w:eastAsia="MS Mincho"/>
              </w:rPr>
              <w:t>2/day</w:t>
            </w:r>
            <w:r>
              <w:rPr>
                <w:rFonts w:eastAsia="MS Mincho"/>
              </w:rPr>
              <w:t xml:space="preserve"> </w:t>
            </w:r>
            <w:r w:rsidRPr="00295E4E">
              <w:rPr>
                <w:rFonts w:eastAsia="MS Mincho"/>
              </w:rPr>
              <w:t>thereafter)</w:t>
            </w:r>
          </w:p>
          <w:p w:rsidR="00295E4E" w:rsidRPr="00295E4E" w:rsidRDefault="00295E4E" w:rsidP="00C324F3">
            <w:pPr>
              <w:pStyle w:val="Tablewriting"/>
              <w:numPr>
                <w:ilvl w:val="0"/>
                <w:numId w:val="54"/>
              </w:numPr>
              <w:rPr>
                <w:rFonts w:eastAsia="MS Mincho"/>
              </w:rPr>
            </w:pPr>
            <w:r w:rsidRPr="00295E4E">
              <w:rPr>
                <w:rFonts w:eastAsia="MS Mincho"/>
              </w:rPr>
              <w:lastRenderedPageBreak/>
              <w:t>CBT and NRT. CBT as above. NRT for 9-12 weeks, patient's choice of patch (7 mg to 52.5 mg), gum (2</w:t>
            </w:r>
            <w:r>
              <w:rPr>
                <w:rFonts w:eastAsia="MS Mincho"/>
              </w:rPr>
              <w:t xml:space="preserve"> </w:t>
            </w:r>
            <w:r w:rsidRPr="00295E4E">
              <w:rPr>
                <w:rFonts w:eastAsia="MS Mincho"/>
              </w:rPr>
              <w:t>or 4 mg) or spray (10 mg/mL)</w:t>
            </w:r>
          </w:p>
          <w:p w:rsidR="004272CA" w:rsidRPr="00061F78" w:rsidRDefault="00295E4E" w:rsidP="00C324F3">
            <w:pPr>
              <w:pStyle w:val="Tablewriting"/>
              <w:numPr>
                <w:ilvl w:val="0"/>
                <w:numId w:val="54"/>
              </w:numPr>
              <w:rPr>
                <w:rFonts w:eastAsia="MS Mincho"/>
              </w:rPr>
            </w:pPr>
            <w:r w:rsidRPr="00295E4E">
              <w:rPr>
                <w:rFonts w:eastAsia="MS Mincho"/>
              </w:rPr>
              <w:t>Minimal intervention</w:t>
            </w:r>
            <w:r>
              <w:rPr>
                <w:rFonts w:eastAsia="MS Mincho"/>
              </w:rPr>
              <w:t xml:space="preserve"> </w:t>
            </w:r>
            <w:r w:rsidRPr="00295E4E">
              <w:rPr>
                <w:rFonts w:eastAsia="MS Mincho"/>
              </w:rPr>
              <w:t>(not used in review)</w:t>
            </w:r>
          </w:p>
        </w:tc>
        <w:tc>
          <w:tcPr>
            <w:tcW w:w="832" w:type="pct"/>
          </w:tcPr>
          <w:p w:rsidR="003C019E" w:rsidRPr="003C019E" w:rsidRDefault="003C019E" w:rsidP="00A71365">
            <w:pPr>
              <w:pStyle w:val="Tablewriting"/>
              <w:rPr>
                <w:rFonts w:eastAsia="MS Mincho"/>
              </w:rPr>
            </w:pPr>
            <w:r w:rsidRPr="003C019E">
              <w:rPr>
                <w:rFonts w:eastAsia="MS Mincho"/>
                <w:u w:val="single"/>
              </w:rPr>
              <w:lastRenderedPageBreak/>
              <w:t>Efficacy:</w:t>
            </w:r>
            <w:r w:rsidRPr="003C019E">
              <w:rPr>
                <w:rFonts w:eastAsia="MS Mincho"/>
              </w:rPr>
              <w:t xml:space="preserve"> abstinence at 12 months (from EoT). Validation method not specified</w:t>
            </w:r>
          </w:p>
          <w:p w:rsidR="004272CA" w:rsidRPr="00061F78" w:rsidRDefault="00027C01" w:rsidP="00A71365">
            <w:pPr>
              <w:pStyle w:val="Tablewriting"/>
              <w:rPr>
                <w:rFonts w:eastAsia="MS Mincho"/>
              </w:rPr>
            </w:pPr>
            <w:r w:rsidRPr="00027C01">
              <w:rPr>
                <w:rFonts w:eastAsia="MS Mincho"/>
                <w:u w:val="single"/>
              </w:rPr>
              <w:t>Safety:</w:t>
            </w:r>
            <w:r>
              <w:rPr>
                <w:rFonts w:eastAsia="MS Mincho"/>
              </w:rPr>
              <w:t xml:space="preserve"> a</w:t>
            </w:r>
            <w:r w:rsidR="003C019E" w:rsidRPr="003C019E">
              <w:rPr>
                <w:rFonts w:eastAsia="MS Mincho"/>
              </w:rPr>
              <w:t>dverse events</w:t>
            </w:r>
            <w:r>
              <w:rPr>
                <w:rFonts w:eastAsia="MS Mincho"/>
              </w:rPr>
              <w:t xml:space="preserve"> </w:t>
            </w:r>
            <w:r w:rsidR="003C019E" w:rsidRPr="003C019E">
              <w:rPr>
                <w:rFonts w:eastAsia="MS Mincho"/>
              </w:rPr>
              <w:t>measured for 12</w:t>
            </w:r>
            <w:r w:rsidR="002E1EF9">
              <w:rPr>
                <w:rFonts w:eastAsia="MS Mincho"/>
              </w:rPr>
              <w:t xml:space="preserve"> </w:t>
            </w:r>
            <w:r w:rsidR="003C019E" w:rsidRPr="003C019E">
              <w:rPr>
                <w:rFonts w:eastAsia="MS Mincho"/>
              </w:rPr>
              <w:t>weeks</w:t>
            </w:r>
            <w:r w:rsidR="00EF7420">
              <w:rPr>
                <w:rFonts w:eastAsia="MS Mincho"/>
              </w:rPr>
              <w:t>.</w:t>
            </w:r>
          </w:p>
        </w:tc>
      </w:tr>
      <w:tr w:rsidR="004272CA" w:rsidRPr="00061F78" w:rsidTr="004529B1">
        <w:trPr>
          <w:trHeight w:val="149"/>
        </w:trPr>
        <w:tc>
          <w:tcPr>
            <w:tcW w:w="565" w:type="pct"/>
          </w:tcPr>
          <w:p w:rsidR="004272CA" w:rsidRPr="00866DE0" w:rsidRDefault="00866DE0" w:rsidP="00A71365">
            <w:pPr>
              <w:pStyle w:val="Tablewriting"/>
              <w:rPr>
                <w:rFonts w:eastAsia="MS Mincho"/>
              </w:rPr>
            </w:pPr>
            <w:r w:rsidRPr="00866DE0">
              <w:rPr>
                <w:rFonts w:eastAsia="MS Mincho"/>
              </w:rPr>
              <w:t xml:space="preserve">Zellweger </w:t>
            </w:r>
            <w:r w:rsidR="0065538B">
              <w:rPr>
                <w:rFonts w:eastAsia="MS Mincho"/>
              </w:rPr>
              <w:t>(</w:t>
            </w:r>
            <w:r w:rsidRPr="00866DE0">
              <w:rPr>
                <w:rFonts w:eastAsia="MS Mincho"/>
              </w:rPr>
              <w:t>2005</w:t>
            </w:r>
            <w:r w:rsidR="0065538B">
              <w:rPr>
                <w:rFonts w:eastAsia="MS Mincho"/>
              </w:rPr>
              <w:t>)</w:t>
            </w:r>
          </w:p>
        </w:tc>
        <w:tc>
          <w:tcPr>
            <w:tcW w:w="238" w:type="pct"/>
          </w:tcPr>
          <w:p w:rsidR="004272CA" w:rsidRDefault="00B96CF7" w:rsidP="00A71365">
            <w:pPr>
              <w:pStyle w:val="Tablewriting"/>
              <w:rPr>
                <w:rFonts w:eastAsia="MS Mincho"/>
              </w:rPr>
            </w:pPr>
            <w:r w:rsidRPr="00DD3336">
              <w:rPr>
                <w:rFonts w:eastAsia="MS Mincho"/>
              </w:rPr>
              <w:t>RCT</w:t>
            </w:r>
          </w:p>
        </w:tc>
        <w:tc>
          <w:tcPr>
            <w:tcW w:w="420" w:type="pct"/>
          </w:tcPr>
          <w:p w:rsidR="0035253E" w:rsidRPr="00061F78" w:rsidRDefault="00942A69" w:rsidP="00A71365">
            <w:pPr>
              <w:pStyle w:val="Tablewriting"/>
              <w:rPr>
                <w:rFonts w:eastAsia="MS Mincho"/>
              </w:rPr>
            </w:pPr>
            <w:r w:rsidRPr="00942A69">
              <w:rPr>
                <w:rFonts w:eastAsia="MS Mincho"/>
              </w:rPr>
              <w:t>12</w:t>
            </w:r>
            <w:r>
              <w:rPr>
                <w:rFonts w:eastAsia="MS Mincho"/>
              </w:rPr>
              <w:t xml:space="preserve"> </w:t>
            </w:r>
            <w:r w:rsidRPr="00942A69">
              <w:rPr>
                <w:rFonts w:eastAsia="MS Mincho"/>
              </w:rPr>
              <w:t>European countries</w:t>
            </w:r>
          </w:p>
        </w:tc>
        <w:tc>
          <w:tcPr>
            <w:tcW w:w="449" w:type="pct"/>
          </w:tcPr>
          <w:p w:rsidR="004272CA" w:rsidRPr="00061F78" w:rsidRDefault="00B96CF7" w:rsidP="00A71365">
            <w:pPr>
              <w:pStyle w:val="Tablewriting"/>
              <w:rPr>
                <w:rFonts w:eastAsia="MS Mincho"/>
              </w:rPr>
            </w:pPr>
            <w:r w:rsidRPr="00864366">
              <w:rPr>
                <w:rFonts w:eastAsia="MS Mincho"/>
              </w:rPr>
              <w:t>N=</w:t>
            </w:r>
            <w:r w:rsidR="0027066C">
              <w:rPr>
                <w:rFonts w:eastAsia="MS Mincho"/>
              </w:rPr>
              <w:t>667</w:t>
            </w:r>
          </w:p>
        </w:tc>
        <w:tc>
          <w:tcPr>
            <w:tcW w:w="1271" w:type="pct"/>
          </w:tcPr>
          <w:p w:rsidR="004272CA" w:rsidRPr="00061F78" w:rsidRDefault="0027066C" w:rsidP="00A71365">
            <w:pPr>
              <w:pStyle w:val="Tablewriting"/>
              <w:rPr>
                <w:rFonts w:eastAsia="MS Mincho"/>
              </w:rPr>
            </w:pPr>
            <w:r>
              <w:rPr>
                <w:rFonts w:eastAsia="MS Mincho"/>
              </w:rPr>
              <w:t>S</w:t>
            </w:r>
            <w:r w:rsidRPr="0027066C">
              <w:rPr>
                <w:rFonts w:eastAsia="MS Mincho"/>
              </w:rPr>
              <w:t>mokers (excludes 1 centre enrolling 20 people, and 3 people who took no medication)</w:t>
            </w:r>
            <w:r w:rsidR="00D66694">
              <w:rPr>
                <w:rFonts w:eastAsia="MS Mincho"/>
              </w:rPr>
              <w:t>,</w:t>
            </w:r>
            <w:r w:rsidRPr="0027066C">
              <w:rPr>
                <w:rFonts w:eastAsia="MS Mincho"/>
              </w:rPr>
              <w:t xml:space="preserve"> 64% female</w:t>
            </w:r>
            <w:r w:rsidR="00D66694">
              <w:rPr>
                <w:rFonts w:eastAsia="MS Mincho"/>
              </w:rPr>
              <w:t>,</w:t>
            </w:r>
            <w:r>
              <w:rPr>
                <w:rFonts w:eastAsia="MS Mincho"/>
              </w:rPr>
              <w:t xml:space="preserve"> </w:t>
            </w:r>
            <w:r w:rsidRPr="0027066C">
              <w:rPr>
                <w:rFonts w:eastAsia="MS Mincho"/>
              </w:rPr>
              <w:t>average age 40</w:t>
            </w:r>
            <w:r w:rsidR="00D66694">
              <w:rPr>
                <w:rFonts w:eastAsia="MS Mincho"/>
              </w:rPr>
              <w:t xml:space="preserve"> years,</w:t>
            </w:r>
            <w:r w:rsidRPr="0027066C">
              <w:rPr>
                <w:rFonts w:eastAsia="MS Mincho"/>
              </w:rPr>
              <w:t xml:space="preserve"> average cigarettes per day 23</w:t>
            </w:r>
            <w:r w:rsidR="00D66694">
              <w:rPr>
                <w:rFonts w:eastAsia="MS Mincho"/>
              </w:rPr>
              <w:t>,</w:t>
            </w:r>
            <w:r w:rsidRPr="0027066C">
              <w:rPr>
                <w:rFonts w:eastAsia="MS Mincho"/>
              </w:rPr>
              <w:t xml:space="preserve"> 32% doctor, 68% nurse</w:t>
            </w:r>
          </w:p>
        </w:tc>
        <w:tc>
          <w:tcPr>
            <w:tcW w:w="1224" w:type="pct"/>
          </w:tcPr>
          <w:p w:rsidR="00B96CF7" w:rsidRDefault="0027066C" w:rsidP="00C324F3">
            <w:pPr>
              <w:pStyle w:val="Tablewriting"/>
              <w:numPr>
                <w:ilvl w:val="0"/>
                <w:numId w:val="55"/>
              </w:numPr>
              <w:rPr>
                <w:rFonts w:eastAsia="MS Mincho"/>
              </w:rPr>
            </w:pPr>
            <w:r w:rsidRPr="0027066C">
              <w:rPr>
                <w:rFonts w:eastAsia="MS Mincho"/>
              </w:rPr>
              <w:t>Bupropion SR. 300 mg/day for 7 weeks</w:t>
            </w:r>
          </w:p>
          <w:p w:rsidR="0049768F" w:rsidRPr="0049768F" w:rsidRDefault="0049768F" w:rsidP="00C324F3">
            <w:pPr>
              <w:pStyle w:val="Tablewriting"/>
              <w:numPr>
                <w:ilvl w:val="0"/>
                <w:numId w:val="55"/>
              </w:numPr>
              <w:rPr>
                <w:rFonts w:eastAsia="MS Mincho"/>
              </w:rPr>
            </w:pPr>
            <w:r w:rsidRPr="0049768F">
              <w:rPr>
                <w:rFonts w:eastAsia="MS Mincho"/>
              </w:rPr>
              <w:t>Placebo</w:t>
            </w:r>
          </w:p>
          <w:p w:rsidR="0049768F" w:rsidRDefault="0049768F" w:rsidP="00A71365">
            <w:pPr>
              <w:pStyle w:val="Tablewriting"/>
              <w:rPr>
                <w:rFonts w:eastAsia="MS Mincho"/>
              </w:rPr>
            </w:pPr>
          </w:p>
          <w:p w:rsidR="004272CA" w:rsidRPr="00061F78" w:rsidRDefault="0049768F" w:rsidP="00A71365">
            <w:pPr>
              <w:pStyle w:val="Tablewriting"/>
              <w:rPr>
                <w:rFonts w:eastAsia="MS Mincho"/>
              </w:rPr>
            </w:pPr>
            <w:r w:rsidRPr="0049768F">
              <w:rPr>
                <w:rFonts w:eastAsia="MS Mincho"/>
                <w:u w:val="single"/>
              </w:rPr>
              <w:t>Common components:</w:t>
            </w:r>
            <w:r w:rsidRPr="0049768F">
              <w:rPr>
                <w:rFonts w:eastAsia="MS Mincho"/>
              </w:rPr>
              <w:t xml:space="preserve"> Brief (10-15 min) motivational support at weekly clinic visits and telephone support</w:t>
            </w:r>
            <w:r>
              <w:rPr>
                <w:rFonts w:eastAsia="MS Mincho"/>
              </w:rPr>
              <w:t xml:space="preserve"> </w:t>
            </w:r>
            <w:r w:rsidRPr="0049768F">
              <w:rPr>
                <w:rFonts w:eastAsia="MS Mincho"/>
              </w:rPr>
              <w:t>one day before TQD, 3 days after TQD, monthly during follow-up</w:t>
            </w:r>
          </w:p>
        </w:tc>
        <w:tc>
          <w:tcPr>
            <w:tcW w:w="832" w:type="pct"/>
          </w:tcPr>
          <w:p w:rsidR="00B96CF7" w:rsidRDefault="00461A55" w:rsidP="00A71365">
            <w:pPr>
              <w:pStyle w:val="Tablewriting"/>
              <w:rPr>
                <w:rFonts w:eastAsia="MS Mincho"/>
              </w:rPr>
            </w:pPr>
            <w:r w:rsidRPr="00461A55">
              <w:rPr>
                <w:rFonts w:eastAsia="MS Mincho"/>
                <w:u w:val="single"/>
              </w:rPr>
              <w:t>Efficacy:</w:t>
            </w:r>
            <w:r w:rsidRPr="00461A55">
              <w:rPr>
                <w:rFonts w:eastAsia="MS Mincho"/>
              </w:rPr>
              <w:t xml:space="preserve"> Prolonged abstinence at 52 weeks (starting from week 4). Validated by CO </w:t>
            </w:r>
            <w:r w:rsidR="00455594" w:rsidRPr="00D96BA4">
              <w:rPr>
                <w:rFonts w:eastAsia="MS Mincho"/>
              </w:rPr>
              <w:t>≤</w:t>
            </w:r>
            <w:r w:rsidRPr="00461A55">
              <w:rPr>
                <w:rFonts w:eastAsia="MS Mincho"/>
              </w:rPr>
              <w:t xml:space="preserve"> 10</w:t>
            </w:r>
            <w:r>
              <w:rPr>
                <w:rFonts w:eastAsia="MS Mincho"/>
              </w:rPr>
              <w:t xml:space="preserve"> </w:t>
            </w:r>
            <w:r w:rsidRPr="00461A55">
              <w:rPr>
                <w:rFonts w:eastAsia="MS Mincho"/>
              </w:rPr>
              <w:t>ppm</w:t>
            </w:r>
          </w:p>
          <w:p w:rsidR="004272CA" w:rsidRPr="00061F78" w:rsidRDefault="00461A55" w:rsidP="00A71365">
            <w:pPr>
              <w:pStyle w:val="Tablewriting"/>
              <w:rPr>
                <w:rFonts w:eastAsia="MS Mincho"/>
              </w:rPr>
            </w:pPr>
            <w:r w:rsidRPr="00461A55">
              <w:rPr>
                <w:rFonts w:eastAsia="MS Mincho"/>
                <w:u w:val="single"/>
              </w:rPr>
              <w:t>Safety:</w:t>
            </w:r>
            <w:r>
              <w:rPr>
                <w:rFonts w:eastAsia="MS Mincho"/>
              </w:rPr>
              <w:t xml:space="preserve"> N/A</w:t>
            </w:r>
            <w:r w:rsidR="00EF7420">
              <w:rPr>
                <w:rFonts w:eastAsia="MS Mincho"/>
              </w:rPr>
              <w:t>.</w:t>
            </w:r>
          </w:p>
        </w:tc>
      </w:tr>
    </w:tbl>
    <w:p w:rsidR="00D66694" w:rsidRPr="009B042A" w:rsidRDefault="00D66694" w:rsidP="00D66694">
      <w:pPr>
        <w:pStyle w:val="TableFooter"/>
        <w:keepNext/>
      </w:pPr>
      <w:r>
        <w:t>Source: Howes et al. (2020)</w:t>
      </w:r>
    </w:p>
    <w:p w:rsidR="009B042A" w:rsidRPr="00FC4F81" w:rsidRDefault="00596B59" w:rsidP="00FC4F81">
      <w:pPr>
        <w:pStyle w:val="TableFooter"/>
        <w:keepNext/>
      </w:pPr>
      <w:r>
        <w:t xml:space="preserve">Abbreviations: </w:t>
      </w:r>
      <w:r w:rsidR="00EF3FD1">
        <w:t>NR= not reported;</w:t>
      </w:r>
      <w:r>
        <w:t xml:space="preserve"> </w:t>
      </w:r>
      <w:r w:rsidR="00A6574A" w:rsidRPr="009B042A">
        <w:t>PPA</w:t>
      </w:r>
      <w:r w:rsidR="00974BBA" w:rsidRPr="009B042A">
        <w:t>= point prevalence smoking abstinence</w:t>
      </w:r>
      <w:r w:rsidR="00753240" w:rsidRPr="009B042A">
        <w:t>;</w:t>
      </w:r>
      <w:r w:rsidR="00974BBA" w:rsidRPr="009B042A">
        <w:t xml:space="preserve"> </w:t>
      </w:r>
      <w:r w:rsidR="005A24EF">
        <w:t xml:space="preserve">CA= continuous abstinence; </w:t>
      </w:r>
      <w:r w:rsidR="00974BBA" w:rsidRPr="009B042A">
        <w:t>RCT= randomised controlled trial</w:t>
      </w:r>
      <w:r w:rsidR="00753240" w:rsidRPr="009B042A">
        <w:t>;</w:t>
      </w:r>
      <w:r w:rsidR="005E7042" w:rsidRPr="009B042A">
        <w:t xml:space="preserve"> N=</w:t>
      </w:r>
      <w:r w:rsidR="007A5790" w:rsidRPr="009B042A">
        <w:t xml:space="preserve"> total participants</w:t>
      </w:r>
      <w:r w:rsidR="00753240" w:rsidRPr="009B042A">
        <w:t>;</w:t>
      </w:r>
      <w:r w:rsidR="007A5790" w:rsidRPr="009B042A">
        <w:t xml:space="preserve"> </w:t>
      </w:r>
      <w:r w:rsidR="00F85410" w:rsidRPr="009B042A">
        <w:t>TQD= target quit date</w:t>
      </w:r>
      <w:r w:rsidR="00753240" w:rsidRPr="009B042A">
        <w:t>;</w:t>
      </w:r>
      <w:r w:rsidR="00F85410" w:rsidRPr="009B042A">
        <w:t xml:space="preserve"> </w:t>
      </w:r>
      <w:r w:rsidR="00063DFD" w:rsidRPr="009B042A">
        <w:t>ITT= intention to treat</w:t>
      </w:r>
      <w:r w:rsidR="00753240" w:rsidRPr="009B042A">
        <w:t>;</w:t>
      </w:r>
      <w:r w:rsidR="00063DFD" w:rsidRPr="009B042A">
        <w:t xml:space="preserve"> </w:t>
      </w:r>
      <w:r w:rsidR="00753240" w:rsidRPr="009B042A">
        <w:t xml:space="preserve">DSM-IV-TR= </w:t>
      </w:r>
      <w:r w:rsidR="00FB74DA" w:rsidRPr="009B042A">
        <w:t>Mental Disorders, Fourth Edition, Text Revision</w:t>
      </w:r>
      <w:r w:rsidR="00753240" w:rsidRPr="009B042A">
        <w:t xml:space="preserve">; </w:t>
      </w:r>
      <w:r w:rsidR="004743B1" w:rsidRPr="00D32125">
        <w:rPr>
          <w:szCs w:val="18"/>
        </w:rPr>
        <w:t>CES-D=</w:t>
      </w:r>
      <w:r w:rsidR="00D32125" w:rsidRPr="00D32125">
        <w:t>Centre for Epidemiological Studies Depression Scale</w:t>
      </w:r>
      <w:r w:rsidR="004743B1" w:rsidRPr="009B042A">
        <w:t xml:space="preserve">; CO= carbon </w:t>
      </w:r>
      <w:r w:rsidR="003740A3" w:rsidRPr="009B042A">
        <w:t xml:space="preserve">monoxide; </w:t>
      </w:r>
      <w:r w:rsidR="003740A3" w:rsidRPr="00D66694">
        <w:rPr>
          <w:szCs w:val="18"/>
        </w:rPr>
        <w:t>ppm=</w:t>
      </w:r>
      <w:r w:rsidR="003740A3" w:rsidRPr="009B042A">
        <w:t xml:space="preserve"> </w:t>
      </w:r>
      <w:r w:rsidR="00D66694">
        <w:t>part per million</w:t>
      </w:r>
      <w:r w:rsidR="003740A3" w:rsidRPr="009B042A">
        <w:t xml:space="preserve">; </w:t>
      </w:r>
      <w:r w:rsidR="00C6152B" w:rsidRPr="009B042A">
        <w:t xml:space="preserve">EoT= end of treatment; </w:t>
      </w:r>
      <w:r w:rsidR="005A24EF">
        <w:t>F</w:t>
      </w:r>
      <w:r w:rsidR="00F03174">
        <w:t xml:space="preserve">TND= </w:t>
      </w:r>
      <w:r w:rsidR="00BD70BE" w:rsidRPr="00BD70BE">
        <w:t>Fagerström</w:t>
      </w:r>
      <w:r w:rsidR="00F03174" w:rsidRPr="00BD70BE">
        <w:t xml:space="preserve"> test for nicotine dependence</w:t>
      </w:r>
      <w:r w:rsidR="00F03174">
        <w:t xml:space="preserve">; </w:t>
      </w:r>
      <w:r w:rsidR="00760B33">
        <w:t xml:space="preserve">CBT= </w:t>
      </w:r>
      <w:r w:rsidR="00E02772">
        <w:t xml:space="preserve">cognitive </w:t>
      </w:r>
      <w:r w:rsidR="00DF415C">
        <w:t xml:space="preserve">behavioural therapy; </w:t>
      </w:r>
      <w:r w:rsidR="00E60301">
        <w:t xml:space="preserve">MDD= major depressive disorder; MI= myocardial infarction; </w:t>
      </w:r>
      <w:r w:rsidR="004D10DC">
        <w:t>COPD=</w:t>
      </w:r>
      <w:r w:rsidR="0040258D">
        <w:t xml:space="preserve"> </w:t>
      </w:r>
      <w:r w:rsidR="003D2386">
        <w:t>c</w:t>
      </w:r>
      <w:r w:rsidR="003D2386" w:rsidRPr="003D2386">
        <w:t>hronic obstructive pulmonary disease</w:t>
      </w:r>
      <w:r w:rsidR="0040258D">
        <w:t>;</w:t>
      </w:r>
      <w:r w:rsidR="003D2386">
        <w:t xml:space="preserve"> </w:t>
      </w:r>
      <w:r w:rsidR="00BD02E4">
        <w:t>SR= sustained release</w:t>
      </w:r>
      <w:r w:rsidR="00B63651">
        <w:t>.</w:t>
      </w:r>
    </w:p>
    <w:p w:rsidR="00DB6037" w:rsidRDefault="00DB6037" w:rsidP="00DB6037">
      <w:pPr>
        <w:pStyle w:val="Caption"/>
        <w:keepNext/>
      </w:pPr>
      <w:bookmarkStart w:id="373" w:name="_Ref55119887"/>
      <w:r>
        <w:t xml:space="preserve">Table </w:t>
      </w:r>
      <w:r w:rsidR="003C4A1C">
        <w:rPr>
          <w:noProof/>
        </w:rPr>
        <w:t>145</w:t>
      </w:r>
      <w:bookmarkEnd w:id="373"/>
      <w:r>
        <w:t xml:space="preserve">: </w:t>
      </w:r>
      <w:r w:rsidRPr="00E72D88">
        <w:t xml:space="preserve">Characteristics of studies </w:t>
      </w:r>
      <w:r w:rsidR="00126F24">
        <w:t xml:space="preserve">included </w:t>
      </w:r>
      <w:r w:rsidRPr="00E72D88">
        <w:t xml:space="preserve">in Howes et al. (2020), bupropion versus </w:t>
      </w:r>
      <w:r>
        <w:t>NRT</w:t>
      </w:r>
    </w:p>
    <w:tbl>
      <w:tblPr>
        <w:tblStyle w:val="TableGrid"/>
        <w:tblpPr w:leftFromText="180" w:rightFromText="180" w:vertAnchor="text" w:tblpX="-91" w:tblpY="1"/>
        <w:tblOverlap w:val="never"/>
        <w:tblW w:w="5219" w:type="pct"/>
        <w:tblLook w:val="04A0" w:firstRow="1" w:lastRow="0" w:firstColumn="1" w:lastColumn="0" w:noHBand="0" w:noVBand="1"/>
        <w:tblCaption w:val="Efficacy results of adalimumab trials (PASI 75 and DLQI)"/>
      </w:tblPr>
      <w:tblGrid>
        <w:gridCol w:w="1405"/>
        <w:gridCol w:w="743"/>
        <w:gridCol w:w="1270"/>
        <w:gridCol w:w="1127"/>
        <w:gridCol w:w="3806"/>
        <w:gridCol w:w="3669"/>
        <w:gridCol w:w="2539"/>
      </w:tblGrid>
      <w:tr w:rsidR="00A31D77" w:rsidRPr="00223463" w:rsidTr="000728F8">
        <w:trPr>
          <w:trHeight w:val="299"/>
          <w:tblHeader/>
        </w:trPr>
        <w:tc>
          <w:tcPr>
            <w:tcW w:w="483" w:type="pct"/>
            <w:shd w:val="clear" w:color="auto" w:fill="BFBFBF" w:themeFill="background1" w:themeFillShade="BF"/>
            <w:tcMar>
              <w:left w:w="28" w:type="dxa"/>
              <w:right w:w="28" w:type="dxa"/>
            </w:tcMar>
          </w:tcPr>
          <w:p w:rsidR="0002227D" w:rsidRPr="00223463" w:rsidRDefault="008B4BB0" w:rsidP="00E5419D">
            <w:pPr>
              <w:pStyle w:val="Tableheading"/>
              <w:keepNext/>
              <w:rPr>
                <w:rFonts w:eastAsia="MS Mincho"/>
              </w:rPr>
            </w:pPr>
            <w:r>
              <w:rPr>
                <w:rFonts w:eastAsia="MS Mincho"/>
              </w:rPr>
              <w:t>Study</w:t>
            </w:r>
          </w:p>
        </w:tc>
        <w:tc>
          <w:tcPr>
            <w:tcW w:w="255" w:type="pct"/>
            <w:shd w:val="clear" w:color="auto" w:fill="BFBFBF" w:themeFill="background1" w:themeFillShade="BF"/>
          </w:tcPr>
          <w:p w:rsidR="0002227D" w:rsidRPr="00223463" w:rsidRDefault="0002227D" w:rsidP="00E5419D">
            <w:pPr>
              <w:pStyle w:val="Tableheading"/>
              <w:keepNext/>
              <w:jc w:val="center"/>
              <w:rPr>
                <w:rFonts w:eastAsia="MS Mincho"/>
              </w:rPr>
            </w:pPr>
            <w:r w:rsidRPr="00223463">
              <w:rPr>
                <w:rFonts w:eastAsia="MS Mincho"/>
              </w:rPr>
              <w:t>Study type</w:t>
            </w:r>
          </w:p>
        </w:tc>
        <w:tc>
          <w:tcPr>
            <w:tcW w:w="436" w:type="pct"/>
            <w:shd w:val="clear" w:color="auto" w:fill="BFBFBF" w:themeFill="background1" w:themeFillShade="BF"/>
          </w:tcPr>
          <w:p w:rsidR="0002227D" w:rsidRPr="00223463" w:rsidRDefault="0002227D" w:rsidP="00E5419D">
            <w:pPr>
              <w:pStyle w:val="Tableheading"/>
              <w:keepNext/>
              <w:jc w:val="center"/>
              <w:rPr>
                <w:rFonts w:eastAsia="MS Mincho"/>
              </w:rPr>
            </w:pPr>
            <w:r w:rsidRPr="00223463">
              <w:rPr>
                <w:rFonts w:eastAsia="MS Mincho"/>
              </w:rPr>
              <w:t>Country</w:t>
            </w:r>
          </w:p>
        </w:tc>
        <w:tc>
          <w:tcPr>
            <w:tcW w:w="387" w:type="pct"/>
            <w:shd w:val="clear" w:color="auto" w:fill="BFBFBF" w:themeFill="background1" w:themeFillShade="BF"/>
            <w:tcMar>
              <w:left w:w="28" w:type="dxa"/>
              <w:right w:w="28" w:type="dxa"/>
            </w:tcMar>
          </w:tcPr>
          <w:p w:rsidR="0002227D" w:rsidRPr="00223463" w:rsidRDefault="0002227D" w:rsidP="00E5419D">
            <w:pPr>
              <w:pStyle w:val="Tableheading"/>
              <w:keepNext/>
              <w:jc w:val="center"/>
              <w:rPr>
                <w:rFonts w:eastAsia="MS Mincho"/>
              </w:rPr>
            </w:pPr>
            <w:r w:rsidRPr="00223463">
              <w:rPr>
                <w:rFonts w:eastAsia="MS Mincho"/>
              </w:rPr>
              <w:t>N</w:t>
            </w:r>
          </w:p>
        </w:tc>
        <w:tc>
          <w:tcPr>
            <w:tcW w:w="1307" w:type="pct"/>
            <w:shd w:val="clear" w:color="auto" w:fill="BFBFBF" w:themeFill="background1" w:themeFillShade="BF"/>
            <w:tcMar>
              <w:left w:w="28" w:type="dxa"/>
              <w:right w:w="28" w:type="dxa"/>
            </w:tcMar>
          </w:tcPr>
          <w:p w:rsidR="0002227D" w:rsidRPr="00223463" w:rsidRDefault="0002227D" w:rsidP="00E5419D">
            <w:pPr>
              <w:pStyle w:val="Tableheading"/>
              <w:keepNext/>
              <w:jc w:val="center"/>
              <w:rPr>
                <w:rFonts w:eastAsia="MS Mincho"/>
              </w:rPr>
            </w:pPr>
            <w:r w:rsidRPr="00223463">
              <w:rPr>
                <w:rFonts w:eastAsia="MS Mincho"/>
              </w:rPr>
              <w:t>Population</w:t>
            </w:r>
          </w:p>
        </w:tc>
        <w:tc>
          <w:tcPr>
            <w:tcW w:w="1260" w:type="pct"/>
            <w:shd w:val="clear" w:color="auto" w:fill="BFBFBF" w:themeFill="background1" w:themeFillShade="BF"/>
          </w:tcPr>
          <w:p w:rsidR="0002227D" w:rsidRPr="00223463" w:rsidRDefault="0002227D" w:rsidP="00E5419D">
            <w:pPr>
              <w:pStyle w:val="Tableheading"/>
              <w:keepNext/>
              <w:jc w:val="center"/>
              <w:rPr>
                <w:rFonts w:eastAsia="MS Mincho"/>
              </w:rPr>
            </w:pPr>
            <w:r w:rsidRPr="00223463">
              <w:rPr>
                <w:rFonts w:eastAsia="MS Mincho"/>
              </w:rPr>
              <w:t>Intervention and comparator</w:t>
            </w:r>
          </w:p>
        </w:tc>
        <w:tc>
          <w:tcPr>
            <w:tcW w:w="872" w:type="pct"/>
            <w:shd w:val="clear" w:color="auto" w:fill="BFBFBF" w:themeFill="background1" w:themeFillShade="BF"/>
            <w:tcMar>
              <w:left w:w="28" w:type="dxa"/>
              <w:right w:w="28" w:type="dxa"/>
            </w:tcMar>
          </w:tcPr>
          <w:p w:rsidR="0002227D" w:rsidRPr="00223463" w:rsidRDefault="0002227D" w:rsidP="00E5419D">
            <w:pPr>
              <w:pStyle w:val="Tableheading"/>
              <w:keepNext/>
              <w:jc w:val="center"/>
              <w:rPr>
                <w:rFonts w:eastAsia="MS Mincho"/>
              </w:rPr>
            </w:pPr>
            <w:r w:rsidRPr="00223463">
              <w:rPr>
                <w:rFonts w:eastAsia="MS Mincho"/>
              </w:rPr>
              <w:t>Outcomes</w:t>
            </w:r>
          </w:p>
        </w:tc>
      </w:tr>
      <w:tr w:rsidR="00A31D77" w:rsidRPr="00223463" w:rsidTr="000728F8">
        <w:trPr>
          <w:trHeight w:val="99"/>
        </w:trPr>
        <w:tc>
          <w:tcPr>
            <w:tcW w:w="483" w:type="pct"/>
            <w:shd w:val="clear" w:color="auto" w:fill="auto"/>
            <w:tcMar>
              <w:left w:w="28" w:type="dxa"/>
              <w:right w:w="28" w:type="dxa"/>
            </w:tcMar>
          </w:tcPr>
          <w:p w:rsidR="0002227D" w:rsidRPr="00223463" w:rsidRDefault="0002227D" w:rsidP="00E5419D">
            <w:pPr>
              <w:pStyle w:val="Tablewriting"/>
              <w:keepNext/>
              <w:rPr>
                <w:rFonts w:eastAsia="MS Mincho" w:cstheme="minorHAnsi"/>
              </w:rPr>
            </w:pPr>
            <w:r w:rsidRPr="00223463">
              <w:rPr>
                <w:rFonts w:eastAsia="MS Mincho" w:cstheme="minorHAnsi"/>
              </w:rPr>
              <w:t xml:space="preserve">Anthenelli </w:t>
            </w:r>
            <w:r w:rsidR="0065538B">
              <w:rPr>
                <w:rFonts w:eastAsia="MS Mincho" w:cstheme="minorHAnsi"/>
              </w:rPr>
              <w:t>(</w:t>
            </w:r>
            <w:r w:rsidRPr="00223463">
              <w:rPr>
                <w:rFonts w:eastAsia="MS Mincho" w:cstheme="minorHAnsi"/>
              </w:rPr>
              <w:t>2016</w:t>
            </w:r>
            <w:r w:rsidR="0065538B">
              <w:rPr>
                <w:rFonts w:eastAsia="MS Mincho" w:cstheme="minorHAnsi"/>
              </w:rPr>
              <w:t>)</w:t>
            </w:r>
          </w:p>
        </w:tc>
        <w:tc>
          <w:tcPr>
            <w:tcW w:w="255" w:type="pct"/>
            <w:shd w:val="clear" w:color="auto" w:fill="auto"/>
          </w:tcPr>
          <w:p w:rsidR="0002227D" w:rsidRPr="00223463" w:rsidRDefault="0002227D" w:rsidP="00E5419D">
            <w:pPr>
              <w:pStyle w:val="Tablewriting"/>
              <w:keepNext/>
              <w:rPr>
                <w:rFonts w:eastAsia="MS Mincho" w:cstheme="minorHAnsi"/>
              </w:rPr>
            </w:pPr>
            <w:r w:rsidRPr="00223463">
              <w:rPr>
                <w:rFonts w:eastAsia="MS Mincho" w:cstheme="minorHAnsi"/>
              </w:rPr>
              <w:t>RCT</w:t>
            </w:r>
          </w:p>
        </w:tc>
        <w:tc>
          <w:tcPr>
            <w:tcW w:w="436" w:type="pct"/>
          </w:tcPr>
          <w:p w:rsidR="0002227D" w:rsidRPr="00223463" w:rsidRDefault="0002227D" w:rsidP="00E5419D">
            <w:pPr>
              <w:pStyle w:val="Tablewriting"/>
              <w:keepNext/>
              <w:rPr>
                <w:rFonts w:eastAsia="MS Mincho" w:cstheme="minorHAnsi"/>
              </w:rPr>
            </w:pPr>
            <w:r w:rsidRPr="00223463">
              <w:rPr>
                <w:rFonts w:eastAsia="MS Mincho" w:cstheme="minorHAnsi"/>
              </w:rPr>
              <w:t xml:space="preserve">USA, Australia, Canada, Denmark, Finland, Germany, New Zealand, South Africa, </w:t>
            </w:r>
            <w:r w:rsidRPr="00223463">
              <w:rPr>
                <w:rFonts w:eastAsia="MS Mincho" w:cstheme="minorHAnsi"/>
              </w:rPr>
              <w:lastRenderedPageBreak/>
              <w:t>Spain, Bulgaria,</w:t>
            </w:r>
          </w:p>
          <w:p w:rsidR="0002227D" w:rsidRPr="00223463" w:rsidRDefault="0002227D" w:rsidP="00E5419D">
            <w:pPr>
              <w:pStyle w:val="Tablewriting"/>
              <w:keepNext/>
              <w:rPr>
                <w:rFonts w:eastAsia="MS Mincho" w:cstheme="minorHAnsi"/>
              </w:rPr>
            </w:pPr>
            <w:r w:rsidRPr="00223463">
              <w:rPr>
                <w:rFonts w:eastAsia="MS Mincho" w:cstheme="minorHAnsi"/>
              </w:rPr>
              <w:t>Russian Federation, Slovakia, Argentina, Brazil, Chile, and Mexico</w:t>
            </w:r>
          </w:p>
        </w:tc>
        <w:tc>
          <w:tcPr>
            <w:tcW w:w="387" w:type="pct"/>
            <w:shd w:val="clear" w:color="auto" w:fill="auto"/>
            <w:tcMar>
              <w:left w:w="28" w:type="dxa"/>
              <w:right w:w="28" w:type="dxa"/>
            </w:tcMar>
          </w:tcPr>
          <w:p w:rsidR="0002227D" w:rsidRPr="00223463" w:rsidRDefault="0002227D" w:rsidP="00E5419D">
            <w:pPr>
              <w:pStyle w:val="Tablewriting"/>
              <w:keepNext/>
              <w:rPr>
                <w:rFonts w:eastAsia="MS Mincho" w:cstheme="minorHAnsi"/>
              </w:rPr>
            </w:pPr>
            <w:r w:rsidRPr="00223463">
              <w:rPr>
                <w:rFonts w:eastAsia="MS Mincho" w:cstheme="minorHAnsi"/>
              </w:rPr>
              <w:lastRenderedPageBreak/>
              <w:t>N= 8144</w:t>
            </w:r>
          </w:p>
          <w:p w:rsidR="0002227D" w:rsidRPr="00223463" w:rsidRDefault="0002227D" w:rsidP="00E5419D">
            <w:pPr>
              <w:pStyle w:val="Tablewriting"/>
              <w:keepNext/>
              <w:rPr>
                <w:rFonts w:eastAsia="MS Mincho" w:cstheme="minorHAnsi"/>
              </w:rPr>
            </w:pPr>
          </w:p>
          <w:p w:rsidR="0002227D" w:rsidRPr="00223463" w:rsidRDefault="0002227D" w:rsidP="00E5419D">
            <w:pPr>
              <w:pStyle w:val="Tablewriting"/>
              <w:keepNext/>
              <w:rPr>
                <w:rFonts w:eastAsia="MS Mincho" w:cstheme="minorHAnsi"/>
              </w:rPr>
            </w:pPr>
            <w:r w:rsidRPr="00223463">
              <w:rPr>
                <w:rFonts w:eastAsia="MS Mincho" w:cstheme="minorHAnsi"/>
                <w:u w:val="single"/>
              </w:rPr>
              <w:t>Specialist population:</w:t>
            </w:r>
            <w:r w:rsidRPr="00223463">
              <w:rPr>
                <w:rFonts w:eastAsia="MS Mincho" w:cstheme="minorHAnsi"/>
              </w:rPr>
              <w:t xml:space="preserve"> participants psychiatric cohort (n= 4074), non-psychiatric </w:t>
            </w:r>
            <w:r w:rsidRPr="00223463">
              <w:rPr>
                <w:rFonts w:eastAsia="MS Mincho" w:cstheme="minorHAnsi"/>
              </w:rPr>
              <w:lastRenderedPageBreak/>
              <w:t>cohort (n= 3984)</w:t>
            </w:r>
          </w:p>
        </w:tc>
        <w:tc>
          <w:tcPr>
            <w:tcW w:w="1307" w:type="pct"/>
            <w:shd w:val="clear" w:color="auto" w:fill="auto"/>
            <w:tcMar>
              <w:left w:w="28" w:type="dxa"/>
              <w:right w:w="28" w:type="dxa"/>
            </w:tcMar>
          </w:tcPr>
          <w:p w:rsidR="0002227D" w:rsidRPr="00223463" w:rsidRDefault="0002227D" w:rsidP="00E5419D">
            <w:pPr>
              <w:pStyle w:val="Tablewriting"/>
              <w:keepNext/>
              <w:rPr>
                <w:rFonts w:eastAsia="MS Mincho" w:cstheme="minorHAnsi"/>
              </w:rPr>
            </w:pPr>
            <w:r w:rsidRPr="00223463">
              <w:rPr>
                <w:rFonts w:eastAsia="MS Mincho" w:cstheme="minorHAnsi"/>
              </w:rPr>
              <w:lastRenderedPageBreak/>
              <w:t>56% female</w:t>
            </w:r>
            <w:r w:rsidR="00060E7D">
              <w:rPr>
                <w:rFonts w:eastAsia="MS Mincho" w:cstheme="minorHAnsi"/>
              </w:rPr>
              <w:t>,</w:t>
            </w:r>
            <w:r w:rsidRPr="00223463">
              <w:rPr>
                <w:rFonts w:eastAsia="MS Mincho" w:cstheme="minorHAnsi"/>
              </w:rPr>
              <w:t xml:space="preserve"> average age 46.5</w:t>
            </w:r>
            <w:r w:rsidR="00060E7D">
              <w:rPr>
                <w:rFonts w:eastAsia="MS Mincho" w:cstheme="minorHAnsi"/>
              </w:rPr>
              <w:t xml:space="preserve"> years,</w:t>
            </w:r>
            <w:r w:rsidRPr="00223463">
              <w:rPr>
                <w:rFonts w:eastAsia="MS Mincho" w:cstheme="minorHAnsi"/>
              </w:rPr>
              <w:t xml:space="preserve"> average cigarettes per day 21, mean FTND 5.8</w:t>
            </w:r>
          </w:p>
          <w:p w:rsidR="0002227D" w:rsidRPr="00223463" w:rsidRDefault="0002227D" w:rsidP="00E5419D">
            <w:pPr>
              <w:pStyle w:val="Tablewriting"/>
              <w:keepNext/>
              <w:rPr>
                <w:rFonts w:eastAsia="MS Mincho" w:cstheme="minorHAnsi"/>
              </w:rPr>
            </w:pPr>
          </w:p>
          <w:p w:rsidR="0002227D" w:rsidRPr="00223463" w:rsidRDefault="0002227D" w:rsidP="00E5419D">
            <w:pPr>
              <w:pStyle w:val="Tablewriting"/>
              <w:keepNext/>
              <w:rPr>
                <w:rFonts w:eastAsia="MS Mincho" w:cstheme="minorHAnsi"/>
              </w:rPr>
            </w:pPr>
            <w:r w:rsidRPr="00223463">
              <w:rPr>
                <w:rFonts w:eastAsia="MS Mincho" w:cstheme="minorHAnsi"/>
              </w:rPr>
              <w:t>Participants were included in the psychiatric cohort if they met</w:t>
            </w:r>
          </w:p>
          <w:p w:rsidR="0002227D" w:rsidRPr="00223463" w:rsidRDefault="0002227D" w:rsidP="00E5419D">
            <w:pPr>
              <w:pStyle w:val="Tablewriting"/>
              <w:keepNext/>
              <w:rPr>
                <w:rFonts w:eastAsia="MS Mincho" w:cstheme="minorHAnsi"/>
              </w:rPr>
            </w:pPr>
            <w:r w:rsidRPr="00223463">
              <w:rPr>
                <w:rFonts w:eastAsia="MS Mincho" w:cstheme="minorHAnsi"/>
              </w:rPr>
              <w:t>Diagnostic and Statistical Manual of DSM-IV-TR diagnostic</w:t>
            </w:r>
            <w:r w:rsidR="005E0482">
              <w:rPr>
                <w:rFonts w:eastAsia="MS Mincho" w:cstheme="minorHAnsi"/>
              </w:rPr>
              <w:t xml:space="preserve"> </w:t>
            </w:r>
            <w:r w:rsidRPr="00223463">
              <w:rPr>
                <w:rFonts w:eastAsia="MS Mincho" w:cstheme="minorHAnsi"/>
              </w:rPr>
              <w:t>criteria for mood disorders including major depressive disorder or bipolar disorder; anxiety disorders</w:t>
            </w:r>
          </w:p>
          <w:p w:rsidR="0002227D" w:rsidRPr="00223463" w:rsidRDefault="0002227D" w:rsidP="00E5419D">
            <w:pPr>
              <w:pStyle w:val="Tablewriting"/>
              <w:keepNext/>
              <w:rPr>
                <w:rFonts w:eastAsia="MS Mincho" w:cstheme="minorHAnsi"/>
              </w:rPr>
            </w:pPr>
            <w:r w:rsidRPr="00223463">
              <w:rPr>
                <w:rFonts w:eastAsia="MS Mincho" w:cstheme="minorHAnsi"/>
              </w:rPr>
              <w:lastRenderedPageBreak/>
              <w:t>including panic disorder, with or without agoraphobia, post-traumatic stress disorder, obsessive-</w:t>
            </w:r>
            <w:r w:rsidR="005E0482">
              <w:rPr>
                <w:rFonts w:eastAsia="MS Mincho" w:cstheme="minorHAnsi"/>
              </w:rPr>
              <w:t xml:space="preserve"> </w:t>
            </w:r>
            <w:r w:rsidRPr="00223463">
              <w:rPr>
                <w:rFonts w:eastAsia="MS Mincho" w:cstheme="minorHAnsi"/>
              </w:rPr>
              <w:t>compulsive disorder, social phobia, and generalized anxiety disorder; psychotic disorders including</w:t>
            </w:r>
          </w:p>
          <w:p w:rsidR="0002227D" w:rsidRPr="00223463" w:rsidRDefault="0002227D" w:rsidP="00E5419D">
            <w:pPr>
              <w:pStyle w:val="Tablewriting"/>
              <w:keepNext/>
              <w:rPr>
                <w:rFonts w:eastAsia="MS Mincho" w:cstheme="minorHAnsi"/>
              </w:rPr>
            </w:pPr>
            <w:r w:rsidRPr="00223463">
              <w:rPr>
                <w:rFonts w:eastAsia="MS Mincho" w:cstheme="minorHAnsi"/>
              </w:rPr>
              <w:t>schizophrenia and schizoaffective disorders; or borderline personality disorder. Participants in the</w:t>
            </w:r>
          </w:p>
          <w:p w:rsidR="0002227D" w:rsidRPr="00223463" w:rsidRDefault="0002227D" w:rsidP="00E5419D">
            <w:pPr>
              <w:pStyle w:val="Tablewriting"/>
              <w:keepNext/>
              <w:rPr>
                <w:rFonts w:eastAsia="MS Mincho" w:cstheme="minorHAnsi"/>
              </w:rPr>
            </w:pPr>
            <w:r w:rsidRPr="00223463">
              <w:rPr>
                <w:rFonts w:eastAsia="MS Mincho" w:cstheme="minorHAnsi"/>
              </w:rPr>
              <w:t>non-psychiatric cohort had no confirmed history of DSM-IV-TR Axis I or II disorders.</w:t>
            </w:r>
          </w:p>
        </w:tc>
        <w:tc>
          <w:tcPr>
            <w:tcW w:w="1260" w:type="pct"/>
            <w:shd w:val="clear" w:color="auto" w:fill="auto"/>
          </w:tcPr>
          <w:p w:rsidR="0002227D" w:rsidRPr="00223463" w:rsidRDefault="0002227D" w:rsidP="00C324F3">
            <w:pPr>
              <w:pStyle w:val="Tablewriting"/>
              <w:keepNext/>
              <w:numPr>
                <w:ilvl w:val="0"/>
                <w:numId w:val="9"/>
              </w:numPr>
              <w:rPr>
                <w:rFonts w:eastAsia="MS Mincho" w:cstheme="minorHAnsi"/>
              </w:rPr>
            </w:pPr>
            <w:r w:rsidRPr="00223463">
              <w:rPr>
                <w:rFonts w:eastAsia="MS Mincho" w:cstheme="minorHAnsi"/>
              </w:rPr>
              <w:lastRenderedPageBreak/>
              <w:t>Bupropion sustained release and placebo varenicline and placebo nicotine patch (150 mg twice a day for 12 weeks)</w:t>
            </w:r>
          </w:p>
          <w:p w:rsidR="0002227D" w:rsidRPr="00223463" w:rsidRDefault="0002227D" w:rsidP="00C324F3">
            <w:pPr>
              <w:pStyle w:val="Tablewriting"/>
              <w:keepNext/>
              <w:numPr>
                <w:ilvl w:val="0"/>
                <w:numId w:val="9"/>
              </w:numPr>
              <w:rPr>
                <w:rFonts w:eastAsia="MS Mincho" w:cstheme="minorHAnsi"/>
              </w:rPr>
            </w:pPr>
            <w:r w:rsidRPr="00223463">
              <w:rPr>
                <w:rFonts w:eastAsia="MS Mincho" w:cstheme="minorHAnsi"/>
              </w:rPr>
              <w:t>Varenicline and placebo bupropion sustained release and placebo nicotine patch (1 mg twice a day for 12 weeks)</w:t>
            </w:r>
          </w:p>
          <w:p w:rsidR="0002227D" w:rsidRPr="00223463" w:rsidRDefault="0002227D" w:rsidP="00C324F3">
            <w:pPr>
              <w:pStyle w:val="Tablewriting"/>
              <w:keepNext/>
              <w:numPr>
                <w:ilvl w:val="0"/>
                <w:numId w:val="9"/>
              </w:numPr>
              <w:rPr>
                <w:rFonts w:eastAsia="MS Mincho" w:cstheme="minorHAnsi"/>
              </w:rPr>
            </w:pPr>
            <w:r w:rsidRPr="00223463">
              <w:rPr>
                <w:rFonts w:eastAsia="MS Mincho" w:cstheme="minorHAnsi"/>
              </w:rPr>
              <w:lastRenderedPageBreak/>
              <w:t>Transdermal nicotine patch and placebo varenicline and placebo bupropion sustained release (21 mg per day with taper for 12 weeks)</w:t>
            </w:r>
          </w:p>
          <w:p w:rsidR="0002227D" w:rsidRPr="00223463" w:rsidRDefault="0002227D" w:rsidP="00C324F3">
            <w:pPr>
              <w:pStyle w:val="Tablewriting"/>
              <w:keepNext/>
              <w:numPr>
                <w:ilvl w:val="0"/>
                <w:numId w:val="9"/>
              </w:numPr>
              <w:rPr>
                <w:rFonts w:eastAsia="MS Mincho" w:cstheme="minorHAnsi"/>
              </w:rPr>
            </w:pPr>
            <w:r w:rsidRPr="00223463">
              <w:rPr>
                <w:rFonts w:eastAsia="MS Mincho" w:cstheme="minorHAnsi"/>
              </w:rPr>
              <w:t>Placebo bupropion sustained release and placebo varenicline and placebo nicotine patch for 12 weeks</w:t>
            </w:r>
          </w:p>
          <w:p w:rsidR="0002227D" w:rsidRPr="00223463" w:rsidRDefault="0002227D" w:rsidP="00E5419D">
            <w:pPr>
              <w:pStyle w:val="Tablewriting"/>
              <w:keepNext/>
              <w:rPr>
                <w:rFonts w:eastAsia="MS Mincho" w:cstheme="minorHAnsi"/>
              </w:rPr>
            </w:pPr>
          </w:p>
          <w:p w:rsidR="0002227D" w:rsidRPr="00223463" w:rsidRDefault="0002227D" w:rsidP="00E5419D">
            <w:pPr>
              <w:pStyle w:val="Tablewriting"/>
              <w:keepNext/>
              <w:rPr>
                <w:rFonts w:eastAsia="MS Mincho" w:cstheme="minorHAnsi"/>
              </w:rPr>
            </w:pPr>
            <w:r w:rsidRPr="00223463">
              <w:rPr>
                <w:rFonts w:eastAsia="MS Mincho" w:cstheme="minorHAnsi"/>
                <w:u w:val="single"/>
              </w:rPr>
              <w:t>Common components:</w:t>
            </w:r>
            <w:r w:rsidRPr="00223463">
              <w:rPr>
                <w:rFonts w:eastAsia="MS Mincho" w:cstheme="minorHAnsi"/>
              </w:rPr>
              <w:t xml:space="preserve"> smoking cessation counselling consisting of 10-minute sessions at each of the</w:t>
            </w:r>
            <w:r w:rsidR="00A17B14">
              <w:rPr>
                <w:rFonts w:eastAsia="MS Mincho" w:cstheme="minorHAnsi"/>
              </w:rPr>
              <w:t xml:space="preserve"> </w:t>
            </w:r>
            <w:r w:rsidRPr="00223463">
              <w:rPr>
                <w:rFonts w:eastAsia="MS Mincho" w:cstheme="minorHAnsi"/>
              </w:rPr>
              <w:t>15 clinic visits, totalling 2 hours and 30 minutes</w:t>
            </w:r>
            <w:r w:rsidR="00A17B14">
              <w:rPr>
                <w:rFonts w:eastAsia="MS Mincho" w:cstheme="minorHAnsi"/>
              </w:rPr>
              <w:t>.</w:t>
            </w:r>
          </w:p>
        </w:tc>
        <w:tc>
          <w:tcPr>
            <w:tcW w:w="872" w:type="pct"/>
            <w:shd w:val="clear" w:color="auto" w:fill="auto"/>
            <w:tcMar>
              <w:left w:w="28" w:type="dxa"/>
              <w:right w:w="28" w:type="dxa"/>
            </w:tcMar>
          </w:tcPr>
          <w:p w:rsidR="0002227D" w:rsidRPr="00223463" w:rsidRDefault="0002227D" w:rsidP="00E5419D">
            <w:pPr>
              <w:pStyle w:val="Tablewriting"/>
              <w:keepNext/>
              <w:rPr>
                <w:rFonts w:eastAsia="MS Mincho" w:cstheme="minorHAnsi"/>
              </w:rPr>
            </w:pPr>
            <w:r w:rsidRPr="00223463">
              <w:rPr>
                <w:rFonts w:eastAsia="MS Mincho" w:cstheme="minorHAnsi"/>
                <w:u w:val="single"/>
              </w:rPr>
              <w:lastRenderedPageBreak/>
              <w:t>Efficacy:</w:t>
            </w:r>
            <w:r w:rsidRPr="00223463">
              <w:rPr>
                <w:rFonts w:eastAsia="MS Mincho" w:cstheme="minorHAnsi"/>
              </w:rPr>
              <w:t xml:space="preserve"> continuous abstinence from week 9 to week 24 post-quit date (validated by CO</w:t>
            </w:r>
            <w:r w:rsidR="00310437">
              <w:rPr>
                <w:rFonts w:eastAsia="MS Mincho" w:cstheme="minorHAnsi"/>
              </w:rPr>
              <w:t xml:space="preserve"> </w:t>
            </w:r>
            <w:r w:rsidR="000B6AB4" w:rsidRPr="00D96BA4">
              <w:rPr>
                <w:rFonts w:eastAsia="MS Mincho"/>
              </w:rPr>
              <w:t>≤</w:t>
            </w:r>
            <w:r w:rsidRPr="00223463">
              <w:rPr>
                <w:rFonts w:eastAsia="MS Mincho" w:cstheme="minorHAnsi"/>
              </w:rPr>
              <w:t xml:space="preserve"> 10 ppm)</w:t>
            </w:r>
          </w:p>
          <w:p w:rsidR="0002227D" w:rsidRPr="00223463" w:rsidRDefault="0002227D" w:rsidP="00E5419D">
            <w:pPr>
              <w:pStyle w:val="Tablewriting"/>
              <w:keepNext/>
              <w:rPr>
                <w:rFonts w:eastAsia="MS Mincho" w:cstheme="minorHAnsi"/>
              </w:rPr>
            </w:pPr>
            <w:r w:rsidRPr="00223463">
              <w:rPr>
                <w:rFonts w:eastAsia="MS Mincho" w:cstheme="minorHAnsi"/>
                <w:u w:val="single"/>
              </w:rPr>
              <w:t>Safety:</w:t>
            </w:r>
            <w:r w:rsidRPr="00223463">
              <w:rPr>
                <w:rFonts w:eastAsia="MS Mincho" w:cstheme="minorHAnsi"/>
              </w:rPr>
              <w:t xml:space="preserve"> measured within 12-week treatment period, or for 30 days thereafter</w:t>
            </w:r>
          </w:p>
        </w:tc>
      </w:tr>
      <w:tr w:rsidR="00A31D77" w:rsidRPr="00223463" w:rsidTr="000728F8">
        <w:trPr>
          <w:trHeight w:val="149"/>
        </w:trPr>
        <w:tc>
          <w:tcPr>
            <w:tcW w:w="483" w:type="pct"/>
            <w:tcMar>
              <w:left w:w="28" w:type="dxa"/>
              <w:right w:w="28" w:type="dxa"/>
            </w:tcMar>
          </w:tcPr>
          <w:p w:rsidR="0002227D" w:rsidRPr="00223463" w:rsidRDefault="0002227D" w:rsidP="00E5419D">
            <w:pPr>
              <w:pStyle w:val="Tablewriting"/>
              <w:keepNext/>
              <w:rPr>
                <w:rFonts w:eastAsia="MS Mincho" w:cstheme="minorHAnsi"/>
              </w:rPr>
            </w:pPr>
            <w:r w:rsidRPr="00AD265F">
              <w:rPr>
                <w:rFonts w:eastAsia="MS Mincho" w:cstheme="minorHAnsi"/>
              </w:rPr>
              <w:t xml:space="preserve">Gariti </w:t>
            </w:r>
            <w:r w:rsidR="0065538B" w:rsidRPr="00AD265F">
              <w:rPr>
                <w:rFonts w:eastAsia="MS Mincho" w:cstheme="minorHAnsi"/>
              </w:rPr>
              <w:t>(</w:t>
            </w:r>
            <w:r w:rsidRPr="00AD265F">
              <w:rPr>
                <w:rFonts w:eastAsia="MS Mincho" w:cstheme="minorHAnsi"/>
              </w:rPr>
              <w:t>2009</w:t>
            </w:r>
            <w:r w:rsidR="0065538B" w:rsidRPr="00AD265F">
              <w:rPr>
                <w:rFonts w:eastAsia="MS Mincho" w:cstheme="minorHAnsi"/>
              </w:rPr>
              <w:t>)</w:t>
            </w:r>
          </w:p>
        </w:tc>
        <w:tc>
          <w:tcPr>
            <w:tcW w:w="255" w:type="pct"/>
          </w:tcPr>
          <w:p w:rsidR="0002227D" w:rsidRPr="00223463" w:rsidRDefault="0002227D" w:rsidP="00E5419D">
            <w:pPr>
              <w:pStyle w:val="Tablewriting"/>
              <w:keepNext/>
              <w:rPr>
                <w:rFonts w:eastAsia="MS Mincho" w:cstheme="minorHAnsi"/>
              </w:rPr>
            </w:pPr>
            <w:r w:rsidRPr="00223463">
              <w:rPr>
                <w:rFonts w:eastAsia="MS Mincho" w:cstheme="minorHAnsi"/>
              </w:rPr>
              <w:t>RCT</w:t>
            </w:r>
          </w:p>
        </w:tc>
        <w:tc>
          <w:tcPr>
            <w:tcW w:w="436" w:type="pct"/>
          </w:tcPr>
          <w:p w:rsidR="0002227D" w:rsidRPr="00223463" w:rsidRDefault="0002227D" w:rsidP="00E5419D">
            <w:pPr>
              <w:pStyle w:val="Tablewriting"/>
              <w:keepNext/>
              <w:rPr>
                <w:rFonts w:eastAsia="MS Mincho" w:cstheme="minorHAnsi"/>
              </w:rPr>
            </w:pPr>
            <w:r>
              <w:rPr>
                <w:rFonts w:eastAsia="MS Mincho" w:cstheme="minorHAnsi"/>
              </w:rPr>
              <w:t>USA</w:t>
            </w:r>
          </w:p>
        </w:tc>
        <w:tc>
          <w:tcPr>
            <w:tcW w:w="387" w:type="pct"/>
            <w:tcMar>
              <w:left w:w="28" w:type="dxa"/>
              <w:right w:w="28" w:type="dxa"/>
            </w:tcMar>
          </w:tcPr>
          <w:p w:rsidR="0002227D" w:rsidRPr="00223463" w:rsidRDefault="0002227D" w:rsidP="00E5419D">
            <w:pPr>
              <w:pStyle w:val="Tablewriting"/>
              <w:keepNext/>
              <w:rPr>
                <w:rFonts w:eastAsia="MS Mincho" w:cstheme="minorHAnsi"/>
              </w:rPr>
            </w:pPr>
            <w:r>
              <w:rPr>
                <w:rFonts w:eastAsia="MS Mincho" w:cstheme="minorHAnsi"/>
              </w:rPr>
              <w:t>N=260</w:t>
            </w:r>
          </w:p>
        </w:tc>
        <w:tc>
          <w:tcPr>
            <w:tcW w:w="1307" w:type="pct"/>
            <w:tcMar>
              <w:left w:w="28" w:type="dxa"/>
              <w:right w:w="28" w:type="dxa"/>
            </w:tcMar>
          </w:tcPr>
          <w:p w:rsidR="0002227D" w:rsidRPr="004C7597" w:rsidRDefault="0002227D" w:rsidP="00E5419D">
            <w:pPr>
              <w:pStyle w:val="Tablewriting"/>
              <w:keepNext/>
              <w:rPr>
                <w:rFonts w:eastAsia="MS Mincho" w:cstheme="minorHAnsi"/>
              </w:rPr>
            </w:pPr>
            <w:r>
              <w:rPr>
                <w:rFonts w:eastAsia="MS Mincho" w:cstheme="minorHAnsi"/>
              </w:rPr>
              <w:t>L</w:t>
            </w:r>
            <w:r w:rsidRPr="004C7597">
              <w:rPr>
                <w:rFonts w:eastAsia="MS Mincho" w:cstheme="minorHAnsi"/>
              </w:rPr>
              <w:t>ight smokers (6-15 cigarettes per day) motivated to quit</w:t>
            </w:r>
            <w:r w:rsidR="00060E7D">
              <w:rPr>
                <w:rFonts w:eastAsia="MS Mincho" w:cstheme="minorHAnsi"/>
              </w:rPr>
              <w:t>,</w:t>
            </w:r>
            <w:r w:rsidRPr="004C7597">
              <w:rPr>
                <w:rFonts w:eastAsia="MS Mincho" w:cstheme="minorHAnsi"/>
              </w:rPr>
              <w:t xml:space="preserve"> 57% female, average age 54</w:t>
            </w:r>
            <w:r w:rsidR="00060E7D">
              <w:rPr>
                <w:rFonts w:eastAsia="MS Mincho" w:cstheme="minorHAnsi"/>
              </w:rPr>
              <w:t>,</w:t>
            </w:r>
            <w:r w:rsidRPr="004C7597">
              <w:rPr>
                <w:rFonts w:eastAsia="MS Mincho" w:cstheme="minorHAnsi"/>
              </w:rPr>
              <w:t xml:space="preserve"> average cigarettes</w:t>
            </w:r>
          </w:p>
          <w:p w:rsidR="0002227D" w:rsidRPr="00223463" w:rsidRDefault="0002227D" w:rsidP="00E5419D">
            <w:pPr>
              <w:pStyle w:val="Tablewriting"/>
              <w:keepNext/>
              <w:rPr>
                <w:rFonts w:eastAsia="MS Mincho" w:cstheme="minorHAnsi"/>
              </w:rPr>
            </w:pPr>
            <w:r w:rsidRPr="004C7597">
              <w:rPr>
                <w:rFonts w:eastAsia="MS Mincho" w:cstheme="minorHAnsi"/>
              </w:rPr>
              <w:t>per day 11</w:t>
            </w:r>
            <w:r w:rsidR="00060E7D">
              <w:rPr>
                <w:rFonts w:eastAsia="MS Mincho" w:cstheme="minorHAnsi"/>
              </w:rPr>
              <w:t>,</w:t>
            </w:r>
            <w:r w:rsidRPr="004C7597">
              <w:rPr>
                <w:rFonts w:eastAsia="MS Mincho" w:cstheme="minorHAnsi"/>
              </w:rPr>
              <w:t xml:space="preserve"> average FTND 4</w:t>
            </w:r>
          </w:p>
        </w:tc>
        <w:tc>
          <w:tcPr>
            <w:tcW w:w="1260" w:type="pct"/>
          </w:tcPr>
          <w:p w:rsidR="0002227D" w:rsidRDefault="0002227D" w:rsidP="00C324F3">
            <w:pPr>
              <w:pStyle w:val="Tablewriting"/>
              <w:keepNext/>
              <w:numPr>
                <w:ilvl w:val="0"/>
                <w:numId w:val="56"/>
              </w:numPr>
              <w:rPr>
                <w:rFonts w:eastAsia="MS Mincho" w:cstheme="minorHAnsi"/>
              </w:rPr>
            </w:pPr>
            <w:r w:rsidRPr="004C7597">
              <w:rPr>
                <w:rFonts w:eastAsia="MS Mincho" w:cstheme="minorHAnsi"/>
              </w:rPr>
              <w:t>Bupropion SR and placebo patch. Bupropion for 9 weeks. Patch for 8 weeks. 10 weeks individualized</w:t>
            </w:r>
            <w:r>
              <w:rPr>
                <w:rFonts w:eastAsia="MS Mincho" w:cstheme="minorHAnsi"/>
              </w:rPr>
              <w:t xml:space="preserve"> </w:t>
            </w:r>
            <w:r w:rsidRPr="004C7597">
              <w:rPr>
                <w:rFonts w:eastAsia="MS Mincho" w:cstheme="minorHAnsi"/>
              </w:rPr>
              <w:t>counselling sessions</w:t>
            </w:r>
          </w:p>
          <w:p w:rsidR="0002227D" w:rsidRDefault="0002227D" w:rsidP="00C324F3">
            <w:pPr>
              <w:pStyle w:val="Tablewriting"/>
              <w:keepNext/>
              <w:numPr>
                <w:ilvl w:val="0"/>
                <w:numId w:val="56"/>
              </w:numPr>
              <w:rPr>
                <w:rFonts w:eastAsia="MS Mincho" w:cstheme="minorHAnsi"/>
              </w:rPr>
            </w:pPr>
            <w:r w:rsidRPr="004C7597">
              <w:rPr>
                <w:rFonts w:eastAsia="MS Mincho" w:cstheme="minorHAnsi"/>
              </w:rPr>
              <w:t>Bupropion SR and placebo patch. Bupropion for 9 weeks. Patch for 8 weeks. Four 5-10 minutes counselling</w:t>
            </w:r>
            <w:r>
              <w:rPr>
                <w:rFonts w:eastAsia="MS Mincho" w:cstheme="minorHAnsi"/>
              </w:rPr>
              <w:t xml:space="preserve"> </w:t>
            </w:r>
            <w:r w:rsidRPr="004C7597">
              <w:rPr>
                <w:rFonts w:eastAsia="MS Mincho" w:cstheme="minorHAnsi"/>
              </w:rPr>
              <w:t>sessions</w:t>
            </w:r>
          </w:p>
          <w:p w:rsidR="0002227D" w:rsidRDefault="0002227D" w:rsidP="00C324F3">
            <w:pPr>
              <w:pStyle w:val="Tablewriting"/>
              <w:keepNext/>
              <w:numPr>
                <w:ilvl w:val="0"/>
                <w:numId w:val="56"/>
              </w:numPr>
              <w:rPr>
                <w:rFonts w:eastAsia="MS Mincho" w:cstheme="minorHAnsi"/>
              </w:rPr>
            </w:pPr>
            <w:r w:rsidRPr="004C7597">
              <w:rPr>
                <w:rFonts w:eastAsia="MS Mincho" w:cstheme="minorHAnsi"/>
              </w:rPr>
              <w:t>Bupropion SR and nicotine patch. Bupropion for 9 weeks. Patch for 8 weeks. 10 weeks individualized</w:t>
            </w:r>
            <w:r>
              <w:rPr>
                <w:rFonts w:eastAsia="MS Mincho" w:cstheme="minorHAnsi"/>
              </w:rPr>
              <w:t xml:space="preserve"> </w:t>
            </w:r>
            <w:r w:rsidRPr="004C7597">
              <w:rPr>
                <w:rFonts w:eastAsia="MS Mincho" w:cstheme="minorHAnsi"/>
              </w:rPr>
              <w:t>counselling sessions</w:t>
            </w:r>
          </w:p>
          <w:p w:rsidR="0002227D" w:rsidRPr="004C7597" w:rsidRDefault="0002227D" w:rsidP="00C324F3">
            <w:pPr>
              <w:pStyle w:val="Tablewriting"/>
              <w:keepNext/>
              <w:numPr>
                <w:ilvl w:val="0"/>
                <w:numId w:val="56"/>
              </w:numPr>
              <w:rPr>
                <w:rFonts w:eastAsia="MS Mincho" w:cstheme="minorHAnsi"/>
              </w:rPr>
            </w:pPr>
            <w:r w:rsidRPr="004C7597">
              <w:rPr>
                <w:rFonts w:eastAsia="MS Mincho" w:cstheme="minorHAnsi"/>
              </w:rPr>
              <w:t>Bupropion SR and nicotine patch. Bupropion for 9 weeks. Patch for 8 weeks. Four 5-10 minutes</w:t>
            </w:r>
            <w:r w:rsidR="00830CFB">
              <w:rPr>
                <w:rFonts w:eastAsia="MS Mincho" w:cstheme="minorHAnsi"/>
              </w:rPr>
              <w:t xml:space="preserve"> </w:t>
            </w:r>
            <w:r w:rsidRPr="004C7597">
              <w:rPr>
                <w:rFonts w:eastAsia="MS Mincho" w:cstheme="minorHAnsi"/>
              </w:rPr>
              <w:t>counselling</w:t>
            </w:r>
            <w:r>
              <w:rPr>
                <w:rFonts w:eastAsia="MS Mincho" w:cstheme="minorHAnsi"/>
              </w:rPr>
              <w:t xml:space="preserve"> </w:t>
            </w:r>
            <w:r w:rsidRPr="004C7597">
              <w:rPr>
                <w:rFonts w:eastAsia="MS Mincho" w:cstheme="minorHAnsi"/>
              </w:rPr>
              <w:t>sessions</w:t>
            </w:r>
          </w:p>
        </w:tc>
        <w:tc>
          <w:tcPr>
            <w:tcW w:w="872" w:type="pct"/>
            <w:tcMar>
              <w:left w:w="28" w:type="dxa"/>
              <w:right w:w="28" w:type="dxa"/>
            </w:tcMar>
          </w:tcPr>
          <w:p w:rsidR="0002227D" w:rsidRPr="004C7597" w:rsidRDefault="0002227D" w:rsidP="00E5419D">
            <w:pPr>
              <w:pStyle w:val="Tablewriting"/>
              <w:keepNext/>
              <w:rPr>
                <w:rFonts w:eastAsia="MS Mincho" w:cstheme="minorHAnsi"/>
              </w:rPr>
            </w:pPr>
            <w:r w:rsidRPr="004C7597">
              <w:rPr>
                <w:rFonts w:eastAsia="MS Mincho" w:cstheme="minorHAnsi"/>
                <w:u w:val="single"/>
              </w:rPr>
              <w:t>Efficacy:</w:t>
            </w:r>
            <w:r w:rsidRPr="004C7597">
              <w:rPr>
                <w:rFonts w:eastAsia="MS Mincho" w:cstheme="minorHAnsi"/>
              </w:rPr>
              <w:t xml:space="preserve"> 7-day </w:t>
            </w:r>
            <w:r w:rsidR="00060E7D">
              <w:rPr>
                <w:rFonts w:eastAsia="MS Mincho" w:cstheme="minorHAnsi"/>
              </w:rPr>
              <w:t>PPA</w:t>
            </w:r>
            <w:r w:rsidRPr="004C7597">
              <w:rPr>
                <w:rFonts w:eastAsia="MS Mincho" w:cstheme="minorHAnsi"/>
              </w:rPr>
              <w:t xml:space="preserve"> at 12 months. Validated by CO &lt; 10 ppm;</w:t>
            </w:r>
            <w:r>
              <w:rPr>
                <w:rFonts w:eastAsia="MS Mincho" w:cstheme="minorHAnsi"/>
              </w:rPr>
              <w:t xml:space="preserve"> </w:t>
            </w:r>
            <w:r w:rsidRPr="004C7597">
              <w:rPr>
                <w:rFonts w:eastAsia="MS Mincho" w:cstheme="minorHAnsi"/>
              </w:rPr>
              <w:t>urinary cotinine &lt; 200 ng/mL</w:t>
            </w:r>
          </w:p>
          <w:p w:rsidR="0002227D" w:rsidRPr="00223463" w:rsidRDefault="0002227D" w:rsidP="00E5419D">
            <w:pPr>
              <w:pStyle w:val="Tablewriting"/>
              <w:keepNext/>
              <w:rPr>
                <w:rFonts w:eastAsia="MS Mincho" w:cstheme="minorHAnsi"/>
              </w:rPr>
            </w:pPr>
            <w:r w:rsidRPr="004C7597">
              <w:rPr>
                <w:rFonts w:eastAsia="MS Mincho" w:cstheme="minorHAnsi"/>
                <w:u w:val="single"/>
              </w:rPr>
              <w:t>Safety:</w:t>
            </w:r>
            <w:r>
              <w:rPr>
                <w:rFonts w:eastAsia="MS Mincho" w:cstheme="minorHAnsi"/>
              </w:rPr>
              <w:t xml:space="preserve"> a</w:t>
            </w:r>
            <w:r w:rsidRPr="004C7597">
              <w:rPr>
                <w:rFonts w:eastAsia="MS Mincho" w:cstheme="minorHAnsi"/>
              </w:rPr>
              <w:t>dverse events: measured for unspecified period</w:t>
            </w:r>
          </w:p>
        </w:tc>
      </w:tr>
      <w:tr w:rsidR="00A31D77" w:rsidRPr="00223463" w:rsidTr="000728F8">
        <w:trPr>
          <w:trHeight w:val="149"/>
        </w:trPr>
        <w:tc>
          <w:tcPr>
            <w:tcW w:w="483" w:type="pct"/>
            <w:tcMar>
              <w:left w:w="28" w:type="dxa"/>
              <w:right w:w="28" w:type="dxa"/>
            </w:tcMar>
          </w:tcPr>
          <w:p w:rsidR="0002227D" w:rsidRPr="00223463" w:rsidRDefault="0002227D" w:rsidP="00E5419D">
            <w:pPr>
              <w:pStyle w:val="Tablewriting"/>
              <w:keepNext/>
              <w:rPr>
                <w:rFonts w:eastAsia="MS Mincho" w:cstheme="minorHAnsi"/>
              </w:rPr>
            </w:pPr>
            <w:r w:rsidRPr="00223463">
              <w:rPr>
                <w:rFonts w:eastAsia="MS Mincho" w:cstheme="minorHAnsi"/>
              </w:rPr>
              <w:t xml:space="preserve">Gilbert </w:t>
            </w:r>
            <w:r w:rsidR="0065538B">
              <w:rPr>
                <w:rFonts w:eastAsia="MS Mincho" w:cstheme="minorHAnsi"/>
              </w:rPr>
              <w:t>(</w:t>
            </w:r>
            <w:r w:rsidRPr="00223463">
              <w:rPr>
                <w:rFonts w:eastAsia="MS Mincho" w:cstheme="minorHAnsi"/>
              </w:rPr>
              <w:t>2019</w:t>
            </w:r>
            <w:r w:rsidR="0065538B">
              <w:rPr>
                <w:rFonts w:eastAsia="MS Mincho" w:cstheme="minorHAnsi"/>
              </w:rPr>
              <w:t>)</w:t>
            </w:r>
          </w:p>
        </w:tc>
        <w:tc>
          <w:tcPr>
            <w:tcW w:w="255" w:type="pct"/>
          </w:tcPr>
          <w:p w:rsidR="0002227D" w:rsidRPr="00223463" w:rsidRDefault="0002227D" w:rsidP="00E5419D">
            <w:pPr>
              <w:pStyle w:val="Tablewriting"/>
              <w:keepNext/>
              <w:rPr>
                <w:rFonts w:eastAsia="MS Mincho" w:cstheme="minorHAnsi"/>
              </w:rPr>
            </w:pPr>
            <w:r w:rsidRPr="00223463">
              <w:rPr>
                <w:rFonts w:eastAsia="MS Mincho" w:cstheme="minorHAnsi"/>
              </w:rPr>
              <w:t>RCT</w:t>
            </w:r>
          </w:p>
        </w:tc>
        <w:tc>
          <w:tcPr>
            <w:tcW w:w="436" w:type="pct"/>
          </w:tcPr>
          <w:p w:rsidR="0002227D" w:rsidRPr="00223463" w:rsidRDefault="0002227D" w:rsidP="00E5419D">
            <w:pPr>
              <w:pStyle w:val="Tablewriting"/>
              <w:keepNext/>
              <w:rPr>
                <w:rFonts w:eastAsia="MS Mincho" w:cstheme="minorHAnsi"/>
              </w:rPr>
            </w:pPr>
            <w:r w:rsidRPr="00223463">
              <w:rPr>
                <w:rFonts w:eastAsia="MS Mincho" w:cstheme="minorHAnsi"/>
              </w:rPr>
              <w:t>USA</w:t>
            </w:r>
          </w:p>
        </w:tc>
        <w:tc>
          <w:tcPr>
            <w:tcW w:w="387" w:type="pct"/>
            <w:tcMar>
              <w:left w:w="28" w:type="dxa"/>
              <w:right w:w="28" w:type="dxa"/>
            </w:tcMar>
          </w:tcPr>
          <w:p w:rsidR="0002227D" w:rsidRPr="00223463" w:rsidRDefault="0002227D" w:rsidP="00E5419D">
            <w:pPr>
              <w:pStyle w:val="Tablewriting"/>
              <w:keepNext/>
              <w:rPr>
                <w:rFonts w:eastAsia="MS Mincho" w:cstheme="minorHAnsi"/>
              </w:rPr>
            </w:pPr>
            <w:r w:rsidRPr="00223463">
              <w:rPr>
                <w:rFonts w:eastAsia="MS Mincho" w:cstheme="minorHAnsi"/>
              </w:rPr>
              <w:t>N=105</w:t>
            </w:r>
          </w:p>
        </w:tc>
        <w:tc>
          <w:tcPr>
            <w:tcW w:w="1307" w:type="pct"/>
            <w:tcMar>
              <w:left w:w="28" w:type="dxa"/>
              <w:right w:w="28" w:type="dxa"/>
            </w:tcMar>
          </w:tcPr>
          <w:p w:rsidR="0002227D" w:rsidRPr="00223463" w:rsidRDefault="0002227D" w:rsidP="00E5419D">
            <w:pPr>
              <w:pStyle w:val="Tablewriting"/>
              <w:keepNext/>
              <w:rPr>
                <w:rFonts w:eastAsia="MS Mincho" w:cstheme="minorHAnsi"/>
              </w:rPr>
            </w:pPr>
            <w:r w:rsidRPr="00223463">
              <w:rPr>
                <w:rFonts w:eastAsia="MS Mincho" w:cstheme="minorHAnsi"/>
              </w:rPr>
              <w:t>42% female</w:t>
            </w:r>
            <w:r w:rsidR="00060E7D">
              <w:rPr>
                <w:rFonts w:eastAsia="MS Mincho" w:cstheme="minorHAnsi"/>
              </w:rPr>
              <w:t>,</w:t>
            </w:r>
            <w:r w:rsidRPr="00223463">
              <w:rPr>
                <w:rFonts w:eastAsia="MS Mincho" w:cstheme="minorHAnsi"/>
              </w:rPr>
              <w:t xml:space="preserve"> average age 26.4</w:t>
            </w:r>
            <w:r w:rsidR="00060E7D">
              <w:rPr>
                <w:rFonts w:eastAsia="MS Mincho" w:cstheme="minorHAnsi"/>
              </w:rPr>
              <w:t>,</w:t>
            </w:r>
            <w:r w:rsidRPr="00223463">
              <w:rPr>
                <w:rFonts w:eastAsia="MS Mincho" w:cstheme="minorHAnsi"/>
              </w:rPr>
              <w:t xml:space="preserve"> average cigarettes per day 17.9, mean FTND</w:t>
            </w:r>
          </w:p>
          <w:p w:rsidR="0002227D" w:rsidRPr="00223463" w:rsidRDefault="0002227D" w:rsidP="00E5419D">
            <w:pPr>
              <w:pStyle w:val="Tablewriting"/>
              <w:keepNext/>
              <w:rPr>
                <w:rFonts w:eastAsia="MS Mincho" w:cstheme="minorHAnsi"/>
              </w:rPr>
            </w:pPr>
            <w:r w:rsidRPr="00223463">
              <w:rPr>
                <w:rFonts w:eastAsia="MS Mincho" w:cstheme="minorHAnsi"/>
              </w:rPr>
              <w:t>4.2</w:t>
            </w:r>
          </w:p>
        </w:tc>
        <w:tc>
          <w:tcPr>
            <w:tcW w:w="1260" w:type="pct"/>
          </w:tcPr>
          <w:p w:rsidR="0002227D" w:rsidRPr="00223463" w:rsidRDefault="0002227D" w:rsidP="00C324F3">
            <w:pPr>
              <w:pStyle w:val="Tablewriting"/>
              <w:keepNext/>
              <w:numPr>
                <w:ilvl w:val="0"/>
                <w:numId w:val="23"/>
              </w:numPr>
              <w:rPr>
                <w:rFonts w:eastAsia="MS Mincho" w:cstheme="minorHAnsi"/>
              </w:rPr>
            </w:pPr>
            <w:r w:rsidRPr="00223463">
              <w:rPr>
                <w:rFonts w:eastAsia="MS Mincho" w:cstheme="minorHAnsi"/>
              </w:rPr>
              <w:t>Bupropion SR and placebo nicotine patch. 150 mg pill once daily for 3 days, then twice daily for 56 days, then once daily for three days. Placebo nicotine patch schedule given below</w:t>
            </w:r>
          </w:p>
          <w:p w:rsidR="0002227D" w:rsidRPr="00223463" w:rsidRDefault="0002227D" w:rsidP="00C324F3">
            <w:pPr>
              <w:pStyle w:val="Tablewriting"/>
              <w:keepNext/>
              <w:numPr>
                <w:ilvl w:val="0"/>
                <w:numId w:val="23"/>
              </w:numPr>
              <w:rPr>
                <w:rFonts w:eastAsia="MS Mincho" w:cstheme="minorHAnsi"/>
              </w:rPr>
            </w:pPr>
            <w:r w:rsidRPr="00223463">
              <w:rPr>
                <w:rFonts w:eastAsia="MS Mincho" w:cstheme="minorHAnsi"/>
              </w:rPr>
              <w:t xml:space="preserve">Nicotine patch and placebo bupropion. Beginning on first day of </w:t>
            </w:r>
            <w:r w:rsidRPr="00223463">
              <w:rPr>
                <w:rFonts w:eastAsia="MS Mincho" w:cstheme="minorHAnsi"/>
              </w:rPr>
              <w:lastRenderedPageBreak/>
              <w:t>cessation: 21 mg for 24 days, 14 mg for 14 days, then 7 mg for 7 days. Placebo bupropion schedule as given above</w:t>
            </w:r>
          </w:p>
          <w:p w:rsidR="0002227D" w:rsidRPr="00223463" w:rsidRDefault="0002227D" w:rsidP="00C324F3">
            <w:pPr>
              <w:pStyle w:val="Tablewriting"/>
              <w:keepNext/>
              <w:numPr>
                <w:ilvl w:val="0"/>
                <w:numId w:val="23"/>
              </w:numPr>
              <w:rPr>
                <w:rFonts w:eastAsia="MS Mincho" w:cstheme="minorHAnsi"/>
              </w:rPr>
            </w:pPr>
            <w:r w:rsidRPr="00223463">
              <w:rPr>
                <w:rFonts w:eastAsia="MS Mincho" w:cstheme="minorHAnsi"/>
              </w:rPr>
              <w:t>Matched placebos, according to the schedules given above</w:t>
            </w:r>
          </w:p>
          <w:p w:rsidR="0002227D" w:rsidRPr="00223463" w:rsidRDefault="0002227D" w:rsidP="00E5419D">
            <w:pPr>
              <w:pStyle w:val="Tablewriting"/>
              <w:keepNext/>
              <w:rPr>
                <w:rFonts w:eastAsia="MS Mincho" w:cstheme="minorHAnsi"/>
              </w:rPr>
            </w:pPr>
          </w:p>
          <w:p w:rsidR="0002227D" w:rsidRPr="00223463" w:rsidRDefault="0002227D" w:rsidP="00E5419D">
            <w:pPr>
              <w:pStyle w:val="Tablewriting"/>
              <w:keepNext/>
              <w:rPr>
                <w:rFonts w:eastAsia="MS Mincho" w:cstheme="minorHAnsi"/>
              </w:rPr>
            </w:pPr>
            <w:r w:rsidRPr="00223463">
              <w:rPr>
                <w:rFonts w:eastAsia="MS Mincho" w:cstheme="minorHAnsi"/>
                <w:u w:val="single"/>
              </w:rPr>
              <w:t>Common components:</w:t>
            </w:r>
            <w:r w:rsidRPr="00223463">
              <w:rPr>
                <w:rFonts w:eastAsia="MS Mincho" w:cstheme="minorHAnsi"/>
              </w:rPr>
              <w:t xml:space="preserve"> an abbreviated form of the American Lung Association smoking cessation program</w:t>
            </w:r>
          </w:p>
        </w:tc>
        <w:tc>
          <w:tcPr>
            <w:tcW w:w="872" w:type="pct"/>
            <w:tcMar>
              <w:left w:w="28" w:type="dxa"/>
              <w:right w:w="28" w:type="dxa"/>
            </w:tcMar>
          </w:tcPr>
          <w:p w:rsidR="0002227D" w:rsidRPr="00223463" w:rsidRDefault="0002227D" w:rsidP="00E5419D">
            <w:pPr>
              <w:pStyle w:val="Tablewriting"/>
              <w:keepNext/>
              <w:rPr>
                <w:rFonts w:eastAsia="MS Mincho" w:cstheme="minorHAnsi"/>
              </w:rPr>
            </w:pPr>
            <w:r w:rsidRPr="00223463">
              <w:rPr>
                <w:rFonts w:eastAsia="MS Mincho" w:cstheme="minorHAnsi"/>
                <w:u w:val="single"/>
              </w:rPr>
              <w:lastRenderedPageBreak/>
              <w:t>Efficacy:</w:t>
            </w:r>
            <w:r w:rsidRPr="00223463">
              <w:rPr>
                <w:rFonts w:eastAsia="MS Mincho" w:cstheme="minorHAnsi"/>
              </w:rPr>
              <w:t xml:space="preserve"> prolonged abstinence at 12 months. Validation method not specified</w:t>
            </w:r>
          </w:p>
          <w:p w:rsidR="0002227D" w:rsidRPr="00223463" w:rsidRDefault="0002227D" w:rsidP="00E5419D">
            <w:pPr>
              <w:pStyle w:val="Tablewriting"/>
              <w:keepNext/>
              <w:rPr>
                <w:rFonts w:eastAsia="MS Mincho" w:cstheme="minorHAnsi"/>
              </w:rPr>
            </w:pPr>
            <w:r w:rsidRPr="00223463">
              <w:rPr>
                <w:rFonts w:eastAsia="MS Mincho" w:cstheme="minorHAnsi"/>
                <w:u w:val="single"/>
              </w:rPr>
              <w:t xml:space="preserve">Safety: </w:t>
            </w:r>
            <w:r w:rsidRPr="00223463">
              <w:rPr>
                <w:rFonts w:eastAsia="MS Mincho" w:cstheme="minorHAnsi"/>
              </w:rPr>
              <w:t>measured for 62 days</w:t>
            </w:r>
          </w:p>
        </w:tc>
      </w:tr>
      <w:tr w:rsidR="00A31D77" w:rsidRPr="00223463" w:rsidTr="000728F8">
        <w:trPr>
          <w:trHeight w:val="149"/>
        </w:trPr>
        <w:tc>
          <w:tcPr>
            <w:tcW w:w="483" w:type="pct"/>
            <w:tcMar>
              <w:left w:w="28" w:type="dxa"/>
              <w:right w:w="28" w:type="dxa"/>
            </w:tcMar>
          </w:tcPr>
          <w:p w:rsidR="0002227D" w:rsidRPr="00223463" w:rsidRDefault="0002227D" w:rsidP="00E5419D">
            <w:pPr>
              <w:pStyle w:val="Tablewriting"/>
              <w:keepNext/>
              <w:rPr>
                <w:rFonts w:eastAsia="MS Mincho" w:cstheme="minorHAnsi"/>
              </w:rPr>
            </w:pPr>
            <w:r w:rsidRPr="00060E7D">
              <w:rPr>
                <w:rFonts w:eastAsia="MS Mincho" w:cstheme="minorHAnsi"/>
              </w:rPr>
              <w:t xml:space="preserve">Górecka </w:t>
            </w:r>
            <w:r w:rsidR="0065538B" w:rsidRPr="00060E7D">
              <w:rPr>
                <w:rFonts w:eastAsia="MS Mincho" w:cstheme="minorHAnsi"/>
              </w:rPr>
              <w:t>(</w:t>
            </w:r>
            <w:r w:rsidRPr="00060E7D">
              <w:rPr>
                <w:rFonts w:eastAsia="MS Mincho" w:cstheme="minorHAnsi"/>
              </w:rPr>
              <w:t>2003</w:t>
            </w:r>
            <w:r w:rsidR="0065538B" w:rsidRPr="00060E7D">
              <w:rPr>
                <w:rFonts w:eastAsia="MS Mincho" w:cstheme="minorHAnsi"/>
              </w:rPr>
              <w:t>)</w:t>
            </w:r>
          </w:p>
        </w:tc>
        <w:tc>
          <w:tcPr>
            <w:tcW w:w="255" w:type="pct"/>
          </w:tcPr>
          <w:p w:rsidR="0002227D" w:rsidRPr="00223463" w:rsidRDefault="0002227D" w:rsidP="00E5419D">
            <w:pPr>
              <w:pStyle w:val="Tablewriting"/>
              <w:keepNext/>
              <w:rPr>
                <w:rFonts w:eastAsia="MS Mincho" w:cstheme="minorHAnsi"/>
              </w:rPr>
            </w:pPr>
            <w:r w:rsidRPr="00223463">
              <w:rPr>
                <w:rFonts w:eastAsia="MS Mincho" w:cstheme="minorHAnsi"/>
              </w:rPr>
              <w:t>RCT</w:t>
            </w:r>
          </w:p>
        </w:tc>
        <w:tc>
          <w:tcPr>
            <w:tcW w:w="436" w:type="pct"/>
          </w:tcPr>
          <w:p w:rsidR="0002227D" w:rsidRPr="00223463" w:rsidRDefault="0002227D" w:rsidP="00E5419D">
            <w:pPr>
              <w:pStyle w:val="Tablewriting"/>
              <w:keepNext/>
              <w:rPr>
                <w:rFonts w:eastAsia="MS Mincho" w:cstheme="minorHAnsi"/>
              </w:rPr>
            </w:pPr>
            <w:r>
              <w:rPr>
                <w:rFonts w:eastAsia="MS Mincho" w:cstheme="minorHAnsi"/>
              </w:rPr>
              <w:t>Poland</w:t>
            </w:r>
          </w:p>
        </w:tc>
        <w:tc>
          <w:tcPr>
            <w:tcW w:w="387" w:type="pct"/>
            <w:tcMar>
              <w:left w:w="28" w:type="dxa"/>
              <w:right w:w="28" w:type="dxa"/>
            </w:tcMar>
          </w:tcPr>
          <w:p w:rsidR="0002227D" w:rsidRPr="00223463" w:rsidRDefault="0002227D" w:rsidP="00E5419D">
            <w:pPr>
              <w:pStyle w:val="Tablewriting"/>
              <w:keepNext/>
              <w:rPr>
                <w:rFonts w:eastAsia="MS Mincho" w:cstheme="minorHAnsi"/>
              </w:rPr>
            </w:pPr>
            <w:r>
              <w:rPr>
                <w:rFonts w:eastAsia="MS Mincho" w:cstheme="minorHAnsi"/>
              </w:rPr>
              <w:t>N=70</w:t>
            </w:r>
          </w:p>
        </w:tc>
        <w:tc>
          <w:tcPr>
            <w:tcW w:w="1307" w:type="pct"/>
            <w:tcMar>
              <w:left w:w="28" w:type="dxa"/>
              <w:right w:w="28" w:type="dxa"/>
            </w:tcMar>
          </w:tcPr>
          <w:p w:rsidR="0002227D" w:rsidRPr="00223463" w:rsidRDefault="0002227D" w:rsidP="00E5419D">
            <w:pPr>
              <w:pStyle w:val="Tablewriting"/>
              <w:keepNext/>
              <w:rPr>
                <w:rFonts w:eastAsia="MS Mincho" w:cstheme="minorHAnsi"/>
              </w:rPr>
            </w:pPr>
            <w:r>
              <w:rPr>
                <w:rFonts w:eastAsia="MS Mincho" w:cstheme="minorHAnsi"/>
              </w:rPr>
              <w:t>S</w:t>
            </w:r>
            <w:r w:rsidRPr="00820B17">
              <w:rPr>
                <w:rFonts w:eastAsia="MS Mincho" w:cstheme="minorHAnsi"/>
              </w:rPr>
              <w:t>mokers with COPD</w:t>
            </w:r>
            <w:r w:rsidR="001678F6">
              <w:rPr>
                <w:rFonts w:eastAsia="MS Mincho" w:cstheme="minorHAnsi"/>
              </w:rPr>
              <w:t xml:space="preserve">, </w:t>
            </w:r>
            <w:r w:rsidRPr="00820B17">
              <w:rPr>
                <w:rFonts w:eastAsia="MS Mincho" w:cstheme="minorHAnsi"/>
              </w:rPr>
              <w:t>43% female</w:t>
            </w:r>
            <w:r w:rsidR="00060E7D">
              <w:rPr>
                <w:rFonts w:eastAsia="MS Mincho" w:cstheme="minorHAnsi"/>
              </w:rPr>
              <w:t>,</w:t>
            </w:r>
            <w:r w:rsidRPr="00820B17">
              <w:rPr>
                <w:rFonts w:eastAsia="MS Mincho" w:cstheme="minorHAnsi"/>
              </w:rPr>
              <w:t xml:space="preserve"> average age 56</w:t>
            </w:r>
            <w:r w:rsidR="00060E7D">
              <w:rPr>
                <w:rFonts w:eastAsia="MS Mincho" w:cstheme="minorHAnsi"/>
              </w:rPr>
              <w:t xml:space="preserve"> years,</w:t>
            </w:r>
            <w:r w:rsidRPr="00820B17">
              <w:rPr>
                <w:rFonts w:eastAsia="MS Mincho" w:cstheme="minorHAnsi"/>
              </w:rPr>
              <w:t xml:space="preserve"> average cigarettes per day 24</w:t>
            </w:r>
          </w:p>
        </w:tc>
        <w:tc>
          <w:tcPr>
            <w:tcW w:w="1260" w:type="pct"/>
          </w:tcPr>
          <w:p w:rsidR="0002227D" w:rsidRDefault="0002227D" w:rsidP="00C324F3">
            <w:pPr>
              <w:pStyle w:val="Tablewriting"/>
              <w:keepNext/>
              <w:numPr>
                <w:ilvl w:val="0"/>
                <w:numId w:val="57"/>
              </w:numPr>
              <w:rPr>
                <w:rFonts w:eastAsia="MS Mincho" w:cstheme="minorHAnsi"/>
              </w:rPr>
            </w:pPr>
            <w:r w:rsidRPr="00820B17">
              <w:rPr>
                <w:rFonts w:eastAsia="MS Mincho" w:cstheme="minorHAnsi"/>
              </w:rPr>
              <w:t>Bupropion, 300 mg/day for 7 weeks</w:t>
            </w:r>
          </w:p>
          <w:p w:rsidR="0002227D" w:rsidRPr="00820B17" w:rsidRDefault="0002227D" w:rsidP="00C324F3">
            <w:pPr>
              <w:pStyle w:val="Tablewriting"/>
              <w:keepNext/>
              <w:numPr>
                <w:ilvl w:val="0"/>
                <w:numId w:val="57"/>
              </w:numPr>
              <w:rPr>
                <w:rFonts w:eastAsia="MS Mincho" w:cstheme="minorHAnsi"/>
              </w:rPr>
            </w:pPr>
            <w:r w:rsidRPr="00820B17">
              <w:rPr>
                <w:rFonts w:eastAsia="MS Mincho" w:cstheme="minorHAnsi"/>
              </w:rPr>
              <w:t>Nicotine patch, 15 mg/day for 8 weeks</w:t>
            </w:r>
          </w:p>
          <w:p w:rsidR="0002227D" w:rsidRDefault="0002227D" w:rsidP="00E5419D">
            <w:pPr>
              <w:pStyle w:val="Tablewriting"/>
              <w:keepNext/>
              <w:rPr>
                <w:rFonts w:eastAsia="MS Mincho" w:cstheme="minorHAnsi"/>
              </w:rPr>
            </w:pPr>
          </w:p>
          <w:p w:rsidR="0002227D" w:rsidRPr="00223463" w:rsidRDefault="0002227D" w:rsidP="00E5419D">
            <w:pPr>
              <w:pStyle w:val="Tablewriting"/>
              <w:keepNext/>
              <w:rPr>
                <w:rFonts w:eastAsia="MS Mincho" w:cstheme="minorHAnsi"/>
              </w:rPr>
            </w:pPr>
            <w:r w:rsidRPr="00820B17">
              <w:rPr>
                <w:rFonts w:eastAsia="MS Mincho" w:cstheme="minorHAnsi"/>
                <w:u w:val="single"/>
              </w:rPr>
              <w:t>Common components:</w:t>
            </w:r>
            <w:r w:rsidRPr="00820B17">
              <w:rPr>
                <w:rFonts w:eastAsia="MS Mincho" w:cstheme="minorHAnsi"/>
              </w:rPr>
              <w:t xml:space="preserve"> support at clinic visits at baseline, 2 weeks, EOT</w:t>
            </w:r>
          </w:p>
        </w:tc>
        <w:tc>
          <w:tcPr>
            <w:tcW w:w="872" w:type="pct"/>
            <w:tcMar>
              <w:left w:w="28" w:type="dxa"/>
              <w:right w:w="28" w:type="dxa"/>
            </w:tcMar>
          </w:tcPr>
          <w:p w:rsidR="0002227D" w:rsidRPr="00AD7467" w:rsidRDefault="0002227D" w:rsidP="00E5419D">
            <w:pPr>
              <w:pStyle w:val="Tablewriting"/>
              <w:keepNext/>
              <w:rPr>
                <w:rFonts w:eastAsia="MS Mincho" w:cstheme="minorHAnsi"/>
              </w:rPr>
            </w:pPr>
            <w:r w:rsidRPr="00AD7467">
              <w:rPr>
                <w:rFonts w:eastAsia="MS Mincho" w:cstheme="minorHAnsi"/>
                <w:u w:val="single"/>
              </w:rPr>
              <w:t>Efficacy:</w:t>
            </w:r>
            <w:r w:rsidRPr="00AD7467">
              <w:rPr>
                <w:rFonts w:eastAsia="MS Mincho" w:cstheme="minorHAnsi"/>
              </w:rPr>
              <w:t xml:space="preserve"> sustained abstinence at 1 year. Validated by CO &lt; 10 ppm</w:t>
            </w:r>
          </w:p>
          <w:p w:rsidR="0002227D" w:rsidRPr="00223463" w:rsidRDefault="0002227D" w:rsidP="00E5419D">
            <w:pPr>
              <w:pStyle w:val="Tablewriting"/>
              <w:keepNext/>
              <w:rPr>
                <w:rFonts w:eastAsia="MS Mincho" w:cstheme="minorHAnsi"/>
              </w:rPr>
            </w:pPr>
            <w:r w:rsidRPr="00AD7467">
              <w:rPr>
                <w:rFonts w:eastAsia="MS Mincho" w:cstheme="minorHAnsi"/>
                <w:u w:val="single"/>
              </w:rPr>
              <w:t>Safety:</w:t>
            </w:r>
            <w:r>
              <w:rPr>
                <w:rFonts w:eastAsia="MS Mincho" w:cstheme="minorHAnsi"/>
              </w:rPr>
              <w:t xml:space="preserve"> a</w:t>
            </w:r>
            <w:r w:rsidRPr="00AD7467">
              <w:rPr>
                <w:rFonts w:eastAsia="MS Mincho" w:cstheme="minorHAnsi"/>
              </w:rPr>
              <w:t>dverse events: period of</w:t>
            </w:r>
            <w:r>
              <w:rPr>
                <w:rFonts w:eastAsia="MS Mincho" w:cstheme="minorHAnsi"/>
              </w:rPr>
              <w:t xml:space="preserve"> </w:t>
            </w:r>
            <w:r w:rsidRPr="00AD7467">
              <w:rPr>
                <w:rFonts w:eastAsia="MS Mincho" w:cstheme="minorHAnsi"/>
              </w:rPr>
              <w:t>measurement unspecified</w:t>
            </w:r>
          </w:p>
        </w:tc>
      </w:tr>
      <w:tr w:rsidR="00A31D77" w:rsidRPr="00223463" w:rsidTr="000728F8">
        <w:trPr>
          <w:trHeight w:val="149"/>
        </w:trPr>
        <w:tc>
          <w:tcPr>
            <w:tcW w:w="483" w:type="pct"/>
          </w:tcPr>
          <w:p w:rsidR="0002227D" w:rsidRPr="00223463" w:rsidRDefault="0002227D" w:rsidP="00E5419D">
            <w:pPr>
              <w:pStyle w:val="Tablewriting"/>
              <w:keepNext/>
              <w:rPr>
                <w:rFonts w:eastAsia="MS Mincho" w:cstheme="minorHAnsi"/>
              </w:rPr>
            </w:pPr>
            <w:r w:rsidRPr="00223463">
              <w:rPr>
                <w:rFonts w:eastAsia="MS Mincho" w:cstheme="minorHAnsi"/>
              </w:rPr>
              <w:t xml:space="preserve">Jorenby </w:t>
            </w:r>
            <w:r w:rsidR="0065538B">
              <w:rPr>
                <w:rFonts w:eastAsia="MS Mincho" w:cstheme="minorHAnsi"/>
              </w:rPr>
              <w:t>(</w:t>
            </w:r>
            <w:r w:rsidRPr="00223463">
              <w:rPr>
                <w:rFonts w:eastAsia="MS Mincho" w:cstheme="minorHAnsi"/>
              </w:rPr>
              <w:t>1999</w:t>
            </w:r>
            <w:r w:rsidR="0065538B">
              <w:rPr>
                <w:rFonts w:eastAsia="MS Mincho" w:cstheme="minorHAnsi"/>
              </w:rPr>
              <w:t>)</w:t>
            </w:r>
          </w:p>
        </w:tc>
        <w:tc>
          <w:tcPr>
            <w:tcW w:w="255" w:type="pct"/>
          </w:tcPr>
          <w:p w:rsidR="0002227D" w:rsidRPr="00223463" w:rsidRDefault="0002227D" w:rsidP="00E5419D">
            <w:pPr>
              <w:pStyle w:val="Tablewriting"/>
              <w:keepNext/>
              <w:rPr>
                <w:rFonts w:eastAsia="MS Mincho" w:cstheme="minorHAnsi"/>
              </w:rPr>
            </w:pPr>
            <w:r w:rsidRPr="00223463">
              <w:rPr>
                <w:rFonts w:eastAsia="MS Mincho" w:cstheme="minorHAnsi"/>
              </w:rPr>
              <w:t>RCT</w:t>
            </w:r>
          </w:p>
        </w:tc>
        <w:tc>
          <w:tcPr>
            <w:tcW w:w="436" w:type="pct"/>
          </w:tcPr>
          <w:p w:rsidR="0002227D" w:rsidRPr="00223463" w:rsidRDefault="0002227D" w:rsidP="00E5419D">
            <w:pPr>
              <w:pStyle w:val="Tablewriting"/>
              <w:keepNext/>
              <w:rPr>
                <w:rFonts w:eastAsia="MS Mincho" w:cstheme="minorHAnsi"/>
              </w:rPr>
            </w:pPr>
            <w:r w:rsidRPr="00223463">
              <w:rPr>
                <w:rFonts w:eastAsia="MS Mincho" w:cstheme="minorHAnsi"/>
              </w:rPr>
              <w:t>USA</w:t>
            </w:r>
          </w:p>
        </w:tc>
        <w:tc>
          <w:tcPr>
            <w:tcW w:w="387" w:type="pct"/>
          </w:tcPr>
          <w:p w:rsidR="0002227D" w:rsidRPr="00223463" w:rsidRDefault="0002227D" w:rsidP="00E5419D">
            <w:pPr>
              <w:pStyle w:val="Tablewriting"/>
              <w:keepNext/>
              <w:rPr>
                <w:rFonts w:eastAsia="MS Mincho" w:cstheme="minorHAnsi"/>
              </w:rPr>
            </w:pPr>
            <w:r w:rsidRPr="00223463">
              <w:rPr>
                <w:rFonts w:eastAsia="MS Mincho" w:cstheme="minorHAnsi"/>
              </w:rPr>
              <w:t>N=893</w:t>
            </w:r>
          </w:p>
        </w:tc>
        <w:tc>
          <w:tcPr>
            <w:tcW w:w="1307" w:type="pct"/>
          </w:tcPr>
          <w:p w:rsidR="0002227D" w:rsidRPr="00223463" w:rsidRDefault="0002227D" w:rsidP="00E5419D">
            <w:pPr>
              <w:pStyle w:val="Tablewriting"/>
              <w:keepNext/>
              <w:rPr>
                <w:rFonts w:eastAsia="MS Mincho" w:cstheme="minorHAnsi"/>
              </w:rPr>
            </w:pPr>
            <w:r w:rsidRPr="00223463">
              <w:rPr>
                <w:rFonts w:eastAsia="MS Mincho" w:cstheme="minorHAnsi"/>
              </w:rPr>
              <w:t>Smokers</w:t>
            </w:r>
            <w:r w:rsidR="00060E7D">
              <w:rPr>
                <w:rFonts w:eastAsia="MS Mincho" w:cstheme="minorHAnsi"/>
              </w:rPr>
              <w:t>,</w:t>
            </w:r>
            <w:r w:rsidRPr="00223463">
              <w:rPr>
                <w:rFonts w:eastAsia="MS Mincho" w:cstheme="minorHAnsi"/>
              </w:rPr>
              <w:t xml:space="preserve"> 52% female</w:t>
            </w:r>
            <w:r w:rsidR="00060E7D">
              <w:rPr>
                <w:rFonts w:eastAsia="MS Mincho" w:cstheme="minorHAnsi"/>
              </w:rPr>
              <w:t>,</w:t>
            </w:r>
            <w:r w:rsidRPr="00223463">
              <w:rPr>
                <w:rFonts w:eastAsia="MS Mincho" w:cstheme="minorHAnsi"/>
              </w:rPr>
              <w:t xml:space="preserve"> average age 43</w:t>
            </w:r>
            <w:r w:rsidR="00060E7D">
              <w:rPr>
                <w:rFonts w:eastAsia="MS Mincho" w:cstheme="minorHAnsi"/>
              </w:rPr>
              <w:t xml:space="preserve"> years,</w:t>
            </w:r>
            <w:r w:rsidRPr="00223463">
              <w:rPr>
                <w:rFonts w:eastAsia="MS Mincho" w:cstheme="minorHAnsi"/>
              </w:rPr>
              <w:t xml:space="preserve"> average cigarettes per day 25</w:t>
            </w:r>
          </w:p>
        </w:tc>
        <w:tc>
          <w:tcPr>
            <w:tcW w:w="1260" w:type="pct"/>
          </w:tcPr>
          <w:p w:rsidR="0002227D" w:rsidRPr="00223463" w:rsidRDefault="0002227D" w:rsidP="00C324F3">
            <w:pPr>
              <w:pStyle w:val="Tablewriting"/>
              <w:keepNext/>
              <w:numPr>
                <w:ilvl w:val="0"/>
                <w:numId w:val="31"/>
              </w:numPr>
              <w:rPr>
                <w:rFonts w:eastAsia="MS Mincho" w:cstheme="minorHAnsi"/>
              </w:rPr>
            </w:pPr>
            <w:r w:rsidRPr="00223463">
              <w:rPr>
                <w:rFonts w:eastAsia="MS Mincho" w:cstheme="minorHAnsi"/>
              </w:rPr>
              <w:t>Nicotine patch and bupropion SR. Nicotine patch dosing and schedule 24 hr, 21 mg for 6 weeks, tapered for 2 weeks. Bupropion dosing and schedule was 300 mg for 9 weeks from 1 week before quit day</w:t>
            </w:r>
          </w:p>
          <w:p w:rsidR="0002227D" w:rsidRPr="00223463" w:rsidRDefault="0002227D" w:rsidP="00C324F3">
            <w:pPr>
              <w:pStyle w:val="Tablewriting"/>
              <w:keepNext/>
              <w:numPr>
                <w:ilvl w:val="0"/>
                <w:numId w:val="31"/>
              </w:numPr>
              <w:rPr>
                <w:rFonts w:eastAsia="MS Mincho" w:cstheme="minorHAnsi"/>
              </w:rPr>
            </w:pPr>
            <w:r w:rsidRPr="00223463">
              <w:rPr>
                <w:rFonts w:eastAsia="MS Mincho" w:cstheme="minorHAnsi"/>
              </w:rPr>
              <w:t>Bupropion and placebo patch</w:t>
            </w:r>
          </w:p>
          <w:p w:rsidR="0002227D" w:rsidRPr="00223463" w:rsidRDefault="0002227D" w:rsidP="00C324F3">
            <w:pPr>
              <w:pStyle w:val="Tablewriting"/>
              <w:keepNext/>
              <w:numPr>
                <w:ilvl w:val="0"/>
                <w:numId w:val="31"/>
              </w:numPr>
              <w:rPr>
                <w:rFonts w:eastAsia="MS Mincho" w:cstheme="minorHAnsi"/>
              </w:rPr>
            </w:pPr>
            <w:r w:rsidRPr="00223463">
              <w:rPr>
                <w:rFonts w:eastAsia="MS Mincho" w:cstheme="minorHAnsi"/>
              </w:rPr>
              <w:t>Nicotine patch and placebo tablets</w:t>
            </w:r>
          </w:p>
          <w:p w:rsidR="0002227D" w:rsidRPr="00223463" w:rsidRDefault="0002227D" w:rsidP="00C324F3">
            <w:pPr>
              <w:pStyle w:val="Tablewriting"/>
              <w:keepNext/>
              <w:numPr>
                <w:ilvl w:val="0"/>
                <w:numId w:val="31"/>
              </w:numPr>
              <w:rPr>
                <w:rFonts w:eastAsia="MS Mincho" w:cstheme="minorHAnsi"/>
              </w:rPr>
            </w:pPr>
            <w:r w:rsidRPr="00223463">
              <w:rPr>
                <w:rFonts w:eastAsia="MS Mincho" w:cstheme="minorHAnsi"/>
              </w:rPr>
              <w:t>Placebo patch and placebo tablets</w:t>
            </w:r>
          </w:p>
          <w:p w:rsidR="0002227D" w:rsidRPr="00223463" w:rsidRDefault="0002227D" w:rsidP="00E5419D">
            <w:pPr>
              <w:pStyle w:val="Tablewriting"/>
              <w:keepNext/>
              <w:rPr>
                <w:rFonts w:eastAsia="MS Mincho" w:cstheme="minorHAnsi"/>
              </w:rPr>
            </w:pPr>
          </w:p>
          <w:p w:rsidR="0002227D" w:rsidRPr="00223463" w:rsidRDefault="0002227D" w:rsidP="00E5419D">
            <w:pPr>
              <w:pStyle w:val="Tablewriting"/>
              <w:keepNext/>
              <w:rPr>
                <w:rFonts w:eastAsia="MS Mincho" w:cstheme="minorHAnsi"/>
              </w:rPr>
            </w:pPr>
            <w:r w:rsidRPr="00223463">
              <w:rPr>
                <w:rFonts w:eastAsia="MS Mincho" w:cstheme="minorHAnsi"/>
                <w:u w:val="single"/>
              </w:rPr>
              <w:t>Common components:</w:t>
            </w:r>
            <w:r w:rsidRPr="00223463">
              <w:rPr>
                <w:rFonts w:eastAsia="MS Mincho" w:cstheme="minorHAnsi"/>
              </w:rPr>
              <w:t xml:space="preserve"> brief (&lt; 15 min) individual counselling session at each weekly assessment. One telephone call 3 days after quit day</w:t>
            </w:r>
          </w:p>
        </w:tc>
        <w:tc>
          <w:tcPr>
            <w:tcW w:w="872" w:type="pct"/>
          </w:tcPr>
          <w:p w:rsidR="0002227D" w:rsidRPr="00223463" w:rsidRDefault="0002227D" w:rsidP="00E5419D">
            <w:pPr>
              <w:pStyle w:val="Tablewriting"/>
              <w:keepNext/>
              <w:rPr>
                <w:rFonts w:eastAsia="MS Mincho" w:cstheme="minorHAnsi"/>
              </w:rPr>
            </w:pPr>
            <w:r w:rsidRPr="00223463">
              <w:rPr>
                <w:rFonts w:eastAsia="MS Mincho" w:cstheme="minorHAnsi"/>
                <w:u w:val="single"/>
              </w:rPr>
              <w:t>Efficacy:</w:t>
            </w:r>
            <w:r w:rsidRPr="00223463">
              <w:rPr>
                <w:rFonts w:eastAsia="MS Mincho" w:cstheme="minorHAnsi"/>
              </w:rPr>
              <w:t xml:space="preserve"> continuous </w:t>
            </w:r>
            <w:r w:rsidR="009E30D6">
              <w:rPr>
                <w:rFonts w:eastAsia="MS Mincho" w:cstheme="minorHAnsi"/>
              </w:rPr>
              <w:t>PPA</w:t>
            </w:r>
            <w:r w:rsidRPr="00223463">
              <w:rPr>
                <w:rFonts w:eastAsia="MS Mincho" w:cstheme="minorHAnsi"/>
              </w:rPr>
              <w:t xml:space="preserve"> at 12 months. Validated by CO &lt; 10 ppm at each clinic visit</w:t>
            </w:r>
          </w:p>
          <w:p w:rsidR="0002227D" w:rsidRPr="00223463" w:rsidRDefault="0002227D" w:rsidP="00E5419D">
            <w:pPr>
              <w:pStyle w:val="Tablewriting"/>
              <w:keepNext/>
              <w:rPr>
                <w:rFonts w:eastAsia="MS Mincho" w:cstheme="minorHAnsi"/>
              </w:rPr>
            </w:pPr>
            <w:r w:rsidRPr="00223463">
              <w:rPr>
                <w:rFonts w:eastAsia="MS Mincho" w:cstheme="minorHAnsi"/>
                <w:u w:val="single"/>
              </w:rPr>
              <w:t>Safety:</w:t>
            </w:r>
            <w:r w:rsidRPr="00223463">
              <w:rPr>
                <w:rFonts w:eastAsia="MS Mincho" w:cstheme="minorHAnsi"/>
              </w:rPr>
              <w:t xml:space="preserve"> measured for unspecified period</w:t>
            </w:r>
          </w:p>
        </w:tc>
      </w:tr>
      <w:tr w:rsidR="00A31D77" w:rsidRPr="00223463" w:rsidTr="000728F8">
        <w:trPr>
          <w:trHeight w:val="149"/>
        </w:trPr>
        <w:tc>
          <w:tcPr>
            <w:tcW w:w="483" w:type="pct"/>
          </w:tcPr>
          <w:p w:rsidR="006C5323" w:rsidRPr="00223463" w:rsidRDefault="006C5323" w:rsidP="006C5323">
            <w:pPr>
              <w:pStyle w:val="Tablewriting"/>
              <w:keepNext/>
              <w:rPr>
                <w:rFonts w:eastAsia="MS Mincho" w:cstheme="minorHAnsi"/>
              </w:rPr>
            </w:pPr>
            <w:r w:rsidRPr="00223463">
              <w:rPr>
                <w:rFonts w:eastAsia="MS Mincho" w:cstheme="minorHAnsi"/>
              </w:rPr>
              <w:t xml:space="preserve">Piper </w:t>
            </w:r>
            <w:r w:rsidR="0065538B">
              <w:rPr>
                <w:rFonts w:eastAsia="MS Mincho" w:cstheme="minorHAnsi"/>
              </w:rPr>
              <w:t>(</w:t>
            </w:r>
            <w:r w:rsidRPr="00223463">
              <w:rPr>
                <w:rFonts w:eastAsia="MS Mincho" w:cstheme="minorHAnsi"/>
              </w:rPr>
              <w:t>2009</w:t>
            </w:r>
            <w:r w:rsidR="0065538B">
              <w:rPr>
                <w:rFonts w:eastAsia="MS Mincho" w:cstheme="minorHAnsi"/>
              </w:rPr>
              <w:t>)</w:t>
            </w:r>
          </w:p>
        </w:tc>
        <w:tc>
          <w:tcPr>
            <w:tcW w:w="255" w:type="pct"/>
          </w:tcPr>
          <w:p w:rsidR="006C5323" w:rsidRPr="00223463" w:rsidRDefault="006C5323" w:rsidP="006C5323">
            <w:pPr>
              <w:pStyle w:val="Tablewriting"/>
              <w:keepNext/>
              <w:rPr>
                <w:rFonts w:eastAsia="MS Mincho" w:cstheme="minorHAnsi"/>
              </w:rPr>
            </w:pPr>
            <w:r w:rsidRPr="00223463">
              <w:rPr>
                <w:rFonts w:eastAsia="MS Mincho" w:cstheme="minorHAnsi"/>
              </w:rPr>
              <w:t>RCT</w:t>
            </w:r>
          </w:p>
        </w:tc>
        <w:tc>
          <w:tcPr>
            <w:tcW w:w="436" w:type="pct"/>
          </w:tcPr>
          <w:p w:rsidR="006C5323" w:rsidRPr="00223463" w:rsidRDefault="006C5323" w:rsidP="006C5323">
            <w:pPr>
              <w:pStyle w:val="Tablewriting"/>
              <w:keepNext/>
              <w:rPr>
                <w:rFonts w:eastAsia="MS Mincho" w:cstheme="minorHAnsi"/>
              </w:rPr>
            </w:pPr>
            <w:r w:rsidRPr="00223463">
              <w:rPr>
                <w:rFonts w:eastAsia="MS Mincho" w:cstheme="minorHAnsi"/>
              </w:rPr>
              <w:t>USA</w:t>
            </w:r>
          </w:p>
        </w:tc>
        <w:tc>
          <w:tcPr>
            <w:tcW w:w="387" w:type="pct"/>
          </w:tcPr>
          <w:p w:rsidR="006C5323" w:rsidRPr="00223463" w:rsidRDefault="006C5323" w:rsidP="006C5323">
            <w:pPr>
              <w:pStyle w:val="Tablewriting"/>
              <w:keepNext/>
              <w:rPr>
                <w:rFonts w:eastAsia="MS Mincho" w:cstheme="minorHAnsi"/>
              </w:rPr>
            </w:pPr>
            <w:r w:rsidRPr="00223463">
              <w:rPr>
                <w:rFonts w:eastAsia="MS Mincho" w:cstheme="minorHAnsi"/>
              </w:rPr>
              <w:t xml:space="preserve">N=1504 </w:t>
            </w:r>
          </w:p>
        </w:tc>
        <w:tc>
          <w:tcPr>
            <w:tcW w:w="1307" w:type="pct"/>
          </w:tcPr>
          <w:p w:rsidR="006C5323" w:rsidRPr="00223463" w:rsidRDefault="006C5323" w:rsidP="006C5323">
            <w:pPr>
              <w:pStyle w:val="Tablewriting"/>
              <w:keepNext/>
              <w:rPr>
                <w:rFonts w:eastAsia="MS Mincho" w:cstheme="minorHAnsi"/>
              </w:rPr>
            </w:pPr>
            <w:r w:rsidRPr="00223463">
              <w:rPr>
                <w:rFonts w:eastAsia="MS Mincho" w:cstheme="minorHAnsi"/>
              </w:rPr>
              <w:t>Smokers</w:t>
            </w:r>
            <w:r w:rsidR="009E30D6">
              <w:rPr>
                <w:rFonts w:eastAsia="MS Mincho" w:cstheme="minorHAnsi"/>
              </w:rPr>
              <w:t>,</w:t>
            </w:r>
            <w:r w:rsidRPr="00223463">
              <w:rPr>
                <w:rFonts w:eastAsia="MS Mincho" w:cstheme="minorHAnsi"/>
              </w:rPr>
              <w:t xml:space="preserve"> 58% female</w:t>
            </w:r>
            <w:r w:rsidR="009E30D6">
              <w:rPr>
                <w:rFonts w:eastAsia="MS Mincho" w:cstheme="minorHAnsi"/>
              </w:rPr>
              <w:t>,</w:t>
            </w:r>
            <w:r w:rsidRPr="00223463">
              <w:rPr>
                <w:rFonts w:eastAsia="MS Mincho" w:cstheme="minorHAnsi"/>
              </w:rPr>
              <w:t xml:space="preserve"> average age 45</w:t>
            </w:r>
            <w:r w:rsidR="009E30D6">
              <w:rPr>
                <w:rFonts w:eastAsia="MS Mincho" w:cstheme="minorHAnsi"/>
              </w:rPr>
              <w:t xml:space="preserve"> years,</w:t>
            </w:r>
            <w:r w:rsidRPr="00223463">
              <w:rPr>
                <w:rFonts w:eastAsia="MS Mincho" w:cstheme="minorHAnsi"/>
              </w:rPr>
              <w:t xml:space="preserve"> average cigarettes per day 21.4</w:t>
            </w:r>
          </w:p>
        </w:tc>
        <w:tc>
          <w:tcPr>
            <w:tcW w:w="1260" w:type="pct"/>
          </w:tcPr>
          <w:p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Bupropion SR. 150 mg twice/day, 1 week pre-quit, 8 weeks post-quit</w:t>
            </w:r>
          </w:p>
          <w:p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Bupropion and nicotine lozenge. Duration and dosage as below</w:t>
            </w:r>
          </w:p>
          <w:p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lastRenderedPageBreak/>
              <w:t>Nicotine lozenge. 2 mg or 4 mg for 12 weeks (based on dose-for-dependence level as per instructions)</w:t>
            </w:r>
          </w:p>
          <w:p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Nicotine patch (24 hr, 21, 14, and 7 mg titrated down over 8-week period post-quit)</w:t>
            </w:r>
          </w:p>
          <w:p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Nicotine lozenge and nicotine patch. Duration and dosage as above</w:t>
            </w:r>
          </w:p>
          <w:p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Placebo bupropion</w:t>
            </w:r>
          </w:p>
          <w:p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Placebo bupropion and placebo lozenge</w:t>
            </w:r>
          </w:p>
          <w:p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Placebo lozenge</w:t>
            </w:r>
          </w:p>
          <w:p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Placebo patch</w:t>
            </w:r>
          </w:p>
          <w:p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Placebo lozenge and placebo patch</w:t>
            </w:r>
          </w:p>
          <w:p w:rsidR="006C5323" w:rsidRPr="00223463" w:rsidRDefault="006C5323" w:rsidP="006C5323">
            <w:pPr>
              <w:pStyle w:val="Tablewriting"/>
              <w:keepNext/>
              <w:rPr>
                <w:rFonts w:eastAsia="MS Mincho" w:cstheme="minorHAnsi"/>
              </w:rPr>
            </w:pPr>
          </w:p>
          <w:p w:rsidR="006C5323" w:rsidRPr="00223463" w:rsidRDefault="006C5323" w:rsidP="006C5323">
            <w:pPr>
              <w:pStyle w:val="Tablewriting"/>
              <w:keepNext/>
              <w:rPr>
                <w:rFonts w:eastAsia="MS Mincho" w:cstheme="minorHAnsi"/>
              </w:rPr>
            </w:pPr>
            <w:r w:rsidRPr="00223463">
              <w:rPr>
                <w:rFonts w:eastAsia="MS Mincho" w:cstheme="minorHAnsi"/>
              </w:rPr>
              <w:t>Common components: 7 one-to-one 10 to 20-min counselling sessions</w:t>
            </w:r>
          </w:p>
        </w:tc>
        <w:tc>
          <w:tcPr>
            <w:tcW w:w="872" w:type="pct"/>
          </w:tcPr>
          <w:p w:rsidR="006C5323" w:rsidRPr="001F1445" w:rsidRDefault="006C5323" w:rsidP="006C5323">
            <w:pPr>
              <w:pStyle w:val="Tablewriting"/>
              <w:keepNext/>
              <w:rPr>
                <w:rFonts w:eastAsia="MS Mincho"/>
              </w:rPr>
            </w:pPr>
            <w:r w:rsidRPr="001F1445">
              <w:rPr>
                <w:rFonts w:eastAsia="MS Mincho"/>
                <w:u w:val="single"/>
              </w:rPr>
              <w:lastRenderedPageBreak/>
              <w:t>Efficacy:</w:t>
            </w:r>
            <w:r w:rsidRPr="001F1445">
              <w:rPr>
                <w:rFonts w:eastAsia="MS Mincho"/>
              </w:rPr>
              <w:t xml:space="preserve"> 7-day </w:t>
            </w:r>
            <w:r w:rsidR="009E30D6">
              <w:rPr>
                <w:rFonts w:eastAsia="MS Mincho"/>
              </w:rPr>
              <w:t>PPA</w:t>
            </w:r>
            <w:r w:rsidRPr="001F1445">
              <w:rPr>
                <w:rFonts w:eastAsia="MS Mincho"/>
              </w:rPr>
              <w:t xml:space="preserve"> at 6 months. Validated by CO &lt; 10 ppm</w:t>
            </w:r>
          </w:p>
          <w:p w:rsidR="006C5323" w:rsidRPr="00223463" w:rsidRDefault="006C5323" w:rsidP="006C5323">
            <w:pPr>
              <w:pStyle w:val="Tablewriting"/>
              <w:keepNext/>
              <w:rPr>
                <w:rFonts w:eastAsia="MS Mincho" w:cstheme="minorHAnsi"/>
              </w:rPr>
            </w:pPr>
            <w:r w:rsidRPr="001F1445">
              <w:rPr>
                <w:rFonts w:eastAsia="MS Mincho"/>
                <w:u w:val="single"/>
              </w:rPr>
              <w:t>Safety:</w:t>
            </w:r>
            <w:r w:rsidRPr="001F1445">
              <w:rPr>
                <w:rFonts w:eastAsia="MS Mincho"/>
              </w:rPr>
              <w:t xml:space="preserve"> measured for 10 weeks</w:t>
            </w:r>
          </w:p>
        </w:tc>
      </w:tr>
      <w:tr w:rsidR="00A31D77" w:rsidRPr="00223463" w:rsidTr="000728F8">
        <w:trPr>
          <w:trHeight w:val="149"/>
        </w:trPr>
        <w:tc>
          <w:tcPr>
            <w:tcW w:w="483" w:type="pct"/>
          </w:tcPr>
          <w:p w:rsidR="006C5323" w:rsidRPr="00223463" w:rsidRDefault="006C5323" w:rsidP="006C5323">
            <w:pPr>
              <w:pStyle w:val="Tablewriting"/>
              <w:keepNext/>
              <w:rPr>
                <w:rFonts w:eastAsia="MS Mincho" w:cstheme="minorHAnsi"/>
              </w:rPr>
            </w:pPr>
            <w:r w:rsidRPr="005939E7">
              <w:rPr>
                <w:rFonts w:eastAsia="MS Mincho" w:cstheme="minorHAnsi"/>
              </w:rPr>
              <w:t xml:space="preserve">Smith </w:t>
            </w:r>
            <w:r w:rsidR="0065538B" w:rsidRPr="005939E7">
              <w:rPr>
                <w:rFonts w:eastAsia="MS Mincho" w:cstheme="minorHAnsi"/>
              </w:rPr>
              <w:t>(</w:t>
            </w:r>
            <w:r w:rsidRPr="005939E7">
              <w:rPr>
                <w:rFonts w:eastAsia="MS Mincho" w:cstheme="minorHAnsi"/>
              </w:rPr>
              <w:t>2009</w:t>
            </w:r>
            <w:r w:rsidR="0065538B" w:rsidRPr="005939E7">
              <w:rPr>
                <w:rFonts w:eastAsia="MS Mincho" w:cstheme="minorHAnsi"/>
              </w:rPr>
              <w:t>)</w:t>
            </w:r>
          </w:p>
        </w:tc>
        <w:tc>
          <w:tcPr>
            <w:tcW w:w="255" w:type="pct"/>
          </w:tcPr>
          <w:p w:rsidR="006C5323" w:rsidRPr="00223463" w:rsidRDefault="006C5323" w:rsidP="006C5323">
            <w:pPr>
              <w:pStyle w:val="Tablewriting"/>
              <w:keepNext/>
              <w:rPr>
                <w:rFonts w:eastAsia="MS Mincho" w:cstheme="minorHAnsi"/>
              </w:rPr>
            </w:pPr>
            <w:r w:rsidRPr="00223463">
              <w:rPr>
                <w:rFonts w:eastAsia="MS Mincho" w:cstheme="minorHAnsi"/>
              </w:rPr>
              <w:t>RCT</w:t>
            </w:r>
          </w:p>
        </w:tc>
        <w:tc>
          <w:tcPr>
            <w:tcW w:w="436" w:type="pct"/>
          </w:tcPr>
          <w:p w:rsidR="006C5323" w:rsidRPr="00223463" w:rsidRDefault="006C5323" w:rsidP="006C5323">
            <w:pPr>
              <w:pStyle w:val="Tablewriting"/>
              <w:keepNext/>
              <w:rPr>
                <w:rFonts w:eastAsia="MS Mincho" w:cstheme="minorHAnsi"/>
              </w:rPr>
            </w:pPr>
            <w:r>
              <w:rPr>
                <w:rFonts w:eastAsia="MS Mincho" w:cstheme="minorHAnsi"/>
              </w:rPr>
              <w:t>USA</w:t>
            </w:r>
          </w:p>
        </w:tc>
        <w:tc>
          <w:tcPr>
            <w:tcW w:w="387" w:type="pct"/>
          </w:tcPr>
          <w:p w:rsidR="006C5323" w:rsidRPr="00223463" w:rsidRDefault="006C5323" w:rsidP="006C5323">
            <w:pPr>
              <w:pStyle w:val="Tablewriting"/>
              <w:keepNext/>
              <w:rPr>
                <w:rFonts w:eastAsia="MS Mincho" w:cstheme="minorHAnsi"/>
              </w:rPr>
            </w:pPr>
            <w:r>
              <w:rPr>
                <w:rFonts w:eastAsia="MS Mincho" w:cstheme="minorHAnsi"/>
              </w:rPr>
              <w:t>N=</w:t>
            </w:r>
            <w:r w:rsidRPr="00F63511">
              <w:rPr>
                <w:rFonts w:eastAsia="MS Mincho" w:cstheme="minorHAnsi"/>
              </w:rPr>
              <w:t>1346</w:t>
            </w:r>
          </w:p>
        </w:tc>
        <w:tc>
          <w:tcPr>
            <w:tcW w:w="1307" w:type="pct"/>
          </w:tcPr>
          <w:p w:rsidR="006C5323" w:rsidRPr="00223463" w:rsidRDefault="006C5323" w:rsidP="006C5323">
            <w:pPr>
              <w:pStyle w:val="Tablewriting"/>
              <w:keepNext/>
              <w:rPr>
                <w:rFonts w:eastAsia="MS Mincho" w:cstheme="minorHAnsi"/>
              </w:rPr>
            </w:pPr>
            <w:r>
              <w:rPr>
                <w:rFonts w:eastAsia="MS Mincho" w:cstheme="minorHAnsi"/>
              </w:rPr>
              <w:t>S</w:t>
            </w:r>
            <w:r w:rsidRPr="00F63511">
              <w:rPr>
                <w:rFonts w:eastAsia="MS Mincho" w:cstheme="minorHAnsi"/>
              </w:rPr>
              <w:t>mokers</w:t>
            </w:r>
            <w:r w:rsidR="009E30D6">
              <w:rPr>
                <w:rFonts w:eastAsia="MS Mincho" w:cstheme="minorHAnsi"/>
              </w:rPr>
              <w:t>,</w:t>
            </w:r>
            <w:r w:rsidRPr="00F63511">
              <w:rPr>
                <w:rFonts w:eastAsia="MS Mincho" w:cstheme="minorHAnsi"/>
              </w:rPr>
              <w:t xml:space="preserve"> 56% female</w:t>
            </w:r>
            <w:r w:rsidR="009E30D6">
              <w:rPr>
                <w:rFonts w:eastAsia="MS Mincho" w:cstheme="minorHAnsi"/>
              </w:rPr>
              <w:t>,</w:t>
            </w:r>
            <w:r w:rsidRPr="00F63511">
              <w:rPr>
                <w:rFonts w:eastAsia="MS Mincho" w:cstheme="minorHAnsi"/>
              </w:rPr>
              <w:t xml:space="preserve"> average age 44</w:t>
            </w:r>
            <w:r w:rsidR="009E30D6">
              <w:rPr>
                <w:rFonts w:eastAsia="MS Mincho" w:cstheme="minorHAnsi"/>
              </w:rPr>
              <w:t>,</w:t>
            </w:r>
            <w:r w:rsidRPr="00F63511">
              <w:rPr>
                <w:rFonts w:eastAsia="MS Mincho" w:cstheme="minorHAnsi"/>
              </w:rPr>
              <w:t xml:space="preserve"> average cigarettes per day 20.3</w:t>
            </w:r>
          </w:p>
        </w:tc>
        <w:tc>
          <w:tcPr>
            <w:tcW w:w="1260" w:type="pct"/>
          </w:tcPr>
          <w:p w:rsidR="006C5323" w:rsidRDefault="006C5323" w:rsidP="00C324F3">
            <w:pPr>
              <w:pStyle w:val="Tablewriting"/>
              <w:keepNext/>
              <w:numPr>
                <w:ilvl w:val="0"/>
                <w:numId w:val="58"/>
              </w:numPr>
              <w:rPr>
                <w:rFonts w:eastAsia="MS Mincho" w:cstheme="minorHAnsi"/>
              </w:rPr>
            </w:pPr>
            <w:r w:rsidRPr="00F63511">
              <w:rPr>
                <w:rFonts w:eastAsia="MS Mincho" w:cstheme="minorHAnsi"/>
              </w:rPr>
              <w:t>Bupropion</w:t>
            </w:r>
            <w:r>
              <w:rPr>
                <w:rFonts w:eastAsia="MS Mincho" w:cstheme="minorHAnsi"/>
              </w:rPr>
              <w:t>, u</w:t>
            </w:r>
            <w:r w:rsidRPr="00F63511">
              <w:rPr>
                <w:rFonts w:eastAsia="MS Mincho" w:cstheme="minorHAnsi"/>
              </w:rPr>
              <w:t>p</w:t>
            </w:r>
            <w:r w:rsidR="008A78A1">
              <w:rPr>
                <w:rFonts w:eastAsia="MS Mincho" w:cstheme="minorHAnsi"/>
              </w:rPr>
              <w:t>-</w:t>
            </w:r>
            <w:r w:rsidRPr="00F63511">
              <w:rPr>
                <w:rFonts w:eastAsia="MS Mincho" w:cstheme="minorHAnsi"/>
              </w:rPr>
              <w:t>titrated during week pre-quitting, 150 mg twice/day for 8 weeks post-quit</w:t>
            </w:r>
          </w:p>
          <w:p w:rsidR="006C5323" w:rsidRDefault="006C5323" w:rsidP="00C324F3">
            <w:pPr>
              <w:pStyle w:val="Tablewriting"/>
              <w:keepNext/>
              <w:numPr>
                <w:ilvl w:val="0"/>
                <w:numId w:val="58"/>
              </w:numPr>
              <w:rPr>
                <w:rFonts w:eastAsia="MS Mincho" w:cstheme="minorHAnsi"/>
              </w:rPr>
            </w:pPr>
            <w:r w:rsidRPr="00F63511">
              <w:rPr>
                <w:rFonts w:eastAsia="MS Mincho" w:cstheme="minorHAnsi"/>
              </w:rPr>
              <w:t>Nicotine lozenge. 4 mg lozenge if first cigarette of day smoked &gt; 30 min after waking, 2 mg otherwise. 1</w:t>
            </w:r>
            <w:r>
              <w:rPr>
                <w:rFonts w:eastAsia="MS Mincho" w:cstheme="minorHAnsi"/>
              </w:rPr>
              <w:t xml:space="preserve"> </w:t>
            </w:r>
            <w:r w:rsidRPr="00F63511">
              <w:rPr>
                <w:rFonts w:eastAsia="MS Mincho" w:cstheme="minorHAnsi"/>
              </w:rPr>
              <w:t>lozenge every 1-2 hrs post-quit week 1-6; 1 lozenge every 2-4 hrs week 7-9; 1 lozenge every 4-8 hours</w:t>
            </w:r>
            <w:r>
              <w:rPr>
                <w:rFonts w:eastAsia="MS Mincho" w:cstheme="minorHAnsi"/>
              </w:rPr>
              <w:t xml:space="preserve"> </w:t>
            </w:r>
            <w:r w:rsidRPr="00F63511">
              <w:rPr>
                <w:rFonts w:eastAsia="MS Mincho" w:cstheme="minorHAnsi"/>
              </w:rPr>
              <w:t>week 10-12</w:t>
            </w:r>
          </w:p>
          <w:p w:rsidR="006C5323" w:rsidRDefault="006C5323" w:rsidP="00C324F3">
            <w:pPr>
              <w:pStyle w:val="Tablewriting"/>
              <w:keepNext/>
              <w:numPr>
                <w:ilvl w:val="0"/>
                <w:numId w:val="58"/>
              </w:numPr>
              <w:rPr>
                <w:rFonts w:eastAsia="MS Mincho" w:cstheme="minorHAnsi"/>
              </w:rPr>
            </w:pPr>
            <w:r w:rsidRPr="00F63511">
              <w:rPr>
                <w:rFonts w:eastAsia="MS Mincho" w:cstheme="minorHAnsi"/>
              </w:rPr>
              <w:t>Nicotine patch. 21 mg post-quit w</w:t>
            </w:r>
            <w:r w:rsidR="008A78A1">
              <w:rPr>
                <w:rFonts w:eastAsia="MS Mincho" w:cstheme="minorHAnsi"/>
              </w:rPr>
              <w:t>ee</w:t>
            </w:r>
            <w:r w:rsidRPr="00F63511">
              <w:rPr>
                <w:rFonts w:eastAsia="MS Mincho" w:cstheme="minorHAnsi"/>
              </w:rPr>
              <w:t>k 1-4; 14 mg w</w:t>
            </w:r>
            <w:r w:rsidR="008A78A1">
              <w:rPr>
                <w:rFonts w:eastAsia="MS Mincho" w:cstheme="minorHAnsi"/>
              </w:rPr>
              <w:t>ee</w:t>
            </w:r>
            <w:r w:rsidRPr="00F63511">
              <w:rPr>
                <w:rFonts w:eastAsia="MS Mincho" w:cstheme="minorHAnsi"/>
              </w:rPr>
              <w:t>k 5-6; 7 mg w</w:t>
            </w:r>
            <w:r w:rsidR="008A78A1">
              <w:rPr>
                <w:rFonts w:eastAsia="MS Mincho" w:cstheme="minorHAnsi"/>
              </w:rPr>
              <w:t>ee</w:t>
            </w:r>
            <w:r w:rsidRPr="00F63511">
              <w:rPr>
                <w:rFonts w:eastAsia="MS Mincho" w:cstheme="minorHAnsi"/>
              </w:rPr>
              <w:t>k 7-8</w:t>
            </w:r>
          </w:p>
          <w:p w:rsidR="006C5323" w:rsidRDefault="006C5323" w:rsidP="00C324F3">
            <w:pPr>
              <w:pStyle w:val="Tablewriting"/>
              <w:keepNext/>
              <w:numPr>
                <w:ilvl w:val="0"/>
                <w:numId w:val="58"/>
              </w:numPr>
              <w:rPr>
                <w:rFonts w:eastAsia="MS Mincho" w:cstheme="minorHAnsi"/>
              </w:rPr>
            </w:pPr>
            <w:r w:rsidRPr="00F63511">
              <w:rPr>
                <w:rFonts w:eastAsia="MS Mincho" w:cstheme="minorHAnsi"/>
              </w:rPr>
              <w:t>Bupropion and nicotine lozenge. Dosing as above</w:t>
            </w:r>
          </w:p>
          <w:p w:rsidR="006C5323" w:rsidRPr="00F63511" w:rsidRDefault="006C5323" w:rsidP="00C324F3">
            <w:pPr>
              <w:pStyle w:val="Tablewriting"/>
              <w:keepNext/>
              <w:numPr>
                <w:ilvl w:val="0"/>
                <w:numId w:val="58"/>
              </w:numPr>
              <w:rPr>
                <w:rFonts w:eastAsia="MS Mincho" w:cstheme="minorHAnsi"/>
              </w:rPr>
            </w:pPr>
            <w:r w:rsidRPr="00F63511">
              <w:rPr>
                <w:rFonts w:eastAsia="MS Mincho" w:cstheme="minorHAnsi"/>
              </w:rPr>
              <w:t>Nicotine patch and nicotine lozenge. Dosing as above</w:t>
            </w:r>
          </w:p>
          <w:p w:rsidR="006C5323" w:rsidRDefault="006C5323" w:rsidP="006C5323">
            <w:pPr>
              <w:pStyle w:val="Tablewriting"/>
              <w:keepNext/>
              <w:rPr>
                <w:rFonts w:eastAsia="MS Mincho" w:cstheme="minorHAnsi"/>
              </w:rPr>
            </w:pPr>
          </w:p>
          <w:p w:rsidR="006C5323" w:rsidRPr="00F63511" w:rsidRDefault="006C5323" w:rsidP="006C5323">
            <w:pPr>
              <w:pStyle w:val="Tablewriting"/>
              <w:keepNext/>
              <w:rPr>
                <w:rFonts w:eastAsia="MS Mincho" w:cstheme="minorHAnsi"/>
              </w:rPr>
            </w:pPr>
            <w:r w:rsidRPr="00F63511">
              <w:rPr>
                <w:rFonts w:eastAsia="MS Mincho" w:cstheme="minorHAnsi"/>
                <w:u w:val="single"/>
              </w:rPr>
              <w:t>Common components:</w:t>
            </w:r>
            <w:r w:rsidRPr="00F63511">
              <w:rPr>
                <w:rFonts w:eastAsia="MS Mincho" w:cstheme="minorHAnsi"/>
              </w:rPr>
              <w:t xml:space="preserve"> quitline counselling (state provided). All participants received initial session,</w:t>
            </w:r>
            <w:r>
              <w:rPr>
                <w:rFonts w:eastAsia="MS Mincho" w:cstheme="minorHAnsi"/>
              </w:rPr>
              <w:t xml:space="preserve"> </w:t>
            </w:r>
            <w:r w:rsidRPr="00F63511">
              <w:rPr>
                <w:rFonts w:eastAsia="MS Mincho" w:cstheme="minorHAnsi"/>
              </w:rPr>
              <w:t xml:space="preserve">then </w:t>
            </w:r>
            <w:r w:rsidRPr="00F63511">
              <w:rPr>
                <w:rFonts w:eastAsia="MS Mincho" w:cstheme="minorHAnsi"/>
              </w:rPr>
              <w:lastRenderedPageBreak/>
              <w:t>could elect to receive up to 4 additional calls + could call for</w:t>
            </w:r>
            <w:r>
              <w:rPr>
                <w:rFonts w:eastAsia="MS Mincho" w:cstheme="minorHAnsi"/>
              </w:rPr>
              <w:t xml:space="preserve"> </w:t>
            </w:r>
            <w:r w:rsidRPr="00F63511">
              <w:rPr>
                <w:rFonts w:eastAsia="MS Mincho" w:cstheme="minorHAnsi"/>
              </w:rPr>
              <w:t>additional support if required.</w:t>
            </w:r>
          </w:p>
        </w:tc>
        <w:tc>
          <w:tcPr>
            <w:tcW w:w="872" w:type="pct"/>
          </w:tcPr>
          <w:p w:rsidR="006C5323" w:rsidRPr="00F63511" w:rsidRDefault="006C5323" w:rsidP="006C5323">
            <w:pPr>
              <w:pStyle w:val="Tablewriting"/>
              <w:keepNext/>
              <w:rPr>
                <w:rFonts w:eastAsia="MS Mincho" w:cstheme="minorHAnsi"/>
              </w:rPr>
            </w:pPr>
            <w:r w:rsidRPr="00F63511">
              <w:rPr>
                <w:rFonts w:eastAsia="MS Mincho" w:cstheme="minorHAnsi"/>
                <w:u w:val="single"/>
              </w:rPr>
              <w:lastRenderedPageBreak/>
              <w:t>Efficacy:</w:t>
            </w:r>
            <w:r>
              <w:rPr>
                <w:rFonts w:eastAsia="MS Mincho" w:cstheme="minorHAnsi"/>
              </w:rPr>
              <w:t xml:space="preserve"> </w:t>
            </w:r>
            <w:r w:rsidRPr="00F63511">
              <w:rPr>
                <w:rFonts w:eastAsia="MS Mincho" w:cstheme="minorHAnsi"/>
              </w:rPr>
              <w:t xml:space="preserve">7-day </w:t>
            </w:r>
            <w:r w:rsidR="009E30D6">
              <w:rPr>
                <w:rFonts w:eastAsia="MS Mincho" w:cstheme="minorHAnsi"/>
              </w:rPr>
              <w:t>PPA</w:t>
            </w:r>
            <w:r w:rsidRPr="00F63511">
              <w:rPr>
                <w:rFonts w:eastAsia="MS Mincho" w:cstheme="minorHAnsi"/>
              </w:rPr>
              <w:t xml:space="preserve"> at 6 months. No validation method specified</w:t>
            </w:r>
          </w:p>
          <w:p w:rsidR="006C5323" w:rsidRPr="00223463" w:rsidRDefault="006C5323" w:rsidP="006C5323">
            <w:pPr>
              <w:pStyle w:val="Tablewriting"/>
              <w:keepNext/>
              <w:rPr>
                <w:rFonts w:eastAsia="MS Mincho" w:cstheme="minorHAnsi"/>
              </w:rPr>
            </w:pPr>
            <w:r w:rsidRPr="00F63511">
              <w:rPr>
                <w:rFonts w:eastAsia="MS Mincho" w:cstheme="minorHAnsi"/>
                <w:u w:val="single"/>
              </w:rPr>
              <w:t>Safety:</w:t>
            </w:r>
            <w:r>
              <w:rPr>
                <w:rFonts w:eastAsia="MS Mincho" w:cstheme="minorHAnsi"/>
              </w:rPr>
              <w:t xml:space="preserve"> a</w:t>
            </w:r>
            <w:r w:rsidRPr="00F63511">
              <w:rPr>
                <w:rFonts w:eastAsia="MS Mincho" w:cstheme="minorHAnsi"/>
              </w:rPr>
              <w:t>dverse events</w:t>
            </w:r>
            <w:r w:rsidR="00B14CEC">
              <w:rPr>
                <w:rFonts w:eastAsia="MS Mincho" w:cstheme="minorHAnsi"/>
              </w:rPr>
              <w:t xml:space="preserve"> </w:t>
            </w:r>
            <w:r w:rsidRPr="00F63511">
              <w:rPr>
                <w:rFonts w:eastAsia="MS Mincho" w:cstheme="minorHAnsi"/>
              </w:rPr>
              <w:t>measured for unspecified period</w:t>
            </w:r>
          </w:p>
        </w:tc>
      </w:tr>
      <w:tr w:rsidR="00A31D77" w:rsidRPr="00223463" w:rsidTr="000728F8">
        <w:trPr>
          <w:trHeight w:val="149"/>
        </w:trPr>
        <w:tc>
          <w:tcPr>
            <w:tcW w:w="483" w:type="pct"/>
          </w:tcPr>
          <w:p w:rsidR="006C5323" w:rsidRPr="00223463" w:rsidRDefault="006C5323" w:rsidP="006C5323">
            <w:pPr>
              <w:pStyle w:val="Tablewriting"/>
              <w:keepNext/>
              <w:rPr>
                <w:rFonts w:eastAsia="MS Mincho" w:cstheme="minorHAnsi"/>
              </w:rPr>
            </w:pPr>
            <w:r w:rsidRPr="009E30D6">
              <w:rPr>
                <w:rFonts w:eastAsia="MS Mincho" w:cstheme="minorHAnsi"/>
              </w:rPr>
              <w:t xml:space="preserve">Uyar </w:t>
            </w:r>
            <w:r w:rsidR="0065538B" w:rsidRPr="009E30D6">
              <w:rPr>
                <w:rFonts w:eastAsia="MS Mincho" w:cstheme="minorHAnsi"/>
              </w:rPr>
              <w:t>(</w:t>
            </w:r>
            <w:r w:rsidRPr="009E30D6">
              <w:rPr>
                <w:rFonts w:eastAsia="MS Mincho" w:cstheme="minorHAnsi"/>
              </w:rPr>
              <w:t>2007</w:t>
            </w:r>
            <w:r w:rsidR="0065538B" w:rsidRPr="009E30D6">
              <w:rPr>
                <w:rFonts w:eastAsia="MS Mincho" w:cstheme="minorHAnsi"/>
              </w:rPr>
              <w:t>)</w:t>
            </w:r>
          </w:p>
        </w:tc>
        <w:tc>
          <w:tcPr>
            <w:tcW w:w="255" w:type="pct"/>
          </w:tcPr>
          <w:p w:rsidR="006C5323" w:rsidRPr="00223463" w:rsidRDefault="006C5323" w:rsidP="006C5323">
            <w:pPr>
              <w:pStyle w:val="Tablewriting"/>
              <w:keepNext/>
              <w:rPr>
                <w:rFonts w:eastAsia="MS Mincho" w:cstheme="minorHAnsi"/>
              </w:rPr>
            </w:pPr>
            <w:r w:rsidRPr="00223463">
              <w:rPr>
                <w:rFonts w:eastAsia="MS Mincho" w:cstheme="minorHAnsi"/>
              </w:rPr>
              <w:t>RCT</w:t>
            </w:r>
          </w:p>
        </w:tc>
        <w:tc>
          <w:tcPr>
            <w:tcW w:w="436" w:type="pct"/>
          </w:tcPr>
          <w:p w:rsidR="006C5323" w:rsidRPr="00223463" w:rsidRDefault="006C5323" w:rsidP="006C5323">
            <w:pPr>
              <w:pStyle w:val="Tablewriting"/>
              <w:keepNext/>
              <w:rPr>
                <w:rFonts w:eastAsia="MS Mincho" w:cstheme="minorHAnsi"/>
              </w:rPr>
            </w:pPr>
            <w:r w:rsidRPr="00223463">
              <w:rPr>
                <w:rFonts w:eastAsia="MS Mincho" w:cstheme="minorHAnsi"/>
              </w:rPr>
              <w:t>Turkey</w:t>
            </w:r>
          </w:p>
        </w:tc>
        <w:tc>
          <w:tcPr>
            <w:tcW w:w="387" w:type="pct"/>
          </w:tcPr>
          <w:p w:rsidR="006C5323" w:rsidRPr="00223463" w:rsidRDefault="006C5323" w:rsidP="006C5323">
            <w:pPr>
              <w:pStyle w:val="Tablewriting"/>
              <w:keepNext/>
              <w:rPr>
                <w:rFonts w:eastAsia="MS Mincho" w:cstheme="minorHAnsi"/>
              </w:rPr>
            </w:pPr>
            <w:r w:rsidRPr="00223463">
              <w:rPr>
                <w:rFonts w:eastAsia="MS Mincho" w:cstheme="minorHAnsi"/>
              </w:rPr>
              <w:t>N=131</w:t>
            </w:r>
          </w:p>
        </w:tc>
        <w:tc>
          <w:tcPr>
            <w:tcW w:w="1307" w:type="pct"/>
          </w:tcPr>
          <w:p w:rsidR="006C5323" w:rsidRPr="00223463" w:rsidRDefault="006C5323" w:rsidP="006C5323">
            <w:pPr>
              <w:pStyle w:val="Tablewriting"/>
              <w:keepNext/>
              <w:rPr>
                <w:rFonts w:eastAsia="MS Mincho" w:cstheme="minorHAnsi"/>
              </w:rPr>
            </w:pPr>
            <w:r w:rsidRPr="00223463">
              <w:rPr>
                <w:rFonts w:eastAsia="MS Mincho" w:cstheme="minorHAnsi"/>
              </w:rPr>
              <w:t>Smokers</w:t>
            </w:r>
            <w:r w:rsidR="009E30D6">
              <w:rPr>
                <w:rFonts w:eastAsia="MS Mincho" w:cstheme="minorHAnsi"/>
              </w:rPr>
              <w:t>,</w:t>
            </w:r>
            <w:r w:rsidRPr="00223463">
              <w:rPr>
                <w:rFonts w:eastAsia="MS Mincho" w:cstheme="minorHAnsi"/>
              </w:rPr>
              <w:t xml:space="preserve"> 19% female</w:t>
            </w:r>
            <w:r w:rsidR="009E30D6">
              <w:rPr>
                <w:rFonts w:eastAsia="MS Mincho" w:cstheme="minorHAnsi"/>
              </w:rPr>
              <w:t>,</w:t>
            </w:r>
            <w:r w:rsidRPr="00223463">
              <w:rPr>
                <w:rFonts w:eastAsia="MS Mincho" w:cstheme="minorHAnsi"/>
              </w:rPr>
              <w:t xml:space="preserve"> average age 36</w:t>
            </w:r>
          </w:p>
        </w:tc>
        <w:tc>
          <w:tcPr>
            <w:tcW w:w="1260" w:type="pct"/>
          </w:tcPr>
          <w:p w:rsidR="006C5323" w:rsidRPr="00223463" w:rsidRDefault="006C5323" w:rsidP="00C324F3">
            <w:pPr>
              <w:pStyle w:val="Tablewriting"/>
              <w:keepNext/>
              <w:numPr>
                <w:ilvl w:val="0"/>
                <w:numId w:val="52"/>
              </w:numPr>
              <w:rPr>
                <w:rFonts w:eastAsia="MS Mincho" w:cstheme="minorHAnsi"/>
              </w:rPr>
            </w:pPr>
            <w:r w:rsidRPr="00223463">
              <w:rPr>
                <w:rFonts w:eastAsia="MS Mincho" w:cstheme="minorHAnsi"/>
              </w:rPr>
              <w:t>Bupropion 300 mg for 7 weeks</w:t>
            </w:r>
          </w:p>
          <w:p w:rsidR="006C5323" w:rsidRPr="00223463" w:rsidRDefault="006C5323" w:rsidP="00C324F3">
            <w:pPr>
              <w:pStyle w:val="Tablewriting"/>
              <w:keepNext/>
              <w:numPr>
                <w:ilvl w:val="0"/>
                <w:numId w:val="52"/>
              </w:numPr>
              <w:rPr>
                <w:rFonts w:eastAsia="MS Mincho" w:cstheme="minorHAnsi"/>
              </w:rPr>
            </w:pPr>
            <w:r w:rsidRPr="00223463">
              <w:rPr>
                <w:rFonts w:eastAsia="MS Mincho" w:cstheme="minorHAnsi"/>
              </w:rPr>
              <w:t>Nicotine patch 21 mg for 6 weeks including tapering</w:t>
            </w:r>
          </w:p>
          <w:p w:rsidR="006C5323" w:rsidRPr="00223463" w:rsidRDefault="006C5323" w:rsidP="00C324F3">
            <w:pPr>
              <w:pStyle w:val="Tablewriting"/>
              <w:keepNext/>
              <w:numPr>
                <w:ilvl w:val="0"/>
                <w:numId w:val="52"/>
              </w:numPr>
              <w:rPr>
                <w:rFonts w:eastAsia="MS Mincho" w:cstheme="minorHAnsi"/>
              </w:rPr>
            </w:pPr>
            <w:r w:rsidRPr="00223463">
              <w:rPr>
                <w:rFonts w:eastAsia="MS Mincho" w:cstheme="minorHAnsi"/>
              </w:rPr>
              <w:t>Advice and follow-up only</w:t>
            </w:r>
          </w:p>
          <w:p w:rsidR="006C5323" w:rsidRPr="00223463" w:rsidRDefault="006C5323" w:rsidP="006C5323">
            <w:pPr>
              <w:pStyle w:val="Tablewriting"/>
              <w:keepNext/>
              <w:rPr>
                <w:rFonts w:eastAsia="MS Mincho" w:cstheme="minorHAnsi"/>
              </w:rPr>
            </w:pPr>
          </w:p>
          <w:p w:rsidR="006C5323" w:rsidRPr="00223463" w:rsidRDefault="006C5323" w:rsidP="006C5323">
            <w:pPr>
              <w:pStyle w:val="Tablewriting"/>
              <w:keepNext/>
              <w:rPr>
                <w:rFonts w:eastAsia="MS Mincho" w:cstheme="minorHAnsi"/>
              </w:rPr>
            </w:pPr>
            <w:r w:rsidRPr="00223463">
              <w:rPr>
                <w:rFonts w:eastAsia="MS Mincho" w:cstheme="minorHAnsi"/>
              </w:rPr>
              <w:t>Common components: brief counselling on consequences of smoking with follow-up for 24 weeks more than low intensity</w:t>
            </w:r>
          </w:p>
        </w:tc>
        <w:tc>
          <w:tcPr>
            <w:tcW w:w="872" w:type="pct"/>
          </w:tcPr>
          <w:p w:rsidR="006C5323" w:rsidRPr="00223463" w:rsidRDefault="006C5323" w:rsidP="006C5323">
            <w:pPr>
              <w:pStyle w:val="Tablewriting"/>
              <w:keepNext/>
              <w:rPr>
                <w:rFonts w:eastAsia="MS Mincho" w:cstheme="minorHAnsi"/>
              </w:rPr>
            </w:pPr>
            <w:r w:rsidRPr="005726AD">
              <w:rPr>
                <w:rFonts w:eastAsia="MS Mincho" w:cstheme="minorHAnsi"/>
                <w:u w:val="single"/>
              </w:rPr>
              <w:t>Efficacy:</w:t>
            </w:r>
            <w:r w:rsidRPr="00223463">
              <w:rPr>
                <w:rFonts w:eastAsia="MS Mincho" w:cstheme="minorHAnsi"/>
              </w:rPr>
              <w:t xml:space="preserve"> abstinence at 24 weeks (definition not specified). Validated by CO &lt; 10 ppm</w:t>
            </w:r>
          </w:p>
          <w:p w:rsidR="006C5323" w:rsidRPr="00223463" w:rsidRDefault="006C5323" w:rsidP="006C5323">
            <w:pPr>
              <w:pStyle w:val="Tablewriting"/>
              <w:keepNext/>
              <w:rPr>
                <w:rFonts w:eastAsia="MS Mincho" w:cstheme="minorHAnsi"/>
              </w:rPr>
            </w:pPr>
            <w:r w:rsidRPr="005726AD">
              <w:rPr>
                <w:rFonts w:eastAsia="MS Mincho" w:cstheme="minorHAnsi"/>
                <w:u w:val="single"/>
              </w:rPr>
              <w:t>Safety:</w:t>
            </w:r>
            <w:r w:rsidRPr="00223463">
              <w:rPr>
                <w:rFonts w:eastAsia="MS Mincho" w:cstheme="minorHAnsi"/>
              </w:rPr>
              <w:t xml:space="preserve"> adverse events measured for</w:t>
            </w:r>
            <w:r w:rsidR="005726AD">
              <w:rPr>
                <w:rFonts w:eastAsia="MS Mincho" w:cstheme="minorHAnsi"/>
              </w:rPr>
              <w:t xml:space="preserve"> </w:t>
            </w:r>
            <w:r w:rsidRPr="00223463">
              <w:rPr>
                <w:rFonts w:eastAsia="MS Mincho" w:cstheme="minorHAnsi"/>
              </w:rPr>
              <w:t>unspecified period</w:t>
            </w:r>
          </w:p>
        </w:tc>
      </w:tr>
      <w:tr w:rsidR="00A31D77" w:rsidRPr="00223463" w:rsidTr="000728F8">
        <w:trPr>
          <w:trHeight w:val="149"/>
        </w:trPr>
        <w:tc>
          <w:tcPr>
            <w:tcW w:w="483" w:type="pct"/>
          </w:tcPr>
          <w:p w:rsidR="006C5323" w:rsidRPr="00223463" w:rsidRDefault="006C5323" w:rsidP="006C5323">
            <w:pPr>
              <w:pStyle w:val="Tablewriting"/>
              <w:keepNext/>
              <w:rPr>
                <w:rFonts w:eastAsia="MS Mincho" w:cstheme="minorHAnsi"/>
              </w:rPr>
            </w:pPr>
            <w:r w:rsidRPr="00892843">
              <w:rPr>
                <w:rFonts w:eastAsia="MS Mincho" w:cstheme="minorHAnsi"/>
              </w:rPr>
              <w:t xml:space="preserve">Stapleton </w:t>
            </w:r>
            <w:r w:rsidR="0065538B" w:rsidRPr="00892843">
              <w:rPr>
                <w:rFonts w:eastAsia="MS Mincho" w:cstheme="minorHAnsi"/>
              </w:rPr>
              <w:t>(</w:t>
            </w:r>
            <w:r w:rsidRPr="00892843">
              <w:rPr>
                <w:rFonts w:eastAsia="MS Mincho" w:cstheme="minorHAnsi"/>
              </w:rPr>
              <w:t>2013</w:t>
            </w:r>
            <w:r w:rsidR="0065538B" w:rsidRPr="00892843">
              <w:rPr>
                <w:rFonts w:eastAsia="MS Mincho" w:cstheme="minorHAnsi"/>
              </w:rPr>
              <w:t>)</w:t>
            </w:r>
          </w:p>
        </w:tc>
        <w:tc>
          <w:tcPr>
            <w:tcW w:w="255" w:type="pct"/>
          </w:tcPr>
          <w:p w:rsidR="006C5323" w:rsidRPr="00223463" w:rsidRDefault="006C5323" w:rsidP="006C5323">
            <w:pPr>
              <w:pStyle w:val="Tablewriting"/>
              <w:keepNext/>
              <w:rPr>
                <w:rFonts w:eastAsia="MS Mincho" w:cstheme="minorHAnsi"/>
              </w:rPr>
            </w:pPr>
            <w:r w:rsidRPr="00223463">
              <w:rPr>
                <w:rFonts w:eastAsia="MS Mincho" w:cstheme="minorHAnsi"/>
              </w:rPr>
              <w:t>RCT</w:t>
            </w:r>
          </w:p>
        </w:tc>
        <w:tc>
          <w:tcPr>
            <w:tcW w:w="436" w:type="pct"/>
          </w:tcPr>
          <w:p w:rsidR="006C5323" w:rsidRPr="00223463" w:rsidRDefault="006C5323" w:rsidP="006C5323">
            <w:pPr>
              <w:pStyle w:val="Tablewriting"/>
              <w:keepNext/>
              <w:rPr>
                <w:rFonts w:eastAsia="MS Mincho" w:cstheme="minorHAnsi"/>
              </w:rPr>
            </w:pPr>
            <w:r>
              <w:rPr>
                <w:rFonts w:eastAsia="MS Mincho" w:cstheme="minorHAnsi"/>
              </w:rPr>
              <w:t>UK</w:t>
            </w:r>
          </w:p>
        </w:tc>
        <w:tc>
          <w:tcPr>
            <w:tcW w:w="387" w:type="pct"/>
          </w:tcPr>
          <w:p w:rsidR="006C5323" w:rsidRPr="00223463" w:rsidRDefault="006C5323" w:rsidP="006C5323">
            <w:pPr>
              <w:pStyle w:val="Tablewriting"/>
              <w:keepNext/>
              <w:rPr>
                <w:rFonts w:eastAsia="MS Mincho" w:cstheme="minorHAnsi"/>
              </w:rPr>
            </w:pPr>
            <w:r>
              <w:rPr>
                <w:rFonts w:eastAsia="MS Mincho" w:cstheme="minorHAnsi"/>
              </w:rPr>
              <w:t>N=</w:t>
            </w:r>
            <w:r w:rsidRPr="00F63511">
              <w:rPr>
                <w:rFonts w:eastAsia="MS Mincho" w:cstheme="minorHAnsi"/>
              </w:rPr>
              <w:t>1071</w:t>
            </w:r>
          </w:p>
        </w:tc>
        <w:tc>
          <w:tcPr>
            <w:tcW w:w="1307" w:type="pct"/>
          </w:tcPr>
          <w:p w:rsidR="006C5323" w:rsidRPr="00223463" w:rsidRDefault="006C5323" w:rsidP="006C5323">
            <w:pPr>
              <w:pStyle w:val="Tablewriting"/>
              <w:keepNext/>
              <w:rPr>
                <w:rFonts w:eastAsia="MS Mincho" w:cstheme="minorHAnsi"/>
              </w:rPr>
            </w:pPr>
            <w:r w:rsidRPr="00F63511">
              <w:rPr>
                <w:rFonts w:eastAsia="MS Mincho" w:cstheme="minorHAnsi"/>
              </w:rPr>
              <w:t>daily smokers</w:t>
            </w:r>
            <w:r w:rsidR="008A78A1">
              <w:rPr>
                <w:rFonts w:eastAsia="MS Mincho" w:cstheme="minorHAnsi"/>
              </w:rPr>
              <w:t>,</w:t>
            </w:r>
            <w:r w:rsidRPr="00F63511">
              <w:rPr>
                <w:rFonts w:eastAsia="MS Mincho" w:cstheme="minorHAnsi"/>
              </w:rPr>
              <w:t xml:space="preserve"> 53% female</w:t>
            </w:r>
            <w:r w:rsidR="008A78A1">
              <w:rPr>
                <w:rFonts w:eastAsia="MS Mincho" w:cstheme="minorHAnsi"/>
              </w:rPr>
              <w:t>,</w:t>
            </w:r>
            <w:r w:rsidRPr="00F63511">
              <w:rPr>
                <w:rFonts w:eastAsia="MS Mincho" w:cstheme="minorHAnsi"/>
              </w:rPr>
              <w:t xml:space="preserve"> average age 41</w:t>
            </w:r>
            <w:r w:rsidR="008A78A1">
              <w:rPr>
                <w:rFonts w:eastAsia="MS Mincho" w:cstheme="minorHAnsi"/>
              </w:rPr>
              <w:t xml:space="preserve"> years,</w:t>
            </w:r>
            <w:r w:rsidRPr="00F63511">
              <w:rPr>
                <w:rFonts w:eastAsia="MS Mincho" w:cstheme="minorHAnsi"/>
              </w:rPr>
              <w:t xml:space="preserve"> average cigarettes per day 20</w:t>
            </w:r>
          </w:p>
        </w:tc>
        <w:tc>
          <w:tcPr>
            <w:tcW w:w="1260" w:type="pct"/>
          </w:tcPr>
          <w:p w:rsidR="006C5323" w:rsidRDefault="006C5323" w:rsidP="00C324F3">
            <w:pPr>
              <w:pStyle w:val="Tablewriting"/>
              <w:keepNext/>
              <w:numPr>
                <w:ilvl w:val="0"/>
                <w:numId w:val="59"/>
              </w:numPr>
              <w:rPr>
                <w:rFonts w:eastAsia="MS Mincho" w:cstheme="minorHAnsi"/>
              </w:rPr>
            </w:pPr>
            <w:r w:rsidRPr="00F63511">
              <w:rPr>
                <w:rFonts w:eastAsia="MS Mincho" w:cstheme="minorHAnsi"/>
              </w:rPr>
              <w:t>Bupropion 8 weeks, started prior to TQD (exact period not specified), 150 mg/d for first 6 day, then</w:t>
            </w:r>
            <w:r>
              <w:rPr>
                <w:rFonts w:eastAsia="MS Mincho" w:cstheme="minorHAnsi"/>
              </w:rPr>
              <w:t xml:space="preserve"> </w:t>
            </w:r>
            <w:r w:rsidRPr="00F63511">
              <w:rPr>
                <w:rFonts w:eastAsia="MS Mincho" w:cstheme="minorHAnsi"/>
              </w:rPr>
              <w:t>300 mg for remainder</w:t>
            </w:r>
          </w:p>
          <w:p w:rsidR="006C5323" w:rsidRDefault="006C5323" w:rsidP="00C324F3">
            <w:pPr>
              <w:pStyle w:val="Tablewriting"/>
              <w:keepNext/>
              <w:numPr>
                <w:ilvl w:val="0"/>
                <w:numId w:val="59"/>
              </w:numPr>
              <w:rPr>
                <w:rFonts w:eastAsia="MS Mincho" w:cstheme="minorHAnsi"/>
              </w:rPr>
            </w:pPr>
            <w:r w:rsidRPr="00F63511">
              <w:rPr>
                <w:rFonts w:eastAsia="MS Mincho" w:cstheme="minorHAnsi"/>
              </w:rPr>
              <w:t>Bupropion and NRT. Bupropion as above. NRT given as choice of single product, 12 weeks started on</w:t>
            </w:r>
            <w:r>
              <w:rPr>
                <w:rFonts w:eastAsia="MS Mincho" w:cstheme="minorHAnsi"/>
              </w:rPr>
              <w:t xml:space="preserve"> </w:t>
            </w:r>
            <w:r w:rsidRPr="00F63511">
              <w:rPr>
                <w:rFonts w:eastAsia="MS Mincho" w:cstheme="minorHAnsi"/>
              </w:rPr>
              <w:t>TQD, dosage determined on individual basis</w:t>
            </w:r>
          </w:p>
          <w:p w:rsidR="006C5323" w:rsidRPr="00F63511" w:rsidRDefault="006C5323" w:rsidP="00C324F3">
            <w:pPr>
              <w:pStyle w:val="Tablewriting"/>
              <w:keepNext/>
              <w:numPr>
                <w:ilvl w:val="0"/>
                <w:numId w:val="59"/>
              </w:numPr>
              <w:rPr>
                <w:rFonts w:eastAsia="MS Mincho" w:cstheme="minorHAnsi"/>
              </w:rPr>
            </w:pPr>
            <w:r w:rsidRPr="00F63511">
              <w:rPr>
                <w:rFonts w:eastAsia="MS Mincho" w:cstheme="minorHAnsi"/>
              </w:rPr>
              <w:t>NRT. As above</w:t>
            </w:r>
          </w:p>
          <w:p w:rsidR="006C5323" w:rsidRDefault="006C5323" w:rsidP="006C5323">
            <w:pPr>
              <w:pStyle w:val="Tablewriting"/>
              <w:keepNext/>
              <w:rPr>
                <w:rFonts w:eastAsia="MS Mincho" w:cstheme="minorHAnsi"/>
              </w:rPr>
            </w:pPr>
          </w:p>
          <w:p w:rsidR="006C5323" w:rsidRPr="00F63511" w:rsidRDefault="006C5323" w:rsidP="006C5323">
            <w:pPr>
              <w:pStyle w:val="Tablewriting"/>
              <w:keepNext/>
              <w:rPr>
                <w:rFonts w:eastAsia="MS Mincho" w:cstheme="minorHAnsi"/>
              </w:rPr>
            </w:pPr>
            <w:r w:rsidRPr="00F63511">
              <w:rPr>
                <w:rFonts w:eastAsia="MS Mincho" w:cstheme="minorHAnsi"/>
                <w:u w:val="single"/>
              </w:rPr>
              <w:t>Common components:</w:t>
            </w:r>
            <w:r w:rsidRPr="00F63511">
              <w:rPr>
                <w:rFonts w:eastAsia="MS Mincho" w:cstheme="minorHAnsi"/>
              </w:rPr>
              <w:t xml:space="preserve"> 7 weekly behavioural support sessions as per standard service protocol. Mainly</w:t>
            </w:r>
          </w:p>
          <w:p w:rsidR="006C5323" w:rsidRPr="00223463" w:rsidRDefault="006C5323" w:rsidP="006C5323">
            <w:pPr>
              <w:pStyle w:val="Tablewriting"/>
              <w:keepNext/>
              <w:rPr>
                <w:rFonts w:eastAsia="MS Mincho" w:cstheme="minorHAnsi"/>
              </w:rPr>
            </w:pPr>
            <w:r w:rsidRPr="00F63511">
              <w:rPr>
                <w:rFonts w:eastAsia="MS Mincho" w:cstheme="minorHAnsi"/>
              </w:rPr>
              <w:t>group, 60-90 mins each</w:t>
            </w:r>
          </w:p>
        </w:tc>
        <w:tc>
          <w:tcPr>
            <w:tcW w:w="872" w:type="pct"/>
          </w:tcPr>
          <w:p w:rsidR="006C5323" w:rsidRPr="00F63511" w:rsidRDefault="006C5323" w:rsidP="006C5323">
            <w:pPr>
              <w:pStyle w:val="Tablewriting"/>
              <w:keepNext/>
              <w:rPr>
                <w:rFonts w:eastAsia="MS Mincho" w:cstheme="minorHAnsi"/>
              </w:rPr>
            </w:pPr>
            <w:r w:rsidRPr="00F63511">
              <w:rPr>
                <w:rFonts w:eastAsia="MS Mincho" w:cstheme="minorHAnsi"/>
                <w:u w:val="single"/>
              </w:rPr>
              <w:t>Efficacy:</w:t>
            </w:r>
            <w:r w:rsidRPr="00F63511">
              <w:rPr>
                <w:rFonts w:eastAsia="MS Mincho" w:cstheme="minorHAnsi"/>
              </w:rPr>
              <w:t xml:space="preserve"> prolonged abstinence at 6 months. Validated by CO &lt; 10 ppm</w:t>
            </w:r>
          </w:p>
          <w:p w:rsidR="006C5323" w:rsidRPr="00223463" w:rsidRDefault="006C5323" w:rsidP="006C5323">
            <w:pPr>
              <w:pStyle w:val="Tablewriting"/>
              <w:keepNext/>
              <w:rPr>
                <w:rFonts w:eastAsia="MS Mincho" w:cstheme="minorHAnsi"/>
              </w:rPr>
            </w:pPr>
            <w:r w:rsidRPr="00F63511">
              <w:rPr>
                <w:rFonts w:eastAsia="MS Mincho" w:cstheme="minorHAnsi"/>
                <w:u w:val="single"/>
              </w:rPr>
              <w:t>Safety:</w:t>
            </w:r>
            <w:r>
              <w:rPr>
                <w:rFonts w:eastAsia="MS Mincho" w:cstheme="minorHAnsi"/>
              </w:rPr>
              <w:t xml:space="preserve"> a</w:t>
            </w:r>
            <w:r w:rsidRPr="00F63511">
              <w:rPr>
                <w:rFonts w:eastAsia="MS Mincho" w:cstheme="minorHAnsi"/>
              </w:rPr>
              <w:t>dverse events</w:t>
            </w:r>
            <w:r>
              <w:rPr>
                <w:rFonts w:eastAsia="MS Mincho" w:cstheme="minorHAnsi"/>
              </w:rPr>
              <w:t xml:space="preserve"> </w:t>
            </w:r>
            <w:r w:rsidRPr="00F63511">
              <w:rPr>
                <w:rFonts w:eastAsia="MS Mincho" w:cstheme="minorHAnsi"/>
              </w:rPr>
              <w:t>measured for</w:t>
            </w:r>
            <w:r w:rsidR="00E26CFA">
              <w:rPr>
                <w:rFonts w:eastAsia="MS Mincho" w:cstheme="minorHAnsi"/>
              </w:rPr>
              <w:t xml:space="preserve"> </w:t>
            </w:r>
            <w:r w:rsidRPr="00F63511">
              <w:rPr>
                <w:rFonts w:eastAsia="MS Mincho" w:cstheme="minorHAnsi"/>
              </w:rPr>
              <w:t>unspecified period</w:t>
            </w:r>
          </w:p>
        </w:tc>
      </w:tr>
      <w:tr w:rsidR="00A31D77" w:rsidRPr="00223463" w:rsidTr="000728F8">
        <w:trPr>
          <w:trHeight w:val="149"/>
        </w:trPr>
        <w:tc>
          <w:tcPr>
            <w:tcW w:w="483" w:type="pct"/>
          </w:tcPr>
          <w:p w:rsidR="006C5323" w:rsidRPr="00223463" w:rsidRDefault="006C5323" w:rsidP="006C5323">
            <w:pPr>
              <w:pStyle w:val="Tablewriting"/>
              <w:keepNext/>
              <w:rPr>
                <w:rFonts w:eastAsia="MS Mincho" w:cstheme="minorHAnsi"/>
              </w:rPr>
            </w:pPr>
            <w:r w:rsidRPr="00223463">
              <w:rPr>
                <w:rFonts w:eastAsia="MS Mincho" w:cstheme="minorHAnsi"/>
              </w:rPr>
              <w:t xml:space="preserve">Wittchen </w:t>
            </w:r>
            <w:r w:rsidR="0065538B">
              <w:rPr>
                <w:rFonts w:eastAsia="MS Mincho" w:cstheme="minorHAnsi"/>
              </w:rPr>
              <w:t>(</w:t>
            </w:r>
            <w:r w:rsidRPr="00223463">
              <w:rPr>
                <w:rFonts w:eastAsia="MS Mincho" w:cstheme="minorHAnsi"/>
              </w:rPr>
              <w:t>2011</w:t>
            </w:r>
            <w:r w:rsidR="0065538B">
              <w:rPr>
                <w:rFonts w:eastAsia="MS Mincho" w:cstheme="minorHAnsi"/>
              </w:rPr>
              <w:t>)</w:t>
            </w:r>
          </w:p>
        </w:tc>
        <w:tc>
          <w:tcPr>
            <w:tcW w:w="255" w:type="pct"/>
          </w:tcPr>
          <w:p w:rsidR="006C5323" w:rsidRPr="00223463" w:rsidRDefault="006C5323" w:rsidP="006C5323">
            <w:pPr>
              <w:pStyle w:val="Tablewriting"/>
              <w:keepNext/>
              <w:rPr>
                <w:rFonts w:eastAsia="MS Mincho" w:cstheme="minorHAnsi"/>
              </w:rPr>
            </w:pPr>
            <w:r w:rsidRPr="00223463">
              <w:rPr>
                <w:rFonts w:eastAsia="MS Mincho" w:cstheme="minorHAnsi"/>
              </w:rPr>
              <w:t>RCT</w:t>
            </w:r>
          </w:p>
        </w:tc>
        <w:tc>
          <w:tcPr>
            <w:tcW w:w="436" w:type="pct"/>
          </w:tcPr>
          <w:p w:rsidR="006C5323" w:rsidRPr="00223463" w:rsidRDefault="006C5323" w:rsidP="006C5323">
            <w:pPr>
              <w:pStyle w:val="Tablewriting"/>
              <w:keepNext/>
              <w:rPr>
                <w:rFonts w:eastAsia="MS Mincho" w:cstheme="minorHAnsi"/>
              </w:rPr>
            </w:pPr>
            <w:r w:rsidRPr="00223463">
              <w:rPr>
                <w:rFonts w:eastAsia="MS Mincho" w:cstheme="minorHAnsi"/>
              </w:rPr>
              <w:t>Germany</w:t>
            </w:r>
          </w:p>
        </w:tc>
        <w:tc>
          <w:tcPr>
            <w:tcW w:w="387" w:type="pct"/>
          </w:tcPr>
          <w:p w:rsidR="006C5323" w:rsidRPr="00223463" w:rsidRDefault="006C5323" w:rsidP="006C5323">
            <w:pPr>
              <w:pStyle w:val="Tablewriting"/>
              <w:keepNext/>
              <w:rPr>
                <w:rFonts w:eastAsia="MS Mincho" w:cstheme="minorHAnsi"/>
              </w:rPr>
            </w:pPr>
            <w:r w:rsidRPr="00223463">
              <w:rPr>
                <w:rFonts w:eastAsia="MS Mincho" w:cstheme="minorHAnsi"/>
              </w:rPr>
              <w:t>N=467</w:t>
            </w:r>
          </w:p>
        </w:tc>
        <w:tc>
          <w:tcPr>
            <w:tcW w:w="1307" w:type="pct"/>
          </w:tcPr>
          <w:p w:rsidR="006C5323" w:rsidRPr="00223463" w:rsidRDefault="006C5323" w:rsidP="006C5323">
            <w:pPr>
              <w:pStyle w:val="Tablewriting"/>
              <w:keepNext/>
              <w:rPr>
                <w:rFonts w:eastAsia="MS Mincho" w:cstheme="minorHAnsi"/>
              </w:rPr>
            </w:pPr>
            <w:r w:rsidRPr="00223463">
              <w:rPr>
                <w:rFonts w:eastAsia="MS Mincho" w:cstheme="minorHAnsi"/>
              </w:rPr>
              <w:t>"current regular smokers"; 52% female</w:t>
            </w:r>
            <w:r w:rsidR="008A78A1">
              <w:rPr>
                <w:rFonts w:eastAsia="MS Mincho" w:cstheme="minorHAnsi"/>
              </w:rPr>
              <w:t>,</w:t>
            </w:r>
            <w:r w:rsidRPr="00223463">
              <w:rPr>
                <w:rFonts w:eastAsia="MS Mincho" w:cstheme="minorHAnsi"/>
              </w:rPr>
              <w:t xml:space="preserve"> average age 43</w:t>
            </w:r>
            <w:r w:rsidR="008A78A1">
              <w:rPr>
                <w:rFonts w:eastAsia="MS Mincho" w:cstheme="minorHAnsi"/>
              </w:rPr>
              <w:t xml:space="preserve"> years,</w:t>
            </w:r>
            <w:r w:rsidRPr="00223463">
              <w:rPr>
                <w:rFonts w:eastAsia="MS Mincho" w:cstheme="minorHAnsi"/>
              </w:rPr>
              <w:t xml:space="preserve"> average cigarettes per day 20</w:t>
            </w:r>
          </w:p>
        </w:tc>
        <w:tc>
          <w:tcPr>
            <w:tcW w:w="1260" w:type="pct"/>
          </w:tcPr>
          <w:p w:rsidR="006C5323" w:rsidRPr="00223463" w:rsidRDefault="006C5323" w:rsidP="00C324F3">
            <w:pPr>
              <w:pStyle w:val="Tablewriting"/>
              <w:keepNext/>
              <w:numPr>
                <w:ilvl w:val="0"/>
                <w:numId w:val="54"/>
              </w:numPr>
              <w:rPr>
                <w:rFonts w:eastAsia="MS Mincho" w:cstheme="minorHAnsi"/>
              </w:rPr>
            </w:pPr>
            <w:r w:rsidRPr="00223463">
              <w:rPr>
                <w:rFonts w:eastAsia="MS Mincho" w:cstheme="minorHAnsi"/>
              </w:rPr>
              <w:t>CBT 4-5 one-on-one counselling sessions for 20-30 mins</w:t>
            </w:r>
          </w:p>
          <w:p w:rsidR="006C5323" w:rsidRPr="00223463" w:rsidRDefault="006C5323" w:rsidP="00C324F3">
            <w:pPr>
              <w:pStyle w:val="Tablewriting"/>
              <w:keepNext/>
              <w:numPr>
                <w:ilvl w:val="0"/>
                <w:numId w:val="54"/>
              </w:numPr>
              <w:rPr>
                <w:rFonts w:eastAsia="MS Mincho" w:cstheme="minorHAnsi"/>
              </w:rPr>
            </w:pPr>
            <w:r w:rsidRPr="00223463">
              <w:rPr>
                <w:rFonts w:eastAsia="MS Mincho" w:cstheme="minorHAnsi"/>
              </w:rPr>
              <w:t>CBT and bupropion SR. CBT as above. Bupropion SR (9-12 weeks, 150 mg; 1/day for first 6 days; 2/day thereafter)</w:t>
            </w:r>
          </w:p>
          <w:p w:rsidR="006C5323" w:rsidRPr="00223463" w:rsidRDefault="006C5323" w:rsidP="00C324F3">
            <w:pPr>
              <w:pStyle w:val="Tablewriting"/>
              <w:keepNext/>
              <w:numPr>
                <w:ilvl w:val="0"/>
                <w:numId w:val="54"/>
              </w:numPr>
              <w:rPr>
                <w:rFonts w:eastAsia="MS Mincho" w:cstheme="minorHAnsi"/>
              </w:rPr>
            </w:pPr>
            <w:r w:rsidRPr="00223463">
              <w:rPr>
                <w:rFonts w:eastAsia="MS Mincho" w:cstheme="minorHAnsi"/>
              </w:rPr>
              <w:t>CBT and NRT. CBT as above. NRT for 9-12 weeks, patient's choice of patch (7 mg to 52.5 mg), gum (2 or 4 mg) or spray (10 mg/mL)</w:t>
            </w:r>
          </w:p>
          <w:p w:rsidR="006C5323" w:rsidRPr="00223463" w:rsidRDefault="006C5323" w:rsidP="008A78A1">
            <w:pPr>
              <w:pStyle w:val="Tablewriting"/>
              <w:keepNext/>
              <w:ind w:left="360"/>
              <w:rPr>
                <w:rFonts w:eastAsia="MS Mincho" w:cstheme="minorHAnsi"/>
              </w:rPr>
            </w:pPr>
            <w:r w:rsidRPr="00223463">
              <w:rPr>
                <w:rFonts w:eastAsia="MS Mincho" w:cstheme="minorHAnsi"/>
              </w:rPr>
              <w:lastRenderedPageBreak/>
              <w:t>Minimal intervention (not used in review)</w:t>
            </w:r>
          </w:p>
        </w:tc>
        <w:tc>
          <w:tcPr>
            <w:tcW w:w="872" w:type="pct"/>
          </w:tcPr>
          <w:p w:rsidR="006C5323" w:rsidRPr="00223463" w:rsidRDefault="006C5323" w:rsidP="006C5323">
            <w:pPr>
              <w:pStyle w:val="Tablewriting"/>
              <w:keepNext/>
              <w:rPr>
                <w:rFonts w:eastAsia="MS Mincho" w:cstheme="minorHAnsi"/>
              </w:rPr>
            </w:pPr>
            <w:r w:rsidRPr="00477384">
              <w:rPr>
                <w:rFonts w:eastAsia="MS Mincho" w:cstheme="minorHAnsi"/>
                <w:u w:val="single"/>
              </w:rPr>
              <w:lastRenderedPageBreak/>
              <w:t>Efficacy:</w:t>
            </w:r>
            <w:r w:rsidRPr="00223463">
              <w:rPr>
                <w:rFonts w:eastAsia="MS Mincho" w:cstheme="minorHAnsi"/>
              </w:rPr>
              <w:t xml:space="preserve"> abstinence at 12 months (from EoT). Validation method not specified</w:t>
            </w:r>
          </w:p>
          <w:p w:rsidR="006C5323" w:rsidRPr="00223463" w:rsidRDefault="006C5323" w:rsidP="006C5323">
            <w:pPr>
              <w:pStyle w:val="Tablewriting"/>
              <w:keepNext/>
              <w:rPr>
                <w:rFonts w:eastAsia="MS Mincho" w:cstheme="minorHAnsi"/>
              </w:rPr>
            </w:pPr>
            <w:r w:rsidRPr="00477384">
              <w:rPr>
                <w:rFonts w:eastAsia="MS Mincho" w:cstheme="minorHAnsi"/>
                <w:u w:val="single"/>
              </w:rPr>
              <w:t>Safety:</w:t>
            </w:r>
            <w:r w:rsidRPr="00223463">
              <w:rPr>
                <w:rFonts w:eastAsia="MS Mincho" w:cstheme="minorHAnsi"/>
              </w:rPr>
              <w:t xml:space="preserve"> adverse events measured for 12 weeks</w:t>
            </w:r>
          </w:p>
        </w:tc>
      </w:tr>
    </w:tbl>
    <w:p w:rsidR="00092116" w:rsidRPr="009B042A" w:rsidRDefault="00092116" w:rsidP="00092116">
      <w:pPr>
        <w:pStyle w:val="TableFooter"/>
        <w:keepNext/>
      </w:pPr>
      <w:r>
        <w:t>Source: Howes et al. (2020)</w:t>
      </w:r>
    </w:p>
    <w:p w:rsidR="008A78A1" w:rsidRPr="00FC4F81" w:rsidRDefault="008A78A1" w:rsidP="008A78A1">
      <w:pPr>
        <w:pStyle w:val="TableFooter"/>
        <w:keepNext/>
      </w:pPr>
      <w:r>
        <w:t xml:space="preserve">Abbreviations: NR= not reported; </w:t>
      </w:r>
      <w:r w:rsidRPr="009B042A">
        <w:t xml:space="preserve">PPA= point prevalence smoking abstinence; </w:t>
      </w:r>
      <w:r>
        <w:t xml:space="preserve">CA= continuous abstinence; </w:t>
      </w:r>
      <w:r w:rsidRPr="009B042A">
        <w:t xml:space="preserve">RCT= randomised controlled trial; N= total participants; TQD= target quit date; ITT= intention to treat; DSM-IV-TR= Mental Disorders, Fourth Edition, Text Revision;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CBT= cognitive behavioural therapy; MI= myocardial infarction; COPD= c</w:t>
      </w:r>
      <w:r w:rsidRPr="003D2386">
        <w:t>hronic obstructive pulmonary disease</w:t>
      </w:r>
      <w:r>
        <w:t>; SR= sustained release</w:t>
      </w:r>
      <w:r w:rsidR="005801BD">
        <w:t xml:space="preserve">; AEs= adverse events; SAEs= serious adverse events. </w:t>
      </w:r>
    </w:p>
    <w:p w:rsidR="008259C8" w:rsidRDefault="008259C8" w:rsidP="008259C8">
      <w:pPr>
        <w:pStyle w:val="Caption"/>
        <w:keepNext/>
      </w:pPr>
      <w:bookmarkStart w:id="374" w:name="_Ref54000082"/>
      <w:r>
        <w:t xml:space="preserve">Table </w:t>
      </w:r>
      <w:r w:rsidR="003C4A1C">
        <w:rPr>
          <w:noProof/>
        </w:rPr>
        <w:t>146</w:t>
      </w:r>
      <w:bookmarkEnd w:id="374"/>
      <w:r>
        <w:t xml:space="preserve">: </w:t>
      </w:r>
      <w:r w:rsidRPr="00A66934">
        <w:t xml:space="preserve">Characteristics of studies included in </w:t>
      </w:r>
      <w:r>
        <w:t>Cahill</w:t>
      </w:r>
      <w:r w:rsidRPr="00A66934">
        <w:t xml:space="preserve"> et al. (20</w:t>
      </w:r>
      <w:r>
        <w:t>16</w:t>
      </w:r>
      <w:r w:rsidRPr="00A66934">
        <w:t xml:space="preserve">), </w:t>
      </w:r>
      <w:r>
        <w:t>varenicline</w:t>
      </w:r>
      <w:r w:rsidRPr="00A66934">
        <w:t xml:space="preserve"> versus placebo</w:t>
      </w:r>
    </w:p>
    <w:tbl>
      <w:tblPr>
        <w:tblStyle w:val="TableGrid"/>
        <w:tblW w:w="5270" w:type="pct"/>
        <w:tblLook w:val="04A0" w:firstRow="1" w:lastRow="0" w:firstColumn="1" w:lastColumn="0" w:noHBand="0" w:noVBand="1"/>
        <w:tblCaption w:val="Efficacy results of adalimumab trials (PASI 75 and DLQI)"/>
      </w:tblPr>
      <w:tblGrid>
        <w:gridCol w:w="2238"/>
        <w:gridCol w:w="690"/>
        <w:gridCol w:w="1358"/>
        <w:gridCol w:w="1995"/>
        <w:gridCol w:w="2503"/>
        <w:gridCol w:w="3098"/>
        <w:gridCol w:w="2819"/>
      </w:tblGrid>
      <w:tr w:rsidR="003D3459" w:rsidRPr="00061F78" w:rsidTr="000728F8">
        <w:trPr>
          <w:trHeight w:val="299"/>
          <w:tblHeader/>
        </w:trPr>
        <w:tc>
          <w:tcPr>
            <w:tcW w:w="763" w:type="pct"/>
            <w:shd w:val="clear" w:color="auto" w:fill="BFBFBF" w:themeFill="background1" w:themeFillShade="BF"/>
            <w:tcMar>
              <w:left w:w="28" w:type="dxa"/>
              <w:right w:w="28" w:type="dxa"/>
            </w:tcMar>
          </w:tcPr>
          <w:p w:rsidR="008259C8" w:rsidRPr="00061F78" w:rsidRDefault="008B4BB0" w:rsidP="00A71365">
            <w:pPr>
              <w:pStyle w:val="Tableheading"/>
              <w:rPr>
                <w:rFonts w:eastAsia="MS Mincho"/>
              </w:rPr>
            </w:pPr>
            <w:r>
              <w:rPr>
                <w:rFonts w:eastAsia="MS Mincho"/>
              </w:rPr>
              <w:t>Study</w:t>
            </w:r>
          </w:p>
        </w:tc>
        <w:tc>
          <w:tcPr>
            <w:tcW w:w="234" w:type="pct"/>
            <w:shd w:val="clear" w:color="auto" w:fill="BFBFBF" w:themeFill="background1" w:themeFillShade="BF"/>
          </w:tcPr>
          <w:p w:rsidR="008259C8" w:rsidRDefault="008259C8" w:rsidP="00A71365">
            <w:pPr>
              <w:pStyle w:val="Tableheading"/>
              <w:jc w:val="center"/>
              <w:rPr>
                <w:rFonts w:eastAsia="MS Mincho"/>
              </w:rPr>
            </w:pPr>
            <w:r>
              <w:rPr>
                <w:rFonts w:eastAsia="MS Mincho"/>
              </w:rPr>
              <w:t>Study type</w:t>
            </w:r>
          </w:p>
        </w:tc>
        <w:tc>
          <w:tcPr>
            <w:tcW w:w="460" w:type="pct"/>
            <w:shd w:val="clear" w:color="auto" w:fill="BFBFBF" w:themeFill="background1" w:themeFillShade="BF"/>
          </w:tcPr>
          <w:p w:rsidR="008259C8" w:rsidRDefault="008259C8" w:rsidP="00A71365">
            <w:pPr>
              <w:pStyle w:val="Tableheading"/>
              <w:jc w:val="center"/>
              <w:rPr>
                <w:rFonts w:eastAsia="MS Mincho"/>
              </w:rPr>
            </w:pPr>
            <w:r>
              <w:rPr>
                <w:rFonts w:eastAsia="MS Mincho"/>
              </w:rPr>
              <w:t>Countries</w:t>
            </w:r>
          </w:p>
        </w:tc>
        <w:tc>
          <w:tcPr>
            <w:tcW w:w="675" w:type="pct"/>
            <w:shd w:val="clear" w:color="auto" w:fill="BFBFBF" w:themeFill="background1" w:themeFillShade="BF"/>
            <w:tcMar>
              <w:left w:w="28" w:type="dxa"/>
              <w:right w:w="28" w:type="dxa"/>
            </w:tcMar>
          </w:tcPr>
          <w:p w:rsidR="008259C8" w:rsidRPr="00061F78" w:rsidRDefault="008259C8" w:rsidP="00A71365">
            <w:pPr>
              <w:pStyle w:val="Tableheading"/>
              <w:jc w:val="center"/>
              <w:rPr>
                <w:rFonts w:eastAsia="MS Mincho"/>
              </w:rPr>
            </w:pPr>
            <w:r>
              <w:rPr>
                <w:rFonts w:eastAsia="MS Mincho"/>
              </w:rPr>
              <w:t>N</w:t>
            </w:r>
          </w:p>
        </w:tc>
        <w:tc>
          <w:tcPr>
            <w:tcW w:w="853" w:type="pct"/>
            <w:shd w:val="clear" w:color="auto" w:fill="BFBFBF" w:themeFill="background1" w:themeFillShade="BF"/>
            <w:tcMar>
              <w:left w:w="28" w:type="dxa"/>
              <w:right w:w="28" w:type="dxa"/>
            </w:tcMar>
          </w:tcPr>
          <w:p w:rsidR="008259C8" w:rsidRPr="00061F78" w:rsidRDefault="008259C8" w:rsidP="00A71365">
            <w:pPr>
              <w:pStyle w:val="Tableheading"/>
              <w:jc w:val="center"/>
              <w:rPr>
                <w:rFonts w:eastAsia="MS Mincho"/>
              </w:rPr>
            </w:pPr>
            <w:r w:rsidRPr="00061F78">
              <w:rPr>
                <w:rFonts w:eastAsia="MS Mincho"/>
              </w:rPr>
              <w:t>P</w:t>
            </w:r>
            <w:r>
              <w:rPr>
                <w:rFonts w:eastAsia="MS Mincho"/>
              </w:rPr>
              <w:t>opulation</w:t>
            </w:r>
          </w:p>
        </w:tc>
        <w:tc>
          <w:tcPr>
            <w:tcW w:w="1055" w:type="pct"/>
            <w:shd w:val="clear" w:color="auto" w:fill="BFBFBF" w:themeFill="background1" w:themeFillShade="BF"/>
          </w:tcPr>
          <w:p w:rsidR="008259C8" w:rsidRDefault="008259C8" w:rsidP="00A71365">
            <w:pPr>
              <w:pStyle w:val="Tableheading"/>
              <w:jc w:val="center"/>
              <w:rPr>
                <w:rFonts w:eastAsia="MS Mincho"/>
              </w:rPr>
            </w:pPr>
            <w:r>
              <w:rPr>
                <w:rFonts w:eastAsia="MS Mincho"/>
              </w:rPr>
              <w:t>Intervention and comparator</w:t>
            </w:r>
          </w:p>
        </w:tc>
        <w:tc>
          <w:tcPr>
            <w:tcW w:w="960" w:type="pct"/>
            <w:shd w:val="clear" w:color="auto" w:fill="BFBFBF" w:themeFill="background1" w:themeFillShade="BF"/>
            <w:tcMar>
              <w:left w:w="28" w:type="dxa"/>
              <w:right w:w="28" w:type="dxa"/>
            </w:tcMar>
          </w:tcPr>
          <w:p w:rsidR="008259C8" w:rsidRPr="00061F78" w:rsidRDefault="008259C8" w:rsidP="00A71365">
            <w:pPr>
              <w:pStyle w:val="Tableheading"/>
              <w:jc w:val="center"/>
              <w:rPr>
                <w:rFonts w:eastAsia="MS Mincho"/>
              </w:rPr>
            </w:pPr>
            <w:r>
              <w:rPr>
                <w:rFonts w:eastAsia="MS Mincho"/>
              </w:rPr>
              <w:t>Outcomes</w:t>
            </w:r>
          </w:p>
        </w:tc>
      </w:tr>
      <w:tr w:rsidR="003D3459" w:rsidRPr="00017AE6" w:rsidTr="000728F8">
        <w:trPr>
          <w:trHeight w:val="99"/>
        </w:trPr>
        <w:tc>
          <w:tcPr>
            <w:tcW w:w="763" w:type="pct"/>
          </w:tcPr>
          <w:p w:rsidR="005138DD" w:rsidRPr="00017AE6" w:rsidRDefault="005138DD" w:rsidP="00A71365">
            <w:pPr>
              <w:pStyle w:val="Tablewriting"/>
              <w:rPr>
                <w:rFonts w:eastAsia="MS Mincho" w:cstheme="minorHAnsi"/>
              </w:rPr>
            </w:pPr>
            <w:r w:rsidRPr="007F1CCF">
              <w:rPr>
                <w:rFonts w:eastAsia="MS Mincho" w:cstheme="minorHAnsi"/>
              </w:rPr>
              <w:t xml:space="preserve">Anthenelli </w:t>
            </w:r>
            <w:r w:rsidR="008C25BC" w:rsidRPr="007F1CCF">
              <w:rPr>
                <w:rFonts w:eastAsia="MS Mincho" w:cstheme="minorHAnsi"/>
              </w:rPr>
              <w:t>(</w:t>
            </w:r>
            <w:r w:rsidRPr="007F1CCF">
              <w:rPr>
                <w:rFonts w:eastAsia="MS Mincho" w:cstheme="minorHAnsi"/>
              </w:rPr>
              <w:t>2013</w:t>
            </w:r>
            <w:r w:rsidR="008C25BC" w:rsidRPr="007F1CCF">
              <w:rPr>
                <w:rFonts w:eastAsia="MS Mincho" w:cstheme="minorHAnsi"/>
              </w:rPr>
              <w:t>)</w:t>
            </w:r>
          </w:p>
        </w:tc>
        <w:tc>
          <w:tcPr>
            <w:tcW w:w="234" w:type="pct"/>
          </w:tcPr>
          <w:p w:rsidR="005138DD" w:rsidRPr="00017AE6" w:rsidRDefault="001B2086" w:rsidP="00A71365">
            <w:pPr>
              <w:pStyle w:val="Tablewriting"/>
              <w:rPr>
                <w:rFonts w:eastAsia="MS Mincho" w:cstheme="minorHAnsi"/>
              </w:rPr>
            </w:pPr>
            <w:r w:rsidRPr="00017AE6">
              <w:rPr>
                <w:rFonts w:eastAsia="MS Mincho" w:cstheme="minorHAnsi"/>
              </w:rPr>
              <w:t>RCT</w:t>
            </w:r>
          </w:p>
        </w:tc>
        <w:tc>
          <w:tcPr>
            <w:tcW w:w="460" w:type="pct"/>
          </w:tcPr>
          <w:p w:rsidR="0072357B" w:rsidRPr="00017AE6" w:rsidRDefault="0072357B" w:rsidP="00A71365">
            <w:pPr>
              <w:pStyle w:val="Tablewriting"/>
              <w:rPr>
                <w:rFonts w:eastAsia="MS Mincho" w:cstheme="minorHAnsi"/>
              </w:rPr>
            </w:pPr>
            <w:r w:rsidRPr="00017AE6">
              <w:rPr>
                <w:rFonts w:eastAsia="MS Mincho" w:cstheme="minorHAnsi"/>
              </w:rPr>
              <w:t>Country: USA (9 centres) and international (24 centres, across Bosnia &amp;</w:t>
            </w:r>
            <w:r w:rsidR="00D7597F">
              <w:rPr>
                <w:rFonts w:eastAsia="MS Mincho" w:cstheme="minorHAnsi"/>
              </w:rPr>
              <w:t xml:space="preserve"> </w:t>
            </w:r>
            <w:r w:rsidR="00980395" w:rsidRPr="00017AE6">
              <w:rPr>
                <w:rFonts w:eastAsia="MS Mincho" w:cstheme="minorHAnsi"/>
              </w:rPr>
              <w:t>Herzegovina</w:t>
            </w:r>
            <w:r w:rsidRPr="00017AE6">
              <w:rPr>
                <w:rFonts w:eastAsia="MS Mincho" w:cstheme="minorHAnsi"/>
              </w:rPr>
              <w:t>, Croatia, Germany,</w:t>
            </w:r>
          </w:p>
          <w:p w:rsidR="005138DD" w:rsidRPr="00017AE6" w:rsidRDefault="0072357B" w:rsidP="00A71365">
            <w:pPr>
              <w:pStyle w:val="Tablewriting"/>
              <w:rPr>
                <w:rFonts w:eastAsia="MS Mincho" w:cstheme="minorHAnsi"/>
              </w:rPr>
            </w:pPr>
            <w:r w:rsidRPr="00017AE6">
              <w:rPr>
                <w:rFonts w:eastAsia="MS Mincho" w:cstheme="minorHAnsi"/>
              </w:rPr>
              <w:t>Hungary, Romania, Russian Federation, Spain)</w:t>
            </w:r>
          </w:p>
        </w:tc>
        <w:tc>
          <w:tcPr>
            <w:tcW w:w="675" w:type="pct"/>
          </w:tcPr>
          <w:p w:rsidR="005138DD" w:rsidRDefault="00C25F5E" w:rsidP="00A71365">
            <w:pPr>
              <w:pStyle w:val="Tablewriting"/>
              <w:rPr>
                <w:rFonts w:eastAsia="MS Mincho" w:cstheme="minorHAnsi"/>
              </w:rPr>
            </w:pPr>
            <w:r w:rsidRPr="00017AE6">
              <w:rPr>
                <w:rFonts w:eastAsia="MS Mincho" w:cstheme="minorHAnsi"/>
              </w:rPr>
              <w:t>N=525</w:t>
            </w:r>
            <w:r w:rsidR="00157BC9">
              <w:rPr>
                <w:rFonts w:eastAsia="MS Mincho" w:cstheme="minorHAnsi"/>
              </w:rPr>
              <w:t>; n=</w:t>
            </w:r>
            <w:r w:rsidR="00157BC9" w:rsidRPr="00017AE6">
              <w:rPr>
                <w:rFonts w:eastAsia="MS Mincho" w:cstheme="minorHAnsi"/>
              </w:rPr>
              <w:t xml:space="preserve"> 256</w:t>
            </w:r>
            <w:r w:rsidR="00157BC9">
              <w:rPr>
                <w:rFonts w:eastAsia="MS Mincho" w:cstheme="minorHAnsi"/>
              </w:rPr>
              <w:t xml:space="preserve"> (</w:t>
            </w:r>
            <w:r w:rsidR="00157BC9" w:rsidRPr="00017AE6">
              <w:rPr>
                <w:rFonts w:eastAsia="MS Mincho" w:cstheme="minorHAnsi"/>
              </w:rPr>
              <w:t>varenicline</w:t>
            </w:r>
            <w:r w:rsidR="00157BC9">
              <w:rPr>
                <w:rFonts w:eastAsia="MS Mincho" w:cstheme="minorHAnsi"/>
              </w:rPr>
              <w:t>), n= 269 (</w:t>
            </w:r>
            <w:r w:rsidR="00157BC9" w:rsidRPr="00017AE6">
              <w:rPr>
                <w:rFonts w:eastAsia="MS Mincho" w:cstheme="minorHAnsi"/>
              </w:rPr>
              <w:t>placebo)</w:t>
            </w:r>
          </w:p>
          <w:p w:rsidR="009C08D6" w:rsidRPr="00017AE6" w:rsidRDefault="009C08D6" w:rsidP="00A71365">
            <w:pPr>
              <w:pStyle w:val="Tablewriting"/>
              <w:rPr>
                <w:rFonts w:eastAsia="MS Mincho" w:cstheme="minorHAnsi"/>
              </w:rPr>
            </w:pPr>
          </w:p>
        </w:tc>
        <w:tc>
          <w:tcPr>
            <w:tcW w:w="853" w:type="pct"/>
          </w:tcPr>
          <w:p w:rsidR="00992D77" w:rsidRDefault="005921F8" w:rsidP="00A71365">
            <w:pPr>
              <w:pStyle w:val="Tablewriting"/>
              <w:rPr>
                <w:rFonts w:eastAsia="MS Mincho" w:cstheme="minorHAnsi"/>
              </w:rPr>
            </w:pPr>
            <w:r w:rsidRPr="00017AE6">
              <w:rPr>
                <w:rFonts w:eastAsia="MS Mincho" w:cstheme="minorHAnsi"/>
              </w:rPr>
              <w:t xml:space="preserve">Adult smokers, aged 18 - 75, smoking at least 10 CPD, motivated to quit, diagnosed with unipolar MDD without psychotic features. </w:t>
            </w:r>
          </w:p>
          <w:p w:rsidR="005921F8" w:rsidRPr="00017AE6" w:rsidRDefault="00F82CA3" w:rsidP="00A71365">
            <w:pPr>
              <w:pStyle w:val="Tablewriting"/>
              <w:rPr>
                <w:rFonts w:eastAsia="MS Mincho" w:cstheme="minorHAnsi"/>
              </w:rPr>
            </w:pPr>
            <w:r w:rsidRPr="00017AE6">
              <w:rPr>
                <w:rFonts w:eastAsia="MS Mincho" w:cstheme="minorHAnsi"/>
              </w:rPr>
              <w:t>37% male</w:t>
            </w:r>
            <w:r w:rsidR="00992D77">
              <w:rPr>
                <w:rFonts w:eastAsia="MS Mincho" w:cstheme="minorHAnsi"/>
              </w:rPr>
              <w:t xml:space="preserve">; </w:t>
            </w:r>
            <w:r w:rsidR="005921F8" w:rsidRPr="00017AE6">
              <w:rPr>
                <w:rFonts w:eastAsia="MS Mincho" w:cstheme="minorHAnsi"/>
              </w:rPr>
              <w:t>mean age 46</w:t>
            </w:r>
            <w:r w:rsidR="00D30FC8">
              <w:rPr>
                <w:rFonts w:eastAsia="MS Mincho" w:cstheme="minorHAnsi"/>
              </w:rPr>
              <w:t xml:space="preserve"> y</w:t>
            </w:r>
            <w:r w:rsidR="009F262B">
              <w:rPr>
                <w:rFonts w:eastAsia="MS Mincho" w:cstheme="minorHAnsi"/>
              </w:rPr>
              <w:t>ea</w:t>
            </w:r>
            <w:r w:rsidR="00D30FC8">
              <w:rPr>
                <w:rFonts w:eastAsia="MS Mincho" w:cstheme="minorHAnsi"/>
              </w:rPr>
              <w:t>rs</w:t>
            </w:r>
            <w:r w:rsidR="005921F8" w:rsidRPr="00017AE6">
              <w:rPr>
                <w:rFonts w:eastAsia="MS Mincho" w:cstheme="minorHAnsi"/>
              </w:rPr>
              <w:t>, av</w:t>
            </w:r>
            <w:r w:rsidR="003A5FB4">
              <w:rPr>
                <w:rFonts w:eastAsia="MS Mincho" w:cstheme="minorHAnsi"/>
              </w:rPr>
              <w:t>erage</w:t>
            </w:r>
            <w:r w:rsidR="005921F8" w:rsidRPr="00017AE6">
              <w:rPr>
                <w:rFonts w:eastAsia="MS Mincho" w:cstheme="minorHAnsi"/>
              </w:rPr>
              <w:t xml:space="preserve"> CPD at baseline 22, mean FTND 5.9. </w:t>
            </w:r>
          </w:p>
          <w:p w:rsidR="005921F8" w:rsidRPr="00017AE6" w:rsidRDefault="005921F8" w:rsidP="00A71365">
            <w:pPr>
              <w:pStyle w:val="Tablewriting"/>
              <w:rPr>
                <w:rFonts w:eastAsia="MS Mincho" w:cstheme="minorHAnsi"/>
              </w:rPr>
            </w:pPr>
          </w:p>
          <w:p w:rsidR="00F82CA3" w:rsidRDefault="005921F8" w:rsidP="00A71365">
            <w:pPr>
              <w:pStyle w:val="Tablewriting"/>
              <w:rPr>
                <w:rFonts w:eastAsia="MS Mincho" w:cstheme="minorHAnsi"/>
              </w:rPr>
            </w:pPr>
            <w:r w:rsidRPr="0066078F">
              <w:rPr>
                <w:rFonts w:eastAsia="MS Mincho" w:cstheme="minorHAnsi"/>
                <w:u w:val="single"/>
              </w:rPr>
              <w:t>Exclusion criteria:</w:t>
            </w:r>
            <w:r w:rsidRPr="00017AE6">
              <w:rPr>
                <w:rFonts w:eastAsia="MS Mincho" w:cstheme="minorHAnsi"/>
              </w:rPr>
              <w:t xml:space="preserve"> Current or past diagnosis of</w:t>
            </w:r>
            <w:r w:rsidR="00351702">
              <w:rPr>
                <w:rFonts w:eastAsia="MS Mincho" w:cstheme="minorHAnsi"/>
              </w:rPr>
              <w:t xml:space="preserve"> </w:t>
            </w:r>
            <w:r w:rsidRPr="00017AE6">
              <w:rPr>
                <w:rFonts w:eastAsia="MS Mincho" w:cstheme="minorHAnsi"/>
              </w:rPr>
              <w:t xml:space="preserve">dementia, schizophrenia, schizoaffective disorder, or other psychotic disorder, bipolar I disorder, bipolar II disorder. </w:t>
            </w:r>
          </w:p>
          <w:p w:rsidR="005138DD" w:rsidRPr="00017AE6" w:rsidRDefault="005921F8" w:rsidP="00A71365">
            <w:pPr>
              <w:pStyle w:val="Tablewriting"/>
              <w:rPr>
                <w:rFonts w:eastAsia="MS Mincho" w:cstheme="minorHAnsi"/>
              </w:rPr>
            </w:pPr>
            <w:r w:rsidRPr="00017AE6">
              <w:rPr>
                <w:rFonts w:eastAsia="MS Mincho" w:cstheme="minorHAnsi"/>
              </w:rPr>
              <w:t>People with antisocial, schizotypal, or any other personality disorder severe enough to</w:t>
            </w:r>
            <w:r w:rsidR="00351702">
              <w:rPr>
                <w:rFonts w:eastAsia="MS Mincho" w:cstheme="minorHAnsi"/>
              </w:rPr>
              <w:t xml:space="preserve"> </w:t>
            </w:r>
            <w:r w:rsidRPr="00017AE6">
              <w:rPr>
                <w:rFonts w:eastAsia="MS Mincho" w:cstheme="minorHAnsi"/>
              </w:rPr>
              <w:t>compromise their ability to comply with the study</w:t>
            </w:r>
            <w:r w:rsidR="00351702">
              <w:rPr>
                <w:rFonts w:eastAsia="MS Mincho" w:cstheme="minorHAnsi"/>
              </w:rPr>
              <w:t xml:space="preserve"> </w:t>
            </w:r>
            <w:r w:rsidRPr="00017AE6">
              <w:rPr>
                <w:rFonts w:eastAsia="MS Mincho" w:cstheme="minorHAnsi"/>
              </w:rPr>
              <w:t>requirements</w:t>
            </w:r>
          </w:p>
        </w:tc>
        <w:tc>
          <w:tcPr>
            <w:tcW w:w="1055" w:type="pct"/>
          </w:tcPr>
          <w:p w:rsidR="007B6D21" w:rsidRDefault="00C72ECD" w:rsidP="00C324F3">
            <w:pPr>
              <w:pStyle w:val="Tablewriting"/>
              <w:numPr>
                <w:ilvl w:val="0"/>
                <w:numId w:val="60"/>
              </w:numPr>
              <w:rPr>
                <w:rFonts w:eastAsia="MS Mincho" w:cstheme="minorHAnsi"/>
              </w:rPr>
            </w:pPr>
            <w:r w:rsidRPr="00017AE6">
              <w:rPr>
                <w:rFonts w:eastAsia="MS Mincho" w:cstheme="minorHAnsi"/>
              </w:rPr>
              <w:t>Varenicline 1 mg x 2/day, titrated for first w</w:t>
            </w:r>
            <w:r w:rsidR="007B6D21">
              <w:rPr>
                <w:rFonts w:eastAsia="MS Mincho" w:cstheme="minorHAnsi"/>
              </w:rPr>
              <w:t>ee</w:t>
            </w:r>
            <w:r w:rsidRPr="00017AE6">
              <w:rPr>
                <w:rFonts w:eastAsia="MS Mincho" w:cstheme="minorHAnsi"/>
              </w:rPr>
              <w:t>k</w:t>
            </w:r>
          </w:p>
          <w:p w:rsidR="00C72ECD" w:rsidRPr="007B6D21" w:rsidRDefault="00C72ECD" w:rsidP="00C324F3">
            <w:pPr>
              <w:pStyle w:val="Tablewriting"/>
              <w:numPr>
                <w:ilvl w:val="0"/>
                <w:numId w:val="60"/>
              </w:numPr>
              <w:rPr>
                <w:rFonts w:eastAsia="MS Mincho" w:cstheme="minorHAnsi"/>
              </w:rPr>
            </w:pPr>
            <w:r w:rsidRPr="007B6D21">
              <w:rPr>
                <w:rFonts w:eastAsia="MS Mincho" w:cstheme="minorHAnsi"/>
              </w:rPr>
              <w:t>Placebo inactive tablets, same regimen</w:t>
            </w:r>
          </w:p>
          <w:p w:rsidR="00C72ECD" w:rsidRPr="00017AE6" w:rsidRDefault="00890045"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C72ECD" w:rsidRPr="00017AE6">
              <w:rPr>
                <w:rFonts w:eastAsia="MS Mincho" w:cstheme="minorHAnsi"/>
              </w:rPr>
              <w:t>All participants received manual-guided SC support, telephone support and one-to-one 10-minute</w:t>
            </w:r>
            <w:r>
              <w:rPr>
                <w:rFonts w:eastAsia="MS Mincho" w:cstheme="minorHAnsi"/>
              </w:rPr>
              <w:t xml:space="preserve"> </w:t>
            </w:r>
            <w:r w:rsidR="00C72ECD" w:rsidRPr="00017AE6">
              <w:rPr>
                <w:rFonts w:eastAsia="MS Mincho" w:cstheme="minorHAnsi"/>
              </w:rPr>
              <w:t>counselling by the same person where possible. Participants in both groups could reduce the dosage if</w:t>
            </w:r>
            <w:r>
              <w:rPr>
                <w:rFonts w:eastAsia="MS Mincho" w:cstheme="minorHAnsi"/>
              </w:rPr>
              <w:t xml:space="preserve"> </w:t>
            </w:r>
            <w:r w:rsidR="00C72ECD" w:rsidRPr="00017AE6">
              <w:rPr>
                <w:rFonts w:eastAsia="MS Mincho" w:cstheme="minorHAnsi"/>
              </w:rPr>
              <w:t>they wished</w:t>
            </w:r>
            <w:r w:rsidR="005801BD">
              <w:rPr>
                <w:rFonts w:eastAsia="MS Mincho" w:cstheme="minorHAnsi"/>
              </w:rPr>
              <w:t>.</w:t>
            </w:r>
          </w:p>
          <w:p w:rsidR="00C72ECD" w:rsidRPr="005801BD" w:rsidRDefault="00C72ECD" w:rsidP="00A71365">
            <w:pPr>
              <w:pStyle w:val="Tablewriting"/>
              <w:rPr>
                <w:rFonts w:eastAsia="MS Mincho" w:cstheme="minorHAnsi"/>
              </w:rPr>
            </w:pPr>
            <w:r w:rsidRPr="005801BD">
              <w:rPr>
                <w:rFonts w:eastAsia="MS Mincho" w:cstheme="minorHAnsi"/>
              </w:rPr>
              <w:t>TQD was set for w</w:t>
            </w:r>
            <w:r w:rsidR="005801BD">
              <w:rPr>
                <w:rFonts w:eastAsia="MS Mincho" w:cstheme="minorHAnsi"/>
              </w:rPr>
              <w:t>ee</w:t>
            </w:r>
            <w:r w:rsidRPr="005801BD">
              <w:rPr>
                <w:rFonts w:eastAsia="MS Mincho" w:cstheme="minorHAnsi"/>
              </w:rPr>
              <w:t>k 1 visit</w:t>
            </w:r>
          </w:p>
          <w:p w:rsidR="00C72ECD" w:rsidRPr="005801BD" w:rsidRDefault="00C72ECD" w:rsidP="00A71365">
            <w:pPr>
              <w:pStyle w:val="Tablewriting"/>
              <w:rPr>
                <w:rFonts w:eastAsia="MS Mincho" w:cstheme="minorHAnsi"/>
              </w:rPr>
            </w:pPr>
            <w:r w:rsidRPr="005801BD">
              <w:rPr>
                <w:rFonts w:eastAsia="MS Mincho" w:cstheme="minorHAnsi"/>
              </w:rPr>
              <w:t>Treatment period was 12 wks. Visits at screening, baseline, weekly for w</w:t>
            </w:r>
            <w:r w:rsidR="005801BD">
              <w:rPr>
                <w:rFonts w:eastAsia="MS Mincho" w:cstheme="minorHAnsi"/>
              </w:rPr>
              <w:t>ee</w:t>
            </w:r>
            <w:r w:rsidRPr="005801BD">
              <w:rPr>
                <w:rFonts w:eastAsia="MS Mincho" w:cstheme="minorHAnsi"/>
              </w:rPr>
              <w:t>ks 1 - 12, and then at w</w:t>
            </w:r>
            <w:r w:rsidR="005801BD">
              <w:rPr>
                <w:rFonts w:eastAsia="MS Mincho" w:cstheme="minorHAnsi"/>
              </w:rPr>
              <w:t>ee</w:t>
            </w:r>
            <w:r w:rsidRPr="005801BD">
              <w:rPr>
                <w:rFonts w:eastAsia="MS Mincho" w:cstheme="minorHAnsi"/>
              </w:rPr>
              <w:t>ks 13,</w:t>
            </w:r>
          </w:p>
          <w:p w:rsidR="005138DD" w:rsidRPr="00017AE6" w:rsidRDefault="00C72ECD" w:rsidP="00A71365">
            <w:pPr>
              <w:pStyle w:val="Tablewriting"/>
              <w:rPr>
                <w:rFonts w:eastAsia="MS Mincho" w:cstheme="minorHAnsi"/>
              </w:rPr>
            </w:pPr>
            <w:r w:rsidRPr="005801BD">
              <w:rPr>
                <w:rFonts w:eastAsia="MS Mincho" w:cstheme="minorHAnsi"/>
              </w:rPr>
              <w:t>16, 24, 32, 40, 52 (or early termination); phone calls at w</w:t>
            </w:r>
            <w:r w:rsidR="007F1CCF">
              <w:rPr>
                <w:rFonts w:eastAsia="MS Mincho" w:cstheme="minorHAnsi"/>
              </w:rPr>
              <w:t>ee</w:t>
            </w:r>
            <w:r w:rsidRPr="005801BD">
              <w:rPr>
                <w:rFonts w:eastAsia="MS Mincho" w:cstheme="minorHAnsi"/>
              </w:rPr>
              <w:t>ks 14, 20, 28, 36, 44 and 48. Weekly pill counts</w:t>
            </w:r>
            <w:r w:rsidR="004764A6" w:rsidRPr="005801BD">
              <w:rPr>
                <w:rFonts w:eastAsia="MS Mincho" w:cstheme="minorHAnsi"/>
              </w:rPr>
              <w:t xml:space="preserve"> </w:t>
            </w:r>
            <w:r w:rsidRPr="005801BD">
              <w:rPr>
                <w:rFonts w:eastAsia="MS Mincho" w:cstheme="minorHAnsi"/>
              </w:rPr>
              <w:t xml:space="preserve">to assess </w:t>
            </w:r>
            <w:r w:rsidR="00AE7D8F" w:rsidRPr="005801BD">
              <w:rPr>
                <w:rFonts w:eastAsia="MS Mincho" w:cstheme="minorHAnsi"/>
              </w:rPr>
              <w:t>adherence.</w:t>
            </w:r>
          </w:p>
        </w:tc>
        <w:tc>
          <w:tcPr>
            <w:tcW w:w="960" w:type="pct"/>
          </w:tcPr>
          <w:p w:rsidR="00F06A4E" w:rsidRPr="00F06A4E" w:rsidRDefault="00F06A4E" w:rsidP="00A71365">
            <w:pPr>
              <w:pStyle w:val="Tablewriting"/>
              <w:rPr>
                <w:rFonts w:eastAsia="MS Mincho" w:cstheme="minorHAnsi"/>
                <w:u w:val="single"/>
              </w:rPr>
            </w:pPr>
            <w:r w:rsidRPr="00F06A4E">
              <w:rPr>
                <w:rFonts w:eastAsia="MS Mincho" w:cstheme="minorHAnsi"/>
                <w:u w:val="single"/>
              </w:rPr>
              <w:t>Efficacy:</w:t>
            </w:r>
          </w:p>
          <w:p w:rsidR="00EB693D" w:rsidRPr="00017AE6" w:rsidRDefault="00EB693D" w:rsidP="00A71365">
            <w:pPr>
              <w:pStyle w:val="Tablewriting"/>
              <w:rPr>
                <w:rFonts w:eastAsia="MS Mincho" w:cstheme="minorHAnsi"/>
              </w:rPr>
            </w:pPr>
            <w:r w:rsidRPr="00017AE6">
              <w:rPr>
                <w:rFonts w:eastAsia="MS Mincho" w:cstheme="minorHAnsi"/>
              </w:rPr>
              <w:t>Primary: CO-confirmed CAR for w</w:t>
            </w:r>
            <w:r w:rsidR="0038732F">
              <w:rPr>
                <w:rFonts w:eastAsia="MS Mincho" w:cstheme="minorHAnsi"/>
              </w:rPr>
              <w:t>ee</w:t>
            </w:r>
            <w:r w:rsidRPr="00017AE6">
              <w:rPr>
                <w:rFonts w:eastAsia="MS Mincho" w:cstheme="minorHAnsi"/>
              </w:rPr>
              <w:t xml:space="preserve">ks </w:t>
            </w:r>
            <w:r w:rsidR="0038732F">
              <w:rPr>
                <w:rFonts w:eastAsia="MS Mincho" w:cstheme="minorHAnsi"/>
              </w:rPr>
              <w:t>(</w:t>
            </w:r>
            <w:r w:rsidRPr="00017AE6">
              <w:rPr>
                <w:rFonts w:eastAsia="MS Mincho" w:cstheme="minorHAnsi"/>
              </w:rPr>
              <w:t xml:space="preserve">9 </w:t>
            </w:r>
            <w:r w:rsidR="0038732F">
              <w:rPr>
                <w:rFonts w:eastAsia="MS Mincho" w:cstheme="minorHAnsi"/>
              </w:rPr>
              <w:t>–</w:t>
            </w:r>
            <w:r w:rsidRPr="00017AE6">
              <w:rPr>
                <w:rFonts w:eastAsia="MS Mincho" w:cstheme="minorHAnsi"/>
              </w:rPr>
              <w:t xml:space="preserve"> 12</w:t>
            </w:r>
            <w:r w:rsidR="0038732F">
              <w:rPr>
                <w:rFonts w:eastAsia="MS Mincho" w:cstheme="minorHAnsi"/>
              </w:rPr>
              <w:t>)</w:t>
            </w:r>
          </w:p>
          <w:p w:rsidR="00B46B39" w:rsidRDefault="00EB693D" w:rsidP="00A71365">
            <w:pPr>
              <w:pStyle w:val="Tablewriting"/>
              <w:rPr>
                <w:rFonts w:eastAsia="MS Mincho" w:cstheme="minorHAnsi"/>
              </w:rPr>
            </w:pPr>
            <w:r w:rsidRPr="00017AE6">
              <w:rPr>
                <w:rFonts w:eastAsia="MS Mincho" w:cstheme="minorHAnsi"/>
              </w:rPr>
              <w:t>Secondary: CO-confirmed CAR for w</w:t>
            </w:r>
            <w:r w:rsidR="0038732F">
              <w:rPr>
                <w:rFonts w:eastAsia="MS Mincho" w:cstheme="minorHAnsi"/>
              </w:rPr>
              <w:t>ee</w:t>
            </w:r>
            <w:r w:rsidRPr="00017AE6">
              <w:rPr>
                <w:rFonts w:eastAsia="MS Mincho" w:cstheme="minorHAnsi"/>
              </w:rPr>
              <w:t xml:space="preserve">ks </w:t>
            </w:r>
            <w:r w:rsidR="0038732F">
              <w:rPr>
                <w:rFonts w:eastAsia="MS Mincho" w:cstheme="minorHAnsi"/>
              </w:rPr>
              <w:t>(</w:t>
            </w:r>
            <w:r w:rsidRPr="00017AE6">
              <w:rPr>
                <w:rFonts w:eastAsia="MS Mincho" w:cstheme="minorHAnsi"/>
              </w:rPr>
              <w:t xml:space="preserve">9 </w:t>
            </w:r>
            <w:r w:rsidR="0038732F">
              <w:rPr>
                <w:rFonts w:eastAsia="MS Mincho" w:cstheme="minorHAnsi"/>
              </w:rPr>
              <w:t>–</w:t>
            </w:r>
            <w:r w:rsidRPr="00017AE6">
              <w:rPr>
                <w:rFonts w:eastAsia="MS Mincho" w:cstheme="minorHAnsi"/>
              </w:rPr>
              <w:t xml:space="preserve"> 24</w:t>
            </w:r>
            <w:r w:rsidR="0038732F">
              <w:rPr>
                <w:rFonts w:eastAsia="MS Mincho" w:cstheme="minorHAnsi"/>
              </w:rPr>
              <w:t>)</w:t>
            </w:r>
            <w:r w:rsidRPr="00017AE6">
              <w:rPr>
                <w:rFonts w:eastAsia="MS Mincho" w:cstheme="minorHAnsi"/>
              </w:rPr>
              <w:t xml:space="preserve">, </w:t>
            </w:r>
            <w:r w:rsidR="0038732F">
              <w:rPr>
                <w:rFonts w:eastAsia="MS Mincho" w:cstheme="minorHAnsi"/>
              </w:rPr>
              <w:t>(</w:t>
            </w:r>
            <w:r w:rsidRPr="00017AE6">
              <w:rPr>
                <w:rFonts w:eastAsia="MS Mincho" w:cstheme="minorHAnsi"/>
              </w:rPr>
              <w:t xml:space="preserve">9 </w:t>
            </w:r>
            <w:r w:rsidR="0038732F">
              <w:rPr>
                <w:rFonts w:eastAsia="MS Mincho" w:cstheme="minorHAnsi"/>
              </w:rPr>
              <w:t>–</w:t>
            </w:r>
            <w:r w:rsidRPr="00017AE6">
              <w:rPr>
                <w:rFonts w:eastAsia="MS Mincho" w:cstheme="minorHAnsi"/>
              </w:rPr>
              <w:t xml:space="preserve"> 52</w:t>
            </w:r>
            <w:r w:rsidR="0038732F">
              <w:rPr>
                <w:rFonts w:eastAsia="MS Mincho" w:cstheme="minorHAnsi"/>
              </w:rPr>
              <w:t>)</w:t>
            </w:r>
            <w:r w:rsidRPr="00017AE6">
              <w:rPr>
                <w:rFonts w:eastAsia="MS Mincho" w:cstheme="minorHAnsi"/>
              </w:rPr>
              <w:t xml:space="preserve">; </w:t>
            </w:r>
          </w:p>
          <w:p w:rsidR="00EB693D" w:rsidRPr="00017AE6" w:rsidRDefault="00EB693D" w:rsidP="00A71365">
            <w:pPr>
              <w:pStyle w:val="Tablewriting"/>
              <w:rPr>
                <w:rFonts w:eastAsia="MS Mincho" w:cstheme="minorHAnsi"/>
              </w:rPr>
            </w:pPr>
            <w:r w:rsidRPr="00017AE6">
              <w:rPr>
                <w:rFonts w:eastAsia="MS Mincho" w:cstheme="minorHAnsi"/>
              </w:rPr>
              <w:t>7-day PPA at w</w:t>
            </w:r>
            <w:r w:rsidR="00B46B39">
              <w:rPr>
                <w:rFonts w:eastAsia="MS Mincho" w:cstheme="minorHAnsi"/>
              </w:rPr>
              <w:t>ee</w:t>
            </w:r>
            <w:r w:rsidRPr="00017AE6">
              <w:rPr>
                <w:rFonts w:eastAsia="MS Mincho" w:cstheme="minorHAnsi"/>
              </w:rPr>
              <w:t xml:space="preserve">ks 12, 24, 52 </w:t>
            </w:r>
          </w:p>
          <w:p w:rsidR="00C4760C" w:rsidRDefault="00C4760C" w:rsidP="00A71365">
            <w:pPr>
              <w:pStyle w:val="Tablewriting"/>
              <w:rPr>
                <w:rFonts w:eastAsia="MS Mincho" w:cstheme="minorHAnsi"/>
              </w:rPr>
            </w:pPr>
          </w:p>
          <w:p w:rsidR="003C1E82" w:rsidRPr="00C4760C" w:rsidRDefault="00C4760C" w:rsidP="00A71365">
            <w:pPr>
              <w:pStyle w:val="Tablewriting"/>
              <w:rPr>
                <w:rFonts w:eastAsia="MS Mincho" w:cstheme="minorHAnsi"/>
              </w:rPr>
            </w:pPr>
            <w:r w:rsidRPr="00C4760C">
              <w:rPr>
                <w:rFonts w:eastAsia="MS Mincho" w:cstheme="minorHAnsi"/>
              </w:rPr>
              <w:t>Verification: CO &lt; 10 ppm</w:t>
            </w:r>
          </w:p>
          <w:p w:rsidR="00C4760C" w:rsidRDefault="00C4760C" w:rsidP="00A71365">
            <w:pPr>
              <w:pStyle w:val="Tablewriting"/>
              <w:rPr>
                <w:rFonts w:eastAsia="MS Mincho" w:cstheme="minorHAnsi"/>
                <w:u w:val="single"/>
              </w:rPr>
            </w:pPr>
          </w:p>
          <w:p w:rsidR="00295E3E" w:rsidRPr="00017AE6" w:rsidRDefault="00F06A4E" w:rsidP="00A71365">
            <w:pPr>
              <w:pStyle w:val="Tablewriting"/>
              <w:rPr>
                <w:rFonts w:eastAsia="MS Mincho" w:cstheme="minorHAnsi"/>
              </w:rPr>
            </w:pPr>
            <w:r w:rsidRPr="00F06A4E">
              <w:rPr>
                <w:rFonts w:eastAsia="MS Mincho" w:cstheme="minorHAnsi"/>
                <w:u w:val="single"/>
              </w:rPr>
              <w:t xml:space="preserve">Safety: </w:t>
            </w:r>
            <w:r w:rsidR="00295E3E" w:rsidRPr="00017AE6">
              <w:rPr>
                <w:rFonts w:eastAsia="MS Mincho" w:cstheme="minorHAnsi"/>
              </w:rPr>
              <w:t>AEs and SAEs</w:t>
            </w:r>
          </w:p>
          <w:p w:rsidR="00F06A4E" w:rsidRPr="00F06A4E" w:rsidRDefault="00F06A4E" w:rsidP="00A71365">
            <w:pPr>
              <w:pStyle w:val="Tablewriting"/>
              <w:rPr>
                <w:rFonts w:eastAsia="MS Mincho" w:cstheme="minorHAnsi"/>
                <w:u w:val="single"/>
              </w:rPr>
            </w:pPr>
          </w:p>
          <w:p w:rsidR="005138DD" w:rsidRPr="00017AE6" w:rsidRDefault="005138DD"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lastRenderedPageBreak/>
              <w:t xml:space="preserve">Bolliger </w:t>
            </w:r>
            <w:r w:rsidR="008C25BC">
              <w:rPr>
                <w:rFonts w:eastAsia="MS Mincho" w:cstheme="minorHAnsi"/>
              </w:rPr>
              <w:t>(</w:t>
            </w:r>
            <w:r w:rsidRPr="00017AE6">
              <w:rPr>
                <w:rFonts w:eastAsia="MS Mincho" w:cstheme="minorHAnsi"/>
              </w:rPr>
              <w:t>2011</w:t>
            </w:r>
            <w:r w:rsidR="008C25BC">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212587" w:rsidP="00A71365">
            <w:pPr>
              <w:pStyle w:val="Tablewriting"/>
              <w:rPr>
                <w:rFonts w:eastAsia="MS Mincho" w:cstheme="minorHAnsi"/>
              </w:rPr>
            </w:pPr>
            <w:r w:rsidRPr="00017AE6">
              <w:rPr>
                <w:rFonts w:eastAsia="MS Mincho" w:cstheme="minorHAnsi"/>
              </w:rPr>
              <w:t>Brazil,</w:t>
            </w:r>
            <w:r w:rsidR="003D3459">
              <w:rPr>
                <w:rFonts w:eastAsia="MS Mincho" w:cstheme="minorHAnsi"/>
              </w:rPr>
              <w:t xml:space="preserve"> </w:t>
            </w:r>
            <w:r w:rsidRPr="00017AE6">
              <w:rPr>
                <w:rFonts w:eastAsia="MS Mincho" w:cstheme="minorHAnsi"/>
              </w:rPr>
              <w:t>Colombia,</w:t>
            </w:r>
            <w:r w:rsidR="003D3459">
              <w:rPr>
                <w:rFonts w:eastAsia="MS Mincho" w:cstheme="minorHAnsi"/>
              </w:rPr>
              <w:t xml:space="preserve"> </w:t>
            </w:r>
            <w:r w:rsidRPr="00017AE6">
              <w:rPr>
                <w:rFonts w:eastAsia="MS Mincho" w:cstheme="minorHAnsi"/>
              </w:rPr>
              <w:t>Costa Rica,</w:t>
            </w:r>
            <w:r w:rsidR="003D3459">
              <w:rPr>
                <w:rFonts w:eastAsia="MS Mincho" w:cstheme="minorHAnsi"/>
              </w:rPr>
              <w:t xml:space="preserve"> </w:t>
            </w:r>
            <w:r w:rsidRPr="00017AE6">
              <w:rPr>
                <w:rFonts w:eastAsia="MS Mincho" w:cstheme="minorHAnsi"/>
              </w:rPr>
              <w:t>Egypt,</w:t>
            </w:r>
            <w:r w:rsidR="003D3459">
              <w:rPr>
                <w:rFonts w:eastAsia="MS Mincho" w:cstheme="minorHAnsi"/>
              </w:rPr>
              <w:t xml:space="preserve"> </w:t>
            </w:r>
            <w:r w:rsidRPr="00017AE6">
              <w:rPr>
                <w:rFonts w:eastAsia="MS Mincho" w:cstheme="minorHAnsi"/>
              </w:rPr>
              <w:t>Jordan,</w:t>
            </w:r>
            <w:r w:rsidR="003D3459">
              <w:rPr>
                <w:rFonts w:eastAsia="MS Mincho" w:cstheme="minorHAnsi"/>
              </w:rPr>
              <w:t xml:space="preserve"> </w:t>
            </w:r>
            <w:r w:rsidRPr="00017AE6">
              <w:rPr>
                <w:rFonts w:eastAsia="MS Mincho" w:cstheme="minorHAnsi"/>
              </w:rPr>
              <w:t>Lebanon,</w:t>
            </w:r>
            <w:r w:rsidR="003D3459">
              <w:rPr>
                <w:rFonts w:eastAsia="MS Mincho" w:cstheme="minorHAnsi"/>
              </w:rPr>
              <w:t xml:space="preserve"> </w:t>
            </w:r>
            <w:r w:rsidRPr="00017AE6">
              <w:rPr>
                <w:rFonts w:eastAsia="MS Mincho" w:cstheme="minorHAnsi"/>
              </w:rPr>
              <w:t>Mexico, Saudi Arabia, South Africa,</w:t>
            </w:r>
            <w:r w:rsidR="003D3459">
              <w:rPr>
                <w:rFonts w:eastAsia="MS Mincho" w:cstheme="minorHAnsi"/>
              </w:rPr>
              <w:t xml:space="preserve"> </w:t>
            </w:r>
            <w:r w:rsidRPr="00017AE6">
              <w:rPr>
                <w:rFonts w:eastAsia="MS Mincho" w:cstheme="minorHAnsi"/>
              </w:rPr>
              <w:t>United Arab</w:t>
            </w:r>
            <w:r w:rsidR="003D3459">
              <w:rPr>
                <w:rFonts w:eastAsia="MS Mincho" w:cstheme="minorHAnsi"/>
              </w:rPr>
              <w:t xml:space="preserve"> </w:t>
            </w:r>
            <w:r w:rsidRPr="00017AE6">
              <w:rPr>
                <w:rFonts w:eastAsia="MS Mincho" w:cstheme="minorHAnsi"/>
              </w:rPr>
              <w:t>Emirates,</w:t>
            </w:r>
            <w:r w:rsidR="003D3459">
              <w:rPr>
                <w:rFonts w:eastAsia="MS Mincho" w:cstheme="minorHAnsi"/>
              </w:rPr>
              <w:t xml:space="preserve"> </w:t>
            </w:r>
            <w:r w:rsidRPr="00017AE6">
              <w:rPr>
                <w:rFonts w:eastAsia="MS Mincho" w:cstheme="minorHAnsi"/>
              </w:rPr>
              <w:t>Venezuela</w:t>
            </w:r>
          </w:p>
        </w:tc>
        <w:tc>
          <w:tcPr>
            <w:tcW w:w="675" w:type="pct"/>
          </w:tcPr>
          <w:p w:rsidR="00C25F5E" w:rsidRPr="00017AE6" w:rsidRDefault="00C25F5E" w:rsidP="00A71365">
            <w:pPr>
              <w:pStyle w:val="Tablewriting"/>
              <w:rPr>
                <w:rFonts w:eastAsia="MS Mincho" w:cstheme="minorHAnsi"/>
              </w:rPr>
            </w:pPr>
            <w:r w:rsidRPr="00017AE6">
              <w:rPr>
                <w:rFonts w:eastAsia="MS Mincho" w:cstheme="minorHAnsi"/>
              </w:rPr>
              <w:t>N=</w:t>
            </w:r>
            <w:r w:rsidR="00471549" w:rsidRPr="00017AE6">
              <w:rPr>
                <w:rFonts w:eastAsia="MS Mincho" w:cstheme="minorHAnsi"/>
              </w:rPr>
              <w:t>593</w:t>
            </w:r>
            <w:r w:rsidR="00EF172D">
              <w:rPr>
                <w:rFonts w:eastAsia="MS Mincho" w:cstheme="minorHAnsi"/>
              </w:rPr>
              <w:t xml:space="preserve">; </w:t>
            </w:r>
            <w:r w:rsidR="001F4FC5">
              <w:rPr>
                <w:rFonts w:eastAsia="MS Mincho" w:cstheme="minorHAnsi"/>
              </w:rPr>
              <w:t>n=</w:t>
            </w:r>
            <w:r w:rsidR="00EF172D" w:rsidRPr="00017AE6">
              <w:rPr>
                <w:rFonts w:eastAsia="MS Mincho" w:cstheme="minorHAnsi"/>
              </w:rPr>
              <w:t>394</w:t>
            </w:r>
            <w:r w:rsidR="00A00662">
              <w:rPr>
                <w:rFonts w:eastAsia="MS Mincho" w:cstheme="minorHAnsi"/>
              </w:rPr>
              <w:t xml:space="preserve"> </w:t>
            </w:r>
            <w:r w:rsidR="00EF172D" w:rsidRPr="00017AE6">
              <w:rPr>
                <w:rFonts w:eastAsia="MS Mincho" w:cstheme="minorHAnsi"/>
              </w:rPr>
              <w:t>(</w:t>
            </w:r>
            <w:r w:rsidR="001F4FC5" w:rsidRPr="00017AE6">
              <w:rPr>
                <w:rFonts w:eastAsia="MS Mincho" w:cstheme="minorHAnsi"/>
              </w:rPr>
              <w:t>varenicline</w:t>
            </w:r>
            <w:r w:rsidR="00EF172D" w:rsidRPr="00017AE6">
              <w:rPr>
                <w:rFonts w:eastAsia="MS Mincho" w:cstheme="minorHAnsi"/>
              </w:rPr>
              <w:t xml:space="preserve">), </w:t>
            </w:r>
            <w:r w:rsidR="00A00662">
              <w:rPr>
                <w:rFonts w:eastAsia="MS Mincho" w:cstheme="minorHAnsi"/>
              </w:rPr>
              <w:t>n=199 (</w:t>
            </w:r>
            <w:r w:rsidR="00EF172D" w:rsidRPr="00017AE6">
              <w:rPr>
                <w:rFonts w:eastAsia="MS Mincho" w:cstheme="minorHAnsi"/>
              </w:rPr>
              <w:t>placebo</w:t>
            </w:r>
            <w:r w:rsidR="00A00662">
              <w:rPr>
                <w:rFonts w:eastAsia="MS Mincho" w:cstheme="minorHAnsi"/>
              </w:rPr>
              <w:t>)</w:t>
            </w:r>
          </w:p>
        </w:tc>
        <w:tc>
          <w:tcPr>
            <w:tcW w:w="853" w:type="pct"/>
          </w:tcPr>
          <w:p w:rsidR="00EF172D" w:rsidRDefault="00471549" w:rsidP="00A71365">
            <w:pPr>
              <w:pStyle w:val="Tablewriting"/>
              <w:rPr>
                <w:rFonts w:eastAsia="MS Mincho" w:cstheme="minorHAnsi"/>
              </w:rPr>
            </w:pPr>
            <w:r w:rsidRPr="00017AE6">
              <w:rPr>
                <w:rFonts w:eastAsia="MS Mincho" w:cstheme="minorHAnsi"/>
              </w:rPr>
              <w:t xml:space="preserve">Adults, recruited from smoking cessation clinics, aged 18 </w:t>
            </w:r>
            <w:r w:rsidR="0078286F">
              <w:rPr>
                <w:rFonts w:eastAsia="MS Mincho" w:cstheme="minorHAnsi"/>
              </w:rPr>
              <w:t>–</w:t>
            </w:r>
            <w:r w:rsidRPr="00017AE6">
              <w:rPr>
                <w:rFonts w:eastAsia="MS Mincho" w:cstheme="minorHAnsi"/>
              </w:rPr>
              <w:t xml:space="preserve"> 75</w:t>
            </w:r>
            <w:r w:rsidR="0078286F">
              <w:rPr>
                <w:rFonts w:eastAsia="MS Mincho" w:cstheme="minorHAnsi"/>
              </w:rPr>
              <w:t xml:space="preserve"> years</w:t>
            </w:r>
            <w:r w:rsidRPr="00017AE6">
              <w:rPr>
                <w:rFonts w:eastAsia="MS Mincho" w:cstheme="minorHAnsi"/>
              </w:rPr>
              <w:t>, weight &gt; 45.5 kg, BMI 15 - 38, smoking</w:t>
            </w:r>
            <w:r w:rsidR="0078286F">
              <w:rPr>
                <w:rFonts w:eastAsia="MS Mincho" w:cstheme="minorHAnsi"/>
              </w:rPr>
              <w:t xml:space="preserve"> </w:t>
            </w:r>
            <w:r w:rsidR="00210E5A" w:rsidRPr="00210E5A">
              <w:rPr>
                <w:rFonts w:eastAsia="MS Mincho" w:cstheme="minorHAnsi"/>
              </w:rPr>
              <w:t>≥</w:t>
            </w:r>
            <w:r w:rsidRPr="00017AE6">
              <w:rPr>
                <w:rFonts w:eastAsia="MS Mincho" w:cstheme="minorHAnsi"/>
              </w:rPr>
              <w:t xml:space="preserve"> 10 CPD, motivated to quit. </w:t>
            </w:r>
          </w:p>
          <w:p w:rsidR="00471549" w:rsidRPr="00017AE6" w:rsidRDefault="00471549" w:rsidP="00A71365">
            <w:pPr>
              <w:pStyle w:val="Tablewriting"/>
              <w:rPr>
                <w:rFonts w:eastAsia="MS Mincho" w:cstheme="minorHAnsi"/>
              </w:rPr>
            </w:pPr>
            <w:r w:rsidRPr="00017AE6">
              <w:rPr>
                <w:rFonts w:eastAsia="MS Mincho" w:cstheme="minorHAnsi"/>
              </w:rPr>
              <w:t>Mean age 43.5, 63.6% men, mean CPD 23.8, mean FTND 6.0. 55% had no prior quit attempt</w:t>
            </w:r>
          </w:p>
          <w:p w:rsidR="00471549" w:rsidRPr="00017AE6" w:rsidRDefault="00471549" w:rsidP="00A71365">
            <w:pPr>
              <w:pStyle w:val="Tablewriting"/>
              <w:rPr>
                <w:rFonts w:eastAsia="MS Mincho" w:cstheme="minorHAnsi"/>
              </w:rPr>
            </w:pPr>
          </w:p>
          <w:p w:rsidR="00471549" w:rsidRPr="00017AE6" w:rsidRDefault="00471549" w:rsidP="00A71365">
            <w:pPr>
              <w:pStyle w:val="Tablewriting"/>
              <w:rPr>
                <w:rFonts w:eastAsia="MS Mincho" w:cstheme="minorHAnsi"/>
              </w:rPr>
            </w:pPr>
            <w:r w:rsidRPr="00EF172D">
              <w:rPr>
                <w:rFonts w:eastAsia="MS Mincho" w:cstheme="minorHAnsi"/>
                <w:u w:val="single"/>
              </w:rPr>
              <w:t>Exclusion criteria:</w:t>
            </w:r>
            <w:r w:rsidRPr="00017AE6">
              <w:rPr>
                <w:rFonts w:eastAsia="MS Mincho" w:cstheme="minorHAnsi"/>
              </w:rPr>
              <w:t xml:space="preserve"> Standard pharmacotherapy trial criteria, + participants must not have used NRT,</w:t>
            </w:r>
          </w:p>
          <w:p w:rsidR="00C25F5E" w:rsidRPr="00017AE6" w:rsidRDefault="00471549" w:rsidP="00A71365">
            <w:pPr>
              <w:pStyle w:val="Tablewriting"/>
              <w:rPr>
                <w:rFonts w:eastAsia="MS Mincho" w:cstheme="minorHAnsi"/>
              </w:rPr>
            </w:pPr>
            <w:r w:rsidRPr="00017AE6">
              <w:rPr>
                <w:rFonts w:eastAsia="MS Mincho" w:cstheme="minorHAnsi"/>
              </w:rPr>
              <w:t>bupropion, clonidine or nortriptyline in previous 6</w:t>
            </w:r>
            <w:r w:rsidR="00DB01C9">
              <w:rPr>
                <w:rFonts w:eastAsia="MS Mincho" w:cstheme="minorHAnsi"/>
              </w:rPr>
              <w:t xml:space="preserve"> months. </w:t>
            </w:r>
          </w:p>
        </w:tc>
        <w:tc>
          <w:tcPr>
            <w:tcW w:w="1055" w:type="pct"/>
          </w:tcPr>
          <w:p w:rsidR="00DB01C9" w:rsidRDefault="00152301" w:rsidP="00C324F3">
            <w:pPr>
              <w:pStyle w:val="Tablewriting"/>
              <w:numPr>
                <w:ilvl w:val="0"/>
                <w:numId w:val="61"/>
              </w:numPr>
              <w:rPr>
                <w:rFonts w:eastAsia="MS Mincho" w:cstheme="minorHAnsi"/>
              </w:rPr>
            </w:pPr>
            <w:r w:rsidRPr="00017AE6">
              <w:rPr>
                <w:rFonts w:eastAsia="MS Mincho" w:cstheme="minorHAnsi"/>
              </w:rPr>
              <w:t>Varenicline 1</w:t>
            </w:r>
            <w:r w:rsidR="00002E73">
              <w:rPr>
                <w:rFonts w:eastAsia="MS Mincho" w:cstheme="minorHAnsi"/>
              </w:rPr>
              <w:t xml:space="preserve"> </w:t>
            </w:r>
            <w:r w:rsidRPr="00017AE6">
              <w:rPr>
                <w:rFonts w:eastAsia="MS Mincho" w:cstheme="minorHAnsi"/>
              </w:rPr>
              <w:t>mg x 2/day, titrated during w</w:t>
            </w:r>
            <w:r w:rsidR="00DB01C9">
              <w:rPr>
                <w:rFonts w:eastAsia="MS Mincho" w:cstheme="minorHAnsi"/>
              </w:rPr>
              <w:t>ee</w:t>
            </w:r>
            <w:r w:rsidRPr="00017AE6">
              <w:rPr>
                <w:rFonts w:eastAsia="MS Mincho" w:cstheme="minorHAnsi"/>
              </w:rPr>
              <w:t>k 1</w:t>
            </w:r>
          </w:p>
          <w:p w:rsidR="00152301" w:rsidRPr="00017AE6" w:rsidRDefault="00152301" w:rsidP="00C324F3">
            <w:pPr>
              <w:pStyle w:val="Tablewriting"/>
              <w:numPr>
                <w:ilvl w:val="0"/>
                <w:numId w:val="61"/>
              </w:numPr>
              <w:rPr>
                <w:rFonts w:eastAsia="MS Mincho" w:cstheme="minorHAnsi"/>
              </w:rPr>
            </w:pPr>
            <w:r w:rsidRPr="00017AE6">
              <w:rPr>
                <w:rFonts w:eastAsia="MS Mincho" w:cstheme="minorHAnsi"/>
              </w:rPr>
              <w:t>Placebo inactive tablets, same regimen</w:t>
            </w:r>
          </w:p>
          <w:p w:rsidR="00B00573" w:rsidRDefault="00B00573" w:rsidP="00A71365">
            <w:pPr>
              <w:pStyle w:val="Tablewriting"/>
              <w:rPr>
                <w:rFonts w:eastAsia="MS Mincho" w:cstheme="minorHAnsi"/>
              </w:rPr>
            </w:pPr>
          </w:p>
          <w:p w:rsidR="00B00573" w:rsidRDefault="00152301" w:rsidP="00A71365">
            <w:pPr>
              <w:pStyle w:val="Tablewriting"/>
              <w:rPr>
                <w:rFonts w:eastAsia="MS Mincho" w:cstheme="minorHAnsi"/>
              </w:rPr>
            </w:pPr>
            <w:r w:rsidRPr="00017AE6">
              <w:rPr>
                <w:rFonts w:eastAsia="MS Mincho" w:cstheme="minorHAnsi"/>
              </w:rPr>
              <w:t>Treatment period was 12 w</w:t>
            </w:r>
            <w:r w:rsidR="00B00573">
              <w:rPr>
                <w:rFonts w:eastAsia="MS Mincho" w:cstheme="minorHAnsi"/>
              </w:rPr>
              <w:t>ee</w:t>
            </w:r>
            <w:r w:rsidRPr="00017AE6">
              <w:rPr>
                <w:rFonts w:eastAsia="MS Mincho" w:cstheme="minorHAnsi"/>
              </w:rPr>
              <w:t xml:space="preserve">ks. </w:t>
            </w:r>
          </w:p>
          <w:p w:rsidR="00B00573" w:rsidRDefault="00B00573" w:rsidP="00A71365">
            <w:pPr>
              <w:pStyle w:val="Tablewriting"/>
              <w:rPr>
                <w:rFonts w:eastAsia="MS Mincho" w:cstheme="minorHAnsi"/>
              </w:rPr>
            </w:pPr>
          </w:p>
          <w:p w:rsidR="006E071A" w:rsidRDefault="00436031"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w:t>
            </w:r>
            <w:r w:rsidR="00152301">
              <w:rPr>
                <w:rFonts w:eastAsia="MS Mincho" w:cstheme="minorHAnsi"/>
                <w:u w:val="single"/>
              </w:rPr>
              <w:t xml:space="preserve"> </w:t>
            </w:r>
            <w:r w:rsidR="00152301" w:rsidRPr="00017AE6">
              <w:rPr>
                <w:rFonts w:eastAsia="MS Mincho" w:cstheme="minorHAnsi"/>
              </w:rPr>
              <w:t xml:space="preserve">All participants received </w:t>
            </w:r>
            <w:r>
              <w:rPr>
                <w:rFonts w:eastAsia="MS Mincho" w:cstheme="minorHAnsi"/>
              </w:rPr>
              <w:t>‘’</w:t>
            </w:r>
            <w:r w:rsidR="00152301" w:rsidRPr="00017AE6">
              <w:rPr>
                <w:rFonts w:eastAsia="MS Mincho" w:cstheme="minorHAnsi"/>
              </w:rPr>
              <w:t>You can quit smoking self-help booklet</w:t>
            </w:r>
            <w:r>
              <w:rPr>
                <w:rFonts w:eastAsia="MS Mincho" w:cstheme="minorHAnsi"/>
              </w:rPr>
              <w:t>’’</w:t>
            </w:r>
            <w:r w:rsidR="00152301" w:rsidRPr="00017AE6">
              <w:rPr>
                <w:rFonts w:eastAsia="MS Mincho" w:cstheme="minorHAnsi"/>
              </w:rPr>
              <w:t xml:space="preserve"> at baseline, and brief counselling (</w:t>
            </w:r>
            <w:r w:rsidR="002B6FDB" w:rsidRPr="002B6FDB">
              <w:rPr>
                <w:rFonts w:eastAsia="MS Mincho" w:cstheme="minorHAnsi"/>
              </w:rPr>
              <w:t>≤</w:t>
            </w:r>
            <w:r w:rsidR="00152301" w:rsidRPr="00017AE6">
              <w:rPr>
                <w:rFonts w:eastAsia="MS Mincho" w:cstheme="minorHAnsi"/>
              </w:rPr>
              <w:t xml:space="preserve"> 10 mins) at each</w:t>
            </w:r>
            <w:r w:rsidR="006E071A">
              <w:rPr>
                <w:rFonts w:eastAsia="MS Mincho" w:cstheme="minorHAnsi"/>
              </w:rPr>
              <w:t xml:space="preserve"> </w:t>
            </w:r>
            <w:r w:rsidR="00152301" w:rsidRPr="00017AE6">
              <w:rPr>
                <w:rFonts w:eastAsia="MS Mincho" w:cstheme="minorHAnsi"/>
              </w:rPr>
              <w:t xml:space="preserve">clinic or telephone contact. </w:t>
            </w:r>
          </w:p>
          <w:p w:rsidR="00152301" w:rsidRPr="007F1CCF" w:rsidRDefault="00152301" w:rsidP="00A71365">
            <w:pPr>
              <w:pStyle w:val="Tablewriting"/>
              <w:rPr>
                <w:rFonts w:eastAsia="MS Mincho" w:cstheme="minorHAnsi"/>
              </w:rPr>
            </w:pPr>
            <w:r w:rsidRPr="007F1CCF">
              <w:rPr>
                <w:rFonts w:eastAsia="MS Mincho" w:cstheme="minorHAnsi"/>
              </w:rPr>
              <w:t>TQD set for w</w:t>
            </w:r>
            <w:r w:rsidR="007F1CCF">
              <w:rPr>
                <w:rFonts w:eastAsia="MS Mincho" w:cstheme="minorHAnsi"/>
              </w:rPr>
              <w:t>ee</w:t>
            </w:r>
            <w:r w:rsidRPr="007F1CCF">
              <w:rPr>
                <w:rFonts w:eastAsia="MS Mincho" w:cstheme="minorHAnsi"/>
              </w:rPr>
              <w:t>k 1. Clinic visits at w</w:t>
            </w:r>
            <w:r w:rsidR="007F1CCF">
              <w:rPr>
                <w:rFonts w:eastAsia="MS Mincho" w:cstheme="minorHAnsi"/>
              </w:rPr>
              <w:t>ee</w:t>
            </w:r>
            <w:r w:rsidRPr="007F1CCF">
              <w:rPr>
                <w:rFonts w:eastAsia="MS Mincho" w:cstheme="minorHAnsi"/>
              </w:rPr>
              <w:t>ks 2, 3, 4, 6, 8, 10 and 12 throughout treatment</w:t>
            </w:r>
            <w:r w:rsidR="006E071A" w:rsidRPr="007F1CCF">
              <w:rPr>
                <w:rFonts w:eastAsia="MS Mincho" w:cstheme="minorHAnsi"/>
              </w:rPr>
              <w:t xml:space="preserve"> </w:t>
            </w:r>
            <w:r w:rsidRPr="007F1CCF">
              <w:rPr>
                <w:rFonts w:eastAsia="MS Mincho" w:cstheme="minorHAnsi"/>
              </w:rPr>
              <w:t>phase, plus a phone call 3 days post-TQD</w:t>
            </w:r>
          </w:p>
          <w:p w:rsidR="00C25F5E" w:rsidRPr="00017AE6" w:rsidRDefault="00152301" w:rsidP="00A71365">
            <w:pPr>
              <w:pStyle w:val="Tablewriting"/>
              <w:rPr>
                <w:rFonts w:eastAsia="MS Mincho" w:cstheme="minorHAnsi"/>
              </w:rPr>
            </w:pPr>
            <w:r w:rsidRPr="007F1CCF">
              <w:rPr>
                <w:rFonts w:eastAsia="MS Mincho" w:cstheme="minorHAnsi"/>
              </w:rPr>
              <w:t>In follow-up phase, clinic visits at w</w:t>
            </w:r>
            <w:r w:rsidR="007F1CCF">
              <w:rPr>
                <w:rFonts w:eastAsia="MS Mincho" w:cstheme="minorHAnsi"/>
              </w:rPr>
              <w:t>ee</w:t>
            </w:r>
            <w:r w:rsidRPr="007F1CCF">
              <w:rPr>
                <w:rFonts w:eastAsia="MS Mincho" w:cstheme="minorHAnsi"/>
              </w:rPr>
              <w:t>ks 13, 16, 20 and 24, plus brief phone calls at w</w:t>
            </w:r>
            <w:r w:rsidR="007F1CCF">
              <w:rPr>
                <w:rFonts w:eastAsia="MS Mincho" w:cstheme="minorHAnsi"/>
              </w:rPr>
              <w:t>ee</w:t>
            </w:r>
            <w:r w:rsidRPr="007F1CCF">
              <w:rPr>
                <w:rFonts w:eastAsia="MS Mincho" w:cstheme="minorHAnsi"/>
              </w:rPr>
              <w:t>ks 14, 18 and 22</w:t>
            </w:r>
            <w:r w:rsidR="007F1CCF">
              <w:rPr>
                <w:rFonts w:eastAsia="MS Mincho" w:cstheme="minorHAnsi"/>
              </w:rPr>
              <w:t>.</w:t>
            </w:r>
          </w:p>
        </w:tc>
        <w:tc>
          <w:tcPr>
            <w:tcW w:w="960" w:type="pct"/>
          </w:tcPr>
          <w:p w:rsidR="00A033D8" w:rsidRDefault="00A033D8" w:rsidP="00A71365">
            <w:pPr>
              <w:pStyle w:val="Tablewriting"/>
              <w:rPr>
                <w:rFonts w:eastAsia="MS Mincho" w:cstheme="minorHAnsi"/>
                <w:u w:val="single"/>
              </w:rPr>
            </w:pPr>
            <w:r w:rsidRPr="00A033D8">
              <w:rPr>
                <w:rFonts w:eastAsia="MS Mincho" w:cstheme="minorHAnsi"/>
                <w:u w:val="single"/>
              </w:rPr>
              <w:t>Efficacy:</w:t>
            </w:r>
          </w:p>
          <w:p w:rsidR="00152301" w:rsidRPr="00017AE6" w:rsidRDefault="00152301" w:rsidP="00A71365">
            <w:pPr>
              <w:pStyle w:val="Tablewriting"/>
              <w:rPr>
                <w:rFonts w:eastAsia="MS Mincho" w:cstheme="minorHAnsi"/>
              </w:rPr>
            </w:pPr>
            <w:r w:rsidRPr="00017AE6">
              <w:rPr>
                <w:rFonts w:eastAsia="MS Mincho" w:cstheme="minorHAnsi"/>
              </w:rPr>
              <w:t>Primary outcome: CO-validated CAR at 9 -12 w</w:t>
            </w:r>
            <w:r w:rsidR="00A033D8">
              <w:rPr>
                <w:rFonts w:eastAsia="MS Mincho" w:cstheme="minorHAnsi"/>
              </w:rPr>
              <w:t>ee</w:t>
            </w:r>
            <w:r w:rsidRPr="00017AE6">
              <w:rPr>
                <w:rFonts w:eastAsia="MS Mincho" w:cstheme="minorHAnsi"/>
              </w:rPr>
              <w:t>ks</w:t>
            </w:r>
            <w:r w:rsidR="00C4760C">
              <w:rPr>
                <w:rFonts w:eastAsia="MS Mincho" w:cstheme="minorHAnsi"/>
              </w:rPr>
              <w:t>.</w:t>
            </w:r>
          </w:p>
          <w:p w:rsidR="00152301" w:rsidRPr="00017AE6" w:rsidRDefault="00152301" w:rsidP="00A71365">
            <w:pPr>
              <w:pStyle w:val="Tablewriting"/>
              <w:rPr>
                <w:rFonts w:eastAsia="MS Mincho" w:cstheme="minorHAnsi"/>
              </w:rPr>
            </w:pPr>
            <w:r w:rsidRPr="00017AE6">
              <w:rPr>
                <w:rFonts w:eastAsia="MS Mincho" w:cstheme="minorHAnsi"/>
              </w:rPr>
              <w:t>Secondary outcomes: CO-validated CAR at 9 - 24 w</w:t>
            </w:r>
            <w:r w:rsidR="00A033D8">
              <w:rPr>
                <w:rFonts w:eastAsia="MS Mincho" w:cstheme="minorHAnsi"/>
              </w:rPr>
              <w:t>ee</w:t>
            </w:r>
            <w:r w:rsidRPr="00017AE6">
              <w:rPr>
                <w:rFonts w:eastAsia="MS Mincho" w:cstheme="minorHAnsi"/>
              </w:rPr>
              <w:t>ks</w:t>
            </w:r>
            <w:r w:rsidR="00C4760C">
              <w:rPr>
                <w:rFonts w:eastAsia="MS Mincho" w:cstheme="minorHAnsi"/>
              </w:rPr>
              <w:t>,</w:t>
            </w:r>
            <w:r w:rsidRPr="00017AE6">
              <w:rPr>
                <w:rFonts w:eastAsia="MS Mincho" w:cstheme="minorHAnsi"/>
              </w:rPr>
              <w:t xml:space="preserve"> 7-day PPA at w</w:t>
            </w:r>
            <w:r w:rsidR="00A033D8">
              <w:rPr>
                <w:rFonts w:eastAsia="MS Mincho" w:cstheme="minorHAnsi"/>
              </w:rPr>
              <w:t>ee</w:t>
            </w:r>
            <w:r w:rsidRPr="00017AE6">
              <w:rPr>
                <w:rFonts w:eastAsia="MS Mincho" w:cstheme="minorHAnsi"/>
              </w:rPr>
              <w:t>ks 12 and 24</w:t>
            </w:r>
          </w:p>
          <w:p w:rsidR="00152301" w:rsidRPr="00017AE6" w:rsidRDefault="00152301" w:rsidP="00A71365">
            <w:pPr>
              <w:pStyle w:val="Tablewriting"/>
              <w:rPr>
                <w:rFonts w:eastAsia="MS Mincho" w:cstheme="minorHAnsi"/>
              </w:rPr>
            </w:pPr>
          </w:p>
          <w:p w:rsidR="00152301" w:rsidRPr="00652620" w:rsidRDefault="00A033D8" w:rsidP="00A71365">
            <w:pPr>
              <w:pStyle w:val="Tablewriting"/>
              <w:rPr>
                <w:rFonts w:eastAsia="MS Mincho" w:cstheme="minorHAnsi"/>
                <w:u w:val="single"/>
              </w:rPr>
            </w:pPr>
            <w:r w:rsidRPr="00A033D8">
              <w:rPr>
                <w:rFonts w:eastAsia="MS Mincho" w:cstheme="minorHAnsi"/>
                <w:u w:val="single"/>
              </w:rPr>
              <w:t>Safety</w:t>
            </w:r>
            <w:r w:rsidR="00152301" w:rsidRPr="00A033D8">
              <w:rPr>
                <w:rFonts w:eastAsia="MS Mincho" w:cstheme="minorHAnsi"/>
                <w:u w:val="single"/>
              </w:rPr>
              <w:t>:</w:t>
            </w:r>
            <w:r w:rsidR="00152301">
              <w:rPr>
                <w:rFonts w:eastAsia="MS Mincho" w:cstheme="minorHAnsi"/>
                <w:u w:val="single"/>
              </w:rPr>
              <w:t xml:space="preserve"> </w:t>
            </w:r>
            <w:r w:rsidR="00152301" w:rsidRPr="00017AE6">
              <w:rPr>
                <w:rFonts w:eastAsia="MS Mincho" w:cstheme="minorHAnsi"/>
              </w:rPr>
              <w:t>Adverse events, clinically significant changes in vital signs, SAEs.</w:t>
            </w:r>
          </w:p>
          <w:p w:rsidR="00652620" w:rsidRDefault="00652620" w:rsidP="00A71365">
            <w:pPr>
              <w:pStyle w:val="Tablewriting"/>
              <w:rPr>
                <w:rFonts w:eastAsia="MS Mincho" w:cstheme="minorHAnsi"/>
              </w:rPr>
            </w:pPr>
          </w:p>
          <w:p w:rsidR="00C25F5E" w:rsidRPr="00017AE6" w:rsidRDefault="00152301" w:rsidP="00A71365">
            <w:pPr>
              <w:pStyle w:val="Tablewriting"/>
              <w:rPr>
                <w:rFonts w:eastAsia="MS Mincho" w:cstheme="minorHAnsi"/>
              </w:rPr>
            </w:pPr>
            <w:r w:rsidRPr="00017AE6">
              <w:rPr>
                <w:rFonts w:eastAsia="MS Mincho" w:cstheme="minorHAnsi"/>
              </w:rPr>
              <w:t xml:space="preserve">Abstinence was assessed using the Nicotine-Use Inventory (NUI); validation was by expired CO </w:t>
            </w:r>
            <w:r w:rsidR="00811C83" w:rsidRPr="002B6FDB">
              <w:rPr>
                <w:rFonts w:eastAsia="MS Mincho" w:cstheme="minorHAnsi"/>
              </w:rPr>
              <w:t>≤</w:t>
            </w:r>
            <w:r w:rsidRPr="00017AE6">
              <w:rPr>
                <w:rFonts w:eastAsia="MS Mincho" w:cstheme="minorHAnsi"/>
              </w:rPr>
              <w:t xml:space="preserve"> 10</w:t>
            </w:r>
            <w:r w:rsidR="000D1D5B">
              <w:rPr>
                <w:rFonts w:eastAsia="MS Mincho" w:cstheme="minorHAnsi"/>
              </w:rPr>
              <w:t xml:space="preserve"> </w:t>
            </w:r>
            <w:r w:rsidRPr="00017AE6">
              <w:rPr>
                <w:rFonts w:eastAsia="MS Mincho" w:cstheme="minorHAnsi"/>
              </w:rPr>
              <w:t>ppm</w:t>
            </w: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7F1CCF">
              <w:rPr>
                <w:rFonts w:eastAsia="MS Mincho" w:cstheme="minorHAnsi"/>
              </w:rPr>
              <w:t xml:space="preserve">Carson </w:t>
            </w:r>
            <w:r w:rsidR="008C25BC" w:rsidRPr="007F1CCF">
              <w:rPr>
                <w:rFonts w:eastAsia="MS Mincho" w:cstheme="minorHAnsi"/>
              </w:rPr>
              <w:t>(</w:t>
            </w:r>
            <w:r w:rsidRPr="007F1CCF">
              <w:rPr>
                <w:rFonts w:eastAsia="MS Mincho" w:cstheme="minorHAnsi"/>
              </w:rPr>
              <w:t>2014</w:t>
            </w:r>
            <w:r w:rsidR="008C25BC" w:rsidRPr="007F1CCF">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7E39FE" w:rsidP="00A71365">
            <w:pPr>
              <w:pStyle w:val="Tablewriting"/>
              <w:rPr>
                <w:rFonts w:eastAsia="MS Mincho" w:cstheme="minorHAnsi"/>
              </w:rPr>
            </w:pPr>
            <w:r w:rsidRPr="00017AE6">
              <w:rPr>
                <w:rFonts w:eastAsia="MS Mincho" w:cstheme="minorHAnsi"/>
              </w:rPr>
              <w:t>Australia</w:t>
            </w:r>
          </w:p>
        </w:tc>
        <w:tc>
          <w:tcPr>
            <w:tcW w:w="675" w:type="pct"/>
          </w:tcPr>
          <w:p w:rsidR="00C25F5E" w:rsidRPr="00017AE6" w:rsidRDefault="00C25F5E" w:rsidP="00A71365">
            <w:pPr>
              <w:pStyle w:val="Tablewriting"/>
              <w:rPr>
                <w:rFonts w:eastAsia="MS Mincho" w:cstheme="minorHAnsi"/>
              </w:rPr>
            </w:pPr>
            <w:r w:rsidRPr="00017AE6">
              <w:rPr>
                <w:rFonts w:eastAsia="MS Mincho" w:cstheme="minorHAnsi"/>
              </w:rPr>
              <w:t>N=</w:t>
            </w:r>
            <w:r w:rsidR="007E39FE" w:rsidRPr="00017AE6">
              <w:rPr>
                <w:rFonts w:eastAsia="MS Mincho" w:cstheme="minorHAnsi"/>
              </w:rPr>
              <w:t>392</w:t>
            </w:r>
            <w:r w:rsidR="00721778">
              <w:rPr>
                <w:rFonts w:eastAsia="MS Mincho" w:cstheme="minorHAnsi"/>
              </w:rPr>
              <w:t>; n=</w:t>
            </w:r>
            <w:r w:rsidR="004F0EAA">
              <w:rPr>
                <w:rFonts w:eastAsia="MS Mincho" w:cstheme="minorHAnsi"/>
              </w:rPr>
              <w:t>196 (var</w:t>
            </w:r>
            <w:r w:rsidR="0049319F">
              <w:rPr>
                <w:rFonts w:eastAsia="MS Mincho" w:cstheme="minorHAnsi"/>
              </w:rPr>
              <w:t>enicline</w:t>
            </w:r>
            <w:r w:rsidR="00CD7C3E">
              <w:rPr>
                <w:rFonts w:eastAsia="MS Mincho" w:cstheme="minorHAnsi"/>
              </w:rPr>
              <w:t xml:space="preserve"> + counselling), n=</w:t>
            </w:r>
            <w:r w:rsidR="008213B3">
              <w:rPr>
                <w:rFonts w:eastAsia="MS Mincho" w:cstheme="minorHAnsi"/>
              </w:rPr>
              <w:t>196 (counselling alone)</w:t>
            </w:r>
          </w:p>
        </w:tc>
        <w:tc>
          <w:tcPr>
            <w:tcW w:w="853" w:type="pct"/>
          </w:tcPr>
          <w:p w:rsidR="007E39FE" w:rsidRPr="00017AE6" w:rsidRDefault="00F37116" w:rsidP="00A71365">
            <w:pPr>
              <w:pStyle w:val="Tablewriting"/>
              <w:rPr>
                <w:rFonts w:eastAsia="MS Mincho" w:cstheme="minorHAnsi"/>
              </w:rPr>
            </w:pPr>
            <w:r>
              <w:rPr>
                <w:rFonts w:eastAsia="MS Mincho" w:cstheme="minorHAnsi"/>
              </w:rPr>
              <w:t>A</w:t>
            </w:r>
            <w:r w:rsidR="007E39FE" w:rsidRPr="00017AE6">
              <w:rPr>
                <w:rFonts w:eastAsia="MS Mincho" w:cstheme="minorHAnsi"/>
              </w:rPr>
              <w:t xml:space="preserve">dult smokers, aged 18 </w:t>
            </w:r>
            <w:r w:rsidR="009A760B">
              <w:rPr>
                <w:rFonts w:eastAsia="MS Mincho" w:cstheme="minorHAnsi"/>
              </w:rPr>
              <w:t>–</w:t>
            </w:r>
            <w:r w:rsidR="007E39FE" w:rsidRPr="00017AE6">
              <w:rPr>
                <w:rFonts w:eastAsia="MS Mincho" w:cstheme="minorHAnsi"/>
              </w:rPr>
              <w:t xml:space="preserve"> 75</w:t>
            </w:r>
            <w:r w:rsidR="009A760B">
              <w:rPr>
                <w:rFonts w:eastAsia="MS Mincho" w:cstheme="minorHAnsi"/>
              </w:rPr>
              <w:t xml:space="preserve"> years</w:t>
            </w:r>
            <w:r w:rsidR="007E39FE" w:rsidRPr="00017AE6">
              <w:rPr>
                <w:rFonts w:eastAsia="MS Mincho" w:cstheme="minorHAnsi"/>
              </w:rPr>
              <w:t>, smoking 10 CPD+, willing to quit, admitted with acute smoking-related</w:t>
            </w:r>
            <w:r w:rsidR="00B1169E">
              <w:rPr>
                <w:rFonts w:eastAsia="MS Mincho" w:cstheme="minorHAnsi"/>
              </w:rPr>
              <w:t xml:space="preserve"> </w:t>
            </w:r>
            <w:r w:rsidR="007E39FE" w:rsidRPr="00017AE6">
              <w:rPr>
                <w:rFonts w:eastAsia="MS Mincho" w:cstheme="minorHAnsi"/>
              </w:rPr>
              <w:t xml:space="preserve">illnesses; </w:t>
            </w:r>
            <w:r w:rsidR="008213B3">
              <w:rPr>
                <w:rFonts w:eastAsia="MS Mincho" w:cstheme="minorHAnsi"/>
              </w:rPr>
              <w:t>m</w:t>
            </w:r>
            <w:r w:rsidR="007E39FE" w:rsidRPr="00017AE6">
              <w:rPr>
                <w:rFonts w:eastAsia="MS Mincho" w:cstheme="minorHAnsi"/>
              </w:rPr>
              <w:t>ean age 53</w:t>
            </w:r>
            <w:r w:rsidR="00D84231">
              <w:rPr>
                <w:rFonts w:eastAsia="MS Mincho" w:cstheme="minorHAnsi"/>
              </w:rPr>
              <w:t xml:space="preserve"> years</w:t>
            </w:r>
            <w:r w:rsidR="007E39FE" w:rsidRPr="00017AE6">
              <w:rPr>
                <w:rFonts w:eastAsia="MS Mincho" w:cstheme="minorHAnsi"/>
              </w:rPr>
              <w:t xml:space="preserve">, 32% women, 96% white, mean CPD 25, mean FTND 5.6, mean baseline </w:t>
            </w:r>
            <w:r w:rsidR="007E39FE" w:rsidRPr="00D84231">
              <w:rPr>
                <w:rFonts w:eastAsia="MS Mincho" w:cstheme="minorHAnsi"/>
              </w:rPr>
              <w:t>LoS</w:t>
            </w:r>
            <w:r w:rsidR="007E39FE" w:rsidRPr="00017AE6">
              <w:rPr>
                <w:rFonts w:eastAsia="MS Mincho" w:cstheme="minorHAnsi"/>
              </w:rPr>
              <w:t xml:space="preserve"> 6.5 days</w:t>
            </w:r>
          </w:p>
          <w:p w:rsidR="008213B3" w:rsidRDefault="008213B3" w:rsidP="00A71365">
            <w:pPr>
              <w:pStyle w:val="Tablewriting"/>
              <w:rPr>
                <w:rFonts w:eastAsia="MS Mincho" w:cstheme="minorHAnsi"/>
              </w:rPr>
            </w:pPr>
          </w:p>
          <w:p w:rsidR="00C25F5E" w:rsidRPr="00017AE6" w:rsidRDefault="007E39FE" w:rsidP="00A71365">
            <w:pPr>
              <w:pStyle w:val="Tablewriting"/>
              <w:rPr>
                <w:rFonts w:eastAsia="MS Mincho" w:cstheme="minorHAnsi"/>
              </w:rPr>
            </w:pPr>
            <w:r w:rsidRPr="008213B3">
              <w:rPr>
                <w:rFonts w:eastAsia="MS Mincho" w:cstheme="minorHAnsi"/>
                <w:u w:val="single"/>
              </w:rPr>
              <w:t>Exclusion criteria</w:t>
            </w:r>
            <w:r w:rsidRPr="00017AE6">
              <w:rPr>
                <w:rFonts w:eastAsia="MS Mincho" w:cstheme="minorHAnsi"/>
              </w:rPr>
              <w:t xml:space="preserve">: Standard pharmacotherapy criteria, acute or pre-existing psychiatric illness, history of </w:t>
            </w:r>
            <w:r w:rsidRPr="00017AE6">
              <w:rPr>
                <w:rFonts w:eastAsia="MS Mincho" w:cstheme="minorHAnsi"/>
              </w:rPr>
              <w:lastRenderedPageBreak/>
              <w:t>psychosis or suicidal ideation, use of varenicline in past 12</w:t>
            </w:r>
            <w:r w:rsidR="00646213">
              <w:rPr>
                <w:rFonts w:eastAsia="MS Mincho" w:cstheme="minorHAnsi"/>
              </w:rPr>
              <w:t xml:space="preserve"> months</w:t>
            </w:r>
          </w:p>
        </w:tc>
        <w:tc>
          <w:tcPr>
            <w:tcW w:w="1055" w:type="pct"/>
          </w:tcPr>
          <w:p w:rsidR="00193271" w:rsidRDefault="00593C1F" w:rsidP="00C324F3">
            <w:pPr>
              <w:pStyle w:val="Tablewriting"/>
              <w:numPr>
                <w:ilvl w:val="0"/>
                <w:numId w:val="62"/>
              </w:numPr>
              <w:rPr>
                <w:rFonts w:eastAsia="MS Mincho" w:cstheme="minorHAnsi"/>
              </w:rPr>
            </w:pPr>
            <w:r w:rsidRPr="00017AE6">
              <w:rPr>
                <w:rFonts w:eastAsia="MS Mincho" w:cstheme="minorHAnsi"/>
              </w:rPr>
              <w:lastRenderedPageBreak/>
              <w:t>Varenicline 1.0 mg x 2/d for 12 w</w:t>
            </w:r>
            <w:r w:rsidR="003D25A5">
              <w:rPr>
                <w:rFonts w:eastAsia="MS Mincho" w:cstheme="minorHAnsi"/>
              </w:rPr>
              <w:t>ee</w:t>
            </w:r>
            <w:r w:rsidRPr="00017AE6">
              <w:rPr>
                <w:rFonts w:eastAsia="MS Mincho" w:cstheme="minorHAnsi"/>
              </w:rPr>
              <w:t>ks, including w</w:t>
            </w:r>
            <w:r w:rsidR="003D25A5">
              <w:rPr>
                <w:rFonts w:eastAsia="MS Mincho" w:cstheme="minorHAnsi"/>
              </w:rPr>
              <w:t>ee</w:t>
            </w:r>
            <w:r w:rsidRPr="00017AE6">
              <w:rPr>
                <w:rFonts w:eastAsia="MS Mincho" w:cstheme="minorHAnsi"/>
              </w:rPr>
              <w:t>k 1 at titrated dose</w:t>
            </w:r>
            <w:r w:rsidR="003D25A5">
              <w:rPr>
                <w:rFonts w:eastAsia="MS Mincho" w:cstheme="minorHAnsi"/>
              </w:rPr>
              <w:t xml:space="preserve"> </w:t>
            </w:r>
            <w:r w:rsidRPr="00017AE6">
              <w:rPr>
                <w:rFonts w:eastAsia="MS Mincho" w:cstheme="minorHAnsi"/>
              </w:rPr>
              <w:t>(described as standard MIMS</w:t>
            </w:r>
            <w:r w:rsidR="003D25A5">
              <w:rPr>
                <w:rFonts w:eastAsia="MS Mincho" w:cstheme="minorHAnsi"/>
              </w:rPr>
              <w:t xml:space="preserve"> </w:t>
            </w:r>
            <w:r w:rsidRPr="00017AE6">
              <w:rPr>
                <w:rFonts w:eastAsia="MS Mincho" w:cstheme="minorHAnsi"/>
              </w:rPr>
              <w:t>dosing</w:t>
            </w:r>
            <w:r w:rsidR="003D25A5">
              <w:rPr>
                <w:rFonts w:eastAsia="MS Mincho" w:cstheme="minorHAnsi"/>
              </w:rPr>
              <w:t xml:space="preserve"> </w:t>
            </w:r>
            <w:r w:rsidRPr="003D25A5">
              <w:rPr>
                <w:rFonts w:eastAsia="MS Mincho" w:cstheme="minorHAnsi"/>
              </w:rPr>
              <w:t>schedule), + counselling</w:t>
            </w:r>
          </w:p>
          <w:p w:rsidR="00593C1F" w:rsidRPr="00017AE6" w:rsidRDefault="00593C1F" w:rsidP="00C324F3">
            <w:pPr>
              <w:pStyle w:val="Tablewriting"/>
              <w:numPr>
                <w:ilvl w:val="0"/>
                <w:numId w:val="62"/>
              </w:numPr>
              <w:rPr>
                <w:rFonts w:eastAsia="MS Mincho" w:cstheme="minorHAnsi"/>
              </w:rPr>
            </w:pPr>
            <w:r w:rsidRPr="00017AE6">
              <w:rPr>
                <w:rFonts w:eastAsia="MS Mincho" w:cstheme="minorHAnsi"/>
              </w:rPr>
              <w:t>Counselling only</w:t>
            </w:r>
          </w:p>
          <w:p w:rsidR="0024341A" w:rsidRPr="00017AE6" w:rsidRDefault="0024341A" w:rsidP="00A71365">
            <w:pPr>
              <w:pStyle w:val="Tablewriting"/>
              <w:rPr>
                <w:rFonts w:eastAsia="MS Mincho" w:cstheme="minorHAnsi"/>
              </w:rPr>
            </w:pPr>
          </w:p>
          <w:p w:rsidR="00777A72" w:rsidRDefault="00193271"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593C1F" w:rsidRPr="00017AE6">
              <w:rPr>
                <w:rFonts w:eastAsia="MS Mincho" w:cstheme="minorHAnsi"/>
              </w:rPr>
              <w:t xml:space="preserve">Both groups received </w:t>
            </w:r>
            <w:r w:rsidR="00AA2E96">
              <w:rPr>
                <w:rFonts w:eastAsia="MS Mincho" w:cstheme="minorHAnsi"/>
              </w:rPr>
              <w:t>‘’</w:t>
            </w:r>
            <w:r w:rsidR="00593C1F" w:rsidRPr="00017AE6">
              <w:rPr>
                <w:rFonts w:eastAsia="MS Mincho" w:cstheme="minorHAnsi"/>
              </w:rPr>
              <w:t>Quit SA 5A behavioural counselling</w:t>
            </w:r>
            <w:r w:rsidR="00777A72">
              <w:rPr>
                <w:rFonts w:eastAsia="MS Mincho" w:cstheme="minorHAnsi"/>
              </w:rPr>
              <w:t>’’</w:t>
            </w:r>
            <w:r w:rsidR="00593C1F" w:rsidRPr="00017AE6">
              <w:rPr>
                <w:rFonts w:eastAsia="MS Mincho" w:cstheme="minorHAnsi"/>
              </w:rPr>
              <w:t>, i.e. maximum of 8 calls over 3</w:t>
            </w:r>
            <w:r>
              <w:rPr>
                <w:rFonts w:eastAsia="MS Mincho" w:cstheme="minorHAnsi"/>
              </w:rPr>
              <w:t xml:space="preserve"> </w:t>
            </w:r>
            <w:r w:rsidR="00593C1F" w:rsidRPr="00017AE6">
              <w:rPr>
                <w:rFonts w:eastAsia="MS Mincho" w:cstheme="minorHAnsi"/>
              </w:rPr>
              <w:t>m</w:t>
            </w:r>
            <w:r>
              <w:rPr>
                <w:rFonts w:eastAsia="MS Mincho" w:cstheme="minorHAnsi"/>
              </w:rPr>
              <w:t>onths</w:t>
            </w:r>
            <w:r w:rsidR="00593C1F" w:rsidRPr="00017AE6">
              <w:rPr>
                <w:rFonts w:eastAsia="MS Mincho" w:cstheme="minorHAnsi"/>
              </w:rPr>
              <w:t xml:space="preserve">. </w:t>
            </w:r>
          </w:p>
          <w:p w:rsidR="00F74CAA" w:rsidRDefault="00593C1F" w:rsidP="00A71365">
            <w:pPr>
              <w:pStyle w:val="Tablewriting"/>
              <w:rPr>
                <w:rFonts w:eastAsia="MS Mincho" w:cstheme="minorHAnsi"/>
              </w:rPr>
            </w:pPr>
            <w:r w:rsidRPr="00017AE6">
              <w:rPr>
                <w:rFonts w:eastAsia="MS Mincho" w:cstheme="minorHAnsi"/>
              </w:rPr>
              <w:t>Also</w:t>
            </w:r>
            <w:r w:rsidR="00777A72" w:rsidRPr="00017AE6">
              <w:rPr>
                <w:rFonts w:eastAsia="MS Mincho" w:cstheme="minorHAnsi"/>
              </w:rPr>
              <w:t>,</w:t>
            </w:r>
            <w:r w:rsidRPr="00017AE6">
              <w:rPr>
                <w:rFonts w:eastAsia="MS Mincho" w:cstheme="minorHAnsi"/>
              </w:rPr>
              <w:t xml:space="preserve"> booklet</w:t>
            </w:r>
            <w:r w:rsidR="00193271">
              <w:rPr>
                <w:rFonts w:eastAsia="MS Mincho" w:cstheme="minorHAnsi"/>
              </w:rPr>
              <w:t xml:space="preserve"> </w:t>
            </w:r>
            <w:r w:rsidR="00CC00A8">
              <w:rPr>
                <w:rFonts w:eastAsia="MS Mincho" w:cstheme="minorHAnsi"/>
              </w:rPr>
              <w:t>‘</w:t>
            </w:r>
            <w:r w:rsidR="00CC00A8" w:rsidRPr="00AA2E96">
              <w:rPr>
                <w:rFonts w:eastAsia="MS Mincho" w:cstheme="minorHAnsi"/>
                <w:i/>
                <w:iCs/>
              </w:rPr>
              <w:t>’</w:t>
            </w:r>
            <w:r w:rsidRPr="00AA2E96">
              <w:rPr>
                <w:rFonts w:eastAsia="MS Mincho" w:cstheme="minorHAnsi"/>
                <w:i/>
                <w:iCs/>
              </w:rPr>
              <w:t>Quit</w:t>
            </w:r>
            <w:r w:rsidRPr="00AA2E96">
              <w:rPr>
                <w:rFonts w:eastAsia="MS Mincho" w:cstheme="minorHAnsi"/>
                <w:i/>
              </w:rPr>
              <w:t xml:space="preserve"> because you </w:t>
            </w:r>
            <w:r w:rsidRPr="00AA2E96">
              <w:rPr>
                <w:rFonts w:eastAsia="MS Mincho" w:cstheme="minorHAnsi"/>
                <w:i/>
                <w:iCs/>
              </w:rPr>
              <w:t>can</w:t>
            </w:r>
            <w:r w:rsidR="00CC00A8">
              <w:rPr>
                <w:rFonts w:eastAsia="MS Mincho" w:cstheme="minorHAnsi"/>
              </w:rPr>
              <w:t>’’</w:t>
            </w:r>
            <w:r w:rsidRPr="00017AE6">
              <w:rPr>
                <w:rFonts w:eastAsia="MS Mincho" w:cstheme="minorHAnsi"/>
              </w:rPr>
              <w:t xml:space="preserve">, + stickers and fridge magnets. </w:t>
            </w:r>
          </w:p>
          <w:p w:rsidR="00C25F5E" w:rsidRPr="007F1CCF" w:rsidRDefault="00593C1F" w:rsidP="00A71365">
            <w:pPr>
              <w:pStyle w:val="Tablewriting"/>
              <w:rPr>
                <w:rFonts w:eastAsia="MS Mincho" w:cstheme="minorHAnsi"/>
              </w:rPr>
            </w:pPr>
            <w:r w:rsidRPr="007F1CCF">
              <w:rPr>
                <w:rFonts w:eastAsia="MS Mincho" w:cstheme="minorHAnsi"/>
              </w:rPr>
              <w:lastRenderedPageBreak/>
              <w:t>Participants had to set a TQD within 1st 2 w</w:t>
            </w:r>
            <w:r w:rsidR="007F1CCF">
              <w:rPr>
                <w:rFonts w:eastAsia="MS Mincho" w:cstheme="minorHAnsi"/>
              </w:rPr>
              <w:t>ee</w:t>
            </w:r>
            <w:r w:rsidRPr="007F1CCF">
              <w:rPr>
                <w:rFonts w:eastAsia="MS Mincho" w:cstheme="minorHAnsi"/>
              </w:rPr>
              <w:t>ks Contacts were attempted with all participants at days 3 and 5, w</w:t>
            </w:r>
            <w:r w:rsidR="007F1CCF">
              <w:rPr>
                <w:rFonts w:eastAsia="MS Mincho" w:cstheme="minorHAnsi"/>
              </w:rPr>
              <w:t>ee</w:t>
            </w:r>
            <w:r w:rsidRPr="007F1CCF">
              <w:rPr>
                <w:rFonts w:eastAsia="MS Mincho" w:cstheme="minorHAnsi"/>
              </w:rPr>
              <w:t>ks 1, 2, 3, 4, 12 (EoT). Additional contacts</w:t>
            </w:r>
            <w:r w:rsidR="007145BD" w:rsidRPr="007F1CCF">
              <w:rPr>
                <w:rFonts w:eastAsia="MS Mincho" w:cstheme="minorHAnsi"/>
              </w:rPr>
              <w:t xml:space="preserve"> </w:t>
            </w:r>
            <w:r w:rsidRPr="007F1CCF">
              <w:rPr>
                <w:rFonts w:eastAsia="MS Mincho" w:cstheme="minorHAnsi"/>
              </w:rPr>
              <w:t>at w</w:t>
            </w:r>
            <w:r w:rsidR="007F1CCF">
              <w:rPr>
                <w:rFonts w:eastAsia="MS Mincho" w:cstheme="minorHAnsi"/>
              </w:rPr>
              <w:t>ee</w:t>
            </w:r>
            <w:r w:rsidRPr="007F1CCF">
              <w:rPr>
                <w:rFonts w:eastAsia="MS Mincho" w:cstheme="minorHAnsi"/>
              </w:rPr>
              <w:t>ks 26 and 52</w:t>
            </w:r>
            <w:r w:rsidR="007F1CCF">
              <w:rPr>
                <w:rFonts w:eastAsia="MS Mincho" w:cstheme="minorHAnsi"/>
              </w:rPr>
              <w:t>.</w:t>
            </w:r>
          </w:p>
        </w:tc>
        <w:tc>
          <w:tcPr>
            <w:tcW w:w="960" w:type="pct"/>
          </w:tcPr>
          <w:p w:rsidR="00772BDF" w:rsidRDefault="00772BDF" w:rsidP="00A71365">
            <w:pPr>
              <w:pStyle w:val="Tablewriting"/>
              <w:rPr>
                <w:rFonts w:eastAsia="MS Mincho" w:cstheme="minorHAnsi"/>
              </w:rPr>
            </w:pPr>
            <w:r w:rsidRPr="00772BDF">
              <w:rPr>
                <w:rFonts w:eastAsia="MS Mincho" w:cstheme="minorHAnsi"/>
                <w:u w:val="single"/>
              </w:rPr>
              <w:lastRenderedPageBreak/>
              <w:t>Efficacy:</w:t>
            </w:r>
            <w:r>
              <w:rPr>
                <w:rFonts w:eastAsia="MS Mincho" w:cstheme="minorHAnsi"/>
              </w:rPr>
              <w:t xml:space="preserve"> </w:t>
            </w:r>
          </w:p>
          <w:p w:rsidR="0024341A" w:rsidRPr="00017AE6" w:rsidRDefault="0024341A" w:rsidP="00A71365">
            <w:pPr>
              <w:pStyle w:val="Tablewriting"/>
              <w:rPr>
                <w:rFonts w:eastAsia="MS Mincho" w:cstheme="minorHAnsi"/>
              </w:rPr>
            </w:pPr>
            <w:r w:rsidRPr="00017AE6">
              <w:rPr>
                <w:rFonts w:eastAsia="MS Mincho" w:cstheme="minorHAnsi"/>
              </w:rPr>
              <w:t>Primary outcome: Self-reported CAR (&lt; 5 cigs in total) (2 w</w:t>
            </w:r>
            <w:r w:rsidR="00272B62">
              <w:rPr>
                <w:rFonts w:eastAsia="MS Mincho" w:cstheme="minorHAnsi"/>
              </w:rPr>
              <w:t>ee</w:t>
            </w:r>
            <w:r w:rsidRPr="00017AE6">
              <w:rPr>
                <w:rFonts w:eastAsia="MS Mincho" w:cstheme="minorHAnsi"/>
              </w:rPr>
              <w:t xml:space="preserve">ks </w:t>
            </w:r>
            <w:r w:rsidR="00272B62">
              <w:rPr>
                <w:rFonts w:eastAsia="MS Mincho" w:cstheme="minorHAnsi"/>
              </w:rPr>
              <w:t>–</w:t>
            </w:r>
            <w:r w:rsidRPr="00017AE6">
              <w:rPr>
                <w:rFonts w:eastAsia="MS Mincho" w:cstheme="minorHAnsi"/>
              </w:rPr>
              <w:t xml:space="preserve"> 12</w:t>
            </w:r>
            <w:r w:rsidR="00272B62">
              <w:rPr>
                <w:rFonts w:eastAsia="MS Mincho" w:cstheme="minorHAnsi"/>
              </w:rPr>
              <w:t xml:space="preserve"> months</w:t>
            </w:r>
            <w:r w:rsidRPr="00017AE6">
              <w:rPr>
                <w:rFonts w:eastAsia="MS Mincho" w:cstheme="minorHAnsi"/>
              </w:rPr>
              <w:t>)</w:t>
            </w:r>
            <w:r w:rsidR="0015251C">
              <w:rPr>
                <w:rFonts w:eastAsia="MS Mincho" w:cstheme="minorHAnsi"/>
              </w:rPr>
              <w:t>;</w:t>
            </w:r>
          </w:p>
          <w:p w:rsidR="0024341A" w:rsidRPr="00017AE6" w:rsidRDefault="0024341A" w:rsidP="00A71365">
            <w:pPr>
              <w:pStyle w:val="Tablewriting"/>
              <w:rPr>
                <w:rFonts w:eastAsia="MS Mincho" w:cstheme="minorHAnsi"/>
              </w:rPr>
            </w:pPr>
            <w:r w:rsidRPr="00017AE6">
              <w:rPr>
                <w:rFonts w:eastAsia="MS Mincho" w:cstheme="minorHAnsi"/>
              </w:rPr>
              <w:t>Secondary outcomes: CAR at 4, 12 and 26 w</w:t>
            </w:r>
            <w:r w:rsidR="00272B62">
              <w:rPr>
                <w:rFonts w:eastAsia="MS Mincho" w:cstheme="minorHAnsi"/>
              </w:rPr>
              <w:t>ee</w:t>
            </w:r>
            <w:r w:rsidRPr="00017AE6">
              <w:rPr>
                <w:rFonts w:eastAsia="MS Mincho" w:cstheme="minorHAnsi"/>
              </w:rPr>
              <w:t xml:space="preserve">ks. </w:t>
            </w:r>
            <w:r w:rsidR="000728F8" w:rsidRPr="00017AE6">
              <w:rPr>
                <w:rFonts w:eastAsia="MS Mincho" w:cstheme="minorHAnsi"/>
              </w:rPr>
              <w:t>7-day PPA each week for 1st 4 w</w:t>
            </w:r>
            <w:r w:rsidR="000728F8">
              <w:rPr>
                <w:rFonts w:eastAsia="MS Mincho" w:cstheme="minorHAnsi"/>
              </w:rPr>
              <w:t>ee</w:t>
            </w:r>
            <w:r w:rsidR="000728F8" w:rsidRPr="00017AE6">
              <w:rPr>
                <w:rFonts w:eastAsia="MS Mincho" w:cstheme="minorHAnsi"/>
              </w:rPr>
              <w:t>ks</w:t>
            </w:r>
            <w:r w:rsidR="007A7BAD">
              <w:rPr>
                <w:rFonts w:eastAsia="MS Mincho" w:cstheme="minorHAnsi"/>
              </w:rPr>
              <w:t>.</w:t>
            </w:r>
          </w:p>
          <w:p w:rsidR="00DA7D87" w:rsidRDefault="00DA7D87" w:rsidP="00A71365">
            <w:pPr>
              <w:pStyle w:val="Tablewriting"/>
              <w:rPr>
                <w:rFonts w:eastAsia="MS Mincho" w:cstheme="minorHAnsi"/>
              </w:rPr>
            </w:pPr>
          </w:p>
          <w:p w:rsidR="00DA7D87" w:rsidRDefault="00DA7D87" w:rsidP="00A71365">
            <w:pPr>
              <w:pStyle w:val="Tablewriting"/>
              <w:rPr>
                <w:rFonts w:eastAsia="MS Mincho" w:cstheme="minorHAnsi"/>
              </w:rPr>
            </w:pPr>
            <w:r w:rsidRPr="00017AE6">
              <w:rPr>
                <w:rFonts w:eastAsia="MS Mincho" w:cstheme="minorHAnsi"/>
              </w:rPr>
              <w:t xml:space="preserve">CO validation </w:t>
            </w:r>
            <w:r w:rsidRPr="009659E3">
              <w:rPr>
                <w:rFonts w:eastAsia="MS Mincho" w:cstheme="minorHAnsi"/>
              </w:rPr>
              <w:t>≤</w:t>
            </w:r>
            <w:r w:rsidRPr="00017AE6">
              <w:rPr>
                <w:rFonts w:eastAsia="MS Mincho" w:cstheme="minorHAnsi"/>
              </w:rPr>
              <w:t xml:space="preserve"> 10 ppm used only in "a random sub-set of </w:t>
            </w:r>
          </w:p>
          <w:p w:rsidR="0024341A" w:rsidRPr="00017AE6" w:rsidRDefault="00DA7D87" w:rsidP="00A71365">
            <w:pPr>
              <w:pStyle w:val="Tablewriting"/>
              <w:rPr>
                <w:rFonts w:eastAsia="MS Mincho" w:cstheme="minorHAnsi"/>
              </w:rPr>
            </w:pPr>
            <w:r w:rsidRPr="00017AE6">
              <w:rPr>
                <w:rFonts w:eastAsia="MS Mincho" w:cstheme="minorHAnsi"/>
              </w:rPr>
              <w:t>subjects"</w:t>
            </w:r>
          </w:p>
          <w:p w:rsidR="00DA7D87" w:rsidRDefault="00DA7D87" w:rsidP="00A71365">
            <w:pPr>
              <w:pStyle w:val="Tablewriting"/>
              <w:rPr>
                <w:rFonts w:eastAsia="MS Mincho" w:cstheme="minorHAnsi"/>
                <w:u w:val="single"/>
              </w:rPr>
            </w:pPr>
          </w:p>
          <w:p w:rsidR="0012484D" w:rsidRPr="0012484D" w:rsidRDefault="005B45B7" w:rsidP="00A71365">
            <w:pPr>
              <w:pStyle w:val="Tablewriting"/>
              <w:rPr>
                <w:rFonts w:eastAsia="MS Mincho" w:cstheme="minorHAnsi"/>
              </w:rPr>
            </w:pPr>
            <w:r w:rsidRPr="00917D9B">
              <w:rPr>
                <w:rFonts w:eastAsia="MS Mincho" w:cstheme="minorHAnsi"/>
                <w:u w:val="single"/>
              </w:rPr>
              <w:t>Safety:</w:t>
            </w:r>
            <w:r>
              <w:rPr>
                <w:rFonts w:eastAsia="MS Mincho" w:cstheme="minorHAnsi"/>
              </w:rPr>
              <w:t xml:space="preserve"> N</w:t>
            </w:r>
            <w:r w:rsidR="00917D9B">
              <w:rPr>
                <w:rFonts w:eastAsia="MS Mincho" w:cstheme="minorHAnsi"/>
              </w:rPr>
              <w:t>/A</w:t>
            </w:r>
          </w:p>
          <w:p w:rsidR="00BC45D7" w:rsidRDefault="00BC45D7" w:rsidP="00A71365">
            <w:pPr>
              <w:pStyle w:val="Tablewriting"/>
              <w:rPr>
                <w:rFonts w:eastAsia="MS Mincho" w:cstheme="minorHAnsi"/>
              </w:rPr>
            </w:pPr>
          </w:p>
          <w:p w:rsidR="00BC45D7" w:rsidRPr="00017AE6" w:rsidRDefault="00BC45D7" w:rsidP="00A71365">
            <w:pPr>
              <w:pStyle w:val="Tablewriting"/>
              <w:rPr>
                <w:rFonts w:eastAsia="MS Mincho" w:cstheme="minorHAnsi"/>
              </w:rPr>
            </w:pPr>
            <w:r w:rsidRPr="00BC45D7">
              <w:rPr>
                <w:rFonts w:eastAsia="MS Mincho" w:cstheme="minorHAnsi"/>
                <w:u w:val="single"/>
              </w:rPr>
              <w:lastRenderedPageBreak/>
              <w:t>Other:</w:t>
            </w:r>
            <w:r>
              <w:rPr>
                <w:rFonts w:eastAsia="MS Mincho" w:cstheme="minorHAnsi"/>
                <w:u w:val="single"/>
              </w:rPr>
              <w:t xml:space="preserve"> </w:t>
            </w:r>
            <w:r w:rsidRPr="00017AE6">
              <w:rPr>
                <w:rFonts w:eastAsia="MS Mincho" w:cstheme="minorHAnsi"/>
              </w:rPr>
              <w:t>craving; prevalence of I/P smoking; Reduced hospital bed utilisation; Reduction in healthcare costs</w:t>
            </w:r>
          </w:p>
          <w:p w:rsidR="00BC45D7" w:rsidRPr="00BC45D7" w:rsidRDefault="00BC45D7" w:rsidP="00A71365">
            <w:pPr>
              <w:pStyle w:val="Tablewriting"/>
              <w:rPr>
                <w:rFonts w:eastAsia="MS Mincho" w:cstheme="minorHAnsi"/>
                <w:u w:val="single"/>
              </w:rPr>
            </w:pPr>
          </w:p>
          <w:p w:rsidR="005B45B7" w:rsidRDefault="005B45B7" w:rsidP="00A71365">
            <w:pPr>
              <w:pStyle w:val="Tablewriting"/>
              <w:rPr>
                <w:rFonts w:eastAsia="MS Mincho" w:cstheme="minorHAnsi"/>
              </w:rPr>
            </w:pPr>
          </w:p>
          <w:p w:rsidR="0024341A" w:rsidRPr="00017AE6" w:rsidRDefault="0024341A"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lastRenderedPageBreak/>
              <w:t xml:space="preserve">Chengappa </w:t>
            </w:r>
            <w:r w:rsidR="008C25BC">
              <w:rPr>
                <w:rFonts w:eastAsia="MS Mincho" w:cstheme="minorHAnsi"/>
              </w:rPr>
              <w:t>(</w:t>
            </w:r>
            <w:r w:rsidRPr="00017AE6">
              <w:rPr>
                <w:rFonts w:eastAsia="MS Mincho" w:cstheme="minorHAnsi"/>
              </w:rPr>
              <w:t>2014</w:t>
            </w:r>
            <w:r w:rsidR="00F143BB">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2640D9" w:rsidP="00A71365">
            <w:pPr>
              <w:pStyle w:val="Tablewriting"/>
              <w:rPr>
                <w:rFonts w:eastAsia="MS Mincho" w:cstheme="minorHAnsi"/>
              </w:rPr>
            </w:pPr>
            <w:r w:rsidRPr="00017AE6">
              <w:rPr>
                <w:rFonts w:eastAsia="MS Mincho" w:cstheme="minorHAnsi"/>
              </w:rPr>
              <w:t>USA</w:t>
            </w:r>
          </w:p>
        </w:tc>
        <w:tc>
          <w:tcPr>
            <w:tcW w:w="675" w:type="pct"/>
          </w:tcPr>
          <w:p w:rsidR="00C25F5E" w:rsidRPr="00017AE6" w:rsidRDefault="00C25F5E" w:rsidP="00A71365">
            <w:pPr>
              <w:pStyle w:val="Tablewriting"/>
              <w:rPr>
                <w:rFonts w:eastAsia="MS Mincho" w:cstheme="minorHAnsi"/>
              </w:rPr>
            </w:pPr>
            <w:r w:rsidRPr="00017AE6">
              <w:rPr>
                <w:rFonts w:eastAsia="MS Mincho" w:cstheme="minorHAnsi"/>
              </w:rPr>
              <w:t>N=</w:t>
            </w:r>
            <w:r w:rsidR="002640D9" w:rsidRPr="00017AE6">
              <w:rPr>
                <w:rFonts w:eastAsia="MS Mincho" w:cstheme="minorHAnsi"/>
              </w:rPr>
              <w:t>60</w:t>
            </w:r>
            <w:r w:rsidR="0052548C">
              <w:rPr>
                <w:rFonts w:eastAsia="MS Mincho" w:cstheme="minorHAnsi"/>
              </w:rPr>
              <w:t>; n=</w:t>
            </w:r>
            <w:r w:rsidR="006338B0">
              <w:rPr>
                <w:rFonts w:eastAsia="MS Mincho" w:cstheme="minorHAnsi"/>
              </w:rPr>
              <w:t>31 (varenicline), n=</w:t>
            </w:r>
            <w:r w:rsidR="00B03AE8">
              <w:rPr>
                <w:rFonts w:eastAsia="MS Mincho" w:cstheme="minorHAnsi"/>
              </w:rPr>
              <w:t>29 (placebo)</w:t>
            </w:r>
          </w:p>
        </w:tc>
        <w:tc>
          <w:tcPr>
            <w:tcW w:w="853" w:type="pct"/>
          </w:tcPr>
          <w:p w:rsidR="00D674EF" w:rsidRPr="00017AE6" w:rsidRDefault="00363569" w:rsidP="00A71365">
            <w:pPr>
              <w:pStyle w:val="Tablewriting"/>
              <w:rPr>
                <w:rFonts w:eastAsia="MS Mincho" w:cstheme="minorHAnsi"/>
              </w:rPr>
            </w:pPr>
            <w:r>
              <w:rPr>
                <w:rFonts w:eastAsia="MS Mincho" w:cstheme="minorHAnsi"/>
              </w:rPr>
              <w:t>O</w:t>
            </w:r>
            <w:r w:rsidR="00D674EF" w:rsidRPr="00017AE6">
              <w:rPr>
                <w:rFonts w:eastAsia="MS Mincho" w:cstheme="minorHAnsi"/>
              </w:rPr>
              <w:t xml:space="preserve">utpatient smokers with DSMIV-diagnosed bipolar disorder, aged 18 </w:t>
            </w:r>
            <w:r w:rsidR="00E670A9">
              <w:rPr>
                <w:rFonts w:eastAsia="MS Mincho" w:cstheme="minorHAnsi"/>
              </w:rPr>
              <w:t>–</w:t>
            </w:r>
            <w:r w:rsidR="00D674EF" w:rsidRPr="00017AE6">
              <w:rPr>
                <w:rFonts w:eastAsia="MS Mincho" w:cstheme="minorHAnsi"/>
              </w:rPr>
              <w:t xml:space="preserve"> 65</w:t>
            </w:r>
            <w:r w:rsidR="00E670A9">
              <w:rPr>
                <w:rFonts w:eastAsia="MS Mincho" w:cstheme="minorHAnsi"/>
              </w:rPr>
              <w:t xml:space="preserve"> years</w:t>
            </w:r>
            <w:r w:rsidR="00D674EF" w:rsidRPr="00017AE6">
              <w:rPr>
                <w:rFonts w:eastAsia="MS Mincho" w:cstheme="minorHAnsi"/>
              </w:rPr>
              <w:t>, stable state or on</w:t>
            </w:r>
            <w:r w:rsidR="00C3564E">
              <w:rPr>
                <w:rFonts w:eastAsia="MS Mincho" w:cstheme="minorHAnsi"/>
              </w:rPr>
              <w:t xml:space="preserve"> </w:t>
            </w:r>
            <w:r w:rsidR="00D674EF" w:rsidRPr="00017AE6">
              <w:rPr>
                <w:rFonts w:eastAsia="MS Mincho" w:cstheme="minorHAnsi"/>
              </w:rPr>
              <w:t>medication,</w:t>
            </w:r>
            <w:r w:rsidR="00E670A9">
              <w:rPr>
                <w:rFonts w:eastAsia="MS Mincho" w:cstheme="minorHAnsi"/>
              </w:rPr>
              <w:t xml:space="preserve"> </w:t>
            </w:r>
            <w:r w:rsidR="00D674EF" w:rsidRPr="00017AE6">
              <w:rPr>
                <w:rFonts w:eastAsia="MS Mincho" w:cstheme="minorHAnsi"/>
              </w:rPr>
              <w:t>willing to quit in the next 30 days, 10+ CPD</w:t>
            </w:r>
            <w:r w:rsidR="006050FB">
              <w:rPr>
                <w:rFonts w:eastAsia="MS Mincho" w:cstheme="minorHAnsi"/>
              </w:rPr>
              <w:t>.</w:t>
            </w:r>
          </w:p>
          <w:p w:rsidR="00D674EF" w:rsidRPr="00017AE6" w:rsidRDefault="00D674EF" w:rsidP="00A71365">
            <w:pPr>
              <w:pStyle w:val="Tablewriting"/>
              <w:rPr>
                <w:rFonts w:eastAsia="MS Mincho" w:cstheme="minorHAnsi"/>
              </w:rPr>
            </w:pPr>
            <w:r w:rsidRPr="00017AE6">
              <w:rPr>
                <w:rFonts w:eastAsia="MS Mincho" w:cstheme="minorHAnsi"/>
              </w:rPr>
              <w:t>Mean age 46</w:t>
            </w:r>
            <w:r w:rsidR="006050FB">
              <w:rPr>
                <w:rFonts w:eastAsia="MS Mincho" w:cstheme="minorHAnsi"/>
              </w:rPr>
              <w:t xml:space="preserve"> years</w:t>
            </w:r>
            <w:r w:rsidRPr="00017AE6">
              <w:rPr>
                <w:rFonts w:eastAsia="MS Mincho" w:cstheme="minorHAnsi"/>
              </w:rPr>
              <w:t>, 69% women, 66% white, mean CPD 18.1, mean FTND 6.2</w:t>
            </w:r>
          </w:p>
          <w:p w:rsidR="00D674EF" w:rsidRPr="00017AE6" w:rsidRDefault="00D674EF" w:rsidP="00A71365">
            <w:pPr>
              <w:pStyle w:val="Tablewriting"/>
              <w:rPr>
                <w:rFonts w:eastAsia="MS Mincho" w:cstheme="minorHAnsi"/>
              </w:rPr>
            </w:pPr>
          </w:p>
          <w:p w:rsidR="00C25F5E" w:rsidRPr="00017AE6" w:rsidRDefault="00D674EF" w:rsidP="00A71365">
            <w:pPr>
              <w:pStyle w:val="Tablewriting"/>
              <w:rPr>
                <w:rFonts w:eastAsia="MS Mincho" w:cstheme="minorHAnsi"/>
              </w:rPr>
            </w:pPr>
            <w:r w:rsidRPr="00EF71EE">
              <w:rPr>
                <w:rFonts w:eastAsia="MS Mincho" w:cstheme="minorHAnsi"/>
                <w:u w:val="single"/>
              </w:rPr>
              <w:t>Exclusions:</w:t>
            </w:r>
            <w:r w:rsidRPr="00017AE6">
              <w:rPr>
                <w:rFonts w:eastAsia="MS Mincho" w:cstheme="minorHAnsi"/>
              </w:rPr>
              <w:t xml:space="preserve"> Bupropion use (for SC); usual pharmacological criteria</w:t>
            </w:r>
          </w:p>
        </w:tc>
        <w:tc>
          <w:tcPr>
            <w:tcW w:w="1055" w:type="pct"/>
          </w:tcPr>
          <w:p w:rsidR="004143A4" w:rsidRPr="00017AE6" w:rsidRDefault="004143A4" w:rsidP="00C324F3">
            <w:pPr>
              <w:pStyle w:val="Tablewriting"/>
              <w:numPr>
                <w:ilvl w:val="0"/>
                <w:numId w:val="63"/>
              </w:numPr>
              <w:rPr>
                <w:rFonts w:eastAsia="MS Mincho" w:cstheme="minorHAnsi"/>
              </w:rPr>
            </w:pPr>
            <w:r w:rsidRPr="00017AE6">
              <w:rPr>
                <w:rFonts w:eastAsia="MS Mincho" w:cstheme="minorHAnsi"/>
              </w:rPr>
              <w:t>Varenicline 1 mg x 2/day, titrated for first w</w:t>
            </w:r>
            <w:r w:rsidR="008C645C">
              <w:rPr>
                <w:rFonts w:eastAsia="MS Mincho" w:cstheme="minorHAnsi"/>
              </w:rPr>
              <w:t>ee</w:t>
            </w:r>
            <w:r w:rsidRPr="00017AE6">
              <w:rPr>
                <w:rFonts w:eastAsia="MS Mincho" w:cstheme="minorHAnsi"/>
              </w:rPr>
              <w:t>k</w:t>
            </w:r>
          </w:p>
          <w:p w:rsidR="004143A4" w:rsidRPr="00017AE6" w:rsidRDefault="004143A4" w:rsidP="00C324F3">
            <w:pPr>
              <w:pStyle w:val="Tablewriting"/>
              <w:numPr>
                <w:ilvl w:val="0"/>
                <w:numId w:val="63"/>
              </w:numPr>
              <w:rPr>
                <w:rFonts w:eastAsia="MS Mincho" w:cstheme="minorHAnsi"/>
              </w:rPr>
            </w:pPr>
            <w:r w:rsidRPr="00017AE6">
              <w:rPr>
                <w:rFonts w:eastAsia="MS Mincho" w:cstheme="minorHAnsi"/>
              </w:rPr>
              <w:t>Placebo inactive tablets, same regimen</w:t>
            </w:r>
          </w:p>
          <w:p w:rsidR="008C645C" w:rsidRDefault="008C645C" w:rsidP="00A71365">
            <w:pPr>
              <w:pStyle w:val="Tablewriting"/>
              <w:rPr>
                <w:rFonts w:eastAsia="MS Mincho" w:cstheme="minorHAnsi"/>
              </w:rPr>
            </w:pPr>
          </w:p>
          <w:p w:rsidR="008C645C" w:rsidRDefault="008C645C"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4143A4" w:rsidRPr="00017AE6">
              <w:rPr>
                <w:rFonts w:eastAsia="MS Mincho" w:cstheme="minorHAnsi"/>
              </w:rPr>
              <w:t xml:space="preserve">All participants received 15-minute SC counselling at each visit. </w:t>
            </w:r>
          </w:p>
          <w:p w:rsidR="00CD3434" w:rsidRDefault="00CD3434" w:rsidP="00A71365">
            <w:pPr>
              <w:pStyle w:val="Tablewriting"/>
              <w:rPr>
                <w:rFonts w:eastAsia="MS Mincho" w:cstheme="minorHAnsi"/>
              </w:rPr>
            </w:pPr>
          </w:p>
          <w:p w:rsidR="004143A4" w:rsidRPr="00017AE6" w:rsidRDefault="004143A4" w:rsidP="00A71365">
            <w:pPr>
              <w:pStyle w:val="Tablewriting"/>
              <w:rPr>
                <w:rFonts w:eastAsia="MS Mincho" w:cstheme="minorHAnsi"/>
              </w:rPr>
            </w:pPr>
            <w:r w:rsidRPr="00017AE6">
              <w:rPr>
                <w:rFonts w:eastAsia="MS Mincho" w:cstheme="minorHAnsi"/>
              </w:rPr>
              <w:t>Participants in both groups could reduce the dosage if they wished.</w:t>
            </w:r>
          </w:p>
          <w:p w:rsidR="004143A4" w:rsidRPr="00017AE6" w:rsidRDefault="004143A4" w:rsidP="00A71365">
            <w:pPr>
              <w:pStyle w:val="Tablewriting"/>
              <w:rPr>
                <w:rFonts w:eastAsia="MS Mincho" w:cstheme="minorHAnsi"/>
              </w:rPr>
            </w:pPr>
            <w:r w:rsidRPr="00017AE6">
              <w:rPr>
                <w:rFonts w:eastAsia="MS Mincho" w:cstheme="minorHAnsi"/>
              </w:rPr>
              <w:t>TQD was set for w</w:t>
            </w:r>
            <w:r w:rsidR="008C645C">
              <w:rPr>
                <w:rFonts w:eastAsia="MS Mincho" w:cstheme="minorHAnsi"/>
              </w:rPr>
              <w:t>ee</w:t>
            </w:r>
            <w:r w:rsidRPr="00017AE6">
              <w:rPr>
                <w:rFonts w:eastAsia="MS Mincho" w:cstheme="minorHAnsi"/>
              </w:rPr>
              <w:t>k 2 onwards (i.e. full dosage reached)</w:t>
            </w:r>
          </w:p>
          <w:p w:rsidR="00D4308E" w:rsidRDefault="00D4308E" w:rsidP="00A71365">
            <w:pPr>
              <w:pStyle w:val="Tablewriting"/>
              <w:rPr>
                <w:rFonts w:eastAsia="MS Mincho" w:cstheme="minorHAnsi"/>
              </w:rPr>
            </w:pPr>
          </w:p>
          <w:p w:rsidR="001464FD" w:rsidRDefault="004143A4" w:rsidP="00A71365">
            <w:pPr>
              <w:pStyle w:val="Tablewriting"/>
              <w:rPr>
                <w:rFonts w:eastAsia="MS Mincho" w:cstheme="minorHAnsi"/>
              </w:rPr>
            </w:pPr>
            <w:r w:rsidRPr="00017AE6">
              <w:rPr>
                <w:rFonts w:eastAsia="MS Mincho" w:cstheme="minorHAnsi"/>
              </w:rPr>
              <w:t>Treatment period was 12 w</w:t>
            </w:r>
            <w:r w:rsidR="00D4308E">
              <w:rPr>
                <w:rFonts w:eastAsia="MS Mincho" w:cstheme="minorHAnsi"/>
              </w:rPr>
              <w:t>ee</w:t>
            </w:r>
            <w:r w:rsidRPr="00017AE6">
              <w:rPr>
                <w:rFonts w:eastAsia="MS Mincho" w:cstheme="minorHAnsi"/>
              </w:rPr>
              <w:t xml:space="preserve">ks. </w:t>
            </w:r>
          </w:p>
          <w:p w:rsidR="001464FD" w:rsidRDefault="001464FD" w:rsidP="00A71365">
            <w:pPr>
              <w:pStyle w:val="Tablewriting"/>
              <w:rPr>
                <w:rFonts w:eastAsia="MS Mincho" w:cstheme="minorHAnsi"/>
              </w:rPr>
            </w:pPr>
          </w:p>
          <w:p w:rsidR="004143A4" w:rsidRPr="00017AE6" w:rsidRDefault="004143A4" w:rsidP="00A71365">
            <w:pPr>
              <w:pStyle w:val="Tablewriting"/>
              <w:rPr>
                <w:rFonts w:eastAsia="MS Mincho" w:cstheme="minorHAnsi"/>
              </w:rPr>
            </w:pPr>
            <w:r w:rsidRPr="00017AE6">
              <w:rPr>
                <w:rFonts w:eastAsia="MS Mincho" w:cstheme="minorHAnsi"/>
              </w:rPr>
              <w:t>Weekly pill counts to assess adherence</w:t>
            </w:r>
          </w:p>
          <w:p w:rsidR="00C25F5E" w:rsidRPr="00017AE6" w:rsidRDefault="00C25F5E" w:rsidP="00A71365">
            <w:pPr>
              <w:pStyle w:val="Tablewriting"/>
              <w:rPr>
                <w:rFonts w:eastAsia="MS Mincho" w:cstheme="minorHAnsi"/>
              </w:rPr>
            </w:pPr>
          </w:p>
        </w:tc>
        <w:tc>
          <w:tcPr>
            <w:tcW w:w="960" w:type="pct"/>
          </w:tcPr>
          <w:p w:rsidR="00D53E03" w:rsidRDefault="00D53E03" w:rsidP="00A71365">
            <w:pPr>
              <w:pStyle w:val="Tablewriting"/>
              <w:rPr>
                <w:rFonts w:eastAsia="MS Mincho" w:cstheme="minorHAnsi"/>
              </w:rPr>
            </w:pPr>
            <w:r w:rsidRPr="00D53E03">
              <w:rPr>
                <w:rFonts w:eastAsia="MS Mincho" w:cstheme="minorHAnsi"/>
                <w:u w:val="single"/>
              </w:rPr>
              <w:t>Efficacy:</w:t>
            </w:r>
            <w:r>
              <w:rPr>
                <w:rFonts w:eastAsia="MS Mincho" w:cstheme="minorHAnsi"/>
              </w:rPr>
              <w:t xml:space="preserve"> </w:t>
            </w:r>
          </w:p>
          <w:p w:rsidR="00084EFC" w:rsidRPr="00017AE6" w:rsidRDefault="00084EFC" w:rsidP="00A71365">
            <w:pPr>
              <w:pStyle w:val="Tablewriting"/>
              <w:rPr>
                <w:rFonts w:eastAsia="MS Mincho" w:cstheme="minorHAnsi"/>
              </w:rPr>
            </w:pPr>
            <w:r w:rsidRPr="00017AE6">
              <w:rPr>
                <w:rFonts w:eastAsia="MS Mincho" w:cstheme="minorHAnsi"/>
              </w:rPr>
              <w:t>Primary: 7-day PPA, CO-verified at 12 w</w:t>
            </w:r>
            <w:r w:rsidR="00D53E03">
              <w:rPr>
                <w:rFonts w:eastAsia="MS Mincho" w:cstheme="minorHAnsi"/>
              </w:rPr>
              <w:t>ee</w:t>
            </w:r>
            <w:r w:rsidRPr="00017AE6">
              <w:rPr>
                <w:rFonts w:eastAsia="MS Mincho" w:cstheme="minorHAnsi"/>
              </w:rPr>
              <w:t>ks</w:t>
            </w:r>
            <w:r w:rsidR="0015251C">
              <w:rPr>
                <w:rFonts w:eastAsia="MS Mincho" w:cstheme="minorHAnsi"/>
              </w:rPr>
              <w:t>;</w:t>
            </w:r>
          </w:p>
          <w:p w:rsidR="00084EFC" w:rsidRPr="00017AE6" w:rsidRDefault="00084EFC" w:rsidP="00A71365">
            <w:pPr>
              <w:pStyle w:val="Tablewriting"/>
              <w:rPr>
                <w:rFonts w:eastAsia="MS Mincho" w:cstheme="minorHAnsi"/>
              </w:rPr>
            </w:pPr>
            <w:r w:rsidRPr="00017AE6">
              <w:rPr>
                <w:rFonts w:eastAsia="MS Mincho" w:cstheme="minorHAnsi"/>
              </w:rPr>
              <w:t>Secondary outcomes: 7-day PPA at 24 w</w:t>
            </w:r>
            <w:r w:rsidR="009D76C2">
              <w:rPr>
                <w:rFonts w:eastAsia="MS Mincho" w:cstheme="minorHAnsi"/>
              </w:rPr>
              <w:t>ee</w:t>
            </w:r>
            <w:r w:rsidRPr="00017AE6">
              <w:rPr>
                <w:rFonts w:eastAsia="MS Mincho" w:cstheme="minorHAnsi"/>
              </w:rPr>
              <w:t>ks; CA at 12</w:t>
            </w:r>
            <w:r w:rsidR="000425CB">
              <w:rPr>
                <w:rFonts w:eastAsia="MS Mincho" w:cstheme="minorHAnsi"/>
              </w:rPr>
              <w:t xml:space="preserve"> and</w:t>
            </w:r>
            <w:r w:rsidRPr="00017AE6">
              <w:rPr>
                <w:rFonts w:eastAsia="MS Mincho" w:cstheme="minorHAnsi"/>
              </w:rPr>
              <w:t xml:space="preserve"> 24 w</w:t>
            </w:r>
            <w:r w:rsidR="009D76C2">
              <w:rPr>
                <w:rFonts w:eastAsia="MS Mincho" w:cstheme="minorHAnsi"/>
              </w:rPr>
              <w:t>ee</w:t>
            </w:r>
            <w:r w:rsidRPr="00017AE6">
              <w:rPr>
                <w:rFonts w:eastAsia="MS Mincho" w:cstheme="minorHAnsi"/>
              </w:rPr>
              <w:t>ks</w:t>
            </w:r>
            <w:r w:rsidR="000425CB">
              <w:rPr>
                <w:rFonts w:eastAsia="MS Mincho" w:cstheme="minorHAnsi"/>
              </w:rPr>
              <w:t>.</w:t>
            </w:r>
          </w:p>
          <w:p w:rsidR="00F149C3" w:rsidRPr="00F149C3" w:rsidRDefault="003845B9" w:rsidP="00A71365">
            <w:pPr>
              <w:pStyle w:val="Tablewriting"/>
              <w:rPr>
                <w:rFonts w:eastAsia="MS Mincho" w:cstheme="minorHAnsi"/>
              </w:rPr>
            </w:pPr>
            <w:r w:rsidRPr="00017AE6">
              <w:rPr>
                <w:rFonts w:eastAsia="MS Mincho" w:cstheme="minorHAnsi"/>
              </w:rPr>
              <w:t>Validation: CO &lt; 10 ppm</w:t>
            </w:r>
          </w:p>
          <w:p w:rsidR="003845B9" w:rsidRDefault="003845B9" w:rsidP="00A71365">
            <w:pPr>
              <w:pStyle w:val="Tablewriting"/>
              <w:rPr>
                <w:rFonts w:eastAsia="MS Mincho" w:cstheme="minorHAnsi"/>
              </w:rPr>
            </w:pPr>
          </w:p>
          <w:p w:rsidR="00725B0D" w:rsidRPr="00017AE6" w:rsidRDefault="00ED3DBE" w:rsidP="00A71365">
            <w:pPr>
              <w:pStyle w:val="Tablewriting"/>
              <w:rPr>
                <w:rFonts w:eastAsia="MS Mincho" w:cstheme="minorHAnsi"/>
              </w:rPr>
            </w:pPr>
            <w:r w:rsidRPr="003845B9">
              <w:rPr>
                <w:rFonts w:eastAsia="MS Mincho" w:cstheme="minorHAnsi"/>
                <w:u w:val="single"/>
              </w:rPr>
              <w:t>Safety:</w:t>
            </w:r>
            <w:r w:rsidR="00BB109E">
              <w:rPr>
                <w:rFonts w:eastAsia="MS Mincho" w:cstheme="minorHAnsi"/>
              </w:rPr>
              <w:t xml:space="preserve"> </w:t>
            </w:r>
            <w:r w:rsidR="00BB109E" w:rsidRPr="00AA732F">
              <w:rPr>
                <w:rFonts w:eastAsia="MS Mincho" w:cstheme="minorHAnsi"/>
              </w:rPr>
              <w:t>N</w:t>
            </w:r>
            <w:r w:rsidR="00725B0D" w:rsidRPr="00AA732F">
              <w:rPr>
                <w:rFonts w:eastAsia="MS Mincho" w:cstheme="minorHAnsi"/>
              </w:rPr>
              <w:t>R</w:t>
            </w:r>
          </w:p>
          <w:p w:rsidR="00C25F5E" w:rsidRPr="00017AE6" w:rsidRDefault="00C25F5E"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t xml:space="preserve">Cinciripini </w:t>
            </w:r>
            <w:r w:rsidR="00F143BB">
              <w:rPr>
                <w:rFonts w:eastAsia="MS Mincho" w:cstheme="minorHAnsi"/>
              </w:rPr>
              <w:t>(</w:t>
            </w:r>
            <w:r w:rsidRPr="00017AE6">
              <w:rPr>
                <w:rFonts w:eastAsia="MS Mincho" w:cstheme="minorHAnsi"/>
              </w:rPr>
              <w:t>2013</w:t>
            </w:r>
            <w:r w:rsidR="00F143BB">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755A9D" w:rsidP="00A71365">
            <w:pPr>
              <w:pStyle w:val="Tablewriting"/>
              <w:rPr>
                <w:rFonts w:eastAsia="MS Mincho" w:cstheme="minorHAnsi"/>
              </w:rPr>
            </w:pPr>
            <w:r w:rsidRPr="00017AE6">
              <w:rPr>
                <w:rFonts w:eastAsia="MS Mincho" w:cstheme="minorHAnsi"/>
              </w:rPr>
              <w:t>USA</w:t>
            </w:r>
          </w:p>
        </w:tc>
        <w:tc>
          <w:tcPr>
            <w:tcW w:w="675" w:type="pct"/>
          </w:tcPr>
          <w:p w:rsidR="00C25F5E" w:rsidRPr="00017AE6" w:rsidRDefault="00C25F5E" w:rsidP="00A71365">
            <w:pPr>
              <w:pStyle w:val="Tablewriting"/>
              <w:rPr>
                <w:rFonts w:eastAsia="MS Mincho" w:cstheme="minorHAnsi"/>
              </w:rPr>
            </w:pPr>
            <w:r w:rsidRPr="00017AE6">
              <w:rPr>
                <w:rFonts w:eastAsia="MS Mincho" w:cstheme="minorHAnsi"/>
              </w:rPr>
              <w:t>N=</w:t>
            </w:r>
            <w:r w:rsidR="00504712" w:rsidRPr="00017AE6">
              <w:rPr>
                <w:rFonts w:eastAsia="MS Mincho" w:cstheme="minorHAnsi"/>
              </w:rPr>
              <w:t>294</w:t>
            </w:r>
            <w:r w:rsidR="00815FAD">
              <w:rPr>
                <w:rFonts w:eastAsia="MS Mincho" w:cstheme="minorHAnsi"/>
              </w:rPr>
              <w:t>; n=</w:t>
            </w:r>
            <w:r w:rsidR="008B3ED2">
              <w:rPr>
                <w:rFonts w:eastAsia="MS Mincho" w:cstheme="minorHAnsi"/>
              </w:rPr>
              <w:t>86 (varenicline)</w:t>
            </w:r>
            <w:r w:rsidR="00AB571A">
              <w:rPr>
                <w:rFonts w:eastAsia="MS Mincho" w:cstheme="minorHAnsi"/>
              </w:rPr>
              <w:t xml:space="preserve">, </w:t>
            </w:r>
            <w:r w:rsidR="00C34E8B">
              <w:rPr>
                <w:rFonts w:eastAsia="MS Mincho" w:cstheme="minorHAnsi"/>
              </w:rPr>
              <w:t>n=102</w:t>
            </w:r>
            <w:r w:rsidR="00D02A0D">
              <w:rPr>
                <w:rFonts w:eastAsia="MS Mincho" w:cstheme="minorHAnsi"/>
              </w:rPr>
              <w:t xml:space="preserve"> (bupropion)</w:t>
            </w:r>
            <w:r w:rsidR="00F64D12">
              <w:rPr>
                <w:rFonts w:eastAsia="MS Mincho" w:cstheme="minorHAnsi"/>
              </w:rPr>
              <w:t>, n=</w:t>
            </w:r>
            <w:r w:rsidR="002E4C49">
              <w:rPr>
                <w:rFonts w:eastAsia="MS Mincho" w:cstheme="minorHAnsi"/>
              </w:rPr>
              <w:t>106 (placebo)</w:t>
            </w:r>
          </w:p>
        </w:tc>
        <w:tc>
          <w:tcPr>
            <w:tcW w:w="853" w:type="pct"/>
          </w:tcPr>
          <w:p w:rsidR="00815FAD" w:rsidRDefault="00815FAD" w:rsidP="00A71365">
            <w:pPr>
              <w:pStyle w:val="Tablewriting"/>
              <w:rPr>
                <w:rFonts w:eastAsia="MS Mincho" w:cstheme="minorHAnsi"/>
              </w:rPr>
            </w:pPr>
            <w:r>
              <w:rPr>
                <w:rFonts w:eastAsia="MS Mincho" w:cstheme="minorHAnsi"/>
              </w:rPr>
              <w:t>V</w:t>
            </w:r>
            <w:r w:rsidR="00504712" w:rsidRPr="00017AE6">
              <w:rPr>
                <w:rFonts w:eastAsia="MS Mincho" w:cstheme="minorHAnsi"/>
              </w:rPr>
              <w:t xml:space="preserve">olunteer smokers, aged 18 - 65, 5+ CPD, fluent in English, no uncontrolled chronic illness, baseline CO &gt; 6 ppm. Mean age 44, 39% women, 66% white, mean CPD 20, mean FTND 4.5, </w:t>
            </w:r>
            <w:r w:rsidR="00504712" w:rsidRPr="00017AE6">
              <w:rPr>
                <w:rFonts w:eastAsia="MS Mincho" w:cstheme="minorHAnsi"/>
              </w:rPr>
              <w:lastRenderedPageBreak/>
              <w:t xml:space="preserve">mean baseline CO 24.5 ppm. </w:t>
            </w:r>
          </w:p>
          <w:p w:rsidR="00504712" w:rsidRPr="00017AE6" w:rsidRDefault="00504712" w:rsidP="00A71365">
            <w:pPr>
              <w:pStyle w:val="Tablewriting"/>
              <w:rPr>
                <w:rFonts w:eastAsia="MS Mincho" w:cstheme="minorHAnsi"/>
              </w:rPr>
            </w:pPr>
          </w:p>
          <w:p w:rsidR="00C25F5E" w:rsidRPr="00017AE6" w:rsidRDefault="00504712" w:rsidP="00A71365">
            <w:pPr>
              <w:pStyle w:val="Tablewriting"/>
              <w:rPr>
                <w:rFonts w:eastAsia="MS Mincho" w:cstheme="minorHAnsi"/>
              </w:rPr>
            </w:pPr>
            <w:r w:rsidRPr="002E4C49">
              <w:rPr>
                <w:rFonts w:eastAsia="MS Mincho" w:cstheme="minorHAnsi"/>
                <w:u w:val="single"/>
              </w:rPr>
              <w:t>Exclusions:</w:t>
            </w:r>
            <w:r w:rsidRPr="00017AE6">
              <w:rPr>
                <w:rFonts w:eastAsia="MS Mincho" w:cstheme="minorHAnsi"/>
              </w:rPr>
              <w:t xml:space="preserve"> Usual pharma exclusions, current or history of psychotic disorder, moderate or high risk of</w:t>
            </w:r>
            <w:r w:rsidR="00550CA3">
              <w:rPr>
                <w:rFonts w:eastAsia="MS Mincho" w:cstheme="minorHAnsi"/>
              </w:rPr>
              <w:t xml:space="preserve"> </w:t>
            </w:r>
            <w:r w:rsidRPr="00017AE6">
              <w:rPr>
                <w:rFonts w:eastAsia="MS Mincho" w:cstheme="minorHAnsi"/>
              </w:rPr>
              <w:t>suicidality, contra-indications to varenicline or bupropion</w:t>
            </w:r>
            <w:r w:rsidR="00550CA3">
              <w:rPr>
                <w:rFonts w:eastAsia="MS Mincho" w:cstheme="minorHAnsi"/>
              </w:rPr>
              <w:t>.</w:t>
            </w:r>
          </w:p>
        </w:tc>
        <w:tc>
          <w:tcPr>
            <w:tcW w:w="1055" w:type="pct"/>
          </w:tcPr>
          <w:p w:rsidR="00C62324" w:rsidRPr="00017AE6" w:rsidRDefault="00C62324" w:rsidP="00C324F3">
            <w:pPr>
              <w:pStyle w:val="Tablewriting"/>
              <w:numPr>
                <w:ilvl w:val="0"/>
                <w:numId w:val="64"/>
              </w:numPr>
              <w:rPr>
                <w:rFonts w:eastAsia="MS Mincho" w:cstheme="minorHAnsi"/>
              </w:rPr>
            </w:pPr>
            <w:r w:rsidRPr="00017AE6">
              <w:rPr>
                <w:rFonts w:eastAsia="MS Mincho" w:cstheme="minorHAnsi"/>
              </w:rPr>
              <w:lastRenderedPageBreak/>
              <w:t>Varenicline: 12-week course (1 mg x 2/day) + non-active bupropion course (placebo)</w:t>
            </w:r>
          </w:p>
          <w:p w:rsidR="00C62324" w:rsidRPr="00017AE6" w:rsidRDefault="00C62324" w:rsidP="00C324F3">
            <w:pPr>
              <w:pStyle w:val="Tablewriting"/>
              <w:numPr>
                <w:ilvl w:val="0"/>
                <w:numId w:val="64"/>
              </w:numPr>
              <w:rPr>
                <w:rFonts w:eastAsia="MS Mincho" w:cstheme="minorHAnsi"/>
              </w:rPr>
            </w:pPr>
            <w:r w:rsidRPr="00017AE6">
              <w:rPr>
                <w:rFonts w:eastAsia="MS Mincho" w:cstheme="minorHAnsi"/>
              </w:rPr>
              <w:t>Bupropion: 12-week course (150 mg x 2/day) + non-active varenicline course (placebo)</w:t>
            </w:r>
          </w:p>
          <w:p w:rsidR="00C62324" w:rsidRPr="00017AE6" w:rsidRDefault="00C62324" w:rsidP="00C324F3">
            <w:pPr>
              <w:pStyle w:val="Tablewriting"/>
              <w:numPr>
                <w:ilvl w:val="0"/>
                <w:numId w:val="64"/>
              </w:numPr>
              <w:rPr>
                <w:rFonts w:eastAsia="MS Mincho" w:cstheme="minorHAnsi"/>
              </w:rPr>
            </w:pPr>
            <w:r w:rsidRPr="00017AE6">
              <w:rPr>
                <w:rFonts w:eastAsia="MS Mincho" w:cstheme="minorHAnsi"/>
              </w:rPr>
              <w:lastRenderedPageBreak/>
              <w:t>Placebo: 12-week course (placebo pill x 2/day)</w:t>
            </w:r>
          </w:p>
          <w:p w:rsidR="00DD6AF9" w:rsidRDefault="00DD6AF9" w:rsidP="00A71365">
            <w:pPr>
              <w:pStyle w:val="Tablewriting"/>
              <w:rPr>
                <w:rFonts w:eastAsia="MS Mincho" w:cstheme="minorHAnsi"/>
              </w:rPr>
            </w:pPr>
          </w:p>
          <w:p w:rsidR="00D66282" w:rsidRDefault="00DD6AF9"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C62324" w:rsidRPr="00017AE6">
              <w:rPr>
                <w:rFonts w:eastAsia="MS Mincho" w:cstheme="minorHAnsi"/>
              </w:rPr>
              <w:t>All participants got intensive counselling, i.e. 6 x in-person 30-minute individual counselling sessions</w:t>
            </w:r>
            <w:r>
              <w:rPr>
                <w:rFonts w:eastAsia="MS Mincho" w:cstheme="minorHAnsi"/>
              </w:rPr>
              <w:t xml:space="preserve"> </w:t>
            </w:r>
            <w:r w:rsidR="00C62324" w:rsidRPr="00017AE6">
              <w:rPr>
                <w:rFonts w:eastAsia="MS Mincho" w:cstheme="minorHAnsi"/>
              </w:rPr>
              <w:t xml:space="preserve">and 4 x 15-minute phone calls during treatment phase, based on MI techniques. </w:t>
            </w:r>
          </w:p>
          <w:p w:rsidR="00C62324" w:rsidRPr="00017AE6" w:rsidRDefault="00C62324" w:rsidP="00A71365">
            <w:pPr>
              <w:pStyle w:val="Tablewriting"/>
              <w:rPr>
                <w:rFonts w:eastAsia="MS Mincho" w:cstheme="minorHAnsi"/>
              </w:rPr>
            </w:pPr>
            <w:r w:rsidRPr="00017AE6">
              <w:rPr>
                <w:rFonts w:eastAsia="MS Mincho" w:cstheme="minorHAnsi"/>
              </w:rPr>
              <w:t>During follow-up, each</w:t>
            </w:r>
          </w:p>
          <w:p w:rsidR="00C25F5E" w:rsidRPr="00017AE6" w:rsidRDefault="00C62324" w:rsidP="00A71365">
            <w:pPr>
              <w:pStyle w:val="Tablewriting"/>
              <w:rPr>
                <w:rFonts w:eastAsia="MS Mincho" w:cstheme="minorHAnsi"/>
              </w:rPr>
            </w:pPr>
            <w:r w:rsidRPr="00017AE6">
              <w:rPr>
                <w:rFonts w:eastAsia="MS Mincho" w:cstheme="minorHAnsi"/>
              </w:rPr>
              <w:t>participant got a 15-minute in-person visit at 3</w:t>
            </w:r>
            <w:r w:rsidR="00D66282">
              <w:rPr>
                <w:rFonts w:eastAsia="MS Mincho" w:cstheme="minorHAnsi"/>
              </w:rPr>
              <w:t xml:space="preserve"> months</w:t>
            </w:r>
            <w:r w:rsidRPr="00017AE6">
              <w:rPr>
                <w:rFonts w:eastAsia="MS Mincho" w:cstheme="minorHAnsi"/>
              </w:rPr>
              <w:t xml:space="preserve"> and 6</w:t>
            </w:r>
            <w:r w:rsidR="00D66282">
              <w:rPr>
                <w:rFonts w:eastAsia="MS Mincho" w:cstheme="minorHAnsi"/>
              </w:rPr>
              <w:t xml:space="preserve"> months</w:t>
            </w:r>
            <w:r w:rsidRPr="00017AE6">
              <w:rPr>
                <w:rFonts w:eastAsia="MS Mincho" w:cstheme="minorHAnsi"/>
              </w:rPr>
              <w:t>, and a 15-minute phone call at 4</w:t>
            </w:r>
            <w:r w:rsidR="00D66282">
              <w:rPr>
                <w:rFonts w:eastAsia="MS Mincho" w:cstheme="minorHAnsi"/>
              </w:rPr>
              <w:t xml:space="preserve"> months.</w:t>
            </w:r>
          </w:p>
        </w:tc>
        <w:tc>
          <w:tcPr>
            <w:tcW w:w="960" w:type="pct"/>
          </w:tcPr>
          <w:p w:rsidR="007C0589" w:rsidRDefault="006A1B9A" w:rsidP="00A71365">
            <w:pPr>
              <w:pStyle w:val="Tablewriting"/>
              <w:rPr>
                <w:rFonts w:eastAsia="MS Mincho" w:cstheme="minorHAnsi"/>
              </w:rPr>
            </w:pPr>
            <w:r w:rsidRPr="006A1B9A">
              <w:rPr>
                <w:rFonts w:eastAsia="MS Mincho" w:cstheme="minorHAnsi"/>
                <w:u w:val="single"/>
              </w:rPr>
              <w:lastRenderedPageBreak/>
              <w:t>Efficacy:</w:t>
            </w:r>
            <w:r>
              <w:rPr>
                <w:rFonts w:eastAsia="MS Mincho" w:cstheme="minorHAnsi"/>
              </w:rPr>
              <w:t xml:space="preserve"> </w:t>
            </w:r>
          </w:p>
          <w:p w:rsidR="00636786" w:rsidRPr="00017AE6" w:rsidRDefault="00636786" w:rsidP="00A71365">
            <w:pPr>
              <w:pStyle w:val="Tablewriting"/>
              <w:rPr>
                <w:rFonts w:eastAsia="MS Mincho" w:cstheme="minorHAnsi"/>
              </w:rPr>
            </w:pPr>
            <w:r w:rsidRPr="00017AE6">
              <w:rPr>
                <w:rFonts w:eastAsia="MS Mincho" w:cstheme="minorHAnsi"/>
              </w:rPr>
              <w:t xml:space="preserve">Primary: PA at </w:t>
            </w:r>
            <w:r w:rsidRPr="00BB72B1">
              <w:rPr>
                <w:rFonts w:eastAsia="MS Mincho" w:cstheme="minorHAnsi"/>
              </w:rPr>
              <w:t>EoT</w:t>
            </w:r>
            <w:r w:rsidR="0015251C">
              <w:rPr>
                <w:rFonts w:eastAsia="MS Mincho" w:cstheme="minorHAnsi"/>
              </w:rPr>
              <w:t>;</w:t>
            </w:r>
          </w:p>
          <w:p w:rsidR="0078094E" w:rsidRDefault="00636786" w:rsidP="00A71365">
            <w:pPr>
              <w:pStyle w:val="Tablewriting"/>
              <w:rPr>
                <w:rFonts w:eastAsia="MS Mincho" w:cstheme="minorHAnsi"/>
              </w:rPr>
            </w:pPr>
            <w:r w:rsidRPr="00017AE6">
              <w:rPr>
                <w:rFonts w:eastAsia="MS Mincho" w:cstheme="minorHAnsi"/>
              </w:rPr>
              <w:t>Secondary: PA at 3</w:t>
            </w:r>
            <w:r w:rsidR="00C763C7">
              <w:rPr>
                <w:rFonts w:eastAsia="MS Mincho" w:cstheme="minorHAnsi"/>
              </w:rPr>
              <w:t>-month</w:t>
            </w:r>
            <w:r w:rsidRPr="00017AE6">
              <w:rPr>
                <w:rFonts w:eastAsia="MS Mincho" w:cstheme="minorHAnsi"/>
              </w:rPr>
              <w:t xml:space="preserve"> post-quit, 6</w:t>
            </w:r>
            <w:r w:rsidR="00974EE6">
              <w:rPr>
                <w:rFonts w:eastAsia="MS Mincho" w:cstheme="minorHAnsi"/>
              </w:rPr>
              <w:t>-</w:t>
            </w:r>
            <w:r w:rsidRPr="00017AE6">
              <w:rPr>
                <w:rFonts w:eastAsia="MS Mincho" w:cstheme="minorHAnsi"/>
              </w:rPr>
              <w:t>m</w:t>
            </w:r>
            <w:r w:rsidR="00974EE6">
              <w:rPr>
                <w:rFonts w:eastAsia="MS Mincho" w:cstheme="minorHAnsi"/>
              </w:rPr>
              <w:t>onth</w:t>
            </w:r>
            <w:r w:rsidRPr="00017AE6">
              <w:rPr>
                <w:rFonts w:eastAsia="MS Mincho" w:cstheme="minorHAnsi"/>
              </w:rPr>
              <w:t xml:space="preserve"> post-quit; </w:t>
            </w:r>
          </w:p>
          <w:p w:rsidR="00636786" w:rsidRPr="00017AE6" w:rsidRDefault="00636786" w:rsidP="00A71365">
            <w:pPr>
              <w:pStyle w:val="Tablewriting"/>
              <w:rPr>
                <w:rFonts w:eastAsia="MS Mincho" w:cstheme="minorHAnsi"/>
              </w:rPr>
            </w:pPr>
            <w:r w:rsidRPr="00017AE6">
              <w:rPr>
                <w:rFonts w:eastAsia="MS Mincho" w:cstheme="minorHAnsi"/>
              </w:rPr>
              <w:t>CA at 3</w:t>
            </w:r>
            <w:r w:rsidR="0078094E">
              <w:rPr>
                <w:rFonts w:eastAsia="MS Mincho" w:cstheme="minorHAnsi"/>
              </w:rPr>
              <w:t>-</w:t>
            </w:r>
            <w:r w:rsidRPr="00017AE6">
              <w:rPr>
                <w:rFonts w:eastAsia="MS Mincho" w:cstheme="minorHAnsi"/>
              </w:rPr>
              <w:t>m</w:t>
            </w:r>
            <w:r w:rsidR="0078094E">
              <w:rPr>
                <w:rFonts w:eastAsia="MS Mincho" w:cstheme="minorHAnsi"/>
              </w:rPr>
              <w:t>onth</w:t>
            </w:r>
            <w:r w:rsidRPr="00017AE6">
              <w:rPr>
                <w:rFonts w:eastAsia="MS Mincho" w:cstheme="minorHAnsi"/>
              </w:rPr>
              <w:t xml:space="preserve"> post-quit, 6</w:t>
            </w:r>
            <w:r w:rsidR="0078094E">
              <w:rPr>
                <w:rFonts w:eastAsia="MS Mincho" w:cstheme="minorHAnsi"/>
              </w:rPr>
              <w:t>-</w:t>
            </w:r>
            <w:r w:rsidRPr="00017AE6">
              <w:rPr>
                <w:rFonts w:eastAsia="MS Mincho" w:cstheme="minorHAnsi"/>
              </w:rPr>
              <w:t>m</w:t>
            </w:r>
            <w:r w:rsidR="0078094E">
              <w:rPr>
                <w:rFonts w:eastAsia="MS Mincho" w:cstheme="minorHAnsi"/>
              </w:rPr>
              <w:t>onth</w:t>
            </w:r>
            <w:r w:rsidRPr="00017AE6">
              <w:rPr>
                <w:rFonts w:eastAsia="MS Mincho" w:cstheme="minorHAnsi"/>
              </w:rPr>
              <w:t xml:space="preserve"> post-quit; 7-day PPA at EoT, 3</w:t>
            </w:r>
            <w:r w:rsidR="00137354">
              <w:rPr>
                <w:rFonts w:eastAsia="MS Mincho" w:cstheme="minorHAnsi"/>
              </w:rPr>
              <w:t xml:space="preserve">, 6 </w:t>
            </w:r>
            <w:r w:rsidRPr="00017AE6">
              <w:rPr>
                <w:rFonts w:eastAsia="MS Mincho" w:cstheme="minorHAnsi"/>
              </w:rPr>
              <w:t>m</w:t>
            </w:r>
            <w:r w:rsidR="0078094E">
              <w:rPr>
                <w:rFonts w:eastAsia="MS Mincho" w:cstheme="minorHAnsi"/>
              </w:rPr>
              <w:t>onth</w:t>
            </w:r>
            <w:r w:rsidR="00137354">
              <w:rPr>
                <w:rFonts w:eastAsia="MS Mincho" w:cstheme="minorHAnsi"/>
              </w:rPr>
              <w:t>s</w:t>
            </w:r>
            <w:r w:rsidR="0078094E">
              <w:rPr>
                <w:rFonts w:eastAsia="MS Mincho" w:cstheme="minorHAnsi"/>
              </w:rPr>
              <w:t xml:space="preserve"> </w:t>
            </w:r>
            <w:r w:rsidRPr="00017AE6">
              <w:rPr>
                <w:rFonts w:eastAsia="MS Mincho" w:cstheme="minorHAnsi"/>
              </w:rPr>
              <w:t>post-quit</w:t>
            </w:r>
            <w:r w:rsidR="00137354">
              <w:rPr>
                <w:rFonts w:eastAsia="MS Mincho" w:cstheme="minorHAnsi"/>
              </w:rPr>
              <w:t>.</w:t>
            </w:r>
          </w:p>
          <w:p w:rsidR="00137354" w:rsidRPr="00017AE6" w:rsidRDefault="00137354" w:rsidP="00A71365">
            <w:pPr>
              <w:pStyle w:val="Tablewriting"/>
              <w:rPr>
                <w:rFonts w:eastAsia="MS Mincho" w:cstheme="minorHAnsi"/>
              </w:rPr>
            </w:pPr>
          </w:p>
          <w:p w:rsidR="00636786" w:rsidRPr="00017AE6" w:rsidRDefault="00636786" w:rsidP="00A71365">
            <w:pPr>
              <w:pStyle w:val="Tablewriting"/>
              <w:rPr>
                <w:rFonts w:eastAsia="MS Mincho" w:cstheme="minorHAnsi"/>
              </w:rPr>
            </w:pPr>
            <w:r w:rsidRPr="00017AE6">
              <w:rPr>
                <w:rFonts w:eastAsia="MS Mincho" w:cstheme="minorHAnsi"/>
              </w:rPr>
              <w:t>Validation: CO &lt; 10 ppm. Self-reported abstainers were asked to send a salivary cotinine sample (&lt; 15</w:t>
            </w:r>
          </w:p>
          <w:p w:rsidR="00C25F5E" w:rsidRDefault="00636786" w:rsidP="00A71365">
            <w:pPr>
              <w:pStyle w:val="Tablewriting"/>
              <w:rPr>
                <w:rFonts w:eastAsia="MS Mincho" w:cstheme="minorHAnsi"/>
              </w:rPr>
            </w:pPr>
            <w:r w:rsidRPr="00017AE6">
              <w:rPr>
                <w:rFonts w:eastAsia="MS Mincho" w:cstheme="minorHAnsi"/>
              </w:rPr>
              <w:t>ng/mL) by post</w:t>
            </w:r>
          </w:p>
          <w:p w:rsidR="00462B3A" w:rsidRDefault="00462B3A" w:rsidP="00A71365">
            <w:pPr>
              <w:pStyle w:val="Tablewriting"/>
              <w:rPr>
                <w:rFonts w:eastAsia="MS Mincho" w:cstheme="minorHAnsi"/>
              </w:rPr>
            </w:pPr>
          </w:p>
          <w:p w:rsidR="00462B3A" w:rsidRPr="00462B3A" w:rsidRDefault="00462B3A" w:rsidP="00A71365">
            <w:pPr>
              <w:pStyle w:val="Tablewriting"/>
              <w:rPr>
                <w:rFonts w:eastAsia="MS Mincho" w:cstheme="minorHAnsi"/>
                <w:u w:val="single"/>
              </w:rPr>
            </w:pPr>
            <w:r w:rsidRPr="00CE4ADD">
              <w:rPr>
                <w:rFonts w:eastAsia="MS Mincho" w:cstheme="minorHAnsi"/>
                <w:u w:val="single"/>
              </w:rPr>
              <w:t>Safety:</w:t>
            </w:r>
            <w:r w:rsidR="00CE4ADD" w:rsidRPr="00CE4ADD">
              <w:rPr>
                <w:rFonts w:eastAsia="MS Mincho" w:cstheme="minorHAnsi"/>
                <w:u w:val="single"/>
              </w:rPr>
              <w:t xml:space="preserve"> </w:t>
            </w:r>
            <w:r w:rsidR="00CE4ADD" w:rsidRPr="00CE4ADD">
              <w:rPr>
                <w:rFonts w:eastAsia="MS Mincho" w:cstheme="minorHAnsi"/>
              </w:rPr>
              <w:t>NR</w:t>
            </w:r>
          </w:p>
        </w:tc>
      </w:tr>
      <w:tr w:rsidR="003D3459" w:rsidRPr="00017AE6" w:rsidTr="000728F8">
        <w:trPr>
          <w:trHeight w:val="99"/>
        </w:trPr>
        <w:tc>
          <w:tcPr>
            <w:tcW w:w="763" w:type="pct"/>
            <w:shd w:val="clear" w:color="auto" w:fill="auto"/>
            <w:tcMar>
              <w:left w:w="28" w:type="dxa"/>
              <w:right w:w="28" w:type="dxa"/>
            </w:tcMar>
          </w:tcPr>
          <w:p w:rsidR="00C25F5E" w:rsidRPr="00017AE6" w:rsidRDefault="00636786" w:rsidP="00A71365">
            <w:pPr>
              <w:pStyle w:val="Tablewriting"/>
              <w:rPr>
                <w:rFonts w:eastAsia="MS Mincho" w:cstheme="minorHAnsi"/>
              </w:rPr>
            </w:pPr>
            <w:r w:rsidRPr="00017AE6">
              <w:rPr>
                <w:rFonts w:eastAsia="MS Mincho" w:cstheme="minorHAnsi"/>
              </w:rPr>
              <w:lastRenderedPageBreak/>
              <w:t xml:space="preserve"> </w:t>
            </w:r>
            <w:r w:rsidR="00C25F5E" w:rsidRPr="00017AE6">
              <w:rPr>
                <w:rFonts w:eastAsia="MS Mincho" w:cstheme="minorHAnsi"/>
              </w:rPr>
              <w:t xml:space="preserve">De Dios </w:t>
            </w:r>
            <w:r w:rsidR="00F143BB">
              <w:rPr>
                <w:rFonts w:eastAsia="MS Mincho" w:cstheme="minorHAnsi"/>
              </w:rPr>
              <w:t>(</w:t>
            </w:r>
            <w:r w:rsidR="00C25F5E" w:rsidRPr="00017AE6">
              <w:rPr>
                <w:rFonts w:eastAsia="MS Mincho" w:cstheme="minorHAnsi"/>
              </w:rPr>
              <w:t>2012</w:t>
            </w:r>
            <w:r w:rsidR="00F143BB">
              <w:rPr>
                <w:rFonts w:eastAsia="MS Mincho" w:cstheme="minorHAnsi"/>
              </w:rPr>
              <w:t>)</w:t>
            </w:r>
          </w:p>
        </w:tc>
        <w:tc>
          <w:tcPr>
            <w:tcW w:w="234" w:type="pct"/>
            <w:shd w:val="clear" w:color="auto" w:fill="auto"/>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D60F99" w:rsidP="00A71365">
            <w:pPr>
              <w:pStyle w:val="Tablewriting"/>
              <w:rPr>
                <w:rFonts w:eastAsia="MS Mincho" w:cstheme="minorHAnsi"/>
              </w:rPr>
            </w:pPr>
            <w:r w:rsidRPr="00017AE6">
              <w:rPr>
                <w:rFonts w:eastAsia="MS Mincho" w:cstheme="minorHAnsi"/>
              </w:rPr>
              <w:t>USA</w:t>
            </w:r>
          </w:p>
        </w:tc>
        <w:tc>
          <w:tcPr>
            <w:tcW w:w="675" w:type="pct"/>
            <w:shd w:val="clear" w:color="auto" w:fill="auto"/>
            <w:tcMar>
              <w:left w:w="28" w:type="dxa"/>
              <w:right w:w="28" w:type="dxa"/>
            </w:tcMar>
          </w:tcPr>
          <w:p w:rsidR="00C25F5E" w:rsidRPr="00017AE6" w:rsidRDefault="00C25F5E" w:rsidP="00A71365">
            <w:pPr>
              <w:pStyle w:val="Tablewriting"/>
              <w:rPr>
                <w:rFonts w:eastAsia="MS Mincho" w:cstheme="minorHAnsi"/>
              </w:rPr>
            </w:pPr>
            <w:r w:rsidRPr="00017AE6">
              <w:rPr>
                <w:rFonts w:eastAsia="MS Mincho" w:cstheme="minorHAnsi"/>
              </w:rPr>
              <w:t>N=</w:t>
            </w:r>
            <w:r w:rsidR="00D60F99" w:rsidRPr="00017AE6">
              <w:rPr>
                <w:rFonts w:eastAsia="MS Mincho" w:cstheme="minorHAnsi"/>
              </w:rPr>
              <w:t>32</w:t>
            </w:r>
            <w:r w:rsidR="00CB5D34">
              <w:rPr>
                <w:rFonts w:eastAsia="MS Mincho" w:cstheme="minorHAnsi"/>
              </w:rPr>
              <w:t>; n=</w:t>
            </w:r>
            <w:r w:rsidR="00530BEE">
              <w:rPr>
                <w:rFonts w:eastAsia="MS Mincho" w:cstheme="minorHAnsi"/>
              </w:rPr>
              <w:t>10 (varenicline), n=</w:t>
            </w:r>
            <w:r w:rsidR="00A92724">
              <w:rPr>
                <w:rFonts w:eastAsia="MS Mincho" w:cstheme="minorHAnsi"/>
              </w:rPr>
              <w:t>11 (NRT), n=11 (placebo)</w:t>
            </w:r>
          </w:p>
        </w:tc>
        <w:tc>
          <w:tcPr>
            <w:tcW w:w="853" w:type="pct"/>
            <w:shd w:val="clear" w:color="auto" w:fill="auto"/>
            <w:tcMar>
              <w:left w:w="28" w:type="dxa"/>
              <w:right w:w="28" w:type="dxa"/>
            </w:tcMar>
          </w:tcPr>
          <w:p w:rsidR="00612B94" w:rsidRPr="00017AE6" w:rsidRDefault="00612B94" w:rsidP="00A71365">
            <w:pPr>
              <w:pStyle w:val="Tablewriting"/>
              <w:rPr>
                <w:rFonts w:eastAsia="MS Mincho" w:cstheme="minorHAnsi"/>
              </w:rPr>
            </w:pPr>
            <w:r w:rsidRPr="00017AE6">
              <w:rPr>
                <w:rFonts w:eastAsia="MS Mincho" w:cstheme="minorHAnsi"/>
              </w:rPr>
              <w:t>32 Latino volunteer light smokers (k 10 CPD), aged 18+, willing to set a quit date. Mean age 42, 53.1%</w:t>
            </w:r>
          </w:p>
          <w:p w:rsidR="00CB5D34" w:rsidRDefault="00612B94" w:rsidP="00A71365">
            <w:pPr>
              <w:pStyle w:val="Tablewriting"/>
              <w:rPr>
                <w:rFonts w:eastAsia="MS Mincho" w:cstheme="minorHAnsi"/>
              </w:rPr>
            </w:pPr>
            <w:r w:rsidRPr="00017AE6">
              <w:rPr>
                <w:rFonts w:eastAsia="MS Mincho" w:cstheme="minorHAnsi"/>
              </w:rPr>
              <w:t xml:space="preserve">women, mean CPD 7.6, mean FTND 2.9. </w:t>
            </w:r>
          </w:p>
          <w:p w:rsidR="00CB5D34" w:rsidRDefault="00CB5D34" w:rsidP="00A71365">
            <w:pPr>
              <w:pStyle w:val="Tablewriting"/>
              <w:rPr>
                <w:rFonts w:eastAsia="MS Mincho" w:cstheme="minorHAnsi"/>
              </w:rPr>
            </w:pPr>
          </w:p>
          <w:p w:rsidR="00CB5D34" w:rsidRDefault="00CB5D34" w:rsidP="00A71365">
            <w:pPr>
              <w:pStyle w:val="Tablewriting"/>
              <w:rPr>
                <w:rFonts w:eastAsia="MS Mincho" w:cstheme="minorHAnsi"/>
              </w:rPr>
            </w:pPr>
          </w:p>
          <w:p w:rsidR="00C25F5E" w:rsidRPr="00017AE6" w:rsidRDefault="00612B94" w:rsidP="00A71365">
            <w:pPr>
              <w:pStyle w:val="Tablewriting"/>
              <w:rPr>
                <w:rFonts w:eastAsia="MS Mincho" w:cstheme="minorHAnsi"/>
              </w:rPr>
            </w:pPr>
            <w:r w:rsidRPr="00B26B7F">
              <w:rPr>
                <w:rFonts w:eastAsia="MS Mincho" w:cstheme="minorHAnsi"/>
                <w:u w:val="single"/>
              </w:rPr>
              <w:t>Exclusions:</w:t>
            </w:r>
            <w:r w:rsidRPr="00017AE6">
              <w:rPr>
                <w:rFonts w:eastAsia="MS Mincho" w:cstheme="minorHAnsi"/>
              </w:rPr>
              <w:t xml:space="preserve"> Usual pharmacological conditions, on NRT or smokeless tobacco, history of suicide attempts,</w:t>
            </w:r>
            <w:r w:rsidR="00B26B7F">
              <w:rPr>
                <w:rFonts w:eastAsia="MS Mincho" w:cstheme="minorHAnsi"/>
              </w:rPr>
              <w:t xml:space="preserve"> </w:t>
            </w:r>
            <w:r w:rsidRPr="00017AE6">
              <w:rPr>
                <w:rFonts w:eastAsia="MS Mincho" w:cstheme="minorHAnsi"/>
              </w:rPr>
              <w:t>chronic or acute psychiatric disorder, employed as a pilot, driver or heavy machinery operator</w:t>
            </w:r>
            <w:r w:rsidR="00B26B7F">
              <w:rPr>
                <w:rFonts w:eastAsia="MS Mincho" w:cstheme="minorHAnsi"/>
              </w:rPr>
              <w:t>.</w:t>
            </w:r>
          </w:p>
        </w:tc>
        <w:tc>
          <w:tcPr>
            <w:tcW w:w="1055" w:type="pct"/>
            <w:shd w:val="clear" w:color="auto" w:fill="auto"/>
          </w:tcPr>
          <w:p w:rsidR="00612B94" w:rsidRPr="00017AE6" w:rsidRDefault="00612B94" w:rsidP="00C324F3">
            <w:pPr>
              <w:pStyle w:val="Tablewriting"/>
              <w:numPr>
                <w:ilvl w:val="0"/>
                <w:numId w:val="65"/>
              </w:numPr>
              <w:rPr>
                <w:rFonts w:eastAsia="MS Mincho" w:cstheme="minorHAnsi"/>
              </w:rPr>
            </w:pPr>
            <w:r w:rsidRPr="00017AE6">
              <w:rPr>
                <w:rFonts w:eastAsia="MS Mincho" w:cstheme="minorHAnsi"/>
              </w:rPr>
              <w:t>Varenicline 12-wk treatment course, titrated 1st w</w:t>
            </w:r>
            <w:r w:rsidR="00B26B7F">
              <w:rPr>
                <w:rFonts w:eastAsia="MS Mincho" w:cstheme="minorHAnsi"/>
              </w:rPr>
              <w:t>ee</w:t>
            </w:r>
            <w:r w:rsidRPr="00017AE6">
              <w:rPr>
                <w:rFonts w:eastAsia="MS Mincho" w:cstheme="minorHAnsi"/>
              </w:rPr>
              <w:t>k</w:t>
            </w:r>
            <w:r w:rsidR="007A01AD">
              <w:rPr>
                <w:rFonts w:eastAsia="MS Mincho" w:cstheme="minorHAnsi"/>
              </w:rPr>
              <w:t>.</w:t>
            </w:r>
          </w:p>
          <w:p w:rsidR="00612B94" w:rsidRPr="00017AE6" w:rsidRDefault="00612B94" w:rsidP="00C324F3">
            <w:pPr>
              <w:pStyle w:val="Tablewriting"/>
              <w:numPr>
                <w:ilvl w:val="0"/>
                <w:numId w:val="65"/>
              </w:numPr>
              <w:rPr>
                <w:rFonts w:eastAsia="MS Mincho" w:cstheme="minorHAnsi"/>
              </w:rPr>
            </w:pPr>
            <w:r w:rsidRPr="00017AE6">
              <w:rPr>
                <w:rFonts w:eastAsia="MS Mincho" w:cstheme="minorHAnsi"/>
              </w:rPr>
              <w:t>NRT 24-hour patch</w:t>
            </w:r>
            <w:r w:rsidR="0061011E">
              <w:rPr>
                <w:rFonts w:eastAsia="MS Mincho" w:cstheme="minorHAnsi"/>
              </w:rPr>
              <w:t xml:space="preserve"> for</w:t>
            </w:r>
            <w:r w:rsidRPr="00017AE6">
              <w:rPr>
                <w:rFonts w:eastAsia="MS Mincho" w:cstheme="minorHAnsi"/>
              </w:rPr>
              <w:t xml:space="preserve"> 12 w</w:t>
            </w:r>
            <w:r w:rsidR="003D7259">
              <w:rPr>
                <w:rFonts w:eastAsia="MS Mincho" w:cstheme="minorHAnsi"/>
              </w:rPr>
              <w:t>ee</w:t>
            </w:r>
            <w:r w:rsidRPr="00017AE6">
              <w:rPr>
                <w:rFonts w:eastAsia="MS Mincho" w:cstheme="minorHAnsi"/>
              </w:rPr>
              <w:t>ks</w:t>
            </w:r>
            <w:r w:rsidR="0061011E">
              <w:rPr>
                <w:rFonts w:eastAsia="MS Mincho" w:cstheme="minorHAnsi"/>
              </w:rPr>
              <w:t>;</w:t>
            </w:r>
            <w:r w:rsidRPr="00017AE6">
              <w:rPr>
                <w:rFonts w:eastAsia="MS Mincho" w:cstheme="minorHAnsi"/>
              </w:rPr>
              <w:t xml:space="preserve"> 4 w</w:t>
            </w:r>
            <w:r w:rsidR="003D7259">
              <w:rPr>
                <w:rFonts w:eastAsia="MS Mincho" w:cstheme="minorHAnsi"/>
              </w:rPr>
              <w:t>ee</w:t>
            </w:r>
            <w:r w:rsidRPr="00017AE6">
              <w:rPr>
                <w:rFonts w:eastAsia="MS Mincho" w:cstheme="minorHAnsi"/>
              </w:rPr>
              <w:t>ks</w:t>
            </w:r>
            <w:r w:rsidR="003D7259">
              <w:rPr>
                <w:rFonts w:eastAsia="MS Mincho" w:cstheme="minorHAnsi"/>
              </w:rPr>
              <w:t xml:space="preserve"> at</w:t>
            </w:r>
            <w:r w:rsidRPr="00017AE6">
              <w:rPr>
                <w:rFonts w:eastAsia="MS Mincho" w:cstheme="minorHAnsi"/>
              </w:rPr>
              <w:t xml:space="preserve"> 14 mg, </w:t>
            </w:r>
            <w:r w:rsidR="0061011E">
              <w:rPr>
                <w:rFonts w:eastAsia="MS Mincho" w:cstheme="minorHAnsi"/>
              </w:rPr>
              <w:t xml:space="preserve">and </w:t>
            </w:r>
            <w:r w:rsidRPr="00017AE6">
              <w:rPr>
                <w:rFonts w:eastAsia="MS Mincho" w:cstheme="minorHAnsi"/>
              </w:rPr>
              <w:t>8 w</w:t>
            </w:r>
            <w:r w:rsidR="003D7259">
              <w:rPr>
                <w:rFonts w:eastAsia="MS Mincho" w:cstheme="minorHAnsi"/>
              </w:rPr>
              <w:t>ee</w:t>
            </w:r>
            <w:r w:rsidRPr="00017AE6">
              <w:rPr>
                <w:rFonts w:eastAsia="MS Mincho" w:cstheme="minorHAnsi"/>
              </w:rPr>
              <w:t>ks</w:t>
            </w:r>
            <w:r w:rsidR="00A26F78" w:rsidRPr="00017AE6">
              <w:rPr>
                <w:rFonts w:eastAsia="MS Mincho" w:cstheme="minorHAnsi"/>
              </w:rPr>
              <w:t xml:space="preserve"> </w:t>
            </w:r>
            <w:r w:rsidR="003D7259">
              <w:rPr>
                <w:rFonts w:eastAsia="MS Mincho" w:cstheme="minorHAnsi"/>
              </w:rPr>
              <w:t>at</w:t>
            </w:r>
            <w:r w:rsidRPr="00017AE6">
              <w:rPr>
                <w:rFonts w:eastAsia="MS Mincho" w:cstheme="minorHAnsi"/>
              </w:rPr>
              <w:t xml:space="preserve"> 7 mg</w:t>
            </w:r>
            <w:r w:rsidR="003D7259">
              <w:rPr>
                <w:rFonts w:eastAsia="MS Mincho" w:cstheme="minorHAnsi"/>
              </w:rPr>
              <w:t>.</w:t>
            </w:r>
          </w:p>
          <w:p w:rsidR="00612B94" w:rsidRPr="00017AE6" w:rsidRDefault="00612B94" w:rsidP="00C324F3">
            <w:pPr>
              <w:pStyle w:val="Tablewriting"/>
              <w:numPr>
                <w:ilvl w:val="0"/>
                <w:numId w:val="65"/>
              </w:numPr>
              <w:rPr>
                <w:rFonts w:eastAsia="MS Mincho" w:cstheme="minorHAnsi"/>
              </w:rPr>
            </w:pPr>
            <w:r w:rsidRPr="00017AE6">
              <w:rPr>
                <w:rFonts w:eastAsia="MS Mincho" w:cstheme="minorHAnsi"/>
              </w:rPr>
              <w:t>Varenicline-placebo, i.e. identical tablet, same regimen</w:t>
            </w:r>
            <w:r w:rsidR="007A01AD">
              <w:rPr>
                <w:rFonts w:eastAsia="MS Mincho" w:cstheme="minorHAnsi"/>
              </w:rPr>
              <w:t>.</w:t>
            </w:r>
          </w:p>
          <w:p w:rsidR="0061011E" w:rsidRDefault="0061011E" w:rsidP="00A71365">
            <w:pPr>
              <w:pStyle w:val="Tablewriting"/>
              <w:rPr>
                <w:rFonts w:eastAsia="MS Mincho" w:cstheme="minorHAnsi"/>
              </w:rPr>
            </w:pPr>
          </w:p>
          <w:p w:rsidR="00C25F5E" w:rsidRPr="00017AE6" w:rsidRDefault="0061011E"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612B94" w:rsidRPr="00017AE6">
              <w:rPr>
                <w:rFonts w:eastAsia="MS Mincho" w:cstheme="minorHAnsi"/>
              </w:rPr>
              <w:t>All participants received a 30-minute face-to-face "culturally informed" smoking cessation behavioural</w:t>
            </w:r>
            <w:r w:rsidR="00A26F78" w:rsidRPr="00017AE6">
              <w:rPr>
                <w:rFonts w:eastAsia="MS Mincho" w:cstheme="minorHAnsi"/>
              </w:rPr>
              <w:t xml:space="preserve"> </w:t>
            </w:r>
            <w:r w:rsidR="00612B94" w:rsidRPr="00017AE6">
              <w:rPr>
                <w:rFonts w:eastAsia="MS Mincho" w:cstheme="minorHAnsi"/>
              </w:rPr>
              <w:t xml:space="preserve">intervention, + a non-tailored self-help brochure, all available in both English and Spanish. </w:t>
            </w:r>
          </w:p>
        </w:tc>
        <w:tc>
          <w:tcPr>
            <w:tcW w:w="960" w:type="pct"/>
            <w:shd w:val="clear" w:color="auto" w:fill="auto"/>
            <w:tcMar>
              <w:left w:w="28" w:type="dxa"/>
              <w:right w:w="28" w:type="dxa"/>
            </w:tcMar>
          </w:tcPr>
          <w:p w:rsidR="00E459E0" w:rsidRPr="00E459E0" w:rsidRDefault="00E459E0" w:rsidP="00A71365">
            <w:pPr>
              <w:pStyle w:val="Tablewriting"/>
              <w:rPr>
                <w:rFonts w:eastAsia="MS Mincho" w:cstheme="minorHAnsi"/>
                <w:u w:val="single"/>
              </w:rPr>
            </w:pPr>
            <w:r w:rsidRPr="00E459E0">
              <w:rPr>
                <w:rFonts w:eastAsia="MS Mincho" w:cstheme="minorHAnsi"/>
                <w:u w:val="single"/>
              </w:rPr>
              <w:t xml:space="preserve">Efficacy: </w:t>
            </w:r>
          </w:p>
          <w:p w:rsidR="00A26F78" w:rsidRPr="00017AE6" w:rsidRDefault="00A26F78" w:rsidP="00A71365">
            <w:pPr>
              <w:pStyle w:val="Tablewriting"/>
              <w:rPr>
                <w:rFonts w:eastAsia="MS Mincho" w:cstheme="minorHAnsi"/>
              </w:rPr>
            </w:pPr>
            <w:r w:rsidRPr="00017AE6">
              <w:rPr>
                <w:rFonts w:eastAsia="MS Mincho" w:cstheme="minorHAnsi"/>
              </w:rPr>
              <w:t>Primary: 7-day PPA at 6</w:t>
            </w:r>
            <w:r w:rsidR="006F2120">
              <w:rPr>
                <w:rFonts w:eastAsia="MS Mincho" w:cstheme="minorHAnsi"/>
              </w:rPr>
              <w:t>-</w:t>
            </w:r>
            <w:r w:rsidRPr="00017AE6">
              <w:rPr>
                <w:rFonts w:eastAsia="MS Mincho" w:cstheme="minorHAnsi"/>
              </w:rPr>
              <w:t>m</w:t>
            </w:r>
            <w:r w:rsidR="006F2120">
              <w:rPr>
                <w:rFonts w:eastAsia="MS Mincho" w:cstheme="minorHAnsi"/>
              </w:rPr>
              <w:t>onth</w:t>
            </w:r>
            <w:r w:rsidR="0015251C">
              <w:rPr>
                <w:rFonts w:eastAsia="MS Mincho" w:cstheme="minorHAnsi"/>
              </w:rPr>
              <w:t>;</w:t>
            </w:r>
          </w:p>
          <w:p w:rsidR="00A26F78" w:rsidRPr="00017AE6" w:rsidRDefault="00A26F78" w:rsidP="00A71365">
            <w:pPr>
              <w:pStyle w:val="Tablewriting"/>
              <w:rPr>
                <w:rFonts w:eastAsia="MS Mincho" w:cstheme="minorHAnsi"/>
              </w:rPr>
            </w:pPr>
            <w:r w:rsidRPr="00017AE6">
              <w:rPr>
                <w:rFonts w:eastAsia="MS Mincho" w:cstheme="minorHAnsi"/>
              </w:rPr>
              <w:t>Secondary: 7-day PPA at w</w:t>
            </w:r>
            <w:r w:rsidR="00E459E0">
              <w:rPr>
                <w:rFonts w:eastAsia="MS Mincho" w:cstheme="minorHAnsi"/>
              </w:rPr>
              <w:t>ee</w:t>
            </w:r>
            <w:r w:rsidRPr="00017AE6">
              <w:rPr>
                <w:rFonts w:eastAsia="MS Mincho" w:cstheme="minorHAnsi"/>
              </w:rPr>
              <w:t>ks 1, 2, 1m, 2m, 3m, 4m; adherence</w:t>
            </w:r>
            <w:r w:rsidR="00EB08B3">
              <w:rPr>
                <w:rFonts w:eastAsia="MS Mincho" w:cstheme="minorHAnsi"/>
              </w:rPr>
              <w:t>.</w:t>
            </w:r>
          </w:p>
          <w:p w:rsidR="00EB08B3" w:rsidRDefault="00EB08B3" w:rsidP="00A71365">
            <w:pPr>
              <w:pStyle w:val="Tablewriting"/>
              <w:rPr>
                <w:rFonts w:eastAsia="MS Mincho" w:cstheme="minorHAnsi"/>
              </w:rPr>
            </w:pPr>
          </w:p>
          <w:p w:rsidR="0044433A" w:rsidRPr="00017AE6" w:rsidRDefault="0044433A" w:rsidP="00A71365">
            <w:pPr>
              <w:pStyle w:val="Tablewriting"/>
              <w:rPr>
                <w:rFonts w:eastAsia="MS Mincho" w:cstheme="minorHAnsi"/>
              </w:rPr>
            </w:pPr>
            <w:r w:rsidRPr="00017AE6">
              <w:rPr>
                <w:rFonts w:eastAsia="MS Mincho" w:cstheme="minorHAnsi"/>
              </w:rPr>
              <w:t xml:space="preserve">Validation: CO &lt; 5 ppm; salivary cotinine (not for the NRT group) &gt; 10 </w:t>
            </w:r>
            <w:r w:rsidR="00FA64E9">
              <w:rPr>
                <w:rFonts w:eastAsia="MS Mincho" w:cstheme="minorHAnsi"/>
              </w:rPr>
              <w:t>n</w:t>
            </w:r>
            <w:r w:rsidR="000728F8" w:rsidRPr="00017AE6">
              <w:rPr>
                <w:rFonts w:eastAsia="MS Mincho" w:cstheme="minorHAnsi"/>
              </w:rPr>
              <w:t>g/</w:t>
            </w:r>
            <w:r w:rsidR="00FA64E9">
              <w:rPr>
                <w:rFonts w:eastAsia="MS Mincho" w:cstheme="minorHAnsi"/>
              </w:rPr>
              <w:t>m</w:t>
            </w:r>
            <w:r w:rsidR="000728F8" w:rsidRPr="00017AE6">
              <w:rPr>
                <w:rFonts w:eastAsia="MS Mincho" w:cstheme="minorHAnsi"/>
              </w:rPr>
              <w:t>L</w:t>
            </w:r>
          </w:p>
          <w:p w:rsidR="0044433A" w:rsidRDefault="0044433A" w:rsidP="00A71365">
            <w:pPr>
              <w:pStyle w:val="Tablewriting"/>
              <w:rPr>
                <w:rFonts w:eastAsia="MS Mincho" w:cstheme="minorHAnsi"/>
              </w:rPr>
            </w:pPr>
          </w:p>
          <w:p w:rsidR="00EB08B3" w:rsidRPr="00017AE6" w:rsidRDefault="00EB08B3" w:rsidP="00A71365">
            <w:pPr>
              <w:pStyle w:val="Tablewriting"/>
              <w:rPr>
                <w:rFonts w:eastAsia="MS Mincho" w:cstheme="minorHAnsi"/>
              </w:rPr>
            </w:pPr>
            <w:r w:rsidRPr="00EB08B3">
              <w:rPr>
                <w:rFonts w:eastAsia="MS Mincho" w:cstheme="minorHAnsi"/>
                <w:u w:val="single"/>
              </w:rPr>
              <w:t>Safety:</w:t>
            </w:r>
            <w:r>
              <w:rPr>
                <w:rFonts w:eastAsia="MS Mincho" w:cstheme="minorHAnsi"/>
              </w:rPr>
              <w:t xml:space="preserve"> </w:t>
            </w:r>
            <w:r w:rsidRPr="00017AE6">
              <w:rPr>
                <w:rFonts w:eastAsia="MS Mincho" w:cstheme="minorHAnsi"/>
              </w:rPr>
              <w:t>Adverse events not reported in detail, although study reports that "There was no pattern that suggested</w:t>
            </w:r>
            <w:r>
              <w:rPr>
                <w:rFonts w:eastAsia="MS Mincho" w:cstheme="minorHAnsi"/>
              </w:rPr>
              <w:t xml:space="preserve"> </w:t>
            </w:r>
            <w:r w:rsidRPr="00017AE6">
              <w:rPr>
                <w:rFonts w:eastAsia="MS Mincho" w:cstheme="minorHAnsi"/>
              </w:rPr>
              <w:t>a higher side-effect profile for those in the</w:t>
            </w:r>
            <w:r>
              <w:rPr>
                <w:rFonts w:eastAsia="MS Mincho" w:cstheme="minorHAnsi"/>
              </w:rPr>
              <w:t xml:space="preserve"> </w:t>
            </w:r>
            <w:r w:rsidRPr="00017AE6">
              <w:rPr>
                <w:rFonts w:eastAsia="MS Mincho" w:cstheme="minorHAnsi"/>
              </w:rPr>
              <w:t>varenicline group</w:t>
            </w:r>
            <w:r w:rsidR="007A01AD">
              <w:rPr>
                <w:rFonts w:eastAsia="MS Mincho" w:cstheme="minorHAnsi"/>
              </w:rPr>
              <w:t>.</w:t>
            </w:r>
          </w:p>
          <w:p w:rsidR="001E5452" w:rsidRDefault="001E5452" w:rsidP="00A71365">
            <w:pPr>
              <w:pStyle w:val="Tablewriting"/>
              <w:rPr>
                <w:rFonts w:eastAsia="MS Mincho" w:cstheme="minorHAnsi"/>
              </w:rPr>
            </w:pPr>
          </w:p>
          <w:p w:rsidR="00F9600D" w:rsidRDefault="00F9600D" w:rsidP="00A71365">
            <w:pPr>
              <w:pStyle w:val="Tablewriting"/>
              <w:rPr>
                <w:rFonts w:eastAsia="MS Mincho" w:cstheme="minorHAnsi"/>
              </w:rPr>
            </w:pPr>
          </w:p>
          <w:p w:rsidR="00C25F5E" w:rsidRPr="00017AE6" w:rsidRDefault="00C25F5E"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lastRenderedPageBreak/>
              <w:t xml:space="preserve">EAGLES </w:t>
            </w:r>
            <w:r w:rsidR="00F143BB">
              <w:rPr>
                <w:rFonts w:eastAsia="MS Mincho" w:cstheme="minorHAnsi"/>
              </w:rPr>
              <w:t>(</w:t>
            </w:r>
            <w:r w:rsidRPr="00017AE6">
              <w:rPr>
                <w:rFonts w:eastAsia="MS Mincho" w:cstheme="minorHAnsi"/>
              </w:rPr>
              <w:t>2016</w:t>
            </w:r>
            <w:r w:rsidR="00F143BB">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F654C8" w:rsidRPr="00017AE6" w:rsidRDefault="00F654C8" w:rsidP="00A71365">
            <w:pPr>
              <w:pStyle w:val="Tablewriting"/>
              <w:rPr>
                <w:rFonts w:eastAsia="MS Mincho" w:cstheme="minorHAnsi"/>
              </w:rPr>
            </w:pPr>
            <w:r w:rsidRPr="00017AE6">
              <w:rPr>
                <w:rFonts w:eastAsia="MS Mincho" w:cstheme="minorHAnsi"/>
              </w:rPr>
              <w:t>Argentina, Australia, Brazil, Bulgaria, Canada, Chile, Denmark, Finland, Germany, Mexico,</w:t>
            </w:r>
          </w:p>
          <w:p w:rsidR="00C25F5E" w:rsidRPr="00017AE6" w:rsidRDefault="00F654C8" w:rsidP="00A71365">
            <w:pPr>
              <w:pStyle w:val="Tablewriting"/>
              <w:rPr>
                <w:rFonts w:eastAsia="MS Mincho" w:cstheme="minorHAnsi"/>
              </w:rPr>
            </w:pPr>
            <w:r w:rsidRPr="00017AE6">
              <w:rPr>
                <w:rFonts w:eastAsia="MS Mincho" w:cstheme="minorHAnsi"/>
              </w:rPr>
              <w:t xml:space="preserve">New Zealand, Russian Federation, </w:t>
            </w:r>
            <w:r w:rsidR="007A59F5" w:rsidRPr="00017AE6">
              <w:rPr>
                <w:rFonts w:eastAsia="MS Mincho" w:cstheme="minorHAnsi"/>
              </w:rPr>
              <w:t>Slovakia</w:t>
            </w:r>
            <w:r w:rsidRPr="00017AE6">
              <w:rPr>
                <w:rFonts w:eastAsia="MS Mincho" w:cstheme="minorHAnsi"/>
              </w:rPr>
              <w:t xml:space="preserve"> South Africa, Spain, USA</w:t>
            </w:r>
          </w:p>
        </w:tc>
        <w:tc>
          <w:tcPr>
            <w:tcW w:w="675" w:type="pct"/>
          </w:tcPr>
          <w:p w:rsidR="00DE1B67" w:rsidRPr="00017AE6" w:rsidRDefault="00C25F5E" w:rsidP="00A71365">
            <w:pPr>
              <w:pStyle w:val="Tablewriting"/>
              <w:rPr>
                <w:rFonts w:eastAsia="MS Mincho" w:cstheme="minorHAnsi"/>
              </w:rPr>
            </w:pPr>
            <w:r w:rsidRPr="00017AE6">
              <w:rPr>
                <w:rFonts w:eastAsia="MS Mincho" w:cstheme="minorHAnsi"/>
              </w:rPr>
              <w:t>N=</w:t>
            </w:r>
            <w:r w:rsidR="006A60EC" w:rsidRPr="00017AE6">
              <w:rPr>
                <w:rFonts w:eastAsia="MS Mincho" w:cstheme="minorHAnsi"/>
              </w:rPr>
              <w:t>8144</w:t>
            </w:r>
            <w:r w:rsidR="00461760">
              <w:rPr>
                <w:rFonts w:eastAsia="MS Mincho" w:cstheme="minorHAnsi"/>
              </w:rPr>
              <w:t>;</w:t>
            </w:r>
            <w:r w:rsidR="00EB2848">
              <w:rPr>
                <w:rFonts w:eastAsia="MS Mincho" w:cstheme="minorHAnsi"/>
              </w:rPr>
              <w:t xml:space="preserve"> participants were grouped into:</w:t>
            </w:r>
          </w:p>
          <w:p w:rsidR="007824C2" w:rsidRDefault="007824C2" w:rsidP="00A71365">
            <w:pPr>
              <w:pStyle w:val="Tablewriting"/>
              <w:rPr>
                <w:rFonts w:eastAsia="MS Mincho" w:cstheme="minorHAnsi"/>
              </w:rPr>
            </w:pPr>
          </w:p>
          <w:p w:rsidR="0028080F" w:rsidRPr="0028080F" w:rsidRDefault="00EB2848" w:rsidP="00C324F3">
            <w:pPr>
              <w:pStyle w:val="Tablewriting"/>
              <w:numPr>
                <w:ilvl w:val="0"/>
                <w:numId w:val="66"/>
              </w:numPr>
              <w:rPr>
                <w:rFonts w:eastAsia="MS Mincho" w:cstheme="minorHAnsi"/>
              </w:rPr>
            </w:pPr>
            <w:r>
              <w:rPr>
                <w:rFonts w:eastAsia="MS Mincho" w:cstheme="minorHAnsi"/>
              </w:rPr>
              <w:t xml:space="preserve"> </w:t>
            </w:r>
            <w:r w:rsidR="00C762DA">
              <w:rPr>
                <w:rFonts w:eastAsia="MS Mincho" w:cstheme="minorHAnsi"/>
              </w:rPr>
              <w:t>P</w:t>
            </w:r>
            <w:r w:rsidR="00DE1B67" w:rsidRPr="00017AE6">
              <w:rPr>
                <w:rFonts w:eastAsia="MS Mincho" w:cstheme="minorHAnsi"/>
              </w:rPr>
              <w:t>sychiatric disorders</w:t>
            </w:r>
            <w:r w:rsidR="00C762DA">
              <w:rPr>
                <w:rFonts w:eastAsia="MS Mincho" w:cstheme="minorHAnsi"/>
              </w:rPr>
              <w:t xml:space="preserve"> (n=</w:t>
            </w:r>
            <w:r w:rsidR="00C762DA" w:rsidRPr="00017AE6">
              <w:rPr>
                <w:rFonts w:eastAsia="MS Mincho" w:cstheme="minorHAnsi"/>
              </w:rPr>
              <w:t>4116</w:t>
            </w:r>
            <w:r w:rsidR="007824C2" w:rsidRPr="00017AE6">
              <w:rPr>
                <w:rFonts w:eastAsia="MS Mincho" w:cstheme="minorHAnsi"/>
              </w:rPr>
              <w:t>)</w:t>
            </w:r>
            <w:r>
              <w:rPr>
                <w:rFonts w:eastAsia="MS Mincho" w:cstheme="minorHAnsi"/>
              </w:rPr>
              <w:t xml:space="preserve"> in which:</w:t>
            </w:r>
            <w:r w:rsidR="007824C2" w:rsidRPr="00EB2848">
              <w:rPr>
                <w:rFonts w:eastAsia="MS Mincho" w:cstheme="minorHAnsi"/>
              </w:rPr>
              <w:t xml:space="preserve"> </w:t>
            </w:r>
          </w:p>
          <w:p w:rsidR="00DE1B67" w:rsidRPr="00017AE6" w:rsidRDefault="007824C2" w:rsidP="00A71365">
            <w:pPr>
              <w:pStyle w:val="Tablewriting"/>
              <w:ind w:left="720"/>
              <w:rPr>
                <w:rFonts w:eastAsia="MS Mincho" w:cstheme="minorHAnsi"/>
              </w:rPr>
            </w:pPr>
            <w:r>
              <w:rPr>
                <w:rFonts w:eastAsia="MS Mincho" w:cstheme="minorHAnsi"/>
              </w:rPr>
              <w:t>n=</w:t>
            </w:r>
            <w:r w:rsidR="00DE1B67" w:rsidRPr="00017AE6">
              <w:rPr>
                <w:rFonts w:eastAsia="MS Mincho" w:cstheme="minorHAnsi"/>
              </w:rPr>
              <w:t>1032</w:t>
            </w:r>
            <w:r>
              <w:rPr>
                <w:rFonts w:eastAsia="MS Mincho" w:cstheme="minorHAnsi"/>
              </w:rPr>
              <w:t xml:space="preserve"> (varenicline), n=</w:t>
            </w:r>
            <w:r w:rsidR="00DE1B67" w:rsidRPr="00017AE6">
              <w:rPr>
                <w:rFonts w:eastAsia="MS Mincho" w:cstheme="minorHAnsi"/>
              </w:rPr>
              <w:t>1033</w:t>
            </w:r>
            <w:r>
              <w:rPr>
                <w:rFonts w:eastAsia="MS Mincho" w:cstheme="minorHAnsi"/>
              </w:rPr>
              <w:t xml:space="preserve"> (</w:t>
            </w:r>
            <w:r w:rsidRPr="00017AE6">
              <w:rPr>
                <w:rFonts w:eastAsia="MS Mincho" w:cstheme="minorHAnsi"/>
              </w:rPr>
              <w:t>bupropion</w:t>
            </w:r>
            <w:r>
              <w:rPr>
                <w:rFonts w:eastAsia="MS Mincho" w:cstheme="minorHAnsi"/>
              </w:rPr>
              <w:t>)</w:t>
            </w:r>
            <w:r w:rsidR="00DE1B67" w:rsidRPr="00017AE6">
              <w:rPr>
                <w:rFonts w:eastAsia="MS Mincho" w:cstheme="minorHAnsi"/>
              </w:rPr>
              <w:t xml:space="preserve">, </w:t>
            </w:r>
            <w:r>
              <w:rPr>
                <w:rFonts w:eastAsia="MS Mincho" w:cstheme="minorHAnsi"/>
              </w:rPr>
              <w:t>n=</w:t>
            </w:r>
            <w:r w:rsidR="00DE1B67" w:rsidRPr="00017AE6">
              <w:rPr>
                <w:rFonts w:eastAsia="MS Mincho" w:cstheme="minorHAnsi"/>
              </w:rPr>
              <w:t>1025</w:t>
            </w:r>
            <w:r>
              <w:rPr>
                <w:rFonts w:eastAsia="MS Mincho" w:cstheme="minorHAnsi"/>
              </w:rPr>
              <w:t xml:space="preserve"> (</w:t>
            </w:r>
            <w:r w:rsidRPr="00017AE6">
              <w:rPr>
                <w:rFonts w:eastAsia="MS Mincho" w:cstheme="minorHAnsi"/>
              </w:rPr>
              <w:t>NRT patch</w:t>
            </w:r>
            <w:r>
              <w:rPr>
                <w:rFonts w:eastAsia="MS Mincho" w:cstheme="minorHAnsi"/>
              </w:rPr>
              <w:t>)</w:t>
            </w:r>
            <w:r w:rsidR="00DE1B67" w:rsidRPr="00017AE6">
              <w:rPr>
                <w:rFonts w:eastAsia="MS Mincho" w:cstheme="minorHAnsi"/>
              </w:rPr>
              <w:t xml:space="preserve">, </w:t>
            </w:r>
            <w:r>
              <w:rPr>
                <w:rFonts w:eastAsia="MS Mincho" w:cstheme="minorHAnsi"/>
              </w:rPr>
              <w:t>n=</w:t>
            </w:r>
            <w:r w:rsidR="00DE1B67" w:rsidRPr="00017AE6">
              <w:rPr>
                <w:rFonts w:eastAsia="MS Mincho" w:cstheme="minorHAnsi"/>
              </w:rPr>
              <w:t>1026</w:t>
            </w:r>
            <w:r w:rsidR="00614048">
              <w:rPr>
                <w:rFonts w:eastAsia="MS Mincho" w:cstheme="minorHAnsi"/>
              </w:rPr>
              <w:t xml:space="preserve"> (</w:t>
            </w:r>
            <w:r w:rsidR="00614048" w:rsidRPr="00017AE6">
              <w:rPr>
                <w:rFonts w:eastAsia="MS Mincho" w:cstheme="minorHAnsi"/>
              </w:rPr>
              <w:t>placebo</w:t>
            </w:r>
            <w:r w:rsidR="00614048">
              <w:rPr>
                <w:rFonts w:eastAsia="MS Mincho" w:cstheme="minorHAnsi"/>
              </w:rPr>
              <w:t>)</w:t>
            </w:r>
          </w:p>
          <w:p w:rsidR="00DE1B67" w:rsidRPr="00017AE6" w:rsidRDefault="00EB2848" w:rsidP="00C324F3">
            <w:pPr>
              <w:pStyle w:val="Tablewriting"/>
              <w:numPr>
                <w:ilvl w:val="0"/>
                <w:numId w:val="66"/>
              </w:numPr>
              <w:rPr>
                <w:rFonts w:eastAsia="MS Mincho" w:cstheme="minorHAnsi"/>
              </w:rPr>
            </w:pPr>
            <w:r>
              <w:rPr>
                <w:rFonts w:eastAsia="MS Mincho" w:cstheme="minorHAnsi"/>
              </w:rPr>
              <w:t xml:space="preserve"> </w:t>
            </w:r>
            <w:r w:rsidR="00C762DA">
              <w:rPr>
                <w:rFonts w:eastAsia="MS Mincho" w:cstheme="minorHAnsi"/>
              </w:rPr>
              <w:t>N</w:t>
            </w:r>
            <w:r w:rsidR="00DE1B67" w:rsidRPr="00017AE6">
              <w:rPr>
                <w:rFonts w:eastAsia="MS Mincho" w:cstheme="minorHAnsi"/>
              </w:rPr>
              <w:t>o psychiatric disorders</w:t>
            </w:r>
            <w:r w:rsidR="00C762DA">
              <w:rPr>
                <w:rFonts w:eastAsia="MS Mincho" w:cstheme="minorHAnsi"/>
              </w:rPr>
              <w:t xml:space="preserve"> (n=</w:t>
            </w:r>
            <w:r w:rsidR="00C762DA" w:rsidRPr="00017AE6">
              <w:rPr>
                <w:rFonts w:eastAsia="MS Mincho" w:cstheme="minorHAnsi"/>
              </w:rPr>
              <w:t>4028</w:t>
            </w:r>
            <w:r w:rsidR="00614048" w:rsidRPr="00017AE6">
              <w:rPr>
                <w:rFonts w:eastAsia="MS Mincho" w:cstheme="minorHAnsi"/>
              </w:rPr>
              <w:t>)</w:t>
            </w:r>
            <w:r w:rsidR="00C23B7A">
              <w:rPr>
                <w:rFonts w:eastAsia="MS Mincho" w:cstheme="minorHAnsi"/>
              </w:rPr>
              <w:t xml:space="preserve"> in which</w:t>
            </w:r>
            <w:r w:rsidR="00DE1B67" w:rsidRPr="00017AE6">
              <w:rPr>
                <w:rFonts w:eastAsia="MS Mincho" w:cstheme="minorHAnsi"/>
              </w:rPr>
              <w:t xml:space="preserve">: </w:t>
            </w:r>
            <w:r w:rsidR="00614048">
              <w:rPr>
                <w:rFonts w:eastAsia="MS Mincho" w:cstheme="minorHAnsi"/>
              </w:rPr>
              <w:t>n=</w:t>
            </w:r>
            <w:r w:rsidR="00DE1B67" w:rsidRPr="00017AE6">
              <w:rPr>
                <w:rFonts w:eastAsia="MS Mincho" w:cstheme="minorHAnsi"/>
              </w:rPr>
              <w:t>1005</w:t>
            </w:r>
            <w:r w:rsidR="00614048">
              <w:rPr>
                <w:rFonts w:eastAsia="MS Mincho" w:cstheme="minorHAnsi"/>
              </w:rPr>
              <w:t xml:space="preserve"> (</w:t>
            </w:r>
            <w:r w:rsidR="00614048" w:rsidRPr="00017AE6">
              <w:rPr>
                <w:rFonts w:eastAsia="MS Mincho" w:cstheme="minorHAnsi"/>
              </w:rPr>
              <w:t>varenicline</w:t>
            </w:r>
            <w:r w:rsidR="00614048">
              <w:rPr>
                <w:rFonts w:eastAsia="MS Mincho" w:cstheme="minorHAnsi"/>
              </w:rPr>
              <w:t>)</w:t>
            </w:r>
            <w:r w:rsidR="00891A7E">
              <w:rPr>
                <w:rFonts w:eastAsia="MS Mincho" w:cstheme="minorHAnsi"/>
              </w:rPr>
              <w:t>, n=</w:t>
            </w:r>
            <w:r w:rsidR="00DE1B67" w:rsidRPr="00017AE6">
              <w:rPr>
                <w:rFonts w:eastAsia="MS Mincho" w:cstheme="minorHAnsi"/>
              </w:rPr>
              <w:t>1001</w:t>
            </w:r>
            <w:r w:rsidR="00891A7E">
              <w:rPr>
                <w:rFonts w:eastAsia="MS Mincho" w:cstheme="minorHAnsi"/>
              </w:rPr>
              <w:t xml:space="preserve"> (bupropion)</w:t>
            </w:r>
            <w:r w:rsidR="00DE1B67" w:rsidRPr="00017AE6">
              <w:rPr>
                <w:rFonts w:eastAsia="MS Mincho" w:cstheme="minorHAnsi"/>
              </w:rPr>
              <w:t xml:space="preserve">, </w:t>
            </w:r>
            <w:r w:rsidR="00891A7E">
              <w:rPr>
                <w:rFonts w:eastAsia="MS Mincho" w:cstheme="minorHAnsi"/>
              </w:rPr>
              <w:t>n=</w:t>
            </w:r>
            <w:r w:rsidR="00DE1B67" w:rsidRPr="00017AE6">
              <w:rPr>
                <w:rFonts w:eastAsia="MS Mincho" w:cstheme="minorHAnsi"/>
              </w:rPr>
              <w:t>1013</w:t>
            </w:r>
            <w:r w:rsidR="00891A7E">
              <w:rPr>
                <w:rFonts w:eastAsia="MS Mincho" w:cstheme="minorHAnsi"/>
              </w:rPr>
              <w:t xml:space="preserve"> (NRT patch)</w:t>
            </w:r>
            <w:r w:rsidR="00DE1B67" w:rsidRPr="00017AE6">
              <w:rPr>
                <w:rFonts w:eastAsia="MS Mincho" w:cstheme="minorHAnsi"/>
              </w:rPr>
              <w:t xml:space="preserve">, </w:t>
            </w:r>
            <w:r w:rsidR="00891A7E">
              <w:rPr>
                <w:rFonts w:eastAsia="MS Mincho" w:cstheme="minorHAnsi"/>
              </w:rPr>
              <w:t>n=</w:t>
            </w:r>
            <w:r w:rsidR="00DE1B67" w:rsidRPr="00017AE6">
              <w:rPr>
                <w:rFonts w:eastAsia="MS Mincho" w:cstheme="minorHAnsi"/>
              </w:rPr>
              <w:t>1009</w:t>
            </w:r>
            <w:r w:rsidR="00891A7E">
              <w:rPr>
                <w:rFonts w:eastAsia="MS Mincho" w:cstheme="minorHAnsi"/>
              </w:rPr>
              <w:t xml:space="preserve"> (placebo)</w:t>
            </w:r>
            <w:r w:rsidR="00291F61">
              <w:rPr>
                <w:rFonts w:eastAsia="MS Mincho" w:cstheme="minorHAnsi"/>
              </w:rPr>
              <w:t>.</w:t>
            </w:r>
          </w:p>
          <w:p w:rsidR="006930B5" w:rsidRDefault="006930B5" w:rsidP="00A71365">
            <w:pPr>
              <w:pStyle w:val="Tablewriting"/>
              <w:rPr>
                <w:rFonts w:eastAsia="MS Mincho" w:cstheme="minorHAnsi"/>
              </w:rPr>
            </w:pPr>
          </w:p>
          <w:p w:rsidR="006930B5" w:rsidRPr="00017AE6" w:rsidRDefault="006930B5" w:rsidP="00A71365">
            <w:pPr>
              <w:pStyle w:val="Tablewriting"/>
              <w:rPr>
                <w:rFonts w:eastAsia="MS Mincho" w:cstheme="minorHAnsi"/>
              </w:rPr>
            </w:pPr>
            <w:r w:rsidRPr="00017AE6">
              <w:rPr>
                <w:rFonts w:eastAsia="MS Mincho" w:cstheme="minorHAnsi"/>
              </w:rPr>
              <w:t>Allocation for the psychiatric cohort was balanced across</w:t>
            </w:r>
          </w:p>
          <w:p w:rsidR="006930B5" w:rsidRPr="00017AE6" w:rsidRDefault="006930B5" w:rsidP="00A71365">
            <w:pPr>
              <w:pStyle w:val="Tablewriting"/>
              <w:rPr>
                <w:rFonts w:eastAsia="MS Mincho" w:cstheme="minorHAnsi"/>
              </w:rPr>
            </w:pPr>
            <w:r w:rsidRPr="00017AE6">
              <w:rPr>
                <w:rFonts w:eastAsia="MS Mincho" w:cstheme="minorHAnsi"/>
              </w:rPr>
              <w:t>four diagnostic group</w:t>
            </w:r>
            <w:r>
              <w:rPr>
                <w:rFonts w:eastAsia="MS Mincho" w:cstheme="minorHAnsi"/>
              </w:rPr>
              <w:t xml:space="preserve"> </w:t>
            </w:r>
            <w:r w:rsidRPr="00017AE6">
              <w:rPr>
                <w:rFonts w:eastAsia="MS Mincho" w:cstheme="minorHAnsi"/>
              </w:rPr>
              <w:t>disorders, i.e. mood, anxiety, psychotic, personality</w:t>
            </w:r>
            <w:r>
              <w:rPr>
                <w:rFonts w:eastAsia="MS Mincho" w:cstheme="minorHAnsi"/>
              </w:rPr>
              <w:t>.</w:t>
            </w:r>
          </w:p>
          <w:p w:rsidR="00891A7E" w:rsidRDefault="00891A7E" w:rsidP="00A71365">
            <w:pPr>
              <w:pStyle w:val="Tablewriting"/>
              <w:rPr>
                <w:rFonts w:eastAsia="MS Mincho" w:cstheme="minorHAnsi"/>
              </w:rPr>
            </w:pPr>
          </w:p>
          <w:p w:rsidR="00C25F5E" w:rsidRPr="00017AE6" w:rsidRDefault="00DE1B67" w:rsidP="00A71365">
            <w:pPr>
              <w:pStyle w:val="Tablewriting"/>
              <w:rPr>
                <w:rFonts w:eastAsia="MS Mincho" w:cstheme="minorHAnsi"/>
              </w:rPr>
            </w:pPr>
            <w:r w:rsidRPr="00891A7E">
              <w:rPr>
                <w:rFonts w:eastAsia="MS Mincho" w:cstheme="minorHAnsi"/>
                <w:u w:val="single"/>
              </w:rPr>
              <w:lastRenderedPageBreak/>
              <w:t>Safety analyses</w:t>
            </w:r>
            <w:r w:rsidR="00891A7E">
              <w:rPr>
                <w:rFonts w:eastAsia="MS Mincho" w:cstheme="minorHAnsi"/>
                <w:u w:val="single"/>
              </w:rPr>
              <w:t xml:space="preserve">: </w:t>
            </w:r>
            <w:r w:rsidRPr="00017AE6">
              <w:rPr>
                <w:rFonts w:eastAsia="MS Mincho" w:cstheme="minorHAnsi"/>
              </w:rPr>
              <w:t xml:space="preserve">conducted in cohorts of </w:t>
            </w:r>
            <w:r w:rsidR="00891A7E">
              <w:rPr>
                <w:rFonts w:eastAsia="MS Mincho" w:cstheme="minorHAnsi"/>
              </w:rPr>
              <w:t>n=</w:t>
            </w:r>
            <w:r w:rsidRPr="00017AE6">
              <w:rPr>
                <w:rFonts w:eastAsia="MS Mincho" w:cstheme="minorHAnsi"/>
              </w:rPr>
              <w:t xml:space="preserve">4074 (psychiatric) and </w:t>
            </w:r>
            <w:r w:rsidR="00891A7E">
              <w:rPr>
                <w:rFonts w:eastAsia="MS Mincho" w:cstheme="minorHAnsi"/>
              </w:rPr>
              <w:t>n=</w:t>
            </w:r>
            <w:r w:rsidRPr="00017AE6">
              <w:rPr>
                <w:rFonts w:eastAsia="MS Mincho" w:cstheme="minorHAnsi"/>
              </w:rPr>
              <w:t>3984 (non-psychiatric)</w:t>
            </w:r>
            <w:r w:rsidR="00891A7E">
              <w:rPr>
                <w:rFonts w:eastAsia="MS Mincho" w:cstheme="minorHAnsi"/>
              </w:rPr>
              <w:t>.</w:t>
            </w:r>
          </w:p>
        </w:tc>
        <w:tc>
          <w:tcPr>
            <w:tcW w:w="853" w:type="pct"/>
          </w:tcPr>
          <w:p w:rsidR="00461760" w:rsidRDefault="008C323A" w:rsidP="00A71365">
            <w:pPr>
              <w:pStyle w:val="Tablewriting"/>
              <w:rPr>
                <w:rFonts w:eastAsia="MS Mincho" w:cstheme="minorHAnsi"/>
              </w:rPr>
            </w:pPr>
            <w:r w:rsidRPr="00017AE6">
              <w:rPr>
                <w:rFonts w:eastAsia="MS Mincho" w:cstheme="minorHAnsi"/>
              </w:rPr>
              <w:lastRenderedPageBreak/>
              <w:t xml:space="preserve">Treatment-seeking adult smokers, aged 18 </w:t>
            </w:r>
            <w:r w:rsidR="00461760">
              <w:rPr>
                <w:rFonts w:eastAsia="MS Mincho" w:cstheme="minorHAnsi"/>
              </w:rPr>
              <w:t>–</w:t>
            </w:r>
            <w:r w:rsidRPr="00017AE6">
              <w:rPr>
                <w:rFonts w:eastAsia="MS Mincho" w:cstheme="minorHAnsi"/>
              </w:rPr>
              <w:t xml:space="preserve"> 75</w:t>
            </w:r>
            <w:r w:rsidR="00461760">
              <w:rPr>
                <w:rFonts w:eastAsia="MS Mincho" w:cstheme="minorHAnsi"/>
              </w:rPr>
              <w:t xml:space="preserve"> years</w:t>
            </w:r>
            <w:r w:rsidRPr="00017AE6">
              <w:rPr>
                <w:rFonts w:eastAsia="MS Mincho" w:cstheme="minorHAnsi"/>
              </w:rPr>
              <w:t>, smoking at least 10 CPD, with exhaled CO &gt; 10 ppm at</w:t>
            </w:r>
            <w:r w:rsidR="00461760">
              <w:rPr>
                <w:rFonts w:eastAsia="MS Mincho" w:cstheme="minorHAnsi"/>
              </w:rPr>
              <w:t xml:space="preserve"> </w:t>
            </w:r>
            <w:r w:rsidRPr="00017AE6">
              <w:rPr>
                <w:rFonts w:eastAsia="MS Mincho" w:cstheme="minorHAnsi"/>
              </w:rPr>
              <w:t xml:space="preserve">screening. </w:t>
            </w:r>
          </w:p>
          <w:p w:rsidR="00461760" w:rsidRDefault="00461760" w:rsidP="00A71365">
            <w:pPr>
              <w:pStyle w:val="Tablewriting"/>
              <w:rPr>
                <w:rFonts w:eastAsia="MS Mincho" w:cstheme="minorHAnsi"/>
              </w:rPr>
            </w:pPr>
          </w:p>
          <w:p w:rsidR="008C323A" w:rsidRPr="00017AE6" w:rsidRDefault="008C323A" w:rsidP="00A71365">
            <w:pPr>
              <w:pStyle w:val="Tablewriting"/>
              <w:rPr>
                <w:rFonts w:eastAsia="MS Mincho" w:cstheme="minorHAnsi"/>
              </w:rPr>
            </w:pPr>
            <w:r w:rsidRPr="00017AE6">
              <w:rPr>
                <w:rFonts w:eastAsia="MS Mincho" w:cstheme="minorHAnsi"/>
              </w:rPr>
              <w:t>Participants in the psychiatric disorder cohort had to have a current or lifetime stable psychiatric</w:t>
            </w:r>
          </w:p>
          <w:p w:rsidR="0025076C" w:rsidRDefault="008C323A" w:rsidP="00A71365">
            <w:pPr>
              <w:pStyle w:val="Tablewriting"/>
              <w:rPr>
                <w:rFonts w:eastAsia="MS Mincho" w:cstheme="minorHAnsi"/>
              </w:rPr>
            </w:pPr>
            <w:r w:rsidRPr="00017AE6">
              <w:rPr>
                <w:rFonts w:eastAsia="MS Mincho" w:cstheme="minorHAnsi"/>
              </w:rPr>
              <w:t>diagnosis, confirmed by Structured Clinical Interview for DSM IV disorders (SCID), i.e. no acute</w:t>
            </w:r>
            <w:r w:rsidR="00461760">
              <w:rPr>
                <w:rFonts w:eastAsia="MS Mincho" w:cstheme="minorHAnsi"/>
              </w:rPr>
              <w:t xml:space="preserve"> </w:t>
            </w:r>
            <w:r w:rsidRPr="00017AE6">
              <w:rPr>
                <w:rFonts w:eastAsia="MS Mincho" w:cstheme="minorHAnsi"/>
              </w:rPr>
              <w:t>exacerbation in the previous 6 months, no</w:t>
            </w:r>
            <w:r w:rsidR="00461760">
              <w:rPr>
                <w:rFonts w:eastAsia="MS Mincho" w:cstheme="minorHAnsi"/>
              </w:rPr>
              <w:t xml:space="preserve"> </w:t>
            </w:r>
            <w:r w:rsidRPr="00017AE6">
              <w:rPr>
                <w:rFonts w:eastAsia="MS Mincho" w:cstheme="minorHAnsi"/>
              </w:rPr>
              <w:t>changes to treatment for 3 months, not imminently likely to</w:t>
            </w:r>
            <w:r w:rsidR="00461760">
              <w:rPr>
                <w:rFonts w:eastAsia="MS Mincho" w:cstheme="minorHAnsi"/>
              </w:rPr>
              <w:t xml:space="preserve"> </w:t>
            </w:r>
            <w:r w:rsidRPr="00017AE6">
              <w:rPr>
                <w:rFonts w:eastAsia="MS Mincho" w:cstheme="minorHAnsi"/>
              </w:rPr>
              <w:t xml:space="preserve">change treatment, and not at risk of </w:t>
            </w:r>
            <w:r w:rsidR="00461760" w:rsidRPr="00017AE6">
              <w:rPr>
                <w:rFonts w:eastAsia="MS Mincho" w:cstheme="minorHAnsi"/>
              </w:rPr>
              <w:t>self-harm</w:t>
            </w:r>
            <w:r w:rsidRPr="00017AE6">
              <w:rPr>
                <w:rFonts w:eastAsia="MS Mincho" w:cstheme="minorHAnsi"/>
              </w:rPr>
              <w:t xml:space="preserve">. </w:t>
            </w:r>
          </w:p>
          <w:p w:rsidR="006930B5" w:rsidRDefault="006930B5" w:rsidP="00A71365">
            <w:pPr>
              <w:pStyle w:val="Tablewriting"/>
              <w:rPr>
                <w:rFonts w:eastAsia="MS Mincho" w:cstheme="minorHAnsi"/>
              </w:rPr>
            </w:pPr>
          </w:p>
          <w:p w:rsidR="008C323A" w:rsidRPr="00017AE6" w:rsidRDefault="008C323A" w:rsidP="00A71365">
            <w:pPr>
              <w:pStyle w:val="Tablewriting"/>
              <w:rPr>
                <w:rFonts w:eastAsia="MS Mincho" w:cstheme="minorHAnsi"/>
              </w:rPr>
            </w:pPr>
            <w:r w:rsidRPr="00017AE6">
              <w:rPr>
                <w:rFonts w:eastAsia="MS Mincho" w:cstheme="minorHAnsi"/>
              </w:rPr>
              <w:t>44% men, mean age 46, mean CPD 20.7, mean FTND 5.8</w:t>
            </w:r>
          </w:p>
          <w:p w:rsidR="003E4DFD" w:rsidRPr="00017AE6" w:rsidRDefault="003E4DFD" w:rsidP="00A71365">
            <w:pPr>
              <w:pStyle w:val="Tablewriting"/>
              <w:rPr>
                <w:rFonts w:eastAsia="MS Mincho" w:cstheme="minorHAnsi"/>
              </w:rPr>
            </w:pPr>
          </w:p>
          <w:p w:rsidR="008C323A" w:rsidRPr="00017AE6" w:rsidRDefault="008C323A" w:rsidP="00A71365">
            <w:pPr>
              <w:pStyle w:val="Tablewriting"/>
              <w:rPr>
                <w:rFonts w:eastAsia="MS Mincho" w:cstheme="minorHAnsi"/>
              </w:rPr>
            </w:pPr>
            <w:r w:rsidRPr="0025076C">
              <w:rPr>
                <w:rFonts w:eastAsia="MS Mincho" w:cstheme="minorHAnsi"/>
                <w:u w:val="single"/>
              </w:rPr>
              <w:t>Exclusions</w:t>
            </w:r>
            <w:r w:rsidRPr="00017AE6">
              <w:rPr>
                <w:rFonts w:eastAsia="MS Mincho" w:cstheme="minorHAnsi"/>
              </w:rPr>
              <w:t>: Past or current diagnosis of schizophreniform or delusional disorders, all delirium, dementia,</w:t>
            </w:r>
            <w:r w:rsidR="003E4DFD" w:rsidRPr="00017AE6">
              <w:rPr>
                <w:rFonts w:eastAsia="MS Mincho" w:cstheme="minorHAnsi"/>
              </w:rPr>
              <w:t xml:space="preserve"> </w:t>
            </w:r>
            <w:r w:rsidRPr="00017AE6">
              <w:rPr>
                <w:rFonts w:eastAsia="MS Mincho" w:cstheme="minorHAnsi"/>
              </w:rPr>
              <w:t>and other cognitive disorders, and all substance-induced disorders (other than nicotine)</w:t>
            </w:r>
          </w:p>
          <w:p w:rsidR="00E729D0" w:rsidRPr="00017AE6" w:rsidRDefault="00E729D0" w:rsidP="00A71365">
            <w:pPr>
              <w:pStyle w:val="Tablewriting"/>
              <w:rPr>
                <w:rFonts w:eastAsia="MS Mincho" w:cstheme="minorHAnsi"/>
              </w:rPr>
            </w:pPr>
          </w:p>
          <w:p w:rsidR="00E729D0" w:rsidRPr="00017AE6" w:rsidRDefault="008C323A" w:rsidP="00A71365">
            <w:pPr>
              <w:pStyle w:val="Tablewriting"/>
              <w:rPr>
                <w:rFonts w:eastAsia="MS Mincho" w:cstheme="minorHAnsi"/>
              </w:rPr>
            </w:pPr>
            <w:r w:rsidRPr="00017AE6">
              <w:rPr>
                <w:rFonts w:eastAsia="MS Mincho" w:cstheme="minorHAnsi"/>
              </w:rPr>
              <w:t>In the psychiatric disorders group, 70% had primary affective disorders, 19% anxiety disorders, 9.5%</w:t>
            </w:r>
            <w:r w:rsidR="003E4DFD" w:rsidRPr="00017AE6">
              <w:rPr>
                <w:rFonts w:eastAsia="MS Mincho" w:cstheme="minorHAnsi"/>
              </w:rPr>
              <w:t xml:space="preserve"> </w:t>
            </w:r>
            <w:r w:rsidRPr="00017AE6">
              <w:rPr>
                <w:rFonts w:eastAsia="MS Mincho" w:cstheme="minorHAnsi"/>
              </w:rPr>
              <w:t xml:space="preserve">psychotic disorders, 0.6% personality disorders, and at least </w:t>
            </w:r>
            <w:r w:rsidR="00D91A75" w:rsidRPr="00D91A75">
              <w:rPr>
                <w:rFonts w:eastAsia="MS Mincho" w:cstheme="minorHAnsi"/>
              </w:rPr>
              <w:t>⅓</w:t>
            </w:r>
            <w:r w:rsidRPr="00017AE6">
              <w:rPr>
                <w:rFonts w:eastAsia="MS Mincho" w:cstheme="minorHAnsi"/>
              </w:rPr>
              <w:t xml:space="preserve"> were taking psychotropic medications</w:t>
            </w:r>
            <w:r w:rsidR="00DE1B67">
              <w:rPr>
                <w:rFonts w:eastAsia="MS Mincho" w:cstheme="minorHAnsi"/>
              </w:rPr>
              <w:t>.</w:t>
            </w:r>
          </w:p>
        </w:tc>
        <w:tc>
          <w:tcPr>
            <w:tcW w:w="1055" w:type="pct"/>
          </w:tcPr>
          <w:p w:rsidR="00D9690B" w:rsidRPr="00017AE6" w:rsidRDefault="00D9690B" w:rsidP="00C324F3">
            <w:pPr>
              <w:pStyle w:val="Tablewriting"/>
              <w:numPr>
                <w:ilvl w:val="0"/>
                <w:numId w:val="66"/>
              </w:numPr>
              <w:rPr>
                <w:rFonts w:eastAsia="MS Mincho" w:cstheme="minorHAnsi"/>
              </w:rPr>
            </w:pPr>
            <w:r w:rsidRPr="00017AE6">
              <w:rPr>
                <w:rFonts w:eastAsia="MS Mincho" w:cstheme="minorHAnsi"/>
              </w:rPr>
              <w:lastRenderedPageBreak/>
              <w:t>Varenicline, 1 mg x 2/day (1 w</w:t>
            </w:r>
            <w:r w:rsidR="0028080F">
              <w:rPr>
                <w:rFonts w:eastAsia="MS Mincho" w:cstheme="minorHAnsi"/>
              </w:rPr>
              <w:t>ee</w:t>
            </w:r>
            <w:r w:rsidRPr="00017AE6">
              <w:rPr>
                <w:rFonts w:eastAsia="MS Mincho" w:cstheme="minorHAnsi"/>
              </w:rPr>
              <w:t>k titrated, then 11 weeks full dose)</w:t>
            </w:r>
          </w:p>
          <w:p w:rsidR="00D9690B" w:rsidRPr="00017AE6" w:rsidRDefault="00D9690B" w:rsidP="00C324F3">
            <w:pPr>
              <w:pStyle w:val="Tablewriting"/>
              <w:numPr>
                <w:ilvl w:val="0"/>
                <w:numId w:val="66"/>
              </w:numPr>
              <w:rPr>
                <w:rFonts w:eastAsia="MS Mincho" w:cstheme="minorHAnsi"/>
              </w:rPr>
            </w:pPr>
            <w:r w:rsidRPr="00017AE6">
              <w:rPr>
                <w:rFonts w:eastAsia="MS Mincho" w:cstheme="minorHAnsi"/>
              </w:rPr>
              <w:t>Bupropion SR, 150 mg x 2/day (titrated for 3 days, then full dose for 11 weeks)</w:t>
            </w:r>
          </w:p>
          <w:p w:rsidR="00D9690B" w:rsidRPr="00017AE6" w:rsidRDefault="00D9690B" w:rsidP="00C324F3">
            <w:pPr>
              <w:pStyle w:val="Tablewriting"/>
              <w:numPr>
                <w:ilvl w:val="0"/>
                <w:numId w:val="66"/>
              </w:numPr>
              <w:rPr>
                <w:rFonts w:eastAsia="MS Mincho" w:cstheme="minorHAnsi"/>
              </w:rPr>
            </w:pPr>
            <w:r w:rsidRPr="00017AE6">
              <w:rPr>
                <w:rFonts w:eastAsia="MS Mincho" w:cstheme="minorHAnsi"/>
              </w:rPr>
              <w:t>Nicotine patch, 21 mg x 7 weeks, 14 mg x 2 w</w:t>
            </w:r>
            <w:r w:rsidR="0034551E">
              <w:rPr>
                <w:rFonts w:eastAsia="MS Mincho" w:cstheme="minorHAnsi"/>
              </w:rPr>
              <w:t>ee</w:t>
            </w:r>
            <w:r w:rsidRPr="00017AE6">
              <w:rPr>
                <w:rFonts w:eastAsia="MS Mincho" w:cstheme="minorHAnsi"/>
              </w:rPr>
              <w:t>ks, 7 mg x 2 weeks (11 weeks)</w:t>
            </w:r>
          </w:p>
          <w:p w:rsidR="00D9690B" w:rsidRPr="00017AE6" w:rsidRDefault="00D9690B" w:rsidP="00C324F3">
            <w:pPr>
              <w:pStyle w:val="Tablewriting"/>
              <w:numPr>
                <w:ilvl w:val="0"/>
                <w:numId w:val="66"/>
              </w:numPr>
              <w:rPr>
                <w:rFonts w:eastAsia="MS Mincho" w:cstheme="minorHAnsi"/>
              </w:rPr>
            </w:pPr>
            <w:r w:rsidRPr="00017AE6">
              <w:rPr>
                <w:rFonts w:eastAsia="MS Mincho" w:cstheme="minorHAnsi"/>
              </w:rPr>
              <w:t>Triple-dummy placebo for each arm of the trial (12 weeks)</w:t>
            </w:r>
          </w:p>
          <w:p w:rsidR="0034551E" w:rsidRDefault="0034551E" w:rsidP="00A71365">
            <w:pPr>
              <w:pStyle w:val="Tablewriting"/>
              <w:rPr>
                <w:rFonts w:eastAsia="MS Mincho" w:cstheme="minorHAnsi"/>
              </w:rPr>
            </w:pPr>
          </w:p>
          <w:p w:rsidR="00D9690B" w:rsidRPr="00017AE6" w:rsidRDefault="0034551E"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D9690B" w:rsidRPr="00017AE6">
              <w:rPr>
                <w:rFonts w:eastAsia="MS Mincho" w:cstheme="minorHAnsi"/>
              </w:rPr>
              <w:t>All participants received counselling (up to 10 mins) at all contacts, and were encouraged to complete</w:t>
            </w:r>
            <w:r w:rsidR="008D1D7C">
              <w:rPr>
                <w:rFonts w:eastAsia="MS Mincho" w:cstheme="minorHAnsi"/>
              </w:rPr>
              <w:t xml:space="preserve"> </w:t>
            </w:r>
            <w:r w:rsidR="00D9690B" w:rsidRPr="00017AE6">
              <w:rPr>
                <w:rFonts w:eastAsia="MS Mincho" w:cstheme="minorHAnsi"/>
              </w:rPr>
              <w:t>all visits even if treatment was discontinued</w:t>
            </w:r>
            <w:r w:rsidR="00F4151C">
              <w:rPr>
                <w:rFonts w:eastAsia="MS Mincho" w:cstheme="minorHAnsi"/>
              </w:rPr>
              <w:t>.</w:t>
            </w:r>
          </w:p>
          <w:p w:rsidR="00C25F5E" w:rsidRPr="00017AE6" w:rsidRDefault="00D9690B" w:rsidP="00A71365">
            <w:pPr>
              <w:pStyle w:val="Tablewriting"/>
              <w:rPr>
                <w:rFonts w:eastAsia="MS Mincho" w:cstheme="minorHAnsi"/>
              </w:rPr>
            </w:pPr>
            <w:r w:rsidRPr="00F4151C">
              <w:rPr>
                <w:rFonts w:eastAsia="MS Mincho" w:cstheme="minorHAnsi"/>
              </w:rPr>
              <w:t>Participants were monitored at weeks 1 - 6, 8, 12, 13, 16, 20, 24; contacts we</w:t>
            </w:r>
            <w:r w:rsidR="009E2A27">
              <w:rPr>
                <w:rFonts w:eastAsia="MS Mincho" w:cstheme="minorHAnsi"/>
              </w:rPr>
              <w:t xml:space="preserve">re up to 15 face-to-face visits </w:t>
            </w:r>
            <w:r w:rsidRPr="00F4151C">
              <w:rPr>
                <w:rFonts w:eastAsia="MS Mincho" w:cstheme="minorHAnsi"/>
              </w:rPr>
              <w:t>and 11 telephone visits</w:t>
            </w:r>
            <w:r w:rsidR="00F4151C">
              <w:rPr>
                <w:rFonts w:eastAsia="MS Mincho" w:cstheme="minorHAnsi"/>
              </w:rPr>
              <w:t>.</w:t>
            </w:r>
          </w:p>
        </w:tc>
        <w:tc>
          <w:tcPr>
            <w:tcW w:w="960" w:type="pct"/>
          </w:tcPr>
          <w:p w:rsidR="006045D3" w:rsidRPr="008145C0" w:rsidRDefault="006045D3" w:rsidP="00A71365">
            <w:pPr>
              <w:pStyle w:val="Tablewriting"/>
              <w:rPr>
                <w:rFonts w:eastAsia="MS Mincho" w:cstheme="minorHAnsi"/>
              </w:rPr>
            </w:pPr>
            <w:r w:rsidRPr="006045D3">
              <w:rPr>
                <w:rFonts w:eastAsia="MS Mincho" w:cstheme="minorHAnsi"/>
                <w:u w:val="single"/>
              </w:rPr>
              <w:t xml:space="preserve">Efficacy: </w:t>
            </w:r>
            <w:r w:rsidR="008145C0" w:rsidRPr="00017AE6">
              <w:rPr>
                <w:rFonts w:eastAsia="MS Mincho" w:cstheme="minorHAnsi"/>
              </w:rPr>
              <w:t xml:space="preserve">4-week abstinence </w:t>
            </w:r>
            <w:r w:rsidR="00C77279">
              <w:rPr>
                <w:rFonts w:eastAsia="MS Mincho" w:cstheme="minorHAnsi"/>
              </w:rPr>
              <w:t xml:space="preserve">(CAR) </w:t>
            </w:r>
            <w:r w:rsidR="008145C0" w:rsidRPr="00017AE6">
              <w:rPr>
                <w:rFonts w:eastAsia="MS Mincho" w:cstheme="minorHAnsi"/>
              </w:rPr>
              <w:t>confirmed by CO &lt; 10 ppm at w</w:t>
            </w:r>
            <w:r w:rsidR="008145C0">
              <w:rPr>
                <w:rFonts w:eastAsia="MS Mincho" w:cstheme="minorHAnsi"/>
              </w:rPr>
              <w:t>ee</w:t>
            </w:r>
            <w:r w:rsidR="008145C0" w:rsidRPr="00017AE6">
              <w:rPr>
                <w:rFonts w:eastAsia="MS Mincho" w:cstheme="minorHAnsi"/>
              </w:rPr>
              <w:t>ks 9 - 12, and 15-</w:t>
            </w:r>
            <w:r w:rsidR="000728F8" w:rsidRPr="00017AE6">
              <w:rPr>
                <w:rFonts w:eastAsia="MS Mincho" w:cstheme="minorHAnsi"/>
              </w:rPr>
              <w:t>w</w:t>
            </w:r>
            <w:r w:rsidR="00C77279">
              <w:rPr>
                <w:rFonts w:eastAsia="MS Mincho" w:cstheme="minorHAnsi"/>
              </w:rPr>
              <w:t>ee</w:t>
            </w:r>
            <w:r w:rsidR="000728F8" w:rsidRPr="00017AE6">
              <w:rPr>
                <w:rFonts w:eastAsia="MS Mincho" w:cstheme="minorHAnsi"/>
              </w:rPr>
              <w:t>k</w:t>
            </w:r>
            <w:r w:rsidR="008145C0" w:rsidRPr="00017AE6">
              <w:rPr>
                <w:rFonts w:eastAsia="MS Mincho" w:cstheme="minorHAnsi"/>
              </w:rPr>
              <w:t xml:space="preserve"> abstinence at weeks 9 </w:t>
            </w:r>
            <w:r w:rsidR="008145C0">
              <w:rPr>
                <w:rFonts w:eastAsia="MS Mincho" w:cstheme="minorHAnsi"/>
              </w:rPr>
              <w:t>–</w:t>
            </w:r>
            <w:r w:rsidR="008145C0" w:rsidRPr="00017AE6">
              <w:rPr>
                <w:rFonts w:eastAsia="MS Mincho" w:cstheme="minorHAnsi"/>
              </w:rPr>
              <w:t xml:space="preserve"> 24</w:t>
            </w:r>
            <w:r w:rsidR="008145C0">
              <w:rPr>
                <w:rFonts w:eastAsia="MS Mincho" w:cstheme="minorHAnsi"/>
              </w:rPr>
              <w:t xml:space="preserve">. </w:t>
            </w:r>
          </w:p>
          <w:p w:rsidR="006045D3" w:rsidRDefault="006045D3" w:rsidP="00A71365">
            <w:pPr>
              <w:pStyle w:val="Tablewriting"/>
              <w:rPr>
                <w:rFonts w:eastAsia="MS Mincho" w:cstheme="minorHAnsi"/>
                <w:u w:val="single"/>
              </w:rPr>
            </w:pPr>
          </w:p>
          <w:p w:rsidR="00400275" w:rsidRDefault="006045D3" w:rsidP="00A71365">
            <w:pPr>
              <w:pStyle w:val="Tablewriting"/>
              <w:rPr>
                <w:rFonts w:eastAsia="MS Mincho" w:cstheme="minorHAnsi"/>
              </w:rPr>
            </w:pPr>
            <w:r>
              <w:rPr>
                <w:rFonts w:eastAsia="MS Mincho" w:cstheme="minorHAnsi"/>
                <w:u w:val="single"/>
              </w:rPr>
              <w:t>Safety: at</w:t>
            </w:r>
            <w:r w:rsidR="00400275" w:rsidRPr="00017AE6">
              <w:rPr>
                <w:rFonts w:eastAsia="MS Mincho" w:cstheme="minorHAnsi"/>
              </w:rPr>
              <w:t xml:space="preserve"> least 1 SAE of anxiety depression, feeling abnormal, or hostility, and/or moderate or severe AE of agitation,</w:t>
            </w:r>
            <w:r>
              <w:rPr>
                <w:rFonts w:eastAsia="MS Mincho" w:cstheme="minorHAnsi"/>
              </w:rPr>
              <w:t xml:space="preserve"> </w:t>
            </w:r>
            <w:r w:rsidR="00400275" w:rsidRPr="00017AE6">
              <w:rPr>
                <w:rFonts w:eastAsia="MS Mincho" w:cstheme="minorHAnsi"/>
              </w:rPr>
              <w:t>aggression, delusions, hallucinations, homicidal ideation, mania, panic paranoia, psychosis, suicidal</w:t>
            </w:r>
            <w:r>
              <w:rPr>
                <w:rFonts w:eastAsia="MS Mincho" w:cstheme="minorHAnsi"/>
              </w:rPr>
              <w:t xml:space="preserve"> </w:t>
            </w:r>
            <w:r w:rsidR="00400275" w:rsidRPr="00017AE6">
              <w:rPr>
                <w:rFonts w:eastAsia="MS Mincho" w:cstheme="minorHAnsi"/>
              </w:rPr>
              <w:t>ideation/behaviour/completed</w:t>
            </w:r>
            <w:r w:rsidR="00812C1E">
              <w:rPr>
                <w:rFonts w:eastAsia="MS Mincho" w:cstheme="minorHAnsi"/>
              </w:rPr>
              <w:t xml:space="preserve">. </w:t>
            </w:r>
          </w:p>
          <w:p w:rsidR="00812C1E" w:rsidRPr="006045D3" w:rsidRDefault="00812C1E" w:rsidP="00A71365">
            <w:pPr>
              <w:pStyle w:val="Tablewriting"/>
              <w:rPr>
                <w:rFonts w:eastAsia="MS Mincho" w:cstheme="minorHAnsi"/>
                <w:u w:val="single"/>
              </w:rPr>
            </w:pPr>
          </w:p>
          <w:p w:rsidR="00400275" w:rsidRPr="00F4151C" w:rsidRDefault="00400275" w:rsidP="00A71365">
            <w:pPr>
              <w:pStyle w:val="Tablewriting"/>
              <w:rPr>
                <w:rFonts w:eastAsia="MS Mincho" w:cstheme="minorHAnsi"/>
              </w:rPr>
            </w:pPr>
            <w:r w:rsidRPr="00F4151C">
              <w:rPr>
                <w:rFonts w:eastAsia="MS Mincho" w:cstheme="minorHAnsi"/>
              </w:rPr>
              <w:t>In the non-psychiatric cohort, 78.9% completed treatment, and 78.4% completed the study</w:t>
            </w:r>
          </w:p>
          <w:p w:rsidR="00C25F5E" w:rsidRPr="00017AE6" w:rsidRDefault="00400275" w:rsidP="00A71365">
            <w:pPr>
              <w:pStyle w:val="Tablewriting"/>
              <w:rPr>
                <w:rFonts w:eastAsia="MS Mincho" w:cstheme="minorHAnsi"/>
              </w:rPr>
            </w:pPr>
            <w:r w:rsidRPr="00F4151C">
              <w:rPr>
                <w:rFonts w:eastAsia="MS Mincho" w:cstheme="minorHAnsi"/>
              </w:rPr>
              <w:t>In the psychiatric cohort, 74.2% completed treatment, and 77.8% completed the stud</w:t>
            </w:r>
            <w:r w:rsidRPr="00812C1E">
              <w:rPr>
                <w:rFonts w:eastAsia="MS Mincho" w:cstheme="minorHAnsi"/>
                <w:strike/>
              </w:rPr>
              <w:t>y</w:t>
            </w: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t xml:space="preserve">Eisenberg </w:t>
            </w:r>
            <w:r w:rsidR="00F143BB">
              <w:rPr>
                <w:rFonts w:eastAsia="MS Mincho" w:cstheme="minorHAnsi"/>
              </w:rPr>
              <w:t>(</w:t>
            </w:r>
            <w:r w:rsidRPr="00017AE6">
              <w:rPr>
                <w:rFonts w:eastAsia="MS Mincho" w:cstheme="minorHAnsi"/>
              </w:rPr>
              <w:t>2016</w:t>
            </w:r>
            <w:r w:rsidR="00F143BB">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A4346C" w:rsidP="00A71365">
            <w:pPr>
              <w:pStyle w:val="Tablewriting"/>
              <w:rPr>
                <w:rFonts w:eastAsia="MS Mincho" w:cstheme="minorHAnsi"/>
              </w:rPr>
            </w:pPr>
            <w:r w:rsidRPr="00017AE6">
              <w:rPr>
                <w:rFonts w:eastAsia="MS Mincho" w:cstheme="minorHAnsi"/>
              </w:rPr>
              <w:t>USA and Canada</w:t>
            </w:r>
          </w:p>
        </w:tc>
        <w:tc>
          <w:tcPr>
            <w:tcW w:w="675" w:type="pct"/>
          </w:tcPr>
          <w:p w:rsidR="00C25F5E" w:rsidRPr="00017AE6" w:rsidRDefault="00C25F5E" w:rsidP="00A71365">
            <w:pPr>
              <w:pStyle w:val="Tablewriting"/>
              <w:rPr>
                <w:rFonts w:eastAsia="MS Mincho" w:cstheme="minorHAnsi"/>
              </w:rPr>
            </w:pPr>
            <w:r w:rsidRPr="00017AE6">
              <w:rPr>
                <w:rFonts w:eastAsia="MS Mincho" w:cstheme="minorHAnsi"/>
              </w:rPr>
              <w:t>N=</w:t>
            </w:r>
            <w:r w:rsidR="00A4346C" w:rsidRPr="00017AE6">
              <w:rPr>
                <w:rFonts w:eastAsia="MS Mincho" w:cstheme="minorHAnsi"/>
              </w:rPr>
              <w:t>302</w:t>
            </w:r>
            <w:r w:rsidR="008B2778">
              <w:rPr>
                <w:rFonts w:eastAsia="MS Mincho" w:cstheme="minorHAnsi"/>
              </w:rPr>
              <w:t>; n=</w:t>
            </w:r>
            <w:r w:rsidR="00F2735F">
              <w:rPr>
                <w:rFonts w:eastAsia="MS Mincho" w:cstheme="minorHAnsi"/>
              </w:rPr>
              <w:t>151 (varenicline), n=</w:t>
            </w:r>
            <w:r w:rsidR="00614D6F">
              <w:rPr>
                <w:rFonts w:eastAsia="MS Mincho" w:cstheme="minorHAnsi"/>
              </w:rPr>
              <w:t>151 (placebo)</w:t>
            </w:r>
          </w:p>
        </w:tc>
        <w:tc>
          <w:tcPr>
            <w:tcW w:w="853" w:type="pct"/>
          </w:tcPr>
          <w:p w:rsidR="0072633E" w:rsidRDefault="0072633E" w:rsidP="00A71365">
            <w:pPr>
              <w:pStyle w:val="Tablewriting"/>
              <w:rPr>
                <w:rFonts w:eastAsia="MS Mincho" w:cstheme="minorHAnsi"/>
              </w:rPr>
            </w:pPr>
            <w:r>
              <w:rPr>
                <w:rFonts w:eastAsia="MS Mincho" w:cstheme="minorHAnsi"/>
              </w:rPr>
              <w:t>A</w:t>
            </w:r>
            <w:r w:rsidR="00A4346C" w:rsidRPr="00017AE6">
              <w:rPr>
                <w:rFonts w:eastAsia="MS Mincho" w:cstheme="minorHAnsi"/>
              </w:rPr>
              <w:t xml:space="preserve">dult smokers, aged 18+, smoking 10+ CPD, interested in trying to quit, hospitalised in USA or Canada for acute coronary syndrome (MI or unstable angina). </w:t>
            </w:r>
          </w:p>
          <w:p w:rsidR="00A4346C" w:rsidRPr="00017AE6" w:rsidRDefault="00A4346C" w:rsidP="00A71365">
            <w:pPr>
              <w:pStyle w:val="Tablewriting"/>
              <w:rPr>
                <w:rFonts w:eastAsia="MS Mincho" w:cstheme="minorHAnsi"/>
              </w:rPr>
            </w:pPr>
            <w:r w:rsidRPr="00017AE6">
              <w:rPr>
                <w:rFonts w:eastAsia="MS Mincho" w:cstheme="minorHAnsi"/>
              </w:rPr>
              <w:t>Mean age 55, 25% women, mean CPD</w:t>
            </w:r>
          </w:p>
          <w:p w:rsidR="00A4346C" w:rsidRPr="00017AE6" w:rsidRDefault="00A4346C" w:rsidP="00A71365">
            <w:pPr>
              <w:pStyle w:val="Tablewriting"/>
              <w:rPr>
                <w:rFonts w:eastAsia="MS Mincho" w:cstheme="minorHAnsi"/>
              </w:rPr>
            </w:pPr>
            <w:r w:rsidRPr="00017AE6">
              <w:rPr>
                <w:rFonts w:eastAsia="MS Mincho" w:cstheme="minorHAnsi"/>
              </w:rPr>
              <w:t>21.5</w:t>
            </w:r>
            <w:r w:rsidR="0072633E">
              <w:rPr>
                <w:rFonts w:eastAsia="MS Mincho" w:cstheme="minorHAnsi"/>
              </w:rPr>
              <w:t>.</w:t>
            </w:r>
          </w:p>
          <w:p w:rsidR="00A4346C" w:rsidRPr="00017AE6" w:rsidRDefault="00A4346C" w:rsidP="00A71365">
            <w:pPr>
              <w:pStyle w:val="Tablewriting"/>
              <w:rPr>
                <w:rFonts w:eastAsia="MS Mincho" w:cstheme="minorHAnsi"/>
              </w:rPr>
            </w:pPr>
          </w:p>
          <w:p w:rsidR="00C25F5E" w:rsidRPr="00017AE6" w:rsidRDefault="00A4346C" w:rsidP="00A71365">
            <w:pPr>
              <w:pStyle w:val="Tablewriting"/>
              <w:rPr>
                <w:rFonts w:eastAsia="MS Mincho" w:cstheme="minorHAnsi"/>
              </w:rPr>
            </w:pPr>
            <w:r w:rsidRPr="00A003A9">
              <w:rPr>
                <w:rFonts w:eastAsia="MS Mincho" w:cstheme="minorHAnsi"/>
                <w:u w:val="single"/>
              </w:rPr>
              <w:t>Exclusions:</w:t>
            </w:r>
            <w:r w:rsidRPr="00017AE6">
              <w:rPr>
                <w:rFonts w:eastAsia="MS Mincho" w:cstheme="minorHAnsi"/>
              </w:rPr>
              <w:t xml:space="preserve"> </w:t>
            </w:r>
            <w:r w:rsidR="00635334">
              <w:rPr>
                <w:rFonts w:eastAsia="MS Mincho" w:cstheme="minorHAnsi"/>
              </w:rPr>
              <w:t>e</w:t>
            </w:r>
            <w:r w:rsidRPr="00017AE6">
              <w:rPr>
                <w:rFonts w:eastAsia="MS Mincho" w:cstheme="minorHAnsi"/>
              </w:rPr>
              <w:t>xcessive alcohol, history of panic disorder, psychosis, bipolar disease, dementia, renal or</w:t>
            </w:r>
            <w:r w:rsidR="00A003A9">
              <w:rPr>
                <w:rFonts w:eastAsia="MS Mincho" w:cstheme="minorHAnsi"/>
              </w:rPr>
              <w:t xml:space="preserve"> </w:t>
            </w:r>
            <w:r w:rsidRPr="00017AE6">
              <w:rPr>
                <w:rFonts w:eastAsia="MS Mincho" w:cstheme="minorHAnsi"/>
              </w:rPr>
              <w:t>hepatic impairment, current or recent drug use, history of suicidal ideation/attempt or family history of</w:t>
            </w:r>
            <w:r w:rsidR="00A003A9">
              <w:rPr>
                <w:rFonts w:eastAsia="MS Mincho" w:cstheme="minorHAnsi"/>
              </w:rPr>
              <w:t xml:space="preserve"> </w:t>
            </w:r>
            <w:r w:rsidRPr="00017AE6">
              <w:rPr>
                <w:rFonts w:eastAsia="MS Mincho" w:cstheme="minorHAnsi"/>
              </w:rPr>
              <w:t>suicide</w:t>
            </w:r>
            <w:r w:rsidR="00A003A9">
              <w:rPr>
                <w:rFonts w:eastAsia="MS Mincho" w:cstheme="minorHAnsi"/>
              </w:rPr>
              <w:t>.</w:t>
            </w:r>
          </w:p>
        </w:tc>
        <w:tc>
          <w:tcPr>
            <w:tcW w:w="1055" w:type="pct"/>
          </w:tcPr>
          <w:p w:rsidR="00187876" w:rsidRPr="00017AE6" w:rsidRDefault="00187876" w:rsidP="00C324F3">
            <w:pPr>
              <w:pStyle w:val="Tablewriting"/>
              <w:numPr>
                <w:ilvl w:val="0"/>
                <w:numId w:val="67"/>
              </w:numPr>
              <w:rPr>
                <w:rFonts w:eastAsia="MS Mincho" w:cstheme="minorHAnsi"/>
              </w:rPr>
            </w:pPr>
            <w:r w:rsidRPr="00017AE6">
              <w:rPr>
                <w:rFonts w:eastAsia="MS Mincho" w:cstheme="minorHAnsi"/>
              </w:rPr>
              <w:t xml:space="preserve">Varenicline </w:t>
            </w:r>
            <w:r w:rsidR="006746E1">
              <w:rPr>
                <w:rFonts w:eastAsia="MS Mincho" w:cstheme="minorHAnsi"/>
              </w:rPr>
              <w:t xml:space="preserve">for </w:t>
            </w:r>
            <w:r w:rsidRPr="00017AE6">
              <w:rPr>
                <w:rFonts w:eastAsia="MS Mincho" w:cstheme="minorHAnsi"/>
              </w:rPr>
              <w:t>12 w</w:t>
            </w:r>
            <w:r w:rsidR="000A341A">
              <w:rPr>
                <w:rFonts w:eastAsia="MS Mincho" w:cstheme="minorHAnsi"/>
              </w:rPr>
              <w:t>ee</w:t>
            </w:r>
            <w:r w:rsidRPr="00017AE6">
              <w:rPr>
                <w:rFonts w:eastAsia="MS Mincho" w:cstheme="minorHAnsi"/>
              </w:rPr>
              <w:t>ks, titrated 1st w</w:t>
            </w:r>
            <w:r w:rsidR="000A341A">
              <w:rPr>
                <w:rFonts w:eastAsia="MS Mincho" w:cstheme="minorHAnsi"/>
              </w:rPr>
              <w:t>ee</w:t>
            </w:r>
            <w:r w:rsidRPr="00017AE6">
              <w:rPr>
                <w:rFonts w:eastAsia="MS Mincho" w:cstheme="minorHAnsi"/>
              </w:rPr>
              <w:t>k</w:t>
            </w:r>
            <w:r w:rsidR="0081161D">
              <w:rPr>
                <w:rFonts w:eastAsia="MS Mincho" w:cstheme="minorHAnsi"/>
              </w:rPr>
              <w:t>.</w:t>
            </w:r>
          </w:p>
          <w:p w:rsidR="000A341A" w:rsidRDefault="0081161D" w:rsidP="00C324F3">
            <w:pPr>
              <w:pStyle w:val="Tablewriting"/>
              <w:numPr>
                <w:ilvl w:val="0"/>
                <w:numId w:val="67"/>
              </w:numPr>
              <w:rPr>
                <w:rFonts w:eastAsia="MS Mincho" w:cstheme="minorHAnsi"/>
              </w:rPr>
            </w:pPr>
            <w:r w:rsidRPr="0081161D">
              <w:rPr>
                <w:rFonts w:eastAsia="MS Mincho" w:cstheme="minorHAnsi"/>
              </w:rPr>
              <w:t xml:space="preserve">Placebo </w:t>
            </w:r>
            <w:r w:rsidR="006746E1">
              <w:rPr>
                <w:rFonts w:eastAsia="MS Mincho" w:cstheme="minorHAnsi"/>
              </w:rPr>
              <w:t xml:space="preserve">for </w:t>
            </w:r>
            <w:r w:rsidRPr="0081161D">
              <w:rPr>
                <w:rFonts w:eastAsia="MS Mincho" w:cstheme="minorHAnsi"/>
              </w:rPr>
              <w:t>12 weeks</w:t>
            </w:r>
            <w:r w:rsidR="00A10BC2">
              <w:rPr>
                <w:rFonts w:eastAsia="MS Mincho" w:cstheme="minorHAnsi"/>
              </w:rPr>
              <w:t xml:space="preserve">, </w:t>
            </w:r>
            <w:r w:rsidR="00187876" w:rsidRPr="0081161D">
              <w:rPr>
                <w:rFonts w:eastAsia="MS Mincho" w:cstheme="minorHAnsi"/>
              </w:rPr>
              <w:t>titrated 1st w</w:t>
            </w:r>
            <w:r w:rsidR="000A341A" w:rsidRPr="0081161D">
              <w:rPr>
                <w:rFonts w:eastAsia="MS Mincho" w:cstheme="minorHAnsi"/>
              </w:rPr>
              <w:t>ee</w:t>
            </w:r>
            <w:r w:rsidR="00187876" w:rsidRPr="0081161D">
              <w:rPr>
                <w:rFonts w:eastAsia="MS Mincho" w:cstheme="minorHAnsi"/>
              </w:rPr>
              <w:t>k</w:t>
            </w:r>
            <w:r>
              <w:rPr>
                <w:rFonts w:eastAsia="MS Mincho" w:cstheme="minorHAnsi"/>
              </w:rPr>
              <w:t>.</w:t>
            </w:r>
          </w:p>
          <w:p w:rsidR="0081161D" w:rsidRPr="0081161D" w:rsidRDefault="0081161D" w:rsidP="00A71365">
            <w:pPr>
              <w:pStyle w:val="Tablewriting"/>
              <w:rPr>
                <w:rFonts w:eastAsia="MS Mincho" w:cstheme="minorHAnsi"/>
              </w:rPr>
            </w:pPr>
          </w:p>
          <w:p w:rsidR="00187876" w:rsidRPr="00017AE6" w:rsidRDefault="00C94702"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187876" w:rsidRPr="00017AE6">
              <w:rPr>
                <w:rFonts w:eastAsia="MS Mincho" w:cstheme="minorHAnsi"/>
              </w:rPr>
              <w:t>Medication was begun in hospital. All participants received low-intensity counselling</w:t>
            </w:r>
            <w:r w:rsidR="00A10BC2">
              <w:rPr>
                <w:rFonts w:eastAsia="MS Mincho" w:cstheme="minorHAnsi"/>
              </w:rPr>
              <w:t>.</w:t>
            </w:r>
          </w:p>
          <w:p w:rsidR="00C25F5E" w:rsidRPr="00017AE6" w:rsidRDefault="00187876" w:rsidP="00A71365">
            <w:pPr>
              <w:pStyle w:val="Tablewriting"/>
              <w:rPr>
                <w:rFonts w:eastAsia="MS Mincho" w:cstheme="minorHAnsi"/>
              </w:rPr>
            </w:pPr>
            <w:r w:rsidRPr="00017AE6">
              <w:rPr>
                <w:rFonts w:eastAsia="MS Mincho" w:cstheme="minorHAnsi"/>
              </w:rPr>
              <w:t>Follow-up at w</w:t>
            </w:r>
            <w:r w:rsidR="00C94702">
              <w:rPr>
                <w:rFonts w:eastAsia="MS Mincho" w:cstheme="minorHAnsi"/>
              </w:rPr>
              <w:t>ee</w:t>
            </w:r>
            <w:r w:rsidRPr="00017AE6">
              <w:rPr>
                <w:rFonts w:eastAsia="MS Mincho" w:cstheme="minorHAnsi"/>
              </w:rPr>
              <w:t>ks 1, 2 and 8 by phone, and clinic visits at w</w:t>
            </w:r>
            <w:r w:rsidR="00C94702">
              <w:rPr>
                <w:rFonts w:eastAsia="MS Mincho" w:cstheme="minorHAnsi"/>
              </w:rPr>
              <w:t>ee</w:t>
            </w:r>
            <w:r w:rsidRPr="00017AE6">
              <w:rPr>
                <w:rFonts w:eastAsia="MS Mincho" w:cstheme="minorHAnsi"/>
              </w:rPr>
              <w:t>ks 4, 12 and 24</w:t>
            </w:r>
            <w:r w:rsidR="00C94702">
              <w:rPr>
                <w:rFonts w:eastAsia="MS Mincho" w:cstheme="minorHAnsi"/>
              </w:rPr>
              <w:t>.</w:t>
            </w:r>
          </w:p>
        </w:tc>
        <w:tc>
          <w:tcPr>
            <w:tcW w:w="960" w:type="pct"/>
          </w:tcPr>
          <w:p w:rsidR="00427628" w:rsidRDefault="00427628" w:rsidP="00A71365">
            <w:pPr>
              <w:pStyle w:val="Tablewriting"/>
              <w:rPr>
                <w:rFonts w:eastAsia="MS Mincho" w:cstheme="minorHAnsi"/>
              </w:rPr>
            </w:pPr>
            <w:r w:rsidRPr="00427628">
              <w:rPr>
                <w:rFonts w:eastAsia="MS Mincho" w:cstheme="minorHAnsi"/>
                <w:u w:val="single"/>
              </w:rPr>
              <w:t>Efficacy:</w:t>
            </w:r>
            <w:r>
              <w:rPr>
                <w:rFonts w:eastAsia="MS Mincho" w:cstheme="minorHAnsi"/>
              </w:rPr>
              <w:t xml:space="preserve"> </w:t>
            </w:r>
          </w:p>
          <w:p w:rsidR="00A76D1A" w:rsidRPr="00017AE6" w:rsidRDefault="00A76D1A" w:rsidP="00A71365">
            <w:pPr>
              <w:pStyle w:val="Tablewriting"/>
              <w:rPr>
                <w:rFonts w:eastAsia="MS Mincho" w:cstheme="minorHAnsi"/>
              </w:rPr>
            </w:pPr>
            <w:r w:rsidRPr="00017AE6">
              <w:rPr>
                <w:rFonts w:eastAsia="MS Mincho" w:cstheme="minorHAnsi"/>
              </w:rPr>
              <w:t>Primary: 7-day PPA at w</w:t>
            </w:r>
            <w:r w:rsidR="00427628">
              <w:rPr>
                <w:rFonts w:eastAsia="MS Mincho" w:cstheme="minorHAnsi"/>
              </w:rPr>
              <w:t>ee</w:t>
            </w:r>
            <w:r w:rsidRPr="00017AE6">
              <w:rPr>
                <w:rFonts w:eastAsia="MS Mincho" w:cstheme="minorHAnsi"/>
              </w:rPr>
              <w:t>k 24</w:t>
            </w:r>
            <w:r w:rsidR="0015251C">
              <w:rPr>
                <w:rFonts w:eastAsia="MS Mincho" w:cstheme="minorHAnsi"/>
              </w:rPr>
              <w:t>;</w:t>
            </w:r>
          </w:p>
          <w:p w:rsidR="00A76D1A" w:rsidRDefault="00A76D1A" w:rsidP="00A71365">
            <w:pPr>
              <w:pStyle w:val="Tablewriting"/>
              <w:rPr>
                <w:rFonts w:eastAsia="MS Mincho" w:cstheme="minorHAnsi"/>
              </w:rPr>
            </w:pPr>
            <w:r w:rsidRPr="00017AE6">
              <w:rPr>
                <w:rFonts w:eastAsia="MS Mincho" w:cstheme="minorHAnsi"/>
              </w:rPr>
              <w:t xml:space="preserve">Secondary: CAR at all follow-up visits, 7-day PPA at other follow-up visits, </w:t>
            </w:r>
            <w:r w:rsidR="00625D04" w:rsidRPr="00625D04">
              <w:rPr>
                <w:rFonts w:eastAsia="MS Mincho" w:cstheme="minorHAnsi"/>
              </w:rPr>
              <w:t>≥</w:t>
            </w:r>
            <w:r w:rsidRPr="00017AE6">
              <w:rPr>
                <w:rFonts w:eastAsia="MS Mincho" w:cstheme="minorHAnsi"/>
              </w:rPr>
              <w:t xml:space="preserve"> 50% reduction in CPD</w:t>
            </w:r>
            <w:r w:rsidR="0081161D">
              <w:rPr>
                <w:rFonts w:eastAsia="MS Mincho" w:cstheme="minorHAnsi"/>
              </w:rPr>
              <w:t>.</w:t>
            </w:r>
          </w:p>
          <w:p w:rsidR="00284CA0" w:rsidRDefault="00284CA0" w:rsidP="00A71365">
            <w:pPr>
              <w:pStyle w:val="Tablewriting"/>
              <w:rPr>
                <w:rFonts w:eastAsia="MS Mincho" w:cstheme="minorHAnsi"/>
              </w:rPr>
            </w:pPr>
          </w:p>
          <w:p w:rsidR="00284CA0" w:rsidRPr="00017AE6" w:rsidRDefault="00284CA0" w:rsidP="00A71365">
            <w:pPr>
              <w:pStyle w:val="Tablewriting"/>
              <w:rPr>
                <w:rFonts w:eastAsia="MS Mincho" w:cstheme="minorHAnsi"/>
              </w:rPr>
            </w:pPr>
            <w:r w:rsidRPr="00017AE6">
              <w:rPr>
                <w:rFonts w:eastAsia="MS Mincho" w:cstheme="minorHAnsi"/>
              </w:rPr>
              <w:t xml:space="preserve">Validation: CO </w:t>
            </w:r>
            <w:r w:rsidRPr="00271874">
              <w:rPr>
                <w:rFonts w:eastAsia="MS Mincho" w:cstheme="minorHAnsi"/>
              </w:rPr>
              <w:t>≤</w:t>
            </w:r>
            <w:r w:rsidRPr="00017AE6">
              <w:rPr>
                <w:rFonts w:eastAsia="MS Mincho" w:cstheme="minorHAnsi"/>
              </w:rPr>
              <w:t xml:space="preserve"> 10 ppm</w:t>
            </w:r>
          </w:p>
          <w:p w:rsidR="00764EE4" w:rsidRDefault="00764EE4" w:rsidP="00A71365">
            <w:pPr>
              <w:pStyle w:val="Tablewriting"/>
              <w:rPr>
                <w:rFonts w:eastAsia="MS Mincho" w:cstheme="minorHAnsi"/>
              </w:rPr>
            </w:pPr>
          </w:p>
          <w:p w:rsidR="00A76D1A" w:rsidRPr="00017AE6" w:rsidRDefault="00764EE4" w:rsidP="00A71365">
            <w:pPr>
              <w:pStyle w:val="Tablewriting"/>
              <w:rPr>
                <w:rFonts w:eastAsia="MS Mincho" w:cstheme="minorHAnsi"/>
              </w:rPr>
            </w:pPr>
            <w:r w:rsidRPr="00764EE4">
              <w:rPr>
                <w:rFonts w:eastAsia="MS Mincho" w:cstheme="minorHAnsi"/>
                <w:u w:val="single"/>
              </w:rPr>
              <w:t>Safety:</w:t>
            </w:r>
            <w:r>
              <w:rPr>
                <w:rFonts w:eastAsia="MS Mincho" w:cstheme="minorHAnsi"/>
              </w:rPr>
              <w:t xml:space="preserve"> m</w:t>
            </w:r>
            <w:r w:rsidR="00A76D1A" w:rsidRPr="00017AE6">
              <w:rPr>
                <w:rFonts w:eastAsia="MS Mincho" w:cstheme="minorHAnsi"/>
              </w:rPr>
              <w:t>easures of side effects and SAEs</w:t>
            </w:r>
            <w:r w:rsidR="0081161D">
              <w:rPr>
                <w:rFonts w:eastAsia="MS Mincho" w:cstheme="minorHAnsi"/>
              </w:rPr>
              <w:t>.</w:t>
            </w:r>
          </w:p>
          <w:p w:rsidR="00764EE4" w:rsidRDefault="00764EE4" w:rsidP="00A71365">
            <w:pPr>
              <w:pStyle w:val="Tablewriting"/>
              <w:rPr>
                <w:rFonts w:eastAsia="MS Mincho" w:cstheme="minorHAnsi"/>
              </w:rPr>
            </w:pPr>
          </w:p>
          <w:p w:rsidR="00C25F5E" w:rsidRPr="00017AE6" w:rsidRDefault="00C25F5E"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t xml:space="preserve">Evins </w:t>
            </w:r>
            <w:r w:rsidR="00F143BB">
              <w:rPr>
                <w:rFonts w:eastAsia="MS Mincho" w:cstheme="minorHAnsi"/>
              </w:rPr>
              <w:t>(</w:t>
            </w:r>
            <w:r w:rsidRPr="00017AE6">
              <w:rPr>
                <w:rFonts w:eastAsia="MS Mincho" w:cstheme="minorHAnsi"/>
              </w:rPr>
              <w:t>2014</w:t>
            </w:r>
            <w:r w:rsidR="00F143BB">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A76D1A" w:rsidP="00A71365">
            <w:pPr>
              <w:pStyle w:val="Tablewriting"/>
              <w:rPr>
                <w:rFonts w:eastAsia="MS Mincho" w:cstheme="minorHAnsi"/>
              </w:rPr>
            </w:pPr>
            <w:r w:rsidRPr="00017AE6">
              <w:rPr>
                <w:rFonts w:eastAsia="MS Mincho" w:cstheme="minorHAnsi"/>
              </w:rPr>
              <w:t>USA</w:t>
            </w:r>
          </w:p>
        </w:tc>
        <w:tc>
          <w:tcPr>
            <w:tcW w:w="675" w:type="pct"/>
          </w:tcPr>
          <w:p w:rsidR="00C25F5E" w:rsidRDefault="00C25F5E" w:rsidP="00A71365">
            <w:pPr>
              <w:pStyle w:val="Tablewriting"/>
              <w:rPr>
                <w:rFonts w:eastAsia="MS Mincho" w:cstheme="minorHAnsi"/>
              </w:rPr>
            </w:pPr>
            <w:r w:rsidRPr="00017AE6">
              <w:rPr>
                <w:rFonts w:eastAsia="MS Mincho" w:cstheme="minorHAnsi"/>
              </w:rPr>
              <w:t>N=</w:t>
            </w:r>
            <w:r w:rsidR="00DC63C5">
              <w:rPr>
                <w:rFonts w:eastAsia="MS Mincho" w:cstheme="minorHAnsi"/>
              </w:rPr>
              <w:t>87</w:t>
            </w:r>
            <w:r w:rsidR="005F1779">
              <w:rPr>
                <w:rFonts w:eastAsia="MS Mincho" w:cstheme="minorHAnsi"/>
              </w:rPr>
              <w:t xml:space="preserve">; n=40 </w:t>
            </w:r>
            <w:r w:rsidR="0072315F">
              <w:rPr>
                <w:rFonts w:eastAsia="MS Mincho" w:cstheme="minorHAnsi"/>
              </w:rPr>
              <w:t>(</w:t>
            </w:r>
            <w:r w:rsidR="0072315F" w:rsidRPr="00017AE6">
              <w:rPr>
                <w:rFonts w:eastAsia="MS Mincho" w:cstheme="minorHAnsi"/>
              </w:rPr>
              <w:t>varenicline</w:t>
            </w:r>
            <w:r w:rsidR="005F1779" w:rsidRPr="00017AE6">
              <w:rPr>
                <w:rFonts w:eastAsia="MS Mincho" w:cstheme="minorHAnsi"/>
              </w:rPr>
              <w:t>)</w:t>
            </w:r>
            <w:r w:rsidR="005F1779">
              <w:rPr>
                <w:rFonts w:eastAsia="MS Mincho" w:cstheme="minorHAnsi"/>
              </w:rPr>
              <w:t>, n=47 (</w:t>
            </w:r>
            <w:r w:rsidR="005F1779" w:rsidRPr="00017AE6">
              <w:rPr>
                <w:rFonts w:eastAsia="MS Mincho" w:cstheme="minorHAnsi"/>
              </w:rPr>
              <w:t>control</w:t>
            </w:r>
            <w:r w:rsidR="005F1779">
              <w:rPr>
                <w:rFonts w:eastAsia="MS Mincho" w:cstheme="minorHAnsi"/>
              </w:rPr>
              <w:t>)</w:t>
            </w:r>
            <w:r w:rsidR="005F1779" w:rsidRPr="00017AE6">
              <w:rPr>
                <w:rFonts w:eastAsia="MS Mincho" w:cstheme="minorHAnsi"/>
              </w:rPr>
              <w:t>.</w:t>
            </w:r>
          </w:p>
          <w:p w:rsidR="0072315F" w:rsidRDefault="0072315F" w:rsidP="00A71365">
            <w:pPr>
              <w:pStyle w:val="Tablewriting"/>
              <w:rPr>
                <w:rFonts w:eastAsia="MS Mincho" w:cstheme="minorHAnsi"/>
              </w:rPr>
            </w:pPr>
          </w:p>
          <w:p w:rsidR="00C25F5E" w:rsidRPr="00017AE6" w:rsidRDefault="0072315F" w:rsidP="00A71365">
            <w:pPr>
              <w:pStyle w:val="Tablewriting"/>
              <w:rPr>
                <w:rFonts w:eastAsia="MS Mincho" w:cstheme="minorHAnsi"/>
              </w:rPr>
            </w:pPr>
            <w:r w:rsidRPr="5803FEE1">
              <w:rPr>
                <w:rFonts w:eastAsia="MS Mincho" w:cstheme="minorBidi"/>
              </w:rPr>
              <w:lastRenderedPageBreak/>
              <w:t xml:space="preserve">87 </w:t>
            </w:r>
            <w:r w:rsidR="00376372">
              <w:rPr>
                <w:rFonts w:eastAsia="MS Mincho" w:cstheme="minorBidi"/>
              </w:rPr>
              <w:t xml:space="preserve">out of 247 </w:t>
            </w:r>
            <w:r w:rsidRPr="5803FEE1">
              <w:rPr>
                <w:rFonts w:eastAsia="MS Mincho" w:cstheme="minorBidi"/>
              </w:rPr>
              <w:t>of whom met the abstinence criteria after 12 weeks of open-label</w:t>
            </w:r>
            <w:r w:rsidR="00FB086A">
              <w:rPr>
                <w:rFonts w:eastAsia="MS Mincho" w:cstheme="minorBidi"/>
              </w:rPr>
              <w:t xml:space="preserve"> </w:t>
            </w:r>
            <w:r w:rsidRPr="5803FEE1">
              <w:rPr>
                <w:rFonts w:eastAsia="MS Mincho" w:cstheme="minorBidi"/>
              </w:rPr>
              <w:t>varenicline to enter this relapse prevention trial.</w:t>
            </w:r>
          </w:p>
        </w:tc>
        <w:tc>
          <w:tcPr>
            <w:tcW w:w="853" w:type="pct"/>
          </w:tcPr>
          <w:p w:rsidR="002F4C36" w:rsidRDefault="00B82935" w:rsidP="00A71365">
            <w:pPr>
              <w:pStyle w:val="Tablewriting"/>
              <w:rPr>
                <w:rFonts w:eastAsia="MS Mincho" w:cstheme="minorBidi"/>
              </w:rPr>
            </w:pPr>
            <w:r w:rsidRPr="5803FEE1">
              <w:rPr>
                <w:rFonts w:eastAsia="MS Mincho" w:cstheme="minorBidi"/>
              </w:rPr>
              <w:lastRenderedPageBreak/>
              <w:t>O</w:t>
            </w:r>
            <w:r w:rsidR="008D2D06" w:rsidRPr="5803FEE1">
              <w:rPr>
                <w:rFonts w:eastAsia="MS Mincho" w:cstheme="minorBidi"/>
              </w:rPr>
              <w:t>utpatient smokers with schizophrenia, schizoaffective or bipolar disorder,</w:t>
            </w:r>
            <w:r w:rsidR="002F4C36" w:rsidRPr="5803FEE1">
              <w:rPr>
                <w:rFonts w:eastAsia="MS Mincho" w:cstheme="minorBidi"/>
              </w:rPr>
              <w:t xml:space="preserve"> </w:t>
            </w:r>
            <w:r w:rsidR="008D2D06" w:rsidRPr="5803FEE1">
              <w:rPr>
                <w:rFonts w:eastAsia="MS Mincho" w:cstheme="minorBidi"/>
              </w:rPr>
              <w:t xml:space="preserve">aged 18 </w:t>
            </w:r>
            <w:r w:rsidR="002F4C36" w:rsidRPr="5803FEE1">
              <w:rPr>
                <w:rFonts w:eastAsia="MS Mincho" w:cstheme="minorBidi"/>
              </w:rPr>
              <w:t>–</w:t>
            </w:r>
            <w:r w:rsidR="008D2D06" w:rsidRPr="5803FEE1">
              <w:rPr>
                <w:rFonts w:eastAsia="MS Mincho" w:cstheme="minorBidi"/>
              </w:rPr>
              <w:t xml:space="preserve"> 70</w:t>
            </w:r>
            <w:r w:rsidR="002F4C36" w:rsidRPr="5803FEE1">
              <w:rPr>
                <w:rFonts w:eastAsia="MS Mincho" w:cstheme="minorBidi"/>
              </w:rPr>
              <w:t xml:space="preserve"> years</w:t>
            </w:r>
            <w:r w:rsidR="008D2D06" w:rsidRPr="5803FEE1">
              <w:rPr>
                <w:rFonts w:eastAsia="MS Mincho" w:cstheme="minorBidi"/>
              </w:rPr>
              <w:t>, CPD 10+</w:t>
            </w:r>
            <w:r w:rsidR="0072315F">
              <w:rPr>
                <w:rFonts w:eastAsia="MS Mincho" w:cstheme="minorBidi"/>
              </w:rPr>
              <w:t>.</w:t>
            </w:r>
          </w:p>
          <w:p w:rsidR="005F1779" w:rsidRDefault="005F1779" w:rsidP="00A71365">
            <w:pPr>
              <w:pStyle w:val="Tablewriting"/>
              <w:rPr>
                <w:rFonts w:eastAsia="MS Mincho" w:cstheme="minorHAnsi"/>
              </w:rPr>
            </w:pPr>
          </w:p>
          <w:p w:rsidR="00C25F5E" w:rsidRPr="009E2A27" w:rsidRDefault="008D2D06" w:rsidP="00A71365">
            <w:pPr>
              <w:pStyle w:val="Tablewriting"/>
              <w:rPr>
                <w:rFonts w:eastAsia="MS Mincho" w:cstheme="minorBidi"/>
              </w:rPr>
            </w:pPr>
            <w:r w:rsidRPr="5803FEE1">
              <w:rPr>
                <w:rFonts w:eastAsia="MS Mincho" w:cstheme="minorBidi"/>
              </w:rPr>
              <w:t>Mean age 48, 37% women, 74% white,</w:t>
            </w:r>
            <w:r w:rsidR="009E2A27">
              <w:rPr>
                <w:rFonts w:eastAsia="MS Mincho" w:cstheme="minorBidi"/>
              </w:rPr>
              <w:t xml:space="preserve"> </w:t>
            </w:r>
            <w:r w:rsidRPr="00017AE6">
              <w:rPr>
                <w:rFonts w:eastAsia="MS Mincho" w:cstheme="minorHAnsi"/>
              </w:rPr>
              <w:t>mean FTND 5.9, mean CPD 23.2</w:t>
            </w:r>
            <w:r w:rsidR="005F1779">
              <w:rPr>
                <w:rFonts w:eastAsia="MS Mincho" w:cstheme="minorHAnsi"/>
              </w:rPr>
              <w:t>.</w:t>
            </w:r>
          </w:p>
        </w:tc>
        <w:tc>
          <w:tcPr>
            <w:tcW w:w="1055" w:type="pct"/>
          </w:tcPr>
          <w:p w:rsidR="0076402A" w:rsidRDefault="008D2D06" w:rsidP="00C324F3">
            <w:pPr>
              <w:pStyle w:val="Tablewriting"/>
              <w:numPr>
                <w:ilvl w:val="0"/>
                <w:numId w:val="69"/>
              </w:numPr>
              <w:rPr>
                <w:rFonts w:eastAsia="MS Mincho" w:cstheme="minorHAnsi"/>
              </w:rPr>
            </w:pPr>
            <w:r w:rsidRPr="00017AE6">
              <w:rPr>
                <w:rFonts w:eastAsia="MS Mincho" w:cstheme="minorHAnsi"/>
              </w:rPr>
              <w:lastRenderedPageBreak/>
              <w:t>Varenicline 1 mg x 2/day for a further 40 w</w:t>
            </w:r>
            <w:r w:rsidR="0076402A">
              <w:rPr>
                <w:rFonts w:eastAsia="MS Mincho" w:cstheme="minorHAnsi"/>
              </w:rPr>
              <w:t>ee</w:t>
            </w:r>
            <w:r w:rsidRPr="00017AE6">
              <w:rPr>
                <w:rFonts w:eastAsia="MS Mincho" w:cstheme="minorHAnsi"/>
              </w:rPr>
              <w:t>ks, +</w:t>
            </w:r>
            <w:r w:rsidR="0076402A">
              <w:rPr>
                <w:rFonts w:eastAsia="MS Mincho" w:cstheme="minorHAnsi"/>
              </w:rPr>
              <w:t xml:space="preserve"> </w:t>
            </w:r>
            <w:r w:rsidRPr="00017AE6">
              <w:rPr>
                <w:rFonts w:eastAsia="MS Mincho" w:cstheme="minorHAnsi"/>
              </w:rPr>
              <w:t>tapered CBT</w:t>
            </w:r>
            <w:r w:rsidR="0076402A">
              <w:rPr>
                <w:rFonts w:eastAsia="MS Mincho" w:cstheme="minorHAnsi"/>
              </w:rPr>
              <w:t xml:space="preserve"> </w:t>
            </w:r>
            <w:r w:rsidRPr="00017AE6">
              <w:rPr>
                <w:rFonts w:eastAsia="MS Mincho" w:cstheme="minorHAnsi"/>
              </w:rPr>
              <w:t>relapse prevention</w:t>
            </w:r>
            <w:r w:rsidR="0076402A">
              <w:rPr>
                <w:rFonts w:eastAsia="MS Mincho" w:cstheme="minorHAnsi"/>
              </w:rPr>
              <w:t xml:space="preserve"> </w:t>
            </w:r>
            <w:r w:rsidRPr="00017AE6">
              <w:rPr>
                <w:rFonts w:eastAsia="MS Mincho" w:cstheme="minorHAnsi"/>
              </w:rPr>
              <w:t>counselling</w:t>
            </w:r>
            <w:r w:rsidR="0076402A">
              <w:rPr>
                <w:rFonts w:eastAsia="MS Mincho" w:cstheme="minorHAnsi"/>
              </w:rPr>
              <w:t>.</w:t>
            </w:r>
          </w:p>
          <w:p w:rsidR="00C25F5E" w:rsidRPr="0076402A" w:rsidRDefault="008D2D06" w:rsidP="00C324F3">
            <w:pPr>
              <w:pStyle w:val="Tablewriting"/>
              <w:numPr>
                <w:ilvl w:val="0"/>
                <w:numId w:val="68"/>
              </w:numPr>
              <w:rPr>
                <w:rFonts w:eastAsia="MS Mincho" w:cstheme="minorHAnsi"/>
              </w:rPr>
            </w:pPr>
            <w:r w:rsidRPr="00017AE6">
              <w:rPr>
                <w:rFonts w:eastAsia="MS Mincho" w:cstheme="minorHAnsi"/>
              </w:rPr>
              <w:lastRenderedPageBreak/>
              <w:t>Placebo, same regimen, i.e. CBT alone</w:t>
            </w:r>
            <w:r w:rsidR="0076402A">
              <w:rPr>
                <w:rFonts w:eastAsia="MS Mincho" w:cstheme="minorHAnsi"/>
              </w:rPr>
              <w:t>.</w:t>
            </w:r>
          </w:p>
          <w:p w:rsidR="009B0745" w:rsidRDefault="009B0745" w:rsidP="00A71365">
            <w:pPr>
              <w:pStyle w:val="Tablewriting"/>
              <w:rPr>
                <w:rFonts w:eastAsia="MS Mincho" w:cstheme="minorHAnsi"/>
              </w:rPr>
            </w:pPr>
          </w:p>
          <w:p w:rsidR="009B0745" w:rsidRPr="00017AE6" w:rsidRDefault="009B0745"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Pr="00017AE6">
              <w:rPr>
                <w:rFonts w:eastAsia="MS Mincho" w:cstheme="minorHAnsi"/>
              </w:rPr>
              <w:t>All participants had received 12 w</w:t>
            </w:r>
            <w:r>
              <w:rPr>
                <w:rFonts w:eastAsia="MS Mincho" w:cstheme="minorHAnsi"/>
              </w:rPr>
              <w:t>ee</w:t>
            </w:r>
            <w:r w:rsidRPr="00017AE6">
              <w:rPr>
                <w:rFonts w:eastAsia="MS Mincho" w:cstheme="minorHAnsi"/>
              </w:rPr>
              <w:t>ks open-label varenicline, and were confirmed abstinent at w</w:t>
            </w:r>
            <w:r>
              <w:rPr>
                <w:rFonts w:eastAsia="MS Mincho" w:cstheme="minorHAnsi"/>
              </w:rPr>
              <w:t>ee</w:t>
            </w:r>
            <w:r w:rsidRPr="00017AE6">
              <w:rPr>
                <w:rFonts w:eastAsia="MS Mincho" w:cstheme="minorHAnsi"/>
              </w:rPr>
              <w:t>ks 11 and 12</w:t>
            </w:r>
            <w:r w:rsidR="008E094D">
              <w:rPr>
                <w:rFonts w:eastAsia="MS Mincho" w:cstheme="minorHAnsi"/>
              </w:rPr>
              <w:t>.</w:t>
            </w:r>
          </w:p>
          <w:p w:rsidR="00C25F5E" w:rsidRPr="00017AE6" w:rsidRDefault="00C25F5E" w:rsidP="00A71365">
            <w:pPr>
              <w:pStyle w:val="Tablewriting"/>
              <w:rPr>
                <w:rFonts w:eastAsia="MS Mincho" w:cstheme="minorHAnsi"/>
              </w:rPr>
            </w:pPr>
          </w:p>
        </w:tc>
        <w:tc>
          <w:tcPr>
            <w:tcW w:w="960" w:type="pct"/>
          </w:tcPr>
          <w:p w:rsidR="00753A8A" w:rsidRDefault="00753A8A" w:rsidP="00A71365">
            <w:pPr>
              <w:pStyle w:val="Tablewriting"/>
              <w:rPr>
                <w:rFonts w:eastAsia="MS Mincho" w:cstheme="minorHAnsi"/>
              </w:rPr>
            </w:pPr>
            <w:r w:rsidRPr="00753A8A">
              <w:rPr>
                <w:rFonts w:eastAsia="MS Mincho" w:cstheme="minorHAnsi"/>
                <w:u w:val="single"/>
              </w:rPr>
              <w:lastRenderedPageBreak/>
              <w:t>Efficacy:</w:t>
            </w:r>
            <w:r>
              <w:rPr>
                <w:rFonts w:eastAsia="MS Mincho" w:cstheme="minorHAnsi"/>
              </w:rPr>
              <w:t xml:space="preserve"> </w:t>
            </w:r>
          </w:p>
          <w:p w:rsidR="00C25F5E" w:rsidRPr="00017AE6" w:rsidRDefault="008943AF" w:rsidP="00A71365">
            <w:pPr>
              <w:pStyle w:val="Tablewriting"/>
              <w:rPr>
                <w:rFonts w:eastAsia="MS Mincho" w:cstheme="minorHAnsi"/>
              </w:rPr>
            </w:pPr>
            <w:r w:rsidRPr="00017AE6">
              <w:rPr>
                <w:rFonts w:eastAsia="MS Mincho" w:cstheme="minorHAnsi"/>
              </w:rPr>
              <w:t>Primary: 7-day PPA at w</w:t>
            </w:r>
            <w:r w:rsidR="001F3AAE">
              <w:rPr>
                <w:rFonts w:eastAsia="MS Mincho" w:cstheme="minorHAnsi"/>
              </w:rPr>
              <w:t>ee</w:t>
            </w:r>
            <w:r w:rsidRPr="00017AE6">
              <w:rPr>
                <w:rFonts w:eastAsia="MS Mincho" w:cstheme="minorHAnsi"/>
              </w:rPr>
              <w:t>k 52 (12 w</w:t>
            </w:r>
            <w:r w:rsidR="001F3AAE">
              <w:rPr>
                <w:rFonts w:eastAsia="MS Mincho" w:cstheme="minorHAnsi"/>
              </w:rPr>
              <w:t>ee</w:t>
            </w:r>
            <w:r w:rsidRPr="00017AE6">
              <w:rPr>
                <w:rFonts w:eastAsia="MS Mincho" w:cstheme="minorHAnsi"/>
              </w:rPr>
              <w:t>ks cessation treatment + 40 weeks relapse prevention treatment);</w:t>
            </w:r>
          </w:p>
          <w:p w:rsidR="00FF6455" w:rsidRDefault="008943AF" w:rsidP="00A71365">
            <w:pPr>
              <w:pStyle w:val="Tablewriting"/>
              <w:rPr>
                <w:rFonts w:eastAsia="MS Mincho" w:cstheme="minorHAnsi"/>
              </w:rPr>
            </w:pPr>
            <w:r w:rsidRPr="00017AE6">
              <w:rPr>
                <w:rFonts w:eastAsia="MS Mincho" w:cstheme="minorHAnsi"/>
              </w:rPr>
              <w:lastRenderedPageBreak/>
              <w:t>Secondary: PPA and CAR at w</w:t>
            </w:r>
            <w:r w:rsidR="001F3AAE">
              <w:rPr>
                <w:rFonts w:eastAsia="MS Mincho" w:cstheme="minorHAnsi"/>
              </w:rPr>
              <w:t>ee</w:t>
            </w:r>
            <w:r w:rsidRPr="00017AE6">
              <w:rPr>
                <w:rFonts w:eastAsia="MS Mincho" w:cstheme="minorHAnsi"/>
              </w:rPr>
              <w:t>k 64 (52 w</w:t>
            </w:r>
            <w:r w:rsidR="001F3AAE">
              <w:rPr>
                <w:rFonts w:eastAsia="MS Mincho" w:cstheme="minorHAnsi"/>
              </w:rPr>
              <w:t>ee</w:t>
            </w:r>
            <w:r w:rsidRPr="00017AE6">
              <w:rPr>
                <w:rFonts w:eastAsia="MS Mincho" w:cstheme="minorHAnsi"/>
              </w:rPr>
              <w:t>ks after achieving abstinence)</w:t>
            </w:r>
          </w:p>
          <w:p w:rsidR="00FF6455" w:rsidRDefault="00FF6455" w:rsidP="00A71365">
            <w:pPr>
              <w:pStyle w:val="Tablewriting"/>
              <w:rPr>
                <w:rFonts w:eastAsia="MS Mincho" w:cstheme="minorHAnsi"/>
              </w:rPr>
            </w:pPr>
          </w:p>
          <w:p w:rsidR="00AE18F8" w:rsidRDefault="00AE18F8" w:rsidP="00A71365">
            <w:pPr>
              <w:pStyle w:val="Tablewriting"/>
              <w:rPr>
                <w:rFonts w:eastAsia="MS Mincho" w:cstheme="minorHAnsi"/>
              </w:rPr>
            </w:pPr>
            <w:r w:rsidRPr="00017AE6">
              <w:rPr>
                <w:rFonts w:eastAsia="MS Mincho" w:cstheme="minorHAnsi"/>
              </w:rPr>
              <w:t>Validation: CO &lt; 9 ppm</w:t>
            </w:r>
          </w:p>
          <w:p w:rsidR="00AE18F8" w:rsidRDefault="00AE18F8" w:rsidP="00A71365">
            <w:pPr>
              <w:pStyle w:val="Tablewriting"/>
              <w:rPr>
                <w:rFonts w:eastAsia="MS Mincho" w:cstheme="minorHAnsi"/>
              </w:rPr>
            </w:pPr>
          </w:p>
          <w:p w:rsidR="008943AF" w:rsidRPr="00017AE6" w:rsidRDefault="00FF6455" w:rsidP="00A71365">
            <w:pPr>
              <w:pStyle w:val="Tablewriting"/>
              <w:rPr>
                <w:rFonts w:eastAsia="MS Mincho" w:cstheme="minorHAnsi"/>
              </w:rPr>
            </w:pPr>
            <w:r w:rsidRPr="00FF6455">
              <w:rPr>
                <w:rFonts w:eastAsia="MS Mincho" w:cstheme="minorHAnsi"/>
                <w:u w:val="single"/>
              </w:rPr>
              <w:t>Safety:</w:t>
            </w:r>
            <w:r>
              <w:rPr>
                <w:rFonts w:eastAsia="MS Mincho" w:cstheme="minorHAnsi"/>
                <w:u w:val="single"/>
              </w:rPr>
              <w:t xml:space="preserve"> </w:t>
            </w:r>
            <w:r w:rsidR="008943AF" w:rsidRPr="00017AE6">
              <w:rPr>
                <w:rFonts w:eastAsia="MS Mincho" w:cstheme="minorHAnsi"/>
              </w:rPr>
              <w:t>effect of varenicline on psychiatric</w:t>
            </w:r>
            <w:r>
              <w:rPr>
                <w:rFonts w:eastAsia="MS Mincho" w:cstheme="minorHAnsi"/>
              </w:rPr>
              <w:t xml:space="preserve"> </w:t>
            </w:r>
            <w:r w:rsidR="008943AF" w:rsidRPr="00017AE6">
              <w:rPr>
                <w:rFonts w:eastAsia="MS Mincho" w:cstheme="minorHAnsi"/>
              </w:rPr>
              <w:t>symptoms (Calgary Depression Scale for Schizophrenia, Brief Psychiatric Rating Scale, Schedule</w:t>
            </w:r>
            <w:r w:rsidR="00E47FF6">
              <w:rPr>
                <w:rFonts w:eastAsia="MS Mincho" w:cstheme="minorHAnsi"/>
              </w:rPr>
              <w:t xml:space="preserve"> </w:t>
            </w:r>
            <w:r w:rsidR="008943AF" w:rsidRPr="00017AE6">
              <w:rPr>
                <w:rFonts w:eastAsia="MS Mincho" w:cstheme="minorHAnsi"/>
              </w:rPr>
              <w:t>for Assessment of Negative Symptoms), nicotine withdrawal symptoms (Wisconsin Smoking</w:t>
            </w:r>
            <w:r w:rsidR="009D6BC2">
              <w:rPr>
                <w:rFonts w:eastAsia="MS Mincho" w:cstheme="minorHAnsi"/>
              </w:rPr>
              <w:t xml:space="preserve"> </w:t>
            </w:r>
            <w:r w:rsidR="008943AF" w:rsidRPr="00017AE6">
              <w:rPr>
                <w:rFonts w:eastAsia="MS Mincho" w:cstheme="minorHAnsi"/>
              </w:rPr>
              <w:t>Withdrawal</w:t>
            </w:r>
            <w:r w:rsidR="009D6BC2">
              <w:rPr>
                <w:rFonts w:eastAsia="MS Mincho" w:cstheme="minorHAnsi"/>
              </w:rPr>
              <w:t xml:space="preserve"> </w:t>
            </w:r>
            <w:r w:rsidR="008943AF" w:rsidRPr="00017AE6">
              <w:rPr>
                <w:rFonts w:eastAsia="MS Mincho" w:cstheme="minorHAnsi"/>
              </w:rPr>
              <w:t>Scale), health-related quality of life (SF-12), body mass index, and adverse events</w:t>
            </w: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lastRenderedPageBreak/>
              <w:t xml:space="preserve">Gonzales </w:t>
            </w:r>
            <w:r w:rsidR="00F143BB">
              <w:rPr>
                <w:rFonts w:eastAsia="MS Mincho" w:cstheme="minorHAnsi"/>
              </w:rPr>
              <w:t>(</w:t>
            </w:r>
            <w:r w:rsidRPr="00017AE6">
              <w:rPr>
                <w:rFonts w:eastAsia="MS Mincho" w:cstheme="minorHAnsi"/>
              </w:rPr>
              <w:t>2006</w:t>
            </w:r>
            <w:r w:rsidR="00F143BB">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A413C3" w:rsidP="00A71365">
            <w:pPr>
              <w:pStyle w:val="Tablewriting"/>
              <w:rPr>
                <w:rFonts w:eastAsia="MS Mincho" w:cstheme="minorHAnsi"/>
              </w:rPr>
            </w:pPr>
            <w:r w:rsidRPr="00017AE6">
              <w:rPr>
                <w:rFonts w:eastAsia="MS Mincho" w:cstheme="minorHAnsi"/>
              </w:rPr>
              <w:t>USA</w:t>
            </w:r>
          </w:p>
        </w:tc>
        <w:tc>
          <w:tcPr>
            <w:tcW w:w="675" w:type="pct"/>
          </w:tcPr>
          <w:p w:rsidR="00C25F5E" w:rsidRPr="00017AE6" w:rsidRDefault="00C25F5E" w:rsidP="00A71365">
            <w:pPr>
              <w:pStyle w:val="Tablewriting"/>
              <w:rPr>
                <w:rFonts w:eastAsia="MS Mincho" w:cstheme="minorHAnsi"/>
              </w:rPr>
            </w:pPr>
            <w:r w:rsidRPr="00017AE6">
              <w:rPr>
                <w:rFonts w:eastAsia="MS Mincho" w:cstheme="minorHAnsi"/>
              </w:rPr>
              <w:t>N=</w:t>
            </w:r>
            <w:r w:rsidR="00A413C3" w:rsidRPr="00017AE6">
              <w:rPr>
                <w:rFonts w:eastAsia="MS Mincho" w:cstheme="minorHAnsi"/>
              </w:rPr>
              <w:t>1025</w:t>
            </w:r>
            <w:r w:rsidR="00A526BC">
              <w:rPr>
                <w:rFonts w:eastAsia="MS Mincho" w:cstheme="minorHAnsi"/>
              </w:rPr>
              <w:t xml:space="preserve">; </w:t>
            </w:r>
            <w:r w:rsidR="00230FBF">
              <w:rPr>
                <w:rFonts w:eastAsia="MS Mincho" w:cstheme="minorHAnsi"/>
              </w:rPr>
              <w:t>n=</w:t>
            </w:r>
            <w:r w:rsidR="00230FBF" w:rsidRPr="00017AE6">
              <w:rPr>
                <w:rFonts w:eastAsia="MS Mincho" w:cstheme="minorHAnsi"/>
              </w:rPr>
              <w:t>352</w:t>
            </w:r>
            <w:r w:rsidR="00230FBF">
              <w:rPr>
                <w:rFonts w:eastAsia="MS Mincho" w:cstheme="minorHAnsi"/>
              </w:rPr>
              <w:t xml:space="preserve"> (</w:t>
            </w:r>
            <w:r w:rsidR="00A526BC" w:rsidRPr="00017AE6">
              <w:rPr>
                <w:rFonts w:eastAsia="MS Mincho" w:cstheme="minorHAnsi"/>
              </w:rPr>
              <w:t>varenicline),</w:t>
            </w:r>
            <w:r w:rsidR="00614EDE">
              <w:rPr>
                <w:rFonts w:eastAsia="MS Mincho" w:cstheme="minorHAnsi"/>
              </w:rPr>
              <w:t xml:space="preserve"> n=</w:t>
            </w:r>
            <w:r w:rsidR="00230FBF" w:rsidRPr="00017AE6">
              <w:rPr>
                <w:rFonts w:eastAsia="MS Mincho" w:cstheme="minorHAnsi"/>
              </w:rPr>
              <w:t>329</w:t>
            </w:r>
            <w:r w:rsidR="00614EDE">
              <w:rPr>
                <w:rFonts w:eastAsia="MS Mincho" w:cstheme="minorHAnsi"/>
              </w:rPr>
              <w:t xml:space="preserve"> (</w:t>
            </w:r>
            <w:r w:rsidR="00A526BC" w:rsidRPr="00017AE6">
              <w:rPr>
                <w:rFonts w:eastAsia="MS Mincho" w:cstheme="minorHAnsi"/>
              </w:rPr>
              <w:t>bupropion</w:t>
            </w:r>
            <w:r w:rsidR="00614EDE">
              <w:rPr>
                <w:rFonts w:eastAsia="MS Mincho" w:cstheme="minorHAnsi"/>
              </w:rPr>
              <w:t>,</w:t>
            </w:r>
            <w:r w:rsidR="00A526BC" w:rsidRPr="00017AE6">
              <w:rPr>
                <w:rFonts w:eastAsia="MS Mincho" w:cstheme="minorHAnsi"/>
              </w:rPr>
              <w:t xml:space="preserve"> </w:t>
            </w:r>
            <w:r w:rsidR="00614EDE">
              <w:rPr>
                <w:rFonts w:eastAsia="MS Mincho" w:cstheme="minorHAnsi"/>
              </w:rPr>
              <w:t>n=</w:t>
            </w:r>
            <w:r w:rsidR="00BE3226" w:rsidRPr="00017AE6">
              <w:rPr>
                <w:rFonts w:eastAsia="MS Mincho" w:cstheme="minorHAnsi"/>
              </w:rPr>
              <w:t>344</w:t>
            </w:r>
            <w:r w:rsidR="00A526BC" w:rsidRPr="00017AE6">
              <w:rPr>
                <w:rFonts w:eastAsia="MS Mincho" w:cstheme="minorHAnsi"/>
              </w:rPr>
              <w:t xml:space="preserve"> </w:t>
            </w:r>
            <w:r w:rsidR="00BE3226">
              <w:rPr>
                <w:rFonts w:eastAsia="MS Mincho" w:cstheme="minorHAnsi"/>
              </w:rPr>
              <w:t>(</w:t>
            </w:r>
            <w:r w:rsidR="00A526BC" w:rsidRPr="00017AE6">
              <w:rPr>
                <w:rFonts w:eastAsia="MS Mincho" w:cstheme="minorHAnsi"/>
              </w:rPr>
              <w:t>placebo).</w:t>
            </w:r>
          </w:p>
        </w:tc>
        <w:tc>
          <w:tcPr>
            <w:tcW w:w="853" w:type="pct"/>
          </w:tcPr>
          <w:p w:rsidR="00A413C3" w:rsidRPr="00017AE6" w:rsidRDefault="008C25BC" w:rsidP="00A71365">
            <w:pPr>
              <w:pStyle w:val="Tablewriting"/>
              <w:rPr>
                <w:rFonts w:eastAsia="MS Mincho" w:cstheme="minorHAnsi"/>
              </w:rPr>
            </w:pPr>
            <w:r>
              <w:rPr>
                <w:rFonts w:eastAsia="MS Mincho" w:cstheme="minorHAnsi"/>
              </w:rPr>
              <w:t>H</w:t>
            </w:r>
            <w:r w:rsidRPr="00017AE6">
              <w:rPr>
                <w:rFonts w:eastAsia="MS Mincho" w:cstheme="minorHAnsi"/>
              </w:rPr>
              <w:t>ealthy adult volunteers</w:t>
            </w:r>
            <w:r w:rsidR="00A526BC">
              <w:rPr>
                <w:rFonts w:eastAsia="MS Mincho" w:cstheme="minorHAnsi"/>
              </w:rPr>
              <w:t>;</w:t>
            </w:r>
            <w:r w:rsidR="00A413C3" w:rsidRPr="00017AE6">
              <w:rPr>
                <w:rFonts w:eastAsia="MS Mincho" w:cstheme="minorHAnsi"/>
              </w:rPr>
              <w:t xml:space="preserve"> 54% men, 79% white, mean age 42.4, mean CPD 21, mean FTND score</w:t>
            </w:r>
          </w:p>
          <w:p w:rsidR="00A526BC" w:rsidRDefault="00A413C3" w:rsidP="00A71365">
            <w:pPr>
              <w:pStyle w:val="Tablewriting"/>
              <w:rPr>
                <w:rFonts w:eastAsia="MS Mincho" w:cstheme="minorHAnsi"/>
              </w:rPr>
            </w:pPr>
            <w:r w:rsidRPr="00017AE6">
              <w:rPr>
                <w:rFonts w:eastAsia="MS Mincho" w:cstheme="minorHAnsi"/>
              </w:rPr>
              <w:t xml:space="preserve">5.3. </w:t>
            </w:r>
          </w:p>
          <w:p w:rsidR="00793548" w:rsidRDefault="00793548" w:rsidP="00A71365">
            <w:pPr>
              <w:pStyle w:val="Tablewriting"/>
              <w:rPr>
                <w:rFonts w:eastAsia="MS Mincho" w:cstheme="minorHAnsi"/>
              </w:rPr>
            </w:pPr>
          </w:p>
          <w:p w:rsidR="00A413C3" w:rsidRPr="00017AE6" w:rsidRDefault="00A413C3" w:rsidP="00A71365">
            <w:pPr>
              <w:pStyle w:val="Tablewriting"/>
              <w:rPr>
                <w:rFonts w:eastAsia="MS Mincho" w:cstheme="minorHAnsi"/>
              </w:rPr>
            </w:pPr>
            <w:r w:rsidRPr="00017AE6">
              <w:rPr>
                <w:rFonts w:eastAsia="MS Mincho" w:cstheme="minorHAnsi"/>
              </w:rPr>
              <w:t>No significant differences between groups at baseline</w:t>
            </w:r>
          </w:p>
          <w:p w:rsidR="00793548" w:rsidRDefault="00793548" w:rsidP="00A71365">
            <w:pPr>
              <w:pStyle w:val="Tablewriting"/>
              <w:rPr>
                <w:rFonts w:eastAsia="MS Mincho" w:cstheme="minorHAnsi"/>
              </w:rPr>
            </w:pPr>
          </w:p>
          <w:p w:rsidR="00A413C3" w:rsidRPr="00017AE6" w:rsidRDefault="00A413C3" w:rsidP="00A71365">
            <w:pPr>
              <w:pStyle w:val="Tablewriting"/>
              <w:rPr>
                <w:rFonts w:eastAsia="MS Mincho" w:cstheme="minorHAnsi"/>
              </w:rPr>
            </w:pPr>
            <w:r w:rsidRPr="00793548">
              <w:rPr>
                <w:rFonts w:eastAsia="MS Mincho" w:cstheme="minorHAnsi"/>
                <w:u w:val="single"/>
              </w:rPr>
              <w:t>Exclusion criteria:</w:t>
            </w:r>
            <w:r w:rsidRPr="00017AE6">
              <w:rPr>
                <w:rFonts w:eastAsia="MS Mincho" w:cstheme="minorHAnsi"/>
              </w:rPr>
              <w:t xml:space="preserve"> Standard pharmacotherapy trial criteria, + use of tobacco products other than cigarettes;</w:t>
            </w:r>
          </w:p>
          <w:p w:rsidR="00A413C3" w:rsidRPr="00017AE6" w:rsidRDefault="00A413C3" w:rsidP="00A71365">
            <w:pPr>
              <w:pStyle w:val="Tablewriting"/>
              <w:rPr>
                <w:rFonts w:eastAsia="MS Mincho" w:cstheme="minorHAnsi"/>
              </w:rPr>
            </w:pPr>
            <w:r w:rsidRPr="00017AE6">
              <w:rPr>
                <w:rFonts w:eastAsia="MS Mincho" w:cstheme="minorHAnsi"/>
              </w:rPr>
              <w:lastRenderedPageBreak/>
              <w:t>use of NRT, clonidine, nortriptyline within last month; BMI &lt; 15 or &gt; 38 or weight &lt; 45.5 kg; any</w:t>
            </w:r>
          </w:p>
          <w:p w:rsidR="00C25F5E" w:rsidRPr="00017AE6" w:rsidRDefault="00A413C3" w:rsidP="00A71365">
            <w:pPr>
              <w:pStyle w:val="Tablewriting"/>
              <w:rPr>
                <w:rFonts w:eastAsia="MS Mincho" w:cstheme="minorHAnsi"/>
              </w:rPr>
            </w:pPr>
            <w:r w:rsidRPr="00017AE6">
              <w:rPr>
                <w:rFonts w:eastAsia="MS Mincho" w:cstheme="minorHAnsi"/>
              </w:rPr>
              <w:t>prior use of bupropion or varenicline</w:t>
            </w:r>
            <w:r w:rsidR="00BA2D33">
              <w:rPr>
                <w:rFonts w:eastAsia="MS Mincho" w:cstheme="minorHAnsi"/>
              </w:rPr>
              <w:t xml:space="preserve">. </w:t>
            </w:r>
          </w:p>
        </w:tc>
        <w:tc>
          <w:tcPr>
            <w:tcW w:w="1055" w:type="pct"/>
          </w:tcPr>
          <w:p w:rsidR="00A413C3" w:rsidRPr="00017AE6" w:rsidRDefault="00A413C3" w:rsidP="00C324F3">
            <w:pPr>
              <w:pStyle w:val="Tablewriting"/>
              <w:numPr>
                <w:ilvl w:val="0"/>
                <w:numId w:val="68"/>
              </w:numPr>
              <w:rPr>
                <w:rFonts w:eastAsia="MS Mincho" w:cstheme="minorHAnsi"/>
              </w:rPr>
            </w:pPr>
            <w:r w:rsidRPr="00017AE6">
              <w:rPr>
                <w:rFonts w:eastAsia="MS Mincho" w:cstheme="minorHAnsi"/>
              </w:rPr>
              <w:lastRenderedPageBreak/>
              <w:t>Varenicline 1 mg x 2/day</w:t>
            </w:r>
          </w:p>
          <w:p w:rsidR="00A413C3" w:rsidRPr="00017AE6" w:rsidRDefault="00A413C3" w:rsidP="00C324F3">
            <w:pPr>
              <w:pStyle w:val="Tablewriting"/>
              <w:numPr>
                <w:ilvl w:val="0"/>
                <w:numId w:val="68"/>
              </w:numPr>
              <w:rPr>
                <w:rFonts w:eastAsia="MS Mincho" w:cstheme="minorHAnsi"/>
              </w:rPr>
            </w:pPr>
            <w:r w:rsidRPr="00017AE6">
              <w:rPr>
                <w:rFonts w:eastAsia="MS Mincho" w:cstheme="minorHAnsi"/>
              </w:rPr>
              <w:t>Bupropion 150 mg x 2/day</w:t>
            </w:r>
          </w:p>
          <w:p w:rsidR="00A413C3" w:rsidRPr="00017AE6" w:rsidRDefault="00A413C3" w:rsidP="00C324F3">
            <w:pPr>
              <w:pStyle w:val="Tablewriting"/>
              <w:numPr>
                <w:ilvl w:val="0"/>
                <w:numId w:val="68"/>
              </w:numPr>
              <w:rPr>
                <w:rFonts w:eastAsia="MS Mincho" w:cstheme="minorHAnsi"/>
              </w:rPr>
            </w:pPr>
            <w:r w:rsidRPr="00017AE6">
              <w:rPr>
                <w:rFonts w:eastAsia="MS Mincho" w:cstheme="minorHAnsi"/>
              </w:rPr>
              <w:t>Placebo inactive tablets, same regimen</w:t>
            </w:r>
          </w:p>
          <w:p w:rsidR="005C2651" w:rsidRDefault="005C2651" w:rsidP="00A71365">
            <w:pPr>
              <w:pStyle w:val="Tablewriting"/>
              <w:rPr>
                <w:rFonts w:eastAsia="MS Mincho" w:cstheme="minorHAnsi"/>
              </w:rPr>
            </w:pPr>
          </w:p>
          <w:p w:rsidR="005C2651" w:rsidRDefault="00A413C3" w:rsidP="00A71365">
            <w:pPr>
              <w:pStyle w:val="Tablewriting"/>
              <w:rPr>
                <w:rFonts w:eastAsia="MS Mincho" w:cstheme="minorHAnsi"/>
              </w:rPr>
            </w:pPr>
            <w:r w:rsidRPr="00017AE6">
              <w:rPr>
                <w:rFonts w:eastAsia="MS Mincho" w:cstheme="minorHAnsi"/>
              </w:rPr>
              <w:t xml:space="preserve">Treatment period was 12 wks. </w:t>
            </w:r>
          </w:p>
          <w:p w:rsidR="005C2651" w:rsidRDefault="005C2651" w:rsidP="00A71365">
            <w:pPr>
              <w:pStyle w:val="Tablewriting"/>
              <w:rPr>
                <w:rFonts w:eastAsia="MS Mincho" w:cstheme="minorHAnsi"/>
              </w:rPr>
            </w:pPr>
          </w:p>
          <w:p w:rsidR="00A413C3" w:rsidRPr="00017AE6" w:rsidRDefault="005C2651"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A413C3" w:rsidRPr="00017AE6">
              <w:rPr>
                <w:rFonts w:eastAsia="MS Mincho" w:cstheme="minorHAnsi"/>
              </w:rPr>
              <w:t>All participants received Clearing the Air self-help booklet at baseline,</w:t>
            </w:r>
            <w:r>
              <w:rPr>
                <w:rFonts w:eastAsia="MS Mincho" w:cstheme="minorHAnsi"/>
              </w:rPr>
              <w:t xml:space="preserve"> </w:t>
            </w:r>
            <w:r w:rsidR="00A413C3" w:rsidRPr="00017AE6">
              <w:rPr>
                <w:rFonts w:eastAsia="MS Mincho" w:cstheme="minorHAnsi"/>
              </w:rPr>
              <w:t>and brief counselling (</w:t>
            </w:r>
            <w:r w:rsidR="00611F33" w:rsidRPr="00611F33">
              <w:rPr>
                <w:rFonts w:eastAsia="MS Mincho" w:cstheme="minorHAnsi"/>
              </w:rPr>
              <w:t>≤</w:t>
            </w:r>
            <w:r w:rsidR="00A413C3" w:rsidRPr="00017AE6">
              <w:rPr>
                <w:rFonts w:eastAsia="MS Mincho" w:cstheme="minorHAnsi"/>
              </w:rPr>
              <w:t xml:space="preserve"> 10 mins) at each clinic visit. Weekly visits throughout treatment phase, plus a</w:t>
            </w:r>
            <w:r w:rsidR="002A56E8">
              <w:rPr>
                <w:rFonts w:eastAsia="MS Mincho" w:cstheme="minorHAnsi"/>
              </w:rPr>
              <w:t xml:space="preserve"> </w:t>
            </w:r>
            <w:r w:rsidR="00A413C3" w:rsidRPr="00017AE6">
              <w:rPr>
                <w:rFonts w:eastAsia="MS Mincho" w:cstheme="minorHAnsi"/>
              </w:rPr>
              <w:t>phone call 3 days post-TQD</w:t>
            </w:r>
          </w:p>
          <w:p w:rsidR="002A56E8" w:rsidRDefault="002A56E8" w:rsidP="00A71365">
            <w:pPr>
              <w:pStyle w:val="Tablewriting"/>
              <w:rPr>
                <w:rFonts w:eastAsia="MS Mincho" w:cstheme="minorHAnsi"/>
              </w:rPr>
            </w:pPr>
          </w:p>
          <w:p w:rsidR="00A413C3" w:rsidRPr="00017AE6" w:rsidRDefault="00A413C3" w:rsidP="00A71365">
            <w:pPr>
              <w:pStyle w:val="Tablewriting"/>
              <w:rPr>
                <w:rFonts w:eastAsia="MS Mincho" w:cstheme="minorHAnsi"/>
              </w:rPr>
            </w:pPr>
            <w:r w:rsidRPr="00017AE6">
              <w:rPr>
                <w:rFonts w:eastAsia="MS Mincho" w:cstheme="minorHAnsi"/>
              </w:rPr>
              <w:t>In follow-up phase, clinic visits at w</w:t>
            </w:r>
            <w:r w:rsidR="002A56E8">
              <w:rPr>
                <w:rFonts w:eastAsia="MS Mincho" w:cstheme="minorHAnsi"/>
              </w:rPr>
              <w:t>ee</w:t>
            </w:r>
            <w:r w:rsidRPr="00017AE6">
              <w:rPr>
                <w:rFonts w:eastAsia="MS Mincho" w:cstheme="minorHAnsi"/>
              </w:rPr>
              <w:t>ks 13, 24, 36, 44 and 52, plus brief phone calls at w</w:t>
            </w:r>
            <w:r w:rsidR="002A56E8">
              <w:rPr>
                <w:rFonts w:eastAsia="MS Mincho" w:cstheme="minorHAnsi"/>
              </w:rPr>
              <w:t>ee</w:t>
            </w:r>
            <w:r w:rsidRPr="00017AE6">
              <w:rPr>
                <w:rFonts w:eastAsia="MS Mincho" w:cstheme="minorHAnsi"/>
              </w:rPr>
              <w:t>ks 16, 20, 28, 32,</w:t>
            </w:r>
          </w:p>
          <w:p w:rsidR="00C25F5E" w:rsidRPr="00017AE6" w:rsidRDefault="00A413C3" w:rsidP="00A71365">
            <w:pPr>
              <w:pStyle w:val="Tablewriting"/>
              <w:rPr>
                <w:rFonts w:eastAsia="MS Mincho" w:cstheme="minorHAnsi"/>
              </w:rPr>
            </w:pPr>
            <w:r w:rsidRPr="00017AE6">
              <w:rPr>
                <w:rFonts w:eastAsia="MS Mincho" w:cstheme="minorHAnsi"/>
              </w:rPr>
              <w:t>40 and 48</w:t>
            </w:r>
            <w:r w:rsidR="002A56E8">
              <w:rPr>
                <w:rFonts w:eastAsia="MS Mincho" w:cstheme="minorHAnsi"/>
              </w:rPr>
              <w:t>.</w:t>
            </w:r>
          </w:p>
        </w:tc>
        <w:tc>
          <w:tcPr>
            <w:tcW w:w="960" w:type="pct"/>
          </w:tcPr>
          <w:p w:rsidR="00487F2C" w:rsidRDefault="00487F2C" w:rsidP="00A71365">
            <w:pPr>
              <w:pStyle w:val="Tablewriting"/>
              <w:rPr>
                <w:rFonts w:eastAsia="MS Mincho" w:cstheme="minorHAnsi"/>
              </w:rPr>
            </w:pPr>
            <w:r w:rsidRPr="00487F2C">
              <w:rPr>
                <w:rFonts w:eastAsia="MS Mincho" w:cstheme="minorHAnsi"/>
                <w:u w:val="single"/>
              </w:rPr>
              <w:lastRenderedPageBreak/>
              <w:t>Efficacy:</w:t>
            </w:r>
            <w:r>
              <w:rPr>
                <w:rFonts w:eastAsia="MS Mincho" w:cstheme="minorHAnsi"/>
              </w:rPr>
              <w:t xml:space="preserve"> </w:t>
            </w:r>
          </w:p>
          <w:p w:rsidR="00926BEF" w:rsidRPr="00017AE6" w:rsidRDefault="00926BEF" w:rsidP="00A71365">
            <w:pPr>
              <w:pStyle w:val="Tablewriting"/>
              <w:rPr>
                <w:rFonts w:eastAsia="MS Mincho" w:cstheme="minorHAnsi"/>
              </w:rPr>
            </w:pPr>
            <w:r w:rsidRPr="00017AE6">
              <w:rPr>
                <w:rFonts w:eastAsia="MS Mincho" w:cstheme="minorHAnsi"/>
              </w:rPr>
              <w:t>Primary outcome: CO-validated CAR at 9 - 12 w</w:t>
            </w:r>
            <w:r w:rsidR="00487F2C">
              <w:rPr>
                <w:rFonts w:eastAsia="MS Mincho" w:cstheme="minorHAnsi"/>
              </w:rPr>
              <w:t>ee</w:t>
            </w:r>
            <w:r w:rsidRPr="00017AE6">
              <w:rPr>
                <w:rFonts w:eastAsia="MS Mincho" w:cstheme="minorHAnsi"/>
              </w:rPr>
              <w:t>ks</w:t>
            </w:r>
            <w:r w:rsidR="00487F2C">
              <w:rPr>
                <w:rFonts w:eastAsia="MS Mincho" w:cstheme="minorHAnsi"/>
              </w:rPr>
              <w:t>;</w:t>
            </w:r>
          </w:p>
          <w:p w:rsidR="00926BEF" w:rsidRPr="00017AE6" w:rsidRDefault="00926BEF" w:rsidP="00A71365">
            <w:pPr>
              <w:pStyle w:val="Tablewriting"/>
              <w:rPr>
                <w:rFonts w:eastAsia="MS Mincho" w:cstheme="minorHAnsi"/>
              </w:rPr>
            </w:pPr>
            <w:r w:rsidRPr="00017AE6">
              <w:rPr>
                <w:rFonts w:eastAsia="MS Mincho" w:cstheme="minorHAnsi"/>
              </w:rPr>
              <w:t>Secondary outcomes: CO-validated CAR at 9 - 24 w</w:t>
            </w:r>
            <w:r w:rsidR="009E23D7">
              <w:rPr>
                <w:rFonts w:eastAsia="MS Mincho" w:cstheme="minorHAnsi"/>
              </w:rPr>
              <w:t>ee</w:t>
            </w:r>
            <w:r w:rsidRPr="00017AE6">
              <w:rPr>
                <w:rFonts w:eastAsia="MS Mincho" w:cstheme="minorHAnsi"/>
              </w:rPr>
              <w:t>ks and 9 - 52 weeks; 7-day PPA at w</w:t>
            </w:r>
            <w:r w:rsidR="009E23D7">
              <w:rPr>
                <w:rFonts w:eastAsia="MS Mincho" w:cstheme="minorHAnsi"/>
              </w:rPr>
              <w:t>ee</w:t>
            </w:r>
            <w:r w:rsidRPr="00017AE6">
              <w:rPr>
                <w:rFonts w:eastAsia="MS Mincho" w:cstheme="minorHAnsi"/>
              </w:rPr>
              <w:t>ks 12, 24 and 52</w:t>
            </w:r>
            <w:r w:rsidR="009E23D7">
              <w:rPr>
                <w:rFonts w:eastAsia="MS Mincho" w:cstheme="minorHAnsi"/>
              </w:rPr>
              <w:t>.</w:t>
            </w:r>
          </w:p>
          <w:p w:rsidR="0008302C" w:rsidRPr="00017AE6" w:rsidRDefault="009E23D7" w:rsidP="00A71365">
            <w:pPr>
              <w:pStyle w:val="Tablewriting"/>
              <w:rPr>
                <w:rFonts w:eastAsia="MS Mincho" w:cstheme="minorHAnsi"/>
              </w:rPr>
            </w:pPr>
            <w:r w:rsidRPr="009E23D7">
              <w:rPr>
                <w:rFonts w:eastAsia="MS Mincho" w:cstheme="minorHAnsi"/>
                <w:u w:val="single"/>
              </w:rPr>
              <w:t xml:space="preserve">Safety: </w:t>
            </w:r>
            <w:r w:rsidR="0008302C" w:rsidRPr="00017AE6">
              <w:rPr>
                <w:rFonts w:eastAsia="MS Mincho" w:cstheme="minorHAnsi"/>
              </w:rPr>
              <w:t>adverse</w:t>
            </w:r>
            <w:r w:rsidR="0008302C">
              <w:rPr>
                <w:rFonts w:eastAsia="MS Mincho" w:cstheme="minorHAnsi"/>
              </w:rPr>
              <w:t xml:space="preserve"> </w:t>
            </w:r>
            <w:r w:rsidR="0008302C" w:rsidRPr="00017AE6">
              <w:rPr>
                <w:rFonts w:eastAsia="MS Mincho" w:cstheme="minorHAnsi"/>
              </w:rPr>
              <w:t>events</w:t>
            </w:r>
            <w:r w:rsidR="0008302C">
              <w:rPr>
                <w:rFonts w:eastAsia="MS Mincho" w:cstheme="minorHAnsi"/>
              </w:rPr>
              <w:t>.</w:t>
            </w:r>
          </w:p>
          <w:p w:rsidR="009E23D7" w:rsidRPr="009E23D7" w:rsidRDefault="009E23D7" w:rsidP="00A71365">
            <w:pPr>
              <w:pStyle w:val="Tablewriting"/>
              <w:rPr>
                <w:rFonts w:eastAsia="MS Mincho" w:cstheme="minorHAnsi"/>
                <w:u w:val="single"/>
              </w:rPr>
            </w:pPr>
          </w:p>
          <w:p w:rsidR="00926BEF" w:rsidRPr="00017AE6" w:rsidRDefault="00926BEF" w:rsidP="00A71365">
            <w:pPr>
              <w:pStyle w:val="Tablewriting"/>
              <w:rPr>
                <w:rFonts w:eastAsia="MS Mincho" w:cstheme="minorHAnsi"/>
              </w:rPr>
            </w:pPr>
            <w:r w:rsidRPr="0008302C">
              <w:rPr>
                <w:rFonts w:eastAsia="MS Mincho" w:cstheme="minorHAnsi"/>
                <w:u w:val="single"/>
              </w:rPr>
              <w:t>Other</w:t>
            </w:r>
            <w:r w:rsidRPr="00017AE6">
              <w:rPr>
                <w:rFonts w:eastAsia="MS Mincho" w:cstheme="minorHAnsi"/>
              </w:rPr>
              <w:t xml:space="preserve">: Weight change, withdrawal symptoms (using MNWS, QSU-brief and mCEQ), </w:t>
            </w:r>
          </w:p>
          <w:p w:rsidR="0008302C" w:rsidRDefault="0008302C" w:rsidP="00A71365">
            <w:pPr>
              <w:pStyle w:val="Tablewriting"/>
              <w:rPr>
                <w:rFonts w:eastAsia="MS Mincho" w:cstheme="minorHAnsi"/>
              </w:rPr>
            </w:pPr>
          </w:p>
          <w:p w:rsidR="00C25F5E" w:rsidRPr="00017AE6" w:rsidRDefault="00926BEF" w:rsidP="00A71365">
            <w:pPr>
              <w:pStyle w:val="Tablewriting"/>
              <w:rPr>
                <w:rFonts w:eastAsia="MS Mincho" w:cstheme="minorHAnsi"/>
              </w:rPr>
            </w:pPr>
            <w:r w:rsidRPr="00017AE6">
              <w:rPr>
                <w:rFonts w:eastAsia="MS Mincho" w:cstheme="minorHAnsi"/>
              </w:rPr>
              <w:lastRenderedPageBreak/>
              <w:t xml:space="preserve">Validation was by expired CO </w:t>
            </w:r>
            <w:r w:rsidR="00296216" w:rsidRPr="00611F33">
              <w:rPr>
                <w:rFonts w:eastAsia="MS Mincho" w:cstheme="minorHAnsi"/>
              </w:rPr>
              <w:t>≤</w:t>
            </w:r>
            <w:r w:rsidRPr="00017AE6">
              <w:rPr>
                <w:rFonts w:eastAsia="MS Mincho" w:cstheme="minorHAnsi"/>
              </w:rPr>
              <w:t xml:space="preserve"> 10 ppm</w:t>
            </w:r>
            <w:r w:rsidR="00534EFB">
              <w:rPr>
                <w:rFonts w:eastAsia="MS Mincho" w:cstheme="minorHAnsi"/>
              </w:rPr>
              <w:t>.</w:t>
            </w: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lastRenderedPageBreak/>
              <w:t xml:space="preserve">Gonzales </w:t>
            </w:r>
            <w:r w:rsidR="00F143BB">
              <w:rPr>
                <w:rFonts w:eastAsia="MS Mincho" w:cstheme="minorHAnsi"/>
              </w:rPr>
              <w:t>(</w:t>
            </w:r>
            <w:r w:rsidRPr="00017AE6">
              <w:rPr>
                <w:rFonts w:eastAsia="MS Mincho" w:cstheme="minorHAnsi"/>
              </w:rPr>
              <w:t>2014</w:t>
            </w:r>
            <w:r w:rsidR="00F143BB">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510E42" w:rsidRPr="00017AE6" w:rsidRDefault="00510E42" w:rsidP="00A71365">
            <w:pPr>
              <w:pStyle w:val="Tablewriting"/>
              <w:rPr>
                <w:rFonts w:eastAsia="MS Mincho" w:cstheme="minorHAnsi"/>
              </w:rPr>
            </w:pPr>
            <w:r w:rsidRPr="00017AE6">
              <w:rPr>
                <w:rFonts w:eastAsia="MS Mincho" w:cstheme="minorHAnsi"/>
              </w:rPr>
              <w:t>37 centres in 8 countries: USA (8), Australia (4), Belgium (4), Canada (4), Czech Republic (4),</w:t>
            </w:r>
          </w:p>
          <w:p w:rsidR="00C25F5E" w:rsidRPr="00017AE6" w:rsidRDefault="00510E42" w:rsidP="00A71365">
            <w:pPr>
              <w:pStyle w:val="Tablewriting"/>
              <w:rPr>
                <w:rFonts w:eastAsia="MS Mincho" w:cstheme="minorHAnsi"/>
              </w:rPr>
            </w:pPr>
            <w:r w:rsidRPr="00017AE6">
              <w:rPr>
                <w:rFonts w:eastAsia="MS Mincho" w:cstheme="minorHAnsi"/>
              </w:rPr>
              <w:t>France (3), Germany (5), UK (5)</w:t>
            </w:r>
          </w:p>
        </w:tc>
        <w:tc>
          <w:tcPr>
            <w:tcW w:w="675" w:type="pct"/>
          </w:tcPr>
          <w:p w:rsidR="00C25F5E" w:rsidRPr="00017AE6" w:rsidRDefault="00C25F5E" w:rsidP="00A71365">
            <w:pPr>
              <w:pStyle w:val="Tablewriting"/>
              <w:rPr>
                <w:rFonts w:eastAsia="MS Mincho" w:cstheme="minorHAnsi"/>
              </w:rPr>
            </w:pPr>
            <w:r w:rsidRPr="00017AE6">
              <w:rPr>
                <w:rFonts w:eastAsia="MS Mincho" w:cstheme="minorHAnsi"/>
              </w:rPr>
              <w:t>N=</w:t>
            </w:r>
            <w:r w:rsidR="00510E42" w:rsidRPr="00017AE6">
              <w:rPr>
                <w:rFonts w:eastAsia="MS Mincho" w:cstheme="minorHAnsi"/>
              </w:rPr>
              <w:t>498</w:t>
            </w:r>
            <w:r w:rsidR="00246377">
              <w:rPr>
                <w:rFonts w:eastAsia="MS Mincho" w:cstheme="minorHAnsi"/>
              </w:rPr>
              <w:t xml:space="preserve">; </w:t>
            </w:r>
            <w:r w:rsidR="00E31A6E">
              <w:rPr>
                <w:rFonts w:eastAsia="MS Mincho" w:cstheme="minorHAnsi"/>
              </w:rPr>
              <w:t>n=</w:t>
            </w:r>
            <w:r w:rsidR="000564F4">
              <w:rPr>
                <w:rFonts w:eastAsia="MS Mincho" w:cstheme="minorHAnsi"/>
              </w:rPr>
              <w:t>251 (</w:t>
            </w:r>
            <w:r w:rsidR="00246377" w:rsidRPr="00017AE6">
              <w:rPr>
                <w:rFonts w:eastAsia="MS Mincho" w:cstheme="minorHAnsi"/>
              </w:rPr>
              <w:t>varenicline</w:t>
            </w:r>
            <w:r w:rsidR="000564F4">
              <w:rPr>
                <w:rFonts w:eastAsia="MS Mincho" w:cstheme="minorHAnsi"/>
              </w:rPr>
              <w:t>)</w:t>
            </w:r>
            <w:r w:rsidR="00246377" w:rsidRPr="00017AE6">
              <w:rPr>
                <w:rFonts w:eastAsia="MS Mincho" w:cstheme="minorHAnsi"/>
              </w:rPr>
              <w:t xml:space="preserve">, </w:t>
            </w:r>
            <w:r w:rsidR="000564F4">
              <w:rPr>
                <w:rFonts w:eastAsia="MS Mincho" w:cstheme="minorHAnsi"/>
              </w:rPr>
              <w:t>n=247 (</w:t>
            </w:r>
            <w:r w:rsidR="00246377" w:rsidRPr="00017AE6">
              <w:rPr>
                <w:rFonts w:eastAsia="MS Mincho" w:cstheme="minorHAnsi"/>
              </w:rPr>
              <w:t>placebo)</w:t>
            </w:r>
          </w:p>
        </w:tc>
        <w:tc>
          <w:tcPr>
            <w:tcW w:w="853" w:type="pct"/>
          </w:tcPr>
          <w:p w:rsidR="00E31A6E" w:rsidRDefault="00246377" w:rsidP="00A71365">
            <w:pPr>
              <w:pStyle w:val="Tablewriting"/>
              <w:rPr>
                <w:rFonts w:eastAsia="MS Mincho" w:cstheme="minorHAnsi"/>
              </w:rPr>
            </w:pPr>
            <w:r>
              <w:rPr>
                <w:rFonts w:eastAsia="MS Mincho" w:cstheme="minorHAnsi"/>
              </w:rPr>
              <w:t>A</w:t>
            </w:r>
            <w:r w:rsidR="00510E42" w:rsidRPr="00017AE6">
              <w:rPr>
                <w:rFonts w:eastAsia="MS Mincho" w:cstheme="minorHAnsi"/>
              </w:rPr>
              <w:t>dult smokers with previous use of 2+ w</w:t>
            </w:r>
            <w:r>
              <w:rPr>
                <w:rFonts w:eastAsia="MS Mincho" w:cstheme="minorHAnsi"/>
              </w:rPr>
              <w:t>ee</w:t>
            </w:r>
            <w:r w:rsidR="00510E42" w:rsidRPr="00017AE6">
              <w:rPr>
                <w:rFonts w:eastAsia="MS Mincho" w:cstheme="minorHAnsi"/>
              </w:rPr>
              <w:t>ks of varenicline at least 3</w:t>
            </w:r>
            <w:r w:rsidR="00E31A6E">
              <w:rPr>
                <w:rFonts w:eastAsia="MS Mincho" w:cstheme="minorHAnsi"/>
              </w:rPr>
              <w:t xml:space="preserve"> </w:t>
            </w:r>
            <w:r w:rsidR="00510E42" w:rsidRPr="00017AE6">
              <w:rPr>
                <w:rFonts w:eastAsia="MS Mincho" w:cstheme="minorHAnsi"/>
              </w:rPr>
              <w:t>m</w:t>
            </w:r>
            <w:r w:rsidR="00E31A6E">
              <w:rPr>
                <w:rFonts w:eastAsia="MS Mincho" w:cstheme="minorHAnsi"/>
              </w:rPr>
              <w:t xml:space="preserve">onths </w:t>
            </w:r>
            <w:r w:rsidR="00510E42" w:rsidRPr="00017AE6">
              <w:rPr>
                <w:rFonts w:eastAsia="MS Mincho" w:cstheme="minorHAnsi"/>
              </w:rPr>
              <w:t xml:space="preserve">prior to screening, aged 18+, CPD 10+, motivated to quit. </w:t>
            </w:r>
          </w:p>
          <w:p w:rsidR="00510E42" w:rsidRPr="00017AE6" w:rsidRDefault="00510E42" w:rsidP="00A71365">
            <w:pPr>
              <w:pStyle w:val="Tablewriting"/>
              <w:rPr>
                <w:rFonts w:eastAsia="MS Mincho" w:cstheme="minorHAnsi"/>
              </w:rPr>
            </w:pPr>
            <w:r w:rsidRPr="00017AE6">
              <w:rPr>
                <w:rFonts w:eastAsia="MS Mincho" w:cstheme="minorHAnsi"/>
              </w:rPr>
              <w:t>Mean age 47.5, 50.4% women, 93% white,</w:t>
            </w:r>
          </w:p>
          <w:p w:rsidR="00C25F5E" w:rsidRPr="00017AE6" w:rsidRDefault="00510E42" w:rsidP="00A71365">
            <w:pPr>
              <w:pStyle w:val="Tablewriting"/>
              <w:rPr>
                <w:rFonts w:eastAsia="MS Mincho" w:cstheme="minorHAnsi"/>
              </w:rPr>
            </w:pPr>
            <w:r w:rsidRPr="00017AE6">
              <w:rPr>
                <w:rFonts w:eastAsia="MS Mincho" w:cstheme="minorHAnsi"/>
              </w:rPr>
              <w:t>mean CPD 20.5, mean FTND 5.5</w:t>
            </w:r>
            <w:r w:rsidR="00E31A6E">
              <w:rPr>
                <w:rFonts w:eastAsia="MS Mincho" w:cstheme="minorHAnsi"/>
              </w:rPr>
              <w:t>.</w:t>
            </w:r>
          </w:p>
        </w:tc>
        <w:tc>
          <w:tcPr>
            <w:tcW w:w="1055" w:type="pct"/>
          </w:tcPr>
          <w:p w:rsidR="00510E42" w:rsidRPr="00017AE6" w:rsidRDefault="00510E42" w:rsidP="00C324F3">
            <w:pPr>
              <w:pStyle w:val="Tablewriting"/>
              <w:numPr>
                <w:ilvl w:val="0"/>
                <w:numId w:val="70"/>
              </w:numPr>
              <w:rPr>
                <w:rFonts w:eastAsia="MS Mincho" w:cstheme="minorHAnsi"/>
              </w:rPr>
            </w:pPr>
            <w:r w:rsidRPr="00017AE6">
              <w:rPr>
                <w:rFonts w:eastAsia="MS Mincho" w:cstheme="minorHAnsi"/>
              </w:rPr>
              <w:t>Varenicline 12 w</w:t>
            </w:r>
            <w:r w:rsidR="007D1835">
              <w:rPr>
                <w:rFonts w:eastAsia="MS Mincho" w:cstheme="minorHAnsi"/>
              </w:rPr>
              <w:t>ee</w:t>
            </w:r>
            <w:r w:rsidRPr="00017AE6">
              <w:rPr>
                <w:rFonts w:eastAsia="MS Mincho" w:cstheme="minorHAnsi"/>
              </w:rPr>
              <w:t>ks,</w:t>
            </w:r>
            <w:r w:rsidR="003E681D" w:rsidRPr="00017AE6">
              <w:rPr>
                <w:rFonts w:eastAsia="MS Mincho" w:cstheme="minorHAnsi"/>
              </w:rPr>
              <w:t xml:space="preserve"> </w:t>
            </w:r>
            <w:r w:rsidRPr="00017AE6">
              <w:rPr>
                <w:rFonts w:eastAsia="MS Mincho" w:cstheme="minorHAnsi"/>
              </w:rPr>
              <w:t>titrated in 1st w</w:t>
            </w:r>
            <w:r w:rsidR="007D1835">
              <w:rPr>
                <w:rFonts w:eastAsia="MS Mincho" w:cstheme="minorHAnsi"/>
              </w:rPr>
              <w:t>ee</w:t>
            </w:r>
            <w:r w:rsidRPr="00017AE6">
              <w:rPr>
                <w:rFonts w:eastAsia="MS Mincho" w:cstheme="minorHAnsi"/>
              </w:rPr>
              <w:t>k, 1 mg x 2/day</w:t>
            </w:r>
          </w:p>
          <w:p w:rsidR="00510E42" w:rsidRPr="00017AE6" w:rsidRDefault="00510E42" w:rsidP="00C324F3">
            <w:pPr>
              <w:pStyle w:val="Tablewriting"/>
              <w:numPr>
                <w:ilvl w:val="0"/>
                <w:numId w:val="70"/>
              </w:numPr>
              <w:rPr>
                <w:rFonts w:eastAsia="MS Mincho" w:cstheme="minorHAnsi"/>
              </w:rPr>
            </w:pPr>
            <w:r w:rsidRPr="00017AE6">
              <w:rPr>
                <w:rFonts w:eastAsia="MS Mincho" w:cstheme="minorHAnsi"/>
              </w:rPr>
              <w:t>Placebo, identical regimen</w:t>
            </w:r>
          </w:p>
          <w:p w:rsidR="002D620B" w:rsidRDefault="002D620B" w:rsidP="00A71365">
            <w:pPr>
              <w:pStyle w:val="Tablewriting"/>
              <w:rPr>
                <w:rFonts w:eastAsia="MS Mincho" w:cstheme="minorHAnsi"/>
                <w:u w:val="single"/>
              </w:rPr>
            </w:pPr>
          </w:p>
          <w:p w:rsidR="00C25F5E" w:rsidRPr="00017AE6" w:rsidRDefault="002D620B"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510E42" w:rsidRPr="00017AE6">
              <w:rPr>
                <w:rFonts w:eastAsia="MS Mincho" w:cstheme="minorHAnsi"/>
              </w:rPr>
              <w:t>Brief (&lt; 10 mins) counselling at each contact. TQD set for w</w:t>
            </w:r>
            <w:r>
              <w:rPr>
                <w:rFonts w:eastAsia="MS Mincho" w:cstheme="minorHAnsi"/>
              </w:rPr>
              <w:t>ee</w:t>
            </w:r>
            <w:r w:rsidR="00510E42" w:rsidRPr="00017AE6">
              <w:rPr>
                <w:rFonts w:eastAsia="MS Mincho" w:cstheme="minorHAnsi"/>
              </w:rPr>
              <w:t>k 1 visit. Clinic visits at w</w:t>
            </w:r>
            <w:r>
              <w:rPr>
                <w:rFonts w:eastAsia="MS Mincho" w:cstheme="minorHAnsi"/>
              </w:rPr>
              <w:t>ee</w:t>
            </w:r>
            <w:r w:rsidR="00510E42" w:rsidRPr="00017AE6">
              <w:rPr>
                <w:rFonts w:eastAsia="MS Mincho" w:cstheme="minorHAnsi"/>
              </w:rPr>
              <w:t>ks 1, 2, 3, 4, 6, 8, 9, 10, 11, 12; 13, 16, 24, 32, 40, 48, 52. Brief phone calls at w</w:t>
            </w:r>
            <w:r>
              <w:rPr>
                <w:rFonts w:eastAsia="MS Mincho" w:cstheme="minorHAnsi"/>
              </w:rPr>
              <w:t>ee</w:t>
            </w:r>
            <w:r w:rsidR="00510E42" w:rsidRPr="00017AE6">
              <w:rPr>
                <w:rFonts w:eastAsia="MS Mincho" w:cstheme="minorHAnsi"/>
              </w:rPr>
              <w:t xml:space="preserve">ks 5, 7, 14, 20, 36, </w:t>
            </w:r>
            <w:r w:rsidR="009E2A27" w:rsidRPr="00017AE6">
              <w:rPr>
                <w:rFonts w:eastAsia="MS Mincho" w:cstheme="minorHAnsi"/>
              </w:rPr>
              <w:t>and 44</w:t>
            </w:r>
            <w:r w:rsidR="00510E42" w:rsidRPr="00017AE6">
              <w:rPr>
                <w:rFonts w:eastAsia="MS Mincho" w:cstheme="minorHAnsi"/>
              </w:rPr>
              <w:t>. Dosage could be halved if intolerable</w:t>
            </w:r>
          </w:p>
        </w:tc>
        <w:tc>
          <w:tcPr>
            <w:tcW w:w="960" w:type="pct"/>
          </w:tcPr>
          <w:p w:rsidR="00DD4A03" w:rsidRDefault="00DD4A03" w:rsidP="00A71365">
            <w:pPr>
              <w:pStyle w:val="Tablewriting"/>
              <w:rPr>
                <w:rFonts w:eastAsia="MS Mincho" w:cstheme="minorHAnsi"/>
              </w:rPr>
            </w:pPr>
            <w:r w:rsidRPr="00DD4A03">
              <w:rPr>
                <w:rFonts w:eastAsia="MS Mincho" w:cstheme="minorHAnsi"/>
                <w:u w:val="single"/>
              </w:rPr>
              <w:t>Efficacy:</w:t>
            </w:r>
            <w:r>
              <w:rPr>
                <w:rFonts w:eastAsia="MS Mincho" w:cstheme="minorHAnsi"/>
              </w:rPr>
              <w:t xml:space="preserve"> </w:t>
            </w:r>
          </w:p>
          <w:p w:rsidR="003E681D" w:rsidRPr="00017AE6" w:rsidRDefault="003E681D" w:rsidP="00A71365">
            <w:pPr>
              <w:pStyle w:val="Tablewriting"/>
              <w:rPr>
                <w:rFonts w:eastAsia="MS Mincho" w:cstheme="minorHAnsi"/>
              </w:rPr>
            </w:pPr>
            <w:r w:rsidRPr="00017AE6">
              <w:rPr>
                <w:rFonts w:eastAsia="MS Mincho" w:cstheme="minorHAnsi"/>
              </w:rPr>
              <w:t>Primary: CAR at w</w:t>
            </w:r>
            <w:r w:rsidR="00DD4A03">
              <w:rPr>
                <w:rFonts w:eastAsia="MS Mincho" w:cstheme="minorHAnsi"/>
              </w:rPr>
              <w:t>ee</w:t>
            </w:r>
            <w:r w:rsidRPr="00017AE6">
              <w:rPr>
                <w:rFonts w:eastAsia="MS Mincho" w:cstheme="minorHAnsi"/>
              </w:rPr>
              <w:t xml:space="preserve">ks </w:t>
            </w:r>
            <w:r w:rsidR="00DD4A03">
              <w:rPr>
                <w:rFonts w:eastAsia="MS Mincho" w:cstheme="minorHAnsi"/>
              </w:rPr>
              <w:t>(</w:t>
            </w:r>
            <w:r w:rsidRPr="00017AE6">
              <w:rPr>
                <w:rFonts w:eastAsia="MS Mincho" w:cstheme="minorHAnsi"/>
              </w:rPr>
              <w:t xml:space="preserve">9 </w:t>
            </w:r>
            <w:r w:rsidR="00DD4A03">
              <w:rPr>
                <w:rFonts w:eastAsia="MS Mincho" w:cstheme="minorHAnsi"/>
              </w:rPr>
              <w:t>–</w:t>
            </w:r>
            <w:r w:rsidRPr="00017AE6">
              <w:rPr>
                <w:rFonts w:eastAsia="MS Mincho" w:cstheme="minorHAnsi"/>
              </w:rPr>
              <w:t xml:space="preserve"> 12</w:t>
            </w:r>
            <w:r w:rsidR="00DD4A03">
              <w:rPr>
                <w:rFonts w:eastAsia="MS Mincho" w:cstheme="minorHAnsi"/>
              </w:rPr>
              <w:t>)</w:t>
            </w:r>
            <w:r w:rsidRPr="00017AE6">
              <w:rPr>
                <w:rFonts w:eastAsia="MS Mincho" w:cstheme="minorHAnsi"/>
              </w:rPr>
              <w:t xml:space="preserve">, </w:t>
            </w:r>
            <w:r w:rsidR="00DD4A03">
              <w:rPr>
                <w:rFonts w:eastAsia="MS Mincho" w:cstheme="minorHAnsi"/>
              </w:rPr>
              <w:t>(</w:t>
            </w:r>
            <w:r w:rsidRPr="00017AE6">
              <w:rPr>
                <w:rFonts w:eastAsia="MS Mincho" w:cstheme="minorHAnsi"/>
              </w:rPr>
              <w:t xml:space="preserve">9 </w:t>
            </w:r>
            <w:r w:rsidR="00DD4A03">
              <w:rPr>
                <w:rFonts w:eastAsia="MS Mincho" w:cstheme="minorHAnsi"/>
              </w:rPr>
              <w:t>–</w:t>
            </w:r>
            <w:r w:rsidRPr="00017AE6">
              <w:rPr>
                <w:rFonts w:eastAsia="MS Mincho" w:cstheme="minorHAnsi"/>
              </w:rPr>
              <w:t xml:space="preserve"> 52</w:t>
            </w:r>
            <w:r w:rsidR="00DD4A03">
              <w:rPr>
                <w:rFonts w:eastAsia="MS Mincho" w:cstheme="minorHAnsi"/>
              </w:rPr>
              <w:t>)</w:t>
            </w:r>
            <w:r w:rsidR="00BD7D2A">
              <w:rPr>
                <w:rFonts w:eastAsia="MS Mincho" w:cstheme="minorHAnsi"/>
              </w:rPr>
              <w:t>;</w:t>
            </w:r>
          </w:p>
          <w:p w:rsidR="003E681D" w:rsidRPr="00017AE6" w:rsidRDefault="003E681D" w:rsidP="00A71365">
            <w:pPr>
              <w:pStyle w:val="Tablewriting"/>
              <w:rPr>
                <w:rFonts w:eastAsia="MS Mincho" w:cstheme="minorHAnsi"/>
              </w:rPr>
            </w:pPr>
            <w:r w:rsidRPr="00017AE6">
              <w:rPr>
                <w:rFonts w:eastAsia="MS Mincho" w:cstheme="minorHAnsi"/>
              </w:rPr>
              <w:t>Secondary: CAR at w</w:t>
            </w:r>
            <w:r w:rsidR="00BD7D2A">
              <w:rPr>
                <w:rFonts w:eastAsia="MS Mincho" w:cstheme="minorHAnsi"/>
              </w:rPr>
              <w:t>ee</w:t>
            </w:r>
            <w:r w:rsidRPr="00017AE6">
              <w:rPr>
                <w:rFonts w:eastAsia="MS Mincho" w:cstheme="minorHAnsi"/>
              </w:rPr>
              <w:t xml:space="preserve">ks </w:t>
            </w:r>
            <w:r w:rsidR="00BD7D2A">
              <w:rPr>
                <w:rFonts w:eastAsia="MS Mincho" w:cstheme="minorHAnsi"/>
              </w:rPr>
              <w:t>(</w:t>
            </w:r>
            <w:r w:rsidRPr="00017AE6">
              <w:rPr>
                <w:rFonts w:eastAsia="MS Mincho" w:cstheme="minorHAnsi"/>
              </w:rPr>
              <w:t xml:space="preserve">9 </w:t>
            </w:r>
            <w:r w:rsidR="00BD7D2A">
              <w:rPr>
                <w:rFonts w:eastAsia="MS Mincho" w:cstheme="minorHAnsi"/>
              </w:rPr>
              <w:t>–</w:t>
            </w:r>
            <w:r w:rsidRPr="00017AE6">
              <w:rPr>
                <w:rFonts w:eastAsia="MS Mincho" w:cstheme="minorHAnsi"/>
              </w:rPr>
              <w:t xml:space="preserve"> 24</w:t>
            </w:r>
            <w:r w:rsidR="00BD7D2A">
              <w:rPr>
                <w:rFonts w:eastAsia="MS Mincho" w:cstheme="minorHAnsi"/>
              </w:rPr>
              <w:t>)</w:t>
            </w:r>
            <w:r w:rsidRPr="00017AE6">
              <w:rPr>
                <w:rFonts w:eastAsia="MS Mincho" w:cstheme="minorHAnsi"/>
              </w:rPr>
              <w:t>; 7-day PPA at w</w:t>
            </w:r>
            <w:r w:rsidR="00BD7D2A">
              <w:rPr>
                <w:rFonts w:eastAsia="MS Mincho" w:cstheme="minorHAnsi"/>
              </w:rPr>
              <w:t>ee</w:t>
            </w:r>
            <w:r w:rsidRPr="00017AE6">
              <w:rPr>
                <w:rFonts w:eastAsia="MS Mincho" w:cstheme="minorHAnsi"/>
              </w:rPr>
              <w:t>ks 12, 24, 52</w:t>
            </w:r>
            <w:r w:rsidR="00BD7D2A">
              <w:rPr>
                <w:rFonts w:eastAsia="MS Mincho" w:cstheme="minorHAnsi"/>
              </w:rPr>
              <w:t>.</w:t>
            </w:r>
          </w:p>
          <w:p w:rsidR="00BD7D2A" w:rsidRDefault="00A23B5C" w:rsidP="00A71365">
            <w:pPr>
              <w:pStyle w:val="Tablewriting"/>
              <w:rPr>
                <w:rFonts w:eastAsia="MS Mincho" w:cstheme="minorHAnsi"/>
              </w:rPr>
            </w:pPr>
            <w:r w:rsidRPr="00017AE6">
              <w:rPr>
                <w:rFonts w:eastAsia="MS Mincho" w:cstheme="minorHAnsi"/>
              </w:rPr>
              <w:t>Validation: CO &lt; 10 ppm</w:t>
            </w:r>
          </w:p>
          <w:p w:rsidR="001729DF" w:rsidRDefault="001729DF" w:rsidP="00A71365">
            <w:pPr>
              <w:pStyle w:val="Tablewriting"/>
              <w:rPr>
                <w:rFonts w:eastAsia="MS Mincho" w:cstheme="minorHAnsi"/>
              </w:rPr>
            </w:pPr>
          </w:p>
          <w:p w:rsidR="0001662B" w:rsidRPr="00017AE6" w:rsidRDefault="0001662B" w:rsidP="00A71365">
            <w:pPr>
              <w:pStyle w:val="Tablewriting"/>
              <w:rPr>
                <w:rFonts w:eastAsia="MS Mincho" w:cstheme="minorHAnsi"/>
              </w:rPr>
            </w:pPr>
            <w:r w:rsidRPr="0001662B">
              <w:rPr>
                <w:rFonts w:eastAsia="MS Mincho" w:cstheme="minorHAnsi"/>
                <w:u w:val="single"/>
              </w:rPr>
              <w:t>Safety:</w:t>
            </w:r>
            <w:r>
              <w:rPr>
                <w:rFonts w:eastAsia="MS Mincho" w:cstheme="minorHAnsi"/>
              </w:rPr>
              <w:t xml:space="preserve"> NR</w:t>
            </w:r>
          </w:p>
          <w:p w:rsidR="003E681D" w:rsidRPr="00017AE6" w:rsidRDefault="003E681D" w:rsidP="00A71365">
            <w:pPr>
              <w:pStyle w:val="Tablewriting"/>
              <w:rPr>
                <w:rFonts w:eastAsia="MS Mincho" w:cstheme="minorHAnsi"/>
              </w:rPr>
            </w:pPr>
          </w:p>
          <w:p w:rsidR="0001662B" w:rsidRDefault="0001662B" w:rsidP="00A71365">
            <w:pPr>
              <w:pStyle w:val="Tablewriting"/>
              <w:rPr>
                <w:rFonts w:eastAsia="MS Mincho" w:cstheme="minorHAnsi"/>
                <w:u w:val="single"/>
              </w:rPr>
            </w:pPr>
          </w:p>
          <w:p w:rsidR="003E681D" w:rsidRPr="00017AE6" w:rsidRDefault="003E681D"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t xml:space="preserve">Heydari </w:t>
            </w:r>
            <w:r w:rsidR="00F143BB">
              <w:rPr>
                <w:rFonts w:eastAsia="MS Mincho" w:cstheme="minorHAnsi"/>
              </w:rPr>
              <w:t>(</w:t>
            </w:r>
            <w:r w:rsidRPr="00017AE6">
              <w:rPr>
                <w:rFonts w:eastAsia="MS Mincho" w:cstheme="minorHAnsi"/>
              </w:rPr>
              <w:t>2012</w:t>
            </w:r>
            <w:r w:rsidR="00F143BB">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3F4843" w:rsidP="00A71365">
            <w:pPr>
              <w:pStyle w:val="Tablewriting"/>
              <w:rPr>
                <w:rFonts w:eastAsia="MS Mincho" w:cstheme="minorHAnsi"/>
              </w:rPr>
            </w:pPr>
            <w:r w:rsidRPr="00017AE6">
              <w:rPr>
                <w:rFonts w:eastAsia="MS Mincho" w:cstheme="minorHAnsi"/>
              </w:rPr>
              <w:t>Iran</w:t>
            </w:r>
          </w:p>
        </w:tc>
        <w:tc>
          <w:tcPr>
            <w:tcW w:w="675" w:type="pct"/>
          </w:tcPr>
          <w:p w:rsidR="001F5476" w:rsidRDefault="00C25F5E" w:rsidP="00A71365">
            <w:pPr>
              <w:pStyle w:val="Tablewriting"/>
              <w:rPr>
                <w:rFonts w:eastAsia="MS Mincho" w:cstheme="minorHAnsi"/>
              </w:rPr>
            </w:pPr>
            <w:r w:rsidRPr="00017AE6">
              <w:rPr>
                <w:rFonts w:eastAsia="MS Mincho" w:cstheme="minorHAnsi"/>
              </w:rPr>
              <w:t>N=</w:t>
            </w:r>
            <w:r w:rsidR="003F4843" w:rsidRPr="00017AE6">
              <w:rPr>
                <w:rFonts w:eastAsia="MS Mincho" w:cstheme="minorHAnsi"/>
              </w:rPr>
              <w:t>272</w:t>
            </w:r>
            <w:r w:rsidR="009E5534">
              <w:rPr>
                <w:rFonts w:eastAsia="MS Mincho" w:cstheme="minorHAnsi"/>
              </w:rPr>
              <w:t xml:space="preserve">; </w:t>
            </w:r>
          </w:p>
          <w:p w:rsidR="00C25F5E" w:rsidRPr="00017AE6" w:rsidRDefault="001F5476" w:rsidP="00A71365">
            <w:pPr>
              <w:pStyle w:val="Tablewriting"/>
              <w:rPr>
                <w:rFonts w:eastAsia="MS Mincho" w:cstheme="minorHAnsi"/>
              </w:rPr>
            </w:pPr>
            <w:r>
              <w:rPr>
                <w:rFonts w:eastAsia="MS Mincho" w:cstheme="minorHAnsi"/>
              </w:rPr>
              <w:t>n=91 (b</w:t>
            </w:r>
            <w:r w:rsidR="009E5534" w:rsidRPr="00017AE6">
              <w:rPr>
                <w:rFonts w:eastAsia="MS Mincho" w:cstheme="minorHAnsi"/>
              </w:rPr>
              <w:t>rief advice</w:t>
            </w:r>
            <w:r>
              <w:rPr>
                <w:rFonts w:eastAsia="MS Mincho" w:cstheme="minorHAnsi"/>
              </w:rPr>
              <w:t>)</w:t>
            </w:r>
            <w:r w:rsidR="009E5534" w:rsidRPr="00017AE6">
              <w:rPr>
                <w:rFonts w:eastAsia="MS Mincho" w:cstheme="minorHAnsi"/>
              </w:rPr>
              <w:t xml:space="preserve">, </w:t>
            </w:r>
            <w:r>
              <w:rPr>
                <w:rFonts w:eastAsia="MS Mincho" w:cstheme="minorHAnsi"/>
              </w:rPr>
              <w:t>n=92 (</w:t>
            </w:r>
            <w:r w:rsidR="009E5534" w:rsidRPr="00017AE6">
              <w:rPr>
                <w:rFonts w:eastAsia="MS Mincho" w:cstheme="minorHAnsi"/>
              </w:rPr>
              <w:t xml:space="preserve">NRT), </w:t>
            </w:r>
            <w:r>
              <w:rPr>
                <w:rFonts w:eastAsia="MS Mincho" w:cstheme="minorHAnsi"/>
              </w:rPr>
              <w:t>n=89 (</w:t>
            </w:r>
            <w:r w:rsidR="009E5534" w:rsidRPr="00017AE6">
              <w:rPr>
                <w:rFonts w:eastAsia="MS Mincho" w:cstheme="minorHAnsi"/>
              </w:rPr>
              <w:t>varenicline).</w:t>
            </w:r>
          </w:p>
        </w:tc>
        <w:tc>
          <w:tcPr>
            <w:tcW w:w="853" w:type="pct"/>
          </w:tcPr>
          <w:p w:rsidR="00C25F5E" w:rsidRPr="00017AE6" w:rsidRDefault="009E5534" w:rsidP="00A71365">
            <w:pPr>
              <w:pStyle w:val="Tablewriting"/>
              <w:rPr>
                <w:rFonts w:eastAsia="MS Mincho" w:cstheme="minorHAnsi"/>
              </w:rPr>
            </w:pPr>
            <w:r>
              <w:rPr>
                <w:rFonts w:eastAsia="MS Mincho" w:cstheme="minorHAnsi"/>
              </w:rPr>
              <w:t>T</w:t>
            </w:r>
            <w:r w:rsidR="003F4843" w:rsidRPr="00017AE6">
              <w:rPr>
                <w:rFonts w:eastAsia="MS Mincho" w:cstheme="minorHAnsi"/>
              </w:rPr>
              <w:t>reatment-seeking participants</w:t>
            </w:r>
            <w:r>
              <w:rPr>
                <w:rFonts w:eastAsia="MS Mincho" w:cstheme="minorHAnsi"/>
              </w:rPr>
              <w:t>;</w:t>
            </w:r>
            <w:r w:rsidR="003F4843" w:rsidRPr="00017AE6">
              <w:rPr>
                <w:rFonts w:eastAsia="MS Mincho" w:cstheme="minorHAnsi"/>
              </w:rPr>
              <w:t xml:space="preserve"> 41.2% women, mean age 42.5 y</w:t>
            </w:r>
            <w:r>
              <w:rPr>
                <w:rFonts w:eastAsia="MS Mincho" w:cstheme="minorHAnsi"/>
              </w:rPr>
              <w:t>ea</w:t>
            </w:r>
            <w:r w:rsidR="003F4843" w:rsidRPr="00017AE6">
              <w:rPr>
                <w:rFonts w:eastAsia="MS Mincho" w:cstheme="minorHAnsi"/>
              </w:rPr>
              <w:t>rs, mean FTND 5.5</w:t>
            </w:r>
            <w:r>
              <w:rPr>
                <w:rFonts w:eastAsia="MS Mincho" w:cstheme="minorHAnsi"/>
              </w:rPr>
              <w:t>.</w:t>
            </w:r>
          </w:p>
        </w:tc>
        <w:tc>
          <w:tcPr>
            <w:tcW w:w="1055" w:type="pct"/>
          </w:tcPr>
          <w:p w:rsidR="006B02DA" w:rsidRDefault="003F4843" w:rsidP="00C324F3">
            <w:pPr>
              <w:pStyle w:val="Tablewriting"/>
              <w:numPr>
                <w:ilvl w:val="0"/>
                <w:numId w:val="71"/>
              </w:numPr>
              <w:rPr>
                <w:rFonts w:eastAsia="MS Mincho" w:cstheme="minorHAnsi"/>
              </w:rPr>
            </w:pPr>
            <w:r w:rsidRPr="00017AE6">
              <w:rPr>
                <w:rFonts w:eastAsia="MS Mincho" w:cstheme="minorHAnsi"/>
              </w:rPr>
              <w:t>Control group</w:t>
            </w:r>
            <w:r w:rsidR="008D3F54">
              <w:rPr>
                <w:rFonts w:eastAsia="MS Mincho" w:cstheme="minorHAnsi"/>
              </w:rPr>
              <w:t>;</w:t>
            </w:r>
            <w:r w:rsidRPr="00017AE6">
              <w:rPr>
                <w:rFonts w:eastAsia="MS Mincho" w:cstheme="minorHAnsi"/>
              </w:rPr>
              <w:t xml:space="preserve"> no pharmacotherapy</w:t>
            </w:r>
          </w:p>
          <w:p w:rsidR="008D3F54" w:rsidRDefault="003F4843" w:rsidP="00C324F3">
            <w:pPr>
              <w:pStyle w:val="Tablewriting"/>
              <w:numPr>
                <w:ilvl w:val="0"/>
                <w:numId w:val="71"/>
              </w:numPr>
              <w:rPr>
                <w:rFonts w:eastAsia="MS Mincho" w:cstheme="minorHAnsi"/>
              </w:rPr>
            </w:pPr>
            <w:r w:rsidRPr="006B02DA">
              <w:rPr>
                <w:rFonts w:eastAsia="MS Mincho" w:cstheme="minorHAnsi"/>
              </w:rPr>
              <w:t>NRT</w:t>
            </w:r>
            <w:r w:rsidR="008D3F54">
              <w:rPr>
                <w:rFonts w:eastAsia="MS Mincho" w:cstheme="minorHAnsi"/>
              </w:rPr>
              <w:t xml:space="preserve">; </w:t>
            </w:r>
            <w:r w:rsidRPr="006B02DA">
              <w:rPr>
                <w:rFonts w:eastAsia="MS Mincho" w:cstheme="minorHAnsi"/>
              </w:rPr>
              <w:t>8 w</w:t>
            </w:r>
            <w:r w:rsidR="006B02DA">
              <w:rPr>
                <w:rFonts w:eastAsia="MS Mincho" w:cstheme="minorHAnsi"/>
              </w:rPr>
              <w:t>ee</w:t>
            </w:r>
            <w:r w:rsidRPr="006B02DA">
              <w:rPr>
                <w:rFonts w:eastAsia="MS Mincho" w:cstheme="minorHAnsi"/>
              </w:rPr>
              <w:t>ks of 15 mg NRT patches</w:t>
            </w:r>
          </w:p>
          <w:p w:rsidR="00C25F5E" w:rsidRPr="008D3F54" w:rsidRDefault="008D3F54" w:rsidP="00C324F3">
            <w:pPr>
              <w:pStyle w:val="Tablewriting"/>
              <w:numPr>
                <w:ilvl w:val="0"/>
                <w:numId w:val="71"/>
              </w:numPr>
              <w:rPr>
                <w:rFonts w:eastAsia="MS Mincho" w:cstheme="minorHAnsi"/>
              </w:rPr>
            </w:pPr>
            <w:r>
              <w:rPr>
                <w:rFonts w:eastAsia="MS Mincho" w:cstheme="minorHAnsi"/>
              </w:rPr>
              <w:t>Varenicline;</w:t>
            </w:r>
            <w:r w:rsidR="00F46133">
              <w:rPr>
                <w:rFonts w:eastAsia="MS Mincho" w:cstheme="minorHAnsi"/>
              </w:rPr>
              <w:t xml:space="preserve"> </w:t>
            </w:r>
            <w:r w:rsidR="003F4843" w:rsidRPr="008D3F54">
              <w:rPr>
                <w:rFonts w:eastAsia="MS Mincho" w:cstheme="minorHAnsi"/>
              </w:rPr>
              <w:t>8 w</w:t>
            </w:r>
            <w:r>
              <w:rPr>
                <w:rFonts w:eastAsia="MS Mincho" w:cstheme="minorHAnsi"/>
              </w:rPr>
              <w:t>ee</w:t>
            </w:r>
            <w:r w:rsidR="003F4843" w:rsidRPr="008D3F54">
              <w:rPr>
                <w:rFonts w:eastAsia="MS Mincho" w:cstheme="minorHAnsi"/>
              </w:rPr>
              <w:t>ks of 1 mg x 2/day varenicline (titrated 1st w</w:t>
            </w:r>
            <w:r w:rsidR="0061466F">
              <w:rPr>
                <w:rFonts w:eastAsia="MS Mincho" w:cstheme="minorHAnsi"/>
              </w:rPr>
              <w:t>ee</w:t>
            </w:r>
            <w:r w:rsidR="003F4843" w:rsidRPr="008D3F54">
              <w:rPr>
                <w:rFonts w:eastAsia="MS Mincho" w:cstheme="minorHAnsi"/>
              </w:rPr>
              <w:t>k)</w:t>
            </w:r>
          </w:p>
          <w:p w:rsidR="006B02DA" w:rsidRDefault="006B02DA" w:rsidP="00A71365">
            <w:pPr>
              <w:pStyle w:val="Tablewriting"/>
              <w:rPr>
                <w:rFonts w:eastAsia="MS Mincho" w:cstheme="minorHAnsi"/>
              </w:rPr>
            </w:pPr>
          </w:p>
          <w:p w:rsidR="003F4843" w:rsidRPr="00017AE6" w:rsidRDefault="006B02DA"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3F4843" w:rsidRPr="00017AE6">
              <w:rPr>
                <w:rFonts w:eastAsia="MS Mincho" w:cstheme="minorHAnsi"/>
              </w:rPr>
              <w:t>All participants were managed by the same physician. All received brief (5 mins) education and counselling</w:t>
            </w:r>
          </w:p>
          <w:p w:rsidR="00C25F5E" w:rsidRPr="00017AE6" w:rsidRDefault="003F4843" w:rsidP="00A71365">
            <w:pPr>
              <w:pStyle w:val="Tablewriting"/>
              <w:rPr>
                <w:rFonts w:eastAsia="MS Mincho" w:cstheme="minorHAnsi"/>
              </w:rPr>
            </w:pPr>
            <w:r w:rsidRPr="00017AE6">
              <w:rPr>
                <w:rFonts w:eastAsia="MS Mincho" w:cstheme="minorHAnsi"/>
              </w:rPr>
              <w:t>at 4 x weekly sessions. TQD was day 14</w:t>
            </w:r>
            <w:r w:rsidR="006B02DA">
              <w:rPr>
                <w:rFonts w:eastAsia="MS Mincho" w:cstheme="minorHAnsi"/>
              </w:rPr>
              <w:t>.</w:t>
            </w:r>
          </w:p>
        </w:tc>
        <w:tc>
          <w:tcPr>
            <w:tcW w:w="960" w:type="pct"/>
          </w:tcPr>
          <w:p w:rsidR="00BA4E89" w:rsidRDefault="0022200A" w:rsidP="00A71365">
            <w:pPr>
              <w:pStyle w:val="Tablewriting"/>
              <w:rPr>
                <w:rFonts w:eastAsia="MS Mincho" w:cstheme="minorHAnsi"/>
              </w:rPr>
            </w:pPr>
            <w:r w:rsidRPr="0022200A">
              <w:rPr>
                <w:rFonts w:eastAsia="MS Mincho" w:cstheme="minorHAnsi"/>
                <w:u w:val="single"/>
              </w:rPr>
              <w:t>Efficacy:</w:t>
            </w:r>
            <w:r>
              <w:rPr>
                <w:rFonts w:eastAsia="MS Mincho" w:cstheme="minorHAnsi"/>
              </w:rPr>
              <w:t xml:space="preserve"> </w:t>
            </w:r>
            <w:r w:rsidR="0017631E" w:rsidRPr="00017AE6">
              <w:rPr>
                <w:rFonts w:eastAsia="MS Mincho" w:cstheme="minorHAnsi"/>
              </w:rPr>
              <w:t xml:space="preserve">Abstinence at 6 and </w:t>
            </w:r>
            <w:r>
              <w:rPr>
                <w:rFonts w:eastAsia="MS Mincho" w:cstheme="minorHAnsi"/>
              </w:rPr>
              <w:t xml:space="preserve">12 </w:t>
            </w:r>
            <w:r w:rsidR="0017631E" w:rsidRPr="00017AE6">
              <w:rPr>
                <w:rFonts w:eastAsia="MS Mincho" w:cstheme="minorHAnsi"/>
              </w:rPr>
              <w:t>m</w:t>
            </w:r>
            <w:r>
              <w:rPr>
                <w:rFonts w:eastAsia="MS Mincho" w:cstheme="minorHAnsi"/>
              </w:rPr>
              <w:t>onths</w:t>
            </w:r>
            <w:r w:rsidR="00BA4E89">
              <w:rPr>
                <w:rFonts w:eastAsia="MS Mincho" w:cstheme="minorHAnsi"/>
              </w:rPr>
              <w:t>.</w:t>
            </w:r>
          </w:p>
          <w:p w:rsidR="002C190D" w:rsidRDefault="002C190D" w:rsidP="00A71365">
            <w:pPr>
              <w:pStyle w:val="Tablewriting"/>
              <w:rPr>
                <w:rFonts w:eastAsia="MS Mincho" w:cstheme="minorHAnsi"/>
              </w:rPr>
            </w:pPr>
          </w:p>
          <w:p w:rsidR="00BA4E89" w:rsidRDefault="002C190D" w:rsidP="00A71365">
            <w:pPr>
              <w:pStyle w:val="Tablewriting"/>
              <w:rPr>
                <w:rFonts w:eastAsia="MS Mincho" w:cstheme="minorHAnsi"/>
                <w:u w:val="single"/>
              </w:rPr>
            </w:pPr>
            <w:r w:rsidRPr="0001662B">
              <w:rPr>
                <w:rFonts w:eastAsia="MS Mincho" w:cstheme="minorHAnsi"/>
              </w:rPr>
              <w:t>Validation:</w:t>
            </w:r>
            <w:r w:rsidRPr="00017AE6">
              <w:rPr>
                <w:rFonts w:eastAsia="MS Mincho" w:cstheme="minorHAnsi"/>
              </w:rPr>
              <w:t xml:space="preserve"> CO (cut-o</w:t>
            </w:r>
            <w:r>
              <w:rPr>
                <w:rFonts w:eastAsia="MS Mincho" w:cstheme="minorHAnsi"/>
              </w:rPr>
              <w:t>ff</w:t>
            </w:r>
            <w:r w:rsidRPr="00017AE6">
              <w:rPr>
                <w:rFonts w:eastAsia="MS Mincho" w:cstheme="minorHAnsi"/>
              </w:rPr>
              <w:t xml:space="preserve"> value not given)</w:t>
            </w:r>
            <w:r>
              <w:rPr>
                <w:rFonts w:eastAsia="MS Mincho" w:cstheme="minorHAnsi"/>
              </w:rPr>
              <w:t>.</w:t>
            </w:r>
          </w:p>
          <w:p w:rsidR="002C190D" w:rsidRDefault="002C190D" w:rsidP="00A71365">
            <w:pPr>
              <w:pStyle w:val="Tablewriting"/>
              <w:rPr>
                <w:rFonts w:eastAsia="MS Mincho" w:cstheme="minorHAnsi"/>
                <w:u w:val="single"/>
              </w:rPr>
            </w:pPr>
          </w:p>
          <w:p w:rsidR="00BA4E89" w:rsidRDefault="00BA4E89" w:rsidP="00A71365">
            <w:pPr>
              <w:pStyle w:val="Tablewriting"/>
              <w:rPr>
                <w:rFonts w:eastAsia="MS Mincho" w:cstheme="minorHAnsi"/>
                <w:u w:val="single"/>
              </w:rPr>
            </w:pPr>
            <w:r w:rsidRPr="00BA4E89">
              <w:rPr>
                <w:rFonts w:eastAsia="MS Mincho" w:cstheme="minorHAnsi"/>
                <w:u w:val="single"/>
              </w:rPr>
              <w:t>Safety:</w:t>
            </w:r>
            <w:r>
              <w:rPr>
                <w:rFonts w:eastAsia="MS Mincho" w:cstheme="minorHAnsi"/>
                <w:u w:val="single"/>
              </w:rPr>
              <w:t xml:space="preserve"> NR</w:t>
            </w:r>
          </w:p>
          <w:p w:rsidR="00BA4E89" w:rsidRDefault="00BA4E89" w:rsidP="00A71365">
            <w:pPr>
              <w:pStyle w:val="Tablewriting"/>
              <w:rPr>
                <w:rFonts w:eastAsia="MS Mincho" w:cstheme="minorHAnsi"/>
              </w:rPr>
            </w:pPr>
          </w:p>
          <w:p w:rsidR="00BA4E89" w:rsidRDefault="00BA4E89" w:rsidP="00A71365">
            <w:pPr>
              <w:pStyle w:val="Tablewriting"/>
              <w:rPr>
                <w:rFonts w:eastAsia="MS Mincho" w:cstheme="minorHAnsi"/>
              </w:rPr>
            </w:pPr>
          </w:p>
          <w:p w:rsidR="00C25F5E" w:rsidRPr="00017AE6" w:rsidRDefault="00C25F5E"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lastRenderedPageBreak/>
              <w:t xml:space="preserve">Jorenby </w:t>
            </w:r>
            <w:r w:rsidR="00F143BB">
              <w:rPr>
                <w:rFonts w:eastAsia="MS Mincho" w:cstheme="minorHAnsi"/>
              </w:rPr>
              <w:t>(</w:t>
            </w:r>
            <w:r w:rsidRPr="00017AE6">
              <w:rPr>
                <w:rFonts w:eastAsia="MS Mincho" w:cstheme="minorHAnsi"/>
              </w:rPr>
              <w:t>2006</w:t>
            </w:r>
            <w:r w:rsidR="00F143BB">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E16B93" w:rsidP="00A71365">
            <w:pPr>
              <w:pStyle w:val="Tablewriting"/>
              <w:rPr>
                <w:rFonts w:eastAsia="MS Mincho" w:cstheme="minorHAnsi"/>
              </w:rPr>
            </w:pPr>
            <w:r w:rsidRPr="00017AE6">
              <w:rPr>
                <w:rFonts w:eastAsia="MS Mincho" w:cstheme="minorHAnsi"/>
              </w:rPr>
              <w:t>USA</w:t>
            </w:r>
          </w:p>
        </w:tc>
        <w:tc>
          <w:tcPr>
            <w:tcW w:w="675" w:type="pct"/>
          </w:tcPr>
          <w:p w:rsidR="00C25F5E" w:rsidRPr="00017AE6" w:rsidRDefault="00C25F5E" w:rsidP="00A71365">
            <w:pPr>
              <w:pStyle w:val="Tablewriting"/>
              <w:rPr>
                <w:rFonts w:eastAsia="MS Mincho" w:cstheme="minorHAnsi"/>
              </w:rPr>
            </w:pPr>
            <w:r w:rsidRPr="00017AE6">
              <w:rPr>
                <w:rFonts w:eastAsia="MS Mincho" w:cstheme="minorHAnsi"/>
              </w:rPr>
              <w:t>N=</w:t>
            </w:r>
            <w:r w:rsidR="00E16B93" w:rsidRPr="00017AE6">
              <w:rPr>
                <w:rFonts w:eastAsia="MS Mincho" w:cstheme="minorHAnsi"/>
              </w:rPr>
              <w:t>1027</w:t>
            </w:r>
            <w:r w:rsidR="008C6988">
              <w:rPr>
                <w:rFonts w:eastAsia="MS Mincho" w:cstheme="minorHAnsi"/>
              </w:rPr>
              <w:t xml:space="preserve">; </w:t>
            </w:r>
            <w:r w:rsidR="008C6988" w:rsidRPr="00017AE6">
              <w:rPr>
                <w:rFonts w:eastAsia="MS Mincho" w:cstheme="minorHAnsi"/>
              </w:rPr>
              <w:t>Allocated to varenicline (344), bupropion (342) or placebo (341)</w:t>
            </w:r>
          </w:p>
        </w:tc>
        <w:tc>
          <w:tcPr>
            <w:tcW w:w="853" w:type="pct"/>
          </w:tcPr>
          <w:p w:rsidR="008C6988" w:rsidRDefault="00B97053" w:rsidP="00A71365">
            <w:pPr>
              <w:pStyle w:val="Tablewriting"/>
              <w:rPr>
                <w:rFonts w:eastAsia="MS Mincho" w:cstheme="minorHAnsi"/>
              </w:rPr>
            </w:pPr>
            <w:r>
              <w:rPr>
                <w:rFonts w:eastAsia="MS Mincho" w:cstheme="minorHAnsi"/>
              </w:rPr>
              <w:t>H</w:t>
            </w:r>
            <w:r w:rsidR="00E16B93" w:rsidRPr="00017AE6">
              <w:rPr>
                <w:rFonts w:eastAsia="MS Mincho" w:cstheme="minorHAnsi"/>
              </w:rPr>
              <w:t>ealthy adult volunteers</w:t>
            </w:r>
            <w:r w:rsidR="008C6988">
              <w:rPr>
                <w:rFonts w:eastAsia="MS Mincho" w:cstheme="minorHAnsi"/>
              </w:rPr>
              <w:t>,</w:t>
            </w:r>
            <w:r w:rsidR="00E16B93" w:rsidRPr="00017AE6">
              <w:rPr>
                <w:rFonts w:eastAsia="MS Mincho" w:cstheme="minorHAnsi"/>
              </w:rPr>
              <w:t xml:space="preserve"> 58%</w:t>
            </w:r>
            <w:r w:rsidR="00D77280" w:rsidRPr="00017AE6">
              <w:rPr>
                <w:rFonts w:eastAsia="MS Mincho" w:cstheme="minorHAnsi"/>
              </w:rPr>
              <w:t xml:space="preserve"> </w:t>
            </w:r>
            <w:r w:rsidR="00E16B93" w:rsidRPr="00017AE6">
              <w:rPr>
                <w:rFonts w:eastAsia="MS Mincho" w:cstheme="minorHAnsi"/>
              </w:rPr>
              <w:t xml:space="preserve">men, 84% white, mean age 43.3, mean CPD 22, mean FTND score 5.3. </w:t>
            </w:r>
          </w:p>
          <w:p w:rsidR="00E16B93" w:rsidRPr="00017AE6" w:rsidRDefault="00E16B93" w:rsidP="00A71365">
            <w:pPr>
              <w:pStyle w:val="Tablewriting"/>
              <w:rPr>
                <w:rFonts w:eastAsia="MS Mincho" w:cstheme="minorHAnsi"/>
              </w:rPr>
            </w:pPr>
            <w:r w:rsidRPr="00017AE6">
              <w:rPr>
                <w:rFonts w:eastAsia="MS Mincho" w:cstheme="minorHAnsi"/>
              </w:rPr>
              <w:t>No significant differences between</w:t>
            </w:r>
            <w:r w:rsidR="00D77280" w:rsidRPr="00017AE6">
              <w:rPr>
                <w:rFonts w:eastAsia="MS Mincho" w:cstheme="minorHAnsi"/>
              </w:rPr>
              <w:t xml:space="preserve"> </w:t>
            </w:r>
            <w:r w:rsidRPr="00017AE6">
              <w:rPr>
                <w:rFonts w:eastAsia="MS Mincho" w:cstheme="minorHAnsi"/>
              </w:rPr>
              <w:t>groups at baseline</w:t>
            </w:r>
          </w:p>
          <w:p w:rsidR="00D77280" w:rsidRPr="00017AE6" w:rsidRDefault="00D77280" w:rsidP="00A71365">
            <w:pPr>
              <w:pStyle w:val="Tablewriting"/>
              <w:rPr>
                <w:rFonts w:eastAsia="MS Mincho" w:cstheme="minorHAnsi"/>
              </w:rPr>
            </w:pPr>
          </w:p>
          <w:p w:rsidR="00C25F5E" w:rsidRPr="00017AE6" w:rsidRDefault="00E16B93" w:rsidP="00A71365">
            <w:pPr>
              <w:pStyle w:val="Tablewriting"/>
              <w:rPr>
                <w:rFonts w:eastAsia="MS Mincho" w:cstheme="minorHAnsi"/>
              </w:rPr>
            </w:pPr>
            <w:r w:rsidRPr="008C6988">
              <w:rPr>
                <w:rFonts w:eastAsia="MS Mincho" w:cstheme="minorHAnsi"/>
                <w:u w:val="single"/>
              </w:rPr>
              <w:t>Exclusion criteria:</w:t>
            </w:r>
            <w:r w:rsidRPr="00017AE6">
              <w:rPr>
                <w:rFonts w:eastAsia="MS Mincho" w:cstheme="minorHAnsi"/>
              </w:rPr>
              <w:t xml:space="preserve"> Standard pharmacotherapy trial criteria, + use of tobacco products other than cigarettes;</w:t>
            </w:r>
            <w:r w:rsidR="008C6988">
              <w:rPr>
                <w:rFonts w:eastAsia="MS Mincho" w:cstheme="minorHAnsi"/>
              </w:rPr>
              <w:t xml:space="preserve"> </w:t>
            </w:r>
            <w:r w:rsidRPr="00017AE6">
              <w:rPr>
                <w:rFonts w:eastAsia="MS Mincho" w:cstheme="minorHAnsi"/>
              </w:rPr>
              <w:t>use of NRT, clonidine, nortriptyline within last month; BMI &lt; 15 or &gt; 38 or weight &lt; 45.5 kg; any</w:t>
            </w:r>
            <w:r w:rsidR="00D77280" w:rsidRPr="00017AE6">
              <w:rPr>
                <w:rFonts w:eastAsia="MS Mincho" w:cstheme="minorHAnsi"/>
              </w:rPr>
              <w:t xml:space="preserve"> </w:t>
            </w:r>
            <w:r w:rsidRPr="00017AE6">
              <w:rPr>
                <w:rFonts w:eastAsia="MS Mincho" w:cstheme="minorHAnsi"/>
              </w:rPr>
              <w:t>prior use of bupropion or varenicline</w:t>
            </w:r>
            <w:r w:rsidR="008C6988">
              <w:rPr>
                <w:rFonts w:eastAsia="MS Mincho" w:cstheme="minorHAnsi"/>
              </w:rPr>
              <w:t>.</w:t>
            </w:r>
          </w:p>
        </w:tc>
        <w:tc>
          <w:tcPr>
            <w:tcW w:w="1055" w:type="pct"/>
          </w:tcPr>
          <w:p w:rsidR="006F02CB" w:rsidRDefault="00D77280" w:rsidP="00C324F3">
            <w:pPr>
              <w:pStyle w:val="Tablewriting"/>
              <w:numPr>
                <w:ilvl w:val="0"/>
                <w:numId w:val="72"/>
              </w:numPr>
              <w:rPr>
                <w:rFonts w:eastAsia="MS Mincho" w:cstheme="minorHAnsi"/>
              </w:rPr>
            </w:pPr>
            <w:r w:rsidRPr="00017AE6">
              <w:rPr>
                <w:rFonts w:eastAsia="MS Mincho" w:cstheme="minorHAnsi"/>
              </w:rPr>
              <w:t>Varenicline 1 mg x2/day</w:t>
            </w:r>
            <w:r w:rsidR="006F02CB">
              <w:rPr>
                <w:rFonts w:eastAsia="MS Mincho" w:cstheme="minorHAnsi"/>
              </w:rPr>
              <w:t>.</w:t>
            </w:r>
          </w:p>
          <w:p w:rsidR="006F02CB" w:rsidRDefault="00D77280" w:rsidP="00C324F3">
            <w:pPr>
              <w:pStyle w:val="Tablewriting"/>
              <w:numPr>
                <w:ilvl w:val="0"/>
                <w:numId w:val="72"/>
              </w:numPr>
              <w:rPr>
                <w:rFonts w:eastAsia="MS Mincho" w:cstheme="minorHAnsi"/>
              </w:rPr>
            </w:pPr>
            <w:r w:rsidRPr="006F02CB">
              <w:rPr>
                <w:rFonts w:eastAsia="MS Mincho" w:cstheme="minorHAnsi"/>
              </w:rPr>
              <w:t>Bupropion 150 mg x2/day</w:t>
            </w:r>
            <w:r w:rsidR="006F02CB">
              <w:rPr>
                <w:rFonts w:eastAsia="MS Mincho" w:cstheme="minorHAnsi"/>
              </w:rPr>
              <w:t>.</w:t>
            </w:r>
          </w:p>
          <w:p w:rsidR="00D77280" w:rsidRPr="00017AE6" w:rsidRDefault="00D77280" w:rsidP="00C324F3">
            <w:pPr>
              <w:pStyle w:val="Tablewriting"/>
              <w:numPr>
                <w:ilvl w:val="0"/>
                <w:numId w:val="72"/>
              </w:numPr>
              <w:rPr>
                <w:rFonts w:eastAsia="MS Mincho" w:cstheme="minorHAnsi"/>
              </w:rPr>
            </w:pPr>
            <w:r w:rsidRPr="00017AE6">
              <w:rPr>
                <w:rFonts w:eastAsia="MS Mincho" w:cstheme="minorHAnsi"/>
              </w:rPr>
              <w:t>Placebo inactive tablets, same regimen</w:t>
            </w:r>
          </w:p>
          <w:p w:rsidR="006F02CB" w:rsidRDefault="006F02CB" w:rsidP="00A71365">
            <w:pPr>
              <w:pStyle w:val="Tablewriting"/>
              <w:rPr>
                <w:rFonts w:eastAsia="MS Mincho" w:cstheme="minorHAnsi"/>
              </w:rPr>
            </w:pPr>
          </w:p>
          <w:p w:rsidR="006F02CB" w:rsidRDefault="00D77280" w:rsidP="00A71365">
            <w:pPr>
              <w:pStyle w:val="Tablewriting"/>
              <w:rPr>
                <w:rFonts w:eastAsia="MS Mincho" w:cstheme="minorHAnsi"/>
              </w:rPr>
            </w:pPr>
            <w:r w:rsidRPr="00017AE6">
              <w:rPr>
                <w:rFonts w:eastAsia="MS Mincho" w:cstheme="minorHAnsi"/>
              </w:rPr>
              <w:t xml:space="preserve">Treatment period was 12 wks. </w:t>
            </w:r>
          </w:p>
          <w:p w:rsidR="006F02CB" w:rsidRDefault="006F02CB" w:rsidP="00A71365">
            <w:pPr>
              <w:pStyle w:val="Tablewriting"/>
              <w:rPr>
                <w:rFonts w:eastAsia="MS Mincho" w:cstheme="minorHAnsi"/>
              </w:rPr>
            </w:pPr>
          </w:p>
          <w:p w:rsidR="00D77280" w:rsidRPr="00017AE6" w:rsidRDefault="006F02CB"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D77280" w:rsidRPr="00017AE6">
              <w:rPr>
                <w:rFonts w:eastAsia="MS Mincho" w:cstheme="minorHAnsi"/>
              </w:rPr>
              <w:t>All participants received brief counselling (</w:t>
            </w:r>
            <w:r w:rsidR="00E9481C" w:rsidRPr="00611F33">
              <w:rPr>
                <w:rFonts w:eastAsia="MS Mincho" w:cstheme="minorHAnsi"/>
              </w:rPr>
              <w:t>≤</w:t>
            </w:r>
            <w:r w:rsidR="00D77280" w:rsidRPr="00017AE6">
              <w:rPr>
                <w:rFonts w:eastAsia="MS Mincho" w:cstheme="minorHAnsi"/>
              </w:rPr>
              <w:t xml:space="preserve"> 10 mins) at each clinic visit</w:t>
            </w:r>
          </w:p>
          <w:p w:rsidR="00D77280" w:rsidRPr="00017AE6" w:rsidRDefault="00D77280" w:rsidP="00A71365">
            <w:pPr>
              <w:pStyle w:val="Tablewriting"/>
              <w:rPr>
                <w:rFonts w:eastAsia="MS Mincho" w:cstheme="minorHAnsi"/>
              </w:rPr>
            </w:pPr>
            <w:r w:rsidRPr="00017AE6">
              <w:rPr>
                <w:rFonts w:eastAsia="MS Mincho" w:cstheme="minorHAnsi"/>
              </w:rPr>
              <w:t>Weekly visits throughout treatment phase, plus a phone call 3 days post-TQD</w:t>
            </w:r>
          </w:p>
          <w:p w:rsidR="00E9481C" w:rsidRDefault="00E9481C" w:rsidP="00A71365">
            <w:pPr>
              <w:pStyle w:val="Tablewriting"/>
              <w:rPr>
                <w:rFonts w:eastAsia="MS Mincho" w:cstheme="minorHAnsi"/>
              </w:rPr>
            </w:pPr>
          </w:p>
          <w:p w:rsidR="00D77280" w:rsidRPr="00017AE6" w:rsidRDefault="00D77280" w:rsidP="00A71365">
            <w:pPr>
              <w:pStyle w:val="Tablewriting"/>
              <w:rPr>
                <w:rFonts w:eastAsia="MS Mincho" w:cstheme="minorHAnsi"/>
              </w:rPr>
            </w:pPr>
            <w:r w:rsidRPr="00017AE6">
              <w:rPr>
                <w:rFonts w:eastAsia="MS Mincho" w:cstheme="minorHAnsi"/>
              </w:rPr>
              <w:t>In follow-up phase, clinic visits at w</w:t>
            </w:r>
            <w:r w:rsidR="00E9481C">
              <w:rPr>
                <w:rFonts w:eastAsia="MS Mincho" w:cstheme="minorHAnsi"/>
              </w:rPr>
              <w:t>ee</w:t>
            </w:r>
            <w:r w:rsidRPr="00017AE6">
              <w:rPr>
                <w:rFonts w:eastAsia="MS Mincho" w:cstheme="minorHAnsi"/>
              </w:rPr>
              <w:t>ks 13, 24, 36, 44 and 52, plus brief phone calls at w</w:t>
            </w:r>
            <w:r w:rsidR="00E9481C">
              <w:rPr>
                <w:rFonts w:eastAsia="MS Mincho" w:cstheme="minorHAnsi"/>
              </w:rPr>
              <w:t>ee</w:t>
            </w:r>
            <w:r w:rsidRPr="00017AE6">
              <w:rPr>
                <w:rFonts w:eastAsia="MS Mincho" w:cstheme="minorHAnsi"/>
              </w:rPr>
              <w:t>ks 16, 20, 28, 32,</w:t>
            </w:r>
          </w:p>
          <w:p w:rsidR="00C25F5E" w:rsidRPr="00017AE6" w:rsidRDefault="00D77280" w:rsidP="00A71365">
            <w:pPr>
              <w:pStyle w:val="Tablewriting"/>
              <w:rPr>
                <w:rFonts w:eastAsia="MS Mincho" w:cstheme="minorHAnsi"/>
              </w:rPr>
            </w:pPr>
            <w:r w:rsidRPr="00017AE6">
              <w:rPr>
                <w:rFonts w:eastAsia="MS Mincho" w:cstheme="minorHAnsi"/>
              </w:rPr>
              <w:t>40 and 48</w:t>
            </w:r>
            <w:r w:rsidR="00E9481C">
              <w:rPr>
                <w:rFonts w:eastAsia="MS Mincho" w:cstheme="minorHAnsi"/>
              </w:rPr>
              <w:t>.</w:t>
            </w:r>
          </w:p>
        </w:tc>
        <w:tc>
          <w:tcPr>
            <w:tcW w:w="960" w:type="pct"/>
          </w:tcPr>
          <w:p w:rsidR="00082B39" w:rsidRDefault="00082B39" w:rsidP="00A71365">
            <w:pPr>
              <w:pStyle w:val="Tablewriting"/>
              <w:rPr>
                <w:rFonts w:eastAsia="MS Mincho" w:cstheme="minorHAnsi"/>
              </w:rPr>
            </w:pPr>
            <w:r w:rsidRPr="00082B39">
              <w:rPr>
                <w:rFonts w:eastAsia="MS Mincho" w:cstheme="minorHAnsi"/>
                <w:u w:val="single"/>
              </w:rPr>
              <w:t>Efficacy:</w:t>
            </w:r>
            <w:r>
              <w:rPr>
                <w:rFonts w:eastAsia="MS Mincho" w:cstheme="minorHAnsi"/>
              </w:rPr>
              <w:t xml:space="preserve"> </w:t>
            </w:r>
          </w:p>
          <w:p w:rsidR="00D77280" w:rsidRPr="00017AE6" w:rsidRDefault="00D77280" w:rsidP="00A71365">
            <w:pPr>
              <w:pStyle w:val="Tablewriting"/>
              <w:rPr>
                <w:rFonts w:eastAsia="MS Mincho" w:cstheme="minorHAnsi"/>
              </w:rPr>
            </w:pPr>
            <w:r w:rsidRPr="00017AE6">
              <w:rPr>
                <w:rFonts w:eastAsia="MS Mincho" w:cstheme="minorHAnsi"/>
              </w:rPr>
              <w:t xml:space="preserve">Primary outcome: CO-validated CAR at </w:t>
            </w:r>
            <w:r w:rsidR="00082B39">
              <w:rPr>
                <w:rFonts w:eastAsia="MS Mincho" w:cstheme="minorHAnsi"/>
              </w:rPr>
              <w:t>(</w:t>
            </w:r>
            <w:r w:rsidRPr="00017AE6">
              <w:rPr>
                <w:rFonts w:eastAsia="MS Mincho" w:cstheme="minorHAnsi"/>
              </w:rPr>
              <w:t xml:space="preserve">9 </w:t>
            </w:r>
            <w:r w:rsidR="00082B39">
              <w:rPr>
                <w:rFonts w:eastAsia="MS Mincho" w:cstheme="minorHAnsi"/>
              </w:rPr>
              <w:t>–</w:t>
            </w:r>
            <w:r w:rsidRPr="00017AE6">
              <w:rPr>
                <w:rFonts w:eastAsia="MS Mincho" w:cstheme="minorHAnsi"/>
              </w:rPr>
              <w:t xml:space="preserve"> 12</w:t>
            </w:r>
            <w:r w:rsidR="00082B39">
              <w:rPr>
                <w:rFonts w:eastAsia="MS Mincho" w:cstheme="minorHAnsi"/>
              </w:rPr>
              <w:t>)</w:t>
            </w:r>
            <w:r w:rsidRPr="00017AE6">
              <w:rPr>
                <w:rFonts w:eastAsia="MS Mincho" w:cstheme="minorHAnsi"/>
              </w:rPr>
              <w:t xml:space="preserve"> w</w:t>
            </w:r>
            <w:r w:rsidR="00082B39">
              <w:rPr>
                <w:rFonts w:eastAsia="MS Mincho" w:cstheme="minorHAnsi"/>
              </w:rPr>
              <w:t>ee</w:t>
            </w:r>
            <w:r w:rsidRPr="00017AE6">
              <w:rPr>
                <w:rFonts w:eastAsia="MS Mincho" w:cstheme="minorHAnsi"/>
              </w:rPr>
              <w:t>ks</w:t>
            </w:r>
            <w:r w:rsidR="00082B39">
              <w:rPr>
                <w:rFonts w:eastAsia="MS Mincho" w:cstheme="minorHAnsi"/>
              </w:rPr>
              <w:t>;</w:t>
            </w:r>
          </w:p>
          <w:p w:rsidR="00D77280" w:rsidRPr="00017AE6" w:rsidRDefault="00D77280" w:rsidP="00A71365">
            <w:pPr>
              <w:pStyle w:val="Tablewriting"/>
              <w:rPr>
                <w:rFonts w:eastAsia="MS Mincho" w:cstheme="minorHAnsi"/>
              </w:rPr>
            </w:pPr>
            <w:r w:rsidRPr="00017AE6">
              <w:rPr>
                <w:rFonts w:eastAsia="MS Mincho" w:cstheme="minorHAnsi"/>
              </w:rPr>
              <w:t xml:space="preserve">Secondary outcomes: CO-validated CAR at </w:t>
            </w:r>
            <w:r w:rsidR="00082B39">
              <w:rPr>
                <w:rFonts w:eastAsia="MS Mincho" w:cstheme="minorHAnsi"/>
              </w:rPr>
              <w:t>(</w:t>
            </w:r>
            <w:r w:rsidRPr="00017AE6">
              <w:rPr>
                <w:rFonts w:eastAsia="MS Mincho" w:cstheme="minorHAnsi"/>
              </w:rPr>
              <w:t xml:space="preserve">9 </w:t>
            </w:r>
            <w:r w:rsidR="00082B39">
              <w:rPr>
                <w:rFonts w:eastAsia="MS Mincho" w:cstheme="minorHAnsi"/>
              </w:rPr>
              <w:t>–</w:t>
            </w:r>
            <w:r w:rsidRPr="00017AE6">
              <w:rPr>
                <w:rFonts w:eastAsia="MS Mincho" w:cstheme="minorHAnsi"/>
              </w:rPr>
              <w:t xml:space="preserve"> 24</w:t>
            </w:r>
            <w:r w:rsidR="00082B39">
              <w:rPr>
                <w:rFonts w:eastAsia="MS Mincho" w:cstheme="minorHAnsi"/>
              </w:rPr>
              <w:t>)</w:t>
            </w:r>
            <w:r w:rsidRPr="00017AE6">
              <w:rPr>
                <w:rFonts w:eastAsia="MS Mincho" w:cstheme="minorHAnsi"/>
              </w:rPr>
              <w:t xml:space="preserve"> w</w:t>
            </w:r>
            <w:r w:rsidR="00082B39">
              <w:rPr>
                <w:rFonts w:eastAsia="MS Mincho" w:cstheme="minorHAnsi"/>
              </w:rPr>
              <w:t>ee</w:t>
            </w:r>
            <w:r w:rsidRPr="00017AE6">
              <w:rPr>
                <w:rFonts w:eastAsia="MS Mincho" w:cstheme="minorHAnsi"/>
              </w:rPr>
              <w:t xml:space="preserve">ks and </w:t>
            </w:r>
            <w:r w:rsidR="00082B39">
              <w:rPr>
                <w:rFonts w:eastAsia="MS Mincho" w:cstheme="minorHAnsi"/>
              </w:rPr>
              <w:t>(</w:t>
            </w:r>
            <w:r w:rsidRPr="00017AE6">
              <w:rPr>
                <w:rFonts w:eastAsia="MS Mincho" w:cstheme="minorHAnsi"/>
              </w:rPr>
              <w:t xml:space="preserve">9 </w:t>
            </w:r>
            <w:r w:rsidR="00082B39">
              <w:rPr>
                <w:rFonts w:eastAsia="MS Mincho" w:cstheme="minorHAnsi"/>
              </w:rPr>
              <w:t>–</w:t>
            </w:r>
            <w:r w:rsidRPr="00017AE6">
              <w:rPr>
                <w:rFonts w:eastAsia="MS Mincho" w:cstheme="minorHAnsi"/>
              </w:rPr>
              <w:t xml:space="preserve"> 52</w:t>
            </w:r>
            <w:r w:rsidR="00082B39">
              <w:rPr>
                <w:rFonts w:eastAsia="MS Mincho" w:cstheme="minorHAnsi"/>
              </w:rPr>
              <w:t>)</w:t>
            </w:r>
            <w:r w:rsidRPr="00017AE6">
              <w:rPr>
                <w:rFonts w:eastAsia="MS Mincho" w:cstheme="minorHAnsi"/>
              </w:rPr>
              <w:t xml:space="preserve"> w</w:t>
            </w:r>
            <w:r w:rsidR="00082B39">
              <w:rPr>
                <w:rFonts w:eastAsia="MS Mincho" w:cstheme="minorHAnsi"/>
              </w:rPr>
              <w:t>ee</w:t>
            </w:r>
            <w:r w:rsidRPr="00017AE6">
              <w:rPr>
                <w:rFonts w:eastAsia="MS Mincho" w:cstheme="minorHAnsi"/>
              </w:rPr>
              <w:t>ks; 7-day PPA at w</w:t>
            </w:r>
            <w:r w:rsidR="00082B39">
              <w:rPr>
                <w:rFonts w:eastAsia="MS Mincho" w:cstheme="minorHAnsi"/>
              </w:rPr>
              <w:t>ee</w:t>
            </w:r>
            <w:r w:rsidRPr="00017AE6">
              <w:rPr>
                <w:rFonts w:eastAsia="MS Mincho" w:cstheme="minorHAnsi"/>
              </w:rPr>
              <w:t>ks 12, 24 and 52</w:t>
            </w:r>
            <w:r w:rsidR="00082B39">
              <w:rPr>
                <w:rFonts w:eastAsia="MS Mincho" w:cstheme="minorHAnsi"/>
              </w:rPr>
              <w:t>.</w:t>
            </w:r>
          </w:p>
          <w:p w:rsidR="000463B0" w:rsidRDefault="000463B0" w:rsidP="00A71365">
            <w:pPr>
              <w:pStyle w:val="Tablewriting"/>
              <w:rPr>
                <w:rFonts w:eastAsia="MS Mincho" w:cstheme="minorHAnsi"/>
              </w:rPr>
            </w:pPr>
          </w:p>
          <w:p w:rsidR="000463B0" w:rsidRPr="00017AE6" w:rsidRDefault="000463B0" w:rsidP="00A71365">
            <w:pPr>
              <w:pStyle w:val="Tablewriting"/>
              <w:rPr>
                <w:rFonts w:eastAsia="MS Mincho" w:cstheme="minorHAnsi"/>
              </w:rPr>
            </w:pPr>
            <w:r w:rsidRPr="00017AE6">
              <w:rPr>
                <w:rFonts w:eastAsia="MS Mincho" w:cstheme="minorHAnsi"/>
              </w:rPr>
              <w:t xml:space="preserve">Validation was by expired CO </w:t>
            </w:r>
            <w:r w:rsidRPr="00611F33">
              <w:rPr>
                <w:rFonts w:eastAsia="MS Mincho" w:cstheme="minorHAnsi"/>
              </w:rPr>
              <w:t>≤</w:t>
            </w:r>
            <w:r w:rsidRPr="00017AE6">
              <w:rPr>
                <w:rFonts w:eastAsia="MS Mincho" w:cstheme="minorHAnsi"/>
              </w:rPr>
              <w:t xml:space="preserve"> 10 ppm</w:t>
            </w:r>
          </w:p>
          <w:p w:rsidR="00082B39" w:rsidRDefault="00082B39" w:rsidP="00A71365">
            <w:pPr>
              <w:pStyle w:val="Tablewriting"/>
              <w:rPr>
                <w:rFonts w:eastAsia="MS Mincho" w:cstheme="minorHAnsi"/>
              </w:rPr>
            </w:pPr>
          </w:p>
          <w:p w:rsidR="00082B39" w:rsidRPr="00017AE6" w:rsidRDefault="00082B39" w:rsidP="00A71365">
            <w:pPr>
              <w:pStyle w:val="Tablewriting"/>
              <w:rPr>
                <w:rFonts w:eastAsia="MS Mincho" w:cstheme="minorHAnsi"/>
              </w:rPr>
            </w:pPr>
            <w:r w:rsidRPr="00082B39">
              <w:rPr>
                <w:rFonts w:eastAsia="MS Mincho" w:cstheme="minorHAnsi"/>
                <w:u w:val="single"/>
              </w:rPr>
              <w:t>Safety:</w:t>
            </w:r>
            <w:r>
              <w:rPr>
                <w:rFonts w:eastAsia="MS Mincho" w:cstheme="minorHAnsi"/>
                <w:u w:val="single"/>
              </w:rPr>
              <w:t xml:space="preserve"> </w:t>
            </w:r>
            <w:r w:rsidRPr="00017AE6">
              <w:rPr>
                <w:rFonts w:eastAsia="MS Mincho" w:cstheme="minorHAnsi"/>
              </w:rPr>
              <w:t>adverse</w:t>
            </w:r>
          </w:p>
          <w:p w:rsidR="00082B39" w:rsidRPr="00017AE6" w:rsidRDefault="00082B39" w:rsidP="00A71365">
            <w:pPr>
              <w:pStyle w:val="Tablewriting"/>
              <w:rPr>
                <w:rFonts w:eastAsia="MS Mincho" w:cstheme="minorHAnsi"/>
              </w:rPr>
            </w:pPr>
            <w:r w:rsidRPr="00017AE6">
              <w:rPr>
                <w:rFonts w:eastAsia="MS Mincho" w:cstheme="minorHAnsi"/>
              </w:rPr>
              <w:t>events</w:t>
            </w:r>
          </w:p>
          <w:p w:rsidR="00082B39" w:rsidRPr="00082B39" w:rsidRDefault="00082B39" w:rsidP="00A71365">
            <w:pPr>
              <w:pStyle w:val="Tablewriting"/>
              <w:rPr>
                <w:rFonts w:eastAsia="MS Mincho" w:cstheme="minorHAnsi"/>
                <w:u w:val="single"/>
              </w:rPr>
            </w:pPr>
          </w:p>
          <w:p w:rsidR="00D77280" w:rsidRPr="00017AE6" w:rsidRDefault="00D77280" w:rsidP="00A71365">
            <w:pPr>
              <w:pStyle w:val="Tablewriting"/>
              <w:rPr>
                <w:rFonts w:eastAsia="MS Mincho" w:cstheme="minorHAnsi"/>
              </w:rPr>
            </w:pPr>
            <w:r w:rsidRPr="00082B39">
              <w:rPr>
                <w:rFonts w:eastAsia="MS Mincho" w:cstheme="minorHAnsi"/>
                <w:u w:val="single"/>
              </w:rPr>
              <w:t>Other</w:t>
            </w:r>
            <w:r w:rsidR="00082B39">
              <w:rPr>
                <w:rFonts w:eastAsia="MS Mincho" w:cstheme="minorHAnsi"/>
                <w:u w:val="single"/>
              </w:rPr>
              <w:t>s</w:t>
            </w:r>
            <w:r w:rsidRPr="00082B39">
              <w:rPr>
                <w:rFonts w:eastAsia="MS Mincho" w:cstheme="minorHAnsi"/>
                <w:u w:val="single"/>
              </w:rPr>
              <w:t>:</w:t>
            </w:r>
            <w:r w:rsidRPr="00017AE6">
              <w:rPr>
                <w:rFonts w:eastAsia="MS Mincho" w:cstheme="minorHAnsi"/>
              </w:rPr>
              <w:t xml:space="preserve"> Weight change, withdrawal symptoms (using MNWS, QSU-brief and mCEQ), </w:t>
            </w:r>
          </w:p>
          <w:p w:rsidR="00273002" w:rsidRPr="00017AE6" w:rsidRDefault="00273002" w:rsidP="00A71365">
            <w:pPr>
              <w:pStyle w:val="Tablewriting"/>
              <w:rPr>
                <w:rFonts w:eastAsia="MS Mincho" w:cstheme="minorHAnsi"/>
              </w:rPr>
            </w:pPr>
          </w:p>
          <w:p w:rsidR="00273002" w:rsidRPr="00017AE6" w:rsidRDefault="00273002" w:rsidP="00A71365">
            <w:pPr>
              <w:pStyle w:val="Tablewriting"/>
              <w:rPr>
                <w:rFonts w:eastAsia="MS Mincho" w:cstheme="minorHAnsi"/>
              </w:rPr>
            </w:pPr>
          </w:p>
          <w:p w:rsidR="00C25F5E" w:rsidRPr="00017AE6" w:rsidRDefault="00C25F5E"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t xml:space="preserve">Nahvi </w:t>
            </w:r>
            <w:r w:rsidR="00F143BB">
              <w:rPr>
                <w:rFonts w:eastAsia="MS Mincho" w:cstheme="minorHAnsi"/>
              </w:rPr>
              <w:t>(</w:t>
            </w:r>
            <w:r w:rsidRPr="00017AE6">
              <w:rPr>
                <w:rFonts w:eastAsia="MS Mincho" w:cstheme="minorHAnsi"/>
              </w:rPr>
              <w:t>2014</w:t>
            </w:r>
            <w:r w:rsidR="006B1C37">
              <w:rPr>
                <w:rFonts w:eastAsia="MS Mincho" w:cstheme="minorHAnsi"/>
              </w:rPr>
              <w:t>) (a)</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273002" w:rsidP="00A71365">
            <w:pPr>
              <w:pStyle w:val="Tablewriting"/>
              <w:rPr>
                <w:rFonts w:eastAsia="MS Mincho" w:cstheme="minorHAnsi"/>
              </w:rPr>
            </w:pPr>
            <w:r w:rsidRPr="00017AE6">
              <w:rPr>
                <w:rFonts w:eastAsia="MS Mincho" w:cstheme="minorHAnsi"/>
              </w:rPr>
              <w:t>USA</w:t>
            </w:r>
          </w:p>
        </w:tc>
        <w:tc>
          <w:tcPr>
            <w:tcW w:w="675" w:type="pct"/>
          </w:tcPr>
          <w:p w:rsidR="00C25F5E" w:rsidRPr="00017AE6" w:rsidRDefault="00C25F5E" w:rsidP="00A71365">
            <w:pPr>
              <w:pStyle w:val="Tablewriting"/>
              <w:rPr>
                <w:rFonts w:eastAsia="MS Mincho" w:cstheme="minorHAnsi"/>
              </w:rPr>
            </w:pPr>
            <w:r w:rsidRPr="00017AE6">
              <w:rPr>
                <w:rFonts w:eastAsia="MS Mincho" w:cstheme="minorHAnsi"/>
              </w:rPr>
              <w:t>N=</w:t>
            </w:r>
            <w:r w:rsidR="00273002" w:rsidRPr="00017AE6">
              <w:rPr>
                <w:rFonts w:eastAsia="MS Mincho" w:cstheme="minorHAnsi"/>
              </w:rPr>
              <w:t>112</w:t>
            </w:r>
            <w:r w:rsidR="006B1C37">
              <w:rPr>
                <w:rFonts w:eastAsia="MS Mincho" w:cstheme="minorHAnsi"/>
              </w:rPr>
              <w:t>; n=57 (</w:t>
            </w:r>
            <w:r w:rsidR="006B1C37" w:rsidRPr="00017AE6">
              <w:rPr>
                <w:rFonts w:eastAsia="MS Mincho" w:cstheme="minorHAnsi"/>
              </w:rPr>
              <w:t>varenicline</w:t>
            </w:r>
            <w:r w:rsidR="006B1C37">
              <w:rPr>
                <w:rFonts w:eastAsia="MS Mincho" w:cstheme="minorHAnsi"/>
              </w:rPr>
              <w:t>)</w:t>
            </w:r>
            <w:r w:rsidR="006B1C37" w:rsidRPr="00017AE6">
              <w:rPr>
                <w:rFonts w:eastAsia="MS Mincho" w:cstheme="minorHAnsi"/>
              </w:rPr>
              <w:t xml:space="preserve">, </w:t>
            </w:r>
            <w:r w:rsidR="006B1C37">
              <w:rPr>
                <w:rFonts w:eastAsia="MS Mincho" w:cstheme="minorHAnsi"/>
              </w:rPr>
              <w:t>n=</w:t>
            </w:r>
            <w:r w:rsidR="006B1C37" w:rsidRPr="00017AE6">
              <w:rPr>
                <w:rFonts w:eastAsia="MS Mincho" w:cstheme="minorHAnsi"/>
              </w:rPr>
              <w:t xml:space="preserve">55 </w:t>
            </w:r>
            <w:r w:rsidR="006B1C37">
              <w:rPr>
                <w:rFonts w:eastAsia="MS Mincho" w:cstheme="minorHAnsi"/>
              </w:rPr>
              <w:t>(</w:t>
            </w:r>
            <w:r w:rsidR="006B1C37" w:rsidRPr="00017AE6">
              <w:rPr>
                <w:rFonts w:eastAsia="MS Mincho" w:cstheme="minorHAnsi"/>
              </w:rPr>
              <w:t>placebo</w:t>
            </w:r>
            <w:r w:rsidR="006B1C37">
              <w:rPr>
                <w:rFonts w:eastAsia="MS Mincho" w:cstheme="minorHAnsi"/>
              </w:rPr>
              <w:t>)</w:t>
            </w:r>
            <w:r w:rsidR="006B1C37" w:rsidRPr="00017AE6">
              <w:rPr>
                <w:rFonts w:eastAsia="MS Mincho" w:cstheme="minorHAnsi"/>
              </w:rPr>
              <w:t>.</w:t>
            </w:r>
          </w:p>
        </w:tc>
        <w:tc>
          <w:tcPr>
            <w:tcW w:w="853" w:type="pct"/>
          </w:tcPr>
          <w:p w:rsidR="006B1C37" w:rsidRDefault="00273002" w:rsidP="00A71365">
            <w:pPr>
              <w:pStyle w:val="Tablewriting"/>
              <w:rPr>
                <w:rFonts w:eastAsia="MS Mincho" w:cstheme="minorBidi"/>
              </w:rPr>
            </w:pPr>
            <w:r w:rsidRPr="384EF786">
              <w:rPr>
                <w:rFonts w:eastAsia="MS Mincho" w:cstheme="minorBidi"/>
              </w:rPr>
              <w:t>Smokers in</w:t>
            </w:r>
            <w:r w:rsidR="006B1C37" w:rsidRPr="384EF786">
              <w:rPr>
                <w:rFonts w:eastAsia="MS Mincho" w:cstheme="minorBidi"/>
              </w:rPr>
              <w:t xml:space="preserve"> </w:t>
            </w:r>
            <w:r w:rsidRPr="384EF786">
              <w:rPr>
                <w:rFonts w:eastAsia="MS Mincho" w:cstheme="minorBidi"/>
              </w:rPr>
              <w:t>methadone treatment for</w:t>
            </w:r>
            <w:r w:rsidR="006B1C37" w:rsidRPr="384EF786">
              <w:rPr>
                <w:rFonts w:eastAsia="MS Mincho" w:cstheme="minorBidi"/>
              </w:rPr>
              <w:t xml:space="preserve"> </w:t>
            </w:r>
            <w:r w:rsidRPr="384EF786">
              <w:rPr>
                <w:rFonts w:eastAsia="MS Mincho" w:cstheme="minorBidi"/>
              </w:rPr>
              <w:t>substance abuse, aged 18+, CPD 5+,</w:t>
            </w:r>
            <w:r w:rsidR="006B1C37" w:rsidRPr="384EF786">
              <w:rPr>
                <w:rFonts w:eastAsia="MS Mincho" w:cstheme="minorBidi"/>
              </w:rPr>
              <w:t xml:space="preserve"> </w:t>
            </w:r>
            <w:r w:rsidRPr="384EF786">
              <w:rPr>
                <w:rFonts w:eastAsia="MS Mincho" w:cstheme="minorBidi"/>
              </w:rPr>
              <w:t>motivated to quit within</w:t>
            </w:r>
            <w:r w:rsidR="006B1C37" w:rsidRPr="384EF786">
              <w:rPr>
                <w:rFonts w:eastAsia="MS Mincho" w:cstheme="minorBidi"/>
              </w:rPr>
              <w:t xml:space="preserve"> </w:t>
            </w:r>
            <w:r w:rsidRPr="384EF786">
              <w:rPr>
                <w:rFonts w:eastAsia="MS Mincho" w:cstheme="minorBidi"/>
              </w:rPr>
              <w:t>next 6</w:t>
            </w:r>
            <w:r w:rsidR="006B1C37" w:rsidRPr="384EF786">
              <w:rPr>
                <w:rFonts w:eastAsia="MS Mincho" w:cstheme="minorBidi"/>
              </w:rPr>
              <w:t xml:space="preserve"> months</w:t>
            </w:r>
            <w:r w:rsidRPr="384EF786">
              <w:rPr>
                <w:rFonts w:eastAsia="MS Mincho" w:cstheme="minorBidi"/>
              </w:rPr>
              <w:t xml:space="preserve">. </w:t>
            </w:r>
          </w:p>
          <w:p w:rsidR="00C25F5E" w:rsidRPr="00017AE6" w:rsidRDefault="00273002" w:rsidP="00A71365">
            <w:pPr>
              <w:pStyle w:val="Tablewriting"/>
              <w:rPr>
                <w:rFonts w:eastAsia="MS Mincho" w:cstheme="minorBidi"/>
              </w:rPr>
            </w:pPr>
            <w:r w:rsidRPr="384EF786">
              <w:rPr>
                <w:rFonts w:eastAsia="MS Mincho" w:cstheme="minorBidi"/>
              </w:rPr>
              <w:t>52% women, 54% Hispanic, mean CPD 15, mean FTND 4</w:t>
            </w:r>
            <w:r w:rsidR="006B1C37" w:rsidRPr="384EF786">
              <w:rPr>
                <w:rFonts w:eastAsia="MS Mincho" w:cstheme="minorBidi"/>
              </w:rPr>
              <w:t>.</w:t>
            </w:r>
          </w:p>
        </w:tc>
        <w:tc>
          <w:tcPr>
            <w:tcW w:w="1055" w:type="pct"/>
          </w:tcPr>
          <w:p w:rsidR="005E5F40" w:rsidRDefault="00C65C45" w:rsidP="00C324F3">
            <w:pPr>
              <w:pStyle w:val="Tablewriting"/>
              <w:numPr>
                <w:ilvl w:val="0"/>
                <w:numId w:val="78"/>
              </w:numPr>
              <w:rPr>
                <w:rFonts w:eastAsia="MS Mincho" w:cstheme="minorBidi"/>
              </w:rPr>
            </w:pPr>
            <w:r w:rsidRPr="06BFFAED">
              <w:rPr>
                <w:rFonts w:eastAsia="MS Mincho" w:cstheme="minorBidi"/>
              </w:rPr>
              <w:t>Varenicline</w:t>
            </w:r>
            <w:r w:rsidR="005E5F40" w:rsidRPr="06BFFAED">
              <w:rPr>
                <w:rFonts w:eastAsia="MS Mincho" w:cstheme="minorBidi"/>
              </w:rPr>
              <w:t>;</w:t>
            </w:r>
            <w:r w:rsidRPr="06BFFAED">
              <w:rPr>
                <w:rFonts w:eastAsia="MS Mincho" w:cstheme="minorBidi"/>
              </w:rPr>
              <w:t xml:space="preserve"> 12-w</w:t>
            </w:r>
            <w:r w:rsidR="005E5F40" w:rsidRPr="06BFFAED">
              <w:rPr>
                <w:rFonts w:eastAsia="MS Mincho" w:cstheme="minorBidi"/>
              </w:rPr>
              <w:t>ee</w:t>
            </w:r>
            <w:r w:rsidRPr="06BFFAED">
              <w:rPr>
                <w:rFonts w:eastAsia="MS Mincho" w:cstheme="minorBidi"/>
              </w:rPr>
              <w:t>k standard regimen, titrated for 1st w</w:t>
            </w:r>
            <w:r w:rsidR="005E5F40" w:rsidRPr="06BFFAED">
              <w:rPr>
                <w:rFonts w:eastAsia="MS Mincho" w:cstheme="minorBidi"/>
              </w:rPr>
              <w:t>ee</w:t>
            </w:r>
            <w:r w:rsidRPr="06BFFAED">
              <w:rPr>
                <w:rFonts w:eastAsia="MS Mincho" w:cstheme="minorBidi"/>
              </w:rPr>
              <w:t>k</w:t>
            </w:r>
            <w:r w:rsidR="005E5F40" w:rsidRPr="06BFFAED">
              <w:rPr>
                <w:rFonts w:eastAsia="MS Mincho" w:cstheme="minorBidi"/>
              </w:rPr>
              <w:t>.</w:t>
            </w:r>
          </w:p>
          <w:p w:rsidR="00C25F5E" w:rsidRPr="005E5F40" w:rsidRDefault="00C65C45" w:rsidP="00C324F3">
            <w:pPr>
              <w:pStyle w:val="Tablewriting"/>
              <w:numPr>
                <w:ilvl w:val="0"/>
                <w:numId w:val="78"/>
              </w:numPr>
              <w:rPr>
                <w:rFonts w:eastAsia="MS Mincho" w:cstheme="minorBidi"/>
              </w:rPr>
            </w:pPr>
            <w:r w:rsidRPr="06BFFAED">
              <w:rPr>
                <w:rFonts w:eastAsia="MS Mincho" w:cstheme="minorBidi"/>
              </w:rPr>
              <w:t>Control</w:t>
            </w:r>
            <w:r w:rsidR="005E5F40" w:rsidRPr="06BFFAED">
              <w:rPr>
                <w:rFonts w:eastAsia="MS Mincho" w:cstheme="minorBidi"/>
              </w:rPr>
              <w:t>;</w:t>
            </w:r>
            <w:r w:rsidRPr="06BFFAED">
              <w:rPr>
                <w:rFonts w:eastAsia="MS Mincho" w:cstheme="minorBidi"/>
              </w:rPr>
              <w:t xml:space="preserve"> Identical placebo tablets and regimen</w:t>
            </w:r>
            <w:r w:rsidR="003C4F95">
              <w:rPr>
                <w:rFonts w:eastAsia="MS Mincho" w:cstheme="minorHAnsi"/>
              </w:rPr>
              <w:t>.</w:t>
            </w:r>
          </w:p>
          <w:p w:rsidR="00C65C45" w:rsidRDefault="00C65C45" w:rsidP="00A71365">
            <w:pPr>
              <w:pStyle w:val="Tablewriting"/>
              <w:rPr>
                <w:rFonts w:eastAsia="MS Mincho" w:cstheme="minorBidi"/>
              </w:rPr>
            </w:pPr>
          </w:p>
          <w:p w:rsidR="00C65C45" w:rsidRPr="009E2A27" w:rsidRDefault="005E5F40" w:rsidP="00A71365">
            <w:pPr>
              <w:pStyle w:val="Tablewriting"/>
              <w:rPr>
                <w:rFonts w:eastAsia="MS Mincho" w:cstheme="minorBidi"/>
              </w:rPr>
            </w:pPr>
            <w:r w:rsidRPr="06BFFAED">
              <w:rPr>
                <w:rFonts w:eastAsia="MS Mincho" w:cstheme="minorBidi"/>
                <w:u w:val="single"/>
              </w:rPr>
              <w:t xml:space="preserve">Common components: </w:t>
            </w:r>
            <w:r w:rsidRPr="06BFFAED">
              <w:rPr>
                <w:rFonts w:eastAsia="MS Mincho" w:cstheme="minorBidi"/>
              </w:rPr>
              <w:t xml:space="preserve">All participants set a TQD 1 </w:t>
            </w:r>
            <w:r w:rsidRPr="00017AE6">
              <w:rPr>
                <w:rFonts w:eastAsia="MS Mincho" w:cstheme="minorHAnsi"/>
              </w:rPr>
              <w:t>w</w:t>
            </w:r>
            <w:r w:rsidR="003C4F95">
              <w:rPr>
                <w:rFonts w:eastAsia="MS Mincho" w:cstheme="minorHAnsi"/>
              </w:rPr>
              <w:t>ee</w:t>
            </w:r>
            <w:r w:rsidRPr="00017AE6">
              <w:rPr>
                <w:rFonts w:eastAsia="MS Mincho" w:cstheme="minorHAnsi"/>
              </w:rPr>
              <w:t>k</w:t>
            </w:r>
            <w:r w:rsidRPr="06BFFAED">
              <w:rPr>
                <w:rFonts w:eastAsia="MS Mincho" w:cstheme="minorBidi"/>
              </w:rPr>
              <w:t xml:space="preserve"> after treatment began. All were offered structured, brief </w:t>
            </w:r>
            <w:r w:rsidRPr="00017AE6">
              <w:rPr>
                <w:rFonts w:eastAsia="MS Mincho" w:cstheme="minorHAnsi"/>
              </w:rPr>
              <w:t>(</w:t>
            </w:r>
            <w:r w:rsidR="003C4F95" w:rsidRPr="003C4F95">
              <w:rPr>
                <w:rFonts w:eastAsia="MS Mincho" w:cstheme="minorHAnsi"/>
              </w:rPr>
              <w:t>≤</w:t>
            </w:r>
            <w:r w:rsidRPr="06BFFAED">
              <w:rPr>
                <w:rFonts w:eastAsia="MS Mincho" w:cstheme="minorBidi"/>
              </w:rPr>
              <w:t xml:space="preserve"> 10 mins) individual</w:t>
            </w:r>
            <w:r w:rsidR="009E2A27">
              <w:rPr>
                <w:rFonts w:eastAsia="MS Mincho" w:cstheme="minorBidi"/>
              </w:rPr>
              <w:t xml:space="preserve"> </w:t>
            </w:r>
            <w:r w:rsidRPr="06BFFAED">
              <w:rPr>
                <w:rFonts w:eastAsia="MS Mincho" w:cstheme="minorBidi"/>
              </w:rPr>
              <w:t>in-person counselling by a physician or tobacco specialist at baseline and at 2</w:t>
            </w:r>
            <w:r w:rsidR="003C4F95" w:rsidRPr="06BFFAED">
              <w:rPr>
                <w:rFonts w:eastAsia="MS Mincho" w:cstheme="minorBidi"/>
              </w:rPr>
              <w:t>-</w:t>
            </w:r>
            <w:r w:rsidRPr="06BFFAED">
              <w:rPr>
                <w:rFonts w:eastAsia="MS Mincho" w:cstheme="minorBidi"/>
              </w:rPr>
              <w:t>, 4</w:t>
            </w:r>
            <w:r w:rsidR="003C4F95" w:rsidRPr="06BFFAED">
              <w:rPr>
                <w:rFonts w:eastAsia="MS Mincho" w:cstheme="minorBidi"/>
              </w:rPr>
              <w:t>-</w:t>
            </w:r>
            <w:r w:rsidRPr="06BFFAED">
              <w:rPr>
                <w:rFonts w:eastAsia="MS Mincho" w:cstheme="minorBidi"/>
              </w:rPr>
              <w:t xml:space="preserve">, </w:t>
            </w:r>
            <w:r w:rsidR="003C4F95" w:rsidRPr="06BFFAED">
              <w:rPr>
                <w:rFonts w:eastAsia="MS Mincho" w:cstheme="minorBidi"/>
              </w:rPr>
              <w:t>8- and 12-</w:t>
            </w:r>
            <w:r w:rsidR="003C4F95" w:rsidRPr="00017AE6">
              <w:rPr>
                <w:rFonts w:eastAsia="MS Mincho" w:cstheme="minorHAnsi"/>
              </w:rPr>
              <w:lastRenderedPageBreak/>
              <w:t>week</w:t>
            </w:r>
            <w:r w:rsidR="003C4F95">
              <w:rPr>
                <w:rFonts w:eastAsia="MS Mincho" w:cstheme="minorHAnsi"/>
              </w:rPr>
              <w:t xml:space="preserve"> </w:t>
            </w:r>
            <w:r w:rsidRPr="06BFFAED">
              <w:rPr>
                <w:rFonts w:eastAsia="MS Mincho" w:cstheme="minorBidi"/>
              </w:rPr>
              <w:t>visits. All participants were also offered free quitline support</w:t>
            </w:r>
            <w:r w:rsidR="003C4F95">
              <w:rPr>
                <w:rFonts w:eastAsia="MS Mincho" w:cstheme="minorHAnsi"/>
              </w:rPr>
              <w:t>.</w:t>
            </w:r>
          </w:p>
        </w:tc>
        <w:tc>
          <w:tcPr>
            <w:tcW w:w="960" w:type="pct"/>
          </w:tcPr>
          <w:p w:rsidR="00C25F5E" w:rsidRDefault="003C4F95" w:rsidP="00A71365">
            <w:pPr>
              <w:pStyle w:val="Tablewriting"/>
              <w:rPr>
                <w:rFonts w:eastAsia="MS Mincho" w:cstheme="minorHAnsi"/>
              </w:rPr>
            </w:pPr>
            <w:r w:rsidRPr="003C4F95">
              <w:rPr>
                <w:rFonts w:eastAsia="MS Mincho" w:cstheme="minorHAnsi"/>
                <w:u w:val="single"/>
              </w:rPr>
              <w:lastRenderedPageBreak/>
              <w:t>Efficacy:</w:t>
            </w:r>
            <w:r>
              <w:rPr>
                <w:rFonts w:eastAsia="MS Mincho" w:cstheme="minorHAnsi"/>
              </w:rPr>
              <w:t xml:space="preserve"> </w:t>
            </w:r>
            <w:r w:rsidR="00C65C45" w:rsidRPr="00017AE6">
              <w:rPr>
                <w:rFonts w:eastAsia="MS Mincho" w:cstheme="minorHAnsi"/>
              </w:rPr>
              <w:t>7-day PPA at 12 and 24 w</w:t>
            </w:r>
            <w:r>
              <w:rPr>
                <w:rFonts w:eastAsia="MS Mincho" w:cstheme="minorHAnsi"/>
              </w:rPr>
              <w:t>ee</w:t>
            </w:r>
            <w:r w:rsidR="00C65C45" w:rsidRPr="00017AE6">
              <w:rPr>
                <w:rFonts w:eastAsia="MS Mincho" w:cstheme="minorHAnsi"/>
              </w:rPr>
              <w:t>ks</w:t>
            </w:r>
            <w:r>
              <w:rPr>
                <w:rFonts w:eastAsia="MS Mincho" w:cstheme="minorHAnsi"/>
              </w:rPr>
              <w:t xml:space="preserve">. </w:t>
            </w:r>
            <w:r w:rsidR="00C65C45" w:rsidRPr="00017AE6">
              <w:rPr>
                <w:rFonts w:eastAsia="MS Mincho" w:cstheme="minorHAnsi"/>
              </w:rPr>
              <w:t>Validat</w:t>
            </w:r>
            <w:r>
              <w:rPr>
                <w:rFonts w:eastAsia="MS Mincho" w:cstheme="minorHAnsi"/>
              </w:rPr>
              <w:t>ed by e</w:t>
            </w:r>
            <w:r w:rsidR="00C65C45" w:rsidRPr="00017AE6">
              <w:rPr>
                <w:rFonts w:eastAsia="MS Mincho" w:cstheme="minorHAnsi"/>
              </w:rPr>
              <w:t>xpired CO &lt; 8 ppm</w:t>
            </w:r>
            <w:r>
              <w:rPr>
                <w:rFonts w:eastAsia="MS Mincho" w:cstheme="minorHAnsi"/>
              </w:rPr>
              <w:t>.</w:t>
            </w:r>
          </w:p>
          <w:p w:rsidR="003C4F95" w:rsidRDefault="003C4F95" w:rsidP="00A71365">
            <w:pPr>
              <w:pStyle w:val="Tablewriting"/>
              <w:rPr>
                <w:rFonts w:eastAsia="MS Mincho" w:cstheme="minorHAnsi"/>
              </w:rPr>
            </w:pPr>
          </w:p>
          <w:p w:rsidR="00C25F5E" w:rsidRPr="00017AE6" w:rsidRDefault="003C4F95" w:rsidP="00A71365">
            <w:pPr>
              <w:pStyle w:val="Tablewriting"/>
              <w:rPr>
                <w:rFonts w:eastAsia="MS Mincho" w:cstheme="minorHAnsi"/>
              </w:rPr>
            </w:pPr>
            <w:r w:rsidRPr="003C4F95">
              <w:rPr>
                <w:rFonts w:eastAsia="MS Mincho" w:cstheme="minorHAnsi"/>
                <w:u w:val="single"/>
              </w:rPr>
              <w:t>Safety:</w:t>
            </w:r>
            <w:r>
              <w:rPr>
                <w:rFonts w:eastAsia="MS Mincho" w:cstheme="minorHAnsi"/>
              </w:rPr>
              <w:t xml:space="preserve"> NR</w:t>
            </w: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t xml:space="preserve">Nakamura </w:t>
            </w:r>
            <w:r w:rsidR="00DF0515">
              <w:rPr>
                <w:rFonts w:eastAsia="MS Mincho" w:cstheme="minorHAnsi"/>
              </w:rPr>
              <w:t>(</w:t>
            </w:r>
            <w:r w:rsidRPr="00017AE6">
              <w:rPr>
                <w:rFonts w:eastAsia="MS Mincho" w:cstheme="minorHAnsi"/>
              </w:rPr>
              <w:t>2007</w:t>
            </w:r>
            <w:r w:rsidR="00DF0515">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C65C45" w:rsidP="00A71365">
            <w:pPr>
              <w:pStyle w:val="Tablewriting"/>
              <w:rPr>
                <w:rFonts w:eastAsia="MS Mincho" w:cstheme="minorHAnsi"/>
              </w:rPr>
            </w:pPr>
            <w:r w:rsidRPr="00017AE6">
              <w:rPr>
                <w:rFonts w:eastAsia="MS Mincho" w:cstheme="minorHAnsi"/>
              </w:rPr>
              <w:t>Japan</w:t>
            </w:r>
          </w:p>
        </w:tc>
        <w:tc>
          <w:tcPr>
            <w:tcW w:w="675" w:type="pct"/>
          </w:tcPr>
          <w:p w:rsidR="00C25F5E" w:rsidRPr="00017AE6" w:rsidRDefault="00C25F5E" w:rsidP="00A71365">
            <w:pPr>
              <w:pStyle w:val="Tablewriting"/>
              <w:rPr>
                <w:rFonts w:eastAsia="MS Mincho" w:cstheme="minorHAnsi"/>
              </w:rPr>
            </w:pPr>
            <w:r w:rsidRPr="00017AE6">
              <w:rPr>
                <w:rFonts w:eastAsia="MS Mincho" w:cstheme="minorHAnsi"/>
              </w:rPr>
              <w:t>N=</w:t>
            </w:r>
            <w:r w:rsidR="00C65C45" w:rsidRPr="00017AE6">
              <w:rPr>
                <w:rFonts w:eastAsia="MS Mincho" w:cstheme="minorHAnsi"/>
              </w:rPr>
              <w:t>619</w:t>
            </w:r>
            <w:r w:rsidR="000236BC">
              <w:rPr>
                <w:rFonts w:eastAsia="MS Mincho" w:cstheme="minorHAnsi"/>
              </w:rPr>
              <w:t xml:space="preserve">; </w:t>
            </w:r>
            <w:r w:rsidR="003F3DFE">
              <w:rPr>
                <w:rFonts w:eastAsia="MS Mincho" w:cstheme="minorHAnsi"/>
              </w:rPr>
              <w:t>n=153 (</w:t>
            </w:r>
            <w:r w:rsidR="009E2A27">
              <w:rPr>
                <w:rFonts w:eastAsia="MS Mincho" w:cstheme="minorHAnsi"/>
              </w:rPr>
              <w:t xml:space="preserve">varenicline 0.25 </w:t>
            </w:r>
            <w:r w:rsidR="000236BC" w:rsidRPr="00017AE6">
              <w:rPr>
                <w:rFonts w:eastAsia="MS Mincho" w:cstheme="minorHAnsi"/>
              </w:rPr>
              <w:t xml:space="preserve">mg x 2/day), </w:t>
            </w:r>
            <w:r w:rsidR="005429E2">
              <w:rPr>
                <w:rFonts w:eastAsia="MS Mincho" w:cstheme="minorHAnsi"/>
              </w:rPr>
              <w:t>n=156 (</w:t>
            </w:r>
            <w:r w:rsidR="003F3DFE" w:rsidRPr="003F3DFE">
              <w:rPr>
                <w:rFonts w:eastAsia="MS Mincho" w:cstheme="minorHAnsi"/>
              </w:rPr>
              <w:t>varenicline</w:t>
            </w:r>
            <w:r w:rsidR="000236BC" w:rsidRPr="00017AE6">
              <w:rPr>
                <w:rFonts w:eastAsia="MS Mincho" w:cstheme="minorHAnsi"/>
              </w:rPr>
              <w:t xml:space="preserve"> 0.5 mg x 2/day), </w:t>
            </w:r>
            <w:r w:rsidR="005429E2">
              <w:rPr>
                <w:rFonts w:eastAsia="MS Mincho" w:cstheme="minorHAnsi"/>
              </w:rPr>
              <w:t>n=156 (varenicline</w:t>
            </w:r>
            <w:r w:rsidR="000236BC" w:rsidRPr="00017AE6">
              <w:rPr>
                <w:rFonts w:eastAsia="MS Mincho" w:cstheme="minorHAnsi"/>
              </w:rPr>
              <w:t xml:space="preserve"> 1.0 mg x 2/day)</w:t>
            </w:r>
            <w:r w:rsidR="005429E2">
              <w:rPr>
                <w:rFonts w:eastAsia="MS Mincho" w:cstheme="minorHAnsi"/>
              </w:rPr>
              <w:t>,</w:t>
            </w:r>
            <w:r w:rsidR="000236BC" w:rsidRPr="00017AE6">
              <w:rPr>
                <w:rFonts w:eastAsia="MS Mincho" w:cstheme="minorHAnsi"/>
              </w:rPr>
              <w:t xml:space="preserve"> </w:t>
            </w:r>
            <w:r w:rsidR="005429E2">
              <w:rPr>
                <w:rFonts w:eastAsia="MS Mincho" w:cstheme="minorHAnsi"/>
              </w:rPr>
              <w:t>n=154 (</w:t>
            </w:r>
            <w:r w:rsidR="000236BC" w:rsidRPr="00017AE6">
              <w:rPr>
                <w:rFonts w:eastAsia="MS Mincho" w:cstheme="minorHAnsi"/>
              </w:rPr>
              <w:t>placebo x 2/day).</w:t>
            </w:r>
          </w:p>
        </w:tc>
        <w:tc>
          <w:tcPr>
            <w:tcW w:w="853" w:type="pct"/>
          </w:tcPr>
          <w:p w:rsidR="00361C80" w:rsidRPr="00017AE6" w:rsidRDefault="000236BC" w:rsidP="00A71365">
            <w:pPr>
              <w:pStyle w:val="Tablewriting"/>
              <w:rPr>
                <w:rFonts w:eastAsia="MS Mincho" w:cstheme="minorHAnsi"/>
              </w:rPr>
            </w:pPr>
            <w:r>
              <w:rPr>
                <w:rFonts w:eastAsia="MS Mincho" w:cstheme="minorHAnsi"/>
              </w:rPr>
              <w:t>H</w:t>
            </w:r>
            <w:r w:rsidR="00361C80" w:rsidRPr="00017AE6">
              <w:rPr>
                <w:rFonts w:eastAsia="MS Mincho" w:cstheme="minorHAnsi"/>
              </w:rPr>
              <w:t xml:space="preserve">ealthy Japanese adult volunteers, aged 20 </w:t>
            </w:r>
            <w:r>
              <w:rPr>
                <w:rFonts w:eastAsia="MS Mincho" w:cstheme="minorHAnsi"/>
              </w:rPr>
              <w:t>–</w:t>
            </w:r>
            <w:r w:rsidR="00361C80" w:rsidRPr="00017AE6">
              <w:rPr>
                <w:rFonts w:eastAsia="MS Mincho" w:cstheme="minorHAnsi"/>
              </w:rPr>
              <w:t xml:space="preserve"> 75</w:t>
            </w:r>
            <w:r>
              <w:rPr>
                <w:rFonts w:eastAsia="MS Mincho" w:cstheme="minorHAnsi"/>
              </w:rPr>
              <w:t xml:space="preserve"> years</w:t>
            </w:r>
            <w:r w:rsidR="00361C80" w:rsidRPr="00017AE6">
              <w:rPr>
                <w:rFonts w:eastAsia="MS Mincho" w:cstheme="minorHAnsi"/>
              </w:rPr>
              <w:t xml:space="preserve">, smoking </w:t>
            </w:r>
            <w:r w:rsidR="007341DD" w:rsidRPr="007341DD">
              <w:rPr>
                <w:rFonts w:eastAsia="MS Mincho" w:cstheme="minorHAnsi"/>
              </w:rPr>
              <w:t>≥</w:t>
            </w:r>
            <w:r w:rsidR="00361C80" w:rsidRPr="00017AE6">
              <w:rPr>
                <w:rFonts w:eastAsia="MS Mincho" w:cstheme="minorHAnsi"/>
              </w:rPr>
              <w:t xml:space="preserve"> 10 CPD. </w:t>
            </w:r>
          </w:p>
          <w:p w:rsidR="007341DD" w:rsidRDefault="007341DD" w:rsidP="00A71365">
            <w:pPr>
              <w:pStyle w:val="Tablewriting"/>
              <w:rPr>
                <w:rFonts w:eastAsia="MS Mincho" w:cstheme="minorHAnsi"/>
              </w:rPr>
            </w:pPr>
          </w:p>
          <w:p w:rsidR="00361C80" w:rsidRPr="00017AE6" w:rsidRDefault="00361C80" w:rsidP="00A71365">
            <w:pPr>
              <w:pStyle w:val="Tablewriting"/>
              <w:rPr>
                <w:rFonts w:eastAsia="MS Mincho" w:cstheme="minorHAnsi"/>
              </w:rPr>
            </w:pPr>
            <w:r w:rsidRPr="00017AE6">
              <w:rPr>
                <w:rFonts w:eastAsia="MS Mincho" w:cstheme="minorHAnsi"/>
              </w:rPr>
              <w:t>Participants stratified by level of nicotine dependence, measured</w:t>
            </w:r>
            <w:r w:rsidR="009E2A27">
              <w:rPr>
                <w:rFonts w:eastAsia="MS Mincho" w:cstheme="minorHAnsi"/>
              </w:rPr>
              <w:t xml:space="preserve"> by Tobacco Dependence Screener </w:t>
            </w:r>
            <w:r w:rsidRPr="00017AE6">
              <w:rPr>
                <w:rFonts w:eastAsia="MS Mincho" w:cstheme="minorHAnsi"/>
              </w:rPr>
              <w:t>scale (p 5) and by FTND. 515 (83.3%) classified as nicotine dependent</w:t>
            </w:r>
            <w:r w:rsidR="00332CAE">
              <w:rPr>
                <w:rFonts w:eastAsia="MS Mincho" w:cstheme="minorHAnsi"/>
              </w:rPr>
              <w:t>.</w:t>
            </w:r>
          </w:p>
          <w:p w:rsidR="00332CAE" w:rsidRDefault="00332CAE" w:rsidP="00A71365">
            <w:pPr>
              <w:pStyle w:val="Tablewriting"/>
              <w:rPr>
                <w:rFonts w:eastAsia="MS Mincho" w:cstheme="minorHAnsi"/>
              </w:rPr>
            </w:pPr>
          </w:p>
          <w:p w:rsidR="00361C80" w:rsidRPr="00017AE6" w:rsidRDefault="00361C80" w:rsidP="00A71365">
            <w:pPr>
              <w:pStyle w:val="Tablewriting"/>
              <w:rPr>
                <w:rFonts w:eastAsia="MS Mincho" w:cstheme="minorHAnsi"/>
              </w:rPr>
            </w:pPr>
            <w:r w:rsidRPr="00017AE6">
              <w:rPr>
                <w:rFonts w:eastAsia="MS Mincho" w:cstheme="minorHAnsi"/>
              </w:rPr>
              <w:t>Demographic data only supplied for nicotine-dependent group (515/618): 75% men, mean age 39.8,</w:t>
            </w:r>
            <w:r w:rsidR="00332CAE">
              <w:rPr>
                <w:rFonts w:eastAsia="MS Mincho" w:cstheme="minorHAnsi"/>
              </w:rPr>
              <w:t xml:space="preserve"> </w:t>
            </w:r>
            <w:r w:rsidRPr="00017AE6">
              <w:rPr>
                <w:rFonts w:eastAsia="MS Mincho" w:cstheme="minorHAnsi"/>
              </w:rPr>
              <w:t>mean CPD 24, mean FTND score 5.6</w:t>
            </w:r>
            <w:r w:rsidR="00332CAE">
              <w:rPr>
                <w:rFonts w:eastAsia="MS Mincho" w:cstheme="minorHAnsi"/>
              </w:rPr>
              <w:t>.</w:t>
            </w:r>
          </w:p>
          <w:p w:rsidR="00332CAE" w:rsidRDefault="00332CAE" w:rsidP="00A71365">
            <w:pPr>
              <w:pStyle w:val="Tablewriting"/>
              <w:rPr>
                <w:rFonts w:eastAsia="MS Mincho" w:cstheme="minorHAnsi"/>
              </w:rPr>
            </w:pPr>
          </w:p>
          <w:p w:rsidR="00361C80" w:rsidRPr="00017AE6" w:rsidRDefault="00361C80" w:rsidP="00A71365">
            <w:pPr>
              <w:pStyle w:val="Tablewriting"/>
              <w:rPr>
                <w:rFonts w:eastAsia="MS Mincho" w:cstheme="minorHAnsi"/>
              </w:rPr>
            </w:pPr>
            <w:r w:rsidRPr="00332CAE">
              <w:rPr>
                <w:rFonts w:eastAsia="MS Mincho" w:cstheme="minorHAnsi"/>
                <w:u w:val="single"/>
              </w:rPr>
              <w:t xml:space="preserve">Exclusion criteria: </w:t>
            </w:r>
            <w:r w:rsidRPr="00017AE6">
              <w:rPr>
                <w:rFonts w:eastAsia="MS Mincho" w:cstheme="minorHAnsi"/>
              </w:rPr>
              <w:t>Standard</w:t>
            </w:r>
            <w:r w:rsidR="001166D2">
              <w:rPr>
                <w:rFonts w:eastAsia="MS Mincho" w:cstheme="minorHAnsi"/>
              </w:rPr>
              <w:t xml:space="preserve"> </w:t>
            </w:r>
            <w:r w:rsidRPr="00017AE6">
              <w:rPr>
                <w:rFonts w:eastAsia="MS Mincho" w:cstheme="minorHAnsi"/>
              </w:rPr>
              <w:t>pharmacotherapy trial criteria, + use of NRT within last 30 days, use of pipe</w:t>
            </w:r>
          </w:p>
          <w:p w:rsidR="00C25F5E" w:rsidRPr="00017AE6" w:rsidRDefault="00361C80" w:rsidP="00A71365">
            <w:pPr>
              <w:pStyle w:val="Tablewriting"/>
              <w:rPr>
                <w:rFonts w:eastAsia="MS Mincho" w:cstheme="minorHAnsi"/>
              </w:rPr>
            </w:pPr>
            <w:r w:rsidRPr="00017AE6">
              <w:rPr>
                <w:rFonts w:eastAsia="MS Mincho" w:cstheme="minorHAnsi"/>
              </w:rPr>
              <w:t xml:space="preserve">tobacco, </w:t>
            </w:r>
            <w:r w:rsidRPr="00987B2A">
              <w:rPr>
                <w:rFonts w:eastAsia="MS Mincho" w:cstheme="minorHAnsi"/>
              </w:rPr>
              <w:t>snu</w:t>
            </w:r>
            <w:r w:rsidR="00987B2A" w:rsidRPr="00987B2A">
              <w:rPr>
                <w:rFonts w:eastAsia="MS Mincho" w:cstheme="minorHAnsi"/>
              </w:rPr>
              <w:t>ff</w:t>
            </w:r>
            <w:r w:rsidRPr="00017AE6">
              <w:rPr>
                <w:rFonts w:eastAsia="MS Mincho" w:cstheme="minorHAnsi"/>
              </w:rPr>
              <w:t>, chewing tobacco, cigars within last 30 days and throughout trial</w:t>
            </w:r>
            <w:r w:rsidR="001166D2">
              <w:rPr>
                <w:rFonts w:eastAsia="MS Mincho" w:cstheme="minorHAnsi"/>
              </w:rPr>
              <w:t>.</w:t>
            </w:r>
          </w:p>
        </w:tc>
        <w:tc>
          <w:tcPr>
            <w:tcW w:w="1055" w:type="pct"/>
          </w:tcPr>
          <w:p w:rsidR="003359FB" w:rsidRDefault="00361C80" w:rsidP="00C324F3">
            <w:pPr>
              <w:pStyle w:val="Tablewriting"/>
              <w:numPr>
                <w:ilvl w:val="0"/>
                <w:numId w:val="79"/>
              </w:numPr>
              <w:rPr>
                <w:rFonts w:eastAsia="MS Mincho" w:cstheme="minorHAnsi"/>
              </w:rPr>
            </w:pPr>
            <w:r w:rsidRPr="00017AE6">
              <w:rPr>
                <w:rFonts w:eastAsia="MS Mincho" w:cstheme="minorHAnsi"/>
              </w:rPr>
              <w:t>Varenicline 0.25 mg x 2/day</w:t>
            </w:r>
            <w:r w:rsidR="003359FB">
              <w:rPr>
                <w:rFonts w:eastAsia="MS Mincho" w:cstheme="minorHAnsi"/>
              </w:rPr>
              <w:t>.</w:t>
            </w:r>
          </w:p>
          <w:p w:rsidR="003359FB" w:rsidRDefault="00361C80" w:rsidP="00C324F3">
            <w:pPr>
              <w:pStyle w:val="Tablewriting"/>
              <w:numPr>
                <w:ilvl w:val="0"/>
                <w:numId w:val="79"/>
              </w:numPr>
              <w:rPr>
                <w:rFonts w:eastAsia="MS Mincho" w:cstheme="minorHAnsi"/>
              </w:rPr>
            </w:pPr>
            <w:r w:rsidRPr="003359FB">
              <w:rPr>
                <w:rFonts w:eastAsia="MS Mincho" w:cstheme="minorHAnsi"/>
              </w:rPr>
              <w:t>Varenicline 0.50 mg x 2/day</w:t>
            </w:r>
            <w:r w:rsidR="003359FB">
              <w:rPr>
                <w:rFonts w:eastAsia="MS Mincho" w:cstheme="minorHAnsi"/>
              </w:rPr>
              <w:t>.</w:t>
            </w:r>
          </w:p>
          <w:p w:rsidR="003359FB" w:rsidRDefault="00361C80" w:rsidP="00C324F3">
            <w:pPr>
              <w:pStyle w:val="Tablewriting"/>
              <w:numPr>
                <w:ilvl w:val="0"/>
                <w:numId w:val="79"/>
              </w:numPr>
              <w:rPr>
                <w:rFonts w:eastAsia="MS Mincho" w:cstheme="minorHAnsi"/>
              </w:rPr>
            </w:pPr>
            <w:r w:rsidRPr="003359FB">
              <w:rPr>
                <w:rFonts w:eastAsia="MS Mincho" w:cstheme="minorHAnsi"/>
              </w:rPr>
              <w:t>Varenicline 1.00 mg x 2/day</w:t>
            </w:r>
            <w:r w:rsidR="003359FB">
              <w:rPr>
                <w:rFonts w:eastAsia="MS Mincho" w:cstheme="minorHAnsi"/>
              </w:rPr>
              <w:t>.</w:t>
            </w:r>
          </w:p>
          <w:p w:rsidR="00361C80" w:rsidRPr="00017AE6" w:rsidRDefault="00361C80" w:rsidP="00C324F3">
            <w:pPr>
              <w:pStyle w:val="Tablewriting"/>
              <w:numPr>
                <w:ilvl w:val="0"/>
                <w:numId w:val="79"/>
              </w:numPr>
              <w:rPr>
                <w:rFonts w:eastAsia="MS Mincho" w:cstheme="minorHAnsi"/>
              </w:rPr>
            </w:pPr>
            <w:r w:rsidRPr="00017AE6">
              <w:rPr>
                <w:rFonts w:eastAsia="MS Mincho" w:cstheme="minorHAnsi"/>
              </w:rPr>
              <w:t>Placebo tablet x 2/day</w:t>
            </w:r>
          </w:p>
          <w:p w:rsidR="003359FB" w:rsidRDefault="003359FB" w:rsidP="00A71365">
            <w:pPr>
              <w:pStyle w:val="Tablewriting"/>
              <w:rPr>
                <w:rFonts w:eastAsia="MS Mincho" w:cstheme="minorHAnsi"/>
              </w:rPr>
            </w:pPr>
          </w:p>
          <w:p w:rsidR="00361C80" w:rsidRPr="00017AE6" w:rsidRDefault="00F70919" w:rsidP="00A71365">
            <w:pPr>
              <w:pStyle w:val="Tablewriting"/>
              <w:rPr>
                <w:rFonts w:eastAsia="MS Mincho" w:cstheme="minorHAnsi"/>
              </w:rPr>
            </w:pPr>
            <w:r w:rsidRPr="06BFFAED">
              <w:rPr>
                <w:rFonts w:eastAsia="MS Mincho" w:cstheme="minorBidi"/>
                <w:u w:val="single"/>
              </w:rPr>
              <w:t>Common components:</w:t>
            </w:r>
            <w:r>
              <w:rPr>
                <w:rFonts w:eastAsia="MS Mincho" w:cstheme="minorBidi"/>
                <w:u w:val="single"/>
              </w:rPr>
              <w:t xml:space="preserve"> </w:t>
            </w:r>
            <w:r w:rsidR="00361C80" w:rsidRPr="00017AE6">
              <w:rPr>
                <w:rFonts w:eastAsia="MS Mincho" w:cstheme="minorHAnsi"/>
              </w:rPr>
              <w:t>Treatment period 12 w</w:t>
            </w:r>
            <w:r w:rsidR="003359FB">
              <w:rPr>
                <w:rFonts w:eastAsia="MS Mincho" w:cstheme="minorHAnsi"/>
              </w:rPr>
              <w:t>ee</w:t>
            </w:r>
            <w:r w:rsidR="00361C80" w:rsidRPr="00017AE6">
              <w:rPr>
                <w:rFonts w:eastAsia="MS Mincho" w:cstheme="minorHAnsi"/>
              </w:rPr>
              <w:t>ks, 1st w</w:t>
            </w:r>
            <w:r w:rsidR="003359FB">
              <w:rPr>
                <w:rFonts w:eastAsia="MS Mincho" w:cstheme="minorHAnsi"/>
              </w:rPr>
              <w:t>ee</w:t>
            </w:r>
            <w:r w:rsidR="00361C80" w:rsidRPr="00017AE6">
              <w:rPr>
                <w:rFonts w:eastAsia="MS Mincho" w:cstheme="minorHAnsi"/>
              </w:rPr>
              <w:t>k titrated dosage. All participants received a smoking cessation booklet</w:t>
            </w:r>
            <w:r w:rsidR="003359FB">
              <w:rPr>
                <w:rFonts w:eastAsia="MS Mincho" w:cstheme="minorHAnsi"/>
              </w:rPr>
              <w:t xml:space="preserve"> </w:t>
            </w:r>
            <w:r w:rsidR="00361C80" w:rsidRPr="00017AE6">
              <w:rPr>
                <w:rFonts w:eastAsia="MS Mincho" w:cstheme="minorHAnsi"/>
              </w:rPr>
              <w:t>Clearing the Air at baseline, + brief counselling (</w:t>
            </w:r>
            <w:r w:rsidR="00135A98" w:rsidRPr="00135A98">
              <w:rPr>
                <w:rFonts w:eastAsia="MS Mincho" w:cstheme="minorHAnsi"/>
              </w:rPr>
              <w:t>≤</w:t>
            </w:r>
            <w:r w:rsidR="00361C80" w:rsidRPr="00017AE6">
              <w:rPr>
                <w:rFonts w:eastAsia="MS Mincho" w:cstheme="minorHAnsi"/>
              </w:rPr>
              <w:t xml:space="preserve"> 10 mins) at each clinic visit. Weekly visits throughout</w:t>
            </w:r>
            <w:r>
              <w:rPr>
                <w:rFonts w:eastAsia="MS Mincho" w:cstheme="minorHAnsi"/>
              </w:rPr>
              <w:t xml:space="preserve"> </w:t>
            </w:r>
            <w:r w:rsidR="00361C80" w:rsidRPr="00017AE6">
              <w:rPr>
                <w:rFonts w:eastAsia="MS Mincho" w:cstheme="minorHAnsi"/>
              </w:rPr>
              <w:t>treatment phase, plus a 5-min phone call at TQD and +3 days post-TQD</w:t>
            </w:r>
          </w:p>
          <w:p w:rsidR="00F70919" w:rsidRDefault="00F70919" w:rsidP="00A71365">
            <w:pPr>
              <w:pStyle w:val="Tablewriting"/>
              <w:rPr>
                <w:rFonts w:eastAsia="MS Mincho" w:cstheme="minorHAnsi"/>
              </w:rPr>
            </w:pPr>
          </w:p>
          <w:p w:rsidR="00361C80" w:rsidRPr="00017AE6" w:rsidRDefault="00361C80" w:rsidP="00A71365">
            <w:pPr>
              <w:pStyle w:val="Tablewriting"/>
              <w:rPr>
                <w:rFonts w:eastAsia="MS Mincho" w:cstheme="minorHAnsi"/>
              </w:rPr>
            </w:pPr>
            <w:r w:rsidRPr="00017AE6">
              <w:rPr>
                <w:rFonts w:eastAsia="MS Mincho" w:cstheme="minorHAnsi"/>
              </w:rPr>
              <w:t>In follow-up phase, clinic visits at w</w:t>
            </w:r>
            <w:r w:rsidR="002E32CD">
              <w:rPr>
                <w:rFonts w:eastAsia="MS Mincho" w:cstheme="minorHAnsi"/>
              </w:rPr>
              <w:t>ee</w:t>
            </w:r>
            <w:r w:rsidRPr="00017AE6">
              <w:rPr>
                <w:rFonts w:eastAsia="MS Mincho" w:cstheme="minorHAnsi"/>
              </w:rPr>
              <w:t>ks 13, 16, 24, 36, 44 and 52, plus brief phone calls at w</w:t>
            </w:r>
            <w:r w:rsidR="002E32CD">
              <w:rPr>
                <w:rFonts w:eastAsia="MS Mincho" w:cstheme="minorHAnsi"/>
              </w:rPr>
              <w:t>ee</w:t>
            </w:r>
            <w:r w:rsidRPr="00017AE6">
              <w:rPr>
                <w:rFonts w:eastAsia="MS Mincho" w:cstheme="minorHAnsi"/>
              </w:rPr>
              <w:t>ks 20, 28, 32,</w:t>
            </w:r>
          </w:p>
          <w:p w:rsidR="00C25F5E" w:rsidRPr="00017AE6" w:rsidRDefault="00361C80" w:rsidP="00A71365">
            <w:pPr>
              <w:pStyle w:val="Tablewriting"/>
              <w:rPr>
                <w:rFonts w:eastAsia="MS Mincho" w:cstheme="minorHAnsi"/>
              </w:rPr>
            </w:pPr>
            <w:r w:rsidRPr="00017AE6">
              <w:rPr>
                <w:rFonts w:eastAsia="MS Mincho" w:cstheme="minorHAnsi"/>
              </w:rPr>
              <w:t>40 and 48</w:t>
            </w:r>
            <w:r w:rsidR="002E32CD">
              <w:rPr>
                <w:rFonts w:eastAsia="MS Mincho" w:cstheme="minorHAnsi"/>
              </w:rPr>
              <w:t>.</w:t>
            </w:r>
          </w:p>
        </w:tc>
        <w:tc>
          <w:tcPr>
            <w:tcW w:w="960" w:type="pct"/>
          </w:tcPr>
          <w:p w:rsidR="003114F5" w:rsidRPr="003114F5" w:rsidRDefault="003114F5" w:rsidP="00A71365">
            <w:pPr>
              <w:pStyle w:val="Tablewriting"/>
              <w:rPr>
                <w:rFonts w:eastAsia="MS Mincho" w:cstheme="minorHAnsi"/>
                <w:u w:val="single"/>
              </w:rPr>
            </w:pPr>
            <w:r w:rsidRPr="003114F5">
              <w:rPr>
                <w:rFonts w:eastAsia="MS Mincho" w:cstheme="minorHAnsi"/>
                <w:u w:val="single"/>
              </w:rPr>
              <w:t>Efficacy:</w:t>
            </w:r>
          </w:p>
          <w:p w:rsidR="00361C80" w:rsidRPr="00017AE6" w:rsidRDefault="00361C80" w:rsidP="00A71365">
            <w:pPr>
              <w:pStyle w:val="Tablewriting"/>
              <w:rPr>
                <w:rFonts w:eastAsia="MS Mincho" w:cstheme="minorHAnsi"/>
              </w:rPr>
            </w:pPr>
            <w:r w:rsidRPr="00017AE6">
              <w:rPr>
                <w:rFonts w:eastAsia="MS Mincho" w:cstheme="minorHAnsi"/>
              </w:rPr>
              <w:t>Primary outcome: CO-validated CAR at 9 - 12 w</w:t>
            </w:r>
            <w:r w:rsidR="003114F5">
              <w:rPr>
                <w:rFonts w:eastAsia="MS Mincho" w:cstheme="minorHAnsi"/>
              </w:rPr>
              <w:t>ee</w:t>
            </w:r>
            <w:r w:rsidRPr="00017AE6">
              <w:rPr>
                <w:rFonts w:eastAsia="MS Mincho" w:cstheme="minorHAnsi"/>
              </w:rPr>
              <w:t>ks</w:t>
            </w:r>
            <w:r w:rsidR="003114F5">
              <w:rPr>
                <w:rFonts w:eastAsia="MS Mincho" w:cstheme="minorHAnsi"/>
              </w:rPr>
              <w:t>,</w:t>
            </w:r>
          </w:p>
          <w:p w:rsidR="00361C80" w:rsidRPr="00017AE6" w:rsidRDefault="00361C80" w:rsidP="00A71365">
            <w:pPr>
              <w:pStyle w:val="Tablewriting"/>
              <w:rPr>
                <w:rFonts w:eastAsia="MS Mincho" w:cstheme="minorHAnsi"/>
              </w:rPr>
            </w:pPr>
            <w:r w:rsidRPr="00017AE6">
              <w:rPr>
                <w:rFonts w:eastAsia="MS Mincho" w:cstheme="minorHAnsi"/>
              </w:rPr>
              <w:t>Secondary outcomes: CO-validated CAR at 9 - 24 w</w:t>
            </w:r>
            <w:r w:rsidR="003208B9">
              <w:rPr>
                <w:rFonts w:eastAsia="MS Mincho" w:cstheme="minorHAnsi"/>
              </w:rPr>
              <w:t>ee</w:t>
            </w:r>
            <w:r w:rsidRPr="00017AE6">
              <w:rPr>
                <w:rFonts w:eastAsia="MS Mincho" w:cstheme="minorHAnsi"/>
              </w:rPr>
              <w:t>ks and 9 - 52 w</w:t>
            </w:r>
            <w:r w:rsidR="003208B9">
              <w:rPr>
                <w:rFonts w:eastAsia="MS Mincho" w:cstheme="minorHAnsi"/>
              </w:rPr>
              <w:t>ee</w:t>
            </w:r>
            <w:r w:rsidRPr="00017AE6">
              <w:rPr>
                <w:rFonts w:eastAsia="MS Mincho" w:cstheme="minorHAnsi"/>
              </w:rPr>
              <w:t>ks; 7-day PPA at w</w:t>
            </w:r>
            <w:r w:rsidR="003208B9">
              <w:rPr>
                <w:rFonts w:eastAsia="MS Mincho" w:cstheme="minorHAnsi"/>
              </w:rPr>
              <w:t>ee</w:t>
            </w:r>
            <w:r w:rsidRPr="00017AE6">
              <w:rPr>
                <w:rFonts w:eastAsia="MS Mincho" w:cstheme="minorHAnsi"/>
              </w:rPr>
              <w:t>ks 2, 12, 24 and 52</w:t>
            </w:r>
            <w:r w:rsidR="003208B9">
              <w:rPr>
                <w:rFonts w:eastAsia="MS Mincho" w:cstheme="minorHAnsi"/>
              </w:rPr>
              <w:t>.</w:t>
            </w:r>
          </w:p>
          <w:p w:rsidR="00361C80" w:rsidRPr="00017AE6" w:rsidRDefault="00361C80" w:rsidP="00A71365">
            <w:pPr>
              <w:pStyle w:val="Tablewriting"/>
              <w:rPr>
                <w:rFonts w:eastAsia="MS Mincho" w:cstheme="minorHAnsi"/>
              </w:rPr>
            </w:pPr>
            <w:r w:rsidRPr="00017AE6">
              <w:rPr>
                <w:rFonts w:eastAsia="MS Mincho" w:cstheme="minorHAnsi"/>
              </w:rPr>
              <w:t xml:space="preserve">Validation was by expired CO </w:t>
            </w:r>
            <w:r w:rsidR="00B41ED0" w:rsidRPr="00B41ED0">
              <w:rPr>
                <w:rFonts w:eastAsia="MS Mincho" w:cstheme="minorHAnsi"/>
              </w:rPr>
              <w:t>≤</w:t>
            </w:r>
            <w:r w:rsidRPr="00017AE6">
              <w:rPr>
                <w:rFonts w:eastAsia="MS Mincho" w:cstheme="minorHAnsi"/>
              </w:rPr>
              <w:t xml:space="preserve"> 10 ppm</w:t>
            </w:r>
          </w:p>
          <w:p w:rsidR="00526E5D" w:rsidRDefault="00526E5D" w:rsidP="00A71365">
            <w:pPr>
              <w:pStyle w:val="Tablewriting"/>
              <w:rPr>
                <w:rFonts w:eastAsia="MS Mincho" w:cstheme="minorHAnsi"/>
              </w:rPr>
            </w:pPr>
          </w:p>
          <w:p w:rsidR="00526E5D" w:rsidRPr="00017AE6" w:rsidRDefault="00526E5D" w:rsidP="00A71365">
            <w:pPr>
              <w:pStyle w:val="Tablewriting"/>
              <w:rPr>
                <w:rFonts w:eastAsia="MS Mincho" w:cstheme="minorHAnsi"/>
              </w:rPr>
            </w:pPr>
            <w:r w:rsidRPr="00526E5D">
              <w:rPr>
                <w:rFonts w:eastAsia="MS Mincho" w:cstheme="minorHAnsi"/>
                <w:u w:val="single"/>
              </w:rPr>
              <w:t>Safety</w:t>
            </w:r>
            <w:r w:rsidRPr="00526E5D">
              <w:rPr>
                <w:rFonts w:eastAsia="MS Mincho" w:cstheme="minorHAnsi"/>
              </w:rPr>
              <w:t xml:space="preserve">: </w:t>
            </w:r>
            <w:r>
              <w:rPr>
                <w:rFonts w:eastAsia="MS Mincho" w:cstheme="minorHAnsi"/>
              </w:rPr>
              <w:t>A</w:t>
            </w:r>
            <w:r w:rsidRPr="00017AE6">
              <w:rPr>
                <w:rFonts w:eastAsia="MS Mincho" w:cstheme="minorHAnsi"/>
              </w:rPr>
              <w:t>dverse events</w:t>
            </w:r>
            <w:r>
              <w:rPr>
                <w:rFonts w:eastAsia="MS Mincho" w:cstheme="minorHAnsi"/>
              </w:rPr>
              <w:t>.</w:t>
            </w:r>
          </w:p>
          <w:p w:rsidR="00526E5D" w:rsidRPr="00526E5D" w:rsidRDefault="00526E5D" w:rsidP="00A71365">
            <w:pPr>
              <w:pStyle w:val="Tablewriting"/>
              <w:rPr>
                <w:rFonts w:eastAsia="MS Mincho" w:cstheme="minorHAnsi"/>
                <w:u w:val="single"/>
              </w:rPr>
            </w:pPr>
          </w:p>
          <w:p w:rsidR="00526E5D" w:rsidRDefault="00526E5D" w:rsidP="00A71365">
            <w:pPr>
              <w:pStyle w:val="Tablewriting"/>
              <w:rPr>
                <w:rFonts w:eastAsia="MS Mincho" w:cstheme="minorHAnsi"/>
              </w:rPr>
            </w:pPr>
          </w:p>
          <w:p w:rsidR="00361C80" w:rsidRPr="00017AE6" w:rsidRDefault="00361C80" w:rsidP="00A71365">
            <w:pPr>
              <w:pStyle w:val="Tablewriting"/>
              <w:rPr>
                <w:rFonts w:eastAsia="MS Mincho" w:cstheme="minorHAnsi"/>
              </w:rPr>
            </w:pPr>
            <w:r w:rsidRPr="00526E5D">
              <w:rPr>
                <w:rFonts w:eastAsia="MS Mincho" w:cstheme="minorHAnsi"/>
                <w:u w:val="single"/>
              </w:rPr>
              <w:t>Other</w:t>
            </w:r>
            <w:r w:rsidR="00526E5D">
              <w:rPr>
                <w:rFonts w:eastAsia="MS Mincho" w:cstheme="minorHAnsi"/>
                <w:u w:val="single"/>
              </w:rPr>
              <w:t>s</w:t>
            </w:r>
            <w:r w:rsidRPr="00526E5D">
              <w:rPr>
                <w:rFonts w:eastAsia="MS Mincho" w:cstheme="minorHAnsi"/>
                <w:u w:val="single"/>
              </w:rPr>
              <w:t>:</w:t>
            </w:r>
            <w:r w:rsidRPr="00017AE6">
              <w:rPr>
                <w:rFonts w:eastAsia="MS Mincho" w:cstheme="minorHAnsi"/>
              </w:rPr>
              <w:t xml:space="preserve"> Withdrawal symptoms (using MNWS, QSU-brief and mCEQ), </w:t>
            </w:r>
          </w:p>
          <w:p w:rsidR="00526E5D" w:rsidRDefault="00526E5D" w:rsidP="00A71365">
            <w:pPr>
              <w:pStyle w:val="Tablewriting"/>
              <w:rPr>
                <w:rFonts w:eastAsia="MS Mincho" w:cstheme="minorHAnsi"/>
              </w:rPr>
            </w:pPr>
          </w:p>
          <w:p w:rsidR="00C25F5E" w:rsidRPr="00017AE6" w:rsidRDefault="00C25F5E"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t>NCT00828113</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577770" w:rsidP="00A71365">
            <w:pPr>
              <w:pStyle w:val="Tablewriting"/>
              <w:rPr>
                <w:rFonts w:eastAsia="MS Mincho" w:cstheme="minorHAnsi"/>
              </w:rPr>
            </w:pPr>
            <w:r w:rsidRPr="00017AE6">
              <w:rPr>
                <w:rFonts w:eastAsia="MS Mincho" w:cstheme="minorHAnsi"/>
              </w:rPr>
              <w:t>NR</w:t>
            </w:r>
          </w:p>
        </w:tc>
        <w:tc>
          <w:tcPr>
            <w:tcW w:w="675" w:type="pct"/>
          </w:tcPr>
          <w:p w:rsidR="00C25F5E" w:rsidRPr="00017AE6" w:rsidRDefault="00C25F5E" w:rsidP="00A71365">
            <w:pPr>
              <w:pStyle w:val="Tablewriting"/>
              <w:rPr>
                <w:rFonts w:eastAsia="MS Mincho" w:cstheme="minorHAnsi"/>
              </w:rPr>
            </w:pPr>
            <w:r w:rsidRPr="00017AE6">
              <w:rPr>
                <w:rFonts w:eastAsia="MS Mincho" w:cstheme="minorHAnsi"/>
              </w:rPr>
              <w:t>N=</w:t>
            </w:r>
            <w:r w:rsidR="00577770" w:rsidRPr="00017AE6">
              <w:rPr>
                <w:rFonts w:eastAsia="MS Mincho" w:cstheme="minorHAnsi"/>
              </w:rPr>
              <w:t>101</w:t>
            </w:r>
          </w:p>
        </w:tc>
        <w:tc>
          <w:tcPr>
            <w:tcW w:w="853" w:type="pct"/>
          </w:tcPr>
          <w:p w:rsidR="00C25F5E" w:rsidRPr="00017AE6" w:rsidRDefault="00577770" w:rsidP="00A71365">
            <w:pPr>
              <w:pStyle w:val="Tablewriting"/>
              <w:rPr>
                <w:rFonts w:eastAsia="MS Mincho" w:cstheme="minorHAnsi"/>
              </w:rPr>
            </w:pPr>
            <w:r w:rsidRPr="00017AE6">
              <w:rPr>
                <w:rFonts w:eastAsia="MS Mincho" w:cstheme="minorHAnsi"/>
              </w:rPr>
              <w:t>Adult smokers</w:t>
            </w:r>
          </w:p>
        </w:tc>
        <w:tc>
          <w:tcPr>
            <w:tcW w:w="1055" w:type="pct"/>
          </w:tcPr>
          <w:p w:rsidR="00C25F5E" w:rsidRPr="00017AE6" w:rsidRDefault="00136EB5" w:rsidP="00A71365">
            <w:pPr>
              <w:pStyle w:val="Tablewriting"/>
              <w:rPr>
                <w:rFonts w:eastAsia="MS Mincho" w:cstheme="minorHAnsi"/>
              </w:rPr>
            </w:pPr>
            <w:r w:rsidRPr="00017AE6">
              <w:rPr>
                <w:rFonts w:eastAsia="MS Mincho" w:cstheme="minorHAnsi"/>
              </w:rPr>
              <w:t>All get 13 weeks varenicline, then half continue and half switch to placebo, until week 52</w:t>
            </w:r>
          </w:p>
        </w:tc>
        <w:tc>
          <w:tcPr>
            <w:tcW w:w="960" w:type="pct"/>
          </w:tcPr>
          <w:p w:rsidR="00C25F5E" w:rsidRDefault="00E7253F" w:rsidP="00A71365">
            <w:pPr>
              <w:pStyle w:val="Tablewriting"/>
              <w:rPr>
                <w:rFonts w:eastAsia="MS Mincho" w:cstheme="minorHAnsi"/>
              </w:rPr>
            </w:pPr>
            <w:r w:rsidRPr="00E7253F">
              <w:rPr>
                <w:rFonts w:eastAsia="MS Mincho" w:cstheme="minorHAnsi"/>
                <w:u w:val="single"/>
              </w:rPr>
              <w:t>Efficacy:</w:t>
            </w:r>
            <w:r>
              <w:rPr>
                <w:rFonts w:eastAsia="MS Mincho" w:cstheme="minorHAnsi"/>
              </w:rPr>
              <w:t xml:space="preserve"> </w:t>
            </w:r>
            <w:r w:rsidR="00136EB5" w:rsidRPr="00017AE6">
              <w:rPr>
                <w:rFonts w:eastAsia="MS Mincho" w:cstheme="minorHAnsi"/>
              </w:rPr>
              <w:t>Biochemically confirmed abstinence (at 52 weeks)</w:t>
            </w:r>
            <w:r>
              <w:rPr>
                <w:rFonts w:eastAsia="MS Mincho" w:cstheme="minorHAnsi"/>
              </w:rPr>
              <w:t>.</w:t>
            </w:r>
          </w:p>
          <w:p w:rsidR="00E7253F" w:rsidRDefault="00E7253F" w:rsidP="00A71365">
            <w:pPr>
              <w:pStyle w:val="Tablewriting"/>
              <w:rPr>
                <w:rFonts w:eastAsia="MS Mincho" w:cstheme="minorHAnsi"/>
              </w:rPr>
            </w:pPr>
          </w:p>
          <w:p w:rsidR="00E7253F" w:rsidRDefault="00E7253F" w:rsidP="00A71365">
            <w:pPr>
              <w:pStyle w:val="Tablewriting"/>
              <w:rPr>
                <w:rFonts w:eastAsia="MS Mincho" w:cstheme="minorHAnsi"/>
              </w:rPr>
            </w:pPr>
            <w:r w:rsidRPr="00E7253F">
              <w:rPr>
                <w:rFonts w:eastAsia="MS Mincho" w:cstheme="minorHAnsi"/>
                <w:u w:val="single"/>
              </w:rPr>
              <w:lastRenderedPageBreak/>
              <w:t>Safety:</w:t>
            </w:r>
            <w:r>
              <w:rPr>
                <w:rFonts w:eastAsia="MS Mincho" w:cstheme="minorHAnsi"/>
              </w:rPr>
              <w:t xml:space="preserve"> NR</w:t>
            </w:r>
          </w:p>
          <w:p w:rsidR="00C25F5E" w:rsidRPr="00017AE6" w:rsidRDefault="00C25F5E"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lastRenderedPageBreak/>
              <w:t xml:space="preserve">Niaura </w:t>
            </w:r>
            <w:r w:rsidR="00DF0515">
              <w:rPr>
                <w:rFonts w:eastAsia="MS Mincho" w:cstheme="minorHAnsi"/>
              </w:rPr>
              <w:t>(</w:t>
            </w:r>
            <w:r w:rsidRPr="00017AE6">
              <w:rPr>
                <w:rFonts w:eastAsia="MS Mincho" w:cstheme="minorHAnsi"/>
              </w:rPr>
              <w:t>2008</w:t>
            </w:r>
            <w:r w:rsidR="00DF0515">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1A4FB1" w:rsidP="00A71365">
            <w:pPr>
              <w:pStyle w:val="Tablewriting"/>
              <w:rPr>
                <w:rFonts w:eastAsia="MS Mincho" w:cstheme="minorHAnsi"/>
              </w:rPr>
            </w:pPr>
            <w:r w:rsidRPr="00017AE6">
              <w:rPr>
                <w:rFonts w:eastAsia="MS Mincho" w:cstheme="minorHAnsi"/>
              </w:rPr>
              <w:t>USA</w:t>
            </w:r>
          </w:p>
        </w:tc>
        <w:tc>
          <w:tcPr>
            <w:tcW w:w="675" w:type="pct"/>
          </w:tcPr>
          <w:p w:rsidR="00C25F5E" w:rsidRPr="00017AE6" w:rsidRDefault="00C25F5E" w:rsidP="00A71365">
            <w:pPr>
              <w:pStyle w:val="Tablewriting"/>
              <w:rPr>
                <w:rFonts w:eastAsia="MS Mincho" w:cstheme="minorHAnsi"/>
              </w:rPr>
            </w:pPr>
            <w:r w:rsidRPr="00017AE6">
              <w:rPr>
                <w:rFonts w:eastAsia="MS Mincho" w:cstheme="minorHAnsi"/>
              </w:rPr>
              <w:t>N=</w:t>
            </w:r>
            <w:r w:rsidR="001A4FB1" w:rsidRPr="00017AE6">
              <w:rPr>
                <w:rFonts w:eastAsia="MS Mincho" w:cstheme="minorHAnsi"/>
              </w:rPr>
              <w:t>320</w:t>
            </w:r>
          </w:p>
        </w:tc>
        <w:tc>
          <w:tcPr>
            <w:tcW w:w="853" w:type="pct"/>
          </w:tcPr>
          <w:p w:rsidR="001A4FB1" w:rsidRPr="00017AE6" w:rsidRDefault="001A4FB1" w:rsidP="00A71365">
            <w:pPr>
              <w:pStyle w:val="Tablewriting"/>
              <w:rPr>
                <w:rFonts w:eastAsia="MS Mincho" w:cstheme="minorHAnsi"/>
              </w:rPr>
            </w:pPr>
            <w:r w:rsidRPr="00017AE6">
              <w:rPr>
                <w:rFonts w:eastAsia="MS Mincho" w:cstheme="minorHAnsi"/>
              </w:rPr>
              <w:t xml:space="preserve">Healthy adult volunteers, aged 18 </w:t>
            </w:r>
            <w:r w:rsidR="009E4BCA">
              <w:rPr>
                <w:rFonts w:eastAsia="MS Mincho" w:cstheme="minorHAnsi"/>
              </w:rPr>
              <w:t>–</w:t>
            </w:r>
            <w:r w:rsidRPr="00017AE6">
              <w:rPr>
                <w:rFonts w:eastAsia="MS Mincho" w:cstheme="minorHAnsi"/>
              </w:rPr>
              <w:t xml:space="preserve"> 65</w:t>
            </w:r>
            <w:r w:rsidR="009E4BCA">
              <w:rPr>
                <w:rFonts w:eastAsia="MS Mincho" w:cstheme="minorHAnsi"/>
              </w:rPr>
              <w:t xml:space="preserve"> years</w:t>
            </w:r>
            <w:r w:rsidRPr="00017AE6">
              <w:rPr>
                <w:rFonts w:eastAsia="MS Mincho" w:cstheme="minorHAnsi"/>
              </w:rPr>
              <w:t>, smoking p 10 CPD. Allocated to varenicline (160), or placebo</w:t>
            </w:r>
          </w:p>
          <w:p w:rsidR="001A4FB1" w:rsidRPr="00017AE6" w:rsidRDefault="001A4FB1" w:rsidP="00A71365">
            <w:pPr>
              <w:pStyle w:val="Tablewriting"/>
              <w:rPr>
                <w:rFonts w:eastAsia="MS Mincho" w:cstheme="minorHAnsi"/>
              </w:rPr>
            </w:pPr>
            <w:r w:rsidRPr="00017AE6">
              <w:rPr>
                <w:rFonts w:eastAsia="MS Mincho" w:cstheme="minorHAnsi"/>
              </w:rPr>
              <w:t>(160)</w:t>
            </w:r>
          </w:p>
          <w:p w:rsidR="001A4FB1" w:rsidRPr="00017AE6" w:rsidRDefault="001A4FB1" w:rsidP="00A71365">
            <w:pPr>
              <w:pStyle w:val="Tablewriting"/>
              <w:rPr>
                <w:rFonts w:eastAsia="MS Mincho" w:cstheme="minorHAnsi"/>
              </w:rPr>
            </w:pPr>
            <w:r w:rsidRPr="00017AE6">
              <w:rPr>
                <w:rFonts w:eastAsia="MS Mincho" w:cstheme="minorHAnsi"/>
              </w:rPr>
              <w:t>52% men, 91% white, mean age 42, mean CPD 22, mean FTND score 5.4</w:t>
            </w:r>
          </w:p>
          <w:p w:rsidR="00C25F5E" w:rsidRPr="00017AE6" w:rsidRDefault="001A4FB1" w:rsidP="00A71365">
            <w:pPr>
              <w:pStyle w:val="Tablewriting"/>
              <w:rPr>
                <w:rFonts w:eastAsia="MS Mincho" w:cstheme="minorHAnsi"/>
              </w:rPr>
            </w:pPr>
            <w:r w:rsidRPr="00017AE6">
              <w:rPr>
                <w:rFonts w:eastAsia="MS Mincho" w:cstheme="minorHAnsi"/>
              </w:rPr>
              <w:t>Exclusion criteria: Standard pharmacotherapy trial criteria, + use of NRT within last 3m</w:t>
            </w:r>
          </w:p>
        </w:tc>
        <w:tc>
          <w:tcPr>
            <w:tcW w:w="1055" w:type="pct"/>
          </w:tcPr>
          <w:p w:rsidR="001A4FB1" w:rsidRPr="00017AE6" w:rsidRDefault="00A836A3" w:rsidP="00C324F3">
            <w:pPr>
              <w:pStyle w:val="Tablewriting"/>
              <w:numPr>
                <w:ilvl w:val="0"/>
                <w:numId w:val="80"/>
              </w:numPr>
              <w:rPr>
                <w:rFonts w:eastAsia="MS Mincho" w:cstheme="minorHAnsi"/>
              </w:rPr>
            </w:pPr>
            <w:r>
              <w:rPr>
                <w:rFonts w:eastAsia="MS Mincho" w:cstheme="minorHAnsi"/>
              </w:rPr>
              <w:t>Varenicline;</w:t>
            </w:r>
            <w:r w:rsidR="001A4FB1" w:rsidRPr="00017AE6">
              <w:rPr>
                <w:rFonts w:eastAsia="MS Mincho" w:cstheme="minorHAnsi"/>
              </w:rPr>
              <w:t xml:space="preserve"> 0.5 mg </w:t>
            </w:r>
            <w:r w:rsidR="001A4FB1" w:rsidRPr="002F3FE8">
              <w:rPr>
                <w:rFonts w:eastAsia="MS Mincho" w:cstheme="minorHAnsi"/>
              </w:rPr>
              <w:t>ad lib</w:t>
            </w:r>
            <w:r w:rsidR="001A4FB1" w:rsidRPr="00017AE6">
              <w:rPr>
                <w:rFonts w:eastAsia="MS Mincho" w:cstheme="minorHAnsi"/>
              </w:rPr>
              <w:t>, from 1 to 4 per day as wished</w:t>
            </w:r>
          </w:p>
          <w:p w:rsidR="00F67202" w:rsidRPr="00F67202" w:rsidRDefault="001A4FB1" w:rsidP="00C324F3">
            <w:pPr>
              <w:pStyle w:val="Tablewriting"/>
              <w:numPr>
                <w:ilvl w:val="0"/>
                <w:numId w:val="80"/>
              </w:numPr>
              <w:rPr>
                <w:rFonts w:eastAsia="MS Mincho" w:cstheme="minorHAnsi"/>
              </w:rPr>
            </w:pPr>
            <w:r w:rsidRPr="00017AE6">
              <w:rPr>
                <w:rFonts w:eastAsia="MS Mincho" w:cstheme="minorHAnsi"/>
              </w:rPr>
              <w:t>Placebo tablets ad lib, from 1 to 4 per day as wished</w:t>
            </w:r>
          </w:p>
          <w:p w:rsidR="000F5461" w:rsidRPr="00902F36" w:rsidRDefault="000F5461" w:rsidP="00A71365">
            <w:pPr>
              <w:pStyle w:val="Tablewriting"/>
              <w:ind w:left="360"/>
              <w:rPr>
                <w:rFonts w:eastAsia="MS Mincho" w:cstheme="minorHAnsi"/>
              </w:rPr>
            </w:pPr>
            <w:r w:rsidRPr="00017AE6">
              <w:rPr>
                <w:rFonts w:eastAsia="MS Mincho" w:cstheme="minorHAnsi"/>
              </w:rPr>
              <w:t>Treatment period 12 w</w:t>
            </w:r>
            <w:r>
              <w:rPr>
                <w:rFonts w:eastAsia="MS Mincho" w:cstheme="minorHAnsi"/>
              </w:rPr>
              <w:t>ee</w:t>
            </w:r>
            <w:r w:rsidRPr="00017AE6">
              <w:rPr>
                <w:rFonts w:eastAsia="MS Mincho" w:cstheme="minorHAnsi"/>
              </w:rPr>
              <w:t>ks, 1st w</w:t>
            </w:r>
            <w:r>
              <w:rPr>
                <w:rFonts w:eastAsia="MS Mincho" w:cstheme="minorHAnsi"/>
              </w:rPr>
              <w:t>ee</w:t>
            </w:r>
            <w:r w:rsidRPr="00017AE6">
              <w:rPr>
                <w:rFonts w:eastAsia="MS Mincho" w:cstheme="minorHAnsi"/>
              </w:rPr>
              <w:t>k</w:t>
            </w:r>
            <w:r>
              <w:rPr>
                <w:rFonts w:eastAsia="MS Mincho" w:cstheme="minorHAnsi"/>
              </w:rPr>
              <w:t xml:space="preserve"> </w:t>
            </w:r>
            <w:r w:rsidRPr="00017AE6">
              <w:rPr>
                <w:rFonts w:eastAsia="MS Mincho" w:cstheme="minorHAnsi"/>
              </w:rPr>
              <w:t>titrated dosage up to 0.5 mg x 2/day.</w:t>
            </w:r>
          </w:p>
          <w:p w:rsidR="00902F36" w:rsidRDefault="00902F36" w:rsidP="00A71365">
            <w:pPr>
              <w:pStyle w:val="Tablewriting"/>
              <w:rPr>
                <w:rFonts w:eastAsia="MS Mincho" w:cstheme="minorHAnsi"/>
              </w:rPr>
            </w:pPr>
          </w:p>
          <w:p w:rsidR="001A4FB1" w:rsidRPr="00017AE6" w:rsidRDefault="000F5461" w:rsidP="00A71365">
            <w:pPr>
              <w:pStyle w:val="Tablewriting"/>
              <w:rPr>
                <w:rFonts w:eastAsia="MS Mincho" w:cstheme="minorHAnsi"/>
              </w:rPr>
            </w:pPr>
            <w:r w:rsidRPr="06BFFAED">
              <w:rPr>
                <w:rFonts w:eastAsia="MS Mincho" w:cstheme="minorBidi"/>
                <w:u w:val="single"/>
              </w:rPr>
              <w:t>Common components:</w:t>
            </w:r>
            <w:r w:rsidR="001A4FB1">
              <w:rPr>
                <w:rFonts w:eastAsia="MS Mincho" w:cstheme="minorBidi"/>
                <w:u w:val="single"/>
              </w:rPr>
              <w:t xml:space="preserve"> </w:t>
            </w:r>
            <w:r w:rsidR="001A4FB1" w:rsidRPr="00017AE6">
              <w:rPr>
                <w:rFonts w:eastAsia="MS Mincho" w:cstheme="minorHAnsi"/>
              </w:rPr>
              <w:t>All participants received a smoking</w:t>
            </w:r>
            <w:r w:rsidR="00DC022D">
              <w:rPr>
                <w:rFonts w:eastAsia="MS Mincho" w:cstheme="minorHAnsi"/>
              </w:rPr>
              <w:t xml:space="preserve"> </w:t>
            </w:r>
            <w:r w:rsidR="001A4FB1" w:rsidRPr="00017AE6">
              <w:rPr>
                <w:rFonts w:eastAsia="MS Mincho" w:cstheme="minorHAnsi"/>
              </w:rPr>
              <w:t>cessation booklet Clearing the Air at baseline, + brief counselling (</w:t>
            </w:r>
            <w:r w:rsidR="007563F9" w:rsidRPr="007563F9">
              <w:rPr>
                <w:rFonts w:eastAsia="MS Mincho" w:cstheme="minorHAnsi"/>
              </w:rPr>
              <w:t>≤</w:t>
            </w:r>
            <w:r w:rsidR="001A4FB1" w:rsidRPr="00017AE6">
              <w:rPr>
                <w:rFonts w:eastAsia="MS Mincho" w:cstheme="minorHAnsi"/>
              </w:rPr>
              <w:t xml:space="preserve"> 10 mins) at each clinic visit.</w:t>
            </w:r>
          </w:p>
          <w:p w:rsidR="001A4FB1" w:rsidRPr="00017AE6" w:rsidRDefault="001A4FB1" w:rsidP="00A71365">
            <w:pPr>
              <w:pStyle w:val="Tablewriting"/>
              <w:rPr>
                <w:rFonts w:eastAsia="MS Mincho" w:cstheme="minorHAnsi"/>
              </w:rPr>
            </w:pPr>
            <w:r w:rsidRPr="00017AE6">
              <w:rPr>
                <w:rFonts w:eastAsia="MS Mincho" w:cstheme="minorHAnsi"/>
              </w:rPr>
              <w:t>Weekly visits throughout treatment phase</w:t>
            </w:r>
          </w:p>
          <w:p w:rsidR="00C25F5E" w:rsidRPr="00017AE6" w:rsidRDefault="001A4FB1" w:rsidP="00A71365">
            <w:pPr>
              <w:pStyle w:val="Tablewriting"/>
              <w:rPr>
                <w:rFonts w:eastAsia="MS Mincho" w:cstheme="minorHAnsi"/>
              </w:rPr>
            </w:pPr>
            <w:r w:rsidRPr="00017AE6">
              <w:rPr>
                <w:rFonts w:eastAsia="MS Mincho" w:cstheme="minorHAnsi"/>
              </w:rPr>
              <w:t>In follow-up phase, clinic visits at w</w:t>
            </w:r>
            <w:r w:rsidR="00DC06D6">
              <w:rPr>
                <w:rFonts w:eastAsia="MS Mincho" w:cstheme="minorHAnsi"/>
              </w:rPr>
              <w:t>ee</w:t>
            </w:r>
            <w:r w:rsidRPr="00017AE6">
              <w:rPr>
                <w:rFonts w:eastAsia="MS Mincho" w:cstheme="minorHAnsi"/>
              </w:rPr>
              <w:t>ks 13, 24, and 52 w</w:t>
            </w:r>
            <w:r w:rsidR="00DC06D6">
              <w:rPr>
                <w:rFonts w:eastAsia="MS Mincho" w:cstheme="minorHAnsi"/>
              </w:rPr>
              <w:t>ee</w:t>
            </w:r>
            <w:r w:rsidRPr="00017AE6">
              <w:rPr>
                <w:rFonts w:eastAsia="MS Mincho" w:cstheme="minorHAnsi"/>
              </w:rPr>
              <w:t>ks, plus monthly phone calls between visits</w:t>
            </w:r>
            <w:r w:rsidR="00DC06D6">
              <w:rPr>
                <w:rFonts w:eastAsia="MS Mincho" w:cstheme="minorHAnsi"/>
              </w:rPr>
              <w:t>.</w:t>
            </w:r>
          </w:p>
        </w:tc>
        <w:tc>
          <w:tcPr>
            <w:tcW w:w="960" w:type="pct"/>
          </w:tcPr>
          <w:p w:rsidR="007033D4" w:rsidRPr="007033D4" w:rsidRDefault="00370A36" w:rsidP="00A71365">
            <w:pPr>
              <w:pStyle w:val="Tablewriting"/>
              <w:rPr>
                <w:rFonts w:eastAsia="MS Mincho" w:cstheme="minorHAnsi"/>
                <w:u w:val="single"/>
              </w:rPr>
            </w:pPr>
            <w:r w:rsidRPr="007033D4">
              <w:rPr>
                <w:rFonts w:eastAsia="MS Mincho" w:cstheme="minorHAnsi"/>
                <w:u w:val="single"/>
              </w:rPr>
              <w:t xml:space="preserve">Efficacy: </w:t>
            </w:r>
          </w:p>
          <w:p w:rsidR="001A4FB1" w:rsidRPr="00017AE6" w:rsidRDefault="001A4FB1" w:rsidP="00A71365">
            <w:pPr>
              <w:pStyle w:val="Tablewriting"/>
              <w:rPr>
                <w:rFonts w:eastAsia="MS Mincho" w:cstheme="minorHAnsi"/>
              </w:rPr>
            </w:pPr>
            <w:r w:rsidRPr="00017AE6">
              <w:rPr>
                <w:rFonts w:eastAsia="MS Mincho" w:cstheme="minorHAnsi"/>
              </w:rPr>
              <w:t>Primary outcome: CAR at 4 - 7, 9 - 12 and 9 - 52 w</w:t>
            </w:r>
            <w:r w:rsidR="007033D4">
              <w:rPr>
                <w:rFonts w:eastAsia="MS Mincho" w:cstheme="minorHAnsi"/>
              </w:rPr>
              <w:t>ee</w:t>
            </w:r>
            <w:r w:rsidRPr="00017AE6">
              <w:rPr>
                <w:rFonts w:eastAsia="MS Mincho" w:cstheme="minorHAnsi"/>
              </w:rPr>
              <w:t>ks</w:t>
            </w:r>
            <w:r w:rsidR="00095C33">
              <w:rPr>
                <w:rFonts w:eastAsia="MS Mincho" w:cstheme="minorHAnsi"/>
              </w:rPr>
              <w:t>, v</w:t>
            </w:r>
            <w:r w:rsidRPr="00017AE6">
              <w:rPr>
                <w:rFonts w:eastAsia="MS Mincho" w:cstheme="minorHAnsi"/>
              </w:rPr>
              <w:t xml:space="preserve">alidation was by expired CO </w:t>
            </w:r>
            <w:r w:rsidR="00095C33" w:rsidRPr="00095C33">
              <w:rPr>
                <w:rFonts w:eastAsia="MS Mincho" w:cstheme="minorHAnsi"/>
              </w:rPr>
              <w:t>≤</w:t>
            </w:r>
            <w:r w:rsidRPr="00017AE6">
              <w:rPr>
                <w:rFonts w:eastAsia="MS Mincho" w:cstheme="minorHAnsi"/>
              </w:rPr>
              <w:t xml:space="preserve"> 10 ppm</w:t>
            </w:r>
            <w:r w:rsidR="007033D4">
              <w:rPr>
                <w:rFonts w:eastAsia="MS Mincho" w:cstheme="minorHAnsi"/>
              </w:rPr>
              <w:t>,</w:t>
            </w:r>
          </w:p>
          <w:p w:rsidR="001A4FB1" w:rsidRPr="00017AE6" w:rsidRDefault="001A4FB1" w:rsidP="00A71365">
            <w:pPr>
              <w:pStyle w:val="Tablewriting"/>
              <w:rPr>
                <w:rFonts w:eastAsia="MS Mincho" w:cstheme="minorHAnsi"/>
              </w:rPr>
            </w:pPr>
            <w:r w:rsidRPr="00017AE6">
              <w:rPr>
                <w:rFonts w:eastAsia="MS Mincho" w:cstheme="minorHAnsi"/>
              </w:rPr>
              <w:t>Secondary outcomes: CO-confirmed CAR at 9 - 24 w</w:t>
            </w:r>
            <w:r w:rsidR="007033D4">
              <w:rPr>
                <w:rFonts w:eastAsia="MS Mincho" w:cstheme="minorHAnsi"/>
              </w:rPr>
              <w:t>ee</w:t>
            </w:r>
            <w:r w:rsidRPr="00017AE6">
              <w:rPr>
                <w:rFonts w:eastAsia="MS Mincho" w:cstheme="minorHAnsi"/>
              </w:rPr>
              <w:t>ks; CO-confirmed 7-day PPA</w:t>
            </w:r>
            <w:r w:rsidR="00DD6CFF">
              <w:rPr>
                <w:rFonts w:eastAsia="MS Mincho" w:cstheme="minorHAnsi"/>
              </w:rPr>
              <w:t xml:space="preserve">. </w:t>
            </w:r>
          </w:p>
          <w:p w:rsidR="007033D4" w:rsidRDefault="007033D4" w:rsidP="00A71365">
            <w:pPr>
              <w:pStyle w:val="Tablewriting"/>
              <w:rPr>
                <w:rFonts w:eastAsia="MS Mincho" w:cstheme="minorHAnsi"/>
              </w:rPr>
            </w:pPr>
          </w:p>
          <w:p w:rsidR="007033D4" w:rsidRPr="00095C33" w:rsidRDefault="007033D4" w:rsidP="00A71365">
            <w:pPr>
              <w:pStyle w:val="Tablewriting"/>
              <w:rPr>
                <w:rFonts w:eastAsia="MS Mincho" w:cstheme="minorHAnsi"/>
              </w:rPr>
            </w:pPr>
            <w:r w:rsidRPr="007033D4">
              <w:rPr>
                <w:rFonts w:eastAsia="MS Mincho" w:cstheme="minorHAnsi"/>
                <w:u w:val="single"/>
              </w:rPr>
              <w:t>Safety:</w:t>
            </w:r>
            <w:r w:rsidR="00095C33">
              <w:rPr>
                <w:rFonts w:eastAsia="MS Mincho" w:cstheme="minorHAnsi"/>
                <w:u w:val="single"/>
              </w:rPr>
              <w:t xml:space="preserve"> A</w:t>
            </w:r>
            <w:r w:rsidR="00095C33" w:rsidRPr="00017AE6">
              <w:rPr>
                <w:rFonts w:eastAsia="MS Mincho" w:cstheme="minorHAnsi"/>
              </w:rPr>
              <w:t>dverse</w:t>
            </w:r>
            <w:r w:rsidR="00095C33">
              <w:rPr>
                <w:rFonts w:eastAsia="MS Mincho" w:cstheme="minorHAnsi"/>
              </w:rPr>
              <w:t xml:space="preserve"> </w:t>
            </w:r>
            <w:r w:rsidR="00095C33" w:rsidRPr="00017AE6">
              <w:rPr>
                <w:rFonts w:eastAsia="MS Mincho" w:cstheme="minorHAnsi"/>
              </w:rPr>
              <w:t>events</w:t>
            </w:r>
            <w:r w:rsidR="00095C33">
              <w:rPr>
                <w:rFonts w:eastAsia="MS Mincho" w:cstheme="minorHAnsi"/>
              </w:rPr>
              <w:t>.</w:t>
            </w:r>
          </w:p>
          <w:p w:rsidR="007033D4" w:rsidRDefault="007033D4" w:rsidP="00A71365">
            <w:pPr>
              <w:pStyle w:val="Tablewriting"/>
              <w:rPr>
                <w:rFonts w:eastAsia="MS Mincho" w:cstheme="minorHAnsi"/>
              </w:rPr>
            </w:pPr>
          </w:p>
          <w:p w:rsidR="001A4FB1" w:rsidRPr="00017AE6" w:rsidRDefault="001A4FB1" w:rsidP="00A71365">
            <w:pPr>
              <w:pStyle w:val="Tablewriting"/>
              <w:rPr>
                <w:rFonts w:eastAsia="MS Mincho" w:cstheme="minorHAnsi"/>
              </w:rPr>
            </w:pPr>
            <w:r w:rsidRPr="00095C33">
              <w:rPr>
                <w:rFonts w:eastAsia="MS Mincho" w:cstheme="minorHAnsi"/>
                <w:u w:val="single"/>
              </w:rPr>
              <w:t>Other:</w:t>
            </w:r>
            <w:r w:rsidRPr="00017AE6">
              <w:rPr>
                <w:rFonts w:eastAsia="MS Mincho" w:cstheme="minorHAnsi"/>
              </w:rPr>
              <w:t xml:space="preserve"> Mean modal dosage; withdrawal symptoms (using MNWS, QSU-brief and mCEQ), </w:t>
            </w:r>
          </w:p>
          <w:p w:rsidR="00095C33" w:rsidRDefault="00095C33" w:rsidP="00A71365">
            <w:pPr>
              <w:pStyle w:val="Tablewriting"/>
              <w:rPr>
                <w:rFonts w:eastAsia="MS Mincho" w:cstheme="minorHAnsi"/>
              </w:rPr>
            </w:pPr>
          </w:p>
          <w:p w:rsidR="00C25F5E" w:rsidRPr="00017AE6" w:rsidRDefault="00C25F5E"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t xml:space="preserve">Nides </w:t>
            </w:r>
            <w:r w:rsidR="00DF0515">
              <w:rPr>
                <w:rFonts w:eastAsia="MS Mincho" w:cstheme="minorHAnsi"/>
              </w:rPr>
              <w:t>(</w:t>
            </w:r>
            <w:r w:rsidRPr="00017AE6">
              <w:rPr>
                <w:rFonts w:eastAsia="MS Mincho" w:cstheme="minorHAnsi"/>
              </w:rPr>
              <w:t>2006</w:t>
            </w:r>
            <w:r w:rsidR="00DF0515">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A02958" w:rsidP="00A71365">
            <w:pPr>
              <w:pStyle w:val="Tablewriting"/>
              <w:rPr>
                <w:rFonts w:eastAsia="MS Mincho" w:cstheme="minorHAnsi"/>
              </w:rPr>
            </w:pPr>
            <w:r w:rsidRPr="00017AE6">
              <w:rPr>
                <w:rFonts w:eastAsia="MS Mincho" w:cstheme="minorHAnsi"/>
              </w:rPr>
              <w:t>USA</w:t>
            </w:r>
          </w:p>
        </w:tc>
        <w:tc>
          <w:tcPr>
            <w:tcW w:w="675" w:type="pct"/>
          </w:tcPr>
          <w:p w:rsidR="00C25F5E" w:rsidRPr="00017AE6" w:rsidRDefault="00C25F5E" w:rsidP="00A71365">
            <w:pPr>
              <w:pStyle w:val="Tablewriting"/>
              <w:rPr>
                <w:rFonts w:eastAsia="MS Mincho" w:cstheme="minorHAnsi"/>
              </w:rPr>
            </w:pPr>
            <w:r w:rsidRPr="00017AE6">
              <w:rPr>
                <w:rFonts w:eastAsia="MS Mincho" w:cstheme="minorHAnsi"/>
              </w:rPr>
              <w:t>N=</w:t>
            </w:r>
            <w:r w:rsidR="00A02958" w:rsidRPr="00017AE6">
              <w:rPr>
                <w:rFonts w:eastAsia="MS Mincho" w:cstheme="minorHAnsi"/>
              </w:rPr>
              <w:t>638</w:t>
            </w:r>
            <w:r w:rsidR="00016922">
              <w:rPr>
                <w:rFonts w:eastAsia="MS Mincho" w:cstheme="minorHAnsi"/>
              </w:rPr>
              <w:t>; n=</w:t>
            </w:r>
            <w:r w:rsidR="00F41B67">
              <w:rPr>
                <w:rFonts w:eastAsia="MS Mincho" w:cstheme="minorHAnsi"/>
              </w:rPr>
              <w:t>128</w:t>
            </w:r>
            <w:r w:rsidR="00016922" w:rsidRPr="00017AE6">
              <w:rPr>
                <w:rFonts w:eastAsia="MS Mincho" w:cstheme="minorHAnsi"/>
              </w:rPr>
              <w:t xml:space="preserve"> </w:t>
            </w:r>
            <w:r w:rsidR="000B586A">
              <w:rPr>
                <w:rFonts w:eastAsia="MS Mincho" w:cstheme="minorHAnsi"/>
              </w:rPr>
              <w:t>(</w:t>
            </w:r>
            <w:r w:rsidR="00016922" w:rsidRPr="00017AE6">
              <w:rPr>
                <w:rFonts w:eastAsia="MS Mincho" w:cstheme="minorHAnsi"/>
              </w:rPr>
              <w:t>varenicline group 1</w:t>
            </w:r>
            <w:r w:rsidR="00F41B67">
              <w:rPr>
                <w:rFonts w:eastAsia="MS Mincho" w:cstheme="minorHAnsi"/>
              </w:rPr>
              <w:t>)</w:t>
            </w:r>
            <w:r w:rsidR="00016922" w:rsidRPr="00017AE6">
              <w:rPr>
                <w:rFonts w:eastAsia="MS Mincho" w:cstheme="minorHAnsi"/>
              </w:rPr>
              <w:t xml:space="preserve">, </w:t>
            </w:r>
            <w:r w:rsidR="00F41B67">
              <w:rPr>
                <w:rFonts w:eastAsia="MS Mincho" w:cstheme="minorHAnsi"/>
              </w:rPr>
              <w:t xml:space="preserve">n=128 </w:t>
            </w:r>
            <w:r w:rsidR="000B586A">
              <w:rPr>
                <w:rFonts w:eastAsia="MS Mincho" w:cstheme="minorHAnsi"/>
              </w:rPr>
              <w:t>(</w:t>
            </w:r>
            <w:r w:rsidR="00F41B67" w:rsidRPr="00017AE6">
              <w:rPr>
                <w:rFonts w:eastAsia="MS Mincho" w:cstheme="minorHAnsi"/>
              </w:rPr>
              <w:t>varenicline</w:t>
            </w:r>
            <w:r w:rsidR="00016922" w:rsidRPr="00017AE6">
              <w:rPr>
                <w:rFonts w:eastAsia="MS Mincho" w:cstheme="minorHAnsi"/>
              </w:rPr>
              <w:t xml:space="preserve"> group 2), </w:t>
            </w:r>
            <w:r w:rsidR="00F41B67">
              <w:rPr>
                <w:rFonts w:eastAsia="MS Mincho" w:cstheme="minorHAnsi"/>
              </w:rPr>
              <w:t xml:space="preserve">n=127 </w:t>
            </w:r>
            <w:r w:rsidR="000B586A">
              <w:rPr>
                <w:rFonts w:eastAsia="MS Mincho" w:cstheme="minorHAnsi"/>
              </w:rPr>
              <w:t>(</w:t>
            </w:r>
            <w:r w:rsidR="00F41B67" w:rsidRPr="00017AE6">
              <w:rPr>
                <w:rFonts w:eastAsia="MS Mincho" w:cstheme="minorHAnsi"/>
              </w:rPr>
              <w:t>varenicline</w:t>
            </w:r>
            <w:r w:rsidR="00016922" w:rsidRPr="00017AE6">
              <w:rPr>
                <w:rFonts w:eastAsia="MS Mincho" w:cstheme="minorHAnsi"/>
              </w:rPr>
              <w:t xml:space="preserve"> group 3), </w:t>
            </w:r>
            <w:r w:rsidR="00F41B67">
              <w:rPr>
                <w:rFonts w:eastAsia="MS Mincho" w:cstheme="minorHAnsi"/>
              </w:rPr>
              <w:t>n=128</w:t>
            </w:r>
            <w:r w:rsidR="00016922" w:rsidRPr="00017AE6">
              <w:rPr>
                <w:rFonts w:eastAsia="MS Mincho" w:cstheme="minorHAnsi"/>
              </w:rPr>
              <w:t xml:space="preserve"> </w:t>
            </w:r>
            <w:r w:rsidR="000B586A">
              <w:rPr>
                <w:rFonts w:eastAsia="MS Mincho" w:cstheme="minorHAnsi"/>
              </w:rPr>
              <w:t>(</w:t>
            </w:r>
            <w:r w:rsidR="00016922" w:rsidRPr="00017AE6">
              <w:rPr>
                <w:rFonts w:eastAsia="MS Mincho" w:cstheme="minorHAnsi"/>
              </w:rPr>
              <w:t>bupropion</w:t>
            </w:r>
            <w:r w:rsidR="000B586A">
              <w:rPr>
                <w:rFonts w:eastAsia="MS Mincho" w:cstheme="minorHAnsi"/>
              </w:rPr>
              <w:t>)</w:t>
            </w:r>
            <w:r w:rsidR="00016922" w:rsidRPr="00017AE6">
              <w:rPr>
                <w:rFonts w:eastAsia="MS Mincho" w:cstheme="minorHAnsi"/>
              </w:rPr>
              <w:t xml:space="preserve">, </w:t>
            </w:r>
            <w:r w:rsidR="000B586A">
              <w:rPr>
                <w:rFonts w:eastAsia="MS Mincho" w:cstheme="minorHAnsi"/>
              </w:rPr>
              <w:t>n=</w:t>
            </w:r>
            <w:r w:rsidR="003F2526">
              <w:t xml:space="preserve"> </w:t>
            </w:r>
            <w:r w:rsidR="003F2526" w:rsidRPr="003F2526">
              <w:rPr>
                <w:rFonts w:eastAsia="MS Mincho" w:cstheme="minorHAnsi"/>
              </w:rPr>
              <w:t>≤</w:t>
            </w:r>
            <w:r w:rsidR="003F2526">
              <w:rPr>
                <w:rFonts w:eastAsia="MS Mincho" w:cstheme="minorHAnsi"/>
              </w:rPr>
              <w:t xml:space="preserve"> </w:t>
            </w:r>
            <w:r w:rsidR="000B586A">
              <w:rPr>
                <w:rFonts w:eastAsia="MS Mincho" w:cstheme="minorHAnsi"/>
              </w:rPr>
              <w:t>127 (</w:t>
            </w:r>
            <w:r w:rsidR="00016922" w:rsidRPr="00017AE6">
              <w:rPr>
                <w:rFonts w:eastAsia="MS Mincho" w:cstheme="minorHAnsi"/>
              </w:rPr>
              <w:t>placebo</w:t>
            </w:r>
            <w:r w:rsidR="000B586A">
              <w:rPr>
                <w:rFonts w:eastAsia="MS Mincho" w:cstheme="minorHAnsi"/>
              </w:rPr>
              <w:t>)</w:t>
            </w:r>
            <w:r w:rsidR="003F2526">
              <w:rPr>
                <w:rFonts w:eastAsia="MS Mincho" w:cstheme="minorHAnsi"/>
              </w:rPr>
              <w:t>.</w:t>
            </w:r>
            <w:r w:rsidR="00016922" w:rsidRPr="00017AE6">
              <w:rPr>
                <w:rFonts w:eastAsia="MS Mincho" w:cstheme="minorHAnsi"/>
              </w:rPr>
              <w:t xml:space="preserve"> </w:t>
            </w:r>
          </w:p>
        </w:tc>
        <w:tc>
          <w:tcPr>
            <w:tcW w:w="853" w:type="pct"/>
          </w:tcPr>
          <w:p w:rsidR="00CC39F1" w:rsidRPr="00017AE6" w:rsidRDefault="00CC39F1" w:rsidP="00A71365">
            <w:pPr>
              <w:pStyle w:val="Tablewriting"/>
              <w:rPr>
                <w:rFonts w:eastAsia="MS Mincho" w:cstheme="minorHAnsi"/>
              </w:rPr>
            </w:pPr>
            <w:r w:rsidRPr="00017AE6">
              <w:rPr>
                <w:rFonts w:eastAsia="MS Mincho" w:cstheme="minorHAnsi"/>
              </w:rPr>
              <w:t xml:space="preserve">Healthy volunteer smokers, aged 18 </w:t>
            </w:r>
            <w:r w:rsidR="00016922">
              <w:rPr>
                <w:rFonts w:eastAsia="MS Mincho" w:cstheme="minorHAnsi"/>
              </w:rPr>
              <w:t>–</w:t>
            </w:r>
            <w:r w:rsidRPr="00017AE6">
              <w:rPr>
                <w:rFonts w:eastAsia="MS Mincho" w:cstheme="minorHAnsi"/>
              </w:rPr>
              <w:t xml:space="preserve"> 65</w:t>
            </w:r>
            <w:r w:rsidR="00016922">
              <w:rPr>
                <w:rFonts w:eastAsia="MS Mincho" w:cstheme="minorHAnsi"/>
              </w:rPr>
              <w:t xml:space="preserve"> years</w:t>
            </w:r>
            <w:r w:rsidRPr="00017AE6">
              <w:rPr>
                <w:rFonts w:eastAsia="MS Mincho" w:cstheme="minorHAnsi"/>
              </w:rPr>
              <w:t>, smoking at least 10 CPD on average. 48% men, 87% white,</w:t>
            </w:r>
            <w:r w:rsidR="001B56BB" w:rsidRPr="00017AE6">
              <w:rPr>
                <w:rFonts w:eastAsia="MS Mincho" w:cstheme="minorHAnsi"/>
              </w:rPr>
              <w:t xml:space="preserve"> </w:t>
            </w:r>
            <w:r w:rsidRPr="00017AE6">
              <w:rPr>
                <w:rFonts w:eastAsia="MS Mincho" w:cstheme="minorHAnsi"/>
              </w:rPr>
              <w:t>av</w:t>
            </w:r>
            <w:r w:rsidR="00016922">
              <w:rPr>
                <w:rFonts w:eastAsia="MS Mincho" w:cstheme="minorHAnsi"/>
              </w:rPr>
              <w:t>erage</w:t>
            </w:r>
            <w:r w:rsidRPr="00017AE6">
              <w:rPr>
                <w:rFonts w:eastAsia="MS Mincho" w:cstheme="minorHAnsi"/>
              </w:rPr>
              <w:t xml:space="preserve"> age 42, av</w:t>
            </w:r>
            <w:r w:rsidR="00016922">
              <w:rPr>
                <w:rFonts w:eastAsia="MS Mincho" w:cstheme="minorHAnsi"/>
              </w:rPr>
              <w:t>erage</w:t>
            </w:r>
            <w:r w:rsidRPr="00017AE6">
              <w:rPr>
                <w:rFonts w:eastAsia="MS Mincho" w:cstheme="minorHAnsi"/>
              </w:rPr>
              <w:t xml:space="preserve"> CPD 20, mean FTND 5.5. </w:t>
            </w:r>
          </w:p>
          <w:p w:rsidR="001B56BB" w:rsidRPr="00017AE6" w:rsidRDefault="001B56BB" w:rsidP="00A71365">
            <w:pPr>
              <w:pStyle w:val="Tablewriting"/>
              <w:rPr>
                <w:rFonts w:eastAsia="MS Mincho" w:cstheme="minorHAnsi"/>
              </w:rPr>
            </w:pPr>
          </w:p>
          <w:p w:rsidR="00C25F5E" w:rsidRPr="00017AE6" w:rsidRDefault="00CC39F1" w:rsidP="00A71365">
            <w:pPr>
              <w:pStyle w:val="Tablewriting"/>
              <w:rPr>
                <w:rFonts w:eastAsia="MS Mincho" w:cstheme="minorHAnsi"/>
              </w:rPr>
            </w:pPr>
            <w:r w:rsidRPr="00016922">
              <w:rPr>
                <w:rFonts w:eastAsia="MS Mincho" w:cstheme="minorHAnsi"/>
                <w:u w:val="single"/>
              </w:rPr>
              <w:t>Exclusion criteria:</w:t>
            </w:r>
            <w:r>
              <w:rPr>
                <w:rFonts w:eastAsia="MS Mincho" w:cstheme="minorHAnsi"/>
                <w:u w:val="single"/>
              </w:rPr>
              <w:t xml:space="preserve"> </w:t>
            </w:r>
            <w:r w:rsidRPr="00017AE6">
              <w:rPr>
                <w:rFonts w:eastAsia="MS Mincho" w:cstheme="minorHAnsi"/>
              </w:rPr>
              <w:t>Standard pharmacotherapy trial criteria, + use of bupropion within previous 12</w:t>
            </w:r>
            <w:r w:rsidR="00016922">
              <w:rPr>
                <w:rFonts w:eastAsia="MS Mincho" w:cstheme="minorHAnsi"/>
              </w:rPr>
              <w:t xml:space="preserve"> </w:t>
            </w:r>
            <w:r w:rsidRPr="00017AE6">
              <w:rPr>
                <w:rFonts w:eastAsia="MS Mincho" w:cstheme="minorHAnsi"/>
              </w:rPr>
              <w:t>m</w:t>
            </w:r>
            <w:r w:rsidR="00016922">
              <w:rPr>
                <w:rFonts w:eastAsia="MS Mincho" w:cstheme="minorHAnsi"/>
              </w:rPr>
              <w:t>onths</w:t>
            </w:r>
            <w:r w:rsidRPr="00017AE6">
              <w:rPr>
                <w:rFonts w:eastAsia="MS Mincho" w:cstheme="minorHAnsi"/>
              </w:rPr>
              <w:t xml:space="preserve">, </w:t>
            </w:r>
            <w:r w:rsidRPr="00017AE6">
              <w:rPr>
                <w:rFonts w:eastAsia="MS Mincho" w:cstheme="minorHAnsi"/>
              </w:rPr>
              <w:lastRenderedPageBreak/>
              <w:t>use of NRT within past 3</w:t>
            </w:r>
            <w:r w:rsidR="00016922">
              <w:rPr>
                <w:rFonts w:eastAsia="MS Mincho" w:cstheme="minorHAnsi"/>
              </w:rPr>
              <w:t xml:space="preserve"> months. </w:t>
            </w:r>
          </w:p>
        </w:tc>
        <w:tc>
          <w:tcPr>
            <w:tcW w:w="1055" w:type="pct"/>
          </w:tcPr>
          <w:p w:rsidR="003F2526" w:rsidRDefault="00E8544A" w:rsidP="00C324F3">
            <w:pPr>
              <w:pStyle w:val="Tablewriting"/>
              <w:numPr>
                <w:ilvl w:val="0"/>
                <w:numId w:val="81"/>
              </w:numPr>
              <w:rPr>
                <w:rFonts w:eastAsia="MS Mincho" w:cstheme="minorHAnsi"/>
              </w:rPr>
            </w:pPr>
            <w:r>
              <w:rPr>
                <w:rFonts w:eastAsia="MS Mincho" w:cstheme="minorHAnsi"/>
              </w:rPr>
              <w:lastRenderedPageBreak/>
              <w:t>Group 1</w:t>
            </w:r>
            <w:r w:rsidR="00A10CA2">
              <w:rPr>
                <w:rFonts w:eastAsia="MS Mincho" w:cstheme="minorHAnsi"/>
              </w:rPr>
              <w:t xml:space="preserve">; </w:t>
            </w:r>
            <w:r w:rsidR="00DC2ED3" w:rsidRPr="00017AE6">
              <w:rPr>
                <w:rFonts w:eastAsia="MS Mincho" w:cstheme="minorHAnsi"/>
              </w:rPr>
              <w:t xml:space="preserve">varenicline tartrate 0.3 mg x 1/day for 6wks, + </w:t>
            </w:r>
            <w:r w:rsidR="003F2526" w:rsidRPr="00017AE6">
              <w:rPr>
                <w:rFonts w:eastAsia="MS Mincho" w:cstheme="minorHAnsi"/>
              </w:rPr>
              <w:t>1-week</w:t>
            </w:r>
            <w:r w:rsidR="003F2526">
              <w:rPr>
                <w:rFonts w:eastAsia="MS Mincho" w:cstheme="minorHAnsi"/>
              </w:rPr>
              <w:t xml:space="preserve"> </w:t>
            </w:r>
            <w:r w:rsidR="00DC2ED3" w:rsidRPr="00017AE6">
              <w:rPr>
                <w:rFonts w:eastAsia="MS Mincho" w:cstheme="minorHAnsi"/>
              </w:rPr>
              <w:t>placebo</w:t>
            </w:r>
            <w:r w:rsidR="003F2526">
              <w:rPr>
                <w:rFonts w:eastAsia="MS Mincho" w:cstheme="minorHAnsi"/>
              </w:rPr>
              <w:t>.</w:t>
            </w:r>
          </w:p>
          <w:p w:rsidR="003F2526" w:rsidRDefault="00EA07E5" w:rsidP="00C324F3">
            <w:pPr>
              <w:pStyle w:val="Tablewriting"/>
              <w:numPr>
                <w:ilvl w:val="0"/>
                <w:numId w:val="81"/>
              </w:numPr>
              <w:rPr>
                <w:rFonts w:eastAsia="MS Mincho" w:cstheme="minorHAnsi"/>
              </w:rPr>
            </w:pPr>
            <w:r>
              <w:rPr>
                <w:rFonts w:eastAsia="MS Mincho" w:cstheme="minorHAnsi"/>
              </w:rPr>
              <w:t xml:space="preserve">Group 2; </w:t>
            </w:r>
            <w:r w:rsidR="00DC2ED3" w:rsidRPr="003F2526">
              <w:rPr>
                <w:rFonts w:eastAsia="MS Mincho" w:cstheme="minorHAnsi"/>
              </w:rPr>
              <w:t>varenicline tartrate 1.0 mg x 1/day for 6 w</w:t>
            </w:r>
            <w:r w:rsidR="003F2526">
              <w:rPr>
                <w:rFonts w:eastAsia="MS Mincho" w:cstheme="minorHAnsi"/>
              </w:rPr>
              <w:t>ee</w:t>
            </w:r>
            <w:r w:rsidR="00DC2ED3" w:rsidRPr="003F2526">
              <w:rPr>
                <w:rFonts w:eastAsia="MS Mincho" w:cstheme="minorHAnsi"/>
              </w:rPr>
              <w:t xml:space="preserve">ks, + </w:t>
            </w:r>
            <w:r w:rsidR="003F2526" w:rsidRPr="003F2526">
              <w:rPr>
                <w:rFonts w:eastAsia="MS Mincho" w:cstheme="minorHAnsi"/>
              </w:rPr>
              <w:t>1-week</w:t>
            </w:r>
            <w:r w:rsidR="00DC2ED3" w:rsidRPr="003F2526">
              <w:rPr>
                <w:rFonts w:eastAsia="MS Mincho" w:cstheme="minorHAnsi"/>
              </w:rPr>
              <w:t xml:space="preserve"> placebo</w:t>
            </w:r>
            <w:r w:rsidR="003F2526">
              <w:rPr>
                <w:rFonts w:eastAsia="MS Mincho" w:cstheme="minorHAnsi"/>
              </w:rPr>
              <w:t>.</w:t>
            </w:r>
          </w:p>
          <w:p w:rsidR="003F2526" w:rsidRDefault="00EA07E5" w:rsidP="00C324F3">
            <w:pPr>
              <w:pStyle w:val="Tablewriting"/>
              <w:numPr>
                <w:ilvl w:val="0"/>
                <w:numId w:val="81"/>
              </w:numPr>
              <w:rPr>
                <w:rFonts w:eastAsia="MS Mincho" w:cstheme="minorHAnsi"/>
              </w:rPr>
            </w:pPr>
            <w:r>
              <w:rPr>
                <w:rFonts w:eastAsia="MS Mincho" w:cstheme="minorHAnsi"/>
              </w:rPr>
              <w:t xml:space="preserve">Group 3; </w:t>
            </w:r>
            <w:r w:rsidR="00DC2ED3" w:rsidRPr="003F2526">
              <w:rPr>
                <w:rFonts w:eastAsia="MS Mincho" w:cstheme="minorHAnsi"/>
              </w:rPr>
              <w:t>varenicline tartrate 1.0 mg x 2/day for 6 w</w:t>
            </w:r>
            <w:r w:rsidR="003F2526">
              <w:rPr>
                <w:rFonts w:eastAsia="MS Mincho" w:cstheme="minorHAnsi"/>
              </w:rPr>
              <w:t>ee</w:t>
            </w:r>
            <w:r w:rsidR="00DC2ED3" w:rsidRPr="003F2526">
              <w:rPr>
                <w:rFonts w:eastAsia="MS Mincho" w:cstheme="minorHAnsi"/>
              </w:rPr>
              <w:t xml:space="preserve">ks, + </w:t>
            </w:r>
            <w:r w:rsidR="003F2526" w:rsidRPr="003F2526">
              <w:rPr>
                <w:rFonts w:eastAsia="MS Mincho" w:cstheme="minorHAnsi"/>
              </w:rPr>
              <w:t>1-week</w:t>
            </w:r>
            <w:r w:rsidR="00DC2ED3" w:rsidRPr="003F2526">
              <w:rPr>
                <w:rFonts w:eastAsia="MS Mincho" w:cstheme="minorHAnsi"/>
              </w:rPr>
              <w:t xml:space="preserve"> placebo</w:t>
            </w:r>
            <w:r w:rsidR="003F2526">
              <w:rPr>
                <w:rFonts w:eastAsia="MS Mincho" w:cstheme="minorHAnsi"/>
              </w:rPr>
              <w:t>.</w:t>
            </w:r>
          </w:p>
          <w:p w:rsidR="003F2526" w:rsidRDefault="00DC2ED3" w:rsidP="00C324F3">
            <w:pPr>
              <w:pStyle w:val="Tablewriting"/>
              <w:numPr>
                <w:ilvl w:val="0"/>
                <w:numId w:val="81"/>
              </w:numPr>
              <w:rPr>
                <w:rFonts w:eastAsia="MS Mincho" w:cstheme="minorHAnsi"/>
              </w:rPr>
            </w:pPr>
            <w:r w:rsidRPr="003F2526">
              <w:rPr>
                <w:rFonts w:eastAsia="MS Mincho" w:cstheme="minorHAnsi"/>
              </w:rPr>
              <w:t>bupropion 150 mg x 2/day (titrated in w</w:t>
            </w:r>
            <w:r w:rsidR="003F2526">
              <w:rPr>
                <w:rFonts w:eastAsia="MS Mincho" w:cstheme="minorHAnsi"/>
              </w:rPr>
              <w:t>ee</w:t>
            </w:r>
            <w:r w:rsidRPr="003F2526">
              <w:rPr>
                <w:rFonts w:eastAsia="MS Mincho" w:cstheme="minorHAnsi"/>
              </w:rPr>
              <w:t>k 1) for 7 w</w:t>
            </w:r>
            <w:r w:rsidR="003F2526">
              <w:rPr>
                <w:rFonts w:eastAsia="MS Mincho" w:cstheme="minorHAnsi"/>
              </w:rPr>
              <w:t>ee</w:t>
            </w:r>
            <w:r w:rsidRPr="003F2526">
              <w:rPr>
                <w:rFonts w:eastAsia="MS Mincho" w:cstheme="minorHAnsi"/>
              </w:rPr>
              <w:t>ks</w:t>
            </w:r>
            <w:r w:rsidR="003F2526">
              <w:rPr>
                <w:rFonts w:eastAsia="MS Mincho" w:cstheme="minorHAnsi"/>
              </w:rPr>
              <w:t>.</w:t>
            </w:r>
          </w:p>
          <w:p w:rsidR="00DC2ED3" w:rsidRPr="00017AE6" w:rsidRDefault="00DC2ED3" w:rsidP="00C324F3">
            <w:pPr>
              <w:pStyle w:val="Tablewriting"/>
              <w:numPr>
                <w:ilvl w:val="0"/>
                <w:numId w:val="81"/>
              </w:numPr>
              <w:rPr>
                <w:rFonts w:eastAsia="MS Mincho" w:cstheme="minorHAnsi"/>
              </w:rPr>
            </w:pPr>
            <w:r w:rsidRPr="00017AE6">
              <w:rPr>
                <w:rFonts w:eastAsia="MS Mincho" w:cstheme="minorHAnsi"/>
              </w:rPr>
              <w:lastRenderedPageBreak/>
              <w:t xml:space="preserve">placebo tablets x 2/day for 7 </w:t>
            </w:r>
            <w:r w:rsidRPr="003F2526">
              <w:rPr>
                <w:rFonts w:eastAsia="MS Mincho" w:cstheme="minorHAnsi"/>
              </w:rPr>
              <w:t>w</w:t>
            </w:r>
            <w:r w:rsidR="003F2526">
              <w:rPr>
                <w:rFonts w:eastAsia="MS Mincho" w:cstheme="minorHAnsi"/>
              </w:rPr>
              <w:t>ee</w:t>
            </w:r>
            <w:r w:rsidRPr="003F2526">
              <w:rPr>
                <w:rFonts w:eastAsia="MS Mincho" w:cstheme="minorHAnsi"/>
              </w:rPr>
              <w:t>ks</w:t>
            </w:r>
            <w:r w:rsidR="003F2526">
              <w:rPr>
                <w:rFonts w:eastAsia="MS Mincho" w:cstheme="minorHAnsi"/>
              </w:rPr>
              <w:t>.</w:t>
            </w:r>
          </w:p>
          <w:p w:rsidR="003F2526" w:rsidRDefault="003F2526" w:rsidP="00A71365">
            <w:pPr>
              <w:pStyle w:val="Tablewriting"/>
              <w:rPr>
                <w:rFonts w:eastAsia="MS Mincho" w:cstheme="minorHAnsi"/>
              </w:rPr>
            </w:pPr>
          </w:p>
          <w:p w:rsidR="00DC2ED3" w:rsidRPr="00017AE6" w:rsidRDefault="003F2526" w:rsidP="00A71365">
            <w:pPr>
              <w:pStyle w:val="Tablewriting"/>
              <w:rPr>
                <w:rFonts w:eastAsia="MS Mincho" w:cstheme="minorHAnsi"/>
              </w:rPr>
            </w:pPr>
            <w:r w:rsidRPr="06BFFAED">
              <w:rPr>
                <w:rFonts w:eastAsia="MS Mincho" w:cstheme="minorBidi"/>
                <w:u w:val="single"/>
              </w:rPr>
              <w:t>Common components:</w:t>
            </w:r>
            <w:r>
              <w:rPr>
                <w:rFonts w:eastAsia="MS Mincho" w:cstheme="minorBidi"/>
                <w:u w:val="single"/>
              </w:rPr>
              <w:t xml:space="preserve"> </w:t>
            </w:r>
            <w:r w:rsidR="00DC2ED3" w:rsidRPr="00017AE6">
              <w:rPr>
                <w:rFonts w:eastAsia="MS Mincho" w:cstheme="minorHAnsi"/>
              </w:rPr>
              <w:t>All groups received self-help booklet Clearing the Air at baseline, + brief (</w:t>
            </w:r>
            <w:r w:rsidRPr="003F2526">
              <w:rPr>
                <w:rFonts w:eastAsia="MS Mincho" w:cstheme="minorHAnsi"/>
              </w:rPr>
              <w:t>≤</w:t>
            </w:r>
            <w:r w:rsidR="00DC2ED3" w:rsidRPr="00017AE6">
              <w:rPr>
                <w:rFonts w:eastAsia="MS Mincho" w:cstheme="minorHAnsi"/>
              </w:rPr>
              <w:t xml:space="preserve"> 10 mins) counselling at weekly</w:t>
            </w:r>
          </w:p>
          <w:p w:rsidR="00DC2ED3" w:rsidRPr="00017AE6" w:rsidRDefault="00DC2ED3" w:rsidP="00A71365">
            <w:pPr>
              <w:pStyle w:val="Tablewriting"/>
              <w:rPr>
                <w:rFonts w:eastAsia="MS Mincho" w:cstheme="minorHAnsi"/>
              </w:rPr>
            </w:pPr>
            <w:r w:rsidRPr="00017AE6">
              <w:rPr>
                <w:rFonts w:eastAsia="MS Mincho" w:cstheme="minorHAnsi"/>
              </w:rPr>
              <w:t>clinic visits throughout treatment phase. At each visit smoking status reported and verified; lab samples</w:t>
            </w:r>
            <w:r w:rsidR="00017AE6">
              <w:rPr>
                <w:rFonts w:eastAsia="MS Mincho" w:cstheme="minorHAnsi"/>
              </w:rPr>
              <w:t xml:space="preserve"> </w:t>
            </w:r>
            <w:r w:rsidRPr="00017AE6">
              <w:rPr>
                <w:rFonts w:eastAsia="MS Mincho" w:cstheme="minorHAnsi"/>
              </w:rPr>
              <w:t>taken at screening, baseline and w</w:t>
            </w:r>
            <w:r w:rsidR="003F2526">
              <w:rPr>
                <w:rFonts w:eastAsia="MS Mincho" w:cstheme="minorHAnsi"/>
              </w:rPr>
              <w:t>ee</w:t>
            </w:r>
            <w:r w:rsidRPr="00017AE6">
              <w:rPr>
                <w:rFonts w:eastAsia="MS Mincho" w:cstheme="minorHAnsi"/>
              </w:rPr>
              <w:t>ks 1, 2, 4, 6 and 7</w:t>
            </w:r>
            <w:r w:rsidR="003F2526">
              <w:rPr>
                <w:rFonts w:eastAsia="MS Mincho" w:cstheme="minorHAnsi"/>
              </w:rPr>
              <w:t>.</w:t>
            </w:r>
          </w:p>
          <w:p w:rsidR="003F2526" w:rsidRDefault="003F2526" w:rsidP="00A71365">
            <w:pPr>
              <w:pStyle w:val="Tablewriting"/>
              <w:rPr>
                <w:rFonts w:eastAsia="MS Mincho" w:cstheme="minorHAnsi"/>
              </w:rPr>
            </w:pPr>
          </w:p>
          <w:p w:rsidR="00C25F5E" w:rsidRPr="00017AE6" w:rsidRDefault="00DC2ED3" w:rsidP="00A71365">
            <w:pPr>
              <w:pStyle w:val="Tablewriting"/>
              <w:rPr>
                <w:rFonts w:eastAsia="MS Mincho" w:cstheme="minorHAnsi"/>
              </w:rPr>
            </w:pPr>
            <w:r w:rsidRPr="00017AE6">
              <w:rPr>
                <w:rFonts w:eastAsia="MS Mincho" w:cstheme="minorHAnsi"/>
              </w:rPr>
              <w:t>Follow-up phase (optional): Clinic visits at w</w:t>
            </w:r>
            <w:r w:rsidR="003F2526">
              <w:rPr>
                <w:rFonts w:eastAsia="MS Mincho" w:cstheme="minorHAnsi"/>
              </w:rPr>
              <w:t>ee</w:t>
            </w:r>
            <w:r w:rsidRPr="00017AE6">
              <w:rPr>
                <w:rFonts w:eastAsia="MS Mincho" w:cstheme="minorHAnsi"/>
              </w:rPr>
              <w:t xml:space="preserve">ks 12, 24, </w:t>
            </w:r>
            <w:r w:rsidR="009E2A27" w:rsidRPr="00017AE6">
              <w:rPr>
                <w:rFonts w:eastAsia="MS Mincho" w:cstheme="minorHAnsi"/>
              </w:rPr>
              <w:t>and 52</w:t>
            </w:r>
            <w:r w:rsidRPr="00017AE6">
              <w:rPr>
                <w:rFonts w:eastAsia="MS Mincho" w:cstheme="minorHAnsi"/>
              </w:rPr>
              <w:t xml:space="preserve"> for brief counse</w:t>
            </w:r>
            <w:r w:rsidR="009E2A27">
              <w:rPr>
                <w:rFonts w:eastAsia="MS Mincho" w:cstheme="minorHAnsi"/>
              </w:rPr>
              <w:t xml:space="preserve">lling, smoking status and vital </w:t>
            </w:r>
            <w:r w:rsidRPr="00017AE6">
              <w:rPr>
                <w:rFonts w:eastAsia="MS Mincho" w:cstheme="minorHAnsi"/>
              </w:rPr>
              <w:t>signs. Phone calls every 4 w</w:t>
            </w:r>
            <w:r w:rsidR="003F2526">
              <w:rPr>
                <w:rFonts w:eastAsia="MS Mincho" w:cstheme="minorHAnsi"/>
              </w:rPr>
              <w:t>ee</w:t>
            </w:r>
            <w:r w:rsidRPr="00017AE6">
              <w:rPr>
                <w:rFonts w:eastAsia="MS Mincho" w:cstheme="minorHAnsi"/>
              </w:rPr>
              <w:t>ks from w</w:t>
            </w:r>
            <w:r w:rsidR="003F2526">
              <w:rPr>
                <w:rFonts w:eastAsia="MS Mincho" w:cstheme="minorHAnsi"/>
              </w:rPr>
              <w:t>ee</w:t>
            </w:r>
            <w:r w:rsidRPr="00017AE6">
              <w:rPr>
                <w:rFonts w:eastAsia="MS Mincho" w:cstheme="minorHAnsi"/>
              </w:rPr>
              <w:t>k 16</w:t>
            </w:r>
            <w:r w:rsidR="003F2526">
              <w:rPr>
                <w:rFonts w:eastAsia="MS Mincho" w:cstheme="minorHAnsi"/>
              </w:rPr>
              <w:t>.</w:t>
            </w:r>
          </w:p>
        </w:tc>
        <w:tc>
          <w:tcPr>
            <w:tcW w:w="960" w:type="pct"/>
          </w:tcPr>
          <w:p w:rsidR="004929FD" w:rsidRDefault="004929FD" w:rsidP="00A71365">
            <w:pPr>
              <w:pStyle w:val="Tablewriting"/>
              <w:rPr>
                <w:rFonts w:eastAsia="MS Mincho" w:cstheme="minorHAnsi"/>
              </w:rPr>
            </w:pPr>
            <w:r w:rsidRPr="004929FD">
              <w:rPr>
                <w:rFonts w:eastAsia="MS Mincho" w:cstheme="minorHAnsi"/>
                <w:u w:val="single"/>
              </w:rPr>
              <w:lastRenderedPageBreak/>
              <w:t>Efficacy:</w:t>
            </w:r>
            <w:r>
              <w:rPr>
                <w:rFonts w:eastAsia="MS Mincho" w:cstheme="minorHAnsi"/>
              </w:rPr>
              <w:t xml:space="preserve"> </w:t>
            </w:r>
          </w:p>
          <w:p w:rsidR="00E74B49" w:rsidRPr="00017AE6" w:rsidRDefault="00E74B49" w:rsidP="00A71365">
            <w:pPr>
              <w:pStyle w:val="Tablewriting"/>
              <w:rPr>
                <w:rFonts w:eastAsia="MS Mincho" w:cstheme="minorHAnsi"/>
              </w:rPr>
            </w:pPr>
            <w:r w:rsidRPr="00017AE6">
              <w:rPr>
                <w:rFonts w:eastAsia="MS Mincho" w:cstheme="minorHAnsi"/>
              </w:rPr>
              <w:t>Primary outcome: Continuous verified 4-w</w:t>
            </w:r>
            <w:r w:rsidR="004929FD">
              <w:rPr>
                <w:rFonts w:eastAsia="MS Mincho" w:cstheme="minorHAnsi"/>
              </w:rPr>
              <w:t>ee</w:t>
            </w:r>
            <w:r w:rsidRPr="00017AE6">
              <w:rPr>
                <w:rFonts w:eastAsia="MS Mincho" w:cstheme="minorHAnsi"/>
              </w:rPr>
              <w:t>k abstinence for any part of treatment period</w:t>
            </w:r>
          </w:p>
          <w:p w:rsidR="00E74B49" w:rsidRPr="00017AE6" w:rsidRDefault="00E74B49" w:rsidP="00A71365">
            <w:pPr>
              <w:pStyle w:val="Tablewriting"/>
              <w:rPr>
                <w:rFonts w:eastAsia="MS Mincho" w:cstheme="minorHAnsi"/>
              </w:rPr>
            </w:pPr>
            <w:r w:rsidRPr="00017AE6">
              <w:rPr>
                <w:rFonts w:eastAsia="MS Mincho" w:cstheme="minorHAnsi"/>
              </w:rPr>
              <w:t>Secondary outcomes: CQR w</w:t>
            </w:r>
            <w:r w:rsidR="004929FD">
              <w:rPr>
                <w:rFonts w:eastAsia="MS Mincho" w:cstheme="minorHAnsi"/>
              </w:rPr>
              <w:t>ee</w:t>
            </w:r>
            <w:r w:rsidRPr="00017AE6">
              <w:rPr>
                <w:rFonts w:eastAsia="MS Mincho" w:cstheme="minorHAnsi"/>
              </w:rPr>
              <w:t xml:space="preserve">ks </w:t>
            </w:r>
            <w:r w:rsidR="004929FD">
              <w:rPr>
                <w:rFonts w:eastAsia="MS Mincho" w:cstheme="minorHAnsi"/>
              </w:rPr>
              <w:t>(</w:t>
            </w:r>
            <w:r w:rsidRPr="00017AE6">
              <w:rPr>
                <w:rFonts w:eastAsia="MS Mincho" w:cstheme="minorHAnsi"/>
              </w:rPr>
              <w:t xml:space="preserve">4 </w:t>
            </w:r>
            <w:r w:rsidR="004929FD">
              <w:rPr>
                <w:rFonts w:eastAsia="MS Mincho" w:cstheme="minorHAnsi"/>
              </w:rPr>
              <w:t>–</w:t>
            </w:r>
            <w:r w:rsidRPr="00017AE6">
              <w:rPr>
                <w:rFonts w:eastAsia="MS Mincho" w:cstheme="minorHAnsi"/>
              </w:rPr>
              <w:t xml:space="preserve"> 7</w:t>
            </w:r>
            <w:r w:rsidR="004929FD">
              <w:rPr>
                <w:rFonts w:eastAsia="MS Mincho" w:cstheme="minorHAnsi"/>
              </w:rPr>
              <w:t>)</w:t>
            </w:r>
            <w:r w:rsidRPr="00017AE6">
              <w:rPr>
                <w:rFonts w:eastAsia="MS Mincho" w:cstheme="minorHAnsi"/>
              </w:rPr>
              <w:t>; CQR from w</w:t>
            </w:r>
            <w:r w:rsidR="004929FD">
              <w:rPr>
                <w:rFonts w:eastAsia="MS Mincho" w:cstheme="minorHAnsi"/>
              </w:rPr>
              <w:t>ee</w:t>
            </w:r>
            <w:r w:rsidRPr="00017AE6">
              <w:rPr>
                <w:rFonts w:eastAsia="MS Mincho" w:cstheme="minorHAnsi"/>
              </w:rPr>
              <w:t>k 4 to w</w:t>
            </w:r>
            <w:r w:rsidR="004929FD">
              <w:rPr>
                <w:rFonts w:eastAsia="MS Mincho" w:cstheme="minorHAnsi"/>
              </w:rPr>
              <w:t>ee</w:t>
            </w:r>
            <w:r w:rsidRPr="00017AE6">
              <w:rPr>
                <w:rFonts w:eastAsia="MS Mincho" w:cstheme="minorHAnsi"/>
              </w:rPr>
              <w:t>ks 12, 24, and 52</w:t>
            </w:r>
            <w:r w:rsidR="004929FD">
              <w:rPr>
                <w:rFonts w:eastAsia="MS Mincho" w:cstheme="minorHAnsi"/>
              </w:rPr>
              <w:t>.</w:t>
            </w:r>
          </w:p>
          <w:p w:rsidR="00993149" w:rsidRDefault="00993149" w:rsidP="00A71365">
            <w:pPr>
              <w:pStyle w:val="Tablewriting"/>
              <w:rPr>
                <w:rFonts w:eastAsia="MS Mincho" w:cstheme="minorHAnsi"/>
              </w:rPr>
            </w:pPr>
          </w:p>
          <w:p w:rsidR="00993149" w:rsidRPr="00017AE6" w:rsidRDefault="00993149" w:rsidP="00A71365">
            <w:pPr>
              <w:pStyle w:val="Tablewriting"/>
              <w:rPr>
                <w:rFonts w:eastAsia="MS Mincho" w:cstheme="minorHAnsi"/>
              </w:rPr>
            </w:pPr>
            <w:r w:rsidRPr="00017AE6">
              <w:rPr>
                <w:rFonts w:eastAsia="MS Mincho" w:cstheme="minorHAnsi"/>
              </w:rPr>
              <w:t xml:space="preserve">Validation was by expired CO </w:t>
            </w:r>
            <w:r w:rsidR="00F66FD5" w:rsidRPr="007563F9">
              <w:rPr>
                <w:rFonts w:eastAsia="MS Mincho" w:cstheme="minorHAnsi"/>
              </w:rPr>
              <w:t>≤</w:t>
            </w:r>
            <w:r w:rsidRPr="00017AE6">
              <w:rPr>
                <w:rFonts w:eastAsia="MS Mincho" w:cstheme="minorHAnsi"/>
              </w:rPr>
              <w:t xml:space="preserve"> 10 ppm</w:t>
            </w:r>
            <w:r w:rsidR="00F66FD5">
              <w:rPr>
                <w:rFonts w:eastAsia="MS Mincho" w:cstheme="minorHAnsi"/>
              </w:rPr>
              <w:t>.</w:t>
            </w:r>
          </w:p>
          <w:p w:rsidR="00993149" w:rsidRDefault="00993149" w:rsidP="00A71365">
            <w:pPr>
              <w:pStyle w:val="Tablewriting"/>
              <w:rPr>
                <w:rFonts w:eastAsia="MS Mincho" w:cstheme="minorHAnsi"/>
              </w:rPr>
            </w:pPr>
          </w:p>
          <w:p w:rsidR="004929FD" w:rsidRDefault="004929FD" w:rsidP="00A71365">
            <w:pPr>
              <w:pStyle w:val="Tablewriting"/>
              <w:rPr>
                <w:rFonts w:eastAsia="MS Mincho" w:cstheme="minorHAnsi"/>
              </w:rPr>
            </w:pPr>
          </w:p>
          <w:p w:rsidR="004929FD" w:rsidRDefault="004929FD" w:rsidP="00A71365">
            <w:pPr>
              <w:pStyle w:val="Tablewriting"/>
              <w:rPr>
                <w:rFonts w:eastAsia="MS Mincho" w:cstheme="minorHAnsi"/>
              </w:rPr>
            </w:pPr>
            <w:r w:rsidRPr="004929FD">
              <w:rPr>
                <w:rFonts w:eastAsia="MS Mincho" w:cstheme="minorHAnsi"/>
                <w:u w:val="single"/>
              </w:rPr>
              <w:lastRenderedPageBreak/>
              <w:t>Safety:</w:t>
            </w:r>
            <w:r>
              <w:rPr>
                <w:rFonts w:eastAsia="MS Mincho" w:cstheme="minorHAnsi"/>
                <w:u w:val="single"/>
              </w:rPr>
              <w:t xml:space="preserve"> A</w:t>
            </w:r>
            <w:r w:rsidRPr="00017AE6">
              <w:rPr>
                <w:rFonts w:eastAsia="MS Mincho" w:cstheme="minorHAnsi"/>
              </w:rPr>
              <w:t>dverse events</w:t>
            </w:r>
            <w:r>
              <w:rPr>
                <w:rFonts w:eastAsia="MS Mincho" w:cstheme="minorHAnsi"/>
              </w:rPr>
              <w:t>.</w:t>
            </w:r>
          </w:p>
          <w:p w:rsidR="004929FD" w:rsidRPr="004929FD" w:rsidRDefault="004929FD" w:rsidP="00A71365">
            <w:pPr>
              <w:pStyle w:val="Tablewriting"/>
              <w:rPr>
                <w:rFonts w:eastAsia="MS Mincho" w:cstheme="minorHAnsi"/>
                <w:u w:val="single"/>
              </w:rPr>
            </w:pPr>
          </w:p>
          <w:p w:rsidR="00E74B49" w:rsidRPr="00017AE6" w:rsidRDefault="00E74B49" w:rsidP="00A71365">
            <w:pPr>
              <w:pStyle w:val="Tablewriting"/>
              <w:rPr>
                <w:rFonts w:eastAsia="MS Mincho" w:cstheme="minorHAnsi"/>
              </w:rPr>
            </w:pPr>
            <w:r w:rsidRPr="004929FD">
              <w:rPr>
                <w:rFonts w:eastAsia="MS Mincho" w:cstheme="minorHAnsi"/>
                <w:u w:val="single"/>
              </w:rPr>
              <w:t>Other:</w:t>
            </w:r>
            <w:r w:rsidRPr="00017AE6">
              <w:rPr>
                <w:rFonts w:eastAsia="MS Mincho" w:cstheme="minorHAnsi"/>
              </w:rPr>
              <w:t xml:space="preserve"> Weight change</w:t>
            </w:r>
            <w:r w:rsidR="00993149">
              <w:rPr>
                <w:rFonts w:eastAsia="MS Mincho" w:cstheme="minorHAnsi"/>
              </w:rPr>
              <w:t>,</w:t>
            </w:r>
            <w:r w:rsidRPr="00017AE6">
              <w:rPr>
                <w:rFonts w:eastAsia="MS Mincho" w:cstheme="minorHAnsi"/>
              </w:rPr>
              <w:t xml:space="preserve"> reduction of craving and withdrawal using MNWS, QSU-brief and</w:t>
            </w:r>
            <w:r w:rsidR="00993149">
              <w:rPr>
                <w:rFonts w:eastAsia="MS Mincho" w:cstheme="minorHAnsi"/>
              </w:rPr>
              <w:t xml:space="preserve"> </w:t>
            </w:r>
            <w:r w:rsidRPr="00017AE6">
              <w:rPr>
                <w:rFonts w:eastAsia="MS Mincho" w:cstheme="minorHAnsi"/>
              </w:rPr>
              <w:t>mCEQ</w:t>
            </w:r>
            <w:r w:rsidR="00993149">
              <w:rPr>
                <w:rFonts w:eastAsia="MS Mincho" w:cstheme="minorHAnsi"/>
              </w:rPr>
              <w:t>.</w:t>
            </w:r>
            <w:r w:rsidRPr="00017AE6">
              <w:rPr>
                <w:rFonts w:eastAsia="MS Mincho" w:cstheme="minorHAnsi"/>
              </w:rPr>
              <w:t xml:space="preserve"> </w:t>
            </w:r>
          </w:p>
          <w:p w:rsidR="00993149" w:rsidRDefault="00993149" w:rsidP="00A71365">
            <w:pPr>
              <w:pStyle w:val="Tablewriting"/>
              <w:rPr>
                <w:rFonts w:eastAsia="MS Mincho" w:cstheme="minorHAnsi"/>
              </w:rPr>
            </w:pPr>
          </w:p>
          <w:p w:rsidR="00C25F5E" w:rsidRPr="00017AE6" w:rsidRDefault="00C25F5E"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lastRenderedPageBreak/>
              <w:t xml:space="preserve">Oncken </w:t>
            </w:r>
            <w:r w:rsidR="00DF0515">
              <w:rPr>
                <w:rFonts w:eastAsia="MS Mincho" w:cstheme="minorHAnsi"/>
              </w:rPr>
              <w:t>(</w:t>
            </w:r>
            <w:r w:rsidRPr="00017AE6">
              <w:rPr>
                <w:rFonts w:eastAsia="MS Mincho" w:cstheme="minorHAnsi"/>
              </w:rPr>
              <w:t>2006</w:t>
            </w:r>
            <w:r w:rsidR="00DF0515">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AA0D74" w:rsidP="00A71365">
            <w:pPr>
              <w:pStyle w:val="Tablewriting"/>
              <w:rPr>
                <w:rFonts w:eastAsia="MS Mincho" w:cstheme="minorHAnsi"/>
              </w:rPr>
            </w:pPr>
            <w:r w:rsidRPr="00017AE6">
              <w:rPr>
                <w:rFonts w:eastAsia="MS Mincho" w:cstheme="minorHAnsi"/>
              </w:rPr>
              <w:t>USA</w:t>
            </w:r>
          </w:p>
        </w:tc>
        <w:tc>
          <w:tcPr>
            <w:tcW w:w="675" w:type="pct"/>
          </w:tcPr>
          <w:p w:rsidR="00911D8D" w:rsidRPr="00017AE6" w:rsidRDefault="00C25F5E" w:rsidP="00A71365">
            <w:pPr>
              <w:pStyle w:val="Tablewriting"/>
              <w:rPr>
                <w:rFonts w:eastAsia="MS Mincho" w:cstheme="minorHAnsi"/>
              </w:rPr>
            </w:pPr>
            <w:r w:rsidRPr="00017AE6">
              <w:rPr>
                <w:rFonts w:eastAsia="MS Mincho" w:cstheme="minorHAnsi"/>
              </w:rPr>
              <w:t>N=</w:t>
            </w:r>
            <w:r w:rsidR="00AA0D74" w:rsidRPr="00017AE6">
              <w:rPr>
                <w:rFonts w:eastAsia="MS Mincho" w:cstheme="minorHAnsi"/>
              </w:rPr>
              <w:t>647</w:t>
            </w:r>
            <w:r w:rsidR="00911D8D">
              <w:rPr>
                <w:rFonts w:eastAsia="MS Mincho" w:cstheme="minorHAnsi"/>
              </w:rPr>
              <w:t xml:space="preserve">; </w:t>
            </w:r>
            <w:r w:rsidR="002C3753">
              <w:rPr>
                <w:rFonts w:eastAsia="MS Mincho" w:cstheme="minorHAnsi"/>
              </w:rPr>
              <w:t>n=129 (</w:t>
            </w:r>
            <w:r w:rsidR="00911D8D" w:rsidRPr="00017AE6">
              <w:rPr>
                <w:rFonts w:eastAsia="MS Mincho" w:cstheme="minorHAnsi"/>
              </w:rPr>
              <w:t xml:space="preserve">group 1), </w:t>
            </w:r>
            <w:r w:rsidR="002C3753">
              <w:rPr>
                <w:rFonts w:eastAsia="MS Mincho" w:cstheme="minorHAnsi"/>
              </w:rPr>
              <w:t>n=130 (</w:t>
            </w:r>
            <w:r w:rsidR="00911D8D" w:rsidRPr="00017AE6">
              <w:rPr>
                <w:rFonts w:eastAsia="MS Mincho" w:cstheme="minorHAnsi"/>
              </w:rPr>
              <w:t xml:space="preserve">group 2), </w:t>
            </w:r>
            <w:r w:rsidR="002C3753">
              <w:rPr>
                <w:rFonts w:eastAsia="MS Mincho" w:cstheme="minorHAnsi"/>
              </w:rPr>
              <w:t>n=129 (</w:t>
            </w:r>
            <w:r w:rsidR="00911D8D" w:rsidRPr="00017AE6">
              <w:rPr>
                <w:rFonts w:eastAsia="MS Mincho" w:cstheme="minorHAnsi"/>
              </w:rPr>
              <w:t xml:space="preserve">group 3), </w:t>
            </w:r>
            <w:r w:rsidR="002C3753">
              <w:rPr>
                <w:rFonts w:eastAsia="MS Mincho" w:cstheme="minorHAnsi"/>
              </w:rPr>
              <w:t>n=130 (</w:t>
            </w:r>
            <w:r w:rsidR="00911D8D" w:rsidRPr="00017AE6">
              <w:rPr>
                <w:rFonts w:eastAsia="MS Mincho" w:cstheme="minorHAnsi"/>
              </w:rPr>
              <w:t>group 4</w:t>
            </w:r>
            <w:r w:rsidR="002C3753">
              <w:rPr>
                <w:rFonts w:eastAsia="MS Mincho" w:cstheme="minorHAnsi"/>
              </w:rPr>
              <w:t>, n=129</w:t>
            </w:r>
            <w:r w:rsidR="00911D8D" w:rsidRPr="00017AE6">
              <w:rPr>
                <w:rFonts w:eastAsia="MS Mincho" w:cstheme="minorHAnsi"/>
              </w:rPr>
              <w:t xml:space="preserve"> </w:t>
            </w:r>
            <w:r w:rsidR="00BA2C4A">
              <w:rPr>
                <w:rFonts w:eastAsia="MS Mincho" w:cstheme="minorHAnsi"/>
              </w:rPr>
              <w:t>(</w:t>
            </w:r>
            <w:r w:rsidR="00911D8D" w:rsidRPr="00017AE6">
              <w:rPr>
                <w:rFonts w:eastAsia="MS Mincho" w:cstheme="minorHAnsi"/>
              </w:rPr>
              <w:t>placebo)</w:t>
            </w:r>
          </w:p>
          <w:p w:rsidR="00911D8D" w:rsidRDefault="00911D8D" w:rsidP="00A71365">
            <w:pPr>
              <w:pStyle w:val="Tablewriting"/>
              <w:rPr>
                <w:rFonts w:eastAsia="MS Mincho" w:cstheme="minorHAnsi"/>
              </w:rPr>
            </w:pPr>
          </w:p>
          <w:p w:rsidR="00C25F5E" w:rsidRPr="00017AE6" w:rsidRDefault="00C25F5E" w:rsidP="00A71365">
            <w:pPr>
              <w:pStyle w:val="Tablewriting"/>
              <w:rPr>
                <w:rFonts w:eastAsia="MS Mincho" w:cstheme="minorHAnsi"/>
              </w:rPr>
            </w:pPr>
          </w:p>
        </w:tc>
        <w:tc>
          <w:tcPr>
            <w:tcW w:w="853" w:type="pct"/>
          </w:tcPr>
          <w:p w:rsidR="006431FB" w:rsidRDefault="00AA0D74" w:rsidP="00A71365">
            <w:pPr>
              <w:pStyle w:val="Tablewriting"/>
              <w:rPr>
                <w:rFonts w:eastAsia="MS Mincho" w:cstheme="minorHAnsi"/>
              </w:rPr>
            </w:pPr>
            <w:r w:rsidRPr="00017AE6">
              <w:rPr>
                <w:rFonts w:eastAsia="MS Mincho" w:cstheme="minorHAnsi"/>
              </w:rPr>
              <w:t xml:space="preserve">Healthy volunteer smokers, aged 18 </w:t>
            </w:r>
            <w:r w:rsidR="006431FB">
              <w:rPr>
                <w:rFonts w:eastAsia="MS Mincho" w:cstheme="minorHAnsi"/>
              </w:rPr>
              <w:t>–</w:t>
            </w:r>
            <w:r w:rsidRPr="00017AE6">
              <w:rPr>
                <w:rFonts w:eastAsia="MS Mincho" w:cstheme="minorHAnsi"/>
              </w:rPr>
              <w:t xml:space="preserve"> 65</w:t>
            </w:r>
            <w:r w:rsidR="006431FB">
              <w:rPr>
                <w:rFonts w:eastAsia="MS Mincho" w:cstheme="minorHAnsi"/>
              </w:rPr>
              <w:t xml:space="preserve"> years</w:t>
            </w:r>
            <w:r w:rsidRPr="00017AE6">
              <w:rPr>
                <w:rFonts w:eastAsia="MS Mincho" w:cstheme="minorHAnsi"/>
              </w:rPr>
              <w:t>, smoking at least 10 CPD. 49.5% men, 80% white, av</w:t>
            </w:r>
            <w:r w:rsidR="006431FB">
              <w:rPr>
                <w:rFonts w:eastAsia="MS Mincho" w:cstheme="minorHAnsi"/>
              </w:rPr>
              <w:t>erage</w:t>
            </w:r>
            <w:r w:rsidRPr="00017AE6">
              <w:rPr>
                <w:rFonts w:eastAsia="MS Mincho" w:cstheme="minorHAnsi"/>
              </w:rPr>
              <w:t xml:space="preserve"> CPD</w:t>
            </w:r>
            <w:r w:rsidR="006431FB">
              <w:rPr>
                <w:rFonts w:eastAsia="MS Mincho" w:cstheme="minorHAnsi"/>
              </w:rPr>
              <w:t xml:space="preserve"> </w:t>
            </w:r>
            <w:r w:rsidRPr="00017AE6">
              <w:rPr>
                <w:rFonts w:eastAsia="MS Mincho" w:cstheme="minorHAnsi"/>
              </w:rPr>
              <w:t>21,</w:t>
            </w:r>
            <w:r w:rsidR="006431FB">
              <w:rPr>
                <w:rFonts w:eastAsia="MS Mincho" w:cstheme="minorHAnsi"/>
              </w:rPr>
              <w:t xml:space="preserve"> </w:t>
            </w:r>
            <w:r w:rsidRPr="00017AE6">
              <w:rPr>
                <w:rFonts w:eastAsia="MS Mincho" w:cstheme="minorHAnsi"/>
              </w:rPr>
              <w:t xml:space="preserve">mean FTND 5.5. </w:t>
            </w:r>
          </w:p>
          <w:p w:rsidR="006431FB" w:rsidRDefault="006431FB" w:rsidP="00A71365">
            <w:pPr>
              <w:pStyle w:val="Tablewriting"/>
              <w:rPr>
                <w:rFonts w:eastAsia="MS Mincho" w:cstheme="minorHAnsi"/>
                <w:u w:val="single"/>
              </w:rPr>
            </w:pPr>
          </w:p>
          <w:p w:rsidR="00C25F5E" w:rsidRPr="00017AE6" w:rsidRDefault="00AA0D74" w:rsidP="00A71365">
            <w:pPr>
              <w:pStyle w:val="Tablewriting"/>
              <w:rPr>
                <w:rFonts w:eastAsia="MS Mincho" w:cstheme="minorHAnsi"/>
              </w:rPr>
            </w:pPr>
            <w:r w:rsidRPr="006431FB">
              <w:rPr>
                <w:rFonts w:eastAsia="MS Mincho" w:cstheme="minorHAnsi"/>
                <w:u w:val="single"/>
              </w:rPr>
              <w:t>Exclusion criteria:</w:t>
            </w:r>
            <w:r w:rsidRPr="00017AE6">
              <w:rPr>
                <w:rFonts w:eastAsia="MS Mincho" w:cstheme="minorHAnsi"/>
              </w:rPr>
              <w:t xml:space="preserve"> Standard pharmacotherapy trial criteria, + use of NRT or bupropion within last 3</w:t>
            </w:r>
            <w:r w:rsidR="00911D8D">
              <w:rPr>
                <w:rFonts w:eastAsia="MS Mincho" w:cstheme="minorHAnsi"/>
              </w:rPr>
              <w:t xml:space="preserve"> months</w:t>
            </w:r>
            <w:r w:rsidRPr="00017AE6">
              <w:rPr>
                <w:rFonts w:eastAsia="MS Mincho" w:cstheme="minorHAnsi"/>
              </w:rPr>
              <w:t>;</w:t>
            </w:r>
            <w:r w:rsidR="00911D8D">
              <w:rPr>
                <w:rFonts w:eastAsia="MS Mincho" w:cstheme="minorHAnsi"/>
              </w:rPr>
              <w:t xml:space="preserve"> </w:t>
            </w:r>
            <w:r w:rsidRPr="00017AE6">
              <w:rPr>
                <w:rFonts w:eastAsia="MS Mincho" w:cstheme="minorHAnsi"/>
              </w:rPr>
              <w:t>use of marijuana or tobacco other than cigarettes with last month.</w:t>
            </w:r>
          </w:p>
        </w:tc>
        <w:tc>
          <w:tcPr>
            <w:tcW w:w="1055" w:type="pct"/>
          </w:tcPr>
          <w:p w:rsidR="0014342E" w:rsidRDefault="00723C5D" w:rsidP="00C324F3">
            <w:pPr>
              <w:pStyle w:val="Tablewriting"/>
              <w:numPr>
                <w:ilvl w:val="0"/>
                <w:numId w:val="82"/>
              </w:numPr>
              <w:rPr>
                <w:rFonts w:eastAsia="MS Mincho" w:cstheme="minorHAnsi"/>
              </w:rPr>
            </w:pPr>
            <w:r>
              <w:rPr>
                <w:rFonts w:eastAsia="MS Mincho" w:cstheme="minorHAnsi"/>
              </w:rPr>
              <w:t xml:space="preserve">Group 1; </w:t>
            </w:r>
            <w:r w:rsidR="00AA0D74" w:rsidRPr="00017AE6">
              <w:rPr>
                <w:rFonts w:eastAsia="MS Mincho" w:cstheme="minorHAnsi"/>
              </w:rPr>
              <w:t xml:space="preserve">0.5 mg </w:t>
            </w:r>
            <w:r w:rsidR="00E11D41">
              <w:rPr>
                <w:rFonts w:eastAsia="MS Mincho" w:cstheme="minorHAnsi"/>
              </w:rPr>
              <w:t xml:space="preserve">varenicline </w:t>
            </w:r>
            <w:r w:rsidR="00AA0D74" w:rsidRPr="00017AE6">
              <w:rPr>
                <w:rFonts w:eastAsia="MS Mincho" w:cstheme="minorHAnsi"/>
              </w:rPr>
              <w:t>non</w:t>
            </w:r>
            <w:r w:rsidR="0014342E">
              <w:rPr>
                <w:rFonts w:eastAsia="MS Mincho" w:cstheme="minorHAnsi"/>
              </w:rPr>
              <w:t>-</w:t>
            </w:r>
            <w:r w:rsidR="00AA0D74" w:rsidRPr="00017AE6">
              <w:rPr>
                <w:rFonts w:eastAsia="MS Mincho" w:cstheme="minorHAnsi"/>
              </w:rPr>
              <w:t>titrated (2/day for 12 w</w:t>
            </w:r>
            <w:r w:rsidR="0014342E">
              <w:rPr>
                <w:rFonts w:eastAsia="MS Mincho" w:cstheme="minorHAnsi"/>
              </w:rPr>
              <w:t>ee</w:t>
            </w:r>
            <w:r w:rsidR="00AA0D74" w:rsidRPr="00017AE6">
              <w:rPr>
                <w:rFonts w:eastAsia="MS Mincho" w:cstheme="minorHAnsi"/>
              </w:rPr>
              <w:t>ks)</w:t>
            </w:r>
            <w:r w:rsidR="0014342E">
              <w:rPr>
                <w:rFonts w:eastAsia="MS Mincho" w:cstheme="minorHAnsi"/>
              </w:rPr>
              <w:t>.</w:t>
            </w:r>
          </w:p>
          <w:p w:rsidR="00CC6D92" w:rsidRDefault="0014342E" w:rsidP="00C324F3">
            <w:pPr>
              <w:pStyle w:val="Tablewriting"/>
              <w:numPr>
                <w:ilvl w:val="0"/>
                <w:numId w:val="82"/>
              </w:numPr>
              <w:rPr>
                <w:rFonts w:eastAsia="MS Mincho" w:cstheme="minorHAnsi"/>
              </w:rPr>
            </w:pPr>
            <w:r>
              <w:rPr>
                <w:rFonts w:eastAsia="MS Mincho" w:cstheme="minorHAnsi"/>
              </w:rPr>
              <w:t xml:space="preserve">Group 2; </w:t>
            </w:r>
            <w:r w:rsidR="00AA0D74" w:rsidRPr="0014342E">
              <w:rPr>
                <w:rFonts w:eastAsia="MS Mincho" w:cstheme="minorHAnsi"/>
              </w:rPr>
              <w:t xml:space="preserve">0.5 mg </w:t>
            </w:r>
            <w:r w:rsidR="00E11D41">
              <w:rPr>
                <w:rFonts w:eastAsia="MS Mincho" w:cstheme="minorHAnsi"/>
              </w:rPr>
              <w:t>varenicline</w:t>
            </w:r>
            <w:r w:rsidR="00E11D41" w:rsidRPr="0014342E">
              <w:rPr>
                <w:rFonts w:eastAsia="MS Mincho" w:cstheme="minorHAnsi"/>
              </w:rPr>
              <w:t xml:space="preserve"> </w:t>
            </w:r>
            <w:r w:rsidR="00AA0D74" w:rsidRPr="0014342E">
              <w:rPr>
                <w:rFonts w:eastAsia="MS Mincho" w:cstheme="minorHAnsi"/>
              </w:rPr>
              <w:t>titrated (w</w:t>
            </w:r>
            <w:r w:rsidR="00CC6D92">
              <w:rPr>
                <w:rFonts w:eastAsia="MS Mincho" w:cstheme="minorHAnsi"/>
              </w:rPr>
              <w:t>ee</w:t>
            </w:r>
            <w:r w:rsidR="00AA0D74" w:rsidRPr="0014342E">
              <w:rPr>
                <w:rFonts w:eastAsia="MS Mincho" w:cstheme="minorHAnsi"/>
              </w:rPr>
              <w:t>k1 1/day, w</w:t>
            </w:r>
            <w:r w:rsidR="005471E2" w:rsidRPr="0014342E">
              <w:rPr>
                <w:rFonts w:eastAsia="MS Mincho" w:cstheme="minorHAnsi"/>
              </w:rPr>
              <w:t>ee</w:t>
            </w:r>
            <w:r w:rsidR="00AA0D74" w:rsidRPr="0014342E">
              <w:rPr>
                <w:rFonts w:eastAsia="MS Mincho" w:cstheme="minorHAnsi"/>
              </w:rPr>
              <w:t>ks 2 - 12 2/day)</w:t>
            </w:r>
            <w:r w:rsidR="00CC6D92">
              <w:rPr>
                <w:rFonts w:eastAsia="MS Mincho" w:cstheme="minorHAnsi"/>
              </w:rPr>
              <w:t>.</w:t>
            </w:r>
          </w:p>
          <w:p w:rsidR="00DC49CC" w:rsidRDefault="00CC6D92" w:rsidP="00C324F3">
            <w:pPr>
              <w:pStyle w:val="Tablewriting"/>
              <w:numPr>
                <w:ilvl w:val="0"/>
                <w:numId w:val="82"/>
              </w:numPr>
              <w:rPr>
                <w:rFonts w:eastAsia="MS Mincho" w:cstheme="minorHAnsi"/>
              </w:rPr>
            </w:pPr>
            <w:r>
              <w:rPr>
                <w:rFonts w:eastAsia="MS Mincho" w:cstheme="minorHAnsi"/>
              </w:rPr>
              <w:t xml:space="preserve">Group 3; </w:t>
            </w:r>
            <w:r w:rsidR="00AA0D74" w:rsidRPr="00CC6D92">
              <w:rPr>
                <w:rFonts w:eastAsia="MS Mincho" w:cstheme="minorHAnsi"/>
              </w:rPr>
              <w:t xml:space="preserve">1.0 mg </w:t>
            </w:r>
            <w:r w:rsidR="00E11D41">
              <w:rPr>
                <w:rFonts w:eastAsia="MS Mincho" w:cstheme="minorHAnsi"/>
              </w:rPr>
              <w:t>varenicline</w:t>
            </w:r>
            <w:r w:rsidR="00E11D41" w:rsidRPr="00CC6D92">
              <w:rPr>
                <w:rFonts w:eastAsia="MS Mincho" w:cstheme="minorHAnsi"/>
              </w:rPr>
              <w:t xml:space="preserve"> </w:t>
            </w:r>
            <w:r w:rsidR="00AA0D74" w:rsidRPr="00CC6D92">
              <w:rPr>
                <w:rFonts w:eastAsia="MS Mincho" w:cstheme="minorHAnsi"/>
              </w:rPr>
              <w:t>non</w:t>
            </w:r>
            <w:r w:rsidR="005471E2" w:rsidRPr="00CC6D92">
              <w:rPr>
                <w:rFonts w:eastAsia="MS Mincho" w:cstheme="minorHAnsi"/>
              </w:rPr>
              <w:t>-</w:t>
            </w:r>
            <w:r w:rsidR="00AA0D74" w:rsidRPr="00CC6D92">
              <w:rPr>
                <w:rFonts w:eastAsia="MS Mincho" w:cstheme="minorHAnsi"/>
              </w:rPr>
              <w:t>titrated (2/day for 12 w</w:t>
            </w:r>
            <w:r w:rsidR="005471E2" w:rsidRPr="00CC6D92">
              <w:rPr>
                <w:rFonts w:eastAsia="MS Mincho" w:cstheme="minorHAnsi"/>
              </w:rPr>
              <w:t>ee</w:t>
            </w:r>
            <w:r w:rsidR="00AA0D74" w:rsidRPr="00CC6D92">
              <w:rPr>
                <w:rFonts w:eastAsia="MS Mincho" w:cstheme="minorHAnsi"/>
              </w:rPr>
              <w:t>ks)</w:t>
            </w:r>
            <w:r w:rsidR="00DC49CC">
              <w:rPr>
                <w:rFonts w:eastAsia="MS Mincho" w:cstheme="minorHAnsi"/>
              </w:rPr>
              <w:t>.</w:t>
            </w:r>
          </w:p>
          <w:p w:rsidR="00E11D41" w:rsidRDefault="00DC49CC" w:rsidP="00C324F3">
            <w:pPr>
              <w:pStyle w:val="Tablewriting"/>
              <w:numPr>
                <w:ilvl w:val="0"/>
                <w:numId w:val="82"/>
              </w:numPr>
              <w:rPr>
                <w:rFonts w:eastAsia="MS Mincho" w:cstheme="minorHAnsi"/>
              </w:rPr>
            </w:pPr>
            <w:r>
              <w:rPr>
                <w:rFonts w:eastAsia="MS Mincho" w:cstheme="minorHAnsi"/>
              </w:rPr>
              <w:t xml:space="preserve">Group 4; </w:t>
            </w:r>
            <w:r w:rsidR="00AA0D74" w:rsidRPr="00DC49CC">
              <w:rPr>
                <w:rFonts w:eastAsia="MS Mincho" w:cstheme="minorHAnsi"/>
              </w:rPr>
              <w:t xml:space="preserve">1.0 mg </w:t>
            </w:r>
            <w:r w:rsidR="00E11D41">
              <w:rPr>
                <w:rFonts w:eastAsia="MS Mincho" w:cstheme="minorHAnsi"/>
              </w:rPr>
              <w:t>varenicline</w:t>
            </w:r>
            <w:r w:rsidR="00E11D41" w:rsidRPr="00DC49CC">
              <w:rPr>
                <w:rFonts w:eastAsia="MS Mincho" w:cstheme="minorHAnsi"/>
              </w:rPr>
              <w:t xml:space="preserve"> </w:t>
            </w:r>
            <w:r w:rsidR="00AA0D74" w:rsidRPr="00DC49CC">
              <w:rPr>
                <w:rFonts w:eastAsia="MS Mincho" w:cstheme="minorHAnsi"/>
              </w:rPr>
              <w:t>titrated (0.5 mg 1/day for 3 days, 0.5 mg 2/day for 4 days, 1.0 mg 2/day w</w:t>
            </w:r>
            <w:r w:rsidR="005471E2" w:rsidRPr="00DC49CC">
              <w:rPr>
                <w:rFonts w:eastAsia="MS Mincho" w:cstheme="minorHAnsi"/>
              </w:rPr>
              <w:t>ee</w:t>
            </w:r>
            <w:r w:rsidR="00AA0D74" w:rsidRPr="00DC49CC">
              <w:rPr>
                <w:rFonts w:eastAsia="MS Mincho" w:cstheme="minorHAnsi"/>
              </w:rPr>
              <w:t>ks 2 - 12)</w:t>
            </w:r>
          </w:p>
          <w:p w:rsidR="00AA0D74" w:rsidRPr="00017AE6" w:rsidRDefault="00AA0D74" w:rsidP="00C324F3">
            <w:pPr>
              <w:pStyle w:val="Tablewriting"/>
              <w:numPr>
                <w:ilvl w:val="0"/>
                <w:numId w:val="82"/>
              </w:numPr>
              <w:rPr>
                <w:rFonts w:eastAsia="MS Mincho" w:cstheme="minorHAnsi"/>
              </w:rPr>
            </w:pPr>
            <w:r w:rsidRPr="00017AE6">
              <w:rPr>
                <w:rFonts w:eastAsia="MS Mincho" w:cstheme="minorHAnsi"/>
              </w:rPr>
              <w:lastRenderedPageBreak/>
              <w:t>placebo tablets 2/d 12 w</w:t>
            </w:r>
            <w:r w:rsidR="005471E2">
              <w:rPr>
                <w:rFonts w:eastAsia="MS Mincho" w:cstheme="minorHAnsi"/>
              </w:rPr>
              <w:t>ee</w:t>
            </w:r>
            <w:r w:rsidRPr="00017AE6">
              <w:rPr>
                <w:rFonts w:eastAsia="MS Mincho" w:cstheme="minorHAnsi"/>
              </w:rPr>
              <w:t>ks</w:t>
            </w:r>
          </w:p>
          <w:p w:rsidR="005471E2" w:rsidRDefault="005471E2" w:rsidP="00A71365">
            <w:pPr>
              <w:pStyle w:val="Tablewriting"/>
              <w:rPr>
                <w:rFonts w:eastAsia="MS Mincho" w:cstheme="minorHAnsi"/>
              </w:rPr>
            </w:pPr>
          </w:p>
          <w:p w:rsidR="005471E2" w:rsidRDefault="005471E2" w:rsidP="00A71365">
            <w:pPr>
              <w:pStyle w:val="Tablewriting"/>
              <w:rPr>
                <w:rFonts w:eastAsia="MS Mincho" w:cstheme="minorHAnsi"/>
              </w:rPr>
            </w:pPr>
            <w:r w:rsidRPr="06BFFAED">
              <w:rPr>
                <w:rFonts w:eastAsia="MS Mincho" w:cstheme="minorBidi"/>
                <w:u w:val="single"/>
              </w:rPr>
              <w:t>Common components:</w:t>
            </w:r>
          </w:p>
          <w:p w:rsidR="00AA0D74" w:rsidRPr="00017AE6" w:rsidRDefault="00AA0D74" w:rsidP="00A71365">
            <w:pPr>
              <w:pStyle w:val="Tablewriting"/>
              <w:rPr>
                <w:rFonts w:eastAsia="MS Mincho" w:cstheme="minorHAnsi"/>
              </w:rPr>
            </w:pPr>
            <w:r w:rsidRPr="00017AE6">
              <w:rPr>
                <w:rFonts w:eastAsia="MS Mincho" w:cstheme="minorHAnsi"/>
              </w:rPr>
              <w:t>All groups received self-help booklet at baseline, + brief (</w:t>
            </w:r>
            <w:r w:rsidR="001E60F7" w:rsidRPr="007563F9">
              <w:rPr>
                <w:rFonts w:eastAsia="MS Mincho" w:cstheme="minorHAnsi"/>
              </w:rPr>
              <w:t>≤</w:t>
            </w:r>
            <w:r w:rsidRPr="00017AE6">
              <w:rPr>
                <w:rFonts w:eastAsia="MS Mincho" w:cstheme="minorHAnsi"/>
              </w:rPr>
              <w:t xml:space="preserve"> 10 mins) coun</w:t>
            </w:r>
            <w:r w:rsidR="009E2A27">
              <w:rPr>
                <w:rFonts w:eastAsia="MS Mincho" w:cstheme="minorHAnsi"/>
              </w:rPr>
              <w:t xml:space="preserve">selling at weekly clinic visits </w:t>
            </w:r>
            <w:r w:rsidRPr="00017AE6">
              <w:rPr>
                <w:rFonts w:eastAsia="MS Mincho" w:cstheme="minorHAnsi"/>
              </w:rPr>
              <w:t>throughout treatment phase, and phone call 3 days post-TQD. At each visit smoking status reported</w:t>
            </w:r>
            <w:r w:rsidR="005471E2">
              <w:rPr>
                <w:rFonts w:eastAsia="MS Mincho" w:cstheme="minorHAnsi"/>
              </w:rPr>
              <w:t xml:space="preserve"> </w:t>
            </w:r>
            <w:r w:rsidRPr="00017AE6">
              <w:rPr>
                <w:rFonts w:eastAsia="MS Mincho" w:cstheme="minorHAnsi"/>
              </w:rPr>
              <w:t>and CO verified; vital signs, weight and adverse events. Urine, blood tests a</w:t>
            </w:r>
            <w:r w:rsidR="009E2A27">
              <w:rPr>
                <w:rFonts w:eastAsia="MS Mincho" w:cstheme="minorHAnsi"/>
              </w:rPr>
              <w:t xml:space="preserve">nd ECGs at screening, baseline, </w:t>
            </w:r>
            <w:r w:rsidRPr="00017AE6">
              <w:rPr>
                <w:rFonts w:eastAsia="MS Mincho" w:cstheme="minorHAnsi"/>
              </w:rPr>
              <w:t>w</w:t>
            </w:r>
            <w:r w:rsidR="005471E2">
              <w:rPr>
                <w:rFonts w:eastAsia="MS Mincho" w:cstheme="minorHAnsi"/>
              </w:rPr>
              <w:t>ee</w:t>
            </w:r>
            <w:r w:rsidRPr="00017AE6">
              <w:rPr>
                <w:rFonts w:eastAsia="MS Mincho" w:cstheme="minorHAnsi"/>
              </w:rPr>
              <w:t>ks 1, 2, 4, 7 and 12.</w:t>
            </w:r>
          </w:p>
          <w:p w:rsidR="00C25F5E" w:rsidRPr="00017AE6" w:rsidRDefault="00AA0D74" w:rsidP="00A71365">
            <w:pPr>
              <w:pStyle w:val="Tablewriting"/>
              <w:rPr>
                <w:rFonts w:eastAsia="MS Mincho" w:cstheme="minorHAnsi"/>
              </w:rPr>
            </w:pPr>
            <w:r w:rsidRPr="00017AE6">
              <w:rPr>
                <w:rFonts w:eastAsia="MS Mincho" w:cstheme="minorHAnsi"/>
              </w:rPr>
              <w:t>Follow-up phase: smoking status + CO measured at w</w:t>
            </w:r>
            <w:r w:rsidR="005471E2">
              <w:rPr>
                <w:rFonts w:eastAsia="MS Mincho" w:cstheme="minorHAnsi"/>
              </w:rPr>
              <w:t>ee</w:t>
            </w:r>
            <w:r w:rsidRPr="00017AE6">
              <w:rPr>
                <w:rFonts w:eastAsia="MS Mincho" w:cstheme="minorHAnsi"/>
              </w:rPr>
              <w:t>ks 13, 24, 52; self-reported status by phone at w</w:t>
            </w:r>
            <w:r w:rsidR="005471E2">
              <w:rPr>
                <w:rFonts w:eastAsia="MS Mincho" w:cstheme="minorHAnsi"/>
              </w:rPr>
              <w:t>ee</w:t>
            </w:r>
            <w:r w:rsidRPr="00017AE6">
              <w:rPr>
                <w:rFonts w:eastAsia="MS Mincho" w:cstheme="minorHAnsi"/>
              </w:rPr>
              <w:t>ks</w:t>
            </w:r>
            <w:r w:rsidR="005471E2">
              <w:rPr>
                <w:rFonts w:eastAsia="MS Mincho" w:cstheme="minorHAnsi"/>
              </w:rPr>
              <w:t xml:space="preserve"> </w:t>
            </w:r>
            <w:r w:rsidRPr="00017AE6">
              <w:rPr>
                <w:rFonts w:eastAsia="MS Mincho" w:cstheme="minorHAnsi"/>
              </w:rPr>
              <w:t>16, 20, 28, 32, 36, 40, 44</w:t>
            </w:r>
            <w:r w:rsidR="005471E2">
              <w:rPr>
                <w:rFonts w:eastAsia="MS Mincho" w:cstheme="minorHAnsi"/>
              </w:rPr>
              <w:t>.</w:t>
            </w:r>
          </w:p>
        </w:tc>
        <w:tc>
          <w:tcPr>
            <w:tcW w:w="960" w:type="pct"/>
          </w:tcPr>
          <w:p w:rsidR="009F229E" w:rsidRPr="009F229E" w:rsidRDefault="009F229E" w:rsidP="00A71365">
            <w:pPr>
              <w:pStyle w:val="Tablewriting"/>
              <w:rPr>
                <w:rFonts w:eastAsia="MS Mincho" w:cstheme="minorHAnsi"/>
                <w:u w:val="single"/>
              </w:rPr>
            </w:pPr>
            <w:r w:rsidRPr="009F229E">
              <w:rPr>
                <w:rFonts w:eastAsia="MS Mincho" w:cstheme="minorHAnsi"/>
                <w:u w:val="single"/>
              </w:rPr>
              <w:lastRenderedPageBreak/>
              <w:t xml:space="preserve">Efficacy: </w:t>
            </w:r>
          </w:p>
          <w:p w:rsidR="009A664C" w:rsidRPr="00017AE6" w:rsidRDefault="009A664C" w:rsidP="00A71365">
            <w:pPr>
              <w:pStyle w:val="Tablewriting"/>
              <w:rPr>
                <w:rFonts w:eastAsia="MS Mincho" w:cstheme="minorHAnsi"/>
              </w:rPr>
            </w:pPr>
            <w:r w:rsidRPr="00017AE6">
              <w:rPr>
                <w:rFonts w:eastAsia="MS Mincho" w:cstheme="minorHAnsi"/>
              </w:rPr>
              <w:t>Primary outcome: Continuous verified 4-w</w:t>
            </w:r>
            <w:r w:rsidR="009F229E">
              <w:rPr>
                <w:rFonts w:eastAsia="MS Mincho" w:cstheme="minorHAnsi"/>
              </w:rPr>
              <w:t>ee</w:t>
            </w:r>
            <w:r w:rsidRPr="00017AE6">
              <w:rPr>
                <w:rFonts w:eastAsia="MS Mincho" w:cstheme="minorHAnsi"/>
              </w:rPr>
              <w:t>k abstinence at w</w:t>
            </w:r>
            <w:r w:rsidR="009F229E">
              <w:rPr>
                <w:rFonts w:eastAsia="MS Mincho" w:cstheme="minorHAnsi"/>
              </w:rPr>
              <w:t>ee</w:t>
            </w:r>
            <w:r w:rsidRPr="00017AE6">
              <w:rPr>
                <w:rFonts w:eastAsia="MS Mincho" w:cstheme="minorHAnsi"/>
              </w:rPr>
              <w:t xml:space="preserve">ks </w:t>
            </w:r>
            <w:r w:rsidR="009F229E">
              <w:rPr>
                <w:rFonts w:eastAsia="MS Mincho" w:cstheme="minorHAnsi"/>
              </w:rPr>
              <w:t>(</w:t>
            </w:r>
            <w:r w:rsidRPr="00017AE6">
              <w:rPr>
                <w:rFonts w:eastAsia="MS Mincho" w:cstheme="minorHAnsi"/>
              </w:rPr>
              <w:t xml:space="preserve">4 </w:t>
            </w:r>
            <w:r w:rsidR="009F229E">
              <w:rPr>
                <w:rFonts w:eastAsia="MS Mincho" w:cstheme="minorHAnsi"/>
              </w:rPr>
              <w:t>–</w:t>
            </w:r>
            <w:r w:rsidRPr="00017AE6">
              <w:rPr>
                <w:rFonts w:eastAsia="MS Mincho" w:cstheme="minorHAnsi"/>
              </w:rPr>
              <w:t xml:space="preserve"> 7</w:t>
            </w:r>
            <w:r w:rsidR="009F229E">
              <w:rPr>
                <w:rFonts w:eastAsia="MS Mincho" w:cstheme="minorHAnsi"/>
              </w:rPr>
              <w:t>)</w:t>
            </w:r>
            <w:r w:rsidRPr="00017AE6">
              <w:rPr>
                <w:rFonts w:eastAsia="MS Mincho" w:cstheme="minorHAnsi"/>
              </w:rPr>
              <w:t xml:space="preserve"> and </w:t>
            </w:r>
            <w:r w:rsidR="009F229E">
              <w:rPr>
                <w:rFonts w:eastAsia="MS Mincho" w:cstheme="minorHAnsi"/>
              </w:rPr>
              <w:t>(</w:t>
            </w:r>
            <w:r w:rsidRPr="00017AE6">
              <w:rPr>
                <w:rFonts w:eastAsia="MS Mincho" w:cstheme="minorHAnsi"/>
              </w:rPr>
              <w:t xml:space="preserve">9 </w:t>
            </w:r>
            <w:r w:rsidR="009F229E">
              <w:rPr>
                <w:rFonts w:eastAsia="MS Mincho" w:cstheme="minorHAnsi"/>
              </w:rPr>
              <w:t>–</w:t>
            </w:r>
            <w:r w:rsidRPr="00017AE6">
              <w:rPr>
                <w:rFonts w:eastAsia="MS Mincho" w:cstheme="minorHAnsi"/>
              </w:rPr>
              <w:t xml:space="preserve"> 12</w:t>
            </w:r>
            <w:r w:rsidR="009F229E">
              <w:rPr>
                <w:rFonts w:eastAsia="MS Mincho" w:cstheme="minorHAnsi"/>
              </w:rPr>
              <w:t>)</w:t>
            </w:r>
          </w:p>
          <w:p w:rsidR="009A664C" w:rsidRPr="00017AE6" w:rsidRDefault="009A664C" w:rsidP="00A71365">
            <w:pPr>
              <w:pStyle w:val="Tablewriting"/>
              <w:rPr>
                <w:rFonts w:eastAsia="MS Mincho" w:cstheme="minorHAnsi"/>
              </w:rPr>
            </w:pPr>
            <w:r w:rsidRPr="00017AE6">
              <w:rPr>
                <w:rFonts w:eastAsia="MS Mincho" w:cstheme="minorHAnsi"/>
              </w:rPr>
              <w:t>Secondary outcomes: Continuous verified abstinence at w</w:t>
            </w:r>
            <w:r w:rsidR="002805FE">
              <w:rPr>
                <w:rFonts w:eastAsia="MS Mincho" w:cstheme="minorHAnsi"/>
              </w:rPr>
              <w:t>ee</w:t>
            </w:r>
            <w:r w:rsidRPr="00017AE6">
              <w:rPr>
                <w:rFonts w:eastAsia="MS Mincho" w:cstheme="minorHAnsi"/>
              </w:rPr>
              <w:t>ks 2 - 12 and 9 - 52; 7-day PPA throughout</w:t>
            </w:r>
          </w:p>
          <w:p w:rsidR="009A664C" w:rsidRPr="00017AE6" w:rsidRDefault="009A664C" w:rsidP="00A71365">
            <w:pPr>
              <w:pStyle w:val="Tablewriting"/>
              <w:rPr>
                <w:rFonts w:eastAsia="MS Mincho" w:cstheme="minorHAnsi"/>
              </w:rPr>
            </w:pPr>
            <w:r w:rsidRPr="00017AE6">
              <w:rPr>
                <w:rFonts w:eastAsia="MS Mincho" w:cstheme="minorHAnsi"/>
              </w:rPr>
              <w:t>treatment phase and at w</w:t>
            </w:r>
            <w:r w:rsidR="002805FE">
              <w:rPr>
                <w:rFonts w:eastAsia="MS Mincho" w:cstheme="minorHAnsi"/>
              </w:rPr>
              <w:t>ee</w:t>
            </w:r>
            <w:r w:rsidRPr="00017AE6">
              <w:rPr>
                <w:rFonts w:eastAsia="MS Mincho" w:cstheme="minorHAnsi"/>
              </w:rPr>
              <w:t>ks 12, 24 and 52</w:t>
            </w:r>
            <w:r w:rsidR="002805FE">
              <w:rPr>
                <w:rFonts w:eastAsia="MS Mincho" w:cstheme="minorHAnsi"/>
              </w:rPr>
              <w:t>.</w:t>
            </w:r>
          </w:p>
          <w:p w:rsidR="00DC5EEF" w:rsidRDefault="00DC5EEF" w:rsidP="00A71365">
            <w:pPr>
              <w:pStyle w:val="Tablewriting"/>
              <w:rPr>
                <w:rFonts w:eastAsia="MS Mincho" w:cstheme="minorHAnsi"/>
              </w:rPr>
            </w:pPr>
          </w:p>
          <w:p w:rsidR="00DC5EEF" w:rsidRDefault="00DC5EEF" w:rsidP="00A71365">
            <w:pPr>
              <w:pStyle w:val="Tablewriting"/>
              <w:rPr>
                <w:rFonts w:eastAsia="MS Mincho" w:cstheme="minorHAnsi"/>
              </w:rPr>
            </w:pPr>
            <w:r w:rsidRPr="00017AE6">
              <w:rPr>
                <w:rFonts w:eastAsia="MS Mincho" w:cstheme="minorHAnsi"/>
              </w:rPr>
              <w:t xml:space="preserve">Validation was by expired CO </w:t>
            </w:r>
            <w:r w:rsidRPr="007563F9">
              <w:rPr>
                <w:rFonts w:eastAsia="MS Mincho" w:cstheme="minorHAnsi"/>
              </w:rPr>
              <w:t>≤</w:t>
            </w:r>
            <w:r>
              <w:rPr>
                <w:rFonts w:eastAsia="MS Mincho" w:cstheme="minorHAnsi"/>
              </w:rPr>
              <w:t xml:space="preserve"> </w:t>
            </w:r>
            <w:r w:rsidRPr="00017AE6">
              <w:rPr>
                <w:rFonts w:eastAsia="MS Mincho" w:cstheme="minorHAnsi"/>
              </w:rPr>
              <w:t>10 ppm</w:t>
            </w:r>
            <w:r>
              <w:rPr>
                <w:rFonts w:eastAsia="MS Mincho" w:cstheme="minorHAnsi"/>
              </w:rPr>
              <w:t>.</w:t>
            </w:r>
          </w:p>
          <w:p w:rsidR="002805FE" w:rsidRDefault="002805FE" w:rsidP="00A71365">
            <w:pPr>
              <w:pStyle w:val="Tablewriting"/>
              <w:rPr>
                <w:rFonts w:eastAsia="MS Mincho" w:cstheme="minorHAnsi"/>
              </w:rPr>
            </w:pPr>
          </w:p>
          <w:p w:rsidR="002805FE" w:rsidRPr="00017AE6" w:rsidRDefault="002805FE" w:rsidP="00A71365">
            <w:pPr>
              <w:pStyle w:val="Tablewriting"/>
              <w:rPr>
                <w:rFonts w:eastAsia="MS Mincho" w:cstheme="minorHAnsi"/>
              </w:rPr>
            </w:pPr>
            <w:r w:rsidRPr="002805FE">
              <w:rPr>
                <w:rFonts w:eastAsia="MS Mincho" w:cstheme="minorHAnsi"/>
                <w:u w:val="single"/>
              </w:rPr>
              <w:t>Safety:</w:t>
            </w:r>
            <w:r>
              <w:rPr>
                <w:rFonts w:eastAsia="MS Mincho" w:cstheme="minorHAnsi"/>
                <w:u w:val="single"/>
              </w:rPr>
              <w:t xml:space="preserve"> A</w:t>
            </w:r>
            <w:r w:rsidRPr="00017AE6">
              <w:rPr>
                <w:rFonts w:eastAsia="MS Mincho" w:cstheme="minorHAnsi"/>
              </w:rPr>
              <w:t>dverse</w:t>
            </w:r>
            <w:r>
              <w:rPr>
                <w:rFonts w:eastAsia="MS Mincho" w:cstheme="minorHAnsi"/>
              </w:rPr>
              <w:t xml:space="preserve"> </w:t>
            </w:r>
            <w:r w:rsidRPr="00017AE6">
              <w:rPr>
                <w:rFonts w:eastAsia="MS Mincho" w:cstheme="minorHAnsi"/>
              </w:rPr>
              <w:t>events</w:t>
            </w:r>
            <w:r>
              <w:rPr>
                <w:rFonts w:eastAsia="MS Mincho" w:cstheme="minorHAnsi"/>
              </w:rPr>
              <w:t>.</w:t>
            </w:r>
          </w:p>
          <w:p w:rsidR="002805FE" w:rsidRPr="002805FE" w:rsidRDefault="002805FE" w:rsidP="00A71365">
            <w:pPr>
              <w:pStyle w:val="Tablewriting"/>
              <w:rPr>
                <w:rFonts w:eastAsia="MS Mincho" w:cstheme="minorHAnsi"/>
                <w:u w:val="single"/>
              </w:rPr>
            </w:pPr>
          </w:p>
          <w:p w:rsidR="00DC5EEF" w:rsidRDefault="009A664C" w:rsidP="00A71365">
            <w:pPr>
              <w:pStyle w:val="Tablewriting"/>
              <w:rPr>
                <w:rFonts w:eastAsia="MS Mincho" w:cstheme="minorHAnsi"/>
              </w:rPr>
            </w:pPr>
            <w:r w:rsidRPr="002805FE">
              <w:rPr>
                <w:rFonts w:eastAsia="MS Mincho" w:cstheme="minorHAnsi"/>
                <w:u w:val="single"/>
              </w:rPr>
              <w:lastRenderedPageBreak/>
              <w:t>Other:</w:t>
            </w:r>
            <w:r w:rsidRPr="00017AE6">
              <w:rPr>
                <w:rFonts w:eastAsia="MS Mincho" w:cstheme="minorHAnsi"/>
              </w:rPr>
              <w:t xml:space="preserve"> weight change</w:t>
            </w:r>
            <w:r w:rsidR="00DC5EEF">
              <w:rPr>
                <w:rFonts w:eastAsia="MS Mincho" w:cstheme="minorHAnsi"/>
              </w:rPr>
              <w:t>,</w:t>
            </w:r>
            <w:r w:rsidRPr="00017AE6">
              <w:rPr>
                <w:rFonts w:eastAsia="MS Mincho" w:cstheme="minorHAnsi"/>
              </w:rPr>
              <w:t xml:space="preserve"> craving and withdrawal changes using MNWS and mCEQ</w:t>
            </w:r>
            <w:r w:rsidR="00DC5EEF">
              <w:rPr>
                <w:rFonts w:eastAsia="MS Mincho" w:cstheme="minorHAnsi"/>
              </w:rPr>
              <w:t>.</w:t>
            </w:r>
          </w:p>
          <w:p w:rsidR="009A664C" w:rsidRPr="00017AE6" w:rsidRDefault="009A664C" w:rsidP="00A71365">
            <w:pPr>
              <w:pStyle w:val="Tablewriting"/>
              <w:rPr>
                <w:rFonts w:eastAsia="MS Mincho" w:cstheme="minorHAnsi"/>
              </w:rPr>
            </w:pPr>
            <w:r w:rsidRPr="00017AE6">
              <w:rPr>
                <w:rFonts w:eastAsia="MS Mincho" w:cstheme="minorHAnsi"/>
              </w:rPr>
              <w:t xml:space="preserve"> </w:t>
            </w:r>
          </w:p>
          <w:p w:rsidR="00C25F5E" w:rsidRPr="00017AE6" w:rsidRDefault="00C25F5E"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lastRenderedPageBreak/>
              <w:t xml:space="preserve">Rennard </w:t>
            </w:r>
            <w:r w:rsidR="00DF0515">
              <w:rPr>
                <w:rFonts w:eastAsia="MS Mincho" w:cstheme="minorHAnsi"/>
              </w:rPr>
              <w:t>(</w:t>
            </w:r>
            <w:r w:rsidRPr="00017AE6">
              <w:rPr>
                <w:rFonts w:eastAsia="MS Mincho" w:cstheme="minorHAnsi"/>
              </w:rPr>
              <w:t>2012</w:t>
            </w:r>
            <w:r w:rsidR="00DF0515">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761BA3" w:rsidRPr="00017AE6" w:rsidRDefault="00761BA3" w:rsidP="00A71365">
            <w:pPr>
              <w:pStyle w:val="Tablewriting"/>
              <w:rPr>
                <w:rFonts w:eastAsia="MS Mincho" w:cstheme="minorHAnsi"/>
              </w:rPr>
            </w:pPr>
            <w:r w:rsidRPr="00017AE6">
              <w:rPr>
                <w:rFonts w:eastAsia="MS Mincho" w:cstheme="minorHAnsi"/>
              </w:rPr>
              <w:t>Argentina, Brazil, Canada, China, Czech Republic, France, Germany, Hungary, Italy, Korea,</w:t>
            </w:r>
          </w:p>
          <w:p w:rsidR="00C25F5E" w:rsidRPr="00017AE6" w:rsidRDefault="00761BA3" w:rsidP="00A71365">
            <w:pPr>
              <w:pStyle w:val="Tablewriting"/>
              <w:rPr>
                <w:rFonts w:eastAsia="MS Mincho" w:cstheme="minorHAnsi"/>
              </w:rPr>
            </w:pPr>
            <w:r w:rsidRPr="00017AE6">
              <w:rPr>
                <w:rFonts w:eastAsia="MS Mincho" w:cstheme="minorHAnsi"/>
              </w:rPr>
              <w:t>Mexico, Taiwan, UK, USA</w:t>
            </w:r>
          </w:p>
        </w:tc>
        <w:tc>
          <w:tcPr>
            <w:tcW w:w="675" w:type="pct"/>
          </w:tcPr>
          <w:p w:rsidR="00692C8F" w:rsidRPr="00017AE6" w:rsidRDefault="00C25F5E" w:rsidP="00A71365">
            <w:pPr>
              <w:pStyle w:val="Tablewriting"/>
              <w:rPr>
                <w:rFonts w:eastAsia="MS Mincho" w:cstheme="minorHAnsi"/>
              </w:rPr>
            </w:pPr>
            <w:r w:rsidRPr="00017AE6">
              <w:rPr>
                <w:rFonts w:eastAsia="MS Mincho" w:cstheme="minorHAnsi"/>
              </w:rPr>
              <w:t>N=</w:t>
            </w:r>
            <w:r w:rsidR="005659CC" w:rsidRPr="00017AE6">
              <w:rPr>
                <w:rFonts w:eastAsia="MS Mincho" w:cstheme="minorHAnsi"/>
              </w:rPr>
              <w:t>659</w:t>
            </w:r>
            <w:r w:rsidR="00692C8F">
              <w:rPr>
                <w:rFonts w:eastAsia="MS Mincho" w:cstheme="minorHAnsi"/>
              </w:rPr>
              <w:t xml:space="preserve">; </w:t>
            </w:r>
            <w:r w:rsidR="00F74212">
              <w:rPr>
                <w:rFonts w:eastAsia="MS Mincho" w:cstheme="minorHAnsi"/>
              </w:rPr>
              <w:t>n=493</w:t>
            </w:r>
            <w:r w:rsidR="00D115C2">
              <w:rPr>
                <w:rFonts w:eastAsia="MS Mincho" w:cstheme="minorHAnsi"/>
              </w:rPr>
              <w:t xml:space="preserve"> (</w:t>
            </w:r>
            <w:r w:rsidR="00692C8F" w:rsidRPr="00017AE6">
              <w:rPr>
                <w:rFonts w:eastAsia="MS Mincho" w:cstheme="minorHAnsi"/>
              </w:rPr>
              <w:t>varenicline)</w:t>
            </w:r>
            <w:r w:rsidR="00F74212">
              <w:rPr>
                <w:rFonts w:eastAsia="MS Mincho" w:cstheme="minorHAnsi"/>
              </w:rPr>
              <w:t>, n=166 (</w:t>
            </w:r>
            <w:r w:rsidR="00692C8F" w:rsidRPr="00017AE6">
              <w:rPr>
                <w:rFonts w:eastAsia="MS Mincho" w:cstheme="minorHAnsi"/>
              </w:rPr>
              <w:t>placebo)</w:t>
            </w:r>
            <w:r w:rsidR="00D115C2">
              <w:rPr>
                <w:rFonts w:eastAsia="MS Mincho" w:cstheme="minorHAnsi"/>
              </w:rPr>
              <w:t>.</w:t>
            </w:r>
          </w:p>
          <w:p w:rsidR="00C25F5E" w:rsidRPr="00017AE6" w:rsidRDefault="00C25F5E" w:rsidP="00A71365">
            <w:pPr>
              <w:pStyle w:val="Tablewriting"/>
              <w:rPr>
                <w:rFonts w:eastAsia="MS Mincho" w:cstheme="minorHAnsi"/>
              </w:rPr>
            </w:pPr>
          </w:p>
        </w:tc>
        <w:tc>
          <w:tcPr>
            <w:tcW w:w="853" w:type="pct"/>
          </w:tcPr>
          <w:p w:rsidR="00692C8F" w:rsidRDefault="0039313B" w:rsidP="00A71365">
            <w:pPr>
              <w:pStyle w:val="Tablewriting"/>
              <w:rPr>
                <w:rFonts w:eastAsia="MS Mincho" w:cstheme="minorHAnsi"/>
              </w:rPr>
            </w:pPr>
            <w:r>
              <w:rPr>
                <w:rFonts w:eastAsia="MS Mincho" w:cstheme="minorHAnsi"/>
              </w:rPr>
              <w:t>H</w:t>
            </w:r>
            <w:r w:rsidR="00A0578C" w:rsidRPr="00017AE6">
              <w:rPr>
                <w:rFonts w:eastAsia="MS Mincho" w:cstheme="minorHAnsi"/>
              </w:rPr>
              <w:t xml:space="preserve">ealthy volunteer smokers, aged 18 </w:t>
            </w:r>
            <w:r w:rsidR="00F256A6">
              <w:rPr>
                <w:rFonts w:eastAsia="MS Mincho" w:cstheme="minorHAnsi"/>
              </w:rPr>
              <w:t>–</w:t>
            </w:r>
            <w:r w:rsidR="00A0578C" w:rsidRPr="00017AE6">
              <w:rPr>
                <w:rFonts w:eastAsia="MS Mincho" w:cstheme="minorHAnsi"/>
              </w:rPr>
              <w:t xml:space="preserve"> 75</w:t>
            </w:r>
            <w:r w:rsidR="00F256A6">
              <w:rPr>
                <w:rFonts w:eastAsia="MS Mincho" w:cstheme="minorHAnsi"/>
              </w:rPr>
              <w:t xml:space="preserve"> years</w:t>
            </w:r>
            <w:r w:rsidR="00A0578C" w:rsidRPr="00017AE6">
              <w:rPr>
                <w:rFonts w:eastAsia="MS Mincho" w:cstheme="minorHAnsi"/>
              </w:rPr>
              <w:t xml:space="preserve">, motivated to quit, smoking at least 10 CPD. </w:t>
            </w:r>
          </w:p>
          <w:p w:rsidR="00692C8F" w:rsidRDefault="00692C8F" w:rsidP="00A71365">
            <w:pPr>
              <w:pStyle w:val="Tablewriting"/>
              <w:rPr>
                <w:rFonts w:eastAsia="MS Mincho" w:cstheme="minorHAnsi"/>
              </w:rPr>
            </w:pPr>
            <w:r w:rsidRPr="00017AE6">
              <w:rPr>
                <w:rFonts w:eastAsia="MS Mincho" w:cstheme="minorHAnsi"/>
              </w:rPr>
              <w:t>60% men</w:t>
            </w:r>
            <w:r w:rsidR="00A0578C" w:rsidRPr="00017AE6">
              <w:rPr>
                <w:rFonts w:eastAsia="MS Mincho" w:cstheme="minorHAnsi"/>
              </w:rPr>
              <w:t xml:space="preserve"> mean age 43, 68% white, mean CPD 21, mean FTND 5.5, 66% had tried to quit at least once before. </w:t>
            </w:r>
          </w:p>
          <w:p w:rsidR="00692C8F" w:rsidRDefault="00692C8F" w:rsidP="00A71365">
            <w:pPr>
              <w:pStyle w:val="Tablewriting"/>
              <w:rPr>
                <w:rFonts w:eastAsia="MS Mincho" w:cstheme="minorHAnsi"/>
              </w:rPr>
            </w:pPr>
          </w:p>
          <w:p w:rsidR="00F502DF" w:rsidRPr="00017AE6" w:rsidRDefault="00F502DF" w:rsidP="00A71365">
            <w:pPr>
              <w:pStyle w:val="Tablewriting"/>
              <w:rPr>
                <w:rFonts w:eastAsia="MS Mincho" w:cstheme="minorHAnsi"/>
              </w:rPr>
            </w:pPr>
            <w:r w:rsidRPr="00D115C2">
              <w:rPr>
                <w:rFonts w:eastAsia="MS Mincho" w:cstheme="minorHAnsi"/>
                <w:u w:val="single"/>
              </w:rPr>
              <w:t>Exclusion criteria:</w:t>
            </w:r>
            <w:r w:rsidRPr="00017AE6">
              <w:rPr>
                <w:rFonts w:eastAsia="MS Mincho" w:cstheme="minorHAnsi"/>
              </w:rPr>
              <w:t xml:space="preserve"> Standard pharmacotherapy trial criteria, + use of NRT, bupropion, clonidine or nortriptyline within last 3</w:t>
            </w:r>
            <w:r w:rsidR="00B17261">
              <w:rPr>
                <w:rFonts w:eastAsia="MS Mincho" w:cstheme="minorHAnsi"/>
              </w:rPr>
              <w:t xml:space="preserve"> months</w:t>
            </w:r>
            <w:r w:rsidRPr="00017AE6">
              <w:rPr>
                <w:rFonts w:eastAsia="MS Mincho" w:cstheme="minorHAnsi"/>
              </w:rPr>
              <w:t xml:space="preserve">, ever use of varenicline; use of </w:t>
            </w:r>
            <w:r w:rsidRPr="00017AE6">
              <w:rPr>
                <w:rFonts w:eastAsia="MS Mincho" w:cstheme="minorHAnsi"/>
              </w:rPr>
              <w:lastRenderedPageBreak/>
              <w:t>marijuana or tobacco other than cigarettes with last month</w:t>
            </w:r>
            <w:r w:rsidR="00B17261">
              <w:rPr>
                <w:rFonts w:eastAsia="MS Mincho" w:cstheme="minorHAnsi"/>
              </w:rPr>
              <w:t>.</w:t>
            </w:r>
          </w:p>
        </w:tc>
        <w:tc>
          <w:tcPr>
            <w:tcW w:w="1055" w:type="pct"/>
          </w:tcPr>
          <w:p w:rsidR="00D115C2" w:rsidRDefault="00F502DF" w:rsidP="00C324F3">
            <w:pPr>
              <w:pStyle w:val="Tablewriting"/>
              <w:numPr>
                <w:ilvl w:val="0"/>
                <w:numId w:val="83"/>
              </w:numPr>
              <w:rPr>
                <w:rFonts w:eastAsia="MS Mincho" w:cstheme="minorHAnsi"/>
              </w:rPr>
            </w:pPr>
            <w:r w:rsidRPr="00017AE6">
              <w:rPr>
                <w:rFonts w:eastAsia="MS Mincho" w:cstheme="minorHAnsi"/>
              </w:rPr>
              <w:lastRenderedPageBreak/>
              <w:t>Varenicline 1 mg x 2/day, titrated in</w:t>
            </w:r>
            <w:r w:rsidR="00D115C2">
              <w:rPr>
                <w:rFonts w:eastAsia="MS Mincho" w:cstheme="minorHAnsi"/>
              </w:rPr>
              <w:t xml:space="preserve"> </w:t>
            </w:r>
            <w:r w:rsidRPr="00017AE6">
              <w:rPr>
                <w:rFonts w:eastAsia="MS Mincho" w:cstheme="minorHAnsi"/>
              </w:rPr>
              <w:t>1st w</w:t>
            </w:r>
            <w:r w:rsidR="00D115C2">
              <w:rPr>
                <w:rFonts w:eastAsia="MS Mincho" w:cstheme="minorHAnsi"/>
              </w:rPr>
              <w:t>ee</w:t>
            </w:r>
            <w:r w:rsidRPr="00017AE6">
              <w:rPr>
                <w:rFonts w:eastAsia="MS Mincho" w:cstheme="minorHAnsi"/>
              </w:rPr>
              <w:t>k</w:t>
            </w:r>
            <w:r w:rsidR="00D115C2">
              <w:rPr>
                <w:rFonts w:eastAsia="MS Mincho" w:cstheme="minorHAnsi"/>
              </w:rPr>
              <w:t>.</w:t>
            </w:r>
          </w:p>
          <w:p w:rsidR="00F502DF" w:rsidRPr="00017AE6" w:rsidRDefault="00F502DF" w:rsidP="00C324F3">
            <w:pPr>
              <w:pStyle w:val="Tablewriting"/>
              <w:numPr>
                <w:ilvl w:val="0"/>
                <w:numId w:val="83"/>
              </w:numPr>
              <w:rPr>
                <w:rFonts w:eastAsia="MS Mincho" w:cstheme="minorHAnsi"/>
              </w:rPr>
            </w:pPr>
            <w:r w:rsidRPr="00017AE6">
              <w:rPr>
                <w:rFonts w:eastAsia="MS Mincho" w:cstheme="minorHAnsi"/>
              </w:rPr>
              <w:t>Placebo inactive tablets, same regimen</w:t>
            </w:r>
            <w:r w:rsidR="00E02534">
              <w:rPr>
                <w:rFonts w:eastAsia="MS Mincho" w:cstheme="minorHAnsi"/>
              </w:rPr>
              <w:t>.</w:t>
            </w:r>
          </w:p>
          <w:p w:rsidR="00E02534" w:rsidRDefault="00E02534" w:rsidP="00A71365">
            <w:pPr>
              <w:pStyle w:val="Tablewriting"/>
              <w:rPr>
                <w:rFonts w:eastAsia="MS Mincho" w:cstheme="minorHAnsi"/>
              </w:rPr>
            </w:pPr>
          </w:p>
          <w:p w:rsidR="00E02534" w:rsidRDefault="00F502DF" w:rsidP="00A71365">
            <w:pPr>
              <w:pStyle w:val="Tablewriting"/>
              <w:rPr>
                <w:rFonts w:eastAsia="MS Mincho" w:cstheme="minorHAnsi"/>
              </w:rPr>
            </w:pPr>
            <w:r w:rsidRPr="00017AE6">
              <w:rPr>
                <w:rFonts w:eastAsia="MS Mincho" w:cstheme="minorHAnsi"/>
              </w:rPr>
              <w:t>Participants could choose their own quit date between days 8 and 35</w:t>
            </w:r>
            <w:r w:rsidR="00E02534">
              <w:rPr>
                <w:rFonts w:eastAsia="MS Mincho" w:cstheme="minorHAnsi"/>
              </w:rPr>
              <w:t xml:space="preserve">. </w:t>
            </w:r>
            <w:r w:rsidRPr="00017AE6">
              <w:rPr>
                <w:rFonts w:eastAsia="MS Mincho" w:cstheme="minorHAnsi"/>
              </w:rPr>
              <w:t>Treatment period was 12 wks.</w:t>
            </w:r>
          </w:p>
          <w:p w:rsidR="00E02534" w:rsidRDefault="00E02534" w:rsidP="00A71365">
            <w:pPr>
              <w:pStyle w:val="Tablewriting"/>
              <w:rPr>
                <w:rFonts w:eastAsia="MS Mincho" w:cstheme="minorHAnsi"/>
              </w:rPr>
            </w:pPr>
          </w:p>
          <w:p w:rsidR="00C25F5E" w:rsidRPr="00017AE6" w:rsidRDefault="00F502DF" w:rsidP="00A71365">
            <w:pPr>
              <w:pStyle w:val="Tablewriting"/>
              <w:rPr>
                <w:rFonts w:eastAsia="MS Mincho" w:cstheme="minorHAnsi"/>
              </w:rPr>
            </w:pPr>
            <w:r w:rsidRPr="00017AE6">
              <w:rPr>
                <w:rFonts w:eastAsia="MS Mincho" w:cstheme="minorHAnsi"/>
              </w:rPr>
              <w:t xml:space="preserve"> </w:t>
            </w:r>
            <w:r w:rsidR="00E02534" w:rsidRPr="06BFFAED">
              <w:rPr>
                <w:rFonts w:eastAsia="MS Mincho" w:cstheme="minorBidi"/>
                <w:u w:val="single"/>
              </w:rPr>
              <w:t>Common components:</w:t>
            </w:r>
            <w:r>
              <w:rPr>
                <w:rFonts w:eastAsia="MS Mincho" w:cstheme="minorBidi"/>
                <w:u w:val="single"/>
              </w:rPr>
              <w:t xml:space="preserve"> </w:t>
            </w:r>
            <w:r w:rsidRPr="00017AE6">
              <w:rPr>
                <w:rFonts w:eastAsia="MS Mincho" w:cstheme="minorHAnsi"/>
              </w:rPr>
              <w:t>All participants received Clearing the Air: Quit smoking today booklet at</w:t>
            </w:r>
            <w:r w:rsidR="006F77FB">
              <w:rPr>
                <w:rFonts w:eastAsia="MS Mincho" w:cstheme="minorHAnsi"/>
              </w:rPr>
              <w:t xml:space="preserve"> </w:t>
            </w:r>
            <w:r w:rsidRPr="00017AE6">
              <w:rPr>
                <w:rFonts w:eastAsia="MS Mincho" w:cstheme="minorHAnsi"/>
              </w:rPr>
              <w:t>baseline, + brief counselling (</w:t>
            </w:r>
            <w:r w:rsidR="006F77FB" w:rsidRPr="007563F9">
              <w:rPr>
                <w:rFonts w:eastAsia="MS Mincho" w:cstheme="minorHAnsi"/>
              </w:rPr>
              <w:t>≤</w:t>
            </w:r>
            <w:r w:rsidRPr="00017AE6">
              <w:rPr>
                <w:rFonts w:eastAsia="MS Mincho" w:cstheme="minorHAnsi"/>
              </w:rPr>
              <w:t xml:space="preserve"> 10 mins) at each clinic visit. Weekly visits throughout treatment phase,</w:t>
            </w:r>
            <w:r w:rsidR="006F77FB">
              <w:rPr>
                <w:rFonts w:eastAsia="MS Mincho" w:cstheme="minorHAnsi"/>
              </w:rPr>
              <w:t xml:space="preserve"> </w:t>
            </w:r>
            <w:r w:rsidRPr="00017AE6">
              <w:rPr>
                <w:rFonts w:eastAsia="MS Mincho" w:cstheme="minorHAnsi"/>
              </w:rPr>
              <w:t xml:space="preserve">and in follow-up phase clinic visits </w:t>
            </w:r>
            <w:r w:rsidRPr="00017AE6">
              <w:rPr>
                <w:rFonts w:eastAsia="MS Mincho" w:cstheme="minorHAnsi"/>
              </w:rPr>
              <w:lastRenderedPageBreak/>
              <w:t>at w</w:t>
            </w:r>
            <w:r w:rsidR="006F77FB">
              <w:rPr>
                <w:rFonts w:eastAsia="MS Mincho" w:cstheme="minorHAnsi"/>
              </w:rPr>
              <w:t>ee</w:t>
            </w:r>
            <w:r w:rsidRPr="00017AE6">
              <w:rPr>
                <w:rFonts w:eastAsia="MS Mincho" w:cstheme="minorHAnsi"/>
              </w:rPr>
              <w:t>ks 13, 16, 20 and 24. Phone calls at w</w:t>
            </w:r>
            <w:r w:rsidR="006F77FB">
              <w:rPr>
                <w:rFonts w:eastAsia="MS Mincho" w:cstheme="minorHAnsi"/>
              </w:rPr>
              <w:t>ee</w:t>
            </w:r>
            <w:r w:rsidRPr="00017AE6">
              <w:rPr>
                <w:rFonts w:eastAsia="MS Mincho" w:cstheme="minorHAnsi"/>
              </w:rPr>
              <w:t>ks 14, 18 and 22</w:t>
            </w:r>
            <w:r w:rsidR="006F77FB">
              <w:rPr>
                <w:rFonts w:eastAsia="MS Mincho" w:cstheme="minorHAnsi"/>
              </w:rPr>
              <w:t>.</w:t>
            </w:r>
          </w:p>
        </w:tc>
        <w:tc>
          <w:tcPr>
            <w:tcW w:w="960" w:type="pct"/>
          </w:tcPr>
          <w:p w:rsidR="005A01B7" w:rsidRDefault="005A01B7" w:rsidP="00A71365">
            <w:pPr>
              <w:pStyle w:val="Tablewriting"/>
              <w:rPr>
                <w:rFonts w:eastAsia="MS Mincho" w:cstheme="minorHAnsi"/>
              </w:rPr>
            </w:pPr>
            <w:r w:rsidRPr="005A01B7">
              <w:rPr>
                <w:rFonts w:eastAsia="MS Mincho" w:cstheme="minorHAnsi"/>
                <w:u w:val="single"/>
              </w:rPr>
              <w:lastRenderedPageBreak/>
              <w:t>Efficacy:</w:t>
            </w:r>
            <w:r>
              <w:rPr>
                <w:rFonts w:eastAsia="MS Mincho" w:cstheme="minorHAnsi"/>
              </w:rPr>
              <w:t xml:space="preserve"> </w:t>
            </w:r>
          </w:p>
          <w:p w:rsidR="00F502DF" w:rsidRPr="00017AE6" w:rsidRDefault="00F502DF" w:rsidP="00A71365">
            <w:pPr>
              <w:pStyle w:val="Tablewriting"/>
              <w:rPr>
                <w:rFonts w:eastAsia="MS Mincho" w:cstheme="minorHAnsi"/>
              </w:rPr>
            </w:pPr>
            <w:r w:rsidRPr="00017AE6">
              <w:rPr>
                <w:rFonts w:eastAsia="MS Mincho" w:cstheme="minorHAnsi"/>
              </w:rPr>
              <w:t>Primary outcome: CO-validated CAR at 9 - 12 w</w:t>
            </w:r>
            <w:r w:rsidR="005A01B7">
              <w:rPr>
                <w:rFonts w:eastAsia="MS Mincho" w:cstheme="minorHAnsi"/>
              </w:rPr>
              <w:t>ee</w:t>
            </w:r>
            <w:r w:rsidRPr="00017AE6">
              <w:rPr>
                <w:rFonts w:eastAsia="MS Mincho" w:cstheme="minorHAnsi"/>
              </w:rPr>
              <w:t>ks</w:t>
            </w:r>
            <w:r w:rsidR="005A01B7">
              <w:rPr>
                <w:rFonts w:eastAsia="MS Mincho" w:cstheme="minorHAnsi"/>
              </w:rPr>
              <w:t>,</w:t>
            </w:r>
          </w:p>
          <w:p w:rsidR="00F502DF" w:rsidRPr="00017AE6" w:rsidRDefault="00F502DF" w:rsidP="00A71365">
            <w:pPr>
              <w:pStyle w:val="Tablewriting"/>
              <w:rPr>
                <w:rFonts w:eastAsia="MS Mincho" w:cstheme="minorHAnsi"/>
              </w:rPr>
            </w:pPr>
            <w:r w:rsidRPr="00017AE6">
              <w:rPr>
                <w:rFonts w:eastAsia="MS Mincho" w:cstheme="minorHAnsi"/>
              </w:rPr>
              <w:t>Secondary outcomes: CO-validated CAR at 9 - 24 w</w:t>
            </w:r>
            <w:r w:rsidR="005A01B7">
              <w:rPr>
                <w:rFonts w:eastAsia="MS Mincho" w:cstheme="minorHAnsi"/>
              </w:rPr>
              <w:t>ee</w:t>
            </w:r>
            <w:r w:rsidRPr="00017AE6">
              <w:rPr>
                <w:rFonts w:eastAsia="MS Mincho" w:cstheme="minorHAnsi"/>
              </w:rPr>
              <w:t>ks; 7-day PPA at w</w:t>
            </w:r>
            <w:r w:rsidR="005A01B7">
              <w:rPr>
                <w:rFonts w:eastAsia="MS Mincho" w:cstheme="minorHAnsi"/>
              </w:rPr>
              <w:t>ee</w:t>
            </w:r>
            <w:r w:rsidRPr="00017AE6">
              <w:rPr>
                <w:rFonts w:eastAsia="MS Mincho" w:cstheme="minorHAnsi"/>
              </w:rPr>
              <w:t>ks 12 and 24</w:t>
            </w:r>
          </w:p>
          <w:p w:rsidR="005A01B7" w:rsidRDefault="005A01B7" w:rsidP="00A71365">
            <w:pPr>
              <w:pStyle w:val="Tablewriting"/>
              <w:rPr>
                <w:rFonts w:eastAsia="MS Mincho" w:cstheme="minorHAnsi"/>
              </w:rPr>
            </w:pPr>
          </w:p>
          <w:p w:rsidR="005A01B7" w:rsidRPr="00017AE6" w:rsidRDefault="005A01B7" w:rsidP="00A71365">
            <w:pPr>
              <w:pStyle w:val="Tablewriting"/>
              <w:rPr>
                <w:rFonts w:eastAsia="MS Mincho" w:cstheme="minorHAnsi"/>
              </w:rPr>
            </w:pPr>
            <w:r w:rsidRPr="00017AE6">
              <w:rPr>
                <w:rFonts w:eastAsia="MS Mincho" w:cstheme="minorHAnsi"/>
              </w:rPr>
              <w:t>Validation was by expired CO k 10 ppm</w:t>
            </w:r>
          </w:p>
          <w:p w:rsidR="005A01B7" w:rsidRDefault="005A01B7" w:rsidP="00A71365">
            <w:pPr>
              <w:pStyle w:val="Tablewriting"/>
              <w:rPr>
                <w:rFonts w:eastAsia="MS Mincho" w:cstheme="minorHAnsi"/>
              </w:rPr>
            </w:pPr>
          </w:p>
          <w:p w:rsidR="005A01B7" w:rsidRDefault="005A01B7" w:rsidP="00A71365">
            <w:pPr>
              <w:pStyle w:val="Tablewriting"/>
              <w:rPr>
                <w:rFonts w:eastAsia="MS Mincho" w:cstheme="minorHAnsi"/>
              </w:rPr>
            </w:pPr>
            <w:r w:rsidRPr="005A01B7">
              <w:rPr>
                <w:rFonts w:eastAsia="MS Mincho" w:cstheme="minorHAnsi"/>
                <w:u w:val="single"/>
              </w:rPr>
              <w:t>Safety</w:t>
            </w:r>
            <w:r w:rsidR="00F502DF" w:rsidRPr="00017AE6">
              <w:rPr>
                <w:rFonts w:eastAsia="MS Mincho" w:cstheme="minorHAnsi"/>
              </w:rPr>
              <w:t>: Adverse events, SAEs</w:t>
            </w:r>
            <w:r>
              <w:rPr>
                <w:rFonts w:eastAsia="MS Mincho" w:cstheme="minorHAnsi"/>
              </w:rPr>
              <w:t>.</w:t>
            </w:r>
          </w:p>
          <w:p w:rsidR="005A01B7" w:rsidRDefault="005A01B7" w:rsidP="00A71365">
            <w:pPr>
              <w:pStyle w:val="Tablewriting"/>
              <w:rPr>
                <w:rFonts w:eastAsia="MS Mincho" w:cstheme="minorHAnsi"/>
              </w:rPr>
            </w:pPr>
          </w:p>
          <w:p w:rsidR="00F502DF" w:rsidRPr="00017AE6" w:rsidRDefault="00F502DF" w:rsidP="00A71365">
            <w:pPr>
              <w:pStyle w:val="Tablewriting"/>
              <w:rPr>
                <w:rFonts w:eastAsia="MS Mincho" w:cstheme="minorHAnsi"/>
              </w:rPr>
            </w:pPr>
            <w:r w:rsidRPr="005A01B7">
              <w:rPr>
                <w:rFonts w:eastAsia="MS Mincho" w:cstheme="minorHAnsi"/>
                <w:u w:val="single"/>
              </w:rPr>
              <w:t>Other</w:t>
            </w:r>
            <w:r w:rsidRPr="00017AE6">
              <w:rPr>
                <w:rFonts w:eastAsia="MS Mincho" w:cstheme="minorHAnsi"/>
              </w:rPr>
              <w:t xml:space="preserve">: </w:t>
            </w:r>
            <w:r w:rsidR="005A01B7">
              <w:rPr>
                <w:rFonts w:eastAsia="MS Mincho" w:cstheme="minorHAnsi"/>
              </w:rPr>
              <w:t>T</w:t>
            </w:r>
            <w:r w:rsidRPr="00017AE6">
              <w:rPr>
                <w:rFonts w:eastAsia="MS Mincho" w:cstheme="minorHAnsi"/>
              </w:rPr>
              <w:t>iming and number of quit attempts</w:t>
            </w:r>
            <w:r w:rsidR="005A01B7">
              <w:rPr>
                <w:rFonts w:eastAsia="MS Mincho" w:cstheme="minorHAnsi"/>
              </w:rPr>
              <w:t>.</w:t>
            </w:r>
          </w:p>
          <w:p w:rsidR="005A01B7" w:rsidRDefault="005A01B7" w:rsidP="00A71365">
            <w:pPr>
              <w:pStyle w:val="Tablewriting"/>
              <w:rPr>
                <w:rFonts w:eastAsia="MS Mincho" w:cstheme="minorHAnsi"/>
              </w:rPr>
            </w:pPr>
          </w:p>
          <w:p w:rsidR="00C25F5E" w:rsidRPr="00017AE6" w:rsidRDefault="00C25F5E"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t xml:space="preserve">Rigotti </w:t>
            </w:r>
            <w:r w:rsidR="00DF0515">
              <w:rPr>
                <w:rFonts w:eastAsia="MS Mincho" w:cstheme="minorHAnsi"/>
              </w:rPr>
              <w:t>(</w:t>
            </w:r>
            <w:r w:rsidRPr="00017AE6">
              <w:rPr>
                <w:rFonts w:eastAsia="MS Mincho" w:cstheme="minorHAnsi"/>
              </w:rPr>
              <w:t>2010</w:t>
            </w:r>
            <w:r w:rsidR="00DF0515">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316B15" w:rsidP="00A71365">
            <w:pPr>
              <w:pStyle w:val="Tablewriting"/>
              <w:rPr>
                <w:rFonts w:eastAsia="MS Mincho" w:cstheme="minorHAnsi"/>
              </w:rPr>
            </w:pPr>
            <w:r w:rsidRPr="002F3FE8">
              <w:rPr>
                <w:rFonts w:eastAsia="MS Mincho" w:cstheme="minorHAnsi"/>
              </w:rPr>
              <w:t>15 countries in Europe, Asia, Americas</w:t>
            </w:r>
          </w:p>
        </w:tc>
        <w:tc>
          <w:tcPr>
            <w:tcW w:w="675" w:type="pct"/>
          </w:tcPr>
          <w:p w:rsidR="00651B03" w:rsidRDefault="00C25F5E" w:rsidP="00A71365">
            <w:pPr>
              <w:pStyle w:val="Tablewriting"/>
              <w:rPr>
                <w:rFonts w:eastAsia="MS Mincho" w:cstheme="minorHAnsi"/>
              </w:rPr>
            </w:pPr>
            <w:r w:rsidRPr="00017AE6">
              <w:rPr>
                <w:rFonts w:eastAsia="MS Mincho" w:cstheme="minorHAnsi"/>
              </w:rPr>
              <w:t>N=</w:t>
            </w:r>
            <w:r w:rsidR="00316B15" w:rsidRPr="00017AE6">
              <w:rPr>
                <w:rFonts w:eastAsia="MS Mincho" w:cstheme="minorHAnsi"/>
              </w:rPr>
              <w:t>714</w:t>
            </w:r>
            <w:r w:rsidR="00C47AB2">
              <w:rPr>
                <w:rFonts w:eastAsia="MS Mincho" w:cstheme="minorHAnsi"/>
              </w:rPr>
              <w:t xml:space="preserve">; </w:t>
            </w:r>
            <w:r w:rsidR="00B8758C">
              <w:rPr>
                <w:rFonts w:eastAsia="MS Mincho" w:cstheme="minorHAnsi"/>
              </w:rPr>
              <w:t>n=355 (</w:t>
            </w:r>
            <w:r w:rsidR="00C47AB2" w:rsidRPr="00017AE6">
              <w:rPr>
                <w:rFonts w:eastAsia="MS Mincho" w:cstheme="minorHAnsi"/>
              </w:rPr>
              <w:t>varenicline)</w:t>
            </w:r>
            <w:r w:rsidR="00B8758C">
              <w:rPr>
                <w:rFonts w:eastAsia="MS Mincho" w:cstheme="minorHAnsi"/>
              </w:rPr>
              <w:t>, n=</w:t>
            </w:r>
            <w:r w:rsidR="00651B03">
              <w:rPr>
                <w:rFonts w:eastAsia="MS Mincho" w:cstheme="minorHAnsi"/>
              </w:rPr>
              <w:t>359 (</w:t>
            </w:r>
            <w:r w:rsidR="00C47AB2" w:rsidRPr="00017AE6">
              <w:rPr>
                <w:rFonts w:eastAsia="MS Mincho" w:cstheme="minorHAnsi"/>
              </w:rPr>
              <w:t>placebo)</w:t>
            </w:r>
          </w:p>
          <w:p w:rsidR="00651B03" w:rsidRDefault="00651B03" w:rsidP="00A71365">
            <w:pPr>
              <w:pStyle w:val="Tablewriting"/>
              <w:rPr>
                <w:rFonts w:eastAsia="MS Mincho" w:cstheme="minorHAnsi"/>
              </w:rPr>
            </w:pPr>
          </w:p>
          <w:p w:rsidR="00C47AB2" w:rsidRPr="00017AE6" w:rsidRDefault="00651B03" w:rsidP="00A71365">
            <w:pPr>
              <w:pStyle w:val="Tablewriting"/>
              <w:rPr>
                <w:rFonts w:eastAsia="MS Mincho" w:cstheme="minorHAnsi"/>
              </w:rPr>
            </w:pPr>
            <w:r w:rsidRPr="00017AE6">
              <w:rPr>
                <w:rFonts w:eastAsia="MS Mincho" w:cstheme="minorHAnsi"/>
              </w:rPr>
              <w:t>S</w:t>
            </w:r>
            <w:r w:rsidR="00C47AB2" w:rsidRPr="00017AE6">
              <w:rPr>
                <w:rFonts w:eastAsia="MS Mincho" w:cstheme="minorHAnsi"/>
              </w:rPr>
              <w:t>tratified</w:t>
            </w:r>
            <w:r>
              <w:rPr>
                <w:rFonts w:eastAsia="MS Mincho" w:cstheme="minorHAnsi"/>
              </w:rPr>
              <w:t xml:space="preserve"> </w:t>
            </w:r>
            <w:r w:rsidR="00C47AB2" w:rsidRPr="00017AE6">
              <w:rPr>
                <w:rFonts w:eastAsia="MS Mincho" w:cstheme="minorHAnsi"/>
              </w:rPr>
              <w:t>by site</w:t>
            </w:r>
            <w:r>
              <w:rPr>
                <w:rFonts w:eastAsia="MS Mincho" w:cstheme="minorHAnsi"/>
              </w:rPr>
              <w:t>.</w:t>
            </w:r>
          </w:p>
          <w:p w:rsidR="00C25F5E" w:rsidRPr="00017AE6" w:rsidRDefault="00C25F5E" w:rsidP="00A71365">
            <w:pPr>
              <w:pStyle w:val="Tablewriting"/>
              <w:rPr>
                <w:rFonts w:eastAsia="MS Mincho" w:cstheme="minorHAnsi"/>
              </w:rPr>
            </w:pPr>
          </w:p>
        </w:tc>
        <w:tc>
          <w:tcPr>
            <w:tcW w:w="853" w:type="pct"/>
          </w:tcPr>
          <w:p w:rsidR="00C47AB2" w:rsidRDefault="00316B15" w:rsidP="00A71365">
            <w:pPr>
              <w:pStyle w:val="Tablewriting"/>
              <w:rPr>
                <w:rFonts w:eastAsia="MS Mincho" w:cstheme="minorHAnsi"/>
              </w:rPr>
            </w:pPr>
            <w:r w:rsidRPr="00017AE6">
              <w:rPr>
                <w:rFonts w:eastAsia="MS Mincho" w:cstheme="minorHAnsi"/>
              </w:rPr>
              <w:t xml:space="preserve">Adult smokers, aged 35 </w:t>
            </w:r>
            <w:r w:rsidR="00C47AB2">
              <w:rPr>
                <w:rFonts w:eastAsia="MS Mincho" w:cstheme="minorHAnsi"/>
              </w:rPr>
              <w:t>–</w:t>
            </w:r>
            <w:r w:rsidRPr="00017AE6">
              <w:rPr>
                <w:rFonts w:eastAsia="MS Mincho" w:cstheme="minorHAnsi"/>
              </w:rPr>
              <w:t xml:space="preserve"> 75</w:t>
            </w:r>
            <w:r w:rsidR="00C47AB2">
              <w:rPr>
                <w:rFonts w:eastAsia="MS Mincho" w:cstheme="minorHAnsi"/>
              </w:rPr>
              <w:t xml:space="preserve"> years</w:t>
            </w:r>
            <w:r w:rsidRPr="00017AE6">
              <w:rPr>
                <w:rFonts w:eastAsia="MS Mincho" w:cstheme="minorHAnsi"/>
              </w:rPr>
              <w:t xml:space="preserve">, smoking at least 10 CPD, with stable CVD and motivated to quit. </w:t>
            </w:r>
          </w:p>
          <w:p w:rsidR="00316B15" w:rsidRPr="00017AE6" w:rsidRDefault="00316B15" w:rsidP="00A71365">
            <w:pPr>
              <w:pStyle w:val="Tablewriting"/>
              <w:rPr>
                <w:rFonts w:eastAsia="MS Mincho" w:cstheme="minorHAnsi"/>
              </w:rPr>
            </w:pPr>
            <w:r w:rsidRPr="00017AE6">
              <w:rPr>
                <w:rFonts w:eastAsia="MS Mincho" w:cstheme="minorHAnsi"/>
              </w:rPr>
              <w:t>79%</w:t>
            </w:r>
            <w:r w:rsidR="00C47AB2">
              <w:rPr>
                <w:rFonts w:eastAsia="MS Mincho" w:cstheme="minorHAnsi"/>
              </w:rPr>
              <w:t xml:space="preserve"> </w:t>
            </w:r>
            <w:r w:rsidRPr="00017AE6">
              <w:rPr>
                <w:rFonts w:eastAsia="MS Mincho" w:cstheme="minorHAnsi"/>
              </w:rPr>
              <w:t xml:space="preserve">men, 80% white, mean CPD 22, mean FTND 5.6. </w:t>
            </w:r>
          </w:p>
          <w:p w:rsidR="00316B15" w:rsidRPr="00017AE6" w:rsidRDefault="00316B15" w:rsidP="00A71365">
            <w:pPr>
              <w:pStyle w:val="Tablewriting"/>
              <w:rPr>
                <w:rFonts w:eastAsia="MS Mincho" w:cstheme="minorHAnsi"/>
              </w:rPr>
            </w:pPr>
          </w:p>
          <w:p w:rsidR="00316B15" w:rsidRPr="00017AE6" w:rsidRDefault="00316B15" w:rsidP="00A71365">
            <w:pPr>
              <w:pStyle w:val="Tablewriting"/>
              <w:rPr>
                <w:rFonts w:eastAsia="MS Mincho" w:cstheme="minorHAnsi"/>
              </w:rPr>
            </w:pPr>
            <w:r w:rsidRPr="00C47AB2">
              <w:rPr>
                <w:rFonts w:eastAsia="MS Mincho" w:cstheme="minorHAnsi"/>
                <w:u w:val="single"/>
              </w:rPr>
              <w:t>Exclusion criteria:</w:t>
            </w:r>
            <w:r w:rsidRPr="00017AE6">
              <w:rPr>
                <w:rFonts w:eastAsia="MS Mincho" w:cstheme="minorHAnsi"/>
              </w:rPr>
              <w:t xml:space="preserve"> Standard pharmacotherapy trial criteria, + use of NRT or bupropion within previous</w:t>
            </w:r>
          </w:p>
          <w:p w:rsidR="00316B15" w:rsidRPr="00017AE6" w:rsidRDefault="00316B15" w:rsidP="00A71365">
            <w:pPr>
              <w:pStyle w:val="Tablewriting"/>
              <w:rPr>
                <w:rFonts w:eastAsia="MS Mincho" w:cstheme="minorHAnsi"/>
              </w:rPr>
            </w:pPr>
            <w:r w:rsidRPr="00017AE6">
              <w:rPr>
                <w:rFonts w:eastAsia="MS Mincho" w:cstheme="minorHAnsi"/>
              </w:rPr>
              <w:t>month. All had been diagnosed for at least 2m with CVD, but not hypertension alone</w:t>
            </w:r>
            <w:r w:rsidR="00C47AB2">
              <w:rPr>
                <w:rFonts w:eastAsia="MS Mincho" w:cstheme="minorHAnsi"/>
              </w:rPr>
              <w:t>.</w:t>
            </w:r>
          </w:p>
        </w:tc>
        <w:tc>
          <w:tcPr>
            <w:tcW w:w="1055" w:type="pct"/>
          </w:tcPr>
          <w:p w:rsidR="00C47AB2" w:rsidRDefault="00FB0E3F" w:rsidP="00C324F3">
            <w:pPr>
              <w:pStyle w:val="Tablewriting"/>
              <w:numPr>
                <w:ilvl w:val="0"/>
                <w:numId w:val="84"/>
              </w:numPr>
              <w:rPr>
                <w:rFonts w:eastAsia="MS Mincho" w:cstheme="minorHAnsi"/>
              </w:rPr>
            </w:pPr>
            <w:r w:rsidRPr="00017AE6">
              <w:rPr>
                <w:rFonts w:eastAsia="MS Mincho" w:cstheme="minorHAnsi"/>
              </w:rPr>
              <w:t>Varenicline 1.0 mg 2/day for 12 w</w:t>
            </w:r>
            <w:r w:rsidR="00C47AB2">
              <w:rPr>
                <w:rFonts w:eastAsia="MS Mincho" w:cstheme="minorHAnsi"/>
              </w:rPr>
              <w:t>ee</w:t>
            </w:r>
            <w:r w:rsidRPr="00017AE6">
              <w:rPr>
                <w:rFonts w:eastAsia="MS Mincho" w:cstheme="minorHAnsi"/>
              </w:rPr>
              <w:t>ks, including w</w:t>
            </w:r>
            <w:r w:rsidR="00C47AB2">
              <w:rPr>
                <w:rFonts w:eastAsia="MS Mincho" w:cstheme="minorHAnsi"/>
              </w:rPr>
              <w:t>ee</w:t>
            </w:r>
            <w:r w:rsidRPr="00017AE6">
              <w:rPr>
                <w:rFonts w:eastAsia="MS Mincho" w:cstheme="minorHAnsi"/>
              </w:rPr>
              <w:t>k 1 at titrated dose</w:t>
            </w:r>
            <w:r w:rsidR="00C47AB2">
              <w:rPr>
                <w:rFonts w:eastAsia="MS Mincho" w:cstheme="minorHAnsi"/>
              </w:rPr>
              <w:t>.</w:t>
            </w:r>
          </w:p>
          <w:p w:rsidR="00FB0E3F" w:rsidRPr="00017AE6" w:rsidRDefault="00FB0E3F" w:rsidP="00C324F3">
            <w:pPr>
              <w:pStyle w:val="Tablewriting"/>
              <w:numPr>
                <w:ilvl w:val="0"/>
                <w:numId w:val="84"/>
              </w:numPr>
              <w:rPr>
                <w:rFonts w:eastAsia="MS Mincho" w:cstheme="minorHAnsi"/>
              </w:rPr>
            </w:pPr>
            <w:r w:rsidRPr="00017AE6">
              <w:rPr>
                <w:rFonts w:eastAsia="MS Mincho" w:cstheme="minorHAnsi"/>
              </w:rPr>
              <w:t>Placebo tablets as above</w:t>
            </w:r>
            <w:r w:rsidR="00C47AB2">
              <w:rPr>
                <w:rFonts w:eastAsia="MS Mincho" w:cstheme="minorHAnsi"/>
              </w:rPr>
              <w:t>.</w:t>
            </w:r>
          </w:p>
          <w:p w:rsidR="00C47AB2" w:rsidRPr="00C47AB2" w:rsidRDefault="00C47AB2" w:rsidP="00A71365">
            <w:pPr>
              <w:pStyle w:val="Tablewriting"/>
              <w:ind w:left="360"/>
              <w:rPr>
                <w:rFonts w:eastAsia="MS Mincho" w:cstheme="minorHAnsi"/>
              </w:rPr>
            </w:pPr>
          </w:p>
          <w:p w:rsidR="00FB0E3F" w:rsidRPr="00017AE6" w:rsidRDefault="00C47AB2" w:rsidP="00A71365">
            <w:pPr>
              <w:pStyle w:val="Tablewriting"/>
              <w:rPr>
                <w:rFonts w:eastAsia="MS Mincho" w:cstheme="minorHAnsi"/>
              </w:rPr>
            </w:pPr>
            <w:r w:rsidRPr="06BFFAED">
              <w:rPr>
                <w:rFonts w:eastAsia="MS Mincho" w:cstheme="minorBidi"/>
                <w:u w:val="single"/>
              </w:rPr>
              <w:t>Common components:</w:t>
            </w:r>
            <w:r>
              <w:rPr>
                <w:rFonts w:eastAsia="MS Mincho" w:cstheme="minorBidi"/>
                <w:u w:val="single"/>
              </w:rPr>
              <w:t xml:space="preserve"> </w:t>
            </w:r>
            <w:r w:rsidR="00FB0E3F" w:rsidRPr="00017AE6">
              <w:rPr>
                <w:rFonts w:eastAsia="MS Mincho" w:cstheme="minorHAnsi"/>
              </w:rPr>
              <w:t>Both groups received brief (</w:t>
            </w:r>
            <w:r w:rsidR="00E61D8F" w:rsidRPr="007563F9">
              <w:rPr>
                <w:rFonts w:eastAsia="MS Mincho" w:cstheme="minorHAnsi"/>
              </w:rPr>
              <w:t>≤</w:t>
            </w:r>
            <w:r w:rsidR="00FB0E3F" w:rsidRPr="00017AE6">
              <w:rPr>
                <w:rFonts w:eastAsia="MS Mincho" w:cstheme="minorHAnsi"/>
              </w:rPr>
              <w:t xml:space="preserve"> 10mins) counselling at weekly clinic visits throughout treatment phase,</w:t>
            </w:r>
          </w:p>
          <w:p w:rsidR="00DC6263" w:rsidRDefault="00FB0E3F" w:rsidP="00A71365">
            <w:pPr>
              <w:pStyle w:val="Tablewriting"/>
              <w:rPr>
                <w:rFonts w:eastAsia="MS Mincho" w:cstheme="minorHAnsi"/>
              </w:rPr>
            </w:pPr>
            <w:r w:rsidRPr="00017AE6">
              <w:rPr>
                <w:rFonts w:eastAsia="MS Mincho" w:cstheme="minorHAnsi"/>
              </w:rPr>
              <w:t xml:space="preserve">and phone call 3 days post-TQD. </w:t>
            </w:r>
          </w:p>
          <w:p w:rsidR="00FB0E3F" w:rsidRPr="00017AE6" w:rsidRDefault="00FB0E3F" w:rsidP="00A71365">
            <w:pPr>
              <w:pStyle w:val="Tablewriting"/>
              <w:rPr>
                <w:rFonts w:eastAsia="MS Mincho" w:cstheme="minorHAnsi"/>
              </w:rPr>
            </w:pPr>
            <w:r w:rsidRPr="00017AE6">
              <w:rPr>
                <w:rFonts w:eastAsia="MS Mincho" w:cstheme="minorHAnsi"/>
              </w:rPr>
              <w:t>At each visit smoking status reporte</w:t>
            </w:r>
            <w:r w:rsidR="009E2A27">
              <w:rPr>
                <w:rFonts w:eastAsia="MS Mincho" w:cstheme="minorHAnsi"/>
              </w:rPr>
              <w:t xml:space="preserve">d and CO verified; vital signs, </w:t>
            </w:r>
            <w:r w:rsidRPr="00017AE6">
              <w:rPr>
                <w:rFonts w:eastAsia="MS Mincho" w:cstheme="minorHAnsi"/>
              </w:rPr>
              <w:t>weight and adverse events. Urine, blood tests and ECGs at screening, baseline, w</w:t>
            </w:r>
            <w:r w:rsidR="00DC6263">
              <w:rPr>
                <w:rFonts w:eastAsia="MS Mincho" w:cstheme="minorHAnsi"/>
              </w:rPr>
              <w:t>ee</w:t>
            </w:r>
            <w:r w:rsidRPr="00017AE6">
              <w:rPr>
                <w:rFonts w:eastAsia="MS Mincho" w:cstheme="minorHAnsi"/>
              </w:rPr>
              <w:t>ks 12 and 52</w:t>
            </w:r>
          </w:p>
          <w:p w:rsidR="00DC6263" w:rsidRDefault="00DC6263" w:rsidP="00A71365">
            <w:pPr>
              <w:pStyle w:val="Tablewriting"/>
              <w:rPr>
                <w:rFonts w:eastAsia="MS Mincho" w:cstheme="minorHAnsi"/>
              </w:rPr>
            </w:pPr>
          </w:p>
          <w:p w:rsidR="00C25F5E" w:rsidRPr="00017AE6" w:rsidRDefault="00FB0E3F" w:rsidP="00A71365">
            <w:pPr>
              <w:pStyle w:val="Tablewriting"/>
              <w:rPr>
                <w:rFonts w:eastAsia="MS Mincho" w:cstheme="minorHAnsi"/>
              </w:rPr>
            </w:pPr>
            <w:r w:rsidRPr="00017AE6">
              <w:rPr>
                <w:rFonts w:eastAsia="MS Mincho" w:cstheme="minorHAnsi"/>
              </w:rPr>
              <w:t>Follow-up phase: smoking status + CO measured at w</w:t>
            </w:r>
            <w:r w:rsidR="00DC6263">
              <w:rPr>
                <w:rFonts w:eastAsia="MS Mincho" w:cstheme="minorHAnsi"/>
              </w:rPr>
              <w:t>ee</w:t>
            </w:r>
            <w:r w:rsidRPr="00017AE6">
              <w:rPr>
                <w:rFonts w:eastAsia="MS Mincho" w:cstheme="minorHAnsi"/>
              </w:rPr>
              <w:t xml:space="preserve">ks 13, 16, 24, 32, 40 and 52; counselling and </w:t>
            </w:r>
            <w:r w:rsidR="00DC6263" w:rsidRPr="00017AE6">
              <w:rPr>
                <w:rFonts w:eastAsia="MS Mincho" w:cstheme="minorHAnsi"/>
              </w:rPr>
              <w:t>self-reported</w:t>
            </w:r>
            <w:r w:rsidR="00DC6263">
              <w:rPr>
                <w:rFonts w:eastAsia="MS Mincho" w:cstheme="minorHAnsi"/>
              </w:rPr>
              <w:t xml:space="preserve"> </w:t>
            </w:r>
            <w:r w:rsidRPr="00017AE6">
              <w:rPr>
                <w:rFonts w:eastAsia="MS Mincho" w:cstheme="minorHAnsi"/>
              </w:rPr>
              <w:t>status by phone at w</w:t>
            </w:r>
            <w:r w:rsidR="00DC6263">
              <w:rPr>
                <w:rFonts w:eastAsia="MS Mincho" w:cstheme="minorHAnsi"/>
              </w:rPr>
              <w:t>ee</w:t>
            </w:r>
            <w:r w:rsidRPr="00017AE6">
              <w:rPr>
                <w:rFonts w:eastAsia="MS Mincho" w:cstheme="minorHAnsi"/>
              </w:rPr>
              <w:t>ks 14, 20, 28, 36 and 44</w:t>
            </w:r>
            <w:r w:rsidR="00DC6263">
              <w:rPr>
                <w:rFonts w:eastAsia="MS Mincho" w:cstheme="minorHAnsi"/>
              </w:rPr>
              <w:t>.</w:t>
            </w:r>
          </w:p>
        </w:tc>
        <w:tc>
          <w:tcPr>
            <w:tcW w:w="960" w:type="pct"/>
          </w:tcPr>
          <w:p w:rsidR="00B56EC1" w:rsidRPr="00B56EC1" w:rsidRDefault="00B56EC1" w:rsidP="00A71365">
            <w:pPr>
              <w:pStyle w:val="Tablewriting"/>
              <w:rPr>
                <w:rFonts w:eastAsia="MS Mincho" w:cstheme="minorHAnsi"/>
                <w:u w:val="single"/>
              </w:rPr>
            </w:pPr>
            <w:r w:rsidRPr="00B56EC1">
              <w:rPr>
                <w:rFonts w:eastAsia="MS Mincho" w:cstheme="minorHAnsi"/>
                <w:u w:val="single"/>
              </w:rPr>
              <w:t>Efficacy:</w:t>
            </w:r>
          </w:p>
          <w:p w:rsidR="00FB0E3F" w:rsidRPr="00017AE6" w:rsidRDefault="00FB0E3F" w:rsidP="00A71365">
            <w:pPr>
              <w:pStyle w:val="Tablewriting"/>
              <w:rPr>
                <w:rFonts w:eastAsia="MS Mincho" w:cstheme="minorHAnsi"/>
              </w:rPr>
            </w:pPr>
            <w:r w:rsidRPr="00017AE6">
              <w:rPr>
                <w:rFonts w:eastAsia="MS Mincho" w:cstheme="minorHAnsi"/>
              </w:rPr>
              <w:t>Primary outcome: CO-validated CAR at w</w:t>
            </w:r>
            <w:r w:rsidR="00B56EC1">
              <w:rPr>
                <w:rFonts w:eastAsia="MS Mincho" w:cstheme="minorHAnsi"/>
              </w:rPr>
              <w:t>ee</w:t>
            </w:r>
            <w:r w:rsidRPr="00017AE6">
              <w:rPr>
                <w:rFonts w:eastAsia="MS Mincho" w:cstheme="minorHAnsi"/>
              </w:rPr>
              <w:t xml:space="preserve">ks </w:t>
            </w:r>
            <w:r w:rsidR="00B56EC1">
              <w:rPr>
                <w:rFonts w:eastAsia="MS Mincho" w:cstheme="minorHAnsi"/>
              </w:rPr>
              <w:t>(</w:t>
            </w:r>
            <w:r w:rsidRPr="00017AE6">
              <w:rPr>
                <w:rFonts w:eastAsia="MS Mincho" w:cstheme="minorHAnsi"/>
              </w:rPr>
              <w:t xml:space="preserve">9 </w:t>
            </w:r>
            <w:r w:rsidR="00B56EC1">
              <w:rPr>
                <w:rFonts w:eastAsia="MS Mincho" w:cstheme="minorHAnsi"/>
              </w:rPr>
              <w:t>–</w:t>
            </w:r>
            <w:r w:rsidRPr="00017AE6">
              <w:rPr>
                <w:rFonts w:eastAsia="MS Mincho" w:cstheme="minorHAnsi"/>
              </w:rPr>
              <w:t xml:space="preserve"> 12</w:t>
            </w:r>
            <w:r w:rsidR="00B56EC1">
              <w:rPr>
                <w:rFonts w:eastAsia="MS Mincho" w:cstheme="minorHAnsi"/>
              </w:rPr>
              <w:t>),</w:t>
            </w:r>
          </w:p>
          <w:p w:rsidR="00FB0E3F" w:rsidRPr="00017AE6" w:rsidRDefault="00FB0E3F" w:rsidP="00A71365">
            <w:pPr>
              <w:pStyle w:val="Tablewriting"/>
              <w:rPr>
                <w:rFonts w:eastAsia="MS Mincho" w:cstheme="minorHAnsi"/>
              </w:rPr>
            </w:pPr>
            <w:r w:rsidRPr="00017AE6">
              <w:rPr>
                <w:rFonts w:eastAsia="MS Mincho" w:cstheme="minorHAnsi"/>
              </w:rPr>
              <w:t>Secondary outcomes: CO-validated CAR at w</w:t>
            </w:r>
            <w:r w:rsidR="00B56EC1">
              <w:rPr>
                <w:rFonts w:eastAsia="MS Mincho" w:cstheme="minorHAnsi"/>
              </w:rPr>
              <w:t>ee</w:t>
            </w:r>
            <w:r w:rsidRPr="00017AE6">
              <w:rPr>
                <w:rFonts w:eastAsia="MS Mincho" w:cstheme="minorHAnsi"/>
              </w:rPr>
              <w:t xml:space="preserve">ks </w:t>
            </w:r>
            <w:r w:rsidR="00B56EC1">
              <w:rPr>
                <w:rFonts w:eastAsia="MS Mincho" w:cstheme="minorHAnsi"/>
              </w:rPr>
              <w:t>(</w:t>
            </w:r>
            <w:r w:rsidRPr="00017AE6">
              <w:rPr>
                <w:rFonts w:eastAsia="MS Mincho" w:cstheme="minorHAnsi"/>
              </w:rPr>
              <w:t xml:space="preserve">9 </w:t>
            </w:r>
            <w:r w:rsidR="00B56EC1">
              <w:rPr>
                <w:rFonts w:eastAsia="MS Mincho" w:cstheme="minorHAnsi"/>
              </w:rPr>
              <w:t>–</w:t>
            </w:r>
            <w:r w:rsidRPr="00017AE6">
              <w:rPr>
                <w:rFonts w:eastAsia="MS Mincho" w:cstheme="minorHAnsi"/>
              </w:rPr>
              <w:t xml:space="preserve"> 52</w:t>
            </w:r>
            <w:r w:rsidR="00B56EC1">
              <w:rPr>
                <w:rFonts w:eastAsia="MS Mincho" w:cstheme="minorHAnsi"/>
              </w:rPr>
              <w:t>)</w:t>
            </w:r>
            <w:r w:rsidRPr="00017AE6">
              <w:rPr>
                <w:rFonts w:eastAsia="MS Mincho" w:cstheme="minorHAnsi"/>
              </w:rPr>
              <w:t xml:space="preserve"> and </w:t>
            </w:r>
            <w:r w:rsidR="00B56EC1">
              <w:rPr>
                <w:rFonts w:eastAsia="MS Mincho" w:cstheme="minorHAnsi"/>
              </w:rPr>
              <w:t>(</w:t>
            </w:r>
            <w:r w:rsidRPr="00017AE6">
              <w:rPr>
                <w:rFonts w:eastAsia="MS Mincho" w:cstheme="minorHAnsi"/>
              </w:rPr>
              <w:t xml:space="preserve">9 </w:t>
            </w:r>
            <w:r w:rsidR="00B56EC1">
              <w:rPr>
                <w:rFonts w:eastAsia="MS Mincho" w:cstheme="minorHAnsi"/>
              </w:rPr>
              <w:t>–</w:t>
            </w:r>
            <w:r w:rsidRPr="00017AE6">
              <w:rPr>
                <w:rFonts w:eastAsia="MS Mincho" w:cstheme="minorHAnsi"/>
              </w:rPr>
              <w:t xml:space="preserve"> 24</w:t>
            </w:r>
            <w:r w:rsidR="00B56EC1">
              <w:rPr>
                <w:rFonts w:eastAsia="MS Mincho" w:cstheme="minorHAnsi"/>
              </w:rPr>
              <w:t>)</w:t>
            </w:r>
            <w:r w:rsidRPr="00017AE6">
              <w:rPr>
                <w:rFonts w:eastAsia="MS Mincho" w:cstheme="minorHAnsi"/>
              </w:rPr>
              <w:t>; 7-day PPA at w</w:t>
            </w:r>
            <w:r w:rsidR="00B56EC1">
              <w:rPr>
                <w:rFonts w:eastAsia="MS Mincho" w:cstheme="minorHAnsi"/>
              </w:rPr>
              <w:t>ee</w:t>
            </w:r>
            <w:r w:rsidRPr="00017AE6">
              <w:rPr>
                <w:rFonts w:eastAsia="MS Mincho" w:cstheme="minorHAnsi"/>
              </w:rPr>
              <w:t>ks 12, 24 and 52</w:t>
            </w:r>
            <w:r w:rsidR="00B56EC1">
              <w:rPr>
                <w:rFonts w:eastAsia="MS Mincho" w:cstheme="minorHAnsi"/>
              </w:rPr>
              <w:t>.</w:t>
            </w:r>
          </w:p>
          <w:p w:rsidR="00B56EC1" w:rsidRDefault="00B56EC1" w:rsidP="00A71365">
            <w:pPr>
              <w:pStyle w:val="Tablewriting"/>
              <w:rPr>
                <w:rFonts w:eastAsia="MS Mincho" w:cstheme="minorHAnsi"/>
              </w:rPr>
            </w:pPr>
          </w:p>
          <w:p w:rsidR="00B56EC1" w:rsidRDefault="00B56EC1" w:rsidP="00A71365">
            <w:pPr>
              <w:pStyle w:val="Tablewriting"/>
              <w:rPr>
                <w:rFonts w:eastAsia="MS Mincho" w:cstheme="minorHAnsi"/>
              </w:rPr>
            </w:pPr>
            <w:r w:rsidRPr="00017AE6">
              <w:rPr>
                <w:rFonts w:eastAsia="MS Mincho" w:cstheme="minorHAnsi"/>
              </w:rPr>
              <w:t xml:space="preserve">Validation was by expired CO </w:t>
            </w:r>
            <w:r w:rsidRPr="007563F9">
              <w:rPr>
                <w:rFonts w:eastAsia="MS Mincho" w:cstheme="minorHAnsi"/>
              </w:rPr>
              <w:t>≤</w:t>
            </w:r>
            <w:r>
              <w:rPr>
                <w:rFonts w:eastAsia="MS Mincho" w:cstheme="minorHAnsi"/>
              </w:rPr>
              <w:t xml:space="preserve"> </w:t>
            </w:r>
            <w:r w:rsidRPr="00017AE6">
              <w:rPr>
                <w:rFonts w:eastAsia="MS Mincho" w:cstheme="minorHAnsi"/>
              </w:rPr>
              <w:t>10 ppm</w:t>
            </w:r>
            <w:r>
              <w:rPr>
                <w:rFonts w:eastAsia="MS Mincho" w:cstheme="minorHAnsi"/>
              </w:rPr>
              <w:t>.</w:t>
            </w:r>
          </w:p>
          <w:p w:rsidR="00B56EC1" w:rsidRDefault="00B56EC1" w:rsidP="00A71365">
            <w:pPr>
              <w:pStyle w:val="Tablewriting"/>
              <w:rPr>
                <w:rFonts w:eastAsia="MS Mincho" w:cstheme="minorHAnsi"/>
              </w:rPr>
            </w:pPr>
          </w:p>
          <w:p w:rsidR="00B56EC1" w:rsidRPr="00017AE6" w:rsidRDefault="00B56EC1" w:rsidP="00A71365">
            <w:pPr>
              <w:pStyle w:val="Tablewriting"/>
              <w:rPr>
                <w:rFonts w:eastAsia="MS Mincho" w:cstheme="minorHAnsi"/>
              </w:rPr>
            </w:pPr>
            <w:r w:rsidRPr="00FC2CBF">
              <w:rPr>
                <w:rFonts w:eastAsia="MS Mincho" w:cstheme="minorHAnsi"/>
                <w:u w:val="single"/>
              </w:rPr>
              <w:t>Safety:</w:t>
            </w:r>
            <w:r>
              <w:rPr>
                <w:rFonts w:eastAsia="MS Mincho" w:cstheme="minorHAnsi"/>
              </w:rPr>
              <w:t xml:space="preserve"> </w:t>
            </w:r>
            <w:r w:rsidRPr="00017AE6">
              <w:rPr>
                <w:rFonts w:eastAsia="MS Mincho" w:cstheme="minorHAnsi"/>
              </w:rPr>
              <w:t>Adverse events; serious adverse events; cardiovascular events; changes in blood pressure</w:t>
            </w:r>
            <w:r>
              <w:rPr>
                <w:rFonts w:eastAsia="MS Mincho" w:cstheme="minorHAnsi"/>
              </w:rPr>
              <w:t xml:space="preserve"> </w:t>
            </w:r>
            <w:r w:rsidRPr="00017AE6">
              <w:rPr>
                <w:rFonts w:eastAsia="MS Mincho" w:cstheme="minorHAnsi"/>
              </w:rPr>
              <w:t>and heart rate</w:t>
            </w:r>
            <w:r>
              <w:rPr>
                <w:rFonts w:eastAsia="MS Mincho" w:cstheme="minorHAnsi"/>
              </w:rPr>
              <w:t xml:space="preserve">. </w:t>
            </w:r>
          </w:p>
          <w:p w:rsidR="00B56EC1" w:rsidRPr="00017AE6" w:rsidRDefault="00B56EC1" w:rsidP="00A71365">
            <w:pPr>
              <w:pStyle w:val="Tablewriting"/>
              <w:rPr>
                <w:rFonts w:eastAsia="MS Mincho" w:cstheme="minorHAnsi"/>
              </w:rPr>
            </w:pPr>
          </w:p>
          <w:p w:rsidR="00C25F5E" w:rsidRPr="00017AE6" w:rsidRDefault="00C25F5E"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t xml:space="preserve">Steinberg </w:t>
            </w:r>
            <w:r w:rsidR="00DF0515">
              <w:rPr>
                <w:rFonts w:eastAsia="MS Mincho" w:cstheme="minorHAnsi"/>
              </w:rPr>
              <w:t>(</w:t>
            </w:r>
            <w:r w:rsidRPr="00017AE6">
              <w:rPr>
                <w:rFonts w:eastAsia="MS Mincho" w:cstheme="minorHAnsi"/>
              </w:rPr>
              <w:t>2011</w:t>
            </w:r>
            <w:r w:rsidR="00DF0515">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C57B9A" w:rsidP="00A71365">
            <w:pPr>
              <w:pStyle w:val="Tablewriting"/>
              <w:rPr>
                <w:rFonts w:eastAsia="MS Mincho" w:cstheme="minorHAnsi"/>
              </w:rPr>
            </w:pPr>
            <w:r w:rsidRPr="00017AE6">
              <w:rPr>
                <w:rFonts w:eastAsia="MS Mincho" w:cstheme="minorHAnsi"/>
              </w:rPr>
              <w:t>USA</w:t>
            </w:r>
          </w:p>
        </w:tc>
        <w:tc>
          <w:tcPr>
            <w:tcW w:w="675" w:type="pct"/>
          </w:tcPr>
          <w:p w:rsidR="00C25F5E" w:rsidRPr="00017AE6" w:rsidRDefault="00C25F5E" w:rsidP="00A71365">
            <w:pPr>
              <w:pStyle w:val="Tablewriting"/>
              <w:rPr>
                <w:rFonts w:eastAsia="MS Mincho" w:cstheme="minorHAnsi"/>
              </w:rPr>
            </w:pPr>
            <w:r w:rsidRPr="00017AE6">
              <w:rPr>
                <w:rFonts w:eastAsia="MS Mincho" w:cstheme="minorHAnsi"/>
              </w:rPr>
              <w:t>N=</w:t>
            </w:r>
            <w:r w:rsidR="00137BDD" w:rsidRPr="00017AE6">
              <w:rPr>
                <w:rFonts w:eastAsia="MS Mincho" w:cstheme="minorHAnsi"/>
              </w:rPr>
              <w:t>79</w:t>
            </w:r>
            <w:r w:rsidR="00FC2CBF">
              <w:rPr>
                <w:rFonts w:eastAsia="MS Mincho" w:cstheme="minorHAnsi"/>
              </w:rPr>
              <w:t xml:space="preserve">; </w:t>
            </w:r>
            <w:r w:rsidR="00895597">
              <w:rPr>
                <w:rFonts w:eastAsia="MS Mincho" w:cstheme="minorHAnsi"/>
              </w:rPr>
              <w:t>n=40 (</w:t>
            </w:r>
            <w:r w:rsidR="00FC2CBF" w:rsidRPr="00017AE6">
              <w:rPr>
                <w:rFonts w:eastAsia="MS Mincho" w:cstheme="minorHAnsi"/>
              </w:rPr>
              <w:t>varenicline)</w:t>
            </w:r>
            <w:r w:rsidR="00895597">
              <w:rPr>
                <w:rFonts w:eastAsia="MS Mincho" w:cstheme="minorHAnsi"/>
              </w:rPr>
              <w:t>, n=</w:t>
            </w:r>
            <w:r w:rsidR="00831185">
              <w:rPr>
                <w:rFonts w:eastAsia="MS Mincho" w:cstheme="minorHAnsi"/>
              </w:rPr>
              <w:t>39 (</w:t>
            </w:r>
            <w:r w:rsidR="00FC2CBF" w:rsidRPr="00017AE6">
              <w:rPr>
                <w:rFonts w:eastAsia="MS Mincho" w:cstheme="minorHAnsi"/>
              </w:rPr>
              <w:t>placebo)</w:t>
            </w:r>
            <w:r w:rsidR="00831185">
              <w:rPr>
                <w:rFonts w:eastAsia="MS Mincho" w:cstheme="minorHAnsi"/>
              </w:rPr>
              <w:t>.</w:t>
            </w:r>
          </w:p>
        </w:tc>
        <w:tc>
          <w:tcPr>
            <w:tcW w:w="853" w:type="pct"/>
          </w:tcPr>
          <w:p w:rsidR="00137BDD" w:rsidRPr="00017AE6" w:rsidRDefault="00137BDD" w:rsidP="00A71365">
            <w:pPr>
              <w:pStyle w:val="Tablewriting"/>
              <w:rPr>
                <w:rFonts w:eastAsia="MS Mincho" w:cstheme="minorHAnsi"/>
              </w:rPr>
            </w:pPr>
            <w:r w:rsidRPr="00017AE6">
              <w:rPr>
                <w:rFonts w:eastAsia="MS Mincho" w:cstheme="minorHAnsi"/>
              </w:rPr>
              <w:t>Adult smokers, aged 18+, smoking 10+ CPD</w:t>
            </w:r>
            <w:r w:rsidR="003F4EBD">
              <w:rPr>
                <w:rFonts w:eastAsia="MS Mincho" w:cstheme="minorHAnsi"/>
              </w:rPr>
              <w:t>.</w:t>
            </w:r>
            <w:r w:rsidRPr="00017AE6">
              <w:rPr>
                <w:rFonts w:eastAsia="MS Mincho" w:cstheme="minorHAnsi"/>
              </w:rPr>
              <w:t xml:space="preserve"> </w:t>
            </w:r>
          </w:p>
          <w:p w:rsidR="00137BDD" w:rsidRPr="00017AE6" w:rsidRDefault="00137BDD" w:rsidP="00A71365">
            <w:pPr>
              <w:pStyle w:val="Tablewriting"/>
              <w:rPr>
                <w:rFonts w:eastAsia="MS Mincho" w:cstheme="minorHAnsi"/>
              </w:rPr>
            </w:pPr>
            <w:r w:rsidRPr="00017AE6">
              <w:rPr>
                <w:rFonts w:eastAsia="MS Mincho" w:cstheme="minorHAnsi"/>
              </w:rPr>
              <w:t>59% men, mean age 51</w:t>
            </w:r>
            <w:r w:rsidR="003F4EBD">
              <w:rPr>
                <w:rFonts w:eastAsia="MS Mincho" w:cstheme="minorHAnsi"/>
              </w:rPr>
              <w:t xml:space="preserve"> years</w:t>
            </w:r>
            <w:r w:rsidRPr="00017AE6">
              <w:rPr>
                <w:rFonts w:eastAsia="MS Mincho" w:cstheme="minorHAnsi"/>
              </w:rPr>
              <w:t xml:space="preserve">, 72% white, 57% &gt; 20 </w:t>
            </w:r>
            <w:r w:rsidR="003F4EBD">
              <w:rPr>
                <w:rFonts w:eastAsia="MS Mincho" w:cstheme="minorHAnsi"/>
              </w:rPr>
              <w:t>CPD</w:t>
            </w:r>
            <w:r w:rsidRPr="00017AE6">
              <w:rPr>
                <w:rFonts w:eastAsia="MS Mincho" w:cstheme="minorHAnsi"/>
              </w:rPr>
              <w:t>, 40% FTND &gt; 6</w:t>
            </w:r>
            <w:r w:rsidR="003F4EBD">
              <w:rPr>
                <w:rFonts w:eastAsia="MS Mincho" w:cstheme="minorHAnsi"/>
              </w:rPr>
              <w:t>.</w:t>
            </w:r>
          </w:p>
          <w:p w:rsidR="003F4EBD" w:rsidRDefault="003F4EBD" w:rsidP="00A71365">
            <w:pPr>
              <w:pStyle w:val="Tablewriting"/>
              <w:rPr>
                <w:rFonts w:eastAsia="MS Mincho" w:cstheme="minorHAnsi"/>
              </w:rPr>
            </w:pPr>
          </w:p>
          <w:p w:rsidR="00137BDD" w:rsidRPr="00017AE6" w:rsidRDefault="00137BDD" w:rsidP="00A71365">
            <w:pPr>
              <w:pStyle w:val="Tablewriting"/>
              <w:rPr>
                <w:rFonts w:eastAsia="MS Mincho" w:cstheme="minorHAnsi"/>
              </w:rPr>
            </w:pPr>
            <w:r w:rsidRPr="00017AE6">
              <w:rPr>
                <w:rFonts w:eastAsia="MS Mincho" w:cstheme="minorHAnsi"/>
              </w:rPr>
              <w:t>Admission diagnoses</w:t>
            </w:r>
            <w:r w:rsidR="003F4EBD">
              <w:rPr>
                <w:rFonts w:eastAsia="MS Mincho" w:cstheme="minorHAnsi"/>
              </w:rPr>
              <w:t>;</w:t>
            </w:r>
            <w:r w:rsidRPr="00017AE6">
              <w:rPr>
                <w:rFonts w:eastAsia="MS Mincho" w:cstheme="minorHAnsi"/>
              </w:rPr>
              <w:t xml:space="preserve"> 57% CVD, 14% orthopaedic, 13% pulmonary, 16% other</w:t>
            </w:r>
          </w:p>
          <w:p w:rsidR="003F4EBD" w:rsidRDefault="003F4EBD" w:rsidP="00A71365">
            <w:pPr>
              <w:pStyle w:val="Tablewriting"/>
              <w:rPr>
                <w:rFonts w:eastAsia="MS Mincho" w:cstheme="minorHAnsi"/>
              </w:rPr>
            </w:pPr>
          </w:p>
          <w:p w:rsidR="00C25F5E" w:rsidRPr="00017AE6" w:rsidRDefault="00137BDD" w:rsidP="00A71365">
            <w:pPr>
              <w:pStyle w:val="Tablewriting"/>
              <w:rPr>
                <w:rFonts w:eastAsia="MS Mincho" w:cstheme="minorHAnsi"/>
              </w:rPr>
            </w:pPr>
            <w:r w:rsidRPr="003F4EBD">
              <w:rPr>
                <w:rFonts w:eastAsia="MS Mincho" w:cstheme="minorHAnsi"/>
                <w:u w:val="single"/>
              </w:rPr>
              <w:t xml:space="preserve">Exclusion criteria: </w:t>
            </w:r>
            <w:r w:rsidRPr="00017AE6">
              <w:rPr>
                <w:rFonts w:eastAsia="MS Mincho" w:cstheme="minorHAnsi"/>
              </w:rPr>
              <w:t>Standard pharmacotherapy criteria, + current use of any SC medications</w:t>
            </w:r>
            <w:r w:rsidR="003F4EBD">
              <w:rPr>
                <w:rFonts w:eastAsia="MS Mincho" w:cstheme="minorHAnsi"/>
              </w:rPr>
              <w:t>.</w:t>
            </w:r>
          </w:p>
        </w:tc>
        <w:tc>
          <w:tcPr>
            <w:tcW w:w="1055" w:type="pct"/>
          </w:tcPr>
          <w:p w:rsidR="00FC2FAE" w:rsidRDefault="003C3757" w:rsidP="00C324F3">
            <w:pPr>
              <w:pStyle w:val="Tablewriting"/>
              <w:numPr>
                <w:ilvl w:val="0"/>
                <w:numId w:val="85"/>
              </w:numPr>
              <w:rPr>
                <w:rFonts w:eastAsia="MS Mincho" w:cstheme="minorHAnsi"/>
              </w:rPr>
            </w:pPr>
            <w:r w:rsidRPr="00017AE6">
              <w:rPr>
                <w:rFonts w:eastAsia="MS Mincho" w:cstheme="minorHAnsi"/>
              </w:rPr>
              <w:lastRenderedPageBreak/>
              <w:t>Varenicline 1.0 mg x 2/day for 12 w</w:t>
            </w:r>
            <w:r w:rsidR="00FC2FAE">
              <w:rPr>
                <w:rFonts w:eastAsia="MS Mincho" w:cstheme="minorHAnsi"/>
              </w:rPr>
              <w:t>ee</w:t>
            </w:r>
            <w:r w:rsidRPr="00017AE6">
              <w:rPr>
                <w:rFonts w:eastAsia="MS Mincho" w:cstheme="minorHAnsi"/>
              </w:rPr>
              <w:t>ks, including w</w:t>
            </w:r>
            <w:r w:rsidR="00FC2FAE">
              <w:rPr>
                <w:rFonts w:eastAsia="MS Mincho" w:cstheme="minorHAnsi"/>
              </w:rPr>
              <w:t>ee</w:t>
            </w:r>
            <w:r w:rsidRPr="00017AE6">
              <w:rPr>
                <w:rFonts w:eastAsia="MS Mincho" w:cstheme="minorHAnsi"/>
              </w:rPr>
              <w:t>k 1 at titrated dose</w:t>
            </w:r>
            <w:r w:rsidR="00FC2FAE">
              <w:rPr>
                <w:rFonts w:eastAsia="MS Mincho" w:cstheme="minorHAnsi"/>
              </w:rPr>
              <w:t>.</w:t>
            </w:r>
          </w:p>
          <w:p w:rsidR="003C3757" w:rsidRPr="00017AE6" w:rsidRDefault="003C3757" w:rsidP="00C324F3">
            <w:pPr>
              <w:pStyle w:val="Tablewriting"/>
              <w:numPr>
                <w:ilvl w:val="0"/>
                <w:numId w:val="85"/>
              </w:numPr>
              <w:rPr>
                <w:rFonts w:eastAsia="MS Mincho" w:cstheme="minorHAnsi"/>
              </w:rPr>
            </w:pPr>
            <w:r w:rsidRPr="00017AE6">
              <w:rPr>
                <w:rFonts w:eastAsia="MS Mincho" w:cstheme="minorHAnsi"/>
              </w:rPr>
              <w:t>Placebo tablets as above</w:t>
            </w:r>
          </w:p>
          <w:p w:rsidR="00FC2FAE" w:rsidRDefault="00FC2FAE" w:rsidP="00A71365">
            <w:pPr>
              <w:pStyle w:val="Tablewriting"/>
              <w:rPr>
                <w:rFonts w:eastAsia="MS Mincho" w:cstheme="minorHAnsi"/>
              </w:rPr>
            </w:pPr>
          </w:p>
          <w:p w:rsidR="00A145FE" w:rsidRDefault="00BF1D74" w:rsidP="00A71365">
            <w:pPr>
              <w:pStyle w:val="Tablewriting"/>
              <w:rPr>
                <w:rFonts w:eastAsia="MS Mincho" w:cstheme="minorHAnsi"/>
              </w:rPr>
            </w:pPr>
            <w:r w:rsidRPr="00CE5740">
              <w:rPr>
                <w:rFonts w:eastAsia="MS Mincho" w:cstheme="minorBidi"/>
                <w:u w:val="single"/>
              </w:rPr>
              <w:t>Common components:</w:t>
            </w:r>
            <w:r>
              <w:rPr>
                <w:rFonts w:eastAsia="MS Mincho" w:cstheme="minorBidi"/>
                <w:u w:val="single"/>
              </w:rPr>
              <w:t xml:space="preserve"> </w:t>
            </w:r>
            <w:r w:rsidR="003C3757" w:rsidRPr="00017AE6">
              <w:rPr>
                <w:rFonts w:eastAsia="MS Mincho" w:cstheme="minorHAnsi"/>
              </w:rPr>
              <w:t>Initial visit by Clinic Co-ordinator of local</w:t>
            </w:r>
            <w:r w:rsidR="00FC2FAE">
              <w:rPr>
                <w:rFonts w:eastAsia="MS Mincho" w:cstheme="minorHAnsi"/>
              </w:rPr>
              <w:t xml:space="preserve"> </w:t>
            </w:r>
            <w:r w:rsidR="003C3757" w:rsidRPr="00017AE6">
              <w:rPr>
                <w:rFonts w:eastAsia="MS Mincho" w:cstheme="minorHAnsi"/>
              </w:rPr>
              <w:t>Tobacco Dependence Program for 5 - 10 min</w:t>
            </w:r>
            <w:r w:rsidR="00A145FE">
              <w:rPr>
                <w:rFonts w:eastAsia="MS Mincho" w:cstheme="minorHAnsi"/>
              </w:rPr>
              <w:t>s</w:t>
            </w:r>
            <w:r w:rsidR="003C3757" w:rsidRPr="00017AE6">
              <w:rPr>
                <w:rFonts w:eastAsia="MS Mincho" w:cstheme="minorHAnsi"/>
              </w:rPr>
              <w:t xml:space="preserve"> counselling</w:t>
            </w:r>
            <w:r w:rsidR="00A145FE">
              <w:rPr>
                <w:rFonts w:eastAsia="MS Mincho" w:cstheme="minorHAnsi"/>
              </w:rPr>
              <w:t>.</w:t>
            </w:r>
            <w:r w:rsidR="003C3757" w:rsidRPr="00017AE6">
              <w:rPr>
                <w:rFonts w:eastAsia="MS Mincho" w:cstheme="minorHAnsi"/>
              </w:rPr>
              <w:t xml:space="preserve"> </w:t>
            </w:r>
          </w:p>
          <w:p w:rsidR="003C3757" w:rsidRPr="00017AE6" w:rsidRDefault="003C3757" w:rsidP="00A71365">
            <w:pPr>
              <w:pStyle w:val="Tablewriting"/>
              <w:rPr>
                <w:rFonts w:eastAsia="MS Mincho" w:cstheme="minorHAnsi"/>
              </w:rPr>
            </w:pPr>
            <w:r w:rsidRPr="00017AE6">
              <w:rPr>
                <w:rFonts w:eastAsia="MS Mincho" w:cstheme="minorHAnsi"/>
              </w:rPr>
              <w:lastRenderedPageBreak/>
              <w:t>Subsequent</w:t>
            </w:r>
            <w:r w:rsidR="00A145FE">
              <w:rPr>
                <w:rFonts w:eastAsia="MS Mincho" w:cstheme="minorHAnsi"/>
              </w:rPr>
              <w:t xml:space="preserve"> </w:t>
            </w:r>
            <w:r w:rsidRPr="00017AE6">
              <w:rPr>
                <w:rFonts w:eastAsia="MS Mincho" w:cstheme="minorHAnsi"/>
              </w:rPr>
              <w:t>sessions of 15 mins post-discharge</w:t>
            </w:r>
            <w:r w:rsidR="00A145FE">
              <w:rPr>
                <w:rFonts w:eastAsia="MS Mincho" w:cstheme="minorHAnsi"/>
              </w:rPr>
              <w:t>.</w:t>
            </w:r>
          </w:p>
          <w:p w:rsidR="00A145FE" w:rsidRDefault="00A145FE" w:rsidP="00A71365">
            <w:pPr>
              <w:pStyle w:val="Tablewriting"/>
              <w:rPr>
                <w:rFonts w:eastAsia="MS Mincho" w:cstheme="minorHAnsi"/>
              </w:rPr>
            </w:pPr>
          </w:p>
          <w:p w:rsidR="00C25F5E" w:rsidRPr="00017AE6" w:rsidRDefault="003C3757" w:rsidP="00A71365">
            <w:pPr>
              <w:pStyle w:val="Tablewriting"/>
              <w:rPr>
                <w:rFonts w:eastAsia="MS Mincho" w:cstheme="minorHAnsi"/>
              </w:rPr>
            </w:pPr>
            <w:r w:rsidRPr="00017AE6">
              <w:rPr>
                <w:rFonts w:eastAsia="MS Mincho" w:cstheme="minorHAnsi"/>
              </w:rPr>
              <w:t>After discharge, data collection sessions at 4, 12 and 26 w</w:t>
            </w:r>
            <w:r w:rsidR="00A145FE">
              <w:rPr>
                <w:rFonts w:eastAsia="MS Mincho" w:cstheme="minorHAnsi"/>
              </w:rPr>
              <w:t>ee</w:t>
            </w:r>
            <w:r w:rsidRPr="00017AE6">
              <w:rPr>
                <w:rFonts w:eastAsia="MS Mincho" w:cstheme="minorHAnsi"/>
              </w:rPr>
              <w:t>ks, + 1 phone call at 2 w</w:t>
            </w:r>
            <w:r w:rsidR="00A145FE">
              <w:rPr>
                <w:rFonts w:eastAsia="MS Mincho" w:cstheme="minorHAnsi"/>
              </w:rPr>
              <w:t>ee</w:t>
            </w:r>
            <w:r w:rsidRPr="00017AE6">
              <w:rPr>
                <w:rFonts w:eastAsia="MS Mincho" w:cstheme="minorHAnsi"/>
              </w:rPr>
              <w:t>ks with research nurse</w:t>
            </w:r>
            <w:r w:rsidR="006874A7">
              <w:rPr>
                <w:rFonts w:eastAsia="MS Mincho" w:cstheme="minorHAnsi"/>
              </w:rPr>
              <w:t>.</w:t>
            </w:r>
          </w:p>
        </w:tc>
        <w:tc>
          <w:tcPr>
            <w:tcW w:w="960" w:type="pct"/>
          </w:tcPr>
          <w:p w:rsidR="005D04F3" w:rsidRPr="005D04F3" w:rsidRDefault="005D04F3" w:rsidP="00A71365">
            <w:pPr>
              <w:pStyle w:val="Tablewriting"/>
              <w:rPr>
                <w:rFonts w:eastAsia="MS Mincho" w:cstheme="minorHAnsi"/>
                <w:u w:val="single"/>
              </w:rPr>
            </w:pPr>
            <w:r w:rsidRPr="005D04F3">
              <w:rPr>
                <w:rFonts w:eastAsia="MS Mincho" w:cstheme="minorHAnsi"/>
                <w:u w:val="single"/>
              </w:rPr>
              <w:lastRenderedPageBreak/>
              <w:t>Efficacy:</w:t>
            </w:r>
          </w:p>
          <w:p w:rsidR="00234C29" w:rsidRPr="00017AE6" w:rsidRDefault="00234C29" w:rsidP="00A71365">
            <w:pPr>
              <w:pStyle w:val="Tablewriting"/>
              <w:rPr>
                <w:rFonts w:eastAsia="MS Mincho" w:cstheme="minorHAnsi"/>
              </w:rPr>
            </w:pPr>
            <w:r w:rsidRPr="00017AE6">
              <w:rPr>
                <w:rFonts w:eastAsia="MS Mincho" w:cstheme="minorHAnsi"/>
              </w:rPr>
              <w:t>Primary outcome: 7-day PPA at 26 w</w:t>
            </w:r>
            <w:r w:rsidR="005D04F3">
              <w:rPr>
                <w:rFonts w:eastAsia="MS Mincho" w:cstheme="minorHAnsi"/>
              </w:rPr>
              <w:t>ee</w:t>
            </w:r>
            <w:r w:rsidRPr="00017AE6">
              <w:rPr>
                <w:rFonts w:eastAsia="MS Mincho" w:cstheme="minorHAnsi"/>
              </w:rPr>
              <w:t>ks</w:t>
            </w:r>
            <w:r w:rsidR="00C72CD1">
              <w:rPr>
                <w:rFonts w:eastAsia="MS Mincho" w:cstheme="minorHAnsi"/>
              </w:rPr>
              <w:t>,</w:t>
            </w:r>
          </w:p>
          <w:p w:rsidR="00C72CD1" w:rsidRDefault="00234C29" w:rsidP="00A71365">
            <w:pPr>
              <w:pStyle w:val="Tablewriting"/>
              <w:rPr>
                <w:rFonts w:eastAsia="MS Mincho" w:cstheme="minorHAnsi"/>
              </w:rPr>
            </w:pPr>
            <w:r w:rsidRPr="00017AE6">
              <w:rPr>
                <w:rFonts w:eastAsia="MS Mincho" w:cstheme="minorHAnsi"/>
              </w:rPr>
              <w:t xml:space="preserve">Secondary outcomes: 7-day PPA at 4, 12 wks. Repeated PPA at 4, 12 and 24 wks. </w:t>
            </w:r>
          </w:p>
          <w:p w:rsidR="00FD677A" w:rsidRDefault="00FD677A" w:rsidP="00A71365">
            <w:pPr>
              <w:pStyle w:val="Tablewriting"/>
              <w:rPr>
                <w:rFonts w:eastAsia="MS Mincho" w:cstheme="minorHAnsi"/>
              </w:rPr>
            </w:pPr>
          </w:p>
          <w:p w:rsidR="00FD677A" w:rsidRDefault="00FD677A" w:rsidP="00A71365">
            <w:pPr>
              <w:pStyle w:val="Tablewriting"/>
              <w:rPr>
                <w:rFonts w:eastAsia="MS Mincho" w:cstheme="minorHAnsi"/>
              </w:rPr>
            </w:pPr>
            <w:r w:rsidRPr="00017AE6">
              <w:rPr>
                <w:rFonts w:eastAsia="MS Mincho" w:cstheme="minorHAnsi"/>
              </w:rPr>
              <w:lastRenderedPageBreak/>
              <w:t xml:space="preserve">Validation: CO validation </w:t>
            </w:r>
            <w:r w:rsidRPr="007563F9">
              <w:rPr>
                <w:rFonts w:eastAsia="MS Mincho" w:cstheme="minorHAnsi"/>
              </w:rPr>
              <w:t>≤</w:t>
            </w:r>
            <w:r w:rsidRPr="00017AE6">
              <w:rPr>
                <w:rFonts w:eastAsia="MS Mincho" w:cstheme="minorHAnsi"/>
              </w:rPr>
              <w:t xml:space="preserve"> 8 ppm. Self-report accepted if unable to attend</w:t>
            </w:r>
            <w:r>
              <w:rPr>
                <w:rFonts w:eastAsia="MS Mincho" w:cstheme="minorHAnsi"/>
              </w:rPr>
              <w:t>.</w:t>
            </w:r>
          </w:p>
          <w:p w:rsidR="00C72CD1" w:rsidRDefault="00C72CD1" w:rsidP="00A71365">
            <w:pPr>
              <w:pStyle w:val="Tablewriting"/>
              <w:rPr>
                <w:rFonts w:eastAsia="MS Mincho" w:cstheme="minorHAnsi"/>
              </w:rPr>
            </w:pPr>
          </w:p>
          <w:p w:rsidR="00846072" w:rsidRDefault="00C72CD1" w:rsidP="00A71365">
            <w:pPr>
              <w:pStyle w:val="Tablewriting"/>
              <w:rPr>
                <w:rFonts w:eastAsia="MS Mincho" w:cstheme="minorHAnsi"/>
              </w:rPr>
            </w:pPr>
            <w:r w:rsidRPr="00C72CD1">
              <w:rPr>
                <w:rFonts w:eastAsia="MS Mincho" w:cstheme="minorHAnsi"/>
                <w:u w:val="single"/>
              </w:rPr>
              <w:t>Safety:</w:t>
            </w:r>
            <w:r>
              <w:rPr>
                <w:rFonts w:eastAsia="MS Mincho" w:cstheme="minorHAnsi"/>
              </w:rPr>
              <w:t xml:space="preserve"> </w:t>
            </w:r>
            <w:r w:rsidR="00234C29" w:rsidRPr="00017AE6">
              <w:rPr>
                <w:rFonts w:eastAsia="MS Mincho" w:cstheme="minorHAnsi"/>
              </w:rPr>
              <w:t>AEs and SAEs</w:t>
            </w:r>
            <w:r w:rsidR="00704B32">
              <w:rPr>
                <w:rFonts w:eastAsia="MS Mincho" w:cstheme="minorHAnsi"/>
              </w:rPr>
              <w:t>.</w:t>
            </w:r>
            <w:r w:rsidR="00846072">
              <w:rPr>
                <w:rFonts w:eastAsia="MS Mincho" w:cstheme="minorHAnsi"/>
              </w:rPr>
              <w:t xml:space="preserve"> </w:t>
            </w:r>
          </w:p>
          <w:p w:rsidR="00846072" w:rsidRDefault="00846072" w:rsidP="00A71365">
            <w:pPr>
              <w:pStyle w:val="Tablewriting"/>
              <w:rPr>
                <w:rFonts w:eastAsia="MS Mincho" w:cstheme="minorHAnsi"/>
              </w:rPr>
            </w:pPr>
          </w:p>
          <w:p w:rsidR="00234C29" w:rsidRPr="00017AE6" w:rsidRDefault="00846072" w:rsidP="00A71365">
            <w:pPr>
              <w:pStyle w:val="Tablewriting"/>
              <w:rPr>
                <w:rFonts w:eastAsia="MS Mincho" w:cstheme="minorHAnsi"/>
              </w:rPr>
            </w:pPr>
            <w:r w:rsidRPr="00846072">
              <w:rPr>
                <w:rFonts w:eastAsia="MS Mincho" w:cstheme="minorHAnsi"/>
                <w:u w:val="single"/>
              </w:rPr>
              <w:t>Other:</w:t>
            </w:r>
            <w:r>
              <w:rPr>
                <w:rFonts w:eastAsia="MS Mincho" w:cstheme="minorHAnsi"/>
              </w:rPr>
              <w:t xml:space="preserve"> W</w:t>
            </w:r>
            <w:r w:rsidR="00234C29" w:rsidRPr="00017AE6">
              <w:rPr>
                <w:rFonts w:eastAsia="MS Mincho" w:cstheme="minorHAnsi"/>
              </w:rPr>
              <w:t>ithdrawal</w:t>
            </w:r>
            <w:r>
              <w:rPr>
                <w:rFonts w:eastAsia="MS Mincho" w:cstheme="minorHAnsi"/>
              </w:rPr>
              <w:t xml:space="preserve"> </w:t>
            </w:r>
            <w:r w:rsidR="00234C29" w:rsidRPr="00017AE6">
              <w:rPr>
                <w:rFonts w:eastAsia="MS Mincho" w:cstheme="minorHAnsi"/>
              </w:rPr>
              <w:t>and craving on MNWS</w:t>
            </w:r>
            <w:r>
              <w:rPr>
                <w:rFonts w:eastAsia="MS Mincho" w:cstheme="minorHAnsi"/>
              </w:rPr>
              <w:t>,</w:t>
            </w:r>
            <w:r w:rsidR="00234C29" w:rsidRPr="00017AE6">
              <w:rPr>
                <w:rFonts w:eastAsia="MS Mincho" w:cstheme="minorHAnsi"/>
              </w:rPr>
              <w:t xml:space="preserve"> motivation</w:t>
            </w:r>
            <w:r>
              <w:rPr>
                <w:rFonts w:eastAsia="MS Mincho" w:cstheme="minorHAnsi"/>
              </w:rPr>
              <w:t>,</w:t>
            </w:r>
            <w:r w:rsidR="00234C29" w:rsidRPr="00017AE6">
              <w:rPr>
                <w:rFonts w:eastAsia="MS Mincho" w:cstheme="minorHAnsi"/>
              </w:rPr>
              <w:t xml:space="preserve"> CPD</w:t>
            </w:r>
            <w:r>
              <w:rPr>
                <w:rFonts w:eastAsia="MS Mincho" w:cstheme="minorHAnsi"/>
              </w:rPr>
              <w:t>,</w:t>
            </w:r>
            <w:r w:rsidR="00234C29" w:rsidRPr="00017AE6">
              <w:rPr>
                <w:rFonts w:eastAsia="MS Mincho" w:cstheme="minorHAnsi"/>
              </w:rPr>
              <w:t xml:space="preserve"> utilisation of OP services</w:t>
            </w:r>
            <w:r w:rsidR="006C7B47">
              <w:rPr>
                <w:rFonts w:eastAsia="MS Mincho" w:cstheme="minorHAnsi"/>
              </w:rPr>
              <w:t>,</w:t>
            </w:r>
            <w:r w:rsidR="00234C29" w:rsidRPr="00017AE6">
              <w:rPr>
                <w:rFonts w:eastAsia="MS Mincho" w:cstheme="minorHAnsi"/>
              </w:rPr>
              <w:t xml:space="preserve"> composite medical outcome</w:t>
            </w:r>
            <w:r w:rsidR="006C7B47">
              <w:rPr>
                <w:rFonts w:eastAsia="MS Mincho" w:cstheme="minorHAnsi"/>
              </w:rPr>
              <w:t>.</w:t>
            </w:r>
          </w:p>
          <w:p w:rsidR="00A10F22" w:rsidRPr="00017AE6" w:rsidRDefault="00A10F22" w:rsidP="00A71365">
            <w:pPr>
              <w:pStyle w:val="Tablewriting"/>
              <w:rPr>
                <w:rFonts w:eastAsia="MS Mincho" w:cstheme="minorHAnsi"/>
              </w:rPr>
            </w:pPr>
          </w:p>
          <w:p w:rsidR="00C25F5E" w:rsidRPr="00017AE6" w:rsidRDefault="00C25F5E"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lastRenderedPageBreak/>
              <w:t xml:space="preserve">Tashkin </w:t>
            </w:r>
            <w:r w:rsidR="00DF0515">
              <w:rPr>
                <w:rFonts w:eastAsia="MS Mincho" w:cstheme="minorHAnsi"/>
              </w:rPr>
              <w:t>(</w:t>
            </w:r>
            <w:r w:rsidRPr="00017AE6">
              <w:rPr>
                <w:rFonts w:eastAsia="MS Mincho" w:cstheme="minorHAnsi"/>
              </w:rPr>
              <w:t>2011</w:t>
            </w:r>
            <w:r w:rsidR="00DF0515">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751343" w:rsidRPr="00017AE6" w:rsidRDefault="00751343" w:rsidP="00A71365">
            <w:pPr>
              <w:pStyle w:val="Tablewriting"/>
              <w:rPr>
                <w:rFonts w:eastAsia="MS Mincho" w:cstheme="minorHAnsi"/>
              </w:rPr>
            </w:pPr>
            <w:r w:rsidRPr="00017AE6">
              <w:rPr>
                <w:rFonts w:eastAsia="MS Mincho" w:cstheme="minorHAnsi"/>
              </w:rPr>
              <w:t>USA (17 centres), Spain (3 centres), France (4 centres), Italy (3 centres)</w:t>
            </w:r>
          </w:p>
          <w:p w:rsidR="00C25F5E" w:rsidRPr="00017AE6" w:rsidRDefault="00751343" w:rsidP="00A71365">
            <w:pPr>
              <w:pStyle w:val="Tablewriting"/>
              <w:rPr>
                <w:rFonts w:eastAsia="MS Mincho" w:cstheme="minorHAnsi"/>
              </w:rPr>
            </w:pPr>
            <w:r w:rsidRPr="00017AE6">
              <w:rPr>
                <w:rFonts w:eastAsia="MS Mincho" w:cstheme="minorHAnsi"/>
              </w:rPr>
              <w:t>Setting: 27 research centres.</w:t>
            </w:r>
          </w:p>
        </w:tc>
        <w:tc>
          <w:tcPr>
            <w:tcW w:w="675" w:type="pct"/>
          </w:tcPr>
          <w:p w:rsidR="00C25F5E" w:rsidRPr="00017AE6" w:rsidRDefault="00C25F5E" w:rsidP="00A71365">
            <w:pPr>
              <w:pStyle w:val="Tablewriting"/>
              <w:rPr>
                <w:rFonts w:eastAsia="MS Mincho" w:cstheme="minorHAnsi"/>
              </w:rPr>
            </w:pPr>
            <w:r w:rsidRPr="00017AE6">
              <w:rPr>
                <w:rFonts w:eastAsia="MS Mincho" w:cstheme="minorHAnsi"/>
              </w:rPr>
              <w:t>N=</w:t>
            </w:r>
            <w:r w:rsidR="00E024C1" w:rsidRPr="00017AE6">
              <w:rPr>
                <w:rFonts w:eastAsia="MS Mincho" w:cstheme="minorHAnsi"/>
              </w:rPr>
              <w:t>504</w:t>
            </w:r>
            <w:r w:rsidR="00CE43C9">
              <w:rPr>
                <w:rFonts w:eastAsia="MS Mincho" w:cstheme="minorHAnsi"/>
              </w:rPr>
              <w:t xml:space="preserve">; </w:t>
            </w:r>
            <w:r w:rsidR="003D02E3">
              <w:rPr>
                <w:rFonts w:eastAsia="MS Mincho" w:cstheme="minorHAnsi"/>
              </w:rPr>
              <w:t>n=250 (</w:t>
            </w:r>
            <w:r w:rsidR="00CE43C9" w:rsidRPr="00017AE6">
              <w:rPr>
                <w:rFonts w:eastAsia="MS Mincho" w:cstheme="minorHAnsi"/>
              </w:rPr>
              <w:t xml:space="preserve">varenicline), </w:t>
            </w:r>
            <w:r w:rsidR="003D02E3">
              <w:rPr>
                <w:rFonts w:eastAsia="MS Mincho" w:cstheme="minorHAnsi"/>
              </w:rPr>
              <w:t>n=254</w:t>
            </w:r>
            <w:r w:rsidR="001906F7">
              <w:rPr>
                <w:rFonts w:eastAsia="MS Mincho" w:cstheme="minorHAnsi"/>
              </w:rPr>
              <w:t xml:space="preserve"> </w:t>
            </w:r>
            <w:r w:rsidR="003D02E3">
              <w:rPr>
                <w:rFonts w:eastAsia="MS Mincho" w:cstheme="minorHAnsi"/>
              </w:rPr>
              <w:t>(</w:t>
            </w:r>
            <w:r w:rsidR="00CE43C9" w:rsidRPr="00017AE6">
              <w:rPr>
                <w:rFonts w:eastAsia="MS Mincho" w:cstheme="minorHAnsi"/>
              </w:rPr>
              <w:t>placebo).</w:t>
            </w:r>
          </w:p>
        </w:tc>
        <w:tc>
          <w:tcPr>
            <w:tcW w:w="853" w:type="pct"/>
          </w:tcPr>
          <w:p w:rsidR="00CE43C9" w:rsidRDefault="00FB56FE" w:rsidP="00A71365">
            <w:pPr>
              <w:pStyle w:val="Tablewriting"/>
              <w:rPr>
                <w:rFonts w:eastAsia="MS Mincho" w:cstheme="minorHAnsi"/>
              </w:rPr>
            </w:pPr>
            <w:r w:rsidRPr="00017AE6">
              <w:rPr>
                <w:rFonts w:eastAsia="MS Mincho" w:cstheme="minorHAnsi"/>
              </w:rPr>
              <w:t>Adult smokers with mild-to-moderate COPD, aged 35+, smoking 10+ CPD, motivated to quit</w:t>
            </w:r>
            <w:r w:rsidR="00CE43C9">
              <w:rPr>
                <w:rFonts w:eastAsia="MS Mincho" w:cstheme="minorHAnsi"/>
              </w:rPr>
              <w:t>.</w:t>
            </w:r>
          </w:p>
          <w:p w:rsidR="00CE43C9" w:rsidRDefault="00CE43C9" w:rsidP="00A71365">
            <w:pPr>
              <w:pStyle w:val="Tablewriting"/>
              <w:rPr>
                <w:rFonts w:eastAsia="MS Mincho" w:cstheme="minorHAnsi"/>
              </w:rPr>
            </w:pPr>
          </w:p>
          <w:p w:rsidR="00FB56FE" w:rsidRPr="00017AE6" w:rsidRDefault="00FB56FE" w:rsidP="00A71365">
            <w:pPr>
              <w:pStyle w:val="Tablewriting"/>
              <w:rPr>
                <w:rFonts w:eastAsia="MS Mincho" w:cstheme="minorHAnsi"/>
              </w:rPr>
            </w:pPr>
            <w:r w:rsidRPr="00017AE6">
              <w:rPr>
                <w:rFonts w:eastAsia="MS Mincho" w:cstheme="minorHAnsi"/>
              </w:rPr>
              <w:t>62% men, mean age 57</w:t>
            </w:r>
            <w:r w:rsidR="00CE43C9">
              <w:rPr>
                <w:rFonts w:eastAsia="MS Mincho" w:cstheme="minorHAnsi"/>
              </w:rPr>
              <w:t xml:space="preserve"> years</w:t>
            </w:r>
            <w:r w:rsidRPr="00017AE6">
              <w:rPr>
                <w:rFonts w:eastAsia="MS Mincho" w:cstheme="minorHAnsi"/>
              </w:rPr>
              <w:t>, CPD 24 - 25, FTND score 5.9 - 6.2</w:t>
            </w:r>
            <w:r w:rsidR="00740830">
              <w:rPr>
                <w:rFonts w:eastAsia="MS Mincho" w:cstheme="minorHAnsi"/>
              </w:rPr>
              <w:t>.</w:t>
            </w:r>
          </w:p>
          <w:p w:rsidR="00740830" w:rsidRDefault="00740830" w:rsidP="00A71365">
            <w:pPr>
              <w:pStyle w:val="Tablewriting"/>
              <w:rPr>
                <w:rFonts w:eastAsia="MS Mincho" w:cstheme="minorHAnsi"/>
              </w:rPr>
            </w:pPr>
          </w:p>
          <w:p w:rsidR="00FB56FE" w:rsidRPr="00017AE6" w:rsidRDefault="00FB56FE" w:rsidP="00A71365">
            <w:pPr>
              <w:pStyle w:val="Tablewriting"/>
              <w:rPr>
                <w:rFonts w:eastAsia="MS Mincho" w:cstheme="minorHAnsi"/>
              </w:rPr>
            </w:pPr>
            <w:r w:rsidRPr="00017AE6">
              <w:rPr>
                <w:rFonts w:eastAsia="MS Mincho" w:cstheme="minorHAnsi"/>
              </w:rPr>
              <w:t>Treatment groups were comparable at baseline</w:t>
            </w:r>
            <w:r w:rsidR="00740830">
              <w:rPr>
                <w:rFonts w:eastAsia="MS Mincho" w:cstheme="minorHAnsi"/>
              </w:rPr>
              <w:t>.</w:t>
            </w:r>
          </w:p>
          <w:p w:rsidR="00FB56FE" w:rsidRPr="00017AE6" w:rsidRDefault="00FB56FE" w:rsidP="00A71365">
            <w:pPr>
              <w:pStyle w:val="Tablewriting"/>
              <w:rPr>
                <w:rFonts w:eastAsia="MS Mincho" w:cstheme="minorHAnsi"/>
              </w:rPr>
            </w:pPr>
          </w:p>
          <w:p w:rsidR="00C25F5E" w:rsidRPr="00017AE6" w:rsidRDefault="00FB56FE" w:rsidP="00A71365">
            <w:pPr>
              <w:pStyle w:val="Tablewriting"/>
              <w:rPr>
                <w:rFonts w:eastAsia="MS Mincho" w:cstheme="minorHAnsi"/>
              </w:rPr>
            </w:pPr>
            <w:r w:rsidRPr="00740830">
              <w:rPr>
                <w:rFonts w:eastAsia="MS Mincho" w:cstheme="minorHAnsi"/>
                <w:u w:val="single"/>
              </w:rPr>
              <w:t>Exclusion criteria:</w:t>
            </w:r>
            <w:r w:rsidRPr="00017AE6">
              <w:rPr>
                <w:rFonts w:eastAsia="MS Mincho" w:cstheme="minorHAnsi"/>
              </w:rPr>
              <w:t xml:space="preserve"> Standard pharmacotherapy trial criteria, + treatment with systemic corticosteroids or hospitalised for COPD in previous 4 w</w:t>
            </w:r>
            <w:r w:rsidR="00740830">
              <w:rPr>
                <w:rFonts w:eastAsia="MS Mincho" w:cstheme="minorHAnsi"/>
              </w:rPr>
              <w:t>ee</w:t>
            </w:r>
            <w:r w:rsidRPr="00017AE6">
              <w:rPr>
                <w:rFonts w:eastAsia="MS Mincho" w:cstheme="minorHAnsi"/>
              </w:rPr>
              <w:t>ks</w:t>
            </w:r>
            <w:r w:rsidR="00740830">
              <w:rPr>
                <w:rFonts w:eastAsia="MS Mincho" w:cstheme="minorHAnsi"/>
              </w:rPr>
              <w:t>.</w:t>
            </w:r>
          </w:p>
        </w:tc>
        <w:tc>
          <w:tcPr>
            <w:tcW w:w="1055" w:type="pct"/>
          </w:tcPr>
          <w:p w:rsidR="008C742A" w:rsidRDefault="00127BA3" w:rsidP="00C324F3">
            <w:pPr>
              <w:pStyle w:val="Tablewriting"/>
              <w:numPr>
                <w:ilvl w:val="0"/>
                <w:numId w:val="86"/>
              </w:numPr>
              <w:rPr>
                <w:rFonts w:eastAsia="MS Mincho" w:cstheme="minorHAnsi"/>
              </w:rPr>
            </w:pPr>
            <w:r w:rsidRPr="00017AE6">
              <w:rPr>
                <w:rFonts w:eastAsia="MS Mincho" w:cstheme="minorHAnsi"/>
              </w:rPr>
              <w:t>Varenicline 1.0 mg x 2/day for 12 w</w:t>
            </w:r>
            <w:r w:rsidR="008C742A">
              <w:rPr>
                <w:rFonts w:eastAsia="MS Mincho" w:cstheme="minorHAnsi"/>
              </w:rPr>
              <w:t>ee</w:t>
            </w:r>
            <w:r w:rsidRPr="00017AE6">
              <w:rPr>
                <w:rFonts w:eastAsia="MS Mincho" w:cstheme="minorHAnsi"/>
              </w:rPr>
              <w:t xml:space="preserve">ks, preceded by </w:t>
            </w:r>
            <w:r w:rsidR="008C742A" w:rsidRPr="00017AE6">
              <w:rPr>
                <w:rFonts w:eastAsia="MS Mincho" w:cstheme="minorHAnsi"/>
              </w:rPr>
              <w:t>1-week</w:t>
            </w:r>
            <w:r w:rsidRPr="00017AE6">
              <w:rPr>
                <w:rFonts w:eastAsia="MS Mincho" w:cstheme="minorHAnsi"/>
              </w:rPr>
              <w:t xml:space="preserve"> titrated dose</w:t>
            </w:r>
            <w:r w:rsidR="008C742A">
              <w:rPr>
                <w:rFonts w:eastAsia="MS Mincho" w:cstheme="minorHAnsi"/>
              </w:rPr>
              <w:t>.</w:t>
            </w:r>
          </w:p>
          <w:p w:rsidR="00127BA3" w:rsidRPr="00017AE6" w:rsidRDefault="00127BA3" w:rsidP="00C324F3">
            <w:pPr>
              <w:pStyle w:val="Tablewriting"/>
              <w:numPr>
                <w:ilvl w:val="0"/>
                <w:numId w:val="86"/>
              </w:numPr>
              <w:rPr>
                <w:rFonts w:eastAsia="MS Mincho" w:cstheme="minorHAnsi"/>
              </w:rPr>
            </w:pPr>
            <w:r w:rsidRPr="00017AE6">
              <w:rPr>
                <w:rFonts w:eastAsia="MS Mincho" w:cstheme="minorHAnsi"/>
              </w:rPr>
              <w:t>Placebo tablets as above</w:t>
            </w:r>
            <w:r w:rsidR="008C742A">
              <w:rPr>
                <w:rFonts w:eastAsia="MS Mincho" w:cstheme="minorHAnsi"/>
              </w:rPr>
              <w:t>.</w:t>
            </w:r>
          </w:p>
          <w:p w:rsidR="008C742A" w:rsidRDefault="008C742A" w:rsidP="00A71365">
            <w:pPr>
              <w:pStyle w:val="Tablewriting"/>
              <w:rPr>
                <w:rFonts w:eastAsia="MS Mincho" w:cstheme="minorHAnsi"/>
              </w:rPr>
            </w:pPr>
          </w:p>
          <w:p w:rsidR="008C742A" w:rsidRDefault="008C742A" w:rsidP="00A71365">
            <w:pPr>
              <w:pStyle w:val="Tablewriting"/>
              <w:rPr>
                <w:rFonts w:eastAsia="MS Mincho" w:cstheme="minorHAnsi"/>
              </w:rPr>
            </w:pPr>
          </w:p>
          <w:p w:rsidR="00D339B2" w:rsidRDefault="00BF1D74" w:rsidP="00A71365">
            <w:pPr>
              <w:pStyle w:val="Tablewriting"/>
              <w:rPr>
                <w:rFonts w:eastAsia="MS Mincho" w:cstheme="minorHAnsi"/>
              </w:rPr>
            </w:pPr>
            <w:r w:rsidRPr="06BFFAED">
              <w:rPr>
                <w:rFonts w:eastAsia="MS Mincho" w:cstheme="minorBidi"/>
                <w:u w:val="single"/>
              </w:rPr>
              <w:t>Common components:</w:t>
            </w:r>
            <w:r>
              <w:rPr>
                <w:rFonts w:eastAsia="MS Mincho" w:cstheme="minorBidi"/>
                <w:u w:val="single"/>
              </w:rPr>
              <w:t xml:space="preserve"> </w:t>
            </w:r>
            <w:r w:rsidR="00127BA3" w:rsidRPr="00017AE6">
              <w:rPr>
                <w:rFonts w:eastAsia="MS Mincho" w:cstheme="minorHAnsi"/>
              </w:rPr>
              <w:t>Both groups received SC educational booklet, + brief (k 10mins) counselling at weekly clinic visits</w:t>
            </w:r>
            <w:r w:rsidR="00D339B2">
              <w:rPr>
                <w:rFonts w:eastAsia="MS Mincho" w:cstheme="minorHAnsi"/>
              </w:rPr>
              <w:t xml:space="preserve"> </w:t>
            </w:r>
            <w:r w:rsidR="00127BA3" w:rsidRPr="00017AE6">
              <w:rPr>
                <w:rFonts w:eastAsia="MS Mincho" w:cstheme="minorHAnsi"/>
              </w:rPr>
              <w:t xml:space="preserve">throughout treatment phase, and phone call 3 days post-TQD. </w:t>
            </w:r>
          </w:p>
          <w:p w:rsidR="00127BA3" w:rsidRPr="00017AE6" w:rsidRDefault="00127BA3" w:rsidP="00A71365">
            <w:pPr>
              <w:pStyle w:val="Tablewriting"/>
              <w:rPr>
                <w:rFonts w:eastAsia="MS Mincho" w:cstheme="minorHAnsi"/>
              </w:rPr>
            </w:pPr>
            <w:r w:rsidRPr="00017AE6">
              <w:rPr>
                <w:rFonts w:eastAsia="MS Mincho" w:cstheme="minorHAnsi"/>
              </w:rPr>
              <w:t>At each visit smoking status reported</w:t>
            </w:r>
          </w:p>
          <w:p w:rsidR="00127BA3" w:rsidRPr="00017AE6" w:rsidRDefault="00127BA3" w:rsidP="00A71365">
            <w:pPr>
              <w:pStyle w:val="Tablewriting"/>
              <w:rPr>
                <w:rFonts w:eastAsia="MS Mincho" w:cstheme="minorHAnsi"/>
              </w:rPr>
            </w:pPr>
            <w:r w:rsidRPr="00017AE6">
              <w:rPr>
                <w:rFonts w:eastAsia="MS Mincho" w:cstheme="minorHAnsi"/>
              </w:rPr>
              <w:t>and CO verified; throughout treatment and at w</w:t>
            </w:r>
            <w:r w:rsidR="00D339B2">
              <w:rPr>
                <w:rFonts w:eastAsia="MS Mincho" w:cstheme="minorHAnsi"/>
              </w:rPr>
              <w:t>ee</w:t>
            </w:r>
            <w:r w:rsidRPr="00017AE6">
              <w:rPr>
                <w:rFonts w:eastAsia="MS Mincho" w:cstheme="minorHAnsi"/>
              </w:rPr>
              <w:t>k 52 lung function, respiratory symptoms, weight, BP,</w:t>
            </w:r>
          </w:p>
          <w:p w:rsidR="00127BA3" w:rsidRPr="00017AE6" w:rsidRDefault="00127BA3" w:rsidP="00A71365">
            <w:pPr>
              <w:pStyle w:val="Tablewriting"/>
              <w:rPr>
                <w:rFonts w:eastAsia="MS Mincho" w:cstheme="minorHAnsi"/>
              </w:rPr>
            </w:pPr>
            <w:r w:rsidRPr="00017AE6">
              <w:rPr>
                <w:rFonts w:eastAsia="MS Mincho" w:cstheme="minorHAnsi"/>
              </w:rPr>
              <w:t>pulse, temperature, ECGs, haematology and serum chemistry assessed, + adverse events</w:t>
            </w:r>
          </w:p>
          <w:p w:rsidR="00D339B2" w:rsidRDefault="00D339B2" w:rsidP="00A71365">
            <w:pPr>
              <w:pStyle w:val="Tablewriting"/>
              <w:rPr>
                <w:rFonts w:eastAsia="MS Mincho" w:cstheme="minorHAnsi"/>
              </w:rPr>
            </w:pPr>
          </w:p>
          <w:p w:rsidR="00127BA3" w:rsidRPr="00017AE6" w:rsidRDefault="00127BA3" w:rsidP="00A71365">
            <w:pPr>
              <w:pStyle w:val="Tablewriting"/>
              <w:rPr>
                <w:rFonts w:eastAsia="MS Mincho" w:cstheme="minorHAnsi"/>
              </w:rPr>
            </w:pPr>
            <w:r w:rsidRPr="00017AE6">
              <w:rPr>
                <w:rFonts w:eastAsia="MS Mincho" w:cstheme="minorHAnsi"/>
              </w:rPr>
              <w:t>Follow-up phase: smoking status + CO measured at w</w:t>
            </w:r>
            <w:r w:rsidR="00D339B2">
              <w:rPr>
                <w:rFonts w:eastAsia="MS Mincho" w:cstheme="minorHAnsi"/>
              </w:rPr>
              <w:t>ee</w:t>
            </w:r>
            <w:r w:rsidRPr="00017AE6">
              <w:rPr>
                <w:rFonts w:eastAsia="MS Mincho" w:cstheme="minorHAnsi"/>
              </w:rPr>
              <w:t>ks 13, 16, 24, 32, 40, 48 and 52; counselling and</w:t>
            </w:r>
          </w:p>
          <w:p w:rsidR="00C25F5E" w:rsidRPr="00017AE6" w:rsidRDefault="00127BA3" w:rsidP="00A71365">
            <w:pPr>
              <w:pStyle w:val="Tablewriting"/>
              <w:rPr>
                <w:rFonts w:eastAsia="MS Mincho" w:cstheme="minorHAnsi"/>
              </w:rPr>
            </w:pPr>
            <w:r w:rsidRPr="00017AE6">
              <w:rPr>
                <w:rFonts w:eastAsia="MS Mincho" w:cstheme="minorHAnsi"/>
              </w:rPr>
              <w:t>self-reported status by phone at w</w:t>
            </w:r>
            <w:r w:rsidR="00D339B2">
              <w:rPr>
                <w:rFonts w:eastAsia="MS Mincho" w:cstheme="minorHAnsi"/>
              </w:rPr>
              <w:t>ee</w:t>
            </w:r>
            <w:r w:rsidRPr="00017AE6">
              <w:rPr>
                <w:rFonts w:eastAsia="MS Mincho" w:cstheme="minorHAnsi"/>
              </w:rPr>
              <w:t>ks 14, 20, 28, 36 and 44</w:t>
            </w:r>
            <w:r w:rsidR="00D339B2">
              <w:rPr>
                <w:rFonts w:eastAsia="MS Mincho" w:cstheme="minorHAnsi"/>
              </w:rPr>
              <w:t>.</w:t>
            </w:r>
          </w:p>
        </w:tc>
        <w:tc>
          <w:tcPr>
            <w:tcW w:w="960" w:type="pct"/>
          </w:tcPr>
          <w:p w:rsidR="00555E7B" w:rsidRPr="00555E7B" w:rsidRDefault="00555E7B" w:rsidP="00A71365">
            <w:pPr>
              <w:pStyle w:val="Tablewriting"/>
              <w:rPr>
                <w:rFonts w:eastAsia="MS Mincho" w:cstheme="minorHAnsi"/>
                <w:u w:val="single"/>
              </w:rPr>
            </w:pPr>
            <w:r w:rsidRPr="00555E7B">
              <w:rPr>
                <w:rFonts w:eastAsia="MS Mincho" w:cstheme="minorHAnsi"/>
                <w:u w:val="single"/>
              </w:rPr>
              <w:lastRenderedPageBreak/>
              <w:t>Efficacy:</w:t>
            </w:r>
          </w:p>
          <w:p w:rsidR="00127BA3" w:rsidRPr="00017AE6" w:rsidRDefault="00127BA3" w:rsidP="00A71365">
            <w:pPr>
              <w:pStyle w:val="Tablewriting"/>
              <w:rPr>
                <w:rFonts w:eastAsia="MS Mincho" w:cstheme="minorHAnsi"/>
              </w:rPr>
            </w:pPr>
            <w:r w:rsidRPr="00017AE6">
              <w:rPr>
                <w:rFonts w:eastAsia="MS Mincho" w:cstheme="minorHAnsi"/>
              </w:rPr>
              <w:t>Primary outcome: CO-validated CAR at w</w:t>
            </w:r>
            <w:r w:rsidR="00555E7B">
              <w:rPr>
                <w:rFonts w:eastAsia="MS Mincho" w:cstheme="minorHAnsi"/>
              </w:rPr>
              <w:t>ee</w:t>
            </w:r>
            <w:r w:rsidRPr="00017AE6">
              <w:rPr>
                <w:rFonts w:eastAsia="MS Mincho" w:cstheme="minorHAnsi"/>
              </w:rPr>
              <w:t xml:space="preserve">ks </w:t>
            </w:r>
            <w:r w:rsidR="00555E7B">
              <w:rPr>
                <w:rFonts w:eastAsia="MS Mincho" w:cstheme="minorHAnsi"/>
              </w:rPr>
              <w:t>(</w:t>
            </w:r>
            <w:r w:rsidRPr="00017AE6">
              <w:rPr>
                <w:rFonts w:eastAsia="MS Mincho" w:cstheme="minorHAnsi"/>
              </w:rPr>
              <w:t xml:space="preserve">9 </w:t>
            </w:r>
            <w:r w:rsidR="00555E7B">
              <w:rPr>
                <w:rFonts w:eastAsia="MS Mincho" w:cstheme="minorHAnsi"/>
              </w:rPr>
              <w:t>–</w:t>
            </w:r>
            <w:r w:rsidRPr="00017AE6">
              <w:rPr>
                <w:rFonts w:eastAsia="MS Mincho" w:cstheme="minorHAnsi"/>
              </w:rPr>
              <w:t xml:space="preserve"> 12</w:t>
            </w:r>
            <w:r w:rsidR="00555E7B">
              <w:rPr>
                <w:rFonts w:eastAsia="MS Mincho" w:cstheme="minorHAnsi"/>
              </w:rPr>
              <w:t>),</w:t>
            </w:r>
          </w:p>
          <w:p w:rsidR="00127BA3" w:rsidRPr="00017AE6" w:rsidRDefault="00127BA3" w:rsidP="00A71365">
            <w:pPr>
              <w:pStyle w:val="Tablewriting"/>
              <w:rPr>
                <w:rFonts w:eastAsia="MS Mincho" w:cstheme="minorHAnsi"/>
              </w:rPr>
            </w:pPr>
            <w:r w:rsidRPr="00017AE6">
              <w:rPr>
                <w:rFonts w:eastAsia="MS Mincho" w:cstheme="minorHAnsi"/>
              </w:rPr>
              <w:t>Secondary outcomes: CO-validated CAR at w</w:t>
            </w:r>
            <w:r w:rsidR="006D2FEB">
              <w:rPr>
                <w:rFonts w:eastAsia="MS Mincho" w:cstheme="minorHAnsi"/>
              </w:rPr>
              <w:t>ee</w:t>
            </w:r>
            <w:r w:rsidRPr="00017AE6">
              <w:rPr>
                <w:rFonts w:eastAsia="MS Mincho" w:cstheme="minorHAnsi"/>
              </w:rPr>
              <w:t xml:space="preserve">ks </w:t>
            </w:r>
            <w:r w:rsidR="006D2FEB">
              <w:rPr>
                <w:rFonts w:eastAsia="MS Mincho" w:cstheme="minorHAnsi"/>
              </w:rPr>
              <w:t>(</w:t>
            </w:r>
            <w:r w:rsidRPr="00017AE6">
              <w:rPr>
                <w:rFonts w:eastAsia="MS Mincho" w:cstheme="minorHAnsi"/>
              </w:rPr>
              <w:t xml:space="preserve">9 </w:t>
            </w:r>
            <w:r w:rsidR="006D2FEB">
              <w:rPr>
                <w:rFonts w:eastAsia="MS Mincho" w:cstheme="minorHAnsi"/>
              </w:rPr>
              <w:t>–</w:t>
            </w:r>
            <w:r w:rsidRPr="00017AE6">
              <w:rPr>
                <w:rFonts w:eastAsia="MS Mincho" w:cstheme="minorHAnsi"/>
              </w:rPr>
              <w:t xml:space="preserve"> 52</w:t>
            </w:r>
            <w:r w:rsidR="006D2FEB">
              <w:rPr>
                <w:rFonts w:eastAsia="MS Mincho" w:cstheme="minorHAnsi"/>
              </w:rPr>
              <w:t>)</w:t>
            </w:r>
            <w:r w:rsidRPr="00017AE6">
              <w:rPr>
                <w:rFonts w:eastAsia="MS Mincho" w:cstheme="minorHAnsi"/>
              </w:rPr>
              <w:t xml:space="preserve"> and </w:t>
            </w:r>
            <w:r w:rsidR="006D2FEB">
              <w:rPr>
                <w:rFonts w:eastAsia="MS Mincho" w:cstheme="minorHAnsi"/>
              </w:rPr>
              <w:t>(</w:t>
            </w:r>
            <w:r w:rsidRPr="00017AE6">
              <w:rPr>
                <w:rFonts w:eastAsia="MS Mincho" w:cstheme="minorHAnsi"/>
              </w:rPr>
              <w:t xml:space="preserve">9 </w:t>
            </w:r>
            <w:r w:rsidR="006D2FEB">
              <w:rPr>
                <w:rFonts w:eastAsia="MS Mincho" w:cstheme="minorHAnsi"/>
              </w:rPr>
              <w:t>–</w:t>
            </w:r>
            <w:r w:rsidRPr="00017AE6">
              <w:rPr>
                <w:rFonts w:eastAsia="MS Mincho" w:cstheme="minorHAnsi"/>
              </w:rPr>
              <w:t xml:space="preserve"> 24</w:t>
            </w:r>
            <w:r w:rsidR="006D2FEB">
              <w:rPr>
                <w:rFonts w:eastAsia="MS Mincho" w:cstheme="minorHAnsi"/>
              </w:rPr>
              <w:t>)</w:t>
            </w:r>
            <w:r w:rsidRPr="00017AE6">
              <w:rPr>
                <w:rFonts w:eastAsia="MS Mincho" w:cstheme="minorHAnsi"/>
              </w:rPr>
              <w:t>; 7-day PPA at w</w:t>
            </w:r>
            <w:r w:rsidR="006D2FEB">
              <w:rPr>
                <w:rFonts w:eastAsia="MS Mincho" w:cstheme="minorHAnsi"/>
              </w:rPr>
              <w:t>ee</w:t>
            </w:r>
            <w:r w:rsidRPr="00017AE6">
              <w:rPr>
                <w:rFonts w:eastAsia="MS Mincho" w:cstheme="minorHAnsi"/>
              </w:rPr>
              <w:t>ks 12, 24 and 52</w:t>
            </w:r>
            <w:r w:rsidR="006D2FEB">
              <w:rPr>
                <w:rFonts w:eastAsia="MS Mincho" w:cstheme="minorHAnsi"/>
              </w:rPr>
              <w:t>.</w:t>
            </w:r>
          </w:p>
          <w:p w:rsidR="006D2FEB" w:rsidRPr="00017AE6" w:rsidRDefault="006D2FEB" w:rsidP="00A71365">
            <w:pPr>
              <w:pStyle w:val="Tablewriting"/>
              <w:rPr>
                <w:rFonts w:eastAsia="MS Mincho" w:cstheme="minorHAnsi"/>
              </w:rPr>
            </w:pPr>
          </w:p>
          <w:p w:rsidR="00FD677A" w:rsidRPr="00017AE6" w:rsidRDefault="00FD677A" w:rsidP="00A71365">
            <w:pPr>
              <w:pStyle w:val="Tablewriting"/>
              <w:rPr>
                <w:rFonts w:eastAsia="MS Mincho" w:cstheme="minorHAnsi"/>
              </w:rPr>
            </w:pPr>
            <w:r w:rsidRPr="00017AE6">
              <w:rPr>
                <w:rFonts w:eastAsia="MS Mincho" w:cstheme="minorHAnsi"/>
              </w:rPr>
              <w:t xml:space="preserve">Validation was by expired CO </w:t>
            </w:r>
            <w:r w:rsidRPr="007563F9">
              <w:rPr>
                <w:rFonts w:eastAsia="MS Mincho" w:cstheme="minorHAnsi"/>
              </w:rPr>
              <w:t>≤</w:t>
            </w:r>
            <w:r w:rsidRPr="00017AE6">
              <w:rPr>
                <w:rFonts w:eastAsia="MS Mincho" w:cstheme="minorHAnsi"/>
              </w:rPr>
              <w:t xml:space="preserve"> 10 ppm</w:t>
            </w:r>
            <w:r>
              <w:rPr>
                <w:rFonts w:eastAsia="MS Mincho" w:cstheme="minorHAnsi"/>
              </w:rPr>
              <w:t>.</w:t>
            </w:r>
          </w:p>
          <w:p w:rsidR="00FD677A" w:rsidRDefault="00FD677A" w:rsidP="00A71365">
            <w:pPr>
              <w:pStyle w:val="Tablewriting"/>
              <w:rPr>
                <w:rFonts w:eastAsia="MS Mincho" w:cstheme="minorHAnsi"/>
                <w:u w:val="single"/>
              </w:rPr>
            </w:pPr>
          </w:p>
          <w:p w:rsidR="00127BA3" w:rsidRPr="00017AE6" w:rsidRDefault="00B62EBB" w:rsidP="00A71365">
            <w:pPr>
              <w:pStyle w:val="Tablewriting"/>
              <w:rPr>
                <w:rFonts w:eastAsia="MS Mincho" w:cstheme="minorHAnsi"/>
              </w:rPr>
            </w:pPr>
            <w:r w:rsidRPr="00B62EBB">
              <w:rPr>
                <w:rFonts w:eastAsia="MS Mincho" w:cstheme="minorHAnsi"/>
                <w:u w:val="single"/>
              </w:rPr>
              <w:t>Safety</w:t>
            </w:r>
            <w:r w:rsidR="00127BA3" w:rsidRPr="00B62EBB">
              <w:rPr>
                <w:rFonts w:eastAsia="MS Mincho" w:cstheme="minorHAnsi"/>
                <w:u w:val="single"/>
              </w:rPr>
              <w:t>:</w:t>
            </w:r>
            <w:r w:rsidR="00127BA3" w:rsidRPr="00017AE6">
              <w:rPr>
                <w:rFonts w:eastAsia="MS Mincho" w:cstheme="minorHAnsi"/>
              </w:rPr>
              <w:t xml:space="preserve"> Adverse events</w:t>
            </w:r>
            <w:r>
              <w:rPr>
                <w:rFonts w:eastAsia="MS Mincho" w:cstheme="minorHAnsi"/>
              </w:rPr>
              <w:t>,</w:t>
            </w:r>
            <w:r w:rsidR="00127BA3" w:rsidRPr="00017AE6">
              <w:rPr>
                <w:rFonts w:eastAsia="MS Mincho" w:cstheme="minorHAnsi"/>
              </w:rPr>
              <w:t xml:space="preserve"> serious adverse events</w:t>
            </w:r>
            <w:r>
              <w:rPr>
                <w:rFonts w:eastAsia="MS Mincho" w:cstheme="minorHAnsi"/>
              </w:rPr>
              <w:t>,</w:t>
            </w:r>
            <w:r w:rsidR="00127BA3" w:rsidRPr="00017AE6">
              <w:rPr>
                <w:rFonts w:eastAsia="MS Mincho" w:cstheme="minorHAnsi"/>
              </w:rPr>
              <w:t xml:space="preserve"> weight change</w:t>
            </w:r>
            <w:r>
              <w:rPr>
                <w:rFonts w:eastAsia="MS Mincho" w:cstheme="minorHAnsi"/>
              </w:rPr>
              <w:t>.</w:t>
            </w:r>
          </w:p>
          <w:p w:rsidR="00B62EBB" w:rsidRPr="00017AE6" w:rsidRDefault="00B62EBB" w:rsidP="00A71365">
            <w:pPr>
              <w:pStyle w:val="Tablewriting"/>
              <w:rPr>
                <w:rFonts w:eastAsia="MS Mincho" w:cstheme="minorHAnsi"/>
              </w:rPr>
            </w:pPr>
          </w:p>
          <w:p w:rsidR="00B62EBB" w:rsidRPr="00017AE6" w:rsidRDefault="00B62EBB" w:rsidP="00A71365">
            <w:pPr>
              <w:pStyle w:val="Tablewriting"/>
              <w:rPr>
                <w:rFonts w:eastAsia="MS Mincho" w:cstheme="minorHAnsi"/>
              </w:rPr>
            </w:pPr>
          </w:p>
          <w:p w:rsidR="00C25F5E" w:rsidRPr="00017AE6" w:rsidRDefault="00C25F5E"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t xml:space="preserve">Tsai </w:t>
            </w:r>
            <w:r w:rsidR="00DF0515">
              <w:rPr>
                <w:rFonts w:eastAsia="MS Mincho" w:cstheme="minorHAnsi"/>
              </w:rPr>
              <w:t>(</w:t>
            </w:r>
            <w:r w:rsidRPr="00017AE6">
              <w:rPr>
                <w:rFonts w:eastAsia="MS Mincho" w:cstheme="minorHAnsi"/>
              </w:rPr>
              <w:t>2007</w:t>
            </w:r>
            <w:r w:rsidR="00DF0515">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C55463" w:rsidP="00A71365">
            <w:pPr>
              <w:pStyle w:val="Tablewriting"/>
              <w:rPr>
                <w:rFonts w:eastAsia="MS Mincho" w:cstheme="minorHAnsi"/>
              </w:rPr>
            </w:pPr>
            <w:r w:rsidRPr="00017AE6">
              <w:rPr>
                <w:rFonts w:eastAsia="MS Mincho" w:cstheme="minorHAnsi"/>
              </w:rPr>
              <w:t>Taiwan and Korea</w:t>
            </w:r>
          </w:p>
        </w:tc>
        <w:tc>
          <w:tcPr>
            <w:tcW w:w="675" w:type="pct"/>
          </w:tcPr>
          <w:p w:rsidR="00E846DE" w:rsidRPr="00017AE6" w:rsidRDefault="00C25F5E" w:rsidP="00A71365">
            <w:pPr>
              <w:pStyle w:val="Tablewriting"/>
              <w:rPr>
                <w:rFonts w:eastAsia="MS Mincho" w:cstheme="minorHAnsi"/>
              </w:rPr>
            </w:pPr>
            <w:r w:rsidRPr="00017AE6">
              <w:rPr>
                <w:rFonts w:eastAsia="MS Mincho" w:cstheme="minorHAnsi"/>
              </w:rPr>
              <w:t>N=</w:t>
            </w:r>
            <w:r w:rsidR="00C55463" w:rsidRPr="00017AE6">
              <w:rPr>
                <w:rFonts w:eastAsia="MS Mincho" w:cstheme="minorHAnsi"/>
              </w:rPr>
              <w:t>250</w:t>
            </w:r>
            <w:r w:rsidR="00E846DE">
              <w:rPr>
                <w:rFonts w:eastAsia="MS Mincho" w:cstheme="minorHAnsi"/>
              </w:rPr>
              <w:t xml:space="preserve">; </w:t>
            </w:r>
            <w:r w:rsidR="00E846DE" w:rsidRPr="00017AE6">
              <w:rPr>
                <w:rFonts w:eastAsia="MS Mincho" w:cstheme="minorHAnsi"/>
              </w:rPr>
              <w:t>allocated to varenicline (126), or placebo</w:t>
            </w:r>
          </w:p>
          <w:p w:rsidR="00C25F5E" w:rsidRPr="00017AE6" w:rsidRDefault="00E846DE" w:rsidP="00A71365">
            <w:pPr>
              <w:pStyle w:val="Tablewriting"/>
              <w:rPr>
                <w:rFonts w:eastAsia="MS Mincho" w:cstheme="minorHAnsi"/>
              </w:rPr>
            </w:pPr>
            <w:r w:rsidRPr="00017AE6">
              <w:rPr>
                <w:rFonts w:eastAsia="MS Mincho" w:cstheme="minorHAnsi"/>
              </w:rPr>
              <w:t>(124).</w:t>
            </w:r>
          </w:p>
        </w:tc>
        <w:tc>
          <w:tcPr>
            <w:tcW w:w="853" w:type="pct"/>
          </w:tcPr>
          <w:p w:rsidR="00E846DE" w:rsidRDefault="00C55463" w:rsidP="00A71365">
            <w:pPr>
              <w:pStyle w:val="Tablewriting"/>
              <w:rPr>
                <w:rFonts w:eastAsia="MS Mincho" w:cstheme="minorHAnsi"/>
              </w:rPr>
            </w:pPr>
            <w:r w:rsidRPr="00017AE6">
              <w:rPr>
                <w:rFonts w:eastAsia="MS Mincho" w:cstheme="minorHAnsi"/>
              </w:rPr>
              <w:t>Healthy adult volunteers,</w:t>
            </w:r>
            <w:r w:rsidR="00E846DE">
              <w:rPr>
                <w:rFonts w:eastAsia="MS Mincho" w:cstheme="minorHAnsi"/>
              </w:rPr>
              <w:t xml:space="preserve"> </w:t>
            </w:r>
            <w:r w:rsidRPr="00017AE6">
              <w:rPr>
                <w:rFonts w:eastAsia="MS Mincho" w:cstheme="minorHAnsi"/>
              </w:rPr>
              <w:t xml:space="preserve">motivated to quit, aged 18 </w:t>
            </w:r>
            <w:r w:rsidR="00E846DE">
              <w:rPr>
                <w:rFonts w:eastAsia="MS Mincho" w:cstheme="minorHAnsi"/>
              </w:rPr>
              <w:t>–</w:t>
            </w:r>
            <w:r w:rsidRPr="00017AE6">
              <w:rPr>
                <w:rFonts w:eastAsia="MS Mincho" w:cstheme="minorHAnsi"/>
              </w:rPr>
              <w:t xml:space="preserve"> 75</w:t>
            </w:r>
            <w:r w:rsidR="00E846DE">
              <w:rPr>
                <w:rFonts w:eastAsia="MS Mincho" w:cstheme="minorHAnsi"/>
              </w:rPr>
              <w:t xml:space="preserve"> years.</w:t>
            </w:r>
          </w:p>
          <w:p w:rsidR="00E846DE" w:rsidRDefault="00E846DE" w:rsidP="00A71365">
            <w:pPr>
              <w:pStyle w:val="Tablewriting"/>
              <w:rPr>
                <w:rFonts w:eastAsia="MS Mincho" w:cstheme="minorHAnsi"/>
              </w:rPr>
            </w:pPr>
          </w:p>
          <w:p w:rsidR="00D907E5" w:rsidRDefault="00C55463" w:rsidP="00A71365">
            <w:pPr>
              <w:pStyle w:val="Tablewriting"/>
              <w:rPr>
                <w:rFonts w:eastAsia="MS Mincho" w:cstheme="minorHAnsi"/>
              </w:rPr>
            </w:pPr>
            <w:r w:rsidRPr="00017AE6">
              <w:rPr>
                <w:rFonts w:eastAsia="MS Mincho" w:cstheme="minorHAnsi"/>
              </w:rPr>
              <w:t>89% men, mean age 40.3</w:t>
            </w:r>
            <w:r w:rsidR="00D907E5">
              <w:rPr>
                <w:rFonts w:eastAsia="MS Mincho" w:cstheme="minorHAnsi"/>
              </w:rPr>
              <w:t xml:space="preserve"> years</w:t>
            </w:r>
            <w:r w:rsidRPr="00017AE6">
              <w:rPr>
                <w:rFonts w:eastAsia="MS Mincho" w:cstheme="minorHAnsi"/>
              </w:rPr>
              <w:t>, BMI &lt; 15 or &gt; 38 or weight &lt; 45.5 kg, mean CPD 24, mean FTND</w:t>
            </w:r>
            <w:r w:rsidR="00D907E5">
              <w:rPr>
                <w:rFonts w:eastAsia="MS Mincho" w:cstheme="minorHAnsi"/>
              </w:rPr>
              <w:t xml:space="preserve"> </w:t>
            </w:r>
            <w:r w:rsidRPr="00017AE6">
              <w:rPr>
                <w:rFonts w:eastAsia="MS Mincho" w:cstheme="minorHAnsi"/>
              </w:rPr>
              <w:t>score</w:t>
            </w:r>
            <w:r w:rsidR="00D907E5">
              <w:rPr>
                <w:rFonts w:eastAsia="MS Mincho" w:cstheme="minorHAnsi"/>
              </w:rPr>
              <w:t xml:space="preserve"> </w:t>
            </w:r>
            <w:r w:rsidRPr="00017AE6">
              <w:rPr>
                <w:rFonts w:eastAsia="MS Mincho" w:cstheme="minorHAnsi"/>
              </w:rPr>
              <w:t xml:space="preserve">5.1. </w:t>
            </w:r>
          </w:p>
          <w:p w:rsidR="00D907E5" w:rsidRDefault="00D907E5" w:rsidP="00A71365">
            <w:pPr>
              <w:pStyle w:val="Tablewriting"/>
              <w:rPr>
                <w:rFonts w:eastAsia="MS Mincho" w:cstheme="minorHAnsi"/>
              </w:rPr>
            </w:pPr>
          </w:p>
          <w:p w:rsidR="00C55463" w:rsidRPr="00017AE6" w:rsidRDefault="00C55463" w:rsidP="00A71365">
            <w:pPr>
              <w:pStyle w:val="Tablewriting"/>
              <w:rPr>
                <w:rFonts w:eastAsia="MS Mincho" w:cstheme="minorHAnsi"/>
              </w:rPr>
            </w:pPr>
            <w:r w:rsidRPr="00017AE6">
              <w:rPr>
                <w:rFonts w:eastAsia="MS Mincho" w:cstheme="minorHAnsi"/>
              </w:rPr>
              <w:t>Treatment groups were comparable at baseline</w:t>
            </w:r>
            <w:r w:rsidR="00D907E5">
              <w:rPr>
                <w:rFonts w:eastAsia="MS Mincho" w:cstheme="minorHAnsi"/>
              </w:rPr>
              <w:t>.</w:t>
            </w:r>
          </w:p>
          <w:p w:rsidR="00D907E5" w:rsidRPr="00017AE6" w:rsidRDefault="00D907E5" w:rsidP="00A71365">
            <w:pPr>
              <w:pStyle w:val="Tablewriting"/>
              <w:rPr>
                <w:rFonts w:eastAsia="MS Mincho" w:cstheme="minorHAnsi"/>
              </w:rPr>
            </w:pPr>
          </w:p>
          <w:p w:rsidR="00C25F5E" w:rsidRPr="00017AE6" w:rsidRDefault="00C55463" w:rsidP="00A71365">
            <w:pPr>
              <w:pStyle w:val="Tablewriting"/>
              <w:rPr>
                <w:rFonts w:eastAsia="MS Mincho" w:cstheme="minorHAnsi"/>
              </w:rPr>
            </w:pPr>
            <w:r w:rsidRPr="00D907E5">
              <w:rPr>
                <w:rFonts w:eastAsia="MS Mincho" w:cstheme="minorHAnsi"/>
                <w:u w:val="single"/>
              </w:rPr>
              <w:t>Exclusion criteria:</w:t>
            </w:r>
            <w:r w:rsidRPr="00017AE6">
              <w:rPr>
                <w:rFonts w:eastAsia="MS Mincho" w:cstheme="minorHAnsi"/>
              </w:rPr>
              <w:t xml:space="preserve"> </w:t>
            </w:r>
            <w:r w:rsidRPr="00CE5740">
              <w:rPr>
                <w:rFonts w:eastAsia="MS Mincho" w:cstheme="minorHAnsi"/>
              </w:rPr>
              <w:t>Standard pharmacotherapy trial criteria</w:t>
            </w:r>
            <w:r w:rsidR="00D907E5">
              <w:rPr>
                <w:rFonts w:eastAsia="MS Mincho" w:cstheme="minorHAnsi"/>
              </w:rPr>
              <w:t>.</w:t>
            </w:r>
          </w:p>
        </w:tc>
        <w:tc>
          <w:tcPr>
            <w:tcW w:w="1055" w:type="pct"/>
          </w:tcPr>
          <w:p w:rsidR="00A17966" w:rsidRDefault="000C4511" w:rsidP="00C324F3">
            <w:pPr>
              <w:pStyle w:val="Tablewriting"/>
              <w:numPr>
                <w:ilvl w:val="0"/>
                <w:numId w:val="87"/>
              </w:numPr>
              <w:rPr>
                <w:rFonts w:eastAsia="MS Mincho" w:cstheme="minorHAnsi"/>
              </w:rPr>
            </w:pPr>
            <w:r w:rsidRPr="00017AE6">
              <w:rPr>
                <w:rFonts w:eastAsia="MS Mincho" w:cstheme="minorHAnsi"/>
              </w:rPr>
              <w:t>Varenicline 1.0 mg x 2/day</w:t>
            </w:r>
            <w:r w:rsidR="00A17966">
              <w:rPr>
                <w:rFonts w:eastAsia="MS Mincho" w:cstheme="minorHAnsi"/>
              </w:rPr>
              <w:t>.</w:t>
            </w:r>
          </w:p>
          <w:p w:rsidR="000C4511" w:rsidRPr="00017AE6" w:rsidRDefault="000C4511" w:rsidP="00C324F3">
            <w:pPr>
              <w:pStyle w:val="Tablewriting"/>
              <w:numPr>
                <w:ilvl w:val="0"/>
                <w:numId w:val="87"/>
              </w:numPr>
              <w:rPr>
                <w:rFonts w:eastAsia="MS Mincho" w:cstheme="minorHAnsi"/>
              </w:rPr>
            </w:pPr>
            <w:r w:rsidRPr="00017AE6">
              <w:rPr>
                <w:rFonts w:eastAsia="MS Mincho" w:cstheme="minorHAnsi"/>
              </w:rPr>
              <w:t>Placebo tablet x 2/day</w:t>
            </w:r>
            <w:r w:rsidR="00A17966">
              <w:rPr>
                <w:rFonts w:eastAsia="MS Mincho" w:cstheme="minorHAnsi"/>
              </w:rPr>
              <w:t>.</w:t>
            </w:r>
          </w:p>
          <w:p w:rsidR="00A17966" w:rsidRPr="00A17966" w:rsidRDefault="00A17966" w:rsidP="00A71365">
            <w:pPr>
              <w:pStyle w:val="Tablewriting"/>
              <w:ind w:left="360"/>
              <w:rPr>
                <w:rFonts w:eastAsia="MS Mincho" w:cstheme="minorHAnsi"/>
              </w:rPr>
            </w:pPr>
          </w:p>
          <w:p w:rsidR="00A17966" w:rsidRDefault="000C4511" w:rsidP="00A71365">
            <w:pPr>
              <w:pStyle w:val="Tablewriting"/>
              <w:rPr>
                <w:rFonts w:eastAsia="MS Mincho" w:cstheme="minorHAnsi"/>
              </w:rPr>
            </w:pPr>
            <w:r w:rsidRPr="00017AE6">
              <w:rPr>
                <w:rFonts w:eastAsia="MS Mincho" w:cstheme="minorHAnsi"/>
              </w:rPr>
              <w:t>Treatment period 12 w</w:t>
            </w:r>
            <w:r w:rsidR="00A17966">
              <w:rPr>
                <w:rFonts w:eastAsia="MS Mincho" w:cstheme="minorHAnsi"/>
              </w:rPr>
              <w:t>ee</w:t>
            </w:r>
            <w:r w:rsidRPr="00017AE6">
              <w:rPr>
                <w:rFonts w:eastAsia="MS Mincho" w:cstheme="minorHAnsi"/>
              </w:rPr>
              <w:t>ks, 1st w</w:t>
            </w:r>
            <w:r w:rsidR="00A17966">
              <w:rPr>
                <w:rFonts w:eastAsia="MS Mincho" w:cstheme="minorHAnsi"/>
              </w:rPr>
              <w:t>ee</w:t>
            </w:r>
            <w:r w:rsidRPr="00017AE6">
              <w:rPr>
                <w:rFonts w:eastAsia="MS Mincho" w:cstheme="minorHAnsi"/>
              </w:rPr>
              <w:t xml:space="preserve">k titrated dosage. </w:t>
            </w:r>
          </w:p>
          <w:p w:rsidR="00A17966" w:rsidRDefault="00A17966" w:rsidP="00A71365">
            <w:pPr>
              <w:pStyle w:val="Tablewriting"/>
              <w:rPr>
                <w:rFonts w:eastAsia="MS Mincho" w:cstheme="minorHAnsi"/>
              </w:rPr>
            </w:pPr>
          </w:p>
          <w:p w:rsidR="000C4511" w:rsidRPr="00017AE6" w:rsidRDefault="00A17966" w:rsidP="00A71365">
            <w:pPr>
              <w:pStyle w:val="Tablewriting"/>
              <w:rPr>
                <w:rFonts w:eastAsia="MS Mincho" w:cstheme="minorHAnsi"/>
              </w:rPr>
            </w:pPr>
            <w:r w:rsidRPr="06BFFAED">
              <w:rPr>
                <w:rFonts w:eastAsia="MS Mincho" w:cstheme="minorBidi"/>
                <w:u w:val="single"/>
              </w:rPr>
              <w:t>Common components:</w:t>
            </w:r>
            <w:r>
              <w:rPr>
                <w:rFonts w:eastAsia="MS Mincho" w:cstheme="minorBidi"/>
                <w:u w:val="single"/>
              </w:rPr>
              <w:t xml:space="preserve"> </w:t>
            </w:r>
            <w:r w:rsidR="000C4511" w:rsidRPr="00017AE6">
              <w:rPr>
                <w:rFonts w:eastAsia="MS Mincho" w:cstheme="minorHAnsi"/>
              </w:rPr>
              <w:t>All participants received a smoking cessation booklet</w:t>
            </w:r>
            <w:r>
              <w:rPr>
                <w:rFonts w:eastAsia="MS Mincho" w:cstheme="minorHAnsi"/>
              </w:rPr>
              <w:t xml:space="preserve"> </w:t>
            </w:r>
            <w:r w:rsidR="000C4511" w:rsidRPr="00017AE6">
              <w:rPr>
                <w:rFonts w:eastAsia="MS Mincho" w:cstheme="minorHAnsi"/>
              </w:rPr>
              <w:t>Clearing the Air at baseline, + brief counselling (</w:t>
            </w:r>
            <w:r w:rsidRPr="007563F9">
              <w:rPr>
                <w:rFonts w:eastAsia="MS Mincho" w:cstheme="minorHAnsi"/>
              </w:rPr>
              <w:t>≤</w:t>
            </w:r>
            <w:r w:rsidR="000C4511" w:rsidRPr="00017AE6">
              <w:rPr>
                <w:rFonts w:eastAsia="MS Mincho" w:cstheme="minorHAnsi"/>
              </w:rPr>
              <w:t xml:space="preserve"> 10 mins) at each clinic v</w:t>
            </w:r>
            <w:r w:rsidR="009E2A27">
              <w:rPr>
                <w:rFonts w:eastAsia="MS Mincho" w:cstheme="minorHAnsi"/>
              </w:rPr>
              <w:t xml:space="preserve">isit. Clinic visits at baseline </w:t>
            </w:r>
            <w:r w:rsidR="000C4511" w:rsidRPr="00017AE6">
              <w:rPr>
                <w:rFonts w:eastAsia="MS Mincho" w:cstheme="minorHAnsi"/>
              </w:rPr>
              <w:t>and at w</w:t>
            </w:r>
            <w:r>
              <w:rPr>
                <w:rFonts w:eastAsia="MS Mincho" w:cstheme="minorHAnsi"/>
              </w:rPr>
              <w:t>ee</w:t>
            </w:r>
            <w:r w:rsidR="000C4511" w:rsidRPr="00017AE6">
              <w:rPr>
                <w:rFonts w:eastAsia="MS Mincho" w:cstheme="minorHAnsi"/>
              </w:rPr>
              <w:t>ks 1, 2, 3, 4, 6, 8, 10, 12, plus a 5-min phone call at +3 days post-TQD, and at w</w:t>
            </w:r>
            <w:r>
              <w:rPr>
                <w:rFonts w:eastAsia="MS Mincho" w:cstheme="minorHAnsi"/>
              </w:rPr>
              <w:t>ee</w:t>
            </w:r>
            <w:r w:rsidR="000C4511" w:rsidRPr="00017AE6">
              <w:rPr>
                <w:rFonts w:eastAsia="MS Mincho" w:cstheme="minorHAnsi"/>
              </w:rPr>
              <w:t>ks 5, 7, 9, 11</w:t>
            </w:r>
            <w:r>
              <w:rPr>
                <w:rFonts w:eastAsia="MS Mincho" w:cstheme="minorHAnsi"/>
              </w:rPr>
              <w:t>.</w:t>
            </w:r>
          </w:p>
          <w:p w:rsidR="00A17966" w:rsidRPr="00017AE6" w:rsidRDefault="00A17966" w:rsidP="00A71365">
            <w:pPr>
              <w:pStyle w:val="Tablewriting"/>
              <w:rPr>
                <w:rFonts w:eastAsia="MS Mincho" w:cstheme="minorHAnsi"/>
              </w:rPr>
            </w:pPr>
          </w:p>
          <w:p w:rsidR="00C25F5E" w:rsidRPr="00017AE6" w:rsidRDefault="000C4511" w:rsidP="00A71365">
            <w:pPr>
              <w:pStyle w:val="Tablewriting"/>
              <w:rPr>
                <w:rFonts w:eastAsia="MS Mincho" w:cstheme="minorHAnsi"/>
              </w:rPr>
            </w:pPr>
            <w:r w:rsidRPr="00017AE6">
              <w:rPr>
                <w:rFonts w:eastAsia="MS Mincho" w:cstheme="minorHAnsi"/>
              </w:rPr>
              <w:t>In follow-up phase, clinic visits at w</w:t>
            </w:r>
            <w:r w:rsidR="00A17966">
              <w:rPr>
                <w:rFonts w:eastAsia="MS Mincho" w:cstheme="minorHAnsi"/>
              </w:rPr>
              <w:t>ee</w:t>
            </w:r>
            <w:r w:rsidRPr="00017AE6">
              <w:rPr>
                <w:rFonts w:eastAsia="MS Mincho" w:cstheme="minorHAnsi"/>
              </w:rPr>
              <w:t>ks 13, 16, 20, 24 plus brief phone calls at w</w:t>
            </w:r>
            <w:r w:rsidR="00A17966">
              <w:rPr>
                <w:rFonts w:eastAsia="MS Mincho" w:cstheme="minorHAnsi"/>
              </w:rPr>
              <w:t>ee</w:t>
            </w:r>
            <w:r w:rsidRPr="00017AE6">
              <w:rPr>
                <w:rFonts w:eastAsia="MS Mincho" w:cstheme="minorHAnsi"/>
              </w:rPr>
              <w:t>ks 14, 18, 22</w:t>
            </w:r>
            <w:r w:rsidR="00A17966">
              <w:rPr>
                <w:rFonts w:eastAsia="MS Mincho" w:cstheme="minorHAnsi"/>
              </w:rPr>
              <w:t>.</w:t>
            </w:r>
          </w:p>
        </w:tc>
        <w:tc>
          <w:tcPr>
            <w:tcW w:w="960" w:type="pct"/>
          </w:tcPr>
          <w:p w:rsidR="00A17966" w:rsidRPr="00A17966" w:rsidRDefault="00A17966" w:rsidP="00A71365">
            <w:pPr>
              <w:pStyle w:val="Tablewriting"/>
              <w:rPr>
                <w:rFonts w:eastAsia="MS Mincho" w:cstheme="minorHAnsi"/>
                <w:u w:val="single"/>
              </w:rPr>
            </w:pPr>
            <w:r w:rsidRPr="00A17966">
              <w:rPr>
                <w:rFonts w:eastAsia="MS Mincho" w:cstheme="minorHAnsi"/>
                <w:u w:val="single"/>
              </w:rPr>
              <w:t xml:space="preserve">Efficacy: </w:t>
            </w:r>
          </w:p>
          <w:p w:rsidR="000C4511" w:rsidRPr="00017AE6" w:rsidRDefault="000C4511" w:rsidP="00A71365">
            <w:pPr>
              <w:pStyle w:val="Tablewriting"/>
              <w:rPr>
                <w:rFonts w:eastAsia="MS Mincho" w:cstheme="minorHAnsi"/>
              </w:rPr>
            </w:pPr>
            <w:r w:rsidRPr="00017AE6">
              <w:rPr>
                <w:rFonts w:eastAsia="MS Mincho" w:cstheme="minorHAnsi"/>
              </w:rPr>
              <w:t>Primary outcome: CO-validated CAR at 9 - 12 w</w:t>
            </w:r>
            <w:r w:rsidR="00A17966">
              <w:rPr>
                <w:rFonts w:eastAsia="MS Mincho" w:cstheme="minorHAnsi"/>
              </w:rPr>
              <w:t>ee</w:t>
            </w:r>
            <w:r w:rsidRPr="00017AE6">
              <w:rPr>
                <w:rFonts w:eastAsia="MS Mincho" w:cstheme="minorHAnsi"/>
              </w:rPr>
              <w:t>ks</w:t>
            </w:r>
          </w:p>
          <w:p w:rsidR="000C4511" w:rsidRPr="00017AE6" w:rsidRDefault="000C4511" w:rsidP="00A71365">
            <w:pPr>
              <w:pStyle w:val="Tablewriting"/>
              <w:rPr>
                <w:rFonts w:eastAsia="MS Mincho" w:cstheme="minorHAnsi"/>
              </w:rPr>
            </w:pPr>
            <w:r w:rsidRPr="00017AE6">
              <w:rPr>
                <w:rFonts w:eastAsia="MS Mincho" w:cstheme="minorHAnsi"/>
              </w:rPr>
              <w:t>Secondary outcomes: CO-validated CAR at 9 - 24 w</w:t>
            </w:r>
            <w:r w:rsidR="004420C8">
              <w:rPr>
                <w:rFonts w:eastAsia="MS Mincho" w:cstheme="minorHAnsi"/>
              </w:rPr>
              <w:t>ee</w:t>
            </w:r>
            <w:r w:rsidRPr="00017AE6">
              <w:rPr>
                <w:rFonts w:eastAsia="MS Mincho" w:cstheme="minorHAnsi"/>
              </w:rPr>
              <w:t>ks; 7-day PPA at w</w:t>
            </w:r>
            <w:r w:rsidR="004420C8">
              <w:rPr>
                <w:rFonts w:eastAsia="MS Mincho" w:cstheme="minorHAnsi"/>
              </w:rPr>
              <w:t>ee</w:t>
            </w:r>
            <w:r w:rsidRPr="00017AE6">
              <w:rPr>
                <w:rFonts w:eastAsia="MS Mincho" w:cstheme="minorHAnsi"/>
              </w:rPr>
              <w:t>ks 12 and 24</w:t>
            </w:r>
          </w:p>
          <w:p w:rsidR="004420C8" w:rsidRDefault="004420C8" w:rsidP="00A71365">
            <w:pPr>
              <w:pStyle w:val="Tablewriting"/>
              <w:rPr>
                <w:rFonts w:eastAsia="MS Mincho" w:cstheme="minorHAnsi"/>
              </w:rPr>
            </w:pPr>
          </w:p>
          <w:p w:rsidR="000C4511" w:rsidRPr="00017AE6" w:rsidRDefault="000C4511" w:rsidP="00A71365">
            <w:pPr>
              <w:pStyle w:val="Tablewriting"/>
              <w:rPr>
                <w:rFonts w:eastAsia="MS Mincho" w:cstheme="minorHAnsi"/>
              </w:rPr>
            </w:pPr>
            <w:r w:rsidRPr="00017AE6">
              <w:rPr>
                <w:rFonts w:eastAsia="MS Mincho" w:cstheme="minorHAnsi"/>
              </w:rPr>
              <w:t xml:space="preserve">Validation was by expired CO </w:t>
            </w:r>
            <w:r w:rsidR="004420C8" w:rsidRPr="007563F9">
              <w:rPr>
                <w:rFonts w:eastAsia="MS Mincho" w:cstheme="minorHAnsi"/>
              </w:rPr>
              <w:t>≤</w:t>
            </w:r>
            <w:r w:rsidRPr="00017AE6">
              <w:rPr>
                <w:rFonts w:eastAsia="MS Mincho" w:cstheme="minorHAnsi"/>
              </w:rPr>
              <w:t xml:space="preserve"> 10 ppm</w:t>
            </w:r>
          </w:p>
          <w:p w:rsidR="004420C8" w:rsidRDefault="004420C8" w:rsidP="00A71365">
            <w:pPr>
              <w:pStyle w:val="Tablewriting"/>
              <w:rPr>
                <w:rFonts w:eastAsia="MS Mincho" w:cstheme="minorHAnsi"/>
              </w:rPr>
            </w:pPr>
          </w:p>
          <w:p w:rsidR="004420C8" w:rsidRPr="00017AE6" w:rsidRDefault="004420C8" w:rsidP="00A71365">
            <w:pPr>
              <w:pStyle w:val="Tablewriting"/>
              <w:rPr>
                <w:rFonts w:eastAsia="MS Mincho" w:cstheme="minorHAnsi"/>
              </w:rPr>
            </w:pPr>
            <w:r w:rsidRPr="004420C8">
              <w:rPr>
                <w:rFonts w:eastAsia="MS Mincho" w:cstheme="minorHAnsi"/>
                <w:u w:val="single"/>
              </w:rPr>
              <w:t>Safety:</w:t>
            </w:r>
            <w:r>
              <w:rPr>
                <w:rFonts w:eastAsia="MS Mincho" w:cstheme="minorHAnsi"/>
              </w:rPr>
              <w:t xml:space="preserve"> A</w:t>
            </w:r>
            <w:r w:rsidRPr="00017AE6">
              <w:rPr>
                <w:rFonts w:eastAsia="MS Mincho" w:cstheme="minorHAnsi"/>
              </w:rPr>
              <w:t>dverse events</w:t>
            </w:r>
            <w:r>
              <w:rPr>
                <w:rFonts w:eastAsia="MS Mincho" w:cstheme="minorHAnsi"/>
              </w:rPr>
              <w:t>.</w:t>
            </w:r>
          </w:p>
          <w:p w:rsidR="004420C8" w:rsidRDefault="004420C8" w:rsidP="00A71365">
            <w:pPr>
              <w:pStyle w:val="Tablewriting"/>
              <w:rPr>
                <w:rFonts w:eastAsia="MS Mincho" w:cstheme="minorHAnsi"/>
              </w:rPr>
            </w:pPr>
          </w:p>
          <w:p w:rsidR="004420C8" w:rsidRDefault="004420C8" w:rsidP="00A71365">
            <w:pPr>
              <w:pStyle w:val="Tablewriting"/>
              <w:rPr>
                <w:rFonts w:eastAsia="MS Mincho" w:cstheme="minorHAnsi"/>
              </w:rPr>
            </w:pPr>
          </w:p>
          <w:p w:rsidR="000C4511" w:rsidRPr="00017AE6" w:rsidRDefault="000C4511" w:rsidP="00A71365">
            <w:pPr>
              <w:pStyle w:val="Tablewriting"/>
              <w:rPr>
                <w:rFonts w:eastAsia="MS Mincho" w:cstheme="minorHAnsi"/>
              </w:rPr>
            </w:pPr>
            <w:r w:rsidRPr="004420C8">
              <w:rPr>
                <w:rFonts w:eastAsia="MS Mincho" w:cstheme="minorHAnsi"/>
                <w:u w:val="single"/>
              </w:rPr>
              <w:t>Other:</w:t>
            </w:r>
            <w:r w:rsidRPr="00017AE6">
              <w:rPr>
                <w:rFonts w:eastAsia="MS Mincho" w:cstheme="minorHAnsi"/>
              </w:rPr>
              <w:t xml:space="preserve"> Withdrawal symptoms (using MNWS, QSU-brief and mCEQ)</w:t>
            </w:r>
            <w:r w:rsidR="004420C8">
              <w:rPr>
                <w:rFonts w:eastAsia="MS Mincho" w:cstheme="minorHAnsi"/>
              </w:rPr>
              <w:t>.</w:t>
            </w:r>
          </w:p>
          <w:p w:rsidR="004420C8" w:rsidRPr="00017AE6" w:rsidRDefault="004420C8" w:rsidP="00A71365">
            <w:pPr>
              <w:pStyle w:val="Tablewriting"/>
              <w:rPr>
                <w:rFonts w:eastAsia="MS Mincho" w:cstheme="minorHAnsi"/>
              </w:rPr>
            </w:pPr>
          </w:p>
          <w:p w:rsidR="00C25F5E" w:rsidRPr="00017AE6" w:rsidRDefault="00C25F5E"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t xml:space="preserve">Wang </w:t>
            </w:r>
            <w:r w:rsidR="00DF0515">
              <w:rPr>
                <w:rFonts w:eastAsia="MS Mincho" w:cstheme="minorHAnsi"/>
              </w:rPr>
              <w:t>(</w:t>
            </w:r>
            <w:r w:rsidRPr="00017AE6">
              <w:rPr>
                <w:rFonts w:eastAsia="MS Mincho" w:cstheme="minorHAnsi"/>
              </w:rPr>
              <w:t>2009</w:t>
            </w:r>
            <w:r w:rsidR="00DF0515">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0C4511" w:rsidP="00A71365">
            <w:pPr>
              <w:pStyle w:val="Tablewriting"/>
              <w:rPr>
                <w:rFonts w:eastAsia="MS Mincho" w:cstheme="minorHAnsi"/>
              </w:rPr>
            </w:pPr>
            <w:r w:rsidRPr="00017AE6">
              <w:rPr>
                <w:rFonts w:eastAsia="MS Mincho" w:cstheme="minorHAnsi"/>
              </w:rPr>
              <w:t>China (10 sites), Singapore (3 sites), Thailand (2 sites)</w:t>
            </w:r>
          </w:p>
        </w:tc>
        <w:tc>
          <w:tcPr>
            <w:tcW w:w="675" w:type="pct"/>
          </w:tcPr>
          <w:p w:rsidR="00C25F5E" w:rsidRPr="00017AE6" w:rsidRDefault="00C25F5E" w:rsidP="00A71365">
            <w:pPr>
              <w:pStyle w:val="Tablewriting"/>
              <w:rPr>
                <w:rFonts w:eastAsia="MS Mincho" w:cstheme="minorHAnsi"/>
              </w:rPr>
            </w:pPr>
            <w:r w:rsidRPr="00017AE6">
              <w:rPr>
                <w:rFonts w:eastAsia="MS Mincho" w:cstheme="minorHAnsi"/>
              </w:rPr>
              <w:t>N=</w:t>
            </w:r>
            <w:r w:rsidR="000C4511" w:rsidRPr="00017AE6">
              <w:rPr>
                <w:rFonts w:eastAsia="MS Mincho" w:cstheme="minorHAnsi"/>
              </w:rPr>
              <w:t>333</w:t>
            </w:r>
            <w:r w:rsidR="00BF36E8">
              <w:rPr>
                <w:rFonts w:eastAsia="MS Mincho" w:cstheme="minorHAnsi"/>
              </w:rPr>
              <w:t xml:space="preserve">; </w:t>
            </w:r>
            <w:r w:rsidR="00BF36E8" w:rsidRPr="00017AE6">
              <w:rPr>
                <w:rFonts w:eastAsia="MS Mincho" w:cstheme="minorHAnsi"/>
              </w:rPr>
              <w:t>allocated to varenicline (165), or placebo (168).</w:t>
            </w:r>
          </w:p>
        </w:tc>
        <w:tc>
          <w:tcPr>
            <w:tcW w:w="853" w:type="pct"/>
          </w:tcPr>
          <w:p w:rsidR="00BF36E8" w:rsidRDefault="00BF36E8" w:rsidP="00A71365">
            <w:pPr>
              <w:pStyle w:val="Tablewriting"/>
              <w:rPr>
                <w:rFonts w:eastAsia="MS Mincho" w:cstheme="minorHAnsi"/>
              </w:rPr>
            </w:pPr>
            <w:r>
              <w:rPr>
                <w:rFonts w:eastAsia="MS Mincho" w:cstheme="minorHAnsi"/>
              </w:rPr>
              <w:t>H</w:t>
            </w:r>
            <w:r w:rsidR="000C4511" w:rsidRPr="00017AE6">
              <w:rPr>
                <w:rFonts w:eastAsia="MS Mincho" w:cstheme="minorHAnsi"/>
              </w:rPr>
              <w:t xml:space="preserve">ealthy adult volunteers, aged 18 </w:t>
            </w:r>
            <w:r>
              <w:rPr>
                <w:rFonts w:eastAsia="MS Mincho" w:cstheme="minorHAnsi"/>
              </w:rPr>
              <w:t>–</w:t>
            </w:r>
            <w:r w:rsidR="000C4511" w:rsidRPr="00017AE6">
              <w:rPr>
                <w:rFonts w:eastAsia="MS Mincho" w:cstheme="minorHAnsi"/>
              </w:rPr>
              <w:t xml:space="preserve"> 75</w:t>
            </w:r>
            <w:r>
              <w:rPr>
                <w:rFonts w:eastAsia="MS Mincho" w:cstheme="minorHAnsi"/>
              </w:rPr>
              <w:t xml:space="preserve"> years.</w:t>
            </w:r>
          </w:p>
          <w:p w:rsidR="00BF36E8" w:rsidRDefault="00BF36E8" w:rsidP="00A71365">
            <w:pPr>
              <w:pStyle w:val="Tablewriting"/>
              <w:rPr>
                <w:rFonts w:eastAsia="MS Mincho" w:cstheme="minorHAnsi"/>
              </w:rPr>
            </w:pPr>
          </w:p>
          <w:p w:rsidR="00BF36E8" w:rsidRDefault="000C4511" w:rsidP="00A71365">
            <w:pPr>
              <w:pStyle w:val="Tablewriting"/>
              <w:rPr>
                <w:rFonts w:eastAsia="MS Mincho" w:cstheme="minorHAnsi"/>
              </w:rPr>
            </w:pPr>
            <w:r w:rsidRPr="00017AE6">
              <w:rPr>
                <w:rFonts w:eastAsia="MS Mincho" w:cstheme="minorHAnsi"/>
              </w:rPr>
              <w:t>97% men,</w:t>
            </w:r>
            <w:r w:rsidR="00BF36E8">
              <w:rPr>
                <w:rFonts w:eastAsia="MS Mincho" w:cstheme="minorHAnsi"/>
              </w:rPr>
              <w:t xml:space="preserve"> </w:t>
            </w:r>
            <w:r w:rsidRPr="00017AE6">
              <w:rPr>
                <w:rFonts w:eastAsia="MS Mincho" w:cstheme="minorHAnsi"/>
              </w:rPr>
              <w:t>mean age 39</w:t>
            </w:r>
            <w:r w:rsidR="00BF36E8">
              <w:rPr>
                <w:rFonts w:eastAsia="MS Mincho" w:cstheme="minorHAnsi"/>
              </w:rPr>
              <w:t xml:space="preserve"> years</w:t>
            </w:r>
            <w:r w:rsidRPr="00017AE6">
              <w:rPr>
                <w:rFonts w:eastAsia="MS Mincho" w:cstheme="minorHAnsi"/>
              </w:rPr>
              <w:t xml:space="preserve">, BMI &gt; 15 and &lt; 38 or weight &gt; 45.5 kg, mean CPD 20, mean FTND score 5.4. </w:t>
            </w:r>
          </w:p>
          <w:p w:rsidR="00BF36E8" w:rsidRDefault="00BF36E8" w:rsidP="00A71365">
            <w:pPr>
              <w:pStyle w:val="Tablewriting"/>
              <w:rPr>
                <w:rFonts w:eastAsia="MS Mincho" w:cstheme="minorHAnsi"/>
              </w:rPr>
            </w:pPr>
          </w:p>
          <w:p w:rsidR="000C4511" w:rsidRPr="00017AE6" w:rsidRDefault="000C4511" w:rsidP="00A71365">
            <w:pPr>
              <w:pStyle w:val="Tablewriting"/>
              <w:rPr>
                <w:rFonts w:eastAsia="MS Mincho" w:cstheme="minorHAnsi"/>
              </w:rPr>
            </w:pPr>
            <w:r w:rsidRPr="00017AE6">
              <w:rPr>
                <w:rFonts w:eastAsia="MS Mincho" w:cstheme="minorHAnsi"/>
              </w:rPr>
              <w:lastRenderedPageBreak/>
              <w:t>Treatment</w:t>
            </w:r>
            <w:r w:rsidR="009E2A27">
              <w:rPr>
                <w:rFonts w:eastAsia="MS Mincho" w:cstheme="minorHAnsi"/>
              </w:rPr>
              <w:t xml:space="preserve"> </w:t>
            </w:r>
            <w:r w:rsidRPr="00017AE6">
              <w:rPr>
                <w:rFonts w:eastAsia="MS Mincho" w:cstheme="minorHAnsi"/>
              </w:rPr>
              <w:t>groups were comparable at baseline. 58% had never tried to quit before</w:t>
            </w:r>
            <w:r w:rsidR="00BF36E8">
              <w:rPr>
                <w:rFonts w:eastAsia="MS Mincho" w:cstheme="minorHAnsi"/>
              </w:rPr>
              <w:t>.</w:t>
            </w:r>
          </w:p>
          <w:p w:rsidR="00BF36E8" w:rsidRPr="00017AE6" w:rsidRDefault="00BF36E8" w:rsidP="00A71365">
            <w:pPr>
              <w:pStyle w:val="Tablewriting"/>
              <w:rPr>
                <w:rFonts w:eastAsia="MS Mincho" w:cstheme="minorHAnsi"/>
              </w:rPr>
            </w:pPr>
          </w:p>
          <w:p w:rsidR="00C25F5E" w:rsidRPr="00017AE6" w:rsidRDefault="000C4511" w:rsidP="00A71365">
            <w:pPr>
              <w:pStyle w:val="Tablewriting"/>
              <w:rPr>
                <w:rFonts w:eastAsia="MS Mincho" w:cstheme="minorHAnsi"/>
              </w:rPr>
            </w:pPr>
            <w:r w:rsidRPr="00BF36E8">
              <w:rPr>
                <w:rFonts w:eastAsia="MS Mincho" w:cstheme="minorHAnsi"/>
                <w:u w:val="single"/>
              </w:rPr>
              <w:t>Exclusion criteria:</w:t>
            </w:r>
            <w:r w:rsidRPr="00017AE6">
              <w:rPr>
                <w:rFonts w:eastAsia="MS Mincho" w:cstheme="minorHAnsi"/>
              </w:rPr>
              <w:t xml:space="preserve"> Standard pharmacotherapy trial criteria, plus any use of NRT or bupropion in previous</w:t>
            </w:r>
            <w:r w:rsidR="00BF36E8">
              <w:rPr>
                <w:rFonts w:eastAsia="MS Mincho" w:cstheme="minorHAnsi"/>
              </w:rPr>
              <w:t xml:space="preserve"> </w:t>
            </w:r>
            <w:r w:rsidRPr="00017AE6">
              <w:rPr>
                <w:rFonts w:eastAsia="MS Mincho" w:cstheme="minorHAnsi"/>
              </w:rPr>
              <w:t>6</w:t>
            </w:r>
            <w:r w:rsidR="00BF36E8">
              <w:rPr>
                <w:rFonts w:eastAsia="MS Mincho" w:cstheme="minorHAnsi"/>
              </w:rPr>
              <w:t xml:space="preserve"> months.</w:t>
            </w:r>
          </w:p>
        </w:tc>
        <w:tc>
          <w:tcPr>
            <w:tcW w:w="1055" w:type="pct"/>
          </w:tcPr>
          <w:p w:rsidR="00DE016E" w:rsidRDefault="000C4511" w:rsidP="00C324F3">
            <w:pPr>
              <w:pStyle w:val="Tablewriting"/>
              <w:numPr>
                <w:ilvl w:val="0"/>
                <w:numId w:val="88"/>
              </w:numPr>
              <w:rPr>
                <w:rFonts w:eastAsia="MS Mincho" w:cstheme="minorHAnsi"/>
              </w:rPr>
            </w:pPr>
            <w:r w:rsidRPr="00017AE6">
              <w:rPr>
                <w:rFonts w:eastAsia="MS Mincho" w:cstheme="minorHAnsi"/>
              </w:rPr>
              <w:lastRenderedPageBreak/>
              <w:t>Varenicline 1.0 mg x 2/day</w:t>
            </w:r>
            <w:r w:rsidR="00DE016E">
              <w:rPr>
                <w:rFonts w:eastAsia="MS Mincho" w:cstheme="minorHAnsi"/>
              </w:rPr>
              <w:t>.</w:t>
            </w:r>
          </w:p>
          <w:p w:rsidR="000C4511" w:rsidRPr="00017AE6" w:rsidRDefault="000C4511" w:rsidP="00C324F3">
            <w:pPr>
              <w:pStyle w:val="Tablewriting"/>
              <w:numPr>
                <w:ilvl w:val="0"/>
                <w:numId w:val="88"/>
              </w:numPr>
              <w:rPr>
                <w:rFonts w:eastAsia="MS Mincho" w:cstheme="minorHAnsi"/>
              </w:rPr>
            </w:pPr>
            <w:r w:rsidRPr="00017AE6">
              <w:rPr>
                <w:rFonts w:eastAsia="MS Mincho" w:cstheme="minorHAnsi"/>
              </w:rPr>
              <w:t>Placebo tablet x 2/day</w:t>
            </w:r>
            <w:r w:rsidR="00DE016E">
              <w:rPr>
                <w:rFonts w:eastAsia="MS Mincho" w:cstheme="minorHAnsi"/>
              </w:rPr>
              <w:t>.</w:t>
            </w:r>
          </w:p>
          <w:p w:rsidR="00DE016E" w:rsidRDefault="00DE016E" w:rsidP="00A71365">
            <w:pPr>
              <w:pStyle w:val="Tablewriting"/>
              <w:rPr>
                <w:rFonts w:eastAsia="MS Mincho" w:cstheme="minorHAnsi"/>
              </w:rPr>
            </w:pPr>
          </w:p>
          <w:p w:rsidR="00DE016E" w:rsidRDefault="000C4511" w:rsidP="00A71365">
            <w:pPr>
              <w:pStyle w:val="Tablewriting"/>
              <w:rPr>
                <w:rFonts w:eastAsia="MS Mincho" w:cstheme="minorHAnsi"/>
              </w:rPr>
            </w:pPr>
            <w:r w:rsidRPr="00017AE6">
              <w:rPr>
                <w:rFonts w:eastAsia="MS Mincho" w:cstheme="minorHAnsi"/>
              </w:rPr>
              <w:t>Treatment period 12 w</w:t>
            </w:r>
            <w:r w:rsidR="00DE016E">
              <w:rPr>
                <w:rFonts w:eastAsia="MS Mincho" w:cstheme="minorHAnsi"/>
              </w:rPr>
              <w:t>ee</w:t>
            </w:r>
            <w:r w:rsidRPr="00017AE6">
              <w:rPr>
                <w:rFonts w:eastAsia="MS Mincho" w:cstheme="minorHAnsi"/>
              </w:rPr>
              <w:t>ks, 1st w</w:t>
            </w:r>
            <w:r w:rsidR="00DE016E">
              <w:rPr>
                <w:rFonts w:eastAsia="MS Mincho" w:cstheme="minorHAnsi"/>
              </w:rPr>
              <w:t>ee</w:t>
            </w:r>
            <w:r w:rsidRPr="00017AE6">
              <w:rPr>
                <w:rFonts w:eastAsia="MS Mincho" w:cstheme="minorHAnsi"/>
              </w:rPr>
              <w:t xml:space="preserve">k titrated dosage. </w:t>
            </w:r>
          </w:p>
          <w:p w:rsidR="00DE016E" w:rsidRDefault="00DE016E" w:rsidP="00A71365">
            <w:pPr>
              <w:pStyle w:val="Tablewriting"/>
              <w:rPr>
                <w:rFonts w:eastAsia="MS Mincho" w:cstheme="minorHAnsi"/>
              </w:rPr>
            </w:pPr>
          </w:p>
          <w:p w:rsidR="000C4511" w:rsidRPr="00017AE6" w:rsidRDefault="00DE016E" w:rsidP="00A71365">
            <w:pPr>
              <w:pStyle w:val="Tablewriting"/>
              <w:rPr>
                <w:rFonts w:eastAsia="MS Mincho" w:cstheme="minorHAnsi"/>
              </w:rPr>
            </w:pPr>
            <w:r w:rsidRPr="06BFFAED">
              <w:rPr>
                <w:rFonts w:eastAsia="MS Mincho" w:cstheme="minorBidi"/>
                <w:u w:val="single"/>
              </w:rPr>
              <w:t>Common components:</w:t>
            </w:r>
            <w:r>
              <w:rPr>
                <w:rFonts w:eastAsia="MS Mincho" w:cstheme="minorBidi"/>
                <w:u w:val="single"/>
              </w:rPr>
              <w:t xml:space="preserve"> </w:t>
            </w:r>
            <w:r w:rsidR="000C4511" w:rsidRPr="00017AE6">
              <w:rPr>
                <w:rFonts w:eastAsia="MS Mincho" w:cstheme="minorHAnsi"/>
              </w:rPr>
              <w:t>All participants received a smoking cessation booklet</w:t>
            </w:r>
            <w:r>
              <w:rPr>
                <w:rFonts w:eastAsia="MS Mincho" w:cstheme="minorHAnsi"/>
              </w:rPr>
              <w:t xml:space="preserve"> </w:t>
            </w:r>
            <w:r w:rsidR="000C4511" w:rsidRPr="00017AE6">
              <w:rPr>
                <w:rFonts w:eastAsia="MS Mincho" w:cstheme="minorHAnsi"/>
              </w:rPr>
              <w:t xml:space="preserve">at baseline, + </w:t>
            </w:r>
            <w:r w:rsidR="000C4511" w:rsidRPr="00017AE6">
              <w:rPr>
                <w:rFonts w:eastAsia="MS Mincho" w:cstheme="minorHAnsi"/>
              </w:rPr>
              <w:lastRenderedPageBreak/>
              <w:t>brief counselling (</w:t>
            </w:r>
            <w:r w:rsidR="002B0BA6" w:rsidRPr="007563F9">
              <w:rPr>
                <w:rFonts w:eastAsia="MS Mincho" w:cstheme="minorHAnsi"/>
              </w:rPr>
              <w:t>≤</w:t>
            </w:r>
            <w:r w:rsidR="000C4511" w:rsidRPr="00017AE6">
              <w:rPr>
                <w:rFonts w:eastAsia="MS Mincho" w:cstheme="minorHAnsi"/>
              </w:rPr>
              <w:t xml:space="preserve"> 10 mins) at each clinic visit, except for w</w:t>
            </w:r>
            <w:r w:rsidR="002B0BA6">
              <w:rPr>
                <w:rFonts w:eastAsia="MS Mincho" w:cstheme="minorHAnsi"/>
              </w:rPr>
              <w:t>ee</w:t>
            </w:r>
            <w:r w:rsidR="000C4511" w:rsidRPr="00017AE6">
              <w:rPr>
                <w:rFonts w:eastAsia="MS Mincho" w:cstheme="minorHAnsi"/>
              </w:rPr>
              <w:t>ks 5 and 7, when counselling</w:t>
            </w:r>
          </w:p>
          <w:p w:rsidR="000C4511" w:rsidRPr="00017AE6" w:rsidRDefault="000C4511" w:rsidP="00A71365">
            <w:pPr>
              <w:pStyle w:val="Tablewriting"/>
              <w:rPr>
                <w:rFonts w:eastAsia="MS Mincho" w:cstheme="minorHAnsi"/>
              </w:rPr>
            </w:pPr>
            <w:r w:rsidRPr="00017AE6">
              <w:rPr>
                <w:rFonts w:eastAsia="MS Mincho" w:cstheme="minorHAnsi"/>
              </w:rPr>
              <w:t>was conducted by phone</w:t>
            </w:r>
            <w:r w:rsidR="002B0BA6">
              <w:rPr>
                <w:rFonts w:eastAsia="MS Mincho" w:cstheme="minorHAnsi"/>
              </w:rPr>
              <w:t>.</w:t>
            </w:r>
          </w:p>
          <w:p w:rsidR="002B0BA6" w:rsidRDefault="002B0BA6" w:rsidP="00A71365">
            <w:pPr>
              <w:pStyle w:val="Tablewriting"/>
              <w:rPr>
                <w:rFonts w:eastAsia="MS Mincho" w:cstheme="minorHAnsi"/>
              </w:rPr>
            </w:pPr>
          </w:p>
          <w:p w:rsidR="000C4511" w:rsidRPr="00017AE6" w:rsidRDefault="000C4511" w:rsidP="00A71365">
            <w:pPr>
              <w:pStyle w:val="Tablewriting"/>
              <w:rPr>
                <w:rFonts w:eastAsia="MS Mincho" w:cstheme="minorHAnsi"/>
              </w:rPr>
            </w:pPr>
            <w:r w:rsidRPr="00017AE6">
              <w:rPr>
                <w:rFonts w:eastAsia="MS Mincho" w:cstheme="minorHAnsi"/>
              </w:rPr>
              <w:t>In follow-up phase, clinic visits at w</w:t>
            </w:r>
            <w:r w:rsidR="002B0BA6">
              <w:rPr>
                <w:rFonts w:eastAsia="MS Mincho" w:cstheme="minorHAnsi"/>
              </w:rPr>
              <w:t>ee</w:t>
            </w:r>
            <w:r w:rsidRPr="00017AE6">
              <w:rPr>
                <w:rFonts w:eastAsia="MS Mincho" w:cstheme="minorHAnsi"/>
              </w:rPr>
              <w:t>ks 13, 16, 20, 24 plus brief phone calls at w</w:t>
            </w:r>
            <w:r w:rsidR="002B0BA6">
              <w:rPr>
                <w:rFonts w:eastAsia="MS Mincho" w:cstheme="minorHAnsi"/>
              </w:rPr>
              <w:t>ee</w:t>
            </w:r>
            <w:r w:rsidRPr="00017AE6">
              <w:rPr>
                <w:rFonts w:eastAsia="MS Mincho" w:cstheme="minorHAnsi"/>
              </w:rPr>
              <w:t>ks 14, 18, 22. Dosing and</w:t>
            </w:r>
          </w:p>
          <w:p w:rsidR="00C25F5E" w:rsidRPr="00017AE6" w:rsidRDefault="000C4511" w:rsidP="00A71365">
            <w:pPr>
              <w:pStyle w:val="Tablewriting"/>
              <w:rPr>
                <w:rFonts w:eastAsia="MS Mincho" w:cstheme="minorHAnsi"/>
              </w:rPr>
            </w:pPr>
            <w:r w:rsidRPr="00017AE6">
              <w:rPr>
                <w:rFonts w:eastAsia="MS Mincho" w:cstheme="minorHAnsi"/>
              </w:rPr>
              <w:t>CO checked at each visit, and lab samples taken at w</w:t>
            </w:r>
            <w:r w:rsidR="002B0BA6">
              <w:rPr>
                <w:rFonts w:eastAsia="MS Mincho" w:cstheme="minorHAnsi"/>
              </w:rPr>
              <w:t>ee</w:t>
            </w:r>
            <w:r w:rsidRPr="00017AE6">
              <w:rPr>
                <w:rFonts w:eastAsia="MS Mincho" w:cstheme="minorHAnsi"/>
              </w:rPr>
              <w:t>ks 12 and 24</w:t>
            </w:r>
            <w:r w:rsidR="002B0BA6">
              <w:rPr>
                <w:rFonts w:eastAsia="MS Mincho" w:cstheme="minorHAnsi"/>
              </w:rPr>
              <w:t>.</w:t>
            </w:r>
          </w:p>
        </w:tc>
        <w:tc>
          <w:tcPr>
            <w:tcW w:w="960" w:type="pct"/>
          </w:tcPr>
          <w:p w:rsidR="002B0BA6" w:rsidRPr="002B0BA6" w:rsidRDefault="002B0BA6" w:rsidP="00A71365">
            <w:pPr>
              <w:pStyle w:val="Tablewriting"/>
              <w:rPr>
                <w:rFonts w:eastAsia="MS Mincho" w:cstheme="minorHAnsi"/>
                <w:u w:val="single"/>
              </w:rPr>
            </w:pPr>
            <w:r w:rsidRPr="002B0BA6">
              <w:rPr>
                <w:rFonts w:eastAsia="MS Mincho" w:cstheme="minorHAnsi"/>
                <w:u w:val="single"/>
              </w:rPr>
              <w:lastRenderedPageBreak/>
              <w:t>Efficacy:</w:t>
            </w:r>
          </w:p>
          <w:p w:rsidR="006D2AA3" w:rsidRPr="00017AE6" w:rsidRDefault="006D2AA3" w:rsidP="00A71365">
            <w:pPr>
              <w:pStyle w:val="Tablewriting"/>
              <w:rPr>
                <w:rFonts w:eastAsia="MS Mincho" w:cstheme="minorHAnsi"/>
              </w:rPr>
            </w:pPr>
            <w:r w:rsidRPr="00017AE6">
              <w:rPr>
                <w:rFonts w:eastAsia="MS Mincho" w:cstheme="minorHAnsi"/>
              </w:rPr>
              <w:t>Primary outcome: CO-confirmed CAR for w</w:t>
            </w:r>
            <w:r w:rsidR="002B0BA6">
              <w:rPr>
                <w:rFonts w:eastAsia="MS Mincho" w:cstheme="minorHAnsi"/>
              </w:rPr>
              <w:t>ee</w:t>
            </w:r>
            <w:r w:rsidRPr="00017AE6">
              <w:rPr>
                <w:rFonts w:eastAsia="MS Mincho" w:cstheme="minorHAnsi"/>
              </w:rPr>
              <w:t xml:space="preserve">ks </w:t>
            </w:r>
            <w:r w:rsidR="002B0BA6">
              <w:rPr>
                <w:rFonts w:eastAsia="MS Mincho" w:cstheme="minorHAnsi"/>
              </w:rPr>
              <w:t>(</w:t>
            </w:r>
            <w:r w:rsidRPr="00017AE6">
              <w:rPr>
                <w:rFonts w:eastAsia="MS Mincho" w:cstheme="minorHAnsi"/>
              </w:rPr>
              <w:t xml:space="preserve">9 </w:t>
            </w:r>
            <w:r w:rsidR="002B0BA6">
              <w:rPr>
                <w:rFonts w:eastAsia="MS Mincho" w:cstheme="minorHAnsi"/>
              </w:rPr>
              <w:t>–</w:t>
            </w:r>
            <w:r w:rsidRPr="00017AE6">
              <w:rPr>
                <w:rFonts w:eastAsia="MS Mincho" w:cstheme="minorHAnsi"/>
              </w:rPr>
              <w:t xml:space="preserve"> 12</w:t>
            </w:r>
            <w:r w:rsidR="002B0BA6">
              <w:rPr>
                <w:rFonts w:eastAsia="MS Mincho" w:cstheme="minorHAnsi"/>
              </w:rPr>
              <w:t>),</w:t>
            </w:r>
          </w:p>
          <w:p w:rsidR="006D2AA3" w:rsidRPr="00017AE6" w:rsidRDefault="006D2AA3" w:rsidP="00A71365">
            <w:pPr>
              <w:pStyle w:val="Tablewriting"/>
              <w:rPr>
                <w:rFonts w:eastAsia="MS Mincho" w:cstheme="minorHAnsi"/>
              </w:rPr>
            </w:pPr>
            <w:r w:rsidRPr="00017AE6">
              <w:rPr>
                <w:rFonts w:eastAsia="MS Mincho" w:cstheme="minorHAnsi"/>
              </w:rPr>
              <w:t>Secondary outcomes: CO-confirmed CAR for w</w:t>
            </w:r>
            <w:r w:rsidR="002B0BA6">
              <w:rPr>
                <w:rFonts w:eastAsia="MS Mincho" w:cstheme="minorHAnsi"/>
              </w:rPr>
              <w:t>ee</w:t>
            </w:r>
            <w:r w:rsidRPr="00017AE6">
              <w:rPr>
                <w:rFonts w:eastAsia="MS Mincho" w:cstheme="minorHAnsi"/>
              </w:rPr>
              <w:t xml:space="preserve">ks </w:t>
            </w:r>
            <w:r w:rsidR="002B0BA6">
              <w:rPr>
                <w:rFonts w:eastAsia="MS Mincho" w:cstheme="minorHAnsi"/>
              </w:rPr>
              <w:t>(</w:t>
            </w:r>
            <w:r w:rsidRPr="00017AE6">
              <w:rPr>
                <w:rFonts w:eastAsia="MS Mincho" w:cstheme="minorHAnsi"/>
              </w:rPr>
              <w:t xml:space="preserve">9 </w:t>
            </w:r>
            <w:r w:rsidR="002B0BA6">
              <w:rPr>
                <w:rFonts w:eastAsia="MS Mincho" w:cstheme="minorHAnsi"/>
              </w:rPr>
              <w:t>–</w:t>
            </w:r>
            <w:r w:rsidRPr="00017AE6">
              <w:rPr>
                <w:rFonts w:eastAsia="MS Mincho" w:cstheme="minorHAnsi"/>
              </w:rPr>
              <w:t xml:space="preserve"> 24</w:t>
            </w:r>
            <w:r w:rsidR="002B0BA6">
              <w:rPr>
                <w:rFonts w:eastAsia="MS Mincho" w:cstheme="minorHAnsi"/>
              </w:rPr>
              <w:t>)</w:t>
            </w:r>
            <w:r w:rsidRPr="00017AE6">
              <w:rPr>
                <w:rFonts w:eastAsia="MS Mincho" w:cstheme="minorHAnsi"/>
              </w:rPr>
              <w:t>; 7-day PPA at 24 w</w:t>
            </w:r>
            <w:r w:rsidR="002B0BA6">
              <w:rPr>
                <w:rFonts w:eastAsia="MS Mincho" w:cstheme="minorHAnsi"/>
              </w:rPr>
              <w:t>ee</w:t>
            </w:r>
            <w:r w:rsidRPr="00017AE6">
              <w:rPr>
                <w:rFonts w:eastAsia="MS Mincho" w:cstheme="minorHAnsi"/>
              </w:rPr>
              <w:t>ks</w:t>
            </w:r>
            <w:r w:rsidR="002B0BA6">
              <w:rPr>
                <w:rFonts w:eastAsia="MS Mincho" w:cstheme="minorHAnsi"/>
              </w:rPr>
              <w:t>.</w:t>
            </w:r>
          </w:p>
          <w:p w:rsidR="002B0BA6" w:rsidRPr="00017AE6" w:rsidRDefault="002B0BA6" w:rsidP="00A71365">
            <w:pPr>
              <w:pStyle w:val="Tablewriting"/>
              <w:rPr>
                <w:rFonts w:eastAsia="MS Mincho" w:cstheme="minorHAnsi"/>
              </w:rPr>
            </w:pPr>
          </w:p>
          <w:p w:rsidR="006D2AA3" w:rsidRPr="00017AE6" w:rsidRDefault="006D2AA3" w:rsidP="00A71365">
            <w:pPr>
              <w:pStyle w:val="Tablewriting"/>
              <w:rPr>
                <w:rFonts w:eastAsia="MS Mincho" w:cstheme="minorHAnsi"/>
              </w:rPr>
            </w:pPr>
            <w:r w:rsidRPr="00017AE6">
              <w:rPr>
                <w:rFonts w:eastAsia="MS Mincho" w:cstheme="minorHAnsi"/>
              </w:rPr>
              <w:lastRenderedPageBreak/>
              <w:t>Validation by expired CO &lt; 10 ppm</w:t>
            </w:r>
          </w:p>
          <w:p w:rsidR="002B0BA6" w:rsidRDefault="002B0BA6" w:rsidP="00A71365">
            <w:pPr>
              <w:pStyle w:val="Tablewriting"/>
              <w:rPr>
                <w:rFonts w:eastAsia="MS Mincho" w:cstheme="minorHAnsi"/>
              </w:rPr>
            </w:pPr>
          </w:p>
          <w:p w:rsidR="0073734A" w:rsidRPr="0073734A" w:rsidRDefault="0073734A" w:rsidP="00A71365">
            <w:pPr>
              <w:pStyle w:val="Tablewriting"/>
              <w:rPr>
                <w:rFonts w:eastAsia="MS Mincho" w:cstheme="minorHAnsi"/>
                <w:u w:val="single"/>
              </w:rPr>
            </w:pPr>
            <w:r w:rsidRPr="0073734A">
              <w:rPr>
                <w:rFonts w:eastAsia="MS Mincho" w:cstheme="minorHAnsi"/>
                <w:u w:val="single"/>
              </w:rPr>
              <w:t>Safety:</w:t>
            </w:r>
            <w:r>
              <w:rPr>
                <w:rFonts w:eastAsia="MS Mincho" w:cstheme="minorHAnsi"/>
                <w:u w:val="single"/>
              </w:rPr>
              <w:t xml:space="preserve"> </w:t>
            </w:r>
            <w:r w:rsidRPr="0073734A">
              <w:rPr>
                <w:rFonts w:eastAsia="MS Mincho" w:cstheme="minorHAnsi"/>
              </w:rPr>
              <w:t>Adverse</w:t>
            </w:r>
            <w:r w:rsidR="006D2AA3" w:rsidRPr="00017AE6">
              <w:rPr>
                <w:rFonts w:eastAsia="MS Mincho" w:cstheme="minorHAnsi"/>
              </w:rPr>
              <w:t xml:space="preserve"> events</w:t>
            </w:r>
            <w:r>
              <w:rPr>
                <w:rFonts w:eastAsia="MS Mincho" w:cstheme="minorHAnsi"/>
              </w:rPr>
              <w:t>.</w:t>
            </w:r>
          </w:p>
          <w:p w:rsidR="0073734A" w:rsidRDefault="0073734A" w:rsidP="00A71365">
            <w:pPr>
              <w:pStyle w:val="Tablewriting"/>
              <w:rPr>
                <w:rFonts w:eastAsia="MS Mincho" w:cstheme="minorHAnsi"/>
              </w:rPr>
            </w:pPr>
          </w:p>
          <w:p w:rsidR="006D2AA3" w:rsidRPr="00017AE6" w:rsidRDefault="006D2AA3" w:rsidP="00A71365">
            <w:pPr>
              <w:pStyle w:val="Tablewriting"/>
              <w:rPr>
                <w:rFonts w:eastAsia="MS Mincho" w:cstheme="minorHAnsi"/>
              </w:rPr>
            </w:pPr>
            <w:r w:rsidRPr="0073734A">
              <w:rPr>
                <w:rFonts w:eastAsia="MS Mincho" w:cstheme="minorHAnsi"/>
                <w:u w:val="single"/>
              </w:rPr>
              <w:t>Other</w:t>
            </w:r>
            <w:r w:rsidRPr="00017AE6">
              <w:rPr>
                <w:rFonts w:eastAsia="MS Mincho" w:cstheme="minorHAnsi"/>
              </w:rPr>
              <w:t xml:space="preserve">: </w:t>
            </w:r>
            <w:r w:rsidR="0073734A">
              <w:rPr>
                <w:rFonts w:eastAsia="MS Mincho" w:cstheme="minorHAnsi"/>
              </w:rPr>
              <w:t>L</w:t>
            </w:r>
            <w:r w:rsidRPr="00017AE6">
              <w:rPr>
                <w:rFonts w:eastAsia="MS Mincho" w:cstheme="minorHAnsi"/>
              </w:rPr>
              <w:t>ong-term quit rates</w:t>
            </w:r>
            <w:r w:rsidR="0073734A">
              <w:rPr>
                <w:rFonts w:eastAsia="MS Mincho" w:cstheme="minorHAnsi"/>
              </w:rPr>
              <w:t>.</w:t>
            </w:r>
          </w:p>
          <w:p w:rsidR="0073734A" w:rsidRPr="00017AE6" w:rsidRDefault="0073734A" w:rsidP="00A71365">
            <w:pPr>
              <w:pStyle w:val="Tablewriting"/>
              <w:rPr>
                <w:rFonts w:eastAsia="MS Mincho" w:cstheme="minorHAnsi"/>
              </w:rPr>
            </w:pPr>
          </w:p>
          <w:p w:rsidR="006D2AA3" w:rsidRPr="00017AE6" w:rsidRDefault="006D2AA3" w:rsidP="00A71365">
            <w:pPr>
              <w:pStyle w:val="Tablewriting"/>
              <w:rPr>
                <w:rFonts w:eastAsia="MS Mincho" w:cstheme="minorHAnsi"/>
              </w:rPr>
            </w:pP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lastRenderedPageBreak/>
              <w:t xml:space="preserve">Westergaard </w:t>
            </w:r>
            <w:r w:rsidR="00DF0515">
              <w:rPr>
                <w:rFonts w:eastAsia="MS Mincho" w:cstheme="minorHAnsi"/>
              </w:rPr>
              <w:t>(</w:t>
            </w:r>
            <w:r w:rsidRPr="00017AE6">
              <w:rPr>
                <w:rFonts w:eastAsia="MS Mincho" w:cstheme="minorHAnsi"/>
              </w:rPr>
              <w:t>2015</w:t>
            </w:r>
            <w:r w:rsidR="00DF0515">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DC39DB" w:rsidP="00A71365">
            <w:pPr>
              <w:pStyle w:val="Tablewriting"/>
              <w:rPr>
                <w:rFonts w:eastAsia="MS Mincho" w:cstheme="minorHAnsi"/>
              </w:rPr>
            </w:pPr>
            <w:r w:rsidRPr="00017AE6">
              <w:rPr>
                <w:rFonts w:eastAsia="MS Mincho" w:cstheme="minorHAnsi"/>
              </w:rPr>
              <w:t>Denmark</w:t>
            </w:r>
          </w:p>
        </w:tc>
        <w:tc>
          <w:tcPr>
            <w:tcW w:w="675" w:type="pct"/>
          </w:tcPr>
          <w:p w:rsidR="00C25F5E" w:rsidRPr="00017AE6" w:rsidRDefault="00C25F5E" w:rsidP="00A71365">
            <w:pPr>
              <w:pStyle w:val="Tablewriting"/>
              <w:rPr>
                <w:rFonts w:eastAsia="MS Mincho" w:cstheme="minorHAnsi"/>
              </w:rPr>
            </w:pPr>
            <w:r w:rsidRPr="00017AE6">
              <w:rPr>
                <w:rFonts w:eastAsia="MS Mincho" w:cstheme="minorHAnsi"/>
              </w:rPr>
              <w:t>N=</w:t>
            </w:r>
            <w:r w:rsidR="00DC39DB" w:rsidRPr="00017AE6">
              <w:rPr>
                <w:rFonts w:eastAsia="MS Mincho" w:cstheme="minorHAnsi"/>
              </w:rPr>
              <w:t>52</w:t>
            </w:r>
            <w:r w:rsidR="001A4A73">
              <w:rPr>
                <w:rFonts w:eastAsia="MS Mincho" w:cstheme="minorHAnsi"/>
              </w:rPr>
              <w:t xml:space="preserve">; </w:t>
            </w:r>
            <w:r w:rsidR="001A4A73" w:rsidRPr="00017AE6">
              <w:rPr>
                <w:rFonts w:eastAsia="MS Mincho" w:cstheme="minorHAnsi"/>
              </w:rPr>
              <w:t>randomised to varenicline (26) or placebo (26).</w:t>
            </w:r>
          </w:p>
        </w:tc>
        <w:tc>
          <w:tcPr>
            <w:tcW w:w="853" w:type="pct"/>
          </w:tcPr>
          <w:p w:rsidR="00C25F5E" w:rsidRPr="00017AE6" w:rsidRDefault="00DC39DB" w:rsidP="00A71365">
            <w:pPr>
              <w:pStyle w:val="Tablewriting"/>
              <w:rPr>
                <w:rFonts w:eastAsia="MS Mincho" w:cstheme="minorHAnsi"/>
              </w:rPr>
            </w:pPr>
            <w:r w:rsidRPr="00017AE6">
              <w:rPr>
                <w:rFonts w:eastAsia="MS Mincho" w:cstheme="minorHAnsi"/>
              </w:rPr>
              <w:t xml:space="preserve">Young (aged 19 </w:t>
            </w:r>
            <w:r w:rsidR="0073734A">
              <w:rPr>
                <w:rFonts w:eastAsia="MS Mincho" w:cstheme="minorHAnsi"/>
              </w:rPr>
              <w:t>–</w:t>
            </w:r>
            <w:r w:rsidRPr="00017AE6">
              <w:rPr>
                <w:rFonts w:eastAsia="MS Mincho" w:cstheme="minorHAnsi"/>
              </w:rPr>
              <w:t xml:space="preserve"> 40) smokers with asthma, CPD </w:t>
            </w:r>
            <w:r w:rsidR="002B5EEB" w:rsidRPr="002B5EEB">
              <w:rPr>
                <w:rFonts w:eastAsia="MS Mincho" w:cstheme="minorHAnsi"/>
              </w:rPr>
              <w:t>≥</w:t>
            </w:r>
            <w:r w:rsidRPr="00017AE6">
              <w:rPr>
                <w:rFonts w:eastAsia="MS Mincho" w:cstheme="minorHAnsi"/>
              </w:rPr>
              <w:t xml:space="preserve"> 10; FTND 5.6</w:t>
            </w:r>
            <w:r w:rsidR="002B5EEB">
              <w:rPr>
                <w:rFonts w:eastAsia="MS Mincho" w:cstheme="minorHAnsi"/>
              </w:rPr>
              <w:t>.</w:t>
            </w:r>
          </w:p>
        </w:tc>
        <w:tc>
          <w:tcPr>
            <w:tcW w:w="1055" w:type="pct"/>
          </w:tcPr>
          <w:p w:rsidR="006C063F" w:rsidRDefault="003E03B2" w:rsidP="00C324F3">
            <w:pPr>
              <w:pStyle w:val="Tablewriting"/>
              <w:numPr>
                <w:ilvl w:val="0"/>
                <w:numId w:val="89"/>
              </w:numPr>
              <w:rPr>
                <w:rFonts w:eastAsia="MS Mincho" w:cstheme="minorHAnsi"/>
              </w:rPr>
            </w:pPr>
            <w:r w:rsidRPr="00017AE6">
              <w:rPr>
                <w:rFonts w:eastAsia="MS Mincho" w:cstheme="minorHAnsi"/>
              </w:rPr>
              <w:t>Varenicline</w:t>
            </w:r>
            <w:r w:rsidR="006C063F">
              <w:rPr>
                <w:rFonts w:eastAsia="MS Mincho" w:cstheme="minorHAnsi"/>
              </w:rPr>
              <w:t xml:space="preserve">; </w:t>
            </w:r>
            <w:r w:rsidRPr="00017AE6">
              <w:rPr>
                <w:rFonts w:eastAsia="MS Mincho" w:cstheme="minorHAnsi"/>
              </w:rPr>
              <w:t>presumed standard regimen:</w:t>
            </w:r>
            <w:r w:rsidR="006C063F">
              <w:rPr>
                <w:rFonts w:eastAsia="MS Mincho" w:cstheme="minorHAnsi"/>
              </w:rPr>
              <w:t xml:space="preserve"> </w:t>
            </w:r>
            <w:r w:rsidRPr="00017AE6">
              <w:rPr>
                <w:rFonts w:eastAsia="MS Mincho" w:cstheme="minorHAnsi"/>
              </w:rPr>
              <w:t>Varenicline 1.0 mg x 2/day</w:t>
            </w:r>
            <w:r w:rsidR="006C063F">
              <w:rPr>
                <w:rFonts w:eastAsia="MS Mincho" w:cstheme="minorHAnsi"/>
              </w:rPr>
              <w:t>.</w:t>
            </w:r>
          </w:p>
          <w:p w:rsidR="003E03B2" w:rsidRPr="00017AE6" w:rsidRDefault="003E03B2" w:rsidP="00C324F3">
            <w:pPr>
              <w:pStyle w:val="Tablewriting"/>
              <w:numPr>
                <w:ilvl w:val="0"/>
                <w:numId w:val="89"/>
              </w:numPr>
              <w:rPr>
                <w:rFonts w:eastAsia="MS Mincho" w:cstheme="minorHAnsi"/>
              </w:rPr>
            </w:pPr>
            <w:r w:rsidRPr="00017AE6">
              <w:rPr>
                <w:rFonts w:eastAsia="MS Mincho" w:cstheme="minorHAnsi"/>
              </w:rPr>
              <w:t>Placebo tablet x 2/day</w:t>
            </w:r>
            <w:r w:rsidR="006C063F">
              <w:rPr>
                <w:rFonts w:eastAsia="MS Mincho" w:cstheme="minorHAnsi"/>
              </w:rPr>
              <w:t>.</w:t>
            </w:r>
          </w:p>
          <w:p w:rsidR="006C063F" w:rsidRDefault="006C063F" w:rsidP="00A71365">
            <w:pPr>
              <w:pStyle w:val="Tablewriting"/>
              <w:rPr>
                <w:rFonts w:eastAsia="MS Mincho" w:cstheme="minorHAnsi"/>
              </w:rPr>
            </w:pPr>
          </w:p>
          <w:p w:rsidR="00C25F5E" w:rsidRPr="00017AE6" w:rsidRDefault="003E03B2" w:rsidP="00A71365">
            <w:pPr>
              <w:pStyle w:val="Tablewriting"/>
              <w:rPr>
                <w:rFonts w:eastAsia="MS Mincho" w:cstheme="minorHAnsi"/>
              </w:rPr>
            </w:pPr>
            <w:r w:rsidRPr="00017AE6">
              <w:rPr>
                <w:rFonts w:eastAsia="MS Mincho" w:cstheme="minorHAnsi"/>
              </w:rPr>
              <w:t>No further details</w:t>
            </w:r>
          </w:p>
        </w:tc>
        <w:tc>
          <w:tcPr>
            <w:tcW w:w="960" w:type="pct"/>
          </w:tcPr>
          <w:p w:rsidR="006C063F" w:rsidRPr="006C063F" w:rsidRDefault="006C063F" w:rsidP="00A71365">
            <w:pPr>
              <w:pStyle w:val="Tablewriting"/>
              <w:rPr>
                <w:rFonts w:eastAsia="MS Mincho" w:cstheme="minorHAnsi"/>
                <w:u w:val="single"/>
              </w:rPr>
            </w:pPr>
            <w:r w:rsidRPr="006C063F">
              <w:rPr>
                <w:rFonts w:eastAsia="MS Mincho" w:cstheme="minorHAnsi"/>
                <w:u w:val="single"/>
              </w:rPr>
              <w:t>Efficacy:</w:t>
            </w:r>
          </w:p>
          <w:p w:rsidR="003E03B2" w:rsidRPr="00017AE6" w:rsidRDefault="003E03B2" w:rsidP="00A71365">
            <w:pPr>
              <w:pStyle w:val="Tablewriting"/>
              <w:rPr>
                <w:rFonts w:eastAsia="MS Mincho" w:cstheme="minorHAnsi"/>
              </w:rPr>
            </w:pPr>
            <w:r w:rsidRPr="00017AE6">
              <w:rPr>
                <w:rFonts w:eastAsia="MS Mincho" w:cstheme="minorHAnsi"/>
              </w:rPr>
              <w:t>Primary: presumed PPA at 12 w</w:t>
            </w:r>
            <w:r w:rsidR="006C063F">
              <w:rPr>
                <w:rFonts w:eastAsia="MS Mincho" w:cstheme="minorHAnsi"/>
              </w:rPr>
              <w:t>ee</w:t>
            </w:r>
            <w:r w:rsidRPr="00017AE6">
              <w:rPr>
                <w:rFonts w:eastAsia="MS Mincho" w:cstheme="minorHAnsi"/>
              </w:rPr>
              <w:t>ks</w:t>
            </w:r>
            <w:r w:rsidR="006C063F">
              <w:rPr>
                <w:rFonts w:eastAsia="MS Mincho" w:cstheme="minorHAnsi"/>
              </w:rPr>
              <w:t>,</w:t>
            </w:r>
          </w:p>
          <w:p w:rsidR="003E03B2" w:rsidRPr="00017AE6" w:rsidRDefault="003E03B2" w:rsidP="00A71365">
            <w:pPr>
              <w:pStyle w:val="Tablewriting"/>
              <w:rPr>
                <w:rFonts w:eastAsia="MS Mincho" w:cstheme="minorHAnsi"/>
              </w:rPr>
            </w:pPr>
            <w:r w:rsidRPr="00017AE6">
              <w:rPr>
                <w:rFonts w:eastAsia="MS Mincho" w:cstheme="minorHAnsi"/>
              </w:rPr>
              <w:t>Secondary: presumed PPA at 0, 6, 24 w</w:t>
            </w:r>
            <w:r w:rsidR="006C063F">
              <w:rPr>
                <w:rFonts w:eastAsia="MS Mincho" w:cstheme="minorHAnsi"/>
              </w:rPr>
              <w:t>ee</w:t>
            </w:r>
            <w:r w:rsidRPr="00017AE6">
              <w:rPr>
                <w:rFonts w:eastAsia="MS Mincho" w:cstheme="minorHAnsi"/>
              </w:rPr>
              <w:t>ks</w:t>
            </w:r>
            <w:r w:rsidR="006C063F">
              <w:rPr>
                <w:rFonts w:eastAsia="MS Mincho" w:cstheme="minorHAnsi"/>
              </w:rPr>
              <w:t>.</w:t>
            </w:r>
          </w:p>
          <w:p w:rsidR="006C063F" w:rsidRPr="00017AE6" w:rsidRDefault="006C063F" w:rsidP="00A71365">
            <w:pPr>
              <w:pStyle w:val="Tablewriting"/>
              <w:rPr>
                <w:rFonts w:eastAsia="MS Mincho" w:cstheme="minorHAnsi"/>
              </w:rPr>
            </w:pPr>
          </w:p>
          <w:p w:rsidR="003E03B2" w:rsidRPr="00017AE6" w:rsidRDefault="003E03B2" w:rsidP="00A71365">
            <w:pPr>
              <w:pStyle w:val="Tablewriting"/>
              <w:rPr>
                <w:rFonts w:eastAsia="MS Mincho" w:cstheme="minorHAnsi"/>
              </w:rPr>
            </w:pPr>
            <w:r w:rsidRPr="00017AE6">
              <w:rPr>
                <w:rFonts w:eastAsia="MS Mincho" w:cstheme="minorHAnsi"/>
              </w:rPr>
              <w:t>Validation by expired CO &lt; 10 ppm</w:t>
            </w:r>
            <w:r w:rsidR="006C063F">
              <w:rPr>
                <w:rFonts w:eastAsia="MS Mincho" w:cstheme="minorHAnsi"/>
              </w:rPr>
              <w:t>.</w:t>
            </w:r>
          </w:p>
          <w:p w:rsidR="006C063F" w:rsidRPr="00017AE6" w:rsidRDefault="006C063F" w:rsidP="00A71365">
            <w:pPr>
              <w:pStyle w:val="Tablewriting"/>
              <w:rPr>
                <w:rFonts w:eastAsia="MS Mincho" w:cstheme="minorHAnsi"/>
              </w:rPr>
            </w:pPr>
          </w:p>
          <w:p w:rsidR="00C25F5E" w:rsidRPr="00017AE6" w:rsidRDefault="00B47021" w:rsidP="00A71365">
            <w:pPr>
              <w:pStyle w:val="Tablewriting"/>
              <w:rPr>
                <w:rFonts w:eastAsia="MS Mincho" w:cstheme="minorHAnsi"/>
              </w:rPr>
            </w:pPr>
            <w:r w:rsidRPr="00AC5AD8">
              <w:rPr>
                <w:rFonts w:eastAsia="MS Mincho" w:cstheme="minorHAnsi"/>
                <w:u w:val="single"/>
              </w:rPr>
              <w:t>Safety:</w:t>
            </w:r>
            <w:r w:rsidRPr="00AC5AD8">
              <w:rPr>
                <w:rFonts w:eastAsia="MS Mincho" w:cstheme="minorHAnsi"/>
              </w:rPr>
              <w:t xml:space="preserve"> N</w:t>
            </w:r>
            <w:r w:rsidR="00AC5AD8" w:rsidRPr="00AC5AD8">
              <w:rPr>
                <w:rFonts w:eastAsia="MS Mincho" w:cstheme="minorHAnsi"/>
              </w:rPr>
              <w:t>R; however</w:t>
            </w:r>
            <w:r w:rsidR="00053653" w:rsidRPr="00AC5AD8">
              <w:rPr>
                <w:rFonts w:eastAsia="MS Mincho" w:cstheme="minorHAnsi"/>
              </w:rPr>
              <w:t xml:space="preserve"> a</w:t>
            </w:r>
            <w:r w:rsidR="003E03B2" w:rsidRPr="00AC5AD8">
              <w:rPr>
                <w:rFonts w:eastAsia="MS Mincho" w:cstheme="minorHAnsi"/>
              </w:rPr>
              <w:t>lso assessed asthma symptom score, general health quality score (15D) and methacholine challenge</w:t>
            </w:r>
            <w:r w:rsidRPr="00AC5AD8">
              <w:rPr>
                <w:rFonts w:eastAsia="MS Mincho" w:cstheme="minorHAnsi"/>
              </w:rPr>
              <w:t>.</w:t>
            </w:r>
          </w:p>
        </w:tc>
      </w:tr>
      <w:tr w:rsidR="003D3459" w:rsidRPr="00017AE6" w:rsidTr="000728F8">
        <w:trPr>
          <w:trHeight w:val="99"/>
        </w:trPr>
        <w:tc>
          <w:tcPr>
            <w:tcW w:w="763" w:type="pct"/>
          </w:tcPr>
          <w:p w:rsidR="00C25F5E" w:rsidRPr="00017AE6" w:rsidRDefault="00C25F5E" w:rsidP="00A71365">
            <w:pPr>
              <w:pStyle w:val="Tablewriting"/>
              <w:rPr>
                <w:rFonts w:eastAsia="MS Mincho" w:cstheme="minorHAnsi"/>
              </w:rPr>
            </w:pPr>
            <w:r w:rsidRPr="00017AE6">
              <w:rPr>
                <w:rFonts w:eastAsia="MS Mincho" w:cstheme="minorHAnsi"/>
              </w:rPr>
              <w:t xml:space="preserve">Wong </w:t>
            </w:r>
            <w:r w:rsidR="00DF0515">
              <w:rPr>
                <w:rFonts w:eastAsia="MS Mincho" w:cstheme="minorHAnsi"/>
              </w:rPr>
              <w:t>(</w:t>
            </w:r>
            <w:r w:rsidRPr="00017AE6">
              <w:rPr>
                <w:rFonts w:eastAsia="MS Mincho" w:cstheme="minorHAnsi"/>
              </w:rPr>
              <w:t>2012</w:t>
            </w:r>
            <w:r w:rsidR="00DF0515">
              <w:rPr>
                <w:rFonts w:eastAsia="MS Mincho" w:cstheme="minorHAnsi"/>
              </w:rPr>
              <w:t>)</w:t>
            </w:r>
          </w:p>
        </w:tc>
        <w:tc>
          <w:tcPr>
            <w:tcW w:w="234" w:type="pct"/>
          </w:tcPr>
          <w:p w:rsidR="00C25F5E" w:rsidRPr="00017AE6" w:rsidRDefault="00C25F5E" w:rsidP="00A71365">
            <w:pPr>
              <w:pStyle w:val="Tablewriting"/>
              <w:rPr>
                <w:rFonts w:eastAsia="MS Mincho" w:cstheme="minorHAnsi"/>
              </w:rPr>
            </w:pPr>
            <w:r w:rsidRPr="00017AE6">
              <w:rPr>
                <w:rFonts w:eastAsia="MS Mincho" w:cstheme="minorHAnsi"/>
              </w:rPr>
              <w:t>RCT</w:t>
            </w:r>
          </w:p>
        </w:tc>
        <w:tc>
          <w:tcPr>
            <w:tcW w:w="460" w:type="pct"/>
          </w:tcPr>
          <w:p w:rsidR="00C25F5E" w:rsidRPr="00017AE6" w:rsidRDefault="003E03B2" w:rsidP="00A71365">
            <w:pPr>
              <w:pStyle w:val="Tablewriting"/>
              <w:rPr>
                <w:rFonts w:eastAsia="MS Mincho" w:cstheme="minorHAnsi"/>
              </w:rPr>
            </w:pPr>
            <w:r w:rsidRPr="00017AE6">
              <w:rPr>
                <w:rFonts w:eastAsia="MS Mincho" w:cstheme="minorHAnsi"/>
              </w:rPr>
              <w:t>Canada</w:t>
            </w:r>
          </w:p>
        </w:tc>
        <w:tc>
          <w:tcPr>
            <w:tcW w:w="675" w:type="pct"/>
          </w:tcPr>
          <w:p w:rsidR="00C25F5E" w:rsidRPr="00017AE6" w:rsidRDefault="00C25F5E" w:rsidP="00A71365">
            <w:pPr>
              <w:pStyle w:val="Tablewriting"/>
              <w:rPr>
                <w:rFonts w:eastAsia="MS Mincho" w:cstheme="minorHAnsi"/>
              </w:rPr>
            </w:pPr>
            <w:r w:rsidRPr="00017AE6">
              <w:rPr>
                <w:rFonts w:eastAsia="MS Mincho" w:cstheme="minorHAnsi"/>
              </w:rPr>
              <w:t>N=</w:t>
            </w:r>
            <w:r w:rsidR="003E03B2" w:rsidRPr="00017AE6">
              <w:rPr>
                <w:rFonts w:eastAsia="MS Mincho" w:cstheme="minorHAnsi"/>
              </w:rPr>
              <w:t>286</w:t>
            </w:r>
            <w:r w:rsidR="00937455">
              <w:rPr>
                <w:rFonts w:eastAsia="MS Mincho" w:cstheme="minorHAnsi"/>
              </w:rPr>
              <w:t>; n=151 (</w:t>
            </w:r>
            <w:r w:rsidR="00937455" w:rsidRPr="00017AE6">
              <w:rPr>
                <w:rFonts w:eastAsia="MS Mincho" w:cstheme="minorHAnsi"/>
              </w:rPr>
              <w:t>varenicline)</w:t>
            </w:r>
            <w:r w:rsidR="00937455">
              <w:rPr>
                <w:rFonts w:eastAsia="MS Mincho" w:cstheme="minorHAnsi"/>
              </w:rPr>
              <w:t>, n=135 (</w:t>
            </w:r>
            <w:r w:rsidR="00937455" w:rsidRPr="00017AE6">
              <w:rPr>
                <w:rFonts w:eastAsia="MS Mincho" w:cstheme="minorHAnsi"/>
              </w:rPr>
              <w:t>placebo).</w:t>
            </w:r>
          </w:p>
        </w:tc>
        <w:tc>
          <w:tcPr>
            <w:tcW w:w="853" w:type="pct"/>
          </w:tcPr>
          <w:p w:rsidR="003E03B2" w:rsidRPr="00017AE6" w:rsidRDefault="003E03B2" w:rsidP="00A71365">
            <w:pPr>
              <w:pStyle w:val="Tablewriting"/>
              <w:rPr>
                <w:rFonts w:eastAsia="MS Mincho" w:cstheme="minorHAnsi"/>
              </w:rPr>
            </w:pPr>
            <w:r w:rsidRPr="00017AE6">
              <w:rPr>
                <w:rFonts w:eastAsia="MS Mincho" w:cstheme="minorHAnsi"/>
              </w:rPr>
              <w:t>Non-cardiac elective surgery patients, smoking 10+ CPD, no abstinence &gt; 3m in last year, scheduled</w:t>
            </w:r>
          </w:p>
          <w:p w:rsidR="00937455" w:rsidRDefault="003E03B2" w:rsidP="00A71365">
            <w:pPr>
              <w:pStyle w:val="Tablewriting"/>
              <w:rPr>
                <w:rFonts w:eastAsia="MS Mincho" w:cstheme="minorHAnsi"/>
              </w:rPr>
            </w:pPr>
            <w:r w:rsidRPr="00017AE6">
              <w:rPr>
                <w:rFonts w:eastAsia="MS Mincho" w:cstheme="minorHAnsi"/>
              </w:rPr>
              <w:t xml:space="preserve">for surgery in the next 8 - 30 days. </w:t>
            </w:r>
          </w:p>
          <w:p w:rsidR="00937455" w:rsidRDefault="00937455" w:rsidP="00A71365">
            <w:pPr>
              <w:pStyle w:val="Tablewriting"/>
              <w:rPr>
                <w:rFonts w:eastAsia="MS Mincho" w:cstheme="minorHAnsi"/>
              </w:rPr>
            </w:pPr>
          </w:p>
          <w:p w:rsidR="003E03B2" w:rsidRPr="00017AE6" w:rsidRDefault="003E03B2" w:rsidP="00A71365">
            <w:pPr>
              <w:pStyle w:val="Tablewriting"/>
              <w:rPr>
                <w:rFonts w:eastAsia="MS Mincho" w:cstheme="minorHAnsi"/>
              </w:rPr>
            </w:pPr>
            <w:r w:rsidRPr="00017AE6">
              <w:rPr>
                <w:rFonts w:eastAsia="MS Mincho" w:cstheme="minorHAnsi"/>
              </w:rPr>
              <w:t>Mean age 52.6</w:t>
            </w:r>
            <w:r w:rsidR="00937455">
              <w:rPr>
                <w:rFonts w:eastAsia="MS Mincho" w:cstheme="minorHAnsi"/>
              </w:rPr>
              <w:t xml:space="preserve"> years</w:t>
            </w:r>
            <w:r w:rsidRPr="00017AE6">
              <w:rPr>
                <w:rFonts w:eastAsia="MS Mincho" w:cstheme="minorHAnsi"/>
              </w:rPr>
              <w:t>, 47%</w:t>
            </w:r>
          </w:p>
          <w:p w:rsidR="00C25F5E" w:rsidRPr="00017AE6" w:rsidRDefault="003E03B2" w:rsidP="00A71365">
            <w:pPr>
              <w:pStyle w:val="Tablewriting"/>
              <w:rPr>
                <w:rFonts w:eastAsia="MS Mincho" w:cstheme="minorHAnsi"/>
              </w:rPr>
            </w:pPr>
            <w:r w:rsidRPr="00017AE6">
              <w:rPr>
                <w:rFonts w:eastAsia="MS Mincho" w:cstheme="minorHAnsi"/>
              </w:rPr>
              <w:lastRenderedPageBreak/>
              <w:t>women, mean CPD 17.4, mean FTND 4.8</w:t>
            </w:r>
            <w:r w:rsidR="00937455">
              <w:rPr>
                <w:rFonts w:eastAsia="MS Mincho" w:cstheme="minorHAnsi"/>
              </w:rPr>
              <w:t>.</w:t>
            </w:r>
          </w:p>
        </w:tc>
        <w:tc>
          <w:tcPr>
            <w:tcW w:w="1055" w:type="pct"/>
          </w:tcPr>
          <w:p w:rsidR="00A005C3" w:rsidRDefault="003E03B2" w:rsidP="00C324F3">
            <w:pPr>
              <w:pStyle w:val="Tablewriting"/>
              <w:numPr>
                <w:ilvl w:val="0"/>
                <w:numId w:val="90"/>
              </w:numPr>
              <w:rPr>
                <w:rFonts w:eastAsia="MS Mincho" w:cstheme="minorHAnsi"/>
              </w:rPr>
            </w:pPr>
            <w:r w:rsidRPr="00017AE6">
              <w:rPr>
                <w:rFonts w:eastAsia="MS Mincho" w:cstheme="minorHAnsi"/>
              </w:rPr>
              <w:lastRenderedPageBreak/>
              <w:t>Varenicline</w:t>
            </w:r>
            <w:r w:rsidR="00A005C3">
              <w:rPr>
                <w:rFonts w:eastAsia="MS Mincho" w:cstheme="minorHAnsi"/>
              </w:rPr>
              <w:t>;</w:t>
            </w:r>
            <w:r w:rsidRPr="00017AE6">
              <w:rPr>
                <w:rFonts w:eastAsia="MS Mincho" w:cstheme="minorHAnsi"/>
              </w:rPr>
              <w:t xml:space="preserve"> 12 w</w:t>
            </w:r>
            <w:r w:rsidR="00A005C3">
              <w:rPr>
                <w:rFonts w:eastAsia="MS Mincho" w:cstheme="minorHAnsi"/>
              </w:rPr>
              <w:t>ee</w:t>
            </w:r>
            <w:r w:rsidRPr="00017AE6">
              <w:rPr>
                <w:rFonts w:eastAsia="MS Mincho" w:cstheme="minorHAnsi"/>
              </w:rPr>
              <w:t>ks standard regimen, 1st w</w:t>
            </w:r>
            <w:r w:rsidR="00A005C3">
              <w:rPr>
                <w:rFonts w:eastAsia="MS Mincho" w:cstheme="minorHAnsi"/>
              </w:rPr>
              <w:t>ee</w:t>
            </w:r>
            <w:r w:rsidRPr="00017AE6">
              <w:rPr>
                <w:rFonts w:eastAsia="MS Mincho" w:cstheme="minorHAnsi"/>
              </w:rPr>
              <w:t>k titrated</w:t>
            </w:r>
            <w:r w:rsidR="00A005C3">
              <w:rPr>
                <w:rFonts w:eastAsia="MS Mincho" w:cstheme="minorHAnsi"/>
              </w:rPr>
              <w:t>.</w:t>
            </w:r>
          </w:p>
          <w:p w:rsidR="00C25F5E" w:rsidRPr="00017AE6" w:rsidRDefault="003E03B2" w:rsidP="00C324F3">
            <w:pPr>
              <w:pStyle w:val="Tablewriting"/>
              <w:numPr>
                <w:ilvl w:val="0"/>
                <w:numId w:val="90"/>
              </w:numPr>
              <w:rPr>
                <w:rFonts w:eastAsia="MS Mincho" w:cstheme="minorHAnsi"/>
              </w:rPr>
            </w:pPr>
            <w:r w:rsidRPr="00017AE6">
              <w:rPr>
                <w:rFonts w:eastAsia="MS Mincho" w:cstheme="minorHAnsi"/>
              </w:rPr>
              <w:t>Placebo</w:t>
            </w:r>
            <w:r w:rsidR="00A005C3">
              <w:rPr>
                <w:rFonts w:eastAsia="MS Mincho" w:cstheme="minorHAnsi"/>
              </w:rPr>
              <w:t>;</w:t>
            </w:r>
            <w:r w:rsidRPr="00A005C3">
              <w:rPr>
                <w:rFonts w:eastAsia="MS Mincho" w:cstheme="minorHAnsi"/>
              </w:rPr>
              <w:t xml:space="preserve"> </w:t>
            </w:r>
            <w:r w:rsidR="00A005C3">
              <w:rPr>
                <w:rFonts w:eastAsia="MS Mincho" w:cstheme="minorHAnsi"/>
              </w:rPr>
              <w:t>i</w:t>
            </w:r>
            <w:r w:rsidRPr="00A005C3">
              <w:rPr>
                <w:rFonts w:eastAsia="MS Mincho" w:cstheme="minorHAnsi"/>
              </w:rPr>
              <w:t>dentical</w:t>
            </w:r>
            <w:r w:rsidRPr="00017AE6">
              <w:rPr>
                <w:rFonts w:eastAsia="MS Mincho" w:cstheme="minorHAnsi"/>
              </w:rPr>
              <w:t>-looking tablets and regimen</w:t>
            </w:r>
          </w:p>
          <w:p w:rsidR="00A005C3" w:rsidRDefault="00A005C3" w:rsidP="00A71365">
            <w:pPr>
              <w:pStyle w:val="Tablewriting"/>
              <w:rPr>
                <w:rFonts w:eastAsia="MS Mincho" w:cstheme="minorHAnsi"/>
              </w:rPr>
            </w:pPr>
          </w:p>
          <w:p w:rsidR="00150E4A" w:rsidRDefault="00150E4A" w:rsidP="00A71365">
            <w:pPr>
              <w:pStyle w:val="Tablewriting"/>
              <w:rPr>
                <w:rFonts w:eastAsia="MS Mincho" w:cstheme="minorHAnsi"/>
              </w:rPr>
            </w:pPr>
            <w:r w:rsidRPr="00017AE6">
              <w:rPr>
                <w:rFonts w:eastAsia="MS Mincho" w:cstheme="minorHAnsi"/>
              </w:rPr>
              <w:t>Participants were invited to visit the hospital at 3, 6, and 12</w:t>
            </w:r>
            <w:r w:rsidR="00A005C3">
              <w:rPr>
                <w:rFonts w:eastAsia="MS Mincho" w:cstheme="minorHAnsi"/>
              </w:rPr>
              <w:t xml:space="preserve"> </w:t>
            </w:r>
            <w:r w:rsidRPr="00017AE6">
              <w:rPr>
                <w:rFonts w:eastAsia="MS Mincho" w:cstheme="minorHAnsi"/>
              </w:rPr>
              <w:t>m</w:t>
            </w:r>
            <w:r w:rsidR="00A005C3">
              <w:rPr>
                <w:rFonts w:eastAsia="MS Mincho" w:cstheme="minorHAnsi"/>
              </w:rPr>
              <w:t>onths</w:t>
            </w:r>
            <w:r w:rsidRPr="00017AE6">
              <w:rPr>
                <w:rFonts w:eastAsia="MS Mincho" w:cstheme="minorHAnsi"/>
              </w:rPr>
              <w:t xml:space="preserve">, </w:t>
            </w:r>
            <w:r w:rsidRPr="00017AE6">
              <w:rPr>
                <w:rFonts w:eastAsia="MS Mincho" w:cstheme="minorHAnsi"/>
              </w:rPr>
              <w:lastRenderedPageBreak/>
              <w:t>for asses</w:t>
            </w:r>
            <w:r w:rsidR="009E2A27">
              <w:rPr>
                <w:rFonts w:eastAsia="MS Mincho" w:cstheme="minorHAnsi"/>
              </w:rPr>
              <w:t xml:space="preserve">sment and testing. Participants </w:t>
            </w:r>
            <w:r w:rsidRPr="00017AE6">
              <w:rPr>
                <w:rFonts w:eastAsia="MS Mincho" w:cstheme="minorHAnsi"/>
              </w:rPr>
              <w:t>unable to visit the hospital were sent a self-test urinary kit</w:t>
            </w:r>
            <w:r w:rsidR="00F802AA">
              <w:rPr>
                <w:rFonts w:eastAsia="MS Mincho" w:cstheme="minorHAnsi"/>
              </w:rPr>
              <w:t>.</w:t>
            </w:r>
          </w:p>
          <w:p w:rsidR="00937455" w:rsidRDefault="00937455" w:rsidP="00A71365">
            <w:pPr>
              <w:pStyle w:val="Tablewriting"/>
              <w:rPr>
                <w:rFonts w:eastAsia="MS Mincho" w:cstheme="minorHAnsi"/>
              </w:rPr>
            </w:pPr>
          </w:p>
          <w:p w:rsidR="00932412" w:rsidRDefault="00937455" w:rsidP="00A71365">
            <w:pPr>
              <w:pStyle w:val="Tablewriting"/>
              <w:rPr>
                <w:rFonts w:eastAsia="MS Mincho" w:cstheme="minorHAnsi"/>
              </w:rPr>
            </w:pPr>
            <w:r w:rsidRPr="06BFFAED">
              <w:rPr>
                <w:rFonts w:eastAsia="MS Mincho" w:cstheme="minorBidi"/>
                <w:u w:val="single"/>
              </w:rPr>
              <w:t>Common components:</w:t>
            </w:r>
            <w:r w:rsidR="00932412">
              <w:rPr>
                <w:rFonts w:eastAsia="MS Mincho" w:cstheme="minorBidi"/>
                <w:u w:val="single"/>
              </w:rPr>
              <w:t xml:space="preserve"> </w:t>
            </w:r>
            <w:r w:rsidRPr="00017AE6">
              <w:rPr>
                <w:rFonts w:eastAsia="MS Mincho" w:cstheme="minorHAnsi"/>
              </w:rPr>
              <w:t xml:space="preserve">All participants received 2 standardised 15-min counselling sessions by researchers, 1 in pre-op clinic and 1 </w:t>
            </w:r>
            <w:r w:rsidR="00932412">
              <w:rPr>
                <w:rFonts w:eastAsia="MS Mincho" w:cstheme="minorHAnsi"/>
              </w:rPr>
              <w:t xml:space="preserve">at </w:t>
            </w:r>
            <w:r w:rsidRPr="00017AE6">
              <w:rPr>
                <w:rFonts w:eastAsia="MS Mincho" w:cstheme="minorHAnsi"/>
              </w:rPr>
              <w:t xml:space="preserve">24 hours after surgery, supplemented by written materials. </w:t>
            </w:r>
          </w:p>
          <w:p w:rsidR="00937455" w:rsidRPr="00017AE6" w:rsidRDefault="00937455" w:rsidP="00A71365">
            <w:pPr>
              <w:pStyle w:val="Tablewriting"/>
              <w:rPr>
                <w:rFonts w:eastAsia="MS Mincho" w:cstheme="minorHAnsi"/>
              </w:rPr>
            </w:pPr>
            <w:r w:rsidRPr="00017AE6">
              <w:rPr>
                <w:rFonts w:eastAsia="MS Mincho" w:cstheme="minorHAnsi"/>
              </w:rPr>
              <w:t>All participants retained the same counsellor throughout the process</w:t>
            </w:r>
            <w:r w:rsidR="00932412">
              <w:rPr>
                <w:rFonts w:eastAsia="MS Mincho" w:cstheme="minorHAnsi"/>
              </w:rPr>
              <w:t>.</w:t>
            </w:r>
          </w:p>
          <w:p w:rsidR="00932412" w:rsidRDefault="00932412" w:rsidP="00A71365">
            <w:pPr>
              <w:pStyle w:val="Tablewriting"/>
              <w:rPr>
                <w:rFonts w:eastAsia="MS Mincho" w:cstheme="minorHAnsi"/>
              </w:rPr>
            </w:pPr>
          </w:p>
          <w:p w:rsidR="00937455" w:rsidRPr="00017AE6" w:rsidRDefault="00937455" w:rsidP="00A71365">
            <w:pPr>
              <w:pStyle w:val="Tablewriting"/>
              <w:rPr>
                <w:rFonts w:eastAsia="MS Mincho" w:cstheme="minorHAnsi"/>
              </w:rPr>
            </w:pPr>
            <w:r w:rsidRPr="00017AE6">
              <w:rPr>
                <w:rFonts w:eastAsia="MS Mincho" w:cstheme="minorHAnsi"/>
              </w:rPr>
              <w:t xml:space="preserve">Weekly counselling phone calls for 4 weeks, and at the end of 8 weeks. </w:t>
            </w:r>
            <w:r w:rsidR="009E2A27">
              <w:rPr>
                <w:rFonts w:eastAsia="MS Mincho" w:cstheme="minorHAnsi"/>
              </w:rPr>
              <w:t xml:space="preserve">From 3 - 12 months, phone calls </w:t>
            </w:r>
            <w:r w:rsidRPr="00017AE6">
              <w:rPr>
                <w:rFonts w:eastAsia="MS Mincho" w:cstheme="minorHAnsi"/>
              </w:rPr>
              <w:t>every 4 weeks for smoking status, nicotine dependence, stage of change, CPD, brief (&lt; 5 mins) counselling.</w:t>
            </w:r>
          </w:p>
          <w:p w:rsidR="00932412" w:rsidRDefault="00932412" w:rsidP="00A71365">
            <w:pPr>
              <w:pStyle w:val="Tablewriting"/>
              <w:rPr>
                <w:rFonts w:eastAsia="MS Mincho" w:cstheme="minorHAnsi"/>
              </w:rPr>
            </w:pPr>
          </w:p>
          <w:p w:rsidR="00937455" w:rsidRPr="00017AE6" w:rsidRDefault="00937455" w:rsidP="00A71365">
            <w:pPr>
              <w:pStyle w:val="Tablewriting"/>
              <w:rPr>
                <w:rFonts w:eastAsia="MS Mincho" w:cstheme="minorHAnsi"/>
              </w:rPr>
            </w:pPr>
            <w:r w:rsidRPr="00017AE6">
              <w:rPr>
                <w:rFonts w:eastAsia="MS Mincho" w:cstheme="minorHAnsi"/>
              </w:rPr>
              <w:t>TQD was set for 24 hours before surgery, and medication begun 7 days before TQD</w:t>
            </w:r>
            <w:r w:rsidR="00A005C3">
              <w:rPr>
                <w:rFonts w:eastAsia="MS Mincho" w:cstheme="minorHAnsi"/>
              </w:rPr>
              <w:t>.</w:t>
            </w:r>
          </w:p>
          <w:p w:rsidR="00150E4A" w:rsidRPr="00017AE6" w:rsidRDefault="00150E4A" w:rsidP="00A71365">
            <w:pPr>
              <w:pStyle w:val="Tablewriting"/>
              <w:rPr>
                <w:rFonts w:eastAsia="MS Mincho" w:cstheme="minorHAnsi"/>
              </w:rPr>
            </w:pPr>
          </w:p>
        </w:tc>
        <w:tc>
          <w:tcPr>
            <w:tcW w:w="960" w:type="pct"/>
          </w:tcPr>
          <w:p w:rsidR="00150E4A" w:rsidRPr="004F1F6D" w:rsidRDefault="00F802AA" w:rsidP="00A71365">
            <w:pPr>
              <w:pStyle w:val="Tablewriting"/>
              <w:rPr>
                <w:rFonts w:eastAsia="MS Mincho" w:cstheme="minorHAnsi"/>
                <w:u w:val="single"/>
              </w:rPr>
            </w:pPr>
            <w:r w:rsidRPr="00F802AA">
              <w:rPr>
                <w:rFonts w:eastAsia="MS Mincho" w:cstheme="minorHAnsi"/>
                <w:u w:val="single"/>
              </w:rPr>
              <w:lastRenderedPageBreak/>
              <w:t>Efficacy:</w:t>
            </w:r>
            <w:r>
              <w:rPr>
                <w:rFonts w:eastAsia="MS Mincho" w:cstheme="minorHAnsi"/>
                <w:u w:val="single"/>
              </w:rPr>
              <w:t xml:space="preserve"> </w:t>
            </w:r>
            <w:r w:rsidR="00150E4A" w:rsidRPr="00017AE6">
              <w:rPr>
                <w:rFonts w:eastAsia="MS Mincho" w:cstheme="minorHAnsi"/>
              </w:rPr>
              <w:t>7-day PPA at 12</w:t>
            </w:r>
            <w:r>
              <w:rPr>
                <w:rFonts w:eastAsia="MS Mincho" w:cstheme="minorHAnsi"/>
              </w:rPr>
              <w:t xml:space="preserve"> </w:t>
            </w:r>
            <w:r w:rsidR="00150E4A" w:rsidRPr="00017AE6">
              <w:rPr>
                <w:rFonts w:eastAsia="MS Mincho" w:cstheme="minorHAnsi"/>
              </w:rPr>
              <w:t>m</w:t>
            </w:r>
            <w:r>
              <w:rPr>
                <w:rFonts w:eastAsia="MS Mincho" w:cstheme="minorHAnsi"/>
              </w:rPr>
              <w:t>onths,</w:t>
            </w:r>
            <w:r w:rsidR="00150E4A" w:rsidRPr="00017AE6">
              <w:rPr>
                <w:rFonts w:eastAsia="MS Mincho" w:cstheme="minorHAnsi"/>
              </w:rPr>
              <w:t xml:space="preserve"> abstinence on TQD</w:t>
            </w:r>
            <w:r>
              <w:rPr>
                <w:rFonts w:eastAsia="MS Mincho" w:cstheme="minorHAnsi"/>
              </w:rPr>
              <w:t>,</w:t>
            </w:r>
            <w:r w:rsidR="00150E4A" w:rsidRPr="00017AE6">
              <w:rPr>
                <w:rFonts w:eastAsia="MS Mincho" w:cstheme="minorHAnsi"/>
              </w:rPr>
              <w:t xml:space="preserve"> 7-day PPA at 3 and 6</w:t>
            </w:r>
            <w:r>
              <w:rPr>
                <w:rFonts w:eastAsia="MS Mincho" w:cstheme="minorHAnsi"/>
              </w:rPr>
              <w:t xml:space="preserve"> </w:t>
            </w:r>
            <w:r w:rsidR="00150E4A" w:rsidRPr="00017AE6">
              <w:rPr>
                <w:rFonts w:eastAsia="MS Mincho" w:cstheme="minorHAnsi"/>
              </w:rPr>
              <w:t>m</w:t>
            </w:r>
            <w:r>
              <w:rPr>
                <w:rFonts w:eastAsia="MS Mincho" w:cstheme="minorHAnsi"/>
              </w:rPr>
              <w:t>onths</w:t>
            </w:r>
            <w:r w:rsidR="00150E4A" w:rsidRPr="00017AE6">
              <w:rPr>
                <w:rFonts w:eastAsia="MS Mincho" w:cstheme="minorHAnsi"/>
              </w:rPr>
              <w:t>. Self-reported changes in CPD and stage</w:t>
            </w:r>
            <w:r w:rsidR="004F1F6D">
              <w:rPr>
                <w:rFonts w:eastAsia="MS Mincho" w:cstheme="minorHAnsi"/>
              </w:rPr>
              <w:t xml:space="preserve"> </w:t>
            </w:r>
            <w:r w:rsidR="00150E4A" w:rsidRPr="00017AE6">
              <w:rPr>
                <w:rFonts w:eastAsia="MS Mincho" w:cstheme="minorHAnsi"/>
              </w:rPr>
              <w:t>of change at 3, 6 and 12</w:t>
            </w:r>
            <w:r w:rsidR="004F1F6D">
              <w:rPr>
                <w:rFonts w:eastAsia="MS Mincho" w:cstheme="minorHAnsi"/>
              </w:rPr>
              <w:t xml:space="preserve"> </w:t>
            </w:r>
            <w:r w:rsidR="00150E4A" w:rsidRPr="00017AE6">
              <w:rPr>
                <w:rFonts w:eastAsia="MS Mincho" w:cstheme="minorHAnsi"/>
              </w:rPr>
              <w:t>m</w:t>
            </w:r>
            <w:r w:rsidR="004F1F6D">
              <w:rPr>
                <w:rFonts w:eastAsia="MS Mincho" w:cstheme="minorHAnsi"/>
              </w:rPr>
              <w:t>onths.</w:t>
            </w:r>
          </w:p>
          <w:p w:rsidR="00D2607B" w:rsidRDefault="00D2607B" w:rsidP="00A71365">
            <w:pPr>
              <w:pStyle w:val="Tablewriting"/>
              <w:rPr>
                <w:rFonts w:eastAsia="MS Mincho" w:cstheme="minorHAnsi"/>
              </w:rPr>
            </w:pPr>
          </w:p>
          <w:p w:rsidR="00C25F5E" w:rsidRDefault="00150E4A" w:rsidP="00A71365">
            <w:pPr>
              <w:pStyle w:val="Tablewriting"/>
              <w:rPr>
                <w:rFonts w:eastAsia="MS Mincho" w:cstheme="minorHAnsi"/>
              </w:rPr>
            </w:pPr>
            <w:r w:rsidRPr="00017AE6">
              <w:rPr>
                <w:rFonts w:eastAsia="MS Mincho" w:cstheme="minorHAnsi"/>
              </w:rPr>
              <w:lastRenderedPageBreak/>
              <w:t>Validation: Expired CO and urinary cotinine (cut-o</w:t>
            </w:r>
            <w:r w:rsidR="00511A4F">
              <w:rPr>
                <w:rFonts w:eastAsia="MS Mincho" w:cstheme="minorHAnsi"/>
              </w:rPr>
              <w:t>ff</w:t>
            </w:r>
            <w:r w:rsidRPr="00017AE6">
              <w:rPr>
                <w:rFonts w:eastAsia="MS Mincho" w:cstheme="minorHAnsi"/>
              </w:rPr>
              <w:t>s not given)</w:t>
            </w:r>
          </w:p>
          <w:p w:rsidR="004F1F6D" w:rsidRDefault="004F1F6D" w:rsidP="00A71365">
            <w:pPr>
              <w:pStyle w:val="Tablewriting"/>
              <w:rPr>
                <w:rFonts w:eastAsia="MS Mincho" w:cstheme="minorHAnsi"/>
              </w:rPr>
            </w:pPr>
          </w:p>
          <w:p w:rsidR="00C25F5E" w:rsidRPr="00017AE6" w:rsidRDefault="004F1F6D" w:rsidP="00A71365">
            <w:pPr>
              <w:pStyle w:val="Tablewriting"/>
              <w:rPr>
                <w:rFonts w:eastAsia="MS Mincho" w:cstheme="minorHAnsi"/>
              </w:rPr>
            </w:pPr>
            <w:r w:rsidRPr="004F1F6D">
              <w:rPr>
                <w:rFonts w:eastAsia="MS Mincho" w:cstheme="minorHAnsi"/>
                <w:u w:val="single"/>
              </w:rPr>
              <w:t>Safety:</w:t>
            </w:r>
            <w:r>
              <w:rPr>
                <w:rFonts w:eastAsia="MS Mincho" w:cstheme="minorHAnsi"/>
              </w:rPr>
              <w:t xml:space="preserve"> NR</w:t>
            </w:r>
          </w:p>
        </w:tc>
      </w:tr>
      <w:tr w:rsidR="003D3459" w:rsidRPr="00017AE6" w:rsidTr="000728F8">
        <w:trPr>
          <w:trHeight w:val="99"/>
        </w:trPr>
        <w:tc>
          <w:tcPr>
            <w:tcW w:w="763" w:type="pct"/>
            <w:shd w:val="clear" w:color="auto" w:fill="F2F2F2" w:themeFill="background1" w:themeFillShade="F2"/>
          </w:tcPr>
          <w:p w:rsidR="001A7655" w:rsidRPr="00017AE6" w:rsidRDefault="006F538F" w:rsidP="00A71365">
            <w:pPr>
              <w:pStyle w:val="Tablewriting"/>
              <w:rPr>
                <w:rFonts w:eastAsia="MS Mincho" w:cstheme="minorHAnsi"/>
              </w:rPr>
            </w:pPr>
            <w:r w:rsidRPr="006F538F">
              <w:rPr>
                <w:rFonts w:eastAsia="MS Mincho" w:cstheme="minorHAnsi"/>
              </w:rPr>
              <w:lastRenderedPageBreak/>
              <w:t xml:space="preserve">Ebbert </w:t>
            </w:r>
            <w:r w:rsidR="00DF0515">
              <w:rPr>
                <w:rFonts w:eastAsia="MS Mincho" w:cstheme="minorHAnsi"/>
              </w:rPr>
              <w:t>(</w:t>
            </w:r>
            <w:r w:rsidRPr="006F538F">
              <w:rPr>
                <w:rFonts w:eastAsia="MS Mincho" w:cstheme="minorHAnsi"/>
              </w:rPr>
              <w:t>2015</w:t>
            </w:r>
            <w:r w:rsidR="00DF0515">
              <w:rPr>
                <w:rFonts w:eastAsia="MS Mincho" w:cstheme="minorHAnsi"/>
              </w:rPr>
              <w:t>)</w:t>
            </w:r>
          </w:p>
        </w:tc>
        <w:tc>
          <w:tcPr>
            <w:tcW w:w="234" w:type="pct"/>
            <w:shd w:val="clear" w:color="auto" w:fill="F2F2F2" w:themeFill="background1" w:themeFillShade="F2"/>
          </w:tcPr>
          <w:p w:rsidR="001A7655" w:rsidRPr="00017AE6" w:rsidRDefault="00DB181B" w:rsidP="00A71365">
            <w:pPr>
              <w:pStyle w:val="Tablewriting"/>
              <w:rPr>
                <w:rFonts w:eastAsia="MS Mincho" w:cstheme="minorHAnsi"/>
              </w:rPr>
            </w:pPr>
            <w:r>
              <w:rPr>
                <w:rFonts w:eastAsia="MS Mincho" w:cstheme="minorHAnsi"/>
              </w:rPr>
              <w:t>RCT</w:t>
            </w:r>
          </w:p>
        </w:tc>
        <w:tc>
          <w:tcPr>
            <w:tcW w:w="460" w:type="pct"/>
            <w:shd w:val="clear" w:color="auto" w:fill="F2F2F2" w:themeFill="background1" w:themeFillShade="F2"/>
          </w:tcPr>
          <w:p w:rsidR="00DB181B" w:rsidRPr="00DB181B" w:rsidRDefault="00DB181B" w:rsidP="00A71365">
            <w:pPr>
              <w:pStyle w:val="Tablewriting"/>
              <w:rPr>
                <w:rFonts w:eastAsia="MS Mincho" w:cstheme="minorHAnsi"/>
              </w:rPr>
            </w:pPr>
            <w:r w:rsidRPr="00DB181B">
              <w:rPr>
                <w:rFonts w:eastAsia="MS Mincho" w:cstheme="minorHAnsi"/>
              </w:rPr>
              <w:t xml:space="preserve">65 centres in 10 countries: USA (14), Australia (4), Canada (6), Czech </w:t>
            </w:r>
            <w:r w:rsidRPr="00DB181B">
              <w:rPr>
                <w:rFonts w:eastAsia="MS Mincho" w:cstheme="minorHAnsi"/>
              </w:rPr>
              <w:lastRenderedPageBreak/>
              <w:t>Republic (7), Egypt (3),</w:t>
            </w:r>
          </w:p>
          <w:p w:rsidR="001A7655" w:rsidRPr="00017AE6" w:rsidRDefault="00DB181B" w:rsidP="00A71365">
            <w:pPr>
              <w:pStyle w:val="Tablewriting"/>
              <w:rPr>
                <w:rFonts w:eastAsia="MS Mincho" w:cstheme="minorHAnsi"/>
              </w:rPr>
            </w:pPr>
            <w:r w:rsidRPr="00DB181B">
              <w:rPr>
                <w:rFonts w:eastAsia="MS Mincho" w:cstheme="minorHAnsi"/>
              </w:rPr>
              <w:t>Germany (7), Japan (6), Mexico (4), Taiwan (7), UK (7)</w:t>
            </w:r>
          </w:p>
        </w:tc>
        <w:tc>
          <w:tcPr>
            <w:tcW w:w="675" w:type="pct"/>
            <w:shd w:val="clear" w:color="auto" w:fill="F2F2F2" w:themeFill="background1" w:themeFillShade="F2"/>
          </w:tcPr>
          <w:p w:rsidR="00DE4B4D" w:rsidRPr="001634C0" w:rsidRDefault="001634C0" w:rsidP="00A71365">
            <w:pPr>
              <w:pStyle w:val="Tablewriting"/>
              <w:rPr>
                <w:rFonts w:eastAsia="MS Mincho" w:cstheme="minorHAnsi"/>
              </w:rPr>
            </w:pPr>
            <w:r>
              <w:rPr>
                <w:rFonts w:eastAsia="MS Mincho" w:cstheme="minorHAnsi"/>
              </w:rPr>
              <w:lastRenderedPageBreak/>
              <w:t>N=1510</w:t>
            </w:r>
            <w:r w:rsidR="00DE4B4D">
              <w:rPr>
                <w:rFonts w:eastAsia="MS Mincho" w:cstheme="minorHAnsi"/>
              </w:rPr>
              <w:t>;</w:t>
            </w:r>
            <w:r w:rsidR="006E76C0">
              <w:rPr>
                <w:rFonts w:eastAsia="MS Mincho" w:cstheme="minorHAnsi"/>
              </w:rPr>
              <w:t xml:space="preserve"> n=760 (</w:t>
            </w:r>
            <w:r w:rsidR="00DE4B4D" w:rsidRPr="001634C0">
              <w:rPr>
                <w:rFonts w:eastAsia="MS Mincho" w:cstheme="minorHAnsi"/>
              </w:rPr>
              <w:t>varenicline)</w:t>
            </w:r>
            <w:r w:rsidR="006E76C0">
              <w:rPr>
                <w:rFonts w:eastAsia="MS Mincho" w:cstheme="minorHAnsi"/>
              </w:rPr>
              <w:t>, n=750 (</w:t>
            </w:r>
            <w:r w:rsidR="00DE4B4D" w:rsidRPr="001634C0">
              <w:rPr>
                <w:rFonts w:eastAsia="MS Mincho" w:cstheme="minorHAnsi"/>
              </w:rPr>
              <w:t>placebo)</w:t>
            </w:r>
          </w:p>
          <w:p w:rsidR="001A7655" w:rsidRPr="00017AE6" w:rsidRDefault="001A7655" w:rsidP="00A71365">
            <w:pPr>
              <w:pStyle w:val="Tablewriting"/>
              <w:rPr>
                <w:rFonts w:eastAsia="MS Mincho" w:cstheme="minorHAnsi"/>
              </w:rPr>
            </w:pPr>
          </w:p>
        </w:tc>
        <w:tc>
          <w:tcPr>
            <w:tcW w:w="853" w:type="pct"/>
            <w:shd w:val="clear" w:color="auto" w:fill="F2F2F2" w:themeFill="background1" w:themeFillShade="F2"/>
          </w:tcPr>
          <w:p w:rsidR="00DE4B4D" w:rsidRDefault="00FE5A0A" w:rsidP="00A71365">
            <w:pPr>
              <w:pStyle w:val="Tablewriting"/>
              <w:rPr>
                <w:rFonts w:eastAsia="MS Mincho" w:cstheme="minorHAnsi"/>
              </w:rPr>
            </w:pPr>
            <w:r>
              <w:rPr>
                <w:rFonts w:eastAsia="MS Mincho" w:cstheme="minorHAnsi"/>
              </w:rPr>
              <w:t>A</w:t>
            </w:r>
            <w:r w:rsidR="001634C0" w:rsidRPr="001634C0">
              <w:rPr>
                <w:rFonts w:eastAsia="MS Mincho" w:cstheme="minorHAnsi"/>
              </w:rPr>
              <w:t>dult smokers,</w:t>
            </w:r>
            <w:r w:rsidR="00C85FFA">
              <w:rPr>
                <w:rFonts w:eastAsia="MS Mincho" w:cstheme="minorHAnsi"/>
              </w:rPr>
              <w:t xml:space="preserve"> </w:t>
            </w:r>
            <w:r w:rsidR="001634C0" w:rsidRPr="001634C0">
              <w:rPr>
                <w:rFonts w:eastAsia="MS Mincho" w:cstheme="minorHAnsi"/>
              </w:rPr>
              <w:t>unwilling to quit abruptly (within the next month), aged 18+, smoking mean 10+</w:t>
            </w:r>
            <w:r w:rsidR="00DE4B4D">
              <w:rPr>
                <w:rFonts w:eastAsia="MS Mincho" w:cstheme="minorHAnsi"/>
              </w:rPr>
              <w:t xml:space="preserve"> </w:t>
            </w:r>
            <w:r w:rsidR="001634C0" w:rsidRPr="001634C0">
              <w:rPr>
                <w:rFonts w:eastAsia="MS Mincho" w:cstheme="minorHAnsi"/>
              </w:rPr>
              <w:t xml:space="preserve">CPD, interested in trying to quit within 3 months. </w:t>
            </w:r>
          </w:p>
          <w:p w:rsidR="00DE4B4D" w:rsidRDefault="00DE4B4D" w:rsidP="00A71365">
            <w:pPr>
              <w:pStyle w:val="Tablewriting"/>
              <w:rPr>
                <w:rFonts w:eastAsia="MS Mincho" w:cstheme="minorHAnsi"/>
              </w:rPr>
            </w:pPr>
          </w:p>
          <w:p w:rsidR="001634C0" w:rsidRPr="001634C0" w:rsidRDefault="001634C0" w:rsidP="00A71365">
            <w:pPr>
              <w:pStyle w:val="Tablewriting"/>
              <w:rPr>
                <w:rFonts w:eastAsia="MS Mincho" w:cstheme="minorHAnsi"/>
              </w:rPr>
            </w:pPr>
            <w:r w:rsidRPr="001634C0">
              <w:rPr>
                <w:rFonts w:eastAsia="MS Mincho" w:cstheme="minorHAnsi"/>
              </w:rPr>
              <w:lastRenderedPageBreak/>
              <w:t>Mean age 44.5, 43.7% women, mean CPD 20.7, mean</w:t>
            </w:r>
            <w:r w:rsidR="00DE4B4D">
              <w:rPr>
                <w:rFonts w:eastAsia="MS Mincho" w:cstheme="minorHAnsi"/>
              </w:rPr>
              <w:t xml:space="preserve"> </w:t>
            </w:r>
            <w:r w:rsidRPr="001634C0">
              <w:rPr>
                <w:rFonts w:eastAsia="MS Mincho" w:cstheme="minorHAnsi"/>
              </w:rPr>
              <w:t xml:space="preserve">FTND 5.5. </w:t>
            </w:r>
          </w:p>
          <w:p w:rsidR="004427B3" w:rsidRDefault="004427B3" w:rsidP="00A71365">
            <w:pPr>
              <w:pStyle w:val="Tablewriting"/>
              <w:rPr>
                <w:rFonts w:eastAsia="MS Mincho" w:cstheme="minorHAnsi"/>
              </w:rPr>
            </w:pPr>
          </w:p>
          <w:p w:rsidR="001634C0" w:rsidRPr="001634C0" w:rsidRDefault="001634C0" w:rsidP="00A71365">
            <w:pPr>
              <w:pStyle w:val="Tablewriting"/>
              <w:rPr>
                <w:rFonts w:eastAsia="MS Mincho" w:cstheme="minorHAnsi"/>
              </w:rPr>
            </w:pPr>
            <w:r w:rsidRPr="004427B3">
              <w:rPr>
                <w:rFonts w:eastAsia="MS Mincho" w:cstheme="minorHAnsi"/>
                <w:u w:val="single"/>
              </w:rPr>
              <w:t>Exclusions:</w:t>
            </w:r>
            <w:r w:rsidRPr="001634C0">
              <w:rPr>
                <w:rFonts w:eastAsia="MS Mincho" w:cstheme="minorHAnsi"/>
              </w:rPr>
              <w:t xml:space="preserve"> suicidal behaviour in previous 2 years or history of suicide attempts; major depression, anxiety;</w:t>
            </w:r>
          </w:p>
          <w:p w:rsidR="001A7655" w:rsidRPr="00017AE6" w:rsidRDefault="001634C0" w:rsidP="00A71365">
            <w:pPr>
              <w:pStyle w:val="Tablewriting"/>
              <w:rPr>
                <w:rFonts w:eastAsia="MS Mincho" w:cstheme="minorHAnsi"/>
              </w:rPr>
            </w:pPr>
            <w:r w:rsidRPr="001634C0">
              <w:rPr>
                <w:rFonts w:eastAsia="MS Mincho" w:cstheme="minorHAnsi"/>
              </w:rPr>
              <w:t>diagnosis of psychosis, panic disorder, PTSD, schizophrenia</w:t>
            </w:r>
            <w:r w:rsidR="004427B3">
              <w:rPr>
                <w:rFonts w:eastAsia="MS Mincho" w:cstheme="minorHAnsi"/>
              </w:rPr>
              <w:t>.</w:t>
            </w:r>
          </w:p>
        </w:tc>
        <w:tc>
          <w:tcPr>
            <w:tcW w:w="1055" w:type="pct"/>
            <w:shd w:val="clear" w:color="auto" w:fill="F2F2F2" w:themeFill="background1" w:themeFillShade="F2"/>
          </w:tcPr>
          <w:p w:rsidR="00051839" w:rsidRDefault="004469CB" w:rsidP="00C324F3">
            <w:pPr>
              <w:pStyle w:val="Tablewriting"/>
              <w:numPr>
                <w:ilvl w:val="0"/>
                <w:numId w:val="91"/>
              </w:numPr>
              <w:rPr>
                <w:rFonts w:eastAsia="MS Mincho" w:cstheme="minorHAnsi"/>
              </w:rPr>
            </w:pPr>
            <w:r w:rsidRPr="004469CB">
              <w:rPr>
                <w:rFonts w:eastAsia="MS Mincho" w:cstheme="minorHAnsi"/>
              </w:rPr>
              <w:lastRenderedPageBreak/>
              <w:t>Varenicline 24 w</w:t>
            </w:r>
            <w:r w:rsidR="00051839">
              <w:rPr>
                <w:rFonts w:eastAsia="MS Mincho" w:cstheme="minorHAnsi"/>
              </w:rPr>
              <w:t>ee</w:t>
            </w:r>
            <w:r w:rsidRPr="004469CB">
              <w:rPr>
                <w:rFonts w:eastAsia="MS Mincho" w:cstheme="minorHAnsi"/>
              </w:rPr>
              <w:t>ks, titrated 1st w</w:t>
            </w:r>
            <w:r w:rsidR="00051839">
              <w:rPr>
                <w:rFonts w:eastAsia="MS Mincho" w:cstheme="minorHAnsi"/>
              </w:rPr>
              <w:t>ee</w:t>
            </w:r>
            <w:r w:rsidRPr="004469CB">
              <w:rPr>
                <w:rFonts w:eastAsia="MS Mincho" w:cstheme="minorHAnsi"/>
              </w:rPr>
              <w:t>k (12 w</w:t>
            </w:r>
            <w:r w:rsidR="00051839">
              <w:rPr>
                <w:rFonts w:eastAsia="MS Mincho" w:cstheme="minorHAnsi"/>
              </w:rPr>
              <w:t>ee</w:t>
            </w:r>
            <w:r w:rsidRPr="004469CB">
              <w:rPr>
                <w:rFonts w:eastAsia="MS Mincho" w:cstheme="minorHAnsi"/>
              </w:rPr>
              <w:t>ks to quit + 12 w</w:t>
            </w:r>
            <w:r w:rsidR="00051839">
              <w:rPr>
                <w:rFonts w:eastAsia="MS Mincho" w:cstheme="minorHAnsi"/>
              </w:rPr>
              <w:t>ee</w:t>
            </w:r>
            <w:r w:rsidRPr="004469CB">
              <w:rPr>
                <w:rFonts w:eastAsia="MS Mincho" w:cstheme="minorHAnsi"/>
              </w:rPr>
              <w:t>ks post-quit)</w:t>
            </w:r>
            <w:r w:rsidR="00051839">
              <w:rPr>
                <w:rFonts w:eastAsia="MS Mincho" w:cstheme="minorHAnsi"/>
              </w:rPr>
              <w:t>.</w:t>
            </w:r>
          </w:p>
          <w:p w:rsidR="004469CB" w:rsidRPr="004469CB" w:rsidRDefault="004469CB" w:rsidP="00C324F3">
            <w:pPr>
              <w:pStyle w:val="Tablewriting"/>
              <w:numPr>
                <w:ilvl w:val="0"/>
                <w:numId w:val="91"/>
              </w:numPr>
              <w:rPr>
                <w:rFonts w:eastAsia="MS Mincho" w:cstheme="minorHAnsi"/>
              </w:rPr>
            </w:pPr>
            <w:r w:rsidRPr="004469CB">
              <w:rPr>
                <w:rFonts w:eastAsia="MS Mincho" w:cstheme="minorHAnsi"/>
              </w:rPr>
              <w:t xml:space="preserve">Placebo 24 </w:t>
            </w:r>
            <w:r w:rsidRPr="00051839">
              <w:rPr>
                <w:rFonts w:eastAsia="MS Mincho" w:cstheme="minorHAnsi"/>
              </w:rPr>
              <w:t>w</w:t>
            </w:r>
            <w:r w:rsidR="00051839">
              <w:rPr>
                <w:rFonts w:eastAsia="MS Mincho" w:cstheme="minorHAnsi"/>
              </w:rPr>
              <w:t>ee</w:t>
            </w:r>
            <w:r w:rsidRPr="00051839">
              <w:rPr>
                <w:rFonts w:eastAsia="MS Mincho" w:cstheme="minorHAnsi"/>
              </w:rPr>
              <w:t>ks</w:t>
            </w:r>
            <w:r w:rsidRPr="004469CB">
              <w:rPr>
                <w:rFonts w:eastAsia="MS Mincho" w:cstheme="minorHAnsi"/>
              </w:rPr>
              <w:t xml:space="preserve">, titrated 1st </w:t>
            </w:r>
            <w:r w:rsidRPr="00051839">
              <w:rPr>
                <w:rFonts w:eastAsia="MS Mincho" w:cstheme="minorHAnsi"/>
              </w:rPr>
              <w:t>w</w:t>
            </w:r>
            <w:r w:rsidR="00051839">
              <w:rPr>
                <w:rFonts w:eastAsia="MS Mincho" w:cstheme="minorHAnsi"/>
              </w:rPr>
              <w:t>ee</w:t>
            </w:r>
            <w:r w:rsidRPr="00051839">
              <w:rPr>
                <w:rFonts w:eastAsia="MS Mincho" w:cstheme="minorHAnsi"/>
              </w:rPr>
              <w:t>k</w:t>
            </w:r>
            <w:r w:rsidRPr="004469CB">
              <w:rPr>
                <w:rFonts w:eastAsia="MS Mincho" w:cstheme="minorHAnsi"/>
              </w:rPr>
              <w:t xml:space="preserve"> (12 </w:t>
            </w:r>
            <w:r w:rsidRPr="00051839">
              <w:rPr>
                <w:rFonts w:eastAsia="MS Mincho" w:cstheme="minorHAnsi"/>
              </w:rPr>
              <w:t>w</w:t>
            </w:r>
            <w:r w:rsidR="00051839">
              <w:rPr>
                <w:rFonts w:eastAsia="MS Mincho" w:cstheme="minorHAnsi"/>
              </w:rPr>
              <w:t>ee</w:t>
            </w:r>
            <w:r w:rsidRPr="00051839">
              <w:rPr>
                <w:rFonts w:eastAsia="MS Mincho" w:cstheme="minorHAnsi"/>
              </w:rPr>
              <w:t>ks</w:t>
            </w:r>
            <w:r w:rsidRPr="004469CB">
              <w:rPr>
                <w:rFonts w:eastAsia="MS Mincho" w:cstheme="minorHAnsi"/>
              </w:rPr>
              <w:t xml:space="preserve"> to quit + 12 </w:t>
            </w:r>
            <w:r w:rsidRPr="00051839">
              <w:rPr>
                <w:rFonts w:eastAsia="MS Mincho" w:cstheme="minorHAnsi"/>
              </w:rPr>
              <w:t>w</w:t>
            </w:r>
            <w:r w:rsidR="00051839">
              <w:rPr>
                <w:rFonts w:eastAsia="MS Mincho" w:cstheme="minorHAnsi"/>
              </w:rPr>
              <w:t>ee</w:t>
            </w:r>
            <w:r w:rsidRPr="00051839">
              <w:rPr>
                <w:rFonts w:eastAsia="MS Mincho" w:cstheme="minorHAnsi"/>
              </w:rPr>
              <w:t>ks</w:t>
            </w:r>
            <w:r w:rsidRPr="004469CB">
              <w:rPr>
                <w:rFonts w:eastAsia="MS Mincho" w:cstheme="minorHAnsi"/>
              </w:rPr>
              <w:t xml:space="preserve"> post-quit)</w:t>
            </w:r>
          </w:p>
          <w:p w:rsidR="00051839" w:rsidRDefault="00051839" w:rsidP="00A71365">
            <w:pPr>
              <w:pStyle w:val="Tablewriting"/>
              <w:rPr>
                <w:rFonts w:eastAsia="MS Mincho" w:cstheme="minorHAnsi"/>
              </w:rPr>
            </w:pPr>
          </w:p>
          <w:p w:rsidR="00051839" w:rsidRDefault="00051839" w:rsidP="00A71365">
            <w:pPr>
              <w:pStyle w:val="Tablewriting"/>
              <w:rPr>
                <w:rFonts w:eastAsia="MS Mincho" w:cstheme="minorHAnsi"/>
              </w:rPr>
            </w:pPr>
          </w:p>
          <w:p w:rsidR="00C57B08" w:rsidRDefault="00051839" w:rsidP="00A71365">
            <w:pPr>
              <w:pStyle w:val="Tablewriting"/>
              <w:rPr>
                <w:rFonts w:eastAsia="MS Mincho" w:cstheme="minorHAnsi"/>
              </w:rPr>
            </w:pPr>
            <w:r w:rsidRPr="06BFFAED">
              <w:rPr>
                <w:rFonts w:eastAsia="MS Mincho" w:cstheme="minorBidi"/>
                <w:u w:val="single"/>
              </w:rPr>
              <w:t>Common components:</w:t>
            </w:r>
            <w:r>
              <w:rPr>
                <w:rFonts w:eastAsia="MS Mincho" w:cstheme="minorBidi"/>
                <w:u w:val="single"/>
              </w:rPr>
              <w:t xml:space="preserve"> </w:t>
            </w:r>
            <w:r w:rsidR="004469CB" w:rsidRPr="004469CB">
              <w:rPr>
                <w:rFonts w:eastAsia="MS Mincho" w:cstheme="minorHAnsi"/>
              </w:rPr>
              <w:t>All participants asked to reduce their smoking rate by 50% by w</w:t>
            </w:r>
            <w:r w:rsidR="00C57B08">
              <w:rPr>
                <w:rFonts w:eastAsia="MS Mincho" w:cstheme="minorHAnsi"/>
              </w:rPr>
              <w:t>ee</w:t>
            </w:r>
            <w:r w:rsidR="004469CB" w:rsidRPr="004469CB">
              <w:rPr>
                <w:rFonts w:eastAsia="MS Mincho" w:cstheme="minorHAnsi"/>
              </w:rPr>
              <w:t>k 4, by 75%+ by w</w:t>
            </w:r>
            <w:r w:rsidR="00C57B08">
              <w:rPr>
                <w:rFonts w:eastAsia="MS Mincho" w:cstheme="minorHAnsi"/>
              </w:rPr>
              <w:t>ee</w:t>
            </w:r>
            <w:r w:rsidR="004469CB" w:rsidRPr="004469CB">
              <w:rPr>
                <w:rFonts w:eastAsia="MS Mincho" w:cstheme="minorHAnsi"/>
              </w:rPr>
              <w:t>k 8, and 100% by w</w:t>
            </w:r>
            <w:r w:rsidR="00C57B08">
              <w:rPr>
                <w:rFonts w:eastAsia="MS Mincho" w:cstheme="minorHAnsi"/>
              </w:rPr>
              <w:t>ee</w:t>
            </w:r>
            <w:r w:rsidR="004469CB" w:rsidRPr="004469CB">
              <w:rPr>
                <w:rFonts w:eastAsia="MS Mincho" w:cstheme="minorHAnsi"/>
              </w:rPr>
              <w:t>k</w:t>
            </w:r>
            <w:r w:rsidR="00C57B08">
              <w:rPr>
                <w:rFonts w:eastAsia="MS Mincho" w:cstheme="minorHAnsi"/>
              </w:rPr>
              <w:t xml:space="preserve"> </w:t>
            </w:r>
            <w:r w:rsidR="004469CB" w:rsidRPr="004469CB">
              <w:rPr>
                <w:rFonts w:eastAsia="MS Mincho" w:cstheme="minorHAnsi"/>
              </w:rPr>
              <w:t xml:space="preserve">12. </w:t>
            </w:r>
          </w:p>
          <w:p w:rsidR="001A7655" w:rsidRPr="00017AE6" w:rsidRDefault="004469CB" w:rsidP="00A71365">
            <w:pPr>
              <w:pStyle w:val="Tablewriting"/>
              <w:rPr>
                <w:rFonts w:eastAsia="MS Mincho" w:cstheme="minorHAnsi"/>
              </w:rPr>
            </w:pPr>
            <w:r w:rsidRPr="004469CB">
              <w:rPr>
                <w:rFonts w:eastAsia="MS Mincho" w:cstheme="minorHAnsi"/>
              </w:rPr>
              <w:t>Individual 10-minute counselling at each visit (18 face-to-face and 10 phone calls), + a copy of Clearing</w:t>
            </w:r>
            <w:r w:rsidR="00C57B08">
              <w:rPr>
                <w:rFonts w:eastAsia="MS Mincho" w:cstheme="minorHAnsi"/>
              </w:rPr>
              <w:t xml:space="preserve"> </w:t>
            </w:r>
            <w:r w:rsidRPr="004469CB">
              <w:rPr>
                <w:rFonts w:eastAsia="MS Mincho" w:cstheme="minorHAnsi"/>
              </w:rPr>
              <w:t>the air: quit smoking today.</w:t>
            </w:r>
          </w:p>
        </w:tc>
        <w:tc>
          <w:tcPr>
            <w:tcW w:w="960" w:type="pct"/>
            <w:shd w:val="clear" w:color="auto" w:fill="F2F2F2" w:themeFill="background1" w:themeFillShade="F2"/>
          </w:tcPr>
          <w:p w:rsidR="00C57B08" w:rsidRPr="004D07F7" w:rsidRDefault="00C57B08" w:rsidP="00A71365">
            <w:pPr>
              <w:pStyle w:val="Tablewriting"/>
              <w:rPr>
                <w:rFonts w:eastAsia="MS Mincho" w:cstheme="minorHAnsi"/>
                <w:u w:val="single"/>
              </w:rPr>
            </w:pPr>
            <w:r w:rsidRPr="004D07F7">
              <w:rPr>
                <w:rFonts w:eastAsia="MS Mincho" w:cstheme="minorHAnsi"/>
                <w:u w:val="single"/>
              </w:rPr>
              <w:lastRenderedPageBreak/>
              <w:t>Efficacy:</w:t>
            </w:r>
          </w:p>
          <w:p w:rsidR="004469CB" w:rsidRPr="004469CB" w:rsidRDefault="004469CB" w:rsidP="00A71365">
            <w:pPr>
              <w:pStyle w:val="Tablewriting"/>
              <w:rPr>
                <w:rFonts w:eastAsia="MS Mincho" w:cstheme="minorHAnsi"/>
              </w:rPr>
            </w:pPr>
            <w:r w:rsidRPr="004469CB">
              <w:rPr>
                <w:rFonts w:eastAsia="MS Mincho" w:cstheme="minorHAnsi"/>
              </w:rPr>
              <w:t>Primary: CAR at w</w:t>
            </w:r>
            <w:r w:rsidR="004D07F7">
              <w:rPr>
                <w:rFonts w:eastAsia="MS Mincho" w:cstheme="minorHAnsi"/>
              </w:rPr>
              <w:t>ee</w:t>
            </w:r>
            <w:r w:rsidRPr="004469CB">
              <w:rPr>
                <w:rFonts w:eastAsia="MS Mincho" w:cstheme="minorHAnsi"/>
              </w:rPr>
              <w:t>ks 15 - 24</w:t>
            </w:r>
          </w:p>
          <w:p w:rsidR="004469CB" w:rsidRPr="004469CB" w:rsidRDefault="004469CB" w:rsidP="00A71365">
            <w:pPr>
              <w:pStyle w:val="Tablewriting"/>
              <w:rPr>
                <w:rFonts w:eastAsia="MS Mincho" w:cstheme="minorHAnsi"/>
              </w:rPr>
            </w:pPr>
            <w:r w:rsidRPr="004469CB">
              <w:rPr>
                <w:rFonts w:eastAsia="MS Mincho" w:cstheme="minorHAnsi"/>
              </w:rPr>
              <w:t>Secondary: CAR at w</w:t>
            </w:r>
            <w:r w:rsidR="004D07F7">
              <w:rPr>
                <w:rFonts w:eastAsia="MS Mincho" w:cstheme="minorHAnsi"/>
              </w:rPr>
              <w:t>ee</w:t>
            </w:r>
            <w:r w:rsidRPr="004469CB">
              <w:rPr>
                <w:rFonts w:eastAsia="MS Mincho" w:cstheme="minorHAnsi"/>
              </w:rPr>
              <w:t>ks 21 - 24, 15 - 52, 21 - 52; 7-day PPA at w</w:t>
            </w:r>
            <w:r w:rsidR="004D07F7">
              <w:rPr>
                <w:rFonts w:eastAsia="MS Mincho" w:cstheme="minorHAnsi"/>
              </w:rPr>
              <w:t>ee</w:t>
            </w:r>
            <w:r w:rsidRPr="004469CB">
              <w:rPr>
                <w:rFonts w:eastAsia="MS Mincho" w:cstheme="minorHAnsi"/>
              </w:rPr>
              <w:t>ks 24, 52</w:t>
            </w:r>
            <w:r w:rsidR="004D07F7">
              <w:rPr>
                <w:rFonts w:eastAsia="MS Mincho" w:cstheme="minorHAnsi"/>
              </w:rPr>
              <w:t>.</w:t>
            </w:r>
          </w:p>
          <w:p w:rsidR="004D07F7" w:rsidRDefault="004D07F7" w:rsidP="00A71365">
            <w:pPr>
              <w:pStyle w:val="Tablewriting"/>
              <w:rPr>
                <w:rFonts w:eastAsia="MS Mincho" w:cstheme="minorHAnsi"/>
              </w:rPr>
            </w:pPr>
          </w:p>
          <w:p w:rsidR="001A7655" w:rsidRDefault="004469CB" w:rsidP="00A71365">
            <w:pPr>
              <w:pStyle w:val="Tablewriting"/>
              <w:rPr>
                <w:rFonts w:eastAsia="MS Mincho" w:cstheme="minorHAnsi"/>
              </w:rPr>
            </w:pPr>
            <w:r w:rsidRPr="004469CB">
              <w:rPr>
                <w:rFonts w:eastAsia="MS Mincho" w:cstheme="minorHAnsi"/>
              </w:rPr>
              <w:t>Validation: CO &lt; 10 ppm</w:t>
            </w:r>
            <w:r w:rsidR="004D07F7">
              <w:rPr>
                <w:rFonts w:eastAsia="MS Mincho" w:cstheme="minorHAnsi"/>
              </w:rPr>
              <w:t>.</w:t>
            </w:r>
          </w:p>
          <w:p w:rsidR="004D07F7" w:rsidRDefault="004D07F7" w:rsidP="00A71365">
            <w:pPr>
              <w:pStyle w:val="Tablewriting"/>
              <w:rPr>
                <w:rFonts w:eastAsia="MS Mincho" w:cstheme="minorHAnsi"/>
              </w:rPr>
            </w:pPr>
          </w:p>
          <w:p w:rsidR="001A7655" w:rsidRPr="00017AE6" w:rsidRDefault="004D07F7" w:rsidP="00A71365">
            <w:pPr>
              <w:pStyle w:val="Tablewriting"/>
              <w:rPr>
                <w:rFonts w:eastAsia="MS Mincho" w:cstheme="minorHAnsi"/>
              </w:rPr>
            </w:pPr>
            <w:r w:rsidRPr="004D07F7">
              <w:rPr>
                <w:rFonts w:eastAsia="MS Mincho" w:cstheme="minorHAnsi"/>
                <w:u w:val="single"/>
              </w:rPr>
              <w:t>Safety:</w:t>
            </w:r>
            <w:r>
              <w:rPr>
                <w:rFonts w:eastAsia="MS Mincho" w:cstheme="minorHAnsi"/>
              </w:rPr>
              <w:t xml:space="preserve"> NR</w:t>
            </w:r>
          </w:p>
        </w:tc>
      </w:tr>
      <w:tr w:rsidR="003D3459" w:rsidRPr="00017AE6" w:rsidTr="000728F8">
        <w:trPr>
          <w:trHeight w:val="99"/>
        </w:trPr>
        <w:tc>
          <w:tcPr>
            <w:tcW w:w="763" w:type="pct"/>
            <w:shd w:val="clear" w:color="auto" w:fill="F2F2F2" w:themeFill="background1" w:themeFillShade="F2"/>
          </w:tcPr>
          <w:p w:rsidR="00DB181B" w:rsidRPr="00017AE6" w:rsidRDefault="00DB181B" w:rsidP="00A71365">
            <w:pPr>
              <w:pStyle w:val="Tablewriting"/>
              <w:rPr>
                <w:rFonts w:eastAsia="MS Mincho" w:cstheme="minorHAnsi"/>
              </w:rPr>
            </w:pPr>
            <w:r w:rsidRPr="006F538F">
              <w:rPr>
                <w:rFonts w:eastAsia="MS Mincho" w:cstheme="minorHAnsi"/>
              </w:rPr>
              <w:lastRenderedPageBreak/>
              <w:t xml:space="preserve">Hajek </w:t>
            </w:r>
            <w:r w:rsidR="001B56DB">
              <w:rPr>
                <w:rFonts w:eastAsia="MS Mincho" w:cstheme="minorHAnsi"/>
              </w:rPr>
              <w:t>(</w:t>
            </w:r>
            <w:r w:rsidRPr="006F538F">
              <w:rPr>
                <w:rFonts w:eastAsia="MS Mincho" w:cstheme="minorHAnsi"/>
              </w:rPr>
              <w:t>2015</w:t>
            </w:r>
            <w:r w:rsidR="001B56DB">
              <w:rPr>
                <w:rFonts w:eastAsia="MS Mincho" w:cstheme="minorHAnsi"/>
              </w:rPr>
              <w:t>)</w:t>
            </w:r>
          </w:p>
        </w:tc>
        <w:tc>
          <w:tcPr>
            <w:tcW w:w="234" w:type="pct"/>
            <w:shd w:val="clear" w:color="auto" w:fill="F2F2F2" w:themeFill="background1" w:themeFillShade="F2"/>
          </w:tcPr>
          <w:p w:rsidR="00DB181B" w:rsidRPr="00017AE6" w:rsidRDefault="00DB181B" w:rsidP="00A71365">
            <w:pPr>
              <w:pStyle w:val="Tablewriting"/>
              <w:rPr>
                <w:rFonts w:eastAsia="MS Mincho" w:cstheme="minorHAnsi"/>
              </w:rPr>
            </w:pPr>
            <w:r w:rsidRPr="00962325">
              <w:rPr>
                <w:rFonts w:eastAsia="MS Mincho" w:cstheme="minorHAnsi"/>
              </w:rPr>
              <w:t>RCT</w:t>
            </w:r>
          </w:p>
        </w:tc>
        <w:tc>
          <w:tcPr>
            <w:tcW w:w="460" w:type="pct"/>
            <w:shd w:val="clear" w:color="auto" w:fill="F2F2F2" w:themeFill="background1" w:themeFillShade="F2"/>
          </w:tcPr>
          <w:p w:rsidR="00DB181B" w:rsidRPr="00017AE6" w:rsidRDefault="001F73F7" w:rsidP="00A71365">
            <w:pPr>
              <w:pStyle w:val="Tablewriting"/>
              <w:rPr>
                <w:rFonts w:eastAsia="MS Mincho" w:cstheme="minorHAnsi"/>
              </w:rPr>
            </w:pPr>
            <w:r>
              <w:rPr>
                <w:rFonts w:eastAsia="MS Mincho" w:cstheme="minorHAnsi"/>
              </w:rPr>
              <w:t>UK</w:t>
            </w:r>
          </w:p>
        </w:tc>
        <w:tc>
          <w:tcPr>
            <w:tcW w:w="675" w:type="pct"/>
            <w:shd w:val="clear" w:color="auto" w:fill="F2F2F2" w:themeFill="background1" w:themeFillShade="F2"/>
          </w:tcPr>
          <w:p w:rsidR="00DB181B" w:rsidRPr="00017AE6" w:rsidRDefault="001F73F7" w:rsidP="00A71365">
            <w:pPr>
              <w:pStyle w:val="Tablewriting"/>
              <w:rPr>
                <w:rFonts w:eastAsia="MS Mincho" w:cstheme="minorHAnsi"/>
              </w:rPr>
            </w:pPr>
            <w:r>
              <w:rPr>
                <w:rFonts w:eastAsia="MS Mincho" w:cstheme="minorHAnsi"/>
              </w:rPr>
              <w:t>N=200</w:t>
            </w:r>
            <w:r w:rsidR="00267A88">
              <w:rPr>
                <w:rFonts w:eastAsia="MS Mincho" w:cstheme="minorHAnsi"/>
              </w:rPr>
              <w:t xml:space="preserve">; </w:t>
            </w:r>
            <w:r w:rsidR="00BA7EC9">
              <w:rPr>
                <w:rFonts w:eastAsia="MS Mincho" w:cstheme="minorHAnsi"/>
              </w:rPr>
              <w:t>n=100 (</w:t>
            </w:r>
            <w:r w:rsidR="00267A88" w:rsidRPr="00EA0983">
              <w:rPr>
                <w:rFonts w:eastAsia="MS Mincho" w:cstheme="minorHAnsi"/>
              </w:rPr>
              <w:t>varenicline)</w:t>
            </w:r>
            <w:r w:rsidR="00BA7EC9">
              <w:rPr>
                <w:rFonts w:eastAsia="MS Mincho" w:cstheme="minorHAnsi"/>
              </w:rPr>
              <w:t>, n</w:t>
            </w:r>
            <w:r w:rsidR="00584268">
              <w:rPr>
                <w:rFonts w:eastAsia="MS Mincho" w:cstheme="minorHAnsi"/>
              </w:rPr>
              <w:t xml:space="preserve">=100 </w:t>
            </w:r>
            <w:r w:rsidR="00C15129">
              <w:rPr>
                <w:rFonts w:eastAsia="MS Mincho" w:cstheme="minorHAnsi"/>
              </w:rPr>
              <w:t>(</w:t>
            </w:r>
            <w:r w:rsidR="00267A88" w:rsidRPr="00EA0983">
              <w:rPr>
                <w:rFonts w:eastAsia="MS Mincho" w:cstheme="minorHAnsi"/>
              </w:rPr>
              <w:t>placebo)</w:t>
            </w:r>
          </w:p>
        </w:tc>
        <w:tc>
          <w:tcPr>
            <w:tcW w:w="853" w:type="pct"/>
            <w:shd w:val="clear" w:color="auto" w:fill="F2F2F2" w:themeFill="background1" w:themeFillShade="F2"/>
          </w:tcPr>
          <w:p w:rsidR="00EA0983" w:rsidRPr="00EA0983" w:rsidRDefault="00543D7B" w:rsidP="00A71365">
            <w:pPr>
              <w:pStyle w:val="Tablewriting"/>
              <w:rPr>
                <w:rFonts w:eastAsia="MS Mincho" w:cstheme="minorHAnsi"/>
              </w:rPr>
            </w:pPr>
            <w:r>
              <w:rPr>
                <w:rFonts w:eastAsia="MS Mincho" w:cstheme="minorHAnsi"/>
              </w:rPr>
              <w:t>N</w:t>
            </w:r>
            <w:r w:rsidR="00EA0983" w:rsidRPr="00EA0983">
              <w:rPr>
                <w:rFonts w:eastAsia="MS Mincho" w:cstheme="minorHAnsi"/>
              </w:rPr>
              <w:t>on-responders to varenicline at day 12, from an initial cohort of 503 given</w:t>
            </w:r>
            <w:r w:rsidR="00EA0983">
              <w:rPr>
                <w:rFonts w:eastAsia="MS Mincho" w:cstheme="minorHAnsi"/>
              </w:rPr>
              <w:t xml:space="preserve"> </w:t>
            </w:r>
            <w:r w:rsidR="00EA0983" w:rsidRPr="00EA0983">
              <w:rPr>
                <w:rFonts w:eastAsia="MS Mincho" w:cstheme="minorHAnsi"/>
              </w:rPr>
              <w:t>varenicline while still</w:t>
            </w:r>
          </w:p>
          <w:p w:rsidR="00EA0983" w:rsidRPr="00EA0983" w:rsidRDefault="00EA0983" w:rsidP="00A71365">
            <w:pPr>
              <w:pStyle w:val="Tablewriting"/>
              <w:rPr>
                <w:rFonts w:eastAsia="MS Mincho" w:cstheme="minorHAnsi"/>
              </w:rPr>
            </w:pPr>
            <w:r w:rsidRPr="00EA0983">
              <w:rPr>
                <w:rFonts w:eastAsia="MS Mincho" w:cstheme="minorHAnsi"/>
              </w:rPr>
              <w:t>smoking</w:t>
            </w:r>
            <w:r>
              <w:rPr>
                <w:rFonts w:eastAsia="MS Mincho" w:cstheme="minorHAnsi"/>
              </w:rPr>
              <w:t>,</w:t>
            </w:r>
            <w:r w:rsidRPr="00EA0983">
              <w:rPr>
                <w:rFonts w:eastAsia="MS Mincho" w:cstheme="minorHAnsi"/>
              </w:rPr>
              <w:t xml:space="preserve"> add-on treatment. Treatment-seeking</w:t>
            </w:r>
          </w:p>
          <w:p w:rsidR="00DB181B" w:rsidRPr="00017AE6" w:rsidRDefault="00EA0983" w:rsidP="00A71365">
            <w:pPr>
              <w:pStyle w:val="Tablewriting"/>
              <w:rPr>
                <w:rFonts w:eastAsia="MS Mincho" w:cstheme="minorHAnsi"/>
              </w:rPr>
            </w:pPr>
            <w:r w:rsidRPr="00EA0983">
              <w:rPr>
                <w:rFonts w:eastAsia="MS Mincho" w:cstheme="minorHAnsi"/>
              </w:rPr>
              <w:t>smokers, aged 18+; 28% women, 65% white, mean age 45.8 y</w:t>
            </w:r>
            <w:r w:rsidR="00267A88">
              <w:rPr>
                <w:rFonts w:eastAsia="MS Mincho" w:cstheme="minorHAnsi"/>
              </w:rPr>
              <w:t>ear</w:t>
            </w:r>
            <w:r w:rsidRPr="00EA0983">
              <w:rPr>
                <w:rFonts w:eastAsia="MS Mincho" w:cstheme="minorHAnsi"/>
              </w:rPr>
              <w:t>s, 20.5 cigs in previous w</w:t>
            </w:r>
            <w:r w:rsidR="00267A88">
              <w:rPr>
                <w:rFonts w:eastAsia="MS Mincho" w:cstheme="minorHAnsi"/>
              </w:rPr>
              <w:t>ee</w:t>
            </w:r>
            <w:r w:rsidRPr="00EA0983">
              <w:rPr>
                <w:rFonts w:eastAsia="MS Mincho" w:cstheme="minorHAnsi"/>
              </w:rPr>
              <w:t>k, mean FTND</w:t>
            </w:r>
            <w:r w:rsidR="00267A88">
              <w:rPr>
                <w:rFonts w:eastAsia="MS Mincho" w:cstheme="minorHAnsi"/>
              </w:rPr>
              <w:t xml:space="preserve"> </w:t>
            </w:r>
            <w:r w:rsidRPr="00EA0983">
              <w:rPr>
                <w:rFonts w:eastAsia="MS Mincho" w:cstheme="minorHAnsi"/>
              </w:rPr>
              <w:t>5.5</w:t>
            </w:r>
            <w:r w:rsidR="00267A88">
              <w:rPr>
                <w:rFonts w:eastAsia="MS Mincho" w:cstheme="minorHAnsi"/>
              </w:rPr>
              <w:t>.</w:t>
            </w:r>
          </w:p>
        </w:tc>
        <w:tc>
          <w:tcPr>
            <w:tcW w:w="1055" w:type="pct"/>
            <w:shd w:val="clear" w:color="auto" w:fill="F2F2F2" w:themeFill="background1" w:themeFillShade="F2"/>
          </w:tcPr>
          <w:p w:rsidR="004726E5" w:rsidRDefault="00946654" w:rsidP="00C324F3">
            <w:pPr>
              <w:pStyle w:val="Tablewriting"/>
              <w:numPr>
                <w:ilvl w:val="0"/>
                <w:numId w:val="92"/>
              </w:numPr>
              <w:rPr>
                <w:rFonts w:eastAsia="MS Mincho" w:cstheme="minorHAnsi"/>
              </w:rPr>
            </w:pPr>
            <w:r w:rsidRPr="00946654">
              <w:rPr>
                <w:rFonts w:eastAsia="MS Mincho" w:cstheme="minorHAnsi"/>
              </w:rPr>
              <w:t>Varenicline</w:t>
            </w:r>
            <w:r w:rsidR="004726E5">
              <w:rPr>
                <w:rFonts w:eastAsia="MS Mincho" w:cstheme="minorHAnsi"/>
              </w:rPr>
              <w:t>;</w:t>
            </w:r>
            <w:r w:rsidRPr="00946654">
              <w:rPr>
                <w:rFonts w:eastAsia="MS Mincho" w:cstheme="minorHAnsi"/>
              </w:rPr>
              <w:t xml:space="preserve"> standard dose + initial increase of 0.5 mg x 2/day which could be increased by 0.5 twice</w:t>
            </w:r>
            <w:r w:rsidR="004726E5">
              <w:rPr>
                <w:rFonts w:eastAsia="MS Mincho" w:cstheme="minorHAnsi"/>
              </w:rPr>
              <w:t xml:space="preserve"> </w:t>
            </w:r>
            <w:r w:rsidRPr="004726E5">
              <w:rPr>
                <w:rFonts w:eastAsia="MS Mincho" w:cstheme="minorHAnsi"/>
              </w:rPr>
              <w:t>daily up to a total of 5 mg/day. Dosage used at TQD was</w:t>
            </w:r>
            <w:r w:rsidR="000A6A3C">
              <w:rPr>
                <w:rFonts w:eastAsia="MS Mincho" w:cstheme="minorHAnsi"/>
              </w:rPr>
              <w:t xml:space="preserve"> </w:t>
            </w:r>
            <w:r w:rsidRPr="004726E5">
              <w:rPr>
                <w:rFonts w:eastAsia="MS Mincho" w:cstheme="minorHAnsi"/>
              </w:rPr>
              <w:t>maintained for 3 w</w:t>
            </w:r>
            <w:r w:rsidR="004726E5">
              <w:rPr>
                <w:rFonts w:eastAsia="MS Mincho" w:cstheme="minorHAnsi"/>
              </w:rPr>
              <w:t>ee</w:t>
            </w:r>
            <w:r w:rsidRPr="004726E5">
              <w:rPr>
                <w:rFonts w:eastAsia="MS Mincho" w:cstheme="minorHAnsi"/>
              </w:rPr>
              <w:t>ks, with an option to reduce</w:t>
            </w:r>
            <w:r w:rsidR="004726E5">
              <w:rPr>
                <w:rFonts w:eastAsia="MS Mincho" w:cstheme="minorHAnsi"/>
              </w:rPr>
              <w:t xml:space="preserve"> </w:t>
            </w:r>
            <w:r w:rsidRPr="004726E5">
              <w:rPr>
                <w:rFonts w:eastAsia="MS Mincho" w:cstheme="minorHAnsi"/>
              </w:rPr>
              <w:t>it if necessary.</w:t>
            </w:r>
            <w:r w:rsidR="000A6A3C">
              <w:rPr>
                <w:rFonts w:eastAsia="MS Mincho" w:cstheme="minorHAnsi"/>
              </w:rPr>
              <w:t xml:space="preserve"> </w:t>
            </w:r>
            <w:r w:rsidRPr="004726E5">
              <w:rPr>
                <w:rFonts w:eastAsia="MS Mincho" w:cstheme="minorHAnsi"/>
              </w:rPr>
              <w:t>From 4 w</w:t>
            </w:r>
            <w:r w:rsidR="004726E5">
              <w:rPr>
                <w:rFonts w:eastAsia="MS Mincho" w:cstheme="minorHAnsi"/>
              </w:rPr>
              <w:t>ee</w:t>
            </w:r>
            <w:r w:rsidRPr="004726E5">
              <w:rPr>
                <w:rFonts w:eastAsia="MS Mincho" w:cstheme="minorHAnsi"/>
              </w:rPr>
              <w:t>ks, only</w:t>
            </w:r>
            <w:r w:rsidR="000A6A3C">
              <w:rPr>
                <w:rFonts w:eastAsia="MS Mincho" w:cstheme="minorHAnsi"/>
              </w:rPr>
              <w:t xml:space="preserve"> </w:t>
            </w:r>
            <w:r w:rsidRPr="004726E5">
              <w:rPr>
                <w:rFonts w:eastAsia="MS Mincho" w:cstheme="minorHAnsi"/>
              </w:rPr>
              <w:t>standard dose was</w:t>
            </w:r>
            <w:r w:rsidR="000A6A3C">
              <w:rPr>
                <w:rFonts w:eastAsia="MS Mincho" w:cstheme="minorHAnsi"/>
              </w:rPr>
              <w:t xml:space="preserve"> </w:t>
            </w:r>
            <w:r w:rsidRPr="004726E5">
              <w:rPr>
                <w:rFonts w:eastAsia="MS Mincho" w:cstheme="minorHAnsi"/>
              </w:rPr>
              <w:t>used</w:t>
            </w:r>
            <w:r w:rsidR="000A6A3C">
              <w:rPr>
                <w:rFonts w:eastAsia="MS Mincho" w:cstheme="minorHAnsi"/>
              </w:rPr>
              <w:t>.</w:t>
            </w:r>
          </w:p>
          <w:p w:rsidR="00DB181B" w:rsidRPr="00017AE6" w:rsidRDefault="00946654" w:rsidP="00C324F3">
            <w:pPr>
              <w:pStyle w:val="Tablewriting"/>
              <w:numPr>
                <w:ilvl w:val="0"/>
                <w:numId w:val="92"/>
              </w:numPr>
              <w:rPr>
                <w:rFonts w:eastAsia="MS Mincho" w:cstheme="minorHAnsi"/>
              </w:rPr>
            </w:pPr>
            <w:r w:rsidRPr="00946654">
              <w:rPr>
                <w:rFonts w:eastAsia="MS Mincho" w:cstheme="minorHAnsi"/>
              </w:rPr>
              <w:t>Placebo</w:t>
            </w:r>
            <w:r w:rsidR="004726E5">
              <w:rPr>
                <w:rFonts w:eastAsia="MS Mincho" w:cstheme="minorHAnsi"/>
              </w:rPr>
              <w:t>;</w:t>
            </w:r>
            <w:r w:rsidRPr="00946654">
              <w:rPr>
                <w:rFonts w:eastAsia="MS Mincho" w:cstheme="minorHAnsi"/>
              </w:rPr>
              <w:t xml:space="preserve"> same regimen, but with identical placebo pills</w:t>
            </w:r>
            <w:r w:rsidR="004726E5">
              <w:rPr>
                <w:rFonts w:eastAsia="MS Mincho" w:cstheme="minorHAnsi"/>
              </w:rPr>
              <w:t>.</w:t>
            </w:r>
          </w:p>
        </w:tc>
        <w:tc>
          <w:tcPr>
            <w:tcW w:w="960" w:type="pct"/>
            <w:shd w:val="clear" w:color="auto" w:fill="F2F2F2" w:themeFill="background1" w:themeFillShade="F2"/>
          </w:tcPr>
          <w:p w:rsidR="005602D2" w:rsidRPr="00946654" w:rsidRDefault="005602D2" w:rsidP="00A71365">
            <w:pPr>
              <w:tabs>
                <w:tab w:val="left" w:pos="526"/>
              </w:tabs>
              <w:rPr>
                <w:rFonts w:eastAsia="MS Mincho"/>
                <w:lang w:eastAsia="en-US"/>
              </w:rPr>
            </w:pPr>
            <w:r w:rsidRPr="00040CD2">
              <w:rPr>
                <w:rFonts w:eastAsia="MS Mincho"/>
                <w:u w:val="single"/>
                <w:lang w:eastAsia="en-US"/>
              </w:rPr>
              <w:t>Efficacy:</w:t>
            </w:r>
            <w:r>
              <w:rPr>
                <w:rFonts w:eastAsia="MS Mincho"/>
                <w:lang w:eastAsia="en-US"/>
              </w:rPr>
              <w:t xml:space="preserve"> </w:t>
            </w:r>
            <w:r w:rsidRPr="00946654">
              <w:rPr>
                <w:rFonts w:eastAsia="MS Mincho"/>
                <w:lang w:eastAsia="en-US"/>
              </w:rPr>
              <w:t>CAR at w</w:t>
            </w:r>
            <w:r>
              <w:rPr>
                <w:rFonts w:eastAsia="MS Mincho"/>
                <w:lang w:eastAsia="en-US"/>
              </w:rPr>
              <w:t>ee</w:t>
            </w:r>
            <w:r w:rsidRPr="00946654">
              <w:rPr>
                <w:rFonts w:eastAsia="MS Mincho"/>
                <w:lang w:eastAsia="en-US"/>
              </w:rPr>
              <w:t xml:space="preserve">ks 1, 4, 12 </w:t>
            </w:r>
            <w:r w:rsidR="00040CD2">
              <w:rPr>
                <w:rFonts w:eastAsia="MS Mincho"/>
                <w:lang w:eastAsia="en-US"/>
              </w:rPr>
              <w:t xml:space="preserve">weeks </w:t>
            </w:r>
            <w:r w:rsidRPr="00946654">
              <w:rPr>
                <w:rFonts w:eastAsia="MS Mincho"/>
                <w:lang w:eastAsia="en-US"/>
              </w:rPr>
              <w:t>after TQD</w:t>
            </w:r>
          </w:p>
          <w:p w:rsidR="005602D2" w:rsidRDefault="00AC5AD8" w:rsidP="00A71365">
            <w:pPr>
              <w:tabs>
                <w:tab w:val="left" w:pos="526"/>
              </w:tabs>
              <w:rPr>
                <w:rFonts w:eastAsia="MS Mincho"/>
                <w:lang w:eastAsia="en-US"/>
              </w:rPr>
            </w:pPr>
            <w:r w:rsidRPr="00946654">
              <w:rPr>
                <w:rFonts w:eastAsia="MS Mincho"/>
                <w:lang w:eastAsia="en-US"/>
              </w:rPr>
              <w:t>Validation: CO &lt; 9 ppm</w:t>
            </w:r>
            <w:r>
              <w:rPr>
                <w:rFonts w:eastAsia="MS Mincho"/>
                <w:lang w:eastAsia="en-US"/>
              </w:rPr>
              <w:t>.</w:t>
            </w:r>
          </w:p>
          <w:p w:rsidR="00AC5AD8" w:rsidRDefault="00AC5AD8" w:rsidP="00A71365">
            <w:pPr>
              <w:tabs>
                <w:tab w:val="left" w:pos="526"/>
              </w:tabs>
              <w:rPr>
                <w:rFonts w:eastAsia="MS Mincho"/>
                <w:lang w:eastAsia="en-US"/>
              </w:rPr>
            </w:pPr>
          </w:p>
          <w:p w:rsidR="00946654" w:rsidRPr="00946654" w:rsidRDefault="005602D2" w:rsidP="00A71365">
            <w:pPr>
              <w:tabs>
                <w:tab w:val="left" w:pos="526"/>
              </w:tabs>
              <w:rPr>
                <w:rFonts w:eastAsia="MS Mincho"/>
                <w:lang w:eastAsia="en-US"/>
              </w:rPr>
            </w:pPr>
            <w:r w:rsidRPr="005602D2">
              <w:rPr>
                <w:rFonts w:eastAsia="MS Mincho"/>
                <w:u w:val="single"/>
                <w:lang w:eastAsia="en-US"/>
              </w:rPr>
              <w:t>Safety:</w:t>
            </w:r>
            <w:r>
              <w:rPr>
                <w:rFonts w:eastAsia="MS Mincho"/>
                <w:lang w:eastAsia="en-US"/>
              </w:rPr>
              <w:t xml:space="preserve"> </w:t>
            </w:r>
            <w:r w:rsidR="00946654" w:rsidRPr="00946654">
              <w:rPr>
                <w:rFonts w:eastAsia="MS Mincho"/>
                <w:lang w:eastAsia="en-US"/>
              </w:rPr>
              <w:t>Smoking enjoyment and withdrawal symptoms weekly for 1st 4 w</w:t>
            </w:r>
            <w:r w:rsidR="00267A88">
              <w:rPr>
                <w:rFonts w:eastAsia="MS Mincho"/>
                <w:lang w:eastAsia="en-US"/>
              </w:rPr>
              <w:t>ee</w:t>
            </w:r>
            <w:r w:rsidR="00946654" w:rsidRPr="00946654">
              <w:rPr>
                <w:rFonts w:eastAsia="MS Mincho"/>
                <w:lang w:eastAsia="en-US"/>
              </w:rPr>
              <w:t>ks</w:t>
            </w:r>
            <w:r>
              <w:rPr>
                <w:rFonts w:eastAsia="MS Mincho"/>
                <w:lang w:eastAsia="en-US"/>
              </w:rPr>
              <w:t>.</w:t>
            </w:r>
            <w:r w:rsidR="00946654" w:rsidRPr="00946654">
              <w:rPr>
                <w:rFonts w:eastAsia="MS Mincho"/>
                <w:lang w:eastAsia="en-US"/>
              </w:rPr>
              <w:t xml:space="preserve"> </w:t>
            </w:r>
          </w:p>
          <w:p w:rsidR="00267A88" w:rsidRDefault="00267A88" w:rsidP="00A71365">
            <w:pPr>
              <w:tabs>
                <w:tab w:val="left" w:pos="526"/>
              </w:tabs>
              <w:rPr>
                <w:rFonts w:eastAsia="MS Mincho"/>
                <w:lang w:eastAsia="en-US"/>
              </w:rPr>
            </w:pPr>
          </w:p>
          <w:p w:rsidR="00946654" w:rsidRPr="00946654" w:rsidRDefault="00946654" w:rsidP="00A71365">
            <w:pPr>
              <w:tabs>
                <w:tab w:val="left" w:pos="526"/>
              </w:tabs>
              <w:rPr>
                <w:rFonts w:eastAsia="MS Mincho"/>
                <w:lang w:eastAsia="en-US"/>
              </w:rPr>
            </w:pPr>
          </w:p>
        </w:tc>
      </w:tr>
      <w:tr w:rsidR="003D3459" w:rsidRPr="00017AE6" w:rsidTr="000728F8">
        <w:trPr>
          <w:trHeight w:val="99"/>
        </w:trPr>
        <w:tc>
          <w:tcPr>
            <w:tcW w:w="763" w:type="pct"/>
            <w:shd w:val="clear" w:color="auto" w:fill="F2F2F2" w:themeFill="background1" w:themeFillShade="F2"/>
          </w:tcPr>
          <w:p w:rsidR="00DB181B" w:rsidRPr="00017AE6" w:rsidRDefault="00DB181B" w:rsidP="00A71365">
            <w:pPr>
              <w:pStyle w:val="Tablewriting"/>
              <w:rPr>
                <w:rFonts w:eastAsia="MS Mincho" w:cstheme="minorHAnsi"/>
              </w:rPr>
            </w:pPr>
            <w:r w:rsidRPr="001411E5">
              <w:rPr>
                <w:rFonts w:eastAsia="MS Mincho" w:cstheme="minorHAnsi"/>
              </w:rPr>
              <w:t xml:space="preserve">Stein </w:t>
            </w:r>
            <w:r w:rsidR="001B56DB">
              <w:rPr>
                <w:rFonts w:eastAsia="MS Mincho" w:cstheme="minorHAnsi"/>
              </w:rPr>
              <w:t>(</w:t>
            </w:r>
            <w:r w:rsidRPr="001411E5">
              <w:rPr>
                <w:rFonts w:eastAsia="MS Mincho" w:cstheme="minorHAnsi"/>
              </w:rPr>
              <w:t>2013</w:t>
            </w:r>
            <w:r w:rsidR="001B56DB">
              <w:rPr>
                <w:rFonts w:eastAsia="MS Mincho" w:cstheme="minorHAnsi"/>
              </w:rPr>
              <w:t>)</w:t>
            </w:r>
          </w:p>
        </w:tc>
        <w:tc>
          <w:tcPr>
            <w:tcW w:w="234" w:type="pct"/>
            <w:shd w:val="clear" w:color="auto" w:fill="F2F2F2" w:themeFill="background1" w:themeFillShade="F2"/>
          </w:tcPr>
          <w:p w:rsidR="00DB181B" w:rsidRPr="00017AE6" w:rsidRDefault="00DB181B" w:rsidP="00A71365">
            <w:pPr>
              <w:pStyle w:val="Tablewriting"/>
              <w:rPr>
                <w:rFonts w:eastAsia="MS Mincho" w:cstheme="minorHAnsi"/>
              </w:rPr>
            </w:pPr>
            <w:r w:rsidRPr="00962325">
              <w:rPr>
                <w:rFonts w:eastAsia="MS Mincho" w:cstheme="minorHAnsi"/>
              </w:rPr>
              <w:t>RCT</w:t>
            </w:r>
          </w:p>
        </w:tc>
        <w:tc>
          <w:tcPr>
            <w:tcW w:w="460" w:type="pct"/>
            <w:shd w:val="clear" w:color="auto" w:fill="F2F2F2" w:themeFill="background1" w:themeFillShade="F2"/>
          </w:tcPr>
          <w:p w:rsidR="00DB181B" w:rsidRPr="00017AE6" w:rsidRDefault="00886587" w:rsidP="00A71365">
            <w:pPr>
              <w:pStyle w:val="Tablewriting"/>
              <w:rPr>
                <w:rFonts w:eastAsia="MS Mincho" w:cstheme="minorHAnsi"/>
              </w:rPr>
            </w:pPr>
            <w:r>
              <w:rPr>
                <w:rFonts w:eastAsia="MS Mincho" w:cstheme="minorHAnsi"/>
              </w:rPr>
              <w:t>USA</w:t>
            </w:r>
          </w:p>
        </w:tc>
        <w:tc>
          <w:tcPr>
            <w:tcW w:w="675" w:type="pct"/>
            <w:shd w:val="clear" w:color="auto" w:fill="F2F2F2" w:themeFill="background1" w:themeFillShade="F2"/>
          </w:tcPr>
          <w:p w:rsidR="00DB181B" w:rsidRPr="00017AE6" w:rsidRDefault="00886587" w:rsidP="00A71365">
            <w:pPr>
              <w:pStyle w:val="Tablewriting"/>
              <w:rPr>
                <w:rFonts w:eastAsia="MS Mincho" w:cstheme="minorHAnsi"/>
              </w:rPr>
            </w:pPr>
            <w:r>
              <w:rPr>
                <w:rFonts w:eastAsia="MS Mincho" w:cstheme="minorHAnsi"/>
              </w:rPr>
              <w:t>N=315</w:t>
            </w:r>
            <w:r w:rsidR="00AB08F2">
              <w:rPr>
                <w:rFonts w:eastAsia="MS Mincho" w:cstheme="minorHAnsi"/>
              </w:rPr>
              <w:t xml:space="preserve">; </w:t>
            </w:r>
            <w:r w:rsidR="004F557A">
              <w:rPr>
                <w:rFonts w:eastAsia="MS Mincho" w:cstheme="minorHAnsi"/>
              </w:rPr>
              <w:t>n=137 (</w:t>
            </w:r>
            <w:r w:rsidR="00AB08F2" w:rsidRPr="00A37EAD">
              <w:rPr>
                <w:rFonts w:eastAsia="MS Mincho" w:cstheme="minorHAnsi"/>
              </w:rPr>
              <w:t>varenicline)</w:t>
            </w:r>
            <w:r w:rsidR="004F557A">
              <w:rPr>
                <w:rFonts w:eastAsia="MS Mincho" w:cstheme="minorHAnsi"/>
              </w:rPr>
              <w:t>, n=</w:t>
            </w:r>
            <w:r w:rsidR="00F030AB">
              <w:rPr>
                <w:rFonts w:eastAsia="MS Mincho" w:cstheme="minorHAnsi"/>
              </w:rPr>
              <w:t>45 (</w:t>
            </w:r>
            <w:r w:rsidR="00AB08F2" w:rsidRPr="00A37EAD">
              <w:rPr>
                <w:rFonts w:eastAsia="MS Mincho" w:cstheme="minorHAnsi"/>
              </w:rPr>
              <w:t>placebo)</w:t>
            </w:r>
            <w:r w:rsidR="00F030AB">
              <w:rPr>
                <w:rFonts w:eastAsia="MS Mincho" w:cstheme="minorHAnsi"/>
              </w:rPr>
              <w:t>, n= 133 (</w:t>
            </w:r>
            <w:r w:rsidR="00AB08F2" w:rsidRPr="00A37EAD">
              <w:rPr>
                <w:rFonts w:eastAsia="MS Mincho" w:cstheme="minorHAnsi"/>
              </w:rPr>
              <w:t>combination NRT)</w:t>
            </w:r>
            <w:r w:rsidR="00F030AB">
              <w:rPr>
                <w:rFonts w:eastAsia="MS Mincho" w:cstheme="minorHAnsi"/>
              </w:rPr>
              <w:t>.</w:t>
            </w:r>
          </w:p>
        </w:tc>
        <w:tc>
          <w:tcPr>
            <w:tcW w:w="853" w:type="pct"/>
            <w:shd w:val="clear" w:color="auto" w:fill="F2F2F2" w:themeFill="background1" w:themeFillShade="F2"/>
          </w:tcPr>
          <w:p w:rsidR="005D6B71" w:rsidRDefault="00A37EAD" w:rsidP="00A71365">
            <w:pPr>
              <w:pStyle w:val="Tablewriting"/>
              <w:rPr>
                <w:rFonts w:eastAsia="MS Mincho" w:cstheme="minorHAnsi"/>
              </w:rPr>
            </w:pPr>
            <w:r>
              <w:rPr>
                <w:rFonts w:eastAsia="MS Mincho" w:cstheme="minorHAnsi"/>
              </w:rPr>
              <w:t>A</w:t>
            </w:r>
            <w:r w:rsidRPr="00A37EAD">
              <w:rPr>
                <w:rFonts w:eastAsia="MS Mincho" w:cstheme="minorHAnsi"/>
              </w:rPr>
              <w:t>dult methadone-maintained smokers, smoking 10+ CPD, willing to</w:t>
            </w:r>
            <w:r w:rsidR="009E2A27">
              <w:rPr>
                <w:rFonts w:eastAsia="MS Mincho" w:cstheme="minorHAnsi"/>
              </w:rPr>
              <w:t xml:space="preserve"> set a quit date within the 1</w:t>
            </w:r>
            <w:r w:rsidR="009E2A27" w:rsidRPr="009E2A27">
              <w:rPr>
                <w:rFonts w:eastAsia="MS Mincho" w:cstheme="minorHAnsi"/>
                <w:vertAlign w:val="superscript"/>
              </w:rPr>
              <w:t>st</w:t>
            </w:r>
            <w:r w:rsidR="009E2A27">
              <w:rPr>
                <w:rFonts w:eastAsia="MS Mincho" w:cstheme="minorHAnsi"/>
              </w:rPr>
              <w:t xml:space="preserve"> </w:t>
            </w:r>
            <w:r w:rsidRPr="00A37EAD">
              <w:rPr>
                <w:rFonts w:eastAsia="MS Mincho" w:cstheme="minorHAnsi"/>
              </w:rPr>
              <w:t>w</w:t>
            </w:r>
            <w:r w:rsidR="005D6B71">
              <w:rPr>
                <w:rFonts w:eastAsia="MS Mincho" w:cstheme="minorHAnsi"/>
              </w:rPr>
              <w:t>ee</w:t>
            </w:r>
            <w:r w:rsidRPr="00A37EAD">
              <w:rPr>
                <w:rFonts w:eastAsia="MS Mincho" w:cstheme="minorHAnsi"/>
              </w:rPr>
              <w:t>k.</w:t>
            </w:r>
          </w:p>
          <w:p w:rsidR="00A62EEF" w:rsidRDefault="00A62EEF" w:rsidP="00A71365">
            <w:pPr>
              <w:pStyle w:val="Tablewriting"/>
              <w:rPr>
                <w:rFonts w:eastAsia="MS Mincho" w:cstheme="minorHAnsi"/>
              </w:rPr>
            </w:pPr>
          </w:p>
          <w:p w:rsidR="00DB181B" w:rsidRPr="00017AE6" w:rsidRDefault="00A37EAD" w:rsidP="00A71365">
            <w:pPr>
              <w:pStyle w:val="Tablewriting"/>
              <w:rPr>
                <w:rFonts w:eastAsia="MS Mincho" w:cstheme="minorHAnsi"/>
              </w:rPr>
            </w:pPr>
            <w:r w:rsidRPr="00A37EAD">
              <w:rPr>
                <w:rFonts w:eastAsia="MS Mincho" w:cstheme="minorHAnsi"/>
              </w:rPr>
              <w:t>Mean age 39.9, 47.6%</w:t>
            </w:r>
            <w:r w:rsidR="00A62EEF">
              <w:rPr>
                <w:rFonts w:eastAsia="MS Mincho" w:cstheme="minorHAnsi"/>
              </w:rPr>
              <w:t xml:space="preserve"> </w:t>
            </w:r>
            <w:r w:rsidRPr="00A37EAD">
              <w:rPr>
                <w:rFonts w:eastAsia="MS Mincho" w:cstheme="minorHAnsi"/>
              </w:rPr>
              <w:t>women, 78.5% white, mean CPD 20, mean FTND 5.7</w:t>
            </w:r>
            <w:r w:rsidR="00A62EEF">
              <w:rPr>
                <w:rFonts w:eastAsia="MS Mincho" w:cstheme="minorHAnsi"/>
              </w:rPr>
              <w:t>.</w:t>
            </w:r>
          </w:p>
        </w:tc>
        <w:tc>
          <w:tcPr>
            <w:tcW w:w="1055" w:type="pct"/>
            <w:shd w:val="clear" w:color="auto" w:fill="F2F2F2" w:themeFill="background1" w:themeFillShade="F2"/>
          </w:tcPr>
          <w:p w:rsidR="00DE3316" w:rsidRDefault="00A37EAD" w:rsidP="00C324F3">
            <w:pPr>
              <w:pStyle w:val="Tablewriting"/>
              <w:numPr>
                <w:ilvl w:val="0"/>
                <w:numId w:val="93"/>
              </w:numPr>
              <w:rPr>
                <w:rFonts w:eastAsia="MS Mincho" w:cstheme="minorHAnsi"/>
              </w:rPr>
            </w:pPr>
            <w:r w:rsidRPr="00A37EAD">
              <w:rPr>
                <w:rFonts w:eastAsia="MS Mincho" w:cstheme="minorHAnsi"/>
              </w:rPr>
              <w:t>Varenicline: 24-wk course of</w:t>
            </w:r>
            <w:r w:rsidR="00DE3316">
              <w:rPr>
                <w:rFonts w:eastAsia="MS Mincho" w:cstheme="minorHAnsi"/>
              </w:rPr>
              <w:t xml:space="preserve"> </w:t>
            </w:r>
            <w:r w:rsidRPr="00A37EAD">
              <w:rPr>
                <w:rFonts w:eastAsia="MS Mincho" w:cstheme="minorHAnsi"/>
              </w:rPr>
              <w:t>varenicline tablets, 1st w</w:t>
            </w:r>
            <w:r w:rsidR="00DE3316">
              <w:rPr>
                <w:rFonts w:eastAsia="MS Mincho" w:cstheme="minorHAnsi"/>
              </w:rPr>
              <w:t>ee</w:t>
            </w:r>
            <w:r w:rsidRPr="00A37EAD">
              <w:rPr>
                <w:rFonts w:eastAsia="MS Mincho" w:cstheme="minorHAnsi"/>
              </w:rPr>
              <w:t>k titrated</w:t>
            </w:r>
            <w:r w:rsidR="00DE3316">
              <w:rPr>
                <w:rFonts w:eastAsia="MS Mincho" w:cstheme="minorHAnsi"/>
              </w:rPr>
              <w:t>.</w:t>
            </w:r>
          </w:p>
          <w:p w:rsidR="00084803" w:rsidRDefault="00225029" w:rsidP="00C324F3">
            <w:pPr>
              <w:pStyle w:val="Tablewriting"/>
              <w:numPr>
                <w:ilvl w:val="0"/>
                <w:numId w:val="93"/>
              </w:numPr>
              <w:rPr>
                <w:rFonts w:eastAsia="MS Mincho" w:cstheme="minorHAnsi"/>
              </w:rPr>
            </w:pPr>
            <w:r w:rsidRPr="00DE3316">
              <w:rPr>
                <w:rFonts w:eastAsia="MS Mincho" w:cstheme="minorHAnsi"/>
              </w:rPr>
              <w:t>Placebo: 24-wk course of identical tablets and</w:t>
            </w:r>
            <w:r w:rsidR="00084803">
              <w:rPr>
                <w:rFonts w:eastAsia="MS Mincho" w:cstheme="minorHAnsi"/>
              </w:rPr>
              <w:t xml:space="preserve"> </w:t>
            </w:r>
            <w:r w:rsidRPr="00DE3316">
              <w:rPr>
                <w:rFonts w:eastAsia="MS Mincho" w:cstheme="minorHAnsi"/>
              </w:rPr>
              <w:t>regimen</w:t>
            </w:r>
            <w:r w:rsidR="00084803">
              <w:rPr>
                <w:rFonts w:eastAsia="MS Mincho" w:cstheme="minorHAnsi"/>
              </w:rPr>
              <w:t>.</w:t>
            </w:r>
          </w:p>
          <w:p w:rsidR="00FE7D0B" w:rsidRPr="00084803" w:rsidRDefault="00225029" w:rsidP="00C324F3">
            <w:pPr>
              <w:pStyle w:val="Tablewriting"/>
              <w:numPr>
                <w:ilvl w:val="0"/>
                <w:numId w:val="93"/>
              </w:numPr>
              <w:rPr>
                <w:rFonts w:eastAsia="MS Mincho" w:cstheme="minorHAnsi"/>
              </w:rPr>
            </w:pPr>
            <w:r w:rsidRPr="00084803">
              <w:rPr>
                <w:rFonts w:eastAsia="MS Mincho" w:cstheme="minorHAnsi"/>
              </w:rPr>
              <w:t xml:space="preserve">Combination NRT: 24-wk course of NRT patch (42 mg for &gt; 30 CPD, 21 mg if &lt; 30 </w:t>
            </w:r>
            <w:r w:rsidRPr="00084803">
              <w:rPr>
                <w:rFonts w:eastAsia="MS Mincho" w:cstheme="minorHAnsi"/>
              </w:rPr>
              <w:lastRenderedPageBreak/>
              <w:t>CPD), + ad lib nicotine</w:t>
            </w:r>
            <w:r w:rsidR="00084803">
              <w:rPr>
                <w:rFonts w:eastAsia="MS Mincho" w:cstheme="minorHAnsi"/>
              </w:rPr>
              <w:t xml:space="preserve"> </w:t>
            </w:r>
            <w:r w:rsidRPr="00084803">
              <w:rPr>
                <w:rFonts w:eastAsia="MS Mincho" w:cstheme="minorHAnsi"/>
              </w:rPr>
              <w:t>gum (4 mg) as needed</w:t>
            </w:r>
            <w:r w:rsidR="00084803">
              <w:rPr>
                <w:rFonts w:eastAsia="MS Mincho" w:cstheme="minorHAnsi"/>
              </w:rPr>
              <w:t>.</w:t>
            </w:r>
          </w:p>
          <w:p w:rsidR="00FE7D0B" w:rsidRDefault="00FE7D0B" w:rsidP="00A71365">
            <w:pPr>
              <w:autoSpaceDE w:val="0"/>
              <w:autoSpaceDN w:val="0"/>
              <w:adjustRightInd w:val="0"/>
              <w:rPr>
                <w:rFonts w:asciiTheme="minorHAnsi" w:eastAsia="MS Mincho" w:hAnsiTheme="minorHAnsi" w:cstheme="minorHAnsi"/>
              </w:rPr>
            </w:pPr>
          </w:p>
          <w:p w:rsidR="00225029" w:rsidRPr="00225029" w:rsidRDefault="00104261" w:rsidP="00A71365">
            <w:pPr>
              <w:pStyle w:val="Tablewriting"/>
              <w:rPr>
                <w:rFonts w:eastAsia="MS Mincho" w:cstheme="minorHAnsi"/>
              </w:rPr>
            </w:pPr>
            <w:r w:rsidRPr="06BFFAED">
              <w:rPr>
                <w:rFonts w:eastAsia="MS Mincho" w:cstheme="minorBidi"/>
                <w:u w:val="single"/>
              </w:rPr>
              <w:t>Common components:</w:t>
            </w:r>
            <w:r w:rsidR="005B58DC">
              <w:rPr>
                <w:rFonts w:eastAsia="MS Mincho" w:cstheme="minorBidi"/>
                <w:u w:val="single"/>
              </w:rPr>
              <w:t xml:space="preserve"> </w:t>
            </w:r>
            <w:r w:rsidRPr="00A37EAD">
              <w:rPr>
                <w:rFonts w:eastAsia="MS Mincho" w:cstheme="minorHAnsi"/>
              </w:rPr>
              <w:t>All participants received a standardised 15-min session of advice to quit (5As model), and were asked to</w:t>
            </w:r>
            <w:r w:rsidR="007E4E63">
              <w:rPr>
                <w:rFonts w:eastAsia="MS Mincho" w:cstheme="minorHAnsi"/>
              </w:rPr>
              <w:t xml:space="preserve"> </w:t>
            </w:r>
            <w:r w:rsidRPr="00A37EAD">
              <w:rPr>
                <w:rFonts w:eastAsia="MS Mincho" w:cstheme="minorHAnsi"/>
              </w:rPr>
              <w:t>set a TQD for 8 days time. All made monthly visits for support and top-up medication</w:t>
            </w:r>
            <w:r>
              <w:rPr>
                <w:rFonts w:eastAsia="MS Mincho" w:cstheme="minorHAnsi"/>
              </w:rPr>
              <w:t>.</w:t>
            </w:r>
          </w:p>
        </w:tc>
        <w:tc>
          <w:tcPr>
            <w:tcW w:w="960" w:type="pct"/>
            <w:shd w:val="clear" w:color="auto" w:fill="F2F2F2" w:themeFill="background1" w:themeFillShade="F2"/>
          </w:tcPr>
          <w:p w:rsidR="00084803" w:rsidRPr="00084803" w:rsidRDefault="00084803" w:rsidP="00A71365">
            <w:pPr>
              <w:pStyle w:val="Tablewriting"/>
              <w:rPr>
                <w:rFonts w:eastAsia="MS Mincho" w:cstheme="minorHAnsi"/>
                <w:u w:val="single"/>
              </w:rPr>
            </w:pPr>
            <w:r w:rsidRPr="00084803">
              <w:rPr>
                <w:rFonts w:eastAsia="MS Mincho" w:cstheme="minorHAnsi"/>
                <w:u w:val="single"/>
              </w:rPr>
              <w:lastRenderedPageBreak/>
              <w:t>Efficacy:</w:t>
            </w:r>
          </w:p>
          <w:p w:rsidR="00FE7D0B" w:rsidRPr="00FE7D0B" w:rsidRDefault="00FE7D0B" w:rsidP="00A71365">
            <w:pPr>
              <w:pStyle w:val="Tablewriting"/>
              <w:rPr>
                <w:rFonts w:eastAsia="MS Mincho" w:cstheme="minorHAnsi"/>
              </w:rPr>
            </w:pPr>
            <w:r w:rsidRPr="00FE7D0B">
              <w:rPr>
                <w:rFonts w:eastAsia="MS Mincho" w:cstheme="minorHAnsi"/>
              </w:rPr>
              <w:t>Primary: 7-day PPA at 6</w:t>
            </w:r>
            <w:r w:rsidR="006E791D">
              <w:rPr>
                <w:rFonts w:eastAsia="MS Mincho" w:cstheme="minorHAnsi"/>
              </w:rPr>
              <w:t xml:space="preserve"> </w:t>
            </w:r>
            <w:r w:rsidRPr="00FE7D0B">
              <w:rPr>
                <w:rFonts w:eastAsia="MS Mincho" w:cstheme="minorHAnsi"/>
              </w:rPr>
              <w:t>m</w:t>
            </w:r>
            <w:r w:rsidR="006E791D">
              <w:rPr>
                <w:rFonts w:eastAsia="MS Mincho" w:cstheme="minorHAnsi"/>
              </w:rPr>
              <w:t>onth</w:t>
            </w:r>
            <w:r w:rsidR="00F71016">
              <w:rPr>
                <w:rFonts w:eastAsia="MS Mincho" w:cstheme="minorHAnsi"/>
              </w:rPr>
              <w:t>s,</w:t>
            </w:r>
          </w:p>
          <w:p w:rsidR="00F71016" w:rsidRDefault="00FE7D0B" w:rsidP="00A71365">
            <w:pPr>
              <w:pStyle w:val="Tablewriting"/>
              <w:rPr>
                <w:rFonts w:eastAsia="MS Mincho" w:cstheme="minorHAnsi"/>
              </w:rPr>
            </w:pPr>
            <w:r w:rsidRPr="00FE7D0B">
              <w:rPr>
                <w:rFonts w:eastAsia="MS Mincho" w:cstheme="minorHAnsi"/>
              </w:rPr>
              <w:t>Secondary: CA from w</w:t>
            </w:r>
            <w:r w:rsidR="008B4F79">
              <w:rPr>
                <w:rFonts w:eastAsia="MS Mincho" w:cstheme="minorHAnsi"/>
              </w:rPr>
              <w:t>ee</w:t>
            </w:r>
            <w:r w:rsidRPr="00FE7D0B">
              <w:rPr>
                <w:rFonts w:eastAsia="MS Mincho" w:cstheme="minorHAnsi"/>
              </w:rPr>
              <w:t>k 2 to 6</w:t>
            </w:r>
            <w:r w:rsidR="00F71016">
              <w:rPr>
                <w:rFonts w:eastAsia="MS Mincho" w:cstheme="minorHAnsi"/>
              </w:rPr>
              <w:t xml:space="preserve"> </w:t>
            </w:r>
            <w:r w:rsidRPr="00FE7D0B">
              <w:rPr>
                <w:rFonts w:eastAsia="MS Mincho" w:cstheme="minorHAnsi"/>
              </w:rPr>
              <w:t>m</w:t>
            </w:r>
            <w:r w:rsidR="00F71016">
              <w:rPr>
                <w:rFonts w:eastAsia="MS Mincho" w:cstheme="minorHAnsi"/>
              </w:rPr>
              <w:t>onths,</w:t>
            </w:r>
            <w:r w:rsidRPr="00FE7D0B">
              <w:rPr>
                <w:rFonts w:eastAsia="MS Mincho" w:cstheme="minorHAnsi"/>
              </w:rPr>
              <w:t xml:space="preserve"> </w:t>
            </w:r>
          </w:p>
          <w:p w:rsidR="00BE6C67" w:rsidRDefault="00BE6C67" w:rsidP="00A71365">
            <w:pPr>
              <w:pStyle w:val="Tablewriting"/>
              <w:rPr>
                <w:rFonts w:eastAsia="MS Mincho" w:cstheme="minorHAnsi"/>
              </w:rPr>
            </w:pPr>
          </w:p>
          <w:p w:rsidR="00FE7D0B" w:rsidRPr="00FE7D0B" w:rsidRDefault="00197519" w:rsidP="00A71365">
            <w:pPr>
              <w:pStyle w:val="Tablewriting"/>
              <w:rPr>
                <w:rFonts w:eastAsia="MS Mincho" w:cstheme="minorHAnsi"/>
              </w:rPr>
            </w:pPr>
            <w:r>
              <w:rPr>
                <w:rFonts w:eastAsia="MS Mincho" w:cstheme="minorHAnsi"/>
              </w:rPr>
              <w:t>F</w:t>
            </w:r>
            <w:r w:rsidR="00FE7D0B" w:rsidRPr="00FE7D0B">
              <w:rPr>
                <w:rFonts w:eastAsia="MS Mincho" w:cstheme="minorHAnsi"/>
              </w:rPr>
              <w:t>or non-quitters</w:t>
            </w:r>
            <w:r w:rsidR="00FE4583">
              <w:rPr>
                <w:rFonts w:eastAsia="MS Mincho" w:cstheme="minorHAnsi"/>
              </w:rPr>
              <w:t>;</w:t>
            </w:r>
            <w:r w:rsidR="00FE7D0B" w:rsidRPr="00FE7D0B">
              <w:rPr>
                <w:rFonts w:eastAsia="MS Mincho" w:cstheme="minorHAnsi"/>
              </w:rPr>
              <w:t xml:space="preserve"> CPD reduction in the 28 days prior to 6</w:t>
            </w:r>
            <w:r w:rsidR="008B4F79">
              <w:rPr>
                <w:rFonts w:eastAsia="MS Mincho" w:cstheme="minorHAnsi"/>
              </w:rPr>
              <w:t xml:space="preserve"> </w:t>
            </w:r>
            <w:r w:rsidR="00FE7D0B" w:rsidRPr="00FE7D0B">
              <w:rPr>
                <w:rFonts w:eastAsia="MS Mincho" w:cstheme="minorHAnsi"/>
              </w:rPr>
              <w:t>m</w:t>
            </w:r>
            <w:r w:rsidR="008B4F79">
              <w:rPr>
                <w:rFonts w:eastAsia="MS Mincho" w:cstheme="minorHAnsi"/>
              </w:rPr>
              <w:t>onths</w:t>
            </w:r>
            <w:r w:rsidR="00FE7D0B" w:rsidRPr="00FE7D0B">
              <w:rPr>
                <w:rFonts w:eastAsia="MS Mincho" w:cstheme="minorHAnsi"/>
              </w:rPr>
              <w:t xml:space="preserve"> assessment</w:t>
            </w:r>
            <w:r w:rsidR="00FE4583">
              <w:rPr>
                <w:rFonts w:eastAsia="MS Mincho" w:cstheme="minorHAnsi"/>
              </w:rPr>
              <w:t>.</w:t>
            </w:r>
          </w:p>
          <w:p w:rsidR="00BE6C67" w:rsidRDefault="00BE6C67" w:rsidP="00A71365">
            <w:pPr>
              <w:pStyle w:val="Tablewriting"/>
              <w:rPr>
                <w:rFonts w:eastAsia="MS Mincho" w:cstheme="minorHAnsi"/>
              </w:rPr>
            </w:pPr>
          </w:p>
          <w:p w:rsidR="00F875B7" w:rsidRDefault="00F875B7" w:rsidP="00A71365">
            <w:pPr>
              <w:pStyle w:val="Tablewriting"/>
              <w:rPr>
                <w:rFonts w:eastAsia="MS Mincho" w:cstheme="minorHAnsi"/>
              </w:rPr>
            </w:pPr>
            <w:r w:rsidRPr="00FE7D0B">
              <w:rPr>
                <w:rFonts w:eastAsia="MS Mincho" w:cstheme="minorHAnsi"/>
              </w:rPr>
              <w:t>Validation: CO &lt; 8 ppm; urinary cotinine in varenicline and placebo participants claiming abstinence</w:t>
            </w:r>
          </w:p>
          <w:p w:rsidR="00BE6C67" w:rsidRDefault="00BE6C67" w:rsidP="00A71365">
            <w:pPr>
              <w:pStyle w:val="Tablewriting"/>
              <w:rPr>
                <w:rFonts w:eastAsia="MS Mincho" w:cstheme="minorHAnsi"/>
              </w:rPr>
            </w:pPr>
          </w:p>
          <w:p w:rsidR="00DB181B" w:rsidRPr="00017AE6" w:rsidRDefault="00BE6C67" w:rsidP="00A71365">
            <w:pPr>
              <w:pStyle w:val="Tablewriting"/>
              <w:rPr>
                <w:rFonts w:eastAsia="MS Mincho" w:cstheme="minorHAnsi"/>
              </w:rPr>
            </w:pPr>
            <w:r w:rsidRPr="00BE6C67">
              <w:rPr>
                <w:rFonts w:eastAsia="MS Mincho" w:cstheme="minorHAnsi"/>
                <w:u w:val="single"/>
              </w:rPr>
              <w:t>Safety:</w:t>
            </w:r>
            <w:r>
              <w:rPr>
                <w:rFonts w:eastAsia="MS Mincho" w:cstheme="minorHAnsi"/>
              </w:rPr>
              <w:t xml:space="preserve"> NR</w:t>
            </w:r>
          </w:p>
        </w:tc>
      </w:tr>
      <w:tr w:rsidR="003D3459" w:rsidRPr="00017AE6" w:rsidTr="000728F8">
        <w:trPr>
          <w:trHeight w:val="99"/>
        </w:trPr>
        <w:tc>
          <w:tcPr>
            <w:tcW w:w="763" w:type="pct"/>
            <w:shd w:val="clear" w:color="auto" w:fill="F2F2F2" w:themeFill="background1" w:themeFillShade="F2"/>
          </w:tcPr>
          <w:p w:rsidR="00DB181B" w:rsidRPr="00017AE6" w:rsidRDefault="00DB181B" w:rsidP="00A71365">
            <w:pPr>
              <w:pStyle w:val="Tablewriting"/>
              <w:rPr>
                <w:rFonts w:eastAsia="MS Mincho" w:cstheme="minorHAnsi"/>
              </w:rPr>
            </w:pPr>
            <w:r w:rsidRPr="00E05371">
              <w:rPr>
                <w:rFonts w:eastAsia="MS Mincho" w:cstheme="minorHAnsi"/>
              </w:rPr>
              <w:lastRenderedPageBreak/>
              <w:t xml:space="preserve">Tonnesen </w:t>
            </w:r>
            <w:r w:rsidR="001B56DB" w:rsidRPr="00E05371">
              <w:rPr>
                <w:rFonts w:eastAsia="MS Mincho" w:cstheme="minorHAnsi"/>
              </w:rPr>
              <w:t>(</w:t>
            </w:r>
            <w:r w:rsidRPr="00E05371">
              <w:rPr>
                <w:rFonts w:eastAsia="MS Mincho" w:cstheme="minorHAnsi"/>
              </w:rPr>
              <w:t>2013</w:t>
            </w:r>
            <w:r w:rsidR="001B56DB">
              <w:rPr>
                <w:rFonts w:eastAsia="MS Mincho" w:cstheme="minorHAnsi"/>
              </w:rPr>
              <w:t>)</w:t>
            </w:r>
          </w:p>
        </w:tc>
        <w:tc>
          <w:tcPr>
            <w:tcW w:w="234" w:type="pct"/>
            <w:shd w:val="clear" w:color="auto" w:fill="F2F2F2" w:themeFill="background1" w:themeFillShade="F2"/>
          </w:tcPr>
          <w:p w:rsidR="00DB181B" w:rsidRPr="00017AE6" w:rsidRDefault="00DB181B" w:rsidP="00A71365">
            <w:pPr>
              <w:pStyle w:val="Tablewriting"/>
              <w:rPr>
                <w:rFonts w:eastAsia="MS Mincho" w:cstheme="minorHAnsi"/>
              </w:rPr>
            </w:pPr>
            <w:r w:rsidRPr="00962325">
              <w:rPr>
                <w:rFonts w:eastAsia="MS Mincho" w:cstheme="minorHAnsi"/>
              </w:rPr>
              <w:t>RCT</w:t>
            </w:r>
          </w:p>
        </w:tc>
        <w:tc>
          <w:tcPr>
            <w:tcW w:w="460" w:type="pct"/>
            <w:shd w:val="clear" w:color="auto" w:fill="F2F2F2" w:themeFill="background1" w:themeFillShade="F2"/>
          </w:tcPr>
          <w:p w:rsidR="00DB181B" w:rsidRPr="00017AE6" w:rsidRDefault="0097581A" w:rsidP="00A71365">
            <w:pPr>
              <w:pStyle w:val="Tablewriting"/>
              <w:rPr>
                <w:rFonts w:eastAsia="MS Mincho" w:cstheme="minorHAnsi"/>
              </w:rPr>
            </w:pPr>
            <w:r>
              <w:rPr>
                <w:rFonts w:eastAsia="MS Mincho" w:cstheme="minorHAnsi"/>
              </w:rPr>
              <w:t>Denmark</w:t>
            </w:r>
          </w:p>
        </w:tc>
        <w:tc>
          <w:tcPr>
            <w:tcW w:w="675" w:type="pct"/>
            <w:shd w:val="clear" w:color="auto" w:fill="F2F2F2" w:themeFill="background1" w:themeFillShade="F2"/>
          </w:tcPr>
          <w:p w:rsidR="00DB181B" w:rsidRPr="00017AE6" w:rsidRDefault="0097581A" w:rsidP="00A71365">
            <w:pPr>
              <w:pStyle w:val="Tablewriting"/>
              <w:rPr>
                <w:rFonts w:eastAsia="MS Mincho" w:cstheme="minorHAnsi"/>
              </w:rPr>
            </w:pPr>
            <w:r>
              <w:rPr>
                <w:rFonts w:eastAsia="MS Mincho" w:cstheme="minorHAnsi"/>
              </w:rPr>
              <w:t>N=</w:t>
            </w:r>
            <w:r w:rsidR="000C7755">
              <w:rPr>
                <w:rFonts w:eastAsia="MS Mincho" w:cstheme="minorHAnsi"/>
              </w:rPr>
              <w:t>139</w:t>
            </w:r>
            <w:r w:rsidR="003404CC">
              <w:rPr>
                <w:rFonts w:eastAsia="MS Mincho" w:cstheme="minorHAnsi"/>
              </w:rPr>
              <w:t>; n=</w:t>
            </w:r>
            <w:r w:rsidR="00D1195D">
              <w:rPr>
                <w:rFonts w:eastAsia="MS Mincho" w:cstheme="minorHAnsi"/>
              </w:rPr>
              <w:t>70</w:t>
            </w:r>
            <w:r w:rsidR="003404CC" w:rsidRPr="00ED776E">
              <w:rPr>
                <w:rFonts w:eastAsia="MS Mincho" w:cstheme="minorHAnsi"/>
              </w:rPr>
              <w:t xml:space="preserve"> varenicline)</w:t>
            </w:r>
            <w:r w:rsidR="00B85195">
              <w:rPr>
                <w:rFonts w:eastAsia="MS Mincho" w:cstheme="minorHAnsi"/>
              </w:rPr>
              <w:t>, n=69 (</w:t>
            </w:r>
            <w:r w:rsidR="003404CC" w:rsidRPr="00ED776E">
              <w:rPr>
                <w:rFonts w:eastAsia="MS Mincho" w:cstheme="minorHAnsi"/>
              </w:rPr>
              <w:t>placebo)</w:t>
            </w:r>
            <w:r w:rsidR="00D6711E">
              <w:rPr>
                <w:rFonts w:eastAsia="MS Mincho" w:cstheme="minorHAnsi"/>
              </w:rPr>
              <w:t>.</w:t>
            </w:r>
          </w:p>
        </w:tc>
        <w:tc>
          <w:tcPr>
            <w:tcW w:w="853" w:type="pct"/>
            <w:shd w:val="clear" w:color="auto" w:fill="F2F2F2" w:themeFill="background1" w:themeFillShade="F2"/>
          </w:tcPr>
          <w:p w:rsidR="00ED776E" w:rsidRPr="00ED776E" w:rsidRDefault="003404CC" w:rsidP="00A71365">
            <w:pPr>
              <w:pStyle w:val="Tablewriting"/>
              <w:rPr>
                <w:rFonts w:eastAsia="MS Mincho" w:cstheme="minorHAnsi"/>
              </w:rPr>
            </w:pPr>
            <w:r>
              <w:rPr>
                <w:rFonts w:eastAsia="MS Mincho" w:cstheme="minorHAnsi"/>
              </w:rPr>
              <w:t>A</w:t>
            </w:r>
            <w:r w:rsidR="00ED776E" w:rsidRPr="00ED776E">
              <w:rPr>
                <w:rFonts w:eastAsia="MS Mincho" w:cstheme="minorHAnsi"/>
              </w:rPr>
              <w:t>dult ex-smokers, aged 18+, reporting long-term (&gt; 11m) abstinence, using flexible-dose NRT (i.e. &gt;</w:t>
            </w:r>
            <w:r w:rsidR="004702E5">
              <w:rPr>
                <w:rFonts w:eastAsia="MS Mincho" w:cstheme="minorHAnsi"/>
              </w:rPr>
              <w:t xml:space="preserve"> </w:t>
            </w:r>
            <w:r w:rsidR="00ED776E" w:rsidRPr="00ED776E">
              <w:rPr>
                <w:rFonts w:eastAsia="MS Mincho" w:cstheme="minorHAnsi"/>
              </w:rPr>
              <w:t>4 pieces of nicotine gum/sublingual tablets or lozenges per day, or &gt; 3 inha</w:t>
            </w:r>
            <w:r w:rsidR="009E2A27">
              <w:rPr>
                <w:rFonts w:eastAsia="MS Mincho" w:cstheme="minorHAnsi"/>
              </w:rPr>
              <w:t xml:space="preserve">ler cartridges per day, or &gt; 10 </w:t>
            </w:r>
            <w:r w:rsidR="00ED776E" w:rsidRPr="00ED776E">
              <w:rPr>
                <w:rFonts w:eastAsia="MS Mincho" w:cstheme="minorHAnsi"/>
              </w:rPr>
              <w:t>pu</w:t>
            </w:r>
            <w:r w:rsidR="004702E5">
              <w:rPr>
                <w:rFonts w:eastAsia="MS Mincho" w:cstheme="minorHAnsi"/>
              </w:rPr>
              <w:t>ff</w:t>
            </w:r>
            <w:r w:rsidR="00ED776E" w:rsidRPr="00ED776E">
              <w:rPr>
                <w:rFonts w:eastAsia="MS Mincho" w:cstheme="minorHAnsi"/>
              </w:rPr>
              <w:t>s of nasal spray per day), wishing and willing to try to stop using NRT</w:t>
            </w:r>
            <w:r w:rsidR="004702E5">
              <w:rPr>
                <w:rFonts w:eastAsia="MS Mincho" w:cstheme="minorHAnsi"/>
              </w:rPr>
              <w:t>.</w:t>
            </w:r>
          </w:p>
          <w:p w:rsidR="00DB181B" w:rsidRPr="00017AE6" w:rsidRDefault="00DB181B" w:rsidP="00A71365">
            <w:pPr>
              <w:pStyle w:val="Tablewriting"/>
              <w:rPr>
                <w:rFonts w:eastAsia="MS Mincho" w:cstheme="minorHAnsi"/>
              </w:rPr>
            </w:pPr>
          </w:p>
        </w:tc>
        <w:tc>
          <w:tcPr>
            <w:tcW w:w="1055" w:type="pct"/>
            <w:shd w:val="clear" w:color="auto" w:fill="F2F2F2" w:themeFill="background1" w:themeFillShade="F2"/>
          </w:tcPr>
          <w:p w:rsidR="005143AF" w:rsidRDefault="00265D9B" w:rsidP="00C324F3">
            <w:pPr>
              <w:pStyle w:val="ListParagraph"/>
              <w:numPr>
                <w:ilvl w:val="0"/>
                <w:numId w:val="94"/>
              </w:numPr>
              <w:rPr>
                <w:rFonts w:eastAsia="MS Mincho"/>
                <w:lang w:eastAsia="en-US"/>
              </w:rPr>
            </w:pPr>
            <w:r w:rsidRPr="00586E72">
              <w:rPr>
                <w:rFonts w:eastAsia="MS Mincho"/>
                <w:lang w:eastAsia="en-US"/>
              </w:rPr>
              <w:t>Varenicline</w:t>
            </w:r>
            <w:r w:rsidR="005143AF">
              <w:rPr>
                <w:rFonts w:eastAsia="MS Mincho"/>
                <w:lang w:eastAsia="en-US"/>
              </w:rPr>
              <w:t xml:space="preserve">; </w:t>
            </w:r>
            <w:r w:rsidRPr="00586E72">
              <w:rPr>
                <w:rFonts w:eastAsia="MS Mincho"/>
                <w:lang w:eastAsia="en-US"/>
              </w:rPr>
              <w:t>standard 12-wk regimen, titrated 1st w</w:t>
            </w:r>
            <w:r w:rsidR="005143AF">
              <w:rPr>
                <w:rFonts w:eastAsia="MS Mincho"/>
                <w:lang w:eastAsia="en-US"/>
              </w:rPr>
              <w:t>ee</w:t>
            </w:r>
            <w:r w:rsidRPr="00586E72">
              <w:rPr>
                <w:rFonts w:eastAsia="MS Mincho"/>
                <w:lang w:eastAsia="en-US"/>
              </w:rPr>
              <w:t>k</w:t>
            </w:r>
            <w:r w:rsidR="005143AF">
              <w:rPr>
                <w:rFonts w:eastAsia="MS Mincho"/>
                <w:lang w:eastAsia="en-US"/>
              </w:rPr>
              <w:t>.</w:t>
            </w:r>
          </w:p>
          <w:p w:rsidR="00265D9B" w:rsidRPr="005143AF" w:rsidRDefault="00265D9B" w:rsidP="00C324F3">
            <w:pPr>
              <w:pStyle w:val="ListParagraph"/>
              <w:numPr>
                <w:ilvl w:val="0"/>
                <w:numId w:val="94"/>
              </w:numPr>
              <w:rPr>
                <w:rFonts w:eastAsia="MS Mincho"/>
                <w:lang w:eastAsia="en-US"/>
              </w:rPr>
            </w:pPr>
            <w:r w:rsidRPr="005143AF">
              <w:rPr>
                <w:rFonts w:eastAsia="MS Mincho"/>
                <w:lang w:eastAsia="en-US"/>
              </w:rPr>
              <w:t>Placebo: identical tablets, same regimen</w:t>
            </w:r>
            <w:r w:rsidR="004702E5" w:rsidRPr="005143AF">
              <w:rPr>
                <w:rFonts w:eastAsia="MS Mincho"/>
                <w:lang w:eastAsia="en-US"/>
              </w:rPr>
              <w:t>.</w:t>
            </w:r>
          </w:p>
          <w:p w:rsidR="004702E5" w:rsidRDefault="004702E5" w:rsidP="00A71365">
            <w:pPr>
              <w:rPr>
                <w:rFonts w:eastAsia="MS Mincho"/>
                <w:lang w:eastAsia="en-US"/>
              </w:rPr>
            </w:pPr>
          </w:p>
          <w:p w:rsidR="005B58DC" w:rsidRDefault="005B58DC" w:rsidP="00A71365">
            <w:pPr>
              <w:rPr>
                <w:rFonts w:eastAsia="MS Mincho"/>
                <w:lang w:eastAsia="en-US"/>
              </w:rPr>
            </w:pPr>
            <w:r w:rsidRPr="06BFFAED">
              <w:rPr>
                <w:rFonts w:eastAsia="MS Mincho" w:cstheme="minorBidi"/>
                <w:u w:val="single"/>
              </w:rPr>
              <w:t>Common components:</w:t>
            </w:r>
            <w:r>
              <w:rPr>
                <w:rFonts w:eastAsia="MS Mincho" w:cstheme="minorBidi"/>
                <w:u w:val="single"/>
              </w:rPr>
              <w:t xml:space="preserve"> </w:t>
            </w:r>
            <w:r w:rsidR="00265D9B" w:rsidRPr="00265D9B">
              <w:rPr>
                <w:rFonts w:eastAsia="MS Mincho"/>
                <w:lang w:eastAsia="en-US"/>
              </w:rPr>
              <w:t xml:space="preserve">All participants attended clinic visits at </w:t>
            </w:r>
            <w:r w:rsidR="004702E5" w:rsidRPr="00265D9B">
              <w:rPr>
                <w:rFonts w:eastAsia="MS Mincho"/>
                <w:lang w:eastAsia="en-US"/>
              </w:rPr>
              <w:t>w</w:t>
            </w:r>
            <w:r>
              <w:rPr>
                <w:rFonts w:eastAsia="MS Mincho"/>
                <w:lang w:eastAsia="en-US"/>
              </w:rPr>
              <w:t>ee</w:t>
            </w:r>
            <w:r w:rsidR="004702E5" w:rsidRPr="00265D9B">
              <w:rPr>
                <w:rFonts w:eastAsia="MS Mincho"/>
                <w:lang w:eastAsia="en-US"/>
              </w:rPr>
              <w:t>ks</w:t>
            </w:r>
            <w:r w:rsidR="00265D9B" w:rsidRPr="00265D9B">
              <w:rPr>
                <w:rFonts w:eastAsia="MS Mincho"/>
                <w:lang w:eastAsia="en-US"/>
              </w:rPr>
              <w:t xml:space="preserve"> 0, 2, 4, 6, 9, 12, 52, + 2 phone calls at </w:t>
            </w:r>
            <w:r w:rsidR="004702E5" w:rsidRPr="00265D9B">
              <w:rPr>
                <w:rFonts w:eastAsia="MS Mincho"/>
                <w:lang w:eastAsia="en-US"/>
              </w:rPr>
              <w:t>w</w:t>
            </w:r>
            <w:r>
              <w:rPr>
                <w:rFonts w:eastAsia="MS Mincho"/>
                <w:lang w:eastAsia="en-US"/>
              </w:rPr>
              <w:t>ee</w:t>
            </w:r>
            <w:r w:rsidR="004702E5" w:rsidRPr="00265D9B">
              <w:rPr>
                <w:rFonts w:eastAsia="MS Mincho"/>
                <w:lang w:eastAsia="en-US"/>
              </w:rPr>
              <w:t>ks</w:t>
            </w:r>
            <w:r w:rsidR="00265D9B" w:rsidRPr="00265D9B">
              <w:rPr>
                <w:rFonts w:eastAsia="MS Mincho"/>
                <w:lang w:eastAsia="en-US"/>
              </w:rPr>
              <w:t xml:space="preserve"> 26 and 38. </w:t>
            </w:r>
          </w:p>
          <w:p w:rsidR="00265D9B" w:rsidRPr="00265D9B" w:rsidRDefault="00265D9B" w:rsidP="00A71365">
            <w:pPr>
              <w:rPr>
                <w:rFonts w:eastAsia="MS Mincho"/>
                <w:lang w:eastAsia="en-US"/>
              </w:rPr>
            </w:pPr>
            <w:r w:rsidRPr="00265D9B">
              <w:rPr>
                <w:rFonts w:eastAsia="MS Mincho"/>
                <w:lang w:eastAsia="en-US"/>
              </w:rPr>
              <w:t>Each</w:t>
            </w:r>
            <w:r w:rsidR="005B58DC">
              <w:rPr>
                <w:rFonts w:eastAsia="MS Mincho"/>
                <w:lang w:eastAsia="en-US"/>
              </w:rPr>
              <w:t xml:space="preserve"> </w:t>
            </w:r>
            <w:r w:rsidRPr="00265D9B">
              <w:rPr>
                <w:rFonts w:eastAsia="MS Mincho"/>
                <w:lang w:eastAsia="en-US"/>
              </w:rPr>
              <w:t>visit included assessments, &lt; 5 mins counselling from SC nurses. All participants</w:t>
            </w:r>
            <w:r>
              <w:rPr>
                <w:rFonts w:eastAsia="MS Mincho"/>
                <w:lang w:eastAsia="en-US"/>
              </w:rPr>
              <w:t xml:space="preserve"> </w:t>
            </w:r>
            <w:r w:rsidRPr="00265D9B">
              <w:rPr>
                <w:rFonts w:eastAsia="MS Mincho"/>
                <w:lang w:eastAsia="en-US"/>
              </w:rPr>
              <w:t>advised to gradually</w:t>
            </w:r>
          </w:p>
          <w:p w:rsidR="00265D9B" w:rsidRPr="00265D9B" w:rsidRDefault="00265D9B" w:rsidP="00A71365">
            <w:pPr>
              <w:rPr>
                <w:rFonts w:eastAsia="MS Mincho"/>
                <w:lang w:eastAsia="en-US"/>
              </w:rPr>
            </w:pPr>
            <w:r w:rsidRPr="00265D9B">
              <w:rPr>
                <w:rFonts w:eastAsia="MS Mincho"/>
                <w:lang w:eastAsia="en-US"/>
              </w:rPr>
              <w:t xml:space="preserve">reduce NRT and to stop completely by TQD at 1 - 2 </w:t>
            </w:r>
            <w:r w:rsidR="004702E5" w:rsidRPr="00265D9B">
              <w:rPr>
                <w:rFonts w:eastAsia="MS Mincho"/>
                <w:lang w:eastAsia="en-US"/>
              </w:rPr>
              <w:t>w</w:t>
            </w:r>
            <w:r w:rsidR="000D0389">
              <w:rPr>
                <w:rFonts w:eastAsia="MS Mincho"/>
                <w:lang w:eastAsia="en-US"/>
              </w:rPr>
              <w:t>ee</w:t>
            </w:r>
            <w:r w:rsidR="004702E5" w:rsidRPr="00265D9B">
              <w:rPr>
                <w:rFonts w:eastAsia="MS Mincho"/>
                <w:lang w:eastAsia="en-US"/>
              </w:rPr>
              <w:t>ks</w:t>
            </w:r>
          </w:p>
          <w:p w:rsidR="00265D9B" w:rsidRPr="00265D9B" w:rsidRDefault="00265D9B" w:rsidP="00A71365">
            <w:pPr>
              <w:rPr>
                <w:rFonts w:eastAsia="MS Mincho"/>
                <w:lang w:eastAsia="en-US"/>
              </w:rPr>
            </w:pPr>
          </w:p>
        </w:tc>
        <w:tc>
          <w:tcPr>
            <w:tcW w:w="960" w:type="pct"/>
            <w:shd w:val="clear" w:color="auto" w:fill="F2F2F2" w:themeFill="background1" w:themeFillShade="F2"/>
          </w:tcPr>
          <w:p w:rsidR="0058555D" w:rsidRPr="00CE4B41" w:rsidRDefault="0058555D" w:rsidP="00A71365">
            <w:pPr>
              <w:pStyle w:val="Tablewriting"/>
              <w:rPr>
                <w:rFonts w:eastAsia="MS Mincho" w:cstheme="minorHAnsi"/>
                <w:u w:val="single"/>
              </w:rPr>
            </w:pPr>
            <w:r w:rsidRPr="00CE4B41">
              <w:rPr>
                <w:rFonts w:eastAsia="MS Mincho" w:cstheme="minorHAnsi"/>
                <w:u w:val="single"/>
              </w:rPr>
              <w:t>Efficacy:</w:t>
            </w:r>
          </w:p>
          <w:p w:rsidR="007E5485" w:rsidRPr="000C7755" w:rsidRDefault="007E5485" w:rsidP="00A71365">
            <w:pPr>
              <w:pStyle w:val="Tablewriting"/>
              <w:rPr>
                <w:rFonts w:eastAsia="MS Mincho" w:cstheme="minorHAnsi"/>
              </w:rPr>
            </w:pPr>
            <w:r w:rsidRPr="000C7755">
              <w:rPr>
                <w:rFonts w:eastAsia="MS Mincho" w:cstheme="minorHAnsi"/>
              </w:rPr>
              <w:t>7-day PPA at 12 weeks, not smoking or on NRT; also no NRT (7-day PPA) + abstinence at 52 wks. CAR</w:t>
            </w:r>
            <w:r w:rsidR="002607C3">
              <w:rPr>
                <w:rFonts w:eastAsia="MS Mincho" w:cstheme="minorHAnsi"/>
              </w:rPr>
              <w:t xml:space="preserve"> </w:t>
            </w:r>
            <w:r w:rsidRPr="000C7755">
              <w:rPr>
                <w:rFonts w:eastAsia="MS Mincho" w:cstheme="minorHAnsi"/>
              </w:rPr>
              <w:t>from w</w:t>
            </w:r>
            <w:r w:rsidR="002607C3">
              <w:rPr>
                <w:rFonts w:eastAsia="MS Mincho" w:cstheme="minorHAnsi"/>
              </w:rPr>
              <w:t>ee</w:t>
            </w:r>
            <w:r w:rsidRPr="000C7755">
              <w:rPr>
                <w:rFonts w:eastAsia="MS Mincho" w:cstheme="minorHAnsi"/>
              </w:rPr>
              <w:t>k 2 to w</w:t>
            </w:r>
            <w:r w:rsidR="002607C3">
              <w:rPr>
                <w:rFonts w:eastAsia="MS Mincho" w:cstheme="minorHAnsi"/>
              </w:rPr>
              <w:t>ee</w:t>
            </w:r>
            <w:r w:rsidRPr="000C7755">
              <w:rPr>
                <w:rFonts w:eastAsia="MS Mincho" w:cstheme="minorHAnsi"/>
              </w:rPr>
              <w:t>k 52, proven abstinent at all clinic visits</w:t>
            </w:r>
          </w:p>
          <w:p w:rsidR="002607C3" w:rsidRDefault="002607C3" w:rsidP="00A71365">
            <w:pPr>
              <w:pStyle w:val="Tablewriting"/>
              <w:rPr>
                <w:rFonts w:eastAsia="MS Mincho" w:cstheme="minorHAnsi"/>
              </w:rPr>
            </w:pPr>
          </w:p>
          <w:p w:rsidR="00DB181B" w:rsidRDefault="007E5485" w:rsidP="00A71365">
            <w:pPr>
              <w:pStyle w:val="Tablewriting"/>
              <w:rPr>
                <w:rFonts w:eastAsia="MS Mincho" w:cstheme="minorHAnsi"/>
              </w:rPr>
            </w:pPr>
            <w:r w:rsidRPr="000C7755">
              <w:rPr>
                <w:rFonts w:eastAsia="MS Mincho" w:cstheme="minorHAnsi"/>
              </w:rPr>
              <w:t>Validation: expired CO &lt; 7 ppm and plasma cotinine &lt; 15 ng/ml</w:t>
            </w:r>
          </w:p>
          <w:p w:rsidR="00F875B7" w:rsidRDefault="00F875B7" w:rsidP="00A71365">
            <w:pPr>
              <w:pStyle w:val="Tablewriting"/>
              <w:rPr>
                <w:rFonts w:eastAsia="MS Mincho" w:cstheme="minorHAnsi"/>
              </w:rPr>
            </w:pPr>
          </w:p>
          <w:p w:rsidR="00F875B7" w:rsidRPr="00F875B7" w:rsidRDefault="00F875B7" w:rsidP="00A71365">
            <w:pPr>
              <w:pStyle w:val="Tablewriting"/>
              <w:rPr>
                <w:rFonts w:eastAsia="MS Mincho" w:cstheme="minorHAnsi"/>
                <w:u w:val="single"/>
              </w:rPr>
            </w:pPr>
            <w:r w:rsidRPr="00F875B7">
              <w:rPr>
                <w:rFonts w:eastAsia="MS Mincho" w:cstheme="minorHAnsi"/>
                <w:u w:val="single"/>
              </w:rPr>
              <w:t>Safety:</w:t>
            </w:r>
            <w:r w:rsidRPr="00F875B7">
              <w:rPr>
                <w:rFonts w:eastAsia="MS Mincho" w:cstheme="minorHAnsi"/>
              </w:rPr>
              <w:t xml:space="preserve"> NR</w:t>
            </w:r>
          </w:p>
        </w:tc>
      </w:tr>
      <w:tr w:rsidR="003D3459" w:rsidRPr="00017AE6" w:rsidTr="000728F8">
        <w:trPr>
          <w:trHeight w:val="99"/>
        </w:trPr>
        <w:tc>
          <w:tcPr>
            <w:tcW w:w="763" w:type="pct"/>
            <w:shd w:val="clear" w:color="auto" w:fill="F2F2F2" w:themeFill="background1" w:themeFillShade="F2"/>
          </w:tcPr>
          <w:p w:rsidR="00DB181B" w:rsidRPr="00017AE6" w:rsidRDefault="00DB181B" w:rsidP="00A71365">
            <w:pPr>
              <w:pStyle w:val="Tablewriting"/>
              <w:rPr>
                <w:rFonts w:eastAsia="MS Mincho" w:cstheme="minorHAnsi"/>
              </w:rPr>
            </w:pPr>
            <w:r w:rsidRPr="001411E5">
              <w:rPr>
                <w:rFonts w:eastAsia="MS Mincho" w:cstheme="minorHAnsi"/>
              </w:rPr>
              <w:t xml:space="preserve">Tonstad </w:t>
            </w:r>
            <w:r w:rsidR="001B56DB">
              <w:rPr>
                <w:rFonts w:eastAsia="MS Mincho" w:cstheme="minorHAnsi"/>
              </w:rPr>
              <w:t>(</w:t>
            </w:r>
            <w:r w:rsidRPr="001411E5">
              <w:rPr>
                <w:rFonts w:eastAsia="MS Mincho" w:cstheme="minorHAnsi"/>
              </w:rPr>
              <w:t>2006</w:t>
            </w:r>
            <w:r w:rsidR="001B56DB">
              <w:rPr>
                <w:rFonts w:eastAsia="MS Mincho" w:cstheme="minorHAnsi"/>
              </w:rPr>
              <w:t>)</w:t>
            </w:r>
          </w:p>
        </w:tc>
        <w:tc>
          <w:tcPr>
            <w:tcW w:w="234" w:type="pct"/>
            <w:shd w:val="clear" w:color="auto" w:fill="F2F2F2" w:themeFill="background1" w:themeFillShade="F2"/>
          </w:tcPr>
          <w:p w:rsidR="00DB181B" w:rsidRPr="00017AE6" w:rsidRDefault="00DB181B" w:rsidP="00A71365">
            <w:pPr>
              <w:pStyle w:val="Tablewriting"/>
              <w:rPr>
                <w:rFonts w:eastAsia="MS Mincho" w:cstheme="minorHAnsi"/>
              </w:rPr>
            </w:pPr>
            <w:r w:rsidRPr="00962325">
              <w:rPr>
                <w:rFonts w:eastAsia="MS Mincho" w:cstheme="minorHAnsi"/>
              </w:rPr>
              <w:t>RCT</w:t>
            </w:r>
          </w:p>
        </w:tc>
        <w:tc>
          <w:tcPr>
            <w:tcW w:w="460" w:type="pct"/>
            <w:shd w:val="clear" w:color="auto" w:fill="F2F2F2" w:themeFill="background1" w:themeFillShade="F2"/>
          </w:tcPr>
          <w:p w:rsidR="00184026" w:rsidRPr="00184026" w:rsidRDefault="00184026" w:rsidP="00A71365">
            <w:pPr>
              <w:pStyle w:val="Tablewriting"/>
              <w:rPr>
                <w:rFonts w:eastAsia="MS Mincho" w:cstheme="minorHAnsi"/>
              </w:rPr>
            </w:pPr>
            <w:r w:rsidRPr="00184026">
              <w:rPr>
                <w:rFonts w:eastAsia="MS Mincho" w:cstheme="minorHAnsi"/>
              </w:rPr>
              <w:t xml:space="preserve">USA (6 centres) and 'international' (18 centres, across Canada, Czech </w:t>
            </w:r>
            <w:r w:rsidRPr="00184026">
              <w:rPr>
                <w:rFonts w:eastAsia="MS Mincho" w:cstheme="minorHAnsi"/>
              </w:rPr>
              <w:lastRenderedPageBreak/>
              <w:t>Republic, Denmark, Norway,</w:t>
            </w:r>
          </w:p>
          <w:p w:rsidR="00DB181B" w:rsidRPr="00017AE6" w:rsidRDefault="00184026" w:rsidP="00A71365">
            <w:pPr>
              <w:pStyle w:val="Tablewriting"/>
              <w:rPr>
                <w:rFonts w:eastAsia="MS Mincho" w:cstheme="minorHAnsi"/>
              </w:rPr>
            </w:pPr>
            <w:r w:rsidRPr="00184026">
              <w:rPr>
                <w:rFonts w:eastAsia="MS Mincho" w:cstheme="minorHAnsi"/>
              </w:rPr>
              <w:t>Sweden, UK)</w:t>
            </w:r>
          </w:p>
        </w:tc>
        <w:tc>
          <w:tcPr>
            <w:tcW w:w="675" w:type="pct"/>
            <w:shd w:val="clear" w:color="auto" w:fill="F2F2F2" w:themeFill="background1" w:themeFillShade="F2"/>
          </w:tcPr>
          <w:p w:rsidR="00DB181B" w:rsidRPr="00017AE6" w:rsidRDefault="00184026" w:rsidP="00A71365">
            <w:pPr>
              <w:pStyle w:val="Tablewriting"/>
              <w:rPr>
                <w:rFonts w:eastAsia="MS Mincho" w:cstheme="minorHAnsi"/>
              </w:rPr>
            </w:pPr>
            <w:r>
              <w:rPr>
                <w:rFonts w:eastAsia="MS Mincho" w:cstheme="minorHAnsi"/>
              </w:rPr>
              <w:lastRenderedPageBreak/>
              <w:t>N=1210</w:t>
            </w:r>
          </w:p>
        </w:tc>
        <w:tc>
          <w:tcPr>
            <w:tcW w:w="853" w:type="pct"/>
            <w:shd w:val="clear" w:color="auto" w:fill="F2F2F2" w:themeFill="background1" w:themeFillShade="F2"/>
          </w:tcPr>
          <w:p w:rsidR="004E2D82" w:rsidRDefault="00CD591D" w:rsidP="00A71365">
            <w:pPr>
              <w:pStyle w:val="Tablewriting"/>
              <w:rPr>
                <w:rFonts w:eastAsia="MS Mincho" w:cstheme="minorHAnsi"/>
              </w:rPr>
            </w:pPr>
            <w:r>
              <w:rPr>
                <w:rFonts w:eastAsia="MS Mincho" w:cstheme="minorHAnsi"/>
              </w:rPr>
              <w:t>S</w:t>
            </w:r>
            <w:r w:rsidRPr="00CD591D">
              <w:rPr>
                <w:rFonts w:eastAsia="MS Mincho" w:cstheme="minorHAnsi"/>
              </w:rPr>
              <w:t>uccessful quitters (62.8% of initial cohort) following a 12-wk open-label course of varenicline for</w:t>
            </w:r>
            <w:r w:rsidR="004E2D82">
              <w:rPr>
                <w:rFonts w:eastAsia="MS Mincho" w:cstheme="minorHAnsi"/>
              </w:rPr>
              <w:t xml:space="preserve"> </w:t>
            </w:r>
            <w:r w:rsidRPr="00CD591D">
              <w:rPr>
                <w:rFonts w:eastAsia="MS Mincho" w:cstheme="minorHAnsi"/>
              </w:rPr>
              <w:t xml:space="preserve">smoking cessation, randomised to varenicline (603) or placebo (607) for a further 12 wks. </w:t>
            </w:r>
          </w:p>
          <w:p w:rsidR="00CD591D" w:rsidRPr="00CD591D" w:rsidRDefault="00CD591D" w:rsidP="00A71365">
            <w:pPr>
              <w:pStyle w:val="Tablewriting"/>
              <w:rPr>
                <w:rFonts w:eastAsia="MS Mincho" w:cstheme="minorHAnsi"/>
              </w:rPr>
            </w:pPr>
            <w:r w:rsidRPr="00CD591D">
              <w:rPr>
                <w:rFonts w:eastAsia="MS Mincho" w:cstheme="minorHAnsi"/>
              </w:rPr>
              <w:lastRenderedPageBreak/>
              <w:t>49% men,</w:t>
            </w:r>
            <w:r w:rsidR="004E2D82">
              <w:rPr>
                <w:rFonts w:eastAsia="MS Mincho" w:cstheme="minorHAnsi"/>
              </w:rPr>
              <w:t xml:space="preserve"> </w:t>
            </w:r>
            <w:r w:rsidRPr="00CD591D">
              <w:rPr>
                <w:rFonts w:eastAsia="MS Mincho" w:cstheme="minorHAnsi"/>
              </w:rPr>
              <w:t>97% white, mean age 45, BMI &lt; 15 or &gt; 38 or weight &lt; 45.5 kg, mean CPD 21, mean FTND score 5.4</w:t>
            </w:r>
          </w:p>
          <w:p w:rsidR="00CD591D" w:rsidRDefault="00CD591D" w:rsidP="00A71365">
            <w:pPr>
              <w:pStyle w:val="Tablewriting"/>
              <w:rPr>
                <w:rFonts w:eastAsia="MS Mincho" w:cstheme="minorHAnsi"/>
              </w:rPr>
            </w:pPr>
          </w:p>
          <w:p w:rsidR="00CD591D" w:rsidRPr="00CD591D" w:rsidRDefault="00CD591D" w:rsidP="00A71365">
            <w:pPr>
              <w:pStyle w:val="Tablewriting"/>
              <w:rPr>
                <w:rFonts w:eastAsia="MS Mincho" w:cstheme="minorHAnsi"/>
              </w:rPr>
            </w:pPr>
            <w:r w:rsidRPr="004E2D82">
              <w:rPr>
                <w:rFonts w:eastAsia="MS Mincho" w:cstheme="minorHAnsi"/>
                <w:u w:val="single"/>
              </w:rPr>
              <w:t>Exclusion criteria:</w:t>
            </w:r>
            <w:r w:rsidRPr="00CD591D">
              <w:rPr>
                <w:rFonts w:eastAsia="MS Mincho" w:cstheme="minorHAnsi"/>
              </w:rPr>
              <w:t xml:space="preserve"> Standard pharmacotherapy trial criteria, + use of marijuana or tobacco products</w:t>
            </w:r>
          </w:p>
          <w:p w:rsidR="00DB181B" w:rsidRPr="00017AE6" w:rsidRDefault="00CD591D" w:rsidP="00A71365">
            <w:pPr>
              <w:pStyle w:val="Tablewriting"/>
              <w:rPr>
                <w:rFonts w:eastAsia="MS Mincho" w:cstheme="minorHAnsi"/>
              </w:rPr>
            </w:pPr>
            <w:r w:rsidRPr="00CD591D">
              <w:rPr>
                <w:rFonts w:eastAsia="MS Mincho" w:cstheme="minorHAnsi"/>
              </w:rPr>
              <w:t>other than cigarettes within last month; use of NRT, bupropion, clonidine, nortriptyline within last</w:t>
            </w:r>
            <w:r>
              <w:rPr>
                <w:rFonts w:eastAsia="MS Mincho" w:cstheme="minorHAnsi"/>
              </w:rPr>
              <w:t xml:space="preserve"> </w:t>
            </w:r>
            <w:r w:rsidRPr="00CD591D">
              <w:rPr>
                <w:rFonts w:eastAsia="MS Mincho" w:cstheme="minorHAnsi"/>
              </w:rPr>
              <w:t>month</w:t>
            </w:r>
            <w:r w:rsidR="004E2D82">
              <w:rPr>
                <w:rFonts w:eastAsia="MS Mincho" w:cstheme="minorHAnsi"/>
              </w:rPr>
              <w:t>.</w:t>
            </w:r>
          </w:p>
        </w:tc>
        <w:tc>
          <w:tcPr>
            <w:tcW w:w="1055" w:type="pct"/>
            <w:shd w:val="clear" w:color="auto" w:fill="F2F2F2" w:themeFill="background1" w:themeFillShade="F2"/>
          </w:tcPr>
          <w:p w:rsidR="00FE69BD" w:rsidRDefault="002F7236" w:rsidP="00C324F3">
            <w:pPr>
              <w:pStyle w:val="ListParagraph"/>
              <w:numPr>
                <w:ilvl w:val="0"/>
                <w:numId w:val="154"/>
              </w:numPr>
              <w:rPr>
                <w:rFonts w:eastAsia="MS Mincho"/>
                <w:lang w:eastAsia="en-US"/>
              </w:rPr>
            </w:pPr>
            <w:r w:rsidRPr="00FE69BD">
              <w:rPr>
                <w:rFonts w:eastAsia="MS Mincho"/>
                <w:lang w:eastAsia="en-US"/>
              </w:rPr>
              <w:lastRenderedPageBreak/>
              <w:t>Varenicline 1 mg x 2/day for 11 w</w:t>
            </w:r>
            <w:r w:rsidR="00FE69BD">
              <w:rPr>
                <w:rFonts w:eastAsia="MS Mincho"/>
                <w:lang w:eastAsia="en-US"/>
              </w:rPr>
              <w:t>ee</w:t>
            </w:r>
            <w:r w:rsidRPr="00FE69BD">
              <w:rPr>
                <w:rFonts w:eastAsia="MS Mincho"/>
                <w:lang w:eastAsia="en-US"/>
              </w:rPr>
              <w:t xml:space="preserve">ks after </w:t>
            </w:r>
            <w:r w:rsidR="00FE69BD" w:rsidRPr="00FE69BD">
              <w:rPr>
                <w:rFonts w:eastAsia="MS Mincho"/>
                <w:lang w:eastAsia="en-US"/>
              </w:rPr>
              <w:t>1-week</w:t>
            </w:r>
            <w:r w:rsidR="00FE69BD">
              <w:rPr>
                <w:rFonts w:eastAsia="MS Mincho"/>
                <w:lang w:eastAsia="en-US"/>
              </w:rPr>
              <w:t xml:space="preserve"> </w:t>
            </w:r>
            <w:r w:rsidRPr="00FE69BD">
              <w:rPr>
                <w:rFonts w:eastAsia="MS Mincho"/>
                <w:lang w:eastAsia="en-US"/>
              </w:rPr>
              <w:t>titrated dosage</w:t>
            </w:r>
            <w:r w:rsidR="00FE69BD">
              <w:rPr>
                <w:rFonts w:eastAsia="MS Mincho"/>
                <w:lang w:eastAsia="en-US"/>
              </w:rPr>
              <w:t>.</w:t>
            </w:r>
          </w:p>
          <w:p w:rsidR="002F7236" w:rsidRPr="002F7236" w:rsidRDefault="002F7236" w:rsidP="00C324F3">
            <w:pPr>
              <w:pStyle w:val="ListParagraph"/>
              <w:numPr>
                <w:ilvl w:val="0"/>
                <w:numId w:val="154"/>
              </w:numPr>
              <w:rPr>
                <w:rFonts w:eastAsia="MS Mincho"/>
                <w:lang w:eastAsia="en-US"/>
              </w:rPr>
            </w:pPr>
            <w:r w:rsidRPr="002F7236">
              <w:rPr>
                <w:rFonts w:eastAsia="MS Mincho"/>
                <w:lang w:eastAsia="en-US"/>
              </w:rPr>
              <w:t>Placebo tablets, same regimen</w:t>
            </w:r>
          </w:p>
          <w:p w:rsidR="002F7236" w:rsidRDefault="002F7236" w:rsidP="00A71365">
            <w:pPr>
              <w:rPr>
                <w:rFonts w:eastAsia="MS Mincho"/>
                <w:lang w:eastAsia="en-US"/>
              </w:rPr>
            </w:pPr>
          </w:p>
          <w:p w:rsidR="002F7236" w:rsidRPr="002F7236" w:rsidRDefault="00FE69BD" w:rsidP="00A71365">
            <w:pPr>
              <w:rPr>
                <w:rFonts w:eastAsia="MS Mincho"/>
                <w:lang w:eastAsia="en-US"/>
              </w:rPr>
            </w:pPr>
            <w:r w:rsidRPr="06BFFAED">
              <w:rPr>
                <w:rFonts w:eastAsia="MS Mincho" w:cstheme="minorBidi"/>
                <w:u w:val="single"/>
              </w:rPr>
              <w:t>Common components:</w:t>
            </w:r>
            <w:r>
              <w:rPr>
                <w:rFonts w:eastAsia="MS Mincho" w:cstheme="minorBidi"/>
                <w:u w:val="single"/>
              </w:rPr>
              <w:t xml:space="preserve"> </w:t>
            </w:r>
            <w:r w:rsidR="002F7236" w:rsidRPr="002F7236">
              <w:rPr>
                <w:rFonts w:eastAsia="MS Mincho"/>
                <w:lang w:eastAsia="en-US"/>
              </w:rPr>
              <w:t xml:space="preserve">All participants also received brief </w:t>
            </w:r>
            <w:r w:rsidR="002F7236" w:rsidRPr="002F7236">
              <w:rPr>
                <w:rFonts w:eastAsia="MS Mincho"/>
                <w:lang w:eastAsia="en-US"/>
              </w:rPr>
              <w:lastRenderedPageBreak/>
              <w:t>counselling (</w:t>
            </w:r>
            <w:r w:rsidR="004E2D82" w:rsidRPr="004E2D82">
              <w:rPr>
                <w:rFonts w:eastAsia="MS Mincho"/>
                <w:lang w:eastAsia="en-US"/>
              </w:rPr>
              <w:t>≤</w:t>
            </w:r>
            <w:r w:rsidR="002F7236" w:rsidRPr="002F7236">
              <w:rPr>
                <w:rFonts w:eastAsia="MS Mincho"/>
                <w:lang w:eastAsia="en-US"/>
              </w:rPr>
              <w:t>10 mins) at each clinic visit throughout treatment</w:t>
            </w:r>
          </w:p>
          <w:p w:rsidR="002F7236" w:rsidRPr="002F7236" w:rsidRDefault="002F7236" w:rsidP="00A71365">
            <w:pPr>
              <w:rPr>
                <w:rFonts w:eastAsia="MS Mincho"/>
                <w:lang w:eastAsia="en-US"/>
              </w:rPr>
            </w:pPr>
            <w:r w:rsidRPr="002F7236">
              <w:rPr>
                <w:rFonts w:eastAsia="MS Mincho"/>
                <w:lang w:eastAsia="en-US"/>
              </w:rPr>
              <w:t>phase (w</w:t>
            </w:r>
            <w:r w:rsidR="00FE69BD">
              <w:rPr>
                <w:rFonts w:eastAsia="MS Mincho"/>
                <w:lang w:eastAsia="en-US"/>
              </w:rPr>
              <w:t>ee</w:t>
            </w:r>
            <w:r w:rsidRPr="002F7236">
              <w:rPr>
                <w:rFonts w:eastAsia="MS Mincho"/>
                <w:lang w:eastAsia="en-US"/>
              </w:rPr>
              <w:t>ks 13 - 24). Treatment phase clinic visits were at w</w:t>
            </w:r>
            <w:r w:rsidR="00FE69BD">
              <w:rPr>
                <w:rFonts w:eastAsia="MS Mincho"/>
                <w:lang w:eastAsia="en-US"/>
              </w:rPr>
              <w:t>ee</w:t>
            </w:r>
            <w:r w:rsidRPr="002F7236">
              <w:rPr>
                <w:rFonts w:eastAsia="MS Mincho"/>
                <w:lang w:eastAsia="en-US"/>
              </w:rPr>
              <w:t>ks 13, 14, 16, 20 and 24</w:t>
            </w:r>
            <w:r w:rsidR="00FE69BD">
              <w:rPr>
                <w:rFonts w:eastAsia="MS Mincho"/>
                <w:lang w:eastAsia="en-US"/>
              </w:rPr>
              <w:t>.</w:t>
            </w:r>
          </w:p>
          <w:p w:rsidR="00FE69BD" w:rsidRPr="002F7236" w:rsidRDefault="00FE69BD" w:rsidP="00A71365">
            <w:pPr>
              <w:rPr>
                <w:rFonts w:eastAsia="MS Mincho"/>
                <w:lang w:eastAsia="en-US"/>
              </w:rPr>
            </w:pPr>
          </w:p>
          <w:p w:rsidR="002F7236" w:rsidRPr="002F7236" w:rsidRDefault="002F7236" w:rsidP="00A71365">
            <w:pPr>
              <w:rPr>
                <w:rFonts w:eastAsia="MS Mincho"/>
                <w:lang w:eastAsia="en-US"/>
              </w:rPr>
            </w:pPr>
            <w:r w:rsidRPr="002F7236">
              <w:rPr>
                <w:rFonts w:eastAsia="MS Mincho"/>
                <w:lang w:eastAsia="en-US"/>
              </w:rPr>
              <w:t>Follow-up phase: 5 visits and 4 phone calls from w</w:t>
            </w:r>
            <w:r w:rsidR="00FE69BD">
              <w:rPr>
                <w:rFonts w:eastAsia="MS Mincho"/>
                <w:lang w:eastAsia="en-US"/>
              </w:rPr>
              <w:t>ee</w:t>
            </w:r>
            <w:r w:rsidRPr="002F7236">
              <w:rPr>
                <w:rFonts w:eastAsia="MS Mincho"/>
                <w:lang w:eastAsia="en-US"/>
              </w:rPr>
              <w:t xml:space="preserve">ks 25 </w:t>
            </w:r>
            <w:r w:rsidR="00FE69BD">
              <w:rPr>
                <w:rFonts w:eastAsia="MS Mincho"/>
                <w:lang w:eastAsia="en-US"/>
              </w:rPr>
              <w:t>–</w:t>
            </w:r>
            <w:r w:rsidRPr="002F7236">
              <w:rPr>
                <w:rFonts w:eastAsia="MS Mincho"/>
                <w:lang w:eastAsia="en-US"/>
              </w:rPr>
              <w:t xml:space="preserve"> 52</w:t>
            </w:r>
            <w:r w:rsidR="00FE69BD">
              <w:rPr>
                <w:rFonts w:eastAsia="MS Mincho"/>
                <w:lang w:eastAsia="en-US"/>
              </w:rPr>
              <w:t>.</w:t>
            </w:r>
          </w:p>
        </w:tc>
        <w:tc>
          <w:tcPr>
            <w:tcW w:w="960" w:type="pct"/>
            <w:shd w:val="clear" w:color="auto" w:fill="F2F2F2" w:themeFill="background1" w:themeFillShade="F2"/>
          </w:tcPr>
          <w:p w:rsidR="003F4DDB" w:rsidRPr="003F4DDB" w:rsidRDefault="003F4DDB" w:rsidP="00A71365">
            <w:pPr>
              <w:pStyle w:val="Tablewriting"/>
              <w:rPr>
                <w:rFonts w:eastAsia="MS Mincho" w:cstheme="minorHAnsi"/>
                <w:u w:val="single"/>
              </w:rPr>
            </w:pPr>
            <w:r w:rsidRPr="003F4DDB">
              <w:rPr>
                <w:rFonts w:eastAsia="MS Mincho" w:cstheme="minorHAnsi"/>
                <w:u w:val="single"/>
              </w:rPr>
              <w:lastRenderedPageBreak/>
              <w:t>Efficacy:</w:t>
            </w:r>
          </w:p>
          <w:p w:rsidR="00E67438" w:rsidRPr="00E67438" w:rsidRDefault="00E67438" w:rsidP="00A71365">
            <w:pPr>
              <w:pStyle w:val="Tablewriting"/>
              <w:rPr>
                <w:rFonts w:eastAsia="MS Mincho" w:cstheme="minorHAnsi"/>
              </w:rPr>
            </w:pPr>
            <w:r w:rsidRPr="00E67438">
              <w:rPr>
                <w:rFonts w:eastAsia="MS Mincho" w:cstheme="minorHAnsi"/>
              </w:rPr>
              <w:t>Primary outcome: Relapse prevention: maintenance of CO-validated CAR at 24 w</w:t>
            </w:r>
            <w:r w:rsidR="003F4DDB">
              <w:rPr>
                <w:rFonts w:eastAsia="MS Mincho" w:cstheme="minorHAnsi"/>
              </w:rPr>
              <w:t>ee</w:t>
            </w:r>
            <w:r w:rsidRPr="00E67438">
              <w:rPr>
                <w:rFonts w:eastAsia="MS Mincho" w:cstheme="minorHAnsi"/>
              </w:rPr>
              <w:t>ks</w:t>
            </w:r>
            <w:r w:rsidR="003F4DDB">
              <w:rPr>
                <w:rFonts w:eastAsia="MS Mincho" w:cstheme="minorHAnsi"/>
              </w:rPr>
              <w:t>.</w:t>
            </w:r>
          </w:p>
          <w:p w:rsidR="00E67438" w:rsidRPr="00E67438" w:rsidRDefault="00E67438" w:rsidP="00A71365">
            <w:pPr>
              <w:pStyle w:val="Tablewriting"/>
              <w:rPr>
                <w:rFonts w:eastAsia="MS Mincho" w:cstheme="minorHAnsi"/>
              </w:rPr>
            </w:pPr>
            <w:r w:rsidRPr="00E67438">
              <w:rPr>
                <w:rFonts w:eastAsia="MS Mincho" w:cstheme="minorHAnsi"/>
              </w:rPr>
              <w:t>Secondary outcome: CO-validated CAR at w</w:t>
            </w:r>
            <w:r w:rsidR="003F4DDB">
              <w:rPr>
                <w:rFonts w:eastAsia="MS Mincho" w:cstheme="minorHAnsi"/>
              </w:rPr>
              <w:t>ee</w:t>
            </w:r>
            <w:r w:rsidRPr="00E67438">
              <w:rPr>
                <w:rFonts w:eastAsia="MS Mincho" w:cstheme="minorHAnsi"/>
              </w:rPr>
              <w:t>k 52; 7-</w:t>
            </w:r>
            <w:r w:rsidRPr="00E67438">
              <w:rPr>
                <w:rFonts w:eastAsia="MS Mincho" w:cstheme="minorHAnsi"/>
              </w:rPr>
              <w:lastRenderedPageBreak/>
              <w:t>day PPA at w</w:t>
            </w:r>
            <w:r w:rsidR="003F4DDB">
              <w:rPr>
                <w:rFonts w:eastAsia="MS Mincho" w:cstheme="minorHAnsi"/>
              </w:rPr>
              <w:t>ee</w:t>
            </w:r>
            <w:r w:rsidRPr="00E67438">
              <w:rPr>
                <w:rFonts w:eastAsia="MS Mincho" w:cstheme="minorHAnsi"/>
              </w:rPr>
              <w:t xml:space="preserve">ks 24 and 52. </w:t>
            </w:r>
            <w:r w:rsidR="003F4DDB">
              <w:rPr>
                <w:rFonts w:eastAsia="MS Mincho" w:cstheme="minorHAnsi"/>
              </w:rPr>
              <w:t>(</w:t>
            </w:r>
            <w:r w:rsidRPr="00E67438">
              <w:rPr>
                <w:rFonts w:eastAsia="MS Mincho" w:cstheme="minorHAnsi"/>
              </w:rPr>
              <w:t>2 deaths removed from</w:t>
            </w:r>
          </w:p>
          <w:p w:rsidR="00E67438" w:rsidRPr="00E67438" w:rsidRDefault="00E67438" w:rsidP="00A71365">
            <w:pPr>
              <w:pStyle w:val="Tablewriting"/>
              <w:rPr>
                <w:rFonts w:eastAsia="MS Mincho" w:cstheme="minorHAnsi"/>
              </w:rPr>
            </w:pPr>
            <w:r w:rsidRPr="00E67438">
              <w:rPr>
                <w:rFonts w:eastAsia="MS Mincho" w:cstheme="minorHAnsi"/>
              </w:rPr>
              <w:t>varenicline denominator at 52 w</w:t>
            </w:r>
            <w:r w:rsidR="003F4DDB">
              <w:rPr>
                <w:rFonts w:eastAsia="MS Mincho" w:cstheme="minorHAnsi"/>
              </w:rPr>
              <w:t>ee</w:t>
            </w:r>
            <w:r w:rsidR="0004666B">
              <w:rPr>
                <w:rFonts w:eastAsia="MS Mincho" w:cstheme="minorHAnsi"/>
              </w:rPr>
              <w:t>k</w:t>
            </w:r>
            <w:r w:rsidRPr="00E67438">
              <w:rPr>
                <w:rFonts w:eastAsia="MS Mincho" w:cstheme="minorHAnsi"/>
              </w:rPr>
              <w:t>s</w:t>
            </w:r>
            <w:r w:rsidR="003F4DDB">
              <w:rPr>
                <w:rFonts w:eastAsia="MS Mincho" w:cstheme="minorHAnsi"/>
              </w:rPr>
              <w:t>)</w:t>
            </w:r>
          </w:p>
          <w:p w:rsidR="00F875B7" w:rsidRDefault="00F875B7" w:rsidP="00A71365">
            <w:pPr>
              <w:pStyle w:val="Tablewriting"/>
              <w:rPr>
                <w:rFonts w:eastAsia="MS Mincho" w:cstheme="minorHAnsi"/>
              </w:rPr>
            </w:pPr>
          </w:p>
          <w:p w:rsidR="0004666B" w:rsidRDefault="00F875B7" w:rsidP="00A71365">
            <w:pPr>
              <w:pStyle w:val="Tablewriting"/>
              <w:rPr>
                <w:rFonts w:eastAsia="MS Mincho" w:cstheme="minorHAnsi"/>
              </w:rPr>
            </w:pPr>
            <w:r w:rsidRPr="00E67438">
              <w:rPr>
                <w:rFonts w:eastAsia="MS Mincho" w:cstheme="minorHAnsi"/>
              </w:rPr>
              <w:t xml:space="preserve">Validation was by expired CO </w:t>
            </w:r>
            <w:r w:rsidRPr="004E2D82">
              <w:rPr>
                <w:rFonts w:eastAsia="MS Mincho"/>
              </w:rPr>
              <w:t>≤</w:t>
            </w:r>
            <w:r>
              <w:rPr>
                <w:rFonts w:eastAsia="MS Mincho"/>
              </w:rPr>
              <w:t xml:space="preserve"> </w:t>
            </w:r>
            <w:r w:rsidRPr="00E67438">
              <w:rPr>
                <w:rFonts w:eastAsia="MS Mincho" w:cstheme="minorHAnsi"/>
              </w:rPr>
              <w:t>10 ppm</w:t>
            </w:r>
            <w:r>
              <w:rPr>
                <w:rFonts w:eastAsia="MS Mincho" w:cstheme="minorHAnsi"/>
              </w:rPr>
              <w:t>.</w:t>
            </w:r>
          </w:p>
          <w:p w:rsidR="00F875B7" w:rsidRDefault="00F875B7" w:rsidP="00A71365">
            <w:pPr>
              <w:pStyle w:val="Tablewriting"/>
              <w:rPr>
                <w:rFonts w:eastAsia="MS Mincho" w:cstheme="minorHAnsi"/>
                <w:u w:val="single"/>
              </w:rPr>
            </w:pPr>
          </w:p>
          <w:p w:rsidR="00654F52" w:rsidRPr="00E67438" w:rsidRDefault="0004666B" w:rsidP="00A71365">
            <w:pPr>
              <w:pStyle w:val="Tablewriting"/>
              <w:rPr>
                <w:rFonts w:eastAsia="MS Mincho" w:cstheme="minorHAnsi"/>
              </w:rPr>
            </w:pPr>
            <w:r w:rsidRPr="0004666B">
              <w:rPr>
                <w:rFonts w:eastAsia="MS Mincho" w:cstheme="minorHAnsi"/>
                <w:u w:val="single"/>
              </w:rPr>
              <w:t>Safety:</w:t>
            </w:r>
            <w:r w:rsidR="00654F52">
              <w:rPr>
                <w:rFonts w:eastAsia="MS Mincho" w:cstheme="minorHAnsi"/>
                <w:u w:val="single"/>
              </w:rPr>
              <w:t xml:space="preserve"> A</w:t>
            </w:r>
            <w:r w:rsidR="00654F52" w:rsidRPr="00E67438">
              <w:rPr>
                <w:rFonts w:eastAsia="MS Mincho" w:cstheme="minorHAnsi"/>
              </w:rPr>
              <w:t>dverse</w:t>
            </w:r>
            <w:r w:rsidR="00654F52">
              <w:rPr>
                <w:rFonts w:eastAsia="MS Mincho" w:cstheme="minorHAnsi"/>
              </w:rPr>
              <w:t xml:space="preserve"> </w:t>
            </w:r>
            <w:r w:rsidR="00654F52" w:rsidRPr="00E67438">
              <w:rPr>
                <w:rFonts w:eastAsia="MS Mincho" w:cstheme="minorHAnsi"/>
              </w:rPr>
              <w:t>events</w:t>
            </w:r>
            <w:r w:rsidR="00654F52">
              <w:rPr>
                <w:rFonts w:eastAsia="MS Mincho" w:cstheme="minorHAnsi"/>
              </w:rPr>
              <w:t>.</w:t>
            </w:r>
          </w:p>
          <w:p w:rsidR="0004666B" w:rsidRPr="0004666B" w:rsidRDefault="0004666B" w:rsidP="00A71365">
            <w:pPr>
              <w:pStyle w:val="Tablewriting"/>
              <w:rPr>
                <w:rFonts w:eastAsia="MS Mincho" w:cstheme="minorHAnsi"/>
                <w:u w:val="single"/>
              </w:rPr>
            </w:pPr>
          </w:p>
          <w:p w:rsidR="0004666B" w:rsidRDefault="0004666B" w:rsidP="00A71365">
            <w:pPr>
              <w:pStyle w:val="Tablewriting"/>
              <w:rPr>
                <w:rFonts w:eastAsia="MS Mincho" w:cstheme="minorHAnsi"/>
              </w:rPr>
            </w:pPr>
          </w:p>
          <w:p w:rsidR="00090C2F" w:rsidRDefault="00E67438" w:rsidP="00A71365">
            <w:pPr>
              <w:pStyle w:val="Tablewriting"/>
              <w:rPr>
                <w:rFonts w:eastAsia="MS Mincho" w:cstheme="minorHAnsi"/>
              </w:rPr>
            </w:pPr>
            <w:r w:rsidRPr="00654F52">
              <w:rPr>
                <w:rFonts w:eastAsia="MS Mincho" w:cstheme="minorHAnsi"/>
                <w:u w:val="single"/>
              </w:rPr>
              <w:t>Other:</w:t>
            </w:r>
            <w:r w:rsidRPr="00E67438">
              <w:rPr>
                <w:rFonts w:eastAsia="MS Mincho" w:cstheme="minorHAnsi"/>
              </w:rPr>
              <w:t xml:space="preserve"> weight change, withdrawal symptoms (using MNWS), time to first lapse</w:t>
            </w:r>
            <w:r w:rsidR="00090C2F">
              <w:rPr>
                <w:rFonts w:eastAsia="MS Mincho" w:cstheme="minorHAnsi"/>
              </w:rPr>
              <w:t>.</w:t>
            </w:r>
          </w:p>
          <w:p w:rsidR="00090C2F" w:rsidRDefault="00090C2F" w:rsidP="00A71365">
            <w:pPr>
              <w:pStyle w:val="Tablewriting"/>
              <w:rPr>
                <w:rFonts w:eastAsia="MS Mincho" w:cstheme="minorHAnsi"/>
              </w:rPr>
            </w:pPr>
          </w:p>
          <w:p w:rsidR="00DB181B" w:rsidRPr="00017AE6" w:rsidRDefault="00DB181B" w:rsidP="00A71365">
            <w:pPr>
              <w:pStyle w:val="Tablewriting"/>
              <w:rPr>
                <w:rFonts w:eastAsia="MS Mincho" w:cstheme="minorHAnsi"/>
              </w:rPr>
            </w:pPr>
          </w:p>
        </w:tc>
      </w:tr>
      <w:tr w:rsidR="003D3459" w:rsidRPr="00017AE6" w:rsidTr="000728F8">
        <w:trPr>
          <w:trHeight w:val="99"/>
        </w:trPr>
        <w:tc>
          <w:tcPr>
            <w:tcW w:w="763" w:type="pct"/>
            <w:shd w:val="clear" w:color="auto" w:fill="F2F2F2" w:themeFill="background1" w:themeFillShade="F2"/>
          </w:tcPr>
          <w:p w:rsidR="00DB181B" w:rsidRPr="00017AE6" w:rsidRDefault="00DB181B" w:rsidP="00A71365">
            <w:pPr>
              <w:pStyle w:val="Tablewriting"/>
              <w:rPr>
                <w:rFonts w:eastAsia="MS Mincho" w:cstheme="minorHAnsi"/>
              </w:rPr>
            </w:pPr>
            <w:r w:rsidRPr="00896B73">
              <w:rPr>
                <w:rFonts w:eastAsia="MS Mincho" w:cstheme="minorHAnsi"/>
              </w:rPr>
              <w:lastRenderedPageBreak/>
              <w:t xml:space="preserve">Williams </w:t>
            </w:r>
            <w:r w:rsidR="001B56DB">
              <w:rPr>
                <w:rFonts w:eastAsia="MS Mincho" w:cstheme="minorHAnsi"/>
              </w:rPr>
              <w:t>(</w:t>
            </w:r>
            <w:r w:rsidRPr="00896B73">
              <w:rPr>
                <w:rFonts w:eastAsia="MS Mincho" w:cstheme="minorHAnsi"/>
              </w:rPr>
              <w:t>2007</w:t>
            </w:r>
            <w:r w:rsidR="001B56DB">
              <w:rPr>
                <w:rFonts w:eastAsia="MS Mincho" w:cstheme="minorHAnsi"/>
              </w:rPr>
              <w:t>)</w:t>
            </w:r>
          </w:p>
        </w:tc>
        <w:tc>
          <w:tcPr>
            <w:tcW w:w="234" w:type="pct"/>
            <w:shd w:val="clear" w:color="auto" w:fill="F2F2F2" w:themeFill="background1" w:themeFillShade="F2"/>
          </w:tcPr>
          <w:p w:rsidR="00DB181B" w:rsidRPr="00017AE6" w:rsidRDefault="00DB181B" w:rsidP="00A71365">
            <w:pPr>
              <w:pStyle w:val="Tablewriting"/>
              <w:rPr>
                <w:rFonts w:eastAsia="MS Mincho" w:cstheme="minorHAnsi"/>
              </w:rPr>
            </w:pPr>
            <w:r w:rsidRPr="00962325">
              <w:rPr>
                <w:rFonts w:eastAsia="MS Mincho" w:cstheme="minorHAnsi"/>
              </w:rPr>
              <w:t>RCT</w:t>
            </w:r>
          </w:p>
        </w:tc>
        <w:tc>
          <w:tcPr>
            <w:tcW w:w="460" w:type="pct"/>
            <w:shd w:val="clear" w:color="auto" w:fill="F2F2F2" w:themeFill="background1" w:themeFillShade="F2"/>
          </w:tcPr>
          <w:p w:rsidR="00DB181B" w:rsidRPr="00017AE6" w:rsidRDefault="00360180" w:rsidP="00A71365">
            <w:pPr>
              <w:pStyle w:val="Tablewriting"/>
              <w:rPr>
                <w:rFonts w:eastAsia="MS Mincho" w:cstheme="minorHAnsi"/>
              </w:rPr>
            </w:pPr>
            <w:r w:rsidRPr="00360180">
              <w:rPr>
                <w:rFonts w:eastAsia="MS Mincho" w:cstheme="minorHAnsi"/>
              </w:rPr>
              <w:t>USA</w:t>
            </w:r>
            <w:r w:rsidR="00BD1B85">
              <w:rPr>
                <w:rFonts w:eastAsia="MS Mincho" w:cstheme="minorHAnsi"/>
              </w:rPr>
              <w:t>,</w:t>
            </w:r>
            <w:r w:rsidRPr="00360180">
              <w:rPr>
                <w:rFonts w:eastAsia="MS Mincho" w:cstheme="minorHAnsi"/>
              </w:rPr>
              <w:t xml:space="preserve"> Australia</w:t>
            </w:r>
          </w:p>
        </w:tc>
        <w:tc>
          <w:tcPr>
            <w:tcW w:w="675" w:type="pct"/>
            <w:shd w:val="clear" w:color="auto" w:fill="F2F2F2" w:themeFill="background1" w:themeFillShade="F2"/>
          </w:tcPr>
          <w:p w:rsidR="008F53B0" w:rsidRPr="009148BD" w:rsidRDefault="00360180" w:rsidP="00A71365">
            <w:pPr>
              <w:pStyle w:val="Tablewriting"/>
              <w:rPr>
                <w:rFonts w:eastAsia="MS Mincho" w:cstheme="minorHAnsi"/>
              </w:rPr>
            </w:pPr>
            <w:r>
              <w:rPr>
                <w:rFonts w:eastAsia="MS Mincho" w:cstheme="minorHAnsi"/>
              </w:rPr>
              <w:t>N=377</w:t>
            </w:r>
            <w:r w:rsidR="008F53B0">
              <w:rPr>
                <w:rFonts w:eastAsia="MS Mincho" w:cstheme="minorHAnsi"/>
              </w:rPr>
              <w:t>; n=</w:t>
            </w:r>
            <w:r w:rsidR="00D96439">
              <w:rPr>
                <w:rFonts w:eastAsia="MS Mincho" w:cstheme="minorHAnsi"/>
              </w:rPr>
              <w:t>251 (</w:t>
            </w:r>
            <w:r w:rsidR="008F53B0" w:rsidRPr="009148BD">
              <w:rPr>
                <w:rFonts w:eastAsia="MS Mincho" w:cstheme="minorHAnsi"/>
              </w:rPr>
              <w:t>varenicline)</w:t>
            </w:r>
            <w:r w:rsidR="00D96439">
              <w:rPr>
                <w:rFonts w:eastAsia="MS Mincho" w:cstheme="minorHAnsi"/>
              </w:rPr>
              <w:t>, n=126 (</w:t>
            </w:r>
            <w:r w:rsidR="008F53B0" w:rsidRPr="009148BD">
              <w:rPr>
                <w:rFonts w:eastAsia="MS Mincho" w:cstheme="minorHAnsi"/>
              </w:rPr>
              <w:t>placebo</w:t>
            </w:r>
            <w:r w:rsidR="00D96439">
              <w:rPr>
                <w:rFonts w:eastAsia="MS Mincho" w:cstheme="minorHAnsi"/>
              </w:rPr>
              <w:t xml:space="preserve">). </w:t>
            </w:r>
          </w:p>
          <w:p w:rsidR="00DB181B" w:rsidRPr="00017AE6" w:rsidRDefault="00DB181B" w:rsidP="00A71365">
            <w:pPr>
              <w:pStyle w:val="Tablewriting"/>
              <w:rPr>
                <w:rFonts w:eastAsia="MS Mincho" w:cstheme="minorHAnsi"/>
              </w:rPr>
            </w:pPr>
          </w:p>
        </w:tc>
        <w:tc>
          <w:tcPr>
            <w:tcW w:w="853" w:type="pct"/>
            <w:shd w:val="clear" w:color="auto" w:fill="F2F2F2" w:themeFill="background1" w:themeFillShade="F2"/>
          </w:tcPr>
          <w:p w:rsidR="0025010A" w:rsidRDefault="0025010A" w:rsidP="00A71365">
            <w:pPr>
              <w:pStyle w:val="Tablewriting"/>
              <w:rPr>
                <w:rFonts w:eastAsia="MS Mincho" w:cstheme="minorHAnsi"/>
              </w:rPr>
            </w:pPr>
            <w:r>
              <w:rPr>
                <w:rFonts w:eastAsia="MS Mincho" w:cstheme="minorHAnsi"/>
              </w:rPr>
              <w:t>A</w:t>
            </w:r>
            <w:r w:rsidR="009148BD" w:rsidRPr="009148BD">
              <w:rPr>
                <w:rFonts w:eastAsia="MS Mincho" w:cstheme="minorHAnsi"/>
              </w:rPr>
              <w:t xml:space="preserve">dult smokers, aged 18 - 75, smoking at least 10 CPD. </w:t>
            </w:r>
          </w:p>
          <w:p w:rsidR="008F53B0" w:rsidRDefault="009148BD" w:rsidP="00A71365">
            <w:pPr>
              <w:pStyle w:val="Tablewriting"/>
              <w:rPr>
                <w:rFonts w:eastAsia="MS Mincho" w:cstheme="minorHAnsi"/>
              </w:rPr>
            </w:pPr>
            <w:r w:rsidRPr="009148BD">
              <w:rPr>
                <w:rFonts w:eastAsia="MS Mincho" w:cstheme="minorHAnsi"/>
              </w:rPr>
              <w:t>49.9% men, 88.6% white, av</w:t>
            </w:r>
            <w:r w:rsidR="0025010A">
              <w:rPr>
                <w:rFonts w:eastAsia="MS Mincho" w:cstheme="minorHAnsi"/>
              </w:rPr>
              <w:t>erage</w:t>
            </w:r>
            <w:r w:rsidRPr="009148BD">
              <w:rPr>
                <w:rFonts w:eastAsia="MS Mincho" w:cstheme="minorHAnsi"/>
              </w:rPr>
              <w:t xml:space="preserve"> CPD at</w:t>
            </w:r>
            <w:r w:rsidR="0025010A">
              <w:rPr>
                <w:rFonts w:eastAsia="MS Mincho" w:cstheme="minorHAnsi"/>
              </w:rPr>
              <w:t xml:space="preserve"> </w:t>
            </w:r>
            <w:r w:rsidRPr="009148BD">
              <w:rPr>
                <w:rFonts w:eastAsia="MS Mincho" w:cstheme="minorHAnsi"/>
              </w:rPr>
              <w:t>baseline</w:t>
            </w:r>
            <w:r w:rsidR="0025010A">
              <w:rPr>
                <w:rFonts w:eastAsia="MS Mincho" w:cstheme="minorHAnsi"/>
              </w:rPr>
              <w:t xml:space="preserve"> </w:t>
            </w:r>
            <w:r w:rsidRPr="009148BD">
              <w:rPr>
                <w:rFonts w:eastAsia="MS Mincho" w:cstheme="minorHAnsi"/>
              </w:rPr>
              <w:t>3, mean FTND 5.5 in</w:t>
            </w:r>
            <w:r w:rsidR="008F53B0">
              <w:rPr>
                <w:rFonts w:eastAsia="MS Mincho" w:cstheme="minorHAnsi"/>
              </w:rPr>
              <w:t xml:space="preserve"> </w:t>
            </w:r>
            <w:r w:rsidRPr="009148BD">
              <w:rPr>
                <w:rFonts w:eastAsia="MS Mincho" w:cstheme="minorHAnsi"/>
              </w:rPr>
              <w:t xml:space="preserve">treatment group, 6.05 in control group. </w:t>
            </w:r>
          </w:p>
          <w:p w:rsidR="008F53B0" w:rsidRDefault="008F53B0" w:rsidP="00A71365">
            <w:pPr>
              <w:pStyle w:val="Tablewriting"/>
              <w:rPr>
                <w:rFonts w:eastAsia="MS Mincho" w:cstheme="minorHAnsi"/>
              </w:rPr>
            </w:pPr>
          </w:p>
          <w:p w:rsidR="009148BD" w:rsidRPr="009148BD" w:rsidRDefault="009148BD" w:rsidP="00A71365">
            <w:pPr>
              <w:pStyle w:val="Tablewriting"/>
              <w:rPr>
                <w:rFonts w:eastAsia="MS Mincho" w:cstheme="minorHAnsi"/>
              </w:rPr>
            </w:pPr>
            <w:r w:rsidRPr="008F53B0">
              <w:rPr>
                <w:rFonts w:eastAsia="MS Mincho" w:cstheme="minorHAnsi"/>
                <w:u w:val="single"/>
              </w:rPr>
              <w:t>Exclusion criteria:</w:t>
            </w:r>
            <w:r w:rsidRPr="009148BD">
              <w:rPr>
                <w:rFonts w:eastAsia="MS Mincho" w:cstheme="minorHAnsi"/>
              </w:rPr>
              <w:t xml:space="preserve"> Standard pharmacotherapy trial criteria, + no use of NRT, antidepressants, antipsychotics,</w:t>
            </w:r>
          </w:p>
          <w:p w:rsidR="00DB181B" w:rsidRPr="00017AE6" w:rsidRDefault="009148BD" w:rsidP="00A71365">
            <w:pPr>
              <w:pStyle w:val="Tablewriting"/>
              <w:rPr>
                <w:rFonts w:eastAsia="MS Mincho" w:cstheme="minorHAnsi"/>
              </w:rPr>
            </w:pPr>
            <w:r w:rsidRPr="009148BD">
              <w:rPr>
                <w:rFonts w:eastAsia="MS Mincho" w:cstheme="minorHAnsi"/>
              </w:rPr>
              <w:t>naltrexone during study period.</w:t>
            </w:r>
          </w:p>
        </w:tc>
        <w:tc>
          <w:tcPr>
            <w:tcW w:w="1055" w:type="pct"/>
            <w:shd w:val="clear" w:color="auto" w:fill="F2F2F2" w:themeFill="background1" w:themeFillShade="F2"/>
          </w:tcPr>
          <w:p w:rsidR="000856B9" w:rsidRDefault="00CA075F" w:rsidP="00C324F3">
            <w:pPr>
              <w:pStyle w:val="Tablewriting"/>
              <w:numPr>
                <w:ilvl w:val="0"/>
                <w:numId w:val="155"/>
              </w:numPr>
              <w:rPr>
                <w:rFonts w:eastAsia="MS Mincho" w:cstheme="minorHAnsi"/>
              </w:rPr>
            </w:pPr>
            <w:r w:rsidRPr="00CA075F">
              <w:rPr>
                <w:rFonts w:eastAsia="MS Mincho" w:cstheme="minorHAnsi"/>
              </w:rPr>
              <w:t>Varenicline 1mg x 2/day, titrated for first w</w:t>
            </w:r>
            <w:r w:rsidR="000856B9">
              <w:rPr>
                <w:rFonts w:eastAsia="MS Mincho" w:cstheme="minorHAnsi"/>
              </w:rPr>
              <w:t>ee</w:t>
            </w:r>
            <w:r w:rsidRPr="00CA075F">
              <w:rPr>
                <w:rFonts w:eastAsia="MS Mincho" w:cstheme="minorHAnsi"/>
              </w:rPr>
              <w:t>k</w:t>
            </w:r>
            <w:r w:rsidR="000856B9">
              <w:rPr>
                <w:rFonts w:eastAsia="MS Mincho" w:cstheme="minorHAnsi"/>
              </w:rPr>
              <w:t>.</w:t>
            </w:r>
          </w:p>
          <w:p w:rsidR="00CA075F" w:rsidRPr="00CA075F" w:rsidRDefault="00CA075F" w:rsidP="00C324F3">
            <w:pPr>
              <w:pStyle w:val="Tablewriting"/>
              <w:numPr>
                <w:ilvl w:val="0"/>
                <w:numId w:val="155"/>
              </w:numPr>
              <w:rPr>
                <w:rFonts w:eastAsia="MS Mincho" w:cstheme="minorHAnsi"/>
              </w:rPr>
            </w:pPr>
            <w:r w:rsidRPr="00CA075F">
              <w:rPr>
                <w:rFonts w:eastAsia="MS Mincho" w:cstheme="minorHAnsi"/>
              </w:rPr>
              <w:t>Placebo inactive tablets, same regimen</w:t>
            </w:r>
            <w:r w:rsidR="000856B9">
              <w:rPr>
                <w:rFonts w:eastAsia="MS Mincho" w:cstheme="minorHAnsi"/>
              </w:rPr>
              <w:t>.</w:t>
            </w:r>
          </w:p>
          <w:p w:rsidR="000856B9" w:rsidRPr="000856B9" w:rsidRDefault="000856B9" w:rsidP="00A71365">
            <w:pPr>
              <w:pStyle w:val="Tablewriting"/>
              <w:ind w:left="360"/>
              <w:rPr>
                <w:rFonts w:eastAsia="MS Mincho" w:cstheme="minorHAnsi"/>
              </w:rPr>
            </w:pPr>
          </w:p>
          <w:p w:rsidR="00CA075F" w:rsidRPr="00CA075F" w:rsidRDefault="000856B9" w:rsidP="00A71365">
            <w:pPr>
              <w:pStyle w:val="Tablewriting"/>
              <w:rPr>
                <w:rFonts w:eastAsia="MS Mincho" w:cstheme="minorHAnsi"/>
              </w:rPr>
            </w:pPr>
            <w:r w:rsidRPr="06BFFAED">
              <w:rPr>
                <w:rFonts w:eastAsia="MS Mincho" w:cstheme="minorBidi"/>
                <w:u w:val="single"/>
              </w:rPr>
              <w:t>Common components:</w:t>
            </w:r>
            <w:r>
              <w:rPr>
                <w:rFonts w:eastAsia="MS Mincho" w:cstheme="minorBidi"/>
                <w:u w:val="single"/>
              </w:rPr>
              <w:t xml:space="preserve"> </w:t>
            </w:r>
            <w:r w:rsidR="00CA075F" w:rsidRPr="00CA075F">
              <w:rPr>
                <w:rFonts w:eastAsia="MS Mincho" w:cstheme="minorHAnsi"/>
              </w:rPr>
              <w:t>All participants received S-H booklet Clearing the Air. Brief counselling (</w:t>
            </w:r>
            <w:r w:rsidRPr="004E2D82">
              <w:rPr>
                <w:rFonts w:eastAsia="MS Mincho"/>
              </w:rPr>
              <w:t>≤</w:t>
            </w:r>
            <w:r w:rsidR="00CA075F" w:rsidRPr="00CA075F">
              <w:rPr>
                <w:rFonts w:eastAsia="MS Mincho" w:cstheme="minorHAnsi"/>
              </w:rPr>
              <w:t xml:space="preserve"> 10 mins) at each visit</w:t>
            </w:r>
            <w:r>
              <w:rPr>
                <w:rFonts w:eastAsia="MS Mincho" w:cstheme="minorHAnsi"/>
              </w:rPr>
              <w:t>.</w:t>
            </w:r>
          </w:p>
          <w:p w:rsidR="000856B9" w:rsidRPr="00CA075F" w:rsidRDefault="000856B9" w:rsidP="00A71365">
            <w:pPr>
              <w:pStyle w:val="Tablewriting"/>
              <w:rPr>
                <w:rFonts w:eastAsia="MS Mincho" w:cstheme="minorHAnsi"/>
              </w:rPr>
            </w:pPr>
          </w:p>
          <w:p w:rsidR="00CA075F" w:rsidRPr="00CA075F" w:rsidRDefault="00CA075F" w:rsidP="00A71365">
            <w:pPr>
              <w:pStyle w:val="Tablewriting"/>
              <w:rPr>
                <w:rFonts w:eastAsia="MS Mincho" w:cstheme="minorHAnsi"/>
              </w:rPr>
            </w:pPr>
            <w:r w:rsidRPr="00CA075F">
              <w:rPr>
                <w:rFonts w:eastAsia="MS Mincho" w:cstheme="minorHAnsi"/>
              </w:rPr>
              <w:t>TQD was 1st day of w</w:t>
            </w:r>
            <w:r w:rsidR="000856B9">
              <w:rPr>
                <w:rFonts w:eastAsia="MS Mincho" w:cstheme="minorHAnsi"/>
              </w:rPr>
              <w:t>ee</w:t>
            </w:r>
            <w:r w:rsidRPr="00CA075F">
              <w:rPr>
                <w:rFonts w:eastAsia="MS Mincho" w:cstheme="minorHAnsi"/>
              </w:rPr>
              <w:t>k 1 visit (7 - 10 days post-randomisation)</w:t>
            </w:r>
            <w:r w:rsidR="00146384">
              <w:rPr>
                <w:rFonts w:eastAsia="MS Mincho" w:cstheme="minorHAnsi"/>
              </w:rPr>
              <w:t>.</w:t>
            </w:r>
          </w:p>
          <w:p w:rsidR="00146384" w:rsidRPr="00CA075F" w:rsidRDefault="00146384" w:rsidP="00A71365">
            <w:pPr>
              <w:pStyle w:val="Tablewriting"/>
              <w:rPr>
                <w:rFonts w:eastAsia="MS Mincho" w:cstheme="minorHAnsi"/>
              </w:rPr>
            </w:pPr>
          </w:p>
          <w:p w:rsidR="00CA075F" w:rsidRPr="00CA075F" w:rsidRDefault="00CA075F" w:rsidP="00A71365">
            <w:pPr>
              <w:pStyle w:val="Tablewriting"/>
              <w:rPr>
                <w:rFonts w:eastAsia="MS Mincho" w:cstheme="minorHAnsi"/>
              </w:rPr>
            </w:pPr>
            <w:r w:rsidRPr="00CA075F">
              <w:rPr>
                <w:rFonts w:eastAsia="MS Mincho" w:cstheme="minorHAnsi"/>
              </w:rPr>
              <w:t>Treatment period was 52 wks. Weekly visits throughout w</w:t>
            </w:r>
            <w:r w:rsidR="000856B9">
              <w:rPr>
                <w:rFonts w:eastAsia="MS Mincho" w:cstheme="minorHAnsi"/>
              </w:rPr>
              <w:t>ee</w:t>
            </w:r>
            <w:r w:rsidRPr="00CA075F">
              <w:rPr>
                <w:rFonts w:eastAsia="MS Mincho" w:cstheme="minorHAnsi"/>
              </w:rPr>
              <w:t>ks 1 - 8, then every 4 w</w:t>
            </w:r>
            <w:r w:rsidR="000856B9">
              <w:rPr>
                <w:rFonts w:eastAsia="MS Mincho" w:cstheme="minorHAnsi"/>
              </w:rPr>
              <w:t>ee</w:t>
            </w:r>
            <w:r w:rsidRPr="00CA075F">
              <w:rPr>
                <w:rFonts w:eastAsia="MS Mincho" w:cstheme="minorHAnsi"/>
              </w:rPr>
              <w:t>ks to w</w:t>
            </w:r>
            <w:r w:rsidR="000856B9">
              <w:rPr>
                <w:rFonts w:eastAsia="MS Mincho" w:cstheme="minorHAnsi"/>
              </w:rPr>
              <w:t>ee</w:t>
            </w:r>
            <w:r w:rsidRPr="00CA075F">
              <w:rPr>
                <w:rFonts w:eastAsia="MS Mincho" w:cstheme="minorHAnsi"/>
              </w:rPr>
              <w:t>k 52, + w</w:t>
            </w:r>
            <w:r w:rsidR="000856B9">
              <w:rPr>
                <w:rFonts w:eastAsia="MS Mincho" w:cstheme="minorHAnsi"/>
              </w:rPr>
              <w:t>ee</w:t>
            </w:r>
            <w:r w:rsidRPr="00CA075F">
              <w:rPr>
                <w:rFonts w:eastAsia="MS Mincho" w:cstheme="minorHAnsi"/>
              </w:rPr>
              <w:t>k 53 assessment</w:t>
            </w:r>
            <w:r w:rsidR="0046222D">
              <w:rPr>
                <w:rFonts w:eastAsia="MS Mincho" w:cstheme="minorHAnsi"/>
              </w:rPr>
              <w:t>.</w:t>
            </w:r>
          </w:p>
          <w:p w:rsidR="0046222D" w:rsidRPr="00CA075F" w:rsidRDefault="0046222D" w:rsidP="00A71365">
            <w:pPr>
              <w:pStyle w:val="Tablewriting"/>
              <w:rPr>
                <w:rFonts w:eastAsia="MS Mincho" w:cstheme="minorHAnsi"/>
              </w:rPr>
            </w:pPr>
          </w:p>
          <w:p w:rsidR="00DB181B" w:rsidRPr="00017AE6" w:rsidRDefault="00CA075F" w:rsidP="00A71365">
            <w:pPr>
              <w:pStyle w:val="Tablewriting"/>
              <w:rPr>
                <w:rFonts w:eastAsia="MS Mincho" w:cstheme="minorHAnsi"/>
              </w:rPr>
            </w:pPr>
            <w:r w:rsidRPr="00CA075F">
              <w:rPr>
                <w:rFonts w:eastAsia="MS Mincho" w:cstheme="minorHAnsi"/>
              </w:rPr>
              <w:t>Blood and urine samples taken at screening, baseline, w</w:t>
            </w:r>
            <w:r w:rsidR="0046222D">
              <w:rPr>
                <w:rFonts w:eastAsia="MS Mincho" w:cstheme="minorHAnsi"/>
              </w:rPr>
              <w:t>ee</w:t>
            </w:r>
            <w:r w:rsidRPr="00CA075F">
              <w:rPr>
                <w:rFonts w:eastAsia="MS Mincho" w:cstheme="minorHAnsi"/>
              </w:rPr>
              <w:t>ks 2, 12, 24, 36, 52 (or early termination) Complete</w:t>
            </w:r>
            <w:r w:rsidR="0046222D">
              <w:rPr>
                <w:rFonts w:eastAsia="MS Mincho" w:cstheme="minorHAnsi"/>
              </w:rPr>
              <w:t xml:space="preserve"> </w:t>
            </w:r>
            <w:r w:rsidRPr="00CA075F">
              <w:rPr>
                <w:rFonts w:eastAsia="MS Mincho" w:cstheme="minorHAnsi"/>
              </w:rPr>
              <w:t>physical exam at baseline, w</w:t>
            </w:r>
            <w:r w:rsidR="0046222D">
              <w:rPr>
                <w:rFonts w:eastAsia="MS Mincho" w:cstheme="minorHAnsi"/>
              </w:rPr>
              <w:t>ee</w:t>
            </w:r>
            <w:r w:rsidRPr="00CA075F">
              <w:rPr>
                <w:rFonts w:eastAsia="MS Mincho" w:cstheme="minorHAnsi"/>
              </w:rPr>
              <w:t>ks 24 and 52; BP, pulse and weight measured at all visits, ECG at</w:t>
            </w:r>
            <w:r w:rsidR="0046222D">
              <w:rPr>
                <w:rFonts w:eastAsia="MS Mincho" w:cstheme="minorHAnsi"/>
              </w:rPr>
              <w:t xml:space="preserve"> </w:t>
            </w:r>
            <w:r w:rsidRPr="00CA075F">
              <w:rPr>
                <w:rFonts w:eastAsia="MS Mincho" w:cstheme="minorHAnsi"/>
              </w:rPr>
              <w:t>screening, baseline, w</w:t>
            </w:r>
            <w:r w:rsidR="0046222D">
              <w:rPr>
                <w:rFonts w:eastAsia="MS Mincho" w:cstheme="minorHAnsi"/>
              </w:rPr>
              <w:t>ee</w:t>
            </w:r>
            <w:r w:rsidRPr="00CA075F">
              <w:rPr>
                <w:rFonts w:eastAsia="MS Mincho" w:cstheme="minorHAnsi"/>
              </w:rPr>
              <w:t>ks 2, 24 and 52 (or early termination)</w:t>
            </w:r>
            <w:r w:rsidR="0046222D">
              <w:rPr>
                <w:rFonts w:eastAsia="MS Mincho" w:cstheme="minorHAnsi"/>
              </w:rPr>
              <w:t>.</w:t>
            </w:r>
          </w:p>
        </w:tc>
        <w:tc>
          <w:tcPr>
            <w:tcW w:w="960" w:type="pct"/>
            <w:shd w:val="clear" w:color="auto" w:fill="F2F2F2" w:themeFill="background1" w:themeFillShade="F2"/>
          </w:tcPr>
          <w:p w:rsidR="00146384" w:rsidRPr="00146384" w:rsidRDefault="00146384" w:rsidP="00A71365">
            <w:pPr>
              <w:pStyle w:val="Tablewriting"/>
              <w:rPr>
                <w:rFonts w:eastAsia="MS Mincho" w:cstheme="minorHAnsi"/>
                <w:u w:val="single"/>
              </w:rPr>
            </w:pPr>
            <w:r w:rsidRPr="00146384">
              <w:rPr>
                <w:rFonts w:eastAsia="MS Mincho" w:cstheme="minorHAnsi"/>
                <w:u w:val="single"/>
              </w:rPr>
              <w:lastRenderedPageBreak/>
              <w:t>Efficacy:</w:t>
            </w:r>
          </w:p>
          <w:p w:rsidR="00CA075F" w:rsidRPr="00CA075F" w:rsidRDefault="00CA075F" w:rsidP="00A71365">
            <w:pPr>
              <w:pStyle w:val="Tablewriting"/>
              <w:rPr>
                <w:rFonts w:eastAsia="MS Mincho" w:cstheme="minorHAnsi"/>
              </w:rPr>
            </w:pPr>
            <w:r w:rsidRPr="00CA075F">
              <w:rPr>
                <w:rFonts w:eastAsia="MS Mincho" w:cstheme="minorHAnsi"/>
              </w:rPr>
              <w:t>Secondary outcome: 7-day CO-verified PPA at all clinic visits</w:t>
            </w:r>
            <w:r w:rsidR="00146384">
              <w:rPr>
                <w:rFonts w:eastAsia="MS Mincho" w:cstheme="minorHAnsi"/>
              </w:rPr>
              <w:t>.</w:t>
            </w:r>
            <w:r w:rsidRPr="00CA075F">
              <w:rPr>
                <w:rFonts w:eastAsia="MS Mincho" w:cstheme="minorHAnsi"/>
              </w:rPr>
              <w:t xml:space="preserve"> (expired CO </w:t>
            </w:r>
            <w:r w:rsidR="00146384" w:rsidRPr="004E2D82">
              <w:rPr>
                <w:rFonts w:eastAsia="MS Mincho"/>
              </w:rPr>
              <w:t>≤</w:t>
            </w:r>
            <w:r w:rsidRPr="00CA075F">
              <w:rPr>
                <w:rFonts w:eastAsia="MS Mincho" w:cstheme="minorHAnsi"/>
              </w:rPr>
              <w:t xml:space="preserve"> 10 ppm)</w:t>
            </w:r>
          </w:p>
          <w:p w:rsidR="00CA075F" w:rsidRDefault="00CA075F" w:rsidP="00A71365">
            <w:pPr>
              <w:pStyle w:val="Tablewriting"/>
              <w:rPr>
                <w:rFonts w:eastAsia="MS Mincho" w:cstheme="minorHAnsi"/>
              </w:rPr>
            </w:pPr>
          </w:p>
          <w:p w:rsidR="00146384" w:rsidRPr="00146384" w:rsidRDefault="00146384" w:rsidP="00A71365">
            <w:pPr>
              <w:pStyle w:val="Tablewriting"/>
              <w:rPr>
                <w:rFonts w:eastAsia="MS Mincho" w:cstheme="minorHAnsi"/>
                <w:u w:val="single"/>
              </w:rPr>
            </w:pPr>
            <w:r w:rsidRPr="00146384">
              <w:rPr>
                <w:rFonts w:eastAsia="MS Mincho" w:cstheme="minorHAnsi"/>
                <w:u w:val="single"/>
              </w:rPr>
              <w:t xml:space="preserve">Safety: </w:t>
            </w:r>
          </w:p>
          <w:p w:rsidR="00146384" w:rsidRPr="00CA075F" w:rsidRDefault="00146384" w:rsidP="00A71365">
            <w:pPr>
              <w:pStyle w:val="Tablewriting"/>
              <w:rPr>
                <w:rFonts w:eastAsia="MS Mincho" w:cstheme="minorHAnsi"/>
              </w:rPr>
            </w:pPr>
            <w:r w:rsidRPr="00CA075F">
              <w:rPr>
                <w:rFonts w:eastAsia="MS Mincho" w:cstheme="minorHAnsi"/>
              </w:rPr>
              <w:t>Primary outcome: Safety of smokers treated continuously with varenicline over 52 w</w:t>
            </w:r>
            <w:r>
              <w:rPr>
                <w:rFonts w:eastAsia="MS Mincho" w:cstheme="minorHAnsi"/>
              </w:rPr>
              <w:t>ee</w:t>
            </w:r>
            <w:r w:rsidRPr="00CA075F">
              <w:rPr>
                <w:rFonts w:eastAsia="MS Mincho" w:cstheme="minorHAnsi"/>
              </w:rPr>
              <w:t>ks, measured at</w:t>
            </w:r>
            <w:r>
              <w:rPr>
                <w:rFonts w:eastAsia="MS Mincho" w:cstheme="minorHAnsi"/>
              </w:rPr>
              <w:t xml:space="preserve"> </w:t>
            </w:r>
            <w:r w:rsidRPr="00CA075F">
              <w:rPr>
                <w:rFonts w:eastAsia="MS Mincho" w:cstheme="minorHAnsi"/>
              </w:rPr>
              <w:t>w</w:t>
            </w:r>
            <w:r>
              <w:rPr>
                <w:rFonts w:eastAsia="MS Mincho" w:cstheme="minorHAnsi"/>
              </w:rPr>
              <w:t>ee</w:t>
            </w:r>
            <w:r w:rsidRPr="00CA075F">
              <w:rPr>
                <w:rFonts w:eastAsia="MS Mincho" w:cstheme="minorHAnsi"/>
              </w:rPr>
              <w:t>k 53 by level and tolerability of adverse events and incidence of SAEs</w:t>
            </w:r>
            <w:r w:rsidR="00736D0F">
              <w:rPr>
                <w:rFonts w:eastAsia="MS Mincho" w:cstheme="minorHAnsi"/>
              </w:rPr>
              <w:t>.</w:t>
            </w:r>
          </w:p>
          <w:p w:rsidR="00146384" w:rsidRDefault="00146384" w:rsidP="00A71365">
            <w:pPr>
              <w:pStyle w:val="Tablewriting"/>
              <w:rPr>
                <w:rFonts w:eastAsia="MS Mincho" w:cstheme="minorHAnsi"/>
              </w:rPr>
            </w:pPr>
          </w:p>
          <w:p w:rsidR="00DB181B" w:rsidRPr="00017AE6" w:rsidRDefault="00CA075F" w:rsidP="00A71365">
            <w:pPr>
              <w:pStyle w:val="Tablewriting"/>
              <w:rPr>
                <w:rFonts w:eastAsia="MS Mincho" w:cstheme="minorHAnsi"/>
              </w:rPr>
            </w:pPr>
            <w:r w:rsidRPr="00736D0F">
              <w:rPr>
                <w:rFonts w:eastAsia="MS Mincho" w:cstheme="minorHAnsi"/>
                <w:u w:val="single"/>
              </w:rPr>
              <w:t>Othe</w:t>
            </w:r>
            <w:r>
              <w:rPr>
                <w:rFonts w:eastAsia="MS Mincho" w:cstheme="minorHAnsi"/>
                <w:u w:val="single"/>
              </w:rPr>
              <w:t>r</w:t>
            </w:r>
            <w:r w:rsidRPr="00736D0F">
              <w:rPr>
                <w:rFonts w:eastAsia="MS Mincho" w:cstheme="minorHAnsi"/>
                <w:u w:val="single"/>
              </w:rPr>
              <w:t>:</w:t>
            </w:r>
            <w:r w:rsidRPr="00CA075F">
              <w:rPr>
                <w:rFonts w:eastAsia="MS Mincho" w:cstheme="minorHAnsi"/>
              </w:rPr>
              <w:t xml:space="preserve"> Weight change</w:t>
            </w:r>
            <w:r w:rsidR="00736D0F">
              <w:rPr>
                <w:rFonts w:eastAsia="MS Mincho" w:cstheme="minorHAnsi"/>
              </w:rPr>
              <w:t>,</w:t>
            </w:r>
            <w:r w:rsidRPr="00CA075F">
              <w:rPr>
                <w:rFonts w:eastAsia="MS Mincho" w:cstheme="minorHAnsi"/>
              </w:rPr>
              <w:t xml:space="preserve"> changes in vital signs</w:t>
            </w:r>
            <w:r w:rsidR="00736D0F">
              <w:rPr>
                <w:rFonts w:eastAsia="MS Mincho" w:cstheme="minorHAnsi"/>
              </w:rPr>
              <w:t>.</w:t>
            </w:r>
          </w:p>
        </w:tc>
      </w:tr>
      <w:tr w:rsidR="003D3459" w:rsidRPr="00017AE6" w:rsidTr="000728F8">
        <w:trPr>
          <w:trHeight w:val="99"/>
        </w:trPr>
        <w:tc>
          <w:tcPr>
            <w:tcW w:w="763" w:type="pct"/>
            <w:shd w:val="clear" w:color="auto" w:fill="F2F2F2" w:themeFill="background1" w:themeFillShade="F2"/>
          </w:tcPr>
          <w:p w:rsidR="00DB181B" w:rsidRPr="00896B73" w:rsidRDefault="00DB181B" w:rsidP="00A71365">
            <w:pPr>
              <w:pStyle w:val="Tablewriting"/>
              <w:rPr>
                <w:rFonts w:eastAsia="MS Mincho" w:cstheme="minorHAnsi"/>
              </w:rPr>
            </w:pPr>
            <w:r w:rsidRPr="007C509A">
              <w:rPr>
                <w:rFonts w:eastAsia="MS Mincho" w:cstheme="minorHAnsi"/>
              </w:rPr>
              <w:t>NCT01347112</w:t>
            </w:r>
          </w:p>
        </w:tc>
        <w:tc>
          <w:tcPr>
            <w:tcW w:w="234" w:type="pct"/>
            <w:shd w:val="clear" w:color="auto" w:fill="F2F2F2" w:themeFill="background1" w:themeFillShade="F2"/>
          </w:tcPr>
          <w:p w:rsidR="00DB181B" w:rsidRPr="00017AE6" w:rsidRDefault="00DB181B" w:rsidP="00A71365">
            <w:pPr>
              <w:pStyle w:val="Tablewriting"/>
              <w:rPr>
                <w:rFonts w:eastAsia="MS Mincho" w:cstheme="minorHAnsi"/>
              </w:rPr>
            </w:pPr>
            <w:r w:rsidRPr="00962325">
              <w:rPr>
                <w:rFonts w:eastAsia="MS Mincho" w:cstheme="minorHAnsi"/>
              </w:rPr>
              <w:t>RCT</w:t>
            </w:r>
          </w:p>
        </w:tc>
        <w:tc>
          <w:tcPr>
            <w:tcW w:w="460" w:type="pct"/>
            <w:shd w:val="clear" w:color="auto" w:fill="F2F2F2" w:themeFill="background1" w:themeFillShade="F2"/>
          </w:tcPr>
          <w:p w:rsidR="00DB181B" w:rsidRPr="00017AE6" w:rsidRDefault="00AC0369" w:rsidP="00A71365">
            <w:pPr>
              <w:pStyle w:val="Tablewriting"/>
              <w:rPr>
                <w:rFonts w:eastAsia="MS Mincho" w:cstheme="minorHAnsi"/>
              </w:rPr>
            </w:pPr>
            <w:r>
              <w:rPr>
                <w:rFonts w:eastAsia="MS Mincho" w:cstheme="minorHAnsi"/>
              </w:rPr>
              <w:t>NR</w:t>
            </w:r>
          </w:p>
        </w:tc>
        <w:tc>
          <w:tcPr>
            <w:tcW w:w="675" w:type="pct"/>
            <w:shd w:val="clear" w:color="auto" w:fill="F2F2F2" w:themeFill="background1" w:themeFillShade="F2"/>
          </w:tcPr>
          <w:p w:rsidR="00DB181B" w:rsidRPr="00017AE6" w:rsidRDefault="00AC0369" w:rsidP="00A71365">
            <w:pPr>
              <w:pStyle w:val="Tablewriting"/>
              <w:rPr>
                <w:rFonts w:eastAsia="MS Mincho" w:cstheme="minorHAnsi"/>
              </w:rPr>
            </w:pPr>
            <w:r>
              <w:rPr>
                <w:rFonts w:eastAsia="MS Mincho" w:cstheme="minorHAnsi"/>
              </w:rPr>
              <w:t>N=</w:t>
            </w:r>
            <w:r w:rsidR="009C559B">
              <w:rPr>
                <w:rFonts w:eastAsia="MS Mincho" w:cstheme="minorHAnsi"/>
              </w:rPr>
              <w:t>33</w:t>
            </w:r>
          </w:p>
        </w:tc>
        <w:tc>
          <w:tcPr>
            <w:tcW w:w="853" w:type="pct"/>
            <w:shd w:val="clear" w:color="auto" w:fill="F2F2F2" w:themeFill="background1" w:themeFillShade="F2"/>
          </w:tcPr>
          <w:p w:rsidR="00DB181B" w:rsidRPr="00017AE6" w:rsidRDefault="007823E7" w:rsidP="00A71365">
            <w:pPr>
              <w:pStyle w:val="Tablewriting"/>
              <w:rPr>
                <w:rFonts w:eastAsia="MS Mincho" w:cstheme="minorHAnsi"/>
              </w:rPr>
            </w:pPr>
            <w:r>
              <w:rPr>
                <w:rFonts w:eastAsia="MS Mincho" w:cstheme="minorHAnsi"/>
              </w:rPr>
              <w:t>A</w:t>
            </w:r>
            <w:r w:rsidR="009C559B" w:rsidRPr="009C559B">
              <w:rPr>
                <w:rFonts w:eastAsia="MS Mincho" w:cstheme="minorHAnsi"/>
              </w:rPr>
              <w:t>dult alcohol</w:t>
            </w:r>
            <w:r>
              <w:rPr>
                <w:rFonts w:eastAsia="MS Mincho" w:cstheme="minorHAnsi"/>
              </w:rPr>
              <w:t xml:space="preserve"> </w:t>
            </w:r>
            <w:r w:rsidR="009C559B" w:rsidRPr="009C559B">
              <w:rPr>
                <w:rFonts w:eastAsia="MS Mincho" w:cstheme="minorHAnsi"/>
              </w:rPr>
              <w:t>dependent smokers</w:t>
            </w:r>
            <w:r>
              <w:rPr>
                <w:rFonts w:eastAsia="MS Mincho" w:cstheme="minorHAnsi"/>
              </w:rPr>
              <w:t>.</w:t>
            </w:r>
          </w:p>
        </w:tc>
        <w:tc>
          <w:tcPr>
            <w:tcW w:w="1055" w:type="pct"/>
            <w:shd w:val="clear" w:color="auto" w:fill="F2F2F2" w:themeFill="background1" w:themeFillShade="F2"/>
          </w:tcPr>
          <w:p w:rsidR="007823E7" w:rsidRDefault="009C559B" w:rsidP="00C324F3">
            <w:pPr>
              <w:pStyle w:val="Tablewriting"/>
              <w:numPr>
                <w:ilvl w:val="0"/>
                <w:numId w:val="156"/>
              </w:numPr>
              <w:rPr>
                <w:rFonts w:eastAsia="MS Mincho" w:cstheme="minorHAnsi"/>
              </w:rPr>
            </w:pPr>
            <w:r w:rsidRPr="009C559B">
              <w:rPr>
                <w:rFonts w:eastAsia="MS Mincho" w:cstheme="minorHAnsi"/>
              </w:rPr>
              <w:t>Varenicline 1 mg bid for 12 weeks</w:t>
            </w:r>
            <w:r w:rsidR="007823E7">
              <w:rPr>
                <w:rFonts w:eastAsia="MS Mincho" w:cstheme="minorHAnsi"/>
              </w:rPr>
              <w:t>.</w:t>
            </w:r>
          </w:p>
          <w:p w:rsidR="00DB181B" w:rsidRPr="00017AE6" w:rsidRDefault="009C559B" w:rsidP="00C324F3">
            <w:pPr>
              <w:pStyle w:val="Tablewriting"/>
              <w:numPr>
                <w:ilvl w:val="0"/>
                <w:numId w:val="156"/>
              </w:numPr>
              <w:rPr>
                <w:rFonts w:eastAsia="MS Mincho" w:cstheme="minorHAnsi"/>
              </w:rPr>
            </w:pPr>
            <w:r w:rsidRPr="009C559B">
              <w:rPr>
                <w:rFonts w:eastAsia="MS Mincho" w:cstheme="minorHAnsi"/>
              </w:rPr>
              <w:t>placebo</w:t>
            </w:r>
          </w:p>
        </w:tc>
        <w:tc>
          <w:tcPr>
            <w:tcW w:w="960" w:type="pct"/>
            <w:shd w:val="clear" w:color="auto" w:fill="F2F2F2" w:themeFill="background1" w:themeFillShade="F2"/>
          </w:tcPr>
          <w:p w:rsidR="009C559B" w:rsidRPr="009C559B" w:rsidRDefault="007823E7" w:rsidP="00A71365">
            <w:pPr>
              <w:pStyle w:val="Tablewriting"/>
              <w:rPr>
                <w:rFonts w:eastAsia="MS Mincho" w:cstheme="minorHAnsi"/>
              </w:rPr>
            </w:pPr>
            <w:r w:rsidRPr="007823E7">
              <w:rPr>
                <w:rFonts w:eastAsia="MS Mincho" w:cstheme="minorHAnsi"/>
                <w:u w:val="single"/>
              </w:rPr>
              <w:t>Efficacy:</w:t>
            </w:r>
            <w:r>
              <w:rPr>
                <w:rFonts w:eastAsia="MS Mincho" w:cstheme="minorHAnsi"/>
              </w:rPr>
              <w:t xml:space="preserve"> </w:t>
            </w:r>
            <w:r w:rsidR="009C559B" w:rsidRPr="009C559B">
              <w:rPr>
                <w:rFonts w:eastAsia="MS Mincho" w:cstheme="minorHAnsi"/>
              </w:rPr>
              <w:t>Prolonged abstinence at 12 weeks (end of treatment), and at 6</w:t>
            </w:r>
            <w:r>
              <w:rPr>
                <w:rFonts w:eastAsia="MS Mincho" w:cstheme="minorHAnsi"/>
              </w:rPr>
              <w:t xml:space="preserve"> months.</w:t>
            </w:r>
          </w:p>
          <w:p w:rsidR="00DB181B" w:rsidRDefault="007823E7" w:rsidP="00A71365">
            <w:pPr>
              <w:pStyle w:val="Tablewriting"/>
              <w:rPr>
                <w:rFonts w:eastAsia="MS Mincho" w:cstheme="minorHAnsi"/>
              </w:rPr>
            </w:pPr>
            <w:r>
              <w:rPr>
                <w:rFonts w:eastAsia="MS Mincho" w:cstheme="minorHAnsi"/>
              </w:rPr>
              <w:t>(</w:t>
            </w:r>
            <w:r w:rsidR="009C559B" w:rsidRPr="009C559B">
              <w:rPr>
                <w:rFonts w:eastAsia="MS Mincho" w:cstheme="minorHAnsi"/>
              </w:rPr>
              <w:t>Abstinence self-reported, not biochemically confirmed</w:t>
            </w:r>
            <w:r>
              <w:rPr>
                <w:rFonts w:eastAsia="MS Mincho" w:cstheme="minorHAnsi"/>
              </w:rPr>
              <w:t>)</w:t>
            </w:r>
          </w:p>
          <w:p w:rsidR="001B56DB" w:rsidRDefault="001B56DB" w:rsidP="00A71365">
            <w:pPr>
              <w:pStyle w:val="Tablewriting"/>
              <w:rPr>
                <w:rFonts w:eastAsia="MS Mincho" w:cstheme="minorHAnsi"/>
              </w:rPr>
            </w:pPr>
          </w:p>
          <w:p w:rsidR="00DB181B" w:rsidRPr="00017AE6" w:rsidRDefault="001B56DB" w:rsidP="00A71365">
            <w:pPr>
              <w:pStyle w:val="Tablewriting"/>
              <w:rPr>
                <w:rFonts w:eastAsia="MS Mincho" w:cstheme="minorHAnsi"/>
              </w:rPr>
            </w:pPr>
            <w:r w:rsidRPr="001B56DB">
              <w:rPr>
                <w:rFonts w:eastAsia="MS Mincho" w:cstheme="minorHAnsi"/>
                <w:u w:val="single"/>
              </w:rPr>
              <w:t>Safety:</w:t>
            </w:r>
            <w:r>
              <w:rPr>
                <w:rFonts w:eastAsia="MS Mincho" w:cstheme="minorHAnsi"/>
                <w:u w:val="single"/>
              </w:rPr>
              <w:t xml:space="preserve"> </w:t>
            </w:r>
            <w:r w:rsidRPr="001B56DB">
              <w:rPr>
                <w:rFonts w:eastAsia="MS Mincho" w:cstheme="minorHAnsi"/>
              </w:rPr>
              <w:t>NR</w:t>
            </w:r>
          </w:p>
        </w:tc>
      </w:tr>
      <w:tr w:rsidR="003D3459" w:rsidRPr="00017AE6" w:rsidTr="000728F8">
        <w:trPr>
          <w:trHeight w:val="99"/>
        </w:trPr>
        <w:tc>
          <w:tcPr>
            <w:tcW w:w="763" w:type="pct"/>
            <w:shd w:val="clear" w:color="auto" w:fill="F2F2F2" w:themeFill="background1" w:themeFillShade="F2"/>
          </w:tcPr>
          <w:p w:rsidR="00DB181B" w:rsidRPr="00896B73" w:rsidRDefault="00DB181B" w:rsidP="00A71365">
            <w:pPr>
              <w:pStyle w:val="Tablewriting"/>
              <w:rPr>
                <w:rFonts w:eastAsia="MS Mincho" w:cstheme="minorHAnsi"/>
              </w:rPr>
            </w:pPr>
            <w:r w:rsidRPr="007C509A">
              <w:rPr>
                <w:rFonts w:eastAsia="MS Mincho" w:cstheme="minorHAnsi"/>
              </w:rPr>
              <w:t xml:space="preserve">Williams </w:t>
            </w:r>
            <w:r w:rsidR="001B56DB">
              <w:rPr>
                <w:rFonts w:eastAsia="MS Mincho" w:cstheme="minorHAnsi"/>
              </w:rPr>
              <w:t>(</w:t>
            </w:r>
            <w:r w:rsidRPr="007C509A">
              <w:rPr>
                <w:rFonts w:eastAsia="MS Mincho" w:cstheme="minorHAnsi"/>
              </w:rPr>
              <w:t>2012</w:t>
            </w:r>
            <w:r w:rsidR="001B56DB">
              <w:rPr>
                <w:rFonts w:eastAsia="MS Mincho" w:cstheme="minorHAnsi"/>
              </w:rPr>
              <w:t>)</w:t>
            </w:r>
          </w:p>
        </w:tc>
        <w:tc>
          <w:tcPr>
            <w:tcW w:w="234" w:type="pct"/>
            <w:shd w:val="clear" w:color="auto" w:fill="F2F2F2" w:themeFill="background1" w:themeFillShade="F2"/>
          </w:tcPr>
          <w:p w:rsidR="00DB181B" w:rsidRPr="00017AE6" w:rsidRDefault="00DB181B" w:rsidP="00A71365">
            <w:pPr>
              <w:pStyle w:val="Tablewriting"/>
              <w:rPr>
                <w:rFonts w:eastAsia="MS Mincho" w:cstheme="minorHAnsi"/>
              </w:rPr>
            </w:pPr>
            <w:r w:rsidRPr="00962325">
              <w:rPr>
                <w:rFonts w:eastAsia="MS Mincho" w:cstheme="minorHAnsi"/>
              </w:rPr>
              <w:t>RCT</w:t>
            </w:r>
          </w:p>
        </w:tc>
        <w:tc>
          <w:tcPr>
            <w:tcW w:w="460" w:type="pct"/>
            <w:shd w:val="clear" w:color="auto" w:fill="F2F2F2" w:themeFill="background1" w:themeFillShade="F2"/>
          </w:tcPr>
          <w:p w:rsidR="00DB181B" w:rsidRPr="00017AE6" w:rsidRDefault="0011396C" w:rsidP="00A71365">
            <w:pPr>
              <w:pStyle w:val="Tablewriting"/>
              <w:rPr>
                <w:rFonts w:eastAsia="MS Mincho" w:cstheme="minorHAnsi"/>
              </w:rPr>
            </w:pPr>
            <w:r w:rsidRPr="0011396C">
              <w:rPr>
                <w:rFonts w:eastAsia="MS Mincho" w:cstheme="minorHAnsi"/>
              </w:rPr>
              <w:t>Canada, USA</w:t>
            </w:r>
          </w:p>
        </w:tc>
        <w:tc>
          <w:tcPr>
            <w:tcW w:w="675" w:type="pct"/>
            <w:shd w:val="clear" w:color="auto" w:fill="F2F2F2" w:themeFill="background1" w:themeFillShade="F2"/>
          </w:tcPr>
          <w:p w:rsidR="00DB181B" w:rsidRPr="00017AE6" w:rsidRDefault="00841199" w:rsidP="00A71365">
            <w:pPr>
              <w:pStyle w:val="Tablewriting"/>
              <w:rPr>
                <w:rFonts w:eastAsia="MS Mincho" w:cstheme="minorHAnsi"/>
              </w:rPr>
            </w:pPr>
            <w:r>
              <w:rPr>
                <w:rFonts w:eastAsia="MS Mincho" w:cstheme="minorHAnsi"/>
              </w:rPr>
              <w:t>N=</w:t>
            </w:r>
            <w:r w:rsidRPr="0011396C">
              <w:rPr>
                <w:rFonts w:eastAsia="MS Mincho" w:cstheme="minorHAnsi"/>
              </w:rPr>
              <w:t>128</w:t>
            </w:r>
            <w:r w:rsidR="00AC6235">
              <w:rPr>
                <w:rFonts w:eastAsia="MS Mincho" w:cstheme="minorHAnsi"/>
              </w:rPr>
              <w:t>; n=85 (</w:t>
            </w:r>
            <w:r w:rsidR="00AC6235" w:rsidRPr="0011396C">
              <w:rPr>
                <w:rFonts w:eastAsia="MS Mincho" w:cstheme="minorHAnsi"/>
              </w:rPr>
              <w:t>varenicline</w:t>
            </w:r>
            <w:r w:rsidR="00AC6235">
              <w:rPr>
                <w:rFonts w:eastAsia="MS Mincho" w:cstheme="minorHAnsi"/>
              </w:rPr>
              <w:t>), n=43 (</w:t>
            </w:r>
            <w:r w:rsidR="00AC6235" w:rsidRPr="0011396C">
              <w:rPr>
                <w:rFonts w:eastAsia="MS Mincho" w:cstheme="minorHAnsi"/>
              </w:rPr>
              <w:t>placebo).</w:t>
            </w:r>
          </w:p>
        </w:tc>
        <w:tc>
          <w:tcPr>
            <w:tcW w:w="853" w:type="pct"/>
            <w:shd w:val="clear" w:color="auto" w:fill="F2F2F2" w:themeFill="background1" w:themeFillShade="F2"/>
          </w:tcPr>
          <w:p w:rsidR="0011396C" w:rsidRPr="0011396C" w:rsidRDefault="00841199" w:rsidP="00A71365">
            <w:pPr>
              <w:pStyle w:val="Tablewriting"/>
              <w:rPr>
                <w:rFonts w:eastAsia="MS Mincho" w:cstheme="minorHAnsi"/>
              </w:rPr>
            </w:pPr>
            <w:r>
              <w:rPr>
                <w:rFonts w:eastAsia="MS Mincho" w:cstheme="minorHAnsi"/>
              </w:rPr>
              <w:t>A</w:t>
            </w:r>
            <w:r w:rsidR="0011396C" w:rsidRPr="0011396C">
              <w:rPr>
                <w:rFonts w:eastAsia="MS Mincho" w:cstheme="minorHAnsi"/>
              </w:rPr>
              <w:t>dults, diagnosed with stable schizophrenia or</w:t>
            </w:r>
            <w:r>
              <w:rPr>
                <w:rFonts w:eastAsia="MS Mincho" w:cstheme="minorHAnsi"/>
              </w:rPr>
              <w:t xml:space="preserve"> </w:t>
            </w:r>
            <w:r w:rsidR="0011396C" w:rsidRPr="0011396C">
              <w:rPr>
                <w:rFonts w:eastAsia="MS Mincho" w:cstheme="minorHAnsi"/>
              </w:rPr>
              <w:t>schizoaffective disorders, smoking at least 15 CPD</w:t>
            </w:r>
          </w:p>
          <w:p w:rsidR="00DB181B" w:rsidRPr="00017AE6" w:rsidRDefault="0011396C" w:rsidP="00A71365">
            <w:pPr>
              <w:pStyle w:val="Tablewriting"/>
              <w:rPr>
                <w:rFonts w:eastAsia="MS Mincho" w:cstheme="minorHAnsi"/>
              </w:rPr>
            </w:pPr>
            <w:r w:rsidRPr="0011396C">
              <w:rPr>
                <w:rFonts w:eastAsia="MS Mincho" w:cstheme="minorHAnsi"/>
              </w:rPr>
              <w:t xml:space="preserve">and motivated to quit. 77% men aged 18 </w:t>
            </w:r>
            <w:r w:rsidR="00AC6235">
              <w:rPr>
                <w:rFonts w:eastAsia="MS Mincho" w:cstheme="minorHAnsi"/>
              </w:rPr>
              <w:t>–</w:t>
            </w:r>
            <w:r w:rsidRPr="0011396C">
              <w:rPr>
                <w:rFonts w:eastAsia="MS Mincho" w:cstheme="minorHAnsi"/>
              </w:rPr>
              <w:t xml:space="preserve"> 75</w:t>
            </w:r>
            <w:r w:rsidR="00AC6235">
              <w:rPr>
                <w:rFonts w:eastAsia="MS Mincho" w:cstheme="minorHAnsi"/>
              </w:rPr>
              <w:t xml:space="preserve"> years.</w:t>
            </w:r>
          </w:p>
        </w:tc>
        <w:tc>
          <w:tcPr>
            <w:tcW w:w="1055" w:type="pct"/>
            <w:shd w:val="clear" w:color="auto" w:fill="F2F2F2" w:themeFill="background1" w:themeFillShade="F2"/>
          </w:tcPr>
          <w:p w:rsidR="007823E7" w:rsidRDefault="00C213DB" w:rsidP="00C324F3">
            <w:pPr>
              <w:pStyle w:val="Tablewriting"/>
              <w:numPr>
                <w:ilvl w:val="0"/>
                <w:numId w:val="157"/>
              </w:numPr>
              <w:rPr>
                <w:rFonts w:eastAsia="MS Mincho" w:cstheme="minorHAnsi"/>
              </w:rPr>
            </w:pPr>
            <w:r w:rsidRPr="00C213DB">
              <w:rPr>
                <w:rFonts w:eastAsia="MS Mincho" w:cstheme="minorHAnsi"/>
              </w:rPr>
              <w:t>Varenicline 1.0 mg x 2/d for 12 w</w:t>
            </w:r>
            <w:r w:rsidR="007823E7">
              <w:rPr>
                <w:rFonts w:eastAsia="MS Mincho" w:cstheme="minorHAnsi"/>
              </w:rPr>
              <w:t>ee</w:t>
            </w:r>
            <w:r w:rsidRPr="00C213DB">
              <w:rPr>
                <w:rFonts w:eastAsia="MS Mincho" w:cstheme="minorHAnsi"/>
              </w:rPr>
              <w:t>ks, including w</w:t>
            </w:r>
            <w:r w:rsidR="007823E7">
              <w:rPr>
                <w:rFonts w:eastAsia="MS Mincho" w:cstheme="minorHAnsi"/>
              </w:rPr>
              <w:t>ee</w:t>
            </w:r>
            <w:r w:rsidRPr="00C213DB">
              <w:rPr>
                <w:rFonts w:eastAsia="MS Mincho" w:cstheme="minorHAnsi"/>
              </w:rPr>
              <w:t>k 1 at titrated dose</w:t>
            </w:r>
            <w:r w:rsidR="007823E7">
              <w:rPr>
                <w:rFonts w:eastAsia="MS Mincho" w:cstheme="minorHAnsi"/>
              </w:rPr>
              <w:t>.</w:t>
            </w:r>
          </w:p>
          <w:p w:rsidR="00DB181B" w:rsidRDefault="00C213DB" w:rsidP="00C324F3">
            <w:pPr>
              <w:pStyle w:val="Tablewriting"/>
              <w:numPr>
                <w:ilvl w:val="0"/>
                <w:numId w:val="157"/>
              </w:numPr>
              <w:rPr>
                <w:rFonts w:eastAsia="MS Mincho" w:cstheme="minorHAnsi"/>
              </w:rPr>
            </w:pPr>
            <w:r w:rsidRPr="00C213DB">
              <w:rPr>
                <w:rFonts w:eastAsia="MS Mincho" w:cstheme="minorHAnsi"/>
              </w:rPr>
              <w:t>Placebo tablets as above.</w:t>
            </w:r>
          </w:p>
          <w:p w:rsidR="00C213DB" w:rsidRDefault="00C213DB" w:rsidP="00A71365">
            <w:pPr>
              <w:pStyle w:val="Tablewriting"/>
              <w:rPr>
                <w:rFonts w:eastAsia="MS Mincho" w:cstheme="minorHAnsi"/>
              </w:rPr>
            </w:pPr>
          </w:p>
          <w:p w:rsidR="00AC6235" w:rsidRDefault="00F974BF" w:rsidP="00A71365">
            <w:pPr>
              <w:pStyle w:val="Tablewriting"/>
              <w:rPr>
                <w:rFonts w:eastAsia="MS Mincho" w:cstheme="minorHAnsi"/>
              </w:rPr>
            </w:pPr>
            <w:r w:rsidRPr="06BFFAED">
              <w:rPr>
                <w:rFonts w:eastAsia="MS Mincho" w:cstheme="minorBidi"/>
                <w:u w:val="single"/>
              </w:rPr>
              <w:t>Common components:</w:t>
            </w:r>
            <w:r>
              <w:rPr>
                <w:rFonts w:eastAsia="MS Mincho" w:cstheme="minorBidi"/>
                <w:u w:val="single"/>
              </w:rPr>
              <w:t xml:space="preserve"> </w:t>
            </w:r>
            <w:r w:rsidR="00C213DB" w:rsidRPr="00C213DB">
              <w:rPr>
                <w:rFonts w:eastAsia="MS Mincho" w:cstheme="minorHAnsi"/>
              </w:rPr>
              <w:t xml:space="preserve">Weekly clinic visits, for safety and efficacy, </w:t>
            </w:r>
            <w:r w:rsidR="007823E7" w:rsidRPr="004E2D82">
              <w:rPr>
                <w:rFonts w:eastAsia="MS Mincho"/>
              </w:rPr>
              <w:t>≤</w:t>
            </w:r>
            <w:r w:rsidR="00C213DB" w:rsidRPr="00C213DB">
              <w:rPr>
                <w:rFonts w:eastAsia="MS Mincho" w:cstheme="minorHAnsi"/>
              </w:rPr>
              <w:t xml:space="preserve"> 30-min counselling sessions after treatment phase, clinic</w:t>
            </w:r>
            <w:r w:rsidR="00C213DB">
              <w:rPr>
                <w:rFonts w:eastAsia="MS Mincho" w:cstheme="minorHAnsi"/>
              </w:rPr>
              <w:t xml:space="preserve"> </w:t>
            </w:r>
            <w:r w:rsidR="00C213DB" w:rsidRPr="00C213DB">
              <w:rPr>
                <w:rFonts w:eastAsia="MS Mincho" w:cstheme="minorHAnsi"/>
              </w:rPr>
              <w:t>visits at w</w:t>
            </w:r>
            <w:r w:rsidR="00AC6235">
              <w:rPr>
                <w:rFonts w:eastAsia="MS Mincho" w:cstheme="minorHAnsi"/>
              </w:rPr>
              <w:t>ee</w:t>
            </w:r>
            <w:r w:rsidR="00C213DB" w:rsidRPr="00C213DB">
              <w:rPr>
                <w:rFonts w:eastAsia="MS Mincho" w:cstheme="minorHAnsi"/>
              </w:rPr>
              <w:t>ks 13, 16, 20, 24, with brief phone calls at w</w:t>
            </w:r>
            <w:r w:rsidR="00AC6235">
              <w:rPr>
                <w:rFonts w:eastAsia="MS Mincho" w:cstheme="minorHAnsi"/>
              </w:rPr>
              <w:t>ee</w:t>
            </w:r>
            <w:r w:rsidR="00C213DB" w:rsidRPr="00C213DB">
              <w:rPr>
                <w:rFonts w:eastAsia="MS Mincho" w:cstheme="minorHAnsi"/>
              </w:rPr>
              <w:t xml:space="preserve">ks 14, 18 and 22. </w:t>
            </w:r>
          </w:p>
          <w:p w:rsidR="00AC6235" w:rsidRDefault="00AC6235" w:rsidP="00A71365">
            <w:pPr>
              <w:pStyle w:val="Tablewriting"/>
              <w:rPr>
                <w:rFonts w:eastAsia="MS Mincho" w:cstheme="minorHAnsi"/>
              </w:rPr>
            </w:pPr>
          </w:p>
          <w:p w:rsidR="00C213DB" w:rsidRPr="00017AE6" w:rsidRDefault="00C213DB" w:rsidP="00A71365">
            <w:pPr>
              <w:pStyle w:val="Tablewriting"/>
              <w:rPr>
                <w:rFonts w:eastAsia="MS Mincho" w:cstheme="minorHAnsi"/>
              </w:rPr>
            </w:pPr>
            <w:r w:rsidRPr="00C213DB">
              <w:rPr>
                <w:rFonts w:eastAsia="MS Mincho" w:cstheme="minorHAnsi"/>
              </w:rPr>
              <w:t>Follow-up sessions included brief</w:t>
            </w:r>
            <w:r>
              <w:rPr>
                <w:rFonts w:eastAsia="MS Mincho" w:cstheme="minorHAnsi"/>
              </w:rPr>
              <w:t xml:space="preserve"> </w:t>
            </w:r>
            <w:r w:rsidRPr="00C213DB">
              <w:rPr>
                <w:rFonts w:eastAsia="MS Mincho" w:cstheme="minorHAnsi"/>
              </w:rPr>
              <w:t>(</w:t>
            </w:r>
            <w:r w:rsidR="00AC6235" w:rsidRPr="00AC6235">
              <w:rPr>
                <w:rFonts w:eastAsia="MS Mincho" w:cstheme="minorHAnsi"/>
              </w:rPr>
              <w:t>≤</w:t>
            </w:r>
            <w:r w:rsidRPr="00C213DB">
              <w:rPr>
                <w:rFonts w:eastAsia="MS Mincho" w:cstheme="minorHAnsi"/>
              </w:rPr>
              <w:t xml:space="preserve"> 10 mins) counselling. AEs collected to 30 days after </w:t>
            </w:r>
            <w:r w:rsidRPr="00C213DB">
              <w:rPr>
                <w:rFonts w:eastAsia="MS Mincho" w:cstheme="minorHAnsi"/>
              </w:rPr>
              <w:lastRenderedPageBreak/>
              <w:t>treatment, and neuropsychiatric AEs to w</w:t>
            </w:r>
            <w:r w:rsidR="00AC6235">
              <w:rPr>
                <w:rFonts w:eastAsia="MS Mincho" w:cstheme="minorHAnsi"/>
              </w:rPr>
              <w:t>ee</w:t>
            </w:r>
            <w:r w:rsidRPr="00C213DB">
              <w:rPr>
                <w:rFonts w:eastAsia="MS Mincho" w:cstheme="minorHAnsi"/>
              </w:rPr>
              <w:t>k 24</w:t>
            </w:r>
            <w:r w:rsidR="00AC6235">
              <w:rPr>
                <w:rFonts w:eastAsia="MS Mincho" w:cstheme="minorHAnsi"/>
              </w:rPr>
              <w:t>.</w:t>
            </w:r>
          </w:p>
        </w:tc>
        <w:tc>
          <w:tcPr>
            <w:tcW w:w="960" w:type="pct"/>
            <w:shd w:val="clear" w:color="auto" w:fill="F2F2F2" w:themeFill="background1" w:themeFillShade="F2"/>
          </w:tcPr>
          <w:p w:rsidR="00AC6235" w:rsidRPr="00AC6235" w:rsidRDefault="00AC6235" w:rsidP="00A71365">
            <w:pPr>
              <w:pStyle w:val="Tablewriting"/>
              <w:rPr>
                <w:rFonts w:eastAsia="MS Mincho" w:cstheme="minorHAnsi"/>
                <w:u w:val="single"/>
              </w:rPr>
            </w:pPr>
            <w:r w:rsidRPr="00AC6235">
              <w:rPr>
                <w:rFonts w:eastAsia="MS Mincho" w:cstheme="minorHAnsi"/>
                <w:u w:val="single"/>
              </w:rPr>
              <w:lastRenderedPageBreak/>
              <w:t>Efficacy:</w:t>
            </w:r>
          </w:p>
          <w:p w:rsidR="00825F80" w:rsidRPr="00825F80" w:rsidRDefault="00825F80" w:rsidP="00A71365">
            <w:pPr>
              <w:pStyle w:val="Tablewriting"/>
              <w:rPr>
                <w:rFonts w:eastAsia="MS Mincho" w:cstheme="minorHAnsi"/>
              </w:rPr>
            </w:pPr>
            <w:r w:rsidRPr="00825F80">
              <w:rPr>
                <w:rFonts w:eastAsia="MS Mincho" w:cstheme="minorHAnsi"/>
              </w:rPr>
              <w:t>Secondary outcomes: CO-confirmed PPA at w</w:t>
            </w:r>
            <w:r w:rsidR="00AC6235">
              <w:rPr>
                <w:rFonts w:eastAsia="MS Mincho" w:cstheme="minorHAnsi"/>
              </w:rPr>
              <w:t>ee</w:t>
            </w:r>
            <w:r w:rsidRPr="00825F80">
              <w:rPr>
                <w:rFonts w:eastAsia="MS Mincho" w:cstheme="minorHAnsi"/>
              </w:rPr>
              <w:t>ks 12 and 24</w:t>
            </w:r>
            <w:r w:rsidR="00DE4F84">
              <w:rPr>
                <w:rFonts w:eastAsia="MS Mincho" w:cstheme="minorHAnsi"/>
              </w:rPr>
              <w:t>,</w:t>
            </w:r>
            <w:r w:rsidRPr="00825F80">
              <w:rPr>
                <w:rFonts w:eastAsia="MS Mincho" w:cstheme="minorHAnsi"/>
              </w:rPr>
              <w:t xml:space="preserve"> 50%+ reduction in CPD</w:t>
            </w:r>
            <w:r w:rsidR="00DE4F84">
              <w:rPr>
                <w:rFonts w:eastAsia="MS Mincho" w:cstheme="minorHAnsi"/>
              </w:rPr>
              <w:t>,</w:t>
            </w:r>
            <w:r w:rsidR="00836B64">
              <w:rPr>
                <w:rFonts w:eastAsia="MS Mincho" w:cstheme="minorHAnsi"/>
              </w:rPr>
              <w:t xml:space="preserve"> change in CPD from </w:t>
            </w:r>
            <w:r w:rsidRPr="00825F80">
              <w:rPr>
                <w:rFonts w:eastAsia="MS Mincho" w:cstheme="minorHAnsi"/>
              </w:rPr>
              <w:t xml:space="preserve">baseline. </w:t>
            </w:r>
          </w:p>
          <w:p w:rsidR="00825F80" w:rsidRDefault="00825F80" w:rsidP="00A71365">
            <w:pPr>
              <w:pStyle w:val="Tablewriting"/>
              <w:rPr>
                <w:rFonts w:eastAsia="MS Mincho" w:cstheme="minorHAnsi"/>
              </w:rPr>
            </w:pPr>
            <w:r w:rsidRPr="00825F80">
              <w:rPr>
                <w:rFonts w:eastAsia="MS Mincho" w:cstheme="minorHAnsi"/>
              </w:rPr>
              <w:t xml:space="preserve">Validation was by exhaled CO </w:t>
            </w:r>
            <w:r w:rsidR="00F875B7" w:rsidRPr="004E2D82">
              <w:rPr>
                <w:rFonts w:eastAsia="MS Mincho"/>
              </w:rPr>
              <w:t>≤</w:t>
            </w:r>
            <w:r w:rsidR="00F875B7" w:rsidRPr="00825F80">
              <w:rPr>
                <w:rFonts w:eastAsia="MS Mincho" w:cstheme="minorHAnsi"/>
              </w:rPr>
              <w:t xml:space="preserve"> </w:t>
            </w:r>
            <w:r w:rsidRPr="00825F80">
              <w:rPr>
                <w:rFonts w:eastAsia="MS Mincho" w:cstheme="minorHAnsi"/>
              </w:rPr>
              <w:t>10 ppm</w:t>
            </w:r>
          </w:p>
          <w:p w:rsidR="00F875B7" w:rsidRDefault="00F875B7" w:rsidP="00A71365">
            <w:pPr>
              <w:pStyle w:val="Tablewriting"/>
              <w:rPr>
                <w:rFonts w:eastAsia="MS Mincho" w:cstheme="minorHAnsi"/>
              </w:rPr>
            </w:pPr>
          </w:p>
          <w:p w:rsidR="00DE4F84" w:rsidRDefault="00F875B7" w:rsidP="00A71365">
            <w:pPr>
              <w:pStyle w:val="Tablewriting"/>
              <w:rPr>
                <w:rFonts w:eastAsia="MS Mincho" w:cstheme="minorHAnsi"/>
              </w:rPr>
            </w:pPr>
            <w:r w:rsidRPr="00DE4F84">
              <w:rPr>
                <w:rFonts w:eastAsia="MS Mincho" w:cstheme="minorHAnsi"/>
                <w:u w:val="single"/>
              </w:rPr>
              <w:t>Safety:</w:t>
            </w:r>
            <w:r w:rsidR="00DE4F84">
              <w:rPr>
                <w:rFonts w:eastAsia="MS Mincho" w:cstheme="minorHAnsi"/>
              </w:rPr>
              <w:t xml:space="preserve"> </w:t>
            </w:r>
            <w:r w:rsidR="00DE4F84" w:rsidRPr="00C213DB">
              <w:rPr>
                <w:rFonts w:eastAsia="MS Mincho" w:cstheme="minorHAnsi"/>
              </w:rPr>
              <w:t xml:space="preserve">Primary outcome: N of participants with adverse and serious adverse </w:t>
            </w:r>
            <w:r w:rsidR="00836B64">
              <w:rPr>
                <w:rFonts w:eastAsia="MS Mincho" w:cstheme="minorHAnsi"/>
              </w:rPr>
              <w:t xml:space="preserve">events from baseline to 30 days </w:t>
            </w:r>
            <w:r w:rsidR="00DE4F84" w:rsidRPr="00C213DB">
              <w:rPr>
                <w:rFonts w:eastAsia="MS Mincho" w:cstheme="minorHAnsi"/>
              </w:rPr>
              <w:t>after end of treatment (12 w</w:t>
            </w:r>
            <w:r w:rsidR="00DE4F84">
              <w:rPr>
                <w:rFonts w:eastAsia="MS Mincho" w:cstheme="minorHAnsi"/>
              </w:rPr>
              <w:t>ee</w:t>
            </w:r>
            <w:r w:rsidR="00DE4F84" w:rsidRPr="00C213DB">
              <w:rPr>
                <w:rFonts w:eastAsia="MS Mincho" w:cstheme="minorHAnsi"/>
              </w:rPr>
              <w:t>ks). N of participants with psychiatric adv</w:t>
            </w:r>
            <w:r w:rsidR="00836B64">
              <w:rPr>
                <w:rFonts w:eastAsia="MS Mincho" w:cstheme="minorHAnsi"/>
              </w:rPr>
              <w:t xml:space="preserve">erse events, including suicidal </w:t>
            </w:r>
            <w:r w:rsidR="00DE4F84" w:rsidRPr="00C213DB">
              <w:rPr>
                <w:rFonts w:eastAsia="MS Mincho" w:cstheme="minorHAnsi"/>
              </w:rPr>
              <w:t>ideation or behaviour</w:t>
            </w:r>
            <w:r w:rsidR="00DE4F84">
              <w:rPr>
                <w:rFonts w:eastAsia="MS Mincho" w:cstheme="minorHAnsi"/>
              </w:rPr>
              <w:t>.</w:t>
            </w:r>
          </w:p>
          <w:p w:rsidR="00DE4F84" w:rsidRDefault="00DE4F84" w:rsidP="00A71365">
            <w:pPr>
              <w:pStyle w:val="Tablewriting"/>
              <w:rPr>
                <w:rFonts w:eastAsia="MS Mincho" w:cstheme="minorHAnsi"/>
              </w:rPr>
            </w:pPr>
          </w:p>
          <w:p w:rsidR="00F875B7" w:rsidRPr="00017AE6" w:rsidRDefault="00F875B7" w:rsidP="00A71365">
            <w:pPr>
              <w:pStyle w:val="Tablewriting"/>
              <w:rPr>
                <w:rFonts w:eastAsia="MS Mincho" w:cstheme="minorHAnsi"/>
              </w:rPr>
            </w:pPr>
          </w:p>
        </w:tc>
      </w:tr>
    </w:tbl>
    <w:p w:rsidR="00F4151C" w:rsidRDefault="00F4151C" w:rsidP="00F4151C">
      <w:pPr>
        <w:pStyle w:val="TableFooter"/>
        <w:keepNext/>
      </w:pPr>
      <w:r>
        <w:lastRenderedPageBreak/>
        <w:t>Source: Cahill</w:t>
      </w:r>
      <w:r w:rsidRPr="00A66934">
        <w:t xml:space="preserve"> et al. (20</w:t>
      </w:r>
      <w:r>
        <w:t>16</w:t>
      </w:r>
      <w:r w:rsidRPr="00A66934">
        <w:t>)</w:t>
      </w:r>
    </w:p>
    <w:p w:rsidR="00A26796" w:rsidRDefault="00A26796" w:rsidP="00FB0E21">
      <w:pPr>
        <w:pStyle w:val="TableFooter"/>
        <w:keepNext/>
      </w:pPr>
      <w:r w:rsidRPr="005E4995">
        <w:rPr>
          <w:shd w:val="clear" w:color="auto" w:fill="F2F2F2" w:themeFill="background1" w:themeFillShade="F2"/>
        </w:rPr>
        <w:t>Shaded</w:t>
      </w:r>
      <w:r w:rsidRPr="00FB0E21">
        <w:t>= excluded studies</w:t>
      </w:r>
      <w:r w:rsidR="005E4995">
        <w:t>.</w:t>
      </w:r>
    </w:p>
    <w:p w:rsidR="00B567C0" w:rsidRDefault="00F4151C" w:rsidP="002F3FE8">
      <w:pPr>
        <w:pStyle w:val="TableFooter"/>
        <w:keepNext/>
        <w:rPr>
          <w:rFonts w:eastAsia="MS Mincho" w:cstheme="minorHAnsi"/>
          <w:szCs w:val="20"/>
        </w:rPr>
      </w:pPr>
      <w:r>
        <w:t xml:space="preserve">Abbreviations: NR= not reported; </w:t>
      </w:r>
      <w:r w:rsidRPr="009B042A">
        <w:t xml:space="preserve">PPA= point prevalence smoking abstinence; </w:t>
      </w:r>
      <w:r>
        <w:t xml:space="preserve">CA= continuous abstinence; </w:t>
      </w:r>
      <w:r w:rsidRPr="009B042A">
        <w:t xml:space="preserve">RCT= randomised controlled trial; N= total participants; TQD= target quit date; ITT= intention to treat; </w:t>
      </w:r>
      <w:r w:rsidRPr="006B2CDC">
        <w:t>LoS=</w:t>
      </w:r>
      <w:r>
        <w:t xml:space="preserve"> </w:t>
      </w:r>
      <w:r w:rsidR="009C7676" w:rsidRPr="009C7676">
        <w:t>length of stay</w:t>
      </w:r>
      <w:r w:rsidRPr="009B042A">
        <w:t xml:space="preserve">; CO= carbon monoxide; </w:t>
      </w:r>
      <w:r w:rsidRPr="00D66694">
        <w:rPr>
          <w:szCs w:val="18"/>
        </w:rPr>
        <w:t>ppm=</w:t>
      </w:r>
      <w:r w:rsidRPr="009B042A">
        <w:t xml:space="preserve"> </w:t>
      </w:r>
      <w:r>
        <w:t>part per million</w:t>
      </w:r>
      <w:r w:rsidRPr="009B042A">
        <w:t xml:space="preserve">; EoT= end of treatment; </w:t>
      </w:r>
      <w:r w:rsidR="00A4711F">
        <w:t xml:space="preserve">QSU-brief= Questionnaire of Smoking Urges; </w:t>
      </w:r>
      <w:r w:rsidR="00470A5E">
        <w:t xml:space="preserve">mCEQ = </w:t>
      </w:r>
      <w:r w:rsidR="00470A5E" w:rsidRPr="00037461">
        <w:t>modified Cigarette Evaluation Questionnaire</w:t>
      </w:r>
      <w:r w:rsidR="00470A5E">
        <w:t xml:space="preserve">; MNWS = </w:t>
      </w:r>
      <w:r w:rsidR="00470A5E" w:rsidRPr="008E0A8D">
        <w:t>Minnesota Tobacco Withdrawal Scale</w:t>
      </w:r>
      <w:r w:rsidR="00031247">
        <w:t xml:space="preserve">; </w:t>
      </w:r>
      <w:r>
        <w:t xml:space="preserve">FTND= </w:t>
      </w:r>
      <w:r w:rsidRPr="00BD70BE">
        <w:t>Fagerström test for nicotine dependence</w:t>
      </w:r>
      <w:r>
        <w:t>; CBT= cognitive behavioural therapy; MDD= major depressive disorder; MI= myocardial infarction; COPD= c</w:t>
      </w:r>
      <w:r w:rsidRPr="003D2386">
        <w:t>hronic obstructive pulmonary disease</w:t>
      </w:r>
      <w:r>
        <w:t>; SR= sustained release; AEs= adverse events; SAEs= serious adverse events.</w:t>
      </w:r>
    </w:p>
    <w:p w:rsidR="00B567C0" w:rsidRDefault="00B567C0" w:rsidP="00B567C0">
      <w:pPr>
        <w:pStyle w:val="Caption"/>
        <w:keepNext/>
      </w:pPr>
      <w:bookmarkStart w:id="375" w:name="_Ref54099834"/>
      <w:r>
        <w:t xml:space="preserve">Table </w:t>
      </w:r>
      <w:r w:rsidR="003C4A1C">
        <w:rPr>
          <w:noProof/>
        </w:rPr>
        <w:t>147</w:t>
      </w:r>
      <w:bookmarkEnd w:id="375"/>
      <w:r>
        <w:t xml:space="preserve">: </w:t>
      </w:r>
      <w:r w:rsidRPr="00AD6D3A">
        <w:t xml:space="preserve">Characteristics of studies included in </w:t>
      </w:r>
      <w:r>
        <w:t>Howes</w:t>
      </w:r>
      <w:r w:rsidRPr="00AD6D3A">
        <w:t xml:space="preserve"> et al. (20</w:t>
      </w:r>
      <w:r>
        <w:t>20</w:t>
      </w:r>
      <w:r w:rsidRPr="00AD6D3A">
        <w:t xml:space="preserve">), varenicline versus </w:t>
      </w:r>
      <w:r>
        <w:t>bupropion</w:t>
      </w:r>
    </w:p>
    <w:tbl>
      <w:tblPr>
        <w:tblStyle w:val="TableGrid"/>
        <w:tblW w:w="5270" w:type="pct"/>
        <w:tblLook w:val="04A0" w:firstRow="1" w:lastRow="0" w:firstColumn="1" w:lastColumn="0" w:noHBand="0" w:noVBand="1"/>
        <w:tblCaption w:val="Efficacy results of adalimumab trials (PASI 75 and DLQI)"/>
      </w:tblPr>
      <w:tblGrid>
        <w:gridCol w:w="1346"/>
        <w:gridCol w:w="1146"/>
        <w:gridCol w:w="1151"/>
        <w:gridCol w:w="1275"/>
        <w:gridCol w:w="3865"/>
        <w:gridCol w:w="3098"/>
        <w:gridCol w:w="2820"/>
      </w:tblGrid>
      <w:tr w:rsidR="00B567C0" w:rsidRPr="00061F78" w:rsidTr="00681E2E">
        <w:trPr>
          <w:trHeight w:val="299"/>
          <w:tblHeader/>
        </w:trPr>
        <w:tc>
          <w:tcPr>
            <w:tcW w:w="459" w:type="pct"/>
            <w:shd w:val="clear" w:color="auto" w:fill="BFBFBF" w:themeFill="background1" w:themeFillShade="BF"/>
            <w:tcMar>
              <w:left w:w="28" w:type="dxa"/>
              <w:right w:w="28" w:type="dxa"/>
            </w:tcMar>
          </w:tcPr>
          <w:p w:rsidR="00B567C0" w:rsidRPr="00061F78" w:rsidRDefault="00126B7B" w:rsidP="00A71365">
            <w:pPr>
              <w:pStyle w:val="Tableheading"/>
              <w:rPr>
                <w:rFonts w:eastAsia="MS Mincho"/>
              </w:rPr>
            </w:pPr>
            <w:r>
              <w:rPr>
                <w:rFonts w:eastAsia="MS Mincho"/>
              </w:rPr>
              <w:t>Study</w:t>
            </w:r>
          </w:p>
        </w:tc>
        <w:tc>
          <w:tcPr>
            <w:tcW w:w="388" w:type="pct"/>
            <w:shd w:val="clear" w:color="auto" w:fill="BFBFBF" w:themeFill="background1" w:themeFillShade="BF"/>
          </w:tcPr>
          <w:p w:rsidR="00B567C0" w:rsidRDefault="00B567C0" w:rsidP="00A71365">
            <w:pPr>
              <w:pStyle w:val="Tableheading"/>
              <w:jc w:val="center"/>
              <w:rPr>
                <w:rFonts w:eastAsia="MS Mincho"/>
              </w:rPr>
            </w:pPr>
            <w:r>
              <w:rPr>
                <w:rFonts w:eastAsia="MS Mincho"/>
              </w:rPr>
              <w:t>Study type</w:t>
            </w:r>
          </w:p>
        </w:tc>
        <w:tc>
          <w:tcPr>
            <w:tcW w:w="390" w:type="pct"/>
            <w:shd w:val="clear" w:color="auto" w:fill="BFBFBF" w:themeFill="background1" w:themeFillShade="BF"/>
          </w:tcPr>
          <w:p w:rsidR="00B567C0" w:rsidRDefault="00B567C0" w:rsidP="00A71365">
            <w:pPr>
              <w:pStyle w:val="Tableheading"/>
              <w:jc w:val="center"/>
              <w:rPr>
                <w:rFonts w:eastAsia="MS Mincho"/>
              </w:rPr>
            </w:pPr>
            <w:r>
              <w:rPr>
                <w:rFonts w:eastAsia="MS Mincho"/>
              </w:rPr>
              <w:t>Countries</w:t>
            </w:r>
          </w:p>
        </w:tc>
        <w:tc>
          <w:tcPr>
            <w:tcW w:w="432" w:type="pct"/>
            <w:shd w:val="clear" w:color="auto" w:fill="BFBFBF" w:themeFill="background1" w:themeFillShade="BF"/>
            <w:tcMar>
              <w:left w:w="28" w:type="dxa"/>
              <w:right w:w="28" w:type="dxa"/>
            </w:tcMar>
          </w:tcPr>
          <w:p w:rsidR="00B567C0" w:rsidRPr="00061F78" w:rsidRDefault="00B567C0" w:rsidP="00A71365">
            <w:pPr>
              <w:pStyle w:val="Tableheading"/>
              <w:jc w:val="center"/>
              <w:rPr>
                <w:rFonts w:eastAsia="MS Mincho"/>
              </w:rPr>
            </w:pPr>
            <w:r>
              <w:rPr>
                <w:rFonts w:eastAsia="MS Mincho"/>
              </w:rPr>
              <w:t>N</w:t>
            </w:r>
          </w:p>
        </w:tc>
        <w:tc>
          <w:tcPr>
            <w:tcW w:w="1316" w:type="pct"/>
            <w:shd w:val="clear" w:color="auto" w:fill="BFBFBF" w:themeFill="background1" w:themeFillShade="BF"/>
            <w:tcMar>
              <w:left w:w="28" w:type="dxa"/>
              <w:right w:w="28" w:type="dxa"/>
            </w:tcMar>
          </w:tcPr>
          <w:p w:rsidR="00B567C0" w:rsidRPr="00061F78" w:rsidRDefault="00B567C0" w:rsidP="00A71365">
            <w:pPr>
              <w:pStyle w:val="Tableheading"/>
              <w:jc w:val="center"/>
              <w:rPr>
                <w:rFonts w:eastAsia="MS Mincho"/>
              </w:rPr>
            </w:pPr>
            <w:r w:rsidRPr="00061F78">
              <w:rPr>
                <w:rFonts w:eastAsia="MS Mincho"/>
              </w:rPr>
              <w:t>P</w:t>
            </w:r>
            <w:r>
              <w:rPr>
                <w:rFonts w:eastAsia="MS Mincho"/>
              </w:rPr>
              <w:t>opulation</w:t>
            </w:r>
          </w:p>
        </w:tc>
        <w:tc>
          <w:tcPr>
            <w:tcW w:w="1055" w:type="pct"/>
            <w:shd w:val="clear" w:color="auto" w:fill="BFBFBF" w:themeFill="background1" w:themeFillShade="BF"/>
          </w:tcPr>
          <w:p w:rsidR="00B567C0" w:rsidRDefault="00B567C0" w:rsidP="00A71365">
            <w:pPr>
              <w:pStyle w:val="Tableheading"/>
              <w:jc w:val="center"/>
              <w:rPr>
                <w:rFonts w:eastAsia="MS Mincho"/>
              </w:rPr>
            </w:pPr>
            <w:r>
              <w:rPr>
                <w:rFonts w:eastAsia="MS Mincho"/>
              </w:rPr>
              <w:t>Intervention and comparator</w:t>
            </w:r>
          </w:p>
        </w:tc>
        <w:tc>
          <w:tcPr>
            <w:tcW w:w="960" w:type="pct"/>
            <w:shd w:val="clear" w:color="auto" w:fill="BFBFBF" w:themeFill="background1" w:themeFillShade="BF"/>
            <w:tcMar>
              <w:left w:w="28" w:type="dxa"/>
              <w:right w:w="28" w:type="dxa"/>
            </w:tcMar>
          </w:tcPr>
          <w:p w:rsidR="00B567C0" w:rsidRPr="00061F78" w:rsidRDefault="00B567C0" w:rsidP="00A71365">
            <w:pPr>
              <w:pStyle w:val="Tableheading"/>
              <w:jc w:val="center"/>
              <w:rPr>
                <w:rFonts w:eastAsia="MS Mincho"/>
              </w:rPr>
            </w:pPr>
            <w:r>
              <w:rPr>
                <w:rFonts w:eastAsia="MS Mincho"/>
              </w:rPr>
              <w:t>Outcomes</w:t>
            </w:r>
          </w:p>
        </w:tc>
      </w:tr>
      <w:tr w:rsidR="00B567C0" w:rsidRPr="00017AE6" w:rsidTr="00681E2E">
        <w:trPr>
          <w:trHeight w:val="99"/>
        </w:trPr>
        <w:tc>
          <w:tcPr>
            <w:tcW w:w="459" w:type="pct"/>
          </w:tcPr>
          <w:p w:rsidR="00B567C0" w:rsidRPr="00017AE6" w:rsidRDefault="00CC0073" w:rsidP="00A71365">
            <w:pPr>
              <w:pStyle w:val="Tablewriting"/>
              <w:rPr>
                <w:rFonts w:eastAsia="MS Mincho" w:cstheme="minorHAnsi"/>
              </w:rPr>
            </w:pPr>
            <w:r w:rsidRPr="00541274">
              <w:rPr>
                <w:rFonts w:eastAsia="MS Mincho"/>
              </w:rPr>
              <w:t xml:space="preserve">Anthenelli </w:t>
            </w:r>
            <w:r w:rsidR="00201FB4">
              <w:rPr>
                <w:rFonts w:eastAsia="MS Mincho"/>
              </w:rPr>
              <w:t>(</w:t>
            </w:r>
            <w:r w:rsidRPr="00541274">
              <w:rPr>
                <w:rFonts w:eastAsia="MS Mincho"/>
              </w:rPr>
              <w:t>2016</w:t>
            </w:r>
            <w:r w:rsidR="00201FB4">
              <w:rPr>
                <w:rFonts w:eastAsia="MS Mincho"/>
              </w:rPr>
              <w:t>)</w:t>
            </w:r>
          </w:p>
        </w:tc>
        <w:tc>
          <w:tcPr>
            <w:tcW w:w="388" w:type="pct"/>
          </w:tcPr>
          <w:p w:rsidR="00B567C0" w:rsidRPr="00017AE6" w:rsidRDefault="00201FB4" w:rsidP="00A71365">
            <w:pPr>
              <w:pStyle w:val="Tablewriting"/>
              <w:rPr>
                <w:rFonts w:eastAsia="MS Mincho" w:cstheme="minorHAnsi"/>
              </w:rPr>
            </w:pPr>
            <w:r>
              <w:rPr>
                <w:rFonts w:eastAsia="MS Mincho"/>
              </w:rPr>
              <w:t>RCT</w:t>
            </w:r>
          </w:p>
        </w:tc>
        <w:tc>
          <w:tcPr>
            <w:tcW w:w="390" w:type="pct"/>
          </w:tcPr>
          <w:p w:rsidR="00201FB4" w:rsidRPr="005A5FF0" w:rsidRDefault="00201FB4" w:rsidP="00A71365">
            <w:pPr>
              <w:pStyle w:val="Tablewriting"/>
              <w:rPr>
                <w:rFonts w:eastAsia="MS Mincho"/>
              </w:rPr>
            </w:pPr>
            <w:r w:rsidRPr="005A5FF0">
              <w:rPr>
                <w:rFonts w:eastAsia="MS Mincho"/>
              </w:rPr>
              <w:t>USA, Australia, Canada, Denmark, Finland, Germany, New Zealand, South Africa, Spain, Bulgaria,</w:t>
            </w:r>
          </w:p>
          <w:p w:rsidR="00B567C0" w:rsidRPr="00017AE6" w:rsidRDefault="00201FB4" w:rsidP="00A71365">
            <w:pPr>
              <w:pStyle w:val="Tablewriting"/>
              <w:rPr>
                <w:rFonts w:eastAsia="MS Mincho" w:cstheme="minorHAnsi"/>
              </w:rPr>
            </w:pPr>
            <w:r w:rsidRPr="005A5FF0">
              <w:rPr>
                <w:rFonts w:eastAsia="MS Mincho"/>
              </w:rPr>
              <w:t>Russian Federation, Slovakia, Argentina, Brazil, Chile, and Mexico</w:t>
            </w:r>
          </w:p>
        </w:tc>
        <w:tc>
          <w:tcPr>
            <w:tcW w:w="432" w:type="pct"/>
          </w:tcPr>
          <w:p w:rsidR="00201FB4" w:rsidRDefault="00201FB4" w:rsidP="00A71365">
            <w:pPr>
              <w:pStyle w:val="Tablewriting"/>
              <w:rPr>
                <w:rFonts w:eastAsia="MS Mincho"/>
              </w:rPr>
            </w:pPr>
            <w:r>
              <w:rPr>
                <w:rFonts w:eastAsia="MS Mincho"/>
              </w:rPr>
              <w:t>N= 8144</w:t>
            </w:r>
          </w:p>
          <w:p w:rsidR="00201FB4" w:rsidRDefault="00201FB4" w:rsidP="00A71365">
            <w:pPr>
              <w:pStyle w:val="Tablewriting"/>
              <w:rPr>
                <w:rFonts w:eastAsia="MS Mincho"/>
              </w:rPr>
            </w:pPr>
          </w:p>
          <w:p w:rsidR="00B567C0" w:rsidRPr="00017AE6" w:rsidRDefault="00201FB4" w:rsidP="00A71365">
            <w:pPr>
              <w:pStyle w:val="Tablewriting"/>
              <w:rPr>
                <w:rFonts w:eastAsia="MS Mincho" w:cstheme="minorHAnsi"/>
              </w:rPr>
            </w:pPr>
            <w:r w:rsidRPr="00290A75">
              <w:rPr>
                <w:rFonts w:eastAsia="MS Mincho"/>
                <w:u w:val="single"/>
              </w:rPr>
              <w:t>Special population:</w:t>
            </w:r>
            <w:r w:rsidRPr="007A4367">
              <w:rPr>
                <w:rFonts w:eastAsia="MS Mincho"/>
              </w:rPr>
              <w:t xml:space="preserve"> participants psychiatric cohort (</w:t>
            </w:r>
            <w:r>
              <w:rPr>
                <w:rFonts w:eastAsia="MS Mincho"/>
              </w:rPr>
              <w:t>n</w:t>
            </w:r>
            <w:r w:rsidRPr="007A4367">
              <w:rPr>
                <w:rFonts w:eastAsia="MS Mincho"/>
              </w:rPr>
              <w:t>= 4074)</w:t>
            </w:r>
            <w:r>
              <w:rPr>
                <w:rFonts w:eastAsia="MS Mincho"/>
              </w:rPr>
              <w:t xml:space="preserve">, </w:t>
            </w:r>
            <w:r w:rsidRPr="007A4367">
              <w:rPr>
                <w:rFonts w:eastAsia="MS Mincho"/>
              </w:rPr>
              <w:t>non-psychiatric cohort (</w:t>
            </w:r>
            <w:r>
              <w:rPr>
                <w:rFonts w:eastAsia="MS Mincho"/>
              </w:rPr>
              <w:t>n</w:t>
            </w:r>
            <w:r w:rsidRPr="007A4367">
              <w:rPr>
                <w:rFonts w:eastAsia="MS Mincho"/>
              </w:rPr>
              <w:t>= 3984)</w:t>
            </w:r>
          </w:p>
        </w:tc>
        <w:tc>
          <w:tcPr>
            <w:tcW w:w="1316" w:type="pct"/>
          </w:tcPr>
          <w:p w:rsidR="00201FB4" w:rsidRPr="007A4367" w:rsidRDefault="00201FB4" w:rsidP="00A71365">
            <w:pPr>
              <w:pStyle w:val="Tablewriting"/>
              <w:rPr>
                <w:rFonts w:eastAsia="MS Mincho"/>
              </w:rPr>
            </w:pPr>
            <w:r w:rsidRPr="007A4367">
              <w:rPr>
                <w:rFonts w:eastAsia="MS Mincho"/>
              </w:rPr>
              <w:t>56% female; average age 46.5; average cigarettes per day 21, mean FTND 5.8</w:t>
            </w:r>
          </w:p>
          <w:p w:rsidR="00201FB4" w:rsidRDefault="00201FB4" w:rsidP="00A71365">
            <w:pPr>
              <w:pStyle w:val="Tablewriting"/>
              <w:rPr>
                <w:rFonts w:eastAsia="MS Mincho"/>
              </w:rPr>
            </w:pPr>
          </w:p>
          <w:p w:rsidR="00201FB4" w:rsidRPr="007A4367" w:rsidRDefault="00201FB4" w:rsidP="00A71365">
            <w:pPr>
              <w:pStyle w:val="Tablewriting"/>
              <w:rPr>
                <w:rFonts w:eastAsia="MS Mincho"/>
              </w:rPr>
            </w:pPr>
            <w:r w:rsidRPr="007A4367">
              <w:rPr>
                <w:rFonts w:eastAsia="MS Mincho"/>
              </w:rPr>
              <w:t>Participants were included in the psychiatric cohort if they met</w:t>
            </w:r>
          </w:p>
          <w:p w:rsidR="00201FB4" w:rsidRPr="007A4367" w:rsidRDefault="00201FB4" w:rsidP="00A71365">
            <w:pPr>
              <w:pStyle w:val="Tablewriting"/>
              <w:rPr>
                <w:rFonts w:eastAsia="MS Mincho"/>
              </w:rPr>
            </w:pPr>
            <w:r w:rsidRPr="007A4367">
              <w:rPr>
                <w:rFonts w:eastAsia="MS Mincho"/>
              </w:rPr>
              <w:t>Diagnostic and Statistical Manual of DSM-IV-TR diagnostic</w:t>
            </w:r>
          </w:p>
          <w:p w:rsidR="00201FB4" w:rsidRPr="007A4367" w:rsidRDefault="00201FB4" w:rsidP="00A71365">
            <w:pPr>
              <w:pStyle w:val="Tablewriting"/>
              <w:rPr>
                <w:rFonts w:eastAsia="MS Mincho"/>
              </w:rPr>
            </w:pPr>
            <w:r w:rsidRPr="007A4367">
              <w:rPr>
                <w:rFonts w:eastAsia="MS Mincho"/>
              </w:rPr>
              <w:t>criteria for mood disorders including major depressive disorder or bipolar disorder; anxiety disorders</w:t>
            </w:r>
          </w:p>
          <w:p w:rsidR="00201FB4" w:rsidRPr="007A4367" w:rsidRDefault="00201FB4" w:rsidP="00A71365">
            <w:pPr>
              <w:pStyle w:val="Tablewriting"/>
              <w:rPr>
                <w:rFonts w:eastAsia="MS Mincho"/>
              </w:rPr>
            </w:pPr>
            <w:r w:rsidRPr="007A4367">
              <w:rPr>
                <w:rFonts w:eastAsia="MS Mincho"/>
              </w:rPr>
              <w:t>including panic disorder, with or without agoraphobia, post-traumatic stress disorder, obsessive-</w:t>
            </w:r>
          </w:p>
          <w:p w:rsidR="00201FB4" w:rsidRPr="007A4367" w:rsidRDefault="00201FB4" w:rsidP="00A71365">
            <w:pPr>
              <w:pStyle w:val="Tablewriting"/>
              <w:rPr>
                <w:rFonts w:eastAsia="MS Mincho"/>
              </w:rPr>
            </w:pPr>
            <w:r w:rsidRPr="007A4367">
              <w:rPr>
                <w:rFonts w:eastAsia="MS Mincho"/>
              </w:rPr>
              <w:t>compulsive disorder, social phobia, and generalized anxiety disorder; psychotic disorders including</w:t>
            </w:r>
          </w:p>
          <w:p w:rsidR="00201FB4" w:rsidRPr="007A4367" w:rsidRDefault="00201FB4" w:rsidP="00A71365">
            <w:pPr>
              <w:pStyle w:val="Tablewriting"/>
              <w:rPr>
                <w:rFonts w:eastAsia="MS Mincho"/>
              </w:rPr>
            </w:pPr>
            <w:r w:rsidRPr="007A4367">
              <w:rPr>
                <w:rFonts w:eastAsia="MS Mincho"/>
              </w:rPr>
              <w:t>schizophrenia and schizoaffective disorders; or borderline personality disorder. Participants in the</w:t>
            </w:r>
          </w:p>
          <w:p w:rsidR="00B567C0" w:rsidRPr="00017AE6" w:rsidRDefault="00201FB4" w:rsidP="00A71365">
            <w:pPr>
              <w:pStyle w:val="Tablewriting"/>
              <w:rPr>
                <w:rFonts w:eastAsia="MS Mincho" w:cstheme="minorHAnsi"/>
              </w:rPr>
            </w:pPr>
            <w:r w:rsidRPr="007A4367">
              <w:rPr>
                <w:rFonts w:eastAsia="MS Mincho"/>
              </w:rPr>
              <w:t>non-psychiatric cohort had no confirmed history of DSM-IV-TR Axis I or II disorders.</w:t>
            </w:r>
          </w:p>
        </w:tc>
        <w:tc>
          <w:tcPr>
            <w:tcW w:w="1055" w:type="pct"/>
          </w:tcPr>
          <w:p w:rsidR="00201FB4" w:rsidRPr="00210580" w:rsidRDefault="00201FB4" w:rsidP="00C324F3">
            <w:pPr>
              <w:pStyle w:val="Tablewriting"/>
              <w:numPr>
                <w:ilvl w:val="0"/>
                <w:numId w:val="9"/>
              </w:numPr>
              <w:rPr>
                <w:rFonts w:eastAsia="MS Mincho"/>
              </w:rPr>
            </w:pPr>
            <w:r w:rsidRPr="00210580">
              <w:rPr>
                <w:rFonts w:eastAsia="MS Mincho"/>
              </w:rPr>
              <w:t>Bupropion sustained release and placebo varenicline and placebo nicotine patch</w:t>
            </w:r>
            <w:r>
              <w:rPr>
                <w:rFonts w:eastAsia="MS Mincho"/>
              </w:rPr>
              <w:t xml:space="preserve"> (</w:t>
            </w:r>
            <w:r w:rsidRPr="00210580">
              <w:rPr>
                <w:rFonts w:eastAsia="MS Mincho"/>
              </w:rPr>
              <w:t>150 mg twice a day</w:t>
            </w:r>
            <w:r>
              <w:rPr>
                <w:rFonts w:eastAsia="MS Mincho"/>
              </w:rPr>
              <w:t xml:space="preserve"> </w:t>
            </w:r>
            <w:r w:rsidRPr="00210580">
              <w:rPr>
                <w:rFonts w:eastAsia="MS Mincho"/>
              </w:rPr>
              <w:t>for 12 weeks</w:t>
            </w:r>
            <w:r>
              <w:rPr>
                <w:rFonts w:eastAsia="MS Mincho"/>
              </w:rPr>
              <w:t>)</w:t>
            </w:r>
          </w:p>
          <w:p w:rsidR="00201FB4" w:rsidRPr="00072AD3" w:rsidRDefault="00201FB4" w:rsidP="00C324F3">
            <w:pPr>
              <w:pStyle w:val="Tablewriting"/>
              <w:numPr>
                <w:ilvl w:val="0"/>
                <w:numId w:val="9"/>
              </w:numPr>
              <w:rPr>
                <w:rFonts w:eastAsia="MS Mincho"/>
              </w:rPr>
            </w:pPr>
            <w:r w:rsidRPr="00210580">
              <w:rPr>
                <w:rFonts w:eastAsia="MS Mincho"/>
              </w:rPr>
              <w:t>Varenicline and placebo bupropion sustained release and placebo nicotine patch</w:t>
            </w:r>
            <w:r>
              <w:rPr>
                <w:rFonts w:eastAsia="MS Mincho"/>
              </w:rPr>
              <w:t xml:space="preserve"> (</w:t>
            </w:r>
            <w:r w:rsidRPr="00210580">
              <w:rPr>
                <w:rFonts w:eastAsia="MS Mincho"/>
              </w:rPr>
              <w:t>1 mg twice a day</w:t>
            </w:r>
            <w:r>
              <w:rPr>
                <w:rFonts w:eastAsia="MS Mincho"/>
              </w:rPr>
              <w:t xml:space="preserve"> </w:t>
            </w:r>
            <w:r w:rsidRPr="00072AD3">
              <w:rPr>
                <w:rFonts w:eastAsia="MS Mincho"/>
              </w:rPr>
              <w:t>for 12 weeks</w:t>
            </w:r>
            <w:r>
              <w:rPr>
                <w:rFonts w:eastAsia="MS Mincho"/>
              </w:rPr>
              <w:t>)</w:t>
            </w:r>
          </w:p>
          <w:p w:rsidR="00201FB4" w:rsidRPr="00072AD3" w:rsidRDefault="00201FB4" w:rsidP="00C324F3">
            <w:pPr>
              <w:pStyle w:val="Tablewriting"/>
              <w:numPr>
                <w:ilvl w:val="0"/>
                <w:numId w:val="9"/>
              </w:numPr>
              <w:rPr>
                <w:rFonts w:eastAsia="MS Mincho"/>
              </w:rPr>
            </w:pPr>
            <w:r w:rsidRPr="00210580">
              <w:rPr>
                <w:rFonts w:eastAsia="MS Mincho"/>
              </w:rPr>
              <w:t>Transdermal nicotine patch and placebo varenicline and placebo bupropion sustained release</w:t>
            </w:r>
            <w:r>
              <w:rPr>
                <w:rFonts w:eastAsia="MS Mincho"/>
              </w:rPr>
              <w:t xml:space="preserve"> (</w:t>
            </w:r>
            <w:r w:rsidRPr="00210580">
              <w:rPr>
                <w:rFonts w:eastAsia="MS Mincho"/>
              </w:rPr>
              <w:t>21 mg</w:t>
            </w:r>
            <w:r>
              <w:rPr>
                <w:rFonts w:eastAsia="MS Mincho"/>
              </w:rPr>
              <w:t xml:space="preserve"> </w:t>
            </w:r>
            <w:r w:rsidRPr="00072AD3">
              <w:rPr>
                <w:rFonts w:eastAsia="MS Mincho"/>
              </w:rPr>
              <w:t>per day with taper for 12 weeks</w:t>
            </w:r>
            <w:r>
              <w:rPr>
                <w:rFonts w:eastAsia="MS Mincho"/>
              </w:rPr>
              <w:t>)</w:t>
            </w:r>
          </w:p>
          <w:p w:rsidR="00201FB4" w:rsidRPr="00072AD3" w:rsidRDefault="00201FB4" w:rsidP="00C324F3">
            <w:pPr>
              <w:pStyle w:val="Tablewriting"/>
              <w:numPr>
                <w:ilvl w:val="0"/>
                <w:numId w:val="9"/>
              </w:numPr>
              <w:rPr>
                <w:rFonts w:eastAsia="MS Mincho"/>
              </w:rPr>
            </w:pPr>
            <w:r w:rsidRPr="00210580">
              <w:rPr>
                <w:rFonts w:eastAsia="MS Mincho"/>
              </w:rPr>
              <w:t>Placebo bupropion sustained release and placebo varenicline and placebo nicotine patch</w:t>
            </w:r>
            <w:r>
              <w:rPr>
                <w:rFonts w:eastAsia="MS Mincho"/>
              </w:rPr>
              <w:t xml:space="preserve"> f</w:t>
            </w:r>
            <w:r w:rsidRPr="00210580">
              <w:rPr>
                <w:rFonts w:eastAsia="MS Mincho"/>
              </w:rPr>
              <w:t>or 12</w:t>
            </w:r>
            <w:r>
              <w:rPr>
                <w:rFonts w:eastAsia="MS Mincho"/>
              </w:rPr>
              <w:t xml:space="preserve"> </w:t>
            </w:r>
            <w:r w:rsidRPr="00072AD3">
              <w:rPr>
                <w:rFonts w:eastAsia="MS Mincho"/>
              </w:rPr>
              <w:t>weeks.</w:t>
            </w:r>
          </w:p>
          <w:p w:rsidR="00201FB4" w:rsidRDefault="00201FB4" w:rsidP="00A71365">
            <w:pPr>
              <w:pStyle w:val="Tablewriting"/>
              <w:rPr>
                <w:rFonts w:eastAsia="MS Mincho"/>
              </w:rPr>
            </w:pPr>
          </w:p>
          <w:p w:rsidR="00201FB4" w:rsidRPr="00210580" w:rsidRDefault="00201FB4" w:rsidP="00A71365">
            <w:pPr>
              <w:pStyle w:val="Tablewriting"/>
              <w:rPr>
                <w:rFonts w:eastAsia="MS Mincho"/>
              </w:rPr>
            </w:pPr>
            <w:r w:rsidRPr="0096450D">
              <w:rPr>
                <w:rFonts w:eastAsia="MS Mincho"/>
                <w:u w:val="single"/>
              </w:rPr>
              <w:t>Common components:</w:t>
            </w:r>
            <w:r w:rsidRPr="00210580">
              <w:rPr>
                <w:rFonts w:eastAsia="MS Mincho"/>
              </w:rPr>
              <w:t xml:space="preserve"> smoking cessation counselling consisting of 10-minute sessions at each of the</w:t>
            </w:r>
          </w:p>
          <w:p w:rsidR="00B567C0" w:rsidRPr="00017AE6" w:rsidRDefault="00201FB4" w:rsidP="00A71365">
            <w:pPr>
              <w:pStyle w:val="Tablewriting"/>
              <w:rPr>
                <w:rFonts w:eastAsia="MS Mincho" w:cstheme="minorHAnsi"/>
              </w:rPr>
            </w:pPr>
            <w:r w:rsidRPr="00210580">
              <w:rPr>
                <w:rFonts w:eastAsia="MS Mincho"/>
              </w:rPr>
              <w:lastRenderedPageBreak/>
              <w:t>15 clinic visits, totalling 2 hours and 30 minutes</w:t>
            </w:r>
          </w:p>
        </w:tc>
        <w:tc>
          <w:tcPr>
            <w:tcW w:w="960" w:type="pct"/>
          </w:tcPr>
          <w:p w:rsidR="00201FB4" w:rsidRPr="00F270CA" w:rsidRDefault="00201FB4" w:rsidP="00A71365">
            <w:pPr>
              <w:pStyle w:val="Tablewriting"/>
              <w:rPr>
                <w:rFonts w:eastAsia="MS Mincho"/>
              </w:rPr>
            </w:pPr>
            <w:r w:rsidRPr="004969C1">
              <w:rPr>
                <w:rFonts w:eastAsia="MS Mincho"/>
                <w:u w:val="single"/>
              </w:rPr>
              <w:lastRenderedPageBreak/>
              <w:t>Efficacy:</w:t>
            </w:r>
            <w:r w:rsidRPr="00F270CA">
              <w:rPr>
                <w:rFonts w:eastAsia="MS Mincho"/>
              </w:rPr>
              <w:t xml:space="preserve"> continuous abstinence from week 9 to week 24 post-quit date (validated by CO</w:t>
            </w:r>
          </w:p>
          <w:p w:rsidR="00201FB4" w:rsidRPr="00F270CA" w:rsidRDefault="00201FB4" w:rsidP="00A71365">
            <w:pPr>
              <w:pStyle w:val="Tablewriting"/>
              <w:rPr>
                <w:rFonts w:eastAsia="MS Mincho"/>
              </w:rPr>
            </w:pPr>
            <w:r w:rsidRPr="00D96BA4">
              <w:rPr>
                <w:rFonts w:eastAsia="MS Mincho"/>
              </w:rPr>
              <w:t>≤</w:t>
            </w:r>
            <w:r w:rsidRPr="00F270CA">
              <w:rPr>
                <w:rFonts w:eastAsia="MS Mincho"/>
              </w:rPr>
              <w:t xml:space="preserve"> 10 ppm)</w:t>
            </w:r>
          </w:p>
          <w:p w:rsidR="00B567C0" w:rsidRPr="00017AE6" w:rsidRDefault="00201FB4" w:rsidP="00A71365">
            <w:pPr>
              <w:pStyle w:val="Tablewriting"/>
              <w:rPr>
                <w:rFonts w:eastAsia="MS Mincho" w:cstheme="minorHAnsi"/>
              </w:rPr>
            </w:pPr>
            <w:r w:rsidRPr="004969C1">
              <w:rPr>
                <w:rFonts w:eastAsia="MS Mincho"/>
                <w:u w:val="single"/>
              </w:rPr>
              <w:t>Safety:</w:t>
            </w:r>
            <w:r w:rsidRPr="00F270CA">
              <w:rPr>
                <w:rFonts w:eastAsia="MS Mincho"/>
              </w:rPr>
              <w:t xml:space="preserve"> measured within 12-week treatment period, or for 30 days thereafter</w:t>
            </w:r>
          </w:p>
        </w:tc>
      </w:tr>
      <w:tr w:rsidR="009232F3" w:rsidRPr="00017AE6" w:rsidTr="00681E2E">
        <w:trPr>
          <w:trHeight w:val="99"/>
        </w:trPr>
        <w:tc>
          <w:tcPr>
            <w:tcW w:w="459" w:type="pct"/>
          </w:tcPr>
          <w:p w:rsidR="009232F3" w:rsidRPr="00017AE6" w:rsidRDefault="00A45F6E" w:rsidP="00A71365">
            <w:pPr>
              <w:pStyle w:val="Tablewriting"/>
              <w:rPr>
                <w:rFonts w:eastAsia="MS Mincho" w:cstheme="minorHAnsi"/>
              </w:rPr>
            </w:pPr>
            <w:r w:rsidRPr="00CD7490">
              <w:rPr>
                <w:rFonts w:eastAsia="MS Mincho" w:cstheme="minorHAnsi"/>
              </w:rPr>
              <w:t>Benli 2017</w:t>
            </w:r>
          </w:p>
        </w:tc>
        <w:tc>
          <w:tcPr>
            <w:tcW w:w="388" w:type="pct"/>
          </w:tcPr>
          <w:p w:rsidR="009232F3" w:rsidRPr="00017AE6" w:rsidRDefault="00FF2D5C" w:rsidP="00A71365">
            <w:pPr>
              <w:pStyle w:val="Tablewriting"/>
              <w:rPr>
                <w:rFonts w:eastAsia="MS Mincho" w:cstheme="minorHAnsi"/>
              </w:rPr>
            </w:pPr>
            <w:r>
              <w:rPr>
                <w:rFonts w:eastAsia="MS Mincho" w:cstheme="minorHAnsi"/>
              </w:rPr>
              <w:t>RCT</w:t>
            </w:r>
          </w:p>
        </w:tc>
        <w:tc>
          <w:tcPr>
            <w:tcW w:w="390" w:type="pct"/>
          </w:tcPr>
          <w:p w:rsidR="009232F3" w:rsidRPr="00017AE6" w:rsidRDefault="00FF2D5C" w:rsidP="00A71365">
            <w:pPr>
              <w:pStyle w:val="Tablewriting"/>
              <w:rPr>
                <w:rFonts w:eastAsia="MS Mincho" w:cstheme="minorHAnsi"/>
              </w:rPr>
            </w:pPr>
            <w:r>
              <w:rPr>
                <w:rFonts w:eastAsia="MS Mincho" w:cstheme="minorHAnsi"/>
              </w:rPr>
              <w:t>Turkey</w:t>
            </w:r>
          </w:p>
        </w:tc>
        <w:tc>
          <w:tcPr>
            <w:tcW w:w="432" w:type="pct"/>
          </w:tcPr>
          <w:p w:rsidR="009232F3" w:rsidRPr="00017AE6" w:rsidRDefault="00FF2D5C" w:rsidP="00A71365">
            <w:pPr>
              <w:pStyle w:val="Tablewriting"/>
              <w:rPr>
                <w:rFonts w:eastAsia="MS Mincho" w:cstheme="minorHAnsi"/>
              </w:rPr>
            </w:pPr>
            <w:r w:rsidRPr="00CC5361">
              <w:rPr>
                <w:rFonts w:eastAsia="MS Mincho" w:cstheme="minorHAnsi"/>
              </w:rPr>
              <w:t>N=</w:t>
            </w:r>
            <w:r w:rsidR="0028733A">
              <w:rPr>
                <w:rFonts w:eastAsia="MS Mincho" w:cstheme="minorHAnsi"/>
              </w:rPr>
              <w:t>405</w:t>
            </w:r>
            <w:r w:rsidR="00B05300">
              <w:rPr>
                <w:rFonts w:eastAsia="MS Mincho" w:cstheme="minorHAnsi"/>
              </w:rPr>
              <w:t xml:space="preserve"> n=</w:t>
            </w:r>
            <w:r w:rsidR="00B65BE2">
              <w:rPr>
                <w:rFonts w:eastAsia="MS Mincho" w:cstheme="minorHAnsi"/>
              </w:rPr>
              <w:t>244 (varenicline, n=161 (bupropion)</w:t>
            </w:r>
          </w:p>
        </w:tc>
        <w:tc>
          <w:tcPr>
            <w:tcW w:w="1316" w:type="pct"/>
          </w:tcPr>
          <w:p w:rsidR="009232F3" w:rsidRPr="00017AE6" w:rsidRDefault="00FF2D5C" w:rsidP="00A71365">
            <w:pPr>
              <w:pStyle w:val="Tablewriting"/>
              <w:rPr>
                <w:rFonts w:eastAsia="MS Mincho" w:cstheme="minorHAnsi"/>
              </w:rPr>
            </w:pPr>
            <w:r w:rsidRPr="00FF2D5C">
              <w:rPr>
                <w:rFonts w:eastAsia="MS Mincho" w:cstheme="minorHAnsi"/>
              </w:rPr>
              <w:t>An unspecified number of participants were randomised. 405 participants were analysed. 17.5% female</w:t>
            </w:r>
            <w:r w:rsidR="00213489">
              <w:rPr>
                <w:rFonts w:eastAsia="MS Mincho" w:cstheme="minorHAnsi"/>
              </w:rPr>
              <w:t>,</w:t>
            </w:r>
            <w:r>
              <w:rPr>
                <w:rFonts w:eastAsia="MS Mincho" w:cstheme="minorHAnsi"/>
              </w:rPr>
              <w:t xml:space="preserve"> </w:t>
            </w:r>
            <w:r w:rsidRPr="00FF2D5C">
              <w:rPr>
                <w:rFonts w:eastAsia="MS Mincho" w:cstheme="minorHAnsi"/>
              </w:rPr>
              <w:t>average age 35.2</w:t>
            </w:r>
            <w:r w:rsidR="00213489">
              <w:rPr>
                <w:rFonts w:eastAsia="MS Mincho" w:cstheme="minorHAnsi"/>
              </w:rPr>
              <w:t>,</w:t>
            </w:r>
            <w:r w:rsidRPr="00FF2D5C">
              <w:rPr>
                <w:rFonts w:eastAsia="MS Mincho" w:cstheme="minorHAnsi"/>
              </w:rPr>
              <w:t xml:space="preserve"> average age 35.2</w:t>
            </w:r>
            <w:r w:rsidR="00213489">
              <w:rPr>
                <w:rFonts w:eastAsia="MS Mincho" w:cstheme="minorHAnsi"/>
              </w:rPr>
              <w:t>,</w:t>
            </w:r>
            <w:r w:rsidRPr="00FF2D5C">
              <w:rPr>
                <w:rFonts w:eastAsia="MS Mincho" w:cstheme="minorHAnsi"/>
              </w:rPr>
              <w:t xml:space="preserve"> average cigarettes per day 23</w:t>
            </w:r>
            <w:r w:rsidR="00213489">
              <w:rPr>
                <w:rFonts w:eastAsia="MS Mincho" w:cstheme="minorHAnsi"/>
              </w:rPr>
              <w:t>,</w:t>
            </w:r>
            <w:r w:rsidRPr="00FF2D5C">
              <w:rPr>
                <w:rFonts w:eastAsia="MS Mincho" w:cstheme="minorHAnsi"/>
              </w:rPr>
              <w:t xml:space="preserve"> mean FTND 6.3</w:t>
            </w:r>
            <w:r>
              <w:rPr>
                <w:rFonts w:eastAsia="MS Mincho" w:cstheme="minorHAnsi"/>
              </w:rPr>
              <w:t>.</w:t>
            </w:r>
          </w:p>
        </w:tc>
        <w:tc>
          <w:tcPr>
            <w:tcW w:w="1055" w:type="pct"/>
          </w:tcPr>
          <w:p w:rsidR="00C02E5C" w:rsidRDefault="00C02E5C" w:rsidP="00C324F3">
            <w:pPr>
              <w:pStyle w:val="Tablewriting"/>
              <w:numPr>
                <w:ilvl w:val="0"/>
                <w:numId w:val="73"/>
              </w:numPr>
              <w:rPr>
                <w:rFonts w:eastAsia="MS Mincho" w:cstheme="minorHAnsi"/>
              </w:rPr>
            </w:pPr>
            <w:r w:rsidRPr="00C02E5C">
              <w:rPr>
                <w:rFonts w:eastAsia="MS Mincho" w:cstheme="minorHAnsi"/>
              </w:rPr>
              <w:t>Bupropion</w:t>
            </w:r>
            <w:r>
              <w:rPr>
                <w:rFonts w:eastAsia="MS Mincho" w:cstheme="minorHAnsi"/>
              </w:rPr>
              <w:t>; p</w:t>
            </w:r>
            <w:r w:rsidRPr="00C02E5C">
              <w:rPr>
                <w:rFonts w:eastAsia="MS Mincho" w:cstheme="minorHAnsi"/>
              </w:rPr>
              <w:t>rovided for 3 months</w:t>
            </w:r>
            <w:r>
              <w:rPr>
                <w:rFonts w:eastAsia="MS Mincho" w:cstheme="minorHAnsi"/>
              </w:rPr>
              <w:t>.</w:t>
            </w:r>
          </w:p>
          <w:p w:rsidR="00C02E5C" w:rsidRPr="00C02E5C" w:rsidRDefault="00C02E5C" w:rsidP="00C324F3">
            <w:pPr>
              <w:pStyle w:val="Tablewriting"/>
              <w:numPr>
                <w:ilvl w:val="0"/>
                <w:numId w:val="73"/>
              </w:numPr>
              <w:rPr>
                <w:rFonts w:eastAsia="MS Mincho" w:cstheme="minorHAnsi"/>
              </w:rPr>
            </w:pPr>
            <w:r w:rsidRPr="00C02E5C">
              <w:rPr>
                <w:rFonts w:eastAsia="MS Mincho" w:cstheme="minorHAnsi"/>
              </w:rPr>
              <w:t>Varenicline</w:t>
            </w:r>
            <w:r>
              <w:rPr>
                <w:rFonts w:eastAsia="MS Mincho" w:cstheme="minorHAnsi"/>
              </w:rPr>
              <w:t>; p</w:t>
            </w:r>
            <w:r w:rsidRPr="00C02E5C">
              <w:rPr>
                <w:rFonts w:eastAsia="MS Mincho" w:cstheme="minorHAnsi"/>
              </w:rPr>
              <w:t>rovided for 3 months</w:t>
            </w:r>
            <w:r>
              <w:rPr>
                <w:rFonts w:eastAsia="MS Mincho" w:cstheme="minorHAnsi"/>
              </w:rPr>
              <w:t>.</w:t>
            </w:r>
          </w:p>
          <w:p w:rsidR="00C02E5C" w:rsidRDefault="00C02E5C" w:rsidP="00A71365">
            <w:pPr>
              <w:pStyle w:val="Tablewriting"/>
              <w:rPr>
                <w:rFonts w:eastAsia="MS Mincho" w:cstheme="minorHAnsi"/>
              </w:rPr>
            </w:pPr>
          </w:p>
          <w:p w:rsidR="009232F3" w:rsidRPr="00017AE6" w:rsidRDefault="00C02E5C" w:rsidP="00A71365">
            <w:pPr>
              <w:pStyle w:val="Tablewriting"/>
              <w:rPr>
                <w:rFonts w:eastAsia="MS Mincho" w:cstheme="minorHAnsi"/>
              </w:rPr>
            </w:pPr>
            <w:r w:rsidRPr="00C02E5C">
              <w:rPr>
                <w:rFonts w:eastAsia="MS Mincho" w:cstheme="minorHAnsi"/>
                <w:u w:val="single"/>
              </w:rPr>
              <w:t xml:space="preserve">Common components: </w:t>
            </w:r>
            <w:r w:rsidRPr="00C02E5C">
              <w:rPr>
                <w:rFonts w:eastAsia="MS Mincho" w:cstheme="minorHAnsi"/>
              </w:rPr>
              <w:t>behavioural therapy support with a biopsychosocial</w:t>
            </w:r>
            <w:r>
              <w:rPr>
                <w:rFonts w:eastAsia="MS Mincho" w:cstheme="minorHAnsi"/>
              </w:rPr>
              <w:t xml:space="preserve"> </w:t>
            </w:r>
            <w:r w:rsidRPr="00C02E5C">
              <w:rPr>
                <w:rFonts w:eastAsia="MS Mincho" w:cstheme="minorHAnsi"/>
              </w:rPr>
              <w:t>approach</w:t>
            </w:r>
            <w:r>
              <w:rPr>
                <w:rFonts w:eastAsia="MS Mincho" w:cstheme="minorHAnsi"/>
              </w:rPr>
              <w:t>.</w:t>
            </w:r>
          </w:p>
        </w:tc>
        <w:tc>
          <w:tcPr>
            <w:tcW w:w="960" w:type="pct"/>
          </w:tcPr>
          <w:p w:rsidR="00EE5EC0" w:rsidRDefault="00EE5EC0" w:rsidP="00A71365">
            <w:pPr>
              <w:pStyle w:val="Tablewriting"/>
              <w:rPr>
                <w:rFonts w:eastAsia="MS Mincho" w:cstheme="minorHAnsi"/>
              </w:rPr>
            </w:pPr>
            <w:r w:rsidRPr="00EE5EC0">
              <w:rPr>
                <w:rFonts w:eastAsia="MS Mincho" w:cstheme="minorHAnsi"/>
                <w:u w:val="single"/>
              </w:rPr>
              <w:t>Efficacy:</w:t>
            </w:r>
            <w:r>
              <w:rPr>
                <w:rFonts w:eastAsia="MS Mincho" w:cstheme="minorHAnsi"/>
              </w:rPr>
              <w:t xml:space="preserve"> </w:t>
            </w:r>
            <w:r w:rsidRPr="00EE5EC0">
              <w:rPr>
                <w:rFonts w:eastAsia="MS Mincho" w:cstheme="minorHAnsi"/>
              </w:rPr>
              <w:t xml:space="preserve">Smoking cessation: 7-day PPA at 12 months. </w:t>
            </w:r>
          </w:p>
          <w:p w:rsidR="009232F3" w:rsidRDefault="00EE5EC0" w:rsidP="00A71365">
            <w:pPr>
              <w:pStyle w:val="Tablewriting"/>
              <w:rPr>
                <w:rFonts w:eastAsia="MS Mincho" w:cstheme="minorHAnsi"/>
              </w:rPr>
            </w:pPr>
            <w:r w:rsidRPr="00EE5EC0">
              <w:rPr>
                <w:rFonts w:eastAsia="MS Mincho" w:cstheme="minorHAnsi"/>
              </w:rPr>
              <w:t xml:space="preserve">Validated by a CO level </w:t>
            </w:r>
            <w:r w:rsidR="00AF0F9D" w:rsidRPr="00D96BA4">
              <w:rPr>
                <w:rFonts w:eastAsia="MS Mincho"/>
              </w:rPr>
              <w:t>≤</w:t>
            </w:r>
            <w:r w:rsidRPr="00EE5EC0">
              <w:rPr>
                <w:rFonts w:eastAsia="MS Mincho" w:cstheme="minorHAnsi"/>
              </w:rPr>
              <w:t xml:space="preserve"> 5 ppm</w:t>
            </w:r>
          </w:p>
          <w:p w:rsidR="00EE5EC0" w:rsidRDefault="00EE5EC0" w:rsidP="00A71365">
            <w:pPr>
              <w:pStyle w:val="Tablewriting"/>
              <w:rPr>
                <w:rFonts w:eastAsia="MS Mincho" w:cstheme="minorHAnsi"/>
              </w:rPr>
            </w:pPr>
          </w:p>
          <w:p w:rsidR="009232F3" w:rsidRPr="00EE5EC0" w:rsidRDefault="00EE5EC0" w:rsidP="00A71365">
            <w:pPr>
              <w:pStyle w:val="Tablewriting"/>
              <w:rPr>
                <w:rFonts w:eastAsia="MS Mincho" w:cstheme="minorHAnsi"/>
                <w:u w:val="single"/>
              </w:rPr>
            </w:pPr>
            <w:r w:rsidRPr="00EE5EC0">
              <w:rPr>
                <w:rFonts w:eastAsia="MS Mincho" w:cstheme="minorHAnsi"/>
                <w:u w:val="single"/>
              </w:rPr>
              <w:t xml:space="preserve">Safety: </w:t>
            </w:r>
            <w:r w:rsidRPr="00F61CD6">
              <w:rPr>
                <w:rFonts w:eastAsia="MS Mincho" w:cstheme="minorHAnsi"/>
              </w:rPr>
              <w:t>N</w:t>
            </w:r>
            <w:r w:rsidR="00F61CD6" w:rsidRPr="00F61CD6">
              <w:rPr>
                <w:rFonts w:eastAsia="MS Mincho" w:cstheme="minorHAnsi"/>
              </w:rPr>
              <w:t>R</w:t>
            </w:r>
          </w:p>
        </w:tc>
      </w:tr>
      <w:tr w:rsidR="009232F3" w:rsidRPr="00017AE6" w:rsidTr="00681E2E">
        <w:trPr>
          <w:trHeight w:val="99"/>
        </w:trPr>
        <w:tc>
          <w:tcPr>
            <w:tcW w:w="459" w:type="pct"/>
          </w:tcPr>
          <w:p w:rsidR="009232F3" w:rsidRPr="00017AE6" w:rsidRDefault="00CD7490" w:rsidP="00A71365">
            <w:pPr>
              <w:pStyle w:val="Tablewriting"/>
              <w:rPr>
                <w:rFonts w:eastAsia="MS Mincho" w:cstheme="minorHAnsi"/>
              </w:rPr>
            </w:pPr>
            <w:r w:rsidRPr="00CD7490">
              <w:rPr>
                <w:rFonts w:eastAsia="MS Mincho" w:cstheme="minorHAnsi"/>
              </w:rPr>
              <w:t xml:space="preserve">Cinciripini </w:t>
            </w:r>
            <w:r w:rsidR="00BE59C3">
              <w:rPr>
                <w:rFonts w:eastAsia="MS Mincho" w:cstheme="minorHAnsi"/>
              </w:rPr>
              <w:t>(</w:t>
            </w:r>
            <w:r w:rsidRPr="00CD7490">
              <w:rPr>
                <w:rFonts w:eastAsia="MS Mincho" w:cstheme="minorHAnsi"/>
              </w:rPr>
              <w:t>2013</w:t>
            </w:r>
            <w:r w:rsidR="00BE59C3">
              <w:rPr>
                <w:rFonts w:eastAsia="MS Mincho" w:cstheme="minorHAnsi"/>
              </w:rPr>
              <w:t>)</w:t>
            </w:r>
          </w:p>
        </w:tc>
        <w:tc>
          <w:tcPr>
            <w:tcW w:w="388" w:type="pct"/>
          </w:tcPr>
          <w:p w:rsidR="009232F3" w:rsidRPr="00017AE6" w:rsidRDefault="00BE59C3" w:rsidP="00A71365">
            <w:pPr>
              <w:pStyle w:val="Tablewriting"/>
              <w:rPr>
                <w:rFonts w:eastAsia="MS Mincho" w:cstheme="minorHAnsi"/>
              </w:rPr>
            </w:pPr>
            <w:r w:rsidRPr="00017AE6">
              <w:rPr>
                <w:rFonts w:eastAsia="MS Mincho" w:cstheme="minorHAnsi"/>
              </w:rPr>
              <w:t>RCT</w:t>
            </w:r>
          </w:p>
        </w:tc>
        <w:tc>
          <w:tcPr>
            <w:tcW w:w="390" w:type="pct"/>
          </w:tcPr>
          <w:p w:rsidR="009232F3" w:rsidRPr="00017AE6" w:rsidRDefault="00BE59C3" w:rsidP="00A71365">
            <w:pPr>
              <w:pStyle w:val="Tablewriting"/>
              <w:rPr>
                <w:rFonts w:eastAsia="MS Mincho" w:cstheme="minorHAnsi"/>
              </w:rPr>
            </w:pPr>
            <w:r w:rsidRPr="00017AE6">
              <w:rPr>
                <w:rFonts w:eastAsia="MS Mincho" w:cstheme="minorHAnsi"/>
              </w:rPr>
              <w:t>USA</w:t>
            </w:r>
          </w:p>
        </w:tc>
        <w:tc>
          <w:tcPr>
            <w:tcW w:w="432" w:type="pct"/>
          </w:tcPr>
          <w:p w:rsidR="009232F3" w:rsidRPr="00017AE6" w:rsidRDefault="00BE59C3" w:rsidP="00A71365">
            <w:pPr>
              <w:pStyle w:val="Tablewriting"/>
              <w:rPr>
                <w:rFonts w:eastAsia="MS Mincho" w:cstheme="minorHAnsi"/>
              </w:rPr>
            </w:pPr>
            <w:r w:rsidRPr="00017AE6">
              <w:rPr>
                <w:rFonts w:eastAsia="MS Mincho" w:cstheme="minorHAnsi"/>
              </w:rPr>
              <w:t>N=294</w:t>
            </w:r>
            <w:r>
              <w:rPr>
                <w:rFonts w:eastAsia="MS Mincho" w:cstheme="minorHAnsi"/>
              </w:rPr>
              <w:t>; n=86 (varenicline), n=102 (bupropion), n=106 (placebo)</w:t>
            </w:r>
          </w:p>
        </w:tc>
        <w:tc>
          <w:tcPr>
            <w:tcW w:w="1316" w:type="pct"/>
          </w:tcPr>
          <w:p w:rsidR="00BE59C3" w:rsidRDefault="00BE59C3" w:rsidP="00A71365">
            <w:pPr>
              <w:pStyle w:val="Tablewriting"/>
              <w:rPr>
                <w:rFonts w:eastAsia="MS Mincho" w:cstheme="minorHAnsi"/>
              </w:rPr>
            </w:pPr>
            <w:r>
              <w:rPr>
                <w:rFonts w:eastAsia="MS Mincho" w:cstheme="minorHAnsi"/>
              </w:rPr>
              <w:t>V</w:t>
            </w:r>
            <w:r w:rsidRPr="00017AE6">
              <w:rPr>
                <w:rFonts w:eastAsia="MS Mincho" w:cstheme="minorHAnsi"/>
              </w:rPr>
              <w:t xml:space="preserve">olunteer smokers, aged 18 - 65, 5+ CPD, fluent in English, no uncontrolled chronic illness, baseline CO &gt; 6 ppm. Mean age 44, 39% women, 66% white, mean CPD 20, mean FTND 4.5, mean baseline CO 24.5 ppm. </w:t>
            </w:r>
          </w:p>
          <w:p w:rsidR="00BE59C3" w:rsidRDefault="00BE59C3" w:rsidP="00A71365">
            <w:pPr>
              <w:pStyle w:val="Tablewriting"/>
              <w:rPr>
                <w:rFonts w:eastAsia="MS Mincho" w:cstheme="minorHAnsi"/>
              </w:rPr>
            </w:pPr>
          </w:p>
          <w:p w:rsidR="009232F3" w:rsidRPr="00017AE6" w:rsidRDefault="00BE59C3" w:rsidP="00A71365">
            <w:pPr>
              <w:pStyle w:val="Tablewriting"/>
              <w:rPr>
                <w:rFonts w:eastAsia="MS Mincho" w:cstheme="minorHAnsi"/>
              </w:rPr>
            </w:pPr>
            <w:r w:rsidRPr="002E4C49">
              <w:rPr>
                <w:rFonts w:eastAsia="MS Mincho" w:cstheme="minorHAnsi"/>
                <w:u w:val="single"/>
              </w:rPr>
              <w:t>Exclusions:</w:t>
            </w:r>
            <w:r w:rsidRPr="00017AE6">
              <w:rPr>
                <w:rFonts w:eastAsia="MS Mincho" w:cstheme="minorHAnsi"/>
              </w:rPr>
              <w:t xml:space="preserve"> Usual pharma exclusions, current or history of psychotic</w:t>
            </w:r>
            <w:r>
              <w:rPr>
                <w:rFonts w:eastAsia="MS Mincho" w:cstheme="minorHAnsi"/>
              </w:rPr>
              <w:t xml:space="preserve"> </w:t>
            </w:r>
            <w:r w:rsidRPr="00017AE6">
              <w:rPr>
                <w:rFonts w:eastAsia="MS Mincho" w:cstheme="minorHAnsi"/>
              </w:rPr>
              <w:t>disorder, moderate or high risk of</w:t>
            </w:r>
            <w:r>
              <w:rPr>
                <w:rFonts w:eastAsia="MS Mincho" w:cstheme="minorHAnsi"/>
              </w:rPr>
              <w:t xml:space="preserve"> </w:t>
            </w:r>
            <w:r w:rsidRPr="00017AE6">
              <w:rPr>
                <w:rFonts w:eastAsia="MS Mincho" w:cstheme="minorHAnsi"/>
              </w:rPr>
              <w:t>suicidality, contra-indications to varenicline or bupropion</w:t>
            </w:r>
            <w:r>
              <w:rPr>
                <w:rFonts w:eastAsia="MS Mincho" w:cstheme="minorHAnsi"/>
              </w:rPr>
              <w:t>.</w:t>
            </w:r>
          </w:p>
        </w:tc>
        <w:tc>
          <w:tcPr>
            <w:tcW w:w="1055" w:type="pct"/>
          </w:tcPr>
          <w:p w:rsidR="00BE59C3" w:rsidRPr="00017AE6" w:rsidRDefault="00BE59C3" w:rsidP="00C324F3">
            <w:pPr>
              <w:pStyle w:val="Tablewriting"/>
              <w:numPr>
                <w:ilvl w:val="0"/>
                <w:numId w:val="64"/>
              </w:numPr>
              <w:rPr>
                <w:rFonts w:eastAsia="MS Mincho" w:cstheme="minorHAnsi"/>
              </w:rPr>
            </w:pPr>
            <w:r w:rsidRPr="00017AE6">
              <w:rPr>
                <w:rFonts w:eastAsia="MS Mincho" w:cstheme="minorHAnsi"/>
              </w:rPr>
              <w:t>Varenicline: 12-week course (1 mg x 2/day) + non-active bupropion course (placebo)</w:t>
            </w:r>
          </w:p>
          <w:p w:rsidR="00BE59C3" w:rsidRPr="00017AE6" w:rsidRDefault="00BE59C3" w:rsidP="00C324F3">
            <w:pPr>
              <w:pStyle w:val="Tablewriting"/>
              <w:numPr>
                <w:ilvl w:val="0"/>
                <w:numId w:val="64"/>
              </w:numPr>
              <w:rPr>
                <w:rFonts w:eastAsia="MS Mincho" w:cstheme="minorHAnsi"/>
              </w:rPr>
            </w:pPr>
            <w:r w:rsidRPr="00017AE6">
              <w:rPr>
                <w:rFonts w:eastAsia="MS Mincho" w:cstheme="minorHAnsi"/>
              </w:rPr>
              <w:t>Bupropion: 12-week course (150 mg x 2/day) + non-active varenicline course (placebo)</w:t>
            </w:r>
          </w:p>
          <w:p w:rsidR="00BE59C3" w:rsidRPr="00017AE6" w:rsidRDefault="00BE59C3" w:rsidP="00C324F3">
            <w:pPr>
              <w:pStyle w:val="Tablewriting"/>
              <w:numPr>
                <w:ilvl w:val="0"/>
                <w:numId w:val="64"/>
              </w:numPr>
              <w:rPr>
                <w:rFonts w:eastAsia="MS Mincho" w:cstheme="minorHAnsi"/>
              </w:rPr>
            </w:pPr>
            <w:r w:rsidRPr="00017AE6">
              <w:rPr>
                <w:rFonts w:eastAsia="MS Mincho" w:cstheme="minorHAnsi"/>
              </w:rPr>
              <w:t>Placebo: 12-week course (placebo pill x 2/day)</w:t>
            </w:r>
          </w:p>
          <w:p w:rsidR="00BE59C3" w:rsidRDefault="00BE59C3" w:rsidP="00A71365">
            <w:pPr>
              <w:pStyle w:val="Tablewriting"/>
              <w:rPr>
                <w:rFonts w:eastAsia="MS Mincho" w:cstheme="minorHAnsi"/>
              </w:rPr>
            </w:pPr>
          </w:p>
          <w:p w:rsidR="00BE59C3" w:rsidRDefault="00BE59C3"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Pr="00017AE6">
              <w:rPr>
                <w:rFonts w:eastAsia="MS Mincho" w:cstheme="minorHAnsi"/>
              </w:rPr>
              <w:t>All participants got intensive counselling, i.e. 6 x in-person 30-minute individual counselling sessions</w:t>
            </w:r>
            <w:r>
              <w:rPr>
                <w:rFonts w:eastAsia="MS Mincho" w:cstheme="minorHAnsi"/>
              </w:rPr>
              <w:t xml:space="preserve"> </w:t>
            </w:r>
            <w:r w:rsidRPr="00017AE6">
              <w:rPr>
                <w:rFonts w:eastAsia="MS Mincho" w:cstheme="minorHAnsi"/>
              </w:rPr>
              <w:t xml:space="preserve">and 4 x 15-minute phone calls during treatment phase, based on MI techniques. </w:t>
            </w:r>
          </w:p>
          <w:p w:rsidR="00BE59C3" w:rsidRPr="00017AE6" w:rsidRDefault="00BE59C3" w:rsidP="00A71365">
            <w:pPr>
              <w:pStyle w:val="Tablewriting"/>
              <w:rPr>
                <w:rFonts w:eastAsia="MS Mincho" w:cstheme="minorHAnsi"/>
              </w:rPr>
            </w:pPr>
            <w:r w:rsidRPr="00017AE6">
              <w:rPr>
                <w:rFonts w:eastAsia="MS Mincho" w:cstheme="minorHAnsi"/>
              </w:rPr>
              <w:t>During follow-up, each</w:t>
            </w:r>
          </w:p>
          <w:p w:rsidR="009232F3" w:rsidRPr="00017AE6" w:rsidRDefault="00BE59C3" w:rsidP="00A71365">
            <w:pPr>
              <w:pStyle w:val="Tablewriting"/>
              <w:rPr>
                <w:rFonts w:eastAsia="MS Mincho" w:cstheme="minorHAnsi"/>
              </w:rPr>
            </w:pPr>
            <w:r w:rsidRPr="00017AE6">
              <w:rPr>
                <w:rFonts w:eastAsia="MS Mincho" w:cstheme="minorHAnsi"/>
              </w:rPr>
              <w:t>participant got a 15-minute in-person visit at 3</w:t>
            </w:r>
            <w:r>
              <w:rPr>
                <w:rFonts w:eastAsia="MS Mincho" w:cstheme="minorHAnsi"/>
              </w:rPr>
              <w:t xml:space="preserve"> months</w:t>
            </w:r>
            <w:r w:rsidRPr="00017AE6">
              <w:rPr>
                <w:rFonts w:eastAsia="MS Mincho" w:cstheme="minorHAnsi"/>
              </w:rPr>
              <w:t xml:space="preserve"> and 6</w:t>
            </w:r>
            <w:r>
              <w:rPr>
                <w:rFonts w:eastAsia="MS Mincho" w:cstheme="minorHAnsi"/>
              </w:rPr>
              <w:t xml:space="preserve"> months</w:t>
            </w:r>
            <w:r w:rsidRPr="00017AE6">
              <w:rPr>
                <w:rFonts w:eastAsia="MS Mincho" w:cstheme="minorHAnsi"/>
              </w:rPr>
              <w:t>, and a 15-minute phone call at 4</w:t>
            </w:r>
            <w:r>
              <w:rPr>
                <w:rFonts w:eastAsia="MS Mincho" w:cstheme="minorHAnsi"/>
              </w:rPr>
              <w:t xml:space="preserve"> months.</w:t>
            </w:r>
          </w:p>
        </w:tc>
        <w:tc>
          <w:tcPr>
            <w:tcW w:w="960" w:type="pct"/>
          </w:tcPr>
          <w:p w:rsidR="00BE59C3" w:rsidRDefault="00BE59C3" w:rsidP="00A71365">
            <w:pPr>
              <w:pStyle w:val="Tablewriting"/>
              <w:rPr>
                <w:rFonts w:eastAsia="MS Mincho" w:cstheme="minorHAnsi"/>
              </w:rPr>
            </w:pPr>
            <w:r w:rsidRPr="006A1B9A">
              <w:rPr>
                <w:rFonts w:eastAsia="MS Mincho" w:cstheme="minorHAnsi"/>
                <w:u w:val="single"/>
              </w:rPr>
              <w:t>Efficacy:</w:t>
            </w:r>
            <w:r>
              <w:rPr>
                <w:rFonts w:eastAsia="MS Mincho" w:cstheme="minorHAnsi"/>
              </w:rPr>
              <w:t xml:space="preserve"> </w:t>
            </w:r>
          </w:p>
          <w:p w:rsidR="00BE59C3" w:rsidRPr="00017AE6" w:rsidRDefault="00BE59C3" w:rsidP="00A71365">
            <w:pPr>
              <w:pStyle w:val="Tablewriting"/>
              <w:rPr>
                <w:rFonts w:eastAsia="MS Mincho" w:cstheme="minorHAnsi"/>
              </w:rPr>
            </w:pPr>
            <w:r w:rsidRPr="00017AE6">
              <w:rPr>
                <w:rFonts w:eastAsia="MS Mincho" w:cstheme="minorHAnsi"/>
              </w:rPr>
              <w:t xml:space="preserve">Primary: PA at </w:t>
            </w:r>
            <w:r w:rsidRPr="00BB72B1">
              <w:rPr>
                <w:rFonts w:eastAsia="MS Mincho" w:cstheme="minorHAnsi"/>
              </w:rPr>
              <w:t>EoT</w:t>
            </w:r>
            <w:r>
              <w:rPr>
                <w:rFonts w:eastAsia="MS Mincho" w:cstheme="minorHAnsi"/>
              </w:rPr>
              <w:t>;</w:t>
            </w:r>
          </w:p>
          <w:p w:rsidR="00BE59C3" w:rsidRDefault="00BE59C3" w:rsidP="00A71365">
            <w:pPr>
              <w:pStyle w:val="Tablewriting"/>
              <w:rPr>
                <w:rFonts w:eastAsia="MS Mincho" w:cstheme="minorHAnsi"/>
              </w:rPr>
            </w:pPr>
            <w:r w:rsidRPr="00017AE6">
              <w:rPr>
                <w:rFonts w:eastAsia="MS Mincho" w:cstheme="minorHAnsi"/>
              </w:rPr>
              <w:t>Secondary: PA at 3</w:t>
            </w:r>
            <w:r>
              <w:rPr>
                <w:rFonts w:eastAsia="MS Mincho" w:cstheme="minorHAnsi"/>
              </w:rPr>
              <w:t>-month</w:t>
            </w:r>
            <w:r w:rsidRPr="00017AE6">
              <w:rPr>
                <w:rFonts w:eastAsia="MS Mincho" w:cstheme="minorHAnsi"/>
              </w:rPr>
              <w:t xml:space="preserve"> post-quit, 6</w:t>
            </w:r>
            <w:r>
              <w:rPr>
                <w:rFonts w:eastAsia="MS Mincho" w:cstheme="minorHAnsi"/>
              </w:rPr>
              <w:t>-</w:t>
            </w:r>
            <w:r w:rsidRPr="00017AE6">
              <w:rPr>
                <w:rFonts w:eastAsia="MS Mincho" w:cstheme="minorHAnsi"/>
              </w:rPr>
              <w:t>m</w:t>
            </w:r>
            <w:r>
              <w:rPr>
                <w:rFonts w:eastAsia="MS Mincho" w:cstheme="minorHAnsi"/>
              </w:rPr>
              <w:t>onth</w:t>
            </w:r>
            <w:r w:rsidRPr="00017AE6">
              <w:rPr>
                <w:rFonts w:eastAsia="MS Mincho" w:cstheme="minorHAnsi"/>
              </w:rPr>
              <w:t xml:space="preserve"> post-quit; </w:t>
            </w:r>
          </w:p>
          <w:p w:rsidR="00BE59C3" w:rsidRDefault="00BE59C3" w:rsidP="00A71365">
            <w:pPr>
              <w:pStyle w:val="Tablewriting"/>
              <w:rPr>
                <w:rFonts w:eastAsia="MS Mincho" w:cstheme="minorHAnsi"/>
              </w:rPr>
            </w:pPr>
            <w:r w:rsidRPr="00017AE6">
              <w:rPr>
                <w:rFonts w:eastAsia="MS Mincho" w:cstheme="minorHAnsi"/>
              </w:rPr>
              <w:t>CA at 3</w:t>
            </w:r>
            <w:r>
              <w:rPr>
                <w:rFonts w:eastAsia="MS Mincho" w:cstheme="minorHAnsi"/>
              </w:rPr>
              <w:t>-</w:t>
            </w:r>
            <w:r w:rsidRPr="00017AE6">
              <w:rPr>
                <w:rFonts w:eastAsia="MS Mincho" w:cstheme="minorHAnsi"/>
              </w:rPr>
              <w:t>m</w:t>
            </w:r>
            <w:r>
              <w:rPr>
                <w:rFonts w:eastAsia="MS Mincho" w:cstheme="minorHAnsi"/>
              </w:rPr>
              <w:t>onth</w:t>
            </w:r>
            <w:r w:rsidRPr="00017AE6">
              <w:rPr>
                <w:rFonts w:eastAsia="MS Mincho" w:cstheme="minorHAnsi"/>
              </w:rPr>
              <w:t xml:space="preserve"> post-quit, 6</w:t>
            </w:r>
            <w:r>
              <w:rPr>
                <w:rFonts w:eastAsia="MS Mincho" w:cstheme="minorHAnsi"/>
              </w:rPr>
              <w:t>-</w:t>
            </w:r>
            <w:r w:rsidRPr="00017AE6">
              <w:rPr>
                <w:rFonts w:eastAsia="MS Mincho" w:cstheme="minorHAnsi"/>
              </w:rPr>
              <w:t>m</w:t>
            </w:r>
            <w:r>
              <w:rPr>
                <w:rFonts w:eastAsia="MS Mincho" w:cstheme="minorHAnsi"/>
              </w:rPr>
              <w:t>onth</w:t>
            </w:r>
            <w:r w:rsidRPr="00017AE6">
              <w:rPr>
                <w:rFonts w:eastAsia="MS Mincho" w:cstheme="minorHAnsi"/>
              </w:rPr>
              <w:t xml:space="preserve"> post-quit; 7-day PPA at EoT, 3</w:t>
            </w:r>
            <w:r>
              <w:rPr>
                <w:rFonts w:eastAsia="MS Mincho" w:cstheme="minorHAnsi"/>
              </w:rPr>
              <w:t xml:space="preserve">, 6 </w:t>
            </w:r>
            <w:r w:rsidRPr="00017AE6">
              <w:rPr>
                <w:rFonts w:eastAsia="MS Mincho" w:cstheme="minorHAnsi"/>
              </w:rPr>
              <w:t>m</w:t>
            </w:r>
            <w:r>
              <w:rPr>
                <w:rFonts w:eastAsia="MS Mincho" w:cstheme="minorHAnsi"/>
              </w:rPr>
              <w:t xml:space="preserve">onths </w:t>
            </w:r>
            <w:r w:rsidRPr="00017AE6">
              <w:rPr>
                <w:rFonts w:eastAsia="MS Mincho" w:cstheme="minorHAnsi"/>
              </w:rPr>
              <w:t>post-quit</w:t>
            </w:r>
            <w:r>
              <w:rPr>
                <w:rFonts w:eastAsia="MS Mincho" w:cstheme="minorHAnsi"/>
              </w:rPr>
              <w:t>.</w:t>
            </w:r>
          </w:p>
          <w:p w:rsidR="00BE59C3" w:rsidRPr="00017AE6" w:rsidRDefault="00BE59C3" w:rsidP="00A71365">
            <w:pPr>
              <w:pStyle w:val="Tablewriting"/>
              <w:rPr>
                <w:rFonts w:eastAsia="MS Mincho" w:cstheme="minorHAnsi"/>
              </w:rPr>
            </w:pPr>
          </w:p>
          <w:p w:rsidR="00BE59C3" w:rsidRPr="00017AE6" w:rsidRDefault="00BE59C3" w:rsidP="00A71365">
            <w:pPr>
              <w:pStyle w:val="Tablewriting"/>
              <w:rPr>
                <w:rFonts w:eastAsia="MS Mincho" w:cstheme="minorHAnsi"/>
              </w:rPr>
            </w:pPr>
            <w:r w:rsidRPr="00017AE6">
              <w:rPr>
                <w:rFonts w:eastAsia="MS Mincho" w:cstheme="minorHAnsi"/>
              </w:rPr>
              <w:t>Validation: CO &lt; 10 ppm. Self-reported abstainers were asked to send a salivary cotinine sample (&lt; 15</w:t>
            </w:r>
          </w:p>
          <w:p w:rsidR="009232F3" w:rsidRPr="00017AE6" w:rsidRDefault="00BE59C3" w:rsidP="00A71365">
            <w:pPr>
              <w:pStyle w:val="Tablewriting"/>
              <w:rPr>
                <w:rFonts w:eastAsia="MS Mincho" w:cstheme="minorHAnsi"/>
              </w:rPr>
            </w:pPr>
            <w:r w:rsidRPr="00017AE6">
              <w:rPr>
                <w:rFonts w:eastAsia="MS Mincho" w:cstheme="minorHAnsi"/>
              </w:rPr>
              <w:t>ng/mL) by post</w:t>
            </w:r>
          </w:p>
        </w:tc>
      </w:tr>
      <w:tr w:rsidR="009232F3" w:rsidRPr="00017AE6" w:rsidTr="00681E2E">
        <w:trPr>
          <w:trHeight w:val="99"/>
        </w:trPr>
        <w:tc>
          <w:tcPr>
            <w:tcW w:w="459" w:type="pct"/>
          </w:tcPr>
          <w:p w:rsidR="009232F3" w:rsidRPr="00017AE6" w:rsidRDefault="00CD7490" w:rsidP="00A71365">
            <w:pPr>
              <w:pStyle w:val="Tablewriting"/>
              <w:rPr>
                <w:rFonts w:eastAsia="MS Mincho" w:cstheme="minorHAnsi"/>
              </w:rPr>
            </w:pPr>
            <w:r w:rsidRPr="00866DE0">
              <w:rPr>
                <w:rFonts w:eastAsia="MS Mincho"/>
              </w:rPr>
              <w:t xml:space="preserve">Gonzales </w:t>
            </w:r>
            <w:r w:rsidR="009523C1">
              <w:rPr>
                <w:rFonts w:eastAsia="MS Mincho"/>
              </w:rPr>
              <w:t>(</w:t>
            </w:r>
            <w:r w:rsidRPr="00866DE0">
              <w:rPr>
                <w:rFonts w:eastAsia="MS Mincho"/>
              </w:rPr>
              <w:t>2006</w:t>
            </w:r>
            <w:r w:rsidR="009523C1">
              <w:rPr>
                <w:rFonts w:eastAsia="MS Mincho"/>
              </w:rPr>
              <w:t>)</w:t>
            </w:r>
          </w:p>
        </w:tc>
        <w:tc>
          <w:tcPr>
            <w:tcW w:w="388" w:type="pct"/>
          </w:tcPr>
          <w:p w:rsidR="009232F3" w:rsidRPr="00017AE6" w:rsidRDefault="009523C1" w:rsidP="00A71365">
            <w:pPr>
              <w:pStyle w:val="Tablewriting"/>
              <w:rPr>
                <w:rFonts w:eastAsia="MS Mincho" w:cstheme="minorHAnsi"/>
              </w:rPr>
            </w:pPr>
            <w:r>
              <w:rPr>
                <w:rFonts w:eastAsia="MS Mincho"/>
              </w:rPr>
              <w:t>RCT</w:t>
            </w:r>
          </w:p>
        </w:tc>
        <w:tc>
          <w:tcPr>
            <w:tcW w:w="390" w:type="pct"/>
          </w:tcPr>
          <w:p w:rsidR="009232F3" w:rsidRPr="00017AE6" w:rsidRDefault="009523C1" w:rsidP="00A71365">
            <w:pPr>
              <w:pStyle w:val="Tablewriting"/>
              <w:rPr>
                <w:rFonts w:eastAsia="MS Mincho" w:cstheme="minorHAnsi"/>
              </w:rPr>
            </w:pPr>
            <w:r>
              <w:rPr>
                <w:rFonts w:eastAsia="MS Mincho"/>
              </w:rPr>
              <w:t>USA</w:t>
            </w:r>
          </w:p>
        </w:tc>
        <w:tc>
          <w:tcPr>
            <w:tcW w:w="432" w:type="pct"/>
          </w:tcPr>
          <w:p w:rsidR="009232F3" w:rsidRPr="00017AE6" w:rsidRDefault="009523C1" w:rsidP="00A71365">
            <w:pPr>
              <w:pStyle w:val="Tablewriting"/>
              <w:rPr>
                <w:rFonts w:eastAsia="MS Mincho" w:cstheme="minorHAnsi"/>
              </w:rPr>
            </w:pPr>
            <w:r>
              <w:rPr>
                <w:rFonts w:eastAsia="MS Mincho"/>
              </w:rPr>
              <w:t>N=673</w:t>
            </w:r>
          </w:p>
        </w:tc>
        <w:tc>
          <w:tcPr>
            <w:tcW w:w="1316" w:type="pct"/>
          </w:tcPr>
          <w:p w:rsidR="009523C1" w:rsidRPr="00504862" w:rsidRDefault="009523C1" w:rsidP="00A71365">
            <w:pPr>
              <w:pStyle w:val="Tablewriting"/>
              <w:rPr>
                <w:rFonts w:eastAsia="MS Mincho"/>
              </w:rPr>
            </w:pPr>
            <w:r w:rsidRPr="00504862">
              <w:rPr>
                <w:rFonts w:eastAsia="MS Mincho"/>
              </w:rPr>
              <w:t>Participants</w:t>
            </w:r>
            <w:r>
              <w:rPr>
                <w:rFonts w:eastAsia="MS Mincho"/>
              </w:rPr>
              <w:t xml:space="preserve"> </w:t>
            </w:r>
            <w:r w:rsidRPr="00504862">
              <w:rPr>
                <w:rFonts w:eastAsia="MS Mincho"/>
              </w:rPr>
              <w:t>with prior exposure to bupropion excluded; 46% female; average age 42; average cigarettes</w:t>
            </w:r>
          </w:p>
          <w:p w:rsidR="009232F3" w:rsidRPr="00017AE6" w:rsidRDefault="009523C1" w:rsidP="00A71365">
            <w:pPr>
              <w:pStyle w:val="Tablewriting"/>
              <w:rPr>
                <w:rFonts w:eastAsia="MS Mincho" w:cstheme="minorHAnsi"/>
              </w:rPr>
            </w:pPr>
            <w:r w:rsidRPr="00504862">
              <w:rPr>
                <w:rFonts w:eastAsia="MS Mincho"/>
              </w:rPr>
              <w:t>per day 21</w:t>
            </w:r>
          </w:p>
        </w:tc>
        <w:tc>
          <w:tcPr>
            <w:tcW w:w="1055" w:type="pct"/>
          </w:tcPr>
          <w:p w:rsidR="009523C1" w:rsidRPr="0017192A" w:rsidRDefault="009523C1" w:rsidP="00C324F3">
            <w:pPr>
              <w:pStyle w:val="Tablewriting"/>
              <w:numPr>
                <w:ilvl w:val="0"/>
                <w:numId w:val="25"/>
              </w:numPr>
              <w:rPr>
                <w:rFonts w:eastAsia="MS Mincho"/>
              </w:rPr>
            </w:pPr>
            <w:r w:rsidRPr="0017192A">
              <w:rPr>
                <w:rFonts w:eastAsia="MS Mincho"/>
              </w:rPr>
              <w:t>Bupropion, 300 mg/day for 12 weeks, begun 7 days pre-TQD</w:t>
            </w:r>
          </w:p>
          <w:p w:rsidR="009523C1" w:rsidRPr="0017192A" w:rsidRDefault="009523C1" w:rsidP="00C324F3">
            <w:pPr>
              <w:pStyle w:val="Tablewriting"/>
              <w:numPr>
                <w:ilvl w:val="0"/>
                <w:numId w:val="25"/>
              </w:numPr>
              <w:rPr>
                <w:rFonts w:eastAsia="MS Mincho"/>
              </w:rPr>
            </w:pPr>
            <w:r w:rsidRPr="0017192A">
              <w:rPr>
                <w:rFonts w:eastAsia="MS Mincho"/>
              </w:rPr>
              <w:t>Varenicline, 2 mg/day</w:t>
            </w:r>
          </w:p>
          <w:p w:rsidR="009523C1" w:rsidRPr="0017192A" w:rsidRDefault="009523C1" w:rsidP="00C324F3">
            <w:pPr>
              <w:pStyle w:val="Tablewriting"/>
              <w:numPr>
                <w:ilvl w:val="0"/>
                <w:numId w:val="25"/>
              </w:numPr>
              <w:rPr>
                <w:rFonts w:eastAsia="MS Mincho"/>
              </w:rPr>
            </w:pPr>
            <w:r w:rsidRPr="0017192A">
              <w:rPr>
                <w:rFonts w:eastAsia="MS Mincho"/>
              </w:rPr>
              <w:lastRenderedPageBreak/>
              <w:t>Placebo</w:t>
            </w:r>
          </w:p>
          <w:p w:rsidR="009523C1" w:rsidRDefault="009523C1" w:rsidP="00A71365">
            <w:pPr>
              <w:pStyle w:val="Tablewriting"/>
              <w:rPr>
                <w:rFonts w:eastAsia="MS Mincho"/>
              </w:rPr>
            </w:pPr>
          </w:p>
          <w:p w:rsidR="009232F3" w:rsidRPr="00017AE6" w:rsidRDefault="009523C1" w:rsidP="00A71365">
            <w:pPr>
              <w:pStyle w:val="Tablewriting"/>
              <w:rPr>
                <w:rFonts w:eastAsia="MS Mincho" w:cstheme="minorHAnsi"/>
              </w:rPr>
            </w:pPr>
            <w:r w:rsidRPr="0017192A">
              <w:rPr>
                <w:rFonts w:eastAsia="MS Mincho"/>
                <w:u w:val="single"/>
              </w:rPr>
              <w:t>Common components:</w:t>
            </w:r>
            <w:r w:rsidRPr="0017192A">
              <w:rPr>
                <w:rFonts w:eastAsia="MS Mincho"/>
              </w:rPr>
              <w:t xml:space="preserve"> brief (&lt;10-minute) standardized individual counselling at 12</w:t>
            </w:r>
            <w:r>
              <w:rPr>
                <w:rFonts w:eastAsia="MS Mincho"/>
              </w:rPr>
              <w:t xml:space="preserve"> </w:t>
            </w:r>
            <w:r w:rsidRPr="0017192A">
              <w:rPr>
                <w:rFonts w:eastAsia="MS Mincho"/>
              </w:rPr>
              <w:t>weekly visits during</w:t>
            </w:r>
            <w:r>
              <w:rPr>
                <w:rFonts w:eastAsia="MS Mincho"/>
              </w:rPr>
              <w:t xml:space="preserve"> </w:t>
            </w:r>
            <w:r w:rsidRPr="0017192A">
              <w:rPr>
                <w:rFonts w:eastAsia="MS Mincho"/>
              </w:rPr>
              <w:t>drug phase and 11 clinic/phone visits</w:t>
            </w:r>
            <w:r>
              <w:rPr>
                <w:rFonts w:eastAsia="MS Mincho"/>
              </w:rPr>
              <w:t xml:space="preserve"> </w:t>
            </w:r>
            <w:r w:rsidRPr="0017192A">
              <w:rPr>
                <w:rFonts w:eastAsia="MS Mincho"/>
              </w:rPr>
              <w:t>during follow-up, problem</w:t>
            </w:r>
            <w:r>
              <w:rPr>
                <w:rFonts w:eastAsia="MS Mincho"/>
              </w:rPr>
              <w:t xml:space="preserve"> </w:t>
            </w:r>
            <w:r w:rsidRPr="0017192A">
              <w:rPr>
                <w:rFonts w:eastAsia="MS Mincho"/>
              </w:rPr>
              <w:t>solving and relapse prevention</w:t>
            </w:r>
          </w:p>
        </w:tc>
        <w:tc>
          <w:tcPr>
            <w:tcW w:w="960" w:type="pct"/>
          </w:tcPr>
          <w:p w:rsidR="009523C1" w:rsidRPr="00BD16BB" w:rsidRDefault="009523C1" w:rsidP="00A71365">
            <w:pPr>
              <w:pStyle w:val="Tablewriting"/>
              <w:rPr>
                <w:rFonts w:eastAsia="MS Mincho"/>
              </w:rPr>
            </w:pPr>
            <w:r w:rsidRPr="00BD16BB">
              <w:rPr>
                <w:rFonts w:eastAsia="MS Mincho"/>
                <w:u w:val="single"/>
              </w:rPr>
              <w:lastRenderedPageBreak/>
              <w:t>Efficacy:</w:t>
            </w:r>
            <w:r w:rsidRPr="00BD16BB">
              <w:rPr>
                <w:rFonts w:eastAsia="MS Mincho"/>
              </w:rPr>
              <w:t xml:space="preserve"> sustained abstinence at 1 year (starting from week 4). Validated by CO </w:t>
            </w:r>
            <w:r w:rsidRPr="00D96BA4">
              <w:rPr>
                <w:rFonts w:eastAsia="MS Mincho"/>
              </w:rPr>
              <w:t>≤</w:t>
            </w:r>
            <w:r w:rsidRPr="00BD16BB">
              <w:rPr>
                <w:rFonts w:eastAsia="MS Mincho"/>
              </w:rPr>
              <w:t xml:space="preserve"> 10 ppm</w:t>
            </w:r>
          </w:p>
          <w:p w:rsidR="009523C1" w:rsidRPr="00BD16BB" w:rsidRDefault="009523C1" w:rsidP="00A71365">
            <w:pPr>
              <w:pStyle w:val="Tablewriting"/>
              <w:rPr>
                <w:rFonts w:eastAsia="MS Mincho"/>
              </w:rPr>
            </w:pPr>
            <w:r w:rsidRPr="00BD16BB">
              <w:rPr>
                <w:rFonts w:eastAsia="MS Mincho"/>
              </w:rPr>
              <w:t>at each visit</w:t>
            </w:r>
          </w:p>
          <w:p w:rsidR="009232F3" w:rsidRPr="00017AE6" w:rsidRDefault="009523C1" w:rsidP="00A71365">
            <w:pPr>
              <w:pStyle w:val="Tablewriting"/>
              <w:rPr>
                <w:rFonts w:eastAsia="MS Mincho" w:cstheme="minorHAnsi"/>
              </w:rPr>
            </w:pPr>
            <w:r w:rsidRPr="00BD16BB">
              <w:rPr>
                <w:rFonts w:eastAsia="MS Mincho"/>
                <w:u w:val="single"/>
              </w:rPr>
              <w:lastRenderedPageBreak/>
              <w:t>Safety:</w:t>
            </w:r>
            <w:r w:rsidRPr="00BD16BB">
              <w:rPr>
                <w:rFonts w:eastAsia="MS Mincho"/>
              </w:rPr>
              <w:t xml:space="preserve"> measured for 13 weeks</w:t>
            </w:r>
          </w:p>
        </w:tc>
      </w:tr>
      <w:tr w:rsidR="009232F3" w:rsidRPr="00017AE6" w:rsidTr="00681E2E">
        <w:trPr>
          <w:trHeight w:val="99"/>
        </w:trPr>
        <w:tc>
          <w:tcPr>
            <w:tcW w:w="459" w:type="pct"/>
          </w:tcPr>
          <w:p w:rsidR="009232F3" w:rsidRPr="00017AE6" w:rsidRDefault="00CD7490" w:rsidP="00A71365">
            <w:pPr>
              <w:pStyle w:val="Tablewriting"/>
              <w:rPr>
                <w:rFonts w:eastAsia="MS Mincho" w:cstheme="minorHAnsi"/>
              </w:rPr>
            </w:pPr>
            <w:r w:rsidRPr="00866DE0">
              <w:rPr>
                <w:rFonts w:eastAsia="MS Mincho"/>
              </w:rPr>
              <w:lastRenderedPageBreak/>
              <w:t xml:space="preserve">Jorenby </w:t>
            </w:r>
            <w:r w:rsidR="00232CCC">
              <w:rPr>
                <w:rFonts w:eastAsia="MS Mincho"/>
              </w:rPr>
              <w:t>(</w:t>
            </w:r>
            <w:r w:rsidRPr="00866DE0">
              <w:rPr>
                <w:rFonts w:eastAsia="MS Mincho"/>
              </w:rPr>
              <w:t>2006</w:t>
            </w:r>
            <w:r w:rsidR="00232CCC">
              <w:rPr>
                <w:rFonts w:eastAsia="MS Mincho"/>
              </w:rPr>
              <w:t>)</w:t>
            </w:r>
          </w:p>
        </w:tc>
        <w:tc>
          <w:tcPr>
            <w:tcW w:w="388" w:type="pct"/>
          </w:tcPr>
          <w:p w:rsidR="009232F3" w:rsidRPr="00017AE6" w:rsidRDefault="00232CCC" w:rsidP="00A71365">
            <w:pPr>
              <w:pStyle w:val="Tablewriting"/>
              <w:rPr>
                <w:rFonts w:eastAsia="MS Mincho" w:cstheme="minorHAnsi"/>
              </w:rPr>
            </w:pPr>
            <w:r>
              <w:rPr>
                <w:rFonts w:eastAsia="MS Mincho"/>
              </w:rPr>
              <w:t>RCT</w:t>
            </w:r>
          </w:p>
        </w:tc>
        <w:tc>
          <w:tcPr>
            <w:tcW w:w="390" w:type="pct"/>
          </w:tcPr>
          <w:p w:rsidR="009232F3" w:rsidRPr="00017AE6" w:rsidRDefault="00232CCC" w:rsidP="00A71365">
            <w:pPr>
              <w:pStyle w:val="Tablewriting"/>
              <w:rPr>
                <w:rFonts w:eastAsia="MS Mincho" w:cstheme="minorHAnsi"/>
              </w:rPr>
            </w:pPr>
            <w:r>
              <w:rPr>
                <w:rFonts w:eastAsia="MS Mincho"/>
              </w:rPr>
              <w:t>USA</w:t>
            </w:r>
          </w:p>
        </w:tc>
        <w:tc>
          <w:tcPr>
            <w:tcW w:w="432" w:type="pct"/>
          </w:tcPr>
          <w:p w:rsidR="009232F3" w:rsidRPr="00017AE6" w:rsidRDefault="00232CCC" w:rsidP="00A71365">
            <w:pPr>
              <w:pStyle w:val="Tablewriting"/>
              <w:rPr>
                <w:rFonts w:eastAsia="MS Mincho" w:cstheme="minorHAnsi"/>
              </w:rPr>
            </w:pPr>
            <w:r>
              <w:rPr>
                <w:rFonts w:eastAsia="MS Mincho"/>
              </w:rPr>
              <w:t>N=683</w:t>
            </w:r>
          </w:p>
        </w:tc>
        <w:tc>
          <w:tcPr>
            <w:tcW w:w="1316" w:type="pct"/>
          </w:tcPr>
          <w:p w:rsidR="00232CCC" w:rsidRPr="00FC26BE" w:rsidRDefault="00232CCC" w:rsidP="00A71365">
            <w:pPr>
              <w:pStyle w:val="Tablewriting"/>
              <w:rPr>
                <w:rFonts w:eastAsia="MS Mincho"/>
              </w:rPr>
            </w:pPr>
            <w:r>
              <w:rPr>
                <w:rFonts w:eastAsia="MS Mincho"/>
              </w:rPr>
              <w:t>S</w:t>
            </w:r>
            <w:r w:rsidRPr="00FC26BE">
              <w:rPr>
                <w:rFonts w:eastAsia="MS Mincho"/>
              </w:rPr>
              <w:t>mokers (in relevant arms), with prior exposure to bupropion excluded; 41% female; average age</w:t>
            </w:r>
          </w:p>
          <w:p w:rsidR="009232F3" w:rsidRPr="00017AE6" w:rsidRDefault="00232CCC" w:rsidP="00A71365">
            <w:pPr>
              <w:pStyle w:val="Tablewriting"/>
              <w:rPr>
                <w:rFonts w:eastAsia="MS Mincho" w:cstheme="minorHAnsi"/>
              </w:rPr>
            </w:pPr>
            <w:r w:rsidRPr="00FC26BE">
              <w:rPr>
                <w:rFonts w:eastAsia="MS Mincho"/>
              </w:rPr>
              <w:t>42; average cigarettes per day 22</w:t>
            </w:r>
          </w:p>
        </w:tc>
        <w:tc>
          <w:tcPr>
            <w:tcW w:w="1055" w:type="pct"/>
          </w:tcPr>
          <w:p w:rsidR="00232CCC" w:rsidRDefault="00232CCC" w:rsidP="00C324F3">
            <w:pPr>
              <w:pStyle w:val="Tablewriting"/>
              <w:numPr>
                <w:ilvl w:val="0"/>
                <w:numId w:val="32"/>
              </w:numPr>
              <w:rPr>
                <w:rFonts w:eastAsia="MS Mincho"/>
              </w:rPr>
            </w:pPr>
            <w:r w:rsidRPr="003078C0">
              <w:rPr>
                <w:rFonts w:eastAsia="MS Mincho"/>
              </w:rPr>
              <w:t>Bupropion 300 mg for 12 weeks + placebo varenicline</w:t>
            </w:r>
          </w:p>
          <w:p w:rsidR="00232CCC" w:rsidRDefault="00232CCC" w:rsidP="00C324F3">
            <w:pPr>
              <w:pStyle w:val="Tablewriting"/>
              <w:numPr>
                <w:ilvl w:val="0"/>
                <w:numId w:val="32"/>
              </w:numPr>
              <w:rPr>
                <w:rFonts w:eastAsia="MS Mincho"/>
              </w:rPr>
            </w:pPr>
            <w:r w:rsidRPr="003078C0">
              <w:rPr>
                <w:rFonts w:eastAsia="MS Mincho"/>
              </w:rPr>
              <w:t>Varenicline 2 mg for 12 weeks + placebo bupropion</w:t>
            </w:r>
          </w:p>
          <w:p w:rsidR="00232CCC" w:rsidRPr="003078C0" w:rsidRDefault="00232CCC" w:rsidP="00C324F3">
            <w:pPr>
              <w:pStyle w:val="Tablewriting"/>
              <w:numPr>
                <w:ilvl w:val="0"/>
                <w:numId w:val="32"/>
              </w:numPr>
              <w:rPr>
                <w:rFonts w:eastAsia="MS Mincho"/>
              </w:rPr>
            </w:pPr>
            <w:r w:rsidRPr="003078C0">
              <w:rPr>
                <w:rFonts w:eastAsia="MS Mincho"/>
              </w:rPr>
              <w:t>Placebo bupropion and placebo varenicline</w:t>
            </w:r>
          </w:p>
          <w:p w:rsidR="00232CCC" w:rsidRDefault="00232CCC" w:rsidP="00A71365">
            <w:pPr>
              <w:pStyle w:val="Tablewriting"/>
              <w:rPr>
                <w:rFonts w:eastAsia="MS Mincho"/>
              </w:rPr>
            </w:pPr>
          </w:p>
          <w:p w:rsidR="009232F3" w:rsidRPr="00017AE6" w:rsidRDefault="00232CCC" w:rsidP="00A71365">
            <w:pPr>
              <w:pStyle w:val="Tablewriting"/>
              <w:rPr>
                <w:rFonts w:eastAsia="MS Mincho" w:cstheme="minorHAnsi"/>
              </w:rPr>
            </w:pPr>
            <w:r w:rsidRPr="003078C0">
              <w:rPr>
                <w:rFonts w:eastAsia="MS Mincho"/>
                <w:u w:val="single"/>
              </w:rPr>
              <w:t>Common components:</w:t>
            </w:r>
            <w:r w:rsidRPr="003078C0">
              <w:rPr>
                <w:rFonts w:eastAsia="MS Mincho"/>
              </w:rPr>
              <w:t xml:space="preserve"> brief (&lt; 10 min) individual counselling at each weekly assessment for 12 weeks</w:t>
            </w:r>
            <w:r>
              <w:rPr>
                <w:rFonts w:eastAsia="MS Mincho"/>
              </w:rPr>
              <w:t xml:space="preserve"> </w:t>
            </w:r>
            <w:r w:rsidRPr="003078C0">
              <w:rPr>
                <w:rFonts w:eastAsia="MS Mincho"/>
              </w:rPr>
              <w:t>and 5 follow-up visits. One telephone call 3 days after quit day</w:t>
            </w:r>
          </w:p>
        </w:tc>
        <w:tc>
          <w:tcPr>
            <w:tcW w:w="960" w:type="pct"/>
          </w:tcPr>
          <w:p w:rsidR="00232CCC" w:rsidRPr="00871B41" w:rsidRDefault="00232CCC" w:rsidP="00A71365">
            <w:pPr>
              <w:pStyle w:val="Tablewriting"/>
              <w:rPr>
                <w:rFonts w:eastAsia="MS Mincho"/>
              </w:rPr>
            </w:pPr>
            <w:r w:rsidRPr="00871B41">
              <w:rPr>
                <w:rFonts w:eastAsia="MS Mincho"/>
                <w:u w:val="single"/>
              </w:rPr>
              <w:t xml:space="preserve">Efficacy: </w:t>
            </w:r>
            <w:r w:rsidRPr="00871B41">
              <w:rPr>
                <w:rFonts w:eastAsia="MS Mincho"/>
              </w:rPr>
              <w:t>sustained abstinence at 12 months, from week 9. Validated by CO &lt; 10 ppm at each</w:t>
            </w:r>
          </w:p>
          <w:p w:rsidR="00232CCC" w:rsidRDefault="00232CCC" w:rsidP="00A71365">
            <w:pPr>
              <w:pStyle w:val="Tablewriting"/>
              <w:rPr>
                <w:rFonts w:eastAsia="MS Mincho"/>
              </w:rPr>
            </w:pPr>
            <w:r w:rsidRPr="00871B41">
              <w:rPr>
                <w:rFonts w:eastAsia="MS Mincho"/>
              </w:rPr>
              <w:t>clinic visit</w:t>
            </w:r>
          </w:p>
          <w:p w:rsidR="009232F3" w:rsidRPr="00017AE6" w:rsidRDefault="00232CCC" w:rsidP="00A71365">
            <w:pPr>
              <w:pStyle w:val="Tablewriting"/>
              <w:rPr>
                <w:rFonts w:eastAsia="MS Mincho" w:cstheme="minorHAnsi"/>
              </w:rPr>
            </w:pPr>
            <w:r w:rsidRPr="00871B41">
              <w:rPr>
                <w:rFonts w:eastAsia="MS Mincho"/>
                <w:u w:val="single"/>
              </w:rPr>
              <w:t>Safety:</w:t>
            </w:r>
            <w:r>
              <w:rPr>
                <w:rFonts w:eastAsia="MS Mincho"/>
              </w:rPr>
              <w:t xml:space="preserve"> N/A</w:t>
            </w:r>
          </w:p>
        </w:tc>
      </w:tr>
      <w:tr w:rsidR="009232F3" w:rsidRPr="00017AE6" w:rsidTr="00681E2E">
        <w:trPr>
          <w:trHeight w:val="99"/>
        </w:trPr>
        <w:tc>
          <w:tcPr>
            <w:tcW w:w="459" w:type="pct"/>
          </w:tcPr>
          <w:p w:rsidR="009232F3" w:rsidRPr="00017AE6" w:rsidRDefault="00CD7490" w:rsidP="00A71365">
            <w:pPr>
              <w:pStyle w:val="Tablewriting"/>
              <w:rPr>
                <w:rFonts w:eastAsia="MS Mincho" w:cstheme="minorHAnsi"/>
              </w:rPr>
            </w:pPr>
            <w:r w:rsidRPr="00866DE0">
              <w:rPr>
                <w:rFonts w:eastAsia="MS Mincho"/>
              </w:rPr>
              <w:t xml:space="preserve">Nides </w:t>
            </w:r>
            <w:r w:rsidR="00EF1793">
              <w:rPr>
                <w:rFonts w:eastAsia="MS Mincho"/>
              </w:rPr>
              <w:t>(</w:t>
            </w:r>
            <w:r w:rsidRPr="00866DE0">
              <w:rPr>
                <w:rFonts w:eastAsia="MS Mincho"/>
              </w:rPr>
              <w:t>2006</w:t>
            </w:r>
            <w:r w:rsidR="00EF1793">
              <w:rPr>
                <w:rFonts w:eastAsia="MS Mincho"/>
              </w:rPr>
              <w:t>)</w:t>
            </w:r>
          </w:p>
        </w:tc>
        <w:tc>
          <w:tcPr>
            <w:tcW w:w="388" w:type="pct"/>
          </w:tcPr>
          <w:p w:rsidR="009232F3" w:rsidRPr="00017AE6" w:rsidRDefault="00EF1793" w:rsidP="00A71365">
            <w:pPr>
              <w:pStyle w:val="Tablewriting"/>
              <w:rPr>
                <w:rFonts w:eastAsia="MS Mincho" w:cstheme="minorHAnsi"/>
              </w:rPr>
            </w:pPr>
            <w:r>
              <w:rPr>
                <w:rFonts w:eastAsia="MS Mincho"/>
              </w:rPr>
              <w:t>RCT</w:t>
            </w:r>
          </w:p>
        </w:tc>
        <w:tc>
          <w:tcPr>
            <w:tcW w:w="390" w:type="pct"/>
          </w:tcPr>
          <w:p w:rsidR="009232F3" w:rsidRPr="00017AE6" w:rsidRDefault="00EF1793" w:rsidP="00A71365">
            <w:pPr>
              <w:pStyle w:val="Tablewriting"/>
              <w:rPr>
                <w:rFonts w:eastAsia="MS Mincho" w:cstheme="minorHAnsi"/>
              </w:rPr>
            </w:pPr>
            <w:r>
              <w:rPr>
                <w:rFonts w:eastAsia="MS Mincho"/>
              </w:rPr>
              <w:t>USA</w:t>
            </w:r>
          </w:p>
        </w:tc>
        <w:tc>
          <w:tcPr>
            <w:tcW w:w="432" w:type="pct"/>
          </w:tcPr>
          <w:p w:rsidR="009232F3" w:rsidRPr="00017AE6" w:rsidRDefault="00EF1793" w:rsidP="00A71365">
            <w:pPr>
              <w:pStyle w:val="Tablewriting"/>
              <w:rPr>
                <w:rFonts w:eastAsia="MS Mincho" w:cstheme="minorHAnsi"/>
              </w:rPr>
            </w:pPr>
            <w:r>
              <w:rPr>
                <w:rFonts w:eastAsia="MS Mincho"/>
              </w:rPr>
              <w:t>N=</w:t>
            </w:r>
            <w:r w:rsidRPr="00AA76BD">
              <w:rPr>
                <w:rFonts w:eastAsia="MS Mincho"/>
              </w:rPr>
              <w:t>638</w:t>
            </w:r>
          </w:p>
        </w:tc>
        <w:tc>
          <w:tcPr>
            <w:tcW w:w="1316" w:type="pct"/>
          </w:tcPr>
          <w:p w:rsidR="009232F3" w:rsidRPr="00017AE6" w:rsidRDefault="00EF1793" w:rsidP="00A71365">
            <w:pPr>
              <w:pStyle w:val="Tablewriting"/>
              <w:rPr>
                <w:rFonts w:eastAsia="MS Mincho" w:cstheme="minorHAnsi"/>
              </w:rPr>
            </w:pPr>
            <w:r>
              <w:rPr>
                <w:rFonts w:eastAsia="MS Mincho"/>
              </w:rPr>
              <w:t>S</w:t>
            </w:r>
            <w:r w:rsidRPr="00AA76BD">
              <w:rPr>
                <w:rFonts w:eastAsia="MS Mincho"/>
              </w:rPr>
              <w:t>mokers (255 in relevant arms, including 2 bupropion and 4 placebo who did not start medication);</w:t>
            </w:r>
            <w:r>
              <w:rPr>
                <w:rFonts w:eastAsia="MS Mincho"/>
              </w:rPr>
              <w:t xml:space="preserve"> </w:t>
            </w:r>
            <w:r w:rsidRPr="00AA76BD">
              <w:rPr>
                <w:rFonts w:eastAsia="MS Mincho"/>
              </w:rPr>
              <w:t>51% female; average age 41;</w:t>
            </w:r>
            <w:r>
              <w:rPr>
                <w:rFonts w:eastAsia="MS Mincho"/>
              </w:rPr>
              <w:t xml:space="preserve"> </w:t>
            </w:r>
            <w:r w:rsidRPr="00AA76BD">
              <w:rPr>
                <w:rFonts w:eastAsia="MS Mincho"/>
              </w:rPr>
              <w:t>average cigarettes per day 20</w:t>
            </w:r>
          </w:p>
        </w:tc>
        <w:tc>
          <w:tcPr>
            <w:tcW w:w="1055" w:type="pct"/>
          </w:tcPr>
          <w:p w:rsidR="00EF1793" w:rsidRPr="006B7916" w:rsidRDefault="00EF1793" w:rsidP="00C324F3">
            <w:pPr>
              <w:pStyle w:val="Tablewriting"/>
              <w:numPr>
                <w:ilvl w:val="0"/>
                <w:numId w:val="39"/>
              </w:numPr>
              <w:rPr>
                <w:rFonts w:eastAsia="MS Mincho"/>
              </w:rPr>
            </w:pPr>
            <w:r w:rsidRPr="006B7916">
              <w:rPr>
                <w:rFonts w:eastAsia="MS Mincho"/>
              </w:rPr>
              <w:t>Bupropion, 300 mg for 7 weeks</w:t>
            </w:r>
          </w:p>
          <w:p w:rsidR="00EF1793" w:rsidRDefault="00EF1793" w:rsidP="00C324F3">
            <w:pPr>
              <w:pStyle w:val="Tablewriting"/>
              <w:numPr>
                <w:ilvl w:val="0"/>
                <w:numId w:val="39"/>
              </w:numPr>
              <w:rPr>
                <w:rFonts w:eastAsia="MS Mincho"/>
              </w:rPr>
            </w:pPr>
            <w:r w:rsidRPr="006B7916">
              <w:rPr>
                <w:rFonts w:eastAsia="MS Mincho"/>
              </w:rPr>
              <w:t>Varenicline, 2 mg for 7 weeks (other dose regimens not used in review)</w:t>
            </w:r>
          </w:p>
          <w:p w:rsidR="00EF1793" w:rsidRPr="006B7916" w:rsidRDefault="00EF1793" w:rsidP="00C324F3">
            <w:pPr>
              <w:pStyle w:val="Tablewriting"/>
              <w:numPr>
                <w:ilvl w:val="0"/>
                <w:numId w:val="39"/>
              </w:numPr>
              <w:rPr>
                <w:rFonts w:eastAsia="MS Mincho"/>
              </w:rPr>
            </w:pPr>
            <w:r w:rsidRPr="006B7916">
              <w:rPr>
                <w:rFonts w:eastAsia="MS Mincho"/>
              </w:rPr>
              <w:t xml:space="preserve"> Placebo</w:t>
            </w:r>
          </w:p>
          <w:p w:rsidR="00EF1793" w:rsidRDefault="00EF1793" w:rsidP="00A71365">
            <w:pPr>
              <w:pStyle w:val="Tablewriting"/>
              <w:rPr>
                <w:rFonts w:eastAsia="MS Mincho"/>
              </w:rPr>
            </w:pPr>
          </w:p>
          <w:p w:rsidR="009232F3" w:rsidRPr="00017AE6" w:rsidRDefault="00EF1793" w:rsidP="00A71365">
            <w:pPr>
              <w:pStyle w:val="Tablewriting"/>
              <w:rPr>
                <w:rFonts w:eastAsia="MS Mincho" w:cstheme="minorHAnsi"/>
              </w:rPr>
            </w:pPr>
            <w:r w:rsidRPr="006B7916">
              <w:rPr>
                <w:rFonts w:eastAsia="MS Mincho"/>
                <w:u w:val="single"/>
              </w:rPr>
              <w:t>Common components:</w:t>
            </w:r>
            <w:r w:rsidRPr="006B7916">
              <w:rPr>
                <w:rFonts w:eastAsia="MS Mincho"/>
              </w:rPr>
              <w:t xml:space="preserve"> up to 10 mins counselling at 7</w:t>
            </w:r>
            <w:r>
              <w:rPr>
                <w:rFonts w:eastAsia="MS Mincho"/>
              </w:rPr>
              <w:t xml:space="preserve"> </w:t>
            </w:r>
            <w:r w:rsidRPr="006B7916">
              <w:rPr>
                <w:rFonts w:eastAsia="MS Mincho"/>
              </w:rPr>
              <w:t>weekly clinic visits, 12 weeks and 24 weeks</w:t>
            </w:r>
          </w:p>
        </w:tc>
        <w:tc>
          <w:tcPr>
            <w:tcW w:w="960" w:type="pct"/>
          </w:tcPr>
          <w:p w:rsidR="00EF1793" w:rsidRPr="000B11D5" w:rsidRDefault="00EF1793" w:rsidP="00A71365">
            <w:pPr>
              <w:pStyle w:val="Tablewriting"/>
              <w:rPr>
                <w:rFonts w:eastAsia="MS Mincho"/>
              </w:rPr>
            </w:pPr>
            <w:r w:rsidRPr="000B11D5">
              <w:rPr>
                <w:rFonts w:eastAsia="MS Mincho"/>
                <w:u w:val="single"/>
              </w:rPr>
              <w:t>Efficacy</w:t>
            </w:r>
            <w:r w:rsidRPr="000B11D5">
              <w:rPr>
                <w:rFonts w:eastAsia="MS Mincho"/>
              </w:rPr>
              <w:t>: continuous abstinence at 12 months (starting from week 4). Validated by CO</w:t>
            </w:r>
          </w:p>
          <w:p w:rsidR="009232F3" w:rsidRPr="00017AE6" w:rsidRDefault="00EF1793" w:rsidP="00A71365">
            <w:pPr>
              <w:pStyle w:val="Tablewriting"/>
              <w:rPr>
                <w:rFonts w:eastAsia="MS Mincho" w:cstheme="minorHAnsi"/>
              </w:rPr>
            </w:pPr>
            <w:r w:rsidRPr="000B11D5">
              <w:rPr>
                <w:rFonts w:eastAsia="MS Mincho"/>
                <w:u w:val="single"/>
              </w:rPr>
              <w:t>Safety:</w:t>
            </w:r>
            <w:r w:rsidRPr="000B11D5">
              <w:rPr>
                <w:rFonts w:eastAsia="MS Mincho"/>
              </w:rPr>
              <w:t xml:space="preserve"> measured for 11 weeks</w:t>
            </w:r>
          </w:p>
        </w:tc>
      </w:tr>
      <w:tr w:rsidR="00E30F53" w:rsidRPr="00017AE6" w:rsidTr="00681E2E">
        <w:trPr>
          <w:trHeight w:val="99"/>
        </w:trPr>
        <w:tc>
          <w:tcPr>
            <w:tcW w:w="459" w:type="pct"/>
            <w:shd w:val="clear" w:color="auto" w:fill="F2F2F2" w:themeFill="background1" w:themeFillShade="F2"/>
          </w:tcPr>
          <w:p w:rsidR="00E30F53" w:rsidRPr="00017AE6" w:rsidRDefault="00B82832" w:rsidP="00A71365">
            <w:pPr>
              <w:pStyle w:val="Tablewriting"/>
              <w:rPr>
                <w:rFonts w:eastAsia="MS Mincho" w:cstheme="minorHAnsi"/>
              </w:rPr>
            </w:pPr>
            <w:r w:rsidRPr="004A1946">
              <w:rPr>
                <w:rFonts w:eastAsia="MS Mincho"/>
              </w:rPr>
              <w:t xml:space="preserve">Gray </w:t>
            </w:r>
            <w:r w:rsidR="007F2D86">
              <w:rPr>
                <w:rFonts w:eastAsia="MS Mincho"/>
              </w:rPr>
              <w:t>(</w:t>
            </w:r>
            <w:r w:rsidRPr="004A1946">
              <w:rPr>
                <w:rFonts w:eastAsia="MS Mincho"/>
              </w:rPr>
              <w:t>2012</w:t>
            </w:r>
            <w:r w:rsidR="007F2D86">
              <w:rPr>
                <w:rFonts w:eastAsia="MS Mincho"/>
              </w:rPr>
              <w:t>)</w:t>
            </w:r>
          </w:p>
        </w:tc>
        <w:tc>
          <w:tcPr>
            <w:tcW w:w="388" w:type="pct"/>
            <w:shd w:val="clear" w:color="auto" w:fill="F2F2F2" w:themeFill="background1" w:themeFillShade="F2"/>
          </w:tcPr>
          <w:p w:rsidR="00E30F53" w:rsidRPr="00017AE6" w:rsidRDefault="00BD5171" w:rsidP="00A71365">
            <w:pPr>
              <w:pStyle w:val="Tablewriting"/>
              <w:rPr>
                <w:rFonts w:eastAsia="MS Mincho" w:cstheme="minorHAnsi"/>
              </w:rPr>
            </w:pPr>
            <w:r>
              <w:rPr>
                <w:rFonts w:eastAsia="MS Mincho" w:cstheme="minorHAnsi"/>
              </w:rPr>
              <w:t>RCT</w:t>
            </w:r>
          </w:p>
        </w:tc>
        <w:tc>
          <w:tcPr>
            <w:tcW w:w="390" w:type="pct"/>
            <w:shd w:val="clear" w:color="auto" w:fill="F2F2F2" w:themeFill="background1" w:themeFillShade="F2"/>
          </w:tcPr>
          <w:p w:rsidR="00E30F53" w:rsidRPr="00017AE6" w:rsidRDefault="00BD5171" w:rsidP="00A71365">
            <w:pPr>
              <w:pStyle w:val="Tablewriting"/>
              <w:rPr>
                <w:rFonts w:eastAsia="MS Mincho" w:cstheme="minorHAnsi"/>
              </w:rPr>
            </w:pPr>
            <w:r>
              <w:rPr>
                <w:rFonts w:eastAsia="MS Mincho" w:cstheme="minorHAnsi"/>
              </w:rPr>
              <w:t>USA</w:t>
            </w:r>
          </w:p>
        </w:tc>
        <w:tc>
          <w:tcPr>
            <w:tcW w:w="432" w:type="pct"/>
            <w:shd w:val="clear" w:color="auto" w:fill="F2F2F2" w:themeFill="background1" w:themeFillShade="F2"/>
          </w:tcPr>
          <w:p w:rsidR="00E30F53" w:rsidRPr="00017AE6" w:rsidRDefault="00BD5171" w:rsidP="00A71365">
            <w:pPr>
              <w:pStyle w:val="Tablewriting"/>
              <w:rPr>
                <w:rFonts w:eastAsia="MS Mincho" w:cstheme="minorHAnsi"/>
              </w:rPr>
            </w:pPr>
            <w:r>
              <w:rPr>
                <w:rFonts w:eastAsia="MS Mincho" w:cstheme="minorHAnsi"/>
              </w:rPr>
              <w:t>N=29</w:t>
            </w:r>
            <w:r w:rsidR="005A037E">
              <w:rPr>
                <w:rFonts w:eastAsia="MS Mincho" w:cstheme="minorHAnsi"/>
              </w:rPr>
              <w:t>; n=</w:t>
            </w:r>
            <w:r w:rsidR="00A25167">
              <w:rPr>
                <w:rFonts w:eastAsia="MS Mincho" w:cstheme="minorHAnsi"/>
              </w:rPr>
              <w:t xml:space="preserve">15 (varenicline), </w:t>
            </w:r>
            <w:r w:rsidR="00A25167">
              <w:rPr>
                <w:rFonts w:eastAsia="MS Mincho" w:cstheme="minorHAnsi"/>
              </w:rPr>
              <w:lastRenderedPageBreak/>
              <w:t>n=14 (bupropion)</w:t>
            </w:r>
          </w:p>
        </w:tc>
        <w:tc>
          <w:tcPr>
            <w:tcW w:w="1316" w:type="pct"/>
            <w:shd w:val="clear" w:color="auto" w:fill="F2F2F2" w:themeFill="background1" w:themeFillShade="F2"/>
          </w:tcPr>
          <w:p w:rsidR="00BD5171" w:rsidRDefault="00BD5171" w:rsidP="00A71365">
            <w:pPr>
              <w:pStyle w:val="Tablewriting"/>
              <w:rPr>
                <w:rFonts w:eastAsia="MS Mincho" w:cstheme="minorBidi"/>
              </w:rPr>
            </w:pPr>
            <w:r w:rsidRPr="7146A6F5">
              <w:rPr>
                <w:rFonts w:eastAsia="MS Mincho" w:cstheme="minorBidi"/>
              </w:rPr>
              <w:lastRenderedPageBreak/>
              <w:t>Adolescent smokers, aged 15–20</w:t>
            </w:r>
            <w:r w:rsidR="004A1946" w:rsidRPr="004A1946">
              <w:rPr>
                <w:rFonts w:eastAsia="MS Mincho"/>
              </w:rPr>
              <w:t>,</w:t>
            </w:r>
          </w:p>
          <w:p w:rsidR="00BD5171" w:rsidRPr="00BD5171" w:rsidRDefault="00BD5171" w:rsidP="00A71365">
            <w:pPr>
              <w:pStyle w:val="Tablewriting"/>
              <w:rPr>
                <w:rFonts w:eastAsia="MS Mincho" w:cstheme="minorHAnsi"/>
              </w:rPr>
            </w:pPr>
            <w:r w:rsidRPr="00BD5171">
              <w:rPr>
                <w:rFonts w:eastAsia="MS Mincho" w:cstheme="minorHAnsi"/>
              </w:rPr>
              <w:t>51.8% female</w:t>
            </w:r>
            <w:r w:rsidR="004A1946" w:rsidRPr="004A1946">
              <w:rPr>
                <w:rFonts w:eastAsia="MS Mincho"/>
              </w:rPr>
              <w:t>,</w:t>
            </w:r>
            <w:r w:rsidRPr="00BD5171">
              <w:rPr>
                <w:rFonts w:eastAsia="MS Mincho" w:cstheme="minorHAnsi"/>
              </w:rPr>
              <w:t xml:space="preserve"> average age 18.9</w:t>
            </w:r>
            <w:r w:rsidR="004A1946" w:rsidRPr="004A1946">
              <w:rPr>
                <w:rFonts w:eastAsia="MS Mincho"/>
              </w:rPr>
              <w:t>,</w:t>
            </w:r>
            <w:r w:rsidRPr="00BD5171">
              <w:rPr>
                <w:rFonts w:eastAsia="MS Mincho" w:cstheme="minorHAnsi"/>
              </w:rPr>
              <w:t xml:space="preserve"> average cigarettes per day 15.6</w:t>
            </w:r>
            <w:r w:rsidR="004A1946" w:rsidRPr="004A1946">
              <w:rPr>
                <w:rFonts w:eastAsia="MS Mincho"/>
              </w:rPr>
              <w:t>,</w:t>
            </w:r>
            <w:r w:rsidRPr="00BD5171">
              <w:rPr>
                <w:rFonts w:eastAsia="MS Mincho" w:cstheme="minorHAnsi"/>
              </w:rPr>
              <w:t xml:space="preserve"> mean FTND</w:t>
            </w:r>
            <w:r w:rsidR="004A1946" w:rsidRPr="004A1946">
              <w:rPr>
                <w:rFonts w:eastAsia="MS Mincho"/>
              </w:rPr>
              <w:t xml:space="preserve"> </w:t>
            </w:r>
            <w:r w:rsidRPr="00BD5171">
              <w:rPr>
                <w:rFonts w:eastAsia="MS Mincho" w:cstheme="minorHAnsi"/>
              </w:rPr>
              <w:t>6.7</w:t>
            </w:r>
            <w:r w:rsidR="004A1946" w:rsidRPr="004A1946">
              <w:rPr>
                <w:rFonts w:eastAsia="MS Mincho"/>
              </w:rPr>
              <w:t>.</w:t>
            </w:r>
          </w:p>
          <w:p w:rsidR="00E30F53" w:rsidRPr="00017AE6" w:rsidRDefault="00E30F53" w:rsidP="00A71365">
            <w:pPr>
              <w:pStyle w:val="Tablewriting"/>
              <w:rPr>
                <w:rFonts w:eastAsia="MS Mincho" w:cstheme="minorHAnsi"/>
              </w:rPr>
            </w:pPr>
          </w:p>
        </w:tc>
        <w:tc>
          <w:tcPr>
            <w:tcW w:w="1055" w:type="pct"/>
            <w:shd w:val="clear" w:color="auto" w:fill="F2F2F2" w:themeFill="background1" w:themeFillShade="F2"/>
          </w:tcPr>
          <w:p w:rsidR="00C81062" w:rsidRDefault="009C268C" w:rsidP="00C324F3">
            <w:pPr>
              <w:pStyle w:val="Tablewriting"/>
              <w:numPr>
                <w:ilvl w:val="0"/>
                <w:numId w:val="74"/>
              </w:numPr>
              <w:rPr>
                <w:rFonts w:eastAsia="MS Mincho" w:cstheme="minorHAnsi"/>
              </w:rPr>
            </w:pPr>
            <w:r w:rsidRPr="009C268C">
              <w:rPr>
                <w:rFonts w:eastAsia="MS Mincho" w:cstheme="minorHAnsi"/>
              </w:rPr>
              <w:lastRenderedPageBreak/>
              <w:t>Bupropion XL + placebo</w:t>
            </w:r>
            <w:r>
              <w:rPr>
                <w:rFonts w:eastAsia="MS Mincho" w:cstheme="minorHAnsi"/>
              </w:rPr>
              <w:t xml:space="preserve">; </w:t>
            </w:r>
            <w:r w:rsidRPr="009C268C">
              <w:rPr>
                <w:rFonts w:eastAsia="MS Mincho" w:cstheme="minorHAnsi"/>
              </w:rPr>
              <w:t>150 mg once daily for 7 days, then 300 mg daily thereafter</w:t>
            </w:r>
            <w:r>
              <w:rPr>
                <w:rFonts w:eastAsia="MS Mincho" w:cstheme="minorHAnsi"/>
              </w:rPr>
              <w:t xml:space="preserve"> </w:t>
            </w:r>
            <w:r>
              <w:rPr>
                <w:rFonts w:eastAsia="MS Mincho" w:cstheme="minorHAnsi"/>
              </w:rPr>
              <w:lastRenderedPageBreak/>
              <w:t>(</w:t>
            </w:r>
            <w:r w:rsidRPr="009C268C">
              <w:rPr>
                <w:rFonts w:eastAsia="MS Mincho" w:cstheme="minorHAnsi"/>
              </w:rPr>
              <w:t>Placebo capsules</w:t>
            </w:r>
            <w:r>
              <w:rPr>
                <w:rFonts w:eastAsia="MS Mincho" w:cstheme="minorHAnsi"/>
              </w:rPr>
              <w:t xml:space="preserve"> </w:t>
            </w:r>
            <w:r w:rsidRPr="009C268C">
              <w:rPr>
                <w:rFonts w:eastAsia="MS Mincho" w:cstheme="minorHAnsi"/>
              </w:rPr>
              <w:t>were used at times when no active medication was scheduled</w:t>
            </w:r>
            <w:r>
              <w:rPr>
                <w:rFonts w:eastAsia="MS Mincho" w:cstheme="minorHAnsi"/>
              </w:rPr>
              <w:t>).</w:t>
            </w:r>
          </w:p>
          <w:p w:rsidR="00B82832" w:rsidRDefault="009C268C" w:rsidP="00C324F3">
            <w:pPr>
              <w:pStyle w:val="Tablewriting"/>
              <w:numPr>
                <w:ilvl w:val="0"/>
                <w:numId w:val="74"/>
              </w:numPr>
              <w:rPr>
                <w:rFonts w:eastAsia="MS Mincho" w:cstheme="minorHAnsi"/>
              </w:rPr>
            </w:pPr>
            <w:r w:rsidRPr="00C81062">
              <w:rPr>
                <w:rFonts w:eastAsia="MS Mincho" w:cstheme="minorHAnsi"/>
              </w:rPr>
              <w:t>Varenicline + placebo. Participants S 55 kg received 0.5 mg daily for 3 days, 0.5 mg twice daily for 4</w:t>
            </w:r>
            <w:r w:rsidR="00C81062">
              <w:rPr>
                <w:rFonts w:eastAsia="MS Mincho" w:cstheme="minorHAnsi"/>
              </w:rPr>
              <w:t xml:space="preserve"> </w:t>
            </w:r>
            <w:r w:rsidRPr="00C81062">
              <w:rPr>
                <w:rFonts w:eastAsia="MS Mincho" w:cstheme="minorHAnsi"/>
              </w:rPr>
              <w:t>days, and then 1 mg twice daily thereafter. Those &lt; 55 kg received 0.5 mg daily for 7 days and then</w:t>
            </w:r>
            <w:r w:rsidR="00C81062">
              <w:rPr>
                <w:rFonts w:eastAsia="MS Mincho" w:cstheme="minorHAnsi"/>
              </w:rPr>
              <w:t xml:space="preserve"> </w:t>
            </w:r>
            <w:r w:rsidRPr="00C81062">
              <w:rPr>
                <w:rFonts w:eastAsia="MS Mincho" w:cstheme="minorHAnsi"/>
              </w:rPr>
              <w:t>0.5 mg twice daily</w:t>
            </w:r>
            <w:r w:rsidR="00C81062">
              <w:rPr>
                <w:rFonts w:eastAsia="MS Mincho" w:cstheme="minorHAnsi"/>
              </w:rPr>
              <w:t xml:space="preserve"> </w:t>
            </w:r>
            <w:r w:rsidRPr="00C81062">
              <w:rPr>
                <w:rFonts w:eastAsia="MS Mincho" w:cstheme="minorHAnsi"/>
              </w:rPr>
              <w:t>thereafter</w:t>
            </w:r>
            <w:r w:rsidR="00C81062">
              <w:rPr>
                <w:rFonts w:eastAsia="MS Mincho" w:cstheme="minorHAnsi"/>
              </w:rPr>
              <w:t>.</w:t>
            </w:r>
          </w:p>
          <w:p w:rsidR="00C81062" w:rsidRDefault="00C81062" w:rsidP="00A71365">
            <w:pPr>
              <w:pStyle w:val="Tablewriting"/>
              <w:rPr>
                <w:rFonts w:eastAsia="MS Mincho"/>
                <w:u w:val="single"/>
              </w:rPr>
            </w:pPr>
          </w:p>
          <w:p w:rsidR="00C81062" w:rsidRDefault="00C81062" w:rsidP="00A71365">
            <w:pPr>
              <w:pStyle w:val="Tablewriting"/>
              <w:rPr>
                <w:rFonts w:eastAsia="MS Mincho" w:cstheme="minorHAnsi"/>
              </w:rPr>
            </w:pPr>
            <w:r w:rsidRPr="006B7916">
              <w:rPr>
                <w:rFonts w:eastAsia="MS Mincho"/>
                <w:u w:val="single"/>
              </w:rPr>
              <w:t>Common components:</w:t>
            </w:r>
          </w:p>
          <w:p w:rsidR="00E30F53" w:rsidRPr="00017AE6" w:rsidRDefault="00C81062" w:rsidP="00A71365">
            <w:pPr>
              <w:pStyle w:val="Tablewriting"/>
              <w:rPr>
                <w:rFonts w:eastAsia="MS Mincho" w:cstheme="minorHAnsi"/>
              </w:rPr>
            </w:pPr>
            <w:r w:rsidRPr="00C81062">
              <w:rPr>
                <w:rFonts w:eastAsia="MS Mincho" w:cstheme="minorHAnsi"/>
              </w:rPr>
              <w:t>All participants received quit smoking brochures and brief individual cessation</w:t>
            </w:r>
            <w:r>
              <w:rPr>
                <w:rFonts w:eastAsia="MS Mincho" w:cstheme="minorHAnsi"/>
              </w:rPr>
              <w:t xml:space="preserve"> </w:t>
            </w:r>
            <w:r w:rsidR="00836B64">
              <w:rPr>
                <w:rFonts w:eastAsia="MS Mincho" w:cstheme="minorHAnsi"/>
              </w:rPr>
              <w:t xml:space="preserve">counselling, totalling 90 </w:t>
            </w:r>
            <w:r w:rsidRPr="00C81062">
              <w:rPr>
                <w:rFonts w:eastAsia="MS Mincho" w:cstheme="minorHAnsi"/>
              </w:rPr>
              <w:t>minutes.</w:t>
            </w:r>
          </w:p>
        </w:tc>
        <w:tc>
          <w:tcPr>
            <w:tcW w:w="960" w:type="pct"/>
            <w:shd w:val="clear" w:color="auto" w:fill="F2F2F2" w:themeFill="background1" w:themeFillShade="F2"/>
          </w:tcPr>
          <w:p w:rsidR="00A46E28" w:rsidRPr="00A46E28" w:rsidRDefault="00A46E28" w:rsidP="00A71365">
            <w:pPr>
              <w:pStyle w:val="Tablewriting"/>
              <w:rPr>
                <w:rFonts w:eastAsia="MS Mincho" w:cstheme="minorBidi"/>
              </w:rPr>
            </w:pPr>
            <w:r w:rsidRPr="1A452A87">
              <w:rPr>
                <w:rFonts w:eastAsia="MS Mincho" w:cstheme="minorBidi"/>
                <w:u w:val="single"/>
              </w:rPr>
              <w:lastRenderedPageBreak/>
              <w:t>Efficacy:</w:t>
            </w:r>
            <w:r w:rsidRPr="1A452A87">
              <w:rPr>
                <w:rFonts w:eastAsia="MS Mincho" w:cstheme="minorBidi"/>
              </w:rPr>
              <w:t xml:space="preserve"> </w:t>
            </w:r>
            <w:r w:rsidR="002F5A54">
              <w:rPr>
                <w:rFonts w:eastAsia="MS Mincho" w:cstheme="minorBidi"/>
              </w:rPr>
              <w:t xml:space="preserve">PPA at </w:t>
            </w:r>
            <w:r w:rsidRPr="1A452A87">
              <w:rPr>
                <w:rFonts w:eastAsia="MS Mincho" w:cstheme="minorBidi"/>
              </w:rPr>
              <w:t>12 weeks</w:t>
            </w:r>
          </w:p>
          <w:p w:rsidR="007E4E33" w:rsidRDefault="007E4E33" w:rsidP="00A71365">
            <w:pPr>
              <w:pStyle w:val="Tablewriting"/>
              <w:rPr>
                <w:rFonts w:eastAsia="MS Mincho" w:cstheme="minorHAnsi"/>
              </w:rPr>
            </w:pPr>
          </w:p>
          <w:p w:rsidR="00E30F53" w:rsidRPr="00017AE6" w:rsidRDefault="007E4E33" w:rsidP="00A71365">
            <w:pPr>
              <w:pStyle w:val="Tablewriting"/>
              <w:rPr>
                <w:rFonts w:eastAsia="MS Mincho" w:cstheme="minorBidi"/>
              </w:rPr>
            </w:pPr>
            <w:r w:rsidRPr="007E4E33">
              <w:rPr>
                <w:rFonts w:eastAsia="MS Mincho" w:cstheme="minorHAnsi"/>
                <w:u w:val="single"/>
              </w:rPr>
              <w:lastRenderedPageBreak/>
              <w:t>Safety</w:t>
            </w:r>
            <w:r w:rsidR="00A46E28" w:rsidRPr="007E4E33">
              <w:rPr>
                <w:rFonts w:eastAsia="MS Mincho" w:cstheme="minorHAnsi"/>
                <w:u w:val="single"/>
              </w:rPr>
              <w:t>:</w:t>
            </w:r>
            <w:r w:rsidR="00A46E28" w:rsidRPr="1A452A87">
              <w:rPr>
                <w:rFonts w:eastAsia="MS Mincho" w:cstheme="minorBidi"/>
              </w:rPr>
              <w:t xml:space="preserve"> </w:t>
            </w:r>
            <w:r w:rsidR="002F5A54">
              <w:rPr>
                <w:rFonts w:eastAsia="MS Mincho" w:cstheme="minorBidi"/>
              </w:rPr>
              <w:t xml:space="preserve">AEs and SAEs </w:t>
            </w:r>
            <w:r w:rsidR="00A46E28" w:rsidRPr="1A452A87">
              <w:rPr>
                <w:rFonts w:eastAsia="MS Mincho" w:cstheme="minorBidi"/>
              </w:rPr>
              <w:t>measured for 12 weeks</w:t>
            </w:r>
          </w:p>
        </w:tc>
      </w:tr>
      <w:tr w:rsidR="00336771" w:rsidRPr="00017AE6" w:rsidTr="00681E2E">
        <w:trPr>
          <w:trHeight w:val="99"/>
        </w:trPr>
        <w:tc>
          <w:tcPr>
            <w:tcW w:w="459" w:type="pct"/>
            <w:shd w:val="clear" w:color="auto" w:fill="F2F2F2" w:themeFill="background1" w:themeFillShade="F2"/>
          </w:tcPr>
          <w:p w:rsidR="00336771" w:rsidRPr="00017AE6" w:rsidRDefault="00B82832" w:rsidP="00A71365">
            <w:pPr>
              <w:pStyle w:val="Tablewriting"/>
              <w:rPr>
                <w:rFonts w:eastAsia="MS Mincho" w:cstheme="minorHAnsi"/>
              </w:rPr>
            </w:pPr>
            <w:r w:rsidRPr="004A1946">
              <w:rPr>
                <w:rFonts w:eastAsia="MS Mincho"/>
              </w:rPr>
              <w:lastRenderedPageBreak/>
              <w:t xml:space="preserve">Zincir </w:t>
            </w:r>
            <w:r w:rsidR="007F2D86">
              <w:rPr>
                <w:rFonts w:eastAsia="MS Mincho"/>
              </w:rPr>
              <w:t>(</w:t>
            </w:r>
            <w:r w:rsidRPr="004A1946">
              <w:rPr>
                <w:rFonts w:eastAsia="MS Mincho"/>
              </w:rPr>
              <w:t>2013</w:t>
            </w:r>
            <w:r w:rsidR="007F2D86">
              <w:rPr>
                <w:rFonts w:eastAsia="MS Mincho"/>
              </w:rPr>
              <w:t>)</w:t>
            </w:r>
          </w:p>
        </w:tc>
        <w:tc>
          <w:tcPr>
            <w:tcW w:w="388" w:type="pct"/>
            <w:shd w:val="clear" w:color="auto" w:fill="F2F2F2" w:themeFill="background1" w:themeFillShade="F2"/>
          </w:tcPr>
          <w:p w:rsidR="00336771" w:rsidRPr="00017AE6" w:rsidRDefault="004B565C" w:rsidP="00A71365">
            <w:pPr>
              <w:pStyle w:val="Tablewriting"/>
              <w:rPr>
                <w:rFonts w:eastAsia="MS Mincho" w:cstheme="minorHAnsi"/>
              </w:rPr>
            </w:pPr>
            <w:r>
              <w:rPr>
                <w:rFonts w:eastAsia="MS Mincho" w:cstheme="minorHAnsi"/>
              </w:rPr>
              <w:t>N</w:t>
            </w:r>
            <w:r w:rsidRPr="004B565C">
              <w:rPr>
                <w:rFonts w:eastAsia="MS Mincho" w:cstheme="minorHAnsi"/>
              </w:rPr>
              <w:t>aturalistic clinical follow-up study</w:t>
            </w:r>
          </w:p>
        </w:tc>
        <w:tc>
          <w:tcPr>
            <w:tcW w:w="390" w:type="pct"/>
            <w:shd w:val="clear" w:color="auto" w:fill="F2F2F2" w:themeFill="background1" w:themeFillShade="F2"/>
          </w:tcPr>
          <w:p w:rsidR="00336771" w:rsidRPr="00017AE6" w:rsidRDefault="004B565C" w:rsidP="00A71365">
            <w:pPr>
              <w:pStyle w:val="Tablewriting"/>
              <w:rPr>
                <w:rFonts w:eastAsia="MS Mincho" w:cstheme="minorHAnsi"/>
              </w:rPr>
            </w:pPr>
            <w:r>
              <w:rPr>
                <w:rFonts w:eastAsia="MS Mincho" w:cstheme="minorHAnsi"/>
              </w:rPr>
              <w:t>Turkey</w:t>
            </w:r>
          </w:p>
        </w:tc>
        <w:tc>
          <w:tcPr>
            <w:tcW w:w="432" w:type="pct"/>
            <w:shd w:val="clear" w:color="auto" w:fill="F2F2F2" w:themeFill="background1" w:themeFillShade="F2"/>
          </w:tcPr>
          <w:p w:rsidR="00336771" w:rsidRPr="00017AE6" w:rsidRDefault="004B565C" w:rsidP="00A71365">
            <w:pPr>
              <w:pStyle w:val="Tablewriting"/>
              <w:rPr>
                <w:rFonts w:eastAsia="MS Mincho" w:cstheme="minorHAnsi"/>
              </w:rPr>
            </w:pPr>
            <w:r>
              <w:rPr>
                <w:rFonts w:eastAsia="MS Mincho" w:cstheme="minorHAnsi"/>
              </w:rPr>
              <w:t>N=</w:t>
            </w:r>
            <w:r w:rsidR="00195F6A">
              <w:rPr>
                <w:rFonts w:eastAsia="MS Mincho" w:cstheme="minorHAnsi"/>
              </w:rPr>
              <w:t>300</w:t>
            </w:r>
          </w:p>
        </w:tc>
        <w:tc>
          <w:tcPr>
            <w:tcW w:w="1316" w:type="pct"/>
            <w:shd w:val="clear" w:color="auto" w:fill="F2F2F2" w:themeFill="background1" w:themeFillShade="F2"/>
          </w:tcPr>
          <w:p w:rsidR="00B776D2" w:rsidRDefault="00B776D2" w:rsidP="00A71365">
            <w:pPr>
              <w:pStyle w:val="Tablewriting"/>
              <w:rPr>
                <w:rFonts w:eastAsia="MS Mincho" w:cstheme="minorHAnsi"/>
              </w:rPr>
            </w:pPr>
            <w:r>
              <w:rPr>
                <w:rFonts w:eastAsia="MS Mincho" w:cstheme="minorHAnsi"/>
              </w:rPr>
              <w:t xml:space="preserve">Smokers with </w:t>
            </w:r>
            <w:r w:rsidR="00195F6A" w:rsidRPr="00195F6A">
              <w:rPr>
                <w:rFonts w:eastAsia="MS Mincho" w:cstheme="minorHAnsi"/>
              </w:rPr>
              <w:t xml:space="preserve">average age 45.8 </w:t>
            </w:r>
            <w:r w:rsidR="00195F6A">
              <w:rPr>
                <w:rFonts w:eastAsia="MS Mincho" w:cstheme="minorHAnsi"/>
              </w:rPr>
              <w:t xml:space="preserve">years </w:t>
            </w:r>
            <w:r w:rsidR="00195F6A" w:rsidRPr="00195F6A">
              <w:rPr>
                <w:rFonts w:eastAsia="MS Mincho" w:cstheme="minorHAnsi"/>
              </w:rPr>
              <w:t>in those who stopped smoking and 40.8</w:t>
            </w:r>
            <w:r w:rsidR="00195F6A">
              <w:rPr>
                <w:rFonts w:eastAsia="MS Mincho" w:cstheme="minorHAnsi"/>
              </w:rPr>
              <w:t xml:space="preserve"> years</w:t>
            </w:r>
            <w:r w:rsidR="00195F6A" w:rsidRPr="00195F6A">
              <w:rPr>
                <w:rFonts w:eastAsia="MS Mincho" w:cstheme="minorHAnsi"/>
              </w:rPr>
              <w:t xml:space="preserve"> in those who</w:t>
            </w:r>
            <w:r>
              <w:rPr>
                <w:rFonts w:eastAsia="MS Mincho" w:cstheme="minorHAnsi"/>
              </w:rPr>
              <w:t xml:space="preserve"> </w:t>
            </w:r>
            <w:r w:rsidR="00195F6A" w:rsidRPr="00195F6A">
              <w:rPr>
                <w:rFonts w:eastAsia="MS Mincho" w:cstheme="minorHAnsi"/>
              </w:rPr>
              <w:t>continued smoking</w:t>
            </w:r>
            <w:r>
              <w:rPr>
                <w:rFonts w:eastAsia="MS Mincho" w:cstheme="minorHAnsi"/>
              </w:rPr>
              <w:t>.</w:t>
            </w:r>
            <w:r w:rsidR="00195F6A" w:rsidRPr="00195F6A">
              <w:rPr>
                <w:rFonts w:eastAsia="MS Mincho" w:cstheme="minorHAnsi"/>
              </w:rPr>
              <w:t xml:space="preserve"> </w:t>
            </w:r>
          </w:p>
          <w:p w:rsidR="00B776D2" w:rsidRDefault="00B776D2" w:rsidP="00A71365">
            <w:pPr>
              <w:pStyle w:val="Tablewriting"/>
              <w:rPr>
                <w:rFonts w:eastAsia="MS Mincho" w:cstheme="minorHAnsi"/>
              </w:rPr>
            </w:pPr>
          </w:p>
          <w:p w:rsidR="00B776D2" w:rsidRDefault="00B776D2" w:rsidP="00A71365">
            <w:pPr>
              <w:pStyle w:val="Tablewriting"/>
              <w:rPr>
                <w:rFonts w:eastAsia="MS Mincho" w:cstheme="minorHAnsi"/>
              </w:rPr>
            </w:pPr>
            <w:r>
              <w:rPr>
                <w:rFonts w:eastAsia="MS Mincho" w:cstheme="minorHAnsi"/>
              </w:rPr>
              <w:t>A</w:t>
            </w:r>
            <w:r w:rsidR="00195F6A" w:rsidRPr="00195F6A">
              <w:rPr>
                <w:rFonts w:eastAsia="MS Mincho" w:cstheme="minorHAnsi"/>
              </w:rPr>
              <w:t>verage boxes of cigarettes per year 23.62 in those who stopped smoking and</w:t>
            </w:r>
            <w:r w:rsidR="00195F6A">
              <w:rPr>
                <w:rFonts w:eastAsia="MS Mincho" w:cstheme="minorHAnsi"/>
              </w:rPr>
              <w:t xml:space="preserve"> </w:t>
            </w:r>
            <w:r w:rsidR="00195F6A" w:rsidRPr="00195F6A">
              <w:rPr>
                <w:rFonts w:eastAsia="MS Mincho" w:cstheme="minorHAnsi"/>
              </w:rPr>
              <w:t>23.26 in those who continued smoking</w:t>
            </w:r>
            <w:r w:rsidR="00195F6A">
              <w:rPr>
                <w:rFonts w:eastAsia="MS Mincho" w:cstheme="minorHAnsi"/>
              </w:rPr>
              <w:t>,</w:t>
            </w:r>
            <w:r w:rsidR="00195F6A" w:rsidRPr="00195F6A">
              <w:rPr>
                <w:rFonts w:eastAsia="MS Mincho" w:cstheme="minorHAnsi"/>
              </w:rPr>
              <w:t xml:space="preserve"> </w:t>
            </w:r>
          </w:p>
          <w:p w:rsidR="00B776D2" w:rsidRDefault="00B776D2" w:rsidP="00A71365">
            <w:pPr>
              <w:pStyle w:val="Tablewriting"/>
              <w:rPr>
                <w:rFonts w:eastAsia="MS Mincho" w:cstheme="minorHAnsi"/>
              </w:rPr>
            </w:pPr>
          </w:p>
          <w:p w:rsidR="00336771" w:rsidRPr="00017AE6" w:rsidRDefault="00B776D2" w:rsidP="00A71365">
            <w:pPr>
              <w:pStyle w:val="Tablewriting"/>
              <w:rPr>
                <w:rFonts w:eastAsia="MS Mincho" w:cstheme="minorHAnsi"/>
              </w:rPr>
            </w:pPr>
            <w:r>
              <w:rPr>
                <w:rFonts w:eastAsia="MS Mincho" w:cstheme="minorHAnsi"/>
              </w:rPr>
              <w:t>M</w:t>
            </w:r>
            <w:r w:rsidR="00195F6A" w:rsidRPr="00195F6A">
              <w:rPr>
                <w:rFonts w:eastAsia="MS Mincho" w:cstheme="minorHAnsi"/>
              </w:rPr>
              <w:t>ean FTND 5.9 in those who stopped smoking and 6.7 in those</w:t>
            </w:r>
            <w:r>
              <w:rPr>
                <w:rFonts w:eastAsia="MS Mincho" w:cstheme="minorHAnsi"/>
              </w:rPr>
              <w:t xml:space="preserve"> </w:t>
            </w:r>
            <w:r w:rsidR="00195F6A" w:rsidRPr="00195F6A">
              <w:rPr>
                <w:rFonts w:eastAsia="MS Mincho" w:cstheme="minorHAnsi"/>
              </w:rPr>
              <w:t>who continued smoking</w:t>
            </w:r>
            <w:r w:rsidR="00195F6A">
              <w:rPr>
                <w:rFonts w:eastAsia="MS Mincho" w:cstheme="minorHAnsi"/>
              </w:rPr>
              <w:t>.</w:t>
            </w:r>
          </w:p>
        </w:tc>
        <w:tc>
          <w:tcPr>
            <w:tcW w:w="1055" w:type="pct"/>
            <w:shd w:val="clear" w:color="auto" w:fill="F2F2F2" w:themeFill="background1" w:themeFillShade="F2"/>
          </w:tcPr>
          <w:p w:rsidR="004C15ED" w:rsidRDefault="00B776D2" w:rsidP="00C324F3">
            <w:pPr>
              <w:pStyle w:val="Tablewriting"/>
              <w:numPr>
                <w:ilvl w:val="0"/>
                <w:numId w:val="75"/>
              </w:numPr>
              <w:rPr>
                <w:rFonts w:eastAsia="MS Mincho" w:cstheme="minorBidi"/>
              </w:rPr>
            </w:pPr>
            <w:r w:rsidRPr="5BBA6992">
              <w:rPr>
                <w:rFonts w:eastAsia="MS Mincho" w:cstheme="minorBidi"/>
              </w:rPr>
              <w:t>Bupropion 150 mg/day, started a week before the quit day and continued from day 1-3, raised to 300</w:t>
            </w:r>
            <w:r w:rsidR="004C15ED" w:rsidRPr="5BBA6992">
              <w:rPr>
                <w:rFonts w:eastAsia="MS Mincho" w:cstheme="minorBidi"/>
              </w:rPr>
              <w:t xml:space="preserve"> </w:t>
            </w:r>
            <w:r w:rsidRPr="5BBA6992">
              <w:rPr>
                <w:rFonts w:eastAsia="MS Mincho" w:cstheme="minorBidi"/>
              </w:rPr>
              <w:t>mg daily on day 4, with this dose maintained until the end of week 12</w:t>
            </w:r>
            <w:r w:rsidR="004C15ED" w:rsidRPr="5BBA6992">
              <w:rPr>
                <w:rFonts w:eastAsia="MS Mincho" w:cstheme="minorBidi"/>
              </w:rPr>
              <w:t>.</w:t>
            </w:r>
          </w:p>
          <w:p w:rsidR="004C15ED" w:rsidRDefault="00B776D2" w:rsidP="00C324F3">
            <w:pPr>
              <w:pStyle w:val="Tablewriting"/>
              <w:numPr>
                <w:ilvl w:val="0"/>
                <w:numId w:val="75"/>
              </w:numPr>
              <w:rPr>
                <w:rFonts w:eastAsia="MS Mincho" w:cstheme="minorBidi"/>
              </w:rPr>
            </w:pPr>
            <w:r w:rsidRPr="5BBA6992">
              <w:rPr>
                <w:rFonts w:eastAsia="MS Mincho" w:cstheme="minorBidi"/>
              </w:rPr>
              <w:t>Varenicline 0.5 mg daily, raised to 1 mg daily at day 4, then to 2 mg daily at day 8, with this dose maintained</w:t>
            </w:r>
            <w:r w:rsidR="004C15ED" w:rsidRPr="5BBA6992">
              <w:rPr>
                <w:rFonts w:eastAsia="MS Mincho" w:cstheme="minorBidi"/>
              </w:rPr>
              <w:t xml:space="preserve"> </w:t>
            </w:r>
            <w:r w:rsidRPr="5BBA6992">
              <w:rPr>
                <w:rFonts w:eastAsia="MS Mincho" w:cstheme="minorBidi"/>
              </w:rPr>
              <w:t>until the end of week 12</w:t>
            </w:r>
            <w:r w:rsidR="004C15ED" w:rsidRPr="5BBA6992">
              <w:rPr>
                <w:rFonts w:eastAsia="MS Mincho" w:cstheme="minorBidi"/>
              </w:rPr>
              <w:t>.</w:t>
            </w:r>
          </w:p>
          <w:p w:rsidR="004C15ED" w:rsidRDefault="00B776D2" w:rsidP="00C324F3">
            <w:pPr>
              <w:pStyle w:val="Tablewriting"/>
              <w:numPr>
                <w:ilvl w:val="0"/>
                <w:numId w:val="75"/>
              </w:numPr>
              <w:rPr>
                <w:rFonts w:eastAsia="MS Mincho" w:cstheme="minorBidi"/>
              </w:rPr>
            </w:pPr>
            <w:r w:rsidRPr="5BBA6992">
              <w:rPr>
                <w:rFonts w:eastAsia="MS Mincho" w:cstheme="minorBidi"/>
              </w:rPr>
              <w:t>Nicotine replacement therapy. Administered using either a nicotine patch or nicotine gum, or a combination</w:t>
            </w:r>
            <w:r w:rsidR="004C15ED" w:rsidRPr="5BBA6992">
              <w:rPr>
                <w:rFonts w:eastAsia="MS Mincho" w:cstheme="minorBidi"/>
              </w:rPr>
              <w:t xml:space="preserve"> </w:t>
            </w:r>
            <w:r w:rsidRPr="5BBA6992">
              <w:rPr>
                <w:rFonts w:eastAsia="MS Mincho" w:cstheme="minorBidi"/>
              </w:rPr>
              <w:t xml:space="preserve">of both. Nicotine patches were </w:t>
            </w:r>
            <w:r w:rsidRPr="5BBA6992">
              <w:rPr>
                <w:rFonts w:eastAsia="MS Mincho" w:cstheme="minorBidi"/>
              </w:rPr>
              <w:lastRenderedPageBreak/>
              <w:t>used in their three forms containing 21, 14 and 7 mg of nicotine,</w:t>
            </w:r>
            <w:r w:rsidR="004C15ED" w:rsidRPr="5BBA6992">
              <w:rPr>
                <w:rFonts w:eastAsia="MS Mincho" w:cstheme="minorBidi"/>
              </w:rPr>
              <w:t xml:space="preserve"> </w:t>
            </w:r>
            <w:r w:rsidRPr="5BBA6992">
              <w:rPr>
                <w:rFonts w:eastAsia="MS Mincho" w:cstheme="minorBidi"/>
              </w:rPr>
              <w:t xml:space="preserve">and in cases of excessive nicotine craving, 2 mg nicotine gum was used. </w:t>
            </w:r>
          </w:p>
          <w:p w:rsidR="00336771" w:rsidRPr="00017AE6" w:rsidRDefault="00B776D2" w:rsidP="00A71365">
            <w:pPr>
              <w:pStyle w:val="Tablewriting"/>
              <w:ind w:left="360"/>
              <w:rPr>
                <w:rFonts w:eastAsia="MS Mincho" w:cstheme="minorBidi"/>
              </w:rPr>
            </w:pPr>
            <w:r w:rsidRPr="5BBA6992">
              <w:rPr>
                <w:rFonts w:eastAsia="MS Mincho" w:cstheme="minorBidi"/>
              </w:rPr>
              <w:t>For each dose of nicotine</w:t>
            </w:r>
            <w:r w:rsidR="004C15ED" w:rsidRPr="5BBA6992">
              <w:rPr>
                <w:rFonts w:eastAsia="MS Mincho" w:cstheme="minorBidi"/>
              </w:rPr>
              <w:t xml:space="preserve"> patches, 4 weeks of administration in decreasing doses was recommended. The nicotine gum was started between 12 and 24 doses (2 mg) a day and gradually decreased.</w:t>
            </w:r>
          </w:p>
        </w:tc>
        <w:tc>
          <w:tcPr>
            <w:tcW w:w="960" w:type="pct"/>
            <w:shd w:val="clear" w:color="auto" w:fill="F2F2F2" w:themeFill="background1" w:themeFillShade="F2"/>
          </w:tcPr>
          <w:p w:rsidR="005769DB" w:rsidRDefault="005769DB" w:rsidP="00A71365">
            <w:pPr>
              <w:pStyle w:val="Tablewriting"/>
              <w:rPr>
                <w:rFonts w:eastAsia="MS Mincho" w:cstheme="minorHAnsi"/>
              </w:rPr>
            </w:pPr>
            <w:r w:rsidRPr="005769DB">
              <w:rPr>
                <w:rFonts w:eastAsia="MS Mincho" w:cstheme="minorHAnsi"/>
                <w:u w:val="single"/>
              </w:rPr>
              <w:lastRenderedPageBreak/>
              <w:t>Efficacy:</w:t>
            </w:r>
            <w:r>
              <w:rPr>
                <w:rFonts w:eastAsia="MS Mincho" w:cstheme="minorHAnsi"/>
                <w:u w:val="single"/>
              </w:rPr>
              <w:t xml:space="preserve"> N</w:t>
            </w:r>
            <w:r w:rsidRPr="005769DB">
              <w:rPr>
                <w:rFonts w:eastAsia="MS Mincho" w:cstheme="minorHAnsi"/>
              </w:rPr>
              <w:t>ot specified</w:t>
            </w:r>
            <w:r>
              <w:rPr>
                <w:rFonts w:eastAsia="MS Mincho" w:cstheme="minorHAnsi"/>
              </w:rPr>
              <w:t>.</w:t>
            </w:r>
          </w:p>
          <w:p w:rsidR="005769DB" w:rsidRPr="005769DB" w:rsidRDefault="005769DB" w:rsidP="00A71365">
            <w:pPr>
              <w:pStyle w:val="Tablewriting"/>
              <w:rPr>
                <w:rFonts w:eastAsia="MS Mincho" w:cstheme="minorHAnsi"/>
                <w:u w:val="single"/>
              </w:rPr>
            </w:pPr>
          </w:p>
          <w:p w:rsidR="00336771" w:rsidRPr="005769DB" w:rsidRDefault="005769DB" w:rsidP="00A71365">
            <w:pPr>
              <w:pStyle w:val="Tablewriting"/>
              <w:rPr>
                <w:rFonts w:eastAsia="MS Mincho" w:cstheme="minorHAnsi"/>
                <w:u w:val="single"/>
              </w:rPr>
            </w:pPr>
            <w:r w:rsidRPr="005769DB">
              <w:rPr>
                <w:rFonts w:eastAsia="MS Mincho" w:cstheme="minorHAnsi"/>
                <w:u w:val="single"/>
              </w:rPr>
              <w:t>Safety:</w:t>
            </w:r>
            <w:r>
              <w:rPr>
                <w:rFonts w:eastAsia="MS Mincho" w:cstheme="minorHAnsi"/>
                <w:u w:val="single"/>
              </w:rPr>
              <w:t xml:space="preserve"> </w:t>
            </w:r>
            <w:r w:rsidRPr="005769DB">
              <w:rPr>
                <w:rFonts w:eastAsia="MS Mincho" w:cstheme="minorHAnsi"/>
              </w:rPr>
              <w:t>Adverse events measured for</w:t>
            </w:r>
            <w:r>
              <w:rPr>
                <w:rFonts w:eastAsia="MS Mincho" w:cstheme="minorHAnsi"/>
              </w:rPr>
              <w:t xml:space="preserve"> </w:t>
            </w:r>
            <w:r w:rsidRPr="005769DB">
              <w:rPr>
                <w:rFonts w:eastAsia="MS Mincho" w:cstheme="minorHAnsi"/>
              </w:rPr>
              <w:t>unspecified period</w:t>
            </w:r>
            <w:r>
              <w:rPr>
                <w:rFonts w:eastAsia="MS Mincho" w:cstheme="minorHAnsi"/>
              </w:rPr>
              <w:t>.</w:t>
            </w:r>
          </w:p>
        </w:tc>
      </w:tr>
      <w:tr w:rsidR="00B80988" w:rsidRPr="00017AE6" w:rsidTr="00681E2E">
        <w:trPr>
          <w:trHeight w:val="99"/>
        </w:trPr>
        <w:tc>
          <w:tcPr>
            <w:tcW w:w="459" w:type="pct"/>
            <w:shd w:val="clear" w:color="auto" w:fill="F2F2F2" w:themeFill="background1" w:themeFillShade="F2"/>
          </w:tcPr>
          <w:p w:rsidR="00B80988" w:rsidRPr="00017AE6" w:rsidRDefault="00B82832" w:rsidP="00A71365">
            <w:pPr>
              <w:pStyle w:val="Tablewriting"/>
              <w:rPr>
                <w:rFonts w:eastAsia="MS Mincho" w:cstheme="minorHAnsi"/>
              </w:rPr>
            </w:pPr>
            <w:r w:rsidRPr="004A1946">
              <w:rPr>
                <w:rFonts w:eastAsia="MS Mincho"/>
              </w:rPr>
              <w:t xml:space="preserve">Johns </w:t>
            </w:r>
            <w:r w:rsidR="007F2D86">
              <w:rPr>
                <w:rFonts w:eastAsia="MS Mincho"/>
              </w:rPr>
              <w:t>(</w:t>
            </w:r>
            <w:r w:rsidRPr="004A1946">
              <w:rPr>
                <w:rFonts w:eastAsia="MS Mincho"/>
              </w:rPr>
              <w:t>2017</w:t>
            </w:r>
            <w:r w:rsidR="007F2D86">
              <w:rPr>
                <w:rFonts w:eastAsia="MS Mincho"/>
              </w:rPr>
              <w:t>)</w:t>
            </w:r>
          </w:p>
        </w:tc>
        <w:tc>
          <w:tcPr>
            <w:tcW w:w="388" w:type="pct"/>
            <w:shd w:val="clear" w:color="auto" w:fill="F2F2F2" w:themeFill="background1" w:themeFillShade="F2"/>
          </w:tcPr>
          <w:p w:rsidR="00B80988" w:rsidRPr="00017AE6" w:rsidRDefault="00667171" w:rsidP="00A71365">
            <w:pPr>
              <w:pStyle w:val="Tablewriting"/>
              <w:rPr>
                <w:rFonts w:eastAsia="MS Mincho" w:cstheme="minorHAnsi"/>
              </w:rPr>
            </w:pPr>
            <w:r>
              <w:rPr>
                <w:rFonts w:eastAsia="MS Mincho" w:cstheme="minorHAnsi"/>
              </w:rPr>
              <w:t>RCT</w:t>
            </w:r>
          </w:p>
        </w:tc>
        <w:tc>
          <w:tcPr>
            <w:tcW w:w="390" w:type="pct"/>
            <w:shd w:val="clear" w:color="auto" w:fill="F2F2F2" w:themeFill="background1" w:themeFillShade="F2"/>
          </w:tcPr>
          <w:p w:rsidR="00B80988" w:rsidRPr="00017AE6" w:rsidRDefault="00667171" w:rsidP="00A71365">
            <w:pPr>
              <w:pStyle w:val="Tablewriting"/>
              <w:rPr>
                <w:rFonts w:eastAsia="MS Mincho" w:cstheme="minorHAnsi"/>
              </w:rPr>
            </w:pPr>
            <w:r>
              <w:rPr>
                <w:rFonts w:eastAsia="MS Mincho" w:cstheme="minorHAnsi"/>
              </w:rPr>
              <w:t>India</w:t>
            </w:r>
          </w:p>
        </w:tc>
        <w:tc>
          <w:tcPr>
            <w:tcW w:w="432" w:type="pct"/>
            <w:shd w:val="clear" w:color="auto" w:fill="F2F2F2" w:themeFill="background1" w:themeFillShade="F2"/>
          </w:tcPr>
          <w:p w:rsidR="00B80988" w:rsidRPr="00017AE6" w:rsidRDefault="00667171" w:rsidP="00A71365">
            <w:pPr>
              <w:pStyle w:val="Tablewriting"/>
              <w:rPr>
                <w:rFonts w:eastAsia="MS Mincho" w:cstheme="minorHAnsi"/>
              </w:rPr>
            </w:pPr>
            <w:r>
              <w:rPr>
                <w:rFonts w:eastAsia="MS Mincho" w:cstheme="minorHAnsi"/>
              </w:rPr>
              <w:t>N=300</w:t>
            </w:r>
          </w:p>
        </w:tc>
        <w:tc>
          <w:tcPr>
            <w:tcW w:w="1316" w:type="pct"/>
            <w:shd w:val="clear" w:color="auto" w:fill="F2F2F2" w:themeFill="background1" w:themeFillShade="F2"/>
          </w:tcPr>
          <w:p w:rsidR="00B80988" w:rsidRPr="00017AE6" w:rsidRDefault="00667171" w:rsidP="00A71365">
            <w:pPr>
              <w:pStyle w:val="Tablewriting"/>
              <w:rPr>
                <w:rFonts w:eastAsia="MS Mincho" w:cstheme="minorHAnsi"/>
              </w:rPr>
            </w:pPr>
            <w:r>
              <w:rPr>
                <w:rFonts w:eastAsia="MS Mincho" w:cstheme="minorHAnsi"/>
              </w:rPr>
              <w:t>NR</w:t>
            </w:r>
          </w:p>
        </w:tc>
        <w:tc>
          <w:tcPr>
            <w:tcW w:w="1055" w:type="pct"/>
            <w:shd w:val="clear" w:color="auto" w:fill="F2F2F2" w:themeFill="background1" w:themeFillShade="F2"/>
          </w:tcPr>
          <w:p w:rsidR="004055A0" w:rsidRDefault="00667171" w:rsidP="00C324F3">
            <w:pPr>
              <w:pStyle w:val="Tablewriting"/>
              <w:numPr>
                <w:ilvl w:val="0"/>
                <w:numId w:val="76"/>
              </w:numPr>
              <w:rPr>
                <w:rFonts w:eastAsia="MS Mincho" w:cstheme="minorHAnsi"/>
              </w:rPr>
            </w:pPr>
            <w:r w:rsidRPr="00667171">
              <w:rPr>
                <w:rFonts w:eastAsia="MS Mincho" w:cstheme="minorHAnsi"/>
              </w:rPr>
              <w:t>Bupropion, 150 mg twice daily for 12 weeks</w:t>
            </w:r>
            <w:r w:rsidR="004055A0">
              <w:rPr>
                <w:rFonts w:eastAsia="MS Mincho" w:cstheme="minorHAnsi"/>
              </w:rPr>
              <w:t>.</w:t>
            </w:r>
          </w:p>
          <w:p w:rsidR="004055A0" w:rsidRDefault="00667171" w:rsidP="00C324F3">
            <w:pPr>
              <w:pStyle w:val="Tablewriting"/>
              <w:numPr>
                <w:ilvl w:val="0"/>
                <w:numId w:val="76"/>
              </w:numPr>
              <w:rPr>
                <w:rFonts w:eastAsia="MS Mincho" w:cstheme="minorHAnsi"/>
              </w:rPr>
            </w:pPr>
            <w:r w:rsidRPr="004055A0">
              <w:rPr>
                <w:rFonts w:eastAsia="MS Mincho" w:cstheme="minorHAnsi"/>
              </w:rPr>
              <w:t>Varenicline, 1 mg twice daily for 12 weeks</w:t>
            </w:r>
            <w:r w:rsidR="004055A0">
              <w:rPr>
                <w:rFonts w:eastAsia="MS Mincho" w:cstheme="minorHAnsi"/>
              </w:rPr>
              <w:t>.</w:t>
            </w:r>
          </w:p>
          <w:p w:rsidR="00B80988" w:rsidRPr="00017AE6" w:rsidRDefault="00667171" w:rsidP="00C324F3">
            <w:pPr>
              <w:pStyle w:val="Tablewriting"/>
              <w:numPr>
                <w:ilvl w:val="0"/>
                <w:numId w:val="76"/>
              </w:numPr>
              <w:rPr>
                <w:rFonts w:eastAsia="MS Mincho" w:cstheme="minorHAnsi"/>
              </w:rPr>
            </w:pPr>
            <w:r w:rsidRPr="004055A0">
              <w:rPr>
                <w:rFonts w:eastAsia="MS Mincho" w:cstheme="minorHAnsi"/>
              </w:rPr>
              <w:t>Bupropion and</w:t>
            </w:r>
            <w:r w:rsidR="004055A0">
              <w:rPr>
                <w:rFonts w:eastAsia="MS Mincho" w:cstheme="minorHAnsi"/>
              </w:rPr>
              <w:t xml:space="preserve"> </w:t>
            </w:r>
            <w:r w:rsidRPr="004055A0">
              <w:rPr>
                <w:rFonts w:eastAsia="MS Mincho" w:cstheme="minorHAnsi"/>
              </w:rPr>
              <w:t>varenicline, taken according to schedules</w:t>
            </w:r>
            <w:r w:rsidR="004055A0">
              <w:rPr>
                <w:rFonts w:eastAsia="MS Mincho" w:cstheme="minorHAnsi"/>
              </w:rPr>
              <w:t xml:space="preserve"> </w:t>
            </w:r>
            <w:r w:rsidRPr="004055A0">
              <w:rPr>
                <w:rFonts w:eastAsia="MS Mincho" w:cstheme="minorHAnsi"/>
              </w:rPr>
              <w:t>above</w:t>
            </w:r>
            <w:r w:rsidR="004055A0">
              <w:rPr>
                <w:rFonts w:eastAsia="MS Mincho" w:cstheme="minorHAnsi"/>
              </w:rPr>
              <w:t>.</w:t>
            </w:r>
          </w:p>
        </w:tc>
        <w:tc>
          <w:tcPr>
            <w:tcW w:w="960" w:type="pct"/>
            <w:shd w:val="clear" w:color="auto" w:fill="F2F2F2" w:themeFill="background1" w:themeFillShade="F2"/>
          </w:tcPr>
          <w:p w:rsidR="004055A0" w:rsidRPr="004055A0" w:rsidRDefault="004055A0" w:rsidP="00A71365">
            <w:pPr>
              <w:pStyle w:val="Tablewriting"/>
              <w:rPr>
                <w:rFonts w:eastAsia="MS Mincho" w:cstheme="minorHAnsi"/>
              </w:rPr>
            </w:pPr>
            <w:r w:rsidRPr="004055A0">
              <w:rPr>
                <w:rFonts w:eastAsia="MS Mincho" w:cstheme="minorHAnsi"/>
                <w:u w:val="single"/>
              </w:rPr>
              <w:t>Efficacy:</w:t>
            </w:r>
            <w:r w:rsidRPr="004055A0">
              <w:rPr>
                <w:rFonts w:eastAsia="MS Mincho" w:cstheme="minorHAnsi"/>
              </w:rPr>
              <w:t xml:space="preserve"> continuous abstinence at 6 months. Validated by CO</w:t>
            </w:r>
          </w:p>
          <w:p w:rsidR="004055A0" w:rsidRDefault="004055A0" w:rsidP="00A71365">
            <w:pPr>
              <w:pStyle w:val="Tablewriting"/>
              <w:rPr>
                <w:rFonts w:eastAsia="MS Mincho" w:cstheme="minorHAnsi"/>
              </w:rPr>
            </w:pPr>
          </w:p>
          <w:p w:rsidR="00B80988" w:rsidRPr="00017AE6" w:rsidRDefault="004055A0" w:rsidP="00A71365">
            <w:pPr>
              <w:pStyle w:val="Tablewriting"/>
              <w:rPr>
                <w:rFonts w:eastAsia="MS Mincho" w:cstheme="minorHAnsi"/>
              </w:rPr>
            </w:pPr>
            <w:r w:rsidRPr="004055A0">
              <w:rPr>
                <w:rFonts w:eastAsia="MS Mincho" w:cstheme="minorHAnsi"/>
                <w:u w:val="single"/>
              </w:rPr>
              <w:t>Safety:</w:t>
            </w:r>
            <w:r>
              <w:rPr>
                <w:rFonts w:eastAsia="MS Mincho" w:cstheme="minorHAnsi"/>
                <w:u w:val="single"/>
              </w:rPr>
              <w:t xml:space="preserve"> </w:t>
            </w:r>
            <w:r w:rsidRPr="004055A0">
              <w:rPr>
                <w:rFonts w:eastAsia="MS Mincho" w:cstheme="minorHAnsi"/>
              </w:rPr>
              <w:t>Adverse events</w:t>
            </w:r>
            <w:r w:rsidR="00114E58">
              <w:rPr>
                <w:rFonts w:eastAsia="MS Mincho" w:cstheme="minorHAnsi"/>
              </w:rPr>
              <w:t xml:space="preserve">, </w:t>
            </w:r>
            <w:r w:rsidRPr="004055A0">
              <w:rPr>
                <w:rFonts w:eastAsia="MS Mincho" w:cstheme="minorHAnsi"/>
              </w:rPr>
              <w:t>period of measurement not detailed</w:t>
            </w:r>
            <w:r w:rsidR="00114E58">
              <w:rPr>
                <w:rFonts w:eastAsia="MS Mincho" w:cstheme="minorHAnsi"/>
              </w:rPr>
              <w:t>.</w:t>
            </w:r>
          </w:p>
        </w:tc>
      </w:tr>
      <w:tr w:rsidR="00B80988" w:rsidRPr="00017AE6" w:rsidTr="00681E2E">
        <w:trPr>
          <w:trHeight w:val="99"/>
        </w:trPr>
        <w:tc>
          <w:tcPr>
            <w:tcW w:w="459" w:type="pct"/>
            <w:shd w:val="clear" w:color="auto" w:fill="F2F2F2" w:themeFill="background1" w:themeFillShade="F2"/>
          </w:tcPr>
          <w:p w:rsidR="00B80988" w:rsidRPr="00017AE6" w:rsidRDefault="00B82832" w:rsidP="00A71365">
            <w:pPr>
              <w:pStyle w:val="Tablewriting"/>
              <w:rPr>
                <w:rFonts w:eastAsia="MS Mincho" w:cstheme="minorHAnsi"/>
              </w:rPr>
            </w:pPr>
            <w:r w:rsidRPr="00114E58">
              <w:rPr>
                <w:rFonts w:eastAsia="MS Mincho"/>
              </w:rPr>
              <w:t xml:space="preserve">Zawertailo </w:t>
            </w:r>
            <w:r w:rsidR="007F2D86">
              <w:rPr>
                <w:rFonts w:eastAsia="MS Mincho"/>
              </w:rPr>
              <w:t>(</w:t>
            </w:r>
            <w:r w:rsidRPr="00114E58">
              <w:rPr>
                <w:rFonts w:eastAsia="MS Mincho"/>
              </w:rPr>
              <w:t>2018</w:t>
            </w:r>
            <w:r w:rsidR="007F2D86">
              <w:rPr>
                <w:rFonts w:eastAsia="MS Mincho"/>
              </w:rPr>
              <w:t>)</w:t>
            </w:r>
          </w:p>
        </w:tc>
        <w:tc>
          <w:tcPr>
            <w:tcW w:w="388" w:type="pct"/>
            <w:shd w:val="clear" w:color="auto" w:fill="F2F2F2" w:themeFill="background1" w:themeFillShade="F2"/>
          </w:tcPr>
          <w:p w:rsidR="00B80988" w:rsidRPr="00017AE6" w:rsidRDefault="00114E58" w:rsidP="00A71365">
            <w:pPr>
              <w:pStyle w:val="Tablewriting"/>
              <w:rPr>
                <w:rFonts w:eastAsia="MS Mincho" w:cstheme="minorHAnsi"/>
              </w:rPr>
            </w:pPr>
            <w:r>
              <w:rPr>
                <w:rFonts w:eastAsia="MS Mincho"/>
              </w:rPr>
              <w:t>RCT</w:t>
            </w:r>
          </w:p>
        </w:tc>
        <w:tc>
          <w:tcPr>
            <w:tcW w:w="390" w:type="pct"/>
            <w:shd w:val="clear" w:color="auto" w:fill="F2F2F2" w:themeFill="background1" w:themeFillShade="F2"/>
          </w:tcPr>
          <w:p w:rsidR="00B80988" w:rsidRPr="00017AE6" w:rsidRDefault="00114E58" w:rsidP="00A71365">
            <w:pPr>
              <w:pStyle w:val="Tablewriting"/>
              <w:rPr>
                <w:rFonts w:eastAsia="MS Mincho" w:cstheme="minorHAnsi"/>
              </w:rPr>
            </w:pPr>
            <w:r>
              <w:rPr>
                <w:rFonts w:eastAsia="MS Mincho"/>
              </w:rPr>
              <w:t>NR</w:t>
            </w:r>
          </w:p>
        </w:tc>
        <w:tc>
          <w:tcPr>
            <w:tcW w:w="432" w:type="pct"/>
            <w:shd w:val="clear" w:color="auto" w:fill="F2F2F2" w:themeFill="background1" w:themeFillShade="F2"/>
          </w:tcPr>
          <w:p w:rsidR="00B80988" w:rsidRPr="00017AE6" w:rsidRDefault="00114E58" w:rsidP="00A71365">
            <w:pPr>
              <w:pStyle w:val="Tablewriting"/>
              <w:rPr>
                <w:rFonts w:eastAsia="MS Mincho" w:cstheme="minorHAnsi"/>
              </w:rPr>
            </w:pPr>
            <w:r>
              <w:rPr>
                <w:rFonts w:eastAsia="MS Mincho"/>
              </w:rPr>
              <w:t>N=9</w:t>
            </w:r>
            <w:r w:rsidR="0093728E">
              <w:rPr>
                <w:rFonts w:eastAsia="MS Mincho"/>
              </w:rPr>
              <w:t>68</w:t>
            </w:r>
          </w:p>
        </w:tc>
        <w:tc>
          <w:tcPr>
            <w:tcW w:w="1316" w:type="pct"/>
            <w:shd w:val="clear" w:color="auto" w:fill="F2F2F2" w:themeFill="background1" w:themeFillShade="F2"/>
          </w:tcPr>
          <w:p w:rsidR="00B80988" w:rsidRPr="00017AE6" w:rsidRDefault="0093728E" w:rsidP="00A71365">
            <w:pPr>
              <w:pStyle w:val="Tablewriting"/>
              <w:rPr>
                <w:rFonts w:eastAsia="MS Mincho" w:cstheme="minorHAnsi"/>
              </w:rPr>
            </w:pPr>
            <w:r>
              <w:rPr>
                <w:rFonts w:eastAsia="MS Mincho"/>
              </w:rPr>
              <w:t>S</w:t>
            </w:r>
            <w:r w:rsidR="00114E58" w:rsidRPr="00114E58">
              <w:rPr>
                <w:rFonts w:eastAsia="MS Mincho"/>
              </w:rPr>
              <w:t>mokers motivated to quit</w:t>
            </w:r>
          </w:p>
        </w:tc>
        <w:tc>
          <w:tcPr>
            <w:tcW w:w="1055" w:type="pct"/>
            <w:shd w:val="clear" w:color="auto" w:fill="F2F2F2" w:themeFill="background1" w:themeFillShade="F2"/>
          </w:tcPr>
          <w:p w:rsidR="0093728E" w:rsidRDefault="0093728E" w:rsidP="00C324F3">
            <w:pPr>
              <w:pStyle w:val="Tablewriting"/>
              <w:numPr>
                <w:ilvl w:val="0"/>
                <w:numId w:val="77"/>
              </w:numPr>
              <w:rPr>
                <w:rFonts w:eastAsia="MS Mincho" w:cstheme="minorHAnsi"/>
              </w:rPr>
            </w:pPr>
            <w:r w:rsidRPr="0093728E">
              <w:rPr>
                <w:rFonts w:eastAsia="MS Mincho" w:cstheme="minorHAnsi"/>
              </w:rPr>
              <w:t>Bupropion 150 mg once daily for first three days, then twice daily for the remainder of 12 weeks.</w:t>
            </w:r>
            <w:r>
              <w:rPr>
                <w:rFonts w:eastAsia="MS Mincho" w:cstheme="minorHAnsi"/>
              </w:rPr>
              <w:t xml:space="preserve"> </w:t>
            </w:r>
            <w:r w:rsidRPr="0093728E">
              <w:rPr>
                <w:rFonts w:eastAsia="MS Mincho" w:cstheme="minorHAnsi"/>
              </w:rPr>
              <w:t>Starting 7 days prior to TQD</w:t>
            </w:r>
          </w:p>
          <w:p w:rsidR="0093728E" w:rsidRPr="0093728E" w:rsidRDefault="0093728E" w:rsidP="00C324F3">
            <w:pPr>
              <w:pStyle w:val="Tablewriting"/>
              <w:numPr>
                <w:ilvl w:val="0"/>
                <w:numId w:val="77"/>
              </w:numPr>
              <w:rPr>
                <w:rFonts w:eastAsia="MS Mincho" w:cstheme="minorHAnsi"/>
              </w:rPr>
            </w:pPr>
            <w:r w:rsidRPr="0093728E">
              <w:rPr>
                <w:rFonts w:eastAsia="MS Mincho" w:cstheme="minorHAnsi"/>
              </w:rPr>
              <w:t>Varenicline 0.5 mg once daily for first three days, then 0.5 mg twice daily for next four days, then</w:t>
            </w:r>
            <w:r>
              <w:rPr>
                <w:rFonts w:eastAsia="MS Mincho" w:cstheme="minorHAnsi"/>
              </w:rPr>
              <w:t xml:space="preserve"> </w:t>
            </w:r>
            <w:r w:rsidRPr="0093728E">
              <w:rPr>
                <w:rFonts w:eastAsia="MS Mincho" w:cstheme="minorHAnsi"/>
              </w:rPr>
              <w:t>1 mg twice daily for the remainder of 12 weeks. Starting 7 days prior to TQD</w:t>
            </w:r>
          </w:p>
          <w:p w:rsidR="0093728E" w:rsidRDefault="0093728E" w:rsidP="00A71365">
            <w:pPr>
              <w:pStyle w:val="Tablewriting"/>
              <w:rPr>
                <w:rFonts w:eastAsia="MS Mincho" w:cstheme="minorHAnsi"/>
              </w:rPr>
            </w:pPr>
          </w:p>
          <w:p w:rsidR="00B80988" w:rsidRPr="00017AE6" w:rsidRDefault="0093728E" w:rsidP="00A71365">
            <w:pPr>
              <w:pStyle w:val="Tablewriting"/>
              <w:rPr>
                <w:rFonts w:eastAsia="MS Mincho" w:cstheme="minorHAnsi"/>
              </w:rPr>
            </w:pPr>
            <w:r w:rsidRPr="0093728E">
              <w:rPr>
                <w:rFonts w:eastAsia="MS Mincho" w:cstheme="minorHAnsi"/>
                <w:u w:val="single"/>
              </w:rPr>
              <w:t>Common components:</w:t>
            </w:r>
            <w:r>
              <w:rPr>
                <w:rFonts w:eastAsia="MS Mincho" w:cstheme="minorHAnsi"/>
                <w:u w:val="single"/>
              </w:rPr>
              <w:t xml:space="preserve"> </w:t>
            </w:r>
            <w:r w:rsidRPr="0093728E">
              <w:rPr>
                <w:rFonts w:eastAsia="MS Mincho" w:cstheme="minorHAnsi"/>
              </w:rPr>
              <w:t>weekly motivational emails</w:t>
            </w:r>
            <w:r>
              <w:rPr>
                <w:rFonts w:eastAsia="MS Mincho" w:cstheme="minorHAnsi"/>
              </w:rPr>
              <w:t>.</w:t>
            </w:r>
          </w:p>
        </w:tc>
        <w:tc>
          <w:tcPr>
            <w:tcW w:w="960" w:type="pct"/>
            <w:shd w:val="clear" w:color="auto" w:fill="F2F2F2" w:themeFill="background1" w:themeFillShade="F2"/>
          </w:tcPr>
          <w:p w:rsidR="00B82832" w:rsidRPr="00623A07" w:rsidRDefault="00623A07" w:rsidP="00A71365">
            <w:pPr>
              <w:pStyle w:val="Tablewriting"/>
              <w:rPr>
                <w:rFonts w:eastAsia="MS Mincho" w:cstheme="minorHAnsi"/>
              </w:rPr>
            </w:pPr>
            <w:r w:rsidRPr="00623A07">
              <w:rPr>
                <w:rFonts w:eastAsia="MS Mincho" w:cstheme="minorHAnsi"/>
                <w:u w:val="single"/>
              </w:rPr>
              <w:t>Efficacy:</w:t>
            </w:r>
            <w:r>
              <w:rPr>
                <w:rFonts w:eastAsia="MS Mincho" w:cstheme="minorHAnsi"/>
                <w:u w:val="single"/>
              </w:rPr>
              <w:t xml:space="preserve"> </w:t>
            </w:r>
            <w:r w:rsidR="00F80279">
              <w:rPr>
                <w:rFonts w:eastAsia="MS Mincho" w:cstheme="minorHAnsi"/>
                <w:u w:val="single"/>
              </w:rPr>
              <w:t>C</w:t>
            </w:r>
            <w:r w:rsidRPr="00623A07">
              <w:rPr>
                <w:rFonts w:eastAsia="MS Mincho" w:cstheme="minorHAnsi"/>
              </w:rPr>
              <w:t>ontinuous abstinence at 52 weeks. Validated by saliva cotinine</w:t>
            </w:r>
            <w:r w:rsidR="00F80279">
              <w:rPr>
                <w:rFonts w:eastAsia="MS Mincho" w:cstheme="minorHAnsi"/>
              </w:rPr>
              <w:t>.</w:t>
            </w:r>
          </w:p>
          <w:p w:rsidR="00623A07" w:rsidRDefault="00623A07" w:rsidP="00A71365">
            <w:pPr>
              <w:pStyle w:val="Tablewriting"/>
              <w:rPr>
                <w:rFonts w:eastAsia="MS Mincho" w:cstheme="minorHAnsi"/>
              </w:rPr>
            </w:pPr>
          </w:p>
          <w:p w:rsidR="00B80988" w:rsidRPr="00623A07" w:rsidRDefault="00623A07" w:rsidP="00A71365">
            <w:pPr>
              <w:pStyle w:val="Tablewriting"/>
              <w:rPr>
                <w:rFonts w:eastAsia="MS Mincho" w:cstheme="minorHAnsi"/>
                <w:u w:val="single"/>
              </w:rPr>
            </w:pPr>
            <w:r w:rsidRPr="00623A07">
              <w:rPr>
                <w:rFonts w:eastAsia="MS Mincho" w:cstheme="minorHAnsi"/>
                <w:u w:val="single"/>
              </w:rPr>
              <w:t>Safety:</w:t>
            </w:r>
            <w:r w:rsidR="00F80279">
              <w:rPr>
                <w:rFonts w:eastAsia="MS Mincho" w:cstheme="minorHAnsi"/>
                <w:u w:val="single"/>
              </w:rPr>
              <w:t xml:space="preserve"> NR</w:t>
            </w:r>
          </w:p>
        </w:tc>
      </w:tr>
    </w:tbl>
    <w:p w:rsidR="00526EC3" w:rsidRDefault="00526EC3" w:rsidP="00526EC3">
      <w:pPr>
        <w:pStyle w:val="TableFooter"/>
        <w:keepNext/>
        <w:rPr>
          <w:rFonts w:eastAsia="MS Mincho" w:cstheme="minorHAnsi"/>
          <w:szCs w:val="20"/>
        </w:rPr>
      </w:pPr>
      <w:r>
        <w:rPr>
          <w:rFonts w:eastAsia="MS Mincho" w:cstheme="minorHAnsi"/>
          <w:szCs w:val="20"/>
        </w:rPr>
        <w:lastRenderedPageBreak/>
        <w:t xml:space="preserve">Source: </w:t>
      </w:r>
      <w:r>
        <w:t>Howes</w:t>
      </w:r>
      <w:r w:rsidRPr="00AD6D3A">
        <w:t xml:space="preserve"> et al. (20</w:t>
      </w:r>
      <w:r>
        <w:t>20</w:t>
      </w:r>
      <w:r w:rsidRPr="00AD6D3A">
        <w:t>)</w:t>
      </w:r>
    </w:p>
    <w:p w:rsidR="00972C67" w:rsidRPr="00FC4F81" w:rsidRDefault="00972C67" w:rsidP="00972C67">
      <w:pPr>
        <w:pStyle w:val="TableFooter"/>
        <w:keepNext/>
      </w:pPr>
      <w:r>
        <w:t xml:space="preserve">Abbreviations: NR= not reported; </w:t>
      </w:r>
      <w:r w:rsidRPr="009B042A">
        <w:t xml:space="preserve">PPA= point prevalence smoking abstinence; </w:t>
      </w:r>
      <w:r>
        <w:t xml:space="preserve">CA= continuous abstinence; </w:t>
      </w:r>
      <w:r w:rsidRPr="009B042A">
        <w:t xml:space="preserve">RCT= randomised controlled trial; N= total participants; TQD= target quit date; ITT= intention to treat; DSM-IV-TR= Mental Disorders, Fourth Edition, Text Revision;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xml:space="preserve">; CBT= cognitive behavioural therapy; MI= myocardial infarction; SR= sustained release; AEs= adverse events; SAEs= serious adverse events. </w:t>
      </w:r>
    </w:p>
    <w:p w:rsidR="005E4995" w:rsidRPr="00A71365" w:rsidRDefault="00B82832" w:rsidP="005E4995">
      <w:pPr>
        <w:pStyle w:val="TableFooter"/>
        <w:keepNext/>
        <w:rPr>
          <w:rFonts w:eastAsia="MS Mincho" w:cstheme="minorHAnsi"/>
          <w:szCs w:val="20"/>
        </w:rPr>
      </w:pPr>
      <w:r w:rsidRPr="00D65152">
        <w:rPr>
          <w:rFonts w:eastAsia="MS Mincho" w:cstheme="minorHAnsi"/>
          <w:szCs w:val="20"/>
          <w:shd w:val="clear" w:color="auto" w:fill="F2F2F2" w:themeFill="background1" w:themeFillShade="F2"/>
        </w:rPr>
        <w:t>Shaded</w:t>
      </w:r>
      <w:r w:rsidR="00D15E5A">
        <w:rPr>
          <w:rFonts w:eastAsia="MS Mincho" w:cstheme="minorHAnsi"/>
          <w:szCs w:val="20"/>
        </w:rPr>
        <w:t>= excluded studies</w:t>
      </w:r>
      <w:r w:rsidR="005E4995">
        <w:rPr>
          <w:rFonts w:eastAsia="MS Mincho" w:cstheme="minorHAnsi"/>
          <w:szCs w:val="20"/>
        </w:rPr>
        <w:t>.</w:t>
      </w:r>
      <w:bookmarkStart w:id="376" w:name="_Ref54261060"/>
    </w:p>
    <w:p w:rsidR="009E29BF" w:rsidRDefault="009E29BF" w:rsidP="009E29BF">
      <w:pPr>
        <w:pStyle w:val="Caption"/>
        <w:keepNext/>
      </w:pPr>
      <w:bookmarkStart w:id="377" w:name="_Ref61508120"/>
      <w:r>
        <w:t xml:space="preserve">Table </w:t>
      </w:r>
      <w:r w:rsidR="003C4A1C">
        <w:rPr>
          <w:noProof/>
        </w:rPr>
        <w:t>148</w:t>
      </w:r>
      <w:bookmarkEnd w:id="376"/>
      <w:bookmarkEnd w:id="377"/>
      <w:r>
        <w:t xml:space="preserve">: </w:t>
      </w:r>
      <w:r w:rsidRPr="007032F7">
        <w:t>Characteristics of studies included in H</w:t>
      </w:r>
      <w:r>
        <w:t xml:space="preserve">artmann-Boyce </w:t>
      </w:r>
      <w:r w:rsidRPr="007032F7">
        <w:t>et al. (20</w:t>
      </w:r>
      <w:r>
        <w:t>18</w:t>
      </w:r>
      <w:r w:rsidRPr="007032F7">
        <w:t xml:space="preserve">), </w:t>
      </w:r>
      <w:r>
        <w:t>NRT patch</w:t>
      </w:r>
      <w:r w:rsidRPr="007032F7">
        <w:t xml:space="preserve"> versus </w:t>
      </w:r>
      <w:r>
        <w:t>placebo</w:t>
      </w:r>
    </w:p>
    <w:tbl>
      <w:tblPr>
        <w:tblStyle w:val="TableGrid"/>
        <w:tblW w:w="5270" w:type="pct"/>
        <w:tblLook w:val="04A0" w:firstRow="1" w:lastRow="0" w:firstColumn="1" w:lastColumn="0" w:noHBand="0" w:noVBand="1"/>
        <w:tblCaption w:val="Efficacy results of adalimumab trials (PASI 75 and DLQI)"/>
      </w:tblPr>
      <w:tblGrid>
        <w:gridCol w:w="2950"/>
        <w:gridCol w:w="690"/>
        <w:gridCol w:w="1216"/>
        <w:gridCol w:w="851"/>
        <w:gridCol w:w="3073"/>
        <w:gridCol w:w="3103"/>
        <w:gridCol w:w="2818"/>
      </w:tblGrid>
      <w:tr w:rsidR="009E29BF" w:rsidRPr="00061F78" w:rsidTr="005012C6">
        <w:trPr>
          <w:trHeight w:val="299"/>
          <w:tblHeader/>
        </w:trPr>
        <w:tc>
          <w:tcPr>
            <w:tcW w:w="1004" w:type="pct"/>
            <w:shd w:val="clear" w:color="auto" w:fill="BFBFBF" w:themeFill="background1" w:themeFillShade="BF"/>
            <w:tcMar>
              <w:left w:w="28" w:type="dxa"/>
              <w:right w:w="28" w:type="dxa"/>
            </w:tcMar>
          </w:tcPr>
          <w:p w:rsidR="009E29BF" w:rsidRPr="00061F78" w:rsidRDefault="00126B7B" w:rsidP="00A71365">
            <w:pPr>
              <w:pStyle w:val="Tableheading"/>
              <w:rPr>
                <w:rFonts w:eastAsia="MS Mincho"/>
              </w:rPr>
            </w:pPr>
            <w:r>
              <w:rPr>
                <w:rFonts w:eastAsia="MS Mincho"/>
              </w:rPr>
              <w:t>Study</w:t>
            </w:r>
          </w:p>
        </w:tc>
        <w:tc>
          <w:tcPr>
            <w:tcW w:w="234" w:type="pct"/>
            <w:shd w:val="clear" w:color="auto" w:fill="BFBFBF" w:themeFill="background1" w:themeFillShade="BF"/>
          </w:tcPr>
          <w:p w:rsidR="009E29BF" w:rsidRDefault="009E29BF" w:rsidP="00A71365">
            <w:pPr>
              <w:pStyle w:val="Tableheading"/>
              <w:jc w:val="center"/>
              <w:rPr>
                <w:rFonts w:eastAsia="MS Mincho"/>
              </w:rPr>
            </w:pPr>
            <w:r>
              <w:rPr>
                <w:rFonts w:eastAsia="MS Mincho"/>
              </w:rPr>
              <w:t>Study type</w:t>
            </w:r>
          </w:p>
        </w:tc>
        <w:tc>
          <w:tcPr>
            <w:tcW w:w="412" w:type="pct"/>
            <w:shd w:val="clear" w:color="auto" w:fill="BFBFBF" w:themeFill="background1" w:themeFillShade="BF"/>
          </w:tcPr>
          <w:p w:rsidR="009E29BF" w:rsidRDefault="009E29BF" w:rsidP="00A71365">
            <w:pPr>
              <w:pStyle w:val="Tableheading"/>
              <w:jc w:val="center"/>
              <w:rPr>
                <w:rFonts w:eastAsia="MS Mincho"/>
              </w:rPr>
            </w:pPr>
            <w:r>
              <w:rPr>
                <w:rFonts w:eastAsia="MS Mincho"/>
              </w:rPr>
              <w:t>Countries</w:t>
            </w:r>
          </w:p>
        </w:tc>
        <w:tc>
          <w:tcPr>
            <w:tcW w:w="289" w:type="pct"/>
            <w:shd w:val="clear" w:color="auto" w:fill="BFBFBF" w:themeFill="background1" w:themeFillShade="BF"/>
            <w:tcMar>
              <w:left w:w="28" w:type="dxa"/>
              <w:right w:w="28" w:type="dxa"/>
            </w:tcMar>
          </w:tcPr>
          <w:p w:rsidR="009E29BF" w:rsidRPr="00061F78" w:rsidRDefault="009E29BF" w:rsidP="00A71365">
            <w:pPr>
              <w:pStyle w:val="Tableheading"/>
              <w:jc w:val="center"/>
              <w:rPr>
                <w:rFonts w:eastAsia="MS Mincho"/>
              </w:rPr>
            </w:pPr>
            <w:r>
              <w:rPr>
                <w:rFonts w:eastAsia="MS Mincho"/>
              </w:rPr>
              <w:t>N</w:t>
            </w:r>
          </w:p>
        </w:tc>
        <w:tc>
          <w:tcPr>
            <w:tcW w:w="1046" w:type="pct"/>
            <w:shd w:val="clear" w:color="auto" w:fill="BFBFBF" w:themeFill="background1" w:themeFillShade="BF"/>
            <w:tcMar>
              <w:left w:w="28" w:type="dxa"/>
              <w:right w:w="28" w:type="dxa"/>
            </w:tcMar>
          </w:tcPr>
          <w:p w:rsidR="009E29BF" w:rsidRPr="00061F78" w:rsidRDefault="009E29BF" w:rsidP="00A71365">
            <w:pPr>
              <w:pStyle w:val="Tableheading"/>
              <w:jc w:val="center"/>
              <w:rPr>
                <w:rFonts w:eastAsia="MS Mincho"/>
              </w:rPr>
            </w:pPr>
            <w:r w:rsidRPr="00061F78">
              <w:rPr>
                <w:rFonts w:eastAsia="MS Mincho"/>
              </w:rPr>
              <w:t>P</w:t>
            </w:r>
            <w:r>
              <w:rPr>
                <w:rFonts w:eastAsia="MS Mincho"/>
              </w:rPr>
              <w:t>opulation</w:t>
            </w:r>
          </w:p>
        </w:tc>
        <w:tc>
          <w:tcPr>
            <w:tcW w:w="1056" w:type="pct"/>
            <w:shd w:val="clear" w:color="auto" w:fill="BFBFBF" w:themeFill="background1" w:themeFillShade="BF"/>
          </w:tcPr>
          <w:p w:rsidR="009E29BF" w:rsidRDefault="009E29BF" w:rsidP="00A71365">
            <w:pPr>
              <w:pStyle w:val="Tableheading"/>
              <w:jc w:val="center"/>
              <w:rPr>
                <w:rFonts w:eastAsia="MS Mincho"/>
              </w:rPr>
            </w:pPr>
            <w:r>
              <w:rPr>
                <w:rFonts w:eastAsia="MS Mincho"/>
              </w:rPr>
              <w:t>Intervention and comparator</w:t>
            </w:r>
          </w:p>
        </w:tc>
        <w:tc>
          <w:tcPr>
            <w:tcW w:w="959" w:type="pct"/>
            <w:shd w:val="clear" w:color="auto" w:fill="BFBFBF" w:themeFill="background1" w:themeFillShade="BF"/>
            <w:tcMar>
              <w:left w:w="28" w:type="dxa"/>
              <w:right w:w="28" w:type="dxa"/>
            </w:tcMar>
          </w:tcPr>
          <w:p w:rsidR="009E29BF" w:rsidRPr="00061F78" w:rsidRDefault="009E29BF" w:rsidP="00A71365">
            <w:pPr>
              <w:pStyle w:val="Tableheading"/>
              <w:jc w:val="center"/>
              <w:rPr>
                <w:rFonts w:eastAsia="MS Mincho"/>
              </w:rPr>
            </w:pPr>
            <w:r>
              <w:rPr>
                <w:rFonts w:eastAsia="MS Mincho"/>
              </w:rPr>
              <w:t>Outcomes</w:t>
            </w:r>
          </w:p>
        </w:tc>
      </w:tr>
      <w:tr w:rsidR="0013285A" w:rsidRPr="00017AE6" w:rsidTr="005012C6">
        <w:trPr>
          <w:trHeight w:val="99"/>
        </w:trPr>
        <w:tc>
          <w:tcPr>
            <w:tcW w:w="5000" w:type="pct"/>
            <w:gridSpan w:val="7"/>
            <w:shd w:val="clear" w:color="auto" w:fill="D9D9D9" w:themeFill="background1" w:themeFillShade="D9"/>
          </w:tcPr>
          <w:p w:rsidR="006C4A81" w:rsidRPr="00624EA0" w:rsidRDefault="006C4A81" w:rsidP="00A71365">
            <w:pPr>
              <w:pStyle w:val="Tablewriting"/>
              <w:rPr>
                <w:rFonts w:eastAsia="MS Mincho"/>
                <w:b/>
              </w:rPr>
            </w:pPr>
            <w:r w:rsidRPr="00624EA0">
              <w:rPr>
                <w:rFonts w:eastAsia="MS Mincho"/>
                <w:b/>
              </w:rPr>
              <w:t>Sustained 12 months</w:t>
            </w:r>
          </w:p>
        </w:tc>
      </w:tr>
      <w:tr w:rsidR="009E29BF" w:rsidRPr="00017AE6" w:rsidTr="005012C6">
        <w:trPr>
          <w:trHeight w:val="99"/>
        </w:trPr>
        <w:tc>
          <w:tcPr>
            <w:tcW w:w="1004" w:type="pct"/>
          </w:tcPr>
          <w:p w:rsidR="009E29BF" w:rsidRPr="00FD17DC" w:rsidRDefault="009778B8" w:rsidP="00A71365">
            <w:pPr>
              <w:pStyle w:val="Tablewriting"/>
              <w:rPr>
                <w:rFonts w:eastAsia="MS Mincho"/>
              </w:rPr>
            </w:pPr>
            <w:r w:rsidRPr="00FD17DC">
              <w:rPr>
                <w:rFonts w:eastAsia="MS Mincho"/>
              </w:rPr>
              <w:t xml:space="preserve">Abelin </w:t>
            </w:r>
            <w:r w:rsidR="00156D0F">
              <w:rPr>
                <w:rFonts w:eastAsia="MS Mincho"/>
              </w:rPr>
              <w:t>(</w:t>
            </w:r>
            <w:r w:rsidRPr="00FD17DC">
              <w:rPr>
                <w:rFonts w:eastAsia="MS Mincho"/>
              </w:rPr>
              <w:t>1989</w:t>
            </w:r>
            <w:r w:rsidR="00156D0F">
              <w:rPr>
                <w:rFonts w:eastAsia="MS Mincho"/>
              </w:rPr>
              <w:t>)</w:t>
            </w:r>
          </w:p>
        </w:tc>
        <w:tc>
          <w:tcPr>
            <w:tcW w:w="234" w:type="pct"/>
          </w:tcPr>
          <w:p w:rsidR="009E29BF" w:rsidRPr="00017AE6" w:rsidRDefault="008C3CEA" w:rsidP="00A71365">
            <w:pPr>
              <w:pStyle w:val="Tablewriting"/>
              <w:rPr>
                <w:rFonts w:eastAsia="MS Mincho" w:cstheme="minorHAnsi"/>
              </w:rPr>
            </w:pPr>
            <w:r>
              <w:rPr>
                <w:rFonts w:eastAsia="MS Mincho" w:cstheme="minorHAnsi"/>
              </w:rPr>
              <w:t>RCT</w:t>
            </w:r>
          </w:p>
        </w:tc>
        <w:tc>
          <w:tcPr>
            <w:tcW w:w="412" w:type="pct"/>
          </w:tcPr>
          <w:p w:rsidR="009E29BF" w:rsidRPr="00017AE6" w:rsidRDefault="008C3CEA" w:rsidP="00A71365">
            <w:pPr>
              <w:pStyle w:val="Tablewriting"/>
              <w:rPr>
                <w:rFonts w:eastAsia="MS Mincho" w:cstheme="minorHAnsi"/>
              </w:rPr>
            </w:pPr>
            <w:r>
              <w:rPr>
                <w:rFonts w:eastAsia="MS Mincho" w:cstheme="minorHAnsi"/>
              </w:rPr>
              <w:t>Switzerland</w:t>
            </w:r>
          </w:p>
        </w:tc>
        <w:tc>
          <w:tcPr>
            <w:tcW w:w="289" w:type="pct"/>
          </w:tcPr>
          <w:p w:rsidR="009E29BF" w:rsidRPr="00017AE6" w:rsidRDefault="008C3CEA" w:rsidP="00A71365">
            <w:pPr>
              <w:pStyle w:val="Tablewriting"/>
              <w:rPr>
                <w:rFonts w:eastAsia="MS Mincho" w:cstheme="minorHAnsi"/>
              </w:rPr>
            </w:pPr>
            <w:r>
              <w:rPr>
                <w:rFonts w:eastAsia="MS Mincho" w:cstheme="minorHAnsi"/>
              </w:rPr>
              <w:t>N=199</w:t>
            </w:r>
          </w:p>
        </w:tc>
        <w:tc>
          <w:tcPr>
            <w:tcW w:w="1046" w:type="pct"/>
          </w:tcPr>
          <w:p w:rsidR="00DF612C" w:rsidRPr="00DF612C" w:rsidRDefault="008C3CEA" w:rsidP="00A71365">
            <w:pPr>
              <w:pStyle w:val="Tablewriting"/>
              <w:rPr>
                <w:rFonts w:eastAsia="MS Mincho" w:cstheme="minorHAnsi"/>
              </w:rPr>
            </w:pPr>
            <w:r>
              <w:rPr>
                <w:rFonts w:eastAsia="MS Mincho" w:cstheme="minorHAnsi"/>
              </w:rPr>
              <w:t>P</w:t>
            </w:r>
            <w:r w:rsidR="00825136" w:rsidRPr="00825136">
              <w:rPr>
                <w:rFonts w:eastAsia="MS Mincho" w:cstheme="minorHAnsi"/>
              </w:rPr>
              <w:t>rimary care patients</w:t>
            </w:r>
            <w:r>
              <w:rPr>
                <w:rFonts w:eastAsia="MS Mincho" w:cstheme="minorHAnsi"/>
              </w:rPr>
              <w:t xml:space="preserve">; </w:t>
            </w:r>
            <w:r w:rsidR="00825136" w:rsidRPr="00825136">
              <w:rPr>
                <w:rFonts w:eastAsia="MS Mincho" w:cstheme="minorHAnsi"/>
              </w:rPr>
              <w:t xml:space="preserve">40% female, average age 41, average </w:t>
            </w:r>
            <w:r>
              <w:rPr>
                <w:rFonts w:eastAsia="MS Mincho" w:cstheme="minorHAnsi"/>
              </w:rPr>
              <w:t>CPD</w:t>
            </w:r>
            <w:r w:rsidR="00825136" w:rsidRPr="00825136">
              <w:rPr>
                <w:rFonts w:eastAsia="MS Mincho" w:cstheme="minorHAnsi"/>
              </w:rPr>
              <w:t xml:space="preserve"> 27</w:t>
            </w:r>
            <w:r>
              <w:rPr>
                <w:rFonts w:eastAsia="MS Mincho" w:cstheme="minorHAnsi"/>
              </w:rPr>
              <w:t>.</w:t>
            </w:r>
          </w:p>
          <w:p w:rsidR="008C3CEA" w:rsidRPr="00825136" w:rsidRDefault="008C3CEA" w:rsidP="00A71365">
            <w:pPr>
              <w:pStyle w:val="Tablewriting"/>
              <w:rPr>
                <w:rFonts w:eastAsia="MS Mincho" w:cstheme="minorHAnsi"/>
              </w:rPr>
            </w:pPr>
          </w:p>
          <w:p w:rsidR="009E29BF" w:rsidRPr="00017AE6" w:rsidRDefault="00825136" w:rsidP="00A71365">
            <w:pPr>
              <w:pStyle w:val="Tablewriting"/>
              <w:rPr>
                <w:rFonts w:eastAsia="MS Mincho" w:cstheme="minorHAnsi"/>
              </w:rPr>
            </w:pPr>
            <w:r w:rsidRPr="00825136">
              <w:rPr>
                <w:rFonts w:eastAsia="MS Mincho" w:cstheme="minorHAnsi"/>
              </w:rPr>
              <w:t>Participants were motivated to quit.</w:t>
            </w:r>
          </w:p>
        </w:tc>
        <w:tc>
          <w:tcPr>
            <w:tcW w:w="1056" w:type="pct"/>
          </w:tcPr>
          <w:p w:rsidR="00CE136E" w:rsidRDefault="00CE136E" w:rsidP="00C324F3">
            <w:pPr>
              <w:pStyle w:val="Tablewriting"/>
              <w:numPr>
                <w:ilvl w:val="0"/>
                <w:numId w:val="95"/>
              </w:numPr>
              <w:rPr>
                <w:rFonts w:eastAsia="MS Mincho" w:cstheme="minorHAnsi"/>
              </w:rPr>
            </w:pPr>
            <w:r w:rsidRPr="00CE136E">
              <w:rPr>
                <w:rFonts w:eastAsia="MS Mincho" w:cstheme="minorHAnsi"/>
              </w:rPr>
              <w:t xml:space="preserve">Nicotine patch, 24 h, 12 weeks with weaning; 21 mg smokers of &gt; 20 </w:t>
            </w:r>
            <w:r>
              <w:rPr>
                <w:rFonts w:eastAsia="MS Mincho" w:cstheme="minorHAnsi"/>
              </w:rPr>
              <w:t>CPD</w:t>
            </w:r>
            <w:r w:rsidRPr="00CE136E">
              <w:rPr>
                <w:rFonts w:eastAsia="MS Mincho" w:cstheme="minorHAnsi"/>
              </w:rPr>
              <w:t xml:space="preserve">, 14 mg for &lt; 20 </w:t>
            </w:r>
            <w:r>
              <w:rPr>
                <w:rFonts w:eastAsia="MS Mincho" w:cstheme="minorHAnsi"/>
              </w:rPr>
              <w:t>CPD.</w:t>
            </w:r>
          </w:p>
          <w:p w:rsidR="00CE136E" w:rsidRPr="00CE136E" w:rsidRDefault="00CE136E" w:rsidP="00C324F3">
            <w:pPr>
              <w:pStyle w:val="Tablewriting"/>
              <w:numPr>
                <w:ilvl w:val="0"/>
                <w:numId w:val="95"/>
              </w:numPr>
              <w:rPr>
                <w:rFonts w:eastAsia="MS Mincho" w:cstheme="minorHAnsi"/>
              </w:rPr>
            </w:pPr>
            <w:r w:rsidRPr="00CE136E">
              <w:rPr>
                <w:rFonts w:eastAsia="MS Mincho" w:cstheme="minorHAnsi"/>
              </w:rPr>
              <w:t>Placebo patch</w:t>
            </w:r>
          </w:p>
          <w:p w:rsidR="00CE136E" w:rsidRDefault="00CE136E" w:rsidP="00A71365">
            <w:pPr>
              <w:pStyle w:val="Tablewriting"/>
              <w:rPr>
                <w:rFonts w:eastAsia="MS Mincho" w:cstheme="minorHAnsi"/>
              </w:rPr>
            </w:pPr>
          </w:p>
          <w:p w:rsidR="009E29BF" w:rsidRPr="00017AE6" w:rsidRDefault="00CE136E" w:rsidP="00A71365">
            <w:pPr>
              <w:pStyle w:val="Tablewriting"/>
              <w:rPr>
                <w:rFonts w:eastAsia="MS Mincho" w:cstheme="minorHAnsi"/>
              </w:rPr>
            </w:pPr>
            <w:r w:rsidRPr="00CE136E">
              <w:rPr>
                <w:rFonts w:eastAsia="MS Mincho" w:cstheme="minorHAnsi"/>
              </w:rPr>
              <w:t>Level of support: low</w:t>
            </w:r>
            <w:r>
              <w:rPr>
                <w:rFonts w:eastAsia="MS Mincho" w:cstheme="minorHAnsi"/>
              </w:rPr>
              <w:t xml:space="preserve"> </w:t>
            </w:r>
            <w:r w:rsidRPr="00CE136E">
              <w:rPr>
                <w:rFonts w:eastAsia="MS Mincho" w:cstheme="minorHAnsi"/>
              </w:rPr>
              <w:t>(number of visits unclear)</w:t>
            </w:r>
          </w:p>
        </w:tc>
        <w:tc>
          <w:tcPr>
            <w:tcW w:w="959" w:type="pct"/>
          </w:tcPr>
          <w:p w:rsidR="00CE136E" w:rsidRPr="00CE136E" w:rsidRDefault="00CE136E" w:rsidP="00A71365">
            <w:pPr>
              <w:pStyle w:val="Tablewriting"/>
              <w:rPr>
                <w:rFonts w:eastAsia="MS Mincho" w:cstheme="minorHAnsi"/>
                <w:u w:val="single"/>
              </w:rPr>
            </w:pPr>
            <w:r w:rsidRPr="00CE136E">
              <w:rPr>
                <w:rFonts w:eastAsia="MS Mincho" w:cstheme="minorHAnsi"/>
                <w:u w:val="single"/>
              </w:rPr>
              <w:t>Efficacy:</w:t>
            </w:r>
            <w:r>
              <w:rPr>
                <w:rFonts w:eastAsia="MS Mincho" w:cstheme="minorHAnsi"/>
                <w:u w:val="single"/>
              </w:rPr>
              <w:t xml:space="preserve"> </w:t>
            </w:r>
            <w:r w:rsidRPr="00CE136E">
              <w:rPr>
                <w:rFonts w:eastAsia="MS Mincho" w:cstheme="minorHAnsi"/>
              </w:rPr>
              <w:t>Sustained abstinence at 12 months (0 to 3 cigarettes/week)</w:t>
            </w:r>
          </w:p>
          <w:p w:rsidR="00CE136E" w:rsidRDefault="00CE136E" w:rsidP="00A71365">
            <w:pPr>
              <w:pStyle w:val="Tablewriting"/>
              <w:rPr>
                <w:rFonts w:eastAsia="MS Mincho" w:cstheme="minorHAnsi"/>
              </w:rPr>
            </w:pPr>
          </w:p>
          <w:p w:rsidR="009E29BF" w:rsidRDefault="00CE136E" w:rsidP="00A71365">
            <w:pPr>
              <w:pStyle w:val="Tablewriting"/>
              <w:rPr>
                <w:rFonts w:eastAsia="MS Mincho" w:cstheme="minorHAnsi"/>
              </w:rPr>
            </w:pPr>
            <w:r w:rsidRPr="00CE136E">
              <w:rPr>
                <w:rFonts w:eastAsia="MS Mincho" w:cstheme="minorHAnsi"/>
              </w:rPr>
              <w:t>Validation: expired CO</w:t>
            </w:r>
          </w:p>
          <w:p w:rsidR="00CE136E" w:rsidRDefault="00CE136E" w:rsidP="00A71365">
            <w:pPr>
              <w:pStyle w:val="Tablewriting"/>
              <w:rPr>
                <w:rFonts w:eastAsia="MS Mincho" w:cstheme="minorHAnsi"/>
              </w:rPr>
            </w:pPr>
          </w:p>
          <w:p w:rsidR="009E29BF" w:rsidRPr="00017AE6" w:rsidRDefault="00CE136E" w:rsidP="00A71365">
            <w:pPr>
              <w:pStyle w:val="Tablewriting"/>
              <w:rPr>
                <w:rFonts w:eastAsia="MS Mincho" w:cstheme="minorHAnsi"/>
              </w:rPr>
            </w:pPr>
            <w:r w:rsidRPr="00CE136E">
              <w:rPr>
                <w:rFonts w:eastAsia="MS Mincho" w:cstheme="minorHAnsi"/>
                <w:u w:val="single"/>
              </w:rPr>
              <w:t>Safety:</w:t>
            </w:r>
            <w:r>
              <w:rPr>
                <w:rFonts w:eastAsia="MS Mincho" w:cstheme="minorHAnsi"/>
              </w:rPr>
              <w:t xml:space="preserve"> NR</w:t>
            </w:r>
          </w:p>
        </w:tc>
      </w:tr>
      <w:tr w:rsidR="009E29BF" w:rsidRPr="00017AE6" w:rsidTr="005012C6">
        <w:trPr>
          <w:trHeight w:val="99"/>
        </w:trPr>
        <w:tc>
          <w:tcPr>
            <w:tcW w:w="1004" w:type="pct"/>
          </w:tcPr>
          <w:p w:rsidR="009E29BF" w:rsidRPr="00FD17DC" w:rsidRDefault="008332C7" w:rsidP="00A71365">
            <w:pPr>
              <w:pStyle w:val="Tablewriting"/>
              <w:rPr>
                <w:rFonts w:eastAsia="MS Mincho"/>
              </w:rPr>
            </w:pPr>
            <w:r w:rsidRPr="00FD17DC">
              <w:rPr>
                <w:rFonts w:eastAsia="MS Mincho"/>
              </w:rPr>
              <w:t xml:space="preserve">Campbell </w:t>
            </w:r>
            <w:r w:rsidR="00902014">
              <w:rPr>
                <w:rFonts w:eastAsia="MS Mincho"/>
              </w:rPr>
              <w:t>(</w:t>
            </w:r>
            <w:r w:rsidRPr="00FD17DC">
              <w:rPr>
                <w:rFonts w:eastAsia="MS Mincho"/>
              </w:rPr>
              <w:t>1996</w:t>
            </w:r>
            <w:r w:rsidR="00902014">
              <w:rPr>
                <w:rFonts w:eastAsia="MS Mincho"/>
              </w:rPr>
              <w:t>)</w:t>
            </w:r>
          </w:p>
        </w:tc>
        <w:tc>
          <w:tcPr>
            <w:tcW w:w="234" w:type="pct"/>
          </w:tcPr>
          <w:p w:rsidR="009E29BF" w:rsidRPr="00017AE6" w:rsidRDefault="001C2E71" w:rsidP="00A71365">
            <w:pPr>
              <w:pStyle w:val="Tablewriting"/>
              <w:rPr>
                <w:rFonts w:eastAsia="MS Mincho" w:cstheme="minorHAnsi"/>
              </w:rPr>
            </w:pPr>
            <w:r>
              <w:rPr>
                <w:rFonts w:eastAsia="MS Mincho" w:cstheme="minorHAnsi"/>
              </w:rPr>
              <w:t>RCT</w:t>
            </w:r>
          </w:p>
        </w:tc>
        <w:tc>
          <w:tcPr>
            <w:tcW w:w="412" w:type="pct"/>
          </w:tcPr>
          <w:p w:rsidR="009E29BF" w:rsidRPr="00017AE6" w:rsidRDefault="00346E73" w:rsidP="00A71365">
            <w:pPr>
              <w:pStyle w:val="Tablewriting"/>
              <w:rPr>
                <w:rFonts w:eastAsia="MS Mincho" w:cstheme="minorHAnsi"/>
              </w:rPr>
            </w:pPr>
            <w:r>
              <w:rPr>
                <w:rFonts w:eastAsia="MS Mincho" w:cstheme="minorHAnsi"/>
              </w:rPr>
              <w:t>UK</w:t>
            </w:r>
          </w:p>
        </w:tc>
        <w:tc>
          <w:tcPr>
            <w:tcW w:w="289" w:type="pct"/>
          </w:tcPr>
          <w:p w:rsidR="009E29BF" w:rsidRPr="00017AE6" w:rsidRDefault="001173B2" w:rsidP="00A71365">
            <w:pPr>
              <w:pStyle w:val="Tablewriting"/>
              <w:rPr>
                <w:rFonts w:eastAsia="MS Mincho" w:cstheme="minorHAnsi"/>
              </w:rPr>
            </w:pPr>
            <w:r>
              <w:rPr>
                <w:rFonts w:eastAsia="MS Mincho" w:cstheme="minorHAnsi"/>
              </w:rPr>
              <w:t>N=</w:t>
            </w:r>
            <w:r w:rsidR="00346E73" w:rsidRPr="00346E73">
              <w:rPr>
                <w:rFonts w:eastAsia="MS Mincho" w:cstheme="minorHAnsi"/>
              </w:rPr>
              <w:t>234</w:t>
            </w:r>
          </w:p>
        </w:tc>
        <w:tc>
          <w:tcPr>
            <w:tcW w:w="1046" w:type="pct"/>
          </w:tcPr>
          <w:p w:rsidR="00346E73" w:rsidRDefault="00346E73" w:rsidP="00A71365">
            <w:pPr>
              <w:pStyle w:val="Tablewriting"/>
              <w:rPr>
                <w:rFonts w:eastAsia="MS Mincho" w:cstheme="minorHAnsi"/>
              </w:rPr>
            </w:pPr>
            <w:r>
              <w:rPr>
                <w:rFonts w:eastAsia="MS Mincho" w:cstheme="minorHAnsi"/>
              </w:rPr>
              <w:t>A</w:t>
            </w:r>
            <w:r w:rsidRPr="00346E73">
              <w:rPr>
                <w:rFonts w:eastAsia="MS Mincho" w:cstheme="minorHAnsi"/>
              </w:rPr>
              <w:t xml:space="preserve">dult smokers (&gt; 1 </w:t>
            </w:r>
            <w:r>
              <w:rPr>
                <w:rFonts w:eastAsia="MS Mincho" w:cstheme="minorHAnsi"/>
              </w:rPr>
              <w:t>CPD</w:t>
            </w:r>
            <w:r w:rsidRPr="00346E73">
              <w:rPr>
                <w:rFonts w:eastAsia="MS Mincho" w:cstheme="minorHAnsi"/>
              </w:rPr>
              <w:t xml:space="preserve"> in previous week) (172 outpatients, 62 inpatients) Stratified on FTND</w:t>
            </w:r>
            <w:r w:rsidR="000671DC">
              <w:rPr>
                <w:rFonts w:eastAsia="MS Mincho" w:cstheme="minorHAnsi"/>
              </w:rPr>
              <w:t xml:space="preserve">, </w:t>
            </w:r>
            <w:r w:rsidRPr="00346E73">
              <w:rPr>
                <w:rFonts w:eastAsia="MS Mincho" w:cstheme="minorHAnsi"/>
              </w:rPr>
              <w:t>54% female, average age 49</w:t>
            </w:r>
            <w:r>
              <w:rPr>
                <w:rFonts w:eastAsia="MS Mincho" w:cstheme="minorHAnsi"/>
              </w:rPr>
              <w:t>.</w:t>
            </w:r>
          </w:p>
          <w:p w:rsidR="000671DC" w:rsidRDefault="000671DC" w:rsidP="00A71365">
            <w:pPr>
              <w:pStyle w:val="Tablewriting"/>
              <w:rPr>
                <w:rFonts w:eastAsia="MS Mincho" w:cstheme="minorHAnsi"/>
              </w:rPr>
            </w:pPr>
          </w:p>
          <w:p w:rsidR="009E29BF" w:rsidRPr="00017AE6" w:rsidRDefault="00346E73" w:rsidP="00A71365">
            <w:pPr>
              <w:pStyle w:val="Tablewriting"/>
              <w:rPr>
                <w:rFonts w:eastAsia="MS Mincho" w:cstheme="minorHAnsi"/>
              </w:rPr>
            </w:pPr>
            <w:r w:rsidRPr="00346E73">
              <w:rPr>
                <w:rFonts w:eastAsia="MS Mincho" w:cstheme="minorHAnsi"/>
              </w:rPr>
              <w:t>Participants</w:t>
            </w:r>
            <w:r>
              <w:rPr>
                <w:rFonts w:eastAsia="MS Mincho" w:cstheme="minorHAnsi"/>
              </w:rPr>
              <w:t xml:space="preserve"> </w:t>
            </w:r>
            <w:r w:rsidRPr="00346E73">
              <w:rPr>
                <w:rFonts w:eastAsia="MS Mincho" w:cstheme="minorHAnsi"/>
              </w:rPr>
              <w:t>were motivated to quit</w:t>
            </w:r>
            <w:r w:rsidR="000671DC">
              <w:rPr>
                <w:rFonts w:eastAsia="MS Mincho" w:cstheme="minorHAnsi"/>
              </w:rPr>
              <w:t>.</w:t>
            </w:r>
          </w:p>
        </w:tc>
        <w:tc>
          <w:tcPr>
            <w:tcW w:w="1056" w:type="pct"/>
          </w:tcPr>
          <w:p w:rsidR="000671DC" w:rsidRDefault="000671DC" w:rsidP="00C324F3">
            <w:pPr>
              <w:pStyle w:val="Tablewriting"/>
              <w:numPr>
                <w:ilvl w:val="0"/>
                <w:numId w:val="98"/>
              </w:numPr>
              <w:rPr>
                <w:rFonts w:eastAsia="MS Mincho" w:cstheme="minorHAnsi"/>
              </w:rPr>
            </w:pPr>
            <w:r w:rsidRPr="000671DC">
              <w:rPr>
                <w:rFonts w:eastAsia="MS Mincho" w:cstheme="minorHAnsi"/>
              </w:rPr>
              <w:t>Nicotine patch (21 mg, 24 h, 12 weeks with dose tapering)</w:t>
            </w:r>
            <w:r>
              <w:rPr>
                <w:rFonts w:eastAsia="MS Mincho" w:cstheme="minorHAnsi"/>
              </w:rPr>
              <w:t>.</w:t>
            </w:r>
          </w:p>
          <w:p w:rsidR="000671DC" w:rsidRDefault="000671DC" w:rsidP="00C324F3">
            <w:pPr>
              <w:pStyle w:val="Tablewriting"/>
              <w:numPr>
                <w:ilvl w:val="0"/>
                <w:numId w:val="98"/>
              </w:numPr>
              <w:rPr>
                <w:rFonts w:eastAsia="MS Mincho" w:cstheme="minorHAnsi"/>
              </w:rPr>
            </w:pPr>
            <w:r w:rsidRPr="000671DC">
              <w:rPr>
                <w:rFonts w:eastAsia="MS Mincho" w:cstheme="minorHAnsi"/>
              </w:rPr>
              <w:t>Placebo patch</w:t>
            </w:r>
            <w:r>
              <w:rPr>
                <w:rFonts w:eastAsia="MS Mincho" w:cstheme="minorHAnsi"/>
              </w:rPr>
              <w:t xml:space="preserve"> </w:t>
            </w:r>
          </w:p>
          <w:p w:rsidR="000671DC" w:rsidRDefault="000671DC" w:rsidP="00A71365">
            <w:pPr>
              <w:pStyle w:val="Tablewriting"/>
              <w:rPr>
                <w:rFonts w:eastAsia="MS Mincho" w:cstheme="minorHAnsi"/>
              </w:rPr>
            </w:pPr>
          </w:p>
          <w:p w:rsidR="009E29BF" w:rsidRPr="00017AE6" w:rsidRDefault="000671DC" w:rsidP="00A71365">
            <w:pPr>
              <w:pStyle w:val="Tablewriting"/>
              <w:rPr>
                <w:rFonts w:eastAsia="MS Mincho" w:cstheme="minorHAnsi"/>
              </w:rPr>
            </w:pPr>
            <w:r w:rsidRPr="000671DC">
              <w:rPr>
                <w:rFonts w:eastAsia="MS Mincho" w:cstheme="minorHAnsi"/>
              </w:rPr>
              <w:t>Level of support: high (counselling at 2, 4, 8,12 weeks)</w:t>
            </w:r>
          </w:p>
        </w:tc>
        <w:tc>
          <w:tcPr>
            <w:tcW w:w="959" w:type="pct"/>
          </w:tcPr>
          <w:p w:rsidR="001651C1" w:rsidRPr="00EA34D2" w:rsidRDefault="001173B2" w:rsidP="00A71365">
            <w:pPr>
              <w:pStyle w:val="Tablewriting"/>
              <w:rPr>
                <w:rFonts w:eastAsia="MS Mincho" w:cstheme="minorHAnsi"/>
              </w:rPr>
            </w:pPr>
            <w:r w:rsidRPr="009B13E2">
              <w:rPr>
                <w:rFonts w:eastAsia="MS Mincho" w:cstheme="minorHAnsi"/>
                <w:u w:val="single"/>
              </w:rPr>
              <w:t>Efficacy:</w:t>
            </w:r>
            <w:r w:rsidR="001651C1">
              <w:rPr>
                <w:rFonts w:eastAsia="MS Mincho" w:cstheme="minorHAnsi"/>
                <w:u w:val="single"/>
              </w:rPr>
              <w:t xml:space="preserve"> </w:t>
            </w:r>
            <w:r w:rsidR="001651C1" w:rsidRPr="00EA34D2">
              <w:rPr>
                <w:rFonts w:eastAsia="MS Mincho" w:cstheme="minorHAnsi"/>
              </w:rPr>
              <w:t>Continuous abstinence at 12 months</w:t>
            </w:r>
            <w:r w:rsidR="00EA34D2">
              <w:rPr>
                <w:rFonts w:eastAsia="MS Mincho" w:cstheme="minorHAnsi"/>
              </w:rPr>
              <w:t>.</w:t>
            </w:r>
          </w:p>
          <w:p w:rsidR="00EA34D2" w:rsidRDefault="00EA34D2" w:rsidP="00A71365">
            <w:pPr>
              <w:pStyle w:val="Tablewriting"/>
              <w:rPr>
                <w:rFonts w:eastAsia="MS Mincho" w:cstheme="minorHAnsi"/>
              </w:rPr>
            </w:pPr>
          </w:p>
          <w:p w:rsidR="001173B2" w:rsidRPr="009B13E2" w:rsidRDefault="001651C1" w:rsidP="00A71365">
            <w:pPr>
              <w:pStyle w:val="Tablewriting"/>
              <w:rPr>
                <w:rFonts w:eastAsia="MS Mincho" w:cstheme="minorHAnsi"/>
                <w:u w:val="single"/>
              </w:rPr>
            </w:pPr>
            <w:r w:rsidRPr="00EA34D2">
              <w:rPr>
                <w:rFonts w:eastAsia="MS Mincho" w:cstheme="minorHAnsi"/>
              </w:rPr>
              <w:t>Validation: CO</w:t>
            </w:r>
          </w:p>
          <w:p w:rsidR="001173B2" w:rsidRDefault="001173B2" w:rsidP="00A71365">
            <w:pPr>
              <w:pStyle w:val="Tablewriting"/>
              <w:rPr>
                <w:rFonts w:eastAsia="MS Mincho" w:cstheme="minorHAnsi"/>
              </w:rPr>
            </w:pPr>
          </w:p>
          <w:p w:rsidR="009E29BF" w:rsidRPr="00017AE6" w:rsidRDefault="001173B2" w:rsidP="00A71365">
            <w:pPr>
              <w:pStyle w:val="Tablewriting"/>
              <w:rPr>
                <w:rFonts w:eastAsia="MS Mincho" w:cstheme="minorHAnsi"/>
              </w:rPr>
            </w:pPr>
            <w:r w:rsidRPr="009B13E2">
              <w:rPr>
                <w:rFonts w:eastAsia="MS Mincho" w:cstheme="minorHAnsi"/>
                <w:u w:val="single"/>
              </w:rPr>
              <w:t>Safety:</w:t>
            </w:r>
            <w:r w:rsidR="00EA34D2">
              <w:rPr>
                <w:rFonts w:eastAsia="MS Mincho" w:cstheme="minorHAnsi"/>
                <w:u w:val="single"/>
              </w:rPr>
              <w:t xml:space="preserve"> </w:t>
            </w:r>
            <w:r w:rsidR="00EA34D2" w:rsidRPr="00EA34D2">
              <w:rPr>
                <w:rFonts w:eastAsia="MS Mincho" w:cstheme="minorHAnsi"/>
              </w:rPr>
              <w:t>NR</w:t>
            </w:r>
          </w:p>
        </w:tc>
      </w:tr>
      <w:tr w:rsidR="009E29BF" w:rsidRPr="00017AE6" w:rsidTr="005012C6">
        <w:trPr>
          <w:trHeight w:val="99"/>
        </w:trPr>
        <w:tc>
          <w:tcPr>
            <w:tcW w:w="1004" w:type="pct"/>
          </w:tcPr>
          <w:p w:rsidR="009E29BF" w:rsidRPr="00FD17DC" w:rsidRDefault="008332C7" w:rsidP="00A71365">
            <w:pPr>
              <w:pStyle w:val="Tablewriting"/>
              <w:rPr>
                <w:rFonts w:eastAsia="MS Mincho"/>
              </w:rPr>
            </w:pPr>
            <w:r w:rsidRPr="00FD17DC">
              <w:rPr>
                <w:rFonts w:eastAsia="MS Mincho"/>
              </w:rPr>
              <w:t xml:space="preserve">Cinciripini </w:t>
            </w:r>
            <w:r w:rsidR="00902014">
              <w:rPr>
                <w:rFonts w:eastAsia="MS Mincho"/>
              </w:rPr>
              <w:t>(</w:t>
            </w:r>
            <w:r w:rsidRPr="00FD17DC">
              <w:rPr>
                <w:rFonts w:eastAsia="MS Mincho"/>
              </w:rPr>
              <w:t>1996</w:t>
            </w:r>
            <w:r w:rsidR="00902014">
              <w:rPr>
                <w:rFonts w:eastAsia="MS Mincho"/>
              </w:rPr>
              <w:t>)</w:t>
            </w:r>
          </w:p>
        </w:tc>
        <w:tc>
          <w:tcPr>
            <w:tcW w:w="234" w:type="pct"/>
          </w:tcPr>
          <w:p w:rsidR="009E29BF" w:rsidRPr="00017AE6" w:rsidRDefault="001C2E71" w:rsidP="00A71365">
            <w:pPr>
              <w:pStyle w:val="Tablewriting"/>
              <w:rPr>
                <w:rFonts w:eastAsia="MS Mincho" w:cstheme="minorHAnsi"/>
              </w:rPr>
            </w:pPr>
            <w:r>
              <w:rPr>
                <w:rFonts w:eastAsia="MS Mincho" w:cstheme="minorHAnsi"/>
              </w:rPr>
              <w:t>RCT</w:t>
            </w:r>
          </w:p>
        </w:tc>
        <w:tc>
          <w:tcPr>
            <w:tcW w:w="412" w:type="pct"/>
          </w:tcPr>
          <w:p w:rsidR="009E29BF" w:rsidRPr="00017AE6" w:rsidRDefault="00EA34D2" w:rsidP="00A71365">
            <w:pPr>
              <w:pStyle w:val="Tablewriting"/>
              <w:rPr>
                <w:rFonts w:eastAsia="MS Mincho" w:cstheme="minorHAnsi"/>
              </w:rPr>
            </w:pPr>
            <w:r>
              <w:rPr>
                <w:rFonts w:eastAsia="MS Mincho" w:cstheme="minorHAnsi"/>
              </w:rPr>
              <w:t>USA</w:t>
            </w:r>
          </w:p>
        </w:tc>
        <w:tc>
          <w:tcPr>
            <w:tcW w:w="289" w:type="pct"/>
          </w:tcPr>
          <w:p w:rsidR="009E29BF" w:rsidRPr="00017AE6" w:rsidRDefault="001173B2" w:rsidP="00A71365">
            <w:pPr>
              <w:pStyle w:val="Tablewriting"/>
              <w:rPr>
                <w:rFonts w:eastAsia="MS Mincho" w:cstheme="minorHAnsi"/>
              </w:rPr>
            </w:pPr>
            <w:r>
              <w:rPr>
                <w:rFonts w:eastAsia="MS Mincho" w:cstheme="minorHAnsi"/>
              </w:rPr>
              <w:t>N=</w:t>
            </w:r>
            <w:r w:rsidR="00E030DB">
              <w:rPr>
                <w:rFonts w:eastAsia="MS Mincho" w:cstheme="minorHAnsi"/>
              </w:rPr>
              <w:t xml:space="preserve"> 64</w:t>
            </w:r>
          </w:p>
        </w:tc>
        <w:tc>
          <w:tcPr>
            <w:tcW w:w="1046" w:type="pct"/>
          </w:tcPr>
          <w:p w:rsidR="009E29BF" w:rsidRPr="00017AE6" w:rsidRDefault="00E030DB" w:rsidP="00A71365">
            <w:pPr>
              <w:pStyle w:val="Tablewriting"/>
              <w:rPr>
                <w:rFonts w:eastAsia="MS Mincho" w:cstheme="minorHAnsi"/>
              </w:rPr>
            </w:pPr>
            <w:r>
              <w:rPr>
                <w:rFonts w:eastAsia="MS Mincho" w:cstheme="minorHAnsi"/>
              </w:rPr>
              <w:t>S</w:t>
            </w:r>
            <w:r w:rsidR="00EA34D2" w:rsidRPr="00EA34D2">
              <w:rPr>
                <w:rFonts w:eastAsia="MS Mincho" w:cstheme="minorHAnsi"/>
              </w:rPr>
              <w:t xml:space="preserve">mokers (&gt; 15 </w:t>
            </w:r>
            <w:r w:rsidR="00EA34D2">
              <w:rPr>
                <w:rFonts w:eastAsia="MS Mincho" w:cstheme="minorHAnsi"/>
              </w:rPr>
              <w:t>CPD</w:t>
            </w:r>
            <w:r w:rsidR="00EA34D2" w:rsidRPr="00EA34D2">
              <w:rPr>
                <w:rFonts w:eastAsia="MS Mincho" w:cstheme="minorHAnsi"/>
              </w:rPr>
              <w:t>)</w:t>
            </w:r>
            <w:r w:rsidR="00672CC4">
              <w:rPr>
                <w:rFonts w:eastAsia="MS Mincho" w:cstheme="minorHAnsi"/>
              </w:rPr>
              <w:t xml:space="preserve">, </w:t>
            </w:r>
            <w:r w:rsidR="00EA34D2" w:rsidRPr="00EA34D2">
              <w:rPr>
                <w:rFonts w:eastAsia="MS Mincho" w:cstheme="minorHAnsi"/>
              </w:rPr>
              <w:t xml:space="preserve">70% female, average </w:t>
            </w:r>
            <w:r w:rsidR="00672CC4">
              <w:rPr>
                <w:rFonts w:eastAsia="MS Mincho" w:cstheme="minorHAnsi"/>
              </w:rPr>
              <w:t>CPD</w:t>
            </w:r>
            <w:r w:rsidR="00EA34D2" w:rsidRPr="00EA34D2">
              <w:rPr>
                <w:rFonts w:eastAsia="MS Mincho" w:cstheme="minorHAnsi"/>
              </w:rPr>
              <w:t xml:space="preserve"> 29/22</w:t>
            </w:r>
            <w:r w:rsidR="00672CC4">
              <w:rPr>
                <w:rFonts w:eastAsia="MS Mincho" w:cstheme="minorHAnsi"/>
              </w:rPr>
              <w:t>.</w:t>
            </w:r>
          </w:p>
        </w:tc>
        <w:tc>
          <w:tcPr>
            <w:tcW w:w="1056" w:type="pct"/>
          </w:tcPr>
          <w:p w:rsidR="0096198D" w:rsidRDefault="0096198D" w:rsidP="00C324F3">
            <w:pPr>
              <w:pStyle w:val="Tablewriting"/>
              <w:numPr>
                <w:ilvl w:val="0"/>
                <w:numId w:val="99"/>
              </w:numPr>
              <w:rPr>
                <w:rFonts w:eastAsia="MS Mincho" w:cstheme="minorHAnsi"/>
              </w:rPr>
            </w:pPr>
            <w:r w:rsidRPr="0096198D">
              <w:rPr>
                <w:rFonts w:eastAsia="MS Mincho" w:cstheme="minorHAnsi"/>
              </w:rPr>
              <w:t>Nicotine patch (21 mg, 12 weeks incl</w:t>
            </w:r>
            <w:r>
              <w:rPr>
                <w:rFonts w:eastAsia="MS Mincho" w:cstheme="minorHAnsi"/>
              </w:rPr>
              <w:t>uding</w:t>
            </w:r>
            <w:r w:rsidRPr="0096198D">
              <w:rPr>
                <w:rFonts w:eastAsia="MS Mincho" w:cstheme="minorHAnsi"/>
              </w:rPr>
              <w:t xml:space="preserve"> weaning)</w:t>
            </w:r>
            <w:r>
              <w:rPr>
                <w:rFonts w:eastAsia="MS Mincho" w:cstheme="minorHAnsi"/>
              </w:rPr>
              <w:t>.</w:t>
            </w:r>
          </w:p>
          <w:p w:rsidR="0096198D" w:rsidRDefault="0096198D" w:rsidP="00C324F3">
            <w:pPr>
              <w:pStyle w:val="Tablewriting"/>
              <w:numPr>
                <w:ilvl w:val="0"/>
                <w:numId w:val="99"/>
              </w:numPr>
              <w:rPr>
                <w:rFonts w:eastAsia="MS Mincho" w:cstheme="minorHAnsi"/>
              </w:rPr>
            </w:pPr>
            <w:r w:rsidRPr="0096198D">
              <w:rPr>
                <w:rFonts w:eastAsia="MS Mincho" w:cstheme="minorHAnsi"/>
              </w:rPr>
              <w:t>Behaviour therapy only (no placebo)</w:t>
            </w:r>
            <w:r>
              <w:rPr>
                <w:rFonts w:eastAsia="MS Mincho" w:cstheme="minorHAnsi"/>
              </w:rPr>
              <w:t>.</w:t>
            </w:r>
          </w:p>
          <w:p w:rsidR="0096198D" w:rsidRPr="0096198D" w:rsidRDefault="0096198D" w:rsidP="00A71365">
            <w:pPr>
              <w:pStyle w:val="Tablewriting"/>
              <w:rPr>
                <w:rFonts w:eastAsia="MS Mincho" w:cstheme="minorHAnsi"/>
              </w:rPr>
            </w:pPr>
          </w:p>
          <w:p w:rsidR="009E29BF" w:rsidRPr="00017AE6" w:rsidRDefault="0096198D" w:rsidP="00A71365">
            <w:pPr>
              <w:pStyle w:val="Tablewriting"/>
              <w:rPr>
                <w:rFonts w:eastAsia="MS Mincho" w:cstheme="minorHAnsi"/>
              </w:rPr>
            </w:pPr>
            <w:r w:rsidRPr="0096198D">
              <w:rPr>
                <w:rFonts w:eastAsia="MS Mincho" w:cstheme="minorHAnsi"/>
              </w:rPr>
              <w:t>Level of support: High (group therapy weekly for 9 weeks)</w:t>
            </w:r>
            <w:r>
              <w:rPr>
                <w:rFonts w:eastAsia="MS Mincho" w:cstheme="minorHAnsi"/>
              </w:rPr>
              <w:t>.</w:t>
            </w:r>
          </w:p>
        </w:tc>
        <w:tc>
          <w:tcPr>
            <w:tcW w:w="959" w:type="pct"/>
          </w:tcPr>
          <w:p w:rsidR="007E20B5" w:rsidRDefault="001173B2" w:rsidP="00A71365">
            <w:pPr>
              <w:pStyle w:val="Tablewriting"/>
              <w:rPr>
                <w:rFonts w:eastAsia="MS Mincho" w:cstheme="minorHAnsi"/>
              </w:rPr>
            </w:pPr>
            <w:r w:rsidRPr="009B13E2">
              <w:rPr>
                <w:rFonts w:eastAsia="MS Mincho" w:cstheme="minorHAnsi"/>
                <w:u w:val="single"/>
              </w:rPr>
              <w:t>Efficacy:</w:t>
            </w:r>
            <w:r w:rsidR="002A43AE">
              <w:rPr>
                <w:rFonts w:eastAsia="MS Mincho" w:cstheme="minorHAnsi"/>
                <w:u w:val="single"/>
              </w:rPr>
              <w:t xml:space="preserve"> </w:t>
            </w:r>
            <w:r w:rsidR="002A43AE" w:rsidRPr="002A43AE">
              <w:rPr>
                <w:rFonts w:eastAsia="MS Mincho" w:cstheme="minorHAnsi"/>
              </w:rPr>
              <w:t>Sustained abstinence, 12 months post-treatment and all previous points (EOT, 1, 3, 6 months)</w:t>
            </w:r>
            <w:r w:rsidR="002A43AE">
              <w:rPr>
                <w:rFonts w:eastAsia="MS Mincho" w:cstheme="minorHAnsi"/>
              </w:rPr>
              <w:t>.</w:t>
            </w:r>
          </w:p>
          <w:p w:rsidR="002A43AE" w:rsidRDefault="002A43AE" w:rsidP="00A71365">
            <w:pPr>
              <w:pStyle w:val="Tablewriting"/>
              <w:rPr>
                <w:rFonts w:eastAsia="MS Mincho" w:cstheme="minorHAnsi"/>
                <w:u w:val="single"/>
              </w:rPr>
            </w:pPr>
          </w:p>
          <w:p w:rsidR="002A43AE" w:rsidRPr="002A43AE" w:rsidRDefault="002A43AE" w:rsidP="00A71365">
            <w:pPr>
              <w:pStyle w:val="Tablewriting"/>
              <w:rPr>
                <w:rFonts w:eastAsia="MS Mincho" w:cstheme="minorHAnsi"/>
              </w:rPr>
            </w:pPr>
            <w:r w:rsidRPr="002A43AE">
              <w:rPr>
                <w:rFonts w:eastAsia="MS Mincho" w:cstheme="minorHAnsi"/>
              </w:rPr>
              <w:t>Validation: CO &lt; 6 ppm at each point</w:t>
            </w:r>
          </w:p>
          <w:p w:rsidR="001173B2" w:rsidRDefault="001173B2" w:rsidP="00A71365">
            <w:pPr>
              <w:pStyle w:val="Tablewriting"/>
              <w:rPr>
                <w:rFonts w:eastAsia="MS Mincho" w:cstheme="minorHAnsi"/>
              </w:rPr>
            </w:pPr>
          </w:p>
          <w:p w:rsidR="009E29BF" w:rsidRPr="00017AE6" w:rsidRDefault="001173B2" w:rsidP="00A71365">
            <w:pPr>
              <w:pStyle w:val="Tablewriting"/>
              <w:rPr>
                <w:rFonts w:eastAsia="MS Mincho" w:cstheme="minorHAnsi"/>
              </w:rPr>
            </w:pPr>
            <w:r w:rsidRPr="009B13E2">
              <w:rPr>
                <w:rFonts w:eastAsia="MS Mincho" w:cstheme="minorHAnsi"/>
                <w:u w:val="single"/>
              </w:rPr>
              <w:t>Safety:</w:t>
            </w:r>
            <w:r w:rsidR="002A43AE">
              <w:rPr>
                <w:rFonts w:eastAsia="MS Mincho" w:cstheme="minorHAnsi"/>
                <w:u w:val="single"/>
              </w:rPr>
              <w:t xml:space="preserve"> </w:t>
            </w:r>
            <w:r w:rsidR="002A43AE" w:rsidRPr="002A43AE">
              <w:rPr>
                <w:rFonts w:eastAsia="MS Mincho" w:cstheme="minorHAnsi"/>
              </w:rPr>
              <w:t>NR</w:t>
            </w:r>
          </w:p>
        </w:tc>
      </w:tr>
      <w:tr w:rsidR="009E29BF" w:rsidRPr="00017AE6" w:rsidTr="005012C6">
        <w:trPr>
          <w:trHeight w:val="99"/>
        </w:trPr>
        <w:tc>
          <w:tcPr>
            <w:tcW w:w="1004" w:type="pct"/>
          </w:tcPr>
          <w:p w:rsidR="009E29BF" w:rsidRPr="00FD17DC" w:rsidRDefault="008332C7" w:rsidP="00A71365">
            <w:pPr>
              <w:pStyle w:val="Tablewriting"/>
              <w:rPr>
                <w:rFonts w:eastAsia="MS Mincho"/>
              </w:rPr>
            </w:pPr>
            <w:r w:rsidRPr="00FD17DC">
              <w:rPr>
                <w:rFonts w:eastAsia="MS Mincho"/>
              </w:rPr>
              <w:lastRenderedPageBreak/>
              <w:t xml:space="preserve">Daughton </w:t>
            </w:r>
            <w:r w:rsidR="00902014">
              <w:rPr>
                <w:rFonts w:eastAsia="MS Mincho"/>
              </w:rPr>
              <w:t>(</w:t>
            </w:r>
            <w:r w:rsidRPr="00FD17DC">
              <w:rPr>
                <w:rFonts w:eastAsia="MS Mincho"/>
              </w:rPr>
              <w:t>1998</w:t>
            </w:r>
            <w:r w:rsidR="00902014">
              <w:rPr>
                <w:rFonts w:eastAsia="MS Mincho"/>
              </w:rPr>
              <w:t>)</w:t>
            </w:r>
          </w:p>
        </w:tc>
        <w:tc>
          <w:tcPr>
            <w:tcW w:w="234" w:type="pct"/>
          </w:tcPr>
          <w:p w:rsidR="009E29BF" w:rsidRPr="00017AE6" w:rsidRDefault="001C2E71" w:rsidP="00A71365">
            <w:pPr>
              <w:pStyle w:val="Tablewriting"/>
              <w:rPr>
                <w:rFonts w:eastAsia="MS Mincho" w:cstheme="minorHAnsi"/>
              </w:rPr>
            </w:pPr>
            <w:r>
              <w:rPr>
                <w:rFonts w:eastAsia="MS Mincho" w:cstheme="minorHAnsi"/>
              </w:rPr>
              <w:t>RCT</w:t>
            </w:r>
          </w:p>
        </w:tc>
        <w:tc>
          <w:tcPr>
            <w:tcW w:w="412" w:type="pct"/>
          </w:tcPr>
          <w:p w:rsidR="009E29BF" w:rsidRPr="00017AE6" w:rsidRDefault="00766ED2" w:rsidP="00A71365">
            <w:pPr>
              <w:pStyle w:val="Tablewriting"/>
              <w:rPr>
                <w:rFonts w:eastAsia="MS Mincho" w:cstheme="minorHAnsi"/>
              </w:rPr>
            </w:pPr>
            <w:r>
              <w:rPr>
                <w:rFonts w:eastAsia="MS Mincho" w:cstheme="minorHAnsi"/>
              </w:rPr>
              <w:t>USA</w:t>
            </w:r>
          </w:p>
        </w:tc>
        <w:tc>
          <w:tcPr>
            <w:tcW w:w="289" w:type="pct"/>
          </w:tcPr>
          <w:p w:rsidR="009E29BF" w:rsidRPr="00017AE6" w:rsidRDefault="001173B2" w:rsidP="00A71365">
            <w:pPr>
              <w:pStyle w:val="Tablewriting"/>
              <w:rPr>
                <w:rFonts w:eastAsia="MS Mincho" w:cstheme="minorHAnsi"/>
              </w:rPr>
            </w:pPr>
            <w:r>
              <w:rPr>
                <w:rFonts w:eastAsia="MS Mincho" w:cstheme="minorHAnsi"/>
              </w:rPr>
              <w:t>N=</w:t>
            </w:r>
            <w:r w:rsidR="00766ED2" w:rsidRPr="00766ED2">
              <w:rPr>
                <w:rFonts w:eastAsia="MS Mincho" w:cstheme="minorHAnsi"/>
              </w:rPr>
              <w:t>369</w:t>
            </w:r>
          </w:p>
        </w:tc>
        <w:tc>
          <w:tcPr>
            <w:tcW w:w="1046" w:type="pct"/>
          </w:tcPr>
          <w:p w:rsidR="00766ED2" w:rsidRDefault="00766ED2" w:rsidP="00A71365">
            <w:pPr>
              <w:pStyle w:val="Tablewriting"/>
              <w:rPr>
                <w:rFonts w:eastAsia="MS Mincho" w:cstheme="minorHAnsi"/>
              </w:rPr>
            </w:pPr>
            <w:r>
              <w:rPr>
                <w:rFonts w:eastAsia="MS Mincho" w:cstheme="minorHAnsi"/>
              </w:rPr>
              <w:t>S</w:t>
            </w:r>
            <w:r w:rsidRPr="00766ED2">
              <w:rPr>
                <w:rFonts w:eastAsia="MS Mincho" w:cstheme="minorHAnsi"/>
              </w:rPr>
              <w:t xml:space="preserve">mokers (&gt; 20 </w:t>
            </w:r>
            <w:r>
              <w:rPr>
                <w:rFonts w:eastAsia="MS Mincho" w:cstheme="minorHAnsi"/>
              </w:rPr>
              <w:t>CPD</w:t>
            </w:r>
            <w:r w:rsidRPr="00766ED2">
              <w:rPr>
                <w:rFonts w:eastAsia="MS Mincho" w:cstheme="minorHAnsi"/>
              </w:rPr>
              <w:t>)</w:t>
            </w:r>
            <w:r>
              <w:rPr>
                <w:rFonts w:eastAsia="MS Mincho" w:cstheme="minorHAnsi"/>
              </w:rPr>
              <w:t>, a</w:t>
            </w:r>
            <w:r w:rsidRPr="00766ED2">
              <w:rPr>
                <w:rFonts w:eastAsia="MS Mincho" w:cstheme="minorHAnsi"/>
              </w:rPr>
              <w:t xml:space="preserve">verage age 37, average </w:t>
            </w:r>
            <w:r>
              <w:rPr>
                <w:rFonts w:eastAsia="MS Mincho" w:cstheme="minorHAnsi"/>
              </w:rPr>
              <w:t>CPD</w:t>
            </w:r>
            <w:r w:rsidRPr="00766ED2">
              <w:rPr>
                <w:rFonts w:eastAsia="MS Mincho" w:cstheme="minorHAnsi"/>
              </w:rPr>
              <w:t xml:space="preserve"> 27 to 30</w:t>
            </w:r>
            <w:r>
              <w:rPr>
                <w:rFonts w:eastAsia="MS Mincho" w:cstheme="minorHAnsi"/>
              </w:rPr>
              <w:t>.</w:t>
            </w:r>
            <w:r w:rsidRPr="00766ED2">
              <w:rPr>
                <w:rFonts w:eastAsia="MS Mincho" w:cstheme="minorHAnsi"/>
              </w:rPr>
              <w:t xml:space="preserve"> </w:t>
            </w:r>
          </w:p>
          <w:p w:rsidR="00766ED2" w:rsidRDefault="00766ED2" w:rsidP="00A71365">
            <w:pPr>
              <w:pStyle w:val="Tablewriting"/>
              <w:rPr>
                <w:rFonts w:eastAsia="MS Mincho" w:cstheme="minorHAnsi"/>
              </w:rPr>
            </w:pPr>
          </w:p>
          <w:p w:rsidR="009E29BF" w:rsidRPr="00017AE6" w:rsidRDefault="00766ED2" w:rsidP="00A71365">
            <w:pPr>
              <w:pStyle w:val="Tablewriting"/>
              <w:rPr>
                <w:rFonts w:eastAsia="MS Mincho" w:cstheme="minorHAnsi"/>
              </w:rPr>
            </w:pPr>
            <w:r>
              <w:rPr>
                <w:rFonts w:eastAsia="MS Mincho" w:cstheme="minorHAnsi"/>
              </w:rPr>
              <w:t>P</w:t>
            </w:r>
            <w:r w:rsidRPr="00766ED2">
              <w:rPr>
                <w:rFonts w:eastAsia="MS Mincho" w:cstheme="minorHAnsi"/>
              </w:rPr>
              <w:t>articipants were variously motivated to quit</w:t>
            </w:r>
          </w:p>
        </w:tc>
        <w:tc>
          <w:tcPr>
            <w:tcW w:w="1056" w:type="pct"/>
          </w:tcPr>
          <w:p w:rsidR="00103544" w:rsidRDefault="00766ED2" w:rsidP="00C324F3">
            <w:pPr>
              <w:pStyle w:val="Tablewriting"/>
              <w:numPr>
                <w:ilvl w:val="0"/>
                <w:numId w:val="100"/>
              </w:numPr>
              <w:rPr>
                <w:rFonts w:eastAsia="MS Mincho" w:cstheme="minorHAnsi"/>
              </w:rPr>
            </w:pPr>
            <w:r w:rsidRPr="00766ED2">
              <w:rPr>
                <w:rFonts w:eastAsia="MS Mincho" w:cstheme="minorHAnsi"/>
              </w:rPr>
              <w:t>Nicotine patch (21 mg, 16 h, 10 weeks with weaning)</w:t>
            </w:r>
            <w:r w:rsidR="00103544">
              <w:rPr>
                <w:rFonts w:eastAsia="MS Mincho" w:cstheme="minorHAnsi"/>
              </w:rPr>
              <w:t>.</w:t>
            </w:r>
          </w:p>
          <w:p w:rsidR="00766ED2" w:rsidRPr="00766ED2" w:rsidRDefault="00766ED2" w:rsidP="00C324F3">
            <w:pPr>
              <w:pStyle w:val="Tablewriting"/>
              <w:numPr>
                <w:ilvl w:val="0"/>
                <w:numId w:val="100"/>
              </w:numPr>
              <w:rPr>
                <w:rFonts w:eastAsia="MS Mincho" w:cstheme="minorHAnsi"/>
              </w:rPr>
            </w:pPr>
            <w:r w:rsidRPr="00766ED2">
              <w:rPr>
                <w:rFonts w:eastAsia="MS Mincho" w:cstheme="minorHAnsi"/>
              </w:rPr>
              <w:t>Placebo patch</w:t>
            </w:r>
            <w:r w:rsidR="00103544">
              <w:rPr>
                <w:rFonts w:eastAsia="MS Mincho" w:cstheme="minorHAnsi"/>
              </w:rPr>
              <w:t>.</w:t>
            </w:r>
          </w:p>
          <w:p w:rsidR="00103544" w:rsidRPr="00103544" w:rsidRDefault="00103544" w:rsidP="00A71365">
            <w:pPr>
              <w:pStyle w:val="Tablewriting"/>
              <w:ind w:left="360"/>
              <w:rPr>
                <w:rFonts w:eastAsia="MS Mincho" w:cstheme="minorHAnsi"/>
              </w:rPr>
            </w:pPr>
          </w:p>
          <w:p w:rsidR="00766ED2" w:rsidRPr="00766ED2" w:rsidRDefault="00766ED2" w:rsidP="00A71365">
            <w:pPr>
              <w:pStyle w:val="Tablewriting"/>
              <w:rPr>
                <w:rFonts w:eastAsia="MS Mincho" w:cstheme="minorHAnsi"/>
              </w:rPr>
            </w:pPr>
            <w:r w:rsidRPr="00766ED2">
              <w:rPr>
                <w:rFonts w:eastAsia="MS Mincho" w:cstheme="minorHAnsi"/>
              </w:rPr>
              <w:t>Level of support: low (Nicoderm Committed Quitters Programme support booklet + follow-up visit 1</w:t>
            </w:r>
          </w:p>
          <w:p w:rsidR="009E29BF" w:rsidRPr="00017AE6" w:rsidRDefault="00766ED2" w:rsidP="00A71365">
            <w:pPr>
              <w:pStyle w:val="Tablewriting"/>
              <w:rPr>
                <w:rFonts w:eastAsia="MS Mincho" w:cstheme="minorHAnsi"/>
              </w:rPr>
            </w:pPr>
            <w:r w:rsidRPr="00766ED2">
              <w:rPr>
                <w:rFonts w:eastAsia="MS Mincho" w:cstheme="minorHAnsi"/>
              </w:rPr>
              <w:t>week after quit day)</w:t>
            </w:r>
          </w:p>
        </w:tc>
        <w:tc>
          <w:tcPr>
            <w:tcW w:w="959" w:type="pct"/>
          </w:tcPr>
          <w:p w:rsidR="00103544" w:rsidRPr="00103544" w:rsidRDefault="001173B2" w:rsidP="00A71365">
            <w:pPr>
              <w:pStyle w:val="Tablewriting"/>
              <w:rPr>
                <w:rFonts w:eastAsia="MS Mincho" w:cstheme="minorHAnsi"/>
              </w:rPr>
            </w:pPr>
            <w:r w:rsidRPr="009B13E2">
              <w:rPr>
                <w:rFonts w:eastAsia="MS Mincho" w:cstheme="minorHAnsi"/>
                <w:u w:val="single"/>
              </w:rPr>
              <w:t>Efficacy:</w:t>
            </w:r>
            <w:r w:rsidR="00103544">
              <w:rPr>
                <w:rFonts w:eastAsia="MS Mincho" w:cstheme="minorHAnsi"/>
                <w:u w:val="single"/>
              </w:rPr>
              <w:t xml:space="preserve"> </w:t>
            </w:r>
            <w:r w:rsidR="00103544" w:rsidRPr="00103544">
              <w:rPr>
                <w:rFonts w:eastAsia="MS Mincho" w:cstheme="minorHAnsi"/>
              </w:rPr>
              <w:t>Sustained abstinence (continuous self-reported from quit day) at 12 months</w:t>
            </w:r>
            <w:r w:rsidR="00103544">
              <w:rPr>
                <w:rFonts w:eastAsia="MS Mincho" w:cstheme="minorHAnsi"/>
              </w:rPr>
              <w:t>.</w:t>
            </w:r>
          </w:p>
          <w:p w:rsidR="00103544" w:rsidRDefault="00103544" w:rsidP="00A71365">
            <w:pPr>
              <w:pStyle w:val="Tablewriting"/>
              <w:rPr>
                <w:rFonts w:eastAsia="MS Mincho" w:cstheme="minorHAnsi"/>
              </w:rPr>
            </w:pPr>
          </w:p>
          <w:p w:rsidR="001173B2" w:rsidRPr="00103544" w:rsidRDefault="00103544" w:rsidP="00A71365">
            <w:pPr>
              <w:pStyle w:val="Tablewriting"/>
              <w:rPr>
                <w:rFonts w:eastAsia="MS Mincho" w:cstheme="minorHAnsi"/>
              </w:rPr>
            </w:pPr>
            <w:r w:rsidRPr="00103544">
              <w:rPr>
                <w:rFonts w:eastAsia="MS Mincho" w:cstheme="minorHAnsi"/>
              </w:rPr>
              <w:t xml:space="preserve">Validation: CO </w:t>
            </w:r>
            <w:r w:rsidR="00F80B8C" w:rsidRPr="00F80B8C">
              <w:rPr>
                <w:rFonts w:eastAsia="MS Mincho" w:cstheme="minorHAnsi"/>
              </w:rPr>
              <w:t>≤</w:t>
            </w:r>
            <w:r w:rsidRPr="00103544">
              <w:rPr>
                <w:rFonts w:eastAsia="MS Mincho" w:cstheme="minorHAnsi"/>
              </w:rPr>
              <w:t xml:space="preserve"> 8 ppm and saliva cotinine &lt; 20 mg/m</w:t>
            </w:r>
            <w:r w:rsidR="00234C0C">
              <w:rPr>
                <w:rFonts w:eastAsia="MS Mincho" w:cstheme="minorHAnsi"/>
              </w:rPr>
              <w:t>l</w:t>
            </w:r>
            <w:r>
              <w:rPr>
                <w:rFonts w:eastAsia="MS Mincho" w:cstheme="minorHAnsi"/>
              </w:rPr>
              <w:t>.</w:t>
            </w:r>
          </w:p>
          <w:p w:rsidR="001173B2" w:rsidRDefault="001173B2" w:rsidP="00A71365">
            <w:pPr>
              <w:pStyle w:val="Tablewriting"/>
              <w:rPr>
                <w:rFonts w:eastAsia="MS Mincho" w:cstheme="minorHAnsi"/>
              </w:rPr>
            </w:pPr>
          </w:p>
          <w:p w:rsidR="009E29BF" w:rsidRPr="00017AE6" w:rsidRDefault="001173B2" w:rsidP="00A71365">
            <w:pPr>
              <w:pStyle w:val="Tablewriting"/>
              <w:rPr>
                <w:rFonts w:eastAsia="MS Mincho" w:cstheme="minorHAnsi"/>
              </w:rPr>
            </w:pPr>
            <w:r w:rsidRPr="009B13E2">
              <w:rPr>
                <w:rFonts w:eastAsia="MS Mincho" w:cstheme="minorHAnsi"/>
                <w:u w:val="single"/>
              </w:rPr>
              <w:t>Safety:</w:t>
            </w:r>
            <w:r w:rsidR="0054283A">
              <w:rPr>
                <w:rFonts w:eastAsia="MS Mincho" w:cstheme="minorHAnsi"/>
                <w:u w:val="single"/>
              </w:rPr>
              <w:t xml:space="preserve"> </w:t>
            </w:r>
            <w:r w:rsidR="0054283A" w:rsidRPr="002A43AE">
              <w:rPr>
                <w:rFonts w:eastAsia="MS Mincho" w:cstheme="minorHAnsi"/>
              </w:rPr>
              <w:t>NR</w:t>
            </w:r>
          </w:p>
        </w:tc>
      </w:tr>
      <w:tr w:rsidR="009E29BF" w:rsidRPr="00017AE6" w:rsidTr="005012C6">
        <w:trPr>
          <w:trHeight w:val="99"/>
        </w:trPr>
        <w:tc>
          <w:tcPr>
            <w:tcW w:w="1004" w:type="pct"/>
          </w:tcPr>
          <w:p w:rsidR="009E29BF" w:rsidRPr="00FD17DC" w:rsidRDefault="008332C7" w:rsidP="00A71365">
            <w:pPr>
              <w:pStyle w:val="Tablewriting"/>
              <w:rPr>
                <w:rFonts w:eastAsia="MS Mincho"/>
              </w:rPr>
            </w:pPr>
            <w:r w:rsidRPr="00FD17DC">
              <w:rPr>
                <w:rFonts w:eastAsia="MS Mincho"/>
              </w:rPr>
              <w:t xml:space="preserve">Ehrsam </w:t>
            </w:r>
            <w:r w:rsidR="00902014">
              <w:rPr>
                <w:rFonts w:eastAsia="MS Mincho"/>
              </w:rPr>
              <w:t>(</w:t>
            </w:r>
            <w:r w:rsidRPr="00FD17DC">
              <w:rPr>
                <w:rFonts w:eastAsia="MS Mincho"/>
              </w:rPr>
              <w:t>1991</w:t>
            </w:r>
            <w:r w:rsidR="00902014">
              <w:rPr>
                <w:rFonts w:eastAsia="MS Mincho"/>
              </w:rPr>
              <w:t>)</w:t>
            </w:r>
          </w:p>
        </w:tc>
        <w:tc>
          <w:tcPr>
            <w:tcW w:w="234" w:type="pct"/>
          </w:tcPr>
          <w:p w:rsidR="009E29BF" w:rsidRPr="00017AE6" w:rsidRDefault="001C2E71" w:rsidP="00A71365">
            <w:pPr>
              <w:pStyle w:val="Tablewriting"/>
              <w:rPr>
                <w:rFonts w:eastAsia="MS Mincho" w:cstheme="minorHAnsi"/>
              </w:rPr>
            </w:pPr>
            <w:r>
              <w:rPr>
                <w:rFonts w:eastAsia="MS Mincho" w:cstheme="minorHAnsi"/>
              </w:rPr>
              <w:t>RCT</w:t>
            </w:r>
          </w:p>
        </w:tc>
        <w:tc>
          <w:tcPr>
            <w:tcW w:w="412" w:type="pct"/>
          </w:tcPr>
          <w:p w:rsidR="009E29BF" w:rsidRPr="00017AE6" w:rsidRDefault="00F80B8C" w:rsidP="00A71365">
            <w:pPr>
              <w:pStyle w:val="Tablewriting"/>
              <w:rPr>
                <w:rFonts w:eastAsia="MS Mincho" w:cstheme="minorHAnsi"/>
              </w:rPr>
            </w:pPr>
            <w:r>
              <w:rPr>
                <w:rFonts w:eastAsia="MS Mincho" w:cstheme="minorHAnsi"/>
              </w:rPr>
              <w:t>Switzerland</w:t>
            </w:r>
          </w:p>
        </w:tc>
        <w:tc>
          <w:tcPr>
            <w:tcW w:w="289" w:type="pct"/>
          </w:tcPr>
          <w:p w:rsidR="009E29BF" w:rsidRPr="00017AE6" w:rsidRDefault="001173B2" w:rsidP="00A71365">
            <w:pPr>
              <w:pStyle w:val="Tablewriting"/>
              <w:rPr>
                <w:rFonts w:eastAsia="MS Mincho" w:cstheme="minorHAnsi"/>
              </w:rPr>
            </w:pPr>
            <w:r>
              <w:rPr>
                <w:rFonts w:eastAsia="MS Mincho" w:cstheme="minorHAnsi"/>
              </w:rPr>
              <w:t>N=</w:t>
            </w:r>
            <w:r w:rsidR="00F80B8C">
              <w:rPr>
                <w:rFonts w:eastAsia="MS Mincho" w:cstheme="minorHAnsi"/>
              </w:rPr>
              <w:t>112</w:t>
            </w:r>
          </w:p>
        </w:tc>
        <w:tc>
          <w:tcPr>
            <w:tcW w:w="1046" w:type="pct"/>
          </w:tcPr>
          <w:p w:rsidR="009E29BF" w:rsidRPr="00017AE6" w:rsidRDefault="00F80B8C" w:rsidP="00A71365">
            <w:pPr>
              <w:pStyle w:val="Tablewriting"/>
              <w:rPr>
                <w:rFonts w:eastAsia="MS Mincho" w:cstheme="minorHAnsi"/>
              </w:rPr>
            </w:pPr>
            <w:r>
              <w:rPr>
                <w:rFonts w:eastAsia="MS Mincho" w:cstheme="minorHAnsi"/>
              </w:rPr>
              <w:t>S</w:t>
            </w:r>
            <w:r w:rsidRPr="00F80B8C">
              <w:rPr>
                <w:rFonts w:eastAsia="MS Mincho" w:cstheme="minorHAnsi"/>
              </w:rPr>
              <w:t>mokers at 2 universities</w:t>
            </w:r>
            <w:r>
              <w:rPr>
                <w:rFonts w:eastAsia="MS Mincho" w:cstheme="minorHAnsi"/>
              </w:rPr>
              <w:t>, a</w:t>
            </w:r>
            <w:r w:rsidRPr="00F80B8C">
              <w:rPr>
                <w:rFonts w:eastAsia="MS Mincho" w:cstheme="minorHAnsi"/>
              </w:rPr>
              <w:t xml:space="preserve">verage age 26, average </w:t>
            </w:r>
            <w:r w:rsidR="00D54253">
              <w:rPr>
                <w:rFonts w:eastAsia="MS Mincho" w:cstheme="minorHAnsi"/>
              </w:rPr>
              <w:t>CPD</w:t>
            </w:r>
            <w:r w:rsidRPr="00F80B8C">
              <w:rPr>
                <w:rFonts w:eastAsia="MS Mincho" w:cstheme="minorHAnsi"/>
              </w:rPr>
              <w:t xml:space="preserve"> 23</w:t>
            </w:r>
            <w:r w:rsidR="00D54253">
              <w:rPr>
                <w:rFonts w:eastAsia="MS Mincho" w:cstheme="minorHAnsi"/>
              </w:rPr>
              <w:t xml:space="preserve">. </w:t>
            </w:r>
          </w:p>
        </w:tc>
        <w:tc>
          <w:tcPr>
            <w:tcW w:w="1056" w:type="pct"/>
          </w:tcPr>
          <w:p w:rsidR="00D54253" w:rsidRDefault="00D54253" w:rsidP="00C324F3">
            <w:pPr>
              <w:pStyle w:val="Tablewriting"/>
              <w:numPr>
                <w:ilvl w:val="0"/>
                <w:numId w:val="101"/>
              </w:numPr>
              <w:rPr>
                <w:rFonts w:eastAsia="MS Mincho" w:cstheme="minorHAnsi"/>
              </w:rPr>
            </w:pPr>
            <w:r w:rsidRPr="00D54253">
              <w:rPr>
                <w:rFonts w:eastAsia="MS Mincho" w:cstheme="minorHAnsi"/>
              </w:rPr>
              <w:t>Nicotine patch (21 or 14 mg/24 h, 9 weeks, tapered)</w:t>
            </w:r>
            <w:r>
              <w:rPr>
                <w:rFonts w:eastAsia="MS Mincho" w:cstheme="minorHAnsi"/>
              </w:rPr>
              <w:t>.</w:t>
            </w:r>
          </w:p>
          <w:p w:rsidR="00D54253" w:rsidRPr="00D54253" w:rsidRDefault="00D54253" w:rsidP="00C324F3">
            <w:pPr>
              <w:pStyle w:val="Tablewriting"/>
              <w:numPr>
                <w:ilvl w:val="0"/>
                <w:numId w:val="101"/>
              </w:numPr>
              <w:rPr>
                <w:rFonts w:eastAsia="MS Mincho" w:cstheme="minorHAnsi"/>
              </w:rPr>
            </w:pPr>
            <w:r w:rsidRPr="00D54253">
              <w:rPr>
                <w:rFonts w:eastAsia="MS Mincho" w:cstheme="minorHAnsi"/>
              </w:rPr>
              <w:t>Placebo patch</w:t>
            </w:r>
          </w:p>
          <w:p w:rsidR="00D54253" w:rsidRDefault="00D54253" w:rsidP="00A71365">
            <w:pPr>
              <w:pStyle w:val="Tablewriting"/>
              <w:rPr>
                <w:rFonts w:eastAsia="MS Mincho" w:cstheme="minorHAnsi"/>
              </w:rPr>
            </w:pPr>
          </w:p>
          <w:p w:rsidR="009E29BF" w:rsidRPr="00017AE6" w:rsidRDefault="00D54253" w:rsidP="00A71365">
            <w:pPr>
              <w:pStyle w:val="Tablewriting"/>
              <w:rPr>
                <w:rFonts w:eastAsia="MS Mincho" w:cstheme="minorHAnsi"/>
              </w:rPr>
            </w:pPr>
            <w:r w:rsidRPr="00D54253">
              <w:rPr>
                <w:rFonts w:eastAsia="MS Mincho" w:cstheme="minorHAnsi"/>
              </w:rPr>
              <w:t>Level of support: high (no counselling)</w:t>
            </w:r>
            <w:r>
              <w:rPr>
                <w:rFonts w:eastAsia="MS Mincho" w:cstheme="minorHAnsi"/>
              </w:rPr>
              <w:t>.</w:t>
            </w:r>
          </w:p>
        </w:tc>
        <w:tc>
          <w:tcPr>
            <w:tcW w:w="959" w:type="pct"/>
          </w:tcPr>
          <w:p w:rsidR="00D54253" w:rsidRPr="00D54253" w:rsidRDefault="001173B2" w:rsidP="00A71365">
            <w:pPr>
              <w:pStyle w:val="Tablewriting"/>
              <w:rPr>
                <w:rFonts w:eastAsia="MS Mincho" w:cstheme="minorHAnsi"/>
              </w:rPr>
            </w:pPr>
            <w:r w:rsidRPr="009B13E2">
              <w:rPr>
                <w:rFonts w:eastAsia="MS Mincho" w:cstheme="minorHAnsi"/>
                <w:u w:val="single"/>
              </w:rPr>
              <w:t>Efficacy:</w:t>
            </w:r>
            <w:r w:rsidR="00D54253">
              <w:rPr>
                <w:rFonts w:eastAsia="MS Mincho" w:cstheme="minorHAnsi"/>
                <w:u w:val="single"/>
              </w:rPr>
              <w:t xml:space="preserve"> </w:t>
            </w:r>
            <w:r w:rsidR="00D54253" w:rsidRPr="00D54253">
              <w:rPr>
                <w:rFonts w:eastAsia="MS Mincho" w:cstheme="minorHAnsi"/>
              </w:rPr>
              <w:t>Sustained abstinence at 12 months (0 to 3 cigarettes per week)</w:t>
            </w:r>
            <w:r w:rsidR="00234C0C">
              <w:rPr>
                <w:rFonts w:eastAsia="MS Mincho" w:cstheme="minorHAnsi"/>
              </w:rPr>
              <w:t>.</w:t>
            </w:r>
          </w:p>
          <w:p w:rsidR="00234C0C" w:rsidRDefault="00234C0C" w:rsidP="00A71365">
            <w:pPr>
              <w:pStyle w:val="Tablewriting"/>
              <w:rPr>
                <w:rFonts w:eastAsia="MS Mincho" w:cstheme="minorHAnsi"/>
              </w:rPr>
            </w:pPr>
          </w:p>
          <w:p w:rsidR="001173B2" w:rsidRPr="00D54253" w:rsidRDefault="00D54253" w:rsidP="00A71365">
            <w:pPr>
              <w:pStyle w:val="Tablewriting"/>
              <w:rPr>
                <w:rFonts w:eastAsia="MS Mincho" w:cstheme="minorHAnsi"/>
              </w:rPr>
            </w:pPr>
            <w:r w:rsidRPr="00D54253">
              <w:rPr>
                <w:rFonts w:eastAsia="MS Mincho" w:cstheme="minorHAnsi"/>
              </w:rPr>
              <w:t>Validation: urinary cotinine</w:t>
            </w:r>
            <w:r w:rsidR="00234C0C">
              <w:rPr>
                <w:rFonts w:eastAsia="MS Mincho" w:cstheme="minorHAnsi"/>
              </w:rPr>
              <w:t>.</w:t>
            </w:r>
          </w:p>
          <w:p w:rsidR="001173B2" w:rsidRDefault="001173B2" w:rsidP="00A71365">
            <w:pPr>
              <w:pStyle w:val="Tablewriting"/>
              <w:rPr>
                <w:rFonts w:eastAsia="MS Mincho" w:cstheme="minorHAnsi"/>
              </w:rPr>
            </w:pPr>
          </w:p>
          <w:p w:rsidR="009E29BF" w:rsidRPr="00017AE6" w:rsidRDefault="001173B2" w:rsidP="00A71365">
            <w:pPr>
              <w:pStyle w:val="Tablewriting"/>
              <w:rPr>
                <w:rFonts w:eastAsia="MS Mincho" w:cstheme="minorHAnsi"/>
              </w:rPr>
            </w:pPr>
            <w:r w:rsidRPr="009B13E2">
              <w:rPr>
                <w:rFonts w:eastAsia="MS Mincho" w:cstheme="minorHAnsi"/>
                <w:u w:val="single"/>
              </w:rPr>
              <w:t>Safety:</w:t>
            </w:r>
            <w:r w:rsidR="0054283A">
              <w:rPr>
                <w:rFonts w:eastAsia="MS Mincho" w:cstheme="minorHAnsi"/>
                <w:u w:val="single"/>
              </w:rPr>
              <w:t xml:space="preserve"> </w:t>
            </w:r>
            <w:r w:rsidR="0054283A" w:rsidRPr="002A43AE">
              <w:rPr>
                <w:rFonts w:eastAsia="MS Mincho" w:cstheme="minorHAnsi"/>
              </w:rPr>
              <w:t>NR</w:t>
            </w:r>
          </w:p>
        </w:tc>
      </w:tr>
      <w:tr w:rsidR="009E29BF" w:rsidRPr="00017AE6" w:rsidTr="005012C6">
        <w:trPr>
          <w:trHeight w:val="99"/>
        </w:trPr>
        <w:tc>
          <w:tcPr>
            <w:tcW w:w="1004" w:type="pct"/>
          </w:tcPr>
          <w:p w:rsidR="009E29BF" w:rsidRPr="00FD17DC" w:rsidRDefault="00375881" w:rsidP="00A71365">
            <w:pPr>
              <w:pStyle w:val="Tablewriting"/>
              <w:rPr>
                <w:rFonts w:eastAsia="MS Mincho"/>
              </w:rPr>
            </w:pPr>
            <w:r w:rsidRPr="00FD17DC">
              <w:rPr>
                <w:rFonts w:eastAsia="MS Mincho"/>
              </w:rPr>
              <w:t xml:space="preserve">Hurt </w:t>
            </w:r>
            <w:r w:rsidR="00902014">
              <w:rPr>
                <w:rFonts w:eastAsia="MS Mincho"/>
              </w:rPr>
              <w:t>(</w:t>
            </w:r>
            <w:r w:rsidRPr="00FD17DC">
              <w:rPr>
                <w:rFonts w:eastAsia="MS Mincho"/>
              </w:rPr>
              <w:t>1990</w:t>
            </w:r>
            <w:r w:rsidR="00902014">
              <w:rPr>
                <w:rFonts w:eastAsia="MS Mincho"/>
              </w:rPr>
              <w:t>)</w:t>
            </w:r>
          </w:p>
        </w:tc>
        <w:tc>
          <w:tcPr>
            <w:tcW w:w="234" w:type="pct"/>
          </w:tcPr>
          <w:p w:rsidR="009E29BF" w:rsidRPr="00017AE6" w:rsidRDefault="001C2E71" w:rsidP="00A71365">
            <w:pPr>
              <w:pStyle w:val="Tablewriting"/>
              <w:rPr>
                <w:rFonts w:eastAsia="MS Mincho" w:cstheme="minorHAnsi"/>
              </w:rPr>
            </w:pPr>
            <w:r>
              <w:rPr>
                <w:rFonts w:eastAsia="MS Mincho" w:cstheme="minorHAnsi"/>
              </w:rPr>
              <w:t>RCT</w:t>
            </w:r>
          </w:p>
        </w:tc>
        <w:tc>
          <w:tcPr>
            <w:tcW w:w="412" w:type="pct"/>
          </w:tcPr>
          <w:p w:rsidR="009E29BF" w:rsidRPr="00017AE6" w:rsidRDefault="00006BB3" w:rsidP="00A71365">
            <w:pPr>
              <w:pStyle w:val="Tablewriting"/>
              <w:rPr>
                <w:rFonts w:eastAsia="MS Mincho" w:cstheme="minorHAnsi"/>
              </w:rPr>
            </w:pPr>
            <w:r>
              <w:rPr>
                <w:rFonts w:eastAsia="MS Mincho" w:cstheme="minorHAnsi"/>
              </w:rPr>
              <w:t>USA</w:t>
            </w:r>
          </w:p>
        </w:tc>
        <w:tc>
          <w:tcPr>
            <w:tcW w:w="289" w:type="pct"/>
          </w:tcPr>
          <w:p w:rsidR="009E29BF" w:rsidRPr="00017AE6" w:rsidRDefault="001173B2" w:rsidP="00A71365">
            <w:pPr>
              <w:pStyle w:val="Tablewriting"/>
              <w:rPr>
                <w:rFonts w:eastAsia="MS Mincho" w:cstheme="minorHAnsi"/>
              </w:rPr>
            </w:pPr>
            <w:r>
              <w:rPr>
                <w:rFonts w:eastAsia="MS Mincho" w:cstheme="minorHAnsi"/>
              </w:rPr>
              <w:t>N=</w:t>
            </w:r>
            <w:r w:rsidR="00006BB3">
              <w:rPr>
                <w:rFonts w:eastAsia="MS Mincho" w:cstheme="minorHAnsi"/>
              </w:rPr>
              <w:t>62</w:t>
            </w:r>
          </w:p>
        </w:tc>
        <w:tc>
          <w:tcPr>
            <w:tcW w:w="1046" w:type="pct"/>
          </w:tcPr>
          <w:p w:rsidR="00006BB3" w:rsidRPr="00006BB3" w:rsidRDefault="00006BB3" w:rsidP="00A71365">
            <w:pPr>
              <w:pStyle w:val="Tablewriting"/>
              <w:rPr>
                <w:rFonts w:eastAsia="MS Mincho" w:cstheme="minorHAnsi"/>
              </w:rPr>
            </w:pPr>
            <w:r>
              <w:rPr>
                <w:rFonts w:eastAsia="MS Mincho" w:cstheme="minorHAnsi"/>
              </w:rPr>
              <w:t>A</w:t>
            </w:r>
            <w:r w:rsidRPr="00006BB3">
              <w:rPr>
                <w:rFonts w:eastAsia="MS Mincho" w:cstheme="minorHAnsi"/>
              </w:rPr>
              <w:t xml:space="preserve">dult smokers (&gt; 20 </w:t>
            </w:r>
            <w:r>
              <w:rPr>
                <w:rFonts w:eastAsia="MS Mincho" w:cstheme="minorHAnsi"/>
              </w:rPr>
              <w:t>CPD</w:t>
            </w:r>
            <w:r w:rsidRPr="00006BB3">
              <w:rPr>
                <w:rFonts w:eastAsia="MS Mincho" w:cstheme="minorHAnsi"/>
              </w:rPr>
              <w:t>)</w:t>
            </w:r>
            <w:r>
              <w:rPr>
                <w:rFonts w:eastAsia="MS Mincho" w:cstheme="minorHAnsi"/>
              </w:rPr>
              <w:t>,</w:t>
            </w:r>
            <w:r w:rsidRPr="00006BB3">
              <w:rPr>
                <w:rFonts w:eastAsia="MS Mincho" w:cstheme="minorHAnsi"/>
              </w:rPr>
              <w:t xml:space="preserve"> only accepted if willing to make a quit attempt</w:t>
            </w:r>
            <w:r>
              <w:rPr>
                <w:rFonts w:eastAsia="MS Mincho" w:cstheme="minorHAnsi"/>
              </w:rPr>
              <w:t>.</w:t>
            </w:r>
          </w:p>
          <w:p w:rsidR="001173B2" w:rsidRDefault="00006BB3" w:rsidP="00A71365">
            <w:pPr>
              <w:pStyle w:val="Tablewriting"/>
              <w:rPr>
                <w:rFonts w:eastAsia="MS Mincho" w:cstheme="minorHAnsi"/>
              </w:rPr>
            </w:pPr>
            <w:r w:rsidRPr="00006BB3">
              <w:rPr>
                <w:rFonts w:eastAsia="MS Mincho" w:cstheme="minorHAnsi"/>
              </w:rPr>
              <w:t xml:space="preserve">53% female, average age 39, average </w:t>
            </w:r>
            <w:r>
              <w:rPr>
                <w:rFonts w:eastAsia="MS Mincho" w:cstheme="minorHAnsi"/>
              </w:rPr>
              <w:t xml:space="preserve">CPD </w:t>
            </w:r>
            <w:r w:rsidRPr="00006BB3">
              <w:rPr>
                <w:rFonts w:eastAsia="MS Mincho" w:cstheme="minorHAnsi"/>
              </w:rPr>
              <w:t>30</w:t>
            </w:r>
            <w:r>
              <w:rPr>
                <w:rFonts w:eastAsia="MS Mincho" w:cstheme="minorHAnsi"/>
              </w:rPr>
              <w:t>.</w:t>
            </w:r>
          </w:p>
          <w:p w:rsidR="009E29BF" w:rsidRPr="00017AE6" w:rsidRDefault="009E29BF" w:rsidP="00A71365">
            <w:pPr>
              <w:rPr>
                <w:rFonts w:eastAsia="MS Mincho" w:cstheme="minorHAnsi"/>
              </w:rPr>
            </w:pPr>
          </w:p>
        </w:tc>
        <w:tc>
          <w:tcPr>
            <w:tcW w:w="1056" w:type="pct"/>
          </w:tcPr>
          <w:p w:rsidR="00006BB3" w:rsidRDefault="00006BB3" w:rsidP="00C324F3">
            <w:pPr>
              <w:pStyle w:val="ListParagraph"/>
              <w:numPr>
                <w:ilvl w:val="0"/>
                <w:numId w:val="102"/>
              </w:numPr>
              <w:rPr>
                <w:rFonts w:eastAsia="MS Mincho"/>
                <w:lang w:eastAsia="en-US"/>
              </w:rPr>
            </w:pPr>
            <w:r w:rsidRPr="00006BB3">
              <w:rPr>
                <w:rFonts w:eastAsia="MS Mincho"/>
                <w:lang w:eastAsia="en-US"/>
              </w:rPr>
              <w:t>Nicotine patch (30 mg 24 h, 6 weeks + option of further 12 weeks ± tapering)</w:t>
            </w:r>
            <w:r>
              <w:rPr>
                <w:rFonts w:eastAsia="MS Mincho"/>
                <w:lang w:eastAsia="en-US"/>
              </w:rPr>
              <w:t>.</w:t>
            </w:r>
          </w:p>
          <w:p w:rsidR="00006BB3" w:rsidRPr="00006BB3" w:rsidRDefault="00006BB3" w:rsidP="00C324F3">
            <w:pPr>
              <w:pStyle w:val="ListParagraph"/>
              <w:numPr>
                <w:ilvl w:val="0"/>
                <w:numId w:val="102"/>
              </w:numPr>
              <w:rPr>
                <w:rFonts w:eastAsia="MS Mincho"/>
                <w:lang w:eastAsia="en-US"/>
              </w:rPr>
            </w:pPr>
            <w:r w:rsidRPr="00006BB3">
              <w:rPr>
                <w:rFonts w:eastAsia="MS Mincho"/>
                <w:lang w:eastAsia="en-US"/>
              </w:rPr>
              <w:t>Placebo patch (continuing smokers at 6 weeks were offered active patch)</w:t>
            </w:r>
          </w:p>
          <w:p w:rsidR="00006BB3" w:rsidRDefault="00006BB3" w:rsidP="00A71365">
            <w:pPr>
              <w:jc w:val="center"/>
              <w:rPr>
                <w:rFonts w:eastAsia="MS Mincho"/>
                <w:lang w:eastAsia="en-US"/>
              </w:rPr>
            </w:pPr>
          </w:p>
          <w:p w:rsidR="009E29BF" w:rsidRPr="00017AE6" w:rsidRDefault="00006BB3" w:rsidP="00A71365">
            <w:pPr>
              <w:rPr>
                <w:rFonts w:eastAsia="MS Mincho" w:cstheme="minorHAnsi"/>
              </w:rPr>
            </w:pPr>
            <w:r w:rsidRPr="00006BB3">
              <w:rPr>
                <w:rFonts w:eastAsia="MS Mincho"/>
                <w:lang w:eastAsia="en-US"/>
              </w:rPr>
              <w:t>Level of support: high (brief advice from nurse co</w:t>
            </w:r>
            <w:r w:rsidR="00FA7653">
              <w:rPr>
                <w:rFonts w:eastAsia="MS Mincho"/>
                <w:lang w:eastAsia="en-US"/>
              </w:rPr>
              <w:t>-</w:t>
            </w:r>
            <w:r w:rsidRPr="00006BB3">
              <w:rPr>
                <w:rFonts w:eastAsia="MS Mincho"/>
                <w:lang w:eastAsia="en-US"/>
              </w:rPr>
              <w:t>ordinator at 6 weekly visits)</w:t>
            </w:r>
            <w:r w:rsidR="00FA7653">
              <w:rPr>
                <w:rFonts w:eastAsia="MS Mincho"/>
                <w:lang w:eastAsia="en-US"/>
              </w:rPr>
              <w:t>.</w:t>
            </w:r>
          </w:p>
        </w:tc>
        <w:tc>
          <w:tcPr>
            <w:tcW w:w="959" w:type="pct"/>
          </w:tcPr>
          <w:p w:rsidR="005D46A1" w:rsidRDefault="001173B2" w:rsidP="00A71365">
            <w:pPr>
              <w:pStyle w:val="Tablewriting"/>
              <w:rPr>
                <w:rFonts w:eastAsia="MS Mincho" w:cstheme="minorHAnsi"/>
              </w:rPr>
            </w:pPr>
            <w:r w:rsidRPr="009B13E2">
              <w:rPr>
                <w:rFonts w:eastAsia="MS Mincho" w:cstheme="minorHAnsi"/>
                <w:u w:val="single"/>
              </w:rPr>
              <w:t>Efficacy:</w:t>
            </w:r>
            <w:r w:rsidR="005D46A1">
              <w:rPr>
                <w:rFonts w:eastAsia="MS Mincho" w:cstheme="minorHAnsi"/>
                <w:u w:val="single"/>
              </w:rPr>
              <w:t xml:space="preserve"> </w:t>
            </w:r>
            <w:r w:rsidR="005D46A1" w:rsidRPr="005D46A1">
              <w:rPr>
                <w:rFonts w:eastAsia="MS Mincho" w:cstheme="minorHAnsi"/>
              </w:rPr>
              <w:t>Sustained abstinence at 12 months (quit by week 6, and all subsequent visits)</w:t>
            </w:r>
            <w:r w:rsidR="005D46A1">
              <w:rPr>
                <w:rFonts w:eastAsia="MS Mincho" w:cstheme="minorHAnsi"/>
              </w:rPr>
              <w:t>.</w:t>
            </w:r>
          </w:p>
          <w:p w:rsidR="005D46A1" w:rsidRPr="005D46A1" w:rsidRDefault="005D46A1" w:rsidP="00A71365">
            <w:pPr>
              <w:pStyle w:val="Tablewriting"/>
              <w:rPr>
                <w:rFonts w:eastAsia="MS Mincho" w:cstheme="minorHAnsi"/>
              </w:rPr>
            </w:pPr>
          </w:p>
          <w:p w:rsidR="001173B2" w:rsidRPr="005D46A1" w:rsidRDefault="005D46A1" w:rsidP="00A71365">
            <w:pPr>
              <w:pStyle w:val="Tablewriting"/>
              <w:rPr>
                <w:rFonts w:eastAsia="MS Mincho" w:cstheme="minorHAnsi"/>
              </w:rPr>
            </w:pPr>
            <w:r w:rsidRPr="005D46A1">
              <w:rPr>
                <w:rFonts w:eastAsia="MS Mincho" w:cstheme="minorHAnsi"/>
              </w:rPr>
              <w:t>Validation: CO e 8 ppm</w:t>
            </w:r>
          </w:p>
          <w:p w:rsidR="001173B2" w:rsidRDefault="001173B2" w:rsidP="00A71365">
            <w:pPr>
              <w:pStyle w:val="Tablewriting"/>
              <w:rPr>
                <w:rFonts w:eastAsia="MS Mincho" w:cstheme="minorHAnsi"/>
              </w:rPr>
            </w:pPr>
          </w:p>
          <w:p w:rsidR="009E29BF" w:rsidRPr="00017AE6" w:rsidRDefault="001173B2" w:rsidP="00A71365">
            <w:pPr>
              <w:pStyle w:val="Tablewriting"/>
              <w:rPr>
                <w:rFonts w:eastAsia="MS Mincho" w:cstheme="minorHAnsi"/>
              </w:rPr>
            </w:pPr>
            <w:r w:rsidRPr="009B13E2">
              <w:rPr>
                <w:rFonts w:eastAsia="MS Mincho" w:cstheme="minorHAnsi"/>
                <w:u w:val="single"/>
              </w:rPr>
              <w:t>Safety:</w:t>
            </w:r>
            <w:r w:rsidR="0054283A">
              <w:rPr>
                <w:rFonts w:eastAsia="MS Mincho" w:cstheme="minorHAnsi"/>
                <w:u w:val="single"/>
              </w:rPr>
              <w:t xml:space="preserve"> </w:t>
            </w:r>
            <w:r w:rsidR="0054283A" w:rsidRPr="002A43AE">
              <w:rPr>
                <w:rFonts w:eastAsia="MS Mincho" w:cstheme="minorHAnsi"/>
              </w:rPr>
              <w:t>NR</w:t>
            </w:r>
          </w:p>
        </w:tc>
      </w:tr>
      <w:tr w:rsidR="009E29BF" w:rsidRPr="00017AE6" w:rsidTr="005012C6">
        <w:trPr>
          <w:trHeight w:val="99"/>
        </w:trPr>
        <w:tc>
          <w:tcPr>
            <w:tcW w:w="1004" w:type="pct"/>
          </w:tcPr>
          <w:p w:rsidR="009E29BF" w:rsidRPr="00FD17DC" w:rsidRDefault="00375881" w:rsidP="00A71365">
            <w:pPr>
              <w:pStyle w:val="Tablewriting"/>
              <w:rPr>
                <w:rFonts w:eastAsia="MS Mincho"/>
              </w:rPr>
            </w:pPr>
            <w:r w:rsidRPr="00FD17DC">
              <w:rPr>
                <w:rFonts w:eastAsia="MS Mincho"/>
              </w:rPr>
              <w:t xml:space="preserve">Hurt </w:t>
            </w:r>
            <w:r w:rsidR="00902014">
              <w:rPr>
                <w:rFonts w:eastAsia="MS Mincho"/>
              </w:rPr>
              <w:t>(</w:t>
            </w:r>
            <w:r w:rsidRPr="00FD17DC">
              <w:rPr>
                <w:rFonts w:eastAsia="MS Mincho"/>
              </w:rPr>
              <w:t>1994</w:t>
            </w:r>
            <w:r w:rsidR="00902014">
              <w:rPr>
                <w:rFonts w:eastAsia="MS Mincho"/>
              </w:rPr>
              <w:t>)</w:t>
            </w:r>
          </w:p>
        </w:tc>
        <w:tc>
          <w:tcPr>
            <w:tcW w:w="234" w:type="pct"/>
          </w:tcPr>
          <w:p w:rsidR="009E29BF" w:rsidRPr="00017AE6" w:rsidRDefault="001C2E71" w:rsidP="00A71365">
            <w:pPr>
              <w:pStyle w:val="Tablewriting"/>
              <w:rPr>
                <w:rFonts w:eastAsia="MS Mincho" w:cstheme="minorHAnsi"/>
              </w:rPr>
            </w:pPr>
            <w:r>
              <w:rPr>
                <w:rFonts w:eastAsia="MS Mincho" w:cstheme="minorHAnsi"/>
              </w:rPr>
              <w:t>RCT</w:t>
            </w:r>
          </w:p>
        </w:tc>
        <w:tc>
          <w:tcPr>
            <w:tcW w:w="412" w:type="pct"/>
          </w:tcPr>
          <w:p w:rsidR="009E29BF" w:rsidRPr="00017AE6" w:rsidRDefault="005D46A1" w:rsidP="00A71365">
            <w:pPr>
              <w:pStyle w:val="Tablewriting"/>
              <w:rPr>
                <w:rFonts w:eastAsia="MS Mincho" w:cstheme="minorHAnsi"/>
              </w:rPr>
            </w:pPr>
            <w:r>
              <w:rPr>
                <w:rFonts w:eastAsia="MS Mincho" w:cstheme="minorHAnsi"/>
              </w:rPr>
              <w:t>USA</w:t>
            </w:r>
          </w:p>
        </w:tc>
        <w:tc>
          <w:tcPr>
            <w:tcW w:w="289" w:type="pct"/>
          </w:tcPr>
          <w:p w:rsidR="009E29BF" w:rsidRPr="00017AE6" w:rsidRDefault="001173B2" w:rsidP="00A71365">
            <w:pPr>
              <w:pStyle w:val="Tablewriting"/>
              <w:rPr>
                <w:rFonts w:eastAsia="MS Mincho" w:cstheme="minorHAnsi"/>
              </w:rPr>
            </w:pPr>
            <w:r>
              <w:rPr>
                <w:rFonts w:eastAsia="MS Mincho" w:cstheme="minorHAnsi"/>
              </w:rPr>
              <w:t>N=</w:t>
            </w:r>
            <w:r w:rsidR="005D46A1">
              <w:rPr>
                <w:rFonts w:eastAsia="MS Mincho" w:cstheme="minorHAnsi"/>
              </w:rPr>
              <w:t>240</w:t>
            </w:r>
          </w:p>
        </w:tc>
        <w:tc>
          <w:tcPr>
            <w:tcW w:w="1046" w:type="pct"/>
          </w:tcPr>
          <w:p w:rsidR="005D46A1" w:rsidRPr="005D46A1" w:rsidRDefault="005D46A1" w:rsidP="00A71365">
            <w:pPr>
              <w:pStyle w:val="Tablewriting"/>
              <w:rPr>
                <w:rFonts w:eastAsia="MS Mincho" w:cstheme="minorHAnsi"/>
              </w:rPr>
            </w:pPr>
            <w:r>
              <w:rPr>
                <w:rFonts w:eastAsia="MS Mincho" w:cstheme="minorHAnsi"/>
              </w:rPr>
              <w:t>A</w:t>
            </w:r>
            <w:r w:rsidRPr="005D46A1">
              <w:rPr>
                <w:rFonts w:eastAsia="MS Mincho" w:cstheme="minorHAnsi"/>
              </w:rPr>
              <w:t xml:space="preserve">dult smokers (&gt; 20 </w:t>
            </w:r>
            <w:r>
              <w:rPr>
                <w:rFonts w:eastAsia="MS Mincho" w:cstheme="minorHAnsi"/>
              </w:rPr>
              <w:t>CPD</w:t>
            </w:r>
            <w:r w:rsidRPr="005D46A1">
              <w:rPr>
                <w:rFonts w:eastAsia="MS Mincho" w:cstheme="minorHAnsi"/>
              </w:rPr>
              <w:t>), motivated to quit</w:t>
            </w:r>
            <w:r>
              <w:rPr>
                <w:rFonts w:eastAsia="MS Mincho" w:cstheme="minorHAnsi"/>
              </w:rPr>
              <w:t>.</w:t>
            </w:r>
          </w:p>
          <w:p w:rsidR="009E29BF" w:rsidRPr="00017AE6" w:rsidRDefault="005D46A1" w:rsidP="00A71365">
            <w:pPr>
              <w:pStyle w:val="Tablewriting"/>
              <w:rPr>
                <w:rFonts w:eastAsia="MS Mincho" w:cstheme="minorHAnsi"/>
              </w:rPr>
            </w:pPr>
            <w:r w:rsidRPr="005D46A1">
              <w:rPr>
                <w:rFonts w:eastAsia="MS Mincho" w:cstheme="minorHAnsi"/>
              </w:rPr>
              <w:t xml:space="preserve">53% female, average age 43, average </w:t>
            </w:r>
            <w:r>
              <w:rPr>
                <w:rFonts w:eastAsia="MS Mincho" w:cstheme="minorHAnsi"/>
              </w:rPr>
              <w:t>CPD</w:t>
            </w:r>
            <w:r w:rsidRPr="005D46A1">
              <w:rPr>
                <w:rFonts w:eastAsia="MS Mincho" w:cstheme="minorHAnsi"/>
              </w:rPr>
              <w:t xml:space="preserve"> 30</w:t>
            </w:r>
            <w:r>
              <w:rPr>
                <w:rFonts w:eastAsia="MS Mincho" w:cstheme="minorHAnsi"/>
              </w:rPr>
              <w:t>.</w:t>
            </w:r>
          </w:p>
        </w:tc>
        <w:tc>
          <w:tcPr>
            <w:tcW w:w="1056" w:type="pct"/>
          </w:tcPr>
          <w:p w:rsidR="00682030" w:rsidRDefault="005D46A1" w:rsidP="00C324F3">
            <w:pPr>
              <w:pStyle w:val="Tablewriting"/>
              <w:numPr>
                <w:ilvl w:val="0"/>
                <w:numId w:val="103"/>
              </w:numPr>
              <w:rPr>
                <w:rFonts w:eastAsia="MS Mincho" w:cstheme="minorHAnsi"/>
              </w:rPr>
            </w:pPr>
            <w:r w:rsidRPr="005D46A1">
              <w:rPr>
                <w:rFonts w:eastAsia="MS Mincho" w:cstheme="minorHAnsi"/>
              </w:rPr>
              <w:t>Nicotine patch (22 mg/24 h, 8 weeks, no tapering)</w:t>
            </w:r>
            <w:r w:rsidR="00682030">
              <w:rPr>
                <w:rFonts w:eastAsia="MS Mincho" w:cstheme="minorHAnsi"/>
              </w:rPr>
              <w:t>.</w:t>
            </w:r>
          </w:p>
          <w:p w:rsidR="005D46A1" w:rsidRPr="005D46A1" w:rsidRDefault="005D46A1" w:rsidP="00C324F3">
            <w:pPr>
              <w:pStyle w:val="Tablewriting"/>
              <w:numPr>
                <w:ilvl w:val="0"/>
                <w:numId w:val="103"/>
              </w:numPr>
              <w:rPr>
                <w:rFonts w:eastAsia="MS Mincho" w:cstheme="minorHAnsi"/>
              </w:rPr>
            </w:pPr>
            <w:r w:rsidRPr="005D46A1">
              <w:rPr>
                <w:rFonts w:eastAsia="MS Mincho" w:cstheme="minorHAnsi"/>
              </w:rPr>
              <w:t>Placebo patch</w:t>
            </w:r>
            <w:r w:rsidR="00682030">
              <w:rPr>
                <w:rFonts w:eastAsia="MS Mincho" w:cstheme="minorHAnsi"/>
              </w:rPr>
              <w:t>.</w:t>
            </w:r>
          </w:p>
          <w:p w:rsidR="00682030" w:rsidRDefault="00682030" w:rsidP="00A71365">
            <w:pPr>
              <w:pStyle w:val="Tablewriting"/>
              <w:rPr>
                <w:rFonts w:eastAsia="MS Mincho" w:cstheme="minorHAnsi"/>
              </w:rPr>
            </w:pPr>
          </w:p>
          <w:p w:rsidR="009E29BF" w:rsidRPr="00017AE6" w:rsidRDefault="005D46A1" w:rsidP="00A71365">
            <w:pPr>
              <w:pStyle w:val="Tablewriting"/>
              <w:rPr>
                <w:rFonts w:eastAsia="MS Mincho" w:cstheme="minorHAnsi"/>
              </w:rPr>
            </w:pPr>
            <w:r w:rsidRPr="005D46A1">
              <w:rPr>
                <w:rFonts w:eastAsia="MS Mincho" w:cstheme="minorHAnsi"/>
              </w:rPr>
              <w:t>Level of support: high (nurse counselling at 8 weekly visits, weekly phone calls to week 12)</w:t>
            </w:r>
            <w:r w:rsidR="00682030">
              <w:rPr>
                <w:rFonts w:eastAsia="MS Mincho" w:cstheme="minorHAnsi"/>
              </w:rPr>
              <w:t>.</w:t>
            </w:r>
          </w:p>
        </w:tc>
        <w:tc>
          <w:tcPr>
            <w:tcW w:w="959" w:type="pct"/>
          </w:tcPr>
          <w:p w:rsidR="00682030" w:rsidRDefault="001173B2" w:rsidP="00A71365">
            <w:pPr>
              <w:pStyle w:val="Tablewriting"/>
              <w:rPr>
                <w:rFonts w:eastAsia="MS Mincho" w:cstheme="minorHAnsi"/>
              </w:rPr>
            </w:pPr>
            <w:r w:rsidRPr="009B13E2">
              <w:rPr>
                <w:rFonts w:eastAsia="MS Mincho" w:cstheme="minorHAnsi"/>
                <w:u w:val="single"/>
              </w:rPr>
              <w:t>Efficacy:</w:t>
            </w:r>
            <w:r w:rsidR="00682030">
              <w:rPr>
                <w:rFonts w:eastAsia="MS Mincho" w:cstheme="minorHAnsi"/>
                <w:u w:val="single"/>
              </w:rPr>
              <w:t xml:space="preserve"> </w:t>
            </w:r>
            <w:r w:rsidR="00682030" w:rsidRPr="00682030">
              <w:rPr>
                <w:rFonts w:eastAsia="MS Mincho" w:cstheme="minorHAnsi"/>
              </w:rPr>
              <w:t>Abstinence at 12 months (no pu</w:t>
            </w:r>
            <w:r w:rsidR="00682030">
              <w:rPr>
                <w:rFonts w:eastAsia="MS Mincho" w:cstheme="minorHAnsi"/>
              </w:rPr>
              <w:t>ff</w:t>
            </w:r>
            <w:r w:rsidR="00682030" w:rsidRPr="00682030">
              <w:rPr>
                <w:rFonts w:eastAsia="MS Mincho" w:cstheme="minorHAnsi"/>
              </w:rPr>
              <w:t xml:space="preserve"> since 9-month visit)</w:t>
            </w:r>
            <w:r w:rsidR="00682030">
              <w:rPr>
                <w:rFonts w:eastAsia="MS Mincho" w:cstheme="minorHAnsi"/>
              </w:rPr>
              <w:t>.</w:t>
            </w:r>
          </w:p>
          <w:p w:rsidR="00682030" w:rsidRPr="00682030" w:rsidRDefault="00682030" w:rsidP="00A71365">
            <w:pPr>
              <w:pStyle w:val="Tablewriting"/>
              <w:rPr>
                <w:rFonts w:eastAsia="MS Mincho" w:cstheme="minorHAnsi"/>
              </w:rPr>
            </w:pPr>
          </w:p>
          <w:p w:rsidR="001173B2" w:rsidRPr="00682030" w:rsidRDefault="00682030" w:rsidP="00A71365">
            <w:pPr>
              <w:pStyle w:val="Tablewriting"/>
              <w:rPr>
                <w:rFonts w:eastAsia="MS Mincho" w:cstheme="minorHAnsi"/>
              </w:rPr>
            </w:pPr>
            <w:r w:rsidRPr="00682030">
              <w:rPr>
                <w:rFonts w:eastAsia="MS Mincho" w:cstheme="minorHAnsi"/>
              </w:rPr>
              <w:t xml:space="preserve">Validation: </w:t>
            </w:r>
            <w:r w:rsidRPr="00103544">
              <w:rPr>
                <w:rFonts w:eastAsia="MS Mincho" w:cstheme="minorHAnsi"/>
              </w:rPr>
              <w:t xml:space="preserve">CO </w:t>
            </w:r>
            <w:r w:rsidRPr="00F80B8C">
              <w:rPr>
                <w:rFonts w:eastAsia="MS Mincho" w:cstheme="minorHAnsi"/>
              </w:rPr>
              <w:t>≤</w:t>
            </w:r>
            <w:r>
              <w:rPr>
                <w:rFonts w:eastAsia="MS Mincho" w:cstheme="minorHAnsi"/>
              </w:rPr>
              <w:t xml:space="preserve"> </w:t>
            </w:r>
            <w:r w:rsidRPr="00682030">
              <w:rPr>
                <w:rFonts w:eastAsia="MS Mincho" w:cstheme="minorHAnsi"/>
              </w:rPr>
              <w:t>ppm</w:t>
            </w:r>
            <w:r>
              <w:rPr>
                <w:rFonts w:eastAsia="MS Mincho" w:cstheme="minorHAnsi"/>
              </w:rPr>
              <w:t>.</w:t>
            </w:r>
          </w:p>
          <w:p w:rsidR="001173B2" w:rsidRDefault="001173B2" w:rsidP="00A71365">
            <w:pPr>
              <w:pStyle w:val="Tablewriting"/>
              <w:rPr>
                <w:rFonts w:eastAsia="MS Mincho" w:cstheme="minorHAnsi"/>
              </w:rPr>
            </w:pPr>
          </w:p>
          <w:p w:rsidR="009E29BF" w:rsidRPr="00017AE6" w:rsidRDefault="001173B2" w:rsidP="00A71365">
            <w:pPr>
              <w:pStyle w:val="Tablewriting"/>
              <w:rPr>
                <w:rFonts w:eastAsia="MS Mincho" w:cstheme="minorHAnsi"/>
              </w:rPr>
            </w:pPr>
            <w:r w:rsidRPr="009B13E2">
              <w:rPr>
                <w:rFonts w:eastAsia="MS Mincho" w:cstheme="minorHAnsi"/>
                <w:u w:val="single"/>
              </w:rPr>
              <w:t>Safety:</w:t>
            </w:r>
            <w:r w:rsidR="001665F6">
              <w:rPr>
                <w:rFonts w:eastAsia="MS Mincho" w:cstheme="minorHAnsi"/>
                <w:u w:val="single"/>
              </w:rPr>
              <w:t xml:space="preserve"> </w:t>
            </w:r>
            <w:r w:rsidR="001665F6" w:rsidRPr="002A43AE">
              <w:rPr>
                <w:rFonts w:eastAsia="MS Mincho" w:cstheme="minorHAnsi"/>
              </w:rPr>
              <w:t>NR</w:t>
            </w:r>
          </w:p>
        </w:tc>
      </w:tr>
      <w:tr w:rsidR="00C3700A" w:rsidRPr="00017AE6" w:rsidTr="005012C6">
        <w:trPr>
          <w:trHeight w:val="99"/>
        </w:trPr>
        <w:tc>
          <w:tcPr>
            <w:tcW w:w="1004" w:type="pct"/>
          </w:tcPr>
          <w:p w:rsidR="00C3700A" w:rsidRPr="00FD17DC" w:rsidRDefault="00375881" w:rsidP="00A71365">
            <w:pPr>
              <w:pStyle w:val="Tablewriting"/>
              <w:rPr>
                <w:rFonts w:eastAsia="MS Mincho"/>
              </w:rPr>
            </w:pPr>
            <w:r w:rsidRPr="00FD17DC">
              <w:rPr>
                <w:rFonts w:eastAsia="MS Mincho"/>
              </w:rPr>
              <w:lastRenderedPageBreak/>
              <w:t xml:space="preserve">ICRF </w:t>
            </w:r>
            <w:r w:rsidR="00902014">
              <w:rPr>
                <w:rFonts w:eastAsia="MS Mincho"/>
              </w:rPr>
              <w:t>(</w:t>
            </w:r>
            <w:r w:rsidRPr="00FD17DC">
              <w:rPr>
                <w:rFonts w:eastAsia="MS Mincho"/>
              </w:rPr>
              <w:t>1994</w:t>
            </w:r>
            <w:r w:rsidR="00902014">
              <w:rPr>
                <w:rFonts w:eastAsia="MS Mincho"/>
              </w:rPr>
              <w:t>)</w:t>
            </w:r>
          </w:p>
        </w:tc>
        <w:tc>
          <w:tcPr>
            <w:tcW w:w="234" w:type="pct"/>
          </w:tcPr>
          <w:p w:rsidR="00C3700A" w:rsidRPr="00017AE6" w:rsidRDefault="001C2E71" w:rsidP="00A71365">
            <w:pPr>
              <w:pStyle w:val="Tablewriting"/>
              <w:rPr>
                <w:rFonts w:eastAsia="MS Mincho" w:cstheme="minorHAnsi"/>
              </w:rPr>
            </w:pPr>
            <w:r>
              <w:rPr>
                <w:rFonts w:eastAsia="MS Mincho" w:cstheme="minorHAnsi"/>
              </w:rPr>
              <w:t>RCT</w:t>
            </w:r>
          </w:p>
        </w:tc>
        <w:tc>
          <w:tcPr>
            <w:tcW w:w="412" w:type="pct"/>
          </w:tcPr>
          <w:p w:rsidR="00C3700A" w:rsidRPr="00017AE6" w:rsidRDefault="00244DCF" w:rsidP="00A71365">
            <w:pPr>
              <w:pStyle w:val="Tablewriting"/>
              <w:rPr>
                <w:rFonts w:eastAsia="MS Mincho" w:cstheme="minorHAnsi"/>
              </w:rPr>
            </w:pPr>
            <w:r>
              <w:rPr>
                <w:rFonts w:eastAsia="MS Mincho" w:cstheme="minorHAnsi"/>
              </w:rPr>
              <w:t>UK</w:t>
            </w:r>
          </w:p>
        </w:tc>
        <w:tc>
          <w:tcPr>
            <w:tcW w:w="289" w:type="pct"/>
          </w:tcPr>
          <w:p w:rsidR="00C3700A" w:rsidRPr="00017AE6" w:rsidRDefault="001173B2" w:rsidP="00A71365">
            <w:pPr>
              <w:pStyle w:val="Tablewriting"/>
              <w:rPr>
                <w:rFonts w:eastAsia="MS Mincho" w:cstheme="minorHAnsi"/>
              </w:rPr>
            </w:pPr>
            <w:r>
              <w:rPr>
                <w:rFonts w:eastAsia="MS Mincho" w:cstheme="minorHAnsi"/>
              </w:rPr>
              <w:t>N=</w:t>
            </w:r>
            <w:r w:rsidR="00315B6D" w:rsidRPr="00315B6D">
              <w:rPr>
                <w:rFonts w:eastAsia="MS Mincho" w:cstheme="minorHAnsi"/>
              </w:rPr>
              <w:t>1686</w:t>
            </w:r>
          </w:p>
        </w:tc>
        <w:tc>
          <w:tcPr>
            <w:tcW w:w="1046" w:type="pct"/>
          </w:tcPr>
          <w:p w:rsidR="00315B6D" w:rsidRPr="00315B6D" w:rsidRDefault="00315B6D" w:rsidP="00A71365">
            <w:pPr>
              <w:pStyle w:val="Tablewriting"/>
              <w:rPr>
                <w:rFonts w:eastAsia="MS Mincho" w:cstheme="minorHAnsi"/>
              </w:rPr>
            </w:pPr>
            <w:r>
              <w:rPr>
                <w:rFonts w:eastAsia="MS Mincho" w:cstheme="minorHAnsi"/>
              </w:rPr>
              <w:t>S</w:t>
            </w:r>
            <w:r w:rsidRPr="00315B6D">
              <w:rPr>
                <w:rFonts w:eastAsia="MS Mincho" w:cstheme="minorHAnsi"/>
              </w:rPr>
              <w:t xml:space="preserve">mokers (&gt; 15 </w:t>
            </w:r>
            <w:r>
              <w:rPr>
                <w:rFonts w:eastAsia="MS Mincho" w:cstheme="minorHAnsi"/>
              </w:rPr>
              <w:t>CPD</w:t>
            </w:r>
            <w:r w:rsidRPr="00315B6D">
              <w:rPr>
                <w:rFonts w:eastAsia="MS Mincho" w:cstheme="minorHAnsi"/>
              </w:rPr>
              <w:t>), not</w:t>
            </w:r>
            <w:r>
              <w:rPr>
                <w:rFonts w:eastAsia="MS Mincho" w:cstheme="minorHAnsi"/>
              </w:rPr>
              <w:t xml:space="preserve"> </w:t>
            </w:r>
            <w:r w:rsidRPr="00315B6D">
              <w:rPr>
                <w:rFonts w:eastAsia="MS Mincho" w:cstheme="minorHAnsi"/>
              </w:rPr>
              <w:t>necessarily motivated to quit.</w:t>
            </w:r>
          </w:p>
          <w:p w:rsidR="00C3700A" w:rsidRPr="00017AE6" w:rsidRDefault="00315B6D" w:rsidP="00A71365">
            <w:pPr>
              <w:pStyle w:val="Tablewriting"/>
              <w:rPr>
                <w:rFonts w:eastAsia="MS Mincho" w:cstheme="minorHAnsi"/>
              </w:rPr>
            </w:pPr>
            <w:r w:rsidRPr="00315B6D">
              <w:rPr>
                <w:rFonts w:eastAsia="MS Mincho" w:cstheme="minorHAnsi"/>
              </w:rPr>
              <w:t xml:space="preserve">55% female, average age 43, average </w:t>
            </w:r>
            <w:r>
              <w:rPr>
                <w:rFonts w:eastAsia="MS Mincho" w:cstheme="minorHAnsi"/>
              </w:rPr>
              <w:t>CPD</w:t>
            </w:r>
            <w:r w:rsidRPr="00315B6D">
              <w:rPr>
                <w:rFonts w:eastAsia="MS Mincho" w:cstheme="minorHAnsi"/>
              </w:rPr>
              <w:t xml:space="preserve"> 24</w:t>
            </w:r>
            <w:r>
              <w:rPr>
                <w:rFonts w:eastAsia="MS Mincho" w:cstheme="minorHAnsi"/>
              </w:rPr>
              <w:t>.</w:t>
            </w:r>
          </w:p>
        </w:tc>
        <w:tc>
          <w:tcPr>
            <w:tcW w:w="1056" w:type="pct"/>
          </w:tcPr>
          <w:p w:rsidR="00315B6D" w:rsidRDefault="00315B6D" w:rsidP="00C324F3">
            <w:pPr>
              <w:pStyle w:val="Tablewriting"/>
              <w:numPr>
                <w:ilvl w:val="0"/>
                <w:numId w:val="104"/>
              </w:numPr>
              <w:rPr>
                <w:rFonts w:eastAsia="MS Mincho" w:cstheme="minorHAnsi"/>
              </w:rPr>
            </w:pPr>
            <w:r w:rsidRPr="00315B6D">
              <w:rPr>
                <w:rFonts w:eastAsia="MS Mincho" w:cstheme="minorHAnsi"/>
              </w:rPr>
              <w:t>Nicotine patch (21 mg/24 h, 12 weeks incl tapering)</w:t>
            </w:r>
            <w:r>
              <w:rPr>
                <w:rFonts w:eastAsia="MS Mincho" w:cstheme="minorHAnsi"/>
              </w:rPr>
              <w:t>.</w:t>
            </w:r>
          </w:p>
          <w:p w:rsidR="00315B6D" w:rsidRPr="00315B6D" w:rsidRDefault="00315B6D" w:rsidP="00C324F3">
            <w:pPr>
              <w:pStyle w:val="Tablewriting"/>
              <w:numPr>
                <w:ilvl w:val="0"/>
                <w:numId w:val="104"/>
              </w:numPr>
              <w:rPr>
                <w:rFonts w:eastAsia="MS Mincho" w:cstheme="minorHAnsi"/>
              </w:rPr>
            </w:pPr>
            <w:r w:rsidRPr="00315B6D">
              <w:rPr>
                <w:rFonts w:eastAsia="MS Mincho" w:cstheme="minorHAnsi"/>
              </w:rPr>
              <w:t>Placebo patch</w:t>
            </w:r>
            <w:r>
              <w:rPr>
                <w:rFonts w:eastAsia="MS Mincho" w:cstheme="minorHAnsi"/>
              </w:rPr>
              <w:t>.</w:t>
            </w:r>
          </w:p>
          <w:p w:rsidR="00315B6D" w:rsidRDefault="00315B6D" w:rsidP="00A71365">
            <w:pPr>
              <w:pStyle w:val="Tablewriting"/>
              <w:rPr>
                <w:rFonts w:eastAsia="MS Mincho" w:cstheme="minorHAnsi"/>
              </w:rPr>
            </w:pPr>
          </w:p>
          <w:p w:rsidR="00C3700A" w:rsidRPr="00017AE6" w:rsidRDefault="00315B6D" w:rsidP="00A71365">
            <w:pPr>
              <w:pStyle w:val="Tablewriting"/>
              <w:rPr>
                <w:rFonts w:eastAsia="MS Mincho" w:cstheme="minorHAnsi"/>
              </w:rPr>
            </w:pPr>
            <w:r w:rsidRPr="00315B6D">
              <w:rPr>
                <w:rFonts w:eastAsia="MS Mincho" w:cstheme="minorHAnsi"/>
              </w:rPr>
              <w:t>Level of support: high (brief advice from nurse at 4 study visits)</w:t>
            </w:r>
            <w:r>
              <w:rPr>
                <w:rFonts w:eastAsia="MS Mincho" w:cstheme="minorHAnsi"/>
              </w:rPr>
              <w:t>.</w:t>
            </w:r>
          </w:p>
        </w:tc>
        <w:tc>
          <w:tcPr>
            <w:tcW w:w="959" w:type="pct"/>
          </w:tcPr>
          <w:p w:rsidR="00315B6D" w:rsidRPr="00315B6D" w:rsidRDefault="001173B2" w:rsidP="00A71365">
            <w:pPr>
              <w:pStyle w:val="Tablewriting"/>
              <w:rPr>
                <w:rFonts w:eastAsia="MS Mincho" w:cstheme="minorHAnsi"/>
              </w:rPr>
            </w:pPr>
            <w:r w:rsidRPr="009B13E2">
              <w:rPr>
                <w:rFonts w:eastAsia="MS Mincho" w:cstheme="minorHAnsi"/>
                <w:u w:val="single"/>
              </w:rPr>
              <w:t>Efficacy:</w:t>
            </w:r>
            <w:r w:rsidR="00315B6D">
              <w:rPr>
                <w:rFonts w:eastAsia="MS Mincho" w:cstheme="minorHAnsi"/>
                <w:u w:val="single"/>
              </w:rPr>
              <w:t xml:space="preserve"> </w:t>
            </w:r>
            <w:r w:rsidR="00315B6D" w:rsidRPr="00315B6D">
              <w:rPr>
                <w:rFonts w:eastAsia="MS Mincho" w:cstheme="minorHAnsi"/>
              </w:rPr>
              <w:t>Sustained abstinence at 12 months (from week 1)</w:t>
            </w:r>
            <w:r w:rsidR="00315B6D">
              <w:rPr>
                <w:rFonts w:eastAsia="MS Mincho" w:cstheme="minorHAnsi"/>
              </w:rPr>
              <w:t>.</w:t>
            </w:r>
          </w:p>
          <w:p w:rsidR="00315B6D" w:rsidRDefault="00315B6D" w:rsidP="00A71365">
            <w:pPr>
              <w:pStyle w:val="Tablewriting"/>
              <w:rPr>
                <w:rFonts w:eastAsia="MS Mincho" w:cstheme="minorHAnsi"/>
              </w:rPr>
            </w:pPr>
          </w:p>
          <w:p w:rsidR="001173B2" w:rsidRPr="00315B6D" w:rsidRDefault="00315B6D" w:rsidP="00A71365">
            <w:pPr>
              <w:pStyle w:val="Tablewriting"/>
              <w:rPr>
                <w:rFonts w:eastAsia="MS Mincho" w:cstheme="minorHAnsi"/>
              </w:rPr>
            </w:pPr>
            <w:r w:rsidRPr="00315B6D">
              <w:rPr>
                <w:rFonts w:eastAsia="MS Mincho" w:cstheme="minorHAnsi"/>
              </w:rPr>
              <w:t>Validation: Salivary cotinine or CO</w:t>
            </w:r>
          </w:p>
          <w:p w:rsidR="001173B2" w:rsidRDefault="001173B2" w:rsidP="00A71365">
            <w:pPr>
              <w:pStyle w:val="Tablewriting"/>
              <w:rPr>
                <w:rFonts w:eastAsia="MS Mincho" w:cstheme="minorHAnsi"/>
              </w:rPr>
            </w:pPr>
          </w:p>
          <w:p w:rsidR="00C3700A" w:rsidRPr="00017AE6" w:rsidRDefault="001173B2" w:rsidP="00A71365">
            <w:pPr>
              <w:pStyle w:val="Tablewriting"/>
              <w:rPr>
                <w:rFonts w:eastAsia="MS Mincho" w:cstheme="minorHAnsi"/>
              </w:rPr>
            </w:pPr>
            <w:r w:rsidRPr="009B13E2">
              <w:rPr>
                <w:rFonts w:eastAsia="MS Mincho" w:cstheme="minorHAnsi"/>
                <w:u w:val="single"/>
              </w:rPr>
              <w:t>Safety:</w:t>
            </w:r>
            <w:r w:rsidR="001665F6">
              <w:rPr>
                <w:rFonts w:eastAsia="MS Mincho" w:cstheme="minorHAnsi"/>
                <w:u w:val="single"/>
              </w:rPr>
              <w:t xml:space="preserve"> </w:t>
            </w:r>
            <w:r w:rsidR="001665F6" w:rsidRPr="002A43AE">
              <w:rPr>
                <w:rFonts w:eastAsia="MS Mincho" w:cstheme="minorHAnsi"/>
              </w:rPr>
              <w:t>NR</w:t>
            </w:r>
          </w:p>
        </w:tc>
      </w:tr>
      <w:tr w:rsidR="009042AA" w:rsidRPr="00017AE6" w:rsidTr="005012C6">
        <w:trPr>
          <w:trHeight w:val="99"/>
        </w:trPr>
        <w:tc>
          <w:tcPr>
            <w:tcW w:w="1004" w:type="pct"/>
          </w:tcPr>
          <w:p w:rsidR="009042AA" w:rsidRPr="00FD17DC" w:rsidRDefault="00375881" w:rsidP="00A71365">
            <w:pPr>
              <w:pStyle w:val="Tablewriting"/>
              <w:rPr>
                <w:rFonts w:eastAsia="MS Mincho"/>
              </w:rPr>
            </w:pPr>
            <w:r w:rsidRPr="00FD17DC">
              <w:rPr>
                <w:rFonts w:eastAsia="MS Mincho"/>
              </w:rPr>
              <w:t xml:space="preserve">Jorenby </w:t>
            </w:r>
            <w:r w:rsidR="00902014">
              <w:rPr>
                <w:rFonts w:eastAsia="MS Mincho"/>
              </w:rPr>
              <w:t>(</w:t>
            </w:r>
            <w:r w:rsidRPr="00FD17DC">
              <w:rPr>
                <w:rFonts w:eastAsia="MS Mincho"/>
              </w:rPr>
              <w:t>1999</w:t>
            </w:r>
            <w:r w:rsidR="00902014">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B25B5B" w:rsidP="00A71365">
            <w:pPr>
              <w:pStyle w:val="Tablewriting"/>
              <w:rPr>
                <w:rFonts w:eastAsia="MS Mincho" w:cstheme="minorHAnsi"/>
              </w:rPr>
            </w:pPr>
            <w:r>
              <w:rPr>
                <w:rFonts w:eastAsia="MS Mincho" w:cstheme="minorHAnsi"/>
              </w:rPr>
              <w:t>USA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B25B5B">
              <w:rPr>
                <w:rFonts w:eastAsia="MS Mincho" w:cstheme="minorHAnsi"/>
              </w:rPr>
              <w:t>893</w:t>
            </w:r>
          </w:p>
        </w:tc>
        <w:tc>
          <w:tcPr>
            <w:tcW w:w="1046" w:type="pct"/>
          </w:tcPr>
          <w:p w:rsidR="00A742C5" w:rsidRPr="00A742C5" w:rsidRDefault="00B25B5B" w:rsidP="00A71365">
            <w:pPr>
              <w:pStyle w:val="Tablewriting"/>
              <w:rPr>
                <w:rFonts w:eastAsia="MS Mincho" w:cstheme="minorHAnsi"/>
              </w:rPr>
            </w:pPr>
            <w:r>
              <w:rPr>
                <w:rFonts w:eastAsia="MS Mincho" w:cstheme="minorHAnsi"/>
              </w:rPr>
              <w:t>S</w:t>
            </w:r>
            <w:r w:rsidR="00A742C5" w:rsidRPr="00A742C5">
              <w:rPr>
                <w:rFonts w:eastAsia="MS Mincho" w:cstheme="minorHAnsi"/>
              </w:rPr>
              <w:t xml:space="preserve">mokers, motivated to quit, (&gt; 15 </w:t>
            </w:r>
            <w:r w:rsidR="00A742C5">
              <w:rPr>
                <w:rFonts w:eastAsia="MS Mincho" w:cstheme="minorHAnsi"/>
              </w:rPr>
              <w:t>CPD</w:t>
            </w:r>
            <w:r w:rsidR="00A742C5" w:rsidRPr="00A742C5">
              <w:rPr>
                <w:rFonts w:eastAsia="MS Mincho" w:cstheme="minorHAnsi"/>
              </w:rPr>
              <w:t>)</w:t>
            </w:r>
            <w:r w:rsidR="00A742C5">
              <w:rPr>
                <w:rFonts w:eastAsia="MS Mincho" w:cstheme="minorHAnsi"/>
              </w:rPr>
              <w:t>.</w:t>
            </w:r>
          </w:p>
          <w:p w:rsidR="009042AA" w:rsidRPr="00017AE6" w:rsidRDefault="00A742C5" w:rsidP="00A71365">
            <w:pPr>
              <w:pStyle w:val="Tablewriting"/>
              <w:rPr>
                <w:rFonts w:eastAsia="MS Mincho" w:cstheme="minorHAnsi"/>
              </w:rPr>
            </w:pPr>
            <w:r w:rsidRPr="00A742C5">
              <w:rPr>
                <w:rFonts w:eastAsia="MS Mincho" w:cstheme="minorHAnsi"/>
              </w:rPr>
              <w:t xml:space="preserve">52% female, average age 42 to 44, average </w:t>
            </w:r>
            <w:r>
              <w:rPr>
                <w:rFonts w:eastAsia="MS Mincho" w:cstheme="minorHAnsi"/>
              </w:rPr>
              <w:t>CPD</w:t>
            </w:r>
            <w:r w:rsidRPr="00A742C5">
              <w:rPr>
                <w:rFonts w:eastAsia="MS Mincho" w:cstheme="minorHAnsi"/>
              </w:rPr>
              <w:t xml:space="preserve"> 25 to 28</w:t>
            </w:r>
            <w:r>
              <w:rPr>
                <w:rFonts w:eastAsia="MS Mincho" w:cstheme="minorHAnsi"/>
              </w:rPr>
              <w:t>.</w:t>
            </w:r>
          </w:p>
        </w:tc>
        <w:tc>
          <w:tcPr>
            <w:tcW w:w="1056" w:type="pct"/>
          </w:tcPr>
          <w:p w:rsidR="00A742C5" w:rsidRDefault="00A742C5" w:rsidP="00C324F3">
            <w:pPr>
              <w:pStyle w:val="ListParagraph"/>
              <w:numPr>
                <w:ilvl w:val="0"/>
                <w:numId w:val="105"/>
              </w:numPr>
              <w:rPr>
                <w:rFonts w:eastAsia="MS Mincho"/>
                <w:lang w:eastAsia="en-US"/>
              </w:rPr>
            </w:pPr>
            <w:r w:rsidRPr="00A742C5">
              <w:rPr>
                <w:rFonts w:eastAsia="MS Mincho"/>
                <w:lang w:eastAsia="en-US"/>
              </w:rPr>
              <w:t>Nicotine patch (21 mg/24 h for 6 weeks, tapered for 2 weeks) and sustained release</w:t>
            </w:r>
            <w:r>
              <w:rPr>
                <w:rFonts w:eastAsia="MS Mincho"/>
                <w:lang w:eastAsia="en-US"/>
              </w:rPr>
              <w:t xml:space="preserve"> </w:t>
            </w:r>
            <w:r w:rsidRPr="00A742C5">
              <w:rPr>
                <w:rFonts w:eastAsia="MS Mincho"/>
                <w:lang w:eastAsia="en-US"/>
              </w:rPr>
              <w:t>bupropion 300</w:t>
            </w:r>
            <w:r>
              <w:rPr>
                <w:rFonts w:eastAsia="MS Mincho"/>
                <w:lang w:eastAsia="en-US"/>
              </w:rPr>
              <w:t xml:space="preserve"> </w:t>
            </w:r>
            <w:r w:rsidRPr="00A742C5">
              <w:rPr>
                <w:rFonts w:eastAsia="MS Mincho"/>
                <w:lang w:eastAsia="en-US"/>
              </w:rPr>
              <w:t>mg for 9 weeks from 1 week before quit day</w:t>
            </w:r>
            <w:r>
              <w:rPr>
                <w:rFonts w:eastAsia="MS Mincho"/>
                <w:lang w:eastAsia="en-US"/>
              </w:rPr>
              <w:t>.</w:t>
            </w:r>
          </w:p>
          <w:p w:rsidR="00A742C5" w:rsidRPr="008126A5" w:rsidRDefault="00A742C5" w:rsidP="00C324F3">
            <w:pPr>
              <w:pStyle w:val="ListParagraph"/>
              <w:numPr>
                <w:ilvl w:val="0"/>
                <w:numId w:val="105"/>
              </w:numPr>
              <w:rPr>
                <w:rFonts w:eastAsia="MS Mincho" w:cstheme="minorHAnsi"/>
              </w:rPr>
            </w:pPr>
            <w:r w:rsidRPr="00A742C5">
              <w:rPr>
                <w:rFonts w:eastAsia="MS Mincho"/>
                <w:lang w:eastAsia="en-US"/>
              </w:rPr>
              <w:t>Bupropion 300 mg and placebo patch</w:t>
            </w:r>
            <w:r>
              <w:rPr>
                <w:rFonts w:eastAsia="MS Mincho"/>
                <w:lang w:eastAsia="en-US"/>
              </w:rPr>
              <w:t>.</w:t>
            </w:r>
          </w:p>
          <w:p w:rsidR="008126A5" w:rsidRPr="008126A5" w:rsidRDefault="008126A5" w:rsidP="00C324F3">
            <w:pPr>
              <w:pStyle w:val="ListParagraph"/>
              <w:numPr>
                <w:ilvl w:val="0"/>
                <w:numId w:val="105"/>
              </w:numPr>
              <w:rPr>
                <w:rFonts w:eastAsia="MS Mincho" w:cstheme="minorHAnsi"/>
              </w:rPr>
            </w:pPr>
            <w:r w:rsidRPr="008126A5">
              <w:rPr>
                <w:rFonts w:eastAsia="MS Mincho" w:cstheme="minorHAnsi"/>
              </w:rPr>
              <w:t>Nicotine patch and placebo tablets</w:t>
            </w:r>
          </w:p>
          <w:p w:rsidR="008126A5" w:rsidRPr="008126A5" w:rsidRDefault="008126A5" w:rsidP="00C324F3">
            <w:pPr>
              <w:pStyle w:val="ListParagraph"/>
              <w:numPr>
                <w:ilvl w:val="0"/>
                <w:numId w:val="105"/>
              </w:numPr>
              <w:rPr>
                <w:rFonts w:eastAsia="MS Mincho" w:cstheme="minorHAnsi"/>
              </w:rPr>
            </w:pPr>
            <w:r w:rsidRPr="008126A5">
              <w:rPr>
                <w:rFonts w:eastAsia="MS Mincho" w:cstheme="minorHAnsi"/>
              </w:rPr>
              <w:t>Placebo patch and placebo tablets</w:t>
            </w:r>
          </w:p>
          <w:p w:rsidR="008126A5" w:rsidRDefault="008126A5" w:rsidP="00A71365">
            <w:pPr>
              <w:rPr>
                <w:rFonts w:eastAsia="MS Mincho" w:cstheme="minorHAnsi"/>
              </w:rPr>
            </w:pPr>
          </w:p>
          <w:p w:rsidR="009042AA" w:rsidRPr="00017AE6" w:rsidRDefault="008126A5" w:rsidP="00A71365">
            <w:pPr>
              <w:rPr>
                <w:rFonts w:eastAsia="MS Mincho" w:cstheme="minorHAnsi"/>
              </w:rPr>
            </w:pPr>
            <w:r w:rsidRPr="008126A5">
              <w:rPr>
                <w:rFonts w:eastAsia="MS Mincho" w:cstheme="minorHAnsi"/>
              </w:rPr>
              <w:t>Level of support: high, &lt; 15 min individual counselling session at each weekly assessment. 1 phone call</w:t>
            </w:r>
            <w:r>
              <w:rPr>
                <w:rFonts w:eastAsia="MS Mincho" w:cstheme="minorHAnsi"/>
              </w:rPr>
              <w:t xml:space="preserve"> </w:t>
            </w:r>
            <w:r w:rsidRPr="008126A5">
              <w:rPr>
                <w:rFonts w:eastAsia="MS Mincho" w:cstheme="minorHAnsi"/>
              </w:rPr>
              <w:t>3 days after quit day</w:t>
            </w:r>
            <w:r>
              <w:rPr>
                <w:rFonts w:eastAsia="MS Mincho" w:cstheme="minorHAnsi"/>
              </w:rPr>
              <w:t>.</w:t>
            </w:r>
          </w:p>
        </w:tc>
        <w:tc>
          <w:tcPr>
            <w:tcW w:w="959" w:type="pct"/>
          </w:tcPr>
          <w:p w:rsidR="008126A5" w:rsidRPr="008126A5" w:rsidRDefault="001173B2" w:rsidP="00A71365">
            <w:pPr>
              <w:pStyle w:val="Tablewriting"/>
              <w:rPr>
                <w:rFonts w:eastAsia="MS Mincho" w:cstheme="minorHAnsi"/>
                <w:u w:val="single"/>
              </w:rPr>
            </w:pPr>
            <w:r w:rsidRPr="009B13E2">
              <w:rPr>
                <w:rFonts w:eastAsia="MS Mincho" w:cstheme="minorHAnsi"/>
                <w:u w:val="single"/>
              </w:rPr>
              <w:t>Efficacy:</w:t>
            </w:r>
            <w:r w:rsidR="008126A5">
              <w:rPr>
                <w:rFonts w:eastAsia="MS Mincho" w:cstheme="minorHAnsi"/>
                <w:u w:val="single"/>
              </w:rPr>
              <w:t xml:space="preserve"> </w:t>
            </w:r>
            <w:r w:rsidR="008126A5" w:rsidRPr="008126A5">
              <w:rPr>
                <w:rFonts w:eastAsia="MS Mincho" w:cstheme="minorHAnsi"/>
              </w:rPr>
              <w:t>Abstinence at 12 months (primary outcome for study was PP abstinence; this analysis uses continuous</w:t>
            </w:r>
          </w:p>
          <w:p w:rsidR="008126A5" w:rsidRDefault="008126A5" w:rsidP="00A71365">
            <w:pPr>
              <w:pStyle w:val="Tablewriting"/>
              <w:rPr>
                <w:rFonts w:eastAsia="MS Mincho" w:cstheme="minorHAnsi"/>
              </w:rPr>
            </w:pPr>
            <w:r w:rsidRPr="008126A5">
              <w:rPr>
                <w:rFonts w:eastAsia="MS Mincho" w:cstheme="minorHAnsi"/>
              </w:rPr>
              <w:t>abstinence since quit day)</w:t>
            </w:r>
            <w:r>
              <w:rPr>
                <w:rFonts w:eastAsia="MS Mincho" w:cstheme="minorHAnsi"/>
              </w:rPr>
              <w:t>.</w:t>
            </w:r>
          </w:p>
          <w:p w:rsidR="008126A5" w:rsidRPr="008126A5" w:rsidRDefault="008126A5" w:rsidP="00A71365">
            <w:pPr>
              <w:pStyle w:val="Tablewriting"/>
              <w:rPr>
                <w:rFonts w:eastAsia="MS Mincho" w:cstheme="minorHAnsi"/>
              </w:rPr>
            </w:pPr>
          </w:p>
          <w:p w:rsidR="008126A5" w:rsidRPr="008126A5" w:rsidRDefault="008126A5" w:rsidP="00A71365">
            <w:pPr>
              <w:pStyle w:val="Tablewriting"/>
              <w:rPr>
                <w:rFonts w:eastAsia="MS Mincho" w:cstheme="minorHAnsi"/>
              </w:rPr>
            </w:pPr>
            <w:r w:rsidRPr="008126A5">
              <w:rPr>
                <w:rFonts w:eastAsia="MS Mincho" w:cstheme="minorHAnsi"/>
              </w:rPr>
              <w:t>Validation: Expired CO &lt; 10 ppm at each clinic visit</w:t>
            </w:r>
            <w:r>
              <w:rPr>
                <w:rFonts w:eastAsia="MS Mincho" w:cstheme="minorHAnsi"/>
              </w:rPr>
              <w:t>.</w:t>
            </w:r>
          </w:p>
          <w:p w:rsidR="001173B2" w:rsidRDefault="001173B2" w:rsidP="00A71365">
            <w:pPr>
              <w:pStyle w:val="Tablewriting"/>
              <w:rPr>
                <w:rFonts w:eastAsia="MS Mincho" w:cstheme="minorHAnsi"/>
              </w:rPr>
            </w:pPr>
          </w:p>
          <w:p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Pr>
                <w:rFonts w:eastAsia="MS Mincho" w:cstheme="minorHAnsi"/>
                <w:u w:val="single"/>
              </w:rPr>
              <w:t xml:space="preserve"> </w:t>
            </w:r>
            <w:r w:rsidR="001665F6" w:rsidRPr="002A43AE">
              <w:rPr>
                <w:rFonts w:eastAsia="MS Mincho" w:cstheme="minorHAnsi"/>
              </w:rPr>
              <w:t>NR</w:t>
            </w:r>
          </w:p>
        </w:tc>
      </w:tr>
      <w:tr w:rsidR="009042AA" w:rsidRPr="00017AE6" w:rsidTr="005012C6">
        <w:trPr>
          <w:trHeight w:val="99"/>
        </w:trPr>
        <w:tc>
          <w:tcPr>
            <w:tcW w:w="1004" w:type="pct"/>
          </w:tcPr>
          <w:p w:rsidR="009042AA" w:rsidRPr="00FD17DC" w:rsidRDefault="00312FC3" w:rsidP="00A71365">
            <w:pPr>
              <w:pStyle w:val="Tablewriting"/>
              <w:rPr>
                <w:rFonts w:eastAsia="MS Mincho"/>
              </w:rPr>
            </w:pPr>
            <w:r w:rsidRPr="00FD17DC">
              <w:rPr>
                <w:rFonts w:eastAsia="MS Mincho"/>
              </w:rPr>
              <w:t xml:space="preserve">Joseph </w:t>
            </w:r>
            <w:r w:rsidR="00902014">
              <w:rPr>
                <w:rFonts w:eastAsia="MS Mincho"/>
              </w:rPr>
              <w:t>(</w:t>
            </w:r>
            <w:r w:rsidRPr="00FD17DC">
              <w:rPr>
                <w:rFonts w:eastAsia="MS Mincho"/>
              </w:rPr>
              <w:t>1996</w:t>
            </w:r>
            <w:r w:rsidR="00902014">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F62965" w:rsidP="00A71365">
            <w:pPr>
              <w:pStyle w:val="Tablewriting"/>
              <w:rPr>
                <w:rFonts w:eastAsia="MS Mincho" w:cstheme="minorHAnsi"/>
              </w:rPr>
            </w:pPr>
            <w:r>
              <w:rPr>
                <w:rFonts w:eastAsia="MS Mincho" w:cstheme="minorHAnsi"/>
              </w:rPr>
              <w:t>USA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F62965">
              <w:rPr>
                <w:rFonts w:eastAsia="MS Mincho" w:cstheme="minorHAnsi"/>
              </w:rPr>
              <w:t>584</w:t>
            </w:r>
          </w:p>
        </w:tc>
        <w:tc>
          <w:tcPr>
            <w:tcW w:w="1046" w:type="pct"/>
          </w:tcPr>
          <w:p w:rsidR="00F62965" w:rsidRDefault="00F62965" w:rsidP="00A71365">
            <w:pPr>
              <w:pStyle w:val="Tablewriting"/>
              <w:rPr>
                <w:rFonts w:eastAsia="MS Mincho" w:cstheme="minorHAnsi"/>
              </w:rPr>
            </w:pPr>
            <w:r>
              <w:rPr>
                <w:rFonts w:eastAsia="MS Mincho" w:cstheme="minorHAnsi"/>
              </w:rPr>
              <w:t>S</w:t>
            </w:r>
            <w:r w:rsidRPr="00F62965">
              <w:rPr>
                <w:rFonts w:eastAsia="MS Mincho" w:cstheme="minorHAnsi"/>
              </w:rPr>
              <w:t xml:space="preserve">mokers (&gt; 15 </w:t>
            </w:r>
            <w:r>
              <w:rPr>
                <w:rFonts w:eastAsia="MS Mincho" w:cstheme="minorHAnsi"/>
              </w:rPr>
              <w:t>CPD</w:t>
            </w:r>
            <w:r w:rsidRPr="00F62965">
              <w:rPr>
                <w:rFonts w:eastAsia="MS Mincho" w:cstheme="minorHAnsi"/>
              </w:rPr>
              <w:t xml:space="preserve">) with a history of cardiac disease. </w:t>
            </w:r>
          </w:p>
          <w:p w:rsidR="009042AA" w:rsidRPr="00017AE6" w:rsidRDefault="00F62965" w:rsidP="00A71365">
            <w:pPr>
              <w:pStyle w:val="Tablewriting"/>
              <w:rPr>
                <w:rFonts w:eastAsia="MS Mincho" w:cstheme="minorHAnsi"/>
              </w:rPr>
            </w:pPr>
            <w:r w:rsidRPr="00F62965">
              <w:rPr>
                <w:rFonts w:eastAsia="MS Mincho" w:cstheme="minorHAnsi"/>
              </w:rPr>
              <w:t>Patients with cardiac events within the last 2</w:t>
            </w:r>
            <w:r>
              <w:rPr>
                <w:rFonts w:eastAsia="MS Mincho" w:cstheme="minorHAnsi"/>
              </w:rPr>
              <w:t xml:space="preserve"> </w:t>
            </w:r>
            <w:r w:rsidRPr="00F62965">
              <w:rPr>
                <w:rFonts w:eastAsia="MS Mincho" w:cstheme="minorHAnsi"/>
              </w:rPr>
              <w:t>weeks were excluded</w:t>
            </w:r>
            <w:r>
              <w:rPr>
                <w:rFonts w:eastAsia="MS Mincho" w:cstheme="minorHAnsi"/>
              </w:rPr>
              <w:t>.</w:t>
            </w:r>
          </w:p>
        </w:tc>
        <w:tc>
          <w:tcPr>
            <w:tcW w:w="1056" w:type="pct"/>
          </w:tcPr>
          <w:p w:rsidR="007053B9" w:rsidRDefault="00F62965" w:rsidP="00C324F3">
            <w:pPr>
              <w:pStyle w:val="Tablewriting"/>
              <w:numPr>
                <w:ilvl w:val="0"/>
                <w:numId w:val="106"/>
              </w:numPr>
              <w:rPr>
                <w:rFonts w:eastAsia="MS Mincho" w:cstheme="minorHAnsi"/>
              </w:rPr>
            </w:pPr>
            <w:r w:rsidRPr="00F62965">
              <w:rPr>
                <w:rFonts w:eastAsia="MS Mincho" w:cstheme="minorHAnsi"/>
              </w:rPr>
              <w:t>Nicotine patch, (21 mg/24 h for 6 weeks, 14 mg for 2 weeks, 7 mg for 2 weeks)</w:t>
            </w:r>
            <w:r w:rsidR="007053B9">
              <w:rPr>
                <w:rFonts w:eastAsia="MS Mincho" w:cstheme="minorHAnsi"/>
              </w:rPr>
              <w:t>.</w:t>
            </w:r>
          </w:p>
          <w:p w:rsidR="00F62965" w:rsidRPr="00F62965" w:rsidRDefault="00F62965" w:rsidP="00C324F3">
            <w:pPr>
              <w:pStyle w:val="Tablewriting"/>
              <w:numPr>
                <w:ilvl w:val="0"/>
                <w:numId w:val="106"/>
              </w:numPr>
              <w:rPr>
                <w:rFonts w:eastAsia="MS Mincho" w:cstheme="minorHAnsi"/>
              </w:rPr>
            </w:pPr>
            <w:r w:rsidRPr="00F62965">
              <w:rPr>
                <w:rFonts w:eastAsia="MS Mincho" w:cstheme="minorHAnsi"/>
              </w:rPr>
              <w:t>Placebo patch</w:t>
            </w:r>
          </w:p>
          <w:p w:rsidR="007053B9" w:rsidRDefault="007053B9" w:rsidP="00A71365">
            <w:pPr>
              <w:pStyle w:val="Tablewriting"/>
              <w:rPr>
                <w:rFonts w:eastAsia="MS Mincho" w:cstheme="minorHAnsi"/>
              </w:rPr>
            </w:pPr>
          </w:p>
          <w:p w:rsidR="009042AA" w:rsidRPr="00017AE6" w:rsidRDefault="00F62965" w:rsidP="00A71365">
            <w:pPr>
              <w:pStyle w:val="Tablewriting"/>
              <w:rPr>
                <w:rFonts w:eastAsia="MS Mincho" w:cstheme="minorHAnsi"/>
              </w:rPr>
            </w:pPr>
            <w:r w:rsidRPr="00F62965">
              <w:rPr>
                <w:rFonts w:eastAsia="MS Mincho" w:cstheme="minorHAnsi"/>
              </w:rPr>
              <w:t>Level of support: High (self-help pamphlets and brief behavioural counselling on 3 occasions)</w:t>
            </w:r>
            <w:r w:rsidR="007053B9">
              <w:rPr>
                <w:rFonts w:eastAsia="MS Mincho" w:cstheme="minorHAnsi"/>
              </w:rPr>
              <w:t>.</w:t>
            </w:r>
          </w:p>
        </w:tc>
        <w:tc>
          <w:tcPr>
            <w:tcW w:w="959" w:type="pct"/>
          </w:tcPr>
          <w:p w:rsidR="007053B9" w:rsidRPr="007053B9" w:rsidRDefault="001173B2" w:rsidP="00A71365">
            <w:pPr>
              <w:pStyle w:val="Tablewriting"/>
              <w:rPr>
                <w:rFonts w:eastAsia="MS Mincho" w:cstheme="minorHAnsi"/>
              </w:rPr>
            </w:pPr>
            <w:r w:rsidRPr="009B13E2">
              <w:rPr>
                <w:rFonts w:eastAsia="MS Mincho" w:cstheme="minorHAnsi"/>
                <w:u w:val="single"/>
              </w:rPr>
              <w:t>Efficacy:</w:t>
            </w:r>
            <w:r w:rsidR="007053B9">
              <w:rPr>
                <w:rFonts w:eastAsia="MS Mincho" w:cstheme="minorHAnsi"/>
                <w:u w:val="single"/>
              </w:rPr>
              <w:t xml:space="preserve">  </w:t>
            </w:r>
            <w:r w:rsidR="007053B9" w:rsidRPr="007053B9">
              <w:rPr>
                <w:rFonts w:eastAsia="MS Mincho" w:cstheme="minorHAnsi"/>
              </w:rPr>
              <w:t>PP abstinence at 6 months</w:t>
            </w:r>
            <w:r w:rsidR="007053B9">
              <w:rPr>
                <w:rFonts w:eastAsia="MS Mincho" w:cstheme="minorHAnsi"/>
              </w:rPr>
              <w:t>.</w:t>
            </w:r>
          </w:p>
          <w:p w:rsidR="007053B9" w:rsidRDefault="007053B9" w:rsidP="00A71365">
            <w:pPr>
              <w:pStyle w:val="Tablewriting"/>
              <w:rPr>
                <w:rFonts w:eastAsia="MS Mincho" w:cstheme="minorHAnsi"/>
              </w:rPr>
            </w:pPr>
          </w:p>
          <w:p w:rsidR="001173B2" w:rsidRPr="007053B9" w:rsidRDefault="007053B9" w:rsidP="00A71365">
            <w:pPr>
              <w:pStyle w:val="Tablewriting"/>
              <w:rPr>
                <w:rFonts w:eastAsia="MS Mincho" w:cstheme="minorHAnsi"/>
              </w:rPr>
            </w:pPr>
            <w:r w:rsidRPr="007053B9">
              <w:rPr>
                <w:rFonts w:eastAsia="MS Mincho" w:cstheme="minorHAnsi"/>
              </w:rPr>
              <w:t xml:space="preserve">Validation: CO </w:t>
            </w:r>
            <w:r w:rsidR="001665F6" w:rsidRPr="00F80B8C">
              <w:rPr>
                <w:rFonts w:eastAsia="MS Mincho" w:cstheme="minorHAnsi"/>
              </w:rPr>
              <w:t>≤</w:t>
            </w:r>
            <w:r w:rsidRPr="007053B9">
              <w:rPr>
                <w:rFonts w:eastAsia="MS Mincho" w:cstheme="minorHAnsi"/>
              </w:rPr>
              <w:t xml:space="preserve"> 10 ppm</w:t>
            </w:r>
            <w:r>
              <w:rPr>
                <w:rFonts w:eastAsia="MS Mincho" w:cstheme="minorHAnsi"/>
              </w:rPr>
              <w:t>.</w:t>
            </w:r>
          </w:p>
          <w:p w:rsidR="001173B2" w:rsidRDefault="001173B2" w:rsidP="00A71365">
            <w:pPr>
              <w:pStyle w:val="Tablewriting"/>
              <w:rPr>
                <w:rFonts w:eastAsia="MS Mincho" w:cstheme="minorHAnsi"/>
              </w:rPr>
            </w:pPr>
          </w:p>
          <w:p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sidRPr="001665F6">
              <w:rPr>
                <w:rFonts w:eastAsia="MS Mincho" w:cstheme="minorHAnsi"/>
              </w:rPr>
              <w:t xml:space="preserve"> NR</w:t>
            </w:r>
          </w:p>
        </w:tc>
      </w:tr>
      <w:tr w:rsidR="009042AA" w:rsidRPr="00017AE6" w:rsidTr="005012C6">
        <w:trPr>
          <w:trHeight w:val="99"/>
        </w:trPr>
        <w:tc>
          <w:tcPr>
            <w:tcW w:w="1004" w:type="pct"/>
          </w:tcPr>
          <w:p w:rsidR="009042AA" w:rsidRPr="00FD17DC" w:rsidRDefault="00312FC3" w:rsidP="00A71365">
            <w:pPr>
              <w:pStyle w:val="Tablewriting"/>
              <w:rPr>
                <w:rFonts w:eastAsia="MS Mincho"/>
              </w:rPr>
            </w:pPr>
            <w:r w:rsidRPr="00FD17DC">
              <w:rPr>
                <w:rFonts w:eastAsia="MS Mincho"/>
              </w:rPr>
              <w:lastRenderedPageBreak/>
              <w:t xml:space="preserve">Killen </w:t>
            </w:r>
            <w:r w:rsidR="006C6C9B">
              <w:rPr>
                <w:rFonts w:eastAsia="MS Mincho"/>
              </w:rPr>
              <w:t>(</w:t>
            </w:r>
            <w:r w:rsidRPr="00FD17DC">
              <w:rPr>
                <w:rFonts w:eastAsia="MS Mincho"/>
              </w:rPr>
              <w:t>1997</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7E1CBF" w:rsidP="00A71365">
            <w:pPr>
              <w:pStyle w:val="Tablewriting"/>
              <w:rPr>
                <w:rFonts w:eastAsia="MS Mincho" w:cstheme="minorHAnsi"/>
              </w:rPr>
            </w:pPr>
            <w:r>
              <w:rPr>
                <w:rFonts w:eastAsia="MS Mincho" w:cstheme="minorHAnsi"/>
              </w:rPr>
              <w:t>USA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581897" w:rsidRPr="00581897">
              <w:rPr>
                <w:rFonts w:eastAsia="MS Mincho" w:cstheme="minorHAnsi"/>
              </w:rPr>
              <w:t>424</w:t>
            </w:r>
          </w:p>
        </w:tc>
        <w:tc>
          <w:tcPr>
            <w:tcW w:w="1046" w:type="pct"/>
          </w:tcPr>
          <w:p w:rsidR="009042AA" w:rsidRPr="00017AE6" w:rsidRDefault="00581897" w:rsidP="00A71365">
            <w:pPr>
              <w:pStyle w:val="Tablewriting"/>
              <w:rPr>
                <w:rFonts w:eastAsia="MS Mincho" w:cstheme="minorHAnsi"/>
              </w:rPr>
            </w:pPr>
            <w:r>
              <w:rPr>
                <w:rFonts w:eastAsia="MS Mincho" w:cstheme="minorHAnsi"/>
              </w:rPr>
              <w:t>S</w:t>
            </w:r>
            <w:r w:rsidRPr="00581897">
              <w:rPr>
                <w:rFonts w:eastAsia="MS Mincho" w:cstheme="minorHAnsi"/>
              </w:rPr>
              <w:t>mokers</w:t>
            </w:r>
            <w:r>
              <w:rPr>
                <w:rFonts w:eastAsia="MS Mincho" w:cstheme="minorHAnsi"/>
              </w:rPr>
              <w:t xml:space="preserve"> with average</w:t>
            </w:r>
            <w:r w:rsidR="005A5C15">
              <w:rPr>
                <w:rFonts w:eastAsia="MS Mincho" w:cstheme="minorHAnsi"/>
              </w:rPr>
              <w:t xml:space="preserve"> age </w:t>
            </w:r>
            <w:r w:rsidR="005A5C15" w:rsidRPr="00581897">
              <w:rPr>
                <w:rFonts w:eastAsia="MS Mincho" w:cstheme="minorHAnsi"/>
              </w:rPr>
              <w:t xml:space="preserve">˜45, average </w:t>
            </w:r>
            <w:r w:rsidR="005A5C15">
              <w:rPr>
                <w:rFonts w:eastAsia="MS Mincho" w:cstheme="minorHAnsi"/>
              </w:rPr>
              <w:t>CPD</w:t>
            </w:r>
            <w:r w:rsidR="005A5C15" w:rsidRPr="00581897">
              <w:rPr>
                <w:rFonts w:eastAsia="MS Mincho" w:cstheme="minorHAnsi"/>
              </w:rPr>
              <w:t xml:space="preserve"> ˜23</w:t>
            </w:r>
            <w:r w:rsidR="00880751">
              <w:rPr>
                <w:rFonts w:eastAsia="MS Mincho" w:cstheme="minorHAnsi"/>
              </w:rPr>
              <w:t xml:space="preserve">, </w:t>
            </w:r>
            <w:r w:rsidRPr="00581897">
              <w:rPr>
                <w:rFonts w:eastAsia="MS Mincho" w:cstheme="minorHAnsi"/>
              </w:rPr>
              <w:t>˜50% female</w:t>
            </w:r>
            <w:r w:rsidR="005A5C15">
              <w:rPr>
                <w:rFonts w:eastAsia="MS Mincho" w:cstheme="minorHAnsi"/>
              </w:rPr>
              <w:t>.</w:t>
            </w:r>
          </w:p>
        </w:tc>
        <w:tc>
          <w:tcPr>
            <w:tcW w:w="1056" w:type="pct"/>
          </w:tcPr>
          <w:p w:rsidR="003A236A" w:rsidRDefault="00880751" w:rsidP="00C324F3">
            <w:pPr>
              <w:pStyle w:val="Tablewriting"/>
              <w:numPr>
                <w:ilvl w:val="0"/>
                <w:numId w:val="107"/>
              </w:numPr>
              <w:rPr>
                <w:rFonts w:eastAsia="MS Mincho" w:cstheme="minorHAnsi"/>
              </w:rPr>
            </w:pPr>
            <w:r w:rsidRPr="00880751">
              <w:rPr>
                <w:rFonts w:eastAsia="MS Mincho" w:cstheme="minorHAnsi"/>
              </w:rPr>
              <w:t>Nicotine patch (21 mg/24 h) for 8 weeks, 14 mg for 4 weeks, 7 mg for 4 weeks</w:t>
            </w:r>
            <w:r w:rsidR="003A236A">
              <w:rPr>
                <w:rFonts w:eastAsia="MS Mincho" w:cstheme="minorHAnsi"/>
              </w:rPr>
              <w:t>.</w:t>
            </w:r>
          </w:p>
          <w:p w:rsidR="003A236A" w:rsidRDefault="00880751" w:rsidP="00C324F3">
            <w:pPr>
              <w:pStyle w:val="Tablewriting"/>
              <w:numPr>
                <w:ilvl w:val="0"/>
                <w:numId w:val="107"/>
              </w:numPr>
              <w:rPr>
                <w:rFonts w:eastAsia="MS Mincho" w:cstheme="minorHAnsi"/>
              </w:rPr>
            </w:pPr>
            <w:r w:rsidRPr="003A236A">
              <w:rPr>
                <w:rFonts w:eastAsia="MS Mincho" w:cstheme="minorHAnsi"/>
              </w:rPr>
              <w:t>Placebo patch</w:t>
            </w:r>
            <w:r w:rsidR="003A236A">
              <w:rPr>
                <w:rFonts w:eastAsia="MS Mincho" w:cstheme="minorHAnsi"/>
              </w:rPr>
              <w:t>.</w:t>
            </w:r>
          </w:p>
          <w:p w:rsidR="003A236A" w:rsidRDefault="00880751" w:rsidP="00C324F3">
            <w:pPr>
              <w:pStyle w:val="Tablewriting"/>
              <w:numPr>
                <w:ilvl w:val="0"/>
                <w:numId w:val="107"/>
              </w:numPr>
              <w:rPr>
                <w:rFonts w:eastAsia="MS Mincho" w:cstheme="minorHAnsi"/>
              </w:rPr>
            </w:pPr>
            <w:r w:rsidRPr="003A236A">
              <w:rPr>
                <w:rFonts w:eastAsia="MS Mincho" w:cstheme="minorHAnsi"/>
              </w:rPr>
              <w:t>Nicotine patch and video (The video was shown at initial visit and a copy supplied for home use)</w:t>
            </w:r>
            <w:r w:rsidR="003A236A">
              <w:rPr>
                <w:rFonts w:eastAsia="MS Mincho" w:cstheme="minorHAnsi"/>
              </w:rPr>
              <w:t>.</w:t>
            </w:r>
          </w:p>
          <w:p w:rsidR="00880751" w:rsidRPr="003A236A" w:rsidRDefault="00880751" w:rsidP="00C324F3">
            <w:pPr>
              <w:pStyle w:val="Tablewriting"/>
              <w:numPr>
                <w:ilvl w:val="0"/>
                <w:numId w:val="107"/>
              </w:numPr>
              <w:rPr>
                <w:rFonts w:eastAsia="MS Mincho" w:cstheme="minorHAnsi"/>
              </w:rPr>
            </w:pPr>
            <w:r w:rsidRPr="003A236A">
              <w:rPr>
                <w:rFonts w:eastAsia="MS Mincho" w:cstheme="minorHAnsi"/>
              </w:rPr>
              <w:t>Placebo patch and video</w:t>
            </w:r>
          </w:p>
          <w:p w:rsidR="003A236A" w:rsidRDefault="003A236A" w:rsidP="00A71365">
            <w:pPr>
              <w:pStyle w:val="Tablewriting"/>
              <w:rPr>
                <w:rFonts w:eastAsia="MS Mincho" w:cstheme="minorHAnsi"/>
              </w:rPr>
            </w:pPr>
          </w:p>
          <w:p w:rsidR="009042AA" w:rsidRPr="00017AE6" w:rsidRDefault="00880751" w:rsidP="00A71365">
            <w:pPr>
              <w:pStyle w:val="Tablewriting"/>
              <w:rPr>
                <w:rFonts w:eastAsia="MS Mincho" w:cstheme="minorHAnsi"/>
              </w:rPr>
            </w:pPr>
            <w:r w:rsidRPr="00880751">
              <w:rPr>
                <w:rFonts w:eastAsia="MS Mincho" w:cstheme="minorHAnsi"/>
              </w:rPr>
              <w:t>Level of support: low (All treatment groups received a self-help treatment manual designed to develop</w:t>
            </w:r>
            <w:r w:rsidR="003A236A">
              <w:rPr>
                <w:rFonts w:eastAsia="MS Mincho" w:cstheme="minorHAnsi"/>
              </w:rPr>
              <w:t xml:space="preserve"> </w:t>
            </w:r>
            <w:r w:rsidRPr="00880751">
              <w:rPr>
                <w:rFonts w:eastAsia="MS Mincho" w:cstheme="minorHAnsi"/>
              </w:rPr>
              <w:t>self-regulatory skills</w:t>
            </w:r>
            <w:r w:rsidR="003A236A">
              <w:rPr>
                <w:rFonts w:eastAsia="MS Mincho" w:cstheme="minorHAnsi"/>
              </w:rPr>
              <w:t>.</w:t>
            </w:r>
          </w:p>
        </w:tc>
        <w:tc>
          <w:tcPr>
            <w:tcW w:w="959" w:type="pct"/>
          </w:tcPr>
          <w:p w:rsidR="00D430B9" w:rsidRPr="00D430B9" w:rsidRDefault="001173B2" w:rsidP="00A71365">
            <w:pPr>
              <w:pStyle w:val="Tablewriting"/>
              <w:rPr>
                <w:rFonts w:eastAsia="MS Mincho" w:cstheme="minorHAnsi"/>
              </w:rPr>
            </w:pPr>
            <w:r w:rsidRPr="009B13E2">
              <w:rPr>
                <w:rFonts w:eastAsia="MS Mincho" w:cstheme="minorHAnsi"/>
                <w:u w:val="single"/>
              </w:rPr>
              <w:t>Efficacy:</w:t>
            </w:r>
            <w:r w:rsidR="00D430B9">
              <w:rPr>
                <w:rFonts w:eastAsia="MS Mincho" w:cstheme="minorHAnsi"/>
                <w:u w:val="single"/>
              </w:rPr>
              <w:t xml:space="preserve"> </w:t>
            </w:r>
            <w:r w:rsidR="00D430B9" w:rsidRPr="00D430B9">
              <w:rPr>
                <w:rFonts w:eastAsia="MS Mincho" w:cstheme="minorHAnsi"/>
              </w:rPr>
              <w:t>Sustained abstinence at 12 months (7-day PP at 6 and 12 months)</w:t>
            </w:r>
            <w:r w:rsidR="00D430B9">
              <w:rPr>
                <w:rFonts w:eastAsia="MS Mincho" w:cstheme="minorHAnsi"/>
              </w:rPr>
              <w:t>.</w:t>
            </w:r>
          </w:p>
          <w:p w:rsidR="00D430B9" w:rsidRDefault="00D430B9" w:rsidP="00A71365">
            <w:pPr>
              <w:pStyle w:val="Tablewriting"/>
              <w:rPr>
                <w:rFonts w:eastAsia="MS Mincho" w:cstheme="minorHAnsi"/>
              </w:rPr>
            </w:pPr>
          </w:p>
          <w:p w:rsidR="001173B2" w:rsidRPr="00D430B9" w:rsidRDefault="00D430B9" w:rsidP="00A71365">
            <w:pPr>
              <w:pStyle w:val="Tablewriting"/>
              <w:rPr>
                <w:rFonts w:eastAsia="MS Mincho" w:cstheme="minorHAnsi"/>
              </w:rPr>
            </w:pPr>
            <w:r w:rsidRPr="00D430B9">
              <w:rPr>
                <w:rFonts w:eastAsia="MS Mincho" w:cstheme="minorHAnsi"/>
              </w:rPr>
              <w:t>Validation: saliva</w:t>
            </w:r>
            <w:r>
              <w:rPr>
                <w:rFonts w:eastAsia="MS Mincho" w:cstheme="minorHAnsi"/>
              </w:rPr>
              <w:t xml:space="preserve"> </w:t>
            </w:r>
            <w:r w:rsidRPr="00D430B9">
              <w:rPr>
                <w:rFonts w:eastAsia="MS Mincho" w:cstheme="minorHAnsi"/>
              </w:rPr>
              <w:t>cotinine &lt; 20 ng/ml with the exception of</w:t>
            </w:r>
            <w:r w:rsidR="00430883">
              <w:rPr>
                <w:rFonts w:eastAsia="MS Mincho" w:cstheme="minorHAnsi"/>
              </w:rPr>
              <w:t xml:space="preserve"> </w:t>
            </w:r>
            <w:r w:rsidRPr="00D430B9">
              <w:rPr>
                <w:rFonts w:eastAsia="MS Mincho" w:cstheme="minorHAnsi"/>
              </w:rPr>
              <w:t>participants living</w:t>
            </w:r>
            <w:r w:rsidR="00430883">
              <w:rPr>
                <w:rFonts w:eastAsia="MS Mincho" w:cstheme="minorHAnsi"/>
              </w:rPr>
              <w:t xml:space="preserve"> </w:t>
            </w:r>
            <w:r w:rsidRPr="00D430B9">
              <w:rPr>
                <w:rFonts w:eastAsia="MS Mincho" w:cstheme="minorHAnsi"/>
              </w:rPr>
              <w:t>outside the area</w:t>
            </w:r>
            <w:r w:rsidR="00430883">
              <w:rPr>
                <w:rFonts w:eastAsia="MS Mincho" w:cstheme="minorHAnsi"/>
              </w:rPr>
              <w:t>.</w:t>
            </w:r>
          </w:p>
          <w:p w:rsidR="001173B2" w:rsidRDefault="001173B2" w:rsidP="00A71365">
            <w:pPr>
              <w:pStyle w:val="Tablewriting"/>
              <w:rPr>
                <w:rFonts w:eastAsia="MS Mincho" w:cstheme="minorHAnsi"/>
              </w:rPr>
            </w:pPr>
          </w:p>
          <w:p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sidRPr="001665F6">
              <w:rPr>
                <w:rFonts w:eastAsia="MS Mincho" w:cstheme="minorHAnsi"/>
              </w:rPr>
              <w:t xml:space="preserve"> NR</w:t>
            </w:r>
          </w:p>
        </w:tc>
      </w:tr>
      <w:tr w:rsidR="009042AA" w:rsidRPr="00017AE6" w:rsidTr="005012C6">
        <w:trPr>
          <w:trHeight w:val="99"/>
        </w:trPr>
        <w:tc>
          <w:tcPr>
            <w:tcW w:w="1004" w:type="pct"/>
          </w:tcPr>
          <w:p w:rsidR="009042AA" w:rsidRPr="00FD17DC" w:rsidRDefault="00312FC3" w:rsidP="00A71365">
            <w:pPr>
              <w:pStyle w:val="Tablewriting"/>
              <w:rPr>
                <w:rFonts w:eastAsia="MS Mincho"/>
              </w:rPr>
            </w:pPr>
            <w:r w:rsidRPr="00FD17DC">
              <w:rPr>
                <w:rFonts w:eastAsia="MS Mincho"/>
              </w:rPr>
              <w:t xml:space="preserve">Kornitzer </w:t>
            </w:r>
            <w:r w:rsidR="006C6C9B">
              <w:rPr>
                <w:rFonts w:eastAsia="MS Mincho"/>
              </w:rPr>
              <w:t>(</w:t>
            </w:r>
            <w:r w:rsidRPr="00FD17DC">
              <w:rPr>
                <w:rFonts w:eastAsia="MS Mincho"/>
              </w:rPr>
              <w:t>1995</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915D89" w:rsidP="00A71365">
            <w:pPr>
              <w:pStyle w:val="Tablewriting"/>
              <w:rPr>
                <w:rFonts w:eastAsia="MS Mincho" w:cstheme="minorHAnsi"/>
              </w:rPr>
            </w:pPr>
            <w:r w:rsidRPr="00915D89">
              <w:rPr>
                <w:rFonts w:eastAsia="MS Mincho" w:cstheme="minorHAnsi"/>
              </w:rPr>
              <w:t>Belgium</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915D89">
              <w:rPr>
                <w:rFonts w:eastAsia="MS Mincho" w:cstheme="minorHAnsi"/>
              </w:rPr>
              <w:t>374</w:t>
            </w:r>
          </w:p>
        </w:tc>
        <w:tc>
          <w:tcPr>
            <w:tcW w:w="1046" w:type="pct"/>
          </w:tcPr>
          <w:p w:rsidR="00915D89" w:rsidRPr="00915D89" w:rsidRDefault="00915D89" w:rsidP="00A71365">
            <w:pPr>
              <w:pStyle w:val="Tablewriting"/>
              <w:rPr>
                <w:rFonts w:eastAsia="MS Mincho" w:cstheme="minorHAnsi"/>
              </w:rPr>
            </w:pPr>
            <w:r>
              <w:rPr>
                <w:rFonts w:eastAsia="MS Mincho" w:cstheme="minorHAnsi"/>
              </w:rPr>
              <w:t>H</w:t>
            </w:r>
            <w:r w:rsidRPr="00915D89">
              <w:rPr>
                <w:rFonts w:eastAsia="MS Mincho" w:cstheme="minorHAnsi"/>
              </w:rPr>
              <w:t xml:space="preserve">ealthy smokers (&gt; 10 </w:t>
            </w:r>
            <w:r>
              <w:rPr>
                <w:rFonts w:eastAsia="MS Mincho" w:cstheme="minorHAnsi"/>
              </w:rPr>
              <w:t>CPD</w:t>
            </w:r>
            <w:r w:rsidRPr="00915D89">
              <w:rPr>
                <w:rFonts w:eastAsia="MS Mincho" w:cstheme="minorHAnsi"/>
              </w:rPr>
              <w:t xml:space="preserve"> for &gt; 3 years), motivated to quit</w:t>
            </w:r>
            <w:r>
              <w:rPr>
                <w:rFonts w:eastAsia="MS Mincho" w:cstheme="minorHAnsi"/>
              </w:rPr>
              <w:t>.</w:t>
            </w:r>
          </w:p>
          <w:p w:rsidR="009042AA" w:rsidRPr="00017AE6" w:rsidRDefault="00915D89" w:rsidP="00A71365">
            <w:pPr>
              <w:pStyle w:val="Tablewriting"/>
              <w:rPr>
                <w:rFonts w:eastAsia="MS Mincho" w:cstheme="minorHAnsi"/>
              </w:rPr>
            </w:pPr>
            <w:r w:rsidRPr="00915D89">
              <w:rPr>
                <w:rFonts w:eastAsia="MS Mincho" w:cstheme="minorHAnsi"/>
              </w:rPr>
              <w:t xml:space="preserve">61% male, average age 40, average </w:t>
            </w:r>
            <w:r>
              <w:rPr>
                <w:rFonts w:eastAsia="MS Mincho" w:cstheme="minorHAnsi"/>
              </w:rPr>
              <w:t xml:space="preserve">CPD </w:t>
            </w:r>
            <w:r w:rsidRPr="00915D89">
              <w:rPr>
                <w:rFonts w:eastAsia="MS Mincho" w:cstheme="minorHAnsi"/>
              </w:rPr>
              <w:t>25</w:t>
            </w:r>
            <w:r>
              <w:rPr>
                <w:rFonts w:eastAsia="MS Mincho" w:cstheme="minorHAnsi"/>
              </w:rPr>
              <w:t>.</w:t>
            </w:r>
          </w:p>
        </w:tc>
        <w:tc>
          <w:tcPr>
            <w:tcW w:w="1056" w:type="pct"/>
          </w:tcPr>
          <w:p w:rsidR="00796666" w:rsidRDefault="00796666" w:rsidP="00C324F3">
            <w:pPr>
              <w:pStyle w:val="Tablewriting"/>
              <w:numPr>
                <w:ilvl w:val="0"/>
                <w:numId w:val="108"/>
              </w:numPr>
              <w:rPr>
                <w:rFonts w:eastAsia="MS Mincho" w:cstheme="minorHAnsi"/>
              </w:rPr>
            </w:pPr>
            <w:r w:rsidRPr="00796666">
              <w:rPr>
                <w:rFonts w:eastAsia="MS Mincho" w:cstheme="minorHAnsi"/>
              </w:rPr>
              <w:t>Nicotine patch (12 weeks 15 mg/16 h, 6 weeks 10 mg, 6 weeks 5 mg) and nicotine gum (2 mg, as required)</w:t>
            </w:r>
            <w:r>
              <w:rPr>
                <w:rFonts w:eastAsia="MS Mincho" w:cstheme="minorHAnsi"/>
              </w:rPr>
              <w:t>.</w:t>
            </w:r>
          </w:p>
          <w:p w:rsidR="00796666" w:rsidRDefault="00796666" w:rsidP="00C324F3">
            <w:pPr>
              <w:pStyle w:val="Tablewriting"/>
              <w:numPr>
                <w:ilvl w:val="0"/>
                <w:numId w:val="108"/>
              </w:numPr>
              <w:rPr>
                <w:rFonts w:eastAsia="MS Mincho" w:cstheme="minorHAnsi"/>
              </w:rPr>
            </w:pPr>
            <w:r w:rsidRPr="00796666">
              <w:rPr>
                <w:rFonts w:eastAsia="MS Mincho" w:cstheme="minorHAnsi"/>
              </w:rPr>
              <w:t>Nicotine patch and placebo gum</w:t>
            </w:r>
            <w:r>
              <w:rPr>
                <w:rFonts w:eastAsia="MS Mincho" w:cstheme="minorHAnsi"/>
              </w:rPr>
              <w:t>.</w:t>
            </w:r>
          </w:p>
          <w:p w:rsidR="00796666" w:rsidRDefault="00796666" w:rsidP="00C324F3">
            <w:pPr>
              <w:pStyle w:val="Tablewriting"/>
              <w:numPr>
                <w:ilvl w:val="0"/>
                <w:numId w:val="108"/>
              </w:numPr>
              <w:rPr>
                <w:rFonts w:eastAsia="MS Mincho" w:cstheme="minorHAnsi"/>
              </w:rPr>
            </w:pPr>
            <w:r w:rsidRPr="00796666">
              <w:rPr>
                <w:rFonts w:eastAsia="MS Mincho" w:cstheme="minorHAnsi"/>
              </w:rPr>
              <w:t xml:space="preserve">Placebo patch and placebo gum. </w:t>
            </w:r>
          </w:p>
          <w:p w:rsidR="00796666" w:rsidRDefault="00796666" w:rsidP="00A71365">
            <w:pPr>
              <w:pStyle w:val="Tablewriting"/>
              <w:rPr>
                <w:rFonts w:eastAsia="MS Mincho" w:cstheme="minorHAnsi"/>
              </w:rPr>
            </w:pPr>
          </w:p>
          <w:p w:rsidR="009042AA" w:rsidRPr="00017AE6" w:rsidRDefault="00796666" w:rsidP="00A71365">
            <w:pPr>
              <w:pStyle w:val="Tablewriting"/>
              <w:rPr>
                <w:rFonts w:eastAsia="MS Mincho" w:cstheme="minorHAnsi"/>
              </w:rPr>
            </w:pPr>
            <w:r w:rsidRPr="00796666">
              <w:rPr>
                <w:rFonts w:eastAsia="MS Mincho" w:cstheme="minorHAnsi"/>
              </w:rPr>
              <w:t>Level of support: high (nurse counselling)</w:t>
            </w:r>
            <w:r>
              <w:rPr>
                <w:rFonts w:eastAsia="MS Mincho" w:cstheme="minorHAnsi"/>
              </w:rPr>
              <w:t>.</w:t>
            </w:r>
          </w:p>
        </w:tc>
        <w:tc>
          <w:tcPr>
            <w:tcW w:w="959" w:type="pct"/>
          </w:tcPr>
          <w:p w:rsidR="00796666" w:rsidRDefault="001173B2" w:rsidP="00A71365">
            <w:pPr>
              <w:pStyle w:val="Tablewriting"/>
              <w:rPr>
                <w:rFonts w:eastAsia="MS Mincho" w:cstheme="minorHAnsi"/>
              </w:rPr>
            </w:pPr>
            <w:r w:rsidRPr="009B13E2">
              <w:rPr>
                <w:rFonts w:eastAsia="MS Mincho" w:cstheme="minorHAnsi"/>
                <w:u w:val="single"/>
              </w:rPr>
              <w:t>Efficacy:</w:t>
            </w:r>
            <w:r w:rsidR="00796666">
              <w:rPr>
                <w:rFonts w:eastAsia="MS Mincho" w:cstheme="minorHAnsi"/>
                <w:u w:val="single"/>
              </w:rPr>
              <w:t xml:space="preserve"> </w:t>
            </w:r>
            <w:r w:rsidR="00796666" w:rsidRPr="00796666">
              <w:rPr>
                <w:rFonts w:eastAsia="MS Mincho" w:cstheme="minorHAnsi"/>
              </w:rPr>
              <w:t>Sustained abstinence at 12 months</w:t>
            </w:r>
            <w:r w:rsidR="00796666">
              <w:rPr>
                <w:rFonts w:eastAsia="MS Mincho" w:cstheme="minorHAnsi"/>
              </w:rPr>
              <w:t>.</w:t>
            </w:r>
          </w:p>
          <w:p w:rsidR="00796666" w:rsidRPr="00796666" w:rsidRDefault="00796666" w:rsidP="00A71365">
            <w:pPr>
              <w:pStyle w:val="Tablewriting"/>
              <w:rPr>
                <w:rFonts w:eastAsia="MS Mincho" w:cstheme="minorHAnsi"/>
              </w:rPr>
            </w:pPr>
          </w:p>
          <w:p w:rsidR="001173B2" w:rsidRPr="00796666" w:rsidRDefault="00796666" w:rsidP="00A71365">
            <w:pPr>
              <w:pStyle w:val="Tablewriting"/>
              <w:rPr>
                <w:rFonts w:eastAsia="MS Mincho" w:cstheme="minorHAnsi"/>
              </w:rPr>
            </w:pPr>
            <w:r w:rsidRPr="00796666">
              <w:rPr>
                <w:rFonts w:eastAsia="MS Mincho" w:cstheme="minorHAnsi"/>
              </w:rPr>
              <w:t>Validation: CO &lt; 10 ppm</w:t>
            </w:r>
          </w:p>
          <w:p w:rsidR="001173B2" w:rsidRDefault="001173B2" w:rsidP="00A71365">
            <w:pPr>
              <w:pStyle w:val="Tablewriting"/>
              <w:rPr>
                <w:rFonts w:eastAsia="MS Mincho" w:cstheme="minorHAnsi"/>
              </w:rPr>
            </w:pPr>
          </w:p>
          <w:p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sidRPr="001665F6">
              <w:rPr>
                <w:rFonts w:eastAsia="MS Mincho" w:cstheme="minorHAnsi"/>
              </w:rPr>
              <w:t xml:space="preserve"> NR</w:t>
            </w:r>
          </w:p>
        </w:tc>
      </w:tr>
      <w:tr w:rsidR="009042AA" w:rsidRPr="00017AE6" w:rsidTr="005012C6">
        <w:trPr>
          <w:trHeight w:val="99"/>
        </w:trPr>
        <w:tc>
          <w:tcPr>
            <w:tcW w:w="1004" w:type="pct"/>
          </w:tcPr>
          <w:p w:rsidR="009042AA" w:rsidRPr="00FD17DC" w:rsidRDefault="00312FC3" w:rsidP="00A71365">
            <w:pPr>
              <w:pStyle w:val="Tablewriting"/>
              <w:rPr>
                <w:rFonts w:eastAsia="MS Mincho"/>
              </w:rPr>
            </w:pPr>
            <w:r w:rsidRPr="00FD17DC">
              <w:rPr>
                <w:rFonts w:eastAsia="MS Mincho"/>
              </w:rPr>
              <w:t xml:space="preserve">Oncken </w:t>
            </w:r>
            <w:r w:rsidR="006C6C9B">
              <w:rPr>
                <w:rFonts w:eastAsia="MS Mincho"/>
              </w:rPr>
              <w:t>(</w:t>
            </w:r>
            <w:r w:rsidRPr="00FD17DC">
              <w:rPr>
                <w:rFonts w:eastAsia="MS Mincho"/>
              </w:rPr>
              <w:t>2007</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DF6A7F" w:rsidP="00A71365">
            <w:pPr>
              <w:pStyle w:val="Tablewriting"/>
              <w:rPr>
                <w:rFonts w:eastAsia="MS Mincho" w:cstheme="minorHAnsi"/>
              </w:rPr>
            </w:pPr>
            <w:r>
              <w:rPr>
                <w:rFonts w:eastAsia="MS Mincho" w:cstheme="minorHAnsi"/>
              </w:rPr>
              <w:t>USA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DF6A7F">
              <w:rPr>
                <w:rFonts w:eastAsia="MS Mincho" w:cstheme="minorHAnsi"/>
              </w:rPr>
              <w:t>152</w:t>
            </w:r>
          </w:p>
        </w:tc>
        <w:tc>
          <w:tcPr>
            <w:tcW w:w="1046" w:type="pct"/>
          </w:tcPr>
          <w:p w:rsidR="009042AA" w:rsidRPr="00017AE6" w:rsidRDefault="00DF6A7F" w:rsidP="00A71365">
            <w:pPr>
              <w:pStyle w:val="Tablewriting"/>
              <w:rPr>
                <w:rFonts w:eastAsia="MS Mincho" w:cstheme="minorHAnsi"/>
              </w:rPr>
            </w:pPr>
            <w:r>
              <w:rPr>
                <w:rFonts w:eastAsia="MS Mincho" w:cstheme="minorHAnsi"/>
              </w:rPr>
              <w:t>P</w:t>
            </w:r>
            <w:r w:rsidRPr="00DF6A7F">
              <w:rPr>
                <w:rFonts w:eastAsia="MS Mincho" w:cstheme="minorHAnsi"/>
              </w:rPr>
              <w:t xml:space="preserve">ost-menopausal women </w:t>
            </w:r>
            <w:r>
              <w:rPr>
                <w:rFonts w:eastAsia="MS Mincho" w:cstheme="minorHAnsi"/>
              </w:rPr>
              <w:t>(</w:t>
            </w:r>
            <w:r w:rsidRPr="00DF6A7F">
              <w:rPr>
                <w:rFonts w:eastAsia="MS Mincho" w:cstheme="minorHAnsi"/>
              </w:rPr>
              <w:t xml:space="preserve">≥10 </w:t>
            </w:r>
            <w:r>
              <w:rPr>
                <w:rFonts w:eastAsia="MS Mincho" w:cstheme="minorHAnsi"/>
              </w:rPr>
              <w:t>CPD</w:t>
            </w:r>
            <w:r w:rsidRPr="00DF6A7F">
              <w:rPr>
                <w:rFonts w:eastAsia="MS Mincho" w:cstheme="minorHAnsi"/>
              </w:rPr>
              <w:t>)</w:t>
            </w:r>
            <w:r>
              <w:rPr>
                <w:rFonts w:eastAsia="MS Mincho" w:cstheme="minorHAnsi"/>
              </w:rPr>
              <w:t>, a</w:t>
            </w:r>
            <w:r w:rsidRPr="00DF6A7F">
              <w:rPr>
                <w:rFonts w:eastAsia="MS Mincho" w:cstheme="minorHAnsi"/>
              </w:rPr>
              <w:t xml:space="preserve">verage </w:t>
            </w:r>
            <w:r>
              <w:rPr>
                <w:rFonts w:eastAsia="MS Mincho" w:cstheme="minorHAnsi"/>
              </w:rPr>
              <w:t>CPD</w:t>
            </w:r>
            <w:r w:rsidRPr="00DF6A7F">
              <w:rPr>
                <w:rFonts w:eastAsia="MS Mincho" w:cstheme="minorHAnsi"/>
              </w:rPr>
              <w:t xml:space="preserve"> 22, average age 54/56.6</w:t>
            </w:r>
            <w:r w:rsidR="00F75170">
              <w:rPr>
                <w:rFonts w:eastAsia="MS Mincho" w:cstheme="minorHAnsi"/>
              </w:rPr>
              <w:t xml:space="preserve"> years. </w:t>
            </w:r>
          </w:p>
        </w:tc>
        <w:tc>
          <w:tcPr>
            <w:tcW w:w="1056" w:type="pct"/>
          </w:tcPr>
          <w:p w:rsidR="00F75170" w:rsidRDefault="00F75170" w:rsidP="00C324F3">
            <w:pPr>
              <w:pStyle w:val="Tablewriting"/>
              <w:numPr>
                <w:ilvl w:val="0"/>
                <w:numId w:val="109"/>
              </w:numPr>
              <w:rPr>
                <w:rFonts w:eastAsia="MS Mincho" w:cstheme="minorHAnsi"/>
              </w:rPr>
            </w:pPr>
            <w:r w:rsidRPr="00F75170">
              <w:rPr>
                <w:rFonts w:eastAsia="MS Mincho" w:cstheme="minorHAnsi"/>
              </w:rPr>
              <w:t>Nicotine patch (21 mg for 13 weeks including 4 weeks tapering)</w:t>
            </w:r>
            <w:r>
              <w:rPr>
                <w:rFonts w:eastAsia="MS Mincho" w:cstheme="minorHAnsi"/>
              </w:rPr>
              <w:t>.</w:t>
            </w:r>
          </w:p>
          <w:p w:rsidR="00F75170" w:rsidRPr="00F75170" w:rsidRDefault="00F75170" w:rsidP="00C324F3">
            <w:pPr>
              <w:pStyle w:val="Tablewriting"/>
              <w:numPr>
                <w:ilvl w:val="0"/>
                <w:numId w:val="109"/>
              </w:numPr>
              <w:rPr>
                <w:rFonts w:eastAsia="MS Mincho" w:cstheme="minorHAnsi"/>
              </w:rPr>
            </w:pPr>
            <w:r w:rsidRPr="00F75170">
              <w:rPr>
                <w:rFonts w:eastAsia="MS Mincho" w:cstheme="minorHAnsi"/>
              </w:rPr>
              <w:t>Placebo patch</w:t>
            </w:r>
            <w:r>
              <w:rPr>
                <w:rFonts w:eastAsia="MS Mincho" w:cstheme="minorHAnsi"/>
              </w:rPr>
              <w:t>.</w:t>
            </w:r>
          </w:p>
          <w:p w:rsidR="00F75170" w:rsidRDefault="00F75170" w:rsidP="00A71365">
            <w:pPr>
              <w:pStyle w:val="Tablewriting"/>
              <w:rPr>
                <w:rFonts w:eastAsia="MS Mincho" w:cstheme="minorHAnsi"/>
              </w:rPr>
            </w:pPr>
          </w:p>
          <w:p w:rsidR="009042AA" w:rsidRPr="00017AE6" w:rsidRDefault="00F75170" w:rsidP="00A71365">
            <w:pPr>
              <w:pStyle w:val="Tablewriting"/>
              <w:rPr>
                <w:rFonts w:eastAsia="MS Mincho" w:cstheme="minorHAnsi"/>
              </w:rPr>
            </w:pPr>
            <w:r w:rsidRPr="00F75170">
              <w:rPr>
                <w:rFonts w:eastAsia="MS Mincho" w:cstheme="minorHAnsi"/>
              </w:rPr>
              <w:t>Level of support: high (7 visits including 4 x 2-h group counselling, 1 pre-TQD)</w:t>
            </w:r>
            <w:r w:rsidR="00147473">
              <w:rPr>
                <w:rFonts w:eastAsia="MS Mincho" w:cstheme="minorHAnsi"/>
              </w:rPr>
              <w:t>.</w:t>
            </w:r>
          </w:p>
        </w:tc>
        <w:tc>
          <w:tcPr>
            <w:tcW w:w="959" w:type="pct"/>
          </w:tcPr>
          <w:p w:rsidR="00147473" w:rsidRDefault="001173B2" w:rsidP="00A71365">
            <w:pPr>
              <w:pStyle w:val="Tablewriting"/>
              <w:rPr>
                <w:rFonts w:eastAsia="MS Mincho" w:cstheme="minorHAnsi"/>
              </w:rPr>
            </w:pPr>
            <w:r w:rsidRPr="009B13E2">
              <w:rPr>
                <w:rFonts w:eastAsia="MS Mincho" w:cstheme="minorHAnsi"/>
                <w:u w:val="single"/>
              </w:rPr>
              <w:t>Efficacy:</w:t>
            </w:r>
            <w:r w:rsidR="00147473">
              <w:rPr>
                <w:rFonts w:eastAsia="MS Mincho" w:cstheme="minorHAnsi"/>
                <w:u w:val="single"/>
              </w:rPr>
              <w:t xml:space="preserve"> </w:t>
            </w:r>
            <w:r w:rsidR="00147473" w:rsidRPr="00147473">
              <w:rPr>
                <w:rFonts w:eastAsia="MS Mincho" w:cstheme="minorHAnsi"/>
              </w:rPr>
              <w:t>PP abstinence at 16 months (12 months post-EOT)</w:t>
            </w:r>
            <w:r w:rsidR="00147473">
              <w:rPr>
                <w:rFonts w:eastAsia="MS Mincho" w:cstheme="minorHAnsi"/>
              </w:rPr>
              <w:t>.</w:t>
            </w:r>
          </w:p>
          <w:p w:rsidR="00147473" w:rsidRPr="00147473" w:rsidRDefault="00147473" w:rsidP="00A71365">
            <w:pPr>
              <w:pStyle w:val="Tablewriting"/>
              <w:rPr>
                <w:rFonts w:eastAsia="MS Mincho" w:cstheme="minorHAnsi"/>
              </w:rPr>
            </w:pPr>
          </w:p>
          <w:p w:rsidR="001173B2" w:rsidRPr="00147473" w:rsidRDefault="00147473" w:rsidP="00A71365">
            <w:pPr>
              <w:pStyle w:val="Tablewriting"/>
              <w:rPr>
                <w:rFonts w:eastAsia="MS Mincho" w:cstheme="minorHAnsi"/>
              </w:rPr>
            </w:pPr>
            <w:r w:rsidRPr="00147473">
              <w:rPr>
                <w:rFonts w:eastAsia="MS Mincho" w:cstheme="minorHAnsi"/>
              </w:rPr>
              <w:t>Validation: CO &lt; 8 ppm</w:t>
            </w:r>
            <w:r>
              <w:rPr>
                <w:rFonts w:eastAsia="MS Mincho" w:cstheme="minorHAnsi"/>
              </w:rPr>
              <w:t>.</w:t>
            </w:r>
          </w:p>
          <w:p w:rsidR="001173B2" w:rsidRDefault="001173B2" w:rsidP="00A71365">
            <w:pPr>
              <w:pStyle w:val="Tablewriting"/>
              <w:rPr>
                <w:rFonts w:eastAsia="MS Mincho" w:cstheme="minorHAnsi"/>
              </w:rPr>
            </w:pPr>
          </w:p>
          <w:p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sidRPr="001665F6">
              <w:rPr>
                <w:rFonts w:eastAsia="MS Mincho" w:cstheme="minorHAnsi"/>
              </w:rPr>
              <w:t xml:space="preserve"> NR</w:t>
            </w:r>
          </w:p>
        </w:tc>
      </w:tr>
      <w:tr w:rsidR="009042AA" w:rsidRPr="00017AE6" w:rsidTr="005012C6">
        <w:trPr>
          <w:trHeight w:val="99"/>
        </w:trPr>
        <w:tc>
          <w:tcPr>
            <w:tcW w:w="1004" w:type="pct"/>
          </w:tcPr>
          <w:p w:rsidR="009042AA" w:rsidRPr="00FD17DC" w:rsidRDefault="00312FC3" w:rsidP="00A71365">
            <w:pPr>
              <w:pStyle w:val="Tablewriting"/>
              <w:rPr>
                <w:rFonts w:eastAsia="MS Mincho"/>
              </w:rPr>
            </w:pPr>
            <w:r w:rsidRPr="00FD17DC">
              <w:rPr>
                <w:rFonts w:eastAsia="MS Mincho"/>
              </w:rPr>
              <w:lastRenderedPageBreak/>
              <w:t xml:space="preserve">Prapavessis </w:t>
            </w:r>
            <w:r w:rsidR="006C6C9B">
              <w:rPr>
                <w:rFonts w:eastAsia="MS Mincho"/>
              </w:rPr>
              <w:t>(</w:t>
            </w:r>
            <w:r w:rsidRPr="00FD17DC">
              <w:rPr>
                <w:rFonts w:eastAsia="MS Mincho"/>
              </w:rPr>
              <w:t>2007</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FF71C1" w:rsidP="00A71365">
            <w:pPr>
              <w:pStyle w:val="Tablewriting"/>
              <w:rPr>
                <w:rFonts w:eastAsia="MS Mincho" w:cstheme="minorHAnsi"/>
              </w:rPr>
            </w:pPr>
            <w:r w:rsidRPr="00FF71C1">
              <w:rPr>
                <w:rFonts w:eastAsia="MS Mincho" w:cstheme="minorHAnsi"/>
              </w:rPr>
              <w:t>New Zealand</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3C6A61">
              <w:rPr>
                <w:rFonts w:eastAsia="MS Mincho" w:cstheme="minorHAnsi"/>
              </w:rPr>
              <w:t>121</w:t>
            </w:r>
          </w:p>
        </w:tc>
        <w:tc>
          <w:tcPr>
            <w:tcW w:w="1046" w:type="pct"/>
          </w:tcPr>
          <w:p w:rsidR="009042AA" w:rsidRPr="00017AE6" w:rsidRDefault="003C6A61" w:rsidP="00A71365">
            <w:pPr>
              <w:pStyle w:val="Tablewriting"/>
              <w:rPr>
                <w:rFonts w:eastAsia="MS Mincho" w:cstheme="minorHAnsi"/>
              </w:rPr>
            </w:pPr>
            <w:r>
              <w:rPr>
                <w:rFonts w:eastAsia="MS Mincho" w:cstheme="minorHAnsi"/>
              </w:rPr>
              <w:t>W</w:t>
            </w:r>
            <w:r w:rsidRPr="003C6A61">
              <w:rPr>
                <w:rFonts w:eastAsia="MS Mincho" w:cstheme="minorHAnsi"/>
              </w:rPr>
              <w:t xml:space="preserve">omen smokers (&gt; 10 </w:t>
            </w:r>
            <w:r>
              <w:rPr>
                <w:rFonts w:eastAsia="MS Mincho" w:cstheme="minorHAnsi"/>
              </w:rPr>
              <w:t>CPD</w:t>
            </w:r>
            <w:r w:rsidRPr="003C6A61">
              <w:rPr>
                <w:rFonts w:eastAsia="MS Mincho" w:cstheme="minorHAnsi"/>
              </w:rPr>
              <w:t>) (excludes dropouts not starting programme)</w:t>
            </w:r>
            <w:r>
              <w:rPr>
                <w:rFonts w:eastAsia="MS Mincho" w:cstheme="minorHAnsi"/>
              </w:rPr>
              <w:t>.</w:t>
            </w:r>
          </w:p>
        </w:tc>
        <w:tc>
          <w:tcPr>
            <w:tcW w:w="1056" w:type="pct"/>
          </w:tcPr>
          <w:p w:rsidR="00762B9C" w:rsidRDefault="00465228" w:rsidP="00C324F3">
            <w:pPr>
              <w:pStyle w:val="Tablewriting"/>
              <w:numPr>
                <w:ilvl w:val="0"/>
                <w:numId w:val="110"/>
              </w:numPr>
              <w:rPr>
                <w:rFonts w:eastAsia="MS Mincho" w:cstheme="minorHAnsi"/>
              </w:rPr>
            </w:pPr>
            <w:r w:rsidRPr="00465228">
              <w:rPr>
                <w:rFonts w:eastAsia="MS Mincho" w:cstheme="minorHAnsi"/>
              </w:rPr>
              <w:t>Nicotine patch (21 mg/24 h for 10 weeks, no weaning)</w:t>
            </w:r>
            <w:r w:rsidR="00762B9C">
              <w:rPr>
                <w:rFonts w:eastAsia="MS Mincho" w:cstheme="minorHAnsi"/>
              </w:rPr>
              <w:t>.</w:t>
            </w:r>
          </w:p>
          <w:p w:rsidR="00465228" w:rsidRPr="00762B9C" w:rsidRDefault="00465228" w:rsidP="00C324F3">
            <w:pPr>
              <w:pStyle w:val="Tablewriting"/>
              <w:numPr>
                <w:ilvl w:val="0"/>
                <w:numId w:val="110"/>
              </w:numPr>
              <w:rPr>
                <w:rFonts w:eastAsia="MS Mincho" w:cstheme="minorHAnsi"/>
              </w:rPr>
            </w:pPr>
            <w:r w:rsidRPr="00762B9C">
              <w:rPr>
                <w:rFonts w:eastAsia="MS Mincho" w:cstheme="minorHAnsi"/>
              </w:rPr>
              <w:t>No patch</w:t>
            </w:r>
            <w:r w:rsidR="00762B9C">
              <w:rPr>
                <w:rFonts w:eastAsia="MS Mincho" w:cstheme="minorHAnsi"/>
              </w:rPr>
              <w:t>.</w:t>
            </w:r>
          </w:p>
          <w:p w:rsidR="00762B9C" w:rsidRDefault="00762B9C" w:rsidP="00A71365">
            <w:pPr>
              <w:pStyle w:val="Tablewriting"/>
              <w:rPr>
                <w:rFonts w:eastAsia="MS Mincho" w:cstheme="minorHAnsi"/>
              </w:rPr>
            </w:pPr>
          </w:p>
          <w:p w:rsidR="009042AA" w:rsidRDefault="00465228" w:rsidP="00A71365">
            <w:pPr>
              <w:pStyle w:val="Tablewriting"/>
              <w:rPr>
                <w:rFonts w:eastAsia="MS Mincho" w:cstheme="minorHAnsi"/>
              </w:rPr>
            </w:pPr>
            <w:r w:rsidRPr="00465228">
              <w:rPr>
                <w:rFonts w:eastAsia="MS Mincho" w:cstheme="minorHAnsi"/>
              </w:rPr>
              <w:t>Level of support: high (36 x 45-min session over 12</w:t>
            </w:r>
            <w:r w:rsidR="004E6220">
              <w:rPr>
                <w:rFonts w:eastAsia="MS Mincho" w:cstheme="minorHAnsi"/>
              </w:rPr>
              <w:t xml:space="preserve"> </w:t>
            </w:r>
            <w:r w:rsidRPr="00465228">
              <w:rPr>
                <w:rFonts w:eastAsia="MS Mincho" w:cstheme="minorHAnsi"/>
              </w:rPr>
              <w:t>weeks of group CBT o</w:t>
            </w:r>
            <w:r w:rsidR="00836B64">
              <w:rPr>
                <w:rFonts w:eastAsia="MS Mincho" w:cstheme="minorHAnsi"/>
              </w:rPr>
              <w:t xml:space="preserve">r supervised vigorous exercise, </w:t>
            </w:r>
            <w:r w:rsidRPr="00465228">
              <w:rPr>
                <w:rFonts w:eastAsia="MS Mincho" w:cstheme="minorHAnsi"/>
              </w:rPr>
              <w:t>starting 6 weeks before TQD)</w:t>
            </w:r>
            <w:r w:rsidR="00162C20">
              <w:rPr>
                <w:rFonts w:eastAsia="MS Mincho" w:cstheme="minorHAnsi"/>
              </w:rPr>
              <w:t>.</w:t>
            </w:r>
          </w:p>
          <w:p w:rsidR="00762B9C" w:rsidRDefault="00762B9C" w:rsidP="00A71365">
            <w:pPr>
              <w:pStyle w:val="Tablewriting"/>
              <w:rPr>
                <w:rFonts w:eastAsia="MS Mincho" w:cstheme="minorHAnsi"/>
              </w:rPr>
            </w:pPr>
          </w:p>
          <w:p w:rsidR="009042AA" w:rsidRPr="00017AE6" w:rsidRDefault="00762B9C" w:rsidP="00A71365">
            <w:pPr>
              <w:pStyle w:val="Tablewriting"/>
              <w:rPr>
                <w:rFonts w:eastAsia="MS Mincho" w:cstheme="minorHAnsi"/>
              </w:rPr>
            </w:pPr>
            <w:r w:rsidRPr="00465228">
              <w:rPr>
                <w:rFonts w:eastAsia="MS Mincho" w:cstheme="minorHAnsi"/>
              </w:rPr>
              <w:t>NRT as adjunct to either CBT or exercise programmes, collapsed for this review</w:t>
            </w:r>
          </w:p>
        </w:tc>
        <w:tc>
          <w:tcPr>
            <w:tcW w:w="959" w:type="pct"/>
          </w:tcPr>
          <w:p w:rsidR="00464DE5" w:rsidRDefault="001173B2" w:rsidP="00A71365">
            <w:pPr>
              <w:pStyle w:val="Tablewriting"/>
              <w:rPr>
                <w:rFonts w:eastAsia="MS Mincho" w:cstheme="minorHAnsi"/>
              </w:rPr>
            </w:pPr>
            <w:r w:rsidRPr="009B13E2">
              <w:rPr>
                <w:rFonts w:eastAsia="MS Mincho" w:cstheme="minorHAnsi"/>
                <w:u w:val="single"/>
              </w:rPr>
              <w:t>Efficacy:</w:t>
            </w:r>
            <w:r w:rsidR="00464DE5">
              <w:rPr>
                <w:rFonts w:eastAsia="MS Mincho" w:cstheme="minorHAnsi"/>
                <w:u w:val="single"/>
              </w:rPr>
              <w:t xml:space="preserve"> </w:t>
            </w:r>
            <w:r w:rsidR="00464DE5" w:rsidRPr="00464DE5">
              <w:rPr>
                <w:rFonts w:eastAsia="MS Mincho" w:cstheme="minorHAnsi"/>
              </w:rPr>
              <w:t>Continuous abstinence since TQD at 12 months from end of programme</w:t>
            </w:r>
            <w:r w:rsidR="00567813">
              <w:rPr>
                <w:rFonts w:eastAsia="MS Mincho" w:cstheme="minorHAnsi"/>
              </w:rPr>
              <w:t>.</w:t>
            </w:r>
          </w:p>
          <w:p w:rsidR="00567813" w:rsidRPr="00464DE5" w:rsidRDefault="00567813" w:rsidP="00A71365">
            <w:pPr>
              <w:pStyle w:val="Tablewriting"/>
              <w:rPr>
                <w:rFonts w:eastAsia="MS Mincho" w:cstheme="minorHAnsi"/>
              </w:rPr>
            </w:pPr>
          </w:p>
          <w:p w:rsidR="001173B2" w:rsidRPr="009B13E2" w:rsidRDefault="00464DE5" w:rsidP="00A71365">
            <w:pPr>
              <w:pStyle w:val="Tablewriting"/>
              <w:rPr>
                <w:rFonts w:eastAsia="MS Mincho" w:cstheme="minorHAnsi"/>
                <w:u w:val="single"/>
              </w:rPr>
            </w:pPr>
            <w:r w:rsidRPr="00464DE5">
              <w:rPr>
                <w:rFonts w:eastAsia="MS Mincho" w:cstheme="minorHAnsi"/>
              </w:rPr>
              <w:t>Validation: CO &lt; 10 ppm, cotinine &lt; 10 ng/</w:t>
            </w:r>
            <w:r w:rsidRPr="00567813">
              <w:rPr>
                <w:rFonts w:eastAsia="MS Mincho" w:cstheme="minorHAnsi"/>
              </w:rPr>
              <w:t>mL</w:t>
            </w:r>
            <w:r w:rsidR="00567813">
              <w:rPr>
                <w:rFonts w:eastAsia="MS Mincho" w:cstheme="minorHAnsi"/>
              </w:rPr>
              <w:t xml:space="preserve">. </w:t>
            </w:r>
          </w:p>
          <w:p w:rsidR="001173B2" w:rsidRDefault="001173B2" w:rsidP="00A71365">
            <w:pPr>
              <w:pStyle w:val="Tablewriting"/>
              <w:rPr>
                <w:rFonts w:eastAsia="MS Mincho" w:cstheme="minorHAnsi"/>
              </w:rPr>
            </w:pPr>
          </w:p>
          <w:p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sidRPr="001665F6">
              <w:rPr>
                <w:rFonts w:eastAsia="MS Mincho" w:cstheme="minorHAnsi"/>
              </w:rPr>
              <w:t xml:space="preserve"> NR</w:t>
            </w:r>
          </w:p>
        </w:tc>
      </w:tr>
      <w:tr w:rsidR="009042AA" w:rsidRPr="00017AE6" w:rsidTr="005012C6">
        <w:trPr>
          <w:trHeight w:val="99"/>
        </w:trPr>
        <w:tc>
          <w:tcPr>
            <w:tcW w:w="1004" w:type="pct"/>
          </w:tcPr>
          <w:p w:rsidR="009042AA" w:rsidRPr="00FD17DC" w:rsidRDefault="00214400" w:rsidP="00A71365">
            <w:pPr>
              <w:pStyle w:val="Tablewriting"/>
              <w:rPr>
                <w:rFonts w:eastAsia="MS Mincho"/>
              </w:rPr>
            </w:pPr>
            <w:r w:rsidRPr="00FD17DC">
              <w:rPr>
                <w:rFonts w:eastAsia="MS Mincho"/>
              </w:rPr>
              <w:t xml:space="preserve">Richmond </w:t>
            </w:r>
            <w:r w:rsidR="006C6C9B">
              <w:rPr>
                <w:rFonts w:eastAsia="MS Mincho"/>
              </w:rPr>
              <w:t>(</w:t>
            </w:r>
            <w:r w:rsidRPr="00FD17DC">
              <w:rPr>
                <w:rFonts w:eastAsia="MS Mincho"/>
              </w:rPr>
              <w:t>1994</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9C0975" w:rsidP="00A71365">
            <w:pPr>
              <w:pStyle w:val="Tablewriting"/>
              <w:rPr>
                <w:rFonts w:eastAsia="MS Mincho" w:cstheme="minorHAnsi"/>
              </w:rPr>
            </w:pPr>
            <w:r w:rsidRPr="009C0975">
              <w:rPr>
                <w:rFonts w:eastAsia="MS Mincho" w:cstheme="minorHAnsi"/>
              </w:rPr>
              <w:t>Australia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8359DD">
              <w:rPr>
                <w:rFonts w:eastAsia="MS Mincho" w:cstheme="minorHAnsi"/>
              </w:rPr>
              <w:t>315</w:t>
            </w:r>
          </w:p>
        </w:tc>
        <w:tc>
          <w:tcPr>
            <w:tcW w:w="1046" w:type="pct"/>
          </w:tcPr>
          <w:p w:rsidR="009042AA" w:rsidRPr="00017AE6" w:rsidRDefault="008359DD" w:rsidP="00A71365">
            <w:pPr>
              <w:pStyle w:val="Tablewriting"/>
              <w:rPr>
                <w:rFonts w:eastAsia="MS Mincho" w:cstheme="minorHAnsi"/>
              </w:rPr>
            </w:pPr>
            <w:r>
              <w:rPr>
                <w:rFonts w:eastAsia="MS Mincho" w:cstheme="minorHAnsi"/>
              </w:rPr>
              <w:t xml:space="preserve">Smokers with average CPD 29. </w:t>
            </w:r>
          </w:p>
        </w:tc>
        <w:tc>
          <w:tcPr>
            <w:tcW w:w="1056" w:type="pct"/>
          </w:tcPr>
          <w:p w:rsidR="002A5B73" w:rsidRDefault="008359DD" w:rsidP="00C324F3">
            <w:pPr>
              <w:pStyle w:val="Tablewriting"/>
              <w:numPr>
                <w:ilvl w:val="0"/>
                <w:numId w:val="111"/>
              </w:numPr>
              <w:rPr>
                <w:rFonts w:eastAsia="MS Mincho" w:cstheme="minorHAnsi"/>
              </w:rPr>
            </w:pPr>
            <w:r w:rsidRPr="008359DD">
              <w:rPr>
                <w:rFonts w:eastAsia="MS Mincho" w:cstheme="minorHAnsi"/>
              </w:rPr>
              <w:t>Nicotine patch (24 h, 22 mg/24 h, 10 weeks incl tapering)</w:t>
            </w:r>
            <w:r w:rsidR="002A5B73">
              <w:rPr>
                <w:rFonts w:eastAsia="MS Mincho" w:cstheme="minorHAnsi"/>
              </w:rPr>
              <w:t>.</w:t>
            </w:r>
          </w:p>
          <w:p w:rsidR="008359DD" w:rsidRPr="002A5B73" w:rsidRDefault="008359DD" w:rsidP="00C324F3">
            <w:pPr>
              <w:pStyle w:val="Tablewriting"/>
              <w:numPr>
                <w:ilvl w:val="0"/>
                <w:numId w:val="111"/>
              </w:numPr>
              <w:rPr>
                <w:rFonts w:eastAsia="MS Mincho" w:cstheme="minorHAnsi"/>
              </w:rPr>
            </w:pPr>
            <w:r w:rsidRPr="002A5B73">
              <w:rPr>
                <w:rFonts w:eastAsia="MS Mincho" w:cstheme="minorHAnsi"/>
              </w:rPr>
              <w:t>Placebo patch</w:t>
            </w:r>
          </w:p>
          <w:p w:rsidR="002A5B73" w:rsidRDefault="002A5B73" w:rsidP="00A71365">
            <w:pPr>
              <w:pStyle w:val="Tablewriting"/>
              <w:rPr>
                <w:rFonts w:eastAsia="MS Mincho" w:cstheme="minorHAnsi"/>
              </w:rPr>
            </w:pPr>
          </w:p>
          <w:p w:rsidR="009042AA" w:rsidRPr="00017AE6" w:rsidRDefault="008359DD" w:rsidP="00A71365">
            <w:pPr>
              <w:pStyle w:val="Tablewriting"/>
              <w:rPr>
                <w:rFonts w:eastAsia="MS Mincho" w:cstheme="minorHAnsi"/>
              </w:rPr>
            </w:pPr>
            <w:r w:rsidRPr="008359DD">
              <w:rPr>
                <w:rFonts w:eastAsia="MS Mincho" w:cstheme="minorHAnsi"/>
              </w:rPr>
              <w:t>Level of support: high (group therapy)</w:t>
            </w:r>
            <w:r w:rsidR="002A5B73">
              <w:rPr>
                <w:rFonts w:eastAsia="MS Mincho" w:cstheme="minorHAnsi"/>
              </w:rPr>
              <w:t>.</w:t>
            </w:r>
          </w:p>
        </w:tc>
        <w:tc>
          <w:tcPr>
            <w:tcW w:w="959" w:type="pct"/>
          </w:tcPr>
          <w:p w:rsidR="001173B2" w:rsidRPr="009B13E2" w:rsidRDefault="001173B2" w:rsidP="00A71365">
            <w:pPr>
              <w:pStyle w:val="Tablewriting"/>
              <w:rPr>
                <w:rFonts w:eastAsia="MS Mincho" w:cstheme="minorHAnsi"/>
                <w:u w:val="single"/>
              </w:rPr>
            </w:pPr>
            <w:r w:rsidRPr="009B13E2">
              <w:rPr>
                <w:rFonts w:eastAsia="MS Mincho" w:cstheme="minorHAnsi"/>
                <w:u w:val="single"/>
              </w:rPr>
              <w:t>Efficacy:</w:t>
            </w:r>
            <w:r w:rsidR="005A1D26">
              <w:rPr>
                <w:rFonts w:eastAsia="MS Mincho" w:cstheme="minorHAnsi"/>
                <w:u w:val="single"/>
              </w:rPr>
              <w:t xml:space="preserve"> </w:t>
            </w:r>
            <w:r w:rsidR="005A1D26" w:rsidRPr="00B952BC">
              <w:rPr>
                <w:rFonts w:eastAsia="MS Mincho" w:cstheme="minorHAnsi"/>
              </w:rPr>
              <w:t>Sustained abstinence at 12 months</w:t>
            </w:r>
            <w:r w:rsidR="00B952BC">
              <w:rPr>
                <w:rFonts w:eastAsia="MS Mincho" w:cstheme="minorHAnsi"/>
              </w:rPr>
              <w:t>.</w:t>
            </w:r>
          </w:p>
          <w:p w:rsidR="005E6DBB" w:rsidRPr="005E6DBB" w:rsidRDefault="005E6DBB" w:rsidP="00A71365">
            <w:pPr>
              <w:pStyle w:val="Tablewriting"/>
              <w:rPr>
                <w:rFonts w:eastAsia="MS Mincho" w:cstheme="minorHAnsi"/>
              </w:rPr>
            </w:pPr>
          </w:p>
          <w:p w:rsidR="00B952BC" w:rsidRDefault="00B952BC" w:rsidP="00A71365">
            <w:pPr>
              <w:pStyle w:val="Tablewriting"/>
              <w:rPr>
                <w:rFonts w:eastAsia="MS Mincho" w:cstheme="minorHAnsi"/>
              </w:rPr>
            </w:pPr>
            <w:r w:rsidRPr="00B952BC">
              <w:rPr>
                <w:rFonts w:eastAsia="MS Mincho" w:cstheme="minorHAnsi"/>
              </w:rPr>
              <w:t>Validation: CO</w:t>
            </w:r>
          </w:p>
          <w:p w:rsidR="00B952BC" w:rsidRDefault="00B952BC" w:rsidP="00A71365">
            <w:pPr>
              <w:pStyle w:val="Tablewriting"/>
              <w:rPr>
                <w:rFonts w:eastAsia="MS Mincho" w:cstheme="minorHAnsi"/>
                <w:u w:val="single"/>
              </w:rPr>
            </w:pPr>
          </w:p>
          <w:p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sidRPr="001665F6">
              <w:rPr>
                <w:rFonts w:eastAsia="MS Mincho" w:cstheme="minorHAnsi"/>
              </w:rPr>
              <w:t xml:space="preserve"> NR</w:t>
            </w:r>
          </w:p>
        </w:tc>
      </w:tr>
      <w:tr w:rsidR="009042AA" w:rsidRPr="00017AE6" w:rsidTr="005012C6">
        <w:trPr>
          <w:trHeight w:val="99"/>
        </w:trPr>
        <w:tc>
          <w:tcPr>
            <w:tcW w:w="1004" w:type="pct"/>
          </w:tcPr>
          <w:p w:rsidR="009042AA" w:rsidRPr="00FD17DC" w:rsidRDefault="00214400" w:rsidP="00A71365">
            <w:pPr>
              <w:pStyle w:val="Tablewriting"/>
              <w:rPr>
                <w:rFonts w:eastAsia="MS Mincho"/>
              </w:rPr>
            </w:pPr>
            <w:r w:rsidRPr="00FD17DC">
              <w:rPr>
                <w:rFonts w:eastAsia="MS Mincho"/>
              </w:rPr>
              <w:t xml:space="preserve">Sachs </w:t>
            </w:r>
            <w:r w:rsidR="006C6C9B">
              <w:rPr>
                <w:rFonts w:eastAsia="MS Mincho"/>
              </w:rPr>
              <w:t>(</w:t>
            </w:r>
            <w:r w:rsidRPr="00FD17DC">
              <w:rPr>
                <w:rFonts w:eastAsia="MS Mincho"/>
              </w:rPr>
              <w:t>1993</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407CDA" w:rsidP="00A71365">
            <w:pPr>
              <w:pStyle w:val="Tablewriting"/>
              <w:rPr>
                <w:rFonts w:eastAsia="MS Mincho" w:cstheme="minorHAnsi"/>
              </w:rPr>
            </w:pPr>
            <w:r>
              <w:rPr>
                <w:rFonts w:eastAsia="MS Mincho" w:cstheme="minorHAnsi"/>
              </w:rPr>
              <w:t>USA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407CDA">
              <w:rPr>
                <w:rFonts w:eastAsia="MS Mincho" w:cstheme="minorHAnsi"/>
              </w:rPr>
              <w:t>220</w:t>
            </w:r>
          </w:p>
        </w:tc>
        <w:tc>
          <w:tcPr>
            <w:tcW w:w="1046" w:type="pct"/>
          </w:tcPr>
          <w:p w:rsidR="009042AA" w:rsidRPr="00017AE6" w:rsidRDefault="00407CDA" w:rsidP="00A71365">
            <w:pPr>
              <w:pStyle w:val="Tablewriting"/>
              <w:rPr>
                <w:rFonts w:eastAsia="MS Mincho" w:cstheme="minorHAnsi"/>
              </w:rPr>
            </w:pPr>
            <w:r>
              <w:rPr>
                <w:rFonts w:eastAsia="MS Mincho" w:cstheme="minorHAnsi"/>
              </w:rPr>
              <w:t xml:space="preserve">Adult smokers with average </w:t>
            </w:r>
            <w:r w:rsidR="00406EE5">
              <w:rPr>
                <w:rFonts w:eastAsia="MS Mincho" w:cstheme="minorHAnsi"/>
              </w:rPr>
              <w:t xml:space="preserve">CPD 28 to 29. </w:t>
            </w:r>
          </w:p>
        </w:tc>
        <w:tc>
          <w:tcPr>
            <w:tcW w:w="1056" w:type="pct"/>
          </w:tcPr>
          <w:p w:rsidR="00595BD7" w:rsidRDefault="003E4390" w:rsidP="00C324F3">
            <w:pPr>
              <w:pStyle w:val="Tablewriting"/>
              <w:numPr>
                <w:ilvl w:val="0"/>
                <w:numId w:val="112"/>
              </w:numPr>
              <w:rPr>
                <w:rFonts w:eastAsia="MS Mincho" w:cstheme="minorHAnsi"/>
              </w:rPr>
            </w:pPr>
            <w:r w:rsidRPr="003E4390">
              <w:rPr>
                <w:rFonts w:eastAsia="MS Mincho" w:cstheme="minorHAnsi"/>
              </w:rPr>
              <w:t>Nicotine patch (15 mg/16 h, 12 weeks + 6 weeks tapering)</w:t>
            </w:r>
            <w:r w:rsidR="00595BD7">
              <w:rPr>
                <w:rFonts w:eastAsia="MS Mincho" w:cstheme="minorHAnsi"/>
              </w:rPr>
              <w:t>.</w:t>
            </w:r>
          </w:p>
          <w:p w:rsidR="003E4390" w:rsidRPr="00595BD7" w:rsidRDefault="003E4390" w:rsidP="00C324F3">
            <w:pPr>
              <w:pStyle w:val="Tablewriting"/>
              <w:numPr>
                <w:ilvl w:val="0"/>
                <w:numId w:val="112"/>
              </w:numPr>
              <w:rPr>
                <w:rFonts w:eastAsia="MS Mincho" w:cstheme="minorHAnsi"/>
              </w:rPr>
            </w:pPr>
            <w:r w:rsidRPr="00595BD7">
              <w:rPr>
                <w:rFonts w:eastAsia="MS Mincho" w:cstheme="minorHAnsi"/>
              </w:rPr>
              <w:t>Placebo patch</w:t>
            </w:r>
          </w:p>
          <w:p w:rsidR="00595BD7" w:rsidRDefault="00595BD7" w:rsidP="00A71365">
            <w:pPr>
              <w:pStyle w:val="Tablewriting"/>
              <w:rPr>
                <w:rFonts w:eastAsia="MS Mincho" w:cstheme="minorHAnsi"/>
              </w:rPr>
            </w:pPr>
          </w:p>
          <w:p w:rsidR="009042AA" w:rsidRPr="00017AE6" w:rsidRDefault="003E4390" w:rsidP="00A71365">
            <w:pPr>
              <w:pStyle w:val="Tablewriting"/>
              <w:rPr>
                <w:rFonts w:eastAsia="MS Mincho" w:cstheme="minorHAnsi"/>
              </w:rPr>
            </w:pPr>
            <w:r w:rsidRPr="003E4390">
              <w:rPr>
                <w:rFonts w:eastAsia="MS Mincho" w:cstheme="minorHAnsi"/>
              </w:rPr>
              <w:t>Level of support: high (physician advice, 8 visits during treatment period)</w:t>
            </w:r>
            <w:r w:rsidR="00595BD7">
              <w:rPr>
                <w:rFonts w:eastAsia="MS Mincho" w:cstheme="minorHAnsi"/>
              </w:rPr>
              <w:t>.</w:t>
            </w:r>
          </w:p>
        </w:tc>
        <w:tc>
          <w:tcPr>
            <w:tcW w:w="959" w:type="pct"/>
          </w:tcPr>
          <w:p w:rsidR="00AD69EA" w:rsidRPr="00AD69EA" w:rsidRDefault="001173B2" w:rsidP="00A71365">
            <w:pPr>
              <w:pStyle w:val="Tablewriting"/>
              <w:rPr>
                <w:rFonts w:eastAsia="MS Mincho" w:cstheme="minorHAnsi"/>
              </w:rPr>
            </w:pPr>
            <w:r w:rsidRPr="009B13E2">
              <w:rPr>
                <w:rFonts w:eastAsia="MS Mincho" w:cstheme="minorHAnsi"/>
                <w:u w:val="single"/>
              </w:rPr>
              <w:t>Efficacy:</w:t>
            </w:r>
            <w:r w:rsidR="00AD69EA">
              <w:rPr>
                <w:rFonts w:eastAsia="MS Mincho" w:cstheme="minorHAnsi"/>
                <w:u w:val="single"/>
              </w:rPr>
              <w:t xml:space="preserve"> </w:t>
            </w:r>
            <w:r w:rsidR="00AD69EA" w:rsidRPr="00AD69EA">
              <w:rPr>
                <w:rFonts w:eastAsia="MS Mincho" w:cstheme="minorHAnsi"/>
              </w:rPr>
              <w:t>Sustained abstinence at 12 months</w:t>
            </w:r>
            <w:r w:rsidR="00AD69EA">
              <w:rPr>
                <w:rFonts w:eastAsia="MS Mincho" w:cstheme="minorHAnsi"/>
              </w:rPr>
              <w:t>.</w:t>
            </w:r>
          </w:p>
          <w:p w:rsidR="001173B2" w:rsidRPr="00AD69EA" w:rsidRDefault="00AD69EA" w:rsidP="00A71365">
            <w:pPr>
              <w:pStyle w:val="Tablewriting"/>
              <w:rPr>
                <w:rFonts w:eastAsia="MS Mincho" w:cstheme="minorHAnsi"/>
              </w:rPr>
            </w:pPr>
            <w:r w:rsidRPr="00AD69EA">
              <w:rPr>
                <w:rFonts w:eastAsia="MS Mincho" w:cstheme="minorHAnsi"/>
              </w:rPr>
              <w:t>Validation: CO</w:t>
            </w:r>
          </w:p>
          <w:p w:rsidR="001173B2" w:rsidRDefault="001173B2" w:rsidP="00A71365">
            <w:pPr>
              <w:pStyle w:val="Tablewriting"/>
              <w:rPr>
                <w:rFonts w:eastAsia="MS Mincho" w:cstheme="minorHAnsi"/>
              </w:rPr>
            </w:pPr>
          </w:p>
          <w:p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sidRPr="001665F6">
              <w:rPr>
                <w:rFonts w:eastAsia="MS Mincho" w:cstheme="minorHAnsi"/>
              </w:rPr>
              <w:t xml:space="preserve"> NR</w:t>
            </w:r>
          </w:p>
        </w:tc>
      </w:tr>
      <w:tr w:rsidR="009042AA" w:rsidRPr="00017AE6" w:rsidTr="005012C6">
        <w:trPr>
          <w:trHeight w:val="99"/>
        </w:trPr>
        <w:tc>
          <w:tcPr>
            <w:tcW w:w="1004" w:type="pct"/>
          </w:tcPr>
          <w:p w:rsidR="009042AA" w:rsidRPr="00FD17DC" w:rsidRDefault="00214400" w:rsidP="00A71365">
            <w:pPr>
              <w:pStyle w:val="Tablewriting"/>
              <w:rPr>
                <w:rFonts w:eastAsia="MS Mincho"/>
              </w:rPr>
            </w:pPr>
            <w:r w:rsidRPr="00FD17DC">
              <w:rPr>
                <w:rFonts w:eastAsia="MS Mincho"/>
              </w:rPr>
              <w:t xml:space="preserve">Stapleton </w:t>
            </w:r>
            <w:r w:rsidR="006C6C9B">
              <w:rPr>
                <w:rFonts w:eastAsia="MS Mincho"/>
              </w:rPr>
              <w:t>(</w:t>
            </w:r>
            <w:r w:rsidRPr="00FD17DC">
              <w:rPr>
                <w:rFonts w:eastAsia="MS Mincho"/>
              </w:rPr>
              <w:t>1995</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6F7C94" w:rsidP="00A71365">
            <w:pPr>
              <w:pStyle w:val="Tablewriting"/>
              <w:rPr>
                <w:rFonts w:eastAsia="MS Mincho" w:cstheme="minorHAnsi"/>
              </w:rPr>
            </w:pPr>
            <w:r>
              <w:rPr>
                <w:rFonts w:eastAsia="MS Mincho" w:cstheme="minorHAnsi"/>
              </w:rPr>
              <w:t>UK</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B00821">
              <w:rPr>
                <w:rFonts w:eastAsia="MS Mincho" w:cstheme="minorHAnsi"/>
              </w:rPr>
              <w:t>1200</w:t>
            </w:r>
          </w:p>
        </w:tc>
        <w:tc>
          <w:tcPr>
            <w:tcW w:w="1046" w:type="pct"/>
          </w:tcPr>
          <w:p w:rsidR="009042AA" w:rsidRPr="00017AE6" w:rsidRDefault="006F7C94" w:rsidP="00A71365">
            <w:pPr>
              <w:pStyle w:val="Tablewriting"/>
              <w:rPr>
                <w:rFonts w:eastAsia="MS Mincho" w:cstheme="minorHAnsi"/>
              </w:rPr>
            </w:pPr>
            <w:r>
              <w:rPr>
                <w:rFonts w:eastAsia="MS Mincho" w:cstheme="minorHAnsi"/>
              </w:rPr>
              <w:t>S</w:t>
            </w:r>
            <w:r w:rsidRPr="006F7C94">
              <w:rPr>
                <w:rFonts w:eastAsia="MS Mincho" w:cstheme="minorHAnsi"/>
              </w:rPr>
              <w:t>mokers considered by GP to be highly dependent and motivated to give up</w:t>
            </w:r>
            <w:r>
              <w:rPr>
                <w:rFonts w:eastAsia="MS Mincho" w:cstheme="minorHAnsi"/>
              </w:rPr>
              <w:t xml:space="preserve">, </w:t>
            </w:r>
            <w:r w:rsidRPr="006F7C94">
              <w:rPr>
                <w:rFonts w:eastAsia="MS Mincho" w:cstheme="minorHAnsi"/>
              </w:rPr>
              <w:t xml:space="preserve">average </w:t>
            </w:r>
            <w:r>
              <w:rPr>
                <w:rFonts w:eastAsia="MS Mincho" w:cstheme="minorHAnsi"/>
              </w:rPr>
              <w:t>CPD</w:t>
            </w:r>
            <w:r w:rsidRPr="006F7C94">
              <w:rPr>
                <w:rFonts w:eastAsia="MS Mincho" w:cstheme="minorHAnsi"/>
              </w:rPr>
              <w:t xml:space="preserve"> 23 to 24</w:t>
            </w:r>
            <w:r>
              <w:rPr>
                <w:rFonts w:eastAsia="MS Mincho" w:cstheme="minorHAnsi"/>
              </w:rPr>
              <w:t>.</w:t>
            </w:r>
          </w:p>
        </w:tc>
        <w:tc>
          <w:tcPr>
            <w:tcW w:w="1056" w:type="pct"/>
          </w:tcPr>
          <w:p w:rsidR="0099394B" w:rsidRDefault="0099394B" w:rsidP="00C324F3">
            <w:pPr>
              <w:pStyle w:val="Tablewriting"/>
              <w:numPr>
                <w:ilvl w:val="0"/>
                <w:numId w:val="113"/>
              </w:numPr>
              <w:rPr>
                <w:rFonts w:eastAsia="MS Mincho" w:cstheme="minorHAnsi"/>
              </w:rPr>
            </w:pPr>
            <w:r w:rsidRPr="0099394B">
              <w:rPr>
                <w:rFonts w:eastAsia="MS Mincho" w:cstheme="minorHAnsi"/>
              </w:rPr>
              <w:t>Nicotine patch standard dose (15 mg/16 h for 18 weeks)</w:t>
            </w:r>
            <w:r>
              <w:rPr>
                <w:rFonts w:eastAsia="MS Mincho" w:cstheme="minorHAnsi"/>
              </w:rPr>
              <w:t>.</w:t>
            </w:r>
          </w:p>
          <w:p w:rsidR="0099394B" w:rsidRDefault="0099394B" w:rsidP="00C324F3">
            <w:pPr>
              <w:pStyle w:val="Tablewriting"/>
              <w:numPr>
                <w:ilvl w:val="0"/>
                <w:numId w:val="113"/>
              </w:numPr>
              <w:rPr>
                <w:rFonts w:eastAsia="MS Mincho" w:cstheme="minorHAnsi"/>
              </w:rPr>
            </w:pPr>
            <w:r w:rsidRPr="0099394B">
              <w:rPr>
                <w:rFonts w:eastAsia="MS Mincho" w:cstheme="minorHAnsi"/>
              </w:rPr>
              <w:t>Nicotine patch with dose increase to 25 mg at 1 week if required</w:t>
            </w:r>
            <w:r>
              <w:rPr>
                <w:rFonts w:eastAsia="MS Mincho" w:cstheme="minorHAnsi"/>
              </w:rPr>
              <w:t>.</w:t>
            </w:r>
          </w:p>
          <w:p w:rsidR="0099394B" w:rsidRPr="0099394B" w:rsidRDefault="0099394B" w:rsidP="00C324F3">
            <w:pPr>
              <w:pStyle w:val="Tablewriting"/>
              <w:numPr>
                <w:ilvl w:val="0"/>
                <w:numId w:val="113"/>
              </w:numPr>
              <w:rPr>
                <w:rFonts w:eastAsia="MS Mincho" w:cstheme="minorHAnsi"/>
              </w:rPr>
            </w:pPr>
            <w:r w:rsidRPr="0099394B">
              <w:rPr>
                <w:rFonts w:eastAsia="MS Mincho" w:cstheme="minorHAnsi"/>
              </w:rPr>
              <w:t>Placebo patch group</w:t>
            </w:r>
          </w:p>
          <w:p w:rsidR="0099394B" w:rsidRDefault="0099394B" w:rsidP="00A71365">
            <w:pPr>
              <w:pStyle w:val="Tablewriting"/>
              <w:rPr>
                <w:rFonts w:eastAsia="MS Mincho" w:cstheme="minorHAnsi"/>
              </w:rPr>
            </w:pPr>
          </w:p>
          <w:p w:rsidR="0099394B" w:rsidRDefault="0099394B" w:rsidP="00A71365">
            <w:pPr>
              <w:pStyle w:val="Tablewriting"/>
              <w:rPr>
                <w:rFonts w:eastAsia="MS Mincho" w:cstheme="minorHAnsi"/>
              </w:rPr>
            </w:pPr>
            <w:r w:rsidRPr="0099394B">
              <w:rPr>
                <w:rFonts w:eastAsia="MS Mincho" w:cstheme="minorHAnsi"/>
              </w:rPr>
              <w:lastRenderedPageBreak/>
              <w:t>The nicotine patch groups were further randomized to gradual tapering or abrupt withdrawal at week</w:t>
            </w:r>
            <w:r w:rsidR="003907B5">
              <w:rPr>
                <w:rFonts w:eastAsia="MS Mincho" w:cstheme="minorHAnsi"/>
              </w:rPr>
              <w:t xml:space="preserve"> </w:t>
            </w:r>
            <w:r w:rsidRPr="0099394B">
              <w:rPr>
                <w:rFonts w:eastAsia="MS Mincho" w:cstheme="minorHAnsi"/>
              </w:rPr>
              <w:t>12</w:t>
            </w:r>
            <w:r w:rsidR="003907B5">
              <w:rPr>
                <w:rFonts w:eastAsia="MS Mincho" w:cstheme="minorHAnsi"/>
              </w:rPr>
              <w:t>.</w:t>
            </w:r>
          </w:p>
          <w:p w:rsidR="003907B5" w:rsidRPr="0099394B" w:rsidRDefault="003907B5" w:rsidP="00A71365">
            <w:pPr>
              <w:pStyle w:val="Tablewriting"/>
              <w:rPr>
                <w:rFonts w:eastAsia="MS Mincho" w:cstheme="minorHAnsi"/>
              </w:rPr>
            </w:pPr>
          </w:p>
          <w:p w:rsidR="009042AA" w:rsidRPr="00017AE6" w:rsidRDefault="0099394B" w:rsidP="00A71365">
            <w:pPr>
              <w:pStyle w:val="Tablewriting"/>
              <w:rPr>
                <w:rFonts w:eastAsia="MS Mincho" w:cstheme="minorHAnsi"/>
              </w:rPr>
            </w:pPr>
            <w:r w:rsidRPr="0099394B">
              <w:rPr>
                <w:rFonts w:eastAsia="MS Mincho" w:cstheme="minorHAnsi"/>
              </w:rPr>
              <w:t>Level of support: high (physician advice and brief support at 1, 3, 6, 12 weeks)</w:t>
            </w:r>
            <w:r w:rsidR="003907B5">
              <w:rPr>
                <w:rFonts w:eastAsia="MS Mincho" w:cstheme="minorHAnsi"/>
              </w:rPr>
              <w:t>.</w:t>
            </w:r>
          </w:p>
        </w:tc>
        <w:tc>
          <w:tcPr>
            <w:tcW w:w="959" w:type="pct"/>
          </w:tcPr>
          <w:p w:rsidR="003907B5" w:rsidRDefault="001173B2" w:rsidP="00A71365">
            <w:pPr>
              <w:pStyle w:val="Tablewriting"/>
              <w:rPr>
                <w:rFonts w:eastAsia="MS Mincho" w:cstheme="minorHAnsi"/>
              </w:rPr>
            </w:pPr>
            <w:r w:rsidRPr="009B13E2">
              <w:rPr>
                <w:rFonts w:eastAsia="MS Mincho" w:cstheme="minorHAnsi"/>
                <w:u w:val="single"/>
              </w:rPr>
              <w:lastRenderedPageBreak/>
              <w:t>Efficacy:</w:t>
            </w:r>
            <w:r w:rsidR="003907B5">
              <w:rPr>
                <w:rFonts w:eastAsia="MS Mincho" w:cstheme="minorHAnsi"/>
                <w:u w:val="single"/>
              </w:rPr>
              <w:t xml:space="preserve"> </w:t>
            </w:r>
            <w:r w:rsidR="003907B5" w:rsidRPr="003907B5">
              <w:rPr>
                <w:rFonts w:eastAsia="MS Mincho" w:cstheme="minorHAnsi"/>
              </w:rPr>
              <w:t>Sustained abstinence at 12 months</w:t>
            </w:r>
            <w:r w:rsidR="003907B5">
              <w:rPr>
                <w:rFonts w:eastAsia="MS Mincho" w:cstheme="minorHAnsi"/>
              </w:rPr>
              <w:t>.</w:t>
            </w:r>
          </w:p>
          <w:p w:rsidR="003907B5" w:rsidRPr="003907B5" w:rsidRDefault="003907B5" w:rsidP="00A71365">
            <w:pPr>
              <w:pStyle w:val="Tablewriting"/>
              <w:rPr>
                <w:rFonts w:eastAsia="MS Mincho" w:cstheme="minorHAnsi"/>
              </w:rPr>
            </w:pPr>
          </w:p>
          <w:p w:rsidR="001173B2" w:rsidRPr="009B13E2" w:rsidRDefault="003907B5" w:rsidP="00A71365">
            <w:pPr>
              <w:pStyle w:val="Tablewriting"/>
              <w:rPr>
                <w:rFonts w:eastAsia="MS Mincho" w:cstheme="minorHAnsi"/>
                <w:u w:val="single"/>
              </w:rPr>
            </w:pPr>
            <w:r w:rsidRPr="003907B5">
              <w:rPr>
                <w:rFonts w:eastAsia="MS Mincho" w:cstheme="minorHAnsi"/>
              </w:rPr>
              <w:t>Validation: CO</w:t>
            </w:r>
            <w:r>
              <w:rPr>
                <w:rFonts w:eastAsia="MS Mincho" w:cstheme="minorHAnsi"/>
              </w:rPr>
              <w:t>.</w:t>
            </w:r>
          </w:p>
          <w:p w:rsidR="001173B2" w:rsidRDefault="001173B2" w:rsidP="00A71365">
            <w:pPr>
              <w:pStyle w:val="Tablewriting"/>
              <w:rPr>
                <w:rFonts w:eastAsia="MS Mincho" w:cstheme="minorHAnsi"/>
              </w:rPr>
            </w:pPr>
          </w:p>
          <w:p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sidRPr="001665F6">
              <w:rPr>
                <w:rFonts w:eastAsia="MS Mincho" w:cstheme="minorHAnsi"/>
              </w:rPr>
              <w:t xml:space="preserve"> NR</w:t>
            </w:r>
          </w:p>
        </w:tc>
      </w:tr>
      <w:tr w:rsidR="009042AA" w:rsidRPr="00017AE6" w:rsidTr="005012C6">
        <w:trPr>
          <w:trHeight w:val="99"/>
        </w:trPr>
        <w:tc>
          <w:tcPr>
            <w:tcW w:w="1004" w:type="pct"/>
          </w:tcPr>
          <w:p w:rsidR="009042AA" w:rsidRPr="00FD17DC" w:rsidRDefault="00214400" w:rsidP="00A71365">
            <w:pPr>
              <w:pStyle w:val="Tablewriting"/>
              <w:rPr>
                <w:rFonts w:eastAsia="MS Mincho"/>
              </w:rPr>
            </w:pPr>
            <w:r w:rsidRPr="00FD17DC">
              <w:rPr>
                <w:rFonts w:eastAsia="MS Mincho"/>
              </w:rPr>
              <w:t xml:space="preserve">Tønnesen </w:t>
            </w:r>
            <w:r w:rsidR="006C6C9B">
              <w:rPr>
                <w:rFonts w:eastAsia="MS Mincho"/>
              </w:rPr>
              <w:t>(</w:t>
            </w:r>
            <w:r w:rsidRPr="00FD17DC">
              <w:rPr>
                <w:rFonts w:eastAsia="MS Mincho"/>
              </w:rPr>
              <w:t>1991</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C905BA" w:rsidP="00A71365">
            <w:pPr>
              <w:pStyle w:val="Tablewriting"/>
              <w:rPr>
                <w:rFonts w:eastAsia="MS Mincho" w:cstheme="minorHAnsi"/>
              </w:rPr>
            </w:pPr>
            <w:r w:rsidRPr="00C905BA">
              <w:rPr>
                <w:rFonts w:eastAsia="MS Mincho" w:cstheme="minorHAnsi"/>
              </w:rPr>
              <w:t>Denmark</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B45B81">
              <w:rPr>
                <w:rFonts w:eastAsia="MS Mincho" w:cstheme="minorHAnsi"/>
              </w:rPr>
              <w:t>289</w:t>
            </w:r>
          </w:p>
        </w:tc>
        <w:tc>
          <w:tcPr>
            <w:tcW w:w="1046" w:type="pct"/>
          </w:tcPr>
          <w:p w:rsidR="009042AA" w:rsidRPr="00017AE6" w:rsidRDefault="00B45B81" w:rsidP="00A71365">
            <w:pPr>
              <w:pStyle w:val="Tablewriting"/>
              <w:rPr>
                <w:rFonts w:eastAsia="MS Mincho" w:cstheme="minorHAnsi"/>
              </w:rPr>
            </w:pPr>
            <w:r>
              <w:rPr>
                <w:rFonts w:eastAsia="MS Mincho" w:cstheme="minorHAnsi"/>
              </w:rPr>
              <w:t>S</w:t>
            </w:r>
            <w:r w:rsidRPr="00B45B81">
              <w:rPr>
                <w:rFonts w:eastAsia="MS Mincho" w:cstheme="minorHAnsi"/>
              </w:rPr>
              <w:t>mokers (</w:t>
            </w:r>
            <w:r w:rsidR="00E60AF8" w:rsidRPr="00E60AF8">
              <w:rPr>
                <w:rFonts w:eastAsia="MS Mincho" w:cstheme="minorHAnsi"/>
              </w:rPr>
              <w:t>≥</w:t>
            </w:r>
            <w:r w:rsidR="00E60AF8">
              <w:rPr>
                <w:rFonts w:eastAsia="MS Mincho" w:cstheme="minorHAnsi"/>
              </w:rPr>
              <w:t xml:space="preserve"> </w:t>
            </w:r>
            <w:r w:rsidRPr="00B45B81">
              <w:rPr>
                <w:rFonts w:eastAsia="MS Mincho" w:cstheme="minorHAnsi"/>
              </w:rPr>
              <w:t xml:space="preserve">10 </w:t>
            </w:r>
            <w:r w:rsidR="00E60AF8">
              <w:rPr>
                <w:rFonts w:eastAsia="MS Mincho" w:cstheme="minorHAnsi"/>
              </w:rPr>
              <w:t>CPD</w:t>
            </w:r>
            <w:r w:rsidRPr="00B45B81">
              <w:rPr>
                <w:rFonts w:eastAsia="MS Mincho" w:cstheme="minorHAnsi"/>
              </w:rPr>
              <w:t>)</w:t>
            </w:r>
            <w:r w:rsidR="00F43E05">
              <w:rPr>
                <w:rFonts w:eastAsia="MS Mincho" w:cstheme="minorHAnsi"/>
              </w:rPr>
              <w:t xml:space="preserve">, </w:t>
            </w:r>
            <w:r w:rsidRPr="00B45B81">
              <w:rPr>
                <w:rFonts w:eastAsia="MS Mincho" w:cstheme="minorHAnsi"/>
              </w:rPr>
              <w:t xml:space="preserve">70% female, average age 45, average </w:t>
            </w:r>
            <w:r w:rsidR="00F43E05">
              <w:rPr>
                <w:rFonts w:eastAsia="MS Mincho" w:cstheme="minorHAnsi"/>
              </w:rPr>
              <w:t>CPD</w:t>
            </w:r>
            <w:r w:rsidRPr="00B45B81">
              <w:rPr>
                <w:rFonts w:eastAsia="MS Mincho" w:cstheme="minorHAnsi"/>
              </w:rPr>
              <w:t xml:space="preserve"> 22</w:t>
            </w:r>
            <w:r w:rsidR="00F43E05">
              <w:rPr>
                <w:rFonts w:eastAsia="MS Mincho" w:cstheme="minorHAnsi"/>
              </w:rPr>
              <w:t>.</w:t>
            </w:r>
          </w:p>
        </w:tc>
        <w:tc>
          <w:tcPr>
            <w:tcW w:w="1056" w:type="pct"/>
          </w:tcPr>
          <w:p w:rsidR="00910697" w:rsidRDefault="00F43E05" w:rsidP="00C324F3">
            <w:pPr>
              <w:pStyle w:val="Tablewriting"/>
              <w:numPr>
                <w:ilvl w:val="0"/>
                <w:numId w:val="114"/>
              </w:numPr>
              <w:rPr>
                <w:rFonts w:eastAsia="MS Mincho" w:cstheme="minorHAnsi"/>
              </w:rPr>
            </w:pPr>
            <w:r w:rsidRPr="00F43E05">
              <w:rPr>
                <w:rFonts w:eastAsia="MS Mincho" w:cstheme="minorHAnsi"/>
              </w:rPr>
              <w:t>Nicotine patch (15 mg/16 h for 12 weeks with tapering)</w:t>
            </w:r>
            <w:r w:rsidR="00910697">
              <w:rPr>
                <w:rFonts w:eastAsia="MS Mincho" w:cstheme="minorHAnsi"/>
              </w:rPr>
              <w:t>.</w:t>
            </w:r>
          </w:p>
          <w:p w:rsidR="00F43E05" w:rsidRPr="00910697" w:rsidRDefault="00F43E05" w:rsidP="00C324F3">
            <w:pPr>
              <w:pStyle w:val="Tablewriting"/>
              <w:numPr>
                <w:ilvl w:val="0"/>
                <w:numId w:val="114"/>
              </w:numPr>
              <w:rPr>
                <w:rFonts w:eastAsia="MS Mincho" w:cstheme="minorHAnsi"/>
              </w:rPr>
            </w:pPr>
            <w:r w:rsidRPr="00910697">
              <w:rPr>
                <w:rFonts w:eastAsia="MS Mincho" w:cstheme="minorHAnsi"/>
              </w:rPr>
              <w:t>Placebo patch</w:t>
            </w:r>
          </w:p>
          <w:p w:rsidR="00910697" w:rsidRDefault="00910697" w:rsidP="00A71365">
            <w:pPr>
              <w:pStyle w:val="Tablewriting"/>
              <w:rPr>
                <w:rFonts w:eastAsia="MS Mincho" w:cstheme="minorHAnsi"/>
              </w:rPr>
            </w:pPr>
          </w:p>
          <w:p w:rsidR="009042AA" w:rsidRPr="00017AE6" w:rsidRDefault="00F43E05" w:rsidP="00A71365">
            <w:pPr>
              <w:pStyle w:val="Tablewriting"/>
              <w:rPr>
                <w:rFonts w:eastAsia="MS Mincho" w:cstheme="minorHAnsi"/>
              </w:rPr>
            </w:pPr>
            <w:r w:rsidRPr="00F43E05">
              <w:rPr>
                <w:rFonts w:eastAsia="MS Mincho" w:cstheme="minorHAnsi"/>
              </w:rPr>
              <w:t>Level of support: high (7 clinic visits including a few minutes of advice)</w:t>
            </w:r>
            <w:r w:rsidR="00910697">
              <w:rPr>
                <w:rFonts w:eastAsia="MS Mincho" w:cstheme="minorHAnsi"/>
              </w:rPr>
              <w:t>.</w:t>
            </w:r>
          </w:p>
        </w:tc>
        <w:tc>
          <w:tcPr>
            <w:tcW w:w="959" w:type="pct"/>
          </w:tcPr>
          <w:p w:rsidR="001173B2" w:rsidRPr="009B13E2" w:rsidRDefault="001173B2" w:rsidP="00A71365">
            <w:pPr>
              <w:pStyle w:val="Tablewriting"/>
              <w:rPr>
                <w:rFonts w:eastAsia="MS Mincho" w:cstheme="minorHAnsi"/>
                <w:u w:val="single"/>
              </w:rPr>
            </w:pPr>
            <w:r w:rsidRPr="009B13E2">
              <w:rPr>
                <w:rFonts w:eastAsia="MS Mincho" w:cstheme="minorHAnsi"/>
                <w:u w:val="single"/>
              </w:rPr>
              <w:t>Efficacy:</w:t>
            </w:r>
            <w:r w:rsidR="009D67FC">
              <w:rPr>
                <w:rFonts w:eastAsia="MS Mincho" w:cstheme="minorHAnsi"/>
                <w:u w:val="single"/>
              </w:rPr>
              <w:t xml:space="preserve"> </w:t>
            </w:r>
            <w:r w:rsidR="009D67FC" w:rsidRPr="009D67FC">
              <w:rPr>
                <w:rFonts w:eastAsia="MS Mincho" w:cstheme="minorHAnsi"/>
              </w:rPr>
              <w:t>Sustained abstinence at 12</w:t>
            </w:r>
            <w:r w:rsidR="009D67FC">
              <w:rPr>
                <w:rFonts w:eastAsia="MS Mincho" w:cstheme="minorHAnsi"/>
              </w:rPr>
              <w:t xml:space="preserve"> </w:t>
            </w:r>
            <w:r w:rsidR="009D67FC" w:rsidRPr="009D67FC">
              <w:rPr>
                <w:rFonts w:eastAsia="MS Mincho" w:cstheme="minorHAnsi"/>
              </w:rPr>
              <w:t>months</w:t>
            </w:r>
            <w:r w:rsidR="009D67FC">
              <w:rPr>
                <w:rFonts w:eastAsia="MS Mincho" w:cstheme="minorHAnsi"/>
              </w:rPr>
              <w:t>.</w:t>
            </w:r>
          </w:p>
          <w:p w:rsidR="001173B2" w:rsidRDefault="001173B2" w:rsidP="00A71365">
            <w:pPr>
              <w:pStyle w:val="Tablewriting"/>
              <w:rPr>
                <w:rFonts w:eastAsia="MS Mincho" w:cstheme="minorHAnsi"/>
              </w:rPr>
            </w:pPr>
          </w:p>
          <w:p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sidRPr="001665F6">
              <w:rPr>
                <w:rFonts w:eastAsia="MS Mincho" w:cstheme="minorHAnsi"/>
              </w:rPr>
              <w:t xml:space="preserve"> NR</w:t>
            </w:r>
          </w:p>
        </w:tc>
      </w:tr>
      <w:tr w:rsidR="009042AA" w:rsidRPr="00017AE6" w:rsidTr="005012C6">
        <w:trPr>
          <w:trHeight w:val="99"/>
        </w:trPr>
        <w:tc>
          <w:tcPr>
            <w:tcW w:w="1004" w:type="pct"/>
          </w:tcPr>
          <w:p w:rsidR="009042AA" w:rsidRPr="00FD17DC" w:rsidRDefault="00214400" w:rsidP="00A71365">
            <w:pPr>
              <w:pStyle w:val="Tablewriting"/>
              <w:rPr>
                <w:rFonts w:eastAsia="MS Mincho"/>
              </w:rPr>
            </w:pPr>
            <w:r w:rsidRPr="00FD17DC">
              <w:rPr>
                <w:rFonts w:eastAsia="MS Mincho"/>
              </w:rPr>
              <w:t xml:space="preserve">Tønnesen </w:t>
            </w:r>
            <w:r w:rsidR="006C6C9B">
              <w:rPr>
                <w:rFonts w:eastAsia="MS Mincho"/>
              </w:rPr>
              <w:t>(</w:t>
            </w:r>
            <w:r w:rsidRPr="00FD17DC">
              <w:rPr>
                <w:rFonts w:eastAsia="MS Mincho"/>
              </w:rPr>
              <w:t>2000</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E065D6" w:rsidP="00A71365">
            <w:pPr>
              <w:pStyle w:val="Tablewriting"/>
              <w:rPr>
                <w:rFonts w:eastAsia="MS Mincho" w:cstheme="minorHAnsi"/>
              </w:rPr>
            </w:pPr>
            <w:r w:rsidRPr="00E065D6">
              <w:rPr>
                <w:rFonts w:eastAsia="MS Mincho" w:cstheme="minorHAnsi"/>
              </w:rPr>
              <w:t>Denmark</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E065D6">
              <w:rPr>
                <w:rFonts w:eastAsia="MS Mincho" w:cstheme="minorHAnsi"/>
              </w:rPr>
              <w:t>446</w:t>
            </w:r>
          </w:p>
        </w:tc>
        <w:tc>
          <w:tcPr>
            <w:tcW w:w="1046" w:type="pct"/>
          </w:tcPr>
          <w:p w:rsidR="009042AA" w:rsidRPr="00017AE6" w:rsidRDefault="00E065D6" w:rsidP="00A71365">
            <w:pPr>
              <w:pStyle w:val="Tablewriting"/>
              <w:rPr>
                <w:rFonts w:eastAsia="MS Mincho" w:cstheme="minorHAnsi"/>
              </w:rPr>
            </w:pPr>
            <w:r>
              <w:rPr>
                <w:rFonts w:eastAsia="MS Mincho" w:cstheme="minorHAnsi"/>
              </w:rPr>
              <w:t>S</w:t>
            </w:r>
            <w:r w:rsidRPr="00E065D6">
              <w:rPr>
                <w:rFonts w:eastAsia="MS Mincho" w:cstheme="minorHAnsi"/>
              </w:rPr>
              <w:t>mokers</w:t>
            </w:r>
            <w:r w:rsidR="00D0632A">
              <w:t xml:space="preserve"> </w:t>
            </w:r>
            <w:r w:rsidR="00D0632A" w:rsidRPr="00D0632A">
              <w:rPr>
                <w:rFonts w:eastAsia="MS Mincho" w:cstheme="minorHAnsi"/>
              </w:rPr>
              <w:t>≥</w:t>
            </w:r>
            <w:r w:rsidR="00D0632A">
              <w:rPr>
                <w:rFonts w:eastAsia="MS Mincho" w:cstheme="minorHAnsi"/>
              </w:rPr>
              <w:t xml:space="preserve"> </w:t>
            </w:r>
            <w:r w:rsidRPr="00E065D6">
              <w:rPr>
                <w:rFonts w:eastAsia="MS Mincho" w:cstheme="minorHAnsi"/>
              </w:rPr>
              <w:t xml:space="preserve">10 </w:t>
            </w:r>
            <w:r w:rsidR="00D0632A">
              <w:rPr>
                <w:rFonts w:eastAsia="MS Mincho" w:cstheme="minorHAnsi"/>
              </w:rPr>
              <w:t xml:space="preserve">CPD, </w:t>
            </w:r>
            <w:r w:rsidRPr="00E065D6">
              <w:rPr>
                <w:rFonts w:eastAsia="MS Mincho" w:cstheme="minorHAnsi"/>
              </w:rPr>
              <w:t xml:space="preserve">52% female, average age 49, average </w:t>
            </w:r>
            <w:r w:rsidR="00D0632A">
              <w:rPr>
                <w:rFonts w:eastAsia="MS Mincho" w:cstheme="minorHAnsi"/>
              </w:rPr>
              <w:t xml:space="preserve">CPD </w:t>
            </w:r>
            <w:r w:rsidRPr="00E065D6">
              <w:rPr>
                <w:rFonts w:eastAsia="MS Mincho" w:cstheme="minorHAnsi"/>
              </w:rPr>
              <w:t>18</w:t>
            </w:r>
            <w:r w:rsidR="008B7613">
              <w:rPr>
                <w:rFonts w:eastAsia="MS Mincho" w:cstheme="minorHAnsi"/>
              </w:rPr>
              <w:t>.</w:t>
            </w:r>
          </w:p>
        </w:tc>
        <w:tc>
          <w:tcPr>
            <w:tcW w:w="1056" w:type="pct"/>
          </w:tcPr>
          <w:p w:rsidR="00C80B7A" w:rsidRDefault="008B7613" w:rsidP="00C324F3">
            <w:pPr>
              <w:pStyle w:val="Tablewriting"/>
              <w:numPr>
                <w:ilvl w:val="0"/>
                <w:numId w:val="115"/>
              </w:numPr>
              <w:rPr>
                <w:rFonts w:eastAsia="MS Mincho" w:cstheme="minorHAnsi"/>
              </w:rPr>
            </w:pPr>
            <w:r w:rsidRPr="008B7613">
              <w:rPr>
                <w:rFonts w:eastAsia="MS Mincho" w:cstheme="minorHAnsi"/>
              </w:rPr>
              <w:t>5 mg nicotine patch (placebo)</w:t>
            </w:r>
            <w:r w:rsidR="00C80B7A">
              <w:rPr>
                <w:rFonts w:eastAsia="MS Mincho" w:cstheme="minorHAnsi"/>
              </w:rPr>
              <w:t>.</w:t>
            </w:r>
          </w:p>
          <w:p w:rsidR="00C80B7A" w:rsidRDefault="008B7613" w:rsidP="00C324F3">
            <w:pPr>
              <w:pStyle w:val="Tablewriting"/>
              <w:numPr>
                <w:ilvl w:val="0"/>
                <w:numId w:val="115"/>
              </w:numPr>
              <w:rPr>
                <w:rFonts w:eastAsia="MS Mincho" w:cstheme="minorHAnsi"/>
              </w:rPr>
            </w:pPr>
            <w:r w:rsidRPr="00C80B7A">
              <w:rPr>
                <w:rFonts w:eastAsia="MS Mincho" w:cstheme="minorHAnsi"/>
              </w:rPr>
              <w:t>15 mg (16 h) nicotine patch for 12 weeks (up to 9 months on request)</w:t>
            </w:r>
            <w:r w:rsidR="00C80B7A">
              <w:rPr>
                <w:rFonts w:eastAsia="MS Mincho" w:cstheme="minorHAnsi"/>
              </w:rPr>
              <w:t>.</w:t>
            </w:r>
          </w:p>
          <w:p w:rsidR="00C80B7A" w:rsidRDefault="008B7613" w:rsidP="00C324F3">
            <w:pPr>
              <w:pStyle w:val="Tablewriting"/>
              <w:numPr>
                <w:ilvl w:val="0"/>
                <w:numId w:val="115"/>
              </w:numPr>
              <w:rPr>
                <w:rFonts w:eastAsia="MS Mincho" w:cstheme="minorHAnsi"/>
              </w:rPr>
            </w:pPr>
            <w:r w:rsidRPr="00C80B7A">
              <w:rPr>
                <w:rFonts w:eastAsia="MS Mincho" w:cstheme="minorHAnsi"/>
              </w:rPr>
              <w:t>Nicotine inhaler (4 to 12/day ad lib)</w:t>
            </w:r>
            <w:r w:rsidR="00C80B7A">
              <w:rPr>
                <w:rFonts w:eastAsia="MS Mincho" w:cstheme="minorHAnsi"/>
              </w:rPr>
              <w:t>.</w:t>
            </w:r>
          </w:p>
          <w:p w:rsidR="008B7613" w:rsidRPr="00C80B7A" w:rsidRDefault="008B7613" w:rsidP="00C324F3">
            <w:pPr>
              <w:pStyle w:val="Tablewriting"/>
              <w:numPr>
                <w:ilvl w:val="0"/>
                <w:numId w:val="115"/>
              </w:numPr>
              <w:rPr>
                <w:rFonts w:eastAsia="MS Mincho" w:cstheme="minorHAnsi"/>
              </w:rPr>
            </w:pPr>
            <w:r w:rsidRPr="00C80B7A">
              <w:rPr>
                <w:rFonts w:eastAsia="MS Mincho" w:cstheme="minorHAnsi"/>
              </w:rPr>
              <w:t>Combination, 15 mg patch and inhaler</w:t>
            </w:r>
          </w:p>
          <w:p w:rsidR="00C80B7A" w:rsidRDefault="00C80B7A" w:rsidP="00A71365">
            <w:pPr>
              <w:pStyle w:val="Tablewriting"/>
              <w:rPr>
                <w:rFonts w:eastAsia="MS Mincho" w:cstheme="minorHAnsi"/>
              </w:rPr>
            </w:pPr>
          </w:p>
          <w:p w:rsidR="008B7613" w:rsidRPr="008B7613" w:rsidRDefault="008B7613" w:rsidP="00A71365">
            <w:pPr>
              <w:pStyle w:val="Tablewriting"/>
              <w:rPr>
                <w:rFonts w:eastAsia="MS Mincho" w:cstheme="minorHAnsi"/>
              </w:rPr>
            </w:pPr>
            <w:r w:rsidRPr="008B7613">
              <w:rPr>
                <w:rFonts w:eastAsia="MS Mincho" w:cstheme="minorHAnsi"/>
              </w:rPr>
              <w:t>Level of support: high (Physician advice at baseline, brief (15 minute) nurse counselling at 2, 6 weeks,</w:t>
            </w:r>
          </w:p>
          <w:p w:rsidR="009042AA" w:rsidRPr="00017AE6" w:rsidRDefault="008B7613" w:rsidP="00A71365">
            <w:pPr>
              <w:pStyle w:val="Tablewriting"/>
              <w:rPr>
                <w:rFonts w:eastAsia="MS Mincho" w:cstheme="minorHAnsi"/>
              </w:rPr>
            </w:pPr>
            <w:r w:rsidRPr="008B7613">
              <w:rPr>
                <w:rFonts w:eastAsia="MS Mincho" w:cstheme="minorHAnsi"/>
              </w:rPr>
              <w:t>3, 6, 9, 12 months)</w:t>
            </w:r>
            <w:r w:rsidR="00C80B7A">
              <w:rPr>
                <w:rFonts w:eastAsia="MS Mincho" w:cstheme="minorHAnsi"/>
              </w:rPr>
              <w:t>.</w:t>
            </w:r>
          </w:p>
        </w:tc>
        <w:tc>
          <w:tcPr>
            <w:tcW w:w="959" w:type="pct"/>
          </w:tcPr>
          <w:p w:rsidR="00C80B7A" w:rsidRDefault="001173B2" w:rsidP="00A71365">
            <w:pPr>
              <w:pStyle w:val="Tablewriting"/>
              <w:rPr>
                <w:rFonts w:eastAsia="MS Mincho" w:cstheme="minorHAnsi"/>
              </w:rPr>
            </w:pPr>
            <w:r w:rsidRPr="009B13E2">
              <w:rPr>
                <w:rFonts w:eastAsia="MS Mincho" w:cstheme="minorHAnsi"/>
                <w:u w:val="single"/>
              </w:rPr>
              <w:t>Efficacy:</w:t>
            </w:r>
            <w:r w:rsidR="00626E48">
              <w:rPr>
                <w:rFonts w:eastAsia="MS Mincho" w:cstheme="minorHAnsi"/>
                <w:u w:val="single"/>
              </w:rPr>
              <w:t xml:space="preserve"> </w:t>
            </w:r>
            <w:r w:rsidR="00C80B7A" w:rsidRPr="00C80B7A">
              <w:rPr>
                <w:rFonts w:eastAsia="MS Mincho" w:cstheme="minorHAnsi"/>
              </w:rPr>
              <w:t>Sustained abstinence at 12 months, (from week 2, paper also reports PP and with-slips rates)</w:t>
            </w:r>
            <w:r w:rsidR="00B920FC">
              <w:rPr>
                <w:rFonts w:eastAsia="MS Mincho" w:cstheme="minorHAnsi"/>
              </w:rPr>
              <w:t>.</w:t>
            </w:r>
          </w:p>
          <w:p w:rsidR="00B920FC" w:rsidRPr="00626E48" w:rsidRDefault="00B920FC" w:rsidP="00A71365">
            <w:pPr>
              <w:pStyle w:val="Tablewriting"/>
              <w:rPr>
                <w:rFonts w:eastAsia="MS Mincho" w:cstheme="minorHAnsi"/>
                <w:u w:val="single"/>
              </w:rPr>
            </w:pPr>
          </w:p>
          <w:p w:rsidR="001173B2" w:rsidRDefault="00C80B7A" w:rsidP="00A71365">
            <w:pPr>
              <w:pStyle w:val="Tablewriting"/>
              <w:rPr>
                <w:rFonts w:eastAsia="MS Mincho" w:cstheme="minorHAnsi"/>
              </w:rPr>
            </w:pPr>
            <w:r w:rsidRPr="00C80B7A">
              <w:rPr>
                <w:rFonts w:eastAsia="MS Mincho" w:cstheme="minorHAnsi"/>
              </w:rPr>
              <w:t>Validation: CO &lt; 10 ppm at all visits</w:t>
            </w:r>
          </w:p>
          <w:p w:rsidR="00C26B02" w:rsidRDefault="00C26B02" w:rsidP="00A71365">
            <w:pPr>
              <w:pStyle w:val="Tablewriting"/>
              <w:rPr>
                <w:rFonts w:eastAsia="MS Mincho" w:cstheme="minorHAnsi"/>
                <w:u w:val="single"/>
              </w:rPr>
            </w:pPr>
          </w:p>
          <w:p w:rsidR="009042AA" w:rsidRPr="00017AE6" w:rsidRDefault="001173B2" w:rsidP="00A71365">
            <w:pPr>
              <w:pStyle w:val="Tablewriting"/>
              <w:rPr>
                <w:rFonts w:eastAsia="MS Mincho" w:cstheme="minorHAnsi"/>
              </w:rPr>
            </w:pPr>
            <w:r w:rsidRPr="009B13E2">
              <w:rPr>
                <w:rFonts w:eastAsia="MS Mincho" w:cstheme="minorHAnsi"/>
                <w:u w:val="single"/>
              </w:rPr>
              <w:t>Safety:</w:t>
            </w:r>
            <w:r w:rsidR="00C26B02" w:rsidRPr="001665F6">
              <w:rPr>
                <w:rFonts w:eastAsia="MS Mincho" w:cstheme="minorHAnsi"/>
              </w:rPr>
              <w:t xml:space="preserve"> NR</w:t>
            </w:r>
          </w:p>
        </w:tc>
      </w:tr>
      <w:tr w:rsidR="009042AA" w:rsidRPr="00017AE6" w:rsidTr="005012C6">
        <w:trPr>
          <w:trHeight w:val="99"/>
        </w:trPr>
        <w:tc>
          <w:tcPr>
            <w:tcW w:w="1004" w:type="pct"/>
          </w:tcPr>
          <w:p w:rsidR="009042AA" w:rsidRPr="00FD17DC" w:rsidRDefault="00FD17DC" w:rsidP="00A71365">
            <w:pPr>
              <w:pStyle w:val="Tablewriting"/>
              <w:rPr>
                <w:rFonts w:eastAsia="MS Mincho"/>
              </w:rPr>
            </w:pPr>
            <w:r w:rsidRPr="00FD17DC">
              <w:rPr>
                <w:rFonts w:eastAsia="MS Mincho"/>
              </w:rPr>
              <w:t xml:space="preserve">Ward </w:t>
            </w:r>
            <w:r w:rsidR="006C6C9B">
              <w:rPr>
                <w:rFonts w:eastAsia="MS Mincho"/>
              </w:rPr>
              <w:t>(</w:t>
            </w:r>
            <w:r w:rsidRPr="00FD17DC">
              <w:rPr>
                <w:rFonts w:eastAsia="MS Mincho"/>
              </w:rPr>
              <w:t>2013</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D70991" w:rsidP="00A71365">
            <w:pPr>
              <w:pStyle w:val="Tablewriting"/>
              <w:rPr>
                <w:rFonts w:eastAsia="MS Mincho" w:cstheme="minorHAnsi"/>
              </w:rPr>
            </w:pPr>
            <w:r w:rsidRPr="00D70991">
              <w:rPr>
                <w:rFonts w:eastAsia="MS Mincho" w:cstheme="minorHAnsi"/>
              </w:rPr>
              <w:t>Syria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342D32">
              <w:rPr>
                <w:rFonts w:eastAsia="MS Mincho" w:cstheme="minorHAnsi"/>
              </w:rPr>
              <w:t>269</w:t>
            </w:r>
          </w:p>
        </w:tc>
        <w:tc>
          <w:tcPr>
            <w:tcW w:w="1046" w:type="pct"/>
          </w:tcPr>
          <w:p w:rsidR="007B5CBB" w:rsidRPr="007B5CBB" w:rsidRDefault="007B5CBB" w:rsidP="00A71365">
            <w:pPr>
              <w:pStyle w:val="Tablewriting"/>
              <w:rPr>
                <w:rFonts w:eastAsia="MS Mincho" w:cstheme="minorHAnsi"/>
              </w:rPr>
            </w:pPr>
            <w:r>
              <w:rPr>
                <w:rFonts w:eastAsia="MS Mincho" w:cstheme="minorHAnsi"/>
              </w:rPr>
              <w:t>S</w:t>
            </w:r>
            <w:r w:rsidRPr="007B5CBB">
              <w:rPr>
                <w:rFonts w:eastAsia="MS Mincho" w:cstheme="minorHAnsi"/>
              </w:rPr>
              <w:t xml:space="preserve">mokers (f 5 </w:t>
            </w:r>
            <w:r>
              <w:rPr>
                <w:rFonts w:eastAsia="MS Mincho" w:cstheme="minorHAnsi"/>
              </w:rPr>
              <w:t>CPD</w:t>
            </w:r>
            <w:r w:rsidRPr="007B5CBB">
              <w:rPr>
                <w:rFonts w:eastAsia="MS Mincho" w:cstheme="minorHAnsi"/>
              </w:rPr>
              <w:t xml:space="preserve"> &gt; 1 year)</w:t>
            </w:r>
          </w:p>
          <w:p w:rsidR="009042AA" w:rsidRPr="00017AE6" w:rsidRDefault="007B5CBB" w:rsidP="00A71365">
            <w:pPr>
              <w:pStyle w:val="Tablewriting"/>
              <w:rPr>
                <w:rFonts w:eastAsia="MS Mincho" w:cstheme="minorHAnsi"/>
              </w:rPr>
            </w:pPr>
            <w:r w:rsidRPr="007B5CBB">
              <w:rPr>
                <w:rFonts w:eastAsia="MS Mincho" w:cstheme="minorHAnsi"/>
              </w:rPr>
              <w:t xml:space="preserve">22% female, average age 40, average </w:t>
            </w:r>
            <w:r>
              <w:rPr>
                <w:rFonts w:eastAsia="MS Mincho" w:cstheme="minorHAnsi"/>
              </w:rPr>
              <w:t>CPD</w:t>
            </w:r>
            <w:r w:rsidRPr="007B5CBB">
              <w:rPr>
                <w:rFonts w:eastAsia="MS Mincho" w:cstheme="minorHAnsi"/>
              </w:rPr>
              <w:t xml:space="preserve"> 28, mean FTND 5.8</w:t>
            </w:r>
            <w:r>
              <w:rPr>
                <w:rFonts w:eastAsia="MS Mincho" w:cstheme="minorHAnsi"/>
              </w:rPr>
              <w:t>.</w:t>
            </w:r>
          </w:p>
        </w:tc>
        <w:tc>
          <w:tcPr>
            <w:tcW w:w="1056" w:type="pct"/>
          </w:tcPr>
          <w:p w:rsidR="00A2375D" w:rsidRDefault="00BA54B8" w:rsidP="00C324F3">
            <w:pPr>
              <w:pStyle w:val="Tablewriting"/>
              <w:numPr>
                <w:ilvl w:val="0"/>
                <w:numId w:val="116"/>
              </w:numPr>
              <w:rPr>
                <w:rFonts w:eastAsia="MS Mincho" w:cstheme="minorHAnsi"/>
              </w:rPr>
            </w:pPr>
            <w:r w:rsidRPr="00BA54B8">
              <w:rPr>
                <w:rFonts w:eastAsia="MS Mincho" w:cstheme="minorHAnsi"/>
              </w:rPr>
              <w:t xml:space="preserve">Nicotine patch, 24 h for 6 weeks. Participants who smoked f 10 </w:t>
            </w:r>
            <w:r w:rsidR="00121FD5">
              <w:rPr>
                <w:rFonts w:eastAsia="MS Mincho" w:cstheme="minorHAnsi"/>
              </w:rPr>
              <w:t>CPD</w:t>
            </w:r>
            <w:r w:rsidRPr="00BA54B8">
              <w:rPr>
                <w:rFonts w:eastAsia="MS Mincho" w:cstheme="minorHAnsi"/>
              </w:rPr>
              <w:t xml:space="preserve"> given 2 weeks at 21 mg, 2 weeks</w:t>
            </w:r>
            <w:r w:rsidR="00121FD5">
              <w:rPr>
                <w:rFonts w:eastAsia="MS Mincho" w:cstheme="minorHAnsi"/>
              </w:rPr>
              <w:t xml:space="preserve"> </w:t>
            </w:r>
            <w:r w:rsidRPr="00121FD5">
              <w:rPr>
                <w:rFonts w:eastAsia="MS Mincho" w:cstheme="minorHAnsi"/>
              </w:rPr>
              <w:t xml:space="preserve">14 mg, 2 weeks 7 mg. Participants </w:t>
            </w:r>
            <w:r w:rsidRPr="00121FD5">
              <w:rPr>
                <w:rFonts w:eastAsia="MS Mincho" w:cstheme="minorHAnsi"/>
              </w:rPr>
              <w:lastRenderedPageBreak/>
              <w:t xml:space="preserve">who smoked 5 to 9 </w:t>
            </w:r>
            <w:r w:rsidR="00121FD5">
              <w:rPr>
                <w:rFonts w:eastAsia="MS Mincho" w:cstheme="minorHAnsi"/>
              </w:rPr>
              <w:t>CPD</w:t>
            </w:r>
            <w:r w:rsidRPr="00121FD5">
              <w:rPr>
                <w:rFonts w:eastAsia="MS Mincho" w:cstheme="minorHAnsi"/>
              </w:rPr>
              <w:t xml:space="preserve"> given 4 weeks 14 mg, 2 weeks 7 mg</w:t>
            </w:r>
            <w:r w:rsidR="00121FD5" w:rsidRPr="00121FD5">
              <w:rPr>
                <w:rFonts w:eastAsia="MS Mincho" w:cstheme="minorHAnsi"/>
              </w:rPr>
              <w:t>.</w:t>
            </w:r>
          </w:p>
          <w:p w:rsidR="00BA54B8" w:rsidRDefault="00BA54B8" w:rsidP="00C324F3">
            <w:pPr>
              <w:pStyle w:val="Tablewriting"/>
              <w:numPr>
                <w:ilvl w:val="0"/>
                <w:numId w:val="116"/>
              </w:numPr>
              <w:rPr>
                <w:rFonts w:eastAsia="MS Mincho" w:cstheme="minorHAnsi"/>
              </w:rPr>
            </w:pPr>
            <w:r w:rsidRPr="00A2375D">
              <w:rPr>
                <w:rFonts w:eastAsia="MS Mincho" w:cstheme="minorHAnsi"/>
              </w:rPr>
              <w:t>Placebo on same schedule</w:t>
            </w:r>
            <w:r w:rsidR="00A2375D">
              <w:rPr>
                <w:rFonts w:eastAsia="MS Mincho" w:cstheme="minorHAnsi"/>
              </w:rPr>
              <w:t>.</w:t>
            </w:r>
          </w:p>
          <w:p w:rsidR="00A2375D" w:rsidRPr="00A2375D" w:rsidRDefault="00A2375D" w:rsidP="00A71365">
            <w:pPr>
              <w:pStyle w:val="Tablewriting"/>
              <w:ind w:left="360"/>
              <w:rPr>
                <w:rFonts w:eastAsia="MS Mincho" w:cstheme="minorHAnsi"/>
              </w:rPr>
            </w:pPr>
          </w:p>
          <w:p w:rsidR="00BA54B8" w:rsidRPr="00BA54B8" w:rsidRDefault="00BA54B8" w:rsidP="00A71365">
            <w:pPr>
              <w:pStyle w:val="Tablewriting"/>
              <w:rPr>
                <w:rFonts w:eastAsia="MS Mincho" w:cstheme="minorHAnsi"/>
              </w:rPr>
            </w:pPr>
            <w:r w:rsidRPr="00BA54B8">
              <w:rPr>
                <w:rFonts w:eastAsia="MS Mincho" w:cstheme="minorHAnsi"/>
              </w:rPr>
              <w:t>Level of support: high (3 x 30 mins individual face-to-face counselling plus 5 x 10-min phone calls, from</w:t>
            </w:r>
          </w:p>
          <w:p w:rsidR="009042AA" w:rsidRPr="00017AE6" w:rsidRDefault="00BA54B8" w:rsidP="00A71365">
            <w:pPr>
              <w:pStyle w:val="Tablewriting"/>
              <w:rPr>
                <w:rFonts w:eastAsia="MS Mincho" w:cstheme="minorHAnsi"/>
              </w:rPr>
            </w:pPr>
            <w:r w:rsidRPr="00BA54B8">
              <w:rPr>
                <w:rFonts w:eastAsia="MS Mincho" w:cstheme="minorHAnsi"/>
              </w:rPr>
              <w:t>4 days prior to TQD to 45 days post-TQD)</w:t>
            </w:r>
            <w:r w:rsidR="00A2375D">
              <w:rPr>
                <w:rFonts w:eastAsia="MS Mincho" w:cstheme="minorHAnsi"/>
              </w:rPr>
              <w:t>.</w:t>
            </w:r>
          </w:p>
        </w:tc>
        <w:tc>
          <w:tcPr>
            <w:tcW w:w="959" w:type="pct"/>
          </w:tcPr>
          <w:p w:rsidR="00A2375D" w:rsidRDefault="001173B2" w:rsidP="00A71365">
            <w:pPr>
              <w:pStyle w:val="Tablewriting"/>
              <w:rPr>
                <w:rFonts w:eastAsia="MS Mincho" w:cstheme="minorHAnsi"/>
              </w:rPr>
            </w:pPr>
            <w:r w:rsidRPr="009B13E2">
              <w:rPr>
                <w:rFonts w:eastAsia="MS Mincho" w:cstheme="minorHAnsi"/>
                <w:u w:val="single"/>
              </w:rPr>
              <w:lastRenderedPageBreak/>
              <w:t>Efficacy:</w:t>
            </w:r>
            <w:r w:rsidR="00A2375D">
              <w:t xml:space="preserve"> </w:t>
            </w:r>
            <w:r w:rsidR="00A2375D" w:rsidRPr="00961D8E">
              <w:rPr>
                <w:rFonts w:eastAsia="MS Mincho" w:cstheme="minorHAnsi"/>
              </w:rPr>
              <w:t>Prolonged abstinence at 12 months</w:t>
            </w:r>
            <w:r w:rsidR="00961D8E">
              <w:rPr>
                <w:rFonts w:eastAsia="MS Mincho" w:cstheme="minorHAnsi"/>
              </w:rPr>
              <w:t>.</w:t>
            </w:r>
          </w:p>
          <w:p w:rsidR="00961D8E" w:rsidRPr="00961D8E" w:rsidRDefault="00961D8E" w:rsidP="00A71365">
            <w:pPr>
              <w:pStyle w:val="Tablewriting"/>
              <w:rPr>
                <w:rFonts w:eastAsia="MS Mincho" w:cstheme="minorHAnsi"/>
              </w:rPr>
            </w:pPr>
          </w:p>
          <w:p w:rsidR="001173B2" w:rsidRPr="00961D8E" w:rsidRDefault="00A2375D" w:rsidP="00A71365">
            <w:pPr>
              <w:pStyle w:val="Tablewriting"/>
              <w:rPr>
                <w:rFonts w:eastAsia="MS Mincho" w:cstheme="minorHAnsi"/>
              </w:rPr>
            </w:pPr>
            <w:r w:rsidRPr="00961D8E">
              <w:rPr>
                <w:rFonts w:eastAsia="MS Mincho" w:cstheme="minorHAnsi"/>
              </w:rPr>
              <w:t>Validation: CO &lt; 10 ppm</w:t>
            </w:r>
            <w:r w:rsidR="00961D8E">
              <w:rPr>
                <w:rFonts w:eastAsia="MS Mincho" w:cstheme="minorHAnsi"/>
              </w:rPr>
              <w:t>.</w:t>
            </w:r>
          </w:p>
          <w:p w:rsidR="001173B2" w:rsidRDefault="001173B2" w:rsidP="00A71365">
            <w:pPr>
              <w:pStyle w:val="Tablewriting"/>
              <w:rPr>
                <w:rFonts w:eastAsia="MS Mincho" w:cstheme="minorHAnsi"/>
              </w:rPr>
            </w:pPr>
          </w:p>
          <w:p w:rsidR="009042AA" w:rsidRPr="00017AE6" w:rsidRDefault="001173B2" w:rsidP="00A71365">
            <w:pPr>
              <w:pStyle w:val="Tablewriting"/>
              <w:rPr>
                <w:rFonts w:eastAsia="MS Mincho" w:cstheme="minorHAnsi"/>
              </w:rPr>
            </w:pPr>
            <w:r w:rsidRPr="009B13E2">
              <w:rPr>
                <w:rFonts w:eastAsia="MS Mincho" w:cstheme="minorHAnsi"/>
                <w:u w:val="single"/>
              </w:rPr>
              <w:lastRenderedPageBreak/>
              <w:t>Safety:</w:t>
            </w:r>
            <w:r w:rsidR="001F7032" w:rsidRPr="001665F6">
              <w:rPr>
                <w:rFonts w:eastAsia="MS Mincho" w:cstheme="minorHAnsi"/>
              </w:rPr>
              <w:t xml:space="preserve"> NR</w:t>
            </w:r>
          </w:p>
        </w:tc>
      </w:tr>
      <w:tr w:rsidR="009042AA" w:rsidRPr="00017AE6" w:rsidTr="005012C6">
        <w:trPr>
          <w:trHeight w:val="99"/>
        </w:trPr>
        <w:tc>
          <w:tcPr>
            <w:tcW w:w="1004" w:type="pct"/>
          </w:tcPr>
          <w:p w:rsidR="009042AA" w:rsidRPr="00FD17DC" w:rsidRDefault="00FD17DC" w:rsidP="00A71365">
            <w:pPr>
              <w:pStyle w:val="Tablewriting"/>
              <w:rPr>
                <w:rFonts w:eastAsia="MS Mincho"/>
              </w:rPr>
            </w:pPr>
            <w:r w:rsidRPr="00FD17DC">
              <w:rPr>
                <w:rFonts w:eastAsia="MS Mincho"/>
              </w:rPr>
              <w:lastRenderedPageBreak/>
              <w:t xml:space="preserve">Wisborg </w:t>
            </w:r>
            <w:r w:rsidR="006C6C9B">
              <w:rPr>
                <w:rFonts w:eastAsia="MS Mincho"/>
              </w:rPr>
              <w:t>(</w:t>
            </w:r>
            <w:r w:rsidRPr="00FD17DC">
              <w:rPr>
                <w:rFonts w:eastAsia="MS Mincho"/>
              </w:rPr>
              <w:t>2000</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DF7BED" w:rsidP="00A71365">
            <w:pPr>
              <w:pStyle w:val="Tablewriting"/>
              <w:rPr>
                <w:rFonts w:eastAsia="MS Mincho" w:cstheme="minorHAnsi"/>
              </w:rPr>
            </w:pPr>
            <w:r w:rsidRPr="00DF7BED">
              <w:rPr>
                <w:rFonts w:eastAsia="MS Mincho" w:cstheme="minorHAnsi"/>
              </w:rPr>
              <w:t>Denmark</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DF7BED">
              <w:rPr>
                <w:rFonts w:eastAsia="MS Mincho" w:cstheme="minorHAnsi"/>
              </w:rPr>
              <w:t>250</w:t>
            </w:r>
          </w:p>
        </w:tc>
        <w:tc>
          <w:tcPr>
            <w:tcW w:w="1046" w:type="pct"/>
          </w:tcPr>
          <w:p w:rsidR="00DF7BED" w:rsidRPr="00DF7BED" w:rsidRDefault="0069386D" w:rsidP="00A71365">
            <w:pPr>
              <w:pStyle w:val="Tablewriting"/>
              <w:rPr>
                <w:rFonts w:eastAsia="MS Mincho" w:cstheme="minorHAnsi"/>
              </w:rPr>
            </w:pPr>
            <w:r>
              <w:rPr>
                <w:rFonts w:eastAsia="MS Mincho" w:cstheme="minorHAnsi"/>
              </w:rPr>
              <w:t>P</w:t>
            </w:r>
            <w:r w:rsidR="00DF7BED" w:rsidRPr="00DF7BED">
              <w:rPr>
                <w:rFonts w:eastAsia="MS Mincho" w:cstheme="minorHAnsi"/>
              </w:rPr>
              <w:t>regnant women who continued to smoke after 1st trimester</w:t>
            </w:r>
            <w:r w:rsidR="002C1E5B">
              <w:rPr>
                <w:rFonts w:eastAsia="MS Mincho" w:cstheme="minorHAnsi"/>
              </w:rPr>
              <w:t>.</w:t>
            </w:r>
          </w:p>
          <w:p w:rsidR="009042AA" w:rsidRPr="00017AE6" w:rsidRDefault="00DF7BED" w:rsidP="00A71365">
            <w:pPr>
              <w:pStyle w:val="Tablewriting"/>
              <w:rPr>
                <w:rFonts w:eastAsia="MS Mincho" w:cstheme="minorHAnsi"/>
              </w:rPr>
            </w:pPr>
            <w:r w:rsidRPr="00DF7BED">
              <w:rPr>
                <w:rFonts w:eastAsia="MS Mincho" w:cstheme="minorHAnsi"/>
              </w:rPr>
              <w:t xml:space="preserve">Average age 28, average </w:t>
            </w:r>
            <w:r w:rsidR="0069386D">
              <w:rPr>
                <w:rFonts w:eastAsia="MS Mincho" w:cstheme="minorHAnsi"/>
              </w:rPr>
              <w:t>CPD</w:t>
            </w:r>
            <w:r w:rsidRPr="00DF7BED">
              <w:rPr>
                <w:rFonts w:eastAsia="MS Mincho" w:cstheme="minorHAnsi"/>
              </w:rPr>
              <w:t xml:space="preserve"> 14</w:t>
            </w:r>
            <w:r w:rsidR="0069386D">
              <w:rPr>
                <w:rFonts w:eastAsia="MS Mincho" w:cstheme="minorHAnsi"/>
              </w:rPr>
              <w:t xml:space="preserve">, </w:t>
            </w:r>
            <w:r w:rsidRPr="00DF7BED">
              <w:rPr>
                <w:rFonts w:eastAsia="MS Mincho" w:cstheme="minorHAnsi"/>
              </w:rPr>
              <w:t>43% primiparous</w:t>
            </w:r>
            <w:r w:rsidR="0069386D">
              <w:rPr>
                <w:rFonts w:eastAsia="MS Mincho" w:cstheme="minorHAnsi"/>
              </w:rPr>
              <w:t>.</w:t>
            </w:r>
          </w:p>
        </w:tc>
        <w:tc>
          <w:tcPr>
            <w:tcW w:w="1056" w:type="pct"/>
          </w:tcPr>
          <w:p w:rsidR="00F838CC" w:rsidRDefault="002C1E5B" w:rsidP="00C324F3">
            <w:pPr>
              <w:pStyle w:val="Tablewriting"/>
              <w:numPr>
                <w:ilvl w:val="0"/>
                <w:numId w:val="117"/>
              </w:numPr>
              <w:rPr>
                <w:rFonts w:eastAsia="MS Mincho" w:cstheme="minorHAnsi"/>
              </w:rPr>
            </w:pPr>
            <w:r w:rsidRPr="002C1E5B">
              <w:rPr>
                <w:rFonts w:eastAsia="MS Mincho" w:cstheme="minorHAnsi"/>
              </w:rPr>
              <w:t>Nicotine patch (15 mg/16 h, tapering to 10 mg, 11 weeks total)</w:t>
            </w:r>
            <w:r w:rsidR="00F838CC">
              <w:rPr>
                <w:rFonts w:eastAsia="MS Mincho" w:cstheme="minorHAnsi"/>
              </w:rPr>
              <w:t>.</w:t>
            </w:r>
          </w:p>
          <w:p w:rsidR="002C1E5B" w:rsidRPr="00F838CC" w:rsidRDefault="002C1E5B" w:rsidP="00C324F3">
            <w:pPr>
              <w:pStyle w:val="Tablewriting"/>
              <w:numPr>
                <w:ilvl w:val="0"/>
                <w:numId w:val="117"/>
              </w:numPr>
              <w:rPr>
                <w:rFonts w:eastAsia="MS Mincho" w:cstheme="minorHAnsi"/>
              </w:rPr>
            </w:pPr>
            <w:r w:rsidRPr="00F838CC">
              <w:rPr>
                <w:rFonts w:eastAsia="MS Mincho" w:cstheme="minorHAnsi"/>
              </w:rPr>
              <w:t>Placebo patch</w:t>
            </w:r>
            <w:r w:rsidR="00317F6A">
              <w:rPr>
                <w:rFonts w:eastAsia="MS Mincho" w:cstheme="minorHAnsi"/>
              </w:rPr>
              <w:t>.</w:t>
            </w:r>
          </w:p>
          <w:p w:rsidR="00317F6A" w:rsidRDefault="00317F6A" w:rsidP="00A71365">
            <w:pPr>
              <w:pStyle w:val="Tablewriting"/>
              <w:rPr>
                <w:rFonts w:eastAsia="MS Mincho" w:cstheme="minorHAnsi"/>
              </w:rPr>
            </w:pPr>
          </w:p>
          <w:p w:rsidR="009042AA" w:rsidRPr="00017AE6" w:rsidRDefault="002C1E5B" w:rsidP="00A71365">
            <w:pPr>
              <w:pStyle w:val="Tablewriting"/>
              <w:rPr>
                <w:rFonts w:eastAsia="MS Mincho" w:cstheme="minorHAnsi"/>
              </w:rPr>
            </w:pPr>
            <w:r w:rsidRPr="002C1E5B">
              <w:rPr>
                <w:rFonts w:eastAsia="MS Mincho" w:cstheme="minorHAnsi"/>
              </w:rPr>
              <w:t>Level of support: high. 4 x 15- to 20-min sessions of midwife counselling a</w:t>
            </w:r>
            <w:r w:rsidR="00836B64">
              <w:rPr>
                <w:rFonts w:eastAsia="MS Mincho" w:cstheme="minorHAnsi"/>
              </w:rPr>
              <w:t xml:space="preserve">t 0, 4, 11 weeks from enrolment, </w:t>
            </w:r>
            <w:r w:rsidRPr="002C1E5B">
              <w:rPr>
                <w:rFonts w:eastAsia="MS Mincho" w:cstheme="minorHAnsi"/>
              </w:rPr>
              <w:t>and 4 weeks before expected delivery</w:t>
            </w:r>
            <w:r w:rsidR="00317F6A">
              <w:rPr>
                <w:rFonts w:eastAsia="MS Mincho" w:cstheme="minorHAnsi"/>
              </w:rPr>
              <w:t>.</w:t>
            </w:r>
          </w:p>
        </w:tc>
        <w:tc>
          <w:tcPr>
            <w:tcW w:w="959" w:type="pct"/>
          </w:tcPr>
          <w:p w:rsidR="004948CA" w:rsidRPr="004948CA" w:rsidRDefault="001173B2" w:rsidP="00A71365">
            <w:pPr>
              <w:pStyle w:val="Tablewriting"/>
              <w:rPr>
                <w:rFonts w:eastAsia="MS Mincho" w:cstheme="minorHAnsi"/>
              </w:rPr>
            </w:pPr>
            <w:r w:rsidRPr="009B13E2">
              <w:rPr>
                <w:rFonts w:eastAsia="MS Mincho" w:cstheme="minorHAnsi"/>
                <w:u w:val="single"/>
              </w:rPr>
              <w:t>Efficacy:</w:t>
            </w:r>
            <w:r w:rsidR="004948CA">
              <w:rPr>
                <w:rFonts w:eastAsia="MS Mincho" w:cstheme="minorHAnsi"/>
                <w:u w:val="single"/>
              </w:rPr>
              <w:t xml:space="preserve"> </w:t>
            </w:r>
            <w:r w:rsidR="004948CA" w:rsidRPr="004948CA">
              <w:rPr>
                <w:rFonts w:eastAsia="MS Mincho" w:cstheme="minorHAnsi"/>
              </w:rPr>
              <w:t>Abstinence at 4 weeks prior to delivery and at 1</w:t>
            </w:r>
            <w:r w:rsidR="004948CA">
              <w:rPr>
                <w:rFonts w:eastAsia="MS Mincho" w:cstheme="minorHAnsi"/>
              </w:rPr>
              <w:t>-</w:t>
            </w:r>
            <w:r w:rsidR="004948CA" w:rsidRPr="004948CA">
              <w:rPr>
                <w:rFonts w:eastAsia="MS Mincho" w:cstheme="minorHAnsi"/>
              </w:rPr>
              <w:t>year post-partum (telephone interview). (Rates at 3</w:t>
            </w:r>
          </w:p>
          <w:p w:rsidR="004948CA" w:rsidRDefault="004948CA" w:rsidP="00A71365">
            <w:pPr>
              <w:pStyle w:val="Tablewriting"/>
              <w:rPr>
                <w:rFonts w:eastAsia="MS Mincho" w:cstheme="minorHAnsi"/>
              </w:rPr>
            </w:pPr>
            <w:r w:rsidRPr="004948CA">
              <w:rPr>
                <w:rFonts w:eastAsia="MS Mincho" w:cstheme="minorHAnsi"/>
              </w:rPr>
              <w:t>months post-partum also reported)</w:t>
            </w:r>
            <w:r>
              <w:rPr>
                <w:rFonts w:eastAsia="MS Mincho" w:cstheme="minorHAnsi"/>
              </w:rPr>
              <w:t>.</w:t>
            </w:r>
          </w:p>
          <w:p w:rsidR="004948CA" w:rsidRPr="004948CA" w:rsidRDefault="004948CA" w:rsidP="00A71365">
            <w:pPr>
              <w:pStyle w:val="Tablewriting"/>
              <w:rPr>
                <w:rFonts w:eastAsia="MS Mincho" w:cstheme="minorHAnsi"/>
              </w:rPr>
            </w:pPr>
          </w:p>
          <w:p w:rsidR="001173B2" w:rsidRPr="004948CA" w:rsidRDefault="004948CA" w:rsidP="00A71365">
            <w:pPr>
              <w:pStyle w:val="Tablewriting"/>
              <w:rPr>
                <w:rFonts w:eastAsia="MS Mincho" w:cstheme="minorHAnsi"/>
              </w:rPr>
            </w:pPr>
            <w:r w:rsidRPr="004948CA">
              <w:rPr>
                <w:rFonts w:eastAsia="MS Mincho" w:cstheme="minorHAnsi"/>
              </w:rPr>
              <w:t>Validation: Cotinine &lt; 26 ng/ml at 4 weeks pre-delivery visit only</w:t>
            </w:r>
            <w:r>
              <w:rPr>
                <w:rFonts w:eastAsia="MS Mincho" w:cstheme="minorHAnsi"/>
              </w:rPr>
              <w:t>.</w:t>
            </w:r>
          </w:p>
          <w:p w:rsidR="001173B2" w:rsidRDefault="001173B2" w:rsidP="00A71365">
            <w:pPr>
              <w:pStyle w:val="Tablewriting"/>
              <w:rPr>
                <w:rFonts w:eastAsia="MS Mincho" w:cstheme="minorHAnsi"/>
              </w:rPr>
            </w:pPr>
          </w:p>
          <w:p w:rsidR="009042AA" w:rsidRPr="00017AE6" w:rsidRDefault="001173B2" w:rsidP="00A71365">
            <w:pPr>
              <w:pStyle w:val="Tablewriting"/>
              <w:rPr>
                <w:rFonts w:eastAsia="MS Mincho" w:cstheme="minorHAnsi"/>
              </w:rPr>
            </w:pPr>
            <w:r w:rsidRPr="009B13E2">
              <w:rPr>
                <w:rFonts w:eastAsia="MS Mincho" w:cstheme="minorHAnsi"/>
                <w:u w:val="single"/>
              </w:rPr>
              <w:t>Safety:</w:t>
            </w:r>
            <w:r w:rsidR="001F7032" w:rsidRPr="001665F6">
              <w:rPr>
                <w:rFonts w:eastAsia="MS Mincho" w:cstheme="minorHAnsi"/>
              </w:rPr>
              <w:t xml:space="preserve"> NR</w:t>
            </w:r>
          </w:p>
        </w:tc>
      </w:tr>
      <w:tr w:rsidR="009042AA" w:rsidRPr="00017AE6" w:rsidTr="005012C6">
        <w:trPr>
          <w:trHeight w:val="99"/>
        </w:trPr>
        <w:tc>
          <w:tcPr>
            <w:tcW w:w="5000" w:type="pct"/>
            <w:gridSpan w:val="7"/>
            <w:shd w:val="clear" w:color="auto" w:fill="D9D9D9" w:themeFill="background1" w:themeFillShade="D9"/>
          </w:tcPr>
          <w:p w:rsidR="006C4A81" w:rsidRPr="00C23F0B" w:rsidRDefault="006C4A81" w:rsidP="00A71365">
            <w:pPr>
              <w:pStyle w:val="Tablewriting"/>
              <w:rPr>
                <w:rFonts w:eastAsia="MS Mincho"/>
                <w:b/>
              </w:rPr>
            </w:pPr>
            <w:r w:rsidRPr="00C23F0B">
              <w:rPr>
                <w:rFonts w:eastAsia="MS Mincho"/>
                <w:b/>
              </w:rPr>
              <w:t>Sustained 6 months</w:t>
            </w:r>
          </w:p>
        </w:tc>
      </w:tr>
      <w:tr w:rsidR="009042AA" w:rsidRPr="00017AE6" w:rsidTr="005012C6">
        <w:trPr>
          <w:trHeight w:val="99"/>
        </w:trPr>
        <w:tc>
          <w:tcPr>
            <w:tcW w:w="1004" w:type="pct"/>
          </w:tcPr>
          <w:p w:rsidR="009042AA" w:rsidRPr="00FD17DC" w:rsidRDefault="00596123" w:rsidP="00A71365">
            <w:pPr>
              <w:pStyle w:val="Tablewriting"/>
              <w:rPr>
                <w:rFonts w:eastAsia="MS Mincho"/>
              </w:rPr>
            </w:pPr>
            <w:r w:rsidRPr="00156D0F">
              <w:rPr>
                <w:rFonts w:eastAsia="MS Mincho"/>
              </w:rPr>
              <w:t xml:space="preserve">Ahluwalia </w:t>
            </w:r>
            <w:r w:rsidR="006C6C9B">
              <w:rPr>
                <w:rFonts w:eastAsia="MS Mincho"/>
              </w:rPr>
              <w:t>(</w:t>
            </w:r>
            <w:r w:rsidRPr="00156D0F">
              <w:rPr>
                <w:rFonts w:eastAsia="MS Mincho"/>
              </w:rPr>
              <w:t>1998</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156D0F" w:rsidP="00A71365">
            <w:pPr>
              <w:pStyle w:val="Tablewriting"/>
              <w:rPr>
                <w:rFonts w:eastAsia="MS Mincho" w:cstheme="minorHAnsi"/>
              </w:rPr>
            </w:pPr>
            <w:r>
              <w:rPr>
                <w:rFonts w:eastAsia="MS Mincho" w:cstheme="minorHAnsi"/>
              </w:rPr>
              <w:t>USA</w:t>
            </w:r>
          </w:p>
        </w:tc>
        <w:tc>
          <w:tcPr>
            <w:tcW w:w="289" w:type="pct"/>
          </w:tcPr>
          <w:p w:rsidR="009042AA" w:rsidRPr="00017AE6" w:rsidRDefault="00156D0F" w:rsidP="00A71365">
            <w:pPr>
              <w:pStyle w:val="Tablewriting"/>
              <w:rPr>
                <w:rFonts w:eastAsia="MS Mincho" w:cstheme="minorHAnsi"/>
              </w:rPr>
            </w:pPr>
            <w:r>
              <w:rPr>
                <w:rFonts w:eastAsia="MS Mincho" w:cstheme="minorHAnsi"/>
              </w:rPr>
              <w:t>N=410</w:t>
            </w:r>
          </w:p>
        </w:tc>
        <w:tc>
          <w:tcPr>
            <w:tcW w:w="1046" w:type="pct"/>
          </w:tcPr>
          <w:p w:rsidR="00156D0F" w:rsidRPr="00156D0F" w:rsidRDefault="00156D0F" w:rsidP="00A71365">
            <w:pPr>
              <w:pStyle w:val="Tablewriting"/>
              <w:rPr>
                <w:rFonts w:eastAsia="MS Mincho" w:cstheme="minorHAnsi"/>
              </w:rPr>
            </w:pPr>
            <w:r w:rsidRPr="00156D0F">
              <w:rPr>
                <w:rFonts w:eastAsia="MS Mincho" w:cstheme="minorHAnsi"/>
              </w:rPr>
              <w:t>African-American smokers</w:t>
            </w:r>
            <w:r>
              <w:rPr>
                <w:rFonts w:eastAsia="MS Mincho" w:cstheme="minorHAnsi"/>
              </w:rPr>
              <w:t>, a</w:t>
            </w:r>
            <w:r w:rsidRPr="00156D0F">
              <w:rPr>
                <w:rFonts w:eastAsia="MS Mincho" w:cstheme="minorHAnsi"/>
              </w:rPr>
              <w:t>verage age 47, FTND 6</w:t>
            </w:r>
            <w:r>
              <w:rPr>
                <w:rFonts w:eastAsia="MS Mincho" w:cstheme="minorHAnsi"/>
              </w:rPr>
              <w:t>.</w:t>
            </w:r>
          </w:p>
          <w:p w:rsidR="00156D0F" w:rsidRDefault="00156D0F" w:rsidP="00A71365">
            <w:pPr>
              <w:pStyle w:val="Tablewriting"/>
              <w:rPr>
                <w:rFonts w:eastAsia="MS Mincho" w:cstheme="minorHAnsi"/>
              </w:rPr>
            </w:pPr>
          </w:p>
          <w:p w:rsidR="009042AA" w:rsidRPr="00017AE6" w:rsidRDefault="00156D0F" w:rsidP="00A71365">
            <w:pPr>
              <w:pStyle w:val="Tablewriting"/>
              <w:rPr>
                <w:rFonts w:eastAsia="MS Mincho" w:cstheme="minorHAnsi"/>
              </w:rPr>
            </w:pPr>
            <w:r w:rsidRPr="00156D0F">
              <w:rPr>
                <w:rFonts w:eastAsia="MS Mincho" w:cstheme="minorHAnsi"/>
              </w:rPr>
              <w:t>Participants were motivated to quit</w:t>
            </w:r>
            <w:r>
              <w:rPr>
                <w:rFonts w:eastAsia="MS Mincho" w:cstheme="minorHAnsi"/>
              </w:rPr>
              <w:t>.</w:t>
            </w:r>
          </w:p>
        </w:tc>
        <w:tc>
          <w:tcPr>
            <w:tcW w:w="1056" w:type="pct"/>
          </w:tcPr>
          <w:p w:rsidR="009B13E2" w:rsidRDefault="00156D0F" w:rsidP="00C324F3">
            <w:pPr>
              <w:pStyle w:val="Tablewriting"/>
              <w:numPr>
                <w:ilvl w:val="0"/>
                <w:numId w:val="96"/>
              </w:numPr>
              <w:rPr>
                <w:rFonts w:eastAsia="MS Mincho" w:cstheme="minorHAnsi"/>
              </w:rPr>
            </w:pPr>
            <w:r w:rsidRPr="00156D0F">
              <w:rPr>
                <w:rFonts w:eastAsia="MS Mincho" w:cstheme="minorHAnsi"/>
              </w:rPr>
              <w:t>Nicotine patch (21 m</w:t>
            </w:r>
            <w:r w:rsidR="009B13E2">
              <w:rPr>
                <w:rFonts w:eastAsia="MS Mincho" w:cstheme="minorHAnsi"/>
              </w:rPr>
              <w:t xml:space="preserve">g </w:t>
            </w:r>
            <w:r w:rsidRPr="00156D0F">
              <w:rPr>
                <w:rFonts w:eastAsia="MS Mincho" w:cstheme="minorHAnsi"/>
              </w:rPr>
              <w:t>with weaning, 10 weeks)</w:t>
            </w:r>
            <w:r w:rsidR="009B13E2">
              <w:rPr>
                <w:rFonts w:eastAsia="MS Mincho" w:cstheme="minorHAnsi"/>
              </w:rPr>
              <w:t>.</w:t>
            </w:r>
          </w:p>
          <w:p w:rsidR="009042AA" w:rsidRDefault="00156D0F" w:rsidP="00C324F3">
            <w:pPr>
              <w:pStyle w:val="Tablewriting"/>
              <w:numPr>
                <w:ilvl w:val="0"/>
                <w:numId w:val="96"/>
              </w:numPr>
              <w:rPr>
                <w:rFonts w:eastAsia="MS Mincho" w:cstheme="minorHAnsi"/>
              </w:rPr>
            </w:pPr>
            <w:r w:rsidRPr="00156D0F">
              <w:rPr>
                <w:rFonts w:eastAsia="MS Mincho" w:cstheme="minorHAnsi"/>
              </w:rPr>
              <w:t>Placebo patch</w:t>
            </w:r>
            <w:r w:rsidR="009B13E2">
              <w:rPr>
                <w:rFonts w:eastAsia="MS Mincho" w:cstheme="minorHAnsi"/>
              </w:rPr>
              <w:t>.</w:t>
            </w:r>
          </w:p>
          <w:p w:rsidR="009B13E2" w:rsidRDefault="009B13E2" w:rsidP="00A71365">
            <w:pPr>
              <w:pStyle w:val="Tablewriting"/>
              <w:ind w:left="360"/>
              <w:rPr>
                <w:rFonts w:eastAsia="MS Mincho" w:cstheme="minorHAnsi"/>
              </w:rPr>
            </w:pPr>
          </w:p>
          <w:p w:rsidR="009042AA" w:rsidRPr="00017AE6" w:rsidRDefault="009B13E2" w:rsidP="00A71365">
            <w:pPr>
              <w:pStyle w:val="Tablewriting"/>
              <w:rPr>
                <w:rFonts w:eastAsia="MS Mincho" w:cstheme="minorHAnsi"/>
              </w:rPr>
            </w:pPr>
            <w:r w:rsidRPr="009B13E2">
              <w:rPr>
                <w:rFonts w:eastAsia="MS Mincho" w:cstheme="minorHAnsi"/>
              </w:rPr>
              <w:t>Level of support: high (1 h initial visit and brief follow-up visits)</w:t>
            </w:r>
          </w:p>
        </w:tc>
        <w:tc>
          <w:tcPr>
            <w:tcW w:w="959" w:type="pct"/>
          </w:tcPr>
          <w:p w:rsidR="000A3759" w:rsidRPr="000A3759" w:rsidRDefault="009B13E2" w:rsidP="00A71365">
            <w:pPr>
              <w:pStyle w:val="Tablewriting"/>
              <w:rPr>
                <w:rFonts w:eastAsia="MS Mincho" w:cstheme="minorHAnsi"/>
              </w:rPr>
            </w:pPr>
            <w:r w:rsidRPr="009B13E2">
              <w:rPr>
                <w:rFonts w:eastAsia="MS Mincho" w:cstheme="minorHAnsi"/>
                <w:u w:val="single"/>
              </w:rPr>
              <w:t>Efficacy:</w:t>
            </w:r>
            <w:r w:rsidR="000A3759">
              <w:rPr>
                <w:rFonts w:eastAsia="MS Mincho" w:cstheme="minorHAnsi"/>
                <w:u w:val="single"/>
              </w:rPr>
              <w:t xml:space="preserve"> </w:t>
            </w:r>
            <w:r w:rsidR="000A3759" w:rsidRPr="000A3759">
              <w:rPr>
                <w:rFonts w:eastAsia="MS Mincho" w:cstheme="minorHAnsi"/>
              </w:rPr>
              <w:t>Prolonged abstinence at 6 months (self-report of no smoking since end of treatment)</w:t>
            </w:r>
            <w:r w:rsidR="000A3759">
              <w:rPr>
                <w:rFonts w:eastAsia="MS Mincho" w:cstheme="minorHAnsi"/>
              </w:rPr>
              <w:t>.</w:t>
            </w:r>
          </w:p>
          <w:p w:rsidR="009042AA" w:rsidRPr="000A3759" w:rsidRDefault="000A3759" w:rsidP="00A71365">
            <w:pPr>
              <w:pStyle w:val="Tablewriting"/>
              <w:rPr>
                <w:rFonts w:eastAsia="MS Mincho" w:cstheme="minorHAnsi"/>
              </w:rPr>
            </w:pPr>
            <w:r w:rsidRPr="000A3759">
              <w:rPr>
                <w:rFonts w:eastAsia="MS Mincho" w:cstheme="minorHAnsi"/>
              </w:rPr>
              <w:t>Validation: none</w:t>
            </w:r>
            <w:r>
              <w:rPr>
                <w:rFonts w:eastAsia="MS Mincho" w:cstheme="minorHAnsi"/>
              </w:rPr>
              <w:t>.</w:t>
            </w:r>
          </w:p>
          <w:p w:rsidR="009B13E2" w:rsidRDefault="009B13E2" w:rsidP="00A71365">
            <w:pPr>
              <w:pStyle w:val="Tablewriting"/>
              <w:rPr>
                <w:rFonts w:eastAsia="MS Mincho" w:cstheme="minorHAnsi"/>
              </w:rPr>
            </w:pPr>
          </w:p>
          <w:p w:rsidR="009042AA" w:rsidRPr="009B13E2" w:rsidRDefault="009B13E2" w:rsidP="00A71365">
            <w:pPr>
              <w:pStyle w:val="Tablewriting"/>
              <w:rPr>
                <w:rFonts w:eastAsia="MS Mincho" w:cstheme="minorHAnsi"/>
                <w:u w:val="single"/>
              </w:rPr>
            </w:pPr>
            <w:r w:rsidRPr="009B13E2">
              <w:rPr>
                <w:rFonts w:eastAsia="MS Mincho" w:cstheme="minorHAnsi"/>
                <w:u w:val="single"/>
              </w:rPr>
              <w:t>Safety:</w:t>
            </w:r>
            <w:r w:rsidR="000A3759">
              <w:rPr>
                <w:rFonts w:eastAsia="MS Mincho" w:cstheme="minorHAnsi"/>
                <w:u w:val="single"/>
              </w:rPr>
              <w:t xml:space="preserve"> </w:t>
            </w:r>
            <w:r w:rsidR="000A3759" w:rsidRPr="000A3759">
              <w:rPr>
                <w:rFonts w:eastAsia="MS Mincho" w:cstheme="minorHAnsi"/>
              </w:rPr>
              <w:t>NR</w:t>
            </w:r>
          </w:p>
        </w:tc>
      </w:tr>
      <w:tr w:rsidR="009042AA" w:rsidRPr="00017AE6" w:rsidTr="005012C6">
        <w:trPr>
          <w:trHeight w:val="99"/>
        </w:trPr>
        <w:tc>
          <w:tcPr>
            <w:tcW w:w="1004" w:type="pct"/>
          </w:tcPr>
          <w:p w:rsidR="009042AA" w:rsidRPr="00017AE6" w:rsidRDefault="001A4206" w:rsidP="00A71365">
            <w:pPr>
              <w:pStyle w:val="Tablewriting"/>
              <w:rPr>
                <w:rFonts w:eastAsia="MS Mincho" w:cstheme="minorHAnsi"/>
              </w:rPr>
            </w:pPr>
            <w:r w:rsidRPr="00156D0F">
              <w:rPr>
                <w:rFonts w:eastAsia="MS Mincho"/>
              </w:rPr>
              <w:t xml:space="preserve">Anthenelli </w:t>
            </w:r>
            <w:r w:rsidR="006C6C9B">
              <w:rPr>
                <w:rFonts w:eastAsia="MS Mincho"/>
              </w:rPr>
              <w:t>(</w:t>
            </w:r>
            <w:r w:rsidRPr="00156D0F">
              <w:rPr>
                <w:rFonts w:eastAsia="MS Mincho"/>
              </w:rPr>
              <w:t>2016</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690A8E" w:rsidRPr="00690A8E" w:rsidRDefault="00690A8E" w:rsidP="00A71365">
            <w:pPr>
              <w:pStyle w:val="Tablewriting"/>
              <w:rPr>
                <w:rFonts w:eastAsia="MS Mincho" w:cstheme="minorHAnsi"/>
              </w:rPr>
            </w:pPr>
            <w:r w:rsidRPr="00690A8E">
              <w:rPr>
                <w:rFonts w:eastAsia="MS Mincho" w:cstheme="minorHAnsi"/>
              </w:rPr>
              <w:t xml:space="preserve">Argentina, Australia, Brazil, Bulgaria, </w:t>
            </w:r>
            <w:r w:rsidRPr="00690A8E">
              <w:rPr>
                <w:rFonts w:eastAsia="MS Mincho" w:cstheme="minorHAnsi"/>
              </w:rPr>
              <w:lastRenderedPageBreak/>
              <w:t>Canada, Chile, Denmark, Finland, Germany, Mexico,</w:t>
            </w:r>
          </w:p>
          <w:p w:rsidR="009042AA" w:rsidRPr="00017AE6" w:rsidRDefault="00690A8E" w:rsidP="00A71365">
            <w:pPr>
              <w:pStyle w:val="Tablewriting"/>
              <w:rPr>
                <w:rFonts w:eastAsia="MS Mincho" w:cstheme="minorHAnsi"/>
              </w:rPr>
            </w:pPr>
            <w:r w:rsidRPr="00690A8E">
              <w:rPr>
                <w:rFonts w:eastAsia="MS Mincho" w:cstheme="minorHAnsi"/>
              </w:rPr>
              <w:t>New Zealand, Russian Federation, Slovakiam</w:t>
            </w:r>
            <w:r w:rsidR="0059521C">
              <w:rPr>
                <w:rFonts w:eastAsia="MS Mincho" w:cstheme="minorHAnsi"/>
              </w:rPr>
              <w:t>,</w:t>
            </w:r>
            <w:r w:rsidRPr="00690A8E">
              <w:rPr>
                <w:rFonts w:eastAsia="MS Mincho" w:cstheme="minorHAnsi"/>
              </w:rPr>
              <w:t xml:space="preserve"> South Africa, Spain, USA</w:t>
            </w:r>
          </w:p>
        </w:tc>
        <w:tc>
          <w:tcPr>
            <w:tcW w:w="289" w:type="pct"/>
          </w:tcPr>
          <w:p w:rsidR="009042AA" w:rsidRPr="00017AE6" w:rsidRDefault="001173B2" w:rsidP="00A71365">
            <w:pPr>
              <w:pStyle w:val="Tablewriting"/>
              <w:rPr>
                <w:rFonts w:eastAsia="MS Mincho" w:cstheme="minorHAnsi"/>
              </w:rPr>
            </w:pPr>
            <w:r>
              <w:rPr>
                <w:rFonts w:eastAsia="MS Mincho" w:cstheme="minorHAnsi"/>
              </w:rPr>
              <w:lastRenderedPageBreak/>
              <w:t>N=</w:t>
            </w:r>
            <w:r w:rsidR="00690A8E">
              <w:rPr>
                <w:rFonts w:eastAsia="MS Mincho" w:cstheme="minorHAnsi"/>
              </w:rPr>
              <w:t>8144</w:t>
            </w:r>
          </w:p>
        </w:tc>
        <w:tc>
          <w:tcPr>
            <w:tcW w:w="1046" w:type="pct"/>
          </w:tcPr>
          <w:p w:rsidR="006D4111" w:rsidRPr="006D4111" w:rsidRDefault="00690A8E" w:rsidP="00A71365">
            <w:pPr>
              <w:pStyle w:val="Tablewriting"/>
              <w:rPr>
                <w:rFonts w:eastAsia="MS Mincho" w:cstheme="minorHAnsi"/>
              </w:rPr>
            </w:pPr>
            <w:r>
              <w:rPr>
                <w:rFonts w:eastAsia="MS Mincho" w:cstheme="minorHAnsi"/>
              </w:rPr>
              <w:t>S</w:t>
            </w:r>
            <w:r w:rsidRPr="00690A8E">
              <w:rPr>
                <w:rFonts w:eastAsia="MS Mincho" w:cstheme="minorHAnsi"/>
              </w:rPr>
              <w:t>mokers (</w:t>
            </w:r>
            <w:r w:rsidR="000743E3" w:rsidRPr="000743E3">
              <w:rPr>
                <w:rFonts w:eastAsia="MS Mincho" w:cstheme="minorHAnsi"/>
              </w:rPr>
              <w:t>≥</w:t>
            </w:r>
            <w:r w:rsidRPr="00690A8E">
              <w:rPr>
                <w:rFonts w:eastAsia="MS Mincho" w:cstheme="minorHAnsi"/>
              </w:rPr>
              <w:t xml:space="preserve"> 10 </w:t>
            </w:r>
            <w:r w:rsidR="000743E3">
              <w:rPr>
                <w:rFonts w:eastAsia="MS Mincho" w:cstheme="minorHAnsi"/>
              </w:rPr>
              <w:t>CPD</w:t>
            </w:r>
            <w:r w:rsidRPr="00690A8E">
              <w:rPr>
                <w:rFonts w:eastAsia="MS Mincho" w:cstheme="minorHAnsi"/>
              </w:rPr>
              <w:t>), treatment-seeking, exhaled CO &gt; 10 ppm at screening. Participants in the psychiatric</w:t>
            </w:r>
            <w:r w:rsidR="000743E3">
              <w:rPr>
                <w:rFonts w:eastAsia="MS Mincho" w:cstheme="minorHAnsi"/>
              </w:rPr>
              <w:t xml:space="preserve"> </w:t>
            </w:r>
            <w:r w:rsidRPr="00690A8E">
              <w:rPr>
                <w:rFonts w:eastAsia="MS Mincho" w:cstheme="minorHAnsi"/>
              </w:rPr>
              <w:t xml:space="preserve">disorder cohort had to </w:t>
            </w:r>
            <w:r w:rsidRPr="00690A8E">
              <w:rPr>
                <w:rFonts w:eastAsia="MS Mincho" w:cstheme="minorHAnsi"/>
              </w:rPr>
              <w:lastRenderedPageBreak/>
              <w:t>have a current or lifetime stable psychiatric diagnosis</w:t>
            </w:r>
            <w:r w:rsidR="000743E3">
              <w:rPr>
                <w:rFonts w:eastAsia="MS Mincho" w:cstheme="minorHAnsi"/>
              </w:rPr>
              <w:t>.</w:t>
            </w:r>
          </w:p>
          <w:p w:rsidR="000743E3" w:rsidRPr="00690A8E" w:rsidRDefault="000743E3" w:rsidP="00A71365">
            <w:pPr>
              <w:pStyle w:val="Tablewriting"/>
              <w:rPr>
                <w:rFonts w:eastAsia="MS Mincho" w:cstheme="minorHAnsi"/>
              </w:rPr>
            </w:pPr>
          </w:p>
          <w:p w:rsidR="009042AA" w:rsidRPr="00017AE6" w:rsidRDefault="00690A8E" w:rsidP="00A71365">
            <w:pPr>
              <w:pStyle w:val="Tablewriting"/>
              <w:rPr>
                <w:rFonts w:eastAsia="MS Mincho" w:cstheme="minorHAnsi"/>
              </w:rPr>
            </w:pPr>
            <w:r w:rsidRPr="00690A8E">
              <w:rPr>
                <w:rFonts w:eastAsia="MS Mincho" w:cstheme="minorHAnsi"/>
              </w:rPr>
              <w:t>44% men, mean age 46, mean CPD 20.7, mean FTND 5.8</w:t>
            </w:r>
            <w:r w:rsidR="000743E3">
              <w:rPr>
                <w:rFonts w:eastAsia="MS Mincho" w:cstheme="minorHAnsi"/>
              </w:rPr>
              <w:t>.</w:t>
            </w:r>
          </w:p>
        </w:tc>
        <w:tc>
          <w:tcPr>
            <w:tcW w:w="1056" w:type="pct"/>
          </w:tcPr>
          <w:p w:rsidR="000743E3" w:rsidRDefault="000743E3" w:rsidP="00C324F3">
            <w:pPr>
              <w:pStyle w:val="Tablewriting"/>
              <w:numPr>
                <w:ilvl w:val="0"/>
                <w:numId w:val="97"/>
              </w:numPr>
              <w:rPr>
                <w:rFonts w:eastAsia="MS Mincho" w:cstheme="minorHAnsi"/>
              </w:rPr>
            </w:pPr>
            <w:r w:rsidRPr="000743E3">
              <w:rPr>
                <w:rFonts w:eastAsia="MS Mincho" w:cstheme="minorHAnsi"/>
              </w:rPr>
              <w:lastRenderedPageBreak/>
              <w:t>Varenicline, 1 mg x 2/day (1 week titrated, then 11 weeks full dose)</w:t>
            </w:r>
            <w:r>
              <w:rPr>
                <w:rFonts w:eastAsia="MS Mincho" w:cstheme="minorHAnsi"/>
              </w:rPr>
              <w:t>.</w:t>
            </w:r>
          </w:p>
          <w:p w:rsidR="000743E3" w:rsidRDefault="000743E3" w:rsidP="00C324F3">
            <w:pPr>
              <w:pStyle w:val="Tablewriting"/>
              <w:numPr>
                <w:ilvl w:val="0"/>
                <w:numId w:val="97"/>
              </w:numPr>
              <w:rPr>
                <w:rFonts w:eastAsia="MS Mincho" w:cstheme="minorHAnsi"/>
              </w:rPr>
            </w:pPr>
            <w:r w:rsidRPr="000743E3">
              <w:rPr>
                <w:rFonts w:eastAsia="MS Mincho" w:cstheme="minorHAnsi"/>
              </w:rPr>
              <w:lastRenderedPageBreak/>
              <w:t>Bupropion SR, 150 mg x 2/day (titrated for 3 days, then full dose for 11 weeks)</w:t>
            </w:r>
            <w:r>
              <w:rPr>
                <w:rFonts w:eastAsia="MS Mincho" w:cstheme="minorHAnsi"/>
              </w:rPr>
              <w:t>.</w:t>
            </w:r>
          </w:p>
          <w:p w:rsidR="000743E3" w:rsidRDefault="000743E3" w:rsidP="00C324F3">
            <w:pPr>
              <w:pStyle w:val="Tablewriting"/>
              <w:numPr>
                <w:ilvl w:val="0"/>
                <w:numId w:val="97"/>
              </w:numPr>
              <w:rPr>
                <w:rFonts w:eastAsia="MS Mincho" w:cstheme="minorHAnsi"/>
              </w:rPr>
            </w:pPr>
            <w:r w:rsidRPr="000743E3">
              <w:rPr>
                <w:rFonts w:eastAsia="MS Mincho" w:cstheme="minorHAnsi"/>
              </w:rPr>
              <w:t>Nicotine patch, 21 mg x 7 weeks, 14 mg x 2 weeks, 7 mg x 2 weeks (11 weeks, 24 v 16 h not specified)</w:t>
            </w:r>
            <w:r>
              <w:rPr>
                <w:rFonts w:eastAsia="MS Mincho" w:cstheme="minorHAnsi"/>
              </w:rPr>
              <w:t>.</w:t>
            </w:r>
          </w:p>
          <w:p w:rsidR="000743E3" w:rsidRPr="000743E3" w:rsidRDefault="000743E3" w:rsidP="00C324F3">
            <w:pPr>
              <w:pStyle w:val="Tablewriting"/>
              <w:numPr>
                <w:ilvl w:val="0"/>
                <w:numId w:val="97"/>
              </w:numPr>
              <w:rPr>
                <w:rFonts w:eastAsia="MS Mincho" w:cstheme="minorHAnsi"/>
              </w:rPr>
            </w:pPr>
            <w:r w:rsidRPr="000743E3">
              <w:rPr>
                <w:rFonts w:eastAsia="MS Mincho" w:cstheme="minorHAnsi"/>
              </w:rPr>
              <w:t>Triple-dummy placebo for each arm of the trial (12 weeks)</w:t>
            </w:r>
            <w:r>
              <w:rPr>
                <w:rFonts w:eastAsia="MS Mincho" w:cstheme="minorHAnsi"/>
              </w:rPr>
              <w:t>.</w:t>
            </w:r>
          </w:p>
          <w:p w:rsidR="000743E3" w:rsidRDefault="000743E3" w:rsidP="00A71365">
            <w:pPr>
              <w:pStyle w:val="Tablewriting"/>
              <w:rPr>
                <w:rFonts w:eastAsia="MS Mincho" w:cstheme="minorHAnsi"/>
              </w:rPr>
            </w:pPr>
          </w:p>
          <w:p w:rsidR="009042AA" w:rsidRPr="00017AE6" w:rsidRDefault="000743E3" w:rsidP="00A71365">
            <w:pPr>
              <w:pStyle w:val="Tablewriting"/>
              <w:rPr>
                <w:rFonts w:eastAsia="MS Mincho" w:cstheme="minorHAnsi"/>
              </w:rPr>
            </w:pPr>
            <w:r w:rsidRPr="000743E3">
              <w:rPr>
                <w:rFonts w:eastAsia="MS Mincho" w:cstheme="minorHAnsi"/>
              </w:rPr>
              <w:t>Level of support: high</w:t>
            </w:r>
            <w:r>
              <w:rPr>
                <w:rFonts w:eastAsia="MS Mincho" w:cstheme="minorHAnsi"/>
              </w:rPr>
              <w:t xml:space="preserve"> </w:t>
            </w:r>
            <w:r w:rsidRPr="000743E3">
              <w:rPr>
                <w:rFonts w:eastAsia="MS Mincho" w:cstheme="minorHAnsi"/>
              </w:rPr>
              <w:t>(counselling (up to 10 mins) at all contacts: up to 15 face-to-face visits and 11</w:t>
            </w:r>
            <w:r>
              <w:rPr>
                <w:rFonts w:eastAsia="MS Mincho" w:cstheme="minorHAnsi"/>
              </w:rPr>
              <w:t xml:space="preserve"> </w:t>
            </w:r>
            <w:r w:rsidRPr="000743E3">
              <w:rPr>
                <w:rFonts w:eastAsia="MS Mincho" w:cstheme="minorHAnsi"/>
              </w:rPr>
              <w:t>telephone visits</w:t>
            </w:r>
            <w:r w:rsidR="0036765B">
              <w:rPr>
                <w:rFonts w:eastAsia="MS Mincho" w:cstheme="minorHAnsi"/>
              </w:rPr>
              <w:t>)</w:t>
            </w:r>
            <w:r>
              <w:rPr>
                <w:rFonts w:eastAsia="MS Mincho" w:cstheme="minorHAnsi"/>
              </w:rPr>
              <w:t>.</w:t>
            </w:r>
          </w:p>
        </w:tc>
        <w:tc>
          <w:tcPr>
            <w:tcW w:w="959" w:type="pct"/>
          </w:tcPr>
          <w:p w:rsidR="0036765B" w:rsidRDefault="009B13E2" w:rsidP="00A71365">
            <w:pPr>
              <w:pStyle w:val="Tablewriting"/>
              <w:rPr>
                <w:rFonts w:eastAsia="MS Mincho" w:cstheme="minorHAnsi"/>
              </w:rPr>
            </w:pPr>
            <w:r w:rsidRPr="009B13E2">
              <w:rPr>
                <w:rFonts w:eastAsia="MS Mincho" w:cstheme="minorHAnsi"/>
                <w:u w:val="single"/>
              </w:rPr>
              <w:lastRenderedPageBreak/>
              <w:t>Efficacy:</w:t>
            </w:r>
            <w:r w:rsidR="0036765B">
              <w:rPr>
                <w:rFonts w:eastAsia="MS Mincho" w:cstheme="minorHAnsi"/>
                <w:u w:val="single"/>
              </w:rPr>
              <w:t xml:space="preserve"> </w:t>
            </w:r>
            <w:r w:rsidR="0036765B" w:rsidRPr="0036765B">
              <w:rPr>
                <w:rFonts w:eastAsia="MS Mincho" w:cstheme="minorHAnsi"/>
              </w:rPr>
              <w:t>6 months</w:t>
            </w:r>
            <w:r w:rsidR="0036765B">
              <w:rPr>
                <w:rFonts w:eastAsia="MS Mincho" w:cstheme="minorHAnsi"/>
              </w:rPr>
              <w:t xml:space="preserve"> </w:t>
            </w:r>
            <w:r w:rsidR="0036765B" w:rsidRPr="0036765B">
              <w:rPr>
                <w:rFonts w:eastAsia="MS Mincho" w:cstheme="minorHAnsi"/>
              </w:rPr>
              <w:t>continuous abstinence weeks 9 to 24</w:t>
            </w:r>
            <w:r w:rsidR="0036765B">
              <w:rPr>
                <w:rFonts w:eastAsia="MS Mincho" w:cstheme="minorHAnsi"/>
              </w:rPr>
              <w:t>.</w:t>
            </w:r>
          </w:p>
          <w:p w:rsidR="0036765B" w:rsidRPr="0036765B" w:rsidRDefault="0036765B" w:rsidP="00A71365">
            <w:pPr>
              <w:pStyle w:val="Tablewriting"/>
              <w:rPr>
                <w:rFonts w:eastAsia="MS Mincho" w:cstheme="minorHAnsi"/>
              </w:rPr>
            </w:pPr>
          </w:p>
          <w:p w:rsidR="009B13E2" w:rsidRPr="0036765B" w:rsidRDefault="0036765B" w:rsidP="00A71365">
            <w:pPr>
              <w:pStyle w:val="Tablewriting"/>
              <w:rPr>
                <w:rFonts w:eastAsia="MS Mincho" w:cstheme="minorHAnsi"/>
              </w:rPr>
            </w:pPr>
            <w:r w:rsidRPr="0036765B">
              <w:rPr>
                <w:rFonts w:eastAsia="MS Mincho" w:cstheme="minorHAnsi"/>
              </w:rPr>
              <w:t>Validation: CO &lt; 10 pp</w:t>
            </w:r>
          </w:p>
          <w:p w:rsidR="009B13E2" w:rsidRDefault="009B13E2" w:rsidP="00A71365">
            <w:pPr>
              <w:pStyle w:val="Tablewriting"/>
              <w:rPr>
                <w:rFonts w:eastAsia="MS Mincho" w:cstheme="minorHAnsi"/>
              </w:rPr>
            </w:pPr>
          </w:p>
          <w:p w:rsidR="009042AA" w:rsidRPr="00017AE6" w:rsidRDefault="009B13E2" w:rsidP="00A71365">
            <w:pPr>
              <w:pStyle w:val="Tablewriting"/>
              <w:rPr>
                <w:rFonts w:eastAsia="MS Mincho" w:cstheme="minorHAnsi"/>
              </w:rPr>
            </w:pPr>
            <w:r w:rsidRPr="009B13E2">
              <w:rPr>
                <w:rFonts w:eastAsia="MS Mincho" w:cstheme="minorHAnsi"/>
                <w:u w:val="single"/>
              </w:rPr>
              <w:t>Safety:</w:t>
            </w:r>
            <w:r w:rsidR="0036765B">
              <w:rPr>
                <w:rFonts w:eastAsia="MS Mincho" w:cstheme="minorHAnsi"/>
                <w:u w:val="single"/>
              </w:rPr>
              <w:t xml:space="preserve"> </w:t>
            </w:r>
            <w:r w:rsidR="0036765B" w:rsidRPr="0036765B">
              <w:rPr>
                <w:rFonts w:eastAsia="MS Mincho" w:cstheme="minorHAnsi"/>
              </w:rPr>
              <w:t>NR</w:t>
            </w:r>
          </w:p>
        </w:tc>
      </w:tr>
      <w:tr w:rsidR="009042AA" w:rsidRPr="00017AE6" w:rsidTr="005012C6">
        <w:trPr>
          <w:trHeight w:val="99"/>
        </w:trPr>
        <w:tc>
          <w:tcPr>
            <w:tcW w:w="1004" w:type="pct"/>
          </w:tcPr>
          <w:p w:rsidR="009042AA" w:rsidRPr="00017AE6" w:rsidRDefault="001A4206" w:rsidP="00A71365">
            <w:pPr>
              <w:pStyle w:val="Tablewriting"/>
              <w:rPr>
                <w:rFonts w:eastAsia="MS Mincho" w:cstheme="minorHAnsi"/>
              </w:rPr>
            </w:pPr>
            <w:r w:rsidRPr="00156D0F">
              <w:rPr>
                <w:rFonts w:eastAsia="MS Mincho"/>
              </w:rPr>
              <w:lastRenderedPageBreak/>
              <w:t xml:space="preserve">Coleman </w:t>
            </w:r>
            <w:r w:rsidR="006C6C9B">
              <w:rPr>
                <w:rFonts w:eastAsia="MS Mincho"/>
              </w:rPr>
              <w:t>(</w:t>
            </w:r>
            <w:r w:rsidRPr="00156D0F">
              <w:rPr>
                <w:rFonts w:eastAsia="MS Mincho"/>
              </w:rPr>
              <w:t>2012</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C32CD4" w:rsidP="00A71365">
            <w:pPr>
              <w:pStyle w:val="Tablewriting"/>
              <w:rPr>
                <w:rFonts w:eastAsia="MS Mincho" w:cstheme="minorHAnsi"/>
              </w:rPr>
            </w:pPr>
            <w:r>
              <w:rPr>
                <w:rFonts w:eastAsia="MS Mincho" w:cstheme="minorHAnsi"/>
              </w:rPr>
              <w:t>UK</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605E45">
              <w:rPr>
                <w:rFonts w:eastAsia="MS Mincho" w:cstheme="minorHAnsi"/>
              </w:rPr>
              <w:t>1050</w:t>
            </w:r>
          </w:p>
        </w:tc>
        <w:tc>
          <w:tcPr>
            <w:tcW w:w="1046" w:type="pct"/>
          </w:tcPr>
          <w:p w:rsidR="00605E45" w:rsidRPr="00605E45" w:rsidRDefault="00605E45" w:rsidP="00A71365">
            <w:pPr>
              <w:pStyle w:val="Tablewriting"/>
              <w:rPr>
                <w:rFonts w:eastAsia="MS Mincho" w:cstheme="minorHAnsi"/>
              </w:rPr>
            </w:pPr>
            <w:r>
              <w:rPr>
                <w:rFonts w:eastAsia="MS Mincho" w:cstheme="minorHAnsi"/>
              </w:rPr>
              <w:t>P</w:t>
            </w:r>
            <w:r w:rsidRPr="00605E45">
              <w:rPr>
                <w:rFonts w:eastAsia="MS Mincho" w:cstheme="minorHAnsi"/>
              </w:rPr>
              <w:t xml:space="preserve">regnant women at 12 to 24 weeks gestation smoking f 5 </w:t>
            </w:r>
            <w:r>
              <w:rPr>
                <w:rFonts w:eastAsia="MS Mincho" w:cstheme="minorHAnsi"/>
              </w:rPr>
              <w:t>CPD</w:t>
            </w:r>
          </w:p>
          <w:p w:rsidR="009042AA" w:rsidRPr="00017AE6" w:rsidRDefault="00605E45" w:rsidP="00A71365">
            <w:pPr>
              <w:pStyle w:val="Tablewriting"/>
              <w:rPr>
                <w:rFonts w:eastAsia="MS Mincho" w:cstheme="minorHAnsi"/>
              </w:rPr>
            </w:pPr>
            <w:r w:rsidRPr="00605E45">
              <w:rPr>
                <w:rFonts w:eastAsia="MS Mincho" w:cstheme="minorHAnsi"/>
              </w:rPr>
              <w:t xml:space="preserve">Average age 26, average </w:t>
            </w:r>
            <w:r>
              <w:rPr>
                <w:rFonts w:eastAsia="MS Mincho" w:cstheme="minorHAnsi"/>
              </w:rPr>
              <w:t>CPD</w:t>
            </w:r>
            <w:r w:rsidRPr="00605E45">
              <w:rPr>
                <w:rFonts w:eastAsia="MS Mincho" w:cstheme="minorHAnsi"/>
              </w:rPr>
              <w:t xml:space="preserve"> at time of recruitment 14, average </w:t>
            </w:r>
            <w:r>
              <w:rPr>
                <w:rFonts w:eastAsia="MS Mincho" w:cstheme="minorHAnsi"/>
              </w:rPr>
              <w:t>CPD</w:t>
            </w:r>
            <w:r w:rsidRPr="00605E45">
              <w:rPr>
                <w:rFonts w:eastAsia="MS Mincho" w:cstheme="minorHAnsi"/>
              </w:rPr>
              <w:t xml:space="preserve"> before pregnancy 20</w:t>
            </w:r>
            <w:r>
              <w:rPr>
                <w:rFonts w:eastAsia="MS Mincho" w:cstheme="minorHAnsi"/>
              </w:rPr>
              <w:t>.</w:t>
            </w:r>
          </w:p>
        </w:tc>
        <w:tc>
          <w:tcPr>
            <w:tcW w:w="1056" w:type="pct"/>
          </w:tcPr>
          <w:p w:rsidR="005015E5" w:rsidRPr="005015E5" w:rsidRDefault="005015E5" w:rsidP="00C324F3">
            <w:pPr>
              <w:pStyle w:val="Tablewriting"/>
              <w:numPr>
                <w:ilvl w:val="0"/>
                <w:numId w:val="118"/>
              </w:numPr>
              <w:rPr>
                <w:rFonts w:eastAsia="MS Mincho" w:cstheme="minorHAnsi"/>
              </w:rPr>
            </w:pPr>
            <w:r w:rsidRPr="005015E5">
              <w:rPr>
                <w:rFonts w:eastAsia="MS Mincho" w:cstheme="minorHAnsi"/>
              </w:rPr>
              <w:t>Nicotine gum (2 mg) for up to 6 months, max 30/day</w:t>
            </w:r>
          </w:p>
          <w:p w:rsidR="005015E5" w:rsidRDefault="005015E5" w:rsidP="00C324F3">
            <w:pPr>
              <w:pStyle w:val="Tablewriting"/>
              <w:numPr>
                <w:ilvl w:val="0"/>
                <w:numId w:val="118"/>
              </w:numPr>
              <w:rPr>
                <w:rFonts w:eastAsia="MS Mincho" w:cstheme="minorHAnsi"/>
              </w:rPr>
            </w:pPr>
            <w:r w:rsidRPr="005015E5">
              <w:rPr>
                <w:rFonts w:eastAsia="MS Mincho" w:cstheme="minorHAnsi"/>
              </w:rPr>
              <w:t>Placebo gum (contained 1 mg unbuffered nicotine)</w:t>
            </w:r>
            <w:r w:rsidR="003F13A5">
              <w:rPr>
                <w:rFonts w:eastAsia="MS Mincho" w:cstheme="minorHAnsi"/>
              </w:rPr>
              <w:t>.</w:t>
            </w:r>
          </w:p>
          <w:p w:rsidR="003F13A5" w:rsidRPr="005015E5" w:rsidRDefault="003F13A5" w:rsidP="00A71365">
            <w:pPr>
              <w:pStyle w:val="Tablewriting"/>
              <w:ind w:left="360"/>
              <w:rPr>
                <w:rFonts w:eastAsia="MS Mincho" w:cstheme="minorHAnsi"/>
              </w:rPr>
            </w:pPr>
          </w:p>
          <w:p w:rsidR="009042AA" w:rsidRDefault="005015E5" w:rsidP="00A71365">
            <w:pPr>
              <w:pStyle w:val="Tablewriting"/>
              <w:rPr>
                <w:rFonts w:eastAsia="MS Mincho" w:cstheme="minorHAnsi"/>
              </w:rPr>
            </w:pPr>
            <w:r w:rsidRPr="005015E5">
              <w:rPr>
                <w:rFonts w:eastAsia="MS Mincho" w:cstheme="minorHAnsi"/>
              </w:rPr>
              <w:t>Level of support: high (3 acupuncture session at 0, 7, 28 days)</w:t>
            </w:r>
            <w:r w:rsidR="00440B17">
              <w:rPr>
                <w:rFonts w:eastAsia="MS Mincho" w:cstheme="minorHAnsi"/>
              </w:rPr>
              <w:t>.</w:t>
            </w:r>
          </w:p>
          <w:p w:rsidR="00440B17" w:rsidRDefault="00440B17" w:rsidP="00A71365">
            <w:pPr>
              <w:pStyle w:val="Tablewriting"/>
              <w:rPr>
                <w:rFonts w:eastAsia="MS Mincho" w:cstheme="minorHAnsi"/>
              </w:rPr>
            </w:pPr>
          </w:p>
          <w:p w:rsidR="00440B17" w:rsidRPr="005015E5" w:rsidRDefault="00440B17" w:rsidP="00A71365">
            <w:pPr>
              <w:pStyle w:val="Tablewriting"/>
              <w:rPr>
                <w:rFonts w:eastAsia="MS Mincho" w:cstheme="minorHAnsi"/>
              </w:rPr>
            </w:pPr>
            <w:r w:rsidRPr="005015E5">
              <w:rPr>
                <w:rFonts w:eastAsia="MS Mincho" w:cstheme="minorHAnsi"/>
              </w:rPr>
              <w:t>Factorial trial with active/placebo acupuncture arms, collapsed for this</w:t>
            </w:r>
            <w:r>
              <w:rPr>
                <w:rFonts w:eastAsia="MS Mincho" w:cstheme="minorHAnsi"/>
              </w:rPr>
              <w:t xml:space="preserve"> </w:t>
            </w:r>
            <w:r w:rsidRPr="005015E5">
              <w:rPr>
                <w:rFonts w:eastAsia="MS Mincho" w:cstheme="minorHAnsi"/>
              </w:rPr>
              <w:t>review</w:t>
            </w:r>
            <w:r>
              <w:rPr>
                <w:rFonts w:eastAsia="MS Mincho" w:cstheme="minorHAnsi"/>
              </w:rPr>
              <w:t>.</w:t>
            </w:r>
          </w:p>
          <w:p w:rsidR="009042AA" w:rsidRPr="00017AE6" w:rsidRDefault="009042AA" w:rsidP="00A71365">
            <w:pPr>
              <w:pStyle w:val="Tablewriting"/>
              <w:rPr>
                <w:rFonts w:eastAsia="MS Mincho" w:cstheme="minorHAnsi"/>
              </w:rPr>
            </w:pPr>
          </w:p>
        </w:tc>
        <w:tc>
          <w:tcPr>
            <w:tcW w:w="959" w:type="pct"/>
          </w:tcPr>
          <w:p w:rsidR="00426274" w:rsidRPr="00426274" w:rsidRDefault="001173B2" w:rsidP="00A71365">
            <w:pPr>
              <w:pStyle w:val="Tablewriting"/>
              <w:rPr>
                <w:rFonts w:eastAsia="MS Mincho" w:cstheme="minorHAnsi"/>
              </w:rPr>
            </w:pPr>
            <w:r w:rsidRPr="00426274">
              <w:rPr>
                <w:rFonts w:eastAsia="MS Mincho" w:cstheme="minorHAnsi"/>
              </w:rPr>
              <w:t>Efficacy:</w:t>
            </w:r>
            <w:r w:rsidR="00426274" w:rsidRPr="00426274">
              <w:t xml:space="preserve"> </w:t>
            </w:r>
            <w:r w:rsidR="00426274" w:rsidRPr="00426274">
              <w:rPr>
                <w:rFonts w:eastAsia="MS Mincho" w:cstheme="minorHAnsi"/>
              </w:rPr>
              <w:t>Abstinence at 13 months (1-month quitters followed up). 4-year follow-up reported in 1997 with different</w:t>
            </w:r>
          </w:p>
          <w:p w:rsidR="00426274" w:rsidRDefault="00426274" w:rsidP="00A71365">
            <w:pPr>
              <w:pStyle w:val="Tablewriting"/>
              <w:rPr>
                <w:rFonts w:eastAsia="MS Mincho" w:cstheme="minorHAnsi"/>
              </w:rPr>
            </w:pPr>
            <w:r w:rsidRPr="00426274">
              <w:rPr>
                <w:rFonts w:eastAsia="MS Mincho" w:cstheme="minorHAnsi"/>
              </w:rPr>
              <w:t>1-year results</w:t>
            </w:r>
            <w:r w:rsidR="00925E59">
              <w:rPr>
                <w:rFonts w:eastAsia="MS Mincho" w:cstheme="minorHAnsi"/>
              </w:rPr>
              <w:t>.</w:t>
            </w:r>
          </w:p>
          <w:p w:rsidR="00925E59" w:rsidRPr="00426274" w:rsidRDefault="00925E59" w:rsidP="00A71365">
            <w:pPr>
              <w:pStyle w:val="Tablewriting"/>
              <w:rPr>
                <w:rFonts w:eastAsia="MS Mincho" w:cstheme="minorHAnsi"/>
              </w:rPr>
            </w:pPr>
          </w:p>
          <w:p w:rsidR="001173B2" w:rsidRPr="00426274" w:rsidRDefault="00426274" w:rsidP="00A71365">
            <w:pPr>
              <w:pStyle w:val="Tablewriting"/>
              <w:rPr>
                <w:rFonts w:eastAsia="MS Mincho" w:cstheme="minorHAnsi"/>
              </w:rPr>
            </w:pPr>
            <w:r w:rsidRPr="00426274">
              <w:rPr>
                <w:rFonts w:eastAsia="MS Mincho" w:cstheme="minorHAnsi"/>
              </w:rPr>
              <w:t>Validation: none at 1 year</w:t>
            </w:r>
            <w:r w:rsidR="00925E59">
              <w:rPr>
                <w:rFonts w:eastAsia="MS Mincho" w:cstheme="minorHAnsi"/>
              </w:rPr>
              <w:t>.</w:t>
            </w:r>
          </w:p>
          <w:p w:rsidR="001173B2" w:rsidRDefault="001173B2" w:rsidP="00A71365">
            <w:pPr>
              <w:pStyle w:val="Tablewriting"/>
              <w:rPr>
                <w:rFonts w:eastAsia="MS Mincho" w:cstheme="minorHAnsi"/>
              </w:rPr>
            </w:pPr>
          </w:p>
          <w:p w:rsidR="009042AA" w:rsidRPr="00017AE6" w:rsidRDefault="001173B2" w:rsidP="00A71365">
            <w:pPr>
              <w:pStyle w:val="Tablewriting"/>
              <w:rPr>
                <w:rFonts w:eastAsia="MS Mincho" w:cstheme="minorHAnsi"/>
              </w:rPr>
            </w:pPr>
            <w:r w:rsidRPr="009B13E2">
              <w:rPr>
                <w:rFonts w:eastAsia="MS Mincho" w:cstheme="minorHAnsi"/>
                <w:u w:val="single"/>
              </w:rPr>
              <w:t>Safety:</w:t>
            </w:r>
            <w:r w:rsidR="00B35E43">
              <w:rPr>
                <w:rFonts w:eastAsia="MS Mincho" w:cstheme="minorHAnsi"/>
                <w:u w:val="single"/>
              </w:rPr>
              <w:t xml:space="preserve"> </w:t>
            </w:r>
            <w:r w:rsidR="00B35E43" w:rsidRPr="0036765B">
              <w:rPr>
                <w:rFonts w:eastAsia="MS Mincho" w:cstheme="minorHAnsi"/>
              </w:rPr>
              <w:t>NR</w:t>
            </w:r>
          </w:p>
        </w:tc>
      </w:tr>
      <w:tr w:rsidR="009042AA" w:rsidRPr="00017AE6" w:rsidTr="005012C6">
        <w:trPr>
          <w:trHeight w:val="99"/>
        </w:trPr>
        <w:tc>
          <w:tcPr>
            <w:tcW w:w="1004" w:type="pct"/>
          </w:tcPr>
          <w:p w:rsidR="009042AA" w:rsidRPr="00017AE6" w:rsidRDefault="001A4206" w:rsidP="00A71365">
            <w:pPr>
              <w:pStyle w:val="Tablewriting"/>
              <w:rPr>
                <w:rFonts w:eastAsia="MS Mincho" w:cstheme="minorHAnsi"/>
              </w:rPr>
            </w:pPr>
            <w:r w:rsidRPr="00156D0F">
              <w:rPr>
                <w:rFonts w:eastAsia="MS Mincho"/>
              </w:rPr>
              <w:t xml:space="preserve">Daughton </w:t>
            </w:r>
            <w:r w:rsidR="006C6C9B">
              <w:rPr>
                <w:rFonts w:eastAsia="MS Mincho"/>
              </w:rPr>
              <w:t>(</w:t>
            </w:r>
            <w:r w:rsidRPr="00156D0F">
              <w:rPr>
                <w:rFonts w:eastAsia="MS Mincho"/>
              </w:rPr>
              <w:t>1991</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DF7757" w:rsidP="00A71365">
            <w:pPr>
              <w:pStyle w:val="Tablewriting"/>
              <w:rPr>
                <w:rFonts w:eastAsia="MS Mincho" w:cstheme="minorHAnsi"/>
              </w:rPr>
            </w:pPr>
            <w:r w:rsidRPr="00DF7757">
              <w:rPr>
                <w:rFonts w:eastAsia="MS Mincho" w:cstheme="minorHAnsi"/>
              </w:rPr>
              <w:t>USA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DF7757">
              <w:rPr>
                <w:rFonts w:eastAsia="MS Mincho" w:cstheme="minorHAnsi"/>
              </w:rPr>
              <w:t>158</w:t>
            </w:r>
          </w:p>
        </w:tc>
        <w:tc>
          <w:tcPr>
            <w:tcW w:w="1046" w:type="pct"/>
          </w:tcPr>
          <w:p w:rsidR="00B41BED" w:rsidRPr="00B41BED" w:rsidRDefault="009909E1" w:rsidP="00A71365">
            <w:pPr>
              <w:pStyle w:val="Tablewriting"/>
              <w:rPr>
                <w:rFonts w:eastAsia="MS Mincho" w:cstheme="minorHAnsi"/>
              </w:rPr>
            </w:pPr>
            <w:r>
              <w:rPr>
                <w:rFonts w:eastAsia="MS Mincho" w:cstheme="minorHAnsi"/>
              </w:rPr>
              <w:t>S</w:t>
            </w:r>
            <w:r w:rsidR="00B41BED" w:rsidRPr="00B41BED">
              <w:rPr>
                <w:rFonts w:eastAsia="MS Mincho" w:cstheme="minorHAnsi"/>
              </w:rPr>
              <w:t xml:space="preserve">mokers (at least 1 pack </w:t>
            </w:r>
            <w:r w:rsidR="00B41BED">
              <w:rPr>
                <w:rFonts w:eastAsia="MS Mincho" w:cstheme="minorHAnsi"/>
              </w:rPr>
              <w:t>CPD</w:t>
            </w:r>
            <w:r w:rsidR="00B41BED" w:rsidRPr="00B41BED">
              <w:rPr>
                <w:rFonts w:eastAsia="MS Mincho" w:cstheme="minorHAnsi"/>
              </w:rPr>
              <w:t>)</w:t>
            </w:r>
          </w:p>
          <w:p w:rsidR="009042AA" w:rsidRPr="00017AE6" w:rsidRDefault="00B41BED" w:rsidP="00A71365">
            <w:pPr>
              <w:pStyle w:val="Tablewriting"/>
              <w:rPr>
                <w:rFonts w:eastAsia="MS Mincho" w:cstheme="minorHAnsi"/>
              </w:rPr>
            </w:pPr>
            <w:r w:rsidRPr="00B41BED">
              <w:rPr>
                <w:rFonts w:eastAsia="MS Mincho" w:cstheme="minorHAnsi"/>
              </w:rPr>
              <w:t xml:space="preserve">53% female, average age 42, average </w:t>
            </w:r>
            <w:r>
              <w:rPr>
                <w:rFonts w:eastAsia="MS Mincho" w:cstheme="minorHAnsi"/>
              </w:rPr>
              <w:t>CPD</w:t>
            </w:r>
            <w:r w:rsidRPr="00B41BED">
              <w:rPr>
                <w:rFonts w:eastAsia="MS Mincho" w:cstheme="minorHAnsi"/>
              </w:rPr>
              <w:t xml:space="preserve"> 33</w:t>
            </w:r>
            <w:r>
              <w:rPr>
                <w:rFonts w:eastAsia="MS Mincho" w:cstheme="minorHAnsi"/>
              </w:rPr>
              <w:t>.</w:t>
            </w:r>
          </w:p>
        </w:tc>
        <w:tc>
          <w:tcPr>
            <w:tcW w:w="1056" w:type="pct"/>
          </w:tcPr>
          <w:p w:rsidR="00B41BED" w:rsidRPr="00B41BED" w:rsidRDefault="00B41BED" w:rsidP="00C324F3">
            <w:pPr>
              <w:pStyle w:val="Tablewriting"/>
              <w:numPr>
                <w:ilvl w:val="0"/>
                <w:numId w:val="119"/>
              </w:numPr>
              <w:jc w:val="both"/>
              <w:rPr>
                <w:rFonts w:eastAsia="MS Mincho" w:cstheme="minorHAnsi"/>
              </w:rPr>
            </w:pPr>
            <w:r w:rsidRPr="00B41BED">
              <w:rPr>
                <w:rFonts w:eastAsia="MS Mincho" w:cstheme="minorHAnsi"/>
              </w:rPr>
              <w:t xml:space="preserve">Nicotine patch (15 </w:t>
            </w:r>
            <w:r w:rsidRPr="0085252D">
              <w:rPr>
                <w:rFonts w:eastAsia="MS Mincho" w:cstheme="minorHAnsi"/>
              </w:rPr>
              <w:t>cm</w:t>
            </w:r>
            <w:r w:rsidR="0085252D" w:rsidRPr="0085252D">
              <w:rPr>
                <w:rFonts w:eastAsia="MS Mincho" w:cstheme="minorHAnsi"/>
                <w:vertAlign w:val="superscript"/>
              </w:rPr>
              <w:t>2</w:t>
            </w:r>
            <w:r w:rsidRPr="00B41BED">
              <w:rPr>
                <w:rFonts w:eastAsia="MS Mincho" w:cstheme="minorHAnsi"/>
              </w:rPr>
              <w:t>, 4</w:t>
            </w:r>
            <w:r w:rsidR="00297442">
              <w:rPr>
                <w:rFonts w:eastAsia="MS Mincho" w:cstheme="minorHAnsi"/>
              </w:rPr>
              <w:t xml:space="preserve"> </w:t>
            </w:r>
            <w:r w:rsidRPr="00B41BED">
              <w:rPr>
                <w:rFonts w:eastAsia="MS Mincho" w:cstheme="minorHAnsi"/>
              </w:rPr>
              <w:t>weeks) worn for 16 h/day</w:t>
            </w:r>
            <w:r w:rsidR="00FC64A3">
              <w:rPr>
                <w:rFonts w:eastAsia="MS Mincho" w:cstheme="minorHAnsi"/>
              </w:rPr>
              <w:t>.</w:t>
            </w:r>
          </w:p>
          <w:p w:rsidR="00B41BED" w:rsidRPr="00B41BED" w:rsidRDefault="00B41BED" w:rsidP="00C324F3">
            <w:pPr>
              <w:pStyle w:val="Tablewriting"/>
              <w:numPr>
                <w:ilvl w:val="0"/>
                <w:numId w:val="119"/>
              </w:numPr>
              <w:jc w:val="both"/>
              <w:rPr>
                <w:rFonts w:eastAsia="MS Mincho" w:cstheme="minorHAnsi"/>
              </w:rPr>
            </w:pPr>
            <w:r w:rsidRPr="00B41BED">
              <w:rPr>
                <w:rFonts w:eastAsia="MS Mincho" w:cstheme="minorHAnsi"/>
              </w:rPr>
              <w:t xml:space="preserve">Nicotine patch (15 </w:t>
            </w:r>
            <w:r w:rsidR="0085252D" w:rsidRPr="0085252D">
              <w:rPr>
                <w:rFonts w:eastAsia="MS Mincho" w:cstheme="minorHAnsi"/>
              </w:rPr>
              <w:t>cm</w:t>
            </w:r>
            <w:r w:rsidR="0085252D" w:rsidRPr="0085252D">
              <w:rPr>
                <w:rFonts w:eastAsia="MS Mincho" w:cstheme="minorHAnsi"/>
                <w:vertAlign w:val="superscript"/>
              </w:rPr>
              <w:t>2</w:t>
            </w:r>
            <w:r w:rsidRPr="0085252D">
              <w:rPr>
                <w:rFonts w:eastAsia="MS Mincho" w:cstheme="minorHAnsi"/>
              </w:rPr>
              <w:t>,</w:t>
            </w:r>
            <w:r w:rsidRPr="00B41BED">
              <w:rPr>
                <w:rFonts w:eastAsia="MS Mincho" w:cstheme="minorHAnsi"/>
              </w:rPr>
              <w:t xml:space="preserve"> 4 weeks) worn for 24 h/day</w:t>
            </w:r>
            <w:r w:rsidR="00423418">
              <w:rPr>
                <w:rFonts w:eastAsia="MS Mincho" w:cstheme="minorHAnsi"/>
              </w:rPr>
              <w:t>.</w:t>
            </w:r>
          </w:p>
          <w:p w:rsidR="00B41BED" w:rsidRDefault="00B41BED" w:rsidP="00C324F3">
            <w:pPr>
              <w:pStyle w:val="Tablewriting"/>
              <w:numPr>
                <w:ilvl w:val="0"/>
                <w:numId w:val="119"/>
              </w:numPr>
              <w:jc w:val="both"/>
              <w:rPr>
                <w:rFonts w:eastAsia="MS Mincho" w:cstheme="minorHAnsi"/>
              </w:rPr>
            </w:pPr>
            <w:r w:rsidRPr="00B41BED">
              <w:rPr>
                <w:rFonts w:eastAsia="MS Mincho" w:cstheme="minorHAnsi"/>
              </w:rPr>
              <w:t>Placebo patch, 4 weeks</w:t>
            </w:r>
            <w:r w:rsidR="00CD3705">
              <w:rPr>
                <w:rFonts w:eastAsia="MS Mincho" w:cstheme="minorHAnsi"/>
              </w:rPr>
              <w:t>.</w:t>
            </w:r>
          </w:p>
          <w:p w:rsidR="00CD3705" w:rsidRPr="00B41BED" w:rsidRDefault="00CD3705" w:rsidP="00A71365">
            <w:pPr>
              <w:pStyle w:val="Tablewriting"/>
              <w:ind w:left="360"/>
              <w:jc w:val="both"/>
              <w:rPr>
                <w:rFonts w:eastAsia="MS Mincho" w:cstheme="minorHAnsi"/>
              </w:rPr>
            </w:pPr>
          </w:p>
          <w:p w:rsidR="009042AA" w:rsidRPr="00017AE6" w:rsidRDefault="00B41BED" w:rsidP="00A71365">
            <w:pPr>
              <w:pStyle w:val="Tablewriting"/>
              <w:ind w:left="360"/>
              <w:rPr>
                <w:rFonts w:eastAsia="MS Mincho" w:cstheme="minorHAnsi"/>
              </w:rPr>
            </w:pPr>
            <w:r w:rsidRPr="00B41BED">
              <w:rPr>
                <w:rFonts w:eastAsia="MS Mincho" w:cstheme="minorHAnsi"/>
              </w:rPr>
              <w:t>Level of support: unclear and differed between sites</w:t>
            </w:r>
            <w:r w:rsidR="00CD3705">
              <w:rPr>
                <w:rFonts w:eastAsia="MS Mincho" w:cstheme="minorHAnsi"/>
              </w:rPr>
              <w:t>.</w:t>
            </w:r>
          </w:p>
        </w:tc>
        <w:tc>
          <w:tcPr>
            <w:tcW w:w="959" w:type="pct"/>
          </w:tcPr>
          <w:p w:rsidR="00B1672B" w:rsidRDefault="001173B2" w:rsidP="00A71365">
            <w:pPr>
              <w:pStyle w:val="Tablewriting"/>
              <w:rPr>
                <w:rFonts w:eastAsia="MS Mincho" w:cstheme="minorHAnsi"/>
              </w:rPr>
            </w:pPr>
            <w:r w:rsidRPr="006D55AE">
              <w:rPr>
                <w:rFonts w:eastAsia="MS Mincho" w:cstheme="minorHAnsi"/>
                <w:u w:val="single"/>
              </w:rPr>
              <w:lastRenderedPageBreak/>
              <w:t>Efficacy</w:t>
            </w:r>
            <w:r w:rsidRPr="00B1672B">
              <w:rPr>
                <w:rFonts w:eastAsia="MS Mincho" w:cstheme="minorHAnsi"/>
              </w:rPr>
              <w:t>:</w:t>
            </w:r>
            <w:r w:rsidR="00B1672B" w:rsidRPr="00B1672B">
              <w:t xml:space="preserve"> </w:t>
            </w:r>
            <w:r w:rsidR="00B1672B" w:rsidRPr="00B1672B">
              <w:rPr>
                <w:rFonts w:eastAsia="MS Mincho" w:cstheme="minorHAnsi"/>
              </w:rPr>
              <w:t>Sustained abstinence at 6 months</w:t>
            </w:r>
            <w:r w:rsidR="00B1672B">
              <w:rPr>
                <w:rFonts w:eastAsia="MS Mincho" w:cstheme="minorHAnsi"/>
              </w:rPr>
              <w:t>.</w:t>
            </w:r>
          </w:p>
          <w:p w:rsidR="00B1672B" w:rsidRPr="00B1672B" w:rsidRDefault="00B1672B" w:rsidP="00A71365">
            <w:pPr>
              <w:pStyle w:val="Tablewriting"/>
              <w:rPr>
                <w:rFonts w:eastAsia="MS Mincho" w:cstheme="minorHAnsi"/>
              </w:rPr>
            </w:pPr>
          </w:p>
          <w:p w:rsidR="001173B2" w:rsidRPr="00B1672B" w:rsidRDefault="00B1672B" w:rsidP="00A71365">
            <w:pPr>
              <w:pStyle w:val="Tablewriting"/>
              <w:rPr>
                <w:rFonts w:eastAsia="MS Mincho" w:cstheme="minorHAnsi"/>
              </w:rPr>
            </w:pPr>
            <w:r w:rsidRPr="00B1672B">
              <w:rPr>
                <w:rFonts w:eastAsia="MS Mincho" w:cstheme="minorHAnsi"/>
              </w:rPr>
              <w:t>Validation: None after 4 weeks (CO at 2 to 4 weeks</w:t>
            </w:r>
            <w:r w:rsidRPr="00B1672B">
              <w:rPr>
                <w:rFonts w:eastAsia="MS Mincho" w:cstheme="minorHAnsi"/>
                <w:u w:val="single"/>
              </w:rPr>
              <w:t>)</w:t>
            </w:r>
          </w:p>
          <w:p w:rsidR="001173B2" w:rsidRDefault="001173B2" w:rsidP="00A71365">
            <w:pPr>
              <w:pStyle w:val="Tablewriting"/>
              <w:rPr>
                <w:rFonts w:eastAsia="MS Mincho" w:cstheme="minorHAnsi"/>
              </w:rPr>
            </w:pPr>
          </w:p>
          <w:p w:rsidR="009042AA" w:rsidRPr="00017AE6" w:rsidRDefault="001173B2" w:rsidP="00A71365">
            <w:pPr>
              <w:pStyle w:val="Tablewriting"/>
              <w:rPr>
                <w:rFonts w:eastAsia="MS Mincho" w:cstheme="minorHAnsi"/>
              </w:rPr>
            </w:pPr>
            <w:r w:rsidRPr="009B13E2">
              <w:rPr>
                <w:rFonts w:eastAsia="MS Mincho" w:cstheme="minorHAnsi"/>
                <w:u w:val="single"/>
              </w:rPr>
              <w:lastRenderedPageBreak/>
              <w:t>Safety:</w:t>
            </w:r>
            <w:r w:rsidR="006D55AE">
              <w:rPr>
                <w:rFonts w:eastAsia="MS Mincho" w:cstheme="minorHAnsi"/>
                <w:u w:val="single"/>
              </w:rPr>
              <w:t xml:space="preserve"> </w:t>
            </w:r>
            <w:r w:rsidR="006D55AE" w:rsidRPr="006D55AE">
              <w:rPr>
                <w:rFonts w:eastAsia="MS Mincho" w:cstheme="minorHAnsi"/>
              </w:rPr>
              <w:t>NR</w:t>
            </w:r>
          </w:p>
        </w:tc>
      </w:tr>
      <w:tr w:rsidR="009042AA" w:rsidRPr="00017AE6" w:rsidTr="005012C6">
        <w:trPr>
          <w:trHeight w:val="99"/>
        </w:trPr>
        <w:tc>
          <w:tcPr>
            <w:tcW w:w="1004" w:type="pct"/>
          </w:tcPr>
          <w:p w:rsidR="009042AA" w:rsidRPr="00017AE6" w:rsidRDefault="001A4206" w:rsidP="00A71365">
            <w:pPr>
              <w:pStyle w:val="Tablewriting"/>
              <w:rPr>
                <w:rFonts w:eastAsia="MS Mincho" w:cstheme="minorHAnsi"/>
              </w:rPr>
            </w:pPr>
            <w:r w:rsidRPr="00156D0F">
              <w:rPr>
                <w:rFonts w:eastAsia="MS Mincho"/>
              </w:rPr>
              <w:lastRenderedPageBreak/>
              <w:t xml:space="preserve">Davidson </w:t>
            </w:r>
            <w:r w:rsidR="006C6C9B">
              <w:rPr>
                <w:rFonts w:eastAsia="MS Mincho"/>
              </w:rPr>
              <w:t>(</w:t>
            </w:r>
            <w:r w:rsidRPr="00156D0F">
              <w:rPr>
                <w:rFonts w:eastAsia="MS Mincho"/>
              </w:rPr>
              <w:t>1998</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52006D" w:rsidP="00A71365">
            <w:pPr>
              <w:pStyle w:val="Tablewriting"/>
              <w:rPr>
                <w:rFonts w:eastAsia="MS Mincho" w:cstheme="minorHAnsi"/>
              </w:rPr>
            </w:pPr>
            <w:r w:rsidRPr="0052006D">
              <w:rPr>
                <w:rFonts w:eastAsia="MS Mincho" w:cstheme="minorHAnsi"/>
              </w:rPr>
              <w:t>USA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52006D">
              <w:rPr>
                <w:rFonts w:eastAsia="MS Mincho" w:cstheme="minorHAnsi"/>
              </w:rPr>
              <w:t>802</w:t>
            </w:r>
          </w:p>
        </w:tc>
        <w:tc>
          <w:tcPr>
            <w:tcW w:w="1046" w:type="pct"/>
          </w:tcPr>
          <w:p w:rsidR="0002381C" w:rsidRPr="0002381C" w:rsidRDefault="009909E1" w:rsidP="00A71365">
            <w:pPr>
              <w:pStyle w:val="Tablewriting"/>
              <w:rPr>
                <w:rFonts w:eastAsia="MS Mincho" w:cstheme="minorHAnsi"/>
              </w:rPr>
            </w:pPr>
            <w:r>
              <w:rPr>
                <w:rFonts w:eastAsia="MS Mincho" w:cstheme="minorHAnsi"/>
              </w:rPr>
              <w:t>S</w:t>
            </w:r>
            <w:r w:rsidR="0002381C" w:rsidRPr="0002381C">
              <w:rPr>
                <w:rFonts w:eastAsia="MS Mincho" w:cstheme="minorHAnsi"/>
              </w:rPr>
              <w:t xml:space="preserve">mokers (&gt; 20 </w:t>
            </w:r>
            <w:r w:rsidR="0002381C">
              <w:rPr>
                <w:rFonts w:eastAsia="MS Mincho" w:cstheme="minorHAnsi"/>
              </w:rPr>
              <w:t>CPD</w:t>
            </w:r>
            <w:r w:rsidR="0002381C" w:rsidRPr="0002381C">
              <w:rPr>
                <w:rFonts w:eastAsia="MS Mincho" w:cstheme="minorHAnsi"/>
              </w:rPr>
              <w:t>) who scored 5+ on a questionnaire assessing motivation</w:t>
            </w:r>
          </w:p>
          <w:p w:rsidR="009042AA" w:rsidRPr="00017AE6" w:rsidRDefault="0002381C" w:rsidP="00A71365">
            <w:pPr>
              <w:pStyle w:val="Tablewriting"/>
              <w:rPr>
                <w:rFonts w:eastAsia="MS Mincho" w:cstheme="minorHAnsi"/>
              </w:rPr>
            </w:pPr>
            <w:r w:rsidRPr="0002381C">
              <w:rPr>
                <w:rFonts w:eastAsia="MS Mincho" w:cstheme="minorHAnsi"/>
              </w:rPr>
              <w:t xml:space="preserve">54% female, average age 39, average </w:t>
            </w:r>
            <w:r>
              <w:rPr>
                <w:rFonts w:eastAsia="MS Mincho" w:cstheme="minorHAnsi"/>
              </w:rPr>
              <w:t>CPD</w:t>
            </w:r>
            <w:r w:rsidRPr="0002381C">
              <w:rPr>
                <w:rFonts w:eastAsia="MS Mincho" w:cstheme="minorHAnsi"/>
              </w:rPr>
              <w:t xml:space="preserve"> 29</w:t>
            </w:r>
            <w:r w:rsidR="00FE35E0">
              <w:rPr>
                <w:rFonts w:eastAsia="MS Mincho" w:cstheme="minorHAnsi"/>
              </w:rPr>
              <w:t>.</w:t>
            </w:r>
          </w:p>
        </w:tc>
        <w:tc>
          <w:tcPr>
            <w:tcW w:w="1056" w:type="pct"/>
          </w:tcPr>
          <w:p w:rsidR="00EB09D8" w:rsidRPr="00EB09D8" w:rsidRDefault="00EB09D8" w:rsidP="00C324F3">
            <w:pPr>
              <w:pStyle w:val="Tablewriting"/>
              <w:numPr>
                <w:ilvl w:val="0"/>
                <w:numId w:val="120"/>
              </w:numPr>
              <w:rPr>
                <w:rFonts w:eastAsia="MS Mincho" w:cstheme="minorHAnsi"/>
              </w:rPr>
            </w:pPr>
            <w:r w:rsidRPr="00EB09D8">
              <w:rPr>
                <w:rFonts w:eastAsia="MS Mincho" w:cstheme="minorHAnsi"/>
              </w:rPr>
              <w:t>Nicotine patch (22 mg, 24 h, for up to 6 weeks)</w:t>
            </w:r>
          </w:p>
          <w:p w:rsidR="00EB09D8" w:rsidRDefault="00EB09D8" w:rsidP="00C324F3">
            <w:pPr>
              <w:pStyle w:val="Tablewriting"/>
              <w:numPr>
                <w:ilvl w:val="0"/>
                <w:numId w:val="120"/>
              </w:numPr>
              <w:rPr>
                <w:rFonts w:eastAsia="MS Mincho" w:cstheme="minorHAnsi"/>
              </w:rPr>
            </w:pPr>
            <w:r w:rsidRPr="00EB09D8">
              <w:rPr>
                <w:rFonts w:eastAsia="MS Mincho" w:cstheme="minorHAnsi"/>
              </w:rPr>
              <w:t>Placebo patch</w:t>
            </w:r>
            <w:r>
              <w:rPr>
                <w:rFonts w:eastAsia="MS Mincho" w:cstheme="minorHAnsi"/>
              </w:rPr>
              <w:t>.</w:t>
            </w:r>
          </w:p>
          <w:p w:rsidR="00EB09D8" w:rsidRPr="00EB09D8" w:rsidRDefault="00EB09D8" w:rsidP="00A71365">
            <w:pPr>
              <w:pStyle w:val="Tablewriting"/>
              <w:rPr>
                <w:rFonts w:eastAsia="MS Mincho" w:cstheme="minorHAnsi"/>
              </w:rPr>
            </w:pPr>
          </w:p>
          <w:p w:rsidR="009042AA" w:rsidRPr="00017AE6" w:rsidRDefault="00EB09D8" w:rsidP="00A71365">
            <w:pPr>
              <w:pStyle w:val="Tablewriting"/>
              <w:ind w:left="360"/>
              <w:rPr>
                <w:rFonts w:eastAsia="MS Mincho" w:cstheme="minorHAnsi"/>
              </w:rPr>
            </w:pPr>
            <w:r w:rsidRPr="00EB09D8">
              <w:rPr>
                <w:rFonts w:eastAsia="MS Mincho" w:cstheme="minorHAnsi"/>
              </w:rPr>
              <w:t>Level of support: low (self-help book provided. Participants visited mall weekly to obtain patches. CO</w:t>
            </w:r>
            <w:r w:rsidR="008566BA">
              <w:rPr>
                <w:rFonts w:eastAsia="MS Mincho" w:cstheme="minorHAnsi"/>
              </w:rPr>
              <w:t xml:space="preserve"> </w:t>
            </w:r>
            <w:r w:rsidRPr="00EB09D8">
              <w:rPr>
                <w:rFonts w:eastAsia="MS Mincho" w:cstheme="minorHAnsi"/>
              </w:rPr>
              <w:t>levels were monitored)</w:t>
            </w:r>
            <w:r w:rsidR="008566BA">
              <w:rPr>
                <w:rFonts w:eastAsia="MS Mincho" w:cstheme="minorHAnsi"/>
              </w:rPr>
              <w:t>.</w:t>
            </w:r>
          </w:p>
        </w:tc>
        <w:tc>
          <w:tcPr>
            <w:tcW w:w="959" w:type="pct"/>
          </w:tcPr>
          <w:p w:rsidR="00464C31" w:rsidRDefault="001173B2" w:rsidP="00A71365">
            <w:pPr>
              <w:pStyle w:val="Tablewriting"/>
              <w:rPr>
                <w:rFonts w:eastAsia="MS Mincho" w:cstheme="minorHAnsi"/>
              </w:rPr>
            </w:pPr>
            <w:r w:rsidRPr="006D55AE">
              <w:rPr>
                <w:rFonts w:eastAsia="MS Mincho" w:cstheme="minorHAnsi"/>
                <w:u w:val="single"/>
              </w:rPr>
              <w:t>Efficacy:</w:t>
            </w:r>
            <w:r w:rsidR="00464C31">
              <w:rPr>
                <w:rFonts w:eastAsia="MS Mincho" w:cstheme="minorHAnsi"/>
              </w:rPr>
              <w:t xml:space="preserve"> </w:t>
            </w:r>
            <w:r w:rsidR="00464C31" w:rsidRPr="00E9620F">
              <w:rPr>
                <w:rFonts w:eastAsia="MS Mincho" w:cstheme="minorHAnsi"/>
              </w:rPr>
              <w:t>Sustained abstinence at 24 weeks (from week 2)</w:t>
            </w:r>
            <w:r w:rsidR="00E9620F">
              <w:rPr>
                <w:rFonts w:eastAsia="MS Mincho" w:cstheme="minorHAnsi"/>
              </w:rPr>
              <w:t>.</w:t>
            </w:r>
          </w:p>
          <w:p w:rsidR="00E9620F" w:rsidRPr="00E9620F" w:rsidRDefault="00E9620F" w:rsidP="00A71365">
            <w:pPr>
              <w:pStyle w:val="Tablewriting"/>
              <w:rPr>
                <w:rFonts w:eastAsia="MS Mincho" w:cstheme="minorHAnsi"/>
              </w:rPr>
            </w:pPr>
          </w:p>
          <w:p w:rsidR="001173B2" w:rsidRDefault="00464C31" w:rsidP="00A71365">
            <w:pPr>
              <w:pStyle w:val="Tablewriting"/>
              <w:rPr>
                <w:rFonts w:eastAsia="MS Mincho" w:cstheme="minorHAnsi"/>
              </w:rPr>
            </w:pPr>
            <w:r w:rsidRPr="00E9620F">
              <w:rPr>
                <w:rFonts w:eastAsia="MS Mincho" w:cstheme="minorHAnsi"/>
              </w:rPr>
              <w:t>Validation: Expired CO e 8 ppm at each weekly visit, but 24 week quit based on self-report</w:t>
            </w:r>
          </w:p>
          <w:p w:rsidR="00B35E43" w:rsidRDefault="00B35E43" w:rsidP="00A71365">
            <w:pPr>
              <w:pStyle w:val="Tablewriting"/>
              <w:rPr>
                <w:rFonts w:eastAsia="MS Mincho" w:cstheme="minorHAnsi"/>
              </w:rPr>
            </w:pPr>
          </w:p>
          <w:p w:rsidR="00464C31" w:rsidRPr="00E9620F" w:rsidRDefault="001173B2" w:rsidP="00A71365">
            <w:pPr>
              <w:pStyle w:val="Tablewriting"/>
              <w:rPr>
                <w:rFonts w:eastAsia="MS Mincho" w:cstheme="minorHAnsi"/>
              </w:rPr>
            </w:pPr>
            <w:r w:rsidRPr="003D507B">
              <w:rPr>
                <w:rFonts w:eastAsia="MS Mincho" w:cstheme="minorHAnsi"/>
                <w:u w:val="single"/>
              </w:rPr>
              <w:t>Safety</w:t>
            </w:r>
            <w:r w:rsidR="00B35E43">
              <w:rPr>
                <w:rFonts w:eastAsia="MS Mincho" w:cstheme="minorHAnsi"/>
              </w:rPr>
              <w:t xml:space="preserve">: </w:t>
            </w:r>
            <w:r w:rsidR="003D507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4C1280" w:rsidP="00A71365">
            <w:pPr>
              <w:pStyle w:val="Tablewriting"/>
              <w:rPr>
                <w:rFonts w:eastAsia="MS Mincho" w:cstheme="minorHAnsi"/>
              </w:rPr>
            </w:pPr>
            <w:r w:rsidRPr="00156D0F">
              <w:rPr>
                <w:rFonts w:eastAsia="MS Mincho"/>
              </w:rPr>
              <w:t xml:space="preserve">Hughes </w:t>
            </w:r>
            <w:r w:rsidR="006C6C9B">
              <w:rPr>
                <w:rFonts w:eastAsia="MS Mincho"/>
              </w:rPr>
              <w:t>(</w:t>
            </w:r>
            <w:r w:rsidRPr="00156D0F">
              <w:rPr>
                <w:rFonts w:eastAsia="MS Mincho"/>
              </w:rPr>
              <w:t>1999</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405605" w:rsidP="00A71365">
            <w:pPr>
              <w:pStyle w:val="Tablewriting"/>
              <w:rPr>
                <w:rFonts w:eastAsia="MS Mincho" w:cstheme="minorHAnsi"/>
              </w:rPr>
            </w:pPr>
            <w:r w:rsidRPr="00405605">
              <w:rPr>
                <w:rFonts w:eastAsia="MS Mincho" w:cstheme="minorHAnsi"/>
              </w:rPr>
              <w:t>USA, Australia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334D5A">
              <w:rPr>
                <w:rFonts w:eastAsia="MS Mincho" w:cstheme="minorHAnsi"/>
              </w:rPr>
              <w:t>1039</w:t>
            </w:r>
          </w:p>
        </w:tc>
        <w:tc>
          <w:tcPr>
            <w:tcW w:w="1046" w:type="pct"/>
          </w:tcPr>
          <w:p w:rsidR="009909E1" w:rsidRPr="009909E1" w:rsidRDefault="009909E1" w:rsidP="00A71365">
            <w:pPr>
              <w:pStyle w:val="Tablewriting"/>
              <w:rPr>
                <w:rFonts w:eastAsia="MS Mincho" w:cstheme="minorHAnsi"/>
              </w:rPr>
            </w:pPr>
            <w:r>
              <w:rPr>
                <w:rFonts w:eastAsia="MS Mincho" w:cstheme="minorHAnsi"/>
              </w:rPr>
              <w:t>S</w:t>
            </w:r>
            <w:r w:rsidRPr="009909E1">
              <w:rPr>
                <w:rFonts w:eastAsia="MS Mincho" w:cstheme="minorHAnsi"/>
              </w:rPr>
              <w:t xml:space="preserve">mokers </w:t>
            </w:r>
            <w:r w:rsidR="00A01276">
              <w:rPr>
                <w:rFonts w:eastAsia="MS Mincho" w:cstheme="minorHAnsi"/>
              </w:rPr>
              <w:t>(</w:t>
            </w:r>
            <w:r w:rsidR="002242B4" w:rsidRPr="002242B4">
              <w:rPr>
                <w:rFonts w:eastAsia="MS Mincho" w:cstheme="minorHAnsi"/>
              </w:rPr>
              <w:t>≥</w:t>
            </w:r>
            <w:r w:rsidRPr="009909E1">
              <w:rPr>
                <w:rFonts w:eastAsia="MS Mincho" w:cstheme="minorHAnsi"/>
              </w:rPr>
              <w:t xml:space="preserve"> 30 </w:t>
            </w:r>
            <w:r w:rsidR="00B0488B">
              <w:rPr>
                <w:rFonts w:eastAsia="MS Mincho" w:cstheme="minorHAnsi"/>
              </w:rPr>
              <w:t>CPD</w:t>
            </w:r>
            <w:r w:rsidRPr="009909E1">
              <w:rPr>
                <w:rFonts w:eastAsia="MS Mincho" w:cstheme="minorHAnsi"/>
              </w:rPr>
              <w:t>) who had made a prior quit attempt, motivated to try again</w:t>
            </w:r>
            <w:r w:rsidR="00F82070">
              <w:rPr>
                <w:rFonts w:eastAsia="MS Mincho" w:cstheme="minorHAnsi"/>
              </w:rPr>
              <w:t>.</w:t>
            </w:r>
          </w:p>
          <w:p w:rsidR="009042AA" w:rsidRPr="00017AE6" w:rsidRDefault="009909E1" w:rsidP="00A71365">
            <w:pPr>
              <w:pStyle w:val="Tablewriting"/>
              <w:rPr>
                <w:rFonts w:eastAsia="MS Mincho" w:cstheme="minorHAnsi"/>
              </w:rPr>
            </w:pPr>
            <w:r w:rsidRPr="009909E1">
              <w:rPr>
                <w:rFonts w:eastAsia="MS Mincho" w:cstheme="minorHAnsi"/>
              </w:rPr>
              <w:t xml:space="preserve">50% male, average age 43, average </w:t>
            </w:r>
            <w:r w:rsidR="00B0488B">
              <w:rPr>
                <w:rFonts w:eastAsia="MS Mincho" w:cstheme="minorHAnsi"/>
              </w:rPr>
              <w:t>CPD</w:t>
            </w:r>
            <w:r w:rsidRPr="009909E1">
              <w:rPr>
                <w:rFonts w:eastAsia="MS Mincho" w:cstheme="minorHAnsi"/>
              </w:rPr>
              <w:t xml:space="preserve"> 38</w:t>
            </w:r>
            <w:r w:rsidR="00B0488B">
              <w:rPr>
                <w:rFonts w:eastAsia="MS Mincho" w:cstheme="minorHAnsi"/>
              </w:rPr>
              <w:t>.</w:t>
            </w:r>
          </w:p>
        </w:tc>
        <w:tc>
          <w:tcPr>
            <w:tcW w:w="1056" w:type="pct"/>
          </w:tcPr>
          <w:p w:rsidR="00334F79" w:rsidRPr="00334F79" w:rsidRDefault="00334F79" w:rsidP="00C324F3">
            <w:pPr>
              <w:pStyle w:val="Tablewriting"/>
              <w:numPr>
                <w:ilvl w:val="0"/>
                <w:numId w:val="121"/>
              </w:numPr>
              <w:rPr>
                <w:rFonts w:eastAsia="MS Mincho" w:cstheme="minorHAnsi"/>
              </w:rPr>
            </w:pPr>
            <w:r w:rsidRPr="00334F79">
              <w:rPr>
                <w:rFonts w:eastAsia="MS Mincho" w:cstheme="minorHAnsi"/>
              </w:rPr>
              <w:t>42 mg nicotine patch (24 h, 6 weeks + 10 weeks tapering)</w:t>
            </w:r>
            <w:r w:rsidR="00954171">
              <w:rPr>
                <w:rFonts w:eastAsia="MS Mincho" w:cstheme="minorHAnsi"/>
              </w:rPr>
              <w:t>.</w:t>
            </w:r>
          </w:p>
          <w:p w:rsidR="00334F79" w:rsidRPr="00334F79" w:rsidRDefault="00334F79" w:rsidP="00C324F3">
            <w:pPr>
              <w:pStyle w:val="Tablewriting"/>
              <w:numPr>
                <w:ilvl w:val="0"/>
                <w:numId w:val="121"/>
              </w:numPr>
              <w:rPr>
                <w:rFonts w:eastAsia="MS Mincho" w:cstheme="minorHAnsi"/>
              </w:rPr>
            </w:pPr>
            <w:r w:rsidRPr="00334F79">
              <w:rPr>
                <w:rFonts w:eastAsia="MS Mincho" w:cstheme="minorHAnsi"/>
              </w:rPr>
              <w:t>35 mg nicotine patch</w:t>
            </w:r>
            <w:r w:rsidR="00954171">
              <w:rPr>
                <w:rFonts w:eastAsia="MS Mincho" w:cstheme="minorHAnsi"/>
              </w:rPr>
              <w:t>.</w:t>
            </w:r>
          </w:p>
          <w:p w:rsidR="00334F79" w:rsidRPr="00334F79" w:rsidRDefault="00334F79" w:rsidP="00C324F3">
            <w:pPr>
              <w:pStyle w:val="Tablewriting"/>
              <w:numPr>
                <w:ilvl w:val="0"/>
                <w:numId w:val="121"/>
              </w:numPr>
              <w:rPr>
                <w:rFonts w:eastAsia="MS Mincho" w:cstheme="minorHAnsi"/>
              </w:rPr>
            </w:pPr>
            <w:r w:rsidRPr="00334F79">
              <w:rPr>
                <w:rFonts w:eastAsia="MS Mincho" w:cstheme="minorHAnsi"/>
              </w:rPr>
              <w:t>21 mg nicotine patch</w:t>
            </w:r>
            <w:r w:rsidR="00954171">
              <w:rPr>
                <w:rFonts w:eastAsia="MS Mincho" w:cstheme="minorHAnsi"/>
              </w:rPr>
              <w:t>.</w:t>
            </w:r>
          </w:p>
          <w:p w:rsidR="00334F79" w:rsidRDefault="00334F79" w:rsidP="00C324F3">
            <w:pPr>
              <w:pStyle w:val="Tablewriting"/>
              <w:numPr>
                <w:ilvl w:val="0"/>
                <w:numId w:val="121"/>
              </w:numPr>
              <w:rPr>
                <w:rFonts w:eastAsia="MS Mincho" w:cstheme="minorHAnsi"/>
              </w:rPr>
            </w:pPr>
            <w:r w:rsidRPr="00334F79">
              <w:rPr>
                <w:rFonts w:eastAsia="MS Mincho" w:cstheme="minorHAnsi"/>
              </w:rPr>
              <w:t>Placebo patch</w:t>
            </w:r>
            <w:r w:rsidR="00954171">
              <w:rPr>
                <w:rFonts w:eastAsia="MS Mincho" w:cstheme="minorHAnsi"/>
              </w:rPr>
              <w:t>.</w:t>
            </w:r>
          </w:p>
          <w:p w:rsidR="00954171" w:rsidRPr="00334F79" w:rsidRDefault="00954171" w:rsidP="00A71365">
            <w:pPr>
              <w:pStyle w:val="Tablewriting"/>
              <w:ind w:left="360"/>
              <w:rPr>
                <w:rFonts w:eastAsia="MS Mincho" w:cstheme="minorHAnsi"/>
              </w:rPr>
            </w:pPr>
          </w:p>
          <w:p w:rsidR="009042AA" w:rsidRPr="00017AE6" w:rsidRDefault="00334F79" w:rsidP="00A71365">
            <w:pPr>
              <w:pStyle w:val="Tablewriting"/>
              <w:rPr>
                <w:rFonts w:eastAsia="MS Mincho" w:cstheme="minorHAnsi"/>
              </w:rPr>
            </w:pPr>
            <w:r w:rsidRPr="00334F79">
              <w:rPr>
                <w:rFonts w:eastAsia="MS Mincho" w:cstheme="minorHAnsi"/>
              </w:rPr>
              <w:t>Level of support: high (group behaviour therapy for 7 weeks, brief individual</w:t>
            </w:r>
            <w:r w:rsidR="00836B64">
              <w:rPr>
                <w:rFonts w:eastAsia="MS Mincho" w:cstheme="minorHAnsi"/>
              </w:rPr>
              <w:t xml:space="preserve"> counselling at 5 dose-tapering </w:t>
            </w:r>
            <w:r w:rsidRPr="00334F79">
              <w:rPr>
                <w:rFonts w:eastAsia="MS Mincho" w:cstheme="minorHAnsi"/>
              </w:rPr>
              <w:t>meetings. Self-help booklet)</w:t>
            </w:r>
            <w:r>
              <w:rPr>
                <w:rFonts w:eastAsia="MS Mincho" w:cstheme="minorHAnsi"/>
              </w:rPr>
              <w:t>.</w:t>
            </w:r>
          </w:p>
        </w:tc>
        <w:tc>
          <w:tcPr>
            <w:tcW w:w="959" w:type="pct"/>
          </w:tcPr>
          <w:p w:rsidR="00954171" w:rsidRPr="00954171" w:rsidRDefault="001173B2" w:rsidP="00A71365">
            <w:pPr>
              <w:pStyle w:val="Tablewriting"/>
              <w:rPr>
                <w:rFonts w:eastAsia="MS Mincho" w:cstheme="minorHAnsi"/>
              </w:rPr>
            </w:pPr>
            <w:r w:rsidRPr="009B13E2">
              <w:rPr>
                <w:rFonts w:eastAsia="MS Mincho" w:cstheme="minorHAnsi"/>
                <w:u w:val="single"/>
              </w:rPr>
              <w:t>Efficacy:</w:t>
            </w:r>
            <w:r w:rsidR="00954171">
              <w:t xml:space="preserve"> </w:t>
            </w:r>
            <w:r w:rsidR="00954171" w:rsidRPr="00954171">
              <w:rPr>
                <w:rFonts w:eastAsia="MS Mincho" w:cstheme="minorHAnsi"/>
              </w:rPr>
              <w:t>Prolonged abstinence at 6 months (from 2 weeks post-quit) verified at each follow-up visit</w:t>
            </w:r>
          </w:p>
          <w:p w:rsidR="00954171" w:rsidRDefault="00954171" w:rsidP="00A71365">
            <w:pPr>
              <w:pStyle w:val="Tablewriting"/>
              <w:rPr>
                <w:rFonts w:eastAsia="MS Mincho" w:cstheme="minorHAnsi"/>
              </w:rPr>
            </w:pPr>
            <w:r w:rsidRPr="00954171">
              <w:rPr>
                <w:rFonts w:eastAsia="MS Mincho" w:cstheme="minorHAnsi"/>
              </w:rPr>
              <w:t>(12-month follow-up only completed for 11/13 sites)</w:t>
            </w:r>
            <w:r>
              <w:rPr>
                <w:rFonts w:eastAsia="MS Mincho" w:cstheme="minorHAnsi"/>
              </w:rPr>
              <w:t>.</w:t>
            </w:r>
          </w:p>
          <w:p w:rsidR="00954171" w:rsidRPr="00954171" w:rsidRDefault="00954171" w:rsidP="00A71365">
            <w:pPr>
              <w:pStyle w:val="Tablewriting"/>
              <w:rPr>
                <w:rFonts w:eastAsia="MS Mincho" w:cstheme="minorHAnsi"/>
              </w:rPr>
            </w:pPr>
          </w:p>
          <w:p w:rsidR="001173B2" w:rsidRPr="00954171" w:rsidRDefault="00954171" w:rsidP="00A71365">
            <w:pPr>
              <w:pStyle w:val="Tablewriting"/>
              <w:rPr>
                <w:rFonts w:eastAsia="MS Mincho" w:cstheme="minorHAnsi"/>
              </w:rPr>
            </w:pPr>
            <w:r w:rsidRPr="00954171">
              <w:rPr>
                <w:rFonts w:eastAsia="MS Mincho" w:cstheme="minorHAnsi"/>
              </w:rPr>
              <w:t xml:space="preserve">Validation: CO </w:t>
            </w:r>
            <w:r w:rsidR="00EE0CEE" w:rsidRPr="001A2671">
              <w:rPr>
                <w:rFonts w:eastAsia="MS Mincho" w:cstheme="minorHAnsi"/>
              </w:rPr>
              <w:t>≤</w:t>
            </w:r>
            <w:r w:rsidRPr="00954171">
              <w:rPr>
                <w:rFonts w:eastAsia="MS Mincho" w:cstheme="minorHAnsi"/>
              </w:rPr>
              <w:t xml:space="preserve"> 10 ppm</w:t>
            </w:r>
            <w:r>
              <w:rPr>
                <w:rFonts w:eastAsia="MS Mincho" w:cstheme="minorHAnsi"/>
              </w:rPr>
              <w:t>.</w:t>
            </w:r>
          </w:p>
          <w:p w:rsidR="001173B2" w:rsidRDefault="001173B2" w:rsidP="00A71365">
            <w:pPr>
              <w:pStyle w:val="Tablewriting"/>
              <w:rPr>
                <w:rFonts w:eastAsia="MS Mincho" w:cstheme="minorHAnsi"/>
              </w:rPr>
            </w:pPr>
          </w:p>
          <w:p w:rsidR="009042AA"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D13C4B" w:rsidP="00A71365">
            <w:pPr>
              <w:pStyle w:val="Tablewriting"/>
              <w:rPr>
                <w:rFonts w:eastAsia="MS Mincho" w:cstheme="minorHAnsi"/>
              </w:rPr>
            </w:pPr>
            <w:r w:rsidRPr="00156D0F">
              <w:rPr>
                <w:rFonts w:eastAsia="MS Mincho"/>
              </w:rPr>
              <w:t xml:space="preserve">Hughes </w:t>
            </w:r>
            <w:r w:rsidR="006C6C9B">
              <w:rPr>
                <w:rFonts w:eastAsia="MS Mincho"/>
              </w:rPr>
              <w:t>(</w:t>
            </w:r>
            <w:r w:rsidRPr="00156D0F">
              <w:rPr>
                <w:rFonts w:eastAsia="MS Mincho"/>
              </w:rPr>
              <w:t>2003</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225840" w:rsidP="00A71365">
            <w:pPr>
              <w:pStyle w:val="Tablewriting"/>
              <w:rPr>
                <w:rFonts w:eastAsia="MS Mincho" w:cstheme="minorHAnsi"/>
              </w:rPr>
            </w:pPr>
            <w:r w:rsidRPr="00225840">
              <w:rPr>
                <w:rFonts w:eastAsia="MS Mincho" w:cstheme="minorHAnsi"/>
              </w:rPr>
              <w:t>USA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225840">
              <w:rPr>
                <w:rFonts w:eastAsia="MS Mincho" w:cstheme="minorHAnsi"/>
              </w:rPr>
              <w:t>115</w:t>
            </w:r>
          </w:p>
        </w:tc>
        <w:tc>
          <w:tcPr>
            <w:tcW w:w="1046" w:type="pct"/>
          </w:tcPr>
          <w:p w:rsidR="00640172" w:rsidRPr="00640172" w:rsidRDefault="00707549" w:rsidP="00A71365">
            <w:pPr>
              <w:pStyle w:val="Tablewriting"/>
              <w:rPr>
                <w:rFonts w:eastAsia="MS Mincho" w:cstheme="minorHAnsi"/>
              </w:rPr>
            </w:pPr>
            <w:r>
              <w:rPr>
                <w:rFonts w:eastAsia="MS Mincho" w:cstheme="minorHAnsi"/>
              </w:rPr>
              <w:t>S</w:t>
            </w:r>
            <w:r w:rsidR="00640172" w:rsidRPr="00640172">
              <w:rPr>
                <w:rFonts w:eastAsia="MS Mincho" w:cstheme="minorHAnsi"/>
              </w:rPr>
              <w:t xml:space="preserve">mokers with a history of alcohol dependence, motivated to quit, </w:t>
            </w:r>
            <w:r w:rsidR="00A01276" w:rsidRPr="002242B4">
              <w:rPr>
                <w:rFonts w:eastAsia="MS Mincho" w:cstheme="minorHAnsi"/>
              </w:rPr>
              <w:t>≥</w:t>
            </w:r>
            <w:r w:rsidR="00640172" w:rsidRPr="00640172">
              <w:rPr>
                <w:rFonts w:eastAsia="MS Mincho" w:cstheme="minorHAnsi"/>
              </w:rPr>
              <w:t xml:space="preserve"> 30 </w:t>
            </w:r>
            <w:r w:rsidR="00640172">
              <w:rPr>
                <w:rFonts w:eastAsia="MS Mincho" w:cstheme="minorHAnsi"/>
              </w:rPr>
              <w:t>CPD</w:t>
            </w:r>
            <w:r w:rsidR="00317DC2">
              <w:rPr>
                <w:rFonts w:eastAsia="MS Mincho" w:cstheme="minorHAnsi"/>
              </w:rPr>
              <w:t>.</w:t>
            </w:r>
          </w:p>
          <w:p w:rsidR="009042AA" w:rsidRPr="00017AE6" w:rsidRDefault="00640172" w:rsidP="00A71365">
            <w:pPr>
              <w:pStyle w:val="Tablewriting"/>
              <w:rPr>
                <w:rFonts w:eastAsia="MS Mincho" w:cstheme="minorHAnsi"/>
              </w:rPr>
            </w:pPr>
            <w:r w:rsidRPr="00640172">
              <w:rPr>
                <w:rFonts w:eastAsia="MS Mincho" w:cstheme="minorHAnsi"/>
              </w:rPr>
              <w:t xml:space="preserve">68% male, average </w:t>
            </w:r>
            <w:r>
              <w:rPr>
                <w:rFonts w:eastAsia="MS Mincho" w:cstheme="minorHAnsi"/>
              </w:rPr>
              <w:t xml:space="preserve">CPD </w:t>
            </w:r>
            <w:r w:rsidRPr="00640172">
              <w:rPr>
                <w:rFonts w:eastAsia="MS Mincho" w:cstheme="minorHAnsi"/>
              </w:rPr>
              <w:t>30</w:t>
            </w:r>
            <w:r w:rsidR="00317DC2">
              <w:rPr>
                <w:rFonts w:eastAsia="MS Mincho" w:cstheme="minorHAnsi"/>
              </w:rPr>
              <w:t>.</w:t>
            </w:r>
          </w:p>
        </w:tc>
        <w:tc>
          <w:tcPr>
            <w:tcW w:w="1056" w:type="pct"/>
          </w:tcPr>
          <w:p w:rsidR="009F1730" w:rsidRDefault="00AC39B0" w:rsidP="00C324F3">
            <w:pPr>
              <w:pStyle w:val="ListParagraph"/>
              <w:numPr>
                <w:ilvl w:val="0"/>
                <w:numId w:val="122"/>
              </w:numPr>
              <w:autoSpaceDE w:val="0"/>
              <w:autoSpaceDN w:val="0"/>
              <w:adjustRightInd w:val="0"/>
              <w:rPr>
                <w:rFonts w:asciiTheme="minorHAnsi" w:eastAsia="MS Mincho" w:hAnsiTheme="minorHAnsi" w:cstheme="minorHAnsi"/>
                <w:lang w:eastAsia="en-US"/>
              </w:rPr>
            </w:pPr>
            <w:r w:rsidRPr="00AC39B0">
              <w:rPr>
                <w:rFonts w:asciiTheme="minorHAnsi" w:eastAsia="MS Mincho" w:hAnsiTheme="minorHAnsi" w:cstheme="minorHAnsi"/>
                <w:lang w:eastAsia="en-US"/>
              </w:rPr>
              <w:t>Nicotine patch (21 mg, 24 h, 6 weeks + 4 weeks tapering + 2 weeks placebo)</w:t>
            </w:r>
            <w:r w:rsidR="009F1730">
              <w:rPr>
                <w:rFonts w:asciiTheme="minorHAnsi" w:eastAsia="MS Mincho" w:hAnsiTheme="minorHAnsi" w:cstheme="minorHAnsi"/>
                <w:lang w:eastAsia="en-US"/>
              </w:rPr>
              <w:t>.</w:t>
            </w:r>
          </w:p>
          <w:p w:rsidR="00AC39B0" w:rsidRPr="009F1730" w:rsidRDefault="00AC39B0" w:rsidP="00C324F3">
            <w:pPr>
              <w:pStyle w:val="ListParagraph"/>
              <w:numPr>
                <w:ilvl w:val="0"/>
                <w:numId w:val="122"/>
              </w:numPr>
              <w:autoSpaceDE w:val="0"/>
              <w:autoSpaceDN w:val="0"/>
              <w:adjustRightInd w:val="0"/>
              <w:rPr>
                <w:rFonts w:asciiTheme="minorHAnsi" w:eastAsia="MS Mincho" w:hAnsiTheme="minorHAnsi" w:cstheme="minorHAnsi"/>
                <w:lang w:eastAsia="en-US"/>
              </w:rPr>
            </w:pPr>
            <w:r w:rsidRPr="009F1730">
              <w:rPr>
                <w:rFonts w:asciiTheme="minorHAnsi" w:eastAsia="MS Mincho" w:hAnsiTheme="minorHAnsi" w:cstheme="minorHAnsi"/>
                <w:lang w:eastAsia="en-US"/>
              </w:rPr>
              <w:t>Placebo patch 12 weeks</w:t>
            </w:r>
          </w:p>
          <w:p w:rsidR="009F1730" w:rsidRDefault="009F1730" w:rsidP="00A71365">
            <w:pPr>
              <w:pStyle w:val="Tablewriting"/>
              <w:rPr>
                <w:rFonts w:eastAsia="MS Mincho" w:cstheme="minorHAnsi"/>
              </w:rPr>
            </w:pPr>
          </w:p>
          <w:p w:rsidR="009042AA" w:rsidRPr="00017AE6" w:rsidRDefault="00AC39B0" w:rsidP="00A71365">
            <w:pPr>
              <w:pStyle w:val="Tablewriting"/>
              <w:rPr>
                <w:rFonts w:eastAsia="MS Mincho" w:cstheme="minorHAnsi"/>
              </w:rPr>
            </w:pPr>
            <w:r w:rsidRPr="00AC39B0">
              <w:rPr>
                <w:rFonts w:eastAsia="MS Mincho" w:cstheme="minorHAnsi"/>
              </w:rPr>
              <w:t>Level of support: high (Group behaviour therapy x 6, brief individual counselling x 3)</w:t>
            </w:r>
            <w:r w:rsidR="009F1730">
              <w:rPr>
                <w:rFonts w:eastAsia="MS Mincho" w:cstheme="minorHAnsi"/>
              </w:rPr>
              <w:t>.</w:t>
            </w:r>
          </w:p>
        </w:tc>
        <w:tc>
          <w:tcPr>
            <w:tcW w:w="959" w:type="pct"/>
          </w:tcPr>
          <w:p w:rsidR="00CD6B27" w:rsidRPr="00CD6B27" w:rsidRDefault="001173B2" w:rsidP="00A71365">
            <w:pPr>
              <w:pStyle w:val="Tablewriting"/>
              <w:rPr>
                <w:rFonts w:eastAsia="MS Mincho" w:cstheme="minorHAnsi"/>
              </w:rPr>
            </w:pPr>
            <w:r w:rsidRPr="009B13E2">
              <w:rPr>
                <w:rFonts w:eastAsia="MS Mincho" w:cstheme="minorHAnsi"/>
                <w:u w:val="single"/>
              </w:rPr>
              <w:t>Efficacy:</w:t>
            </w:r>
            <w:r w:rsidR="00CD6B27">
              <w:rPr>
                <w:rFonts w:eastAsia="MS Mincho" w:cstheme="minorHAnsi"/>
                <w:u w:val="single"/>
              </w:rPr>
              <w:t xml:space="preserve"> </w:t>
            </w:r>
            <w:r w:rsidR="00CD6B27" w:rsidRPr="00CD6B27">
              <w:rPr>
                <w:rFonts w:eastAsia="MS Mincho" w:cstheme="minorHAnsi"/>
              </w:rPr>
              <w:t>Sustained abstinence at 6 months (from 2 weeks post-quit)</w:t>
            </w:r>
            <w:r w:rsidR="00CD6B27">
              <w:rPr>
                <w:rFonts w:eastAsia="MS Mincho" w:cstheme="minorHAnsi"/>
              </w:rPr>
              <w:t>.</w:t>
            </w:r>
          </w:p>
          <w:p w:rsidR="00CD6B27" w:rsidRDefault="00CD6B27" w:rsidP="00A71365">
            <w:pPr>
              <w:pStyle w:val="Tablewriting"/>
              <w:rPr>
                <w:rFonts w:eastAsia="MS Mincho" w:cstheme="minorHAnsi"/>
              </w:rPr>
            </w:pPr>
          </w:p>
          <w:p w:rsidR="001173B2" w:rsidRPr="00CD6B27" w:rsidRDefault="00CD6B27" w:rsidP="00A71365">
            <w:pPr>
              <w:pStyle w:val="Tablewriting"/>
              <w:rPr>
                <w:rFonts w:eastAsia="MS Mincho" w:cstheme="minorHAnsi"/>
              </w:rPr>
            </w:pPr>
            <w:r w:rsidRPr="00CD6B27">
              <w:rPr>
                <w:rFonts w:eastAsia="MS Mincho" w:cstheme="minorHAnsi"/>
              </w:rPr>
              <w:t>Validation: CO e 10 ppm at each follow-up visit</w:t>
            </w:r>
          </w:p>
          <w:p w:rsidR="001173B2" w:rsidRDefault="001173B2" w:rsidP="00A71365">
            <w:pPr>
              <w:pStyle w:val="Tablewriting"/>
              <w:rPr>
                <w:rFonts w:eastAsia="MS Mincho" w:cstheme="minorHAnsi"/>
              </w:rPr>
            </w:pP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8D5A77" w:rsidP="00A71365">
            <w:pPr>
              <w:pStyle w:val="Tablewriting"/>
              <w:rPr>
                <w:rFonts w:eastAsia="MS Mincho" w:cstheme="minorHAnsi"/>
              </w:rPr>
            </w:pPr>
            <w:r w:rsidRPr="00156D0F">
              <w:rPr>
                <w:rFonts w:eastAsia="MS Mincho"/>
              </w:rPr>
              <w:lastRenderedPageBreak/>
              <w:t xml:space="preserve">TNSG </w:t>
            </w:r>
            <w:r w:rsidR="006C6C9B">
              <w:rPr>
                <w:rFonts w:eastAsia="MS Mincho"/>
              </w:rPr>
              <w:t>(</w:t>
            </w:r>
            <w:r w:rsidRPr="00156D0F">
              <w:rPr>
                <w:rFonts w:eastAsia="MS Mincho"/>
              </w:rPr>
              <w:t>1991</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C560AA" w:rsidP="00A71365">
            <w:pPr>
              <w:pStyle w:val="Tablewriting"/>
              <w:rPr>
                <w:rFonts w:eastAsia="MS Mincho" w:cstheme="minorHAnsi"/>
              </w:rPr>
            </w:pPr>
            <w:r>
              <w:rPr>
                <w:rFonts w:eastAsia="MS Mincho" w:cstheme="minorHAnsi"/>
              </w:rPr>
              <w:t>USA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C560AA">
              <w:rPr>
                <w:rFonts w:eastAsia="MS Mincho" w:cstheme="minorHAnsi"/>
              </w:rPr>
              <w:t>808</w:t>
            </w:r>
          </w:p>
        </w:tc>
        <w:tc>
          <w:tcPr>
            <w:tcW w:w="1046" w:type="pct"/>
          </w:tcPr>
          <w:p w:rsidR="00707549" w:rsidRPr="00707549" w:rsidRDefault="00707549" w:rsidP="00A71365">
            <w:pPr>
              <w:pStyle w:val="Tablewriting"/>
              <w:rPr>
                <w:rFonts w:eastAsia="MS Mincho" w:cstheme="minorHAnsi"/>
              </w:rPr>
            </w:pPr>
            <w:r>
              <w:rPr>
                <w:rFonts w:eastAsia="MS Mincho" w:cstheme="minorHAnsi"/>
              </w:rPr>
              <w:t>U</w:t>
            </w:r>
            <w:r w:rsidRPr="00707549">
              <w:rPr>
                <w:rFonts w:eastAsia="MS Mincho" w:cstheme="minorHAnsi"/>
              </w:rPr>
              <w:t>nselected smokers</w:t>
            </w:r>
          </w:p>
          <w:p w:rsidR="009042AA" w:rsidRPr="00017AE6" w:rsidRDefault="00707549" w:rsidP="00A71365">
            <w:pPr>
              <w:pStyle w:val="Tablewriting"/>
              <w:rPr>
                <w:rFonts w:eastAsia="MS Mincho" w:cstheme="minorHAnsi"/>
              </w:rPr>
            </w:pPr>
            <w:r w:rsidRPr="00707549">
              <w:rPr>
                <w:rFonts w:eastAsia="MS Mincho" w:cstheme="minorHAnsi"/>
              </w:rPr>
              <w:t xml:space="preserve">60% female, average age 43, average </w:t>
            </w:r>
            <w:r>
              <w:rPr>
                <w:rFonts w:eastAsia="MS Mincho" w:cstheme="minorHAnsi"/>
              </w:rPr>
              <w:t>CPD</w:t>
            </w:r>
            <w:r w:rsidRPr="00707549">
              <w:rPr>
                <w:rFonts w:eastAsia="MS Mincho" w:cstheme="minorHAnsi"/>
              </w:rPr>
              <w:t xml:space="preserve"> 31</w:t>
            </w:r>
            <w:r>
              <w:rPr>
                <w:rFonts w:eastAsia="MS Mincho" w:cstheme="minorHAnsi"/>
              </w:rPr>
              <w:t>.</w:t>
            </w:r>
          </w:p>
        </w:tc>
        <w:tc>
          <w:tcPr>
            <w:tcW w:w="1056" w:type="pct"/>
          </w:tcPr>
          <w:p w:rsidR="0054604D" w:rsidRDefault="00707549" w:rsidP="00C324F3">
            <w:pPr>
              <w:pStyle w:val="Tablewriting"/>
              <w:numPr>
                <w:ilvl w:val="0"/>
                <w:numId w:val="123"/>
              </w:numPr>
              <w:rPr>
                <w:rFonts w:eastAsia="MS Mincho" w:cstheme="minorHAnsi"/>
              </w:rPr>
            </w:pPr>
            <w:r w:rsidRPr="00707549">
              <w:rPr>
                <w:rFonts w:eastAsia="MS Mincho" w:cstheme="minorHAnsi"/>
              </w:rPr>
              <w:t>Nicotine patch (21 mg/24 h, 6 weeks+)</w:t>
            </w:r>
            <w:r w:rsidR="0054604D">
              <w:rPr>
                <w:rFonts w:eastAsia="MS Mincho" w:cstheme="minorHAnsi"/>
              </w:rPr>
              <w:t>.</w:t>
            </w:r>
          </w:p>
          <w:p w:rsidR="0054604D" w:rsidRDefault="00707549" w:rsidP="00C324F3">
            <w:pPr>
              <w:pStyle w:val="Tablewriting"/>
              <w:numPr>
                <w:ilvl w:val="0"/>
                <w:numId w:val="123"/>
              </w:numPr>
              <w:rPr>
                <w:rFonts w:eastAsia="MS Mincho" w:cstheme="minorHAnsi"/>
              </w:rPr>
            </w:pPr>
            <w:r w:rsidRPr="00D65439">
              <w:rPr>
                <w:rFonts w:eastAsia="MS Mincho" w:cstheme="minorHAnsi"/>
              </w:rPr>
              <w:t>Nicotine patch 14 mg</w:t>
            </w:r>
            <w:r w:rsidR="0054604D">
              <w:rPr>
                <w:rFonts w:eastAsia="MS Mincho" w:cstheme="minorHAnsi"/>
              </w:rPr>
              <w:t>.</w:t>
            </w:r>
          </w:p>
          <w:p w:rsidR="00707549" w:rsidRPr="0054604D" w:rsidRDefault="00707549" w:rsidP="00C324F3">
            <w:pPr>
              <w:pStyle w:val="Tablewriting"/>
              <w:numPr>
                <w:ilvl w:val="0"/>
                <w:numId w:val="123"/>
              </w:numPr>
              <w:rPr>
                <w:rFonts w:eastAsia="MS Mincho" w:cstheme="minorHAnsi"/>
              </w:rPr>
            </w:pPr>
            <w:r w:rsidRPr="0054604D">
              <w:rPr>
                <w:rFonts w:eastAsia="MS Mincho" w:cstheme="minorHAnsi"/>
              </w:rPr>
              <w:t>Placebo patch</w:t>
            </w:r>
            <w:r w:rsidR="0054604D">
              <w:rPr>
                <w:rFonts w:eastAsia="MS Mincho" w:cstheme="minorHAnsi"/>
              </w:rPr>
              <w:t>.</w:t>
            </w:r>
          </w:p>
          <w:p w:rsidR="0054604D" w:rsidRDefault="0054604D" w:rsidP="00A71365">
            <w:pPr>
              <w:pStyle w:val="Tablewriting"/>
              <w:rPr>
                <w:rFonts w:eastAsia="MS Mincho" w:cstheme="minorHAnsi"/>
              </w:rPr>
            </w:pPr>
          </w:p>
          <w:p w:rsidR="00707549" w:rsidRPr="00707549" w:rsidRDefault="00707549" w:rsidP="00A71365">
            <w:pPr>
              <w:pStyle w:val="Tablewriting"/>
              <w:rPr>
                <w:rFonts w:eastAsia="MS Mincho" w:cstheme="minorHAnsi"/>
              </w:rPr>
            </w:pPr>
            <w:r w:rsidRPr="00707549">
              <w:rPr>
                <w:rFonts w:eastAsia="MS Mincho" w:cstheme="minorHAnsi"/>
              </w:rPr>
              <w:t>Abstainers at end of week 6 entered a randomized blinded trial of weaning</w:t>
            </w:r>
          </w:p>
          <w:p w:rsidR="009042AA" w:rsidRPr="00017AE6" w:rsidRDefault="00707549" w:rsidP="00A71365">
            <w:pPr>
              <w:pStyle w:val="Tablewriting"/>
              <w:rPr>
                <w:rFonts w:eastAsia="MS Mincho" w:cstheme="minorHAnsi"/>
              </w:rPr>
            </w:pPr>
            <w:r w:rsidRPr="00707549">
              <w:rPr>
                <w:rFonts w:eastAsia="MS Mincho" w:cstheme="minorHAnsi"/>
              </w:rPr>
              <w:t>Level of support: high (group therapy, 6+ sessions)</w:t>
            </w:r>
          </w:p>
        </w:tc>
        <w:tc>
          <w:tcPr>
            <w:tcW w:w="959" w:type="pct"/>
          </w:tcPr>
          <w:p w:rsidR="0054604D" w:rsidRPr="0054604D" w:rsidRDefault="001173B2" w:rsidP="00A71365">
            <w:pPr>
              <w:pStyle w:val="Tablewriting"/>
              <w:rPr>
                <w:rFonts w:eastAsia="MS Mincho" w:cstheme="minorHAnsi"/>
              </w:rPr>
            </w:pPr>
            <w:r w:rsidRPr="009B13E2">
              <w:rPr>
                <w:rFonts w:eastAsia="MS Mincho" w:cstheme="minorHAnsi"/>
                <w:u w:val="single"/>
              </w:rPr>
              <w:t>Efficacy:</w:t>
            </w:r>
            <w:r w:rsidR="0054604D">
              <w:rPr>
                <w:rFonts w:eastAsia="MS Mincho" w:cstheme="minorHAnsi"/>
                <w:u w:val="single"/>
              </w:rPr>
              <w:t xml:space="preserve"> </w:t>
            </w:r>
            <w:r w:rsidR="0054604D" w:rsidRPr="0054604D">
              <w:rPr>
                <w:rFonts w:eastAsia="MS Mincho" w:cstheme="minorHAnsi"/>
              </w:rPr>
              <w:t>Sustained abstinence at 6 months</w:t>
            </w:r>
          </w:p>
          <w:p w:rsidR="001173B2" w:rsidRPr="0054604D" w:rsidRDefault="0054604D" w:rsidP="00A71365">
            <w:pPr>
              <w:pStyle w:val="Tablewriting"/>
              <w:rPr>
                <w:rFonts w:eastAsia="MS Mincho" w:cstheme="minorHAnsi"/>
              </w:rPr>
            </w:pPr>
            <w:r w:rsidRPr="0054604D">
              <w:rPr>
                <w:rFonts w:eastAsia="MS Mincho" w:cstheme="minorHAnsi"/>
              </w:rPr>
              <w:t>Validation: CO</w:t>
            </w:r>
          </w:p>
          <w:p w:rsidR="001173B2" w:rsidRDefault="001173B2" w:rsidP="00A71365">
            <w:pPr>
              <w:pStyle w:val="Tablewriting"/>
              <w:rPr>
                <w:rFonts w:eastAsia="MS Mincho" w:cstheme="minorHAnsi"/>
              </w:rPr>
            </w:pP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8D5A77" w:rsidP="00A71365">
            <w:pPr>
              <w:pStyle w:val="Tablewriting"/>
              <w:rPr>
                <w:rFonts w:eastAsia="MS Mincho" w:cstheme="minorHAnsi"/>
              </w:rPr>
            </w:pPr>
            <w:r w:rsidRPr="00156D0F">
              <w:rPr>
                <w:rFonts w:eastAsia="MS Mincho"/>
              </w:rPr>
              <w:t xml:space="preserve">Westman </w:t>
            </w:r>
            <w:r w:rsidR="006C6C9B">
              <w:rPr>
                <w:rFonts w:eastAsia="MS Mincho"/>
              </w:rPr>
              <w:t>(</w:t>
            </w:r>
            <w:r w:rsidRPr="00156D0F">
              <w:rPr>
                <w:rFonts w:eastAsia="MS Mincho"/>
              </w:rPr>
              <w:t>1993</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461C6F" w:rsidP="00A71365">
            <w:pPr>
              <w:pStyle w:val="Tablewriting"/>
              <w:rPr>
                <w:rFonts w:eastAsia="MS Mincho" w:cstheme="minorHAnsi"/>
              </w:rPr>
            </w:pPr>
            <w:r>
              <w:rPr>
                <w:rFonts w:eastAsia="MS Mincho" w:cstheme="minorHAnsi"/>
              </w:rPr>
              <w:t>USA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461C6F">
              <w:rPr>
                <w:rFonts w:eastAsia="MS Mincho" w:cstheme="minorHAnsi"/>
              </w:rPr>
              <w:t>158</w:t>
            </w:r>
          </w:p>
        </w:tc>
        <w:tc>
          <w:tcPr>
            <w:tcW w:w="1046" w:type="pct"/>
          </w:tcPr>
          <w:p w:rsidR="00435B28" w:rsidRPr="00435B28" w:rsidRDefault="00435B28" w:rsidP="00A71365">
            <w:pPr>
              <w:pStyle w:val="Tablewriting"/>
              <w:rPr>
                <w:rFonts w:eastAsia="MS Mincho" w:cstheme="minorHAnsi"/>
              </w:rPr>
            </w:pPr>
            <w:r>
              <w:rPr>
                <w:rFonts w:eastAsia="MS Mincho" w:cstheme="minorHAnsi"/>
              </w:rPr>
              <w:t>S</w:t>
            </w:r>
            <w:r w:rsidRPr="00435B28">
              <w:rPr>
                <w:rFonts w:eastAsia="MS Mincho" w:cstheme="minorHAnsi"/>
              </w:rPr>
              <w:t>mokers motivated to quit (excludes 1 participant who used nicotine gum throughout)</w:t>
            </w:r>
          </w:p>
          <w:p w:rsidR="009042AA" w:rsidRPr="00017AE6" w:rsidRDefault="00435B28" w:rsidP="00A71365">
            <w:pPr>
              <w:pStyle w:val="Tablewriting"/>
              <w:rPr>
                <w:rFonts w:eastAsia="MS Mincho" w:cstheme="minorHAnsi"/>
              </w:rPr>
            </w:pPr>
            <w:r w:rsidRPr="00435B28">
              <w:rPr>
                <w:rFonts w:eastAsia="MS Mincho" w:cstheme="minorHAnsi"/>
              </w:rPr>
              <w:t>57% female, average age 41, average cpd 30</w:t>
            </w:r>
            <w:r>
              <w:rPr>
                <w:rFonts w:eastAsia="MS Mincho" w:cstheme="minorHAnsi"/>
              </w:rPr>
              <w:t>.</w:t>
            </w:r>
          </w:p>
        </w:tc>
        <w:tc>
          <w:tcPr>
            <w:tcW w:w="1056" w:type="pct"/>
          </w:tcPr>
          <w:p w:rsidR="001E6F95" w:rsidRPr="001E6F95" w:rsidRDefault="001E6F95" w:rsidP="00C324F3">
            <w:pPr>
              <w:pStyle w:val="Tablewriting"/>
              <w:numPr>
                <w:ilvl w:val="0"/>
                <w:numId w:val="124"/>
              </w:numPr>
              <w:rPr>
                <w:rFonts w:eastAsia="MS Mincho" w:cstheme="minorHAnsi"/>
              </w:rPr>
            </w:pPr>
            <w:r w:rsidRPr="001E6F95">
              <w:rPr>
                <w:rFonts w:eastAsia="MS Mincho" w:cstheme="minorHAnsi"/>
              </w:rPr>
              <w:t>Nicotine patch (25 mg/24 h, 6 weeks incl weaning)</w:t>
            </w:r>
            <w:r w:rsidR="00610F0A">
              <w:rPr>
                <w:rFonts w:eastAsia="MS Mincho" w:cstheme="minorHAnsi"/>
              </w:rPr>
              <w:t>.</w:t>
            </w:r>
          </w:p>
          <w:p w:rsidR="001E6F95" w:rsidRDefault="001E6F95" w:rsidP="00C324F3">
            <w:pPr>
              <w:pStyle w:val="Tablewriting"/>
              <w:numPr>
                <w:ilvl w:val="0"/>
                <w:numId w:val="124"/>
              </w:numPr>
              <w:rPr>
                <w:rFonts w:eastAsia="MS Mincho" w:cstheme="minorHAnsi"/>
              </w:rPr>
            </w:pPr>
            <w:r w:rsidRPr="001E6F95">
              <w:rPr>
                <w:rFonts w:eastAsia="MS Mincho" w:cstheme="minorHAnsi"/>
              </w:rPr>
              <w:t>Placebo patches</w:t>
            </w:r>
            <w:r w:rsidR="00B00049">
              <w:rPr>
                <w:rFonts w:eastAsia="MS Mincho" w:cstheme="minorHAnsi"/>
              </w:rPr>
              <w:t>.</w:t>
            </w:r>
          </w:p>
          <w:p w:rsidR="00B00049" w:rsidRPr="001E6F95" w:rsidRDefault="00B00049" w:rsidP="00A71365">
            <w:pPr>
              <w:pStyle w:val="Tablewriting"/>
              <w:ind w:left="360"/>
              <w:rPr>
                <w:rFonts w:eastAsia="MS Mincho" w:cstheme="minorHAnsi"/>
              </w:rPr>
            </w:pPr>
          </w:p>
          <w:p w:rsidR="009042AA" w:rsidRPr="00017AE6" w:rsidRDefault="001E6F95" w:rsidP="00A71365">
            <w:pPr>
              <w:pStyle w:val="Tablewriting"/>
              <w:rPr>
                <w:rFonts w:eastAsia="MS Mincho" w:cstheme="minorHAnsi"/>
              </w:rPr>
            </w:pPr>
            <w:r w:rsidRPr="001E6F95">
              <w:rPr>
                <w:rFonts w:eastAsia="MS Mincho" w:cstheme="minorHAnsi"/>
              </w:rPr>
              <w:t xml:space="preserve">Level of support: high (brief counsellor support at 3 clinic visits, 4 telephone counselling sessions, </w:t>
            </w:r>
            <w:r w:rsidR="00836B64" w:rsidRPr="001E6F95">
              <w:rPr>
                <w:rFonts w:eastAsia="MS Mincho" w:cstheme="minorHAnsi"/>
              </w:rPr>
              <w:t>self</w:t>
            </w:r>
            <w:r w:rsidR="00836B64">
              <w:rPr>
                <w:rFonts w:eastAsia="MS Mincho" w:cstheme="minorHAnsi"/>
              </w:rPr>
              <w:t xml:space="preserve">-help </w:t>
            </w:r>
            <w:r w:rsidRPr="001E6F95">
              <w:rPr>
                <w:rFonts w:eastAsia="MS Mincho" w:cstheme="minorHAnsi"/>
              </w:rPr>
              <w:t>materials)</w:t>
            </w:r>
            <w:r w:rsidR="00282871">
              <w:rPr>
                <w:rFonts w:eastAsia="MS Mincho" w:cstheme="minorHAnsi"/>
              </w:rPr>
              <w:t>.</w:t>
            </w:r>
          </w:p>
        </w:tc>
        <w:tc>
          <w:tcPr>
            <w:tcW w:w="959" w:type="pct"/>
          </w:tcPr>
          <w:p w:rsidR="00282871" w:rsidRDefault="001173B2" w:rsidP="00A71365">
            <w:pPr>
              <w:pStyle w:val="Tablewriting"/>
              <w:rPr>
                <w:rFonts w:eastAsia="MS Mincho" w:cstheme="minorHAnsi"/>
              </w:rPr>
            </w:pPr>
            <w:r w:rsidRPr="00282871">
              <w:rPr>
                <w:rFonts w:eastAsia="MS Mincho" w:cstheme="minorHAnsi"/>
              </w:rPr>
              <w:t>Efficacy:</w:t>
            </w:r>
            <w:r w:rsidR="00282871" w:rsidRPr="00282871">
              <w:t xml:space="preserve"> </w:t>
            </w:r>
            <w:r w:rsidR="00282871" w:rsidRPr="00282871">
              <w:rPr>
                <w:rFonts w:eastAsia="MS Mincho" w:cstheme="minorHAnsi"/>
              </w:rPr>
              <w:t>Sustained abstinence at 6 months (from 2 weeks post-TQD)</w:t>
            </w:r>
            <w:r w:rsidR="003A0F2B">
              <w:rPr>
                <w:rFonts w:eastAsia="MS Mincho" w:cstheme="minorHAnsi"/>
              </w:rPr>
              <w:t>.</w:t>
            </w:r>
          </w:p>
          <w:p w:rsidR="003A0F2B" w:rsidRPr="00282871" w:rsidRDefault="003A0F2B" w:rsidP="00A71365">
            <w:pPr>
              <w:pStyle w:val="Tablewriting"/>
              <w:rPr>
                <w:rFonts w:eastAsia="MS Mincho" w:cstheme="minorHAnsi"/>
              </w:rPr>
            </w:pPr>
          </w:p>
          <w:p w:rsidR="001173B2" w:rsidRPr="00282871" w:rsidRDefault="00282871" w:rsidP="00A71365">
            <w:pPr>
              <w:pStyle w:val="Tablewriting"/>
              <w:rPr>
                <w:rFonts w:eastAsia="MS Mincho" w:cstheme="minorHAnsi"/>
              </w:rPr>
            </w:pPr>
            <w:r w:rsidRPr="00282871">
              <w:rPr>
                <w:rFonts w:eastAsia="MS Mincho" w:cstheme="minorHAnsi"/>
              </w:rPr>
              <w:t>Validation: CO &lt; 8 ppm</w:t>
            </w:r>
            <w:r w:rsidR="003A0F2B">
              <w:rPr>
                <w:rFonts w:eastAsia="MS Mincho" w:cstheme="minorHAnsi"/>
              </w:rPr>
              <w:t>.</w:t>
            </w:r>
          </w:p>
          <w:p w:rsidR="001173B2" w:rsidRDefault="001173B2" w:rsidP="00A71365">
            <w:pPr>
              <w:pStyle w:val="Tablewriting"/>
              <w:rPr>
                <w:rFonts w:eastAsia="MS Mincho" w:cstheme="minorHAnsi"/>
              </w:rPr>
            </w:pP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5000" w:type="pct"/>
            <w:gridSpan w:val="7"/>
            <w:shd w:val="clear" w:color="auto" w:fill="D9D9D9" w:themeFill="background1" w:themeFillShade="D9"/>
          </w:tcPr>
          <w:p w:rsidR="006C4A81" w:rsidRPr="005012C6" w:rsidRDefault="005012C6" w:rsidP="00A71365">
            <w:pPr>
              <w:pStyle w:val="Tablewriting"/>
              <w:rPr>
                <w:rFonts w:eastAsia="MS Mincho" w:cstheme="minorHAnsi"/>
                <w:b/>
              </w:rPr>
            </w:pPr>
            <w:r w:rsidRPr="005012C6">
              <w:rPr>
                <w:rFonts w:eastAsia="MS Mincho" w:cstheme="minorHAnsi"/>
                <w:b/>
                <w:bCs/>
              </w:rPr>
              <w:t>PP/uncertain 12 months</w:t>
            </w:r>
          </w:p>
        </w:tc>
      </w:tr>
      <w:tr w:rsidR="009042AA" w:rsidRPr="00017AE6" w:rsidTr="005012C6">
        <w:trPr>
          <w:trHeight w:val="99"/>
        </w:trPr>
        <w:tc>
          <w:tcPr>
            <w:tcW w:w="1004" w:type="pct"/>
          </w:tcPr>
          <w:p w:rsidR="009042AA" w:rsidRPr="00017AE6" w:rsidRDefault="00846979" w:rsidP="00A71365">
            <w:pPr>
              <w:pStyle w:val="Tablewriting"/>
              <w:rPr>
                <w:rFonts w:eastAsia="MS Mincho" w:cstheme="minorHAnsi"/>
              </w:rPr>
            </w:pPr>
            <w:r w:rsidRPr="00B07BE1">
              <w:rPr>
                <w:rFonts w:eastAsia="MS Mincho"/>
              </w:rPr>
              <w:t xml:space="preserve">Buchkremer </w:t>
            </w:r>
            <w:r w:rsidR="006C6C9B">
              <w:rPr>
                <w:rFonts w:eastAsia="MS Mincho"/>
              </w:rPr>
              <w:t>(</w:t>
            </w:r>
            <w:r w:rsidRPr="00B07BE1">
              <w:rPr>
                <w:rFonts w:eastAsia="MS Mincho"/>
              </w:rPr>
              <w:t>1988</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7C3131" w:rsidP="00A71365">
            <w:pPr>
              <w:pStyle w:val="Tablewriting"/>
              <w:rPr>
                <w:rFonts w:eastAsia="MS Mincho" w:cstheme="minorHAnsi"/>
              </w:rPr>
            </w:pPr>
            <w:r w:rsidRPr="00E32456">
              <w:rPr>
                <w:rFonts w:eastAsia="MS Mincho" w:cstheme="minorHAnsi"/>
              </w:rPr>
              <w:t>Germany</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7C3131">
              <w:rPr>
                <w:rFonts w:eastAsia="MS Mincho" w:cstheme="minorHAnsi"/>
              </w:rPr>
              <w:t>131</w:t>
            </w:r>
          </w:p>
        </w:tc>
        <w:tc>
          <w:tcPr>
            <w:tcW w:w="1046" w:type="pct"/>
          </w:tcPr>
          <w:p w:rsidR="00CB2DEA" w:rsidRPr="00CB2DEA" w:rsidRDefault="00CB2DEA" w:rsidP="00A71365">
            <w:pPr>
              <w:pStyle w:val="Tablewriting"/>
              <w:rPr>
                <w:rFonts w:eastAsia="MS Mincho" w:cstheme="minorHAnsi"/>
              </w:rPr>
            </w:pPr>
            <w:r>
              <w:rPr>
                <w:rFonts w:eastAsia="MS Mincho" w:cstheme="minorHAnsi"/>
              </w:rPr>
              <w:t>S</w:t>
            </w:r>
            <w:r w:rsidRPr="00CB2DEA">
              <w:rPr>
                <w:rFonts w:eastAsia="MS Mincho" w:cstheme="minorHAnsi"/>
              </w:rPr>
              <w:t>mokers</w:t>
            </w:r>
          </w:p>
          <w:p w:rsidR="00CB2DEA" w:rsidRPr="00CB2DEA" w:rsidRDefault="00CB2DEA" w:rsidP="00A71365">
            <w:pPr>
              <w:pStyle w:val="Tablewriting"/>
              <w:rPr>
                <w:rFonts w:eastAsia="MS Mincho" w:cstheme="minorHAnsi"/>
              </w:rPr>
            </w:pPr>
            <w:r w:rsidRPr="00CB2DEA">
              <w:rPr>
                <w:rFonts w:eastAsia="MS Mincho" w:cstheme="minorHAnsi"/>
              </w:rPr>
              <w:t xml:space="preserve">50% female, average age 35, average </w:t>
            </w:r>
            <w:r>
              <w:rPr>
                <w:rFonts w:eastAsia="MS Mincho" w:cstheme="minorHAnsi"/>
              </w:rPr>
              <w:t>CPD</w:t>
            </w:r>
            <w:r w:rsidRPr="00CB2DEA">
              <w:rPr>
                <w:rFonts w:eastAsia="MS Mincho" w:cstheme="minorHAnsi"/>
              </w:rPr>
              <w:t xml:space="preserve"> 29</w:t>
            </w:r>
          </w:p>
          <w:p w:rsidR="009042AA" w:rsidRPr="00017AE6" w:rsidRDefault="00CB2DEA" w:rsidP="00A71365">
            <w:pPr>
              <w:pStyle w:val="Tablewriting"/>
              <w:rPr>
                <w:rFonts w:eastAsia="MS Mincho" w:cstheme="minorHAnsi"/>
              </w:rPr>
            </w:pPr>
            <w:r w:rsidRPr="00CB2DEA">
              <w:rPr>
                <w:rFonts w:eastAsia="MS Mincho" w:cstheme="minorHAnsi"/>
              </w:rPr>
              <w:t>Participants were motivated to give up</w:t>
            </w:r>
            <w:r>
              <w:rPr>
                <w:rFonts w:eastAsia="MS Mincho" w:cstheme="minorHAnsi"/>
              </w:rPr>
              <w:t>.</w:t>
            </w:r>
          </w:p>
        </w:tc>
        <w:tc>
          <w:tcPr>
            <w:tcW w:w="1056" w:type="pct"/>
          </w:tcPr>
          <w:p w:rsidR="009D0DBA" w:rsidRPr="009D0DBA" w:rsidRDefault="009D0DBA" w:rsidP="00C324F3">
            <w:pPr>
              <w:pStyle w:val="Tablewriting"/>
              <w:numPr>
                <w:ilvl w:val="0"/>
                <w:numId w:val="125"/>
              </w:numPr>
              <w:rPr>
                <w:rFonts w:eastAsia="MS Mincho" w:cstheme="minorHAnsi"/>
              </w:rPr>
            </w:pPr>
            <w:r w:rsidRPr="009D0DBA">
              <w:rPr>
                <w:rFonts w:eastAsia="MS Mincho" w:cstheme="minorHAnsi"/>
              </w:rPr>
              <w:t>Nicotine patch (24 h/day, 8 weeks, 15 cm with weaning) + behavioural therapy</w:t>
            </w:r>
            <w:r w:rsidR="002A6C70">
              <w:rPr>
                <w:rFonts w:eastAsia="MS Mincho" w:cstheme="minorHAnsi"/>
              </w:rPr>
              <w:t>.</w:t>
            </w:r>
          </w:p>
          <w:p w:rsidR="009D0DBA" w:rsidRPr="009D0DBA" w:rsidRDefault="009D0DBA" w:rsidP="00C324F3">
            <w:pPr>
              <w:pStyle w:val="Tablewriting"/>
              <w:numPr>
                <w:ilvl w:val="0"/>
                <w:numId w:val="125"/>
              </w:numPr>
              <w:rPr>
                <w:rFonts w:eastAsia="MS Mincho" w:cstheme="minorHAnsi"/>
              </w:rPr>
            </w:pPr>
            <w:r w:rsidRPr="009D0DBA">
              <w:rPr>
                <w:rFonts w:eastAsia="MS Mincho" w:cstheme="minorHAnsi"/>
              </w:rPr>
              <w:t>Placebo patch + behavioural therapy</w:t>
            </w:r>
            <w:r w:rsidR="002A6C70">
              <w:rPr>
                <w:rFonts w:eastAsia="MS Mincho" w:cstheme="minorHAnsi"/>
              </w:rPr>
              <w:t>.</w:t>
            </w:r>
          </w:p>
          <w:p w:rsidR="009D0DBA" w:rsidRDefault="009D0DBA" w:rsidP="00C324F3">
            <w:pPr>
              <w:pStyle w:val="Tablewriting"/>
              <w:numPr>
                <w:ilvl w:val="0"/>
                <w:numId w:val="125"/>
              </w:numPr>
              <w:rPr>
                <w:rFonts w:eastAsia="MS Mincho" w:cstheme="minorHAnsi"/>
              </w:rPr>
            </w:pPr>
            <w:r w:rsidRPr="009D0DBA">
              <w:rPr>
                <w:rFonts w:eastAsia="MS Mincho" w:cstheme="minorHAnsi"/>
              </w:rPr>
              <w:t>Behavioural therapy alone</w:t>
            </w:r>
            <w:r w:rsidR="002A6C70">
              <w:rPr>
                <w:rFonts w:eastAsia="MS Mincho" w:cstheme="minorHAnsi"/>
              </w:rPr>
              <w:t>.</w:t>
            </w:r>
          </w:p>
          <w:p w:rsidR="002A6C70" w:rsidRPr="009D0DBA" w:rsidRDefault="002A6C70" w:rsidP="00A71365">
            <w:pPr>
              <w:pStyle w:val="Tablewriting"/>
              <w:ind w:left="360"/>
              <w:rPr>
                <w:rFonts w:eastAsia="MS Mincho" w:cstheme="minorHAnsi"/>
              </w:rPr>
            </w:pPr>
          </w:p>
          <w:p w:rsidR="009042AA" w:rsidRPr="00017AE6" w:rsidRDefault="009D0DBA" w:rsidP="00A71365">
            <w:pPr>
              <w:pStyle w:val="Tablewriting"/>
              <w:rPr>
                <w:rFonts w:eastAsia="MS Mincho" w:cstheme="minorHAnsi"/>
              </w:rPr>
            </w:pPr>
            <w:r w:rsidRPr="009D0DBA">
              <w:rPr>
                <w:rFonts w:eastAsia="MS Mincho" w:cstheme="minorHAnsi"/>
              </w:rPr>
              <w:t>Level of support: high (9 weekly group sessions)</w:t>
            </w:r>
            <w:r w:rsidR="0076751B">
              <w:rPr>
                <w:rFonts w:eastAsia="MS Mincho" w:cstheme="minorHAnsi"/>
              </w:rPr>
              <w:t>.</w:t>
            </w:r>
          </w:p>
        </w:tc>
        <w:tc>
          <w:tcPr>
            <w:tcW w:w="959" w:type="pct"/>
          </w:tcPr>
          <w:p w:rsidR="002A7C17" w:rsidRDefault="001173B2" w:rsidP="00A71365">
            <w:pPr>
              <w:pStyle w:val="Tablewriting"/>
              <w:rPr>
                <w:rFonts w:eastAsia="MS Mincho" w:cstheme="minorHAnsi"/>
              </w:rPr>
            </w:pPr>
            <w:r w:rsidRPr="002A7C17">
              <w:rPr>
                <w:rFonts w:eastAsia="MS Mincho" w:cstheme="minorHAnsi"/>
              </w:rPr>
              <w:t>Efficacy:</w:t>
            </w:r>
            <w:r w:rsidR="002A7C17" w:rsidRPr="002A7C17">
              <w:t xml:space="preserve"> </w:t>
            </w:r>
            <w:r w:rsidR="002A7C17" w:rsidRPr="002A7C17">
              <w:rPr>
                <w:rFonts w:eastAsia="MS Mincho" w:cstheme="minorHAnsi"/>
              </w:rPr>
              <w:t>Abstinence (not stated how assessed) at 12 months</w:t>
            </w:r>
            <w:r w:rsidR="00D30AE1">
              <w:rPr>
                <w:rFonts w:eastAsia="MS Mincho" w:cstheme="minorHAnsi"/>
              </w:rPr>
              <w:t>.</w:t>
            </w:r>
          </w:p>
          <w:p w:rsidR="002A7C17" w:rsidRPr="002A7C17" w:rsidRDefault="002A7C17" w:rsidP="00A71365">
            <w:pPr>
              <w:pStyle w:val="Tablewriting"/>
              <w:rPr>
                <w:rFonts w:eastAsia="MS Mincho" w:cstheme="minorHAnsi"/>
              </w:rPr>
            </w:pPr>
          </w:p>
          <w:p w:rsidR="001173B2" w:rsidRPr="002A7C17" w:rsidRDefault="002A7C17" w:rsidP="00A71365">
            <w:pPr>
              <w:pStyle w:val="Tablewriting"/>
              <w:rPr>
                <w:rFonts w:eastAsia="MS Mincho" w:cstheme="minorHAnsi"/>
              </w:rPr>
            </w:pPr>
            <w:r w:rsidRPr="002A7C17">
              <w:rPr>
                <w:rFonts w:eastAsia="MS Mincho" w:cstheme="minorHAnsi"/>
              </w:rPr>
              <w:t>Validation: none</w:t>
            </w:r>
          </w:p>
          <w:p w:rsidR="001173B2" w:rsidRDefault="001173B2" w:rsidP="00A71365">
            <w:pPr>
              <w:pStyle w:val="Tablewriting"/>
              <w:rPr>
                <w:rFonts w:eastAsia="MS Mincho" w:cstheme="minorHAnsi"/>
              </w:rPr>
            </w:pP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225152" w:rsidP="00A71365">
            <w:pPr>
              <w:pStyle w:val="Tablewriting"/>
              <w:rPr>
                <w:rFonts w:eastAsia="MS Mincho" w:cstheme="minorHAnsi"/>
              </w:rPr>
            </w:pPr>
            <w:r w:rsidRPr="00B07BE1">
              <w:rPr>
                <w:rFonts w:eastAsia="MS Mincho"/>
              </w:rPr>
              <w:t xml:space="preserve">Glavas </w:t>
            </w:r>
            <w:r w:rsidR="006C6C9B">
              <w:rPr>
                <w:rFonts w:eastAsia="MS Mincho"/>
              </w:rPr>
              <w:t>(</w:t>
            </w:r>
            <w:r w:rsidRPr="00B07BE1">
              <w:rPr>
                <w:rFonts w:eastAsia="MS Mincho"/>
              </w:rPr>
              <w:t>2003</w:t>
            </w:r>
            <w:r w:rsidR="001C2E71">
              <w:rPr>
                <w:rFonts w:eastAsia="MS Mincho"/>
              </w:rPr>
              <w:t>a</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E55278" w:rsidP="00A71365">
            <w:pPr>
              <w:pStyle w:val="Tablewriting"/>
              <w:rPr>
                <w:rFonts w:eastAsia="MS Mincho" w:cstheme="minorHAnsi"/>
              </w:rPr>
            </w:pPr>
            <w:r w:rsidRPr="00E55278">
              <w:rPr>
                <w:rFonts w:eastAsia="MS Mincho" w:cstheme="minorHAnsi"/>
                <w:lang w:val="en-GB"/>
              </w:rPr>
              <w:t>Croatia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E32456">
              <w:rPr>
                <w:rFonts w:eastAsia="MS Mincho" w:cstheme="minorHAnsi"/>
              </w:rPr>
              <w:t>112</w:t>
            </w:r>
          </w:p>
        </w:tc>
        <w:tc>
          <w:tcPr>
            <w:tcW w:w="1046" w:type="pct"/>
          </w:tcPr>
          <w:p w:rsidR="00BD09F0" w:rsidRPr="00BD09F0" w:rsidRDefault="00BD09F0" w:rsidP="00A71365">
            <w:pPr>
              <w:pStyle w:val="Tablewriting"/>
              <w:rPr>
                <w:rFonts w:eastAsia="MS Mincho" w:cstheme="minorHAnsi"/>
              </w:rPr>
            </w:pPr>
            <w:r>
              <w:rPr>
                <w:rFonts w:eastAsia="MS Mincho" w:cstheme="minorHAnsi"/>
              </w:rPr>
              <w:t>H</w:t>
            </w:r>
            <w:r w:rsidRPr="00BD09F0">
              <w:rPr>
                <w:rFonts w:eastAsia="MS Mincho" w:cstheme="minorHAnsi"/>
              </w:rPr>
              <w:t>ealthcare professionals smoking at least 1 cpd. 26% had FTND score 6+</w:t>
            </w:r>
          </w:p>
          <w:p w:rsidR="009042AA" w:rsidRPr="00017AE6" w:rsidRDefault="00BD09F0" w:rsidP="00A71365">
            <w:pPr>
              <w:pStyle w:val="Tablewriting"/>
              <w:rPr>
                <w:rFonts w:eastAsia="MS Mincho" w:cstheme="minorHAnsi"/>
              </w:rPr>
            </w:pPr>
            <w:r w:rsidRPr="00BD09F0">
              <w:rPr>
                <w:rFonts w:eastAsia="MS Mincho" w:cstheme="minorHAnsi"/>
              </w:rPr>
              <w:t xml:space="preserve">66% female, average age 34, average </w:t>
            </w:r>
            <w:r>
              <w:rPr>
                <w:rFonts w:eastAsia="MS Mincho" w:cstheme="minorHAnsi"/>
              </w:rPr>
              <w:t>CPD</w:t>
            </w:r>
            <w:r w:rsidRPr="00BD09F0">
              <w:rPr>
                <w:rFonts w:eastAsia="MS Mincho" w:cstheme="minorHAnsi"/>
              </w:rPr>
              <w:t xml:space="preserve"> 24</w:t>
            </w:r>
            <w:r w:rsidR="00610FA2">
              <w:rPr>
                <w:rFonts w:eastAsia="MS Mincho" w:cstheme="minorHAnsi"/>
              </w:rPr>
              <w:t>.</w:t>
            </w:r>
          </w:p>
        </w:tc>
        <w:tc>
          <w:tcPr>
            <w:tcW w:w="1056" w:type="pct"/>
          </w:tcPr>
          <w:p w:rsidR="00D73B82" w:rsidRPr="00D73B82" w:rsidRDefault="00D73B82" w:rsidP="00C324F3">
            <w:pPr>
              <w:pStyle w:val="Tablewriting"/>
              <w:numPr>
                <w:ilvl w:val="0"/>
                <w:numId w:val="126"/>
              </w:numPr>
              <w:rPr>
                <w:rFonts w:eastAsia="MS Mincho" w:cstheme="minorHAnsi"/>
              </w:rPr>
            </w:pPr>
            <w:r w:rsidRPr="00D73B82">
              <w:rPr>
                <w:rFonts w:eastAsia="MS Mincho" w:cstheme="minorHAnsi"/>
              </w:rPr>
              <w:t>Nicotine patch, 24 h, 25 mg/15 mg/8 mg starting dose depending on baseline cpd. 3 weeks</w:t>
            </w:r>
          </w:p>
          <w:p w:rsidR="00D73B82" w:rsidRDefault="00D73B82" w:rsidP="00C324F3">
            <w:pPr>
              <w:pStyle w:val="Tablewriting"/>
              <w:numPr>
                <w:ilvl w:val="0"/>
                <w:numId w:val="126"/>
              </w:numPr>
              <w:rPr>
                <w:rFonts w:eastAsia="MS Mincho" w:cstheme="minorHAnsi"/>
              </w:rPr>
            </w:pPr>
            <w:r w:rsidRPr="00D73B82">
              <w:rPr>
                <w:rFonts w:eastAsia="MS Mincho" w:cstheme="minorHAnsi"/>
              </w:rPr>
              <w:t>Placebo patch</w:t>
            </w:r>
            <w:r w:rsidR="0076751B">
              <w:rPr>
                <w:rFonts w:eastAsia="MS Mincho" w:cstheme="minorHAnsi"/>
              </w:rPr>
              <w:t>.</w:t>
            </w:r>
          </w:p>
          <w:p w:rsidR="0076751B" w:rsidRPr="00D73B82" w:rsidRDefault="0076751B" w:rsidP="00A71365">
            <w:pPr>
              <w:pStyle w:val="Tablewriting"/>
              <w:ind w:left="360"/>
              <w:rPr>
                <w:rFonts w:eastAsia="MS Mincho" w:cstheme="minorHAnsi"/>
              </w:rPr>
            </w:pPr>
          </w:p>
          <w:p w:rsidR="009042AA" w:rsidRPr="00017AE6" w:rsidRDefault="00D73B82" w:rsidP="00A71365">
            <w:pPr>
              <w:pStyle w:val="Tablewriting"/>
              <w:rPr>
                <w:rFonts w:eastAsia="MS Mincho" w:cstheme="minorHAnsi"/>
              </w:rPr>
            </w:pPr>
            <w:r w:rsidRPr="00D73B82">
              <w:rPr>
                <w:rFonts w:eastAsia="MS Mincho" w:cstheme="minorHAnsi"/>
              </w:rPr>
              <w:t>Level of support: low (visits to pick up patch at 7, 14, 21 days, no details about advice given)</w:t>
            </w:r>
            <w:r w:rsidR="0076751B">
              <w:rPr>
                <w:rFonts w:eastAsia="MS Mincho" w:cstheme="minorHAnsi"/>
              </w:rPr>
              <w:t>.</w:t>
            </w:r>
          </w:p>
        </w:tc>
        <w:tc>
          <w:tcPr>
            <w:tcW w:w="959" w:type="pct"/>
          </w:tcPr>
          <w:p w:rsidR="00302F8D" w:rsidRDefault="001173B2" w:rsidP="00A71365">
            <w:pPr>
              <w:pStyle w:val="Tablewriting"/>
              <w:rPr>
                <w:rFonts w:eastAsia="MS Mincho" w:cstheme="minorHAnsi"/>
              </w:rPr>
            </w:pPr>
            <w:r w:rsidRPr="00302F8D">
              <w:rPr>
                <w:rFonts w:eastAsia="MS Mincho" w:cstheme="minorHAnsi"/>
              </w:rPr>
              <w:lastRenderedPageBreak/>
              <w:t>Efficacy:</w:t>
            </w:r>
            <w:r w:rsidR="00302F8D" w:rsidRPr="00302F8D">
              <w:t xml:space="preserve"> </w:t>
            </w:r>
            <w:r w:rsidR="00302F8D" w:rsidRPr="00302F8D">
              <w:rPr>
                <w:rFonts w:eastAsia="MS Mincho" w:cstheme="minorHAnsi"/>
              </w:rPr>
              <w:t>Sustained abstinence (3 or fewer cigarettes/week) at 1 year (5-year abs</w:t>
            </w:r>
            <w:r w:rsidR="00836B64">
              <w:rPr>
                <w:rFonts w:eastAsia="MS Mincho" w:cstheme="minorHAnsi"/>
              </w:rPr>
              <w:t>tinence also reported, not used</w:t>
            </w:r>
            <w:r w:rsidR="00302F8D" w:rsidRPr="00302F8D">
              <w:rPr>
                <w:rFonts w:eastAsia="MS Mincho" w:cstheme="minorHAnsi"/>
              </w:rPr>
              <w:t>in MA)</w:t>
            </w:r>
            <w:r w:rsidR="00302F8D">
              <w:rPr>
                <w:rFonts w:eastAsia="MS Mincho" w:cstheme="minorHAnsi"/>
              </w:rPr>
              <w:t>.</w:t>
            </w:r>
          </w:p>
          <w:p w:rsidR="00302F8D" w:rsidRPr="00302F8D" w:rsidRDefault="00302F8D" w:rsidP="00A71365">
            <w:pPr>
              <w:pStyle w:val="Tablewriting"/>
              <w:rPr>
                <w:rFonts w:eastAsia="MS Mincho" w:cstheme="minorHAnsi"/>
              </w:rPr>
            </w:pPr>
          </w:p>
          <w:p w:rsidR="001173B2" w:rsidRPr="00302F8D" w:rsidRDefault="00302F8D" w:rsidP="00A71365">
            <w:pPr>
              <w:pStyle w:val="Tablewriting"/>
              <w:rPr>
                <w:rFonts w:eastAsia="MS Mincho" w:cstheme="minorHAnsi"/>
              </w:rPr>
            </w:pPr>
            <w:r w:rsidRPr="00302F8D">
              <w:rPr>
                <w:rFonts w:eastAsia="MS Mincho" w:cstheme="minorHAnsi"/>
              </w:rPr>
              <w:lastRenderedPageBreak/>
              <w:t>Validation: CO &lt; 11 ppm</w:t>
            </w:r>
            <w:r>
              <w:rPr>
                <w:rFonts w:eastAsia="MS Mincho" w:cstheme="minorHAnsi"/>
              </w:rPr>
              <w:t>.</w:t>
            </w:r>
          </w:p>
          <w:p w:rsidR="001173B2" w:rsidRDefault="001173B2" w:rsidP="00A71365">
            <w:pPr>
              <w:pStyle w:val="Tablewriting"/>
              <w:rPr>
                <w:rFonts w:eastAsia="MS Mincho" w:cstheme="minorHAnsi"/>
              </w:rPr>
            </w:pP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225152" w:rsidP="00A71365">
            <w:pPr>
              <w:pStyle w:val="Tablewriting"/>
              <w:rPr>
                <w:rFonts w:eastAsia="MS Mincho" w:cstheme="minorHAnsi"/>
              </w:rPr>
            </w:pPr>
            <w:r w:rsidRPr="00B07BE1">
              <w:rPr>
                <w:rFonts w:eastAsia="MS Mincho"/>
              </w:rPr>
              <w:lastRenderedPageBreak/>
              <w:t xml:space="preserve">Hays </w:t>
            </w:r>
            <w:r w:rsidR="006C6C9B">
              <w:rPr>
                <w:rFonts w:eastAsia="MS Mincho"/>
              </w:rPr>
              <w:t>(</w:t>
            </w:r>
            <w:r w:rsidRPr="00B07BE1">
              <w:rPr>
                <w:rFonts w:eastAsia="MS Mincho"/>
              </w:rPr>
              <w:t>1999</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3A71A9" w:rsidP="00A71365">
            <w:pPr>
              <w:pStyle w:val="Tablewriting"/>
              <w:rPr>
                <w:rFonts w:eastAsia="MS Mincho" w:cstheme="minorHAnsi"/>
              </w:rPr>
            </w:pPr>
            <w:r w:rsidRPr="003A71A9">
              <w:rPr>
                <w:rFonts w:eastAsia="MS Mincho" w:cstheme="minorHAnsi"/>
              </w:rPr>
              <w:t xml:space="preserve">USA </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610FA2">
              <w:rPr>
                <w:rFonts w:eastAsia="MS Mincho" w:cstheme="minorHAnsi"/>
              </w:rPr>
              <w:t>958</w:t>
            </w:r>
          </w:p>
        </w:tc>
        <w:tc>
          <w:tcPr>
            <w:tcW w:w="1046" w:type="pct"/>
          </w:tcPr>
          <w:p w:rsidR="00610FA2" w:rsidRPr="00610FA2" w:rsidRDefault="00610FA2" w:rsidP="00A71365">
            <w:pPr>
              <w:pStyle w:val="Tablewriting"/>
              <w:rPr>
                <w:rFonts w:eastAsia="MS Mincho" w:cstheme="minorHAnsi"/>
              </w:rPr>
            </w:pPr>
            <w:r>
              <w:rPr>
                <w:rFonts w:eastAsia="MS Mincho" w:cstheme="minorHAnsi"/>
              </w:rPr>
              <w:t>S</w:t>
            </w:r>
            <w:r w:rsidRPr="00610FA2">
              <w:rPr>
                <w:rFonts w:eastAsia="MS Mincho" w:cstheme="minorHAnsi"/>
              </w:rPr>
              <w:t>mokers, &gt; 15</w:t>
            </w:r>
            <w:r>
              <w:rPr>
                <w:rFonts w:eastAsia="MS Mincho" w:cstheme="minorHAnsi"/>
              </w:rPr>
              <w:t xml:space="preserve"> CPD</w:t>
            </w:r>
            <w:r w:rsidRPr="00610FA2">
              <w:rPr>
                <w:rFonts w:eastAsia="MS Mincho" w:cstheme="minorHAnsi"/>
              </w:rPr>
              <w:t>, motivated to quit</w:t>
            </w:r>
            <w:r>
              <w:rPr>
                <w:rFonts w:eastAsia="MS Mincho" w:cstheme="minorHAnsi"/>
              </w:rPr>
              <w:t>.</w:t>
            </w:r>
          </w:p>
          <w:p w:rsidR="009042AA" w:rsidRPr="00017AE6" w:rsidRDefault="00610FA2" w:rsidP="00A71365">
            <w:pPr>
              <w:pStyle w:val="Tablewriting"/>
              <w:rPr>
                <w:rFonts w:eastAsia="MS Mincho" w:cstheme="minorHAnsi"/>
              </w:rPr>
            </w:pPr>
            <w:r w:rsidRPr="00610FA2">
              <w:rPr>
                <w:rFonts w:eastAsia="MS Mincho" w:cstheme="minorHAnsi"/>
              </w:rPr>
              <w:t xml:space="preserve">50% female, average age 44, typically smoked 21 to 40 </w:t>
            </w:r>
            <w:r>
              <w:rPr>
                <w:rFonts w:eastAsia="MS Mincho" w:cstheme="minorHAnsi"/>
              </w:rPr>
              <w:t>CPD.</w:t>
            </w:r>
          </w:p>
        </w:tc>
        <w:tc>
          <w:tcPr>
            <w:tcW w:w="1056" w:type="pct"/>
          </w:tcPr>
          <w:p w:rsidR="00610FA2" w:rsidRPr="00610FA2" w:rsidRDefault="00610FA2" w:rsidP="00C324F3">
            <w:pPr>
              <w:pStyle w:val="Tablewriting"/>
              <w:numPr>
                <w:ilvl w:val="0"/>
                <w:numId w:val="127"/>
              </w:numPr>
              <w:rPr>
                <w:rFonts w:eastAsia="MS Mincho" w:cstheme="minorHAnsi"/>
              </w:rPr>
            </w:pPr>
            <w:r w:rsidRPr="00610FA2">
              <w:rPr>
                <w:rFonts w:eastAsia="MS Mincho" w:cstheme="minorHAnsi"/>
              </w:rPr>
              <w:t>Nicotine patches (22 mg, 24 h for 6 weeks) purchased by participants, open-label</w:t>
            </w:r>
            <w:r w:rsidR="001F41D8">
              <w:rPr>
                <w:rFonts w:eastAsia="MS Mincho" w:cstheme="minorHAnsi"/>
              </w:rPr>
              <w:t>.</w:t>
            </w:r>
          </w:p>
          <w:p w:rsidR="00610FA2" w:rsidRPr="00610FA2" w:rsidRDefault="00610FA2" w:rsidP="00C324F3">
            <w:pPr>
              <w:pStyle w:val="Tablewriting"/>
              <w:numPr>
                <w:ilvl w:val="0"/>
                <w:numId w:val="127"/>
              </w:numPr>
              <w:rPr>
                <w:rFonts w:eastAsia="MS Mincho" w:cstheme="minorHAnsi"/>
              </w:rPr>
            </w:pPr>
            <w:r w:rsidRPr="00610FA2">
              <w:rPr>
                <w:rFonts w:eastAsia="MS Mincho" w:cstheme="minorHAnsi"/>
              </w:rPr>
              <w:t>Nicotine patches (22 mg, 24 h for 6 weeks) provided, double-blind</w:t>
            </w:r>
            <w:r w:rsidR="001F41D8">
              <w:rPr>
                <w:rFonts w:eastAsia="MS Mincho" w:cstheme="minorHAnsi"/>
              </w:rPr>
              <w:t>.</w:t>
            </w:r>
          </w:p>
          <w:p w:rsidR="00610FA2" w:rsidRDefault="00610FA2" w:rsidP="00C324F3">
            <w:pPr>
              <w:pStyle w:val="Tablewriting"/>
              <w:numPr>
                <w:ilvl w:val="0"/>
                <w:numId w:val="127"/>
              </w:numPr>
              <w:rPr>
                <w:rFonts w:eastAsia="MS Mincho" w:cstheme="minorHAnsi"/>
              </w:rPr>
            </w:pPr>
            <w:r w:rsidRPr="00610FA2">
              <w:rPr>
                <w:rFonts w:eastAsia="MS Mincho" w:cstheme="minorHAnsi"/>
              </w:rPr>
              <w:t>Placebo patches provided</w:t>
            </w:r>
            <w:r w:rsidR="001F41D8">
              <w:rPr>
                <w:rFonts w:eastAsia="MS Mincho" w:cstheme="minorHAnsi"/>
              </w:rPr>
              <w:t>.</w:t>
            </w:r>
          </w:p>
          <w:p w:rsidR="001F41D8" w:rsidRPr="00610FA2" w:rsidRDefault="001F41D8" w:rsidP="00A71365">
            <w:pPr>
              <w:pStyle w:val="Tablewriting"/>
              <w:ind w:left="360"/>
              <w:rPr>
                <w:rFonts w:eastAsia="MS Mincho" w:cstheme="minorHAnsi"/>
              </w:rPr>
            </w:pPr>
          </w:p>
          <w:p w:rsidR="00610FA2" w:rsidRPr="00610FA2" w:rsidRDefault="00610FA2" w:rsidP="00A71365">
            <w:pPr>
              <w:pStyle w:val="Tablewriting"/>
              <w:rPr>
                <w:rFonts w:eastAsia="MS Mincho" w:cstheme="minorHAnsi"/>
              </w:rPr>
            </w:pPr>
            <w:r w:rsidRPr="00610FA2">
              <w:rPr>
                <w:rFonts w:eastAsia="MS Mincho" w:cstheme="minorHAnsi"/>
              </w:rPr>
              <w:t>The intervention replicated an OTC environment, with no counselling intervention and minimal study</w:t>
            </w:r>
          </w:p>
          <w:p w:rsidR="00610FA2" w:rsidRPr="00610FA2" w:rsidRDefault="00610FA2" w:rsidP="00A71365">
            <w:pPr>
              <w:pStyle w:val="Tablewriting"/>
              <w:rPr>
                <w:rFonts w:eastAsia="MS Mincho" w:cstheme="minorHAnsi"/>
              </w:rPr>
            </w:pPr>
            <w:r w:rsidRPr="00610FA2">
              <w:rPr>
                <w:rFonts w:eastAsia="MS Mincho" w:cstheme="minorHAnsi"/>
              </w:rPr>
              <w:t>recording. Weekly visits required for CO</w:t>
            </w:r>
            <w:r w:rsidR="001F41D8">
              <w:rPr>
                <w:rFonts w:eastAsia="MS Mincho" w:cstheme="minorHAnsi"/>
              </w:rPr>
              <w:t xml:space="preserve"> </w:t>
            </w:r>
            <w:r w:rsidRPr="00610FA2">
              <w:rPr>
                <w:rFonts w:eastAsia="MS Mincho" w:cstheme="minorHAnsi"/>
              </w:rPr>
              <w:t xml:space="preserve">measurement and adverse experience recording, but </w:t>
            </w:r>
            <w:r w:rsidR="001F41D8">
              <w:rPr>
                <w:rFonts w:eastAsia="MS Mincho" w:cstheme="minorHAnsi"/>
              </w:rPr>
              <w:t xml:space="preserve">study </w:t>
            </w:r>
            <w:r w:rsidRPr="00610FA2">
              <w:rPr>
                <w:rFonts w:eastAsia="MS Mincho" w:cstheme="minorHAnsi"/>
              </w:rPr>
              <w:t>sites were not in medical centres and there was no advice, counselling or interaction with medical personnel</w:t>
            </w:r>
            <w:r w:rsidR="001F41D8">
              <w:rPr>
                <w:rFonts w:eastAsia="MS Mincho" w:cstheme="minorHAnsi"/>
              </w:rPr>
              <w:t>.</w:t>
            </w:r>
          </w:p>
          <w:p w:rsidR="009042AA" w:rsidRPr="00017AE6" w:rsidRDefault="00610FA2" w:rsidP="00A71365">
            <w:pPr>
              <w:pStyle w:val="Tablewriting"/>
              <w:rPr>
                <w:rFonts w:eastAsia="MS Mincho" w:cstheme="minorHAnsi"/>
              </w:rPr>
            </w:pPr>
            <w:r w:rsidRPr="00610FA2">
              <w:rPr>
                <w:rFonts w:eastAsia="MS Mincho" w:cstheme="minorHAnsi"/>
              </w:rPr>
              <w:t>Level of support: low</w:t>
            </w:r>
          </w:p>
        </w:tc>
        <w:tc>
          <w:tcPr>
            <w:tcW w:w="959" w:type="pct"/>
          </w:tcPr>
          <w:p w:rsidR="00910A42" w:rsidRDefault="001173B2" w:rsidP="00A71365">
            <w:pPr>
              <w:pStyle w:val="Tablewriting"/>
              <w:rPr>
                <w:rFonts w:eastAsia="MS Mincho" w:cstheme="minorHAnsi"/>
              </w:rPr>
            </w:pPr>
            <w:r w:rsidRPr="00910A42">
              <w:rPr>
                <w:rFonts w:eastAsia="MS Mincho" w:cstheme="minorHAnsi"/>
              </w:rPr>
              <w:t>Efficacy:</w:t>
            </w:r>
            <w:r w:rsidR="00910A42" w:rsidRPr="00910A42">
              <w:t xml:space="preserve"> </w:t>
            </w:r>
            <w:r w:rsidR="00910A42" w:rsidRPr="00910A42">
              <w:rPr>
                <w:rFonts w:eastAsia="MS Mincho" w:cstheme="minorHAnsi"/>
              </w:rPr>
              <w:t>Abstinence at 6 months (7-day PP)</w:t>
            </w:r>
            <w:r w:rsidR="00910A42">
              <w:rPr>
                <w:rFonts w:eastAsia="MS Mincho" w:cstheme="minorHAnsi"/>
              </w:rPr>
              <w:t>.</w:t>
            </w:r>
          </w:p>
          <w:p w:rsidR="00910A42" w:rsidRPr="00910A42" w:rsidRDefault="00910A42" w:rsidP="00A71365">
            <w:pPr>
              <w:pStyle w:val="Tablewriting"/>
              <w:rPr>
                <w:rFonts w:eastAsia="MS Mincho" w:cstheme="minorHAnsi"/>
              </w:rPr>
            </w:pPr>
          </w:p>
          <w:p w:rsidR="001173B2" w:rsidRPr="009B13E2" w:rsidRDefault="00910A42" w:rsidP="00A71365">
            <w:pPr>
              <w:pStyle w:val="Tablewriting"/>
              <w:rPr>
                <w:rFonts w:eastAsia="MS Mincho" w:cstheme="minorHAnsi"/>
                <w:u w:val="single"/>
              </w:rPr>
            </w:pPr>
            <w:r w:rsidRPr="00910A42">
              <w:rPr>
                <w:rFonts w:eastAsia="MS Mincho" w:cstheme="minorHAnsi"/>
              </w:rPr>
              <w:t xml:space="preserve">Validation: CO </w:t>
            </w:r>
            <w:r w:rsidR="00EE0CEE" w:rsidRPr="001A2671">
              <w:rPr>
                <w:rFonts w:eastAsia="MS Mincho" w:cstheme="minorHAnsi"/>
              </w:rPr>
              <w:t>≤</w:t>
            </w:r>
            <w:r w:rsidRPr="00910A42">
              <w:rPr>
                <w:rFonts w:eastAsia="MS Mincho" w:cstheme="minorHAnsi"/>
              </w:rPr>
              <w:t xml:space="preserve"> 8 ppm</w:t>
            </w:r>
            <w:r>
              <w:rPr>
                <w:rFonts w:eastAsia="MS Mincho" w:cstheme="minorHAnsi"/>
              </w:rPr>
              <w:t>.</w:t>
            </w:r>
          </w:p>
          <w:p w:rsidR="001173B2" w:rsidRDefault="001173B2" w:rsidP="00A71365">
            <w:pPr>
              <w:pStyle w:val="Tablewriting"/>
              <w:rPr>
                <w:rFonts w:eastAsia="MS Mincho" w:cstheme="minorHAnsi"/>
              </w:rPr>
            </w:pP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2778"/>
        </w:trPr>
        <w:tc>
          <w:tcPr>
            <w:tcW w:w="1004" w:type="pct"/>
          </w:tcPr>
          <w:p w:rsidR="009042AA" w:rsidRPr="00017AE6" w:rsidRDefault="00225152" w:rsidP="00A71365">
            <w:pPr>
              <w:pStyle w:val="Tablewriting"/>
              <w:rPr>
                <w:rFonts w:eastAsia="MS Mincho" w:cstheme="minorHAnsi"/>
              </w:rPr>
            </w:pPr>
            <w:r w:rsidRPr="00B07BE1">
              <w:rPr>
                <w:rFonts w:eastAsia="MS Mincho"/>
              </w:rPr>
              <w:lastRenderedPageBreak/>
              <w:t xml:space="preserve">Heydari </w:t>
            </w:r>
            <w:r w:rsidR="006C6C9B">
              <w:rPr>
                <w:rFonts w:eastAsia="MS Mincho"/>
              </w:rPr>
              <w:t>(</w:t>
            </w:r>
            <w:r w:rsidRPr="00B07BE1">
              <w:rPr>
                <w:rFonts w:eastAsia="MS Mincho"/>
              </w:rPr>
              <w:t>2012</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BB5090" w:rsidP="00A71365">
            <w:pPr>
              <w:pStyle w:val="Tablewriting"/>
              <w:rPr>
                <w:rFonts w:eastAsia="MS Mincho" w:cstheme="minorHAnsi"/>
              </w:rPr>
            </w:pPr>
            <w:r w:rsidRPr="00BB5090">
              <w:rPr>
                <w:rFonts w:eastAsia="MS Mincho" w:cstheme="minorHAnsi"/>
              </w:rPr>
              <w:t>Iran</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763925">
              <w:rPr>
                <w:rFonts w:eastAsia="MS Mincho" w:cstheme="minorHAnsi"/>
              </w:rPr>
              <w:t>272</w:t>
            </w:r>
          </w:p>
        </w:tc>
        <w:tc>
          <w:tcPr>
            <w:tcW w:w="1046" w:type="pct"/>
          </w:tcPr>
          <w:p w:rsidR="00763925" w:rsidRPr="00763925" w:rsidRDefault="00A1347D" w:rsidP="00A71365">
            <w:pPr>
              <w:pStyle w:val="Tablewriting"/>
              <w:rPr>
                <w:rFonts w:eastAsia="MS Mincho" w:cstheme="minorHAnsi"/>
              </w:rPr>
            </w:pPr>
            <w:r>
              <w:rPr>
                <w:rFonts w:eastAsia="MS Mincho" w:cstheme="minorHAnsi"/>
              </w:rPr>
              <w:t>T</w:t>
            </w:r>
            <w:r w:rsidR="00763925" w:rsidRPr="00763925">
              <w:rPr>
                <w:rFonts w:eastAsia="MS Mincho" w:cstheme="minorHAnsi"/>
              </w:rPr>
              <w:t>reatment-seeking participants: Brief advice (91), NRT (92), varenicline (89).</w:t>
            </w:r>
          </w:p>
          <w:p w:rsidR="009042AA" w:rsidRPr="00017AE6" w:rsidRDefault="00763925" w:rsidP="00A71365">
            <w:pPr>
              <w:pStyle w:val="Tablewriting"/>
              <w:rPr>
                <w:rFonts w:eastAsia="MS Mincho" w:cstheme="minorHAnsi"/>
              </w:rPr>
            </w:pPr>
            <w:r w:rsidRPr="00763925">
              <w:rPr>
                <w:rFonts w:eastAsia="MS Mincho" w:cstheme="minorHAnsi"/>
              </w:rPr>
              <w:t>41.2% women, mean age 42.5 years, mean FTND 5.5</w:t>
            </w:r>
          </w:p>
        </w:tc>
        <w:tc>
          <w:tcPr>
            <w:tcW w:w="1056" w:type="pct"/>
          </w:tcPr>
          <w:p w:rsidR="009042AA" w:rsidRDefault="00A1347D" w:rsidP="00C324F3">
            <w:pPr>
              <w:pStyle w:val="Tablewriting"/>
              <w:numPr>
                <w:ilvl w:val="0"/>
                <w:numId w:val="128"/>
              </w:numPr>
              <w:rPr>
                <w:rFonts w:eastAsia="MS Mincho" w:cstheme="minorHAnsi"/>
              </w:rPr>
            </w:pPr>
            <w:r w:rsidRPr="00BE3B13">
              <w:rPr>
                <w:rFonts w:eastAsia="MS Mincho" w:cstheme="minorHAnsi"/>
              </w:rPr>
              <w:t>NRT: 8 weeks of 15 mg/24 h NRT patches</w:t>
            </w:r>
            <w:r w:rsidR="00860088">
              <w:rPr>
                <w:rFonts w:eastAsia="MS Mincho" w:cstheme="minorHAnsi"/>
              </w:rPr>
              <w:t>.</w:t>
            </w:r>
          </w:p>
          <w:p w:rsidR="00860088" w:rsidRPr="00860088" w:rsidRDefault="00860088" w:rsidP="00C324F3">
            <w:pPr>
              <w:pStyle w:val="Tablewriting"/>
              <w:numPr>
                <w:ilvl w:val="0"/>
                <w:numId w:val="128"/>
              </w:numPr>
              <w:rPr>
                <w:rFonts w:eastAsia="MS Mincho" w:cstheme="minorHAnsi"/>
              </w:rPr>
            </w:pPr>
            <w:r w:rsidRPr="00860088">
              <w:rPr>
                <w:rFonts w:eastAsia="MS Mincho" w:cstheme="minorHAnsi"/>
              </w:rPr>
              <w:t>8 weeks of 1 mg x 2/day varenicline (titrated 1st week)</w:t>
            </w:r>
            <w:r w:rsidR="0002065F">
              <w:rPr>
                <w:rFonts w:eastAsia="MS Mincho" w:cstheme="minorHAnsi"/>
              </w:rPr>
              <w:t>.</w:t>
            </w:r>
          </w:p>
          <w:p w:rsidR="00860088" w:rsidRDefault="00860088" w:rsidP="00C324F3">
            <w:pPr>
              <w:pStyle w:val="Tablewriting"/>
              <w:numPr>
                <w:ilvl w:val="0"/>
                <w:numId w:val="128"/>
              </w:numPr>
              <w:rPr>
                <w:rFonts w:eastAsia="MS Mincho" w:cstheme="minorHAnsi"/>
              </w:rPr>
            </w:pPr>
            <w:r w:rsidRPr="00860088">
              <w:rPr>
                <w:rFonts w:eastAsia="MS Mincho" w:cstheme="minorHAnsi"/>
              </w:rPr>
              <w:t>Control group: no pharmacotherapy</w:t>
            </w:r>
            <w:r w:rsidR="0002065F">
              <w:rPr>
                <w:rFonts w:eastAsia="MS Mincho" w:cstheme="minorHAnsi"/>
              </w:rPr>
              <w:t>.</w:t>
            </w:r>
          </w:p>
          <w:p w:rsidR="0002065F" w:rsidRPr="00860088" w:rsidRDefault="0002065F" w:rsidP="00A71365">
            <w:pPr>
              <w:pStyle w:val="Tablewriting"/>
              <w:ind w:left="360"/>
              <w:rPr>
                <w:rFonts w:eastAsia="MS Mincho" w:cstheme="minorHAnsi"/>
              </w:rPr>
            </w:pPr>
          </w:p>
          <w:p w:rsidR="009042AA" w:rsidRPr="00017AE6" w:rsidRDefault="00860088" w:rsidP="00A71365">
            <w:pPr>
              <w:pStyle w:val="Tablewriting"/>
              <w:ind w:left="360"/>
              <w:rPr>
                <w:rFonts w:eastAsia="MS Mincho" w:cstheme="minorHAnsi"/>
              </w:rPr>
            </w:pPr>
            <w:r w:rsidRPr="00860088">
              <w:rPr>
                <w:rFonts w:eastAsia="MS Mincho" w:cstheme="minorHAnsi"/>
              </w:rPr>
              <w:t>Level of support: high (all received brief (5 mins) education and counselling at 4 x weekly sessions.)</w:t>
            </w:r>
            <w:r w:rsidR="0002065F">
              <w:rPr>
                <w:rFonts w:eastAsia="MS Mincho" w:cstheme="minorHAnsi"/>
              </w:rPr>
              <w:t>.</w:t>
            </w:r>
          </w:p>
        </w:tc>
        <w:tc>
          <w:tcPr>
            <w:tcW w:w="959" w:type="pct"/>
          </w:tcPr>
          <w:p w:rsidR="001173B2" w:rsidRPr="0081456E" w:rsidRDefault="001173B2" w:rsidP="00A71365">
            <w:pPr>
              <w:pStyle w:val="Tablewriting"/>
              <w:rPr>
                <w:rFonts w:eastAsia="MS Mincho" w:cstheme="minorHAnsi"/>
              </w:rPr>
            </w:pPr>
            <w:r w:rsidRPr="0081456E">
              <w:rPr>
                <w:rFonts w:eastAsia="MS Mincho" w:cstheme="minorHAnsi"/>
              </w:rPr>
              <w:t>Efficacy:</w:t>
            </w:r>
            <w:r w:rsidR="0081456E" w:rsidRPr="0081456E">
              <w:t xml:space="preserve"> </w:t>
            </w:r>
            <w:r w:rsidR="0081456E" w:rsidRPr="0081456E">
              <w:rPr>
                <w:rFonts w:eastAsia="MS Mincho" w:cstheme="minorHAnsi"/>
              </w:rPr>
              <w:t>12 months PPA, in person or by phone, verified by expired CO (cut-o</w:t>
            </w:r>
            <w:r w:rsidR="00125A58">
              <w:rPr>
                <w:rFonts w:eastAsia="MS Mincho" w:cstheme="minorHAnsi"/>
              </w:rPr>
              <w:t>ff</w:t>
            </w:r>
            <w:r w:rsidR="0081456E" w:rsidRPr="0081456E">
              <w:rPr>
                <w:rFonts w:eastAsia="MS Mincho" w:cstheme="minorHAnsi"/>
              </w:rPr>
              <w:t xml:space="preserve"> value not given</w:t>
            </w:r>
            <w:r w:rsidR="00125A58">
              <w:rPr>
                <w:rFonts w:eastAsia="MS Mincho" w:cstheme="minorHAnsi"/>
              </w:rPr>
              <w:t>)</w:t>
            </w:r>
          </w:p>
          <w:p w:rsidR="001173B2" w:rsidRDefault="001173B2" w:rsidP="00A71365">
            <w:pPr>
              <w:pStyle w:val="Tablewriting"/>
              <w:rPr>
                <w:rFonts w:eastAsia="MS Mincho" w:cstheme="minorHAnsi"/>
              </w:rPr>
            </w:pP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553B86" w:rsidP="00A71365">
            <w:pPr>
              <w:pStyle w:val="Tablewriting"/>
              <w:rPr>
                <w:rFonts w:eastAsia="MS Mincho" w:cstheme="minorHAnsi"/>
              </w:rPr>
            </w:pPr>
            <w:r w:rsidRPr="00B07BE1">
              <w:rPr>
                <w:rFonts w:eastAsia="MS Mincho"/>
              </w:rPr>
              <w:t xml:space="preserve">Lerman </w:t>
            </w:r>
            <w:r w:rsidR="006C6C9B">
              <w:rPr>
                <w:rFonts w:eastAsia="MS Mincho"/>
              </w:rPr>
              <w:t>(</w:t>
            </w:r>
            <w:r w:rsidRPr="00B07BE1">
              <w:rPr>
                <w:rFonts w:eastAsia="MS Mincho"/>
              </w:rPr>
              <w:t>2015</w:t>
            </w:r>
            <w:r w:rsidR="006C6C9B">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E94EDD" w:rsidP="00A71365">
            <w:pPr>
              <w:pStyle w:val="Tablewriting"/>
              <w:rPr>
                <w:rFonts w:eastAsia="MS Mincho" w:cstheme="minorHAnsi"/>
              </w:rPr>
            </w:pPr>
            <w:r w:rsidRPr="00E94EDD">
              <w:rPr>
                <w:rFonts w:eastAsia="MS Mincho" w:cstheme="minorHAnsi"/>
              </w:rPr>
              <w:t>USA and Canada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E94EDD">
              <w:rPr>
                <w:rFonts w:eastAsia="MS Mincho" w:cstheme="minorHAnsi"/>
              </w:rPr>
              <w:t>1246</w:t>
            </w:r>
          </w:p>
        </w:tc>
        <w:tc>
          <w:tcPr>
            <w:tcW w:w="1046" w:type="pct"/>
          </w:tcPr>
          <w:p w:rsidR="00AB6AA5" w:rsidRPr="00AB6AA5" w:rsidRDefault="00AB6AA5" w:rsidP="00A71365">
            <w:pPr>
              <w:pStyle w:val="Tablewriting"/>
              <w:rPr>
                <w:rFonts w:eastAsia="MS Mincho" w:cstheme="minorHAnsi"/>
              </w:rPr>
            </w:pPr>
            <w:r w:rsidRPr="00AB6AA5">
              <w:rPr>
                <w:rFonts w:eastAsia="MS Mincho" w:cstheme="minorHAnsi"/>
              </w:rPr>
              <w:t>(826 to relevant arms) smokers of at least 10</w:t>
            </w:r>
            <w:r>
              <w:rPr>
                <w:rFonts w:eastAsia="MS Mincho" w:cstheme="minorHAnsi"/>
              </w:rPr>
              <w:t xml:space="preserve"> CPD</w:t>
            </w:r>
            <w:r w:rsidRPr="00AB6AA5">
              <w:rPr>
                <w:rFonts w:eastAsia="MS Mincho" w:cstheme="minorHAnsi"/>
              </w:rPr>
              <w:t xml:space="preserve"> for at least 6 months</w:t>
            </w:r>
          </w:p>
          <w:p w:rsidR="009042AA" w:rsidRPr="00017AE6" w:rsidRDefault="00AB6AA5" w:rsidP="00A71365">
            <w:pPr>
              <w:pStyle w:val="Tablewriting"/>
              <w:rPr>
                <w:rFonts w:eastAsia="MS Mincho" w:cstheme="minorHAnsi"/>
              </w:rPr>
            </w:pPr>
            <w:r w:rsidRPr="00AB6AA5">
              <w:rPr>
                <w:rFonts w:eastAsia="MS Mincho" w:cstheme="minorHAnsi"/>
              </w:rPr>
              <w:t xml:space="preserve">44% female, average age 46, average </w:t>
            </w:r>
            <w:r>
              <w:rPr>
                <w:rFonts w:eastAsia="MS Mincho" w:cstheme="minorHAnsi"/>
              </w:rPr>
              <w:t xml:space="preserve">CPD </w:t>
            </w:r>
            <w:r w:rsidRPr="00AB6AA5">
              <w:rPr>
                <w:rFonts w:eastAsia="MS Mincho" w:cstheme="minorHAnsi"/>
              </w:rPr>
              <w:t>18, mean FTND 5.3</w:t>
            </w:r>
            <w:r>
              <w:rPr>
                <w:rFonts w:eastAsia="MS Mincho" w:cstheme="minorHAnsi"/>
              </w:rPr>
              <w:t>.</w:t>
            </w:r>
          </w:p>
        </w:tc>
        <w:tc>
          <w:tcPr>
            <w:tcW w:w="1056" w:type="pct"/>
          </w:tcPr>
          <w:p w:rsidR="00BF0DE5" w:rsidRPr="00BF0DE5" w:rsidRDefault="00BF0DE5" w:rsidP="00C324F3">
            <w:pPr>
              <w:pStyle w:val="Tablewriting"/>
              <w:numPr>
                <w:ilvl w:val="0"/>
                <w:numId w:val="129"/>
              </w:numPr>
              <w:rPr>
                <w:rFonts w:eastAsia="MS Mincho" w:cstheme="minorHAnsi"/>
              </w:rPr>
            </w:pPr>
            <w:r w:rsidRPr="00BF0DE5">
              <w:rPr>
                <w:rFonts w:eastAsia="MS Mincho" w:cstheme="minorHAnsi"/>
              </w:rPr>
              <w:t>NRT patch, 11 weeks. 21 mg for 6 weeks, 14 mg for 2 weeks, 7 mg for 3 weeks</w:t>
            </w:r>
            <w:r w:rsidR="00895917">
              <w:rPr>
                <w:rFonts w:eastAsia="MS Mincho" w:cstheme="minorHAnsi"/>
              </w:rPr>
              <w:t>.</w:t>
            </w:r>
          </w:p>
          <w:p w:rsidR="00BF0DE5" w:rsidRDefault="00BF0DE5" w:rsidP="00C324F3">
            <w:pPr>
              <w:pStyle w:val="Tablewriting"/>
              <w:numPr>
                <w:ilvl w:val="0"/>
                <w:numId w:val="129"/>
              </w:numPr>
              <w:rPr>
                <w:rFonts w:eastAsia="MS Mincho" w:cstheme="minorHAnsi"/>
              </w:rPr>
            </w:pPr>
            <w:r w:rsidRPr="00BF0DE5">
              <w:rPr>
                <w:rFonts w:eastAsia="MS Mincho" w:cstheme="minorHAnsi"/>
              </w:rPr>
              <w:t>Placebo</w:t>
            </w:r>
            <w:r w:rsidR="00895917">
              <w:rPr>
                <w:rFonts w:eastAsia="MS Mincho" w:cstheme="minorHAnsi"/>
              </w:rPr>
              <w:t>.</w:t>
            </w:r>
          </w:p>
          <w:p w:rsidR="00895917" w:rsidRPr="00BF0DE5" w:rsidRDefault="00895917" w:rsidP="00A71365">
            <w:pPr>
              <w:pStyle w:val="Tablewriting"/>
              <w:ind w:left="360"/>
              <w:rPr>
                <w:rFonts w:eastAsia="MS Mincho" w:cstheme="minorHAnsi"/>
              </w:rPr>
            </w:pPr>
          </w:p>
          <w:p w:rsidR="00BF0DE5" w:rsidRPr="00BF0DE5" w:rsidRDefault="00BF0DE5" w:rsidP="00A71365">
            <w:pPr>
              <w:pStyle w:val="Tablewriting"/>
              <w:rPr>
                <w:rFonts w:eastAsia="MS Mincho" w:cstheme="minorHAnsi"/>
              </w:rPr>
            </w:pPr>
            <w:r w:rsidRPr="00BF0DE5">
              <w:rPr>
                <w:rFonts w:eastAsia="MS Mincho" w:cstheme="minorHAnsi"/>
              </w:rPr>
              <w:t>Level of support: high (1 h in-person pre-quit group behavioural counselling, brief (˜15 minute) telephone</w:t>
            </w:r>
          </w:p>
          <w:p w:rsidR="009042AA" w:rsidRPr="00017AE6" w:rsidRDefault="00BF0DE5" w:rsidP="00A71365">
            <w:pPr>
              <w:pStyle w:val="Tablewriting"/>
              <w:rPr>
                <w:rFonts w:eastAsia="MS Mincho" w:cstheme="minorHAnsi"/>
              </w:rPr>
            </w:pPr>
            <w:r w:rsidRPr="00BF0DE5">
              <w:rPr>
                <w:rFonts w:eastAsia="MS Mincho" w:cstheme="minorHAnsi"/>
              </w:rPr>
              <w:t>counselling at weeks 0, 1, 4, 8</w:t>
            </w:r>
            <w:r>
              <w:rPr>
                <w:rFonts w:ascii="Times New Roman" w:hAnsi="Times New Roman"/>
                <w:sz w:val="18"/>
                <w:szCs w:val="18"/>
                <w:lang w:val="en-GB"/>
              </w:rPr>
              <w:t>)</w:t>
            </w:r>
          </w:p>
        </w:tc>
        <w:tc>
          <w:tcPr>
            <w:tcW w:w="959" w:type="pct"/>
          </w:tcPr>
          <w:p w:rsidR="00895917" w:rsidRDefault="001173B2" w:rsidP="00A71365">
            <w:pPr>
              <w:pStyle w:val="Tablewriting"/>
              <w:rPr>
                <w:rFonts w:eastAsia="MS Mincho" w:cstheme="minorHAnsi"/>
              </w:rPr>
            </w:pPr>
            <w:r w:rsidRPr="00895917">
              <w:rPr>
                <w:rFonts w:eastAsia="MS Mincho" w:cstheme="minorHAnsi"/>
                <w:u w:val="single"/>
              </w:rPr>
              <w:t>Efficacy:</w:t>
            </w:r>
            <w:r w:rsidR="00895917" w:rsidRPr="00895917">
              <w:rPr>
                <w:rFonts w:eastAsia="MS Mincho" w:cstheme="minorHAnsi"/>
                <w:u w:val="single"/>
              </w:rPr>
              <w:t xml:space="preserve"> </w:t>
            </w:r>
            <w:r w:rsidR="00895917" w:rsidRPr="00895917">
              <w:rPr>
                <w:rFonts w:eastAsia="MS Mincho" w:cstheme="minorHAnsi"/>
              </w:rPr>
              <w:t>7-day PP at 12 months</w:t>
            </w:r>
            <w:r w:rsidR="00895917">
              <w:rPr>
                <w:rFonts w:eastAsia="MS Mincho" w:cstheme="minorHAnsi"/>
              </w:rPr>
              <w:t>.</w:t>
            </w:r>
          </w:p>
          <w:p w:rsidR="00895917" w:rsidRPr="00895917" w:rsidRDefault="00895917" w:rsidP="00A71365">
            <w:pPr>
              <w:pStyle w:val="Tablewriting"/>
              <w:rPr>
                <w:rFonts w:eastAsia="MS Mincho" w:cstheme="minorHAnsi"/>
              </w:rPr>
            </w:pPr>
          </w:p>
          <w:p w:rsidR="001173B2" w:rsidRPr="00895917" w:rsidRDefault="00895917" w:rsidP="00A71365">
            <w:pPr>
              <w:pStyle w:val="Tablewriting"/>
              <w:rPr>
                <w:rFonts w:eastAsia="MS Mincho" w:cstheme="minorHAnsi"/>
              </w:rPr>
            </w:pPr>
            <w:r w:rsidRPr="00895917">
              <w:rPr>
                <w:rFonts w:eastAsia="MS Mincho" w:cstheme="minorHAnsi"/>
              </w:rPr>
              <w:t>Validation: CO &lt; 8 ppm</w:t>
            </w:r>
          </w:p>
          <w:p w:rsidR="001173B2" w:rsidRPr="00895917" w:rsidRDefault="001173B2" w:rsidP="00A71365">
            <w:pPr>
              <w:pStyle w:val="Tablewriting"/>
              <w:rPr>
                <w:rFonts w:eastAsia="MS Mincho" w:cstheme="minorHAnsi"/>
                <w:u w:val="single"/>
              </w:rPr>
            </w:pP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895917" w:rsidRDefault="009042AA" w:rsidP="00A71365">
            <w:pPr>
              <w:pStyle w:val="Tablewriting"/>
              <w:rPr>
                <w:rFonts w:eastAsia="MS Mincho" w:cstheme="minorHAnsi"/>
                <w:u w:val="single"/>
              </w:rPr>
            </w:pPr>
          </w:p>
        </w:tc>
      </w:tr>
      <w:tr w:rsidR="009042AA" w:rsidRPr="00017AE6" w:rsidTr="005012C6">
        <w:trPr>
          <w:trHeight w:val="99"/>
        </w:trPr>
        <w:tc>
          <w:tcPr>
            <w:tcW w:w="1004" w:type="pct"/>
          </w:tcPr>
          <w:p w:rsidR="009042AA" w:rsidRPr="00017AE6" w:rsidRDefault="00553B86" w:rsidP="00A71365">
            <w:pPr>
              <w:pStyle w:val="Tablewriting"/>
              <w:rPr>
                <w:rFonts w:eastAsia="MS Mincho" w:cstheme="minorHAnsi"/>
              </w:rPr>
            </w:pPr>
            <w:r w:rsidRPr="00B07BE1">
              <w:rPr>
                <w:rFonts w:eastAsia="MS Mincho"/>
              </w:rPr>
              <w:t xml:space="preserve">Otero </w:t>
            </w:r>
            <w:r w:rsidR="00FA40D7">
              <w:rPr>
                <w:rFonts w:eastAsia="MS Mincho"/>
              </w:rPr>
              <w:t>(</w:t>
            </w:r>
            <w:r w:rsidRPr="00B07BE1">
              <w:rPr>
                <w:rFonts w:eastAsia="MS Mincho"/>
              </w:rPr>
              <w:t>2006</w:t>
            </w:r>
            <w:r w:rsidR="00FA40D7">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4408C0" w:rsidP="00A71365">
            <w:pPr>
              <w:pStyle w:val="Tablewriting"/>
              <w:rPr>
                <w:rFonts w:eastAsia="MS Mincho" w:cstheme="minorHAnsi"/>
              </w:rPr>
            </w:pPr>
            <w:r w:rsidRPr="0038356A">
              <w:rPr>
                <w:rFonts w:eastAsia="MS Mincho" w:cstheme="minorHAnsi"/>
              </w:rPr>
              <w:t>Brazil</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4408C0">
              <w:rPr>
                <w:rFonts w:eastAsia="MS Mincho" w:cstheme="minorHAnsi"/>
              </w:rPr>
              <w:t>1199</w:t>
            </w:r>
          </w:p>
        </w:tc>
        <w:tc>
          <w:tcPr>
            <w:tcW w:w="1046" w:type="pct"/>
          </w:tcPr>
          <w:p w:rsidR="0038356A" w:rsidRPr="0038356A" w:rsidRDefault="0038356A" w:rsidP="00A71365">
            <w:pPr>
              <w:pStyle w:val="Tablewriting"/>
              <w:rPr>
                <w:rFonts w:eastAsia="MS Mincho" w:cstheme="minorHAnsi"/>
              </w:rPr>
            </w:pPr>
            <w:r>
              <w:rPr>
                <w:rFonts w:eastAsia="MS Mincho" w:cstheme="minorHAnsi"/>
              </w:rPr>
              <w:t>S</w:t>
            </w:r>
            <w:r w:rsidRPr="0038356A">
              <w:rPr>
                <w:rFonts w:eastAsia="MS Mincho" w:cstheme="minorHAnsi"/>
              </w:rPr>
              <w:t>mokers (includes 254 non-attenders), motivated to quit</w:t>
            </w:r>
          </w:p>
          <w:p w:rsidR="009042AA" w:rsidRPr="00017AE6" w:rsidRDefault="0038356A" w:rsidP="00A71365">
            <w:pPr>
              <w:pStyle w:val="Tablewriting"/>
              <w:rPr>
                <w:rFonts w:eastAsia="MS Mincho" w:cstheme="minorHAnsi"/>
              </w:rPr>
            </w:pPr>
            <w:r w:rsidRPr="0038356A">
              <w:rPr>
                <w:rFonts w:eastAsia="MS Mincho" w:cstheme="minorHAnsi"/>
              </w:rPr>
              <w:t xml:space="preserve">63% female, average age 42, 46% smoked &gt; 20 </w:t>
            </w:r>
            <w:r w:rsidR="003D507B">
              <w:rPr>
                <w:rFonts w:eastAsia="MS Mincho" w:cstheme="minorHAnsi"/>
              </w:rPr>
              <w:t>CPD</w:t>
            </w:r>
          </w:p>
        </w:tc>
        <w:tc>
          <w:tcPr>
            <w:tcW w:w="1056" w:type="pct"/>
          </w:tcPr>
          <w:p w:rsidR="009042AA" w:rsidRPr="00AE4EAF" w:rsidRDefault="0047781A" w:rsidP="00A71365">
            <w:pPr>
              <w:pStyle w:val="Tablewriting"/>
              <w:rPr>
                <w:rFonts w:eastAsia="MS Mincho" w:cstheme="minorHAnsi"/>
              </w:rPr>
            </w:pPr>
            <w:r w:rsidRPr="00AE4EAF">
              <w:rPr>
                <w:rFonts w:eastAsia="MS Mincho" w:cstheme="minorHAnsi"/>
              </w:rPr>
              <w:t>Nicotine patch (21 mg, 14 mg for FTND &lt; 5) 8 weeks including tapering + behavioural support</w:t>
            </w:r>
          </w:p>
          <w:p w:rsidR="00C771BC" w:rsidRPr="00AE4EAF" w:rsidRDefault="00C771BC" w:rsidP="00C324F3">
            <w:pPr>
              <w:pStyle w:val="Tablewriting"/>
              <w:numPr>
                <w:ilvl w:val="0"/>
                <w:numId w:val="130"/>
              </w:numPr>
              <w:rPr>
                <w:rFonts w:eastAsia="MS Mincho" w:cstheme="minorHAnsi"/>
              </w:rPr>
            </w:pPr>
            <w:r w:rsidRPr="00AE4EAF">
              <w:rPr>
                <w:rFonts w:eastAsia="MS Mincho" w:cstheme="minorHAnsi"/>
              </w:rPr>
              <w:t>Cognitive behavioural support only</w:t>
            </w:r>
          </w:p>
          <w:p w:rsidR="00C771BC" w:rsidRDefault="00C771BC" w:rsidP="00A71365">
            <w:pPr>
              <w:pStyle w:val="Tablewriting"/>
              <w:rPr>
                <w:rFonts w:eastAsia="MS Mincho" w:cstheme="minorHAnsi"/>
              </w:rPr>
            </w:pPr>
            <w:r w:rsidRPr="00AE4EAF">
              <w:rPr>
                <w:rFonts w:eastAsia="MS Mincho" w:cstheme="minorHAnsi"/>
              </w:rPr>
              <w:t>Level of support: Mixed - low = single 20-min session. High = 1, 2, 3 or 4 w</w:t>
            </w:r>
            <w:r w:rsidR="00836B64">
              <w:rPr>
                <w:rFonts w:eastAsia="MS Mincho" w:cstheme="minorHAnsi"/>
              </w:rPr>
              <w:t xml:space="preserve">eekly 1-h sessions. Maintenance </w:t>
            </w:r>
            <w:r w:rsidRPr="00AE4EAF">
              <w:rPr>
                <w:rFonts w:eastAsia="MS Mincho" w:cstheme="minorHAnsi"/>
              </w:rPr>
              <w:t>or recycling sessions provided at 3, 6, 12 months</w:t>
            </w:r>
            <w:r w:rsidR="00965E5E">
              <w:rPr>
                <w:rFonts w:eastAsia="MS Mincho" w:cstheme="minorHAnsi"/>
              </w:rPr>
              <w:t>.</w:t>
            </w:r>
          </w:p>
          <w:p w:rsidR="00965E5E" w:rsidRDefault="00965E5E" w:rsidP="00A71365">
            <w:pPr>
              <w:pStyle w:val="Tablewriting"/>
              <w:rPr>
                <w:rFonts w:eastAsia="MS Mincho" w:cstheme="minorHAnsi"/>
              </w:rPr>
            </w:pPr>
          </w:p>
          <w:p w:rsidR="009042AA" w:rsidRPr="00017AE6" w:rsidRDefault="00965E5E" w:rsidP="00A71365">
            <w:pPr>
              <w:pStyle w:val="Tablewriting"/>
              <w:rPr>
                <w:rFonts w:eastAsia="MS Mincho" w:cstheme="minorHAnsi"/>
              </w:rPr>
            </w:pPr>
            <w:r w:rsidRPr="00965E5E">
              <w:rPr>
                <w:rFonts w:eastAsia="MS Mincho" w:cstheme="minorHAnsi"/>
              </w:rPr>
              <w:lastRenderedPageBreak/>
              <w:t>Factorial design with multiple levels of behavioural support</w:t>
            </w:r>
          </w:p>
        </w:tc>
        <w:tc>
          <w:tcPr>
            <w:tcW w:w="959" w:type="pct"/>
          </w:tcPr>
          <w:p w:rsidR="00906F98" w:rsidRDefault="001173B2" w:rsidP="00A71365">
            <w:pPr>
              <w:pStyle w:val="Tablewriting"/>
              <w:rPr>
                <w:rFonts w:eastAsia="MS Mincho" w:cstheme="minorHAnsi"/>
              </w:rPr>
            </w:pPr>
            <w:r w:rsidRPr="009B13E2">
              <w:rPr>
                <w:rFonts w:eastAsia="MS Mincho" w:cstheme="minorHAnsi"/>
                <w:u w:val="single"/>
              </w:rPr>
              <w:lastRenderedPageBreak/>
              <w:t>Efficacy:</w:t>
            </w:r>
            <w:r w:rsidR="00906F98">
              <w:t xml:space="preserve"> </w:t>
            </w:r>
            <w:r w:rsidR="00906F98" w:rsidRPr="00906F98">
              <w:rPr>
                <w:rFonts w:eastAsia="MS Mincho" w:cstheme="minorHAnsi"/>
              </w:rPr>
              <w:t>PP abstinence at 12 months</w:t>
            </w:r>
            <w:r w:rsidR="00906F98">
              <w:rPr>
                <w:rFonts w:eastAsia="MS Mincho" w:cstheme="minorHAnsi"/>
              </w:rPr>
              <w:t>.</w:t>
            </w:r>
          </w:p>
          <w:p w:rsidR="00906F98" w:rsidRPr="00906F98" w:rsidRDefault="00906F98" w:rsidP="00A71365">
            <w:pPr>
              <w:pStyle w:val="Tablewriting"/>
              <w:rPr>
                <w:rFonts w:eastAsia="MS Mincho" w:cstheme="minorHAnsi"/>
              </w:rPr>
            </w:pPr>
          </w:p>
          <w:p w:rsidR="001173B2" w:rsidRPr="009B13E2" w:rsidRDefault="00906F98" w:rsidP="00A71365">
            <w:pPr>
              <w:pStyle w:val="Tablewriting"/>
              <w:rPr>
                <w:rFonts w:eastAsia="MS Mincho" w:cstheme="minorHAnsi"/>
                <w:u w:val="single"/>
              </w:rPr>
            </w:pPr>
            <w:r w:rsidRPr="00906F98">
              <w:rPr>
                <w:rFonts w:eastAsia="MS Mincho" w:cstheme="minorHAnsi"/>
              </w:rPr>
              <w:t>Validation: none</w:t>
            </w:r>
          </w:p>
          <w:p w:rsidR="001173B2" w:rsidRDefault="001173B2" w:rsidP="00A71365">
            <w:pPr>
              <w:pStyle w:val="Tablewriting"/>
              <w:rPr>
                <w:rFonts w:eastAsia="MS Mincho" w:cstheme="minorHAnsi"/>
              </w:rPr>
            </w:pP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553B86" w:rsidP="00A71365">
            <w:pPr>
              <w:pStyle w:val="Tablewriting"/>
              <w:rPr>
                <w:rFonts w:eastAsia="MS Mincho" w:cstheme="minorHAnsi"/>
              </w:rPr>
            </w:pPr>
            <w:r w:rsidRPr="00B07BE1">
              <w:rPr>
                <w:rFonts w:eastAsia="MS Mincho"/>
              </w:rPr>
              <w:t xml:space="preserve">Paoletti </w:t>
            </w:r>
            <w:r w:rsidR="00FA40D7">
              <w:rPr>
                <w:rFonts w:eastAsia="MS Mincho"/>
              </w:rPr>
              <w:t>(</w:t>
            </w:r>
            <w:r w:rsidRPr="00B07BE1">
              <w:rPr>
                <w:rFonts w:eastAsia="MS Mincho"/>
              </w:rPr>
              <w:t>1996</w:t>
            </w:r>
            <w:r w:rsidR="00FA40D7">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2E666B" w:rsidP="00A71365">
            <w:pPr>
              <w:pStyle w:val="Tablewriting"/>
              <w:rPr>
                <w:rFonts w:eastAsia="MS Mincho" w:cstheme="minorHAnsi"/>
              </w:rPr>
            </w:pPr>
            <w:r w:rsidRPr="002E666B">
              <w:rPr>
                <w:rFonts w:eastAsia="MS Mincho" w:cstheme="minorHAnsi"/>
              </w:rPr>
              <w:t>Italy</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6A3282" w:rsidRPr="006A3282">
              <w:rPr>
                <w:rFonts w:eastAsia="MS Mincho" w:cstheme="minorHAnsi"/>
              </w:rPr>
              <w:t>297</w:t>
            </w:r>
          </w:p>
        </w:tc>
        <w:tc>
          <w:tcPr>
            <w:tcW w:w="1046" w:type="pct"/>
          </w:tcPr>
          <w:p w:rsidR="00B65A08" w:rsidRPr="00B65A08" w:rsidRDefault="00B65A08" w:rsidP="00A71365">
            <w:pPr>
              <w:pStyle w:val="Tablewriting"/>
              <w:rPr>
                <w:rFonts w:eastAsia="MS Mincho" w:cstheme="minorHAnsi"/>
              </w:rPr>
            </w:pPr>
            <w:r>
              <w:rPr>
                <w:rFonts w:eastAsia="MS Mincho" w:cstheme="minorHAnsi"/>
              </w:rPr>
              <w:t>S</w:t>
            </w:r>
            <w:r w:rsidRPr="00B65A08">
              <w:rPr>
                <w:rFonts w:eastAsia="MS Mincho" w:cstheme="minorHAnsi"/>
              </w:rPr>
              <w:t xml:space="preserve">mokers (f 10 </w:t>
            </w:r>
            <w:r>
              <w:rPr>
                <w:rFonts w:eastAsia="MS Mincho" w:cstheme="minorHAnsi"/>
              </w:rPr>
              <w:t>CPD</w:t>
            </w:r>
            <w:r w:rsidRPr="00B65A08">
              <w:rPr>
                <w:rFonts w:eastAsia="MS Mincho" w:cstheme="minorHAnsi"/>
              </w:rPr>
              <w:t>), motivated to quit</w:t>
            </w:r>
          </w:p>
          <w:p w:rsidR="00B65A08" w:rsidRPr="00B65A08" w:rsidRDefault="00B65A08" w:rsidP="00A71365">
            <w:pPr>
              <w:pStyle w:val="Tablewriting"/>
              <w:rPr>
                <w:rFonts w:eastAsia="MS Mincho" w:cstheme="minorHAnsi"/>
              </w:rPr>
            </w:pPr>
            <w:r w:rsidRPr="00B65A08">
              <w:rPr>
                <w:rFonts w:eastAsia="MS Mincho" w:cstheme="minorHAnsi"/>
              </w:rPr>
              <w:t>Stratified according to baseline cotinine levels</w:t>
            </w:r>
          </w:p>
          <w:p w:rsidR="009042AA" w:rsidRPr="00017AE6" w:rsidRDefault="00B65A08" w:rsidP="00A71365">
            <w:pPr>
              <w:pStyle w:val="Tablewriting"/>
              <w:rPr>
                <w:rFonts w:eastAsia="MS Mincho" w:cstheme="minorHAnsi"/>
              </w:rPr>
            </w:pPr>
            <w:r w:rsidRPr="00B65A08">
              <w:rPr>
                <w:rFonts w:eastAsia="MS Mincho" w:cstheme="minorHAnsi"/>
              </w:rPr>
              <w:t xml:space="preserve">40% female, average age 43, average </w:t>
            </w:r>
            <w:r w:rsidR="00AB4D1E">
              <w:rPr>
                <w:rFonts w:eastAsia="MS Mincho" w:cstheme="minorHAnsi"/>
              </w:rPr>
              <w:t>CPD</w:t>
            </w:r>
            <w:r w:rsidRPr="00B65A08">
              <w:rPr>
                <w:rFonts w:eastAsia="MS Mincho" w:cstheme="minorHAnsi"/>
              </w:rPr>
              <w:t xml:space="preserve"> 24 in low-cotinine group (n = 120), 30 in high group (n = 177)</w:t>
            </w:r>
          </w:p>
        </w:tc>
        <w:tc>
          <w:tcPr>
            <w:tcW w:w="1056" w:type="pct"/>
          </w:tcPr>
          <w:p w:rsidR="000068BB" w:rsidRPr="000068BB" w:rsidRDefault="000068BB" w:rsidP="00A71365">
            <w:pPr>
              <w:pStyle w:val="Tablewriting"/>
              <w:rPr>
                <w:rFonts w:eastAsia="MS Mincho" w:cstheme="minorHAnsi"/>
              </w:rPr>
            </w:pPr>
            <w:r w:rsidRPr="000068BB">
              <w:rPr>
                <w:rFonts w:eastAsia="MS Mincho" w:cstheme="minorHAnsi"/>
              </w:rPr>
              <w:t>Stratum A (Baseline cotinine &lt; 250 ng/ml)</w:t>
            </w:r>
          </w:p>
          <w:p w:rsidR="000068BB" w:rsidRPr="000068BB" w:rsidRDefault="000068BB" w:rsidP="00C324F3">
            <w:pPr>
              <w:pStyle w:val="Tablewriting"/>
              <w:numPr>
                <w:ilvl w:val="0"/>
                <w:numId w:val="130"/>
              </w:numPr>
              <w:rPr>
                <w:rFonts w:eastAsia="MS Mincho" w:cstheme="minorHAnsi"/>
              </w:rPr>
            </w:pPr>
            <w:r w:rsidRPr="000068BB">
              <w:rPr>
                <w:rFonts w:eastAsia="MS Mincho" w:cstheme="minorHAnsi"/>
              </w:rPr>
              <w:t>Nicotine patch (15 mg/16 h, 18 weeks incl taper)</w:t>
            </w:r>
            <w:r w:rsidR="00087299">
              <w:rPr>
                <w:rFonts w:eastAsia="MS Mincho" w:cstheme="minorHAnsi"/>
              </w:rPr>
              <w:t>.</w:t>
            </w:r>
          </w:p>
          <w:p w:rsidR="000068BB" w:rsidRPr="000068BB" w:rsidRDefault="000068BB" w:rsidP="00C324F3">
            <w:pPr>
              <w:pStyle w:val="Tablewriting"/>
              <w:numPr>
                <w:ilvl w:val="0"/>
                <w:numId w:val="130"/>
              </w:numPr>
              <w:rPr>
                <w:rFonts w:eastAsia="MS Mincho" w:cstheme="minorHAnsi"/>
              </w:rPr>
            </w:pPr>
            <w:r w:rsidRPr="000068BB">
              <w:rPr>
                <w:rFonts w:eastAsia="MS Mincho" w:cstheme="minorHAnsi"/>
              </w:rPr>
              <w:t>Placebo patch</w:t>
            </w:r>
          </w:p>
          <w:p w:rsidR="000068BB" w:rsidRPr="000068BB" w:rsidRDefault="000068BB" w:rsidP="00A71365">
            <w:pPr>
              <w:pStyle w:val="Tablewriting"/>
              <w:rPr>
                <w:rFonts w:eastAsia="MS Mincho" w:cstheme="minorHAnsi"/>
              </w:rPr>
            </w:pPr>
            <w:r w:rsidRPr="000068BB">
              <w:rPr>
                <w:rFonts w:eastAsia="MS Mincho" w:cstheme="minorHAnsi"/>
              </w:rPr>
              <w:t>Stratum B (Baseline cotinine &gt; 250 ng/ml)</w:t>
            </w:r>
            <w:r w:rsidR="00087299">
              <w:rPr>
                <w:rFonts w:eastAsia="MS Mincho" w:cstheme="minorHAnsi"/>
              </w:rPr>
              <w:t>.</w:t>
            </w:r>
          </w:p>
          <w:p w:rsidR="000068BB" w:rsidRPr="000068BB" w:rsidRDefault="000068BB" w:rsidP="00C324F3">
            <w:pPr>
              <w:pStyle w:val="Tablewriting"/>
              <w:numPr>
                <w:ilvl w:val="0"/>
                <w:numId w:val="130"/>
              </w:numPr>
              <w:rPr>
                <w:rFonts w:eastAsia="MS Mincho" w:cstheme="minorHAnsi"/>
              </w:rPr>
            </w:pPr>
            <w:r w:rsidRPr="000068BB">
              <w:rPr>
                <w:rFonts w:eastAsia="MS Mincho" w:cstheme="minorHAnsi"/>
              </w:rPr>
              <w:t>Nicotine patch 15 mg</w:t>
            </w:r>
            <w:r w:rsidR="00087299">
              <w:rPr>
                <w:rFonts w:eastAsia="MS Mincho" w:cstheme="minorHAnsi"/>
              </w:rPr>
              <w:t>.</w:t>
            </w:r>
          </w:p>
          <w:p w:rsidR="000068BB" w:rsidRDefault="000068BB" w:rsidP="00C324F3">
            <w:pPr>
              <w:pStyle w:val="Tablewriting"/>
              <w:numPr>
                <w:ilvl w:val="0"/>
                <w:numId w:val="130"/>
              </w:numPr>
              <w:rPr>
                <w:rFonts w:eastAsia="MS Mincho" w:cstheme="minorHAnsi"/>
              </w:rPr>
            </w:pPr>
            <w:r w:rsidRPr="000068BB">
              <w:rPr>
                <w:rFonts w:eastAsia="MS Mincho" w:cstheme="minorHAnsi"/>
              </w:rPr>
              <w:t>Nicotine patch 25 mg</w:t>
            </w:r>
            <w:r w:rsidR="00087299">
              <w:rPr>
                <w:rFonts w:eastAsia="MS Mincho" w:cstheme="minorHAnsi"/>
              </w:rPr>
              <w:t>.</w:t>
            </w:r>
          </w:p>
          <w:p w:rsidR="00087299" w:rsidRPr="000068BB" w:rsidRDefault="00087299" w:rsidP="00A71365">
            <w:pPr>
              <w:pStyle w:val="Tablewriting"/>
              <w:ind w:left="360"/>
              <w:rPr>
                <w:rFonts w:eastAsia="MS Mincho" w:cstheme="minorHAnsi"/>
              </w:rPr>
            </w:pPr>
          </w:p>
          <w:p w:rsidR="009042AA" w:rsidRPr="00017AE6" w:rsidRDefault="000068BB" w:rsidP="00A71365">
            <w:pPr>
              <w:pStyle w:val="Tablewriting"/>
              <w:rPr>
                <w:rFonts w:eastAsia="MS Mincho" w:cstheme="minorHAnsi"/>
              </w:rPr>
            </w:pPr>
            <w:r w:rsidRPr="000068BB">
              <w:rPr>
                <w:rFonts w:eastAsia="MS Mincho" w:cstheme="minorHAnsi"/>
              </w:rPr>
              <w:t>Level of support: low</w:t>
            </w:r>
          </w:p>
        </w:tc>
        <w:tc>
          <w:tcPr>
            <w:tcW w:w="959" w:type="pct"/>
          </w:tcPr>
          <w:p w:rsidR="0090264F" w:rsidRDefault="001173B2" w:rsidP="00A71365">
            <w:pPr>
              <w:pStyle w:val="Tablewriting"/>
              <w:rPr>
                <w:rFonts w:eastAsia="MS Mincho" w:cstheme="minorHAnsi"/>
              </w:rPr>
            </w:pPr>
            <w:r w:rsidRPr="009B13E2">
              <w:rPr>
                <w:rFonts w:eastAsia="MS Mincho" w:cstheme="minorHAnsi"/>
                <w:u w:val="single"/>
              </w:rPr>
              <w:t>Efficacy:</w:t>
            </w:r>
            <w:r w:rsidR="0090264F">
              <w:rPr>
                <w:rFonts w:eastAsia="MS Mincho" w:cstheme="minorHAnsi"/>
                <w:u w:val="single"/>
              </w:rPr>
              <w:t xml:space="preserve"> </w:t>
            </w:r>
            <w:r w:rsidR="0090264F" w:rsidRPr="0090264F">
              <w:rPr>
                <w:rFonts w:eastAsia="MS Mincho" w:cstheme="minorHAnsi"/>
              </w:rPr>
              <w:t>PP abstinence at 12 months</w:t>
            </w:r>
            <w:r w:rsidR="00BC15B2">
              <w:rPr>
                <w:rFonts w:eastAsia="MS Mincho" w:cstheme="minorHAnsi"/>
              </w:rPr>
              <w:t>.</w:t>
            </w:r>
          </w:p>
          <w:p w:rsidR="00BC15B2" w:rsidRPr="0090264F" w:rsidRDefault="00BC15B2" w:rsidP="00A71365">
            <w:pPr>
              <w:pStyle w:val="Tablewriting"/>
              <w:rPr>
                <w:rFonts w:eastAsia="MS Mincho" w:cstheme="minorHAnsi"/>
                <w:u w:val="single"/>
              </w:rPr>
            </w:pPr>
          </w:p>
          <w:p w:rsidR="001173B2" w:rsidRDefault="0090264F" w:rsidP="00A71365">
            <w:pPr>
              <w:pStyle w:val="Tablewriting"/>
              <w:rPr>
                <w:rFonts w:eastAsia="MS Mincho" w:cstheme="minorHAnsi"/>
              </w:rPr>
            </w:pPr>
            <w:r w:rsidRPr="0090264F">
              <w:rPr>
                <w:rFonts w:eastAsia="MS Mincho" w:cstheme="minorHAnsi"/>
              </w:rPr>
              <w:t>Validation: CO and plasma cotinine</w:t>
            </w:r>
            <w:r w:rsidR="00CC68C3">
              <w:rPr>
                <w:rFonts w:eastAsia="MS Mincho" w:cstheme="minorHAnsi"/>
              </w:rPr>
              <w:t>.</w:t>
            </w:r>
          </w:p>
          <w:p w:rsidR="00CC68C3" w:rsidRDefault="00CC68C3" w:rsidP="00A71365">
            <w:pPr>
              <w:pStyle w:val="Tablewriting"/>
              <w:rPr>
                <w:rFonts w:eastAsia="MS Mincho" w:cstheme="minorHAnsi"/>
              </w:rPr>
            </w:pP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Default="009042AA" w:rsidP="00A71365">
            <w:pPr>
              <w:pStyle w:val="Tablewriting"/>
              <w:rPr>
                <w:rFonts w:eastAsia="MS Mincho" w:cstheme="minorHAnsi"/>
                <w:u w:val="single"/>
              </w:rPr>
            </w:pP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BD10AA" w:rsidP="00A71365">
            <w:pPr>
              <w:pStyle w:val="Tablewriting"/>
              <w:rPr>
                <w:rFonts w:eastAsia="MS Mincho" w:cstheme="minorHAnsi"/>
              </w:rPr>
            </w:pPr>
            <w:r w:rsidRPr="00B07BE1">
              <w:rPr>
                <w:rFonts w:eastAsia="MS Mincho"/>
              </w:rPr>
              <w:t xml:space="preserve">Perng </w:t>
            </w:r>
            <w:r w:rsidR="00FA40D7">
              <w:rPr>
                <w:rFonts w:eastAsia="MS Mincho"/>
              </w:rPr>
              <w:t>(</w:t>
            </w:r>
            <w:r w:rsidRPr="00B07BE1">
              <w:rPr>
                <w:rFonts w:eastAsia="MS Mincho"/>
              </w:rPr>
              <w:t>1998</w:t>
            </w:r>
            <w:r w:rsidR="00FA40D7">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CC68C3" w:rsidP="00A71365">
            <w:pPr>
              <w:pStyle w:val="Tablewriting"/>
              <w:rPr>
                <w:rFonts w:eastAsia="MS Mincho" w:cstheme="minorHAnsi"/>
              </w:rPr>
            </w:pPr>
            <w:r w:rsidRPr="00CC68C3">
              <w:rPr>
                <w:rFonts w:eastAsia="MS Mincho" w:cstheme="minorHAnsi"/>
              </w:rPr>
              <w:t>Taiwan</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CC68C3">
              <w:rPr>
                <w:rFonts w:eastAsia="MS Mincho" w:cstheme="minorHAnsi"/>
              </w:rPr>
              <w:t>62</w:t>
            </w:r>
          </w:p>
        </w:tc>
        <w:tc>
          <w:tcPr>
            <w:tcW w:w="1046" w:type="pct"/>
          </w:tcPr>
          <w:p w:rsidR="00BA2D61" w:rsidRPr="00BA2D61" w:rsidRDefault="00BA2D61" w:rsidP="00A71365">
            <w:pPr>
              <w:pStyle w:val="Tablewriting"/>
              <w:rPr>
                <w:rFonts w:eastAsia="MS Mincho" w:cstheme="minorHAnsi"/>
              </w:rPr>
            </w:pPr>
            <w:r>
              <w:rPr>
                <w:rFonts w:eastAsia="MS Mincho" w:cstheme="minorHAnsi"/>
              </w:rPr>
              <w:t>S</w:t>
            </w:r>
            <w:r w:rsidRPr="00BA2D61">
              <w:rPr>
                <w:rFonts w:eastAsia="MS Mincho" w:cstheme="minorHAnsi"/>
              </w:rPr>
              <w:t xml:space="preserve">mokers (&gt; 20 </w:t>
            </w:r>
            <w:r>
              <w:rPr>
                <w:rFonts w:eastAsia="MS Mincho" w:cstheme="minorHAnsi"/>
              </w:rPr>
              <w:t>CPD)</w:t>
            </w:r>
          </w:p>
          <w:p w:rsidR="009042AA" w:rsidRPr="00017AE6" w:rsidRDefault="00BA2D61" w:rsidP="00A71365">
            <w:pPr>
              <w:pStyle w:val="Tablewriting"/>
              <w:rPr>
                <w:rFonts w:eastAsia="MS Mincho" w:cstheme="minorHAnsi"/>
              </w:rPr>
            </w:pPr>
            <w:r w:rsidRPr="00BA2D61">
              <w:rPr>
                <w:rFonts w:eastAsia="MS Mincho" w:cstheme="minorHAnsi"/>
              </w:rPr>
              <w:t xml:space="preserve">94% male, average age 62, average </w:t>
            </w:r>
            <w:r>
              <w:rPr>
                <w:rFonts w:eastAsia="MS Mincho" w:cstheme="minorHAnsi"/>
              </w:rPr>
              <w:t xml:space="preserve">CPD </w:t>
            </w:r>
            <w:r w:rsidRPr="00BA2D61">
              <w:rPr>
                <w:rFonts w:eastAsia="MS Mincho" w:cstheme="minorHAnsi"/>
              </w:rPr>
              <w:t>26</w:t>
            </w:r>
          </w:p>
        </w:tc>
        <w:tc>
          <w:tcPr>
            <w:tcW w:w="1056" w:type="pct"/>
          </w:tcPr>
          <w:p w:rsidR="00D3612F" w:rsidRPr="00D3612F" w:rsidRDefault="00D3612F" w:rsidP="00C324F3">
            <w:pPr>
              <w:pStyle w:val="Tablewriting"/>
              <w:numPr>
                <w:ilvl w:val="0"/>
                <w:numId w:val="131"/>
              </w:numPr>
              <w:rPr>
                <w:rFonts w:eastAsia="MS Mincho" w:cstheme="minorHAnsi"/>
              </w:rPr>
            </w:pPr>
            <w:r w:rsidRPr="00D3612F">
              <w:rPr>
                <w:rFonts w:eastAsia="MS Mincho" w:cstheme="minorHAnsi"/>
              </w:rPr>
              <w:t>Nicotine patch (24 mg/24 h for 6 weeks, no weaning)</w:t>
            </w:r>
            <w:r>
              <w:rPr>
                <w:rFonts w:eastAsia="MS Mincho" w:cstheme="minorHAnsi"/>
              </w:rPr>
              <w:t>.</w:t>
            </w:r>
          </w:p>
          <w:p w:rsidR="00D3612F" w:rsidRDefault="00D3612F" w:rsidP="00C324F3">
            <w:pPr>
              <w:pStyle w:val="Tablewriting"/>
              <w:numPr>
                <w:ilvl w:val="0"/>
                <w:numId w:val="131"/>
              </w:numPr>
              <w:rPr>
                <w:rFonts w:eastAsia="MS Mincho" w:cstheme="minorHAnsi"/>
              </w:rPr>
            </w:pPr>
            <w:r w:rsidRPr="00D3612F">
              <w:rPr>
                <w:rFonts w:eastAsia="MS Mincho" w:cstheme="minorHAnsi"/>
              </w:rPr>
              <w:t>Placebo patch</w:t>
            </w:r>
            <w:r>
              <w:rPr>
                <w:rFonts w:eastAsia="MS Mincho" w:cstheme="minorHAnsi"/>
              </w:rPr>
              <w:t>.</w:t>
            </w:r>
          </w:p>
          <w:p w:rsidR="00D3612F" w:rsidRPr="00D3612F" w:rsidRDefault="00D3612F" w:rsidP="00A71365">
            <w:pPr>
              <w:pStyle w:val="Tablewriting"/>
              <w:ind w:left="360"/>
              <w:rPr>
                <w:rFonts w:eastAsia="MS Mincho" w:cstheme="minorHAnsi"/>
              </w:rPr>
            </w:pPr>
          </w:p>
          <w:p w:rsidR="00D3612F" w:rsidRPr="00D3612F" w:rsidRDefault="00D3612F" w:rsidP="00A71365">
            <w:pPr>
              <w:pStyle w:val="Tablewriting"/>
              <w:rPr>
                <w:rFonts w:eastAsia="MS Mincho" w:cstheme="minorHAnsi"/>
              </w:rPr>
            </w:pPr>
            <w:r w:rsidRPr="00D3612F">
              <w:rPr>
                <w:rFonts w:eastAsia="MS Mincho" w:cstheme="minorHAnsi"/>
              </w:rPr>
              <w:t>Level of support: high (weekly visit to outpatient department for assessment, unclear if counselling</w:t>
            </w:r>
          </w:p>
          <w:p w:rsidR="009042AA" w:rsidRPr="00017AE6" w:rsidRDefault="00D3612F" w:rsidP="00A71365">
            <w:pPr>
              <w:pStyle w:val="Tablewriting"/>
              <w:rPr>
                <w:rFonts w:eastAsia="MS Mincho" w:cstheme="minorHAnsi"/>
              </w:rPr>
            </w:pPr>
            <w:r w:rsidRPr="00D3612F">
              <w:rPr>
                <w:rFonts w:eastAsia="MS Mincho" w:cstheme="minorHAnsi"/>
              </w:rPr>
              <w:t>was provided)</w:t>
            </w:r>
          </w:p>
        </w:tc>
        <w:tc>
          <w:tcPr>
            <w:tcW w:w="959" w:type="pct"/>
          </w:tcPr>
          <w:p w:rsidR="001173B2" w:rsidRPr="009B13E2" w:rsidRDefault="001173B2" w:rsidP="00A71365">
            <w:pPr>
              <w:pStyle w:val="Tablewriting"/>
              <w:rPr>
                <w:rFonts w:eastAsia="MS Mincho" w:cstheme="minorHAnsi"/>
                <w:u w:val="single"/>
              </w:rPr>
            </w:pPr>
            <w:r w:rsidRPr="009B13E2">
              <w:rPr>
                <w:rFonts w:eastAsia="MS Mincho" w:cstheme="minorHAnsi"/>
                <w:u w:val="single"/>
              </w:rPr>
              <w:t>Efficacy:</w:t>
            </w:r>
            <w:r w:rsidR="009670DA">
              <w:rPr>
                <w:rFonts w:eastAsia="MS Mincho" w:cstheme="minorHAnsi"/>
                <w:u w:val="single"/>
              </w:rPr>
              <w:t xml:space="preserve"> </w:t>
            </w:r>
          </w:p>
          <w:p w:rsidR="009670DA" w:rsidRDefault="009670DA" w:rsidP="00A71365">
            <w:pPr>
              <w:pStyle w:val="Tablewriting"/>
              <w:rPr>
                <w:rFonts w:eastAsia="MS Mincho" w:cstheme="minorHAnsi"/>
              </w:rPr>
            </w:pPr>
            <w:r w:rsidRPr="009670DA">
              <w:rPr>
                <w:rFonts w:eastAsia="MS Mincho" w:cstheme="minorHAnsi"/>
              </w:rPr>
              <w:t>Abstinence at 12 months</w:t>
            </w:r>
            <w:r>
              <w:rPr>
                <w:rFonts w:eastAsia="MS Mincho" w:cstheme="minorHAnsi"/>
              </w:rPr>
              <w:t>.</w:t>
            </w:r>
          </w:p>
          <w:p w:rsidR="009670DA" w:rsidRPr="009670DA" w:rsidRDefault="009670DA" w:rsidP="00A71365">
            <w:pPr>
              <w:pStyle w:val="Tablewriting"/>
              <w:rPr>
                <w:rFonts w:eastAsia="MS Mincho" w:cstheme="minorHAnsi"/>
              </w:rPr>
            </w:pPr>
          </w:p>
          <w:p w:rsidR="001173B2" w:rsidRDefault="009670DA" w:rsidP="00A71365">
            <w:pPr>
              <w:pStyle w:val="Tablewriting"/>
              <w:rPr>
                <w:rFonts w:eastAsia="MS Mincho" w:cstheme="minorHAnsi"/>
              </w:rPr>
            </w:pPr>
            <w:r w:rsidRPr="009670DA">
              <w:rPr>
                <w:rFonts w:eastAsia="MS Mincho" w:cstheme="minorHAnsi"/>
              </w:rPr>
              <w:t>Validation: CO &lt; 10 ppm during patch use, but no validation at 12 months</w:t>
            </w:r>
            <w:r>
              <w:rPr>
                <w:rFonts w:eastAsia="MS Mincho" w:cstheme="minorHAnsi"/>
              </w:rPr>
              <w:t>.</w:t>
            </w:r>
          </w:p>
          <w:p w:rsidR="009670DA" w:rsidRDefault="009670DA" w:rsidP="00A71365">
            <w:pPr>
              <w:pStyle w:val="Tablewriting"/>
              <w:rPr>
                <w:rFonts w:eastAsia="MS Mincho" w:cstheme="minorHAnsi"/>
              </w:rPr>
            </w:pP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BD10AA" w:rsidP="00A71365">
            <w:pPr>
              <w:pStyle w:val="Tablewriting"/>
              <w:rPr>
                <w:rFonts w:eastAsia="MS Mincho" w:cstheme="minorHAnsi"/>
              </w:rPr>
            </w:pPr>
            <w:r w:rsidRPr="00B07BE1">
              <w:rPr>
                <w:rFonts w:eastAsia="MS Mincho"/>
              </w:rPr>
              <w:t xml:space="preserve">Scherphof </w:t>
            </w:r>
            <w:r w:rsidR="00FA40D7">
              <w:rPr>
                <w:rFonts w:eastAsia="MS Mincho"/>
              </w:rPr>
              <w:t>(</w:t>
            </w:r>
            <w:r w:rsidRPr="00B07BE1">
              <w:rPr>
                <w:rFonts w:eastAsia="MS Mincho"/>
              </w:rPr>
              <w:t>2014</w:t>
            </w:r>
            <w:r w:rsidR="00FA40D7">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B46FD0" w:rsidP="00A71365">
            <w:pPr>
              <w:pStyle w:val="Tablewriting"/>
              <w:rPr>
                <w:rFonts w:eastAsia="MS Mincho" w:cstheme="minorHAnsi"/>
              </w:rPr>
            </w:pPr>
            <w:r w:rsidRPr="00B46FD0">
              <w:rPr>
                <w:rFonts w:eastAsia="MS Mincho" w:cstheme="minorHAnsi"/>
              </w:rPr>
              <w:t>Netherlands</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B46FD0">
              <w:rPr>
                <w:rFonts w:eastAsia="MS Mincho" w:cstheme="minorHAnsi"/>
              </w:rPr>
              <w:t>265</w:t>
            </w:r>
          </w:p>
        </w:tc>
        <w:tc>
          <w:tcPr>
            <w:tcW w:w="1046" w:type="pct"/>
          </w:tcPr>
          <w:p w:rsidR="00874379" w:rsidRPr="00874379" w:rsidRDefault="00874379" w:rsidP="00A71365">
            <w:pPr>
              <w:pStyle w:val="Tablewriting"/>
              <w:rPr>
                <w:rFonts w:eastAsia="MS Mincho" w:cstheme="minorHAnsi"/>
              </w:rPr>
            </w:pPr>
            <w:r>
              <w:rPr>
                <w:rFonts w:eastAsia="MS Mincho" w:cstheme="minorHAnsi"/>
              </w:rPr>
              <w:t>A</w:t>
            </w:r>
            <w:r w:rsidRPr="00874379">
              <w:rPr>
                <w:rFonts w:eastAsia="MS Mincho" w:cstheme="minorHAnsi"/>
              </w:rPr>
              <w:t xml:space="preserve">dolescents (12 to 18 years old), smoking f 7 </w:t>
            </w:r>
            <w:r>
              <w:rPr>
                <w:rFonts w:eastAsia="MS Mincho" w:cstheme="minorHAnsi"/>
              </w:rPr>
              <w:t>CPD</w:t>
            </w:r>
            <w:r w:rsidRPr="00874379">
              <w:rPr>
                <w:rFonts w:eastAsia="MS Mincho" w:cstheme="minorHAnsi"/>
              </w:rPr>
              <w:t>, motivated to quit</w:t>
            </w:r>
          </w:p>
          <w:p w:rsidR="009042AA" w:rsidRPr="00017AE6" w:rsidRDefault="00874379" w:rsidP="00A71365">
            <w:pPr>
              <w:pStyle w:val="Tablewriting"/>
              <w:rPr>
                <w:rFonts w:eastAsia="MS Mincho" w:cstheme="minorHAnsi"/>
              </w:rPr>
            </w:pPr>
            <w:r w:rsidRPr="00874379">
              <w:rPr>
                <w:rFonts w:eastAsia="MS Mincho" w:cstheme="minorHAnsi"/>
              </w:rPr>
              <w:t xml:space="preserve">52.9% female, mean age 16.5, mean </w:t>
            </w:r>
            <w:r>
              <w:rPr>
                <w:rFonts w:eastAsia="MS Mincho" w:cstheme="minorHAnsi"/>
              </w:rPr>
              <w:t>CPD</w:t>
            </w:r>
            <w:r w:rsidRPr="00874379">
              <w:rPr>
                <w:rFonts w:eastAsia="MS Mincho" w:cstheme="minorHAnsi"/>
              </w:rPr>
              <w:t xml:space="preserve"> 16.7</w:t>
            </w:r>
          </w:p>
        </w:tc>
        <w:tc>
          <w:tcPr>
            <w:tcW w:w="1056" w:type="pct"/>
          </w:tcPr>
          <w:p w:rsidR="009A5255" w:rsidRPr="00D77C81" w:rsidRDefault="009A5255" w:rsidP="00C324F3">
            <w:pPr>
              <w:pStyle w:val="Tablewriting"/>
              <w:numPr>
                <w:ilvl w:val="0"/>
                <w:numId w:val="132"/>
              </w:numPr>
              <w:rPr>
                <w:rFonts w:eastAsia="MS Mincho" w:cstheme="minorHAnsi"/>
              </w:rPr>
            </w:pPr>
            <w:r w:rsidRPr="009A5255">
              <w:rPr>
                <w:rFonts w:eastAsia="MS Mincho" w:cstheme="minorHAnsi"/>
              </w:rPr>
              <w:t xml:space="preserve">24-h patch, dose and length depending on baseline cpd. If &gt; 20 </w:t>
            </w:r>
            <w:r w:rsidR="00D77C81">
              <w:rPr>
                <w:rFonts w:eastAsia="MS Mincho" w:cstheme="minorHAnsi"/>
              </w:rPr>
              <w:t>CPD</w:t>
            </w:r>
            <w:r w:rsidRPr="009A5255">
              <w:rPr>
                <w:rFonts w:eastAsia="MS Mincho" w:cstheme="minorHAnsi"/>
              </w:rPr>
              <w:t>, 3 weeks 21 mg/day, 3 weeks 14</w:t>
            </w:r>
            <w:r w:rsidR="00D77C81">
              <w:rPr>
                <w:rFonts w:eastAsia="MS Mincho" w:cstheme="minorHAnsi"/>
              </w:rPr>
              <w:t xml:space="preserve"> </w:t>
            </w:r>
            <w:r w:rsidRPr="00D77C81">
              <w:rPr>
                <w:rFonts w:eastAsia="MS Mincho" w:cstheme="minorHAnsi"/>
              </w:rPr>
              <w:t xml:space="preserve">mg/day; 3 weeks 7 mg/day; if &lt; 20 </w:t>
            </w:r>
            <w:r w:rsidR="00D77C81">
              <w:rPr>
                <w:rFonts w:eastAsia="MS Mincho" w:cstheme="minorHAnsi"/>
              </w:rPr>
              <w:t>CPD</w:t>
            </w:r>
            <w:r w:rsidRPr="00D77C81">
              <w:rPr>
                <w:rFonts w:eastAsia="MS Mincho" w:cstheme="minorHAnsi"/>
              </w:rPr>
              <w:t>, 3 weeks 14 mg/day, 3 weeks 7 mg/day</w:t>
            </w:r>
            <w:r w:rsidR="007606BC" w:rsidRPr="00D77C81">
              <w:rPr>
                <w:rFonts w:eastAsia="MS Mincho" w:cstheme="minorHAnsi"/>
              </w:rPr>
              <w:t>.</w:t>
            </w:r>
          </w:p>
          <w:p w:rsidR="009A5255" w:rsidRDefault="009A5255" w:rsidP="00C324F3">
            <w:pPr>
              <w:pStyle w:val="Tablewriting"/>
              <w:numPr>
                <w:ilvl w:val="0"/>
                <w:numId w:val="132"/>
              </w:numPr>
              <w:rPr>
                <w:rFonts w:eastAsia="MS Mincho" w:cstheme="minorHAnsi"/>
              </w:rPr>
            </w:pPr>
            <w:r w:rsidRPr="009A5255">
              <w:rPr>
                <w:rFonts w:eastAsia="MS Mincho" w:cstheme="minorHAnsi"/>
              </w:rPr>
              <w:t>Control: placebo patch control, otherwise</w:t>
            </w:r>
            <w:r w:rsidR="00D77C81">
              <w:rPr>
                <w:rFonts w:eastAsia="MS Mincho" w:cstheme="minorHAnsi"/>
              </w:rPr>
              <w:t xml:space="preserve"> </w:t>
            </w:r>
            <w:r w:rsidRPr="009A5255">
              <w:rPr>
                <w:rFonts w:eastAsia="MS Mincho" w:cstheme="minorHAnsi"/>
              </w:rPr>
              <w:t>identical to intervention</w:t>
            </w:r>
            <w:r w:rsidR="007606BC">
              <w:rPr>
                <w:rFonts w:eastAsia="MS Mincho" w:cstheme="minorHAnsi"/>
              </w:rPr>
              <w:t>.</w:t>
            </w:r>
          </w:p>
          <w:p w:rsidR="007606BC" w:rsidRPr="009A5255" w:rsidRDefault="007606BC" w:rsidP="00A71365">
            <w:pPr>
              <w:pStyle w:val="Tablewriting"/>
              <w:ind w:left="360"/>
              <w:rPr>
                <w:rFonts w:eastAsia="MS Mincho" w:cstheme="minorHAnsi"/>
              </w:rPr>
            </w:pPr>
          </w:p>
          <w:p w:rsidR="009042AA" w:rsidRPr="00017AE6" w:rsidRDefault="009A5255" w:rsidP="00A71365">
            <w:pPr>
              <w:pStyle w:val="Tablewriting"/>
              <w:rPr>
                <w:rFonts w:eastAsia="MS Mincho" w:cstheme="minorHAnsi"/>
              </w:rPr>
            </w:pPr>
            <w:r w:rsidRPr="009A5255">
              <w:rPr>
                <w:rFonts w:eastAsia="MS Mincho" w:cstheme="minorHAnsi"/>
              </w:rPr>
              <w:lastRenderedPageBreak/>
              <w:t>Level of support: low (one-o</w:t>
            </w:r>
            <w:r w:rsidR="00F3264D">
              <w:rPr>
                <w:rFonts w:eastAsia="MS Mincho" w:cstheme="minorHAnsi"/>
              </w:rPr>
              <w:t>ff</w:t>
            </w:r>
            <w:r w:rsidRPr="009A5255">
              <w:rPr>
                <w:rFonts w:eastAsia="MS Mincho" w:cstheme="minorHAnsi"/>
              </w:rPr>
              <w:t xml:space="preserve"> "short </w:t>
            </w:r>
            <w:r w:rsidR="00F3264D" w:rsidRPr="009A5255">
              <w:rPr>
                <w:rFonts w:eastAsia="MS Mincho" w:cstheme="minorHAnsi"/>
              </w:rPr>
              <w:t>behavioural</w:t>
            </w:r>
            <w:r w:rsidR="00F3264D">
              <w:rPr>
                <w:rFonts w:eastAsia="MS Mincho" w:cstheme="minorHAnsi"/>
              </w:rPr>
              <w:t xml:space="preserve"> </w:t>
            </w:r>
            <w:r w:rsidRPr="009A5255">
              <w:rPr>
                <w:rFonts w:eastAsia="MS Mincho" w:cstheme="minorHAnsi"/>
              </w:rPr>
              <w:t>intervention aimed at quitting smoking (e.g. preparations</w:t>
            </w:r>
            <w:r w:rsidR="00F3264D">
              <w:rPr>
                <w:rFonts w:eastAsia="MS Mincho" w:cstheme="minorHAnsi"/>
              </w:rPr>
              <w:t xml:space="preserve"> </w:t>
            </w:r>
            <w:r w:rsidRPr="009A5255">
              <w:rPr>
                <w:rFonts w:eastAsia="MS Mincho" w:cstheme="minorHAnsi"/>
              </w:rPr>
              <w:t>and expectations)" at study start)</w:t>
            </w:r>
            <w:r w:rsidR="007606BC">
              <w:rPr>
                <w:rFonts w:eastAsia="MS Mincho" w:cstheme="minorHAnsi"/>
              </w:rPr>
              <w:t>.</w:t>
            </w:r>
          </w:p>
        </w:tc>
        <w:tc>
          <w:tcPr>
            <w:tcW w:w="959" w:type="pct"/>
          </w:tcPr>
          <w:p w:rsidR="008C0C62" w:rsidRDefault="001173B2" w:rsidP="00A71365">
            <w:pPr>
              <w:pStyle w:val="Tablewriting"/>
              <w:rPr>
                <w:rFonts w:eastAsia="MS Mincho" w:cstheme="minorHAnsi"/>
              </w:rPr>
            </w:pPr>
            <w:r w:rsidRPr="009B13E2">
              <w:rPr>
                <w:rFonts w:eastAsia="MS Mincho" w:cstheme="minorHAnsi"/>
                <w:u w:val="single"/>
              </w:rPr>
              <w:lastRenderedPageBreak/>
              <w:t>Efficacy:</w:t>
            </w:r>
            <w:r w:rsidR="008C0C62">
              <w:t xml:space="preserve"> </w:t>
            </w:r>
            <w:r w:rsidR="008C0C62" w:rsidRPr="008C0C62">
              <w:rPr>
                <w:rFonts w:eastAsia="MS Mincho" w:cstheme="minorHAnsi"/>
              </w:rPr>
              <w:t>30-day PP abstinence at 12 months</w:t>
            </w:r>
            <w:r w:rsidR="008C0C62">
              <w:rPr>
                <w:rFonts w:eastAsia="MS Mincho" w:cstheme="minorHAnsi"/>
              </w:rPr>
              <w:t>.</w:t>
            </w:r>
          </w:p>
          <w:p w:rsidR="008C0C62" w:rsidRPr="008C0C62" w:rsidRDefault="008C0C62" w:rsidP="00A71365">
            <w:pPr>
              <w:pStyle w:val="Tablewriting"/>
              <w:rPr>
                <w:rFonts w:eastAsia="MS Mincho" w:cstheme="minorHAnsi"/>
              </w:rPr>
            </w:pPr>
          </w:p>
          <w:p w:rsidR="001173B2" w:rsidRPr="009B13E2" w:rsidRDefault="008C0C62" w:rsidP="00A71365">
            <w:pPr>
              <w:pStyle w:val="Tablewriting"/>
              <w:rPr>
                <w:rFonts w:eastAsia="MS Mincho" w:cstheme="minorHAnsi"/>
                <w:u w:val="single"/>
              </w:rPr>
            </w:pPr>
            <w:r w:rsidRPr="008C0C62">
              <w:rPr>
                <w:rFonts w:eastAsia="MS Mincho" w:cstheme="minorHAnsi"/>
              </w:rPr>
              <w:t>Verification: salivary cotinine measured using a NicAlert saliva strip</w:t>
            </w:r>
            <w:r w:rsidR="004D08EF">
              <w:rPr>
                <w:rFonts w:eastAsia="MS Mincho" w:cstheme="minorHAnsi"/>
              </w:rPr>
              <w:t xml:space="preserve"> </w:t>
            </w:r>
            <w:r w:rsidRPr="008C0C62">
              <w:rPr>
                <w:rFonts w:eastAsia="MS Mincho" w:cstheme="minorHAnsi"/>
              </w:rPr>
              <w:t>(Nymox</w:t>
            </w:r>
            <w:r w:rsidRPr="008C0C62">
              <w:rPr>
                <w:rFonts w:eastAsia="MS Mincho" w:cstheme="minorHAnsi"/>
                <w:u w:val="single"/>
              </w:rPr>
              <w:t>)</w:t>
            </w:r>
          </w:p>
          <w:p w:rsidR="001173B2" w:rsidRDefault="001173B2" w:rsidP="00A71365">
            <w:pPr>
              <w:pStyle w:val="Tablewriting"/>
              <w:rPr>
                <w:rFonts w:eastAsia="MS Mincho" w:cstheme="minorHAnsi"/>
              </w:rPr>
            </w:pP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5000" w:type="pct"/>
            <w:gridSpan w:val="7"/>
            <w:shd w:val="clear" w:color="auto" w:fill="D9D9D9" w:themeFill="background1" w:themeFillShade="D9"/>
          </w:tcPr>
          <w:p w:rsidR="006C4A81" w:rsidRPr="005012C6" w:rsidRDefault="005012C6" w:rsidP="00A71365">
            <w:pPr>
              <w:pStyle w:val="Tablewriting"/>
              <w:rPr>
                <w:rFonts w:eastAsia="MS Mincho" w:cstheme="minorHAnsi"/>
                <w:b/>
              </w:rPr>
            </w:pPr>
            <w:r w:rsidRPr="005012C6">
              <w:rPr>
                <w:rFonts w:eastAsia="MS Mincho" w:cstheme="minorHAnsi"/>
                <w:b/>
                <w:bCs/>
              </w:rPr>
              <w:t>PP/uncertain 6 months</w:t>
            </w:r>
          </w:p>
        </w:tc>
      </w:tr>
      <w:tr w:rsidR="009042AA" w:rsidRPr="00017AE6" w:rsidTr="005012C6">
        <w:trPr>
          <w:trHeight w:val="99"/>
        </w:trPr>
        <w:tc>
          <w:tcPr>
            <w:tcW w:w="1004" w:type="pct"/>
          </w:tcPr>
          <w:p w:rsidR="009042AA" w:rsidRPr="00017AE6" w:rsidRDefault="00990A42" w:rsidP="00A71365">
            <w:pPr>
              <w:pStyle w:val="Tablewriting"/>
              <w:rPr>
                <w:rFonts w:eastAsia="MS Mincho" w:cstheme="minorHAnsi"/>
              </w:rPr>
            </w:pPr>
            <w:r w:rsidRPr="00B07BE1">
              <w:rPr>
                <w:rFonts w:eastAsia="MS Mincho"/>
              </w:rPr>
              <w:t xml:space="preserve">Cummins </w:t>
            </w:r>
            <w:r w:rsidR="00FA40D7">
              <w:rPr>
                <w:rFonts w:eastAsia="MS Mincho"/>
              </w:rPr>
              <w:t>(</w:t>
            </w:r>
            <w:r w:rsidRPr="00B07BE1">
              <w:rPr>
                <w:rFonts w:eastAsia="MS Mincho"/>
              </w:rPr>
              <w:t>2016</w:t>
            </w:r>
            <w:r w:rsidR="00FA40D7">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7941E9" w:rsidP="00A71365">
            <w:pPr>
              <w:pStyle w:val="Tablewriting"/>
              <w:rPr>
                <w:rFonts w:eastAsia="MS Mincho" w:cstheme="minorHAnsi"/>
              </w:rPr>
            </w:pPr>
            <w:r>
              <w:rPr>
                <w:rFonts w:eastAsia="MS Mincho" w:cstheme="minorHAnsi"/>
              </w:rPr>
              <w:t>USA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7941E9">
              <w:rPr>
                <w:rFonts w:eastAsia="MS Mincho" w:cstheme="minorHAnsi"/>
              </w:rPr>
              <w:t>1270</w:t>
            </w:r>
          </w:p>
        </w:tc>
        <w:tc>
          <w:tcPr>
            <w:tcW w:w="1046" w:type="pct"/>
          </w:tcPr>
          <w:p w:rsidR="007941E9" w:rsidRPr="007941E9" w:rsidRDefault="007941E9" w:rsidP="00A71365">
            <w:pPr>
              <w:pStyle w:val="Tablewriting"/>
              <w:rPr>
                <w:rFonts w:eastAsia="MS Mincho" w:cstheme="minorHAnsi"/>
              </w:rPr>
            </w:pPr>
            <w:r>
              <w:rPr>
                <w:rFonts w:eastAsia="MS Mincho" w:cstheme="minorHAnsi"/>
              </w:rPr>
              <w:t>H</w:t>
            </w:r>
            <w:r w:rsidRPr="007941E9">
              <w:rPr>
                <w:rFonts w:eastAsia="MS Mincho" w:cstheme="minorHAnsi"/>
              </w:rPr>
              <w:t>ospitalised smokers (excl. obstetrics, surgery and behavioural health patients), smoked in last 30</w:t>
            </w:r>
            <w:r>
              <w:rPr>
                <w:rFonts w:eastAsia="MS Mincho" w:cstheme="minorHAnsi"/>
              </w:rPr>
              <w:t xml:space="preserve"> </w:t>
            </w:r>
            <w:r w:rsidRPr="007941E9">
              <w:rPr>
                <w:rFonts w:eastAsia="MS Mincho" w:cstheme="minorHAnsi"/>
              </w:rPr>
              <w:t xml:space="preserve">days and at least 6 </w:t>
            </w:r>
            <w:r>
              <w:rPr>
                <w:rFonts w:eastAsia="MS Mincho" w:cstheme="minorHAnsi"/>
              </w:rPr>
              <w:t>CPD</w:t>
            </w:r>
            <w:r w:rsidRPr="007941E9">
              <w:rPr>
                <w:rFonts w:eastAsia="MS Mincho" w:cstheme="minorHAnsi"/>
              </w:rPr>
              <w:t xml:space="preserve"> on days smoked</w:t>
            </w:r>
          </w:p>
          <w:p w:rsidR="009042AA" w:rsidRPr="00017AE6" w:rsidRDefault="007941E9" w:rsidP="00A71365">
            <w:pPr>
              <w:pStyle w:val="Tablewriting"/>
              <w:rPr>
                <w:rFonts w:eastAsia="MS Mincho" w:cstheme="minorHAnsi"/>
              </w:rPr>
            </w:pPr>
            <w:r w:rsidRPr="007941E9">
              <w:rPr>
                <w:rFonts w:eastAsia="MS Mincho" w:cstheme="minorHAnsi"/>
              </w:rPr>
              <w:t xml:space="preserve">57% male, average age 50, average </w:t>
            </w:r>
            <w:r>
              <w:rPr>
                <w:rFonts w:eastAsia="MS Mincho" w:cstheme="minorHAnsi"/>
              </w:rPr>
              <w:t xml:space="preserve">CPD </w:t>
            </w:r>
            <w:r w:rsidRPr="007941E9">
              <w:rPr>
                <w:rFonts w:eastAsia="MS Mincho" w:cstheme="minorHAnsi"/>
              </w:rPr>
              <w:t>15</w:t>
            </w:r>
            <w:r>
              <w:rPr>
                <w:rFonts w:eastAsia="MS Mincho" w:cstheme="minorHAnsi"/>
              </w:rPr>
              <w:t>.</w:t>
            </w:r>
          </w:p>
        </w:tc>
        <w:tc>
          <w:tcPr>
            <w:tcW w:w="1056" w:type="pct"/>
          </w:tcPr>
          <w:p w:rsidR="006358BD" w:rsidRDefault="006358BD" w:rsidP="00C324F3">
            <w:pPr>
              <w:pStyle w:val="BodyText"/>
              <w:numPr>
                <w:ilvl w:val="0"/>
                <w:numId w:val="133"/>
              </w:numPr>
              <w:kinsoku w:val="0"/>
              <w:overflowPunct w:val="0"/>
              <w:spacing w:before="5" w:line="249" w:lineRule="auto"/>
            </w:pPr>
            <w:r>
              <w:t xml:space="preserve">NRT patches for 8 weeks, doses based on cpd. If 6 </w:t>
            </w:r>
            <w:r w:rsidR="001C1168">
              <w:t>CPD</w:t>
            </w:r>
            <w:r>
              <w:t xml:space="preserve"> to 10 </w:t>
            </w:r>
            <w:r w:rsidR="001C1168">
              <w:t>CPD</w:t>
            </w:r>
            <w:r>
              <w:t xml:space="preserve">: 14 mg for 6 weeks, 7 mg for 2 weeks. If &gt; 10 </w:t>
            </w:r>
            <w:r w:rsidR="001C1168">
              <w:t>CPD</w:t>
            </w:r>
            <w:r>
              <w:t>: 21 mg for 4 weeks, 14 mg for 2 weeks, 7 mg for 2 weeks. (NS if 16-h or 24-h patches).</w:t>
            </w:r>
          </w:p>
          <w:p w:rsidR="006358BD" w:rsidRPr="006358BD" w:rsidRDefault="006358BD" w:rsidP="00C324F3">
            <w:pPr>
              <w:pStyle w:val="BodyText"/>
              <w:numPr>
                <w:ilvl w:val="0"/>
                <w:numId w:val="133"/>
              </w:numPr>
              <w:kinsoku w:val="0"/>
              <w:overflowPunct w:val="0"/>
              <w:spacing w:before="5" w:line="249" w:lineRule="auto"/>
            </w:pPr>
            <w:r w:rsidRPr="006358BD">
              <w:t>No NRT</w:t>
            </w:r>
          </w:p>
          <w:p w:rsidR="006358BD" w:rsidRDefault="006358BD" w:rsidP="00A71365">
            <w:pPr>
              <w:pStyle w:val="BodyText"/>
              <w:kinsoku w:val="0"/>
              <w:overflowPunct w:val="0"/>
              <w:spacing w:line="249" w:lineRule="auto"/>
              <w:ind w:right="156"/>
            </w:pPr>
          </w:p>
          <w:p w:rsidR="009042AA" w:rsidRPr="00A54BED" w:rsidRDefault="006358BD" w:rsidP="00A71365">
            <w:pPr>
              <w:pStyle w:val="BodyText"/>
              <w:kinsoku w:val="0"/>
              <w:overflowPunct w:val="0"/>
              <w:spacing w:line="249" w:lineRule="auto"/>
              <w:ind w:right="156"/>
              <w:rPr>
                <w:rFonts w:eastAsia="MS Mincho"/>
              </w:rPr>
            </w:pPr>
            <w:r>
              <w:t xml:space="preserve">Level of support: varied. All were provided quitline number. Hospital systems, individual hospitals, and even individual units had their own approach to usual care for smokers, with differences in providing counselling or prescribing quitting aids during hospitalisation. There was no attempt to constrain these activities. Some participants in the NRT and the no-NRT groups also received counselling due to </w:t>
            </w:r>
            <w:r>
              <w:lastRenderedPageBreak/>
              <w:t>factorial design (2 x 2 factorial design: NRT/counselling/NRT and counselling/usual care). Counselling was by the Quitline service. Authors tested for an interaction</w:t>
            </w:r>
            <w:r w:rsidR="001C1168">
              <w:t xml:space="preserve"> b</w:t>
            </w:r>
            <w:r>
              <w:t>etween NRT and</w:t>
            </w:r>
            <w:r w:rsidR="001C1168">
              <w:t xml:space="preserve"> </w:t>
            </w:r>
            <w:r>
              <w:t>counselling and this was not</w:t>
            </w:r>
            <w:r w:rsidR="001C1168">
              <w:t xml:space="preserve"> </w:t>
            </w:r>
            <w:r>
              <w:t>significant, therefore results collapsed for this review</w:t>
            </w:r>
            <w:r w:rsidR="001C1168">
              <w:t>.</w:t>
            </w:r>
          </w:p>
        </w:tc>
        <w:tc>
          <w:tcPr>
            <w:tcW w:w="959" w:type="pct"/>
          </w:tcPr>
          <w:p w:rsidR="001C1168" w:rsidRDefault="001173B2" w:rsidP="00A71365">
            <w:pPr>
              <w:pStyle w:val="Tablewriting"/>
              <w:rPr>
                <w:rFonts w:eastAsia="MS Mincho" w:cstheme="minorHAnsi"/>
              </w:rPr>
            </w:pPr>
            <w:r w:rsidRPr="009B13E2">
              <w:rPr>
                <w:rFonts w:eastAsia="MS Mincho" w:cstheme="minorHAnsi"/>
                <w:u w:val="single"/>
              </w:rPr>
              <w:lastRenderedPageBreak/>
              <w:t>Efficacy:</w:t>
            </w:r>
            <w:r w:rsidR="001C1168">
              <w:rPr>
                <w:rFonts w:eastAsia="MS Mincho" w:cstheme="minorHAnsi"/>
                <w:u w:val="single"/>
              </w:rPr>
              <w:t xml:space="preserve"> </w:t>
            </w:r>
            <w:r w:rsidR="001C1168" w:rsidRPr="001C1168">
              <w:rPr>
                <w:rFonts w:eastAsia="MS Mincho" w:cstheme="minorHAnsi"/>
              </w:rPr>
              <w:t>7-day PP at 6 months</w:t>
            </w:r>
            <w:r w:rsidR="001C1168">
              <w:rPr>
                <w:rFonts w:eastAsia="MS Mincho" w:cstheme="minorHAnsi"/>
              </w:rPr>
              <w:t>.</w:t>
            </w:r>
          </w:p>
          <w:p w:rsidR="001C1168" w:rsidRPr="001C1168" w:rsidRDefault="001C1168" w:rsidP="00A71365">
            <w:pPr>
              <w:pStyle w:val="Tablewriting"/>
              <w:rPr>
                <w:rFonts w:eastAsia="MS Mincho" w:cstheme="minorHAnsi"/>
                <w:u w:val="single"/>
              </w:rPr>
            </w:pPr>
          </w:p>
          <w:p w:rsidR="001173B2" w:rsidRDefault="001C1168" w:rsidP="00A71365">
            <w:pPr>
              <w:pStyle w:val="Tablewriting"/>
              <w:rPr>
                <w:rFonts w:eastAsia="MS Mincho" w:cstheme="minorHAnsi"/>
              </w:rPr>
            </w:pPr>
            <w:r>
              <w:rPr>
                <w:rFonts w:eastAsia="MS Mincho" w:cstheme="minorHAnsi"/>
              </w:rPr>
              <w:t>V</w:t>
            </w:r>
            <w:r w:rsidRPr="001C1168">
              <w:rPr>
                <w:rFonts w:eastAsia="MS Mincho" w:cstheme="minorHAnsi"/>
              </w:rPr>
              <w:t>alidation: saliva cotinine &lt; 10 ng/ml</w:t>
            </w:r>
            <w:r>
              <w:rPr>
                <w:rFonts w:eastAsia="MS Mincho" w:cstheme="minorHAnsi"/>
              </w:rPr>
              <w:t xml:space="preserve">. </w:t>
            </w:r>
          </w:p>
          <w:p w:rsidR="001C1168" w:rsidRDefault="001C1168" w:rsidP="00A71365">
            <w:pPr>
              <w:pStyle w:val="Tablewriting"/>
              <w:rPr>
                <w:rFonts w:eastAsia="MS Mincho" w:cstheme="minorHAnsi"/>
              </w:rPr>
            </w:pP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990A42" w:rsidP="00A71365">
            <w:pPr>
              <w:pStyle w:val="Tablewriting"/>
              <w:rPr>
                <w:rFonts w:eastAsia="MS Mincho" w:cstheme="minorHAnsi"/>
              </w:rPr>
            </w:pPr>
            <w:r w:rsidRPr="00B07BE1">
              <w:rPr>
                <w:rFonts w:eastAsia="MS Mincho"/>
              </w:rPr>
              <w:t xml:space="preserve">Cunningham </w:t>
            </w:r>
            <w:r w:rsidR="00FA40D7">
              <w:rPr>
                <w:rFonts w:eastAsia="MS Mincho"/>
              </w:rPr>
              <w:t>(</w:t>
            </w:r>
            <w:r w:rsidRPr="00B07BE1">
              <w:rPr>
                <w:rFonts w:eastAsia="MS Mincho"/>
              </w:rPr>
              <w:t>2016</w:t>
            </w:r>
            <w:r w:rsidR="00FA40D7">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DB733D" w:rsidP="00A71365">
            <w:pPr>
              <w:pStyle w:val="Tablewriting"/>
              <w:rPr>
                <w:rFonts w:eastAsia="MS Mincho" w:cstheme="minorHAnsi"/>
              </w:rPr>
            </w:pPr>
            <w:r w:rsidRPr="00DB733D">
              <w:rPr>
                <w:rFonts w:eastAsia="MS Mincho" w:cstheme="minorHAnsi"/>
              </w:rPr>
              <w:t>Canada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6B2DE7">
              <w:rPr>
                <w:rFonts w:eastAsia="MS Mincho" w:cstheme="minorHAnsi"/>
              </w:rPr>
              <w:t>1000</w:t>
            </w:r>
          </w:p>
        </w:tc>
        <w:tc>
          <w:tcPr>
            <w:tcW w:w="1046" w:type="pct"/>
          </w:tcPr>
          <w:p w:rsidR="009042AA" w:rsidRPr="006B2DE7" w:rsidRDefault="00E26E69" w:rsidP="00A71365">
            <w:pPr>
              <w:pStyle w:val="Tablewriting"/>
              <w:rPr>
                <w:rFonts w:ascii="Times New Roman" w:eastAsia="MS Mincho" w:hAnsi="Times New Roman"/>
                <w:sz w:val="18"/>
                <w:szCs w:val="18"/>
                <w:lang w:val="en-GB"/>
              </w:rPr>
            </w:pPr>
            <w:r w:rsidRPr="00E26E69">
              <w:rPr>
                <w:rFonts w:eastAsia="MS Mincho" w:cstheme="minorHAnsi"/>
              </w:rPr>
              <w:t>S</w:t>
            </w:r>
            <w:r w:rsidR="006B2DE7" w:rsidRPr="00E26E69">
              <w:rPr>
                <w:rFonts w:eastAsia="MS Mincho" w:cstheme="minorHAnsi"/>
              </w:rPr>
              <w:t>mokers (f 10 CPD), 51% female, average age 49, average CPD 18, mean FTND 5.</w:t>
            </w:r>
          </w:p>
        </w:tc>
        <w:tc>
          <w:tcPr>
            <w:tcW w:w="1056" w:type="pct"/>
          </w:tcPr>
          <w:p w:rsidR="00CC33AB" w:rsidRDefault="00CC33AB" w:rsidP="00C324F3">
            <w:pPr>
              <w:pStyle w:val="Tablewriting"/>
              <w:numPr>
                <w:ilvl w:val="0"/>
                <w:numId w:val="134"/>
              </w:numPr>
              <w:rPr>
                <w:rFonts w:eastAsia="MS Mincho" w:cstheme="minorHAnsi"/>
              </w:rPr>
            </w:pPr>
            <w:r w:rsidRPr="00CC33AB">
              <w:rPr>
                <w:rFonts w:eastAsia="MS Mincho" w:cstheme="minorHAnsi"/>
              </w:rPr>
              <w:t xml:space="preserve">Nicotine patches. </w:t>
            </w:r>
            <w:r w:rsidR="009309D9" w:rsidRPr="00CC33AB">
              <w:rPr>
                <w:rFonts w:eastAsia="MS Mincho" w:cstheme="minorHAnsi"/>
              </w:rPr>
              <w:t>5 weeks total</w:t>
            </w:r>
            <w:r w:rsidRPr="00CC33AB">
              <w:rPr>
                <w:rFonts w:eastAsia="MS Mincho" w:cstheme="minorHAnsi"/>
              </w:rPr>
              <w:t xml:space="preserve"> tapered: 3 weeks 21 mg, 1 week 14 mg, 1 week 7 mg (unclear if 16 or</w:t>
            </w:r>
            <w:r>
              <w:rPr>
                <w:rFonts w:eastAsia="MS Mincho" w:cstheme="minorHAnsi"/>
              </w:rPr>
              <w:t xml:space="preserve"> </w:t>
            </w:r>
            <w:r w:rsidRPr="00CC33AB">
              <w:rPr>
                <w:rFonts w:eastAsia="MS Mincho" w:cstheme="minorHAnsi"/>
              </w:rPr>
              <w:t>24 h)</w:t>
            </w:r>
            <w:r>
              <w:rPr>
                <w:rFonts w:eastAsia="MS Mincho" w:cstheme="minorHAnsi"/>
              </w:rPr>
              <w:t>.</w:t>
            </w:r>
          </w:p>
          <w:p w:rsidR="00CC33AB" w:rsidRPr="00CC33AB" w:rsidRDefault="00CC33AB" w:rsidP="00C324F3">
            <w:pPr>
              <w:pStyle w:val="Tablewriting"/>
              <w:numPr>
                <w:ilvl w:val="0"/>
                <w:numId w:val="134"/>
              </w:numPr>
              <w:rPr>
                <w:rFonts w:eastAsia="MS Mincho" w:cstheme="minorHAnsi"/>
              </w:rPr>
            </w:pPr>
            <w:r w:rsidRPr="00CC33AB">
              <w:rPr>
                <w:rFonts w:eastAsia="MS Mincho" w:cstheme="minorHAnsi"/>
              </w:rPr>
              <w:t>No intervention</w:t>
            </w:r>
          </w:p>
          <w:p w:rsidR="009309D9" w:rsidRDefault="009309D9" w:rsidP="00A71365">
            <w:pPr>
              <w:pStyle w:val="Tablewriting"/>
              <w:rPr>
                <w:rFonts w:eastAsia="MS Mincho" w:cstheme="minorHAnsi"/>
              </w:rPr>
            </w:pPr>
          </w:p>
          <w:p w:rsidR="009042AA" w:rsidRPr="00017AE6" w:rsidRDefault="00CC33AB" w:rsidP="00A71365">
            <w:pPr>
              <w:pStyle w:val="Tablewriting"/>
              <w:rPr>
                <w:rFonts w:eastAsia="MS Mincho" w:cstheme="minorHAnsi"/>
              </w:rPr>
            </w:pPr>
            <w:r w:rsidRPr="00CC33AB">
              <w:rPr>
                <w:rFonts w:eastAsia="MS Mincho" w:cstheme="minorHAnsi"/>
              </w:rPr>
              <w:t>Level of support: low; no support provided (patches mailed to intervention participants)</w:t>
            </w:r>
            <w:r w:rsidR="009309D9">
              <w:rPr>
                <w:rFonts w:eastAsia="MS Mincho" w:cstheme="minorHAnsi"/>
              </w:rPr>
              <w:t>.</w:t>
            </w:r>
          </w:p>
        </w:tc>
        <w:tc>
          <w:tcPr>
            <w:tcW w:w="959" w:type="pct"/>
          </w:tcPr>
          <w:p w:rsidR="009309D9" w:rsidRDefault="001173B2" w:rsidP="00A71365">
            <w:pPr>
              <w:pStyle w:val="Tablewriting"/>
              <w:rPr>
                <w:rFonts w:eastAsia="MS Mincho" w:cstheme="minorHAnsi"/>
              </w:rPr>
            </w:pPr>
            <w:r w:rsidRPr="009B13E2">
              <w:rPr>
                <w:rFonts w:eastAsia="MS Mincho" w:cstheme="minorHAnsi"/>
                <w:u w:val="single"/>
              </w:rPr>
              <w:t>Efficacy:</w:t>
            </w:r>
            <w:r w:rsidR="009309D9">
              <w:rPr>
                <w:rFonts w:eastAsia="MS Mincho" w:cstheme="minorHAnsi"/>
                <w:u w:val="single"/>
              </w:rPr>
              <w:t xml:space="preserve"> </w:t>
            </w:r>
            <w:r w:rsidR="009309D9" w:rsidRPr="009309D9">
              <w:rPr>
                <w:rFonts w:eastAsia="MS Mincho" w:cstheme="minorHAnsi"/>
              </w:rPr>
              <w:t>30-day PP at 6 months</w:t>
            </w:r>
            <w:r w:rsidR="009309D9">
              <w:rPr>
                <w:rFonts w:eastAsia="MS Mincho" w:cstheme="minorHAnsi"/>
              </w:rPr>
              <w:t>.</w:t>
            </w:r>
          </w:p>
          <w:p w:rsidR="009309D9" w:rsidRPr="009309D9" w:rsidRDefault="009309D9" w:rsidP="00A71365">
            <w:pPr>
              <w:pStyle w:val="Tablewriting"/>
              <w:rPr>
                <w:rFonts w:eastAsia="MS Mincho" w:cstheme="minorHAnsi"/>
                <w:u w:val="single"/>
              </w:rPr>
            </w:pPr>
          </w:p>
          <w:p w:rsidR="001173B2" w:rsidRDefault="009309D9" w:rsidP="00A71365">
            <w:pPr>
              <w:pStyle w:val="Tablewriting"/>
              <w:rPr>
                <w:rFonts w:eastAsia="MS Mincho" w:cstheme="minorHAnsi"/>
              </w:rPr>
            </w:pPr>
            <w:r w:rsidRPr="009309D9">
              <w:rPr>
                <w:rFonts w:eastAsia="MS Mincho" w:cstheme="minorHAnsi"/>
              </w:rPr>
              <w:t>Validation: Saliva</w:t>
            </w:r>
            <w:r>
              <w:rPr>
                <w:rFonts w:eastAsia="MS Mincho" w:cstheme="minorHAnsi"/>
              </w:rPr>
              <w:t xml:space="preserve"> c</w:t>
            </w:r>
            <w:r w:rsidRPr="009309D9">
              <w:rPr>
                <w:rFonts w:eastAsia="MS Mincho" w:cstheme="minorHAnsi"/>
              </w:rPr>
              <w:t>otinine &lt; 15 mg/L</w:t>
            </w:r>
            <w:r>
              <w:rPr>
                <w:rFonts w:eastAsia="MS Mincho" w:cstheme="minorHAnsi"/>
              </w:rPr>
              <w:t>.</w:t>
            </w:r>
          </w:p>
          <w:p w:rsidR="009309D9" w:rsidRDefault="009309D9" w:rsidP="00A71365">
            <w:pPr>
              <w:pStyle w:val="Tablewriting"/>
              <w:rPr>
                <w:rFonts w:eastAsia="MS Mincho" w:cstheme="minorHAnsi"/>
                <w:u w:val="single"/>
              </w:rPr>
            </w:pP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990A42" w:rsidP="00A71365">
            <w:pPr>
              <w:pStyle w:val="Tablewriting"/>
              <w:rPr>
                <w:rFonts w:eastAsia="MS Mincho" w:cstheme="minorHAnsi"/>
              </w:rPr>
            </w:pPr>
            <w:r w:rsidRPr="00B07BE1">
              <w:rPr>
                <w:rFonts w:eastAsia="MS Mincho"/>
              </w:rPr>
              <w:t xml:space="preserve">Fiore </w:t>
            </w:r>
            <w:r w:rsidR="00FA40D7">
              <w:rPr>
                <w:rFonts w:eastAsia="MS Mincho"/>
              </w:rPr>
              <w:t>(</w:t>
            </w:r>
            <w:r w:rsidRPr="00B07BE1">
              <w:rPr>
                <w:rFonts w:eastAsia="MS Mincho"/>
              </w:rPr>
              <w:t>1994</w:t>
            </w:r>
            <w:r w:rsidR="004810EB">
              <w:rPr>
                <w:rFonts w:eastAsia="MS Mincho"/>
              </w:rPr>
              <w:t>a)</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63680D" w:rsidP="00A71365">
            <w:pPr>
              <w:pStyle w:val="Tablewriting"/>
              <w:rPr>
                <w:rFonts w:eastAsia="MS Mincho" w:cstheme="minorHAnsi"/>
              </w:rPr>
            </w:pPr>
            <w:r>
              <w:rPr>
                <w:rFonts w:eastAsia="MS Mincho" w:cstheme="minorHAnsi"/>
              </w:rPr>
              <w:t>USA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8642E0">
              <w:rPr>
                <w:rFonts w:eastAsia="MS Mincho" w:cstheme="minorHAnsi"/>
              </w:rPr>
              <w:t>88</w:t>
            </w:r>
          </w:p>
        </w:tc>
        <w:tc>
          <w:tcPr>
            <w:tcW w:w="1046" w:type="pct"/>
          </w:tcPr>
          <w:p w:rsidR="009042AA" w:rsidRPr="008642E0" w:rsidRDefault="008642E0" w:rsidP="00A71365">
            <w:pPr>
              <w:rPr>
                <w:rFonts w:eastAsia="MS Mincho"/>
                <w:lang w:eastAsia="en-US"/>
              </w:rPr>
            </w:pPr>
            <w:r>
              <w:rPr>
                <w:rFonts w:eastAsia="MS Mincho"/>
                <w:lang w:eastAsia="en-US"/>
              </w:rPr>
              <w:t>S</w:t>
            </w:r>
            <w:r w:rsidRPr="008642E0">
              <w:rPr>
                <w:rFonts w:eastAsia="MS Mincho"/>
                <w:lang w:eastAsia="en-US"/>
              </w:rPr>
              <w:t xml:space="preserve">mokers (&gt; 15 </w:t>
            </w:r>
            <w:r>
              <w:rPr>
                <w:rFonts w:eastAsia="MS Mincho"/>
                <w:lang w:eastAsia="en-US"/>
              </w:rPr>
              <w:t>CPD</w:t>
            </w:r>
            <w:r w:rsidRPr="008642E0">
              <w:rPr>
                <w:rFonts w:eastAsia="MS Mincho"/>
                <w:lang w:eastAsia="en-US"/>
              </w:rPr>
              <w:t>), motivated to quit.</w:t>
            </w:r>
          </w:p>
        </w:tc>
        <w:tc>
          <w:tcPr>
            <w:tcW w:w="1056" w:type="pct"/>
          </w:tcPr>
          <w:p w:rsidR="00DC4B58" w:rsidRDefault="00E669E6" w:rsidP="00C324F3">
            <w:pPr>
              <w:pStyle w:val="Tablewriting"/>
              <w:numPr>
                <w:ilvl w:val="0"/>
                <w:numId w:val="135"/>
              </w:numPr>
              <w:rPr>
                <w:rFonts w:eastAsia="MS Mincho" w:cstheme="minorHAnsi"/>
              </w:rPr>
            </w:pPr>
            <w:r w:rsidRPr="00E669E6">
              <w:rPr>
                <w:rFonts w:eastAsia="MS Mincho" w:cstheme="minorHAnsi"/>
              </w:rPr>
              <w:t>Nicotine patch (22 mg/24 h, 8 weeks, no weaning)</w:t>
            </w:r>
            <w:r w:rsidR="00DC4B58">
              <w:rPr>
                <w:rFonts w:eastAsia="MS Mincho" w:cstheme="minorHAnsi"/>
              </w:rPr>
              <w:t>.</w:t>
            </w:r>
          </w:p>
          <w:p w:rsidR="00E669E6" w:rsidRPr="00DC4B58" w:rsidRDefault="00E669E6" w:rsidP="00C324F3">
            <w:pPr>
              <w:pStyle w:val="Tablewriting"/>
              <w:numPr>
                <w:ilvl w:val="0"/>
                <w:numId w:val="135"/>
              </w:numPr>
              <w:rPr>
                <w:rFonts w:eastAsia="MS Mincho" w:cstheme="minorHAnsi"/>
              </w:rPr>
            </w:pPr>
            <w:r w:rsidRPr="00DC4B58">
              <w:rPr>
                <w:rFonts w:eastAsia="MS Mincho" w:cstheme="minorHAnsi"/>
              </w:rPr>
              <w:t>Placebo patch</w:t>
            </w:r>
          </w:p>
          <w:p w:rsidR="00DC4B58" w:rsidRDefault="00DC4B58" w:rsidP="00A71365">
            <w:pPr>
              <w:pStyle w:val="Tablewriting"/>
              <w:rPr>
                <w:rFonts w:eastAsia="MS Mincho" w:cstheme="minorHAnsi"/>
              </w:rPr>
            </w:pPr>
          </w:p>
          <w:p w:rsidR="009042AA" w:rsidRPr="00017AE6" w:rsidRDefault="00E669E6" w:rsidP="00A71365">
            <w:pPr>
              <w:pStyle w:val="Tablewriting"/>
              <w:rPr>
                <w:rFonts w:eastAsia="MS Mincho" w:cstheme="minorHAnsi"/>
              </w:rPr>
            </w:pPr>
            <w:r w:rsidRPr="00E669E6">
              <w:rPr>
                <w:rFonts w:eastAsia="MS Mincho" w:cstheme="minorHAnsi"/>
              </w:rPr>
              <w:t>Level of support: high</w:t>
            </w:r>
            <w:r w:rsidR="00DC4B58">
              <w:rPr>
                <w:rFonts w:eastAsia="MS Mincho" w:cstheme="minorHAnsi"/>
              </w:rPr>
              <w:t xml:space="preserve"> </w:t>
            </w:r>
            <w:r w:rsidRPr="00E669E6">
              <w:rPr>
                <w:rFonts w:eastAsia="MS Mincho" w:cstheme="minorHAnsi"/>
              </w:rPr>
              <w:t>(intensive group counselling)</w:t>
            </w:r>
          </w:p>
        </w:tc>
        <w:tc>
          <w:tcPr>
            <w:tcW w:w="959" w:type="pct"/>
          </w:tcPr>
          <w:p w:rsidR="005D5266" w:rsidRDefault="001173B2" w:rsidP="00A71365">
            <w:pPr>
              <w:pStyle w:val="Tablewriting"/>
              <w:rPr>
                <w:rFonts w:eastAsia="MS Mincho" w:cstheme="minorHAnsi"/>
              </w:rPr>
            </w:pPr>
            <w:r w:rsidRPr="009B13E2">
              <w:rPr>
                <w:rFonts w:eastAsia="MS Mincho" w:cstheme="minorHAnsi"/>
                <w:u w:val="single"/>
              </w:rPr>
              <w:t>Efficacy:</w:t>
            </w:r>
            <w:r w:rsidR="005D5266">
              <w:rPr>
                <w:rFonts w:eastAsia="MS Mincho" w:cstheme="minorHAnsi"/>
                <w:u w:val="single"/>
              </w:rPr>
              <w:t xml:space="preserve"> </w:t>
            </w:r>
            <w:r w:rsidR="005D5266" w:rsidRPr="005D5266">
              <w:rPr>
                <w:rFonts w:eastAsia="MS Mincho" w:cstheme="minorHAnsi"/>
              </w:rPr>
              <w:t>PP abstinence at 6 months (7-day PP)</w:t>
            </w:r>
            <w:r w:rsidR="005D5266">
              <w:rPr>
                <w:rFonts w:eastAsia="MS Mincho" w:cstheme="minorHAnsi"/>
              </w:rPr>
              <w:t>.</w:t>
            </w:r>
          </w:p>
          <w:p w:rsidR="005D5266" w:rsidRPr="005D5266" w:rsidRDefault="005D5266" w:rsidP="00A71365">
            <w:pPr>
              <w:pStyle w:val="Tablewriting"/>
              <w:rPr>
                <w:rFonts w:eastAsia="MS Mincho" w:cstheme="minorHAnsi"/>
                <w:u w:val="single"/>
              </w:rPr>
            </w:pPr>
          </w:p>
          <w:p w:rsidR="001173B2" w:rsidRDefault="005D5266" w:rsidP="00A71365">
            <w:pPr>
              <w:pStyle w:val="Tablewriting"/>
              <w:rPr>
                <w:rFonts w:eastAsia="MS Mincho" w:cstheme="minorHAnsi"/>
              </w:rPr>
            </w:pPr>
            <w:r w:rsidRPr="005D5266">
              <w:rPr>
                <w:rFonts w:eastAsia="MS Mincho" w:cstheme="minorHAnsi"/>
              </w:rPr>
              <w:t>Validation: CO</w:t>
            </w: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7523E4" w:rsidP="00A71365">
            <w:pPr>
              <w:pStyle w:val="Tablewriting"/>
              <w:rPr>
                <w:rFonts w:eastAsia="MS Mincho" w:cstheme="minorHAnsi"/>
              </w:rPr>
            </w:pPr>
            <w:r w:rsidRPr="00B07BE1">
              <w:rPr>
                <w:rFonts w:eastAsia="MS Mincho"/>
              </w:rPr>
              <w:t xml:space="preserve">Fiore </w:t>
            </w:r>
            <w:r w:rsidR="00FA40D7">
              <w:rPr>
                <w:rFonts w:eastAsia="MS Mincho"/>
              </w:rPr>
              <w:t>(</w:t>
            </w:r>
            <w:r w:rsidRPr="00B07BE1">
              <w:rPr>
                <w:rFonts w:eastAsia="MS Mincho"/>
              </w:rPr>
              <w:t>1994</w:t>
            </w:r>
            <w:r w:rsidR="004810EB">
              <w:rPr>
                <w:rFonts w:eastAsia="MS Mincho"/>
              </w:rPr>
              <w:t>b</w:t>
            </w:r>
            <w:r w:rsidR="00FA40D7">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A40B8B" w:rsidP="00A71365">
            <w:pPr>
              <w:pStyle w:val="Tablewriting"/>
              <w:rPr>
                <w:rFonts w:eastAsia="MS Mincho" w:cstheme="minorHAnsi"/>
              </w:rPr>
            </w:pPr>
            <w:r>
              <w:rPr>
                <w:rFonts w:eastAsia="MS Mincho" w:cstheme="minorHAnsi"/>
              </w:rPr>
              <w:t>USA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A40B8B">
              <w:rPr>
                <w:rFonts w:eastAsia="MS Mincho" w:cstheme="minorHAnsi"/>
              </w:rPr>
              <w:t>112</w:t>
            </w:r>
          </w:p>
        </w:tc>
        <w:tc>
          <w:tcPr>
            <w:tcW w:w="1046" w:type="pct"/>
          </w:tcPr>
          <w:p w:rsidR="009042AA" w:rsidRPr="00017AE6" w:rsidRDefault="00BB6281" w:rsidP="00A71365">
            <w:pPr>
              <w:pStyle w:val="Tablewriting"/>
              <w:rPr>
                <w:rFonts w:eastAsia="MS Mincho" w:cstheme="minorHAnsi"/>
              </w:rPr>
            </w:pPr>
            <w:r>
              <w:rPr>
                <w:rFonts w:eastAsia="MS Mincho" w:cstheme="minorHAnsi"/>
              </w:rPr>
              <w:t>S</w:t>
            </w:r>
            <w:r w:rsidRPr="00BB6281">
              <w:rPr>
                <w:rFonts w:eastAsia="MS Mincho" w:cstheme="minorHAnsi"/>
              </w:rPr>
              <w:t xml:space="preserve">mokers (&gt; 15 </w:t>
            </w:r>
            <w:r>
              <w:rPr>
                <w:rFonts w:eastAsia="MS Mincho" w:cstheme="minorHAnsi"/>
              </w:rPr>
              <w:t>CPD</w:t>
            </w:r>
            <w:r w:rsidRPr="00BB6281">
              <w:rPr>
                <w:rFonts w:eastAsia="MS Mincho" w:cstheme="minorHAnsi"/>
              </w:rPr>
              <w:t>)</w:t>
            </w:r>
            <w:r>
              <w:rPr>
                <w:rFonts w:eastAsia="MS Mincho" w:cstheme="minorHAnsi"/>
              </w:rPr>
              <w:t>.</w:t>
            </w:r>
          </w:p>
        </w:tc>
        <w:tc>
          <w:tcPr>
            <w:tcW w:w="1056" w:type="pct"/>
          </w:tcPr>
          <w:p w:rsidR="000C5810" w:rsidRDefault="000C5810" w:rsidP="00C324F3">
            <w:pPr>
              <w:pStyle w:val="Tablewriting"/>
              <w:numPr>
                <w:ilvl w:val="0"/>
                <w:numId w:val="136"/>
              </w:numPr>
              <w:rPr>
                <w:rFonts w:eastAsia="MS Mincho" w:cstheme="minorHAnsi"/>
              </w:rPr>
            </w:pPr>
            <w:r w:rsidRPr="000C5810">
              <w:rPr>
                <w:rFonts w:eastAsia="MS Mincho" w:cstheme="minorHAnsi"/>
              </w:rPr>
              <w:t>Nicotine patch (22 mg/24 h, 6 weeks including weaning)</w:t>
            </w:r>
            <w:r>
              <w:rPr>
                <w:rFonts w:eastAsia="MS Mincho" w:cstheme="minorHAnsi"/>
              </w:rPr>
              <w:t>.</w:t>
            </w:r>
          </w:p>
          <w:p w:rsidR="000C5810" w:rsidRDefault="000C5810" w:rsidP="00C324F3">
            <w:pPr>
              <w:pStyle w:val="Tablewriting"/>
              <w:numPr>
                <w:ilvl w:val="0"/>
                <w:numId w:val="136"/>
              </w:numPr>
              <w:rPr>
                <w:rFonts w:eastAsia="MS Mincho" w:cstheme="minorHAnsi"/>
              </w:rPr>
            </w:pPr>
            <w:r w:rsidRPr="000C5810">
              <w:rPr>
                <w:rFonts w:eastAsia="MS Mincho" w:cstheme="minorHAnsi"/>
              </w:rPr>
              <w:t>Placebo patch</w:t>
            </w:r>
            <w:r>
              <w:rPr>
                <w:rFonts w:eastAsia="MS Mincho" w:cstheme="minorHAnsi"/>
              </w:rPr>
              <w:t>.</w:t>
            </w:r>
          </w:p>
          <w:p w:rsidR="000C5810" w:rsidRPr="000C5810" w:rsidRDefault="000C5810" w:rsidP="00A71365">
            <w:pPr>
              <w:pStyle w:val="Tablewriting"/>
              <w:ind w:left="360"/>
              <w:rPr>
                <w:rFonts w:eastAsia="MS Mincho" w:cstheme="minorHAnsi"/>
              </w:rPr>
            </w:pPr>
          </w:p>
          <w:p w:rsidR="009042AA" w:rsidRPr="00017AE6" w:rsidRDefault="000C5810" w:rsidP="00A71365">
            <w:pPr>
              <w:pStyle w:val="Tablewriting"/>
              <w:rPr>
                <w:rFonts w:eastAsia="MS Mincho" w:cstheme="minorHAnsi"/>
              </w:rPr>
            </w:pPr>
            <w:r w:rsidRPr="000C5810">
              <w:rPr>
                <w:rFonts w:eastAsia="MS Mincho" w:cstheme="minorHAnsi"/>
              </w:rPr>
              <w:t>Level of support: high (8 weekly 10 min to 20 min individual counselling)</w:t>
            </w:r>
          </w:p>
        </w:tc>
        <w:tc>
          <w:tcPr>
            <w:tcW w:w="959" w:type="pct"/>
          </w:tcPr>
          <w:p w:rsidR="009612AC" w:rsidRDefault="001173B2" w:rsidP="00A71365">
            <w:pPr>
              <w:pStyle w:val="Tablewriting"/>
              <w:rPr>
                <w:rFonts w:eastAsia="MS Mincho" w:cstheme="minorHAnsi"/>
              </w:rPr>
            </w:pPr>
            <w:r w:rsidRPr="009B13E2">
              <w:rPr>
                <w:rFonts w:eastAsia="MS Mincho" w:cstheme="minorHAnsi"/>
                <w:u w:val="single"/>
              </w:rPr>
              <w:t>Efficacy:</w:t>
            </w:r>
            <w:r w:rsidR="009612AC">
              <w:rPr>
                <w:rFonts w:eastAsia="MS Mincho" w:cstheme="minorHAnsi"/>
                <w:u w:val="single"/>
              </w:rPr>
              <w:t xml:space="preserve"> </w:t>
            </w:r>
            <w:r w:rsidR="009612AC" w:rsidRPr="009612AC">
              <w:rPr>
                <w:rFonts w:eastAsia="MS Mincho" w:cstheme="minorHAnsi"/>
              </w:rPr>
              <w:t>PP abstinence at 6 months (7 days PP)</w:t>
            </w:r>
            <w:r w:rsidR="009612AC">
              <w:rPr>
                <w:rFonts w:eastAsia="MS Mincho" w:cstheme="minorHAnsi"/>
              </w:rPr>
              <w:t>.</w:t>
            </w:r>
          </w:p>
          <w:p w:rsidR="009612AC" w:rsidRPr="009612AC" w:rsidRDefault="009612AC" w:rsidP="00A71365">
            <w:pPr>
              <w:pStyle w:val="Tablewriting"/>
              <w:rPr>
                <w:rFonts w:eastAsia="MS Mincho" w:cstheme="minorHAnsi"/>
                <w:u w:val="single"/>
              </w:rPr>
            </w:pPr>
          </w:p>
          <w:p w:rsidR="001173B2" w:rsidRDefault="009612AC" w:rsidP="00A71365">
            <w:pPr>
              <w:pStyle w:val="Tablewriting"/>
              <w:rPr>
                <w:rFonts w:eastAsia="MS Mincho" w:cstheme="minorHAnsi"/>
              </w:rPr>
            </w:pPr>
            <w:r w:rsidRPr="009612AC">
              <w:rPr>
                <w:rFonts w:eastAsia="MS Mincho" w:cstheme="minorHAnsi"/>
              </w:rPr>
              <w:t>Validation: CO</w:t>
            </w: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7523E4" w:rsidP="00A71365">
            <w:pPr>
              <w:pStyle w:val="Tablewriting"/>
              <w:rPr>
                <w:rFonts w:eastAsia="MS Mincho" w:cstheme="minorHAnsi"/>
              </w:rPr>
            </w:pPr>
            <w:r w:rsidRPr="00B07BE1">
              <w:rPr>
                <w:rFonts w:eastAsia="MS Mincho"/>
              </w:rPr>
              <w:lastRenderedPageBreak/>
              <w:t xml:space="preserve">Glavas </w:t>
            </w:r>
            <w:r w:rsidR="00FA40D7">
              <w:rPr>
                <w:rFonts w:eastAsia="MS Mincho"/>
              </w:rPr>
              <w:t>(</w:t>
            </w:r>
            <w:r w:rsidRPr="00B07BE1">
              <w:rPr>
                <w:rFonts w:eastAsia="MS Mincho"/>
              </w:rPr>
              <w:t>2003</w:t>
            </w:r>
            <w:r w:rsidR="004810EB">
              <w:rPr>
                <w:rFonts w:eastAsia="MS Mincho"/>
              </w:rPr>
              <w:t>b)</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2F64BF" w:rsidP="00A71365">
            <w:pPr>
              <w:pStyle w:val="Tablewriting"/>
              <w:rPr>
                <w:rFonts w:eastAsia="MS Mincho" w:cstheme="minorHAnsi"/>
              </w:rPr>
            </w:pPr>
            <w:r w:rsidRPr="002F64BF">
              <w:rPr>
                <w:rFonts w:eastAsia="MS Mincho" w:cstheme="minorHAnsi"/>
              </w:rPr>
              <w:t>Croatia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2F64BF">
              <w:rPr>
                <w:rFonts w:eastAsia="MS Mincho" w:cstheme="minorHAnsi"/>
              </w:rPr>
              <w:t>160</w:t>
            </w:r>
          </w:p>
        </w:tc>
        <w:tc>
          <w:tcPr>
            <w:tcW w:w="1046" w:type="pct"/>
          </w:tcPr>
          <w:p w:rsidR="009042AA" w:rsidRPr="00017AE6" w:rsidRDefault="00FF7DBF" w:rsidP="00A71365">
            <w:pPr>
              <w:pStyle w:val="Tablewriting"/>
              <w:rPr>
                <w:rFonts w:eastAsia="MS Mincho" w:cstheme="minorHAnsi"/>
              </w:rPr>
            </w:pPr>
            <w:r>
              <w:rPr>
                <w:rFonts w:eastAsia="MS Mincho" w:cstheme="minorHAnsi"/>
              </w:rPr>
              <w:t>NR</w:t>
            </w:r>
          </w:p>
        </w:tc>
        <w:tc>
          <w:tcPr>
            <w:tcW w:w="1056" w:type="pct"/>
          </w:tcPr>
          <w:p w:rsidR="001B3197" w:rsidRDefault="00333CCF" w:rsidP="00C324F3">
            <w:pPr>
              <w:pStyle w:val="Tablewriting"/>
              <w:numPr>
                <w:ilvl w:val="0"/>
                <w:numId w:val="137"/>
              </w:numPr>
              <w:rPr>
                <w:rFonts w:eastAsia="MS Mincho" w:cstheme="minorHAnsi"/>
              </w:rPr>
            </w:pPr>
            <w:r w:rsidRPr="00333CCF">
              <w:rPr>
                <w:rFonts w:eastAsia="MS Mincho" w:cstheme="minorHAnsi"/>
              </w:rPr>
              <w:t xml:space="preserve">Nicotine patch, 24 h, 25 mg/15 mg/8 mg starting dose depending on baseline </w:t>
            </w:r>
            <w:r w:rsidR="00CB4411">
              <w:rPr>
                <w:rFonts w:eastAsia="MS Mincho" w:cstheme="minorHAnsi"/>
              </w:rPr>
              <w:t>CPD (</w:t>
            </w:r>
            <w:r w:rsidRPr="00333CCF">
              <w:rPr>
                <w:rFonts w:eastAsia="MS Mincho" w:cstheme="minorHAnsi"/>
              </w:rPr>
              <w:t>6 weeks</w:t>
            </w:r>
            <w:r w:rsidR="00CB4411">
              <w:rPr>
                <w:rFonts w:eastAsia="MS Mincho" w:cstheme="minorHAnsi"/>
              </w:rPr>
              <w:t>)</w:t>
            </w:r>
            <w:r w:rsidR="001B3197">
              <w:rPr>
                <w:rFonts w:eastAsia="MS Mincho" w:cstheme="minorHAnsi"/>
              </w:rPr>
              <w:t>.</w:t>
            </w:r>
          </w:p>
          <w:p w:rsidR="0000141B" w:rsidRDefault="00333CCF" w:rsidP="00C324F3">
            <w:pPr>
              <w:pStyle w:val="Tablewriting"/>
              <w:numPr>
                <w:ilvl w:val="0"/>
                <w:numId w:val="137"/>
              </w:numPr>
              <w:rPr>
                <w:rFonts w:eastAsia="MS Mincho" w:cstheme="minorHAnsi"/>
              </w:rPr>
            </w:pPr>
            <w:r w:rsidRPr="001B3197">
              <w:rPr>
                <w:rFonts w:eastAsia="MS Mincho" w:cstheme="minorHAnsi"/>
              </w:rPr>
              <w:t xml:space="preserve">Nicotine patch, 24 h, 25 mg/15 mg starting dose depending on baseline </w:t>
            </w:r>
            <w:r w:rsidR="0000141B">
              <w:rPr>
                <w:rFonts w:eastAsia="MS Mincho" w:cstheme="minorHAnsi"/>
              </w:rPr>
              <w:t>CPD</w:t>
            </w:r>
            <w:r w:rsidR="00CB4411">
              <w:rPr>
                <w:rFonts w:eastAsia="MS Mincho" w:cstheme="minorHAnsi"/>
              </w:rPr>
              <w:t xml:space="preserve"> (</w:t>
            </w:r>
            <w:r w:rsidRPr="001B3197">
              <w:rPr>
                <w:rFonts w:eastAsia="MS Mincho" w:cstheme="minorHAnsi"/>
              </w:rPr>
              <w:t>3 weeks</w:t>
            </w:r>
            <w:r w:rsidR="00CB4411">
              <w:rPr>
                <w:rFonts w:eastAsia="MS Mincho" w:cstheme="minorHAnsi"/>
              </w:rPr>
              <w:t>).</w:t>
            </w:r>
          </w:p>
          <w:p w:rsidR="0000141B" w:rsidRDefault="00333CCF" w:rsidP="00C324F3">
            <w:pPr>
              <w:pStyle w:val="Tablewriting"/>
              <w:numPr>
                <w:ilvl w:val="0"/>
                <w:numId w:val="137"/>
              </w:numPr>
              <w:rPr>
                <w:rFonts w:eastAsia="MS Mincho" w:cstheme="minorHAnsi"/>
              </w:rPr>
            </w:pPr>
            <w:r w:rsidRPr="0000141B">
              <w:rPr>
                <w:rFonts w:eastAsia="MS Mincho" w:cstheme="minorHAnsi"/>
              </w:rPr>
              <w:t>Placebo patch</w:t>
            </w:r>
            <w:r w:rsidR="00CB4411">
              <w:rPr>
                <w:rFonts w:eastAsia="MS Mincho" w:cstheme="minorHAnsi"/>
              </w:rPr>
              <w:t xml:space="preserve"> (</w:t>
            </w:r>
            <w:r w:rsidRPr="0000141B">
              <w:rPr>
                <w:rFonts w:eastAsia="MS Mincho" w:cstheme="minorHAnsi"/>
              </w:rPr>
              <w:t>6 weeks</w:t>
            </w:r>
            <w:r w:rsidR="00CB4411">
              <w:rPr>
                <w:rFonts w:eastAsia="MS Mincho" w:cstheme="minorHAnsi"/>
              </w:rPr>
              <w:t>)</w:t>
            </w:r>
            <w:r w:rsidR="0000141B">
              <w:rPr>
                <w:rFonts w:eastAsia="MS Mincho" w:cstheme="minorHAnsi"/>
              </w:rPr>
              <w:t>.</w:t>
            </w:r>
          </w:p>
          <w:p w:rsidR="00333CCF" w:rsidRPr="0000141B" w:rsidRDefault="00333CCF" w:rsidP="00C324F3">
            <w:pPr>
              <w:pStyle w:val="Tablewriting"/>
              <w:numPr>
                <w:ilvl w:val="0"/>
                <w:numId w:val="137"/>
              </w:numPr>
              <w:rPr>
                <w:rFonts w:eastAsia="MS Mincho" w:cstheme="minorHAnsi"/>
              </w:rPr>
            </w:pPr>
            <w:r w:rsidRPr="0000141B">
              <w:rPr>
                <w:rFonts w:eastAsia="MS Mincho" w:cstheme="minorHAnsi"/>
              </w:rPr>
              <w:t xml:space="preserve">Placebo patch </w:t>
            </w:r>
            <w:r w:rsidR="00CB4411">
              <w:rPr>
                <w:rFonts w:eastAsia="MS Mincho" w:cstheme="minorHAnsi"/>
              </w:rPr>
              <w:t>(</w:t>
            </w:r>
            <w:r w:rsidRPr="0000141B">
              <w:rPr>
                <w:rFonts w:eastAsia="MS Mincho" w:cstheme="minorHAnsi"/>
              </w:rPr>
              <w:t>3 weeks</w:t>
            </w:r>
            <w:r w:rsidR="00CB4411">
              <w:rPr>
                <w:rFonts w:eastAsia="MS Mincho" w:cstheme="minorHAnsi"/>
              </w:rPr>
              <w:t>)</w:t>
            </w:r>
            <w:r w:rsidR="0000141B">
              <w:rPr>
                <w:rFonts w:eastAsia="MS Mincho" w:cstheme="minorHAnsi"/>
              </w:rPr>
              <w:t>.</w:t>
            </w:r>
          </w:p>
          <w:p w:rsidR="0000141B" w:rsidRDefault="0000141B" w:rsidP="00A71365">
            <w:pPr>
              <w:pStyle w:val="Tablewriting"/>
              <w:rPr>
                <w:rFonts w:eastAsia="MS Mincho" w:cstheme="minorHAnsi"/>
              </w:rPr>
            </w:pPr>
          </w:p>
          <w:p w:rsidR="009042AA" w:rsidRPr="00017AE6" w:rsidRDefault="00333CCF" w:rsidP="00A71365">
            <w:pPr>
              <w:pStyle w:val="Tablewriting"/>
              <w:rPr>
                <w:rFonts w:eastAsia="MS Mincho" w:cstheme="minorHAnsi"/>
              </w:rPr>
            </w:pPr>
            <w:r w:rsidRPr="00333CCF">
              <w:rPr>
                <w:rFonts w:eastAsia="MS Mincho" w:cstheme="minorHAnsi"/>
              </w:rPr>
              <w:t>Level of support: low</w:t>
            </w:r>
          </w:p>
        </w:tc>
        <w:tc>
          <w:tcPr>
            <w:tcW w:w="959" w:type="pct"/>
          </w:tcPr>
          <w:p w:rsidR="00190C0E" w:rsidRDefault="001173B2" w:rsidP="00A71365">
            <w:pPr>
              <w:pStyle w:val="Tablewriting"/>
              <w:rPr>
                <w:rFonts w:eastAsia="MS Mincho" w:cstheme="minorHAnsi"/>
              </w:rPr>
            </w:pPr>
            <w:r w:rsidRPr="009B13E2">
              <w:rPr>
                <w:rFonts w:eastAsia="MS Mincho" w:cstheme="minorHAnsi"/>
                <w:u w:val="single"/>
              </w:rPr>
              <w:t>Efficacy:</w:t>
            </w:r>
            <w:r w:rsidR="00190C0E">
              <w:rPr>
                <w:rFonts w:eastAsia="MS Mincho" w:cstheme="minorHAnsi"/>
                <w:u w:val="single"/>
              </w:rPr>
              <w:t xml:space="preserve"> </w:t>
            </w:r>
            <w:r w:rsidR="00190C0E" w:rsidRPr="00190C0E">
              <w:rPr>
                <w:rFonts w:eastAsia="MS Mincho" w:cstheme="minorHAnsi"/>
              </w:rPr>
              <w:t>Abstinence at 6 months after EOT</w:t>
            </w:r>
            <w:r w:rsidR="00190C0E">
              <w:rPr>
                <w:rFonts w:eastAsia="MS Mincho" w:cstheme="minorHAnsi"/>
              </w:rPr>
              <w:t>.</w:t>
            </w:r>
          </w:p>
          <w:p w:rsidR="00190C0E" w:rsidRPr="00190C0E" w:rsidRDefault="00190C0E" w:rsidP="00A71365">
            <w:pPr>
              <w:pStyle w:val="Tablewriting"/>
              <w:rPr>
                <w:rFonts w:eastAsia="MS Mincho" w:cstheme="minorHAnsi"/>
                <w:u w:val="single"/>
              </w:rPr>
            </w:pPr>
          </w:p>
          <w:p w:rsidR="001173B2" w:rsidRDefault="00190C0E" w:rsidP="00A71365">
            <w:pPr>
              <w:pStyle w:val="Tablewriting"/>
              <w:rPr>
                <w:rFonts w:eastAsia="MS Mincho" w:cstheme="minorHAnsi"/>
              </w:rPr>
            </w:pPr>
            <w:r w:rsidRPr="00190C0E">
              <w:rPr>
                <w:rFonts w:eastAsia="MS Mincho" w:cstheme="minorHAnsi"/>
              </w:rPr>
              <w:t>Validation: CO &lt; 11 ppm</w:t>
            </w:r>
          </w:p>
          <w:p w:rsidR="00190C0E" w:rsidRDefault="00190C0E" w:rsidP="00A71365">
            <w:pPr>
              <w:pStyle w:val="Tablewriting"/>
              <w:rPr>
                <w:rFonts w:eastAsia="MS Mincho" w:cstheme="minorHAnsi"/>
              </w:rPr>
            </w:pP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326F38" w:rsidP="00A71365">
            <w:pPr>
              <w:pStyle w:val="Tablewriting"/>
              <w:rPr>
                <w:rFonts w:eastAsia="MS Mincho" w:cstheme="minorHAnsi"/>
              </w:rPr>
            </w:pPr>
            <w:r w:rsidRPr="00B07BE1">
              <w:rPr>
                <w:rFonts w:eastAsia="MS Mincho"/>
              </w:rPr>
              <w:t xml:space="preserve">Lewis </w:t>
            </w:r>
            <w:r w:rsidR="00FA40D7">
              <w:rPr>
                <w:rFonts w:eastAsia="MS Mincho"/>
              </w:rPr>
              <w:t>(</w:t>
            </w:r>
            <w:r w:rsidRPr="00B07BE1">
              <w:rPr>
                <w:rFonts w:eastAsia="MS Mincho"/>
              </w:rPr>
              <w:t>1998</w:t>
            </w:r>
            <w:r w:rsidR="00FA40D7">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871F95" w:rsidP="00A71365">
            <w:pPr>
              <w:pStyle w:val="Tablewriting"/>
              <w:rPr>
                <w:rFonts w:eastAsia="MS Mincho" w:cstheme="minorHAnsi"/>
              </w:rPr>
            </w:pPr>
            <w:r>
              <w:rPr>
                <w:rFonts w:eastAsia="MS Mincho" w:cstheme="minorHAnsi"/>
              </w:rPr>
              <w:t>USA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871F95">
              <w:rPr>
                <w:rFonts w:eastAsia="MS Mincho" w:cstheme="minorHAnsi"/>
              </w:rPr>
              <w:t>185</w:t>
            </w:r>
          </w:p>
        </w:tc>
        <w:tc>
          <w:tcPr>
            <w:tcW w:w="1046" w:type="pct"/>
          </w:tcPr>
          <w:p w:rsidR="009042AA" w:rsidRPr="00017AE6" w:rsidRDefault="00871F95" w:rsidP="00A71365">
            <w:pPr>
              <w:pStyle w:val="Tablewriting"/>
              <w:rPr>
                <w:rFonts w:eastAsia="MS Mincho" w:cstheme="minorHAnsi"/>
              </w:rPr>
            </w:pPr>
            <w:r w:rsidRPr="00871F95">
              <w:rPr>
                <w:rFonts w:eastAsia="MS Mincho" w:cstheme="minorHAnsi"/>
              </w:rPr>
              <w:t xml:space="preserve">185 smokers (f 10 </w:t>
            </w:r>
            <w:r>
              <w:rPr>
                <w:rFonts w:eastAsia="MS Mincho" w:cstheme="minorHAnsi"/>
              </w:rPr>
              <w:t>CPD</w:t>
            </w:r>
            <w:r w:rsidRPr="00871F95">
              <w:rPr>
                <w:rFonts w:eastAsia="MS Mincho" w:cstheme="minorHAnsi"/>
              </w:rPr>
              <w:t>), motivated to quit</w:t>
            </w:r>
            <w:r>
              <w:rPr>
                <w:rFonts w:eastAsia="MS Mincho" w:cstheme="minorHAnsi"/>
              </w:rPr>
              <w:t xml:space="preserve">, </w:t>
            </w:r>
            <w:r w:rsidRPr="00871F95">
              <w:rPr>
                <w:rFonts w:eastAsia="MS Mincho" w:cstheme="minorHAnsi"/>
              </w:rPr>
              <w:t xml:space="preserve">46% female, average age 43 to 44, </w:t>
            </w:r>
            <w:r>
              <w:rPr>
                <w:rFonts w:eastAsia="MS Mincho" w:cstheme="minorHAnsi"/>
              </w:rPr>
              <w:t>CPD</w:t>
            </w:r>
            <w:r w:rsidRPr="00871F95">
              <w:rPr>
                <w:rFonts w:eastAsia="MS Mincho" w:cstheme="minorHAnsi"/>
              </w:rPr>
              <w:t xml:space="preserve"> 23 to 24</w:t>
            </w:r>
            <w:r>
              <w:rPr>
                <w:rFonts w:eastAsia="MS Mincho" w:cstheme="minorHAnsi"/>
              </w:rPr>
              <w:t>.</w:t>
            </w:r>
          </w:p>
        </w:tc>
        <w:tc>
          <w:tcPr>
            <w:tcW w:w="1056" w:type="pct"/>
          </w:tcPr>
          <w:p w:rsidR="00101755" w:rsidRDefault="00871F95" w:rsidP="00C324F3">
            <w:pPr>
              <w:pStyle w:val="Tablewriting"/>
              <w:numPr>
                <w:ilvl w:val="0"/>
                <w:numId w:val="138"/>
              </w:numPr>
              <w:rPr>
                <w:rFonts w:eastAsia="MS Mincho" w:cstheme="minorHAnsi"/>
              </w:rPr>
            </w:pPr>
            <w:r w:rsidRPr="00871F95">
              <w:rPr>
                <w:rFonts w:eastAsia="MS Mincho" w:cstheme="minorHAnsi"/>
              </w:rPr>
              <w:t>Minimal intervention, 2 to 3 mins motivational message and self-help pamphlet</w:t>
            </w:r>
            <w:r w:rsidR="00101755">
              <w:rPr>
                <w:rFonts w:eastAsia="MS Mincho" w:cstheme="minorHAnsi"/>
              </w:rPr>
              <w:t>.</w:t>
            </w:r>
          </w:p>
          <w:p w:rsidR="00FD752E" w:rsidRDefault="00871F95" w:rsidP="00C324F3">
            <w:pPr>
              <w:pStyle w:val="Tablewriting"/>
              <w:numPr>
                <w:ilvl w:val="0"/>
                <w:numId w:val="138"/>
              </w:numPr>
              <w:rPr>
                <w:rFonts w:eastAsia="MS Mincho" w:cstheme="minorHAnsi"/>
              </w:rPr>
            </w:pPr>
            <w:r w:rsidRPr="00101755">
              <w:rPr>
                <w:rFonts w:eastAsia="MS Mincho" w:cstheme="minorHAnsi"/>
              </w:rPr>
              <w:t>As</w:t>
            </w:r>
            <w:r w:rsidR="00101755" w:rsidRPr="00101755">
              <w:rPr>
                <w:rFonts w:eastAsia="MS Mincho" w:cstheme="minorHAnsi"/>
              </w:rPr>
              <w:t xml:space="preserve"> the above </w:t>
            </w:r>
            <w:r w:rsidRPr="00101755">
              <w:rPr>
                <w:rFonts w:eastAsia="MS Mincho" w:cstheme="minorHAnsi"/>
              </w:rPr>
              <w:t>plus placebo patch. Nurse provided brief telephone</w:t>
            </w:r>
            <w:r w:rsidR="00101755">
              <w:rPr>
                <w:rFonts w:eastAsia="MS Mincho" w:cstheme="minorHAnsi"/>
              </w:rPr>
              <w:t xml:space="preserve"> </w:t>
            </w:r>
            <w:r w:rsidRPr="00101755">
              <w:rPr>
                <w:rFonts w:eastAsia="MS Mincho" w:cstheme="minorHAnsi"/>
              </w:rPr>
              <w:t>counselling at 1, 3, 6 and 24 weeks</w:t>
            </w:r>
            <w:r w:rsidR="00101755">
              <w:rPr>
                <w:rFonts w:eastAsia="MS Mincho" w:cstheme="minorHAnsi"/>
              </w:rPr>
              <w:t>.</w:t>
            </w:r>
          </w:p>
          <w:p w:rsidR="00871F95" w:rsidRPr="00101755" w:rsidRDefault="00871F95" w:rsidP="00C324F3">
            <w:pPr>
              <w:pStyle w:val="Tablewriting"/>
              <w:numPr>
                <w:ilvl w:val="0"/>
                <w:numId w:val="138"/>
              </w:numPr>
              <w:rPr>
                <w:rFonts w:eastAsia="MS Mincho" w:cstheme="minorHAnsi"/>
              </w:rPr>
            </w:pPr>
            <w:r w:rsidRPr="00101755">
              <w:rPr>
                <w:rFonts w:eastAsia="MS Mincho" w:cstheme="minorHAnsi"/>
              </w:rPr>
              <w:t xml:space="preserve"> As </w:t>
            </w:r>
            <w:r w:rsidR="00FD752E">
              <w:rPr>
                <w:rFonts w:eastAsia="MS Mincho" w:cstheme="minorHAnsi"/>
              </w:rPr>
              <w:t>2</w:t>
            </w:r>
            <w:r w:rsidRPr="00101755">
              <w:rPr>
                <w:rFonts w:eastAsia="MS Mincho" w:cstheme="minorHAnsi"/>
              </w:rPr>
              <w:t xml:space="preserve"> plus nicotine patch (22 mg/ 24 h for 3 weeks, tapered to 11 mg for 3 weeks)</w:t>
            </w:r>
            <w:r w:rsidR="00FD752E">
              <w:rPr>
                <w:rFonts w:eastAsia="MS Mincho" w:cstheme="minorHAnsi"/>
              </w:rPr>
              <w:t>.</w:t>
            </w:r>
          </w:p>
          <w:p w:rsidR="00FD752E" w:rsidRDefault="00FD752E" w:rsidP="00A71365">
            <w:pPr>
              <w:pStyle w:val="Tablewriting"/>
              <w:rPr>
                <w:rFonts w:eastAsia="MS Mincho" w:cstheme="minorHAnsi"/>
              </w:rPr>
            </w:pPr>
          </w:p>
          <w:p w:rsidR="009042AA" w:rsidRPr="00017AE6" w:rsidRDefault="00871F95" w:rsidP="00A71365">
            <w:pPr>
              <w:pStyle w:val="Tablewriting"/>
              <w:rPr>
                <w:rFonts w:eastAsia="MS Mincho" w:cstheme="minorHAnsi"/>
              </w:rPr>
            </w:pPr>
            <w:r w:rsidRPr="00871F95">
              <w:rPr>
                <w:rFonts w:eastAsia="MS Mincho" w:cstheme="minorHAnsi"/>
              </w:rPr>
              <w:t>Level of support: low (since initial support was brief and further contacts in 2 were by phone</w:t>
            </w:r>
            <w:r w:rsidR="00FD752E">
              <w:rPr>
                <w:rFonts w:eastAsia="MS Mincho" w:cstheme="minorHAnsi"/>
              </w:rPr>
              <w:t>.</w:t>
            </w:r>
          </w:p>
        </w:tc>
        <w:tc>
          <w:tcPr>
            <w:tcW w:w="959" w:type="pct"/>
          </w:tcPr>
          <w:p w:rsidR="001A2671" w:rsidRDefault="001173B2" w:rsidP="00A71365">
            <w:pPr>
              <w:pStyle w:val="Tablewriting"/>
              <w:rPr>
                <w:rFonts w:eastAsia="MS Mincho" w:cstheme="minorHAnsi"/>
              </w:rPr>
            </w:pPr>
            <w:r w:rsidRPr="009B13E2">
              <w:rPr>
                <w:rFonts w:eastAsia="MS Mincho" w:cstheme="minorHAnsi"/>
                <w:u w:val="single"/>
              </w:rPr>
              <w:t>Efficacy:</w:t>
            </w:r>
            <w:r w:rsidR="00FD752E">
              <w:rPr>
                <w:rFonts w:eastAsia="MS Mincho" w:cstheme="minorHAnsi"/>
                <w:u w:val="single"/>
              </w:rPr>
              <w:t xml:space="preserve"> </w:t>
            </w:r>
            <w:r w:rsidR="00FD752E" w:rsidRPr="00FD752E">
              <w:rPr>
                <w:rFonts w:eastAsia="MS Mincho" w:cstheme="minorHAnsi"/>
              </w:rPr>
              <w:t>PP abstinence at 6 months</w:t>
            </w:r>
            <w:r w:rsidR="001A2671">
              <w:rPr>
                <w:rFonts w:eastAsia="MS Mincho" w:cstheme="minorHAnsi"/>
              </w:rPr>
              <w:t>.</w:t>
            </w:r>
          </w:p>
          <w:p w:rsidR="001A2671" w:rsidRDefault="001A2671" w:rsidP="00A71365">
            <w:pPr>
              <w:pStyle w:val="Tablewriting"/>
              <w:rPr>
                <w:rFonts w:eastAsia="MS Mincho" w:cstheme="minorHAnsi"/>
              </w:rPr>
            </w:pPr>
          </w:p>
          <w:p w:rsidR="001173B2" w:rsidRPr="00FD752E" w:rsidRDefault="00FD752E" w:rsidP="00A71365">
            <w:pPr>
              <w:pStyle w:val="Tablewriting"/>
              <w:rPr>
                <w:rFonts w:eastAsia="MS Mincho" w:cstheme="minorHAnsi"/>
                <w:u w:val="single"/>
              </w:rPr>
            </w:pPr>
            <w:r w:rsidRPr="00FD752E">
              <w:rPr>
                <w:rFonts w:eastAsia="MS Mincho" w:cstheme="minorHAnsi"/>
              </w:rPr>
              <w:t>Validation: CO</w:t>
            </w:r>
            <w:r w:rsidR="001A2671">
              <w:t xml:space="preserve"> </w:t>
            </w:r>
            <w:r w:rsidR="001A2671" w:rsidRPr="001A2671">
              <w:rPr>
                <w:rFonts w:eastAsia="MS Mincho" w:cstheme="minorHAnsi"/>
              </w:rPr>
              <w:t>≤</w:t>
            </w:r>
            <w:r w:rsidR="001A2671">
              <w:rPr>
                <w:rFonts w:eastAsia="MS Mincho" w:cstheme="minorHAnsi"/>
              </w:rPr>
              <w:t xml:space="preserve"> </w:t>
            </w:r>
            <w:r w:rsidRPr="00FD752E">
              <w:rPr>
                <w:rFonts w:eastAsia="MS Mincho" w:cstheme="minorHAnsi"/>
              </w:rPr>
              <w:t>10 ppm</w:t>
            </w:r>
          </w:p>
          <w:p w:rsidR="001A2671" w:rsidRDefault="001A2671" w:rsidP="00A71365">
            <w:pPr>
              <w:pStyle w:val="Tablewriting"/>
              <w:rPr>
                <w:rFonts w:eastAsia="MS Mincho" w:cstheme="minorHAnsi"/>
                <w:u w:val="single"/>
              </w:rPr>
            </w:pP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326F38" w:rsidP="00A71365">
            <w:pPr>
              <w:pStyle w:val="Tablewriting"/>
              <w:rPr>
                <w:rFonts w:eastAsia="MS Mincho" w:cstheme="minorHAnsi"/>
              </w:rPr>
            </w:pPr>
            <w:r w:rsidRPr="00B07BE1">
              <w:rPr>
                <w:rFonts w:eastAsia="MS Mincho"/>
              </w:rPr>
              <w:t xml:space="preserve">Moolchan </w:t>
            </w:r>
            <w:r w:rsidR="00FA40D7">
              <w:rPr>
                <w:rFonts w:eastAsia="MS Mincho"/>
              </w:rPr>
              <w:t>(</w:t>
            </w:r>
            <w:r w:rsidRPr="00B07BE1">
              <w:rPr>
                <w:rFonts w:eastAsia="MS Mincho"/>
              </w:rPr>
              <w:t>2005</w:t>
            </w:r>
            <w:r w:rsidR="00FA40D7">
              <w:rPr>
                <w:rFonts w:eastAsia="MS Mincho"/>
              </w:rPr>
              <w:t>)</w:t>
            </w:r>
          </w:p>
        </w:tc>
        <w:tc>
          <w:tcPr>
            <w:tcW w:w="234" w:type="pct"/>
          </w:tcPr>
          <w:p w:rsidR="009042AA" w:rsidRPr="00017AE6" w:rsidRDefault="009042AA" w:rsidP="00A71365">
            <w:pPr>
              <w:pStyle w:val="Tablewriting"/>
              <w:rPr>
                <w:rFonts w:eastAsia="MS Mincho" w:cstheme="minorHAnsi"/>
              </w:rPr>
            </w:pPr>
          </w:p>
        </w:tc>
        <w:tc>
          <w:tcPr>
            <w:tcW w:w="412" w:type="pct"/>
          </w:tcPr>
          <w:p w:rsidR="009042AA" w:rsidRPr="00017AE6" w:rsidRDefault="00C42FEB" w:rsidP="00A71365">
            <w:pPr>
              <w:pStyle w:val="Tablewriting"/>
              <w:rPr>
                <w:rFonts w:eastAsia="MS Mincho" w:cstheme="minorHAnsi"/>
              </w:rPr>
            </w:pPr>
            <w:r>
              <w:rPr>
                <w:rFonts w:eastAsia="MS Mincho" w:cstheme="minorHAnsi"/>
              </w:rPr>
              <w:t>USA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C42FEB">
              <w:rPr>
                <w:rFonts w:eastAsia="MS Mincho" w:cstheme="minorHAnsi"/>
              </w:rPr>
              <w:t>120</w:t>
            </w:r>
          </w:p>
        </w:tc>
        <w:tc>
          <w:tcPr>
            <w:tcW w:w="1046" w:type="pct"/>
          </w:tcPr>
          <w:p w:rsidR="009042AA" w:rsidRPr="00902915" w:rsidRDefault="00C42FEB" w:rsidP="00A71365">
            <w:pPr>
              <w:pStyle w:val="Tablewriting"/>
              <w:rPr>
                <w:rFonts w:ascii="Times New Roman" w:eastAsia="MS Mincho" w:hAnsi="Times New Roman"/>
                <w:sz w:val="18"/>
                <w:szCs w:val="18"/>
                <w:lang w:val="en-GB"/>
              </w:rPr>
            </w:pPr>
            <w:r w:rsidRPr="00902915">
              <w:rPr>
                <w:rFonts w:eastAsia="MS Mincho" w:cstheme="minorHAnsi"/>
              </w:rPr>
              <w:t>Adolescent (age 13 to 17) smokers (</w:t>
            </w:r>
            <w:r w:rsidR="00902915" w:rsidRPr="00902915">
              <w:rPr>
                <w:rFonts w:eastAsia="MS Mincho" w:cstheme="minorHAnsi"/>
              </w:rPr>
              <w:t xml:space="preserve">≥ </w:t>
            </w:r>
            <w:r w:rsidRPr="00902915">
              <w:rPr>
                <w:rFonts w:eastAsia="MS Mincho" w:cstheme="minorHAnsi"/>
              </w:rPr>
              <w:t xml:space="preserve">10 </w:t>
            </w:r>
            <w:r w:rsidR="00902915" w:rsidRPr="00902915">
              <w:rPr>
                <w:rFonts w:eastAsia="MS Mincho" w:cstheme="minorHAnsi"/>
              </w:rPr>
              <w:t>CPD</w:t>
            </w:r>
            <w:r w:rsidRPr="00902915">
              <w:rPr>
                <w:rFonts w:eastAsia="MS Mincho" w:cstheme="minorHAnsi"/>
              </w:rPr>
              <w:t>), motivated to quit</w:t>
            </w:r>
            <w:r w:rsidR="00902915" w:rsidRPr="00902915">
              <w:rPr>
                <w:rFonts w:eastAsia="MS Mincho" w:cstheme="minorHAnsi"/>
              </w:rPr>
              <w:t xml:space="preserve">, </w:t>
            </w:r>
            <w:r w:rsidRPr="00902915">
              <w:rPr>
                <w:rFonts w:eastAsia="MS Mincho" w:cstheme="minorHAnsi"/>
              </w:rPr>
              <w:t xml:space="preserve">70% female, average age 15, average </w:t>
            </w:r>
            <w:r w:rsidR="00902915" w:rsidRPr="00902915">
              <w:rPr>
                <w:rFonts w:eastAsia="MS Mincho" w:cstheme="minorHAnsi"/>
              </w:rPr>
              <w:t xml:space="preserve">CPD </w:t>
            </w:r>
            <w:r w:rsidRPr="00902915">
              <w:rPr>
                <w:rFonts w:eastAsia="MS Mincho" w:cstheme="minorHAnsi"/>
              </w:rPr>
              <w:t>19</w:t>
            </w:r>
            <w:r w:rsidR="00902915" w:rsidRPr="00902915">
              <w:rPr>
                <w:rFonts w:eastAsia="MS Mincho" w:cstheme="minorHAnsi"/>
              </w:rPr>
              <w:t>.</w:t>
            </w:r>
          </w:p>
        </w:tc>
        <w:tc>
          <w:tcPr>
            <w:tcW w:w="1056" w:type="pct"/>
          </w:tcPr>
          <w:p w:rsidR="00F33114" w:rsidRDefault="00902915" w:rsidP="00C324F3">
            <w:pPr>
              <w:pStyle w:val="Tablewriting"/>
              <w:numPr>
                <w:ilvl w:val="0"/>
                <w:numId w:val="139"/>
              </w:numPr>
              <w:rPr>
                <w:rFonts w:eastAsia="MS Mincho" w:cstheme="minorHAnsi"/>
              </w:rPr>
            </w:pPr>
            <w:r w:rsidRPr="00902915">
              <w:rPr>
                <w:rFonts w:eastAsia="MS Mincho" w:cstheme="minorHAnsi"/>
              </w:rPr>
              <w:t xml:space="preserve">Nicotine patch (21 mg, or 14 mg for &lt; 20 </w:t>
            </w:r>
            <w:r w:rsidR="00F33114">
              <w:rPr>
                <w:rFonts w:eastAsia="MS Mincho" w:cstheme="minorHAnsi"/>
              </w:rPr>
              <w:t>CPD</w:t>
            </w:r>
            <w:r w:rsidRPr="00902915">
              <w:rPr>
                <w:rFonts w:eastAsia="MS Mincho" w:cstheme="minorHAnsi"/>
              </w:rPr>
              <w:t>) for 6 weeks + placebo gum</w:t>
            </w:r>
            <w:r w:rsidR="00F33114">
              <w:rPr>
                <w:rFonts w:eastAsia="MS Mincho" w:cstheme="minorHAnsi"/>
              </w:rPr>
              <w:t>.</w:t>
            </w:r>
          </w:p>
          <w:p w:rsidR="00F33114" w:rsidRDefault="00902915" w:rsidP="00C324F3">
            <w:pPr>
              <w:pStyle w:val="Tablewriting"/>
              <w:numPr>
                <w:ilvl w:val="0"/>
                <w:numId w:val="139"/>
              </w:numPr>
              <w:rPr>
                <w:rFonts w:eastAsia="MS Mincho" w:cstheme="minorHAnsi"/>
              </w:rPr>
            </w:pPr>
            <w:r w:rsidRPr="00F33114">
              <w:rPr>
                <w:rFonts w:eastAsia="MS Mincho" w:cstheme="minorHAnsi"/>
              </w:rPr>
              <w:lastRenderedPageBreak/>
              <w:t xml:space="preserve">Nicotine gum (4 mg, or 2 mg for &lt; 24 </w:t>
            </w:r>
            <w:r w:rsidR="00F33114">
              <w:rPr>
                <w:rFonts w:eastAsia="MS Mincho" w:cstheme="minorHAnsi"/>
              </w:rPr>
              <w:t>CPD</w:t>
            </w:r>
            <w:r w:rsidRPr="00F33114">
              <w:rPr>
                <w:rFonts w:eastAsia="MS Mincho" w:cstheme="minorHAnsi"/>
              </w:rPr>
              <w:t>) for 6 weeks + placebo patch</w:t>
            </w:r>
            <w:r w:rsidR="00F33114">
              <w:rPr>
                <w:rFonts w:eastAsia="MS Mincho" w:cstheme="minorHAnsi"/>
              </w:rPr>
              <w:t>.</w:t>
            </w:r>
          </w:p>
          <w:p w:rsidR="00902915" w:rsidRPr="00F33114" w:rsidRDefault="00902915" w:rsidP="00C324F3">
            <w:pPr>
              <w:pStyle w:val="Tablewriting"/>
              <w:numPr>
                <w:ilvl w:val="0"/>
                <w:numId w:val="139"/>
              </w:numPr>
              <w:rPr>
                <w:rFonts w:eastAsia="MS Mincho" w:cstheme="minorHAnsi"/>
              </w:rPr>
            </w:pPr>
            <w:r w:rsidRPr="00F33114">
              <w:rPr>
                <w:rFonts w:eastAsia="MS Mincho" w:cstheme="minorHAnsi"/>
              </w:rPr>
              <w:t>Double placebo</w:t>
            </w:r>
            <w:r w:rsidR="00F33114">
              <w:rPr>
                <w:rFonts w:eastAsia="MS Mincho" w:cstheme="minorHAnsi"/>
              </w:rPr>
              <w:t>.</w:t>
            </w:r>
          </w:p>
          <w:p w:rsidR="00F33114" w:rsidRDefault="00F33114" w:rsidP="00A71365">
            <w:pPr>
              <w:pStyle w:val="Tablewriting"/>
              <w:rPr>
                <w:rFonts w:eastAsia="MS Mincho" w:cstheme="minorHAnsi"/>
              </w:rPr>
            </w:pPr>
          </w:p>
          <w:p w:rsidR="009042AA" w:rsidRPr="00017AE6" w:rsidRDefault="00902915" w:rsidP="00A71365">
            <w:pPr>
              <w:pStyle w:val="Tablewriting"/>
              <w:rPr>
                <w:rFonts w:eastAsia="MS Mincho" w:cstheme="minorHAnsi"/>
              </w:rPr>
            </w:pPr>
            <w:r w:rsidRPr="00902915">
              <w:rPr>
                <w:rFonts w:eastAsia="MS Mincho" w:cstheme="minorHAnsi"/>
              </w:rPr>
              <w:t>Level of support: high (11 x 45-min individual counselling over 12 weeks)</w:t>
            </w:r>
            <w:r w:rsidR="00F33114">
              <w:rPr>
                <w:rFonts w:eastAsia="MS Mincho" w:cstheme="minorHAnsi"/>
              </w:rPr>
              <w:t>.</w:t>
            </w:r>
          </w:p>
        </w:tc>
        <w:tc>
          <w:tcPr>
            <w:tcW w:w="959" w:type="pct"/>
          </w:tcPr>
          <w:p w:rsidR="00F33114" w:rsidRPr="00F33114" w:rsidRDefault="001173B2" w:rsidP="00A71365">
            <w:pPr>
              <w:pStyle w:val="Tablewriting"/>
              <w:rPr>
                <w:rFonts w:eastAsia="MS Mincho" w:cstheme="minorHAnsi"/>
                <w:u w:val="single"/>
              </w:rPr>
            </w:pPr>
            <w:r w:rsidRPr="009B13E2">
              <w:rPr>
                <w:rFonts w:eastAsia="MS Mincho" w:cstheme="minorHAnsi"/>
                <w:u w:val="single"/>
              </w:rPr>
              <w:lastRenderedPageBreak/>
              <w:t>Efficacy:</w:t>
            </w:r>
            <w:r w:rsidR="00F33114">
              <w:rPr>
                <w:rFonts w:eastAsia="MS Mincho" w:cstheme="minorHAnsi"/>
                <w:u w:val="single"/>
              </w:rPr>
              <w:t xml:space="preserve"> </w:t>
            </w:r>
            <w:r w:rsidR="00F33114" w:rsidRPr="00F33114">
              <w:rPr>
                <w:rFonts w:eastAsia="MS Mincho" w:cstheme="minorHAnsi"/>
              </w:rPr>
              <w:t>PP abstinence at 6</w:t>
            </w:r>
            <w:r w:rsidR="00F33114">
              <w:rPr>
                <w:rFonts w:eastAsia="MS Mincho" w:cstheme="minorHAnsi"/>
              </w:rPr>
              <w:t xml:space="preserve"> </w:t>
            </w:r>
            <w:r w:rsidR="00F33114" w:rsidRPr="00F33114">
              <w:rPr>
                <w:rFonts w:eastAsia="MS Mincho" w:cstheme="minorHAnsi"/>
              </w:rPr>
              <w:t>months</w:t>
            </w:r>
            <w:r w:rsidR="00F33114">
              <w:rPr>
                <w:rFonts w:eastAsia="MS Mincho" w:cstheme="minorHAnsi"/>
              </w:rPr>
              <w:t>.</w:t>
            </w:r>
          </w:p>
          <w:p w:rsidR="00F33114" w:rsidRPr="00F33114" w:rsidRDefault="00F33114" w:rsidP="00A71365">
            <w:pPr>
              <w:pStyle w:val="Tablewriting"/>
              <w:rPr>
                <w:rFonts w:eastAsia="MS Mincho" w:cstheme="minorHAnsi"/>
              </w:rPr>
            </w:pPr>
          </w:p>
          <w:p w:rsidR="001173B2" w:rsidRDefault="00F33114" w:rsidP="00A71365">
            <w:pPr>
              <w:pStyle w:val="Tablewriting"/>
              <w:rPr>
                <w:rFonts w:eastAsia="MS Mincho" w:cstheme="minorHAnsi"/>
              </w:rPr>
            </w:pPr>
            <w:r w:rsidRPr="00F33114">
              <w:rPr>
                <w:rFonts w:eastAsia="MS Mincho" w:cstheme="minorHAnsi"/>
              </w:rPr>
              <w:t>Validation: CO and</w:t>
            </w:r>
            <w:r>
              <w:rPr>
                <w:rFonts w:eastAsia="MS Mincho" w:cstheme="minorHAnsi"/>
              </w:rPr>
              <w:t xml:space="preserve"> </w:t>
            </w:r>
            <w:r w:rsidRPr="00F33114">
              <w:rPr>
                <w:rFonts w:eastAsia="MS Mincho" w:cstheme="minorHAnsi"/>
              </w:rPr>
              <w:t>cotinine</w:t>
            </w:r>
            <w:r>
              <w:rPr>
                <w:rFonts w:eastAsia="MS Mincho" w:cstheme="minorHAnsi"/>
              </w:rPr>
              <w:t>.</w:t>
            </w:r>
          </w:p>
          <w:p w:rsidR="00F33114" w:rsidRDefault="00F33114" w:rsidP="00A71365">
            <w:pPr>
              <w:pStyle w:val="Tablewriting"/>
              <w:rPr>
                <w:rFonts w:eastAsia="MS Mincho" w:cstheme="minorHAnsi"/>
              </w:rPr>
            </w:pPr>
          </w:p>
          <w:p w:rsidR="006C6C9B" w:rsidRPr="006C6C9B" w:rsidRDefault="001173B2" w:rsidP="00A71365">
            <w:pPr>
              <w:pStyle w:val="Tablewriting"/>
              <w:rPr>
                <w:rFonts w:eastAsia="MS Mincho" w:cstheme="minorHAnsi"/>
              </w:rPr>
            </w:pPr>
            <w:r w:rsidRPr="009B13E2">
              <w:rPr>
                <w:rFonts w:eastAsia="MS Mincho" w:cstheme="minorHAnsi"/>
                <w:u w:val="single"/>
              </w:rPr>
              <w:lastRenderedPageBreak/>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326F38" w:rsidP="00A71365">
            <w:pPr>
              <w:pStyle w:val="Tablewriting"/>
              <w:rPr>
                <w:rFonts w:eastAsia="MS Mincho" w:cstheme="minorHAnsi"/>
              </w:rPr>
            </w:pPr>
            <w:r w:rsidRPr="00B07BE1">
              <w:rPr>
                <w:rFonts w:eastAsia="MS Mincho"/>
              </w:rPr>
              <w:lastRenderedPageBreak/>
              <w:t xml:space="preserve">Piper </w:t>
            </w:r>
            <w:r w:rsidR="00FA40D7">
              <w:rPr>
                <w:rFonts w:eastAsia="MS Mincho"/>
              </w:rPr>
              <w:t>(</w:t>
            </w:r>
            <w:r w:rsidRPr="00B07BE1">
              <w:rPr>
                <w:rFonts w:eastAsia="MS Mincho"/>
              </w:rPr>
              <w:t>2009</w:t>
            </w:r>
            <w:r w:rsidR="00FA40D7">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FB4DCC" w:rsidP="00A71365">
            <w:pPr>
              <w:pStyle w:val="Tablewriting"/>
              <w:rPr>
                <w:rFonts w:eastAsia="MS Mincho" w:cstheme="minorHAnsi"/>
              </w:rPr>
            </w:pPr>
            <w:r>
              <w:rPr>
                <w:rFonts w:eastAsia="MS Mincho" w:cstheme="minorHAnsi"/>
              </w:rPr>
              <w:t>USA</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FB4DCC">
              <w:rPr>
                <w:rFonts w:eastAsia="MS Mincho" w:cstheme="minorHAnsi"/>
              </w:rPr>
              <w:t>1504</w:t>
            </w:r>
          </w:p>
        </w:tc>
        <w:tc>
          <w:tcPr>
            <w:tcW w:w="1046" w:type="pct"/>
          </w:tcPr>
          <w:p w:rsidR="009042AA" w:rsidRPr="00017AE6" w:rsidRDefault="00FB4DCC" w:rsidP="00A71365">
            <w:pPr>
              <w:pStyle w:val="Tablewriting"/>
              <w:rPr>
                <w:rFonts w:eastAsia="MS Mincho" w:cstheme="minorHAnsi"/>
              </w:rPr>
            </w:pPr>
            <w:r>
              <w:rPr>
                <w:rFonts w:eastAsia="MS Mincho" w:cstheme="minorHAnsi"/>
              </w:rPr>
              <w:t>S</w:t>
            </w:r>
            <w:r w:rsidRPr="00FB4DCC">
              <w:rPr>
                <w:rFonts w:eastAsia="MS Mincho" w:cstheme="minorHAnsi"/>
              </w:rPr>
              <w:t>mokers motivated to quit</w:t>
            </w:r>
            <w:r>
              <w:rPr>
                <w:rFonts w:eastAsia="MS Mincho" w:cstheme="minorHAnsi"/>
              </w:rPr>
              <w:t xml:space="preserve">, </w:t>
            </w:r>
            <w:r w:rsidRPr="00FB4DCC">
              <w:rPr>
                <w:rFonts w:eastAsia="MS Mincho" w:cstheme="minorHAnsi"/>
              </w:rPr>
              <w:t xml:space="preserve">58% female, average age 45, average </w:t>
            </w:r>
            <w:r>
              <w:rPr>
                <w:rFonts w:eastAsia="MS Mincho" w:cstheme="minorHAnsi"/>
              </w:rPr>
              <w:t>CPD</w:t>
            </w:r>
            <w:r w:rsidRPr="00FB4DCC">
              <w:rPr>
                <w:rFonts w:eastAsia="MS Mincho" w:cstheme="minorHAnsi"/>
              </w:rPr>
              <w:t xml:space="preserve"> 21.4</w:t>
            </w:r>
            <w:r>
              <w:rPr>
                <w:rFonts w:eastAsia="MS Mincho" w:cstheme="minorHAnsi"/>
              </w:rPr>
              <w:t>.</w:t>
            </w:r>
          </w:p>
        </w:tc>
        <w:tc>
          <w:tcPr>
            <w:tcW w:w="1056" w:type="pct"/>
          </w:tcPr>
          <w:p w:rsidR="0043759B" w:rsidRDefault="0043759B" w:rsidP="00C324F3">
            <w:pPr>
              <w:pStyle w:val="Tablewriting"/>
              <w:numPr>
                <w:ilvl w:val="0"/>
                <w:numId w:val="140"/>
              </w:numPr>
              <w:rPr>
                <w:rFonts w:eastAsia="MS Mincho" w:cstheme="minorHAnsi"/>
              </w:rPr>
            </w:pPr>
            <w:r w:rsidRPr="0043759B">
              <w:rPr>
                <w:rFonts w:eastAsia="MS Mincho" w:cstheme="minorHAnsi"/>
              </w:rPr>
              <w:t>Nicotine lozenge 2 or 4 mg for 12 weeks (based on dose-for-dependence level as in instructions)</w:t>
            </w:r>
            <w:r>
              <w:rPr>
                <w:rFonts w:eastAsia="MS Mincho" w:cstheme="minorHAnsi"/>
              </w:rPr>
              <w:t>.</w:t>
            </w:r>
          </w:p>
          <w:p w:rsidR="0043759B" w:rsidRDefault="0043759B" w:rsidP="00C324F3">
            <w:pPr>
              <w:pStyle w:val="Tablewriting"/>
              <w:numPr>
                <w:ilvl w:val="0"/>
                <w:numId w:val="140"/>
              </w:numPr>
              <w:rPr>
                <w:rFonts w:eastAsia="MS Mincho" w:cstheme="minorHAnsi"/>
              </w:rPr>
            </w:pPr>
            <w:r w:rsidRPr="0043759B">
              <w:rPr>
                <w:rFonts w:eastAsia="MS Mincho" w:cstheme="minorHAnsi"/>
              </w:rPr>
              <w:t>Nicotine patch (24 h, 21, 14, and 7 mg titrated down over 8-week period post-quit)</w:t>
            </w:r>
            <w:r>
              <w:rPr>
                <w:rFonts w:eastAsia="MS Mincho" w:cstheme="minorHAnsi"/>
              </w:rPr>
              <w:t>.</w:t>
            </w:r>
          </w:p>
          <w:p w:rsidR="009042AA" w:rsidRDefault="0043759B" w:rsidP="00C324F3">
            <w:pPr>
              <w:pStyle w:val="Tablewriting"/>
              <w:numPr>
                <w:ilvl w:val="0"/>
                <w:numId w:val="140"/>
              </w:numPr>
              <w:rPr>
                <w:rFonts w:eastAsia="MS Mincho" w:cstheme="minorHAnsi"/>
              </w:rPr>
            </w:pPr>
            <w:r w:rsidRPr="0043759B">
              <w:rPr>
                <w:rFonts w:eastAsia="MS Mincho" w:cstheme="minorHAnsi"/>
              </w:rPr>
              <w:t>Bupropion SR (150 mg bid, 1 week pre-quit, 8 weeks post-quit)</w:t>
            </w:r>
            <w:r>
              <w:rPr>
                <w:rFonts w:eastAsia="MS Mincho" w:cstheme="minorHAnsi"/>
              </w:rPr>
              <w:t>.</w:t>
            </w:r>
          </w:p>
          <w:p w:rsidR="00887906" w:rsidRPr="00887906" w:rsidRDefault="00887906" w:rsidP="00C324F3">
            <w:pPr>
              <w:pStyle w:val="Tablewriting"/>
              <w:numPr>
                <w:ilvl w:val="0"/>
                <w:numId w:val="140"/>
              </w:numPr>
              <w:rPr>
                <w:rFonts w:eastAsia="MS Mincho" w:cstheme="minorHAnsi"/>
              </w:rPr>
            </w:pPr>
            <w:r w:rsidRPr="00887906">
              <w:rPr>
                <w:rFonts w:eastAsia="MS Mincho" w:cstheme="minorHAnsi"/>
              </w:rPr>
              <w:t>Lozenge + patch (duration and dosage as above)</w:t>
            </w:r>
            <w:r>
              <w:rPr>
                <w:rFonts w:eastAsia="MS Mincho" w:cstheme="minorHAnsi"/>
              </w:rPr>
              <w:t>.</w:t>
            </w:r>
          </w:p>
          <w:p w:rsidR="00887906" w:rsidRPr="00887906" w:rsidRDefault="00887906" w:rsidP="00C324F3">
            <w:pPr>
              <w:pStyle w:val="Tablewriting"/>
              <w:numPr>
                <w:ilvl w:val="0"/>
                <w:numId w:val="140"/>
              </w:numPr>
              <w:rPr>
                <w:rFonts w:eastAsia="MS Mincho" w:cstheme="minorHAnsi"/>
              </w:rPr>
            </w:pPr>
            <w:r w:rsidRPr="00887906">
              <w:rPr>
                <w:rFonts w:eastAsia="MS Mincho" w:cstheme="minorHAnsi"/>
              </w:rPr>
              <w:t>Bupropion + lozenge (duration and dosage as above)</w:t>
            </w:r>
            <w:r>
              <w:rPr>
                <w:rFonts w:eastAsia="MS Mincho" w:cstheme="minorHAnsi"/>
              </w:rPr>
              <w:t>.</w:t>
            </w:r>
          </w:p>
          <w:p w:rsidR="00887906" w:rsidRPr="00887906" w:rsidRDefault="00887906" w:rsidP="00C324F3">
            <w:pPr>
              <w:pStyle w:val="Tablewriting"/>
              <w:numPr>
                <w:ilvl w:val="0"/>
                <w:numId w:val="140"/>
              </w:numPr>
              <w:rPr>
                <w:rFonts w:eastAsia="MS Mincho" w:cstheme="minorHAnsi"/>
              </w:rPr>
            </w:pPr>
            <w:r w:rsidRPr="00887906">
              <w:rPr>
                <w:rFonts w:eastAsia="MS Mincho" w:cstheme="minorHAnsi"/>
              </w:rPr>
              <w:t>Placebo (5 groups matched to above 5 interventions)</w:t>
            </w:r>
            <w:r>
              <w:rPr>
                <w:rFonts w:eastAsia="MS Mincho" w:cstheme="minorHAnsi"/>
              </w:rPr>
              <w:t>.</w:t>
            </w:r>
          </w:p>
          <w:p w:rsidR="00887906" w:rsidRDefault="00887906" w:rsidP="00A71365">
            <w:pPr>
              <w:pStyle w:val="Tablewriting"/>
              <w:rPr>
                <w:rFonts w:eastAsia="MS Mincho" w:cstheme="minorHAnsi"/>
              </w:rPr>
            </w:pPr>
          </w:p>
          <w:p w:rsidR="009042AA" w:rsidRPr="00017AE6" w:rsidRDefault="00887906" w:rsidP="00A71365">
            <w:pPr>
              <w:pStyle w:val="Tablewriting"/>
              <w:rPr>
                <w:rFonts w:eastAsia="MS Mincho" w:cstheme="minorHAnsi"/>
              </w:rPr>
            </w:pPr>
            <w:r w:rsidRPr="00887906">
              <w:rPr>
                <w:rFonts w:eastAsia="MS Mincho" w:cstheme="minorHAnsi"/>
              </w:rPr>
              <w:t>Level of support: high. All participants received 7 one-to-one 10- to 20-min counselling sessions</w:t>
            </w:r>
          </w:p>
        </w:tc>
        <w:tc>
          <w:tcPr>
            <w:tcW w:w="959" w:type="pct"/>
          </w:tcPr>
          <w:p w:rsidR="00A61959" w:rsidRDefault="001173B2" w:rsidP="00A71365">
            <w:pPr>
              <w:pStyle w:val="Tablewriting"/>
              <w:rPr>
                <w:rFonts w:eastAsia="MS Mincho" w:cstheme="minorHAnsi"/>
              </w:rPr>
            </w:pPr>
            <w:r w:rsidRPr="009B13E2">
              <w:rPr>
                <w:rFonts w:eastAsia="MS Mincho" w:cstheme="minorHAnsi"/>
                <w:u w:val="single"/>
              </w:rPr>
              <w:t>Efficacy:</w:t>
            </w:r>
            <w:r w:rsidR="00A61959">
              <w:rPr>
                <w:rFonts w:eastAsia="MS Mincho" w:cstheme="minorHAnsi"/>
                <w:u w:val="single"/>
              </w:rPr>
              <w:t xml:space="preserve"> </w:t>
            </w:r>
            <w:r w:rsidR="00A61959" w:rsidRPr="00A61959">
              <w:rPr>
                <w:rFonts w:eastAsia="MS Mincho" w:cstheme="minorHAnsi"/>
              </w:rPr>
              <w:t>7-day PP abstinence at 6 months</w:t>
            </w:r>
            <w:r w:rsidR="00A61959">
              <w:rPr>
                <w:rFonts w:eastAsia="MS Mincho" w:cstheme="minorHAnsi"/>
              </w:rPr>
              <w:t>,</w:t>
            </w:r>
            <w:r w:rsidR="00A61959" w:rsidRPr="00A61959">
              <w:rPr>
                <w:rFonts w:eastAsia="MS Mincho" w:cstheme="minorHAnsi"/>
              </w:rPr>
              <w:t xml:space="preserve"> initial cessation</w:t>
            </w:r>
            <w:r w:rsidR="00A61959">
              <w:rPr>
                <w:rFonts w:eastAsia="MS Mincho" w:cstheme="minorHAnsi"/>
              </w:rPr>
              <w:t>.</w:t>
            </w:r>
          </w:p>
          <w:p w:rsidR="00A61959" w:rsidRPr="00A61959" w:rsidRDefault="00A61959" w:rsidP="00A71365">
            <w:pPr>
              <w:pStyle w:val="Tablewriting"/>
              <w:rPr>
                <w:rFonts w:eastAsia="MS Mincho" w:cstheme="minorHAnsi"/>
                <w:u w:val="single"/>
              </w:rPr>
            </w:pPr>
          </w:p>
          <w:p w:rsidR="001173B2" w:rsidRDefault="00A61959" w:rsidP="00A71365">
            <w:pPr>
              <w:pStyle w:val="Tablewriting"/>
              <w:rPr>
                <w:rFonts w:eastAsia="MS Mincho" w:cstheme="minorHAnsi"/>
              </w:rPr>
            </w:pPr>
            <w:r w:rsidRPr="00A61959">
              <w:rPr>
                <w:rFonts w:eastAsia="MS Mincho" w:cstheme="minorHAnsi"/>
              </w:rPr>
              <w:t>Validation: CO &lt; 10 ppm</w:t>
            </w:r>
            <w:r>
              <w:rPr>
                <w:rFonts w:eastAsia="MS Mincho" w:cstheme="minorHAnsi"/>
              </w:rPr>
              <w:t>.</w:t>
            </w:r>
          </w:p>
          <w:p w:rsidR="00A61959" w:rsidRDefault="00A61959" w:rsidP="00A71365">
            <w:pPr>
              <w:pStyle w:val="Tablewriting"/>
              <w:rPr>
                <w:rFonts w:eastAsia="MS Mincho" w:cstheme="minorHAnsi"/>
              </w:rPr>
            </w:pP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B51B12" w:rsidP="00A71365">
            <w:pPr>
              <w:pStyle w:val="Tablewriting"/>
              <w:rPr>
                <w:rFonts w:eastAsia="MS Mincho" w:cstheme="minorHAnsi"/>
              </w:rPr>
            </w:pPr>
            <w:r w:rsidRPr="00B07BE1">
              <w:rPr>
                <w:rFonts w:eastAsia="MS Mincho"/>
              </w:rPr>
              <w:t xml:space="preserve">Sønderskov </w:t>
            </w:r>
            <w:r w:rsidR="00FA40D7">
              <w:rPr>
                <w:rFonts w:eastAsia="MS Mincho"/>
              </w:rPr>
              <w:t>(</w:t>
            </w:r>
            <w:r w:rsidRPr="00B07BE1">
              <w:rPr>
                <w:rFonts w:eastAsia="MS Mincho"/>
              </w:rPr>
              <w:t>1997</w:t>
            </w:r>
            <w:r w:rsidR="00FA40D7">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E83B27" w:rsidP="00A71365">
            <w:pPr>
              <w:pStyle w:val="Tablewriting"/>
              <w:rPr>
                <w:rFonts w:eastAsia="MS Mincho" w:cstheme="minorHAnsi"/>
              </w:rPr>
            </w:pPr>
            <w:r w:rsidRPr="00E83B27">
              <w:rPr>
                <w:rFonts w:eastAsia="MS Mincho" w:cstheme="minorHAnsi"/>
              </w:rPr>
              <w:t>Denmark</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E83B27">
              <w:rPr>
                <w:rFonts w:eastAsia="MS Mincho" w:cstheme="minorHAnsi"/>
              </w:rPr>
              <w:t>522</w:t>
            </w:r>
          </w:p>
        </w:tc>
        <w:tc>
          <w:tcPr>
            <w:tcW w:w="1046" w:type="pct"/>
          </w:tcPr>
          <w:p w:rsidR="00E83B27" w:rsidRPr="00E83B27" w:rsidRDefault="00E83B27" w:rsidP="00A71365">
            <w:pPr>
              <w:pStyle w:val="Tablewriting"/>
              <w:rPr>
                <w:rFonts w:eastAsia="MS Mincho" w:cstheme="minorHAnsi"/>
              </w:rPr>
            </w:pPr>
            <w:r>
              <w:rPr>
                <w:rFonts w:eastAsia="MS Mincho" w:cstheme="minorHAnsi"/>
              </w:rPr>
              <w:t>S</w:t>
            </w:r>
            <w:r w:rsidRPr="00E83B27">
              <w:rPr>
                <w:rFonts w:eastAsia="MS Mincho" w:cstheme="minorHAnsi"/>
              </w:rPr>
              <w:t xml:space="preserve">mokers of &gt; 10 </w:t>
            </w:r>
            <w:r w:rsidR="00237441">
              <w:rPr>
                <w:rFonts w:eastAsia="MS Mincho" w:cstheme="minorHAnsi"/>
              </w:rPr>
              <w:t>CPD</w:t>
            </w:r>
            <w:r w:rsidRPr="00E83B27">
              <w:rPr>
                <w:rFonts w:eastAsia="MS Mincho" w:cstheme="minorHAnsi"/>
              </w:rPr>
              <w:t xml:space="preserve">. Smokers of &gt; 20 </w:t>
            </w:r>
            <w:r w:rsidR="00237441">
              <w:rPr>
                <w:rFonts w:eastAsia="MS Mincho" w:cstheme="minorHAnsi"/>
              </w:rPr>
              <w:t>CPD</w:t>
            </w:r>
            <w:r w:rsidRPr="00E83B27">
              <w:rPr>
                <w:rFonts w:eastAsia="MS Mincho" w:cstheme="minorHAnsi"/>
              </w:rPr>
              <w:t xml:space="preserve"> used a higher-dose patch than lower-rate smokers</w:t>
            </w:r>
          </w:p>
          <w:p w:rsidR="009042AA" w:rsidRPr="00017AE6" w:rsidRDefault="00E83B27" w:rsidP="00A71365">
            <w:pPr>
              <w:pStyle w:val="Tablewriting"/>
              <w:rPr>
                <w:rFonts w:eastAsia="MS Mincho" w:cstheme="minorHAnsi"/>
              </w:rPr>
            </w:pPr>
            <w:r w:rsidRPr="00E83B27">
              <w:rPr>
                <w:rFonts w:eastAsia="MS Mincho" w:cstheme="minorHAnsi"/>
              </w:rPr>
              <w:t>50% female, average age 39</w:t>
            </w:r>
          </w:p>
        </w:tc>
        <w:tc>
          <w:tcPr>
            <w:tcW w:w="1056" w:type="pct"/>
          </w:tcPr>
          <w:p w:rsidR="00237441" w:rsidRDefault="00E819AC" w:rsidP="00C324F3">
            <w:pPr>
              <w:pStyle w:val="Tablewriting"/>
              <w:numPr>
                <w:ilvl w:val="0"/>
                <w:numId w:val="141"/>
              </w:numPr>
              <w:rPr>
                <w:rFonts w:eastAsia="MS Mincho" w:cstheme="minorHAnsi"/>
              </w:rPr>
            </w:pPr>
            <w:r w:rsidRPr="00E819AC">
              <w:rPr>
                <w:rFonts w:eastAsia="MS Mincho" w:cstheme="minorHAnsi"/>
              </w:rPr>
              <w:t>Nicotine patch (24 h). &gt; 20/day smokers used 21 mg for 4 weeks, 14 mg for 4 weeks, 7 mg for 4 weeks.</w:t>
            </w:r>
          </w:p>
          <w:p w:rsidR="00E819AC" w:rsidRPr="00BF11E0" w:rsidRDefault="00BF11E0" w:rsidP="00A71365">
            <w:pPr>
              <w:pStyle w:val="Tablewriting"/>
              <w:ind w:left="360"/>
              <w:rPr>
                <w:rFonts w:eastAsia="MS Mincho" w:cstheme="minorHAnsi"/>
              </w:rPr>
            </w:pPr>
            <w:r>
              <w:rPr>
                <w:rFonts w:eastAsia="MS Mincho" w:cstheme="minorHAnsi"/>
              </w:rPr>
              <w:lastRenderedPageBreak/>
              <w:t xml:space="preserve"> </w:t>
            </w:r>
            <w:r w:rsidR="00E819AC" w:rsidRPr="00BF11E0">
              <w:rPr>
                <w:rFonts w:eastAsia="MS Mincho" w:cstheme="minorHAnsi"/>
              </w:rPr>
              <w:t>Smokers of &lt; 20/day used 14 mg for first 8 weeks, 7 mg for 4 weeks</w:t>
            </w:r>
          </w:p>
          <w:p w:rsidR="00E819AC" w:rsidRDefault="00E819AC" w:rsidP="00C324F3">
            <w:pPr>
              <w:pStyle w:val="Tablewriting"/>
              <w:numPr>
                <w:ilvl w:val="0"/>
                <w:numId w:val="141"/>
              </w:numPr>
              <w:rPr>
                <w:rFonts w:eastAsia="MS Mincho" w:cstheme="minorHAnsi"/>
              </w:rPr>
            </w:pPr>
            <w:r w:rsidRPr="00E819AC">
              <w:rPr>
                <w:rFonts w:eastAsia="MS Mincho" w:cstheme="minorHAnsi"/>
              </w:rPr>
              <w:t>Placebo patches</w:t>
            </w:r>
            <w:r w:rsidR="00BF11E0">
              <w:rPr>
                <w:rFonts w:eastAsia="MS Mincho" w:cstheme="minorHAnsi"/>
              </w:rPr>
              <w:t>.</w:t>
            </w:r>
          </w:p>
          <w:p w:rsidR="00BF11E0" w:rsidRPr="00E819AC" w:rsidRDefault="00BF11E0" w:rsidP="00A71365">
            <w:pPr>
              <w:pStyle w:val="Tablewriting"/>
              <w:rPr>
                <w:rFonts w:eastAsia="MS Mincho" w:cstheme="minorHAnsi"/>
              </w:rPr>
            </w:pPr>
          </w:p>
          <w:p w:rsidR="00E819AC" w:rsidRPr="00E819AC" w:rsidRDefault="00E819AC" w:rsidP="00A71365">
            <w:pPr>
              <w:pStyle w:val="Tablewriting"/>
              <w:rPr>
                <w:rFonts w:eastAsia="MS Mincho" w:cstheme="minorHAnsi"/>
              </w:rPr>
            </w:pPr>
            <w:r w:rsidRPr="00E819AC">
              <w:rPr>
                <w:rFonts w:eastAsia="MS Mincho" w:cstheme="minorHAnsi"/>
              </w:rPr>
              <w:t>Level of support: Low (brief instructions on patch use at baseline, visit to collect further patches at 4</w:t>
            </w:r>
          </w:p>
          <w:p w:rsidR="009042AA" w:rsidRPr="00017AE6" w:rsidRDefault="00E819AC" w:rsidP="00A71365">
            <w:pPr>
              <w:pStyle w:val="Tablewriting"/>
              <w:rPr>
                <w:rFonts w:eastAsia="MS Mincho" w:cstheme="minorHAnsi"/>
              </w:rPr>
            </w:pPr>
            <w:r w:rsidRPr="00E819AC">
              <w:rPr>
                <w:rFonts w:eastAsia="MS Mincho" w:cstheme="minorHAnsi"/>
              </w:rPr>
              <w:t>and 8 weeks, no behavioural support)</w:t>
            </w:r>
          </w:p>
        </w:tc>
        <w:tc>
          <w:tcPr>
            <w:tcW w:w="959" w:type="pct"/>
          </w:tcPr>
          <w:p w:rsidR="00237441" w:rsidRDefault="001173B2" w:rsidP="00A71365">
            <w:pPr>
              <w:pStyle w:val="Tablewriting"/>
              <w:rPr>
                <w:rFonts w:eastAsia="MS Mincho" w:cstheme="minorHAnsi"/>
              </w:rPr>
            </w:pPr>
            <w:r w:rsidRPr="009B13E2">
              <w:rPr>
                <w:rFonts w:eastAsia="MS Mincho" w:cstheme="minorHAnsi"/>
                <w:u w:val="single"/>
              </w:rPr>
              <w:lastRenderedPageBreak/>
              <w:t>Efficacy</w:t>
            </w:r>
            <w:r w:rsidRPr="00237441">
              <w:rPr>
                <w:rFonts w:eastAsia="MS Mincho" w:cstheme="minorHAnsi"/>
              </w:rPr>
              <w:t>:</w:t>
            </w:r>
            <w:r w:rsidR="00237441" w:rsidRPr="00237441">
              <w:t xml:space="preserve"> </w:t>
            </w:r>
            <w:r w:rsidR="00237441" w:rsidRPr="00237441">
              <w:rPr>
                <w:rFonts w:eastAsia="MS Mincho" w:cstheme="minorHAnsi"/>
              </w:rPr>
              <w:t>Abstinence at 6 months - no reported smoking in the last 4 weeks, by t</w:t>
            </w:r>
            <w:r w:rsidR="00836B64">
              <w:rPr>
                <w:rFonts w:eastAsia="MS Mincho" w:cstheme="minorHAnsi"/>
              </w:rPr>
              <w:t xml:space="preserve">elephone interview with neutral </w:t>
            </w:r>
            <w:r w:rsidR="00237441" w:rsidRPr="00237441">
              <w:rPr>
                <w:rFonts w:eastAsia="MS Mincho" w:cstheme="minorHAnsi"/>
              </w:rPr>
              <w:t>independent assessor</w:t>
            </w:r>
            <w:r w:rsidR="00237441">
              <w:rPr>
                <w:rFonts w:eastAsia="MS Mincho" w:cstheme="minorHAnsi"/>
              </w:rPr>
              <w:t>.</w:t>
            </w:r>
          </w:p>
          <w:p w:rsidR="00237441" w:rsidRPr="00237441" w:rsidRDefault="00237441" w:rsidP="00A71365">
            <w:pPr>
              <w:pStyle w:val="Tablewriting"/>
              <w:rPr>
                <w:rFonts w:eastAsia="MS Mincho" w:cstheme="minorHAnsi"/>
              </w:rPr>
            </w:pPr>
          </w:p>
          <w:p w:rsidR="001173B2" w:rsidRDefault="00237441" w:rsidP="00A71365">
            <w:pPr>
              <w:pStyle w:val="Tablewriting"/>
              <w:rPr>
                <w:rFonts w:eastAsia="MS Mincho" w:cstheme="minorHAnsi"/>
              </w:rPr>
            </w:pPr>
            <w:r w:rsidRPr="00237441">
              <w:rPr>
                <w:rFonts w:eastAsia="MS Mincho" w:cstheme="minorHAnsi"/>
              </w:rPr>
              <w:t>Validation: none</w:t>
            </w: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9042AA" w:rsidRPr="00017AE6" w:rsidTr="005012C6">
        <w:trPr>
          <w:trHeight w:val="99"/>
        </w:trPr>
        <w:tc>
          <w:tcPr>
            <w:tcW w:w="1004" w:type="pct"/>
          </w:tcPr>
          <w:p w:rsidR="009042AA" w:rsidRPr="00017AE6" w:rsidRDefault="00B51B12" w:rsidP="00A71365">
            <w:pPr>
              <w:pStyle w:val="Tablewriting"/>
              <w:rPr>
                <w:rFonts w:eastAsia="MS Mincho" w:cstheme="minorHAnsi"/>
              </w:rPr>
            </w:pPr>
            <w:r w:rsidRPr="00B07BE1">
              <w:rPr>
                <w:rFonts w:eastAsia="MS Mincho"/>
              </w:rPr>
              <w:lastRenderedPageBreak/>
              <w:t xml:space="preserve">Tuisku </w:t>
            </w:r>
            <w:r w:rsidR="00FA40D7">
              <w:rPr>
                <w:rFonts w:eastAsia="MS Mincho"/>
              </w:rPr>
              <w:t>(</w:t>
            </w:r>
            <w:r w:rsidRPr="00B07BE1">
              <w:rPr>
                <w:rFonts w:eastAsia="MS Mincho"/>
              </w:rPr>
              <w:t>2016</w:t>
            </w:r>
            <w:r w:rsidR="00FA40D7">
              <w:rPr>
                <w:rFonts w:eastAsia="MS Mincho"/>
              </w:rPr>
              <w:t>)</w:t>
            </w:r>
          </w:p>
        </w:tc>
        <w:tc>
          <w:tcPr>
            <w:tcW w:w="234" w:type="pct"/>
          </w:tcPr>
          <w:p w:rsidR="009042AA" w:rsidRPr="00017AE6" w:rsidRDefault="001C2E71" w:rsidP="00A71365">
            <w:pPr>
              <w:pStyle w:val="Tablewriting"/>
              <w:rPr>
                <w:rFonts w:eastAsia="MS Mincho" w:cstheme="minorHAnsi"/>
              </w:rPr>
            </w:pPr>
            <w:r>
              <w:rPr>
                <w:rFonts w:eastAsia="MS Mincho" w:cstheme="minorHAnsi"/>
              </w:rPr>
              <w:t>RCT</w:t>
            </w:r>
          </w:p>
        </w:tc>
        <w:tc>
          <w:tcPr>
            <w:tcW w:w="412" w:type="pct"/>
          </w:tcPr>
          <w:p w:rsidR="009042AA" w:rsidRPr="00017AE6" w:rsidRDefault="00681615" w:rsidP="00A71365">
            <w:pPr>
              <w:pStyle w:val="Tablewriting"/>
              <w:rPr>
                <w:rFonts w:eastAsia="MS Mincho" w:cstheme="minorHAnsi"/>
              </w:rPr>
            </w:pPr>
            <w:r w:rsidRPr="00681615">
              <w:rPr>
                <w:rFonts w:eastAsia="MS Mincho" w:cstheme="minorHAnsi"/>
              </w:rPr>
              <w:t>Finland</w:t>
            </w:r>
          </w:p>
        </w:tc>
        <w:tc>
          <w:tcPr>
            <w:tcW w:w="289" w:type="pct"/>
          </w:tcPr>
          <w:p w:rsidR="009042AA" w:rsidRPr="00017AE6" w:rsidRDefault="001173B2" w:rsidP="00A71365">
            <w:pPr>
              <w:pStyle w:val="Tablewriting"/>
              <w:rPr>
                <w:rFonts w:eastAsia="MS Mincho" w:cstheme="minorHAnsi"/>
              </w:rPr>
            </w:pPr>
            <w:r>
              <w:rPr>
                <w:rFonts w:eastAsia="MS Mincho" w:cstheme="minorHAnsi"/>
              </w:rPr>
              <w:t>N=</w:t>
            </w:r>
            <w:r w:rsidR="00681615">
              <w:rPr>
                <w:rFonts w:ascii="Times New Roman" w:hAnsi="Times New Roman"/>
                <w:sz w:val="18"/>
                <w:szCs w:val="18"/>
                <w:lang w:val="en-GB"/>
              </w:rPr>
              <w:t xml:space="preserve"> 180</w:t>
            </w:r>
          </w:p>
        </w:tc>
        <w:tc>
          <w:tcPr>
            <w:tcW w:w="1046" w:type="pct"/>
          </w:tcPr>
          <w:p w:rsidR="000F0BA1" w:rsidRPr="000F0BA1" w:rsidRDefault="000F0BA1" w:rsidP="00A71365">
            <w:pPr>
              <w:pStyle w:val="Tablewriting"/>
              <w:rPr>
                <w:rFonts w:eastAsia="MS Mincho" w:cstheme="minorHAnsi"/>
              </w:rPr>
            </w:pPr>
            <w:r w:rsidRPr="000F0BA1">
              <w:rPr>
                <w:rFonts w:eastAsia="MS Mincho" w:cstheme="minorHAnsi"/>
              </w:rPr>
              <w:t>18 to 26 years old, smoked daily for at least past month, smoked &gt; 100 cigarettes in life, light smokers</w:t>
            </w:r>
          </w:p>
          <w:p w:rsidR="000F0BA1" w:rsidRPr="000F0BA1" w:rsidRDefault="000F0BA1" w:rsidP="00A71365">
            <w:pPr>
              <w:pStyle w:val="Tablewriting"/>
              <w:rPr>
                <w:rFonts w:eastAsia="MS Mincho" w:cstheme="minorHAnsi"/>
              </w:rPr>
            </w:pPr>
            <w:r w:rsidRPr="000F0BA1">
              <w:rPr>
                <w:rFonts w:eastAsia="MS Mincho" w:cstheme="minorHAnsi"/>
              </w:rPr>
              <w:t xml:space="preserve">(as per Heaviness of Smoking Index based on </w:t>
            </w:r>
            <w:r>
              <w:rPr>
                <w:rFonts w:eastAsia="MS Mincho" w:cstheme="minorHAnsi"/>
              </w:rPr>
              <w:t xml:space="preserve">CPD </w:t>
            </w:r>
            <w:r w:rsidRPr="000F0BA1">
              <w:rPr>
                <w:rFonts w:eastAsia="MS Mincho" w:cstheme="minorHAnsi"/>
              </w:rPr>
              <w:t>and time to first cigarette) only included in this review</w:t>
            </w:r>
            <w:r>
              <w:rPr>
                <w:rFonts w:eastAsia="MS Mincho" w:cstheme="minorHAnsi"/>
              </w:rPr>
              <w:t>.</w:t>
            </w:r>
          </w:p>
          <w:p w:rsidR="009042AA" w:rsidRPr="00017AE6" w:rsidRDefault="000F0BA1" w:rsidP="00A71365">
            <w:pPr>
              <w:pStyle w:val="Tablewriting"/>
              <w:rPr>
                <w:rFonts w:eastAsia="MS Mincho" w:cstheme="minorHAnsi"/>
              </w:rPr>
            </w:pPr>
            <w:r w:rsidRPr="000F0BA1">
              <w:rPr>
                <w:rFonts w:eastAsia="MS Mincho" w:cstheme="minorHAnsi"/>
              </w:rPr>
              <w:t xml:space="preserve">52% female, median age 21, median </w:t>
            </w:r>
            <w:r>
              <w:rPr>
                <w:rFonts w:eastAsia="MS Mincho" w:cstheme="minorHAnsi"/>
              </w:rPr>
              <w:t>CPD</w:t>
            </w:r>
            <w:r w:rsidRPr="000F0BA1">
              <w:rPr>
                <w:rFonts w:eastAsia="MS Mincho" w:cstheme="minorHAnsi"/>
              </w:rPr>
              <w:t xml:space="preserve"> 10</w:t>
            </w:r>
            <w:r>
              <w:rPr>
                <w:rFonts w:eastAsia="MS Mincho" w:cstheme="minorHAnsi"/>
              </w:rPr>
              <w:t>.</w:t>
            </w:r>
          </w:p>
        </w:tc>
        <w:tc>
          <w:tcPr>
            <w:tcW w:w="1056" w:type="pct"/>
          </w:tcPr>
          <w:p w:rsidR="00756CEF" w:rsidRPr="00756CEF" w:rsidRDefault="00756CEF" w:rsidP="00C324F3">
            <w:pPr>
              <w:pStyle w:val="Tablewriting"/>
              <w:numPr>
                <w:ilvl w:val="0"/>
                <w:numId w:val="142"/>
              </w:numPr>
              <w:rPr>
                <w:rFonts w:eastAsia="MS Mincho" w:cstheme="minorHAnsi"/>
              </w:rPr>
            </w:pPr>
            <w:r w:rsidRPr="00756CEF">
              <w:rPr>
                <w:rFonts w:eastAsia="MS Mincho" w:cstheme="minorHAnsi"/>
              </w:rPr>
              <w:t>NRT patch (10 mg/16 h) for 8 weeks</w:t>
            </w:r>
            <w:r>
              <w:rPr>
                <w:rFonts w:eastAsia="MS Mincho" w:cstheme="minorHAnsi"/>
              </w:rPr>
              <w:t>.</w:t>
            </w:r>
          </w:p>
          <w:p w:rsidR="00756CEF" w:rsidRDefault="00756CEF" w:rsidP="00C324F3">
            <w:pPr>
              <w:pStyle w:val="Tablewriting"/>
              <w:numPr>
                <w:ilvl w:val="0"/>
                <w:numId w:val="142"/>
              </w:numPr>
              <w:rPr>
                <w:rFonts w:eastAsia="MS Mincho" w:cstheme="minorHAnsi"/>
              </w:rPr>
            </w:pPr>
            <w:r w:rsidRPr="00756CEF">
              <w:rPr>
                <w:rFonts w:eastAsia="MS Mincho" w:cstheme="minorHAnsi"/>
              </w:rPr>
              <w:t>Placebo</w:t>
            </w:r>
            <w:r>
              <w:rPr>
                <w:rFonts w:eastAsia="MS Mincho" w:cstheme="minorHAnsi"/>
              </w:rPr>
              <w:t>.</w:t>
            </w:r>
          </w:p>
          <w:p w:rsidR="00756CEF" w:rsidRPr="00756CEF" w:rsidRDefault="00756CEF" w:rsidP="00A71365">
            <w:pPr>
              <w:pStyle w:val="Tablewriting"/>
              <w:ind w:left="360"/>
              <w:rPr>
                <w:rFonts w:eastAsia="MS Mincho" w:cstheme="minorHAnsi"/>
              </w:rPr>
            </w:pPr>
          </w:p>
          <w:p w:rsidR="009042AA" w:rsidRPr="00017AE6" w:rsidRDefault="00756CEF" w:rsidP="00A71365">
            <w:pPr>
              <w:pStyle w:val="Tablewriting"/>
              <w:rPr>
                <w:rFonts w:eastAsia="MS Mincho" w:cstheme="minorHAnsi"/>
              </w:rPr>
            </w:pPr>
            <w:r w:rsidRPr="00756CEF">
              <w:rPr>
                <w:rFonts w:eastAsia="MS Mincho" w:cstheme="minorHAnsi"/>
              </w:rPr>
              <w:t>Level of support: high (individual smoking cessation counselling of 30 mins (and planned for week 52))</w:t>
            </w:r>
          </w:p>
        </w:tc>
        <w:tc>
          <w:tcPr>
            <w:tcW w:w="959" w:type="pct"/>
          </w:tcPr>
          <w:p w:rsidR="00A50E2F" w:rsidRDefault="001173B2" w:rsidP="00A71365">
            <w:pPr>
              <w:pStyle w:val="Tablewriting"/>
              <w:rPr>
                <w:rFonts w:eastAsia="MS Mincho" w:cstheme="minorHAnsi"/>
                <w:u w:val="single"/>
              </w:rPr>
            </w:pPr>
            <w:r w:rsidRPr="009B13E2">
              <w:rPr>
                <w:rFonts w:eastAsia="MS Mincho" w:cstheme="minorHAnsi"/>
                <w:u w:val="single"/>
              </w:rPr>
              <w:t>Efficacy:</w:t>
            </w:r>
            <w:r w:rsidR="00A50E2F">
              <w:t xml:space="preserve"> </w:t>
            </w:r>
            <w:r w:rsidR="00A50E2F" w:rsidRPr="00A50E2F">
              <w:rPr>
                <w:rFonts w:eastAsia="MS Mincho" w:cstheme="minorHAnsi"/>
                <w:u w:val="single"/>
              </w:rPr>
              <w:t>7</w:t>
            </w:r>
            <w:r w:rsidR="00A50E2F" w:rsidRPr="00A50E2F">
              <w:rPr>
                <w:rFonts w:eastAsia="MS Mincho" w:cstheme="minorHAnsi"/>
              </w:rPr>
              <w:t>-day PP at 6 months (Methods section also states 12 months follow-up but results not reported</w:t>
            </w:r>
            <w:r w:rsidR="00A50E2F" w:rsidRPr="00A50E2F">
              <w:rPr>
                <w:rFonts w:eastAsia="MS Mincho" w:cstheme="minorHAnsi"/>
                <w:u w:val="single"/>
              </w:rPr>
              <w:t>)</w:t>
            </w:r>
            <w:r w:rsidR="00A50E2F">
              <w:rPr>
                <w:rFonts w:eastAsia="MS Mincho" w:cstheme="minorHAnsi"/>
                <w:u w:val="single"/>
              </w:rPr>
              <w:t>.</w:t>
            </w:r>
          </w:p>
          <w:p w:rsidR="00A50E2F" w:rsidRPr="00A50E2F" w:rsidRDefault="00A50E2F" w:rsidP="00A71365">
            <w:pPr>
              <w:pStyle w:val="Tablewriting"/>
              <w:rPr>
                <w:rFonts w:eastAsia="MS Mincho" w:cstheme="minorHAnsi"/>
                <w:u w:val="single"/>
              </w:rPr>
            </w:pPr>
          </w:p>
          <w:p w:rsidR="001173B2" w:rsidRPr="00A50E2F" w:rsidRDefault="00A50E2F" w:rsidP="00A71365">
            <w:pPr>
              <w:pStyle w:val="Tablewriting"/>
              <w:rPr>
                <w:rFonts w:eastAsia="MS Mincho" w:cstheme="minorHAnsi"/>
              </w:rPr>
            </w:pPr>
            <w:r w:rsidRPr="00A50E2F">
              <w:rPr>
                <w:rFonts w:eastAsia="MS Mincho" w:cstheme="minorHAnsi"/>
              </w:rPr>
              <w:t>Validation: none</w:t>
            </w:r>
            <w:r w:rsidR="00CB3E83">
              <w:rPr>
                <w:rFonts w:eastAsia="MS Mincho" w:cstheme="minorHAnsi"/>
              </w:rPr>
              <w:t xml:space="preserve">. </w:t>
            </w:r>
          </w:p>
          <w:p w:rsidR="001173B2" w:rsidRDefault="001173B2" w:rsidP="00A71365">
            <w:pPr>
              <w:pStyle w:val="Tablewriting"/>
              <w:rPr>
                <w:rFonts w:eastAsia="MS Mincho" w:cstheme="minorHAnsi"/>
              </w:rPr>
            </w:pPr>
          </w:p>
          <w:p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rsidR="009042AA" w:rsidRPr="00017AE6" w:rsidRDefault="009042AA" w:rsidP="00A71365">
            <w:pPr>
              <w:pStyle w:val="Tablewriting"/>
              <w:rPr>
                <w:rFonts w:eastAsia="MS Mincho" w:cstheme="minorHAnsi"/>
              </w:rPr>
            </w:pPr>
          </w:p>
        </w:tc>
      </w:tr>
      <w:tr w:rsidR="00201A49" w:rsidRPr="00017AE6" w:rsidTr="009F416E">
        <w:trPr>
          <w:trHeight w:val="99"/>
        </w:trPr>
        <w:tc>
          <w:tcPr>
            <w:tcW w:w="1004" w:type="pct"/>
            <w:shd w:val="clear" w:color="auto" w:fill="FFFFFF" w:themeFill="background1"/>
          </w:tcPr>
          <w:p w:rsidR="00201A49" w:rsidRPr="009F416E" w:rsidRDefault="00201A49" w:rsidP="00A71365">
            <w:pPr>
              <w:pStyle w:val="Tablewriting"/>
              <w:rPr>
                <w:rFonts w:eastAsia="MS Mincho"/>
              </w:rPr>
            </w:pPr>
            <w:r w:rsidRPr="009F416E">
              <w:rPr>
                <w:rFonts w:eastAsia="MS Mincho"/>
              </w:rPr>
              <w:t>CEA</w:t>
            </w:r>
            <w:r w:rsidR="007C5C6A" w:rsidRPr="009F416E">
              <w:rPr>
                <w:rFonts w:eastAsia="MS Mincho"/>
              </w:rPr>
              <w:t>SE 1999</w:t>
            </w:r>
            <w:r w:rsidR="00D83DA0" w:rsidRPr="009F416E">
              <w:rPr>
                <w:rFonts w:eastAsia="MS Mincho"/>
              </w:rPr>
              <w:t>*</w:t>
            </w:r>
          </w:p>
        </w:tc>
        <w:tc>
          <w:tcPr>
            <w:tcW w:w="234" w:type="pct"/>
            <w:shd w:val="clear" w:color="auto" w:fill="FFFFFF" w:themeFill="background1"/>
          </w:tcPr>
          <w:p w:rsidR="00201A49" w:rsidRPr="009F416E" w:rsidRDefault="007C1031" w:rsidP="00A71365">
            <w:pPr>
              <w:pStyle w:val="Tablewriting"/>
              <w:rPr>
                <w:rFonts w:eastAsia="MS Mincho" w:cstheme="minorHAnsi"/>
              </w:rPr>
            </w:pPr>
            <w:r w:rsidRPr="009F416E">
              <w:rPr>
                <w:rFonts w:eastAsia="MS Mincho" w:cstheme="minorHAnsi"/>
              </w:rPr>
              <w:t>RCT</w:t>
            </w:r>
          </w:p>
        </w:tc>
        <w:tc>
          <w:tcPr>
            <w:tcW w:w="412" w:type="pct"/>
            <w:shd w:val="clear" w:color="auto" w:fill="FFFFFF" w:themeFill="background1"/>
          </w:tcPr>
          <w:p w:rsidR="00201A49" w:rsidRPr="009F416E" w:rsidRDefault="009252AD" w:rsidP="00A71365">
            <w:pPr>
              <w:pStyle w:val="Tablewriting"/>
              <w:rPr>
                <w:rFonts w:eastAsia="MS Mincho" w:cstheme="minorHAnsi"/>
              </w:rPr>
            </w:pPr>
            <w:r w:rsidRPr="009F416E">
              <w:rPr>
                <w:rFonts w:eastAsia="MS Mincho" w:cstheme="minorHAnsi"/>
              </w:rPr>
              <w:t>17 European countries</w:t>
            </w:r>
          </w:p>
        </w:tc>
        <w:tc>
          <w:tcPr>
            <w:tcW w:w="289" w:type="pct"/>
            <w:shd w:val="clear" w:color="auto" w:fill="FFFFFF" w:themeFill="background1"/>
          </w:tcPr>
          <w:p w:rsidR="00201A49" w:rsidRPr="009F416E" w:rsidRDefault="007C1031" w:rsidP="00A71365">
            <w:pPr>
              <w:pStyle w:val="Tablewriting"/>
              <w:rPr>
                <w:rFonts w:eastAsia="MS Mincho" w:cstheme="minorHAnsi"/>
              </w:rPr>
            </w:pPr>
            <w:r w:rsidRPr="009F416E">
              <w:rPr>
                <w:rFonts w:eastAsia="MS Mincho" w:cstheme="minorHAnsi"/>
              </w:rPr>
              <w:t>N=</w:t>
            </w:r>
            <w:r w:rsidR="005156C9" w:rsidRPr="009F416E">
              <w:rPr>
                <w:rFonts w:eastAsia="MS Mincho" w:cstheme="minorHAnsi"/>
              </w:rPr>
              <w:t>3575</w:t>
            </w:r>
          </w:p>
        </w:tc>
        <w:tc>
          <w:tcPr>
            <w:tcW w:w="1046" w:type="pct"/>
            <w:shd w:val="clear" w:color="auto" w:fill="FFFFFF" w:themeFill="background1"/>
          </w:tcPr>
          <w:p w:rsidR="005A69B2" w:rsidRPr="009F416E" w:rsidRDefault="001D69D4" w:rsidP="00A71365">
            <w:pPr>
              <w:pStyle w:val="Tablewriting"/>
              <w:rPr>
                <w:rFonts w:eastAsia="MS Mincho" w:cstheme="minorHAnsi"/>
              </w:rPr>
            </w:pPr>
            <w:r w:rsidRPr="009F416E">
              <w:rPr>
                <w:rFonts w:eastAsia="MS Mincho" w:cstheme="minorHAnsi"/>
              </w:rPr>
              <w:t>A</w:t>
            </w:r>
            <w:r w:rsidR="005A69B2" w:rsidRPr="009F416E">
              <w:rPr>
                <w:rFonts w:eastAsia="MS Mincho" w:cstheme="minorHAnsi"/>
              </w:rPr>
              <w:t>dults smoking &gt; 14cigs/day for &gt; 3 years</w:t>
            </w:r>
          </w:p>
          <w:p w:rsidR="005A69B2" w:rsidRPr="009F416E" w:rsidRDefault="005A69B2" w:rsidP="00A71365">
            <w:pPr>
              <w:pStyle w:val="Tablewriting"/>
              <w:rPr>
                <w:rFonts w:eastAsia="MS Mincho" w:cstheme="minorHAnsi"/>
              </w:rPr>
            </w:pPr>
            <w:r w:rsidRPr="009F416E">
              <w:rPr>
                <w:rFonts w:eastAsia="MS Mincho" w:cstheme="minorHAnsi"/>
              </w:rPr>
              <w:t>Mean age 41</w:t>
            </w:r>
            <w:r w:rsidR="001D69D4" w:rsidRPr="009F416E">
              <w:rPr>
                <w:rFonts w:eastAsia="MS Mincho" w:cstheme="minorHAnsi"/>
              </w:rPr>
              <w:t xml:space="preserve"> years</w:t>
            </w:r>
            <w:r w:rsidRPr="009F416E">
              <w:rPr>
                <w:rFonts w:eastAsia="MS Mincho" w:cstheme="minorHAnsi"/>
              </w:rPr>
              <w:t>, av</w:t>
            </w:r>
            <w:r w:rsidR="001D69D4" w:rsidRPr="009F416E">
              <w:rPr>
                <w:rFonts w:eastAsia="MS Mincho" w:cstheme="minorHAnsi"/>
              </w:rPr>
              <w:t>erage</w:t>
            </w:r>
            <w:r w:rsidRPr="009F416E">
              <w:rPr>
                <w:rFonts w:eastAsia="MS Mincho" w:cstheme="minorHAnsi"/>
              </w:rPr>
              <w:t xml:space="preserve"> cigs/day 27</w:t>
            </w:r>
            <w:r w:rsidR="001D69D4" w:rsidRPr="009F416E">
              <w:rPr>
                <w:rFonts w:eastAsia="MS Mincho" w:cstheme="minorHAnsi"/>
              </w:rPr>
              <w:t>.</w:t>
            </w:r>
          </w:p>
          <w:p w:rsidR="00201A49" w:rsidRPr="009F416E" w:rsidRDefault="005A69B2" w:rsidP="00A71365">
            <w:pPr>
              <w:pStyle w:val="Tablewriting"/>
              <w:rPr>
                <w:rFonts w:eastAsia="MS Mincho" w:cstheme="minorHAnsi"/>
              </w:rPr>
            </w:pPr>
            <w:r w:rsidRPr="009F416E">
              <w:rPr>
                <w:rFonts w:eastAsia="MS Mincho" w:cstheme="minorHAnsi"/>
              </w:rPr>
              <w:t>(34% had previously used NRT)</w:t>
            </w:r>
          </w:p>
        </w:tc>
        <w:tc>
          <w:tcPr>
            <w:tcW w:w="1056" w:type="pct"/>
            <w:shd w:val="clear" w:color="auto" w:fill="FFFFFF" w:themeFill="background1"/>
          </w:tcPr>
          <w:p w:rsidR="00AB0DF2" w:rsidRPr="009F416E" w:rsidRDefault="00741659" w:rsidP="00C324F3">
            <w:pPr>
              <w:pStyle w:val="Tablewriting"/>
              <w:numPr>
                <w:ilvl w:val="0"/>
                <w:numId w:val="166"/>
              </w:numPr>
              <w:rPr>
                <w:rFonts w:eastAsia="MS Mincho" w:cstheme="minorHAnsi"/>
              </w:rPr>
            </w:pPr>
            <w:r w:rsidRPr="009F416E">
              <w:rPr>
                <w:rFonts w:eastAsia="MS Mincho" w:cstheme="minorHAnsi"/>
              </w:rPr>
              <w:t>25 mg nicotine patch for 22w + 4w tapering (L-25)</w:t>
            </w:r>
            <w:r w:rsidR="00AB0DF2" w:rsidRPr="009F416E">
              <w:rPr>
                <w:rFonts w:eastAsia="MS Mincho" w:cstheme="minorHAnsi"/>
              </w:rPr>
              <w:t>.</w:t>
            </w:r>
          </w:p>
          <w:p w:rsidR="00AB0DF2" w:rsidRPr="009F416E" w:rsidRDefault="00741659" w:rsidP="00C324F3">
            <w:pPr>
              <w:pStyle w:val="Tablewriting"/>
              <w:numPr>
                <w:ilvl w:val="0"/>
                <w:numId w:val="166"/>
              </w:numPr>
              <w:rPr>
                <w:rFonts w:eastAsia="MS Mincho" w:cstheme="minorHAnsi"/>
              </w:rPr>
            </w:pPr>
            <w:r w:rsidRPr="009F416E">
              <w:rPr>
                <w:rFonts w:eastAsia="MS Mincho" w:cstheme="minorHAnsi"/>
              </w:rPr>
              <w:t>25 mg nicotine patch for 8w + 4w tapering (S-25)</w:t>
            </w:r>
            <w:r w:rsidR="00AB0DF2" w:rsidRPr="009F416E">
              <w:rPr>
                <w:rFonts w:eastAsia="MS Mincho" w:cstheme="minorHAnsi"/>
              </w:rPr>
              <w:t>.</w:t>
            </w:r>
          </w:p>
          <w:p w:rsidR="00AB0DF2" w:rsidRPr="009F416E" w:rsidRDefault="00741659" w:rsidP="00C324F3">
            <w:pPr>
              <w:pStyle w:val="Tablewriting"/>
              <w:numPr>
                <w:ilvl w:val="0"/>
                <w:numId w:val="166"/>
              </w:numPr>
              <w:rPr>
                <w:rFonts w:eastAsia="MS Mincho" w:cstheme="minorHAnsi"/>
              </w:rPr>
            </w:pPr>
            <w:r w:rsidRPr="009F416E">
              <w:rPr>
                <w:rFonts w:eastAsia="MS Mincho" w:cstheme="minorHAnsi"/>
              </w:rPr>
              <w:t>15 mg nicotine patch for 22w + 4w tapering (L-15)</w:t>
            </w:r>
            <w:r w:rsidR="00AB0DF2" w:rsidRPr="009F416E">
              <w:rPr>
                <w:rFonts w:eastAsia="MS Mincho" w:cstheme="minorHAnsi"/>
              </w:rPr>
              <w:t>.</w:t>
            </w:r>
          </w:p>
          <w:p w:rsidR="00AB0DF2" w:rsidRPr="009F416E" w:rsidRDefault="00741659" w:rsidP="00C324F3">
            <w:pPr>
              <w:pStyle w:val="Tablewriting"/>
              <w:numPr>
                <w:ilvl w:val="0"/>
                <w:numId w:val="166"/>
              </w:numPr>
              <w:rPr>
                <w:rFonts w:eastAsia="MS Mincho" w:cstheme="minorHAnsi"/>
              </w:rPr>
            </w:pPr>
            <w:r w:rsidRPr="009F416E">
              <w:rPr>
                <w:rFonts w:eastAsia="MS Mincho" w:cstheme="minorHAnsi"/>
              </w:rPr>
              <w:t>15 mg nicotine patch for 8w + 4w tapering (S-15)</w:t>
            </w:r>
            <w:r w:rsidR="00AB0DF2" w:rsidRPr="009F416E">
              <w:rPr>
                <w:rFonts w:eastAsia="MS Mincho" w:cstheme="minorHAnsi"/>
              </w:rPr>
              <w:t>.</w:t>
            </w:r>
          </w:p>
          <w:p w:rsidR="00741659" w:rsidRPr="009F416E" w:rsidRDefault="00741659" w:rsidP="00C324F3">
            <w:pPr>
              <w:pStyle w:val="Tablewriting"/>
              <w:numPr>
                <w:ilvl w:val="0"/>
                <w:numId w:val="166"/>
              </w:numPr>
              <w:rPr>
                <w:rFonts w:eastAsia="MS Mincho" w:cstheme="minorHAnsi"/>
              </w:rPr>
            </w:pPr>
            <w:r w:rsidRPr="009F416E">
              <w:rPr>
                <w:rFonts w:eastAsia="MS Mincho" w:cstheme="minorHAnsi"/>
              </w:rPr>
              <w:t>Placebo</w:t>
            </w:r>
            <w:r w:rsidR="00EB4A80" w:rsidRPr="009F416E">
              <w:rPr>
                <w:rFonts w:eastAsia="MS Mincho" w:cstheme="minorHAnsi"/>
              </w:rPr>
              <w:t>.</w:t>
            </w:r>
          </w:p>
          <w:p w:rsidR="00741659" w:rsidRPr="009F416E" w:rsidRDefault="00741659" w:rsidP="00A71365">
            <w:pPr>
              <w:pStyle w:val="Tablewriting"/>
              <w:rPr>
                <w:rFonts w:eastAsia="MS Mincho" w:cstheme="minorHAnsi"/>
              </w:rPr>
            </w:pPr>
          </w:p>
          <w:p w:rsidR="00741659" w:rsidRPr="009F416E" w:rsidRDefault="00741659" w:rsidP="00A71365">
            <w:pPr>
              <w:pStyle w:val="Tablewriting"/>
              <w:rPr>
                <w:rFonts w:eastAsia="MS Mincho" w:cstheme="minorHAnsi"/>
              </w:rPr>
            </w:pPr>
            <w:r w:rsidRPr="009F416E">
              <w:rPr>
                <w:rFonts w:eastAsia="MS Mincho" w:cstheme="minorHAnsi"/>
              </w:rPr>
              <w:t>Factorial design compared two patch doses and two treatment duratio</w:t>
            </w:r>
            <w:r w:rsidR="00836B64" w:rsidRPr="009F416E">
              <w:rPr>
                <w:rFonts w:eastAsia="MS Mincho" w:cstheme="minorHAnsi"/>
              </w:rPr>
              <w:t xml:space="preserve">ns. Dose was either 15 mg </w:t>
            </w:r>
            <w:r w:rsidR="00836B64" w:rsidRPr="009F416E">
              <w:rPr>
                <w:rFonts w:eastAsia="MS Mincho" w:cstheme="minorHAnsi"/>
              </w:rPr>
              <w:lastRenderedPageBreak/>
              <w:t xml:space="preserve">or 25 </w:t>
            </w:r>
            <w:r w:rsidRPr="009F416E">
              <w:rPr>
                <w:rFonts w:eastAsia="MS Mincho" w:cstheme="minorHAnsi"/>
              </w:rPr>
              <w:t>mg (16hr), duration of active treatment was 28w (incl 4w fading) or 12w (incl 4w fading).</w:t>
            </w:r>
          </w:p>
          <w:p w:rsidR="00741659" w:rsidRPr="009F416E" w:rsidRDefault="00741659" w:rsidP="00A71365">
            <w:pPr>
              <w:pStyle w:val="Tablewriting"/>
              <w:rPr>
                <w:rFonts w:eastAsia="MS Mincho" w:cstheme="minorHAnsi"/>
              </w:rPr>
            </w:pPr>
          </w:p>
          <w:p w:rsidR="00741659" w:rsidRPr="009F416E" w:rsidRDefault="00741659" w:rsidP="00A71365">
            <w:pPr>
              <w:pStyle w:val="Tablewriting"/>
              <w:rPr>
                <w:rFonts w:eastAsia="MS Mincho" w:cstheme="minorHAnsi"/>
              </w:rPr>
            </w:pPr>
            <w:r w:rsidRPr="009F416E">
              <w:rPr>
                <w:rFonts w:eastAsia="MS Mincho" w:cstheme="minorHAnsi"/>
              </w:rPr>
              <w:t xml:space="preserve">Brief advice and </w:t>
            </w:r>
            <w:r w:rsidR="00600504" w:rsidRPr="009F416E">
              <w:rPr>
                <w:rFonts w:eastAsia="MS Mincho" w:cstheme="minorHAnsi"/>
              </w:rPr>
              <w:t>self-help</w:t>
            </w:r>
            <w:r w:rsidRPr="009F416E">
              <w:rPr>
                <w:rFonts w:eastAsia="MS Mincho" w:cstheme="minorHAnsi"/>
              </w:rPr>
              <w:t xml:space="preserve"> brochure</w:t>
            </w:r>
            <w:r w:rsidR="00600504" w:rsidRPr="009F416E">
              <w:rPr>
                <w:rFonts w:eastAsia="MS Mincho" w:cstheme="minorHAnsi"/>
              </w:rPr>
              <w:t>.</w:t>
            </w:r>
          </w:p>
          <w:p w:rsidR="00600504" w:rsidRPr="009F416E" w:rsidRDefault="00600504" w:rsidP="00A71365">
            <w:pPr>
              <w:pStyle w:val="Tablewriting"/>
              <w:rPr>
                <w:rFonts w:eastAsia="MS Mincho" w:cstheme="minorHAnsi"/>
              </w:rPr>
            </w:pPr>
          </w:p>
          <w:p w:rsidR="00201A49" w:rsidRPr="009F416E" w:rsidRDefault="00741659" w:rsidP="00A71365">
            <w:pPr>
              <w:pStyle w:val="Tablewriting"/>
              <w:rPr>
                <w:rFonts w:eastAsia="MS Mincho" w:cstheme="minorHAnsi"/>
              </w:rPr>
            </w:pPr>
            <w:r w:rsidRPr="009F416E">
              <w:rPr>
                <w:rFonts w:eastAsia="MS Mincho" w:cstheme="minorHAnsi"/>
              </w:rPr>
              <w:t>Level of support: low</w:t>
            </w:r>
          </w:p>
        </w:tc>
        <w:tc>
          <w:tcPr>
            <w:tcW w:w="959" w:type="pct"/>
            <w:shd w:val="clear" w:color="auto" w:fill="FFFFFF" w:themeFill="background1"/>
          </w:tcPr>
          <w:p w:rsidR="007C1031" w:rsidRPr="009F416E" w:rsidRDefault="007C1031" w:rsidP="00A71365">
            <w:pPr>
              <w:pStyle w:val="Tablewriting"/>
              <w:rPr>
                <w:rFonts w:eastAsia="MS Mincho" w:cstheme="minorHAnsi"/>
              </w:rPr>
            </w:pPr>
            <w:r w:rsidRPr="009F416E">
              <w:rPr>
                <w:rFonts w:eastAsia="MS Mincho" w:cstheme="minorHAnsi"/>
                <w:u w:val="single"/>
              </w:rPr>
              <w:lastRenderedPageBreak/>
              <w:t>Efficacy:</w:t>
            </w:r>
            <w:r w:rsidRPr="009F416E">
              <w:t xml:space="preserve"> </w:t>
            </w:r>
          </w:p>
          <w:p w:rsidR="00476E03" w:rsidRPr="009F416E" w:rsidRDefault="00476E03" w:rsidP="00A71365">
            <w:pPr>
              <w:pStyle w:val="Tablewriting"/>
              <w:rPr>
                <w:rFonts w:eastAsia="MS Mincho" w:cstheme="minorHAnsi"/>
              </w:rPr>
            </w:pPr>
            <w:r w:rsidRPr="009F416E">
              <w:rPr>
                <w:rFonts w:eastAsia="MS Mincho" w:cstheme="minorHAnsi"/>
              </w:rPr>
              <w:t>Prolonged abstinence at 12</w:t>
            </w:r>
            <w:r w:rsidR="00FC4A9B" w:rsidRPr="009F416E">
              <w:rPr>
                <w:rFonts w:eastAsia="MS Mincho" w:cstheme="minorHAnsi"/>
              </w:rPr>
              <w:t xml:space="preserve"> </w:t>
            </w:r>
            <w:r w:rsidRPr="009F416E">
              <w:rPr>
                <w:rFonts w:eastAsia="MS Mincho" w:cstheme="minorHAnsi"/>
              </w:rPr>
              <w:t>m</w:t>
            </w:r>
            <w:r w:rsidR="00FC4A9B" w:rsidRPr="009F416E">
              <w:rPr>
                <w:rFonts w:eastAsia="MS Mincho" w:cstheme="minorHAnsi"/>
              </w:rPr>
              <w:t>onths</w:t>
            </w:r>
            <w:r w:rsidRPr="009F416E">
              <w:rPr>
                <w:rFonts w:eastAsia="MS Mincho" w:cstheme="minorHAnsi"/>
              </w:rPr>
              <w:t>,</w:t>
            </w:r>
            <w:r w:rsidR="00FC4A9B" w:rsidRPr="009F416E">
              <w:rPr>
                <w:rFonts w:eastAsia="MS Mincho" w:cstheme="minorHAnsi"/>
              </w:rPr>
              <w:t xml:space="preserve"> </w:t>
            </w:r>
            <w:r w:rsidRPr="009F416E">
              <w:rPr>
                <w:rFonts w:eastAsia="MS Mincho" w:cstheme="minorHAnsi"/>
              </w:rPr>
              <w:t>sustained from w</w:t>
            </w:r>
            <w:r w:rsidR="00FC4A9B" w:rsidRPr="009F416E">
              <w:rPr>
                <w:rFonts w:eastAsia="MS Mincho" w:cstheme="minorHAnsi"/>
              </w:rPr>
              <w:t xml:space="preserve">eek </w:t>
            </w:r>
            <w:r w:rsidRPr="009F416E">
              <w:rPr>
                <w:rFonts w:eastAsia="MS Mincho" w:cstheme="minorHAnsi"/>
              </w:rPr>
              <w:t>2</w:t>
            </w:r>
            <w:r w:rsidR="00FC4A9B" w:rsidRPr="009F416E">
              <w:rPr>
                <w:rFonts w:eastAsia="MS Mincho" w:cstheme="minorHAnsi"/>
              </w:rPr>
              <w:t>.</w:t>
            </w:r>
          </w:p>
          <w:p w:rsidR="007C1031" w:rsidRPr="009F416E" w:rsidRDefault="00476E03" w:rsidP="00A71365">
            <w:pPr>
              <w:pStyle w:val="Tablewriting"/>
              <w:rPr>
                <w:rFonts w:eastAsia="MS Mincho" w:cstheme="minorHAnsi"/>
              </w:rPr>
            </w:pPr>
            <w:r w:rsidRPr="009F416E">
              <w:rPr>
                <w:rFonts w:eastAsia="MS Mincho" w:cstheme="minorHAnsi"/>
              </w:rPr>
              <w:t>Authors also report PP abstinence</w:t>
            </w:r>
            <w:r w:rsidR="00FC4A9B" w:rsidRPr="009F416E">
              <w:rPr>
                <w:rFonts w:eastAsia="MS Mincho" w:cstheme="minorHAnsi"/>
              </w:rPr>
              <w:t>.</w:t>
            </w:r>
          </w:p>
          <w:p w:rsidR="00FC4A9B" w:rsidRPr="009F416E" w:rsidRDefault="00FC4A9B" w:rsidP="00A71365">
            <w:pPr>
              <w:pStyle w:val="Tablewriting"/>
              <w:rPr>
                <w:rFonts w:eastAsia="MS Mincho" w:cstheme="minorHAnsi"/>
              </w:rPr>
            </w:pPr>
          </w:p>
          <w:p w:rsidR="00FC4A9B" w:rsidRPr="009F416E" w:rsidRDefault="00FC4A9B" w:rsidP="00A71365">
            <w:pPr>
              <w:pStyle w:val="Tablewriting"/>
              <w:rPr>
                <w:rFonts w:eastAsia="MS Mincho" w:cstheme="minorHAnsi"/>
              </w:rPr>
            </w:pPr>
            <w:r w:rsidRPr="009F416E">
              <w:rPr>
                <w:rFonts w:eastAsia="MS Mincho" w:cstheme="minorHAnsi"/>
              </w:rPr>
              <w:t>Validation: expired CO &lt; 10ppm at each clinic visit.</w:t>
            </w:r>
          </w:p>
          <w:p w:rsidR="00FC4A9B" w:rsidRPr="009F416E" w:rsidRDefault="00FC4A9B" w:rsidP="00A71365">
            <w:pPr>
              <w:pStyle w:val="Tablewriting"/>
              <w:rPr>
                <w:rFonts w:eastAsia="MS Mincho" w:cstheme="minorHAnsi"/>
              </w:rPr>
            </w:pPr>
          </w:p>
          <w:p w:rsidR="00201A49" w:rsidRPr="009F416E" w:rsidRDefault="007C1031" w:rsidP="00A71365">
            <w:pPr>
              <w:pStyle w:val="Tablewriting"/>
              <w:rPr>
                <w:rFonts w:eastAsia="MS Mincho" w:cstheme="minorHAnsi"/>
              </w:rPr>
            </w:pPr>
            <w:r w:rsidRPr="009F416E">
              <w:rPr>
                <w:rFonts w:eastAsia="MS Mincho" w:cstheme="minorHAnsi"/>
                <w:u w:val="single"/>
              </w:rPr>
              <w:t>Safety:</w:t>
            </w:r>
            <w:r w:rsidR="00FC4A9B" w:rsidRPr="009F416E">
              <w:rPr>
                <w:rFonts w:eastAsia="MS Mincho" w:cstheme="minorHAnsi"/>
                <w:u w:val="single"/>
              </w:rPr>
              <w:t xml:space="preserve"> </w:t>
            </w:r>
            <w:r w:rsidR="00FC4A9B" w:rsidRPr="009F416E">
              <w:rPr>
                <w:rFonts w:eastAsia="MS Mincho" w:cstheme="minorHAnsi"/>
              </w:rPr>
              <w:t>NR.</w:t>
            </w:r>
          </w:p>
        </w:tc>
      </w:tr>
      <w:tr w:rsidR="00201A49" w:rsidRPr="00017AE6" w:rsidTr="009F416E">
        <w:trPr>
          <w:trHeight w:val="99"/>
        </w:trPr>
        <w:tc>
          <w:tcPr>
            <w:tcW w:w="1004" w:type="pct"/>
            <w:shd w:val="clear" w:color="auto" w:fill="FFFFFF" w:themeFill="background1"/>
          </w:tcPr>
          <w:p w:rsidR="00201A49" w:rsidRPr="009F416E" w:rsidRDefault="007C5C6A" w:rsidP="00A71365">
            <w:pPr>
              <w:pStyle w:val="Tablewriting"/>
              <w:rPr>
                <w:rFonts w:eastAsia="MS Mincho"/>
              </w:rPr>
            </w:pPr>
            <w:r w:rsidRPr="009F416E">
              <w:rPr>
                <w:rFonts w:eastAsia="MS Mincho"/>
              </w:rPr>
              <w:t>Wong 1999</w:t>
            </w:r>
            <w:r w:rsidR="00D83DA0" w:rsidRPr="009F416E">
              <w:rPr>
                <w:rFonts w:eastAsia="MS Mincho"/>
              </w:rPr>
              <w:t>*</w:t>
            </w:r>
          </w:p>
        </w:tc>
        <w:tc>
          <w:tcPr>
            <w:tcW w:w="234" w:type="pct"/>
            <w:shd w:val="clear" w:color="auto" w:fill="FFFFFF" w:themeFill="background1"/>
          </w:tcPr>
          <w:p w:rsidR="00201A49" w:rsidRPr="009F416E" w:rsidRDefault="002F2B67" w:rsidP="00A71365">
            <w:pPr>
              <w:pStyle w:val="Tablewriting"/>
              <w:rPr>
                <w:rFonts w:eastAsia="MS Mincho" w:cstheme="minorHAnsi"/>
              </w:rPr>
            </w:pPr>
            <w:r w:rsidRPr="009F416E">
              <w:rPr>
                <w:rFonts w:eastAsia="MS Mincho" w:cstheme="minorHAnsi"/>
              </w:rPr>
              <w:t>RCT</w:t>
            </w:r>
          </w:p>
        </w:tc>
        <w:tc>
          <w:tcPr>
            <w:tcW w:w="412" w:type="pct"/>
            <w:shd w:val="clear" w:color="auto" w:fill="FFFFFF" w:themeFill="background1"/>
          </w:tcPr>
          <w:p w:rsidR="00201A49" w:rsidRPr="009F416E" w:rsidRDefault="002F2B67" w:rsidP="00A71365">
            <w:pPr>
              <w:pStyle w:val="Tablewriting"/>
              <w:rPr>
                <w:rFonts w:eastAsia="MS Mincho" w:cstheme="minorHAnsi"/>
              </w:rPr>
            </w:pPr>
            <w:r w:rsidRPr="009F416E">
              <w:rPr>
                <w:rFonts w:eastAsia="MS Mincho" w:cstheme="minorHAnsi"/>
              </w:rPr>
              <w:t>USA</w:t>
            </w:r>
          </w:p>
        </w:tc>
        <w:tc>
          <w:tcPr>
            <w:tcW w:w="289" w:type="pct"/>
            <w:shd w:val="clear" w:color="auto" w:fill="FFFFFF" w:themeFill="background1"/>
          </w:tcPr>
          <w:p w:rsidR="00201A49" w:rsidRPr="009F416E" w:rsidRDefault="007C1031" w:rsidP="00A71365">
            <w:pPr>
              <w:pStyle w:val="Tablewriting"/>
              <w:rPr>
                <w:rFonts w:eastAsia="MS Mincho" w:cstheme="minorHAnsi"/>
              </w:rPr>
            </w:pPr>
            <w:r w:rsidRPr="009F416E">
              <w:rPr>
                <w:rFonts w:eastAsia="MS Mincho" w:cstheme="minorHAnsi"/>
              </w:rPr>
              <w:t>N=</w:t>
            </w:r>
            <w:r w:rsidR="002F2B67" w:rsidRPr="009F416E">
              <w:rPr>
                <w:rFonts w:eastAsia="MS Mincho" w:cstheme="minorHAnsi"/>
              </w:rPr>
              <w:t>100</w:t>
            </w:r>
          </w:p>
        </w:tc>
        <w:tc>
          <w:tcPr>
            <w:tcW w:w="1046" w:type="pct"/>
            <w:shd w:val="clear" w:color="auto" w:fill="FFFFFF" w:themeFill="background1"/>
          </w:tcPr>
          <w:p w:rsidR="003823A2" w:rsidRPr="009F416E" w:rsidRDefault="002F2B67" w:rsidP="00A71365">
            <w:pPr>
              <w:pStyle w:val="Tablewriting"/>
              <w:rPr>
                <w:rFonts w:eastAsia="MS Mincho" w:cstheme="minorHAnsi"/>
              </w:rPr>
            </w:pPr>
            <w:r w:rsidRPr="009F416E">
              <w:rPr>
                <w:rFonts w:eastAsia="MS Mincho" w:cstheme="minorHAnsi"/>
              </w:rPr>
              <w:t>Smokers (&gt; 10 cigs/day for &gt; 1 year)</w:t>
            </w:r>
            <w:r w:rsidR="003823A2" w:rsidRPr="009F416E">
              <w:rPr>
                <w:rFonts w:eastAsia="MS Mincho" w:cstheme="minorHAnsi"/>
              </w:rPr>
              <w:t>.</w:t>
            </w:r>
          </w:p>
          <w:p w:rsidR="00201A49" w:rsidRPr="009F416E" w:rsidRDefault="002F2B67" w:rsidP="00A71365">
            <w:pPr>
              <w:pStyle w:val="Tablewriting"/>
              <w:rPr>
                <w:rFonts w:eastAsia="MS Mincho" w:cstheme="minorHAnsi"/>
              </w:rPr>
            </w:pPr>
            <w:r w:rsidRPr="009F416E">
              <w:rPr>
                <w:rFonts w:eastAsia="MS Mincho" w:cstheme="minorHAnsi"/>
              </w:rPr>
              <w:t>Av</w:t>
            </w:r>
            <w:r w:rsidR="003823A2" w:rsidRPr="009F416E">
              <w:rPr>
                <w:rFonts w:eastAsia="MS Mincho" w:cstheme="minorHAnsi"/>
              </w:rPr>
              <w:t>erage</w:t>
            </w:r>
            <w:r w:rsidRPr="009F416E">
              <w:rPr>
                <w:rFonts w:eastAsia="MS Mincho" w:cstheme="minorHAnsi"/>
              </w:rPr>
              <w:t xml:space="preserve"> age 42</w:t>
            </w:r>
            <w:r w:rsidR="00103518" w:rsidRPr="009F416E">
              <w:rPr>
                <w:rFonts w:eastAsia="MS Mincho" w:cstheme="minorHAnsi"/>
              </w:rPr>
              <w:t xml:space="preserve"> years</w:t>
            </w:r>
            <w:r w:rsidRPr="009F416E">
              <w:rPr>
                <w:rFonts w:eastAsia="MS Mincho" w:cstheme="minorHAnsi"/>
              </w:rPr>
              <w:t>, 53%</w:t>
            </w:r>
            <w:r w:rsidR="003823A2" w:rsidRPr="009F416E">
              <w:rPr>
                <w:rFonts w:eastAsia="MS Mincho" w:cstheme="minorHAnsi"/>
              </w:rPr>
              <w:t xml:space="preserve"> female</w:t>
            </w:r>
            <w:r w:rsidRPr="009F416E">
              <w:rPr>
                <w:rFonts w:eastAsia="MS Mincho" w:cstheme="minorHAnsi"/>
              </w:rPr>
              <w:t>, cigs/day 28</w:t>
            </w:r>
            <w:r w:rsidR="003823A2" w:rsidRPr="009F416E">
              <w:rPr>
                <w:rFonts w:eastAsia="MS Mincho" w:cstheme="minorHAnsi"/>
              </w:rPr>
              <w:t>.</w:t>
            </w:r>
          </w:p>
        </w:tc>
        <w:tc>
          <w:tcPr>
            <w:tcW w:w="1056" w:type="pct"/>
            <w:shd w:val="clear" w:color="auto" w:fill="FFFFFF" w:themeFill="background1"/>
          </w:tcPr>
          <w:p w:rsidR="008E077C" w:rsidRPr="009F416E" w:rsidRDefault="008E077C" w:rsidP="00C324F3">
            <w:pPr>
              <w:pStyle w:val="Tablewriting"/>
              <w:numPr>
                <w:ilvl w:val="0"/>
                <w:numId w:val="142"/>
              </w:numPr>
              <w:rPr>
                <w:rFonts w:eastAsia="MS Mincho" w:cstheme="minorHAnsi"/>
              </w:rPr>
            </w:pPr>
            <w:r w:rsidRPr="009F416E">
              <w:rPr>
                <w:rFonts w:eastAsia="MS Mincho" w:cstheme="minorHAnsi"/>
              </w:rPr>
              <w:t>Nicotine patch: 21 mg (24hr) for 8 weeks, tapering to 14 mg for 4 weeks.</w:t>
            </w:r>
          </w:p>
          <w:p w:rsidR="008E077C" w:rsidRPr="009F416E" w:rsidRDefault="008E077C" w:rsidP="00C324F3">
            <w:pPr>
              <w:pStyle w:val="Tablewriting"/>
              <w:numPr>
                <w:ilvl w:val="0"/>
                <w:numId w:val="142"/>
              </w:numPr>
              <w:rPr>
                <w:rFonts w:eastAsia="MS Mincho" w:cstheme="minorHAnsi"/>
              </w:rPr>
            </w:pPr>
            <w:r w:rsidRPr="009F416E">
              <w:rPr>
                <w:rFonts w:eastAsia="MS Mincho" w:cstheme="minorHAnsi"/>
              </w:rPr>
              <w:t>Naltrexone: 50 mg/day for 12 weeks.</w:t>
            </w:r>
          </w:p>
          <w:p w:rsidR="008E077C" w:rsidRPr="009F416E" w:rsidRDefault="008E077C" w:rsidP="00A71365">
            <w:pPr>
              <w:pStyle w:val="Tablewriting"/>
              <w:rPr>
                <w:rFonts w:eastAsia="MS Mincho" w:cstheme="minorHAnsi"/>
              </w:rPr>
            </w:pPr>
          </w:p>
          <w:p w:rsidR="008E077C" w:rsidRPr="009F416E" w:rsidRDefault="008E077C" w:rsidP="00A71365">
            <w:pPr>
              <w:pStyle w:val="Tablewriting"/>
              <w:rPr>
                <w:rFonts w:eastAsia="MS Mincho" w:cstheme="minorHAnsi"/>
              </w:rPr>
            </w:pPr>
            <w:r w:rsidRPr="009F416E">
              <w:rPr>
                <w:rFonts w:eastAsia="MS Mincho" w:cstheme="minorHAnsi"/>
              </w:rPr>
              <w:t>Factorial study of nicotine patch and naltrexone, No placebo patch.</w:t>
            </w:r>
          </w:p>
          <w:p w:rsidR="008E077C" w:rsidRPr="009F416E" w:rsidRDefault="008E077C" w:rsidP="00A71365">
            <w:pPr>
              <w:pStyle w:val="Tablewriting"/>
              <w:rPr>
                <w:rFonts w:eastAsia="MS Mincho" w:cstheme="minorHAnsi"/>
              </w:rPr>
            </w:pPr>
          </w:p>
          <w:p w:rsidR="00201A49" w:rsidRPr="009F416E" w:rsidRDefault="008E077C" w:rsidP="00A71365">
            <w:pPr>
              <w:pStyle w:val="Tablewriting"/>
              <w:rPr>
                <w:rFonts w:eastAsia="MS Mincho" w:cstheme="minorHAnsi"/>
              </w:rPr>
            </w:pPr>
            <w:r w:rsidRPr="009F416E">
              <w:rPr>
                <w:rFonts w:eastAsia="MS Mincho" w:cstheme="minorHAnsi"/>
              </w:rPr>
              <w:t>Level of support: High (individual counselling, 15-20 mins at 8 study visits).</w:t>
            </w:r>
          </w:p>
        </w:tc>
        <w:tc>
          <w:tcPr>
            <w:tcW w:w="959" w:type="pct"/>
            <w:shd w:val="clear" w:color="auto" w:fill="FFFFFF" w:themeFill="background1"/>
          </w:tcPr>
          <w:p w:rsidR="007C1031" w:rsidRPr="009F416E" w:rsidRDefault="007C1031" w:rsidP="00A71365">
            <w:pPr>
              <w:pStyle w:val="Tablewriting"/>
              <w:rPr>
                <w:rFonts w:eastAsia="MS Mincho" w:cstheme="minorHAnsi"/>
              </w:rPr>
            </w:pPr>
            <w:r w:rsidRPr="009F416E">
              <w:rPr>
                <w:rFonts w:eastAsia="MS Mincho" w:cstheme="minorHAnsi"/>
                <w:u w:val="single"/>
              </w:rPr>
              <w:t>Efficacy:</w:t>
            </w:r>
            <w:r w:rsidRPr="009F416E">
              <w:t xml:space="preserve"> </w:t>
            </w:r>
          </w:p>
          <w:p w:rsidR="0037565E" w:rsidRPr="009F416E" w:rsidRDefault="0037565E" w:rsidP="00A71365">
            <w:pPr>
              <w:pStyle w:val="Tablewriting"/>
              <w:rPr>
                <w:rFonts w:eastAsia="MS Mincho" w:cstheme="minorHAnsi"/>
              </w:rPr>
            </w:pPr>
            <w:r w:rsidRPr="009F416E">
              <w:rPr>
                <w:rFonts w:eastAsia="MS Mincho" w:cstheme="minorHAnsi"/>
              </w:rPr>
              <w:t>Continuous abstinence at 6 months.</w:t>
            </w:r>
          </w:p>
          <w:p w:rsidR="007C1031" w:rsidRPr="009F416E" w:rsidRDefault="0037565E" w:rsidP="00A71365">
            <w:pPr>
              <w:pStyle w:val="Tablewriting"/>
              <w:rPr>
                <w:rFonts w:eastAsia="MS Mincho" w:cstheme="minorHAnsi"/>
              </w:rPr>
            </w:pPr>
            <w:r w:rsidRPr="009F416E">
              <w:rPr>
                <w:rFonts w:eastAsia="MS Mincho" w:cstheme="minorHAnsi"/>
              </w:rPr>
              <w:t>Validation: CO &lt;= 8 ppm.</w:t>
            </w:r>
          </w:p>
          <w:p w:rsidR="007C1031" w:rsidRPr="009F416E" w:rsidRDefault="007C1031" w:rsidP="00A71365">
            <w:pPr>
              <w:pStyle w:val="Tablewriting"/>
              <w:rPr>
                <w:rFonts w:eastAsia="MS Mincho" w:cstheme="minorHAnsi"/>
              </w:rPr>
            </w:pPr>
            <w:r w:rsidRPr="009F416E">
              <w:rPr>
                <w:rFonts w:eastAsia="MS Mincho" w:cstheme="minorHAnsi"/>
                <w:u w:val="single"/>
              </w:rPr>
              <w:t>Safety:</w:t>
            </w:r>
            <w:r w:rsidR="0037565E" w:rsidRPr="009F416E">
              <w:rPr>
                <w:rFonts w:eastAsia="MS Mincho" w:cstheme="minorHAnsi"/>
                <w:u w:val="single"/>
              </w:rPr>
              <w:t xml:space="preserve"> </w:t>
            </w:r>
            <w:r w:rsidR="0037565E" w:rsidRPr="009F416E">
              <w:rPr>
                <w:rFonts w:eastAsia="MS Mincho" w:cstheme="minorHAnsi"/>
              </w:rPr>
              <w:t>NR.</w:t>
            </w:r>
          </w:p>
          <w:p w:rsidR="00201A49" w:rsidRPr="009F416E" w:rsidRDefault="00201A49" w:rsidP="00A71365">
            <w:pPr>
              <w:pStyle w:val="Tablewriting"/>
              <w:rPr>
                <w:rFonts w:eastAsia="MS Mincho" w:cstheme="minorHAnsi"/>
                <w:u w:val="single"/>
              </w:rPr>
            </w:pPr>
          </w:p>
        </w:tc>
      </w:tr>
      <w:tr w:rsidR="007C5C6A" w:rsidRPr="00017AE6" w:rsidTr="009F416E">
        <w:trPr>
          <w:trHeight w:val="99"/>
        </w:trPr>
        <w:tc>
          <w:tcPr>
            <w:tcW w:w="1004" w:type="pct"/>
            <w:shd w:val="clear" w:color="auto" w:fill="FFFFFF" w:themeFill="background1"/>
          </w:tcPr>
          <w:p w:rsidR="007C5C6A" w:rsidRPr="009F416E" w:rsidRDefault="007C5C6A" w:rsidP="00A71365">
            <w:pPr>
              <w:pStyle w:val="Tablewriting"/>
              <w:rPr>
                <w:rFonts w:eastAsia="MS Mincho"/>
              </w:rPr>
            </w:pPr>
            <w:r w:rsidRPr="009F416E">
              <w:rPr>
                <w:rFonts w:eastAsia="MS Mincho"/>
              </w:rPr>
              <w:t>Killen 1997</w:t>
            </w:r>
            <w:r w:rsidR="00D83DA0" w:rsidRPr="009F416E">
              <w:rPr>
                <w:rFonts w:eastAsia="MS Mincho"/>
              </w:rPr>
              <w:t>*</w:t>
            </w:r>
          </w:p>
        </w:tc>
        <w:tc>
          <w:tcPr>
            <w:tcW w:w="234" w:type="pct"/>
            <w:shd w:val="clear" w:color="auto" w:fill="FFFFFF" w:themeFill="background1"/>
          </w:tcPr>
          <w:p w:rsidR="007C5C6A" w:rsidRPr="009F416E" w:rsidRDefault="001C2E71" w:rsidP="00A71365">
            <w:pPr>
              <w:pStyle w:val="Tablewriting"/>
              <w:rPr>
                <w:rFonts w:eastAsia="MS Mincho" w:cstheme="minorHAnsi"/>
              </w:rPr>
            </w:pPr>
            <w:r w:rsidRPr="009F416E">
              <w:rPr>
                <w:rFonts w:eastAsia="MS Mincho" w:cstheme="minorHAnsi"/>
              </w:rPr>
              <w:t>RCT</w:t>
            </w:r>
          </w:p>
        </w:tc>
        <w:tc>
          <w:tcPr>
            <w:tcW w:w="412" w:type="pct"/>
            <w:shd w:val="clear" w:color="auto" w:fill="FFFFFF" w:themeFill="background1"/>
          </w:tcPr>
          <w:p w:rsidR="007C5C6A" w:rsidRPr="009F416E" w:rsidRDefault="00EB1328" w:rsidP="00A71365">
            <w:pPr>
              <w:pStyle w:val="Tablewriting"/>
              <w:rPr>
                <w:rFonts w:eastAsia="MS Mincho" w:cstheme="minorHAnsi"/>
              </w:rPr>
            </w:pPr>
            <w:r w:rsidRPr="009F416E">
              <w:rPr>
                <w:rFonts w:eastAsia="MS Mincho" w:cstheme="minorHAnsi"/>
              </w:rPr>
              <w:t>USA</w:t>
            </w:r>
          </w:p>
        </w:tc>
        <w:tc>
          <w:tcPr>
            <w:tcW w:w="289" w:type="pct"/>
            <w:shd w:val="clear" w:color="auto" w:fill="FFFFFF" w:themeFill="background1"/>
          </w:tcPr>
          <w:p w:rsidR="007C5C6A" w:rsidRPr="009F416E" w:rsidRDefault="007C1031" w:rsidP="00A71365">
            <w:pPr>
              <w:pStyle w:val="Tablewriting"/>
              <w:rPr>
                <w:rFonts w:eastAsia="MS Mincho" w:cstheme="minorHAnsi"/>
              </w:rPr>
            </w:pPr>
            <w:r w:rsidRPr="009F416E">
              <w:rPr>
                <w:rFonts w:eastAsia="MS Mincho" w:cstheme="minorHAnsi"/>
              </w:rPr>
              <w:t>N=</w:t>
            </w:r>
            <w:r w:rsidR="00EB1328" w:rsidRPr="009F416E">
              <w:rPr>
                <w:rFonts w:eastAsia="MS Mincho" w:cstheme="minorHAnsi"/>
              </w:rPr>
              <w:t>424</w:t>
            </w:r>
          </w:p>
        </w:tc>
        <w:tc>
          <w:tcPr>
            <w:tcW w:w="1046" w:type="pct"/>
            <w:shd w:val="clear" w:color="auto" w:fill="FFFFFF" w:themeFill="background1"/>
          </w:tcPr>
          <w:p w:rsidR="007C5C6A" w:rsidRPr="009F416E" w:rsidRDefault="00EB1328" w:rsidP="00A71365">
            <w:pPr>
              <w:pStyle w:val="Tablewriting"/>
              <w:rPr>
                <w:rFonts w:eastAsia="MS Mincho" w:cstheme="minorHAnsi"/>
              </w:rPr>
            </w:pPr>
            <w:r w:rsidRPr="009F416E">
              <w:rPr>
                <w:rFonts w:eastAsia="MS Mincho" w:cstheme="minorHAnsi"/>
              </w:rPr>
              <w:t>Not specified.</w:t>
            </w:r>
          </w:p>
        </w:tc>
        <w:tc>
          <w:tcPr>
            <w:tcW w:w="1056" w:type="pct"/>
            <w:shd w:val="clear" w:color="auto" w:fill="FFFFFF" w:themeFill="background1"/>
          </w:tcPr>
          <w:p w:rsidR="00217F42" w:rsidRPr="009F416E" w:rsidRDefault="00EB1328" w:rsidP="00C324F3">
            <w:pPr>
              <w:pStyle w:val="Tablewriting"/>
              <w:numPr>
                <w:ilvl w:val="0"/>
                <w:numId w:val="167"/>
              </w:numPr>
              <w:rPr>
                <w:rFonts w:eastAsia="MS Mincho" w:cstheme="minorHAnsi"/>
              </w:rPr>
            </w:pPr>
            <w:r w:rsidRPr="009F416E">
              <w:rPr>
                <w:rFonts w:eastAsia="MS Mincho" w:cstheme="minorHAnsi"/>
              </w:rPr>
              <w:t>Nicotine patch (21 mg/24hr) for 8</w:t>
            </w:r>
            <w:r w:rsidR="00217F42" w:rsidRPr="009F416E">
              <w:rPr>
                <w:rFonts w:eastAsia="MS Mincho" w:cstheme="minorHAnsi"/>
              </w:rPr>
              <w:t xml:space="preserve"> </w:t>
            </w:r>
            <w:r w:rsidRPr="009F416E">
              <w:rPr>
                <w:rFonts w:eastAsia="MS Mincho" w:cstheme="minorHAnsi"/>
              </w:rPr>
              <w:t>w</w:t>
            </w:r>
            <w:r w:rsidR="00217F42" w:rsidRPr="009F416E">
              <w:rPr>
                <w:rFonts w:eastAsia="MS Mincho" w:cstheme="minorHAnsi"/>
              </w:rPr>
              <w:t>eeks</w:t>
            </w:r>
            <w:r w:rsidRPr="009F416E">
              <w:rPr>
                <w:rFonts w:eastAsia="MS Mincho" w:cstheme="minorHAnsi"/>
              </w:rPr>
              <w:t>, 14 mg for 4</w:t>
            </w:r>
            <w:r w:rsidR="00217F42" w:rsidRPr="009F416E">
              <w:rPr>
                <w:rFonts w:eastAsia="MS Mincho" w:cstheme="minorHAnsi"/>
              </w:rPr>
              <w:t xml:space="preserve"> </w:t>
            </w:r>
            <w:r w:rsidRPr="009F416E">
              <w:rPr>
                <w:rFonts w:eastAsia="MS Mincho" w:cstheme="minorHAnsi"/>
              </w:rPr>
              <w:t>w</w:t>
            </w:r>
            <w:r w:rsidR="00217F42" w:rsidRPr="009F416E">
              <w:rPr>
                <w:rFonts w:eastAsia="MS Mincho" w:cstheme="minorHAnsi"/>
              </w:rPr>
              <w:t>eeks</w:t>
            </w:r>
            <w:r w:rsidRPr="009F416E">
              <w:rPr>
                <w:rFonts w:eastAsia="MS Mincho" w:cstheme="minorHAnsi"/>
              </w:rPr>
              <w:t>, 7 mg for 4</w:t>
            </w:r>
            <w:r w:rsidR="00217F42" w:rsidRPr="009F416E">
              <w:rPr>
                <w:rFonts w:eastAsia="MS Mincho" w:cstheme="minorHAnsi"/>
              </w:rPr>
              <w:t xml:space="preserve"> </w:t>
            </w:r>
            <w:r w:rsidRPr="009F416E">
              <w:rPr>
                <w:rFonts w:eastAsia="MS Mincho" w:cstheme="minorHAnsi"/>
              </w:rPr>
              <w:t>w</w:t>
            </w:r>
            <w:r w:rsidR="00217F42" w:rsidRPr="009F416E">
              <w:rPr>
                <w:rFonts w:eastAsia="MS Mincho" w:cstheme="minorHAnsi"/>
              </w:rPr>
              <w:t>eeks.</w:t>
            </w:r>
          </w:p>
          <w:p w:rsidR="00217F42" w:rsidRPr="009F416E" w:rsidRDefault="00EB1328" w:rsidP="00C324F3">
            <w:pPr>
              <w:pStyle w:val="Tablewriting"/>
              <w:numPr>
                <w:ilvl w:val="0"/>
                <w:numId w:val="167"/>
              </w:numPr>
              <w:rPr>
                <w:rFonts w:eastAsia="MS Mincho" w:cstheme="minorHAnsi"/>
              </w:rPr>
            </w:pPr>
            <w:r w:rsidRPr="009F416E">
              <w:rPr>
                <w:rFonts w:eastAsia="MS Mincho" w:cstheme="minorHAnsi"/>
              </w:rPr>
              <w:t>Placebo patch</w:t>
            </w:r>
            <w:r w:rsidR="00217F42" w:rsidRPr="009F416E">
              <w:rPr>
                <w:rFonts w:eastAsia="MS Mincho" w:cstheme="minorHAnsi"/>
              </w:rPr>
              <w:t>.</w:t>
            </w:r>
          </w:p>
          <w:p w:rsidR="00217F42" w:rsidRPr="009F416E" w:rsidRDefault="00EB1328" w:rsidP="00C324F3">
            <w:pPr>
              <w:pStyle w:val="Tablewriting"/>
              <w:numPr>
                <w:ilvl w:val="0"/>
                <w:numId w:val="167"/>
              </w:numPr>
              <w:rPr>
                <w:rFonts w:eastAsia="MS Mincho" w:cstheme="minorHAnsi"/>
              </w:rPr>
            </w:pPr>
            <w:r w:rsidRPr="009F416E">
              <w:rPr>
                <w:rFonts w:eastAsia="MS Mincho" w:cstheme="minorHAnsi"/>
              </w:rPr>
              <w:t>Nicotine patch and video (The video was shown at initial visit and a copy supplied for home use)</w:t>
            </w:r>
            <w:r w:rsidR="00217F42" w:rsidRPr="009F416E">
              <w:rPr>
                <w:rFonts w:eastAsia="MS Mincho" w:cstheme="minorHAnsi"/>
              </w:rPr>
              <w:t>.</w:t>
            </w:r>
          </w:p>
          <w:p w:rsidR="00EB1328" w:rsidRPr="009F416E" w:rsidRDefault="00EB1328" w:rsidP="00C324F3">
            <w:pPr>
              <w:pStyle w:val="Tablewriting"/>
              <w:numPr>
                <w:ilvl w:val="0"/>
                <w:numId w:val="167"/>
              </w:numPr>
              <w:rPr>
                <w:rFonts w:eastAsia="MS Mincho" w:cstheme="minorHAnsi"/>
              </w:rPr>
            </w:pPr>
            <w:r w:rsidRPr="009F416E">
              <w:rPr>
                <w:rFonts w:eastAsia="MS Mincho" w:cstheme="minorHAnsi"/>
              </w:rPr>
              <w:t>Placebo patch and video</w:t>
            </w:r>
          </w:p>
          <w:p w:rsidR="00CE3B7C" w:rsidRPr="009F416E" w:rsidRDefault="00CE3B7C" w:rsidP="00A71365">
            <w:pPr>
              <w:pStyle w:val="Tablewriting"/>
              <w:rPr>
                <w:rFonts w:eastAsia="MS Mincho" w:cstheme="minorHAnsi"/>
              </w:rPr>
            </w:pPr>
          </w:p>
          <w:p w:rsidR="007C5C6A" w:rsidRPr="009F416E" w:rsidRDefault="00EB1328" w:rsidP="00A71365">
            <w:pPr>
              <w:pStyle w:val="Tablewriting"/>
              <w:rPr>
                <w:rFonts w:eastAsia="MS Mincho" w:cstheme="minorHAnsi"/>
              </w:rPr>
            </w:pPr>
            <w:r w:rsidRPr="009F416E">
              <w:rPr>
                <w:rFonts w:eastAsia="MS Mincho" w:cstheme="minorHAnsi"/>
              </w:rPr>
              <w:t xml:space="preserve">Level of support: low (All treatment groups received a </w:t>
            </w:r>
            <w:r w:rsidR="00217F42" w:rsidRPr="009F416E">
              <w:rPr>
                <w:rFonts w:eastAsia="MS Mincho" w:cstheme="minorHAnsi"/>
              </w:rPr>
              <w:t>self-help</w:t>
            </w:r>
            <w:r w:rsidRPr="009F416E">
              <w:rPr>
                <w:rFonts w:eastAsia="MS Mincho" w:cstheme="minorHAnsi"/>
              </w:rPr>
              <w:t xml:space="preserve"> treatment</w:t>
            </w:r>
            <w:r w:rsidR="00217F42" w:rsidRPr="009F416E">
              <w:rPr>
                <w:rFonts w:eastAsia="MS Mincho" w:cstheme="minorHAnsi"/>
              </w:rPr>
              <w:t xml:space="preserve"> </w:t>
            </w:r>
            <w:r w:rsidRPr="009F416E">
              <w:rPr>
                <w:rFonts w:eastAsia="MS Mincho" w:cstheme="minorHAnsi"/>
              </w:rPr>
              <w:t>manual designed to</w:t>
            </w:r>
            <w:r w:rsidR="00217F42" w:rsidRPr="009F416E">
              <w:rPr>
                <w:rFonts w:eastAsia="MS Mincho" w:cstheme="minorHAnsi"/>
              </w:rPr>
              <w:t xml:space="preserve"> </w:t>
            </w:r>
            <w:r w:rsidRPr="009F416E">
              <w:rPr>
                <w:rFonts w:eastAsia="MS Mincho" w:cstheme="minorHAnsi"/>
              </w:rPr>
              <w:t>develop</w:t>
            </w:r>
            <w:r w:rsidR="00217F42" w:rsidRPr="009F416E">
              <w:rPr>
                <w:rFonts w:eastAsia="MS Mincho" w:cstheme="minorHAnsi"/>
              </w:rPr>
              <w:t xml:space="preserve"> self-regulatory </w:t>
            </w:r>
            <w:r w:rsidRPr="009F416E">
              <w:rPr>
                <w:rFonts w:eastAsia="MS Mincho" w:cstheme="minorHAnsi"/>
              </w:rPr>
              <w:t>skills.</w:t>
            </w:r>
          </w:p>
        </w:tc>
        <w:tc>
          <w:tcPr>
            <w:tcW w:w="959" w:type="pct"/>
            <w:shd w:val="clear" w:color="auto" w:fill="FFFFFF" w:themeFill="background1"/>
          </w:tcPr>
          <w:p w:rsidR="007C1031" w:rsidRPr="009F416E" w:rsidRDefault="007C1031" w:rsidP="00A71365">
            <w:pPr>
              <w:pStyle w:val="Tablewriting"/>
              <w:rPr>
                <w:rFonts w:eastAsia="MS Mincho" w:cstheme="minorHAnsi"/>
              </w:rPr>
            </w:pPr>
            <w:r w:rsidRPr="009F416E">
              <w:rPr>
                <w:rFonts w:eastAsia="MS Mincho" w:cstheme="minorHAnsi"/>
                <w:u w:val="single"/>
              </w:rPr>
              <w:t>Efficacy:</w:t>
            </w:r>
            <w:r w:rsidRPr="009F416E">
              <w:t xml:space="preserve"> </w:t>
            </w:r>
          </w:p>
          <w:p w:rsidR="00E41DF2" w:rsidRPr="009F416E" w:rsidRDefault="00E41DF2" w:rsidP="00A71365">
            <w:pPr>
              <w:pStyle w:val="Tablewriting"/>
              <w:rPr>
                <w:rFonts w:eastAsia="MS Mincho" w:cstheme="minorHAnsi"/>
              </w:rPr>
            </w:pPr>
          </w:p>
          <w:p w:rsidR="00E41DF2" w:rsidRPr="009F416E" w:rsidRDefault="00E41DF2" w:rsidP="00A71365">
            <w:pPr>
              <w:pStyle w:val="Tablewriting"/>
              <w:rPr>
                <w:rFonts w:eastAsia="MS Mincho" w:cstheme="minorHAnsi"/>
              </w:rPr>
            </w:pPr>
            <w:r w:rsidRPr="009F416E">
              <w:rPr>
                <w:rFonts w:eastAsia="MS Mincho" w:cstheme="minorHAnsi"/>
              </w:rPr>
              <w:t>Sustained abstinence at 12-month (7</w:t>
            </w:r>
            <w:r w:rsidR="00C87376" w:rsidRPr="009F416E">
              <w:rPr>
                <w:rFonts w:eastAsia="MS Mincho" w:cstheme="minorHAnsi"/>
              </w:rPr>
              <w:t>-</w:t>
            </w:r>
            <w:r w:rsidRPr="009F416E">
              <w:rPr>
                <w:rFonts w:eastAsia="MS Mincho" w:cstheme="minorHAnsi"/>
              </w:rPr>
              <w:t>day PP at 6 and 12 months).</w:t>
            </w:r>
          </w:p>
          <w:p w:rsidR="00E41DF2" w:rsidRPr="009F416E" w:rsidRDefault="00E41DF2" w:rsidP="00A71365">
            <w:pPr>
              <w:pStyle w:val="Tablewriting"/>
              <w:rPr>
                <w:rFonts w:eastAsia="MS Mincho" w:cstheme="minorHAnsi"/>
              </w:rPr>
            </w:pPr>
          </w:p>
          <w:p w:rsidR="003F58CB" w:rsidRPr="009F416E" w:rsidRDefault="00E41DF2" w:rsidP="00A71365">
            <w:pPr>
              <w:pStyle w:val="Tablewriting"/>
              <w:rPr>
                <w:rFonts w:eastAsia="MS Mincho" w:cstheme="minorHAnsi"/>
              </w:rPr>
            </w:pPr>
            <w:r w:rsidRPr="009F416E">
              <w:rPr>
                <w:rFonts w:eastAsia="MS Mincho" w:cstheme="minorHAnsi"/>
              </w:rPr>
              <w:t>Validation: saliva cotinine &lt; 20ng/ml with the exception of participants living outside the area</w:t>
            </w:r>
            <w:r w:rsidR="003F58CB" w:rsidRPr="009F416E">
              <w:rPr>
                <w:rFonts w:eastAsia="MS Mincho" w:cstheme="minorHAnsi"/>
              </w:rPr>
              <w:t>.</w:t>
            </w:r>
          </w:p>
          <w:p w:rsidR="003F58CB" w:rsidRPr="009F416E" w:rsidRDefault="003F58CB" w:rsidP="00A71365">
            <w:pPr>
              <w:pStyle w:val="Tablewriting"/>
              <w:rPr>
                <w:rFonts w:eastAsia="MS Mincho" w:cstheme="minorHAnsi"/>
              </w:rPr>
            </w:pPr>
          </w:p>
          <w:p w:rsidR="007C1031" w:rsidRPr="009F416E" w:rsidRDefault="007C1031" w:rsidP="00A71365">
            <w:pPr>
              <w:pStyle w:val="Tablewriting"/>
              <w:rPr>
                <w:rFonts w:eastAsia="MS Mincho" w:cstheme="minorHAnsi"/>
              </w:rPr>
            </w:pPr>
            <w:r w:rsidRPr="009F416E">
              <w:rPr>
                <w:rFonts w:eastAsia="MS Mincho" w:cstheme="minorHAnsi"/>
                <w:u w:val="single"/>
              </w:rPr>
              <w:t>Safety:</w:t>
            </w:r>
            <w:r w:rsidR="003F58CB" w:rsidRPr="009F416E">
              <w:rPr>
                <w:rFonts w:eastAsia="MS Mincho" w:cstheme="minorHAnsi"/>
                <w:u w:val="single"/>
              </w:rPr>
              <w:t xml:space="preserve"> </w:t>
            </w:r>
            <w:r w:rsidR="003F58CB" w:rsidRPr="009F416E">
              <w:rPr>
                <w:rFonts w:eastAsia="MS Mincho" w:cstheme="minorHAnsi"/>
              </w:rPr>
              <w:t>NR.</w:t>
            </w:r>
          </w:p>
          <w:p w:rsidR="007C5C6A" w:rsidRPr="009F416E" w:rsidRDefault="007C5C6A" w:rsidP="00A71365">
            <w:pPr>
              <w:pStyle w:val="Tablewriting"/>
              <w:rPr>
                <w:rFonts w:eastAsia="MS Mincho" w:cstheme="minorHAnsi"/>
                <w:u w:val="single"/>
              </w:rPr>
            </w:pPr>
          </w:p>
        </w:tc>
      </w:tr>
    </w:tbl>
    <w:p w:rsidR="00526EC3" w:rsidRPr="00B21D80" w:rsidRDefault="00526EC3" w:rsidP="00526EC3">
      <w:pPr>
        <w:pStyle w:val="TableFooter"/>
        <w:keepNext/>
      </w:pPr>
      <w:r>
        <w:lastRenderedPageBreak/>
        <w:t xml:space="preserve">Source: </w:t>
      </w:r>
      <w:r w:rsidRPr="007032F7">
        <w:t>H</w:t>
      </w:r>
      <w:r>
        <w:t xml:space="preserve">artmann-Boyce </w:t>
      </w:r>
      <w:r w:rsidRPr="007032F7">
        <w:t>et al. (20</w:t>
      </w:r>
      <w:r>
        <w:t>18).</w:t>
      </w:r>
    </w:p>
    <w:p w:rsidR="00C87376" w:rsidRPr="00FC4F81" w:rsidRDefault="00C87376" w:rsidP="00C87376">
      <w:pPr>
        <w:pStyle w:val="TableFooter"/>
        <w:keepNext/>
      </w:pPr>
      <w:r>
        <w:t xml:space="preserve">Abbreviations: NR= not reported; </w:t>
      </w:r>
      <w:r w:rsidRPr="009B042A">
        <w:t xml:space="preserve">PPA= point prevalence smoking abstinence; </w:t>
      </w:r>
      <w:r>
        <w:t xml:space="preserve">CA= continuous abstinence;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xml:space="preserve">; CBT= cognitive behavioural therapy; AEs= adverse events; SAEs= serious adverse events. </w:t>
      </w:r>
    </w:p>
    <w:p w:rsidR="00C3700A" w:rsidRPr="008C11B5" w:rsidRDefault="00B21D80" w:rsidP="008C11B5">
      <w:pPr>
        <w:pStyle w:val="TableFooter"/>
        <w:keepNext/>
      </w:pPr>
      <w:r>
        <w:t>Notes:</w:t>
      </w:r>
      <w:r w:rsidR="00743527">
        <w:t xml:space="preserve"> </w:t>
      </w:r>
      <w:r w:rsidR="008846EB">
        <w:rPr>
          <w:noProof/>
          <w:color w:val="000000"/>
          <w:highlight w:val="black"/>
        </w:rPr>
        <w:t>'''''''''''''''''' ''''''''' '''''''''''''''''''''''''''''''' '''' ''''' '''''''''''' '''''''''' ''''''''''''''''' '''''''''''''''''' '''''''''''''''' '''' '''''''''' '''' '''' ''''''''''''</w:t>
      </w:r>
    </w:p>
    <w:p w:rsidR="00C3700A" w:rsidRDefault="00C3700A" w:rsidP="00C3700A">
      <w:pPr>
        <w:pStyle w:val="Caption"/>
        <w:keepNext/>
      </w:pPr>
      <w:bookmarkStart w:id="378" w:name="_Ref54359449"/>
      <w:r>
        <w:t xml:space="preserve">Table </w:t>
      </w:r>
      <w:r w:rsidR="003C4A1C">
        <w:rPr>
          <w:noProof/>
        </w:rPr>
        <w:t>149</w:t>
      </w:r>
      <w:bookmarkEnd w:id="378"/>
      <w:r>
        <w:t xml:space="preserve">: </w:t>
      </w:r>
      <w:r w:rsidRPr="00342BE8">
        <w:t xml:space="preserve">Characteristics of studies included in </w:t>
      </w:r>
      <w:r>
        <w:t>Cahill</w:t>
      </w:r>
      <w:r w:rsidRPr="00342BE8">
        <w:t xml:space="preserve"> et al. (201</w:t>
      </w:r>
      <w:r>
        <w:t>6</w:t>
      </w:r>
      <w:r w:rsidRPr="00342BE8">
        <w:t xml:space="preserve">), NRT patch versus </w:t>
      </w:r>
      <w:r>
        <w:t>varenicline</w:t>
      </w:r>
    </w:p>
    <w:tbl>
      <w:tblPr>
        <w:tblStyle w:val="TableGrid"/>
        <w:tblW w:w="5270" w:type="pct"/>
        <w:tblLook w:val="04A0" w:firstRow="1" w:lastRow="0" w:firstColumn="1" w:lastColumn="0" w:noHBand="0" w:noVBand="1"/>
        <w:tblCaption w:val="Efficacy results of adalimumab trials (PASI 75 and DLQI)"/>
      </w:tblPr>
      <w:tblGrid>
        <w:gridCol w:w="1208"/>
        <w:gridCol w:w="690"/>
        <w:gridCol w:w="1266"/>
        <w:gridCol w:w="1995"/>
        <w:gridCol w:w="3622"/>
        <w:gridCol w:w="3099"/>
        <w:gridCol w:w="2821"/>
      </w:tblGrid>
      <w:tr w:rsidR="00C3700A" w:rsidRPr="00061F78" w:rsidTr="005012C6">
        <w:trPr>
          <w:trHeight w:val="299"/>
          <w:tblHeader/>
        </w:trPr>
        <w:tc>
          <w:tcPr>
            <w:tcW w:w="412" w:type="pct"/>
            <w:shd w:val="clear" w:color="auto" w:fill="BFBFBF" w:themeFill="background1" w:themeFillShade="BF"/>
            <w:tcMar>
              <w:left w:w="28" w:type="dxa"/>
              <w:right w:w="28" w:type="dxa"/>
            </w:tcMar>
          </w:tcPr>
          <w:p w:rsidR="00C3700A" w:rsidRPr="00061F78" w:rsidRDefault="00126B7B" w:rsidP="00A71365">
            <w:pPr>
              <w:pStyle w:val="Tableheading"/>
              <w:rPr>
                <w:rFonts w:eastAsia="MS Mincho"/>
              </w:rPr>
            </w:pPr>
            <w:r>
              <w:rPr>
                <w:rFonts w:eastAsia="MS Mincho"/>
              </w:rPr>
              <w:t>Study</w:t>
            </w:r>
          </w:p>
        </w:tc>
        <w:tc>
          <w:tcPr>
            <w:tcW w:w="234" w:type="pct"/>
            <w:shd w:val="clear" w:color="auto" w:fill="BFBFBF" w:themeFill="background1" w:themeFillShade="BF"/>
          </w:tcPr>
          <w:p w:rsidR="00C3700A" w:rsidRDefault="00C3700A" w:rsidP="00A71365">
            <w:pPr>
              <w:pStyle w:val="Tableheading"/>
              <w:jc w:val="center"/>
              <w:rPr>
                <w:rFonts w:eastAsia="MS Mincho"/>
              </w:rPr>
            </w:pPr>
            <w:r>
              <w:rPr>
                <w:rFonts w:eastAsia="MS Mincho"/>
              </w:rPr>
              <w:t>Study type</w:t>
            </w:r>
          </w:p>
        </w:tc>
        <w:tc>
          <w:tcPr>
            <w:tcW w:w="429" w:type="pct"/>
            <w:shd w:val="clear" w:color="auto" w:fill="BFBFBF" w:themeFill="background1" w:themeFillShade="BF"/>
          </w:tcPr>
          <w:p w:rsidR="00C3700A" w:rsidRDefault="00C3700A" w:rsidP="00A71365">
            <w:pPr>
              <w:pStyle w:val="Tableheading"/>
              <w:jc w:val="center"/>
              <w:rPr>
                <w:rFonts w:eastAsia="MS Mincho"/>
              </w:rPr>
            </w:pPr>
            <w:r>
              <w:rPr>
                <w:rFonts w:eastAsia="MS Mincho"/>
              </w:rPr>
              <w:t>Countries</w:t>
            </w:r>
          </w:p>
        </w:tc>
        <w:tc>
          <w:tcPr>
            <w:tcW w:w="676" w:type="pct"/>
            <w:shd w:val="clear" w:color="auto" w:fill="BFBFBF" w:themeFill="background1" w:themeFillShade="BF"/>
            <w:tcMar>
              <w:left w:w="28" w:type="dxa"/>
              <w:right w:w="28" w:type="dxa"/>
            </w:tcMar>
          </w:tcPr>
          <w:p w:rsidR="00C3700A" w:rsidRPr="00061F78" w:rsidRDefault="00C3700A" w:rsidP="00A71365">
            <w:pPr>
              <w:pStyle w:val="Tableheading"/>
              <w:jc w:val="center"/>
              <w:rPr>
                <w:rFonts w:eastAsia="MS Mincho"/>
              </w:rPr>
            </w:pPr>
            <w:r>
              <w:rPr>
                <w:rFonts w:eastAsia="MS Mincho"/>
              </w:rPr>
              <w:t>N</w:t>
            </w:r>
          </w:p>
        </w:tc>
        <w:tc>
          <w:tcPr>
            <w:tcW w:w="1233" w:type="pct"/>
            <w:shd w:val="clear" w:color="auto" w:fill="BFBFBF" w:themeFill="background1" w:themeFillShade="BF"/>
            <w:tcMar>
              <w:left w:w="28" w:type="dxa"/>
              <w:right w:w="28" w:type="dxa"/>
            </w:tcMar>
          </w:tcPr>
          <w:p w:rsidR="00C3700A" w:rsidRPr="00061F78" w:rsidRDefault="00C3700A" w:rsidP="00A71365">
            <w:pPr>
              <w:pStyle w:val="Tableheading"/>
              <w:jc w:val="center"/>
              <w:rPr>
                <w:rFonts w:eastAsia="MS Mincho"/>
              </w:rPr>
            </w:pPr>
            <w:r w:rsidRPr="00061F78">
              <w:rPr>
                <w:rFonts w:eastAsia="MS Mincho"/>
              </w:rPr>
              <w:t>P</w:t>
            </w:r>
            <w:r>
              <w:rPr>
                <w:rFonts w:eastAsia="MS Mincho"/>
              </w:rPr>
              <w:t>opulation</w:t>
            </w:r>
          </w:p>
        </w:tc>
        <w:tc>
          <w:tcPr>
            <w:tcW w:w="1055" w:type="pct"/>
            <w:shd w:val="clear" w:color="auto" w:fill="BFBFBF" w:themeFill="background1" w:themeFillShade="BF"/>
          </w:tcPr>
          <w:p w:rsidR="00C3700A" w:rsidRDefault="00C3700A" w:rsidP="00A71365">
            <w:pPr>
              <w:pStyle w:val="Tableheading"/>
              <w:jc w:val="center"/>
              <w:rPr>
                <w:rFonts w:eastAsia="MS Mincho"/>
              </w:rPr>
            </w:pPr>
            <w:r>
              <w:rPr>
                <w:rFonts w:eastAsia="MS Mincho"/>
              </w:rPr>
              <w:t>Intervention and comparator</w:t>
            </w:r>
          </w:p>
        </w:tc>
        <w:tc>
          <w:tcPr>
            <w:tcW w:w="960" w:type="pct"/>
            <w:shd w:val="clear" w:color="auto" w:fill="BFBFBF" w:themeFill="background1" w:themeFillShade="BF"/>
            <w:tcMar>
              <w:left w:w="28" w:type="dxa"/>
              <w:right w:w="28" w:type="dxa"/>
            </w:tcMar>
          </w:tcPr>
          <w:p w:rsidR="00C3700A" w:rsidRPr="00061F78" w:rsidRDefault="00C3700A" w:rsidP="00A71365">
            <w:pPr>
              <w:pStyle w:val="Tableheading"/>
              <w:jc w:val="center"/>
              <w:rPr>
                <w:rFonts w:eastAsia="MS Mincho"/>
              </w:rPr>
            </w:pPr>
            <w:r>
              <w:rPr>
                <w:rFonts w:eastAsia="MS Mincho"/>
              </w:rPr>
              <w:t>Outcomes</w:t>
            </w:r>
          </w:p>
        </w:tc>
      </w:tr>
      <w:tr w:rsidR="00C3700A" w:rsidRPr="00017AE6" w:rsidTr="005012C6">
        <w:trPr>
          <w:trHeight w:val="99"/>
        </w:trPr>
        <w:tc>
          <w:tcPr>
            <w:tcW w:w="412" w:type="pct"/>
          </w:tcPr>
          <w:p w:rsidR="00C3700A" w:rsidRPr="00017AE6" w:rsidRDefault="00A17D53" w:rsidP="00A71365">
            <w:pPr>
              <w:pStyle w:val="Tablewriting"/>
              <w:rPr>
                <w:rFonts w:eastAsia="MS Mincho" w:cstheme="minorHAnsi"/>
              </w:rPr>
            </w:pPr>
            <w:r w:rsidRPr="0011061B">
              <w:rPr>
                <w:rFonts w:eastAsia="MS Mincho" w:cstheme="minorHAnsi"/>
                <w:lang w:val="en-GB"/>
              </w:rPr>
              <w:t xml:space="preserve">Aubin </w:t>
            </w:r>
            <w:r w:rsidR="00FA40D7">
              <w:rPr>
                <w:rFonts w:eastAsia="MS Mincho" w:cstheme="minorHAnsi"/>
                <w:lang w:val="en-GB"/>
              </w:rPr>
              <w:t>(</w:t>
            </w:r>
            <w:r w:rsidRPr="0011061B">
              <w:rPr>
                <w:rFonts w:eastAsia="MS Mincho" w:cstheme="minorHAnsi"/>
                <w:lang w:val="en-GB"/>
              </w:rPr>
              <w:t>2008</w:t>
            </w:r>
            <w:r w:rsidR="00FA40D7">
              <w:rPr>
                <w:rFonts w:eastAsia="MS Mincho" w:cstheme="minorHAnsi"/>
                <w:lang w:val="en-GB"/>
              </w:rPr>
              <w:t>)</w:t>
            </w:r>
          </w:p>
        </w:tc>
        <w:tc>
          <w:tcPr>
            <w:tcW w:w="234" w:type="pct"/>
          </w:tcPr>
          <w:p w:rsidR="00C3700A" w:rsidRPr="00017AE6" w:rsidRDefault="00C7782E" w:rsidP="00A71365">
            <w:pPr>
              <w:pStyle w:val="Tablewriting"/>
              <w:rPr>
                <w:rFonts w:eastAsia="MS Mincho" w:cstheme="minorHAnsi"/>
              </w:rPr>
            </w:pPr>
            <w:r>
              <w:rPr>
                <w:rFonts w:eastAsia="MS Mincho" w:cstheme="minorHAnsi"/>
              </w:rPr>
              <w:t>RCT</w:t>
            </w:r>
          </w:p>
        </w:tc>
        <w:tc>
          <w:tcPr>
            <w:tcW w:w="429" w:type="pct"/>
          </w:tcPr>
          <w:p w:rsidR="00C3700A" w:rsidRPr="00017AE6" w:rsidRDefault="00C7782E" w:rsidP="00A71365">
            <w:pPr>
              <w:pStyle w:val="Tablewriting"/>
              <w:rPr>
                <w:rFonts w:eastAsia="MS Mincho" w:cstheme="minorHAnsi"/>
              </w:rPr>
            </w:pPr>
            <w:r w:rsidRPr="00C7782E">
              <w:rPr>
                <w:rFonts w:eastAsia="MS Mincho" w:cstheme="minorHAnsi"/>
              </w:rPr>
              <w:t>Belgium, France, Netherlands, UK, USA</w:t>
            </w:r>
          </w:p>
        </w:tc>
        <w:tc>
          <w:tcPr>
            <w:tcW w:w="676" w:type="pct"/>
          </w:tcPr>
          <w:p w:rsidR="00C3700A" w:rsidRPr="00017AE6" w:rsidRDefault="00217E87" w:rsidP="00A71365">
            <w:pPr>
              <w:pStyle w:val="Tablewriting"/>
              <w:rPr>
                <w:rFonts w:eastAsia="MS Mincho" w:cstheme="minorHAnsi"/>
              </w:rPr>
            </w:pPr>
            <w:r>
              <w:rPr>
                <w:rFonts w:eastAsia="MS Mincho" w:cstheme="minorHAnsi"/>
              </w:rPr>
              <w:t>N=</w:t>
            </w:r>
            <w:r w:rsidR="00576F0B">
              <w:rPr>
                <w:rFonts w:eastAsia="MS Mincho" w:cstheme="minorHAnsi"/>
              </w:rPr>
              <w:t>757</w:t>
            </w:r>
          </w:p>
        </w:tc>
        <w:tc>
          <w:tcPr>
            <w:tcW w:w="1233" w:type="pct"/>
          </w:tcPr>
          <w:p w:rsidR="007949B4" w:rsidRDefault="000737B9" w:rsidP="00A71365">
            <w:pPr>
              <w:pStyle w:val="Tablewriting"/>
              <w:rPr>
                <w:rFonts w:eastAsia="MS Mincho" w:cstheme="minorHAnsi"/>
              </w:rPr>
            </w:pPr>
            <w:r w:rsidRPr="000737B9">
              <w:rPr>
                <w:rFonts w:eastAsia="MS Mincho" w:cstheme="minorHAnsi"/>
              </w:rPr>
              <w:t>Healthy adults, recruited from smoking cessation clinics or by local advertising, aged 18 - 75, weight &gt;</w:t>
            </w:r>
            <w:r>
              <w:rPr>
                <w:rFonts w:eastAsia="MS Mincho" w:cstheme="minorHAnsi"/>
              </w:rPr>
              <w:t xml:space="preserve"> </w:t>
            </w:r>
            <w:r w:rsidRPr="000737B9">
              <w:rPr>
                <w:rFonts w:eastAsia="MS Mincho" w:cstheme="minorHAnsi"/>
              </w:rPr>
              <w:t>45.5 kg, BMI 15 - 38, smoking p 15 CPD. Varenicline arm 378, NRT arm 379. Mean age 42.9, 49.2% men,</w:t>
            </w:r>
            <w:r w:rsidR="007949B4">
              <w:rPr>
                <w:rFonts w:eastAsia="MS Mincho" w:cstheme="minorHAnsi"/>
              </w:rPr>
              <w:t xml:space="preserve"> </w:t>
            </w:r>
            <w:r w:rsidRPr="000737B9">
              <w:rPr>
                <w:rFonts w:eastAsia="MS Mincho" w:cstheme="minorHAnsi"/>
              </w:rPr>
              <w:t xml:space="preserve">93% white. </w:t>
            </w:r>
          </w:p>
          <w:p w:rsidR="007949B4" w:rsidRDefault="007949B4" w:rsidP="00A71365">
            <w:pPr>
              <w:pStyle w:val="Tablewriting"/>
              <w:rPr>
                <w:rFonts w:eastAsia="MS Mincho" w:cstheme="minorHAnsi"/>
              </w:rPr>
            </w:pPr>
          </w:p>
          <w:p w:rsidR="000737B9" w:rsidRPr="000737B9" w:rsidRDefault="000737B9" w:rsidP="00A71365">
            <w:pPr>
              <w:pStyle w:val="Tablewriting"/>
              <w:rPr>
                <w:rFonts w:eastAsia="MS Mincho" w:cstheme="minorHAnsi"/>
              </w:rPr>
            </w:pPr>
            <w:r w:rsidRPr="000737B9">
              <w:rPr>
                <w:rFonts w:eastAsia="MS Mincho" w:cstheme="minorHAnsi"/>
              </w:rPr>
              <w:t>Mean CPD 22.7. Previous use of nicotine patch 47.4%, previous use of bupropion 20%. Mean</w:t>
            </w:r>
          </w:p>
          <w:p w:rsidR="000737B9" w:rsidRPr="000737B9" w:rsidRDefault="000737B9" w:rsidP="00A71365">
            <w:pPr>
              <w:pStyle w:val="Tablewriting"/>
              <w:rPr>
                <w:rFonts w:eastAsia="MS Mincho" w:cstheme="minorHAnsi"/>
              </w:rPr>
            </w:pPr>
            <w:r w:rsidRPr="000737B9">
              <w:rPr>
                <w:rFonts w:eastAsia="MS Mincho" w:cstheme="minorHAnsi"/>
              </w:rPr>
              <w:t>FTND 5.5.</w:t>
            </w:r>
          </w:p>
          <w:p w:rsidR="007949B4" w:rsidRDefault="007949B4" w:rsidP="00A71365">
            <w:pPr>
              <w:pStyle w:val="Tablewriting"/>
              <w:rPr>
                <w:rFonts w:eastAsia="MS Mincho" w:cstheme="minorHAnsi"/>
              </w:rPr>
            </w:pPr>
          </w:p>
          <w:p w:rsidR="00C3700A" w:rsidRPr="00017AE6" w:rsidRDefault="000737B9" w:rsidP="00A71365">
            <w:pPr>
              <w:pStyle w:val="Tablewriting"/>
              <w:rPr>
                <w:rFonts w:eastAsia="MS Mincho" w:cstheme="minorHAnsi"/>
              </w:rPr>
            </w:pPr>
            <w:r w:rsidRPr="007949B4">
              <w:rPr>
                <w:rFonts w:eastAsia="MS Mincho" w:cstheme="minorHAnsi"/>
                <w:u w:val="single"/>
              </w:rPr>
              <w:t>Exclusion criteria:</w:t>
            </w:r>
            <w:r w:rsidRPr="000737B9">
              <w:rPr>
                <w:rFonts w:eastAsia="MS Mincho" w:cstheme="minorHAnsi"/>
              </w:rPr>
              <w:t xml:space="preserve"> Standard pharmacotherapy trial criteria, + participants must not have been in a</w:t>
            </w:r>
            <w:r w:rsidR="007949B4">
              <w:rPr>
                <w:rFonts w:eastAsia="MS Mincho" w:cstheme="minorHAnsi"/>
              </w:rPr>
              <w:t xml:space="preserve"> </w:t>
            </w:r>
            <w:r w:rsidRPr="000737B9">
              <w:rPr>
                <w:rFonts w:eastAsia="MS Mincho" w:cstheme="minorHAnsi"/>
              </w:rPr>
              <w:t xml:space="preserve">varenicline trial in previous </w:t>
            </w:r>
            <w:r w:rsidR="006514B8" w:rsidRPr="000737B9">
              <w:rPr>
                <w:rFonts w:eastAsia="MS Mincho" w:cstheme="minorHAnsi"/>
              </w:rPr>
              <w:t>year or</w:t>
            </w:r>
            <w:r w:rsidRPr="000737B9">
              <w:rPr>
                <w:rFonts w:eastAsia="MS Mincho" w:cstheme="minorHAnsi"/>
              </w:rPr>
              <w:t xml:space="preserve"> used NRT in previous 6</w:t>
            </w:r>
            <w:r w:rsidR="007949B4">
              <w:rPr>
                <w:rFonts w:eastAsia="MS Mincho" w:cstheme="minorHAnsi"/>
              </w:rPr>
              <w:t xml:space="preserve"> months. </w:t>
            </w:r>
          </w:p>
        </w:tc>
        <w:tc>
          <w:tcPr>
            <w:tcW w:w="1055" w:type="pct"/>
          </w:tcPr>
          <w:p w:rsidR="004926AC" w:rsidRDefault="004926AC" w:rsidP="00C324F3">
            <w:pPr>
              <w:pStyle w:val="Tablewriting"/>
              <w:numPr>
                <w:ilvl w:val="0"/>
                <w:numId w:val="143"/>
              </w:numPr>
              <w:rPr>
                <w:rFonts w:eastAsia="MS Mincho" w:cstheme="minorHAnsi"/>
              </w:rPr>
            </w:pPr>
            <w:r w:rsidRPr="004926AC">
              <w:rPr>
                <w:rFonts w:eastAsia="MS Mincho" w:cstheme="minorHAnsi"/>
              </w:rPr>
              <w:t>Varenicline 1mg x 2/day for 12 w</w:t>
            </w:r>
            <w:r>
              <w:rPr>
                <w:rFonts w:eastAsia="MS Mincho" w:cstheme="minorHAnsi"/>
              </w:rPr>
              <w:t>ee</w:t>
            </w:r>
            <w:r w:rsidRPr="004926AC">
              <w:rPr>
                <w:rFonts w:eastAsia="MS Mincho" w:cstheme="minorHAnsi"/>
              </w:rPr>
              <w:t>ks, titrated 1st w</w:t>
            </w:r>
            <w:r>
              <w:rPr>
                <w:rFonts w:eastAsia="MS Mincho" w:cstheme="minorHAnsi"/>
              </w:rPr>
              <w:t>ee</w:t>
            </w:r>
            <w:r w:rsidRPr="004926AC">
              <w:rPr>
                <w:rFonts w:eastAsia="MS Mincho" w:cstheme="minorHAnsi"/>
              </w:rPr>
              <w:t>k</w:t>
            </w:r>
            <w:r>
              <w:rPr>
                <w:rFonts w:eastAsia="MS Mincho" w:cstheme="minorHAnsi"/>
              </w:rPr>
              <w:t>.</w:t>
            </w:r>
          </w:p>
          <w:p w:rsidR="004926AC" w:rsidRDefault="004926AC" w:rsidP="00C324F3">
            <w:pPr>
              <w:pStyle w:val="Tablewriting"/>
              <w:numPr>
                <w:ilvl w:val="0"/>
                <w:numId w:val="143"/>
              </w:numPr>
              <w:rPr>
                <w:rFonts w:eastAsia="MS Mincho" w:cstheme="minorHAnsi"/>
              </w:rPr>
            </w:pPr>
            <w:r w:rsidRPr="004926AC">
              <w:rPr>
                <w:rFonts w:eastAsia="MS Mincho" w:cstheme="minorHAnsi"/>
              </w:rPr>
              <w:t>Nicotine patch (21 mg w</w:t>
            </w:r>
            <w:r>
              <w:rPr>
                <w:rFonts w:eastAsia="MS Mincho" w:cstheme="minorHAnsi"/>
              </w:rPr>
              <w:t>ee</w:t>
            </w:r>
            <w:r w:rsidRPr="004926AC">
              <w:rPr>
                <w:rFonts w:eastAsia="MS Mincho" w:cstheme="minorHAnsi"/>
              </w:rPr>
              <w:t>ks 2 - 6, 14 mg w</w:t>
            </w:r>
            <w:r>
              <w:rPr>
                <w:rFonts w:eastAsia="MS Mincho" w:cstheme="minorHAnsi"/>
              </w:rPr>
              <w:t>ee</w:t>
            </w:r>
            <w:r w:rsidRPr="004926AC">
              <w:rPr>
                <w:rFonts w:eastAsia="MS Mincho" w:cstheme="minorHAnsi"/>
              </w:rPr>
              <w:t>ks 7 - 9, 7 mg w</w:t>
            </w:r>
            <w:r>
              <w:rPr>
                <w:rFonts w:eastAsia="MS Mincho" w:cstheme="minorHAnsi"/>
              </w:rPr>
              <w:t>ee</w:t>
            </w:r>
            <w:r w:rsidRPr="004926AC">
              <w:rPr>
                <w:rFonts w:eastAsia="MS Mincho" w:cstheme="minorHAnsi"/>
              </w:rPr>
              <w:t>ks 10 - 11)</w:t>
            </w:r>
            <w:r>
              <w:rPr>
                <w:rFonts w:eastAsia="MS Mincho" w:cstheme="minorHAnsi"/>
              </w:rPr>
              <w:t>.</w:t>
            </w:r>
          </w:p>
          <w:p w:rsidR="004926AC" w:rsidRPr="004926AC" w:rsidRDefault="004926AC" w:rsidP="00C324F3">
            <w:pPr>
              <w:pStyle w:val="Tablewriting"/>
              <w:numPr>
                <w:ilvl w:val="0"/>
                <w:numId w:val="143"/>
              </w:numPr>
              <w:rPr>
                <w:rFonts w:eastAsia="MS Mincho" w:cstheme="minorHAnsi"/>
              </w:rPr>
            </w:pPr>
            <w:r w:rsidRPr="004926AC">
              <w:rPr>
                <w:rFonts w:eastAsia="MS Mincho" w:cstheme="minorHAnsi"/>
              </w:rPr>
              <w:t>No placebo control group</w:t>
            </w:r>
          </w:p>
          <w:p w:rsidR="004926AC" w:rsidRPr="004926AC" w:rsidRDefault="004926AC" w:rsidP="00A71365">
            <w:pPr>
              <w:pStyle w:val="Tablewriting"/>
              <w:rPr>
                <w:rFonts w:eastAsia="MS Mincho" w:cstheme="minorHAnsi"/>
                <w:u w:val="single"/>
              </w:rPr>
            </w:pPr>
            <w:r w:rsidRPr="004926AC">
              <w:rPr>
                <w:rFonts w:eastAsia="MS Mincho" w:cstheme="minorHAnsi"/>
                <w:u w:val="single"/>
              </w:rPr>
              <w:t xml:space="preserve">Common components: </w:t>
            </w:r>
            <w:r>
              <w:rPr>
                <w:rFonts w:eastAsia="MS Mincho" w:cstheme="minorHAnsi"/>
                <w:u w:val="single"/>
              </w:rPr>
              <w:t xml:space="preserve"> </w:t>
            </w:r>
            <w:r w:rsidRPr="004926AC">
              <w:rPr>
                <w:rFonts w:eastAsia="MS Mincho" w:cstheme="minorHAnsi"/>
              </w:rPr>
              <w:t>All participants received Clearing the Air S-H booklet at baseline, and brief counselling (k 10 mins) at</w:t>
            </w:r>
          </w:p>
          <w:p w:rsidR="004926AC" w:rsidRDefault="004926AC" w:rsidP="00A71365">
            <w:pPr>
              <w:pStyle w:val="Tablewriting"/>
              <w:rPr>
                <w:rFonts w:eastAsia="MS Mincho" w:cstheme="minorHAnsi"/>
              </w:rPr>
            </w:pPr>
            <w:r w:rsidRPr="004926AC">
              <w:rPr>
                <w:rFonts w:eastAsia="MS Mincho" w:cstheme="minorHAnsi"/>
              </w:rPr>
              <w:t>each clinic visit or by phone. TQD was at w</w:t>
            </w:r>
            <w:r>
              <w:rPr>
                <w:rFonts w:eastAsia="MS Mincho" w:cstheme="minorHAnsi"/>
              </w:rPr>
              <w:t>ee</w:t>
            </w:r>
            <w:r w:rsidRPr="004926AC">
              <w:rPr>
                <w:rFonts w:eastAsia="MS Mincho" w:cstheme="minorHAnsi"/>
              </w:rPr>
              <w:t xml:space="preserve">k 1 visit. </w:t>
            </w:r>
          </w:p>
          <w:p w:rsidR="004926AC" w:rsidRDefault="004926AC" w:rsidP="00A71365">
            <w:pPr>
              <w:pStyle w:val="Tablewriting"/>
              <w:rPr>
                <w:rFonts w:eastAsia="MS Mincho" w:cstheme="minorHAnsi"/>
              </w:rPr>
            </w:pPr>
          </w:p>
          <w:p w:rsidR="004926AC" w:rsidRPr="004926AC" w:rsidRDefault="004926AC" w:rsidP="00A71365">
            <w:pPr>
              <w:pStyle w:val="Tablewriting"/>
              <w:rPr>
                <w:rFonts w:eastAsia="MS Mincho" w:cstheme="minorHAnsi"/>
              </w:rPr>
            </w:pPr>
            <w:r w:rsidRPr="004926AC">
              <w:rPr>
                <w:rFonts w:eastAsia="MS Mincho" w:cstheme="minorHAnsi"/>
              </w:rPr>
              <w:t>Weekly visits throughout treatment phase, plus a</w:t>
            </w:r>
          </w:p>
          <w:p w:rsidR="004926AC" w:rsidRPr="004926AC" w:rsidRDefault="004926AC" w:rsidP="00A71365">
            <w:pPr>
              <w:pStyle w:val="Tablewriting"/>
              <w:rPr>
                <w:rFonts w:eastAsia="MS Mincho" w:cstheme="minorHAnsi"/>
              </w:rPr>
            </w:pPr>
            <w:r w:rsidRPr="004926AC">
              <w:rPr>
                <w:rFonts w:eastAsia="MS Mincho" w:cstheme="minorHAnsi"/>
              </w:rPr>
              <w:t>phone call 3 days post-TQD</w:t>
            </w:r>
          </w:p>
          <w:p w:rsidR="004926AC" w:rsidRPr="004926AC" w:rsidRDefault="004926AC" w:rsidP="00A71365">
            <w:pPr>
              <w:pStyle w:val="Tablewriting"/>
              <w:rPr>
                <w:rFonts w:eastAsia="MS Mincho" w:cstheme="minorHAnsi"/>
              </w:rPr>
            </w:pPr>
            <w:r w:rsidRPr="004926AC">
              <w:rPr>
                <w:rFonts w:eastAsia="MS Mincho" w:cstheme="minorHAnsi"/>
              </w:rPr>
              <w:t>In follow-up phase, clinic visits at w</w:t>
            </w:r>
            <w:r>
              <w:rPr>
                <w:rFonts w:eastAsia="MS Mincho" w:cstheme="minorHAnsi"/>
              </w:rPr>
              <w:t>ee</w:t>
            </w:r>
            <w:r w:rsidRPr="004926AC">
              <w:rPr>
                <w:rFonts w:eastAsia="MS Mincho" w:cstheme="minorHAnsi"/>
              </w:rPr>
              <w:t>ks 13, 16, 24, 32, 40, 48 and 52, plus brief phone calls at w</w:t>
            </w:r>
            <w:r>
              <w:rPr>
                <w:rFonts w:eastAsia="MS Mincho" w:cstheme="minorHAnsi"/>
              </w:rPr>
              <w:t>ee</w:t>
            </w:r>
            <w:r w:rsidRPr="004926AC">
              <w:rPr>
                <w:rFonts w:eastAsia="MS Mincho" w:cstheme="minorHAnsi"/>
              </w:rPr>
              <w:t>ks 14, 20,</w:t>
            </w:r>
          </w:p>
          <w:p w:rsidR="00C3700A" w:rsidRPr="00017AE6" w:rsidRDefault="004926AC" w:rsidP="00A71365">
            <w:pPr>
              <w:pStyle w:val="Tablewriting"/>
              <w:rPr>
                <w:rFonts w:eastAsia="MS Mincho" w:cstheme="minorHAnsi"/>
              </w:rPr>
            </w:pPr>
            <w:r w:rsidRPr="004926AC">
              <w:rPr>
                <w:rFonts w:eastAsia="MS Mincho" w:cstheme="minorHAnsi"/>
              </w:rPr>
              <w:t>28, 36 and 44</w:t>
            </w:r>
            <w:r>
              <w:rPr>
                <w:rFonts w:eastAsia="MS Mincho" w:cstheme="minorHAnsi"/>
              </w:rPr>
              <w:t>.</w:t>
            </w:r>
          </w:p>
        </w:tc>
        <w:tc>
          <w:tcPr>
            <w:tcW w:w="960" w:type="pct"/>
          </w:tcPr>
          <w:p w:rsidR="00EE6696" w:rsidRPr="00EE6696" w:rsidRDefault="00EE6696" w:rsidP="00A71365">
            <w:pPr>
              <w:pStyle w:val="Tablewriting"/>
              <w:rPr>
                <w:rFonts w:eastAsia="MS Mincho" w:cstheme="minorHAnsi"/>
              </w:rPr>
            </w:pPr>
            <w:r w:rsidRPr="00EE6696">
              <w:rPr>
                <w:rFonts w:eastAsia="MS Mincho" w:cstheme="minorHAnsi"/>
                <w:u w:val="single"/>
              </w:rPr>
              <w:t>Efficacy:</w:t>
            </w:r>
            <w:r>
              <w:rPr>
                <w:rFonts w:eastAsia="MS Mincho" w:cstheme="minorHAnsi"/>
              </w:rPr>
              <w:t xml:space="preserve"> </w:t>
            </w:r>
            <w:r w:rsidRPr="00EE6696">
              <w:rPr>
                <w:rFonts w:eastAsia="MS Mincho" w:cstheme="minorHAnsi"/>
              </w:rPr>
              <w:t>CO-confirmed CAR for last 4 w</w:t>
            </w:r>
            <w:r>
              <w:rPr>
                <w:rFonts w:eastAsia="MS Mincho" w:cstheme="minorHAnsi"/>
              </w:rPr>
              <w:t>ee</w:t>
            </w:r>
            <w:r w:rsidRPr="00EE6696">
              <w:rPr>
                <w:rFonts w:eastAsia="MS Mincho" w:cstheme="minorHAnsi"/>
              </w:rPr>
              <w:t>ks treatment (varenicline w</w:t>
            </w:r>
            <w:r>
              <w:rPr>
                <w:rFonts w:eastAsia="MS Mincho" w:cstheme="minorHAnsi"/>
              </w:rPr>
              <w:t>ee</w:t>
            </w:r>
            <w:r w:rsidRPr="00EE6696">
              <w:rPr>
                <w:rFonts w:eastAsia="MS Mincho" w:cstheme="minorHAnsi"/>
              </w:rPr>
              <w:t>ks 9 - 12, NRT w</w:t>
            </w:r>
            <w:r>
              <w:rPr>
                <w:rFonts w:eastAsia="MS Mincho" w:cstheme="minorHAnsi"/>
              </w:rPr>
              <w:t>ee</w:t>
            </w:r>
            <w:r w:rsidRPr="00EE6696">
              <w:rPr>
                <w:rFonts w:eastAsia="MS Mincho" w:cstheme="minorHAnsi"/>
              </w:rPr>
              <w:t>ks 8 - 11)</w:t>
            </w:r>
            <w:r>
              <w:rPr>
                <w:rFonts w:eastAsia="MS Mincho" w:cstheme="minorHAnsi"/>
              </w:rPr>
              <w:t>.</w:t>
            </w:r>
          </w:p>
          <w:p w:rsidR="006C0D38" w:rsidRPr="00EE6696" w:rsidRDefault="00EE6696" w:rsidP="00A71365">
            <w:pPr>
              <w:pStyle w:val="Tablewriting"/>
              <w:rPr>
                <w:rFonts w:eastAsia="MS Mincho" w:cstheme="minorHAnsi"/>
              </w:rPr>
            </w:pPr>
            <w:r w:rsidRPr="00EE6696">
              <w:rPr>
                <w:rFonts w:eastAsia="MS Mincho" w:cstheme="minorHAnsi"/>
              </w:rPr>
              <w:t>CO-confirmed CAR at w</w:t>
            </w:r>
            <w:r w:rsidR="00912649">
              <w:rPr>
                <w:rFonts w:eastAsia="MS Mincho" w:cstheme="minorHAnsi"/>
              </w:rPr>
              <w:t>ee</w:t>
            </w:r>
            <w:r w:rsidRPr="00EE6696">
              <w:rPr>
                <w:rFonts w:eastAsia="MS Mincho" w:cstheme="minorHAnsi"/>
              </w:rPr>
              <w:t>ks 9 - 24 and 9 - 52 (varenicline) and 8 - 24 and 8 - 52 (NRT)</w:t>
            </w:r>
            <w:r w:rsidR="006C0D38">
              <w:rPr>
                <w:rFonts w:eastAsia="MS Mincho" w:cstheme="minorHAnsi"/>
              </w:rPr>
              <w:t>.</w:t>
            </w:r>
          </w:p>
          <w:p w:rsidR="00EE6696" w:rsidRDefault="00EE6696" w:rsidP="00A71365">
            <w:pPr>
              <w:pStyle w:val="Tablewriting"/>
              <w:rPr>
                <w:rFonts w:eastAsia="MS Mincho" w:cstheme="minorHAnsi"/>
              </w:rPr>
            </w:pPr>
            <w:r w:rsidRPr="00EE6696">
              <w:rPr>
                <w:rFonts w:eastAsia="MS Mincho" w:cstheme="minorHAnsi"/>
              </w:rPr>
              <w:t>7-day PPA at EoT and at w</w:t>
            </w:r>
            <w:r w:rsidR="006C0D38">
              <w:rPr>
                <w:rFonts w:eastAsia="MS Mincho" w:cstheme="minorHAnsi"/>
              </w:rPr>
              <w:t>ee</w:t>
            </w:r>
            <w:r w:rsidRPr="00EE6696">
              <w:rPr>
                <w:rFonts w:eastAsia="MS Mincho" w:cstheme="minorHAnsi"/>
              </w:rPr>
              <w:t>ks 24 and 52</w:t>
            </w:r>
            <w:r w:rsidR="006C0D38">
              <w:rPr>
                <w:rFonts w:eastAsia="MS Mincho" w:cstheme="minorHAnsi"/>
              </w:rPr>
              <w:t>.</w:t>
            </w:r>
          </w:p>
          <w:p w:rsidR="006C01A1" w:rsidRPr="006C01A1" w:rsidRDefault="006C01A1" w:rsidP="00A71365">
            <w:pPr>
              <w:pStyle w:val="Tablewriting"/>
              <w:rPr>
                <w:rFonts w:eastAsia="MS Mincho" w:cstheme="minorHAnsi"/>
              </w:rPr>
            </w:pPr>
          </w:p>
          <w:p w:rsidR="008C11B5" w:rsidRDefault="008C11B5" w:rsidP="00A71365">
            <w:pPr>
              <w:pStyle w:val="Tablewriting"/>
              <w:rPr>
                <w:rFonts w:eastAsia="MS Mincho" w:cstheme="minorHAnsi"/>
              </w:rPr>
            </w:pPr>
            <w:r w:rsidRPr="00EE6696">
              <w:rPr>
                <w:rFonts w:eastAsia="MS Mincho" w:cstheme="minorHAnsi"/>
              </w:rPr>
              <w:t xml:space="preserve">Validation was by expired CO </w:t>
            </w:r>
            <w:r w:rsidRPr="00D32EF0">
              <w:rPr>
                <w:rFonts w:eastAsia="MS Mincho" w:cstheme="minorHAnsi"/>
              </w:rPr>
              <w:t>≤</w:t>
            </w:r>
            <w:r w:rsidRPr="00EE6696">
              <w:rPr>
                <w:rFonts w:eastAsia="MS Mincho" w:cstheme="minorHAnsi"/>
              </w:rPr>
              <w:t xml:space="preserve"> 10 ppm</w:t>
            </w:r>
            <w:r>
              <w:rPr>
                <w:rFonts w:eastAsia="MS Mincho" w:cstheme="minorHAnsi"/>
              </w:rPr>
              <w:t>.</w:t>
            </w:r>
          </w:p>
          <w:p w:rsidR="008C11B5" w:rsidRDefault="008C11B5" w:rsidP="00A71365">
            <w:pPr>
              <w:pStyle w:val="Tablewriting"/>
              <w:rPr>
                <w:rFonts w:eastAsia="MS Mincho" w:cstheme="minorHAnsi"/>
              </w:rPr>
            </w:pPr>
          </w:p>
          <w:p w:rsidR="00EE6696" w:rsidRPr="00F643B1" w:rsidRDefault="006C0D38" w:rsidP="00A71365">
            <w:pPr>
              <w:pStyle w:val="Tablewriting"/>
              <w:rPr>
                <w:rFonts w:eastAsia="MS Mincho" w:cstheme="minorHAnsi"/>
                <w:u w:val="single"/>
              </w:rPr>
            </w:pPr>
            <w:r w:rsidRPr="006C0D38">
              <w:rPr>
                <w:rFonts w:eastAsia="MS Mincho" w:cstheme="minorHAnsi"/>
                <w:u w:val="single"/>
              </w:rPr>
              <w:t xml:space="preserve">Safety: </w:t>
            </w:r>
            <w:r w:rsidR="00EE6696" w:rsidRPr="00EE6696">
              <w:rPr>
                <w:rFonts w:eastAsia="MS Mincho" w:cstheme="minorHAnsi"/>
              </w:rPr>
              <w:t>Weight change, withdrawal symptoms (using MNWS and mCEQ), adverse events</w:t>
            </w:r>
          </w:p>
          <w:p w:rsidR="00C3700A" w:rsidRPr="00017AE6" w:rsidRDefault="00C3700A" w:rsidP="00A71365">
            <w:pPr>
              <w:pStyle w:val="Tablewriting"/>
              <w:rPr>
                <w:rFonts w:eastAsia="MS Mincho" w:cstheme="minorHAnsi"/>
              </w:rPr>
            </w:pPr>
          </w:p>
        </w:tc>
      </w:tr>
      <w:tr w:rsidR="00C3700A" w:rsidRPr="00017AE6" w:rsidTr="005012C6">
        <w:trPr>
          <w:trHeight w:val="99"/>
        </w:trPr>
        <w:tc>
          <w:tcPr>
            <w:tcW w:w="412" w:type="pct"/>
          </w:tcPr>
          <w:p w:rsidR="00C3700A" w:rsidRPr="00017AE6" w:rsidRDefault="0011061B" w:rsidP="00A71365">
            <w:pPr>
              <w:pStyle w:val="Tablewriting"/>
              <w:rPr>
                <w:rFonts w:eastAsia="MS Mincho" w:cstheme="minorHAnsi"/>
              </w:rPr>
            </w:pPr>
            <w:r w:rsidRPr="0011061B">
              <w:rPr>
                <w:rFonts w:eastAsia="MS Mincho" w:cstheme="minorHAnsi"/>
              </w:rPr>
              <w:t xml:space="preserve">Baker </w:t>
            </w:r>
            <w:r w:rsidR="00FA40D7">
              <w:rPr>
                <w:rFonts w:eastAsia="MS Mincho" w:cstheme="minorHAnsi"/>
              </w:rPr>
              <w:t>(</w:t>
            </w:r>
            <w:r w:rsidRPr="0011061B">
              <w:rPr>
                <w:rFonts w:eastAsia="MS Mincho" w:cstheme="minorHAnsi"/>
              </w:rPr>
              <w:t>2016</w:t>
            </w:r>
            <w:r w:rsidR="00FA40D7">
              <w:rPr>
                <w:rFonts w:eastAsia="MS Mincho" w:cstheme="minorHAnsi"/>
              </w:rPr>
              <w:t>)</w:t>
            </w:r>
          </w:p>
        </w:tc>
        <w:tc>
          <w:tcPr>
            <w:tcW w:w="234" w:type="pct"/>
          </w:tcPr>
          <w:p w:rsidR="00C3700A" w:rsidRPr="00017AE6" w:rsidRDefault="009D3FCC" w:rsidP="00A71365">
            <w:pPr>
              <w:pStyle w:val="Tablewriting"/>
              <w:rPr>
                <w:rFonts w:eastAsia="MS Mincho" w:cstheme="minorHAnsi"/>
              </w:rPr>
            </w:pPr>
            <w:r>
              <w:rPr>
                <w:rFonts w:eastAsia="MS Mincho" w:cstheme="minorHAnsi"/>
              </w:rPr>
              <w:t>RCT</w:t>
            </w:r>
          </w:p>
        </w:tc>
        <w:tc>
          <w:tcPr>
            <w:tcW w:w="429" w:type="pct"/>
          </w:tcPr>
          <w:p w:rsidR="00C3700A" w:rsidRPr="00017AE6" w:rsidRDefault="009D3FCC" w:rsidP="00A71365">
            <w:pPr>
              <w:pStyle w:val="Tablewriting"/>
              <w:rPr>
                <w:rFonts w:eastAsia="MS Mincho" w:cstheme="minorHAnsi"/>
              </w:rPr>
            </w:pPr>
            <w:r>
              <w:rPr>
                <w:rFonts w:eastAsia="MS Mincho" w:cstheme="minorHAnsi"/>
              </w:rPr>
              <w:t>USA</w:t>
            </w:r>
          </w:p>
        </w:tc>
        <w:tc>
          <w:tcPr>
            <w:tcW w:w="676" w:type="pct"/>
          </w:tcPr>
          <w:p w:rsidR="00C3700A" w:rsidRPr="00017AE6" w:rsidRDefault="004E5635" w:rsidP="00A71365">
            <w:pPr>
              <w:pStyle w:val="Tablewriting"/>
              <w:rPr>
                <w:rFonts w:eastAsia="MS Mincho" w:cstheme="minorHAnsi"/>
              </w:rPr>
            </w:pPr>
            <w:r>
              <w:rPr>
                <w:rFonts w:eastAsia="MS Mincho" w:cstheme="minorHAnsi"/>
              </w:rPr>
              <w:t>N=</w:t>
            </w:r>
            <w:r w:rsidR="00464B0A">
              <w:rPr>
                <w:rFonts w:eastAsia="MS Mincho" w:cstheme="minorHAnsi"/>
              </w:rPr>
              <w:t>1086</w:t>
            </w:r>
          </w:p>
        </w:tc>
        <w:tc>
          <w:tcPr>
            <w:tcW w:w="1233" w:type="pct"/>
          </w:tcPr>
          <w:p w:rsidR="00AD23A1" w:rsidRPr="00AD23A1" w:rsidRDefault="00AD23A1" w:rsidP="00A71365">
            <w:pPr>
              <w:pStyle w:val="Tablewriting"/>
              <w:rPr>
                <w:rFonts w:eastAsia="MS Mincho" w:cstheme="minorHAnsi"/>
              </w:rPr>
            </w:pPr>
            <w:r w:rsidRPr="00AD23A1">
              <w:rPr>
                <w:rFonts w:eastAsia="MS Mincho" w:cstheme="minorHAnsi"/>
              </w:rPr>
              <w:t>Healthy adults, recruited from participants in the ongoing Wisconsin Smokers Health Study or by media</w:t>
            </w:r>
            <w:r>
              <w:rPr>
                <w:rFonts w:eastAsia="MS Mincho" w:cstheme="minorHAnsi"/>
              </w:rPr>
              <w:t xml:space="preserve"> </w:t>
            </w:r>
            <w:r w:rsidRPr="00AD23A1">
              <w:rPr>
                <w:rFonts w:eastAsia="MS Mincho" w:cstheme="minorHAnsi"/>
              </w:rPr>
              <w:t xml:space="preserve">and community outreach, aged 17+, smoking </w:t>
            </w:r>
            <w:r w:rsidR="00532A46">
              <w:rPr>
                <w:rFonts w:eastAsia="MS Mincho" w:cstheme="minorHAnsi"/>
              </w:rPr>
              <w:t>&gt;</w:t>
            </w:r>
            <w:r w:rsidR="00532A46" w:rsidRPr="00AD23A1">
              <w:rPr>
                <w:rFonts w:eastAsia="MS Mincho" w:cstheme="minorHAnsi"/>
              </w:rPr>
              <w:t xml:space="preserve"> </w:t>
            </w:r>
            <w:r w:rsidRPr="00AD23A1">
              <w:rPr>
                <w:rFonts w:eastAsia="MS Mincho" w:cstheme="minorHAnsi"/>
              </w:rPr>
              <w:t>5 CPD, motivated to quit.</w:t>
            </w:r>
          </w:p>
          <w:p w:rsidR="00AD23A1" w:rsidRPr="00AD23A1" w:rsidRDefault="00AD23A1" w:rsidP="00A71365">
            <w:pPr>
              <w:pStyle w:val="Tablewriting"/>
              <w:rPr>
                <w:rFonts w:eastAsia="MS Mincho" w:cstheme="minorHAnsi"/>
              </w:rPr>
            </w:pPr>
            <w:r w:rsidRPr="00AD23A1">
              <w:rPr>
                <w:rFonts w:eastAsia="MS Mincho" w:cstheme="minorHAnsi"/>
              </w:rPr>
              <w:lastRenderedPageBreak/>
              <w:t>Varenicline arm 424, nicotine patch arm 241, combination NRT arm 421</w:t>
            </w:r>
            <w:r>
              <w:rPr>
                <w:rFonts w:eastAsia="MS Mincho" w:cstheme="minorHAnsi"/>
              </w:rPr>
              <w:t>.</w:t>
            </w:r>
          </w:p>
          <w:p w:rsidR="00AD23A1" w:rsidRDefault="00AD23A1" w:rsidP="00A71365">
            <w:pPr>
              <w:pStyle w:val="Tablewriting"/>
              <w:rPr>
                <w:rFonts w:eastAsia="MS Mincho" w:cstheme="minorHAnsi"/>
              </w:rPr>
            </w:pPr>
            <w:r w:rsidRPr="00AD23A1">
              <w:rPr>
                <w:rFonts w:eastAsia="MS Mincho" w:cstheme="minorHAnsi"/>
              </w:rPr>
              <w:t>Mean age 48.1, 47.9% men, 67% white. Mean CPD 17. Mean FTND 4.8</w:t>
            </w:r>
            <w:r>
              <w:rPr>
                <w:rFonts w:eastAsia="MS Mincho" w:cstheme="minorHAnsi"/>
              </w:rPr>
              <w:t>.</w:t>
            </w:r>
          </w:p>
          <w:p w:rsidR="00AD23A1" w:rsidRPr="00AD23A1" w:rsidRDefault="00AD23A1" w:rsidP="00A71365">
            <w:pPr>
              <w:pStyle w:val="Tablewriting"/>
              <w:rPr>
                <w:rFonts w:eastAsia="MS Mincho" w:cstheme="minorHAnsi"/>
              </w:rPr>
            </w:pPr>
          </w:p>
          <w:p w:rsidR="00C3700A" w:rsidRPr="00017AE6" w:rsidRDefault="00AD23A1" w:rsidP="00A71365">
            <w:pPr>
              <w:pStyle w:val="Tablewriting"/>
              <w:rPr>
                <w:rFonts w:eastAsia="MS Mincho" w:cstheme="minorHAnsi"/>
              </w:rPr>
            </w:pPr>
            <w:r w:rsidRPr="00AD23A1">
              <w:rPr>
                <w:rFonts w:eastAsia="MS Mincho" w:cstheme="minorHAnsi"/>
                <w:u w:val="single"/>
              </w:rPr>
              <w:t xml:space="preserve">Exclusion criteria: </w:t>
            </w:r>
            <w:r w:rsidRPr="00AD23A1">
              <w:rPr>
                <w:rFonts w:eastAsia="MS Mincho" w:cstheme="minorHAnsi"/>
              </w:rPr>
              <w:t>Standard pharmacotherapy trial criteria, CO &lt; 4 ppm, no suicide attempts in previous</w:t>
            </w:r>
            <w:r>
              <w:rPr>
                <w:rFonts w:eastAsia="MS Mincho" w:cstheme="minorHAnsi"/>
              </w:rPr>
              <w:t xml:space="preserve"> </w:t>
            </w:r>
            <w:r w:rsidRPr="00AD23A1">
              <w:rPr>
                <w:rFonts w:eastAsia="MS Mincho" w:cstheme="minorHAnsi"/>
              </w:rPr>
              <w:t>5 years, or current suicidal ideation, diagnosis or treatment of psychoses in previous 10 years</w:t>
            </w:r>
            <w:r w:rsidR="00F57C32">
              <w:rPr>
                <w:rFonts w:eastAsia="MS Mincho" w:cstheme="minorHAnsi"/>
              </w:rPr>
              <w:t>.</w:t>
            </w:r>
          </w:p>
        </w:tc>
        <w:tc>
          <w:tcPr>
            <w:tcW w:w="1055" w:type="pct"/>
          </w:tcPr>
          <w:p w:rsidR="003E6F2F" w:rsidRDefault="00F57C32" w:rsidP="00C324F3">
            <w:pPr>
              <w:pStyle w:val="Tablewriting"/>
              <w:numPr>
                <w:ilvl w:val="0"/>
                <w:numId w:val="144"/>
              </w:numPr>
              <w:rPr>
                <w:rFonts w:eastAsia="MS Mincho" w:cstheme="minorHAnsi"/>
              </w:rPr>
            </w:pPr>
            <w:r w:rsidRPr="00F57C32">
              <w:rPr>
                <w:rFonts w:eastAsia="MS Mincho" w:cstheme="minorHAnsi"/>
              </w:rPr>
              <w:lastRenderedPageBreak/>
              <w:t>Varenicline 1mg x 2/day for 12 w</w:t>
            </w:r>
            <w:r w:rsidR="003E6F2F">
              <w:rPr>
                <w:rFonts w:eastAsia="MS Mincho" w:cstheme="minorHAnsi"/>
              </w:rPr>
              <w:t>ee</w:t>
            </w:r>
            <w:r w:rsidRPr="00F57C32">
              <w:rPr>
                <w:rFonts w:eastAsia="MS Mincho" w:cstheme="minorHAnsi"/>
              </w:rPr>
              <w:t>ks, titrated 1st w</w:t>
            </w:r>
            <w:r w:rsidR="003E6F2F">
              <w:rPr>
                <w:rFonts w:eastAsia="MS Mincho" w:cstheme="minorHAnsi"/>
              </w:rPr>
              <w:t>ee</w:t>
            </w:r>
            <w:r w:rsidRPr="00F57C32">
              <w:rPr>
                <w:rFonts w:eastAsia="MS Mincho" w:cstheme="minorHAnsi"/>
              </w:rPr>
              <w:t>k</w:t>
            </w:r>
            <w:r w:rsidR="003E6F2F">
              <w:rPr>
                <w:rFonts w:eastAsia="MS Mincho" w:cstheme="minorHAnsi"/>
              </w:rPr>
              <w:t>.</w:t>
            </w:r>
          </w:p>
          <w:p w:rsidR="003E6F2F" w:rsidRDefault="00F57C32" w:rsidP="00C324F3">
            <w:pPr>
              <w:pStyle w:val="Tablewriting"/>
              <w:numPr>
                <w:ilvl w:val="0"/>
                <w:numId w:val="144"/>
              </w:numPr>
              <w:rPr>
                <w:rFonts w:eastAsia="MS Mincho" w:cstheme="minorHAnsi"/>
              </w:rPr>
            </w:pPr>
            <w:r w:rsidRPr="003E6F2F">
              <w:rPr>
                <w:rFonts w:eastAsia="MS Mincho" w:cstheme="minorHAnsi"/>
              </w:rPr>
              <w:t>Nicotine patch: 11+ CPD on 21 mg w</w:t>
            </w:r>
            <w:r w:rsidR="003E6F2F">
              <w:rPr>
                <w:rFonts w:eastAsia="MS Mincho" w:cstheme="minorHAnsi"/>
              </w:rPr>
              <w:t>ee</w:t>
            </w:r>
            <w:r w:rsidRPr="003E6F2F">
              <w:rPr>
                <w:rFonts w:eastAsia="MS Mincho" w:cstheme="minorHAnsi"/>
              </w:rPr>
              <w:t>ks 1 - 8, 14 mg w</w:t>
            </w:r>
            <w:r w:rsidR="003E6F2F">
              <w:rPr>
                <w:rFonts w:eastAsia="MS Mincho" w:cstheme="minorHAnsi"/>
              </w:rPr>
              <w:t>ee</w:t>
            </w:r>
            <w:r w:rsidRPr="003E6F2F">
              <w:rPr>
                <w:rFonts w:eastAsia="MS Mincho" w:cstheme="minorHAnsi"/>
              </w:rPr>
              <w:t>ks 9 - 10, 7 mg w</w:t>
            </w:r>
            <w:r w:rsidR="003E6F2F">
              <w:rPr>
                <w:rFonts w:eastAsia="MS Mincho" w:cstheme="minorHAnsi"/>
              </w:rPr>
              <w:t>ee</w:t>
            </w:r>
            <w:r w:rsidRPr="003E6F2F">
              <w:rPr>
                <w:rFonts w:eastAsia="MS Mincho" w:cstheme="minorHAnsi"/>
              </w:rPr>
              <w:t xml:space="preserve">ks 11 - 12; 5 - 10 </w:t>
            </w:r>
            <w:r w:rsidRPr="003E6F2F">
              <w:rPr>
                <w:rFonts w:eastAsia="MS Mincho" w:cstheme="minorHAnsi"/>
              </w:rPr>
              <w:lastRenderedPageBreak/>
              <w:t>CPD on 14 mg</w:t>
            </w:r>
            <w:r w:rsidR="003E6F2F">
              <w:rPr>
                <w:rFonts w:eastAsia="MS Mincho" w:cstheme="minorHAnsi"/>
              </w:rPr>
              <w:t xml:space="preserve"> </w:t>
            </w:r>
            <w:r w:rsidRPr="003E6F2F">
              <w:rPr>
                <w:rFonts w:eastAsia="MS Mincho" w:cstheme="minorHAnsi"/>
              </w:rPr>
              <w:t>w</w:t>
            </w:r>
            <w:r w:rsidR="003E6F2F">
              <w:rPr>
                <w:rFonts w:eastAsia="MS Mincho" w:cstheme="minorHAnsi"/>
              </w:rPr>
              <w:t>ee</w:t>
            </w:r>
            <w:r w:rsidRPr="003E6F2F">
              <w:rPr>
                <w:rFonts w:eastAsia="MS Mincho" w:cstheme="minorHAnsi"/>
              </w:rPr>
              <w:t>ks 1 - 10, 7 mg w</w:t>
            </w:r>
            <w:r w:rsidR="003E6F2F">
              <w:rPr>
                <w:rFonts w:eastAsia="MS Mincho" w:cstheme="minorHAnsi"/>
              </w:rPr>
              <w:t>ee</w:t>
            </w:r>
            <w:r w:rsidRPr="003E6F2F">
              <w:rPr>
                <w:rFonts w:eastAsia="MS Mincho" w:cstheme="minorHAnsi"/>
              </w:rPr>
              <w:t xml:space="preserve">ks 11 </w:t>
            </w:r>
            <w:r w:rsidR="003E6F2F">
              <w:rPr>
                <w:rFonts w:eastAsia="MS Mincho" w:cstheme="minorHAnsi"/>
              </w:rPr>
              <w:t>–</w:t>
            </w:r>
            <w:r w:rsidRPr="003E6F2F">
              <w:rPr>
                <w:rFonts w:eastAsia="MS Mincho" w:cstheme="minorHAnsi"/>
              </w:rPr>
              <w:t xml:space="preserve"> 12</w:t>
            </w:r>
            <w:r w:rsidR="003E6F2F">
              <w:rPr>
                <w:rFonts w:eastAsia="MS Mincho" w:cstheme="minorHAnsi"/>
              </w:rPr>
              <w:t>.</w:t>
            </w:r>
          </w:p>
          <w:p w:rsidR="00FF46D5" w:rsidRDefault="00F57C32" w:rsidP="00C324F3">
            <w:pPr>
              <w:pStyle w:val="Tablewriting"/>
              <w:numPr>
                <w:ilvl w:val="0"/>
                <w:numId w:val="144"/>
              </w:numPr>
              <w:rPr>
                <w:rFonts w:eastAsia="MS Mincho" w:cstheme="minorHAnsi"/>
              </w:rPr>
            </w:pPr>
            <w:r w:rsidRPr="003E6F2F">
              <w:rPr>
                <w:rFonts w:eastAsia="MS Mincho" w:cstheme="minorHAnsi"/>
              </w:rPr>
              <w:t>Nicotine patch as for (2), plus nicotine lozenge (2 mg or 4 mg), at least 5 times a day for 12 w</w:t>
            </w:r>
            <w:r w:rsidR="003E6F2F">
              <w:rPr>
                <w:rFonts w:eastAsia="MS Mincho" w:cstheme="minorHAnsi"/>
              </w:rPr>
              <w:t>ee</w:t>
            </w:r>
            <w:r w:rsidRPr="003E6F2F">
              <w:rPr>
                <w:rFonts w:eastAsia="MS Mincho" w:cstheme="minorHAnsi"/>
              </w:rPr>
              <w:t>ks</w:t>
            </w:r>
            <w:r w:rsidR="003E6F2F">
              <w:rPr>
                <w:rFonts w:eastAsia="MS Mincho" w:cstheme="minorHAnsi"/>
              </w:rPr>
              <w:t>.</w:t>
            </w:r>
          </w:p>
          <w:p w:rsidR="00F57C32" w:rsidRPr="00FF46D5" w:rsidRDefault="00F57C32" w:rsidP="00C324F3">
            <w:pPr>
              <w:pStyle w:val="Tablewriting"/>
              <w:numPr>
                <w:ilvl w:val="0"/>
                <w:numId w:val="144"/>
              </w:numPr>
              <w:rPr>
                <w:rFonts w:eastAsia="MS Mincho" w:cstheme="minorHAnsi"/>
              </w:rPr>
            </w:pPr>
            <w:r w:rsidRPr="00FF46D5">
              <w:rPr>
                <w:rFonts w:eastAsia="MS Mincho" w:cstheme="minorHAnsi"/>
              </w:rPr>
              <w:t>No placebo control group.</w:t>
            </w:r>
          </w:p>
          <w:p w:rsidR="00FF46D5" w:rsidRDefault="00FF46D5" w:rsidP="00A71365">
            <w:pPr>
              <w:pStyle w:val="Tablewriting"/>
              <w:rPr>
                <w:rFonts w:eastAsia="MS Mincho" w:cstheme="minorHAnsi"/>
              </w:rPr>
            </w:pPr>
          </w:p>
          <w:p w:rsidR="00F57C32" w:rsidRPr="00F57C32" w:rsidRDefault="00FF46D5" w:rsidP="00A71365">
            <w:pPr>
              <w:pStyle w:val="Tablewriting"/>
              <w:rPr>
                <w:rFonts w:eastAsia="MS Mincho" w:cstheme="minorHAnsi"/>
              </w:rPr>
            </w:pPr>
            <w:r w:rsidRPr="004926AC">
              <w:rPr>
                <w:rFonts w:eastAsia="MS Mincho" w:cstheme="minorHAnsi"/>
                <w:u w:val="single"/>
              </w:rPr>
              <w:t xml:space="preserve">Common components: </w:t>
            </w:r>
            <w:r w:rsidR="00F57C32" w:rsidRPr="00F57C32">
              <w:rPr>
                <w:rFonts w:eastAsia="MS Mincho" w:cstheme="minorHAnsi"/>
              </w:rPr>
              <w:t>All participants received counselling (20 mins at visits 1, 2 and 3, and 10 mins by phone and at visits 4,</w:t>
            </w:r>
          </w:p>
          <w:p w:rsidR="00F57C32" w:rsidRPr="00F57C32" w:rsidRDefault="00F57C32" w:rsidP="00A71365">
            <w:pPr>
              <w:pStyle w:val="Tablewriting"/>
              <w:rPr>
                <w:rFonts w:eastAsia="MS Mincho" w:cstheme="minorHAnsi"/>
              </w:rPr>
            </w:pPr>
            <w:r w:rsidRPr="00F57C32">
              <w:rPr>
                <w:rFonts w:eastAsia="MS Mincho" w:cstheme="minorHAnsi"/>
              </w:rPr>
              <w:t xml:space="preserve">5) at </w:t>
            </w:r>
            <w:r w:rsidR="00FF46D5" w:rsidRPr="00F57C32">
              <w:rPr>
                <w:rFonts w:eastAsia="MS Mincho" w:cstheme="minorHAnsi"/>
              </w:rPr>
              <w:t>1-week</w:t>
            </w:r>
            <w:r w:rsidRPr="00F57C32">
              <w:rPr>
                <w:rFonts w:eastAsia="MS Mincho" w:cstheme="minorHAnsi"/>
              </w:rPr>
              <w:t xml:space="preserve"> pre-TQD and at TQD, w</w:t>
            </w:r>
            <w:r w:rsidR="00FF46D5">
              <w:rPr>
                <w:rFonts w:eastAsia="MS Mincho" w:cstheme="minorHAnsi"/>
              </w:rPr>
              <w:t>ee</w:t>
            </w:r>
            <w:r w:rsidRPr="00F57C32">
              <w:rPr>
                <w:rFonts w:eastAsia="MS Mincho" w:cstheme="minorHAnsi"/>
              </w:rPr>
              <w:t>ks 1, 4, 12 post-TQD, plus phone call at w</w:t>
            </w:r>
            <w:r w:rsidR="00FF46D5">
              <w:rPr>
                <w:rFonts w:eastAsia="MS Mincho" w:cstheme="minorHAnsi"/>
              </w:rPr>
              <w:t>ee</w:t>
            </w:r>
            <w:r w:rsidRPr="00F57C32">
              <w:rPr>
                <w:rFonts w:eastAsia="MS Mincho" w:cstheme="minorHAnsi"/>
              </w:rPr>
              <w:t>k 8</w:t>
            </w:r>
            <w:r w:rsidR="00FF46D5">
              <w:rPr>
                <w:rFonts w:eastAsia="MS Mincho" w:cstheme="minorHAnsi"/>
              </w:rPr>
              <w:t>.</w:t>
            </w:r>
          </w:p>
          <w:p w:rsidR="00C3700A" w:rsidRPr="00017AE6" w:rsidRDefault="00F57C32" w:rsidP="00A71365">
            <w:pPr>
              <w:pStyle w:val="Tablewriting"/>
              <w:rPr>
                <w:rFonts w:eastAsia="MS Mincho" w:cstheme="minorHAnsi"/>
              </w:rPr>
            </w:pPr>
            <w:r w:rsidRPr="00F57C32">
              <w:rPr>
                <w:rFonts w:eastAsia="MS Mincho" w:cstheme="minorHAnsi"/>
              </w:rPr>
              <w:t xml:space="preserve">In follow-up phase, participants were contacted at </w:t>
            </w:r>
            <w:r w:rsidR="00FF46D5" w:rsidRPr="00F57C32">
              <w:rPr>
                <w:rFonts w:eastAsia="MS Mincho" w:cstheme="minorHAnsi"/>
              </w:rPr>
              <w:t>we</w:t>
            </w:r>
            <w:r w:rsidR="00FF46D5">
              <w:rPr>
                <w:rFonts w:eastAsia="MS Mincho" w:cstheme="minorHAnsi"/>
              </w:rPr>
              <w:t>ek</w:t>
            </w:r>
            <w:r w:rsidR="00FF46D5" w:rsidRPr="00F57C32">
              <w:rPr>
                <w:rFonts w:eastAsia="MS Mincho" w:cstheme="minorHAnsi"/>
              </w:rPr>
              <w:t>s</w:t>
            </w:r>
            <w:r w:rsidRPr="00F57C32">
              <w:rPr>
                <w:rFonts w:eastAsia="MS Mincho" w:cstheme="minorHAnsi"/>
              </w:rPr>
              <w:t xml:space="preserve"> 26 and 52 by phone</w:t>
            </w:r>
            <w:r w:rsidR="00FF46D5">
              <w:rPr>
                <w:rFonts w:eastAsia="MS Mincho" w:cstheme="minorHAnsi"/>
              </w:rPr>
              <w:t>.</w:t>
            </w:r>
          </w:p>
        </w:tc>
        <w:tc>
          <w:tcPr>
            <w:tcW w:w="960" w:type="pct"/>
          </w:tcPr>
          <w:p w:rsidR="00C3700A" w:rsidRPr="00AD1DBB" w:rsidRDefault="00AD1DBB" w:rsidP="00A71365">
            <w:pPr>
              <w:pStyle w:val="Tablewriting"/>
              <w:rPr>
                <w:rFonts w:eastAsia="MS Mincho" w:cstheme="minorHAnsi"/>
                <w:u w:val="single"/>
              </w:rPr>
            </w:pPr>
            <w:r w:rsidRPr="00AD1DBB">
              <w:rPr>
                <w:rFonts w:eastAsia="MS Mincho" w:cstheme="minorHAnsi"/>
                <w:u w:val="single"/>
              </w:rPr>
              <w:lastRenderedPageBreak/>
              <w:t>Efficacy:</w:t>
            </w:r>
          </w:p>
          <w:p w:rsidR="00F7630F" w:rsidRPr="00F7630F" w:rsidRDefault="00F7630F" w:rsidP="00A71365">
            <w:pPr>
              <w:pStyle w:val="Tablewriting"/>
              <w:rPr>
                <w:rFonts w:eastAsia="MS Mincho" w:cstheme="minorHAnsi"/>
              </w:rPr>
            </w:pPr>
            <w:r w:rsidRPr="00F7630F">
              <w:rPr>
                <w:rFonts w:eastAsia="MS Mincho" w:cstheme="minorHAnsi"/>
              </w:rPr>
              <w:t>CO-confirmed PPA at w</w:t>
            </w:r>
            <w:r>
              <w:rPr>
                <w:rFonts w:eastAsia="MS Mincho" w:cstheme="minorHAnsi"/>
              </w:rPr>
              <w:t>ee</w:t>
            </w:r>
            <w:r w:rsidRPr="00F7630F">
              <w:rPr>
                <w:rFonts w:eastAsia="MS Mincho" w:cstheme="minorHAnsi"/>
              </w:rPr>
              <w:t>k 26</w:t>
            </w:r>
            <w:r>
              <w:rPr>
                <w:rFonts w:eastAsia="MS Mincho" w:cstheme="minorHAnsi"/>
              </w:rPr>
              <w:t>.</w:t>
            </w:r>
          </w:p>
          <w:p w:rsidR="00F7630F" w:rsidRPr="00F7630F" w:rsidRDefault="00F7630F" w:rsidP="00A71365">
            <w:pPr>
              <w:pStyle w:val="Tablewriting"/>
              <w:rPr>
                <w:rFonts w:eastAsia="MS Mincho" w:cstheme="minorHAnsi"/>
              </w:rPr>
            </w:pPr>
            <w:r w:rsidRPr="00F7630F">
              <w:rPr>
                <w:rFonts w:eastAsia="MS Mincho" w:cstheme="minorHAnsi"/>
              </w:rPr>
              <w:t>CO-confirmed PA from day 7 post-TQD to day 181</w:t>
            </w:r>
            <w:r>
              <w:rPr>
                <w:rFonts w:eastAsia="MS Mincho" w:cstheme="minorHAnsi"/>
              </w:rPr>
              <w:t>.</w:t>
            </w:r>
          </w:p>
          <w:p w:rsidR="006C01A1" w:rsidRPr="006C01A1" w:rsidRDefault="00F7630F" w:rsidP="00A71365">
            <w:pPr>
              <w:pStyle w:val="Tablewriting"/>
              <w:rPr>
                <w:rFonts w:eastAsia="MS Mincho" w:cstheme="minorHAnsi"/>
              </w:rPr>
            </w:pPr>
            <w:r w:rsidRPr="00F7630F">
              <w:rPr>
                <w:rFonts w:eastAsia="MS Mincho" w:cstheme="minorHAnsi"/>
              </w:rPr>
              <w:t>CO-confirmed PPA at w</w:t>
            </w:r>
            <w:r>
              <w:rPr>
                <w:rFonts w:eastAsia="MS Mincho" w:cstheme="minorHAnsi"/>
              </w:rPr>
              <w:t>ee</w:t>
            </w:r>
            <w:r w:rsidRPr="00F7630F">
              <w:rPr>
                <w:rFonts w:eastAsia="MS Mincho" w:cstheme="minorHAnsi"/>
              </w:rPr>
              <w:t>ks 4, 12, 52</w:t>
            </w:r>
            <w:r>
              <w:rPr>
                <w:rFonts w:eastAsia="MS Mincho" w:cstheme="minorHAnsi"/>
              </w:rPr>
              <w:t>.</w:t>
            </w:r>
          </w:p>
          <w:p w:rsidR="008C11B5" w:rsidRDefault="008C11B5" w:rsidP="00A71365">
            <w:pPr>
              <w:pStyle w:val="Tablewriting"/>
              <w:rPr>
                <w:rFonts w:eastAsia="MS Mincho" w:cstheme="minorHAnsi"/>
              </w:rPr>
            </w:pPr>
            <w:r w:rsidRPr="00F7630F">
              <w:rPr>
                <w:rFonts w:eastAsia="MS Mincho" w:cstheme="minorHAnsi"/>
              </w:rPr>
              <w:lastRenderedPageBreak/>
              <w:t xml:space="preserve">Validation was by expired CO </w:t>
            </w:r>
            <w:r w:rsidRPr="00D32EF0">
              <w:rPr>
                <w:rFonts w:eastAsia="MS Mincho" w:cstheme="minorHAnsi"/>
              </w:rPr>
              <w:t>≤</w:t>
            </w:r>
            <w:r w:rsidRPr="00F7630F">
              <w:rPr>
                <w:rFonts w:eastAsia="MS Mincho" w:cstheme="minorHAnsi"/>
              </w:rPr>
              <w:t xml:space="preserve"> 9 ppm and </w:t>
            </w:r>
            <w:r w:rsidRPr="00D32EF0">
              <w:rPr>
                <w:rFonts w:eastAsia="MS Mincho" w:cstheme="minorHAnsi"/>
              </w:rPr>
              <w:t>≤</w:t>
            </w:r>
            <w:r w:rsidRPr="00F7630F">
              <w:rPr>
                <w:rFonts w:eastAsia="MS Mincho" w:cstheme="minorHAnsi"/>
              </w:rPr>
              <w:t xml:space="preserve"> 5 ppm</w:t>
            </w:r>
            <w:r>
              <w:rPr>
                <w:rFonts w:eastAsia="MS Mincho" w:cstheme="minorHAnsi"/>
              </w:rPr>
              <w:t>.</w:t>
            </w:r>
          </w:p>
          <w:p w:rsidR="008C11B5" w:rsidRDefault="008C11B5" w:rsidP="00A71365">
            <w:pPr>
              <w:pStyle w:val="Tablewriting"/>
              <w:rPr>
                <w:rFonts w:eastAsia="MS Mincho" w:cstheme="minorHAnsi"/>
              </w:rPr>
            </w:pPr>
          </w:p>
          <w:p w:rsidR="00F7630F" w:rsidRPr="00F7630F" w:rsidRDefault="00F7630F" w:rsidP="00A71365">
            <w:pPr>
              <w:pStyle w:val="Tablewriting"/>
              <w:rPr>
                <w:rFonts w:eastAsia="MS Mincho" w:cstheme="minorHAnsi"/>
              </w:rPr>
            </w:pPr>
            <w:r w:rsidRPr="00F7630F">
              <w:rPr>
                <w:rFonts w:eastAsia="MS Mincho" w:cstheme="minorHAnsi"/>
                <w:u w:val="single"/>
              </w:rPr>
              <w:t>Safety:</w:t>
            </w:r>
            <w:r>
              <w:rPr>
                <w:rFonts w:eastAsia="MS Mincho" w:cstheme="minorHAnsi"/>
                <w:u w:val="single"/>
              </w:rPr>
              <w:t xml:space="preserve"> </w:t>
            </w:r>
            <w:r w:rsidRPr="00F7630F">
              <w:rPr>
                <w:rFonts w:eastAsia="MS Mincho" w:cstheme="minorHAnsi"/>
              </w:rPr>
              <w:t>withdrawals, adverse events</w:t>
            </w:r>
          </w:p>
          <w:p w:rsidR="00F7630F" w:rsidRPr="00F7630F" w:rsidRDefault="00F7630F" w:rsidP="00A71365">
            <w:pPr>
              <w:pStyle w:val="Tablewriting"/>
              <w:rPr>
                <w:rFonts w:eastAsia="MS Mincho" w:cstheme="minorHAnsi"/>
                <w:u w:val="single"/>
              </w:rPr>
            </w:pPr>
          </w:p>
          <w:p w:rsidR="00F7630F" w:rsidRPr="00F7630F" w:rsidRDefault="00F7630F" w:rsidP="00A71365">
            <w:pPr>
              <w:pStyle w:val="Tablewriting"/>
              <w:rPr>
                <w:rFonts w:eastAsia="MS Mincho" w:cstheme="minorHAnsi"/>
              </w:rPr>
            </w:pPr>
            <w:r w:rsidRPr="00F7630F">
              <w:rPr>
                <w:rFonts w:eastAsia="MS Mincho" w:cstheme="minorHAnsi"/>
                <w:u w:val="single"/>
              </w:rPr>
              <w:t>Other outcomes</w:t>
            </w:r>
            <w:r w:rsidRPr="00F7630F">
              <w:rPr>
                <w:rFonts w:eastAsia="MS Mincho" w:cstheme="minorHAnsi"/>
              </w:rPr>
              <w:t>:</w:t>
            </w:r>
            <w:r>
              <w:rPr>
                <w:rFonts w:eastAsia="MS Mincho" w:cstheme="minorHAnsi"/>
              </w:rPr>
              <w:t xml:space="preserve"> </w:t>
            </w:r>
            <w:r w:rsidRPr="00F7630F">
              <w:rPr>
                <w:rFonts w:eastAsia="MS Mincho" w:cstheme="minorHAnsi"/>
              </w:rPr>
              <w:t>Adherence</w:t>
            </w:r>
            <w:r>
              <w:rPr>
                <w:rFonts w:eastAsia="MS Mincho" w:cstheme="minorHAnsi"/>
              </w:rPr>
              <w:t>.</w:t>
            </w:r>
          </w:p>
          <w:p w:rsidR="00F7630F" w:rsidRDefault="00F7630F" w:rsidP="00A71365">
            <w:pPr>
              <w:pStyle w:val="Tablewriting"/>
              <w:rPr>
                <w:rFonts w:eastAsia="MS Mincho" w:cstheme="minorHAnsi"/>
              </w:rPr>
            </w:pPr>
          </w:p>
          <w:p w:rsidR="00C3700A" w:rsidRPr="00F7630F" w:rsidRDefault="00C3700A" w:rsidP="00A71365">
            <w:pPr>
              <w:pStyle w:val="Tablewriting"/>
              <w:rPr>
                <w:rFonts w:eastAsia="MS Mincho" w:cstheme="minorHAnsi"/>
              </w:rPr>
            </w:pPr>
          </w:p>
        </w:tc>
      </w:tr>
      <w:tr w:rsidR="00C3700A" w:rsidRPr="00017AE6" w:rsidTr="005012C6">
        <w:trPr>
          <w:trHeight w:val="99"/>
        </w:trPr>
        <w:tc>
          <w:tcPr>
            <w:tcW w:w="412" w:type="pct"/>
          </w:tcPr>
          <w:p w:rsidR="00C3700A" w:rsidRPr="00017AE6" w:rsidRDefault="001B799D" w:rsidP="00A71365">
            <w:pPr>
              <w:pStyle w:val="Tablewriting"/>
              <w:rPr>
                <w:rFonts w:eastAsia="MS Mincho" w:cstheme="minorHAnsi"/>
              </w:rPr>
            </w:pPr>
            <w:r w:rsidRPr="001B799D">
              <w:rPr>
                <w:rFonts w:eastAsia="MS Mincho" w:cstheme="minorHAnsi"/>
              </w:rPr>
              <w:lastRenderedPageBreak/>
              <w:t xml:space="preserve">De Dios </w:t>
            </w:r>
            <w:r w:rsidR="00FA40D7">
              <w:rPr>
                <w:rFonts w:eastAsia="MS Mincho" w:cstheme="minorHAnsi"/>
              </w:rPr>
              <w:t>(</w:t>
            </w:r>
            <w:r w:rsidRPr="001B799D">
              <w:rPr>
                <w:rFonts w:eastAsia="MS Mincho" w:cstheme="minorHAnsi"/>
              </w:rPr>
              <w:t>2012</w:t>
            </w:r>
            <w:r w:rsidR="00FA40D7">
              <w:rPr>
                <w:rFonts w:eastAsia="MS Mincho" w:cstheme="minorHAnsi"/>
              </w:rPr>
              <w:t>)</w:t>
            </w:r>
          </w:p>
        </w:tc>
        <w:tc>
          <w:tcPr>
            <w:tcW w:w="234" w:type="pct"/>
          </w:tcPr>
          <w:p w:rsidR="00C3700A" w:rsidRPr="00017AE6" w:rsidRDefault="00BB1270" w:rsidP="00A71365">
            <w:pPr>
              <w:pStyle w:val="Tablewriting"/>
              <w:rPr>
                <w:rFonts w:eastAsia="MS Mincho" w:cstheme="minorHAnsi"/>
              </w:rPr>
            </w:pPr>
            <w:r>
              <w:rPr>
                <w:rFonts w:eastAsia="MS Mincho" w:cstheme="minorHAnsi"/>
              </w:rPr>
              <w:t>RCT</w:t>
            </w:r>
          </w:p>
        </w:tc>
        <w:tc>
          <w:tcPr>
            <w:tcW w:w="429" w:type="pct"/>
          </w:tcPr>
          <w:p w:rsidR="00C3700A" w:rsidRPr="00017AE6" w:rsidRDefault="00BB1270" w:rsidP="00A71365">
            <w:pPr>
              <w:pStyle w:val="Tablewriting"/>
              <w:rPr>
                <w:rFonts w:eastAsia="MS Mincho" w:cstheme="minorHAnsi"/>
              </w:rPr>
            </w:pPr>
            <w:r>
              <w:rPr>
                <w:rFonts w:eastAsia="MS Mincho" w:cstheme="minorHAnsi"/>
              </w:rPr>
              <w:t>USA</w:t>
            </w:r>
          </w:p>
        </w:tc>
        <w:tc>
          <w:tcPr>
            <w:tcW w:w="676" w:type="pct"/>
          </w:tcPr>
          <w:p w:rsidR="00C3700A" w:rsidRPr="00017AE6" w:rsidRDefault="004E5635" w:rsidP="00A71365">
            <w:pPr>
              <w:pStyle w:val="Tablewriting"/>
              <w:rPr>
                <w:rFonts w:eastAsia="MS Mincho" w:cstheme="minorHAnsi"/>
              </w:rPr>
            </w:pPr>
            <w:r w:rsidRPr="00C45B56">
              <w:rPr>
                <w:rFonts w:eastAsia="MS Mincho" w:cstheme="minorHAnsi"/>
              </w:rPr>
              <w:t>N=</w:t>
            </w:r>
            <w:r w:rsidR="0057327A">
              <w:rPr>
                <w:rFonts w:eastAsia="MS Mincho" w:cstheme="minorHAnsi"/>
              </w:rPr>
              <w:t>32</w:t>
            </w:r>
          </w:p>
        </w:tc>
        <w:tc>
          <w:tcPr>
            <w:tcW w:w="1233" w:type="pct"/>
          </w:tcPr>
          <w:p w:rsidR="0057327A" w:rsidRPr="0057327A" w:rsidRDefault="0057327A" w:rsidP="00A71365">
            <w:pPr>
              <w:pStyle w:val="Tablewriting"/>
              <w:rPr>
                <w:rFonts w:eastAsia="MS Mincho" w:cstheme="minorHAnsi"/>
              </w:rPr>
            </w:pPr>
            <w:r w:rsidRPr="0057327A">
              <w:rPr>
                <w:rFonts w:eastAsia="MS Mincho" w:cstheme="minorHAnsi"/>
              </w:rPr>
              <w:t>Latino volunteer light smokers (</w:t>
            </w:r>
            <w:r w:rsidR="00DD321D" w:rsidRPr="00DD321D">
              <w:rPr>
                <w:rFonts w:eastAsia="MS Mincho" w:cstheme="minorHAnsi"/>
              </w:rPr>
              <w:t>≤</w:t>
            </w:r>
            <w:r w:rsidRPr="0057327A">
              <w:rPr>
                <w:rFonts w:eastAsia="MS Mincho" w:cstheme="minorHAnsi"/>
              </w:rPr>
              <w:t xml:space="preserve"> 10 CPD), aged 18+, willing to set </w:t>
            </w:r>
            <w:r w:rsidR="00836B64">
              <w:rPr>
                <w:rFonts w:eastAsia="MS Mincho" w:cstheme="minorHAnsi"/>
              </w:rPr>
              <w:t xml:space="preserve">a quit date. Mean age 42, 53.1% </w:t>
            </w:r>
            <w:r w:rsidRPr="0057327A">
              <w:rPr>
                <w:rFonts w:eastAsia="MS Mincho" w:cstheme="minorHAnsi"/>
              </w:rPr>
              <w:t>women, mean CPD 7.6, mean FTND 2.9. Allocated to varenicline (10), NRT (11), placebo (11)</w:t>
            </w:r>
          </w:p>
          <w:p w:rsidR="00E869FF" w:rsidRDefault="00E869FF" w:rsidP="00A71365">
            <w:pPr>
              <w:pStyle w:val="Tablewriting"/>
              <w:rPr>
                <w:rFonts w:eastAsia="MS Mincho" w:cstheme="minorHAnsi"/>
              </w:rPr>
            </w:pPr>
          </w:p>
          <w:p w:rsidR="00C3700A" w:rsidRPr="00017AE6" w:rsidRDefault="0057327A" w:rsidP="00A71365">
            <w:pPr>
              <w:pStyle w:val="Tablewriting"/>
              <w:rPr>
                <w:rFonts w:eastAsia="MS Mincho" w:cstheme="minorHAnsi"/>
              </w:rPr>
            </w:pPr>
            <w:r w:rsidRPr="00E869FF">
              <w:rPr>
                <w:rFonts w:eastAsia="MS Mincho" w:cstheme="minorHAnsi"/>
                <w:u w:val="single"/>
              </w:rPr>
              <w:t>Exclusions</w:t>
            </w:r>
            <w:r w:rsidRPr="0057327A">
              <w:rPr>
                <w:rFonts w:eastAsia="MS Mincho" w:cstheme="minorHAnsi"/>
              </w:rPr>
              <w:t>: Usual pharmacological conditions, on NRT or smokeless tobacco, history of suicide attempts,</w:t>
            </w:r>
            <w:r w:rsidR="00E869FF">
              <w:rPr>
                <w:rFonts w:eastAsia="MS Mincho" w:cstheme="minorHAnsi"/>
              </w:rPr>
              <w:t xml:space="preserve"> </w:t>
            </w:r>
            <w:r w:rsidRPr="0057327A">
              <w:rPr>
                <w:rFonts w:eastAsia="MS Mincho" w:cstheme="minorHAnsi"/>
              </w:rPr>
              <w:t>chronic or acute psychiatric disorder, employed as a pilot, driver or heavy machinery operator</w:t>
            </w:r>
            <w:r w:rsidR="00E869FF">
              <w:rPr>
                <w:rFonts w:eastAsia="MS Mincho" w:cstheme="minorHAnsi"/>
              </w:rPr>
              <w:t>.</w:t>
            </w:r>
          </w:p>
        </w:tc>
        <w:tc>
          <w:tcPr>
            <w:tcW w:w="1055" w:type="pct"/>
          </w:tcPr>
          <w:p w:rsidR="00936FDC" w:rsidRDefault="005B13DF" w:rsidP="00C324F3">
            <w:pPr>
              <w:pStyle w:val="Tablewriting"/>
              <w:numPr>
                <w:ilvl w:val="0"/>
                <w:numId w:val="145"/>
              </w:numPr>
              <w:rPr>
                <w:rFonts w:eastAsia="MS Mincho" w:cstheme="minorHAnsi"/>
              </w:rPr>
            </w:pPr>
            <w:r w:rsidRPr="005B13DF">
              <w:rPr>
                <w:rFonts w:eastAsia="MS Mincho" w:cstheme="minorHAnsi"/>
              </w:rPr>
              <w:t>Varenicline 12-w</w:t>
            </w:r>
            <w:r w:rsidR="00936FDC">
              <w:rPr>
                <w:rFonts w:eastAsia="MS Mincho" w:cstheme="minorHAnsi"/>
              </w:rPr>
              <w:t>ee</w:t>
            </w:r>
            <w:r w:rsidRPr="005B13DF">
              <w:rPr>
                <w:rFonts w:eastAsia="MS Mincho" w:cstheme="minorHAnsi"/>
              </w:rPr>
              <w:t>k treatment course, titrated 1st w</w:t>
            </w:r>
            <w:r w:rsidR="00936FDC">
              <w:rPr>
                <w:rFonts w:eastAsia="MS Mincho" w:cstheme="minorHAnsi"/>
              </w:rPr>
              <w:t>ee</w:t>
            </w:r>
            <w:r w:rsidRPr="005B13DF">
              <w:rPr>
                <w:rFonts w:eastAsia="MS Mincho" w:cstheme="minorHAnsi"/>
              </w:rPr>
              <w:t>k</w:t>
            </w:r>
            <w:r w:rsidR="00936FDC">
              <w:rPr>
                <w:rFonts w:eastAsia="MS Mincho" w:cstheme="minorHAnsi"/>
              </w:rPr>
              <w:t>.</w:t>
            </w:r>
          </w:p>
          <w:p w:rsidR="00A13511" w:rsidRDefault="005B13DF" w:rsidP="00C324F3">
            <w:pPr>
              <w:pStyle w:val="Tablewriting"/>
              <w:numPr>
                <w:ilvl w:val="0"/>
                <w:numId w:val="145"/>
              </w:numPr>
              <w:rPr>
                <w:rFonts w:eastAsia="MS Mincho" w:cstheme="minorHAnsi"/>
              </w:rPr>
            </w:pPr>
            <w:r w:rsidRPr="00936FDC">
              <w:rPr>
                <w:rFonts w:eastAsia="MS Mincho" w:cstheme="minorHAnsi"/>
              </w:rPr>
              <w:t>NRT 24-hour patch: 12 w</w:t>
            </w:r>
            <w:r w:rsidR="00936FDC">
              <w:rPr>
                <w:rFonts w:eastAsia="MS Mincho" w:cstheme="minorHAnsi"/>
              </w:rPr>
              <w:t>ee</w:t>
            </w:r>
            <w:r w:rsidRPr="00936FDC">
              <w:rPr>
                <w:rFonts w:eastAsia="MS Mincho" w:cstheme="minorHAnsi"/>
              </w:rPr>
              <w:t>ks: 4 w</w:t>
            </w:r>
            <w:r w:rsidR="00936FDC">
              <w:rPr>
                <w:rFonts w:eastAsia="MS Mincho" w:cstheme="minorHAnsi"/>
              </w:rPr>
              <w:t>ee</w:t>
            </w:r>
            <w:r w:rsidRPr="00936FDC">
              <w:rPr>
                <w:rFonts w:eastAsia="MS Mincho" w:cstheme="minorHAnsi"/>
              </w:rPr>
              <w:t xml:space="preserve">ks </w:t>
            </w:r>
            <w:r w:rsidR="00A13511">
              <w:rPr>
                <w:rFonts w:eastAsia="MS Mincho" w:cstheme="minorHAnsi"/>
              </w:rPr>
              <w:t xml:space="preserve">at </w:t>
            </w:r>
            <w:r w:rsidRPr="00936FDC">
              <w:rPr>
                <w:rFonts w:eastAsia="MS Mincho" w:cstheme="minorHAnsi"/>
              </w:rPr>
              <w:t>14 mg, 8 w</w:t>
            </w:r>
            <w:r w:rsidR="00A13511">
              <w:rPr>
                <w:rFonts w:eastAsia="MS Mincho" w:cstheme="minorHAnsi"/>
              </w:rPr>
              <w:t>ee</w:t>
            </w:r>
            <w:r w:rsidRPr="00936FDC">
              <w:rPr>
                <w:rFonts w:eastAsia="MS Mincho" w:cstheme="minorHAnsi"/>
              </w:rPr>
              <w:t xml:space="preserve">ks </w:t>
            </w:r>
            <w:r w:rsidR="00A13511">
              <w:rPr>
                <w:rFonts w:eastAsia="MS Mincho" w:cstheme="minorHAnsi"/>
              </w:rPr>
              <w:t xml:space="preserve">at </w:t>
            </w:r>
            <w:r w:rsidRPr="00936FDC">
              <w:rPr>
                <w:rFonts w:eastAsia="MS Mincho" w:cstheme="minorHAnsi"/>
              </w:rPr>
              <w:t>7 mg</w:t>
            </w:r>
            <w:r w:rsidR="00A13511">
              <w:rPr>
                <w:rFonts w:eastAsia="MS Mincho" w:cstheme="minorHAnsi"/>
              </w:rPr>
              <w:t>.</w:t>
            </w:r>
          </w:p>
          <w:p w:rsidR="005B13DF" w:rsidRDefault="005B13DF" w:rsidP="00C324F3">
            <w:pPr>
              <w:pStyle w:val="Tablewriting"/>
              <w:numPr>
                <w:ilvl w:val="0"/>
                <w:numId w:val="145"/>
              </w:numPr>
              <w:rPr>
                <w:rFonts w:eastAsia="MS Mincho" w:cstheme="minorHAnsi"/>
              </w:rPr>
            </w:pPr>
            <w:r w:rsidRPr="00A13511">
              <w:rPr>
                <w:rFonts w:eastAsia="MS Mincho" w:cstheme="minorHAnsi"/>
              </w:rPr>
              <w:t>Varenicline-placebo, i.e. identical tablet, same regimen</w:t>
            </w:r>
            <w:r w:rsidR="00A13511">
              <w:rPr>
                <w:rFonts w:eastAsia="MS Mincho" w:cstheme="minorHAnsi"/>
              </w:rPr>
              <w:t>.</w:t>
            </w:r>
          </w:p>
          <w:p w:rsidR="00A13511" w:rsidRPr="00A13511" w:rsidRDefault="00A13511" w:rsidP="00A71365">
            <w:pPr>
              <w:pStyle w:val="Tablewriting"/>
              <w:ind w:left="360"/>
              <w:rPr>
                <w:rFonts w:eastAsia="MS Mincho" w:cstheme="minorHAnsi"/>
              </w:rPr>
            </w:pPr>
          </w:p>
          <w:p w:rsidR="00C3700A" w:rsidRPr="00017AE6" w:rsidRDefault="00A13511" w:rsidP="00A71365">
            <w:pPr>
              <w:pStyle w:val="Tablewriting"/>
              <w:rPr>
                <w:rFonts w:eastAsia="MS Mincho" w:cstheme="minorHAnsi"/>
              </w:rPr>
            </w:pPr>
            <w:r w:rsidRPr="004926AC">
              <w:rPr>
                <w:rFonts w:eastAsia="MS Mincho" w:cstheme="minorHAnsi"/>
                <w:u w:val="single"/>
              </w:rPr>
              <w:t xml:space="preserve">Common components: </w:t>
            </w:r>
            <w:r w:rsidR="005B13DF" w:rsidRPr="005B13DF">
              <w:rPr>
                <w:rFonts w:eastAsia="MS Mincho" w:cstheme="minorHAnsi"/>
              </w:rPr>
              <w:t>All participants received a 30-minute face-to-face "culturally informed" smoking cessation behavioural</w:t>
            </w:r>
            <w:r>
              <w:rPr>
                <w:rFonts w:eastAsia="MS Mincho" w:cstheme="minorHAnsi"/>
              </w:rPr>
              <w:t xml:space="preserve"> </w:t>
            </w:r>
            <w:r w:rsidR="005B13DF" w:rsidRPr="005B13DF">
              <w:rPr>
                <w:rFonts w:eastAsia="MS Mincho" w:cstheme="minorHAnsi"/>
              </w:rPr>
              <w:t xml:space="preserve">intervention, + a non-tailored self-help brochure, all available in both English and Spanish. </w:t>
            </w:r>
          </w:p>
        </w:tc>
        <w:tc>
          <w:tcPr>
            <w:tcW w:w="960" w:type="pct"/>
          </w:tcPr>
          <w:p w:rsidR="00217E87" w:rsidRPr="00AD1DBB" w:rsidRDefault="000C12CB" w:rsidP="00A71365">
            <w:pPr>
              <w:pStyle w:val="Tablewriting"/>
              <w:rPr>
                <w:rFonts w:eastAsia="MS Mincho" w:cstheme="minorHAnsi"/>
                <w:u w:val="single"/>
              </w:rPr>
            </w:pPr>
            <w:r w:rsidRPr="00636300">
              <w:rPr>
                <w:rFonts w:eastAsia="MS Mincho" w:cstheme="minorHAnsi"/>
                <w:u w:val="single"/>
              </w:rPr>
              <w:t>Efficacy:</w:t>
            </w:r>
          </w:p>
          <w:p w:rsidR="00365297" w:rsidRPr="00365297" w:rsidRDefault="00365297" w:rsidP="00A71365">
            <w:pPr>
              <w:pStyle w:val="Tablewriting"/>
              <w:rPr>
                <w:rFonts w:eastAsia="MS Mincho" w:cstheme="minorHAnsi"/>
              </w:rPr>
            </w:pPr>
            <w:r w:rsidRPr="00365297">
              <w:rPr>
                <w:rFonts w:eastAsia="MS Mincho" w:cstheme="minorHAnsi"/>
              </w:rPr>
              <w:t>Primary: 7-day PPA at 6</w:t>
            </w:r>
            <w:r>
              <w:rPr>
                <w:rFonts w:eastAsia="MS Mincho" w:cstheme="minorHAnsi"/>
              </w:rPr>
              <w:t xml:space="preserve"> months.</w:t>
            </w:r>
          </w:p>
          <w:p w:rsidR="00365297" w:rsidRPr="00365297" w:rsidRDefault="00365297" w:rsidP="00A71365">
            <w:pPr>
              <w:pStyle w:val="Tablewriting"/>
              <w:rPr>
                <w:rFonts w:eastAsia="MS Mincho" w:cstheme="minorHAnsi"/>
              </w:rPr>
            </w:pPr>
            <w:r w:rsidRPr="00365297">
              <w:rPr>
                <w:rFonts w:eastAsia="MS Mincho" w:cstheme="minorHAnsi"/>
              </w:rPr>
              <w:t>Secondary: 7-day PPA at w</w:t>
            </w:r>
            <w:r>
              <w:rPr>
                <w:rFonts w:eastAsia="MS Mincho" w:cstheme="minorHAnsi"/>
              </w:rPr>
              <w:t>ee</w:t>
            </w:r>
            <w:r w:rsidRPr="00365297">
              <w:rPr>
                <w:rFonts w:eastAsia="MS Mincho" w:cstheme="minorHAnsi"/>
              </w:rPr>
              <w:t>ks 1, 2, 1m, 2m, 3m, 4m</w:t>
            </w:r>
            <w:r w:rsidR="00026598">
              <w:rPr>
                <w:rFonts w:eastAsia="MS Mincho" w:cstheme="minorHAnsi"/>
              </w:rPr>
              <w:t>.</w:t>
            </w:r>
          </w:p>
          <w:p w:rsidR="0088448B" w:rsidRDefault="0088448B" w:rsidP="00A71365">
            <w:pPr>
              <w:pStyle w:val="Tablewriting"/>
              <w:rPr>
                <w:rFonts w:eastAsia="MS Mincho" w:cstheme="minorHAnsi"/>
              </w:rPr>
            </w:pPr>
          </w:p>
          <w:p w:rsidR="006C01A1" w:rsidRPr="006C01A1" w:rsidRDefault="00365297" w:rsidP="00A71365">
            <w:pPr>
              <w:pStyle w:val="Tablewriting"/>
              <w:rPr>
                <w:rFonts w:eastAsia="MS Mincho" w:cstheme="minorHAnsi"/>
              </w:rPr>
            </w:pPr>
            <w:r w:rsidRPr="00365297">
              <w:rPr>
                <w:rFonts w:eastAsia="MS Mincho" w:cstheme="minorHAnsi"/>
              </w:rPr>
              <w:t>Validation: CO &lt; 5 ppm; salivary cotinine (not for the NRT group) &gt; 10</w:t>
            </w:r>
            <w:r w:rsidR="0088448B">
              <w:rPr>
                <w:rFonts w:eastAsia="MS Mincho" w:cstheme="minorHAnsi"/>
              </w:rPr>
              <w:t xml:space="preserve"> </w:t>
            </w:r>
            <w:r w:rsidR="00F77019">
              <w:rPr>
                <w:rFonts w:eastAsia="MS Mincho" w:cstheme="minorHAnsi"/>
              </w:rPr>
              <w:t>n</w:t>
            </w:r>
            <w:r w:rsidRPr="00365297">
              <w:rPr>
                <w:rFonts w:eastAsia="MS Mincho" w:cstheme="minorHAnsi"/>
              </w:rPr>
              <w:t>g/</w:t>
            </w:r>
            <w:r w:rsidR="00DD64CA">
              <w:rPr>
                <w:rFonts w:eastAsia="MS Mincho" w:cstheme="minorHAnsi"/>
              </w:rPr>
              <w:t>m</w:t>
            </w:r>
            <w:r w:rsidRPr="00365297">
              <w:rPr>
                <w:rFonts w:eastAsia="MS Mincho" w:cstheme="minorHAnsi"/>
              </w:rPr>
              <w:t>L</w:t>
            </w:r>
            <w:r w:rsidR="0088448B">
              <w:rPr>
                <w:rFonts w:eastAsia="MS Mincho" w:cstheme="minorHAnsi"/>
              </w:rPr>
              <w:t>.</w:t>
            </w:r>
          </w:p>
          <w:p w:rsidR="008C11B5" w:rsidRPr="00365297" w:rsidRDefault="008C11B5" w:rsidP="00A71365">
            <w:pPr>
              <w:pStyle w:val="Tablewriting"/>
              <w:rPr>
                <w:rFonts w:eastAsia="MS Mincho" w:cstheme="minorHAnsi"/>
              </w:rPr>
            </w:pPr>
          </w:p>
          <w:p w:rsidR="00365297" w:rsidRPr="00365297" w:rsidRDefault="0088448B" w:rsidP="00A71365">
            <w:pPr>
              <w:pStyle w:val="Tablewriting"/>
              <w:rPr>
                <w:rFonts w:eastAsia="MS Mincho" w:cstheme="minorHAnsi"/>
              </w:rPr>
            </w:pPr>
            <w:r w:rsidRPr="00AD1DBB">
              <w:rPr>
                <w:rFonts w:eastAsia="MS Mincho" w:cstheme="minorHAnsi"/>
                <w:u w:val="single"/>
              </w:rPr>
              <w:t>Safety:</w:t>
            </w:r>
            <w:r>
              <w:rPr>
                <w:rFonts w:eastAsia="MS Mincho" w:cstheme="minorHAnsi"/>
                <w:u w:val="single"/>
              </w:rPr>
              <w:t xml:space="preserve"> </w:t>
            </w:r>
            <w:r w:rsidR="00365297" w:rsidRPr="00365297">
              <w:rPr>
                <w:rFonts w:eastAsia="MS Mincho" w:cstheme="minorHAnsi"/>
              </w:rPr>
              <w:t>Adverse events not reported in detail, although study reports that "There was no pattern that suggested</w:t>
            </w:r>
          </w:p>
          <w:p w:rsidR="00C3700A" w:rsidRPr="00017AE6" w:rsidRDefault="00365297" w:rsidP="00A71365">
            <w:pPr>
              <w:pStyle w:val="Tablewriting"/>
              <w:rPr>
                <w:rFonts w:eastAsia="MS Mincho" w:cstheme="minorHAnsi"/>
              </w:rPr>
            </w:pPr>
            <w:r w:rsidRPr="00365297">
              <w:rPr>
                <w:rFonts w:eastAsia="MS Mincho" w:cstheme="minorHAnsi"/>
              </w:rPr>
              <w:lastRenderedPageBreak/>
              <w:t>a higher side-effect profile for those in the varenicline group"</w:t>
            </w:r>
            <w:r w:rsidR="0088448B">
              <w:rPr>
                <w:rFonts w:eastAsia="MS Mincho" w:cstheme="minorHAnsi"/>
              </w:rPr>
              <w:t>.</w:t>
            </w:r>
          </w:p>
        </w:tc>
      </w:tr>
      <w:tr w:rsidR="00C3700A" w:rsidRPr="00017AE6" w:rsidTr="005012C6">
        <w:trPr>
          <w:trHeight w:val="99"/>
        </w:trPr>
        <w:tc>
          <w:tcPr>
            <w:tcW w:w="412" w:type="pct"/>
          </w:tcPr>
          <w:p w:rsidR="00C3700A" w:rsidRPr="00017AE6" w:rsidRDefault="001B799D" w:rsidP="00A71365">
            <w:pPr>
              <w:pStyle w:val="Tablewriting"/>
              <w:rPr>
                <w:rFonts w:eastAsia="MS Mincho" w:cstheme="minorHAnsi"/>
              </w:rPr>
            </w:pPr>
            <w:r w:rsidRPr="001B799D">
              <w:rPr>
                <w:rFonts w:eastAsia="MS Mincho" w:cstheme="minorHAnsi"/>
              </w:rPr>
              <w:lastRenderedPageBreak/>
              <w:t xml:space="preserve">EAGLES </w:t>
            </w:r>
            <w:r w:rsidR="0006565D">
              <w:rPr>
                <w:rFonts w:eastAsia="MS Mincho" w:cstheme="minorHAnsi"/>
              </w:rPr>
              <w:t>(</w:t>
            </w:r>
            <w:r w:rsidRPr="001B799D">
              <w:rPr>
                <w:rFonts w:eastAsia="MS Mincho" w:cstheme="minorHAnsi"/>
              </w:rPr>
              <w:t>2016</w:t>
            </w:r>
            <w:r w:rsidR="0006565D">
              <w:rPr>
                <w:rFonts w:eastAsia="MS Mincho" w:cstheme="minorHAnsi"/>
              </w:rPr>
              <w:t>)</w:t>
            </w:r>
          </w:p>
        </w:tc>
        <w:tc>
          <w:tcPr>
            <w:tcW w:w="234" w:type="pct"/>
          </w:tcPr>
          <w:p w:rsidR="00C3700A" w:rsidRPr="00017AE6" w:rsidRDefault="0006565D" w:rsidP="00A71365">
            <w:pPr>
              <w:pStyle w:val="Tablewriting"/>
              <w:rPr>
                <w:rFonts w:eastAsia="MS Mincho" w:cstheme="minorHAnsi"/>
              </w:rPr>
            </w:pPr>
            <w:r w:rsidRPr="00017AE6">
              <w:rPr>
                <w:rFonts w:eastAsia="MS Mincho" w:cstheme="minorHAnsi"/>
              </w:rPr>
              <w:t>RCT</w:t>
            </w:r>
          </w:p>
        </w:tc>
        <w:tc>
          <w:tcPr>
            <w:tcW w:w="429" w:type="pct"/>
          </w:tcPr>
          <w:p w:rsidR="0006565D" w:rsidRPr="00017AE6" w:rsidRDefault="0006565D" w:rsidP="00A71365">
            <w:pPr>
              <w:pStyle w:val="Tablewriting"/>
              <w:rPr>
                <w:rFonts w:eastAsia="MS Mincho" w:cstheme="minorHAnsi"/>
              </w:rPr>
            </w:pPr>
            <w:r w:rsidRPr="00017AE6">
              <w:rPr>
                <w:rFonts w:eastAsia="MS Mincho" w:cstheme="minorHAnsi"/>
              </w:rPr>
              <w:t>Argentina, Australia, Brazil, Bulgaria, Canada, Chile, Denmark, Finland, Germany, Mexico,</w:t>
            </w:r>
          </w:p>
          <w:p w:rsidR="00C3700A" w:rsidRPr="00017AE6" w:rsidRDefault="0006565D" w:rsidP="00A71365">
            <w:pPr>
              <w:pStyle w:val="Tablewriting"/>
              <w:rPr>
                <w:rFonts w:eastAsia="MS Mincho" w:cstheme="minorHAnsi"/>
              </w:rPr>
            </w:pPr>
            <w:r w:rsidRPr="00017AE6">
              <w:rPr>
                <w:rFonts w:eastAsia="MS Mincho" w:cstheme="minorHAnsi"/>
              </w:rPr>
              <w:t>New Zealand, Russian Federation, Slovakia South Africa, Spain, USA</w:t>
            </w:r>
          </w:p>
        </w:tc>
        <w:tc>
          <w:tcPr>
            <w:tcW w:w="676" w:type="pct"/>
          </w:tcPr>
          <w:p w:rsidR="0006565D" w:rsidRPr="00017AE6" w:rsidRDefault="0006565D" w:rsidP="00A71365">
            <w:pPr>
              <w:pStyle w:val="Tablewriting"/>
              <w:rPr>
                <w:rFonts w:eastAsia="MS Mincho" w:cstheme="minorHAnsi"/>
              </w:rPr>
            </w:pPr>
            <w:r w:rsidRPr="00017AE6">
              <w:rPr>
                <w:rFonts w:eastAsia="MS Mincho" w:cstheme="minorHAnsi"/>
              </w:rPr>
              <w:t>N=8144</w:t>
            </w:r>
            <w:r>
              <w:rPr>
                <w:rFonts w:eastAsia="MS Mincho" w:cstheme="minorHAnsi"/>
              </w:rPr>
              <w:t>; participants were grouped into:</w:t>
            </w:r>
          </w:p>
          <w:p w:rsidR="0006565D" w:rsidRDefault="0006565D" w:rsidP="00A71365">
            <w:pPr>
              <w:pStyle w:val="Tablewriting"/>
              <w:rPr>
                <w:rFonts w:eastAsia="MS Mincho" w:cstheme="minorHAnsi"/>
              </w:rPr>
            </w:pPr>
          </w:p>
          <w:p w:rsidR="0006565D" w:rsidRPr="0028080F" w:rsidRDefault="0006565D" w:rsidP="00C324F3">
            <w:pPr>
              <w:pStyle w:val="Tablewriting"/>
              <w:numPr>
                <w:ilvl w:val="0"/>
                <w:numId w:val="66"/>
              </w:numPr>
              <w:rPr>
                <w:rFonts w:eastAsia="MS Mincho" w:cstheme="minorHAnsi"/>
              </w:rPr>
            </w:pPr>
            <w:r>
              <w:rPr>
                <w:rFonts w:eastAsia="MS Mincho" w:cstheme="minorHAnsi"/>
              </w:rPr>
              <w:t xml:space="preserve"> P</w:t>
            </w:r>
            <w:r w:rsidRPr="00017AE6">
              <w:rPr>
                <w:rFonts w:eastAsia="MS Mincho" w:cstheme="minorHAnsi"/>
              </w:rPr>
              <w:t>sychiatric disorders</w:t>
            </w:r>
            <w:r>
              <w:rPr>
                <w:rFonts w:eastAsia="MS Mincho" w:cstheme="minorHAnsi"/>
              </w:rPr>
              <w:t xml:space="preserve"> (n=</w:t>
            </w:r>
            <w:r w:rsidRPr="00017AE6">
              <w:rPr>
                <w:rFonts w:eastAsia="MS Mincho" w:cstheme="minorHAnsi"/>
              </w:rPr>
              <w:t>4116)</w:t>
            </w:r>
            <w:r>
              <w:rPr>
                <w:rFonts w:eastAsia="MS Mincho" w:cstheme="minorHAnsi"/>
              </w:rPr>
              <w:t xml:space="preserve"> in which:</w:t>
            </w:r>
            <w:r w:rsidRPr="00EB2848">
              <w:rPr>
                <w:rFonts w:eastAsia="MS Mincho" w:cstheme="minorHAnsi"/>
              </w:rPr>
              <w:t xml:space="preserve"> </w:t>
            </w:r>
          </w:p>
          <w:p w:rsidR="0006565D" w:rsidRPr="00017AE6" w:rsidRDefault="0006565D" w:rsidP="00A71365">
            <w:pPr>
              <w:pStyle w:val="Tablewriting"/>
              <w:ind w:left="720"/>
              <w:rPr>
                <w:rFonts w:eastAsia="MS Mincho" w:cstheme="minorHAnsi"/>
              </w:rPr>
            </w:pPr>
            <w:r>
              <w:rPr>
                <w:rFonts w:eastAsia="MS Mincho" w:cstheme="minorHAnsi"/>
              </w:rPr>
              <w:t>n=</w:t>
            </w:r>
            <w:r w:rsidRPr="00017AE6">
              <w:rPr>
                <w:rFonts w:eastAsia="MS Mincho" w:cstheme="minorHAnsi"/>
              </w:rPr>
              <w:t>1032</w:t>
            </w:r>
            <w:r>
              <w:rPr>
                <w:rFonts w:eastAsia="MS Mincho" w:cstheme="minorHAnsi"/>
              </w:rPr>
              <w:t xml:space="preserve"> (varenicline), n=</w:t>
            </w:r>
            <w:r w:rsidRPr="00017AE6">
              <w:rPr>
                <w:rFonts w:eastAsia="MS Mincho" w:cstheme="minorHAnsi"/>
              </w:rPr>
              <w:t>1033</w:t>
            </w:r>
            <w:r>
              <w:rPr>
                <w:rFonts w:eastAsia="MS Mincho" w:cstheme="minorHAnsi"/>
              </w:rPr>
              <w:t xml:space="preserve"> (</w:t>
            </w:r>
            <w:r w:rsidRPr="00017AE6">
              <w:rPr>
                <w:rFonts w:eastAsia="MS Mincho" w:cstheme="minorHAnsi"/>
              </w:rPr>
              <w:t>bupropion</w:t>
            </w:r>
            <w:r>
              <w:rPr>
                <w:rFonts w:eastAsia="MS Mincho" w:cstheme="minorHAnsi"/>
              </w:rPr>
              <w:t>)</w:t>
            </w:r>
            <w:r w:rsidRPr="00017AE6">
              <w:rPr>
                <w:rFonts w:eastAsia="MS Mincho" w:cstheme="minorHAnsi"/>
              </w:rPr>
              <w:t xml:space="preserve">, </w:t>
            </w:r>
            <w:r>
              <w:rPr>
                <w:rFonts w:eastAsia="MS Mincho" w:cstheme="minorHAnsi"/>
              </w:rPr>
              <w:t>n=</w:t>
            </w:r>
            <w:r w:rsidRPr="00017AE6">
              <w:rPr>
                <w:rFonts w:eastAsia="MS Mincho" w:cstheme="minorHAnsi"/>
              </w:rPr>
              <w:t>1025</w:t>
            </w:r>
            <w:r>
              <w:rPr>
                <w:rFonts w:eastAsia="MS Mincho" w:cstheme="minorHAnsi"/>
              </w:rPr>
              <w:t xml:space="preserve"> (</w:t>
            </w:r>
            <w:r w:rsidRPr="00017AE6">
              <w:rPr>
                <w:rFonts w:eastAsia="MS Mincho" w:cstheme="minorHAnsi"/>
              </w:rPr>
              <w:t>NRT patch</w:t>
            </w:r>
            <w:r>
              <w:rPr>
                <w:rFonts w:eastAsia="MS Mincho" w:cstheme="minorHAnsi"/>
              </w:rPr>
              <w:t>)</w:t>
            </w:r>
            <w:r w:rsidRPr="00017AE6">
              <w:rPr>
                <w:rFonts w:eastAsia="MS Mincho" w:cstheme="minorHAnsi"/>
              </w:rPr>
              <w:t xml:space="preserve">, </w:t>
            </w:r>
            <w:r>
              <w:rPr>
                <w:rFonts w:eastAsia="MS Mincho" w:cstheme="minorHAnsi"/>
              </w:rPr>
              <w:t>n=</w:t>
            </w:r>
            <w:r w:rsidRPr="00017AE6">
              <w:rPr>
                <w:rFonts w:eastAsia="MS Mincho" w:cstheme="minorHAnsi"/>
              </w:rPr>
              <w:t>1026</w:t>
            </w:r>
            <w:r>
              <w:rPr>
                <w:rFonts w:eastAsia="MS Mincho" w:cstheme="minorHAnsi"/>
              </w:rPr>
              <w:t xml:space="preserve"> (</w:t>
            </w:r>
            <w:r w:rsidRPr="00017AE6">
              <w:rPr>
                <w:rFonts w:eastAsia="MS Mincho" w:cstheme="minorHAnsi"/>
              </w:rPr>
              <w:t>placebo</w:t>
            </w:r>
            <w:r>
              <w:rPr>
                <w:rFonts w:eastAsia="MS Mincho" w:cstheme="minorHAnsi"/>
              </w:rPr>
              <w:t>)</w:t>
            </w:r>
          </w:p>
          <w:p w:rsidR="0006565D" w:rsidRPr="00017AE6" w:rsidRDefault="0006565D" w:rsidP="00C324F3">
            <w:pPr>
              <w:pStyle w:val="Tablewriting"/>
              <w:numPr>
                <w:ilvl w:val="0"/>
                <w:numId w:val="66"/>
              </w:numPr>
              <w:rPr>
                <w:rFonts w:eastAsia="MS Mincho" w:cstheme="minorHAnsi"/>
              </w:rPr>
            </w:pPr>
            <w:r>
              <w:rPr>
                <w:rFonts w:eastAsia="MS Mincho" w:cstheme="minorHAnsi"/>
              </w:rPr>
              <w:t xml:space="preserve"> N</w:t>
            </w:r>
            <w:r w:rsidRPr="00017AE6">
              <w:rPr>
                <w:rFonts w:eastAsia="MS Mincho" w:cstheme="minorHAnsi"/>
              </w:rPr>
              <w:t>o psychiatric disorders</w:t>
            </w:r>
            <w:r>
              <w:rPr>
                <w:rFonts w:eastAsia="MS Mincho" w:cstheme="minorHAnsi"/>
              </w:rPr>
              <w:t xml:space="preserve"> (n=</w:t>
            </w:r>
            <w:r w:rsidRPr="00017AE6">
              <w:rPr>
                <w:rFonts w:eastAsia="MS Mincho" w:cstheme="minorHAnsi"/>
              </w:rPr>
              <w:t>4028)</w:t>
            </w:r>
            <w:r>
              <w:rPr>
                <w:rFonts w:eastAsia="MS Mincho" w:cstheme="minorHAnsi"/>
              </w:rPr>
              <w:t xml:space="preserve"> in which</w:t>
            </w:r>
            <w:r w:rsidRPr="00017AE6">
              <w:rPr>
                <w:rFonts w:eastAsia="MS Mincho" w:cstheme="minorHAnsi"/>
              </w:rPr>
              <w:t xml:space="preserve">: </w:t>
            </w:r>
            <w:r>
              <w:rPr>
                <w:rFonts w:eastAsia="MS Mincho" w:cstheme="minorHAnsi"/>
              </w:rPr>
              <w:t>n=</w:t>
            </w:r>
            <w:r w:rsidRPr="00017AE6">
              <w:rPr>
                <w:rFonts w:eastAsia="MS Mincho" w:cstheme="minorHAnsi"/>
              </w:rPr>
              <w:t>1005</w:t>
            </w:r>
            <w:r>
              <w:rPr>
                <w:rFonts w:eastAsia="MS Mincho" w:cstheme="minorHAnsi"/>
              </w:rPr>
              <w:t xml:space="preserve"> (</w:t>
            </w:r>
            <w:r w:rsidRPr="00017AE6">
              <w:rPr>
                <w:rFonts w:eastAsia="MS Mincho" w:cstheme="minorHAnsi"/>
              </w:rPr>
              <w:t>varenicline</w:t>
            </w:r>
            <w:r>
              <w:rPr>
                <w:rFonts w:eastAsia="MS Mincho" w:cstheme="minorHAnsi"/>
              </w:rPr>
              <w:t>), n=</w:t>
            </w:r>
            <w:r w:rsidRPr="00017AE6">
              <w:rPr>
                <w:rFonts w:eastAsia="MS Mincho" w:cstheme="minorHAnsi"/>
              </w:rPr>
              <w:t>1001</w:t>
            </w:r>
            <w:r>
              <w:rPr>
                <w:rFonts w:eastAsia="MS Mincho" w:cstheme="minorHAnsi"/>
              </w:rPr>
              <w:t xml:space="preserve"> (bupropion)</w:t>
            </w:r>
            <w:r w:rsidRPr="00017AE6">
              <w:rPr>
                <w:rFonts w:eastAsia="MS Mincho" w:cstheme="minorHAnsi"/>
              </w:rPr>
              <w:t xml:space="preserve">, </w:t>
            </w:r>
            <w:r>
              <w:rPr>
                <w:rFonts w:eastAsia="MS Mincho" w:cstheme="minorHAnsi"/>
              </w:rPr>
              <w:t>n=</w:t>
            </w:r>
            <w:r w:rsidRPr="00017AE6">
              <w:rPr>
                <w:rFonts w:eastAsia="MS Mincho" w:cstheme="minorHAnsi"/>
              </w:rPr>
              <w:t>1013</w:t>
            </w:r>
            <w:r>
              <w:rPr>
                <w:rFonts w:eastAsia="MS Mincho" w:cstheme="minorHAnsi"/>
              </w:rPr>
              <w:t xml:space="preserve"> (NRT patch)</w:t>
            </w:r>
            <w:r w:rsidRPr="00017AE6">
              <w:rPr>
                <w:rFonts w:eastAsia="MS Mincho" w:cstheme="minorHAnsi"/>
              </w:rPr>
              <w:t xml:space="preserve">, </w:t>
            </w:r>
            <w:r>
              <w:rPr>
                <w:rFonts w:eastAsia="MS Mincho" w:cstheme="minorHAnsi"/>
              </w:rPr>
              <w:t>n=</w:t>
            </w:r>
            <w:r w:rsidRPr="00017AE6">
              <w:rPr>
                <w:rFonts w:eastAsia="MS Mincho" w:cstheme="minorHAnsi"/>
              </w:rPr>
              <w:t>1009</w:t>
            </w:r>
            <w:r>
              <w:rPr>
                <w:rFonts w:eastAsia="MS Mincho" w:cstheme="minorHAnsi"/>
              </w:rPr>
              <w:t xml:space="preserve"> (placebo).</w:t>
            </w:r>
          </w:p>
          <w:p w:rsidR="0006565D" w:rsidRDefault="0006565D" w:rsidP="00A71365">
            <w:pPr>
              <w:pStyle w:val="Tablewriting"/>
              <w:rPr>
                <w:rFonts w:eastAsia="MS Mincho" w:cstheme="minorHAnsi"/>
              </w:rPr>
            </w:pPr>
          </w:p>
          <w:p w:rsidR="0006565D" w:rsidRPr="00017AE6" w:rsidRDefault="0006565D" w:rsidP="00A71365">
            <w:pPr>
              <w:pStyle w:val="Tablewriting"/>
              <w:rPr>
                <w:rFonts w:eastAsia="MS Mincho" w:cstheme="minorHAnsi"/>
              </w:rPr>
            </w:pPr>
            <w:r w:rsidRPr="00017AE6">
              <w:rPr>
                <w:rFonts w:eastAsia="MS Mincho" w:cstheme="minorHAnsi"/>
              </w:rPr>
              <w:t>Allocation for the psychiatric cohort was balanced across</w:t>
            </w:r>
          </w:p>
          <w:p w:rsidR="0006565D" w:rsidRPr="00017AE6" w:rsidRDefault="0006565D" w:rsidP="00A71365">
            <w:pPr>
              <w:pStyle w:val="Tablewriting"/>
              <w:rPr>
                <w:rFonts w:eastAsia="MS Mincho" w:cstheme="minorHAnsi"/>
              </w:rPr>
            </w:pPr>
            <w:r w:rsidRPr="00017AE6">
              <w:rPr>
                <w:rFonts w:eastAsia="MS Mincho" w:cstheme="minorHAnsi"/>
              </w:rPr>
              <w:t>four diagnostic group</w:t>
            </w:r>
            <w:r>
              <w:rPr>
                <w:rFonts w:eastAsia="MS Mincho" w:cstheme="minorHAnsi"/>
              </w:rPr>
              <w:t xml:space="preserve"> </w:t>
            </w:r>
            <w:r w:rsidRPr="00017AE6">
              <w:rPr>
                <w:rFonts w:eastAsia="MS Mincho" w:cstheme="minorHAnsi"/>
              </w:rPr>
              <w:t xml:space="preserve">disorders, i.e. mood, </w:t>
            </w:r>
            <w:r w:rsidRPr="00017AE6">
              <w:rPr>
                <w:rFonts w:eastAsia="MS Mincho" w:cstheme="minorHAnsi"/>
              </w:rPr>
              <w:lastRenderedPageBreak/>
              <w:t>anxiety, psychotic, personality</w:t>
            </w:r>
            <w:r>
              <w:rPr>
                <w:rFonts w:eastAsia="MS Mincho" w:cstheme="minorHAnsi"/>
              </w:rPr>
              <w:t>.</w:t>
            </w:r>
          </w:p>
          <w:p w:rsidR="0006565D" w:rsidRDefault="0006565D" w:rsidP="00A71365">
            <w:pPr>
              <w:pStyle w:val="Tablewriting"/>
              <w:rPr>
                <w:rFonts w:eastAsia="MS Mincho" w:cstheme="minorHAnsi"/>
              </w:rPr>
            </w:pPr>
          </w:p>
          <w:p w:rsidR="00C3700A" w:rsidRPr="00017AE6" w:rsidRDefault="0006565D" w:rsidP="00A71365">
            <w:pPr>
              <w:pStyle w:val="Tablewriting"/>
              <w:rPr>
                <w:rFonts w:eastAsia="MS Mincho" w:cstheme="minorHAnsi"/>
              </w:rPr>
            </w:pPr>
            <w:r w:rsidRPr="00891A7E">
              <w:rPr>
                <w:rFonts w:eastAsia="MS Mincho" w:cstheme="minorHAnsi"/>
                <w:u w:val="single"/>
              </w:rPr>
              <w:t>Safety analyses</w:t>
            </w:r>
            <w:r>
              <w:rPr>
                <w:rFonts w:eastAsia="MS Mincho" w:cstheme="minorHAnsi"/>
                <w:u w:val="single"/>
              </w:rPr>
              <w:t xml:space="preserve">: </w:t>
            </w:r>
            <w:r w:rsidRPr="00017AE6">
              <w:rPr>
                <w:rFonts w:eastAsia="MS Mincho" w:cstheme="minorHAnsi"/>
              </w:rPr>
              <w:t xml:space="preserve">conducted in cohorts of </w:t>
            </w:r>
            <w:r>
              <w:rPr>
                <w:rFonts w:eastAsia="MS Mincho" w:cstheme="minorHAnsi"/>
              </w:rPr>
              <w:t>n=</w:t>
            </w:r>
            <w:r w:rsidRPr="00017AE6">
              <w:rPr>
                <w:rFonts w:eastAsia="MS Mincho" w:cstheme="minorHAnsi"/>
              </w:rPr>
              <w:t xml:space="preserve">4074 (psychiatric) and </w:t>
            </w:r>
            <w:r>
              <w:rPr>
                <w:rFonts w:eastAsia="MS Mincho" w:cstheme="minorHAnsi"/>
              </w:rPr>
              <w:t>n=</w:t>
            </w:r>
            <w:r w:rsidRPr="00017AE6">
              <w:rPr>
                <w:rFonts w:eastAsia="MS Mincho" w:cstheme="minorHAnsi"/>
              </w:rPr>
              <w:t>3984 (non-psychiatric)</w:t>
            </w:r>
            <w:r>
              <w:rPr>
                <w:rFonts w:eastAsia="MS Mincho" w:cstheme="minorHAnsi"/>
              </w:rPr>
              <w:t>.</w:t>
            </w:r>
          </w:p>
        </w:tc>
        <w:tc>
          <w:tcPr>
            <w:tcW w:w="1233" w:type="pct"/>
          </w:tcPr>
          <w:p w:rsidR="0006565D" w:rsidRDefault="0006565D" w:rsidP="00A71365">
            <w:pPr>
              <w:pStyle w:val="Tablewriting"/>
              <w:rPr>
                <w:rFonts w:eastAsia="MS Mincho" w:cstheme="minorHAnsi"/>
              </w:rPr>
            </w:pPr>
            <w:r w:rsidRPr="00017AE6">
              <w:rPr>
                <w:rFonts w:eastAsia="MS Mincho" w:cstheme="minorHAnsi"/>
              </w:rPr>
              <w:lastRenderedPageBreak/>
              <w:t xml:space="preserve">Treatment-seeking adult smokers, aged 18 </w:t>
            </w:r>
            <w:r>
              <w:rPr>
                <w:rFonts w:eastAsia="MS Mincho" w:cstheme="minorHAnsi"/>
              </w:rPr>
              <w:t>–</w:t>
            </w:r>
            <w:r w:rsidRPr="00017AE6">
              <w:rPr>
                <w:rFonts w:eastAsia="MS Mincho" w:cstheme="minorHAnsi"/>
              </w:rPr>
              <w:t xml:space="preserve"> 75</w:t>
            </w:r>
            <w:r>
              <w:rPr>
                <w:rFonts w:eastAsia="MS Mincho" w:cstheme="minorHAnsi"/>
              </w:rPr>
              <w:t xml:space="preserve"> years</w:t>
            </w:r>
            <w:r w:rsidRPr="00017AE6">
              <w:rPr>
                <w:rFonts w:eastAsia="MS Mincho" w:cstheme="minorHAnsi"/>
              </w:rPr>
              <w:t>, smoking at least 10 CPD, with exhaled CO &gt; 10 ppm at</w:t>
            </w:r>
            <w:r>
              <w:rPr>
                <w:rFonts w:eastAsia="MS Mincho" w:cstheme="minorHAnsi"/>
              </w:rPr>
              <w:t xml:space="preserve"> </w:t>
            </w:r>
            <w:r w:rsidRPr="00017AE6">
              <w:rPr>
                <w:rFonts w:eastAsia="MS Mincho" w:cstheme="minorHAnsi"/>
              </w:rPr>
              <w:t xml:space="preserve">screening. </w:t>
            </w:r>
          </w:p>
          <w:p w:rsidR="0006565D" w:rsidRDefault="0006565D" w:rsidP="00A71365">
            <w:pPr>
              <w:pStyle w:val="Tablewriting"/>
              <w:rPr>
                <w:rFonts w:eastAsia="MS Mincho" w:cstheme="minorHAnsi"/>
              </w:rPr>
            </w:pPr>
          </w:p>
          <w:p w:rsidR="0006565D" w:rsidRPr="00017AE6" w:rsidRDefault="0006565D" w:rsidP="00A71365">
            <w:pPr>
              <w:pStyle w:val="Tablewriting"/>
              <w:rPr>
                <w:rFonts w:eastAsia="MS Mincho" w:cstheme="minorHAnsi"/>
              </w:rPr>
            </w:pPr>
            <w:r w:rsidRPr="00017AE6">
              <w:rPr>
                <w:rFonts w:eastAsia="MS Mincho" w:cstheme="minorHAnsi"/>
              </w:rPr>
              <w:t>Participants in the psychiatric disorder cohort had to have a current or lifetime stable psychiatric</w:t>
            </w:r>
          </w:p>
          <w:p w:rsidR="0006565D" w:rsidRDefault="0006565D" w:rsidP="00A71365">
            <w:pPr>
              <w:pStyle w:val="Tablewriting"/>
              <w:rPr>
                <w:rFonts w:eastAsia="MS Mincho" w:cstheme="minorHAnsi"/>
              </w:rPr>
            </w:pPr>
            <w:r w:rsidRPr="00017AE6">
              <w:rPr>
                <w:rFonts w:eastAsia="MS Mincho" w:cstheme="minorHAnsi"/>
              </w:rPr>
              <w:t>diagnosis, confirmed by Structured Clinical Interview for DSM IV disorders (SCID), i.e. no acute</w:t>
            </w:r>
            <w:r>
              <w:rPr>
                <w:rFonts w:eastAsia="MS Mincho" w:cstheme="minorHAnsi"/>
              </w:rPr>
              <w:t xml:space="preserve"> </w:t>
            </w:r>
            <w:r w:rsidRPr="00017AE6">
              <w:rPr>
                <w:rFonts w:eastAsia="MS Mincho" w:cstheme="minorHAnsi"/>
              </w:rPr>
              <w:t>exacerbation in the previous 6 months, no</w:t>
            </w:r>
            <w:r>
              <w:rPr>
                <w:rFonts w:eastAsia="MS Mincho" w:cstheme="minorHAnsi"/>
              </w:rPr>
              <w:t xml:space="preserve"> </w:t>
            </w:r>
            <w:r w:rsidRPr="00017AE6">
              <w:rPr>
                <w:rFonts w:eastAsia="MS Mincho" w:cstheme="minorHAnsi"/>
              </w:rPr>
              <w:t>changes to treatment for 3 months, not imminently likely to</w:t>
            </w:r>
            <w:r>
              <w:rPr>
                <w:rFonts w:eastAsia="MS Mincho" w:cstheme="minorHAnsi"/>
              </w:rPr>
              <w:t xml:space="preserve"> </w:t>
            </w:r>
            <w:r w:rsidRPr="00017AE6">
              <w:rPr>
                <w:rFonts w:eastAsia="MS Mincho" w:cstheme="minorHAnsi"/>
              </w:rPr>
              <w:t xml:space="preserve">change treatment, and not at risk of self-harm. </w:t>
            </w:r>
          </w:p>
          <w:p w:rsidR="0006565D" w:rsidRDefault="0006565D" w:rsidP="00A71365">
            <w:pPr>
              <w:pStyle w:val="Tablewriting"/>
              <w:rPr>
                <w:rFonts w:eastAsia="MS Mincho" w:cstheme="minorHAnsi"/>
              </w:rPr>
            </w:pPr>
          </w:p>
          <w:p w:rsidR="0006565D" w:rsidRPr="00017AE6" w:rsidRDefault="0006565D" w:rsidP="00A71365">
            <w:pPr>
              <w:pStyle w:val="Tablewriting"/>
              <w:rPr>
                <w:rFonts w:eastAsia="MS Mincho" w:cstheme="minorHAnsi"/>
              </w:rPr>
            </w:pPr>
            <w:r w:rsidRPr="00017AE6">
              <w:rPr>
                <w:rFonts w:eastAsia="MS Mincho" w:cstheme="minorHAnsi"/>
              </w:rPr>
              <w:t>44% men, mean age 46, mean CPD 20.7, mean FTND 5.8</w:t>
            </w:r>
          </w:p>
          <w:p w:rsidR="0006565D" w:rsidRPr="00017AE6" w:rsidRDefault="0006565D" w:rsidP="00A71365">
            <w:pPr>
              <w:pStyle w:val="Tablewriting"/>
              <w:rPr>
                <w:rFonts w:eastAsia="MS Mincho" w:cstheme="minorHAnsi"/>
              </w:rPr>
            </w:pPr>
          </w:p>
          <w:p w:rsidR="0006565D" w:rsidRPr="00017AE6" w:rsidRDefault="0006565D" w:rsidP="00A71365">
            <w:pPr>
              <w:pStyle w:val="Tablewriting"/>
              <w:rPr>
                <w:rFonts w:eastAsia="MS Mincho" w:cstheme="minorHAnsi"/>
              </w:rPr>
            </w:pPr>
            <w:r w:rsidRPr="0025076C">
              <w:rPr>
                <w:rFonts w:eastAsia="MS Mincho" w:cstheme="minorHAnsi"/>
                <w:u w:val="single"/>
              </w:rPr>
              <w:t>Exclusions</w:t>
            </w:r>
            <w:r w:rsidRPr="00017AE6">
              <w:rPr>
                <w:rFonts w:eastAsia="MS Mincho" w:cstheme="minorHAnsi"/>
              </w:rPr>
              <w:t>: Past or current diagnosis of schizophreniform or delusional disorders, all delirium, dementia, and other cognitive disorders, and all substance-induced disorders (other than nicotine)</w:t>
            </w:r>
          </w:p>
          <w:p w:rsidR="0006565D" w:rsidRPr="00017AE6" w:rsidRDefault="0006565D" w:rsidP="00A71365">
            <w:pPr>
              <w:pStyle w:val="Tablewriting"/>
              <w:rPr>
                <w:rFonts w:eastAsia="MS Mincho" w:cstheme="minorHAnsi"/>
              </w:rPr>
            </w:pPr>
          </w:p>
          <w:p w:rsidR="00C3700A" w:rsidRPr="00017AE6" w:rsidRDefault="0006565D" w:rsidP="00A71365">
            <w:pPr>
              <w:pStyle w:val="Tablewriting"/>
              <w:rPr>
                <w:rFonts w:eastAsia="MS Mincho" w:cstheme="minorHAnsi"/>
              </w:rPr>
            </w:pPr>
            <w:r w:rsidRPr="00017AE6">
              <w:rPr>
                <w:rFonts w:eastAsia="MS Mincho" w:cstheme="minorHAnsi"/>
              </w:rPr>
              <w:t xml:space="preserve">In the psychiatric disorders group, 70% had primary affective disorders, 19% anxiety disorders, 9.5% psychotic disorders, 0.6% personality disorders, and at least </w:t>
            </w:r>
            <w:r w:rsidRPr="00D91A75">
              <w:rPr>
                <w:rFonts w:eastAsia="MS Mincho" w:cstheme="minorHAnsi"/>
              </w:rPr>
              <w:t>⅓</w:t>
            </w:r>
            <w:r w:rsidRPr="00017AE6">
              <w:rPr>
                <w:rFonts w:eastAsia="MS Mincho" w:cstheme="minorHAnsi"/>
              </w:rPr>
              <w:t xml:space="preserve"> were taking psychotropic medications</w:t>
            </w:r>
            <w:r>
              <w:rPr>
                <w:rFonts w:eastAsia="MS Mincho" w:cstheme="minorHAnsi"/>
              </w:rPr>
              <w:t>.</w:t>
            </w:r>
          </w:p>
        </w:tc>
        <w:tc>
          <w:tcPr>
            <w:tcW w:w="1055" w:type="pct"/>
          </w:tcPr>
          <w:p w:rsidR="0006565D" w:rsidRPr="00017AE6" w:rsidRDefault="0006565D" w:rsidP="00C324F3">
            <w:pPr>
              <w:pStyle w:val="Tablewriting"/>
              <w:numPr>
                <w:ilvl w:val="0"/>
                <w:numId w:val="66"/>
              </w:numPr>
              <w:rPr>
                <w:rFonts w:eastAsia="MS Mincho" w:cstheme="minorHAnsi"/>
              </w:rPr>
            </w:pPr>
            <w:r w:rsidRPr="00017AE6">
              <w:rPr>
                <w:rFonts w:eastAsia="MS Mincho" w:cstheme="minorHAnsi"/>
              </w:rPr>
              <w:t>Varenicline, 1 mg x 2/day (1 w</w:t>
            </w:r>
            <w:r>
              <w:rPr>
                <w:rFonts w:eastAsia="MS Mincho" w:cstheme="minorHAnsi"/>
              </w:rPr>
              <w:t>ee</w:t>
            </w:r>
            <w:r w:rsidRPr="00017AE6">
              <w:rPr>
                <w:rFonts w:eastAsia="MS Mincho" w:cstheme="minorHAnsi"/>
              </w:rPr>
              <w:t>k titrated, then 11 weeks full dose)</w:t>
            </w:r>
          </w:p>
          <w:p w:rsidR="0006565D" w:rsidRPr="00017AE6" w:rsidRDefault="0006565D" w:rsidP="00C324F3">
            <w:pPr>
              <w:pStyle w:val="Tablewriting"/>
              <w:numPr>
                <w:ilvl w:val="0"/>
                <w:numId w:val="66"/>
              </w:numPr>
              <w:rPr>
                <w:rFonts w:eastAsia="MS Mincho" w:cstheme="minorHAnsi"/>
              </w:rPr>
            </w:pPr>
            <w:r w:rsidRPr="00017AE6">
              <w:rPr>
                <w:rFonts w:eastAsia="MS Mincho" w:cstheme="minorHAnsi"/>
              </w:rPr>
              <w:t>Bupropion SR, 150 mg x 2/day (titrated for 3 days, then full dose for 11 weeks)</w:t>
            </w:r>
          </w:p>
          <w:p w:rsidR="0006565D" w:rsidRPr="00017AE6" w:rsidRDefault="0006565D" w:rsidP="00C324F3">
            <w:pPr>
              <w:pStyle w:val="Tablewriting"/>
              <w:numPr>
                <w:ilvl w:val="0"/>
                <w:numId w:val="66"/>
              </w:numPr>
              <w:rPr>
                <w:rFonts w:eastAsia="MS Mincho" w:cstheme="minorHAnsi"/>
              </w:rPr>
            </w:pPr>
            <w:r w:rsidRPr="00017AE6">
              <w:rPr>
                <w:rFonts w:eastAsia="MS Mincho" w:cstheme="minorHAnsi"/>
              </w:rPr>
              <w:t>Nicotine patch, 21 mg x 7 weeks, 14 mg x 2 w</w:t>
            </w:r>
            <w:r>
              <w:rPr>
                <w:rFonts w:eastAsia="MS Mincho" w:cstheme="minorHAnsi"/>
              </w:rPr>
              <w:t>ee</w:t>
            </w:r>
            <w:r w:rsidRPr="00017AE6">
              <w:rPr>
                <w:rFonts w:eastAsia="MS Mincho" w:cstheme="minorHAnsi"/>
              </w:rPr>
              <w:t>ks, 7 mg x 2 weeks (11 weeks)</w:t>
            </w:r>
          </w:p>
          <w:p w:rsidR="0006565D" w:rsidRPr="00017AE6" w:rsidRDefault="0006565D" w:rsidP="00C324F3">
            <w:pPr>
              <w:pStyle w:val="Tablewriting"/>
              <w:numPr>
                <w:ilvl w:val="0"/>
                <w:numId w:val="66"/>
              </w:numPr>
              <w:rPr>
                <w:rFonts w:eastAsia="MS Mincho" w:cstheme="minorHAnsi"/>
              </w:rPr>
            </w:pPr>
            <w:r w:rsidRPr="00017AE6">
              <w:rPr>
                <w:rFonts w:eastAsia="MS Mincho" w:cstheme="minorHAnsi"/>
              </w:rPr>
              <w:t>Triple-dummy placebo for each arm of the trial (12 weeks)</w:t>
            </w:r>
          </w:p>
          <w:p w:rsidR="0006565D" w:rsidRDefault="0006565D" w:rsidP="00A71365">
            <w:pPr>
              <w:pStyle w:val="Tablewriting"/>
              <w:rPr>
                <w:rFonts w:eastAsia="MS Mincho" w:cstheme="minorHAnsi"/>
              </w:rPr>
            </w:pPr>
          </w:p>
          <w:p w:rsidR="0006565D" w:rsidRPr="00017AE6" w:rsidRDefault="0006565D"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Pr="00017AE6">
              <w:rPr>
                <w:rFonts w:eastAsia="MS Mincho" w:cstheme="minorHAnsi"/>
              </w:rPr>
              <w:t>All participants received counselling (up to 10 mins) at all contacts, and were encouraged to complete</w:t>
            </w:r>
            <w:r>
              <w:rPr>
                <w:rFonts w:eastAsia="MS Mincho" w:cstheme="minorHAnsi"/>
              </w:rPr>
              <w:t xml:space="preserve"> </w:t>
            </w:r>
            <w:r w:rsidRPr="00017AE6">
              <w:rPr>
                <w:rFonts w:eastAsia="MS Mincho" w:cstheme="minorHAnsi"/>
              </w:rPr>
              <w:t>all visits even if treatment was</w:t>
            </w:r>
            <w:r w:rsidR="006627D5">
              <w:rPr>
                <w:rFonts w:eastAsia="MS Mincho" w:cstheme="minorHAnsi"/>
              </w:rPr>
              <w:t xml:space="preserve"> </w:t>
            </w:r>
            <w:r w:rsidRPr="00017AE6">
              <w:rPr>
                <w:rFonts w:eastAsia="MS Mincho" w:cstheme="minorHAnsi"/>
              </w:rPr>
              <w:t>discontinued</w:t>
            </w:r>
            <w:r w:rsidR="006627D5">
              <w:rPr>
                <w:rFonts w:eastAsia="MS Mincho" w:cstheme="minorHAnsi"/>
              </w:rPr>
              <w:t>.</w:t>
            </w:r>
          </w:p>
          <w:p w:rsidR="00C3700A" w:rsidRPr="00017AE6" w:rsidRDefault="0006565D" w:rsidP="00A71365">
            <w:pPr>
              <w:pStyle w:val="Tablewriting"/>
              <w:rPr>
                <w:rFonts w:eastAsia="MS Mincho" w:cstheme="minorHAnsi"/>
              </w:rPr>
            </w:pPr>
            <w:r w:rsidRPr="006627D5">
              <w:rPr>
                <w:rFonts w:eastAsia="MS Mincho" w:cstheme="minorHAnsi"/>
              </w:rPr>
              <w:t>Participants were monitored at weeks 1 - 6, 8, 12, 13, 16, 20, 24; contacts were up to 15 face-to-face visits and 11 telephone visits</w:t>
            </w:r>
            <w:r w:rsidR="00A938B9" w:rsidRPr="006627D5">
              <w:rPr>
                <w:rFonts w:eastAsia="MS Mincho" w:cstheme="minorHAnsi"/>
              </w:rPr>
              <w:t>.</w:t>
            </w:r>
          </w:p>
        </w:tc>
        <w:tc>
          <w:tcPr>
            <w:tcW w:w="960" w:type="pct"/>
          </w:tcPr>
          <w:p w:rsidR="00AA606C" w:rsidRPr="008145C0" w:rsidRDefault="00AA606C" w:rsidP="00A71365">
            <w:pPr>
              <w:pStyle w:val="Tablewriting"/>
              <w:rPr>
                <w:rFonts w:eastAsia="MS Mincho" w:cstheme="minorHAnsi"/>
              </w:rPr>
            </w:pPr>
            <w:r w:rsidRPr="006045D3">
              <w:rPr>
                <w:rFonts w:eastAsia="MS Mincho" w:cstheme="minorHAnsi"/>
                <w:u w:val="single"/>
              </w:rPr>
              <w:t xml:space="preserve">Efficacy: </w:t>
            </w:r>
            <w:r w:rsidR="005A4CA6">
              <w:rPr>
                <w:rFonts w:eastAsia="MS Mincho" w:cstheme="minorHAnsi"/>
              </w:rPr>
              <w:t>continuous</w:t>
            </w:r>
            <w:r w:rsidRPr="00017AE6">
              <w:rPr>
                <w:rFonts w:eastAsia="MS Mincho" w:cstheme="minorHAnsi"/>
              </w:rPr>
              <w:t xml:space="preserve"> abstinence confirmed by CO &lt; 10 ppm at w</w:t>
            </w:r>
            <w:r>
              <w:rPr>
                <w:rFonts w:eastAsia="MS Mincho" w:cstheme="minorHAnsi"/>
              </w:rPr>
              <w:t>ee</w:t>
            </w:r>
            <w:r w:rsidRPr="00017AE6">
              <w:rPr>
                <w:rFonts w:eastAsia="MS Mincho" w:cstheme="minorHAnsi"/>
              </w:rPr>
              <w:t>ks 9 - 12, and 15-w</w:t>
            </w:r>
            <w:r w:rsidR="00F41740">
              <w:rPr>
                <w:rFonts w:eastAsia="MS Mincho" w:cstheme="minorHAnsi"/>
              </w:rPr>
              <w:t>ee</w:t>
            </w:r>
            <w:r w:rsidRPr="00017AE6">
              <w:rPr>
                <w:rFonts w:eastAsia="MS Mincho" w:cstheme="minorHAnsi"/>
              </w:rPr>
              <w:t xml:space="preserve">k abstinence at weeks 9 </w:t>
            </w:r>
            <w:r>
              <w:rPr>
                <w:rFonts w:eastAsia="MS Mincho" w:cstheme="minorHAnsi"/>
              </w:rPr>
              <w:t>–</w:t>
            </w:r>
            <w:r w:rsidRPr="00017AE6">
              <w:rPr>
                <w:rFonts w:eastAsia="MS Mincho" w:cstheme="minorHAnsi"/>
              </w:rPr>
              <w:t xml:space="preserve"> 24</w:t>
            </w:r>
            <w:r>
              <w:rPr>
                <w:rFonts w:eastAsia="MS Mincho" w:cstheme="minorHAnsi"/>
              </w:rPr>
              <w:t xml:space="preserve">. </w:t>
            </w:r>
          </w:p>
          <w:p w:rsidR="00AA606C" w:rsidRDefault="00AA606C" w:rsidP="00A71365">
            <w:pPr>
              <w:pStyle w:val="Tablewriting"/>
              <w:rPr>
                <w:rFonts w:eastAsia="MS Mincho" w:cstheme="minorHAnsi"/>
                <w:u w:val="single"/>
              </w:rPr>
            </w:pPr>
          </w:p>
          <w:p w:rsidR="00C3700A" w:rsidRPr="00017AE6" w:rsidRDefault="00AA606C" w:rsidP="00A71365">
            <w:pPr>
              <w:pStyle w:val="Tablewriting"/>
              <w:rPr>
                <w:rFonts w:eastAsia="MS Mincho" w:cstheme="minorHAnsi"/>
              </w:rPr>
            </w:pPr>
            <w:r>
              <w:rPr>
                <w:rFonts w:eastAsia="MS Mincho" w:cstheme="minorHAnsi"/>
                <w:u w:val="single"/>
              </w:rPr>
              <w:t>Safety: at</w:t>
            </w:r>
            <w:r w:rsidRPr="00017AE6">
              <w:rPr>
                <w:rFonts w:eastAsia="MS Mincho" w:cstheme="minorHAnsi"/>
              </w:rPr>
              <w:t xml:space="preserve"> least 1 SAE of anxiety depression, feeling abnormal, or hostility, and/or moderate or severe AE of agitation,</w:t>
            </w:r>
            <w:r>
              <w:rPr>
                <w:rFonts w:eastAsia="MS Mincho" w:cstheme="minorHAnsi"/>
              </w:rPr>
              <w:t xml:space="preserve"> </w:t>
            </w:r>
            <w:r w:rsidRPr="00017AE6">
              <w:rPr>
                <w:rFonts w:eastAsia="MS Mincho" w:cstheme="minorHAnsi"/>
              </w:rPr>
              <w:t>aggression, delusions, hallucinations, homicidal ideation, mania, panic paranoia, psychosis, suicidal</w:t>
            </w:r>
            <w:r>
              <w:rPr>
                <w:rFonts w:eastAsia="MS Mincho" w:cstheme="minorHAnsi"/>
              </w:rPr>
              <w:t xml:space="preserve"> </w:t>
            </w:r>
            <w:r w:rsidRPr="00017AE6">
              <w:rPr>
                <w:rFonts w:eastAsia="MS Mincho" w:cstheme="minorHAnsi"/>
              </w:rPr>
              <w:t>ideation/behaviour/completed</w:t>
            </w:r>
            <w:r>
              <w:rPr>
                <w:rFonts w:eastAsia="MS Mincho" w:cstheme="minorHAnsi"/>
              </w:rPr>
              <w:t xml:space="preserve">. </w:t>
            </w:r>
          </w:p>
        </w:tc>
      </w:tr>
      <w:tr w:rsidR="00C3700A" w:rsidRPr="00017AE6" w:rsidTr="005012C6">
        <w:trPr>
          <w:trHeight w:val="99"/>
        </w:trPr>
        <w:tc>
          <w:tcPr>
            <w:tcW w:w="412" w:type="pct"/>
          </w:tcPr>
          <w:p w:rsidR="00C3700A" w:rsidRPr="00017AE6" w:rsidRDefault="001B799D" w:rsidP="00A71365">
            <w:pPr>
              <w:pStyle w:val="Tablewriting"/>
              <w:rPr>
                <w:rFonts w:eastAsia="MS Mincho" w:cstheme="minorHAnsi"/>
              </w:rPr>
            </w:pPr>
            <w:r w:rsidRPr="001B799D">
              <w:rPr>
                <w:rFonts w:eastAsia="MS Mincho" w:cstheme="minorHAnsi"/>
              </w:rPr>
              <w:t xml:space="preserve">Heydari </w:t>
            </w:r>
            <w:r w:rsidR="002F52B3">
              <w:rPr>
                <w:rFonts w:eastAsia="MS Mincho" w:cstheme="minorHAnsi"/>
              </w:rPr>
              <w:t>(</w:t>
            </w:r>
            <w:r w:rsidRPr="001B799D">
              <w:rPr>
                <w:rFonts w:eastAsia="MS Mincho" w:cstheme="minorHAnsi"/>
              </w:rPr>
              <w:t>2012</w:t>
            </w:r>
            <w:r w:rsidR="002F52B3">
              <w:rPr>
                <w:rFonts w:eastAsia="MS Mincho" w:cstheme="minorHAnsi"/>
              </w:rPr>
              <w:t>)</w:t>
            </w:r>
          </w:p>
        </w:tc>
        <w:tc>
          <w:tcPr>
            <w:tcW w:w="234" w:type="pct"/>
          </w:tcPr>
          <w:p w:rsidR="00C3700A" w:rsidRPr="00017AE6" w:rsidRDefault="002F52B3" w:rsidP="00A71365">
            <w:pPr>
              <w:pStyle w:val="Tablewriting"/>
              <w:rPr>
                <w:rFonts w:eastAsia="MS Mincho" w:cstheme="minorHAnsi"/>
              </w:rPr>
            </w:pPr>
            <w:r w:rsidRPr="00017AE6">
              <w:rPr>
                <w:rFonts w:eastAsia="MS Mincho" w:cstheme="minorHAnsi"/>
              </w:rPr>
              <w:t>RCT</w:t>
            </w:r>
          </w:p>
        </w:tc>
        <w:tc>
          <w:tcPr>
            <w:tcW w:w="429" w:type="pct"/>
          </w:tcPr>
          <w:p w:rsidR="00C3700A" w:rsidRPr="00017AE6" w:rsidRDefault="002F52B3" w:rsidP="00A71365">
            <w:pPr>
              <w:pStyle w:val="Tablewriting"/>
              <w:rPr>
                <w:rFonts w:eastAsia="MS Mincho" w:cstheme="minorHAnsi"/>
              </w:rPr>
            </w:pPr>
            <w:r w:rsidRPr="00017AE6">
              <w:rPr>
                <w:rFonts w:eastAsia="MS Mincho" w:cstheme="minorHAnsi"/>
              </w:rPr>
              <w:t>Iran</w:t>
            </w:r>
          </w:p>
        </w:tc>
        <w:tc>
          <w:tcPr>
            <w:tcW w:w="676" w:type="pct"/>
          </w:tcPr>
          <w:p w:rsidR="002F52B3" w:rsidRDefault="002F52B3" w:rsidP="00A71365">
            <w:pPr>
              <w:pStyle w:val="Tablewriting"/>
              <w:rPr>
                <w:rFonts w:eastAsia="MS Mincho" w:cstheme="minorHAnsi"/>
              </w:rPr>
            </w:pPr>
            <w:r w:rsidRPr="00017AE6">
              <w:rPr>
                <w:rFonts w:eastAsia="MS Mincho" w:cstheme="minorHAnsi"/>
              </w:rPr>
              <w:t>N=272</w:t>
            </w:r>
            <w:r>
              <w:rPr>
                <w:rFonts w:eastAsia="MS Mincho" w:cstheme="minorHAnsi"/>
              </w:rPr>
              <w:t xml:space="preserve">; </w:t>
            </w:r>
          </w:p>
          <w:p w:rsidR="00C3700A" w:rsidRPr="00017AE6" w:rsidRDefault="002F52B3" w:rsidP="00A71365">
            <w:pPr>
              <w:pStyle w:val="Tablewriting"/>
              <w:rPr>
                <w:rFonts w:eastAsia="MS Mincho" w:cstheme="minorHAnsi"/>
              </w:rPr>
            </w:pPr>
            <w:r>
              <w:rPr>
                <w:rFonts w:eastAsia="MS Mincho" w:cstheme="minorHAnsi"/>
              </w:rPr>
              <w:t>n=91 (b</w:t>
            </w:r>
            <w:r w:rsidRPr="00017AE6">
              <w:rPr>
                <w:rFonts w:eastAsia="MS Mincho" w:cstheme="minorHAnsi"/>
              </w:rPr>
              <w:t>rief advice</w:t>
            </w:r>
            <w:r>
              <w:rPr>
                <w:rFonts w:eastAsia="MS Mincho" w:cstheme="minorHAnsi"/>
              </w:rPr>
              <w:t>)</w:t>
            </w:r>
            <w:r w:rsidRPr="00017AE6">
              <w:rPr>
                <w:rFonts w:eastAsia="MS Mincho" w:cstheme="minorHAnsi"/>
              </w:rPr>
              <w:t xml:space="preserve">, </w:t>
            </w:r>
            <w:r>
              <w:rPr>
                <w:rFonts w:eastAsia="MS Mincho" w:cstheme="minorHAnsi"/>
              </w:rPr>
              <w:t>n=92 (</w:t>
            </w:r>
            <w:r w:rsidRPr="00017AE6">
              <w:rPr>
                <w:rFonts w:eastAsia="MS Mincho" w:cstheme="minorHAnsi"/>
              </w:rPr>
              <w:t xml:space="preserve">NRT), </w:t>
            </w:r>
            <w:r>
              <w:rPr>
                <w:rFonts w:eastAsia="MS Mincho" w:cstheme="minorHAnsi"/>
              </w:rPr>
              <w:t>n=89 (</w:t>
            </w:r>
            <w:r w:rsidRPr="00017AE6">
              <w:rPr>
                <w:rFonts w:eastAsia="MS Mincho" w:cstheme="minorHAnsi"/>
              </w:rPr>
              <w:t>varenicline).</w:t>
            </w:r>
          </w:p>
        </w:tc>
        <w:tc>
          <w:tcPr>
            <w:tcW w:w="1233" w:type="pct"/>
          </w:tcPr>
          <w:p w:rsidR="00C3700A" w:rsidRPr="00017AE6" w:rsidRDefault="002F52B3" w:rsidP="00A71365">
            <w:pPr>
              <w:pStyle w:val="Tablewriting"/>
              <w:rPr>
                <w:rFonts w:eastAsia="MS Mincho" w:cstheme="minorHAnsi"/>
              </w:rPr>
            </w:pPr>
            <w:r>
              <w:rPr>
                <w:rFonts w:eastAsia="MS Mincho" w:cstheme="minorHAnsi"/>
              </w:rPr>
              <w:t>T</w:t>
            </w:r>
            <w:r w:rsidRPr="00017AE6">
              <w:rPr>
                <w:rFonts w:eastAsia="MS Mincho" w:cstheme="minorHAnsi"/>
              </w:rPr>
              <w:t>reatment-seeking participants</w:t>
            </w:r>
            <w:r>
              <w:rPr>
                <w:rFonts w:eastAsia="MS Mincho" w:cstheme="minorHAnsi"/>
              </w:rPr>
              <w:t>;</w:t>
            </w:r>
            <w:r w:rsidRPr="00017AE6">
              <w:rPr>
                <w:rFonts w:eastAsia="MS Mincho" w:cstheme="minorHAnsi"/>
              </w:rPr>
              <w:t xml:space="preserve"> 41.2% women, mean age 42.5 y</w:t>
            </w:r>
            <w:r>
              <w:rPr>
                <w:rFonts w:eastAsia="MS Mincho" w:cstheme="minorHAnsi"/>
              </w:rPr>
              <w:t>ea</w:t>
            </w:r>
            <w:r w:rsidRPr="00017AE6">
              <w:rPr>
                <w:rFonts w:eastAsia="MS Mincho" w:cstheme="minorHAnsi"/>
              </w:rPr>
              <w:t>rs, mean FTND 5.5</w:t>
            </w:r>
            <w:r>
              <w:rPr>
                <w:rFonts w:eastAsia="MS Mincho" w:cstheme="minorHAnsi"/>
              </w:rPr>
              <w:t>.</w:t>
            </w:r>
          </w:p>
        </w:tc>
        <w:tc>
          <w:tcPr>
            <w:tcW w:w="1055" w:type="pct"/>
          </w:tcPr>
          <w:p w:rsidR="002F52B3" w:rsidRDefault="002F52B3" w:rsidP="00C324F3">
            <w:pPr>
              <w:pStyle w:val="Tablewriting"/>
              <w:numPr>
                <w:ilvl w:val="0"/>
                <w:numId w:val="71"/>
              </w:numPr>
              <w:rPr>
                <w:rFonts w:eastAsia="MS Mincho" w:cstheme="minorHAnsi"/>
              </w:rPr>
            </w:pPr>
            <w:r w:rsidRPr="00017AE6">
              <w:rPr>
                <w:rFonts w:eastAsia="MS Mincho" w:cstheme="minorHAnsi"/>
              </w:rPr>
              <w:t>Control group</w:t>
            </w:r>
            <w:r>
              <w:rPr>
                <w:rFonts w:eastAsia="MS Mincho" w:cstheme="minorHAnsi"/>
              </w:rPr>
              <w:t>;</w:t>
            </w:r>
            <w:r w:rsidRPr="00017AE6">
              <w:rPr>
                <w:rFonts w:eastAsia="MS Mincho" w:cstheme="minorHAnsi"/>
              </w:rPr>
              <w:t xml:space="preserve"> no pharmacotherapy</w:t>
            </w:r>
          </w:p>
          <w:p w:rsidR="002F52B3" w:rsidRDefault="002F52B3" w:rsidP="00C324F3">
            <w:pPr>
              <w:pStyle w:val="Tablewriting"/>
              <w:numPr>
                <w:ilvl w:val="0"/>
                <w:numId w:val="71"/>
              </w:numPr>
              <w:rPr>
                <w:rFonts w:eastAsia="MS Mincho" w:cstheme="minorHAnsi"/>
              </w:rPr>
            </w:pPr>
            <w:r w:rsidRPr="006B02DA">
              <w:rPr>
                <w:rFonts w:eastAsia="MS Mincho" w:cstheme="minorHAnsi"/>
              </w:rPr>
              <w:t>NRT</w:t>
            </w:r>
            <w:r>
              <w:rPr>
                <w:rFonts w:eastAsia="MS Mincho" w:cstheme="minorHAnsi"/>
              </w:rPr>
              <w:t xml:space="preserve">; </w:t>
            </w:r>
            <w:r w:rsidRPr="006B02DA">
              <w:rPr>
                <w:rFonts w:eastAsia="MS Mincho" w:cstheme="minorHAnsi"/>
              </w:rPr>
              <w:t>8 w</w:t>
            </w:r>
            <w:r>
              <w:rPr>
                <w:rFonts w:eastAsia="MS Mincho" w:cstheme="minorHAnsi"/>
              </w:rPr>
              <w:t>ee</w:t>
            </w:r>
            <w:r w:rsidRPr="006B02DA">
              <w:rPr>
                <w:rFonts w:eastAsia="MS Mincho" w:cstheme="minorHAnsi"/>
              </w:rPr>
              <w:t>ks of 15 mg NRT patches</w:t>
            </w:r>
          </w:p>
          <w:p w:rsidR="002F52B3" w:rsidRPr="008D3F54" w:rsidRDefault="002F52B3" w:rsidP="00C324F3">
            <w:pPr>
              <w:pStyle w:val="Tablewriting"/>
              <w:numPr>
                <w:ilvl w:val="0"/>
                <w:numId w:val="71"/>
              </w:numPr>
              <w:rPr>
                <w:rFonts w:eastAsia="MS Mincho" w:cstheme="minorHAnsi"/>
              </w:rPr>
            </w:pPr>
            <w:r>
              <w:rPr>
                <w:rFonts w:eastAsia="MS Mincho" w:cstheme="minorHAnsi"/>
              </w:rPr>
              <w:t xml:space="preserve">Varenicline; </w:t>
            </w:r>
            <w:r w:rsidRPr="008D3F54">
              <w:rPr>
                <w:rFonts w:eastAsia="MS Mincho" w:cstheme="minorHAnsi"/>
              </w:rPr>
              <w:t>8 w</w:t>
            </w:r>
            <w:r>
              <w:rPr>
                <w:rFonts w:eastAsia="MS Mincho" w:cstheme="minorHAnsi"/>
              </w:rPr>
              <w:t>ee</w:t>
            </w:r>
            <w:r w:rsidRPr="008D3F54">
              <w:rPr>
                <w:rFonts w:eastAsia="MS Mincho" w:cstheme="minorHAnsi"/>
              </w:rPr>
              <w:t>ks of 1 mg x 2/day varenicline (titrated 1st w</w:t>
            </w:r>
            <w:r>
              <w:rPr>
                <w:rFonts w:eastAsia="MS Mincho" w:cstheme="minorHAnsi"/>
              </w:rPr>
              <w:t>ee</w:t>
            </w:r>
            <w:r w:rsidRPr="008D3F54">
              <w:rPr>
                <w:rFonts w:eastAsia="MS Mincho" w:cstheme="minorHAnsi"/>
              </w:rPr>
              <w:t>k)</w:t>
            </w:r>
          </w:p>
          <w:p w:rsidR="002F52B3" w:rsidRDefault="002F52B3" w:rsidP="00A71365">
            <w:pPr>
              <w:pStyle w:val="Tablewriting"/>
              <w:rPr>
                <w:rFonts w:eastAsia="MS Mincho" w:cstheme="minorHAnsi"/>
              </w:rPr>
            </w:pPr>
          </w:p>
          <w:p w:rsidR="002F52B3" w:rsidRPr="00017AE6" w:rsidRDefault="002F52B3"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Pr="00017AE6">
              <w:rPr>
                <w:rFonts w:eastAsia="MS Mincho" w:cstheme="minorHAnsi"/>
              </w:rPr>
              <w:t>All participants were managed by the same physician. All received brief (5 mins) education and counselling</w:t>
            </w:r>
          </w:p>
          <w:p w:rsidR="00C3700A" w:rsidRPr="00017AE6" w:rsidRDefault="002F52B3" w:rsidP="00A71365">
            <w:pPr>
              <w:pStyle w:val="Tablewriting"/>
              <w:rPr>
                <w:rFonts w:eastAsia="MS Mincho" w:cstheme="minorHAnsi"/>
              </w:rPr>
            </w:pPr>
            <w:r w:rsidRPr="00017AE6">
              <w:rPr>
                <w:rFonts w:eastAsia="MS Mincho" w:cstheme="minorHAnsi"/>
              </w:rPr>
              <w:t>at 4 x weekly sessions. TQD was day 14</w:t>
            </w:r>
            <w:r>
              <w:rPr>
                <w:rFonts w:eastAsia="MS Mincho" w:cstheme="minorHAnsi"/>
              </w:rPr>
              <w:t>.</w:t>
            </w:r>
          </w:p>
        </w:tc>
        <w:tc>
          <w:tcPr>
            <w:tcW w:w="960" w:type="pct"/>
          </w:tcPr>
          <w:p w:rsidR="006C01A1" w:rsidRPr="006C01A1" w:rsidRDefault="002F52B3" w:rsidP="00A71365">
            <w:pPr>
              <w:pStyle w:val="Tablewriting"/>
              <w:rPr>
                <w:rFonts w:eastAsia="MS Mincho" w:cstheme="minorHAnsi"/>
              </w:rPr>
            </w:pPr>
            <w:r w:rsidRPr="0022200A">
              <w:rPr>
                <w:rFonts w:eastAsia="MS Mincho" w:cstheme="minorHAnsi"/>
                <w:u w:val="single"/>
              </w:rPr>
              <w:t>Efficacy:</w:t>
            </w:r>
            <w:r>
              <w:rPr>
                <w:rFonts w:eastAsia="MS Mincho" w:cstheme="minorHAnsi"/>
              </w:rPr>
              <w:t xml:space="preserve"> </w:t>
            </w:r>
            <w:r w:rsidRPr="00017AE6">
              <w:rPr>
                <w:rFonts w:eastAsia="MS Mincho" w:cstheme="minorHAnsi"/>
              </w:rPr>
              <w:t xml:space="preserve">Abstinence at 6 and </w:t>
            </w:r>
            <w:r>
              <w:rPr>
                <w:rFonts w:eastAsia="MS Mincho" w:cstheme="minorHAnsi"/>
              </w:rPr>
              <w:t xml:space="preserve">12 </w:t>
            </w:r>
            <w:r w:rsidRPr="00017AE6">
              <w:rPr>
                <w:rFonts w:eastAsia="MS Mincho" w:cstheme="minorHAnsi"/>
              </w:rPr>
              <w:t>m</w:t>
            </w:r>
            <w:r>
              <w:rPr>
                <w:rFonts w:eastAsia="MS Mincho" w:cstheme="minorHAnsi"/>
              </w:rPr>
              <w:t>onths.</w:t>
            </w:r>
          </w:p>
          <w:p w:rsidR="008C11B5" w:rsidRDefault="008C11B5" w:rsidP="00A71365">
            <w:pPr>
              <w:pStyle w:val="Tablewriting"/>
              <w:rPr>
                <w:rFonts w:eastAsia="MS Mincho" w:cstheme="minorHAnsi"/>
              </w:rPr>
            </w:pPr>
          </w:p>
          <w:p w:rsidR="008C11B5" w:rsidRDefault="008C11B5" w:rsidP="00A71365">
            <w:pPr>
              <w:pStyle w:val="Tablewriting"/>
              <w:rPr>
                <w:rFonts w:eastAsia="MS Mincho" w:cstheme="minorHAnsi"/>
              </w:rPr>
            </w:pPr>
            <w:r w:rsidRPr="0001662B">
              <w:rPr>
                <w:rFonts w:eastAsia="MS Mincho" w:cstheme="minorHAnsi"/>
              </w:rPr>
              <w:t>Validation:</w:t>
            </w:r>
            <w:r w:rsidRPr="00017AE6">
              <w:rPr>
                <w:rFonts w:eastAsia="MS Mincho" w:cstheme="minorHAnsi"/>
              </w:rPr>
              <w:t xml:space="preserve"> CO (cut-o</w:t>
            </w:r>
            <w:r>
              <w:rPr>
                <w:rFonts w:eastAsia="MS Mincho" w:cstheme="minorHAnsi"/>
              </w:rPr>
              <w:t>ff</w:t>
            </w:r>
            <w:r w:rsidRPr="00017AE6">
              <w:rPr>
                <w:rFonts w:eastAsia="MS Mincho" w:cstheme="minorHAnsi"/>
              </w:rPr>
              <w:t xml:space="preserve"> value not given)</w:t>
            </w:r>
            <w:r>
              <w:rPr>
                <w:rFonts w:eastAsia="MS Mincho" w:cstheme="minorHAnsi"/>
              </w:rPr>
              <w:t>.</w:t>
            </w:r>
          </w:p>
          <w:p w:rsidR="00217E87" w:rsidRDefault="00217E87" w:rsidP="00A71365">
            <w:pPr>
              <w:pStyle w:val="Tablewriting"/>
              <w:rPr>
                <w:rFonts w:eastAsia="MS Mincho" w:cstheme="minorHAnsi"/>
                <w:u w:val="single"/>
              </w:rPr>
            </w:pPr>
          </w:p>
          <w:p w:rsidR="002F52B3" w:rsidRDefault="000C12CB" w:rsidP="00A71365">
            <w:pPr>
              <w:pStyle w:val="Tablewriting"/>
              <w:rPr>
                <w:rFonts w:eastAsia="MS Mincho" w:cstheme="minorHAnsi"/>
                <w:u w:val="single"/>
              </w:rPr>
            </w:pPr>
            <w:r w:rsidRPr="00636300">
              <w:rPr>
                <w:rFonts w:eastAsia="MS Mincho" w:cstheme="minorHAnsi"/>
                <w:u w:val="single"/>
              </w:rPr>
              <w:t>Safety:</w:t>
            </w:r>
            <w:r w:rsidR="002F52B3">
              <w:rPr>
                <w:rFonts w:eastAsia="MS Mincho" w:cstheme="minorHAnsi"/>
                <w:u w:val="single"/>
              </w:rPr>
              <w:t xml:space="preserve"> NR</w:t>
            </w:r>
          </w:p>
          <w:p w:rsidR="002F52B3" w:rsidRDefault="002F52B3" w:rsidP="00A71365">
            <w:pPr>
              <w:pStyle w:val="Tablewriting"/>
              <w:rPr>
                <w:rFonts w:eastAsia="MS Mincho" w:cstheme="minorHAnsi"/>
              </w:rPr>
            </w:pPr>
          </w:p>
          <w:p w:rsidR="002F52B3" w:rsidRDefault="002F52B3" w:rsidP="00A71365">
            <w:pPr>
              <w:pStyle w:val="Tablewriting"/>
              <w:rPr>
                <w:rFonts w:eastAsia="MS Mincho" w:cstheme="minorHAnsi"/>
              </w:rPr>
            </w:pPr>
          </w:p>
          <w:p w:rsidR="00C3700A" w:rsidRPr="00017AE6" w:rsidRDefault="00C3700A" w:rsidP="00A71365">
            <w:pPr>
              <w:pStyle w:val="Tablewriting"/>
              <w:rPr>
                <w:rFonts w:eastAsia="MS Mincho" w:cstheme="minorHAnsi"/>
              </w:rPr>
            </w:pPr>
          </w:p>
        </w:tc>
      </w:tr>
      <w:tr w:rsidR="00C3700A" w:rsidRPr="00017AE6" w:rsidTr="005012C6">
        <w:trPr>
          <w:trHeight w:val="99"/>
        </w:trPr>
        <w:tc>
          <w:tcPr>
            <w:tcW w:w="412" w:type="pct"/>
          </w:tcPr>
          <w:p w:rsidR="00C3700A" w:rsidRPr="00017AE6" w:rsidRDefault="001B799D" w:rsidP="00A71365">
            <w:pPr>
              <w:pStyle w:val="Tablewriting"/>
              <w:rPr>
                <w:rFonts w:eastAsia="MS Mincho" w:cstheme="minorHAnsi"/>
              </w:rPr>
            </w:pPr>
            <w:r w:rsidRPr="001B799D">
              <w:rPr>
                <w:rFonts w:eastAsia="MS Mincho" w:cstheme="minorHAnsi"/>
              </w:rPr>
              <w:t xml:space="preserve">Rose </w:t>
            </w:r>
            <w:r w:rsidR="00FA40D7">
              <w:rPr>
                <w:rFonts w:eastAsia="MS Mincho" w:cstheme="minorHAnsi"/>
              </w:rPr>
              <w:t>(</w:t>
            </w:r>
            <w:r w:rsidRPr="001B799D">
              <w:rPr>
                <w:rFonts w:eastAsia="MS Mincho" w:cstheme="minorHAnsi"/>
              </w:rPr>
              <w:t>2013</w:t>
            </w:r>
            <w:r w:rsidR="00FA40D7">
              <w:rPr>
                <w:rFonts w:eastAsia="MS Mincho" w:cstheme="minorHAnsi"/>
              </w:rPr>
              <w:t>)</w:t>
            </w:r>
          </w:p>
        </w:tc>
        <w:tc>
          <w:tcPr>
            <w:tcW w:w="234" w:type="pct"/>
          </w:tcPr>
          <w:p w:rsidR="00C3700A" w:rsidRPr="00017AE6" w:rsidRDefault="00C62D0C" w:rsidP="00A71365">
            <w:pPr>
              <w:pStyle w:val="Tablewriting"/>
              <w:rPr>
                <w:rFonts w:eastAsia="MS Mincho" w:cstheme="minorHAnsi"/>
              </w:rPr>
            </w:pPr>
            <w:r>
              <w:rPr>
                <w:rFonts w:eastAsia="MS Mincho" w:cstheme="minorHAnsi"/>
              </w:rPr>
              <w:t>RCT</w:t>
            </w:r>
          </w:p>
        </w:tc>
        <w:tc>
          <w:tcPr>
            <w:tcW w:w="429" w:type="pct"/>
          </w:tcPr>
          <w:p w:rsidR="00C3700A" w:rsidRPr="00017AE6" w:rsidRDefault="00C62D0C" w:rsidP="00A71365">
            <w:pPr>
              <w:pStyle w:val="Tablewriting"/>
              <w:rPr>
                <w:rFonts w:eastAsia="MS Mincho" w:cstheme="minorHAnsi"/>
              </w:rPr>
            </w:pPr>
            <w:r>
              <w:rPr>
                <w:rFonts w:eastAsia="MS Mincho" w:cstheme="minorHAnsi"/>
              </w:rPr>
              <w:t>USA</w:t>
            </w:r>
          </w:p>
        </w:tc>
        <w:tc>
          <w:tcPr>
            <w:tcW w:w="676" w:type="pct"/>
          </w:tcPr>
          <w:p w:rsidR="00C3700A" w:rsidRPr="00017AE6" w:rsidRDefault="004E5635" w:rsidP="00A71365">
            <w:pPr>
              <w:pStyle w:val="Tablewriting"/>
              <w:rPr>
                <w:rFonts w:eastAsia="MS Mincho" w:cstheme="minorHAnsi"/>
              </w:rPr>
            </w:pPr>
            <w:r w:rsidRPr="00C45B56">
              <w:rPr>
                <w:rFonts w:eastAsia="MS Mincho" w:cstheme="minorHAnsi"/>
              </w:rPr>
              <w:t>N=</w:t>
            </w:r>
            <w:r w:rsidR="00C62D0C">
              <w:rPr>
                <w:rFonts w:eastAsia="MS Mincho" w:cstheme="minorHAnsi"/>
              </w:rPr>
              <w:t>606</w:t>
            </w:r>
          </w:p>
        </w:tc>
        <w:tc>
          <w:tcPr>
            <w:tcW w:w="1233" w:type="pct"/>
          </w:tcPr>
          <w:p w:rsidR="00526360" w:rsidRPr="00526360" w:rsidRDefault="00C62D0C" w:rsidP="00A71365">
            <w:pPr>
              <w:pStyle w:val="Tablewriting"/>
              <w:rPr>
                <w:rFonts w:eastAsia="MS Mincho" w:cstheme="minorHAnsi"/>
              </w:rPr>
            </w:pPr>
            <w:r>
              <w:rPr>
                <w:rFonts w:eastAsia="MS Mincho" w:cstheme="minorHAnsi"/>
              </w:rPr>
              <w:t>A</w:t>
            </w:r>
            <w:r w:rsidR="00526360" w:rsidRPr="00526360">
              <w:rPr>
                <w:rFonts w:eastAsia="MS Mincho" w:cstheme="minorHAnsi"/>
              </w:rPr>
              <w:t>dult smokers, motivated to quit, aged 18 - 65, mean CPD 10+ for 3 y</w:t>
            </w:r>
            <w:r>
              <w:rPr>
                <w:rFonts w:eastAsia="MS Mincho" w:cstheme="minorHAnsi"/>
              </w:rPr>
              <w:t>ea</w:t>
            </w:r>
            <w:r w:rsidR="00526360" w:rsidRPr="00526360">
              <w:rPr>
                <w:rFonts w:eastAsia="MS Mincho" w:cstheme="minorHAnsi"/>
              </w:rPr>
              <w:t>rs, expired CO level 10+ ppm.</w:t>
            </w:r>
          </w:p>
          <w:p w:rsidR="00C3700A" w:rsidRPr="00017AE6" w:rsidRDefault="00526360" w:rsidP="00A71365">
            <w:pPr>
              <w:pStyle w:val="Tablewriting"/>
              <w:rPr>
                <w:rFonts w:eastAsia="MS Mincho" w:cstheme="minorHAnsi"/>
              </w:rPr>
            </w:pPr>
            <w:r w:rsidRPr="00526360">
              <w:rPr>
                <w:rFonts w:eastAsia="MS Mincho" w:cstheme="minorHAnsi"/>
              </w:rPr>
              <w:t>46% women, 63% white, mean CPD 21.7, mean FTND 5.8. Participants could receive up to USD 320 for</w:t>
            </w:r>
            <w:r w:rsidR="00C62D0C">
              <w:rPr>
                <w:rFonts w:eastAsia="MS Mincho" w:cstheme="minorHAnsi"/>
              </w:rPr>
              <w:t xml:space="preserve"> </w:t>
            </w:r>
            <w:r w:rsidRPr="00526360">
              <w:rPr>
                <w:rFonts w:eastAsia="MS Mincho" w:cstheme="minorHAnsi"/>
              </w:rPr>
              <w:t>study</w:t>
            </w:r>
            <w:r w:rsidR="00C62D0C">
              <w:rPr>
                <w:rFonts w:eastAsia="MS Mincho" w:cstheme="minorHAnsi"/>
              </w:rPr>
              <w:t xml:space="preserve"> </w:t>
            </w:r>
            <w:r w:rsidRPr="00526360">
              <w:rPr>
                <w:rFonts w:eastAsia="MS Mincho" w:cstheme="minorHAnsi"/>
              </w:rPr>
              <w:t>participation</w:t>
            </w:r>
            <w:r w:rsidR="00C62D0C">
              <w:rPr>
                <w:rFonts w:eastAsia="MS Mincho" w:cstheme="minorHAnsi"/>
              </w:rPr>
              <w:t>.</w:t>
            </w:r>
          </w:p>
        </w:tc>
        <w:tc>
          <w:tcPr>
            <w:tcW w:w="1055" w:type="pct"/>
          </w:tcPr>
          <w:p w:rsidR="004E5635" w:rsidRDefault="004B177C" w:rsidP="00A71365">
            <w:pPr>
              <w:pStyle w:val="Tablewriting"/>
              <w:rPr>
                <w:rFonts w:eastAsia="MS Mincho" w:cstheme="minorHAnsi"/>
              </w:rPr>
            </w:pPr>
            <w:r w:rsidRPr="004B177C">
              <w:rPr>
                <w:rFonts w:eastAsia="MS Mincho" w:cstheme="minorHAnsi"/>
              </w:rPr>
              <w:t>Two phase study:</w:t>
            </w:r>
          </w:p>
          <w:p w:rsidR="00960F17" w:rsidRDefault="00226E6A" w:rsidP="00C324F3">
            <w:pPr>
              <w:pStyle w:val="Tablewriting"/>
              <w:numPr>
                <w:ilvl w:val="0"/>
                <w:numId w:val="146"/>
              </w:numPr>
              <w:rPr>
                <w:rFonts w:eastAsia="MS Mincho" w:cstheme="minorHAnsi"/>
              </w:rPr>
            </w:pPr>
            <w:r w:rsidRPr="00226E6A">
              <w:rPr>
                <w:rFonts w:eastAsia="MS Mincho" w:cstheme="minorHAnsi"/>
              </w:rPr>
              <w:t>Phase 1 (12 weeks):</w:t>
            </w:r>
            <w:r w:rsidR="00960F17">
              <w:rPr>
                <w:rFonts w:eastAsia="MS Mincho" w:cstheme="minorHAnsi"/>
              </w:rPr>
              <w:t xml:space="preserve"> </w:t>
            </w:r>
          </w:p>
          <w:p w:rsidR="0008420E" w:rsidRDefault="00226E6A" w:rsidP="00A71365">
            <w:pPr>
              <w:pStyle w:val="Tablewriting"/>
              <w:ind w:left="360"/>
              <w:rPr>
                <w:rFonts w:eastAsia="MS Mincho" w:cstheme="minorHAnsi"/>
              </w:rPr>
            </w:pPr>
            <w:r w:rsidRPr="00960F17">
              <w:rPr>
                <w:rFonts w:eastAsia="MS Mincho" w:cstheme="minorHAnsi"/>
              </w:rPr>
              <w:t>Non-responders only (N = 371 - 36 who withdrew, = 335) allocated to:</w:t>
            </w:r>
          </w:p>
          <w:p w:rsidR="0008420E" w:rsidRDefault="00226E6A" w:rsidP="00A71365">
            <w:pPr>
              <w:pStyle w:val="Tablewriting"/>
              <w:ind w:left="360"/>
              <w:rPr>
                <w:rFonts w:eastAsia="MS Mincho" w:cstheme="minorHAnsi"/>
              </w:rPr>
            </w:pPr>
            <w:r w:rsidRPr="00226E6A">
              <w:rPr>
                <w:rFonts w:eastAsia="MS Mincho" w:cstheme="minorHAnsi"/>
              </w:rPr>
              <w:t>1. Double-blind varenicline, stopping NRT (N = 112)</w:t>
            </w:r>
          </w:p>
          <w:p w:rsidR="0008420E" w:rsidRDefault="00226E6A" w:rsidP="00A71365">
            <w:pPr>
              <w:pStyle w:val="Tablewriting"/>
              <w:ind w:left="360"/>
              <w:rPr>
                <w:rFonts w:eastAsia="MS Mincho" w:cstheme="minorHAnsi"/>
              </w:rPr>
            </w:pPr>
            <w:r w:rsidRPr="00226E6A">
              <w:rPr>
                <w:rFonts w:eastAsia="MS Mincho" w:cstheme="minorHAnsi"/>
              </w:rPr>
              <w:t>2. Double-blind augmentation of NRT with bupropion (N = 109)</w:t>
            </w:r>
          </w:p>
          <w:p w:rsidR="00226E6A" w:rsidRPr="00226E6A" w:rsidRDefault="00226E6A" w:rsidP="00A71365">
            <w:pPr>
              <w:pStyle w:val="Tablewriting"/>
              <w:ind w:left="360"/>
              <w:rPr>
                <w:rFonts w:eastAsia="MS Mincho" w:cstheme="minorHAnsi"/>
              </w:rPr>
            </w:pPr>
            <w:r w:rsidRPr="00226E6A">
              <w:rPr>
                <w:rFonts w:eastAsia="MS Mincho" w:cstheme="minorHAnsi"/>
              </w:rPr>
              <w:lastRenderedPageBreak/>
              <w:t>3. Continuation on open-label NRT alone (N = 114)</w:t>
            </w:r>
          </w:p>
          <w:p w:rsidR="0008420E" w:rsidRDefault="0008420E" w:rsidP="00A71365">
            <w:pPr>
              <w:pStyle w:val="Tablewriting"/>
              <w:rPr>
                <w:rFonts w:eastAsia="MS Mincho" w:cstheme="minorHAnsi"/>
              </w:rPr>
            </w:pPr>
          </w:p>
          <w:p w:rsidR="00226E6A" w:rsidRDefault="00226E6A" w:rsidP="00A71365">
            <w:pPr>
              <w:pStyle w:val="Tablewriting"/>
              <w:rPr>
                <w:rFonts w:eastAsia="MS Mincho" w:cstheme="minorHAnsi"/>
              </w:rPr>
            </w:pPr>
            <w:r w:rsidRPr="00226E6A">
              <w:rPr>
                <w:rFonts w:eastAsia="MS Mincho" w:cstheme="minorHAnsi"/>
              </w:rPr>
              <w:t>All participants received dummy (placebo) versions of the other 2 treatme</w:t>
            </w:r>
            <w:r w:rsidR="00836B64">
              <w:rPr>
                <w:rFonts w:eastAsia="MS Mincho" w:cstheme="minorHAnsi"/>
              </w:rPr>
              <w:t xml:space="preserve">nts as well as their own active </w:t>
            </w:r>
            <w:r w:rsidRPr="00226E6A">
              <w:rPr>
                <w:rFonts w:eastAsia="MS Mincho" w:cstheme="minorHAnsi"/>
              </w:rPr>
              <w:t>treatment.</w:t>
            </w:r>
          </w:p>
          <w:p w:rsidR="002F4459" w:rsidRDefault="002F4459" w:rsidP="00C324F3">
            <w:pPr>
              <w:pStyle w:val="Tablewriting"/>
              <w:numPr>
                <w:ilvl w:val="0"/>
                <w:numId w:val="146"/>
              </w:numPr>
              <w:rPr>
                <w:rFonts w:eastAsia="MS Mincho" w:cstheme="minorHAnsi"/>
              </w:rPr>
            </w:pPr>
            <w:r w:rsidRPr="002F4459">
              <w:rPr>
                <w:rFonts w:eastAsia="MS Mincho" w:cstheme="minorHAnsi"/>
              </w:rPr>
              <w:t>Phase 2:</w:t>
            </w:r>
          </w:p>
          <w:p w:rsidR="00385A9D" w:rsidRPr="00385A9D" w:rsidRDefault="00385A9D" w:rsidP="00A71365">
            <w:pPr>
              <w:pStyle w:val="Tablewriting"/>
              <w:ind w:left="720"/>
              <w:rPr>
                <w:rFonts w:eastAsia="MS Mincho" w:cstheme="minorHAnsi"/>
              </w:rPr>
            </w:pPr>
            <w:r w:rsidRPr="00385A9D">
              <w:rPr>
                <w:rFonts w:eastAsia="MS Mincho" w:cstheme="minorHAnsi"/>
              </w:rPr>
              <w:t>1. Double-blind varenicline,</w:t>
            </w:r>
            <w:r>
              <w:rPr>
                <w:rFonts w:eastAsia="MS Mincho" w:cstheme="minorHAnsi"/>
              </w:rPr>
              <w:t xml:space="preserve"> </w:t>
            </w:r>
            <w:r w:rsidRPr="00385A9D">
              <w:rPr>
                <w:rFonts w:eastAsia="MS Mincho" w:cstheme="minorHAnsi"/>
              </w:rPr>
              <w:t>stopping NRT (N = 36)</w:t>
            </w:r>
          </w:p>
          <w:p w:rsidR="00385A9D" w:rsidRPr="00385A9D" w:rsidRDefault="00385A9D" w:rsidP="00A71365">
            <w:pPr>
              <w:pStyle w:val="Tablewriting"/>
              <w:ind w:left="720"/>
              <w:rPr>
                <w:rFonts w:eastAsia="MS Mincho" w:cstheme="minorHAnsi"/>
              </w:rPr>
            </w:pPr>
            <w:r w:rsidRPr="00385A9D">
              <w:rPr>
                <w:rFonts w:eastAsia="MS Mincho" w:cstheme="minorHAnsi"/>
              </w:rPr>
              <w:t>2. Double-blind augmentation of NRT with bupropion (N = 34)</w:t>
            </w:r>
          </w:p>
          <w:p w:rsidR="00385A9D" w:rsidRPr="00385A9D" w:rsidRDefault="00385A9D" w:rsidP="00A71365">
            <w:pPr>
              <w:pStyle w:val="Tablewriting"/>
              <w:ind w:left="720"/>
              <w:rPr>
                <w:rFonts w:eastAsia="MS Mincho" w:cstheme="minorHAnsi"/>
              </w:rPr>
            </w:pPr>
            <w:r w:rsidRPr="00385A9D">
              <w:rPr>
                <w:rFonts w:eastAsia="MS Mincho" w:cstheme="minorHAnsi"/>
              </w:rPr>
              <w:t>3. Continuation on open-label NRT alone (N = 35)</w:t>
            </w:r>
          </w:p>
          <w:p w:rsidR="00385A9D" w:rsidRPr="00385A9D" w:rsidRDefault="00385A9D" w:rsidP="00A71365">
            <w:pPr>
              <w:pStyle w:val="Tablewriting"/>
              <w:ind w:left="720"/>
              <w:rPr>
                <w:rFonts w:eastAsia="MS Mincho" w:cstheme="minorHAnsi"/>
              </w:rPr>
            </w:pPr>
            <w:r w:rsidRPr="00385A9D">
              <w:rPr>
                <w:rFonts w:eastAsia="MS Mincho" w:cstheme="minorHAnsi"/>
              </w:rPr>
              <w:t>Non-lapsers (N = 130) remained on open-label NRT throughout study duration</w:t>
            </w:r>
          </w:p>
          <w:p w:rsidR="00385A9D" w:rsidRPr="00385A9D" w:rsidRDefault="00385A9D" w:rsidP="00A71365">
            <w:pPr>
              <w:pStyle w:val="Tablewriting"/>
              <w:ind w:left="720"/>
              <w:rPr>
                <w:rFonts w:eastAsia="MS Mincho" w:cstheme="minorHAnsi"/>
              </w:rPr>
            </w:pPr>
            <w:r w:rsidRPr="00385A9D">
              <w:rPr>
                <w:rFonts w:eastAsia="MS Mincho" w:cstheme="minorHAnsi"/>
              </w:rPr>
              <w:t>All participants received dummy (placebo) versions of the other 2 treatments as well as their own active</w:t>
            </w:r>
          </w:p>
          <w:p w:rsidR="00C3700A" w:rsidRPr="00017AE6" w:rsidRDefault="00385A9D" w:rsidP="00A71365">
            <w:pPr>
              <w:pStyle w:val="Tablewriting"/>
              <w:ind w:left="720"/>
              <w:rPr>
                <w:rFonts w:eastAsia="MS Mincho" w:cstheme="minorHAnsi"/>
              </w:rPr>
            </w:pPr>
            <w:r w:rsidRPr="00385A9D">
              <w:rPr>
                <w:rFonts w:eastAsia="MS Mincho" w:cstheme="minorHAnsi"/>
              </w:rPr>
              <w:t>treatment.</w:t>
            </w:r>
          </w:p>
        </w:tc>
        <w:tc>
          <w:tcPr>
            <w:tcW w:w="960" w:type="pct"/>
          </w:tcPr>
          <w:p w:rsidR="00217E87" w:rsidRPr="00AD1DBB" w:rsidRDefault="000C12CB" w:rsidP="00A71365">
            <w:pPr>
              <w:pStyle w:val="Tablewriting"/>
              <w:rPr>
                <w:rFonts w:eastAsia="MS Mincho" w:cstheme="minorHAnsi"/>
                <w:u w:val="single"/>
              </w:rPr>
            </w:pPr>
            <w:r w:rsidRPr="00636300">
              <w:rPr>
                <w:rFonts w:eastAsia="MS Mincho" w:cstheme="minorHAnsi"/>
                <w:u w:val="single"/>
              </w:rPr>
              <w:lastRenderedPageBreak/>
              <w:t>Efficacy:</w:t>
            </w:r>
          </w:p>
          <w:p w:rsidR="004D2721" w:rsidRPr="004D2721" w:rsidRDefault="004D2721" w:rsidP="00A71365">
            <w:pPr>
              <w:pStyle w:val="Tablewriting"/>
              <w:rPr>
                <w:rFonts w:eastAsia="MS Mincho" w:cstheme="minorHAnsi"/>
              </w:rPr>
            </w:pPr>
            <w:r w:rsidRPr="004D2721">
              <w:rPr>
                <w:rFonts w:eastAsia="MS Mincho" w:cstheme="minorHAnsi"/>
              </w:rPr>
              <w:t>Primary: CAR at w</w:t>
            </w:r>
            <w:r>
              <w:rPr>
                <w:rFonts w:eastAsia="MS Mincho" w:cstheme="minorHAnsi"/>
              </w:rPr>
              <w:t>ee</w:t>
            </w:r>
            <w:r w:rsidRPr="004D2721">
              <w:rPr>
                <w:rFonts w:eastAsia="MS Mincho" w:cstheme="minorHAnsi"/>
              </w:rPr>
              <w:t xml:space="preserve">ks 8 </w:t>
            </w:r>
            <w:r>
              <w:rPr>
                <w:rFonts w:eastAsia="MS Mincho" w:cstheme="minorHAnsi"/>
              </w:rPr>
              <w:t>–</w:t>
            </w:r>
            <w:r w:rsidRPr="004D2721">
              <w:rPr>
                <w:rFonts w:eastAsia="MS Mincho" w:cstheme="minorHAnsi"/>
              </w:rPr>
              <w:t xml:space="preserve"> 11</w:t>
            </w:r>
            <w:r>
              <w:rPr>
                <w:rFonts w:eastAsia="MS Mincho" w:cstheme="minorHAnsi"/>
              </w:rPr>
              <w:t>.</w:t>
            </w:r>
          </w:p>
          <w:p w:rsidR="00217E87" w:rsidRDefault="004D2721" w:rsidP="00A71365">
            <w:pPr>
              <w:pStyle w:val="Tablewriting"/>
              <w:rPr>
                <w:rFonts w:eastAsia="MS Mincho" w:cstheme="minorHAnsi"/>
              </w:rPr>
            </w:pPr>
            <w:r w:rsidRPr="004D2721">
              <w:rPr>
                <w:rFonts w:eastAsia="MS Mincho" w:cstheme="minorHAnsi"/>
              </w:rPr>
              <w:t>Secondary: CA from TQD for 11 w</w:t>
            </w:r>
            <w:r>
              <w:rPr>
                <w:rFonts w:eastAsia="MS Mincho" w:cstheme="minorHAnsi"/>
              </w:rPr>
              <w:t>ee</w:t>
            </w:r>
            <w:r w:rsidRPr="004D2721">
              <w:rPr>
                <w:rFonts w:eastAsia="MS Mincho" w:cstheme="minorHAnsi"/>
              </w:rPr>
              <w:t>ks (EoT)</w:t>
            </w:r>
            <w:r>
              <w:rPr>
                <w:rFonts w:eastAsia="MS Mincho" w:cstheme="minorHAnsi"/>
              </w:rPr>
              <w:t>,</w:t>
            </w:r>
            <w:r w:rsidRPr="004D2721">
              <w:rPr>
                <w:rFonts w:eastAsia="MS Mincho" w:cstheme="minorHAnsi"/>
              </w:rPr>
              <w:t xml:space="preserve"> 7-day PPA at 6</w:t>
            </w:r>
            <w:r>
              <w:rPr>
                <w:rFonts w:eastAsia="MS Mincho" w:cstheme="minorHAnsi"/>
              </w:rPr>
              <w:t xml:space="preserve"> </w:t>
            </w:r>
            <w:r w:rsidR="0016189F">
              <w:rPr>
                <w:rFonts w:eastAsia="MS Mincho" w:cstheme="minorHAnsi"/>
              </w:rPr>
              <w:t>months</w:t>
            </w:r>
            <w:r w:rsidR="00AB73AD">
              <w:rPr>
                <w:rFonts w:eastAsia="MS Mincho" w:cstheme="minorHAnsi"/>
              </w:rPr>
              <w:t xml:space="preserve"> (</w:t>
            </w:r>
            <w:r w:rsidRPr="004D2721">
              <w:rPr>
                <w:rFonts w:eastAsia="MS Mincho" w:cstheme="minorHAnsi"/>
              </w:rPr>
              <w:t>CA from TQD to 6</w:t>
            </w:r>
            <w:r w:rsidR="00AB73AD">
              <w:rPr>
                <w:rFonts w:eastAsia="MS Mincho" w:cstheme="minorHAnsi"/>
              </w:rPr>
              <w:t xml:space="preserve"> months)</w:t>
            </w:r>
            <w:r w:rsidR="0016189F">
              <w:rPr>
                <w:rFonts w:eastAsia="MS Mincho" w:cstheme="minorHAnsi"/>
              </w:rPr>
              <w:t>.</w:t>
            </w:r>
          </w:p>
          <w:p w:rsidR="0016189F" w:rsidRDefault="0016189F" w:rsidP="00A71365">
            <w:pPr>
              <w:pStyle w:val="Tablewriting"/>
              <w:rPr>
                <w:rFonts w:eastAsia="MS Mincho" w:cstheme="minorHAnsi"/>
              </w:rPr>
            </w:pPr>
          </w:p>
          <w:p w:rsidR="004D2721" w:rsidRPr="004D2721" w:rsidRDefault="004D2721" w:rsidP="00A71365">
            <w:pPr>
              <w:pStyle w:val="Tablewriting"/>
              <w:rPr>
                <w:rFonts w:eastAsia="MS Mincho" w:cstheme="minorHAnsi"/>
              </w:rPr>
            </w:pPr>
            <w:r w:rsidRPr="004D2721">
              <w:rPr>
                <w:rFonts w:eastAsia="MS Mincho" w:cstheme="minorHAnsi"/>
              </w:rPr>
              <w:t xml:space="preserve">Validation: CO </w:t>
            </w:r>
            <w:r w:rsidR="009D467E" w:rsidRPr="009D467E">
              <w:rPr>
                <w:rFonts w:eastAsia="MS Mincho" w:cstheme="minorHAnsi"/>
                <w:b/>
                <w:bCs/>
              </w:rPr>
              <w:t>≤</w:t>
            </w:r>
            <w:r w:rsidRPr="004D2721">
              <w:rPr>
                <w:rFonts w:eastAsia="MS Mincho" w:cstheme="minorHAnsi"/>
              </w:rPr>
              <w:t xml:space="preserve"> 10 ppm</w:t>
            </w:r>
          </w:p>
          <w:p w:rsidR="004D2721" w:rsidRDefault="004D2721" w:rsidP="00A71365">
            <w:pPr>
              <w:pStyle w:val="Tablewriting"/>
              <w:rPr>
                <w:rFonts w:eastAsia="MS Mincho" w:cstheme="minorHAnsi"/>
                <w:u w:val="single"/>
              </w:rPr>
            </w:pPr>
          </w:p>
          <w:p w:rsidR="004D2721" w:rsidRDefault="004E5635" w:rsidP="00A71365">
            <w:pPr>
              <w:pStyle w:val="Tablewriting"/>
              <w:rPr>
                <w:rFonts w:eastAsia="MS Mincho" w:cstheme="minorHAnsi"/>
              </w:rPr>
            </w:pPr>
            <w:r w:rsidRPr="00AD1DBB">
              <w:rPr>
                <w:rFonts w:eastAsia="MS Mincho" w:cstheme="minorHAnsi"/>
                <w:u w:val="single"/>
              </w:rPr>
              <w:t>Safety:</w:t>
            </w:r>
            <w:r w:rsidR="004D2721">
              <w:rPr>
                <w:rFonts w:eastAsia="MS Mincho" w:cstheme="minorHAnsi"/>
                <w:u w:val="single"/>
              </w:rPr>
              <w:t xml:space="preserve"> </w:t>
            </w:r>
            <w:r w:rsidR="004D2721" w:rsidRPr="004D2721">
              <w:rPr>
                <w:rFonts w:eastAsia="MS Mincho" w:cstheme="minorHAnsi"/>
              </w:rPr>
              <w:t>AEs and SAEs (reported, but not by treatment group)</w:t>
            </w:r>
          </w:p>
          <w:p w:rsidR="00C3700A" w:rsidRPr="00017AE6" w:rsidRDefault="00C3700A" w:rsidP="00A71365">
            <w:pPr>
              <w:pStyle w:val="Tablewriting"/>
              <w:rPr>
                <w:rFonts w:eastAsia="MS Mincho" w:cstheme="minorHAnsi"/>
              </w:rPr>
            </w:pPr>
          </w:p>
        </w:tc>
      </w:tr>
      <w:tr w:rsidR="00C3700A" w:rsidRPr="00017AE6" w:rsidTr="005012C6">
        <w:trPr>
          <w:trHeight w:val="99"/>
        </w:trPr>
        <w:tc>
          <w:tcPr>
            <w:tcW w:w="412" w:type="pct"/>
          </w:tcPr>
          <w:p w:rsidR="00C3700A" w:rsidRPr="00017AE6" w:rsidRDefault="001B799D" w:rsidP="00A71365">
            <w:pPr>
              <w:pStyle w:val="Tablewriting"/>
              <w:rPr>
                <w:rFonts w:eastAsia="MS Mincho" w:cstheme="minorHAnsi"/>
              </w:rPr>
            </w:pPr>
            <w:r w:rsidRPr="001B799D">
              <w:rPr>
                <w:rFonts w:eastAsia="MS Mincho" w:cstheme="minorHAnsi"/>
              </w:rPr>
              <w:lastRenderedPageBreak/>
              <w:t xml:space="preserve">Stein </w:t>
            </w:r>
            <w:r w:rsidR="00FA40D7">
              <w:rPr>
                <w:rFonts w:eastAsia="MS Mincho" w:cstheme="minorHAnsi"/>
              </w:rPr>
              <w:t>(</w:t>
            </w:r>
            <w:r w:rsidRPr="001B799D">
              <w:rPr>
                <w:rFonts w:eastAsia="MS Mincho" w:cstheme="minorHAnsi"/>
              </w:rPr>
              <w:t>2013</w:t>
            </w:r>
            <w:r w:rsidR="00FA40D7">
              <w:rPr>
                <w:rFonts w:eastAsia="MS Mincho" w:cstheme="minorHAnsi"/>
              </w:rPr>
              <w:t>)</w:t>
            </w:r>
          </w:p>
        </w:tc>
        <w:tc>
          <w:tcPr>
            <w:tcW w:w="234" w:type="pct"/>
          </w:tcPr>
          <w:p w:rsidR="00C3700A" w:rsidRPr="00017AE6" w:rsidRDefault="006F2939" w:rsidP="00A71365">
            <w:pPr>
              <w:pStyle w:val="Tablewriting"/>
              <w:rPr>
                <w:rFonts w:eastAsia="MS Mincho" w:cstheme="minorHAnsi"/>
              </w:rPr>
            </w:pPr>
            <w:r>
              <w:rPr>
                <w:rFonts w:eastAsia="MS Mincho" w:cstheme="minorHAnsi"/>
              </w:rPr>
              <w:t>RCT</w:t>
            </w:r>
          </w:p>
        </w:tc>
        <w:tc>
          <w:tcPr>
            <w:tcW w:w="429" w:type="pct"/>
          </w:tcPr>
          <w:p w:rsidR="00C3700A" w:rsidRPr="00017AE6" w:rsidRDefault="006F2939" w:rsidP="00A71365">
            <w:pPr>
              <w:pStyle w:val="Tablewriting"/>
              <w:rPr>
                <w:rFonts w:eastAsia="MS Mincho" w:cstheme="minorHAnsi"/>
              </w:rPr>
            </w:pPr>
            <w:r>
              <w:rPr>
                <w:rFonts w:eastAsia="MS Mincho" w:cstheme="minorHAnsi"/>
              </w:rPr>
              <w:t>USA</w:t>
            </w:r>
          </w:p>
        </w:tc>
        <w:tc>
          <w:tcPr>
            <w:tcW w:w="676" w:type="pct"/>
          </w:tcPr>
          <w:p w:rsidR="00C3700A" w:rsidRPr="00017AE6" w:rsidRDefault="004E5635" w:rsidP="00A71365">
            <w:pPr>
              <w:pStyle w:val="Tablewriting"/>
              <w:rPr>
                <w:rFonts w:eastAsia="MS Mincho" w:cstheme="minorHAnsi"/>
              </w:rPr>
            </w:pPr>
            <w:r w:rsidRPr="00C45B56">
              <w:rPr>
                <w:rFonts w:eastAsia="MS Mincho" w:cstheme="minorHAnsi"/>
              </w:rPr>
              <w:t>N=</w:t>
            </w:r>
            <w:r w:rsidR="006F2939">
              <w:rPr>
                <w:rFonts w:eastAsia="MS Mincho" w:cstheme="minorHAnsi"/>
              </w:rPr>
              <w:t>315</w:t>
            </w:r>
            <w:r w:rsidR="00BC7EA1">
              <w:rPr>
                <w:rFonts w:eastAsia="MS Mincho" w:cstheme="minorHAnsi"/>
              </w:rPr>
              <w:t xml:space="preserve">; </w:t>
            </w:r>
            <w:r w:rsidR="00BC7EA1" w:rsidRPr="003B1F8B">
              <w:rPr>
                <w:rFonts w:eastAsia="MS Mincho"/>
              </w:rPr>
              <w:t>Allocated 3:1:3 to varenicline (137): placebo (45): combination NRT (133).</w:t>
            </w:r>
          </w:p>
        </w:tc>
        <w:tc>
          <w:tcPr>
            <w:tcW w:w="1233" w:type="pct"/>
          </w:tcPr>
          <w:p w:rsidR="00C3700A" w:rsidRPr="003B1F8B" w:rsidRDefault="003B1F8B" w:rsidP="00A71365">
            <w:pPr>
              <w:rPr>
                <w:rFonts w:eastAsia="MS Mincho"/>
                <w:lang w:eastAsia="en-US"/>
              </w:rPr>
            </w:pPr>
            <w:r>
              <w:rPr>
                <w:rFonts w:eastAsia="MS Mincho"/>
                <w:lang w:eastAsia="en-US"/>
              </w:rPr>
              <w:t>A</w:t>
            </w:r>
            <w:r w:rsidRPr="003B1F8B">
              <w:rPr>
                <w:rFonts w:eastAsia="MS Mincho"/>
                <w:lang w:eastAsia="en-US"/>
              </w:rPr>
              <w:t xml:space="preserve">dult </w:t>
            </w:r>
            <w:r w:rsidR="009A0C05" w:rsidRPr="003B1F8B">
              <w:rPr>
                <w:rFonts w:eastAsia="MS Mincho"/>
                <w:lang w:eastAsia="en-US"/>
              </w:rPr>
              <w:t>methadone</w:t>
            </w:r>
            <w:r w:rsidR="009A0C05">
              <w:rPr>
                <w:rFonts w:eastAsia="MS Mincho"/>
                <w:lang w:eastAsia="en-US"/>
              </w:rPr>
              <w:t>-maintained</w:t>
            </w:r>
            <w:r w:rsidRPr="003B1F8B">
              <w:rPr>
                <w:rFonts w:eastAsia="MS Mincho"/>
                <w:lang w:eastAsia="en-US"/>
              </w:rPr>
              <w:t xml:space="preserve"> smokers, smoking 10+ CPD, willing to set a quit date within the 1</w:t>
            </w:r>
            <w:r w:rsidRPr="009A0C05">
              <w:rPr>
                <w:rFonts w:eastAsia="MS Mincho"/>
                <w:vertAlign w:val="superscript"/>
                <w:lang w:eastAsia="en-US"/>
              </w:rPr>
              <w:t>st</w:t>
            </w:r>
            <w:r w:rsidR="009A0C05">
              <w:rPr>
                <w:rFonts w:eastAsia="MS Mincho"/>
                <w:lang w:eastAsia="en-US"/>
              </w:rPr>
              <w:t xml:space="preserve"> </w:t>
            </w:r>
            <w:r w:rsidRPr="003B1F8B">
              <w:rPr>
                <w:rFonts w:eastAsia="MS Mincho"/>
                <w:lang w:eastAsia="en-US"/>
              </w:rPr>
              <w:t>w</w:t>
            </w:r>
            <w:r w:rsidR="009A0C05">
              <w:rPr>
                <w:rFonts w:eastAsia="MS Mincho"/>
                <w:lang w:eastAsia="en-US"/>
              </w:rPr>
              <w:t>ee</w:t>
            </w:r>
            <w:r w:rsidRPr="003B1F8B">
              <w:rPr>
                <w:rFonts w:eastAsia="MS Mincho"/>
                <w:lang w:eastAsia="en-US"/>
              </w:rPr>
              <w:t>k</w:t>
            </w:r>
            <w:r w:rsidR="00BC7EA1">
              <w:rPr>
                <w:rFonts w:eastAsia="MS Mincho"/>
                <w:lang w:eastAsia="en-US"/>
              </w:rPr>
              <w:t>.</w:t>
            </w:r>
            <w:r w:rsidRPr="003B1F8B">
              <w:rPr>
                <w:rFonts w:eastAsia="MS Mincho"/>
                <w:lang w:eastAsia="en-US"/>
              </w:rPr>
              <w:t xml:space="preserve"> Mean age 39.9, 47.6%</w:t>
            </w:r>
            <w:r w:rsidR="00BC7EA1">
              <w:rPr>
                <w:rFonts w:eastAsia="MS Mincho"/>
                <w:lang w:eastAsia="en-US"/>
              </w:rPr>
              <w:t xml:space="preserve"> </w:t>
            </w:r>
            <w:r w:rsidRPr="003B1F8B">
              <w:rPr>
                <w:rFonts w:eastAsia="MS Mincho"/>
                <w:lang w:eastAsia="en-US"/>
              </w:rPr>
              <w:t>women, 78.5% white, mean CPD 20, mean FTND 5.7</w:t>
            </w:r>
            <w:r w:rsidR="00BC7EA1">
              <w:rPr>
                <w:rFonts w:eastAsia="MS Mincho"/>
                <w:lang w:eastAsia="en-US"/>
              </w:rPr>
              <w:t>.</w:t>
            </w:r>
          </w:p>
        </w:tc>
        <w:tc>
          <w:tcPr>
            <w:tcW w:w="1055" w:type="pct"/>
          </w:tcPr>
          <w:p w:rsidR="002A6C3C" w:rsidRDefault="00E4568D" w:rsidP="00C324F3">
            <w:pPr>
              <w:pStyle w:val="Tablewriting"/>
              <w:numPr>
                <w:ilvl w:val="0"/>
                <w:numId w:val="146"/>
              </w:numPr>
              <w:rPr>
                <w:rFonts w:eastAsia="MS Mincho" w:cstheme="minorHAnsi"/>
              </w:rPr>
            </w:pPr>
            <w:r w:rsidRPr="00E4568D">
              <w:rPr>
                <w:rFonts w:eastAsia="MS Mincho" w:cstheme="minorHAnsi"/>
              </w:rPr>
              <w:t>Varenicline: 24-wk course of varenicline tablets, 1st w</w:t>
            </w:r>
            <w:r>
              <w:rPr>
                <w:rFonts w:eastAsia="MS Mincho" w:cstheme="minorHAnsi"/>
              </w:rPr>
              <w:t>ee</w:t>
            </w:r>
            <w:r w:rsidRPr="00E4568D">
              <w:rPr>
                <w:rFonts w:eastAsia="MS Mincho" w:cstheme="minorHAnsi"/>
              </w:rPr>
              <w:t>k titrated</w:t>
            </w:r>
            <w:r w:rsidR="002A6C3C">
              <w:rPr>
                <w:rFonts w:eastAsia="MS Mincho" w:cstheme="minorHAnsi"/>
              </w:rPr>
              <w:t>.</w:t>
            </w:r>
          </w:p>
          <w:p w:rsidR="002A6C3C" w:rsidRDefault="00E4568D" w:rsidP="00C324F3">
            <w:pPr>
              <w:pStyle w:val="Tablewriting"/>
              <w:numPr>
                <w:ilvl w:val="0"/>
                <w:numId w:val="146"/>
              </w:numPr>
              <w:rPr>
                <w:rFonts w:eastAsia="MS Mincho" w:cstheme="minorHAnsi"/>
              </w:rPr>
            </w:pPr>
            <w:r w:rsidRPr="002A6C3C">
              <w:rPr>
                <w:rFonts w:eastAsia="MS Mincho" w:cstheme="minorHAnsi"/>
              </w:rPr>
              <w:t>Placebo: 24-wk course of identical tablets and regimen</w:t>
            </w:r>
            <w:r w:rsidR="002A6C3C">
              <w:rPr>
                <w:rFonts w:eastAsia="MS Mincho" w:cstheme="minorHAnsi"/>
              </w:rPr>
              <w:t>.</w:t>
            </w:r>
          </w:p>
          <w:p w:rsidR="00E4568D" w:rsidRDefault="00E4568D" w:rsidP="00C324F3">
            <w:pPr>
              <w:pStyle w:val="Tablewriting"/>
              <w:numPr>
                <w:ilvl w:val="0"/>
                <w:numId w:val="146"/>
              </w:numPr>
              <w:rPr>
                <w:rFonts w:eastAsia="MS Mincho" w:cstheme="minorHAnsi"/>
              </w:rPr>
            </w:pPr>
            <w:r w:rsidRPr="002A6C3C">
              <w:rPr>
                <w:rFonts w:eastAsia="MS Mincho" w:cstheme="minorHAnsi"/>
              </w:rPr>
              <w:t xml:space="preserve">Combination NRT: 24-wk course of NRT patch (42 mg for &gt; 30 CPD, 21 mg if &lt; 30 </w:t>
            </w:r>
            <w:r w:rsidRPr="002A6C3C">
              <w:rPr>
                <w:rFonts w:eastAsia="MS Mincho" w:cstheme="minorHAnsi"/>
              </w:rPr>
              <w:lastRenderedPageBreak/>
              <w:t>CPD), + ad lib nicotine gum (4 mg) as needed</w:t>
            </w:r>
            <w:r w:rsidR="002A6C3C">
              <w:rPr>
                <w:rFonts w:eastAsia="MS Mincho" w:cstheme="minorHAnsi"/>
              </w:rPr>
              <w:t>.</w:t>
            </w:r>
          </w:p>
          <w:p w:rsidR="002A6C3C" w:rsidRDefault="002A6C3C" w:rsidP="00A71365">
            <w:pPr>
              <w:pStyle w:val="Tablewriting"/>
              <w:rPr>
                <w:rFonts w:eastAsia="MS Mincho" w:cstheme="minorHAnsi"/>
              </w:rPr>
            </w:pPr>
          </w:p>
          <w:p w:rsidR="00C3700A" w:rsidRPr="00017AE6" w:rsidRDefault="002A6C3C"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Pr="00E4568D">
              <w:rPr>
                <w:rFonts w:eastAsia="MS Mincho" w:cstheme="minorHAnsi"/>
              </w:rPr>
              <w:t>All participants received a standardised 15-min session of advice to quit (5As model), and were asked to</w:t>
            </w:r>
            <w:r>
              <w:rPr>
                <w:rFonts w:eastAsia="MS Mincho" w:cstheme="minorHAnsi"/>
              </w:rPr>
              <w:t xml:space="preserve"> </w:t>
            </w:r>
            <w:r w:rsidRPr="00E4568D">
              <w:rPr>
                <w:rFonts w:eastAsia="MS Mincho" w:cstheme="minorHAnsi"/>
              </w:rPr>
              <w:t>set a TQD for 8 days time. All made monthly visits for support and top-up medication</w:t>
            </w:r>
            <w:r>
              <w:rPr>
                <w:rFonts w:eastAsia="MS Mincho" w:cstheme="minorHAnsi"/>
              </w:rPr>
              <w:t>.</w:t>
            </w:r>
          </w:p>
        </w:tc>
        <w:tc>
          <w:tcPr>
            <w:tcW w:w="960" w:type="pct"/>
          </w:tcPr>
          <w:p w:rsidR="00217E87" w:rsidRPr="00AD1DBB" w:rsidRDefault="00217E87" w:rsidP="00A71365">
            <w:pPr>
              <w:pStyle w:val="Tablewriting"/>
              <w:rPr>
                <w:rFonts w:eastAsia="MS Mincho" w:cstheme="minorHAnsi"/>
                <w:u w:val="single"/>
              </w:rPr>
            </w:pPr>
            <w:r w:rsidRPr="00AD1DBB">
              <w:rPr>
                <w:rFonts w:eastAsia="MS Mincho" w:cstheme="minorHAnsi"/>
                <w:u w:val="single"/>
              </w:rPr>
              <w:lastRenderedPageBreak/>
              <w:t>Efficacy:</w:t>
            </w:r>
          </w:p>
          <w:p w:rsidR="00837C4F" w:rsidRPr="00837C4F" w:rsidRDefault="00837C4F" w:rsidP="00A71365">
            <w:pPr>
              <w:pStyle w:val="Tablewriting"/>
              <w:rPr>
                <w:rFonts w:eastAsia="MS Mincho" w:cstheme="minorHAnsi"/>
              </w:rPr>
            </w:pPr>
            <w:r w:rsidRPr="00837C4F">
              <w:rPr>
                <w:rFonts w:eastAsia="MS Mincho" w:cstheme="minorHAnsi"/>
              </w:rPr>
              <w:t>Primary: 7-day PPA at 6</w:t>
            </w:r>
            <w:r w:rsidR="00355DB9">
              <w:rPr>
                <w:rFonts w:eastAsia="MS Mincho" w:cstheme="minorHAnsi"/>
              </w:rPr>
              <w:t xml:space="preserve"> months.</w:t>
            </w:r>
          </w:p>
          <w:p w:rsidR="00837C4F" w:rsidRPr="00837C4F" w:rsidRDefault="00837C4F" w:rsidP="00A71365">
            <w:pPr>
              <w:pStyle w:val="Tablewriting"/>
              <w:rPr>
                <w:rFonts w:eastAsia="MS Mincho" w:cstheme="minorHAnsi"/>
              </w:rPr>
            </w:pPr>
            <w:r w:rsidRPr="00837C4F">
              <w:rPr>
                <w:rFonts w:eastAsia="MS Mincho" w:cstheme="minorHAnsi"/>
              </w:rPr>
              <w:t>Secondary: CA from w</w:t>
            </w:r>
            <w:r w:rsidR="00355DB9">
              <w:rPr>
                <w:rFonts w:eastAsia="MS Mincho" w:cstheme="minorHAnsi"/>
              </w:rPr>
              <w:t>ee</w:t>
            </w:r>
            <w:r w:rsidRPr="00837C4F">
              <w:rPr>
                <w:rFonts w:eastAsia="MS Mincho" w:cstheme="minorHAnsi"/>
              </w:rPr>
              <w:t>k 2 to 6</w:t>
            </w:r>
            <w:r w:rsidR="00355DB9">
              <w:rPr>
                <w:rFonts w:eastAsia="MS Mincho" w:cstheme="minorHAnsi"/>
              </w:rPr>
              <w:t xml:space="preserve"> </w:t>
            </w:r>
            <w:r w:rsidRPr="00837C4F">
              <w:rPr>
                <w:rFonts w:eastAsia="MS Mincho" w:cstheme="minorHAnsi"/>
              </w:rPr>
              <w:t>m</w:t>
            </w:r>
            <w:r w:rsidR="00355DB9">
              <w:rPr>
                <w:rFonts w:eastAsia="MS Mincho" w:cstheme="minorHAnsi"/>
              </w:rPr>
              <w:t>onths</w:t>
            </w:r>
            <w:r w:rsidRPr="00837C4F">
              <w:rPr>
                <w:rFonts w:eastAsia="MS Mincho" w:cstheme="minorHAnsi"/>
              </w:rPr>
              <w:t>; for non-quitters: CPD reduction in the 28 days prior to 6</w:t>
            </w:r>
            <w:r w:rsidR="00355DB9">
              <w:rPr>
                <w:rFonts w:eastAsia="MS Mincho" w:cstheme="minorHAnsi"/>
              </w:rPr>
              <w:t xml:space="preserve"> </w:t>
            </w:r>
            <w:r w:rsidRPr="00837C4F">
              <w:rPr>
                <w:rFonts w:eastAsia="MS Mincho" w:cstheme="minorHAnsi"/>
              </w:rPr>
              <w:t>m</w:t>
            </w:r>
            <w:r w:rsidR="00355DB9">
              <w:rPr>
                <w:rFonts w:eastAsia="MS Mincho" w:cstheme="minorHAnsi"/>
              </w:rPr>
              <w:t>onths</w:t>
            </w:r>
            <w:r w:rsidRPr="00837C4F">
              <w:rPr>
                <w:rFonts w:eastAsia="MS Mincho" w:cstheme="minorHAnsi"/>
              </w:rPr>
              <w:t xml:space="preserve"> assessment</w:t>
            </w:r>
            <w:r w:rsidR="00355DB9">
              <w:rPr>
                <w:rFonts w:eastAsia="MS Mincho" w:cstheme="minorHAnsi"/>
              </w:rPr>
              <w:t>.</w:t>
            </w:r>
          </w:p>
          <w:p w:rsidR="00355DB9" w:rsidRDefault="00355DB9" w:rsidP="00A71365">
            <w:pPr>
              <w:pStyle w:val="Tablewriting"/>
              <w:rPr>
                <w:rFonts w:eastAsia="MS Mincho" w:cstheme="minorHAnsi"/>
              </w:rPr>
            </w:pPr>
          </w:p>
          <w:p w:rsidR="00217E87" w:rsidRDefault="00837C4F" w:rsidP="00A71365">
            <w:pPr>
              <w:pStyle w:val="Tablewriting"/>
              <w:rPr>
                <w:rFonts w:eastAsia="MS Mincho" w:cstheme="minorHAnsi"/>
              </w:rPr>
            </w:pPr>
            <w:r w:rsidRPr="00837C4F">
              <w:rPr>
                <w:rFonts w:eastAsia="MS Mincho" w:cstheme="minorHAnsi"/>
              </w:rPr>
              <w:lastRenderedPageBreak/>
              <w:t>Validation: CO &lt; 8 ppm; urinary cotinine in varenicline and placebo participants claiming abstinence</w:t>
            </w:r>
          </w:p>
          <w:p w:rsidR="00355DB9" w:rsidRDefault="00355DB9" w:rsidP="00A71365">
            <w:pPr>
              <w:pStyle w:val="Tablewriting"/>
              <w:rPr>
                <w:rFonts w:eastAsia="MS Mincho" w:cstheme="minorHAnsi"/>
                <w:u w:val="single"/>
              </w:rPr>
            </w:pPr>
          </w:p>
          <w:p w:rsidR="00C3700A" w:rsidRPr="00017AE6" w:rsidRDefault="00217E87" w:rsidP="00A71365">
            <w:pPr>
              <w:pStyle w:val="Tablewriting"/>
              <w:rPr>
                <w:rFonts w:eastAsia="MS Mincho" w:cstheme="minorHAnsi"/>
              </w:rPr>
            </w:pPr>
            <w:r w:rsidRPr="00AD1DBB">
              <w:rPr>
                <w:rFonts w:eastAsia="MS Mincho" w:cstheme="minorHAnsi"/>
                <w:u w:val="single"/>
              </w:rPr>
              <w:t>Safety:</w:t>
            </w:r>
            <w:r w:rsidR="00355DB9">
              <w:rPr>
                <w:rFonts w:eastAsia="MS Mincho" w:cstheme="minorHAnsi"/>
                <w:u w:val="single"/>
              </w:rPr>
              <w:t xml:space="preserve"> </w:t>
            </w:r>
            <w:r w:rsidR="00355DB9" w:rsidRPr="00355DB9">
              <w:rPr>
                <w:rFonts w:eastAsia="MS Mincho" w:cstheme="minorHAnsi"/>
              </w:rPr>
              <w:t>NR</w:t>
            </w:r>
          </w:p>
        </w:tc>
      </w:tr>
      <w:tr w:rsidR="001B799D" w:rsidRPr="00017AE6" w:rsidTr="005012C6">
        <w:trPr>
          <w:trHeight w:val="99"/>
        </w:trPr>
        <w:tc>
          <w:tcPr>
            <w:tcW w:w="412" w:type="pct"/>
          </w:tcPr>
          <w:p w:rsidR="001B799D" w:rsidRPr="001B799D" w:rsidRDefault="001B799D" w:rsidP="00A71365">
            <w:pPr>
              <w:pStyle w:val="Tablewriting"/>
              <w:rPr>
                <w:rFonts w:eastAsia="MS Mincho" w:cstheme="minorHAnsi"/>
              </w:rPr>
            </w:pPr>
            <w:r w:rsidRPr="001B799D">
              <w:rPr>
                <w:rFonts w:eastAsia="MS Mincho" w:cstheme="minorHAnsi"/>
              </w:rPr>
              <w:lastRenderedPageBreak/>
              <w:t xml:space="preserve">Tsukahara </w:t>
            </w:r>
            <w:r w:rsidR="00FA40D7">
              <w:rPr>
                <w:rFonts w:eastAsia="MS Mincho" w:cstheme="minorHAnsi"/>
              </w:rPr>
              <w:t>(</w:t>
            </w:r>
            <w:r w:rsidRPr="001B799D">
              <w:rPr>
                <w:rFonts w:eastAsia="MS Mincho" w:cstheme="minorHAnsi"/>
              </w:rPr>
              <w:t>2010</w:t>
            </w:r>
            <w:r w:rsidR="00FA40D7">
              <w:rPr>
                <w:rFonts w:eastAsia="MS Mincho" w:cstheme="minorHAnsi"/>
              </w:rPr>
              <w:t>)</w:t>
            </w:r>
          </w:p>
        </w:tc>
        <w:tc>
          <w:tcPr>
            <w:tcW w:w="234" w:type="pct"/>
          </w:tcPr>
          <w:p w:rsidR="001B799D" w:rsidRPr="00017AE6" w:rsidRDefault="009B13E5" w:rsidP="00A71365">
            <w:pPr>
              <w:pStyle w:val="Tablewriting"/>
              <w:rPr>
                <w:rFonts w:eastAsia="MS Mincho" w:cstheme="minorHAnsi"/>
              </w:rPr>
            </w:pPr>
            <w:r>
              <w:rPr>
                <w:rFonts w:eastAsia="MS Mincho" w:cstheme="minorHAnsi"/>
              </w:rPr>
              <w:t>RCT</w:t>
            </w:r>
          </w:p>
        </w:tc>
        <w:tc>
          <w:tcPr>
            <w:tcW w:w="429" w:type="pct"/>
          </w:tcPr>
          <w:p w:rsidR="001B799D" w:rsidRPr="00017AE6" w:rsidRDefault="009B13E5" w:rsidP="00A71365">
            <w:pPr>
              <w:pStyle w:val="Tablewriting"/>
              <w:rPr>
                <w:rFonts w:eastAsia="MS Mincho" w:cstheme="minorHAnsi"/>
              </w:rPr>
            </w:pPr>
            <w:r>
              <w:rPr>
                <w:rFonts w:eastAsia="MS Mincho" w:cstheme="minorHAnsi"/>
              </w:rPr>
              <w:t>Japan</w:t>
            </w:r>
          </w:p>
        </w:tc>
        <w:tc>
          <w:tcPr>
            <w:tcW w:w="676" w:type="pct"/>
          </w:tcPr>
          <w:p w:rsidR="001B799D" w:rsidRPr="00017AE6" w:rsidRDefault="004E5635" w:rsidP="00A71365">
            <w:pPr>
              <w:pStyle w:val="Tablewriting"/>
              <w:rPr>
                <w:rFonts w:eastAsia="MS Mincho" w:cstheme="minorHAnsi"/>
              </w:rPr>
            </w:pPr>
            <w:r w:rsidRPr="00C45B56">
              <w:rPr>
                <w:rFonts w:eastAsia="MS Mincho" w:cstheme="minorHAnsi"/>
              </w:rPr>
              <w:t>N=</w:t>
            </w:r>
            <w:r w:rsidR="00E860B5">
              <w:rPr>
                <w:rFonts w:eastAsia="MS Mincho" w:cstheme="minorHAnsi"/>
              </w:rPr>
              <w:t>32</w:t>
            </w:r>
          </w:p>
        </w:tc>
        <w:tc>
          <w:tcPr>
            <w:tcW w:w="1233" w:type="pct"/>
          </w:tcPr>
          <w:p w:rsidR="00A8254D" w:rsidRDefault="007F6057" w:rsidP="00A71365">
            <w:pPr>
              <w:pStyle w:val="Tablewriting"/>
              <w:rPr>
                <w:rFonts w:eastAsia="MS Mincho" w:cstheme="minorHAnsi"/>
              </w:rPr>
            </w:pPr>
            <w:r>
              <w:rPr>
                <w:rFonts w:eastAsia="MS Mincho" w:cstheme="minorHAnsi"/>
              </w:rPr>
              <w:t>A</w:t>
            </w:r>
            <w:r w:rsidRPr="007F6057">
              <w:rPr>
                <w:rFonts w:eastAsia="MS Mincho" w:cstheme="minorHAnsi"/>
              </w:rPr>
              <w:t>dult smokers, motivated to quit, allocated to varenicline (16) or nicotine patch (16). 75% men,</w:t>
            </w:r>
            <w:r w:rsidR="00E94B0D">
              <w:rPr>
                <w:rFonts w:eastAsia="MS Mincho" w:cstheme="minorHAnsi"/>
              </w:rPr>
              <w:t xml:space="preserve"> </w:t>
            </w:r>
            <w:r w:rsidRPr="007F6057">
              <w:rPr>
                <w:rFonts w:eastAsia="MS Mincho" w:cstheme="minorHAnsi"/>
              </w:rPr>
              <w:t>mean age 46, mean CPD 28 (varenicline), 25 (patch), mean TDS (addiction) score 7.6, mean Brinkman</w:t>
            </w:r>
            <w:r w:rsidR="00E94B0D">
              <w:rPr>
                <w:rFonts w:eastAsia="MS Mincho" w:cstheme="minorHAnsi"/>
              </w:rPr>
              <w:t xml:space="preserve"> </w:t>
            </w:r>
            <w:r w:rsidRPr="007F6057">
              <w:rPr>
                <w:rFonts w:eastAsia="MS Mincho" w:cstheme="minorHAnsi"/>
              </w:rPr>
              <w:t>index score (CPD x y</w:t>
            </w:r>
            <w:r w:rsidR="00E94B0D">
              <w:rPr>
                <w:rFonts w:eastAsia="MS Mincho" w:cstheme="minorHAnsi"/>
              </w:rPr>
              <w:t>ea</w:t>
            </w:r>
            <w:r w:rsidRPr="007F6057">
              <w:rPr>
                <w:rFonts w:eastAsia="MS Mincho" w:cstheme="minorHAnsi"/>
              </w:rPr>
              <w:t xml:space="preserve">rs smoking) 702. </w:t>
            </w:r>
          </w:p>
          <w:p w:rsidR="007F6057" w:rsidRPr="007F6057" w:rsidRDefault="007F6057" w:rsidP="00A71365">
            <w:pPr>
              <w:pStyle w:val="Tablewriting"/>
              <w:rPr>
                <w:rFonts w:eastAsia="MS Mincho" w:cstheme="minorHAnsi"/>
              </w:rPr>
            </w:pPr>
            <w:r w:rsidRPr="007F6057">
              <w:rPr>
                <w:rFonts w:eastAsia="MS Mincho" w:cstheme="minorHAnsi"/>
              </w:rPr>
              <w:t>71% had tried to quit previously, and 7% had used nicotine patches</w:t>
            </w:r>
          </w:p>
          <w:p w:rsidR="001B799D" w:rsidRPr="00017AE6" w:rsidRDefault="00A8254D" w:rsidP="00A71365">
            <w:pPr>
              <w:pStyle w:val="Tablewriting"/>
              <w:rPr>
                <w:rFonts w:eastAsia="MS Mincho" w:cstheme="minorHAnsi"/>
              </w:rPr>
            </w:pPr>
            <w:r w:rsidRPr="007F6057">
              <w:rPr>
                <w:rFonts w:eastAsia="MS Mincho" w:cstheme="minorHAnsi"/>
              </w:rPr>
              <w:t>B</w:t>
            </w:r>
            <w:r w:rsidR="007F6057" w:rsidRPr="007F6057">
              <w:rPr>
                <w:rFonts w:eastAsia="MS Mincho" w:cstheme="minorHAnsi"/>
              </w:rPr>
              <w:t>efore</w:t>
            </w:r>
            <w:r>
              <w:rPr>
                <w:rFonts w:eastAsia="MS Mincho" w:cstheme="minorHAnsi"/>
              </w:rPr>
              <w:t xml:space="preserve"> </w:t>
            </w:r>
            <w:r w:rsidR="007F6057" w:rsidRPr="007F6057">
              <w:rPr>
                <w:rFonts w:eastAsia="MS Mincho" w:cstheme="minorHAnsi"/>
              </w:rPr>
              <w:t>Standard</w:t>
            </w:r>
            <w:r>
              <w:rPr>
                <w:rFonts w:eastAsia="MS Mincho" w:cstheme="minorHAnsi"/>
              </w:rPr>
              <w:t xml:space="preserve"> </w:t>
            </w:r>
            <w:r w:rsidR="007F6057" w:rsidRPr="007F6057">
              <w:rPr>
                <w:rFonts w:eastAsia="MS Mincho" w:cstheme="minorHAnsi"/>
              </w:rPr>
              <w:t xml:space="preserve">pharmacotherapy trial exclusion criteria, plus attendance </w:t>
            </w:r>
            <w:r w:rsidR="00836B64">
              <w:rPr>
                <w:rFonts w:eastAsia="MS Mincho" w:cstheme="minorHAnsi"/>
              </w:rPr>
              <w:t xml:space="preserve">at any smoking cessation clinic </w:t>
            </w:r>
            <w:r w:rsidR="007F6057" w:rsidRPr="007F6057">
              <w:rPr>
                <w:rFonts w:eastAsia="MS Mincho" w:cstheme="minorHAnsi"/>
              </w:rPr>
              <w:t>during previous 12</w:t>
            </w:r>
            <w:r>
              <w:rPr>
                <w:rFonts w:eastAsia="MS Mincho" w:cstheme="minorHAnsi"/>
              </w:rPr>
              <w:t xml:space="preserve"> months.</w:t>
            </w:r>
          </w:p>
        </w:tc>
        <w:tc>
          <w:tcPr>
            <w:tcW w:w="1055" w:type="pct"/>
          </w:tcPr>
          <w:p w:rsidR="008633D9" w:rsidRDefault="008633D9" w:rsidP="00C324F3">
            <w:pPr>
              <w:pStyle w:val="Tablewriting"/>
              <w:numPr>
                <w:ilvl w:val="0"/>
                <w:numId w:val="147"/>
              </w:numPr>
              <w:rPr>
                <w:rFonts w:eastAsia="MS Mincho" w:cstheme="minorHAnsi"/>
              </w:rPr>
            </w:pPr>
            <w:r w:rsidRPr="008633D9">
              <w:rPr>
                <w:rFonts w:eastAsia="MS Mincho" w:cstheme="minorHAnsi"/>
              </w:rPr>
              <w:t>Open-label</w:t>
            </w:r>
            <w:r w:rsidR="00AE1358">
              <w:rPr>
                <w:rFonts w:eastAsia="MS Mincho" w:cstheme="minorHAnsi"/>
              </w:rPr>
              <w:t xml:space="preserve"> </w:t>
            </w:r>
            <w:r w:rsidRPr="008633D9">
              <w:rPr>
                <w:rFonts w:eastAsia="MS Mincho" w:cstheme="minorHAnsi"/>
              </w:rPr>
              <w:t>varenicline 1.0 mg x 2/day for 12 w</w:t>
            </w:r>
            <w:r>
              <w:rPr>
                <w:rFonts w:eastAsia="MS Mincho" w:cstheme="minorHAnsi"/>
              </w:rPr>
              <w:t>ee</w:t>
            </w:r>
            <w:r w:rsidRPr="008633D9">
              <w:rPr>
                <w:rFonts w:eastAsia="MS Mincho" w:cstheme="minorHAnsi"/>
              </w:rPr>
              <w:t>ks, following 1 w</w:t>
            </w:r>
            <w:r>
              <w:rPr>
                <w:rFonts w:eastAsia="MS Mincho" w:cstheme="minorHAnsi"/>
              </w:rPr>
              <w:t>ee</w:t>
            </w:r>
            <w:r w:rsidRPr="008633D9">
              <w:rPr>
                <w:rFonts w:eastAsia="MS Mincho" w:cstheme="minorHAnsi"/>
              </w:rPr>
              <w:t>k</w:t>
            </w:r>
            <w:r>
              <w:rPr>
                <w:rFonts w:eastAsia="MS Mincho" w:cstheme="minorHAnsi"/>
              </w:rPr>
              <w:t xml:space="preserve"> </w:t>
            </w:r>
            <w:r w:rsidRPr="008633D9">
              <w:rPr>
                <w:rFonts w:eastAsia="MS Mincho" w:cstheme="minorHAnsi"/>
              </w:rPr>
              <w:t>titration</w:t>
            </w:r>
            <w:r>
              <w:rPr>
                <w:rFonts w:eastAsia="MS Mincho" w:cstheme="minorHAnsi"/>
              </w:rPr>
              <w:t>.</w:t>
            </w:r>
          </w:p>
          <w:p w:rsidR="008633D9" w:rsidRDefault="008633D9" w:rsidP="00C324F3">
            <w:pPr>
              <w:pStyle w:val="Tablewriting"/>
              <w:numPr>
                <w:ilvl w:val="0"/>
                <w:numId w:val="147"/>
              </w:numPr>
              <w:rPr>
                <w:rFonts w:eastAsia="MS Mincho" w:cstheme="minorHAnsi"/>
              </w:rPr>
            </w:pPr>
            <w:r w:rsidRPr="008633D9">
              <w:rPr>
                <w:rFonts w:eastAsia="MS Mincho" w:cstheme="minorHAnsi"/>
              </w:rPr>
              <w:t>Open-label nicotine patch for 8 w</w:t>
            </w:r>
            <w:r>
              <w:rPr>
                <w:rFonts w:eastAsia="MS Mincho" w:cstheme="minorHAnsi"/>
              </w:rPr>
              <w:t>ee</w:t>
            </w:r>
            <w:r w:rsidRPr="008633D9">
              <w:rPr>
                <w:rFonts w:eastAsia="MS Mincho" w:cstheme="minorHAnsi"/>
              </w:rPr>
              <w:t>ks (52.5 mg/day for 4 w</w:t>
            </w:r>
            <w:r>
              <w:rPr>
                <w:rFonts w:eastAsia="MS Mincho" w:cstheme="minorHAnsi"/>
              </w:rPr>
              <w:t>ee</w:t>
            </w:r>
            <w:r w:rsidRPr="008633D9">
              <w:rPr>
                <w:rFonts w:eastAsia="MS Mincho" w:cstheme="minorHAnsi"/>
              </w:rPr>
              <w:t>ks, 35 mg/day for 2 w</w:t>
            </w:r>
            <w:r>
              <w:rPr>
                <w:rFonts w:eastAsia="MS Mincho" w:cstheme="minorHAnsi"/>
              </w:rPr>
              <w:t>ee</w:t>
            </w:r>
            <w:r w:rsidRPr="008633D9">
              <w:rPr>
                <w:rFonts w:eastAsia="MS Mincho" w:cstheme="minorHAnsi"/>
              </w:rPr>
              <w:t>ks, 17.5 mg/day for 2</w:t>
            </w:r>
            <w:r>
              <w:rPr>
                <w:rFonts w:eastAsia="MS Mincho" w:cstheme="minorHAnsi"/>
              </w:rPr>
              <w:t xml:space="preserve"> </w:t>
            </w:r>
            <w:r w:rsidRPr="008633D9">
              <w:rPr>
                <w:rFonts w:eastAsia="MS Mincho" w:cstheme="minorHAnsi"/>
              </w:rPr>
              <w:t>w</w:t>
            </w:r>
            <w:r>
              <w:rPr>
                <w:rFonts w:eastAsia="MS Mincho" w:cstheme="minorHAnsi"/>
              </w:rPr>
              <w:t>ee</w:t>
            </w:r>
            <w:r w:rsidRPr="008633D9">
              <w:rPr>
                <w:rFonts w:eastAsia="MS Mincho" w:cstheme="minorHAnsi"/>
              </w:rPr>
              <w:t>ks)</w:t>
            </w:r>
            <w:r>
              <w:rPr>
                <w:rFonts w:eastAsia="MS Mincho" w:cstheme="minorHAnsi"/>
              </w:rPr>
              <w:t>.</w:t>
            </w:r>
          </w:p>
          <w:p w:rsidR="008633D9" w:rsidRPr="008633D9" w:rsidRDefault="008633D9" w:rsidP="00C324F3">
            <w:pPr>
              <w:pStyle w:val="Tablewriting"/>
              <w:numPr>
                <w:ilvl w:val="0"/>
                <w:numId w:val="147"/>
              </w:numPr>
              <w:rPr>
                <w:rFonts w:eastAsia="MS Mincho" w:cstheme="minorHAnsi"/>
              </w:rPr>
            </w:pPr>
            <w:r w:rsidRPr="008633D9">
              <w:rPr>
                <w:rFonts w:eastAsia="MS Mincho" w:cstheme="minorHAnsi"/>
              </w:rPr>
              <w:t>No non-treatment or placebo control group</w:t>
            </w:r>
          </w:p>
          <w:p w:rsidR="008633D9" w:rsidRDefault="008633D9" w:rsidP="00A71365">
            <w:pPr>
              <w:pStyle w:val="Tablewriting"/>
              <w:rPr>
                <w:rFonts w:eastAsia="MS Mincho" w:cstheme="minorHAnsi"/>
              </w:rPr>
            </w:pPr>
          </w:p>
          <w:p w:rsidR="001B799D" w:rsidRPr="00017AE6" w:rsidRDefault="008633D9" w:rsidP="00A71365">
            <w:pPr>
              <w:pStyle w:val="Tablewriting"/>
              <w:rPr>
                <w:rFonts w:eastAsia="MS Mincho" w:cstheme="minorHAnsi"/>
              </w:rPr>
            </w:pPr>
            <w:r w:rsidRPr="008633D9">
              <w:rPr>
                <w:rFonts w:eastAsia="MS Mincho" w:cstheme="minorHAnsi"/>
              </w:rPr>
              <w:t>Varenicline group</w:t>
            </w:r>
            <w:r>
              <w:rPr>
                <w:rFonts w:eastAsia="MS Mincho" w:cstheme="minorHAnsi"/>
              </w:rPr>
              <w:t xml:space="preserve"> </w:t>
            </w:r>
            <w:r w:rsidRPr="008633D9">
              <w:rPr>
                <w:rFonts w:eastAsia="MS Mincho" w:cstheme="minorHAnsi"/>
              </w:rPr>
              <w:t>received 8 clinic visits and nicotine group 5 visits over 12 w</w:t>
            </w:r>
            <w:r>
              <w:rPr>
                <w:rFonts w:eastAsia="MS Mincho" w:cstheme="minorHAnsi"/>
              </w:rPr>
              <w:t>ee</w:t>
            </w:r>
            <w:r w:rsidRPr="008633D9">
              <w:rPr>
                <w:rFonts w:eastAsia="MS Mincho" w:cstheme="minorHAnsi"/>
              </w:rPr>
              <w:t>ks, with 5 brief counselling</w:t>
            </w:r>
            <w:r w:rsidR="00AE1358">
              <w:rPr>
                <w:rFonts w:eastAsia="MS Mincho" w:cstheme="minorHAnsi"/>
              </w:rPr>
              <w:t xml:space="preserve"> </w:t>
            </w:r>
            <w:r w:rsidRPr="008633D9">
              <w:rPr>
                <w:rFonts w:eastAsia="MS Mincho" w:cstheme="minorHAnsi"/>
              </w:rPr>
              <w:t>sessions (</w:t>
            </w:r>
            <w:r w:rsidR="00AE1358" w:rsidRPr="00AE1358">
              <w:rPr>
                <w:rFonts w:eastAsia="MS Mincho" w:cstheme="minorHAnsi"/>
              </w:rPr>
              <w:t>≤</w:t>
            </w:r>
            <w:r w:rsidRPr="008633D9">
              <w:rPr>
                <w:rFonts w:eastAsia="MS Mincho" w:cstheme="minorHAnsi"/>
              </w:rPr>
              <w:t xml:space="preserve"> 10 mins)</w:t>
            </w:r>
            <w:r w:rsidR="00AE1358">
              <w:rPr>
                <w:rFonts w:eastAsia="MS Mincho" w:cstheme="minorHAnsi"/>
              </w:rPr>
              <w:t>.</w:t>
            </w:r>
          </w:p>
        </w:tc>
        <w:tc>
          <w:tcPr>
            <w:tcW w:w="960" w:type="pct"/>
          </w:tcPr>
          <w:p w:rsidR="00217E87" w:rsidRPr="00AD1DBB" w:rsidRDefault="00217E87" w:rsidP="00A71365">
            <w:pPr>
              <w:pStyle w:val="Tablewriting"/>
              <w:rPr>
                <w:rFonts w:eastAsia="MS Mincho" w:cstheme="minorHAnsi"/>
                <w:u w:val="single"/>
              </w:rPr>
            </w:pPr>
            <w:r w:rsidRPr="00AD1DBB">
              <w:rPr>
                <w:rFonts w:eastAsia="MS Mincho" w:cstheme="minorHAnsi"/>
                <w:u w:val="single"/>
              </w:rPr>
              <w:t>Efficacy:</w:t>
            </w:r>
          </w:p>
          <w:p w:rsidR="008678CA" w:rsidRDefault="008678CA" w:rsidP="00A71365">
            <w:pPr>
              <w:pStyle w:val="Tablewriting"/>
              <w:rPr>
                <w:rFonts w:eastAsia="MS Mincho" w:cstheme="minorHAnsi"/>
              </w:rPr>
            </w:pPr>
            <w:r w:rsidRPr="008678CA">
              <w:rPr>
                <w:rFonts w:eastAsia="MS Mincho" w:cstheme="minorHAnsi"/>
              </w:rPr>
              <w:t>CO-confirmed CAR at 9 - 12 w</w:t>
            </w:r>
            <w:r w:rsidR="0084289F">
              <w:rPr>
                <w:rFonts w:eastAsia="MS Mincho" w:cstheme="minorHAnsi"/>
              </w:rPr>
              <w:t>ee</w:t>
            </w:r>
            <w:r w:rsidRPr="008678CA">
              <w:rPr>
                <w:rFonts w:eastAsia="MS Mincho" w:cstheme="minorHAnsi"/>
              </w:rPr>
              <w:t>ks, and self-reported at 9 - 24 w</w:t>
            </w:r>
            <w:r w:rsidR="0084289F">
              <w:rPr>
                <w:rFonts w:eastAsia="MS Mincho" w:cstheme="minorHAnsi"/>
              </w:rPr>
              <w:t>ee</w:t>
            </w:r>
            <w:r w:rsidRPr="008678CA">
              <w:rPr>
                <w:rFonts w:eastAsia="MS Mincho" w:cstheme="minorHAnsi"/>
              </w:rPr>
              <w:t>ks by phone interview</w:t>
            </w:r>
            <w:r w:rsidR="0084289F">
              <w:rPr>
                <w:rFonts w:eastAsia="MS Mincho" w:cstheme="minorHAnsi"/>
              </w:rPr>
              <w:t>.</w:t>
            </w:r>
          </w:p>
          <w:p w:rsidR="0084289F" w:rsidRPr="008678CA" w:rsidRDefault="0084289F" w:rsidP="00A71365">
            <w:pPr>
              <w:pStyle w:val="Tablewriting"/>
              <w:rPr>
                <w:rFonts w:eastAsia="MS Mincho" w:cstheme="minorHAnsi"/>
              </w:rPr>
            </w:pPr>
          </w:p>
          <w:p w:rsidR="008678CA" w:rsidRPr="008678CA" w:rsidRDefault="008678CA" w:rsidP="00A71365">
            <w:pPr>
              <w:pStyle w:val="Tablewriting"/>
              <w:rPr>
                <w:rFonts w:eastAsia="MS Mincho" w:cstheme="minorHAnsi"/>
              </w:rPr>
            </w:pPr>
            <w:r w:rsidRPr="008678CA">
              <w:rPr>
                <w:rFonts w:eastAsia="MS Mincho" w:cstheme="minorHAnsi"/>
              </w:rPr>
              <w:t>Validation by expired CO &lt; 8 ppm at 12 w</w:t>
            </w:r>
            <w:r w:rsidR="0084289F">
              <w:rPr>
                <w:rFonts w:eastAsia="MS Mincho" w:cstheme="minorHAnsi"/>
              </w:rPr>
              <w:t>ee</w:t>
            </w:r>
            <w:r w:rsidRPr="008678CA">
              <w:rPr>
                <w:rFonts w:eastAsia="MS Mincho" w:cstheme="minorHAnsi"/>
              </w:rPr>
              <w:t>ks, but not at 24 w</w:t>
            </w:r>
            <w:r w:rsidR="0084289F">
              <w:rPr>
                <w:rFonts w:eastAsia="MS Mincho" w:cstheme="minorHAnsi"/>
              </w:rPr>
              <w:t>ee</w:t>
            </w:r>
            <w:r w:rsidRPr="008678CA">
              <w:rPr>
                <w:rFonts w:eastAsia="MS Mincho" w:cstheme="minorHAnsi"/>
              </w:rPr>
              <w:t>ks</w:t>
            </w:r>
            <w:r w:rsidR="0084289F">
              <w:rPr>
                <w:rFonts w:eastAsia="MS Mincho" w:cstheme="minorHAnsi"/>
              </w:rPr>
              <w:t xml:space="preserve">. </w:t>
            </w:r>
          </w:p>
          <w:p w:rsidR="0084289F" w:rsidRDefault="0084289F" w:rsidP="00A71365">
            <w:pPr>
              <w:pStyle w:val="Tablewriting"/>
              <w:rPr>
                <w:rFonts w:eastAsia="MS Mincho" w:cstheme="minorHAnsi"/>
              </w:rPr>
            </w:pPr>
          </w:p>
          <w:p w:rsidR="0084289F" w:rsidRPr="008678CA" w:rsidRDefault="004E5635" w:rsidP="00A71365">
            <w:pPr>
              <w:pStyle w:val="Tablewriting"/>
              <w:rPr>
                <w:rFonts w:eastAsia="MS Mincho" w:cstheme="minorHAnsi"/>
              </w:rPr>
            </w:pPr>
            <w:r w:rsidRPr="00AD1DBB">
              <w:rPr>
                <w:rFonts w:eastAsia="MS Mincho" w:cstheme="minorHAnsi"/>
                <w:u w:val="single"/>
              </w:rPr>
              <w:t>Safety:</w:t>
            </w:r>
            <w:r w:rsidR="0084289F" w:rsidRPr="008678CA">
              <w:rPr>
                <w:rFonts w:eastAsia="MS Mincho" w:cstheme="minorHAnsi"/>
              </w:rPr>
              <w:t xml:space="preserve"> Safety and tolerability by w</w:t>
            </w:r>
            <w:r w:rsidR="0084289F">
              <w:rPr>
                <w:rFonts w:eastAsia="MS Mincho" w:cstheme="minorHAnsi"/>
              </w:rPr>
              <w:t>ee</w:t>
            </w:r>
            <w:r w:rsidR="0084289F" w:rsidRPr="008678CA">
              <w:rPr>
                <w:rFonts w:eastAsia="MS Mincho" w:cstheme="minorHAnsi"/>
              </w:rPr>
              <w:t>k 12, using MNWS at w</w:t>
            </w:r>
            <w:r w:rsidR="0084289F">
              <w:rPr>
                <w:rFonts w:eastAsia="MS Mincho" w:cstheme="minorHAnsi"/>
              </w:rPr>
              <w:t>ee</w:t>
            </w:r>
            <w:r w:rsidR="0084289F" w:rsidRPr="008678CA">
              <w:rPr>
                <w:rFonts w:eastAsia="MS Mincho" w:cstheme="minorHAnsi"/>
              </w:rPr>
              <w:t>ks 2, 4, 8 and 12. Also used Stress</w:t>
            </w:r>
            <w:r w:rsidR="0084289F">
              <w:rPr>
                <w:rFonts w:eastAsia="MS Mincho" w:cstheme="minorHAnsi"/>
              </w:rPr>
              <w:t xml:space="preserve"> </w:t>
            </w:r>
            <w:r w:rsidR="0084289F" w:rsidRPr="008678CA">
              <w:rPr>
                <w:rFonts w:eastAsia="MS Mincho" w:cstheme="minorHAnsi"/>
              </w:rPr>
              <w:t>Check List and Strait-trait Anxiety Inventory</w:t>
            </w:r>
            <w:r w:rsidR="0084289F">
              <w:rPr>
                <w:rFonts w:eastAsia="MS Mincho" w:cstheme="minorHAnsi"/>
              </w:rPr>
              <w:t>.</w:t>
            </w:r>
          </w:p>
          <w:p w:rsidR="001B799D" w:rsidRPr="00017AE6" w:rsidRDefault="001B799D" w:rsidP="00A71365">
            <w:pPr>
              <w:pStyle w:val="Tablewriting"/>
              <w:rPr>
                <w:rFonts w:eastAsia="MS Mincho" w:cstheme="minorHAnsi"/>
              </w:rPr>
            </w:pPr>
          </w:p>
        </w:tc>
      </w:tr>
    </w:tbl>
    <w:p w:rsidR="00E337CE" w:rsidRPr="009B042A" w:rsidRDefault="00E337CE" w:rsidP="00E337CE">
      <w:pPr>
        <w:pStyle w:val="TableFooter"/>
        <w:keepNext/>
      </w:pPr>
      <w:r>
        <w:lastRenderedPageBreak/>
        <w:t>Source: Cahill</w:t>
      </w:r>
      <w:r w:rsidRPr="00342BE8">
        <w:t xml:space="preserve"> et al. (201</w:t>
      </w:r>
      <w:r>
        <w:t>6</w:t>
      </w:r>
      <w:r w:rsidRPr="00342BE8">
        <w:t>)</w:t>
      </w:r>
      <w:r>
        <w:t>.</w:t>
      </w:r>
    </w:p>
    <w:p w:rsidR="008C11B5" w:rsidRPr="00FC4F81" w:rsidRDefault="008C11B5" w:rsidP="008C11B5">
      <w:pPr>
        <w:pStyle w:val="TableFooter"/>
        <w:keepNext/>
      </w:pPr>
      <w:r>
        <w:t xml:space="preserve">Abbreviations: NR= not reported; </w:t>
      </w:r>
      <w:r w:rsidRPr="009B042A">
        <w:t xml:space="preserve">PPA= point prevalence smoking abstinence; </w:t>
      </w:r>
      <w:r>
        <w:t xml:space="preserve">CA= continuous abstinence;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CBT= cognitive behavioural therapy; AEs= adverse events; SAEs= serious adverse events.</w:t>
      </w:r>
    </w:p>
    <w:p w:rsidR="003B08A4" w:rsidRDefault="003B08A4" w:rsidP="003B08A4">
      <w:pPr>
        <w:pStyle w:val="Caption"/>
        <w:keepNext/>
      </w:pPr>
      <w:bookmarkStart w:id="379" w:name="_Ref54611303"/>
      <w:r>
        <w:t xml:space="preserve">Table </w:t>
      </w:r>
      <w:r w:rsidR="003C4A1C">
        <w:rPr>
          <w:noProof/>
        </w:rPr>
        <w:t>150</w:t>
      </w:r>
      <w:bookmarkEnd w:id="379"/>
      <w:r>
        <w:t xml:space="preserve">: </w:t>
      </w:r>
      <w:r w:rsidRPr="00B75A5E">
        <w:t xml:space="preserve">Characteristics of studies included in </w:t>
      </w:r>
      <w:r>
        <w:t>Lindson</w:t>
      </w:r>
      <w:r w:rsidRPr="00B75A5E">
        <w:t xml:space="preserve"> et al. (201</w:t>
      </w:r>
      <w:r>
        <w:t>9</w:t>
      </w:r>
      <w:r w:rsidRPr="00B75A5E">
        <w:t xml:space="preserve">), </w:t>
      </w:r>
      <w:r>
        <w:t xml:space="preserve">NRT lozenge or gum versus </w:t>
      </w:r>
      <w:r w:rsidRPr="00B75A5E">
        <w:t>NRT patch</w:t>
      </w:r>
    </w:p>
    <w:tbl>
      <w:tblPr>
        <w:tblStyle w:val="TableGrid"/>
        <w:tblW w:w="5219" w:type="pct"/>
        <w:tblLook w:val="04A0" w:firstRow="1" w:lastRow="0" w:firstColumn="1" w:lastColumn="0" w:noHBand="0" w:noVBand="1"/>
        <w:tblCaption w:val="Efficacy results of adalimumab trials (PASI 75 and DLQI)"/>
      </w:tblPr>
      <w:tblGrid>
        <w:gridCol w:w="1457"/>
        <w:gridCol w:w="690"/>
        <w:gridCol w:w="1272"/>
        <w:gridCol w:w="1054"/>
        <w:gridCol w:w="4021"/>
        <w:gridCol w:w="3386"/>
        <w:gridCol w:w="2679"/>
      </w:tblGrid>
      <w:tr w:rsidR="003B08A4" w:rsidRPr="00061F78" w:rsidTr="005012C6">
        <w:trPr>
          <w:trHeight w:val="299"/>
          <w:tblHeader/>
        </w:trPr>
        <w:tc>
          <w:tcPr>
            <w:tcW w:w="500" w:type="pct"/>
            <w:shd w:val="clear" w:color="auto" w:fill="BFBFBF" w:themeFill="background1" w:themeFillShade="BF"/>
            <w:tcMar>
              <w:left w:w="28" w:type="dxa"/>
              <w:right w:w="28" w:type="dxa"/>
            </w:tcMar>
          </w:tcPr>
          <w:p w:rsidR="003B08A4" w:rsidRPr="00061F78" w:rsidRDefault="00126B7B" w:rsidP="00A71365">
            <w:pPr>
              <w:pStyle w:val="Tableheading"/>
              <w:rPr>
                <w:rFonts w:eastAsia="MS Mincho"/>
              </w:rPr>
            </w:pPr>
            <w:r>
              <w:rPr>
                <w:rFonts w:eastAsia="MS Mincho"/>
              </w:rPr>
              <w:t>Study</w:t>
            </w:r>
          </w:p>
        </w:tc>
        <w:tc>
          <w:tcPr>
            <w:tcW w:w="237" w:type="pct"/>
            <w:shd w:val="clear" w:color="auto" w:fill="BFBFBF" w:themeFill="background1" w:themeFillShade="BF"/>
          </w:tcPr>
          <w:p w:rsidR="003B08A4" w:rsidRDefault="003B08A4" w:rsidP="00A71365">
            <w:pPr>
              <w:pStyle w:val="Tableheading"/>
              <w:jc w:val="center"/>
              <w:rPr>
                <w:rFonts w:eastAsia="MS Mincho"/>
              </w:rPr>
            </w:pPr>
            <w:r>
              <w:rPr>
                <w:rFonts w:eastAsia="MS Mincho"/>
              </w:rPr>
              <w:t>Study type</w:t>
            </w:r>
          </w:p>
        </w:tc>
        <w:tc>
          <w:tcPr>
            <w:tcW w:w="437" w:type="pct"/>
            <w:shd w:val="clear" w:color="auto" w:fill="BFBFBF" w:themeFill="background1" w:themeFillShade="BF"/>
          </w:tcPr>
          <w:p w:rsidR="003B08A4" w:rsidRDefault="003B08A4" w:rsidP="00A71365">
            <w:pPr>
              <w:pStyle w:val="Tableheading"/>
              <w:jc w:val="center"/>
              <w:rPr>
                <w:rFonts w:eastAsia="MS Mincho"/>
              </w:rPr>
            </w:pPr>
            <w:r>
              <w:rPr>
                <w:rFonts w:eastAsia="MS Mincho"/>
              </w:rPr>
              <w:t>Countries</w:t>
            </w:r>
          </w:p>
        </w:tc>
        <w:tc>
          <w:tcPr>
            <w:tcW w:w="362" w:type="pct"/>
            <w:shd w:val="clear" w:color="auto" w:fill="BFBFBF" w:themeFill="background1" w:themeFillShade="BF"/>
            <w:tcMar>
              <w:left w:w="28" w:type="dxa"/>
              <w:right w:w="28" w:type="dxa"/>
            </w:tcMar>
          </w:tcPr>
          <w:p w:rsidR="003B08A4" w:rsidRPr="00061F78" w:rsidRDefault="003B08A4" w:rsidP="00A71365">
            <w:pPr>
              <w:pStyle w:val="Tableheading"/>
              <w:jc w:val="center"/>
              <w:rPr>
                <w:rFonts w:eastAsia="MS Mincho"/>
              </w:rPr>
            </w:pPr>
            <w:r>
              <w:rPr>
                <w:rFonts w:eastAsia="MS Mincho"/>
              </w:rPr>
              <w:t>N</w:t>
            </w:r>
          </w:p>
        </w:tc>
        <w:tc>
          <w:tcPr>
            <w:tcW w:w="1381" w:type="pct"/>
            <w:shd w:val="clear" w:color="auto" w:fill="BFBFBF" w:themeFill="background1" w:themeFillShade="BF"/>
            <w:tcMar>
              <w:left w:w="28" w:type="dxa"/>
              <w:right w:w="28" w:type="dxa"/>
            </w:tcMar>
          </w:tcPr>
          <w:p w:rsidR="003B08A4" w:rsidRPr="00061F78" w:rsidRDefault="003B08A4" w:rsidP="00A71365">
            <w:pPr>
              <w:pStyle w:val="Tableheading"/>
              <w:jc w:val="center"/>
              <w:rPr>
                <w:rFonts w:eastAsia="MS Mincho"/>
              </w:rPr>
            </w:pPr>
            <w:r w:rsidRPr="00061F78">
              <w:rPr>
                <w:rFonts w:eastAsia="MS Mincho"/>
              </w:rPr>
              <w:t>P</w:t>
            </w:r>
            <w:r>
              <w:rPr>
                <w:rFonts w:eastAsia="MS Mincho"/>
              </w:rPr>
              <w:t>opulation</w:t>
            </w:r>
          </w:p>
        </w:tc>
        <w:tc>
          <w:tcPr>
            <w:tcW w:w="1163" w:type="pct"/>
            <w:shd w:val="clear" w:color="auto" w:fill="BFBFBF" w:themeFill="background1" w:themeFillShade="BF"/>
          </w:tcPr>
          <w:p w:rsidR="003B08A4" w:rsidRDefault="003B08A4" w:rsidP="00A71365">
            <w:pPr>
              <w:pStyle w:val="Tableheading"/>
              <w:jc w:val="center"/>
              <w:rPr>
                <w:rFonts w:eastAsia="MS Mincho"/>
              </w:rPr>
            </w:pPr>
            <w:r>
              <w:rPr>
                <w:rFonts w:eastAsia="MS Mincho"/>
              </w:rPr>
              <w:t>Intervention and comparator</w:t>
            </w:r>
          </w:p>
        </w:tc>
        <w:tc>
          <w:tcPr>
            <w:tcW w:w="920" w:type="pct"/>
            <w:shd w:val="clear" w:color="auto" w:fill="BFBFBF" w:themeFill="background1" w:themeFillShade="BF"/>
            <w:tcMar>
              <w:left w:w="28" w:type="dxa"/>
              <w:right w:w="28" w:type="dxa"/>
            </w:tcMar>
          </w:tcPr>
          <w:p w:rsidR="003B08A4" w:rsidRPr="00061F78" w:rsidRDefault="003B08A4" w:rsidP="00A71365">
            <w:pPr>
              <w:pStyle w:val="Tableheading"/>
              <w:jc w:val="center"/>
              <w:rPr>
                <w:rFonts w:eastAsia="MS Mincho"/>
              </w:rPr>
            </w:pPr>
            <w:r>
              <w:rPr>
                <w:rFonts w:eastAsia="MS Mincho"/>
              </w:rPr>
              <w:t>Outcomes</w:t>
            </w:r>
          </w:p>
        </w:tc>
      </w:tr>
      <w:tr w:rsidR="00D850F5" w:rsidRPr="00017AE6" w:rsidTr="005012C6">
        <w:trPr>
          <w:trHeight w:val="99"/>
        </w:trPr>
        <w:tc>
          <w:tcPr>
            <w:tcW w:w="500" w:type="pct"/>
          </w:tcPr>
          <w:p w:rsidR="00D850F5" w:rsidRPr="00017AE6" w:rsidRDefault="00D850F5" w:rsidP="00A71365">
            <w:pPr>
              <w:pStyle w:val="Tablewriting"/>
              <w:rPr>
                <w:rFonts w:eastAsia="MS Mincho" w:cstheme="minorHAnsi"/>
              </w:rPr>
            </w:pPr>
            <w:r w:rsidRPr="00D850F5">
              <w:rPr>
                <w:rFonts w:eastAsia="MS Mincho" w:cstheme="minorHAnsi"/>
              </w:rPr>
              <w:t xml:space="preserve">Kupecz </w:t>
            </w:r>
            <w:r w:rsidR="009D6057">
              <w:rPr>
                <w:rFonts w:eastAsia="MS Mincho" w:cstheme="minorHAnsi"/>
              </w:rPr>
              <w:t>(</w:t>
            </w:r>
            <w:r w:rsidRPr="00D850F5">
              <w:rPr>
                <w:rFonts w:eastAsia="MS Mincho" w:cstheme="minorHAnsi"/>
              </w:rPr>
              <w:t>1996</w:t>
            </w:r>
            <w:r w:rsidR="009D6057">
              <w:rPr>
                <w:rFonts w:eastAsia="MS Mincho" w:cstheme="minorHAnsi"/>
              </w:rPr>
              <w:t>)</w:t>
            </w:r>
          </w:p>
        </w:tc>
        <w:tc>
          <w:tcPr>
            <w:tcW w:w="237" w:type="pct"/>
          </w:tcPr>
          <w:p w:rsidR="00D122C8" w:rsidRPr="00D122C8" w:rsidRDefault="00D122C8" w:rsidP="00D122C8">
            <w:pPr>
              <w:pStyle w:val="Tablewriting"/>
              <w:rPr>
                <w:rFonts w:eastAsia="MS Mincho" w:cstheme="minorHAnsi"/>
              </w:rPr>
            </w:pPr>
            <w:r w:rsidRPr="00D122C8">
              <w:rPr>
                <w:rFonts w:eastAsia="MS Mincho" w:cstheme="minorHAnsi"/>
              </w:rPr>
              <w:t>RCT</w:t>
            </w:r>
          </w:p>
          <w:p w:rsidR="00D850F5" w:rsidRPr="00017AE6" w:rsidRDefault="00D850F5" w:rsidP="00A71365">
            <w:pPr>
              <w:pStyle w:val="Tablewriting"/>
              <w:rPr>
                <w:rFonts w:eastAsia="MS Mincho" w:cstheme="minorHAnsi"/>
              </w:rPr>
            </w:pPr>
          </w:p>
        </w:tc>
        <w:tc>
          <w:tcPr>
            <w:tcW w:w="437" w:type="pct"/>
          </w:tcPr>
          <w:p w:rsidR="00D850F5" w:rsidRPr="00017AE6" w:rsidRDefault="004272CD" w:rsidP="00A71365">
            <w:pPr>
              <w:pStyle w:val="Tablewriting"/>
              <w:rPr>
                <w:rFonts w:eastAsia="MS Mincho" w:cstheme="minorHAnsi"/>
              </w:rPr>
            </w:pPr>
            <w:r>
              <w:rPr>
                <w:rFonts w:eastAsia="MS Mincho" w:cstheme="minorHAnsi"/>
              </w:rPr>
              <w:t>USA</w:t>
            </w:r>
          </w:p>
        </w:tc>
        <w:tc>
          <w:tcPr>
            <w:tcW w:w="362" w:type="pct"/>
          </w:tcPr>
          <w:p w:rsidR="00D850F5" w:rsidRPr="00017AE6" w:rsidRDefault="004272CD" w:rsidP="00A71365">
            <w:pPr>
              <w:pStyle w:val="Tablewriting"/>
              <w:rPr>
                <w:rFonts w:eastAsia="MS Mincho" w:cstheme="minorHAnsi"/>
              </w:rPr>
            </w:pPr>
            <w:r>
              <w:rPr>
                <w:rFonts w:eastAsia="MS Mincho" w:cstheme="minorHAnsi"/>
              </w:rPr>
              <w:t>N=</w:t>
            </w:r>
            <w:r w:rsidR="00E15205">
              <w:rPr>
                <w:rFonts w:eastAsia="MS Mincho" w:cstheme="minorHAnsi"/>
              </w:rPr>
              <w:t>45</w:t>
            </w:r>
          </w:p>
        </w:tc>
        <w:tc>
          <w:tcPr>
            <w:tcW w:w="1381" w:type="pct"/>
          </w:tcPr>
          <w:p w:rsidR="00D850F5" w:rsidRDefault="00E15205" w:rsidP="00A71365">
            <w:pPr>
              <w:pStyle w:val="Tablewriting"/>
              <w:rPr>
                <w:rFonts w:eastAsia="MS Mincho" w:cstheme="minorHAnsi"/>
              </w:rPr>
            </w:pPr>
            <w:r>
              <w:rPr>
                <w:rFonts w:eastAsia="MS Mincho" w:cstheme="minorHAnsi"/>
              </w:rPr>
              <w:t>S</w:t>
            </w:r>
            <w:r w:rsidRPr="00E15205">
              <w:rPr>
                <w:rFonts w:eastAsia="MS Mincho" w:cstheme="minorHAnsi"/>
              </w:rPr>
              <w:t>mokers</w:t>
            </w:r>
            <w:r>
              <w:rPr>
                <w:rFonts w:eastAsia="MS Mincho" w:cstheme="minorHAnsi"/>
              </w:rPr>
              <w:t xml:space="preserve"> </w:t>
            </w:r>
            <w:r w:rsidRPr="00E15205">
              <w:rPr>
                <w:rFonts w:eastAsia="MS Mincho" w:cstheme="minorHAnsi"/>
              </w:rPr>
              <w:t>motivated to qui</w:t>
            </w:r>
            <w:r>
              <w:rPr>
                <w:rFonts w:eastAsia="MS Mincho" w:cstheme="minorHAnsi"/>
              </w:rPr>
              <w:t>t.</w:t>
            </w:r>
          </w:p>
          <w:p w:rsidR="00E75EA9" w:rsidRDefault="00E15205" w:rsidP="00A71365">
            <w:pPr>
              <w:pStyle w:val="Tablewriting"/>
              <w:rPr>
                <w:rFonts w:eastAsia="MS Mincho" w:cstheme="minorHAnsi"/>
              </w:rPr>
            </w:pPr>
            <w:r w:rsidRPr="00E15205">
              <w:rPr>
                <w:rFonts w:eastAsia="MS Mincho" w:cstheme="minorHAnsi"/>
              </w:rPr>
              <w:t>94.7% men</w:t>
            </w:r>
            <w:r>
              <w:rPr>
                <w:rFonts w:eastAsia="MS Mincho" w:cstheme="minorHAnsi"/>
              </w:rPr>
              <w:t>,</w:t>
            </w:r>
            <w:r w:rsidRPr="00E15205">
              <w:rPr>
                <w:rFonts w:eastAsia="MS Mincho" w:cstheme="minorHAnsi"/>
              </w:rPr>
              <w:t xml:space="preserve"> av</w:t>
            </w:r>
            <w:r>
              <w:rPr>
                <w:rFonts w:eastAsia="MS Mincho" w:cstheme="minorHAnsi"/>
              </w:rPr>
              <w:t xml:space="preserve">erage </w:t>
            </w:r>
            <w:r w:rsidRPr="00E15205">
              <w:rPr>
                <w:rFonts w:eastAsia="MS Mincho" w:cstheme="minorHAnsi"/>
              </w:rPr>
              <w:t>age</w:t>
            </w:r>
            <w:r>
              <w:rPr>
                <w:rFonts w:eastAsia="MS Mincho" w:cstheme="minorHAnsi"/>
              </w:rPr>
              <w:t xml:space="preserve"> </w:t>
            </w:r>
            <w:r w:rsidRPr="00E15205">
              <w:rPr>
                <w:rFonts w:eastAsia="MS Mincho" w:cstheme="minorHAnsi"/>
              </w:rPr>
              <w:t>50.2 y</w:t>
            </w:r>
            <w:r>
              <w:rPr>
                <w:rFonts w:eastAsia="MS Mincho" w:cstheme="minorHAnsi"/>
              </w:rPr>
              <w:t>ea</w:t>
            </w:r>
            <w:r w:rsidRPr="00E15205">
              <w:rPr>
                <w:rFonts w:eastAsia="MS Mincho" w:cstheme="minorHAnsi"/>
              </w:rPr>
              <w:t>rs; av</w:t>
            </w:r>
            <w:r>
              <w:rPr>
                <w:rFonts w:eastAsia="MS Mincho" w:cstheme="minorHAnsi"/>
              </w:rPr>
              <w:t xml:space="preserve">erage </w:t>
            </w:r>
            <w:r w:rsidRPr="00E15205">
              <w:rPr>
                <w:rFonts w:eastAsia="MS Mincho" w:cstheme="minorHAnsi"/>
              </w:rPr>
              <w:t>FTND</w:t>
            </w:r>
            <w:r>
              <w:rPr>
                <w:rFonts w:eastAsia="MS Mincho" w:cstheme="minorHAnsi"/>
              </w:rPr>
              <w:t xml:space="preserve"> </w:t>
            </w:r>
            <w:r w:rsidR="00E75EA9" w:rsidRPr="00E15205">
              <w:rPr>
                <w:rFonts w:eastAsia="MS Mincho" w:cstheme="minorHAnsi"/>
              </w:rPr>
              <w:t>7</w:t>
            </w:r>
            <w:r w:rsidR="00E75EA9">
              <w:rPr>
                <w:rFonts w:eastAsia="MS Mincho" w:cstheme="minorHAnsi"/>
              </w:rPr>
              <w:t>.</w:t>
            </w:r>
          </w:p>
          <w:p w:rsidR="00E15205" w:rsidRPr="00E15205" w:rsidRDefault="00E75EA9" w:rsidP="00A71365">
            <w:pPr>
              <w:pStyle w:val="Tablewriting"/>
              <w:rPr>
                <w:rFonts w:eastAsia="MS Mincho" w:cstheme="minorHAnsi"/>
              </w:rPr>
            </w:pPr>
            <w:r w:rsidRPr="00E15205">
              <w:rPr>
                <w:rFonts w:eastAsia="MS Mincho" w:cstheme="minorHAnsi"/>
              </w:rPr>
              <w:t>69</w:t>
            </w:r>
            <w:r w:rsidR="00E15205" w:rsidRPr="00E15205">
              <w:rPr>
                <w:rFonts w:eastAsia="MS Mincho" w:cstheme="minorHAnsi"/>
              </w:rPr>
              <w:t>% living in a smoking household</w:t>
            </w:r>
            <w:r w:rsidR="00E15205">
              <w:rPr>
                <w:rFonts w:eastAsia="MS Mincho" w:cstheme="minorHAnsi"/>
              </w:rPr>
              <w:t xml:space="preserve"> </w:t>
            </w:r>
            <w:r w:rsidR="00E15205" w:rsidRPr="00E15205">
              <w:rPr>
                <w:rFonts w:eastAsia="MS Mincho" w:cstheme="minorHAnsi"/>
              </w:rPr>
              <w:t>environment, av</w:t>
            </w:r>
            <w:r w:rsidR="00E15205">
              <w:rPr>
                <w:rFonts w:eastAsia="MS Mincho" w:cstheme="minorHAnsi"/>
              </w:rPr>
              <w:t>erage</w:t>
            </w:r>
            <w:r w:rsidR="00E15205" w:rsidRPr="00E15205">
              <w:rPr>
                <w:rFonts w:eastAsia="MS Mincho" w:cstheme="minorHAnsi"/>
              </w:rPr>
              <w:t xml:space="preserve"> pack/</w:t>
            </w:r>
          </w:p>
          <w:p w:rsidR="00E15205" w:rsidRPr="00017AE6" w:rsidRDefault="00E15205" w:rsidP="00A71365">
            <w:pPr>
              <w:pStyle w:val="Tablewriting"/>
              <w:rPr>
                <w:rFonts w:eastAsia="MS Mincho" w:cstheme="minorHAnsi"/>
              </w:rPr>
            </w:pPr>
            <w:r w:rsidRPr="00E15205">
              <w:rPr>
                <w:rFonts w:eastAsia="MS Mincho" w:cstheme="minorHAnsi"/>
              </w:rPr>
              <w:t>year history: 47.2 y</w:t>
            </w:r>
            <w:r>
              <w:rPr>
                <w:rFonts w:eastAsia="MS Mincho" w:cstheme="minorHAnsi"/>
              </w:rPr>
              <w:t>ea</w:t>
            </w:r>
            <w:r w:rsidRPr="00E15205">
              <w:rPr>
                <w:rFonts w:eastAsia="MS Mincho" w:cstheme="minorHAnsi"/>
              </w:rPr>
              <w:t>rs</w:t>
            </w:r>
            <w:r w:rsidR="00FC492C">
              <w:rPr>
                <w:rFonts w:eastAsia="MS Mincho" w:cstheme="minorHAnsi"/>
              </w:rPr>
              <w:t>.</w:t>
            </w:r>
          </w:p>
        </w:tc>
        <w:tc>
          <w:tcPr>
            <w:tcW w:w="1163" w:type="pct"/>
          </w:tcPr>
          <w:p w:rsidR="005D42C0" w:rsidRDefault="00E75EA9" w:rsidP="00C324F3">
            <w:pPr>
              <w:pStyle w:val="Tablewriting"/>
              <w:numPr>
                <w:ilvl w:val="0"/>
                <w:numId w:val="148"/>
              </w:numPr>
              <w:rPr>
                <w:rFonts w:eastAsia="MS Mincho" w:cstheme="minorHAnsi"/>
              </w:rPr>
            </w:pPr>
            <w:r w:rsidRPr="00E75EA9">
              <w:rPr>
                <w:rFonts w:eastAsia="MS Mincho" w:cstheme="minorHAnsi"/>
              </w:rPr>
              <w:t>Nicotine patch treatment for 10 weeks (21 mg/day for 6 weeks, then 14 mg/day for 2 weeks, then 7</w:t>
            </w:r>
            <w:r w:rsidR="005D42C0">
              <w:rPr>
                <w:rFonts w:eastAsia="MS Mincho" w:cstheme="minorHAnsi"/>
              </w:rPr>
              <w:t xml:space="preserve"> </w:t>
            </w:r>
            <w:r w:rsidRPr="005D42C0">
              <w:rPr>
                <w:rFonts w:eastAsia="MS Mincho" w:cstheme="minorHAnsi"/>
              </w:rPr>
              <w:t>mg/day for 2 weeks)</w:t>
            </w:r>
            <w:r w:rsidR="005D42C0">
              <w:rPr>
                <w:rFonts w:eastAsia="MS Mincho" w:cstheme="minorHAnsi"/>
              </w:rPr>
              <w:t>.</w:t>
            </w:r>
          </w:p>
          <w:p w:rsidR="00E75EA9" w:rsidRDefault="00E75EA9" w:rsidP="00C324F3">
            <w:pPr>
              <w:pStyle w:val="Tablewriting"/>
              <w:numPr>
                <w:ilvl w:val="0"/>
                <w:numId w:val="148"/>
              </w:numPr>
              <w:rPr>
                <w:rFonts w:eastAsia="MS Mincho" w:cstheme="minorHAnsi"/>
              </w:rPr>
            </w:pPr>
            <w:r w:rsidRPr="005D42C0">
              <w:rPr>
                <w:rFonts w:eastAsia="MS Mincho" w:cstheme="minorHAnsi"/>
              </w:rPr>
              <w:t>Nicotine gum: 2 mg pieces (chewed for 20 mins) ad libitum for 12 weeks, then an individualized tapering</w:t>
            </w:r>
            <w:r w:rsidR="005D42C0">
              <w:rPr>
                <w:rFonts w:eastAsia="MS Mincho" w:cstheme="minorHAnsi"/>
              </w:rPr>
              <w:t xml:space="preserve"> </w:t>
            </w:r>
            <w:r w:rsidRPr="005D42C0">
              <w:rPr>
                <w:rFonts w:eastAsia="MS Mincho" w:cstheme="minorHAnsi"/>
              </w:rPr>
              <w:t>schedule with the goal of discontinuing therapy within the next 12 weeks</w:t>
            </w:r>
            <w:r w:rsidR="005D42C0">
              <w:rPr>
                <w:rFonts w:eastAsia="MS Mincho" w:cstheme="minorHAnsi"/>
              </w:rPr>
              <w:t>.</w:t>
            </w:r>
          </w:p>
          <w:p w:rsidR="005D42C0" w:rsidRPr="005D42C0" w:rsidRDefault="005D42C0" w:rsidP="00A71365">
            <w:pPr>
              <w:pStyle w:val="Tablewriting"/>
              <w:ind w:left="360"/>
              <w:rPr>
                <w:rFonts w:eastAsia="MS Mincho" w:cstheme="minorHAnsi"/>
              </w:rPr>
            </w:pPr>
          </w:p>
          <w:p w:rsidR="00D850F5" w:rsidRPr="00017AE6" w:rsidRDefault="005D42C0"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E75EA9" w:rsidRPr="00E75EA9">
              <w:rPr>
                <w:rFonts w:eastAsia="MS Mincho" w:cstheme="minorHAnsi"/>
              </w:rPr>
              <w:t>All participants began the above treatment on their quit date and attended 4 weekly sessions, which</w:t>
            </w:r>
            <w:r>
              <w:rPr>
                <w:rFonts w:eastAsia="MS Mincho" w:cstheme="minorHAnsi"/>
              </w:rPr>
              <w:t xml:space="preserve"> </w:t>
            </w:r>
            <w:r w:rsidR="00E75EA9" w:rsidRPr="00E75EA9">
              <w:rPr>
                <w:rFonts w:eastAsia="MS Mincho" w:cstheme="minorHAnsi"/>
              </w:rPr>
              <w:t>included contract negotiation, positive reinforcement, relaxation exercises, visual imagery, and group</w:t>
            </w:r>
            <w:r>
              <w:rPr>
                <w:rFonts w:eastAsia="MS Mincho" w:cstheme="minorHAnsi"/>
              </w:rPr>
              <w:t xml:space="preserve"> </w:t>
            </w:r>
            <w:r w:rsidR="00E75EA9" w:rsidRPr="00E75EA9">
              <w:rPr>
                <w:rFonts w:eastAsia="MS Mincho" w:cstheme="minorHAnsi"/>
              </w:rPr>
              <w:t>support. Following the cessation programme</w:t>
            </w:r>
            <w:r>
              <w:rPr>
                <w:rFonts w:eastAsia="MS Mincho" w:cstheme="minorHAnsi"/>
              </w:rPr>
              <w:t xml:space="preserve"> </w:t>
            </w:r>
            <w:r w:rsidR="00E75EA9" w:rsidRPr="00E75EA9">
              <w:rPr>
                <w:rFonts w:eastAsia="MS Mincho" w:cstheme="minorHAnsi"/>
              </w:rPr>
              <w:t>participants attended 7 follow-up sessions</w:t>
            </w:r>
            <w:r>
              <w:rPr>
                <w:rFonts w:eastAsia="MS Mincho" w:cstheme="minorHAnsi"/>
              </w:rPr>
              <w:t>.</w:t>
            </w:r>
          </w:p>
        </w:tc>
        <w:tc>
          <w:tcPr>
            <w:tcW w:w="920" w:type="pct"/>
          </w:tcPr>
          <w:p w:rsidR="00D850F5" w:rsidRPr="004272CD" w:rsidRDefault="004272CD" w:rsidP="00A71365">
            <w:pPr>
              <w:pStyle w:val="Tablewriting"/>
              <w:rPr>
                <w:rFonts w:eastAsia="MS Mincho" w:cstheme="minorHAnsi"/>
                <w:u w:val="single"/>
              </w:rPr>
            </w:pPr>
            <w:r w:rsidRPr="004272CD">
              <w:rPr>
                <w:rFonts w:eastAsia="MS Mincho" w:cstheme="minorHAnsi"/>
                <w:u w:val="single"/>
              </w:rPr>
              <w:t>Efficacy:</w:t>
            </w:r>
          </w:p>
          <w:p w:rsidR="00DF26A1" w:rsidRDefault="00DF26A1" w:rsidP="00A71365">
            <w:pPr>
              <w:pStyle w:val="Tablewriting"/>
              <w:rPr>
                <w:rFonts w:eastAsia="MS Mincho" w:cstheme="minorHAnsi"/>
              </w:rPr>
            </w:pPr>
            <w:r w:rsidRPr="00DF26A1">
              <w:rPr>
                <w:rFonts w:eastAsia="MS Mincho" w:cstheme="minorHAnsi"/>
              </w:rPr>
              <w:t>PPA (defined as not smoking at time of asking) 52-w</w:t>
            </w:r>
            <w:r>
              <w:rPr>
                <w:rFonts w:eastAsia="MS Mincho" w:cstheme="minorHAnsi"/>
              </w:rPr>
              <w:t>ee</w:t>
            </w:r>
            <w:r w:rsidRPr="00DF26A1">
              <w:rPr>
                <w:rFonts w:eastAsia="MS Mincho" w:cstheme="minorHAnsi"/>
              </w:rPr>
              <w:t>k follow-up, validated by exhaled CO &lt; 8 ppm</w:t>
            </w:r>
            <w:r>
              <w:rPr>
                <w:rFonts w:eastAsia="MS Mincho" w:cstheme="minorHAnsi"/>
              </w:rPr>
              <w:t>.</w:t>
            </w:r>
          </w:p>
          <w:p w:rsidR="00DF26A1" w:rsidRPr="00DF26A1" w:rsidRDefault="00DF26A1" w:rsidP="00A71365">
            <w:pPr>
              <w:pStyle w:val="Tablewriting"/>
              <w:rPr>
                <w:rFonts w:eastAsia="MS Mincho" w:cstheme="minorHAnsi"/>
              </w:rPr>
            </w:pPr>
            <w:r w:rsidRPr="00DF26A1">
              <w:rPr>
                <w:rFonts w:eastAsia="MS Mincho" w:cstheme="minorHAnsi"/>
              </w:rPr>
              <w:t>Other abstinence measures: PPA at 6, 12 and 26 w</w:t>
            </w:r>
            <w:r>
              <w:rPr>
                <w:rFonts w:eastAsia="MS Mincho" w:cstheme="minorHAnsi"/>
              </w:rPr>
              <w:t>ee</w:t>
            </w:r>
            <w:r w:rsidRPr="00DF26A1">
              <w:rPr>
                <w:rFonts w:eastAsia="MS Mincho" w:cstheme="minorHAnsi"/>
              </w:rPr>
              <w:t>ks (CO-validated)</w:t>
            </w:r>
          </w:p>
          <w:p w:rsidR="00DF26A1" w:rsidRDefault="00DF26A1" w:rsidP="00A71365">
            <w:pPr>
              <w:pStyle w:val="Tablewriting"/>
              <w:rPr>
                <w:rFonts w:eastAsia="MS Mincho" w:cstheme="minorHAnsi"/>
                <w:u w:val="single"/>
              </w:rPr>
            </w:pPr>
          </w:p>
          <w:p w:rsidR="00DF26A1" w:rsidRPr="00DF26A1" w:rsidRDefault="004272CD" w:rsidP="00A71365">
            <w:pPr>
              <w:pStyle w:val="Tablewriting"/>
              <w:rPr>
                <w:rFonts w:eastAsia="MS Mincho" w:cstheme="minorHAnsi"/>
              </w:rPr>
            </w:pPr>
            <w:r w:rsidRPr="004272CD">
              <w:rPr>
                <w:rFonts w:eastAsia="MS Mincho" w:cstheme="minorHAnsi"/>
                <w:u w:val="single"/>
              </w:rPr>
              <w:t>Safety:</w:t>
            </w:r>
            <w:r w:rsidR="00DF26A1">
              <w:rPr>
                <w:rFonts w:eastAsia="MS Mincho" w:cstheme="minorHAnsi"/>
                <w:u w:val="single"/>
              </w:rPr>
              <w:t xml:space="preserve"> </w:t>
            </w:r>
            <w:r w:rsidR="00DF26A1" w:rsidRPr="00DF26A1">
              <w:rPr>
                <w:rFonts w:eastAsia="MS Mincho" w:cstheme="minorHAnsi"/>
              </w:rPr>
              <w:t>Adverse events: recorded at each session or follow-up. Note follow-up was to 1 year, and treatment was</w:t>
            </w:r>
          </w:p>
          <w:p w:rsidR="00DF26A1" w:rsidRDefault="00DF26A1" w:rsidP="00A71365">
            <w:pPr>
              <w:pStyle w:val="Tablewriting"/>
              <w:rPr>
                <w:rFonts w:eastAsia="MS Mincho" w:cstheme="minorHAnsi"/>
              </w:rPr>
            </w:pPr>
            <w:r w:rsidRPr="00DF26A1">
              <w:rPr>
                <w:rFonts w:eastAsia="MS Mincho" w:cstheme="minorHAnsi"/>
              </w:rPr>
              <w:t>to 24 weeks</w:t>
            </w:r>
            <w:r>
              <w:rPr>
                <w:rFonts w:eastAsia="MS Mincho" w:cstheme="minorHAnsi"/>
              </w:rPr>
              <w:t>.</w:t>
            </w:r>
          </w:p>
          <w:p w:rsidR="004272CD" w:rsidRPr="004272CD" w:rsidRDefault="004272CD" w:rsidP="00A71365">
            <w:pPr>
              <w:pStyle w:val="Tablewriting"/>
              <w:rPr>
                <w:rFonts w:eastAsia="MS Mincho" w:cstheme="minorHAnsi"/>
                <w:u w:val="single"/>
              </w:rPr>
            </w:pPr>
          </w:p>
        </w:tc>
      </w:tr>
      <w:tr w:rsidR="004272CD" w:rsidRPr="00017AE6" w:rsidTr="005012C6">
        <w:trPr>
          <w:trHeight w:val="99"/>
        </w:trPr>
        <w:tc>
          <w:tcPr>
            <w:tcW w:w="500" w:type="pct"/>
          </w:tcPr>
          <w:p w:rsidR="004272CD" w:rsidRPr="00017AE6" w:rsidRDefault="004272CD" w:rsidP="00A71365">
            <w:pPr>
              <w:pStyle w:val="Tablewriting"/>
              <w:rPr>
                <w:rFonts w:eastAsia="MS Mincho" w:cstheme="minorHAnsi"/>
              </w:rPr>
            </w:pPr>
            <w:r w:rsidRPr="00D850F5">
              <w:rPr>
                <w:rFonts w:eastAsia="MS Mincho" w:cstheme="minorHAnsi"/>
              </w:rPr>
              <w:t xml:space="preserve">Moolchan </w:t>
            </w:r>
            <w:r w:rsidR="009D6057">
              <w:rPr>
                <w:rFonts w:eastAsia="MS Mincho" w:cstheme="minorHAnsi"/>
              </w:rPr>
              <w:t>(</w:t>
            </w:r>
            <w:r w:rsidRPr="00D850F5">
              <w:rPr>
                <w:rFonts w:eastAsia="MS Mincho" w:cstheme="minorHAnsi"/>
              </w:rPr>
              <w:t>2005</w:t>
            </w:r>
            <w:r w:rsidR="009D6057">
              <w:rPr>
                <w:rFonts w:eastAsia="MS Mincho" w:cstheme="minorHAnsi"/>
              </w:rPr>
              <w:t>)</w:t>
            </w:r>
          </w:p>
        </w:tc>
        <w:tc>
          <w:tcPr>
            <w:tcW w:w="237" w:type="pct"/>
          </w:tcPr>
          <w:p w:rsidR="00D122C8" w:rsidRPr="00FC5880" w:rsidRDefault="00D122C8" w:rsidP="00D122C8">
            <w:pPr>
              <w:pStyle w:val="Tablewriting"/>
              <w:rPr>
                <w:rFonts w:eastAsia="MS Mincho" w:cstheme="minorHAnsi"/>
              </w:rPr>
            </w:pPr>
            <w:r w:rsidRPr="00FC5880">
              <w:rPr>
                <w:rFonts w:eastAsia="MS Mincho" w:cstheme="minorHAnsi"/>
              </w:rPr>
              <w:t>RCT</w:t>
            </w:r>
          </w:p>
          <w:p w:rsidR="004272CD" w:rsidRPr="00017AE6" w:rsidRDefault="004272CD" w:rsidP="00A71365">
            <w:pPr>
              <w:pStyle w:val="Tablewriting"/>
              <w:rPr>
                <w:rFonts w:eastAsia="MS Mincho" w:cstheme="minorHAnsi"/>
              </w:rPr>
            </w:pPr>
          </w:p>
        </w:tc>
        <w:tc>
          <w:tcPr>
            <w:tcW w:w="437" w:type="pct"/>
          </w:tcPr>
          <w:p w:rsidR="004272CD" w:rsidRPr="00017AE6" w:rsidRDefault="00932D3C" w:rsidP="00A71365">
            <w:pPr>
              <w:pStyle w:val="Tablewriting"/>
              <w:rPr>
                <w:rFonts w:eastAsia="MS Mincho" w:cstheme="minorHAnsi"/>
              </w:rPr>
            </w:pPr>
            <w:r>
              <w:rPr>
                <w:rFonts w:eastAsia="MS Mincho" w:cstheme="minorHAnsi"/>
              </w:rPr>
              <w:t>USA</w:t>
            </w:r>
          </w:p>
        </w:tc>
        <w:tc>
          <w:tcPr>
            <w:tcW w:w="362" w:type="pct"/>
          </w:tcPr>
          <w:p w:rsidR="004272CD" w:rsidRPr="00017AE6" w:rsidRDefault="004272CD" w:rsidP="00A71365">
            <w:pPr>
              <w:pStyle w:val="Tablewriting"/>
              <w:rPr>
                <w:rFonts w:eastAsia="MS Mincho" w:cstheme="minorHAnsi"/>
              </w:rPr>
            </w:pPr>
            <w:r>
              <w:rPr>
                <w:rFonts w:eastAsia="MS Mincho" w:cstheme="minorHAnsi"/>
              </w:rPr>
              <w:t>N=</w:t>
            </w:r>
            <w:r w:rsidR="00932D3C">
              <w:rPr>
                <w:rFonts w:eastAsia="MS Mincho" w:cstheme="minorHAnsi"/>
              </w:rPr>
              <w:t>120</w:t>
            </w:r>
          </w:p>
        </w:tc>
        <w:tc>
          <w:tcPr>
            <w:tcW w:w="1381" w:type="pct"/>
          </w:tcPr>
          <w:p w:rsidR="00932D3C" w:rsidRPr="00932D3C" w:rsidRDefault="00932D3C" w:rsidP="00A71365">
            <w:pPr>
              <w:pStyle w:val="Tablewriting"/>
              <w:rPr>
                <w:rFonts w:eastAsia="MS Mincho" w:cstheme="minorHAnsi"/>
              </w:rPr>
            </w:pPr>
            <w:r>
              <w:rPr>
                <w:rFonts w:eastAsia="MS Mincho" w:cstheme="minorHAnsi"/>
              </w:rPr>
              <w:t>A</w:t>
            </w:r>
            <w:r w:rsidRPr="00932D3C">
              <w:rPr>
                <w:rFonts w:eastAsia="MS Mincho" w:cstheme="minorHAnsi"/>
              </w:rPr>
              <w:t>dolescent smokers (age 13 - 17) (</w:t>
            </w:r>
            <w:r w:rsidR="00FA552C" w:rsidRPr="00F26E93">
              <w:rPr>
                <w:rFonts w:eastAsia="MS Mincho" w:cstheme="minorHAnsi"/>
              </w:rPr>
              <w:t>≥</w:t>
            </w:r>
            <w:r w:rsidR="00FA552C">
              <w:rPr>
                <w:rFonts w:eastAsia="MS Mincho" w:cstheme="minorHAnsi"/>
              </w:rPr>
              <w:t xml:space="preserve"> </w:t>
            </w:r>
            <w:r w:rsidRPr="00932D3C">
              <w:rPr>
                <w:rFonts w:eastAsia="MS Mincho" w:cstheme="minorHAnsi"/>
              </w:rPr>
              <w:t xml:space="preserve">10 </w:t>
            </w:r>
            <w:r>
              <w:rPr>
                <w:rFonts w:eastAsia="MS Mincho" w:cstheme="minorHAnsi"/>
              </w:rPr>
              <w:t>CPS</w:t>
            </w:r>
            <w:r w:rsidRPr="00932D3C">
              <w:rPr>
                <w:rFonts w:eastAsia="MS Mincho" w:cstheme="minorHAnsi"/>
              </w:rPr>
              <w:t>), motivated to quit</w:t>
            </w:r>
          </w:p>
          <w:p w:rsidR="004272CD" w:rsidRPr="00017AE6" w:rsidRDefault="00932D3C" w:rsidP="00A71365">
            <w:pPr>
              <w:pStyle w:val="Tablewriting"/>
              <w:rPr>
                <w:rFonts w:eastAsia="MS Mincho" w:cstheme="minorHAnsi"/>
              </w:rPr>
            </w:pPr>
            <w:r w:rsidRPr="00932D3C">
              <w:rPr>
                <w:rFonts w:eastAsia="MS Mincho" w:cstheme="minorHAnsi"/>
              </w:rPr>
              <w:t>30% male, av</w:t>
            </w:r>
            <w:r w:rsidR="00BB5CC7">
              <w:rPr>
                <w:rFonts w:eastAsia="MS Mincho" w:cstheme="minorHAnsi"/>
              </w:rPr>
              <w:t xml:space="preserve">erage </w:t>
            </w:r>
            <w:r w:rsidRPr="00932D3C">
              <w:rPr>
                <w:rFonts w:eastAsia="MS Mincho" w:cstheme="minorHAnsi"/>
              </w:rPr>
              <w:t>age 15, av</w:t>
            </w:r>
            <w:r w:rsidR="00BB5CC7">
              <w:rPr>
                <w:rFonts w:eastAsia="MS Mincho" w:cstheme="minorHAnsi"/>
              </w:rPr>
              <w:t>erage CPD</w:t>
            </w:r>
            <w:r w:rsidRPr="00932D3C">
              <w:rPr>
                <w:rFonts w:eastAsia="MS Mincho" w:cstheme="minorHAnsi"/>
              </w:rPr>
              <w:t xml:space="preserve"> 19</w:t>
            </w:r>
            <w:r w:rsidR="00BB5CC7">
              <w:rPr>
                <w:rFonts w:eastAsia="MS Mincho" w:cstheme="minorHAnsi"/>
              </w:rPr>
              <w:t>.</w:t>
            </w:r>
          </w:p>
        </w:tc>
        <w:tc>
          <w:tcPr>
            <w:tcW w:w="1163" w:type="pct"/>
          </w:tcPr>
          <w:p w:rsidR="0018621A" w:rsidRDefault="00BB5CC7" w:rsidP="00C324F3">
            <w:pPr>
              <w:pStyle w:val="Tablewriting"/>
              <w:numPr>
                <w:ilvl w:val="0"/>
                <w:numId w:val="149"/>
              </w:numPr>
              <w:rPr>
                <w:rFonts w:eastAsia="MS Mincho" w:cstheme="minorHAnsi"/>
              </w:rPr>
            </w:pPr>
            <w:r w:rsidRPr="00BB5CC7">
              <w:rPr>
                <w:rFonts w:eastAsia="MS Mincho" w:cstheme="minorHAnsi"/>
              </w:rPr>
              <w:t xml:space="preserve">Nicotine patch (21 mg, or 14 mg for &lt; 20 </w:t>
            </w:r>
            <w:r w:rsidR="0018621A">
              <w:rPr>
                <w:rFonts w:eastAsia="MS Mincho" w:cstheme="minorHAnsi"/>
              </w:rPr>
              <w:t>CPD</w:t>
            </w:r>
            <w:r w:rsidRPr="00BB5CC7">
              <w:rPr>
                <w:rFonts w:eastAsia="MS Mincho" w:cstheme="minorHAnsi"/>
              </w:rPr>
              <w:t>) for 6 w</w:t>
            </w:r>
            <w:r w:rsidR="0018621A">
              <w:rPr>
                <w:rFonts w:eastAsia="MS Mincho" w:cstheme="minorHAnsi"/>
              </w:rPr>
              <w:t>ee</w:t>
            </w:r>
            <w:r w:rsidRPr="00BB5CC7">
              <w:rPr>
                <w:rFonts w:eastAsia="MS Mincho" w:cstheme="minorHAnsi"/>
              </w:rPr>
              <w:t>ks +placebo gum</w:t>
            </w:r>
            <w:r w:rsidR="0018621A">
              <w:rPr>
                <w:rFonts w:eastAsia="MS Mincho" w:cstheme="minorHAnsi"/>
              </w:rPr>
              <w:t>.</w:t>
            </w:r>
          </w:p>
          <w:p w:rsidR="0018621A" w:rsidRDefault="00BB5CC7" w:rsidP="00C324F3">
            <w:pPr>
              <w:pStyle w:val="Tablewriting"/>
              <w:numPr>
                <w:ilvl w:val="0"/>
                <w:numId w:val="149"/>
              </w:numPr>
              <w:rPr>
                <w:rFonts w:eastAsia="MS Mincho" w:cstheme="minorHAnsi"/>
              </w:rPr>
            </w:pPr>
            <w:r w:rsidRPr="0018621A">
              <w:rPr>
                <w:rFonts w:eastAsia="MS Mincho" w:cstheme="minorHAnsi"/>
              </w:rPr>
              <w:t xml:space="preserve">Nicotine gum (4 mg, or 2 mg for &lt; 24 </w:t>
            </w:r>
            <w:r w:rsidR="0018621A">
              <w:rPr>
                <w:rFonts w:eastAsia="MS Mincho" w:cstheme="minorHAnsi"/>
              </w:rPr>
              <w:t>CPD</w:t>
            </w:r>
            <w:r w:rsidRPr="0018621A">
              <w:rPr>
                <w:rFonts w:eastAsia="MS Mincho" w:cstheme="minorHAnsi"/>
              </w:rPr>
              <w:t>) for 6 w</w:t>
            </w:r>
            <w:r w:rsidR="0018621A">
              <w:rPr>
                <w:rFonts w:eastAsia="MS Mincho" w:cstheme="minorHAnsi"/>
              </w:rPr>
              <w:t>ee</w:t>
            </w:r>
            <w:r w:rsidRPr="0018621A">
              <w:rPr>
                <w:rFonts w:eastAsia="MS Mincho" w:cstheme="minorHAnsi"/>
              </w:rPr>
              <w:t>ks + placebo patch</w:t>
            </w:r>
            <w:r w:rsidR="0018621A">
              <w:rPr>
                <w:rFonts w:eastAsia="MS Mincho" w:cstheme="minorHAnsi"/>
              </w:rPr>
              <w:t>.</w:t>
            </w:r>
          </w:p>
          <w:p w:rsidR="004272CD" w:rsidRPr="0018621A" w:rsidRDefault="00BB5CC7" w:rsidP="00C324F3">
            <w:pPr>
              <w:pStyle w:val="Tablewriting"/>
              <w:numPr>
                <w:ilvl w:val="0"/>
                <w:numId w:val="149"/>
              </w:numPr>
              <w:rPr>
                <w:rFonts w:eastAsia="MS Mincho" w:cstheme="minorHAnsi"/>
              </w:rPr>
            </w:pPr>
            <w:r w:rsidRPr="0018621A">
              <w:rPr>
                <w:rFonts w:eastAsia="MS Mincho" w:cstheme="minorHAnsi"/>
              </w:rPr>
              <w:t>Double placebo</w:t>
            </w:r>
            <w:r w:rsidR="0018621A">
              <w:rPr>
                <w:rFonts w:eastAsia="MS Mincho" w:cstheme="minorHAnsi"/>
              </w:rPr>
              <w:t>.</w:t>
            </w:r>
          </w:p>
        </w:tc>
        <w:tc>
          <w:tcPr>
            <w:tcW w:w="920" w:type="pct"/>
          </w:tcPr>
          <w:p w:rsidR="004272CD" w:rsidRPr="004272CD" w:rsidRDefault="004272CD" w:rsidP="00A71365">
            <w:pPr>
              <w:pStyle w:val="Tablewriting"/>
              <w:rPr>
                <w:rFonts w:eastAsia="MS Mincho" w:cstheme="minorHAnsi"/>
                <w:u w:val="single"/>
              </w:rPr>
            </w:pPr>
            <w:r w:rsidRPr="004272CD">
              <w:rPr>
                <w:rFonts w:eastAsia="MS Mincho" w:cstheme="minorHAnsi"/>
                <w:u w:val="single"/>
              </w:rPr>
              <w:t>Efficacy:</w:t>
            </w:r>
          </w:p>
          <w:p w:rsidR="00D511FC" w:rsidRPr="00D511FC" w:rsidRDefault="00D511FC" w:rsidP="00A71365">
            <w:pPr>
              <w:pStyle w:val="Tablewriting"/>
              <w:rPr>
                <w:rFonts w:eastAsia="MS Mincho" w:cstheme="minorHAnsi"/>
              </w:rPr>
            </w:pPr>
            <w:r w:rsidRPr="00D511FC">
              <w:rPr>
                <w:rFonts w:eastAsia="MS Mincho" w:cstheme="minorHAnsi"/>
              </w:rPr>
              <w:t>PPA at 6 m</w:t>
            </w:r>
            <w:r>
              <w:rPr>
                <w:rFonts w:eastAsia="MS Mincho" w:cstheme="minorHAnsi"/>
              </w:rPr>
              <w:t>onths</w:t>
            </w:r>
          </w:p>
          <w:p w:rsidR="00D511FC" w:rsidRDefault="00D511FC" w:rsidP="00A71365">
            <w:pPr>
              <w:pStyle w:val="Tablewriting"/>
              <w:rPr>
                <w:rFonts w:eastAsia="MS Mincho" w:cstheme="minorHAnsi"/>
              </w:rPr>
            </w:pPr>
            <w:r w:rsidRPr="00D511FC">
              <w:rPr>
                <w:rFonts w:eastAsia="MS Mincho" w:cstheme="minorHAnsi"/>
              </w:rPr>
              <w:t>Validation: CO and cotinine</w:t>
            </w:r>
            <w:r>
              <w:rPr>
                <w:rFonts w:eastAsia="MS Mincho" w:cstheme="minorHAnsi"/>
              </w:rPr>
              <w:t>.</w:t>
            </w:r>
          </w:p>
          <w:p w:rsidR="00D511FC" w:rsidRPr="00D511FC" w:rsidRDefault="00D511FC" w:rsidP="00A71365">
            <w:pPr>
              <w:pStyle w:val="Tablewriting"/>
              <w:rPr>
                <w:rFonts w:eastAsia="MS Mincho" w:cstheme="minorHAnsi"/>
              </w:rPr>
            </w:pPr>
          </w:p>
          <w:p w:rsidR="00D511FC" w:rsidRDefault="004272CD" w:rsidP="00A71365">
            <w:pPr>
              <w:pStyle w:val="Tablewriting"/>
              <w:rPr>
                <w:rFonts w:eastAsia="MS Mincho" w:cstheme="minorHAnsi"/>
              </w:rPr>
            </w:pPr>
            <w:r w:rsidRPr="004272CD">
              <w:rPr>
                <w:rFonts w:eastAsia="MS Mincho" w:cstheme="minorHAnsi"/>
                <w:u w:val="single"/>
              </w:rPr>
              <w:t>Safety:</w:t>
            </w:r>
            <w:r w:rsidR="00D511FC">
              <w:rPr>
                <w:rFonts w:eastAsia="MS Mincho" w:cstheme="minorHAnsi"/>
                <w:u w:val="single"/>
              </w:rPr>
              <w:t xml:space="preserve"> </w:t>
            </w:r>
            <w:r w:rsidR="00D511FC" w:rsidRPr="00D511FC">
              <w:rPr>
                <w:rFonts w:eastAsia="MS Mincho" w:cstheme="minorHAnsi"/>
              </w:rPr>
              <w:t>Adverse events</w:t>
            </w:r>
            <w:r w:rsidR="00D511FC">
              <w:rPr>
                <w:rFonts w:eastAsia="MS Mincho" w:cstheme="minorHAnsi"/>
              </w:rPr>
              <w:t xml:space="preserve"> </w:t>
            </w:r>
            <w:r w:rsidR="00D511FC" w:rsidRPr="00D511FC">
              <w:rPr>
                <w:rFonts w:eastAsia="MS Mincho" w:cstheme="minorHAnsi"/>
              </w:rPr>
              <w:t>measured during treatment visits</w:t>
            </w:r>
            <w:r w:rsidR="00D511FC">
              <w:rPr>
                <w:rFonts w:eastAsia="MS Mincho" w:cstheme="minorHAnsi"/>
              </w:rPr>
              <w:t xml:space="preserve"> </w:t>
            </w:r>
            <w:r w:rsidR="00D511FC" w:rsidRPr="00D511FC">
              <w:rPr>
                <w:rFonts w:eastAsia="MS Mincho" w:cstheme="minorHAnsi"/>
              </w:rPr>
              <w:t>(treatment length 12 weeks)</w:t>
            </w:r>
            <w:r w:rsidR="00D511FC">
              <w:rPr>
                <w:rFonts w:eastAsia="MS Mincho" w:cstheme="minorHAnsi"/>
              </w:rPr>
              <w:t>.</w:t>
            </w:r>
          </w:p>
          <w:p w:rsidR="004272CD" w:rsidRPr="00017AE6" w:rsidRDefault="004272CD" w:rsidP="00A71365">
            <w:pPr>
              <w:pStyle w:val="Tablewriting"/>
              <w:rPr>
                <w:rFonts w:eastAsia="MS Mincho" w:cstheme="minorHAnsi"/>
              </w:rPr>
            </w:pPr>
          </w:p>
        </w:tc>
      </w:tr>
      <w:tr w:rsidR="004272CD" w:rsidRPr="00017AE6" w:rsidTr="005012C6">
        <w:trPr>
          <w:trHeight w:val="99"/>
        </w:trPr>
        <w:tc>
          <w:tcPr>
            <w:tcW w:w="500" w:type="pct"/>
          </w:tcPr>
          <w:p w:rsidR="004272CD" w:rsidRDefault="004272CD" w:rsidP="00A71365">
            <w:pPr>
              <w:pStyle w:val="Tablewriting"/>
              <w:rPr>
                <w:rFonts w:eastAsia="MS Mincho" w:cstheme="minorHAnsi"/>
              </w:rPr>
            </w:pPr>
            <w:r w:rsidRPr="00D850F5">
              <w:rPr>
                <w:rFonts w:eastAsia="MS Mincho" w:cstheme="minorHAnsi"/>
              </w:rPr>
              <w:lastRenderedPageBreak/>
              <w:t xml:space="preserve">Piper </w:t>
            </w:r>
            <w:r w:rsidR="002570AF">
              <w:rPr>
                <w:rFonts w:eastAsia="MS Mincho" w:cstheme="minorHAnsi"/>
              </w:rPr>
              <w:t>(</w:t>
            </w:r>
            <w:r w:rsidRPr="00D850F5">
              <w:rPr>
                <w:rFonts w:eastAsia="MS Mincho" w:cstheme="minorHAnsi"/>
              </w:rPr>
              <w:t>200</w:t>
            </w:r>
            <w:r w:rsidR="008D46AE">
              <w:rPr>
                <w:rFonts w:eastAsia="MS Mincho" w:cstheme="minorHAnsi"/>
              </w:rPr>
              <w:t>9</w:t>
            </w:r>
            <w:r w:rsidR="002570AF">
              <w:rPr>
                <w:rFonts w:eastAsia="MS Mincho" w:cstheme="minorHAnsi"/>
              </w:rPr>
              <w:t>)</w:t>
            </w:r>
          </w:p>
          <w:p w:rsidR="00E2377A" w:rsidRDefault="00E2377A" w:rsidP="00A71365">
            <w:pPr>
              <w:pStyle w:val="Tablewriting"/>
              <w:rPr>
                <w:rFonts w:eastAsia="MS Mincho" w:cstheme="minorHAnsi"/>
              </w:rPr>
            </w:pPr>
          </w:p>
          <w:p w:rsidR="004272CD" w:rsidRPr="00017AE6" w:rsidRDefault="004272CD" w:rsidP="00A71365">
            <w:pPr>
              <w:pStyle w:val="Tablewriting"/>
              <w:rPr>
                <w:rFonts w:eastAsia="MS Mincho" w:cstheme="minorHAnsi"/>
              </w:rPr>
            </w:pPr>
          </w:p>
        </w:tc>
        <w:tc>
          <w:tcPr>
            <w:tcW w:w="237" w:type="pct"/>
          </w:tcPr>
          <w:p w:rsidR="00D122C8" w:rsidRPr="00FC5880" w:rsidRDefault="00D122C8" w:rsidP="00D122C8">
            <w:pPr>
              <w:pStyle w:val="Tablewriting"/>
              <w:rPr>
                <w:rFonts w:eastAsia="MS Mincho" w:cstheme="minorHAnsi"/>
              </w:rPr>
            </w:pPr>
            <w:r w:rsidRPr="00FC5880">
              <w:rPr>
                <w:rFonts w:eastAsia="MS Mincho" w:cstheme="minorHAnsi"/>
              </w:rPr>
              <w:t>RCT</w:t>
            </w:r>
          </w:p>
          <w:p w:rsidR="004272CD" w:rsidRPr="00017AE6" w:rsidRDefault="004272CD" w:rsidP="00A71365">
            <w:pPr>
              <w:pStyle w:val="Tablewriting"/>
              <w:rPr>
                <w:rFonts w:eastAsia="MS Mincho" w:cstheme="minorHAnsi"/>
              </w:rPr>
            </w:pPr>
          </w:p>
        </w:tc>
        <w:tc>
          <w:tcPr>
            <w:tcW w:w="437" w:type="pct"/>
          </w:tcPr>
          <w:p w:rsidR="004272CD" w:rsidRPr="00017AE6" w:rsidRDefault="008D46AE" w:rsidP="00A71365">
            <w:pPr>
              <w:pStyle w:val="Tablewriting"/>
              <w:rPr>
                <w:rFonts w:eastAsia="MS Mincho" w:cstheme="minorHAnsi"/>
              </w:rPr>
            </w:pPr>
            <w:r>
              <w:rPr>
                <w:rFonts w:eastAsia="MS Mincho" w:cstheme="minorHAnsi"/>
              </w:rPr>
              <w:t>USA</w:t>
            </w:r>
          </w:p>
        </w:tc>
        <w:tc>
          <w:tcPr>
            <w:tcW w:w="362" w:type="pct"/>
          </w:tcPr>
          <w:p w:rsidR="004272CD" w:rsidRPr="00017AE6" w:rsidRDefault="004272CD" w:rsidP="00A71365">
            <w:pPr>
              <w:pStyle w:val="Tablewriting"/>
              <w:rPr>
                <w:rFonts w:eastAsia="MS Mincho" w:cstheme="minorHAnsi"/>
              </w:rPr>
            </w:pPr>
            <w:r>
              <w:rPr>
                <w:rFonts w:eastAsia="MS Mincho" w:cstheme="minorHAnsi"/>
              </w:rPr>
              <w:t>N=</w:t>
            </w:r>
            <w:r w:rsidR="008D46AE">
              <w:rPr>
                <w:rFonts w:eastAsia="MS Mincho" w:cstheme="minorHAnsi"/>
              </w:rPr>
              <w:t>1504</w:t>
            </w:r>
          </w:p>
        </w:tc>
        <w:tc>
          <w:tcPr>
            <w:tcW w:w="1381" w:type="pct"/>
          </w:tcPr>
          <w:p w:rsidR="004272CD" w:rsidRPr="00017AE6" w:rsidRDefault="008B63D9" w:rsidP="00A71365">
            <w:pPr>
              <w:pStyle w:val="Tablewriting"/>
              <w:rPr>
                <w:rFonts w:eastAsia="MS Mincho" w:cstheme="minorHAnsi"/>
              </w:rPr>
            </w:pPr>
            <w:r>
              <w:rPr>
                <w:rFonts w:eastAsia="MS Mincho" w:cstheme="minorHAnsi"/>
              </w:rPr>
              <w:t>S</w:t>
            </w:r>
            <w:r w:rsidRPr="008B63D9">
              <w:rPr>
                <w:rFonts w:eastAsia="MS Mincho" w:cstheme="minorHAnsi"/>
              </w:rPr>
              <w:t>mokers motivated to quit</w:t>
            </w:r>
            <w:r>
              <w:rPr>
                <w:rFonts w:eastAsia="MS Mincho" w:cstheme="minorHAnsi"/>
              </w:rPr>
              <w:t xml:space="preserve">, </w:t>
            </w:r>
            <w:r w:rsidRPr="008B63D9">
              <w:rPr>
                <w:rFonts w:eastAsia="MS Mincho" w:cstheme="minorHAnsi"/>
              </w:rPr>
              <w:t xml:space="preserve">42% men, </w:t>
            </w:r>
            <w:r>
              <w:rPr>
                <w:rFonts w:eastAsia="MS Mincho" w:cstheme="minorHAnsi"/>
              </w:rPr>
              <w:t>aver</w:t>
            </w:r>
            <w:r w:rsidR="000639E5">
              <w:rPr>
                <w:rFonts w:eastAsia="MS Mincho" w:cstheme="minorHAnsi"/>
              </w:rPr>
              <w:t>age</w:t>
            </w:r>
            <w:r w:rsidRPr="008B63D9">
              <w:rPr>
                <w:rFonts w:eastAsia="MS Mincho" w:cstheme="minorHAnsi"/>
              </w:rPr>
              <w:t xml:space="preserve"> age 45, </w:t>
            </w:r>
            <w:r w:rsidR="000639E5">
              <w:rPr>
                <w:rFonts w:eastAsia="MS Mincho" w:cstheme="minorHAnsi"/>
              </w:rPr>
              <w:t>average</w:t>
            </w:r>
            <w:r w:rsidRPr="008B63D9">
              <w:rPr>
                <w:rFonts w:eastAsia="MS Mincho" w:cstheme="minorHAnsi"/>
              </w:rPr>
              <w:t xml:space="preserve"> </w:t>
            </w:r>
            <w:r w:rsidR="000639E5">
              <w:rPr>
                <w:rFonts w:eastAsia="MS Mincho" w:cstheme="minorHAnsi"/>
              </w:rPr>
              <w:t>CPD</w:t>
            </w:r>
            <w:r w:rsidRPr="008B63D9">
              <w:rPr>
                <w:rFonts w:eastAsia="MS Mincho" w:cstheme="minorHAnsi"/>
              </w:rPr>
              <w:t xml:space="preserve"> 21.4</w:t>
            </w:r>
            <w:r w:rsidR="000639E5">
              <w:rPr>
                <w:rFonts w:eastAsia="MS Mincho" w:cstheme="minorHAnsi"/>
              </w:rPr>
              <w:t>.</w:t>
            </w:r>
          </w:p>
        </w:tc>
        <w:tc>
          <w:tcPr>
            <w:tcW w:w="1163" w:type="pct"/>
          </w:tcPr>
          <w:p w:rsidR="006C7A15" w:rsidRDefault="006C7A15" w:rsidP="00C324F3">
            <w:pPr>
              <w:pStyle w:val="Tablewriting"/>
              <w:numPr>
                <w:ilvl w:val="0"/>
                <w:numId w:val="153"/>
              </w:numPr>
              <w:rPr>
                <w:rFonts w:eastAsia="MS Mincho" w:cstheme="minorHAnsi"/>
              </w:rPr>
            </w:pPr>
            <w:r w:rsidRPr="006C7A15">
              <w:rPr>
                <w:rFonts w:eastAsia="MS Mincho" w:cstheme="minorHAnsi"/>
              </w:rPr>
              <w:t>Nicotine lozenge 2 or 4 mg for 12 w</w:t>
            </w:r>
            <w:r>
              <w:rPr>
                <w:rFonts w:eastAsia="MS Mincho" w:cstheme="minorHAnsi"/>
              </w:rPr>
              <w:t>ee</w:t>
            </w:r>
            <w:r w:rsidRPr="006C7A15">
              <w:rPr>
                <w:rFonts w:eastAsia="MS Mincho" w:cstheme="minorHAnsi"/>
              </w:rPr>
              <w:t>ks (based on dose-for-dependence level as per instructions)</w:t>
            </w:r>
            <w:r>
              <w:rPr>
                <w:rFonts w:eastAsia="MS Mincho" w:cstheme="minorHAnsi"/>
              </w:rPr>
              <w:t>.</w:t>
            </w:r>
          </w:p>
          <w:p w:rsidR="006C7A15" w:rsidRDefault="006C7A15" w:rsidP="00C324F3">
            <w:pPr>
              <w:pStyle w:val="Tablewriting"/>
              <w:numPr>
                <w:ilvl w:val="0"/>
                <w:numId w:val="153"/>
              </w:numPr>
              <w:rPr>
                <w:rFonts w:eastAsia="MS Mincho" w:cstheme="minorHAnsi"/>
              </w:rPr>
            </w:pPr>
            <w:r w:rsidRPr="006C7A15">
              <w:rPr>
                <w:rFonts w:eastAsia="MS Mincho" w:cstheme="minorHAnsi"/>
              </w:rPr>
              <w:t>Nicotine patch (24-hour, 21, 14, and 7 mg titrated down over 8-wk period post-quit)</w:t>
            </w:r>
            <w:r>
              <w:rPr>
                <w:rFonts w:eastAsia="MS Mincho" w:cstheme="minorHAnsi"/>
              </w:rPr>
              <w:t>.</w:t>
            </w:r>
          </w:p>
          <w:p w:rsidR="006C7A15" w:rsidRDefault="006C7A15" w:rsidP="00C324F3">
            <w:pPr>
              <w:pStyle w:val="Tablewriting"/>
              <w:numPr>
                <w:ilvl w:val="0"/>
                <w:numId w:val="153"/>
              </w:numPr>
              <w:rPr>
                <w:rFonts w:eastAsia="MS Mincho" w:cstheme="minorHAnsi"/>
              </w:rPr>
            </w:pPr>
            <w:r w:rsidRPr="006C7A15">
              <w:rPr>
                <w:rFonts w:eastAsia="MS Mincho" w:cstheme="minorHAnsi"/>
              </w:rPr>
              <w:t>Bupropion SR (150 mg bid, 1 w</w:t>
            </w:r>
            <w:r>
              <w:rPr>
                <w:rFonts w:eastAsia="MS Mincho" w:cstheme="minorHAnsi"/>
              </w:rPr>
              <w:t>ee</w:t>
            </w:r>
            <w:r w:rsidRPr="006C7A15">
              <w:rPr>
                <w:rFonts w:eastAsia="MS Mincho" w:cstheme="minorHAnsi"/>
              </w:rPr>
              <w:t>k pre-quit, 8 w</w:t>
            </w:r>
            <w:r>
              <w:rPr>
                <w:rFonts w:eastAsia="MS Mincho" w:cstheme="minorHAnsi"/>
              </w:rPr>
              <w:t>ee</w:t>
            </w:r>
            <w:r w:rsidRPr="006C7A15">
              <w:rPr>
                <w:rFonts w:eastAsia="MS Mincho" w:cstheme="minorHAnsi"/>
              </w:rPr>
              <w:t>ks post-quit)</w:t>
            </w:r>
            <w:r>
              <w:rPr>
                <w:rFonts w:eastAsia="MS Mincho" w:cstheme="minorHAnsi"/>
              </w:rPr>
              <w:t>.</w:t>
            </w:r>
          </w:p>
          <w:p w:rsidR="006C7A15" w:rsidRDefault="006C7A15" w:rsidP="00C324F3">
            <w:pPr>
              <w:pStyle w:val="Tablewriting"/>
              <w:numPr>
                <w:ilvl w:val="0"/>
                <w:numId w:val="153"/>
              </w:numPr>
              <w:rPr>
                <w:rFonts w:eastAsia="MS Mincho" w:cstheme="minorHAnsi"/>
              </w:rPr>
            </w:pPr>
            <w:r w:rsidRPr="006C7A15">
              <w:rPr>
                <w:rFonts w:eastAsia="MS Mincho" w:cstheme="minorHAnsi"/>
              </w:rPr>
              <w:t>Lozenge + patch (duration and dosage as above)</w:t>
            </w:r>
            <w:r>
              <w:rPr>
                <w:rFonts w:eastAsia="MS Mincho" w:cstheme="minorHAnsi"/>
              </w:rPr>
              <w:t>.</w:t>
            </w:r>
          </w:p>
          <w:p w:rsidR="006C7A15" w:rsidRDefault="006C7A15" w:rsidP="00C324F3">
            <w:pPr>
              <w:pStyle w:val="Tablewriting"/>
              <w:numPr>
                <w:ilvl w:val="0"/>
                <w:numId w:val="153"/>
              </w:numPr>
              <w:rPr>
                <w:rFonts w:eastAsia="MS Mincho" w:cstheme="minorHAnsi"/>
              </w:rPr>
            </w:pPr>
            <w:r w:rsidRPr="006C7A15">
              <w:rPr>
                <w:rFonts w:eastAsia="MS Mincho" w:cstheme="minorHAnsi"/>
              </w:rPr>
              <w:t>Bupropion + lozenge (duration and dosage as above)</w:t>
            </w:r>
            <w:r>
              <w:rPr>
                <w:rFonts w:eastAsia="MS Mincho" w:cstheme="minorHAnsi"/>
              </w:rPr>
              <w:t>.</w:t>
            </w:r>
          </w:p>
          <w:p w:rsidR="004272CD" w:rsidRPr="00017AE6" w:rsidRDefault="006C7A15" w:rsidP="00C324F3">
            <w:pPr>
              <w:pStyle w:val="Tablewriting"/>
              <w:numPr>
                <w:ilvl w:val="0"/>
                <w:numId w:val="153"/>
              </w:numPr>
              <w:rPr>
                <w:rFonts w:eastAsia="MS Mincho" w:cstheme="minorHAnsi"/>
              </w:rPr>
            </w:pPr>
            <w:r w:rsidRPr="006C7A15">
              <w:rPr>
                <w:rFonts w:eastAsia="MS Mincho" w:cstheme="minorHAnsi"/>
              </w:rPr>
              <w:t>Placebo (5 groups matched to above 5 interventions)</w:t>
            </w:r>
            <w:r>
              <w:rPr>
                <w:rFonts w:eastAsia="MS Mincho" w:cstheme="minorHAnsi"/>
              </w:rPr>
              <w:t>.</w:t>
            </w:r>
          </w:p>
        </w:tc>
        <w:tc>
          <w:tcPr>
            <w:tcW w:w="920" w:type="pct"/>
          </w:tcPr>
          <w:p w:rsidR="004272CD" w:rsidRPr="004272CD" w:rsidRDefault="004272CD" w:rsidP="00A71365">
            <w:pPr>
              <w:pStyle w:val="Tablewriting"/>
              <w:rPr>
                <w:rFonts w:eastAsia="MS Mincho" w:cstheme="minorHAnsi"/>
                <w:u w:val="single"/>
              </w:rPr>
            </w:pPr>
            <w:r w:rsidRPr="004272CD">
              <w:rPr>
                <w:rFonts w:eastAsia="MS Mincho" w:cstheme="minorHAnsi"/>
                <w:u w:val="single"/>
              </w:rPr>
              <w:t>Efficacy:</w:t>
            </w:r>
          </w:p>
          <w:p w:rsidR="00F56F50" w:rsidRPr="00F56F50" w:rsidRDefault="00F56F50" w:rsidP="00A71365">
            <w:pPr>
              <w:pStyle w:val="Tablewriting"/>
              <w:rPr>
                <w:rFonts w:eastAsia="MS Mincho" w:cstheme="minorHAnsi"/>
              </w:rPr>
            </w:pPr>
            <w:r w:rsidRPr="00F56F50">
              <w:rPr>
                <w:rFonts w:eastAsia="MS Mincho" w:cstheme="minorHAnsi"/>
              </w:rPr>
              <w:t>7-day PPA at 6 m</w:t>
            </w:r>
            <w:r>
              <w:rPr>
                <w:rFonts w:eastAsia="MS Mincho" w:cstheme="minorHAnsi"/>
              </w:rPr>
              <w:t xml:space="preserve">onths, </w:t>
            </w:r>
            <w:r w:rsidRPr="00F56F50">
              <w:rPr>
                <w:rFonts w:eastAsia="MS Mincho" w:cstheme="minorHAnsi"/>
              </w:rPr>
              <w:t>initial cessation</w:t>
            </w:r>
            <w:r>
              <w:rPr>
                <w:rFonts w:eastAsia="MS Mincho" w:cstheme="minorHAnsi"/>
              </w:rPr>
              <w:t>.</w:t>
            </w:r>
          </w:p>
          <w:p w:rsidR="00F56F50" w:rsidRDefault="00F56F50" w:rsidP="00A71365">
            <w:pPr>
              <w:pStyle w:val="Tablewriting"/>
              <w:rPr>
                <w:rFonts w:eastAsia="MS Mincho" w:cstheme="minorHAnsi"/>
              </w:rPr>
            </w:pPr>
          </w:p>
          <w:p w:rsidR="00F56F50" w:rsidRPr="00F56F50" w:rsidRDefault="00F56F50" w:rsidP="00A71365">
            <w:pPr>
              <w:pStyle w:val="Tablewriting"/>
              <w:rPr>
                <w:rFonts w:eastAsia="MS Mincho" w:cstheme="minorHAnsi"/>
              </w:rPr>
            </w:pPr>
            <w:r w:rsidRPr="00F56F50">
              <w:rPr>
                <w:rFonts w:eastAsia="MS Mincho" w:cstheme="minorHAnsi"/>
              </w:rPr>
              <w:t>Validation: CO &lt; 10 ppm</w:t>
            </w:r>
            <w:r>
              <w:rPr>
                <w:rFonts w:eastAsia="MS Mincho" w:cstheme="minorHAnsi"/>
              </w:rPr>
              <w:t>.</w:t>
            </w:r>
          </w:p>
          <w:p w:rsidR="00F56F50" w:rsidRDefault="00F56F50" w:rsidP="00A71365">
            <w:pPr>
              <w:pStyle w:val="Tablewriting"/>
              <w:rPr>
                <w:rFonts w:eastAsia="MS Mincho" w:cstheme="minorHAnsi"/>
                <w:u w:val="single"/>
              </w:rPr>
            </w:pPr>
          </w:p>
          <w:p w:rsidR="00F56F50" w:rsidRDefault="004272CD" w:rsidP="00A71365">
            <w:pPr>
              <w:pStyle w:val="Tablewriting"/>
              <w:rPr>
                <w:rFonts w:eastAsia="MS Mincho" w:cstheme="minorHAnsi"/>
              </w:rPr>
            </w:pPr>
            <w:r w:rsidRPr="004272CD">
              <w:rPr>
                <w:rFonts w:eastAsia="MS Mincho" w:cstheme="minorHAnsi"/>
                <w:u w:val="single"/>
              </w:rPr>
              <w:t>Safety:</w:t>
            </w:r>
            <w:r w:rsidR="00F56F50">
              <w:rPr>
                <w:rFonts w:eastAsia="MS Mincho" w:cstheme="minorHAnsi"/>
                <w:u w:val="single"/>
              </w:rPr>
              <w:t xml:space="preserve"> </w:t>
            </w:r>
            <w:r w:rsidR="00F56F50" w:rsidRPr="00F56F50">
              <w:rPr>
                <w:rFonts w:eastAsia="MS Mincho" w:cstheme="minorHAnsi"/>
              </w:rPr>
              <w:t>Adverse events: measured at study visits during treatment (8 weeks)</w:t>
            </w:r>
            <w:r w:rsidR="00F56F50">
              <w:rPr>
                <w:rFonts w:eastAsia="MS Mincho" w:cstheme="minorHAnsi"/>
              </w:rPr>
              <w:t>.</w:t>
            </w:r>
          </w:p>
          <w:p w:rsidR="004272CD" w:rsidRPr="00017AE6" w:rsidRDefault="004272CD" w:rsidP="00A71365">
            <w:pPr>
              <w:pStyle w:val="Tablewriting"/>
              <w:rPr>
                <w:rFonts w:eastAsia="MS Mincho" w:cstheme="minorHAnsi"/>
              </w:rPr>
            </w:pPr>
          </w:p>
        </w:tc>
      </w:tr>
      <w:tr w:rsidR="004272CD" w:rsidRPr="00017AE6" w:rsidTr="005012C6">
        <w:trPr>
          <w:trHeight w:val="99"/>
        </w:trPr>
        <w:tc>
          <w:tcPr>
            <w:tcW w:w="500" w:type="pct"/>
          </w:tcPr>
          <w:p w:rsidR="004272CD" w:rsidRPr="00017AE6" w:rsidRDefault="004272CD" w:rsidP="00A71365">
            <w:pPr>
              <w:pStyle w:val="Tablewriting"/>
              <w:rPr>
                <w:rFonts w:eastAsia="MS Mincho" w:cstheme="minorHAnsi"/>
              </w:rPr>
            </w:pPr>
            <w:r w:rsidRPr="00D850F5">
              <w:rPr>
                <w:rFonts w:eastAsia="MS Mincho" w:cstheme="minorHAnsi"/>
              </w:rPr>
              <w:t xml:space="preserve">Schnoll </w:t>
            </w:r>
            <w:r w:rsidR="008D46AE">
              <w:rPr>
                <w:rFonts w:eastAsia="MS Mincho" w:cstheme="minorHAnsi"/>
              </w:rPr>
              <w:t>(</w:t>
            </w:r>
            <w:r w:rsidR="009D6057" w:rsidRPr="00D850F5">
              <w:rPr>
                <w:rFonts w:eastAsia="MS Mincho" w:cstheme="minorHAnsi"/>
              </w:rPr>
              <w:t>2010</w:t>
            </w:r>
            <w:r w:rsidR="00D122C8">
              <w:rPr>
                <w:rFonts w:eastAsia="MS Mincho" w:cstheme="minorHAnsi"/>
              </w:rPr>
              <w:t>b</w:t>
            </w:r>
            <w:r w:rsidR="009D6057">
              <w:rPr>
                <w:rFonts w:eastAsia="MS Mincho" w:cstheme="minorHAnsi"/>
              </w:rPr>
              <w:t xml:space="preserve">) </w:t>
            </w:r>
          </w:p>
        </w:tc>
        <w:tc>
          <w:tcPr>
            <w:tcW w:w="237" w:type="pct"/>
          </w:tcPr>
          <w:p w:rsidR="00D122C8" w:rsidRPr="00FC5880" w:rsidRDefault="00D122C8" w:rsidP="00D122C8">
            <w:pPr>
              <w:pStyle w:val="Tablewriting"/>
              <w:rPr>
                <w:rFonts w:eastAsia="MS Mincho" w:cstheme="minorHAnsi"/>
              </w:rPr>
            </w:pPr>
            <w:r w:rsidRPr="00FC5880">
              <w:rPr>
                <w:rFonts w:eastAsia="MS Mincho" w:cstheme="minorHAnsi"/>
              </w:rPr>
              <w:t>RCT</w:t>
            </w:r>
          </w:p>
          <w:p w:rsidR="004272CD" w:rsidRPr="00017AE6" w:rsidRDefault="004272CD" w:rsidP="00A71365">
            <w:pPr>
              <w:pStyle w:val="Tablewriting"/>
              <w:rPr>
                <w:rFonts w:eastAsia="MS Mincho" w:cstheme="minorHAnsi"/>
              </w:rPr>
            </w:pPr>
          </w:p>
        </w:tc>
        <w:tc>
          <w:tcPr>
            <w:tcW w:w="437" w:type="pct"/>
          </w:tcPr>
          <w:p w:rsidR="004272CD" w:rsidRPr="00017AE6" w:rsidRDefault="00C1431F" w:rsidP="00A71365">
            <w:pPr>
              <w:pStyle w:val="Tablewriting"/>
              <w:rPr>
                <w:rFonts w:eastAsia="MS Mincho" w:cstheme="minorHAnsi"/>
              </w:rPr>
            </w:pPr>
            <w:r>
              <w:rPr>
                <w:rFonts w:eastAsia="MS Mincho" w:cstheme="minorHAnsi"/>
              </w:rPr>
              <w:t>USA</w:t>
            </w:r>
          </w:p>
        </w:tc>
        <w:tc>
          <w:tcPr>
            <w:tcW w:w="362" w:type="pct"/>
          </w:tcPr>
          <w:p w:rsidR="004272CD" w:rsidRPr="00017AE6" w:rsidRDefault="004272CD" w:rsidP="00A71365">
            <w:pPr>
              <w:pStyle w:val="Tablewriting"/>
              <w:rPr>
                <w:rFonts w:eastAsia="MS Mincho" w:cstheme="minorHAnsi"/>
              </w:rPr>
            </w:pPr>
            <w:r>
              <w:rPr>
                <w:rFonts w:eastAsia="MS Mincho" w:cstheme="minorHAnsi"/>
              </w:rPr>
              <w:t>N=</w:t>
            </w:r>
            <w:r w:rsidR="00C1431F">
              <w:rPr>
                <w:rFonts w:eastAsia="MS Mincho" w:cstheme="minorHAnsi"/>
              </w:rPr>
              <w:t>642</w:t>
            </w:r>
          </w:p>
        </w:tc>
        <w:tc>
          <w:tcPr>
            <w:tcW w:w="1381" w:type="pct"/>
          </w:tcPr>
          <w:p w:rsidR="000932EE" w:rsidRPr="000932EE" w:rsidRDefault="000932EE" w:rsidP="00A71365">
            <w:pPr>
              <w:pStyle w:val="Tablewriting"/>
              <w:rPr>
                <w:rFonts w:eastAsia="MS Mincho" w:cstheme="minorHAnsi"/>
              </w:rPr>
            </w:pPr>
            <w:r>
              <w:rPr>
                <w:rFonts w:eastAsia="MS Mincho" w:cstheme="minorHAnsi"/>
              </w:rPr>
              <w:t>T</w:t>
            </w:r>
            <w:r w:rsidRPr="000932EE">
              <w:rPr>
                <w:rFonts w:eastAsia="MS Mincho" w:cstheme="minorHAnsi"/>
              </w:rPr>
              <w:t xml:space="preserve">reatment-seeking smokers smoking </w:t>
            </w:r>
            <w:r w:rsidR="00F26E93" w:rsidRPr="00F26E93">
              <w:rPr>
                <w:rFonts w:eastAsia="MS Mincho" w:cstheme="minorHAnsi"/>
              </w:rPr>
              <w:t>≥</w:t>
            </w:r>
            <w:r w:rsidR="00F26E93">
              <w:rPr>
                <w:rFonts w:eastAsia="MS Mincho" w:cstheme="minorHAnsi"/>
              </w:rPr>
              <w:t xml:space="preserve"> </w:t>
            </w:r>
            <w:r w:rsidRPr="000932EE">
              <w:rPr>
                <w:rFonts w:eastAsia="MS Mincho" w:cstheme="minorHAnsi"/>
              </w:rPr>
              <w:t xml:space="preserve">10 </w:t>
            </w:r>
            <w:r>
              <w:rPr>
                <w:rFonts w:eastAsia="MS Mincho" w:cstheme="minorHAnsi"/>
              </w:rPr>
              <w:t>CPD.</w:t>
            </w:r>
          </w:p>
          <w:p w:rsidR="004272CD" w:rsidRPr="00017AE6" w:rsidRDefault="000932EE" w:rsidP="00A71365">
            <w:pPr>
              <w:pStyle w:val="Tablewriting"/>
              <w:rPr>
                <w:rFonts w:eastAsia="MS Mincho" w:cstheme="minorHAnsi"/>
              </w:rPr>
            </w:pPr>
            <w:r w:rsidRPr="000932EE">
              <w:rPr>
                <w:rFonts w:eastAsia="MS Mincho" w:cstheme="minorHAnsi"/>
              </w:rPr>
              <w:t>43% men, a</w:t>
            </w:r>
            <w:r>
              <w:rPr>
                <w:rFonts w:eastAsia="MS Mincho" w:cstheme="minorHAnsi"/>
              </w:rPr>
              <w:t xml:space="preserve">verage </w:t>
            </w:r>
            <w:r w:rsidRPr="000932EE">
              <w:rPr>
                <w:rFonts w:eastAsia="MS Mincho" w:cstheme="minorHAnsi"/>
              </w:rPr>
              <w:t xml:space="preserve">age 45, </w:t>
            </w:r>
            <w:r w:rsidR="002C58BC" w:rsidRPr="000932EE">
              <w:rPr>
                <w:rFonts w:eastAsia="MS Mincho" w:cstheme="minorHAnsi"/>
              </w:rPr>
              <w:t>a</w:t>
            </w:r>
            <w:r w:rsidR="002C58BC">
              <w:rPr>
                <w:rFonts w:eastAsia="MS Mincho" w:cstheme="minorHAnsi"/>
              </w:rPr>
              <w:t>verage</w:t>
            </w:r>
            <w:r w:rsidRPr="000932EE">
              <w:rPr>
                <w:rFonts w:eastAsia="MS Mincho" w:cstheme="minorHAnsi"/>
              </w:rPr>
              <w:t xml:space="preserve"> </w:t>
            </w:r>
            <w:r w:rsidR="002C58BC">
              <w:rPr>
                <w:rFonts w:eastAsia="MS Mincho" w:cstheme="minorHAnsi"/>
              </w:rPr>
              <w:t>CPD</w:t>
            </w:r>
            <w:r w:rsidRPr="000932EE">
              <w:rPr>
                <w:rFonts w:eastAsia="MS Mincho" w:cstheme="minorHAnsi"/>
              </w:rPr>
              <w:t xml:space="preserve"> 20.3, </w:t>
            </w:r>
            <w:r w:rsidR="00485FA4" w:rsidRPr="000932EE">
              <w:rPr>
                <w:rFonts w:eastAsia="MS Mincho" w:cstheme="minorHAnsi"/>
              </w:rPr>
              <w:t>a</w:t>
            </w:r>
            <w:r w:rsidR="00485FA4">
              <w:rPr>
                <w:rFonts w:eastAsia="MS Mincho" w:cstheme="minorHAnsi"/>
              </w:rPr>
              <w:t>verage</w:t>
            </w:r>
            <w:r w:rsidRPr="000932EE">
              <w:rPr>
                <w:rFonts w:eastAsia="MS Mincho" w:cstheme="minorHAnsi"/>
              </w:rPr>
              <w:t xml:space="preserve"> FTND 5.1</w:t>
            </w:r>
            <w:r w:rsidR="00485FA4">
              <w:rPr>
                <w:rFonts w:eastAsia="MS Mincho" w:cstheme="minorHAnsi"/>
              </w:rPr>
              <w:t>,</w:t>
            </w:r>
            <w:r w:rsidRPr="000932EE">
              <w:rPr>
                <w:rFonts w:eastAsia="MS Mincho" w:cstheme="minorHAnsi"/>
              </w:rPr>
              <w:t xml:space="preserve"> </w:t>
            </w:r>
            <w:r w:rsidR="00485FA4" w:rsidRPr="000932EE">
              <w:rPr>
                <w:rFonts w:eastAsia="MS Mincho" w:cstheme="minorHAnsi"/>
              </w:rPr>
              <w:t>a</w:t>
            </w:r>
            <w:r w:rsidR="00485FA4">
              <w:rPr>
                <w:rFonts w:eastAsia="MS Mincho" w:cstheme="minorHAnsi"/>
              </w:rPr>
              <w:t>verage</w:t>
            </w:r>
            <w:r w:rsidRPr="000932EE">
              <w:rPr>
                <w:rFonts w:eastAsia="MS Mincho" w:cstheme="minorHAnsi"/>
              </w:rPr>
              <w:t xml:space="preserve"> y</w:t>
            </w:r>
            <w:r w:rsidR="00485FA4">
              <w:rPr>
                <w:rFonts w:eastAsia="MS Mincho" w:cstheme="minorHAnsi"/>
              </w:rPr>
              <w:t>ea</w:t>
            </w:r>
            <w:r w:rsidRPr="000932EE">
              <w:rPr>
                <w:rFonts w:eastAsia="MS Mincho" w:cstheme="minorHAnsi"/>
              </w:rPr>
              <w:t>rs smoking 26.7</w:t>
            </w:r>
            <w:r w:rsidR="00485FA4">
              <w:rPr>
                <w:rFonts w:eastAsia="MS Mincho" w:cstheme="minorHAnsi"/>
              </w:rPr>
              <w:t xml:space="preserve">. </w:t>
            </w:r>
          </w:p>
        </w:tc>
        <w:tc>
          <w:tcPr>
            <w:tcW w:w="1163" w:type="pct"/>
          </w:tcPr>
          <w:p w:rsidR="00485FA4" w:rsidRPr="00485FA4" w:rsidRDefault="00485FA4" w:rsidP="00A71365">
            <w:pPr>
              <w:pStyle w:val="Tablewriting"/>
              <w:rPr>
                <w:rFonts w:eastAsia="MS Mincho" w:cstheme="minorHAnsi"/>
              </w:rPr>
            </w:pPr>
            <w:r w:rsidRPr="00485FA4">
              <w:rPr>
                <w:rFonts w:eastAsia="MS Mincho" w:cstheme="minorHAnsi"/>
              </w:rPr>
              <w:t>Direct comparison of patch vs lozenge</w:t>
            </w:r>
          </w:p>
          <w:p w:rsidR="00485FA4" w:rsidRDefault="00485FA4" w:rsidP="00C324F3">
            <w:pPr>
              <w:pStyle w:val="Tablewriting"/>
              <w:numPr>
                <w:ilvl w:val="0"/>
                <w:numId w:val="150"/>
              </w:numPr>
              <w:rPr>
                <w:rFonts w:eastAsia="MS Mincho" w:cstheme="minorHAnsi"/>
              </w:rPr>
            </w:pPr>
            <w:r w:rsidRPr="00485FA4">
              <w:rPr>
                <w:rFonts w:eastAsia="MS Mincho" w:cstheme="minorHAnsi"/>
              </w:rPr>
              <w:t>Patch: 21 mg/day for first 6 w</w:t>
            </w:r>
            <w:r>
              <w:rPr>
                <w:rFonts w:eastAsia="MS Mincho" w:cstheme="minorHAnsi"/>
              </w:rPr>
              <w:t>ee</w:t>
            </w:r>
            <w:r w:rsidRPr="00485FA4">
              <w:rPr>
                <w:rFonts w:eastAsia="MS Mincho" w:cstheme="minorHAnsi"/>
              </w:rPr>
              <w:t>ks, 14 mg/day for w</w:t>
            </w:r>
            <w:r>
              <w:rPr>
                <w:rFonts w:eastAsia="MS Mincho" w:cstheme="minorHAnsi"/>
              </w:rPr>
              <w:t>ee</w:t>
            </w:r>
            <w:r w:rsidRPr="00485FA4">
              <w:rPr>
                <w:rFonts w:eastAsia="MS Mincho" w:cstheme="minorHAnsi"/>
              </w:rPr>
              <w:t>ks 7 + 8, 7 mg/day for w</w:t>
            </w:r>
            <w:r>
              <w:rPr>
                <w:rFonts w:eastAsia="MS Mincho" w:cstheme="minorHAnsi"/>
              </w:rPr>
              <w:t>ee</w:t>
            </w:r>
            <w:r w:rsidRPr="00485FA4">
              <w:rPr>
                <w:rFonts w:eastAsia="MS Mincho" w:cstheme="minorHAnsi"/>
              </w:rPr>
              <w:t xml:space="preserve">ks 9 </w:t>
            </w:r>
            <w:r>
              <w:rPr>
                <w:rFonts w:eastAsia="MS Mincho" w:cstheme="minorHAnsi"/>
              </w:rPr>
              <w:t>–</w:t>
            </w:r>
            <w:r w:rsidRPr="00485FA4">
              <w:rPr>
                <w:rFonts w:eastAsia="MS Mincho" w:cstheme="minorHAnsi"/>
              </w:rPr>
              <w:t xml:space="preserve"> 12</w:t>
            </w:r>
            <w:r>
              <w:rPr>
                <w:rFonts w:eastAsia="MS Mincho" w:cstheme="minorHAnsi"/>
              </w:rPr>
              <w:t>.</w:t>
            </w:r>
          </w:p>
          <w:p w:rsidR="004272CD" w:rsidRPr="00485FA4" w:rsidRDefault="00485FA4" w:rsidP="00C324F3">
            <w:pPr>
              <w:pStyle w:val="Tablewriting"/>
              <w:numPr>
                <w:ilvl w:val="0"/>
                <w:numId w:val="150"/>
              </w:numPr>
              <w:rPr>
                <w:rFonts w:eastAsia="MS Mincho" w:cstheme="minorHAnsi"/>
              </w:rPr>
            </w:pPr>
            <w:r w:rsidRPr="00485FA4">
              <w:rPr>
                <w:rFonts w:eastAsia="MS Mincho" w:cstheme="minorHAnsi"/>
              </w:rPr>
              <w:t>Lozenge: 4 mg for</w:t>
            </w:r>
            <w:r>
              <w:rPr>
                <w:rFonts w:eastAsia="MS Mincho" w:cstheme="minorHAnsi"/>
              </w:rPr>
              <w:t xml:space="preserve"> </w:t>
            </w:r>
            <w:r w:rsidRPr="00485FA4">
              <w:rPr>
                <w:rFonts w:eastAsia="MS Mincho" w:cstheme="minorHAnsi"/>
              </w:rPr>
              <w:t>participants who smoked first cig of day within 30 mins of waking; 2 mg for all other</w:t>
            </w:r>
            <w:r>
              <w:rPr>
                <w:rFonts w:eastAsia="MS Mincho" w:cstheme="minorHAnsi"/>
              </w:rPr>
              <w:t xml:space="preserve"> </w:t>
            </w:r>
            <w:r w:rsidRPr="00485FA4">
              <w:rPr>
                <w:rFonts w:eastAsia="MS Mincho" w:cstheme="minorHAnsi"/>
              </w:rPr>
              <w:t>participants. Asked to use 9/day for first 6 w</w:t>
            </w:r>
            <w:r>
              <w:rPr>
                <w:rFonts w:eastAsia="MS Mincho" w:cstheme="minorHAnsi"/>
              </w:rPr>
              <w:t>ee</w:t>
            </w:r>
            <w:r w:rsidRPr="00485FA4">
              <w:rPr>
                <w:rFonts w:eastAsia="MS Mincho" w:cstheme="minorHAnsi"/>
              </w:rPr>
              <w:t>ks, 5/day for w</w:t>
            </w:r>
            <w:r>
              <w:rPr>
                <w:rFonts w:eastAsia="MS Mincho" w:cstheme="minorHAnsi"/>
              </w:rPr>
              <w:t>ee</w:t>
            </w:r>
            <w:r w:rsidRPr="00485FA4">
              <w:rPr>
                <w:rFonts w:eastAsia="MS Mincho" w:cstheme="minorHAnsi"/>
              </w:rPr>
              <w:t>ks 7 - 9, 3/day for w</w:t>
            </w:r>
            <w:r>
              <w:rPr>
                <w:rFonts w:eastAsia="MS Mincho" w:cstheme="minorHAnsi"/>
              </w:rPr>
              <w:t>ee</w:t>
            </w:r>
            <w:r w:rsidRPr="00485FA4">
              <w:rPr>
                <w:rFonts w:eastAsia="MS Mincho" w:cstheme="minorHAnsi"/>
              </w:rPr>
              <w:t xml:space="preserve">ks 10 </w:t>
            </w:r>
            <w:r>
              <w:rPr>
                <w:rFonts w:eastAsia="MS Mincho" w:cstheme="minorHAnsi"/>
              </w:rPr>
              <w:t>–</w:t>
            </w:r>
            <w:r w:rsidRPr="00485FA4">
              <w:rPr>
                <w:rFonts w:eastAsia="MS Mincho" w:cstheme="minorHAnsi"/>
              </w:rPr>
              <w:t xml:space="preserve"> 12</w:t>
            </w:r>
            <w:r>
              <w:rPr>
                <w:rFonts w:eastAsia="MS Mincho" w:cstheme="minorHAnsi"/>
              </w:rPr>
              <w:t xml:space="preserve">. </w:t>
            </w:r>
          </w:p>
        </w:tc>
        <w:tc>
          <w:tcPr>
            <w:tcW w:w="920" w:type="pct"/>
          </w:tcPr>
          <w:p w:rsidR="004272CD" w:rsidRPr="004272CD" w:rsidRDefault="004272CD" w:rsidP="00A71365">
            <w:pPr>
              <w:pStyle w:val="Tablewriting"/>
              <w:rPr>
                <w:rFonts w:eastAsia="MS Mincho" w:cstheme="minorHAnsi"/>
                <w:u w:val="single"/>
              </w:rPr>
            </w:pPr>
            <w:r w:rsidRPr="004272CD">
              <w:rPr>
                <w:rFonts w:eastAsia="MS Mincho" w:cstheme="minorHAnsi"/>
                <w:u w:val="single"/>
              </w:rPr>
              <w:t>Efficacy:</w:t>
            </w:r>
          </w:p>
          <w:p w:rsidR="00485FA4" w:rsidRPr="00485FA4" w:rsidRDefault="00485FA4" w:rsidP="00A71365">
            <w:pPr>
              <w:pStyle w:val="Tablewriting"/>
              <w:rPr>
                <w:rFonts w:eastAsia="MS Mincho" w:cstheme="minorHAnsi"/>
              </w:rPr>
            </w:pPr>
            <w:r w:rsidRPr="00485FA4">
              <w:rPr>
                <w:rFonts w:eastAsia="MS Mincho" w:cstheme="minorHAnsi"/>
              </w:rPr>
              <w:t>24-hour PPA at 6 m</w:t>
            </w:r>
            <w:r w:rsidR="00176412">
              <w:rPr>
                <w:rFonts w:eastAsia="MS Mincho" w:cstheme="minorHAnsi"/>
              </w:rPr>
              <w:t>onths.</w:t>
            </w:r>
          </w:p>
          <w:p w:rsidR="00485FA4" w:rsidRPr="00485FA4" w:rsidRDefault="00485FA4" w:rsidP="00A71365">
            <w:pPr>
              <w:pStyle w:val="Tablewriting"/>
              <w:rPr>
                <w:rFonts w:eastAsia="MS Mincho" w:cstheme="minorHAnsi"/>
              </w:rPr>
            </w:pPr>
            <w:r w:rsidRPr="00485FA4">
              <w:rPr>
                <w:rFonts w:eastAsia="MS Mincho" w:cstheme="minorHAnsi"/>
              </w:rPr>
              <w:t xml:space="preserve">Validation: CO </w:t>
            </w:r>
            <w:r w:rsidR="00F26E93" w:rsidRPr="00F26E93">
              <w:rPr>
                <w:rFonts w:eastAsia="MS Mincho" w:cstheme="minorHAnsi"/>
              </w:rPr>
              <w:t>≤</w:t>
            </w:r>
            <w:r w:rsidRPr="00485FA4">
              <w:rPr>
                <w:rFonts w:eastAsia="MS Mincho" w:cstheme="minorHAnsi"/>
              </w:rPr>
              <w:t xml:space="preserve"> 10 ppm</w:t>
            </w:r>
            <w:r>
              <w:rPr>
                <w:rFonts w:eastAsia="MS Mincho" w:cstheme="minorHAnsi"/>
              </w:rPr>
              <w:t>.</w:t>
            </w:r>
          </w:p>
          <w:p w:rsidR="00485FA4" w:rsidRDefault="00485FA4" w:rsidP="00A71365">
            <w:pPr>
              <w:pStyle w:val="Tablewriting"/>
              <w:rPr>
                <w:rFonts w:eastAsia="MS Mincho" w:cstheme="minorHAnsi"/>
                <w:u w:val="single"/>
              </w:rPr>
            </w:pPr>
          </w:p>
          <w:p w:rsidR="00485FA4" w:rsidRDefault="004272CD" w:rsidP="00A71365">
            <w:pPr>
              <w:pStyle w:val="Tablewriting"/>
              <w:rPr>
                <w:rFonts w:eastAsia="MS Mincho" w:cstheme="minorHAnsi"/>
              </w:rPr>
            </w:pPr>
            <w:r w:rsidRPr="004272CD">
              <w:rPr>
                <w:rFonts w:eastAsia="MS Mincho" w:cstheme="minorHAnsi"/>
                <w:u w:val="single"/>
              </w:rPr>
              <w:t>Safety:</w:t>
            </w:r>
            <w:r w:rsidR="00485FA4">
              <w:rPr>
                <w:rFonts w:eastAsia="MS Mincho" w:cstheme="minorHAnsi"/>
                <w:u w:val="single"/>
              </w:rPr>
              <w:t xml:space="preserve"> </w:t>
            </w:r>
            <w:r w:rsidR="00485FA4" w:rsidRPr="00485FA4">
              <w:rPr>
                <w:rFonts w:eastAsia="MS Mincho" w:cstheme="minorHAnsi"/>
              </w:rPr>
              <w:t>Adverse events: measured at end of treatment (12 weeks) and at</w:t>
            </w:r>
            <w:r w:rsidR="00485FA4">
              <w:rPr>
                <w:rFonts w:eastAsia="MS Mincho" w:cstheme="minorHAnsi"/>
              </w:rPr>
              <w:t xml:space="preserve"> </w:t>
            </w:r>
            <w:r w:rsidR="00485FA4" w:rsidRPr="00485FA4">
              <w:rPr>
                <w:rFonts w:eastAsia="MS Mincho" w:cstheme="minorHAnsi"/>
              </w:rPr>
              <w:t>6</w:t>
            </w:r>
            <w:r w:rsidR="00485FA4">
              <w:rPr>
                <w:rFonts w:eastAsia="MS Mincho" w:cstheme="minorHAnsi"/>
              </w:rPr>
              <w:t>-month</w:t>
            </w:r>
            <w:r w:rsidR="00485FA4" w:rsidRPr="00485FA4">
              <w:rPr>
                <w:rFonts w:eastAsia="MS Mincho" w:cstheme="minorHAnsi"/>
              </w:rPr>
              <w:t xml:space="preserve"> follow-up</w:t>
            </w:r>
            <w:r w:rsidR="00485FA4">
              <w:rPr>
                <w:rFonts w:eastAsia="MS Mincho" w:cstheme="minorHAnsi"/>
              </w:rPr>
              <w:t>.</w:t>
            </w:r>
          </w:p>
          <w:p w:rsidR="004272CD" w:rsidRPr="00017AE6" w:rsidRDefault="004272CD" w:rsidP="00A71365">
            <w:pPr>
              <w:pStyle w:val="Tablewriting"/>
              <w:rPr>
                <w:rFonts w:eastAsia="MS Mincho" w:cstheme="minorHAnsi"/>
              </w:rPr>
            </w:pPr>
          </w:p>
        </w:tc>
      </w:tr>
      <w:tr w:rsidR="004272CD" w:rsidRPr="00017AE6" w:rsidTr="005012C6">
        <w:trPr>
          <w:trHeight w:val="99"/>
        </w:trPr>
        <w:tc>
          <w:tcPr>
            <w:tcW w:w="500" w:type="pct"/>
          </w:tcPr>
          <w:p w:rsidR="004272CD" w:rsidRPr="00017AE6" w:rsidRDefault="004272CD" w:rsidP="00A71365">
            <w:pPr>
              <w:pStyle w:val="Tablewriting"/>
              <w:rPr>
                <w:rFonts w:eastAsia="MS Mincho" w:cstheme="minorHAnsi"/>
              </w:rPr>
            </w:pPr>
            <w:r w:rsidRPr="00D850F5">
              <w:rPr>
                <w:rFonts w:eastAsia="MS Mincho" w:cstheme="minorHAnsi"/>
              </w:rPr>
              <w:t xml:space="preserve">Smith </w:t>
            </w:r>
            <w:r w:rsidR="009D6057">
              <w:rPr>
                <w:rFonts w:eastAsia="MS Mincho" w:cstheme="minorHAnsi"/>
              </w:rPr>
              <w:t>(</w:t>
            </w:r>
            <w:r w:rsidRPr="00D850F5">
              <w:rPr>
                <w:rFonts w:eastAsia="MS Mincho" w:cstheme="minorHAnsi"/>
              </w:rPr>
              <w:t>2009</w:t>
            </w:r>
            <w:r w:rsidR="009D6057">
              <w:rPr>
                <w:rFonts w:eastAsia="MS Mincho" w:cstheme="minorHAnsi"/>
              </w:rPr>
              <w:t>)</w:t>
            </w:r>
          </w:p>
        </w:tc>
        <w:tc>
          <w:tcPr>
            <w:tcW w:w="237" w:type="pct"/>
          </w:tcPr>
          <w:p w:rsidR="00D122C8" w:rsidRPr="00FC5880" w:rsidRDefault="00D122C8" w:rsidP="00D122C8">
            <w:pPr>
              <w:pStyle w:val="Tablewriting"/>
              <w:rPr>
                <w:rFonts w:eastAsia="MS Mincho" w:cstheme="minorHAnsi"/>
              </w:rPr>
            </w:pPr>
            <w:r w:rsidRPr="00FC5880">
              <w:rPr>
                <w:rFonts w:eastAsia="MS Mincho" w:cstheme="minorHAnsi"/>
              </w:rPr>
              <w:t>RCT</w:t>
            </w:r>
          </w:p>
          <w:p w:rsidR="004272CD" w:rsidRPr="00017AE6" w:rsidRDefault="004272CD" w:rsidP="00A71365">
            <w:pPr>
              <w:pStyle w:val="Tablewriting"/>
              <w:rPr>
                <w:rFonts w:eastAsia="MS Mincho" w:cstheme="minorHAnsi"/>
              </w:rPr>
            </w:pPr>
          </w:p>
        </w:tc>
        <w:tc>
          <w:tcPr>
            <w:tcW w:w="437" w:type="pct"/>
          </w:tcPr>
          <w:p w:rsidR="004272CD" w:rsidRPr="00017AE6" w:rsidRDefault="00176412" w:rsidP="00A71365">
            <w:pPr>
              <w:pStyle w:val="Tablewriting"/>
              <w:rPr>
                <w:rFonts w:eastAsia="MS Mincho" w:cstheme="minorHAnsi"/>
              </w:rPr>
            </w:pPr>
            <w:r>
              <w:rPr>
                <w:rFonts w:eastAsia="MS Mincho" w:cstheme="minorHAnsi"/>
              </w:rPr>
              <w:t>USA</w:t>
            </w:r>
          </w:p>
        </w:tc>
        <w:tc>
          <w:tcPr>
            <w:tcW w:w="362" w:type="pct"/>
          </w:tcPr>
          <w:p w:rsidR="004272CD" w:rsidRPr="00017AE6" w:rsidRDefault="004272CD" w:rsidP="00A71365">
            <w:pPr>
              <w:pStyle w:val="Tablewriting"/>
              <w:rPr>
                <w:rFonts w:eastAsia="MS Mincho" w:cstheme="minorHAnsi"/>
              </w:rPr>
            </w:pPr>
            <w:r>
              <w:rPr>
                <w:rFonts w:eastAsia="MS Mincho" w:cstheme="minorHAnsi"/>
              </w:rPr>
              <w:t>N=</w:t>
            </w:r>
            <w:r w:rsidR="00176412">
              <w:rPr>
                <w:rFonts w:eastAsia="MS Mincho" w:cstheme="minorHAnsi"/>
              </w:rPr>
              <w:t>1346</w:t>
            </w:r>
          </w:p>
        </w:tc>
        <w:tc>
          <w:tcPr>
            <w:tcW w:w="1381" w:type="pct"/>
          </w:tcPr>
          <w:p w:rsidR="00176412" w:rsidRPr="00176412" w:rsidRDefault="00176412" w:rsidP="00A71365">
            <w:pPr>
              <w:pStyle w:val="Tablewriting"/>
              <w:rPr>
                <w:rFonts w:eastAsia="MS Mincho" w:cstheme="minorHAnsi"/>
              </w:rPr>
            </w:pPr>
            <w:r>
              <w:rPr>
                <w:rFonts w:eastAsia="MS Mincho" w:cstheme="minorHAnsi"/>
              </w:rPr>
              <w:t>S</w:t>
            </w:r>
            <w:r w:rsidRPr="00176412">
              <w:rPr>
                <w:rFonts w:eastAsia="MS Mincho" w:cstheme="minorHAnsi"/>
              </w:rPr>
              <w:t xml:space="preserve">mokers </w:t>
            </w:r>
            <w:r w:rsidR="00902CBB" w:rsidRPr="00176412">
              <w:rPr>
                <w:rFonts w:eastAsia="MS Mincho" w:cstheme="minorHAnsi"/>
              </w:rPr>
              <w:t xml:space="preserve">motivated to quit </w:t>
            </w:r>
            <w:r w:rsidRPr="00176412">
              <w:rPr>
                <w:rFonts w:eastAsia="MS Mincho" w:cstheme="minorHAnsi"/>
              </w:rPr>
              <w:t xml:space="preserve">of &gt; 10 </w:t>
            </w:r>
            <w:r>
              <w:rPr>
                <w:rFonts w:eastAsia="MS Mincho" w:cstheme="minorHAnsi"/>
              </w:rPr>
              <w:t>CPD</w:t>
            </w:r>
            <w:r w:rsidRPr="00176412">
              <w:rPr>
                <w:rFonts w:eastAsia="MS Mincho" w:cstheme="minorHAnsi"/>
              </w:rPr>
              <w:t xml:space="preserve"> for past 6 m</w:t>
            </w:r>
            <w:r w:rsidR="00902CBB">
              <w:rPr>
                <w:rFonts w:eastAsia="MS Mincho" w:cstheme="minorHAnsi"/>
              </w:rPr>
              <w:t>onths.</w:t>
            </w:r>
          </w:p>
          <w:p w:rsidR="004272CD" w:rsidRPr="00017AE6" w:rsidRDefault="00176412" w:rsidP="00A71365">
            <w:pPr>
              <w:pStyle w:val="Tablewriting"/>
              <w:rPr>
                <w:rFonts w:eastAsia="MS Mincho" w:cstheme="minorHAnsi"/>
              </w:rPr>
            </w:pPr>
            <w:r w:rsidRPr="00176412">
              <w:rPr>
                <w:rFonts w:eastAsia="MS Mincho" w:cstheme="minorHAnsi"/>
              </w:rPr>
              <w:t xml:space="preserve">44% men, </w:t>
            </w:r>
            <w:r w:rsidR="00902CBB">
              <w:rPr>
                <w:rFonts w:eastAsia="MS Mincho" w:cstheme="minorHAnsi"/>
              </w:rPr>
              <w:t>average age</w:t>
            </w:r>
            <w:r w:rsidRPr="00176412">
              <w:rPr>
                <w:rFonts w:eastAsia="MS Mincho" w:cstheme="minorHAnsi"/>
              </w:rPr>
              <w:t xml:space="preserve"> 44, </w:t>
            </w:r>
            <w:r w:rsidR="00902CBB">
              <w:rPr>
                <w:rFonts w:eastAsia="MS Mincho" w:cstheme="minorHAnsi"/>
              </w:rPr>
              <w:t>average</w:t>
            </w:r>
            <w:r w:rsidR="009E37A9">
              <w:rPr>
                <w:rFonts w:eastAsia="MS Mincho" w:cstheme="minorHAnsi"/>
              </w:rPr>
              <w:t xml:space="preserve"> </w:t>
            </w:r>
            <w:r w:rsidR="00902CBB">
              <w:rPr>
                <w:rFonts w:eastAsia="MS Mincho" w:cstheme="minorHAnsi"/>
              </w:rPr>
              <w:t>CPD</w:t>
            </w:r>
            <w:r w:rsidRPr="00176412">
              <w:rPr>
                <w:rFonts w:eastAsia="MS Mincho" w:cstheme="minorHAnsi"/>
              </w:rPr>
              <w:t xml:space="preserve"> 20.3</w:t>
            </w:r>
            <w:r w:rsidR="00902CBB">
              <w:rPr>
                <w:rFonts w:eastAsia="MS Mincho" w:cstheme="minorHAnsi"/>
              </w:rPr>
              <w:t xml:space="preserve">. </w:t>
            </w:r>
          </w:p>
        </w:tc>
        <w:tc>
          <w:tcPr>
            <w:tcW w:w="1163" w:type="pct"/>
          </w:tcPr>
          <w:p w:rsidR="003773F4" w:rsidRDefault="003773F4" w:rsidP="00C324F3">
            <w:pPr>
              <w:pStyle w:val="Tablewriting"/>
              <w:numPr>
                <w:ilvl w:val="0"/>
                <w:numId w:val="151"/>
              </w:numPr>
              <w:rPr>
                <w:rFonts w:eastAsia="MS Mincho" w:cstheme="minorHAnsi"/>
              </w:rPr>
            </w:pPr>
            <w:r w:rsidRPr="003773F4">
              <w:rPr>
                <w:rFonts w:eastAsia="MS Mincho" w:cstheme="minorHAnsi"/>
              </w:rPr>
              <w:t>Bupropion only (up</w:t>
            </w:r>
            <w:r w:rsidR="008C4E6F">
              <w:rPr>
                <w:rFonts w:eastAsia="MS Mincho" w:cstheme="minorHAnsi"/>
              </w:rPr>
              <w:t>-</w:t>
            </w:r>
            <w:r w:rsidRPr="003773F4">
              <w:rPr>
                <w:rFonts w:eastAsia="MS Mincho" w:cstheme="minorHAnsi"/>
              </w:rPr>
              <w:t>titrated during w</w:t>
            </w:r>
            <w:r>
              <w:rPr>
                <w:rFonts w:eastAsia="MS Mincho" w:cstheme="minorHAnsi"/>
              </w:rPr>
              <w:t>ee</w:t>
            </w:r>
            <w:r w:rsidRPr="003773F4">
              <w:rPr>
                <w:rFonts w:eastAsia="MS Mincho" w:cstheme="minorHAnsi"/>
              </w:rPr>
              <w:t>k pre-quitting, 150 mg twice a day for 8 w</w:t>
            </w:r>
            <w:r>
              <w:rPr>
                <w:rFonts w:eastAsia="MS Mincho" w:cstheme="minorHAnsi"/>
              </w:rPr>
              <w:t>ee</w:t>
            </w:r>
            <w:r w:rsidRPr="003773F4">
              <w:rPr>
                <w:rFonts w:eastAsia="MS Mincho" w:cstheme="minorHAnsi"/>
              </w:rPr>
              <w:t>ks post-quit)</w:t>
            </w:r>
            <w:r>
              <w:rPr>
                <w:rFonts w:eastAsia="MS Mincho" w:cstheme="minorHAnsi"/>
              </w:rPr>
              <w:t>.</w:t>
            </w:r>
          </w:p>
          <w:p w:rsidR="0059357E" w:rsidRPr="00B732AD" w:rsidRDefault="003773F4" w:rsidP="00C324F3">
            <w:pPr>
              <w:pStyle w:val="Tablewriting"/>
              <w:numPr>
                <w:ilvl w:val="0"/>
                <w:numId w:val="151"/>
              </w:numPr>
              <w:rPr>
                <w:rFonts w:eastAsia="MS Mincho" w:cstheme="minorHAnsi"/>
              </w:rPr>
            </w:pPr>
            <w:r w:rsidRPr="003773F4">
              <w:rPr>
                <w:rFonts w:eastAsia="MS Mincho" w:cstheme="minorHAnsi"/>
              </w:rPr>
              <w:t xml:space="preserve">Nicotine lozenge only (4 mg lozenge if first cig of day smoked &gt; 30 mins after waking, 2 mg </w:t>
            </w:r>
            <w:r w:rsidRPr="003773F4">
              <w:rPr>
                <w:rFonts w:eastAsia="MS Mincho" w:cstheme="minorHAnsi"/>
              </w:rPr>
              <w:lastRenderedPageBreak/>
              <w:t>otherwise.</w:t>
            </w:r>
            <w:r w:rsidR="0059357E">
              <w:rPr>
                <w:rFonts w:eastAsia="MS Mincho" w:cstheme="minorHAnsi"/>
              </w:rPr>
              <w:t xml:space="preserve"> </w:t>
            </w:r>
            <w:r w:rsidRPr="0059357E">
              <w:rPr>
                <w:rFonts w:eastAsia="MS Mincho" w:cstheme="minorHAnsi"/>
              </w:rPr>
              <w:t>1 lozenge every 1 - 2 hrs post-quit w</w:t>
            </w:r>
            <w:r w:rsidR="0059357E">
              <w:rPr>
                <w:rFonts w:eastAsia="MS Mincho" w:cstheme="minorHAnsi"/>
              </w:rPr>
              <w:t>ee</w:t>
            </w:r>
            <w:r w:rsidRPr="0059357E">
              <w:rPr>
                <w:rFonts w:eastAsia="MS Mincho" w:cstheme="minorHAnsi"/>
              </w:rPr>
              <w:t>k 1 - 6; 1 lozenge every 2 - 4 hrs w</w:t>
            </w:r>
            <w:r w:rsidR="0059357E">
              <w:rPr>
                <w:rFonts w:eastAsia="MS Mincho" w:cstheme="minorHAnsi"/>
              </w:rPr>
              <w:t>ee</w:t>
            </w:r>
            <w:r w:rsidRPr="0059357E">
              <w:rPr>
                <w:rFonts w:eastAsia="MS Mincho" w:cstheme="minorHAnsi"/>
              </w:rPr>
              <w:t>k 7 - 9; 1 lozenge every 4 - 8 hrs w</w:t>
            </w:r>
            <w:r w:rsidR="0059357E">
              <w:rPr>
                <w:rFonts w:eastAsia="MS Mincho" w:cstheme="minorHAnsi"/>
              </w:rPr>
              <w:t>ee</w:t>
            </w:r>
            <w:r w:rsidRPr="0059357E">
              <w:rPr>
                <w:rFonts w:eastAsia="MS Mincho" w:cstheme="minorHAnsi"/>
              </w:rPr>
              <w:t>k</w:t>
            </w:r>
            <w:r w:rsidR="00B732AD">
              <w:rPr>
                <w:rFonts w:eastAsia="MS Mincho" w:cstheme="minorHAnsi"/>
              </w:rPr>
              <w:t xml:space="preserve"> (</w:t>
            </w:r>
            <w:r w:rsidRPr="00B732AD">
              <w:rPr>
                <w:rFonts w:eastAsia="MS Mincho" w:cstheme="minorHAnsi"/>
              </w:rPr>
              <w:t>10 - 12)</w:t>
            </w:r>
            <w:r w:rsidR="0059357E" w:rsidRPr="00B732AD">
              <w:rPr>
                <w:rFonts w:eastAsia="MS Mincho" w:cstheme="minorHAnsi"/>
              </w:rPr>
              <w:t>.</w:t>
            </w:r>
          </w:p>
          <w:p w:rsidR="00B732AD" w:rsidRDefault="003773F4" w:rsidP="00C324F3">
            <w:pPr>
              <w:pStyle w:val="Tablewriting"/>
              <w:numPr>
                <w:ilvl w:val="0"/>
                <w:numId w:val="152"/>
              </w:numPr>
              <w:rPr>
                <w:rFonts w:eastAsia="MS Mincho" w:cstheme="minorHAnsi"/>
              </w:rPr>
            </w:pPr>
            <w:r w:rsidRPr="003773F4">
              <w:rPr>
                <w:rFonts w:eastAsia="MS Mincho" w:cstheme="minorHAnsi"/>
              </w:rPr>
              <w:t>Nicotine patch only (21 mg post-quit w</w:t>
            </w:r>
            <w:r w:rsidR="00B732AD">
              <w:rPr>
                <w:rFonts w:eastAsia="MS Mincho" w:cstheme="minorHAnsi"/>
              </w:rPr>
              <w:t>ee</w:t>
            </w:r>
            <w:r w:rsidRPr="003773F4">
              <w:rPr>
                <w:rFonts w:eastAsia="MS Mincho" w:cstheme="minorHAnsi"/>
              </w:rPr>
              <w:t xml:space="preserve">k </w:t>
            </w:r>
            <w:r w:rsidR="00B732AD">
              <w:rPr>
                <w:rFonts w:eastAsia="MS Mincho" w:cstheme="minorHAnsi"/>
              </w:rPr>
              <w:t>(</w:t>
            </w:r>
            <w:r w:rsidRPr="003773F4">
              <w:rPr>
                <w:rFonts w:eastAsia="MS Mincho" w:cstheme="minorHAnsi"/>
              </w:rPr>
              <w:t xml:space="preserve">1 </w:t>
            </w:r>
            <w:r w:rsidR="00B732AD">
              <w:rPr>
                <w:rFonts w:eastAsia="MS Mincho" w:cstheme="minorHAnsi"/>
              </w:rPr>
              <w:t>–</w:t>
            </w:r>
            <w:r w:rsidRPr="003773F4">
              <w:rPr>
                <w:rFonts w:eastAsia="MS Mincho" w:cstheme="minorHAnsi"/>
              </w:rPr>
              <w:t xml:space="preserve"> 4</w:t>
            </w:r>
            <w:r w:rsidR="00B732AD">
              <w:rPr>
                <w:rFonts w:eastAsia="MS Mincho" w:cstheme="minorHAnsi"/>
              </w:rPr>
              <w:t>)</w:t>
            </w:r>
            <w:r w:rsidRPr="003773F4">
              <w:rPr>
                <w:rFonts w:eastAsia="MS Mincho" w:cstheme="minorHAnsi"/>
              </w:rPr>
              <w:t>; 14 mg w</w:t>
            </w:r>
            <w:r w:rsidR="00B732AD">
              <w:rPr>
                <w:rFonts w:eastAsia="MS Mincho" w:cstheme="minorHAnsi"/>
              </w:rPr>
              <w:t>ee</w:t>
            </w:r>
            <w:r w:rsidRPr="003773F4">
              <w:rPr>
                <w:rFonts w:eastAsia="MS Mincho" w:cstheme="minorHAnsi"/>
              </w:rPr>
              <w:t xml:space="preserve">k </w:t>
            </w:r>
            <w:r w:rsidR="00B732AD">
              <w:rPr>
                <w:rFonts w:eastAsia="MS Mincho" w:cstheme="minorHAnsi"/>
              </w:rPr>
              <w:t>(</w:t>
            </w:r>
            <w:r w:rsidRPr="003773F4">
              <w:rPr>
                <w:rFonts w:eastAsia="MS Mincho" w:cstheme="minorHAnsi"/>
              </w:rPr>
              <w:t xml:space="preserve">5 </w:t>
            </w:r>
            <w:r w:rsidR="00B732AD">
              <w:rPr>
                <w:rFonts w:eastAsia="MS Mincho" w:cstheme="minorHAnsi"/>
              </w:rPr>
              <w:t>–</w:t>
            </w:r>
            <w:r w:rsidRPr="003773F4">
              <w:rPr>
                <w:rFonts w:eastAsia="MS Mincho" w:cstheme="minorHAnsi"/>
              </w:rPr>
              <w:t xml:space="preserve"> 6</w:t>
            </w:r>
            <w:r w:rsidR="00B732AD">
              <w:rPr>
                <w:rFonts w:eastAsia="MS Mincho" w:cstheme="minorHAnsi"/>
              </w:rPr>
              <w:t>)</w:t>
            </w:r>
            <w:r w:rsidRPr="003773F4">
              <w:rPr>
                <w:rFonts w:eastAsia="MS Mincho" w:cstheme="minorHAnsi"/>
              </w:rPr>
              <w:t>; 7 mg w</w:t>
            </w:r>
            <w:r w:rsidR="00B732AD">
              <w:rPr>
                <w:rFonts w:eastAsia="MS Mincho" w:cstheme="minorHAnsi"/>
              </w:rPr>
              <w:t>ee</w:t>
            </w:r>
            <w:r w:rsidRPr="003773F4">
              <w:rPr>
                <w:rFonts w:eastAsia="MS Mincho" w:cstheme="minorHAnsi"/>
              </w:rPr>
              <w:t xml:space="preserve">k </w:t>
            </w:r>
            <w:r w:rsidR="00B732AD">
              <w:rPr>
                <w:rFonts w:eastAsia="MS Mincho" w:cstheme="minorHAnsi"/>
              </w:rPr>
              <w:t>(</w:t>
            </w:r>
            <w:r w:rsidRPr="003773F4">
              <w:rPr>
                <w:rFonts w:eastAsia="MS Mincho" w:cstheme="minorHAnsi"/>
              </w:rPr>
              <w:t>7 - 8)</w:t>
            </w:r>
            <w:r w:rsidR="00B732AD">
              <w:rPr>
                <w:rFonts w:eastAsia="MS Mincho" w:cstheme="minorHAnsi"/>
              </w:rPr>
              <w:t>).</w:t>
            </w:r>
          </w:p>
          <w:p w:rsidR="00B732AD" w:rsidRDefault="003773F4" w:rsidP="00C324F3">
            <w:pPr>
              <w:pStyle w:val="Tablewriting"/>
              <w:numPr>
                <w:ilvl w:val="0"/>
                <w:numId w:val="152"/>
              </w:numPr>
              <w:rPr>
                <w:rFonts w:eastAsia="MS Mincho" w:cstheme="minorHAnsi"/>
              </w:rPr>
            </w:pPr>
            <w:r w:rsidRPr="00B732AD">
              <w:rPr>
                <w:rFonts w:eastAsia="MS Mincho" w:cstheme="minorHAnsi"/>
              </w:rPr>
              <w:t>Bupropion and lozenge (dosage as above)</w:t>
            </w:r>
            <w:r w:rsidR="00B732AD">
              <w:rPr>
                <w:rFonts w:eastAsia="MS Mincho" w:cstheme="minorHAnsi"/>
              </w:rPr>
              <w:t>.</w:t>
            </w:r>
          </w:p>
          <w:p w:rsidR="004272CD" w:rsidRPr="00B732AD" w:rsidRDefault="003773F4" w:rsidP="00C324F3">
            <w:pPr>
              <w:pStyle w:val="Tablewriting"/>
              <w:numPr>
                <w:ilvl w:val="0"/>
                <w:numId w:val="152"/>
              </w:numPr>
              <w:rPr>
                <w:rFonts w:eastAsia="MS Mincho" w:cstheme="minorHAnsi"/>
              </w:rPr>
            </w:pPr>
            <w:r w:rsidRPr="00B732AD">
              <w:rPr>
                <w:rFonts w:eastAsia="MS Mincho" w:cstheme="minorHAnsi"/>
              </w:rPr>
              <w:t>Patch and lozenge (dosage as above)</w:t>
            </w:r>
            <w:r w:rsidR="00B732AD">
              <w:rPr>
                <w:rFonts w:eastAsia="MS Mincho" w:cstheme="minorHAnsi"/>
              </w:rPr>
              <w:t>.</w:t>
            </w:r>
          </w:p>
        </w:tc>
        <w:tc>
          <w:tcPr>
            <w:tcW w:w="920" w:type="pct"/>
          </w:tcPr>
          <w:p w:rsidR="004272CD" w:rsidRPr="004272CD" w:rsidRDefault="004272CD" w:rsidP="00A71365">
            <w:pPr>
              <w:pStyle w:val="Tablewriting"/>
              <w:rPr>
                <w:rFonts w:eastAsia="MS Mincho" w:cstheme="minorHAnsi"/>
                <w:u w:val="single"/>
              </w:rPr>
            </w:pPr>
            <w:r w:rsidRPr="004272CD">
              <w:rPr>
                <w:rFonts w:eastAsia="MS Mincho" w:cstheme="minorHAnsi"/>
                <w:u w:val="single"/>
              </w:rPr>
              <w:lastRenderedPageBreak/>
              <w:t>Efficacy:</w:t>
            </w:r>
          </w:p>
          <w:p w:rsidR="004272CD" w:rsidRDefault="00960EBF" w:rsidP="00A71365">
            <w:pPr>
              <w:pStyle w:val="Tablewriting"/>
              <w:rPr>
                <w:rFonts w:eastAsia="MS Mincho" w:cstheme="minorHAnsi"/>
              </w:rPr>
            </w:pPr>
            <w:r w:rsidRPr="00960EBF">
              <w:rPr>
                <w:rFonts w:eastAsia="MS Mincho" w:cstheme="minorHAnsi"/>
              </w:rPr>
              <w:t>7-day PPA at 6 m</w:t>
            </w:r>
            <w:r>
              <w:rPr>
                <w:rFonts w:eastAsia="MS Mincho" w:cstheme="minorHAnsi"/>
              </w:rPr>
              <w:t>onths</w:t>
            </w:r>
            <w:r w:rsidRPr="00960EBF">
              <w:rPr>
                <w:rFonts w:eastAsia="MS Mincho" w:cstheme="minorHAnsi"/>
              </w:rPr>
              <w:t xml:space="preserve"> and number of days to relapse</w:t>
            </w:r>
            <w:r>
              <w:rPr>
                <w:rFonts w:eastAsia="MS Mincho" w:cstheme="minorHAnsi"/>
              </w:rPr>
              <w:t>.</w:t>
            </w:r>
          </w:p>
          <w:p w:rsidR="00960EBF" w:rsidRDefault="00960EBF" w:rsidP="00A71365">
            <w:pPr>
              <w:pStyle w:val="Tablewriting"/>
              <w:rPr>
                <w:rFonts w:eastAsia="MS Mincho" w:cstheme="minorHAnsi"/>
              </w:rPr>
            </w:pPr>
          </w:p>
          <w:p w:rsidR="00960EBF" w:rsidRPr="00960EBF" w:rsidRDefault="00960EBF" w:rsidP="00A71365">
            <w:pPr>
              <w:pStyle w:val="Tablewriting"/>
              <w:rPr>
                <w:rFonts w:eastAsia="MS Mincho" w:cstheme="minorHAnsi"/>
              </w:rPr>
            </w:pPr>
            <w:r w:rsidRPr="00960EBF">
              <w:rPr>
                <w:rFonts w:eastAsia="MS Mincho" w:cstheme="minorHAnsi"/>
              </w:rPr>
              <w:t>Validation: none</w:t>
            </w:r>
            <w:r w:rsidR="00FA190B">
              <w:rPr>
                <w:rFonts w:eastAsia="MS Mincho" w:cstheme="minorHAnsi"/>
              </w:rPr>
              <w:t>.</w:t>
            </w:r>
          </w:p>
          <w:p w:rsidR="00960EBF" w:rsidRDefault="00960EBF" w:rsidP="00A71365">
            <w:pPr>
              <w:pStyle w:val="Tablewriting"/>
              <w:rPr>
                <w:rFonts w:eastAsia="MS Mincho" w:cstheme="minorHAnsi"/>
                <w:u w:val="single"/>
              </w:rPr>
            </w:pPr>
          </w:p>
          <w:p w:rsidR="00960EBF" w:rsidRDefault="004272CD" w:rsidP="00A71365">
            <w:pPr>
              <w:pStyle w:val="Tablewriting"/>
              <w:rPr>
                <w:rFonts w:eastAsia="MS Mincho" w:cstheme="minorHAnsi"/>
              </w:rPr>
            </w:pPr>
            <w:r w:rsidRPr="004272CD">
              <w:rPr>
                <w:rFonts w:eastAsia="MS Mincho" w:cstheme="minorHAnsi"/>
                <w:u w:val="single"/>
              </w:rPr>
              <w:lastRenderedPageBreak/>
              <w:t>Safety:</w:t>
            </w:r>
            <w:r w:rsidR="00960EBF">
              <w:rPr>
                <w:rFonts w:eastAsia="MS Mincho" w:cstheme="minorHAnsi"/>
                <w:u w:val="single"/>
              </w:rPr>
              <w:t xml:space="preserve"> </w:t>
            </w:r>
            <w:r w:rsidR="00960EBF" w:rsidRPr="00960EBF">
              <w:rPr>
                <w:rFonts w:eastAsia="MS Mincho" w:cstheme="minorHAnsi"/>
              </w:rPr>
              <w:t>Adverse events</w:t>
            </w:r>
            <w:r w:rsidR="00960EBF">
              <w:rPr>
                <w:rFonts w:eastAsia="MS Mincho" w:cstheme="minorHAnsi"/>
              </w:rPr>
              <w:t xml:space="preserve"> </w:t>
            </w:r>
            <w:r w:rsidR="00960EBF" w:rsidRPr="00960EBF">
              <w:rPr>
                <w:rFonts w:eastAsia="MS Mincho" w:cstheme="minorHAnsi"/>
              </w:rPr>
              <w:t>not measured</w:t>
            </w:r>
            <w:r w:rsidR="00960EBF">
              <w:rPr>
                <w:rFonts w:eastAsia="MS Mincho" w:cstheme="minorHAnsi"/>
              </w:rPr>
              <w:t>.</w:t>
            </w:r>
          </w:p>
          <w:p w:rsidR="004272CD" w:rsidRPr="00017AE6" w:rsidRDefault="004272CD" w:rsidP="00A71365">
            <w:pPr>
              <w:pStyle w:val="Tablewriting"/>
              <w:rPr>
                <w:rFonts w:eastAsia="MS Mincho" w:cstheme="minorHAnsi"/>
              </w:rPr>
            </w:pPr>
          </w:p>
        </w:tc>
      </w:tr>
    </w:tbl>
    <w:p w:rsidR="00E337CE" w:rsidRDefault="00E337CE" w:rsidP="00E337CE">
      <w:pPr>
        <w:pStyle w:val="TableFooter"/>
        <w:keepNext/>
      </w:pPr>
      <w:r>
        <w:lastRenderedPageBreak/>
        <w:t>Source: Lindson</w:t>
      </w:r>
      <w:r w:rsidRPr="00B75A5E">
        <w:t xml:space="preserve"> et al. (201</w:t>
      </w:r>
      <w:r>
        <w:t>9</w:t>
      </w:r>
      <w:r w:rsidRPr="00B75A5E">
        <w:t>)</w:t>
      </w:r>
      <w:r>
        <w:t>.</w:t>
      </w:r>
    </w:p>
    <w:p w:rsidR="00E67EC2" w:rsidRDefault="00595A66" w:rsidP="00E67EC2">
      <w:pPr>
        <w:pStyle w:val="TableFooter"/>
        <w:keepNext/>
      </w:pPr>
      <w:r>
        <w:t xml:space="preserve">Abbreviations: NR= not reported; </w:t>
      </w:r>
      <w:r w:rsidRPr="009B042A">
        <w:t xml:space="preserve">PPA= point prevalence smoking abstinence; </w:t>
      </w:r>
      <w:r>
        <w:t xml:space="preserve">CA= continuous abstinence;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xml:space="preserve">; </w:t>
      </w:r>
      <w:r w:rsidR="009A50AC">
        <w:t xml:space="preserve">CPD = cigarette per day; </w:t>
      </w:r>
      <w:r>
        <w:t xml:space="preserve">CBT= cognitive behavioural therapy; AEs= adverse events; SAEs= serious adverse events. </w:t>
      </w:r>
    </w:p>
    <w:p w:rsidR="00BA1AF5" w:rsidRDefault="00BA1AF5" w:rsidP="00BA1AF5">
      <w:pPr>
        <w:pStyle w:val="Caption"/>
        <w:keepNext/>
      </w:pPr>
      <w:bookmarkStart w:id="380" w:name="_Ref54779991"/>
      <w:r>
        <w:t xml:space="preserve">Table </w:t>
      </w:r>
      <w:r w:rsidR="003C4A1C">
        <w:rPr>
          <w:noProof/>
        </w:rPr>
        <w:t>151</w:t>
      </w:r>
      <w:bookmarkEnd w:id="380"/>
      <w:r>
        <w:t xml:space="preserve">: </w:t>
      </w:r>
      <w:r w:rsidRPr="001443AE">
        <w:t>Characteristics of studies included in Li</w:t>
      </w:r>
      <w:r>
        <w:t xml:space="preserve">vingstone-Banks </w:t>
      </w:r>
      <w:r w:rsidRPr="001443AE">
        <w:t xml:space="preserve">et al. (2019), </w:t>
      </w:r>
      <w:r>
        <w:t>varenicline</w:t>
      </w:r>
      <w:r w:rsidRPr="001443AE">
        <w:t xml:space="preserve"> versus </w:t>
      </w:r>
      <w:r>
        <w:t>placebo in abstainers (relapse prevention)</w:t>
      </w:r>
    </w:p>
    <w:tbl>
      <w:tblPr>
        <w:tblStyle w:val="TableGrid"/>
        <w:tblW w:w="5270" w:type="pct"/>
        <w:tblLook w:val="04A0" w:firstRow="1" w:lastRow="0" w:firstColumn="1" w:lastColumn="0" w:noHBand="0" w:noVBand="1"/>
        <w:tblCaption w:val="Efficacy results of adalimumab trials (PASI 75 and DLQI)"/>
      </w:tblPr>
      <w:tblGrid>
        <w:gridCol w:w="1442"/>
        <w:gridCol w:w="690"/>
        <w:gridCol w:w="1245"/>
        <w:gridCol w:w="1164"/>
        <w:gridCol w:w="3956"/>
        <w:gridCol w:w="3385"/>
        <w:gridCol w:w="2819"/>
      </w:tblGrid>
      <w:tr w:rsidR="00BA1AF5" w:rsidRPr="00061F78" w:rsidTr="005012C6">
        <w:trPr>
          <w:trHeight w:val="299"/>
          <w:tblHeader/>
        </w:trPr>
        <w:tc>
          <w:tcPr>
            <w:tcW w:w="491" w:type="pct"/>
            <w:shd w:val="clear" w:color="auto" w:fill="BFBFBF" w:themeFill="background1" w:themeFillShade="BF"/>
            <w:tcMar>
              <w:left w:w="28" w:type="dxa"/>
              <w:right w:w="28" w:type="dxa"/>
            </w:tcMar>
          </w:tcPr>
          <w:p w:rsidR="00BA1AF5" w:rsidRPr="00061F78" w:rsidRDefault="00126B7B" w:rsidP="00A71365">
            <w:pPr>
              <w:pStyle w:val="Tableheading"/>
              <w:rPr>
                <w:rFonts w:eastAsia="MS Mincho"/>
              </w:rPr>
            </w:pPr>
            <w:r>
              <w:rPr>
                <w:rFonts w:eastAsia="MS Mincho"/>
              </w:rPr>
              <w:t>Study</w:t>
            </w:r>
          </w:p>
        </w:tc>
        <w:tc>
          <w:tcPr>
            <w:tcW w:w="234" w:type="pct"/>
            <w:shd w:val="clear" w:color="auto" w:fill="BFBFBF" w:themeFill="background1" w:themeFillShade="BF"/>
          </w:tcPr>
          <w:p w:rsidR="00BA1AF5" w:rsidRDefault="00BA1AF5" w:rsidP="00A71365">
            <w:pPr>
              <w:pStyle w:val="Tableheading"/>
              <w:jc w:val="center"/>
              <w:rPr>
                <w:rFonts w:eastAsia="MS Mincho"/>
              </w:rPr>
            </w:pPr>
            <w:r>
              <w:rPr>
                <w:rFonts w:eastAsia="MS Mincho"/>
              </w:rPr>
              <w:t>Study type</w:t>
            </w:r>
          </w:p>
        </w:tc>
        <w:tc>
          <w:tcPr>
            <w:tcW w:w="424" w:type="pct"/>
            <w:shd w:val="clear" w:color="auto" w:fill="BFBFBF" w:themeFill="background1" w:themeFillShade="BF"/>
          </w:tcPr>
          <w:p w:rsidR="00BA1AF5" w:rsidRDefault="00BA1AF5" w:rsidP="00A71365">
            <w:pPr>
              <w:pStyle w:val="Tableheading"/>
              <w:jc w:val="center"/>
              <w:rPr>
                <w:rFonts w:eastAsia="MS Mincho"/>
              </w:rPr>
            </w:pPr>
            <w:r>
              <w:rPr>
                <w:rFonts w:eastAsia="MS Mincho"/>
              </w:rPr>
              <w:t>Countries</w:t>
            </w:r>
          </w:p>
        </w:tc>
        <w:tc>
          <w:tcPr>
            <w:tcW w:w="394" w:type="pct"/>
            <w:shd w:val="clear" w:color="auto" w:fill="BFBFBF" w:themeFill="background1" w:themeFillShade="BF"/>
            <w:tcMar>
              <w:left w:w="28" w:type="dxa"/>
              <w:right w:w="28" w:type="dxa"/>
            </w:tcMar>
          </w:tcPr>
          <w:p w:rsidR="00BA1AF5" w:rsidRPr="00061F78" w:rsidRDefault="00BA1AF5" w:rsidP="00A71365">
            <w:pPr>
              <w:pStyle w:val="Tableheading"/>
              <w:jc w:val="center"/>
              <w:rPr>
                <w:rFonts w:eastAsia="MS Mincho"/>
              </w:rPr>
            </w:pPr>
            <w:r>
              <w:rPr>
                <w:rFonts w:eastAsia="MS Mincho"/>
              </w:rPr>
              <w:t>N</w:t>
            </w:r>
          </w:p>
        </w:tc>
        <w:tc>
          <w:tcPr>
            <w:tcW w:w="1346" w:type="pct"/>
            <w:shd w:val="clear" w:color="auto" w:fill="BFBFBF" w:themeFill="background1" w:themeFillShade="BF"/>
            <w:tcMar>
              <w:left w:w="28" w:type="dxa"/>
              <w:right w:w="28" w:type="dxa"/>
            </w:tcMar>
          </w:tcPr>
          <w:p w:rsidR="00BA1AF5" w:rsidRPr="00061F78" w:rsidRDefault="00BA1AF5" w:rsidP="00A71365">
            <w:pPr>
              <w:pStyle w:val="Tableheading"/>
              <w:jc w:val="center"/>
              <w:rPr>
                <w:rFonts w:eastAsia="MS Mincho"/>
              </w:rPr>
            </w:pPr>
            <w:r w:rsidRPr="00061F78">
              <w:rPr>
                <w:rFonts w:eastAsia="MS Mincho"/>
              </w:rPr>
              <w:t>P</w:t>
            </w:r>
            <w:r>
              <w:rPr>
                <w:rFonts w:eastAsia="MS Mincho"/>
              </w:rPr>
              <w:t>opulation</w:t>
            </w:r>
          </w:p>
        </w:tc>
        <w:tc>
          <w:tcPr>
            <w:tcW w:w="1152" w:type="pct"/>
            <w:shd w:val="clear" w:color="auto" w:fill="BFBFBF" w:themeFill="background1" w:themeFillShade="BF"/>
          </w:tcPr>
          <w:p w:rsidR="00BA1AF5" w:rsidRDefault="00BA1AF5" w:rsidP="00A71365">
            <w:pPr>
              <w:pStyle w:val="Tableheading"/>
              <w:jc w:val="center"/>
              <w:rPr>
                <w:rFonts w:eastAsia="MS Mincho"/>
              </w:rPr>
            </w:pPr>
            <w:r>
              <w:rPr>
                <w:rFonts w:eastAsia="MS Mincho"/>
              </w:rPr>
              <w:t>Intervention and comparator</w:t>
            </w:r>
          </w:p>
        </w:tc>
        <w:tc>
          <w:tcPr>
            <w:tcW w:w="960" w:type="pct"/>
            <w:shd w:val="clear" w:color="auto" w:fill="BFBFBF" w:themeFill="background1" w:themeFillShade="BF"/>
            <w:tcMar>
              <w:left w:w="28" w:type="dxa"/>
              <w:right w:w="28" w:type="dxa"/>
            </w:tcMar>
          </w:tcPr>
          <w:p w:rsidR="00BA1AF5" w:rsidRPr="00061F78" w:rsidRDefault="00BA1AF5" w:rsidP="00A71365">
            <w:pPr>
              <w:pStyle w:val="Tableheading"/>
              <w:jc w:val="center"/>
              <w:rPr>
                <w:rFonts w:eastAsia="MS Mincho"/>
              </w:rPr>
            </w:pPr>
            <w:r>
              <w:rPr>
                <w:rFonts w:eastAsia="MS Mincho"/>
              </w:rPr>
              <w:t>Outcomes</w:t>
            </w:r>
          </w:p>
        </w:tc>
      </w:tr>
      <w:tr w:rsidR="00BA1AF5" w:rsidRPr="00017AE6" w:rsidTr="005012C6">
        <w:trPr>
          <w:trHeight w:val="99"/>
        </w:trPr>
        <w:tc>
          <w:tcPr>
            <w:tcW w:w="491" w:type="pct"/>
          </w:tcPr>
          <w:p w:rsidR="00BA1AF5" w:rsidRPr="00017AE6" w:rsidRDefault="00DC0DA3" w:rsidP="00A71365">
            <w:pPr>
              <w:pStyle w:val="Tablewriting"/>
              <w:rPr>
                <w:rFonts w:eastAsia="MS Mincho" w:cstheme="minorHAnsi"/>
              </w:rPr>
            </w:pPr>
            <w:r w:rsidRPr="00DC0DA3">
              <w:rPr>
                <w:rFonts w:eastAsia="MS Mincho" w:cstheme="minorHAnsi"/>
              </w:rPr>
              <w:t xml:space="preserve">Evins </w:t>
            </w:r>
            <w:r w:rsidR="00EE615C">
              <w:rPr>
                <w:rFonts w:eastAsia="MS Mincho" w:cstheme="minorHAnsi"/>
              </w:rPr>
              <w:t>(</w:t>
            </w:r>
            <w:r w:rsidRPr="00DC0DA3">
              <w:rPr>
                <w:rFonts w:eastAsia="MS Mincho" w:cstheme="minorHAnsi"/>
              </w:rPr>
              <w:t>2014</w:t>
            </w:r>
            <w:r w:rsidR="00EE615C">
              <w:rPr>
                <w:rFonts w:eastAsia="MS Mincho" w:cstheme="minorHAnsi"/>
              </w:rPr>
              <w:t>)</w:t>
            </w:r>
          </w:p>
        </w:tc>
        <w:tc>
          <w:tcPr>
            <w:tcW w:w="234" w:type="pct"/>
          </w:tcPr>
          <w:p w:rsidR="00BA1AF5" w:rsidRPr="00017AE6" w:rsidRDefault="00CD23F9" w:rsidP="00A71365">
            <w:pPr>
              <w:pStyle w:val="Tablewriting"/>
              <w:rPr>
                <w:rFonts w:eastAsia="MS Mincho" w:cstheme="minorHAnsi"/>
              </w:rPr>
            </w:pPr>
            <w:r>
              <w:rPr>
                <w:rFonts w:eastAsia="MS Mincho" w:cstheme="minorHAnsi"/>
              </w:rPr>
              <w:t>RCT</w:t>
            </w:r>
          </w:p>
        </w:tc>
        <w:tc>
          <w:tcPr>
            <w:tcW w:w="424" w:type="pct"/>
          </w:tcPr>
          <w:p w:rsidR="00BA1AF5" w:rsidRPr="00017AE6" w:rsidRDefault="00CD23F9" w:rsidP="00A71365">
            <w:pPr>
              <w:pStyle w:val="Tablewriting"/>
              <w:rPr>
                <w:rFonts w:eastAsia="MS Mincho" w:cstheme="minorHAnsi"/>
              </w:rPr>
            </w:pPr>
            <w:r>
              <w:rPr>
                <w:rFonts w:eastAsia="MS Mincho" w:cstheme="minorHAnsi"/>
              </w:rPr>
              <w:t>USA</w:t>
            </w:r>
          </w:p>
        </w:tc>
        <w:tc>
          <w:tcPr>
            <w:tcW w:w="394" w:type="pct"/>
          </w:tcPr>
          <w:p w:rsidR="00CD23F9" w:rsidRPr="00CD23F9" w:rsidRDefault="00CD23F9" w:rsidP="00A71365">
            <w:pPr>
              <w:pStyle w:val="Tablewriting"/>
              <w:rPr>
                <w:rFonts w:eastAsia="MS Mincho" w:cstheme="minorHAnsi"/>
              </w:rPr>
            </w:pPr>
            <w:r>
              <w:rPr>
                <w:rFonts w:eastAsia="MS Mincho" w:cstheme="minorHAnsi"/>
              </w:rPr>
              <w:t>N=87; n=</w:t>
            </w:r>
            <w:r w:rsidRPr="00CD23F9">
              <w:rPr>
                <w:rFonts w:eastAsia="MS Mincho" w:cstheme="minorHAnsi"/>
              </w:rPr>
              <w:t>40</w:t>
            </w:r>
            <w:r>
              <w:rPr>
                <w:rFonts w:eastAsia="MS Mincho" w:cstheme="minorHAnsi"/>
              </w:rPr>
              <w:t xml:space="preserve"> (</w:t>
            </w:r>
            <w:r w:rsidRPr="00CD23F9">
              <w:rPr>
                <w:rFonts w:eastAsia="MS Mincho" w:cstheme="minorHAnsi"/>
              </w:rPr>
              <w:t>varenicline plus CBT</w:t>
            </w:r>
            <w:r>
              <w:rPr>
                <w:rFonts w:eastAsia="MS Mincho" w:cstheme="minorHAnsi"/>
              </w:rPr>
              <w:t>)</w:t>
            </w:r>
            <w:r w:rsidRPr="00CD23F9">
              <w:rPr>
                <w:rFonts w:eastAsia="MS Mincho" w:cstheme="minorHAnsi"/>
              </w:rPr>
              <w:t xml:space="preserve">, </w:t>
            </w:r>
            <w:r>
              <w:rPr>
                <w:rFonts w:eastAsia="MS Mincho" w:cstheme="minorHAnsi"/>
              </w:rPr>
              <w:t>n=</w:t>
            </w:r>
            <w:r w:rsidRPr="00CD23F9">
              <w:rPr>
                <w:rFonts w:eastAsia="MS Mincho" w:cstheme="minorHAnsi"/>
              </w:rPr>
              <w:t>47</w:t>
            </w:r>
            <w:r>
              <w:rPr>
                <w:rFonts w:eastAsia="MS Mincho" w:cstheme="minorHAnsi"/>
              </w:rPr>
              <w:t xml:space="preserve"> (</w:t>
            </w:r>
            <w:r w:rsidRPr="00CD23F9">
              <w:rPr>
                <w:rFonts w:eastAsia="MS Mincho" w:cstheme="minorHAnsi"/>
              </w:rPr>
              <w:t>placebo plus CBT</w:t>
            </w:r>
            <w:r>
              <w:rPr>
                <w:rFonts w:eastAsia="MS Mincho" w:cstheme="minorHAnsi"/>
              </w:rPr>
              <w:t>).</w:t>
            </w:r>
          </w:p>
          <w:p w:rsidR="00BA1AF5" w:rsidRPr="00017AE6" w:rsidRDefault="00BA1AF5" w:rsidP="00A71365">
            <w:pPr>
              <w:pStyle w:val="Tablewriting"/>
              <w:rPr>
                <w:rFonts w:eastAsia="MS Mincho" w:cstheme="minorHAnsi"/>
              </w:rPr>
            </w:pPr>
          </w:p>
        </w:tc>
        <w:tc>
          <w:tcPr>
            <w:tcW w:w="1346" w:type="pct"/>
          </w:tcPr>
          <w:p w:rsidR="00BA1AF5" w:rsidRPr="00017AE6" w:rsidRDefault="00CD23F9" w:rsidP="00A71365">
            <w:pPr>
              <w:pStyle w:val="Tablewriting"/>
              <w:rPr>
                <w:rFonts w:eastAsia="MS Mincho" w:cstheme="minorHAnsi"/>
              </w:rPr>
            </w:pPr>
            <w:r>
              <w:rPr>
                <w:rFonts w:eastAsia="MS Mincho" w:cstheme="minorHAnsi"/>
              </w:rPr>
              <w:t>E</w:t>
            </w:r>
            <w:r w:rsidRPr="00CD23F9">
              <w:rPr>
                <w:rFonts w:eastAsia="MS Mincho" w:cstheme="minorHAnsi"/>
              </w:rPr>
              <w:t>x-smokers (2 weeks abstinence), 62% male, average age 47,</w:t>
            </w:r>
            <w:r>
              <w:rPr>
                <w:rFonts w:eastAsia="MS Mincho" w:cstheme="minorHAnsi"/>
              </w:rPr>
              <w:t xml:space="preserve"> </w:t>
            </w:r>
            <w:r w:rsidRPr="00CD23F9">
              <w:rPr>
                <w:rFonts w:eastAsia="MS Mincho" w:cstheme="minorHAnsi"/>
              </w:rPr>
              <w:t xml:space="preserve">average </w:t>
            </w:r>
            <w:r w:rsidR="00531BD4">
              <w:rPr>
                <w:rFonts w:eastAsia="MS Mincho" w:cstheme="minorHAnsi"/>
              </w:rPr>
              <w:t>CPD</w:t>
            </w:r>
            <w:r w:rsidRPr="00CD23F9">
              <w:rPr>
                <w:rFonts w:eastAsia="MS Mincho" w:cstheme="minorHAnsi"/>
              </w:rPr>
              <w:t xml:space="preserve"> 23</w:t>
            </w:r>
            <w:r>
              <w:rPr>
                <w:rFonts w:eastAsia="MS Mincho" w:cstheme="minorHAnsi"/>
              </w:rPr>
              <w:t>.</w:t>
            </w:r>
          </w:p>
        </w:tc>
        <w:tc>
          <w:tcPr>
            <w:tcW w:w="1152" w:type="pct"/>
          </w:tcPr>
          <w:p w:rsidR="00DF640E" w:rsidRDefault="00DF640E" w:rsidP="00C324F3">
            <w:pPr>
              <w:pStyle w:val="Tablewriting"/>
              <w:numPr>
                <w:ilvl w:val="0"/>
                <w:numId w:val="158"/>
              </w:numPr>
              <w:rPr>
                <w:rFonts w:eastAsia="MS Mincho" w:cstheme="minorHAnsi"/>
              </w:rPr>
            </w:pPr>
            <w:r w:rsidRPr="00DF640E">
              <w:rPr>
                <w:rFonts w:eastAsia="MS Mincho" w:cstheme="minorHAnsi"/>
              </w:rPr>
              <w:t>Relapse prevention: varenicline pus CBT over a 40-week period</w:t>
            </w:r>
          </w:p>
          <w:p w:rsidR="00BA1AF5" w:rsidRPr="00DF640E" w:rsidRDefault="00DF640E" w:rsidP="00C324F3">
            <w:pPr>
              <w:pStyle w:val="Tablewriting"/>
              <w:numPr>
                <w:ilvl w:val="0"/>
                <w:numId w:val="158"/>
              </w:numPr>
              <w:rPr>
                <w:rFonts w:eastAsia="MS Mincho" w:cstheme="minorHAnsi"/>
              </w:rPr>
            </w:pPr>
            <w:r w:rsidRPr="00DF640E">
              <w:rPr>
                <w:rFonts w:eastAsia="MS Mincho" w:cstheme="minorHAnsi"/>
              </w:rPr>
              <w:t>Control: placebo plus CBT over a 40-week period</w:t>
            </w:r>
            <w:r>
              <w:rPr>
                <w:rFonts w:eastAsia="MS Mincho" w:cstheme="minorHAnsi"/>
              </w:rPr>
              <w:t>.</w:t>
            </w:r>
          </w:p>
        </w:tc>
        <w:tc>
          <w:tcPr>
            <w:tcW w:w="960" w:type="pct"/>
          </w:tcPr>
          <w:p w:rsidR="00DF640E" w:rsidRDefault="00DF640E" w:rsidP="00A71365">
            <w:pPr>
              <w:pStyle w:val="Tablewriting"/>
              <w:rPr>
                <w:rFonts w:eastAsia="MS Mincho" w:cstheme="minorHAnsi"/>
              </w:rPr>
            </w:pPr>
            <w:r w:rsidRPr="00DF640E">
              <w:rPr>
                <w:rFonts w:eastAsia="MS Mincho" w:cstheme="minorHAnsi"/>
                <w:u w:val="single"/>
              </w:rPr>
              <w:t>Efficacy:</w:t>
            </w:r>
            <w:r>
              <w:rPr>
                <w:rFonts w:eastAsia="MS Mincho" w:cstheme="minorHAnsi"/>
              </w:rPr>
              <w:t xml:space="preserve"> </w:t>
            </w:r>
            <w:r w:rsidRPr="00DF640E">
              <w:rPr>
                <w:rFonts w:eastAsia="MS Mincho" w:cstheme="minorHAnsi"/>
              </w:rPr>
              <w:t>Continuous abstinence at week 52</w:t>
            </w:r>
            <w:r w:rsidR="006C3ED7">
              <w:rPr>
                <w:rFonts w:eastAsia="MS Mincho" w:cstheme="minorHAnsi"/>
              </w:rPr>
              <w:t>.</w:t>
            </w:r>
          </w:p>
          <w:p w:rsidR="006C3ED7" w:rsidRPr="00DF640E" w:rsidRDefault="006C3ED7" w:rsidP="00A71365">
            <w:pPr>
              <w:pStyle w:val="Tablewriting"/>
              <w:rPr>
                <w:rFonts w:eastAsia="MS Mincho" w:cstheme="minorHAnsi"/>
              </w:rPr>
            </w:pPr>
          </w:p>
          <w:p w:rsidR="00BA1AF5" w:rsidRDefault="00DF640E" w:rsidP="00A71365">
            <w:pPr>
              <w:pStyle w:val="Tablewriting"/>
              <w:rPr>
                <w:rFonts w:eastAsia="MS Mincho" w:cstheme="minorHAnsi"/>
              </w:rPr>
            </w:pPr>
            <w:r w:rsidRPr="00DF640E">
              <w:rPr>
                <w:rFonts w:eastAsia="MS Mincho" w:cstheme="minorHAnsi"/>
              </w:rPr>
              <w:t>Validation: CO &lt; 9 ppm at week 52</w:t>
            </w:r>
            <w:r w:rsidR="006C3ED7">
              <w:rPr>
                <w:rFonts w:eastAsia="MS Mincho" w:cstheme="minorHAnsi"/>
              </w:rPr>
              <w:t>.</w:t>
            </w:r>
          </w:p>
          <w:p w:rsidR="006C3ED7" w:rsidRDefault="006C3ED7" w:rsidP="00A71365">
            <w:pPr>
              <w:pStyle w:val="Tablewriting"/>
              <w:rPr>
                <w:rFonts w:eastAsia="MS Mincho" w:cstheme="minorHAnsi"/>
                <w:u w:val="single"/>
              </w:rPr>
            </w:pPr>
          </w:p>
          <w:p w:rsidR="006C3ED7" w:rsidRPr="004272CD" w:rsidRDefault="006C3ED7" w:rsidP="00A71365">
            <w:pPr>
              <w:pStyle w:val="Tablewriting"/>
              <w:rPr>
                <w:rFonts w:eastAsia="MS Mincho" w:cstheme="minorHAnsi"/>
                <w:u w:val="single"/>
              </w:rPr>
            </w:pPr>
            <w:r>
              <w:rPr>
                <w:rFonts w:eastAsia="MS Mincho" w:cstheme="minorHAnsi"/>
                <w:u w:val="single"/>
              </w:rPr>
              <w:t xml:space="preserve">Safety: </w:t>
            </w:r>
          </w:p>
        </w:tc>
      </w:tr>
      <w:tr w:rsidR="00BA1AF5" w:rsidRPr="00017AE6" w:rsidTr="005012C6">
        <w:trPr>
          <w:trHeight w:val="99"/>
        </w:trPr>
        <w:tc>
          <w:tcPr>
            <w:tcW w:w="491" w:type="pct"/>
          </w:tcPr>
          <w:p w:rsidR="00BA1AF5" w:rsidRPr="00017AE6" w:rsidRDefault="00DC0DA3" w:rsidP="00A71365">
            <w:pPr>
              <w:pStyle w:val="Tablewriting"/>
              <w:rPr>
                <w:rFonts w:eastAsia="MS Mincho" w:cstheme="minorHAnsi"/>
              </w:rPr>
            </w:pPr>
            <w:r w:rsidRPr="00DC0DA3">
              <w:rPr>
                <w:rFonts w:eastAsia="MS Mincho" w:cstheme="minorHAnsi"/>
              </w:rPr>
              <w:t xml:space="preserve">Tonstad </w:t>
            </w:r>
            <w:r w:rsidR="00EE615C">
              <w:rPr>
                <w:rFonts w:eastAsia="MS Mincho" w:cstheme="minorHAnsi"/>
              </w:rPr>
              <w:t>(</w:t>
            </w:r>
            <w:r w:rsidRPr="00DC0DA3">
              <w:rPr>
                <w:rFonts w:eastAsia="MS Mincho" w:cstheme="minorHAnsi"/>
              </w:rPr>
              <w:t>2006</w:t>
            </w:r>
            <w:r w:rsidR="00EE615C">
              <w:rPr>
                <w:rFonts w:eastAsia="MS Mincho" w:cstheme="minorHAnsi"/>
              </w:rPr>
              <w:t>)</w:t>
            </w:r>
          </w:p>
        </w:tc>
        <w:tc>
          <w:tcPr>
            <w:tcW w:w="234" w:type="pct"/>
          </w:tcPr>
          <w:p w:rsidR="00BA1AF5" w:rsidRPr="00017AE6" w:rsidRDefault="00F8762A" w:rsidP="00A71365">
            <w:pPr>
              <w:pStyle w:val="Tablewriting"/>
              <w:rPr>
                <w:rFonts w:eastAsia="MS Mincho" w:cstheme="minorHAnsi"/>
              </w:rPr>
            </w:pPr>
            <w:r>
              <w:rPr>
                <w:rFonts w:eastAsia="MS Mincho" w:cstheme="minorHAnsi"/>
              </w:rPr>
              <w:t>RCT</w:t>
            </w:r>
          </w:p>
        </w:tc>
        <w:tc>
          <w:tcPr>
            <w:tcW w:w="424" w:type="pct"/>
          </w:tcPr>
          <w:p w:rsidR="00BA1AF5" w:rsidRPr="00017AE6" w:rsidRDefault="00F8762A" w:rsidP="00A71365">
            <w:pPr>
              <w:pStyle w:val="Tablewriting"/>
              <w:rPr>
                <w:rFonts w:eastAsia="MS Mincho" w:cstheme="minorHAnsi"/>
              </w:rPr>
            </w:pPr>
            <w:r>
              <w:rPr>
                <w:rFonts w:eastAsia="MS Mincho" w:cstheme="minorHAnsi"/>
              </w:rPr>
              <w:t>USA</w:t>
            </w:r>
          </w:p>
        </w:tc>
        <w:tc>
          <w:tcPr>
            <w:tcW w:w="394" w:type="pct"/>
          </w:tcPr>
          <w:p w:rsidR="00BA1AF5" w:rsidRPr="00017AE6" w:rsidRDefault="00CD23F9" w:rsidP="00A71365">
            <w:pPr>
              <w:pStyle w:val="Tablewriting"/>
              <w:rPr>
                <w:rFonts w:eastAsia="MS Mincho" w:cstheme="minorHAnsi"/>
              </w:rPr>
            </w:pPr>
            <w:r>
              <w:rPr>
                <w:rFonts w:eastAsia="MS Mincho" w:cstheme="minorHAnsi"/>
              </w:rPr>
              <w:t>N=</w:t>
            </w:r>
            <w:r w:rsidR="00F8762A">
              <w:rPr>
                <w:rFonts w:eastAsia="MS Mincho" w:cstheme="minorHAnsi"/>
              </w:rPr>
              <w:t>1210</w:t>
            </w:r>
          </w:p>
        </w:tc>
        <w:tc>
          <w:tcPr>
            <w:tcW w:w="1346" w:type="pct"/>
          </w:tcPr>
          <w:p w:rsidR="00BA1AF5" w:rsidRPr="00017AE6" w:rsidRDefault="00F8762A" w:rsidP="00A71365">
            <w:pPr>
              <w:pStyle w:val="Tablewriting"/>
              <w:rPr>
                <w:rFonts w:eastAsia="MS Mincho" w:cstheme="minorHAnsi"/>
              </w:rPr>
            </w:pPr>
            <w:r>
              <w:rPr>
                <w:rFonts w:eastAsia="MS Mincho" w:cstheme="minorHAnsi"/>
              </w:rPr>
              <w:t>A</w:t>
            </w:r>
            <w:r w:rsidRPr="00F8762A">
              <w:rPr>
                <w:rFonts w:eastAsia="MS Mincho" w:cstheme="minorHAnsi"/>
              </w:rPr>
              <w:t xml:space="preserve">dults previously smoking </w:t>
            </w:r>
            <w:r w:rsidR="00FE7B8E" w:rsidRPr="00FE7B8E">
              <w:rPr>
                <w:rFonts w:eastAsia="MS Mincho" w:cstheme="minorHAnsi"/>
              </w:rPr>
              <w:t>≥</w:t>
            </w:r>
            <w:r w:rsidRPr="00F8762A">
              <w:rPr>
                <w:rFonts w:eastAsia="MS Mincho" w:cstheme="minorHAnsi"/>
              </w:rPr>
              <w:t xml:space="preserve"> 10/day, quit for at least 1 week after 12 weeks open-label varenicline</w:t>
            </w:r>
            <w:r>
              <w:rPr>
                <w:rFonts w:eastAsia="MS Mincho" w:cstheme="minorHAnsi"/>
              </w:rPr>
              <w:t>.</w:t>
            </w:r>
          </w:p>
        </w:tc>
        <w:tc>
          <w:tcPr>
            <w:tcW w:w="1152" w:type="pct"/>
          </w:tcPr>
          <w:p w:rsidR="00B971E9" w:rsidRDefault="00B971E9" w:rsidP="00C324F3">
            <w:pPr>
              <w:pStyle w:val="Tablewriting"/>
              <w:numPr>
                <w:ilvl w:val="0"/>
                <w:numId w:val="159"/>
              </w:numPr>
              <w:rPr>
                <w:rFonts w:eastAsia="MS Mincho" w:cstheme="minorHAnsi"/>
              </w:rPr>
            </w:pPr>
            <w:r w:rsidRPr="00B971E9">
              <w:rPr>
                <w:rFonts w:eastAsia="MS Mincho" w:cstheme="minorHAnsi"/>
              </w:rPr>
              <w:t>Varenicline 1 mg × 2 daily for 12 weeks with 5 clinic visits</w:t>
            </w:r>
            <w:r>
              <w:rPr>
                <w:rFonts w:eastAsia="MS Mincho" w:cstheme="minorHAnsi"/>
              </w:rPr>
              <w:t>.</w:t>
            </w:r>
          </w:p>
          <w:p w:rsidR="00BA1AF5" w:rsidRPr="00B971E9" w:rsidRDefault="00B971E9" w:rsidP="00C324F3">
            <w:pPr>
              <w:pStyle w:val="Tablewriting"/>
              <w:numPr>
                <w:ilvl w:val="0"/>
                <w:numId w:val="159"/>
              </w:numPr>
              <w:rPr>
                <w:rFonts w:eastAsia="MS Mincho" w:cstheme="minorHAnsi"/>
              </w:rPr>
            </w:pPr>
            <w:r w:rsidRPr="00B971E9">
              <w:rPr>
                <w:rFonts w:eastAsia="MS Mincho" w:cstheme="minorHAnsi"/>
              </w:rPr>
              <w:t>Placebo</w:t>
            </w:r>
            <w:r w:rsidR="00EE615C">
              <w:rPr>
                <w:rFonts w:eastAsia="MS Mincho" w:cstheme="minorHAnsi"/>
              </w:rPr>
              <w:t>.</w:t>
            </w:r>
          </w:p>
        </w:tc>
        <w:tc>
          <w:tcPr>
            <w:tcW w:w="960" w:type="pct"/>
          </w:tcPr>
          <w:p w:rsidR="006C3ED7" w:rsidRDefault="006C3ED7" w:rsidP="00A71365">
            <w:pPr>
              <w:pStyle w:val="Tablewriting"/>
              <w:rPr>
                <w:rFonts w:eastAsia="MS Mincho" w:cstheme="minorHAnsi"/>
              </w:rPr>
            </w:pPr>
            <w:r w:rsidRPr="00DF640E">
              <w:rPr>
                <w:rFonts w:eastAsia="MS Mincho" w:cstheme="minorHAnsi"/>
                <w:u w:val="single"/>
              </w:rPr>
              <w:t>Efficacy:</w:t>
            </w:r>
            <w:r>
              <w:rPr>
                <w:rFonts w:eastAsia="MS Mincho" w:cstheme="minorHAnsi"/>
              </w:rPr>
              <w:t xml:space="preserve"> </w:t>
            </w:r>
          </w:p>
          <w:p w:rsidR="00DF0836" w:rsidRDefault="00DF0836" w:rsidP="00A71365">
            <w:pPr>
              <w:pStyle w:val="Tablewriting"/>
              <w:rPr>
                <w:rFonts w:eastAsia="MS Mincho" w:cstheme="minorHAnsi"/>
              </w:rPr>
            </w:pPr>
            <w:r w:rsidRPr="00DF0836">
              <w:rPr>
                <w:rFonts w:eastAsia="MS Mincho" w:cstheme="minorHAnsi"/>
              </w:rPr>
              <w:t>Sustained abstinence for 9 months at 1 year</w:t>
            </w:r>
            <w:r>
              <w:rPr>
                <w:rFonts w:eastAsia="MS Mincho" w:cstheme="minorHAnsi"/>
              </w:rPr>
              <w:t>.</w:t>
            </w:r>
          </w:p>
          <w:p w:rsidR="00DF0836" w:rsidRPr="00DF0836" w:rsidRDefault="00DF0836" w:rsidP="00A71365">
            <w:pPr>
              <w:pStyle w:val="Tablewriting"/>
              <w:rPr>
                <w:rFonts w:eastAsia="MS Mincho" w:cstheme="minorHAnsi"/>
              </w:rPr>
            </w:pPr>
          </w:p>
          <w:p w:rsidR="006C3ED7" w:rsidRDefault="00DF0836" w:rsidP="00A71365">
            <w:pPr>
              <w:pStyle w:val="Tablewriting"/>
              <w:rPr>
                <w:rFonts w:eastAsia="MS Mincho" w:cstheme="minorHAnsi"/>
              </w:rPr>
            </w:pPr>
            <w:r w:rsidRPr="00DF0836">
              <w:rPr>
                <w:rFonts w:eastAsia="MS Mincho" w:cstheme="minorHAnsi"/>
              </w:rPr>
              <w:t xml:space="preserve">Validation: CO </w:t>
            </w:r>
            <w:r w:rsidR="00FE7B8E" w:rsidRPr="00FE7B8E">
              <w:rPr>
                <w:rFonts w:eastAsia="MS Mincho" w:cstheme="minorHAnsi"/>
              </w:rPr>
              <w:t>≥</w:t>
            </w:r>
            <w:r w:rsidRPr="00DF0836">
              <w:rPr>
                <w:rFonts w:eastAsia="MS Mincho" w:cstheme="minorHAnsi"/>
              </w:rPr>
              <w:t xml:space="preserve"> 10 ppm</w:t>
            </w:r>
            <w:r>
              <w:rPr>
                <w:rFonts w:eastAsia="MS Mincho" w:cstheme="minorHAnsi"/>
              </w:rPr>
              <w:t>.</w:t>
            </w:r>
          </w:p>
          <w:p w:rsidR="00DF0836" w:rsidRPr="00DF0836" w:rsidRDefault="00DF0836" w:rsidP="00A71365">
            <w:pPr>
              <w:pStyle w:val="Tablewriting"/>
              <w:rPr>
                <w:rFonts w:eastAsia="MS Mincho" w:cstheme="minorHAnsi"/>
              </w:rPr>
            </w:pPr>
          </w:p>
          <w:p w:rsidR="00BA1AF5" w:rsidRPr="00017AE6" w:rsidRDefault="006C3ED7" w:rsidP="00A71365">
            <w:pPr>
              <w:pStyle w:val="Tablewriting"/>
              <w:rPr>
                <w:rFonts w:eastAsia="MS Mincho" w:cstheme="minorHAnsi"/>
              </w:rPr>
            </w:pPr>
            <w:r>
              <w:rPr>
                <w:rFonts w:eastAsia="MS Mincho" w:cstheme="minorHAnsi"/>
                <w:u w:val="single"/>
              </w:rPr>
              <w:t>Safety:</w:t>
            </w:r>
          </w:p>
        </w:tc>
      </w:tr>
    </w:tbl>
    <w:p w:rsidR="007C71A8" w:rsidRDefault="007C71A8" w:rsidP="007C71A8">
      <w:pPr>
        <w:pStyle w:val="TableFooter"/>
        <w:keepNext/>
      </w:pPr>
      <w:r w:rsidRPr="00743527">
        <w:lastRenderedPageBreak/>
        <w:t>Source: Livingstone-Banks et al. (2019)</w:t>
      </w:r>
      <w:r>
        <w:t>.</w:t>
      </w:r>
    </w:p>
    <w:p w:rsidR="00595A66" w:rsidRPr="00FC4F81" w:rsidRDefault="00595A66" w:rsidP="00595A66">
      <w:pPr>
        <w:pStyle w:val="TableFooter"/>
        <w:keepNext/>
      </w:pPr>
      <w:r>
        <w:t xml:space="preserve">Abbreviations: NR= not reported; </w:t>
      </w:r>
      <w:r w:rsidRPr="009B042A">
        <w:t xml:space="preserve">PPA= point prevalence smoking abstinence; </w:t>
      </w:r>
      <w:r>
        <w:t xml:space="preserve">CA= continuous abstinence;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xml:space="preserve">; </w:t>
      </w:r>
      <w:r w:rsidR="00531BD4">
        <w:t xml:space="preserve">CPD = cigarette per day; </w:t>
      </w:r>
      <w:r>
        <w:t xml:space="preserve">CBT= cognitive behavioural therapy; AEs= adverse events; SAEs= serious adverse events. </w:t>
      </w:r>
    </w:p>
    <w:p w:rsidR="00B63099" w:rsidRDefault="00B63099" w:rsidP="00B63099">
      <w:pPr>
        <w:pStyle w:val="Caption"/>
        <w:keepNext/>
      </w:pPr>
      <w:bookmarkStart w:id="381" w:name="_Ref54791042"/>
      <w:r>
        <w:t xml:space="preserve">Table </w:t>
      </w:r>
      <w:r w:rsidR="003C4A1C">
        <w:rPr>
          <w:noProof/>
        </w:rPr>
        <w:t>152</w:t>
      </w:r>
      <w:bookmarkEnd w:id="381"/>
      <w:r>
        <w:t xml:space="preserve">: </w:t>
      </w:r>
      <w:r w:rsidRPr="00D2745F">
        <w:t xml:space="preserve">Characteristics of studies included in </w:t>
      </w:r>
      <w:r>
        <w:t xml:space="preserve">Cahill </w:t>
      </w:r>
      <w:r w:rsidRPr="00D2745F">
        <w:t>et al. (201</w:t>
      </w:r>
      <w:r>
        <w:t>6</w:t>
      </w:r>
      <w:r w:rsidRPr="00D2745F">
        <w:t xml:space="preserve">), varenicline versus placebo in </w:t>
      </w:r>
      <w:r>
        <w:t>non-</w:t>
      </w:r>
      <w:r w:rsidRPr="00D2745F">
        <w:t>abstainers (</w:t>
      </w:r>
      <w:r>
        <w:t>retreatment</w:t>
      </w:r>
      <w:r w:rsidRPr="00D2745F">
        <w:t>)</w:t>
      </w:r>
    </w:p>
    <w:tbl>
      <w:tblPr>
        <w:tblStyle w:val="TableGrid"/>
        <w:tblW w:w="5270" w:type="pct"/>
        <w:tblLook w:val="04A0" w:firstRow="1" w:lastRow="0" w:firstColumn="1" w:lastColumn="0" w:noHBand="0" w:noVBand="1"/>
        <w:tblCaption w:val="Efficacy results of adalimumab trials (PASI 75 and DLQI)"/>
      </w:tblPr>
      <w:tblGrid>
        <w:gridCol w:w="1425"/>
        <w:gridCol w:w="690"/>
        <w:gridCol w:w="1214"/>
        <w:gridCol w:w="1275"/>
        <w:gridCol w:w="3749"/>
        <w:gridCol w:w="3387"/>
        <w:gridCol w:w="2961"/>
      </w:tblGrid>
      <w:tr w:rsidR="00B63099" w:rsidRPr="00061F78" w:rsidTr="005012C6">
        <w:trPr>
          <w:trHeight w:val="299"/>
          <w:tblHeader/>
        </w:trPr>
        <w:tc>
          <w:tcPr>
            <w:tcW w:w="485" w:type="pct"/>
            <w:shd w:val="clear" w:color="auto" w:fill="BFBFBF" w:themeFill="background1" w:themeFillShade="BF"/>
            <w:tcMar>
              <w:left w:w="28" w:type="dxa"/>
              <w:right w:w="28" w:type="dxa"/>
            </w:tcMar>
          </w:tcPr>
          <w:p w:rsidR="00B63099" w:rsidRPr="00061F78" w:rsidRDefault="00126B7B" w:rsidP="00A71365">
            <w:pPr>
              <w:pStyle w:val="Tableheading"/>
              <w:rPr>
                <w:rFonts w:eastAsia="MS Mincho"/>
              </w:rPr>
            </w:pPr>
            <w:r>
              <w:rPr>
                <w:rFonts w:eastAsia="MS Mincho"/>
              </w:rPr>
              <w:t>Study</w:t>
            </w:r>
          </w:p>
        </w:tc>
        <w:tc>
          <w:tcPr>
            <w:tcW w:w="235" w:type="pct"/>
            <w:shd w:val="clear" w:color="auto" w:fill="BFBFBF" w:themeFill="background1" w:themeFillShade="BF"/>
          </w:tcPr>
          <w:p w:rsidR="00B63099" w:rsidRDefault="00B63099" w:rsidP="00A71365">
            <w:pPr>
              <w:pStyle w:val="Tableheading"/>
              <w:jc w:val="center"/>
              <w:rPr>
                <w:rFonts w:eastAsia="MS Mincho"/>
              </w:rPr>
            </w:pPr>
            <w:r>
              <w:rPr>
                <w:rFonts w:eastAsia="MS Mincho"/>
              </w:rPr>
              <w:t>Study type</w:t>
            </w:r>
          </w:p>
        </w:tc>
        <w:tc>
          <w:tcPr>
            <w:tcW w:w="413" w:type="pct"/>
            <w:shd w:val="clear" w:color="auto" w:fill="BFBFBF" w:themeFill="background1" w:themeFillShade="BF"/>
          </w:tcPr>
          <w:p w:rsidR="00B63099" w:rsidRDefault="00B63099" w:rsidP="00A71365">
            <w:pPr>
              <w:pStyle w:val="Tableheading"/>
              <w:jc w:val="center"/>
              <w:rPr>
                <w:rFonts w:eastAsia="MS Mincho"/>
              </w:rPr>
            </w:pPr>
            <w:r>
              <w:rPr>
                <w:rFonts w:eastAsia="MS Mincho"/>
              </w:rPr>
              <w:t>Countries</w:t>
            </w:r>
          </w:p>
        </w:tc>
        <w:tc>
          <w:tcPr>
            <w:tcW w:w="432" w:type="pct"/>
            <w:shd w:val="clear" w:color="auto" w:fill="BFBFBF" w:themeFill="background1" w:themeFillShade="BF"/>
            <w:tcMar>
              <w:left w:w="28" w:type="dxa"/>
              <w:right w:w="28" w:type="dxa"/>
            </w:tcMar>
          </w:tcPr>
          <w:p w:rsidR="00B63099" w:rsidRPr="00061F78" w:rsidRDefault="00B63099" w:rsidP="00A71365">
            <w:pPr>
              <w:pStyle w:val="Tableheading"/>
              <w:jc w:val="center"/>
              <w:rPr>
                <w:rFonts w:eastAsia="MS Mincho"/>
              </w:rPr>
            </w:pPr>
            <w:r>
              <w:rPr>
                <w:rFonts w:eastAsia="MS Mincho"/>
              </w:rPr>
              <w:t>N</w:t>
            </w:r>
          </w:p>
        </w:tc>
        <w:tc>
          <w:tcPr>
            <w:tcW w:w="1275" w:type="pct"/>
            <w:shd w:val="clear" w:color="auto" w:fill="BFBFBF" w:themeFill="background1" w:themeFillShade="BF"/>
            <w:tcMar>
              <w:left w:w="28" w:type="dxa"/>
              <w:right w:w="28" w:type="dxa"/>
            </w:tcMar>
          </w:tcPr>
          <w:p w:rsidR="00B63099" w:rsidRPr="00061F78" w:rsidRDefault="00B63099" w:rsidP="00A71365">
            <w:pPr>
              <w:pStyle w:val="Tableheading"/>
              <w:jc w:val="center"/>
              <w:rPr>
                <w:rFonts w:eastAsia="MS Mincho"/>
              </w:rPr>
            </w:pPr>
            <w:r w:rsidRPr="00061F78">
              <w:rPr>
                <w:rFonts w:eastAsia="MS Mincho"/>
              </w:rPr>
              <w:t>P</w:t>
            </w:r>
            <w:r>
              <w:rPr>
                <w:rFonts w:eastAsia="MS Mincho"/>
              </w:rPr>
              <w:t>opulation</w:t>
            </w:r>
          </w:p>
        </w:tc>
        <w:tc>
          <w:tcPr>
            <w:tcW w:w="1152" w:type="pct"/>
            <w:shd w:val="clear" w:color="auto" w:fill="BFBFBF" w:themeFill="background1" w:themeFillShade="BF"/>
          </w:tcPr>
          <w:p w:rsidR="00B63099" w:rsidRDefault="00B63099" w:rsidP="00A71365">
            <w:pPr>
              <w:pStyle w:val="Tableheading"/>
              <w:jc w:val="center"/>
              <w:rPr>
                <w:rFonts w:eastAsia="MS Mincho"/>
              </w:rPr>
            </w:pPr>
            <w:r>
              <w:rPr>
                <w:rFonts w:eastAsia="MS Mincho"/>
              </w:rPr>
              <w:t>Intervention and comparator</w:t>
            </w:r>
          </w:p>
        </w:tc>
        <w:tc>
          <w:tcPr>
            <w:tcW w:w="1007" w:type="pct"/>
            <w:shd w:val="clear" w:color="auto" w:fill="BFBFBF" w:themeFill="background1" w:themeFillShade="BF"/>
            <w:tcMar>
              <w:left w:w="28" w:type="dxa"/>
              <w:right w:w="28" w:type="dxa"/>
            </w:tcMar>
          </w:tcPr>
          <w:p w:rsidR="00B63099" w:rsidRPr="00061F78" w:rsidRDefault="00B63099" w:rsidP="00A71365">
            <w:pPr>
              <w:pStyle w:val="Tableheading"/>
              <w:jc w:val="center"/>
              <w:rPr>
                <w:rFonts w:eastAsia="MS Mincho"/>
              </w:rPr>
            </w:pPr>
            <w:r>
              <w:rPr>
                <w:rFonts w:eastAsia="MS Mincho"/>
              </w:rPr>
              <w:t>Outcomes</w:t>
            </w:r>
          </w:p>
        </w:tc>
      </w:tr>
      <w:tr w:rsidR="00454063" w:rsidRPr="00017AE6" w:rsidTr="005012C6">
        <w:trPr>
          <w:trHeight w:val="99"/>
        </w:trPr>
        <w:tc>
          <w:tcPr>
            <w:tcW w:w="485" w:type="pct"/>
          </w:tcPr>
          <w:p w:rsidR="00454063" w:rsidRPr="00017AE6" w:rsidRDefault="00454063" w:rsidP="00A71365">
            <w:pPr>
              <w:pStyle w:val="Tablewriting"/>
              <w:rPr>
                <w:rFonts w:eastAsia="MS Mincho" w:cstheme="minorHAnsi"/>
              </w:rPr>
            </w:pPr>
            <w:r w:rsidRPr="00017AE6">
              <w:rPr>
                <w:rFonts w:eastAsia="MS Mincho" w:cstheme="minorHAnsi"/>
              </w:rPr>
              <w:t xml:space="preserve">Gonzales </w:t>
            </w:r>
            <w:r>
              <w:rPr>
                <w:rFonts w:eastAsia="MS Mincho" w:cstheme="minorHAnsi"/>
              </w:rPr>
              <w:t>(</w:t>
            </w:r>
            <w:r w:rsidRPr="00017AE6">
              <w:rPr>
                <w:rFonts w:eastAsia="MS Mincho" w:cstheme="minorHAnsi"/>
              </w:rPr>
              <w:t>2014</w:t>
            </w:r>
            <w:r>
              <w:rPr>
                <w:rFonts w:eastAsia="MS Mincho" w:cstheme="minorHAnsi"/>
              </w:rPr>
              <w:t>)</w:t>
            </w:r>
          </w:p>
        </w:tc>
        <w:tc>
          <w:tcPr>
            <w:tcW w:w="235" w:type="pct"/>
          </w:tcPr>
          <w:p w:rsidR="00454063" w:rsidRPr="00017AE6" w:rsidRDefault="00454063" w:rsidP="00A71365">
            <w:pPr>
              <w:pStyle w:val="Tablewriting"/>
              <w:rPr>
                <w:rFonts w:eastAsia="MS Mincho" w:cstheme="minorHAnsi"/>
              </w:rPr>
            </w:pPr>
            <w:r w:rsidRPr="00017AE6">
              <w:rPr>
                <w:rFonts w:eastAsia="MS Mincho" w:cstheme="minorHAnsi"/>
              </w:rPr>
              <w:t>RCT</w:t>
            </w:r>
          </w:p>
        </w:tc>
        <w:tc>
          <w:tcPr>
            <w:tcW w:w="413" w:type="pct"/>
          </w:tcPr>
          <w:p w:rsidR="00454063" w:rsidRPr="00017AE6" w:rsidRDefault="00454063" w:rsidP="00A71365">
            <w:pPr>
              <w:pStyle w:val="Tablewriting"/>
              <w:rPr>
                <w:rFonts w:eastAsia="MS Mincho" w:cstheme="minorHAnsi"/>
              </w:rPr>
            </w:pPr>
            <w:r w:rsidRPr="00017AE6">
              <w:rPr>
                <w:rFonts w:eastAsia="MS Mincho" w:cstheme="minorHAnsi"/>
              </w:rPr>
              <w:t>37 centres in 8 countries: USA (8), Australia (4), Belgium (4), Canada (4), Czech Republic (4),</w:t>
            </w:r>
          </w:p>
          <w:p w:rsidR="00454063" w:rsidRPr="00017AE6" w:rsidRDefault="00454063" w:rsidP="00A71365">
            <w:pPr>
              <w:pStyle w:val="Tablewriting"/>
              <w:rPr>
                <w:rFonts w:eastAsia="MS Mincho" w:cstheme="minorHAnsi"/>
              </w:rPr>
            </w:pPr>
            <w:r w:rsidRPr="00017AE6">
              <w:rPr>
                <w:rFonts w:eastAsia="MS Mincho" w:cstheme="minorHAnsi"/>
              </w:rPr>
              <w:t>France (3), Germany (5), UK (5)</w:t>
            </w:r>
          </w:p>
        </w:tc>
        <w:tc>
          <w:tcPr>
            <w:tcW w:w="432" w:type="pct"/>
          </w:tcPr>
          <w:p w:rsidR="00454063" w:rsidRPr="00017AE6" w:rsidRDefault="00454063" w:rsidP="00A71365">
            <w:pPr>
              <w:pStyle w:val="Tablewriting"/>
              <w:rPr>
                <w:rFonts w:eastAsia="MS Mincho" w:cstheme="minorHAnsi"/>
              </w:rPr>
            </w:pPr>
            <w:r w:rsidRPr="00017AE6">
              <w:rPr>
                <w:rFonts w:eastAsia="MS Mincho" w:cstheme="minorHAnsi"/>
              </w:rPr>
              <w:t>N=498</w:t>
            </w:r>
            <w:r>
              <w:rPr>
                <w:rFonts w:eastAsia="MS Mincho" w:cstheme="minorHAnsi"/>
              </w:rPr>
              <w:t>; n=251 (</w:t>
            </w:r>
            <w:r w:rsidRPr="00017AE6">
              <w:rPr>
                <w:rFonts w:eastAsia="MS Mincho" w:cstheme="minorHAnsi"/>
              </w:rPr>
              <w:t>varenicline</w:t>
            </w:r>
            <w:r>
              <w:rPr>
                <w:rFonts w:eastAsia="MS Mincho" w:cstheme="minorHAnsi"/>
              </w:rPr>
              <w:t>)</w:t>
            </w:r>
            <w:r w:rsidRPr="00017AE6">
              <w:rPr>
                <w:rFonts w:eastAsia="MS Mincho" w:cstheme="minorHAnsi"/>
              </w:rPr>
              <w:t xml:space="preserve">, </w:t>
            </w:r>
            <w:r>
              <w:rPr>
                <w:rFonts w:eastAsia="MS Mincho" w:cstheme="minorHAnsi"/>
              </w:rPr>
              <w:t>n=247 (</w:t>
            </w:r>
            <w:r w:rsidRPr="00017AE6">
              <w:rPr>
                <w:rFonts w:eastAsia="MS Mincho" w:cstheme="minorHAnsi"/>
              </w:rPr>
              <w:t>placebo)</w:t>
            </w:r>
          </w:p>
        </w:tc>
        <w:tc>
          <w:tcPr>
            <w:tcW w:w="1275" w:type="pct"/>
          </w:tcPr>
          <w:p w:rsidR="00454063" w:rsidRDefault="00454063" w:rsidP="00A71365">
            <w:pPr>
              <w:pStyle w:val="Tablewriting"/>
              <w:rPr>
                <w:rFonts w:eastAsia="MS Mincho" w:cstheme="minorHAnsi"/>
              </w:rPr>
            </w:pPr>
            <w:r>
              <w:rPr>
                <w:rFonts w:eastAsia="MS Mincho" w:cstheme="minorHAnsi"/>
              </w:rPr>
              <w:t>A</w:t>
            </w:r>
            <w:r w:rsidRPr="00017AE6">
              <w:rPr>
                <w:rFonts w:eastAsia="MS Mincho" w:cstheme="minorHAnsi"/>
              </w:rPr>
              <w:t>dult smokers with previous use of 2+ w</w:t>
            </w:r>
            <w:r>
              <w:rPr>
                <w:rFonts w:eastAsia="MS Mincho" w:cstheme="minorHAnsi"/>
              </w:rPr>
              <w:t>ee</w:t>
            </w:r>
            <w:r w:rsidRPr="00017AE6">
              <w:rPr>
                <w:rFonts w:eastAsia="MS Mincho" w:cstheme="minorHAnsi"/>
              </w:rPr>
              <w:t>ks of varenicline at least 3</w:t>
            </w:r>
            <w:r>
              <w:rPr>
                <w:rFonts w:eastAsia="MS Mincho" w:cstheme="minorHAnsi"/>
              </w:rPr>
              <w:t xml:space="preserve"> </w:t>
            </w:r>
            <w:r w:rsidRPr="00017AE6">
              <w:rPr>
                <w:rFonts w:eastAsia="MS Mincho" w:cstheme="minorHAnsi"/>
              </w:rPr>
              <w:t>m</w:t>
            </w:r>
            <w:r>
              <w:rPr>
                <w:rFonts w:eastAsia="MS Mincho" w:cstheme="minorHAnsi"/>
              </w:rPr>
              <w:t xml:space="preserve">onths </w:t>
            </w:r>
            <w:r w:rsidRPr="00017AE6">
              <w:rPr>
                <w:rFonts w:eastAsia="MS Mincho" w:cstheme="minorHAnsi"/>
              </w:rPr>
              <w:t xml:space="preserve">prior to screening, aged 18+, CPD 10+, motivated to quit. </w:t>
            </w:r>
          </w:p>
          <w:p w:rsidR="00454063" w:rsidRPr="00017AE6" w:rsidRDefault="00454063" w:rsidP="00A71365">
            <w:pPr>
              <w:pStyle w:val="Tablewriting"/>
              <w:rPr>
                <w:rFonts w:eastAsia="MS Mincho" w:cstheme="minorHAnsi"/>
              </w:rPr>
            </w:pPr>
            <w:r w:rsidRPr="00017AE6">
              <w:rPr>
                <w:rFonts w:eastAsia="MS Mincho" w:cstheme="minorHAnsi"/>
              </w:rPr>
              <w:t>Mean age 47.5, 50.4% women, 93% white,</w:t>
            </w:r>
            <w:r w:rsidR="001A5E27">
              <w:rPr>
                <w:rFonts w:eastAsia="MS Mincho" w:cstheme="minorHAnsi"/>
              </w:rPr>
              <w:t xml:space="preserve"> </w:t>
            </w:r>
            <w:r w:rsidRPr="00017AE6">
              <w:rPr>
                <w:rFonts w:eastAsia="MS Mincho" w:cstheme="minorHAnsi"/>
              </w:rPr>
              <w:t>mean CPD 20.5, mean FTND 5.5</w:t>
            </w:r>
            <w:r>
              <w:rPr>
                <w:rFonts w:eastAsia="MS Mincho" w:cstheme="minorHAnsi"/>
              </w:rPr>
              <w:t>.</w:t>
            </w:r>
          </w:p>
        </w:tc>
        <w:tc>
          <w:tcPr>
            <w:tcW w:w="1152" w:type="pct"/>
          </w:tcPr>
          <w:p w:rsidR="00454063" w:rsidRPr="00017AE6" w:rsidRDefault="00454063" w:rsidP="00C324F3">
            <w:pPr>
              <w:pStyle w:val="Tablewriting"/>
              <w:numPr>
                <w:ilvl w:val="0"/>
                <w:numId w:val="70"/>
              </w:numPr>
              <w:rPr>
                <w:rFonts w:eastAsia="MS Mincho" w:cstheme="minorHAnsi"/>
              </w:rPr>
            </w:pPr>
            <w:r w:rsidRPr="00017AE6">
              <w:rPr>
                <w:rFonts w:eastAsia="MS Mincho" w:cstheme="minorHAnsi"/>
              </w:rPr>
              <w:t>Varenicline 12 w</w:t>
            </w:r>
            <w:r>
              <w:rPr>
                <w:rFonts w:eastAsia="MS Mincho" w:cstheme="minorHAnsi"/>
              </w:rPr>
              <w:t>ee</w:t>
            </w:r>
            <w:r w:rsidRPr="00017AE6">
              <w:rPr>
                <w:rFonts w:eastAsia="MS Mincho" w:cstheme="minorHAnsi"/>
              </w:rPr>
              <w:t>ks, titrated in 1st w</w:t>
            </w:r>
            <w:r>
              <w:rPr>
                <w:rFonts w:eastAsia="MS Mincho" w:cstheme="minorHAnsi"/>
              </w:rPr>
              <w:t>ee</w:t>
            </w:r>
            <w:r w:rsidRPr="00017AE6">
              <w:rPr>
                <w:rFonts w:eastAsia="MS Mincho" w:cstheme="minorHAnsi"/>
              </w:rPr>
              <w:t>k, 1 mg x 2/day</w:t>
            </w:r>
            <w:r w:rsidR="001A5E27">
              <w:rPr>
                <w:rFonts w:eastAsia="MS Mincho" w:cstheme="minorHAnsi"/>
              </w:rPr>
              <w:t>.</w:t>
            </w:r>
          </w:p>
          <w:p w:rsidR="00454063" w:rsidRPr="00017AE6" w:rsidRDefault="00454063" w:rsidP="00C324F3">
            <w:pPr>
              <w:pStyle w:val="Tablewriting"/>
              <w:numPr>
                <w:ilvl w:val="0"/>
                <w:numId w:val="70"/>
              </w:numPr>
              <w:rPr>
                <w:rFonts w:eastAsia="MS Mincho" w:cstheme="minorHAnsi"/>
              </w:rPr>
            </w:pPr>
            <w:r w:rsidRPr="00017AE6">
              <w:rPr>
                <w:rFonts w:eastAsia="MS Mincho" w:cstheme="minorHAnsi"/>
              </w:rPr>
              <w:t>Placebo, identical regimen</w:t>
            </w:r>
            <w:r w:rsidR="001A5E27">
              <w:rPr>
                <w:rFonts w:eastAsia="MS Mincho" w:cstheme="minorHAnsi"/>
              </w:rPr>
              <w:t>.</w:t>
            </w:r>
          </w:p>
          <w:p w:rsidR="00454063" w:rsidRDefault="00454063" w:rsidP="00A71365">
            <w:pPr>
              <w:pStyle w:val="Tablewriting"/>
              <w:rPr>
                <w:rFonts w:eastAsia="MS Mincho" w:cstheme="minorHAnsi"/>
                <w:u w:val="single"/>
              </w:rPr>
            </w:pPr>
          </w:p>
          <w:p w:rsidR="00454063" w:rsidRPr="00017AE6" w:rsidRDefault="00454063"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Pr="00017AE6">
              <w:rPr>
                <w:rFonts w:eastAsia="MS Mincho" w:cstheme="minorHAnsi"/>
              </w:rPr>
              <w:t>Brief (&lt; 10 mins) counselling at each contact. TQD set for w</w:t>
            </w:r>
            <w:r>
              <w:rPr>
                <w:rFonts w:eastAsia="MS Mincho" w:cstheme="minorHAnsi"/>
              </w:rPr>
              <w:t>ee</w:t>
            </w:r>
            <w:r w:rsidRPr="00017AE6">
              <w:rPr>
                <w:rFonts w:eastAsia="MS Mincho" w:cstheme="minorHAnsi"/>
              </w:rPr>
              <w:t>k 1 visit. Clinic visits at w</w:t>
            </w:r>
            <w:r>
              <w:rPr>
                <w:rFonts w:eastAsia="MS Mincho" w:cstheme="minorHAnsi"/>
              </w:rPr>
              <w:t>ee</w:t>
            </w:r>
            <w:r w:rsidRPr="00017AE6">
              <w:rPr>
                <w:rFonts w:eastAsia="MS Mincho" w:cstheme="minorHAnsi"/>
              </w:rPr>
              <w:t>ks 1, 2, 3, 4, 6, 8, 9, 10, 11, 12; 13, 16, 24, 32, 40, 48, 52. Brief phone calls at w</w:t>
            </w:r>
            <w:r>
              <w:rPr>
                <w:rFonts w:eastAsia="MS Mincho" w:cstheme="minorHAnsi"/>
              </w:rPr>
              <w:t>ee</w:t>
            </w:r>
            <w:r w:rsidRPr="00017AE6">
              <w:rPr>
                <w:rFonts w:eastAsia="MS Mincho" w:cstheme="minorHAnsi"/>
              </w:rPr>
              <w:t>ks 5, 7, 14, 20, 36, 44. Dosage could be halved if intolerable</w:t>
            </w:r>
            <w:r w:rsidR="001A5E27">
              <w:rPr>
                <w:rFonts w:eastAsia="MS Mincho" w:cstheme="minorHAnsi"/>
              </w:rPr>
              <w:t>.</w:t>
            </w:r>
          </w:p>
        </w:tc>
        <w:tc>
          <w:tcPr>
            <w:tcW w:w="1007" w:type="pct"/>
          </w:tcPr>
          <w:p w:rsidR="00454063" w:rsidRDefault="00454063" w:rsidP="00A71365">
            <w:pPr>
              <w:pStyle w:val="Tablewriting"/>
              <w:rPr>
                <w:rFonts w:eastAsia="MS Mincho" w:cstheme="minorHAnsi"/>
              </w:rPr>
            </w:pPr>
            <w:r w:rsidRPr="00DD4A03">
              <w:rPr>
                <w:rFonts w:eastAsia="MS Mincho" w:cstheme="minorHAnsi"/>
                <w:u w:val="single"/>
              </w:rPr>
              <w:t>Efficacy:</w:t>
            </w:r>
            <w:r>
              <w:rPr>
                <w:rFonts w:eastAsia="MS Mincho" w:cstheme="minorHAnsi"/>
              </w:rPr>
              <w:t xml:space="preserve"> </w:t>
            </w:r>
          </w:p>
          <w:p w:rsidR="00454063" w:rsidRPr="00017AE6" w:rsidRDefault="00454063" w:rsidP="00A71365">
            <w:pPr>
              <w:pStyle w:val="Tablewriting"/>
              <w:rPr>
                <w:rFonts w:eastAsia="MS Mincho" w:cstheme="minorHAnsi"/>
              </w:rPr>
            </w:pPr>
            <w:r w:rsidRPr="00017AE6">
              <w:rPr>
                <w:rFonts w:eastAsia="MS Mincho" w:cstheme="minorHAnsi"/>
              </w:rPr>
              <w:t>Primary: CAR at w</w:t>
            </w:r>
            <w:r>
              <w:rPr>
                <w:rFonts w:eastAsia="MS Mincho" w:cstheme="minorHAnsi"/>
              </w:rPr>
              <w:t>ee</w:t>
            </w:r>
            <w:r w:rsidRPr="00017AE6">
              <w:rPr>
                <w:rFonts w:eastAsia="MS Mincho" w:cstheme="minorHAnsi"/>
              </w:rPr>
              <w:t xml:space="preserve">ks </w:t>
            </w:r>
            <w:r>
              <w:rPr>
                <w:rFonts w:eastAsia="MS Mincho" w:cstheme="minorHAnsi"/>
              </w:rPr>
              <w:t>(</w:t>
            </w:r>
            <w:r w:rsidRPr="00017AE6">
              <w:rPr>
                <w:rFonts w:eastAsia="MS Mincho" w:cstheme="minorHAnsi"/>
              </w:rPr>
              <w:t xml:space="preserve">9 </w:t>
            </w:r>
            <w:r>
              <w:rPr>
                <w:rFonts w:eastAsia="MS Mincho" w:cstheme="minorHAnsi"/>
              </w:rPr>
              <w:t>–</w:t>
            </w:r>
            <w:r w:rsidRPr="00017AE6">
              <w:rPr>
                <w:rFonts w:eastAsia="MS Mincho" w:cstheme="minorHAnsi"/>
              </w:rPr>
              <w:t xml:space="preserve"> 12</w:t>
            </w:r>
            <w:r>
              <w:rPr>
                <w:rFonts w:eastAsia="MS Mincho" w:cstheme="minorHAnsi"/>
              </w:rPr>
              <w:t>)</w:t>
            </w:r>
            <w:r w:rsidRPr="00017AE6">
              <w:rPr>
                <w:rFonts w:eastAsia="MS Mincho" w:cstheme="minorHAnsi"/>
              </w:rPr>
              <w:t xml:space="preserve">, </w:t>
            </w:r>
            <w:r>
              <w:rPr>
                <w:rFonts w:eastAsia="MS Mincho" w:cstheme="minorHAnsi"/>
              </w:rPr>
              <w:t>(</w:t>
            </w:r>
            <w:r w:rsidRPr="00017AE6">
              <w:rPr>
                <w:rFonts w:eastAsia="MS Mincho" w:cstheme="minorHAnsi"/>
              </w:rPr>
              <w:t xml:space="preserve">9 </w:t>
            </w:r>
            <w:r>
              <w:rPr>
                <w:rFonts w:eastAsia="MS Mincho" w:cstheme="minorHAnsi"/>
              </w:rPr>
              <w:t>–</w:t>
            </w:r>
            <w:r w:rsidRPr="00017AE6">
              <w:rPr>
                <w:rFonts w:eastAsia="MS Mincho" w:cstheme="minorHAnsi"/>
              </w:rPr>
              <w:t xml:space="preserve"> 52</w:t>
            </w:r>
            <w:r>
              <w:rPr>
                <w:rFonts w:eastAsia="MS Mincho" w:cstheme="minorHAnsi"/>
              </w:rPr>
              <w:t>);</w:t>
            </w:r>
          </w:p>
          <w:p w:rsidR="00454063" w:rsidRDefault="00454063" w:rsidP="00A71365">
            <w:pPr>
              <w:pStyle w:val="Tablewriting"/>
              <w:rPr>
                <w:rFonts w:eastAsia="MS Mincho" w:cstheme="minorHAnsi"/>
              </w:rPr>
            </w:pPr>
            <w:r w:rsidRPr="00017AE6">
              <w:rPr>
                <w:rFonts w:eastAsia="MS Mincho" w:cstheme="minorHAnsi"/>
              </w:rPr>
              <w:t>Secondary: CAR at w</w:t>
            </w:r>
            <w:r>
              <w:rPr>
                <w:rFonts w:eastAsia="MS Mincho" w:cstheme="minorHAnsi"/>
              </w:rPr>
              <w:t>ee</w:t>
            </w:r>
            <w:r w:rsidRPr="00017AE6">
              <w:rPr>
                <w:rFonts w:eastAsia="MS Mincho" w:cstheme="minorHAnsi"/>
              </w:rPr>
              <w:t xml:space="preserve">ks </w:t>
            </w:r>
            <w:r>
              <w:rPr>
                <w:rFonts w:eastAsia="MS Mincho" w:cstheme="minorHAnsi"/>
              </w:rPr>
              <w:t>(</w:t>
            </w:r>
            <w:r w:rsidRPr="00017AE6">
              <w:rPr>
                <w:rFonts w:eastAsia="MS Mincho" w:cstheme="minorHAnsi"/>
              </w:rPr>
              <w:t xml:space="preserve">9 </w:t>
            </w:r>
            <w:r>
              <w:rPr>
                <w:rFonts w:eastAsia="MS Mincho" w:cstheme="minorHAnsi"/>
              </w:rPr>
              <w:t>–</w:t>
            </w:r>
            <w:r w:rsidRPr="00017AE6">
              <w:rPr>
                <w:rFonts w:eastAsia="MS Mincho" w:cstheme="minorHAnsi"/>
              </w:rPr>
              <w:t xml:space="preserve"> 24</w:t>
            </w:r>
            <w:r>
              <w:rPr>
                <w:rFonts w:eastAsia="MS Mincho" w:cstheme="minorHAnsi"/>
              </w:rPr>
              <w:t>)</w:t>
            </w:r>
            <w:r w:rsidRPr="00017AE6">
              <w:rPr>
                <w:rFonts w:eastAsia="MS Mincho" w:cstheme="minorHAnsi"/>
              </w:rPr>
              <w:t>; 7-day PPA at w</w:t>
            </w:r>
            <w:r>
              <w:rPr>
                <w:rFonts w:eastAsia="MS Mincho" w:cstheme="minorHAnsi"/>
              </w:rPr>
              <w:t>ee</w:t>
            </w:r>
            <w:r w:rsidRPr="00017AE6">
              <w:rPr>
                <w:rFonts w:eastAsia="MS Mincho" w:cstheme="minorHAnsi"/>
              </w:rPr>
              <w:t>ks 12, 24, 52</w:t>
            </w:r>
            <w:r>
              <w:rPr>
                <w:rFonts w:eastAsia="MS Mincho" w:cstheme="minorHAnsi"/>
              </w:rPr>
              <w:t>.</w:t>
            </w:r>
          </w:p>
          <w:p w:rsidR="001A5E27" w:rsidRDefault="001A5E27" w:rsidP="00A71365">
            <w:pPr>
              <w:pStyle w:val="Tablewriting"/>
              <w:rPr>
                <w:rFonts w:eastAsia="MS Mincho" w:cstheme="minorHAnsi"/>
              </w:rPr>
            </w:pPr>
          </w:p>
          <w:p w:rsidR="001A5E27" w:rsidRPr="00017AE6" w:rsidRDefault="001A5E27" w:rsidP="00A71365">
            <w:pPr>
              <w:pStyle w:val="Tablewriting"/>
              <w:rPr>
                <w:rFonts w:eastAsia="MS Mincho" w:cstheme="minorHAnsi"/>
              </w:rPr>
            </w:pPr>
            <w:r w:rsidRPr="00017AE6">
              <w:rPr>
                <w:rFonts w:eastAsia="MS Mincho" w:cstheme="minorHAnsi"/>
              </w:rPr>
              <w:t>Validation: CO &lt; 10 ppm</w:t>
            </w:r>
            <w:r>
              <w:rPr>
                <w:rFonts w:eastAsia="MS Mincho" w:cstheme="minorHAnsi"/>
              </w:rPr>
              <w:t>.</w:t>
            </w:r>
          </w:p>
          <w:p w:rsidR="00454063" w:rsidRDefault="00454063" w:rsidP="00A71365">
            <w:pPr>
              <w:pStyle w:val="Tablewriting"/>
              <w:rPr>
                <w:rFonts w:eastAsia="MS Mincho" w:cstheme="minorHAnsi"/>
              </w:rPr>
            </w:pPr>
          </w:p>
          <w:p w:rsidR="00454063" w:rsidRPr="00017AE6" w:rsidRDefault="00454063" w:rsidP="00A71365">
            <w:pPr>
              <w:pStyle w:val="Tablewriting"/>
              <w:rPr>
                <w:rFonts w:eastAsia="MS Mincho" w:cstheme="minorHAnsi"/>
              </w:rPr>
            </w:pPr>
            <w:r w:rsidRPr="0001662B">
              <w:rPr>
                <w:rFonts w:eastAsia="MS Mincho" w:cstheme="minorHAnsi"/>
                <w:u w:val="single"/>
              </w:rPr>
              <w:t>Safety:</w:t>
            </w:r>
            <w:r>
              <w:rPr>
                <w:rFonts w:eastAsia="MS Mincho" w:cstheme="minorHAnsi"/>
              </w:rPr>
              <w:t xml:space="preserve"> NR</w:t>
            </w:r>
          </w:p>
          <w:p w:rsidR="00454063" w:rsidRPr="00017AE6" w:rsidRDefault="00454063" w:rsidP="00A71365">
            <w:pPr>
              <w:pStyle w:val="Tablewriting"/>
              <w:rPr>
                <w:rFonts w:eastAsia="MS Mincho" w:cstheme="minorHAnsi"/>
              </w:rPr>
            </w:pPr>
          </w:p>
          <w:p w:rsidR="00454063" w:rsidRDefault="00454063" w:rsidP="00A71365">
            <w:pPr>
              <w:pStyle w:val="Tablewriting"/>
              <w:rPr>
                <w:rFonts w:eastAsia="MS Mincho" w:cstheme="minorHAnsi"/>
                <w:u w:val="single"/>
              </w:rPr>
            </w:pPr>
          </w:p>
          <w:p w:rsidR="00454063" w:rsidRPr="004272CD" w:rsidRDefault="00454063" w:rsidP="00A71365">
            <w:pPr>
              <w:pStyle w:val="Tablewriting"/>
              <w:rPr>
                <w:rFonts w:eastAsia="MS Mincho" w:cstheme="minorHAnsi"/>
                <w:u w:val="single"/>
              </w:rPr>
            </w:pPr>
          </w:p>
        </w:tc>
      </w:tr>
    </w:tbl>
    <w:p w:rsidR="007C71A8" w:rsidRPr="009B042A" w:rsidRDefault="007C71A8" w:rsidP="00A71365">
      <w:pPr>
        <w:pStyle w:val="TableFooter"/>
      </w:pPr>
      <w:r>
        <w:t xml:space="preserve">Source: Cahill </w:t>
      </w:r>
      <w:r w:rsidRPr="00D2745F">
        <w:t>et al. (201</w:t>
      </w:r>
      <w:r>
        <w:t>6</w:t>
      </w:r>
      <w:r w:rsidRPr="00D2745F">
        <w:t>)</w:t>
      </w:r>
      <w:r>
        <w:t>.</w:t>
      </w:r>
    </w:p>
    <w:p w:rsidR="00595A66" w:rsidRPr="00FC4F81" w:rsidRDefault="00595A66" w:rsidP="00A71365">
      <w:pPr>
        <w:pStyle w:val="TableFooter"/>
      </w:pPr>
      <w:r>
        <w:t xml:space="preserve">Abbreviations: NR= not reported; </w:t>
      </w:r>
      <w:r w:rsidRPr="009B042A">
        <w:t xml:space="preserve">PPA= point prevalence smoking abstinence; </w:t>
      </w:r>
      <w:r>
        <w:t>CA</w:t>
      </w:r>
      <w:r w:rsidR="0064599F">
        <w:t>R</w:t>
      </w:r>
      <w:r>
        <w:t>= continuous abstinence</w:t>
      </w:r>
      <w:r w:rsidR="0064599F">
        <w:t xml:space="preserve"> rate</w:t>
      </w:r>
      <w:r>
        <w:t xml:space="preserv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C</w:t>
      </w:r>
      <w:r w:rsidR="0064599F">
        <w:t>PD</w:t>
      </w:r>
      <w:r>
        <w:t>= c</w:t>
      </w:r>
      <w:r w:rsidR="0064599F">
        <w:t>igarette per day</w:t>
      </w:r>
      <w:r>
        <w:t xml:space="preserve">; AEs= adverse events; SAEs= serious adverse events. </w:t>
      </w:r>
    </w:p>
    <w:p w:rsidR="00ED2827" w:rsidRDefault="00ED2827" w:rsidP="00ED2827">
      <w:pPr>
        <w:pStyle w:val="Caption"/>
        <w:keepNext/>
      </w:pPr>
      <w:bookmarkStart w:id="382" w:name="_Ref54868364"/>
      <w:r>
        <w:lastRenderedPageBreak/>
        <w:t xml:space="preserve">Table </w:t>
      </w:r>
      <w:r w:rsidR="003C4A1C">
        <w:rPr>
          <w:noProof/>
        </w:rPr>
        <w:t>153</w:t>
      </w:r>
      <w:bookmarkEnd w:id="382"/>
      <w:r>
        <w:t xml:space="preserve">: </w:t>
      </w:r>
      <w:r w:rsidRPr="00A62951">
        <w:t xml:space="preserve">Characteristics of studies included in Livingstone-Banks et al. (2019), </w:t>
      </w:r>
      <w:r>
        <w:t>bupropion</w:t>
      </w:r>
      <w:r w:rsidRPr="00A62951">
        <w:t xml:space="preserve"> versus placebo in abstainers (relapse prevention)</w:t>
      </w:r>
    </w:p>
    <w:tbl>
      <w:tblPr>
        <w:tblStyle w:val="TableGrid"/>
        <w:tblW w:w="5270" w:type="pct"/>
        <w:tblLook w:val="04A0" w:firstRow="1" w:lastRow="0" w:firstColumn="1" w:lastColumn="0" w:noHBand="0" w:noVBand="1"/>
        <w:tblCaption w:val="Efficacy results of adalimumab trials (PASI 75 and DLQI)"/>
      </w:tblPr>
      <w:tblGrid>
        <w:gridCol w:w="1456"/>
        <w:gridCol w:w="690"/>
        <w:gridCol w:w="1273"/>
        <w:gridCol w:w="1053"/>
        <w:gridCol w:w="3740"/>
        <w:gridCol w:w="3525"/>
        <w:gridCol w:w="2964"/>
      </w:tblGrid>
      <w:tr w:rsidR="00ED2827" w:rsidRPr="00061F78" w:rsidTr="005012C6">
        <w:trPr>
          <w:trHeight w:val="299"/>
          <w:tblHeader/>
        </w:trPr>
        <w:tc>
          <w:tcPr>
            <w:tcW w:w="495" w:type="pct"/>
            <w:shd w:val="clear" w:color="auto" w:fill="BFBFBF" w:themeFill="background1" w:themeFillShade="BF"/>
            <w:tcMar>
              <w:left w:w="28" w:type="dxa"/>
              <w:right w:w="28" w:type="dxa"/>
            </w:tcMar>
          </w:tcPr>
          <w:p w:rsidR="00ED2827" w:rsidRPr="00061F78" w:rsidRDefault="00126B7B" w:rsidP="00A71365">
            <w:pPr>
              <w:pStyle w:val="Tableheading"/>
              <w:rPr>
                <w:rFonts w:eastAsia="MS Mincho"/>
              </w:rPr>
            </w:pPr>
            <w:r>
              <w:rPr>
                <w:rFonts w:eastAsia="MS Mincho"/>
              </w:rPr>
              <w:t>Study</w:t>
            </w:r>
          </w:p>
        </w:tc>
        <w:tc>
          <w:tcPr>
            <w:tcW w:w="234" w:type="pct"/>
            <w:shd w:val="clear" w:color="auto" w:fill="BFBFBF" w:themeFill="background1" w:themeFillShade="BF"/>
          </w:tcPr>
          <w:p w:rsidR="00ED2827" w:rsidRDefault="00ED2827" w:rsidP="00A71365">
            <w:pPr>
              <w:pStyle w:val="Tableheading"/>
              <w:jc w:val="center"/>
              <w:rPr>
                <w:rFonts w:eastAsia="MS Mincho"/>
              </w:rPr>
            </w:pPr>
            <w:r>
              <w:rPr>
                <w:rFonts w:eastAsia="MS Mincho"/>
              </w:rPr>
              <w:t>Study type</w:t>
            </w:r>
          </w:p>
        </w:tc>
        <w:tc>
          <w:tcPr>
            <w:tcW w:w="433" w:type="pct"/>
            <w:shd w:val="clear" w:color="auto" w:fill="BFBFBF" w:themeFill="background1" w:themeFillShade="BF"/>
          </w:tcPr>
          <w:p w:rsidR="00ED2827" w:rsidRDefault="00ED2827" w:rsidP="00A71365">
            <w:pPr>
              <w:pStyle w:val="Tableheading"/>
              <w:jc w:val="center"/>
              <w:rPr>
                <w:rFonts w:eastAsia="MS Mincho"/>
              </w:rPr>
            </w:pPr>
            <w:r>
              <w:rPr>
                <w:rFonts w:eastAsia="MS Mincho"/>
              </w:rPr>
              <w:t>Countries</w:t>
            </w:r>
          </w:p>
        </w:tc>
        <w:tc>
          <w:tcPr>
            <w:tcW w:w="358" w:type="pct"/>
            <w:shd w:val="clear" w:color="auto" w:fill="BFBFBF" w:themeFill="background1" w:themeFillShade="BF"/>
            <w:tcMar>
              <w:left w:w="28" w:type="dxa"/>
              <w:right w:w="28" w:type="dxa"/>
            </w:tcMar>
          </w:tcPr>
          <w:p w:rsidR="00ED2827" w:rsidRPr="00061F78" w:rsidRDefault="00ED2827" w:rsidP="00A71365">
            <w:pPr>
              <w:pStyle w:val="Tableheading"/>
              <w:jc w:val="center"/>
              <w:rPr>
                <w:rFonts w:eastAsia="MS Mincho"/>
              </w:rPr>
            </w:pPr>
            <w:r>
              <w:rPr>
                <w:rFonts w:eastAsia="MS Mincho"/>
              </w:rPr>
              <w:t>N</w:t>
            </w:r>
          </w:p>
        </w:tc>
        <w:tc>
          <w:tcPr>
            <w:tcW w:w="1272" w:type="pct"/>
            <w:shd w:val="clear" w:color="auto" w:fill="BFBFBF" w:themeFill="background1" w:themeFillShade="BF"/>
            <w:tcMar>
              <w:left w:w="28" w:type="dxa"/>
              <w:right w:w="28" w:type="dxa"/>
            </w:tcMar>
          </w:tcPr>
          <w:p w:rsidR="00ED2827" w:rsidRPr="00061F78" w:rsidRDefault="00ED2827" w:rsidP="00A71365">
            <w:pPr>
              <w:pStyle w:val="Tableheading"/>
              <w:jc w:val="center"/>
              <w:rPr>
                <w:rFonts w:eastAsia="MS Mincho"/>
              </w:rPr>
            </w:pPr>
            <w:r w:rsidRPr="00061F78">
              <w:rPr>
                <w:rFonts w:eastAsia="MS Mincho"/>
              </w:rPr>
              <w:t>P</w:t>
            </w:r>
            <w:r>
              <w:rPr>
                <w:rFonts w:eastAsia="MS Mincho"/>
              </w:rPr>
              <w:t>opulation</w:t>
            </w:r>
          </w:p>
        </w:tc>
        <w:tc>
          <w:tcPr>
            <w:tcW w:w="1199" w:type="pct"/>
            <w:shd w:val="clear" w:color="auto" w:fill="BFBFBF" w:themeFill="background1" w:themeFillShade="BF"/>
          </w:tcPr>
          <w:p w:rsidR="00ED2827" w:rsidRDefault="00ED2827" w:rsidP="00A71365">
            <w:pPr>
              <w:pStyle w:val="Tableheading"/>
              <w:jc w:val="center"/>
              <w:rPr>
                <w:rFonts w:eastAsia="MS Mincho"/>
              </w:rPr>
            </w:pPr>
            <w:r>
              <w:rPr>
                <w:rFonts w:eastAsia="MS Mincho"/>
              </w:rPr>
              <w:t>Intervention and comparator</w:t>
            </w:r>
          </w:p>
        </w:tc>
        <w:tc>
          <w:tcPr>
            <w:tcW w:w="1008" w:type="pct"/>
            <w:shd w:val="clear" w:color="auto" w:fill="BFBFBF" w:themeFill="background1" w:themeFillShade="BF"/>
            <w:tcMar>
              <w:left w:w="28" w:type="dxa"/>
              <w:right w:w="28" w:type="dxa"/>
            </w:tcMar>
          </w:tcPr>
          <w:p w:rsidR="00ED2827" w:rsidRPr="00061F78" w:rsidRDefault="00ED2827" w:rsidP="00A71365">
            <w:pPr>
              <w:pStyle w:val="Tableheading"/>
              <w:jc w:val="center"/>
              <w:rPr>
                <w:rFonts w:eastAsia="MS Mincho"/>
              </w:rPr>
            </w:pPr>
            <w:r>
              <w:rPr>
                <w:rFonts w:eastAsia="MS Mincho"/>
              </w:rPr>
              <w:t>Outcomes</w:t>
            </w:r>
          </w:p>
        </w:tc>
      </w:tr>
      <w:tr w:rsidR="008E56F8" w:rsidRPr="00017AE6" w:rsidTr="005012C6">
        <w:trPr>
          <w:trHeight w:val="99"/>
        </w:trPr>
        <w:tc>
          <w:tcPr>
            <w:tcW w:w="495" w:type="pct"/>
          </w:tcPr>
          <w:p w:rsidR="008E56F8" w:rsidRPr="00017AE6" w:rsidRDefault="008E56F8" w:rsidP="00A71365">
            <w:pPr>
              <w:pStyle w:val="Tablewriting"/>
              <w:rPr>
                <w:rFonts w:eastAsia="MS Mincho" w:cstheme="minorHAnsi"/>
              </w:rPr>
            </w:pPr>
            <w:r w:rsidRPr="00473B35">
              <w:rPr>
                <w:rFonts w:eastAsia="MS Mincho" w:cstheme="minorHAnsi"/>
              </w:rPr>
              <w:t xml:space="preserve">Covey </w:t>
            </w:r>
            <w:r w:rsidR="002570AF">
              <w:rPr>
                <w:rFonts w:eastAsia="MS Mincho" w:cstheme="minorHAnsi"/>
              </w:rPr>
              <w:t>(</w:t>
            </w:r>
            <w:r w:rsidRPr="00473B35">
              <w:rPr>
                <w:rFonts w:eastAsia="MS Mincho" w:cstheme="minorHAnsi"/>
              </w:rPr>
              <w:t>2007</w:t>
            </w:r>
            <w:r w:rsidR="002570AF">
              <w:rPr>
                <w:rFonts w:eastAsia="MS Mincho" w:cstheme="minorHAnsi"/>
              </w:rPr>
              <w:t>)</w:t>
            </w:r>
          </w:p>
        </w:tc>
        <w:tc>
          <w:tcPr>
            <w:tcW w:w="234" w:type="pct"/>
          </w:tcPr>
          <w:p w:rsidR="008E56F8" w:rsidRPr="00017AE6" w:rsidRDefault="008E56F8" w:rsidP="00A71365">
            <w:pPr>
              <w:pStyle w:val="Tablewriting"/>
              <w:rPr>
                <w:rFonts w:eastAsia="MS Mincho" w:cstheme="minorHAnsi"/>
              </w:rPr>
            </w:pPr>
          </w:p>
        </w:tc>
        <w:tc>
          <w:tcPr>
            <w:tcW w:w="433" w:type="pct"/>
          </w:tcPr>
          <w:p w:rsidR="008E56F8" w:rsidRPr="00017AE6" w:rsidRDefault="00B546E7" w:rsidP="00A71365">
            <w:pPr>
              <w:pStyle w:val="Tablewriting"/>
              <w:rPr>
                <w:rFonts w:eastAsia="MS Mincho" w:cstheme="minorHAnsi"/>
              </w:rPr>
            </w:pPr>
            <w:r>
              <w:rPr>
                <w:rFonts w:eastAsia="MS Mincho" w:cstheme="minorHAnsi"/>
              </w:rPr>
              <w:t>USA</w:t>
            </w:r>
          </w:p>
        </w:tc>
        <w:tc>
          <w:tcPr>
            <w:tcW w:w="358" w:type="pct"/>
          </w:tcPr>
          <w:p w:rsidR="008E56F8" w:rsidRPr="00017AE6" w:rsidRDefault="005E68FB" w:rsidP="00A71365">
            <w:pPr>
              <w:pStyle w:val="Tablewriting"/>
              <w:rPr>
                <w:rFonts w:eastAsia="MS Mincho" w:cstheme="minorHAnsi"/>
              </w:rPr>
            </w:pPr>
            <w:r>
              <w:rPr>
                <w:rFonts w:eastAsia="MS Mincho" w:cstheme="minorHAnsi"/>
              </w:rPr>
              <w:t>N=</w:t>
            </w:r>
            <w:r w:rsidR="00BC1949">
              <w:rPr>
                <w:rFonts w:eastAsia="MS Mincho" w:cstheme="minorHAnsi"/>
              </w:rPr>
              <w:t>289</w:t>
            </w:r>
          </w:p>
        </w:tc>
        <w:tc>
          <w:tcPr>
            <w:tcW w:w="1272" w:type="pct"/>
          </w:tcPr>
          <w:p w:rsidR="00B546E7" w:rsidRPr="00B546E7" w:rsidRDefault="00BC1949" w:rsidP="00A71365">
            <w:pPr>
              <w:pStyle w:val="Tablewriting"/>
              <w:rPr>
                <w:rFonts w:eastAsia="MS Mincho" w:cstheme="minorHAnsi"/>
              </w:rPr>
            </w:pPr>
            <w:r>
              <w:rPr>
                <w:rFonts w:eastAsia="MS Mincho" w:cstheme="minorHAnsi"/>
              </w:rPr>
              <w:t>A</w:t>
            </w:r>
            <w:r w:rsidR="00B546E7" w:rsidRPr="00B546E7">
              <w:rPr>
                <w:rFonts w:eastAsia="MS Mincho" w:cstheme="minorHAnsi"/>
              </w:rPr>
              <w:t>bstainers (excludes 5 withdrawing consent before starting medication)</w:t>
            </w:r>
            <w:r w:rsidR="00A0535B">
              <w:rPr>
                <w:rFonts w:eastAsia="MS Mincho" w:cstheme="minorHAnsi"/>
              </w:rPr>
              <w:t xml:space="preserve">, </w:t>
            </w:r>
            <w:r w:rsidR="00B546E7" w:rsidRPr="00B546E7">
              <w:rPr>
                <w:rFonts w:eastAsia="MS Mincho" w:cstheme="minorHAnsi"/>
              </w:rPr>
              <w:t>45% female, average age 43</w:t>
            </w:r>
            <w:r w:rsidR="00A0535B">
              <w:rPr>
                <w:rFonts w:eastAsia="MS Mincho" w:cstheme="minorHAnsi"/>
              </w:rPr>
              <w:t xml:space="preserve"> years</w:t>
            </w:r>
            <w:r w:rsidR="00B546E7" w:rsidRPr="00B546E7">
              <w:rPr>
                <w:rFonts w:eastAsia="MS Mincho" w:cstheme="minorHAnsi"/>
              </w:rPr>
              <w:t xml:space="preserve">, average </w:t>
            </w:r>
            <w:r w:rsidR="000F7F3D">
              <w:rPr>
                <w:rFonts w:eastAsia="MS Mincho" w:cstheme="minorHAnsi"/>
              </w:rPr>
              <w:t>C</w:t>
            </w:r>
            <w:r w:rsidR="000028E7">
              <w:rPr>
                <w:rFonts w:eastAsia="MS Mincho" w:cstheme="minorHAnsi"/>
              </w:rPr>
              <w:t>PD</w:t>
            </w:r>
            <w:r w:rsidR="00B546E7" w:rsidRPr="00B546E7">
              <w:rPr>
                <w:rFonts w:eastAsia="MS Mincho" w:cstheme="minorHAnsi"/>
              </w:rPr>
              <w:t xml:space="preserve"> 21</w:t>
            </w:r>
            <w:r w:rsidR="00A0535B">
              <w:rPr>
                <w:rFonts w:eastAsia="MS Mincho" w:cstheme="minorHAnsi"/>
              </w:rPr>
              <w:t>.</w:t>
            </w:r>
          </w:p>
          <w:p w:rsidR="00A0535B" w:rsidRDefault="00A0535B" w:rsidP="00A71365">
            <w:pPr>
              <w:pStyle w:val="Tablewriting"/>
              <w:rPr>
                <w:rFonts w:eastAsia="MS Mincho" w:cstheme="minorHAnsi"/>
              </w:rPr>
            </w:pPr>
          </w:p>
          <w:p w:rsidR="008E56F8" w:rsidRPr="00017AE6" w:rsidRDefault="00B546E7" w:rsidP="00A71365">
            <w:pPr>
              <w:pStyle w:val="Tablewriting"/>
              <w:rPr>
                <w:rFonts w:eastAsia="MS Mincho" w:cstheme="minorHAnsi"/>
              </w:rPr>
            </w:pPr>
            <w:r w:rsidRPr="00B546E7">
              <w:rPr>
                <w:rFonts w:eastAsia="MS Mincho" w:cstheme="minorHAnsi"/>
              </w:rPr>
              <w:t>Therapists: counsellors, 1-month</w:t>
            </w:r>
            <w:r w:rsidR="00A0535B">
              <w:rPr>
                <w:rFonts w:eastAsia="MS Mincho" w:cstheme="minorHAnsi"/>
              </w:rPr>
              <w:t xml:space="preserve"> </w:t>
            </w:r>
            <w:r w:rsidRPr="00B546E7">
              <w:rPr>
                <w:rFonts w:eastAsia="MS Mincho" w:cstheme="minorHAnsi"/>
              </w:rPr>
              <w:t>training</w:t>
            </w:r>
            <w:r w:rsidR="00A0535B">
              <w:rPr>
                <w:rFonts w:eastAsia="MS Mincho" w:cstheme="minorHAnsi"/>
              </w:rPr>
              <w:t>.</w:t>
            </w:r>
          </w:p>
        </w:tc>
        <w:tc>
          <w:tcPr>
            <w:tcW w:w="1199" w:type="pct"/>
          </w:tcPr>
          <w:p w:rsidR="00A80535" w:rsidRDefault="00C30F1B" w:rsidP="00C324F3">
            <w:pPr>
              <w:pStyle w:val="Tablewriting"/>
              <w:numPr>
                <w:ilvl w:val="0"/>
                <w:numId w:val="160"/>
              </w:numPr>
              <w:rPr>
                <w:rFonts w:eastAsia="MS Mincho" w:cstheme="minorHAnsi"/>
              </w:rPr>
            </w:pPr>
            <w:r w:rsidRPr="00C30F1B">
              <w:rPr>
                <w:rFonts w:eastAsia="MS Mincho" w:cstheme="minorHAnsi"/>
              </w:rPr>
              <w:t>Bupropion (300 mg) and nicotine gum (2 mg, use as needed to manage craving) for 16 weeks</w:t>
            </w:r>
            <w:r w:rsidR="00A80535">
              <w:rPr>
                <w:rFonts w:eastAsia="MS Mincho" w:cstheme="minorHAnsi"/>
              </w:rPr>
              <w:t>.</w:t>
            </w:r>
          </w:p>
          <w:p w:rsidR="00A80535" w:rsidRDefault="00C30F1B" w:rsidP="00C324F3">
            <w:pPr>
              <w:pStyle w:val="Tablewriting"/>
              <w:numPr>
                <w:ilvl w:val="0"/>
                <w:numId w:val="160"/>
              </w:numPr>
              <w:rPr>
                <w:rFonts w:eastAsia="MS Mincho" w:cstheme="minorHAnsi"/>
              </w:rPr>
            </w:pPr>
            <w:r w:rsidRPr="00A80535">
              <w:rPr>
                <w:rFonts w:eastAsia="MS Mincho" w:cstheme="minorHAnsi"/>
              </w:rPr>
              <w:t>Bupropion and placebo gum</w:t>
            </w:r>
            <w:r w:rsidR="00A80535">
              <w:rPr>
                <w:rFonts w:eastAsia="MS Mincho" w:cstheme="minorHAnsi"/>
              </w:rPr>
              <w:t>.</w:t>
            </w:r>
          </w:p>
          <w:p w:rsidR="00A80535" w:rsidRDefault="00C30F1B" w:rsidP="00C324F3">
            <w:pPr>
              <w:pStyle w:val="Tablewriting"/>
              <w:numPr>
                <w:ilvl w:val="0"/>
                <w:numId w:val="160"/>
              </w:numPr>
              <w:rPr>
                <w:rFonts w:eastAsia="MS Mincho" w:cstheme="minorHAnsi"/>
              </w:rPr>
            </w:pPr>
            <w:r w:rsidRPr="00A80535">
              <w:rPr>
                <w:rFonts w:eastAsia="MS Mincho" w:cstheme="minorHAnsi"/>
              </w:rPr>
              <w:t>Nicotine gum and placebo pill (150 mg bupropion for first week)</w:t>
            </w:r>
            <w:r w:rsidR="00A80535">
              <w:rPr>
                <w:rFonts w:eastAsia="MS Mincho" w:cstheme="minorHAnsi"/>
              </w:rPr>
              <w:t>.</w:t>
            </w:r>
          </w:p>
          <w:p w:rsidR="008E56F8" w:rsidRPr="00A80535" w:rsidRDefault="00C30F1B" w:rsidP="00C324F3">
            <w:pPr>
              <w:pStyle w:val="Tablewriting"/>
              <w:numPr>
                <w:ilvl w:val="0"/>
                <w:numId w:val="160"/>
              </w:numPr>
              <w:rPr>
                <w:rFonts w:eastAsia="MS Mincho" w:cstheme="minorHAnsi"/>
              </w:rPr>
            </w:pPr>
            <w:r w:rsidRPr="00A80535">
              <w:rPr>
                <w:rFonts w:eastAsia="MS Mincho" w:cstheme="minorHAnsi"/>
              </w:rPr>
              <w:t>Double placebo (150 mg bupropion for first week)</w:t>
            </w:r>
            <w:r w:rsidR="00A80535">
              <w:rPr>
                <w:rFonts w:eastAsia="MS Mincho" w:cstheme="minorHAnsi"/>
              </w:rPr>
              <w:t>.</w:t>
            </w:r>
          </w:p>
          <w:p w:rsidR="00C30F1B" w:rsidRDefault="00C30F1B" w:rsidP="00A71365">
            <w:pPr>
              <w:pStyle w:val="Tablewriting"/>
              <w:rPr>
                <w:rFonts w:eastAsia="MS Mincho" w:cstheme="minorHAnsi"/>
              </w:rPr>
            </w:pPr>
          </w:p>
          <w:p w:rsidR="00C30F1B" w:rsidRPr="00C30F1B" w:rsidRDefault="00C30F1B" w:rsidP="00A71365">
            <w:pPr>
              <w:pStyle w:val="Tablewriting"/>
              <w:rPr>
                <w:rFonts w:eastAsia="MS Mincho" w:cstheme="minorHAnsi"/>
              </w:rPr>
            </w:pPr>
            <w:r w:rsidRPr="00C30F1B">
              <w:rPr>
                <w:rFonts w:eastAsia="MS Mincho" w:cstheme="minorHAnsi"/>
                <w:u w:val="single"/>
              </w:rPr>
              <w:t>Common components:</w:t>
            </w:r>
            <w:r>
              <w:rPr>
                <w:rFonts w:eastAsia="MS Mincho" w:cstheme="minorHAnsi"/>
              </w:rPr>
              <w:t xml:space="preserve"> </w:t>
            </w:r>
            <w:r w:rsidRPr="00C30F1B">
              <w:rPr>
                <w:rFonts w:eastAsia="MS Mincho" w:cstheme="minorHAnsi"/>
              </w:rPr>
              <w:t>All participants received 8 weeks open-label bupropion and nicotine patch (21 mg with weaning) for</w:t>
            </w:r>
            <w:r w:rsidR="00275181">
              <w:rPr>
                <w:rFonts w:eastAsia="MS Mincho" w:cstheme="minorHAnsi"/>
              </w:rPr>
              <w:t xml:space="preserve"> </w:t>
            </w:r>
            <w:r w:rsidRPr="00C30F1B">
              <w:rPr>
                <w:rFonts w:eastAsia="MS Mincho" w:cstheme="minorHAnsi"/>
              </w:rPr>
              <w:t>7 weeks from TQD. Transition procedures preserved blinding for the relapse prevention phase but allowed</w:t>
            </w:r>
            <w:r>
              <w:rPr>
                <w:rFonts w:eastAsia="MS Mincho" w:cstheme="minorHAnsi"/>
              </w:rPr>
              <w:t xml:space="preserve"> </w:t>
            </w:r>
            <w:r w:rsidRPr="00C30F1B">
              <w:rPr>
                <w:rFonts w:eastAsia="MS Mincho" w:cstheme="minorHAnsi"/>
              </w:rPr>
              <w:t>weaning from bupropion. Individual counselling, including CBT techniques, 15 minutes × 6 during</w:t>
            </w:r>
            <w:r>
              <w:rPr>
                <w:rFonts w:eastAsia="MS Mincho" w:cstheme="minorHAnsi"/>
              </w:rPr>
              <w:t xml:space="preserve"> </w:t>
            </w:r>
            <w:r w:rsidRPr="00C30F1B">
              <w:rPr>
                <w:rFonts w:eastAsia="MS Mincho" w:cstheme="minorHAnsi"/>
              </w:rPr>
              <w:t>open-label, × 4 during relapse prevention, × 2 during follow-up</w:t>
            </w:r>
            <w:r>
              <w:rPr>
                <w:rFonts w:eastAsia="MS Mincho" w:cstheme="minorHAnsi"/>
              </w:rPr>
              <w:t>.</w:t>
            </w:r>
          </w:p>
          <w:p w:rsidR="00C30F1B" w:rsidRPr="00485FA4" w:rsidRDefault="00C30F1B" w:rsidP="00A71365">
            <w:pPr>
              <w:pStyle w:val="Tablewriting"/>
              <w:rPr>
                <w:rFonts w:eastAsia="MS Mincho" w:cstheme="minorHAnsi"/>
              </w:rPr>
            </w:pPr>
          </w:p>
        </w:tc>
        <w:tc>
          <w:tcPr>
            <w:tcW w:w="1008" w:type="pct"/>
          </w:tcPr>
          <w:p w:rsidR="008E56F8" w:rsidRPr="005E68FB" w:rsidRDefault="005E68FB" w:rsidP="00A71365">
            <w:pPr>
              <w:pStyle w:val="Tablewriting"/>
              <w:rPr>
                <w:rFonts w:eastAsia="MS Mincho" w:cstheme="minorHAnsi"/>
                <w:u w:val="single"/>
              </w:rPr>
            </w:pPr>
            <w:r w:rsidRPr="005E68FB">
              <w:rPr>
                <w:rFonts w:eastAsia="MS Mincho" w:cstheme="minorHAnsi"/>
                <w:u w:val="single"/>
              </w:rPr>
              <w:t xml:space="preserve">Efficacy: </w:t>
            </w:r>
          </w:p>
          <w:p w:rsidR="00CE33A2" w:rsidRDefault="00CE33A2" w:rsidP="00A71365">
            <w:pPr>
              <w:pStyle w:val="Tablewriting"/>
              <w:rPr>
                <w:rFonts w:eastAsia="MS Mincho" w:cstheme="minorHAnsi"/>
              </w:rPr>
            </w:pPr>
            <w:r w:rsidRPr="00CE33A2">
              <w:rPr>
                <w:rFonts w:eastAsia="MS Mincho" w:cstheme="minorHAnsi"/>
              </w:rPr>
              <w:t>Abstinence (no relapse to 7 days of smoking) for 12 months (10 months after randomisation, 6 months</w:t>
            </w:r>
            <w:r>
              <w:rPr>
                <w:rFonts w:eastAsia="MS Mincho" w:cstheme="minorHAnsi"/>
              </w:rPr>
              <w:t xml:space="preserve"> </w:t>
            </w:r>
            <w:r w:rsidRPr="00CE33A2">
              <w:rPr>
                <w:rFonts w:eastAsia="MS Mincho" w:cstheme="minorHAnsi"/>
              </w:rPr>
              <w:t>after EOT) (primary outcome for study was time to relapse)</w:t>
            </w:r>
            <w:r w:rsidR="00665ED0">
              <w:rPr>
                <w:rFonts w:eastAsia="MS Mincho" w:cstheme="minorHAnsi"/>
              </w:rPr>
              <w:t>.</w:t>
            </w:r>
          </w:p>
          <w:p w:rsidR="00665ED0" w:rsidRPr="00CE33A2" w:rsidRDefault="00665ED0" w:rsidP="00A71365">
            <w:pPr>
              <w:pStyle w:val="Tablewriting"/>
              <w:rPr>
                <w:rFonts w:eastAsia="MS Mincho" w:cstheme="minorHAnsi"/>
              </w:rPr>
            </w:pPr>
          </w:p>
          <w:p w:rsidR="005E68FB" w:rsidRDefault="00CE33A2" w:rsidP="00A71365">
            <w:pPr>
              <w:pStyle w:val="Tablewriting"/>
              <w:rPr>
                <w:rFonts w:eastAsia="MS Mincho" w:cstheme="minorHAnsi"/>
              </w:rPr>
            </w:pPr>
            <w:r w:rsidRPr="00CE33A2">
              <w:rPr>
                <w:rFonts w:eastAsia="MS Mincho" w:cstheme="minorHAnsi"/>
              </w:rPr>
              <w:t xml:space="preserve">Validation: CO </w:t>
            </w:r>
            <w:r w:rsidR="006A6CB7" w:rsidRPr="006A6CB7">
              <w:rPr>
                <w:rFonts w:eastAsia="MS Mincho" w:cstheme="minorHAnsi"/>
              </w:rPr>
              <w:t>≤</w:t>
            </w:r>
            <w:r w:rsidRPr="00CE33A2">
              <w:rPr>
                <w:rFonts w:eastAsia="MS Mincho" w:cstheme="minorHAnsi"/>
              </w:rPr>
              <w:t xml:space="preserve"> 8 ppm at each visit</w:t>
            </w:r>
            <w:r w:rsidR="00665ED0">
              <w:rPr>
                <w:rFonts w:eastAsia="MS Mincho" w:cstheme="minorHAnsi"/>
              </w:rPr>
              <w:t>.</w:t>
            </w:r>
          </w:p>
          <w:p w:rsidR="00665ED0" w:rsidRDefault="00665ED0" w:rsidP="00A71365">
            <w:pPr>
              <w:pStyle w:val="Tablewriting"/>
              <w:rPr>
                <w:rFonts w:eastAsia="MS Mincho" w:cstheme="minorHAnsi"/>
              </w:rPr>
            </w:pPr>
          </w:p>
          <w:p w:rsidR="005E68FB" w:rsidRPr="005E68FB" w:rsidRDefault="005E68FB" w:rsidP="00A71365">
            <w:pPr>
              <w:pStyle w:val="Tablewriting"/>
              <w:rPr>
                <w:rFonts w:eastAsia="MS Mincho" w:cstheme="minorHAnsi"/>
                <w:u w:val="single"/>
              </w:rPr>
            </w:pPr>
            <w:r w:rsidRPr="005E68FB">
              <w:rPr>
                <w:rFonts w:eastAsia="MS Mincho" w:cstheme="minorHAnsi"/>
                <w:u w:val="single"/>
              </w:rPr>
              <w:t>Safety:</w:t>
            </w:r>
            <w:r w:rsidR="00665ED0">
              <w:rPr>
                <w:rFonts w:eastAsia="MS Mincho" w:cstheme="minorHAnsi"/>
                <w:u w:val="single"/>
              </w:rPr>
              <w:t xml:space="preserve"> NR</w:t>
            </w:r>
          </w:p>
          <w:p w:rsidR="005E68FB" w:rsidRPr="00017AE6" w:rsidRDefault="005E68FB" w:rsidP="00A71365">
            <w:pPr>
              <w:pStyle w:val="Tablewriting"/>
              <w:rPr>
                <w:rFonts w:eastAsia="MS Mincho" w:cstheme="minorHAnsi"/>
              </w:rPr>
            </w:pPr>
          </w:p>
        </w:tc>
      </w:tr>
      <w:tr w:rsidR="005E68FB" w:rsidRPr="00017AE6" w:rsidTr="005012C6">
        <w:trPr>
          <w:trHeight w:val="99"/>
        </w:trPr>
        <w:tc>
          <w:tcPr>
            <w:tcW w:w="495" w:type="pct"/>
          </w:tcPr>
          <w:p w:rsidR="005E68FB" w:rsidRPr="00017AE6" w:rsidRDefault="005E68FB" w:rsidP="00A71365">
            <w:pPr>
              <w:pStyle w:val="Tablewriting"/>
              <w:rPr>
                <w:rFonts w:eastAsia="MS Mincho" w:cstheme="minorHAnsi"/>
              </w:rPr>
            </w:pPr>
            <w:r w:rsidRPr="00F476C9">
              <w:rPr>
                <w:rFonts w:eastAsia="MS Mincho" w:cstheme="minorHAnsi"/>
              </w:rPr>
              <w:t xml:space="preserve">Croghan </w:t>
            </w:r>
            <w:r w:rsidR="002570AF">
              <w:rPr>
                <w:rFonts w:eastAsia="MS Mincho" w:cstheme="minorHAnsi"/>
              </w:rPr>
              <w:t>(</w:t>
            </w:r>
            <w:r w:rsidRPr="00F476C9">
              <w:rPr>
                <w:rFonts w:eastAsia="MS Mincho" w:cstheme="minorHAnsi"/>
              </w:rPr>
              <w:t>2007</w:t>
            </w:r>
            <w:r w:rsidR="002570AF">
              <w:rPr>
                <w:rFonts w:eastAsia="MS Mincho" w:cstheme="minorHAnsi"/>
              </w:rPr>
              <w:t>)</w:t>
            </w:r>
          </w:p>
        </w:tc>
        <w:tc>
          <w:tcPr>
            <w:tcW w:w="234" w:type="pct"/>
          </w:tcPr>
          <w:p w:rsidR="005E68FB" w:rsidRPr="00017AE6" w:rsidRDefault="00186BA0" w:rsidP="00A71365">
            <w:pPr>
              <w:pStyle w:val="Tablewriting"/>
              <w:rPr>
                <w:rFonts w:eastAsia="MS Mincho" w:cstheme="minorHAnsi"/>
              </w:rPr>
            </w:pPr>
            <w:r>
              <w:rPr>
                <w:rFonts w:eastAsia="MS Mincho" w:cstheme="minorHAnsi"/>
              </w:rPr>
              <w:t>RCT</w:t>
            </w:r>
          </w:p>
        </w:tc>
        <w:tc>
          <w:tcPr>
            <w:tcW w:w="433" w:type="pct"/>
          </w:tcPr>
          <w:p w:rsidR="005E68FB" w:rsidRPr="00017AE6" w:rsidRDefault="00186BA0" w:rsidP="00A71365">
            <w:pPr>
              <w:pStyle w:val="Tablewriting"/>
              <w:rPr>
                <w:rFonts w:eastAsia="MS Mincho" w:cstheme="minorHAnsi"/>
              </w:rPr>
            </w:pPr>
            <w:r>
              <w:rPr>
                <w:rFonts w:eastAsia="MS Mincho" w:cstheme="minorHAnsi"/>
              </w:rPr>
              <w:t>USA</w:t>
            </w:r>
          </w:p>
        </w:tc>
        <w:tc>
          <w:tcPr>
            <w:tcW w:w="358" w:type="pct"/>
          </w:tcPr>
          <w:p w:rsidR="005E68FB" w:rsidRPr="00017AE6" w:rsidRDefault="005E68FB" w:rsidP="00A71365">
            <w:pPr>
              <w:pStyle w:val="Tablewriting"/>
              <w:rPr>
                <w:rFonts w:eastAsia="MS Mincho" w:cstheme="minorHAnsi"/>
              </w:rPr>
            </w:pPr>
            <w:r w:rsidRPr="00911D2C">
              <w:rPr>
                <w:rFonts w:eastAsia="MS Mincho" w:cstheme="minorHAnsi"/>
              </w:rPr>
              <w:t>N=</w:t>
            </w:r>
            <w:r w:rsidR="00186BA0">
              <w:rPr>
                <w:rFonts w:eastAsia="MS Mincho" w:cstheme="minorHAnsi"/>
              </w:rPr>
              <w:t>405</w:t>
            </w:r>
          </w:p>
        </w:tc>
        <w:tc>
          <w:tcPr>
            <w:tcW w:w="1272" w:type="pct"/>
          </w:tcPr>
          <w:p w:rsidR="00186BA0" w:rsidRPr="00186BA0" w:rsidRDefault="00186BA0" w:rsidP="00A71365">
            <w:pPr>
              <w:pStyle w:val="Tablewriting"/>
              <w:rPr>
                <w:rFonts w:eastAsia="MS Mincho" w:cstheme="minorHAnsi"/>
              </w:rPr>
            </w:pPr>
            <w:r>
              <w:rPr>
                <w:rFonts w:eastAsia="MS Mincho" w:cstheme="minorHAnsi"/>
              </w:rPr>
              <w:t>A</w:t>
            </w:r>
            <w:r w:rsidRPr="00186BA0">
              <w:rPr>
                <w:rFonts w:eastAsia="MS Mincho" w:cstheme="minorHAnsi"/>
              </w:rPr>
              <w:t>bstainers after 3 months pharmacotherapy, 74 from inhaler, 141 bupropion, 190 combination</w:t>
            </w:r>
            <w:r w:rsidR="00AA55AC">
              <w:rPr>
                <w:rFonts w:eastAsia="MS Mincho" w:cstheme="minorHAnsi"/>
              </w:rPr>
              <w:t>.</w:t>
            </w:r>
          </w:p>
          <w:p w:rsidR="005E68FB" w:rsidRPr="00017AE6" w:rsidRDefault="00186BA0" w:rsidP="00A71365">
            <w:pPr>
              <w:pStyle w:val="Tablewriting"/>
              <w:rPr>
                <w:rFonts w:eastAsia="MS Mincho" w:cstheme="minorHAnsi"/>
              </w:rPr>
            </w:pPr>
            <w:r w:rsidRPr="00186BA0">
              <w:rPr>
                <w:rFonts w:eastAsia="MS Mincho" w:cstheme="minorHAnsi"/>
              </w:rPr>
              <w:t>Participant characteristics not presented at start of relapse prevention phase</w:t>
            </w:r>
          </w:p>
        </w:tc>
        <w:tc>
          <w:tcPr>
            <w:tcW w:w="1199" w:type="pct"/>
          </w:tcPr>
          <w:p w:rsidR="005F6EC5" w:rsidRDefault="00180FEC" w:rsidP="00A71365">
            <w:pPr>
              <w:pStyle w:val="Tablewriting"/>
              <w:rPr>
                <w:rFonts w:eastAsia="MS Mincho" w:cstheme="minorHAnsi"/>
              </w:rPr>
            </w:pPr>
            <w:r w:rsidRPr="00180FEC">
              <w:rPr>
                <w:rFonts w:eastAsia="MS Mincho" w:cstheme="minorHAnsi"/>
              </w:rPr>
              <w:t>In cessation phase,</w:t>
            </w:r>
            <w:r w:rsidR="00AA55AC">
              <w:rPr>
                <w:rFonts w:eastAsia="MS Mincho" w:cstheme="minorHAnsi"/>
              </w:rPr>
              <w:t xml:space="preserve"> </w:t>
            </w:r>
            <w:r w:rsidRPr="00180FEC">
              <w:rPr>
                <w:rFonts w:eastAsia="MS Mincho" w:cstheme="minorHAnsi"/>
              </w:rPr>
              <w:t>participants had been randomly assigned to</w:t>
            </w:r>
            <w:r w:rsidR="005F6EC5">
              <w:rPr>
                <w:rFonts w:eastAsia="MS Mincho" w:cstheme="minorHAnsi"/>
              </w:rPr>
              <w:t>:</w:t>
            </w:r>
          </w:p>
          <w:p w:rsidR="005F6EC5" w:rsidRDefault="00180FEC" w:rsidP="00C324F3">
            <w:pPr>
              <w:pStyle w:val="Tablewriting"/>
              <w:numPr>
                <w:ilvl w:val="0"/>
                <w:numId w:val="161"/>
              </w:numPr>
              <w:rPr>
                <w:rFonts w:eastAsia="MS Mincho" w:cstheme="minorHAnsi"/>
              </w:rPr>
            </w:pPr>
            <w:r w:rsidRPr="00180FEC">
              <w:rPr>
                <w:rFonts w:eastAsia="MS Mincho" w:cstheme="minorHAnsi"/>
              </w:rPr>
              <w:t>bupropion (300 mg)</w:t>
            </w:r>
          </w:p>
          <w:p w:rsidR="005F6EC5" w:rsidRDefault="00180FEC" w:rsidP="00C324F3">
            <w:pPr>
              <w:pStyle w:val="Tablewriting"/>
              <w:numPr>
                <w:ilvl w:val="0"/>
                <w:numId w:val="161"/>
              </w:numPr>
              <w:rPr>
                <w:rFonts w:eastAsia="MS Mincho" w:cstheme="minorHAnsi"/>
              </w:rPr>
            </w:pPr>
            <w:r w:rsidRPr="00180FEC">
              <w:rPr>
                <w:rFonts w:eastAsia="MS Mincho" w:cstheme="minorHAnsi"/>
              </w:rPr>
              <w:t>nicotine inhaler</w:t>
            </w:r>
            <w:r w:rsidR="005F6EC5">
              <w:rPr>
                <w:rFonts w:eastAsia="MS Mincho" w:cstheme="minorHAnsi"/>
              </w:rPr>
              <w:t xml:space="preserve"> </w:t>
            </w:r>
            <w:r w:rsidRPr="005F6EC5">
              <w:rPr>
                <w:rFonts w:eastAsia="MS Mincho" w:cstheme="minorHAnsi"/>
              </w:rPr>
              <w:t>(up to 16 cartridges/day)</w:t>
            </w:r>
          </w:p>
          <w:p w:rsidR="005F6EC5" w:rsidRDefault="00180FEC" w:rsidP="00C324F3">
            <w:pPr>
              <w:pStyle w:val="Tablewriting"/>
              <w:numPr>
                <w:ilvl w:val="0"/>
                <w:numId w:val="161"/>
              </w:numPr>
              <w:rPr>
                <w:rFonts w:eastAsia="MS Mincho" w:cstheme="minorHAnsi"/>
              </w:rPr>
            </w:pPr>
            <w:r w:rsidRPr="005F6EC5">
              <w:rPr>
                <w:rFonts w:eastAsia="MS Mincho" w:cstheme="minorHAnsi"/>
              </w:rPr>
              <w:t xml:space="preserve">combination. </w:t>
            </w:r>
          </w:p>
          <w:p w:rsidR="005F6EC5" w:rsidRDefault="005F6EC5" w:rsidP="00A71365">
            <w:pPr>
              <w:pStyle w:val="Tablewriting"/>
              <w:rPr>
                <w:rFonts w:eastAsia="MS Mincho" w:cstheme="minorHAnsi"/>
              </w:rPr>
            </w:pPr>
          </w:p>
          <w:p w:rsidR="00180FEC" w:rsidRPr="00180FEC" w:rsidRDefault="00180FEC" w:rsidP="00A71365">
            <w:pPr>
              <w:pStyle w:val="Tablewriting"/>
              <w:rPr>
                <w:rFonts w:eastAsia="MS Mincho" w:cstheme="minorHAnsi"/>
              </w:rPr>
            </w:pPr>
            <w:r w:rsidRPr="005F6EC5">
              <w:rPr>
                <w:rFonts w:eastAsia="MS Mincho" w:cstheme="minorHAnsi"/>
              </w:rPr>
              <w:t>Physician advice at entry, brief (&lt; 10 min) counselling at</w:t>
            </w:r>
            <w:r w:rsidR="005F6EC5">
              <w:rPr>
                <w:rFonts w:eastAsia="MS Mincho" w:cstheme="minorHAnsi"/>
              </w:rPr>
              <w:t xml:space="preserve"> </w:t>
            </w:r>
            <w:r w:rsidRPr="00180FEC">
              <w:rPr>
                <w:rFonts w:eastAsia="MS Mincho" w:cstheme="minorHAnsi"/>
              </w:rPr>
              <w:t xml:space="preserve">monthly study visits (total 12 to 18, including relapse prevention phase) and self-help. </w:t>
            </w:r>
            <w:r w:rsidRPr="00180FEC">
              <w:rPr>
                <w:rFonts w:eastAsia="MS Mincho" w:cstheme="minorHAnsi"/>
              </w:rPr>
              <w:lastRenderedPageBreak/>
              <w:t>Abstainers (7-day point prevalence after 3 months therapy) eligible for relapse prevention phase</w:t>
            </w:r>
            <w:r w:rsidR="005F6EC5">
              <w:rPr>
                <w:rFonts w:eastAsia="MS Mincho" w:cstheme="minorHAnsi"/>
              </w:rPr>
              <w:t xml:space="preserve"> </w:t>
            </w:r>
            <w:r w:rsidRPr="00180FEC">
              <w:rPr>
                <w:rFonts w:eastAsia="MS Mincho" w:cstheme="minorHAnsi"/>
              </w:rPr>
              <w:t>relapse prevention intervention randomly assigned single-therapy abstainers to</w:t>
            </w:r>
            <w:r w:rsidR="005F6EC5">
              <w:rPr>
                <w:rFonts w:eastAsia="MS Mincho" w:cstheme="minorHAnsi"/>
              </w:rPr>
              <w:t xml:space="preserve"> </w:t>
            </w:r>
            <w:r w:rsidRPr="00180FEC">
              <w:rPr>
                <w:rFonts w:eastAsia="MS Mincho" w:cstheme="minorHAnsi"/>
              </w:rPr>
              <w:t>continue cessation</w:t>
            </w:r>
            <w:r w:rsidR="005F6EC5">
              <w:rPr>
                <w:rFonts w:eastAsia="MS Mincho" w:cstheme="minorHAnsi"/>
              </w:rPr>
              <w:t xml:space="preserve"> </w:t>
            </w:r>
            <w:r w:rsidRPr="00180FEC">
              <w:rPr>
                <w:rFonts w:eastAsia="MS Mincho" w:cstheme="minorHAnsi"/>
              </w:rPr>
              <w:t>therapy or placebo for 9 months</w:t>
            </w:r>
            <w:r w:rsidR="005F6EC5">
              <w:rPr>
                <w:rFonts w:eastAsia="MS Mincho" w:cstheme="minorHAnsi"/>
              </w:rPr>
              <w:t>.</w:t>
            </w:r>
          </w:p>
          <w:p w:rsidR="005E68FB" w:rsidRPr="00B732AD" w:rsidRDefault="00180FEC" w:rsidP="00A71365">
            <w:pPr>
              <w:pStyle w:val="Tablewriting"/>
              <w:rPr>
                <w:rFonts w:eastAsia="MS Mincho" w:cstheme="minorHAnsi"/>
              </w:rPr>
            </w:pPr>
            <w:r w:rsidRPr="00180FEC">
              <w:rPr>
                <w:rFonts w:eastAsia="MS Mincho" w:cstheme="minorHAnsi"/>
              </w:rPr>
              <w:t>Combined therapy abstainers randomly assigned to 4 groups: combination, p</w:t>
            </w:r>
            <w:r w:rsidR="00836B64">
              <w:rPr>
                <w:rFonts w:eastAsia="MS Mincho" w:cstheme="minorHAnsi"/>
              </w:rPr>
              <w:t xml:space="preserve">lacebo and single therapy, </w:t>
            </w:r>
            <w:r w:rsidRPr="00180FEC">
              <w:rPr>
                <w:rFonts w:eastAsia="MS Mincho" w:cstheme="minorHAnsi"/>
              </w:rPr>
              <w:t>or double placebo</w:t>
            </w:r>
            <w:r w:rsidR="005F6EC5">
              <w:rPr>
                <w:rFonts w:eastAsia="MS Mincho" w:cstheme="minorHAnsi"/>
              </w:rPr>
              <w:t>.</w:t>
            </w:r>
          </w:p>
        </w:tc>
        <w:tc>
          <w:tcPr>
            <w:tcW w:w="1008" w:type="pct"/>
          </w:tcPr>
          <w:p w:rsidR="005E68FB" w:rsidRPr="005E68FB" w:rsidRDefault="005E68FB" w:rsidP="00A71365">
            <w:pPr>
              <w:pStyle w:val="Tablewriting"/>
              <w:rPr>
                <w:rFonts w:eastAsia="MS Mincho" w:cstheme="minorHAnsi"/>
                <w:u w:val="single"/>
              </w:rPr>
            </w:pPr>
            <w:r w:rsidRPr="005E68FB">
              <w:rPr>
                <w:rFonts w:eastAsia="MS Mincho" w:cstheme="minorHAnsi"/>
                <w:u w:val="single"/>
              </w:rPr>
              <w:lastRenderedPageBreak/>
              <w:t xml:space="preserve">Efficacy: </w:t>
            </w:r>
          </w:p>
          <w:p w:rsidR="005F6EC5" w:rsidRDefault="005F6EC5" w:rsidP="00A71365">
            <w:pPr>
              <w:pStyle w:val="Tablewriting"/>
              <w:rPr>
                <w:rFonts w:eastAsia="MS Mincho" w:cstheme="minorHAnsi"/>
              </w:rPr>
            </w:pPr>
            <w:r w:rsidRPr="005F6EC5">
              <w:rPr>
                <w:rFonts w:eastAsia="MS Mincho" w:cstheme="minorHAnsi"/>
              </w:rPr>
              <w:t>Abstinence at 15 months (from TQD, 12 months from relapse prevention start, 3 months from EOT) (PP)</w:t>
            </w:r>
            <w:r>
              <w:rPr>
                <w:rFonts w:eastAsia="MS Mincho" w:cstheme="minorHAnsi"/>
              </w:rPr>
              <w:t>.</w:t>
            </w:r>
          </w:p>
          <w:p w:rsidR="005F6EC5" w:rsidRPr="005F6EC5" w:rsidRDefault="005F6EC5" w:rsidP="00A71365">
            <w:pPr>
              <w:pStyle w:val="Tablewriting"/>
              <w:rPr>
                <w:rFonts w:eastAsia="MS Mincho" w:cstheme="minorHAnsi"/>
              </w:rPr>
            </w:pPr>
          </w:p>
          <w:p w:rsidR="005E68FB" w:rsidRDefault="005F6EC5" w:rsidP="00A71365">
            <w:pPr>
              <w:pStyle w:val="Tablewriting"/>
              <w:rPr>
                <w:rFonts w:eastAsia="MS Mincho" w:cstheme="minorHAnsi"/>
              </w:rPr>
            </w:pPr>
            <w:r w:rsidRPr="005F6EC5">
              <w:rPr>
                <w:rFonts w:eastAsia="MS Mincho" w:cstheme="minorHAnsi"/>
              </w:rPr>
              <w:t xml:space="preserve">Validation: CO </w:t>
            </w:r>
            <w:r w:rsidR="00296BDC" w:rsidRPr="00296BDC">
              <w:rPr>
                <w:rFonts w:eastAsia="MS Mincho" w:cstheme="minorHAnsi"/>
              </w:rPr>
              <w:t>≤</w:t>
            </w:r>
            <w:r w:rsidRPr="005F6EC5">
              <w:rPr>
                <w:rFonts w:eastAsia="MS Mincho" w:cstheme="minorHAnsi"/>
              </w:rPr>
              <w:t xml:space="preserve"> 8 ppm</w:t>
            </w:r>
            <w:r w:rsidR="00296BDC">
              <w:rPr>
                <w:rFonts w:eastAsia="MS Mincho" w:cstheme="minorHAnsi"/>
              </w:rPr>
              <w:t>.</w:t>
            </w:r>
          </w:p>
          <w:p w:rsidR="00296BDC" w:rsidRDefault="00296BDC" w:rsidP="00A71365">
            <w:pPr>
              <w:pStyle w:val="Tablewriting"/>
              <w:rPr>
                <w:rFonts w:eastAsia="MS Mincho" w:cstheme="minorHAnsi"/>
              </w:rPr>
            </w:pPr>
          </w:p>
          <w:p w:rsidR="005E68FB" w:rsidRPr="000C449B" w:rsidRDefault="005E68FB" w:rsidP="00A71365">
            <w:pPr>
              <w:pStyle w:val="Tablewriting"/>
              <w:rPr>
                <w:rFonts w:eastAsia="MS Mincho" w:cstheme="minorHAnsi"/>
              </w:rPr>
            </w:pPr>
            <w:r w:rsidRPr="005E68FB">
              <w:rPr>
                <w:rFonts w:eastAsia="MS Mincho" w:cstheme="minorHAnsi"/>
                <w:u w:val="single"/>
              </w:rPr>
              <w:t>Safety:</w:t>
            </w:r>
            <w:r w:rsidR="000C449B">
              <w:rPr>
                <w:rFonts w:eastAsia="MS Mincho" w:cstheme="minorHAnsi"/>
                <w:u w:val="single"/>
              </w:rPr>
              <w:t xml:space="preserve"> </w:t>
            </w:r>
            <w:r w:rsidR="000C449B" w:rsidRPr="000C449B">
              <w:rPr>
                <w:rFonts w:eastAsia="MS Mincho" w:cstheme="minorHAnsi"/>
              </w:rPr>
              <w:t>NR</w:t>
            </w:r>
          </w:p>
          <w:p w:rsidR="005E68FB" w:rsidRPr="00017AE6" w:rsidRDefault="005E68FB" w:rsidP="00A71365">
            <w:pPr>
              <w:pStyle w:val="Tablewriting"/>
              <w:rPr>
                <w:rFonts w:eastAsia="MS Mincho" w:cstheme="minorHAnsi"/>
              </w:rPr>
            </w:pPr>
          </w:p>
        </w:tc>
      </w:tr>
      <w:tr w:rsidR="005E68FB" w:rsidRPr="00017AE6" w:rsidTr="005012C6">
        <w:trPr>
          <w:trHeight w:val="99"/>
        </w:trPr>
        <w:tc>
          <w:tcPr>
            <w:tcW w:w="495" w:type="pct"/>
          </w:tcPr>
          <w:p w:rsidR="005E68FB" w:rsidRPr="00017AE6" w:rsidRDefault="005E68FB" w:rsidP="00A71365">
            <w:pPr>
              <w:pStyle w:val="Tablewriting"/>
              <w:rPr>
                <w:rFonts w:eastAsia="MS Mincho" w:cstheme="minorHAnsi"/>
              </w:rPr>
            </w:pPr>
            <w:r w:rsidRPr="003B351F">
              <w:rPr>
                <w:rFonts w:eastAsia="MS Mincho" w:cstheme="minorHAnsi"/>
              </w:rPr>
              <w:t xml:space="preserve">Hays </w:t>
            </w:r>
            <w:r w:rsidR="002570AF">
              <w:rPr>
                <w:rFonts w:eastAsia="MS Mincho" w:cstheme="minorHAnsi"/>
              </w:rPr>
              <w:t>(</w:t>
            </w:r>
            <w:r w:rsidRPr="003B351F">
              <w:rPr>
                <w:rFonts w:eastAsia="MS Mincho" w:cstheme="minorHAnsi"/>
              </w:rPr>
              <w:t>2001</w:t>
            </w:r>
            <w:r w:rsidR="002570AF">
              <w:rPr>
                <w:rFonts w:eastAsia="MS Mincho" w:cstheme="minorHAnsi"/>
              </w:rPr>
              <w:t>)</w:t>
            </w:r>
          </w:p>
        </w:tc>
        <w:tc>
          <w:tcPr>
            <w:tcW w:w="234" w:type="pct"/>
          </w:tcPr>
          <w:p w:rsidR="005E68FB" w:rsidRPr="00017AE6" w:rsidRDefault="009651E1" w:rsidP="00A71365">
            <w:pPr>
              <w:pStyle w:val="Tablewriting"/>
              <w:rPr>
                <w:rFonts w:eastAsia="MS Mincho" w:cstheme="minorHAnsi"/>
              </w:rPr>
            </w:pPr>
            <w:r>
              <w:rPr>
                <w:rFonts w:eastAsia="MS Mincho" w:cstheme="minorHAnsi"/>
              </w:rPr>
              <w:t>RCT</w:t>
            </w:r>
          </w:p>
        </w:tc>
        <w:tc>
          <w:tcPr>
            <w:tcW w:w="433" w:type="pct"/>
          </w:tcPr>
          <w:p w:rsidR="005E68FB" w:rsidRPr="00017AE6" w:rsidRDefault="00493C33" w:rsidP="00A71365">
            <w:pPr>
              <w:pStyle w:val="Tablewriting"/>
              <w:rPr>
                <w:rFonts w:eastAsia="MS Mincho" w:cstheme="minorHAnsi"/>
              </w:rPr>
            </w:pPr>
            <w:r>
              <w:rPr>
                <w:rFonts w:eastAsia="MS Mincho" w:cstheme="minorHAnsi"/>
              </w:rPr>
              <w:t>USA</w:t>
            </w:r>
          </w:p>
        </w:tc>
        <w:tc>
          <w:tcPr>
            <w:tcW w:w="358" w:type="pct"/>
          </w:tcPr>
          <w:p w:rsidR="005E68FB" w:rsidRPr="00017AE6" w:rsidRDefault="005E68FB" w:rsidP="00A71365">
            <w:pPr>
              <w:pStyle w:val="Tablewriting"/>
              <w:rPr>
                <w:rFonts w:eastAsia="MS Mincho" w:cstheme="minorHAnsi"/>
              </w:rPr>
            </w:pPr>
            <w:r w:rsidRPr="00911D2C">
              <w:rPr>
                <w:rFonts w:eastAsia="MS Mincho" w:cstheme="minorHAnsi"/>
              </w:rPr>
              <w:t>N=</w:t>
            </w:r>
            <w:r w:rsidR="00493C33">
              <w:rPr>
                <w:rFonts w:eastAsia="MS Mincho" w:cstheme="minorHAnsi"/>
              </w:rPr>
              <w:t>429</w:t>
            </w:r>
          </w:p>
        </w:tc>
        <w:tc>
          <w:tcPr>
            <w:tcW w:w="1272" w:type="pct"/>
          </w:tcPr>
          <w:p w:rsidR="005E68FB" w:rsidRPr="00017AE6" w:rsidRDefault="00493C33" w:rsidP="00A71365">
            <w:pPr>
              <w:pStyle w:val="Tablewriting"/>
              <w:rPr>
                <w:rFonts w:eastAsia="MS Mincho" w:cstheme="minorHAnsi"/>
              </w:rPr>
            </w:pPr>
            <w:r>
              <w:rPr>
                <w:rFonts w:eastAsia="MS Mincho" w:cstheme="minorHAnsi"/>
              </w:rPr>
              <w:t>A</w:t>
            </w:r>
            <w:r w:rsidRPr="00493C33">
              <w:rPr>
                <w:rFonts w:eastAsia="MS Mincho" w:cstheme="minorHAnsi"/>
              </w:rPr>
              <w:t xml:space="preserve">bstainers (previously </w:t>
            </w:r>
            <w:r w:rsidR="00625930" w:rsidRPr="00625930">
              <w:rPr>
                <w:rFonts w:eastAsia="MS Mincho" w:cstheme="minorHAnsi"/>
              </w:rPr>
              <w:t>≥</w:t>
            </w:r>
            <w:r w:rsidRPr="00493C33">
              <w:rPr>
                <w:rFonts w:eastAsia="MS Mincho" w:cstheme="minorHAnsi"/>
              </w:rPr>
              <w:t xml:space="preserve"> 15 </w:t>
            </w:r>
            <w:r w:rsidR="00176D0B">
              <w:rPr>
                <w:rFonts w:eastAsia="MS Mincho" w:cstheme="minorHAnsi"/>
              </w:rPr>
              <w:t>CPD</w:t>
            </w:r>
            <w:r w:rsidRPr="00493C33">
              <w:rPr>
                <w:rFonts w:eastAsia="MS Mincho" w:cstheme="minorHAnsi"/>
              </w:rPr>
              <w:t>) quit after 7 weeks open-label bupropion; 51% female, average</w:t>
            </w:r>
            <w:r w:rsidR="00625930">
              <w:rPr>
                <w:rFonts w:eastAsia="MS Mincho" w:cstheme="minorHAnsi"/>
              </w:rPr>
              <w:t xml:space="preserve"> </w:t>
            </w:r>
            <w:r w:rsidRPr="00493C33">
              <w:rPr>
                <w:rFonts w:eastAsia="MS Mincho" w:cstheme="minorHAnsi"/>
              </w:rPr>
              <w:t xml:space="preserve">age 46, average </w:t>
            </w:r>
            <w:r w:rsidR="00176D0B">
              <w:rPr>
                <w:rFonts w:eastAsia="MS Mincho" w:cstheme="minorHAnsi"/>
              </w:rPr>
              <w:t>CPD</w:t>
            </w:r>
            <w:r w:rsidRPr="00493C33">
              <w:rPr>
                <w:rFonts w:eastAsia="MS Mincho" w:cstheme="minorHAnsi"/>
              </w:rPr>
              <w:t xml:space="preserve"> 26</w:t>
            </w:r>
            <w:r w:rsidR="00625930">
              <w:rPr>
                <w:rFonts w:eastAsia="MS Mincho" w:cstheme="minorHAnsi"/>
              </w:rPr>
              <w:t>.</w:t>
            </w:r>
          </w:p>
        </w:tc>
        <w:tc>
          <w:tcPr>
            <w:tcW w:w="1199" w:type="pct"/>
          </w:tcPr>
          <w:p w:rsidR="00625930" w:rsidRDefault="00625930" w:rsidP="00C324F3">
            <w:pPr>
              <w:pStyle w:val="Tablewriting"/>
              <w:numPr>
                <w:ilvl w:val="0"/>
                <w:numId w:val="162"/>
              </w:numPr>
              <w:rPr>
                <w:rFonts w:eastAsia="MS Mincho" w:cstheme="minorHAnsi"/>
              </w:rPr>
            </w:pPr>
            <w:r w:rsidRPr="00625930">
              <w:rPr>
                <w:rFonts w:eastAsia="MS Mincho" w:cstheme="minorHAnsi"/>
              </w:rPr>
              <w:t>Bupropion 300 mg/day, 45 weeks</w:t>
            </w:r>
            <w:r>
              <w:rPr>
                <w:rFonts w:eastAsia="MS Mincho" w:cstheme="minorHAnsi"/>
              </w:rPr>
              <w:t>.</w:t>
            </w:r>
          </w:p>
          <w:p w:rsidR="005E68FB" w:rsidRPr="00625930" w:rsidRDefault="00625930" w:rsidP="00C324F3">
            <w:pPr>
              <w:pStyle w:val="Tablewriting"/>
              <w:numPr>
                <w:ilvl w:val="0"/>
                <w:numId w:val="162"/>
              </w:numPr>
              <w:rPr>
                <w:rFonts w:eastAsia="MS Mincho" w:cstheme="minorHAnsi"/>
              </w:rPr>
            </w:pPr>
            <w:r w:rsidRPr="00625930">
              <w:rPr>
                <w:rFonts w:eastAsia="MS Mincho" w:cstheme="minorHAnsi"/>
              </w:rPr>
              <w:t>Placebo</w:t>
            </w:r>
            <w:r>
              <w:rPr>
                <w:rFonts w:eastAsia="MS Mincho" w:cstheme="minorHAnsi"/>
              </w:rPr>
              <w:t>.</w:t>
            </w:r>
          </w:p>
          <w:p w:rsidR="00625930" w:rsidRDefault="00625930" w:rsidP="00A71365">
            <w:pPr>
              <w:pStyle w:val="Tablewriting"/>
              <w:rPr>
                <w:rFonts w:eastAsia="MS Mincho" w:cstheme="minorHAnsi"/>
              </w:rPr>
            </w:pPr>
          </w:p>
          <w:p w:rsidR="00625930" w:rsidRPr="00625930" w:rsidRDefault="00625930" w:rsidP="00A71365">
            <w:pPr>
              <w:pStyle w:val="Tablewriting"/>
              <w:rPr>
                <w:rFonts w:eastAsia="MS Mincho" w:cstheme="minorHAnsi"/>
              </w:rPr>
            </w:pPr>
            <w:r w:rsidRPr="00625930">
              <w:rPr>
                <w:rFonts w:eastAsia="MS Mincho" w:cstheme="minorHAnsi"/>
                <w:u w:val="single"/>
              </w:rPr>
              <w:t>Common components:</w:t>
            </w:r>
            <w:r>
              <w:rPr>
                <w:rFonts w:eastAsia="MS Mincho" w:cstheme="minorHAnsi"/>
              </w:rPr>
              <w:t xml:space="preserve"> </w:t>
            </w:r>
            <w:r w:rsidRPr="00625930">
              <w:rPr>
                <w:rFonts w:eastAsia="MS Mincho" w:cstheme="minorHAnsi"/>
              </w:rPr>
              <w:t>All participants first received 7 weeks bupropion, physician advice, self-help materials, and brief individual</w:t>
            </w:r>
            <w:r>
              <w:rPr>
                <w:rFonts w:eastAsia="MS Mincho" w:cstheme="minorHAnsi"/>
              </w:rPr>
              <w:t xml:space="preserve"> </w:t>
            </w:r>
            <w:r w:rsidRPr="00625930">
              <w:rPr>
                <w:rFonts w:eastAsia="MS Mincho" w:cstheme="minorHAnsi"/>
              </w:rPr>
              <w:t>counselling at follow-up visits to assist cessation</w:t>
            </w:r>
            <w:r>
              <w:rPr>
                <w:rFonts w:eastAsia="MS Mincho" w:cstheme="minorHAnsi"/>
              </w:rPr>
              <w:t>.</w:t>
            </w:r>
          </w:p>
          <w:p w:rsidR="00625930" w:rsidRPr="0018621A" w:rsidRDefault="00625930" w:rsidP="00A71365">
            <w:pPr>
              <w:pStyle w:val="Tablewriting"/>
              <w:rPr>
                <w:rFonts w:eastAsia="MS Mincho" w:cstheme="minorHAnsi"/>
              </w:rPr>
            </w:pPr>
          </w:p>
        </w:tc>
        <w:tc>
          <w:tcPr>
            <w:tcW w:w="1008" w:type="pct"/>
          </w:tcPr>
          <w:p w:rsidR="005E68FB" w:rsidRPr="005E68FB" w:rsidRDefault="005E68FB" w:rsidP="00A71365">
            <w:pPr>
              <w:pStyle w:val="Tablewriting"/>
              <w:rPr>
                <w:rFonts w:eastAsia="MS Mincho" w:cstheme="minorHAnsi"/>
                <w:u w:val="single"/>
              </w:rPr>
            </w:pPr>
            <w:r w:rsidRPr="005E68FB">
              <w:rPr>
                <w:rFonts w:eastAsia="MS Mincho" w:cstheme="minorHAnsi"/>
                <w:u w:val="single"/>
              </w:rPr>
              <w:t xml:space="preserve">Efficacy: </w:t>
            </w:r>
          </w:p>
          <w:p w:rsidR="00625930" w:rsidRDefault="00625930" w:rsidP="00A71365">
            <w:pPr>
              <w:pStyle w:val="Tablewriting"/>
              <w:rPr>
                <w:rFonts w:eastAsia="MS Mincho" w:cstheme="minorHAnsi"/>
              </w:rPr>
            </w:pPr>
            <w:r w:rsidRPr="00625930">
              <w:rPr>
                <w:rFonts w:eastAsia="MS Mincho" w:cstheme="minorHAnsi"/>
              </w:rPr>
              <w:t>Continuous abstinence at 2 years (1 year after EOT)</w:t>
            </w:r>
            <w:r w:rsidR="003D0288">
              <w:rPr>
                <w:rFonts w:eastAsia="MS Mincho" w:cstheme="minorHAnsi"/>
              </w:rPr>
              <w:t>.</w:t>
            </w:r>
          </w:p>
          <w:p w:rsidR="003D0288" w:rsidRPr="00625930" w:rsidRDefault="003D0288" w:rsidP="00A71365">
            <w:pPr>
              <w:pStyle w:val="Tablewriting"/>
              <w:rPr>
                <w:rFonts w:eastAsia="MS Mincho" w:cstheme="minorHAnsi"/>
              </w:rPr>
            </w:pPr>
          </w:p>
          <w:p w:rsidR="005E68FB" w:rsidRDefault="00625930" w:rsidP="00A71365">
            <w:pPr>
              <w:pStyle w:val="Tablewriting"/>
              <w:rPr>
                <w:rFonts w:eastAsia="MS Mincho" w:cstheme="minorHAnsi"/>
              </w:rPr>
            </w:pPr>
            <w:r w:rsidRPr="00625930">
              <w:rPr>
                <w:rFonts w:eastAsia="MS Mincho" w:cstheme="minorHAnsi"/>
              </w:rPr>
              <w:t xml:space="preserve">Validation: CO </w:t>
            </w:r>
            <w:r w:rsidR="003D0288" w:rsidRPr="003D0288">
              <w:rPr>
                <w:rFonts w:eastAsia="MS Mincho" w:cstheme="minorHAnsi"/>
              </w:rPr>
              <w:t>≤</w:t>
            </w:r>
            <w:r w:rsidRPr="00625930">
              <w:rPr>
                <w:rFonts w:eastAsia="MS Mincho" w:cstheme="minorHAnsi"/>
              </w:rPr>
              <w:t xml:space="preserve"> 10 ppm</w:t>
            </w:r>
            <w:r w:rsidR="003D0288">
              <w:rPr>
                <w:rFonts w:eastAsia="MS Mincho" w:cstheme="minorHAnsi"/>
              </w:rPr>
              <w:t>.</w:t>
            </w:r>
          </w:p>
          <w:p w:rsidR="003D0288" w:rsidRDefault="003D0288" w:rsidP="00A71365">
            <w:pPr>
              <w:pStyle w:val="Tablewriting"/>
              <w:rPr>
                <w:rFonts w:eastAsia="MS Mincho" w:cstheme="minorHAnsi"/>
              </w:rPr>
            </w:pPr>
          </w:p>
          <w:p w:rsidR="005E68FB" w:rsidRPr="003D0288" w:rsidRDefault="005E68FB" w:rsidP="00A71365">
            <w:pPr>
              <w:pStyle w:val="Tablewriting"/>
              <w:rPr>
                <w:rFonts w:eastAsia="MS Mincho" w:cstheme="minorHAnsi"/>
              </w:rPr>
            </w:pPr>
            <w:r w:rsidRPr="005E68FB">
              <w:rPr>
                <w:rFonts w:eastAsia="MS Mincho" w:cstheme="minorHAnsi"/>
                <w:u w:val="single"/>
              </w:rPr>
              <w:t>Safety:</w:t>
            </w:r>
            <w:r w:rsidR="003D0288">
              <w:rPr>
                <w:rFonts w:eastAsia="MS Mincho" w:cstheme="minorHAnsi"/>
                <w:u w:val="single"/>
              </w:rPr>
              <w:t xml:space="preserve"> </w:t>
            </w:r>
            <w:r w:rsidR="003D0288" w:rsidRPr="003D0288">
              <w:rPr>
                <w:rFonts w:eastAsia="MS Mincho" w:cstheme="minorHAnsi"/>
              </w:rPr>
              <w:t>NR</w:t>
            </w:r>
          </w:p>
          <w:p w:rsidR="005E68FB" w:rsidRPr="00017AE6" w:rsidRDefault="005E68FB" w:rsidP="00A71365">
            <w:pPr>
              <w:pStyle w:val="Tablewriting"/>
              <w:rPr>
                <w:rFonts w:eastAsia="MS Mincho" w:cstheme="minorHAnsi"/>
              </w:rPr>
            </w:pPr>
          </w:p>
        </w:tc>
      </w:tr>
      <w:tr w:rsidR="005E68FB" w:rsidRPr="00017AE6" w:rsidTr="005012C6">
        <w:trPr>
          <w:trHeight w:val="99"/>
        </w:trPr>
        <w:tc>
          <w:tcPr>
            <w:tcW w:w="495" w:type="pct"/>
          </w:tcPr>
          <w:p w:rsidR="005E68FB" w:rsidRPr="00017AE6" w:rsidRDefault="005E68FB" w:rsidP="00A71365">
            <w:pPr>
              <w:pStyle w:val="Tablewriting"/>
              <w:rPr>
                <w:rFonts w:eastAsia="MS Mincho" w:cstheme="minorHAnsi"/>
              </w:rPr>
            </w:pPr>
            <w:r w:rsidRPr="004A69A5">
              <w:rPr>
                <w:rFonts w:eastAsia="MS Mincho" w:cstheme="minorHAnsi"/>
              </w:rPr>
              <w:t xml:space="preserve">Hays </w:t>
            </w:r>
            <w:r w:rsidR="002570AF">
              <w:rPr>
                <w:rFonts w:eastAsia="MS Mincho" w:cstheme="minorHAnsi"/>
              </w:rPr>
              <w:t>(</w:t>
            </w:r>
            <w:r w:rsidRPr="004A69A5">
              <w:rPr>
                <w:rFonts w:eastAsia="MS Mincho" w:cstheme="minorHAnsi"/>
              </w:rPr>
              <w:t>2009</w:t>
            </w:r>
            <w:r w:rsidR="002570AF">
              <w:rPr>
                <w:rFonts w:eastAsia="MS Mincho" w:cstheme="minorHAnsi"/>
              </w:rPr>
              <w:t>)</w:t>
            </w:r>
          </w:p>
        </w:tc>
        <w:tc>
          <w:tcPr>
            <w:tcW w:w="234" w:type="pct"/>
          </w:tcPr>
          <w:p w:rsidR="005E68FB" w:rsidRPr="00017AE6" w:rsidRDefault="008005BB" w:rsidP="00A71365">
            <w:pPr>
              <w:pStyle w:val="Tablewriting"/>
              <w:rPr>
                <w:rFonts w:eastAsia="MS Mincho" w:cstheme="minorHAnsi"/>
              </w:rPr>
            </w:pPr>
            <w:r>
              <w:rPr>
                <w:rFonts w:eastAsia="MS Mincho" w:cstheme="minorHAnsi"/>
              </w:rPr>
              <w:t>RCT</w:t>
            </w:r>
          </w:p>
        </w:tc>
        <w:tc>
          <w:tcPr>
            <w:tcW w:w="433" w:type="pct"/>
          </w:tcPr>
          <w:p w:rsidR="005E68FB" w:rsidRPr="00017AE6" w:rsidRDefault="008005BB" w:rsidP="00A71365">
            <w:pPr>
              <w:pStyle w:val="Tablewriting"/>
              <w:rPr>
                <w:rFonts w:eastAsia="MS Mincho" w:cstheme="minorHAnsi"/>
              </w:rPr>
            </w:pPr>
            <w:r>
              <w:rPr>
                <w:rFonts w:eastAsia="MS Mincho" w:cstheme="minorHAnsi"/>
              </w:rPr>
              <w:t>USA</w:t>
            </w:r>
          </w:p>
        </w:tc>
        <w:tc>
          <w:tcPr>
            <w:tcW w:w="358" w:type="pct"/>
          </w:tcPr>
          <w:p w:rsidR="005E68FB" w:rsidRPr="00017AE6" w:rsidRDefault="005E68FB" w:rsidP="00A71365">
            <w:pPr>
              <w:pStyle w:val="Tablewriting"/>
              <w:rPr>
                <w:rFonts w:eastAsia="MS Mincho" w:cstheme="minorHAnsi"/>
              </w:rPr>
            </w:pPr>
            <w:r w:rsidRPr="00911D2C">
              <w:rPr>
                <w:rFonts w:eastAsia="MS Mincho" w:cstheme="minorHAnsi"/>
              </w:rPr>
              <w:t>N=</w:t>
            </w:r>
            <w:r w:rsidR="008005BB">
              <w:rPr>
                <w:rFonts w:eastAsia="MS Mincho" w:cstheme="minorHAnsi"/>
              </w:rPr>
              <w:t>110</w:t>
            </w:r>
          </w:p>
        </w:tc>
        <w:tc>
          <w:tcPr>
            <w:tcW w:w="1272" w:type="pct"/>
          </w:tcPr>
          <w:p w:rsidR="006C0FE7" w:rsidRDefault="006C0FE7" w:rsidP="00A71365">
            <w:pPr>
              <w:pStyle w:val="Tablewriting"/>
              <w:rPr>
                <w:rFonts w:eastAsia="MS Mincho" w:cstheme="minorHAnsi"/>
              </w:rPr>
            </w:pPr>
            <w:r>
              <w:rPr>
                <w:rFonts w:eastAsia="MS Mincho" w:cstheme="minorHAnsi"/>
              </w:rPr>
              <w:t>R</w:t>
            </w:r>
            <w:r w:rsidRPr="006C0FE7">
              <w:rPr>
                <w:rFonts w:eastAsia="MS Mincho" w:cstheme="minorHAnsi"/>
              </w:rPr>
              <w:t>ecovering alcoholic abstainers</w:t>
            </w:r>
            <w:r>
              <w:rPr>
                <w:rFonts w:eastAsia="MS Mincho" w:cstheme="minorHAnsi"/>
              </w:rPr>
              <w:t xml:space="preserve"> </w:t>
            </w:r>
            <w:r w:rsidRPr="006C0FE7">
              <w:rPr>
                <w:rFonts w:eastAsia="MS Mincho" w:cstheme="minorHAnsi"/>
              </w:rPr>
              <w:t>with at least 1</w:t>
            </w:r>
            <w:r w:rsidR="000C449B" w:rsidRPr="006C0FE7">
              <w:rPr>
                <w:rFonts w:eastAsia="MS Mincho" w:cstheme="minorHAnsi"/>
              </w:rPr>
              <w:t>-</w:t>
            </w:r>
            <w:r w:rsidRPr="006C0FE7">
              <w:rPr>
                <w:rFonts w:eastAsia="MS Mincho" w:cstheme="minorHAnsi"/>
              </w:rPr>
              <w:t>year continuous abstinence from alcohol and drugs,</w:t>
            </w:r>
            <w:r>
              <w:rPr>
                <w:rFonts w:eastAsia="MS Mincho" w:cstheme="minorHAnsi"/>
              </w:rPr>
              <w:t xml:space="preserve"> </w:t>
            </w:r>
            <w:r w:rsidRPr="006C0FE7">
              <w:rPr>
                <w:rFonts w:eastAsia="MS Mincho" w:cstheme="minorHAnsi"/>
              </w:rPr>
              <w:t xml:space="preserve">18+ years old, smoking at least 20 </w:t>
            </w:r>
            <w:r>
              <w:rPr>
                <w:rFonts w:eastAsia="MS Mincho" w:cstheme="minorHAnsi"/>
              </w:rPr>
              <w:t>CPD</w:t>
            </w:r>
            <w:r w:rsidRPr="006C0FE7">
              <w:rPr>
                <w:rFonts w:eastAsia="MS Mincho" w:cstheme="minorHAnsi"/>
              </w:rPr>
              <w:t xml:space="preserve"> for previous year. </w:t>
            </w:r>
          </w:p>
          <w:p w:rsidR="006C0FE7" w:rsidRDefault="006C0FE7" w:rsidP="00A71365">
            <w:pPr>
              <w:pStyle w:val="Tablewriting"/>
              <w:rPr>
                <w:rFonts w:eastAsia="MS Mincho" w:cstheme="minorHAnsi"/>
              </w:rPr>
            </w:pPr>
          </w:p>
          <w:p w:rsidR="005E68FB" w:rsidRPr="00017AE6" w:rsidRDefault="006C0FE7" w:rsidP="00A71365">
            <w:pPr>
              <w:pStyle w:val="Tablewriting"/>
              <w:rPr>
                <w:rFonts w:eastAsia="MS Mincho" w:cstheme="minorHAnsi"/>
              </w:rPr>
            </w:pPr>
            <w:r w:rsidRPr="006C0FE7">
              <w:rPr>
                <w:rFonts w:eastAsia="MS Mincho" w:cstheme="minorHAnsi"/>
              </w:rPr>
              <w:t>Quit for at least last week of 8 weeks patch</w:t>
            </w:r>
            <w:r>
              <w:rPr>
                <w:rFonts w:eastAsia="MS Mincho" w:cstheme="minorHAnsi"/>
              </w:rPr>
              <w:t xml:space="preserve"> </w:t>
            </w:r>
            <w:r w:rsidRPr="006C0FE7">
              <w:rPr>
                <w:rFonts w:eastAsia="MS Mincho" w:cstheme="minorHAnsi"/>
              </w:rPr>
              <w:t>therapy</w:t>
            </w:r>
            <w:r>
              <w:rPr>
                <w:rFonts w:eastAsia="MS Mincho" w:cstheme="minorHAnsi"/>
              </w:rPr>
              <w:t xml:space="preserve">, </w:t>
            </w:r>
            <w:r w:rsidRPr="006C0FE7">
              <w:rPr>
                <w:rFonts w:eastAsia="MS Mincho" w:cstheme="minorHAnsi"/>
              </w:rPr>
              <w:t>78% male</w:t>
            </w:r>
            <w:r>
              <w:rPr>
                <w:rFonts w:eastAsia="MS Mincho" w:cstheme="minorHAnsi"/>
              </w:rPr>
              <w:t>,</w:t>
            </w:r>
            <w:r w:rsidRPr="006C0FE7">
              <w:rPr>
                <w:rFonts w:eastAsia="MS Mincho" w:cstheme="minorHAnsi"/>
              </w:rPr>
              <w:t xml:space="preserve"> average age 44</w:t>
            </w:r>
            <w:r>
              <w:rPr>
                <w:rFonts w:eastAsia="MS Mincho" w:cstheme="minorHAnsi"/>
              </w:rPr>
              <w:t xml:space="preserve"> years, </w:t>
            </w:r>
            <w:r w:rsidRPr="006C0FE7">
              <w:rPr>
                <w:rFonts w:eastAsia="MS Mincho" w:cstheme="minorHAnsi"/>
              </w:rPr>
              <w:t xml:space="preserve">average </w:t>
            </w:r>
            <w:r>
              <w:rPr>
                <w:rFonts w:eastAsia="MS Mincho" w:cstheme="minorHAnsi"/>
              </w:rPr>
              <w:t>CPD</w:t>
            </w:r>
            <w:r w:rsidRPr="006C0FE7">
              <w:rPr>
                <w:rFonts w:eastAsia="MS Mincho" w:cstheme="minorHAnsi"/>
              </w:rPr>
              <w:t xml:space="preserve"> 29.9 (in initial population of 195 volunteers)</w:t>
            </w:r>
            <w:r>
              <w:rPr>
                <w:rFonts w:eastAsia="MS Mincho" w:cstheme="minorHAnsi"/>
              </w:rPr>
              <w:t>.</w:t>
            </w:r>
          </w:p>
        </w:tc>
        <w:tc>
          <w:tcPr>
            <w:tcW w:w="1199" w:type="pct"/>
          </w:tcPr>
          <w:p w:rsidR="00A073CD" w:rsidRDefault="008D2242" w:rsidP="00C324F3">
            <w:pPr>
              <w:pStyle w:val="Tablewriting"/>
              <w:numPr>
                <w:ilvl w:val="0"/>
                <w:numId w:val="163"/>
              </w:numPr>
              <w:rPr>
                <w:rFonts w:eastAsia="MS Mincho" w:cstheme="minorHAnsi"/>
              </w:rPr>
            </w:pPr>
            <w:r w:rsidRPr="008D2242">
              <w:rPr>
                <w:rFonts w:eastAsia="MS Mincho" w:cstheme="minorHAnsi"/>
              </w:rPr>
              <w:t>Bupropion: 150 mg/day first 3 d</w:t>
            </w:r>
            <w:r w:rsidR="003F6F2C">
              <w:rPr>
                <w:rFonts w:eastAsia="MS Mincho" w:cstheme="minorHAnsi"/>
              </w:rPr>
              <w:t>ay</w:t>
            </w:r>
            <w:r w:rsidRPr="008D2242">
              <w:rPr>
                <w:rFonts w:eastAsia="MS Mincho" w:cstheme="minorHAnsi"/>
              </w:rPr>
              <w:t>, then 300 mg/d</w:t>
            </w:r>
            <w:r w:rsidR="00B30929">
              <w:rPr>
                <w:rFonts w:eastAsia="MS Mincho" w:cstheme="minorHAnsi"/>
              </w:rPr>
              <w:t>ay</w:t>
            </w:r>
            <w:r w:rsidRPr="008D2242">
              <w:rPr>
                <w:rFonts w:eastAsia="MS Mincho" w:cstheme="minorHAnsi"/>
              </w:rPr>
              <w:t xml:space="preserve"> until week 52</w:t>
            </w:r>
            <w:r w:rsidR="00A073CD">
              <w:rPr>
                <w:rFonts w:eastAsia="MS Mincho" w:cstheme="minorHAnsi"/>
              </w:rPr>
              <w:t>.</w:t>
            </w:r>
          </w:p>
          <w:p w:rsidR="008D2242" w:rsidRPr="00A073CD" w:rsidRDefault="008D2242" w:rsidP="00C324F3">
            <w:pPr>
              <w:pStyle w:val="Tablewriting"/>
              <w:numPr>
                <w:ilvl w:val="0"/>
                <w:numId w:val="163"/>
              </w:numPr>
              <w:rPr>
                <w:rFonts w:eastAsia="MS Mincho" w:cstheme="minorHAnsi"/>
              </w:rPr>
            </w:pPr>
            <w:r w:rsidRPr="00A073CD">
              <w:rPr>
                <w:rFonts w:eastAsia="MS Mincho" w:cstheme="minorHAnsi"/>
              </w:rPr>
              <w:t>Placebo on same schedule</w:t>
            </w:r>
            <w:r w:rsidR="00A073CD">
              <w:rPr>
                <w:rFonts w:eastAsia="MS Mincho" w:cstheme="minorHAnsi"/>
              </w:rPr>
              <w:t>.</w:t>
            </w:r>
          </w:p>
          <w:p w:rsidR="00D14E80" w:rsidRDefault="00D14E80" w:rsidP="00A71365">
            <w:pPr>
              <w:pStyle w:val="Tablewriting"/>
              <w:rPr>
                <w:rFonts w:eastAsia="MS Mincho" w:cstheme="minorHAnsi"/>
              </w:rPr>
            </w:pPr>
          </w:p>
          <w:p w:rsidR="008D2242" w:rsidRDefault="008D2242" w:rsidP="00A71365">
            <w:pPr>
              <w:pStyle w:val="Tablewriting"/>
              <w:rPr>
                <w:rFonts w:eastAsia="MS Mincho" w:cstheme="minorHAnsi"/>
              </w:rPr>
            </w:pPr>
          </w:p>
          <w:p w:rsidR="008D2242" w:rsidRDefault="008D2242" w:rsidP="00A71365">
            <w:pPr>
              <w:pStyle w:val="Tablewriting"/>
              <w:rPr>
                <w:rFonts w:eastAsia="MS Mincho" w:cstheme="minorHAnsi"/>
              </w:rPr>
            </w:pPr>
            <w:r w:rsidRPr="00625930">
              <w:rPr>
                <w:rFonts w:eastAsia="MS Mincho" w:cstheme="minorHAnsi"/>
                <w:u w:val="single"/>
              </w:rPr>
              <w:t>Common components:</w:t>
            </w:r>
            <w:r>
              <w:rPr>
                <w:rFonts w:eastAsia="MS Mincho" w:cstheme="minorHAnsi"/>
                <w:u w:val="single"/>
              </w:rPr>
              <w:t xml:space="preserve"> </w:t>
            </w:r>
            <w:r w:rsidRPr="008D2242">
              <w:rPr>
                <w:rFonts w:eastAsia="MS Mincho" w:cstheme="minorHAnsi"/>
              </w:rPr>
              <w:t>All participants first received brief weekly counselling sessions and nicotine patch for 8 weeks. Patch</w:t>
            </w:r>
            <w:r>
              <w:rPr>
                <w:rFonts w:eastAsia="MS Mincho" w:cstheme="minorHAnsi"/>
              </w:rPr>
              <w:t xml:space="preserve"> </w:t>
            </w:r>
            <w:r w:rsidRPr="008D2242">
              <w:rPr>
                <w:rFonts w:eastAsia="MS Mincho" w:cstheme="minorHAnsi"/>
              </w:rPr>
              <w:t>tailored on the basis of baseline</w:t>
            </w:r>
            <w:r>
              <w:rPr>
                <w:rFonts w:eastAsia="MS Mincho" w:cstheme="minorHAnsi"/>
              </w:rPr>
              <w:t xml:space="preserve"> </w:t>
            </w:r>
            <w:r w:rsidRPr="008D2242">
              <w:rPr>
                <w:rFonts w:eastAsia="MS Mincho" w:cstheme="minorHAnsi"/>
              </w:rPr>
              <w:t>serum cotinine</w:t>
            </w:r>
            <w:r w:rsidR="009B136E">
              <w:rPr>
                <w:rFonts w:eastAsia="MS Mincho" w:cstheme="minorHAnsi"/>
              </w:rPr>
              <w:t xml:space="preserve"> </w:t>
            </w:r>
            <w:r w:rsidRPr="008D2242">
              <w:rPr>
                <w:rFonts w:eastAsia="MS Mincho" w:cstheme="minorHAnsi"/>
              </w:rPr>
              <w:t>concentration</w:t>
            </w:r>
            <w:r>
              <w:rPr>
                <w:rFonts w:eastAsia="MS Mincho" w:cstheme="minorHAnsi"/>
              </w:rPr>
              <w:t>.</w:t>
            </w:r>
          </w:p>
          <w:p w:rsidR="00B20E89" w:rsidRDefault="00B20E89" w:rsidP="00A71365">
            <w:pPr>
              <w:pStyle w:val="Tablewriting"/>
              <w:rPr>
                <w:rFonts w:eastAsia="MS Mincho" w:cstheme="minorHAnsi"/>
              </w:rPr>
            </w:pPr>
          </w:p>
          <w:p w:rsidR="00D14E80" w:rsidRDefault="00D14E80" w:rsidP="00A71365">
            <w:pPr>
              <w:pStyle w:val="Tablewriting"/>
              <w:rPr>
                <w:rFonts w:eastAsia="MS Mincho" w:cstheme="minorHAnsi"/>
              </w:rPr>
            </w:pPr>
            <w:r w:rsidRPr="008D2242">
              <w:rPr>
                <w:rFonts w:eastAsia="MS Mincho" w:cstheme="minorHAnsi"/>
              </w:rPr>
              <w:t>Brief individual counselling (</w:t>
            </w:r>
            <w:r w:rsidR="00B20E89" w:rsidRPr="00B20E89">
              <w:rPr>
                <w:rFonts w:eastAsia="MS Mincho" w:cstheme="minorHAnsi"/>
              </w:rPr>
              <w:t>≤</w:t>
            </w:r>
            <w:r w:rsidRPr="008D2242">
              <w:rPr>
                <w:rFonts w:eastAsia="MS Mincho" w:cstheme="minorHAnsi"/>
              </w:rPr>
              <w:t xml:space="preserve"> 10 min) at each clinic visit (weekly for week 9 to week 12, monthly for</w:t>
            </w:r>
            <w:r>
              <w:rPr>
                <w:rFonts w:eastAsia="MS Mincho" w:cstheme="minorHAnsi"/>
              </w:rPr>
              <w:t xml:space="preserve"> </w:t>
            </w:r>
            <w:r w:rsidRPr="008D2242">
              <w:rPr>
                <w:rFonts w:eastAsia="MS Mincho" w:cstheme="minorHAnsi"/>
              </w:rPr>
              <w:t>week 13 to week 24, then at 52, 53, 64, and 76 weeks)</w:t>
            </w:r>
            <w:r w:rsidR="00B20E89">
              <w:rPr>
                <w:rFonts w:eastAsia="MS Mincho" w:cstheme="minorHAnsi"/>
              </w:rPr>
              <w:t>.</w:t>
            </w:r>
          </w:p>
          <w:p w:rsidR="00D14E80" w:rsidRPr="008D2242" w:rsidRDefault="00D14E80" w:rsidP="00A71365">
            <w:pPr>
              <w:pStyle w:val="Tablewriting"/>
              <w:rPr>
                <w:rFonts w:eastAsia="MS Mincho" w:cstheme="minorHAnsi"/>
              </w:rPr>
            </w:pPr>
          </w:p>
          <w:p w:rsidR="008D2242" w:rsidRPr="00017AE6" w:rsidRDefault="008D2242" w:rsidP="00A71365">
            <w:pPr>
              <w:pStyle w:val="Tablewriting"/>
              <w:rPr>
                <w:rFonts w:eastAsia="MS Mincho" w:cstheme="minorHAnsi"/>
              </w:rPr>
            </w:pPr>
          </w:p>
        </w:tc>
        <w:tc>
          <w:tcPr>
            <w:tcW w:w="1008" w:type="pct"/>
          </w:tcPr>
          <w:p w:rsidR="005E68FB" w:rsidRPr="005E68FB" w:rsidRDefault="005E68FB" w:rsidP="00A71365">
            <w:pPr>
              <w:pStyle w:val="Tablewriting"/>
              <w:rPr>
                <w:rFonts w:eastAsia="MS Mincho" w:cstheme="minorHAnsi"/>
                <w:u w:val="single"/>
              </w:rPr>
            </w:pPr>
            <w:r w:rsidRPr="005E68FB">
              <w:rPr>
                <w:rFonts w:eastAsia="MS Mincho" w:cstheme="minorHAnsi"/>
                <w:u w:val="single"/>
              </w:rPr>
              <w:lastRenderedPageBreak/>
              <w:t xml:space="preserve">Efficacy: </w:t>
            </w:r>
          </w:p>
          <w:p w:rsidR="009B136E" w:rsidRDefault="009B136E" w:rsidP="00A71365">
            <w:pPr>
              <w:pStyle w:val="Tablewriting"/>
              <w:rPr>
                <w:rFonts w:eastAsia="MS Mincho" w:cstheme="minorHAnsi"/>
              </w:rPr>
            </w:pPr>
            <w:r w:rsidRPr="009B136E">
              <w:rPr>
                <w:rFonts w:eastAsia="MS Mincho" w:cstheme="minorHAnsi"/>
              </w:rPr>
              <w:t>Abstinence at 76 weeks (continuous and 7-d PP)</w:t>
            </w:r>
            <w:r>
              <w:rPr>
                <w:rFonts w:eastAsia="MS Mincho" w:cstheme="minorHAnsi"/>
              </w:rPr>
              <w:t>.</w:t>
            </w:r>
          </w:p>
          <w:p w:rsidR="009B136E" w:rsidRPr="009B136E" w:rsidRDefault="009B136E" w:rsidP="00A71365">
            <w:pPr>
              <w:pStyle w:val="Tablewriting"/>
              <w:rPr>
                <w:rFonts w:eastAsia="MS Mincho" w:cstheme="minorHAnsi"/>
              </w:rPr>
            </w:pPr>
          </w:p>
          <w:p w:rsidR="005E68FB" w:rsidRDefault="009B136E" w:rsidP="00A71365">
            <w:pPr>
              <w:pStyle w:val="Tablewriting"/>
              <w:rPr>
                <w:rFonts w:eastAsia="MS Mincho" w:cstheme="minorHAnsi"/>
              </w:rPr>
            </w:pPr>
            <w:r w:rsidRPr="009B136E">
              <w:rPr>
                <w:rFonts w:eastAsia="MS Mincho" w:cstheme="minorHAnsi"/>
              </w:rPr>
              <w:t>Validation: CO &lt; 8 ppm</w:t>
            </w:r>
            <w:r>
              <w:rPr>
                <w:rFonts w:eastAsia="MS Mincho" w:cstheme="minorHAnsi"/>
              </w:rPr>
              <w:t>.</w:t>
            </w:r>
          </w:p>
          <w:p w:rsidR="009B136E" w:rsidRDefault="009B136E" w:rsidP="00A71365">
            <w:pPr>
              <w:pStyle w:val="Tablewriting"/>
              <w:rPr>
                <w:rFonts w:eastAsia="MS Mincho" w:cstheme="minorHAnsi"/>
              </w:rPr>
            </w:pPr>
          </w:p>
          <w:p w:rsidR="005E68FB" w:rsidRPr="009B136E" w:rsidRDefault="005E68FB" w:rsidP="00A71365">
            <w:pPr>
              <w:pStyle w:val="Tablewriting"/>
              <w:rPr>
                <w:rFonts w:eastAsia="MS Mincho" w:cstheme="minorHAnsi"/>
              </w:rPr>
            </w:pPr>
            <w:r w:rsidRPr="005E68FB">
              <w:rPr>
                <w:rFonts w:eastAsia="MS Mincho" w:cstheme="minorHAnsi"/>
                <w:u w:val="single"/>
              </w:rPr>
              <w:t>Safety:</w:t>
            </w:r>
            <w:r w:rsidR="009B136E">
              <w:rPr>
                <w:rFonts w:eastAsia="MS Mincho" w:cstheme="minorHAnsi"/>
                <w:u w:val="single"/>
              </w:rPr>
              <w:t xml:space="preserve"> </w:t>
            </w:r>
            <w:r w:rsidR="009B136E" w:rsidRPr="009B136E">
              <w:rPr>
                <w:rFonts w:eastAsia="MS Mincho" w:cstheme="minorHAnsi"/>
              </w:rPr>
              <w:t>NR</w:t>
            </w:r>
            <w:r w:rsidR="009B136E">
              <w:rPr>
                <w:rFonts w:eastAsia="MS Mincho" w:cstheme="minorHAnsi"/>
              </w:rPr>
              <w:t>.</w:t>
            </w:r>
          </w:p>
          <w:p w:rsidR="005E68FB" w:rsidRPr="004272CD" w:rsidRDefault="005E68FB" w:rsidP="00A71365">
            <w:pPr>
              <w:pStyle w:val="Tablewriting"/>
              <w:rPr>
                <w:rFonts w:eastAsia="MS Mincho" w:cstheme="minorHAnsi"/>
                <w:u w:val="single"/>
              </w:rPr>
            </w:pPr>
          </w:p>
        </w:tc>
      </w:tr>
      <w:tr w:rsidR="005E68FB" w:rsidRPr="00017AE6" w:rsidTr="005012C6">
        <w:trPr>
          <w:trHeight w:val="99"/>
        </w:trPr>
        <w:tc>
          <w:tcPr>
            <w:tcW w:w="495" w:type="pct"/>
          </w:tcPr>
          <w:p w:rsidR="005E68FB" w:rsidRPr="00017AE6" w:rsidRDefault="005E68FB" w:rsidP="00A71365">
            <w:pPr>
              <w:pStyle w:val="Tablewriting"/>
              <w:rPr>
                <w:rFonts w:eastAsia="MS Mincho" w:cstheme="minorHAnsi"/>
              </w:rPr>
            </w:pPr>
            <w:r w:rsidRPr="003B351F">
              <w:rPr>
                <w:rFonts w:eastAsia="MS Mincho" w:cstheme="minorHAnsi"/>
              </w:rPr>
              <w:t xml:space="preserve">Hurt </w:t>
            </w:r>
            <w:r w:rsidR="002570AF">
              <w:rPr>
                <w:rFonts w:eastAsia="MS Mincho" w:cstheme="minorHAnsi"/>
              </w:rPr>
              <w:t>(</w:t>
            </w:r>
            <w:r w:rsidRPr="003B351F">
              <w:rPr>
                <w:rFonts w:eastAsia="MS Mincho" w:cstheme="minorHAnsi"/>
              </w:rPr>
              <w:t>2003</w:t>
            </w:r>
            <w:r w:rsidR="002570AF">
              <w:rPr>
                <w:rFonts w:eastAsia="MS Mincho" w:cstheme="minorHAnsi"/>
              </w:rPr>
              <w:t>)</w:t>
            </w:r>
          </w:p>
        </w:tc>
        <w:tc>
          <w:tcPr>
            <w:tcW w:w="234" w:type="pct"/>
          </w:tcPr>
          <w:p w:rsidR="005E68FB" w:rsidRPr="00017AE6" w:rsidRDefault="00E96DA8" w:rsidP="00A71365">
            <w:pPr>
              <w:pStyle w:val="Tablewriting"/>
              <w:rPr>
                <w:rFonts w:eastAsia="MS Mincho" w:cstheme="minorHAnsi"/>
              </w:rPr>
            </w:pPr>
            <w:r>
              <w:rPr>
                <w:rFonts w:eastAsia="MS Mincho" w:cstheme="minorHAnsi"/>
              </w:rPr>
              <w:t>RCT</w:t>
            </w:r>
          </w:p>
        </w:tc>
        <w:tc>
          <w:tcPr>
            <w:tcW w:w="433" w:type="pct"/>
          </w:tcPr>
          <w:p w:rsidR="005E68FB" w:rsidRPr="00017AE6" w:rsidRDefault="00E96DA8" w:rsidP="00A71365">
            <w:pPr>
              <w:pStyle w:val="Tablewriting"/>
              <w:rPr>
                <w:rFonts w:eastAsia="MS Mincho" w:cstheme="minorHAnsi"/>
              </w:rPr>
            </w:pPr>
            <w:r>
              <w:rPr>
                <w:rFonts w:eastAsia="MS Mincho" w:cstheme="minorHAnsi"/>
              </w:rPr>
              <w:t>USA</w:t>
            </w:r>
          </w:p>
        </w:tc>
        <w:tc>
          <w:tcPr>
            <w:tcW w:w="358" w:type="pct"/>
          </w:tcPr>
          <w:p w:rsidR="005E68FB" w:rsidRPr="00017AE6" w:rsidRDefault="005E68FB" w:rsidP="00A71365">
            <w:pPr>
              <w:pStyle w:val="Tablewriting"/>
              <w:rPr>
                <w:rFonts w:eastAsia="MS Mincho" w:cstheme="minorHAnsi"/>
              </w:rPr>
            </w:pPr>
            <w:r w:rsidRPr="00911D2C">
              <w:rPr>
                <w:rFonts w:eastAsia="MS Mincho" w:cstheme="minorHAnsi"/>
              </w:rPr>
              <w:t>N=</w:t>
            </w:r>
            <w:r w:rsidR="00E96DA8">
              <w:rPr>
                <w:rFonts w:eastAsia="MS Mincho" w:cstheme="minorHAnsi"/>
              </w:rPr>
              <w:t>176</w:t>
            </w:r>
          </w:p>
        </w:tc>
        <w:tc>
          <w:tcPr>
            <w:tcW w:w="1272" w:type="pct"/>
          </w:tcPr>
          <w:p w:rsidR="00DF0ADC" w:rsidRDefault="00E96DA8" w:rsidP="00A71365">
            <w:pPr>
              <w:pStyle w:val="Tablewriting"/>
              <w:rPr>
                <w:rFonts w:eastAsia="MS Mincho" w:cstheme="minorHAnsi"/>
              </w:rPr>
            </w:pPr>
            <w:r>
              <w:rPr>
                <w:rFonts w:eastAsia="MS Mincho" w:cstheme="minorHAnsi"/>
              </w:rPr>
              <w:t>A</w:t>
            </w:r>
            <w:r w:rsidRPr="00E96DA8">
              <w:rPr>
                <w:rFonts w:eastAsia="MS Mincho" w:cstheme="minorHAnsi"/>
              </w:rPr>
              <w:t xml:space="preserve">bstainers (previously </w:t>
            </w:r>
            <w:r w:rsidR="00DF0ADC" w:rsidRPr="00DF0ADC">
              <w:rPr>
                <w:rFonts w:eastAsia="MS Mincho" w:cstheme="minorHAnsi"/>
              </w:rPr>
              <w:t>≥</w:t>
            </w:r>
            <w:r w:rsidRPr="00E96DA8">
              <w:rPr>
                <w:rFonts w:eastAsia="MS Mincho" w:cstheme="minorHAnsi"/>
              </w:rPr>
              <w:t xml:space="preserve"> 15 </w:t>
            </w:r>
            <w:r w:rsidR="00176D0B">
              <w:rPr>
                <w:rFonts w:eastAsia="MS Mincho" w:cstheme="minorHAnsi"/>
              </w:rPr>
              <w:t>CPD</w:t>
            </w:r>
            <w:r w:rsidRPr="00E96DA8">
              <w:rPr>
                <w:rFonts w:eastAsia="MS Mincho" w:cstheme="minorHAnsi"/>
              </w:rPr>
              <w:t>) quit after 8 weeks of nicotine patch</w:t>
            </w:r>
            <w:r w:rsidR="00DF0ADC">
              <w:rPr>
                <w:rFonts w:eastAsia="MS Mincho" w:cstheme="minorHAnsi"/>
              </w:rPr>
              <w:t>.</w:t>
            </w:r>
          </w:p>
          <w:p w:rsidR="00E96DA8" w:rsidRPr="00E96DA8" w:rsidRDefault="00011C9C" w:rsidP="00A71365">
            <w:pPr>
              <w:pStyle w:val="Tablewriting"/>
              <w:rPr>
                <w:rFonts w:eastAsia="MS Mincho" w:cstheme="minorHAnsi"/>
              </w:rPr>
            </w:pPr>
            <w:r>
              <w:rPr>
                <w:rFonts w:eastAsia="MS Mincho" w:cstheme="minorHAnsi"/>
              </w:rPr>
              <w:t>B</w:t>
            </w:r>
            <w:r w:rsidR="00E96DA8" w:rsidRPr="00E96DA8">
              <w:rPr>
                <w:rFonts w:eastAsia="MS Mincho" w:cstheme="minorHAnsi"/>
              </w:rPr>
              <w:t>aseline group: 57% female,</w:t>
            </w:r>
          </w:p>
          <w:p w:rsidR="005E68FB" w:rsidRPr="00017AE6" w:rsidRDefault="00E96DA8" w:rsidP="00A71365">
            <w:pPr>
              <w:pStyle w:val="Tablewriting"/>
              <w:rPr>
                <w:rFonts w:eastAsia="MS Mincho" w:cstheme="minorHAnsi"/>
              </w:rPr>
            </w:pPr>
            <w:r w:rsidRPr="00E96DA8">
              <w:rPr>
                <w:rFonts w:eastAsia="MS Mincho" w:cstheme="minorHAnsi"/>
              </w:rPr>
              <w:t xml:space="preserve">average age 42, average </w:t>
            </w:r>
            <w:r w:rsidR="00176D0B">
              <w:rPr>
                <w:rFonts w:eastAsia="MS Mincho" w:cstheme="minorHAnsi"/>
              </w:rPr>
              <w:t>CPD</w:t>
            </w:r>
            <w:r w:rsidRPr="00E96DA8">
              <w:rPr>
                <w:rFonts w:eastAsia="MS Mincho" w:cstheme="minorHAnsi"/>
              </w:rPr>
              <w:t xml:space="preserve"> 26</w:t>
            </w:r>
            <w:r w:rsidR="00011C9C">
              <w:rPr>
                <w:rFonts w:eastAsia="MS Mincho" w:cstheme="minorHAnsi"/>
              </w:rPr>
              <w:t>.</w:t>
            </w:r>
          </w:p>
        </w:tc>
        <w:tc>
          <w:tcPr>
            <w:tcW w:w="1199" w:type="pct"/>
          </w:tcPr>
          <w:p w:rsidR="002021C1" w:rsidRDefault="00011C9C" w:rsidP="00C324F3">
            <w:pPr>
              <w:pStyle w:val="Tablewriting"/>
              <w:numPr>
                <w:ilvl w:val="0"/>
                <w:numId w:val="164"/>
              </w:numPr>
              <w:rPr>
                <w:rFonts w:eastAsia="MS Mincho" w:cstheme="minorHAnsi"/>
              </w:rPr>
            </w:pPr>
            <w:r w:rsidRPr="00011C9C">
              <w:rPr>
                <w:rFonts w:eastAsia="MS Mincho" w:cstheme="minorHAnsi"/>
              </w:rPr>
              <w:t>Bupropion 300 mg/day for 6 months</w:t>
            </w:r>
            <w:r w:rsidR="002021C1">
              <w:rPr>
                <w:rFonts w:eastAsia="MS Mincho" w:cstheme="minorHAnsi"/>
              </w:rPr>
              <w:t>.</w:t>
            </w:r>
          </w:p>
          <w:p w:rsidR="00011C9C" w:rsidRPr="002021C1" w:rsidRDefault="00011C9C" w:rsidP="00C324F3">
            <w:pPr>
              <w:pStyle w:val="Tablewriting"/>
              <w:numPr>
                <w:ilvl w:val="0"/>
                <w:numId w:val="164"/>
              </w:numPr>
              <w:rPr>
                <w:rFonts w:eastAsia="MS Mincho" w:cstheme="minorHAnsi"/>
              </w:rPr>
            </w:pPr>
            <w:r w:rsidRPr="002021C1">
              <w:rPr>
                <w:rFonts w:eastAsia="MS Mincho" w:cstheme="minorHAnsi"/>
              </w:rPr>
              <w:t>Placebo</w:t>
            </w:r>
            <w:r w:rsidR="002021C1">
              <w:rPr>
                <w:rFonts w:eastAsia="MS Mincho" w:cstheme="minorHAnsi"/>
              </w:rPr>
              <w:t>.</w:t>
            </w:r>
          </w:p>
          <w:p w:rsidR="00011C9C" w:rsidRDefault="00011C9C" w:rsidP="00A71365">
            <w:pPr>
              <w:pStyle w:val="Tablewriting"/>
              <w:rPr>
                <w:rFonts w:eastAsia="MS Mincho" w:cstheme="minorHAnsi"/>
              </w:rPr>
            </w:pPr>
          </w:p>
          <w:p w:rsidR="00011C9C" w:rsidRDefault="00011C9C" w:rsidP="00A71365">
            <w:pPr>
              <w:pStyle w:val="Tablewriting"/>
              <w:rPr>
                <w:rFonts w:eastAsia="MS Mincho" w:cstheme="minorHAnsi"/>
              </w:rPr>
            </w:pPr>
            <w:r w:rsidRPr="00625930">
              <w:rPr>
                <w:rFonts w:eastAsia="MS Mincho" w:cstheme="minorHAnsi"/>
                <w:u w:val="single"/>
              </w:rPr>
              <w:t>Common components</w:t>
            </w:r>
            <w:r w:rsidR="002021C1">
              <w:rPr>
                <w:rFonts w:eastAsia="MS Mincho" w:cstheme="minorHAnsi"/>
                <w:u w:val="single"/>
              </w:rPr>
              <w:t xml:space="preserve">: </w:t>
            </w:r>
            <w:r w:rsidRPr="00011C9C">
              <w:rPr>
                <w:rFonts w:eastAsia="MS Mincho" w:cstheme="minorHAnsi"/>
              </w:rPr>
              <w:t>All participants first received nicotine patch for 8 weeks at a dose of 22, 33 or 44</w:t>
            </w:r>
            <w:r w:rsidR="002021C1">
              <w:rPr>
                <w:rFonts w:eastAsia="MS Mincho" w:cstheme="minorHAnsi"/>
              </w:rPr>
              <w:t xml:space="preserve"> </w:t>
            </w:r>
            <w:r w:rsidRPr="00011C9C">
              <w:rPr>
                <w:rFonts w:eastAsia="MS Mincho" w:cstheme="minorHAnsi"/>
              </w:rPr>
              <w:t>mg/day, matched to</w:t>
            </w:r>
            <w:r w:rsidR="002021C1">
              <w:rPr>
                <w:rFonts w:eastAsia="MS Mincho" w:cstheme="minorHAnsi"/>
              </w:rPr>
              <w:t xml:space="preserve"> </w:t>
            </w:r>
            <w:r w:rsidRPr="00011C9C">
              <w:rPr>
                <w:rFonts w:eastAsia="MS Mincho" w:cstheme="minorHAnsi"/>
              </w:rPr>
              <w:t>baseline cigs/day. Brief advice to quit and self-help materials but no formal counselling</w:t>
            </w:r>
            <w:r w:rsidR="002021C1">
              <w:rPr>
                <w:rFonts w:eastAsia="MS Mincho" w:cstheme="minorHAnsi"/>
              </w:rPr>
              <w:t>.</w:t>
            </w:r>
          </w:p>
          <w:p w:rsidR="002021C1" w:rsidRDefault="002021C1" w:rsidP="00A71365">
            <w:pPr>
              <w:pStyle w:val="Tablewriting"/>
              <w:rPr>
                <w:rFonts w:eastAsia="MS Mincho" w:cstheme="minorHAnsi"/>
              </w:rPr>
            </w:pPr>
          </w:p>
          <w:p w:rsidR="00011C9C" w:rsidRPr="00017AE6" w:rsidRDefault="002021C1" w:rsidP="00A71365">
            <w:pPr>
              <w:pStyle w:val="Tablewriting"/>
              <w:rPr>
                <w:rFonts w:eastAsia="MS Mincho" w:cstheme="minorHAnsi"/>
              </w:rPr>
            </w:pPr>
            <w:r w:rsidRPr="00011C9C">
              <w:rPr>
                <w:rFonts w:eastAsia="MS Mincho" w:cstheme="minorHAnsi"/>
              </w:rPr>
              <w:t>No additional counselling during maintenance phase</w:t>
            </w:r>
            <w:r>
              <w:rPr>
                <w:rFonts w:eastAsia="MS Mincho" w:cstheme="minorHAnsi"/>
              </w:rPr>
              <w:t>.</w:t>
            </w:r>
          </w:p>
        </w:tc>
        <w:tc>
          <w:tcPr>
            <w:tcW w:w="1008" w:type="pct"/>
          </w:tcPr>
          <w:p w:rsidR="005E68FB" w:rsidRPr="005E68FB" w:rsidRDefault="005E68FB" w:rsidP="00A71365">
            <w:pPr>
              <w:pStyle w:val="Tablewriting"/>
              <w:rPr>
                <w:rFonts w:eastAsia="MS Mincho" w:cstheme="minorHAnsi"/>
                <w:u w:val="single"/>
              </w:rPr>
            </w:pPr>
            <w:r w:rsidRPr="005E68FB">
              <w:rPr>
                <w:rFonts w:eastAsia="MS Mincho" w:cstheme="minorHAnsi"/>
                <w:u w:val="single"/>
              </w:rPr>
              <w:t xml:space="preserve">Efficacy: </w:t>
            </w:r>
          </w:p>
          <w:p w:rsidR="002021C1" w:rsidRPr="002021C1" w:rsidRDefault="002021C1" w:rsidP="00A71365">
            <w:pPr>
              <w:pStyle w:val="Tablewriting"/>
              <w:rPr>
                <w:rFonts w:eastAsia="MS Mincho" w:cstheme="minorHAnsi"/>
              </w:rPr>
            </w:pPr>
            <w:r w:rsidRPr="002021C1">
              <w:rPr>
                <w:rFonts w:eastAsia="MS Mincho" w:cstheme="minorHAnsi"/>
              </w:rPr>
              <w:t>Abstinence at 12 months (PP) (6 months after</w:t>
            </w:r>
            <w:r>
              <w:rPr>
                <w:rFonts w:eastAsia="MS Mincho" w:cstheme="minorHAnsi"/>
              </w:rPr>
              <w:t xml:space="preserve"> </w:t>
            </w:r>
            <w:r w:rsidRPr="002021C1">
              <w:rPr>
                <w:rFonts w:eastAsia="MS Mincho" w:cstheme="minorHAnsi"/>
              </w:rPr>
              <w:t>EOT).</w:t>
            </w:r>
          </w:p>
          <w:p w:rsidR="002021C1" w:rsidRDefault="002021C1" w:rsidP="00A71365">
            <w:pPr>
              <w:pStyle w:val="Tablewriting"/>
              <w:rPr>
                <w:rFonts w:eastAsia="MS Mincho" w:cstheme="minorHAnsi"/>
              </w:rPr>
            </w:pPr>
          </w:p>
          <w:p w:rsidR="005E68FB" w:rsidRDefault="002021C1" w:rsidP="00A71365">
            <w:pPr>
              <w:pStyle w:val="Tablewriting"/>
              <w:rPr>
                <w:rFonts w:eastAsia="MS Mincho" w:cstheme="minorHAnsi"/>
              </w:rPr>
            </w:pPr>
            <w:r w:rsidRPr="002021C1">
              <w:rPr>
                <w:rFonts w:eastAsia="MS Mincho" w:cstheme="minorHAnsi"/>
              </w:rPr>
              <w:t>Validation: CO &lt; 8 ppm</w:t>
            </w:r>
            <w:r>
              <w:rPr>
                <w:rFonts w:eastAsia="MS Mincho" w:cstheme="minorHAnsi"/>
              </w:rPr>
              <w:t>.</w:t>
            </w:r>
          </w:p>
          <w:p w:rsidR="005E68FB" w:rsidRPr="002021C1" w:rsidRDefault="005E68FB" w:rsidP="00A71365">
            <w:pPr>
              <w:pStyle w:val="Tablewriting"/>
              <w:rPr>
                <w:rFonts w:eastAsia="MS Mincho" w:cstheme="minorHAnsi"/>
                <w:u w:val="single"/>
              </w:rPr>
            </w:pPr>
            <w:r w:rsidRPr="005E68FB">
              <w:rPr>
                <w:rFonts w:eastAsia="MS Mincho" w:cstheme="minorHAnsi"/>
                <w:u w:val="single"/>
              </w:rPr>
              <w:t>Safety:</w:t>
            </w:r>
            <w:r w:rsidR="002021C1">
              <w:rPr>
                <w:rFonts w:eastAsia="MS Mincho" w:cstheme="minorHAnsi"/>
                <w:u w:val="single"/>
              </w:rPr>
              <w:t xml:space="preserve"> </w:t>
            </w:r>
            <w:r w:rsidR="002021C1">
              <w:rPr>
                <w:rFonts w:eastAsia="MS Mincho" w:cstheme="minorHAnsi"/>
              </w:rPr>
              <w:t>NR.</w:t>
            </w:r>
          </w:p>
        </w:tc>
      </w:tr>
      <w:tr w:rsidR="005E68FB" w:rsidRPr="00017AE6" w:rsidTr="005012C6">
        <w:trPr>
          <w:trHeight w:val="99"/>
        </w:trPr>
        <w:tc>
          <w:tcPr>
            <w:tcW w:w="495" w:type="pct"/>
          </w:tcPr>
          <w:p w:rsidR="005E68FB" w:rsidRPr="00017AE6" w:rsidRDefault="005E68FB" w:rsidP="00A71365">
            <w:pPr>
              <w:pStyle w:val="Tablewriting"/>
              <w:rPr>
                <w:rFonts w:eastAsia="MS Mincho" w:cstheme="minorHAnsi"/>
              </w:rPr>
            </w:pPr>
            <w:r w:rsidRPr="00F476C9">
              <w:rPr>
                <w:rFonts w:eastAsia="MS Mincho" w:cstheme="minorHAnsi"/>
              </w:rPr>
              <w:t xml:space="preserve">Killen </w:t>
            </w:r>
            <w:r w:rsidR="002570AF">
              <w:rPr>
                <w:rFonts w:eastAsia="MS Mincho" w:cstheme="minorHAnsi"/>
              </w:rPr>
              <w:t>(</w:t>
            </w:r>
            <w:r w:rsidRPr="00F476C9">
              <w:rPr>
                <w:rFonts w:eastAsia="MS Mincho" w:cstheme="minorHAnsi"/>
              </w:rPr>
              <w:t>2006</w:t>
            </w:r>
            <w:r w:rsidR="002570AF">
              <w:rPr>
                <w:rFonts w:eastAsia="MS Mincho" w:cstheme="minorHAnsi"/>
              </w:rPr>
              <w:t>)</w:t>
            </w:r>
          </w:p>
        </w:tc>
        <w:tc>
          <w:tcPr>
            <w:tcW w:w="234" w:type="pct"/>
          </w:tcPr>
          <w:p w:rsidR="005E68FB" w:rsidRPr="00017AE6" w:rsidRDefault="00DA3AB9" w:rsidP="00A71365">
            <w:pPr>
              <w:pStyle w:val="Tablewriting"/>
              <w:rPr>
                <w:rFonts w:eastAsia="MS Mincho" w:cstheme="minorHAnsi"/>
              </w:rPr>
            </w:pPr>
            <w:r>
              <w:rPr>
                <w:rFonts w:eastAsia="MS Mincho" w:cstheme="minorHAnsi"/>
              </w:rPr>
              <w:t>RCT</w:t>
            </w:r>
          </w:p>
        </w:tc>
        <w:tc>
          <w:tcPr>
            <w:tcW w:w="433" w:type="pct"/>
          </w:tcPr>
          <w:p w:rsidR="005E68FB" w:rsidRPr="00017AE6" w:rsidRDefault="00E12CBE" w:rsidP="00A71365">
            <w:pPr>
              <w:pStyle w:val="Tablewriting"/>
              <w:rPr>
                <w:rFonts w:eastAsia="MS Mincho" w:cstheme="minorHAnsi"/>
              </w:rPr>
            </w:pPr>
            <w:r>
              <w:rPr>
                <w:rFonts w:eastAsia="MS Mincho" w:cstheme="minorHAnsi"/>
              </w:rPr>
              <w:t>USA</w:t>
            </w:r>
          </w:p>
        </w:tc>
        <w:tc>
          <w:tcPr>
            <w:tcW w:w="358" w:type="pct"/>
          </w:tcPr>
          <w:p w:rsidR="005E68FB" w:rsidRPr="00017AE6" w:rsidRDefault="005E68FB" w:rsidP="00A71365">
            <w:pPr>
              <w:pStyle w:val="Tablewriting"/>
              <w:rPr>
                <w:rFonts w:eastAsia="MS Mincho" w:cstheme="minorHAnsi"/>
              </w:rPr>
            </w:pPr>
            <w:r w:rsidRPr="00911D2C">
              <w:rPr>
                <w:rFonts w:eastAsia="MS Mincho" w:cstheme="minorHAnsi"/>
              </w:rPr>
              <w:t>N=</w:t>
            </w:r>
            <w:r w:rsidR="00E12CBE">
              <w:rPr>
                <w:rFonts w:eastAsia="MS Mincho" w:cstheme="minorHAnsi"/>
              </w:rPr>
              <w:t>362</w:t>
            </w:r>
          </w:p>
        </w:tc>
        <w:tc>
          <w:tcPr>
            <w:tcW w:w="1272" w:type="pct"/>
          </w:tcPr>
          <w:p w:rsidR="00E12CBE" w:rsidRPr="00E12CBE" w:rsidRDefault="00E12CBE" w:rsidP="00A71365">
            <w:pPr>
              <w:pStyle w:val="Tablewriting"/>
              <w:rPr>
                <w:rFonts w:eastAsia="MS Mincho" w:cstheme="minorHAnsi"/>
              </w:rPr>
            </w:pPr>
            <w:r>
              <w:rPr>
                <w:rFonts w:eastAsia="MS Mincho" w:cstheme="minorHAnsi"/>
              </w:rPr>
              <w:t>S</w:t>
            </w:r>
            <w:r w:rsidRPr="00E12CBE">
              <w:rPr>
                <w:rFonts w:eastAsia="MS Mincho" w:cstheme="minorHAnsi"/>
              </w:rPr>
              <w:t xml:space="preserve">mokers </w:t>
            </w:r>
            <w:r w:rsidR="00D7535F" w:rsidRPr="00D7535F">
              <w:rPr>
                <w:rFonts w:eastAsia="MS Mincho" w:cstheme="minorHAnsi"/>
              </w:rPr>
              <w:t>≥</w:t>
            </w:r>
            <w:r w:rsidRPr="00E12CBE">
              <w:rPr>
                <w:rFonts w:eastAsia="MS Mincho" w:cstheme="minorHAnsi"/>
              </w:rPr>
              <w:t xml:space="preserve"> 10 cig</w:t>
            </w:r>
            <w:r w:rsidR="00CC264E">
              <w:rPr>
                <w:rFonts w:eastAsia="MS Mincho" w:cstheme="minorHAnsi"/>
              </w:rPr>
              <w:t>arettes</w:t>
            </w:r>
            <w:r w:rsidRPr="00E12CBE">
              <w:rPr>
                <w:rFonts w:eastAsia="MS Mincho" w:cstheme="minorHAnsi"/>
              </w:rPr>
              <w:t>/day, no current major depression</w:t>
            </w:r>
            <w:r w:rsidR="00D7535F">
              <w:rPr>
                <w:rFonts w:eastAsia="MS Mincho" w:cstheme="minorHAnsi"/>
              </w:rPr>
              <w:t>.</w:t>
            </w:r>
          </w:p>
          <w:p w:rsidR="005E68FB" w:rsidRPr="00017AE6" w:rsidRDefault="00E12CBE" w:rsidP="00A71365">
            <w:pPr>
              <w:pStyle w:val="Tablewriting"/>
              <w:rPr>
                <w:rFonts w:eastAsia="MS Mincho" w:cstheme="minorHAnsi"/>
              </w:rPr>
            </w:pPr>
            <w:r w:rsidRPr="00E12CBE">
              <w:rPr>
                <w:rFonts w:eastAsia="MS Mincho" w:cstheme="minorHAnsi"/>
              </w:rPr>
              <w:t xml:space="preserve">46% female, average age 45, average </w:t>
            </w:r>
            <w:r w:rsidR="00176D0B">
              <w:rPr>
                <w:rFonts w:eastAsia="MS Mincho" w:cstheme="minorHAnsi"/>
              </w:rPr>
              <w:t>CPD</w:t>
            </w:r>
            <w:r w:rsidRPr="00E12CBE">
              <w:rPr>
                <w:rFonts w:eastAsia="MS Mincho" w:cstheme="minorHAnsi"/>
              </w:rPr>
              <w:t xml:space="preserve"> 20, 25% previous bupropion use</w:t>
            </w:r>
            <w:r w:rsidR="00D7535F">
              <w:rPr>
                <w:rFonts w:eastAsia="MS Mincho" w:cstheme="minorHAnsi"/>
              </w:rPr>
              <w:t>.</w:t>
            </w:r>
          </w:p>
        </w:tc>
        <w:tc>
          <w:tcPr>
            <w:tcW w:w="1199" w:type="pct"/>
          </w:tcPr>
          <w:p w:rsidR="00693A3F" w:rsidRDefault="00D7535F" w:rsidP="00C324F3">
            <w:pPr>
              <w:pStyle w:val="Tablewriting"/>
              <w:numPr>
                <w:ilvl w:val="0"/>
                <w:numId w:val="165"/>
              </w:numPr>
              <w:rPr>
                <w:rFonts w:eastAsia="MS Mincho" w:cstheme="minorHAnsi"/>
              </w:rPr>
            </w:pPr>
            <w:r w:rsidRPr="00D7535F">
              <w:rPr>
                <w:rFonts w:eastAsia="MS Mincho" w:cstheme="minorHAnsi"/>
              </w:rPr>
              <w:t>Bupropion 150 mg for 14 weeks</w:t>
            </w:r>
            <w:r w:rsidR="00693A3F">
              <w:rPr>
                <w:rFonts w:eastAsia="MS Mincho" w:cstheme="minorHAnsi"/>
              </w:rPr>
              <w:t>.</w:t>
            </w:r>
          </w:p>
          <w:p w:rsidR="00D7535F" w:rsidRPr="00693A3F" w:rsidRDefault="00D7535F" w:rsidP="00C324F3">
            <w:pPr>
              <w:pStyle w:val="Tablewriting"/>
              <w:numPr>
                <w:ilvl w:val="0"/>
                <w:numId w:val="165"/>
              </w:numPr>
              <w:rPr>
                <w:rFonts w:eastAsia="MS Mincho" w:cstheme="minorHAnsi"/>
              </w:rPr>
            </w:pPr>
            <w:r w:rsidRPr="00693A3F">
              <w:rPr>
                <w:rFonts w:eastAsia="MS Mincho" w:cstheme="minorHAnsi"/>
              </w:rPr>
              <w:t>2 weeks tapering bupropion, then placebo</w:t>
            </w:r>
            <w:r w:rsidR="00693A3F">
              <w:rPr>
                <w:rFonts w:eastAsia="MS Mincho" w:cstheme="minorHAnsi"/>
              </w:rPr>
              <w:t>.</w:t>
            </w:r>
          </w:p>
          <w:p w:rsidR="00D7535F" w:rsidRDefault="00D7535F" w:rsidP="00A71365">
            <w:pPr>
              <w:pStyle w:val="Tablewriting"/>
              <w:rPr>
                <w:rFonts w:eastAsia="MS Mincho" w:cstheme="minorHAnsi"/>
              </w:rPr>
            </w:pPr>
          </w:p>
          <w:p w:rsidR="00D7535F" w:rsidRDefault="00693A3F" w:rsidP="00A71365">
            <w:pPr>
              <w:pStyle w:val="Tablewriting"/>
              <w:rPr>
                <w:rFonts w:eastAsia="MS Mincho" w:cstheme="minorHAnsi"/>
              </w:rPr>
            </w:pPr>
            <w:r w:rsidRPr="00625930">
              <w:rPr>
                <w:rFonts w:eastAsia="MS Mincho" w:cstheme="minorHAnsi"/>
                <w:u w:val="single"/>
              </w:rPr>
              <w:t>Common components</w:t>
            </w:r>
            <w:r>
              <w:rPr>
                <w:rFonts w:eastAsia="MS Mincho" w:cstheme="minorHAnsi"/>
                <w:u w:val="single"/>
              </w:rPr>
              <w:t xml:space="preserve">: </w:t>
            </w:r>
            <w:r w:rsidR="00D7535F" w:rsidRPr="00D7535F">
              <w:rPr>
                <w:rFonts w:eastAsia="MS Mincho" w:cstheme="minorHAnsi"/>
              </w:rPr>
              <w:t>All participants received open-label combination</w:t>
            </w:r>
            <w:r>
              <w:rPr>
                <w:rFonts w:eastAsia="MS Mincho" w:cstheme="minorHAnsi"/>
              </w:rPr>
              <w:t xml:space="preserve"> </w:t>
            </w:r>
            <w:r w:rsidR="00D7535F" w:rsidRPr="00D7535F">
              <w:rPr>
                <w:rFonts w:eastAsia="MS Mincho" w:cstheme="minorHAnsi"/>
              </w:rPr>
              <w:t>pharmacotherapy of bupropion 300 mg for 11 weeks,</w:t>
            </w:r>
            <w:r>
              <w:rPr>
                <w:rFonts w:eastAsia="MS Mincho" w:cstheme="minorHAnsi"/>
              </w:rPr>
              <w:t xml:space="preserve"> </w:t>
            </w:r>
            <w:r w:rsidR="00D7535F" w:rsidRPr="00D7535F">
              <w:rPr>
                <w:rFonts w:eastAsia="MS Mincho" w:cstheme="minorHAnsi"/>
              </w:rPr>
              <w:t xml:space="preserve">nicotine patch for 10 weeks. TQD day 7, 30-min individual relapse prevention skills training at 6 </w:t>
            </w:r>
            <w:r w:rsidRPr="00D7535F">
              <w:rPr>
                <w:rFonts w:eastAsia="MS Mincho" w:cstheme="minorHAnsi"/>
              </w:rPr>
              <w:t>clinic</w:t>
            </w:r>
            <w:r w:rsidR="00836B64">
              <w:rPr>
                <w:rFonts w:eastAsia="MS Mincho" w:cstheme="minorHAnsi"/>
              </w:rPr>
              <w:t xml:space="preserve"> </w:t>
            </w:r>
            <w:r w:rsidR="00D7535F" w:rsidRPr="00D7535F">
              <w:rPr>
                <w:rFonts w:eastAsia="MS Mincho" w:cstheme="minorHAnsi"/>
              </w:rPr>
              <w:t>visits</w:t>
            </w:r>
            <w:r w:rsidR="003D6AD9">
              <w:rPr>
                <w:rFonts w:eastAsia="MS Mincho" w:cstheme="minorHAnsi"/>
              </w:rPr>
              <w:t>.</w:t>
            </w:r>
          </w:p>
          <w:p w:rsidR="003D6AD9" w:rsidRDefault="003D6AD9" w:rsidP="00A71365">
            <w:pPr>
              <w:pStyle w:val="Tablewriting"/>
              <w:rPr>
                <w:rFonts w:eastAsia="MS Mincho" w:cstheme="minorHAnsi"/>
              </w:rPr>
            </w:pPr>
          </w:p>
          <w:p w:rsidR="00D7535F" w:rsidRPr="00B732AD" w:rsidRDefault="003D6AD9" w:rsidP="00A71365">
            <w:pPr>
              <w:pStyle w:val="Tablewriting"/>
              <w:rPr>
                <w:rFonts w:eastAsia="MS Mincho" w:cstheme="minorHAnsi"/>
              </w:rPr>
            </w:pPr>
            <w:r w:rsidRPr="00D7535F">
              <w:rPr>
                <w:rFonts w:eastAsia="MS Mincho" w:cstheme="minorHAnsi"/>
              </w:rPr>
              <w:t>Both arms had 4 further clinic visits during extended therapy</w:t>
            </w:r>
            <w:r>
              <w:rPr>
                <w:rFonts w:eastAsia="MS Mincho" w:cstheme="minorHAnsi"/>
              </w:rPr>
              <w:t>.</w:t>
            </w:r>
          </w:p>
        </w:tc>
        <w:tc>
          <w:tcPr>
            <w:tcW w:w="1008" w:type="pct"/>
          </w:tcPr>
          <w:p w:rsidR="005E68FB" w:rsidRPr="005E68FB" w:rsidRDefault="005E68FB" w:rsidP="00A71365">
            <w:pPr>
              <w:pStyle w:val="Tablewriting"/>
              <w:rPr>
                <w:rFonts w:eastAsia="MS Mincho" w:cstheme="minorHAnsi"/>
                <w:u w:val="single"/>
              </w:rPr>
            </w:pPr>
            <w:r w:rsidRPr="005E68FB">
              <w:rPr>
                <w:rFonts w:eastAsia="MS Mincho" w:cstheme="minorHAnsi"/>
                <w:u w:val="single"/>
              </w:rPr>
              <w:t xml:space="preserve">Efficacy: </w:t>
            </w:r>
          </w:p>
          <w:p w:rsidR="005360A2" w:rsidRDefault="005360A2" w:rsidP="00A71365">
            <w:pPr>
              <w:pStyle w:val="Tablewriting"/>
              <w:rPr>
                <w:rFonts w:eastAsia="MS Mincho" w:cstheme="minorHAnsi"/>
              </w:rPr>
            </w:pPr>
            <w:r w:rsidRPr="005360A2">
              <w:rPr>
                <w:rFonts w:eastAsia="MS Mincho" w:cstheme="minorHAnsi"/>
              </w:rPr>
              <w:t xml:space="preserve">Abstinence at 12 months (6 months post-EOT) (continuous). </w:t>
            </w:r>
          </w:p>
          <w:p w:rsidR="005360A2" w:rsidRDefault="005360A2" w:rsidP="00A71365">
            <w:pPr>
              <w:pStyle w:val="Tablewriting"/>
              <w:rPr>
                <w:rFonts w:eastAsia="MS Mincho" w:cstheme="minorHAnsi"/>
              </w:rPr>
            </w:pPr>
            <w:r w:rsidRPr="005360A2">
              <w:rPr>
                <w:rFonts w:eastAsia="MS Mincho" w:cstheme="minorHAnsi"/>
              </w:rPr>
              <w:t>PP and 7-day relapse-free outcomes also</w:t>
            </w:r>
            <w:r>
              <w:rPr>
                <w:rFonts w:eastAsia="MS Mincho" w:cstheme="minorHAnsi"/>
              </w:rPr>
              <w:t xml:space="preserve"> </w:t>
            </w:r>
            <w:r w:rsidRPr="005360A2">
              <w:rPr>
                <w:rFonts w:eastAsia="MS Mincho" w:cstheme="minorHAnsi"/>
              </w:rPr>
              <w:t>reported</w:t>
            </w:r>
            <w:r>
              <w:rPr>
                <w:rFonts w:eastAsia="MS Mincho" w:cstheme="minorHAnsi"/>
              </w:rPr>
              <w:t>.</w:t>
            </w:r>
          </w:p>
          <w:p w:rsidR="005360A2" w:rsidRPr="005360A2" w:rsidRDefault="005360A2" w:rsidP="00A71365">
            <w:pPr>
              <w:pStyle w:val="Tablewriting"/>
              <w:rPr>
                <w:rFonts w:eastAsia="MS Mincho" w:cstheme="minorHAnsi"/>
              </w:rPr>
            </w:pPr>
          </w:p>
          <w:p w:rsidR="005E68FB" w:rsidRDefault="005360A2" w:rsidP="00A71365">
            <w:pPr>
              <w:pStyle w:val="Tablewriting"/>
              <w:rPr>
                <w:rFonts w:eastAsia="MS Mincho" w:cstheme="minorHAnsi"/>
              </w:rPr>
            </w:pPr>
            <w:r w:rsidRPr="005360A2">
              <w:rPr>
                <w:rFonts w:eastAsia="MS Mincho" w:cstheme="minorHAnsi"/>
              </w:rPr>
              <w:t>Validation: CO (10 people not required to provide samples)</w:t>
            </w:r>
            <w:r w:rsidR="00723747">
              <w:rPr>
                <w:rFonts w:eastAsia="MS Mincho" w:cstheme="minorHAnsi"/>
              </w:rPr>
              <w:t>.</w:t>
            </w:r>
          </w:p>
          <w:p w:rsidR="00723747" w:rsidRDefault="00723747" w:rsidP="00A71365">
            <w:pPr>
              <w:pStyle w:val="Tablewriting"/>
              <w:rPr>
                <w:rFonts w:eastAsia="MS Mincho" w:cstheme="minorHAnsi"/>
              </w:rPr>
            </w:pPr>
          </w:p>
          <w:p w:rsidR="005E68FB" w:rsidRPr="00723747" w:rsidRDefault="005E68FB" w:rsidP="00A71365">
            <w:pPr>
              <w:pStyle w:val="Tablewriting"/>
              <w:rPr>
                <w:rFonts w:eastAsia="MS Mincho" w:cstheme="minorHAnsi"/>
                <w:u w:val="single"/>
              </w:rPr>
            </w:pPr>
            <w:r w:rsidRPr="005E68FB">
              <w:rPr>
                <w:rFonts w:eastAsia="MS Mincho" w:cstheme="minorHAnsi"/>
                <w:u w:val="single"/>
              </w:rPr>
              <w:t>Safety:</w:t>
            </w:r>
            <w:r w:rsidR="00723747">
              <w:rPr>
                <w:rFonts w:eastAsia="MS Mincho" w:cstheme="minorHAnsi"/>
                <w:u w:val="single"/>
              </w:rPr>
              <w:t xml:space="preserve"> </w:t>
            </w:r>
            <w:r w:rsidR="00723747">
              <w:rPr>
                <w:rFonts w:eastAsia="MS Mincho" w:cstheme="minorHAnsi"/>
              </w:rPr>
              <w:t>NR.</w:t>
            </w:r>
          </w:p>
        </w:tc>
      </w:tr>
    </w:tbl>
    <w:p w:rsidR="007C71A8" w:rsidRPr="009B042A" w:rsidRDefault="007C71A8" w:rsidP="00A71365">
      <w:pPr>
        <w:pStyle w:val="TableFooter"/>
      </w:pPr>
      <w:r>
        <w:t>Source:</w:t>
      </w:r>
      <w:r w:rsidRPr="00E67EC2">
        <w:t xml:space="preserve"> </w:t>
      </w:r>
      <w:r w:rsidRPr="00A62951">
        <w:t>Livingstone-Banks et al. (2019)</w:t>
      </w:r>
      <w:r>
        <w:t>.</w:t>
      </w:r>
    </w:p>
    <w:p w:rsidR="00ED2827" w:rsidRDefault="00743527" w:rsidP="00A71365">
      <w:pPr>
        <w:pStyle w:val="TableFooter"/>
      </w:pPr>
      <w:r>
        <w:t xml:space="preserve">Abbreviations: </w:t>
      </w:r>
      <w:r w:rsidR="00BF6244">
        <w:t xml:space="preserve">NR= not reported; </w:t>
      </w:r>
      <w:r w:rsidRPr="009B042A">
        <w:t xml:space="preserve">PPA= point prevalence smoking abstinence; </w:t>
      </w:r>
      <w:r w:rsidR="00BF6244">
        <w:t xml:space="preserve">CAR= continuous abstinence rate; </w:t>
      </w:r>
      <w:r w:rsidRPr="009B042A">
        <w:t xml:space="preserve">RCT= randomised controlled trial; N= total participants; TQD= target quit date; ITT= intention to treat; CO= carbon monoxide; </w:t>
      </w:r>
      <w:r w:rsidRPr="00D66694">
        <w:rPr>
          <w:szCs w:val="18"/>
        </w:rPr>
        <w:t>ppm=</w:t>
      </w:r>
      <w:r w:rsidRPr="009B042A">
        <w:t xml:space="preserve"> </w:t>
      </w:r>
      <w:r w:rsidR="00BF6244">
        <w:t>part per million</w:t>
      </w:r>
      <w:r w:rsidRPr="009B042A">
        <w:t xml:space="preserve">; EoT= end of treatment; </w:t>
      </w:r>
      <w:r w:rsidR="00BF6244">
        <w:t xml:space="preserve">FTND= </w:t>
      </w:r>
      <w:r w:rsidR="00BF6244" w:rsidRPr="00BD70BE">
        <w:t>Fagerström test for nicotine dependence</w:t>
      </w:r>
      <w:r w:rsidR="00BF6244">
        <w:t xml:space="preserve">; CPD= cigarette per day; AEs= adverse events; SAEs= serious adverse events. </w:t>
      </w:r>
    </w:p>
    <w:p w:rsidR="002C2327" w:rsidRDefault="002C2327" w:rsidP="002C2327">
      <w:pPr>
        <w:pStyle w:val="Caption"/>
        <w:keepNext/>
      </w:pPr>
      <w:bookmarkStart w:id="383" w:name="_Ref54888877"/>
      <w:r>
        <w:lastRenderedPageBreak/>
        <w:t xml:space="preserve">Table </w:t>
      </w:r>
      <w:r w:rsidR="003C4A1C">
        <w:rPr>
          <w:noProof/>
        </w:rPr>
        <w:t>154</w:t>
      </w:r>
      <w:bookmarkEnd w:id="383"/>
      <w:r>
        <w:t xml:space="preserve">: </w:t>
      </w:r>
      <w:r w:rsidRPr="00044526">
        <w:t xml:space="preserve">Characteristics of studies included in Livingstone-Banks et al. (2019), </w:t>
      </w:r>
      <w:r>
        <w:t>NRT</w:t>
      </w:r>
      <w:r w:rsidRPr="00044526">
        <w:t xml:space="preserve"> versus placebo in abstainers (relapse prevention)</w:t>
      </w:r>
    </w:p>
    <w:tbl>
      <w:tblPr>
        <w:tblStyle w:val="TableGrid"/>
        <w:tblW w:w="5270" w:type="pct"/>
        <w:tblLook w:val="04A0" w:firstRow="1" w:lastRow="0" w:firstColumn="1" w:lastColumn="0" w:noHBand="0" w:noVBand="1"/>
        <w:tblCaption w:val="Efficacy results of adalimumab trials (PASI 75 and DLQI)"/>
      </w:tblPr>
      <w:tblGrid>
        <w:gridCol w:w="1456"/>
        <w:gridCol w:w="690"/>
        <w:gridCol w:w="1273"/>
        <w:gridCol w:w="1053"/>
        <w:gridCol w:w="3599"/>
        <w:gridCol w:w="3666"/>
        <w:gridCol w:w="2964"/>
      </w:tblGrid>
      <w:tr w:rsidR="002C2327" w:rsidRPr="00061F78" w:rsidTr="005012C6">
        <w:trPr>
          <w:trHeight w:val="299"/>
          <w:tblHeader/>
        </w:trPr>
        <w:tc>
          <w:tcPr>
            <w:tcW w:w="495" w:type="pct"/>
            <w:shd w:val="clear" w:color="auto" w:fill="BFBFBF" w:themeFill="background1" w:themeFillShade="BF"/>
            <w:tcMar>
              <w:left w:w="28" w:type="dxa"/>
              <w:right w:w="28" w:type="dxa"/>
            </w:tcMar>
          </w:tcPr>
          <w:p w:rsidR="002C2327" w:rsidRPr="00061F78" w:rsidRDefault="00126B7B" w:rsidP="00A71365">
            <w:pPr>
              <w:pStyle w:val="Tableheading"/>
              <w:rPr>
                <w:rFonts w:eastAsia="MS Mincho"/>
              </w:rPr>
            </w:pPr>
            <w:r>
              <w:rPr>
                <w:rFonts w:eastAsia="MS Mincho"/>
              </w:rPr>
              <w:t>Study</w:t>
            </w:r>
          </w:p>
        </w:tc>
        <w:tc>
          <w:tcPr>
            <w:tcW w:w="234" w:type="pct"/>
            <w:shd w:val="clear" w:color="auto" w:fill="BFBFBF" w:themeFill="background1" w:themeFillShade="BF"/>
          </w:tcPr>
          <w:p w:rsidR="002C2327" w:rsidRDefault="002C2327" w:rsidP="00A71365">
            <w:pPr>
              <w:pStyle w:val="Tableheading"/>
              <w:jc w:val="center"/>
              <w:rPr>
                <w:rFonts w:eastAsia="MS Mincho"/>
              </w:rPr>
            </w:pPr>
            <w:r>
              <w:rPr>
                <w:rFonts w:eastAsia="MS Mincho"/>
              </w:rPr>
              <w:t>Study type</w:t>
            </w:r>
          </w:p>
        </w:tc>
        <w:tc>
          <w:tcPr>
            <w:tcW w:w="433" w:type="pct"/>
            <w:shd w:val="clear" w:color="auto" w:fill="BFBFBF" w:themeFill="background1" w:themeFillShade="BF"/>
          </w:tcPr>
          <w:p w:rsidR="002C2327" w:rsidRDefault="002C2327" w:rsidP="00A71365">
            <w:pPr>
              <w:pStyle w:val="Tableheading"/>
              <w:jc w:val="center"/>
              <w:rPr>
                <w:rFonts w:eastAsia="MS Mincho"/>
              </w:rPr>
            </w:pPr>
            <w:r>
              <w:rPr>
                <w:rFonts w:eastAsia="MS Mincho"/>
              </w:rPr>
              <w:t>Countries</w:t>
            </w:r>
          </w:p>
        </w:tc>
        <w:tc>
          <w:tcPr>
            <w:tcW w:w="358" w:type="pct"/>
            <w:shd w:val="clear" w:color="auto" w:fill="BFBFBF" w:themeFill="background1" w:themeFillShade="BF"/>
            <w:tcMar>
              <w:left w:w="28" w:type="dxa"/>
              <w:right w:w="28" w:type="dxa"/>
            </w:tcMar>
          </w:tcPr>
          <w:p w:rsidR="002C2327" w:rsidRPr="00061F78" w:rsidRDefault="002C2327" w:rsidP="00A71365">
            <w:pPr>
              <w:pStyle w:val="Tableheading"/>
              <w:jc w:val="center"/>
              <w:rPr>
                <w:rFonts w:eastAsia="MS Mincho"/>
              </w:rPr>
            </w:pPr>
            <w:r>
              <w:rPr>
                <w:rFonts w:eastAsia="MS Mincho"/>
              </w:rPr>
              <w:t>N</w:t>
            </w:r>
          </w:p>
        </w:tc>
        <w:tc>
          <w:tcPr>
            <w:tcW w:w="1224" w:type="pct"/>
            <w:shd w:val="clear" w:color="auto" w:fill="BFBFBF" w:themeFill="background1" w:themeFillShade="BF"/>
            <w:tcMar>
              <w:left w:w="28" w:type="dxa"/>
              <w:right w:w="28" w:type="dxa"/>
            </w:tcMar>
          </w:tcPr>
          <w:p w:rsidR="002C2327" w:rsidRPr="00061F78" w:rsidRDefault="002C2327" w:rsidP="00A71365">
            <w:pPr>
              <w:pStyle w:val="Tableheading"/>
              <w:jc w:val="center"/>
              <w:rPr>
                <w:rFonts w:eastAsia="MS Mincho"/>
              </w:rPr>
            </w:pPr>
            <w:r w:rsidRPr="00061F78">
              <w:rPr>
                <w:rFonts w:eastAsia="MS Mincho"/>
              </w:rPr>
              <w:t>P</w:t>
            </w:r>
            <w:r>
              <w:rPr>
                <w:rFonts w:eastAsia="MS Mincho"/>
              </w:rPr>
              <w:t>opulation</w:t>
            </w:r>
          </w:p>
        </w:tc>
        <w:tc>
          <w:tcPr>
            <w:tcW w:w="1247" w:type="pct"/>
            <w:shd w:val="clear" w:color="auto" w:fill="BFBFBF" w:themeFill="background1" w:themeFillShade="BF"/>
          </w:tcPr>
          <w:p w:rsidR="002C2327" w:rsidRDefault="002C2327" w:rsidP="00A71365">
            <w:pPr>
              <w:pStyle w:val="Tableheading"/>
              <w:jc w:val="center"/>
              <w:rPr>
                <w:rFonts w:eastAsia="MS Mincho"/>
              </w:rPr>
            </w:pPr>
            <w:r>
              <w:rPr>
                <w:rFonts w:eastAsia="MS Mincho"/>
              </w:rPr>
              <w:t>Intervention and comparator</w:t>
            </w:r>
          </w:p>
        </w:tc>
        <w:tc>
          <w:tcPr>
            <w:tcW w:w="1008" w:type="pct"/>
            <w:shd w:val="clear" w:color="auto" w:fill="BFBFBF" w:themeFill="background1" w:themeFillShade="BF"/>
            <w:tcMar>
              <w:left w:w="28" w:type="dxa"/>
              <w:right w:w="28" w:type="dxa"/>
            </w:tcMar>
          </w:tcPr>
          <w:p w:rsidR="002C2327" w:rsidRPr="00061F78" w:rsidRDefault="002C2327" w:rsidP="00A71365">
            <w:pPr>
              <w:pStyle w:val="Tableheading"/>
              <w:jc w:val="center"/>
              <w:rPr>
                <w:rFonts w:eastAsia="MS Mincho"/>
              </w:rPr>
            </w:pPr>
            <w:r>
              <w:rPr>
                <w:rFonts w:eastAsia="MS Mincho"/>
              </w:rPr>
              <w:t>Outcomes</w:t>
            </w:r>
          </w:p>
        </w:tc>
      </w:tr>
      <w:tr w:rsidR="006A6CB7" w:rsidRPr="00017AE6" w:rsidTr="005012C6">
        <w:trPr>
          <w:trHeight w:val="99"/>
        </w:trPr>
        <w:tc>
          <w:tcPr>
            <w:tcW w:w="495" w:type="pct"/>
          </w:tcPr>
          <w:p w:rsidR="006A6CB7" w:rsidRPr="00017AE6" w:rsidRDefault="006A6CB7" w:rsidP="00A71365">
            <w:pPr>
              <w:pStyle w:val="Tablewriting"/>
              <w:rPr>
                <w:rFonts w:eastAsia="MS Mincho" w:cstheme="minorHAnsi"/>
              </w:rPr>
            </w:pPr>
            <w:r w:rsidRPr="00473B35">
              <w:rPr>
                <w:rFonts w:eastAsia="MS Mincho" w:cstheme="minorHAnsi"/>
              </w:rPr>
              <w:t xml:space="preserve">Covey </w:t>
            </w:r>
            <w:r w:rsidR="00736D03">
              <w:rPr>
                <w:rFonts w:eastAsia="MS Mincho" w:cstheme="minorHAnsi"/>
              </w:rPr>
              <w:t>(</w:t>
            </w:r>
            <w:r w:rsidRPr="00473B35">
              <w:rPr>
                <w:rFonts w:eastAsia="MS Mincho" w:cstheme="minorHAnsi"/>
              </w:rPr>
              <w:t>2007</w:t>
            </w:r>
            <w:r w:rsidR="00736D03">
              <w:rPr>
                <w:rFonts w:eastAsia="MS Mincho" w:cstheme="minorHAnsi"/>
              </w:rPr>
              <w:t>)</w:t>
            </w:r>
          </w:p>
        </w:tc>
        <w:tc>
          <w:tcPr>
            <w:tcW w:w="234" w:type="pct"/>
          </w:tcPr>
          <w:p w:rsidR="006A6CB7" w:rsidRPr="00017AE6" w:rsidRDefault="00041FA9" w:rsidP="00A71365">
            <w:pPr>
              <w:pStyle w:val="Tablewriting"/>
              <w:rPr>
                <w:rFonts w:eastAsia="MS Mincho" w:cstheme="minorHAnsi"/>
              </w:rPr>
            </w:pPr>
            <w:r>
              <w:rPr>
                <w:rFonts w:eastAsia="MS Mincho" w:cstheme="minorHAnsi"/>
              </w:rPr>
              <w:t>RCT</w:t>
            </w:r>
          </w:p>
        </w:tc>
        <w:tc>
          <w:tcPr>
            <w:tcW w:w="433" w:type="pct"/>
          </w:tcPr>
          <w:p w:rsidR="006A6CB7" w:rsidRPr="00017AE6" w:rsidRDefault="006A6CB7" w:rsidP="00A71365">
            <w:pPr>
              <w:pStyle w:val="Tablewriting"/>
              <w:rPr>
                <w:rFonts w:eastAsia="MS Mincho" w:cstheme="minorHAnsi"/>
              </w:rPr>
            </w:pPr>
            <w:r>
              <w:rPr>
                <w:rFonts w:eastAsia="MS Mincho" w:cstheme="minorHAnsi"/>
              </w:rPr>
              <w:t>USA</w:t>
            </w:r>
          </w:p>
        </w:tc>
        <w:tc>
          <w:tcPr>
            <w:tcW w:w="358" w:type="pct"/>
          </w:tcPr>
          <w:p w:rsidR="006A6CB7" w:rsidRPr="00017AE6" w:rsidRDefault="006A6CB7" w:rsidP="00A71365">
            <w:pPr>
              <w:pStyle w:val="Tablewriting"/>
              <w:rPr>
                <w:rFonts w:eastAsia="MS Mincho" w:cstheme="minorHAnsi"/>
              </w:rPr>
            </w:pPr>
            <w:r>
              <w:rPr>
                <w:rFonts w:eastAsia="MS Mincho" w:cstheme="minorHAnsi"/>
              </w:rPr>
              <w:t>N=289</w:t>
            </w:r>
          </w:p>
        </w:tc>
        <w:tc>
          <w:tcPr>
            <w:tcW w:w="1224" w:type="pct"/>
          </w:tcPr>
          <w:p w:rsidR="006A6CB7" w:rsidRPr="00B546E7" w:rsidRDefault="006A6CB7" w:rsidP="00A71365">
            <w:pPr>
              <w:pStyle w:val="Tablewriting"/>
              <w:rPr>
                <w:rFonts w:eastAsia="MS Mincho" w:cstheme="minorHAnsi"/>
              </w:rPr>
            </w:pPr>
            <w:r>
              <w:rPr>
                <w:rFonts w:eastAsia="MS Mincho" w:cstheme="minorHAnsi"/>
              </w:rPr>
              <w:t>A</w:t>
            </w:r>
            <w:r w:rsidRPr="00B546E7">
              <w:rPr>
                <w:rFonts w:eastAsia="MS Mincho" w:cstheme="minorHAnsi"/>
              </w:rPr>
              <w:t>bstainers (excludes 5 withdrawing consent before starting medication)</w:t>
            </w:r>
            <w:r>
              <w:rPr>
                <w:rFonts w:eastAsia="MS Mincho" w:cstheme="minorHAnsi"/>
              </w:rPr>
              <w:t xml:space="preserve">, </w:t>
            </w:r>
            <w:r w:rsidRPr="00B546E7">
              <w:rPr>
                <w:rFonts w:eastAsia="MS Mincho" w:cstheme="minorHAnsi"/>
              </w:rPr>
              <w:t>45% female, average age 43</w:t>
            </w:r>
            <w:r>
              <w:rPr>
                <w:rFonts w:eastAsia="MS Mincho" w:cstheme="minorHAnsi"/>
              </w:rPr>
              <w:t xml:space="preserve"> years</w:t>
            </w:r>
            <w:r w:rsidRPr="00B546E7">
              <w:rPr>
                <w:rFonts w:eastAsia="MS Mincho" w:cstheme="minorHAnsi"/>
              </w:rPr>
              <w:t xml:space="preserve">, average </w:t>
            </w:r>
            <w:r w:rsidR="00041FA9">
              <w:rPr>
                <w:rFonts w:eastAsia="MS Mincho" w:cstheme="minorHAnsi"/>
              </w:rPr>
              <w:t>CPD</w:t>
            </w:r>
            <w:r w:rsidRPr="00B546E7">
              <w:rPr>
                <w:rFonts w:eastAsia="MS Mincho" w:cstheme="minorHAnsi"/>
              </w:rPr>
              <w:t xml:space="preserve"> 21</w:t>
            </w:r>
            <w:r>
              <w:rPr>
                <w:rFonts w:eastAsia="MS Mincho" w:cstheme="minorHAnsi"/>
              </w:rPr>
              <w:t>.</w:t>
            </w:r>
          </w:p>
          <w:p w:rsidR="006A6CB7" w:rsidRDefault="006A6CB7" w:rsidP="00A71365">
            <w:pPr>
              <w:pStyle w:val="Tablewriting"/>
              <w:rPr>
                <w:rFonts w:eastAsia="MS Mincho" w:cstheme="minorHAnsi"/>
              </w:rPr>
            </w:pPr>
          </w:p>
          <w:p w:rsidR="006A6CB7" w:rsidRPr="00017AE6" w:rsidRDefault="006A6CB7" w:rsidP="00A71365">
            <w:pPr>
              <w:pStyle w:val="Tablewriting"/>
              <w:rPr>
                <w:rFonts w:eastAsia="MS Mincho" w:cstheme="minorHAnsi"/>
              </w:rPr>
            </w:pPr>
            <w:r w:rsidRPr="00B546E7">
              <w:rPr>
                <w:rFonts w:eastAsia="MS Mincho" w:cstheme="minorHAnsi"/>
              </w:rPr>
              <w:t>Therapists: counsellors, 1-month</w:t>
            </w:r>
            <w:r>
              <w:rPr>
                <w:rFonts w:eastAsia="MS Mincho" w:cstheme="minorHAnsi"/>
              </w:rPr>
              <w:t xml:space="preserve"> </w:t>
            </w:r>
            <w:r w:rsidRPr="00B546E7">
              <w:rPr>
                <w:rFonts w:eastAsia="MS Mincho" w:cstheme="minorHAnsi"/>
              </w:rPr>
              <w:t>training</w:t>
            </w:r>
            <w:r>
              <w:rPr>
                <w:rFonts w:eastAsia="MS Mincho" w:cstheme="minorHAnsi"/>
              </w:rPr>
              <w:t>.</w:t>
            </w:r>
          </w:p>
        </w:tc>
        <w:tc>
          <w:tcPr>
            <w:tcW w:w="1247" w:type="pct"/>
          </w:tcPr>
          <w:p w:rsidR="006A6CB7" w:rsidRDefault="006A6CB7" w:rsidP="00C324F3">
            <w:pPr>
              <w:pStyle w:val="Tablewriting"/>
              <w:numPr>
                <w:ilvl w:val="0"/>
                <w:numId w:val="160"/>
              </w:numPr>
              <w:rPr>
                <w:rFonts w:eastAsia="MS Mincho" w:cstheme="minorHAnsi"/>
              </w:rPr>
            </w:pPr>
            <w:r w:rsidRPr="00C30F1B">
              <w:rPr>
                <w:rFonts w:eastAsia="MS Mincho" w:cstheme="minorHAnsi"/>
              </w:rPr>
              <w:t>Bupropion (300 mg) and nicotine gum (2 mg, use as needed to manage craving) for 16 weeks</w:t>
            </w:r>
            <w:r>
              <w:rPr>
                <w:rFonts w:eastAsia="MS Mincho" w:cstheme="minorHAnsi"/>
              </w:rPr>
              <w:t>.</w:t>
            </w:r>
          </w:p>
          <w:p w:rsidR="006A6CB7" w:rsidRDefault="006A6CB7" w:rsidP="00C324F3">
            <w:pPr>
              <w:pStyle w:val="Tablewriting"/>
              <w:numPr>
                <w:ilvl w:val="0"/>
                <w:numId w:val="160"/>
              </w:numPr>
              <w:rPr>
                <w:rFonts w:eastAsia="MS Mincho" w:cstheme="minorHAnsi"/>
              </w:rPr>
            </w:pPr>
            <w:r w:rsidRPr="00A80535">
              <w:rPr>
                <w:rFonts w:eastAsia="MS Mincho" w:cstheme="minorHAnsi"/>
              </w:rPr>
              <w:t>Bupropion and placebo gum</w:t>
            </w:r>
            <w:r>
              <w:rPr>
                <w:rFonts w:eastAsia="MS Mincho" w:cstheme="minorHAnsi"/>
              </w:rPr>
              <w:t>.</w:t>
            </w:r>
          </w:p>
          <w:p w:rsidR="006A6CB7" w:rsidRDefault="006A6CB7" w:rsidP="00C324F3">
            <w:pPr>
              <w:pStyle w:val="Tablewriting"/>
              <w:numPr>
                <w:ilvl w:val="0"/>
                <w:numId w:val="160"/>
              </w:numPr>
              <w:rPr>
                <w:rFonts w:eastAsia="MS Mincho" w:cstheme="minorHAnsi"/>
              </w:rPr>
            </w:pPr>
            <w:r w:rsidRPr="00A80535">
              <w:rPr>
                <w:rFonts w:eastAsia="MS Mincho" w:cstheme="minorHAnsi"/>
              </w:rPr>
              <w:t>Nicotine gum and placebo pill (150 mg bupropion for first week)</w:t>
            </w:r>
            <w:r>
              <w:rPr>
                <w:rFonts w:eastAsia="MS Mincho" w:cstheme="minorHAnsi"/>
              </w:rPr>
              <w:t>.</w:t>
            </w:r>
          </w:p>
          <w:p w:rsidR="006A6CB7" w:rsidRPr="00A80535" w:rsidRDefault="006A6CB7" w:rsidP="00C324F3">
            <w:pPr>
              <w:pStyle w:val="Tablewriting"/>
              <w:numPr>
                <w:ilvl w:val="0"/>
                <w:numId w:val="160"/>
              </w:numPr>
              <w:rPr>
                <w:rFonts w:eastAsia="MS Mincho" w:cstheme="minorHAnsi"/>
              </w:rPr>
            </w:pPr>
            <w:r w:rsidRPr="00A80535">
              <w:rPr>
                <w:rFonts w:eastAsia="MS Mincho" w:cstheme="minorHAnsi"/>
              </w:rPr>
              <w:t>Double placebo (150 mg bupropion for first week)</w:t>
            </w:r>
            <w:r>
              <w:rPr>
                <w:rFonts w:eastAsia="MS Mincho" w:cstheme="minorHAnsi"/>
              </w:rPr>
              <w:t>.</w:t>
            </w:r>
          </w:p>
          <w:p w:rsidR="006A6CB7" w:rsidRDefault="006A6CB7" w:rsidP="00A71365">
            <w:pPr>
              <w:pStyle w:val="Tablewriting"/>
              <w:rPr>
                <w:rFonts w:eastAsia="MS Mincho" w:cstheme="minorHAnsi"/>
              </w:rPr>
            </w:pPr>
          </w:p>
          <w:p w:rsidR="006A6CB7" w:rsidRPr="00C30F1B" w:rsidRDefault="006A6CB7" w:rsidP="00A71365">
            <w:pPr>
              <w:pStyle w:val="Tablewriting"/>
              <w:rPr>
                <w:rFonts w:eastAsia="MS Mincho" w:cstheme="minorHAnsi"/>
              </w:rPr>
            </w:pPr>
            <w:r w:rsidRPr="00C30F1B">
              <w:rPr>
                <w:rFonts w:eastAsia="MS Mincho" w:cstheme="minorHAnsi"/>
                <w:u w:val="single"/>
              </w:rPr>
              <w:t>Common components:</w:t>
            </w:r>
            <w:r>
              <w:rPr>
                <w:rFonts w:eastAsia="MS Mincho" w:cstheme="minorHAnsi"/>
              </w:rPr>
              <w:t xml:space="preserve"> </w:t>
            </w:r>
            <w:r w:rsidRPr="00C30F1B">
              <w:rPr>
                <w:rFonts w:eastAsia="MS Mincho" w:cstheme="minorHAnsi"/>
              </w:rPr>
              <w:t>All participants received 8 weeks open-label bupropion and nicotine patch (21 mg with weaning) for</w:t>
            </w:r>
          </w:p>
          <w:p w:rsidR="006A6CB7" w:rsidRPr="00017AE6" w:rsidRDefault="006A6CB7" w:rsidP="00A71365">
            <w:pPr>
              <w:pStyle w:val="Tablewriting"/>
              <w:rPr>
                <w:rFonts w:eastAsia="MS Mincho" w:cstheme="minorHAnsi"/>
              </w:rPr>
            </w:pPr>
            <w:r w:rsidRPr="00C30F1B">
              <w:rPr>
                <w:rFonts w:eastAsia="MS Mincho" w:cstheme="minorHAnsi"/>
              </w:rPr>
              <w:t>7 weeks from TQD. Transition procedures preserved blinding for the relapse prevention phase but allowed</w:t>
            </w:r>
            <w:r>
              <w:rPr>
                <w:rFonts w:eastAsia="MS Mincho" w:cstheme="minorHAnsi"/>
              </w:rPr>
              <w:t xml:space="preserve"> </w:t>
            </w:r>
            <w:r w:rsidRPr="00C30F1B">
              <w:rPr>
                <w:rFonts w:eastAsia="MS Mincho" w:cstheme="minorHAnsi"/>
              </w:rPr>
              <w:t>weaning from bupropion. Individual counselling, including CBT techniques, 15 minutes × 6 during</w:t>
            </w:r>
            <w:r>
              <w:rPr>
                <w:rFonts w:eastAsia="MS Mincho" w:cstheme="minorHAnsi"/>
              </w:rPr>
              <w:t xml:space="preserve"> </w:t>
            </w:r>
            <w:r w:rsidRPr="00C30F1B">
              <w:rPr>
                <w:rFonts w:eastAsia="MS Mincho" w:cstheme="minorHAnsi"/>
              </w:rPr>
              <w:t>open-label, × 4 during relapse prevention, × 2 during follow-up</w:t>
            </w:r>
            <w:r>
              <w:rPr>
                <w:rFonts w:eastAsia="MS Mincho" w:cstheme="minorHAnsi"/>
              </w:rPr>
              <w:t>.</w:t>
            </w:r>
          </w:p>
        </w:tc>
        <w:tc>
          <w:tcPr>
            <w:tcW w:w="1008" w:type="pct"/>
          </w:tcPr>
          <w:p w:rsidR="006A6CB7" w:rsidRPr="005E68FB" w:rsidRDefault="006A6CB7" w:rsidP="00A71365">
            <w:pPr>
              <w:pStyle w:val="Tablewriting"/>
              <w:rPr>
                <w:rFonts w:eastAsia="MS Mincho" w:cstheme="minorHAnsi"/>
                <w:u w:val="single"/>
              </w:rPr>
            </w:pPr>
            <w:r w:rsidRPr="005E68FB">
              <w:rPr>
                <w:rFonts w:eastAsia="MS Mincho" w:cstheme="minorHAnsi"/>
                <w:u w:val="single"/>
              </w:rPr>
              <w:t xml:space="preserve">Efficacy: </w:t>
            </w:r>
          </w:p>
          <w:p w:rsidR="006A6CB7" w:rsidRDefault="006A6CB7" w:rsidP="00A71365">
            <w:pPr>
              <w:pStyle w:val="Tablewriting"/>
              <w:rPr>
                <w:rFonts w:eastAsia="MS Mincho" w:cstheme="minorHAnsi"/>
              </w:rPr>
            </w:pPr>
            <w:r w:rsidRPr="00CE33A2">
              <w:rPr>
                <w:rFonts w:eastAsia="MS Mincho" w:cstheme="minorHAnsi"/>
              </w:rPr>
              <w:t>Abstinence (no relapse to 7 days of smoking) for 12 months (10 months after randomisation, 6 months</w:t>
            </w:r>
            <w:r>
              <w:rPr>
                <w:rFonts w:eastAsia="MS Mincho" w:cstheme="minorHAnsi"/>
              </w:rPr>
              <w:t xml:space="preserve"> </w:t>
            </w:r>
            <w:r w:rsidRPr="00CE33A2">
              <w:rPr>
                <w:rFonts w:eastAsia="MS Mincho" w:cstheme="minorHAnsi"/>
              </w:rPr>
              <w:t>after EOT) (primary outcome for study was time to relapse)</w:t>
            </w:r>
            <w:r>
              <w:rPr>
                <w:rFonts w:eastAsia="MS Mincho" w:cstheme="minorHAnsi"/>
              </w:rPr>
              <w:t>.</w:t>
            </w:r>
          </w:p>
          <w:p w:rsidR="006A6CB7" w:rsidRPr="00CE33A2" w:rsidRDefault="006A6CB7" w:rsidP="00A71365">
            <w:pPr>
              <w:pStyle w:val="Tablewriting"/>
              <w:rPr>
                <w:rFonts w:eastAsia="MS Mincho" w:cstheme="minorHAnsi"/>
              </w:rPr>
            </w:pPr>
          </w:p>
          <w:p w:rsidR="006A6CB7" w:rsidRDefault="006A6CB7" w:rsidP="00A71365">
            <w:pPr>
              <w:pStyle w:val="Tablewriting"/>
              <w:rPr>
                <w:rFonts w:eastAsia="MS Mincho" w:cstheme="minorHAnsi"/>
              </w:rPr>
            </w:pPr>
            <w:r w:rsidRPr="00CE33A2">
              <w:rPr>
                <w:rFonts w:eastAsia="MS Mincho" w:cstheme="minorHAnsi"/>
              </w:rPr>
              <w:t xml:space="preserve">Validation: CO </w:t>
            </w:r>
            <w:r w:rsidRPr="006A6CB7">
              <w:rPr>
                <w:rFonts w:eastAsia="MS Mincho" w:cstheme="minorHAnsi"/>
              </w:rPr>
              <w:t>≤</w:t>
            </w:r>
            <w:r w:rsidRPr="00CE33A2">
              <w:rPr>
                <w:rFonts w:eastAsia="MS Mincho" w:cstheme="minorHAnsi"/>
              </w:rPr>
              <w:t xml:space="preserve"> 8 ppm at each visit</w:t>
            </w:r>
            <w:r>
              <w:rPr>
                <w:rFonts w:eastAsia="MS Mincho" w:cstheme="minorHAnsi"/>
              </w:rPr>
              <w:t>.</w:t>
            </w:r>
          </w:p>
          <w:p w:rsidR="006A6CB7" w:rsidRDefault="006A6CB7" w:rsidP="00A71365">
            <w:pPr>
              <w:pStyle w:val="Tablewriting"/>
              <w:rPr>
                <w:rFonts w:eastAsia="MS Mincho" w:cstheme="minorHAnsi"/>
              </w:rPr>
            </w:pPr>
          </w:p>
          <w:p w:rsidR="006A6CB7" w:rsidRPr="005E68FB" w:rsidRDefault="006A6CB7" w:rsidP="00A71365">
            <w:pPr>
              <w:pStyle w:val="Tablewriting"/>
              <w:rPr>
                <w:rFonts w:eastAsia="MS Mincho" w:cstheme="minorHAnsi"/>
                <w:u w:val="single"/>
              </w:rPr>
            </w:pPr>
            <w:r w:rsidRPr="005E68FB">
              <w:rPr>
                <w:rFonts w:eastAsia="MS Mincho" w:cstheme="minorHAnsi"/>
                <w:u w:val="single"/>
              </w:rPr>
              <w:t>Safety:</w:t>
            </w:r>
            <w:r>
              <w:rPr>
                <w:rFonts w:eastAsia="MS Mincho" w:cstheme="minorHAnsi"/>
                <w:u w:val="single"/>
              </w:rPr>
              <w:t xml:space="preserve"> NR</w:t>
            </w:r>
          </w:p>
          <w:p w:rsidR="006A6CB7" w:rsidRPr="004272CD" w:rsidRDefault="006A6CB7" w:rsidP="00A71365">
            <w:pPr>
              <w:pStyle w:val="Tablewriting"/>
              <w:rPr>
                <w:rFonts w:eastAsia="MS Mincho" w:cstheme="minorHAnsi"/>
                <w:u w:val="single"/>
              </w:rPr>
            </w:pPr>
          </w:p>
        </w:tc>
      </w:tr>
      <w:tr w:rsidR="006A6CB7" w:rsidRPr="00017AE6" w:rsidTr="005012C6">
        <w:trPr>
          <w:trHeight w:val="99"/>
        </w:trPr>
        <w:tc>
          <w:tcPr>
            <w:tcW w:w="495" w:type="pct"/>
          </w:tcPr>
          <w:p w:rsidR="006A6CB7" w:rsidRPr="004470C9" w:rsidRDefault="006A6CB7" w:rsidP="00A71365">
            <w:pPr>
              <w:pStyle w:val="Tablewriting"/>
              <w:rPr>
                <w:rFonts w:eastAsia="MS Mincho" w:cstheme="minorHAnsi"/>
              </w:rPr>
            </w:pPr>
            <w:r w:rsidRPr="00F476C9">
              <w:rPr>
                <w:rFonts w:eastAsia="MS Mincho" w:cstheme="minorHAnsi"/>
              </w:rPr>
              <w:t xml:space="preserve">Croghan </w:t>
            </w:r>
            <w:r w:rsidR="00736D03">
              <w:rPr>
                <w:rFonts w:eastAsia="MS Mincho" w:cstheme="minorHAnsi"/>
              </w:rPr>
              <w:t>(</w:t>
            </w:r>
            <w:r w:rsidRPr="00F476C9">
              <w:rPr>
                <w:rFonts w:eastAsia="MS Mincho" w:cstheme="minorHAnsi"/>
              </w:rPr>
              <w:t>2007</w:t>
            </w:r>
            <w:r w:rsidR="00736D03">
              <w:rPr>
                <w:rFonts w:eastAsia="MS Mincho" w:cstheme="minorHAnsi"/>
              </w:rPr>
              <w:t>)</w:t>
            </w:r>
          </w:p>
        </w:tc>
        <w:tc>
          <w:tcPr>
            <w:tcW w:w="234" w:type="pct"/>
          </w:tcPr>
          <w:p w:rsidR="006A6CB7" w:rsidRPr="00017AE6" w:rsidRDefault="006A6CB7" w:rsidP="00A71365">
            <w:pPr>
              <w:pStyle w:val="Tablewriting"/>
              <w:rPr>
                <w:rFonts w:eastAsia="MS Mincho" w:cstheme="minorHAnsi"/>
              </w:rPr>
            </w:pPr>
            <w:r>
              <w:rPr>
                <w:rFonts w:eastAsia="MS Mincho" w:cstheme="minorHAnsi"/>
              </w:rPr>
              <w:t>RCT</w:t>
            </w:r>
          </w:p>
        </w:tc>
        <w:tc>
          <w:tcPr>
            <w:tcW w:w="433" w:type="pct"/>
          </w:tcPr>
          <w:p w:rsidR="006A6CB7" w:rsidRPr="00017AE6" w:rsidRDefault="006A6CB7" w:rsidP="00A71365">
            <w:pPr>
              <w:pStyle w:val="Tablewriting"/>
              <w:rPr>
                <w:rFonts w:eastAsia="MS Mincho" w:cstheme="minorHAnsi"/>
              </w:rPr>
            </w:pPr>
            <w:r>
              <w:rPr>
                <w:rFonts w:eastAsia="MS Mincho" w:cstheme="minorHAnsi"/>
              </w:rPr>
              <w:t>USA</w:t>
            </w:r>
          </w:p>
        </w:tc>
        <w:tc>
          <w:tcPr>
            <w:tcW w:w="358" w:type="pct"/>
          </w:tcPr>
          <w:p w:rsidR="006A6CB7" w:rsidRPr="00017AE6" w:rsidRDefault="006A6CB7" w:rsidP="00A71365">
            <w:pPr>
              <w:pStyle w:val="Tablewriting"/>
              <w:rPr>
                <w:rFonts w:eastAsia="MS Mincho" w:cstheme="minorHAnsi"/>
              </w:rPr>
            </w:pPr>
            <w:r w:rsidRPr="00911D2C">
              <w:rPr>
                <w:rFonts w:eastAsia="MS Mincho" w:cstheme="minorHAnsi"/>
              </w:rPr>
              <w:t>N=</w:t>
            </w:r>
            <w:r>
              <w:rPr>
                <w:rFonts w:eastAsia="MS Mincho" w:cstheme="minorHAnsi"/>
              </w:rPr>
              <w:t>405</w:t>
            </w:r>
          </w:p>
        </w:tc>
        <w:tc>
          <w:tcPr>
            <w:tcW w:w="1224" w:type="pct"/>
          </w:tcPr>
          <w:p w:rsidR="006A6CB7" w:rsidRPr="00186BA0" w:rsidRDefault="006A6CB7" w:rsidP="00A71365">
            <w:pPr>
              <w:pStyle w:val="Tablewriting"/>
              <w:rPr>
                <w:rFonts w:eastAsia="MS Mincho" w:cstheme="minorHAnsi"/>
              </w:rPr>
            </w:pPr>
            <w:r>
              <w:rPr>
                <w:rFonts w:eastAsia="MS Mincho" w:cstheme="minorHAnsi"/>
              </w:rPr>
              <w:t>A</w:t>
            </w:r>
            <w:r w:rsidRPr="00186BA0">
              <w:rPr>
                <w:rFonts w:eastAsia="MS Mincho" w:cstheme="minorHAnsi"/>
              </w:rPr>
              <w:t>bstainers after 3 months pharmacotherapy, 74 from inhaler, 141 bupropion, 190 combination</w:t>
            </w:r>
            <w:r>
              <w:rPr>
                <w:rFonts w:eastAsia="MS Mincho" w:cstheme="minorHAnsi"/>
              </w:rPr>
              <w:t>.</w:t>
            </w:r>
          </w:p>
          <w:p w:rsidR="006A6CB7" w:rsidRPr="00017AE6" w:rsidRDefault="006A6CB7" w:rsidP="00A71365">
            <w:pPr>
              <w:pStyle w:val="Tablewriting"/>
              <w:rPr>
                <w:rFonts w:eastAsia="MS Mincho" w:cstheme="minorHAnsi"/>
              </w:rPr>
            </w:pPr>
            <w:r w:rsidRPr="00186BA0">
              <w:rPr>
                <w:rFonts w:eastAsia="MS Mincho" w:cstheme="minorHAnsi"/>
              </w:rPr>
              <w:t>Participant characteristics not presented at start of relapse prevention phase</w:t>
            </w:r>
          </w:p>
        </w:tc>
        <w:tc>
          <w:tcPr>
            <w:tcW w:w="1247" w:type="pct"/>
          </w:tcPr>
          <w:p w:rsidR="006A6CB7" w:rsidRDefault="006A6CB7" w:rsidP="00A71365">
            <w:pPr>
              <w:pStyle w:val="Tablewriting"/>
              <w:rPr>
                <w:rFonts w:eastAsia="MS Mincho" w:cstheme="minorHAnsi"/>
              </w:rPr>
            </w:pPr>
            <w:r w:rsidRPr="00180FEC">
              <w:rPr>
                <w:rFonts w:eastAsia="MS Mincho" w:cstheme="minorHAnsi"/>
              </w:rPr>
              <w:t>In cessation phase,</w:t>
            </w:r>
            <w:r>
              <w:rPr>
                <w:rFonts w:eastAsia="MS Mincho" w:cstheme="minorHAnsi"/>
              </w:rPr>
              <w:t xml:space="preserve"> </w:t>
            </w:r>
            <w:r w:rsidRPr="00180FEC">
              <w:rPr>
                <w:rFonts w:eastAsia="MS Mincho" w:cstheme="minorHAnsi"/>
              </w:rPr>
              <w:t>participants had been randomly assigned to</w:t>
            </w:r>
            <w:r>
              <w:rPr>
                <w:rFonts w:eastAsia="MS Mincho" w:cstheme="minorHAnsi"/>
              </w:rPr>
              <w:t>:</w:t>
            </w:r>
          </w:p>
          <w:p w:rsidR="006A6CB7" w:rsidRDefault="006A6CB7" w:rsidP="00C324F3">
            <w:pPr>
              <w:pStyle w:val="Tablewriting"/>
              <w:numPr>
                <w:ilvl w:val="0"/>
                <w:numId w:val="161"/>
              </w:numPr>
              <w:rPr>
                <w:rFonts w:eastAsia="MS Mincho" w:cstheme="minorHAnsi"/>
              </w:rPr>
            </w:pPr>
            <w:r w:rsidRPr="00180FEC">
              <w:rPr>
                <w:rFonts w:eastAsia="MS Mincho" w:cstheme="minorHAnsi"/>
              </w:rPr>
              <w:t>bupropion (300 mg)</w:t>
            </w:r>
          </w:p>
          <w:p w:rsidR="006A6CB7" w:rsidRDefault="006A6CB7" w:rsidP="00C324F3">
            <w:pPr>
              <w:pStyle w:val="Tablewriting"/>
              <w:numPr>
                <w:ilvl w:val="0"/>
                <w:numId w:val="161"/>
              </w:numPr>
              <w:rPr>
                <w:rFonts w:eastAsia="MS Mincho" w:cstheme="minorHAnsi"/>
              </w:rPr>
            </w:pPr>
            <w:r w:rsidRPr="00180FEC">
              <w:rPr>
                <w:rFonts w:eastAsia="MS Mincho" w:cstheme="minorHAnsi"/>
              </w:rPr>
              <w:t>nicotine inhaler</w:t>
            </w:r>
            <w:r>
              <w:rPr>
                <w:rFonts w:eastAsia="MS Mincho" w:cstheme="minorHAnsi"/>
              </w:rPr>
              <w:t xml:space="preserve"> </w:t>
            </w:r>
            <w:r w:rsidRPr="005F6EC5">
              <w:rPr>
                <w:rFonts w:eastAsia="MS Mincho" w:cstheme="minorHAnsi"/>
              </w:rPr>
              <w:t>(up to 16 cartridges/day)</w:t>
            </w:r>
          </w:p>
          <w:p w:rsidR="006A6CB7" w:rsidRDefault="006A6CB7" w:rsidP="00C324F3">
            <w:pPr>
              <w:pStyle w:val="Tablewriting"/>
              <w:numPr>
                <w:ilvl w:val="0"/>
                <w:numId w:val="161"/>
              </w:numPr>
              <w:rPr>
                <w:rFonts w:eastAsia="MS Mincho" w:cstheme="minorHAnsi"/>
              </w:rPr>
            </w:pPr>
            <w:r w:rsidRPr="005F6EC5">
              <w:rPr>
                <w:rFonts w:eastAsia="MS Mincho" w:cstheme="minorHAnsi"/>
              </w:rPr>
              <w:t xml:space="preserve">combination. </w:t>
            </w:r>
          </w:p>
          <w:p w:rsidR="006A6CB7" w:rsidRDefault="006A6CB7" w:rsidP="00A71365">
            <w:pPr>
              <w:pStyle w:val="Tablewriting"/>
              <w:rPr>
                <w:rFonts w:eastAsia="MS Mincho" w:cstheme="minorHAnsi"/>
              </w:rPr>
            </w:pPr>
          </w:p>
          <w:p w:rsidR="006A6CB7" w:rsidRPr="00180FEC" w:rsidRDefault="006A6CB7" w:rsidP="00A71365">
            <w:pPr>
              <w:pStyle w:val="Tablewriting"/>
              <w:rPr>
                <w:rFonts w:eastAsia="MS Mincho" w:cstheme="minorHAnsi"/>
              </w:rPr>
            </w:pPr>
            <w:r w:rsidRPr="005F6EC5">
              <w:rPr>
                <w:rFonts w:eastAsia="MS Mincho" w:cstheme="minorHAnsi"/>
              </w:rPr>
              <w:t>Physician advice at entry, brief (&lt; 10 min) counselling at</w:t>
            </w:r>
            <w:r>
              <w:rPr>
                <w:rFonts w:eastAsia="MS Mincho" w:cstheme="minorHAnsi"/>
              </w:rPr>
              <w:t xml:space="preserve"> </w:t>
            </w:r>
            <w:r w:rsidRPr="00180FEC">
              <w:rPr>
                <w:rFonts w:eastAsia="MS Mincho" w:cstheme="minorHAnsi"/>
              </w:rPr>
              <w:t xml:space="preserve">monthly study visits (total 12 to 18, including relapse prevention phase) and self-help. Abstainers (7-day point prevalence after 3 months therapy) </w:t>
            </w:r>
            <w:r w:rsidRPr="00180FEC">
              <w:rPr>
                <w:rFonts w:eastAsia="MS Mincho" w:cstheme="minorHAnsi"/>
              </w:rPr>
              <w:lastRenderedPageBreak/>
              <w:t>eligible for relapse prevention phase</w:t>
            </w:r>
            <w:r>
              <w:rPr>
                <w:rFonts w:eastAsia="MS Mincho" w:cstheme="minorHAnsi"/>
              </w:rPr>
              <w:t xml:space="preserve"> </w:t>
            </w:r>
            <w:r w:rsidRPr="00180FEC">
              <w:rPr>
                <w:rFonts w:eastAsia="MS Mincho" w:cstheme="minorHAnsi"/>
              </w:rPr>
              <w:t>relapse prevention intervention randomly assigned single-therapy abstainers to</w:t>
            </w:r>
            <w:r>
              <w:rPr>
                <w:rFonts w:eastAsia="MS Mincho" w:cstheme="minorHAnsi"/>
              </w:rPr>
              <w:t xml:space="preserve"> </w:t>
            </w:r>
            <w:r w:rsidRPr="00180FEC">
              <w:rPr>
                <w:rFonts w:eastAsia="MS Mincho" w:cstheme="minorHAnsi"/>
              </w:rPr>
              <w:t>continue cessation</w:t>
            </w:r>
            <w:r>
              <w:rPr>
                <w:rFonts w:eastAsia="MS Mincho" w:cstheme="minorHAnsi"/>
              </w:rPr>
              <w:t xml:space="preserve"> </w:t>
            </w:r>
            <w:r w:rsidRPr="00180FEC">
              <w:rPr>
                <w:rFonts w:eastAsia="MS Mincho" w:cstheme="minorHAnsi"/>
              </w:rPr>
              <w:t>therapy or placebo for 9 months</w:t>
            </w:r>
            <w:r>
              <w:rPr>
                <w:rFonts w:eastAsia="MS Mincho" w:cstheme="minorHAnsi"/>
              </w:rPr>
              <w:t>.</w:t>
            </w:r>
          </w:p>
          <w:p w:rsidR="006A6CB7" w:rsidRPr="00180FEC" w:rsidRDefault="006A6CB7" w:rsidP="00A71365">
            <w:pPr>
              <w:pStyle w:val="Tablewriting"/>
              <w:rPr>
                <w:rFonts w:eastAsia="MS Mincho" w:cstheme="minorHAnsi"/>
              </w:rPr>
            </w:pPr>
            <w:r w:rsidRPr="00180FEC">
              <w:rPr>
                <w:rFonts w:eastAsia="MS Mincho" w:cstheme="minorHAnsi"/>
              </w:rPr>
              <w:t>Combined therapy abstainers randomly assigned to 4 groups: combination, placebo and single therapy,</w:t>
            </w:r>
          </w:p>
          <w:p w:rsidR="006A6CB7" w:rsidRPr="00017AE6" w:rsidRDefault="006A6CB7" w:rsidP="00A71365">
            <w:pPr>
              <w:pStyle w:val="Tablewriting"/>
              <w:rPr>
                <w:rFonts w:eastAsia="MS Mincho" w:cstheme="minorHAnsi"/>
              </w:rPr>
            </w:pPr>
            <w:r w:rsidRPr="00180FEC">
              <w:rPr>
                <w:rFonts w:eastAsia="MS Mincho" w:cstheme="minorHAnsi"/>
              </w:rPr>
              <w:t>or double placebo</w:t>
            </w:r>
            <w:r>
              <w:rPr>
                <w:rFonts w:eastAsia="MS Mincho" w:cstheme="minorHAnsi"/>
              </w:rPr>
              <w:t>.</w:t>
            </w:r>
          </w:p>
        </w:tc>
        <w:tc>
          <w:tcPr>
            <w:tcW w:w="1008" w:type="pct"/>
          </w:tcPr>
          <w:p w:rsidR="006A6CB7" w:rsidRPr="005E68FB" w:rsidRDefault="006A6CB7" w:rsidP="00A71365">
            <w:pPr>
              <w:pStyle w:val="Tablewriting"/>
              <w:rPr>
                <w:rFonts w:eastAsia="MS Mincho" w:cstheme="minorHAnsi"/>
                <w:u w:val="single"/>
              </w:rPr>
            </w:pPr>
            <w:r w:rsidRPr="005E68FB">
              <w:rPr>
                <w:rFonts w:eastAsia="MS Mincho" w:cstheme="minorHAnsi"/>
                <w:u w:val="single"/>
              </w:rPr>
              <w:lastRenderedPageBreak/>
              <w:t xml:space="preserve">Efficacy: </w:t>
            </w:r>
          </w:p>
          <w:p w:rsidR="006A6CB7" w:rsidRDefault="006A6CB7" w:rsidP="00A71365">
            <w:pPr>
              <w:pStyle w:val="Tablewriting"/>
              <w:rPr>
                <w:rFonts w:eastAsia="MS Mincho" w:cstheme="minorHAnsi"/>
              </w:rPr>
            </w:pPr>
            <w:r w:rsidRPr="005F6EC5">
              <w:rPr>
                <w:rFonts w:eastAsia="MS Mincho" w:cstheme="minorHAnsi"/>
              </w:rPr>
              <w:t>Abstinence at 15 months (from TQD, 12 months from relapse prevention start, 3 months from EOT) (PP)</w:t>
            </w:r>
            <w:r>
              <w:rPr>
                <w:rFonts w:eastAsia="MS Mincho" w:cstheme="minorHAnsi"/>
              </w:rPr>
              <w:t>.</w:t>
            </w:r>
          </w:p>
          <w:p w:rsidR="006A6CB7" w:rsidRPr="005F6EC5" w:rsidRDefault="006A6CB7" w:rsidP="00A71365">
            <w:pPr>
              <w:pStyle w:val="Tablewriting"/>
              <w:rPr>
                <w:rFonts w:eastAsia="MS Mincho" w:cstheme="minorHAnsi"/>
              </w:rPr>
            </w:pPr>
          </w:p>
          <w:p w:rsidR="006A6CB7" w:rsidRDefault="006A6CB7" w:rsidP="00A71365">
            <w:pPr>
              <w:pStyle w:val="Tablewriting"/>
              <w:rPr>
                <w:rFonts w:eastAsia="MS Mincho" w:cstheme="minorHAnsi"/>
              </w:rPr>
            </w:pPr>
            <w:r w:rsidRPr="005F6EC5">
              <w:rPr>
                <w:rFonts w:eastAsia="MS Mincho" w:cstheme="minorHAnsi"/>
              </w:rPr>
              <w:t xml:space="preserve">Validation: CO </w:t>
            </w:r>
            <w:r w:rsidRPr="00296BDC">
              <w:rPr>
                <w:rFonts w:eastAsia="MS Mincho" w:cstheme="minorHAnsi"/>
              </w:rPr>
              <w:t>≤</w:t>
            </w:r>
            <w:r w:rsidRPr="005F6EC5">
              <w:rPr>
                <w:rFonts w:eastAsia="MS Mincho" w:cstheme="minorHAnsi"/>
              </w:rPr>
              <w:t xml:space="preserve"> 8 ppm</w:t>
            </w:r>
            <w:r>
              <w:rPr>
                <w:rFonts w:eastAsia="MS Mincho" w:cstheme="minorHAnsi"/>
              </w:rPr>
              <w:t>.</w:t>
            </w:r>
          </w:p>
          <w:p w:rsidR="006A6CB7" w:rsidRDefault="006A6CB7" w:rsidP="00A71365">
            <w:pPr>
              <w:pStyle w:val="Tablewriting"/>
              <w:rPr>
                <w:rFonts w:eastAsia="MS Mincho" w:cstheme="minorHAnsi"/>
              </w:rPr>
            </w:pPr>
          </w:p>
          <w:p w:rsidR="006A6CB7" w:rsidRPr="005E68FB" w:rsidRDefault="006A6CB7" w:rsidP="00A71365">
            <w:pPr>
              <w:pStyle w:val="Tablewriting"/>
              <w:rPr>
                <w:rFonts w:eastAsia="MS Mincho" w:cstheme="minorHAnsi"/>
                <w:u w:val="single"/>
              </w:rPr>
            </w:pPr>
            <w:r w:rsidRPr="005E68FB">
              <w:rPr>
                <w:rFonts w:eastAsia="MS Mincho" w:cstheme="minorHAnsi"/>
                <w:u w:val="single"/>
              </w:rPr>
              <w:t>Safety:</w:t>
            </w:r>
          </w:p>
          <w:p w:rsidR="006A6CB7" w:rsidRPr="004272CD" w:rsidRDefault="006A6CB7" w:rsidP="00A71365">
            <w:pPr>
              <w:pStyle w:val="Tablewriting"/>
              <w:rPr>
                <w:rFonts w:eastAsia="MS Mincho" w:cstheme="minorHAnsi"/>
                <w:u w:val="single"/>
              </w:rPr>
            </w:pPr>
          </w:p>
        </w:tc>
      </w:tr>
    </w:tbl>
    <w:p w:rsidR="007C71A8" w:rsidRPr="009B042A" w:rsidRDefault="007C71A8" w:rsidP="00A71365">
      <w:pPr>
        <w:pStyle w:val="TableFooter"/>
      </w:pPr>
      <w:r>
        <w:t>Source:</w:t>
      </w:r>
      <w:r w:rsidRPr="00E67EC2">
        <w:t xml:space="preserve"> </w:t>
      </w:r>
      <w:r w:rsidRPr="00A62951">
        <w:t>Livingstone-Banks et al. (2019)</w:t>
      </w:r>
      <w:r>
        <w:t>.</w:t>
      </w:r>
    </w:p>
    <w:p w:rsidR="009E75D8" w:rsidRDefault="00BF6244" w:rsidP="00A71365">
      <w:pPr>
        <w:pStyle w:val="TableFooter"/>
      </w:pPr>
      <w:r>
        <w:t xml:space="preserve">Abbreviations: NR= not reported; </w:t>
      </w:r>
      <w:r w:rsidRPr="009B042A">
        <w:t xml:space="preserve">PPA= point prevalence smoking abstinence; </w:t>
      </w:r>
      <w:r>
        <w:t xml:space="preserve">CAR= continuous abstinence rate;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xml:space="preserve">; CPD= cigarette per day; AEs= adverse events; SAEs= serious adverse events. </w:t>
      </w:r>
    </w:p>
    <w:p w:rsidR="00CA7B4D" w:rsidRDefault="00CA7B4D" w:rsidP="00CA7B4D">
      <w:pPr>
        <w:pStyle w:val="Caption"/>
        <w:keepNext/>
      </w:pPr>
      <w:bookmarkStart w:id="384" w:name="_Ref55292409"/>
      <w:r>
        <w:t xml:space="preserve">Table </w:t>
      </w:r>
      <w:r w:rsidR="003C4A1C">
        <w:rPr>
          <w:noProof/>
        </w:rPr>
        <w:t>155</w:t>
      </w:r>
      <w:bookmarkEnd w:id="384"/>
      <w:r>
        <w:t xml:space="preserve">: </w:t>
      </w:r>
      <w:r w:rsidRPr="00B1187A">
        <w:t xml:space="preserve">Characteristics of studies included in Hartmann-Boyce et al. (2018), combination </w:t>
      </w:r>
      <w:r w:rsidR="00C96DF9">
        <w:t xml:space="preserve">NRT </w:t>
      </w:r>
      <w:r w:rsidRPr="00B1187A">
        <w:t>versus placebo</w:t>
      </w:r>
    </w:p>
    <w:tbl>
      <w:tblPr>
        <w:tblStyle w:val="TableGrid"/>
        <w:tblW w:w="5270" w:type="pct"/>
        <w:tblLook w:val="04A0" w:firstRow="1" w:lastRow="0" w:firstColumn="1" w:lastColumn="0" w:noHBand="0" w:noVBand="1"/>
        <w:tblCaption w:val="Efficacy results of adalimumab trials (PASI 75 and DLQI)"/>
      </w:tblPr>
      <w:tblGrid>
        <w:gridCol w:w="1454"/>
        <w:gridCol w:w="690"/>
        <w:gridCol w:w="1272"/>
        <w:gridCol w:w="1056"/>
        <w:gridCol w:w="3599"/>
        <w:gridCol w:w="3666"/>
        <w:gridCol w:w="2964"/>
      </w:tblGrid>
      <w:tr w:rsidR="00696ADB" w:rsidRPr="00061F78" w:rsidTr="00A4076B">
        <w:trPr>
          <w:trHeight w:val="299"/>
          <w:tblHeader/>
        </w:trPr>
        <w:tc>
          <w:tcPr>
            <w:tcW w:w="495" w:type="pct"/>
            <w:shd w:val="clear" w:color="auto" w:fill="BFBFBF" w:themeFill="background1" w:themeFillShade="BF"/>
            <w:tcMar>
              <w:left w:w="28" w:type="dxa"/>
              <w:right w:w="28" w:type="dxa"/>
            </w:tcMar>
          </w:tcPr>
          <w:p w:rsidR="00696ADB" w:rsidRPr="00061F78" w:rsidRDefault="00126B7B" w:rsidP="00A71365">
            <w:pPr>
              <w:pStyle w:val="Tableheading"/>
              <w:rPr>
                <w:rFonts w:eastAsia="MS Mincho"/>
              </w:rPr>
            </w:pPr>
            <w:r>
              <w:rPr>
                <w:rFonts w:eastAsia="MS Mincho"/>
              </w:rPr>
              <w:t>Study</w:t>
            </w:r>
          </w:p>
        </w:tc>
        <w:tc>
          <w:tcPr>
            <w:tcW w:w="234" w:type="pct"/>
            <w:shd w:val="clear" w:color="auto" w:fill="BFBFBF" w:themeFill="background1" w:themeFillShade="BF"/>
          </w:tcPr>
          <w:p w:rsidR="00696ADB" w:rsidRDefault="00696ADB" w:rsidP="00A71365">
            <w:pPr>
              <w:pStyle w:val="Tableheading"/>
              <w:jc w:val="center"/>
              <w:rPr>
                <w:rFonts w:eastAsia="MS Mincho"/>
              </w:rPr>
            </w:pPr>
            <w:r>
              <w:rPr>
                <w:rFonts w:eastAsia="MS Mincho"/>
              </w:rPr>
              <w:t>Study type</w:t>
            </w:r>
          </w:p>
        </w:tc>
        <w:tc>
          <w:tcPr>
            <w:tcW w:w="433" w:type="pct"/>
            <w:shd w:val="clear" w:color="auto" w:fill="BFBFBF" w:themeFill="background1" w:themeFillShade="BF"/>
          </w:tcPr>
          <w:p w:rsidR="00696ADB" w:rsidRDefault="00696ADB" w:rsidP="00A71365">
            <w:pPr>
              <w:pStyle w:val="Tableheading"/>
              <w:jc w:val="center"/>
              <w:rPr>
                <w:rFonts w:eastAsia="MS Mincho"/>
              </w:rPr>
            </w:pPr>
            <w:r>
              <w:rPr>
                <w:rFonts w:eastAsia="MS Mincho"/>
              </w:rPr>
              <w:t>Countries</w:t>
            </w:r>
          </w:p>
        </w:tc>
        <w:tc>
          <w:tcPr>
            <w:tcW w:w="359" w:type="pct"/>
            <w:shd w:val="clear" w:color="auto" w:fill="BFBFBF" w:themeFill="background1" w:themeFillShade="BF"/>
            <w:tcMar>
              <w:left w:w="28" w:type="dxa"/>
              <w:right w:w="28" w:type="dxa"/>
            </w:tcMar>
          </w:tcPr>
          <w:p w:rsidR="00696ADB" w:rsidRPr="00061F78" w:rsidRDefault="00696ADB" w:rsidP="00A71365">
            <w:pPr>
              <w:pStyle w:val="Tableheading"/>
              <w:jc w:val="center"/>
              <w:rPr>
                <w:rFonts w:eastAsia="MS Mincho"/>
              </w:rPr>
            </w:pPr>
            <w:r>
              <w:rPr>
                <w:rFonts w:eastAsia="MS Mincho"/>
              </w:rPr>
              <w:t>N</w:t>
            </w:r>
          </w:p>
        </w:tc>
        <w:tc>
          <w:tcPr>
            <w:tcW w:w="1224" w:type="pct"/>
            <w:shd w:val="clear" w:color="auto" w:fill="BFBFBF" w:themeFill="background1" w:themeFillShade="BF"/>
            <w:tcMar>
              <w:left w:w="28" w:type="dxa"/>
              <w:right w:w="28" w:type="dxa"/>
            </w:tcMar>
          </w:tcPr>
          <w:p w:rsidR="00696ADB" w:rsidRPr="00061F78" w:rsidRDefault="00696ADB" w:rsidP="00A71365">
            <w:pPr>
              <w:pStyle w:val="Tableheading"/>
              <w:jc w:val="center"/>
              <w:rPr>
                <w:rFonts w:eastAsia="MS Mincho"/>
              </w:rPr>
            </w:pPr>
            <w:r w:rsidRPr="00061F78">
              <w:rPr>
                <w:rFonts w:eastAsia="MS Mincho"/>
              </w:rPr>
              <w:t>P</w:t>
            </w:r>
            <w:r>
              <w:rPr>
                <w:rFonts w:eastAsia="MS Mincho"/>
              </w:rPr>
              <w:t>opulation</w:t>
            </w:r>
          </w:p>
        </w:tc>
        <w:tc>
          <w:tcPr>
            <w:tcW w:w="1247" w:type="pct"/>
            <w:shd w:val="clear" w:color="auto" w:fill="BFBFBF" w:themeFill="background1" w:themeFillShade="BF"/>
          </w:tcPr>
          <w:p w:rsidR="00696ADB" w:rsidRDefault="00696ADB" w:rsidP="00A71365">
            <w:pPr>
              <w:pStyle w:val="Tableheading"/>
              <w:jc w:val="center"/>
              <w:rPr>
                <w:rFonts w:eastAsia="MS Mincho"/>
              </w:rPr>
            </w:pPr>
            <w:r>
              <w:rPr>
                <w:rFonts w:eastAsia="MS Mincho"/>
              </w:rPr>
              <w:t>Intervention and comparator</w:t>
            </w:r>
          </w:p>
        </w:tc>
        <w:tc>
          <w:tcPr>
            <w:tcW w:w="1008" w:type="pct"/>
            <w:shd w:val="clear" w:color="auto" w:fill="BFBFBF" w:themeFill="background1" w:themeFillShade="BF"/>
            <w:tcMar>
              <w:left w:w="28" w:type="dxa"/>
              <w:right w:w="28" w:type="dxa"/>
            </w:tcMar>
          </w:tcPr>
          <w:p w:rsidR="00696ADB" w:rsidRPr="00061F78" w:rsidRDefault="00696ADB" w:rsidP="00A71365">
            <w:pPr>
              <w:pStyle w:val="Tableheading"/>
              <w:jc w:val="center"/>
              <w:rPr>
                <w:rFonts w:eastAsia="MS Mincho"/>
              </w:rPr>
            </w:pPr>
            <w:r>
              <w:rPr>
                <w:rFonts w:eastAsia="MS Mincho"/>
              </w:rPr>
              <w:t>Outcomes</w:t>
            </w:r>
          </w:p>
        </w:tc>
      </w:tr>
      <w:tr w:rsidR="009E75D8" w:rsidRPr="00017AE6" w:rsidTr="00A4076B">
        <w:trPr>
          <w:trHeight w:val="99"/>
        </w:trPr>
        <w:tc>
          <w:tcPr>
            <w:tcW w:w="495" w:type="pct"/>
          </w:tcPr>
          <w:p w:rsidR="009E75D8" w:rsidRPr="0096136A" w:rsidRDefault="009E75D8" w:rsidP="00A71365">
            <w:pPr>
              <w:pStyle w:val="Tablewriting"/>
              <w:rPr>
                <w:rFonts w:eastAsia="MS Mincho" w:cstheme="minorHAnsi"/>
                <w:highlight w:val="yellow"/>
              </w:rPr>
            </w:pPr>
            <w:r w:rsidRPr="008E2287">
              <w:rPr>
                <w:rFonts w:eastAsia="MS Mincho" w:cstheme="minorHAnsi"/>
              </w:rPr>
              <w:t xml:space="preserve">Hand </w:t>
            </w:r>
            <w:r w:rsidR="00991AC5" w:rsidRPr="008E2287">
              <w:rPr>
                <w:rFonts w:eastAsia="MS Mincho" w:cstheme="minorHAnsi"/>
              </w:rPr>
              <w:t>(</w:t>
            </w:r>
            <w:r w:rsidRPr="008E2287">
              <w:rPr>
                <w:rFonts w:eastAsia="MS Mincho" w:cstheme="minorHAnsi"/>
              </w:rPr>
              <w:t>2002</w:t>
            </w:r>
            <w:r w:rsidR="00991AC5" w:rsidRPr="008E2287">
              <w:rPr>
                <w:rFonts w:eastAsia="MS Mincho" w:cstheme="minorHAnsi"/>
              </w:rPr>
              <w:t>)</w:t>
            </w:r>
          </w:p>
        </w:tc>
        <w:tc>
          <w:tcPr>
            <w:tcW w:w="234" w:type="pct"/>
          </w:tcPr>
          <w:p w:rsidR="009E75D8" w:rsidRPr="00017AE6" w:rsidRDefault="004810EB" w:rsidP="00A71365">
            <w:pPr>
              <w:pStyle w:val="Tablewriting"/>
              <w:rPr>
                <w:rFonts w:eastAsia="MS Mincho" w:cstheme="minorHAnsi"/>
              </w:rPr>
            </w:pPr>
            <w:r>
              <w:rPr>
                <w:rFonts w:eastAsia="MS Mincho" w:cstheme="minorHAnsi"/>
              </w:rPr>
              <w:t>RCT</w:t>
            </w:r>
          </w:p>
        </w:tc>
        <w:tc>
          <w:tcPr>
            <w:tcW w:w="433" w:type="pct"/>
          </w:tcPr>
          <w:p w:rsidR="009E75D8" w:rsidRPr="00017AE6" w:rsidRDefault="002F7679" w:rsidP="00A71365">
            <w:pPr>
              <w:pStyle w:val="Tablewriting"/>
              <w:rPr>
                <w:rFonts w:eastAsia="MS Mincho" w:cstheme="minorHAnsi"/>
              </w:rPr>
            </w:pPr>
            <w:r>
              <w:rPr>
                <w:rFonts w:eastAsia="MS Mincho" w:cstheme="minorHAnsi"/>
              </w:rPr>
              <w:t>UK</w:t>
            </w:r>
          </w:p>
        </w:tc>
        <w:tc>
          <w:tcPr>
            <w:tcW w:w="359" w:type="pct"/>
          </w:tcPr>
          <w:p w:rsidR="009E75D8" w:rsidRPr="00017AE6" w:rsidRDefault="002F7679" w:rsidP="00A71365">
            <w:pPr>
              <w:pStyle w:val="Tablewriting"/>
              <w:rPr>
                <w:rFonts w:eastAsia="MS Mincho" w:cstheme="minorHAnsi"/>
              </w:rPr>
            </w:pPr>
            <w:r>
              <w:rPr>
                <w:rFonts w:eastAsia="MS Mincho" w:cstheme="minorHAnsi"/>
              </w:rPr>
              <w:t>N=245</w:t>
            </w:r>
          </w:p>
        </w:tc>
        <w:tc>
          <w:tcPr>
            <w:tcW w:w="1224" w:type="pct"/>
          </w:tcPr>
          <w:p w:rsidR="009E75D8" w:rsidRPr="00017AE6" w:rsidRDefault="002F7679" w:rsidP="00A71365">
            <w:pPr>
              <w:pStyle w:val="Tablewriting"/>
              <w:rPr>
                <w:rFonts w:eastAsia="MS Mincho" w:cstheme="minorHAnsi"/>
              </w:rPr>
            </w:pPr>
            <w:r>
              <w:rPr>
                <w:rFonts w:eastAsia="MS Mincho" w:cstheme="minorHAnsi"/>
              </w:rPr>
              <w:t>P</w:t>
            </w:r>
            <w:r w:rsidRPr="002F7679">
              <w:rPr>
                <w:rFonts w:eastAsia="MS Mincho" w:cstheme="minorHAnsi"/>
              </w:rPr>
              <w:t>atients with smoking-related disease</w:t>
            </w:r>
            <w:r>
              <w:rPr>
                <w:rFonts w:eastAsia="MS Mincho" w:cstheme="minorHAnsi"/>
              </w:rPr>
              <w:t xml:space="preserve">, </w:t>
            </w:r>
            <w:r w:rsidRPr="002F7679">
              <w:rPr>
                <w:rFonts w:eastAsia="MS Mincho" w:cstheme="minorHAnsi"/>
              </w:rPr>
              <w:t xml:space="preserve">46% male, typically aged 50+, smoking 15+ </w:t>
            </w:r>
            <w:r>
              <w:rPr>
                <w:rFonts w:eastAsia="MS Mincho" w:cstheme="minorHAnsi"/>
              </w:rPr>
              <w:t>CPD</w:t>
            </w:r>
            <w:r w:rsidR="00F97331">
              <w:rPr>
                <w:rFonts w:eastAsia="MS Mincho" w:cstheme="minorHAnsi"/>
              </w:rPr>
              <w:t xml:space="preserve">, </w:t>
            </w:r>
            <w:r w:rsidRPr="002F7679">
              <w:rPr>
                <w:rFonts w:eastAsia="MS Mincho" w:cstheme="minorHAnsi"/>
              </w:rPr>
              <w:t>participants were motivated to try and quit</w:t>
            </w:r>
            <w:r w:rsidR="00F97331">
              <w:rPr>
                <w:rFonts w:eastAsia="MS Mincho" w:cstheme="minorHAnsi"/>
              </w:rPr>
              <w:t>.</w:t>
            </w:r>
          </w:p>
        </w:tc>
        <w:tc>
          <w:tcPr>
            <w:tcW w:w="1247" w:type="pct"/>
          </w:tcPr>
          <w:p w:rsidR="00F049EA" w:rsidRDefault="00E61583" w:rsidP="00C324F3">
            <w:pPr>
              <w:pStyle w:val="Tablewriting"/>
              <w:numPr>
                <w:ilvl w:val="0"/>
                <w:numId w:val="168"/>
              </w:numPr>
              <w:rPr>
                <w:rFonts w:eastAsia="MS Mincho" w:cstheme="minorHAnsi"/>
              </w:rPr>
            </w:pPr>
            <w:r w:rsidRPr="00E61583">
              <w:rPr>
                <w:rFonts w:eastAsia="MS Mincho" w:cstheme="minorHAnsi"/>
              </w:rPr>
              <w:t>Nicotine patch (initially 30 or 20 mg based on smoking rate) and inhaler for 3 weeks including patch</w:t>
            </w:r>
            <w:r w:rsidR="00F049EA">
              <w:rPr>
                <w:rFonts w:eastAsia="MS Mincho" w:cstheme="minorHAnsi"/>
              </w:rPr>
              <w:t xml:space="preserve"> </w:t>
            </w:r>
            <w:r w:rsidRPr="00F049EA">
              <w:rPr>
                <w:rFonts w:eastAsia="MS Mincho" w:cstheme="minorHAnsi"/>
              </w:rPr>
              <w:t>tapering. Same counselling as control</w:t>
            </w:r>
          </w:p>
          <w:p w:rsidR="00E61583" w:rsidRPr="00F049EA" w:rsidRDefault="00E61583" w:rsidP="00C324F3">
            <w:pPr>
              <w:pStyle w:val="Tablewriting"/>
              <w:numPr>
                <w:ilvl w:val="0"/>
                <w:numId w:val="168"/>
              </w:numPr>
              <w:rPr>
                <w:rFonts w:eastAsia="MS Mincho" w:cstheme="minorHAnsi"/>
              </w:rPr>
            </w:pPr>
            <w:r w:rsidRPr="00F049EA">
              <w:rPr>
                <w:rFonts w:eastAsia="MS Mincho" w:cstheme="minorHAnsi"/>
              </w:rPr>
              <w:t xml:space="preserve">Individual counselling, 4 sessions in 4 weeks. </w:t>
            </w:r>
            <w:r w:rsidR="00A4076B">
              <w:rPr>
                <w:rFonts w:eastAsia="MS Mincho" w:cstheme="minorHAnsi"/>
              </w:rPr>
              <w:t>(</w:t>
            </w:r>
            <w:r w:rsidRPr="00F049EA">
              <w:rPr>
                <w:rFonts w:eastAsia="MS Mincho" w:cstheme="minorHAnsi"/>
              </w:rPr>
              <w:t>No placebo</w:t>
            </w:r>
            <w:r w:rsidR="00A4076B">
              <w:rPr>
                <w:rFonts w:eastAsia="MS Mincho" w:cstheme="minorHAnsi"/>
              </w:rPr>
              <w:t>)</w:t>
            </w:r>
          </w:p>
          <w:p w:rsidR="00F049EA" w:rsidRDefault="00F049EA" w:rsidP="00A71365">
            <w:pPr>
              <w:pStyle w:val="Tablewriting"/>
              <w:rPr>
                <w:rFonts w:eastAsia="MS Mincho" w:cstheme="minorHAnsi"/>
              </w:rPr>
            </w:pPr>
          </w:p>
          <w:p w:rsidR="009E75D8" w:rsidRPr="00017AE6" w:rsidRDefault="00E61583" w:rsidP="00A71365">
            <w:pPr>
              <w:pStyle w:val="Tablewriting"/>
              <w:rPr>
                <w:rFonts w:eastAsia="MS Mincho" w:cstheme="minorHAnsi"/>
              </w:rPr>
            </w:pPr>
            <w:r w:rsidRPr="00E61583">
              <w:rPr>
                <w:rFonts w:eastAsia="MS Mincho" w:cstheme="minorHAnsi"/>
              </w:rPr>
              <w:t>Level of support: high</w:t>
            </w:r>
          </w:p>
        </w:tc>
        <w:tc>
          <w:tcPr>
            <w:tcW w:w="1008" w:type="pct"/>
          </w:tcPr>
          <w:p w:rsidR="004C6A75" w:rsidRPr="006F0109" w:rsidRDefault="002F7679" w:rsidP="00A71365">
            <w:pPr>
              <w:pStyle w:val="Tablewriting"/>
              <w:rPr>
                <w:rFonts w:eastAsia="MS Mincho" w:cstheme="minorHAnsi"/>
                <w:u w:val="single"/>
              </w:rPr>
            </w:pPr>
            <w:r>
              <w:rPr>
                <w:rFonts w:eastAsia="MS Mincho" w:cstheme="minorHAnsi"/>
                <w:u w:val="single"/>
              </w:rPr>
              <w:t>Efficacy:</w:t>
            </w:r>
            <w:r w:rsidR="006F0109">
              <w:rPr>
                <w:rFonts w:eastAsia="MS Mincho" w:cstheme="minorHAnsi"/>
                <w:u w:val="single"/>
              </w:rPr>
              <w:t xml:space="preserve"> </w:t>
            </w:r>
            <w:r w:rsidR="004C6A75" w:rsidRPr="004C6A75">
              <w:rPr>
                <w:rFonts w:eastAsia="MS Mincho" w:cstheme="minorHAnsi"/>
              </w:rPr>
              <w:t>Sustained abstinence at 12 months (abstinent at all assessments)</w:t>
            </w:r>
            <w:r w:rsidR="004C6A75">
              <w:rPr>
                <w:rFonts w:eastAsia="MS Mincho" w:cstheme="minorHAnsi"/>
              </w:rPr>
              <w:t>.</w:t>
            </w:r>
          </w:p>
          <w:p w:rsidR="004C6A75" w:rsidRDefault="004C6A75" w:rsidP="00A71365">
            <w:pPr>
              <w:pStyle w:val="Tablewriting"/>
              <w:rPr>
                <w:rFonts w:eastAsia="MS Mincho" w:cstheme="minorHAnsi"/>
              </w:rPr>
            </w:pPr>
          </w:p>
          <w:p w:rsidR="002F7679" w:rsidRDefault="004C6A75" w:rsidP="00A71365">
            <w:pPr>
              <w:pStyle w:val="Tablewriting"/>
              <w:rPr>
                <w:rFonts w:eastAsia="MS Mincho" w:cstheme="minorHAnsi"/>
                <w:u w:val="single"/>
              </w:rPr>
            </w:pPr>
            <w:r w:rsidRPr="004C6A75">
              <w:rPr>
                <w:rFonts w:eastAsia="MS Mincho" w:cstheme="minorHAnsi"/>
              </w:rPr>
              <w:t>Validation: CO &lt; 10 ppm</w:t>
            </w:r>
            <w:r>
              <w:rPr>
                <w:rFonts w:eastAsia="MS Mincho" w:cstheme="minorHAnsi"/>
              </w:rPr>
              <w:t>.</w:t>
            </w:r>
          </w:p>
          <w:p w:rsidR="004C6A75" w:rsidRDefault="004C6A75" w:rsidP="00A71365">
            <w:pPr>
              <w:pStyle w:val="Tablewriting"/>
              <w:rPr>
                <w:rFonts w:eastAsia="MS Mincho" w:cstheme="minorHAnsi"/>
                <w:u w:val="single"/>
              </w:rPr>
            </w:pPr>
          </w:p>
          <w:p w:rsidR="002F7679" w:rsidRPr="004272CD" w:rsidRDefault="002F7679" w:rsidP="00A71365">
            <w:pPr>
              <w:pStyle w:val="Tablewriting"/>
              <w:rPr>
                <w:rFonts w:eastAsia="MS Mincho" w:cstheme="minorHAnsi"/>
                <w:u w:val="single"/>
              </w:rPr>
            </w:pPr>
            <w:r>
              <w:rPr>
                <w:rFonts w:eastAsia="MS Mincho" w:cstheme="minorHAnsi"/>
                <w:u w:val="single"/>
              </w:rPr>
              <w:t xml:space="preserve">Safety: </w:t>
            </w:r>
            <w:r w:rsidR="004C6A75" w:rsidRPr="004C6A75">
              <w:rPr>
                <w:rFonts w:eastAsia="MS Mincho" w:cstheme="minorHAnsi"/>
              </w:rPr>
              <w:t>NR</w:t>
            </w:r>
          </w:p>
        </w:tc>
      </w:tr>
      <w:tr w:rsidR="002F7679" w:rsidRPr="00017AE6" w:rsidTr="00A4076B">
        <w:trPr>
          <w:trHeight w:val="99"/>
        </w:trPr>
        <w:tc>
          <w:tcPr>
            <w:tcW w:w="495" w:type="pct"/>
          </w:tcPr>
          <w:p w:rsidR="002F7679" w:rsidRPr="0096136A" w:rsidRDefault="002F7679" w:rsidP="00A71365">
            <w:pPr>
              <w:pStyle w:val="Tablewriting"/>
              <w:rPr>
                <w:rFonts w:eastAsia="MS Mincho" w:cstheme="minorHAnsi"/>
                <w:highlight w:val="yellow"/>
              </w:rPr>
            </w:pPr>
            <w:r w:rsidRPr="00A4076B">
              <w:rPr>
                <w:rFonts w:eastAsia="MS Mincho" w:cstheme="minorHAnsi"/>
              </w:rPr>
              <w:t xml:space="preserve">Hasan </w:t>
            </w:r>
            <w:r w:rsidR="00991AC5" w:rsidRPr="00A4076B">
              <w:rPr>
                <w:rFonts w:eastAsia="MS Mincho" w:cstheme="minorHAnsi"/>
              </w:rPr>
              <w:t>(</w:t>
            </w:r>
            <w:r w:rsidRPr="00A4076B">
              <w:rPr>
                <w:rFonts w:eastAsia="MS Mincho" w:cstheme="minorHAnsi"/>
              </w:rPr>
              <w:t>2014</w:t>
            </w:r>
            <w:r w:rsidR="00991AC5" w:rsidRPr="00A4076B">
              <w:rPr>
                <w:rFonts w:eastAsia="MS Mincho" w:cstheme="minorHAnsi"/>
              </w:rPr>
              <w:t>)</w:t>
            </w:r>
          </w:p>
        </w:tc>
        <w:tc>
          <w:tcPr>
            <w:tcW w:w="234" w:type="pct"/>
          </w:tcPr>
          <w:p w:rsidR="002F7679" w:rsidRPr="00017AE6" w:rsidRDefault="004810EB" w:rsidP="00A71365">
            <w:pPr>
              <w:pStyle w:val="Tablewriting"/>
              <w:rPr>
                <w:rFonts w:eastAsia="MS Mincho" w:cstheme="minorHAnsi"/>
              </w:rPr>
            </w:pPr>
            <w:r>
              <w:rPr>
                <w:rFonts w:eastAsia="MS Mincho" w:cstheme="minorHAnsi"/>
              </w:rPr>
              <w:t>RCT</w:t>
            </w:r>
          </w:p>
        </w:tc>
        <w:tc>
          <w:tcPr>
            <w:tcW w:w="433" w:type="pct"/>
          </w:tcPr>
          <w:p w:rsidR="002F7679" w:rsidRPr="00017AE6" w:rsidRDefault="001225EE" w:rsidP="00A71365">
            <w:pPr>
              <w:pStyle w:val="Tablewriting"/>
              <w:rPr>
                <w:rFonts w:eastAsia="MS Mincho" w:cstheme="minorHAnsi"/>
              </w:rPr>
            </w:pPr>
            <w:r>
              <w:rPr>
                <w:rFonts w:eastAsia="MS Mincho" w:cstheme="minorHAnsi"/>
              </w:rPr>
              <w:t>USA</w:t>
            </w:r>
          </w:p>
        </w:tc>
        <w:tc>
          <w:tcPr>
            <w:tcW w:w="359" w:type="pct"/>
          </w:tcPr>
          <w:p w:rsidR="002F7679" w:rsidRPr="00017AE6" w:rsidRDefault="002F7679" w:rsidP="00A71365">
            <w:pPr>
              <w:pStyle w:val="Tablewriting"/>
              <w:rPr>
                <w:rFonts w:eastAsia="MS Mincho" w:cstheme="minorHAnsi"/>
              </w:rPr>
            </w:pPr>
            <w:r w:rsidRPr="005A5BEC">
              <w:rPr>
                <w:rFonts w:eastAsia="MS Mincho" w:cstheme="minorHAnsi"/>
              </w:rPr>
              <w:t>N=</w:t>
            </w:r>
            <w:r w:rsidR="00A21395">
              <w:rPr>
                <w:rFonts w:eastAsia="MS Mincho" w:cstheme="minorHAnsi"/>
              </w:rPr>
              <w:t xml:space="preserve">122; </w:t>
            </w:r>
            <w:r w:rsidR="00A21395" w:rsidRPr="001225EE">
              <w:rPr>
                <w:rFonts w:eastAsia="MS Mincho" w:cstheme="minorHAnsi"/>
              </w:rPr>
              <w:t>(81 to relevant arms)</w:t>
            </w:r>
          </w:p>
        </w:tc>
        <w:tc>
          <w:tcPr>
            <w:tcW w:w="1224" w:type="pct"/>
          </w:tcPr>
          <w:p w:rsidR="002F7679" w:rsidRPr="00017AE6" w:rsidRDefault="00A21395" w:rsidP="00A71365">
            <w:pPr>
              <w:pStyle w:val="Tablewriting"/>
              <w:rPr>
                <w:rFonts w:eastAsia="MS Mincho" w:cstheme="minorHAnsi"/>
              </w:rPr>
            </w:pPr>
            <w:r>
              <w:rPr>
                <w:rFonts w:eastAsia="MS Mincho" w:cstheme="minorHAnsi"/>
              </w:rPr>
              <w:t>S</w:t>
            </w:r>
            <w:r w:rsidR="001225EE" w:rsidRPr="001225EE">
              <w:rPr>
                <w:rFonts w:eastAsia="MS Mincho" w:cstheme="minorHAnsi"/>
              </w:rPr>
              <w:t>mokers admitted with a cardiac or pulmonary illness</w:t>
            </w:r>
            <w:r>
              <w:rPr>
                <w:rFonts w:eastAsia="MS Mincho" w:cstheme="minorHAnsi"/>
              </w:rPr>
              <w:t xml:space="preserve">, </w:t>
            </w:r>
            <w:r w:rsidR="001225EE" w:rsidRPr="001225EE">
              <w:rPr>
                <w:rFonts w:eastAsia="MS Mincho" w:cstheme="minorHAnsi"/>
              </w:rPr>
              <w:t>48% female, average age 55</w:t>
            </w:r>
            <w:r>
              <w:rPr>
                <w:rFonts w:eastAsia="MS Mincho" w:cstheme="minorHAnsi"/>
              </w:rPr>
              <w:t xml:space="preserve"> years</w:t>
            </w:r>
            <w:r w:rsidR="001225EE" w:rsidRPr="001225EE">
              <w:rPr>
                <w:rFonts w:eastAsia="MS Mincho" w:cstheme="minorHAnsi"/>
              </w:rPr>
              <w:t xml:space="preserve">, average </w:t>
            </w:r>
            <w:r>
              <w:rPr>
                <w:rFonts w:eastAsia="MS Mincho" w:cstheme="minorHAnsi"/>
              </w:rPr>
              <w:t>CPD</w:t>
            </w:r>
            <w:r w:rsidR="001225EE" w:rsidRPr="001225EE">
              <w:rPr>
                <w:rFonts w:eastAsia="MS Mincho" w:cstheme="minorHAnsi"/>
              </w:rPr>
              <w:t xml:space="preserve"> 20</w:t>
            </w:r>
            <w:r>
              <w:rPr>
                <w:rFonts w:eastAsia="MS Mincho" w:cstheme="minorHAnsi"/>
              </w:rPr>
              <w:t>.</w:t>
            </w:r>
          </w:p>
        </w:tc>
        <w:tc>
          <w:tcPr>
            <w:tcW w:w="1247" w:type="pct"/>
          </w:tcPr>
          <w:p w:rsidR="00477E17" w:rsidRDefault="00477E17" w:rsidP="00C324F3">
            <w:pPr>
              <w:pStyle w:val="Tablewriting"/>
              <w:numPr>
                <w:ilvl w:val="0"/>
                <w:numId w:val="169"/>
              </w:numPr>
              <w:rPr>
                <w:rFonts w:eastAsia="MS Mincho" w:cstheme="minorHAnsi"/>
              </w:rPr>
            </w:pPr>
            <w:r w:rsidRPr="00477E17">
              <w:rPr>
                <w:rFonts w:eastAsia="MS Mincho" w:cstheme="minorHAnsi"/>
              </w:rPr>
              <w:t xml:space="preserve">Patch and gum/lozenges as per participant preference. Patch dose dependent on </w:t>
            </w:r>
            <w:r>
              <w:rPr>
                <w:rFonts w:eastAsia="MS Mincho" w:cstheme="minorHAnsi"/>
              </w:rPr>
              <w:t>CPD</w:t>
            </w:r>
            <w:r w:rsidRPr="00477E17">
              <w:rPr>
                <w:rFonts w:eastAsia="MS Mincho" w:cstheme="minorHAnsi"/>
              </w:rPr>
              <w:t xml:space="preserve"> prior to hospitalization;</w:t>
            </w:r>
            <w:r>
              <w:rPr>
                <w:rFonts w:eastAsia="MS Mincho" w:cstheme="minorHAnsi"/>
              </w:rPr>
              <w:t xml:space="preserve"> </w:t>
            </w:r>
            <w:r w:rsidRPr="00477E17">
              <w:rPr>
                <w:rFonts w:eastAsia="MS Mincho" w:cstheme="minorHAnsi"/>
              </w:rPr>
              <w:t xml:space="preserve">exact dose not specified but participants smoking 10 to 20 </w:t>
            </w:r>
            <w:r>
              <w:rPr>
                <w:rFonts w:eastAsia="MS Mincho" w:cstheme="minorHAnsi"/>
              </w:rPr>
              <w:t>CPD</w:t>
            </w:r>
            <w:r w:rsidRPr="00477E17">
              <w:rPr>
                <w:rFonts w:eastAsia="MS Mincho" w:cstheme="minorHAnsi"/>
              </w:rPr>
              <w:t xml:space="preserve"> on 21 mg/day initially</w:t>
            </w:r>
            <w:r>
              <w:rPr>
                <w:rFonts w:eastAsia="MS Mincho" w:cstheme="minorHAnsi"/>
              </w:rPr>
              <w:t>.</w:t>
            </w:r>
          </w:p>
          <w:p w:rsidR="00477E17" w:rsidRPr="00477E17" w:rsidRDefault="00477E17" w:rsidP="00C324F3">
            <w:pPr>
              <w:pStyle w:val="Tablewriting"/>
              <w:numPr>
                <w:ilvl w:val="0"/>
                <w:numId w:val="169"/>
              </w:numPr>
              <w:rPr>
                <w:rFonts w:eastAsia="MS Mincho" w:cstheme="minorHAnsi"/>
              </w:rPr>
            </w:pPr>
            <w:r w:rsidRPr="00477E17">
              <w:rPr>
                <w:rFonts w:eastAsia="MS Mincho" w:cstheme="minorHAnsi"/>
              </w:rPr>
              <w:t>No NRT</w:t>
            </w:r>
          </w:p>
          <w:p w:rsidR="00477E17" w:rsidRDefault="00477E17" w:rsidP="00A71365">
            <w:pPr>
              <w:pStyle w:val="Tablewriting"/>
              <w:rPr>
                <w:rFonts w:eastAsia="MS Mincho" w:cstheme="minorHAnsi"/>
              </w:rPr>
            </w:pPr>
          </w:p>
          <w:p w:rsidR="00477E17" w:rsidRPr="00477E17" w:rsidRDefault="00477E17" w:rsidP="00A71365">
            <w:pPr>
              <w:pStyle w:val="Tablewriting"/>
              <w:rPr>
                <w:rFonts w:eastAsia="MS Mincho" w:cstheme="minorHAnsi"/>
              </w:rPr>
            </w:pPr>
            <w:r w:rsidRPr="00477E17">
              <w:rPr>
                <w:rFonts w:eastAsia="MS Mincho" w:cstheme="minorHAnsi"/>
              </w:rPr>
              <w:lastRenderedPageBreak/>
              <w:t>Level of support: high. 90-min individualized</w:t>
            </w:r>
            <w:r w:rsidR="0096136A">
              <w:rPr>
                <w:rFonts w:eastAsia="MS Mincho" w:cstheme="minorHAnsi"/>
              </w:rPr>
              <w:t xml:space="preserve"> </w:t>
            </w:r>
            <w:r w:rsidRPr="00477E17">
              <w:rPr>
                <w:rFonts w:eastAsia="MS Mincho" w:cstheme="minorHAnsi"/>
              </w:rPr>
              <w:t>hypnotherapy session with a certified hypnotist and a tobacco</w:t>
            </w:r>
            <w:r w:rsidR="0096136A">
              <w:rPr>
                <w:rFonts w:eastAsia="MS Mincho" w:cstheme="minorHAnsi"/>
              </w:rPr>
              <w:t xml:space="preserve"> </w:t>
            </w:r>
            <w:r w:rsidRPr="00477E17">
              <w:rPr>
                <w:rFonts w:eastAsia="MS Mincho" w:cstheme="minorHAnsi"/>
              </w:rPr>
              <w:t>treatment specialist, plus self-help materials and counselling (intensive counselling for 30 mins</w:t>
            </w:r>
          </w:p>
          <w:p w:rsidR="002F7679" w:rsidRPr="00017AE6" w:rsidRDefault="00477E17" w:rsidP="00A71365">
            <w:pPr>
              <w:pStyle w:val="Tablewriting"/>
              <w:rPr>
                <w:rFonts w:eastAsia="MS Mincho" w:cstheme="minorHAnsi"/>
              </w:rPr>
            </w:pPr>
            <w:r w:rsidRPr="00477E17">
              <w:rPr>
                <w:rFonts w:eastAsia="MS Mincho" w:cstheme="minorHAnsi"/>
              </w:rPr>
              <w:t>in hospital, with 5 follow-up 15-min phone calls with additional counselling at 1, 2, 4, 8, and 12 weeks</w:t>
            </w:r>
            <w:r w:rsidR="0096136A">
              <w:rPr>
                <w:rFonts w:eastAsia="MS Mincho" w:cstheme="minorHAnsi"/>
              </w:rPr>
              <w:t xml:space="preserve"> </w:t>
            </w:r>
            <w:r w:rsidRPr="00477E17">
              <w:rPr>
                <w:rFonts w:eastAsia="MS Mincho" w:cstheme="minorHAnsi"/>
              </w:rPr>
              <w:t>after hospital discharge)</w:t>
            </w:r>
            <w:r w:rsidR="0096136A">
              <w:rPr>
                <w:rFonts w:eastAsia="MS Mincho" w:cstheme="minorHAnsi"/>
              </w:rPr>
              <w:t>.</w:t>
            </w:r>
          </w:p>
        </w:tc>
        <w:tc>
          <w:tcPr>
            <w:tcW w:w="1008" w:type="pct"/>
          </w:tcPr>
          <w:p w:rsidR="006F0109" w:rsidRPr="006F0109" w:rsidRDefault="002F7679" w:rsidP="00A71365">
            <w:pPr>
              <w:pStyle w:val="Tablewriting"/>
              <w:rPr>
                <w:rFonts w:eastAsia="MS Mincho" w:cstheme="minorHAnsi"/>
                <w:u w:val="single"/>
              </w:rPr>
            </w:pPr>
            <w:r>
              <w:rPr>
                <w:rFonts w:eastAsia="MS Mincho" w:cstheme="minorHAnsi"/>
                <w:u w:val="single"/>
              </w:rPr>
              <w:lastRenderedPageBreak/>
              <w:t>Efficacy:</w:t>
            </w:r>
            <w:r w:rsidR="006F0109">
              <w:rPr>
                <w:rFonts w:eastAsia="MS Mincho" w:cstheme="minorHAnsi"/>
                <w:u w:val="single"/>
              </w:rPr>
              <w:t xml:space="preserve"> </w:t>
            </w:r>
            <w:r w:rsidR="006F0109" w:rsidRPr="006F0109">
              <w:rPr>
                <w:rFonts w:eastAsia="MS Mincho" w:cstheme="minorHAnsi"/>
              </w:rPr>
              <w:t>7-day PP at 6 months</w:t>
            </w:r>
            <w:r w:rsidR="006F0109">
              <w:rPr>
                <w:rFonts w:eastAsia="MS Mincho" w:cstheme="minorHAnsi"/>
              </w:rPr>
              <w:t>.</w:t>
            </w:r>
          </w:p>
          <w:p w:rsidR="002F7679" w:rsidRPr="006F0109" w:rsidRDefault="006F0109" w:rsidP="00A71365">
            <w:pPr>
              <w:pStyle w:val="Tablewriting"/>
              <w:rPr>
                <w:rFonts w:eastAsia="MS Mincho" w:cstheme="minorHAnsi"/>
              </w:rPr>
            </w:pPr>
            <w:r w:rsidRPr="006F0109">
              <w:rPr>
                <w:rFonts w:eastAsia="MS Mincho" w:cstheme="minorHAnsi"/>
              </w:rPr>
              <w:t>Validation: Urinary cotinine &lt; 15 ng/ml</w:t>
            </w:r>
          </w:p>
          <w:p w:rsidR="002F7679" w:rsidRPr="004272CD" w:rsidRDefault="002F7679" w:rsidP="00A71365">
            <w:pPr>
              <w:pStyle w:val="Tablewriting"/>
              <w:rPr>
                <w:rFonts w:eastAsia="MS Mincho" w:cstheme="minorHAnsi"/>
                <w:u w:val="single"/>
              </w:rPr>
            </w:pPr>
            <w:r>
              <w:rPr>
                <w:rFonts w:eastAsia="MS Mincho" w:cstheme="minorHAnsi"/>
                <w:u w:val="single"/>
              </w:rPr>
              <w:t>Safety:</w:t>
            </w:r>
            <w:r w:rsidR="006F0109">
              <w:rPr>
                <w:rFonts w:eastAsia="MS Mincho" w:cstheme="minorHAnsi"/>
                <w:u w:val="single"/>
              </w:rPr>
              <w:t xml:space="preserve"> </w:t>
            </w:r>
            <w:r w:rsidR="006F0109" w:rsidRPr="006F0109">
              <w:rPr>
                <w:rFonts w:eastAsia="MS Mincho" w:cstheme="minorHAnsi"/>
              </w:rPr>
              <w:t>NR</w:t>
            </w:r>
          </w:p>
        </w:tc>
      </w:tr>
      <w:tr w:rsidR="007175AE" w:rsidRPr="00017AE6" w:rsidTr="00A4076B">
        <w:trPr>
          <w:trHeight w:val="99"/>
        </w:trPr>
        <w:tc>
          <w:tcPr>
            <w:tcW w:w="495" w:type="pct"/>
          </w:tcPr>
          <w:p w:rsidR="007175AE" w:rsidRPr="00017AE6" w:rsidRDefault="007175AE" w:rsidP="00A71365">
            <w:pPr>
              <w:pStyle w:val="Tablewriting"/>
              <w:rPr>
                <w:rFonts w:eastAsia="MS Mincho" w:cstheme="minorHAnsi"/>
              </w:rPr>
            </w:pPr>
            <w:r w:rsidRPr="00B07BE1">
              <w:rPr>
                <w:rFonts w:eastAsia="MS Mincho"/>
              </w:rPr>
              <w:t xml:space="preserve">Piper </w:t>
            </w:r>
            <w:r>
              <w:rPr>
                <w:rFonts w:eastAsia="MS Mincho"/>
              </w:rPr>
              <w:t>(</w:t>
            </w:r>
            <w:r w:rsidRPr="00B07BE1">
              <w:rPr>
                <w:rFonts w:eastAsia="MS Mincho"/>
              </w:rPr>
              <w:t>2009</w:t>
            </w:r>
            <w:r>
              <w:rPr>
                <w:rFonts w:eastAsia="MS Mincho"/>
              </w:rPr>
              <w:t>)</w:t>
            </w:r>
          </w:p>
        </w:tc>
        <w:tc>
          <w:tcPr>
            <w:tcW w:w="234" w:type="pct"/>
          </w:tcPr>
          <w:p w:rsidR="007175AE" w:rsidRPr="00017AE6" w:rsidRDefault="004810EB" w:rsidP="00A71365">
            <w:pPr>
              <w:pStyle w:val="Tablewriting"/>
              <w:rPr>
                <w:rFonts w:eastAsia="MS Mincho" w:cstheme="minorHAnsi"/>
              </w:rPr>
            </w:pPr>
            <w:r>
              <w:rPr>
                <w:rFonts w:eastAsia="MS Mincho" w:cstheme="minorHAnsi"/>
              </w:rPr>
              <w:t>RCT</w:t>
            </w:r>
          </w:p>
        </w:tc>
        <w:tc>
          <w:tcPr>
            <w:tcW w:w="433" w:type="pct"/>
          </w:tcPr>
          <w:p w:rsidR="007175AE" w:rsidRPr="00017AE6" w:rsidRDefault="007175AE" w:rsidP="00A71365">
            <w:pPr>
              <w:pStyle w:val="Tablewriting"/>
              <w:rPr>
                <w:rFonts w:eastAsia="MS Mincho" w:cstheme="minorHAnsi"/>
              </w:rPr>
            </w:pPr>
            <w:r>
              <w:rPr>
                <w:rFonts w:eastAsia="MS Mincho" w:cstheme="minorHAnsi"/>
              </w:rPr>
              <w:t>USA</w:t>
            </w:r>
          </w:p>
        </w:tc>
        <w:tc>
          <w:tcPr>
            <w:tcW w:w="359" w:type="pct"/>
          </w:tcPr>
          <w:p w:rsidR="007175AE" w:rsidRPr="00017AE6" w:rsidRDefault="007175AE" w:rsidP="00A71365">
            <w:pPr>
              <w:pStyle w:val="Tablewriting"/>
              <w:rPr>
                <w:rFonts w:eastAsia="MS Mincho" w:cstheme="minorHAnsi"/>
              </w:rPr>
            </w:pPr>
            <w:r>
              <w:rPr>
                <w:rFonts w:eastAsia="MS Mincho" w:cstheme="minorHAnsi"/>
              </w:rPr>
              <w:t>N=1504</w:t>
            </w:r>
          </w:p>
        </w:tc>
        <w:tc>
          <w:tcPr>
            <w:tcW w:w="1224" w:type="pct"/>
          </w:tcPr>
          <w:p w:rsidR="007175AE" w:rsidRPr="00017AE6" w:rsidRDefault="007175AE" w:rsidP="00A71365">
            <w:pPr>
              <w:pStyle w:val="Tablewriting"/>
              <w:rPr>
                <w:rFonts w:eastAsia="MS Mincho" w:cstheme="minorHAnsi"/>
              </w:rPr>
            </w:pPr>
            <w:r>
              <w:rPr>
                <w:rFonts w:eastAsia="MS Mincho" w:cstheme="minorHAnsi"/>
              </w:rPr>
              <w:t>S</w:t>
            </w:r>
            <w:r w:rsidRPr="00FB4DCC">
              <w:rPr>
                <w:rFonts w:eastAsia="MS Mincho" w:cstheme="minorHAnsi"/>
              </w:rPr>
              <w:t>mokers motivated to quit</w:t>
            </w:r>
            <w:r>
              <w:rPr>
                <w:rFonts w:eastAsia="MS Mincho" w:cstheme="minorHAnsi"/>
              </w:rPr>
              <w:t xml:space="preserve">, </w:t>
            </w:r>
            <w:r w:rsidRPr="00FB4DCC">
              <w:rPr>
                <w:rFonts w:eastAsia="MS Mincho" w:cstheme="minorHAnsi"/>
              </w:rPr>
              <w:t xml:space="preserve">58% female, average age 45, average </w:t>
            </w:r>
            <w:r>
              <w:rPr>
                <w:rFonts w:eastAsia="MS Mincho" w:cstheme="minorHAnsi"/>
              </w:rPr>
              <w:t>CPD</w:t>
            </w:r>
            <w:r w:rsidRPr="00FB4DCC">
              <w:rPr>
                <w:rFonts w:eastAsia="MS Mincho" w:cstheme="minorHAnsi"/>
              </w:rPr>
              <w:t xml:space="preserve"> 21.4</w:t>
            </w:r>
            <w:r>
              <w:rPr>
                <w:rFonts w:eastAsia="MS Mincho" w:cstheme="minorHAnsi"/>
              </w:rPr>
              <w:t>.</w:t>
            </w:r>
          </w:p>
        </w:tc>
        <w:tc>
          <w:tcPr>
            <w:tcW w:w="1247" w:type="pct"/>
          </w:tcPr>
          <w:p w:rsidR="007175AE" w:rsidRDefault="007175AE" w:rsidP="00C324F3">
            <w:pPr>
              <w:pStyle w:val="Tablewriting"/>
              <w:numPr>
                <w:ilvl w:val="0"/>
                <w:numId w:val="140"/>
              </w:numPr>
              <w:rPr>
                <w:rFonts w:eastAsia="MS Mincho" w:cstheme="minorHAnsi"/>
              </w:rPr>
            </w:pPr>
            <w:r w:rsidRPr="0043759B">
              <w:rPr>
                <w:rFonts w:eastAsia="MS Mincho" w:cstheme="minorHAnsi"/>
              </w:rPr>
              <w:t>Nicotine lozenge 2 or 4 mg for 12 weeks (based on dose-for-dependence level as in instructions)</w:t>
            </w:r>
            <w:r>
              <w:rPr>
                <w:rFonts w:eastAsia="MS Mincho" w:cstheme="minorHAnsi"/>
              </w:rPr>
              <w:t>.</w:t>
            </w:r>
          </w:p>
          <w:p w:rsidR="007175AE" w:rsidRDefault="007175AE" w:rsidP="00C324F3">
            <w:pPr>
              <w:pStyle w:val="Tablewriting"/>
              <w:numPr>
                <w:ilvl w:val="0"/>
                <w:numId w:val="140"/>
              </w:numPr>
              <w:rPr>
                <w:rFonts w:eastAsia="MS Mincho" w:cstheme="minorHAnsi"/>
              </w:rPr>
            </w:pPr>
            <w:r w:rsidRPr="0043759B">
              <w:rPr>
                <w:rFonts w:eastAsia="MS Mincho" w:cstheme="minorHAnsi"/>
              </w:rPr>
              <w:t>Nicotine patch (24 h, 21, 14, and 7 mg titrated down over 8-week period post-quit)</w:t>
            </w:r>
            <w:r>
              <w:rPr>
                <w:rFonts w:eastAsia="MS Mincho" w:cstheme="minorHAnsi"/>
              </w:rPr>
              <w:t>.</w:t>
            </w:r>
          </w:p>
          <w:p w:rsidR="007175AE" w:rsidRDefault="007175AE" w:rsidP="00C324F3">
            <w:pPr>
              <w:pStyle w:val="Tablewriting"/>
              <w:numPr>
                <w:ilvl w:val="0"/>
                <w:numId w:val="140"/>
              </w:numPr>
              <w:rPr>
                <w:rFonts w:eastAsia="MS Mincho" w:cstheme="minorHAnsi"/>
              </w:rPr>
            </w:pPr>
            <w:r w:rsidRPr="0043759B">
              <w:rPr>
                <w:rFonts w:eastAsia="MS Mincho" w:cstheme="minorHAnsi"/>
              </w:rPr>
              <w:t>Bupropion SR (150 mg bid, 1 week pre-quit, 8 weeks post-quit)</w:t>
            </w:r>
            <w:r>
              <w:rPr>
                <w:rFonts w:eastAsia="MS Mincho" w:cstheme="minorHAnsi"/>
              </w:rPr>
              <w:t>.</w:t>
            </w:r>
          </w:p>
          <w:p w:rsidR="007175AE" w:rsidRPr="00887906" w:rsidRDefault="007175AE" w:rsidP="00C324F3">
            <w:pPr>
              <w:pStyle w:val="Tablewriting"/>
              <w:numPr>
                <w:ilvl w:val="0"/>
                <w:numId w:val="140"/>
              </w:numPr>
              <w:rPr>
                <w:rFonts w:eastAsia="MS Mincho" w:cstheme="minorHAnsi"/>
              </w:rPr>
            </w:pPr>
            <w:r w:rsidRPr="00887906">
              <w:rPr>
                <w:rFonts w:eastAsia="MS Mincho" w:cstheme="minorHAnsi"/>
              </w:rPr>
              <w:t>Lozenge + patch (duration and dosage as above)</w:t>
            </w:r>
            <w:r>
              <w:rPr>
                <w:rFonts w:eastAsia="MS Mincho" w:cstheme="minorHAnsi"/>
              </w:rPr>
              <w:t>.</w:t>
            </w:r>
          </w:p>
          <w:p w:rsidR="007175AE" w:rsidRPr="00887906" w:rsidRDefault="007175AE" w:rsidP="00C324F3">
            <w:pPr>
              <w:pStyle w:val="Tablewriting"/>
              <w:numPr>
                <w:ilvl w:val="0"/>
                <w:numId w:val="140"/>
              </w:numPr>
              <w:rPr>
                <w:rFonts w:eastAsia="MS Mincho" w:cstheme="minorHAnsi"/>
              </w:rPr>
            </w:pPr>
            <w:r w:rsidRPr="00887906">
              <w:rPr>
                <w:rFonts w:eastAsia="MS Mincho" w:cstheme="minorHAnsi"/>
              </w:rPr>
              <w:t>Bupropion + lozenge (duration and dosage as above)</w:t>
            </w:r>
            <w:r>
              <w:rPr>
                <w:rFonts w:eastAsia="MS Mincho" w:cstheme="minorHAnsi"/>
              </w:rPr>
              <w:t>.</w:t>
            </w:r>
          </w:p>
          <w:p w:rsidR="007175AE" w:rsidRPr="00887906" w:rsidRDefault="007175AE" w:rsidP="00C324F3">
            <w:pPr>
              <w:pStyle w:val="Tablewriting"/>
              <w:numPr>
                <w:ilvl w:val="0"/>
                <w:numId w:val="140"/>
              </w:numPr>
              <w:rPr>
                <w:rFonts w:eastAsia="MS Mincho" w:cstheme="minorHAnsi"/>
              </w:rPr>
            </w:pPr>
            <w:r w:rsidRPr="00887906">
              <w:rPr>
                <w:rFonts w:eastAsia="MS Mincho" w:cstheme="minorHAnsi"/>
              </w:rPr>
              <w:t>Placebo (5 groups matched to above 5 interventions)</w:t>
            </w:r>
            <w:r>
              <w:rPr>
                <w:rFonts w:eastAsia="MS Mincho" w:cstheme="minorHAnsi"/>
              </w:rPr>
              <w:t>.</w:t>
            </w:r>
          </w:p>
          <w:p w:rsidR="007175AE" w:rsidRDefault="007175AE" w:rsidP="00A71365">
            <w:pPr>
              <w:pStyle w:val="Tablewriting"/>
              <w:rPr>
                <w:rFonts w:eastAsia="MS Mincho" w:cstheme="minorHAnsi"/>
              </w:rPr>
            </w:pPr>
          </w:p>
          <w:p w:rsidR="007175AE" w:rsidRPr="00017AE6" w:rsidRDefault="007175AE" w:rsidP="00A71365">
            <w:pPr>
              <w:pStyle w:val="Tablewriting"/>
              <w:rPr>
                <w:rFonts w:eastAsia="MS Mincho" w:cstheme="minorHAnsi"/>
              </w:rPr>
            </w:pPr>
            <w:r w:rsidRPr="00887906">
              <w:rPr>
                <w:rFonts w:eastAsia="MS Mincho" w:cstheme="minorHAnsi"/>
              </w:rPr>
              <w:t>Level of support: high. All participants received 7 one-to-one 10- to 20-min counselling sessions</w:t>
            </w:r>
          </w:p>
        </w:tc>
        <w:tc>
          <w:tcPr>
            <w:tcW w:w="1008" w:type="pct"/>
          </w:tcPr>
          <w:p w:rsidR="007175AE" w:rsidRDefault="007175AE" w:rsidP="00A71365">
            <w:pPr>
              <w:pStyle w:val="Tablewriting"/>
              <w:rPr>
                <w:rFonts w:eastAsia="MS Mincho" w:cstheme="minorHAnsi"/>
              </w:rPr>
            </w:pPr>
            <w:r w:rsidRPr="009B13E2">
              <w:rPr>
                <w:rFonts w:eastAsia="MS Mincho" w:cstheme="minorHAnsi"/>
                <w:u w:val="single"/>
              </w:rPr>
              <w:t>Efficacy:</w:t>
            </w:r>
            <w:r>
              <w:rPr>
                <w:rFonts w:eastAsia="MS Mincho" w:cstheme="minorHAnsi"/>
                <w:u w:val="single"/>
              </w:rPr>
              <w:t xml:space="preserve"> </w:t>
            </w:r>
            <w:r w:rsidRPr="00A61959">
              <w:rPr>
                <w:rFonts w:eastAsia="MS Mincho" w:cstheme="minorHAnsi"/>
              </w:rPr>
              <w:t>7-day PP abstinence at 6 months</w:t>
            </w:r>
            <w:r>
              <w:rPr>
                <w:rFonts w:eastAsia="MS Mincho" w:cstheme="minorHAnsi"/>
              </w:rPr>
              <w:t>,</w:t>
            </w:r>
            <w:r w:rsidRPr="00A61959">
              <w:rPr>
                <w:rFonts w:eastAsia="MS Mincho" w:cstheme="minorHAnsi"/>
              </w:rPr>
              <w:t xml:space="preserve"> initial cessation</w:t>
            </w:r>
            <w:r>
              <w:rPr>
                <w:rFonts w:eastAsia="MS Mincho" w:cstheme="minorHAnsi"/>
              </w:rPr>
              <w:t>.</w:t>
            </w:r>
          </w:p>
          <w:p w:rsidR="007175AE" w:rsidRPr="00A61959" w:rsidRDefault="007175AE" w:rsidP="00A71365">
            <w:pPr>
              <w:pStyle w:val="Tablewriting"/>
              <w:rPr>
                <w:rFonts w:eastAsia="MS Mincho" w:cstheme="minorHAnsi"/>
                <w:u w:val="single"/>
              </w:rPr>
            </w:pPr>
          </w:p>
          <w:p w:rsidR="007175AE" w:rsidRDefault="007175AE" w:rsidP="00A71365">
            <w:pPr>
              <w:pStyle w:val="Tablewriting"/>
              <w:rPr>
                <w:rFonts w:eastAsia="MS Mincho" w:cstheme="minorHAnsi"/>
              </w:rPr>
            </w:pPr>
            <w:r w:rsidRPr="00A61959">
              <w:rPr>
                <w:rFonts w:eastAsia="MS Mincho" w:cstheme="minorHAnsi"/>
              </w:rPr>
              <w:t>Validation: CO &lt; 10 ppm</w:t>
            </w:r>
            <w:r>
              <w:rPr>
                <w:rFonts w:eastAsia="MS Mincho" w:cstheme="minorHAnsi"/>
              </w:rPr>
              <w:t>.</w:t>
            </w:r>
          </w:p>
          <w:p w:rsidR="007175AE" w:rsidRDefault="007175AE" w:rsidP="00A71365">
            <w:pPr>
              <w:pStyle w:val="Tablewriting"/>
              <w:rPr>
                <w:rFonts w:eastAsia="MS Mincho" w:cstheme="minorHAnsi"/>
              </w:rPr>
            </w:pPr>
          </w:p>
          <w:p w:rsidR="007175AE" w:rsidRPr="006C6C9B" w:rsidRDefault="007175AE" w:rsidP="00A71365">
            <w:pPr>
              <w:pStyle w:val="Tablewriting"/>
              <w:rPr>
                <w:rFonts w:eastAsia="MS Mincho" w:cstheme="minorHAnsi"/>
              </w:rPr>
            </w:pPr>
            <w:r w:rsidRPr="009B13E2">
              <w:rPr>
                <w:rFonts w:eastAsia="MS Mincho" w:cstheme="minorHAnsi"/>
                <w:u w:val="single"/>
              </w:rPr>
              <w:t>Safety:</w:t>
            </w:r>
            <w:r>
              <w:rPr>
                <w:rFonts w:eastAsia="MS Mincho" w:cstheme="minorHAnsi"/>
                <w:u w:val="single"/>
              </w:rPr>
              <w:t xml:space="preserve"> </w:t>
            </w:r>
            <w:r w:rsidRPr="006C6C9B">
              <w:rPr>
                <w:rFonts w:eastAsia="MS Mincho" w:cstheme="minorHAnsi"/>
              </w:rPr>
              <w:t>NR</w:t>
            </w:r>
          </w:p>
          <w:p w:rsidR="007175AE" w:rsidRPr="004272CD" w:rsidRDefault="007175AE" w:rsidP="00A71365">
            <w:pPr>
              <w:pStyle w:val="Tablewriting"/>
              <w:rPr>
                <w:rFonts w:eastAsia="MS Mincho" w:cstheme="minorHAnsi"/>
                <w:u w:val="single"/>
              </w:rPr>
            </w:pPr>
          </w:p>
        </w:tc>
      </w:tr>
    </w:tbl>
    <w:p w:rsidR="007C71A8" w:rsidRPr="009B042A" w:rsidRDefault="007C71A8" w:rsidP="00A71365">
      <w:pPr>
        <w:pStyle w:val="TableFooter"/>
      </w:pPr>
      <w:r>
        <w:t xml:space="preserve">Source: </w:t>
      </w:r>
      <w:r w:rsidRPr="00B1187A">
        <w:t>Hartmann-Boyce et al. (2018)</w:t>
      </w:r>
      <w:r>
        <w:t>.</w:t>
      </w:r>
    </w:p>
    <w:p w:rsidR="00513BB5" w:rsidRDefault="00513BB5" w:rsidP="00A71365">
      <w:pPr>
        <w:pStyle w:val="TableFooter"/>
      </w:pPr>
      <w:bookmarkStart w:id="385" w:name="_Ref55299904"/>
      <w:r>
        <w:t xml:space="preserve">Abbreviations: NR= not reported; </w:t>
      </w:r>
      <w:r w:rsidRPr="009B042A">
        <w:t xml:space="preserve">PPA= point prevalence smoking abstinence; </w:t>
      </w:r>
      <w:r>
        <w:t xml:space="preserve">CAR= continuous abstinence rate;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xml:space="preserve">; CPD= cigarette per day; AEs= adverse events; SAEs= serious adverse events. </w:t>
      </w:r>
    </w:p>
    <w:p w:rsidR="00CA7B4D" w:rsidRDefault="00CA7B4D" w:rsidP="00CA7B4D">
      <w:pPr>
        <w:pStyle w:val="Caption"/>
        <w:keepNext/>
      </w:pPr>
      <w:bookmarkStart w:id="386" w:name="_Ref61266466"/>
      <w:r>
        <w:lastRenderedPageBreak/>
        <w:t xml:space="preserve">Table </w:t>
      </w:r>
      <w:r w:rsidR="003C4A1C">
        <w:rPr>
          <w:noProof/>
        </w:rPr>
        <w:t>156</w:t>
      </w:r>
      <w:bookmarkEnd w:id="385"/>
      <w:bookmarkEnd w:id="386"/>
      <w:r>
        <w:t xml:space="preserve">: </w:t>
      </w:r>
      <w:r w:rsidRPr="008B0097">
        <w:t>Characteristics of studies included in Lindson et al. (2019), combination</w:t>
      </w:r>
      <w:r w:rsidR="00C96DF9">
        <w:t xml:space="preserve"> NRT</w:t>
      </w:r>
      <w:r w:rsidRPr="008B0097">
        <w:t xml:space="preserve"> versus NRT monotherapy</w:t>
      </w:r>
    </w:p>
    <w:tbl>
      <w:tblPr>
        <w:tblStyle w:val="TableGrid"/>
        <w:tblW w:w="5270" w:type="pct"/>
        <w:tblLook w:val="04A0" w:firstRow="1" w:lastRow="0" w:firstColumn="1" w:lastColumn="0" w:noHBand="0" w:noVBand="1"/>
        <w:tblCaption w:val="Efficacy results of adalimumab trials (PASI 75 and DLQI)"/>
      </w:tblPr>
      <w:tblGrid>
        <w:gridCol w:w="1455"/>
        <w:gridCol w:w="690"/>
        <w:gridCol w:w="1273"/>
        <w:gridCol w:w="1053"/>
        <w:gridCol w:w="3458"/>
        <w:gridCol w:w="3808"/>
        <w:gridCol w:w="2964"/>
      </w:tblGrid>
      <w:tr w:rsidR="00696ADB" w:rsidRPr="00061F78" w:rsidTr="008E2AC2">
        <w:trPr>
          <w:trHeight w:val="299"/>
          <w:tblHeader/>
        </w:trPr>
        <w:tc>
          <w:tcPr>
            <w:tcW w:w="495" w:type="pct"/>
            <w:shd w:val="clear" w:color="auto" w:fill="BFBFBF" w:themeFill="background1" w:themeFillShade="BF"/>
            <w:tcMar>
              <w:left w:w="28" w:type="dxa"/>
              <w:right w:w="28" w:type="dxa"/>
            </w:tcMar>
          </w:tcPr>
          <w:p w:rsidR="00696ADB" w:rsidRPr="00061F78" w:rsidRDefault="00126B7B" w:rsidP="00A71365">
            <w:pPr>
              <w:pStyle w:val="Tableheading"/>
              <w:rPr>
                <w:rFonts w:eastAsia="MS Mincho"/>
              </w:rPr>
            </w:pPr>
            <w:r>
              <w:rPr>
                <w:rFonts w:eastAsia="MS Mincho"/>
              </w:rPr>
              <w:t>Study</w:t>
            </w:r>
          </w:p>
        </w:tc>
        <w:tc>
          <w:tcPr>
            <w:tcW w:w="234" w:type="pct"/>
            <w:shd w:val="clear" w:color="auto" w:fill="BFBFBF" w:themeFill="background1" w:themeFillShade="BF"/>
          </w:tcPr>
          <w:p w:rsidR="00696ADB" w:rsidRDefault="00696ADB" w:rsidP="00A71365">
            <w:pPr>
              <w:pStyle w:val="Tableheading"/>
              <w:jc w:val="center"/>
              <w:rPr>
                <w:rFonts w:eastAsia="MS Mincho"/>
              </w:rPr>
            </w:pPr>
            <w:r>
              <w:rPr>
                <w:rFonts w:eastAsia="MS Mincho"/>
              </w:rPr>
              <w:t>Study type</w:t>
            </w:r>
          </w:p>
        </w:tc>
        <w:tc>
          <w:tcPr>
            <w:tcW w:w="433" w:type="pct"/>
            <w:shd w:val="clear" w:color="auto" w:fill="BFBFBF" w:themeFill="background1" w:themeFillShade="BF"/>
          </w:tcPr>
          <w:p w:rsidR="00696ADB" w:rsidRDefault="00696ADB" w:rsidP="00A71365">
            <w:pPr>
              <w:pStyle w:val="Tableheading"/>
              <w:jc w:val="center"/>
              <w:rPr>
                <w:rFonts w:eastAsia="MS Mincho"/>
              </w:rPr>
            </w:pPr>
            <w:r>
              <w:rPr>
                <w:rFonts w:eastAsia="MS Mincho"/>
              </w:rPr>
              <w:t>Countries</w:t>
            </w:r>
          </w:p>
        </w:tc>
        <w:tc>
          <w:tcPr>
            <w:tcW w:w="358" w:type="pct"/>
            <w:shd w:val="clear" w:color="auto" w:fill="BFBFBF" w:themeFill="background1" w:themeFillShade="BF"/>
            <w:tcMar>
              <w:left w:w="28" w:type="dxa"/>
              <w:right w:w="28" w:type="dxa"/>
            </w:tcMar>
          </w:tcPr>
          <w:p w:rsidR="00696ADB" w:rsidRPr="00061F78" w:rsidRDefault="00696ADB" w:rsidP="00A71365">
            <w:pPr>
              <w:pStyle w:val="Tableheading"/>
              <w:jc w:val="center"/>
              <w:rPr>
                <w:rFonts w:eastAsia="MS Mincho"/>
              </w:rPr>
            </w:pPr>
            <w:r>
              <w:rPr>
                <w:rFonts w:eastAsia="MS Mincho"/>
              </w:rPr>
              <w:t>N</w:t>
            </w:r>
          </w:p>
        </w:tc>
        <w:tc>
          <w:tcPr>
            <w:tcW w:w="1176" w:type="pct"/>
            <w:shd w:val="clear" w:color="auto" w:fill="BFBFBF" w:themeFill="background1" w:themeFillShade="BF"/>
            <w:tcMar>
              <w:left w:w="28" w:type="dxa"/>
              <w:right w:w="28" w:type="dxa"/>
            </w:tcMar>
          </w:tcPr>
          <w:p w:rsidR="00696ADB" w:rsidRPr="00061F78" w:rsidRDefault="00696ADB" w:rsidP="00A71365">
            <w:pPr>
              <w:pStyle w:val="Tableheading"/>
              <w:jc w:val="center"/>
              <w:rPr>
                <w:rFonts w:eastAsia="MS Mincho"/>
              </w:rPr>
            </w:pPr>
            <w:r w:rsidRPr="00061F78">
              <w:rPr>
                <w:rFonts w:eastAsia="MS Mincho"/>
              </w:rPr>
              <w:t>P</w:t>
            </w:r>
            <w:r>
              <w:rPr>
                <w:rFonts w:eastAsia="MS Mincho"/>
              </w:rPr>
              <w:t>opulation</w:t>
            </w:r>
          </w:p>
        </w:tc>
        <w:tc>
          <w:tcPr>
            <w:tcW w:w="1295" w:type="pct"/>
            <w:shd w:val="clear" w:color="auto" w:fill="BFBFBF" w:themeFill="background1" w:themeFillShade="BF"/>
          </w:tcPr>
          <w:p w:rsidR="00696ADB" w:rsidRDefault="00696ADB" w:rsidP="00A71365">
            <w:pPr>
              <w:pStyle w:val="Tableheading"/>
              <w:jc w:val="center"/>
              <w:rPr>
                <w:rFonts w:eastAsia="MS Mincho"/>
              </w:rPr>
            </w:pPr>
            <w:r>
              <w:rPr>
                <w:rFonts w:eastAsia="MS Mincho"/>
              </w:rPr>
              <w:t>Intervention and comparator</w:t>
            </w:r>
          </w:p>
        </w:tc>
        <w:tc>
          <w:tcPr>
            <w:tcW w:w="1008" w:type="pct"/>
            <w:shd w:val="clear" w:color="auto" w:fill="BFBFBF" w:themeFill="background1" w:themeFillShade="BF"/>
            <w:tcMar>
              <w:left w:w="28" w:type="dxa"/>
              <w:right w:w="28" w:type="dxa"/>
            </w:tcMar>
          </w:tcPr>
          <w:p w:rsidR="00696ADB" w:rsidRPr="00061F78" w:rsidRDefault="00696ADB" w:rsidP="00A71365">
            <w:pPr>
              <w:pStyle w:val="Tableheading"/>
              <w:jc w:val="center"/>
              <w:rPr>
                <w:rFonts w:eastAsia="MS Mincho"/>
              </w:rPr>
            </w:pPr>
            <w:r>
              <w:rPr>
                <w:rFonts w:eastAsia="MS Mincho"/>
              </w:rPr>
              <w:t>Outcomes</w:t>
            </w:r>
          </w:p>
        </w:tc>
      </w:tr>
      <w:tr w:rsidR="006352C7" w:rsidRPr="00017AE6" w:rsidTr="008E2AC2">
        <w:trPr>
          <w:trHeight w:val="99"/>
        </w:trPr>
        <w:tc>
          <w:tcPr>
            <w:tcW w:w="495" w:type="pct"/>
          </w:tcPr>
          <w:p w:rsidR="006352C7" w:rsidRPr="00017AE6" w:rsidRDefault="006352C7" w:rsidP="00A71365">
            <w:pPr>
              <w:pStyle w:val="Tablewriting"/>
              <w:rPr>
                <w:rFonts w:eastAsia="MS Mincho" w:cstheme="minorHAnsi"/>
              </w:rPr>
            </w:pPr>
            <w:r w:rsidRPr="00CF3975">
              <w:rPr>
                <w:rFonts w:eastAsia="MS Mincho" w:cstheme="minorHAnsi"/>
              </w:rPr>
              <w:t xml:space="preserve">Baker </w:t>
            </w:r>
            <w:r w:rsidR="00991AC5">
              <w:rPr>
                <w:rFonts w:eastAsia="MS Mincho" w:cstheme="minorHAnsi"/>
              </w:rPr>
              <w:t>(</w:t>
            </w:r>
            <w:r w:rsidRPr="00CF3975">
              <w:rPr>
                <w:rFonts w:eastAsia="MS Mincho" w:cstheme="minorHAnsi"/>
              </w:rPr>
              <w:t>2016</w:t>
            </w:r>
            <w:r w:rsidR="00991AC5">
              <w:rPr>
                <w:rFonts w:eastAsia="MS Mincho" w:cstheme="minorHAnsi"/>
              </w:rPr>
              <w:t>)</w:t>
            </w:r>
          </w:p>
        </w:tc>
        <w:tc>
          <w:tcPr>
            <w:tcW w:w="234" w:type="pct"/>
          </w:tcPr>
          <w:p w:rsidR="006352C7" w:rsidRPr="00017AE6" w:rsidRDefault="004810EB" w:rsidP="00A71365">
            <w:pPr>
              <w:pStyle w:val="Tablewriting"/>
              <w:rPr>
                <w:rFonts w:eastAsia="MS Mincho" w:cstheme="minorHAnsi"/>
              </w:rPr>
            </w:pPr>
            <w:r>
              <w:rPr>
                <w:rFonts w:eastAsia="MS Mincho" w:cstheme="minorHAnsi"/>
              </w:rPr>
              <w:t>RCT</w:t>
            </w:r>
          </w:p>
        </w:tc>
        <w:tc>
          <w:tcPr>
            <w:tcW w:w="433" w:type="pct"/>
          </w:tcPr>
          <w:p w:rsidR="006352C7" w:rsidRPr="00017AE6" w:rsidRDefault="005B1711" w:rsidP="00A71365">
            <w:pPr>
              <w:pStyle w:val="Tablewriting"/>
              <w:rPr>
                <w:rFonts w:eastAsia="MS Mincho" w:cstheme="minorHAnsi"/>
              </w:rPr>
            </w:pPr>
            <w:r>
              <w:rPr>
                <w:rFonts w:eastAsia="MS Mincho" w:cstheme="minorHAnsi"/>
              </w:rPr>
              <w:t>USA</w:t>
            </w:r>
          </w:p>
        </w:tc>
        <w:tc>
          <w:tcPr>
            <w:tcW w:w="358" w:type="pct"/>
          </w:tcPr>
          <w:p w:rsidR="006352C7" w:rsidRPr="00017AE6" w:rsidRDefault="00F536ED" w:rsidP="00A71365">
            <w:pPr>
              <w:pStyle w:val="Tablewriting"/>
              <w:rPr>
                <w:rFonts w:eastAsia="MS Mincho" w:cstheme="minorHAnsi"/>
              </w:rPr>
            </w:pPr>
            <w:r>
              <w:rPr>
                <w:rFonts w:eastAsia="MS Mincho" w:cstheme="minorHAnsi"/>
              </w:rPr>
              <w:t>N=1086</w:t>
            </w:r>
          </w:p>
        </w:tc>
        <w:tc>
          <w:tcPr>
            <w:tcW w:w="1176" w:type="pct"/>
          </w:tcPr>
          <w:p w:rsidR="00F536ED" w:rsidRPr="00F536ED" w:rsidRDefault="00B43756" w:rsidP="00A71365">
            <w:pPr>
              <w:pStyle w:val="Tablewriting"/>
              <w:rPr>
                <w:rFonts w:eastAsia="MS Mincho" w:cstheme="minorHAnsi"/>
              </w:rPr>
            </w:pPr>
            <w:r>
              <w:rPr>
                <w:rFonts w:eastAsia="MS Mincho" w:cstheme="minorHAnsi"/>
              </w:rPr>
              <w:t>S</w:t>
            </w:r>
            <w:r w:rsidR="00F536ED" w:rsidRPr="00F536ED">
              <w:rPr>
                <w:rFonts w:eastAsia="MS Mincho" w:cstheme="minorHAnsi"/>
              </w:rPr>
              <w:t>mokers (662 in relevant trial arms): aged &gt; 17 y</w:t>
            </w:r>
            <w:r w:rsidR="008C2A98">
              <w:rPr>
                <w:rFonts w:eastAsia="MS Mincho" w:cstheme="minorHAnsi"/>
              </w:rPr>
              <w:t>ea</w:t>
            </w:r>
            <w:r w:rsidR="00F536ED" w:rsidRPr="00F536ED">
              <w:rPr>
                <w:rFonts w:eastAsia="MS Mincho" w:cstheme="minorHAnsi"/>
              </w:rPr>
              <w:t xml:space="preserve">rs, </w:t>
            </w:r>
            <w:r w:rsidR="002F7627" w:rsidRPr="002F7627">
              <w:rPr>
                <w:rFonts w:eastAsia="MS Mincho" w:cstheme="minorHAnsi"/>
              </w:rPr>
              <w:t>≥</w:t>
            </w:r>
            <w:r w:rsidR="00F536ED" w:rsidRPr="00F536ED">
              <w:rPr>
                <w:rFonts w:eastAsia="MS Mincho" w:cstheme="minorHAnsi"/>
              </w:rPr>
              <w:t xml:space="preserve"> 5 </w:t>
            </w:r>
            <w:r>
              <w:rPr>
                <w:rFonts w:eastAsia="MS Mincho" w:cstheme="minorHAnsi"/>
              </w:rPr>
              <w:t>CPD</w:t>
            </w:r>
            <w:r w:rsidR="00F536ED" w:rsidRPr="00F536ED">
              <w:rPr>
                <w:rFonts w:eastAsia="MS Mincho" w:cstheme="minorHAnsi"/>
              </w:rPr>
              <w:t>, desire to quit smoking but not engaged</w:t>
            </w:r>
            <w:r>
              <w:rPr>
                <w:rFonts w:eastAsia="MS Mincho" w:cstheme="minorHAnsi"/>
              </w:rPr>
              <w:t xml:space="preserve"> </w:t>
            </w:r>
            <w:r w:rsidR="00F536ED" w:rsidRPr="00F536ED">
              <w:rPr>
                <w:rFonts w:eastAsia="MS Mincho" w:cstheme="minorHAnsi"/>
              </w:rPr>
              <w:t>in smoking treatment, willingness to use the tested cessation treatments and not using e-cigarettes</w:t>
            </w:r>
            <w:r w:rsidR="002F7627">
              <w:rPr>
                <w:rFonts w:eastAsia="MS Mincho" w:cstheme="minorHAnsi"/>
              </w:rPr>
              <w:t>.</w:t>
            </w:r>
          </w:p>
          <w:p w:rsidR="006352C7" w:rsidRPr="00017AE6" w:rsidRDefault="00F536ED" w:rsidP="00A71365">
            <w:pPr>
              <w:pStyle w:val="Tablewriting"/>
              <w:rPr>
                <w:rFonts w:eastAsia="MS Mincho" w:cstheme="minorHAnsi"/>
              </w:rPr>
            </w:pPr>
            <w:r w:rsidRPr="00F536ED">
              <w:rPr>
                <w:rFonts w:eastAsia="MS Mincho" w:cstheme="minorHAnsi"/>
              </w:rPr>
              <w:t>47.9% men; a</w:t>
            </w:r>
            <w:r w:rsidR="00B43756">
              <w:rPr>
                <w:rFonts w:eastAsia="MS Mincho" w:cstheme="minorHAnsi"/>
              </w:rPr>
              <w:t xml:space="preserve">verage </w:t>
            </w:r>
            <w:r w:rsidRPr="00F536ED">
              <w:rPr>
                <w:rFonts w:eastAsia="MS Mincho" w:cstheme="minorHAnsi"/>
              </w:rPr>
              <w:t>age</w:t>
            </w:r>
            <w:r w:rsidR="00B43756">
              <w:rPr>
                <w:rFonts w:eastAsia="MS Mincho" w:cstheme="minorHAnsi"/>
              </w:rPr>
              <w:t xml:space="preserve"> </w:t>
            </w:r>
            <w:r w:rsidRPr="00F536ED">
              <w:rPr>
                <w:rFonts w:eastAsia="MS Mincho" w:cstheme="minorHAnsi"/>
              </w:rPr>
              <w:t>48.1 y</w:t>
            </w:r>
            <w:r w:rsidR="00B43756">
              <w:rPr>
                <w:rFonts w:eastAsia="MS Mincho" w:cstheme="minorHAnsi"/>
              </w:rPr>
              <w:t>ea</w:t>
            </w:r>
            <w:r w:rsidRPr="00F536ED">
              <w:rPr>
                <w:rFonts w:eastAsia="MS Mincho" w:cstheme="minorHAnsi"/>
              </w:rPr>
              <w:t>rs</w:t>
            </w:r>
            <w:r w:rsidR="00B43756">
              <w:rPr>
                <w:rFonts w:eastAsia="MS Mincho" w:cstheme="minorHAnsi"/>
              </w:rPr>
              <w:t xml:space="preserve">, </w:t>
            </w:r>
            <w:r w:rsidRPr="00F536ED">
              <w:rPr>
                <w:rFonts w:eastAsia="MS Mincho" w:cstheme="minorHAnsi"/>
              </w:rPr>
              <w:t>av</w:t>
            </w:r>
            <w:r w:rsidR="00B43756">
              <w:rPr>
                <w:rFonts w:eastAsia="MS Mincho" w:cstheme="minorHAnsi"/>
              </w:rPr>
              <w:t>erage</w:t>
            </w:r>
            <w:r w:rsidRPr="00F536ED">
              <w:rPr>
                <w:rFonts w:eastAsia="MS Mincho" w:cstheme="minorHAnsi"/>
              </w:rPr>
              <w:t xml:space="preserve"> </w:t>
            </w:r>
            <w:r w:rsidR="00B43756">
              <w:rPr>
                <w:rFonts w:eastAsia="MS Mincho" w:cstheme="minorHAnsi"/>
              </w:rPr>
              <w:t xml:space="preserve">CPD </w:t>
            </w:r>
            <w:r w:rsidRPr="00F536ED">
              <w:rPr>
                <w:rFonts w:eastAsia="MS Mincho" w:cstheme="minorHAnsi"/>
              </w:rPr>
              <w:t>17</w:t>
            </w:r>
            <w:r w:rsidR="00B43756">
              <w:rPr>
                <w:rFonts w:eastAsia="MS Mincho" w:cstheme="minorHAnsi"/>
              </w:rPr>
              <w:t>,</w:t>
            </w:r>
            <w:r w:rsidRPr="00F536ED">
              <w:rPr>
                <w:rFonts w:eastAsia="MS Mincho" w:cstheme="minorHAnsi"/>
              </w:rPr>
              <w:t xml:space="preserve"> av</w:t>
            </w:r>
            <w:r w:rsidR="00B43756">
              <w:rPr>
                <w:rFonts w:eastAsia="MS Mincho" w:cstheme="minorHAnsi"/>
              </w:rPr>
              <w:t>erage</w:t>
            </w:r>
            <w:r w:rsidRPr="00F536ED">
              <w:rPr>
                <w:rFonts w:eastAsia="MS Mincho" w:cstheme="minorHAnsi"/>
              </w:rPr>
              <w:t xml:space="preserve"> FTND 4.8</w:t>
            </w:r>
            <w:r w:rsidR="00B43756">
              <w:rPr>
                <w:rFonts w:eastAsia="MS Mincho" w:cstheme="minorHAnsi"/>
              </w:rPr>
              <w:t>,</w:t>
            </w:r>
            <w:r w:rsidRPr="00F536ED">
              <w:rPr>
                <w:rFonts w:eastAsia="MS Mincho" w:cstheme="minorHAnsi"/>
              </w:rPr>
              <w:t xml:space="preserve"> </w:t>
            </w:r>
            <w:r w:rsidR="00B43756" w:rsidRPr="00F536ED">
              <w:rPr>
                <w:rFonts w:eastAsia="MS Mincho" w:cstheme="minorHAnsi"/>
              </w:rPr>
              <w:t>av</w:t>
            </w:r>
            <w:r w:rsidR="00B43756">
              <w:rPr>
                <w:rFonts w:eastAsia="MS Mincho" w:cstheme="minorHAnsi"/>
              </w:rPr>
              <w:t>erage</w:t>
            </w:r>
            <w:r w:rsidRPr="00F536ED">
              <w:rPr>
                <w:rFonts w:eastAsia="MS Mincho" w:cstheme="minorHAnsi"/>
              </w:rPr>
              <w:t xml:space="preserve"> exhaled CO</w:t>
            </w:r>
            <w:r w:rsidR="00B43756">
              <w:rPr>
                <w:rFonts w:eastAsia="MS Mincho" w:cstheme="minorHAnsi"/>
              </w:rPr>
              <w:t xml:space="preserve"> </w:t>
            </w:r>
            <w:r w:rsidRPr="00F536ED">
              <w:rPr>
                <w:rFonts w:eastAsia="MS Mincho" w:cstheme="minorHAnsi"/>
              </w:rPr>
              <w:t>15.1 ppm</w:t>
            </w:r>
            <w:r w:rsidR="00B43756">
              <w:rPr>
                <w:rFonts w:eastAsia="MS Mincho" w:cstheme="minorHAnsi"/>
              </w:rPr>
              <w:t>.</w:t>
            </w:r>
          </w:p>
        </w:tc>
        <w:tc>
          <w:tcPr>
            <w:tcW w:w="1295" w:type="pct"/>
          </w:tcPr>
          <w:p w:rsidR="00247C98" w:rsidRDefault="002F7627" w:rsidP="00C324F3">
            <w:pPr>
              <w:pStyle w:val="ListParagraph"/>
              <w:numPr>
                <w:ilvl w:val="0"/>
                <w:numId w:val="170"/>
              </w:numPr>
              <w:rPr>
                <w:rFonts w:eastAsia="MS Mincho"/>
                <w:lang w:eastAsia="en-US"/>
              </w:rPr>
            </w:pPr>
            <w:r w:rsidRPr="002F7627">
              <w:rPr>
                <w:rFonts w:eastAsia="MS Mincho"/>
                <w:lang w:eastAsia="en-US"/>
              </w:rPr>
              <w:t>Combination NRT: nicotine patch (12 weeks - 21 mg for 8 weeks, 14 mg for 2 weeks, 7 mg for 2 weeks)</w:t>
            </w:r>
            <w:r w:rsidR="00247C98">
              <w:rPr>
                <w:rFonts w:eastAsia="MS Mincho"/>
                <w:lang w:eastAsia="en-US"/>
              </w:rPr>
              <w:t xml:space="preserve"> </w:t>
            </w:r>
            <w:r w:rsidRPr="00247C98">
              <w:rPr>
                <w:rFonts w:eastAsia="MS Mincho"/>
                <w:lang w:eastAsia="en-US"/>
              </w:rPr>
              <w:t>and lozenge (12 weeks - 2 or 4 mg based on addiction level, asked to use at least 5 lozenges a day)</w:t>
            </w:r>
            <w:r w:rsidR="00247C98">
              <w:rPr>
                <w:rFonts w:eastAsia="MS Mincho"/>
                <w:lang w:eastAsia="en-US"/>
              </w:rPr>
              <w:t>.</w:t>
            </w:r>
          </w:p>
          <w:p w:rsidR="002F7627" w:rsidRPr="00247C98" w:rsidRDefault="002F7627" w:rsidP="00C324F3">
            <w:pPr>
              <w:pStyle w:val="ListParagraph"/>
              <w:numPr>
                <w:ilvl w:val="0"/>
                <w:numId w:val="170"/>
              </w:numPr>
              <w:rPr>
                <w:rFonts w:eastAsia="MS Mincho"/>
                <w:lang w:eastAsia="en-US"/>
              </w:rPr>
            </w:pPr>
            <w:r w:rsidRPr="00247C98">
              <w:rPr>
                <w:rFonts w:eastAsia="MS Mincho"/>
                <w:lang w:eastAsia="en-US"/>
              </w:rPr>
              <w:t>Nicotine patch only (12 weeks - 21 mg for 8 weeks, 14 mg for 2 weeks, 7 mg for 2 weeks)</w:t>
            </w:r>
          </w:p>
          <w:p w:rsidR="00247C98" w:rsidRDefault="00247C98" w:rsidP="00A71365">
            <w:pPr>
              <w:jc w:val="center"/>
              <w:rPr>
                <w:rFonts w:eastAsia="MS Mincho"/>
                <w:lang w:eastAsia="en-US"/>
              </w:rPr>
            </w:pPr>
          </w:p>
          <w:p w:rsidR="002F7627" w:rsidRPr="002F7627" w:rsidRDefault="002F7627" w:rsidP="00A71365">
            <w:pPr>
              <w:rPr>
                <w:rFonts w:eastAsia="MS Mincho"/>
                <w:lang w:eastAsia="en-US"/>
              </w:rPr>
            </w:pPr>
            <w:r w:rsidRPr="002F7627">
              <w:rPr>
                <w:rFonts w:eastAsia="MS Mincho"/>
                <w:lang w:eastAsia="en-US"/>
              </w:rPr>
              <w:t xml:space="preserve">In both </w:t>
            </w:r>
            <w:r w:rsidR="00247C98" w:rsidRPr="002F7627">
              <w:rPr>
                <w:rFonts w:eastAsia="MS Mincho"/>
                <w:lang w:eastAsia="en-US"/>
              </w:rPr>
              <w:t>groups</w:t>
            </w:r>
            <w:r w:rsidR="008E2AC2">
              <w:rPr>
                <w:rFonts w:eastAsia="MS Mincho"/>
                <w:lang w:eastAsia="en-US"/>
              </w:rPr>
              <w:t>,</w:t>
            </w:r>
            <w:r w:rsidRPr="002F7627">
              <w:rPr>
                <w:rFonts w:eastAsia="MS Mincho"/>
                <w:lang w:eastAsia="en-US"/>
              </w:rPr>
              <w:t xml:space="preserve"> treatment</w:t>
            </w:r>
            <w:r w:rsidR="00247C98">
              <w:rPr>
                <w:rFonts w:eastAsia="MS Mincho"/>
                <w:lang w:eastAsia="en-US"/>
              </w:rPr>
              <w:t xml:space="preserve"> </w:t>
            </w:r>
            <w:r w:rsidRPr="002F7627">
              <w:rPr>
                <w:rFonts w:eastAsia="MS Mincho"/>
                <w:lang w:eastAsia="en-US"/>
              </w:rPr>
              <w:t>began on quit day</w:t>
            </w:r>
            <w:r w:rsidR="00247C98">
              <w:rPr>
                <w:rFonts w:eastAsia="MS Mincho"/>
                <w:lang w:eastAsia="en-US"/>
              </w:rPr>
              <w:t>.</w:t>
            </w:r>
          </w:p>
        </w:tc>
        <w:tc>
          <w:tcPr>
            <w:tcW w:w="1008" w:type="pct"/>
          </w:tcPr>
          <w:p w:rsidR="0046334E" w:rsidRDefault="00F536ED" w:rsidP="00A71365">
            <w:pPr>
              <w:pStyle w:val="Tablewriting"/>
              <w:rPr>
                <w:rFonts w:eastAsia="MS Mincho" w:cstheme="minorHAnsi"/>
              </w:rPr>
            </w:pPr>
            <w:r>
              <w:rPr>
                <w:rFonts w:eastAsia="MS Mincho" w:cstheme="minorHAnsi"/>
                <w:u w:val="single"/>
              </w:rPr>
              <w:t>Efficacy:</w:t>
            </w:r>
            <w:r w:rsidR="007954D8">
              <w:rPr>
                <w:rFonts w:eastAsia="MS Mincho" w:cstheme="minorHAnsi"/>
                <w:u w:val="single"/>
              </w:rPr>
              <w:t xml:space="preserve"> </w:t>
            </w:r>
            <w:r w:rsidR="007954D8" w:rsidRPr="007954D8">
              <w:rPr>
                <w:rFonts w:eastAsia="MS Mincho" w:cstheme="minorHAnsi"/>
              </w:rPr>
              <w:t>7-day PPA at 52 weeks follow-up; CO validated (</w:t>
            </w:r>
            <w:r w:rsidR="00830BCE" w:rsidRPr="00830BCE">
              <w:rPr>
                <w:rFonts w:eastAsia="MS Mincho" w:cstheme="minorHAnsi"/>
              </w:rPr>
              <w:t>≤</w:t>
            </w:r>
            <w:r w:rsidR="00830BCE">
              <w:rPr>
                <w:rFonts w:eastAsia="MS Mincho" w:cstheme="minorHAnsi"/>
              </w:rPr>
              <w:t xml:space="preserve"> </w:t>
            </w:r>
            <w:r w:rsidR="007954D8" w:rsidRPr="007954D8">
              <w:rPr>
                <w:rFonts w:eastAsia="MS Mincho" w:cstheme="minorHAnsi"/>
              </w:rPr>
              <w:t>5 ppm)</w:t>
            </w:r>
            <w:r w:rsidR="0046334E">
              <w:rPr>
                <w:rFonts w:eastAsia="MS Mincho" w:cstheme="minorHAnsi"/>
              </w:rPr>
              <w:t>,</w:t>
            </w:r>
          </w:p>
          <w:p w:rsidR="0046334E" w:rsidRDefault="007954D8" w:rsidP="00A71365">
            <w:pPr>
              <w:pStyle w:val="Tablewriting"/>
              <w:rPr>
                <w:rFonts w:eastAsia="MS Mincho" w:cstheme="minorHAnsi"/>
              </w:rPr>
            </w:pPr>
            <w:r w:rsidRPr="007954D8">
              <w:rPr>
                <w:rFonts w:eastAsia="MS Mincho" w:cstheme="minorHAnsi"/>
              </w:rPr>
              <w:t xml:space="preserve"> 7-day PPA at 26 weeks with CO validation</w:t>
            </w:r>
            <w:r w:rsidR="0046334E">
              <w:rPr>
                <w:rFonts w:eastAsia="MS Mincho" w:cstheme="minorHAnsi"/>
              </w:rPr>
              <w:t>,</w:t>
            </w:r>
          </w:p>
          <w:p w:rsidR="007954D8" w:rsidRPr="0046334E" w:rsidRDefault="007954D8" w:rsidP="00A71365">
            <w:pPr>
              <w:pStyle w:val="Tablewriting"/>
              <w:rPr>
                <w:rFonts w:eastAsia="MS Mincho" w:cstheme="minorHAnsi"/>
                <w:u w:val="single"/>
              </w:rPr>
            </w:pPr>
            <w:r w:rsidRPr="007954D8">
              <w:rPr>
                <w:rFonts w:eastAsia="MS Mincho" w:cstheme="minorHAnsi"/>
              </w:rPr>
              <w:t>self-reported prolonged abstinence</w:t>
            </w:r>
            <w:r w:rsidR="0046334E">
              <w:rPr>
                <w:rFonts w:eastAsia="MS Mincho" w:cstheme="minorHAnsi"/>
              </w:rPr>
              <w:t xml:space="preserve"> </w:t>
            </w:r>
            <w:r w:rsidRPr="007954D8">
              <w:rPr>
                <w:rFonts w:eastAsia="MS Mincho" w:cstheme="minorHAnsi"/>
              </w:rPr>
              <w:t>at 26 weeks (no smoking from day 7 to day 181 post-quit day)</w:t>
            </w:r>
          </w:p>
          <w:p w:rsidR="00F536ED" w:rsidRDefault="00F536ED" w:rsidP="00A71365">
            <w:pPr>
              <w:pStyle w:val="Tablewriting"/>
              <w:rPr>
                <w:rFonts w:eastAsia="MS Mincho" w:cstheme="minorHAnsi"/>
                <w:u w:val="single"/>
              </w:rPr>
            </w:pPr>
          </w:p>
          <w:p w:rsidR="0046334E" w:rsidRPr="007954D8" w:rsidRDefault="00F536ED" w:rsidP="00A71365">
            <w:pPr>
              <w:pStyle w:val="Tablewriting"/>
              <w:rPr>
                <w:rFonts w:eastAsia="MS Mincho" w:cstheme="minorHAnsi"/>
              </w:rPr>
            </w:pPr>
            <w:r>
              <w:rPr>
                <w:rFonts w:eastAsia="MS Mincho" w:cstheme="minorHAnsi"/>
                <w:u w:val="single"/>
              </w:rPr>
              <w:t>Safety:</w:t>
            </w:r>
            <w:r w:rsidR="0046334E">
              <w:rPr>
                <w:rFonts w:eastAsia="MS Mincho" w:cstheme="minorHAnsi"/>
                <w:u w:val="single"/>
              </w:rPr>
              <w:t xml:space="preserve"> </w:t>
            </w:r>
            <w:r w:rsidR="0046334E" w:rsidRPr="007954D8">
              <w:rPr>
                <w:rFonts w:eastAsia="MS Mincho" w:cstheme="minorHAnsi"/>
              </w:rPr>
              <w:t>Adverse events measured for duration of treatment (12 weeks)</w:t>
            </w:r>
            <w:r w:rsidR="0046334E">
              <w:rPr>
                <w:rFonts w:eastAsia="MS Mincho" w:cstheme="minorHAnsi"/>
              </w:rPr>
              <w:t>.</w:t>
            </w:r>
          </w:p>
          <w:p w:rsidR="00F536ED" w:rsidRPr="004272CD" w:rsidRDefault="00F536ED" w:rsidP="00A71365">
            <w:pPr>
              <w:pStyle w:val="Tablewriting"/>
              <w:rPr>
                <w:rFonts w:eastAsia="MS Mincho" w:cstheme="minorHAnsi"/>
                <w:u w:val="single"/>
              </w:rPr>
            </w:pPr>
          </w:p>
        </w:tc>
      </w:tr>
      <w:tr w:rsidR="006352C7" w:rsidRPr="00017AE6" w:rsidTr="008E2AC2">
        <w:trPr>
          <w:trHeight w:val="99"/>
        </w:trPr>
        <w:tc>
          <w:tcPr>
            <w:tcW w:w="495" w:type="pct"/>
          </w:tcPr>
          <w:p w:rsidR="006352C7" w:rsidRPr="00017AE6" w:rsidRDefault="006352C7" w:rsidP="00A71365">
            <w:pPr>
              <w:pStyle w:val="Tablewriting"/>
              <w:rPr>
                <w:rFonts w:eastAsia="MS Mincho" w:cstheme="minorHAnsi"/>
              </w:rPr>
            </w:pPr>
            <w:r w:rsidRPr="00B35BEA">
              <w:rPr>
                <w:rFonts w:eastAsia="MS Mincho" w:cstheme="minorHAnsi"/>
              </w:rPr>
              <w:t xml:space="preserve">Blondal </w:t>
            </w:r>
            <w:r w:rsidR="00991AC5">
              <w:rPr>
                <w:rFonts w:eastAsia="MS Mincho" w:cstheme="minorHAnsi"/>
              </w:rPr>
              <w:t>(</w:t>
            </w:r>
            <w:r w:rsidRPr="00B35BEA">
              <w:rPr>
                <w:rFonts w:eastAsia="MS Mincho" w:cstheme="minorHAnsi"/>
              </w:rPr>
              <w:t>1999</w:t>
            </w:r>
            <w:r w:rsidR="00991AC5">
              <w:rPr>
                <w:rFonts w:eastAsia="MS Mincho" w:cstheme="minorHAnsi"/>
              </w:rPr>
              <w:t>)</w:t>
            </w:r>
          </w:p>
        </w:tc>
        <w:tc>
          <w:tcPr>
            <w:tcW w:w="234" w:type="pct"/>
          </w:tcPr>
          <w:p w:rsidR="006352C7" w:rsidRPr="00017AE6" w:rsidRDefault="004810EB" w:rsidP="00A71365">
            <w:pPr>
              <w:pStyle w:val="Tablewriting"/>
              <w:rPr>
                <w:rFonts w:eastAsia="MS Mincho" w:cstheme="minorHAnsi"/>
              </w:rPr>
            </w:pPr>
            <w:r>
              <w:rPr>
                <w:rFonts w:eastAsia="MS Mincho" w:cstheme="minorHAnsi"/>
              </w:rPr>
              <w:t>RCT</w:t>
            </w:r>
          </w:p>
        </w:tc>
        <w:tc>
          <w:tcPr>
            <w:tcW w:w="433" w:type="pct"/>
          </w:tcPr>
          <w:p w:rsidR="006352C7" w:rsidRPr="00017AE6" w:rsidRDefault="00C400EF" w:rsidP="00A71365">
            <w:pPr>
              <w:pStyle w:val="Tablewriting"/>
              <w:rPr>
                <w:rFonts w:eastAsia="MS Mincho" w:cstheme="minorHAnsi"/>
              </w:rPr>
            </w:pPr>
            <w:r w:rsidRPr="00C400EF">
              <w:rPr>
                <w:rFonts w:eastAsia="MS Mincho" w:cstheme="minorHAnsi"/>
              </w:rPr>
              <w:t>Iceland</w:t>
            </w:r>
          </w:p>
        </w:tc>
        <w:tc>
          <w:tcPr>
            <w:tcW w:w="358" w:type="pct"/>
          </w:tcPr>
          <w:p w:rsidR="006352C7" w:rsidRPr="00017AE6" w:rsidRDefault="00F536ED" w:rsidP="00A71365">
            <w:pPr>
              <w:pStyle w:val="Tablewriting"/>
              <w:rPr>
                <w:rFonts w:eastAsia="MS Mincho" w:cstheme="minorHAnsi"/>
              </w:rPr>
            </w:pPr>
            <w:r>
              <w:rPr>
                <w:rFonts w:eastAsia="MS Mincho" w:cstheme="minorHAnsi"/>
              </w:rPr>
              <w:t>N=</w:t>
            </w:r>
            <w:r w:rsidR="00C400EF">
              <w:rPr>
                <w:rFonts w:eastAsia="MS Mincho" w:cstheme="minorHAnsi"/>
              </w:rPr>
              <w:t>237</w:t>
            </w:r>
          </w:p>
        </w:tc>
        <w:tc>
          <w:tcPr>
            <w:tcW w:w="1176" w:type="pct"/>
          </w:tcPr>
          <w:p w:rsidR="006352C7" w:rsidRPr="00017AE6" w:rsidRDefault="00A240C5" w:rsidP="00A71365">
            <w:pPr>
              <w:pStyle w:val="Tablewriting"/>
              <w:rPr>
                <w:rFonts w:eastAsia="MS Mincho" w:cstheme="minorHAnsi"/>
              </w:rPr>
            </w:pPr>
            <w:r>
              <w:rPr>
                <w:rFonts w:eastAsia="MS Mincho" w:cstheme="minorHAnsi"/>
              </w:rPr>
              <w:t>S</w:t>
            </w:r>
            <w:r w:rsidR="008B0E3C" w:rsidRPr="008B0E3C">
              <w:rPr>
                <w:rFonts w:eastAsia="MS Mincho" w:cstheme="minorHAnsi"/>
              </w:rPr>
              <w:t>mokers (</w:t>
            </w:r>
            <w:r w:rsidR="008B0E3C" w:rsidRPr="002F7627">
              <w:rPr>
                <w:rFonts w:eastAsia="MS Mincho" w:cstheme="minorHAnsi"/>
              </w:rPr>
              <w:t>≥</w:t>
            </w:r>
            <w:r w:rsidR="008B0E3C" w:rsidRPr="008B0E3C">
              <w:rPr>
                <w:rFonts w:eastAsia="MS Mincho" w:cstheme="minorHAnsi"/>
              </w:rPr>
              <w:t xml:space="preserve"> 1 </w:t>
            </w:r>
            <w:r w:rsidR="008B0E3C">
              <w:rPr>
                <w:rFonts w:eastAsia="MS Mincho" w:cstheme="minorHAnsi"/>
              </w:rPr>
              <w:t>CPD</w:t>
            </w:r>
            <w:r w:rsidR="008B0E3C" w:rsidRPr="008B0E3C">
              <w:rPr>
                <w:rFonts w:eastAsia="MS Mincho" w:cstheme="minorHAnsi"/>
              </w:rPr>
              <w:t>)</w:t>
            </w:r>
            <w:r w:rsidR="008B0E3C">
              <w:rPr>
                <w:rFonts w:eastAsia="MS Mincho" w:cstheme="minorHAnsi"/>
              </w:rPr>
              <w:t xml:space="preserve">, </w:t>
            </w:r>
            <w:r w:rsidR="008B0E3C" w:rsidRPr="008B0E3C">
              <w:rPr>
                <w:rFonts w:eastAsia="MS Mincho" w:cstheme="minorHAnsi"/>
              </w:rPr>
              <w:t>33% men, av</w:t>
            </w:r>
            <w:r w:rsidR="008B0E3C">
              <w:rPr>
                <w:rFonts w:eastAsia="MS Mincho" w:cstheme="minorHAnsi"/>
              </w:rPr>
              <w:t xml:space="preserve">erage </w:t>
            </w:r>
            <w:r w:rsidR="008B0E3C" w:rsidRPr="008B0E3C">
              <w:rPr>
                <w:rFonts w:eastAsia="MS Mincho" w:cstheme="minorHAnsi"/>
              </w:rPr>
              <w:t xml:space="preserve">age 41 </w:t>
            </w:r>
            <w:r w:rsidR="008B0E3C">
              <w:rPr>
                <w:rFonts w:eastAsia="MS Mincho" w:cstheme="minorHAnsi"/>
              </w:rPr>
              <w:t>–</w:t>
            </w:r>
            <w:r w:rsidR="008B0E3C" w:rsidRPr="008B0E3C">
              <w:rPr>
                <w:rFonts w:eastAsia="MS Mincho" w:cstheme="minorHAnsi"/>
              </w:rPr>
              <w:t xml:space="preserve"> 43</w:t>
            </w:r>
            <w:r w:rsidR="008B0E3C">
              <w:rPr>
                <w:rFonts w:eastAsia="MS Mincho" w:cstheme="minorHAnsi"/>
              </w:rPr>
              <w:t xml:space="preserve"> years</w:t>
            </w:r>
            <w:r w:rsidR="008B0E3C" w:rsidRPr="008B0E3C">
              <w:rPr>
                <w:rFonts w:eastAsia="MS Mincho" w:cstheme="minorHAnsi"/>
              </w:rPr>
              <w:t>, av</w:t>
            </w:r>
            <w:r w:rsidR="008B0E3C">
              <w:rPr>
                <w:rFonts w:eastAsia="MS Mincho" w:cstheme="minorHAnsi"/>
              </w:rPr>
              <w:t>erage</w:t>
            </w:r>
            <w:r w:rsidR="008B0E3C" w:rsidRPr="008B0E3C">
              <w:rPr>
                <w:rFonts w:eastAsia="MS Mincho" w:cstheme="minorHAnsi"/>
              </w:rPr>
              <w:t xml:space="preserve"> tobacco use 25 g/day</w:t>
            </w:r>
            <w:r w:rsidR="008B0E3C">
              <w:rPr>
                <w:rFonts w:eastAsia="MS Mincho" w:cstheme="minorHAnsi"/>
              </w:rPr>
              <w:t>.</w:t>
            </w:r>
          </w:p>
        </w:tc>
        <w:tc>
          <w:tcPr>
            <w:tcW w:w="1295" w:type="pct"/>
          </w:tcPr>
          <w:p w:rsidR="005305F1" w:rsidRDefault="008B0E3C" w:rsidP="00C324F3">
            <w:pPr>
              <w:pStyle w:val="Tablewriting"/>
              <w:numPr>
                <w:ilvl w:val="0"/>
                <w:numId w:val="171"/>
              </w:numPr>
              <w:rPr>
                <w:rFonts w:eastAsia="MS Mincho" w:cstheme="minorHAnsi"/>
              </w:rPr>
            </w:pPr>
            <w:r w:rsidRPr="008B0E3C">
              <w:rPr>
                <w:rFonts w:eastAsia="MS Mincho" w:cstheme="minorHAnsi"/>
              </w:rPr>
              <w:t>Nicotine nasal spray (NNS) (0.5 mg/dose) + 15 mg nicotine patches for 3 m</w:t>
            </w:r>
            <w:r w:rsidR="005305F1">
              <w:rPr>
                <w:rFonts w:eastAsia="MS Mincho" w:cstheme="minorHAnsi"/>
              </w:rPr>
              <w:t>onths</w:t>
            </w:r>
            <w:r w:rsidRPr="008B0E3C">
              <w:rPr>
                <w:rFonts w:eastAsia="MS Mincho" w:cstheme="minorHAnsi"/>
              </w:rPr>
              <w:t>, weaning over further 2 m</w:t>
            </w:r>
            <w:r w:rsidR="005305F1">
              <w:rPr>
                <w:rFonts w:eastAsia="MS Mincho" w:cstheme="minorHAnsi"/>
              </w:rPr>
              <w:t>onths</w:t>
            </w:r>
            <w:r w:rsidRPr="008B0E3C">
              <w:rPr>
                <w:rFonts w:eastAsia="MS Mincho" w:cstheme="minorHAnsi"/>
              </w:rPr>
              <w:t>.</w:t>
            </w:r>
            <w:r w:rsidR="005305F1">
              <w:rPr>
                <w:rFonts w:eastAsia="MS Mincho" w:cstheme="minorHAnsi"/>
              </w:rPr>
              <w:t xml:space="preserve"> </w:t>
            </w:r>
            <w:r w:rsidRPr="005305F1">
              <w:rPr>
                <w:rFonts w:eastAsia="MS Mincho" w:cstheme="minorHAnsi"/>
              </w:rPr>
              <w:t>NNS could be continued for 1 y</w:t>
            </w:r>
            <w:r w:rsidR="005305F1">
              <w:rPr>
                <w:rFonts w:eastAsia="MS Mincho" w:cstheme="minorHAnsi"/>
              </w:rPr>
              <w:t>ea</w:t>
            </w:r>
            <w:r w:rsidRPr="005305F1">
              <w:rPr>
                <w:rFonts w:eastAsia="MS Mincho" w:cstheme="minorHAnsi"/>
              </w:rPr>
              <w:t>r</w:t>
            </w:r>
            <w:r w:rsidR="005305F1">
              <w:rPr>
                <w:rFonts w:eastAsia="MS Mincho" w:cstheme="minorHAnsi"/>
              </w:rPr>
              <w:t>.</w:t>
            </w:r>
          </w:p>
          <w:p w:rsidR="006352C7" w:rsidRPr="005305F1" w:rsidRDefault="008B0E3C" w:rsidP="00C324F3">
            <w:pPr>
              <w:pStyle w:val="Tablewriting"/>
              <w:numPr>
                <w:ilvl w:val="0"/>
                <w:numId w:val="171"/>
              </w:numPr>
              <w:rPr>
                <w:rFonts w:eastAsia="MS Mincho" w:cstheme="minorHAnsi"/>
              </w:rPr>
            </w:pPr>
            <w:r w:rsidRPr="005305F1">
              <w:rPr>
                <w:rFonts w:eastAsia="MS Mincho" w:cstheme="minorHAnsi"/>
              </w:rPr>
              <w:t>Placebo nasal spray + 15 mg nicotine patches on same schedule</w:t>
            </w:r>
            <w:r w:rsidR="005305F1">
              <w:rPr>
                <w:rFonts w:eastAsia="MS Mincho" w:cstheme="minorHAnsi"/>
              </w:rPr>
              <w:t>.</w:t>
            </w:r>
          </w:p>
        </w:tc>
        <w:tc>
          <w:tcPr>
            <w:tcW w:w="1008" w:type="pct"/>
          </w:tcPr>
          <w:p w:rsidR="00F536ED" w:rsidRDefault="00F536ED" w:rsidP="00A71365">
            <w:pPr>
              <w:pStyle w:val="Tablewriting"/>
              <w:rPr>
                <w:rFonts w:eastAsia="MS Mincho" w:cstheme="minorHAnsi"/>
                <w:u w:val="single"/>
              </w:rPr>
            </w:pPr>
            <w:r>
              <w:rPr>
                <w:rFonts w:eastAsia="MS Mincho" w:cstheme="minorHAnsi"/>
                <w:u w:val="single"/>
              </w:rPr>
              <w:t>Efficacy:</w:t>
            </w:r>
          </w:p>
          <w:p w:rsidR="005305F1" w:rsidRPr="005305F1" w:rsidRDefault="005305F1" w:rsidP="00A71365">
            <w:pPr>
              <w:pStyle w:val="Tablewriting"/>
              <w:rPr>
                <w:rFonts w:eastAsia="MS Mincho" w:cstheme="minorHAnsi"/>
              </w:rPr>
            </w:pPr>
            <w:r w:rsidRPr="005305F1">
              <w:rPr>
                <w:rFonts w:eastAsia="MS Mincho" w:cstheme="minorHAnsi"/>
              </w:rPr>
              <w:t>Sustained abstinence at 12 m</w:t>
            </w:r>
            <w:r w:rsidR="002314BA">
              <w:rPr>
                <w:rFonts w:eastAsia="MS Mincho" w:cstheme="minorHAnsi"/>
              </w:rPr>
              <w:t>onths</w:t>
            </w:r>
            <w:r w:rsidRPr="005305F1">
              <w:rPr>
                <w:rFonts w:eastAsia="MS Mincho" w:cstheme="minorHAnsi"/>
              </w:rPr>
              <w:t xml:space="preserve"> (6-y</w:t>
            </w:r>
            <w:r>
              <w:rPr>
                <w:rFonts w:eastAsia="MS Mincho" w:cstheme="minorHAnsi"/>
              </w:rPr>
              <w:t>ea</w:t>
            </w:r>
            <w:r w:rsidRPr="005305F1">
              <w:rPr>
                <w:rFonts w:eastAsia="MS Mincho" w:cstheme="minorHAnsi"/>
              </w:rPr>
              <w:t>r data also reported)</w:t>
            </w:r>
            <w:r>
              <w:rPr>
                <w:rFonts w:eastAsia="MS Mincho" w:cstheme="minorHAnsi"/>
              </w:rPr>
              <w:t>.</w:t>
            </w:r>
          </w:p>
          <w:p w:rsidR="005305F1" w:rsidRPr="005305F1" w:rsidRDefault="005305F1" w:rsidP="00A71365">
            <w:pPr>
              <w:pStyle w:val="Tablewriting"/>
              <w:rPr>
                <w:rFonts w:eastAsia="MS Mincho" w:cstheme="minorHAnsi"/>
              </w:rPr>
            </w:pPr>
            <w:r w:rsidRPr="005305F1">
              <w:rPr>
                <w:rFonts w:eastAsia="MS Mincho" w:cstheme="minorHAnsi"/>
              </w:rPr>
              <w:t>Validation: CO &lt; 10 ppm</w:t>
            </w:r>
          </w:p>
          <w:p w:rsidR="00F536ED" w:rsidRDefault="00F536ED" w:rsidP="00A71365">
            <w:pPr>
              <w:pStyle w:val="Tablewriting"/>
              <w:rPr>
                <w:rFonts w:eastAsia="MS Mincho" w:cstheme="minorHAnsi"/>
                <w:u w:val="single"/>
              </w:rPr>
            </w:pPr>
          </w:p>
          <w:p w:rsidR="006352C7" w:rsidRPr="005305F1" w:rsidRDefault="00F536ED" w:rsidP="00A71365">
            <w:pPr>
              <w:pStyle w:val="Tablewriting"/>
              <w:rPr>
                <w:rFonts w:eastAsia="MS Mincho" w:cstheme="minorHAnsi"/>
              </w:rPr>
            </w:pPr>
            <w:r>
              <w:rPr>
                <w:rFonts w:eastAsia="MS Mincho" w:cstheme="minorHAnsi"/>
                <w:u w:val="single"/>
              </w:rPr>
              <w:t>Safety:</w:t>
            </w:r>
            <w:r w:rsidR="005305F1">
              <w:rPr>
                <w:rFonts w:eastAsia="MS Mincho" w:cstheme="minorHAnsi"/>
                <w:u w:val="single"/>
              </w:rPr>
              <w:t xml:space="preserve"> </w:t>
            </w:r>
            <w:r w:rsidR="005305F1" w:rsidRPr="005305F1">
              <w:rPr>
                <w:rFonts w:eastAsia="MS Mincho" w:cstheme="minorHAnsi"/>
              </w:rPr>
              <w:t>Adverse events: measured within 3 months of follow-up (still using NRT)</w:t>
            </w:r>
            <w:r w:rsidR="005305F1">
              <w:rPr>
                <w:rFonts w:eastAsia="MS Mincho" w:cstheme="minorHAnsi"/>
              </w:rPr>
              <w:t>.</w:t>
            </w:r>
          </w:p>
        </w:tc>
      </w:tr>
      <w:tr w:rsidR="00F536ED" w:rsidRPr="00017AE6" w:rsidTr="008E2AC2">
        <w:trPr>
          <w:trHeight w:val="99"/>
        </w:trPr>
        <w:tc>
          <w:tcPr>
            <w:tcW w:w="495" w:type="pct"/>
          </w:tcPr>
          <w:p w:rsidR="00F536ED" w:rsidRPr="00017AE6" w:rsidRDefault="00F536ED" w:rsidP="00A71365">
            <w:pPr>
              <w:pStyle w:val="Tablewriting"/>
              <w:rPr>
                <w:rFonts w:eastAsia="MS Mincho" w:cstheme="minorHAnsi"/>
              </w:rPr>
            </w:pPr>
            <w:r w:rsidRPr="00B35BEA">
              <w:rPr>
                <w:rFonts w:eastAsia="MS Mincho" w:cstheme="minorHAnsi"/>
              </w:rPr>
              <w:t xml:space="preserve">Caldwell </w:t>
            </w:r>
            <w:r w:rsidR="00991AC5">
              <w:rPr>
                <w:rFonts w:eastAsia="MS Mincho" w:cstheme="minorHAnsi"/>
              </w:rPr>
              <w:t>(</w:t>
            </w:r>
            <w:r w:rsidRPr="00B35BEA">
              <w:rPr>
                <w:rFonts w:eastAsia="MS Mincho" w:cstheme="minorHAnsi"/>
              </w:rPr>
              <w:t>2014</w:t>
            </w:r>
            <w:r w:rsidR="00991AC5">
              <w:rPr>
                <w:rFonts w:eastAsia="MS Mincho" w:cstheme="minorHAnsi"/>
              </w:rPr>
              <w:t>)</w:t>
            </w:r>
          </w:p>
        </w:tc>
        <w:tc>
          <w:tcPr>
            <w:tcW w:w="234" w:type="pct"/>
          </w:tcPr>
          <w:p w:rsidR="00F536ED" w:rsidRPr="00017AE6" w:rsidRDefault="004810EB" w:rsidP="00A71365">
            <w:pPr>
              <w:pStyle w:val="Tablewriting"/>
              <w:rPr>
                <w:rFonts w:eastAsia="MS Mincho" w:cstheme="minorHAnsi"/>
              </w:rPr>
            </w:pPr>
            <w:r>
              <w:rPr>
                <w:rFonts w:eastAsia="MS Mincho" w:cstheme="minorHAnsi"/>
              </w:rPr>
              <w:t>RCT</w:t>
            </w:r>
          </w:p>
        </w:tc>
        <w:tc>
          <w:tcPr>
            <w:tcW w:w="433" w:type="pct"/>
          </w:tcPr>
          <w:p w:rsidR="00F536ED" w:rsidRPr="00017AE6" w:rsidRDefault="00E04DC7" w:rsidP="00A71365">
            <w:pPr>
              <w:pStyle w:val="Tablewriting"/>
              <w:rPr>
                <w:rFonts w:eastAsia="MS Mincho" w:cstheme="minorHAnsi"/>
              </w:rPr>
            </w:pPr>
            <w:r>
              <w:rPr>
                <w:rFonts w:eastAsia="MS Mincho" w:cstheme="minorHAnsi"/>
              </w:rPr>
              <w:t>New Zealand</w:t>
            </w:r>
          </w:p>
        </w:tc>
        <w:tc>
          <w:tcPr>
            <w:tcW w:w="358" w:type="pct"/>
          </w:tcPr>
          <w:p w:rsidR="00F536ED" w:rsidRPr="00017AE6" w:rsidRDefault="00F536ED" w:rsidP="00A71365">
            <w:pPr>
              <w:pStyle w:val="Tablewriting"/>
              <w:rPr>
                <w:rFonts w:eastAsia="MS Mincho" w:cstheme="minorHAnsi"/>
              </w:rPr>
            </w:pPr>
            <w:r w:rsidRPr="003A1845">
              <w:rPr>
                <w:rFonts w:eastAsia="MS Mincho" w:cstheme="minorHAnsi"/>
              </w:rPr>
              <w:t>N=</w:t>
            </w:r>
            <w:r w:rsidR="00E04DC7">
              <w:rPr>
                <w:rFonts w:eastAsia="MS Mincho" w:cstheme="minorHAnsi"/>
              </w:rPr>
              <w:t>1423</w:t>
            </w:r>
          </w:p>
        </w:tc>
        <w:tc>
          <w:tcPr>
            <w:tcW w:w="1176" w:type="pct"/>
          </w:tcPr>
          <w:p w:rsidR="00195214" w:rsidRPr="00195214" w:rsidRDefault="00195214" w:rsidP="00A71365">
            <w:pPr>
              <w:pStyle w:val="Tablewriting"/>
              <w:rPr>
                <w:rFonts w:eastAsia="MS Mincho" w:cstheme="minorHAnsi"/>
              </w:rPr>
            </w:pPr>
            <w:r>
              <w:rPr>
                <w:rFonts w:eastAsia="MS Mincho" w:cstheme="minorHAnsi"/>
              </w:rPr>
              <w:t>S</w:t>
            </w:r>
            <w:r w:rsidRPr="00195214">
              <w:rPr>
                <w:rFonts w:eastAsia="MS Mincho" w:cstheme="minorHAnsi"/>
              </w:rPr>
              <w:t>moker</w:t>
            </w:r>
            <w:r>
              <w:rPr>
                <w:rFonts w:eastAsia="MS Mincho" w:cstheme="minorHAnsi"/>
              </w:rPr>
              <w:t>s</w:t>
            </w:r>
            <w:r w:rsidRPr="00195214">
              <w:rPr>
                <w:rFonts w:eastAsia="MS Mincho" w:cstheme="minorHAnsi"/>
              </w:rPr>
              <w:t xml:space="preserve"> aged 18 - 70 years,</w:t>
            </w:r>
            <w:r w:rsidRPr="002F7627">
              <w:rPr>
                <w:rFonts w:eastAsia="MS Mincho" w:cstheme="minorHAnsi"/>
              </w:rPr>
              <w:t xml:space="preserve"> ≥</w:t>
            </w:r>
            <w:r>
              <w:rPr>
                <w:rFonts w:eastAsia="MS Mincho" w:cstheme="minorHAnsi"/>
              </w:rPr>
              <w:t xml:space="preserve"> </w:t>
            </w:r>
            <w:r w:rsidRPr="00195214">
              <w:rPr>
                <w:rFonts w:eastAsia="MS Mincho" w:cstheme="minorHAnsi"/>
              </w:rPr>
              <w:t xml:space="preserve">9 </w:t>
            </w:r>
            <w:r>
              <w:rPr>
                <w:rFonts w:eastAsia="MS Mincho" w:cstheme="minorHAnsi"/>
              </w:rPr>
              <w:t>CPD</w:t>
            </w:r>
            <w:r w:rsidRPr="00195214">
              <w:rPr>
                <w:rFonts w:eastAsia="MS Mincho" w:cstheme="minorHAnsi"/>
              </w:rPr>
              <w:t xml:space="preserve">, FTND </w:t>
            </w:r>
            <w:r w:rsidRPr="002F7627">
              <w:rPr>
                <w:rFonts w:eastAsia="MS Mincho" w:cstheme="minorHAnsi"/>
              </w:rPr>
              <w:t>≥</w:t>
            </w:r>
            <w:r w:rsidRPr="00195214">
              <w:rPr>
                <w:rFonts w:eastAsia="MS Mincho" w:cstheme="minorHAnsi"/>
              </w:rPr>
              <w:t xml:space="preserve"> 3. Ineligible if currently taking psychoactive medication/illicit drugs, drank &gt; 28 units of alcohol a week, had</w:t>
            </w:r>
            <w:r w:rsidR="009B4CE8">
              <w:rPr>
                <w:rFonts w:eastAsia="MS Mincho" w:cstheme="minorHAnsi"/>
              </w:rPr>
              <w:t xml:space="preserve"> </w:t>
            </w:r>
            <w:r w:rsidRPr="00195214">
              <w:rPr>
                <w:rFonts w:eastAsia="MS Mincho" w:cstheme="minorHAnsi"/>
              </w:rPr>
              <w:t>hyperthyroidism/diabetes/severe renal or hepatic</w:t>
            </w:r>
            <w:r w:rsidR="009B4CE8">
              <w:rPr>
                <w:rFonts w:eastAsia="MS Mincho" w:cstheme="minorHAnsi"/>
              </w:rPr>
              <w:t xml:space="preserve"> </w:t>
            </w:r>
            <w:r w:rsidRPr="00195214">
              <w:rPr>
                <w:rFonts w:eastAsia="MS Mincho" w:cstheme="minorHAnsi"/>
              </w:rPr>
              <w:t>disease, were female and using inadequate contraception or were</w:t>
            </w:r>
            <w:r w:rsidR="009B4CE8">
              <w:rPr>
                <w:rFonts w:eastAsia="MS Mincho" w:cstheme="minorHAnsi"/>
              </w:rPr>
              <w:t xml:space="preserve"> </w:t>
            </w:r>
            <w:r w:rsidRPr="00195214">
              <w:rPr>
                <w:rFonts w:eastAsia="MS Mincho" w:cstheme="minorHAnsi"/>
              </w:rPr>
              <w:t>breastfeeding</w:t>
            </w:r>
            <w:r w:rsidR="009B4CE8">
              <w:rPr>
                <w:rFonts w:eastAsia="MS Mincho" w:cstheme="minorHAnsi"/>
              </w:rPr>
              <w:t>.</w:t>
            </w:r>
          </w:p>
          <w:p w:rsidR="00F536ED" w:rsidRPr="00017AE6" w:rsidRDefault="00195214" w:rsidP="00A71365">
            <w:pPr>
              <w:pStyle w:val="Tablewriting"/>
              <w:rPr>
                <w:rFonts w:eastAsia="MS Mincho" w:cstheme="minorHAnsi"/>
              </w:rPr>
            </w:pPr>
            <w:r w:rsidRPr="00195214">
              <w:rPr>
                <w:rFonts w:eastAsia="MS Mincho" w:cstheme="minorHAnsi"/>
              </w:rPr>
              <w:lastRenderedPageBreak/>
              <w:t>46% men</w:t>
            </w:r>
            <w:r w:rsidR="009B4CE8">
              <w:rPr>
                <w:rFonts w:eastAsia="MS Mincho" w:cstheme="minorHAnsi"/>
              </w:rPr>
              <w:t>,</w:t>
            </w:r>
            <w:r w:rsidRPr="00195214">
              <w:rPr>
                <w:rFonts w:eastAsia="MS Mincho" w:cstheme="minorHAnsi"/>
              </w:rPr>
              <w:t xml:space="preserve"> mean age 45</w:t>
            </w:r>
            <w:r w:rsidR="009B4CE8">
              <w:rPr>
                <w:rFonts w:eastAsia="MS Mincho" w:cstheme="minorHAnsi"/>
              </w:rPr>
              <w:t xml:space="preserve"> years,</w:t>
            </w:r>
            <w:r w:rsidRPr="00195214">
              <w:rPr>
                <w:rFonts w:eastAsia="MS Mincho" w:cstheme="minorHAnsi"/>
              </w:rPr>
              <w:t xml:space="preserve"> av</w:t>
            </w:r>
            <w:r w:rsidR="009B4CE8">
              <w:rPr>
                <w:rFonts w:eastAsia="MS Mincho" w:cstheme="minorHAnsi"/>
              </w:rPr>
              <w:t>erage</w:t>
            </w:r>
            <w:r w:rsidRPr="00195214">
              <w:rPr>
                <w:rFonts w:eastAsia="MS Mincho" w:cstheme="minorHAnsi"/>
              </w:rPr>
              <w:t xml:space="preserve"> </w:t>
            </w:r>
            <w:r w:rsidR="009B4CE8">
              <w:rPr>
                <w:rFonts w:eastAsia="MS Mincho" w:cstheme="minorHAnsi"/>
              </w:rPr>
              <w:t>CPD</w:t>
            </w:r>
            <w:r w:rsidRPr="00195214">
              <w:rPr>
                <w:rFonts w:eastAsia="MS Mincho" w:cstheme="minorHAnsi"/>
              </w:rPr>
              <w:t xml:space="preserve"> 20</w:t>
            </w:r>
            <w:r w:rsidR="009B4CE8">
              <w:rPr>
                <w:rFonts w:eastAsia="MS Mincho" w:cstheme="minorHAnsi"/>
              </w:rPr>
              <w:t>,</w:t>
            </w:r>
            <w:r w:rsidRPr="00195214">
              <w:rPr>
                <w:rFonts w:eastAsia="MS Mincho" w:cstheme="minorHAnsi"/>
              </w:rPr>
              <w:t xml:space="preserve"> mean FTND 6.1</w:t>
            </w:r>
            <w:r w:rsidR="009B4CE8">
              <w:rPr>
                <w:rFonts w:eastAsia="MS Mincho" w:cstheme="minorHAnsi"/>
              </w:rPr>
              <w:t>.</w:t>
            </w:r>
          </w:p>
        </w:tc>
        <w:tc>
          <w:tcPr>
            <w:tcW w:w="1295" w:type="pct"/>
          </w:tcPr>
          <w:p w:rsidR="004B2F48" w:rsidRDefault="000B5C31" w:rsidP="00C324F3">
            <w:pPr>
              <w:pStyle w:val="ListParagraph"/>
              <w:numPr>
                <w:ilvl w:val="0"/>
                <w:numId w:val="172"/>
              </w:numPr>
              <w:rPr>
                <w:rFonts w:eastAsia="MS Mincho"/>
                <w:lang w:eastAsia="en-US"/>
              </w:rPr>
            </w:pPr>
            <w:r w:rsidRPr="000B5C31">
              <w:rPr>
                <w:rFonts w:eastAsia="MS Mincho"/>
                <w:lang w:eastAsia="en-US"/>
              </w:rPr>
              <w:lastRenderedPageBreak/>
              <w:t>6 m nicotine oral spray parallel to 5 m free 24-hour nicotine patch. Each spray actuation</w:t>
            </w:r>
            <w:r w:rsidR="004B2F48">
              <w:rPr>
                <w:rFonts w:eastAsia="MS Mincho"/>
                <w:lang w:eastAsia="en-US"/>
              </w:rPr>
              <w:t xml:space="preserve"> </w:t>
            </w:r>
            <w:r w:rsidRPr="000B5C31">
              <w:rPr>
                <w:rFonts w:eastAsia="MS Mincho"/>
                <w:lang w:eastAsia="en-US"/>
              </w:rPr>
              <w:t>contained 1</w:t>
            </w:r>
            <w:r w:rsidRPr="004B2F48">
              <w:rPr>
                <w:rFonts w:eastAsia="MS Mincho"/>
                <w:lang w:eastAsia="en-US"/>
              </w:rPr>
              <w:t>mg nicotine</w:t>
            </w:r>
            <w:r w:rsidR="004B2F48" w:rsidRPr="004B2F48">
              <w:rPr>
                <w:rFonts w:eastAsia="MS Mincho"/>
                <w:lang w:eastAsia="en-US"/>
              </w:rPr>
              <w:t>.</w:t>
            </w:r>
          </w:p>
          <w:p w:rsidR="000B5C31" w:rsidRDefault="000B5C31" w:rsidP="00C324F3">
            <w:pPr>
              <w:pStyle w:val="ListParagraph"/>
              <w:numPr>
                <w:ilvl w:val="0"/>
                <w:numId w:val="172"/>
              </w:numPr>
              <w:rPr>
                <w:rFonts w:eastAsia="MS Mincho"/>
                <w:lang w:eastAsia="en-US"/>
              </w:rPr>
            </w:pPr>
            <w:r w:rsidRPr="004B2F48">
              <w:rPr>
                <w:rFonts w:eastAsia="MS Mincho"/>
                <w:lang w:eastAsia="en-US"/>
              </w:rPr>
              <w:t>6 m placebo oral spray parallel to 5 m free 24-hour nicotine patch. The placebo spray was</w:t>
            </w:r>
            <w:r w:rsidR="00EC39C7">
              <w:rPr>
                <w:rFonts w:eastAsia="MS Mincho"/>
                <w:lang w:eastAsia="en-US"/>
              </w:rPr>
              <w:t xml:space="preserve"> </w:t>
            </w:r>
            <w:r w:rsidRPr="004B2F48">
              <w:rPr>
                <w:rFonts w:eastAsia="MS Mincho"/>
                <w:lang w:eastAsia="en-US"/>
              </w:rPr>
              <w:t>dispensed</w:t>
            </w:r>
            <w:r w:rsidR="00EC39C7">
              <w:rPr>
                <w:rFonts w:eastAsia="MS Mincho"/>
                <w:lang w:eastAsia="en-US"/>
              </w:rPr>
              <w:t xml:space="preserve"> </w:t>
            </w:r>
            <w:r w:rsidRPr="00EC39C7">
              <w:rPr>
                <w:rFonts w:eastAsia="MS Mincho"/>
                <w:lang w:eastAsia="en-US"/>
              </w:rPr>
              <w:t>in opaque bottles identical to the nicotine spray</w:t>
            </w:r>
            <w:r w:rsidR="00EC39C7">
              <w:rPr>
                <w:rFonts w:eastAsia="MS Mincho"/>
                <w:lang w:eastAsia="en-US"/>
              </w:rPr>
              <w:t>.</w:t>
            </w:r>
          </w:p>
          <w:p w:rsidR="00EC39C7" w:rsidRDefault="00EC39C7" w:rsidP="00A71365">
            <w:pPr>
              <w:rPr>
                <w:rFonts w:eastAsia="MS Mincho"/>
                <w:lang w:eastAsia="en-US"/>
              </w:rPr>
            </w:pPr>
          </w:p>
          <w:p w:rsidR="00EC39C7" w:rsidRDefault="00EC39C7" w:rsidP="00A71365">
            <w:pPr>
              <w:rPr>
                <w:rFonts w:eastAsia="MS Mincho"/>
                <w:lang w:eastAsia="en-US"/>
              </w:rPr>
            </w:pPr>
            <w:r w:rsidRPr="00EC39C7">
              <w:rPr>
                <w:rFonts w:eastAsia="MS Mincho"/>
                <w:u w:val="single"/>
                <w:lang w:eastAsia="en-US"/>
              </w:rPr>
              <w:lastRenderedPageBreak/>
              <w:t>Common components:</w:t>
            </w:r>
            <w:r>
              <w:rPr>
                <w:rFonts w:eastAsia="MS Mincho"/>
                <w:u w:val="single"/>
                <w:lang w:eastAsia="en-US"/>
              </w:rPr>
              <w:t xml:space="preserve"> </w:t>
            </w:r>
            <w:r w:rsidRPr="00EC39C7">
              <w:rPr>
                <w:rFonts w:eastAsia="MS Mincho"/>
                <w:lang w:eastAsia="en-US"/>
              </w:rPr>
              <w:t>Both groups were instructed to use the spray ad libitum whenever they felt the urge to smoke, up to a</w:t>
            </w:r>
            <w:r>
              <w:rPr>
                <w:rFonts w:eastAsia="MS Mincho"/>
                <w:lang w:eastAsia="en-US"/>
              </w:rPr>
              <w:t xml:space="preserve"> </w:t>
            </w:r>
            <w:r w:rsidRPr="00EC39C7">
              <w:rPr>
                <w:rFonts w:eastAsia="MS Mincho"/>
                <w:lang w:eastAsia="en-US"/>
              </w:rPr>
              <w:t>maximum of 30 sprays/day</w:t>
            </w:r>
            <w:r>
              <w:rPr>
                <w:rFonts w:eastAsia="MS Mincho"/>
                <w:lang w:eastAsia="en-US"/>
              </w:rPr>
              <w:t>.</w:t>
            </w:r>
          </w:p>
          <w:p w:rsidR="00EC39C7" w:rsidRPr="00EC39C7" w:rsidRDefault="00EC39C7" w:rsidP="00A71365">
            <w:pPr>
              <w:rPr>
                <w:rFonts w:eastAsia="MS Mincho"/>
                <w:u w:val="single"/>
                <w:lang w:eastAsia="en-US"/>
              </w:rPr>
            </w:pPr>
          </w:p>
          <w:p w:rsidR="00EC39C7" w:rsidRPr="00EC39C7" w:rsidRDefault="00EC39C7" w:rsidP="00A71365">
            <w:pPr>
              <w:rPr>
                <w:rFonts w:eastAsia="MS Mincho"/>
                <w:lang w:eastAsia="en-US"/>
              </w:rPr>
            </w:pPr>
            <w:r w:rsidRPr="00EC39C7">
              <w:rPr>
                <w:rFonts w:eastAsia="MS Mincho"/>
                <w:lang w:eastAsia="en-US"/>
              </w:rPr>
              <w:t>Both groups received 21 mg/24-hour nicotine patches for 18 weeks, then 14 mg/24-hour nicotine</w:t>
            </w:r>
            <w:r>
              <w:rPr>
                <w:rFonts w:eastAsia="MS Mincho"/>
                <w:lang w:eastAsia="en-US"/>
              </w:rPr>
              <w:t xml:space="preserve"> </w:t>
            </w:r>
            <w:r w:rsidRPr="00EC39C7">
              <w:rPr>
                <w:rFonts w:eastAsia="MS Mincho"/>
                <w:lang w:eastAsia="en-US"/>
              </w:rPr>
              <w:t>patches for 2 weeks, and then 7 mg/24-hour nicotine patches for 2 weeks</w:t>
            </w:r>
            <w:r>
              <w:rPr>
                <w:rFonts w:eastAsia="MS Mincho"/>
                <w:lang w:eastAsia="en-US"/>
              </w:rPr>
              <w:t>.</w:t>
            </w:r>
          </w:p>
        </w:tc>
        <w:tc>
          <w:tcPr>
            <w:tcW w:w="1008" w:type="pct"/>
          </w:tcPr>
          <w:p w:rsidR="002B0026" w:rsidRDefault="00F536ED" w:rsidP="00A71365">
            <w:pPr>
              <w:pStyle w:val="Tablewriting"/>
              <w:rPr>
                <w:rFonts w:eastAsia="MS Mincho" w:cstheme="minorHAnsi"/>
              </w:rPr>
            </w:pPr>
            <w:r>
              <w:rPr>
                <w:rFonts w:eastAsia="MS Mincho" w:cstheme="minorHAnsi"/>
                <w:u w:val="single"/>
              </w:rPr>
              <w:lastRenderedPageBreak/>
              <w:t>Efficacy:</w:t>
            </w:r>
            <w:r w:rsidR="002B0026">
              <w:rPr>
                <w:rFonts w:eastAsia="MS Mincho" w:cstheme="minorHAnsi"/>
                <w:u w:val="single"/>
              </w:rPr>
              <w:t xml:space="preserve"> </w:t>
            </w:r>
            <w:r w:rsidR="002B0026" w:rsidRPr="002B0026">
              <w:rPr>
                <w:rFonts w:eastAsia="MS Mincho" w:cstheme="minorHAnsi"/>
              </w:rPr>
              <w:t>Prolonged abstinence at 12 m</w:t>
            </w:r>
            <w:r w:rsidR="002314BA">
              <w:rPr>
                <w:rFonts w:eastAsia="MS Mincho" w:cstheme="minorHAnsi"/>
              </w:rPr>
              <w:t>onths</w:t>
            </w:r>
            <w:r w:rsidR="002B0026" w:rsidRPr="002B0026">
              <w:rPr>
                <w:rFonts w:eastAsia="MS Mincho" w:cstheme="minorHAnsi"/>
              </w:rPr>
              <w:t xml:space="preserve"> post-quit day; CO-validated (&lt; 10 ppm). </w:t>
            </w:r>
          </w:p>
          <w:p w:rsidR="002B0026" w:rsidRPr="002B0026" w:rsidRDefault="002B0026" w:rsidP="00A71365">
            <w:pPr>
              <w:pStyle w:val="Tablewriting"/>
              <w:rPr>
                <w:rFonts w:eastAsia="MS Mincho" w:cstheme="minorHAnsi"/>
                <w:u w:val="single"/>
              </w:rPr>
            </w:pPr>
            <w:r w:rsidRPr="002B0026">
              <w:rPr>
                <w:rFonts w:eastAsia="MS Mincho" w:cstheme="minorHAnsi"/>
              </w:rPr>
              <w:t>Prolonged abstinence defined as</w:t>
            </w:r>
            <w:r>
              <w:rPr>
                <w:rFonts w:eastAsia="MS Mincho" w:cstheme="minorHAnsi"/>
              </w:rPr>
              <w:t xml:space="preserve"> </w:t>
            </w:r>
            <w:r w:rsidRPr="002B0026">
              <w:rPr>
                <w:rFonts w:eastAsia="MS Mincho" w:cstheme="minorHAnsi"/>
              </w:rPr>
              <w:t>no smoking since end of grace period</w:t>
            </w:r>
            <w:r w:rsidR="00C46C05">
              <w:rPr>
                <w:rFonts w:eastAsia="MS Mincho" w:cstheme="minorHAnsi"/>
              </w:rPr>
              <w:t xml:space="preserve"> (</w:t>
            </w:r>
            <w:r w:rsidRPr="002B0026">
              <w:rPr>
                <w:rFonts w:eastAsia="MS Mincho" w:cstheme="minorHAnsi"/>
              </w:rPr>
              <w:t>4 weeks after quit day</w:t>
            </w:r>
            <w:r w:rsidR="00C46C05">
              <w:rPr>
                <w:rFonts w:eastAsia="MS Mincho" w:cstheme="minorHAnsi"/>
              </w:rPr>
              <w:t xml:space="preserve"> </w:t>
            </w:r>
            <w:r w:rsidRPr="002B0026">
              <w:rPr>
                <w:rFonts w:eastAsia="MS Mincho" w:cstheme="minorHAnsi"/>
              </w:rPr>
              <w:t>to 12</w:t>
            </w:r>
            <w:r w:rsidR="00C46C05">
              <w:rPr>
                <w:rFonts w:eastAsia="MS Mincho" w:cstheme="minorHAnsi"/>
              </w:rPr>
              <w:t>-</w:t>
            </w:r>
            <w:r w:rsidRPr="002B0026">
              <w:rPr>
                <w:rFonts w:eastAsia="MS Mincho" w:cstheme="minorHAnsi"/>
              </w:rPr>
              <w:t>m</w:t>
            </w:r>
            <w:r w:rsidR="00C46C05">
              <w:rPr>
                <w:rFonts w:eastAsia="MS Mincho" w:cstheme="minorHAnsi"/>
              </w:rPr>
              <w:t>onth</w:t>
            </w:r>
            <w:r w:rsidRPr="002B0026">
              <w:rPr>
                <w:rFonts w:eastAsia="MS Mincho" w:cstheme="minorHAnsi"/>
              </w:rPr>
              <w:t xml:space="preserve"> post-quit</w:t>
            </w:r>
            <w:r w:rsidR="00C46C05">
              <w:rPr>
                <w:rFonts w:eastAsia="MS Mincho" w:cstheme="minorHAnsi"/>
              </w:rPr>
              <w:t>).</w:t>
            </w:r>
          </w:p>
          <w:p w:rsidR="00C46C05" w:rsidRDefault="00C46C05" w:rsidP="00A71365">
            <w:pPr>
              <w:pStyle w:val="Tablewriting"/>
              <w:rPr>
                <w:rFonts w:eastAsia="MS Mincho" w:cstheme="minorHAnsi"/>
              </w:rPr>
            </w:pPr>
          </w:p>
          <w:p w:rsidR="002B0026" w:rsidRPr="002B0026" w:rsidRDefault="002B0026" w:rsidP="00A71365">
            <w:pPr>
              <w:pStyle w:val="Tablewriting"/>
              <w:rPr>
                <w:rFonts w:eastAsia="MS Mincho" w:cstheme="minorHAnsi"/>
              </w:rPr>
            </w:pPr>
            <w:r w:rsidRPr="002B0026">
              <w:rPr>
                <w:rFonts w:eastAsia="MS Mincho" w:cstheme="minorHAnsi"/>
              </w:rPr>
              <w:lastRenderedPageBreak/>
              <w:t>7-day PPA at 12 m</w:t>
            </w:r>
            <w:r w:rsidR="00C46C05">
              <w:rPr>
                <w:rFonts w:eastAsia="MS Mincho" w:cstheme="minorHAnsi"/>
              </w:rPr>
              <w:t>onths</w:t>
            </w:r>
            <w:r w:rsidRPr="002B0026">
              <w:rPr>
                <w:rFonts w:eastAsia="MS Mincho" w:cstheme="minorHAnsi"/>
              </w:rPr>
              <w:t xml:space="preserve"> follow-up (CO-validated)</w:t>
            </w:r>
          </w:p>
          <w:p w:rsidR="00C46C05" w:rsidRDefault="00C46C05" w:rsidP="00A71365">
            <w:pPr>
              <w:pStyle w:val="Tablewriting"/>
              <w:rPr>
                <w:rFonts w:eastAsia="MS Mincho" w:cstheme="minorHAnsi"/>
                <w:u w:val="single"/>
              </w:rPr>
            </w:pPr>
          </w:p>
          <w:p w:rsidR="00C46C05" w:rsidRPr="002B0026" w:rsidRDefault="00F536ED" w:rsidP="00A71365">
            <w:pPr>
              <w:pStyle w:val="Tablewriting"/>
              <w:rPr>
                <w:rFonts w:eastAsia="MS Mincho" w:cstheme="minorHAnsi"/>
              </w:rPr>
            </w:pPr>
            <w:r>
              <w:rPr>
                <w:rFonts w:eastAsia="MS Mincho" w:cstheme="minorHAnsi"/>
                <w:u w:val="single"/>
              </w:rPr>
              <w:t>Safety:</w:t>
            </w:r>
            <w:r w:rsidR="00C46C05">
              <w:rPr>
                <w:rFonts w:eastAsia="MS Mincho" w:cstheme="minorHAnsi"/>
                <w:u w:val="single"/>
              </w:rPr>
              <w:t xml:space="preserve"> </w:t>
            </w:r>
            <w:r w:rsidR="00C46C05" w:rsidRPr="002B0026">
              <w:rPr>
                <w:rFonts w:eastAsia="MS Mincho" w:cstheme="minorHAnsi"/>
              </w:rPr>
              <w:t>Adverse events: measured for 12 months (treatment was for 6 months)</w:t>
            </w:r>
            <w:r w:rsidR="00C46C05">
              <w:rPr>
                <w:rFonts w:eastAsia="MS Mincho" w:cstheme="minorHAnsi"/>
              </w:rPr>
              <w:t>.</w:t>
            </w:r>
          </w:p>
          <w:p w:rsidR="00F536ED" w:rsidRPr="004272CD" w:rsidRDefault="00F536ED" w:rsidP="00A71365">
            <w:pPr>
              <w:pStyle w:val="Tablewriting"/>
              <w:rPr>
                <w:rFonts w:eastAsia="MS Mincho" w:cstheme="minorHAnsi"/>
                <w:u w:val="single"/>
              </w:rPr>
            </w:pPr>
          </w:p>
        </w:tc>
      </w:tr>
      <w:tr w:rsidR="00F536ED" w:rsidRPr="00017AE6" w:rsidTr="008E2AC2">
        <w:trPr>
          <w:trHeight w:val="99"/>
        </w:trPr>
        <w:tc>
          <w:tcPr>
            <w:tcW w:w="495" w:type="pct"/>
          </w:tcPr>
          <w:p w:rsidR="00F536ED" w:rsidRPr="00017AE6" w:rsidRDefault="00F536ED" w:rsidP="00A71365">
            <w:pPr>
              <w:pStyle w:val="Tablewriting"/>
              <w:rPr>
                <w:rFonts w:eastAsia="MS Mincho" w:cstheme="minorHAnsi"/>
              </w:rPr>
            </w:pPr>
            <w:r w:rsidRPr="00B35BEA">
              <w:rPr>
                <w:rFonts w:eastAsia="MS Mincho" w:cstheme="minorHAnsi"/>
              </w:rPr>
              <w:lastRenderedPageBreak/>
              <w:t xml:space="preserve">Caldwell </w:t>
            </w:r>
            <w:r w:rsidR="00991AC5">
              <w:rPr>
                <w:rFonts w:eastAsia="MS Mincho" w:cstheme="minorHAnsi"/>
              </w:rPr>
              <w:t>(</w:t>
            </w:r>
            <w:r w:rsidRPr="00B35BEA">
              <w:rPr>
                <w:rFonts w:eastAsia="MS Mincho" w:cstheme="minorHAnsi"/>
              </w:rPr>
              <w:t>2016</w:t>
            </w:r>
            <w:r w:rsidR="00991AC5">
              <w:rPr>
                <w:rFonts w:eastAsia="MS Mincho" w:cstheme="minorHAnsi"/>
              </w:rPr>
              <w:t>)</w:t>
            </w:r>
          </w:p>
        </w:tc>
        <w:tc>
          <w:tcPr>
            <w:tcW w:w="234" w:type="pct"/>
          </w:tcPr>
          <w:p w:rsidR="00F536ED" w:rsidRPr="00017AE6" w:rsidRDefault="004810EB" w:rsidP="00A71365">
            <w:pPr>
              <w:pStyle w:val="Tablewriting"/>
              <w:rPr>
                <w:rFonts w:eastAsia="MS Mincho" w:cstheme="minorHAnsi"/>
              </w:rPr>
            </w:pPr>
            <w:r>
              <w:rPr>
                <w:rFonts w:eastAsia="MS Mincho" w:cstheme="minorHAnsi"/>
              </w:rPr>
              <w:t>RCT</w:t>
            </w:r>
          </w:p>
        </w:tc>
        <w:tc>
          <w:tcPr>
            <w:tcW w:w="433" w:type="pct"/>
          </w:tcPr>
          <w:p w:rsidR="00F536ED" w:rsidRPr="00017AE6" w:rsidRDefault="00F84462" w:rsidP="00A71365">
            <w:pPr>
              <w:pStyle w:val="Tablewriting"/>
              <w:rPr>
                <w:rFonts w:eastAsia="MS Mincho" w:cstheme="minorHAnsi"/>
              </w:rPr>
            </w:pPr>
            <w:r>
              <w:rPr>
                <w:rFonts w:eastAsia="MS Mincho" w:cstheme="minorHAnsi"/>
              </w:rPr>
              <w:t>New Zealand</w:t>
            </w:r>
          </w:p>
        </w:tc>
        <w:tc>
          <w:tcPr>
            <w:tcW w:w="358" w:type="pct"/>
          </w:tcPr>
          <w:p w:rsidR="00F536ED" w:rsidRPr="00017AE6" w:rsidRDefault="00F536ED" w:rsidP="00A71365">
            <w:pPr>
              <w:pStyle w:val="Tablewriting"/>
              <w:rPr>
                <w:rFonts w:eastAsia="MS Mincho" w:cstheme="minorHAnsi"/>
              </w:rPr>
            </w:pPr>
            <w:r w:rsidRPr="003A1845">
              <w:rPr>
                <w:rFonts w:eastAsia="MS Mincho" w:cstheme="minorHAnsi"/>
              </w:rPr>
              <w:t>N=</w:t>
            </w:r>
            <w:r w:rsidR="00BD6FAE">
              <w:rPr>
                <w:rFonts w:eastAsia="MS Mincho" w:cstheme="minorHAnsi"/>
              </w:rPr>
              <w:t>502</w:t>
            </w:r>
          </w:p>
        </w:tc>
        <w:tc>
          <w:tcPr>
            <w:tcW w:w="1176" w:type="pct"/>
          </w:tcPr>
          <w:p w:rsidR="00BD6FAE" w:rsidRPr="00BD6FAE" w:rsidRDefault="00BD6FAE" w:rsidP="00A71365">
            <w:pPr>
              <w:pStyle w:val="Tablewriting"/>
              <w:rPr>
                <w:rFonts w:eastAsia="MS Mincho" w:cstheme="minorHAnsi"/>
              </w:rPr>
            </w:pPr>
            <w:r>
              <w:rPr>
                <w:rFonts w:eastAsia="MS Mincho" w:cstheme="minorHAnsi"/>
              </w:rPr>
              <w:t>S</w:t>
            </w:r>
            <w:r w:rsidRPr="00BD6FAE">
              <w:rPr>
                <w:rFonts w:eastAsia="MS Mincho" w:cstheme="minorHAnsi"/>
              </w:rPr>
              <w:t>mokers aged 18 - 70 years,</w:t>
            </w:r>
            <w:r w:rsidR="00E25324" w:rsidRPr="002F7627">
              <w:rPr>
                <w:rFonts w:eastAsia="MS Mincho" w:cstheme="minorHAnsi"/>
              </w:rPr>
              <w:t xml:space="preserve"> ≥</w:t>
            </w:r>
            <w:r w:rsidRPr="00BD6FAE">
              <w:rPr>
                <w:rFonts w:eastAsia="MS Mincho" w:cstheme="minorHAnsi"/>
              </w:rPr>
              <w:t xml:space="preserve"> 9 </w:t>
            </w:r>
            <w:r w:rsidR="00E25324">
              <w:rPr>
                <w:rFonts w:eastAsia="MS Mincho" w:cstheme="minorHAnsi"/>
              </w:rPr>
              <w:t>CPD</w:t>
            </w:r>
            <w:r w:rsidRPr="00BD6FAE">
              <w:rPr>
                <w:rFonts w:eastAsia="MS Mincho" w:cstheme="minorHAnsi"/>
              </w:rPr>
              <w:t>, FTND</w:t>
            </w:r>
            <w:r w:rsidR="00E25324">
              <w:rPr>
                <w:rFonts w:eastAsia="MS Mincho" w:cstheme="minorHAnsi"/>
              </w:rPr>
              <w:t xml:space="preserve"> </w:t>
            </w:r>
            <w:r w:rsidR="00E25324" w:rsidRPr="002F7627">
              <w:rPr>
                <w:rFonts w:eastAsia="MS Mincho" w:cstheme="minorHAnsi"/>
              </w:rPr>
              <w:t>≥</w:t>
            </w:r>
            <w:r w:rsidR="00E25324">
              <w:rPr>
                <w:rFonts w:eastAsia="MS Mincho" w:cstheme="minorHAnsi"/>
              </w:rPr>
              <w:t xml:space="preserve"> </w:t>
            </w:r>
            <w:r w:rsidRPr="00BD6FAE">
              <w:rPr>
                <w:rFonts w:eastAsia="MS Mincho" w:cstheme="minorHAnsi"/>
              </w:rPr>
              <w:t>3</w:t>
            </w:r>
            <w:r w:rsidR="00E25324">
              <w:rPr>
                <w:rFonts w:eastAsia="MS Mincho" w:cstheme="minorHAnsi"/>
              </w:rPr>
              <w:t>.</w:t>
            </w:r>
          </w:p>
          <w:p w:rsidR="00F536ED" w:rsidRPr="00017AE6" w:rsidRDefault="00BD6FAE" w:rsidP="00A71365">
            <w:pPr>
              <w:pStyle w:val="Tablewriting"/>
              <w:rPr>
                <w:rFonts w:eastAsia="MS Mincho" w:cstheme="minorHAnsi"/>
              </w:rPr>
            </w:pPr>
            <w:r w:rsidRPr="00BD6FAE">
              <w:rPr>
                <w:rFonts w:eastAsia="MS Mincho" w:cstheme="minorHAnsi"/>
              </w:rPr>
              <w:t>49% men; mean age</w:t>
            </w:r>
            <w:r w:rsidR="00E25324">
              <w:rPr>
                <w:rFonts w:eastAsia="MS Mincho" w:cstheme="minorHAnsi"/>
              </w:rPr>
              <w:t xml:space="preserve"> </w:t>
            </w:r>
            <w:r w:rsidRPr="00BD6FAE">
              <w:rPr>
                <w:rFonts w:eastAsia="MS Mincho" w:cstheme="minorHAnsi"/>
              </w:rPr>
              <w:t>45</w:t>
            </w:r>
            <w:r w:rsidR="00E25324">
              <w:rPr>
                <w:rFonts w:eastAsia="MS Mincho" w:cstheme="minorHAnsi"/>
              </w:rPr>
              <w:t xml:space="preserve"> years, </w:t>
            </w:r>
            <w:r w:rsidRPr="00BD6FAE">
              <w:rPr>
                <w:rFonts w:eastAsia="MS Mincho" w:cstheme="minorHAnsi"/>
              </w:rPr>
              <w:t>av</w:t>
            </w:r>
            <w:r w:rsidR="00E25324">
              <w:rPr>
                <w:rFonts w:eastAsia="MS Mincho" w:cstheme="minorHAnsi"/>
              </w:rPr>
              <w:t>erage</w:t>
            </w:r>
            <w:r w:rsidRPr="00BD6FAE">
              <w:rPr>
                <w:rFonts w:eastAsia="MS Mincho" w:cstheme="minorHAnsi"/>
              </w:rPr>
              <w:t xml:space="preserve"> </w:t>
            </w:r>
            <w:r w:rsidR="00E25324">
              <w:rPr>
                <w:rFonts w:eastAsia="MS Mincho" w:cstheme="minorHAnsi"/>
              </w:rPr>
              <w:t xml:space="preserve">CPD </w:t>
            </w:r>
            <w:r w:rsidRPr="00BD6FAE">
              <w:rPr>
                <w:rFonts w:eastAsia="MS Mincho" w:cstheme="minorHAnsi"/>
              </w:rPr>
              <w:t>19</w:t>
            </w:r>
            <w:r w:rsidR="00E25324">
              <w:rPr>
                <w:rFonts w:eastAsia="MS Mincho" w:cstheme="minorHAnsi"/>
              </w:rPr>
              <w:t>,</w:t>
            </w:r>
            <w:r w:rsidRPr="00BD6FAE">
              <w:rPr>
                <w:rFonts w:eastAsia="MS Mincho" w:cstheme="minorHAnsi"/>
              </w:rPr>
              <w:t xml:space="preserve"> mean FTND 6.2</w:t>
            </w:r>
            <w:r w:rsidR="00E25324">
              <w:rPr>
                <w:rFonts w:eastAsia="MS Mincho" w:cstheme="minorHAnsi"/>
              </w:rPr>
              <w:t>.</w:t>
            </w:r>
          </w:p>
        </w:tc>
        <w:tc>
          <w:tcPr>
            <w:tcW w:w="1295" w:type="pct"/>
          </w:tcPr>
          <w:p w:rsidR="00FC0AB5" w:rsidRDefault="00262538" w:rsidP="00C324F3">
            <w:pPr>
              <w:pStyle w:val="Tablewriting"/>
              <w:numPr>
                <w:ilvl w:val="0"/>
                <w:numId w:val="173"/>
              </w:numPr>
              <w:rPr>
                <w:rFonts w:eastAsia="MS Mincho" w:cstheme="minorHAnsi"/>
              </w:rPr>
            </w:pPr>
            <w:r w:rsidRPr="00262538">
              <w:rPr>
                <w:rFonts w:eastAsia="MS Mincho" w:cstheme="minorHAnsi"/>
              </w:rPr>
              <w:t>6 m nicotine inhaler used parallel to 5 m 24-hour nicotine patch. The nicotine inhaler contained 2</w:t>
            </w:r>
            <w:r w:rsidR="00FC0AB5">
              <w:rPr>
                <w:rFonts w:eastAsia="MS Mincho" w:cstheme="minorHAnsi"/>
              </w:rPr>
              <w:t xml:space="preserve"> </w:t>
            </w:r>
            <w:r w:rsidRPr="00FC0AB5">
              <w:rPr>
                <w:rFonts w:eastAsia="MS Mincho" w:cstheme="minorHAnsi"/>
              </w:rPr>
              <w:t>doses of nicotine lactate: 100 micrograms/pu</w:t>
            </w:r>
            <w:r w:rsidR="00A435E3" w:rsidRPr="00FC0AB5">
              <w:rPr>
                <w:rFonts w:eastAsia="MS Mincho" w:cstheme="minorHAnsi"/>
              </w:rPr>
              <w:t xml:space="preserve">ff </w:t>
            </w:r>
            <w:r w:rsidRPr="00FC0AB5">
              <w:rPr>
                <w:rFonts w:eastAsia="MS Mincho" w:cstheme="minorHAnsi"/>
              </w:rPr>
              <w:t>and 200 micrograms/pu</w:t>
            </w:r>
            <w:r w:rsidR="00A435E3" w:rsidRPr="00FC0AB5">
              <w:rPr>
                <w:rFonts w:eastAsia="MS Mincho" w:cstheme="minorHAnsi"/>
              </w:rPr>
              <w:t>ff</w:t>
            </w:r>
            <w:r w:rsidRPr="00FC0AB5">
              <w:rPr>
                <w:rFonts w:eastAsia="MS Mincho" w:cstheme="minorHAnsi"/>
              </w:rPr>
              <w:t>. Participants were instructed</w:t>
            </w:r>
            <w:r w:rsidR="00FC0AB5">
              <w:rPr>
                <w:rFonts w:eastAsia="MS Mincho" w:cstheme="minorHAnsi"/>
              </w:rPr>
              <w:t xml:space="preserve"> </w:t>
            </w:r>
            <w:r w:rsidRPr="00FC0AB5">
              <w:rPr>
                <w:rFonts w:eastAsia="MS Mincho" w:cstheme="minorHAnsi"/>
              </w:rPr>
              <w:t>to start with the lower dose and move onto the higher dose once they had developed tolerance to the</w:t>
            </w:r>
            <w:r w:rsidR="00FC0AB5">
              <w:rPr>
                <w:rFonts w:eastAsia="MS Mincho" w:cstheme="minorHAnsi"/>
              </w:rPr>
              <w:t xml:space="preserve"> </w:t>
            </w:r>
            <w:r w:rsidRPr="00FC0AB5">
              <w:rPr>
                <w:rFonts w:eastAsia="MS Mincho" w:cstheme="minorHAnsi"/>
              </w:rPr>
              <w:t>upper airway effects of the lower dose</w:t>
            </w:r>
            <w:r w:rsidR="00FC0AB5">
              <w:rPr>
                <w:rFonts w:eastAsia="MS Mincho" w:cstheme="minorHAnsi"/>
              </w:rPr>
              <w:t>.</w:t>
            </w:r>
          </w:p>
          <w:p w:rsidR="00262538" w:rsidRPr="00FC0AB5" w:rsidRDefault="00262538" w:rsidP="00C324F3">
            <w:pPr>
              <w:pStyle w:val="Tablewriting"/>
              <w:numPr>
                <w:ilvl w:val="0"/>
                <w:numId w:val="173"/>
              </w:numPr>
              <w:rPr>
                <w:rFonts w:eastAsia="MS Mincho" w:cstheme="minorHAnsi"/>
              </w:rPr>
            </w:pPr>
            <w:r w:rsidRPr="00FC0AB5">
              <w:rPr>
                <w:rFonts w:eastAsia="MS Mincho" w:cstheme="minorHAnsi"/>
              </w:rPr>
              <w:t>6 m placebo inhaler used parallel to 5 m 24-hour nicotine patch. The placebo inhaler contained menthol</w:t>
            </w:r>
            <w:r w:rsidR="00FC0AB5">
              <w:rPr>
                <w:rFonts w:eastAsia="MS Mincho" w:cstheme="minorHAnsi"/>
              </w:rPr>
              <w:t xml:space="preserve"> </w:t>
            </w:r>
            <w:r w:rsidRPr="00FC0AB5">
              <w:rPr>
                <w:rFonts w:eastAsia="MS Mincho" w:cstheme="minorHAnsi"/>
              </w:rPr>
              <w:t>in 2 doses to mimic the 2 doses of active inhaler and participants were also instructed to move onto</w:t>
            </w:r>
            <w:r w:rsidR="00FC0AB5">
              <w:rPr>
                <w:rFonts w:eastAsia="MS Mincho" w:cstheme="minorHAnsi"/>
              </w:rPr>
              <w:t xml:space="preserve"> </w:t>
            </w:r>
            <w:r w:rsidRPr="00FC0AB5">
              <w:rPr>
                <w:rFonts w:eastAsia="MS Mincho" w:cstheme="minorHAnsi"/>
              </w:rPr>
              <w:t>the higher dose once they had</w:t>
            </w:r>
            <w:r w:rsidR="00FC0AB5">
              <w:rPr>
                <w:rFonts w:eastAsia="MS Mincho" w:cstheme="minorHAnsi"/>
              </w:rPr>
              <w:t xml:space="preserve"> </w:t>
            </w:r>
            <w:r w:rsidRPr="00FC0AB5">
              <w:rPr>
                <w:rFonts w:eastAsia="MS Mincho" w:cstheme="minorHAnsi"/>
              </w:rPr>
              <w:t>developed tolerance to the upper airway effects of the lower dose</w:t>
            </w:r>
            <w:r w:rsidR="00FC0AB5">
              <w:rPr>
                <w:rFonts w:eastAsia="MS Mincho" w:cstheme="minorHAnsi"/>
              </w:rPr>
              <w:t>.</w:t>
            </w:r>
          </w:p>
          <w:p w:rsidR="00FC0AB5" w:rsidRDefault="00FC0AB5" w:rsidP="00A71365">
            <w:pPr>
              <w:pStyle w:val="Tablewriting"/>
              <w:rPr>
                <w:rFonts w:eastAsia="MS Mincho" w:cstheme="minorHAnsi"/>
              </w:rPr>
            </w:pPr>
          </w:p>
          <w:p w:rsidR="00FC0AB5" w:rsidRDefault="00FC0AB5" w:rsidP="00A71365">
            <w:pPr>
              <w:pStyle w:val="Tablewriting"/>
              <w:rPr>
                <w:rFonts w:eastAsia="MS Mincho" w:cstheme="minorHAnsi"/>
              </w:rPr>
            </w:pPr>
          </w:p>
          <w:p w:rsidR="00262538" w:rsidRDefault="00FC0AB5" w:rsidP="00A71365">
            <w:pPr>
              <w:pStyle w:val="Tablewriting"/>
              <w:rPr>
                <w:rFonts w:eastAsia="MS Mincho" w:cstheme="minorHAnsi"/>
              </w:rPr>
            </w:pPr>
            <w:r w:rsidRPr="00EC39C7">
              <w:rPr>
                <w:rFonts w:eastAsia="MS Mincho"/>
                <w:u w:val="single"/>
              </w:rPr>
              <w:t>Common components</w:t>
            </w:r>
            <w:r>
              <w:rPr>
                <w:rFonts w:eastAsia="MS Mincho"/>
                <w:u w:val="single"/>
              </w:rPr>
              <w:t xml:space="preserve">: </w:t>
            </w:r>
            <w:r w:rsidR="00262538" w:rsidRPr="00262538">
              <w:rPr>
                <w:rFonts w:eastAsia="MS Mincho" w:cstheme="minorHAnsi"/>
              </w:rPr>
              <w:t>Both groups were instructed to use the inhaler when they had an urge to smoke, and to have as many</w:t>
            </w:r>
            <w:r>
              <w:rPr>
                <w:rFonts w:eastAsia="MS Mincho" w:cstheme="minorHAnsi"/>
              </w:rPr>
              <w:t xml:space="preserve"> </w:t>
            </w:r>
            <w:r w:rsidR="00262538" w:rsidRPr="00262538">
              <w:rPr>
                <w:rFonts w:eastAsia="MS Mincho" w:cstheme="minorHAnsi"/>
              </w:rPr>
              <w:t>pu</w:t>
            </w:r>
            <w:r w:rsidR="00EE6468">
              <w:rPr>
                <w:rFonts w:eastAsia="MS Mincho" w:cstheme="minorHAnsi"/>
              </w:rPr>
              <w:t>ff</w:t>
            </w:r>
            <w:r w:rsidR="00262538" w:rsidRPr="00262538">
              <w:rPr>
                <w:rFonts w:eastAsia="MS Mincho" w:cstheme="minorHAnsi"/>
              </w:rPr>
              <w:t>s as required to satisfy their urge (maximum 10 pu</w:t>
            </w:r>
            <w:r w:rsidR="00EE6468">
              <w:rPr>
                <w:rFonts w:eastAsia="MS Mincho" w:cstheme="minorHAnsi"/>
              </w:rPr>
              <w:t>ff</w:t>
            </w:r>
            <w:r w:rsidR="00262538" w:rsidRPr="00262538">
              <w:rPr>
                <w:rFonts w:eastAsia="MS Mincho" w:cstheme="minorHAnsi"/>
              </w:rPr>
              <w:t>s)</w:t>
            </w:r>
            <w:r>
              <w:rPr>
                <w:rFonts w:eastAsia="MS Mincho" w:cstheme="minorHAnsi"/>
              </w:rPr>
              <w:t>.</w:t>
            </w:r>
          </w:p>
          <w:p w:rsidR="00FC0AB5" w:rsidRPr="00262538" w:rsidRDefault="00FC0AB5" w:rsidP="00A71365">
            <w:pPr>
              <w:pStyle w:val="Tablewriting"/>
              <w:rPr>
                <w:rFonts w:eastAsia="MS Mincho" w:cstheme="minorHAnsi"/>
              </w:rPr>
            </w:pPr>
          </w:p>
          <w:p w:rsidR="00F536ED" w:rsidRPr="00017AE6" w:rsidRDefault="00262538" w:rsidP="00A71365">
            <w:pPr>
              <w:pStyle w:val="Tablewriting"/>
              <w:rPr>
                <w:rFonts w:eastAsia="MS Mincho" w:cstheme="minorHAnsi"/>
              </w:rPr>
            </w:pPr>
            <w:r w:rsidRPr="00262538">
              <w:rPr>
                <w:rFonts w:eastAsia="MS Mincho" w:cstheme="minorHAnsi"/>
              </w:rPr>
              <w:t>Both groups were instructed to use 21 mg/24-hour nicotine patch for 18 weeks, 14 mg/24-hour for 2</w:t>
            </w:r>
            <w:r w:rsidR="00FC0AB5">
              <w:rPr>
                <w:rFonts w:eastAsia="MS Mincho" w:cstheme="minorHAnsi"/>
              </w:rPr>
              <w:t xml:space="preserve"> </w:t>
            </w:r>
            <w:r w:rsidRPr="00262538">
              <w:rPr>
                <w:rFonts w:eastAsia="MS Mincho" w:cstheme="minorHAnsi"/>
              </w:rPr>
              <w:t>weeks, and 7 mg/24-hour for 2 weeks</w:t>
            </w:r>
            <w:r w:rsidR="00FC0AB5">
              <w:rPr>
                <w:rFonts w:eastAsia="MS Mincho" w:cstheme="minorHAnsi"/>
              </w:rPr>
              <w:t>.</w:t>
            </w:r>
          </w:p>
        </w:tc>
        <w:tc>
          <w:tcPr>
            <w:tcW w:w="1008" w:type="pct"/>
          </w:tcPr>
          <w:p w:rsidR="004E5BAD" w:rsidRPr="001A364C" w:rsidRDefault="00F536ED" w:rsidP="00A71365">
            <w:pPr>
              <w:pStyle w:val="Tablewriting"/>
              <w:rPr>
                <w:rFonts w:eastAsia="MS Mincho" w:cstheme="minorHAnsi"/>
              </w:rPr>
            </w:pPr>
            <w:r>
              <w:rPr>
                <w:rFonts w:eastAsia="MS Mincho" w:cstheme="minorHAnsi"/>
                <w:u w:val="single"/>
              </w:rPr>
              <w:lastRenderedPageBreak/>
              <w:t>Efficacy:</w:t>
            </w:r>
            <w:r w:rsidR="00F40FDF">
              <w:t xml:space="preserve"> </w:t>
            </w:r>
            <w:r w:rsidR="00F40FDF" w:rsidRPr="001A364C">
              <w:rPr>
                <w:rFonts w:eastAsia="MS Mincho" w:cstheme="minorHAnsi"/>
              </w:rPr>
              <w:t>Prolonged abstinence (defined as not even a p</w:t>
            </w:r>
            <w:r w:rsidR="00A435E3">
              <w:rPr>
                <w:rFonts w:eastAsia="MS Mincho" w:cstheme="minorHAnsi"/>
              </w:rPr>
              <w:t>uff)</w:t>
            </w:r>
            <w:r w:rsidR="004E5BAD">
              <w:rPr>
                <w:rFonts w:eastAsia="MS Mincho" w:cstheme="minorHAnsi"/>
              </w:rPr>
              <w:t xml:space="preserve"> </w:t>
            </w:r>
            <w:r w:rsidR="00F40FDF" w:rsidRPr="001A364C">
              <w:rPr>
                <w:rFonts w:eastAsia="MS Mincho" w:cstheme="minorHAnsi"/>
              </w:rPr>
              <w:t>at 6 m</w:t>
            </w:r>
            <w:r w:rsidR="002314BA">
              <w:rPr>
                <w:rFonts w:eastAsia="MS Mincho" w:cstheme="minorHAnsi"/>
              </w:rPr>
              <w:t>onths</w:t>
            </w:r>
            <w:r w:rsidR="00F40FDF" w:rsidRPr="001A364C">
              <w:rPr>
                <w:rFonts w:eastAsia="MS Mincho" w:cstheme="minorHAnsi"/>
              </w:rPr>
              <w:t xml:space="preserve"> post-quit date; CO-validated at 1 m visit (</w:t>
            </w:r>
            <w:r w:rsidR="00943F68" w:rsidRPr="00830BCE">
              <w:rPr>
                <w:rFonts w:eastAsia="MS Mincho" w:cstheme="minorHAnsi"/>
              </w:rPr>
              <w:t>≤</w:t>
            </w:r>
            <w:r w:rsidR="00F40FDF" w:rsidRPr="001A364C">
              <w:rPr>
                <w:rFonts w:eastAsia="MS Mincho" w:cstheme="minorHAnsi"/>
              </w:rPr>
              <w:t xml:space="preserve"> 10</w:t>
            </w:r>
            <w:r w:rsidR="004E5BAD">
              <w:rPr>
                <w:rFonts w:eastAsia="MS Mincho" w:cstheme="minorHAnsi"/>
              </w:rPr>
              <w:t xml:space="preserve"> </w:t>
            </w:r>
            <w:r w:rsidR="00F40FDF" w:rsidRPr="001A364C">
              <w:rPr>
                <w:rFonts w:eastAsia="MS Mincho" w:cstheme="minorHAnsi"/>
              </w:rPr>
              <w:t>ppm)</w:t>
            </w:r>
            <w:r w:rsidR="004E5BAD">
              <w:rPr>
                <w:rFonts w:eastAsia="MS Mincho" w:cstheme="minorHAnsi"/>
              </w:rPr>
              <w:t>.</w:t>
            </w:r>
          </w:p>
          <w:p w:rsidR="00F40FDF" w:rsidRDefault="00F40FDF" w:rsidP="00A71365">
            <w:pPr>
              <w:pStyle w:val="Tablewriting"/>
              <w:rPr>
                <w:rFonts w:eastAsia="MS Mincho" w:cstheme="minorHAnsi"/>
              </w:rPr>
            </w:pPr>
            <w:r w:rsidRPr="001A364C">
              <w:rPr>
                <w:rFonts w:eastAsia="MS Mincho" w:cstheme="minorHAnsi"/>
              </w:rPr>
              <w:t>Other abstinence measures: self-reported 7-day PPA at 6 m</w:t>
            </w:r>
            <w:r w:rsidR="002314BA">
              <w:rPr>
                <w:rFonts w:eastAsia="MS Mincho" w:cstheme="minorHAnsi"/>
              </w:rPr>
              <w:t>onths</w:t>
            </w:r>
            <w:r w:rsidRPr="001A364C">
              <w:rPr>
                <w:rFonts w:eastAsia="MS Mincho" w:cstheme="minorHAnsi"/>
              </w:rPr>
              <w:t>, self-reported prolonged abstinence at 6 m</w:t>
            </w:r>
            <w:r w:rsidR="002314BA">
              <w:rPr>
                <w:rFonts w:eastAsia="MS Mincho" w:cstheme="minorHAnsi"/>
              </w:rPr>
              <w:t>onths</w:t>
            </w:r>
            <w:r w:rsidR="004E5BAD">
              <w:rPr>
                <w:rFonts w:eastAsia="MS Mincho" w:cstheme="minorHAnsi"/>
              </w:rPr>
              <w:t>.</w:t>
            </w:r>
          </w:p>
          <w:p w:rsidR="004E5BAD" w:rsidRPr="001A364C" w:rsidRDefault="004E5BAD" w:rsidP="00A71365">
            <w:pPr>
              <w:pStyle w:val="Tablewriting"/>
              <w:rPr>
                <w:rFonts w:eastAsia="MS Mincho" w:cstheme="minorHAnsi"/>
              </w:rPr>
            </w:pPr>
          </w:p>
          <w:p w:rsidR="00F536ED" w:rsidRPr="001A364C" w:rsidRDefault="00F40FDF" w:rsidP="00A71365">
            <w:pPr>
              <w:pStyle w:val="Tablewriting"/>
              <w:rPr>
                <w:rFonts w:eastAsia="MS Mincho" w:cstheme="minorHAnsi"/>
              </w:rPr>
            </w:pPr>
            <w:r w:rsidRPr="001A364C">
              <w:rPr>
                <w:rFonts w:eastAsia="MS Mincho" w:cstheme="minorHAnsi"/>
              </w:rPr>
              <w:t>Adverse events: measured for 6 months (duration of treatment)</w:t>
            </w:r>
            <w:r w:rsidR="004E5BAD">
              <w:rPr>
                <w:rFonts w:eastAsia="MS Mincho" w:cstheme="minorHAnsi"/>
              </w:rPr>
              <w:t>.</w:t>
            </w:r>
          </w:p>
          <w:p w:rsidR="00F536ED" w:rsidRDefault="00F536ED" w:rsidP="00A71365">
            <w:pPr>
              <w:pStyle w:val="Tablewriting"/>
              <w:rPr>
                <w:rFonts w:eastAsia="MS Mincho" w:cstheme="minorHAnsi"/>
                <w:u w:val="single"/>
              </w:rPr>
            </w:pPr>
          </w:p>
          <w:p w:rsidR="00F536ED" w:rsidRDefault="00F536ED" w:rsidP="00A71365">
            <w:pPr>
              <w:pStyle w:val="Tablewriting"/>
              <w:rPr>
                <w:rFonts w:eastAsia="MS Mincho" w:cstheme="minorHAnsi"/>
                <w:u w:val="single"/>
              </w:rPr>
            </w:pPr>
          </w:p>
          <w:p w:rsidR="00F536ED" w:rsidRPr="004272CD" w:rsidRDefault="00F536ED" w:rsidP="00A71365">
            <w:pPr>
              <w:pStyle w:val="Tablewriting"/>
              <w:rPr>
                <w:rFonts w:eastAsia="MS Mincho" w:cstheme="minorHAnsi"/>
                <w:u w:val="single"/>
              </w:rPr>
            </w:pPr>
            <w:r>
              <w:rPr>
                <w:rFonts w:eastAsia="MS Mincho" w:cstheme="minorHAnsi"/>
                <w:u w:val="single"/>
              </w:rPr>
              <w:t>Safety:</w:t>
            </w:r>
            <w:r w:rsidR="00513BB5">
              <w:rPr>
                <w:rFonts w:eastAsia="MS Mincho" w:cstheme="minorHAnsi"/>
                <w:u w:val="single"/>
              </w:rPr>
              <w:t xml:space="preserve"> </w:t>
            </w:r>
            <w:r w:rsidR="006361FC" w:rsidRPr="006361FC">
              <w:rPr>
                <w:rFonts w:eastAsia="MS Mincho" w:cstheme="minorHAnsi"/>
              </w:rPr>
              <w:t>Adverse events</w:t>
            </w:r>
            <w:r w:rsidR="006361FC">
              <w:rPr>
                <w:rFonts w:eastAsia="MS Mincho" w:cstheme="minorHAnsi"/>
              </w:rPr>
              <w:t xml:space="preserve"> </w:t>
            </w:r>
            <w:r w:rsidR="006361FC" w:rsidRPr="006361FC">
              <w:rPr>
                <w:rFonts w:eastAsia="MS Mincho" w:cstheme="minorHAnsi"/>
              </w:rPr>
              <w:t>measured for 6 months (duration of treatment)</w:t>
            </w:r>
          </w:p>
        </w:tc>
      </w:tr>
      <w:tr w:rsidR="00F536ED" w:rsidRPr="00017AE6" w:rsidTr="008E2AC2">
        <w:trPr>
          <w:trHeight w:val="99"/>
        </w:trPr>
        <w:tc>
          <w:tcPr>
            <w:tcW w:w="495" w:type="pct"/>
          </w:tcPr>
          <w:p w:rsidR="00F536ED" w:rsidRPr="00017AE6" w:rsidRDefault="00F536ED" w:rsidP="00A71365">
            <w:pPr>
              <w:pStyle w:val="Tablewriting"/>
              <w:rPr>
                <w:rFonts w:eastAsia="MS Mincho" w:cstheme="minorHAnsi"/>
              </w:rPr>
            </w:pPr>
            <w:r w:rsidRPr="00B35BEA">
              <w:rPr>
                <w:rFonts w:eastAsia="MS Mincho" w:cstheme="minorHAnsi"/>
              </w:rPr>
              <w:t xml:space="preserve">Cooney </w:t>
            </w:r>
            <w:r w:rsidR="00991AC5">
              <w:rPr>
                <w:rFonts w:eastAsia="MS Mincho" w:cstheme="minorHAnsi"/>
              </w:rPr>
              <w:t>(</w:t>
            </w:r>
            <w:r w:rsidRPr="00B35BEA">
              <w:rPr>
                <w:rFonts w:eastAsia="MS Mincho" w:cstheme="minorHAnsi"/>
              </w:rPr>
              <w:t>2009</w:t>
            </w:r>
            <w:r w:rsidR="00991AC5">
              <w:rPr>
                <w:rFonts w:eastAsia="MS Mincho" w:cstheme="minorHAnsi"/>
              </w:rPr>
              <w:t>)</w:t>
            </w:r>
          </w:p>
        </w:tc>
        <w:tc>
          <w:tcPr>
            <w:tcW w:w="234" w:type="pct"/>
          </w:tcPr>
          <w:p w:rsidR="00F536ED" w:rsidRPr="00017AE6" w:rsidRDefault="004810EB" w:rsidP="00A71365">
            <w:pPr>
              <w:pStyle w:val="Tablewriting"/>
              <w:rPr>
                <w:rFonts w:eastAsia="MS Mincho" w:cstheme="minorHAnsi"/>
              </w:rPr>
            </w:pPr>
            <w:r>
              <w:rPr>
                <w:rFonts w:eastAsia="MS Mincho" w:cstheme="minorHAnsi"/>
              </w:rPr>
              <w:t>RCT</w:t>
            </w:r>
          </w:p>
        </w:tc>
        <w:tc>
          <w:tcPr>
            <w:tcW w:w="433" w:type="pct"/>
          </w:tcPr>
          <w:p w:rsidR="00F536ED" w:rsidRPr="00017AE6" w:rsidRDefault="0094402C" w:rsidP="00A71365">
            <w:pPr>
              <w:pStyle w:val="Tablewriting"/>
              <w:rPr>
                <w:rFonts w:eastAsia="MS Mincho" w:cstheme="minorHAnsi"/>
              </w:rPr>
            </w:pPr>
            <w:r w:rsidRPr="0094402C">
              <w:rPr>
                <w:rFonts w:eastAsia="MS Mincho" w:cstheme="minorHAnsi"/>
              </w:rPr>
              <w:t>USA</w:t>
            </w:r>
          </w:p>
        </w:tc>
        <w:tc>
          <w:tcPr>
            <w:tcW w:w="358" w:type="pct"/>
          </w:tcPr>
          <w:p w:rsidR="00F536ED" w:rsidRPr="00017AE6" w:rsidRDefault="00F536ED" w:rsidP="00A71365">
            <w:pPr>
              <w:pStyle w:val="Tablewriting"/>
              <w:rPr>
                <w:rFonts w:eastAsia="MS Mincho" w:cstheme="minorHAnsi"/>
              </w:rPr>
            </w:pPr>
            <w:r w:rsidRPr="003A1845">
              <w:rPr>
                <w:rFonts w:eastAsia="MS Mincho" w:cstheme="minorHAnsi"/>
              </w:rPr>
              <w:t>N=</w:t>
            </w:r>
            <w:r w:rsidR="0094402C">
              <w:rPr>
                <w:rFonts w:eastAsia="MS Mincho" w:cstheme="minorHAnsi"/>
              </w:rPr>
              <w:t>96</w:t>
            </w:r>
          </w:p>
        </w:tc>
        <w:tc>
          <w:tcPr>
            <w:tcW w:w="1176" w:type="pct"/>
          </w:tcPr>
          <w:p w:rsidR="001F3CEC" w:rsidRPr="00EE6468" w:rsidRDefault="00A240C5" w:rsidP="00A71365">
            <w:pPr>
              <w:rPr>
                <w:rFonts w:ascii="Times New Roman" w:hAnsi="Times New Roman"/>
              </w:rPr>
            </w:pPr>
            <w:r>
              <w:rPr>
                <w:rFonts w:eastAsia="MS Mincho" w:cstheme="minorHAnsi"/>
              </w:rPr>
              <w:t>A</w:t>
            </w:r>
            <w:r w:rsidR="001F3CEC" w:rsidRPr="001F3CEC">
              <w:rPr>
                <w:rFonts w:eastAsia="MS Mincho" w:cstheme="minorHAnsi"/>
              </w:rPr>
              <w:t>lcohol-dependent tobacco smokers (</w:t>
            </w:r>
            <w:r w:rsidR="00995C08">
              <w:rPr>
                <w:rFonts w:ascii="Arial" w:hAnsi="Arial" w:cs="Arial"/>
                <w:color w:val="202124"/>
                <w:sz w:val="21"/>
                <w:szCs w:val="21"/>
                <w:shd w:val="clear" w:color="auto" w:fill="FFFFFF"/>
              </w:rPr>
              <w:t>≥</w:t>
            </w:r>
            <w:r w:rsidR="00EE6468">
              <w:rPr>
                <w:rFonts w:ascii="Arial" w:hAnsi="Arial" w:cs="Arial"/>
                <w:color w:val="202124"/>
                <w:sz w:val="21"/>
                <w:szCs w:val="21"/>
                <w:shd w:val="clear" w:color="auto" w:fill="FFFFFF"/>
              </w:rPr>
              <w:t xml:space="preserve"> </w:t>
            </w:r>
            <w:r w:rsidR="001F3CEC" w:rsidRPr="001F3CEC">
              <w:rPr>
                <w:rFonts w:eastAsia="MS Mincho" w:cstheme="minorHAnsi"/>
              </w:rPr>
              <w:t xml:space="preserve">15 </w:t>
            </w:r>
            <w:r w:rsidR="00EE6468">
              <w:rPr>
                <w:rFonts w:eastAsia="MS Mincho" w:cstheme="minorHAnsi"/>
              </w:rPr>
              <w:t>CPD</w:t>
            </w:r>
            <w:r w:rsidR="001F3CEC" w:rsidRPr="001F3CEC">
              <w:rPr>
                <w:rFonts w:eastAsia="MS Mincho" w:cstheme="minorHAnsi"/>
              </w:rPr>
              <w:t>)</w:t>
            </w:r>
            <w:r w:rsidR="00EE6468">
              <w:rPr>
                <w:rFonts w:eastAsia="MS Mincho" w:cstheme="minorHAnsi"/>
              </w:rPr>
              <w:t>.</w:t>
            </w:r>
          </w:p>
          <w:p w:rsidR="00F536ED" w:rsidRPr="00017AE6" w:rsidRDefault="001F3CEC" w:rsidP="00A71365">
            <w:pPr>
              <w:pStyle w:val="Tablewriting"/>
              <w:rPr>
                <w:rFonts w:eastAsia="MS Mincho" w:cstheme="minorHAnsi"/>
              </w:rPr>
            </w:pPr>
            <w:r w:rsidRPr="001F3CEC">
              <w:rPr>
                <w:rFonts w:eastAsia="MS Mincho" w:cstheme="minorHAnsi"/>
              </w:rPr>
              <w:t>75% men, av</w:t>
            </w:r>
            <w:r w:rsidR="004553CF">
              <w:rPr>
                <w:rFonts w:eastAsia="MS Mincho" w:cstheme="minorHAnsi"/>
              </w:rPr>
              <w:t xml:space="preserve">erage </w:t>
            </w:r>
            <w:r w:rsidRPr="001F3CEC">
              <w:rPr>
                <w:rFonts w:eastAsia="MS Mincho" w:cstheme="minorHAnsi"/>
              </w:rPr>
              <w:t>age 45</w:t>
            </w:r>
            <w:r w:rsidR="004553CF">
              <w:rPr>
                <w:rFonts w:eastAsia="MS Mincho" w:cstheme="minorHAnsi"/>
              </w:rPr>
              <w:t xml:space="preserve"> years</w:t>
            </w:r>
            <w:r w:rsidRPr="001F3CEC">
              <w:rPr>
                <w:rFonts w:eastAsia="MS Mincho" w:cstheme="minorHAnsi"/>
              </w:rPr>
              <w:t>, av</w:t>
            </w:r>
            <w:r w:rsidR="004553CF">
              <w:rPr>
                <w:rFonts w:eastAsia="MS Mincho" w:cstheme="minorHAnsi"/>
              </w:rPr>
              <w:t>erage</w:t>
            </w:r>
            <w:r w:rsidR="00EE6468">
              <w:rPr>
                <w:rFonts w:eastAsia="MS Mincho" w:cstheme="minorHAnsi"/>
              </w:rPr>
              <w:t xml:space="preserve"> CPD</w:t>
            </w:r>
            <w:r w:rsidRPr="001F3CEC">
              <w:rPr>
                <w:rFonts w:eastAsia="MS Mincho" w:cstheme="minorHAnsi"/>
              </w:rPr>
              <w:t xml:space="preserve"> 25, motivated to quit, av</w:t>
            </w:r>
            <w:r w:rsidR="004553CF">
              <w:rPr>
                <w:rFonts w:eastAsia="MS Mincho" w:cstheme="minorHAnsi"/>
              </w:rPr>
              <w:t>erage</w:t>
            </w:r>
            <w:r w:rsidRPr="001F3CEC">
              <w:rPr>
                <w:rFonts w:eastAsia="MS Mincho" w:cstheme="minorHAnsi"/>
              </w:rPr>
              <w:t xml:space="preserve"> FTND 6, 31% veterans</w:t>
            </w:r>
            <w:r w:rsidR="00EE6468">
              <w:rPr>
                <w:rFonts w:eastAsia="MS Mincho" w:cstheme="minorHAnsi"/>
              </w:rPr>
              <w:t>.</w:t>
            </w:r>
          </w:p>
        </w:tc>
        <w:tc>
          <w:tcPr>
            <w:tcW w:w="1295" w:type="pct"/>
          </w:tcPr>
          <w:p w:rsidR="002B7BFD" w:rsidRPr="002B7BFD" w:rsidRDefault="002B7BFD" w:rsidP="00C324F3">
            <w:pPr>
              <w:pStyle w:val="Tablewriting"/>
              <w:numPr>
                <w:ilvl w:val="0"/>
                <w:numId w:val="173"/>
              </w:numPr>
              <w:rPr>
                <w:rFonts w:eastAsia="MS Mincho" w:cstheme="minorHAnsi"/>
              </w:rPr>
            </w:pPr>
            <w:r w:rsidRPr="002B7BFD">
              <w:rPr>
                <w:rFonts w:eastAsia="MS Mincho" w:cstheme="minorHAnsi"/>
              </w:rPr>
              <w:t>Nicotine patch (titrated,</w:t>
            </w:r>
            <w:r w:rsidR="001038B5">
              <w:rPr>
                <w:rFonts w:eastAsia="MS Mincho" w:cstheme="minorHAnsi"/>
              </w:rPr>
              <w:t xml:space="preserve"> </w:t>
            </w:r>
            <w:r w:rsidRPr="002B7BFD">
              <w:rPr>
                <w:rFonts w:eastAsia="MS Mincho" w:cstheme="minorHAnsi"/>
              </w:rPr>
              <w:t xml:space="preserve">21 mg/d for 8 </w:t>
            </w:r>
            <w:r w:rsidR="001038B5">
              <w:rPr>
                <w:rFonts w:eastAsia="MS Mincho" w:cstheme="minorHAnsi"/>
              </w:rPr>
              <w:t>w</w:t>
            </w:r>
            <w:r w:rsidR="004553CF">
              <w:rPr>
                <w:rFonts w:eastAsia="MS Mincho" w:cstheme="minorHAnsi"/>
              </w:rPr>
              <w:t>ee</w:t>
            </w:r>
            <w:r w:rsidR="001038B5">
              <w:rPr>
                <w:rFonts w:eastAsia="MS Mincho" w:cstheme="minorHAnsi"/>
              </w:rPr>
              <w:t>ks</w:t>
            </w:r>
            <w:r w:rsidRPr="002B7BFD">
              <w:rPr>
                <w:rFonts w:eastAsia="MS Mincho" w:cstheme="minorHAnsi"/>
              </w:rPr>
              <w:t>, 14 mg/d for 2 w</w:t>
            </w:r>
            <w:r w:rsidR="004553CF">
              <w:rPr>
                <w:rFonts w:eastAsia="MS Mincho" w:cstheme="minorHAnsi"/>
              </w:rPr>
              <w:t>ee</w:t>
            </w:r>
            <w:r w:rsidRPr="002B7BFD">
              <w:rPr>
                <w:rFonts w:eastAsia="MS Mincho" w:cstheme="minorHAnsi"/>
              </w:rPr>
              <w:t>ks, 7 mg/d</w:t>
            </w:r>
            <w:r w:rsidR="001038B5">
              <w:rPr>
                <w:rFonts w:eastAsia="MS Mincho" w:cstheme="minorHAnsi"/>
              </w:rPr>
              <w:t xml:space="preserve"> </w:t>
            </w:r>
            <w:r w:rsidRPr="002B7BFD">
              <w:rPr>
                <w:rFonts w:eastAsia="MS Mincho" w:cstheme="minorHAnsi"/>
              </w:rPr>
              <w:t>for 2 w</w:t>
            </w:r>
            <w:r w:rsidR="004553CF">
              <w:rPr>
                <w:rFonts w:eastAsia="MS Mincho" w:cstheme="minorHAnsi"/>
              </w:rPr>
              <w:t>ee</w:t>
            </w:r>
            <w:r w:rsidRPr="002B7BFD">
              <w:rPr>
                <w:rFonts w:eastAsia="MS Mincho" w:cstheme="minorHAnsi"/>
              </w:rPr>
              <w:t>ks) + nicotine gum (2 mg</w:t>
            </w:r>
          </w:p>
          <w:p w:rsidR="002B7BFD" w:rsidRPr="002B7BFD" w:rsidRDefault="002B7BFD" w:rsidP="00A71365">
            <w:pPr>
              <w:pStyle w:val="Tablewriting"/>
              <w:ind w:left="360"/>
              <w:rPr>
                <w:rFonts w:eastAsia="MS Mincho" w:cstheme="minorHAnsi"/>
              </w:rPr>
            </w:pPr>
            <w:r w:rsidRPr="002B7BFD">
              <w:rPr>
                <w:rFonts w:eastAsia="MS Mincho" w:cstheme="minorHAnsi"/>
              </w:rPr>
              <w:t>for 24 w</w:t>
            </w:r>
            <w:r w:rsidR="004553CF">
              <w:rPr>
                <w:rFonts w:eastAsia="MS Mincho" w:cstheme="minorHAnsi"/>
              </w:rPr>
              <w:t>ee</w:t>
            </w:r>
            <w:r w:rsidRPr="002B7BFD">
              <w:rPr>
                <w:rFonts w:eastAsia="MS Mincho" w:cstheme="minorHAnsi"/>
              </w:rPr>
              <w:t>ks, ad lib but</w:t>
            </w:r>
            <w:r w:rsidR="001038B5">
              <w:rPr>
                <w:rFonts w:eastAsia="MS Mincho" w:cstheme="minorHAnsi"/>
              </w:rPr>
              <w:t xml:space="preserve"> </w:t>
            </w:r>
            <w:r w:rsidRPr="002B7BFD">
              <w:rPr>
                <w:rFonts w:eastAsia="MS Mincho" w:cstheme="minorHAnsi"/>
              </w:rPr>
              <w:t>advised 6 - 20/day)</w:t>
            </w:r>
            <w:r w:rsidR="004553CF">
              <w:rPr>
                <w:rFonts w:eastAsia="MS Mincho" w:cstheme="minorHAnsi"/>
              </w:rPr>
              <w:t>.</w:t>
            </w:r>
          </w:p>
          <w:p w:rsidR="00F536ED" w:rsidRPr="00017AE6" w:rsidRDefault="002B7BFD" w:rsidP="00C324F3">
            <w:pPr>
              <w:pStyle w:val="Tablewriting"/>
              <w:numPr>
                <w:ilvl w:val="0"/>
                <w:numId w:val="173"/>
              </w:numPr>
              <w:rPr>
                <w:rFonts w:eastAsia="MS Mincho" w:cstheme="minorHAnsi"/>
              </w:rPr>
            </w:pPr>
            <w:r w:rsidRPr="002B7BFD">
              <w:rPr>
                <w:rFonts w:eastAsia="MS Mincho" w:cstheme="minorHAnsi"/>
              </w:rPr>
              <w:t>Nicotine patch + placebo gum (doses as above)</w:t>
            </w:r>
            <w:r w:rsidR="004553CF">
              <w:rPr>
                <w:rFonts w:eastAsia="MS Mincho" w:cstheme="minorHAnsi"/>
              </w:rPr>
              <w:t>.</w:t>
            </w:r>
          </w:p>
        </w:tc>
        <w:tc>
          <w:tcPr>
            <w:tcW w:w="1008" w:type="pct"/>
          </w:tcPr>
          <w:p w:rsidR="006A52F2" w:rsidRDefault="00F536ED" w:rsidP="00A71365">
            <w:pPr>
              <w:pStyle w:val="Tablewriting"/>
              <w:rPr>
                <w:rFonts w:eastAsia="MS Mincho" w:cstheme="minorHAnsi"/>
              </w:rPr>
            </w:pPr>
            <w:r>
              <w:rPr>
                <w:rFonts w:eastAsia="MS Mincho" w:cstheme="minorHAnsi"/>
                <w:u w:val="single"/>
              </w:rPr>
              <w:t>Efficacy:</w:t>
            </w:r>
            <w:r w:rsidR="006A52F2">
              <w:t xml:space="preserve"> </w:t>
            </w:r>
            <w:r w:rsidR="006A52F2" w:rsidRPr="006A52F2">
              <w:rPr>
                <w:rFonts w:eastAsia="MS Mincho" w:cstheme="minorHAnsi"/>
              </w:rPr>
              <w:t>Continuous abstinence at 12 m</w:t>
            </w:r>
            <w:r w:rsidR="004553CF">
              <w:rPr>
                <w:rFonts w:eastAsia="MS Mincho" w:cstheme="minorHAnsi"/>
              </w:rPr>
              <w:t>onths</w:t>
            </w:r>
            <w:r w:rsidR="006A52F2" w:rsidRPr="006A52F2">
              <w:rPr>
                <w:rFonts w:eastAsia="MS Mincho" w:cstheme="minorHAnsi"/>
              </w:rPr>
              <w:t xml:space="preserve"> (with 30-day grace period immediately following quit date)</w:t>
            </w:r>
            <w:r w:rsidR="006A52F2">
              <w:rPr>
                <w:rFonts w:eastAsia="MS Mincho" w:cstheme="minorHAnsi"/>
              </w:rPr>
              <w:t>.</w:t>
            </w:r>
          </w:p>
          <w:p w:rsidR="006A52F2" w:rsidRPr="006A52F2" w:rsidRDefault="006A52F2" w:rsidP="00A71365">
            <w:pPr>
              <w:pStyle w:val="Tablewriting"/>
              <w:rPr>
                <w:rFonts w:eastAsia="MS Mincho" w:cstheme="minorHAnsi"/>
              </w:rPr>
            </w:pPr>
          </w:p>
          <w:p w:rsidR="006A52F2" w:rsidRDefault="006A52F2" w:rsidP="00A71365">
            <w:pPr>
              <w:pStyle w:val="Tablewriting"/>
              <w:rPr>
                <w:rFonts w:eastAsia="MS Mincho" w:cstheme="minorHAnsi"/>
              </w:rPr>
            </w:pPr>
            <w:r w:rsidRPr="006A52F2">
              <w:rPr>
                <w:rFonts w:eastAsia="MS Mincho" w:cstheme="minorHAnsi"/>
              </w:rPr>
              <w:t>Validation: CO &lt; 10 ppm</w:t>
            </w:r>
            <w:r>
              <w:rPr>
                <w:rFonts w:eastAsia="MS Mincho" w:cstheme="minorHAnsi"/>
              </w:rPr>
              <w:t>.</w:t>
            </w:r>
          </w:p>
          <w:p w:rsidR="006A52F2" w:rsidRPr="006A52F2" w:rsidRDefault="006A52F2" w:rsidP="00A71365">
            <w:pPr>
              <w:pStyle w:val="Tablewriting"/>
              <w:rPr>
                <w:rFonts w:eastAsia="MS Mincho" w:cstheme="minorHAnsi"/>
              </w:rPr>
            </w:pPr>
          </w:p>
          <w:p w:rsidR="00F536ED" w:rsidRDefault="00F536ED" w:rsidP="00A71365">
            <w:pPr>
              <w:pStyle w:val="Tablewriting"/>
              <w:rPr>
                <w:rFonts w:eastAsia="MS Mincho" w:cstheme="minorHAnsi"/>
                <w:u w:val="single"/>
              </w:rPr>
            </w:pPr>
          </w:p>
          <w:p w:rsidR="00293AA5" w:rsidRPr="006A52F2" w:rsidRDefault="00F536ED" w:rsidP="00A71365">
            <w:pPr>
              <w:pStyle w:val="Tablewriting"/>
              <w:rPr>
                <w:rFonts w:eastAsia="MS Mincho" w:cstheme="minorHAnsi"/>
              </w:rPr>
            </w:pPr>
            <w:r>
              <w:rPr>
                <w:rFonts w:eastAsia="MS Mincho" w:cstheme="minorHAnsi"/>
                <w:u w:val="single"/>
              </w:rPr>
              <w:t>Safety:</w:t>
            </w:r>
            <w:r w:rsidR="00293AA5">
              <w:rPr>
                <w:rFonts w:eastAsia="MS Mincho" w:cstheme="minorHAnsi"/>
                <w:u w:val="single"/>
              </w:rPr>
              <w:t xml:space="preserve"> </w:t>
            </w:r>
            <w:r w:rsidR="00293AA5" w:rsidRPr="006A52F2">
              <w:rPr>
                <w:rFonts w:eastAsia="MS Mincho" w:cstheme="minorHAnsi"/>
              </w:rPr>
              <w:t>Adverse events</w:t>
            </w:r>
            <w:r w:rsidR="00EE753D">
              <w:rPr>
                <w:rFonts w:eastAsia="MS Mincho" w:cstheme="minorHAnsi"/>
              </w:rPr>
              <w:t xml:space="preserve"> </w:t>
            </w:r>
            <w:r w:rsidR="00293AA5" w:rsidRPr="006A52F2">
              <w:rPr>
                <w:rFonts w:eastAsia="MS Mincho" w:cstheme="minorHAnsi"/>
              </w:rPr>
              <w:t>measured at 2 weeks, 3 months and 6 months (gum or placebo gum use continued until</w:t>
            </w:r>
          </w:p>
          <w:p w:rsidR="00F536ED" w:rsidRPr="004272CD" w:rsidRDefault="00293AA5" w:rsidP="00A71365">
            <w:pPr>
              <w:pStyle w:val="Tablewriting"/>
              <w:rPr>
                <w:rFonts w:eastAsia="MS Mincho" w:cstheme="minorHAnsi"/>
                <w:u w:val="single"/>
              </w:rPr>
            </w:pPr>
            <w:r w:rsidRPr="006A52F2">
              <w:rPr>
                <w:rFonts w:eastAsia="MS Mincho" w:cstheme="minorHAnsi"/>
              </w:rPr>
              <w:t>6 months)</w:t>
            </w:r>
            <w:r>
              <w:rPr>
                <w:rFonts w:eastAsia="MS Mincho" w:cstheme="minorHAnsi"/>
              </w:rPr>
              <w:t>.</w:t>
            </w:r>
          </w:p>
        </w:tc>
      </w:tr>
      <w:tr w:rsidR="00F536ED" w:rsidRPr="00017AE6" w:rsidTr="008E2AC2">
        <w:trPr>
          <w:trHeight w:val="99"/>
        </w:trPr>
        <w:tc>
          <w:tcPr>
            <w:tcW w:w="495" w:type="pct"/>
          </w:tcPr>
          <w:p w:rsidR="00F536ED" w:rsidRPr="00017AE6" w:rsidRDefault="00F536ED" w:rsidP="00A71365">
            <w:pPr>
              <w:pStyle w:val="Tablewriting"/>
              <w:rPr>
                <w:rFonts w:eastAsia="MS Mincho" w:cstheme="minorHAnsi"/>
              </w:rPr>
            </w:pPr>
            <w:r w:rsidRPr="00AF5460">
              <w:rPr>
                <w:rFonts w:eastAsia="MS Mincho" w:cstheme="minorHAnsi"/>
              </w:rPr>
              <w:t xml:space="preserve">Croghan </w:t>
            </w:r>
            <w:r w:rsidR="00991AC5">
              <w:rPr>
                <w:rFonts w:eastAsia="MS Mincho" w:cstheme="minorHAnsi"/>
              </w:rPr>
              <w:t>(</w:t>
            </w:r>
            <w:r w:rsidRPr="00AF5460">
              <w:rPr>
                <w:rFonts w:eastAsia="MS Mincho" w:cstheme="minorHAnsi"/>
              </w:rPr>
              <w:t>2003</w:t>
            </w:r>
            <w:r w:rsidR="00991AC5">
              <w:rPr>
                <w:rFonts w:eastAsia="MS Mincho" w:cstheme="minorHAnsi"/>
              </w:rPr>
              <w:t>)</w:t>
            </w:r>
          </w:p>
        </w:tc>
        <w:tc>
          <w:tcPr>
            <w:tcW w:w="234" w:type="pct"/>
          </w:tcPr>
          <w:p w:rsidR="00F536ED" w:rsidRPr="00017AE6" w:rsidRDefault="004810EB" w:rsidP="00A71365">
            <w:pPr>
              <w:pStyle w:val="Tablewriting"/>
              <w:rPr>
                <w:rFonts w:eastAsia="MS Mincho" w:cstheme="minorHAnsi"/>
              </w:rPr>
            </w:pPr>
            <w:r>
              <w:rPr>
                <w:rFonts w:eastAsia="MS Mincho" w:cstheme="minorHAnsi"/>
              </w:rPr>
              <w:t>RCT</w:t>
            </w:r>
          </w:p>
        </w:tc>
        <w:tc>
          <w:tcPr>
            <w:tcW w:w="433" w:type="pct"/>
          </w:tcPr>
          <w:p w:rsidR="00F536ED" w:rsidRPr="00017AE6" w:rsidRDefault="006B29DB" w:rsidP="00A71365">
            <w:pPr>
              <w:pStyle w:val="Tablewriting"/>
              <w:rPr>
                <w:rFonts w:eastAsia="MS Mincho" w:cstheme="minorHAnsi"/>
              </w:rPr>
            </w:pPr>
            <w:r>
              <w:rPr>
                <w:rFonts w:eastAsia="MS Mincho" w:cstheme="minorHAnsi"/>
              </w:rPr>
              <w:t>USA</w:t>
            </w:r>
          </w:p>
        </w:tc>
        <w:tc>
          <w:tcPr>
            <w:tcW w:w="358" w:type="pct"/>
          </w:tcPr>
          <w:p w:rsidR="00F536ED" w:rsidRPr="00017AE6" w:rsidRDefault="00F536ED" w:rsidP="00A71365">
            <w:pPr>
              <w:pStyle w:val="Tablewriting"/>
              <w:rPr>
                <w:rFonts w:eastAsia="MS Mincho" w:cstheme="minorHAnsi"/>
              </w:rPr>
            </w:pPr>
            <w:r w:rsidRPr="003A1845">
              <w:rPr>
                <w:rFonts w:eastAsia="MS Mincho" w:cstheme="minorHAnsi"/>
              </w:rPr>
              <w:t>N=</w:t>
            </w:r>
            <w:r w:rsidR="006B29DB">
              <w:rPr>
                <w:rFonts w:eastAsia="MS Mincho" w:cstheme="minorHAnsi"/>
              </w:rPr>
              <w:t>1384</w:t>
            </w:r>
          </w:p>
        </w:tc>
        <w:tc>
          <w:tcPr>
            <w:tcW w:w="1176" w:type="pct"/>
          </w:tcPr>
          <w:p w:rsidR="00F536ED" w:rsidRPr="00293AA5" w:rsidRDefault="00A240C5" w:rsidP="00A71365">
            <w:pPr>
              <w:rPr>
                <w:rFonts w:ascii="Times New Roman" w:hAnsi="Times New Roman"/>
              </w:rPr>
            </w:pPr>
            <w:r>
              <w:rPr>
                <w:rFonts w:eastAsia="MS Mincho" w:cstheme="minorHAnsi"/>
              </w:rPr>
              <w:t>S</w:t>
            </w:r>
            <w:r w:rsidR="00AD63BF" w:rsidRPr="00AD63BF">
              <w:rPr>
                <w:rFonts w:eastAsia="MS Mincho" w:cstheme="minorHAnsi"/>
              </w:rPr>
              <w:t>mokers (</w:t>
            </w:r>
            <w:r w:rsidR="00AD63BF">
              <w:rPr>
                <w:rFonts w:ascii="Arial" w:hAnsi="Arial" w:cs="Arial"/>
                <w:color w:val="202124"/>
                <w:sz w:val="21"/>
                <w:szCs w:val="21"/>
                <w:shd w:val="clear" w:color="auto" w:fill="FFFFFF"/>
              </w:rPr>
              <w:t xml:space="preserve">≥ </w:t>
            </w:r>
            <w:r w:rsidR="00AD63BF" w:rsidRPr="00AD63BF">
              <w:rPr>
                <w:rFonts w:eastAsia="MS Mincho" w:cstheme="minorHAnsi"/>
              </w:rPr>
              <w:t xml:space="preserve">15 </w:t>
            </w:r>
            <w:r w:rsidR="00AD63BF">
              <w:rPr>
                <w:rFonts w:eastAsia="MS Mincho" w:cstheme="minorHAnsi"/>
              </w:rPr>
              <w:t>CPD</w:t>
            </w:r>
            <w:r w:rsidR="00AD63BF" w:rsidRPr="00AD63BF">
              <w:rPr>
                <w:rFonts w:eastAsia="MS Mincho" w:cstheme="minorHAnsi"/>
              </w:rPr>
              <w:t>)</w:t>
            </w:r>
            <w:r w:rsidR="00293AA5">
              <w:rPr>
                <w:rFonts w:eastAsia="MS Mincho" w:cstheme="minorHAnsi"/>
              </w:rPr>
              <w:t xml:space="preserve">, </w:t>
            </w:r>
            <w:r w:rsidR="00AD63BF" w:rsidRPr="00AD63BF">
              <w:rPr>
                <w:rFonts w:eastAsia="MS Mincho" w:cstheme="minorHAnsi"/>
              </w:rPr>
              <w:t>42% men, av</w:t>
            </w:r>
            <w:r w:rsidR="00293AA5">
              <w:rPr>
                <w:rFonts w:eastAsia="MS Mincho" w:cstheme="minorHAnsi"/>
              </w:rPr>
              <w:t xml:space="preserve">erage </w:t>
            </w:r>
            <w:r w:rsidR="00AD63BF" w:rsidRPr="00AD63BF">
              <w:rPr>
                <w:rFonts w:eastAsia="MS Mincho" w:cstheme="minorHAnsi"/>
              </w:rPr>
              <w:t>age 42</w:t>
            </w:r>
            <w:r w:rsidR="00293AA5">
              <w:rPr>
                <w:rFonts w:eastAsia="MS Mincho" w:cstheme="minorHAnsi"/>
              </w:rPr>
              <w:t xml:space="preserve"> years</w:t>
            </w:r>
            <w:r w:rsidR="00AD63BF" w:rsidRPr="00AD63BF">
              <w:rPr>
                <w:rFonts w:eastAsia="MS Mincho" w:cstheme="minorHAnsi"/>
              </w:rPr>
              <w:t>, av</w:t>
            </w:r>
            <w:r w:rsidR="00293AA5">
              <w:rPr>
                <w:rFonts w:eastAsia="MS Mincho" w:cstheme="minorHAnsi"/>
              </w:rPr>
              <w:t>erage</w:t>
            </w:r>
            <w:r w:rsidR="00AD63BF" w:rsidRPr="00AD63BF">
              <w:rPr>
                <w:rFonts w:eastAsia="MS Mincho" w:cstheme="minorHAnsi"/>
              </w:rPr>
              <w:t xml:space="preserve"> </w:t>
            </w:r>
            <w:r w:rsidR="00AD63BF">
              <w:rPr>
                <w:rFonts w:eastAsia="MS Mincho" w:cstheme="minorHAnsi"/>
              </w:rPr>
              <w:t xml:space="preserve">CPD </w:t>
            </w:r>
            <w:r w:rsidR="00AD63BF" w:rsidRPr="00AD63BF">
              <w:rPr>
                <w:rFonts w:eastAsia="MS Mincho" w:cstheme="minorHAnsi"/>
              </w:rPr>
              <w:t>26</w:t>
            </w:r>
            <w:r w:rsidR="00293AA5">
              <w:rPr>
                <w:rFonts w:eastAsia="MS Mincho" w:cstheme="minorHAnsi"/>
              </w:rPr>
              <w:t>.</w:t>
            </w:r>
          </w:p>
        </w:tc>
        <w:tc>
          <w:tcPr>
            <w:tcW w:w="1295" w:type="pct"/>
          </w:tcPr>
          <w:p w:rsidR="008F0658" w:rsidRPr="008F0658" w:rsidRDefault="008F0658" w:rsidP="00C324F3">
            <w:pPr>
              <w:pStyle w:val="Tablewriting"/>
              <w:numPr>
                <w:ilvl w:val="0"/>
                <w:numId w:val="173"/>
              </w:numPr>
              <w:rPr>
                <w:rFonts w:eastAsia="MS Mincho" w:cstheme="minorHAnsi"/>
              </w:rPr>
            </w:pPr>
            <w:r w:rsidRPr="008F0658">
              <w:rPr>
                <w:rFonts w:eastAsia="MS Mincho" w:cstheme="minorHAnsi"/>
              </w:rPr>
              <w:t>15 mg/16-hour nicotine patch plus 0.5 mg/dose nasal spray, max 5/hr, 40/day, for 6 w</w:t>
            </w:r>
            <w:r>
              <w:rPr>
                <w:rFonts w:eastAsia="MS Mincho" w:cstheme="minorHAnsi"/>
              </w:rPr>
              <w:t>eeks</w:t>
            </w:r>
            <w:r w:rsidR="00EE753D">
              <w:rPr>
                <w:rFonts w:eastAsia="MS Mincho" w:cstheme="minorHAnsi"/>
              </w:rPr>
              <w:t>.</w:t>
            </w:r>
          </w:p>
          <w:p w:rsidR="008F0658" w:rsidRPr="008F0658" w:rsidRDefault="008F0658" w:rsidP="00C324F3">
            <w:pPr>
              <w:pStyle w:val="Tablewriting"/>
              <w:numPr>
                <w:ilvl w:val="0"/>
                <w:numId w:val="173"/>
              </w:numPr>
              <w:rPr>
                <w:rFonts w:eastAsia="MS Mincho" w:cstheme="minorHAnsi"/>
              </w:rPr>
            </w:pPr>
            <w:r w:rsidRPr="008F0658">
              <w:rPr>
                <w:rFonts w:eastAsia="MS Mincho" w:cstheme="minorHAnsi"/>
              </w:rPr>
              <w:t>Nicotine nasal spray only</w:t>
            </w:r>
            <w:r w:rsidR="00EE753D">
              <w:rPr>
                <w:rFonts w:eastAsia="MS Mincho" w:cstheme="minorHAnsi"/>
              </w:rPr>
              <w:t>.</w:t>
            </w:r>
          </w:p>
          <w:p w:rsidR="00F536ED" w:rsidRPr="00017AE6" w:rsidRDefault="008F0658" w:rsidP="00C324F3">
            <w:pPr>
              <w:pStyle w:val="Tablewriting"/>
              <w:numPr>
                <w:ilvl w:val="0"/>
                <w:numId w:val="173"/>
              </w:numPr>
              <w:rPr>
                <w:rFonts w:eastAsia="MS Mincho" w:cstheme="minorHAnsi"/>
              </w:rPr>
            </w:pPr>
            <w:r w:rsidRPr="008F0658">
              <w:rPr>
                <w:rFonts w:eastAsia="MS Mincho" w:cstheme="minorHAnsi"/>
              </w:rPr>
              <w:t xml:space="preserve"> Nicotine patch only</w:t>
            </w:r>
            <w:r w:rsidR="00EE753D">
              <w:rPr>
                <w:rFonts w:eastAsia="MS Mincho" w:cstheme="minorHAnsi"/>
              </w:rPr>
              <w:t>.</w:t>
            </w:r>
          </w:p>
        </w:tc>
        <w:tc>
          <w:tcPr>
            <w:tcW w:w="1008" w:type="pct"/>
          </w:tcPr>
          <w:p w:rsidR="008C2ADC" w:rsidRDefault="00F536ED" w:rsidP="00A71365">
            <w:pPr>
              <w:pStyle w:val="Tablewriting"/>
              <w:rPr>
                <w:rFonts w:eastAsia="MS Mincho" w:cstheme="minorHAnsi"/>
              </w:rPr>
            </w:pPr>
            <w:r>
              <w:rPr>
                <w:rFonts w:eastAsia="MS Mincho" w:cstheme="minorHAnsi"/>
                <w:u w:val="single"/>
              </w:rPr>
              <w:t>Efficacy:</w:t>
            </w:r>
            <w:r w:rsidR="008C2ADC">
              <w:t xml:space="preserve"> </w:t>
            </w:r>
            <w:r w:rsidR="008C2ADC" w:rsidRPr="008C2ADC">
              <w:rPr>
                <w:rFonts w:eastAsia="MS Mincho" w:cstheme="minorHAnsi"/>
              </w:rPr>
              <w:t>PPA at 6 m</w:t>
            </w:r>
            <w:r w:rsidR="00EE753D">
              <w:rPr>
                <w:rFonts w:eastAsia="MS Mincho" w:cstheme="minorHAnsi"/>
              </w:rPr>
              <w:t>onths</w:t>
            </w:r>
            <w:r w:rsidR="008C2ADC">
              <w:rPr>
                <w:rFonts w:eastAsia="MS Mincho" w:cstheme="minorHAnsi"/>
              </w:rPr>
              <w:t>.</w:t>
            </w:r>
          </w:p>
          <w:p w:rsidR="008C2ADC" w:rsidRDefault="008C2ADC" w:rsidP="00A71365">
            <w:pPr>
              <w:pStyle w:val="Tablewriting"/>
              <w:rPr>
                <w:rFonts w:eastAsia="MS Mincho" w:cstheme="minorHAnsi"/>
              </w:rPr>
            </w:pPr>
            <w:r w:rsidRPr="008C2ADC">
              <w:rPr>
                <w:rFonts w:eastAsia="MS Mincho" w:cstheme="minorHAnsi"/>
              </w:rPr>
              <w:t>Validation: CO</w:t>
            </w:r>
            <w:r w:rsidR="00EE753D">
              <w:rPr>
                <w:rFonts w:eastAsia="MS Mincho" w:cstheme="minorHAnsi"/>
              </w:rPr>
              <w:t>.</w:t>
            </w:r>
          </w:p>
          <w:p w:rsidR="008C2ADC" w:rsidRPr="008C2ADC" w:rsidRDefault="008C2ADC" w:rsidP="00A71365">
            <w:pPr>
              <w:pStyle w:val="Tablewriting"/>
              <w:rPr>
                <w:rFonts w:eastAsia="MS Mincho" w:cstheme="minorHAnsi"/>
              </w:rPr>
            </w:pPr>
          </w:p>
          <w:p w:rsidR="00F536ED" w:rsidRDefault="00F536ED" w:rsidP="00A71365">
            <w:pPr>
              <w:pStyle w:val="Tablewriting"/>
              <w:rPr>
                <w:rFonts w:eastAsia="MS Mincho" w:cstheme="minorHAnsi"/>
                <w:u w:val="single"/>
              </w:rPr>
            </w:pPr>
          </w:p>
          <w:p w:rsidR="00F536ED" w:rsidRDefault="00F536ED" w:rsidP="00A71365">
            <w:pPr>
              <w:pStyle w:val="Tablewriting"/>
              <w:rPr>
                <w:rFonts w:eastAsia="MS Mincho" w:cstheme="minorHAnsi"/>
                <w:u w:val="single"/>
              </w:rPr>
            </w:pPr>
          </w:p>
          <w:p w:rsidR="00EE753D" w:rsidRPr="008C2ADC" w:rsidRDefault="00F536ED" w:rsidP="00A71365">
            <w:pPr>
              <w:pStyle w:val="Tablewriting"/>
              <w:rPr>
                <w:rFonts w:eastAsia="MS Mincho" w:cstheme="minorHAnsi"/>
              </w:rPr>
            </w:pPr>
            <w:r>
              <w:rPr>
                <w:rFonts w:eastAsia="MS Mincho" w:cstheme="minorHAnsi"/>
                <w:u w:val="single"/>
              </w:rPr>
              <w:t>Safety:</w:t>
            </w:r>
            <w:r w:rsidR="00EE753D">
              <w:rPr>
                <w:rFonts w:eastAsia="MS Mincho" w:cstheme="minorHAnsi"/>
                <w:u w:val="single"/>
              </w:rPr>
              <w:t xml:space="preserve"> </w:t>
            </w:r>
            <w:r w:rsidR="00EE753D" w:rsidRPr="008C2ADC">
              <w:rPr>
                <w:rFonts w:eastAsia="MS Mincho" w:cstheme="minorHAnsi"/>
              </w:rPr>
              <w:t>Adverse events</w:t>
            </w:r>
            <w:r w:rsidR="00EE753D">
              <w:rPr>
                <w:rFonts w:eastAsia="MS Mincho" w:cstheme="minorHAnsi"/>
              </w:rPr>
              <w:t xml:space="preserve"> </w:t>
            </w:r>
            <w:r w:rsidR="00EE753D" w:rsidRPr="008C2ADC">
              <w:rPr>
                <w:rFonts w:eastAsia="MS Mincho" w:cstheme="minorHAnsi"/>
              </w:rPr>
              <w:t>measured to 6 months (treatment duration was 6 weeks)</w:t>
            </w:r>
            <w:r w:rsidR="00EE753D">
              <w:rPr>
                <w:rFonts w:eastAsia="MS Mincho" w:cstheme="minorHAnsi"/>
              </w:rPr>
              <w:t>.</w:t>
            </w:r>
          </w:p>
          <w:p w:rsidR="00F536ED" w:rsidRPr="004272CD" w:rsidRDefault="00F536ED" w:rsidP="00A71365">
            <w:pPr>
              <w:pStyle w:val="Tablewriting"/>
              <w:rPr>
                <w:rFonts w:eastAsia="MS Mincho" w:cstheme="minorHAnsi"/>
                <w:u w:val="single"/>
              </w:rPr>
            </w:pPr>
          </w:p>
        </w:tc>
      </w:tr>
      <w:tr w:rsidR="00F536ED" w:rsidRPr="00017AE6" w:rsidTr="008E2AC2">
        <w:trPr>
          <w:trHeight w:val="99"/>
        </w:trPr>
        <w:tc>
          <w:tcPr>
            <w:tcW w:w="495" w:type="pct"/>
          </w:tcPr>
          <w:p w:rsidR="00F536ED" w:rsidRPr="00017AE6" w:rsidRDefault="00F536ED" w:rsidP="00A71365">
            <w:pPr>
              <w:pStyle w:val="Tablewriting"/>
              <w:rPr>
                <w:rFonts w:eastAsia="MS Mincho" w:cstheme="minorHAnsi"/>
              </w:rPr>
            </w:pPr>
            <w:r w:rsidRPr="00AF5460">
              <w:rPr>
                <w:rFonts w:eastAsia="MS Mincho" w:cstheme="minorHAnsi"/>
              </w:rPr>
              <w:t xml:space="preserve">Kornitzer </w:t>
            </w:r>
            <w:r w:rsidR="00991AC5">
              <w:rPr>
                <w:rFonts w:eastAsia="MS Mincho" w:cstheme="minorHAnsi"/>
              </w:rPr>
              <w:t>(</w:t>
            </w:r>
            <w:r w:rsidRPr="00AF5460">
              <w:rPr>
                <w:rFonts w:eastAsia="MS Mincho" w:cstheme="minorHAnsi"/>
              </w:rPr>
              <w:t>1995</w:t>
            </w:r>
            <w:r w:rsidR="00991AC5">
              <w:rPr>
                <w:rFonts w:eastAsia="MS Mincho" w:cstheme="minorHAnsi"/>
              </w:rPr>
              <w:t>)</w:t>
            </w:r>
          </w:p>
        </w:tc>
        <w:tc>
          <w:tcPr>
            <w:tcW w:w="234" w:type="pct"/>
          </w:tcPr>
          <w:p w:rsidR="00F536ED" w:rsidRPr="00017AE6" w:rsidRDefault="004810EB" w:rsidP="00A71365">
            <w:pPr>
              <w:pStyle w:val="Tablewriting"/>
              <w:rPr>
                <w:rFonts w:eastAsia="MS Mincho" w:cstheme="minorHAnsi"/>
              </w:rPr>
            </w:pPr>
            <w:r>
              <w:rPr>
                <w:rFonts w:eastAsia="MS Mincho" w:cstheme="minorHAnsi"/>
              </w:rPr>
              <w:t>RCT</w:t>
            </w:r>
          </w:p>
        </w:tc>
        <w:tc>
          <w:tcPr>
            <w:tcW w:w="433" w:type="pct"/>
          </w:tcPr>
          <w:p w:rsidR="00F536ED" w:rsidRPr="00017AE6" w:rsidRDefault="00AC1128" w:rsidP="00A71365">
            <w:pPr>
              <w:pStyle w:val="Tablewriting"/>
              <w:rPr>
                <w:rFonts w:eastAsia="MS Mincho" w:cstheme="minorHAnsi"/>
              </w:rPr>
            </w:pPr>
            <w:r w:rsidRPr="00AC1128">
              <w:rPr>
                <w:rFonts w:eastAsia="MS Mincho" w:cstheme="minorHAnsi"/>
              </w:rPr>
              <w:t>Belgium</w:t>
            </w:r>
          </w:p>
        </w:tc>
        <w:tc>
          <w:tcPr>
            <w:tcW w:w="358" w:type="pct"/>
          </w:tcPr>
          <w:p w:rsidR="00F536ED" w:rsidRPr="00017AE6" w:rsidRDefault="00F536ED" w:rsidP="00A71365">
            <w:pPr>
              <w:pStyle w:val="Tablewriting"/>
              <w:rPr>
                <w:rFonts w:eastAsia="MS Mincho" w:cstheme="minorHAnsi"/>
              </w:rPr>
            </w:pPr>
            <w:r w:rsidRPr="003A1845">
              <w:rPr>
                <w:rFonts w:eastAsia="MS Mincho" w:cstheme="minorHAnsi"/>
              </w:rPr>
              <w:t>N=</w:t>
            </w:r>
            <w:r w:rsidR="00AC1128">
              <w:rPr>
                <w:rFonts w:eastAsia="MS Mincho" w:cstheme="minorHAnsi"/>
              </w:rPr>
              <w:t>374</w:t>
            </w:r>
          </w:p>
        </w:tc>
        <w:tc>
          <w:tcPr>
            <w:tcW w:w="1176" w:type="pct"/>
          </w:tcPr>
          <w:p w:rsidR="00EF0481" w:rsidRPr="00EF0481" w:rsidRDefault="00A240C5" w:rsidP="00A71365">
            <w:pPr>
              <w:pStyle w:val="Tablewriting"/>
              <w:rPr>
                <w:rFonts w:eastAsia="MS Mincho" w:cstheme="minorHAnsi"/>
              </w:rPr>
            </w:pPr>
            <w:r>
              <w:rPr>
                <w:rFonts w:eastAsia="MS Mincho" w:cstheme="minorHAnsi"/>
              </w:rPr>
              <w:t>H</w:t>
            </w:r>
            <w:r w:rsidR="00EF0481" w:rsidRPr="00EF0481">
              <w:rPr>
                <w:rFonts w:eastAsia="MS Mincho" w:cstheme="minorHAnsi"/>
              </w:rPr>
              <w:t xml:space="preserve">ealthy smokers (&gt; 10 </w:t>
            </w:r>
            <w:r w:rsidR="00EF0481">
              <w:rPr>
                <w:rFonts w:eastAsia="MS Mincho" w:cstheme="minorHAnsi"/>
              </w:rPr>
              <w:t>CPD</w:t>
            </w:r>
            <w:r w:rsidR="00EF0481" w:rsidRPr="00EF0481">
              <w:rPr>
                <w:rFonts w:eastAsia="MS Mincho" w:cstheme="minorHAnsi"/>
              </w:rPr>
              <w:t xml:space="preserve"> for &gt; 3 </w:t>
            </w:r>
            <w:r w:rsidR="00EF0481">
              <w:rPr>
                <w:rFonts w:eastAsia="MS Mincho" w:cstheme="minorHAnsi"/>
              </w:rPr>
              <w:t>year</w:t>
            </w:r>
            <w:r w:rsidR="00EF0481" w:rsidRPr="00EF0481">
              <w:rPr>
                <w:rFonts w:eastAsia="MS Mincho" w:cstheme="minorHAnsi"/>
              </w:rPr>
              <w:t>s), motivated to quit</w:t>
            </w:r>
          </w:p>
          <w:p w:rsidR="00F536ED" w:rsidRPr="00017AE6" w:rsidRDefault="00EF0481" w:rsidP="00A71365">
            <w:pPr>
              <w:pStyle w:val="Tablewriting"/>
              <w:rPr>
                <w:rFonts w:eastAsia="MS Mincho" w:cstheme="minorHAnsi"/>
              </w:rPr>
            </w:pPr>
            <w:r w:rsidRPr="00EF0481">
              <w:rPr>
                <w:rFonts w:eastAsia="MS Mincho" w:cstheme="minorHAnsi"/>
              </w:rPr>
              <w:t>61% men, av</w:t>
            </w:r>
            <w:r w:rsidR="001E1C99">
              <w:rPr>
                <w:rFonts w:eastAsia="MS Mincho" w:cstheme="minorHAnsi"/>
              </w:rPr>
              <w:t>erage</w:t>
            </w:r>
            <w:r w:rsidRPr="00EF0481">
              <w:rPr>
                <w:rFonts w:eastAsia="MS Mincho" w:cstheme="minorHAnsi"/>
              </w:rPr>
              <w:t xml:space="preserve"> age 40</w:t>
            </w:r>
            <w:r w:rsidR="001E1C99">
              <w:rPr>
                <w:rFonts w:eastAsia="MS Mincho" w:cstheme="minorHAnsi"/>
              </w:rPr>
              <w:t xml:space="preserve"> years</w:t>
            </w:r>
            <w:r w:rsidRPr="00EF0481">
              <w:rPr>
                <w:rFonts w:eastAsia="MS Mincho" w:cstheme="minorHAnsi"/>
              </w:rPr>
              <w:t>, av</w:t>
            </w:r>
            <w:r w:rsidR="001E1C99">
              <w:rPr>
                <w:rFonts w:eastAsia="MS Mincho" w:cstheme="minorHAnsi"/>
              </w:rPr>
              <w:t xml:space="preserve">erage </w:t>
            </w:r>
            <w:r>
              <w:rPr>
                <w:rFonts w:eastAsia="MS Mincho" w:cstheme="minorHAnsi"/>
              </w:rPr>
              <w:t>CPD</w:t>
            </w:r>
            <w:r w:rsidRPr="00EF0481">
              <w:rPr>
                <w:rFonts w:eastAsia="MS Mincho" w:cstheme="minorHAnsi"/>
              </w:rPr>
              <w:t xml:space="preserve"> 25</w:t>
            </w:r>
            <w:r>
              <w:rPr>
                <w:rFonts w:eastAsia="MS Mincho" w:cstheme="minorHAnsi"/>
              </w:rPr>
              <w:t>.</w:t>
            </w:r>
          </w:p>
        </w:tc>
        <w:tc>
          <w:tcPr>
            <w:tcW w:w="1295" w:type="pct"/>
          </w:tcPr>
          <w:p w:rsidR="00EB011F" w:rsidRPr="00EB011F" w:rsidRDefault="00EB011F" w:rsidP="00C324F3">
            <w:pPr>
              <w:pStyle w:val="Tablewriting"/>
              <w:numPr>
                <w:ilvl w:val="0"/>
                <w:numId w:val="174"/>
              </w:numPr>
              <w:rPr>
                <w:rFonts w:eastAsia="MS Mincho" w:cstheme="minorHAnsi"/>
              </w:rPr>
            </w:pPr>
            <w:r w:rsidRPr="00EB011F">
              <w:rPr>
                <w:rFonts w:eastAsia="MS Mincho" w:cstheme="minorHAnsi"/>
              </w:rPr>
              <w:t>Nicotine patch (12 w</w:t>
            </w:r>
            <w:r>
              <w:rPr>
                <w:rFonts w:eastAsia="MS Mincho" w:cstheme="minorHAnsi"/>
              </w:rPr>
              <w:t>ee</w:t>
            </w:r>
            <w:r w:rsidRPr="00EB011F">
              <w:rPr>
                <w:rFonts w:eastAsia="MS Mincho" w:cstheme="minorHAnsi"/>
              </w:rPr>
              <w:t>ks 15 mg/16hr, 6 w</w:t>
            </w:r>
            <w:r>
              <w:rPr>
                <w:rFonts w:eastAsia="MS Mincho" w:cstheme="minorHAnsi"/>
              </w:rPr>
              <w:t>ee</w:t>
            </w:r>
            <w:r w:rsidRPr="00EB011F">
              <w:rPr>
                <w:rFonts w:eastAsia="MS Mincho" w:cstheme="minorHAnsi"/>
              </w:rPr>
              <w:t>ks 10 mg, 6</w:t>
            </w:r>
            <w:r>
              <w:rPr>
                <w:rFonts w:eastAsia="MS Mincho" w:cstheme="minorHAnsi"/>
              </w:rPr>
              <w:t xml:space="preserve"> </w:t>
            </w:r>
            <w:r w:rsidRPr="00EB011F">
              <w:rPr>
                <w:rFonts w:eastAsia="MS Mincho" w:cstheme="minorHAnsi"/>
              </w:rPr>
              <w:t>w</w:t>
            </w:r>
            <w:r>
              <w:rPr>
                <w:rFonts w:eastAsia="MS Mincho" w:cstheme="minorHAnsi"/>
              </w:rPr>
              <w:t>ee</w:t>
            </w:r>
            <w:r w:rsidRPr="00EB011F">
              <w:rPr>
                <w:rFonts w:eastAsia="MS Mincho" w:cstheme="minorHAnsi"/>
              </w:rPr>
              <w:t>ks</w:t>
            </w:r>
            <w:r>
              <w:rPr>
                <w:rFonts w:eastAsia="MS Mincho" w:cstheme="minorHAnsi"/>
              </w:rPr>
              <w:t xml:space="preserve"> </w:t>
            </w:r>
            <w:r w:rsidRPr="00EB011F">
              <w:rPr>
                <w:rFonts w:eastAsia="MS Mincho" w:cstheme="minorHAnsi"/>
              </w:rPr>
              <w:t>5 mg) and nicotine</w:t>
            </w:r>
            <w:r>
              <w:rPr>
                <w:rFonts w:eastAsia="MS Mincho" w:cstheme="minorHAnsi"/>
              </w:rPr>
              <w:t xml:space="preserve"> </w:t>
            </w:r>
            <w:r w:rsidRPr="00EB011F">
              <w:rPr>
                <w:rFonts w:eastAsia="MS Mincho" w:cstheme="minorHAnsi"/>
              </w:rPr>
              <w:t>gum (2 mg, as</w:t>
            </w:r>
            <w:r>
              <w:rPr>
                <w:rFonts w:eastAsia="MS Mincho" w:cstheme="minorHAnsi"/>
              </w:rPr>
              <w:t xml:space="preserve"> r</w:t>
            </w:r>
            <w:r w:rsidRPr="00EB011F">
              <w:rPr>
                <w:rFonts w:eastAsia="MS Mincho" w:cstheme="minorHAnsi"/>
              </w:rPr>
              <w:t>equired)</w:t>
            </w:r>
            <w:r>
              <w:rPr>
                <w:rFonts w:eastAsia="MS Mincho" w:cstheme="minorHAnsi"/>
              </w:rPr>
              <w:t>.</w:t>
            </w:r>
          </w:p>
          <w:p w:rsidR="00EB011F" w:rsidRPr="00EB011F" w:rsidRDefault="00EB011F" w:rsidP="00C324F3">
            <w:pPr>
              <w:pStyle w:val="Tablewriting"/>
              <w:numPr>
                <w:ilvl w:val="0"/>
                <w:numId w:val="174"/>
              </w:numPr>
              <w:rPr>
                <w:rFonts w:eastAsia="MS Mincho" w:cstheme="minorHAnsi"/>
              </w:rPr>
            </w:pPr>
            <w:r w:rsidRPr="00EB011F">
              <w:rPr>
                <w:rFonts w:eastAsia="MS Mincho" w:cstheme="minorHAnsi"/>
              </w:rPr>
              <w:t>Nicotine patch and</w:t>
            </w:r>
            <w:r>
              <w:rPr>
                <w:rFonts w:eastAsia="MS Mincho" w:cstheme="minorHAnsi"/>
              </w:rPr>
              <w:t xml:space="preserve"> </w:t>
            </w:r>
            <w:r w:rsidRPr="00EB011F">
              <w:rPr>
                <w:rFonts w:eastAsia="MS Mincho" w:cstheme="minorHAnsi"/>
              </w:rPr>
              <w:t>placebo gum</w:t>
            </w:r>
            <w:r>
              <w:rPr>
                <w:rFonts w:eastAsia="MS Mincho" w:cstheme="minorHAnsi"/>
              </w:rPr>
              <w:t>.</w:t>
            </w:r>
          </w:p>
          <w:p w:rsidR="00F536ED" w:rsidRPr="00017AE6" w:rsidRDefault="00EB011F" w:rsidP="00C324F3">
            <w:pPr>
              <w:pStyle w:val="Tablewriting"/>
              <w:numPr>
                <w:ilvl w:val="0"/>
                <w:numId w:val="174"/>
              </w:numPr>
              <w:rPr>
                <w:rFonts w:eastAsia="MS Mincho" w:cstheme="minorHAnsi"/>
              </w:rPr>
            </w:pPr>
            <w:r w:rsidRPr="00EB011F">
              <w:rPr>
                <w:rFonts w:eastAsia="MS Mincho" w:cstheme="minorHAnsi"/>
              </w:rPr>
              <w:t>3. Placebo patch and placebo gum.</w:t>
            </w:r>
          </w:p>
        </w:tc>
        <w:tc>
          <w:tcPr>
            <w:tcW w:w="1008" w:type="pct"/>
          </w:tcPr>
          <w:p w:rsidR="006B52BC" w:rsidRDefault="00F536ED" w:rsidP="00A71365">
            <w:pPr>
              <w:pStyle w:val="Tablewriting"/>
              <w:rPr>
                <w:rFonts w:eastAsia="MS Mincho" w:cstheme="minorHAnsi"/>
              </w:rPr>
            </w:pPr>
            <w:r>
              <w:rPr>
                <w:rFonts w:eastAsia="MS Mincho" w:cstheme="minorHAnsi"/>
                <w:u w:val="single"/>
              </w:rPr>
              <w:t>Efficacy:</w:t>
            </w:r>
            <w:r w:rsidR="006B52BC">
              <w:rPr>
                <w:rFonts w:eastAsia="MS Mincho" w:cstheme="minorHAnsi"/>
                <w:u w:val="single"/>
              </w:rPr>
              <w:t xml:space="preserve"> </w:t>
            </w:r>
            <w:r w:rsidR="006B52BC" w:rsidRPr="006B52BC">
              <w:rPr>
                <w:rFonts w:eastAsia="MS Mincho" w:cstheme="minorHAnsi"/>
              </w:rPr>
              <w:t>Sustained abstinence at 12 m</w:t>
            </w:r>
            <w:r w:rsidR="001E2341">
              <w:rPr>
                <w:rFonts w:eastAsia="MS Mincho" w:cstheme="minorHAnsi"/>
              </w:rPr>
              <w:t>onths</w:t>
            </w:r>
            <w:r w:rsidR="006B52BC">
              <w:rPr>
                <w:rFonts w:eastAsia="MS Mincho" w:cstheme="minorHAnsi"/>
              </w:rPr>
              <w:t>.</w:t>
            </w:r>
          </w:p>
          <w:p w:rsidR="006B52BC" w:rsidRPr="006B52BC" w:rsidRDefault="006B52BC" w:rsidP="00A71365">
            <w:pPr>
              <w:pStyle w:val="Tablewriting"/>
              <w:rPr>
                <w:rFonts w:eastAsia="MS Mincho" w:cstheme="minorHAnsi"/>
              </w:rPr>
            </w:pPr>
          </w:p>
          <w:p w:rsidR="006B52BC" w:rsidRDefault="006B52BC" w:rsidP="00A71365">
            <w:pPr>
              <w:pStyle w:val="Tablewriting"/>
              <w:rPr>
                <w:rFonts w:eastAsia="MS Mincho" w:cstheme="minorHAnsi"/>
              </w:rPr>
            </w:pPr>
            <w:r w:rsidRPr="006B52BC">
              <w:rPr>
                <w:rFonts w:eastAsia="MS Mincho" w:cstheme="minorHAnsi"/>
              </w:rPr>
              <w:t>Validation: CO &lt; 10 ppm</w:t>
            </w:r>
            <w:r>
              <w:rPr>
                <w:rFonts w:eastAsia="MS Mincho" w:cstheme="minorHAnsi"/>
              </w:rPr>
              <w:t>.</w:t>
            </w:r>
          </w:p>
          <w:p w:rsidR="006B52BC" w:rsidRPr="006B52BC" w:rsidRDefault="006B52BC" w:rsidP="00A71365">
            <w:pPr>
              <w:pStyle w:val="Tablewriting"/>
              <w:rPr>
                <w:rFonts w:eastAsia="MS Mincho" w:cstheme="minorHAnsi"/>
              </w:rPr>
            </w:pPr>
          </w:p>
          <w:p w:rsidR="00F536ED" w:rsidRDefault="00F536ED" w:rsidP="00A71365">
            <w:pPr>
              <w:pStyle w:val="Tablewriting"/>
              <w:rPr>
                <w:rFonts w:eastAsia="MS Mincho" w:cstheme="minorHAnsi"/>
                <w:u w:val="single"/>
              </w:rPr>
            </w:pPr>
          </w:p>
          <w:p w:rsidR="00C05BDE" w:rsidRPr="006B52BC" w:rsidRDefault="00F536ED" w:rsidP="00A71365">
            <w:pPr>
              <w:pStyle w:val="Tablewriting"/>
              <w:rPr>
                <w:rFonts w:eastAsia="MS Mincho" w:cstheme="minorHAnsi"/>
              </w:rPr>
            </w:pPr>
            <w:r>
              <w:rPr>
                <w:rFonts w:eastAsia="MS Mincho" w:cstheme="minorHAnsi"/>
                <w:u w:val="single"/>
              </w:rPr>
              <w:lastRenderedPageBreak/>
              <w:t>Safety:</w:t>
            </w:r>
            <w:r w:rsidR="00C05BDE">
              <w:rPr>
                <w:rFonts w:eastAsia="MS Mincho" w:cstheme="minorHAnsi"/>
                <w:u w:val="single"/>
              </w:rPr>
              <w:t xml:space="preserve"> </w:t>
            </w:r>
            <w:r w:rsidR="00C05BDE" w:rsidRPr="006B52BC">
              <w:rPr>
                <w:rFonts w:eastAsia="MS Mincho" w:cstheme="minorHAnsi"/>
              </w:rPr>
              <w:t>Adverse events</w:t>
            </w:r>
            <w:r w:rsidR="00C05BDE">
              <w:rPr>
                <w:rFonts w:eastAsia="MS Mincho" w:cstheme="minorHAnsi"/>
              </w:rPr>
              <w:t xml:space="preserve"> </w:t>
            </w:r>
            <w:r w:rsidR="00C05BDE" w:rsidRPr="006B52BC">
              <w:rPr>
                <w:rFonts w:eastAsia="MS Mincho" w:cstheme="minorHAnsi"/>
              </w:rPr>
              <w:t>measured at each visit during treatment (6 months)</w:t>
            </w:r>
            <w:r w:rsidR="00C05BDE">
              <w:rPr>
                <w:rFonts w:eastAsia="MS Mincho" w:cstheme="minorHAnsi"/>
              </w:rPr>
              <w:t>.</w:t>
            </w:r>
          </w:p>
          <w:p w:rsidR="00F536ED" w:rsidRPr="004272CD" w:rsidRDefault="00F536ED" w:rsidP="00A71365">
            <w:pPr>
              <w:pStyle w:val="Tablewriting"/>
              <w:rPr>
                <w:rFonts w:eastAsia="MS Mincho" w:cstheme="minorHAnsi"/>
                <w:u w:val="single"/>
              </w:rPr>
            </w:pPr>
          </w:p>
        </w:tc>
      </w:tr>
      <w:tr w:rsidR="00F536ED" w:rsidRPr="00017AE6" w:rsidTr="008E2AC2">
        <w:trPr>
          <w:trHeight w:val="99"/>
        </w:trPr>
        <w:tc>
          <w:tcPr>
            <w:tcW w:w="495" w:type="pct"/>
          </w:tcPr>
          <w:p w:rsidR="00F536ED" w:rsidRPr="00017AE6" w:rsidRDefault="00F536ED" w:rsidP="00A71365">
            <w:pPr>
              <w:pStyle w:val="Tablewriting"/>
              <w:rPr>
                <w:rFonts w:eastAsia="MS Mincho" w:cstheme="minorHAnsi"/>
              </w:rPr>
            </w:pPr>
            <w:r w:rsidRPr="00AF5460">
              <w:rPr>
                <w:rFonts w:eastAsia="MS Mincho" w:cstheme="minorHAnsi"/>
              </w:rPr>
              <w:lastRenderedPageBreak/>
              <w:t xml:space="preserve">Krupski </w:t>
            </w:r>
            <w:r w:rsidR="00991AC5">
              <w:rPr>
                <w:rFonts w:eastAsia="MS Mincho" w:cstheme="minorHAnsi"/>
              </w:rPr>
              <w:t>(</w:t>
            </w:r>
            <w:r w:rsidRPr="00AF5460">
              <w:rPr>
                <w:rFonts w:eastAsia="MS Mincho" w:cstheme="minorHAnsi"/>
              </w:rPr>
              <w:t>2016</w:t>
            </w:r>
            <w:r w:rsidR="00991AC5">
              <w:rPr>
                <w:rFonts w:eastAsia="MS Mincho" w:cstheme="minorHAnsi"/>
              </w:rPr>
              <w:t>)</w:t>
            </w:r>
          </w:p>
        </w:tc>
        <w:tc>
          <w:tcPr>
            <w:tcW w:w="234" w:type="pct"/>
          </w:tcPr>
          <w:p w:rsidR="00F536ED" w:rsidRPr="00017AE6" w:rsidRDefault="004810EB" w:rsidP="00A71365">
            <w:pPr>
              <w:pStyle w:val="Tablewriting"/>
              <w:rPr>
                <w:rFonts w:eastAsia="MS Mincho" w:cstheme="minorHAnsi"/>
              </w:rPr>
            </w:pPr>
            <w:r>
              <w:rPr>
                <w:rFonts w:eastAsia="MS Mincho" w:cstheme="minorHAnsi"/>
              </w:rPr>
              <w:t>RCT</w:t>
            </w:r>
          </w:p>
        </w:tc>
        <w:tc>
          <w:tcPr>
            <w:tcW w:w="433" w:type="pct"/>
          </w:tcPr>
          <w:p w:rsidR="00F536ED" w:rsidRPr="00017AE6" w:rsidRDefault="00BF3E07" w:rsidP="00A71365">
            <w:pPr>
              <w:pStyle w:val="Tablewriting"/>
              <w:rPr>
                <w:rFonts w:eastAsia="MS Mincho" w:cstheme="minorHAnsi"/>
              </w:rPr>
            </w:pPr>
            <w:r>
              <w:rPr>
                <w:rFonts w:eastAsia="MS Mincho" w:cstheme="minorHAnsi"/>
              </w:rPr>
              <w:t>USA</w:t>
            </w:r>
          </w:p>
        </w:tc>
        <w:tc>
          <w:tcPr>
            <w:tcW w:w="358" w:type="pct"/>
          </w:tcPr>
          <w:p w:rsidR="00F536ED" w:rsidRPr="00017AE6" w:rsidRDefault="00F536ED" w:rsidP="00A71365">
            <w:pPr>
              <w:pStyle w:val="Tablewriting"/>
              <w:rPr>
                <w:rFonts w:eastAsia="MS Mincho" w:cstheme="minorHAnsi"/>
              </w:rPr>
            </w:pPr>
            <w:r w:rsidRPr="003A1845">
              <w:rPr>
                <w:rFonts w:eastAsia="MS Mincho" w:cstheme="minorHAnsi"/>
              </w:rPr>
              <w:t>N=</w:t>
            </w:r>
            <w:r w:rsidR="00BF3E07">
              <w:rPr>
                <w:rFonts w:eastAsia="MS Mincho" w:cstheme="minorHAnsi"/>
              </w:rPr>
              <w:t>3118</w:t>
            </w:r>
          </w:p>
        </w:tc>
        <w:tc>
          <w:tcPr>
            <w:tcW w:w="1176" w:type="pct"/>
          </w:tcPr>
          <w:p w:rsidR="00396018" w:rsidRDefault="00A240C5" w:rsidP="00A71365">
            <w:pPr>
              <w:rPr>
                <w:rFonts w:eastAsia="MS Mincho" w:cstheme="minorHAnsi"/>
              </w:rPr>
            </w:pPr>
            <w:r>
              <w:rPr>
                <w:rFonts w:asciiTheme="minorHAnsi" w:eastAsia="MS Mincho" w:hAnsiTheme="minorHAnsi" w:cstheme="minorHAnsi"/>
                <w:lang w:eastAsia="en-US"/>
              </w:rPr>
              <w:t>S</w:t>
            </w:r>
            <w:r w:rsidRPr="00A240C5">
              <w:rPr>
                <w:rFonts w:asciiTheme="minorHAnsi" w:eastAsia="MS Mincho" w:hAnsiTheme="minorHAnsi" w:cstheme="minorHAnsi"/>
                <w:lang w:eastAsia="en-US"/>
              </w:rPr>
              <w:t>mokers; aged≥</w:t>
            </w:r>
            <w:r>
              <w:rPr>
                <w:rFonts w:asciiTheme="minorHAnsi" w:eastAsia="MS Mincho" w:hAnsiTheme="minorHAnsi" w:cstheme="minorHAnsi"/>
                <w:lang w:eastAsia="en-US"/>
              </w:rPr>
              <w:t xml:space="preserve"> </w:t>
            </w:r>
            <w:r w:rsidRPr="00A240C5">
              <w:rPr>
                <w:rFonts w:asciiTheme="minorHAnsi" w:eastAsia="MS Mincho" w:hAnsiTheme="minorHAnsi" w:cstheme="minorHAnsi"/>
                <w:lang w:eastAsia="en-US"/>
              </w:rPr>
              <w:t>18 years, ≥</w:t>
            </w:r>
            <w:r w:rsidR="00396018">
              <w:rPr>
                <w:rFonts w:asciiTheme="minorHAnsi" w:eastAsia="MS Mincho" w:hAnsiTheme="minorHAnsi" w:cstheme="minorHAnsi"/>
                <w:lang w:eastAsia="en-US"/>
              </w:rPr>
              <w:t xml:space="preserve"> </w:t>
            </w:r>
            <w:r w:rsidRPr="00A240C5">
              <w:rPr>
                <w:rFonts w:eastAsia="MS Mincho" w:cstheme="minorHAnsi"/>
              </w:rPr>
              <w:t xml:space="preserve">20 </w:t>
            </w:r>
            <w:r>
              <w:rPr>
                <w:rFonts w:eastAsia="MS Mincho" w:cstheme="minorHAnsi"/>
              </w:rPr>
              <w:t>CPD</w:t>
            </w:r>
            <w:r w:rsidRPr="00A240C5">
              <w:rPr>
                <w:rFonts w:eastAsia="MS Mincho" w:cstheme="minorHAnsi"/>
              </w:rPr>
              <w:t xml:space="preserve"> 5 or 6 on Heaviness of Smoking Index, interested in using NRT</w:t>
            </w:r>
            <w:r w:rsidR="00396018">
              <w:rPr>
                <w:rFonts w:eastAsia="MS Mincho" w:cstheme="minorHAnsi"/>
              </w:rPr>
              <w:t xml:space="preserve"> </w:t>
            </w:r>
            <w:r w:rsidRPr="00A240C5">
              <w:rPr>
                <w:rFonts w:eastAsia="MS Mincho" w:cstheme="minorHAnsi"/>
              </w:rPr>
              <w:t>to quit smoking</w:t>
            </w:r>
            <w:r w:rsidR="00396018">
              <w:rPr>
                <w:rFonts w:eastAsia="MS Mincho" w:cstheme="minorHAnsi"/>
              </w:rPr>
              <w:t>.</w:t>
            </w:r>
          </w:p>
          <w:p w:rsidR="00F536ED" w:rsidRPr="00396018" w:rsidRDefault="00B01DC1" w:rsidP="00A71365">
            <w:pPr>
              <w:rPr>
                <w:rFonts w:asciiTheme="minorHAnsi" w:eastAsia="MS Mincho" w:hAnsiTheme="minorHAnsi" w:cstheme="minorHAnsi"/>
                <w:lang w:eastAsia="en-US"/>
              </w:rPr>
            </w:pPr>
            <w:r w:rsidRPr="00B01DC1">
              <w:rPr>
                <w:rFonts w:eastAsia="MS Mincho" w:cstheme="minorHAnsi"/>
              </w:rPr>
              <w:t>53% men, mode age range 45 - 54 y</w:t>
            </w:r>
            <w:r>
              <w:rPr>
                <w:rFonts w:eastAsia="MS Mincho" w:cstheme="minorHAnsi"/>
              </w:rPr>
              <w:t>ea</w:t>
            </w:r>
            <w:r w:rsidRPr="00B01DC1">
              <w:rPr>
                <w:rFonts w:eastAsia="MS Mincho" w:cstheme="minorHAnsi"/>
              </w:rPr>
              <w:t>rs, av</w:t>
            </w:r>
            <w:r w:rsidR="00396018">
              <w:rPr>
                <w:rFonts w:eastAsia="MS Mincho" w:cstheme="minorHAnsi"/>
              </w:rPr>
              <w:t>erage</w:t>
            </w:r>
            <w:r w:rsidRPr="00B01DC1">
              <w:rPr>
                <w:rFonts w:eastAsia="MS Mincho" w:cstheme="minorHAnsi"/>
              </w:rPr>
              <w:t xml:space="preserve"> </w:t>
            </w:r>
            <w:r>
              <w:rPr>
                <w:rFonts w:eastAsia="MS Mincho" w:cstheme="minorHAnsi"/>
              </w:rPr>
              <w:t>CPD</w:t>
            </w:r>
            <w:r w:rsidRPr="00B01DC1">
              <w:rPr>
                <w:rFonts w:eastAsia="MS Mincho" w:cstheme="minorHAnsi"/>
              </w:rPr>
              <w:t xml:space="preserve"> not available but a large majority smoked &gt; 30 </w:t>
            </w:r>
            <w:r>
              <w:rPr>
                <w:rFonts w:eastAsia="MS Mincho" w:cstheme="minorHAnsi"/>
              </w:rPr>
              <w:t>CPD,</w:t>
            </w:r>
            <w:r w:rsidRPr="00B01DC1">
              <w:rPr>
                <w:rFonts w:eastAsia="MS Mincho" w:cstheme="minorHAnsi"/>
              </w:rPr>
              <w:t xml:space="preserve"> 88%</w:t>
            </w:r>
            <w:r w:rsidR="00396018">
              <w:rPr>
                <w:rFonts w:eastAsia="MS Mincho" w:cstheme="minorHAnsi"/>
              </w:rPr>
              <w:t xml:space="preserve"> </w:t>
            </w:r>
            <w:r w:rsidRPr="00B01DC1">
              <w:rPr>
                <w:rFonts w:eastAsia="MS Mincho" w:cstheme="minorHAnsi"/>
              </w:rPr>
              <w:t>time to first cigarette &lt; 5 mins</w:t>
            </w:r>
            <w:r w:rsidR="00396018">
              <w:rPr>
                <w:rFonts w:eastAsia="MS Mincho" w:cstheme="minorHAnsi"/>
              </w:rPr>
              <w:t>.</w:t>
            </w:r>
          </w:p>
        </w:tc>
        <w:tc>
          <w:tcPr>
            <w:tcW w:w="1295" w:type="pct"/>
          </w:tcPr>
          <w:p w:rsidR="00933063" w:rsidRPr="00933063" w:rsidRDefault="00933063" w:rsidP="00C324F3">
            <w:pPr>
              <w:pStyle w:val="Tablewriting"/>
              <w:numPr>
                <w:ilvl w:val="0"/>
                <w:numId w:val="175"/>
              </w:numPr>
              <w:rPr>
                <w:rFonts w:eastAsia="MS Mincho" w:cstheme="minorHAnsi"/>
              </w:rPr>
            </w:pPr>
            <w:r w:rsidRPr="00933063">
              <w:rPr>
                <w:rFonts w:eastAsia="MS Mincho" w:cstheme="minorHAnsi"/>
              </w:rPr>
              <w:t>2-wk supply of nicotine patches plus 2-w</w:t>
            </w:r>
            <w:r w:rsidR="00BC7AD9">
              <w:rPr>
                <w:rFonts w:eastAsia="MS Mincho" w:cstheme="minorHAnsi"/>
              </w:rPr>
              <w:t>ee</w:t>
            </w:r>
            <w:r w:rsidRPr="00933063">
              <w:rPr>
                <w:rFonts w:eastAsia="MS Mincho" w:cstheme="minorHAnsi"/>
              </w:rPr>
              <w:t>k supply of nicotine</w:t>
            </w:r>
            <w:r w:rsidR="00BC7AD9">
              <w:rPr>
                <w:rFonts w:eastAsia="MS Mincho" w:cstheme="minorHAnsi"/>
              </w:rPr>
              <w:t xml:space="preserve"> </w:t>
            </w:r>
            <w:r w:rsidRPr="00933063">
              <w:rPr>
                <w:rFonts w:eastAsia="MS Mincho" w:cstheme="minorHAnsi"/>
              </w:rPr>
              <w:t>lozenges</w:t>
            </w:r>
          </w:p>
          <w:p w:rsidR="00933063" w:rsidRDefault="00933063" w:rsidP="00C324F3">
            <w:pPr>
              <w:pStyle w:val="Tablewriting"/>
              <w:numPr>
                <w:ilvl w:val="0"/>
                <w:numId w:val="175"/>
              </w:numPr>
              <w:rPr>
                <w:rFonts w:eastAsia="MS Mincho" w:cstheme="minorHAnsi"/>
              </w:rPr>
            </w:pPr>
            <w:r w:rsidRPr="00933063">
              <w:rPr>
                <w:rFonts w:eastAsia="MS Mincho" w:cstheme="minorHAnsi"/>
              </w:rPr>
              <w:t>2-w</w:t>
            </w:r>
            <w:r w:rsidR="00BC7AD9">
              <w:rPr>
                <w:rFonts w:eastAsia="MS Mincho" w:cstheme="minorHAnsi"/>
              </w:rPr>
              <w:t>ee</w:t>
            </w:r>
            <w:r w:rsidRPr="00933063">
              <w:rPr>
                <w:rFonts w:eastAsia="MS Mincho" w:cstheme="minorHAnsi"/>
              </w:rPr>
              <w:t>k supply of nicotine patches</w:t>
            </w:r>
            <w:r w:rsidR="0026610E">
              <w:rPr>
                <w:rFonts w:eastAsia="MS Mincho" w:cstheme="minorHAnsi"/>
              </w:rPr>
              <w:t>.</w:t>
            </w:r>
          </w:p>
          <w:p w:rsidR="0026610E" w:rsidRPr="00933063" w:rsidRDefault="0026610E" w:rsidP="00A71365">
            <w:pPr>
              <w:pStyle w:val="Tablewriting"/>
              <w:ind w:left="502"/>
              <w:rPr>
                <w:rFonts w:eastAsia="MS Mincho" w:cstheme="minorHAnsi"/>
              </w:rPr>
            </w:pPr>
          </w:p>
          <w:p w:rsidR="00F536ED" w:rsidRPr="00017AE6" w:rsidRDefault="00933063" w:rsidP="00A71365">
            <w:pPr>
              <w:pStyle w:val="Tablewriting"/>
              <w:ind w:left="502"/>
              <w:rPr>
                <w:rFonts w:eastAsia="MS Mincho" w:cstheme="minorHAnsi"/>
              </w:rPr>
            </w:pPr>
            <w:r w:rsidRPr="00933063">
              <w:rPr>
                <w:rFonts w:eastAsia="MS Mincho" w:cstheme="minorHAnsi"/>
              </w:rPr>
              <w:t>Advice to wear each patch for 24 hours, and to use lozenges</w:t>
            </w:r>
            <w:r w:rsidR="00BC7AD9">
              <w:rPr>
                <w:rFonts w:eastAsia="MS Mincho" w:cstheme="minorHAnsi"/>
              </w:rPr>
              <w:t xml:space="preserve"> </w:t>
            </w:r>
            <w:r w:rsidRPr="00933063">
              <w:rPr>
                <w:rFonts w:eastAsia="MS Mincho" w:cstheme="minorHAnsi"/>
              </w:rPr>
              <w:t>consistently (every 1 - 2 hours while awake)</w:t>
            </w:r>
          </w:p>
        </w:tc>
        <w:tc>
          <w:tcPr>
            <w:tcW w:w="1008" w:type="pct"/>
          </w:tcPr>
          <w:p w:rsidR="00B66CD4" w:rsidRDefault="00F536ED" w:rsidP="00A71365">
            <w:pPr>
              <w:pStyle w:val="Tablewriting"/>
              <w:rPr>
                <w:rFonts w:eastAsia="MS Mincho" w:cstheme="minorHAnsi"/>
              </w:rPr>
            </w:pPr>
            <w:r>
              <w:rPr>
                <w:rFonts w:eastAsia="MS Mincho" w:cstheme="minorHAnsi"/>
                <w:u w:val="single"/>
              </w:rPr>
              <w:t>Efficacy:</w:t>
            </w:r>
            <w:r w:rsidR="00B66CD4">
              <w:t xml:space="preserve"> </w:t>
            </w:r>
            <w:r w:rsidR="00B66CD4" w:rsidRPr="00B66CD4">
              <w:rPr>
                <w:rFonts w:eastAsia="MS Mincho" w:cstheme="minorHAnsi"/>
              </w:rPr>
              <w:t>Self-reported 30-day PPA at 7 m</w:t>
            </w:r>
            <w:r w:rsidR="008C3F1E">
              <w:rPr>
                <w:rFonts w:eastAsia="MS Mincho" w:cstheme="minorHAnsi"/>
              </w:rPr>
              <w:t xml:space="preserve">onths, </w:t>
            </w:r>
            <w:r w:rsidR="00B66CD4" w:rsidRPr="00B66CD4">
              <w:rPr>
                <w:rFonts w:eastAsia="MS Mincho" w:cstheme="minorHAnsi"/>
              </w:rPr>
              <w:t>self-reported 7-day PPA at 7 months.</w:t>
            </w:r>
          </w:p>
          <w:p w:rsidR="00B66CD4" w:rsidRPr="00B66CD4" w:rsidRDefault="00B66CD4" w:rsidP="00A71365">
            <w:pPr>
              <w:pStyle w:val="Tablewriting"/>
              <w:rPr>
                <w:rFonts w:eastAsia="MS Mincho" w:cstheme="minorHAnsi"/>
              </w:rPr>
            </w:pPr>
          </w:p>
          <w:p w:rsidR="00B66CD4" w:rsidRDefault="00B66CD4" w:rsidP="00A71365">
            <w:pPr>
              <w:pStyle w:val="Tablewriting"/>
              <w:rPr>
                <w:rFonts w:eastAsia="MS Mincho" w:cstheme="minorHAnsi"/>
              </w:rPr>
            </w:pPr>
            <w:r w:rsidRPr="00B66CD4">
              <w:rPr>
                <w:rFonts w:eastAsia="MS Mincho" w:cstheme="minorHAnsi"/>
              </w:rPr>
              <w:t>Validation: none</w:t>
            </w:r>
          </w:p>
          <w:p w:rsidR="00F536ED" w:rsidRDefault="00F536ED" w:rsidP="00A71365">
            <w:pPr>
              <w:pStyle w:val="Tablewriting"/>
              <w:rPr>
                <w:rFonts w:eastAsia="MS Mincho" w:cstheme="minorHAnsi"/>
                <w:u w:val="single"/>
              </w:rPr>
            </w:pPr>
          </w:p>
          <w:p w:rsidR="00F536ED" w:rsidRDefault="00F536ED" w:rsidP="00A71365">
            <w:pPr>
              <w:pStyle w:val="Tablewriting"/>
              <w:rPr>
                <w:rFonts w:eastAsia="MS Mincho" w:cstheme="minorHAnsi"/>
                <w:u w:val="single"/>
              </w:rPr>
            </w:pPr>
          </w:p>
          <w:p w:rsidR="00BC7AD9" w:rsidRPr="00B66CD4" w:rsidRDefault="00F536ED" w:rsidP="00A71365">
            <w:pPr>
              <w:pStyle w:val="Tablewriting"/>
              <w:rPr>
                <w:rFonts w:eastAsia="MS Mincho" w:cstheme="minorHAnsi"/>
              </w:rPr>
            </w:pPr>
            <w:r>
              <w:rPr>
                <w:rFonts w:eastAsia="MS Mincho" w:cstheme="minorHAnsi"/>
                <w:u w:val="single"/>
              </w:rPr>
              <w:t>Safety:</w:t>
            </w:r>
            <w:r w:rsidR="00BC7AD9">
              <w:rPr>
                <w:rFonts w:eastAsia="MS Mincho" w:cstheme="minorHAnsi"/>
                <w:u w:val="single"/>
              </w:rPr>
              <w:t xml:space="preserve"> </w:t>
            </w:r>
            <w:r w:rsidR="00BC7AD9" w:rsidRPr="00B66CD4">
              <w:rPr>
                <w:rFonts w:eastAsia="MS Mincho" w:cstheme="minorHAnsi"/>
              </w:rPr>
              <w:t>Adverse events</w:t>
            </w:r>
            <w:r w:rsidR="00BC7AD9">
              <w:rPr>
                <w:rFonts w:eastAsia="MS Mincho" w:cstheme="minorHAnsi"/>
              </w:rPr>
              <w:t xml:space="preserve"> </w:t>
            </w:r>
            <w:r w:rsidR="00BC7AD9" w:rsidRPr="00B66CD4">
              <w:rPr>
                <w:rFonts w:eastAsia="MS Mincho" w:cstheme="minorHAnsi"/>
              </w:rPr>
              <w:t>not measured</w:t>
            </w:r>
            <w:r w:rsidR="00BC7AD9">
              <w:rPr>
                <w:rFonts w:eastAsia="MS Mincho" w:cstheme="minorHAnsi"/>
              </w:rPr>
              <w:t>.</w:t>
            </w:r>
          </w:p>
          <w:p w:rsidR="00F536ED" w:rsidRPr="004272CD" w:rsidRDefault="00F536ED" w:rsidP="00A71365">
            <w:pPr>
              <w:pStyle w:val="Tablewriting"/>
              <w:rPr>
                <w:rFonts w:eastAsia="MS Mincho" w:cstheme="minorHAnsi"/>
                <w:u w:val="single"/>
              </w:rPr>
            </w:pPr>
          </w:p>
        </w:tc>
      </w:tr>
      <w:tr w:rsidR="00F536ED" w:rsidRPr="00017AE6" w:rsidTr="008E2AC2">
        <w:trPr>
          <w:trHeight w:val="99"/>
        </w:trPr>
        <w:tc>
          <w:tcPr>
            <w:tcW w:w="495" w:type="pct"/>
          </w:tcPr>
          <w:p w:rsidR="00F536ED" w:rsidRPr="00017AE6" w:rsidRDefault="00F536ED" w:rsidP="00A71365">
            <w:pPr>
              <w:pStyle w:val="Tablewriting"/>
              <w:rPr>
                <w:rFonts w:eastAsia="MS Mincho" w:cstheme="minorHAnsi"/>
              </w:rPr>
            </w:pPr>
            <w:r w:rsidRPr="00FC50B4">
              <w:rPr>
                <w:rFonts w:eastAsia="MS Mincho" w:cstheme="minorHAnsi"/>
              </w:rPr>
              <w:t xml:space="preserve">Piper </w:t>
            </w:r>
            <w:r w:rsidR="00991AC5">
              <w:rPr>
                <w:rFonts w:eastAsia="MS Mincho" w:cstheme="minorHAnsi"/>
              </w:rPr>
              <w:t>(</w:t>
            </w:r>
            <w:r w:rsidRPr="00FC50B4">
              <w:rPr>
                <w:rFonts w:eastAsia="MS Mincho" w:cstheme="minorHAnsi"/>
              </w:rPr>
              <w:t>2009</w:t>
            </w:r>
            <w:r w:rsidR="00991AC5">
              <w:rPr>
                <w:rFonts w:eastAsia="MS Mincho" w:cstheme="minorHAnsi"/>
              </w:rPr>
              <w:t>)</w:t>
            </w:r>
          </w:p>
        </w:tc>
        <w:tc>
          <w:tcPr>
            <w:tcW w:w="234" w:type="pct"/>
          </w:tcPr>
          <w:p w:rsidR="00F536ED" w:rsidRPr="00017AE6" w:rsidRDefault="004810EB" w:rsidP="00A71365">
            <w:pPr>
              <w:pStyle w:val="Tablewriting"/>
              <w:rPr>
                <w:rFonts w:eastAsia="MS Mincho" w:cstheme="minorHAnsi"/>
              </w:rPr>
            </w:pPr>
            <w:r>
              <w:rPr>
                <w:rFonts w:eastAsia="MS Mincho" w:cstheme="minorHAnsi"/>
              </w:rPr>
              <w:t>RCT</w:t>
            </w:r>
          </w:p>
        </w:tc>
        <w:tc>
          <w:tcPr>
            <w:tcW w:w="433" w:type="pct"/>
          </w:tcPr>
          <w:p w:rsidR="00F536ED" w:rsidRPr="00017AE6" w:rsidRDefault="009E0A63" w:rsidP="00A71365">
            <w:pPr>
              <w:pStyle w:val="Tablewriting"/>
              <w:rPr>
                <w:rFonts w:eastAsia="MS Mincho" w:cstheme="minorHAnsi"/>
              </w:rPr>
            </w:pPr>
            <w:r>
              <w:rPr>
                <w:rFonts w:eastAsia="MS Mincho" w:cstheme="minorHAnsi"/>
              </w:rPr>
              <w:t>USA</w:t>
            </w:r>
          </w:p>
        </w:tc>
        <w:tc>
          <w:tcPr>
            <w:tcW w:w="358" w:type="pct"/>
          </w:tcPr>
          <w:p w:rsidR="00F536ED" w:rsidRPr="00017AE6" w:rsidRDefault="00F536ED" w:rsidP="00A71365">
            <w:pPr>
              <w:pStyle w:val="Tablewriting"/>
              <w:rPr>
                <w:rFonts w:eastAsia="MS Mincho" w:cstheme="minorHAnsi"/>
              </w:rPr>
            </w:pPr>
            <w:r w:rsidRPr="003A1845">
              <w:rPr>
                <w:rFonts w:eastAsia="MS Mincho" w:cstheme="minorHAnsi"/>
              </w:rPr>
              <w:t>N=</w:t>
            </w:r>
            <w:r w:rsidR="009E0A63">
              <w:rPr>
                <w:rFonts w:eastAsia="MS Mincho" w:cstheme="minorHAnsi"/>
              </w:rPr>
              <w:t>1504</w:t>
            </w:r>
          </w:p>
        </w:tc>
        <w:tc>
          <w:tcPr>
            <w:tcW w:w="1176" w:type="pct"/>
          </w:tcPr>
          <w:p w:rsidR="00F536ED" w:rsidRPr="00017AE6" w:rsidRDefault="00DF38C9" w:rsidP="00A71365">
            <w:pPr>
              <w:pStyle w:val="Tablewriting"/>
              <w:rPr>
                <w:rFonts w:eastAsia="MS Mincho" w:cstheme="minorHAnsi"/>
              </w:rPr>
            </w:pPr>
            <w:r>
              <w:rPr>
                <w:rFonts w:eastAsia="MS Mincho" w:cstheme="minorHAnsi"/>
              </w:rPr>
              <w:t>S</w:t>
            </w:r>
            <w:r w:rsidR="002D6B55" w:rsidRPr="002D6B55">
              <w:rPr>
                <w:rFonts w:eastAsia="MS Mincho" w:cstheme="minorHAnsi"/>
              </w:rPr>
              <w:t>mokers motivated to quit</w:t>
            </w:r>
            <w:r>
              <w:rPr>
                <w:rFonts w:eastAsia="MS Mincho" w:cstheme="minorHAnsi"/>
              </w:rPr>
              <w:t xml:space="preserve">, </w:t>
            </w:r>
            <w:r w:rsidR="002D6B55" w:rsidRPr="002D6B55">
              <w:rPr>
                <w:rFonts w:eastAsia="MS Mincho" w:cstheme="minorHAnsi"/>
              </w:rPr>
              <w:t>42% men, av</w:t>
            </w:r>
            <w:r>
              <w:rPr>
                <w:rFonts w:eastAsia="MS Mincho" w:cstheme="minorHAnsi"/>
              </w:rPr>
              <w:t xml:space="preserve">erage </w:t>
            </w:r>
            <w:r w:rsidR="002D6B55" w:rsidRPr="002D6B55">
              <w:rPr>
                <w:rFonts w:eastAsia="MS Mincho" w:cstheme="minorHAnsi"/>
              </w:rPr>
              <w:t>age 45</w:t>
            </w:r>
            <w:r>
              <w:rPr>
                <w:rFonts w:eastAsia="MS Mincho" w:cstheme="minorHAnsi"/>
              </w:rPr>
              <w:t xml:space="preserve"> years</w:t>
            </w:r>
            <w:r w:rsidR="002D6B55" w:rsidRPr="002D6B55">
              <w:rPr>
                <w:rFonts w:eastAsia="MS Mincho" w:cstheme="minorHAnsi"/>
              </w:rPr>
              <w:t>, av</w:t>
            </w:r>
            <w:r>
              <w:rPr>
                <w:rFonts w:eastAsia="MS Mincho" w:cstheme="minorHAnsi"/>
              </w:rPr>
              <w:t>erage CPD</w:t>
            </w:r>
            <w:r w:rsidR="002D6B55" w:rsidRPr="002D6B55">
              <w:rPr>
                <w:rFonts w:eastAsia="MS Mincho" w:cstheme="minorHAnsi"/>
              </w:rPr>
              <w:t xml:space="preserve"> 21.4</w:t>
            </w:r>
            <w:r>
              <w:rPr>
                <w:rFonts w:eastAsia="MS Mincho" w:cstheme="minorHAnsi"/>
              </w:rPr>
              <w:t>.</w:t>
            </w:r>
          </w:p>
        </w:tc>
        <w:tc>
          <w:tcPr>
            <w:tcW w:w="1295" w:type="pct"/>
          </w:tcPr>
          <w:p w:rsidR="002D6B55" w:rsidRPr="002D6B55" w:rsidRDefault="002D6B55" w:rsidP="00C324F3">
            <w:pPr>
              <w:pStyle w:val="Tablewriting"/>
              <w:numPr>
                <w:ilvl w:val="0"/>
                <w:numId w:val="176"/>
              </w:numPr>
              <w:rPr>
                <w:rFonts w:eastAsia="MS Mincho" w:cstheme="minorHAnsi"/>
              </w:rPr>
            </w:pPr>
            <w:r w:rsidRPr="002D6B55">
              <w:rPr>
                <w:rFonts w:eastAsia="MS Mincho" w:cstheme="minorHAnsi"/>
              </w:rPr>
              <w:t>Nicotine lozenge 2 or 4 mg for 12 w</w:t>
            </w:r>
            <w:r w:rsidR="00F33AB8">
              <w:rPr>
                <w:rFonts w:eastAsia="MS Mincho" w:cstheme="minorHAnsi"/>
              </w:rPr>
              <w:t>ee</w:t>
            </w:r>
            <w:r w:rsidRPr="002D6B55">
              <w:rPr>
                <w:rFonts w:eastAsia="MS Mincho" w:cstheme="minorHAnsi"/>
              </w:rPr>
              <w:t>ks</w:t>
            </w:r>
            <w:r w:rsidR="00F33AB8">
              <w:rPr>
                <w:rFonts w:eastAsia="MS Mincho" w:cstheme="minorHAnsi"/>
              </w:rPr>
              <w:t xml:space="preserve"> </w:t>
            </w:r>
            <w:r w:rsidRPr="002D6B55">
              <w:rPr>
                <w:rFonts w:eastAsia="MS Mincho" w:cstheme="minorHAnsi"/>
              </w:rPr>
              <w:t>(based on dose-for-dependence level as per instructions)</w:t>
            </w:r>
          </w:p>
          <w:p w:rsidR="002D6B55" w:rsidRPr="002D6B55" w:rsidRDefault="002D6B55" w:rsidP="00C324F3">
            <w:pPr>
              <w:pStyle w:val="Tablewriting"/>
              <w:numPr>
                <w:ilvl w:val="0"/>
                <w:numId w:val="176"/>
              </w:numPr>
              <w:rPr>
                <w:rFonts w:eastAsia="MS Mincho" w:cstheme="minorHAnsi"/>
              </w:rPr>
            </w:pPr>
            <w:r w:rsidRPr="002D6B55">
              <w:rPr>
                <w:rFonts w:eastAsia="MS Mincho" w:cstheme="minorHAnsi"/>
              </w:rPr>
              <w:t>Nicotine patch (24-hour, 21, 14, and 7 mg titrated down over 8-wk period post-quit)</w:t>
            </w:r>
          </w:p>
          <w:p w:rsidR="002D6B55" w:rsidRPr="002D6B55" w:rsidRDefault="002D6B55" w:rsidP="00C324F3">
            <w:pPr>
              <w:pStyle w:val="Tablewriting"/>
              <w:numPr>
                <w:ilvl w:val="0"/>
                <w:numId w:val="176"/>
              </w:numPr>
              <w:rPr>
                <w:rFonts w:eastAsia="MS Mincho" w:cstheme="minorHAnsi"/>
              </w:rPr>
            </w:pPr>
            <w:r w:rsidRPr="002D6B55">
              <w:rPr>
                <w:rFonts w:eastAsia="MS Mincho" w:cstheme="minorHAnsi"/>
              </w:rPr>
              <w:t>Bupropion SR (150 mg bid, 1 w</w:t>
            </w:r>
            <w:r w:rsidR="00F33AB8">
              <w:rPr>
                <w:rFonts w:eastAsia="MS Mincho" w:cstheme="minorHAnsi"/>
              </w:rPr>
              <w:t>eek</w:t>
            </w:r>
            <w:r w:rsidRPr="002D6B55">
              <w:rPr>
                <w:rFonts w:eastAsia="MS Mincho" w:cstheme="minorHAnsi"/>
              </w:rPr>
              <w:t xml:space="preserve"> pre-quit, 8 w</w:t>
            </w:r>
            <w:r w:rsidR="00F33AB8">
              <w:rPr>
                <w:rFonts w:eastAsia="MS Mincho" w:cstheme="minorHAnsi"/>
              </w:rPr>
              <w:t>eek</w:t>
            </w:r>
            <w:r w:rsidRPr="002D6B55">
              <w:rPr>
                <w:rFonts w:eastAsia="MS Mincho" w:cstheme="minorHAnsi"/>
              </w:rPr>
              <w:t>s post-quit)</w:t>
            </w:r>
            <w:r w:rsidR="00F33AB8">
              <w:rPr>
                <w:rFonts w:eastAsia="MS Mincho" w:cstheme="minorHAnsi"/>
              </w:rPr>
              <w:t>.</w:t>
            </w:r>
          </w:p>
          <w:p w:rsidR="002D6B55" w:rsidRPr="002D6B55" w:rsidRDefault="002D6B55" w:rsidP="00C324F3">
            <w:pPr>
              <w:pStyle w:val="Tablewriting"/>
              <w:numPr>
                <w:ilvl w:val="0"/>
                <w:numId w:val="176"/>
              </w:numPr>
              <w:rPr>
                <w:rFonts w:eastAsia="MS Mincho" w:cstheme="minorHAnsi"/>
              </w:rPr>
            </w:pPr>
            <w:r w:rsidRPr="002D6B55">
              <w:rPr>
                <w:rFonts w:eastAsia="MS Mincho" w:cstheme="minorHAnsi"/>
              </w:rPr>
              <w:t>Lozenge + patch (duration and dosage as above)</w:t>
            </w:r>
            <w:r w:rsidR="00F33AB8">
              <w:rPr>
                <w:rFonts w:eastAsia="MS Mincho" w:cstheme="minorHAnsi"/>
              </w:rPr>
              <w:t>.</w:t>
            </w:r>
          </w:p>
          <w:p w:rsidR="00F33AB8" w:rsidRPr="00F33AB8" w:rsidRDefault="002D6B55" w:rsidP="00C324F3">
            <w:pPr>
              <w:pStyle w:val="Tablewriting"/>
              <w:numPr>
                <w:ilvl w:val="0"/>
                <w:numId w:val="176"/>
              </w:numPr>
              <w:rPr>
                <w:rFonts w:eastAsia="MS Mincho" w:cstheme="minorHAnsi"/>
              </w:rPr>
            </w:pPr>
            <w:r w:rsidRPr="002D6B55">
              <w:rPr>
                <w:rFonts w:eastAsia="MS Mincho" w:cstheme="minorHAnsi"/>
              </w:rPr>
              <w:t>Bupropion + lozenge (duration and dosage as above)</w:t>
            </w:r>
            <w:r w:rsidR="00F33AB8">
              <w:rPr>
                <w:rFonts w:eastAsia="MS Mincho" w:cstheme="minorHAnsi"/>
              </w:rPr>
              <w:t>.</w:t>
            </w:r>
          </w:p>
          <w:p w:rsidR="00F536ED" w:rsidRPr="00017AE6" w:rsidRDefault="002D6B55" w:rsidP="00C324F3">
            <w:pPr>
              <w:pStyle w:val="Tablewriting"/>
              <w:numPr>
                <w:ilvl w:val="0"/>
                <w:numId w:val="176"/>
              </w:numPr>
              <w:rPr>
                <w:rFonts w:eastAsia="MS Mincho" w:cstheme="minorHAnsi"/>
              </w:rPr>
            </w:pPr>
            <w:r w:rsidRPr="002D6B55">
              <w:rPr>
                <w:rFonts w:eastAsia="MS Mincho" w:cstheme="minorHAnsi"/>
              </w:rPr>
              <w:t>Placebo (5 groups matched to above 5 interventions)</w:t>
            </w:r>
            <w:r w:rsidR="00F33AB8">
              <w:rPr>
                <w:rFonts w:eastAsia="MS Mincho" w:cstheme="minorHAnsi"/>
              </w:rPr>
              <w:t>.</w:t>
            </w:r>
          </w:p>
        </w:tc>
        <w:tc>
          <w:tcPr>
            <w:tcW w:w="1008" w:type="pct"/>
          </w:tcPr>
          <w:p w:rsidR="00F33AB8" w:rsidRDefault="00F536ED" w:rsidP="00A71365">
            <w:pPr>
              <w:pStyle w:val="Tablewriting"/>
              <w:rPr>
                <w:rFonts w:eastAsia="MS Mincho" w:cstheme="minorHAnsi"/>
              </w:rPr>
            </w:pPr>
            <w:r>
              <w:rPr>
                <w:rFonts w:eastAsia="MS Mincho" w:cstheme="minorHAnsi"/>
                <w:u w:val="single"/>
              </w:rPr>
              <w:t>Efficacy:</w:t>
            </w:r>
            <w:r w:rsidR="00F33AB8">
              <w:t xml:space="preserve"> </w:t>
            </w:r>
            <w:r w:rsidR="00F33AB8" w:rsidRPr="00F33AB8">
              <w:rPr>
                <w:rFonts w:eastAsia="MS Mincho" w:cstheme="minorHAnsi"/>
              </w:rPr>
              <w:t>7-day PPA at 6</w:t>
            </w:r>
            <w:r w:rsidR="00935F9B">
              <w:rPr>
                <w:rFonts w:eastAsia="MS Mincho" w:cstheme="minorHAnsi"/>
              </w:rPr>
              <w:t xml:space="preserve"> </w:t>
            </w:r>
            <w:r w:rsidR="00F33AB8" w:rsidRPr="00F33AB8">
              <w:rPr>
                <w:rFonts w:eastAsia="MS Mincho" w:cstheme="minorHAnsi"/>
              </w:rPr>
              <w:t>m</w:t>
            </w:r>
            <w:r w:rsidR="00935F9B">
              <w:rPr>
                <w:rFonts w:eastAsia="MS Mincho" w:cstheme="minorHAnsi"/>
              </w:rPr>
              <w:t xml:space="preserve">onths, </w:t>
            </w:r>
            <w:r w:rsidR="00F33AB8" w:rsidRPr="00F33AB8">
              <w:rPr>
                <w:rFonts w:eastAsia="MS Mincho" w:cstheme="minorHAnsi"/>
              </w:rPr>
              <w:t>initial cessation</w:t>
            </w:r>
            <w:r w:rsidR="00F33AB8">
              <w:rPr>
                <w:rFonts w:eastAsia="MS Mincho" w:cstheme="minorHAnsi"/>
              </w:rPr>
              <w:t>.</w:t>
            </w:r>
          </w:p>
          <w:p w:rsidR="00F33AB8" w:rsidRPr="00F33AB8" w:rsidRDefault="00F33AB8" w:rsidP="00A71365">
            <w:pPr>
              <w:pStyle w:val="Tablewriting"/>
              <w:rPr>
                <w:rFonts w:eastAsia="MS Mincho" w:cstheme="minorHAnsi"/>
              </w:rPr>
            </w:pPr>
          </w:p>
          <w:p w:rsidR="00F33AB8" w:rsidRDefault="00F33AB8" w:rsidP="00A71365">
            <w:pPr>
              <w:pStyle w:val="Tablewriting"/>
              <w:rPr>
                <w:rFonts w:eastAsia="MS Mincho" w:cstheme="minorHAnsi"/>
              </w:rPr>
            </w:pPr>
            <w:r w:rsidRPr="00F33AB8">
              <w:rPr>
                <w:rFonts w:eastAsia="MS Mincho" w:cstheme="minorHAnsi"/>
              </w:rPr>
              <w:t>Validation: CO &lt; 10 ppm</w:t>
            </w:r>
            <w:r>
              <w:rPr>
                <w:rFonts w:eastAsia="MS Mincho" w:cstheme="minorHAnsi"/>
              </w:rPr>
              <w:t>.</w:t>
            </w:r>
          </w:p>
          <w:p w:rsidR="00F536ED" w:rsidRDefault="00F536ED" w:rsidP="00A71365">
            <w:pPr>
              <w:pStyle w:val="Tablewriting"/>
              <w:rPr>
                <w:rFonts w:eastAsia="MS Mincho" w:cstheme="minorHAnsi"/>
                <w:u w:val="single"/>
              </w:rPr>
            </w:pPr>
          </w:p>
          <w:p w:rsidR="00EB6615" w:rsidRPr="00F33AB8" w:rsidRDefault="00F536ED" w:rsidP="00A71365">
            <w:pPr>
              <w:pStyle w:val="Tablewriting"/>
              <w:rPr>
                <w:rFonts w:eastAsia="MS Mincho" w:cstheme="minorHAnsi"/>
              </w:rPr>
            </w:pPr>
            <w:r>
              <w:rPr>
                <w:rFonts w:eastAsia="MS Mincho" w:cstheme="minorHAnsi"/>
                <w:u w:val="single"/>
              </w:rPr>
              <w:t>Safety:</w:t>
            </w:r>
            <w:r w:rsidR="00EB6615">
              <w:rPr>
                <w:rFonts w:eastAsia="MS Mincho" w:cstheme="minorHAnsi"/>
                <w:u w:val="single"/>
              </w:rPr>
              <w:t xml:space="preserve"> </w:t>
            </w:r>
            <w:r w:rsidR="00EB6615" w:rsidRPr="00F33AB8">
              <w:rPr>
                <w:rFonts w:eastAsia="MS Mincho" w:cstheme="minorHAnsi"/>
              </w:rPr>
              <w:t>Adverse events</w:t>
            </w:r>
            <w:r w:rsidR="00EB6615">
              <w:rPr>
                <w:rFonts w:eastAsia="MS Mincho" w:cstheme="minorHAnsi"/>
              </w:rPr>
              <w:t xml:space="preserve"> </w:t>
            </w:r>
            <w:r w:rsidR="00EB6615" w:rsidRPr="00F33AB8">
              <w:rPr>
                <w:rFonts w:eastAsia="MS Mincho" w:cstheme="minorHAnsi"/>
              </w:rPr>
              <w:t>measured at study visits during treatment (8 weeks)</w:t>
            </w:r>
          </w:p>
          <w:p w:rsidR="00F536ED" w:rsidRPr="004272CD" w:rsidRDefault="00F536ED" w:rsidP="00A71365">
            <w:pPr>
              <w:pStyle w:val="Tablewriting"/>
              <w:rPr>
                <w:rFonts w:eastAsia="MS Mincho" w:cstheme="minorHAnsi"/>
                <w:u w:val="single"/>
              </w:rPr>
            </w:pPr>
          </w:p>
        </w:tc>
      </w:tr>
      <w:tr w:rsidR="00F536ED" w:rsidRPr="00017AE6" w:rsidTr="008E2AC2">
        <w:trPr>
          <w:trHeight w:val="99"/>
        </w:trPr>
        <w:tc>
          <w:tcPr>
            <w:tcW w:w="495" w:type="pct"/>
          </w:tcPr>
          <w:p w:rsidR="00F536ED" w:rsidRPr="00017AE6" w:rsidRDefault="00F536ED" w:rsidP="00A71365">
            <w:pPr>
              <w:pStyle w:val="Tablewriting"/>
              <w:rPr>
                <w:rFonts w:eastAsia="MS Mincho" w:cstheme="minorHAnsi"/>
              </w:rPr>
            </w:pPr>
            <w:r>
              <w:rPr>
                <w:rFonts w:eastAsia="MS Mincho" w:cstheme="minorHAnsi"/>
              </w:rPr>
              <w:t xml:space="preserve"> </w:t>
            </w:r>
            <w:r w:rsidRPr="00FC50B4">
              <w:rPr>
                <w:rFonts w:eastAsia="MS Mincho" w:cstheme="minorHAnsi"/>
              </w:rPr>
              <w:t xml:space="preserve">Smith </w:t>
            </w:r>
            <w:r w:rsidR="00991AC5">
              <w:rPr>
                <w:rFonts w:eastAsia="MS Mincho" w:cstheme="minorHAnsi"/>
              </w:rPr>
              <w:t>(</w:t>
            </w:r>
            <w:r w:rsidRPr="00FC50B4">
              <w:rPr>
                <w:rFonts w:eastAsia="MS Mincho" w:cstheme="minorHAnsi"/>
              </w:rPr>
              <w:t>2009</w:t>
            </w:r>
            <w:r w:rsidR="00991AC5">
              <w:rPr>
                <w:rFonts w:eastAsia="MS Mincho" w:cstheme="minorHAnsi"/>
              </w:rPr>
              <w:t>)</w:t>
            </w:r>
          </w:p>
        </w:tc>
        <w:tc>
          <w:tcPr>
            <w:tcW w:w="234" w:type="pct"/>
          </w:tcPr>
          <w:p w:rsidR="00F536ED" w:rsidRPr="00017AE6" w:rsidRDefault="004810EB" w:rsidP="00A71365">
            <w:pPr>
              <w:pStyle w:val="Tablewriting"/>
              <w:rPr>
                <w:rFonts w:eastAsia="MS Mincho" w:cstheme="minorHAnsi"/>
              </w:rPr>
            </w:pPr>
            <w:r>
              <w:rPr>
                <w:rFonts w:eastAsia="MS Mincho" w:cstheme="minorHAnsi"/>
              </w:rPr>
              <w:t>RCT</w:t>
            </w:r>
          </w:p>
        </w:tc>
        <w:tc>
          <w:tcPr>
            <w:tcW w:w="433" w:type="pct"/>
          </w:tcPr>
          <w:p w:rsidR="00F536ED" w:rsidRPr="00017AE6" w:rsidRDefault="00DB4A11" w:rsidP="00A71365">
            <w:pPr>
              <w:pStyle w:val="Tablewriting"/>
              <w:rPr>
                <w:rFonts w:eastAsia="MS Mincho" w:cstheme="minorHAnsi"/>
              </w:rPr>
            </w:pPr>
            <w:r>
              <w:rPr>
                <w:rFonts w:eastAsia="MS Mincho" w:cstheme="minorHAnsi"/>
              </w:rPr>
              <w:t>USA</w:t>
            </w:r>
          </w:p>
        </w:tc>
        <w:tc>
          <w:tcPr>
            <w:tcW w:w="358" w:type="pct"/>
          </w:tcPr>
          <w:p w:rsidR="00F536ED" w:rsidRPr="00017AE6" w:rsidRDefault="00F536ED" w:rsidP="00A71365">
            <w:pPr>
              <w:pStyle w:val="Tablewriting"/>
              <w:rPr>
                <w:rFonts w:eastAsia="MS Mincho" w:cstheme="minorHAnsi"/>
              </w:rPr>
            </w:pPr>
            <w:r w:rsidRPr="003A1845">
              <w:rPr>
                <w:rFonts w:eastAsia="MS Mincho" w:cstheme="minorHAnsi"/>
              </w:rPr>
              <w:t>N=</w:t>
            </w:r>
            <w:r w:rsidR="00EE72B2">
              <w:rPr>
                <w:rFonts w:eastAsia="MS Mincho" w:cstheme="minorHAnsi"/>
              </w:rPr>
              <w:t>1346</w:t>
            </w:r>
          </w:p>
        </w:tc>
        <w:tc>
          <w:tcPr>
            <w:tcW w:w="1176" w:type="pct"/>
          </w:tcPr>
          <w:p w:rsidR="00EE72B2" w:rsidRPr="00EE72B2" w:rsidRDefault="00852606" w:rsidP="00A71365">
            <w:pPr>
              <w:pStyle w:val="Tablewriting"/>
              <w:rPr>
                <w:rFonts w:eastAsia="MS Mincho" w:cstheme="minorHAnsi"/>
              </w:rPr>
            </w:pPr>
            <w:r>
              <w:rPr>
                <w:rFonts w:eastAsia="MS Mincho" w:cstheme="minorHAnsi"/>
              </w:rPr>
              <w:t>S</w:t>
            </w:r>
            <w:r w:rsidR="00EE72B2" w:rsidRPr="00EE72B2">
              <w:rPr>
                <w:rFonts w:eastAsia="MS Mincho" w:cstheme="minorHAnsi"/>
              </w:rPr>
              <w:t xml:space="preserve">mokers of &gt; 10 </w:t>
            </w:r>
            <w:r w:rsidR="00EE72B2">
              <w:rPr>
                <w:rFonts w:eastAsia="MS Mincho" w:cstheme="minorHAnsi"/>
              </w:rPr>
              <w:t>CPD</w:t>
            </w:r>
            <w:r w:rsidR="00EE72B2" w:rsidRPr="00EE72B2">
              <w:rPr>
                <w:rFonts w:eastAsia="MS Mincho" w:cstheme="minorHAnsi"/>
              </w:rPr>
              <w:t xml:space="preserve"> for past 6 m</w:t>
            </w:r>
            <w:r w:rsidR="00EB6615">
              <w:rPr>
                <w:rFonts w:eastAsia="MS Mincho" w:cstheme="minorHAnsi"/>
              </w:rPr>
              <w:t>onths</w:t>
            </w:r>
            <w:r w:rsidR="00630DF7">
              <w:rPr>
                <w:rFonts w:eastAsia="MS Mincho" w:cstheme="minorHAnsi"/>
              </w:rPr>
              <w:t xml:space="preserve">, </w:t>
            </w:r>
            <w:r w:rsidR="00630DF7" w:rsidRPr="00EE72B2">
              <w:rPr>
                <w:rFonts w:eastAsia="MS Mincho" w:cstheme="minorHAnsi"/>
              </w:rPr>
              <w:t>motivated to quit</w:t>
            </w:r>
            <w:r w:rsidR="00630DF7">
              <w:rPr>
                <w:rFonts w:eastAsia="MS Mincho" w:cstheme="minorHAnsi"/>
              </w:rPr>
              <w:t>.</w:t>
            </w:r>
          </w:p>
          <w:p w:rsidR="00F536ED" w:rsidRPr="00017AE6" w:rsidRDefault="00EE72B2" w:rsidP="00A71365">
            <w:pPr>
              <w:pStyle w:val="Tablewriting"/>
              <w:rPr>
                <w:rFonts w:eastAsia="MS Mincho" w:cstheme="minorHAnsi"/>
              </w:rPr>
            </w:pPr>
            <w:r w:rsidRPr="00EE72B2">
              <w:rPr>
                <w:rFonts w:eastAsia="MS Mincho" w:cstheme="minorHAnsi"/>
              </w:rPr>
              <w:t>44% men, av</w:t>
            </w:r>
            <w:r w:rsidR="00630DF7">
              <w:rPr>
                <w:rFonts w:eastAsia="MS Mincho" w:cstheme="minorHAnsi"/>
              </w:rPr>
              <w:t xml:space="preserve">erage </w:t>
            </w:r>
            <w:r w:rsidRPr="00EE72B2">
              <w:rPr>
                <w:rFonts w:eastAsia="MS Mincho" w:cstheme="minorHAnsi"/>
              </w:rPr>
              <w:t>age 44</w:t>
            </w:r>
            <w:r w:rsidR="00630DF7">
              <w:rPr>
                <w:rFonts w:eastAsia="MS Mincho" w:cstheme="minorHAnsi"/>
              </w:rPr>
              <w:t xml:space="preserve"> years</w:t>
            </w:r>
            <w:r w:rsidRPr="00EE72B2">
              <w:rPr>
                <w:rFonts w:eastAsia="MS Mincho" w:cstheme="minorHAnsi"/>
              </w:rPr>
              <w:t>, av</w:t>
            </w:r>
            <w:r w:rsidR="00630DF7">
              <w:rPr>
                <w:rFonts w:eastAsia="MS Mincho" w:cstheme="minorHAnsi"/>
              </w:rPr>
              <w:t>erage</w:t>
            </w:r>
            <w:r w:rsidRPr="00EE72B2">
              <w:rPr>
                <w:rFonts w:eastAsia="MS Mincho" w:cstheme="minorHAnsi"/>
              </w:rPr>
              <w:t xml:space="preserve"> </w:t>
            </w:r>
            <w:r w:rsidR="008B4D4E">
              <w:rPr>
                <w:rFonts w:eastAsia="MS Mincho" w:cstheme="minorHAnsi"/>
              </w:rPr>
              <w:t>CPD</w:t>
            </w:r>
            <w:r w:rsidRPr="00EE72B2">
              <w:rPr>
                <w:rFonts w:eastAsia="MS Mincho" w:cstheme="minorHAnsi"/>
              </w:rPr>
              <w:t xml:space="preserve"> 20.3</w:t>
            </w:r>
            <w:r w:rsidR="00630DF7">
              <w:rPr>
                <w:rFonts w:eastAsia="MS Mincho" w:cstheme="minorHAnsi"/>
              </w:rPr>
              <w:t>.</w:t>
            </w:r>
          </w:p>
        </w:tc>
        <w:tc>
          <w:tcPr>
            <w:tcW w:w="1295" w:type="pct"/>
          </w:tcPr>
          <w:p w:rsidR="008B4D4E" w:rsidRPr="008B4D4E" w:rsidRDefault="008B4D4E" w:rsidP="00C324F3">
            <w:pPr>
              <w:pStyle w:val="Tablewriting"/>
              <w:numPr>
                <w:ilvl w:val="0"/>
                <w:numId w:val="177"/>
              </w:numPr>
              <w:rPr>
                <w:rFonts w:eastAsia="MS Mincho" w:cstheme="minorHAnsi"/>
              </w:rPr>
            </w:pPr>
            <w:r w:rsidRPr="008B4D4E">
              <w:rPr>
                <w:rFonts w:eastAsia="MS Mincho" w:cstheme="minorHAnsi"/>
              </w:rPr>
              <w:t>Bupropion only (up-titrated during w</w:t>
            </w:r>
            <w:r w:rsidR="00922006">
              <w:rPr>
                <w:rFonts w:eastAsia="MS Mincho" w:cstheme="minorHAnsi"/>
              </w:rPr>
              <w:t>ee</w:t>
            </w:r>
            <w:r w:rsidRPr="008B4D4E">
              <w:rPr>
                <w:rFonts w:eastAsia="MS Mincho" w:cstheme="minorHAnsi"/>
              </w:rPr>
              <w:t>k pre-quitting, 150 mg twice a day for 8 w</w:t>
            </w:r>
            <w:r w:rsidR="00922006">
              <w:rPr>
                <w:rFonts w:eastAsia="MS Mincho" w:cstheme="minorHAnsi"/>
              </w:rPr>
              <w:t>ee</w:t>
            </w:r>
            <w:r w:rsidRPr="008B4D4E">
              <w:rPr>
                <w:rFonts w:eastAsia="MS Mincho" w:cstheme="minorHAnsi"/>
              </w:rPr>
              <w:t>ks post-quit)</w:t>
            </w:r>
          </w:p>
          <w:p w:rsidR="000F0AEC" w:rsidRDefault="008B4D4E" w:rsidP="00C324F3">
            <w:pPr>
              <w:pStyle w:val="Tablewriting"/>
              <w:numPr>
                <w:ilvl w:val="0"/>
                <w:numId w:val="177"/>
              </w:numPr>
              <w:rPr>
                <w:rFonts w:eastAsia="MS Mincho" w:cstheme="minorHAnsi"/>
              </w:rPr>
            </w:pPr>
            <w:r w:rsidRPr="008B4D4E">
              <w:rPr>
                <w:rFonts w:eastAsia="MS Mincho" w:cstheme="minorHAnsi"/>
              </w:rPr>
              <w:lastRenderedPageBreak/>
              <w:t>Nicotine lozenge only (4 mg lozenge if first cig of day smoked &gt; 30 mins after waking, 2 mg otherwise.</w:t>
            </w:r>
          </w:p>
          <w:p w:rsidR="008B4D4E" w:rsidRPr="000F0AEC" w:rsidRDefault="008B4D4E" w:rsidP="00A71365">
            <w:pPr>
              <w:pStyle w:val="Tablewriting"/>
              <w:ind w:left="502"/>
              <w:rPr>
                <w:rFonts w:eastAsia="MS Mincho" w:cstheme="minorHAnsi"/>
              </w:rPr>
            </w:pPr>
            <w:r w:rsidRPr="000F0AEC">
              <w:rPr>
                <w:rFonts w:eastAsia="MS Mincho" w:cstheme="minorHAnsi"/>
              </w:rPr>
              <w:t>1 lozenge every 1 - 2 hrs post-quit w</w:t>
            </w:r>
            <w:r w:rsidR="00922006" w:rsidRPr="000F0AEC">
              <w:rPr>
                <w:rFonts w:eastAsia="MS Mincho" w:cstheme="minorHAnsi"/>
              </w:rPr>
              <w:t>ee</w:t>
            </w:r>
            <w:r w:rsidRPr="000F0AEC">
              <w:rPr>
                <w:rFonts w:eastAsia="MS Mincho" w:cstheme="minorHAnsi"/>
              </w:rPr>
              <w:t>k 1 - 6; 1 lozenge every 2 - 4 hrs w</w:t>
            </w:r>
            <w:r w:rsidR="00922006" w:rsidRPr="000F0AEC">
              <w:rPr>
                <w:rFonts w:eastAsia="MS Mincho" w:cstheme="minorHAnsi"/>
              </w:rPr>
              <w:t>ee</w:t>
            </w:r>
            <w:r w:rsidRPr="000F0AEC">
              <w:rPr>
                <w:rFonts w:eastAsia="MS Mincho" w:cstheme="minorHAnsi"/>
              </w:rPr>
              <w:t>k 7 - 9; 1 lozenge every 4 - 8 hrs w</w:t>
            </w:r>
            <w:r w:rsidR="009A2F30" w:rsidRPr="000F0AEC">
              <w:rPr>
                <w:rFonts w:eastAsia="MS Mincho" w:cstheme="minorHAnsi"/>
              </w:rPr>
              <w:t>ee</w:t>
            </w:r>
            <w:r w:rsidRPr="000F0AEC">
              <w:rPr>
                <w:rFonts w:eastAsia="MS Mincho" w:cstheme="minorHAnsi"/>
              </w:rPr>
              <w:t>k 10 - 12)</w:t>
            </w:r>
          </w:p>
          <w:p w:rsidR="008B4D4E" w:rsidRPr="008B4D4E" w:rsidRDefault="008B4D4E" w:rsidP="00C324F3">
            <w:pPr>
              <w:pStyle w:val="Tablewriting"/>
              <w:numPr>
                <w:ilvl w:val="0"/>
                <w:numId w:val="177"/>
              </w:numPr>
              <w:rPr>
                <w:rFonts w:eastAsia="MS Mincho" w:cstheme="minorHAnsi"/>
              </w:rPr>
            </w:pPr>
            <w:r w:rsidRPr="008B4D4E">
              <w:rPr>
                <w:rFonts w:eastAsia="MS Mincho" w:cstheme="minorHAnsi"/>
              </w:rPr>
              <w:t>Nicotine patch only (21 mg post-quit w</w:t>
            </w:r>
            <w:r w:rsidR="009A2F30">
              <w:rPr>
                <w:rFonts w:eastAsia="MS Mincho" w:cstheme="minorHAnsi"/>
              </w:rPr>
              <w:t>ee</w:t>
            </w:r>
            <w:r w:rsidRPr="008B4D4E">
              <w:rPr>
                <w:rFonts w:eastAsia="MS Mincho" w:cstheme="minorHAnsi"/>
              </w:rPr>
              <w:t>k 1 - 4; 14 mg w</w:t>
            </w:r>
            <w:r w:rsidR="009A2F30">
              <w:rPr>
                <w:rFonts w:eastAsia="MS Mincho" w:cstheme="minorHAnsi"/>
              </w:rPr>
              <w:t>ee</w:t>
            </w:r>
            <w:r w:rsidRPr="008B4D4E">
              <w:rPr>
                <w:rFonts w:eastAsia="MS Mincho" w:cstheme="minorHAnsi"/>
              </w:rPr>
              <w:t>k 5 - 6; 7 mg w</w:t>
            </w:r>
            <w:r w:rsidR="009A2F30">
              <w:rPr>
                <w:rFonts w:eastAsia="MS Mincho" w:cstheme="minorHAnsi"/>
              </w:rPr>
              <w:t>ee</w:t>
            </w:r>
            <w:r w:rsidRPr="008B4D4E">
              <w:rPr>
                <w:rFonts w:eastAsia="MS Mincho" w:cstheme="minorHAnsi"/>
              </w:rPr>
              <w:t>k 7 - 8)</w:t>
            </w:r>
            <w:r>
              <w:rPr>
                <w:rFonts w:eastAsia="MS Mincho" w:cstheme="minorHAnsi"/>
              </w:rPr>
              <w:t>.</w:t>
            </w:r>
          </w:p>
          <w:p w:rsidR="008B4D4E" w:rsidRPr="008B4D4E" w:rsidRDefault="008B4D4E" w:rsidP="00C324F3">
            <w:pPr>
              <w:pStyle w:val="Tablewriting"/>
              <w:numPr>
                <w:ilvl w:val="0"/>
                <w:numId w:val="177"/>
              </w:numPr>
              <w:rPr>
                <w:rFonts w:eastAsia="MS Mincho" w:cstheme="minorHAnsi"/>
              </w:rPr>
            </w:pPr>
            <w:r w:rsidRPr="008B4D4E">
              <w:rPr>
                <w:rFonts w:eastAsia="MS Mincho" w:cstheme="minorHAnsi"/>
              </w:rPr>
              <w:t>Bupropion and lozenge (dosage as above)</w:t>
            </w:r>
            <w:r>
              <w:rPr>
                <w:rFonts w:eastAsia="MS Mincho" w:cstheme="minorHAnsi"/>
              </w:rPr>
              <w:t>.</w:t>
            </w:r>
          </w:p>
          <w:p w:rsidR="00F536ED" w:rsidRPr="00017AE6" w:rsidRDefault="008B4D4E" w:rsidP="00C324F3">
            <w:pPr>
              <w:pStyle w:val="Tablewriting"/>
              <w:numPr>
                <w:ilvl w:val="0"/>
                <w:numId w:val="177"/>
              </w:numPr>
              <w:rPr>
                <w:rFonts w:eastAsia="MS Mincho" w:cstheme="minorHAnsi"/>
              </w:rPr>
            </w:pPr>
            <w:r w:rsidRPr="008B4D4E">
              <w:rPr>
                <w:rFonts w:eastAsia="MS Mincho" w:cstheme="minorHAnsi"/>
              </w:rPr>
              <w:t>Patch and lozenge (dosage as above)</w:t>
            </w:r>
            <w:r>
              <w:rPr>
                <w:rFonts w:eastAsia="MS Mincho" w:cstheme="minorHAnsi"/>
              </w:rPr>
              <w:t>.</w:t>
            </w:r>
          </w:p>
        </w:tc>
        <w:tc>
          <w:tcPr>
            <w:tcW w:w="1008" w:type="pct"/>
          </w:tcPr>
          <w:p w:rsidR="0095547F" w:rsidRDefault="0095547F" w:rsidP="00A71365">
            <w:pPr>
              <w:pStyle w:val="Tablewriting"/>
              <w:rPr>
                <w:rFonts w:eastAsia="MS Mincho" w:cstheme="minorHAnsi"/>
                <w:u w:val="single"/>
              </w:rPr>
            </w:pPr>
            <w:r>
              <w:rPr>
                <w:rFonts w:eastAsia="MS Mincho" w:cstheme="minorHAnsi"/>
                <w:u w:val="single"/>
              </w:rPr>
              <w:lastRenderedPageBreak/>
              <w:t>Efficacy:</w:t>
            </w:r>
            <w:r w:rsidR="00514E5A">
              <w:t xml:space="preserve"> </w:t>
            </w:r>
            <w:r w:rsidR="00514E5A" w:rsidRPr="00514E5A">
              <w:rPr>
                <w:rFonts w:eastAsia="MS Mincho" w:cstheme="minorHAnsi"/>
              </w:rPr>
              <w:t>7-day PPA at 6 m</w:t>
            </w:r>
            <w:r w:rsidR="000F0AEC">
              <w:rPr>
                <w:rFonts w:eastAsia="MS Mincho" w:cstheme="minorHAnsi"/>
              </w:rPr>
              <w:t>onths</w:t>
            </w:r>
            <w:r w:rsidR="00514E5A" w:rsidRPr="00514E5A">
              <w:rPr>
                <w:rFonts w:eastAsia="MS Mincho" w:cstheme="minorHAnsi"/>
              </w:rPr>
              <w:t xml:space="preserve"> and number of days to relapse</w:t>
            </w:r>
            <w:r w:rsidR="000F0AEC">
              <w:rPr>
                <w:rFonts w:eastAsia="MS Mincho" w:cstheme="minorHAnsi"/>
              </w:rPr>
              <w:t>.</w:t>
            </w:r>
          </w:p>
          <w:p w:rsidR="0095547F" w:rsidRDefault="0095547F" w:rsidP="00A71365">
            <w:pPr>
              <w:pStyle w:val="Tablewriting"/>
              <w:rPr>
                <w:rFonts w:eastAsia="MS Mincho" w:cstheme="minorHAnsi"/>
                <w:u w:val="single"/>
              </w:rPr>
            </w:pPr>
          </w:p>
          <w:p w:rsidR="00514E5A" w:rsidRDefault="00514E5A" w:rsidP="00A71365">
            <w:pPr>
              <w:pStyle w:val="Tablewriting"/>
              <w:rPr>
                <w:rFonts w:eastAsia="MS Mincho" w:cstheme="minorHAnsi"/>
              </w:rPr>
            </w:pPr>
            <w:r w:rsidRPr="00514E5A">
              <w:rPr>
                <w:rFonts w:eastAsia="MS Mincho" w:cstheme="minorHAnsi"/>
              </w:rPr>
              <w:t>Validation: none</w:t>
            </w:r>
            <w:r w:rsidR="000F0AEC">
              <w:rPr>
                <w:rFonts w:eastAsia="MS Mincho" w:cstheme="minorHAnsi"/>
              </w:rPr>
              <w:t>.</w:t>
            </w:r>
          </w:p>
          <w:p w:rsidR="00514E5A" w:rsidRPr="00514E5A" w:rsidRDefault="00514E5A" w:rsidP="00A71365">
            <w:pPr>
              <w:pStyle w:val="Tablewriting"/>
              <w:rPr>
                <w:rFonts w:eastAsia="MS Mincho" w:cstheme="minorHAnsi"/>
              </w:rPr>
            </w:pPr>
          </w:p>
          <w:p w:rsidR="000F0AEC" w:rsidRPr="00514E5A" w:rsidRDefault="0095547F" w:rsidP="00A71365">
            <w:pPr>
              <w:pStyle w:val="Tablewriting"/>
              <w:rPr>
                <w:rFonts w:eastAsia="MS Mincho" w:cstheme="minorHAnsi"/>
              </w:rPr>
            </w:pPr>
            <w:r>
              <w:rPr>
                <w:rFonts w:eastAsia="MS Mincho" w:cstheme="minorHAnsi"/>
                <w:u w:val="single"/>
              </w:rPr>
              <w:lastRenderedPageBreak/>
              <w:t>Safety:</w:t>
            </w:r>
            <w:r w:rsidR="000F0AEC">
              <w:rPr>
                <w:rFonts w:eastAsia="MS Mincho" w:cstheme="minorHAnsi"/>
                <w:u w:val="single"/>
              </w:rPr>
              <w:t xml:space="preserve"> </w:t>
            </w:r>
            <w:r w:rsidR="000F0AEC" w:rsidRPr="00514E5A">
              <w:rPr>
                <w:rFonts w:eastAsia="MS Mincho" w:cstheme="minorHAnsi"/>
              </w:rPr>
              <w:t>Adverse events</w:t>
            </w:r>
            <w:r w:rsidR="000F0AEC">
              <w:rPr>
                <w:rFonts w:eastAsia="MS Mincho" w:cstheme="minorHAnsi"/>
              </w:rPr>
              <w:t xml:space="preserve"> </w:t>
            </w:r>
            <w:r w:rsidR="000F0AEC" w:rsidRPr="00514E5A">
              <w:rPr>
                <w:rFonts w:eastAsia="MS Mincho" w:cstheme="minorHAnsi"/>
              </w:rPr>
              <w:t>not measured</w:t>
            </w:r>
            <w:r w:rsidR="001F397E">
              <w:rPr>
                <w:rFonts w:eastAsia="MS Mincho" w:cstheme="minorHAnsi"/>
              </w:rPr>
              <w:t>.</w:t>
            </w:r>
            <w:r w:rsidR="00786820">
              <w:rPr>
                <w:rFonts w:eastAsia="MS Mincho" w:cstheme="minorHAnsi"/>
              </w:rPr>
              <w:t xml:space="preserve"> </w:t>
            </w:r>
          </w:p>
          <w:p w:rsidR="00F536ED" w:rsidRPr="004272CD" w:rsidRDefault="00F536ED" w:rsidP="00A71365">
            <w:pPr>
              <w:pStyle w:val="Tablewriting"/>
              <w:rPr>
                <w:rFonts w:eastAsia="MS Mincho" w:cstheme="minorHAnsi"/>
                <w:u w:val="single"/>
              </w:rPr>
            </w:pPr>
          </w:p>
        </w:tc>
      </w:tr>
      <w:tr w:rsidR="00F536ED" w:rsidRPr="00017AE6" w:rsidTr="008E2AC2">
        <w:trPr>
          <w:trHeight w:val="99"/>
        </w:trPr>
        <w:tc>
          <w:tcPr>
            <w:tcW w:w="495" w:type="pct"/>
          </w:tcPr>
          <w:p w:rsidR="00F536ED" w:rsidRPr="00017AE6" w:rsidRDefault="00F536ED" w:rsidP="00A71365">
            <w:pPr>
              <w:pStyle w:val="Tablewriting"/>
              <w:rPr>
                <w:rFonts w:eastAsia="MS Mincho" w:cstheme="minorHAnsi"/>
              </w:rPr>
            </w:pPr>
            <w:r w:rsidRPr="00FC50B4">
              <w:rPr>
                <w:rFonts w:eastAsia="MS Mincho" w:cstheme="minorHAnsi"/>
              </w:rPr>
              <w:lastRenderedPageBreak/>
              <w:t xml:space="preserve">Smith </w:t>
            </w:r>
            <w:r w:rsidR="00991AC5">
              <w:rPr>
                <w:rFonts w:eastAsia="MS Mincho" w:cstheme="minorHAnsi"/>
              </w:rPr>
              <w:t>(</w:t>
            </w:r>
            <w:r w:rsidRPr="00FC50B4">
              <w:rPr>
                <w:rFonts w:eastAsia="MS Mincho" w:cstheme="minorHAnsi"/>
              </w:rPr>
              <w:t>2013</w:t>
            </w:r>
            <w:r w:rsidR="00991AC5">
              <w:rPr>
                <w:rFonts w:eastAsia="MS Mincho" w:cstheme="minorHAnsi"/>
              </w:rPr>
              <w:t>)</w:t>
            </w:r>
          </w:p>
        </w:tc>
        <w:tc>
          <w:tcPr>
            <w:tcW w:w="234" w:type="pct"/>
          </w:tcPr>
          <w:p w:rsidR="00F536ED" w:rsidRPr="00017AE6" w:rsidRDefault="004810EB" w:rsidP="00A71365">
            <w:pPr>
              <w:pStyle w:val="Tablewriting"/>
              <w:rPr>
                <w:rFonts w:eastAsia="MS Mincho" w:cstheme="minorHAnsi"/>
              </w:rPr>
            </w:pPr>
            <w:r>
              <w:rPr>
                <w:rFonts w:eastAsia="MS Mincho" w:cstheme="minorHAnsi"/>
              </w:rPr>
              <w:t>RCT</w:t>
            </w:r>
          </w:p>
        </w:tc>
        <w:tc>
          <w:tcPr>
            <w:tcW w:w="433" w:type="pct"/>
          </w:tcPr>
          <w:p w:rsidR="00F536ED" w:rsidRPr="00017AE6" w:rsidRDefault="00276BE2" w:rsidP="00A71365">
            <w:pPr>
              <w:pStyle w:val="Tablewriting"/>
              <w:rPr>
                <w:rFonts w:eastAsia="MS Mincho" w:cstheme="minorHAnsi"/>
              </w:rPr>
            </w:pPr>
            <w:r>
              <w:rPr>
                <w:rFonts w:eastAsia="MS Mincho" w:cstheme="minorHAnsi"/>
              </w:rPr>
              <w:t>USA</w:t>
            </w:r>
          </w:p>
        </w:tc>
        <w:tc>
          <w:tcPr>
            <w:tcW w:w="358" w:type="pct"/>
          </w:tcPr>
          <w:p w:rsidR="00F536ED" w:rsidRPr="00017AE6" w:rsidRDefault="00F536ED" w:rsidP="00A71365">
            <w:pPr>
              <w:pStyle w:val="Tablewriting"/>
              <w:rPr>
                <w:rFonts w:eastAsia="MS Mincho" w:cstheme="minorHAnsi"/>
              </w:rPr>
            </w:pPr>
            <w:r w:rsidRPr="003A1845">
              <w:rPr>
                <w:rFonts w:eastAsia="MS Mincho" w:cstheme="minorHAnsi"/>
              </w:rPr>
              <w:t>N=</w:t>
            </w:r>
            <w:r w:rsidR="00852606">
              <w:rPr>
                <w:rFonts w:eastAsia="MS Mincho" w:cstheme="minorHAnsi"/>
              </w:rPr>
              <w:t>987</w:t>
            </w:r>
          </w:p>
        </w:tc>
        <w:tc>
          <w:tcPr>
            <w:tcW w:w="1176" w:type="pct"/>
          </w:tcPr>
          <w:p w:rsidR="00852606" w:rsidRPr="00852606" w:rsidRDefault="00852606" w:rsidP="00A71365">
            <w:pPr>
              <w:pStyle w:val="Tablewriting"/>
              <w:rPr>
                <w:rFonts w:eastAsia="MS Mincho" w:cstheme="minorHAnsi"/>
              </w:rPr>
            </w:pPr>
            <w:r>
              <w:rPr>
                <w:rFonts w:eastAsia="MS Mincho" w:cstheme="minorHAnsi"/>
              </w:rPr>
              <w:t>S</w:t>
            </w:r>
            <w:r w:rsidRPr="00852606">
              <w:rPr>
                <w:rFonts w:eastAsia="MS Mincho" w:cstheme="minorHAnsi"/>
              </w:rPr>
              <w:t>mokers</w:t>
            </w:r>
            <w:r w:rsidR="004F2F07">
              <w:rPr>
                <w:rFonts w:eastAsia="MS Mincho" w:cstheme="minorHAnsi"/>
              </w:rPr>
              <w:t>,</w:t>
            </w:r>
            <w:r w:rsidRPr="00852606">
              <w:rPr>
                <w:rFonts w:eastAsia="MS Mincho" w:cstheme="minorHAnsi"/>
              </w:rPr>
              <w:t xml:space="preserve"> aged </w:t>
            </w:r>
            <w:r w:rsidR="00E632A9" w:rsidRPr="00E632A9">
              <w:rPr>
                <w:rFonts w:eastAsia="MS Mincho" w:cstheme="minorHAnsi"/>
              </w:rPr>
              <w:t>≥</w:t>
            </w:r>
            <w:r w:rsidRPr="00852606">
              <w:rPr>
                <w:rFonts w:eastAsia="MS Mincho" w:cstheme="minorHAnsi"/>
              </w:rPr>
              <w:t xml:space="preserve"> 18 years, </w:t>
            </w:r>
            <w:r w:rsidR="0051319E" w:rsidRPr="00E632A9">
              <w:rPr>
                <w:rFonts w:eastAsia="MS Mincho" w:cstheme="minorHAnsi"/>
              </w:rPr>
              <w:t>≥</w:t>
            </w:r>
            <w:r w:rsidRPr="00852606">
              <w:rPr>
                <w:rFonts w:eastAsia="MS Mincho" w:cstheme="minorHAnsi"/>
              </w:rPr>
              <w:t xml:space="preserve"> 10 </w:t>
            </w:r>
            <w:r>
              <w:rPr>
                <w:rFonts w:eastAsia="MS Mincho" w:cstheme="minorHAnsi"/>
              </w:rPr>
              <w:t>CPD</w:t>
            </w:r>
            <w:r w:rsidRPr="00852606">
              <w:rPr>
                <w:rFonts w:eastAsia="MS Mincho" w:cstheme="minorHAnsi"/>
              </w:rPr>
              <w:t>, willing to quit in next 30 days</w:t>
            </w:r>
          </w:p>
          <w:p w:rsidR="00F536ED" w:rsidRPr="00017AE6" w:rsidRDefault="00852606" w:rsidP="00A71365">
            <w:pPr>
              <w:pStyle w:val="Tablewriting"/>
              <w:rPr>
                <w:rFonts w:eastAsia="MS Mincho" w:cstheme="minorHAnsi"/>
              </w:rPr>
            </w:pPr>
            <w:r w:rsidRPr="00852606">
              <w:rPr>
                <w:rFonts w:eastAsia="MS Mincho" w:cstheme="minorHAnsi"/>
              </w:rPr>
              <w:t>42.4% men, av</w:t>
            </w:r>
            <w:r w:rsidR="00D77D1D">
              <w:rPr>
                <w:rFonts w:eastAsia="MS Mincho" w:cstheme="minorHAnsi"/>
              </w:rPr>
              <w:t>erage</w:t>
            </w:r>
            <w:r w:rsidRPr="00852606">
              <w:rPr>
                <w:rFonts w:eastAsia="MS Mincho" w:cstheme="minorHAnsi"/>
              </w:rPr>
              <w:t xml:space="preserve"> age 41.9</w:t>
            </w:r>
            <w:r w:rsidR="00D77D1D">
              <w:rPr>
                <w:rFonts w:eastAsia="MS Mincho" w:cstheme="minorHAnsi"/>
              </w:rPr>
              <w:t xml:space="preserve"> years</w:t>
            </w:r>
            <w:r w:rsidRPr="00852606">
              <w:rPr>
                <w:rFonts w:eastAsia="MS Mincho" w:cstheme="minorHAnsi"/>
              </w:rPr>
              <w:t>, av</w:t>
            </w:r>
            <w:r w:rsidR="004F2F07">
              <w:rPr>
                <w:rFonts w:eastAsia="MS Mincho" w:cstheme="minorHAnsi"/>
              </w:rPr>
              <w:t>erag</w:t>
            </w:r>
            <w:r w:rsidR="00E632A9">
              <w:rPr>
                <w:rFonts w:eastAsia="MS Mincho" w:cstheme="minorHAnsi"/>
              </w:rPr>
              <w:t xml:space="preserve">e </w:t>
            </w:r>
            <w:r>
              <w:rPr>
                <w:rFonts w:eastAsia="MS Mincho" w:cstheme="minorHAnsi"/>
              </w:rPr>
              <w:t>CPD</w:t>
            </w:r>
            <w:r w:rsidRPr="00852606">
              <w:rPr>
                <w:rFonts w:eastAsia="MS Mincho" w:cstheme="minorHAnsi"/>
              </w:rPr>
              <w:t xml:space="preserve"> 20.7, 85% of participants' time to first cigarette was within 5 mins,</w:t>
            </w:r>
            <w:r w:rsidR="00E632A9">
              <w:rPr>
                <w:rFonts w:eastAsia="MS Mincho" w:cstheme="minorHAnsi"/>
              </w:rPr>
              <w:t xml:space="preserve"> </w:t>
            </w:r>
            <w:r w:rsidRPr="00852606">
              <w:rPr>
                <w:rFonts w:eastAsia="MS Mincho" w:cstheme="minorHAnsi"/>
              </w:rPr>
              <w:t xml:space="preserve">mode category for number of previous quit attempts was 2 </w:t>
            </w:r>
            <w:r w:rsidR="00E632A9">
              <w:rPr>
                <w:rFonts w:eastAsia="MS Mincho" w:cstheme="minorHAnsi"/>
              </w:rPr>
              <w:t>–</w:t>
            </w:r>
            <w:r w:rsidRPr="00852606">
              <w:rPr>
                <w:rFonts w:eastAsia="MS Mincho" w:cstheme="minorHAnsi"/>
              </w:rPr>
              <w:t xml:space="preserve"> 5</w:t>
            </w:r>
            <w:r w:rsidR="00E632A9">
              <w:rPr>
                <w:rFonts w:eastAsia="MS Mincho" w:cstheme="minorHAnsi"/>
              </w:rPr>
              <w:t>.</w:t>
            </w:r>
          </w:p>
        </w:tc>
        <w:tc>
          <w:tcPr>
            <w:tcW w:w="1295" w:type="pct"/>
          </w:tcPr>
          <w:p w:rsidR="00CF4EF2" w:rsidRPr="002E10A1" w:rsidRDefault="00CF4EF2" w:rsidP="00C324F3">
            <w:pPr>
              <w:pStyle w:val="ListParagraph"/>
              <w:numPr>
                <w:ilvl w:val="0"/>
                <w:numId w:val="179"/>
              </w:numPr>
              <w:autoSpaceDE w:val="0"/>
              <w:autoSpaceDN w:val="0"/>
              <w:adjustRightInd w:val="0"/>
              <w:rPr>
                <w:rFonts w:asciiTheme="minorHAnsi" w:eastAsia="MS Mincho" w:hAnsiTheme="minorHAnsi" w:cstheme="minorHAnsi"/>
                <w:lang w:eastAsia="en-US"/>
              </w:rPr>
            </w:pPr>
            <w:r w:rsidRPr="002E10A1">
              <w:rPr>
                <w:rFonts w:asciiTheme="minorHAnsi" w:eastAsia="MS Mincho" w:hAnsiTheme="minorHAnsi" w:cstheme="minorHAnsi"/>
                <w:lang w:eastAsia="en-US"/>
              </w:rPr>
              <w:t>Nicotine patch vs nicotine patch and nicotine gum</w:t>
            </w:r>
            <w:r w:rsidR="004F2F07">
              <w:rPr>
                <w:rFonts w:asciiTheme="minorHAnsi" w:eastAsia="MS Mincho" w:hAnsiTheme="minorHAnsi" w:cstheme="minorHAnsi"/>
                <w:lang w:eastAsia="en-US"/>
              </w:rPr>
              <w:t>.</w:t>
            </w:r>
          </w:p>
          <w:p w:rsidR="00CF4EF2" w:rsidRPr="00942AAE" w:rsidRDefault="00CF4EF2" w:rsidP="00C324F3">
            <w:pPr>
              <w:pStyle w:val="ListParagraph"/>
              <w:numPr>
                <w:ilvl w:val="0"/>
                <w:numId w:val="178"/>
              </w:numPr>
              <w:autoSpaceDE w:val="0"/>
              <w:autoSpaceDN w:val="0"/>
              <w:adjustRightInd w:val="0"/>
              <w:rPr>
                <w:rFonts w:asciiTheme="minorHAnsi" w:eastAsia="MS Mincho" w:hAnsiTheme="minorHAnsi" w:cstheme="minorHAnsi"/>
                <w:lang w:eastAsia="en-US"/>
              </w:rPr>
            </w:pPr>
            <w:r w:rsidRPr="00942AAE">
              <w:rPr>
                <w:rFonts w:asciiTheme="minorHAnsi" w:eastAsia="MS Mincho" w:hAnsiTheme="minorHAnsi" w:cstheme="minorHAnsi"/>
                <w:lang w:eastAsia="en-US"/>
              </w:rPr>
              <w:t>Two weeks NRT vs 6 weeks NRT</w:t>
            </w:r>
            <w:r w:rsidR="004F2F07">
              <w:rPr>
                <w:rFonts w:asciiTheme="minorHAnsi" w:eastAsia="MS Mincho" w:hAnsiTheme="minorHAnsi" w:cstheme="minorHAnsi"/>
                <w:lang w:eastAsia="en-US"/>
              </w:rPr>
              <w:t>.</w:t>
            </w:r>
          </w:p>
          <w:p w:rsidR="00F536ED" w:rsidRPr="004F2F07" w:rsidRDefault="00CF4EF2" w:rsidP="00C324F3">
            <w:pPr>
              <w:pStyle w:val="Tablewriting"/>
              <w:numPr>
                <w:ilvl w:val="0"/>
                <w:numId w:val="178"/>
              </w:numPr>
              <w:rPr>
                <w:rFonts w:eastAsia="MS Mincho" w:cstheme="minorHAnsi"/>
              </w:rPr>
            </w:pPr>
            <w:r w:rsidRPr="00942AAE">
              <w:rPr>
                <w:rFonts w:eastAsia="MS Mincho" w:cstheme="minorHAnsi"/>
              </w:rPr>
              <w:t>Standard counselling vs medication adherence counselling</w:t>
            </w:r>
            <w:r w:rsidR="004F2F07">
              <w:rPr>
                <w:rFonts w:eastAsia="MS Mincho" w:cstheme="minorHAnsi"/>
              </w:rPr>
              <w:t>.</w:t>
            </w:r>
          </w:p>
        </w:tc>
        <w:tc>
          <w:tcPr>
            <w:tcW w:w="1008" w:type="pct"/>
          </w:tcPr>
          <w:p w:rsidR="000A6077" w:rsidRPr="000A6077" w:rsidRDefault="0095547F" w:rsidP="00A71365">
            <w:pPr>
              <w:pStyle w:val="Tablewriting"/>
              <w:rPr>
                <w:rFonts w:eastAsia="MS Mincho" w:cstheme="minorHAnsi"/>
                <w:u w:val="single"/>
              </w:rPr>
            </w:pPr>
            <w:r>
              <w:rPr>
                <w:rFonts w:eastAsia="MS Mincho" w:cstheme="minorHAnsi"/>
                <w:u w:val="single"/>
              </w:rPr>
              <w:t>Efficacy:</w:t>
            </w:r>
            <w:r w:rsidR="000A6077">
              <w:rPr>
                <w:rFonts w:eastAsia="MS Mincho" w:cstheme="minorHAnsi"/>
                <w:u w:val="single"/>
              </w:rPr>
              <w:t xml:space="preserve"> </w:t>
            </w:r>
            <w:r w:rsidR="000A6077" w:rsidRPr="000A6077">
              <w:rPr>
                <w:rFonts w:eastAsia="MS Mincho" w:cstheme="minorHAnsi"/>
              </w:rPr>
              <w:t>30-day PPA at 6 m</w:t>
            </w:r>
            <w:r w:rsidR="000A6077">
              <w:rPr>
                <w:rFonts w:eastAsia="MS Mincho" w:cstheme="minorHAnsi"/>
              </w:rPr>
              <w:t>onths</w:t>
            </w:r>
            <w:r w:rsidR="000A6077" w:rsidRPr="000A6077">
              <w:rPr>
                <w:rFonts w:eastAsia="MS Mincho" w:cstheme="minorHAnsi"/>
              </w:rPr>
              <w:t xml:space="preserve"> follow-up</w:t>
            </w:r>
          </w:p>
          <w:p w:rsidR="000A6077" w:rsidRDefault="000A6077" w:rsidP="00A71365">
            <w:pPr>
              <w:pStyle w:val="Tablewriting"/>
              <w:rPr>
                <w:rFonts w:eastAsia="MS Mincho" w:cstheme="minorHAnsi"/>
              </w:rPr>
            </w:pPr>
            <w:r w:rsidRPr="000A6077">
              <w:rPr>
                <w:rFonts w:eastAsia="MS Mincho" w:cstheme="minorHAnsi"/>
              </w:rPr>
              <w:t>Other: 7-day PPA at 6 m</w:t>
            </w:r>
            <w:r w:rsidR="0008584A">
              <w:rPr>
                <w:rFonts w:eastAsia="MS Mincho" w:cstheme="minorHAnsi"/>
              </w:rPr>
              <w:t>onths</w:t>
            </w:r>
            <w:r w:rsidRPr="000A6077">
              <w:rPr>
                <w:rFonts w:eastAsia="MS Mincho" w:cstheme="minorHAnsi"/>
              </w:rPr>
              <w:t xml:space="preserve"> follow-up</w:t>
            </w:r>
            <w:r w:rsidR="0008584A">
              <w:rPr>
                <w:rFonts w:eastAsia="MS Mincho" w:cstheme="minorHAnsi"/>
              </w:rPr>
              <w:t>.</w:t>
            </w:r>
          </w:p>
          <w:p w:rsidR="0008584A" w:rsidRPr="000A6077" w:rsidRDefault="0008584A" w:rsidP="00A71365">
            <w:pPr>
              <w:pStyle w:val="Tablewriting"/>
              <w:rPr>
                <w:rFonts w:eastAsia="MS Mincho" w:cstheme="minorHAnsi"/>
              </w:rPr>
            </w:pPr>
          </w:p>
          <w:p w:rsidR="000A6077" w:rsidRPr="000A6077" w:rsidRDefault="000A6077" w:rsidP="00A71365">
            <w:pPr>
              <w:pStyle w:val="Tablewriting"/>
              <w:rPr>
                <w:rFonts w:eastAsia="MS Mincho" w:cstheme="minorHAnsi"/>
              </w:rPr>
            </w:pPr>
            <w:r w:rsidRPr="000A6077">
              <w:rPr>
                <w:rFonts w:eastAsia="MS Mincho" w:cstheme="minorHAnsi"/>
              </w:rPr>
              <w:t>Validation: none</w:t>
            </w:r>
            <w:r w:rsidR="0008584A">
              <w:rPr>
                <w:rFonts w:eastAsia="MS Mincho" w:cstheme="minorHAnsi"/>
              </w:rPr>
              <w:t>.</w:t>
            </w:r>
          </w:p>
          <w:p w:rsidR="0008584A" w:rsidRDefault="0008584A" w:rsidP="00A71365">
            <w:pPr>
              <w:pStyle w:val="Tablewriting"/>
              <w:rPr>
                <w:rFonts w:eastAsia="MS Mincho" w:cstheme="minorHAnsi"/>
                <w:u w:val="single"/>
              </w:rPr>
            </w:pPr>
          </w:p>
          <w:p w:rsidR="0008584A" w:rsidRPr="000A6077" w:rsidRDefault="0095547F" w:rsidP="00A71365">
            <w:pPr>
              <w:pStyle w:val="Tablewriting"/>
              <w:rPr>
                <w:rFonts w:eastAsia="MS Mincho" w:cstheme="minorHAnsi"/>
              </w:rPr>
            </w:pPr>
            <w:r>
              <w:rPr>
                <w:rFonts w:eastAsia="MS Mincho" w:cstheme="minorHAnsi"/>
                <w:u w:val="single"/>
              </w:rPr>
              <w:t>Safety:</w:t>
            </w:r>
            <w:r w:rsidR="0008584A">
              <w:rPr>
                <w:rFonts w:eastAsia="MS Mincho" w:cstheme="minorHAnsi"/>
                <w:u w:val="single"/>
              </w:rPr>
              <w:t xml:space="preserve"> </w:t>
            </w:r>
            <w:r w:rsidR="0008584A" w:rsidRPr="000A6077">
              <w:rPr>
                <w:rFonts w:eastAsia="MS Mincho" w:cstheme="minorHAnsi"/>
              </w:rPr>
              <w:t>Adverse events</w:t>
            </w:r>
            <w:r w:rsidR="0008584A">
              <w:rPr>
                <w:rFonts w:eastAsia="MS Mincho" w:cstheme="minorHAnsi"/>
              </w:rPr>
              <w:t xml:space="preserve"> </w:t>
            </w:r>
            <w:r w:rsidR="0008584A" w:rsidRPr="000A6077">
              <w:rPr>
                <w:rFonts w:eastAsia="MS Mincho" w:cstheme="minorHAnsi"/>
              </w:rPr>
              <w:t>not measured</w:t>
            </w:r>
            <w:r w:rsidR="0008584A">
              <w:rPr>
                <w:rFonts w:eastAsia="MS Mincho" w:cstheme="minorHAnsi"/>
              </w:rPr>
              <w:t>.</w:t>
            </w:r>
          </w:p>
          <w:p w:rsidR="00F536ED" w:rsidRPr="004272CD" w:rsidRDefault="00F536ED" w:rsidP="00A71365">
            <w:pPr>
              <w:pStyle w:val="Tablewriting"/>
              <w:rPr>
                <w:rFonts w:eastAsia="MS Mincho" w:cstheme="minorHAnsi"/>
                <w:u w:val="single"/>
              </w:rPr>
            </w:pPr>
          </w:p>
        </w:tc>
      </w:tr>
      <w:tr w:rsidR="00F536ED" w:rsidRPr="00017AE6" w:rsidTr="008E2AC2">
        <w:trPr>
          <w:trHeight w:val="99"/>
        </w:trPr>
        <w:tc>
          <w:tcPr>
            <w:tcW w:w="495" w:type="pct"/>
          </w:tcPr>
          <w:p w:rsidR="00F536ED" w:rsidRPr="00017AE6" w:rsidRDefault="00F536ED" w:rsidP="00A71365">
            <w:pPr>
              <w:pStyle w:val="Tablewriting"/>
              <w:rPr>
                <w:rFonts w:eastAsia="MS Mincho" w:cstheme="minorHAnsi"/>
              </w:rPr>
            </w:pPr>
            <w:r w:rsidRPr="00FC50B4">
              <w:rPr>
                <w:rFonts w:eastAsia="MS Mincho" w:cstheme="minorHAnsi"/>
              </w:rPr>
              <w:t xml:space="preserve">Tønnesen </w:t>
            </w:r>
            <w:r w:rsidR="00991AC5">
              <w:rPr>
                <w:rFonts w:eastAsia="MS Mincho" w:cstheme="minorHAnsi"/>
              </w:rPr>
              <w:t>(</w:t>
            </w:r>
            <w:r w:rsidRPr="00FC50B4">
              <w:rPr>
                <w:rFonts w:eastAsia="MS Mincho" w:cstheme="minorHAnsi"/>
              </w:rPr>
              <w:t>2000</w:t>
            </w:r>
            <w:r w:rsidR="00991AC5">
              <w:rPr>
                <w:rFonts w:eastAsia="MS Mincho" w:cstheme="minorHAnsi"/>
              </w:rPr>
              <w:t>)</w:t>
            </w:r>
          </w:p>
        </w:tc>
        <w:tc>
          <w:tcPr>
            <w:tcW w:w="234" w:type="pct"/>
          </w:tcPr>
          <w:p w:rsidR="00F536ED" w:rsidRPr="00017AE6" w:rsidRDefault="004810EB" w:rsidP="00A71365">
            <w:pPr>
              <w:pStyle w:val="Tablewriting"/>
              <w:rPr>
                <w:rFonts w:eastAsia="MS Mincho" w:cstheme="minorHAnsi"/>
              </w:rPr>
            </w:pPr>
            <w:r>
              <w:rPr>
                <w:rFonts w:eastAsia="MS Mincho" w:cstheme="minorHAnsi"/>
              </w:rPr>
              <w:t>RCT</w:t>
            </w:r>
          </w:p>
        </w:tc>
        <w:tc>
          <w:tcPr>
            <w:tcW w:w="433" w:type="pct"/>
          </w:tcPr>
          <w:p w:rsidR="00F536ED" w:rsidRPr="00017AE6" w:rsidRDefault="00A23934" w:rsidP="00A71365">
            <w:pPr>
              <w:pStyle w:val="Tablewriting"/>
              <w:rPr>
                <w:rFonts w:eastAsia="MS Mincho" w:cstheme="minorHAnsi"/>
              </w:rPr>
            </w:pPr>
            <w:r w:rsidRPr="00A23934">
              <w:rPr>
                <w:rFonts w:eastAsia="MS Mincho" w:cstheme="minorHAnsi"/>
              </w:rPr>
              <w:t>Denmark</w:t>
            </w:r>
          </w:p>
        </w:tc>
        <w:tc>
          <w:tcPr>
            <w:tcW w:w="358" w:type="pct"/>
          </w:tcPr>
          <w:p w:rsidR="00F536ED" w:rsidRPr="00017AE6" w:rsidRDefault="00F536ED" w:rsidP="00A71365">
            <w:pPr>
              <w:pStyle w:val="Tablewriting"/>
              <w:rPr>
                <w:rFonts w:eastAsia="MS Mincho" w:cstheme="minorHAnsi"/>
              </w:rPr>
            </w:pPr>
            <w:r w:rsidRPr="003A1845">
              <w:rPr>
                <w:rFonts w:eastAsia="MS Mincho" w:cstheme="minorHAnsi"/>
              </w:rPr>
              <w:t>N=</w:t>
            </w:r>
            <w:r w:rsidR="00A23934">
              <w:rPr>
                <w:rFonts w:eastAsia="MS Mincho" w:cstheme="minorHAnsi"/>
              </w:rPr>
              <w:t>446</w:t>
            </w:r>
          </w:p>
        </w:tc>
        <w:tc>
          <w:tcPr>
            <w:tcW w:w="1176" w:type="pct"/>
          </w:tcPr>
          <w:p w:rsidR="00F536ED" w:rsidRPr="00017AE6" w:rsidRDefault="00861C61" w:rsidP="00A71365">
            <w:pPr>
              <w:pStyle w:val="Tablewriting"/>
              <w:rPr>
                <w:rFonts w:eastAsia="MS Mincho" w:cstheme="minorHAnsi"/>
              </w:rPr>
            </w:pPr>
            <w:r w:rsidRPr="00A23934">
              <w:rPr>
                <w:rFonts w:eastAsia="MS Mincho" w:cstheme="minorHAnsi"/>
              </w:rPr>
              <w:t>Smokers</w:t>
            </w:r>
            <w:r w:rsidR="00A23934" w:rsidRPr="00A23934">
              <w:rPr>
                <w:rFonts w:eastAsia="MS Mincho" w:cstheme="minorHAnsi"/>
              </w:rPr>
              <w:t xml:space="preserve"> </w:t>
            </w:r>
            <w:r w:rsidR="00A23934" w:rsidRPr="00E632A9">
              <w:rPr>
                <w:rFonts w:eastAsia="MS Mincho" w:cstheme="minorHAnsi"/>
              </w:rPr>
              <w:t>≥</w:t>
            </w:r>
            <w:r w:rsidR="00A23934" w:rsidRPr="00A23934">
              <w:rPr>
                <w:rFonts w:eastAsia="MS Mincho" w:cstheme="minorHAnsi"/>
              </w:rPr>
              <w:t xml:space="preserve"> 10 </w:t>
            </w:r>
            <w:r w:rsidR="00A23934">
              <w:rPr>
                <w:rFonts w:eastAsia="MS Mincho" w:cstheme="minorHAnsi"/>
              </w:rPr>
              <w:t xml:space="preserve">CPD, </w:t>
            </w:r>
            <w:r w:rsidR="00A23934" w:rsidRPr="00A23934">
              <w:rPr>
                <w:rFonts w:eastAsia="MS Mincho" w:cstheme="minorHAnsi"/>
              </w:rPr>
              <w:t>48% men, av</w:t>
            </w:r>
            <w:r w:rsidR="00A23934">
              <w:rPr>
                <w:rFonts w:eastAsia="MS Mincho" w:cstheme="minorHAnsi"/>
              </w:rPr>
              <w:t xml:space="preserve">erage </w:t>
            </w:r>
            <w:r w:rsidR="00A23934" w:rsidRPr="00A23934">
              <w:rPr>
                <w:rFonts w:eastAsia="MS Mincho" w:cstheme="minorHAnsi"/>
              </w:rPr>
              <w:t>age 49</w:t>
            </w:r>
            <w:r w:rsidR="00A23934">
              <w:rPr>
                <w:rFonts w:eastAsia="MS Mincho" w:cstheme="minorHAnsi"/>
              </w:rPr>
              <w:t xml:space="preserve"> years</w:t>
            </w:r>
            <w:r w:rsidR="00A23934" w:rsidRPr="00A23934">
              <w:rPr>
                <w:rFonts w:eastAsia="MS Mincho" w:cstheme="minorHAnsi"/>
              </w:rPr>
              <w:t>, av</w:t>
            </w:r>
            <w:r w:rsidR="00A23934">
              <w:rPr>
                <w:rFonts w:eastAsia="MS Mincho" w:cstheme="minorHAnsi"/>
              </w:rPr>
              <w:t>erage</w:t>
            </w:r>
            <w:r w:rsidR="00A23934" w:rsidRPr="00A23934">
              <w:rPr>
                <w:rFonts w:eastAsia="MS Mincho" w:cstheme="minorHAnsi"/>
              </w:rPr>
              <w:t xml:space="preserve"> </w:t>
            </w:r>
            <w:r w:rsidR="00A23934">
              <w:rPr>
                <w:rFonts w:eastAsia="MS Mincho" w:cstheme="minorHAnsi"/>
              </w:rPr>
              <w:t>CPD</w:t>
            </w:r>
            <w:r w:rsidR="00A23934" w:rsidRPr="00A23934">
              <w:rPr>
                <w:rFonts w:eastAsia="MS Mincho" w:cstheme="minorHAnsi"/>
              </w:rPr>
              <w:t xml:space="preserve"> 18</w:t>
            </w:r>
            <w:r w:rsidR="00A23934">
              <w:rPr>
                <w:rFonts w:eastAsia="MS Mincho" w:cstheme="minorHAnsi"/>
              </w:rPr>
              <w:t>.</w:t>
            </w:r>
          </w:p>
        </w:tc>
        <w:tc>
          <w:tcPr>
            <w:tcW w:w="1295" w:type="pct"/>
          </w:tcPr>
          <w:p w:rsidR="004B7D95" w:rsidRDefault="00A23934" w:rsidP="00C324F3">
            <w:pPr>
              <w:pStyle w:val="Tablewriting"/>
              <w:numPr>
                <w:ilvl w:val="0"/>
                <w:numId w:val="180"/>
              </w:numPr>
              <w:rPr>
                <w:rFonts w:eastAsia="MS Mincho" w:cstheme="minorHAnsi"/>
              </w:rPr>
            </w:pPr>
            <w:r w:rsidRPr="00A23934">
              <w:rPr>
                <w:rFonts w:eastAsia="MS Mincho" w:cstheme="minorHAnsi"/>
              </w:rPr>
              <w:t>5 mg nicotine patch (placebo)</w:t>
            </w:r>
            <w:r w:rsidR="004B7D95">
              <w:rPr>
                <w:rFonts w:eastAsia="MS Mincho" w:cstheme="minorHAnsi"/>
              </w:rPr>
              <w:t>.</w:t>
            </w:r>
          </w:p>
          <w:p w:rsidR="004B7D95" w:rsidRDefault="00A23934" w:rsidP="00C324F3">
            <w:pPr>
              <w:pStyle w:val="Tablewriting"/>
              <w:numPr>
                <w:ilvl w:val="0"/>
                <w:numId w:val="180"/>
              </w:numPr>
              <w:rPr>
                <w:rFonts w:eastAsia="MS Mincho" w:cstheme="minorHAnsi"/>
              </w:rPr>
            </w:pPr>
            <w:r w:rsidRPr="004B7D95">
              <w:rPr>
                <w:rFonts w:eastAsia="MS Mincho" w:cstheme="minorHAnsi"/>
              </w:rPr>
              <w:t>15 mg (16-hour) nicotine patch for 12 w</w:t>
            </w:r>
            <w:r w:rsidR="004B7D95">
              <w:rPr>
                <w:rFonts w:eastAsia="MS Mincho" w:cstheme="minorHAnsi"/>
              </w:rPr>
              <w:t>ee</w:t>
            </w:r>
            <w:r w:rsidRPr="004B7D95">
              <w:rPr>
                <w:rFonts w:eastAsia="MS Mincho" w:cstheme="minorHAnsi"/>
              </w:rPr>
              <w:t>ks (up to 9 m on request)</w:t>
            </w:r>
            <w:r w:rsidR="004B7D95">
              <w:rPr>
                <w:rFonts w:eastAsia="MS Mincho" w:cstheme="minorHAnsi"/>
              </w:rPr>
              <w:t>.</w:t>
            </w:r>
          </w:p>
          <w:p w:rsidR="004B7D95" w:rsidRDefault="00A23934" w:rsidP="00C324F3">
            <w:pPr>
              <w:pStyle w:val="Tablewriting"/>
              <w:numPr>
                <w:ilvl w:val="0"/>
                <w:numId w:val="180"/>
              </w:numPr>
              <w:rPr>
                <w:rFonts w:eastAsia="MS Mincho" w:cstheme="minorHAnsi"/>
              </w:rPr>
            </w:pPr>
            <w:r w:rsidRPr="004B7D95">
              <w:rPr>
                <w:rFonts w:eastAsia="MS Mincho" w:cstheme="minorHAnsi"/>
              </w:rPr>
              <w:t>Nicotine inhaler (4 - 12/day ad lib)</w:t>
            </w:r>
            <w:r w:rsidR="004B7D95">
              <w:rPr>
                <w:rFonts w:eastAsia="MS Mincho" w:cstheme="minorHAnsi"/>
              </w:rPr>
              <w:t>.</w:t>
            </w:r>
          </w:p>
          <w:p w:rsidR="00F536ED" w:rsidRPr="004B7D95" w:rsidRDefault="00A23934" w:rsidP="00C324F3">
            <w:pPr>
              <w:pStyle w:val="Tablewriting"/>
              <w:numPr>
                <w:ilvl w:val="0"/>
                <w:numId w:val="180"/>
              </w:numPr>
              <w:rPr>
                <w:rFonts w:eastAsia="MS Mincho" w:cstheme="minorHAnsi"/>
              </w:rPr>
            </w:pPr>
            <w:r w:rsidRPr="004B7D95">
              <w:rPr>
                <w:rFonts w:eastAsia="MS Mincho" w:cstheme="minorHAnsi"/>
              </w:rPr>
              <w:t>Combination, 15 mg patch and inhaler</w:t>
            </w:r>
            <w:r w:rsidR="004B7D95">
              <w:rPr>
                <w:rFonts w:eastAsia="MS Mincho" w:cstheme="minorHAnsi"/>
              </w:rPr>
              <w:t>.</w:t>
            </w:r>
          </w:p>
        </w:tc>
        <w:tc>
          <w:tcPr>
            <w:tcW w:w="1008" w:type="pct"/>
          </w:tcPr>
          <w:p w:rsidR="0095547F" w:rsidRDefault="0095547F" w:rsidP="00A71365">
            <w:pPr>
              <w:pStyle w:val="Tablewriting"/>
              <w:rPr>
                <w:rFonts w:eastAsia="MS Mincho" w:cstheme="minorHAnsi"/>
                <w:u w:val="single"/>
              </w:rPr>
            </w:pPr>
            <w:r>
              <w:rPr>
                <w:rFonts w:eastAsia="MS Mincho" w:cstheme="minorHAnsi"/>
                <w:u w:val="single"/>
              </w:rPr>
              <w:t>Efficacy:</w:t>
            </w:r>
          </w:p>
          <w:p w:rsidR="00782613" w:rsidRDefault="00782613" w:rsidP="00A71365">
            <w:pPr>
              <w:pStyle w:val="Tablewriting"/>
              <w:rPr>
                <w:rFonts w:eastAsia="MS Mincho" w:cstheme="minorHAnsi"/>
              </w:rPr>
            </w:pPr>
            <w:r w:rsidRPr="00782613">
              <w:rPr>
                <w:rFonts w:eastAsia="MS Mincho" w:cstheme="minorHAnsi"/>
              </w:rPr>
              <w:t>Sustained abstinence at 12 m</w:t>
            </w:r>
            <w:r w:rsidR="00C378AD">
              <w:rPr>
                <w:rFonts w:eastAsia="MS Mincho" w:cstheme="minorHAnsi"/>
              </w:rPr>
              <w:t>onths</w:t>
            </w:r>
            <w:r w:rsidRPr="00782613">
              <w:rPr>
                <w:rFonts w:eastAsia="MS Mincho" w:cstheme="minorHAnsi"/>
              </w:rPr>
              <w:t>, (from w</w:t>
            </w:r>
            <w:r>
              <w:rPr>
                <w:rFonts w:eastAsia="MS Mincho" w:cstheme="minorHAnsi"/>
              </w:rPr>
              <w:t>ee</w:t>
            </w:r>
            <w:r w:rsidRPr="00782613">
              <w:rPr>
                <w:rFonts w:eastAsia="MS Mincho" w:cstheme="minorHAnsi"/>
              </w:rPr>
              <w:t>k 2, paper also reports PPA and with slips rates)</w:t>
            </w:r>
            <w:r>
              <w:rPr>
                <w:rFonts w:eastAsia="MS Mincho" w:cstheme="minorHAnsi"/>
              </w:rPr>
              <w:t>.</w:t>
            </w:r>
          </w:p>
          <w:p w:rsidR="00782613" w:rsidRPr="00782613" w:rsidRDefault="00782613" w:rsidP="00A71365">
            <w:pPr>
              <w:pStyle w:val="Tablewriting"/>
              <w:rPr>
                <w:rFonts w:eastAsia="MS Mincho" w:cstheme="minorHAnsi"/>
              </w:rPr>
            </w:pPr>
          </w:p>
          <w:p w:rsidR="00782613" w:rsidRPr="00782613" w:rsidRDefault="00782613" w:rsidP="00A71365">
            <w:pPr>
              <w:pStyle w:val="Tablewriting"/>
              <w:rPr>
                <w:rFonts w:eastAsia="MS Mincho" w:cstheme="minorHAnsi"/>
              </w:rPr>
            </w:pPr>
            <w:r w:rsidRPr="00782613">
              <w:rPr>
                <w:rFonts w:eastAsia="MS Mincho" w:cstheme="minorHAnsi"/>
              </w:rPr>
              <w:t>Validation: CO &lt; 10 ppm at all visits</w:t>
            </w:r>
            <w:r>
              <w:rPr>
                <w:rFonts w:eastAsia="MS Mincho" w:cstheme="minorHAnsi"/>
              </w:rPr>
              <w:t>.</w:t>
            </w:r>
          </w:p>
          <w:p w:rsidR="0095547F" w:rsidRPr="00782613" w:rsidRDefault="0095547F" w:rsidP="00A71365">
            <w:pPr>
              <w:pStyle w:val="Tablewriting"/>
              <w:rPr>
                <w:rFonts w:eastAsia="MS Mincho" w:cstheme="minorHAnsi"/>
              </w:rPr>
            </w:pPr>
          </w:p>
          <w:p w:rsidR="0095547F" w:rsidRDefault="0095547F" w:rsidP="00A71365">
            <w:pPr>
              <w:pStyle w:val="Tablewriting"/>
              <w:rPr>
                <w:rFonts w:eastAsia="MS Mincho" w:cstheme="minorHAnsi"/>
                <w:u w:val="single"/>
              </w:rPr>
            </w:pPr>
          </w:p>
          <w:p w:rsidR="00F536ED" w:rsidRPr="004272CD" w:rsidRDefault="0095547F" w:rsidP="00A71365">
            <w:pPr>
              <w:pStyle w:val="Tablewriting"/>
              <w:rPr>
                <w:rFonts w:eastAsia="MS Mincho" w:cstheme="minorHAnsi"/>
                <w:u w:val="single"/>
              </w:rPr>
            </w:pPr>
            <w:r>
              <w:rPr>
                <w:rFonts w:eastAsia="MS Mincho" w:cstheme="minorHAnsi"/>
                <w:u w:val="single"/>
              </w:rPr>
              <w:lastRenderedPageBreak/>
              <w:t>Safety:</w:t>
            </w:r>
            <w:r w:rsidR="00782613">
              <w:rPr>
                <w:rFonts w:eastAsia="MS Mincho" w:cstheme="minorHAnsi"/>
                <w:u w:val="single"/>
              </w:rPr>
              <w:t xml:space="preserve"> </w:t>
            </w:r>
            <w:r w:rsidR="00782613" w:rsidRPr="00782613">
              <w:rPr>
                <w:rFonts w:eastAsia="MS Mincho" w:cstheme="minorHAnsi"/>
              </w:rPr>
              <w:t>Adverse events: measured at every follow-up to 12 m</w:t>
            </w:r>
            <w:r w:rsidR="00782613">
              <w:rPr>
                <w:rFonts w:eastAsia="MS Mincho" w:cstheme="minorHAnsi"/>
              </w:rPr>
              <w:t>onths</w:t>
            </w:r>
            <w:r w:rsidR="00782613" w:rsidRPr="00782613">
              <w:rPr>
                <w:rFonts w:eastAsia="MS Mincho" w:cstheme="minorHAnsi"/>
              </w:rPr>
              <w:t xml:space="preserve"> (note treatment could continue to 12 m</w:t>
            </w:r>
            <w:r w:rsidR="00782613">
              <w:rPr>
                <w:rFonts w:eastAsia="MS Mincho" w:cstheme="minorHAnsi"/>
              </w:rPr>
              <w:t>onths</w:t>
            </w:r>
            <w:r w:rsidR="00782613" w:rsidRPr="00782613">
              <w:rPr>
                <w:rFonts w:eastAsia="MS Mincho" w:cstheme="minorHAnsi"/>
              </w:rPr>
              <w:t>)</w:t>
            </w:r>
          </w:p>
        </w:tc>
      </w:tr>
    </w:tbl>
    <w:p w:rsidR="00513BB5" w:rsidRPr="009B042A" w:rsidRDefault="00513BB5" w:rsidP="00A71365">
      <w:pPr>
        <w:pStyle w:val="TableFooter"/>
      </w:pPr>
      <w:r>
        <w:lastRenderedPageBreak/>
        <w:t xml:space="preserve">Source: </w:t>
      </w:r>
      <w:r w:rsidRPr="008B0097">
        <w:t>Lindson et al. (2019</w:t>
      </w:r>
      <w:r>
        <w:t>).</w:t>
      </w:r>
      <w:r w:rsidRPr="009B042A">
        <w:t xml:space="preserve"> </w:t>
      </w:r>
    </w:p>
    <w:p w:rsidR="00EE0489" w:rsidRDefault="00513BB5" w:rsidP="006B48C7">
      <w:pPr>
        <w:pStyle w:val="TableFooter"/>
      </w:pPr>
      <w:r>
        <w:t xml:space="preserve">Abbreviations: NR= not reported; </w:t>
      </w:r>
      <w:r w:rsidRPr="009B042A">
        <w:t xml:space="preserve">PPA= point prevalence smoking abstinence; </w:t>
      </w:r>
      <w:r>
        <w:t xml:space="preserve">CAR= continuous abstinence rate;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CPD= cigarette per day; AEs= adverse events; SAEs= serious adverse events.</w:t>
      </w:r>
    </w:p>
    <w:p w:rsidR="00FB7B83" w:rsidRDefault="00FB7B83" w:rsidP="00FB7B83">
      <w:pPr>
        <w:pStyle w:val="Caption"/>
        <w:keepNext/>
      </w:pPr>
      <w:bookmarkStart w:id="387" w:name="_Ref55466891"/>
      <w:r>
        <w:t xml:space="preserve">Table </w:t>
      </w:r>
      <w:r w:rsidR="003C4A1C">
        <w:rPr>
          <w:noProof/>
        </w:rPr>
        <w:t>157</w:t>
      </w:r>
      <w:bookmarkEnd w:id="387"/>
      <w:r>
        <w:t xml:space="preserve">: </w:t>
      </w:r>
      <w:r w:rsidRPr="00993378">
        <w:t xml:space="preserve">Characteristics of studies included in </w:t>
      </w:r>
      <w:r>
        <w:t>Chang</w:t>
      </w:r>
      <w:r w:rsidRPr="00993378">
        <w:t xml:space="preserve"> et al. (201</w:t>
      </w:r>
      <w:r>
        <w:t>5</w:t>
      </w:r>
      <w:r w:rsidRPr="00993378">
        <w:t xml:space="preserve">), </w:t>
      </w:r>
      <w:r>
        <w:t>varenicline plus</w:t>
      </w:r>
      <w:r w:rsidRPr="00993378">
        <w:t xml:space="preserve"> NRT versus </w:t>
      </w:r>
      <w:r>
        <w:t>varenicline</w:t>
      </w:r>
      <w:r w:rsidR="00450AFA">
        <w:t xml:space="preserve"> alone</w:t>
      </w:r>
    </w:p>
    <w:tbl>
      <w:tblPr>
        <w:tblStyle w:val="TableGrid"/>
        <w:tblW w:w="5270" w:type="pct"/>
        <w:tblLook w:val="04A0" w:firstRow="1" w:lastRow="0" w:firstColumn="1" w:lastColumn="0" w:noHBand="0" w:noVBand="1"/>
        <w:tblCaption w:val="Efficacy results of adalimumab trials (PASI 75 and DLQI)"/>
      </w:tblPr>
      <w:tblGrid>
        <w:gridCol w:w="1424"/>
        <w:gridCol w:w="691"/>
        <w:gridCol w:w="1241"/>
        <w:gridCol w:w="1214"/>
        <w:gridCol w:w="3425"/>
        <w:gridCol w:w="3775"/>
        <w:gridCol w:w="2931"/>
      </w:tblGrid>
      <w:tr w:rsidR="00FB7B83" w:rsidRPr="00061F78" w:rsidTr="006B48C7">
        <w:trPr>
          <w:trHeight w:val="299"/>
          <w:tblHeader/>
        </w:trPr>
        <w:tc>
          <w:tcPr>
            <w:tcW w:w="484" w:type="pct"/>
            <w:shd w:val="clear" w:color="auto" w:fill="BFBFBF" w:themeFill="background1" w:themeFillShade="BF"/>
            <w:tcMar>
              <w:left w:w="28" w:type="dxa"/>
              <w:right w:w="28" w:type="dxa"/>
            </w:tcMar>
          </w:tcPr>
          <w:p w:rsidR="00FB7B83" w:rsidRPr="00061F78" w:rsidRDefault="00FB7B83" w:rsidP="006B48C7">
            <w:pPr>
              <w:pStyle w:val="Tableheading"/>
              <w:rPr>
                <w:rFonts w:eastAsia="MS Mincho"/>
              </w:rPr>
            </w:pPr>
            <w:r>
              <w:rPr>
                <w:rFonts w:eastAsia="MS Mincho"/>
              </w:rPr>
              <w:t>Study</w:t>
            </w:r>
          </w:p>
        </w:tc>
        <w:tc>
          <w:tcPr>
            <w:tcW w:w="235" w:type="pct"/>
            <w:shd w:val="clear" w:color="auto" w:fill="BFBFBF" w:themeFill="background1" w:themeFillShade="BF"/>
          </w:tcPr>
          <w:p w:rsidR="00FB7B83" w:rsidRDefault="00FB7B83" w:rsidP="006B48C7">
            <w:pPr>
              <w:pStyle w:val="Tableheading"/>
              <w:jc w:val="center"/>
              <w:rPr>
                <w:rFonts w:eastAsia="MS Mincho"/>
              </w:rPr>
            </w:pPr>
            <w:r>
              <w:rPr>
                <w:rFonts w:eastAsia="MS Mincho"/>
              </w:rPr>
              <w:t>Study type</w:t>
            </w:r>
          </w:p>
        </w:tc>
        <w:tc>
          <w:tcPr>
            <w:tcW w:w="422" w:type="pct"/>
            <w:shd w:val="clear" w:color="auto" w:fill="BFBFBF" w:themeFill="background1" w:themeFillShade="BF"/>
          </w:tcPr>
          <w:p w:rsidR="00FB7B83" w:rsidRDefault="00FB7B83" w:rsidP="006B48C7">
            <w:pPr>
              <w:pStyle w:val="Tableheading"/>
              <w:jc w:val="center"/>
              <w:rPr>
                <w:rFonts w:eastAsia="MS Mincho"/>
              </w:rPr>
            </w:pPr>
            <w:r>
              <w:rPr>
                <w:rFonts w:eastAsia="MS Mincho"/>
              </w:rPr>
              <w:t>Countries</w:t>
            </w:r>
          </w:p>
        </w:tc>
        <w:tc>
          <w:tcPr>
            <w:tcW w:w="413" w:type="pct"/>
            <w:shd w:val="clear" w:color="auto" w:fill="BFBFBF" w:themeFill="background1" w:themeFillShade="BF"/>
            <w:tcMar>
              <w:left w:w="28" w:type="dxa"/>
              <w:right w:w="28" w:type="dxa"/>
            </w:tcMar>
          </w:tcPr>
          <w:p w:rsidR="00FB7B83" w:rsidRPr="00061F78" w:rsidRDefault="00FB7B83" w:rsidP="006B48C7">
            <w:pPr>
              <w:pStyle w:val="Tableheading"/>
              <w:jc w:val="center"/>
              <w:rPr>
                <w:rFonts w:eastAsia="MS Mincho"/>
              </w:rPr>
            </w:pPr>
            <w:r>
              <w:rPr>
                <w:rFonts w:eastAsia="MS Mincho"/>
              </w:rPr>
              <w:t>N</w:t>
            </w:r>
          </w:p>
        </w:tc>
        <w:tc>
          <w:tcPr>
            <w:tcW w:w="1165" w:type="pct"/>
            <w:shd w:val="clear" w:color="auto" w:fill="BFBFBF" w:themeFill="background1" w:themeFillShade="BF"/>
            <w:tcMar>
              <w:left w:w="28" w:type="dxa"/>
              <w:right w:w="28" w:type="dxa"/>
            </w:tcMar>
          </w:tcPr>
          <w:p w:rsidR="00FB7B83" w:rsidRPr="00061F78" w:rsidRDefault="00FB7B83" w:rsidP="006B48C7">
            <w:pPr>
              <w:pStyle w:val="Tableheading"/>
              <w:jc w:val="center"/>
              <w:rPr>
                <w:rFonts w:eastAsia="MS Mincho"/>
              </w:rPr>
            </w:pPr>
            <w:r w:rsidRPr="00061F78">
              <w:rPr>
                <w:rFonts w:eastAsia="MS Mincho"/>
              </w:rPr>
              <w:t>P</w:t>
            </w:r>
            <w:r>
              <w:rPr>
                <w:rFonts w:eastAsia="MS Mincho"/>
              </w:rPr>
              <w:t>opulation</w:t>
            </w:r>
          </w:p>
        </w:tc>
        <w:tc>
          <w:tcPr>
            <w:tcW w:w="1284" w:type="pct"/>
            <w:shd w:val="clear" w:color="auto" w:fill="BFBFBF" w:themeFill="background1" w:themeFillShade="BF"/>
          </w:tcPr>
          <w:p w:rsidR="00FB7B83" w:rsidRDefault="00FB7B83" w:rsidP="006B48C7">
            <w:pPr>
              <w:pStyle w:val="Tableheading"/>
              <w:jc w:val="center"/>
              <w:rPr>
                <w:rFonts w:eastAsia="MS Mincho"/>
              </w:rPr>
            </w:pPr>
            <w:r>
              <w:rPr>
                <w:rFonts w:eastAsia="MS Mincho"/>
              </w:rPr>
              <w:t>Intervention and comparator</w:t>
            </w:r>
          </w:p>
        </w:tc>
        <w:tc>
          <w:tcPr>
            <w:tcW w:w="997" w:type="pct"/>
            <w:shd w:val="clear" w:color="auto" w:fill="BFBFBF" w:themeFill="background1" w:themeFillShade="BF"/>
            <w:tcMar>
              <w:left w:w="28" w:type="dxa"/>
              <w:right w:w="28" w:type="dxa"/>
            </w:tcMar>
          </w:tcPr>
          <w:p w:rsidR="00FB7B83" w:rsidRPr="00061F78" w:rsidRDefault="00FB7B83" w:rsidP="006B48C7">
            <w:pPr>
              <w:pStyle w:val="Tableheading"/>
              <w:jc w:val="center"/>
              <w:rPr>
                <w:rFonts w:eastAsia="MS Mincho"/>
              </w:rPr>
            </w:pPr>
            <w:r>
              <w:rPr>
                <w:rFonts w:eastAsia="MS Mincho"/>
              </w:rPr>
              <w:t>Outcomes</w:t>
            </w:r>
          </w:p>
        </w:tc>
      </w:tr>
      <w:tr w:rsidR="006C4B18" w:rsidRPr="00017AE6" w:rsidTr="006B48C7">
        <w:trPr>
          <w:trHeight w:val="99"/>
        </w:trPr>
        <w:tc>
          <w:tcPr>
            <w:tcW w:w="484" w:type="pct"/>
          </w:tcPr>
          <w:p w:rsidR="006C4B18" w:rsidRPr="00017AE6" w:rsidRDefault="006C4B18" w:rsidP="006B48C7">
            <w:pPr>
              <w:pStyle w:val="Tablewriting"/>
              <w:rPr>
                <w:rFonts w:eastAsia="MS Mincho" w:cstheme="minorHAnsi"/>
              </w:rPr>
            </w:pPr>
            <w:r>
              <w:rPr>
                <w:rFonts w:eastAsia="MS Mincho" w:cstheme="minorHAnsi"/>
              </w:rPr>
              <w:t xml:space="preserve">Hajek </w:t>
            </w:r>
            <w:r w:rsidR="007C5FA5">
              <w:rPr>
                <w:rFonts w:eastAsia="MS Mincho" w:cstheme="minorHAnsi"/>
              </w:rPr>
              <w:t>(</w:t>
            </w:r>
            <w:r>
              <w:rPr>
                <w:rFonts w:eastAsia="MS Mincho" w:cstheme="minorHAnsi"/>
              </w:rPr>
              <w:t>2013</w:t>
            </w:r>
            <w:r w:rsidR="007C5FA5">
              <w:rPr>
                <w:rFonts w:eastAsia="MS Mincho" w:cstheme="minorHAnsi"/>
              </w:rPr>
              <w:t>)</w:t>
            </w:r>
          </w:p>
        </w:tc>
        <w:tc>
          <w:tcPr>
            <w:tcW w:w="235" w:type="pct"/>
          </w:tcPr>
          <w:p w:rsidR="006C4B18" w:rsidRPr="00017AE6" w:rsidRDefault="00B672A8" w:rsidP="006B48C7">
            <w:pPr>
              <w:pStyle w:val="Tablewriting"/>
              <w:rPr>
                <w:rFonts w:eastAsia="MS Mincho" w:cstheme="minorHAnsi"/>
              </w:rPr>
            </w:pPr>
            <w:r>
              <w:rPr>
                <w:rFonts w:eastAsia="MS Mincho" w:cstheme="minorHAnsi"/>
              </w:rPr>
              <w:t>RCT</w:t>
            </w:r>
          </w:p>
        </w:tc>
        <w:tc>
          <w:tcPr>
            <w:tcW w:w="422" w:type="pct"/>
          </w:tcPr>
          <w:p w:rsidR="006C4B18" w:rsidRPr="00017AE6" w:rsidRDefault="00780AEA" w:rsidP="006B48C7">
            <w:pPr>
              <w:pStyle w:val="Tablewriting"/>
              <w:rPr>
                <w:rFonts w:eastAsia="MS Mincho" w:cstheme="minorHAnsi"/>
              </w:rPr>
            </w:pPr>
            <w:r>
              <w:rPr>
                <w:rFonts w:eastAsia="MS Mincho" w:cstheme="minorHAnsi"/>
              </w:rPr>
              <w:t>UK</w:t>
            </w:r>
          </w:p>
        </w:tc>
        <w:tc>
          <w:tcPr>
            <w:tcW w:w="413" w:type="pct"/>
          </w:tcPr>
          <w:p w:rsidR="006C4B18" w:rsidRPr="00017AE6" w:rsidRDefault="001362AA" w:rsidP="006B48C7">
            <w:pPr>
              <w:pStyle w:val="Tablewriting"/>
              <w:rPr>
                <w:rFonts w:eastAsia="MS Mincho" w:cstheme="minorHAnsi"/>
              </w:rPr>
            </w:pPr>
            <w:r>
              <w:rPr>
                <w:rFonts w:eastAsia="MS Mincho" w:cstheme="minorHAnsi"/>
              </w:rPr>
              <w:t>N=117; n=58 (NRT patch</w:t>
            </w:r>
            <w:r w:rsidR="00726288">
              <w:rPr>
                <w:rFonts w:eastAsia="MS Mincho" w:cstheme="minorHAnsi"/>
              </w:rPr>
              <w:t xml:space="preserve"> plus varenicline</w:t>
            </w:r>
            <w:r>
              <w:rPr>
                <w:rFonts w:eastAsia="MS Mincho" w:cstheme="minorHAnsi"/>
              </w:rPr>
              <w:t>), n=59 (placebo</w:t>
            </w:r>
            <w:r w:rsidR="00726288">
              <w:rPr>
                <w:rFonts w:eastAsia="MS Mincho" w:cstheme="minorHAnsi"/>
              </w:rPr>
              <w:t xml:space="preserve"> plus varenicline</w:t>
            </w:r>
            <w:r>
              <w:rPr>
                <w:rFonts w:eastAsia="MS Mincho" w:cstheme="minorHAnsi"/>
              </w:rPr>
              <w:t>)</w:t>
            </w:r>
          </w:p>
        </w:tc>
        <w:tc>
          <w:tcPr>
            <w:tcW w:w="1165" w:type="pct"/>
          </w:tcPr>
          <w:p w:rsidR="006C4B18" w:rsidRDefault="008A249B" w:rsidP="006B48C7">
            <w:pPr>
              <w:pStyle w:val="Tablewriting"/>
              <w:rPr>
                <w:rFonts w:eastAsia="MS Mincho" w:cstheme="minorHAnsi"/>
              </w:rPr>
            </w:pPr>
            <w:r>
              <w:rPr>
                <w:rFonts w:eastAsia="MS Mincho" w:cstheme="minorHAnsi"/>
              </w:rPr>
              <w:t xml:space="preserve">Smokers </w:t>
            </w:r>
            <w:r w:rsidRPr="008A249B">
              <w:rPr>
                <w:rFonts w:eastAsia="MS Mincho" w:cstheme="minorHAnsi"/>
              </w:rPr>
              <w:t>aged 18 and over, were not breastfeeding</w:t>
            </w:r>
            <w:r>
              <w:rPr>
                <w:rFonts w:eastAsia="MS Mincho" w:cstheme="minorHAnsi"/>
              </w:rPr>
              <w:t xml:space="preserve"> </w:t>
            </w:r>
            <w:r w:rsidRPr="008A249B">
              <w:rPr>
                <w:rFonts w:eastAsia="MS Mincho" w:cstheme="minorHAnsi"/>
              </w:rPr>
              <w:t>or pregnant, and had no current psychiatric or other</w:t>
            </w:r>
            <w:r>
              <w:rPr>
                <w:rFonts w:eastAsia="MS Mincho" w:cstheme="minorHAnsi"/>
              </w:rPr>
              <w:t xml:space="preserve"> </w:t>
            </w:r>
            <w:r w:rsidRPr="008A249B">
              <w:rPr>
                <w:rFonts w:eastAsia="MS Mincho" w:cstheme="minorHAnsi"/>
              </w:rPr>
              <w:t>serious illness.</w:t>
            </w:r>
          </w:p>
          <w:p w:rsidR="00B35A15" w:rsidRDefault="009B067E" w:rsidP="006B48C7">
            <w:pPr>
              <w:pStyle w:val="Tablewriting"/>
              <w:rPr>
                <w:rFonts w:eastAsia="MS Mincho" w:cstheme="minorHAnsi"/>
              </w:rPr>
            </w:pPr>
            <w:r>
              <w:rPr>
                <w:rFonts w:eastAsia="MS Mincho" w:cstheme="minorHAnsi"/>
              </w:rPr>
              <w:t>Mean age 43.8</w:t>
            </w:r>
            <w:r w:rsidR="003258FA">
              <w:rPr>
                <w:rFonts w:eastAsia="MS Mincho" w:cstheme="minorHAnsi"/>
              </w:rPr>
              <w:t xml:space="preserve"> years</w:t>
            </w:r>
            <w:r w:rsidR="009D35F7">
              <w:rPr>
                <w:rFonts w:eastAsia="MS Mincho" w:cstheme="minorHAnsi"/>
              </w:rPr>
              <w:t xml:space="preserve"> (placebo arm), and 45.3 years (NRT arm).</w:t>
            </w:r>
          </w:p>
          <w:p w:rsidR="006C4B18" w:rsidRPr="00017AE6" w:rsidRDefault="006C4B18" w:rsidP="006B48C7">
            <w:pPr>
              <w:pStyle w:val="Tablewriting"/>
              <w:rPr>
                <w:rFonts w:eastAsia="MS Mincho" w:cstheme="minorHAnsi"/>
              </w:rPr>
            </w:pPr>
          </w:p>
        </w:tc>
        <w:tc>
          <w:tcPr>
            <w:tcW w:w="1284" w:type="pct"/>
          </w:tcPr>
          <w:p w:rsidR="00AB2D63" w:rsidRDefault="007E502A" w:rsidP="00C324F3">
            <w:pPr>
              <w:pStyle w:val="ListParagraph"/>
              <w:numPr>
                <w:ilvl w:val="0"/>
                <w:numId w:val="181"/>
              </w:numPr>
              <w:rPr>
                <w:rFonts w:eastAsia="MS Mincho"/>
                <w:lang w:eastAsia="en-US"/>
              </w:rPr>
            </w:pPr>
            <w:r>
              <w:rPr>
                <w:rFonts w:eastAsia="MS Mincho"/>
                <w:lang w:eastAsia="en-US"/>
              </w:rPr>
              <w:t>NRT patch</w:t>
            </w:r>
            <w:r w:rsidR="00AB2D63">
              <w:rPr>
                <w:rFonts w:eastAsia="MS Mincho"/>
                <w:lang w:eastAsia="en-US"/>
              </w:rPr>
              <w:t xml:space="preserve"> </w:t>
            </w:r>
            <w:r w:rsidR="00FF6EB3" w:rsidRPr="00FF6EB3">
              <w:rPr>
                <w:rFonts w:eastAsia="MS Mincho"/>
                <w:lang w:eastAsia="en-US"/>
              </w:rPr>
              <w:t>15 mg/16 hours</w:t>
            </w:r>
            <w:r w:rsidR="00276830">
              <w:rPr>
                <w:rFonts w:eastAsia="MS Mincho"/>
                <w:lang w:eastAsia="en-US"/>
              </w:rPr>
              <w:t xml:space="preserve">, </w:t>
            </w:r>
            <w:r w:rsidR="00276830" w:rsidRPr="00FF6EB3">
              <w:rPr>
                <w:rFonts w:eastAsia="MS Mincho"/>
                <w:lang w:eastAsia="en-US"/>
              </w:rPr>
              <w:t>four-week supply (28 patches) on their</w:t>
            </w:r>
            <w:r w:rsidR="00276830">
              <w:rPr>
                <w:rFonts w:eastAsia="MS Mincho"/>
                <w:lang w:eastAsia="en-US"/>
              </w:rPr>
              <w:t xml:space="preserve"> </w:t>
            </w:r>
            <w:r w:rsidR="00276830" w:rsidRPr="00FF6EB3">
              <w:rPr>
                <w:rFonts w:eastAsia="MS Mincho"/>
                <w:lang w:eastAsia="en-US"/>
              </w:rPr>
              <w:t>TQD.</w:t>
            </w:r>
          </w:p>
          <w:p w:rsidR="007E502A" w:rsidRDefault="00276830" w:rsidP="00C324F3">
            <w:pPr>
              <w:pStyle w:val="ListParagraph"/>
              <w:numPr>
                <w:ilvl w:val="0"/>
                <w:numId w:val="181"/>
              </w:numPr>
              <w:rPr>
                <w:rFonts w:eastAsia="MS Mincho"/>
                <w:lang w:eastAsia="en-US"/>
              </w:rPr>
            </w:pPr>
            <w:r>
              <w:rPr>
                <w:rFonts w:eastAsia="MS Mincho"/>
                <w:lang w:eastAsia="en-US"/>
              </w:rPr>
              <w:t>P</w:t>
            </w:r>
            <w:r w:rsidR="00FF6EB3" w:rsidRPr="00FF6EB3">
              <w:rPr>
                <w:rFonts w:eastAsia="MS Mincho"/>
                <w:lang w:eastAsia="en-US"/>
              </w:rPr>
              <w:t>lacebo patches</w:t>
            </w:r>
            <w:r w:rsidR="00FF6EB3">
              <w:rPr>
                <w:rFonts w:eastAsia="MS Mincho"/>
                <w:lang w:eastAsia="en-US"/>
              </w:rPr>
              <w:t xml:space="preserve"> </w:t>
            </w:r>
            <w:r w:rsidR="00AB2D63">
              <w:rPr>
                <w:rFonts w:eastAsia="MS Mincho"/>
                <w:lang w:eastAsia="en-US"/>
              </w:rPr>
              <w:t>(</w:t>
            </w:r>
            <w:r>
              <w:rPr>
                <w:rFonts w:eastAsia="MS Mincho"/>
                <w:lang w:eastAsia="en-US"/>
              </w:rPr>
              <w:t xml:space="preserve">same as </w:t>
            </w:r>
            <w:r w:rsidR="006617E4">
              <w:rPr>
                <w:rFonts w:eastAsia="MS Mincho"/>
                <w:lang w:eastAsia="en-US"/>
              </w:rPr>
              <w:t>above</w:t>
            </w:r>
            <w:r w:rsidR="00AB2D63">
              <w:rPr>
                <w:rFonts w:eastAsia="MS Mincho"/>
                <w:lang w:eastAsia="en-US"/>
              </w:rPr>
              <w:t>)</w:t>
            </w:r>
          </w:p>
          <w:p w:rsidR="00894493" w:rsidRDefault="00894493" w:rsidP="006B48C7">
            <w:pPr>
              <w:rPr>
                <w:rFonts w:eastAsia="MS Mincho"/>
                <w:lang w:eastAsia="en-US"/>
              </w:rPr>
            </w:pPr>
          </w:p>
          <w:p w:rsidR="00894493" w:rsidRDefault="00894493" w:rsidP="006B48C7">
            <w:pPr>
              <w:rPr>
                <w:rFonts w:eastAsia="MS Mincho"/>
                <w:lang w:eastAsia="en-US"/>
              </w:rPr>
            </w:pPr>
            <w:r>
              <w:rPr>
                <w:rFonts w:eastAsia="MS Mincho"/>
                <w:lang w:eastAsia="en-US"/>
              </w:rPr>
              <w:t>Common components:</w:t>
            </w:r>
          </w:p>
          <w:p w:rsidR="006C4B18" w:rsidRPr="002F7627" w:rsidRDefault="00B1122F" w:rsidP="00C324F3">
            <w:pPr>
              <w:pStyle w:val="ListParagraph"/>
              <w:numPr>
                <w:ilvl w:val="0"/>
                <w:numId w:val="181"/>
              </w:numPr>
              <w:rPr>
                <w:rFonts w:eastAsia="MS Mincho"/>
                <w:lang w:eastAsia="en-US"/>
              </w:rPr>
            </w:pPr>
            <w:r w:rsidRPr="00B1122F">
              <w:rPr>
                <w:rFonts w:eastAsia="MS Mincho"/>
                <w:lang w:eastAsia="en-US"/>
              </w:rPr>
              <w:t>Participants started varenicline one week before their</w:t>
            </w:r>
            <w:r>
              <w:rPr>
                <w:rFonts w:eastAsia="MS Mincho"/>
                <w:lang w:eastAsia="en-US"/>
              </w:rPr>
              <w:t xml:space="preserve"> </w:t>
            </w:r>
            <w:r w:rsidRPr="00B1122F">
              <w:rPr>
                <w:rFonts w:eastAsia="MS Mincho"/>
                <w:lang w:eastAsia="en-US"/>
              </w:rPr>
              <w:t>TQD</w:t>
            </w:r>
            <w:r>
              <w:rPr>
                <w:rFonts w:eastAsia="MS Mincho"/>
                <w:lang w:eastAsia="en-US"/>
              </w:rPr>
              <w:t xml:space="preserve">; </w:t>
            </w:r>
            <w:r w:rsidR="006617E4">
              <w:rPr>
                <w:rFonts w:eastAsia="MS Mincho"/>
                <w:lang w:eastAsia="en-US"/>
              </w:rPr>
              <w:t xml:space="preserve">Varenicline </w:t>
            </w:r>
            <w:r w:rsidR="006617E4" w:rsidRPr="007E502A">
              <w:rPr>
                <w:rFonts w:eastAsia="MS Mincho"/>
                <w:lang w:eastAsia="en-US"/>
              </w:rPr>
              <w:t>0.5 mg/d for the first 3 days, 1 mg/d</w:t>
            </w:r>
            <w:r w:rsidR="006617E4">
              <w:rPr>
                <w:rFonts w:eastAsia="MS Mincho"/>
                <w:lang w:eastAsia="en-US"/>
              </w:rPr>
              <w:t xml:space="preserve"> </w:t>
            </w:r>
            <w:r w:rsidR="006617E4" w:rsidRPr="007E502A">
              <w:rPr>
                <w:rFonts w:eastAsia="MS Mincho"/>
                <w:lang w:eastAsia="en-US"/>
              </w:rPr>
              <w:t>on days 4–7, followed by 2 mg/d for the rest of the</w:t>
            </w:r>
            <w:r w:rsidR="006617E4">
              <w:rPr>
                <w:rFonts w:eastAsia="MS Mincho"/>
                <w:lang w:eastAsia="en-US"/>
              </w:rPr>
              <w:t xml:space="preserve"> </w:t>
            </w:r>
            <w:r w:rsidR="006617E4" w:rsidRPr="007E502A">
              <w:rPr>
                <w:rFonts w:eastAsia="MS Mincho"/>
                <w:lang w:eastAsia="en-US"/>
              </w:rPr>
              <w:t>12-weeks course).</w:t>
            </w:r>
          </w:p>
        </w:tc>
        <w:tc>
          <w:tcPr>
            <w:tcW w:w="997" w:type="pct"/>
          </w:tcPr>
          <w:p w:rsidR="006C4B18" w:rsidRPr="00646270" w:rsidRDefault="00876282" w:rsidP="006B48C7">
            <w:pPr>
              <w:pStyle w:val="Tablewriting"/>
              <w:rPr>
                <w:rFonts w:eastAsia="MS Mincho" w:cstheme="minorHAnsi"/>
              </w:rPr>
            </w:pPr>
            <w:r>
              <w:rPr>
                <w:rFonts w:eastAsia="MS Mincho" w:cstheme="minorHAnsi"/>
                <w:u w:val="single"/>
              </w:rPr>
              <w:t>Efficacy:</w:t>
            </w:r>
            <w:r w:rsidR="006C3C81">
              <w:rPr>
                <w:rFonts w:eastAsia="MS Mincho" w:cstheme="minorHAnsi"/>
                <w:u w:val="single"/>
              </w:rPr>
              <w:t xml:space="preserve"> </w:t>
            </w:r>
            <w:r w:rsidR="0063379A">
              <w:rPr>
                <w:rFonts w:eastAsia="MS Mincho" w:cstheme="minorHAnsi"/>
                <w:u w:val="single"/>
              </w:rPr>
              <w:t>S</w:t>
            </w:r>
            <w:r w:rsidR="006C3C81" w:rsidRPr="00646270">
              <w:rPr>
                <w:rFonts w:eastAsia="MS Mincho" w:cstheme="minorHAnsi"/>
              </w:rPr>
              <w:t xml:space="preserve">elf-reported </w:t>
            </w:r>
            <w:r w:rsidR="004209FB">
              <w:rPr>
                <w:rFonts w:eastAsia="MS Mincho" w:cstheme="minorHAnsi"/>
              </w:rPr>
              <w:t xml:space="preserve">sustained </w:t>
            </w:r>
            <w:r w:rsidR="006C3C81" w:rsidRPr="00646270">
              <w:rPr>
                <w:rFonts w:eastAsia="MS Mincho" w:cstheme="minorHAnsi"/>
              </w:rPr>
              <w:t xml:space="preserve">abstinence rate </w:t>
            </w:r>
            <w:r w:rsidR="004209FB">
              <w:rPr>
                <w:rFonts w:eastAsia="MS Mincho" w:cstheme="minorHAnsi"/>
              </w:rPr>
              <w:t xml:space="preserve">at </w:t>
            </w:r>
            <w:r w:rsidR="006C3C81" w:rsidRPr="00646270">
              <w:rPr>
                <w:rFonts w:eastAsia="MS Mincho" w:cstheme="minorHAnsi"/>
              </w:rPr>
              <w:t>12 weeks</w:t>
            </w:r>
            <w:r w:rsidR="004A245C">
              <w:rPr>
                <w:rFonts w:eastAsia="MS Mincho" w:cstheme="minorHAnsi"/>
              </w:rPr>
              <w:t xml:space="preserve"> </w:t>
            </w:r>
            <w:r w:rsidR="004209FB">
              <w:rPr>
                <w:rFonts w:eastAsia="MS Mincho" w:cstheme="minorHAnsi"/>
              </w:rPr>
              <w:t>(not biochemically validated)</w:t>
            </w:r>
            <w:r w:rsidR="00440E10">
              <w:rPr>
                <w:rFonts w:eastAsia="MS Mincho" w:cstheme="minorHAnsi"/>
              </w:rPr>
              <w:t>,</w:t>
            </w:r>
          </w:p>
          <w:p w:rsidR="00F46EC0" w:rsidRDefault="00440E10" w:rsidP="006B48C7">
            <w:pPr>
              <w:pStyle w:val="Tablewriting"/>
              <w:rPr>
                <w:rFonts w:eastAsia="MS Mincho" w:cstheme="minorHAnsi"/>
              </w:rPr>
            </w:pPr>
            <w:r>
              <w:rPr>
                <w:rFonts w:eastAsia="MS Mincho" w:cstheme="minorHAnsi"/>
              </w:rPr>
              <w:t xml:space="preserve">Sustained abstinence </w:t>
            </w:r>
            <w:r w:rsidR="006C6E5A">
              <w:rPr>
                <w:rFonts w:eastAsia="MS Mincho" w:cstheme="minorHAnsi"/>
              </w:rPr>
              <w:t>at 24 hrs</w:t>
            </w:r>
            <w:r w:rsidR="00CD732F">
              <w:rPr>
                <w:rFonts w:eastAsia="MS Mincho" w:cstheme="minorHAnsi"/>
              </w:rPr>
              <w:t xml:space="preserve">, </w:t>
            </w:r>
            <w:r w:rsidR="006C6E5A">
              <w:rPr>
                <w:rFonts w:eastAsia="MS Mincho" w:cstheme="minorHAnsi"/>
              </w:rPr>
              <w:t>1 week</w:t>
            </w:r>
            <w:r w:rsidR="00CD732F">
              <w:rPr>
                <w:rFonts w:eastAsia="MS Mincho" w:cstheme="minorHAnsi"/>
              </w:rPr>
              <w:t>, and 4 weeks</w:t>
            </w:r>
            <w:r w:rsidR="006C6E5A">
              <w:rPr>
                <w:rFonts w:eastAsia="MS Mincho" w:cstheme="minorHAnsi"/>
              </w:rPr>
              <w:t xml:space="preserve"> (</w:t>
            </w:r>
            <w:r w:rsidR="006C246C">
              <w:rPr>
                <w:rFonts w:eastAsia="MS Mincho" w:cstheme="minorHAnsi"/>
              </w:rPr>
              <w:t>v</w:t>
            </w:r>
            <w:r w:rsidR="00EF0DCD" w:rsidRPr="00EF0DCD">
              <w:rPr>
                <w:rFonts w:eastAsia="MS Mincho" w:cstheme="minorHAnsi"/>
              </w:rPr>
              <w:t xml:space="preserve">alidation: </w:t>
            </w:r>
            <w:r w:rsidR="00646270">
              <w:rPr>
                <w:rFonts w:eastAsia="MS Mincho" w:cstheme="minorHAnsi"/>
              </w:rPr>
              <w:t xml:space="preserve">CO </w:t>
            </w:r>
            <w:r w:rsidR="00646270" w:rsidRPr="00C324F3">
              <w:rPr>
                <w:rFonts w:eastAsia="MS Mincho"/>
              </w:rPr>
              <w:t>&lt;</w:t>
            </w:r>
            <w:r w:rsidR="009C4EF2">
              <w:rPr>
                <w:rFonts w:eastAsia="MS Mincho" w:cstheme="minorHAnsi"/>
              </w:rPr>
              <w:t xml:space="preserve"> </w:t>
            </w:r>
            <w:r w:rsidR="00646270" w:rsidRPr="00C324F3">
              <w:rPr>
                <w:rFonts w:eastAsia="MS Mincho"/>
              </w:rPr>
              <w:t>9 ppm</w:t>
            </w:r>
            <w:r w:rsidR="006C6E5A" w:rsidRPr="00C324F3">
              <w:rPr>
                <w:rFonts w:eastAsia="MS Mincho"/>
              </w:rPr>
              <w:t>)</w:t>
            </w:r>
          </w:p>
          <w:p w:rsidR="00EF0DCD" w:rsidRPr="00EF0DCD" w:rsidRDefault="00EF0DCD" w:rsidP="006B48C7">
            <w:pPr>
              <w:pStyle w:val="Tablewriting"/>
              <w:rPr>
                <w:rFonts w:eastAsia="MS Mincho" w:cstheme="minorHAnsi"/>
              </w:rPr>
            </w:pPr>
          </w:p>
          <w:p w:rsidR="00876282" w:rsidRDefault="00876282" w:rsidP="006B48C7">
            <w:pPr>
              <w:pStyle w:val="Tablewriting"/>
              <w:rPr>
                <w:rFonts w:eastAsia="MS Mincho" w:cstheme="minorHAnsi"/>
              </w:rPr>
            </w:pPr>
            <w:r>
              <w:rPr>
                <w:rFonts w:eastAsia="MS Mincho" w:cstheme="minorHAnsi"/>
                <w:u w:val="single"/>
              </w:rPr>
              <w:t>Safety:</w:t>
            </w:r>
            <w:r w:rsidR="00E45DFC">
              <w:rPr>
                <w:rFonts w:eastAsia="MS Mincho" w:cstheme="minorHAnsi"/>
                <w:u w:val="single"/>
              </w:rPr>
              <w:t xml:space="preserve"> </w:t>
            </w:r>
            <w:r w:rsidR="00E45DFC" w:rsidRPr="00E45DFC">
              <w:rPr>
                <w:rFonts w:eastAsia="MS Mincho" w:cstheme="minorHAnsi"/>
              </w:rPr>
              <w:t>Adverse events</w:t>
            </w:r>
            <w:r w:rsidR="00B662EC">
              <w:rPr>
                <w:rFonts w:eastAsia="MS Mincho" w:cstheme="minorHAnsi"/>
              </w:rPr>
              <w:t xml:space="preserve"> at 12 weeks </w:t>
            </w:r>
          </w:p>
          <w:p w:rsidR="005D3EF1" w:rsidRDefault="005D3EF1" w:rsidP="006B48C7">
            <w:pPr>
              <w:pStyle w:val="Tablewriting"/>
              <w:rPr>
                <w:rFonts w:eastAsia="MS Mincho" w:cstheme="minorHAnsi"/>
                <w:u w:val="single"/>
              </w:rPr>
            </w:pPr>
          </w:p>
          <w:p w:rsidR="006C4B18" w:rsidRPr="004272CD" w:rsidRDefault="005D3EF1" w:rsidP="006B48C7">
            <w:pPr>
              <w:pStyle w:val="Tablewriting"/>
              <w:rPr>
                <w:rFonts w:eastAsia="MS Mincho" w:cstheme="minorHAnsi"/>
                <w:u w:val="single"/>
              </w:rPr>
            </w:pPr>
            <w:r>
              <w:rPr>
                <w:rFonts w:eastAsia="MS Mincho" w:cstheme="minorHAnsi"/>
                <w:u w:val="single"/>
              </w:rPr>
              <w:t xml:space="preserve">Other: </w:t>
            </w:r>
            <w:r w:rsidRPr="00B662EC">
              <w:rPr>
                <w:rFonts w:eastAsia="MS Mincho" w:cstheme="minorHAnsi"/>
              </w:rPr>
              <w:t>urges to smoke (</w:t>
            </w:r>
            <w:r w:rsidR="00B662EC" w:rsidRPr="00B662EC">
              <w:rPr>
                <w:rFonts w:eastAsia="MS Mincho" w:cstheme="minorHAnsi"/>
              </w:rPr>
              <w:t xml:space="preserve">24 hrs, </w:t>
            </w:r>
            <w:r w:rsidRPr="00B662EC">
              <w:rPr>
                <w:rFonts w:eastAsia="MS Mincho" w:cstheme="minorHAnsi"/>
              </w:rPr>
              <w:t>1 week</w:t>
            </w:r>
            <w:r w:rsidR="00442D44" w:rsidRPr="00B662EC">
              <w:rPr>
                <w:rFonts w:eastAsia="MS Mincho" w:cstheme="minorHAnsi"/>
              </w:rPr>
              <w:t xml:space="preserve"> after TQD),</w:t>
            </w:r>
            <w:r w:rsidR="00E45DFC">
              <w:rPr>
                <w:rFonts w:eastAsia="MS Mincho" w:cstheme="minorHAnsi"/>
              </w:rPr>
              <w:t xml:space="preserve"> withdrawal symptoms</w:t>
            </w:r>
          </w:p>
        </w:tc>
      </w:tr>
      <w:tr w:rsidR="006C4B18" w:rsidRPr="00017AE6" w:rsidTr="006B48C7">
        <w:trPr>
          <w:trHeight w:val="99"/>
        </w:trPr>
        <w:tc>
          <w:tcPr>
            <w:tcW w:w="484" w:type="pct"/>
          </w:tcPr>
          <w:p w:rsidR="006C4B18" w:rsidRPr="00017AE6" w:rsidRDefault="006C4B18" w:rsidP="006B48C7">
            <w:pPr>
              <w:pStyle w:val="Tablewriting"/>
              <w:rPr>
                <w:rFonts w:eastAsia="MS Mincho" w:cstheme="minorHAnsi"/>
              </w:rPr>
            </w:pPr>
            <w:r>
              <w:rPr>
                <w:rFonts w:eastAsia="MS Mincho" w:cstheme="minorHAnsi"/>
              </w:rPr>
              <w:t xml:space="preserve">Koegelenberg </w:t>
            </w:r>
            <w:r w:rsidR="007C5FA5">
              <w:rPr>
                <w:rFonts w:eastAsia="MS Mincho" w:cstheme="minorHAnsi"/>
              </w:rPr>
              <w:t>(</w:t>
            </w:r>
            <w:r>
              <w:rPr>
                <w:rFonts w:eastAsia="MS Mincho" w:cstheme="minorHAnsi"/>
              </w:rPr>
              <w:t>2014</w:t>
            </w:r>
            <w:r w:rsidR="007C5FA5">
              <w:rPr>
                <w:rFonts w:eastAsia="MS Mincho" w:cstheme="minorHAnsi"/>
              </w:rPr>
              <w:t>)</w:t>
            </w:r>
          </w:p>
        </w:tc>
        <w:tc>
          <w:tcPr>
            <w:tcW w:w="235" w:type="pct"/>
          </w:tcPr>
          <w:p w:rsidR="006C4B18" w:rsidRPr="00017AE6" w:rsidRDefault="00B672A8" w:rsidP="006B48C7">
            <w:pPr>
              <w:pStyle w:val="Tablewriting"/>
              <w:rPr>
                <w:rFonts w:eastAsia="MS Mincho" w:cstheme="minorHAnsi"/>
              </w:rPr>
            </w:pPr>
            <w:r>
              <w:rPr>
                <w:rFonts w:eastAsia="MS Mincho" w:cstheme="minorHAnsi"/>
              </w:rPr>
              <w:t>RCT</w:t>
            </w:r>
          </w:p>
        </w:tc>
        <w:tc>
          <w:tcPr>
            <w:tcW w:w="422" w:type="pct"/>
          </w:tcPr>
          <w:p w:rsidR="006C4B18" w:rsidRPr="00017AE6" w:rsidRDefault="00146E96" w:rsidP="006B48C7">
            <w:pPr>
              <w:pStyle w:val="Tablewriting"/>
              <w:rPr>
                <w:rFonts w:eastAsia="MS Mincho" w:cstheme="minorHAnsi"/>
              </w:rPr>
            </w:pPr>
            <w:r>
              <w:rPr>
                <w:rFonts w:eastAsia="MS Mincho" w:cstheme="minorHAnsi"/>
              </w:rPr>
              <w:t>South</w:t>
            </w:r>
            <w:r w:rsidR="00A70ADB">
              <w:rPr>
                <w:rFonts w:eastAsia="MS Mincho" w:cstheme="minorHAnsi"/>
              </w:rPr>
              <w:t xml:space="preserve"> Africa</w:t>
            </w:r>
          </w:p>
        </w:tc>
        <w:tc>
          <w:tcPr>
            <w:tcW w:w="413" w:type="pct"/>
          </w:tcPr>
          <w:p w:rsidR="006C4B18" w:rsidRPr="00017AE6" w:rsidRDefault="00876282" w:rsidP="006B48C7">
            <w:pPr>
              <w:pStyle w:val="Tablewriting"/>
              <w:rPr>
                <w:rFonts w:eastAsia="MS Mincho" w:cstheme="minorHAnsi"/>
              </w:rPr>
            </w:pPr>
            <w:r>
              <w:rPr>
                <w:rFonts w:eastAsia="MS Mincho" w:cstheme="minorHAnsi"/>
              </w:rPr>
              <w:t>N=</w:t>
            </w:r>
            <w:r w:rsidR="004B62AE">
              <w:rPr>
                <w:rFonts w:eastAsia="MS Mincho" w:cstheme="minorHAnsi"/>
              </w:rPr>
              <w:t>446; n=222 (</w:t>
            </w:r>
            <w:r w:rsidR="00EC3779">
              <w:rPr>
                <w:rFonts w:eastAsia="MS Mincho" w:cstheme="minorHAnsi"/>
              </w:rPr>
              <w:t>NRT patch</w:t>
            </w:r>
            <w:r w:rsidR="001C5756">
              <w:rPr>
                <w:rFonts w:eastAsia="MS Mincho" w:cstheme="minorHAnsi"/>
              </w:rPr>
              <w:t xml:space="preserve"> plus </w:t>
            </w:r>
            <w:r w:rsidR="00EC3779">
              <w:rPr>
                <w:rFonts w:eastAsia="MS Mincho" w:cstheme="minorHAnsi"/>
              </w:rPr>
              <w:t>varenicline), n=224 (</w:t>
            </w:r>
            <w:r w:rsidR="001C5756">
              <w:rPr>
                <w:rFonts w:eastAsia="MS Mincho" w:cstheme="minorHAnsi"/>
              </w:rPr>
              <w:t xml:space="preserve">Placebo </w:t>
            </w:r>
            <w:r w:rsidR="001C5756">
              <w:rPr>
                <w:rFonts w:eastAsia="MS Mincho" w:cstheme="minorHAnsi"/>
              </w:rPr>
              <w:lastRenderedPageBreak/>
              <w:t>plus varenicline)</w:t>
            </w:r>
          </w:p>
        </w:tc>
        <w:tc>
          <w:tcPr>
            <w:tcW w:w="1165" w:type="pct"/>
          </w:tcPr>
          <w:p w:rsidR="00EE0489" w:rsidRPr="00EE0489" w:rsidRDefault="00EE0489" w:rsidP="006B48C7">
            <w:pPr>
              <w:pStyle w:val="Tablewriting"/>
              <w:rPr>
                <w:rFonts w:eastAsia="MS Mincho" w:cstheme="minorHAnsi"/>
              </w:rPr>
            </w:pPr>
            <w:r w:rsidRPr="00EE0489">
              <w:rPr>
                <w:rFonts w:eastAsia="MS Mincho" w:cstheme="minorHAnsi"/>
              </w:rPr>
              <w:lastRenderedPageBreak/>
              <w:t>Participants aged 18 to 75 years who sought assistance with</w:t>
            </w:r>
            <w:r>
              <w:rPr>
                <w:rFonts w:eastAsia="MS Mincho" w:cstheme="minorHAnsi"/>
              </w:rPr>
              <w:t xml:space="preserve"> </w:t>
            </w:r>
            <w:r w:rsidRPr="00EE0489">
              <w:rPr>
                <w:rFonts w:eastAsia="MS Mincho" w:cstheme="minorHAnsi"/>
              </w:rPr>
              <w:t>smoking cessation, had smoked at least 10 cigarettes/d during</w:t>
            </w:r>
            <w:r>
              <w:rPr>
                <w:rFonts w:eastAsia="MS Mincho" w:cstheme="minorHAnsi"/>
              </w:rPr>
              <w:t xml:space="preserve"> </w:t>
            </w:r>
            <w:r w:rsidRPr="00EE0489">
              <w:rPr>
                <w:rFonts w:eastAsia="MS Mincho" w:cstheme="minorHAnsi"/>
              </w:rPr>
              <w:t>the previous year and the month prior to screening, and</w:t>
            </w:r>
          </w:p>
          <w:p w:rsidR="00EE0489" w:rsidRPr="00EE0489" w:rsidRDefault="00EE0489" w:rsidP="006B48C7">
            <w:pPr>
              <w:pStyle w:val="Tablewriting"/>
              <w:rPr>
                <w:rFonts w:eastAsia="MS Mincho" w:cstheme="minorHAnsi"/>
              </w:rPr>
            </w:pPr>
            <w:r w:rsidRPr="00EE0489">
              <w:rPr>
                <w:rFonts w:eastAsia="MS Mincho" w:cstheme="minorHAnsi"/>
              </w:rPr>
              <w:t>had had no period of smoking</w:t>
            </w:r>
            <w:r>
              <w:rPr>
                <w:rFonts w:eastAsia="MS Mincho" w:cstheme="minorHAnsi"/>
              </w:rPr>
              <w:t xml:space="preserve"> </w:t>
            </w:r>
            <w:r w:rsidRPr="00EE0489">
              <w:rPr>
                <w:rFonts w:eastAsia="MS Mincho" w:cstheme="minorHAnsi"/>
              </w:rPr>
              <w:t>abstinence longer than 3</w:t>
            </w:r>
            <w:r>
              <w:rPr>
                <w:rFonts w:eastAsia="MS Mincho" w:cstheme="minorHAnsi"/>
              </w:rPr>
              <w:t xml:space="preserve"> </w:t>
            </w:r>
            <w:r w:rsidRPr="00EE0489">
              <w:rPr>
                <w:rFonts w:eastAsia="MS Mincho" w:cstheme="minorHAnsi"/>
              </w:rPr>
              <w:t>months</w:t>
            </w:r>
          </w:p>
          <w:p w:rsidR="00F24C75" w:rsidRDefault="00EE0489" w:rsidP="006B48C7">
            <w:pPr>
              <w:pStyle w:val="Tablewriting"/>
              <w:rPr>
                <w:rFonts w:eastAsia="MS Mincho" w:cstheme="minorHAnsi"/>
              </w:rPr>
            </w:pPr>
            <w:r w:rsidRPr="00EE0489">
              <w:rPr>
                <w:rFonts w:eastAsia="MS Mincho" w:cstheme="minorHAnsi"/>
              </w:rPr>
              <w:lastRenderedPageBreak/>
              <w:t>in the past year</w:t>
            </w:r>
            <w:r w:rsidR="00F24C75">
              <w:rPr>
                <w:rFonts w:eastAsia="MS Mincho" w:cstheme="minorHAnsi"/>
              </w:rPr>
              <w:t>.</w:t>
            </w:r>
          </w:p>
          <w:p w:rsidR="00F24C75" w:rsidRPr="00EE0489" w:rsidRDefault="00F24C75" w:rsidP="006B48C7">
            <w:pPr>
              <w:pStyle w:val="Tablewriting"/>
              <w:rPr>
                <w:rFonts w:eastAsia="MS Mincho" w:cstheme="minorHAnsi"/>
              </w:rPr>
            </w:pPr>
          </w:p>
          <w:p w:rsidR="00EE0489" w:rsidRPr="00EE0489" w:rsidRDefault="00EE0489" w:rsidP="006B48C7">
            <w:pPr>
              <w:pStyle w:val="Tablewriting"/>
              <w:rPr>
                <w:rFonts w:eastAsia="MS Mincho" w:cstheme="minorHAnsi"/>
              </w:rPr>
            </w:pPr>
            <w:r w:rsidRPr="00EE0489">
              <w:rPr>
                <w:rFonts w:eastAsia="MS Mincho" w:cstheme="minorHAnsi"/>
              </w:rPr>
              <w:t>Women of child-bearing potential were</w:t>
            </w:r>
          </w:p>
          <w:p w:rsidR="00F24C75" w:rsidRPr="00EE0489" w:rsidRDefault="00EE0489" w:rsidP="006B48C7">
            <w:pPr>
              <w:pStyle w:val="Tablewriting"/>
              <w:rPr>
                <w:rFonts w:eastAsia="MS Mincho" w:cstheme="minorHAnsi"/>
              </w:rPr>
            </w:pPr>
            <w:r w:rsidRPr="00EE0489">
              <w:rPr>
                <w:rFonts w:eastAsia="MS Mincho" w:cstheme="minorHAnsi"/>
              </w:rPr>
              <w:t xml:space="preserve">allowed to </w:t>
            </w:r>
            <w:r w:rsidR="00E3742D" w:rsidRPr="00EE0489">
              <w:rPr>
                <w:rFonts w:eastAsia="MS Mincho" w:cstheme="minorHAnsi"/>
              </w:rPr>
              <w:t>enrol</w:t>
            </w:r>
            <w:r w:rsidRPr="00EE0489">
              <w:rPr>
                <w:rFonts w:eastAsia="MS Mincho" w:cstheme="minorHAnsi"/>
              </w:rPr>
              <w:t xml:space="preserve"> provided they agreed to avoid pregnancy</w:t>
            </w:r>
            <w:r w:rsidR="00F24C75">
              <w:rPr>
                <w:rFonts w:eastAsia="MS Mincho" w:cstheme="minorHAnsi"/>
              </w:rPr>
              <w:t xml:space="preserve"> </w:t>
            </w:r>
            <w:r w:rsidRPr="00EE0489">
              <w:rPr>
                <w:rFonts w:eastAsia="MS Mincho" w:cstheme="minorHAnsi"/>
              </w:rPr>
              <w:t>through 30 days after the last dose of study medication, had a</w:t>
            </w:r>
            <w:r w:rsidR="00F24C75">
              <w:rPr>
                <w:rFonts w:eastAsia="MS Mincho" w:cstheme="minorHAnsi"/>
              </w:rPr>
              <w:t xml:space="preserve"> </w:t>
            </w:r>
            <w:r w:rsidRPr="00EE0489">
              <w:rPr>
                <w:rFonts w:eastAsia="MS Mincho" w:cstheme="minorHAnsi"/>
              </w:rPr>
              <w:t>negative test for pregnancy (urinary β–human chorionic</w:t>
            </w:r>
            <w:r w:rsidR="00F24C75">
              <w:rPr>
                <w:rFonts w:eastAsia="MS Mincho" w:cstheme="minorHAnsi"/>
              </w:rPr>
              <w:t xml:space="preserve"> </w:t>
            </w:r>
            <w:r w:rsidRPr="00EE0489">
              <w:rPr>
                <w:rFonts w:eastAsia="MS Mincho" w:cstheme="minorHAnsi"/>
              </w:rPr>
              <w:t>gonadotropin),</w:t>
            </w:r>
            <w:r w:rsidR="00F24C75">
              <w:rPr>
                <w:rFonts w:eastAsia="MS Mincho" w:cstheme="minorHAnsi"/>
              </w:rPr>
              <w:t xml:space="preserve"> </w:t>
            </w:r>
            <w:r w:rsidRPr="00EE0489">
              <w:rPr>
                <w:rFonts w:eastAsia="MS Mincho" w:cstheme="minorHAnsi"/>
              </w:rPr>
              <w:t>and agreed to use an effective birth control</w:t>
            </w:r>
            <w:r w:rsidR="00F24C75">
              <w:rPr>
                <w:rFonts w:eastAsia="MS Mincho" w:cstheme="minorHAnsi"/>
              </w:rPr>
              <w:t xml:space="preserve"> </w:t>
            </w:r>
            <w:r w:rsidRPr="00EE0489">
              <w:rPr>
                <w:rFonts w:eastAsia="MS Mincho" w:cstheme="minorHAnsi"/>
              </w:rPr>
              <w:t xml:space="preserve">method. </w:t>
            </w:r>
          </w:p>
          <w:p w:rsidR="00F24C75" w:rsidRDefault="00F24C75" w:rsidP="006B48C7">
            <w:pPr>
              <w:pStyle w:val="Tablewriting"/>
              <w:rPr>
                <w:rFonts w:eastAsia="MS Mincho" w:cstheme="minorHAnsi"/>
              </w:rPr>
            </w:pPr>
          </w:p>
          <w:p w:rsidR="006C4B18" w:rsidRDefault="00EE0489" w:rsidP="006B48C7">
            <w:pPr>
              <w:pStyle w:val="Tablewriting"/>
              <w:rPr>
                <w:rFonts w:eastAsia="MS Mincho" w:cstheme="minorHAnsi"/>
                <w:u w:val="single"/>
              </w:rPr>
            </w:pPr>
            <w:r w:rsidRPr="00F24C75">
              <w:rPr>
                <w:rFonts w:eastAsia="MS Mincho" w:cstheme="minorHAnsi"/>
                <w:u w:val="single"/>
              </w:rPr>
              <w:t>Exclusion</w:t>
            </w:r>
            <w:r w:rsidR="00F24C75" w:rsidRPr="00F24C75">
              <w:rPr>
                <w:rFonts w:eastAsia="MS Mincho" w:cstheme="minorHAnsi"/>
                <w:u w:val="single"/>
              </w:rPr>
              <w:t xml:space="preserve"> </w:t>
            </w:r>
            <w:r w:rsidRPr="00F24C75">
              <w:rPr>
                <w:rFonts w:eastAsia="MS Mincho" w:cstheme="minorHAnsi"/>
                <w:u w:val="single"/>
              </w:rPr>
              <w:t>criteria</w:t>
            </w:r>
            <w:r w:rsidR="00F24C75" w:rsidRPr="00F24C75">
              <w:rPr>
                <w:rFonts w:eastAsia="MS Mincho" w:cstheme="minorHAnsi"/>
                <w:u w:val="single"/>
              </w:rPr>
              <w:t xml:space="preserve">: </w:t>
            </w:r>
          </w:p>
          <w:p w:rsidR="00662348" w:rsidRPr="00662348" w:rsidRDefault="00662348" w:rsidP="006B48C7">
            <w:pPr>
              <w:pStyle w:val="Tablewriting"/>
              <w:rPr>
                <w:rFonts w:eastAsia="MS Mincho" w:cstheme="minorHAnsi"/>
              </w:rPr>
            </w:pPr>
            <w:r w:rsidRPr="00662348">
              <w:rPr>
                <w:rFonts w:eastAsia="MS Mincho" w:cstheme="minorHAnsi"/>
              </w:rPr>
              <w:t>Past or present depression or treatment with antidepressants within</w:t>
            </w:r>
          </w:p>
          <w:p w:rsidR="00662348" w:rsidRPr="00662348" w:rsidRDefault="00662348" w:rsidP="006B48C7">
            <w:pPr>
              <w:pStyle w:val="Tablewriting"/>
              <w:rPr>
                <w:rFonts w:eastAsia="MS Mincho" w:cstheme="minorHAnsi"/>
              </w:rPr>
            </w:pPr>
            <w:r w:rsidRPr="00662348">
              <w:rPr>
                <w:rFonts w:eastAsia="MS Mincho" w:cstheme="minorHAnsi"/>
              </w:rPr>
              <w:t>the past 12 months</w:t>
            </w:r>
            <w:r w:rsidR="0000018D">
              <w:rPr>
                <w:rFonts w:eastAsia="MS Mincho" w:cstheme="minorHAnsi"/>
              </w:rPr>
              <w:t>, h</w:t>
            </w:r>
            <w:r w:rsidRPr="00662348">
              <w:rPr>
                <w:rFonts w:eastAsia="MS Mincho" w:cstheme="minorHAnsi"/>
              </w:rPr>
              <w:t>istory of or currently experiencing psychosis, panic disorder, or bipolar</w:t>
            </w:r>
            <w:r w:rsidR="0000018D">
              <w:rPr>
                <w:rFonts w:eastAsia="MS Mincho" w:cstheme="minorHAnsi"/>
              </w:rPr>
              <w:t xml:space="preserve"> </w:t>
            </w:r>
            <w:r w:rsidRPr="00662348">
              <w:rPr>
                <w:rFonts w:eastAsia="MS Mincho" w:cstheme="minorHAnsi"/>
              </w:rPr>
              <w:t>disorder</w:t>
            </w:r>
            <w:r w:rsidR="0000018D">
              <w:rPr>
                <w:rFonts w:eastAsia="MS Mincho" w:cstheme="minorHAnsi"/>
              </w:rPr>
              <w:t xml:space="preserve">, </w:t>
            </w:r>
            <w:r w:rsidRPr="00662348">
              <w:rPr>
                <w:rFonts w:eastAsia="MS Mincho" w:cstheme="minorHAnsi"/>
              </w:rPr>
              <w:t>Severe chronic obstructive pulmonary disease</w:t>
            </w:r>
          </w:p>
          <w:p w:rsidR="00662348" w:rsidRPr="00662348" w:rsidRDefault="00662348" w:rsidP="006B48C7">
            <w:pPr>
              <w:pStyle w:val="Tablewriting"/>
              <w:rPr>
                <w:rFonts w:eastAsia="MS Mincho" w:cstheme="minorHAnsi"/>
              </w:rPr>
            </w:pPr>
            <w:r w:rsidRPr="00662348">
              <w:rPr>
                <w:rFonts w:eastAsia="MS Mincho" w:cstheme="minorHAnsi"/>
              </w:rPr>
              <w:t xml:space="preserve">Clinically significant cardiovascular disease in the past 6 months, </w:t>
            </w:r>
            <w:r w:rsidR="00425E63">
              <w:rPr>
                <w:rFonts w:eastAsia="MS Mincho" w:cstheme="minorHAnsi"/>
              </w:rPr>
              <w:t>u</w:t>
            </w:r>
            <w:r w:rsidRPr="00662348">
              <w:rPr>
                <w:rFonts w:eastAsia="MS Mincho" w:cstheme="minorHAnsi"/>
              </w:rPr>
              <w:t>ncontrolled hypertension or a systolic blood pressure greater than</w:t>
            </w:r>
            <w:r w:rsidR="00425E63">
              <w:rPr>
                <w:rFonts w:eastAsia="MS Mincho" w:cstheme="minorHAnsi"/>
              </w:rPr>
              <w:t xml:space="preserve"> </w:t>
            </w:r>
            <w:r w:rsidRPr="00662348">
              <w:rPr>
                <w:rFonts w:eastAsia="MS Mincho" w:cstheme="minorHAnsi"/>
              </w:rPr>
              <w:t>150mmHg or diastolic pressure greater than 95mmHg at screening</w:t>
            </w:r>
            <w:r w:rsidR="00CA71F0">
              <w:rPr>
                <w:rFonts w:eastAsia="MS Mincho" w:cstheme="minorHAnsi"/>
              </w:rPr>
              <w:t>, c</w:t>
            </w:r>
            <w:r w:rsidRPr="00662348">
              <w:rPr>
                <w:rFonts w:eastAsia="MS Mincho" w:cstheme="minorHAnsi"/>
              </w:rPr>
              <w:t>linically significant neurological disorders or cerebrovascular diseases in the past</w:t>
            </w:r>
            <w:r w:rsidR="00CA71F0">
              <w:rPr>
                <w:rFonts w:eastAsia="MS Mincho" w:cstheme="minorHAnsi"/>
              </w:rPr>
              <w:t xml:space="preserve"> </w:t>
            </w:r>
            <w:r w:rsidRPr="00662348">
              <w:rPr>
                <w:rFonts w:eastAsia="MS Mincho" w:cstheme="minorHAnsi"/>
              </w:rPr>
              <w:t>6</w:t>
            </w:r>
            <w:r w:rsidR="00CA71F0">
              <w:rPr>
                <w:rFonts w:eastAsia="MS Mincho" w:cstheme="minorHAnsi"/>
              </w:rPr>
              <w:t xml:space="preserve"> </w:t>
            </w:r>
            <w:r w:rsidR="00CA71F0" w:rsidRPr="00662348">
              <w:rPr>
                <w:rFonts w:eastAsia="MS Mincho" w:cstheme="minorHAnsi"/>
              </w:rPr>
              <w:t>months</w:t>
            </w:r>
            <w:r w:rsidR="00CA71F0">
              <w:rPr>
                <w:rFonts w:eastAsia="MS Mincho" w:cstheme="minorHAnsi"/>
              </w:rPr>
              <w:t xml:space="preserve">, </w:t>
            </w:r>
            <w:r w:rsidR="00CA71F0" w:rsidRPr="00662348">
              <w:rPr>
                <w:rFonts w:eastAsia="MS Mincho" w:cstheme="minorHAnsi"/>
              </w:rPr>
              <w:t>history</w:t>
            </w:r>
            <w:r w:rsidRPr="00662348">
              <w:rPr>
                <w:rFonts w:eastAsia="MS Mincho" w:cstheme="minorHAnsi"/>
              </w:rPr>
              <w:t xml:space="preserve"> of clinically significant endocrine disorders or gastrointestinal</w:t>
            </w:r>
          </w:p>
          <w:p w:rsidR="00662348" w:rsidRPr="00662348" w:rsidRDefault="00662348" w:rsidP="006B48C7">
            <w:pPr>
              <w:pStyle w:val="Tablewriting"/>
              <w:rPr>
                <w:rFonts w:eastAsia="MS Mincho" w:cstheme="minorHAnsi"/>
              </w:rPr>
            </w:pPr>
            <w:r w:rsidRPr="00662348">
              <w:rPr>
                <w:rFonts w:eastAsia="MS Mincho" w:cstheme="minorHAnsi"/>
              </w:rPr>
              <w:t>diseases, including insulin-dependent diabetes mellitus, uncontrolled</w:t>
            </w:r>
          </w:p>
          <w:p w:rsidR="006C4B18" w:rsidRPr="00F24C75" w:rsidRDefault="00662348" w:rsidP="006B48C7">
            <w:pPr>
              <w:pStyle w:val="Tablewriting"/>
              <w:rPr>
                <w:rFonts w:eastAsia="MS Mincho" w:cstheme="minorHAnsi"/>
                <w:u w:val="single"/>
              </w:rPr>
            </w:pPr>
            <w:r w:rsidRPr="00662348">
              <w:rPr>
                <w:rFonts w:eastAsia="MS Mincho" w:cstheme="minorHAnsi"/>
              </w:rPr>
              <w:t>hyperthyroidism, and active peptic ulcer</w:t>
            </w:r>
            <w:r w:rsidR="00CA71F0">
              <w:rPr>
                <w:rFonts w:eastAsia="MS Mincho" w:cstheme="minorHAnsi"/>
              </w:rPr>
              <w:t>, s</w:t>
            </w:r>
            <w:r w:rsidRPr="00662348">
              <w:rPr>
                <w:rFonts w:eastAsia="MS Mincho" w:cstheme="minorHAnsi"/>
              </w:rPr>
              <w:t>ignificant hepatic or renal impairment or other clinically significant</w:t>
            </w:r>
            <w:r w:rsidR="00CD45FF">
              <w:rPr>
                <w:rFonts w:eastAsia="MS Mincho" w:cstheme="minorHAnsi"/>
              </w:rPr>
              <w:t xml:space="preserve"> </w:t>
            </w:r>
            <w:r w:rsidRPr="00662348">
              <w:rPr>
                <w:rFonts w:eastAsia="MS Mincho" w:cstheme="minorHAnsi"/>
              </w:rPr>
              <w:t xml:space="preserve">abnormal laboratory test </w:t>
            </w:r>
            <w:r w:rsidRPr="00662348">
              <w:rPr>
                <w:rFonts w:eastAsia="MS Mincho" w:cstheme="minorHAnsi"/>
              </w:rPr>
              <w:lastRenderedPageBreak/>
              <w:t>values</w:t>
            </w:r>
            <w:r w:rsidR="00CD45FF">
              <w:rPr>
                <w:rFonts w:eastAsia="MS Mincho" w:cstheme="minorHAnsi"/>
              </w:rPr>
              <w:t>, h</w:t>
            </w:r>
            <w:r w:rsidRPr="00662348">
              <w:rPr>
                <w:rFonts w:eastAsia="MS Mincho" w:cstheme="minorHAnsi"/>
              </w:rPr>
              <w:t>istory of cancer</w:t>
            </w:r>
            <w:r w:rsidR="00CD45FF">
              <w:rPr>
                <w:rFonts w:eastAsia="MS Mincho" w:cstheme="minorHAnsi"/>
              </w:rPr>
              <w:t>, h</w:t>
            </w:r>
            <w:r w:rsidRPr="00662348">
              <w:rPr>
                <w:rFonts w:eastAsia="MS Mincho" w:cstheme="minorHAnsi"/>
              </w:rPr>
              <w:t>istory of clinically significant allergic reactions to drugs</w:t>
            </w:r>
            <w:r w:rsidR="00CD45FF">
              <w:rPr>
                <w:rFonts w:eastAsia="MS Mincho" w:cstheme="minorHAnsi"/>
              </w:rPr>
              <w:t>, h</w:t>
            </w:r>
            <w:r w:rsidRPr="00662348">
              <w:rPr>
                <w:rFonts w:eastAsia="MS Mincho" w:cstheme="minorHAnsi"/>
              </w:rPr>
              <w:t>istory of drug or alcohol abuse or dependence within the past</w:t>
            </w:r>
            <w:r w:rsidR="00CD45FF">
              <w:rPr>
                <w:rFonts w:eastAsia="MS Mincho" w:cstheme="minorHAnsi"/>
              </w:rPr>
              <w:t>.</w:t>
            </w:r>
          </w:p>
        </w:tc>
        <w:tc>
          <w:tcPr>
            <w:tcW w:w="1284" w:type="pct"/>
          </w:tcPr>
          <w:p w:rsidR="006D2D83" w:rsidRPr="00476858" w:rsidRDefault="006D2D83" w:rsidP="00C324F3">
            <w:pPr>
              <w:pStyle w:val="ListParagraph"/>
              <w:numPr>
                <w:ilvl w:val="0"/>
                <w:numId w:val="181"/>
              </w:numPr>
              <w:rPr>
                <w:rFonts w:eastAsia="MS Mincho"/>
                <w:lang w:eastAsia="en-US"/>
              </w:rPr>
            </w:pPr>
            <w:r w:rsidRPr="006D2D83">
              <w:rPr>
                <w:rFonts w:eastAsia="MS Mincho"/>
                <w:lang w:eastAsia="en-US"/>
              </w:rPr>
              <w:lastRenderedPageBreak/>
              <w:t>Nicotine patch</w:t>
            </w:r>
            <w:r>
              <w:rPr>
                <w:rFonts w:eastAsia="MS Mincho"/>
                <w:lang w:eastAsia="en-US"/>
              </w:rPr>
              <w:t xml:space="preserve">; </w:t>
            </w:r>
            <w:r w:rsidR="00476858" w:rsidRPr="00476858">
              <w:rPr>
                <w:rFonts w:eastAsia="MS Mincho"/>
                <w:lang w:eastAsia="en-US"/>
              </w:rPr>
              <w:t>15-mg nicotine patches</w:t>
            </w:r>
            <w:r w:rsidR="00476858">
              <w:rPr>
                <w:rFonts w:eastAsia="MS Mincho"/>
                <w:lang w:eastAsia="en-US"/>
              </w:rPr>
              <w:t xml:space="preserve"> </w:t>
            </w:r>
            <w:r w:rsidR="00476858" w:rsidRPr="00476858">
              <w:rPr>
                <w:rFonts w:eastAsia="MS Mincho"/>
                <w:lang w:eastAsia="en-US"/>
              </w:rPr>
              <w:t>were administered for 16 h/d</w:t>
            </w:r>
            <w:r w:rsidR="00476858">
              <w:rPr>
                <w:rFonts w:eastAsia="MS Mincho"/>
                <w:lang w:eastAsia="en-US"/>
              </w:rPr>
              <w:t xml:space="preserve"> </w:t>
            </w:r>
            <w:r w:rsidR="00476858" w:rsidRPr="00476858">
              <w:rPr>
                <w:rFonts w:eastAsia="MS Mincho"/>
                <w:lang w:eastAsia="en-US"/>
              </w:rPr>
              <w:t>beginning at the randomization</w:t>
            </w:r>
            <w:r w:rsidR="00476858">
              <w:rPr>
                <w:rFonts w:eastAsia="MS Mincho"/>
                <w:lang w:eastAsia="en-US"/>
              </w:rPr>
              <w:t xml:space="preserve"> </w:t>
            </w:r>
            <w:r w:rsidR="00476858" w:rsidRPr="00476858">
              <w:rPr>
                <w:rFonts w:eastAsia="MS Mincho"/>
                <w:lang w:eastAsia="en-US"/>
              </w:rPr>
              <w:t>visit, 2 weeks before the TQD, and continued until</w:t>
            </w:r>
            <w:r w:rsidR="00476858">
              <w:rPr>
                <w:rFonts w:eastAsia="MS Mincho"/>
                <w:lang w:eastAsia="en-US"/>
              </w:rPr>
              <w:t xml:space="preserve"> </w:t>
            </w:r>
            <w:r w:rsidR="00476858" w:rsidRPr="00476858">
              <w:rPr>
                <w:rFonts w:eastAsia="MS Mincho"/>
                <w:lang w:eastAsia="en-US"/>
              </w:rPr>
              <w:t>week</w:t>
            </w:r>
            <w:r w:rsidR="00476858">
              <w:rPr>
                <w:rFonts w:eastAsia="MS Mincho"/>
                <w:lang w:eastAsia="en-US"/>
              </w:rPr>
              <w:t xml:space="preserve"> </w:t>
            </w:r>
            <w:r w:rsidR="00476858" w:rsidRPr="00476858">
              <w:rPr>
                <w:rFonts w:eastAsia="MS Mincho"/>
                <w:lang w:eastAsia="en-US"/>
              </w:rPr>
              <w:t>12 (total duration, 14</w:t>
            </w:r>
            <w:r w:rsidR="00476858">
              <w:rPr>
                <w:rFonts w:eastAsia="MS Mincho"/>
                <w:lang w:eastAsia="en-US"/>
              </w:rPr>
              <w:t xml:space="preserve"> </w:t>
            </w:r>
            <w:r w:rsidR="00476858" w:rsidRPr="00476858">
              <w:rPr>
                <w:rFonts w:eastAsia="MS Mincho"/>
                <w:lang w:eastAsia="en-US"/>
              </w:rPr>
              <w:t>weeks).</w:t>
            </w:r>
            <w:r w:rsidRPr="00476858">
              <w:rPr>
                <w:rFonts w:eastAsia="MS Mincho"/>
                <w:lang w:eastAsia="en-US"/>
              </w:rPr>
              <w:t xml:space="preserve"> </w:t>
            </w:r>
          </w:p>
          <w:p w:rsidR="00476858" w:rsidRDefault="006D2D83" w:rsidP="00C324F3">
            <w:pPr>
              <w:pStyle w:val="ListParagraph"/>
              <w:numPr>
                <w:ilvl w:val="0"/>
                <w:numId w:val="181"/>
              </w:numPr>
              <w:rPr>
                <w:rFonts w:eastAsia="MS Mincho"/>
                <w:lang w:eastAsia="en-US"/>
              </w:rPr>
            </w:pPr>
            <w:r>
              <w:rPr>
                <w:rFonts w:eastAsia="MS Mincho"/>
                <w:lang w:eastAsia="en-US"/>
              </w:rPr>
              <w:t>Placebo (same as above)</w:t>
            </w:r>
          </w:p>
          <w:p w:rsidR="005C5B17" w:rsidRDefault="005C5B17" w:rsidP="006B48C7">
            <w:pPr>
              <w:pStyle w:val="ListParagraph"/>
              <w:ind w:left="360"/>
              <w:rPr>
                <w:rFonts w:eastAsia="MS Mincho"/>
                <w:lang w:eastAsia="en-US"/>
              </w:rPr>
            </w:pPr>
          </w:p>
          <w:p w:rsidR="005C5B17" w:rsidRPr="005C5B17" w:rsidRDefault="005C5B17" w:rsidP="006B48C7">
            <w:pPr>
              <w:pStyle w:val="ListParagraph"/>
              <w:ind w:left="360"/>
              <w:rPr>
                <w:rFonts w:eastAsia="MS Mincho"/>
                <w:lang w:eastAsia="en-US"/>
              </w:rPr>
            </w:pPr>
          </w:p>
          <w:p w:rsidR="001E62B4" w:rsidRPr="001E62B4" w:rsidRDefault="00476858" w:rsidP="006B48C7">
            <w:pPr>
              <w:rPr>
                <w:rFonts w:eastAsia="MS Mincho"/>
                <w:lang w:eastAsia="en-US"/>
              </w:rPr>
            </w:pPr>
            <w:r w:rsidRPr="00476858">
              <w:rPr>
                <w:rFonts w:eastAsia="MS Mincho"/>
                <w:u w:val="single"/>
                <w:lang w:eastAsia="en-US"/>
              </w:rPr>
              <w:t>Common components:</w:t>
            </w:r>
            <w:r>
              <w:rPr>
                <w:rFonts w:eastAsia="MS Mincho"/>
                <w:lang w:eastAsia="en-US"/>
              </w:rPr>
              <w:t xml:space="preserve"> </w:t>
            </w:r>
            <w:r w:rsidR="001E62B4" w:rsidRPr="001E62B4">
              <w:rPr>
                <w:rFonts w:eastAsia="MS Mincho"/>
                <w:lang w:eastAsia="en-US"/>
              </w:rPr>
              <w:t>One week before the TQD,</w:t>
            </w:r>
            <w:r w:rsidR="001E62B4">
              <w:rPr>
                <w:rFonts w:eastAsia="MS Mincho"/>
                <w:lang w:eastAsia="en-US"/>
              </w:rPr>
              <w:t xml:space="preserve"> </w:t>
            </w:r>
            <w:r w:rsidR="001E62B4" w:rsidRPr="001E62B4">
              <w:rPr>
                <w:rFonts w:eastAsia="MS Mincho"/>
                <w:lang w:eastAsia="en-US"/>
              </w:rPr>
              <w:t>all participants began taking varenicline 0.5mg once</w:t>
            </w:r>
            <w:r w:rsidR="001E62B4">
              <w:rPr>
                <w:rFonts w:eastAsia="MS Mincho"/>
                <w:lang w:eastAsia="en-US"/>
              </w:rPr>
              <w:t xml:space="preserve"> </w:t>
            </w:r>
            <w:r w:rsidR="001E62B4" w:rsidRPr="001E62B4">
              <w:rPr>
                <w:rFonts w:eastAsia="MS Mincho"/>
                <w:lang w:eastAsia="en-US"/>
              </w:rPr>
              <w:t>daily for 3 days, titrated to 0.5 mg twice daily for days 4 to 7</w:t>
            </w:r>
          </w:p>
          <w:p w:rsidR="001E62B4" w:rsidRDefault="001E62B4" w:rsidP="006B48C7">
            <w:pPr>
              <w:rPr>
                <w:rFonts w:eastAsia="MS Mincho"/>
                <w:lang w:eastAsia="en-US"/>
              </w:rPr>
            </w:pPr>
            <w:r w:rsidRPr="001E62B4">
              <w:rPr>
                <w:rFonts w:eastAsia="MS Mincho"/>
                <w:lang w:eastAsia="en-US"/>
              </w:rPr>
              <w:t>and then to the maintenance dose of 1mg twice daily through</w:t>
            </w:r>
            <w:r>
              <w:rPr>
                <w:rFonts w:eastAsia="MS Mincho"/>
                <w:lang w:eastAsia="en-US"/>
              </w:rPr>
              <w:t xml:space="preserve"> </w:t>
            </w:r>
            <w:r w:rsidRPr="001E62B4">
              <w:rPr>
                <w:rFonts w:eastAsia="MS Mincho"/>
                <w:lang w:eastAsia="en-US"/>
              </w:rPr>
              <w:t xml:space="preserve">week 12. </w:t>
            </w:r>
          </w:p>
          <w:p w:rsidR="006C4B18" w:rsidRPr="002F7627" w:rsidRDefault="001E62B4" w:rsidP="006B48C7">
            <w:pPr>
              <w:rPr>
                <w:rFonts w:eastAsia="MS Mincho"/>
                <w:lang w:eastAsia="en-US"/>
              </w:rPr>
            </w:pPr>
            <w:r w:rsidRPr="001E62B4">
              <w:rPr>
                <w:rFonts w:eastAsia="MS Mincho"/>
                <w:lang w:eastAsia="en-US"/>
              </w:rPr>
              <w:t>Varenicline was tapered off and stopped at the end</w:t>
            </w:r>
            <w:r>
              <w:rPr>
                <w:rFonts w:eastAsia="MS Mincho"/>
                <w:lang w:eastAsia="en-US"/>
              </w:rPr>
              <w:t xml:space="preserve"> </w:t>
            </w:r>
            <w:r w:rsidRPr="001E62B4">
              <w:rPr>
                <w:rFonts w:eastAsia="MS Mincho"/>
                <w:lang w:eastAsia="en-US"/>
              </w:rPr>
              <w:t>of week 13 (0.5 mg twice daily for 4 days, followed by 0.5 mg</w:t>
            </w:r>
            <w:r>
              <w:rPr>
                <w:rFonts w:eastAsia="MS Mincho"/>
                <w:lang w:eastAsia="en-US"/>
              </w:rPr>
              <w:t xml:space="preserve"> </w:t>
            </w:r>
            <w:r w:rsidRPr="001E62B4">
              <w:rPr>
                <w:rFonts w:eastAsia="MS Mincho"/>
                <w:lang w:eastAsia="en-US"/>
              </w:rPr>
              <w:t>in the evenings for 3 days</w:t>
            </w:r>
            <w:r>
              <w:rPr>
                <w:rFonts w:eastAsia="MS Mincho"/>
                <w:lang w:eastAsia="en-US"/>
              </w:rPr>
              <w:t>,</w:t>
            </w:r>
            <w:r w:rsidRPr="001E62B4">
              <w:rPr>
                <w:rFonts w:eastAsia="MS Mincho"/>
                <w:lang w:eastAsia="en-US"/>
              </w:rPr>
              <w:t xml:space="preserve"> </w:t>
            </w:r>
            <w:r>
              <w:rPr>
                <w:rFonts w:eastAsia="MS Mincho"/>
                <w:lang w:eastAsia="en-US"/>
              </w:rPr>
              <w:t xml:space="preserve">with </w:t>
            </w:r>
            <w:r w:rsidRPr="001E62B4">
              <w:rPr>
                <w:rFonts w:eastAsia="MS Mincho"/>
                <w:lang w:eastAsia="en-US"/>
              </w:rPr>
              <w:t>total duration</w:t>
            </w:r>
            <w:r>
              <w:rPr>
                <w:rFonts w:eastAsia="MS Mincho"/>
                <w:lang w:eastAsia="en-US"/>
              </w:rPr>
              <w:t xml:space="preserve"> of </w:t>
            </w:r>
            <w:r w:rsidRPr="001E62B4">
              <w:rPr>
                <w:rFonts w:eastAsia="MS Mincho"/>
                <w:lang w:eastAsia="en-US"/>
              </w:rPr>
              <w:t>14 weeks</w:t>
            </w:r>
            <w:r>
              <w:rPr>
                <w:rFonts w:eastAsia="MS Mincho"/>
                <w:lang w:eastAsia="en-US"/>
              </w:rPr>
              <w:t xml:space="preserve">). </w:t>
            </w:r>
          </w:p>
        </w:tc>
        <w:tc>
          <w:tcPr>
            <w:tcW w:w="997" w:type="pct"/>
          </w:tcPr>
          <w:p w:rsidR="00876282" w:rsidRDefault="00876282" w:rsidP="006B48C7">
            <w:pPr>
              <w:pStyle w:val="Tablewriting"/>
              <w:rPr>
                <w:rFonts w:eastAsia="MS Mincho" w:cstheme="minorHAnsi"/>
              </w:rPr>
            </w:pPr>
            <w:r>
              <w:rPr>
                <w:rFonts w:eastAsia="MS Mincho" w:cstheme="minorHAnsi"/>
                <w:u w:val="single"/>
              </w:rPr>
              <w:lastRenderedPageBreak/>
              <w:t>Efficacy:</w:t>
            </w:r>
            <w:r w:rsidR="003137C3">
              <w:rPr>
                <w:rFonts w:eastAsia="MS Mincho" w:cstheme="minorHAnsi"/>
                <w:u w:val="single"/>
              </w:rPr>
              <w:t xml:space="preserve"> </w:t>
            </w:r>
            <w:r w:rsidR="003137C3" w:rsidRPr="00482336">
              <w:rPr>
                <w:rFonts w:eastAsia="MS Mincho" w:cstheme="minorHAnsi"/>
              </w:rPr>
              <w:t>C</w:t>
            </w:r>
            <w:r w:rsidR="00482336" w:rsidRPr="00482336">
              <w:rPr>
                <w:rFonts w:eastAsia="MS Mincho" w:cstheme="minorHAnsi"/>
              </w:rPr>
              <w:t>ontinuous</w:t>
            </w:r>
            <w:r w:rsidR="003137C3">
              <w:rPr>
                <w:rFonts w:eastAsia="MS Mincho" w:cstheme="minorHAnsi"/>
              </w:rPr>
              <w:t xml:space="preserve"> </w:t>
            </w:r>
            <w:r w:rsidR="00482336" w:rsidRPr="00482336">
              <w:rPr>
                <w:rFonts w:eastAsia="MS Mincho" w:cstheme="minorHAnsi"/>
              </w:rPr>
              <w:t xml:space="preserve">abstinence rate </w:t>
            </w:r>
            <w:r w:rsidR="00AB6A78">
              <w:rPr>
                <w:rFonts w:eastAsia="MS Mincho" w:cstheme="minorHAnsi"/>
              </w:rPr>
              <w:t xml:space="preserve">at </w:t>
            </w:r>
            <w:r w:rsidR="001C1AEA">
              <w:rPr>
                <w:rFonts w:eastAsia="MS Mincho" w:cstheme="minorHAnsi"/>
              </w:rPr>
              <w:t>(</w:t>
            </w:r>
            <w:r w:rsidR="00482336" w:rsidRPr="00482336">
              <w:rPr>
                <w:rFonts w:eastAsia="MS Mincho" w:cstheme="minorHAnsi"/>
              </w:rPr>
              <w:t xml:space="preserve">week 9 </w:t>
            </w:r>
            <w:r w:rsidR="001C1AEA">
              <w:rPr>
                <w:rFonts w:eastAsia="MS Mincho" w:cstheme="minorHAnsi"/>
              </w:rPr>
              <w:t>-</w:t>
            </w:r>
            <w:r w:rsidR="00482336" w:rsidRPr="00482336">
              <w:rPr>
                <w:rFonts w:eastAsia="MS Mincho" w:cstheme="minorHAnsi"/>
              </w:rPr>
              <w:t>12</w:t>
            </w:r>
            <w:r w:rsidR="001C1AEA">
              <w:rPr>
                <w:rFonts w:eastAsia="MS Mincho" w:cstheme="minorHAnsi"/>
              </w:rPr>
              <w:t>)</w:t>
            </w:r>
            <w:r w:rsidR="00480EC3">
              <w:rPr>
                <w:rFonts w:eastAsia="MS Mincho" w:cstheme="minorHAnsi"/>
              </w:rPr>
              <w:t>,</w:t>
            </w:r>
          </w:p>
          <w:p w:rsidR="00480EC3" w:rsidRDefault="00480EC3" w:rsidP="006B48C7">
            <w:pPr>
              <w:pStyle w:val="Tablewriting"/>
              <w:rPr>
                <w:rFonts w:eastAsia="MS Mincho" w:cstheme="minorHAnsi"/>
              </w:rPr>
            </w:pPr>
            <w:r>
              <w:rPr>
                <w:rFonts w:eastAsia="MS Mincho" w:cstheme="minorHAnsi"/>
              </w:rPr>
              <w:t>PPA</w:t>
            </w:r>
            <w:r w:rsidRPr="00480EC3">
              <w:rPr>
                <w:rFonts w:eastAsia="MS Mincho" w:cstheme="minorHAnsi"/>
              </w:rPr>
              <w:t xml:space="preserve"> at 6 months, continuous abstinence rate </w:t>
            </w:r>
            <w:r>
              <w:rPr>
                <w:rFonts w:eastAsia="MS Mincho" w:cstheme="minorHAnsi"/>
              </w:rPr>
              <w:t xml:space="preserve">at </w:t>
            </w:r>
            <w:r w:rsidRPr="00480EC3">
              <w:rPr>
                <w:rFonts w:eastAsia="MS Mincho" w:cstheme="minorHAnsi"/>
              </w:rPr>
              <w:t xml:space="preserve">week </w:t>
            </w:r>
            <w:r>
              <w:rPr>
                <w:rFonts w:eastAsia="MS Mincho" w:cstheme="minorHAnsi"/>
              </w:rPr>
              <w:t>(</w:t>
            </w:r>
            <w:r w:rsidRPr="00480EC3">
              <w:rPr>
                <w:rFonts w:eastAsia="MS Mincho" w:cstheme="minorHAnsi"/>
              </w:rPr>
              <w:t xml:space="preserve">9 </w:t>
            </w:r>
            <w:r>
              <w:rPr>
                <w:rFonts w:eastAsia="MS Mincho" w:cstheme="minorHAnsi"/>
              </w:rPr>
              <w:t>–</w:t>
            </w:r>
            <w:r w:rsidRPr="00480EC3">
              <w:rPr>
                <w:rFonts w:eastAsia="MS Mincho" w:cstheme="minorHAnsi"/>
              </w:rPr>
              <w:t xml:space="preserve"> 24</w:t>
            </w:r>
            <w:r>
              <w:rPr>
                <w:rFonts w:eastAsia="MS Mincho" w:cstheme="minorHAnsi"/>
              </w:rPr>
              <w:t>)</w:t>
            </w:r>
          </w:p>
          <w:p w:rsidR="00480EC3" w:rsidRDefault="00480EC3" w:rsidP="006B48C7">
            <w:pPr>
              <w:pStyle w:val="Tablewriting"/>
              <w:rPr>
                <w:rFonts w:eastAsia="MS Mincho" w:cstheme="minorHAnsi"/>
                <w:u w:val="single"/>
              </w:rPr>
            </w:pPr>
          </w:p>
          <w:p w:rsidR="006C4B18" w:rsidRPr="00480EC3" w:rsidRDefault="00876282" w:rsidP="006B48C7">
            <w:pPr>
              <w:pStyle w:val="Tablewriting"/>
              <w:rPr>
                <w:rFonts w:eastAsia="MS Mincho" w:cstheme="minorHAnsi"/>
              </w:rPr>
            </w:pPr>
            <w:r>
              <w:rPr>
                <w:rFonts w:eastAsia="MS Mincho" w:cstheme="minorHAnsi"/>
                <w:u w:val="single"/>
              </w:rPr>
              <w:t>Safety:</w:t>
            </w:r>
            <w:r w:rsidR="00480EC3" w:rsidRPr="00480EC3">
              <w:rPr>
                <w:rFonts w:eastAsia="MS Mincho" w:cstheme="minorHAnsi"/>
              </w:rPr>
              <w:t xml:space="preserve"> adverse</w:t>
            </w:r>
            <w:r w:rsidR="00480EC3">
              <w:rPr>
                <w:rFonts w:eastAsia="MS Mincho" w:cstheme="minorHAnsi"/>
              </w:rPr>
              <w:t xml:space="preserve"> </w:t>
            </w:r>
            <w:r w:rsidR="00480EC3" w:rsidRPr="00480EC3">
              <w:rPr>
                <w:rFonts w:eastAsia="MS Mincho" w:cstheme="minorHAnsi"/>
              </w:rPr>
              <w:t>events</w:t>
            </w:r>
          </w:p>
        </w:tc>
      </w:tr>
      <w:tr w:rsidR="006C4B18" w:rsidRPr="00017AE6" w:rsidTr="006B48C7">
        <w:trPr>
          <w:trHeight w:val="99"/>
        </w:trPr>
        <w:tc>
          <w:tcPr>
            <w:tcW w:w="484" w:type="pct"/>
          </w:tcPr>
          <w:p w:rsidR="006C4B18" w:rsidRPr="00017AE6" w:rsidRDefault="006C4B18" w:rsidP="006B48C7">
            <w:pPr>
              <w:pStyle w:val="Tablewriting"/>
              <w:rPr>
                <w:rFonts w:eastAsia="MS Mincho" w:cstheme="minorHAnsi"/>
              </w:rPr>
            </w:pPr>
            <w:r>
              <w:rPr>
                <w:rFonts w:eastAsia="MS Mincho" w:cstheme="minorHAnsi"/>
              </w:rPr>
              <w:lastRenderedPageBreak/>
              <w:t xml:space="preserve">Ramon </w:t>
            </w:r>
            <w:r w:rsidR="007C5FA5">
              <w:rPr>
                <w:rFonts w:eastAsia="MS Mincho" w:cstheme="minorHAnsi"/>
              </w:rPr>
              <w:t>(</w:t>
            </w:r>
            <w:r>
              <w:rPr>
                <w:rFonts w:eastAsia="MS Mincho" w:cstheme="minorHAnsi"/>
              </w:rPr>
              <w:t>2014</w:t>
            </w:r>
            <w:r w:rsidR="007C5FA5">
              <w:rPr>
                <w:rFonts w:eastAsia="MS Mincho" w:cstheme="minorHAnsi"/>
              </w:rPr>
              <w:t>)</w:t>
            </w:r>
          </w:p>
        </w:tc>
        <w:tc>
          <w:tcPr>
            <w:tcW w:w="235" w:type="pct"/>
          </w:tcPr>
          <w:p w:rsidR="006C4B18" w:rsidRPr="00017AE6" w:rsidRDefault="00B672A8" w:rsidP="006B48C7">
            <w:pPr>
              <w:pStyle w:val="Tablewriting"/>
              <w:rPr>
                <w:rFonts w:eastAsia="MS Mincho" w:cstheme="minorHAnsi"/>
              </w:rPr>
            </w:pPr>
            <w:r>
              <w:rPr>
                <w:rFonts w:eastAsia="MS Mincho" w:cstheme="minorHAnsi"/>
              </w:rPr>
              <w:t>RCT</w:t>
            </w:r>
          </w:p>
        </w:tc>
        <w:tc>
          <w:tcPr>
            <w:tcW w:w="422" w:type="pct"/>
          </w:tcPr>
          <w:p w:rsidR="006C4B18" w:rsidRPr="00017AE6" w:rsidRDefault="004511A7" w:rsidP="006B48C7">
            <w:pPr>
              <w:pStyle w:val="Tablewriting"/>
              <w:rPr>
                <w:rFonts w:eastAsia="MS Mincho" w:cstheme="minorHAnsi"/>
              </w:rPr>
            </w:pPr>
            <w:r>
              <w:rPr>
                <w:rFonts w:eastAsia="MS Mincho" w:cstheme="minorHAnsi"/>
              </w:rPr>
              <w:t>Spain</w:t>
            </w:r>
          </w:p>
        </w:tc>
        <w:tc>
          <w:tcPr>
            <w:tcW w:w="413" w:type="pct"/>
          </w:tcPr>
          <w:p w:rsidR="006C4B18" w:rsidRPr="00017AE6" w:rsidRDefault="0021232A" w:rsidP="006B48C7">
            <w:pPr>
              <w:pStyle w:val="Tablewriting"/>
              <w:rPr>
                <w:rFonts w:eastAsia="MS Mincho" w:cstheme="minorHAnsi"/>
              </w:rPr>
            </w:pPr>
            <w:r>
              <w:rPr>
                <w:rFonts w:eastAsia="MS Mincho" w:cstheme="minorHAnsi"/>
              </w:rPr>
              <w:t>N=</w:t>
            </w:r>
            <w:r w:rsidR="00AC0B98">
              <w:rPr>
                <w:rFonts w:eastAsia="MS Mincho" w:cstheme="minorHAnsi"/>
              </w:rPr>
              <w:t>341; n=</w:t>
            </w:r>
            <w:r w:rsidR="00517BB7">
              <w:rPr>
                <w:rFonts w:eastAsia="MS Mincho" w:cstheme="minorHAnsi"/>
              </w:rPr>
              <w:t>170 (varenicline plus NRT patch), n=171 (</w:t>
            </w:r>
            <w:r w:rsidR="00690E53">
              <w:rPr>
                <w:rFonts w:eastAsia="MS Mincho" w:cstheme="minorHAnsi"/>
              </w:rPr>
              <w:t>varenicline plus placebo)</w:t>
            </w:r>
          </w:p>
        </w:tc>
        <w:tc>
          <w:tcPr>
            <w:tcW w:w="1165" w:type="pct"/>
          </w:tcPr>
          <w:p w:rsidR="00D30342" w:rsidRPr="00D30342" w:rsidRDefault="00D30342" w:rsidP="006B48C7">
            <w:pPr>
              <w:pStyle w:val="Tablewriting"/>
              <w:rPr>
                <w:rFonts w:eastAsia="MS Mincho" w:cstheme="minorHAnsi"/>
              </w:rPr>
            </w:pPr>
            <w:r>
              <w:rPr>
                <w:rFonts w:eastAsia="MS Mincho" w:cstheme="minorHAnsi"/>
              </w:rPr>
              <w:t xml:space="preserve">Smokers who are </w:t>
            </w:r>
            <w:r w:rsidRPr="00D30342">
              <w:rPr>
                <w:rFonts w:eastAsia="MS Mincho" w:cstheme="minorHAnsi"/>
              </w:rPr>
              <w:t>18 years old or older, having</w:t>
            </w:r>
            <w:r w:rsidR="00DD232B">
              <w:rPr>
                <w:rFonts w:eastAsia="MS Mincho" w:cstheme="minorHAnsi"/>
              </w:rPr>
              <w:t xml:space="preserve"> </w:t>
            </w:r>
            <w:r w:rsidRPr="00D30342">
              <w:rPr>
                <w:rFonts w:eastAsia="MS Mincho" w:cstheme="minorHAnsi"/>
              </w:rPr>
              <w:t>smoked ≥20 cigarettes daily for the last six months,</w:t>
            </w:r>
            <w:r w:rsidR="00DD232B">
              <w:rPr>
                <w:rFonts w:eastAsia="MS Mincho" w:cstheme="minorHAnsi"/>
              </w:rPr>
              <w:t xml:space="preserve"> </w:t>
            </w:r>
            <w:r w:rsidRPr="00D30342">
              <w:rPr>
                <w:rFonts w:eastAsia="MS Mincho" w:cstheme="minorHAnsi"/>
              </w:rPr>
              <w:t>no period of smoking</w:t>
            </w:r>
            <w:r w:rsidR="00DD232B">
              <w:rPr>
                <w:rFonts w:eastAsia="MS Mincho" w:cstheme="minorHAnsi"/>
              </w:rPr>
              <w:t xml:space="preserve"> </w:t>
            </w:r>
            <w:r w:rsidRPr="00D30342">
              <w:rPr>
                <w:rFonts w:eastAsia="MS Mincho" w:cstheme="minorHAnsi"/>
              </w:rPr>
              <w:t>abstinence longer than three months in the last year.</w:t>
            </w:r>
          </w:p>
          <w:p w:rsidR="00D30342" w:rsidRPr="00D30342" w:rsidRDefault="00D30342" w:rsidP="006B48C7">
            <w:pPr>
              <w:pStyle w:val="Tablewriting"/>
              <w:rPr>
                <w:rFonts w:eastAsia="MS Mincho" w:cstheme="minorHAnsi"/>
              </w:rPr>
            </w:pPr>
            <w:r w:rsidRPr="00D30342">
              <w:rPr>
                <w:rFonts w:eastAsia="MS Mincho" w:cstheme="minorHAnsi"/>
              </w:rPr>
              <w:t>Female smokers were eligible provided that they were</w:t>
            </w:r>
            <w:r w:rsidR="00DD232B">
              <w:rPr>
                <w:rFonts w:eastAsia="MS Mincho" w:cstheme="minorHAnsi"/>
              </w:rPr>
              <w:t xml:space="preserve"> </w:t>
            </w:r>
            <w:r w:rsidRPr="00D30342">
              <w:rPr>
                <w:rFonts w:eastAsia="MS Mincho" w:cstheme="minorHAnsi"/>
              </w:rPr>
              <w:t>not breastfeeding, pregnant (negative pregnancy test)</w:t>
            </w:r>
          </w:p>
          <w:p w:rsidR="006C4B18" w:rsidRDefault="00D30342" w:rsidP="006B48C7">
            <w:pPr>
              <w:pStyle w:val="Tablewriting"/>
              <w:rPr>
                <w:rFonts w:eastAsia="MS Mincho" w:cstheme="minorHAnsi"/>
              </w:rPr>
            </w:pPr>
            <w:r w:rsidRPr="00D30342">
              <w:rPr>
                <w:rFonts w:eastAsia="MS Mincho" w:cstheme="minorHAnsi"/>
              </w:rPr>
              <w:t>or at risk of becoming pregnant.</w:t>
            </w:r>
          </w:p>
          <w:p w:rsidR="00DD232B" w:rsidRDefault="00DD232B" w:rsidP="006B48C7">
            <w:pPr>
              <w:pStyle w:val="Tablewriting"/>
              <w:rPr>
                <w:rFonts w:eastAsia="MS Mincho" w:cstheme="minorHAnsi"/>
              </w:rPr>
            </w:pPr>
          </w:p>
          <w:p w:rsidR="00DD232B" w:rsidRDefault="00DD232B" w:rsidP="006B48C7">
            <w:pPr>
              <w:pStyle w:val="Tablewriting"/>
              <w:rPr>
                <w:rFonts w:eastAsia="MS Mincho" w:cstheme="minorHAnsi"/>
                <w:u w:val="single"/>
              </w:rPr>
            </w:pPr>
            <w:r w:rsidRPr="00F24C75">
              <w:rPr>
                <w:rFonts w:eastAsia="MS Mincho" w:cstheme="minorHAnsi"/>
                <w:u w:val="single"/>
              </w:rPr>
              <w:t xml:space="preserve">Exclusion criteria: </w:t>
            </w:r>
          </w:p>
          <w:p w:rsidR="009D5C34" w:rsidRPr="009D5C34" w:rsidRDefault="009D5C34" w:rsidP="006B48C7">
            <w:pPr>
              <w:pStyle w:val="Tablewriting"/>
              <w:rPr>
                <w:rFonts w:eastAsia="MS Mincho" w:cstheme="minorHAnsi"/>
              </w:rPr>
            </w:pPr>
            <w:r>
              <w:rPr>
                <w:rFonts w:eastAsia="MS Mincho" w:cstheme="minorHAnsi"/>
              </w:rPr>
              <w:t>C</w:t>
            </w:r>
            <w:r w:rsidRPr="009D5C34">
              <w:rPr>
                <w:rFonts w:eastAsia="MS Mincho" w:cstheme="minorHAnsi"/>
              </w:rPr>
              <w:t>urrent or past psychotic disorder (schizophrenia),</w:t>
            </w:r>
            <w:r>
              <w:rPr>
                <w:rFonts w:eastAsia="MS Mincho" w:cstheme="minorHAnsi"/>
              </w:rPr>
              <w:t xml:space="preserve"> </w:t>
            </w:r>
            <w:r w:rsidRPr="009D5C34">
              <w:rPr>
                <w:rFonts w:eastAsia="MS Mincho" w:cstheme="minorHAnsi"/>
              </w:rPr>
              <w:t>history of suicide attempts, not understanding the</w:t>
            </w:r>
          </w:p>
          <w:p w:rsidR="006C4B18" w:rsidRPr="00017AE6" w:rsidRDefault="009D5C34" w:rsidP="006B48C7">
            <w:pPr>
              <w:pStyle w:val="Tablewriting"/>
              <w:rPr>
                <w:rFonts w:eastAsia="MS Mincho" w:cstheme="minorHAnsi"/>
              </w:rPr>
            </w:pPr>
            <w:r w:rsidRPr="009D5C34">
              <w:rPr>
                <w:rFonts w:eastAsia="MS Mincho" w:cstheme="minorHAnsi"/>
              </w:rPr>
              <w:t>Spanish language and current or past alcoholism or other</w:t>
            </w:r>
            <w:r>
              <w:rPr>
                <w:rFonts w:eastAsia="MS Mincho" w:cstheme="minorHAnsi"/>
              </w:rPr>
              <w:t xml:space="preserve"> </w:t>
            </w:r>
            <w:r w:rsidRPr="009D5C34">
              <w:rPr>
                <w:rFonts w:eastAsia="MS Mincho" w:cstheme="minorHAnsi"/>
              </w:rPr>
              <w:t>drug addictions</w:t>
            </w:r>
            <w:r>
              <w:rPr>
                <w:rFonts w:eastAsia="MS Mincho" w:cstheme="minorHAnsi"/>
              </w:rPr>
              <w:t xml:space="preserve">, </w:t>
            </w:r>
            <w:r w:rsidRPr="009D5C34">
              <w:rPr>
                <w:rFonts w:eastAsia="MS Mincho" w:cstheme="minorHAnsi"/>
              </w:rPr>
              <w:t>had used nicotine transdermal patches or</w:t>
            </w:r>
            <w:r>
              <w:rPr>
                <w:rFonts w:eastAsia="MS Mincho" w:cstheme="minorHAnsi"/>
              </w:rPr>
              <w:t xml:space="preserve"> </w:t>
            </w:r>
            <w:r w:rsidRPr="009D5C34">
              <w:rPr>
                <w:rFonts w:eastAsia="MS Mincho" w:cstheme="minorHAnsi"/>
              </w:rPr>
              <w:t>varenicline in the last six months</w:t>
            </w:r>
            <w:r>
              <w:rPr>
                <w:rFonts w:eastAsia="MS Mincho" w:cstheme="minorHAnsi"/>
              </w:rPr>
              <w:t>.</w:t>
            </w:r>
          </w:p>
        </w:tc>
        <w:tc>
          <w:tcPr>
            <w:tcW w:w="1284" w:type="pct"/>
          </w:tcPr>
          <w:p w:rsidR="00E073EA" w:rsidRDefault="00E073EA" w:rsidP="00C324F3">
            <w:pPr>
              <w:pStyle w:val="ListParagraph"/>
              <w:numPr>
                <w:ilvl w:val="0"/>
                <w:numId w:val="186"/>
              </w:numPr>
              <w:rPr>
                <w:rFonts w:eastAsia="MS Mincho"/>
                <w:lang w:eastAsia="en-US"/>
              </w:rPr>
            </w:pPr>
            <w:r>
              <w:rPr>
                <w:rFonts w:eastAsia="MS Mincho"/>
                <w:lang w:eastAsia="en-US"/>
              </w:rPr>
              <w:t>NRT patch</w:t>
            </w:r>
            <w:r w:rsidR="00063C45">
              <w:rPr>
                <w:rFonts w:eastAsia="MS Mincho"/>
                <w:lang w:eastAsia="en-US"/>
              </w:rPr>
              <w:t xml:space="preserve"> </w:t>
            </w:r>
            <w:r w:rsidR="00063C45" w:rsidRPr="00063C45">
              <w:rPr>
                <w:rFonts w:eastAsia="MS Mincho"/>
                <w:lang w:eastAsia="en-US"/>
              </w:rPr>
              <w:t>21 mg/24 hours</w:t>
            </w:r>
            <w:r w:rsidR="00063C45">
              <w:rPr>
                <w:rFonts w:eastAsia="MS Mincho"/>
                <w:lang w:eastAsia="en-US"/>
              </w:rPr>
              <w:t xml:space="preserve"> for 11 weeks</w:t>
            </w:r>
          </w:p>
          <w:p w:rsidR="00E073EA" w:rsidRPr="00E073EA" w:rsidRDefault="00E073EA" w:rsidP="00C324F3">
            <w:pPr>
              <w:pStyle w:val="ListParagraph"/>
              <w:numPr>
                <w:ilvl w:val="0"/>
                <w:numId w:val="186"/>
              </w:numPr>
              <w:rPr>
                <w:rFonts w:eastAsia="MS Mincho"/>
                <w:lang w:eastAsia="en-US"/>
              </w:rPr>
            </w:pPr>
            <w:r>
              <w:rPr>
                <w:rFonts w:eastAsia="MS Mincho"/>
                <w:lang w:eastAsia="en-US"/>
              </w:rPr>
              <w:t>Placebo</w:t>
            </w:r>
            <w:r w:rsidR="00063C45">
              <w:rPr>
                <w:rFonts w:eastAsia="MS Mincho"/>
                <w:lang w:eastAsia="en-US"/>
              </w:rPr>
              <w:t xml:space="preserve"> (same as above)</w:t>
            </w:r>
          </w:p>
          <w:p w:rsidR="00E073EA" w:rsidRDefault="00E073EA" w:rsidP="006B48C7">
            <w:pPr>
              <w:rPr>
                <w:rFonts w:eastAsia="MS Mincho"/>
                <w:lang w:eastAsia="en-US"/>
              </w:rPr>
            </w:pPr>
          </w:p>
          <w:p w:rsidR="006C4B18" w:rsidRPr="002F7627" w:rsidRDefault="00E073EA" w:rsidP="006B48C7">
            <w:pPr>
              <w:rPr>
                <w:rFonts w:eastAsia="MS Mincho"/>
                <w:lang w:eastAsia="en-US"/>
              </w:rPr>
            </w:pPr>
            <w:r w:rsidRPr="00E073EA">
              <w:rPr>
                <w:rFonts w:eastAsia="MS Mincho"/>
                <w:u w:val="single"/>
                <w:lang w:eastAsia="en-US"/>
              </w:rPr>
              <w:t>Common components:</w:t>
            </w:r>
            <w:r>
              <w:rPr>
                <w:rFonts w:eastAsia="MS Mincho"/>
                <w:lang w:eastAsia="en-US"/>
              </w:rPr>
              <w:t xml:space="preserve"> </w:t>
            </w:r>
            <w:r w:rsidR="00284EFF">
              <w:rPr>
                <w:rFonts w:eastAsia="MS Mincho"/>
                <w:lang w:eastAsia="en-US"/>
              </w:rPr>
              <w:t xml:space="preserve">Varenicline </w:t>
            </w:r>
            <w:r w:rsidR="00284EFF" w:rsidRPr="00284EFF">
              <w:rPr>
                <w:rFonts w:eastAsia="MS Mincho"/>
                <w:lang w:eastAsia="en-US"/>
              </w:rPr>
              <w:t>0.5 mg once daily</w:t>
            </w:r>
            <w:r>
              <w:rPr>
                <w:rFonts w:eastAsia="MS Mincho"/>
                <w:lang w:eastAsia="en-US"/>
              </w:rPr>
              <w:t xml:space="preserve"> </w:t>
            </w:r>
            <w:r w:rsidR="00284EFF" w:rsidRPr="00284EFF">
              <w:rPr>
                <w:rFonts w:eastAsia="MS Mincho"/>
                <w:lang w:eastAsia="en-US"/>
              </w:rPr>
              <w:t>for three days, then 0.5 mg twice daily for four days,</w:t>
            </w:r>
            <w:r>
              <w:rPr>
                <w:rFonts w:eastAsia="MS Mincho"/>
                <w:lang w:eastAsia="en-US"/>
              </w:rPr>
              <w:t xml:space="preserve"> </w:t>
            </w:r>
            <w:r w:rsidR="00284EFF" w:rsidRPr="00284EFF">
              <w:rPr>
                <w:rFonts w:eastAsia="MS Mincho"/>
                <w:lang w:eastAsia="en-US"/>
              </w:rPr>
              <w:t>followed by 1 mg twice daily for eleven weeks.</w:t>
            </w:r>
          </w:p>
        </w:tc>
        <w:tc>
          <w:tcPr>
            <w:tcW w:w="997" w:type="pct"/>
          </w:tcPr>
          <w:p w:rsidR="00615D0A" w:rsidRDefault="00876282" w:rsidP="006B48C7">
            <w:pPr>
              <w:pStyle w:val="Tablewriting"/>
              <w:rPr>
                <w:rFonts w:eastAsia="MS Mincho" w:cstheme="minorHAnsi"/>
                <w:u w:val="single"/>
              </w:rPr>
            </w:pPr>
            <w:r>
              <w:rPr>
                <w:rFonts w:eastAsia="MS Mincho" w:cstheme="minorHAnsi"/>
                <w:u w:val="single"/>
              </w:rPr>
              <w:t>Efficacy:</w:t>
            </w:r>
            <w:r w:rsidR="00D33D95">
              <w:rPr>
                <w:rFonts w:eastAsia="MS Mincho" w:cstheme="minorHAnsi"/>
                <w:u w:val="single"/>
              </w:rPr>
              <w:t xml:space="preserve"> </w:t>
            </w:r>
          </w:p>
          <w:p w:rsidR="007B5217" w:rsidRDefault="00615D0A" w:rsidP="006B48C7">
            <w:pPr>
              <w:pStyle w:val="Tablewriting"/>
              <w:rPr>
                <w:rFonts w:ascii="Times New Roman" w:hAnsi="Times New Roman"/>
                <w:lang w:val="en-GB"/>
              </w:rPr>
            </w:pPr>
            <w:r w:rsidRPr="00615D0A">
              <w:rPr>
                <w:rFonts w:eastAsia="MS Mincho" w:cstheme="minorHAnsi"/>
              </w:rPr>
              <w:t>Primary</w:t>
            </w:r>
            <w:r>
              <w:rPr>
                <w:rFonts w:eastAsia="MS Mincho" w:cstheme="minorHAnsi"/>
              </w:rPr>
              <w:t>: c</w:t>
            </w:r>
            <w:r w:rsidR="00D33D95" w:rsidRPr="00615D0A">
              <w:rPr>
                <w:rFonts w:eastAsia="MS Mincho" w:cstheme="minorHAnsi"/>
              </w:rPr>
              <w:t>o</w:t>
            </w:r>
            <w:r w:rsidR="00D33D95" w:rsidRPr="00D33D95">
              <w:rPr>
                <w:rFonts w:eastAsia="MS Mincho" w:cstheme="minorHAnsi"/>
              </w:rPr>
              <w:t>ntinuous abstinence</w:t>
            </w:r>
            <w:r w:rsidR="00EF2AA8">
              <w:rPr>
                <w:rFonts w:eastAsia="MS Mincho" w:cstheme="minorHAnsi"/>
              </w:rPr>
              <w:t xml:space="preserve"> at </w:t>
            </w:r>
            <w:r w:rsidR="00D33D95" w:rsidRPr="00D33D95">
              <w:rPr>
                <w:rFonts w:eastAsia="MS Mincho" w:cstheme="minorHAnsi"/>
              </w:rPr>
              <w:t>week</w:t>
            </w:r>
            <w:r w:rsidR="00EF2AA8">
              <w:rPr>
                <w:rFonts w:eastAsia="MS Mincho" w:cstheme="minorHAnsi"/>
              </w:rPr>
              <w:t xml:space="preserve"> </w:t>
            </w:r>
            <w:r w:rsidR="00D33D95" w:rsidRPr="00D33D95">
              <w:rPr>
                <w:rFonts w:eastAsia="MS Mincho" w:cstheme="minorHAnsi"/>
              </w:rPr>
              <w:t>2 (1 week after the quit date) to week 12</w:t>
            </w:r>
            <w:r w:rsidR="007B5217">
              <w:rPr>
                <w:rFonts w:eastAsia="MS Mincho" w:cstheme="minorHAnsi"/>
              </w:rPr>
              <w:t xml:space="preserve"> (v</w:t>
            </w:r>
            <w:r w:rsidR="007B5217" w:rsidRPr="00EF0DCD">
              <w:rPr>
                <w:rFonts w:eastAsia="MS Mincho" w:cstheme="minorHAnsi"/>
              </w:rPr>
              <w:t xml:space="preserve">alidation: </w:t>
            </w:r>
            <w:r w:rsidR="007B5217">
              <w:rPr>
                <w:rFonts w:eastAsia="MS Mincho" w:cstheme="minorHAnsi"/>
              </w:rPr>
              <w:t xml:space="preserve">CO </w:t>
            </w:r>
            <w:r w:rsidR="007B5217">
              <w:rPr>
                <w:rFonts w:ascii="Times New Roman" w:hAnsi="Times New Roman"/>
                <w:lang w:val="en-GB"/>
              </w:rPr>
              <w:t>&lt;10 ppm)</w:t>
            </w:r>
            <w:r w:rsidR="00EF7494">
              <w:rPr>
                <w:rFonts w:ascii="Times New Roman" w:hAnsi="Times New Roman"/>
                <w:lang w:val="en-GB"/>
              </w:rPr>
              <w:t>,</w:t>
            </w:r>
          </w:p>
          <w:p w:rsidR="00EF7494" w:rsidRDefault="00615D0A" w:rsidP="006B48C7">
            <w:pPr>
              <w:pStyle w:val="Tablewriting"/>
              <w:rPr>
                <w:rFonts w:eastAsia="MS Mincho" w:cstheme="minorHAnsi"/>
              </w:rPr>
            </w:pPr>
            <w:r>
              <w:t xml:space="preserve">Secondary: </w:t>
            </w:r>
            <w:r w:rsidR="00EF7494">
              <w:t xml:space="preserve">PPA at </w:t>
            </w:r>
            <w:r w:rsidR="004425B2">
              <w:t>8, 12 and 24 weeks</w:t>
            </w:r>
            <w:r w:rsidR="00861BFF">
              <w:t>, CA at week (2-24)</w:t>
            </w:r>
          </w:p>
          <w:p w:rsidR="00876282" w:rsidRPr="00D33D95" w:rsidRDefault="00876282" w:rsidP="006B48C7">
            <w:pPr>
              <w:pStyle w:val="Tablewriting"/>
              <w:rPr>
                <w:rFonts w:eastAsia="MS Mincho" w:cstheme="minorHAnsi"/>
              </w:rPr>
            </w:pPr>
          </w:p>
          <w:p w:rsidR="006C4B18" w:rsidRPr="004272CD" w:rsidRDefault="00876282" w:rsidP="006B48C7">
            <w:pPr>
              <w:pStyle w:val="Tablewriting"/>
              <w:rPr>
                <w:rFonts w:eastAsia="MS Mincho" w:cstheme="minorHAnsi"/>
                <w:u w:val="single"/>
              </w:rPr>
            </w:pPr>
            <w:r>
              <w:rPr>
                <w:rFonts w:eastAsia="MS Mincho" w:cstheme="minorHAnsi"/>
                <w:u w:val="single"/>
              </w:rPr>
              <w:t>Safety:</w:t>
            </w:r>
            <w:r w:rsidR="00861BFF">
              <w:rPr>
                <w:rFonts w:eastAsia="MS Mincho" w:cstheme="minorHAnsi"/>
                <w:u w:val="single"/>
              </w:rPr>
              <w:t xml:space="preserve"> </w:t>
            </w:r>
            <w:r w:rsidR="00861BFF" w:rsidRPr="00861BFF">
              <w:rPr>
                <w:rFonts w:eastAsia="MS Mincho" w:cstheme="minorHAnsi"/>
              </w:rPr>
              <w:t>Adverse events</w:t>
            </w:r>
            <w:r w:rsidR="00710B5C">
              <w:rPr>
                <w:rFonts w:eastAsia="MS Mincho" w:cstheme="minorHAnsi"/>
              </w:rPr>
              <w:t xml:space="preserve"> measured at each visit. </w:t>
            </w:r>
          </w:p>
        </w:tc>
      </w:tr>
    </w:tbl>
    <w:p w:rsidR="006B48C7" w:rsidRPr="009B042A" w:rsidRDefault="006B48C7" w:rsidP="006B48C7">
      <w:pPr>
        <w:pStyle w:val="TableFooter"/>
      </w:pPr>
      <w:bookmarkStart w:id="388" w:name="_Ref55481743"/>
      <w:bookmarkStart w:id="389" w:name="_Ref62075384"/>
      <w:r>
        <w:t>Source: Chang</w:t>
      </w:r>
      <w:r w:rsidRPr="008B0097">
        <w:t xml:space="preserve"> et al. (20</w:t>
      </w:r>
      <w:r>
        <w:t>15).</w:t>
      </w:r>
      <w:r w:rsidRPr="009B042A">
        <w:t xml:space="preserve"> </w:t>
      </w:r>
    </w:p>
    <w:p w:rsidR="00450AFA" w:rsidRDefault="00450AFA" w:rsidP="00450AFA">
      <w:pPr>
        <w:pStyle w:val="Caption"/>
        <w:keepNext/>
      </w:pPr>
      <w:r>
        <w:t xml:space="preserve">Table </w:t>
      </w:r>
      <w:r w:rsidR="003C4A1C">
        <w:rPr>
          <w:noProof/>
        </w:rPr>
        <w:t>158</w:t>
      </w:r>
      <w:bookmarkEnd w:id="388"/>
      <w:bookmarkEnd w:id="389"/>
      <w:r>
        <w:t xml:space="preserve">: </w:t>
      </w:r>
      <w:r w:rsidRPr="00D6304F">
        <w:t xml:space="preserve">Characteristics of studies included in </w:t>
      </w:r>
      <w:r>
        <w:t>Howes</w:t>
      </w:r>
      <w:r w:rsidRPr="00D6304F">
        <w:t xml:space="preserve"> et al. (20</w:t>
      </w:r>
      <w:r>
        <w:t>20</w:t>
      </w:r>
      <w:r w:rsidRPr="00D6304F">
        <w:t xml:space="preserve">), varenicline plus </w:t>
      </w:r>
      <w:r>
        <w:t>bupropion</w:t>
      </w:r>
      <w:r w:rsidRPr="00D6304F">
        <w:t xml:space="preserve"> versus varenicline</w:t>
      </w:r>
      <w:r>
        <w:t xml:space="preserve"> alone</w:t>
      </w:r>
    </w:p>
    <w:tbl>
      <w:tblPr>
        <w:tblStyle w:val="TableGrid"/>
        <w:tblW w:w="5270" w:type="pct"/>
        <w:tblLook w:val="04A0" w:firstRow="1" w:lastRow="0" w:firstColumn="1" w:lastColumn="0" w:noHBand="0" w:noVBand="1"/>
        <w:tblCaption w:val="Efficacy results of adalimumab trials (PASI 75 and DLQI)"/>
      </w:tblPr>
      <w:tblGrid>
        <w:gridCol w:w="1591"/>
        <w:gridCol w:w="691"/>
        <w:gridCol w:w="1229"/>
        <w:gridCol w:w="1029"/>
        <w:gridCol w:w="3434"/>
        <w:gridCol w:w="3787"/>
        <w:gridCol w:w="2940"/>
      </w:tblGrid>
      <w:tr w:rsidR="00450AFA" w:rsidRPr="00061F78" w:rsidTr="004810EB">
        <w:trPr>
          <w:trHeight w:val="299"/>
          <w:tblHeader/>
        </w:trPr>
        <w:tc>
          <w:tcPr>
            <w:tcW w:w="541" w:type="pct"/>
            <w:shd w:val="clear" w:color="auto" w:fill="BFBFBF" w:themeFill="background1" w:themeFillShade="BF"/>
            <w:tcMar>
              <w:left w:w="28" w:type="dxa"/>
              <w:right w:w="28" w:type="dxa"/>
            </w:tcMar>
          </w:tcPr>
          <w:p w:rsidR="00450AFA" w:rsidRPr="00061F78" w:rsidRDefault="00450AFA" w:rsidP="006B48C7">
            <w:pPr>
              <w:pStyle w:val="Tableheading"/>
              <w:rPr>
                <w:rFonts w:eastAsia="MS Mincho"/>
              </w:rPr>
            </w:pPr>
            <w:r>
              <w:rPr>
                <w:rFonts w:eastAsia="MS Mincho"/>
              </w:rPr>
              <w:t>Study</w:t>
            </w:r>
          </w:p>
        </w:tc>
        <w:tc>
          <w:tcPr>
            <w:tcW w:w="235" w:type="pct"/>
            <w:shd w:val="clear" w:color="auto" w:fill="BFBFBF" w:themeFill="background1" w:themeFillShade="BF"/>
          </w:tcPr>
          <w:p w:rsidR="00450AFA" w:rsidRDefault="00450AFA" w:rsidP="006B48C7">
            <w:pPr>
              <w:pStyle w:val="Tableheading"/>
              <w:jc w:val="center"/>
              <w:rPr>
                <w:rFonts w:eastAsia="MS Mincho"/>
              </w:rPr>
            </w:pPr>
            <w:r>
              <w:rPr>
                <w:rFonts w:eastAsia="MS Mincho"/>
              </w:rPr>
              <w:t>Study type</w:t>
            </w:r>
          </w:p>
        </w:tc>
        <w:tc>
          <w:tcPr>
            <w:tcW w:w="418" w:type="pct"/>
            <w:shd w:val="clear" w:color="auto" w:fill="BFBFBF" w:themeFill="background1" w:themeFillShade="BF"/>
          </w:tcPr>
          <w:p w:rsidR="00450AFA" w:rsidRDefault="00450AFA" w:rsidP="006B48C7">
            <w:pPr>
              <w:pStyle w:val="Tableheading"/>
              <w:jc w:val="center"/>
              <w:rPr>
                <w:rFonts w:eastAsia="MS Mincho"/>
              </w:rPr>
            </w:pPr>
            <w:r>
              <w:rPr>
                <w:rFonts w:eastAsia="MS Mincho"/>
              </w:rPr>
              <w:t>Countries</w:t>
            </w:r>
          </w:p>
        </w:tc>
        <w:tc>
          <w:tcPr>
            <w:tcW w:w="350" w:type="pct"/>
            <w:shd w:val="clear" w:color="auto" w:fill="BFBFBF" w:themeFill="background1" w:themeFillShade="BF"/>
            <w:tcMar>
              <w:left w:w="28" w:type="dxa"/>
              <w:right w:w="28" w:type="dxa"/>
            </w:tcMar>
          </w:tcPr>
          <w:p w:rsidR="00450AFA" w:rsidRPr="00061F78" w:rsidRDefault="00450AFA" w:rsidP="006B48C7">
            <w:pPr>
              <w:pStyle w:val="Tableheading"/>
              <w:jc w:val="center"/>
              <w:rPr>
                <w:rFonts w:eastAsia="MS Mincho"/>
              </w:rPr>
            </w:pPr>
            <w:r>
              <w:rPr>
                <w:rFonts w:eastAsia="MS Mincho"/>
              </w:rPr>
              <w:t>N</w:t>
            </w:r>
          </w:p>
        </w:tc>
        <w:tc>
          <w:tcPr>
            <w:tcW w:w="1168" w:type="pct"/>
            <w:shd w:val="clear" w:color="auto" w:fill="BFBFBF" w:themeFill="background1" w:themeFillShade="BF"/>
            <w:tcMar>
              <w:left w:w="28" w:type="dxa"/>
              <w:right w:w="28" w:type="dxa"/>
            </w:tcMar>
          </w:tcPr>
          <w:p w:rsidR="00450AFA" w:rsidRPr="00061F78" w:rsidRDefault="00450AFA" w:rsidP="006B48C7">
            <w:pPr>
              <w:pStyle w:val="Tableheading"/>
              <w:jc w:val="center"/>
              <w:rPr>
                <w:rFonts w:eastAsia="MS Mincho"/>
              </w:rPr>
            </w:pPr>
            <w:r w:rsidRPr="00061F78">
              <w:rPr>
                <w:rFonts w:eastAsia="MS Mincho"/>
              </w:rPr>
              <w:t>P</w:t>
            </w:r>
            <w:r>
              <w:rPr>
                <w:rFonts w:eastAsia="MS Mincho"/>
              </w:rPr>
              <w:t>opulation</w:t>
            </w:r>
          </w:p>
        </w:tc>
        <w:tc>
          <w:tcPr>
            <w:tcW w:w="1288" w:type="pct"/>
            <w:shd w:val="clear" w:color="auto" w:fill="BFBFBF" w:themeFill="background1" w:themeFillShade="BF"/>
          </w:tcPr>
          <w:p w:rsidR="00450AFA" w:rsidRDefault="00450AFA" w:rsidP="006B48C7">
            <w:pPr>
              <w:pStyle w:val="Tableheading"/>
              <w:jc w:val="center"/>
              <w:rPr>
                <w:rFonts w:eastAsia="MS Mincho"/>
              </w:rPr>
            </w:pPr>
            <w:r>
              <w:rPr>
                <w:rFonts w:eastAsia="MS Mincho"/>
              </w:rPr>
              <w:t>Intervention and comparator</w:t>
            </w:r>
          </w:p>
        </w:tc>
        <w:tc>
          <w:tcPr>
            <w:tcW w:w="1001" w:type="pct"/>
            <w:shd w:val="clear" w:color="auto" w:fill="BFBFBF" w:themeFill="background1" w:themeFillShade="BF"/>
            <w:tcMar>
              <w:left w:w="28" w:type="dxa"/>
              <w:right w:w="28" w:type="dxa"/>
            </w:tcMar>
          </w:tcPr>
          <w:p w:rsidR="00450AFA" w:rsidRPr="00061F78" w:rsidRDefault="00450AFA" w:rsidP="006B48C7">
            <w:pPr>
              <w:pStyle w:val="Tableheading"/>
              <w:jc w:val="center"/>
              <w:rPr>
                <w:rFonts w:eastAsia="MS Mincho"/>
              </w:rPr>
            </w:pPr>
            <w:r>
              <w:rPr>
                <w:rFonts w:eastAsia="MS Mincho"/>
              </w:rPr>
              <w:t>Outcomes</w:t>
            </w:r>
          </w:p>
        </w:tc>
      </w:tr>
      <w:tr w:rsidR="00A167B8" w:rsidRPr="00017AE6" w:rsidTr="004810EB">
        <w:trPr>
          <w:trHeight w:val="99"/>
        </w:trPr>
        <w:tc>
          <w:tcPr>
            <w:tcW w:w="541" w:type="pct"/>
          </w:tcPr>
          <w:p w:rsidR="00A167B8" w:rsidRPr="00017AE6" w:rsidRDefault="00A167B8" w:rsidP="006B48C7">
            <w:pPr>
              <w:pStyle w:val="Tablewriting"/>
              <w:rPr>
                <w:rFonts w:eastAsia="MS Mincho" w:cstheme="minorHAnsi"/>
              </w:rPr>
            </w:pPr>
            <w:r w:rsidRPr="00C324F3">
              <w:rPr>
                <w:rFonts w:eastAsia="MS Mincho"/>
              </w:rPr>
              <w:t xml:space="preserve">Cinciripini </w:t>
            </w:r>
            <w:r w:rsidR="009C4EF2">
              <w:rPr>
                <w:rFonts w:eastAsia="MS Mincho" w:cstheme="minorHAnsi"/>
              </w:rPr>
              <w:t>(</w:t>
            </w:r>
            <w:r w:rsidRPr="00C324F3">
              <w:rPr>
                <w:rFonts w:eastAsia="MS Mincho"/>
              </w:rPr>
              <w:t>2018</w:t>
            </w:r>
            <w:r w:rsidR="009C4EF2">
              <w:rPr>
                <w:rFonts w:eastAsia="MS Mincho" w:cstheme="minorHAnsi"/>
              </w:rPr>
              <w:t>)</w:t>
            </w:r>
          </w:p>
        </w:tc>
        <w:tc>
          <w:tcPr>
            <w:tcW w:w="235" w:type="pct"/>
          </w:tcPr>
          <w:p w:rsidR="00A167B8" w:rsidRPr="00017AE6" w:rsidRDefault="004B3ABB" w:rsidP="006B48C7">
            <w:pPr>
              <w:pStyle w:val="Tablewriting"/>
              <w:rPr>
                <w:rFonts w:eastAsia="MS Mincho" w:cstheme="minorHAnsi"/>
              </w:rPr>
            </w:pPr>
            <w:r>
              <w:rPr>
                <w:rFonts w:eastAsia="MS Mincho" w:cstheme="minorHAnsi"/>
              </w:rPr>
              <w:t>RCT</w:t>
            </w:r>
          </w:p>
        </w:tc>
        <w:tc>
          <w:tcPr>
            <w:tcW w:w="418" w:type="pct"/>
          </w:tcPr>
          <w:p w:rsidR="00A167B8" w:rsidRPr="00017AE6" w:rsidRDefault="004B3ABB" w:rsidP="006B48C7">
            <w:pPr>
              <w:pStyle w:val="Tablewriting"/>
              <w:rPr>
                <w:rFonts w:eastAsia="MS Mincho" w:cstheme="minorHAnsi"/>
              </w:rPr>
            </w:pPr>
            <w:r>
              <w:rPr>
                <w:rFonts w:eastAsia="MS Mincho" w:cstheme="minorHAnsi"/>
              </w:rPr>
              <w:t>USA</w:t>
            </w:r>
          </w:p>
        </w:tc>
        <w:tc>
          <w:tcPr>
            <w:tcW w:w="350" w:type="pct"/>
          </w:tcPr>
          <w:p w:rsidR="00A167B8" w:rsidRPr="00017AE6" w:rsidRDefault="00547FF0" w:rsidP="006B48C7">
            <w:pPr>
              <w:pStyle w:val="Tablewriting"/>
              <w:rPr>
                <w:rFonts w:eastAsia="MS Mincho" w:cstheme="minorHAnsi"/>
              </w:rPr>
            </w:pPr>
            <w:r>
              <w:rPr>
                <w:rFonts w:eastAsia="MS Mincho" w:cstheme="minorHAnsi"/>
              </w:rPr>
              <w:t>N=385</w:t>
            </w:r>
          </w:p>
        </w:tc>
        <w:tc>
          <w:tcPr>
            <w:tcW w:w="1168" w:type="pct"/>
          </w:tcPr>
          <w:p w:rsidR="00547FF0" w:rsidRPr="00547FF0" w:rsidRDefault="00547FF0" w:rsidP="006B48C7">
            <w:pPr>
              <w:pStyle w:val="Tablewriting"/>
              <w:rPr>
                <w:rFonts w:eastAsia="MS Mincho" w:cstheme="minorHAnsi"/>
              </w:rPr>
            </w:pPr>
            <w:r w:rsidRPr="00547FF0">
              <w:rPr>
                <w:rFonts w:eastAsia="MS Mincho" w:cstheme="minorHAnsi"/>
              </w:rPr>
              <w:t>41.5% female</w:t>
            </w:r>
            <w:r>
              <w:rPr>
                <w:rFonts w:eastAsia="MS Mincho" w:cstheme="minorHAnsi"/>
              </w:rPr>
              <w:t>,</w:t>
            </w:r>
            <w:r w:rsidRPr="00547FF0">
              <w:rPr>
                <w:rFonts w:eastAsia="MS Mincho" w:cstheme="minorHAnsi"/>
              </w:rPr>
              <w:t xml:space="preserve"> average age 49.0</w:t>
            </w:r>
            <w:r>
              <w:rPr>
                <w:rFonts w:eastAsia="MS Mincho" w:cstheme="minorHAnsi"/>
              </w:rPr>
              <w:t xml:space="preserve"> years, </w:t>
            </w:r>
            <w:r w:rsidRPr="00547FF0">
              <w:rPr>
                <w:rFonts w:eastAsia="MS Mincho" w:cstheme="minorHAnsi"/>
              </w:rPr>
              <w:t>average cigarettes per day 19.7</w:t>
            </w:r>
            <w:r w:rsidR="004E2948">
              <w:rPr>
                <w:rFonts w:eastAsia="MS Mincho" w:cstheme="minorHAnsi"/>
              </w:rPr>
              <w:t>,</w:t>
            </w:r>
            <w:r w:rsidRPr="00547FF0">
              <w:rPr>
                <w:rFonts w:eastAsia="MS Mincho" w:cstheme="minorHAnsi"/>
              </w:rPr>
              <w:t xml:space="preserve"> mean</w:t>
            </w:r>
          </w:p>
          <w:p w:rsidR="00A167B8" w:rsidRPr="00017AE6" w:rsidRDefault="00547FF0" w:rsidP="006B48C7">
            <w:pPr>
              <w:pStyle w:val="Tablewriting"/>
              <w:rPr>
                <w:rFonts w:eastAsia="MS Mincho" w:cstheme="minorHAnsi"/>
              </w:rPr>
            </w:pPr>
            <w:r w:rsidRPr="00547FF0">
              <w:rPr>
                <w:rFonts w:eastAsia="MS Mincho" w:cstheme="minorHAnsi"/>
              </w:rPr>
              <w:t>FTND 2.1</w:t>
            </w:r>
            <w:r w:rsidR="004E2948">
              <w:rPr>
                <w:rFonts w:eastAsia="MS Mincho" w:cstheme="minorHAnsi"/>
              </w:rPr>
              <w:t>.</w:t>
            </w:r>
          </w:p>
        </w:tc>
        <w:tc>
          <w:tcPr>
            <w:tcW w:w="1288" w:type="pct"/>
          </w:tcPr>
          <w:p w:rsidR="006A3D76" w:rsidRPr="006A3D76" w:rsidRDefault="006A3D76" w:rsidP="00C324F3">
            <w:pPr>
              <w:pStyle w:val="ListParagraph"/>
              <w:numPr>
                <w:ilvl w:val="0"/>
                <w:numId w:val="181"/>
              </w:numPr>
              <w:rPr>
                <w:rFonts w:eastAsia="MS Mincho"/>
                <w:lang w:eastAsia="en-US"/>
              </w:rPr>
            </w:pPr>
            <w:r w:rsidRPr="006A3D76">
              <w:rPr>
                <w:rFonts w:eastAsia="MS Mincho"/>
                <w:lang w:eastAsia="en-US"/>
              </w:rPr>
              <w:t>Bupropion and varenicline, 150 mg of bupropion per day for days 1–3, then 150 mg twice daily thereafter.</w:t>
            </w:r>
          </w:p>
          <w:p w:rsidR="00342CCC" w:rsidRDefault="006A3D76" w:rsidP="006B48C7">
            <w:pPr>
              <w:pStyle w:val="ListParagraph"/>
              <w:ind w:left="360"/>
              <w:rPr>
                <w:rFonts w:eastAsia="MS Mincho"/>
                <w:lang w:eastAsia="en-US"/>
              </w:rPr>
            </w:pPr>
            <w:r w:rsidRPr="00342CCC">
              <w:rPr>
                <w:rFonts w:eastAsia="MS Mincho"/>
                <w:lang w:eastAsia="en-US"/>
              </w:rPr>
              <w:t>0.5 mg of varenicline per day for days 1–3, then 0.5 mg twice daily for days 4–7, then 1 mg twice</w:t>
            </w:r>
            <w:r w:rsidR="00342CCC">
              <w:rPr>
                <w:rFonts w:eastAsia="MS Mincho"/>
                <w:lang w:eastAsia="en-US"/>
              </w:rPr>
              <w:t xml:space="preserve"> </w:t>
            </w:r>
            <w:r w:rsidRPr="006A3D76">
              <w:rPr>
                <w:rFonts w:eastAsia="MS Mincho"/>
                <w:lang w:eastAsia="en-US"/>
              </w:rPr>
              <w:t>daily thereafter</w:t>
            </w:r>
          </w:p>
          <w:p w:rsidR="00342CCC" w:rsidRDefault="006A3D76" w:rsidP="00C324F3">
            <w:pPr>
              <w:pStyle w:val="ListParagraph"/>
              <w:numPr>
                <w:ilvl w:val="0"/>
                <w:numId w:val="181"/>
              </w:numPr>
              <w:rPr>
                <w:rFonts w:eastAsia="MS Mincho"/>
                <w:lang w:eastAsia="en-US"/>
              </w:rPr>
            </w:pPr>
            <w:r w:rsidRPr="006A3D76">
              <w:rPr>
                <w:rFonts w:eastAsia="MS Mincho"/>
                <w:lang w:eastAsia="en-US"/>
              </w:rPr>
              <w:lastRenderedPageBreak/>
              <w:t>Varenicline, dose and schedule given as in bupropion and varenicline intervention. Matching placebo</w:t>
            </w:r>
            <w:r w:rsidR="00342CCC">
              <w:rPr>
                <w:rFonts w:eastAsia="MS Mincho"/>
                <w:lang w:eastAsia="en-US"/>
              </w:rPr>
              <w:t xml:space="preserve"> </w:t>
            </w:r>
            <w:r w:rsidRPr="00342CCC">
              <w:rPr>
                <w:rFonts w:eastAsia="MS Mincho"/>
                <w:lang w:eastAsia="en-US"/>
              </w:rPr>
              <w:t>for bupropion</w:t>
            </w:r>
          </w:p>
          <w:p w:rsidR="006A3D76" w:rsidRPr="006A3D76" w:rsidRDefault="006A3D76" w:rsidP="00C324F3">
            <w:pPr>
              <w:pStyle w:val="ListParagraph"/>
              <w:numPr>
                <w:ilvl w:val="0"/>
                <w:numId w:val="181"/>
              </w:numPr>
              <w:rPr>
                <w:rFonts w:eastAsia="MS Mincho"/>
                <w:lang w:eastAsia="en-US"/>
              </w:rPr>
            </w:pPr>
            <w:r w:rsidRPr="006A3D76">
              <w:rPr>
                <w:rFonts w:eastAsia="MS Mincho"/>
                <w:lang w:eastAsia="en-US"/>
              </w:rPr>
              <w:t>Matching placebo.</w:t>
            </w:r>
          </w:p>
          <w:p w:rsidR="00342CCC" w:rsidRDefault="00342CCC" w:rsidP="006B48C7">
            <w:pPr>
              <w:rPr>
                <w:rFonts w:eastAsia="MS Mincho"/>
                <w:lang w:eastAsia="en-US"/>
              </w:rPr>
            </w:pPr>
          </w:p>
          <w:p w:rsidR="00342CCC" w:rsidRDefault="00342CCC" w:rsidP="006B48C7">
            <w:pPr>
              <w:rPr>
                <w:rFonts w:eastAsia="MS Mincho"/>
                <w:lang w:eastAsia="en-US"/>
              </w:rPr>
            </w:pPr>
          </w:p>
          <w:p w:rsidR="00A167B8" w:rsidRPr="002F7627" w:rsidRDefault="006A3D76" w:rsidP="006B48C7">
            <w:pPr>
              <w:rPr>
                <w:rFonts w:eastAsia="MS Mincho"/>
                <w:lang w:eastAsia="en-US"/>
              </w:rPr>
            </w:pPr>
            <w:r w:rsidRPr="00342CCC">
              <w:rPr>
                <w:rFonts w:eastAsia="MS Mincho"/>
                <w:u w:val="single"/>
                <w:lang w:eastAsia="en-US"/>
              </w:rPr>
              <w:t>Common components:</w:t>
            </w:r>
            <w:r w:rsidRPr="006A3D76">
              <w:rPr>
                <w:rFonts w:eastAsia="MS Mincho"/>
                <w:lang w:eastAsia="en-US"/>
              </w:rPr>
              <w:t xml:space="preserve"> in-person and phone counselling, totalling 215 minutes</w:t>
            </w:r>
            <w:r w:rsidR="00342CCC">
              <w:rPr>
                <w:rFonts w:eastAsia="MS Mincho"/>
                <w:lang w:eastAsia="en-US"/>
              </w:rPr>
              <w:t>.</w:t>
            </w:r>
          </w:p>
        </w:tc>
        <w:tc>
          <w:tcPr>
            <w:tcW w:w="1001" w:type="pct"/>
          </w:tcPr>
          <w:p w:rsidR="000B1934" w:rsidRPr="000B1934" w:rsidRDefault="000B1934" w:rsidP="006B48C7">
            <w:pPr>
              <w:pStyle w:val="Tablewriting"/>
              <w:rPr>
                <w:rFonts w:eastAsia="MS Mincho" w:cstheme="minorHAnsi"/>
                <w:u w:val="single"/>
              </w:rPr>
            </w:pPr>
            <w:r>
              <w:rPr>
                <w:rFonts w:eastAsia="MS Mincho" w:cstheme="minorHAnsi"/>
                <w:u w:val="single"/>
              </w:rPr>
              <w:lastRenderedPageBreak/>
              <w:t>Efficacy: P</w:t>
            </w:r>
            <w:r w:rsidRPr="000B1934">
              <w:rPr>
                <w:rFonts w:eastAsia="MS Mincho" w:cstheme="minorHAnsi"/>
              </w:rPr>
              <w:t>rolonged abstinence at 12 months, with relapse defined as smoking on 7 or more</w:t>
            </w:r>
          </w:p>
          <w:p w:rsidR="000B1934" w:rsidRPr="000B1934" w:rsidRDefault="000B1934" w:rsidP="006B48C7">
            <w:pPr>
              <w:pStyle w:val="Tablewriting"/>
              <w:rPr>
                <w:rFonts w:eastAsia="MS Mincho" w:cstheme="minorHAnsi"/>
              </w:rPr>
            </w:pPr>
            <w:r w:rsidRPr="000B1934">
              <w:rPr>
                <w:rFonts w:eastAsia="MS Mincho" w:cstheme="minorHAnsi"/>
              </w:rPr>
              <w:t xml:space="preserve">consecutive days or smoking at least one cigarette over 2 </w:t>
            </w:r>
            <w:r w:rsidRPr="000B1934">
              <w:rPr>
                <w:rFonts w:eastAsia="MS Mincho" w:cstheme="minorHAnsi"/>
              </w:rPr>
              <w:lastRenderedPageBreak/>
              <w:t>consecutive weeks within that same time</w:t>
            </w:r>
            <w:r>
              <w:rPr>
                <w:rFonts w:eastAsia="MS Mincho" w:cstheme="minorHAnsi"/>
              </w:rPr>
              <w:t xml:space="preserve"> </w:t>
            </w:r>
            <w:r w:rsidRPr="000B1934">
              <w:rPr>
                <w:rFonts w:eastAsia="MS Mincho" w:cstheme="minorHAnsi"/>
              </w:rPr>
              <w:t xml:space="preserve">interval </w:t>
            </w:r>
            <w:r>
              <w:rPr>
                <w:rFonts w:eastAsia="MS Mincho" w:cstheme="minorHAnsi"/>
              </w:rPr>
              <w:t>(</w:t>
            </w:r>
            <w:r w:rsidRPr="000B1934">
              <w:rPr>
                <w:rFonts w:eastAsia="MS Mincho" w:cstheme="minorHAnsi"/>
              </w:rPr>
              <w:t>validated by CO &lt; 4 ppm)</w:t>
            </w:r>
          </w:p>
          <w:p w:rsidR="000B1934" w:rsidRDefault="000B1934" w:rsidP="006B48C7">
            <w:pPr>
              <w:pStyle w:val="Tablewriting"/>
              <w:rPr>
                <w:rFonts w:eastAsia="MS Mincho" w:cstheme="minorHAnsi"/>
                <w:u w:val="single"/>
              </w:rPr>
            </w:pPr>
          </w:p>
          <w:p w:rsidR="000B1934" w:rsidRPr="000B1934" w:rsidRDefault="000B1934" w:rsidP="006B48C7">
            <w:pPr>
              <w:pStyle w:val="Tablewriting"/>
              <w:rPr>
                <w:rFonts w:eastAsia="MS Mincho" w:cstheme="minorHAnsi"/>
              </w:rPr>
            </w:pPr>
            <w:r>
              <w:rPr>
                <w:rFonts w:eastAsia="MS Mincho" w:cstheme="minorHAnsi"/>
                <w:u w:val="single"/>
              </w:rPr>
              <w:t xml:space="preserve">Safety: </w:t>
            </w:r>
            <w:r w:rsidRPr="000B1934">
              <w:rPr>
                <w:rFonts w:eastAsia="MS Mincho" w:cstheme="minorHAnsi"/>
              </w:rPr>
              <w:t>Adverse events measured for 12 mont</w:t>
            </w:r>
            <w:r>
              <w:rPr>
                <w:rFonts w:eastAsia="MS Mincho" w:cstheme="minorHAnsi"/>
              </w:rPr>
              <w:t>hs</w:t>
            </w:r>
          </w:p>
          <w:p w:rsidR="00A167B8" w:rsidRPr="004272CD" w:rsidRDefault="00A167B8" w:rsidP="006B48C7">
            <w:pPr>
              <w:pStyle w:val="Tablewriting"/>
              <w:rPr>
                <w:rFonts w:eastAsia="MS Mincho" w:cstheme="minorHAnsi"/>
                <w:u w:val="single"/>
              </w:rPr>
            </w:pPr>
          </w:p>
        </w:tc>
      </w:tr>
      <w:tr w:rsidR="00547FF0" w:rsidRPr="00017AE6" w:rsidTr="004810EB">
        <w:trPr>
          <w:trHeight w:val="99"/>
        </w:trPr>
        <w:tc>
          <w:tcPr>
            <w:tcW w:w="541" w:type="pct"/>
          </w:tcPr>
          <w:p w:rsidR="00547FF0" w:rsidRPr="00017AE6" w:rsidRDefault="00547FF0" w:rsidP="006B48C7">
            <w:pPr>
              <w:pStyle w:val="Tablewriting"/>
              <w:rPr>
                <w:rFonts w:eastAsia="MS Mincho" w:cstheme="minorHAnsi"/>
              </w:rPr>
            </w:pPr>
            <w:r w:rsidRPr="00C324F3">
              <w:rPr>
                <w:rFonts w:eastAsia="MS Mincho"/>
              </w:rPr>
              <w:lastRenderedPageBreak/>
              <w:t xml:space="preserve">Ebbert </w:t>
            </w:r>
            <w:r w:rsidR="009C4EF2">
              <w:rPr>
                <w:rFonts w:eastAsia="MS Mincho" w:cstheme="minorHAnsi"/>
              </w:rPr>
              <w:t>(</w:t>
            </w:r>
            <w:r w:rsidRPr="00C324F3">
              <w:rPr>
                <w:rFonts w:eastAsia="MS Mincho"/>
              </w:rPr>
              <w:t>2014</w:t>
            </w:r>
            <w:r w:rsidR="009C4EF2">
              <w:rPr>
                <w:rFonts w:eastAsia="MS Mincho" w:cstheme="minorHAnsi"/>
              </w:rPr>
              <w:t>)</w:t>
            </w:r>
          </w:p>
        </w:tc>
        <w:tc>
          <w:tcPr>
            <w:tcW w:w="235" w:type="pct"/>
          </w:tcPr>
          <w:p w:rsidR="00547FF0" w:rsidRPr="00017AE6" w:rsidRDefault="007239E6" w:rsidP="006B48C7">
            <w:pPr>
              <w:pStyle w:val="Tablewriting"/>
              <w:rPr>
                <w:rFonts w:eastAsia="MS Mincho" w:cstheme="minorHAnsi"/>
              </w:rPr>
            </w:pPr>
            <w:r>
              <w:rPr>
                <w:rFonts w:eastAsia="MS Mincho" w:cstheme="minorHAnsi"/>
              </w:rPr>
              <w:t>RCT</w:t>
            </w:r>
          </w:p>
        </w:tc>
        <w:tc>
          <w:tcPr>
            <w:tcW w:w="418" w:type="pct"/>
          </w:tcPr>
          <w:p w:rsidR="00547FF0" w:rsidRPr="00017AE6" w:rsidRDefault="007239E6" w:rsidP="006B48C7">
            <w:pPr>
              <w:pStyle w:val="Tablewriting"/>
              <w:rPr>
                <w:rFonts w:eastAsia="MS Mincho" w:cstheme="minorHAnsi"/>
              </w:rPr>
            </w:pPr>
            <w:r>
              <w:rPr>
                <w:rFonts w:eastAsia="MS Mincho" w:cstheme="minorHAnsi"/>
              </w:rPr>
              <w:t>USA</w:t>
            </w:r>
          </w:p>
        </w:tc>
        <w:tc>
          <w:tcPr>
            <w:tcW w:w="350" w:type="pct"/>
          </w:tcPr>
          <w:p w:rsidR="00547FF0" w:rsidRPr="00017AE6" w:rsidRDefault="00547FF0" w:rsidP="006B48C7">
            <w:pPr>
              <w:pStyle w:val="Tablewriting"/>
              <w:rPr>
                <w:rFonts w:eastAsia="MS Mincho" w:cstheme="minorHAnsi"/>
              </w:rPr>
            </w:pPr>
            <w:r w:rsidRPr="00296F91">
              <w:rPr>
                <w:rFonts w:eastAsia="MS Mincho" w:cstheme="minorHAnsi"/>
              </w:rPr>
              <w:t>N=</w:t>
            </w:r>
            <w:r w:rsidR="007239E6">
              <w:rPr>
                <w:rFonts w:eastAsia="MS Mincho" w:cstheme="minorHAnsi"/>
              </w:rPr>
              <w:t>506</w:t>
            </w:r>
          </w:p>
        </w:tc>
        <w:tc>
          <w:tcPr>
            <w:tcW w:w="1168" w:type="pct"/>
          </w:tcPr>
          <w:p w:rsidR="00145D91" w:rsidRPr="00145D91" w:rsidRDefault="00145D91" w:rsidP="006B48C7">
            <w:pPr>
              <w:pStyle w:val="Tablewriting"/>
              <w:rPr>
                <w:rFonts w:eastAsia="MS Mincho" w:cstheme="minorHAnsi"/>
              </w:rPr>
            </w:pPr>
            <w:r w:rsidRPr="00145D91">
              <w:rPr>
                <w:rFonts w:eastAsia="MS Mincho" w:cstheme="minorHAnsi"/>
              </w:rPr>
              <w:t>47% female; average age 42.0; average cigarettes per day 19.6; mean FTND</w:t>
            </w:r>
          </w:p>
          <w:p w:rsidR="00547FF0" w:rsidRPr="00017AE6" w:rsidRDefault="00145D91" w:rsidP="006B48C7">
            <w:pPr>
              <w:pStyle w:val="Tablewriting"/>
              <w:rPr>
                <w:rFonts w:eastAsia="MS Mincho" w:cstheme="minorHAnsi"/>
              </w:rPr>
            </w:pPr>
            <w:r w:rsidRPr="00145D91">
              <w:rPr>
                <w:rFonts w:eastAsia="MS Mincho" w:cstheme="minorHAnsi"/>
              </w:rPr>
              <w:t>5.3</w:t>
            </w:r>
          </w:p>
        </w:tc>
        <w:tc>
          <w:tcPr>
            <w:tcW w:w="1288" w:type="pct"/>
          </w:tcPr>
          <w:p w:rsidR="00C4065D" w:rsidRDefault="00145D91" w:rsidP="00C324F3">
            <w:pPr>
              <w:pStyle w:val="ListParagraph"/>
              <w:numPr>
                <w:ilvl w:val="0"/>
                <w:numId w:val="182"/>
              </w:numPr>
              <w:rPr>
                <w:rFonts w:eastAsia="MS Mincho"/>
                <w:lang w:eastAsia="en-US"/>
              </w:rPr>
            </w:pPr>
            <w:r w:rsidRPr="00145D91">
              <w:rPr>
                <w:rFonts w:eastAsia="MS Mincho"/>
                <w:lang w:eastAsia="en-US"/>
              </w:rPr>
              <w:t>Bupropion SR and varenicline. Bupropion SR was taken once daily (150 mg) for days 1 to 3, then twice</w:t>
            </w:r>
            <w:r w:rsidR="00C4065D">
              <w:rPr>
                <w:rFonts w:eastAsia="MS Mincho"/>
                <w:lang w:eastAsia="en-US"/>
              </w:rPr>
              <w:t xml:space="preserve"> </w:t>
            </w:r>
            <w:r w:rsidRPr="00C4065D">
              <w:rPr>
                <w:rFonts w:eastAsia="MS Mincho"/>
                <w:lang w:eastAsia="en-US"/>
              </w:rPr>
              <w:t>daily (total of 300 mg/d) for 12 weeks. Varenicline was taken once daily (0.5 mg) for 3 days, then 0.5</w:t>
            </w:r>
            <w:r w:rsidR="00C4065D">
              <w:rPr>
                <w:rFonts w:eastAsia="MS Mincho"/>
                <w:lang w:eastAsia="en-US"/>
              </w:rPr>
              <w:t xml:space="preserve"> </w:t>
            </w:r>
            <w:r w:rsidRPr="00C4065D">
              <w:rPr>
                <w:rFonts w:eastAsia="MS Mincho"/>
                <w:lang w:eastAsia="en-US"/>
              </w:rPr>
              <w:t>mg twice daily (total of 1 mg/d) for days 4 to 7, and finally to the maintenance dose of 1 mg twice daily</w:t>
            </w:r>
            <w:r w:rsidR="00C4065D">
              <w:rPr>
                <w:rFonts w:eastAsia="MS Mincho"/>
                <w:lang w:eastAsia="en-US"/>
              </w:rPr>
              <w:t xml:space="preserve"> </w:t>
            </w:r>
            <w:r w:rsidRPr="00C4065D">
              <w:rPr>
                <w:rFonts w:eastAsia="MS Mincho"/>
                <w:lang w:eastAsia="en-US"/>
              </w:rPr>
              <w:t>(total, 2 mg/d) for 11 weeks.</w:t>
            </w:r>
          </w:p>
          <w:p w:rsidR="00145D91" w:rsidRPr="00C4065D" w:rsidRDefault="00145D91" w:rsidP="00C324F3">
            <w:pPr>
              <w:pStyle w:val="ListParagraph"/>
              <w:numPr>
                <w:ilvl w:val="0"/>
                <w:numId w:val="182"/>
              </w:numPr>
              <w:rPr>
                <w:rFonts w:eastAsia="MS Mincho"/>
                <w:lang w:eastAsia="en-US"/>
              </w:rPr>
            </w:pPr>
            <w:r w:rsidRPr="00C4065D">
              <w:rPr>
                <w:rFonts w:eastAsia="MS Mincho"/>
                <w:lang w:eastAsia="en-US"/>
              </w:rPr>
              <w:t>Varenicline and placebo. Varenicline was taken according to the above dosing and schedule with</w:t>
            </w:r>
            <w:r w:rsidR="00C4065D">
              <w:rPr>
                <w:rFonts w:eastAsia="MS Mincho"/>
                <w:lang w:eastAsia="en-US"/>
              </w:rPr>
              <w:t xml:space="preserve"> </w:t>
            </w:r>
            <w:r w:rsidRPr="00C4065D">
              <w:rPr>
                <w:rFonts w:eastAsia="MS Mincho"/>
                <w:lang w:eastAsia="en-US"/>
              </w:rPr>
              <w:t>matching placebo in place of bupropion.</w:t>
            </w:r>
          </w:p>
          <w:p w:rsidR="00C4065D" w:rsidRDefault="00C4065D" w:rsidP="006B48C7">
            <w:pPr>
              <w:rPr>
                <w:rFonts w:eastAsia="MS Mincho"/>
                <w:lang w:eastAsia="en-US"/>
              </w:rPr>
            </w:pPr>
          </w:p>
          <w:p w:rsidR="00C4065D" w:rsidRDefault="00C4065D" w:rsidP="006B48C7">
            <w:pPr>
              <w:rPr>
                <w:rFonts w:eastAsia="MS Mincho"/>
                <w:lang w:eastAsia="en-US"/>
              </w:rPr>
            </w:pPr>
          </w:p>
          <w:p w:rsidR="00547FF0" w:rsidRPr="002F7627" w:rsidRDefault="00145D91" w:rsidP="006B48C7">
            <w:pPr>
              <w:rPr>
                <w:rFonts w:eastAsia="MS Mincho"/>
                <w:lang w:eastAsia="en-US"/>
              </w:rPr>
            </w:pPr>
            <w:r w:rsidRPr="00C4065D">
              <w:rPr>
                <w:rFonts w:eastAsia="MS Mincho"/>
                <w:u w:val="single"/>
                <w:lang w:eastAsia="en-US"/>
              </w:rPr>
              <w:t>Common components:</w:t>
            </w:r>
            <w:r w:rsidRPr="00145D91">
              <w:rPr>
                <w:rFonts w:eastAsia="MS Mincho"/>
                <w:lang w:eastAsia="en-US"/>
              </w:rPr>
              <w:t xml:space="preserve"> brief </w:t>
            </w:r>
            <w:r w:rsidR="00C4065D" w:rsidRPr="00145D91">
              <w:rPr>
                <w:rFonts w:eastAsia="MS Mincho"/>
                <w:lang w:eastAsia="en-US"/>
              </w:rPr>
              <w:t>behavioural</w:t>
            </w:r>
            <w:r w:rsidRPr="00145D91">
              <w:rPr>
                <w:rFonts w:eastAsia="MS Mincho"/>
                <w:lang w:eastAsia="en-US"/>
              </w:rPr>
              <w:t xml:space="preserve"> counselling at each clinic visit, totalling 110 minutes</w:t>
            </w:r>
            <w:r w:rsidR="00C4065D">
              <w:rPr>
                <w:rFonts w:eastAsia="MS Mincho"/>
                <w:lang w:eastAsia="en-US"/>
              </w:rPr>
              <w:t>.</w:t>
            </w:r>
          </w:p>
        </w:tc>
        <w:tc>
          <w:tcPr>
            <w:tcW w:w="1001" w:type="pct"/>
          </w:tcPr>
          <w:p w:rsidR="00C4065D" w:rsidRPr="00C4065D" w:rsidRDefault="000B1934" w:rsidP="006B48C7">
            <w:pPr>
              <w:pStyle w:val="Tablewriting"/>
              <w:rPr>
                <w:rFonts w:eastAsia="MS Mincho" w:cstheme="minorHAnsi"/>
                <w:u w:val="single"/>
              </w:rPr>
            </w:pPr>
            <w:r>
              <w:rPr>
                <w:rFonts w:eastAsia="MS Mincho" w:cstheme="minorHAnsi"/>
                <w:u w:val="single"/>
              </w:rPr>
              <w:t>Efficacy:</w:t>
            </w:r>
            <w:r w:rsidR="00C4065D">
              <w:rPr>
                <w:rFonts w:eastAsia="MS Mincho" w:cstheme="minorHAnsi"/>
                <w:u w:val="single"/>
              </w:rPr>
              <w:t xml:space="preserve"> P</w:t>
            </w:r>
            <w:r w:rsidR="00C4065D" w:rsidRPr="00C4065D">
              <w:rPr>
                <w:rFonts w:eastAsia="MS Mincho" w:cstheme="minorHAnsi"/>
              </w:rPr>
              <w:t>rolonged abstinence (no smoking from 2 weeks after the target quit date) at 52</w:t>
            </w:r>
          </w:p>
          <w:p w:rsidR="00C4065D" w:rsidRPr="00C4065D" w:rsidRDefault="00C4065D" w:rsidP="006B48C7">
            <w:pPr>
              <w:pStyle w:val="Tablewriting"/>
              <w:rPr>
                <w:rFonts w:eastAsia="MS Mincho" w:cstheme="minorHAnsi"/>
              </w:rPr>
            </w:pPr>
            <w:r w:rsidRPr="00C4065D">
              <w:rPr>
                <w:rFonts w:eastAsia="MS Mincho" w:cstheme="minorHAnsi"/>
              </w:rPr>
              <w:t>weeks. Validated by CO</w:t>
            </w:r>
          </w:p>
          <w:p w:rsidR="00C4065D" w:rsidRDefault="00C4065D" w:rsidP="006B48C7">
            <w:pPr>
              <w:pStyle w:val="Tablewriting"/>
              <w:rPr>
                <w:rFonts w:eastAsia="MS Mincho" w:cstheme="minorHAnsi"/>
                <w:u w:val="single"/>
              </w:rPr>
            </w:pPr>
          </w:p>
          <w:p w:rsidR="00C4065D" w:rsidRPr="00C4065D" w:rsidRDefault="000B1934" w:rsidP="006B48C7">
            <w:pPr>
              <w:pStyle w:val="Tablewriting"/>
              <w:rPr>
                <w:rFonts w:eastAsia="MS Mincho" w:cstheme="minorHAnsi"/>
              </w:rPr>
            </w:pPr>
            <w:r>
              <w:rPr>
                <w:rFonts w:eastAsia="MS Mincho" w:cstheme="minorHAnsi"/>
                <w:u w:val="single"/>
              </w:rPr>
              <w:t>Safety:</w:t>
            </w:r>
            <w:r w:rsidR="00C4065D">
              <w:rPr>
                <w:rFonts w:eastAsia="MS Mincho" w:cstheme="minorHAnsi"/>
                <w:u w:val="single"/>
              </w:rPr>
              <w:t xml:space="preserve"> </w:t>
            </w:r>
            <w:r w:rsidR="00C4065D" w:rsidRPr="00C4065D">
              <w:rPr>
                <w:rFonts w:eastAsia="MS Mincho" w:cstheme="minorHAnsi"/>
              </w:rPr>
              <w:t>Adverse events</w:t>
            </w:r>
            <w:r w:rsidR="00C4065D">
              <w:rPr>
                <w:rFonts w:eastAsia="MS Mincho" w:cstheme="minorHAnsi"/>
              </w:rPr>
              <w:t xml:space="preserve"> </w:t>
            </w:r>
            <w:r w:rsidR="00C4065D" w:rsidRPr="00C4065D">
              <w:rPr>
                <w:rFonts w:eastAsia="MS Mincho" w:cstheme="minorHAnsi"/>
              </w:rPr>
              <w:t>measured for 52 weeks</w:t>
            </w:r>
          </w:p>
          <w:p w:rsidR="00547FF0" w:rsidRPr="004272CD" w:rsidRDefault="00547FF0" w:rsidP="006B48C7">
            <w:pPr>
              <w:pStyle w:val="Tablewriting"/>
              <w:rPr>
                <w:rFonts w:eastAsia="MS Mincho" w:cstheme="minorHAnsi"/>
                <w:u w:val="single"/>
              </w:rPr>
            </w:pPr>
          </w:p>
        </w:tc>
      </w:tr>
      <w:tr w:rsidR="00547FF0" w:rsidRPr="00017AE6" w:rsidTr="004810EB">
        <w:trPr>
          <w:trHeight w:val="99"/>
        </w:trPr>
        <w:tc>
          <w:tcPr>
            <w:tcW w:w="541" w:type="pct"/>
          </w:tcPr>
          <w:p w:rsidR="00547FF0" w:rsidRPr="00017AE6" w:rsidRDefault="00547FF0" w:rsidP="006B48C7">
            <w:pPr>
              <w:pStyle w:val="Tablewriting"/>
              <w:rPr>
                <w:rFonts w:eastAsia="MS Mincho" w:cstheme="minorHAnsi"/>
              </w:rPr>
            </w:pPr>
            <w:r w:rsidRPr="00C324F3">
              <w:rPr>
                <w:rFonts w:eastAsia="MS Mincho"/>
              </w:rPr>
              <w:t>NCT01406223</w:t>
            </w:r>
          </w:p>
        </w:tc>
        <w:tc>
          <w:tcPr>
            <w:tcW w:w="235" w:type="pct"/>
          </w:tcPr>
          <w:p w:rsidR="00547FF0" w:rsidRPr="00017AE6" w:rsidRDefault="006A4AAE" w:rsidP="006B48C7">
            <w:pPr>
              <w:pStyle w:val="Tablewriting"/>
              <w:rPr>
                <w:rFonts w:eastAsia="MS Mincho" w:cstheme="minorHAnsi"/>
              </w:rPr>
            </w:pPr>
            <w:r>
              <w:rPr>
                <w:rFonts w:eastAsia="MS Mincho" w:cstheme="minorHAnsi"/>
              </w:rPr>
              <w:t>RCT</w:t>
            </w:r>
          </w:p>
        </w:tc>
        <w:tc>
          <w:tcPr>
            <w:tcW w:w="418" w:type="pct"/>
          </w:tcPr>
          <w:p w:rsidR="00547FF0" w:rsidRPr="00017AE6" w:rsidRDefault="006A4AAE" w:rsidP="006B48C7">
            <w:pPr>
              <w:pStyle w:val="Tablewriting"/>
              <w:rPr>
                <w:rFonts w:eastAsia="MS Mincho" w:cstheme="minorHAnsi"/>
              </w:rPr>
            </w:pPr>
            <w:r>
              <w:rPr>
                <w:rFonts w:eastAsia="MS Mincho" w:cstheme="minorHAnsi"/>
              </w:rPr>
              <w:t>USA</w:t>
            </w:r>
          </w:p>
        </w:tc>
        <w:tc>
          <w:tcPr>
            <w:tcW w:w="350" w:type="pct"/>
          </w:tcPr>
          <w:p w:rsidR="00547FF0" w:rsidRPr="00017AE6" w:rsidRDefault="00547FF0" w:rsidP="006B48C7">
            <w:pPr>
              <w:pStyle w:val="Tablewriting"/>
              <w:rPr>
                <w:rFonts w:eastAsia="MS Mincho" w:cstheme="minorHAnsi"/>
              </w:rPr>
            </w:pPr>
            <w:r w:rsidRPr="00296F91">
              <w:rPr>
                <w:rFonts w:eastAsia="MS Mincho" w:cstheme="minorHAnsi"/>
              </w:rPr>
              <w:t>N=</w:t>
            </w:r>
            <w:r w:rsidR="006A4AAE">
              <w:rPr>
                <w:rFonts w:eastAsia="MS Mincho" w:cstheme="minorHAnsi"/>
              </w:rPr>
              <w:t>76</w:t>
            </w:r>
          </w:p>
        </w:tc>
        <w:tc>
          <w:tcPr>
            <w:tcW w:w="1168" w:type="pct"/>
          </w:tcPr>
          <w:p w:rsidR="00547FF0" w:rsidRPr="00017AE6" w:rsidRDefault="006A4AAE" w:rsidP="006B48C7">
            <w:pPr>
              <w:pStyle w:val="Tablewriting"/>
              <w:rPr>
                <w:rFonts w:eastAsia="MS Mincho" w:cstheme="minorHAnsi"/>
              </w:rPr>
            </w:pPr>
            <w:r w:rsidRPr="006A4AAE">
              <w:rPr>
                <w:rFonts w:eastAsia="MS Mincho" w:cstheme="minorHAnsi"/>
              </w:rPr>
              <w:t>53% female</w:t>
            </w:r>
            <w:r w:rsidR="007B3A2D">
              <w:rPr>
                <w:rFonts w:eastAsia="MS Mincho" w:cstheme="minorHAnsi"/>
              </w:rPr>
              <w:t>,</w:t>
            </w:r>
            <w:r w:rsidRPr="006A4AAE">
              <w:rPr>
                <w:rFonts w:eastAsia="MS Mincho" w:cstheme="minorHAnsi"/>
              </w:rPr>
              <w:t xml:space="preserve"> average age 38.8</w:t>
            </w:r>
            <w:r w:rsidR="007B3A2D">
              <w:rPr>
                <w:rFonts w:eastAsia="MS Mincho" w:cstheme="minorHAnsi"/>
              </w:rPr>
              <w:t xml:space="preserve"> years.</w:t>
            </w:r>
          </w:p>
        </w:tc>
        <w:tc>
          <w:tcPr>
            <w:tcW w:w="1288" w:type="pct"/>
          </w:tcPr>
          <w:p w:rsidR="006A4AAE" w:rsidRDefault="006A4AAE" w:rsidP="00C324F3">
            <w:pPr>
              <w:pStyle w:val="ListParagraph"/>
              <w:numPr>
                <w:ilvl w:val="0"/>
                <w:numId w:val="183"/>
              </w:numPr>
              <w:rPr>
                <w:rFonts w:eastAsia="MS Mincho"/>
                <w:lang w:eastAsia="en-US"/>
              </w:rPr>
            </w:pPr>
            <w:r w:rsidRPr="006A4AAE">
              <w:rPr>
                <w:rFonts w:eastAsia="MS Mincho"/>
                <w:lang w:eastAsia="en-US"/>
              </w:rPr>
              <w:t>Bupropion and varenicline. Bupropion was given 150 mg once daily for the first week, then twice daily</w:t>
            </w:r>
            <w:r>
              <w:rPr>
                <w:rFonts w:eastAsia="MS Mincho"/>
                <w:lang w:eastAsia="en-US"/>
              </w:rPr>
              <w:t xml:space="preserve"> </w:t>
            </w:r>
            <w:r w:rsidRPr="006A4AAE">
              <w:rPr>
                <w:rFonts w:eastAsia="MS Mincho"/>
                <w:lang w:eastAsia="en-US"/>
              </w:rPr>
              <w:t>for remainder of the 12-week treatment period. Varenicline was administered 0.5 mg once daily starting</w:t>
            </w:r>
            <w:r>
              <w:rPr>
                <w:rFonts w:eastAsia="MS Mincho"/>
                <w:lang w:eastAsia="en-US"/>
              </w:rPr>
              <w:t xml:space="preserve"> </w:t>
            </w:r>
            <w:r w:rsidRPr="006A4AAE">
              <w:rPr>
                <w:rFonts w:eastAsia="MS Mincho"/>
                <w:lang w:eastAsia="en-US"/>
              </w:rPr>
              <w:t xml:space="preserve">one week </w:t>
            </w:r>
            <w:r w:rsidRPr="006A4AAE">
              <w:rPr>
                <w:rFonts w:eastAsia="MS Mincho"/>
                <w:lang w:eastAsia="en-US"/>
              </w:rPr>
              <w:lastRenderedPageBreak/>
              <w:t>preceding the target quit date, 0.5 mg twice daily for the remaining 4 days of that week,</w:t>
            </w:r>
            <w:r>
              <w:rPr>
                <w:rFonts w:eastAsia="MS Mincho"/>
                <w:lang w:eastAsia="en-US"/>
              </w:rPr>
              <w:t xml:space="preserve"> </w:t>
            </w:r>
            <w:r w:rsidRPr="006A4AAE">
              <w:rPr>
                <w:rFonts w:eastAsia="MS Mincho"/>
                <w:lang w:eastAsia="en-US"/>
              </w:rPr>
              <w:t>then 1 mg twice daily of the remainder of the 12-week treatment period.</w:t>
            </w:r>
          </w:p>
          <w:p w:rsidR="00547FF0" w:rsidRPr="002F7627" w:rsidRDefault="006A4AAE" w:rsidP="00C324F3">
            <w:pPr>
              <w:pStyle w:val="ListParagraph"/>
              <w:numPr>
                <w:ilvl w:val="0"/>
                <w:numId w:val="183"/>
              </w:numPr>
              <w:rPr>
                <w:rFonts w:eastAsia="MS Mincho"/>
                <w:lang w:eastAsia="en-US"/>
              </w:rPr>
            </w:pPr>
            <w:r w:rsidRPr="006A4AAE">
              <w:rPr>
                <w:rFonts w:eastAsia="MS Mincho"/>
                <w:lang w:eastAsia="en-US"/>
              </w:rPr>
              <w:t>Placebo and varenicline. Given according to the relevant schedules detailed above</w:t>
            </w:r>
          </w:p>
        </w:tc>
        <w:tc>
          <w:tcPr>
            <w:tcW w:w="1001" w:type="pct"/>
          </w:tcPr>
          <w:p w:rsidR="000B1934" w:rsidRPr="006A4AAE" w:rsidRDefault="000B1934" w:rsidP="006B48C7">
            <w:pPr>
              <w:pStyle w:val="Tablewriting"/>
              <w:rPr>
                <w:rFonts w:eastAsia="MS Mincho" w:cstheme="minorHAnsi"/>
              </w:rPr>
            </w:pPr>
            <w:r>
              <w:rPr>
                <w:rFonts w:eastAsia="MS Mincho" w:cstheme="minorHAnsi"/>
                <w:u w:val="single"/>
              </w:rPr>
              <w:lastRenderedPageBreak/>
              <w:t>Efficacy</w:t>
            </w:r>
            <w:r w:rsidRPr="006A4AAE">
              <w:rPr>
                <w:rFonts w:eastAsia="MS Mincho" w:cstheme="minorHAnsi"/>
              </w:rPr>
              <w:t>:</w:t>
            </w:r>
            <w:r w:rsidR="006A4AAE" w:rsidRPr="006A4AAE">
              <w:rPr>
                <w:rFonts w:eastAsia="MS Mincho" w:cstheme="minorHAnsi"/>
              </w:rPr>
              <w:t xml:space="preserve"> Not specified </w:t>
            </w:r>
          </w:p>
          <w:p w:rsidR="000B1934" w:rsidRDefault="000B1934" w:rsidP="006B48C7">
            <w:pPr>
              <w:pStyle w:val="Tablewriting"/>
              <w:rPr>
                <w:rFonts w:eastAsia="MS Mincho" w:cstheme="minorHAnsi"/>
                <w:u w:val="single"/>
              </w:rPr>
            </w:pPr>
          </w:p>
          <w:p w:rsidR="00547FF0" w:rsidRPr="004272CD" w:rsidRDefault="000B1934" w:rsidP="006B48C7">
            <w:pPr>
              <w:pStyle w:val="Tablewriting"/>
              <w:rPr>
                <w:rFonts w:eastAsia="MS Mincho" w:cstheme="minorHAnsi"/>
                <w:u w:val="single"/>
              </w:rPr>
            </w:pPr>
            <w:r>
              <w:rPr>
                <w:rFonts w:eastAsia="MS Mincho" w:cstheme="minorHAnsi"/>
                <w:u w:val="single"/>
              </w:rPr>
              <w:t>Safety:</w:t>
            </w:r>
            <w:r w:rsidR="006A4AAE">
              <w:rPr>
                <w:rFonts w:eastAsia="MS Mincho" w:cstheme="minorHAnsi"/>
                <w:u w:val="single"/>
              </w:rPr>
              <w:t xml:space="preserve"> </w:t>
            </w:r>
            <w:r w:rsidR="006A4AAE" w:rsidRPr="006A4AAE">
              <w:rPr>
                <w:rFonts w:eastAsia="MS Mincho" w:cstheme="minorHAnsi"/>
              </w:rPr>
              <w:t xml:space="preserve">Adverse events </w:t>
            </w:r>
            <w:r w:rsidR="006A4AAE" w:rsidRPr="006A4AAE">
              <w:rPr>
                <w:rFonts w:eastAsia="MS Mincho" w:cstheme="minorHAnsi"/>
                <w:lang w:val="en-GB"/>
              </w:rPr>
              <w:t>measured for 13-week treatment period</w:t>
            </w:r>
          </w:p>
        </w:tc>
      </w:tr>
      <w:tr w:rsidR="00547FF0" w:rsidRPr="00017AE6" w:rsidTr="004810EB">
        <w:trPr>
          <w:trHeight w:val="99"/>
        </w:trPr>
        <w:tc>
          <w:tcPr>
            <w:tcW w:w="541" w:type="pct"/>
          </w:tcPr>
          <w:p w:rsidR="00547FF0" w:rsidRPr="00017AE6" w:rsidRDefault="00547FF0" w:rsidP="006B48C7">
            <w:pPr>
              <w:pStyle w:val="Tablewriting"/>
              <w:rPr>
                <w:rFonts w:eastAsia="MS Mincho" w:cstheme="minorHAnsi"/>
              </w:rPr>
            </w:pPr>
            <w:r w:rsidRPr="00C324F3">
              <w:rPr>
                <w:rFonts w:eastAsia="MS Mincho"/>
              </w:rPr>
              <w:t xml:space="preserve">Rose </w:t>
            </w:r>
            <w:r w:rsidR="009C4EF2">
              <w:rPr>
                <w:rFonts w:eastAsia="MS Mincho" w:cstheme="minorHAnsi"/>
              </w:rPr>
              <w:t>(</w:t>
            </w:r>
            <w:r w:rsidRPr="00C324F3">
              <w:rPr>
                <w:rFonts w:eastAsia="MS Mincho"/>
              </w:rPr>
              <w:t>2014</w:t>
            </w:r>
            <w:r w:rsidR="009C4EF2">
              <w:rPr>
                <w:rFonts w:eastAsia="MS Mincho" w:cstheme="minorHAnsi"/>
              </w:rPr>
              <w:t>)</w:t>
            </w:r>
          </w:p>
        </w:tc>
        <w:tc>
          <w:tcPr>
            <w:tcW w:w="235" w:type="pct"/>
          </w:tcPr>
          <w:p w:rsidR="00547FF0" w:rsidRPr="00017AE6" w:rsidRDefault="007B3A2D" w:rsidP="006B48C7">
            <w:pPr>
              <w:pStyle w:val="Tablewriting"/>
              <w:rPr>
                <w:rFonts w:eastAsia="MS Mincho" w:cstheme="minorHAnsi"/>
              </w:rPr>
            </w:pPr>
            <w:r>
              <w:rPr>
                <w:rFonts w:eastAsia="MS Mincho" w:cstheme="minorHAnsi"/>
              </w:rPr>
              <w:t>RCT</w:t>
            </w:r>
          </w:p>
        </w:tc>
        <w:tc>
          <w:tcPr>
            <w:tcW w:w="418" w:type="pct"/>
          </w:tcPr>
          <w:p w:rsidR="00547FF0" w:rsidRPr="00017AE6" w:rsidRDefault="007B3A2D" w:rsidP="006B48C7">
            <w:pPr>
              <w:pStyle w:val="Tablewriting"/>
              <w:rPr>
                <w:rFonts w:eastAsia="MS Mincho" w:cstheme="minorHAnsi"/>
              </w:rPr>
            </w:pPr>
            <w:r>
              <w:rPr>
                <w:rFonts w:eastAsia="MS Mincho" w:cstheme="minorHAnsi"/>
              </w:rPr>
              <w:t>USA</w:t>
            </w:r>
          </w:p>
        </w:tc>
        <w:tc>
          <w:tcPr>
            <w:tcW w:w="350" w:type="pct"/>
          </w:tcPr>
          <w:p w:rsidR="00547FF0" w:rsidRPr="00017AE6" w:rsidRDefault="00547FF0" w:rsidP="006B48C7">
            <w:pPr>
              <w:pStyle w:val="Tablewriting"/>
              <w:rPr>
                <w:rFonts w:eastAsia="MS Mincho" w:cstheme="minorHAnsi"/>
              </w:rPr>
            </w:pPr>
            <w:r w:rsidRPr="00296F91">
              <w:rPr>
                <w:rFonts w:eastAsia="MS Mincho" w:cstheme="minorHAnsi"/>
              </w:rPr>
              <w:t>N=</w:t>
            </w:r>
            <w:r w:rsidR="007B3A2D">
              <w:rPr>
                <w:rFonts w:eastAsia="MS Mincho" w:cstheme="minorHAnsi"/>
              </w:rPr>
              <w:t>222</w:t>
            </w:r>
          </w:p>
        </w:tc>
        <w:tc>
          <w:tcPr>
            <w:tcW w:w="1168" w:type="pct"/>
          </w:tcPr>
          <w:p w:rsidR="007B3A2D" w:rsidRDefault="007B3A2D" w:rsidP="006B48C7">
            <w:pPr>
              <w:pStyle w:val="Tablewriting"/>
              <w:rPr>
                <w:rFonts w:eastAsia="MS Mincho" w:cstheme="minorHAnsi"/>
              </w:rPr>
            </w:pPr>
            <w:r w:rsidRPr="007B3A2D">
              <w:rPr>
                <w:rFonts w:eastAsia="MS Mincho" w:cstheme="minorHAnsi"/>
              </w:rPr>
              <w:t>Participants were nicotine patch non-responders (failed to show a reduction of more than 50% in</w:t>
            </w:r>
            <w:r>
              <w:rPr>
                <w:rFonts w:eastAsia="MS Mincho" w:cstheme="minorHAnsi"/>
              </w:rPr>
              <w:t xml:space="preserve"> </w:t>
            </w:r>
            <w:r w:rsidRPr="007B3A2D">
              <w:rPr>
                <w:rFonts w:eastAsia="MS Mincho" w:cstheme="minorHAnsi"/>
              </w:rPr>
              <w:t>smoking after 1 week of nicotine patch treatment)</w:t>
            </w:r>
            <w:r>
              <w:rPr>
                <w:rFonts w:eastAsia="MS Mincho" w:cstheme="minorHAnsi"/>
              </w:rPr>
              <w:t>.</w:t>
            </w:r>
          </w:p>
          <w:p w:rsidR="007B3A2D" w:rsidRPr="007B3A2D" w:rsidRDefault="007B3A2D" w:rsidP="006B48C7">
            <w:pPr>
              <w:pStyle w:val="Tablewriting"/>
              <w:rPr>
                <w:rFonts w:eastAsia="MS Mincho" w:cstheme="minorHAnsi"/>
              </w:rPr>
            </w:pPr>
            <w:r w:rsidRPr="007B3A2D">
              <w:rPr>
                <w:rFonts w:eastAsia="MS Mincho" w:cstheme="minorHAnsi"/>
              </w:rPr>
              <w:t>54.5% female; average age 44.1</w:t>
            </w:r>
            <w:r>
              <w:rPr>
                <w:rFonts w:eastAsia="MS Mincho" w:cstheme="minorHAnsi"/>
              </w:rPr>
              <w:t>years,</w:t>
            </w:r>
            <w:r w:rsidRPr="007B3A2D">
              <w:rPr>
                <w:rFonts w:eastAsia="MS Mincho" w:cstheme="minorHAnsi"/>
              </w:rPr>
              <w:t xml:space="preserve"> average cigarettes per day 20.7</w:t>
            </w:r>
            <w:r>
              <w:rPr>
                <w:rFonts w:eastAsia="MS Mincho" w:cstheme="minorHAnsi"/>
              </w:rPr>
              <w:t>,</w:t>
            </w:r>
            <w:r w:rsidRPr="007B3A2D">
              <w:rPr>
                <w:rFonts w:eastAsia="MS Mincho" w:cstheme="minorHAnsi"/>
              </w:rPr>
              <w:t xml:space="preserve"> mean</w:t>
            </w:r>
          </w:p>
          <w:p w:rsidR="00547FF0" w:rsidRPr="00017AE6" w:rsidRDefault="007B3A2D" w:rsidP="006B48C7">
            <w:pPr>
              <w:pStyle w:val="Tablewriting"/>
              <w:rPr>
                <w:rFonts w:eastAsia="MS Mincho" w:cstheme="minorHAnsi"/>
              </w:rPr>
            </w:pPr>
            <w:r w:rsidRPr="007B3A2D">
              <w:rPr>
                <w:rFonts w:eastAsia="MS Mincho" w:cstheme="minorHAnsi"/>
              </w:rPr>
              <w:t>FTND 6.1</w:t>
            </w:r>
            <w:r>
              <w:rPr>
                <w:rFonts w:eastAsia="MS Mincho" w:cstheme="minorHAnsi"/>
              </w:rPr>
              <w:t>.</w:t>
            </w:r>
          </w:p>
        </w:tc>
        <w:tc>
          <w:tcPr>
            <w:tcW w:w="1288" w:type="pct"/>
          </w:tcPr>
          <w:p w:rsidR="007B3A2D" w:rsidRDefault="007B3A2D" w:rsidP="00C324F3">
            <w:pPr>
              <w:pStyle w:val="ListParagraph"/>
              <w:numPr>
                <w:ilvl w:val="0"/>
                <w:numId w:val="184"/>
              </w:numPr>
              <w:rPr>
                <w:rFonts w:eastAsia="MS Mincho"/>
                <w:lang w:eastAsia="en-US"/>
              </w:rPr>
            </w:pPr>
            <w:r w:rsidRPr="007B3A2D">
              <w:rPr>
                <w:rFonts w:eastAsia="MS Mincho"/>
                <w:lang w:eastAsia="en-US"/>
              </w:rPr>
              <w:t>Bupropion and varenicline. Bupropion given 150 mg once daily for 3 days, then 150 mg twice daily for</w:t>
            </w:r>
            <w:r>
              <w:rPr>
                <w:rFonts w:eastAsia="MS Mincho"/>
                <w:lang w:eastAsia="en-US"/>
              </w:rPr>
              <w:t xml:space="preserve"> </w:t>
            </w:r>
            <w:r w:rsidRPr="007B3A2D">
              <w:rPr>
                <w:rFonts w:eastAsia="MS Mincho"/>
                <w:lang w:eastAsia="en-US"/>
              </w:rPr>
              <w:t>remainder of 12-week treatment period. Varenicline given 0.5 mg once daily on days 1–3, 0.5 mg twice</w:t>
            </w:r>
            <w:r>
              <w:rPr>
                <w:rFonts w:eastAsia="MS Mincho"/>
                <w:lang w:eastAsia="en-US"/>
              </w:rPr>
              <w:t xml:space="preserve"> </w:t>
            </w:r>
            <w:r w:rsidRPr="007B3A2D">
              <w:rPr>
                <w:rFonts w:eastAsia="MS Mincho"/>
                <w:lang w:eastAsia="en-US"/>
              </w:rPr>
              <w:t>daily on days 4–7; and 1 mg twice daily for remainder of 12-week treatment period</w:t>
            </w:r>
          </w:p>
          <w:p w:rsidR="007B3A2D" w:rsidRPr="007B3A2D" w:rsidRDefault="007B3A2D" w:rsidP="00C324F3">
            <w:pPr>
              <w:pStyle w:val="ListParagraph"/>
              <w:numPr>
                <w:ilvl w:val="0"/>
                <w:numId w:val="184"/>
              </w:numPr>
              <w:rPr>
                <w:rFonts w:eastAsia="MS Mincho"/>
                <w:lang w:eastAsia="en-US"/>
              </w:rPr>
            </w:pPr>
            <w:r w:rsidRPr="007B3A2D">
              <w:rPr>
                <w:rFonts w:eastAsia="MS Mincho"/>
                <w:lang w:eastAsia="en-US"/>
              </w:rPr>
              <w:t>Placebo and varenicline. Given according to schedule above</w:t>
            </w:r>
          </w:p>
          <w:p w:rsidR="007B3A2D" w:rsidRDefault="007B3A2D" w:rsidP="006B48C7">
            <w:pPr>
              <w:rPr>
                <w:rFonts w:eastAsia="MS Mincho"/>
                <w:lang w:eastAsia="en-US"/>
              </w:rPr>
            </w:pPr>
          </w:p>
          <w:p w:rsidR="007B3A2D" w:rsidRDefault="007B3A2D" w:rsidP="006B48C7">
            <w:pPr>
              <w:rPr>
                <w:rFonts w:eastAsia="MS Mincho"/>
                <w:lang w:eastAsia="en-US"/>
              </w:rPr>
            </w:pPr>
          </w:p>
          <w:p w:rsidR="00547FF0" w:rsidRPr="002F7627" w:rsidRDefault="007B3A2D" w:rsidP="006B48C7">
            <w:pPr>
              <w:rPr>
                <w:rFonts w:eastAsia="MS Mincho"/>
                <w:lang w:eastAsia="en-US"/>
              </w:rPr>
            </w:pPr>
            <w:r w:rsidRPr="007B3A2D">
              <w:rPr>
                <w:rFonts w:eastAsia="MS Mincho"/>
                <w:u w:val="single"/>
                <w:lang w:eastAsia="en-US"/>
              </w:rPr>
              <w:t>Common components:</w:t>
            </w:r>
            <w:r w:rsidRPr="007B3A2D">
              <w:rPr>
                <w:rFonts w:eastAsia="MS Mincho"/>
                <w:lang w:eastAsia="en-US"/>
              </w:rPr>
              <w:t xml:space="preserve"> brief support at each study session, totalling 1 hour and 45 minutes</w:t>
            </w:r>
            <w:r>
              <w:rPr>
                <w:rFonts w:eastAsia="MS Mincho"/>
                <w:lang w:eastAsia="en-US"/>
              </w:rPr>
              <w:t>.</w:t>
            </w:r>
          </w:p>
        </w:tc>
        <w:tc>
          <w:tcPr>
            <w:tcW w:w="1001" w:type="pct"/>
          </w:tcPr>
          <w:p w:rsidR="008D6C5E" w:rsidRDefault="000B1934" w:rsidP="006B48C7">
            <w:pPr>
              <w:pStyle w:val="Tablewriting"/>
              <w:rPr>
                <w:rFonts w:eastAsia="MS Mincho" w:cstheme="minorHAnsi"/>
              </w:rPr>
            </w:pPr>
            <w:r>
              <w:rPr>
                <w:rFonts w:eastAsia="MS Mincho" w:cstheme="minorHAnsi"/>
                <w:u w:val="single"/>
              </w:rPr>
              <w:t>Efficacy:</w:t>
            </w:r>
            <w:r w:rsidR="008D6C5E">
              <w:rPr>
                <w:rFonts w:eastAsia="MS Mincho" w:cstheme="minorHAnsi"/>
                <w:u w:val="single"/>
              </w:rPr>
              <w:t xml:space="preserve"> </w:t>
            </w:r>
            <w:r w:rsidR="008D6C5E" w:rsidRPr="008D6C5E">
              <w:rPr>
                <w:rFonts w:eastAsia="MS Mincho" w:cstheme="minorHAnsi"/>
              </w:rPr>
              <w:t xml:space="preserve">7-day </w:t>
            </w:r>
            <w:r w:rsidR="008D6C5E">
              <w:rPr>
                <w:rFonts w:eastAsia="MS Mincho" w:cstheme="minorHAnsi"/>
              </w:rPr>
              <w:t>PPA</w:t>
            </w:r>
            <w:r w:rsidR="008D6C5E" w:rsidRPr="008D6C5E">
              <w:rPr>
                <w:rFonts w:eastAsia="MS Mincho" w:cstheme="minorHAnsi"/>
              </w:rPr>
              <w:t xml:space="preserve"> at 6 months. </w:t>
            </w:r>
          </w:p>
          <w:p w:rsidR="008D6C5E" w:rsidRDefault="008D6C5E" w:rsidP="006B48C7">
            <w:pPr>
              <w:pStyle w:val="Tablewriting"/>
              <w:rPr>
                <w:rFonts w:eastAsia="MS Mincho" w:cstheme="minorHAnsi"/>
              </w:rPr>
            </w:pPr>
          </w:p>
          <w:p w:rsidR="008D6C5E" w:rsidRPr="008D6C5E" w:rsidRDefault="008D6C5E" w:rsidP="006B48C7">
            <w:pPr>
              <w:pStyle w:val="Tablewriting"/>
              <w:rPr>
                <w:rFonts w:eastAsia="MS Mincho" w:cstheme="minorHAnsi"/>
                <w:u w:val="single"/>
              </w:rPr>
            </w:pPr>
            <w:r w:rsidRPr="008D6C5E">
              <w:rPr>
                <w:rFonts w:eastAsia="MS Mincho" w:cstheme="minorHAnsi"/>
              </w:rPr>
              <w:t>Validated by CO ≤ 10 ppm</w:t>
            </w:r>
          </w:p>
          <w:p w:rsidR="008D6C5E" w:rsidRDefault="008D6C5E" w:rsidP="006B48C7">
            <w:pPr>
              <w:pStyle w:val="Tablewriting"/>
              <w:rPr>
                <w:rFonts w:eastAsia="MS Mincho" w:cstheme="minorHAnsi"/>
                <w:u w:val="single"/>
              </w:rPr>
            </w:pPr>
          </w:p>
          <w:p w:rsidR="008D6C5E" w:rsidRPr="008D6C5E" w:rsidRDefault="000B1934" w:rsidP="006B48C7">
            <w:pPr>
              <w:pStyle w:val="Tablewriting"/>
              <w:rPr>
                <w:rFonts w:eastAsia="MS Mincho" w:cstheme="minorHAnsi"/>
              </w:rPr>
            </w:pPr>
            <w:r>
              <w:rPr>
                <w:rFonts w:eastAsia="MS Mincho" w:cstheme="minorHAnsi"/>
                <w:u w:val="single"/>
              </w:rPr>
              <w:t>Safety:</w:t>
            </w:r>
            <w:r w:rsidR="008D6C5E">
              <w:rPr>
                <w:rFonts w:eastAsia="MS Mincho" w:cstheme="minorHAnsi"/>
                <w:u w:val="single"/>
              </w:rPr>
              <w:t xml:space="preserve"> </w:t>
            </w:r>
            <w:r w:rsidR="008D6C5E" w:rsidRPr="008D6C5E">
              <w:rPr>
                <w:rFonts w:eastAsia="MS Mincho" w:cstheme="minorHAnsi"/>
              </w:rPr>
              <w:t>Adverse events</w:t>
            </w:r>
            <w:r w:rsidR="008D6C5E">
              <w:rPr>
                <w:rFonts w:eastAsia="MS Mincho" w:cstheme="minorHAnsi"/>
              </w:rPr>
              <w:t xml:space="preserve"> </w:t>
            </w:r>
            <w:r w:rsidR="008D6C5E" w:rsidRPr="008D6C5E">
              <w:rPr>
                <w:rFonts w:eastAsia="MS Mincho" w:cstheme="minorHAnsi"/>
              </w:rPr>
              <w:t>measured for an unspecified period</w:t>
            </w:r>
          </w:p>
          <w:p w:rsidR="00547FF0" w:rsidRPr="004272CD" w:rsidRDefault="00547FF0" w:rsidP="006B48C7">
            <w:pPr>
              <w:pStyle w:val="Tablewriting"/>
              <w:rPr>
                <w:rFonts w:eastAsia="MS Mincho" w:cstheme="minorHAnsi"/>
                <w:u w:val="single"/>
              </w:rPr>
            </w:pPr>
          </w:p>
        </w:tc>
      </w:tr>
      <w:tr w:rsidR="00547FF0" w:rsidRPr="00017AE6" w:rsidTr="004810EB">
        <w:trPr>
          <w:trHeight w:val="99"/>
        </w:trPr>
        <w:tc>
          <w:tcPr>
            <w:tcW w:w="541" w:type="pct"/>
          </w:tcPr>
          <w:p w:rsidR="00547FF0" w:rsidRPr="00C324F3" w:rsidRDefault="00547FF0" w:rsidP="006B48C7">
            <w:pPr>
              <w:pStyle w:val="Tablewriting"/>
              <w:rPr>
                <w:rFonts w:eastAsia="MS Mincho"/>
              </w:rPr>
            </w:pPr>
            <w:r w:rsidRPr="00C324F3">
              <w:rPr>
                <w:rFonts w:eastAsia="MS Mincho"/>
              </w:rPr>
              <w:t xml:space="preserve">Rose </w:t>
            </w:r>
            <w:r w:rsidR="009C4EF2">
              <w:rPr>
                <w:rFonts w:eastAsia="MS Mincho" w:cstheme="minorHAnsi"/>
              </w:rPr>
              <w:t>(</w:t>
            </w:r>
            <w:r w:rsidRPr="00C324F3">
              <w:rPr>
                <w:rFonts w:eastAsia="MS Mincho"/>
              </w:rPr>
              <w:t>2017</w:t>
            </w:r>
            <w:r w:rsidR="009C4EF2">
              <w:rPr>
                <w:rFonts w:eastAsia="MS Mincho" w:cstheme="minorHAnsi"/>
              </w:rPr>
              <w:t>)</w:t>
            </w:r>
          </w:p>
        </w:tc>
        <w:tc>
          <w:tcPr>
            <w:tcW w:w="235" w:type="pct"/>
          </w:tcPr>
          <w:p w:rsidR="00547FF0" w:rsidRPr="00017AE6" w:rsidRDefault="008D6C5E" w:rsidP="006B48C7">
            <w:pPr>
              <w:pStyle w:val="Tablewriting"/>
              <w:rPr>
                <w:rFonts w:eastAsia="MS Mincho" w:cstheme="minorHAnsi"/>
              </w:rPr>
            </w:pPr>
            <w:r>
              <w:rPr>
                <w:rFonts w:eastAsia="MS Mincho" w:cstheme="minorHAnsi"/>
              </w:rPr>
              <w:t>RCT</w:t>
            </w:r>
          </w:p>
        </w:tc>
        <w:tc>
          <w:tcPr>
            <w:tcW w:w="418" w:type="pct"/>
          </w:tcPr>
          <w:p w:rsidR="00547FF0" w:rsidRPr="00017AE6" w:rsidRDefault="008D6C5E" w:rsidP="006B48C7">
            <w:pPr>
              <w:pStyle w:val="Tablewriting"/>
              <w:rPr>
                <w:rFonts w:eastAsia="MS Mincho" w:cstheme="minorHAnsi"/>
              </w:rPr>
            </w:pPr>
            <w:r>
              <w:rPr>
                <w:rFonts w:eastAsia="MS Mincho" w:cstheme="minorHAnsi"/>
              </w:rPr>
              <w:t>USA</w:t>
            </w:r>
          </w:p>
        </w:tc>
        <w:tc>
          <w:tcPr>
            <w:tcW w:w="350" w:type="pct"/>
          </w:tcPr>
          <w:p w:rsidR="00547FF0" w:rsidRPr="00017AE6" w:rsidRDefault="00547FF0" w:rsidP="006B48C7">
            <w:pPr>
              <w:pStyle w:val="Tablewriting"/>
              <w:rPr>
                <w:rFonts w:eastAsia="MS Mincho" w:cstheme="minorHAnsi"/>
              </w:rPr>
            </w:pPr>
            <w:r w:rsidRPr="00296F91">
              <w:rPr>
                <w:rFonts w:eastAsia="MS Mincho" w:cstheme="minorHAnsi"/>
              </w:rPr>
              <w:t>N=</w:t>
            </w:r>
            <w:r w:rsidR="008D6C5E">
              <w:rPr>
                <w:rFonts w:eastAsia="MS Mincho" w:cstheme="minorHAnsi"/>
              </w:rPr>
              <w:t>174</w:t>
            </w:r>
          </w:p>
        </w:tc>
        <w:tc>
          <w:tcPr>
            <w:tcW w:w="1168" w:type="pct"/>
          </w:tcPr>
          <w:p w:rsidR="00547FF0" w:rsidRPr="00017AE6" w:rsidRDefault="007269DC" w:rsidP="006B48C7">
            <w:pPr>
              <w:pStyle w:val="Tablewriting"/>
              <w:rPr>
                <w:rFonts w:eastAsia="MS Mincho" w:cstheme="minorHAnsi"/>
              </w:rPr>
            </w:pPr>
            <w:r w:rsidRPr="007269DC">
              <w:rPr>
                <w:rFonts w:eastAsia="MS Mincho" w:cstheme="minorHAnsi"/>
              </w:rPr>
              <w:t>All participants were male</w:t>
            </w:r>
            <w:r>
              <w:rPr>
                <w:rFonts w:eastAsia="MS Mincho" w:cstheme="minorHAnsi"/>
              </w:rPr>
              <w:t xml:space="preserve">, </w:t>
            </w:r>
            <w:r w:rsidRPr="007269DC">
              <w:rPr>
                <w:rFonts w:eastAsia="MS Mincho" w:cstheme="minorHAnsi"/>
              </w:rPr>
              <w:t>average age 44.0</w:t>
            </w:r>
            <w:r>
              <w:rPr>
                <w:rFonts w:eastAsia="MS Mincho" w:cstheme="minorHAnsi"/>
              </w:rPr>
              <w:t xml:space="preserve"> years,</w:t>
            </w:r>
            <w:r w:rsidRPr="007269DC">
              <w:rPr>
                <w:rFonts w:eastAsia="MS Mincho" w:cstheme="minorHAnsi"/>
              </w:rPr>
              <w:t xml:space="preserve"> average cigarettes per day 20.0</w:t>
            </w:r>
            <w:r>
              <w:rPr>
                <w:rFonts w:eastAsia="MS Mincho" w:cstheme="minorHAnsi"/>
              </w:rPr>
              <w:t>,</w:t>
            </w:r>
            <w:r w:rsidRPr="007269DC">
              <w:rPr>
                <w:rFonts w:eastAsia="MS Mincho" w:cstheme="minorHAnsi"/>
              </w:rPr>
              <w:t xml:space="preserve"> mean FTND</w:t>
            </w:r>
            <w:r>
              <w:rPr>
                <w:rFonts w:eastAsia="MS Mincho" w:cstheme="minorHAnsi"/>
              </w:rPr>
              <w:t xml:space="preserve"> </w:t>
            </w:r>
            <w:r w:rsidRPr="007269DC">
              <w:rPr>
                <w:rFonts w:eastAsia="MS Mincho" w:cstheme="minorHAnsi"/>
              </w:rPr>
              <w:t>5.5</w:t>
            </w:r>
            <w:r>
              <w:rPr>
                <w:rFonts w:eastAsia="MS Mincho" w:cstheme="minorHAnsi"/>
              </w:rPr>
              <w:t>.</w:t>
            </w:r>
          </w:p>
        </w:tc>
        <w:tc>
          <w:tcPr>
            <w:tcW w:w="1288" w:type="pct"/>
          </w:tcPr>
          <w:p w:rsidR="007269DC" w:rsidRDefault="007269DC" w:rsidP="00C324F3">
            <w:pPr>
              <w:pStyle w:val="ListParagraph"/>
              <w:numPr>
                <w:ilvl w:val="0"/>
                <w:numId w:val="185"/>
              </w:numPr>
              <w:rPr>
                <w:rFonts w:eastAsia="MS Mincho"/>
                <w:lang w:eastAsia="en-US"/>
              </w:rPr>
            </w:pPr>
            <w:r w:rsidRPr="007269DC">
              <w:rPr>
                <w:rFonts w:eastAsia="MS Mincho"/>
                <w:lang w:eastAsia="en-US"/>
              </w:rPr>
              <w:t>Bupropion and varenicline. Bupropion scheduling was 150 mg once daily for 3 days, followed by 150</w:t>
            </w:r>
            <w:r>
              <w:rPr>
                <w:rFonts w:eastAsia="MS Mincho"/>
                <w:lang w:eastAsia="en-US"/>
              </w:rPr>
              <w:t xml:space="preserve"> </w:t>
            </w:r>
            <w:r w:rsidRPr="007269DC">
              <w:rPr>
                <w:rFonts w:eastAsia="MS Mincho"/>
                <w:lang w:eastAsia="en-US"/>
              </w:rPr>
              <w:t>mg twice daily for the remainder of the 12-week treatment period. Varenicline scheduling was 0.5 mg</w:t>
            </w:r>
            <w:r>
              <w:rPr>
                <w:rFonts w:eastAsia="MS Mincho"/>
                <w:lang w:eastAsia="en-US"/>
              </w:rPr>
              <w:t xml:space="preserve"> </w:t>
            </w:r>
            <w:r w:rsidRPr="007269DC">
              <w:rPr>
                <w:rFonts w:eastAsia="MS Mincho"/>
                <w:lang w:eastAsia="en-US"/>
              </w:rPr>
              <w:t>once daily on days 1–3, 0.5 mg twice daily on days 4–7, followed by 1 mg twice daily for the remainder</w:t>
            </w:r>
            <w:r>
              <w:rPr>
                <w:rFonts w:eastAsia="MS Mincho"/>
                <w:lang w:eastAsia="en-US"/>
              </w:rPr>
              <w:t xml:space="preserve"> </w:t>
            </w:r>
            <w:r w:rsidRPr="007269DC">
              <w:rPr>
                <w:rFonts w:eastAsia="MS Mincho"/>
                <w:lang w:eastAsia="en-US"/>
              </w:rPr>
              <w:t>of the 12-week treatment period</w:t>
            </w:r>
          </w:p>
          <w:p w:rsidR="007269DC" w:rsidRPr="007269DC" w:rsidRDefault="007269DC" w:rsidP="00C324F3">
            <w:pPr>
              <w:pStyle w:val="ListParagraph"/>
              <w:numPr>
                <w:ilvl w:val="0"/>
                <w:numId w:val="185"/>
              </w:numPr>
              <w:rPr>
                <w:rFonts w:eastAsia="MS Mincho"/>
                <w:lang w:eastAsia="en-US"/>
              </w:rPr>
            </w:pPr>
            <w:r w:rsidRPr="007269DC">
              <w:rPr>
                <w:rFonts w:eastAsia="MS Mincho"/>
                <w:lang w:eastAsia="en-US"/>
              </w:rPr>
              <w:lastRenderedPageBreak/>
              <w:t>Placebo and varenicline. Same schedule as above</w:t>
            </w:r>
          </w:p>
          <w:p w:rsidR="007269DC" w:rsidRDefault="007269DC" w:rsidP="006B48C7">
            <w:pPr>
              <w:rPr>
                <w:rFonts w:eastAsia="MS Mincho"/>
                <w:lang w:eastAsia="en-US"/>
              </w:rPr>
            </w:pPr>
          </w:p>
          <w:p w:rsidR="007269DC" w:rsidRDefault="007269DC" w:rsidP="006B48C7">
            <w:pPr>
              <w:rPr>
                <w:rFonts w:eastAsia="MS Mincho"/>
                <w:lang w:eastAsia="en-US"/>
              </w:rPr>
            </w:pPr>
          </w:p>
          <w:p w:rsidR="00547FF0" w:rsidRPr="002F7627" w:rsidRDefault="007269DC" w:rsidP="006B48C7">
            <w:pPr>
              <w:rPr>
                <w:rFonts w:eastAsia="MS Mincho"/>
                <w:lang w:eastAsia="en-US"/>
              </w:rPr>
            </w:pPr>
            <w:r w:rsidRPr="007269DC">
              <w:rPr>
                <w:rFonts w:eastAsia="MS Mincho"/>
                <w:u w:val="single"/>
                <w:lang w:eastAsia="en-US"/>
              </w:rPr>
              <w:t>Common components:</w:t>
            </w:r>
            <w:r w:rsidRPr="007269DC">
              <w:rPr>
                <w:rFonts w:eastAsia="MS Mincho"/>
                <w:lang w:eastAsia="en-US"/>
              </w:rPr>
              <w:t xml:space="preserve"> pre</w:t>
            </w:r>
            <w:r>
              <w:rPr>
                <w:rFonts w:eastAsia="MS Mincho"/>
                <w:lang w:eastAsia="en-US"/>
              </w:rPr>
              <w:t>-</w:t>
            </w:r>
            <w:r w:rsidRPr="007269DC">
              <w:rPr>
                <w:rFonts w:eastAsia="MS Mincho"/>
                <w:lang w:eastAsia="en-US"/>
              </w:rPr>
              <w:t>cessation patches for 1 week prior to pharmacological treatments above,</w:t>
            </w:r>
            <w:r>
              <w:rPr>
                <w:rFonts w:eastAsia="MS Mincho"/>
                <w:lang w:eastAsia="en-US"/>
              </w:rPr>
              <w:t xml:space="preserve"> </w:t>
            </w:r>
            <w:r w:rsidRPr="007269DC">
              <w:rPr>
                <w:rFonts w:eastAsia="MS Mincho"/>
                <w:lang w:eastAsia="en-US"/>
              </w:rPr>
              <w:t>and brief support was provided at each session, totalling 1 hour and 30 minutes</w:t>
            </w:r>
            <w:r>
              <w:rPr>
                <w:rFonts w:eastAsia="MS Mincho"/>
                <w:lang w:eastAsia="en-US"/>
              </w:rPr>
              <w:t>.</w:t>
            </w:r>
          </w:p>
        </w:tc>
        <w:tc>
          <w:tcPr>
            <w:tcW w:w="1001" w:type="pct"/>
          </w:tcPr>
          <w:p w:rsidR="0023439E" w:rsidRPr="001973C3" w:rsidRDefault="000B1934" w:rsidP="006B48C7">
            <w:pPr>
              <w:pStyle w:val="Tablewriting"/>
              <w:rPr>
                <w:rFonts w:eastAsia="MS Mincho" w:cstheme="minorHAnsi"/>
              </w:rPr>
            </w:pPr>
            <w:r>
              <w:rPr>
                <w:rFonts w:eastAsia="MS Mincho" w:cstheme="minorHAnsi"/>
                <w:u w:val="single"/>
              </w:rPr>
              <w:lastRenderedPageBreak/>
              <w:t>Efficacy:</w:t>
            </w:r>
            <w:r w:rsidR="0023439E">
              <w:rPr>
                <w:rFonts w:eastAsia="MS Mincho" w:cstheme="minorHAnsi"/>
                <w:u w:val="single"/>
              </w:rPr>
              <w:t xml:space="preserve"> </w:t>
            </w:r>
            <w:r w:rsidR="001973C3">
              <w:rPr>
                <w:rFonts w:eastAsia="MS Mincho" w:cstheme="minorHAnsi"/>
              </w:rPr>
              <w:t>C</w:t>
            </w:r>
            <w:r w:rsidR="001973C3" w:rsidRPr="001973C3">
              <w:rPr>
                <w:rFonts w:eastAsia="MS Mincho" w:cstheme="minorHAnsi"/>
              </w:rPr>
              <w:t>ontinuous 4-week abstinence assessed during weeks 8–11 after the target quit-smoking date</w:t>
            </w:r>
            <w:r w:rsidR="001973C3">
              <w:rPr>
                <w:rFonts w:eastAsia="MS Mincho" w:cstheme="minorHAnsi"/>
              </w:rPr>
              <w:t>.</w:t>
            </w:r>
          </w:p>
          <w:p w:rsidR="00534516" w:rsidRDefault="00534516" w:rsidP="006B48C7">
            <w:pPr>
              <w:pStyle w:val="Tablewriting"/>
              <w:rPr>
                <w:rFonts w:eastAsia="MS Mincho" w:cstheme="minorHAnsi"/>
                <w:u w:val="single"/>
              </w:rPr>
            </w:pPr>
          </w:p>
          <w:p w:rsidR="00534516" w:rsidRPr="0023439E" w:rsidRDefault="000B1934" w:rsidP="006B48C7">
            <w:pPr>
              <w:pStyle w:val="Tablewriting"/>
              <w:rPr>
                <w:rFonts w:eastAsia="MS Mincho" w:cstheme="minorHAnsi"/>
              </w:rPr>
            </w:pPr>
            <w:r>
              <w:rPr>
                <w:rFonts w:eastAsia="MS Mincho" w:cstheme="minorHAnsi"/>
                <w:u w:val="single"/>
              </w:rPr>
              <w:t>Safety:</w:t>
            </w:r>
            <w:r w:rsidR="00534516">
              <w:rPr>
                <w:rFonts w:eastAsia="MS Mincho" w:cstheme="minorHAnsi"/>
                <w:u w:val="single"/>
              </w:rPr>
              <w:t xml:space="preserve"> </w:t>
            </w:r>
            <w:r w:rsidR="00534516" w:rsidRPr="0023439E">
              <w:rPr>
                <w:rFonts w:eastAsia="MS Mincho" w:cstheme="minorHAnsi"/>
              </w:rPr>
              <w:t>Adverse events</w:t>
            </w:r>
            <w:r w:rsidR="00534516">
              <w:rPr>
                <w:rFonts w:eastAsia="MS Mincho" w:cstheme="minorHAnsi"/>
              </w:rPr>
              <w:t xml:space="preserve"> </w:t>
            </w:r>
            <w:r w:rsidR="00534516" w:rsidRPr="0023439E">
              <w:rPr>
                <w:rFonts w:eastAsia="MS Mincho" w:cstheme="minorHAnsi"/>
              </w:rPr>
              <w:t>measured for 12 weeks</w:t>
            </w:r>
          </w:p>
          <w:p w:rsidR="00547FF0" w:rsidRPr="004272CD" w:rsidRDefault="00547FF0" w:rsidP="006B48C7">
            <w:pPr>
              <w:pStyle w:val="Tablewriting"/>
              <w:rPr>
                <w:rFonts w:eastAsia="MS Mincho" w:cstheme="minorHAnsi"/>
                <w:u w:val="single"/>
              </w:rPr>
            </w:pPr>
          </w:p>
        </w:tc>
      </w:tr>
    </w:tbl>
    <w:p w:rsidR="004810EB" w:rsidRPr="009B042A" w:rsidRDefault="004810EB" w:rsidP="004810EB">
      <w:pPr>
        <w:pStyle w:val="TableFooter"/>
        <w:keepNext/>
      </w:pPr>
      <w:r>
        <w:t xml:space="preserve">Source: </w:t>
      </w:r>
      <w:r w:rsidR="004F17E4">
        <w:t>Howes</w:t>
      </w:r>
      <w:r w:rsidRPr="008B0097">
        <w:t xml:space="preserve"> et al. (20</w:t>
      </w:r>
      <w:r>
        <w:t>20).</w:t>
      </w:r>
      <w:r w:rsidRPr="009B042A">
        <w:t xml:space="preserve"> </w:t>
      </w:r>
    </w:p>
    <w:p w:rsidR="00450AFA" w:rsidRDefault="004810EB" w:rsidP="001973C3">
      <w:pPr>
        <w:pStyle w:val="TableFooter"/>
        <w:keepNext/>
      </w:pPr>
      <w:r>
        <w:t xml:space="preserve">Abbreviations: NR= not reported; </w:t>
      </w:r>
      <w:r w:rsidRPr="009B042A">
        <w:t xml:space="preserve">PPA= point prevalence smoking abstinence; </w:t>
      </w:r>
      <w:r>
        <w:t xml:space="preserve">CAR= continuous abstinence rate;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CPD= cigarette per day; AEs= adverse events; SAEs= serious adverse events.</w:t>
      </w:r>
    </w:p>
    <w:p w:rsidR="0083620F" w:rsidRDefault="0083620F" w:rsidP="00F14C48">
      <w:pPr>
        <w:pStyle w:val="Caption"/>
        <w:keepNext/>
      </w:pPr>
      <w:bookmarkStart w:id="390" w:name="_Ref62075592"/>
      <w:r>
        <w:t xml:space="preserve">Table </w:t>
      </w:r>
      <w:r w:rsidR="003C4A1C">
        <w:rPr>
          <w:noProof/>
        </w:rPr>
        <w:t>159</w:t>
      </w:r>
      <w:bookmarkEnd w:id="390"/>
      <w:r>
        <w:t xml:space="preserve">: </w:t>
      </w:r>
      <w:r w:rsidRPr="008A5AE8">
        <w:t>Characteristics of studies included in Howes et al. (2020), bupropion</w:t>
      </w:r>
      <w:r>
        <w:t xml:space="preserve"> plus</w:t>
      </w:r>
      <w:r w:rsidR="00F14C48">
        <w:t xml:space="preserve"> NRT</w:t>
      </w:r>
      <w:r w:rsidRPr="008A5AE8">
        <w:t xml:space="preserve"> versus </w:t>
      </w:r>
      <w:r w:rsidR="00F14C48">
        <w:t>NRT</w:t>
      </w:r>
      <w:r w:rsidRPr="008A5AE8">
        <w:t xml:space="preserve"> alone</w:t>
      </w:r>
    </w:p>
    <w:tbl>
      <w:tblPr>
        <w:tblStyle w:val="TableGrid"/>
        <w:tblW w:w="14089" w:type="dxa"/>
        <w:tblLayout w:type="fixed"/>
        <w:tblLook w:val="04A0" w:firstRow="1" w:lastRow="0" w:firstColumn="1" w:lastColumn="0" w:noHBand="0" w:noVBand="1"/>
      </w:tblPr>
      <w:tblGrid>
        <w:gridCol w:w="1350"/>
        <w:gridCol w:w="1035"/>
        <w:gridCol w:w="1095"/>
        <w:gridCol w:w="930"/>
        <w:gridCol w:w="3405"/>
        <w:gridCol w:w="4020"/>
        <w:gridCol w:w="2254"/>
      </w:tblGrid>
      <w:tr w:rsidR="43734B83" w:rsidTr="6576DA45">
        <w:tc>
          <w:tcPr>
            <w:tcW w:w="1350" w:type="dxa"/>
            <w:shd w:val="clear" w:color="auto" w:fill="A6A6A6" w:themeFill="background1" w:themeFillShade="A6"/>
          </w:tcPr>
          <w:p w:rsidR="43734B83" w:rsidRDefault="43734B83">
            <w:r w:rsidRPr="43734B83">
              <w:rPr>
                <w:rFonts w:eastAsia="Calibri" w:cs="Calibri"/>
                <w:b/>
                <w:bCs/>
              </w:rPr>
              <w:t>Study</w:t>
            </w:r>
          </w:p>
        </w:tc>
        <w:tc>
          <w:tcPr>
            <w:tcW w:w="1035" w:type="dxa"/>
            <w:shd w:val="clear" w:color="auto" w:fill="A6A6A6" w:themeFill="background1" w:themeFillShade="A6"/>
          </w:tcPr>
          <w:p w:rsidR="43734B83" w:rsidRDefault="43734B83" w:rsidP="43734B83">
            <w:pPr>
              <w:jc w:val="center"/>
            </w:pPr>
            <w:r w:rsidRPr="43734B83">
              <w:rPr>
                <w:rFonts w:eastAsia="Calibri" w:cs="Calibri"/>
                <w:b/>
                <w:bCs/>
                <w:color w:val="000000" w:themeColor="text1"/>
              </w:rPr>
              <w:t>Study type</w:t>
            </w:r>
          </w:p>
        </w:tc>
        <w:tc>
          <w:tcPr>
            <w:tcW w:w="1095" w:type="dxa"/>
            <w:shd w:val="clear" w:color="auto" w:fill="A6A6A6" w:themeFill="background1" w:themeFillShade="A6"/>
          </w:tcPr>
          <w:p w:rsidR="43734B83" w:rsidRDefault="43734B83" w:rsidP="43734B83">
            <w:pPr>
              <w:jc w:val="center"/>
            </w:pPr>
            <w:r w:rsidRPr="43734B83">
              <w:rPr>
                <w:rFonts w:eastAsia="Calibri" w:cs="Calibri"/>
                <w:b/>
                <w:bCs/>
                <w:color w:val="000000" w:themeColor="text1"/>
              </w:rPr>
              <w:t>Countries</w:t>
            </w:r>
          </w:p>
        </w:tc>
        <w:tc>
          <w:tcPr>
            <w:tcW w:w="930" w:type="dxa"/>
            <w:shd w:val="clear" w:color="auto" w:fill="A6A6A6" w:themeFill="background1" w:themeFillShade="A6"/>
          </w:tcPr>
          <w:p w:rsidR="43734B83" w:rsidRDefault="43734B83" w:rsidP="43734B83">
            <w:pPr>
              <w:jc w:val="center"/>
            </w:pPr>
            <w:r w:rsidRPr="43734B83">
              <w:rPr>
                <w:rFonts w:eastAsia="Calibri" w:cs="Calibri"/>
                <w:b/>
                <w:bCs/>
                <w:color w:val="000000" w:themeColor="text1"/>
              </w:rPr>
              <w:t>N</w:t>
            </w:r>
          </w:p>
        </w:tc>
        <w:tc>
          <w:tcPr>
            <w:tcW w:w="3405" w:type="dxa"/>
            <w:shd w:val="clear" w:color="auto" w:fill="A6A6A6" w:themeFill="background1" w:themeFillShade="A6"/>
          </w:tcPr>
          <w:p w:rsidR="43734B83" w:rsidRDefault="43734B83" w:rsidP="43734B83">
            <w:pPr>
              <w:jc w:val="center"/>
            </w:pPr>
            <w:r w:rsidRPr="43734B83">
              <w:rPr>
                <w:rFonts w:eastAsia="Calibri" w:cs="Calibri"/>
                <w:b/>
                <w:bCs/>
                <w:color w:val="000000" w:themeColor="text1"/>
              </w:rPr>
              <w:t>Population</w:t>
            </w:r>
          </w:p>
        </w:tc>
        <w:tc>
          <w:tcPr>
            <w:tcW w:w="4020" w:type="dxa"/>
            <w:shd w:val="clear" w:color="auto" w:fill="A6A6A6" w:themeFill="background1" w:themeFillShade="A6"/>
          </w:tcPr>
          <w:p w:rsidR="43734B83" w:rsidRDefault="43734B83" w:rsidP="43734B83">
            <w:pPr>
              <w:jc w:val="center"/>
            </w:pPr>
            <w:r w:rsidRPr="43734B83">
              <w:rPr>
                <w:rFonts w:eastAsia="Calibri" w:cs="Calibri"/>
                <w:b/>
                <w:bCs/>
                <w:color w:val="000000" w:themeColor="text1"/>
              </w:rPr>
              <w:t>Intervention and comparator</w:t>
            </w:r>
          </w:p>
        </w:tc>
        <w:tc>
          <w:tcPr>
            <w:tcW w:w="2254" w:type="dxa"/>
            <w:shd w:val="clear" w:color="auto" w:fill="A6A6A6" w:themeFill="background1" w:themeFillShade="A6"/>
          </w:tcPr>
          <w:p w:rsidR="43734B83" w:rsidRDefault="43734B83" w:rsidP="43734B83">
            <w:pPr>
              <w:jc w:val="center"/>
            </w:pPr>
            <w:r w:rsidRPr="43734B83">
              <w:rPr>
                <w:rFonts w:eastAsia="Calibri" w:cs="Calibri"/>
                <w:b/>
                <w:bCs/>
                <w:color w:val="000000" w:themeColor="text1"/>
              </w:rPr>
              <w:t>Outcomes</w:t>
            </w:r>
          </w:p>
        </w:tc>
      </w:tr>
      <w:tr w:rsidR="43734B83" w:rsidTr="6576DA45">
        <w:tc>
          <w:tcPr>
            <w:tcW w:w="1350" w:type="dxa"/>
          </w:tcPr>
          <w:p w:rsidR="43734B83" w:rsidRDefault="43734B83">
            <w:r w:rsidRPr="43734B83">
              <w:rPr>
                <w:rFonts w:eastAsia="Calibri" w:cs="Calibri"/>
              </w:rPr>
              <w:t xml:space="preserve">Evins </w:t>
            </w:r>
            <w:r w:rsidR="009C4EF2">
              <w:rPr>
                <w:rFonts w:eastAsia="Calibri" w:cs="Calibri"/>
              </w:rPr>
              <w:t>(</w:t>
            </w:r>
            <w:r w:rsidRPr="43734B83">
              <w:rPr>
                <w:rFonts w:eastAsia="Calibri" w:cs="Calibri"/>
              </w:rPr>
              <w:t>2007</w:t>
            </w:r>
            <w:r w:rsidR="009C4EF2">
              <w:rPr>
                <w:rFonts w:eastAsia="Calibri" w:cs="Calibri"/>
              </w:rPr>
              <w:t>)</w:t>
            </w:r>
          </w:p>
        </w:tc>
        <w:tc>
          <w:tcPr>
            <w:tcW w:w="1035" w:type="dxa"/>
          </w:tcPr>
          <w:p w:rsidR="43734B83" w:rsidRDefault="43734B83">
            <w:r w:rsidRPr="43734B83">
              <w:rPr>
                <w:rFonts w:eastAsia="Calibri" w:cs="Calibri"/>
              </w:rPr>
              <w:t>RCT</w:t>
            </w:r>
          </w:p>
        </w:tc>
        <w:tc>
          <w:tcPr>
            <w:tcW w:w="1095" w:type="dxa"/>
          </w:tcPr>
          <w:p w:rsidR="43734B83" w:rsidRDefault="43734B83">
            <w:r w:rsidRPr="43734B83">
              <w:rPr>
                <w:rFonts w:eastAsia="Calibri" w:cs="Calibri"/>
              </w:rPr>
              <w:t>USA</w:t>
            </w:r>
          </w:p>
        </w:tc>
        <w:tc>
          <w:tcPr>
            <w:tcW w:w="930" w:type="dxa"/>
          </w:tcPr>
          <w:p w:rsidR="43734B83" w:rsidRDefault="00594FCC">
            <w:r>
              <w:rPr>
                <w:rFonts w:eastAsia="Calibri" w:cs="Calibri"/>
              </w:rPr>
              <w:t>N</w:t>
            </w:r>
            <w:r w:rsidR="00F2109D">
              <w:rPr>
                <w:rFonts w:eastAsia="Calibri" w:cs="Calibri"/>
              </w:rPr>
              <w:t>=</w:t>
            </w:r>
            <w:r w:rsidR="43734B83" w:rsidRPr="43734B83">
              <w:rPr>
                <w:rFonts w:eastAsia="Calibri" w:cs="Calibri"/>
              </w:rPr>
              <w:t>51</w:t>
            </w:r>
          </w:p>
        </w:tc>
        <w:tc>
          <w:tcPr>
            <w:tcW w:w="3405" w:type="dxa"/>
          </w:tcPr>
          <w:p w:rsidR="43734B83" w:rsidRDefault="43734B83">
            <w:r w:rsidRPr="43734B83">
              <w:rPr>
                <w:rFonts w:eastAsia="Calibri" w:cs="Calibri"/>
              </w:rPr>
              <w:t>Smokers (≥10 cigarettes per day) with schizophrenia; average age 44; average cigarettes per day 28/25</w:t>
            </w:r>
          </w:p>
        </w:tc>
        <w:tc>
          <w:tcPr>
            <w:tcW w:w="4020" w:type="dxa"/>
          </w:tcPr>
          <w:p w:rsidR="43734B83" w:rsidRDefault="43734B83" w:rsidP="00C324F3">
            <w:pPr>
              <w:pStyle w:val="ListParagraph"/>
              <w:numPr>
                <w:ilvl w:val="0"/>
                <w:numId w:val="255"/>
              </w:numPr>
              <w:rPr>
                <w:rFonts w:eastAsia="Calibri" w:cs="Calibri"/>
              </w:rPr>
            </w:pPr>
            <w:r w:rsidRPr="43734B83">
              <w:t>Bupropion, 300 mg/day for 3 months, nicotine patch, 21 mg for 8 weeks including tapering, 2 mg nicotine gum</w:t>
            </w:r>
          </w:p>
          <w:p w:rsidR="43734B83" w:rsidRDefault="43734B83" w:rsidP="00C324F3">
            <w:pPr>
              <w:pStyle w:val="ListParagraph"/>
              <w:numPr>
                <w:ilvl w:val="0"/>
                <w:numId w:val="255"/>
              </w:numPr>
              <w:rPr>
                <w:rFonts w:eastAsia="Calibri" w:cs="Calibri"/>
              </w:rPr>
            </w:pPr>
            <w:r w:rsidRPr="43734B83">
              <w:t>Placebo and NRT, same schedule as bupropion 1</w:t>
            </w:r>
          </w:p>
          <w:p w:rsidR="43734B83" w:rsidRDefault="43734B83">
            <w:r w:rsidRPr="43734B83">
              <w:rPr>
                <w:rFonts w:eastAsia="Calibri" w:cs="Calibri"/>
              </w:rPr>
              <w:t xml:space="preserve"> </w:t>
            </w:r>
          </w:p>
          <w:p w:rsidR="43734B83" w:rsidRDefault="43734B83">
            <w:r w:rsidRPr="43734B83">
              <w:rPr>
                <w:rFonts w:eastAsia="Calibri" w:cs="Calibri"/>
                <w:u w:val="single"/>
              </w:rPr>
              <w:t>Common components</w:t>
            </w:r>
            <w:r w:rsidRPr="43734B83">
              <w:rPr>
                <w:rFonts w:eastAsia="Calibri" w:cs="Calibri"/>
              </w:rPr>
              <w:t>: 12 session group CBT, TQD week 4</w:t>
            </w:r>
          </w:p>
        </w:tc>
        <w:tc>
          <w:tcPr>
            <w:tcW w:w="2254" w:type="dxa"/>
          </w:tcPr>
          <w:p w:rsidR="43734B83" w:rsidRDefault="43734B83">
            <w:r w:rsidRPr="004A1A7E">
              <w:rPr>
                <w:rFonts w:eastAsia="Calibri" w:cs="Calibri"/>
                <w:u w:val="single"/>
              </w:rPr>
              <w:t>Efficacy:</w:t>
            </w:r>
            <w:r w:rsidRPr="43734B83">
              <w:rPr>
                <w:rFonts w:eastAsia="Calibri" w:cs="Calibri"/>
              </w:rPr>
              <w:t xml:space="preserve"> Smoking cessation. Abstinence at 12 months from TQD. Validated by CO ≤ 8 ppm</w:t>
            </w:r>
          </w:p>
          <w:p w:rsidR="43734B83" w:rsidRDefault="43734B83">
            <w:r w:rsidRPr="43734B83">
              <w:rPr>
                <w:rFonts w:eastAsia="Calibri" w:cs="Calibri"/>
              </w:rPr>
              <w:t xml:space="preserve"> </w:t>
            </w:r>
          </w:p>
          <w:p w:rsidR="43734B83" w:rsidRDefault="43734B83">
            <w:r w:rsidRPr="004A1A7E">
              <w:rPr>
                <w:rFonts w:eastAsia="Calibri" w:cs="Calibri"/>
                <w:u w:val="single"/>
              </w:rPr>
              <w:t>Safety:</w:t>
            </w:r>
            <w:r w:rsidRPr="43734B83">
              <w:rPr>
                <w:rFonts w:eastAsia="Calibri" w:cs="Calibri"/>
              </w:rPr>
              <w:t xml:space="preserve"> Adverse events</w:t>
            </w:r>
            <w:r w:rsidR="004A1A7E">
              <w:rPr>
                <w:rFonts w:eastAsia="Calibri" w:cs="Calibri"/>
              </w:rPr>
              <w:t xml:space="preserve"> m</w:t>
            </w:r>
            <w:r w:rsidRPr="43734B83">
              <w:rPr>
                <w:rFonts w:eastAsia="Calibri" w:cs="Calibri"/>
              </w:rPr>
              <w:t>easured for unspecified period</w:t>
            </w:r>
          </w:p>
        </w:tc>
      </w:tr>
      <w:tr w:rsidR="43734B83" w:rsidTr="6576DA45">
        <w:tc>
          <w:tcPr>
            <w:tcW w:w="1350" w:type="dxa"/>
          </w:tcPr>
          <w:p w:rsidR="43734B83" w:rsidRDefault="43734B83">
            <w:r w:rsidRPr="43734B83">
              <w:rPr>
                <w:rFonts w:eastAsia="Calibri" w:cs="Calibri"/>
              </w:rPr>
              <w:t xml:space="preserve">George </w:t>
            </w:r>
            <w:r w:rsidR="009C4EF2">
              <w:rPr>
                <w:rFonts w:eastAsia="Calibri" w:cs="Calibri"/>
              </w:rPr>
              <w:t>(</w:t>
            </w:r>
            <w:r w:rsidRPr="43734B83">
              <w:rPr>
                <w:rFonts w:eastAsia="Calibri" w:cs="Calibri"/>
              </w:rPr>
              <w:t>2008</w:t>
            </w:r>
            <w:r w:rsidR="009C4EF2">
              <w:rPr>
                <w:rFonts w:eastAsia="Calibri" w:cs="Calibri"/>
              </w:rPr>
              <w:t>)</w:t>
            </w:r>
          </w:p>
        </w:tc>
        <w:tc>
          <w:tcPr>
            <w:tcW w:w="1035" w:type="dxa"/>
          </w:tcPr>
          <w:p w:rsidR="43734B83" w:rsidRDefault="43734B83">
            <w:r w:rsidRPr="43734B83">
              <w:rPr>
                <w:rFonts w:eastAsia="Calibri" w:cs="Calibri"/>
              </w:rPr>
              <w:t>RCT</w:t>
            </w:r>
          </w:p>
        </w:tc>
        <w:tc>
          <w:tcPr>
            <w:tcW w:w="1095" w:type="dxa"/>
          </w:tcPr>
          <w:p w:rsidR="43734B83" w:rsidRDefault="43734B83">
            <w:r w:rsidRPr="43734B83">
              <w:rPr>
                <w:rFonts w:eastAsia="Calibri" w:cs="Calibri"/>
              </w:rPr>
              <w:t>USA</w:t>
            </w:r>
          </w:p>
        </w:tc>
        <w:tc>
          <w:tcPr>
            <w:tcW w:w="930" w:type="dxa"/>
          </w:tcPr>
          <w:p w:rsidR="43734B83" w:rsidRDefault="00F2109D">
            <w:r>
              <w:rPr>
                <w:rFonts w:eastAsia="Calibri" w:cs="Calibri"/>
              </w:rPr>
              <w:t>N=</w:t>
            </w:r>
            <w:r w:rsidR="43734B83" w:rsidRPr="43734B83">
              <w:rPr>
                <w:rFonts w:eastAsia="Calibri" w:cs="Calibri"/>
              </w:rPr>
              <w:t>58</w:t>
            </w:r>
          </w:p>
        </w:tc>
        <w:tc>
          <w:tcPr>
            <w:tcW w:w="3405" w:type="dxa"/>
          </w:tcPr>
          <w:p w:rsidR="43734B83" w:rsidRDefault="43734B83">
            <w:r w:rsidRPr="43734B83">
              <w:rPr>
                <w:rFonts w:eastAsia="Calibri" w:cs="Calibri"/>
              </w:rPr>
              <w:t>Smokers with schizophrenia or schizoaffective disorder (excludes 1 receiving no study medication); 40% female; average age 40; average cigarettes per day 23</w:t>
            </w:r>
          </w:p>
        </w:tc>
        <w:tc>
          <w:tcPr>
            <w:tcW w:w="4020" w:type="dxa"/>
          </w:tcPr>
          <w:p w:rsidR="43734B83" w:rsidRDefault="43734B83" w:rsidP="00C324F3">
            <w:pPr>
              <w:pStyle w:val="ListParagraph"/>
              <w:numPr>
                <w:ilvl w:val="0"/>
                <w:numId w:val="254"/>
              </w:numPr>
              <w:rPr>
                <w:rFonts w:eastAsia="Calibri" w:cs="Calibri"/>
              </w:rPr>
            </w:pPr>
            <w:r w:rsidRPr="43734B83">
              <w:t>Bupropion, 300 mg/day for 9 weeks, begun 7 days pre-TQD</w:t>
            </w:r>
          </w:p>
          <w:p w:rsidR="43734B83" w:rsidRDefault="43734B83" w:rsidP="00C324F3">
            <w:pPr>
              <w:pStyle w:val="ListParagraph"/>
              <w:numPr>
                <w:ilvl w:val="0"/>
                <w:numId w:val="254"/>
              </w:numPr>
              <w:rPr>
                <w:rFonts w:eastAsia="Calibri" w:cs="Calibri"/>
              </w:rPr>
            </w:pPr>
            <w:r w:rsidRPr="43734B83">
              <w:t>Placebo</w:t>
            </w:r>
          </w:p>
          <w:p w:rsidR="43734B83" w:rsidRDefault="43734B83">
            <w:r w:rsidRPr="43734B83">
              <w:rPr>
                <w:rFonts w:eastAsia="Calibri" w:cs="Calibri"/>
              </w:rPr>
              <w:t xml:space="preserve"> </w:t>
            </w:r>
          </w:p>
          <w:p w:rsidR="43734B83" w:rsidRDefault="43734B83">
            <w:r w:rsidRPr="00791D84">
              <w:rPr>
                <w:rFonts w:eastAsia="Calibri" w:cs="Calibri"/>
                <w:u w:val="single"/>
              </w:rPr>
              <w:t>Common components:</w:t>
            </w:r>
            <w:r w:rsidRPr="43734B83">
              <w:rPr>
                <w:rFonts w:eastAsia="Calibri" w:cs="Calibri"/>
              </w:rPr>
              <w:t xml:space="preserve"> nicotine patch (21 mg/24 hrs) for 8 weeks from TQD and group behaviour therapy 10-weekly sessions</w:t>
            </w:r>
          </w:p>
        </w:tc>
        <w:tc>
          <w:tcPr>
            <w:tcW w:w="2254" w:type="dxa"/>
          </w:tcPr>
          <w:p w:rsidR="43734B83" w:rsidRDefault="43734B83">
            <w:r w:rsidRPr="004A1A7E">
              <w:rPr>
                <w:rFonts w:eastAsia="Calibri" w:cs="Calibri"/>
                <w:u w:val="single"/>
              </w:rPr>
              <w:t>Efficacy:</w:t>
            </w:r>
            <w:r w:rsidRPr="43734B83">
              <w:rPr>
                <w:rFonts w:eastAsia="Calibri" w:cs="Calibri"/>
              </w:rPr>
              <w:t xml:space="preserve"> Smoking cessation (PPA at 6 months).</w:t>
            </w:r>
          </w:p>
          <w:p w:rsidR="43734B83" w:rsidRDefault="43734B83">
            <w:r w:rsidRPr="43734B83">
              <w:rPr>
                <w:rFonts w:eastAsia="Calibri" w:cs="Calibri"/>
              </w:rPr>
              <w:t xml:space="preserve">Validated by CO &lt; 10 ppm </w:t>
            </w:r>
          </w:p>
          <w:p w:rsidR="43734B83" w:rsidRDefault="43734B83">
            <w:r w:rsidRPr="004A1A7E">
              <w:rPr>
                <w:rFonts w:eastAsia="Calibri" w:cs="Calibri"/>
                <w:u w:val="single"/>
              </w:rPr>
              <w:t>Safety:</w:t>
            </w:r>
            <w:r w:rsidRPr="43734B83">
              <w:rPr>
                <w:rFonts w:eastAsia="Calibri" w:cs="Calibri"/>
              </w:rPr>
              <w:t xml:space="preserve"> Adverse events</w:t>
            </w:r>
            <w:r w:rsidR="004A1A7E">
              <w:rPr>
                <w:rFonts w:eastAsia="Calibri" w:cs="Calibri"/>
              </w:rPr>
              <w:t xml:space="preserve"> m</w:t>
            </w:r>
            <w:r w:rsidRPr="43734B83">
              <w:rPr>
                <w:rFonts w:eastAsia="Calibri" w:cs="Calibri"/>
              </w:rPr>
              <w:t>easured for unspecified period</w:t>
            </w:r>
          </w:p>
        </w:tc>
      </w:tr>
      <w:tr w:rsidR="43734B83" w:rsidTr="6576DA45">
        <w:tc>
          <w:tcPr>
            <w:tcW w:w="1350" w:type="dxa"/>
          </w:tcPr>
          <w:p w:rsidR="43734B83" w:rsidRDefault="43734B83">
            <w:r w:rsidRPr="43734B83">
              <w:rPr>
                <w:rFonts w:eastAsia="Calibri" w:cs="Calibri"/>
              </w:rPr>
              <w:lastRenderedPageBreak/>
              <w:t xml:space="preserve">Grant </w:t>
            </w:r>
            <w:r w:rsidR="009C4EF2">
              <w:rPr>
                <w:rFonts w:eastAsia="Calibri" w:cs="Calibri"/>
              </w:rPr>
              <w:t>(</w:t>
            </w:r>
            <w:r w:rsidRPr="43734B83">
              <w:rPr>
                <w:rFonts w:eastAsia="Calibri" w:cs="Calibri"/>
              </w:rPr>
              <w:t>2007</w:t>
            </w:r>
            <w:r w:rsidR="009C4EF2">
              <w:rPr>
                <w:rFonts w:eastAsia="Calibri" w:cs="Calibri"/>
              </w:rPr>
              <w:t>)</w:t>
            </w:r>
          </w:p>
        </w:tc>
        <w:tc>
          <w:tcPr>
            <w:tcW w:w="1035" w:type="dxa"/>
          </w:tcPr>
          <w:p w:rsidR="43734B83" w:rsidRDefault="43734B83">
            <w:r w:rsidRPr="43734B83">
              <w:rPr>
                <w:rFonts w:eastAsia="Calibri" w:cs="Calibri"/>
              </w:rPr>
              <w:t>RCT</w:t>
            </w:r>
          </w:p>
        </w:tc>
        <w:tc>
          <w:tcPr>
            <w:tcW w:w="1095" w:type="dxa"/>
          </w:tcPr>
          <w:p w:rsidR="43734B83" w:rsidRDefault="43734B83">
            <w:r w:rsidRPr="43734B83">
              <w:rPr>
                <w:rFonts w:eastAsia="Calibri" w:cs="Calibri"/>
              </w:rPr>
              <w:t>USA</w:t>
            </w:r>
          </w:p>
        </w:tc>
        <w:tc>
          <w:tcPr>
            <w:tcW w:w="930" w:type="dxa"/>
          </w:tcPr>
          <w:p w:rsidR="43734B83" w:rsidRDefault="00F2109D">
            <w:r>
              <w:rPr>
                <w:rFonts w:eastAsia="Calibri" w:cs="Calibri"/>
              </w:rPr>
              <w:t>N=</w:t>
            </w:r>
            <w:r w:rsidR="43734B83" w:rsidRPr="43734B83">
              <w:rPr>
                <w:rFonts w:eastAsia="Calibri" w:cs="Calibri"/>
              </w:rPr>
              <w:t>58</w:t>
            </w:r>
          </w:p>
        </w:tc>
        <w:tc>
          <w:tcPr>
            <w:tcW w:w="3405" w:type="dxa"/>
          </w:tcPr>
          <w:p w:rsidR="43734B83" w:rsidRDefault="43734B83">
            <w:r w:rsidRPr="43734B83">
              <w:rPr>
                <w:rFonts w:eastAsia="Calibri" w:cs="Calibri"/>
              </w:rPr>
              <w:t>Alcoholic smokers; 16% female; average age 40; average cigarettes per day 25</w:t>
            </w:r>
          </w:p>
        </w:tc>
        <w:tc>
          <w:tcPr>
            <w:tcW w:w="4020" w:type="dxa"/>
          </w:tcPr>
          <w:p w:rsidR="43734B83" w:rsidRDefault="43734B83" w:rsidP="00C324F3">
            <w:pPr>
              <w:pStyle w:val="ListParagraph"/>
              <w:numPr>
                <w:ilvl w:val="0"/>
                <w:numId w:val="253"/>
              </w:numPr>
              <w:rPr>
                <w:rFonts w:eastAsia="Calibri" w:cs="Calibri"/>
              </w:rPr>
            </w:pPr>
            <w:r w:rsidRPr="43734B83">
              <w:t>Bupropion, 300 mg for 60 days + nicotine patch 21 mg for 8 weeks including tapering</w:t>
            </w:r>
          </w:p>
          <w:p w:rsidR="43734B83" w:rsidRDefault="43734B83" w:rsidP="00C324F3">
            <w:pPr>
              <w:pStyle w:val="ListParagraph"/>
              <w:numPr>
                <w:ilvl w:val="0"/>
                <w:numId w:val="253"/>
              </w:numPr>
              <w:rPr>
                <w:rFonts w:eastAsia="Calibri" w:cs="Calibri"/>
              </w:rPr>
            </w:pPr>
            <w:r w:rsidRPr="43734B83">
              <w:t>Placebo and nicotine patch</w:t>
            </w:r>
          </w:p>
          <w:p w:rsidR="43734B83" w:rsidRDefault="43734B83">
            <w:r w:rsidRPr="43734B83">
              <w:rPr>
                <w:rFonts w:eastAsia="Calibri" w:cs="Calibri"/>
              </w:rPr>
              <w:t xml:space="preserve"> </w:t>
            </w:r>
          </w:p>
          <w:p w:rsidR="43734B83" w:rsidRDefault="43734B83">
            <w:r w:rsidRPr="00791D84">
              <w:rPr>
                <w:rFonts w:eastAsia="Calibri" w:cs="Calibri"/>
                <w:u w:val="single"/>
              </w:rPr>
              <w:t>Common components:</w:t>
            </w:r>
            <w:r w:rsidRPr="43734B83">
              <w:rPr>
                <w:rFonts w:eastAsia="Calibri" w:cs="Calibri"/>
              </w:rPr>
              <w:t xml:space="preserve"> 1-hour cessation group (and 4-weekly assessment visits)</w:t>
            </w:r>
          </w:p>
        </w:tc>
        <w:tc>
          <w:tcPr>
            <w:tcW w:w="2254" w:type="dxa"/>
          </w:tcPr>
          <w:p w:rsidR="43734B83" w:rsidRDefault="43734B83">
            <w:r w:rsidRPr="004A1A7E">
              <w:rPr>
                <w:rFonts w:eastAsia="Calibri" w:cs="Calibri"/>
                <w:u w:val="single"/>
              </w:rPr>
              <w:t>Efficacy:</w:t>
            </w:r>
            <w:r w:rsidRPr="43734B83">
              <w:rPr>
                <w:rFonts w:eastAsia="Calibri" w:cs="Calibri"/>
              </w:rPr>
              <w:t xml:space="preserve"> Smoking cessation. 7-day PPA at 6 months. No biochemical validation, collaterals contacted, inconsistent, adjusted rates not reported</w:t>
            </w:r>
          </w:p>
          <w:p w:rsidR="43734B83" w:rsidRDefault="43734B83">
            <w:r w:rsidRPr="43734B83">
              <w:rPr>
                <w:rFonts w:eastAsia="Calibri" w:cs="Calibri"/>
              </w:rPr>
              <w:t xml:space="preserve"> </w:t>
            </w:r>
            <w:r w:rsidRPr="004A1A7E">
              <w:rPr>
                <w:rFonts w:eastAsia="Calibri" w:cs="Calibri"/>
                <w:u w:val="single"/>
              </w:rPr>
              <w:t>Safety:</w:t>
            </w:r>
            <w:r w:rsidRPr="43734B83">
              <w:rPr>
                <w:rFonts w:eastAsia="Calibri" w:cs="Calibri"/>
              </w:rPr>
              <w:t xml:space="preserve"> Adverse events</w:t>
            </w:r>
            <w:r w:rsidR="004A1A7E">
              <w:rPr>
                <w:rFonts w:eastAsia="Calibri" w:cs="Calibri"/>
              </w:rPr>
              <w:t xml:space="preserve"> m</w:t>
            </w:r>
            <w:r w:rsidRPr="43734B83">
              <w:rPr>
                <w:rFonts w:eastAsia="Calibri" w:cs="Calibri"/>
              </w:rPr>
              <w:t>easured for 4 weeks</w:t>
            </w:r>
          </w:p>
        </w:tc>
      </w:tr>
      <w:tr w:rsidR="43734B83" w:rsidTr="6576DA45">
        <w:tc>
          <w:tcPr>
            <w:tcW w:w="1350" w:type="dxa"/>
          </w:tcPr>
          <w:p w:rsidR="43734B83" w:rsidRDefault="43734B83">
            <w:r w:rsidRPr="43734B83">
              <w:rPr>
                <w:rFonts w:eastAsia="Calibri" w:cs="Calibri"/>
              </w:rPr>
              <w:t xml:space="preserve">Jorenby </w:t>
            </w:r>
            <w:r w:rsidR="009C4EF2">
              <w:rPr>
                <w:rFonts w:eastAsia="Calibri" w:cs="Calibri"/>
              </w:rPr>
              <w:t>(</w:t>
            </w:r>
            <w:r w:rsidRPr="43734B83">
              <w:rPr>
                <w:rFonts w:eastAsia="Calibri" w:cs="Calibri"/>
              </w:rPr>
              <w:t>1999</w:t>
            </w:r>
            <w:r w:rsidR="009C4EF2">
              <w:rPr>
                <w:rFonts w:eastAsia="Calibri" w:cs="Calibri"/>
              </w:rPr>
              <w:t>)</w:t>
            </w:r>
          </w:p>
        </w:tc>
        <w:tc>
          <w:tcPr>
            <w:tcW w:w="1035" w:type="dxa"/>
          </w:tcPr>
          <w:p w:rsidR="43734B83" w:rsidRDefault="43734B83">
            <w:r w:rsidRPr="43734B83">
              <w:rPr>
                <w:rFonts w:eastAsia="Calibri" w:cs="Calibri"/>
              </w:rPr>
              <w:t>RCT</w:t>
            </w:r>
          </w:p>
        </w:tc>
        <w:tc>
          <w:tcPr>
            <w:tcW w:w="1095" w:type="dxa"/>
          </w:tcPr>
          <w:p w:rsidR="43734B83" w:rsidRDefault="43734B83">
            <w:r w:rsidRPr="43734B83">
              <w:rPr>
                <w:rFonts w:eastAsia="Calibri" w:cs="Calibri"/>
              </w:rPr>
              <w:t>USA</w:t>
            </w:r>
          </w:p>
        </w:tc>
        <w:tc>
          <w:tcPr>
            <w:tcW w:w="930" w:type="dxa"/>
          </w:tcPr>
          <w:p w:rsidR="43734B83" w:rsidRDefault="00F2109D">
            <w:r>
              <w:rPr>
                <w:rFonts w:eastAsia="Calibri" w:cs="Calibri"/>
              </w:rPr>
              <w:t>N=</w:t>
            </w:r>
            <w:r w:rsidR="43734B83" w:rsidRPr="43734B83">
              <w:rPr>
                <w:rFonts w:eastAsia="Calibri" w:cs="Calibri"/>
              </w:rPr>
              <w:t>893</w:t>
            </w:r>
          </w:p>
        </w:tc>
        <w:tc>
          <w:tcPr>
            <w:tcW w:w="3405" w:type="dxa"/>
          </w:tcPr>
          <w:p w:rsidR="43734B83" w:rsidRDefault="43734B83">
            <w:r w:rsidRPr="43734B83">
              <w:rPr>
                <w:rFonts w:eastAsia="Calibri" w:cs="Calibri"/>
              </w:rPr>
              <w:t>Smokers; 52% female; average age 43; average cigarettes per day 25</w:t>
            </w:r>
          </w:p>
        </w:tc>
        <w:tc>
          <w:tcPr>
            <w:tcW w:w="4020" w:type="dxa"/>
          </w:tcPr>
          <w:p w:rsidR="43734B83" w:rsidRDefault="43734B83" w:rsidP="00C324F3">
            <w:pPr>
              <w:pStyle w:val="ListParagraph"/>
              <w:numPr>
                <w:ilvl w:val="0"/>
                <w:numId w:val="252"/>
              </w:numPr>
              <w:rPr>
                <w:rFonts w:eastAsia="Calibri" w:cs="Calibri"/>
              </w:rPr>
            </w:pPr>
            <w:r w:rsidRPr="43734B83">
              <w:t>Nicotine patch and bupropion SR. Nicotine patch dosing and schedule 24 hr, 21 mg for 6 weeks, tapered for 2 weeks. Bupropion dosing and schedule was 300 mg for 9 weeks from 1 week before quit day</w:t>
            </w:r>
          </w:p>
          <w:p w:rsidR="43734B83" w:rsidRDefault="43734B83" w:rsidP="00C324F3">
            <w:pPr>
              <w:pStyle w:val="ListParagraph"/>
              <w:numPr>
                <w:ilvl w:val="0"/>
                <w:numId w:val="252"/>
              </w:numPr>
              <w:rPr>
                <w:rFonts w:eastAsia="Calibri" w:cs="Calibri"/>
              </w:rPr>
            </w:pPr>
            <w:r w:rsidRPr="43734B83">
              <w:t>Bupropion and placebo patch</w:t>
            </w:r>
          </w:p>
          <w:p w:rsidR="43734B83" w:rsidRDefault="43734B83" w:rsidP="00C324F3">
            <w:pPr>
              <w:pStyle w:val="ListParagraph"/>
              <w:numPr>
                <w:ilvl w:val="0"/>
                <w:numId w:val="252"/>
              </w:numPr>
              <w:rPr>
                <w:rFonts w:eastAsia="Calibri" w:cs="Calibri"/>
              </w:rPr>
            </w:pPr>
            <w:r w:rsidRPr="43734B83">
              <w:t>Nicotine patch and placebo tablets</w:t>
            </w:r>
          </w:p>
          <w:p w:rsidR="43734B83" w:rsidRDefault="43734B83" w:rsidP="00C324F3">
            <w:pPr>
              <w:pStyle w:val="ListParagraph"/>
              <w:numPr>
                <w:ilvl w:val="0"/>
                <w:numId w:val="252"/>
              </w:numPr>
              <w:rPr>
                <w:rFonts w:eastAsia="Calibri" w:cs="Calibri"/>
              </w:rPr>
            </w:pPr>
            <w:r w:rsidRPr="43734B83">
              <w:t>Placebo patch and placebo tablets</w:t>
            </w:r>
          </w:p>
          <w:p w:rsidR="43734B83" w:rsidRDefault="43734B83">
            <w:r w:rsidRPr="43734B83">
              <w:rPr>
                <w:rFonts w:eastAsia="Calibri" w:cs="Calibri"/>
              </w:rPr>
              <w:t xml:space="preserve"> </w:t>
            </w:r>
          </w:p>
          <w:p w:rsidR="43734B83" w:rsidRDefault="43734B83">
            <w:r w:rsidRPr="00791D84">
              <w:rPr>
                <w:rFonts w:eastAsia="Calibri" w:cs="Calibri"/>
                <w:u w:val="single"/>
              </w:rPr>
              <w:t>Common components:</w:t>
            </w:r>
            <w:r w:rsidRPr="43734B83">
              <w:rPr>
                <w:rFonts w:eastAsia="Calibri" w:cs="Calibri"/>
              </w:rPr>
              <w:t xml:space="preserve"> brief (&lt; 15 min) individual counselling session at each weekly assessment. One telephone call 3 days after quit day</w:t>
            </w:r>
          </w:p>
        </w:tc>
        <w:tc>
          <w:tcPr>
            <w:tcW w:w="2254" w:type="dxa"/>
          </w:tcPr>
          <w:p w:rsidR="43734B83" w:rsidRDefault="43734B83">
            <w:r w:rsidRPr="004A1A7E">
              <w:rPr>
                <w:rFonts w:eastAsia="Calibri" w:cs="Calibri"/>
                <w:u w:val="single"/>
              </w:rPr>
              <w:t>Efficacy:</w:t>
            </w:r>
            <w:r w:rsidRPr="43734B83">
              <w:rPr>
                <w:rFonts w:eastAsia="Calibri" w:cs="Calibri"/>
              </w:rPr>
              <w:t xml:space="preserve"> Smoking cessation. Continuous PPA at 12 months. Validated by CO &lt; 10 ppm at each clinic visit</w:t>
            </w:r>
          </w:p>
          <w:p w:rsidR="43734B83" w:rsidRDefault="43734B83">
            <w:r w:rsidRPr="43734B83">
              <w:rPr>
                <w:rFonts w:eastAsia="Calibri" w:cs="Calibri"/>
              </w:rPr>
              <w:t xml:space="preserve"> </w:t>
            </w:r>
          </w:p>
          <w:p w:rsidR="43734B83" w:rsidRDefault="43734B83">
            <w:r w:rsidRPr="004A1A7E">
              <w:rPr>
                <w:rFonts w:eastAsia="Calibri" w:cs="Calibri"/>
                <w:u w:val="single"/>
              </w:rPr>
              <w:t>Safety:</w:t>
            </w:r>
            <w:r w:rsidRPr="43734B83">
              <w:rPr>
                <w:rFonts w:eastAsia="Calibri" w:cs="Calibri"/>
              </w:rPr>
              <w:t xml:space="preserve"> Adverse events</w:t>
            </w:r>
            <w:r w:rsidR="002B490C">
              <w:rPr>
                <w:rFonts w:eastAsia="Calibri" w:cs="Calibri"/>
              </w:rPr>
              <w:t xml:space="preserve"> m</w:t>
            </w:r>
            <w:r w:rsidRPr="43734B83">
              <w:rPr>
                <w:rFonts w:eastAsia="Calibri" w:cs="Calibri"/>
              </w:rPr>
              <w:t>easured for unspecified period</w:t>
            </w:r>
          </w:p>
        </w:tc>
      </w:tr>
      <w:tr w:rsidR="43734B83" w:rsidTr="6576DA45">
        <w:tc>
          <w:tcPr>
            <w:tcW w:w="1350" w:type="dxa"/>
          </w:tcPr>
          <w:p w:rsidR="43734B83" w:rsidRDefault="43734B83">
            <w:r w:rsidRPr="00AB757C">
              <w:rPr>
                <w:rFonts w:eastAsia="Calibri" w:cs="Calibri"/>
              </w:rPr>
              <w:t xml:space="preserve">Kalman </w:t>
            </w:r>
            <w:r w:rsidR="009C4EF2">
              <w:rPr>
                <w:rFonts w:eastAsia="Calibri" w:cs="Calibri"/>
              </w:rPr>
              <w:t>(</w:t>
            </w:r>
            <w:r w:rsidRPr="00AB757C">
              <w:rPr>
                <w:rFonts w:eastAsia="Calibri" w:cs="Calibri"/>
              </w:rPr>
              <w:t>2011</w:t>
            </w:r>
            <w:r w:rsidR="009C4EF2">
              <w:rPr>
                <w:rFonts w:eastAsia="Calibri" w:cs="Calibri"/>
              </w:rPr>
              <w:t>)</w:t>
            </w:r>
          </w:p>
        </w:tc>
        <w:tc>
          <w:tcPr>
            <w:tcW w:w="1035" w:type="dxa"/>
          </w:tcPr>
          <w:p w:rsidR="43734B83" w:rsidRDefault="43734B83">
            <w:r w:rsidRPr="43734B83">
              <w:rPr>
                <w:rFonts w:eastAsia="Calibri" w:cs="Calibri"/>
              </w:rPr>
              <w:t>RCT</w:t>
            </w:r>
          </w:p>
        </w:tc>
        <w:tc>
          <w:tcPr>
            <w:tcW w:w="1095" w:type="dxa"/>
          </w:tcPr>
          <w:p w:rsidR="43734B83" w:rsidRDefault="43734B83">
            <w:r w:rsidRPr="43734B83">
              <w:rPr>
                <w:rFonts w:eastAsia="Calibri" w:cs="Calibri"/>
              </w:rPr>
              <w:t>USA</w:t>
            </w:r>
          </w:p>
        </w:tc>
        <w:tc>
          <w:tcPr>
            <w:tcW w:w="930" w:type="dxa"/>
          </w:tcPr>
          <w:p w:rsidR="43734B83" w:rsidRDefault="00F2109D">
            <w:r>
              <w:rPr>
                <w:rFonts w:eastAsia="Calibri" w:cs="Calibri"/>
              </w:rPr>
              <w:t>N=</w:t>
            </w:r>
            <w:r w:rsidR="43734B83" w:rsidRPr="43734B83">
              <w:rPr>
                <w:rFonts w:eastAsia="Calibri" w:cs="Calibri"/>
              </w:rPr>
              <w:t>143</w:t>
            </w:r>
          </w:p>
        </w:tc>
        <w:tc>
          <w:tcPr>
            <w:tcW w:w="3405" w:type="dxa"/>
          </w:tcPr>
          <w:p w:rsidR="43734B83" w:rsidRDefault="43734B83">
            <w:r w:rsidRPr="43734B83">
              <w:rPr>
                <w:rFonts w:eastAsia="Calibri" w:cs="Calibri"/>
              </w:rPr>
              <w:t>Smokers with 2 to 12 months alcohol abstinence, with history of alcohol abuse or dependence; mean age 49; 17% female; average cigarettes per day 20.8; mean FTND 5.9</w:t>
            </w:r>
          </w:p>
        </w:tc>
        <w:tc>
          <w:tcPr>
            <w:tcW w:w="4020" w:type="dxa"/>
          </w:tcPr>
          <w:p w:rsidR="43734B83" w:rsidRDefault="43734B83" w:rsidP="00C324F3">
            <w:pPr>
              <w:pStyle w:val="ListParagraph"/>
              <w:numPr>
                <w:ilvl w:val="0"/>
                <w:numId w:val="251"/>
              </w:numPr>
              <w:rPr>
                <w:rFonts w:eastAsia="Calibri" w:cs="Calibri"/>
              </w:rPr>
            </w:pPr>
            <w:r w:rsidRPr="43734B83">
              <w:t>Bupropion, 8 weeks (started 1 week before TQD, first 3 days 150 mg/day, rest of period 2 x 150 mg/day)</w:t>
            </w:r>
          </w:p>
          <w:p w:rsidR="43734B83" w:rsidRDefault="43734B83" w:rsidP="00C324F3">
            <w:pPr>
              <w:pStyle w:val="ListParagraph"/>
              <w:numPr>
                <w:ilvl w:val="0"/>
                <w:numId w:val="251"/>
              </w:numPr>
              <w:rPr>
                <w:rFonts w:eastAsia="Calibri" w:cs="Calibri"/>
              </w:rPr>
            </w:pPr>
            <w:r w:rsidRPr="43734B83">
              <w:t>Placebo, same schedule as above</w:t>
            </w:r>
          </w:p>
          <w:p w:rsidR="43734B83" w:rsidRDefault="43734B83">
            <w:r w:rsidRPr="43734B83">
              <w:rPr>
                <w:rFonts w:eastAsia="Calibri" w:cs="Calibri"/>
              </w:rPr>
              <w:t xml:space="preserve"> </w:t>
            </w:r>
          </w:p>
          <w:p w:rsidR="43734B83" w:rsidRDefault="43734B83">
            <w:r w:rsidRPr="00791D84">
              <w:rPr>
                <w:rFonts w:eastAsia="Calibri" w:cs="Calibri"/>
                <w:u w:val="single"/>
              </w:rPr>
              <w:t>Common components:</w:t>
            </w:r>
            <w:r w:rsidRPr="43734B83">
              <w:rPr>
                <w:rFonts w:eastAsia="Calibri" w:cs="Calibri"/>
              </w:rPr>
              <w:t xml:space="preserve"> nicotine patch (7 weeks starting on TQD; 21 mg weeks 1-4, 14 mg weeks 5-6, 7 mg week 7) and 8 weekly counselling sessions starting 1 week before TQD (one-to-one sessions based on CBT and MI)</w:t>
            </w:r>
          </w:p>
        </w:tc>
        <w:tc>
          <w:tcPr>
            <w:tcW w:w="2254" w:type="dxa"/>
          </w:tcPr>
          <w:p w:rsidR="43734B83" w:rsidRDefault="43734B83">
            <w:r w:rsidRPr="004A1A7E">
              <w:rPr>
                <w:rFonts w:eastAsia="Calibri" w:cs="Calibri"/>
                <w:u w:val="single"/>
              </w:rPr>
              <w:t>Efficacy:</w:t>
            </w:r>
            <w:r w:rsidRPr="43734B83">
              <w:rPr>
                <w:rFonts w:eastAsia="Calibri" w:cs="Calibri"/>
              </w:rPr>
              <w:t xml:space="preserve"> Smoking cessation. Prolonged abstinence at 24 weeks (no smoking after first 2 weeks after TQD). Validated by salivary cotinine ≤ 15 ng/mL</w:t>
            </w:r>
          </w:p>
          <w:p w:rsidR="43734B83" w:rsidRDefault="43734B83">
            <w:r w:rsidRPr="43734B83">
              <w:rPr>
                <w:rFonts w:eastAsia="Calibri" w:cs="Calibri"/>
              </w:rPr>
              <w:t xml:space="preserve"> </w:t>
            </w:r>
          </w:p>
          <w:p w:rsidR="43734B83" w:rsidRDefault="43734B83">
            <w:r w:rsidRPr="004A1A7E">
              <w:rPr>
                <w:rFonts w:eastAsia="Calibri" w:cs="Calibri"/>
                <w:u w:val="single"/>
              </w:rPr>
              <w:t>Safety:</w:t>
            </w:r>
            <w:r w:rsidRPr="43734B83">
              <w:rPr>
                <w:rFonts w:eastAsia="Calibri" w:cs="Calibri"/>
              </w:rPr>
              <w:t xml:space="preserve"> Adverse events measured for unspecified period</w:t>
            </w:r>
          </w:p>
        </w:tc>
      </w:tr>
      <w:tr w:rsidR="43734B83" w:rsidTr="6576DA45">
        <w:tc>
          <w:tcPr>
            <w:tcW w:w="1350" w:type="dxa"/>
          </w:tcPr>
          <w:p w:rsidR="43734B83" w:rsidRPr="00AB757C" w:rsidRDefault="43734B83">
            <w:pPr>
              <w:rPr>
                <w:rFonts w:eastAsia="Calibri" w:cs="Calibri"/>
              </w:rPr>
            </w:pPr>
            <w:r w:rsidRPr="00AB757C">
              <w:rPr>
                <w:rFonts w:eastAsia="Calibri" w:cs="Calibri"/>
              </w:rPr>
              <w:lastRenderedPageBreak/>
              <w:t xml:space="preserve">Killen </w:t>
            </w:r>
            <w:r w:rsidR="00AB757C">
              <w:rPr>
                <w:rFonts w:eastAsia="Calibri" w:cs="Calibri"/>
              </w:rPr>
              <w:t>(</w:t>
            </w:r>
            <w:r w:rsidRPr="00AB757C">
              <w:rPr>
                <w:rFonts w:eastAsia="Calibri" w:cs="Calibri"/>
              </w:rPr>
              <w:t>2004</w:t>
            </w:r>
            <w:r w:rsidR="00AB757C">
              <w:rPr>
                <w:rFonts w:eastAsia="Calibri" w:cs="Calibri"/>
              </w:rPr>
              <w:t>)</w:t>
            </w:r>
          </w:p>
        </w:tc>
        <w:tc>
          <w:tcPr>
            <w:tcW w:w="1035" w:type="dxa"/>
          </w:tcPr>
          <w:p w:rsidR="43734B83" w:rsidRDefault="43734B83">
            <w:r w:rsidRPr="43734B83">
              <w:rPr>
                <w:rFonts w:eastAsia="Calibri" w:cs="Calibri"/>
              </w:rPr>
              <w:t>RCT</w:t>
            </w:r>
          </w:p>
        </w:tc>
        <w:tc>
          <w:tcPr>
            <w:tcW w:w="1095" w:type="dxa"/>
          </w:tcPr>
          <w:p w:rsidR="43734B83" w:rsidRDefault="43734B83">
            <w:r w:rsidRPr="43734B83">
              <w:rPr>
                <w:rFonts w:eastAsia="Calibri" w:cs="Calibri"/>
              </w:rPr>
              <w:t>USA</w:t>
            </w:r>
          </w:p>
        </w:tc>
        <w:tc>
          <w:tcPr>
            <w:tcW w:w="930" w:type="dxa"/>
          </w:tcPr>
          <w:p w:rsidR="43734B83" w:rsidRDefault="00F2109D">
            <w:r>
              <w:rPr>
                <w:rFonts w:eastAsia="Calibri" w:cs="Calibri"/>
              </w:rPr>
              <w:t>N=</w:t>
            </w:r>
            <w:r w:rsidR="43734B83" w:rsidRPr="43734B83">
              <w:rPr>
                <w:rFonts w:eastAsia="Calibri" w:cs="Calibri"/>
              </w:rPr>
              <w:t>211</w:t>
            </w:r>
          </w:p>
        </w:tc>
        <w:tc>
          <w:tcPr>
            <w:tcW w:w="3405" w:type="dxa"/>
          </w:tcPr>
          <w:p w:rsidR="43734B83" w:rsidRDefault="43734B83">
            <w:r w:rsidRPr="43734B83">
              <w:rPr>
                <w:rFonts w:eastAsia="Calibri" w:cs="Calibri"/>
              </w:rPr>
              <w:t>Adolescent smokers, at least 1 failed quit attempt; 31% female; average age 17; average cigarettes per day 15</w:t>
            </w:r>
          </w:p>
        </w:tc>
        <w:tc>
          <w:tcPr>
            <w:tcW w:w="4020" w:type="dxa"/>
          </w:tcPr>
          <w:p w:rsidR="43734B83" w:rsidRDefault="43734B83" w:rsidP="00C324F3">
            <w:pPr>
              <w:pStyle w:val="ListParagraph"/>
              <w:numPr>
                <w:ilvl w:val="0"/>
                <w:numId w:val="250"/>
              </w:numPr>
              <w:rPr>
                <w:rFonts w:eastAsia="Calibri" w:cs="Calibri"/>
              </w:rPr>
            </w:pPr>
            <w:r w:rsidRPr="43734B83">
              <w:t>Bupropion and nicotine patch. Bupropion at 150 mg for 9 weeks from 1 week before TQD. Nicotine patch for 8 weeks</w:t>
            </w:r>
          </w:p>
          <w:p w:rsidR="43734B83" w:rsidRDefault="43734B83" w:rsidP="00C324F3">
            <w:pPr>
              <w:pStyle w:val="ListParagraph"/>
              <w:numPr>
                <w:ilvl w:val="0"/>
                <w:numId w:val="250"/>
              </w:numPr>
              <w:rPr>
                <w:rFonts w:eastAsia="Calibri" w:cs="Calibri"/>
              </w:rPr>
            </w:pPr>
            <w:r w:rsidRPr="43734B83">
              <w:t>Placebo and nicotine patch</w:t>
            </w:r>
          </w:p>
          <w:p w:rsidR="43734B83" w:rsidRDefault="43734B83">
            <w:r w:rsidRPr="43734B83">
              <w:rPr>
                <w:rFonts w:eastAsia="Calibri" w:cs="Calibri"/>
              </w:rPr>
              <w:t xml:space="preserve"> </w:t>
            </w:r>
          </w:p>
          <w:p w:rsidR="43734B83" w:rsidRDefault="43734B83">
            <w:r w:rsidRPr="00791D84">
              <w:rPr>
                <w:rFonts w:eastAsia="Calibri" w:cs="Calibri"/>
                <w:u w:val="single"/>
              </w:rPr>
              <w:t>Common components:</w:t>
            </w:r>
            <w:r w:rsidRPr="43734B83">
              <w:rPr>
                <w:rFonts w:eastAsia="Calibri" w:cs="Calibri"/>
              </w:rPr>
              <w:t xml:space="preserve"> weekly 45-min group sessions, skills training</w:t>
            </w:r>
          </w:p>
        </w:tc>
        <w:tc>
          <w:tcPr>
            <w:tcW w:w="2254" w:type="dxa"/>
          </w:tcPr>
          <w:p w:rsidR="43734B83" w:rsidRDefault="43734B83">
            <w:r w:rsidRPr="004A1A7E">
              <w:rPr>
                <w:rFonts w:eastAsia="Calibri" w:cs="Calibri"/>
                <w:u w:val="single"/>
              </w:rPr>
              <w:t>Efficacy:</w:t>
            </w:r>
            <w:r w:rsidRPr="43734B83">
              <w:rPr>
                <w:rFonts w:eastAsia="Calibri" w:cs="Calibri"/>
              </w:rPr>
              <w:t xml:space="preserve"> Smoking abstinence. 7-day PPA at 6 months. Validated by saliva cotinine &lt; 20 ng/mL at 6 months (CO at EOT)</w:t>
            </w:r>
          </w:p>
          <w:p w:rsidR="43734B83" w:rsidRDefault="43734B83">
            <w:r w:rsidRPr="43734B83">
              <w:rPr>
                <w:rFonts w:eastAsia="Calibri" w:cs="Calibri"/>
              </w:rPr>
              <w:t xml:space="preserve"> </w:t>
            </w:r>
          </w:p>
          <w:p w:rsidR="43734B83" w:rsidRDefault="43734B83">
            <w:r w:rsidRPr="004A1A7E">
              <w:rPr>
                <w:rFonts w:eastAsia="Calibri" w:cs="Calibri"/>
                <w:u w:val="single"/>
              </w:rPr>
              <w:t>Safety:</w:t>
            </w:r>
            <w:r w:rsidRPr="43734B83">
              <w:rPr>
                <w:rFonts w:eastAsia="Calibri" w:cs="Calibri"/>
              </w:rPr>
              <w:t xml:space="preserve"> Adverse events</w:t>
            </w:r>
            <w:r w:rsidR="009F0B1A">
              <w:rPr>
                <w:rFonts w:eastAsia="Calibri" w:cs="Calibri"/>
              </w:rPr>
              <w:t xml:space="preserve"> m</w:t>
            </w:r>
            <w:r w:rsidRPr="43734B83">
              <w:rPr>
                <w:rFonts w:eastAsia="Calibri" w:cs="Calibri"/>
              </w:rPr>
              <w:t>easured for unspecified period</w:t>
            </w:r>
          </w:p>
        </w:tc>
      </w:tr>
      <w:tr w:rsidR="43734B83" w:rsidTr="6576DA45">
        <w:tc>
          <w:tcPr>
            <w:tcW w:w="1350" w:type="dxa"/>
          </w:tcPr>
          <w:p w:rsidR="43734B83" w:rsidRPr="00AB757C" w:rsidRDefault="43734B83">
            <w:pPr>
              <w:rPr>
                <w:rFonts w:eastAsia="Calibri" w:cs="Calibri"/>
              </w:rPr>
            </w:pPr>
            <w:r w:rsidRPr="00AB757C">
              <w:rPr>
                <w:rFonts w:eastAsia="Calibri" w:cs="Calibri"/>
              </w:rPr>
              <w:t xml:space="preserve">Rose </w:t>
            </w:r>
            <w:r w:rsidR="00AB757C">
              <w:rPr>
                <w:rFonts w:eastAsia="Calibri" w:cs="Calibri"/>
              </w:rPr>
              <w:t>(</w:t>
            </w:r>
            <w:r w:rsidRPr="00AB757C">
              <w:rPr>
                <w:rFonts w:eastAsia="Calibri" w:cs="Calibri"/>
              </w:rPr>
              <w:t>2013</w:t>
            </w:r>
            <w:r w:rsidR="00AB757C">
              <w:rPr>
                <w:rFonts w:eastAsia="Calibri" w:cs="Calibri"/>
              </w:rPr>
              <w:t>)</w:t>
            </w:r>
          </w:p>
        </w:tc>
        <w:tc>
          <w:tcPr>
            <w:tcW w:w="1035" w:type="dxa"/>
          </w:tcPr>
          <w:p w:rsidR="43734B83" w:rsidRDefault="43734B83">
            <w:r w:rsidRPr="43734B83">
              <w:rPr>
                <w:rFonts w:eastAsia="Calibri" w:cs="Calibri"/>
              </w:rPr>
              <w:t>RCT</w:t>
            </w:r>
          </w:p>
        </w:tc>
        <w:tc>
          <w:tcPr>
            <w:tcW w:w="1095" w:type="dxa"/>
          </w:tcPr>
          <w:p w:rsidR="43734B83" w:rsidRDefault="43734B83">
            <w:r w:rsidRPr="43734B83">
              <w:rPr>
                <w:rFonts w:eastAsia="Calibri" w:cs="Calibri"/>
              </w:rPr>
              <w:t>USA</w:t>
            </w:r>
          </w:p>
        </w:tc>
        <w:tc>
          <w:tcPr>
            <w:tcW w:w="930" w:type="dxa"/>
          </w:tcPr>
          <w:p w:rsidR="43734B83" w:rsidRDefault="00F2109D">
            <w:r>
              <w:rPr>
                <w:rFonts w:eastAsia="Calibri" w:cs="Calibri"/>
              </w:rPr>
              <w:t>N=</w:t>
            </w:r>
            <w:r w:rsidR="43734B83" w:rsidRPr="43734B83">
              <w:rPr>
                <w:rFonts w:eastAsia="Calibri" w:cs="Calibri"/>
              </w:rPr>
              <w:t>440</w:t>
            </w:r>
          </w:p>
        </w:tc>
        <w:tc>
          <w:tcPr>
            <w:tcW w:w="3405" w:type="dxa"/>
          </w:tcPr>
          <w:p w:rsidR="43734B83" w:rsidRDefault="43734B83">
            <w:r w:rsidRPr="43734B83">
              <w:rPr>
                <w:rFonts w:eastAsia="Calibri" w:cs="Calibri"/>
              </w:rPr>
              <w:t>Smokers who did not respond successfully to cessation treatment with NRT (phase 1 = 335 participants whose smoking did not decrease by &gt; 50% after 1-week NRT (prior to TQD); phase 2 = 105 participants who lapsed within one week after TQD); 50% female; average age 43; average cigarettes per day 22; mean FTND 5.8</w:t>
            </w:r>
          </w:p>
        </w:tc>
        <w:tc>
          <w:tcPr>
            <w:tcW w:w="4020" w:type="dxa"/>
          </w:tcPr>
          <w:p w:rsidR="43734B83" w:rsidRDefault="43734B83" w:rsidP="00C324F3">
            <w:pPr>
              <w:pStyle w:val="ListParagraph"/>
              <w:numPr>
                <w:ilvl w:val="0"/>
                <w:numId w:val="249"/>
              </w:numPr>
              <w:rPr>
                <w:rFonts w:eastAsia="Calibri" w:cs="Calibri"/>
              </w:rPr>
            </w:pPr>
            <w:r w:rsidRPr="43734B83">
              <w:t>Bupropion and nicotine patch. Bupropion for 12 weeks (150 mg/day for 3 days, 300 mg/d for remainder). Nicotine patch (patch dose based on CO, 21 mg/day for CO ≤ 30 ppm, 42 mg/day for CO &gt; 30 ppm)</w:t>
            </w:r>
          </w:p>
          <w:p w:rsidR="43734B83" w:rsidRDefault="43734B83" w:rsidP="00C324F3">
            <w:pPr>
              <w:pStyle w:val="ListParagraph"/>
              <w:numPr>
                <w:ilvl w:val="0"/>
                <w:numId w:val="249"/>
              </w:numPr>
              <w:rPr>
                <w:rFonts w:eastAsia="Calibri" w:cs="Calibri"/>
              </w:rPr>
            </w:pPr>
            <w:r w:rsidRPr="43734B83">
              <w:t>Placebo and nicotine patch. Dosing as above</w:t>
            </w:r>
          </w:p>
          <w:p w:rsidR="43734B83" w:rsidRDefault="43734B83">
            <w:r w:rsidRPr="43734B83">
              <w:rPr>
                <w:rFonts w:eastAsia="Calibri" w:cs="Calibri"/>
              </w:rPr>
              <w:t xml:space="preserve"> </w:t>
            </w:r>
          </w:p>
          <w:p w:rsidR="43734B83" w:rsidRDefault="43734B83">
            <w:r w:rsidRPr="00791D84">
              <w:rPr>
                <w:rFonts w:eastAsia="Calibri" w:cs="Calibri"/>
                <w:u w:val="single"/>
              </w:rPr>
              <w:t>Common components:</w:t>
            </w:r>
            <w:r w:rsidRPr="43734B83">
              <w:rPr>
                <w:rFonts w:eastAsia="Calibri" w:cs="Calibri"/>
              </w:rPr>
              <w:t xml:space="preserve"> cessation programme with nicotine patch (discontinued after 1 week in Phase 1 varenicline arm) and 4 to 6 brief (&lt; 15 mins) counselling sessions</w:t>
            </w:r>
          </w:p>
        </w:tc>
        <w:tc>
          <w:tcPr>
            <w:tcW w:w="2254" w:type="dxa"/>
          </w:tcPr>
          <w:p w:rsidR="43734B83" w:rsidRDefault="43734B83">
            <w:r w:rsidRPr="004A1A7E">
              <w:rPr>
                <w:rFonts w:eastAsia="Calibri" w:cs="Calibri"/>
                <w:u w:val="single"/>
              </w:rPr>
              <w:t>Efficacy:</w:t>
            </w:r>
            <w:r w:rsidRPr="43734B83">
              <w:rPr>
                <w:rFonts w:eastAsia="Calibri" w:cs="Calibri"/>
              </w:rPr>
              <w:t xml:space="preserve"> Smoking cessation: continuous abstinence at 6 months. Validated by CO ≤ 10 ppm</w:t>
            </w:r>
          </w:p>
          <w:p w:rsidR="43734B83" w:rsidRDefault="43734B83">
            <w:r w:rsidRPr="43734B83">
              <w:rPr>
                <w:rFonts w:eastAsia="Calibri" w:cs="Calibri"/>
              </w:rPr>
              <w:t xml:space="preserve"> </w:t>
            </w:r>
          </w:p>
          <w:p w:rsidR="43734B83" w:rsidRDefault="43734B83">
            <w:r w:rsidRPr="004A1A7E">
              <w:rPr>
                <w:rFonts w:eastAsia="Calibri" w:cs="Calibri"/>
                <w:u w:val="single"/>
              </w:rPr>
              <w:t>Safety:</w:t>
            </w:r>
            <w:r w:rsidRPr="43734B83">
              <w:rPr>
                <w:rFonts w:eastAsia="Calibri" w:cs="Calibri"/>
              </w:rPr>
              <w:t xml:space="preserve"> Adverse events</w:t>
            </w:r>
          </w:p>
        </w:tc>
      </w:tr>
      <w:tr w:rsidR="43734B83" w:rsidTr="6576DA45">
        <w:tc>
          <w:tcPr>
            <w:tcW w:w="1350" w:type="dxa"/>
          </w:tcPr>
          <w:p w:rsidR="43734B83" w:rsidRPr="00AB757C" w:rsidRDefault="43734B83">
            <w:pPr>
              <w:rPr>
                <w:rFonts w:eastAsia="Calibri" w:cs="Calibri"/>
              </w:rPr>
            </w:pPr>
            <w:r w:rsidRPr="00AB757C">
              <w:rPr>
                <w:rFonts w:eastAsia="Calibri" w:cs="Calibri"/>
              </w:rPr>
              <w:t xml:space="preserve">Schnoll </w:t>
            </w:r>
            <w:r w:rsidR="00AB757C">
              <w:rPr>
                <w:rFonts w:eastAsia="Calibri" w:cs="Calibri"/>
              </w:rPr>
              <w:t>(</w:t>
            </w:r>
            <w:r w:rsidRPr="00AB757C">
              <w:rPr>
                <w:rFonts w:eastAsia="Calibri" w:cs="Calibri"/>
              </w:rPr>
              <w:t>2010</w:t>
            </w:r>
            <w:r w:rsidR="00AB757C">
              <w:rPr>
                <w:rFonts w:eastAsia="Calibri" w:cs="Calibri"/>
              </w:rPr>
              <w:t>)</w:t>
            </w:r>
          </w:p>
        </w:tc>
        <w:tc>
          <w:tcPr>
            <w:tcW w:w="1035" w:type="dxa"/>
          </w:tcPr>
          <w:p w:rsidR="43734B83" w:rsidRDefault="43734B83">
            <w:r w:rsidRPr="43734B83">
              <w:rPr>
                <w:rFonts w:eastAsia="Calibri" w:cs="Calibri"/>
              </w:rPr>
              <w:t>RCT</w:t>
            </w:r>
          </w:p>
        </w:tc>
        <w:tc>
          <w:tcPr>
            <w:tcW w:w="1095" w:type="dxa"/>
          </w:tcPr>
          <w:p w:rsidR="43734B83" w:rsidRDefault="43734B83">
            <w:r w:rsidRPr="43734B83">
              <w:rPr>
                <w:rFonts w:eastAsia="Calibri" w:cs="Calibri"/>
              </w:rPr>
              <w:t>USA</w:t>
            </w:r>
          </w:p>
        </w:tc>
        <w:tc>
          <w:tcPr>
            <w:tcW w:w="930" w:type="dxa"/>
          </w:tcPr>
          <w:p w:rsidR="43734B83" w:rsidRDefault="00F2109D">
            <w:r>
              <w:rPr>
                <w:rFonts w:eastAsia="Calibri" w:cs="Calibri"/>
              </w:rPr>
              <w:t>N=</w:t>
            </w:r>
            <w:r w:rsidR="43734B83" w:rsidRPr="43734B83">
              <w:rPr>
                <w:rFonts w:eastAsia="Calibri" w:cs="Calibri"/>
              </w:rPr>
              <w:t>246</w:t>
            </w:r>
          </w:p>
        </w:tc>
        <w:tc>
          <w:tcPr>
            <w:tcW w:w="3405" w:type="dxa"/>
          </w:tcPr>
          <w:p w:rsidR="43734B83" w:rsidRDefault="43734B83">
            <w:r w:rsidRPr="43734B83">
              <w:rPr>
                <w:rFonts w:eastAsia="Calibri" w:cs="Calibri"/>
              </w:rPr>
              <w:t>Cancer patients smoking ≥ 2 cigarettes per day; 48% female; average age 54.8; average cigarettes per day 17.5; mean FTND 3.2; 32% had tobacco-related tumours</w:t>
            </w:r>
          </w:p>
        </w:tc>
        <w:tc>
          <w:tcPr>
            <w:tcW w:w="4020" w:type="dxa"/>
          </w:tcPr>
          <w:p w:rsidR="43734B83" w:rsidRDefault="43734B83" w:rsidP="00C324F3">
            <w:pPr>
              <w:pStyle w:val="ListParagraph"/>
              <w:numPr>
                <w:ilvl w:val="0"/>
                <w:numId w:val="248"/>
              </w:numPr>
              <w:rPr>
                <w:rFonts w:eastAsia="Calibri" w:cs="Calibri"/>
              </w:rPr>
            </w:pPr>
            <w:r w:rsidRPr="43734B83">
              <w:t>Bupropion 9 weeks, started 2 weeks before TQD (150 mg/d first week, 300 mg/d remaining 8 weeks</w:t>
            </w:r>
          </w:p>
          <w:p w:rsidR="43734B83" w:rsidRDefault="43734B83" w:rsidP="00C324F3">
            <w:pPr>
              <w:pStyle w:val="ListParagraph"/>
              <w:numPr>
                <w:ilvl w:val="0"/>
                <w:numId w:val="248"/>
              </w:numPr>
              <w:rPr>
                <w:rFonts w:eastAsia="Calibri" w:cs="Calibri"/>
              </w:rPr>
            </w:pPr>
            <w:r w:rsidRPr="43734B83">
              <w:t>Placebo, same schedule as above</w:t>
            </w:r>
          </w:p>
          <w:p w:rsidR="43734B83" w:rsidRDefault="43734B83">
            <w:r w:rsidRPr="43734B83">
              <w:rPr>
                <w:rFonts w:eastAsia="Calibri" w:cs="Calibri"/>
              </w:rPr>
              <w:t xml:space="preserve"> </w:t>
            </w:r>
          </w:p>
          <w:p w:rsidR="43734B83" w:rsidRDefault="43734B83">
            <w:r w:rsidRPr="00791D84">
              <w:rPr>
                <w:rFonts w:eastAsia="Calibri" w:cs="Calibri"/>
                <w:u w:val="single"/>
              </w:rPr>
              <w:t>Common components:</w:t>
            </w:r>
            <w:r w:rsidRPr="43734B83">
              <w:rPr>
                <w:rFonts w:eastAsia="Calibri" w:cs="Calibri"/>
              </w:rPr>
              <w:t xml:space="preserve"> 8 weeks nicotine patches and 5 sessions of behavioural counselling (3 in person, 2 over phone)</w:t>
            </w:r>
          </w:p>
        </w:tc>
        <w:tc>
          <w:tcPr>
            <w:tcW w:w="2254" w:type="dxa"/>
          </w:tcPr>
          <w:p w:rsidR="43734B83" w:rsidRDefault="43734B83">
            <w:r w:rsidRPr="004A1A7E">
              <w:rPr>
                <w:rFonts w:eastAsia="Calibri" w:cs="Calibri"/>
                <w:u w:val="single"/>
              </w:rPr>
              <w:t>Efficacy:</w:t>
            </w:r>
            <w:r w:rsidRPr="43734B83">
              <w:rPr>
                <w:rFonts w:eastAsia="Calibri" w:cs="Calibri"/>
              </w:rPr>
              <w:t xml:space="preserve"> Smoking cessation. 7-day PPA at 6 months. Validated by CO ≤ 10 ppm</w:t>
            </w:r>
          </w:p>
          <w:p w:rsidR="43734B83" w:rsidRDefault="43734B83">
            <w:r w:rsidRPr="43734B83">
              <w:rPr>
                <w:rFonts w:eastAsia="Calibri" w:cs="Calibri"/>
              </w:rPr>
              <w:t xml:space="preserve"> </w:t>
            </w:r>
          </w:p>
          <w:p w:rsidR="43734B83" w:rsidRDefault="43734B83">
            <w:r w:rsidRPr="004A1A7E">
              <w:rPr>
                <w:rFonts w:eastAsia="Calibri" w:cs="Calibri"/>
                <w:u w:val="single"/>
              </w:rPr>
              <w:t>Safety:</w:t>
            </w:r>
            <w:r w:rsidRPr="43734B83">
              <w:rPr>
                <w:rFonts w:eastAsia="Calibri" w:cs="Calibri"/>
              </w:rPr>
              <w:t xml:space="preserve"> Adverse events measured for 9-week treatment period</w:t>
            </w:r>
          </w:p>
        </w:tc>
      </w:tr>
      <w:tr w:rsidR="43734B83" w:rsidTr="6576DA45">
        <w:tc>
          <w:tcPr>
            <w:tcW w:w="1350" w:type="dxa"/>
          </w:tcPr>
          <w:p w:rsidR="43734B83" w:rsidRPr="00AB757C" w:rsidRDefault="43734B83">
            <w:pPr>
              <w:rPr>
                <w:rFonts w:eastAsia="Calibri" w:cs="Calibri"/>
              </w:rPr>
            </w:pPr>
            <w:r w:rsidRPr="00AB757C">
              <w:rPr>
                <w:rFonts w:eastAsia="Calibri" w:cs="Calibri"/>
              </w:rPr>
              <w:t xml:space="preserve">Simon </w:t>
            </w:r>
            <w:r w:rsidR="00AB757C">
              <w:rPr>
                <w:rFonts w:eastAsia="Calibri" w:cs="Calibri"/>
              </w:rPr>
              <w:t>(</w:t>
            </w:r>
            <w:r w:rsidRPr="00AB757C">
              <w:rPr>
                <w:rFonts w:eastAsia="Calibri" w:cs="Calibri"/>
              </w:rPr>
              <w:t>2004</w:t>
            </w:r>
            <w:r w:rsidR="00AB757C">
              <w:rPr>
                <w:rFonts w:eastAsia="Calibri" w:cs="Calibri"/>
              </w:rPr>
              <w:t>)</w:t>
            </w:r>
          </w:p>
        </w:tc>
        <w:tc>
          <w:tcPr>
            <w:tcW w:w="1035" w:type="dxa"/>
          </w:tcPr>
          <w:p w:rsidR="43734B83" w:rsidRDefault="43734B83">
            <w:r w:rsidRPr="43734B83">
              <w:rPr>
                <w:rFonts w:eastAsia="Calibri" w:cs="Calibri"/>
              </w:rPr>
              <w:t>RCT</w:t>
            </w:r>
          </w:p>
        </w:tc>
        <w:tc>
          <w:tcPr>
            <w:tcW w:w="1095" w:type="dxa"/>
          </w:tcPr>
          <w:p w:rsidR="43734B83" w:rsidRDefault="43734B83">
            <w:r w:rsidRPr="43734B83">
              <w:rPr>
                <w:rFonts w:eastAsia="Calibri" w:cs="Calibri"/>
              </w:rPr>
              <w:t>USA</w:t>
            </w:r>
          </w:p>
        </w:tc>
        <w:tc>
          <w:tcPr>
            <w:tcW w:w="930" w:type="dxa"/>
          </w:tcPr>
          <w:p w:rsidR="43734B83" w:rsidRDefault="00F2109D">
            <w:r>
              <w:rPr>
                <w:rFonts w:eastAsia="Calibri" w:cs="Calibri"/>
              </w:rPr>
              <w:t>N=</w:t>
            </w:r>
            <w:r w:rsidR="43734B83" w:rsidRPr="43734B83">
              <w:rPr>
                <w:rFonts w:eastAsia="Calibri" w:cs="Calibri"/>
              </w:rPr>
              <w:t>244</w:t>
            </w:r>
          </w:p>
        </w:tc>
        <w:tc>
          <w:tcPr>
            <w:tcW w:w="3405" w:type="dxa"/>
          </w:tcPr>
          <w:p w:rsidR="43734B83" w:rsidRDefault="43734B83">
            <w:r w:rsidRPr="43734B83">
              <w:rPr>
                <w:rFonts w:eastAsia="Calibri" w:cs="Calibri"/>
              </w:rPr>
              <w:t>Smokers, 79% veterans; 5% female; average age 50; average cigarettes per day 24</w:t>
            </w:r>
          </w:p>
        </w:tc>
        <w:tc>
          <w:tcPr>
            <w:tcW w:w="4020" w:type="dxa"/>
          </w:tcPr>
          <w:p w:rsidR="43734B83" w:rsidRDefault="43734B83" w:rsidP="00C324F3">
            <w:pPr>
              <w:pStyle w:val="ListParagraph"/>
              <w:numPr>
                <w:ilvl w:val="0"/>
                <w:numId w:val="247"/>
              </w:numPr>
              <w:rPr>
                <w:rFonts w:eastAsia="Calibri" w:cs="Calibri"/>
              </w:rPr>
            </w:pPr>
            <w:r w:rsidRPr="43734B83">
              <w:t>Bupropion and nicotine patch. Bupropion at 300 mg for 7 weeks. Nicotine patch for 2 months</w:t>
            </w:r>
          </w:p>
          <w:p w:rsidR="43734B83" w:rsidRDefault="43734B83" w:rsidP="00C324F3">
            <w:pPr>
              <w:pStyle w:val="ListParagraph"/>
              <w:numPr>
                <w:ilvl w:val="0"/>
                <w:numId w:val="247"/>
              </w:numPr>
              <w:rPr>
                <w:rFonts w:eastAsia="Calibri" w:cs="Calibri"/>
              </w:rPr>
            </w:pPr>
            <w:r w:rsidRPr="43734B83">
              <w:t>Placebo bupropion and nicotine patch. Schedules as above</w:t>
            </w:r>
          </w:p>
          <w:p w:rsidR="43734B83" w:rsidRDefault="43734B83">
            <w:r w:rsidRPr="43734B83">
              <w:rPr>
                <w:rFonts w:eastAsia="Calibri" w:cs="Calibri"/>
              </w:rPr>
              <w:lastRenderedPageBreak/>
              <w:t xml:space="preserve"> </w:t>
            </w:r>
          </w:p>
          <w:p w:rsidR="43734B83" w:rsidRDefault="43734B83">
            <w:r w:rsidRPr="00791D84">
              <w:rPr>
                <w:rFonts w:eastAsia="Calibri" w:cs="Calibri"/>
                <w:u w:val="single"/>
              </w:rPr>
              <w:t>Common components:</w:t>
            </w:r>
            <w:r w:rsidRPr="43734B83">
              <w:rPr>
                <w:rFonts w:eastAsia="Calibri" w:cs="Calibri"/>
              </w:rPr>
              <w:t xml:space="preserve"> 3 months CBT counselling, self-help materials and telephone follow-up counselling</w:t>
            </w:r>
          </w:p>
        </w:tc>
        <w:tc>
          <w:tcPr>
            <w:tcW w:w="2254" w:type="dxa"/>
          </w:tcPr>
          <w:p w:rsidR="43734B83" w:rsidRDefault="43734B83">
            <w:r w:rsidRPr="004A1A7E">
              <w:rPr>
                <w:rFonts w:eastAsia="Calibri" w:cs="Calibri"/>
                <w:u w:val="single"/>
              </w:rPr>
              <w:lastRenderedPageBreak/>
              <w:t>Efficacy:</w:t>
            </w:r>
            <w:r w:rsidRPr="43734B83">
              <w:rPr>
                <w:rFonts w:eastAsia="Calibri" w:cs="Calibri"/>
              </w:rPr>
              <w:t xml:space="preserve"> Smoking cessation. </w:t>
            </w:r>
            <w:r w:rsidR="00861C61" w:rsidRPr="43734B83">
              <w:rPr>
                <w:rFonts w:eastAsia="Calibri" w:cs="Calibri"/>
              </w:rPr>
              <w:t>Sustained</w:t>
            </w:r>
            <w:r w:rsidRPr="43734B83">
              <w:rPr>
                <w:rFonts w:eastAsia="Calibri" w:cs="Calibri"/>
              </w:rPr>
              <w:t xml:space="preserve"> abstinence at 12 months (sustained at multiple </w:t>
            </w:r>
            <w:r w:rsidRPr="43734B83">
              <w:rPr>
                <w:rFonts w:eastAsia="Calibri" w:cs="Calibri"/>
              </w:rPr>
              <w:lastRenderedPageBreak/>
              <w:t>follow ups). Validated by saliva cotinine.</w:t>
            </w:r>
          </w:p>
          <w:p w:rsidR="43734B83" w:rsidRDefault="43734B83">
            <w:r w:rsidRPr="43734B83">
              <w:rPr>
                <w:rFonts w:eastAsia="Calibri" w:cs="Calibri"/>
              </w:rPr>
              <w:t xml:space="preserve"> </w:t>
            </w:r>
          </w:p>
          <w:p w:rsidR="43734B83" w:rsidRDefault="43734B83">
            <w:r w:rsidRPr="004A1A7E">
              <w:rPr>
                <w:rFonts w:eastAsia="Calibri" w:cs="Calibri"/>
                <w:u w:val="single"/>
              </w:rPr>
              <w:t>Safety:</w:t>
            </w:r>
            <w:r w:rsidRPr="43734B83">
              <w:rPr>
                <w:rFonts w:eastAsia="Calibri" w:cs="Calibri"/>
              </w:rPr>
              <w:t xml:space="preserve"> Adverse events measured for 8 weeks</w:t>
            </w:r>
          </w:p>
        </w:tc>
      </w:tr>
      <w:tr w:rsidR="43734B83" w:rsidTr="6576DA45">
        <w:tc>
          <w:tcPr>
            <w:tcW w:w="1350" w:type="dxa"/>
          </w:tcPr>
          <w:p w:rsidR="43734B83" w:rsidRPr="00AB757C" w:rsidRDefault="43734B83">
            <w:pPr>
              <w:rPr>
                <w:rFonts w:eastAsia="Calibri" w:cs="Calibri"/>
              </w:rPr>
            </w:pPr>
            <w:r w:rsidRPr="00AB757C">
              <w:rPr>
                <w:rFonts w:eastAsia="Calibri" w:cs="Calibri"/>
              </w:rPr>
              <w:lastRenderedPageBreak/>
              <w:t xml:space="preserve">Piper </w:t>
            </w:r>
            <w:r w:rsidR="00AB757C">
              <w:rPr>
                <w:rFonts w:eastAsia="Calibri" w:cs="Calibri"/>
              </w:rPr>
              <w:t>(</w:t>
            </w:r>
            <w:r w:rsidRPr="00AB757C">
              <w:rPr>
                <w:rFonts w:eastAsia="Calibri" w:cs="Calibri"/>
              </w:rPr>
              <w:t>2009</w:t>
            </w:r>
            <w:r w:rsidR="00AB757C">
              <w:rPr>
                <w:rFonts w:eastAsia="Calibri" w:cs="Calibri"/>
              </w:rPr>
              <w:t>)</w:t>
            </w:r>
          </w:p>
        </w:tc>
        <w:tc>
          <w:tcPr>
            <w:tcW w:w="1035" w:type="dxa"/>
          </w:tcPr>
          <w:p w:rsidR="43734B83" w:rsidRDefault="43734B83">
            <w:r w:rsidRPr="43734B83">
              <w:rPr>
                <w:rFonts w:eastAsia="Calibri" w:cs="Calibri"/>
              </w:rPr>
              <w:t>RCT</w:t>
            </w:r>
          </w:p>
        </w:tc>
        <w:tc>
          <w:tcPr>
            <w:tcW w:w="1095" w:type="dxa"/>
          </w:tcPr>
          <w:p w:rsidR="43734B83" w:rsidRDefault="43734B83">
            <w:r w:rsidRPr="43734B83">
              <w:rPr>
                <w:rFonts w:eastAsia="Calibri" w:cs="Calibri"/>
              </w:rPr>
              <w:t>USA</w:t>
            </w:r>
          </w:p>
        </w:tc>
        <w:tc>
          <w:tcPr>
            <w:tcW w:w="930" w:type="dxa"/>
          </w:tcPr>
          <w:p w:rsidR="43734B83" w:rsidRDefault="00F2109D">
            <w:r>
              <w:rPr>
                <w:rFonts w:eastAsia="Calibri" w:cs="Calibri"/>
              </w:rPr>
              <w:t>N=</w:t>
            </w:r>
            <w:r w:rsidR="43734B83" w:rsidRPr="43734B83">
              <w:rPr>
                <w:rFonts w:eastAsia="Calibri" w:cs="Calibri"/>
              </w:rPr>
              <w:t>1504</w:t>
            </w:r>
          </w:p>
        </w:tc>
        <w:tc>
          <w:tcPr>
            <w:tcW w:w="3405" w:type="dxa"/>
          </w:tcPr>
          <w:p w:rsidR="43734B83" w:rsidRDefault="43734B83">
            <w:r w:rsidRPr="43734B83">
              <w:rPr>
                <w:rFonts w:eastAsia="Calibri" w:cs="Calibri"/>
              </w:rPr>
              <w:t>Smokers; 58% female; average age 45; average cigarettes per day 21.4</w:t>
            </w:r>
          </w:p>
        </w:tc>
        <w:tc>
          <w:tcPr>
            <w:tcW w:w="4020" w:type="dxa"/>
          </w:tcPr>
          <w:p w:rsidR="43734B83" w:rsidRDefault="43734B83" w:rsidP="00C324F3">
            <w:pPr>
              <w:pStyle w:val="ListParagraph"/>
              <w:numPr>
                <w:ilvl w:val="0"/>
                <w:numId w:val="246"/>
              </w:numPr>
              <w:rPr>
                <w:rFonts w:eastAsia="Calibri" w:cs="Calibri"/>
              </w:rPr>
            </w:pPr>
            <w:r w:rsidRPr="43734B83">
              <w:t>Bupropion SR. 150 mg twice/day, 1 week pre-quit, 8 weeks post-quit</w:t>
            </w:r>
          </w:p>
          <w:p w:rsidR="43734B83" w:rsidRDefault="43734B83" w:rsidP="00C324F3">
            <w:pPr>
              <w:pStyle w:val="ListParagraph"/>
              <w:numPr>
                <w:ilvl w:val="0"/>
                <w:numId w:val="246"/>
              </w:numPr>
              <w:rPr>
                <w:rFonts w:eastAsia="Calibri" w:cs="Calibri"/>
              </w:rPr>
            </w:pPr>
            <w:r w:rsidRPr="43734B83">
              <w:t>Bupropion and nicotine lozenge. Duration and dosage as below</w:t>
            </w:r>
          </w:p>
          <w:p w:rsidR="43734B83" w:rsidRDefault="43734B83" w:rsidP="00C324F3">
            <w:pPr>
              <w:pStyle w:val="ListParagraph"/>
              <w:numPr>
                <w:ilvl w:val="0"/>
                <w:numId w:val="246"/>
              </w:numPr>
              <w:rPr>
                <w:rFonts w:eastAsia="Calibri" w:cs="Calibri"/>
              </w:rPr>
            </w:pPr>
            <w:r w:rsidRPr="43734B83">
              <w:t>Nicotine lozenge. 2 mg or 4 mg for 12 weeks (based on dose-for-dependence level as per instructions)</w:t>
            </w:r>
          </w:p>
          <w:p w:rsidR="43734B83" w:rsidRDefault="43734B83" w:rsidP="00C324F3">
            <w:pPr>
              <w:pStyle w:val="ListParagraph"/>
              <w:numPr>
                <w:ilvl w:val="0"/>
                <w:numId w:val="246"/>
              </w:numPr>
              <w:rPr>
                <w:rFonts w:eastAsia="Calibri" w:cs="Calibri"/>
              </w:rPr>
            </w:pPr>
            <w:r w:rsidRPr="43734B83">
              <w:t>Nicotine patch (24 hr, 21, 14, and 7 mg titrated down over 8 weeks period post-quit)</w:t>
            </w:r>
          </w:p>
          <w:p w:rsidR="43734B83" w:rsidRDefault="43734B83" w:rsidP="00C324F3">
            <w:pPr>
              <w:pStyle w:val="ListParagraph"/>
              <w:numPr>
                <w:ilvl w:val="0"/>
                <w:numId w:val="246"/>
              </w:numPr>
              <w:rPr>
                <w:rFonts w:eastAsia="Calibri" w:cs="Calibri"/>
              </w:rPr>
            </w:pPr>
            <w:r w:rsidRPr="43734B83">
              <w:t>Nicotine lozenge and nicotine patch. Duration and dosage as above</w:t>
            </w:r>
          </w:p>
          <w:p w:rsidR="43734B83" w:rsidRDefault="43734B83" w:rsidP="00C324F3">
            <w:pPr>
              <w:pStyle w:val="ListParagraph"/>
              <w:numPr>
                <w:ilvl w:val="0"/>
                <w:numId w:val="246"/>
              </w:numPr>
              <w:rPr>
                <w:rFonts w:eastAsia="Calibri" w:cs="Calibri"/>
              </w:rPr>
            </w:pPr>
            <w:r w:rsidRPr="43734B83">
              <w:t>Placebo bupropion</w:t>
            </w:r>
          </w:p>
          <w:p w:rsidR="43734B83" w:rsidRDefault="43734B83" w:rsidP="00C324F3">
            <w:pPr>
              <w:pStyle w:val="ListParagraph"/>
              <w:numPr>
                <w:ilvl w:val="0"/>
                <w:numId w:val="246"/>
              </w:numPr>
              <w:rPr>
                <w:rFonts w:eastAsia="Calibri" w:cs="Calibri"/>
              </w:rPr>
            </w:pPr>
            <w:r w:rsidRPr="43734B83">
              <w:t>Placebo bupropion and placebo lozenge</w:t>
            </w:r>
          </w:p>
          <w:p w:rsidR="43734B83" w:rsidRDefault="43734B83" w:rsidP="00C324F3">
            <w:pPr>
              <w:pStyle w:val="ListParagraph"/>
              <w:numPr>
                <w:ilvl w:val="0"/>
                <w:numId w:val="246"/>
              </w:numPr>
              <w:rPr>
                <w:rFonts w:eastAsia="Calibri" w:cs="Calibri"/>
              </w:rPr>
            </w:pPr>
            <w:r w:rsidRPr="43734B83">
              <w:t>Placebo lozenge</w:t>
            </w:r>
          </w:p>
          <w:p w:rsidR="43734B83" w:rsidRDefault="43734B83" w:rsidP="00C324F3">
            <w:pPr>
              <w:pStyle w:val="ListParagraph"/>
              <w:numPr>
                <w:ilvl w:val="0"/>
                <w:numId w:val="246"/>
              </w:numPr>
              <w:rPr>
                <w:rFonts w:eastAsia="Calibri" w:cs="Calibri"/>
              </w:rPr>
            </w:pPr>
            <w:r w:rsidRPr="43734B83">
              <w:t>Placebo patch Placebo lozenge and placebo patch</w:t>
            </w:r>
          </w:p>
          <w:p w:rsidR="43734B83" w:rsidRDefault="43734B83">
            <w:r w:rsidRPr="43734B83">
              <w:rPr>
                <w:rFonts w:eastAsia="Calibri" w:cs="Calibri"/>
              </w:rPr>
              <w:t xml:space="preserve"> </w:t>
            </w:r>
          </w:p>
          <w:p w:rsidR="43734B83" w:rsidRDefault="43734B83">
            <w:r w:rsidRPr="00791D84">
              <w:rPr>
                <w:rFonts w:eastAsia="Calibri" w:cs="Calibri"/>
                <w:u w:val="single"/>
              </w:rPr>
              <w:t>Common components:</w:t>
            </w:r>
            <w:r w:rsidRPr="43734B83">
              <w:rPr>
                <w:rFonts w:eastAsia="Calibri" w:cs="Calibri"/>
              </w:rPr>
              <w:t xml:space="preserve"> 7 one-to-one 10 to 20-min counselling sessions</w:t>
            </w:r>
          </w:p>
        </w:tc>
        <w:tc>
          <w:tcPr>
            <w:tcW w:w="2254" w:type="dxa"/>
          </w:tcPr>
          <w:p w:rsidR="43734B83" w:rsidRDefault="43734B83">
            <w:r w:rsidRPr="004A1A7E">
              <w:rPr>
                <w:rFonts w:eastAsia="Calibri" w:cs="Calibri"/>
                <w:u w:val="single"/>
              </w:rPr>
              <w:t>Efficacy:</w:t>
            </w:r>
            <w:r w:rsidRPr="43734B83">
              <w:rPr>
                <w:rFonts w:eastAsia="Calibri" w:cs="Calibri"/>
              </w:rPr>
              <w:t xml:space="preserve"> Smoking cessation: 7-day PPA at 6 months. Validated by CO &lt; 10 ppm</w:t>
            </w:r>
          </w:p>
          <w:p w:rsidR="43734B83" w:rsidRDefault="43734B83">
            <w:r w:rsidRPr="43734B83">
              <w:rPr>
                <w:rFonts w:eastAsia="Calibri" w:cs="Calibri"/>
              </w:rPr>
              <w:t xml:space="preserve"> </w:t>
            </w:r>
          </w:p>
          <w:p w:rsidR="43734B83" w:rsidRDefault="43734B83">
            <w:r w:rsidRPr="004A1A7E">
              <w:rPr>
                <w:rFonts w:eastAsia="Calibri" w:cs="Calibri"/>
                <w:u w:val="single"/>
              </w:rPr>
              <w:t>Safety:</w:t>
            </w:r>
            <w:r w:rsidRPr="43734B83">
              <w:rPr>
                <w:rFonts w:eastAsia="Calibri" w:cs="Calibri"/>
              </w:rPr>
              <w:t xml:space="preserve"> Adverse events measured for 10 weeks</w:t>
            </w:r>
          </w:p>
          <w:p w:rsidR="43734B83" w:rsidRDefault="43734B83">
            <w:r w:rsidRPr="43734B83">
              <w:rPr>
                <w:rFonts w:eastAsia="Calibri" w:cs="Calibri"/>
              </w:rPr>
              <w:t xml:space="preserve"> </w:t>
            </w:r>
          </w:p>
        </w:tc>
      </w:tr>
      <w:tr w:rsidR="43734B83" w:rsidTr="6576DA45">
        <w:tc>
          <w:tcPr>
            <w:tcW w:w="1350" w:type="dxa"/>
          </w:tcPr>
          <w:p w:rsidR="43734B83" w:rsidRPr="00AB757C" w:rsidRDefault="43734B83">
            <w:pPr>
              <w:rPr>
                <w:rFonts w:eastAsia="Calibri" w:cs="Calibri"/>
              </w:rPr>
            </w:pPr>
            <w:r w:rsidRPr="00AB757C">
              <w:rPr>
                <w:rFonts w:eastAsia="Calibri" w:cs="Calibri"/>
              </w:rPr>
              <w:t xml:space="preserve">Smith </w:t>
            </w:r>
            <w:r w:rsidR="00AB757C">
              <w:rPr>
                <w:rFonts w:eastAsia="Calibri" w:cs="Calibri"/>
              </w:rPr>
              <w:t>(</w:t>
            </w:r>
            <w:r w:rsidRPr="00AB757C">
              <w:rPr>
                <w:rFonts w:eastAsia="Calibri" w:cs="Calibri"/>
              </w:rPr>
              <w:t>2009</w:t>
            </w:r>
            <w:r w:rsidR="00AB757C">
              <w:rPr>
                <w:rFonts w:eastAsia="Calibri" w:cs="Calibri"/>
              </w:rPr>
              <w:t>)</w:t>
            </w:r>
          </w:p>
        </w:tc>
        <w:tc>
          <w:tcPr>
            <w:tcW w:w="1035" w:type="dxa"/>
          </w:tcPr>
          <w:p w:rsidR="43734B83" w:rsidRDefault="43734B83">
            <w:r w:rsidRPr="43734B83">
              <w:rPr>
                <w:rFonts w:eastAsia="Calibri" w:cs="Calibri"/>
              </w:rPr>
              <w:t>RCT</w:t>
            </w:r>
          </w:p>
        </w:tc>
        <w:tc>
          <w:tcPr>
            <w:tcW w:w="1095" w:type="dxa"/>
          </w:tcPr>
          <w:p w:rsidR="43734B83" w:rsidRDefault="43734B83">
            <w:r w:rsidRPr="43734B83">
              <w:rPr>
                <w:rFonts w:eastAsia="Calibri" w:cs="Calibri"/>
              </w:rPr>
              <w:t>USA</w:t>
            </w:r>
          </w:p>
        </w:tc>
        <w:tc>
          <w:tcPr>
            <w:tcW w:w="930" w:type="dxa"/>
          </w:tcPr>
          <w:p w:rsidR="43734B83" w:rsidRDefault="00F2109D">
            <w:r>
              <w:rPr>
                <w:rFonts w:eastAsia="Calibri" w:cs="Calibri"/>
              </w:rPr>
              <w:t>N=</w:t>
            </w:r>
            <w:r w:rsidR="43734B83" w:rsidRPr="43734B83">
              <w:rPr>
                <w:rFonts w:eastAsia="Calibri" w:cs="Calibri"/>
              </w:rPr>
              <w:t>1346</w:t>
            </w:r>
          </w:p>
        </w:tc>
        <w:tc>
          <w:tcPr>
            <w:tcW w:w="3405" w:type="dxa"/>
          </w:tcPr>
          <w:p w:rsidR="43734B83" w:rsidRDefault="43734B83">
            <w:r w:rsidRPr="43734B83">
              <w:rPr>
                <w:rFonts w:eastAsia="Calibri" w:cs="Calibri"/>
              </w:rPr>
              <w:t>Smokers; 56% female; average age 44; average cigarettes per day 20.3</w:t>
            </w:r>
          </w:p>
        </w:tc>
        <w:tc>
          <w:tcPr>
            <w:tcW w:w="4020" w:type="dxa"/>
          </w:tcPr>
          <w:p w:rsidR="43734B83" w:rsidRDefault="43734B83" w:rsidP="00C324F3">
            <w:pPr>
              <w:pStyle w:val="ListParagraph"/>
              <w:numPr>
                <w:ilvl w:val="0"/>
                <w:numId w:val="245"/>
              </w:numPr>
              <w:rPr>
                <w:rFonts w:eastAsia="Calibri" w:cs="Calibri"/>
              </w:rPr>
            </w:pPr>
            <w:r w:rsidRPr="43734B83">
              <w:t>Bupropion. Up-titrated during week pre-quitting, 150 mg twice/day for 8 weeks post-quit</w:t>
            </w:r>
          </w:p>
          <w:p w:rsidR="43734B83" w:rsidRDefault="43734B83" w:rsidP="00C324F3">
            <w:pPr>
              <w:pStyle w:val="ListParagraph"/>
              <w:numPr>
                <w:ilvl w:val="0"/>
                <w:numId w:val="245"/>
              </w:numPr>
              <w:rPr>
                <w:rFonts w:eastAsia="Calibri" w:cs="Calibri"/>
              </w:rPr>
            </w:pPr>
            <w:r w:rsidRPr="43734B83">
              <w:t>Nicotine lozenge. 4 mg lozenge if first cigarette of day smoked &gt; 30 min after waking, 2 mg otherwise. 1 lozenge every 1-2 hrs post-quit week 1-6; 1 lozenge every 2-4 hrs week 7-9; 1 lozenge every 4-8 hours week 10-12</w:t>
            </w:r>
          </w:p>
          <w:p w:rsidR="43734B83" w:rsidRDefault="43734B83" w:rsidP="00C324F3">
            <w:pPr>
              <w:pStyle w:val="ListParagraph"/>
              <w:numPr>
                <w:ilvl w:val="0"/>
                <w:numId w:val="245"/>
              </w:numPr>
              <w:rPr>
                <w:rFonts w:eastAsia="Calibri" w:cs="Calibri"/>
              </w:rPr>
            </w:pPr>
            <w:r w:rsidRPr="43734B83">
              <w:lastRenderedPageBreak/>
              <w:t>Nicotine patch. 21 mg post-quit week 1-4; 14 mg week 5-6; 7 mg week 7-8 • Bupropion and nicotine lozenge. Dosing as above</w:t>
            </w:r>
          </w:p>
          <w:p w:rsidR="43734B83" w:rsidRDefault="43734B83" w:rsidP="00C324F3">
            <w:pPr>
              <w:pStyle w:val="ListParagraph"/>
              <w:numPr>
                <w:ilvl w:val="0"/>
                <w:numId w:val="245"/>
              </w:numPr>
              <w:rPr>
                <w:rFonts w:eastAsia="Calibri" w:cs="Calibri"/>
              </w:rPr>
            </w:pPr>
            <w:r w:rsidRPr="43734B83">
              <w:t>Nicotine patch and nicotine lozenge. Dosing as above</w:t>
            </w:r>
          </w:p>
          <w:p w:rsidR="43734B83" w:rsidRDefault="43734B83">
            <w:r w:rsidRPr="43734B83">
              <w:rPr>
                <w:rFonts w:eastAsia="Calibri" w:cs="Calibri"/>
              </w:rPr>
              <w:t xml:space="preserve"> </w:t>
            </w:r>
          </w:p>
          <w:p w:rsidR="43734B83" w:rsidRDefault="43734B83">
            <w:r w:rsidRPr="00791D84">
              <w:rPr>
                <w:rFonts w:eastAsia="Calibri" w:cs="Calibri"/>
                <w:u w:val="single"/>
              </w:rPr>
              <w:t>Common components:</w:t>
            </w:r>
            <w:r w:rsidRPr="43734B83">
              <w:rPr>
                <w:rFonts w:eastAsia="Calibri" w:cs="Calibri"/>
              </w:rPr>
              <w:t xml:space="preserve"> quitline counselling (state provided). All participants received initial session, then could elect to receive up to 4 additional calls + could call for additional support if required.</w:t>
            </w:r>
          </w:p>
        </w:tc>
        <w:tc>
          <w:tcPr>
            <w:tcW w:w="2254" w:type="dxa"/>
          </w:tcPr>
          <w:p w:rsidR="43734B83" w:rsidRDefault="43734B83">
            <w:r w:rsidRPr="004A1A7E">
              <w:rPr>
                <w:rFonts w:eastAsia="Calibri" w:cs="Calibri"/>
                <w:u w:val="single"/>
              </w:rPr>
              <w:lastRenderedPageBreak/>
              <w:t>Efficacy:</w:t>
            </w:r>
            <w:r w:rsidRPr="43734B83">
              <w:rPr>
                <w:rFonts w:eastAsia="Calibri" w:cs="Calibri"/>
              </w:rPr>
              <w:t xml:space="preserve"> Abstinence definition. 7-day PPA at 6 months. No validation method specified</w:t>
            </w:r>
          </w:p>
          <w:p w:rsidR="43734B83" w:rsidRDefault="43734B83">
            <w:r w:rsidRPr="43734B83">
              <w:rPr>
                <w:rFonts w:eastAsia="Calibri" w:cs="Calibri"/>
              </w:rPr>
              <w:t xml:space="preserve"> </w:t>
            </w:r>
          </w:p>
          <w:p w:rsidR="43734B83" w:rsidRDefault="43734B83">
            <w:r w:rsidRPr="004A1A7E">
              <w:rPr>
                <w:rFonts w:eastAsia="Calibri" w:cs="Calibri"/>
                <w:u w:val="single"/>
              </w:rPr>
              <w:t>Safety:</w:t>
            </w:r>
            <w:r w:rsidRPr="43734B83">
              <w:rPr>
                <w:rFonts w:eastAsia="Calibri" w:cs="Calibri"/>
              </w:rPr>
              <w:t xml:space="preserve"> Adverse events measured for unspecified period</w:t>
            </w:r>
          </w:p>
          <w:p w:rsidR="43734B83" w:rsidRDefault="43734B83">
            <w:r w:rsidRPr="43734B83">
              <w:rPr>
                <w:rFonts w:eastAsia="Calibri" w:cs="Calibri"/>
              </w:rPr>
              <w:t xml:space="preserve"> </w:t>
            </w:r>
          </w:p>
        </w:tc>
      </w:tr>
      <w:tr w:rsidR="43734B83" w:rsidTr="6576DA45">
        <w:tc>
          <w:tcPr>
            <w:tcW w:w="1350" w:type="dxa"/>
          </w:tcPr>
          <w:p w:rsidR="43734B83" w:rsidRDefault="43734B83">
            <w:r w:rsidRPr="00AB757C">
              <w:rPr>
                <w:rFonts w:eastAsia="Calibri" w:cs="Calibri"/>
              </w:rPr>
              <w:t xml:space="preserve">Stapleton </w:t>
            </w:r>
            <w:r w:rsidR="009C4EF2">
              <w:rPr>
                <w:rFonts w:eastAsia="Calibri" w:cs="Calibri"/>
              </w:rPr>
              <w:t>(</w:t>
            </w:r>
            <w:r w:rsidRPr="00AB757C">
              <w:rPr>
                <w:rFonts w:eastAsia="Calibri" w:cs="Calibri"/>
              </w:rPr>
              <w:t>2013</w:t>
            </w:r>
            <w:r w:rsidR="009C4EF2">
              <w:rPr>
                <w:rFonts w:eastAsia="Calibri" w:cs="Calibri"/>
              </w:rPr>
              <w:t>)</w:t>
            </w:r>
          </w:p>
        </w:tc>
        <w:tc>
          <w:tcPr>
            <w:tcW w:w="1035" w:type="dxa"/>
          </w:tcPr>
          <w:p w:rsidR="43734B83" w:rsidRDefault="43734B83">
            <w:r w:rsidRPr="43734B83">
              <w:rPr>
                <w:rFonts w:eastAsia="Calibri" w:cs="Calibri"/>
              </w:rPr>
              <w:t>RCT</w:t>
            </w:r>
          </w:p>
        </w:tc>
        <w:tc>
          <w:tcPr>
            <w:tcW w:w="1095" w:type="dxa"/>
          </w:tcPr>
          <w:p w:rsidR="43734B83" w:rsidRDefault="43734B83">
            <w:r w:rsidRPr="43734B83">
              <w:rPr>
                <w:rFonts w:eastAsia="Calibri" w:cs="Calibri"/>
              </w:rPr>
              <w:t>UK</w:t>
            </w:r>
          </w:p>
        </w:tc>
        <w:tc>
          <w:tcPr>
            <w:tcW w:w="930" w:type="dxa"/>
          </w:tcPr>
          <w:p w:rsidR="43734B83" w:rsidRDefault="00F2109D">
            <w:r>
              <w:rPr>
                <w:rFonts w:eastAsia="Calibri" w:cs="Calibri"/>
              </w:rPr>
              <w:t>N=</w:t>
            </w:r>
            <w:r w:rsidR="43734B83" w:rsidRPr="43734B83">
              <w:rPr>
                <w:rFonts w:eastAsia="Calibri" w:cs="Calibri"/>
              </w:rPr>
              <w:t>1071</w:t>
            </w:r>
          </w:p>
        </w:tc>
        <w:tc>
          <w:tcPr>
            <w:tcW w:w="3405" w:type="dxa"/>
          </w:tcPr>
          <w:p w:rsidR="43734B83" w:rsidRDefault="43734B83">
            <w:r w:rsidRPr="43734B83">
              <w:rPr>
                <w:rFonts w:eastAsia="Calibri" w:cs="Calibri"/>
              </w:rPr>
              <w:t>Daily smokers; 53% female; average age 41; average cigarettes per day 20</w:t>
            </w:r>
          </w:p>
        </w:tc>
        <w:tc>
          <w:tcPr>
            <w:tcW w:w="4020" w:type="dxa"/>
          </w:tcPr>
          <w:p w:rsidR="43734B83" w:rsidRDefault="43734B83" w:rsidP="00C324F3">
            <w:pPr>
              <w:pStyle w:val="ListParagraph"/>
              <w:numPr>
                <w:ilvl w:val="0"/>
                <w:numId w:val="244"/>
              </w:numPr>
              <w:rPr>
                <w:rFonts w:eastAsia="Calibri" w:cs="Calibri"/>
              </w:rPr>
            </w:pPr>
            <w:r w:rsidRPr="43734B83">
              <w:t>Bupropion 8 weeks, started prior to TQD (exact period not specified), 150 mg/d for first 6 day, then 300 mg for remainder</w:t>
            </w:r>
          </w:p>
          <w:p w:rsidR="43734B83" w:rsidRDefault="43734B83" w:rsidP="00C324F3">
            <w:pPr>
              <w:pStyle w:val="ListParagraph"/>
              <w:numPr>
                <w:ilvl w:val="0"/>
                <w:numId w:val="244"/>
              </w:numPr>
              <w:rPr>
                <w:rFonts w:eastAsia="Calibri" w:cs="Calibri"/>
              </w:rPr>
            </w:pPr>
            <w:r w:rsidRPr="43734B83">
              <w:t>Bupropion and NRT. Bupropion as above. NRT given as choice of single product, 12 weeks started on TQD, dosage determined on individual basis</w:t>
            </w:r>
          </w:p>
          <w:p w:rsidR="43734B83" w:rsidRDefault="43734B83" w:rsidP="00C324F3">
            <w:pPr>
              <w:pStyle w:val="ListParagraph"/>
              <w:numPr>
                <w:ilvl w:val="0"/>
                <w:numId w:val="244"/>
              </w:numPr>
              <w:rPr>
                <w:rFonts w:eastAsia="Calibri" w:cs="Calibri"/>
              </w:rPr>
            </w:pPr>
            <w:r w:rsidRPr="43734B83">
              <w:t>NRT</w:t>
            </w:r>
            <w:r w:rsidR="009F0B1A">
              <w:t xml:space="preserve"> a</w:t>
            </w:r>
            <w:r w:rsidRPr="43734B83">
              <w:t>s above</w:t>
            </w:r>
          </w:p>
          <w:p w:rsidR="43734B83" w:rsidRDefault="43734B83">
            <w:r w:rsidRPr="43734B83">
              <w:rPr>
                <w:rFonts w:eastAsia="Calibri" w:cs="Calibri"/>
              </w:rPr>
              <w:t xml:space="preserve"> </w:t>
            </w:r>
          </w:p>
          <w:p w:rsidR="43734B83" w:rsidRDefault="43734B83">
            <w:r w:rsidRPr="00791D84">
              <w:rPr>
                <w:rFonts w:eastAsia="Calibri" w:cs="Calibri"/>
                <w:u w:val="single"/>
              </w:rPr>
              <w:t>Common components:</w:t>
            </w:r>
            <w:r w:rsidRPr="43734B83">
              <w:rPr>
                <w:rFonts w:eastAsia="Calibri" w:cs="Calibri"/>
              </w:rPr>
              <w:t xml:space="preserve"> 7 weekly behavioural support sessions as per standard service protocol. Mainly group, 60-90 mins each</w:t>
            </w:r>
          </w:p>
        </w:tc>
        <w:tc>
          <w:tcPr>
            <w:tcW w:w="2254" w:type="dxa"/>
          </w:tcPr>
          <w:p w:rsidR="43734B83" w:rsidRDefault="43734B83">
            <w:r w:rsidRPr="004A1A7E">
              <w:rPr>
                <w:rFonts w:eastAsia="Calibri" w:cs="Calibri"/>
                <w:u w:val="single"/>
              </w:rPr>
              <w:t>Efficacy:</w:t>
            </w:r>
            <w:r w:rsidRPr="43734B83">
              <w:rPr>
                <w:rFonts w:eastAsia="Calibri" w:cs="Calibri"/>
              </w:rPr>
              <w:t xml:space="preserve"> Smoking cessation: prolonged abstinence at 6 months. Validated by CO &lt; 10 ppm</w:t>
            </w:r>
          </w:p>
          <w:p w:rsidR="43734B83" w:rsidRDefault="43734B83">
            <w:r w:rsidRPr="43734B83">
              <w:rPr>
                <w:rFonts w:eastAsia="Calibri" w:cs="Calibri"/>
              </w:rPr>
              <w:t xml:space="preserve"> </w:t>
            </w:r>
          </w:p>
          <w:p w:rsidR="43734B83" w:rsidRDefault="43734B83">
            <w:r w:rsidRPr="004A1A7E">
              <w:rPr>
                <w:rFonts w:eastAsia="Calibri" w:cs="Calibri"/>
                <w:u w:val="single"/>
              </w:rPr>
              <w:t>Safety:</w:t>
            </w:r>
            <w:r w:rsidRPr="43734B83">
              <w:rPr>
                <w:rFonts w:eastAsia="Calibri" w:cs="Calibri"/>
              </w:rPr>
              <w:t xml:space="preserve"> Adverse events measured for unspecified period</w:t>
            </w:r>
          </w:p>
          <w:p w:rsidR="43734B83" w:rsidRDefault="43734B83" w:rsidP="43734B83">
            <w:pPr>
              <w:rPr>
                <w:rFonts w:eastAsia="Calibri" w:cs="Calibri"/>
              </w:rPr>
            </w:pPr>
          </w:p>
        </w:tc>
      </w:tr>
    </w:tbl>
    <w:p w:rsidR="004F17E4" w:rsidRPr="009B042A" w:rsidRDefault="004F17E4" w:rsidP="004F17E4">
      <w:pPr>
        <w:pStyle w:val="TableFooter"/>
        <w:keepNext/>
      </w:pPr>
      <w:r>
        <w:t>Source: Howes</w:t>
      </w:r>
      <w:r w:rsidRPr="008B0097">
        <w:t xml:space="preserve"> et al. (20</w:t>
      </w:r>
      <w:r>
        <w:t>20).</w:t>
      </w:r>
      <w:r w:rsidRPr="009B042A">
        <w:t xml:space="preserve"> </w:t>
      </w:r>
    </w:p>
    <w:p w:rsidR="004F17E4" w:rsidRDefault="004F17E4" w:rsidP="004F17E4">
      <w:pPr>
        <w:pStyle w:val="TableFooter"/>
        <w:keepNext/>
      </w:pPr>
      <w:r>
        <w:t xml:space="preserve">Abbreviations: NR= not reported; </w:t>
      </w:r>
      <w:r w:rsidRPr="009B042A">
        <w:t xml:space="preserve">PPA= point prevalence smoking abstinence; </w:t>
      </w:r>
      <w:r>
        <w:t xml:space="preserve">CAR= continuous abstinence rate;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CPD= cigarette per day; AEs= adverse events; SAEs= serious adverse events.</w:t>
      </w:r>
    </w:p>
    <w:p w:rsidR="00FA7B18" w:rsidRDefault="00FA7B18" w:rsidP="00FA7B18">
      <w:pPr>
        <w:pStyle w:val="Caption"/>
        <w:keepNext/>
      </w:pPr>
      <w:bookmarkStart w:id="391" w:name="_Ref62076146"/>
      <w:r>
        <w:t xml:space="preserve">Table </w:t>
      </w:r>
      <w:r w:rsidR="003C4A1C">
        <w:rPr>
          <w:noProof/>
        </w:rPr>
        <w:t>160</w:t>
      </w:r>
      <w:bookmarkEnd w:id="391"/>
      <w:r>
        <w:t xml:space="preserve">: </w:t>
      </w:r>
      <w:r w:rsidRPr="00570503">
        <w:t xml:space="preserve">Characteristics of studies included in </w:t>
      </w:r>
      <w:r>
        <w:t>Livingstone-Banks</w:t>
      </w:r>
      <w:r w:rsidRPr="00570503">
        <w:t xml:space="preserve"> et al. (20</w:t>
      </w:r>
      <w:r>
        <w:t>19</w:t>
      </w:r>
      <w:r w:rsidRPr="00570503">
        <w:t xml:space="preserve">), bupropion plus NRT versus </w:t>
      </w:r>
      <w:r>
        <w:t>placebo (relapse prevention)</w:t>
      </w:r>
    </w:p>
    <w:tbl>
      <w:tblPr>
        <w:tblStyle w:val="TableGrid"/>
        <w:tblW w:w="14074" w:type="dxa"/>
        <w:tblLayout w:type="fixed"/>
        <w:tblLook w:val="04A0" w:firstRow="1" w:lastRow="0" w:firstColumn="1" w:lastColumn="0" w:noHBand="0" w:noVBand="1"/>
      </w:tblPr>
      <w:tblGrid>
        <w:gridCol w:w="1035"/>
        <w:gridCol w:w="1140"/>
        <w:gridCol w:w="1245"/>
        <w:gridCol w:w="915"/>
        <w:gridCol w:w="3540"/>
        <w:gridCol w:w="3960"/>
        <w:gridCol w:w="2239"/>
      </w:tblGrid>
      <w:tr w:rsidR="1EEEA2B8" w:rsidTr="1910D6F6">
        <w:tc>
          <w:tcPr>
            <w:tcW w:w="1035" w:type="dxa"/>
            <w:shd w:val="clear" w:color="auto" w:fill="A6A6A6" w:themeFill="background1" w:themeFillShade="A6"/>
          </w:tcPr>
          <w:p w:rsidR="1EEEA2B8" w:rsidRDefault="1EEEA2B8">
            <w:r w:rsidRPr="1EEEA2B8">
              <w:rPr>
                <w:rFonts w:eastAsia="Calibri" w:cs="Calibri"/>
                <w:b/>
                <w:bCs/>
              </w:rPr>
              <w:t>Study</w:t>
            </w:r>
          </w:p>
        </w:tc>
        <w:tc>
          <w:tcPr>
            <w:tcW w:w="1140" w:type="dxa"/>
            <w:shd w:val="clear" w:color="auto" w:fill="A6A6A6" w:themeFill="background1" w:themeFillShade="A6"/>
          </w:tcPr>
          <w:p w:rsidR="1EEEA2B8" w:rsidRDefault="1EEEA2B8" w:rsidP="1EEEA2B8">
            <w:pPr>
              <w:jc w:val="center"/>
            </w:pPr>
            <w:r w:rsidRPr="1EEEA2B8">
              <w:rPr>
                <w:rFonts w:eastAsia="Calibri" w:cs="Calibri"/>
                <w:b/>
                <w:bCs/>
                <w:color w:val="000000" w:themeColor="text1"/>
              </w:rPr>
              <w:t>Study type</w:t>
            </w:r>
          </w:p>
        </w:tc>
        <w:tc>
          <w:tcPr>
            <w:tcW w:w="1245" w:type="dxa"/>
            <w:shd w:val="clear" w:color="auto" w:fill="A6A6A6" w:themeFill="background1" w:themeFillShade="A6"/>
          </w:tcPr>
          <w:p w:rsidR="1EEEA2B8" w:rsidRDefault="1EEEA2B8" w:rsidP="1EEEA2B8">
            <w:pPr>
              <w:jc w:val="center"/>
            </w:pPr>
            <w:r w:rsidRPr="1EEEA2B8">
              <w:rPr>
                <w:rFonts w:eastAsia="Calibri" w:cs="Calibri"/>
                <w:b/>
                <w:bCs/>
                <w:color w:val="000000" w:themeColor="text1"/>
              </w:rPr>
              <w:t>Countries</w:t>
            </w:r>
          </w:p>
        </w:tc>
        <w:tc>
          <w:tcPr>
            <w:tcW w:w="915" w:type="dxa"/>
            <w:shd w:val="clear" w:color="auto" w:fill="A6A6A6" w:themeFill="background1" w:themeFillShade="A6"/>
          </w:tcPr>
          <w:p w:rsidR="1EEEA2B8" w:rsidRDefault="1EEEA2B8" w:rsidP="1EEEA2B8">
            <w:pPr>
              <w:jc w:val="center"/>
            </w:pPr>
            <w:r w:rsidRPr="1EEEA2B8">
              <w:rPr>
                <w:rFonts w:eastAsia="Calibri" w:cs="Calibri"/>
                <w:b/>
                <w:bCs/>
                <w:color w:val="000000" w:themeColor="text1"/>
              </w:rPr>
              <w:t>N</w:t>
            </w:r>
          </w:p>
        </w:tc>
        <w:tc>
          <w:tcPr>
            <w:tcW w:w="3540" w:type="dxa"/>
            <w:shd w:val="clear" w:color="auto" w:fill="A6A6A6" w:themeFill="background1" w:themeFillShade="A6"/>
          </w:tcPr>
          <w:p w:rsidR="1EEEA2B8" w:rsidRDefault="1EEEA2B8" w:rsidP="1EEEA2B8">
            <w:pPr>
              <w:jc w:val="center"/>
            </w:pPr>
            <w:r w:rsidRPr="1EEEA2B8">
              <w:rPr>
                <w:rFonts w:eastAsia="Calibri" w:cs="Calibri"/>
                <w:b/>
                <w:bCs/>
                <w:color w:val="000000" w:themeColor="text1"/>
              </w:rPr>
              <w:t>Population</w:t>
            </w:r>
          </w:p>
        </w:tc>
        <w:tc>
          <w:tcPr>
            <w:tcW w:w="3960" w:type="dxa"/>
            <w:shd w:val="clear" w:color="auto" w:fill="A6A6A6" w:themeFill="background1" w:themeFillShade="A6"/>
          </w:tcPr>
          <w:p w:rsidR="1EEEA2B8" w:rsidRDefault="1EEEA2B8" w:rsidP="1EEEA2B8">
            <w:pPr>
              <w:jc w:val="center"/>
            </w:pPr>
            <w:r w:rsidRPr="1EEEA2B8">
              <w:rPr>
                <w:rFonts w:eastAsia="Calibri" w:cs="Calibri"/>
                <w:b/>
                <w:bCs/>
                <w:color w:val="000000" w:themeColor="text1"/>
              </w:rPr>
              <w:t>Intervention and comparator</w:t>
            </w:r>
          </w:p>
        </w:tc>
        <w:tc>
          <w:tcPr>
            <w:tcW w:w="2239" w:type="dxa"/>
            <w:shd w:val="clear" w:color="auto" w:fill="A6A6A6" w:themeFill="background1" w:themeFillShade="A6"/>
          </w:tcPr>
          <w:p w:rsidR="1EEEA2B8" w:rsidRDefault="1EEEA2B8" w:rsidP="1EEEA2B8">
            <w:pPr>
              <w:jc w:val="center"/>
            </w:pPr>
            <w:r w:rsidRPr="1EEEA2B8">
              <w:rPr>
                <w:rFonts w:eastAsia="Calibri" w:cs="Calibri"/>
                <w:b/>
                <w:bCs/>
                <w:color w:val="000000" w:themeColor="text1"/>
              </w:rPr>
              <w:t>Outcomes</w:t>
            </w:r>
          </w:p>
        </w:tc>
      </w:tr>
      <w:tr w:rsidR="1EEEA2B8" w:rsidTr="1910D6F6">
        <w:tc>
          <w:tcPr>
            <w:tcW w:w="1035" w:type="dxa"/>
          </w:tcPr>
          <w:p w:rsidR="1EEEA2B8" w:rsidRDefault="1EEEA2B8">
            <w:r w:rsidRPr="1EEEA2B8">
              <w:rPr>
                <w:rFonts w:eastAsia="Calibri" w:cs="Calibri"/>
              </w:rPr>
              <w:t xml:space="preserve">Covey </w:t>
            </w:r>
            <w:r w:rsidR="00151B37">
              <w:rPr>
                <w:rFonts w:eastAsia="Calibri" w:cs="Calibri"/>
              </w:rPr>
              <w:t>(</w:t>
            </w:r>
            <w:r w:rsidRPr="1EEEA2B8">
              <w:rPr>
                <w:rFonts w:eastAsia="Calibri" w:cs="Calibri"/>
              </w:rPr>
              <w:t>2007</w:t>
            </w:r>
            <w:r w:rsidR="00151B37">
              <w:rPr>
                <w:rFonts w:eastAsia="Calibri" w:cs="Calibri"/>
              </w:rPr>
              <w:t>)</w:t>
            </w:r>
          </w:p>
        </w:tc>
        <w:tc>
          <w:tcPr>
            <w:tcW w:w="1140" w:type="dxa"/>
          </w:tcPr>
          <w:p w:rsidR="1EEEA2B8" w:rsidRDefault="1EEEA2B8">
            <w:r w:rsidRPr="1EEEA2B8">
              <w:rPr>
                <w:rFonts w:eastAsia="Calibri" w:cs="Calibri"/>
              </w:rPr>
              <w:t>RCT</w:t>
            </w:r>
          </w:p>
        </w:tc>
        <w:tc>
          <w:tcPr>
            <w:tcW w:w="1245" w:type="dxa"/>
          </w:tcPr>
          <w:p w:rsidR="1EEEA2B8" w:rsidRDefault="1EEEA2B8">
            <w:r w:rsidRPr="1EEEA2B8">
              <w:rPr>
                <w:rFonts w:eastAsia="Calibri" w:cs="Calibri"/>
              </w:rPr>
              <w:t>USA</w:t>
            </w:r>
          </w:p>
        </w:tc>
        <w:tc>
          <w:tcPr>
            <w:tcW w:w="915" w:type="dxa"/>
          </w:tcPr>
          <w:p w:rsidR="1EEEA2B8" w:rsidRDefault="00F2109D">
            <w:r>
              <w:rPr>
                <w:rFonts w:eastAsia="Calibri" w:cs="Calibri"/>
              </w:rPr>
              <w:t>N=</w:t>
            </w:r>
            <w:r w:rsidR="1EEEA2B8" w:rsidRPr="1EEEA2B8">
              <w:rPr>
                <w:rFonts w:eastAsia="Calibri" w:cs="Calibri"/>
              </w:rPr>
              <w:t>289</w:t>
            </w:r>
          </w:p>
        </w:tc>
        <w:tc>
          <w:tcPr>
            <w:tcW w:w="3540" w:type="dxa"/>
          </w:tcPr>
          <w:p w:rsidR="1EEEA2B8" w:rsidRDefault="1EEEA2B8">
            <w:r w:rsidRPr="1EEEA2B8">
              <w:rPr>
                <w:rFonts w:eastAsia="Calibri" w:cs="Calibri"/>
              </w:rPr>
              <w:t xml:space="preserve">Abstainers (excludes 5 withdrawing consent before starting medication) 45% female, average age 43, average </w:t>
            </w:r>
            <w:r w:rsidR="00151B37">
              <w:rPr>
                <w:rFonts w:eastAsia="Calibri" w:cs="Calibri"/>
              </w:rPr>
              <w:t>CPD</w:t>
            </w:r>
            <w:r w:rsidRPr="1EEEA2B8">
              <w:rPr>
                <w:rFonts w:eastAsia="Calibri" w:cs="Calibri"/>
              </w:rPr>
              <w:t xml:space="preserve"> 21 </w:t>
            </w:r>
            <w:r w:rsidRPr="1EEEA2B8">
              <w:rPr>
                <w:rFonts w:eastAsia="Calibri" w:cs="Calibri"/>
              </w:rPr>
              <w:lastRenderedPageBreak/>
              <w:t>Therapists: counsellors, 1-month training</w:t>
            </w:r>
          </w:p>
        </w:tc>
        <w:tc>
          <w:tcPr>
            <w:tcW w:w="3960" w:type="dxa"/>
          </w:tcPr>
          <w:p w:rsidR="1EEEA2B8" w:rsidRDefault="1EEEA2B8" w:rsidP="00C324F3">
            <w:pPr>
              <w:pStyle w:val="ListParagraph"/>
              <w:numPr>
                <w:ilvl w:val="0"/>
                <w:numId w:val="256"/>
              </w:numPr>
              <w:rPr>
                <w:rFonts w:eastAsia="Calibri" w:cs="Calibri"/>
              </w:rPr>
            </w:pPr>
            <w:r w:rsidRPr="1EEEA2B8">
              <w:lastRenderedPageBreak/>
              <w:t>Bupropion (300 mg) and nicotine gum (2 mg, use as needed to manage craving) for 16 weeks.</w:t>
            </w:r>
          </w:p>
          <w:p w:rsidR="1EEEA2B8" w:rsidRDefault="1EEEA2B8" w:rsidP="00C324F3">
            <w:pPr>
              <w:pStyle w:val="ListParagraph"/>
              <w:numPr>
                <w:ilvl w:val="0"/>
                <w:numId w:val="256"/>
              </w:numPr>
              <w:rPr>
                <w:rFonts w:eastAsia="Calibri" w:cs="Calibri"/>
              </w:rPr>
            </w:pPr>
            <w:r w:rsidRPr="1EEEA2B8">
              <w:lastRenderedPageBreak/>
              <w:t>Bupropion and placebo gum</w:t>
            </w:r>
          </w:p>
          <w:p w:rsidR="1EEEA2B8" w:rsidRDefault="1EEEA2B8">
            <w:r w:rsidRPr="1EEEA2B8">
              <w:rPr>
                <w:rFonts w:eastAsia="Calibri" w:cs="Calibri"/>
              </w:rPr>
              <w:t>Nicotine gum and placebo pill (150 mg bupropion for first week)</w:t>
            </w:r>
          </w:p>
          <w:p w:rsidR="1EEEA2B8" w:rsidRDefault="1EEEA2B8">
            <w:r w:rsidRPr="1EEEA2B8">
              <w:rPr>
                <w:rFonts w:eastAsia="Calibri" w:cs="Calibri"/>
              </w:rPr>
              <w:t>Double placebo (150 mg bupropion for first week)</w:t>
            </w:r>
          </w:p>
          <w:p w:rsidR="1EEEA2B8" w:rsidRDefault="1EEEA2B8">
            <w:r w:rsidRPr="1EEEA2B8">
              <w:rPr>
                <w:rFonts w:eastAsia="Calibri" w:cs="Calibri"/>
              </w:rPr>
              <w:t xml:space="preserve"> </w:t>
            </w:r>
          </w:p>
          <w:p w:rsidR="1EEEA2B8" w:rsidRDefault="1EEEA2B8">
            <w:r w:rsidRPr="00C324F3">
              <w:rPr>
                <w:rFonts w:eastAsia="Calibri"/>
                <w:u w:val="single"/>
              </w:rPr>
              <w:t>Common components:</w:t>
            </w:r>
            <w:r w:rsidRPr="1EEEA2B8">
              <w:rPr>
                <w:rFonts w:eastAsia="Calibri" w:cs="Calibri"/>
              </w:rPr>
              <w:t xml:space="preserve"> All participants received 8 weeks open-label bupropion and nicotine patch (21 mg with weaning) for 7 weeks from TQD. Transition procedures preserved blinding for the relapse prevention phase but allowed weaning from bupropion. Individual counselling, including CBT techniques, 15 minutes × 6 during open label, × 4 during relapse prevention, × 2 during follow-up.</w:t>
            </w:r>
          </w:p>
        </w:tc>
        <w:tc>
          <w:tcPr>
            <w:tcW w:w="2239" w:type="dxa"/>
          </w:tcPr>
          <w:p w:rsidR="1EEEA2B8" w:rsidRDefault="1EEEA2B8">
            <w:r w:rsidRPr="00C324F3">
              <w:rPr>
                <w:rFonts w:eastAsia="Calibri"/>
                <w:u w:val="single"/>
              </w:rPr>
              <w:lastRenderedPageBreak/>
              <w:t>Efficacy:</w:t>
            </w:r>
            <w:r w:rsidRPr="1EEEA2B8">
              <w:rPr>
                <w:rFonts w:eastAsia="Calibri" w:cs="Calibri"/>
              </w:rPr>
              <w:t xml:space="preserve"> Abstinence (no relapse to 7 days of smoking) for 12 months </w:t>
            </w:r>
            <w:r w:rsidRPr="1EEEA2B8">
              <w:rPr>
                <w:rFonts w:eastAsia="Calibri" w:cs="Calibri"/>
              </w:rPr>
              <w:lastRenderedPageBreak/>
              <w:t>(10 months after randomisation, 6 months after EOT) (primary outcome for study was time to relapse) Validation: CO ≤ 8 ppm at each visit</w:t>
            </w:r>
          </w:p>
          <w:p w:rsidR="1EEEA2B8" w:rsidRDefault="1EEEA2B8">
            <w:r w:rsidRPr="1EEEA2B8">
              <w:rPr>
                <w:rFonts w:eastAsia="Calibri" w:cs="Calibri"/>
              </w:rPr>
              <w:t xml:space="preserve"> </w:t>
            </w:r>
          </w:p>
          <w:p w:rsidR="1EEEA2B8" w:rsidRDefault="1EEEA2B8">
            <w:r w:rsidRPr="00C324F3">
              <w:rPr>
                <w:rFonts w:eastAsia="Calibri"/>
                <w:u w:val="single"/>
              </w:rPr>
              <w:t>Safety:</w:t>
            </w:r>
            <w:r w:rsidRPr="1EEEA2B8">
              <w:rPr>
                <w:rFonts w:eastAsia="Calibri" w:cs="Calibri"/>
              </w:rPr>
              <w:t xml:space="preserve"> NR</w:t>
            </w:r>
          </w:p>
          <w:p w:rsidR="1EEEA2B8" w:rsidRDefault="1EEEA2B8">
            <w:r w:rsidRPr="1EEEA2B8">
              <w:rPr>
                <w:rFonts w:eastAsia="Calibri" w:cs="Calibri"/>
              </w:rPr>
              <w:t xml:space="preserve"> </w:t>
            </w:r>
          </w:p>
        </w:tc>
      </w:tr>
      <w:tr w:rsidR="1EEEA2B8" w:rsidTr="1910D6F6">
        <w:tc>
          <w:tcPr>
            <w:tcW w:w="1035" w:type="dxa"/>
          </w:tcPr>
          <w:p w:rsidR="1EEEA2B8" w:rsidRDefault="1EEEA2B8">
            <w:r w:rsidRPr="1EEEA2B8">
              <w:rPr>
                <w:rFonts w:eastAsia="Calibri" w:cs="Calibri"/>
              </w:rPr>
              <w:lastRenderedPageBreak/>
              <w:t xml:space="preserve">Croghan </w:t>
            </w:r>
            <w:r w:rsidR="00151B37">
              <w:rPr>
                <w:rFonts w:eastAsia="Calibri" w:cs="Calibri"/>
              </w:rPr>
              <w:t>(</w:t>
            </w:r>
            <w:r w:rsidRPr="1EEEA2B8">
              <w:rPr>
                <w:rFonts w:eastAsia="Calibri" w:cs="Calibri"/>
              </w:rPr>
              <w:t>2007</w:t>
            </w:r>
            <w:r w:rsidR="00151B37">
              <w:rPr>
                <w:rFonts w:eastAsia="Calibri" w:cs="Calibri"/>
              </w:rPr>
              <w:t>)</w:t>
            </w:r>
          </w:p>
        </w:tc>
        <w:tc>
          <w:tcPr>
            <w:tcW w:w="1140" w:type="dxa"/>
          </w:tcPr>
          <w:p w:rsidR="1EEEA2B8" w:rsidRDefault="1EEEA2B8">
            <w:r w:rsidRPr="1EEEA2B8">
              <w:rPr>
                <w:rFonts w:eastAsia="Calibri" w:cs="Calibri"/>
              </w:rPr>
              <w:t>RCT</w:t>
            </w:r>
          </w:p>
        </w:tc>
        <w:tc>
          <w:tcPr>
            <w:tcW w:w="1245" w:type="dxa"/>
          </w:tcPr>
          <w:p w:rsidR="1EEEA2B8" w:rsidRDefault="1EEEA2B8">
            <w:r w:rsidRPr="1EEEA2B8">
              <w:rPr>
                <w:rFonts w:eastAsia="Calibri" w:cs="Calibri"/>
              </w:rPr>
              <w:t>USA</w:t>
            </w:r>
          </w:p>
        </w:tc>
        <w:tc>
          <w:tcPr>
            <w:tcW w:w="915" w:type="dxa"/>
          </w:tcPr>
          <w:p w:rsidR="1EEEA2B8" w:rsidRDefault="00F2109D">
            <w:r>
              <w:rPr>
                <w:rFonts w:eastAsia="Calibri" w:cs="Calibri"/>
              </w:rPr>
              <w:t>N=</w:t>
            </w:r>
            <w:r w:rsidR="1EEEA2B8" w:rsidRPr="1EEEA2B8">
              <w:rPr>
                <w:rFonts w:eastAsia="Calibri" w:cs="Calibri"/>
              </w:rPr>
              <w:t>405</w:t>
            </w:r>
          </w:p>
        </w:tc>
        <w:tc>
          <w:tcPr>
            <w:tcW w:w="3540" w:type="dxa"/>
          </w:tcPr>
          <w:p w:rsidR="1EEEA2B8" w:rsidRDefault="1EEEA2B8">
            <w:r w:rsidRPr="1EEEA2B8">
              <w:rPr>
                <w:rFonts w:eastAsia="Calibri" w:cs="Calibri"/>
              </w:rPr>
              <w:t>Abstainers after 3 months pharmacotherapy, 74 from inhaler, 141 bupropion, 190 combination</w:t>
            </w:r>
            <w:r w:rsidR="00BD7550">
              <w:rPr>
                <w:rFonts w:eastAsia="Calibri" w:cs="Calibri"/>
              </w:rPr>
              <w:t>.</w:t>
            </w:r>
            <w:r w:rsidRPr="1EEEA2B8">
              <w:rPr>
                <w:rFonts w:eastAsia="Calibri" w:cs="Calibri"/>
              </w:rPr>
              <w:t xml:space="preserve"> Participant characteristics not presented at start of relapse prevention phase</w:t>
            </w:r>
          </w:p>
        </w:tc>
        <w:tc>
          <w:tcPr>
            <w:tcW w:w="3960" w:type="dxa"/>
          </w:tcPr>
          <w:p w:rsidR="1EEEA2B8" w:rsidRDefault="1EEEA2B8">
            <w:r w:rsidRPr="1EEEA2B8">
              <w:rPr>
                <w:rFonts w:eastAsia="Calibri" w:cs="Calibri"/>
              </w:rPr>
              <w:t>Common components: In cessation phase, participants had been randomly assigned to bupropion (300 mg), nicotine inhaler (up to 16 cartridges/day) or combination. Physician advice at entry, brief (&lt; 10 min) counselling at monthly study visits (total 12 to 18, including relapse prevention phase) and self-help. Abstainers (7day point prevalence after 3 months therapy) eligible for relapse prevention phase relapse prevention intervention randomly assigned single-therapy abstainers to continue cessation therapy or placebo for 9 months Combined therapy abstainers randomly assigned to 4 groups: combination, placebo and single therapy, or double placebo</w:t>
            </w:r>
          </w:p>
        </w:tc>
        <w:tc>
          <w:tcPr>
            <w:tcW w:w="2239" w:type="dxa"/>
          </w:tcPr>
          <w:p w:rsidR="1EEEA2B8" w:rsidRDefault="1EEEA2B8">
            <w:pPr>
              <w:rPr>
                <w:rFonts w:eastAsia="Calibri" w:cs="Calibri"/>
              </w:rPr>
            </w:pPr>
            <w:r w:rsidRPr="00C324F3">
              <w:rPr>
                <w:rFonts w:eastAsia="Calibri"/>
                <w:u w:val="single"/>
              </w:rPr>
              <w:t>Efficacy:</w:t>
            </w:r>
            <w:r w:rsidRPr="41AEDE56">
              <w:rPr>
                <w:rFonts w:eastAsia="Calibri" w:cs="Calibri"/>
              </w:rPr>
              <w:t xml:space="preserve"> Abstinence at 15 months (from TQD, 12 months from relapse prevention start, 3 months from EOT) (PP) Validation: CO ≤ 8 ppm</w:t>
            </w:r>
          </w:p>
          <w:p w:rsidR="1EEEA2B8" w:rsidRDefault="1EEEA2B8">
            <w:pPr>
              <w:rPr>
                <w:rFonts w:eastAsia="Calibri" w:cs="Calibri"/>
              </w:rPr>
            </w:pPr>
            <w:r w:rsidRPr="1EEEA2B8">
              <w:rPr>
                <w:rFonts w:eastAsia="Calibri" w:cs="Calibri"/>
              </w:rPr>
              <w:t xml:space="preserve"> </w:t>
            </w:r>
          </w:p>
          <w:p w:rsidR="1EEEA2B8" w:rsidRDefault="1EEEA2B8">
            <w:pPr>
              <w:rPr>
                <w:rFonts w:eastAsia="Calibri" w:cs="Calibri"/>
              </w:rPr>
            </w:pPr>
            <w:r w:rsidRPr="00C324F3">
              <w:rPr>
                <w:rFonts w:eastAsia="Calibri"/>
                <w:u w:val="single"/>
              </w:rPr>
              <w:t>Safety:</w:t>
            </w:r>
            <w:r w:rsidRPr="41AEDE56">
              <w:rPr>
                <w:rFonts w:eastAsia="Calibri" w:cs="Calibri"/>
              </w:rPr>
              <w:t xml:space="preserve"> NR</w:t>
            </w:r>
          </w:p>
          <w:p w:rsidR="1EEEA2B8" w:rsidRDefault="1EEEA2B8" w:rsidP="1EEEA2B8">
            <w:pPr>
              <w:rPr>
                <w:rFonts w:eastAsia="Calibri" w:cs="Calibri"/>
              </w:rPr>
            </w:pPr>
          </w:p>
        </w:tc>
      </w:tr>
    </w:tbl>
    <w:p w:rsidR="001D607C" w:rsidRPr="009B042A" w:rsidRDefault="001D607C" w:rsidP="006B48C7">
      <w:pPr>
        <w:pStyle w:val="TableFooter"/>
      </w:pPr>
      <w:r>
        <w:t>Source: Livingstone-Banks</w:t>
      </w:r>
      <w:r w:rsidRPr="008B0097">
        <w:t xml:space="preserve"> et al. (2019</w:t>
      </w:r>
      <w:r>
        <w:t>).</w:t>
      </w:r>
      <w:r w:rsidRPr="009B042A">
        <w:t xml:space="preserve"> </w:t>
      </w:r>
    </w:p>
    <w:p w:rsidR="00C55E04" w:rsidRDefault="001D607C" w:rsidP="006B48C7">
      <w:pPr>
        <w:pStyle w:val="TableFooter"/>
      </w:pPr>
      <w:r>
        <w:t xml:space="preserve">Abbreviations: NR= not reported; </w:t>
      </w:r>
      <w:r w:rsidRPr="009B042A">
        <w:t xml:space="preserve">PPA= point prevalence smoking abstinence; </w:t>
      </w:r>
      <w:r>
        <w:t xml:space="preserve">CAR= continuous abstinence rate;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CPD= cigarette per day; AEs= adverse events; SAEs= serious adverse events.</w:t>
      </w:r>
    </w:p>
    <w:p w:rsidR="008D6F8C" w:rsidRDefault="008D6F8C" w:rsidP="008D6F8C">
      <w:pPr>
        <w:pStyle w:val="Caption"/>
        <w:keepNext/>
      </w:pPr>
      <w:bookmarkStart w:id="392" w:name="_Ref62139712"/>
      <w:r>
        <w:lastRenderedPageBreak/>
        <w:t xml:space="preserve">Table </w:t>
      </w:r>
      <w:r w:rsidR="003C4A1C">
        <w:rPr>
          <w:noProof/>
        </w:rPr>
        <w:t>161</w:t>
      </w:r>
      <w:bookmarkEnd w:id="392"/>
      <w:r>
        <w:t xml:space="preserve">: </w:t>
      </w:r>
      <w:r w:rsidRPr="00CA635F">
        <w:t>Characteristics of studies included in Lindson et al. (2019), NRT dose</w:t>
      </w:r>
    </w:p>
    <w:tbl>
      <w:tblPr>
        <w:tblStyle w:val="TableGrid"/>
        <w:tblW w:w="13950" w:type="dxa"/>
        <w:tblLayout w:type="fixed"/>
        <w:tblLook w:val="04A0" w:firstRow="1" w:lastRow="0" w:firstColumn="1" w:lastColumn="0" w:noHBand="0" w:noVBand="1"/>
      </w:tblPr>
      <w:tblGrid>
        <w:gridCol w:w="1350"/>
        <w:gridCol w:w="840"/>
        <w:gridCol w:w="1185"/>
        <w:gridCol w:w="975"/>
        <w:gridCol w:w="3885"/>
        <w:gridCol w:w="3722"/>
        <w:gridCol w:w="1993"/>
      </w:tblGrid>
      <w:tr w:rsidR="703B87A8" w:rsidTr="00C55E04">
        <w:tc>
          <w:tcPr>
            <w:tcW w:w="1350" w:type="dxa"/>
            <w:shd w:val="clear" w:color="auto" w:fill="A6A6A6" w:themeFill="background1" w:themeFillShade="A6"/>
          </w:tcPr>
          <w:p w:rsidR="703B87A8" w:rsidRDefault="703B87A8">
            <w:r w:rsidRPr="703B87A8">
              <w:rPr>
                <w:rFonts w:eastAsia="Calibri" w:cs="Calibri"/>
                <w:b/>
                <w:bCs/>
              </w:rPr>
              <w:t>Study</w:t>
            </w:r>
          </w:p>
        </w:tc>
        <w:tc>
          <w:tcPr>
            <w:tcW w:w="840" w:type="dxa"/>
            <w:shd w:val="clear" w:color="auto" w:fill="A6A6A6" w:themeFill="background1" w:themeFillShade="A6"/>
          </w:tcPr>
          <w:p w:rsidR="703B87A8" w:rsidRDefault="703B87A8" w:rsidP="703B87A8">
            <w:pPr>
              <w:jc w:val="center"/>
            </w:pPr>
            <w:r w:rsidRPr="703B87A8">
              <w:rPr>
                <w:rFonts w:eastAsia="Calibri" w:cs="Calibri"/>
                <w:b/>
                <w:bCs/>
                <w:color w:val="000000" w:themeColor="text1"/>
              </w:rPr>
              <w:t>Study type</w:t>
            </w:r>
          </w:p>
        </w:tc>
        <w:tc>
          <w:tcPr>
            <w:tcW w:w="1185" w:type="dxa"/>
            <w:shd w:val="clear" w:color="auto" w:fill="A6A6A6" w:themeFill="background1" w:themeFillShade="A6"/>
          </w:tcPr>
          <w:p w:rsidR="703B87A8" w:rsidRDefault="703B87A8" w:rsidP="703B87A8">
            <w:pPr>
              <w:jc w:val="center"/>
            </w:pPr>
            <w:r w:rsidRPr="703B87A8">
              <w:rPr>
                <w:rFonts w:eastAsia="Calibri" w:cs="Calibri"/>
                <w:b/>
                <w:bCs/>
                <w:color w:val="000000" w:themeColor="text1"/>
              </w:rPr>
              <w:t>Countries</w:t>
            </w:r>
          </w:p>
        </w:tc>
        <w:tc>
          <w:tcPr>
            <w:tcW w:w="975" w:type="dxa"/>
            <w:shd w:val="clear" w:color="auto" w:fill="A6A6A6" w:themeFill="background1" w:themeFillShade="A6"/>
          </w:tcPr>
          <w:p w:rsidR="703B87A8" w:rsidRDefault="703B87A8" w:rsidP="703B87A8">
            <w:pPr>
              <w:jc w:val="center"/>
            </w:pPr>
            <w:r w:rsidRPr="703B87A8">
              <w:rPr>
                <w:rFonts w:eastAsia="Calibri" w:cs="Calibri"/>
                <w:b/>
                <w:bCs/>
                <w:color w:val="000000" w:themeColor="text1"/>
              </w:rPr>
              <w:t>N</w:t>
            </w:r>
          </w:p>
        </w:tc>
        <w:tc>
          <w:tcPr>
            <w:tcW w:w="3885" w:type="dxa"/>
            <w:shd w:val="clear" w:color="auto" w:fill="A6A6A6" w:themeFill="background1" w:themeFillShade="A6"/>
          </w:tcPr>
          <w:p w:rsidR="703B87A8" w:rsidRDefault="703B87A8" w:rsidP="703B87A8">
            <w:pPr>
              <w:jc w:val="center"/>
            </w:pPr>
            <w:r w:rsidRPr="703B87A8">
              <w:rPr>
                <w:rFonts w:eastAsia="Calibri" w:cs="Calibri"/>
                <w:b/>
                <w:bCs/>
                <w:color w:val="000000" w:themeColor="text1"/>
              </w:rPr>
              <w:t>Population</w:t>
            </w:r>
          </w:p>
        </w:tc>
        <w:tc>
          <w:tcPr>
            <w:tcW w:w="3722" w:type="dxa"/>
            <w:shd w:val="clear" w:color="auto" w:fill="A6A6A6" w:themeFill="background1" w:themeFillShade="A6"/>
          </w:tcPr>
          <w:p w:rsidR="703B87A8" w:rsidRDefault="703B87A8" w:rsidP="703B87A8">
            <w:pPr>
              <w:jc w:val="center"/>
            </w:pPr>
            <w:r w:rsidRPr="703B87A8">
              <w:rPr>
                <w:rFonts w:eastAsia="Calibri" w:cs="Calibri"/>
                <w:b/>
                <w:bCs/>
                <w:color w:val="000000" w:themeColor="text1"/>
              </w:rPr>
              <w:t>Intervention and comparator</w:t>
            </w:r>
          </w:p>
        </w:tc>
        <w:tc>
          <w:tcPr>
            <w:tcW w:w="1993" w:type="dxa"/>
            <w:shd w:val="clear" w:color="auto" w:fill="A6A6A6" w:themeFill="background1" w:themeFillShade="A6"/>
          </w:tcPr>
          <w:p w:rsidR="703B87A8" w:rsidRDefault="703B87A8" w:rsidP="703B87A8">
            <w:pPr>
              <w:jc w:val="center"/>
            </w:pPr>
            <w:r w:rsidRPr="703B87A8">
              <w:rPr>
                <w:rFonts w:eastAsia="Calibri" w:cs="Calibri"/>
                <w:b/>
                <w:bCs/>
                <w:color w:val="000000" w:themeColor="text1"/>
              </w:rPr>
              <w:t>Outcomes</w:t>
            </w:r>
          </w:p>
        </w:tc>
      </w:tr>
      <w:tr w:rsidR="703B87A8" w:rsidTr="00C55E04">
        <w:tc>
          <w:tcPr>
            <w:tcW w:w="1350" w:type="dxa"/>
          </w:tcPr>
          <w:p w:rsidR="703B87A8" w:rsidRPr="001526F0" w:rsidRDefault="703B87A8">
            <w:pPr>
              <w:rPr>
                <w:rFonts w:eastAsia="Calibri" w:cs="Calibri"/>
              </w:rPr>
            </w:pPr>
            <w:r w:rsidRPr="001526F0">
              <w:rPr>
                <w:rFonts w:eastAsia="Calibri"/>
              </w:rPr>
              <w:t xml:space="preserve">TNSG </w:t>
            </w:r>
            <w:r w:rsidR="00594FCC">
              <w:rPr>
                <w:rFonts w:eastAsia="Calibri" w:cs="Calibri"/>
              </w:rPr>
              <w:t>(</w:t>
            </w:r>
            <w:r w:rsidRPr="001526F0">
              <w:rPr>
                <w:rFonts w:eastAsia="Calibri"/>
              </w:rPr>
              <w:t>1991</w:t>
            </w:r>
            <w:r w:rsidR="00594FCC">
              <w:rPr>
                <w:rFonts w:eastAsia="Calibri" w:cs="Calibri"/>
              </w:rPr>
              <w:t>)</w:t>
            </w:r>
          </w:p>
        </w:tc>
        <w:tc>
          <w:tcPr>
            <w:tcW w:w="840" w:type="dxa"/>
          </w:tcPr>
          <w:p w:rsidR="703B87A8" w:rsidRDefault="703B87A8">
            <w:r w:rsidRPr="703B87A8">
              <w:rPr>
                <w:rFonts w:eastAsia="Calibri" w:cs="Calibri"/>
              </w:rPr>
              <w:t>RCT</w:t>
            </w:r>
          </w:p>
        </w:tc>
        <w:tc>
          <w:tcPr>
            <w:tcW w:w="1185" w:type="dxa"/>
          </w:tcPr>
          <w:p w:rsidR="703B87A8" w:rsidRDefault="703B87A8">
            <w:r w:rsidRPr="703B87A8">
              <w:rPr>
                <w:rFonts w:eastAsia="Calibri" w:cs="Calibri"/>
              </w:rPr>
              <w:t>USA</w:t>
            </w:r>
          </w:p>
        </w:tc>
        <w:tc>
          <w:tcPr>
            <w:tcW w:w="975" w:type="dxa"/>
          </w:tcPr>
          <w:p w:rsidR="703B87A8" w:rsidRDefault="00F2109D">
            <w:r>
              <w:rPr>
                <w:rFonts w:eastAsia="Calibri" w:cs="Calibri"/>
              </w:rPr>
              <w:t>N=</w:t>
            </w:r>
            <w:r w:rsidR="703B87A8" w:rsidRPr="703B87A8">
              <w:rPr>
                <w:rFonts w:eastAsia="Calibri" w:cs="Calibri"/>
              </w:rPr>
              <w:t>808</w:t>
            </w:r>
          </w:p>
        </w:tc>
        <w:tc>
          <w:tcPr>
            <w:tcW w:w="3885" w:type="dxa"/>
          </w:tcPr>
          <w:p w:rsidR="703B87A8" w:rsidRDefault="703B87A8">
            <w:r w:rsidRPr="703B87A8">
              <w:rPr>
                <w:rFonts w:eastAsia="Calibri" w:cs="Calibri"/>
              </w:rPr>
              <w:t xml:space="preserve">Unselected smokers 40% men, </w:t>
            </w:r>
            <w:r w:rsidR="00EC221A" w:rsidRPr="703B87A8">
              <w:rPr>
                <w:rFonts w:eastAsia="Calibri" w:cs="Calibri"/>
              </w:rPr>
              <w:t>av</w:t>
            </w:r>
            <w:r w:rsidR="00EC221A">
              <w:rPr>
                <w:rFonts w:eastAsia="Calibri" w:cs="Calibri"/>
              </w:rPr>
              <w:t>erage</w:t>
            </w:r>
            <w:r w:rsidRPr="703B87A8">
              <w:rPr>
                <w:rFonts w:eastAsia="Calibri" w:cs="Calibri"/>
              </w:rPr>
              <w:t xml:space="preserve"> age 43, av</w:t>
            </w:r>
            <w:r w:rsidR="00EC221A">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31</w:t>
            </w:r>
          </w:p>
        </w:tc>
        <w:tc>
          <w:tcPr>
            <w:tcW w:w="3722" w:type="dxa"/>
          </w:tcPr>
          <w:p w:rsidR="703B87A8" w:rsidRDefault="703B87A8" w:rsidP="00C324F3">
            <w:pPr>
              <w:pStyle w:val="ListParagraph"/>
              <w:numPr>
                <w:ilvl w:val="0"/>
                <w:numId w:val="270"/>
              </w:numPr>
              <w:rPr>
                <w:rFonts w:eastAsia="Calibri" w:cs="Calibri"/>
              </w:rPr>
            </w:pPr>
            <w:r w:rsidRPr="703B87A8">
              <w:t xml:space="preserve">Nicotine patch (21 mg /24-hour, 6 </w:t>
            </w:r>
            <w:r w:rsidR="2942BD6B" w:rsidRPr="2942BD6B">
              <w:t>w</w:t>
            </w:r>
            <w:r w:rsidR="3D5B7659" w:rsidRPr="2942BD6B">
              <w:t>ee</w:t>
            </w:r>
            <w:r w:rsidR="2942BD6B" w:rsidRPr="2942BD6B">
              <w:t>ks</w:t>
            </w:r>
            <w:r w:rsidRPr="703B87A8">
              <w:t>+).</w:t>
            </w:r>
          </w:p>
          <w:p w:rsidR="703B87A8" w:rsidRDefault="703B87A8" w:rsidP="00C324F3">
            <w:pPr>
              <w:pStyle w:val="ListParagraph"/>
              <w:numPr>
                <w:ilvl w:val="0"/>
                <w:numId w:val="270"/>
              </w:numPr>
              <w:rPr>
                <w:rFonts w:eastAsia="Calibri" w:cs="Calibri"/>
              </w:rPr>
            </w:pPr>
            <w:r w:rsidRPr="703B87A8">
              <w:t>Nicotine patch 14 mg 3. Placebo patch</w:t>
            </w:r>
          </w:p>
          <w:p w:rsidR="703B87A8" w:rsidRDefault="703B87A8">
            <w:r w:rsidRPr="703B87A8">
              <w:rPr>
                <w:rFonts w:eastAsia="Calibri" w:cs="Calibri"/>
              </w:rPr>
              <w:t xml:space="preserve"> </w:t>
            </w:r>
          </w:p>
          <w:p w:rsidR="703B87A8" w:rsidRDefault="703B87A8">
            <w:r w:rsidRPr="00C324F3">
              <w:rPr>
                <w:rFonts w:eastAsia="Calibri"/>
                <w:u w:val="single"/>
              </w:rPr>
              <w:t>Common components:</w:t>
            </w:r>
            <w:r w:rsidRPr="703B87A8">
              <w:rPr>
                <w:rFonts w:eastAsia="Calibri" w:cs="Calibri"/>
              </w:rPr>
              <w:t xml:space="preserve"> Abstainers at end of </w:t>
            </w:r>
            <w:r w:rsidR="2942BD6B" w:rsidRPr="2942BD6B">
              <w:rPr>
                <w:rFonts w:eastAsia="Calibri" w:cs="Calibri"/>
              </w:rPr>
              <w:t>w</w:t>
            </w:r>
            <w:r w:rsidR="69DA9FDA" w:rsidRPr="2942BD6B">
              <w:rPr>
                <w:rFonts w:eastAsia="Calibri" w:cs="Calibri"/>
              </w:rPr>
              <w:t>ee</w:t>
            </w:r>
            <w:r w:rsidR="2942BD6B" w:rsidRPr="2942BD6B">
              <w:rPr>
                <w:rFonts w:eastAsia="Calibri" w:cs="Calibri"/>
              </w:rPr>
              <w:t>k</w:t>
            </w:r>
            <w:r w:rsidRPr="703B87A8">
              <w:rPr>
                <w:rFonts w:eastAsia="Calibri" w:cs="Calibri"/>
              </w:rPr>
              <w:t xml:space="preserve"> 6 entered a randomized blinded trial of weaning</w:t>
            </w:r>
          </w:p>
        </w:tc>
        <w:tc>
          <w:tcPr>
            <w:tcW w:w="1993" w:type="dxa"/>
          </w:tcPr>
          <w:p w:rsidR="0058385F" w:rsidRDefault="703B87A8">
            <w:pPr>
              <w:rPr>
                <w:rFonts w:eastAsia="Calibri" w:cs="Calibri"/>
              </w:rPr>
            </w:pPr>
            <w:r w:rsidRPr="00C324F3">
              <w:rPr>
                <w:rFonts w:eastAsia="Calibri"/>
                <w:u w:val="single"/>
              </w:rPr>
              <w:t>Efficacy:</w:t>
            </w:r>
            <w:r w:rsidRPr="703B87A8">
              <w:rPr>
                <w:rFonts w:eastAsia="Calibri" w:cs="Calibri"/>
              </w:rPr>
              <w:t xml:space="preserve"> Sustained abstinence at 6 m</w:t>
            </w:r>
            <w:r w:rsidR="0058385F">
              <w:rPr>
                <w:rFonts w:eastAsia="Calibri" w:cs="Calibri"/>
              </w:rPr>
              <w:t>onths.</w:t>
            </w:r>
            <w:r w:rsidRPr="703B87A8">
              <w:rPr>
                <w:rFonts w:eastAsia="Calibri" w:cs="Calibri"/>
              </w:rPr>
              <w:t xml:space="preserve"> </w:t>
            </w:r>
          </w:p>
          <w:p w:rsidR="703B87A8" w:rsidRDefault="703B87A8">
            <w:r w:rsidRPr="703B87A8">
              <w:rPr>
                <w:rFonts w:eastAsia="Calibri" w:cs="Calibri"/>
              </w:rPr>
              <w:t>Validation: CO &lt; 8 ppm</w:t>
            </w:r>
          </w:p>
          <w:p w:rsidR="703B87A8" w:rsidRDefault="703B87A8">
            <w:r w:rsidRPr="703B87A8">
              <w:rPr>
                <w:rFonts w:eastAsia="Calibri" w:cs="Calibri"/>
              </w:rPr>
              <w:t xml:space="preserve"> </w:t>
            </w:r>
          </w:p>
          <w:p w:rsidR="703B87A8" w:rsidRDefault="703B87A8">
            <w:r w:rsidRPr="00C324F3">
              <w:rPr>
                <w:rFonts w:eastAsia="Calibri"/>
                <w:u w:val="single"/>
              </w:rPr>
              <w:t>Safety:</w:t>
            </w:r>
            <w:r w:rsidRPr="703B87A8">
              <w:rPr>
                <w:rFonts w:eastAsia="Calibri" w:cs="Calibri"/>
              </w:rPr>
              <w:t xml:space="preserve"> NR</w:t>
            </w:r>
          </w:p>
        </w:tc>
      </w:tr>
      <w:tr w:rsidR="703B87A8" w:rsidTr="00C55E04">
        <w:tc>
          <w:tcPr>
            <w:tcW w:w="1350" w:type="dxa"/>
          </w:tcPr>
          <w:p w:rsidR="703B87A8" w:rsidRPr="001526F0" w:rsidRDefault="703B87A8">
            <w:pPr>
              <w:rPr>
                <w:rFonts w:eastAsia="Calibri" w:cs="Calibri"/>
              </w:rPr>
            </w:pPr>
            <w:r w:rsidRPr="703B87A8">
              <w:rPr>
                <w:rFonts w:eastAsia="Calibri" w:cs="Calibri"/>
              </w:rPr>
              <w:t xml:space="preserve">CEASE </w:t>
            </w:r>
            <w:r w:rsidR="00594FCC">
              <w:rPr>
                <w:rFonts w:eastAsia="Calibri" w:cs="Calibri"/>
              </w:rPr>
              <w:t>(</w:t>
            </w:r>
            <w:r w:rsidRPr="703B87A8">
              <w:rPr>
                <w:rFonts w:eastAsia="Calibri" w:cs="Calibri"/>
              </w:rPr>
              <w:t>1999</w:t>
            </w:r>
            <w:r w:rsidR="00594FCC">
              <w:rPr>
                <w:rFonts w:eastAsia="Calibri" w:cs="Calibri"/>
              </w:rPr>
              <w:t>)</w:t>
            </w:r>
          </w:p>
        </w:tc>
        <w:tc>
          <w:tcPr>
            <w:tcW w:w="840" w:type="dxa"/>
          </w:tcPr>
          <w:p w:rsidR="703B87A8" w:rsidRDefault="703B87A8">
            <w:r w:rsidRPr="703B87A8">
              <w:rPr>
                <w:rFonts w:eastAsia="Calibri" w:cs="Calibri"/>
              </w:rPr>
              <w:t>RCT</w:t>
            </w:r>
          </w:p>
        </w:tc>
        <w:tc>
          <w:tcPr>
            <w:tcW w:w="1185" w:type="dxa"/>
          </w:tcPr>
          <w:p w:rsidR="703B87A8" w:rsidRDefault="703B87A8">
            <w:r w:rsidRPr="703B87A8">
              <w:rPr>
                <w:rFonts w:eastAsia="Calibri" w:cs="Calibri"/>
              </w:rPr>
              <w:t>17 European countries</w:t>
            </w:r>
          </w:p>
        </w:tc>
        <w:tc>
          <w:tcPr>
            <w:tcW w:w="975" w:type="dxa"/>
          </w:tcPr>
          <w:p w:rsidR="703B87A8" w:rsidRDefault="00F2109D">
            <w:r>
              <w:rPr>
                <w:rFonts w:eastAsia="Calibri" w:cs="Calibri"/>
              </w:rPr>
              <w:t>N=</w:t>
            </w:r>
            <w:r w:rsidR="703B87A8" w:rsidRPr="703B87A8">
              <w:rPr>
                <w:rFonts w:eastAsia="Calibri" w:cs="Calibri"/>
              </w:rPr>
              <w:t>3575</w:t>
            </w:r>
          </w:p>
        </w:tc>
        <w:tc>
          <w:tcPr>
            <w:tcW w:w="3885" w:type="dxa"/>
          </w:tcPr>
          <w:p w:rsidR="703B87A8" w:rsidRDefault="703B87A8">
            <w:r w:rsidRPr="703B87A8">
              <w:rPr>
                <w:rFonts w:eastAsia="Calibri" w:cs="Calibri"/>
              </w:rPr>
              <w:t xml:space="preserve">Smokers (&gt; 14 cpd) 52% men, </w:t>
            </w:r>
            <w:r w:rsidR="00EC221A" w:rsidRPr="703B87A8">
              <w:rPr>
                <w:rFonts w:eastAsia="Calibri" w:cs="Calibri"/>
              </w:rPr>
              <w:t>av</w:t>
            </w:r>
            <w:r w:rsidR="00EC221A">
              <w:rPr>
                <w:rFonts w:eastAsia="Calibri" w:cs="Calibri"/>
              </w:rPr>
              <w:t>erage</w:t>
            </w:r>
            <w:r w:rsidRPr="703B87A8">
              <w:rPr>
                <w:rFonts w:eastAsia="Calibri" w:cs="Calibri"/>
              </w:rPr>
              <w:t xml:space="preserve"> age 41, </w:t>
            </w:r>
            <w:r w:rsidR="00EC221A" w:rsidRPr="703B87A8">
              <w:rPr>
                <w:rFonts w:eastAsia="Calibri" w:cs="Calibri"/>
              </w:rPr>
              <w:t>av</w:t>
            </w:r>
            <w:r w:rsidR="00EC221A">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27 (34% had previously used NRT)</w:t>
            </w:r>
          </w:p>
        </w:tc>
        <w:tc>
          <w:tcPr>
            <w:tcW w:w="3722" w:type="dxa"/>
          </w:tcPr>
          <w:p w:rsidR="703B87A8" w:rsidRDefault="703B87A8" w:rsidP="00C324F3">
            <w:pPr>
              <w:pStyle w:val="ListParagraph"/>
              <w:numPr>
                <w:ilvl w:val="0"/>
                <w:numId w:val="269"/>
              </w:numPr>
              <w:rPr>
                <w:rFonts w:eastAsia="Calibri" w:cs="Calibri"/>
              </w:rPr>
            </w:pPr>
            <w:r w:rsidRPr="703B87A8">
              <w:t>25 mg patch for 28 weeks</w:t>
            </w:r>
          </w:p>
          <w:p w:rsidR="703B87A8" w:rsidRDefault="703B87A8" w:rsidP="00C324F3">
            <w:pPr>
              <w:pStyle w:val="ListParagraph"/>
              <w:numPr>
                <w:ilvl w:val="0"/>
                <w:numId w:val="269"/>
              </w:numPr>
              <w:rPr>
                <w:rFonts w:eastAsia="Calibri" w:cs="Calibri"/>
              </w:rPr>
            </w:pPr>
            <w:r w:rsidRPr="703B87A8">
              <w:t>25 mg patch for 12 weeks</w:t>
            </w:r>
          </w:p>
          <w:p w:rsidR="703B87A8" w:rsidRDefault="703B87A8" w:rsidP="00C324F3">
            <w:pPr>
              <w:pStyle w:val="ListParagraph"/>
              <w:numPr>
                <w:ilvl w:val="0"/>
                <w:numId w:val="269"/>
              </w:numPr>
              <w:rPr>
                <w:rFonts w:eastAsia="Calibri" w:cs="Calibri"/>
              </w:rPr>
            </w:pPr>
            <w:r w:rsidRPr="703B87A8">
              <w:t>15 mg patch for 28 weeks</w:t>
            </w:r>
          </w:p>
          <w:p w:rsidR="703B87A8" w:rsidRDefault="703B87A8" w:rsidP="00C324F3">
            <w:pPr>
              <w:pStyle w:val="ListParagraph"/>
              <w:numPr>
                <w:ilvl w:val="0"/>
                <w:numId w:val="269"/>
              </w:numPr>
              <w:rPr>
                <w:rFonts w:eastAsia="Calibri" w:cs="Calibri"/>
              </w:rPr>
            </w:pPr>
            <w:r w:rsidRPr="703B87A8">
              <w:t>15 mg patch for 12 weeks</w:t>
            </w:r>
          </w:p>
          <w:p w:rsidR="703B87A8" w:rsidRDefault="703B87A8" w:rsidP="00C324F3">
            <w:pPr>
              <w:pStyle w:val="ListParagraph"/>
              <w:numPr>
                <w:ilvl w:val="0"/>
                <w:numId w:val="269"/>
              </w:numPr>
              <w:rPr>
                <w:rFonts w:eastAsia="Calibri" w:cs="Calibri"/>
              </w:rPr>
            </w:pPr>
            <w:r w:rsidRPr="703B87A8">
              <w:t>Placebo</w:t>
            </w:r>
          </w:p>
          <w:p w:rsidR="703B87A8" w:rsidRDefault="703B87A8">
            <w:r w:rsidRPr="703B87A8">
              <w:rPr>
                <w:rFonts w:eastAsia="Calibri" w:cs="Calibri"/>
              </w:rPr>
              <w:t xml:space="preserve"> </w:t>
            </w:r>
          </w:p>
          <w:p w:rsidR="703B87A8" w:rsidRDefault="703B87A8">
            <w:r w:rsidRPr="00C324F3">
              <w:rPr>
                <w:rFonts w:eastAsia="Calibri"/>
                <w:u w:val="single"/>
              </w:rPr>
              <w:t>Common components:</w:t>
            </w:r>
            <w:r w:rsidRPr="703B87A8">
              <w:rPr>
                <w:rFonts w:eastAsia="Calibri" w:cs="Calibri"/>
              </w:rPr>
              <w:t xml:space="preserve"> Factorial design compared 2 patch doses and 2 treatment durations. Dose 15 mg or 25 mg (16-hour), duration of active treatment 28 weeks (incl 4-wk fading) or 12 weeks (incl 4-wk fading).</w:t>
            </w:r>
          </w:p>
        </w:tc>
        <w:tc>
          <w:tcPr>
            <w:tcW w:w="1993" w:type="dxa"/>
          </w:tcPr>
          <w:p w:rsidR="703B87A8" w:rsidRDefault="703B87A8">
            <w:r w:rsidRPr="00C324F3">
              <w:rPr>
                <w:rFonts w:eastAsia="Calibri"/>
                <w:u w:val="single"/>
              </w:rPr>
              <w:t>Efficacy</w:t>
            </w:r>
            <w:r w:rsidRPr="703B87A8">
              <w:rPr>
                <w:rFonts w:eastAsia="Calibri" w:cs="Calibri"/>
              </w:rPr>
              <w:t>: Prolonged abstinence at 12 m</w:t>
            </w:r>
            <w:r w:rsidR="0058385F">
              <w:rPr>
                <w:rFonts w:eastAsia="Calibri" w:cs="Calibri"/>
              </w:rPr>
              <w:t>onths</w:t>
            </w:r>
            <w:r w:rsidRPr="703B87A8">
              <w:rPr>
                <w:rFonts w:eastAsia="Calibri" w:cs="Calibri"/>
              </w:rPr>
              <w:t>, sustained from w</w:t>
            </w:r>
            <w:r w:rsidR="0058385F">
              <w:rPr>
                <w:rFonts w:eastAsia="Calibri" w:cs="Calibri"/>
              </w:rPr>
              <w:t>ee</w:t>
            </w:r>
            <w:r w:rsidRPr="703B87A8">
              <w:rPr>
                <w:rFonts w:eastAsia="Calibri" w:cs="Calibri"/>
              </w:rPr>
              <w:t>k 2 Validation: expired CO &lt; 10 ppm at each clinic visit</w:t>
            </w:r>
          </w:p>
          <w:p w:rsidR="703B87A8" w:rsidRDefault="703B87A8">
            <w:r w:rsidRPr="703B87A8">
              <w:rPr>
                <w:rFonts w:eastAsia="Calibri" w:cs="Calibri"/>
              </w:rPr>
              <w:t xml:space="preserve"> </w:t>
            </w:r>
          </w:p>
          <w:p w:rsidR="703B87A8" w:rsidRDefault="703B87A8">
            <w:r w:rsidRPr="00C324F3">
              <w:rPr>
                <w:rFonts w:eastAsia="Calibri"/>
                <w:u w:val="single"/>
              </w:rPr>
              <w:t>Safety:</w:t>
            </w:r>
            <w:r w:rsidRPr="703B87A8">
              <w:rPr>
                <w:rFonts w:eastAsia="Calibri" w:cs="Calibri"/>
              </w:rPr>
              <w:t xml:space="preserve"> Adverse events. SAEs measured during whole study period, but cardiac AEs reported within 8-week treatment period</w:t>
            </w:r>
          </w:p>
        </w:tc>
      </w:tr>
      <w:tr w:rsidR="703B87A8" w:rsidTr="00C55E04">
        <w:tc>
          <w:tcPr>
            <w:tcW w:w="1350" w:type="dxa"/>
          </w:tcPr>
          <w:p w:rsidR="703B87A8" w:rsidRDefault="703B87A8">
            <w:r w:rsidRPr="703B87A8">
              <w:rPr>
                <w:rFonts w:eastAsia="Calibri" w:cs="Calibri"/>
              </w:rPr>
              <w:t xml:space="preserve">Killen </w:t>
            </w:r>
            <w:r w:rsidR="00594FCC">
              <w:rPr>
                <w:rFonts w:eastAsia="Calibri" w:cs="Calibri"/>
              </w:rPr>
              <w:t>(</w:t>
            </w:r>
            <w:r w:rsidRPr="703B87A8">
              <w:rPr>
                <w:rFonts w:eastAsia="Calibri" w:cs="Calibri"/>
              </w:rPr>
              <w:t>1999</w:t>
            </w:r>
            <w:r w:rsidR="00594FCC">
              <w:rPr>
                <w:rFonts w:eastAsia="Calibri" w:cs="Calibri"/>
              </w:rPr>
              <w:t>)</w:t>
            </w:r>
          </w:p>
        </w:tc>
        <w:tc>
          <w:tcPr>
            <w:tcW w:w="840" w:type="dxa"/>
          </w:tcPr>
          <w:p w:rsidR="703B87A8" w:rsidRDefault="703B87A8">
            <w:r w:rsidRPr="703B87A8">
              <w:rPr>
                <w:rFonts w:eastAsia="Calibri" w:cs="Calibri"/>
              </w:rPr>
              <w:t>RCT</w:t>
            </w:r>
          </w:p>
        </w:tc>
        <w:tc>
          <w:tcPr>
            <w:tcW w:w="1185" w:type="dxa"/>
          </w:tcPr>
          <w:p w:rsidR="703B87A8" w:rsidRDefault="703B87A8">
            <w:r w:rsidRPr="703B87A8">
              <w:rPr>
                <w:rFonts w:eastAsia="Calibri" w:cs="Calibri"/>
              </w:rPr>
              <w:t>USA</w:t>
            </w:r>
          </w:p>
        </w:tc>
        <w:tc>
          <w:tcPr>
            <w:tcW w:w="975" w:type="dxa"/>
          </w:tcPr>
          <w:p w:rsidR="703B87A8" w:rsidRDefault="00F2109D">
            <w:r>
              <w:rPr>
                <w:rFonts w:eastAsia="Calibri" w:cs="Calibri"/>
              </w:rPr>
              <w:t>N=</w:t>
            </w:r>
            <w:r w:rsidR="703B87A8" w:rsidRPr="703B87A8">
              <w:rPr>
                <w:rFonts w:eastAsia="Calibri" w:cs="Calibri"/>
              </w:rPr>
              <w:t>408</w:t>
            </w:r>
          </w:p>
        </w:tc>
        <w:tc>
          <w:tcPr>
            <w:tcW w:w="3885" w:type="dxa"/>
          </w:tcPr>
          <w:p w:rsidR="703B87A8" w:rsidRDefault="703B87A8">
            <w:r w:rsidRPr="703B87A8">
              <w:rPr>
                <w:rFonts w:eastAsia="Calibri" w:cs="Calibri"/>
              </w:rPr>
              <w:t xml:space="preserve">Heavy smokers (&gt; 25 cpd) 59% men, </w:t>
            </w:r>
            <w:r w:rsidR="00EC221A" w:rsidRPr="703B87A8">
              <w:rPr>
                <w:rFonts w:eastAsia="Calibri" w:cs="Calibri"/>
              </w:rPr>
              <w:t>av</w:t>
            </w:r>
            <w:r w:rsidR="00EC221A">
              <w:rPr>
                <w:rFonts w:eastAsia="Calibri" w:cs="Calibri"/>
              </w:rPr>
              <w:t>erage</w:t>
            </w:r>
            <w:r w:rsidRPr="703B87A8">
              <w:rPr>
                <w:rFonts w:eastAsia="Calibri" w:cs="Calibri"/>
              </w:rPr>
              <w:t xml:space="preserve"> age 47, </w:t>
            </w:r>
            <w:r w:rsidR="00EC221A" w:rsidRPr="703B87A8">
              <w:rPr>
                <w:rFonts w:eastAsia="Calibri" w:cs="Calibri"/>
              </w:rPr>
              <w:t>av</w:t>
            </w:r>
            <w:r w:rsidR="00EC221A">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36, modified FTND score 18</w:t>
            </w:r>
          </w:p>
        </w:tc>
        <w:tc>
          <w:tcPr>
            <w:tcW w:w="3722" w:type="dxa"/>
          </w:tcPr>
          <w:p w:rsidR="703B87A8" w:rsidRDefault="703B87A8" w:rsidP="00C324F3">
            <w:pPr>
              <w:pStyle w:val="ListParagraph"/>
              <w:numPr>
                <w:ilvl w:val="0"/>
                <w:numId w:val="268"/>
              </w:numPr>
              <w:rPr>
                <w:rFonts w:eastAsia="Calibri" w:cs="Calibri"/>
              </w:rPr>
            </w:pPr>
            <w:r w:rsidRPr="703B87A8">
              <w:t>25 mg nicotine patch for 6 weeks (16-hour, no tapering)</w:t>
            </w:r>
          </w:p>
          <w:p w:rsidR="703B87A8" w:rsidRDefault="703B87A8" w:rsidP="00C324F3">
            <w:pPr>
              <w:pStyle w:val="ListParagraph"/>
              <w:numPr>
                <w:ilvl w:val="0"/>
                <w:numId w:val="268"/>
              </w:numPr>
              <w:rPr>
                <w:rFonts w:eastAsia="Calibri" w:cs="Calibri"/>
              </w:rPr>
            </w:pPr>
            <w:r w:rsidRPr="703B87A8">
              <w:t xml:space="preserve">15 mg nicotine patch for 6 weeks </w:t>
            </w:r>
          </w:p>
          <w:p w:rsidR="703B87A8" w:rsidRDefault="703B87A8" w:rsidP="00C324F3">
            <w:pPr>
              <w:pStyle w:val="ListParagraph"/>
              <w:numPr>
                <w:ilvl w:val="0"/>
                <w:numId w:val="268"/>
              </w:numPr>
              <w:rPr>
                <w:rFonts w:eastAsia="Calibri" w:cs="Calibri"/>
              </w:rPr>
            </w:pPr>
            <w:r w:rsidRPr="703B87A8">
              <w:t>Self-help treatment manual, short video showing patch use and placement</w:t>
            </w:r>
          </w:p>
        </w:tc>
        <w:tc>
          <w:tcPr>
            <w:tcW w:w="1993" w:type="dxa"/>
          </w:tcPr>
          <w:p w:rsidR="703B87A8" w:rsidRDefault="703B87A8">
            <w:r w:rsidRPr="00C324F3">
              <w:rPr>
                <w:rFonts w:eastAsia="Calibri"/>
                <w:u w:val="single"/>
              </w:rPr>
              <w:t>Efficacy:</w:t>
            </w:r>
            <w:r w:rsidRPr="703B87A8">
              <w:rPr>
                <w:rFonts w:eastAsia="Calibri" w:cs="Calibri"/>
              </w:rPr>
              <w:t xml:space="preserve"> Sustained abstinence at 12 m (7-day PPA at both 6 and 12 m)</w:t>
            </w:r>
          </w:p>
          <w:p w:rsidR="703B87A8" w:rsidRDefault="703B87A8">
            <w:r w:rsidRPr="00C324F3">
              <w:rPr>
                <w:rFonts w:eastAsia="Calibri"/>
                <w:u w:val="single"/>
              </w:rPr>
              <w:t>Validation:</w:t>
            </w:r>
            <w:r w:rsidRPr="703B87A8">
              <w:rPr>
                <w:rFonts w:eastAsia="Calibri" w:cs="Calibri"/>
              </w:rPr>
              <w:t xml:space="preserve"> Saliva cotinine &lt; 20 ng/ml (not required for 3 individuals not in area)</w:t>
            </w:r>
          </w:p>
          <w:p w:rsidR="703B87A8" w:rsidRDefault="703B87A8">
            <w:r w:rsidRPr="703B87A8">
              <w:rPr>
                <w:rFonts w:eastAsia="Calibri" w:cs="Calibri"/>
              </w:rPr>
              <w:lastRenderedPageBreak/>
              <w:t xml:space="preserve"> </w:t>
            </w:r>
          </w:p>
          <w:p w:rsidR="703B87A8" w:rsidRDefault="703B87A8">
            <w:r w:rsidRPr="00C324F3">
              <w:rPr>
                <w:rFonts w:eastAsia="Calibri"/>
                <w:u w:val="single"/>
              </w:rPr>
              <w:t>Safety:</w:t>
            </w:r>
            <w:r w:rsidRPr="703B87A8">
              <w:rPr>
                <w:rFonts w:eastAsia="Calibri" w:cs="Calibri"/>
              </w:rPr>
              <w:t xml:space="preserve"> Adverse events</w:t>
            </w:r>
            <w:r w:rsidR="0058385F">
              <w:rPr>
                <w:rFonts w:eastAsia="Calibri" w:cs="Calibri"/>
              </w:rPr>
              <w:t xml:space="preserve"> m</w:t>
            </w:r>
            <w:r w:rsidRPr="703B87A8">
              <w:rPr>
                <w:rFonts w:eastAsia="Calibri" w:cs="Calibri"/>
              </w:rPr>
              <w:t>easured at 24 hours, and 1, 2, 4, and 6 weeks (during treatment)</w:t>
            </w:r>
          </w:p>
        </w:tc>
      </w:tr>
      <w:tr w:rsidR="703B87A8" w:rsidTr="00C55E04">
        <w:tc>
          <w:tcPr>
            <w:tcW w:w="1350" w:type="dxa"/>
          </w:tcPr>
          <w:p w:rsidR="703B87A8" w:rsidRDefault="703B87A8">
            <w:r w:rsidRPr="703B87A8">
              <w:rPr>
                <w:rFonts w:eastAsia="Calibri" w:cs="Calibri"/>
              </w:rPr>
              <w:lastRenderedPageBreak/>
              <w:t xml:space="preserve">Paoletti </w:t>
            </w:r>
            <w:r w:rsidR="00594FCC">
              <w:rPr>
                <w:rFonts w:eastAsia="Calibri" w:cs="Calibri"/>
              </w:rPr>
              <w:t>(</w:t>
            </w:r>
            <w:r w:rsidRPr="703B87A8">
              <w:rPr>
                <w:rFonts w:eastAsia="Calibri" w:cs="Calibri"/>
              </w:rPr>
              <w:t>1996</w:t>
            </w:r>
            <w:r w:rsidR="00594FCC">
              <w:rPr>
                <w:rFonts w:eastAsia="Calibri" w:cs="Calibri"/>
              </w:rPr>
              <w:t>)</w:t>
            </w:r>
          </w:p>
        </w:tc>
        <w:tc>
          <w:tcPr>
            <w:tcW w:w="840" w:type="dxa"/>
          </w:tcPr>
          <w:p w:rsidR="703B87A8" w:rsidRDefault="703B87A8">
            <w:r w:rsidRPr="703B87A8">
              <w:rPr>
                <w:rFonts w:eastAsia="Calibri" w:cs="Calibri"/>
              </w:rPr>
              <w:t>RCT</w:t>
            </w:r>
          </w:p>
        </w:tc>
        <w:tc>
          <w:tcPr>
            <w:tcW w:w="1185" w:type="dxa"/>
          </w:tcPr>
          <w:p w:rsidR="703B87A8" w:rsidRDefault="703B87A8">
            <w:r w:rsidRPr="703B87A8">
              <w:rPr>
                <w:rFonts w:eastAsia="Calibri" w:cs="Calibri"/>
              </w:rPr>
              <w:t>Italy</w:t>
            </w:r>
          </w:p>
        </w:tc>
        <w:tc>
          <w:tcPr>
            <w:tcW w:w="975" w:type="dxa"/>
          </w:tcPr>
          <w:p w:rsidR="703B87A8" w:rsidRDefault="00F2109D">
            <w:r>
              <w:rPr>
                <w:rFonts w:eastAsia="Calibri" w:cs="Calibri"/>
              </w:rPr>
              <w:t>N=</w:t>
            </w:r>
            <w:r w:rsidR="703B87A8" w:rsidRPr="703B87A8">
              <w:rPr>
                <w:rFonts w:eastAsia="Calibri" w:cs="Calibri"/>
              </w:rPr>
              <w:t>297</w:t>
            </w:r>
          </w:p>
        </w:tc>
        <w:tc>
          <w:tcPr>
            <w:tcW w:w="3885" w:type="dxa"/>
          </w:tcPr>
          <w:p w:rsidR="703B87A8" w:rsidRDefault="703B87A8">
            <w:r w:rsidRPr="703B87A8">
              <w:rPr>
                <w:rFonts w:eastAsia="Calibri" w:cs="Calibri"/>
              </w:rPr>
              <w:t xml:space="preserve">Smokers (≥ 10 cpd), motivated to quit Stratified according to baseline cotinine levels 60% men, </w:t>
            </w:r>
            <w:r w:rsidR="00EC221A" w:rsidRPr="703B87A8">
              <w:rPr>
                <w:rFonts w:eastAsia="Calibri" w:cs="Calibri"/>
              </w:rPr>
              <w:t>av</w:t>
            </w:r>
            <w:r w:rsidR="00EC221A">
              <w:rPr>
                <w:rFonts w:eastAsia="Calibri" w:cs="Calibri"/>
              </w:rPr>
              <w:t>erage</w:t>
            </w:r>
            <w:r w:rsidRPr="703B87A8">
              <w:rPr>
                <w:rFonts w:eastAsia="Calibri" w:cs="Calibri"/>
              </w:rPr>
              <w:t xml:space="preserve"> age 43, </w:t>
            </w:r>
            <w:r w:rsidR="00EC221A" w:rsidRPr="703B87A8">
              <w:rPr>
                <w:rFonts w:eastAsia="Calibri" w:cs="Calibri"/>
              </w:rPr>
              <w:t>av</w:t>
            </w:r>
            <w:r w:rsidR="00EC221A">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24 in low cotinine group (n = 120), 30 in high group (n = 177)</w:t>
            </w:r>
          </w:p>
        </w:tc>
        <w:tc>
          <w:tcPr>
            <w:tcW w:w="3722" w:type="dxa"/>
          </w:tcPr>
          <w:p w:rsidR="703B87A8" w:rsidRDefault="703B87A8" w:rsidP="00C324F3">
            <w:pPr>
              <w:pStyle w:val="ListParagraph"/>
              <w:numPr>
                <w:ilvl w:val="0"/>
                <w:numId w:val="267"/>
              </w:numPr>
              <w:rPr>
                <w:rFonts w:eastAsia="Calibri" w:cs="Calibri"/>
              </w:rPr>
            </w:pPr>
            <w:r w:rsidRPr="703B87A8">
              <w:t>Stratum A (baseline cotinine &lt; 250 ng/ml)</w:t>
            </w:r>
          </w:p>
          <w:p w:rsidR="703B87A8" w:rsidRDefault="703B87A8" w:rsidP="00C324F3">
            <w:pPr>
              <w:pStyle w:val="ListParagraph"/>
              <w:numPr>
                <w:ilvl w:val="0"/>
                <w:numId w:val="267"/>
              </w:numPr>
              <w:rPr>
                <w:rFonts w:eastAsia="Calibri" w:cs="Calibri"/>
              </w:rPr>
            </w:pPr>
            <w:r w:rsidRPr="703B87A8">
              <w:t>Nicotine patch (15 mg/16-hour, 18 weeks incl taper)</w:t>
            </w:r>
          </w:p>
          <w:p w:rsidR="703B87A8" w:rsidRDefault="703B87A8" w:rsidP="00C324F3">
            <w:pPr>
              <w:pStyle w:val="ListParagraph"/>
              <w:numPr>
                <w:ilvl w:val="0"/>
                <w:numId w:val="267"/>
              </w:numPr>
              <w:rPr>
                <w:rFonts w:eastAsia="Calibri" w:cs="Calibri"/>
              </w:rPr>
            </w:pPr>
            <w:r w:rsidRPr="703B87A8">
              <w:t xml:space="preserve">Placebo patch Stratum B (baseline cotinine &gt; 250 ng/ml) </w:t>
            </w:r>
          </w:p>
          <w:p w:rsidR="703B87A8" w:rsidRDefault="703B87A8" w:rsidP="00C324F3">
            <w:pPr>
              <w:pStyle w:val="ListParagraph"/>
              <w:numPr>
                <w:ilvl w:val="0"/>
                <w:numId w:val="267"/>
              </w:numPr>
              <w:rPr>
                <w:rFonts w:eastAsia="Calibri" w:cs="Calibri"/>
              </w:rPr>
            </w:pPr>
            <w:r w:rsidRPr="703B87A8">
              <w:t>Nicotine patch 15 mg 4. Nicotine patch 25 mg</w:t>
            </w:r>
          </w:p>
        </w:tc>
        <w:tc>
          <w:tcPr>
            <w:tcW w:w="1993" w:type="dxa"/>
          </w:tcPr>
          <w:p w:rsidR="0058385F" w:rsidRDefault="703B87A8">
            <w:pPr>
              <w:rPr>
                <w:rFonts w:eastAsia="Calibri" w:cs="Calibri"/>
              </w:rPr>
            </w:pPr>
            <w:r w:rsidRPr="703B87A8">
              <w:rPr>
                <w:rFonts w:eastAsia="Calibri" w:cs="Calibri"/>
              </w:rPr>
              <w:t>Efficacy: PPA at 12 m</w:t>
            </w:r>
            <w:r w:rsidR="0058385F">
              <w:rPr>
                <w:rFonts w:eastAsia="Calibri" w:cs="Calibri"/>
              </w:rPr>
              <w:t>onths</w:t>
            </w:r>
            <w:r w:rsidRPr="703B87A8">
              <w:rPr>
                <w:rFonts w:eastAsia="Calibri" w:cs="Calibri"/>
              </w:rPr>
              <w:t xml:space="preserve">. </w:t>
            </w:r>
          </w:p>
          <w:p w:rsidR="703B87A8" w:rsidRDefault="703B87A8">
            <w:r w:rsidRPr="703B87A8">
              <w:rPr>
                <w:rFonts w:eastAsia="Calibri" w:cs="Calibri"/>
              </w:rPr>
              <w:t>Validation: CO and plasma cotinine</w:t>
            </w:r>
          </w:p>
          <w:p w:rsidR="703B87A8" w:rsidRDefault="703B87A8">
            <w:r w:rsidRPr="703B87A8">
              <w:rPr>
                <w:rFonts w:eastAsia="Calibri" w:cs="Calibri"/>
              </w:rPr>
              <w:t xml:space="preserve"> </w:t>
            </w:r>
          </w:p>
          <w:p w:rsidR="703B87A8" w:rsidRDefault="703B87A8">
            <w:r w:rsidRPr="00C324F3">
              <w:rPr>
                <w:rFonts w:eastAsia="Calibri"/>
                <w:u w:val="single"/>
              </w:rPr>
              <w:t>Safety:</w:t>
            </w:r>
            <w:r w:rsidRPr="703B87A8">
              <w:rPr>
                <w:rFonts w:eastAsia="Calibri" w:cs="Calibri"/>
              </w:rPr>
              <w:t xml:space="preserve"> Adverse events</w:t>
            </w:r>
            <w:r w:rsidR="0058385F">
              <w:rPr>
                <w:rFonts w:eastAsia="Calibri" w:cs="Calibri"/>
              </w:rPr>
              <w:t xml:space="preserve"> m</w:t>
            </w:r>
            <w:r w:rsidRPr="703B87A8">
              <w:rPr>
                <w:rFonts w:eastAsia="Calibri" w:cs="Calibri"/>
              </w:rPr>
              <w:t>easured at visits. Note participants were only asked about particular symptoms (none of which are cardiac)</w:t>
            </w:r>
          </w:p>
        </w:tc>
      </w:tr>
      <w:tr w:rsidR="703B87A8" w:rsidTr="00C55E04">
        <w:tc>
          <w:tcPr>
            <w:tcW w:w="1350" w:type="dxa"/>
          </w:tcPr>
          <w:p w:rsidR="703B87A8" w:rsidRDefault="703B87A8">
            <w:r w:rsidRPr="703B87A8">
              <w:rPr>
                <w:rFonts w:eastAsia="Calibri" w:cs="Calibri"/>
              </w:rPr>
              <w:t xml:space="preserve">Dale </w:t>
            </w:r>
            <w:r w:rsidR="00594FCC">
              <w:rPr>
                <w:rFonts w:eastAsia="Calibri" w:cs="Calibri"/>
              </w:rPr>
              <w:t>(</w:t>
            </w:r>
            <w:r w:rsidRPr="703B87A8">
              <w:rPr>
                <w:rFonts w:eastAsia="Calibri" w:cs="Calibri"/>
              </w:rPr>
              <w:t>1995</w:t>
            </w:r>
            <w:r w:rsidR="00594FCC">
              <w:rPr>
                <w:rFonts w:eastAsia="Calibri" w:cs="Calibri"/>
              </w:rPr>
              <w:t>)</w:t>
            </w:r>
          </w:p>
        </w:tc>
        <w:tc>
          <w:tcPr>
            <w:tcW w:w="840" w:type="dxa"/>
          </w:tcPr>
          <w:p w:rsidR="703B87A8" w:rsidRDefault="703B87A8">
            <w:r w:rsidRPr="703B87A8">
              <w:rPr>
                <w:rFonts w:eastAsia="Calibri" w:cs="Calibri"/>
              </w:rPr>
              <w:t>RCT</w:t>
            </w:r>
          </w:p>
        </w:tc>
        <w:tc>
          <w:tcPr>
            <w:tcW w:w="1185" w:type="dxa"/>
          </w:tcPr>
          <w:p w:rsidR="703B87A8" w:rsidRDefault="703B87A8">
            <w:r w:rsidRPr="703B87A8">
              <w:rPr>
                <w:rFonts w:eastAsia="Calibri" w:cs="Calibri"/>
              </w:rPr>
              <w:t>USA</w:t>
            </w:r>
          </w:p>
        </w:tc>
        <w:tc>
          <w:tcPr>
            <w:tcW w:w="975" w:type="dxa"/>
          </w:tcPr>
          <w:p w:rsidR="703B87A8" w:rsidRDefault="00F2109D">
            <w:r>
              <w:rPr>
                <w:rFonts w:eastAsia="Calibri" w:cs="Calibri"/>
              </w:rPr>
              <w:t>N=</w:t>
            </w:r>
            <w:r w:rsidR="703B87A8" w:rsidRPr="703B87A8">
              <w:rPr>
                <w:rFonts w:eastAsia="Calibri" w:cs="Calibri"/>
              </w:rPr>
              <w:t>71</w:t>
            </w:r>
          </w:p>
        </w:tc>
        <w:tc>
          <w:tcPr>
            <w:tcW w:w="3885" w:type="dxa"/>
          </w:tcPr>
          <w:p w:rsidR="703B87A8" w:rsidRDefault="703B87A8">
            <w:r w:rsidRPr="703B87A8">
              <w:rPr>
                <w:rFonts w:eastAsia="Calibri" w:cs="Calibri"/>
              </w:rPr>
              <w:t xml:space="preserve">Smokers stratified according to light, moderate and heavy smoking rates, and motivated to quit 44% men, </w:t>
            </w:r>
            <w:r w:rsidR="00097427" w:rsidRPr="703B87A8">
              <w:rPr>
                <w:rFonts w:eastAsia="Calibri" w:cs="Calibri"/>
              </w:rPr>
              <w:t>av</w:t>
            </w:r>
            <w:r w:rsidR="00097427">
              <w:rPr>
                <w:rFonts w:eastAsia="Calibri" w:cs="Calibri"/>
              </w:rPr>
              <w:t>erage</w:t>
            </w:r>
            <w:r w:rsidRPr="703B87A8">
              <w:rPr>
                <w:rFonts w:eastAsia="Calibri" w:cs="Calibri"/>
              </w:rPr>
              <w:t xml:space="preserve"> age 48, </w:t>
            </w:r>
            <w:r w:rsidR="00097427" w:rsidRPr="703B87A8">
              <w:rPr>
                <w:rFonts w:eastAsia="Calibri" w:cs="Calibri"/>
              </w:rPr>
              <w:t>av</w:t>
            </w:r>
            <w:r w:rsidR="00097427">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26</w:t>
            </w:r>
          </w:p>
        </w:tc>
        <w:tc>
          <w:tcPr>
            <w:tcW w:w="3722" w:type="dxa"/>
          </w:tcPr>
          <w:p w:rsidR="703B87A8" w:rsidRDefault="703B87A8" w:rsidP="00C324F3">
            <w:pPr>
              <w:pStyle w:val="ListParagraph"/>
              <w:numPr>
                <w:ilvl w:val="0"/>
                <w:numId w:val="266"/>
              </w:numPr>
              <w:rPr>
                <w:rFonts w:eastAsia="Calibri" w:cs="Calibri"/>
              </w:rPr>
            </w:pPr>
            <w:r w:rsidRPr="703B87A8">
              <w:t>11 mg/24-hour nicotine patch</w:t>
            </w:r>
          </w:p>
          <w:p w:rsidR="703B87A8" w:rsidRDefault="703B87A8" w:rsidP="00C324F3">
            <w:pPr>
              <w:pStyle w:val="ListParagraph"/>
              <w:numPr>
                <w:ilvl w:val="0"/>
                <w:numId w:val="266"/>
              </w:numPr>
              <w:rPr>
                <w:rFonts w:eastAsia="Calibri" w:cs="Calibri"/>
              </w:rPr>
            </w:pPr>
            <w:r w:rsidRPr="703B87A8">
              <w:t>22 mg/24-hour nicotine patch</w:t>
            </w:r>
          </w:p>
          <w:p w:rsidR="703B87A8" w:rsidRDefault="703B87A8" w:rsidP="00C324F3">
            <w:pPr>
              <w:pStyle w:val="ListParagraph"/>
              <w:numPr>
                <w:ilvl w:val="0"/>
                <w:numId w:val="266"/>
              </w:numPr>
              <w:rPr>
                <w:rFonts w:eastAsia="Calibri" w:cs="Calibri"/>
              </w:rPr>
            </w:pPr>
            <w:r w:rsidRPr="703B87A8">
              <w:t>44 mg/24-hour nicotine patch</w:t>
            </w:r>
          </w:p>
          <w:p w:rsidR="703B87A8" w:rsidRDefault="703B87A8" w:rsidP="00C324F3">
            <w:pPr>
              <w:pStyle w:val="ListParagraph"/>
              <w:numPr>
                <w:ilvl w:val="0"/>
                <w:numId w:val="266"/>
              </w:numPr>
              <w:rPr>
                <w:rFonts w:eastAsia="Calibri" w:cs="Calibri"/>
              </w:rPr>
            </w:pPr>
            <w:r w:rsidRPr="703B87A8">
              <w:t>Placebo patch for 1 week followed by 11 or 22 mg patch for 7 weeks Duration of patch use 8 weeks</w:t>
            </w:r>
          </w:p>
        </w:tc>
        <w:tc>
          <w:tcPr>
            <w:tcW w:w="1993" w:type="dxa"/>
          </w:tcPr>
          <w:p w:rsidR="0058385F" w:rsidRDefault="703B87A8">
            <w:pPr>
              <w:rPr>
                <w:rFonts w:eastAsia="Calibri" w:cs="Calibri"/>
              </w:rPr>
            </w:pPr>
            <w:r w:rsidRPr="00C324F3">
              <w:rPr>
                <w:rFonts w:eastAsia="Calibri"/>
                <w:u w:val="single"/>
              </w:rPr>
              <w:t>Efficacy:</w:t>
            </w:r>
            <w:r w:rsidRPr="703B87A8">
              <w:rPr>
                <w:rFonts w:eastAsia="Calibri" w:cs="Calibri"/>
              </w:rPr>
              <w:t xml:space="preserve"> PPA at 12 m</w:t>
            </w:r>
            <w:r w:rsidR="0058385F">
              <w:rPr>
                <w:rFonts w:eastAsia="Calibri" w:cs="Calibri"/>
              </w:rPr>
              <w:t>onths</w:t>
            </w:r>
            <w:r w:rsidRPr="703B87A8">
              <w:rPr>
                <w:rFonts w:eastAsia="Calibri" w:cs="Calibri"/>
              </w:rPr>
              <w:t xml:space="preserve">. </w:t>
            </w:r>
          </w:p>
          <w:p w:rsidR="703B87A8" w:rsidRDefault="703B87A8">
            <w:r w:rsidRPr="703B87A8">
              <w:rPr>
                <w:rFonts w:eastAsia="Calibri" w:cs="Calibri"/>
              </w:rPr>
              <w:t>Validation: Blood cotinine</w:t>
            </w:r>
          </w:p>
          <w:p w:rsidR="703B87A8" w:rsidRDefault="703B87A8">
            <w:r w:rsidRPr="703B87A8">
              <w:rPr>
                <w:rFonts w:eastAsia="Calibri" w:cs="Calibri"/>
              </w:rPr>
              <w:t xml:space="preserve"> </w:t>
            </w:r>
          </w:p>
          <w:p w:rsidR="703B87A8" w:rsidRDefault="703B87A8">
            <w:r w:rsidRPr="00C324F3">
              <w:rPr>
                <w:rFonts w:eastAsia="Calibri"/>
                <w:u w:val="single"/>
              </w:rPr>
              <w:t>Safety:</w:t>
            </w:r>
            <w:r w:rsidRPr="703B87A8">
              <w:rPr>
                <w:rFonts w:eastAsia="Calibri" w:cs="Calibri"/>
              </w:rPr>
              <w:t xml:space="preserve"> Adverse events</w:t>
            </w:r>
            <w:r w:rsidR="0058385F">
              <w:rPr>
                <w:rFonts w:eastAsia="Calibri" w:cs="Calibri"/>
              </w:rPr>
              <w:t xml:space="preserve"> m</w:t>
            </w:r>
            <w:r w:rsidRPr="703B87A8">
              <w:rPr>
                <w:rFonts w:eastAsia="Calibri" w:cs="Calibri"/>
              </w:rPr>
              <w:t>easured daily for 6 days post- baseline (treatment continued for 6 weeks)</w:t>
            </w:r>
          </w:p>
        </w:tc>
      </w:tr>
      <w:tr w:rsidR="703B87A8" w:rsidTr="00C55E04">
        <w:tc>
          <w:tcPr>
            <w:tcW w:w="1350" w:type="dxa"/>
          </w:tcPr>
          <w:p w:rsidR="703B87A8" w:rsidRDefault="703B87A8">
            <w:r w:rsidRPr="703B87A8">
              <w:rPr>
                <w:rFonts w:eastAsia="Calibri" w:cs="Calibri"/>
              </w:rPr>
              <w:t xml:space="preserve">Hughes </w:t>
            </w:r>
            <w:r w:rsidR="00594FCC">
              <w:rPr>
                <w:rFonts w:eastAsia="Calibri" w:cs="Calibri"/>
              </w:rPr>
              <w:t>(</w:t>
            </w:r>
            <w:r w:rsidRPr="703B87A8">
              <w:rPr>
                <w:rFonts w:eastAsia="Calibri" w:cs="Calibri"/>
              </w:rPr>
              <w:t>1999</w:t>
            </w:r>
            <w:r w:rsidR="00594FCC">
              <w:rPr>
                <w:rFonts w:eastAsia="Calibri" w:cs="Calibri"/>
              </w:rPr>
              <w:t>)</w:t>
            </w:r>
          </w:p>
        </w:tc>
        <w:tc>
          <w:tcPr>
            <w:tcW w:w="840" w:type="dxa"/>
          </w:tcPr>
          <w:p w:rsidR="703B87A8" w:rsidRDefault="703B87A8">
            <w:r w:rsidRPr="703B87A8">
              <w:rPr>
                <w:rFonts w:eastAsia="Calibri" w:cs="Calibri"/>
              </w:rPr>
              <w:t>RCT</w:t>
            </w:r>
          </w:p>
        </w:tc>
        <w:tc>
          <w:tcPr>
            <w:tcW w:w="1185" w:type="dxa"/>
          </w:tcPr>
          <w:p w:rsidR="703B87A8" w:rsidRDefault="703B87A8">
            <w:r w:rsidRPr="703B87A8">
              <w:rPr>
                <w:rFonts w:eastAsia="Calibri" w:cs="Calibri"/>
              </w:rPr>
              <w:t>USA</w:t>
            </w:r>
          </w:p>
        </w:tc>
        <w:tc>
          <w:tcPr>
            <w:tcW w:w="975" w:type="dxa"/>
          </w:tcPr>
          <w:p w:rsidR="703B87A8" w:rsidRDefault="00F2109D">
            <w:r>
              <w:rPr>
                <w:rFonts w:eastAsia="Calibri" w:cs="Calibri"/>
              </w:rPr>
              <w:t>N=</w:t>
            </w:r>
            <w:r w:rsidR="703B87A8" w:rsidRPr="703B87A8">
              <w:rPr>
                <w:rFonts w:eastAsia="Calibri" w:cs="Calibri"/>
              </w:rPr>
              <w:t>1039</w:t>
            </w:r>
          </w:p>
        </w:tc>
        <w:tc>
          <w:tcPr>
            <w:tcW w:w="3885" w:type="dxa"/>
          </w:tcPr>
          <w:p w:rsidR="703B87A8" w:rsidRDefault="703B87A8">
            <w:r w:rsidRPr="703B87A8">
              <w:rPr>
                <w:rFonts w:eastAsia="Calibri" w:cs="Calibri"/>
              </w:rPr>
              <w:t xml:space="preserve">Smokers (≥ 30 cpd) who had made a prior quit attempt, motivated to try again 50% men, </w:t>
            </w:r>
            <w:r w:rsidR="00097427" w:rsidRPr="703B87A8">
              <w:rPr>
                <w:rFonts w:eastAsia="Calibri" w:cs="Calibri"/>
              </w:rPr>
              <w:t>av</w:t>
            </w:r>
            <w:r w:rsidR="00097427">
              <w:rPr>
                <w:rFonts w:eastAsia="Calibri" w:cs="Calibri"/>
              </w:rPr>
              <w:t>erage</w:t>
            </w:r>
            <w:r w:rsidRPr="703B87A8">
              <w:rPr>
                <w:rFonts w:eastAsia="Calibri" w:cs="Calibri"/>
              </w:rPr>
              <w:t xml:space="preserve"> age 43, </w:t>
            </w:r>
            <w:r w:rsidR="00097427" w:rsidRPr="703B87A8">
              <w:rPr>
                <w:rFonts w:eastAsia="Calibri" w:cs="Calibri"/>
              </w:rPr>
              <w:t>av</w:t>
            </w:r>
            <w:r w:rsidR="00097427">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38</w:t>
            </w:r>
          </w:p>
        </w:tc>
        <w:tc>
          <w:tcPr>
            <w:tcW w:w="3722" w:type="dxa"/>
          </w:tcPr>
          <w:p w:rsidR="703B87A8" w:rsidRDefault="703B87A8" w:rsidP="00C324F3">
            <w:pPr>
              <w:pStyle w:val="ListParagraph"/>
              <w:numPr>
                <w:ilvl w:val="0"/>
                <w:numId w:val="265"/>
              </w:numPr>
              <w:rPr>
                <w:rFonts w:eastAsia="Calibri" w:cs="Calibri"/>
              </w:rPr>
            </w:pPr>
            <w:r w:rsidRPr="703B87A8">
              <w:t xml:space="preserve">42 mg nicotine patch (24-hour, 6 weeks + 10 weeks tapering) </w:t>
            </w:r>
          </w:p>
          <w:p w:rsidR="703B87A8" w:rsidRDefault="703B87A8" w:rsidP="00C324F3">
            <w:pPr>
              <w:pStyle w:val="ListParagraph"/>
              <w:numPr>
                <w:ilvl w:val="0"/>
                <w:numId w:val="265"/>
              </w:numPr>
              <w:rPr>
                <w:rFonts w:eastAsia="Calibri" w:cs="Calibri"/>
              </w:rPr>
            </w:pPr>
            <w:r w:rsidRPr="703B87A8">
              <w:t xml:space="preserve">35 mg nicotine patch </w:t>
            </w:r>
          </w:p>
          <w:p w:rsidR="703B87A8" w:rsidRDefault="703B87A8" w:rsidP="00C324F3">
            <w:pPr>
              <w:pStyle w:val="ListParagraph"/>
              <w:numPr>
                <w:ilvl w:val="0"/>
                <w:numId w:val="265"/>
              </w:numPr>
              <w:rPr>
                <w:rFonts w:eastAsia="Calibri" w:cs="Calibri"/>
              </w:rPr>
            </w:pPr>
            <w:r w:rsidRPr="703B87A8">
              <w:t>21 mg nicotine patch</w:t>
            </w:r>
          </w:p>
          <w:p w:rsidR="703B87A8" w:rsidRDefault="703B87A8" w:rsidP="00C324F3">
            <w:pPr>
              <w:pStyle w:val="ListParagraph"/>
              <w:numPr>
                <w:ilvl w:val="0"/>
                <w:numId w:val="265"/>
              </w:numPr>
              <w:rPr>
                <w:rFonts w:eastAsia="Calibri" w:cs="Calibri"/>
              </w:rPr>
            </w:pPr>
            <w:r w:rsidRPr="703B87A8">
              <w:t>Placebo patch</w:t>
            </w:r>
          </w:p>
        </w:tc>
        <w:tc>
          <w:tcPr>
            <w:tcW w:w="1993" w:type="dxa"/>
          </w:tcPr>
          <w:p w:rsidR="0058385F" w:rsidRDefault="703B87A8">
            <w:pPr>
              <w:rPr>
                <w:rFonts w:eastAsia="Calibri" w:cs="Calibri"/>
              </w:rPr>
            </w:pPr>
            <w:r w:rsidRPr="00C324F3">
              <w:rPr>
                <w:rFonts w:eastAsia="Calibri"/>
                <w:u w:val="single"/>
              </w:rPr>
              <w:t>Efficacy:</w:t>
            </w:r>
            <w:r w:rsidRPr="703B87A8">
              <w:rPr>
                <w:rFonts w:eastAsia="Calibri" w:cs="Calibri"/>
              </w:rPr>
              <w:t xml:space="preserve"> Prolonged abstinence at 6 m</w:t>
            </w:r>
            <w:r w:rsidR="0058385F">
              <w:rPr>
                <w:rFonts w:eastAsia="Calibri" w:cs="Calibri"/>
              </w:rPr>
              <w:t>onths</w:t>
            </w:r>
            <w:r w:rsidRPr="703B87A8">
              <w:rPr>
                <w:rFonts w:eastAsia="Calibri" w:cs="Calibri"/>
              </w:rPr>
              <w:t xml:space="preserve"> (from 2 weeks post-quit) verified at each follow-up visit (12-</w:t>
            </w:r>
            <w:r w:rsidRPr="703B87A8">
              <w:rPr>
                <w:rFonts w:eastAsia="Calibri" w:cs="Calibri"/>
              </w:rPr>
              <w:lastRenderedPageBreak/>
              <w:t>m</w:t>
            </w:r>
            <w:r w:rsidR="0058385F">
              <w:rPr>
                <w:rFonts w:eastAsia="Calibri" w:cs="Calibri"/>
              </w:rPr>
              <w:t>onth</w:t>
            </w:r>
            <w:r w:rsidRPr="703B87A8">
              <w:rPr>
                <w:rFonts w:eastAsia="Calibri" w:cs="Calibri"/>
              </w:rPr>
              <w:t xml:space="preserve"> follow-up only completed for 11/13 sites)</w:t>
            </w:r>
            <w:r w:rsidR="0058385F">
              <w:rPr>
                <w:rFonts w:eastAsia="Calibri" w:cs="Calibri"/>
              </w:rPr>
              <w:t>.</w:t>
            </w:r>
            <w:r w:rsidRPr="703B87A8">
              <w:rPr>
                <w:rFonts w:eastAsia="Calibri" w:cs="Calibri"/>
              </w:rPr>
              <w:t xml:space="preserve"> </w:t>
            </w:r>
          </w:p>
          <w:p w:rsidR="703B87A8" w:rsidRDefault="703B87A8">
            <w:r w:rsidRPr="703B87A8">
              <w:rPr>
                <w:rFonts w:eastAsia="Calibri" w:cs="Calibri"/>
              </w:rPr>
              <w:t>Validation: CO ≤ 10 ppm</w:t>
            </w:r>
          </w:p>
          <w:p w:rsidR="703B87A8" w:rsidRDefault="703B87A8">
            <w:r w:rsidRPr="703B87A8">
              <w:rPr>
                <w:rFonts w:eastAsia="Calibri" w:cs="Calibri"/>
              </w:rPr>
              <w:t xml:space="preserve"> </w:t>
            </w:r>
          </w:p>
          <w:p w:rsidR="703B87A8" w:rsidRDefault="703B87A8">
            <w:r w:rsidRPr="00C324F3">
              <w:rPr>
                <w:rFonts w:eastAsia="Calibri"/>
                <w:u w:val="single"/>
              </w:rPr>
              <w:t>Safety:</w:t>
            </w:r>
            <w:r w:rsidRPr="703B87A8">
              <w:rPr>
                <w:rFonts w:eastAsia="Calibri" w:cs="Calibri"/>
              </w:rPr>
              <w:t xml:space="preserve"> Adverse events</w:t>
            </w:r>
            <w:r w:rsidR="0058385F">
              <w:rPr>
                <w:rFonts w:eastAsia="Calibri" w:cs="Calibri"/>
              </w:rPr>
              <w:t xml:space="preserve"> m</w:t>
            </w:r>
            <w:r w:rsidRPr="703B87A8">
              <w:rPr>
                <w:rFonts w:eastAsia="Calibri" w:cs="Calibri"/>
              </w:rPr>
              <w:t>easured up to 10 wks and then at 6-m</w:t>
            </w:r>
            <w:r w:rsidR="0058385F">
              <w:rPr>
                <w:rFonts w:eastAsia="Calibri" w:cs="Calibri"/>
              </w:rPr>
              <w:t>onth</w:t>
            </w:r>
            <w:r w:rsidRPr="703B87A8">
              <w:rPr>
                <w:rFonts w:eastAsia="Calibri" w:cs="Calibri"/>
              </w:rPr>
              <w:t xml:space="preserve"> and 12-m</w:t>
            </w:r>
            <w:r w:rsidR="0058385F">
              <w:rPr>
                <w:rFonts w:eastAsia="Calibri" w:cs="Calibri"/>
              </w:rPr>
              <w:t>onth</w:t>
            </w:r>
            <w:r w:rsidRPr="703B87A8">
              <w:rPr>
                <w:rFonts w:eastAsia="Calibri" w:cs="Calibri"/>
              </w:rPr>
              <w:t xml:space="preserve"> follow-up. Note measurement at 12 months only occurred at some sites Treatment duration was to 16 weeks</w:t>
            </w:r>
          </w:p>
        </w:tc>
      </w:tr>
      <w:tr w:rsidR="703B87A8" w:rsidTr="00C55E04">
        <w:tc>
          <w:tcPr>
            <w:tcW w:w="1350" w:type="dxa"/>
          </w:tcPr>
          <w:p w:rsidR="703B87A8" w:rsidRDefault="703B87A8">
            <w:r w:rsidRPr="703B87A8">
              <w:rPr>
                <w:rFonts w:eastAsia="Calibri" w:cs="Calibri"/>
              </w:rPr>
              <w:lastRenderedPageBreak/>
              <w:t>Jorenby 1995</w:t>
            </w:r>
          </w:p>
        </w:tc>
        <w:tc>
          <w:tcPr>
            <w:tcW w:w="840" w:type="dxa"/>
          </w:tcPr>
          <w:p w:rsidR="703B87A8" w:rsidRDefault="703B87A8">
            <w:r w:rsidRPr="703B87A8">
              <w:rPr>
                <w:rFonts w:eastAsia="Calibri" w:cs="Calibri"/>
              </w:rPr>
              <w:t>RCT</w:t>
            </w:r>
          </w:p>
        </w:tc>
        <w:tc>
          <w:tcPr>
            <w:tcW w:w="1185" w:type="dxa"/>
          </w:tcPr>
          <w:p w:rsidR="703B87A8" w:rsidRDefault="703B87A8">
            <w:r w:rsidRPr="703B87A8">
              <w:rPr>
                <w:rFonts w:eastAsia="Calibri" w:cs="Calibri"/>
              </w:rPr>
              <w:t>USA</w:t>
            </w:r>
          </w:p>
        </w:tc>
        <w:tc>
          <w:tcPr>
            <w:tcW w:w="975" w:type="dxa"/>
          </w:tcPr>
          <w:p w:rsidR="703B87A8" w:rsidRDefault="00F2109D">
            <w:r>
              <w:rPr>
                <w:rFonts w:eastAsia="Calibri" w:cs="Calibri"/>
              </w:rPr>
              <w:t>N=</w:t>
            </w:r>
            <w:r w:rsidR="703B87A8" w:rsidRPr="703B87A8">
              <w:rPr>
                <w:rFonts w:eastAsia="Calibri" w:cs="Calibri"/>
              </w:rPr>
              <w:t>504</w:t>
            </w:r>
          </w:p>
        </w:tc>
        <w:tc>
          <w:tcPr>
            <w:tcW w:w="3885" w:type="dxa"/>
          </w:tcPr>
          <w:p w:rsidR="703B87A8" w:rsidRDefault="703B87A8">
            <w:r w:rsidRPr="703B87A8">
              <w:rPr>
                <w:rFonts w:eastAsia="Calibri" w:cs="Calibri"/>
              </w:rPr>
              <w:t xml:space="preserve">Adult smokers (≥ 15 cpd) 47% men, </w:t>
            </w:r>
            <w:r w:rsidR="00097427" w:rsidRPr="703B87A8">
              <w:rPr>
                <w:rFonts w:eastAsia="Calibri" w:cs="Calibri"/>
              </w:rPr>
              <w:t>av</w:t>
            </w:r>
            <w:r w:rsidR="00097427">
              <w:rPr>
                <w:rFonts w:eastAsia="Calibri" w:cs="Calibri"/>
              </w:rPr>
              <w:t>erage</w:t>
            </w:r>
            <w:r w:rsidRPr="703B87A8">
              <w:rPr>
                <w:rFonts w:eastAsia="Calibri" w:cs="Calibri"/>
              </w:rPr>
              <w:t xml:space="preserve"> age 44, </w:t>
            </w:r>
            <w:r w:rsidR="00097427" w:rsidRPr="703B87A8">
              <w:rPr>
                <w:rFonts w:eastAsia="Calibri" w:cs="Calibri"/>
              </w:rPr>
              <w:t>av</w:t>
            </w:r>
            <w:r w:rsidR="00097427">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˜27</w:t>
            </w:r>
          </w:p>
        </w:tc>
        <w:tc>
          <w:tcPr>
            <w:tcW w:w="3722" w:type="dxa"/>
          </w:tcPr>
          <w:p w:rsidR="703B87A8" w:rsidRDefault="703B87A8" w:rsidP="00C324F3">
            <w:pPr>
              <w:pStyle w:val="ListParagraph"/>
              <w:numPr>
                <w:ilvl w:val="0"/>
                <w:numId w:val="264"/>
              </w:numPr>
              <w:rPr>
                <w:rFonts w:eastAsia="Calibri" w:cs="Calibri"/>
              </w:rPr>
            </w:pPr>
            <w:r w:rsidRPr="703B87A8">
              <w:t>Nicotine patch 22 mg for 6 weeks then 2 weeks 11 mg with minimal counselling.</w:t>
            </w:r>
          </w:p>
          <w:p w:rsidR="703B87A8" w:rsidRDefault="703B87A8" w:rsidP="00C324F3">
            <w:pPr>
              <w:pStyle w:val="ListParagraph"/>
              <w:numPr>
                <w:ilvl w:val="0"/>
                <w:numId w:val="264"/>
              </w:numPr>
              <w:rPr>
                <w:rFonts w:eastAsia="Calibri" w:cs="Calibri"/>
              </w:rPr>
            </w:pPr>
            <w:r w:rsidRPr="703B87A8">
              <w:t>Same patch, individual counselling</w:t>
            </w:r>
          </w:p>
          <w:p w:rsidR="703B87A8" w:rsidRDefault="703B87A8" w:rsidP="00C324F3">
            <w:pPr>
              <w:pStyle w:val="ListParagraph"/>
              <w:numPr>
                <w:ilvl w:val="0"/>
                <w:numId w:val="264"/>
              </w:numPr>
              <w:rPr>
                <w:rFonts w:eastAsia="Calibri" w:cs="Calibri"/>
              </w:rPr>
            </w:pPr>
            <w:r w:rsidRPr="703B87A8">
              <w:t>Same patch, group counselling</w:t>
            </w:r>
          </w:p>
          <w:p w:rsidR="703B87A8" w:rsidRDefault="703B87A8" w:rsidP="00C324F3">
            <w:pPr>
              <w:pStyle w:val="ListParagraph"/>
              <w:numPr>
                <w:ilvl w:val="0"/>
                <w:numId w:val="264"/>
              </w:numPr>
              <w:rPr>
                <w:rFonts w:eastAsia="Calibri" w:cs="Calibri"/>
              </w:rPr>
            </w:pPr>
            <w:r w:rsidRPr="703B87A8">
              <w:t xml:space="preserve">44 mg patch for 4 weeks then 2 weeks 22 mg then 2 weeks 11 mg with minimal counselling </w:t>
            </w:r>
          </w:p>
          <w:p w:rsidR="703B87A8" w:rsidRDefault="703B87A8" w:rsidP="00C324F3">
            <w:pPr>
              <w:pStyle w:val="ListParagraph"/>
              <w:numPr>
                <w:ilvl w:val="0"/>
                <w:numId w:val="264"/>
              </w:numPr>
              <w:rPr>
                <w:rFonts w:eastAsia="Calibri" w:cs="Calibri"/>
              </w:rPr>
            </w:pPr>
            <w:r w:rsidRPr="703B87A8">
              <w:t>Same patch, individual counselling</w:t>
            </w:r>
          </w:p>
          <w:p w:rsidR="703B87A8" w:rsidRDefault="703B87A8" w:rsidP="00C324F3">
            <w:pPr>
              <w:pStyle w:val="ListParagraph"/>
              <w:numPr>
                <w:ilvl w:val="0"/>
                <w:numId w:val="264"/>
              </w:numPr>
              <w:rPr>
                <w:rFonts w:eastAsia="Calibri" w:cs="Calibri"/>
              </w:rPr>
            </w:pPr>
            <w:r w:rsidRPr="703B87A8">
              <w:t>Same patch, group counselling</w:t>
            </w:r>
          </w:p>
        </w:tc>
        <w:tc>
          <w:tcPr>
            <w:tcW w:w="1993" w:type="dxa"/>
          </w:tcPr>
          <w:p w:rsidR="0058385F" w:rsidRDefault="703B87A8">
            <w:pPr>
              <w:rPr>
                <w:rFonts w:eastAsia="Calibri" w:cs="Calibri"/>
              </w:rPr>
            </w:pPr>
            <w:r w:rsidRPr="00C324F3">
              <w:rPr>
                <w:rFonts w:eastAsia="Calibri"/>
                <w:u w:val="single"/>
              </w:rPr>
              <w:t>Efficacy:</w:t>
            </w:r>
            <w:r w:rsidRPr="703B87A8">
              <w:rPr>
                <w:rFonts w:eastAsia="Calibri" w:cs="Calibri"/>
              </w:rPr>
              <w:t xml:space="preserve"> Abstinence (&gt; 1 </w:t>
            </w:r>
            <w:r w:rsidR="2942BD6B" w:rsidRPr="2942BD6B">
              <w:rPr>
                <w:rFonts w:eastAsia="Calibri" w:cs="Calibri"/>
              </w:rPr>
              <w:t>w</w:t>
            </w:r>
            <w:r w:rsidR="42C4AAD6" w:rsidRPr="2942BD6B">
              <w:rPr>
                <w:rFonts w:eastAsia="Calibri" w:cs="Calibri"/>
              </w:rPr>
              <w:t>ee</w:t>
            </w:r>
            <w:r w:rsidR="2942BD6B" w:rsidRPr="2942BD6B">
              <w:rPr>
                <w:rFonts w:eastAsia="Calibri" w:cs="Calibri"/>
              </w:rPr>
              <w:t>k</w:t>
            </w:r>
            <w:r w:rsidRPr="703B87A8">
              <w:rPr>
                <w:rFonts w:eastAsia="Calibri" w:cs="Calibri"/>
              </w:rPr>
              <w:t>) at 6 m</w:t>
            </w:r>
            <w:r w:rsidR="0058385F">
              <w:rPr>
                <w:rFonts w:eastAsia="Calibri" w:cs="Calibri"/>
              </w:rPr>
              <w:t>onth.</w:t>
            </w:r>
          </w:p>
          <w:p w:rsidR="703B87A8" w:rsidRDefault="703B87A8">
            <w:r w:rsidRPr="703B87A8">
              <w:rPr>
                <w:rFonts w:eastAsia="Calibri" w:cs="Calibri"/>
              </w:rPr>
              <w:t>Validation: CO &lt; 10 ppm</w:t>
            </w:r>
          </w:p>
          <w:p w:rsidR="703B87A8" w:rsidRDefault="703B87A8">
            <w:r w:rsidRPr="703B87A8">
              <w:rPr>
                <w:rFonts w:eastAsia="Calibri" w:cs="Calibri"/>
              </w:rPr>
              <w:t xml:space="preserve"> </w:t>
            </w:r>
          </w:p>
          <w:p w:rsidR="703B87A8" w:rsidRDefault="703B87A8">
            <w:r w:rsidRPr="00C324F3">
              <w:rPr>
                <w:rFonts w:eastAsia="Calibri"/>
                <w:u w:val="single"/>
              </w:rPr>
              <w:t>Safety:</w:t>
            </w:r>
            <w:r w:rsidRPr="703B87A8">
              <w:rPr>
                <w:rFonts w:eastAsia="Calibri" w:cs="Calibri"/>
              </w:rPr>
              <w:t xml:space="preserve"> Adverse events</w:t>
            </w:r>
            <w:r w:rsidR="0058385F">
              <w:rPr>
                <w:rFonts w:eastAsia="Calibri" w:cs="Calibri"/>
              </w:rPr>
              <w:t xml:space="preserve"> m</w:t>
            </w:r>
            <w:r w:rsidRPr="703B87A8">
              <w:rPr>
                <w:rFonts w:eastAsia="Calibri" w:cs="Calibri"/>
              </w:rPr>
              <w:t>easured weekly for 8 weeks (during treatment)</w:t>
            </w:r>
          </w:p>
        </w:tc>
      </w:tr>
      <w:tr w:rsidR="703B87A8" w:rsidTr="00C55E04">
        <w:tc>
          <w:tcPr>
            <w:tcW w:w="1350" w:type="dxa"/>
          </w:tcPr>
          <w:p w:rsidR="703B87A8" w:rsidRDefault="703B87A8">
            <w:r w:rsidRPr="703B87A8">
              <w:rPr>
                <w:rFonts w:eastAsia="Calibri" w:cs="Calibri"/>
              </w:rPr>
              <w:t>Kalman 2006</w:t>
            </w:r>
          </w:p>
        </w:tc>
        <w:tc>
          <w:tcPr>
            <w:tcW w:w="840" w:type="dxa"/>
          </w:tcPr>
          <w:p w:rsidR="703B87A8" w:rsidRDefault="703B87A8">
            <w:r w:rsidRPr="703B87A8">
              <w:rPr>
                <w:rFonts w:eastAsia="Calibri" w:cs="Calibri"/>
              </w:rPr>
              <w:t>RCT</w:t>
            </w:r>
          </w:p>
        </w:tc>
        <w:tc>
          <w:tcPr>
            <w:tcW w:w="1185" w:type="dxa"/>
          </w:tcPr>
          <w:p w:rsidR="703B87A8" w:rsidRDefault="703B87A8">
            <w:r w:rsidRPr="703B87A8">
              <w:rPr>
                <w:rFonts w:eastAsia="Calibri" w:cs="Calibri"/>
              </w:rPr>
              <w:t>USA</w:t>
            </w:r>
          </w:p>
        </w:tc>
        <w:tc>
          <w:tcPr>
            <w:tcW w:w="975" w:type="dxa"/>
          </w:tcPr>
          <w:p w:rsidR="703B87A8" w:rsidRDefault="00F2109D">
            <w:r>
              <w:rPr>
                <w:rFonts w:eastAsia="Calibri" w:cs="Calibri"/>
              </w:rPr>
              <w:t>N=</w:t>
            </w:r>
            <w:r w:rsidR="703B87A8" w:rsidRPr="703B87A8">
              <w:rPr>
                <w:rFonts w:eastAsia="Calibri" w:cs="Calibri"/>
              </w:rPr>
              <w:t>130</w:t>
            </w:r>
          </w:p>
        </w:tc>
        <w:tc>
          <w:tcPr>
            <w:tcW w:w="3885" w:type="dxa"/>
          </w:tcPr>
          <w:p w:rsidR="703B87A8" w:rsidRDefault="703B87A8">
            <w:r w:rsidRPr="703B87A8">
              <w:rPr>
                <w:rFonts w:eastAsia="Calibri" w:cs="Calibri"/>
              </w:rPr>
              <w:t xml:space="preserve">Smokers (≥ 20 cpd with history of alcohol dependence and ≥ 2 m abstinence from alcohol and illicit drugs) 84% men, </w:t>
            </w:r>
            <w:r w:rsidR="00097427" w:rsidRPr="703B87A8">
              <w:rPr>
                <w:rFonts w:eastAsia="Calibri" w:cs="Calibri"/>
              </w:rPr>
              <w:t>av</w:t>
            </w:r>
            <w:r w:rsidR="00097427">
              <w:rPr>
                <w:rFonts w:eastAsia="Calibri" w:cs="Calibri"/>
              </w:rPr>
              <w:t>erage</w:t>
            </w:r>
            <w:r w:rsidRPr="703B87A8">
              <w:rPr>
                <w:rFonts w:eastAsia="Calibri" w:cs="Calibri"/>
              </w:rPr>
              <w:t xml:space="preserve"> age 47, </w:t>
            </w:r>
            <w:r w:rsidR="00097427" w:rsidRPr="703B87A8">
              <w:rPr>
                <w:rFonts w:eastAsia="Calibri" w:cs="Calibri"/>
              </w:rPr>
              <w:t>av</w:t>
            </w:r>
            <w:r w:rsidR="00097427">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32</w:t>
            </w:r>
          </w:p>
        </w:tc>
        <w:tc>
          <w:tcPr>
            <w:tcW w:w="3722" w:type="dxa"/>
          </w:tcPr>
          <w:p w:rsidR="703B87A8" w:rsidRDefault="703B87A8" w:rsidP="00C324F3">
            <w:pPr>
              <w:pStyle w:val="ListParagraph"/>
              <w:numPr>
                <w:ilvl w:val="0"/>
                <w:numId w:val="263"/>
              </w:numPr>
              <w:rPr>
                <w:rFonts w:eastAsia="Calibri" w:cs="Calibri"/>
              </w:rPr>
            </w:pPr>
            <w:r w:rsidRPr="703B87A8">
              <w:t>Dose response trial</w:t>
            </w:r>
          </w:p>
          <w:p w:rsidR="703B87A8" w:rsidRDefault="703B87A8" w:rsidP="00C324F3">
            <w:pPr>
              <w:pStyle w:val="ListParagraph"/>
              <w:numPr>
                <w:ilvl w:val="0"/>
                <w:numId w:val="263"/>
              </w:numPr>
              <w:rPr>
                <w:rFonts w:eastAsia="Calibri" w:cs="Calibri"/>
              </w:rPr>
            </w:pPr>
            <w:r w:rsidRPr="703B87A8">
              <w:t>Nicotine patch (42 mg (2 x 21 mg)) 4 weeks, then tapered for 8 weeks</w:t>
            </w:r>
          </w:p>
          <w:p w:rsidR="703B87A8" w:rsidRDefault="703B87A8" w:rsidP="00C324F3">
            <w:pPr>
              <w:pStyle w:val="ListParagraph"/>
              <w:numPr>
                <w:ilvl w:val="0"/>
                <w:numId w:val="263"/>
              </w:numPr>
              <w:rPr>
                <w:rFonts w:eastAsia="Calibri" w:cs="Calibri"/>
              </w:rPr>
            </w:pPr>
            <w:r w:rsidRPr="703B87A8">
              <w:t>Nicotine patch (21 mg and placebo) for 4 weeks then same tapering as 1</w:t>
            </w:r>
          </w:p>
        </w:tc>
        <w:tc>
          <w:tcPr>
            <w:tcW w:w="1993" w:type="dxa"/>
          </w:tcPr>
          <w:p w:rsidR="0058385F" w:rsidRDefault="703B87A8">
            <w:pPr>
              <w:rPr>
                <w:rFonts w:eastAsia="Calibri" w:cs="Calibri"/>
              </w:rPr>
            </w:pPr>
            <w:r w:rsidRPr="00C324F3">
              <w:rPr>
                <w:rFonts w:eastAsia="Calibri"/>
                <w:u w:val="single"/>
              </w:rPr>
              <w:t>Efficacy:</w:t>
            </w:r>
            <w:r w:rsidRPr="703B87A8">
              <w:rPr>
                <w:rFonts w:eastAsia="Calibri" w:cs="Calibri"/>
              </w:rPr>
              <w:t xml:space="preserve"> Abstinence at 36 weeks (26 weeks post-EOT) (7 days PPA)</w:t>
            </w:r>
            <w:r w:rsidR="0058385F">
              <w:rPr>
                <w:rFonts w:eastAsia="Calibri" w:cs="Calibri"/>
              </w:rPr>
              <w:t>.</w:t>
            </w:r>
            <w:r w:rsidRPr="703B87A8">
              <w:rPr>
                <w:rFonts w:eastAsia="Calibri" w:cs="Calibri"/>
              </w:rPr>
              <w:t xml:space="preserve"> </w:t>
            </w:r>
          </w:p>
          <w:p w:rsidR="703B87A8" w:rsidRDefault="703B87A8">
            <w:r w:rsidRPr="703B87A8">
              <w:rPr>
                <w:rFonts w:eastAsia="Calibri" w:cs="Calibri"/>
              </w:rPr>
              <w:t>Validation: CO &lt; 10 ppm</w:t>
            </w:r>
          </w:p>
          <w:p w:rsidR="703B87A8" w:rsidRDefault="703B87A8">
            <w:r w:rsidRPr="703B87A8">
              <w:rPr>
                <w:rFonts w:eastAsia="Calibri" w:cs="Calibri"/>
              </w:rPr>
              <w:t xml:space="preserve"> </w:t>
            </w:r>
          </w:p>
          <w:p w:rsidR="703B87A8" w:rsidRDefault="703B87A8">
            <w:r w:rsidRPr="00C324F3">
              <w:rPr>
                <w:rFonts w:eastAsia="Calibri"/>
                <w:u w:val="single"/>
              </w:rPr>
              <w:lastRenderedPageBreak/>
              <w:t>Safety:</w:t>
            </w:r>
            <w:r w:rsidRPr="703B87A8">
              <w:rPr>
                <w:rFonts w:eastAsia="Calibri" w:cs="Calibri"/>
              </w:rPr>
              <w:t xml:space="preserve"> Adverse events</w:t>
            </w:r>
            <w:r w:rsidR="0058385F">
              <w:rPr>
                <w:rFonts w:eastAsia="Calibri" w:cs="Calibri"/>
              </w:rPr>
              <w:t xml:space="preserve"> m</w:t>
            </w:r>
            <w:r w:rsidRPr="703B87A8">
              <w:rPr>
                <w:rFonts w:eastAsia="Calibri" w:cs="Calibri"/>
              </w:rPr>
              <w:t>easured during treatment (up to 12 weeks post-quit date)</w:t>
            </w:r>
          </w:p>
        </w:tc>
      </w:tr>
      <w:tr w:rsidR="703B87A8" w:rsidTr="00C55E04">
        <w:tc>
          <w:tcPr>
            <w:tcW w:w="1350" w:type="dxa"/>
          </w:tcPr>
          <w:p w:rsidR="703B87A8" w:rsidRDefault="703B87A8">
            <w:r w:rsidRPr="703B87A8">
              <w:rPr>
                <w:rFonts w:eastAsia="Calibri" w:cs="Calibri"/>
              </w:rPr>
              <w:lastRenderedPageBreak/>
              <w:t>Rose 2010</w:t>
            </w:r>
          </w:p>
        </w:tc>
        <w:tc>
          <w:tcPr>
            <w:tcW w:w="840" w:type="dxa"/>
          </w:tcPr>
          <w:p w:rsidR="703B87A8" w:rsidRDefault="703B87A8">
            <w:r w:rsidRPr="703B87A8">
              <w:rPr>
                <w:rFonts w:eastAsia="Calibri" w:cs="Calibri"/>
              </w:rPr>
              <w:t>RCT</w:t>
            </w:r>
          </w:p>
        </w:tc>
        <w:tc>
          <w:tcPr>
            <w:tcW w:w="1185" w:type="dxa"/>
          </w:tcPr>
          <w:p w:rsidR="703B87A8" w:rsidRDefault="703B87A8">
            <w:r w:rsidRPr="703B87A8">
              <w:rPr>
                <w:rFonts w:eastAsia="Calibri" w:cs="Calibri"/>
              </w:rPr>
              <w:t>USA</w:t>
            </w:r>
          </w:p>
        </w:tc>
        <w:tc>
          <w:tcPr>
            <w:tcW w:w="975" w:type="dxa"/>
          </w:tcPr>
          <w:p w:rsidR="703B87A8" w:rsidRDefault="00F2109D">
            <w:r>
              <w:rPr>
                <w:rFonts w:eastAsia="Calibri" w:cs="Calibri"/>
              </w:rPr>
              <w:t>N=</w:t>
            </w:r>
            <w:r w:rsidR="703B87A8" w:rsidRPr="703B87A8">
              <w:rPr>
                <w:rFonts w:eastAsia="Calibri" w:cs="Calibri"/>
              </w:rPr>
              <w:t>479</w:t>
            </w:r>
          </w:p>
        </w:tc>
        <w:tc>
          <w:tcPr>
            <w:tcW w:w="3885" w:type="dxa"/>
          </w:tcPr>
          <w:p w:rsidR="703B87A8" w:rsidRDefault="703B87A8">
            <w:r w:rsidRPr="703B87A8">
              <w:rPr>
                <w:rFonts w:eastAsia="Calibri" w:cs="Calibri"/>
              </w:rPr>
              <w:t xml:space="preserve">Smokers of ≥ 10 cpd, motivated to quit 43% men, </w:t>
            </w:r>
            <w:r w:rsidR="00097427" w:rsidRPr="703B87A8">
              <w:rPr>
                <w:rFonts w:eastAsia="Calibri" w:cs="Calibri"/>
              </w:rPr>
              <w:t>av</w:t>
            </w:r>
            <w:r w:rsidR="00097427">
              <w:rPr>
                <w:rFonts w:eastAsia="Calibri" w:cs="Calibri"/>
              </w:rPr>
              <w:t>erage</w:t>
            </w:r>
            <w:r w:rsidRPr="703B87A8">
              <w:rPr>
                <w:rFonts w:eastAsia="Calibri" w:cs="Calibri"/>
              </w:rPr>
              <w:t xml:space="preserve"> age 44, </w:t>
            </w:r>
            <w:r w:rsidR="00097427" w:rsidRPr="703B87A8">
              <w:rPr>
                <w:rFonts w:eastAsia="Calibri" w:cs="Calibri"/>
              </w:rPr>
              <w:t>av</w:t>
            </w:r>
            <w:r w:rsidR="00097427">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24</w:t>
            </w:r>
          </w:p>
        </w:tc>
        <w:tc>
          <w:tcPr>
            <w:tcW w:w="3722" w:type="dxa"/>
          </w:tcPr>
          <w:p w:rsidR="703B87A8" w:rsidRDefault="703B87A8" w:rsidP="00C324F3">
            <w:pPr>
              <w:pStyle w:val="ListParagraph"/>
              <w:numPr>
                <w:ilvl w:val="0"/>
                <w:numId w:val="262"/>
              </w:numPr>
              <w:rPr>
                <w:rFonts w:eastAsia="Calibri" w:cs="Calibri"/>
              </w:rPr>
            </w:pPr>
            <w:r w:rsidRPr="703B87A8">
              <w:t>Nicotine patch, 21 mg group: weeks 1 - 7 21 mg/24-hour (1 active 21 mg/24-hour patch, 1 placebo patch)</w:t>
            </w:r>
          </w:p>
          <w:p w:rsidR="703B87A8" w:rsidRDefault="703B87A8" w:rsidP="00C324F3">
            <w:pPr>
              <w:pStyle w:val="ListParagraph"/>
              <w:numPr>
                <w:ilvl w:val="0"/>
                <w:numId w:val="262"/>
              </w:numPr>
              <w:rPr>
                <w:rFonts w:eastAsia="Calibri" w:cs="Calibri"/>
              </w:rPr>
            </w:pPr>
            <w:r w:rsidRPr="703B87A8">
              <w:t>Nicotine patch, 42 mg group: weeks 1 - 7 42 mg/24-hour (2 active 21 mg/24-hour patches)</w:t>
            </w:r>
          </w:p>
          <w:p w:rsidR="703B87A8" w:rsidRDefault="703B87A8" w:rsidP="00C324F3">
            <w:pPr>
              <w:pStyle w:val="ListParagraph"/>
              <w:numPr>
                <w:ilvl w:val="0"/>
                <w:numId w:val="262"/>
              </w:numPr>
              <w:rPr>
                <w:rFonts w:eastAsia="Calibri" w:cs="Calibri"/>
              </w:rPr>
            </w:pPr>
            <w:r w:rsidRPr="703B87A8">
              <w:t>TQD set at 2 weeks. Weeks 7 - 12: all participants receive same NRT dose (weeks 7 - 8 21 mg/24-hour, weeks 9 - 10 14 mg/24-hour, weeks 11 - 12 7 mg/24-hour)</w:t>
            </w:r>
          </w:p>
          <w:p w:rsidR="703B87A8" w:rsidRDefault="703B87A8" w:rsidP="00C324F3">
            <w:pPr>
              <w:pStyle w:val="ListParagraph"/>
              <w:numPr>
                <w:ilvl w:val="0"/>
                <w:numId w:val="262"/>
              </w:numPr>
              <w:rPr>
                <w:rFonts w:eastAsia="Calibri" w:cs="Calibri"/>
              </w:rPr>
            </w:pPr>
            <w:r w:rsidRPr="703B87A8">
              <w:t>All participants provided with denicotinized cigarettes during 2-wk pre-cessation period to minimize adverse effects of high dose NRT</w:t>
            </w:r>
          </w:p>
        </w:tc>
        <w:tc>
          <w:tcPr>
            <w:tcW w:w="1993" w:type="dxa"/>
          </w:tcPr>
          <w:p w:rsidR="007F5B45" w:rsidRDefault="703B87A8">
            <w:pPr>
              <w:rPr>
                <w:rFonts w:eastAsia="Calibri" w:cs="Calibri"/>
              </w:rPr>
            </w:pPr>
            <w:r w:rsidRPr="00C324F3">
              <w:rPr>
                <w:rFonts w:eastAsia="Calibri"/>
                <w:u w:val="single"/>
              </w:rPr>
              <w:t>Efficacy:</w:t>
            </w:r>
            <w:r w:rsidRPr="703B87A8">
              <w:rPr>
                <w:rFonts w:eastAsia="Calibri" w:cs="Calibri"/>
              </w:rPr>
              <w:t xml:space="preserve"> PPA at 6 m</w:t>
            </w:r>
            <w:r w:rsidR="007F5B45">
              <w:rPr>
                <w:rFonts w:eastAsia="Calibri" w:cs="Calibri"/>
              </w:rPr>
              <w:t>onths</w:t>
            </w:r>
            <w:r w:rsidRPr="703B87A8">
              <w:rPr>
                <w:rFonts w:eastAsia="Calibri" w:cs="Calibri"/>
              </w:rPr>
              <w:t xml:space="preserve">. </w:t>
            </w:r>
          </w:p>
          <w:p w:rsidR="703B87A8" w:rsidRDefault="703B87A8">
            <w:r w:rsidRPr="703B87A8">
              <w:rPr>
                <w:rFonts w:eastAsia="Calibri" w:cs="Calibri"/>
              </w:rPr>
              <w:t>Validation: CO ≤ 10 ppm</w:t>
            </w:r>
          </w:p>
          <w:p w:rsidR="703B87A8" w:rsidRDefault="703B87A8">
            <w:r w:rsidRPr="703B87A8">
              <w:rPr>
                <w:rFonts w:eastAsia="Calibri" w:cs="Calibri"/>
              </w:rPr>
              <w:t xml:space="preserve"> </w:t>
            </w:r>
          </w:p>
          <w:p w:rsidR="703B87A8" w:rsidRDefault="703B87A8">
            <w:r w:rsidRPr="00C324F3">
              <w:rPr>
                <w:rFonts w:eastAsia="Calibri"/>
                <w:u w:val="single"/>
              </w:rPr>
              <w:t>Safety:</w:t>
            </w:r>
            <w:r w:rsidRPr="703B87A8">
              <w:rPr>
                <w:rFonts w:eastAsia="Calibri" w:cs="Calibri"/>
              </w:rPr>
              <w:t xml:space="preserve"> Adverse events. Measured during treatment (treatment length 12 weeks</w:t>
            </w:r>
            <w:r w:rsidRPr="703B87A8">
              <w:rPr>
                <w:rFonts w:eastAsia="Calibri" w:cs="Calibri"/>
                <w:u w:val="single"/>
              </w:rPr>
              <w:t>)</w:t>
            </w:r>
          </w:p>
        </w:tc>
      </w:tr>
      <w:tr w:rsidR="703B87A8" w:rsidTr="00C55E04">
        <w:tc>
          <w:tcPr>
            <w:tcW w:w="1350" w:type="dxa"/>
          </w:tcPr>
          <w:p w:rsidR="703B87A8" w:rsidRPr="001973C3" w:rsidRDefault="703B87A8">
            <w:pPr>
              <w:rPr>
                <w:rFonts w:eastAsia="Calibri" w:cs="Calibri"/>
              </w:rPr>
            </w:pPr>
            <w:r w:rsidRPr="001973C3">
              <w:rPr>
                <w:rFonts w:eastAsia="Calibri" w:cs="Calibri"/>
              </w:rPr>
              <w:t>Garvey 2000</w:t>
            </w:r>
          </w:p>
        </w:tc>
        <w:tc>
          <w:tcPr>
            <w:tcW w:w="840" w:type="dxa"/>
          </w:tcPr>
          <w:p w:rsidR="703B87A8" w:rsidRDefault="703B87A8">
            <w:r w:rsidRPr="703B87A8">
              <w:rPr>
                <w:rFonts w:eastAsia="Calibri" w:cs="Calibri"/>
              </w:rPr>
              <w:t>RCT</w:t>
            </w:r>
          </w:p>
        </w:tc>
        <w:tc>
          <w:tcPr>
            <w:tcW w:w="1185" w:type="dxa"/>
          </w:tcPr>
          <w:p w:rsidR="703B87A8" w:rsidRDefault="703B87A8">
            <w:r w:rsidRPr="703B87A8">
              <w:rPr>
                <w:rFonts w:eastAsia="Calibri" w:cs="Calibri"/>
              </w:rPr>
              <w:t>USA</w:t>
            </w:r>
          </w:p>
        </w:tc>
        <w:tc>
          <w:tcPr>
            <w:tcW w:w="975" w:type="dxa"/>
          </w:tcPr>
          <w:p w:rsidR="703B87A8" w:rsidRDefault="00F2109D">
            <w:r>
              <w:rPr>
                <w:rFonts w:eastAsia="Calibri" w:cs="Calibri"/>
              </w:rPr>
              <w:t>N=</w:t>
            </w:r>
            <w:r w:rsidR="703B87A8" w:rsidRPr="703B87A8">
              <w:rPr>
                <w:rFonts w:eastAsia="Calibri" w:cs="Calibri"/>
              </w:rPr>
              <w:t>608</w:t>
            </w:r>
          </w:p>
        </w:tc>
        <w:tc>
          <w:tcPr>
            <w:tcW w:w="3885" w:type="dxa"/>
          </w:tcPr>
          <w:p w:rsidR="703B87A8" w:rsidRDefault="703B87A8">
            <w:r w:rsidRPr="703B87A8">
              <w:rPr>
                <w:rFonts w:eastAsia="Calibri" w:cs="Calibri"/>
              </w:rPr>
              <w:t xml:space="preserve">Smokers, aged &gt; 20, smoking &gt; 5 </w:t>
            </w:r>
            <w:r w:rsidR="00EC221A">
              <w:rPr>
                <w:rFonts w:eastAsia="Calibri" w:cs="Calibri"/>
              </w:rPr>
              <w:t>CPD</w:t>
            </w:r>
            <w:r w:rsidRPr="703B87A8">
              <w:rPr>
                <w:rFonts w:eastAsia="Calibri" w:cs="Calibri"/>
              </w:rPr>
              <w:t xml:space="preserve"> 49% men, </w:t>
            </w:r>
            <w:r w:rsidR="00097427" w:rsidRPr="703B87A8">
              <w:rPr>
                <w:rFonts w:eastAsia="Calibri" w:cs="Calibri"/>
              </w:rPr>
              <w:t>av</w:t>
            </w:r>
            <w:r w:rsidR="00097427">
              <w:rPr>
                <w:rFonts w:eastAsia="Calibri" w:cs="Calibri"/>
              </w:rPr>
              <w:t>erage</w:t>
            </w:r>
            <w:r w:rsidRPr="703B87A8">
              <w:rPr>
                <w:rFonts w:eastAsia="Calibri" w:cs="Calibri"/>
              </w:rPr>
              <w:t xml:space="preserve"> </w:t>
            </w:r>
            <w:r w:rsidR="00097427">
              <w:rPr>
                <w:rFonts w:eastAsia="Calibri" w:cs="Calibri"/>
              </w:rPr>
              <w:t>CPD</w:t>
            </w:r>
            <w:r w:rsidRPr="703B87A8">
              <w:rPr>
                <w:rFonts w:eastAsia="Calibri" w:cs="Calibri"/>
              </w:rPr>
              <w:t xml:space="preserve"> 23</w:t>
            </w:r>
          </w:p>
        </w:tc>
        <w:tc>
          <w:tcPr>
            <w:tcW w:w="3722" w:type="dxa"/>
          </w:tcPr>
          <w:p w:rsidR="703B87A8" w:rsidRDefault="703B87A8" w:rsidP="00C324F3">
            <w:pPr>
              <w:pStyle w:val="ListParagraph"/>
              <w:numPr>
                <w:ilvl w:val="0"/>
                <w:numId w:val="261"/>
              </w:numPr>
              <w:rPr>
                <w:rFonts w:eastAsia="Calibri" w:cs="Calibri"/>
              </w:rPr>
            </w:pPr>
            <w:r w:rsidRPr="703B87A8">
              <w:t>4 mg nicotine gum (recommended 9 - 15 pieces), weaning from 2 m</w:t>
            </w:r>
          </w:p>
          <w:p w:rsidR="703B87A8" w:rsidRDefault="703B87A8" w:rsidP="00C324F3">
            <w:pPr>
              <w:pStyle w:val="ListParagraph"/>
              <w:numPr>
                <w:ilvl w:val="0"/>
                <w:numId w:val="261"/>
              </w:numPr>
              <w:rPr>
                <w:rFonts w:eastAsia="Calibri" w:cs="Calibri"/>
              </w:rPr>
            </w:pPr>
            <w:r w:rsidRPr="703B87A8">
              <w:t>2 mg nicotine gum use as 1</w:t>
            </w:r>
          </w:p>
          <w:p w:rsidR="703B87A8" w:rsidRDefault="703B87A8" w:rsidP="00C324F3">
            <w:pPr>
              <w:pStyle w:val="ListParagraph"/>
              <w:numPr>
                <w:ilvl w:val="0"/>
                <w:numId w:val="261"/>
              </w:numPr>
              <w:rPr>
                <w:rFonts w:eastAsia="Calibri" w:cs="Calibri"/>
              </w:rPr>
            </w:pPr>
            <w:r w:rsidRPr="703B87A8">
              <w:t>Placebo gum</w:t>
            </w:r>
          </w:p>
          <w:p w:rsidR="703B87A8" w:rsidRDefault="703B87A8" w:rsidP="00C324F3">
            <w:pPr>
              <w:pStyle w:val="ListParagraph"/>
              <w:numPr>
                <w:ilvl w:val="0"/>
                <w:numId w:val="261"/>
              </w:numPr>
              <w:rPr>
                <w:rFonts w:eastAsia="Calibri" w:cs="Calibri"/>
              </w:rPr>
            </w:pPr>
            <w:r w:rsidRPr="703B87A8">
              <w:t>All received brief counselling (5 - 10 mins) at each study visit (1, 7, 14, 30 days, 2, 3, 6, 9, 12 m)</w:t>
            </w:r>
          </w:p>
        </w:tc>
        <w:tc>
          <w:tcPr>
            <w:tcW w:w="1993" w:type="dxa"/>
          </w:tcPr>
          <w:p w:rsidR="703B87A8" w:rsidRDefault="703B87A8">
            <w:r w:rsidRPr="00C324F3">
              <w:rPr>
                <w:rFonts w:eastAsia="Calibri"/>
                <w:u w:val="single"/>
              </w:rPr>
              <w:t>Efficacy:</w:t>
            </w:r>
            <w:r w:rsidRPr="703B87A8">
              <w:rPr>
                <w:rFonts w:eastAsia="Calibri" w:cs="Calibri"/>
              </w:rPr>
              <w:t xml:space="preserve"> Sustained abstinence at 12 m</w:t>
            </w:r>
            <w:r w:rsidR="007F5B45">
              <w:rPr>
                <w:rFonts w:eastAsia="Calibri" w:cs="Calibri"/>
              </w:rPr>
              <w:t>onths</w:t>
            </w:r>
            <w:r w:rsidRPr="703B87A8">
              <w:rPr>
                <w:rFonts w:eastAsia="Calibri" w:cs="Calibri"/>
              </w:rPr>
              <w:t xml:space="preserve"> (relapse defined as 7+ consecutive days or episodes of smoking)</w:t>
            </w:r>
            <w:r w:rsidR="007F5B45">
              <w:rPr>
                <w:rFonts w:eastAsia="Calibri" w:cs="Calibri"/>
              </w:rPr>
              <w:t>.</w:t>
            </w:r>
            <w:r w:rsidRPr="703B87A8">
              <w:rPr>
                <w:rFonts w:eastAsia="Calibri" w:cs="Calibri"/>
              </w:rPr>
              <w:t xml:space="preserve"> Validation: CO ≤ 8 ppm</w:t>
            </w:r>
          </w:p>
          <w:p w:rsidR="703B87A8" w:rsidRDefault="703B87A8">
            <w:r w:rsidRPr="703B87A8">
              <w:rPr>
                <w:rFonts w:eastAsia="Calibri" w:cs="Calibri"/>
              </w:rPr>
              <w:t xml:space="preserve"> </w:t>
            </w:r>
          </w:p>
          <w:p w:rsidR="703B87A8" w:rsidRDefault="703B87A8">
            <w:r w:rsidRPr="00C324F3">
              <w:rPr>
                <w:rFonts w:eastAsia="Calibri"/>
                <w:u w:val="single"/>
              </w:rPr>
              <w:t>Safety:</w:t>
            </w:r>
            <w:r w:rsidRPr="703B87A8">
              <w:rPr>
                <w:rFonts w:eastAsia="Calibri" w:cs="Calibri"/>
              </w:rPr>
              <w:t xml:space="preserve"> NR</w:t>
            </w:r>
          </w:p>
        </w:tc>
      </w:tr>
      <w:tr w:rsidR="703B87A8" w:rsidTr="00C55E04">
        <w:tc>
          <w:tcPr>
            <w:tcW w:w="1350" w:type="dxa"/>
          </w:tcPr>
          <w:p w:rsidR="703B87A8" w:rsidRPr="001973C3" w:rsidRDefault="703B87A8">
            <w:pPr>
              <w:rPr>
                <w:rFonts w:eastAsia="Calibri" w:cs="Calibri"/>
              </w:rPr>
            </w:pPr>
            <w:r w:rsidRPr="001973C3">
              <w:rPr>
                <w:rFonts w:eastAsia="Calibri" w:cs="Calibri"/>
              </w:rPr>
              <w:t>Herrera 1995</w:t>
            </w:r>
          </w:p>
        </w:tc>
        <w:tc>
          <w:tcPr>
            <w:tcW w:w="840" w:type="dxa"/>
          </w:tcPr>
          <w:p w:rsidR="703B87A8" w:rsidRDefault="703B87A8">
            <w:r w:rsidRPr="703B87A8">
              <w:rPr>
                <w:rFonts w:eastAsia="Calibri" w:cs="Calibri"/>
              </w:rPr>
              <w:t>RCT</w:t>
            </w:r>
          </w:p>
        </w:tc>
        <w:tc>
          <w:tcPr>
            <w:tcW w:w="1185" w:type="dxa"/>
          </w:tcPr>
          <w:p w:rsidR="703B87A8" w:rsidRDefault="703B87A8">
            <w:r w:rsidRPr="703B87A8">
              <w:rPr>
                <w:rFonts w:eastAsia="Calibri" w:cs="Calibri"/>
              </w:rPr>
              <w:t>Venezuela</w:t>
            </w:r>
          </w:p>
        </w:tc>
        <w:tc>
          <w:tcPr>
            <w:tcW w:w="975" w:type="dxa"/>
          </w:tcPr>
          <w:p w:rsidR="703B87A8" w:rsidRDefault="00F2109D">
            <w:r>
              <w:rPr>
                <w:rFonts w:eastAsia="Calibri" w:cs="Calibri"/>
              </w:rPr>
              <w:t>N=</w:t>
            </w:r>
            <w:r w:rsidR="703B87A8" w:rsidRPr="703B87A8">
              <w:rPr>
                <w:rFonts w:eastAsia="Calibri" w:cs="Calibri"/>
              </w:rPr>
              <w:t>322</w:t>
            </w:r>
          </w:p>
        </w:tc>
        <w:tc>
          <w:tcPr>
            <w:tcW w:w="3885" w:type="dxa"/>
          </w:tcPr>
          <w:p w:rsidR="703B87A8" w:rsidRDefault="703B87A8">
            <w:r w:rsidRPr="703B87A8">
              <w:rPr>
                <w:rFonts w:eastAsia="Calibri" w:cs="Calibri"/>
              </w:rPr>
              <w:t xml:space="preserve">Smokers &gt; 10 </w:t>
            </w:r>
            <w:r w:rsidR="00097427">
              <w:rPr>
                <w:rFonts w:eastAsia="Calibri" w:cs="Calibri"/>
              </w:rPr>
              <w:t>CPD</w:t>
            </w:r>
            <w:r w:rsidRPr="703B87A8">
              <w:rPr>
                <w:rFonts w:eastAsia="Calibri" w:cs="Calibri"/>
              </w:rPr>
              <w:t xml:space="preserve">, scoring ≥ 4 on FTND, no serious illness. Only those who were ready to quit after 4 weeks of behavioural treatment were randomized 57% men, </w:t>
            </w:r>
            <w:r w:rsidR="00097427" w:rsidRPr="703B87A8">
              <w:rPr>
                <w:rFonts w:eastAsia="Calibri" w:cs="Calibri"/>
              </w:rPr>
              <w:lastRenderedPageBreak/>
              <w:t>av</w:t>
            </w:r>
            <w:r w:rsidR="00097427">
              <w:rPr>
                <w:rFonts w:eastAsia="Calibri" w:cs="Calibri"/>
              </w:rPr>
              <w:t>erage</w:t>
            </w:r>
            <w:r w:rsidRPr="703B87A8">
              <w:rPr>
                <w:rFonts w:eastAsia="Calibri" w:cs="Calibri"/>
              </w:rPr>
              <w:t xml:space="preserve"> age ˜38, </w:t>
            </w:r>
            <w:r w:rsidR="00097427" w:rsidRPr="703B87A8">
              <w:rPr>
                <w:rFonts w:eastAsia="Calibri" w:cs="Calibri"/>
              </w:rPr>
              <w:t>av</w:t>
            </w:r>
            <w:r w:rsidR="00097427">
              <w:rPr>
                <w:rFonts w:eastAsia="Calibri" w:cs="Calibri"/>
              </w:rPr>
              <w:t>erage</w:t>
            </w:r>
            <w:r w:rsidR="00097427" w:rsidRPr="703B87A8" w:rsidDel="00097427">
              <w:rPr>
                <w:rFonts w:eastAsia="Calibri" w:cs="Calibri"/>
              </w:rPr>
              <w:t xml:space="preserve"> </w:t>
            </w:r>
            <w:r w:rsidR="00EC221A">
              <w:rPr>
                <w:rFonts w:eastAsia="Calibri" w:cs="Calibri"/>
              </w:rPr>
              <w:t>CPD</w:t>
            </w:r>
            <w:r w:rsidRPr="703B87A8">
              <w:rPr>
                <w:rFonts w:eastAsia="Calibri" w:cs="Calibri"/>
              </w:rPr>
              <w:t xml:space="preserve"> 33 for high dependence, 16 for low dependence</w:t>
            </w:r>
          </w:p>
        </w:tc>
        <w:tc>
          <w:tcPr>
            <w:tcW w:w="3722" w:type="dxa"/>
          </w:tcPr>
          <w:p w:rsidR="703B87A8" w:rsidRDefault="703B87A8" w:rsidP="00C324F3">
            <w:pPr>
              <w:pStyle w:val="ListParagraph"/>
              <w:numPr>
                <w:ilvl w:val="0"/>
                <w:numId w:val="260"/>
              </w:numPr>
              <w:rPr>
                <w:rFonts w:eastAsia="Calibri" w:cs="Calibri"/>
              </w:rPr>
            </w:pPr>
            <w:r w:rsidRPr="703B87A8">
              <w:lastRenderedPageBreak/>
              <w:t>Low-dependence smokers (FTND 4 - 6):</w:t>
            </w:r>
          </w:p>
          <w:p w:rsidR="703B87A8" w:rsidRDefault="703B87A8" w:rsidP="00C324F3">
            <w:pPr>
              <w:pStyle w:val="ListParagraph"/>
              <w:numPr>
                <w:ilvl w:val="0"/>
                <w:numId w:val="260"/>
              </w:numPr>
              <w:rPr>
                <w:rFonts w:eastAsia="Calibri" w:cs="Calibri"/>
              </w:rPr>
            </w:pPr>
            <w:r w:rsidRPr="703B87A8">
              <w:t>2 mg nicotine gum</w:t>
            </w:r>
          </w:p>
          <w:p w:rsidR="703B87A8" w:rsidRDefault="703B87A8" w:rsidP="00C324F3">
            <w:pPr>
              <w:pStyle w:val="ListParagraph"/>
              <w:numPr>
                <w:ilvl w:val="0"/>
                <w:numId w:val="260"/>
              </w:numPr>
              <w:rPr>
                <w:rFonts w:eastAsia="Calibri" w:cs="Calibri"/>
              </w:rPr>
            </w:pPr>
            <w:r w:rsidRPr="703B87A8">
              <w:t>Placebo gum</w:t>
            </w:r>
          </w:p>
          <w:p w:rsidR="703B87A8" w:rsidRDefault="703B87A8">
            <w:r w:rsidRPr="703B87A8">
              <w:rPr>
                <w:rFonts w:eastAsia="Calibri" w:cs="Calibri"/>
              </w:rPr>
              <w:lastRenderedPageBreak/>
              <w:t xml:space="preserve"> </w:t>
            </w:r>
          </w:p>
          <w:p w:rsidR="703B87A8" w:rsidRDefault="703B87A8" w:rsidP="00C324F3">
            <w:pPr>
              <w:pStyle w:val="ListParagraph"/>
              <w:numPr>
                <w:ilvl w:val="0"/>
                <w:numId w:val="260"/>
              </w:numPr>
              <w:rPr>
                <w:rFonts w:eastAsia="Calibri" w:cs="Calibri"/>
              </w:rPr>
            </w:pPr>
            <w:r w:rsidRPr="703B87A8">
              <w:t>High-dependence smokers (FTND 7 - 11):</w:t>
            </w:r>
          </w:p>
          <w:p w:rsidR="703B87A8" w:rsidRDefault="703B87A8" w:rsidP="00C324F3">
            <w:pPr>
              <w:pStyle w:val="ListParagraph"/>
              <w:numPr>
                <w:ilvl w:val="0"/>
                <w:numId w:val="260"/>
              </w:numPr>
              <w:rPr>
                <w:rFonts w:eastAsia="Calibri" w:cs="Calibri"/>
              </w:rPr>
            </w:pPr>
            <w:r w:rsidRPr="703B87A8">
              <w:t>4 mg nicotine gum plus</w:t>
            </w:r>
          </w:p>
          <w:p w:rsidR="703B87A8" w:rsidRDefault="703B87A8" w:rsidP="00C324F3">
            <w:pPr>
              <w:pStyle w:val="ListParagraph"/>
              <w:numPr>
                <w:ilvl w:val="0"/>
                <w:numId w:val="260"/>
              </w:numPr>
              <w:rPr>
                <w:rFonts w:eastAsia="Calibri" w:cs="Calibri"/>
              </w:rPr>
            </w:pPr>
            <w:r w:rsidRPr="703B87A8">
              <w:t>2 mg nicotine gum</w:t>
            </w:r>
          </w:p>
          <w:p w:rsidR="703B87A8" w:rsidRDefault="703B87A8">
            <w:r w:rsidRPr="703B87A8">
              <w:rPr>
                <w:rFonts w:eastAsia="Calibri" w:cs="Calibri"/>
              </w:rPr>
              <w:t xml:space="preserve"> </w:t>
            </w:r>
          </w:p>
          <w:p w:rsidR="703B87A8" w:rsidRDefault="703B87A8" w:rsidP="00C324F3">
            <w:pPr>
              <w:pStyle w:val="ListParagraph"/>
              <w:numPr>
                <w:ilvl w:val="0"/>
                <w:numId w:val="260"/>
              </w:numPr>
              <w:rPr>
                <w:rFonts w:eastAsia="Calibri" w:cs="Calibri"/>
              </w:rPr>
            </w:pPr>
            <w:r w:rsidRPr="703B87A8">
              <w:t>Participants also randomized to starting medication with increasing dose for 1 week before TQD, or to start at full dose on TQD - there was no blinding for this</w:t>
            </w:r>
          </w:p>
        </w:tc>
        <w:tc>
          <w:tcPr>
            <w:tcW w:w="1993" w:type="dxa"/>
          </w:tcPr>
          <w:p w:rsidR="703B87A8" w:rsidRDefault="703B87A8">
            <w:r w:rsidRPr="00C324F3">
              <w:rPr>
                <w:rFonts w:eastAsia="Calibri"/>
                <w:u w:val="single"/>
              </w:rPr>
              <w:lastRenderedPageBreak/>
              <w:t>Efficacy:</w:t>
            </w:r>
            <w:r w:rsidRPr="703B87A8">
              <w:rPr>
                <w:rFonts w:eastAsia="Calibri" w:cs="Calibri"/>
              </w:rPr>
              <w:t xml:space="preserve"> Sustained abstinence at 2 y</w:t>
            </w:r>
            <w:r w:rsidR="007F5B45">
              <w:rPr>
                <w:rFonts w:eastAsia="Calibri" w:cs="Calibri"/>
              </w:rPr>
              <w:t>ea</w:t>
            </w:r>
            <w:r w:rsidRPr="703B87A8">
              <w:rPr>
                <w:rFonts w:eastAsia="Calibri" w:cs="Calibri"/>
              </w:rPr>
              <w:t>rs (1y</w:t>
            </w:r>
            <w:r w:rsidR="007F5B45">
              <w:rPr>
                <w:rFonts w:eastAsia="Calibri" w:cs="Calibri"/>
              </w:rPr>
              <w:t>ea</w:t>
            </w:r>
            <w:r w:rsidRPr="703B87A8">
              <w:rPr>
                <w:rFonts w:eastAsia="Calibri" w:cs="Calibri"/>
              </w:rPr>
              <w:t xml:space="preserve">r also reported) </w:t>
            </w:r>
            <w:r w:rsidRPr="703B87A8">
              <w:rPr>
                <w:rFonts w:eastAsia="Calibri" w:cs="Calibri"/>
              </w:rPr>
              <w:lastRenderedPageBreak/>
              <w:t>Validation: expired CO &lt; 6 ppm</w:t>
            </w:r>
          </w:p>
          <w:p w:rsidR="703B87A8" w:rsidRDefault="703B87A8">
            <w:r w:rsidRPr="703B87A8">
              <w:rPr>
                <w:rFonts w:eastAsia="Calibri" w:cs="Calibri"/>
              </w:rPr>
              <w:t xml:space="preserve"> </w:t>
            </w:r>
          </w:p>
          <w:p w:rsidR="703B87A8" w:rsidRDefault="703B87A8">
            <w:r w:rsidRPr="00C324F3">
              <w:rPr>
                <w:rFonts w:eastAsia="Calibri"/>
                <w:u w:val="single"/>
              </w:rPr>
              <w:t>Safety:</w:t>
            </w:r>
            <w:r w:rsidRPr="703B87A8">
              <w:rPr>
                <w:rFonts w:eastAsia="Calibri" w:cs="Calibri"/>
              </w:rPr>
              <w:t xml:space="preserve"> Adverse events measured daily during treatment</w:t>
            </w:r>
          </w:p>
        </w:tc>
      </w:tr>
      <w:tr w:rsidR="703B87A8" w:rsidTr="00C55E04">
        <w:tc>
          <w:tcPr>
            <w:tcW w:w="1350" w:type="dxa"/>
          </w:tcPr>
          <w:p w:rsidR="703B87A8" w:rsidRPr="001973C3" w:rsidRDefault="703B87A8">
            <w:pPr>
              <w:rPr>
                <w:rFonts w:eastAsia="Calibri" w:cs="Calibri"/>
              </w:rPr>
            </w:pPr>
            <w:r w:rsidRPr="001973C3">
              <w:rPr>
                <w:rFonts w:eastAsia="Calibri" w:cs="Calibri"/>
              </w:rPr>
              <w:lastRenderedPageBreak/>
              <w:t>Kornitzer 1987</w:t>
            </w:r>
          </w:p>
        </w:tc>
        <w:tc>
          <w:tcPr>
            <w:tcW w:w="840" w:type="dxa"/>
          </w:tcPr>
          <w:p w:rsidR="703B87A8" w:rsidRDefault="703B87A8">
            <w:r w:rsidRPr="703B87A8">
              <w:rPr>
                <w:rFonts w:eastAsia="Calibri" w:cs="Calibri"/>
              </w:rPr>
              <w:t>RCT</w:t>
            </w:r>
          </w:p>
        </w:tc>
        <w:tc>
          <w:tcPr>
            <w:tcW w:w="1185" w:type="dxa"/>
          </w:tcPr>
          <w:p w:rsidR="703B87A8" w:rsidRDefault="703B87A8">
            <w:r w:rsidRPr="703B87A8">
              <w:rPr>
                <w:rFonts w:eastAsia="Calibri" w:cs="Calibri"/>
              </w:rPr>
              <w:t>Belgium</w:t>
            </w:r>
          </w:p>
        </w:tc>
        <w:tc>
          <w:tcPr>
            <w:tcW w:w="975" w:type="dxa"/>
          </w:tcPr>
          <w:p w:rsidR="703B87A8" w:rsidRDefault="00F2109D">
            <w:r>
              <w:rPr>
                <w:rFonts w:eastAsia="Calibri" w:cs="Calibri"/>
              </w:rPr>
              <w:t>N=</w:t>
            </w:r>
            <w:r w:rsidR="703B87A8" w:rsidRPr="703B87A8">
              <w:rPr>
                <w:rFonts w:eastAsia="Calibri" w:cs="Calibri"/>
              </w:rPr>
              <w:t xml:space="preserve">199 </w:t>
            </w:r>
          </w:p>
        </w:tc>
        <w:tc>
          <w:tcPr>
            <w:tcW w:w="3885" w:type="dxa"/>
          </w:tcPr>
          <w:p w:rsidR="703B87A8" w:rsidRDefault="703B87A8">
            <w:r w:rsidRPr="703B87A8">
              <w:rPr>
                <w:rFonts w:eastAsia="Calibri" w:cs="Calibri"/>
              </w:rPr>
              <w:t>Smokers (</w:t>
            </w:r>
            <w:r w:rsidR="00097427" w:rsidRPr="703B87A8">
              <w:rPr>
                <w:rFonts w:eastAsia="Calibri" w:cs="Calibri"/>
              </w:rPr>
              <w:t>av</w:t>
            </w:r>
            <w:r w:rsidR="00097427">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24 - 5)</w:t>
            </w:r>
          </w:p>
        </w:tc>
        <w:tc>
          <w:tcPr>
            <w:tcW w:w="3722" w:type="dxa"/>
          </w:tcPr>
          <w:p w:rsidR="703B87A8" w:rsidRDefault="703B87A8" w:rsidP="00C324F3">
            <w:pPr>
              <w:pStyle w:val="ListParagraph"/>
              <w:numPr>
                <w:ilvl w:val="0"/>
                <w:numId w:val="259"/>
              </w:numPr>
              <w:rPr>
                <w:rFonts w:eastAsia="Calibri" w:cs="Calibri"/>
              </w:rPr>
            </w:pPr>
            <w:r w:rsidRPr="703B87A8">
              <w:t>Nicotine gum (4 mg) for at least 3 m Nicotine gum (2 mg) for same time period</w:t>
            </w:r>
          </w:p>
        </w:tc>
        <w:tc>
          <w:tcPr>
            <w:tcW w:w="1993" w:type="dxa"/>
          </w:tcPr>
          <w:p w:rsidR="703B87A8" w:rsidRDefault="703B87A8">
            <w:r w:rsidRPr="00C324F3">
              <w:rPr>
                <w:rFonts w:eastAsia="Calibri"/>
                <w:u w:val="single"/>
              </w:rPr>
              <w:t>Efficacy:</w:t>
            </w:r>
            <w:r w:rsidRPr="703B87A8">
              <w:rPr>
                <w:rFonts w:eastAsia="Calibri" w:cs="Calibri"/>
              </w:rPr>
              <w:t xml:space="preserve"> PPA at 12 m</w:t>
            </w:r>
          </w:p>
          <w:p w:rsidR="703B87A8" w:rsidRDefault="703B87A8">
            <w:r w:rsidRPr="703B87A8">
              <w:rPr>
                <w:rFonts w:eastAsia="Calibri" w:cs="Calibri"/>
              </w:rPr>
              <w:t>Validation: cotinine and carboxyhaemaglobin in a subsample of participants</w:t>
            </w:r>
          </w:p>
          <w:p w:rsidR="703B87A8" w:rsidRDefault="703B87A8">
            <w:r w:rsidRPr="703B87A8">
              <w:rPr>
                <w:rFonts w:eastAsia="Calibri" w:cs="Calibri"/>
              </w:rPr>
              <w:t xml:space="preserve"> </w:t>
            </w:r>
          </w:p>
          <w:p w:rsidR="703B87A8" w:rsidRDefault="703B87A8">
            <w:r w:rsidRPr="00C324F3">
              <w:rPr>
                <w:rFonts w:eastAsia="Calibri"/>
                <w:u w:val="single"/>
              </w:rPr>
              <w:t>Safety:</w:t>
            </w:r>
            <w:r w:rsidRPr="703B87A8">
              <w:rPr>
                <w:rFonts w:eastAsia="Calibri" w:cs="Calibri"/>
              </w:rPr>
              <w:t xml:space="preserve"> NR</w:t>
            </w:r>
          </w:p>
        </w:tc>
      </w:tr>
      <w:tr w:rsidR="703B87A8" w:rsidTr="00C55E04">
        <w:tc>
          <w:tcPr>
            <w:tcW w:w="1350" w:type="dxa"/>
          </w:tcPr>
          <w:p w:rsidR="703B87A8" w:rsidRPr="001973C3" w:rsidRDefault="703B87A8">
            <w:pPr>
              <w:rPr>
                <w:rFonts w:eastAsia="Calibri" w:cs="Calibri"/>
              </w:rPr>
            </w:pPr>
            <w:r w:rsidRPr="001973C3">
              <w:rPr>
                <w:rFonts w:eastAsia="Calibri" w:cs="Calibri"/>
              </w:rPr>
              <w:t>Tønnesen 1988</w:t>
            </w:r>
          </w:p>
        </w:tc>
        <w:tc>
          <w:tcPr>
            <w:tcW w:w="840" w:type="dxa"/>
          </w:tcPr>
          <w:p w:rsidR="703B87A8" w:rsidRDefault="703B87A8">
            <w:r w:rsidRPr="703B87A8">
              <w:rPr>
                <w:rFonts w:eastAsia="Calibri" w:cs="Calibri"/>
              </w:rPr>
              <w:t>RCT</w:t>
            </w:r>
          </w:p>
        </w:tc>
        <w:tc>
          <w:tcPr>
            <w:tcW w:w="1185" w:type="dxa"/>
          </w:tcPr>
          <w:p w:rsidR="703B87A8" w:rsidRDefault="703B87A8">
            <w:r w:rsidRPr="703B87A8">
              <w:rPr>
                <w:rFonts w:eastAsia="Calibri" w:cs="Calibri"/>
              </w:rPr>
              <w:t>Denmark</w:t>
            </w:r>
          </w:p>
        </w:tc>
        <w:tc>
          <w:tcPr>
            <w:tcW w:w="975" w:type="dxa"/>
          </w:tcPr>
          <w:p w:rsidR="703B87A8" w:rsidRDefault="00F2109D">
            <w:r>
              <w:rPr>
                <w:rFonts w:eastAsia="Calibri" w:cs="Calibri"/>
              </w:rPr>
              <w:t>N=</w:t>
            </w:r>
            <w:r w:rsidR="703B87A8" w:rsidRPr="703B87A8">
              <w:rPr>
                <w:rFonts w:eastAsia="Calibri" w:cs="Calibri"/>
              </w:rPr>
              <w:t>113</w:t>
            </w:r>
          </w:p>
        </w:tc>
        <w:tc>
          <w:tcPr>
            <w:tcW w:w="3885" w:type="dxa"/>
          </w:tcPr>
          <w:p w:rsidR="703B87A8" w:rsidRDefault="703B87A8">
            <w:r w:rsidRPr="703B87A8">
              <w:rPr>
                <w:rFonts w:eastAsia="Calibri" w:cs="Calibri"/>
              </w:rPr>
              <w:t xml:space="preserve">Low- to medium-dependence smokers, motivated to quit (19 or less on Horn-Russell scale) 44% men, </w:t>
            </w:r>
            <w:r w:rsidR="00861C61" w:rsidRPr="703B87A8">
              <w:rPr>
                <w:rFonts w:eastAsia="Calibri" w:cs="Calibri"/>
              </w:rPr>
              <w:t>av</w:t>
            </w:r>
            <w:r w:rsidR="00861C61">
              <w:rPr>
                <w:rFonts w:eastAsia="Calibri" w:cs="Calibri"/>
              </w:rPr>
              <w:t>erage</w:t>
            </w:r>
            <w:r w:rsidRPr="703B87A8">
              <w:rPr>
                <w:rFonts w:eastAsia="Calibri" w:cs="Calibri"/>
              </w:rPr>
              <w:t xml:space="preserve"> age 45, </w:t>
            </w:r>
            <w:r w:rsidR="001526F0" w:rsidRPr="703B87A8">
              <w:rPr>
                <w:rFonts w:eastAsia="Calibri" w:cs="Calibri"/>
              </w:rPr>
              <w:t>av</w:t>
            </w:r>
            <w:r w:rsidR="001526F0">
              <w:rPr>
                <w:rFonts w:eastAsia="Calibri" w:cs="Calibri"/>
              </w:rPr>
              <w:t>erage</w:t>
            </w:r>
            <w:r w:rsidRPr="703B87A8">
              <w:rPr>
                <w:rFonts w:eastAsia="Calibri" w:cs="Calibri"/>
              </w:rPr>
              <w:t xml:space="preserve"> </w:t>
            </w:r>
            <w:r w:rsidR="001526F0">
              <w:rPr>
                <w:rFonts w:eastAsia="Calibri" w:cs="Calibri"/>
              </w:rPr>
              <w:t>CPD</w:t>
            </w:r>
            <w:r w:rsidRPr="703B87A8">
              <w:rPr>
                <w:rFonts w:eastAsia="Calibri" w:cs="Calibri"/>
              </w:rPr>
              <w:t xml:space="preserve"> 20 60 highly-dependent smokers 42% men, </w:t>
            </w:r>
            <w:r w:rsidR="001526F0" w:rsidRPr="703B87A8">
              <w:rPr>
                <w:rFonts w:eastAsia="Calibri" w:cs="Calibri"/>
              </w:rPr>
              <w:t>av</w:t>
            </w:r>
            <w:r w:rsidR="001526F0">
              <w:rPr>
                <w:rFonts w:eastAsia="Calibri" w:cs="Calibri"/>
              </w:rPr>
              <w:t>erage</w:t>
            </w:r>
            <w:r w:rsidRPr="703B87A8">
              <w:rPr>
                <w:rFonts w:eastAsia="Calibri" w:cs="Calibri"/>
              </w:rPr>
              <w:t xml:space="preserve"> age 45, </w:t>
            </w:r>
            <w:r w:rsidR="001526F0" w:rsidRPr="703B87A8">
              <w:rPr>
                <w:rFonts w:eastAsia="Calibri" w:cs="Calibri"/>
              </w:rPr>
              <w:t>av</w:t>
            </w:r>
            <w:r w:rsidR="001526F0">
              <w:rPr>
                <w:rFonts w:eastAsia="Calibri" w:cs="Calibri"/>
              </w:rPr>
              <w:t>erage</w:t>
            </w:r>
            <w:r w:rsidR="001526F0" w:rsidRPr="703B87A8" w:rsidDel="001526F0">
              <w:rPr>
                <w:rFonts w:eastAsia="Calibri" w:cs="Calibri"/>
              </w:rPr>
              <w:t xml:space="preserve"> </w:t>
            </w:r>
            <w:r w:rsidR="00EC221A">
              <w:rPr>
                <w:rFonts w:eastAsia="Calibri" w:cs="Calibri"/>
              </w:rPr>
              <w:t>CPD</w:t>
            </w:r>
            <w:r w:rsidRPr="703B87A8">
              <w:rPr>
                <w:rFonts w:eastAsia="Calibri" w:cs="Calibri"/>
              </w:rPr>
              <w:t xml:space="preserve"> 26 - 28</w:t>
            </w:r>
          </w:p>
        </w:tc>
        <w:tc>
          <w:tcPr>
            <w:tcW w:w="3722" w:type="dxa"/>
          </w:tcPr>
          <w:p w:rsidR="703B87A8" w:rsidRDefault="703B87A8" w:rsidP="00C324F3">
            <w:pPr>
              <w:pStyle w:val="ListParagraph"/>
              <w:numPr>
                <w:ilvl w:val="0"/>
                <w:numId w:val="259"/>
              </w:numPr>
              <w:rPr>
                <w:rFonts w:eastAsia="Calibri" w:cs="Calibri"/>
              </w:rPr>
            </w:pPr>
            <w:r w:rsidRPr="703B87A8">
              <w:t>Group A: Low/medium dependence</w:t>
            </w:r>
          </w:p>
          <w:p w:rsidR="703B87A8" w:rsidRDefault="703B87A8" w:rsidP="00C324F3">
            <w:pPr>
              <w:pStyle w:val="ListParagraph"/>
              <w:numPr>
                <w:ilvl w:val="0"/>
                <w:numId w:val="259"/>
              </w:numPr>
              <w:rPr>
                <w:rFonts w:eastAsia="Calibri" w:cs="Calibri"/>
              </w:rPr>
            </w:pPr>
            <w:r w:rsidRPr="703B87A8">
              <w:t xml:space="preserve">Nicotine Gum (2 mg) for 16 weeks </w:t>
            </w:r>
          </w:p>
          <w:p w:rsidR="703B87A8" w:rsidRDefault="703B87A8" w:rsidP="00C324F3">
            <w:pPr>
              <w:pStyle w:val="ListParagraph"/>
              <w:numPr>
                <w:ilvl w:val="0"/>
                <w:numId w:val="259"/>
              </w:numPr>
              <w:rPr>
                <w:rFonts w:eastAsia="Calibri" w:cs="Calibri"/>
              </w:rPr>
            </w:pPr>
            <w:r w:rsidRPr="703B87A8">
              <w:t>Placebo</w:t>
            </w:r>
          </w:p>
          <w:p w:rsidR="703B87A8" w:rsidRDefault="703B87A8">
            <w:r w:rsidRPr="703B87A8">
              <w:rPr>
                <w:rFonts w:eastAsia="Calibri" w:cs="Calibri"/>
              </w:rPr>
              <w:t xml:space="preserve"> </w:t>
            </w:r>
          </w:p>
          <w:p w:rsidR="703B87A8" w:rsidRDefault="703B87A8" w:rsidP="00C324F3">
            <w:pPr>
              <w:pStyle w:val="ListParagraph"/>
              <w:numPr>
                <w:ilvl w:val="0"/>
                <w:numId w:val="259"/>
              </w:numPr>
              <w:rPr>
                <w:rFonts w:eastAsia="Calibri" w:cs="Calibri"/>
              </w:rPr>
            </w:pPr>
            <w:r w:rsidRPr="703B87A8">
              <w:t>Group B: High dependence</w:t>
            </w:r>
          </w:p>
          <w:p w:rsidR="703B87A8" w:rsidRDefault="703B87A8" w:rsidP="00C324F3">
            <w:pPr>
              <w:pStyle w:val="ListParagraph"/>
              <w:numPr>
                <w:ilvl w:val="0"/>
                <w:numId w:val="259"/>
              </w:numPr>
              <w:rPr>
                <w:rFonts w:eastAsia="Calibri" w:cs="Calibri"/>
              </w:rPr>
            </w:pPr>
            <w:r w:rsidRPr="703B87A8">
              <w:t>Nicotine gum 4 mg for 6 weeks then 2 mg Nicotine gum 2 mg</w:t>
            </w:r>
          </w:p>
        </w:tc>
        <w:tc>
          <w:tcPr>
            <w:tcW w:w="1993" w:type="dxa"/>
          </w:tcPr>
          <w:p w:rsidR="703B87A8" w:rsidRDefault="703B87A8">
            <w:r w:rsidRPr="00C324F3">
              <w:rPr>
                <w:rFonts w:eastAsia="Calibri"/>
                <w:u w:val="single"/>
              </w:rPr>
              <w:t>Efficacy:</w:t>
            </w:r>
            <w:r w:rsidRPr="703B87A8">
              <w:rPr>
                <w:rFonts w:eastAsia="Calibri" w:cs="Calibri"/>
              </w:rPr>
              <w:t xml:space="preserve"> Sustained abstinence at 12 m (24 m also reported) Validation: CO</w:t>
            </w:r>
          </w:p>
          <w:p w:rsidR="703B87A8" w:rsidRDefault="703B87A8">
            <w:r w:rsidRPr="703B87A8">
              <w:rPr>
                <w:rFonts w:eastAsia="Calibri" w:cs="Calibri"/>
              </w:rPr>
              <w:t xml:space="preserve"> </w:t>
            </w:r>
          </w:p>
          <w:p w:rsidR="703B87A8" w:rsidRDefault="703B87A8">
            <w:r w:rsidRPr="00C324F3">
              <w:rPr>
                <w:rFonts w:eastAsia="Calibri"/>
                <w:u w:val="single"/>
              </w:rPr>
              <w:t>Safety:</w:t>
            </w:r>
            <w:r w:rsidRPr="703B87A8">
              <w:rPr>
                <w:rFonts w:eastAsia="Calibri" w:cs="Calibri"/>
              </w:rPr>
              <w:t xml:space="preserve"> Adverse events</w:t>
            </w:r>
            <w:r w:rsidR="002576E5">
              <w:rPr>
                <w:rFonts w:eastAsia="Calibri" w:cs="Calibri"/>
              </w:rPr>
              <w:t xml:space="preserve"> m</w:t>
            </w:r>
            <w:r w:rsidRPr="703B87A8">
              <w:rPr>
                <w:rFonts w:eastAsia="Calibri" w:cs="Calibri"/>
              </w:rPr>
              <w:t>easured during counselling sessions to end of treatment (either 16 or 20 weeks)</w:t>
            </w:r>
          </w:p>
        </w:tc>
      </w:tr>
    </w:tbl>
    <w:p w:rsidR="00C55E04" w:rsidRPr="009B042A" w:rsidRDefault="00C55E04" w:rsidP="006B48C7">
      <w:pPr>
        <w:pStyle w:val="TableFooter"/>
      </w:pPr>
      <w:r>
        <w:t>Source: Lindson</w:t>
      </w:r>
      <w:r w:rsidRPr="008B0097">
        <w:t xml:space="preserve"> et al. (2019</w:t>
      </w:r>
      <w:r>
        <w:t>).</w:t>
      </w:r>
      <w:r w:rsidRPr="009B042A">
        <w:t xml:space="preserve"> </w:t>
      </w:r>
    </w:p>
    <w:p w:rsidR="703B87A8" w:rsidRDefault="00C55E04" w:rsidP="006B48C7">
      <w:pPr>
        <w:pStyle w:val="TableFooter"/>
      </w:pPr>
      <w:r>
        <w:t xml:space="preserve">Abbreviations: NR= not reported; </w:t>
      </w:r>
      <w:r w:rsidRPr="009B042A">
        <w:t xml:space="preserve">PPA= point prevalence smoking abstinence; </w:t>
      </w:r>
      <w:r>
        <w:t xml:space="preserve">CAR= continuous abstinence rate;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CPD= cigarette per day; AEs= adverse events; SAEs= serious adverse events.</w:t>
      </w:r>
    </w:p>
    <w:p w:rsidR="008D20D3" w:rsidRDefault="008D20D3" w:rsidP="008D20D3">
      <w:pPr>
        <w:pStyle w:val="Caption"/>
        <w:keepNext/>
      </w:pPr>
      <w:bookmarkStart w:id="393" w:name="_Ref62139770"/>
      <w:r>
        <w:lastRenderedPageBreak/>
        <w:t xml:space="preserve">Table </w:t>
      </w:r>
      <w:r w:rsidR="003C4A1C">
        <w:rPr>
          <w:noProof/>
        </w:rPr>
        <w:t>162</w:t>
      </w:r>
      <w:bookmarkEnd w:id="393"/>
      <w:r>
        <w:t xml:space="preserve">: </w:t>
      </w:r>
      <w:r w:rsidRPr="00771BCB">
        <w:t>Characteristics of studies included in Lindson et al. (2019), length of therapy</w:t>
      </w:r>
    </w:p>
    <w:tbl>
      <w:tblPr>
        <w:tblStyle w:val="TableGrid"/>
        <w:tblW w:w="5270" w:type="pct"/>
        <w:tblLook w:val="04A0" w:firstRow="1" w:lastRow="0" w:firstColumn="1" w:lastColumn="0" w:noHBand="0" w:noVBand="1"/>
        <w:tblCaption w:val="Efficacy results of adalimumab trials (PASI 75 and DLQI)"/>
      </w:tblPr>
      <w:tblGrid>
        <w:gridCol w:w="1591"/>
        <w:gridCol w:w="691"/>
        <w:gridCol w:w="1229"/>
        <w:gridCol w:w="1029"/>
        <w:gridCol w:w="3434"/>
        <w:gridCol w:w="3787"/>
        <w:gridCol w:w="2940"/>
      </w:tblGrid>
      <w:tr w:rsidR="007F30CC" w:rsidRPr="00061F78" w:rsidTr="00486A67">
        <w:trPr>
          <w:trHeight w:val="299"/>
          <w:tblHeader/>
        </w:trPr>
        <w:tc>
          <w:tcPr>
            <w:tcW w:w="541" w:type="pct"/>
            <w:shd w:val="clear" w:color="auto" w:fill="BFBFBF" w:themeFill="background1" w:themeFillShade="BF"/>
            <w:tcMar>
              <w:left w:w="28" w:type="dxa"/>
              <w:right w:w="28" w:type="dxa"/>
            </w:tcMar>
          </w:tcPr>
          <w:p w:rsidR="007F30CC" w:rsidRPr="00061F78" w:rsidRDefault="007F30CC" w:rsidP="006B48C7">
            <w:pPr>
              <w:pStyle w:val="Tableheading"/>
              <w:rPr>
                <w:rFonts w:eastAsia="MS Mincho"/>
              </w:rPr>
            </w:pPr>
            <w:r>
              <w:rPr>
                <w:rFonts w:eastAsia="MS Mincho"/>
              </w:rPr>
              <w:t>Study</w:t>
            </w:r>
          </w:p>
        </w:tc>
        <w:tc>
          <w:tcPr>
            <w:tcW w:w="235" w:type="pct"/>
            <w:shd w:val="clear" w:color="auto" w:fill="BFBFBF" w:themeFill="background1" w:themeFillShade="BF"/>
          </w:tcPr>
          <w:p w:rsidR="007F30CC" w:rsidRDefault="007F30CC" w:rsidP="006B48C7">
            <w:pPr>
              <w:pStyle w:val="Tableheading"/>
              <w:jc w:val="center"/>
              <w:rPr>
                <w:rFonts w:eastAsia="MS Mincho"/>
              </w:rPr>
            </w:pPr>
            <w:r>
              <w:rPr>
                <w:rFonts w:eastAsia="MS Mincho"/>
              </w:rPr>
              <w:t>Study type</w:t>
            </w:r>
          </w:p>
        </w:tc>
        <w:tc>
          <w:tcPr>
            <w:tcW w:w="418" w:type="pct"/>
            <w:shd w:val="clear" w:color="auto" w:fill="BFBFBF" w:themeFill="background1" w:themeFillShade="BF"/>
          </w:tcPr>
          <w:p w:rsidR="007F30CC" w:rsidRDefault="007F30CC" w:rsidP="006B48C7">
            <w:pPr>
              <w:pStyle w:val="Tableheading"/>
              <w:jc w:val="center"/>
              <w:rPr>
                <w:rFonts w:eastAsia="MS Mincho"/>
              </w:rPr>
            </w:pPr>
            <w:r>
              <w:rPr>
                <w:rFonts w:eastAsia="MS Mincho"/>
              </w:rPr>
              <w:t>Countries</w:t>
            </w:r>
          </w:p>
        </w:tc>
        <w:tc>
          <w:tcPr>
            <w:tcW w:w="350" w:type="pct"/>
            <w:shd w:val="clear" w:color="auto" w:fill="BFBFBF" w:themeFill="background1" w:themeFillShade="BF"/>
            <w:tcMar>
              <w:left w:w="28" w:type="dxa"/>
              <w:right w:w="28" w:type="dxa"/>
            </w:tcMar>
          </w:tcPr>
          <w:p w:rsidR="007F30CC" w:rsidRPr="00061F78" w:rsidRDefault="007F30CC" w:rsidP="006B48C7">
            <w:pPr>
              <w:pStyle w:val="Tableheading"/>
              <w:jc w:val="center"/>
              <w:rPr>
                <w:rFonts w:eastAsia="MS Mincho"/>
              </w:rPr>
            </w:pPr>
            <w:r>
              <w:rPr>
                <w:rFonts w:eastAsia="MS Mincho"/>
              </w:rPr>
              <w:t>N</w:t>
            </w:r>
          </w:p>
        </w:tc>
        <w:tc>
          <w:tcPr>
            <w:tcW w:w="1168" w:type="pct"/>
            <w:shd w:val="clear" w:color="auto" w:fill="BFBFBF" w:themeFill="background1" w:themeFillShade="BF"/>
            <w:tcMar>
              <w:left w:w="28" w:type="dxa"/>
              <w:right w:w="28" w:type="dxa"/>
            </w:tcMar>
          </w:tcPr>
          <w:p w:rsidR="007F30CC" w:rsidRPr="00061F78" w:rsidRDefault="007F30CC" w:rsidP="006B48C7">
            <w:pPr>
              <w:pStyle w:val="Tableheading"/>
              <w:jc w:val="center"/>
              <w:rPr>
                <w:rFonts w:eastAsia="MS Mincho"/>
              </w:rPr>
            </w:pPr>
            <w:r w:rsidRPr="00061F78">
              <w:rPr>
                <w:rFonts w:eastAsia="MS Mincho"/>
              </w:rPr>
              <w:t>P</w:t>
            </w:r>
            <w:r>
              <w:rPr>
                <w:rFonts w:eastAsia="MS Mincho"/>
              </w:rPr>
              <w:t>opulation</w:t>
            </w:r>
          </w:p>
        </w:tc>
        <w:tc>
          <w:tcPr>
            <w:tcW w:w="1288" w:type="pct"/>
            <w:shd w:val="clear" w:color="auto" w:fill="BFBFBF" w:themeFill="background1" w:themeFillShade="BF"/>
          </w:tcPr>
          <w:p w:rsidR="007F30CC" w:rsidRDefault="007F30CC" w:rsidP="006B48C7">
            <w:pPr>
              <w:pStyle w:val="Tableheading"/>
              <w:jc w:val="center"/>
              <w:rPr>
                <w:rFonts w:eastAsia="MS Mincho"/>
              </w:rPr>
            </w:pPr>
            <w:r>
              <w:rPr>
                <w:rFonts w:eastAsia="MS Mincho"/>
              </w:rPr>
              <w:t>Intervention and comparator</w:t>
            </w:r>
          </w:p>
        </w:tc>
        <w:tc>
          <w:tcPr>
            <w:tcW w:w="1000" w:type="pct"/>
            <w:shd w:val="clear" w:color="auto" w:fill="BFBFBF" w:themeFill="background1" w:themeFillShade="BF"/>
            <w:tcMar>
              <w:left w:w="28" w:type="dxa"/>
              <w:right w:w="28" w:type="dxa"/>
            </w:tcMar>
          </w:tcPr>
          <w:p w:rsidR="007F30CC" w:rsidRPr="00061F78" w:rsidRDefault="007F30CC" w:rsidP="006B48C7">
            <w:pPr>
              <w:pStyle w:val="Tableheading"/>
              <w:jc w:val="center"/>
              <w:rPr>
                <w:rFonts w:eastAsia="MS Mincho"/>
              </w:rPr>
            </w:pPr>
            <w:r>
              <w:rPr>
                <w:rFonts w:eastAsia="MS Mincho"/>
              </w:rPr>
              <w:t>Outcomes</w:t>
            </w:r>
          </w:p>
        </w:tc>
      </w:tr>
      <w:tr w:rsidR="007F30CC" w:rsidRPr="00017AE6" w:rsidTr="00486A67">
        <w:trPr>
          <w:trHeight w:val="99"/>
        </w:trPr>
        <w:tc>
          <w:tcPr>
            <w:tcW w:w="5000" w:type="pct"/>
            <w:gridSpan w:val="7"/>
            <w:shd w:val="clear" w:color="auto" w:fill="D9D9D9" w:themeFill="background1" w:themeFillShade="D9"/>
            <w:vAlign w:val="center"/>
          </w:tcPr>
          <w:p w:rsidR="007F30CC" w:rsidRPr="0139F213" w:rsidRDefault="007F30CC" w:rsidP="006B48C7">
            <w:pPr>
              <w:pStyle w:val="Caption"/>
              <w:rPr>
                <w:rFonts w:eastAsia="MS Mincho" w:cstheme="minorBidi"/>
              </w:rPr>
            </w:pPr>
            <w:r>
              <w:t>D</w:t>
            </w:r>
            <w:r w:rsidRPr="003D7F16">
              <w:t>uration of patch therapy</w:t>
            </w:r>
          </w:p>
        </w:tc>
      </w:tr>
      <w:tr w:rsidR="007F30CC" w:rsidRPr="00017AE6" w:rsidTr="00486A67">
        <w:trPr>
          <w:trHeight w:val="99"/>
        </w:trPr>
        <w:tc>
          <w:tcPr>
            <w:tcW w:w="541" w:type="pct"/>
          </w:tcPr>
          <w:p w:rsidR="007F30CC" w:rsidRPr="00017AE6" w:rsidRDefault="007F30CC" w:rsidP="006B48C7">
            <w:pPr>
              <w:pStyle w:val="Tablewriting"/>
              <w:rPr>
                <w:rFonts w:eastAsia="MS Mincho" w:cstheme="minorHAnsi"/>
              </w:rPr>
            </w:pPr>
            <w:r w:rsidRPr="001C2306">
              <w:rPr>
                <w:rFonts w:eastAsia="MS Mincho"/>
              </w:rPr>
              <w:t xml:space="preserve">Schnoll </w:t>
            </w:r>
            <w:r>
              <w:rPr>
                <w:rFonts w:eastAsia="MS Mincho"/>
              </w:rPr>
              <w:t>(</w:t>
            </w:r>
            <w:r w:rsidRPr="001C2306">
              <w:rPr>
                <w:rFonts w:eastAsia="MS Mincho"/>
              </w:rPr>
              <w:t>2015</w:t>
            </w:r>
            <w:r>
              <w:rPr>
                <w:rFonts w:eastAsia="MS Mincho"/>
              </w:rPr>
              <w:t>)</w:t>
            </w:r>
          </w:p>
        </w:tc>
        <w:tc>
          <w:tcPr>
            <w:tcW w:w="235" w:type="pct"/>
          </w:tcPr>
          <w:p w:rsidR="007F30CC" w:rsidRPr="00017AE6" w:rsidRDefault="007F30CC" w:rsidP="006B48C7">
            <w:pPr>
              <w:pStyle w:val="Tablewriting"/>
              <w:rPr>
                <w:rFonts w:eastAsia="MS Mincho" w:cstheme="minorHAnsi"/>
              </w:rPr>
            </w:pPr>
            <w:r>
              <w:rPr>
                <w:rFonts w:eastAsia="MS Mincho" w:cstheme="minorHAnsi"/>
              </w:rPr>
              <w:t>RCT</w:t>
            </w:r>
          </w:p>
        </w:tc>
        <w:tc>
          <w:tcPr>
            <w:tcW w:w="418" w:type="pct"/>
          </w:tcPr>
          <w:p w:rsidR="007F30CC" w:rsidRPr="00017AE6" w:rsidRDefault="007F30CC" w:rsidP="006B48C7">
            <w:pPr>
              <w:pStyle w:val="Tablewriting"/>
              <w:rPr>
                <w:rFonts w:eastAsia="MS Mincho" w:cstheme="minorHAnsi"/>
              </w:rPr>
            </w:pPr>
            <w:r>
              <w:rPr>
                <w:rFonts w:eastAsia="MS Mincho" w:cstheme="minorHAnsi"/>
              </w:rPr>
              <w:t>USA</w:t>
            </w:r>
          </w:p>
        </w:tc>
        <w:tc>
          <w:tcPr>
            <w:tcW w:w="350" w:type="pct"/>
            <w:shd w:val="clear" w:color="auto" w:fill="auto"/>
          </w:tcPr>
          <w:p w:rsidR="007F30CC" w:rsidRPr="00017AE6" w:rsidRDefault="007F30CC" w:rsidP="006B48C7">
            <w:pPr>
              <w:pStyle w:val="Tablewriting"/>
              <w:rPr>
                <w:rFonts w:eastAsia="MS Mincho" w:cstheme="minorHAnsi"/>
              </w:rPr>
            </w:pPr>
            <w:r>
              <w:rPr>
                <w:rFonts w:eastAsia="MS Mincho" w:cstheme="minorHAnsi"/>
              </w:rPr>
              <w:t>N=525</w:t>
            </w:r>
          </w:p>
        </w:tc>
        <w:tc>
          <w:tcPr>
            <w:tcW w:w="1168" w:type="pct"/>
            <w:shd w:val="clear" w:color="auto" w:fill="auto"/>
          </w:tcPr>
          <w:p w:rsidR="007F30CC" w:rsidRPr="00856B1B" w:rsidRDefault="007F30CC" w:rsidP="006B48C7">
            <w:pPr>
              <w:tabs>
                <w:tab w:val="left" w:pos="1089"/>
              </w:tabs>
              <w:rPr>
                <w:rFonts w:eastAsia="MS Mincho"/>
                <w:lang w:eastAsia="en-US"/>
              </w:rPr>
            </w:pPr>
            <w:r>
              <w:rPr>
                <w:rFonts w:eastAsia="MS Mincho"/>
                <w:lang w:eastAsia="en-US"/>
              </w:rPr>
              <w:t>S</w:t>
            </w:r>
            <w:r w:rsidRPr="00856B1B">
              <w:rPr>
                <w:rFonts w:eastAsia="MS Mincho"/>
                <w:lang w:eastAsia="en-US"/>
              </w:rPr>
              <w:t>mokers</w:t>
            </w:r>
            <w:r>
              <w:rPr>
                <w:rFonts w:eastAsia="MS Mincho"/>
                <w:lang w:eastAsia="en-US"/>
              </w:rPr>
              <w:t xml:space="preserve"> </w:t>
            </w:r>
            <w:r w:rsidRPr="00856B1B">
              <w:rPr>
                <w:rFonts w:eastAsia="MS Mincho"/>
                <w:lang w:eastAsia="en-US"/>
              </w:rPr>
              <w:t>aged 18 years</w:t>
            </w:r>
            <w:r>
              <w:rPr>
                <w:rFonts w:eastAsia="MS Mincho"/>
                <w:lang w:eastAsia="en-US"/>
              </w:rPr>
              <w:t xml:space="preserve"> or older</w:t>
            </w:r>
            <w:r w:rsidRPr="00856B1B">
              <w:rPr>
                <w:rFonts w:eastAsia="MS Mincho"/>
                <w:lang w:eastAsia="en-US"/>
              </w:rPr>
              <w:t xml:space="preserve">, 10 </w:t>
            </w:r>
            <w:r>
              <w:rPr>
                <w:rFonts w:eastAsia="MS Mincho"/>
                <w:lang w:eastAsia="en-US"/>
              </w:rPr>
              <w:t>CPD</w:t>
            </w:r>
            <w:r w:rsidRPr="00856B1B">
              <w:rPr>
                <w:rFonts w:eastAsia="MS Mincho"/>
                <w:lang w:eastAsia="en-US"/>
              </w:rPr>
              <w:t>, interested in smoking cessation</w:t>
            </w:r>
            <w:r>
              <w:rPr>
                <w:rFonts w:eastAsia="MS Mincho"/>
                <w:lang w:eastAsia="en-US"/>
              </w:rPr>
              <w:t>.</w:t>
            </w:r>
          </w:p>
          <w:p w:rsidR="007F30CC" w:rsidRPr="00856B1B" w:rsidRDefault="007F30CC" w:rsidP="006B48C7">
            <w:pPr>
              <w:tabs>
                <w:tab w:val="left" w:pos="1089"/>
              </w:tabs>
              <w:rPr>
                <w:rFonts w:eastAsia="MS Mincho"/>
                <w:lang w:eastAsia="en-US"/>
              </w:rPr>
            </w:pPr>
            <w:r w:rsidRPr="00856B1B">
              <w:rPr>
                <w:rFonts w:eastAsia="MS Mincho"/>
                <w:lang w:eastAsia="en-US"/>
              </w:rPr>
              <w:t>49.3% men, av</w:t>
            </w:r>
            <w:r>
              <w:rPr>
                <w:rFonts w:eastAsia="MS Mincho"/>
                <w:lang w:eastAsia="en-US"/>
              </w:rPr>
              <w:t xml:space="preserve">erage </w:t>
            </w:r>
            <w:r w:rsidRPr="00856B1B">
              <w:rPr>
                <w:rFonts w:eastAsia="MS Mincho"/>
                <w:lang w:eastAsia="en-US"/>
              </w:rPr>
              <w:t>age 46.4</w:t>
            </w:r>
            <w:r>
              <w:rPr>
                <w:rFonts w:eastAsia="MS Mincho"/>
                <w:lang w:eastAsia="en-US"/>
              </w:rPr>
              <w:t xml:space="preserve"> years</w:t>
            </w:r>
            <w:r w:rsidRPr="00856B1B">
              <w:rPr>
                <w:rFonts w:eastAsia="MS Mincho"/>
                <w:lang w:eastAsia="en-US"/>
              </w:rPr>
              <w:t>, av</w:t>
            </w:r>
            <w:r>
              <w:rPr>
                <w:rFonts w:eastAsia="MS Mincho"/>
                <w:lang w:eastAsia="en-US"/>
              </w:rPr>
              <w:t>erage CPD</w:t>
            </w:r>
            <w:r w:rsidRPr="00856B1B">
              <w:rPr>
                <w:rFonts w:eastAsia="MS Mincho"/>
                <w:lang w:eastAsia="en-US"/>
              </w:rPr>
              <w:t xml:space="preserve"> 17.1, mean FTND 5.1</w:t>
            </w:r>
            <w:r>
              <w:rPr>
                <w:rFonts w:eastAsia="MS Mincho"/>
                <w:lang w:eastAsia="en-US"/>
              </w:rPr>
              <w:t>.</w:t>
            </w:r>
          </w:p>
        </w:tc>
        <w:tc>
          <w:tcPr>
            <w:tcW w:w="1288" w:type="pct"/>
            <w:shd w:val="clear" w:color="auto" w:fill="auto"/>
          </w:tcPr>
          <w:p w:rsidR="007F30CC" w:rsidRPr="00010773" w:rsidRDefault="007F30CC" w:rsidP="00C324F3">
            <w:pPr>
              <w:pStyle w:val="ListParagraph"/>
              <w:numPr>
                <w:ilvl w:val="0"/>
                <w:numId w:val="192"/>
              </w:numPr>
              <w:rPr>
                <w:rFonts w:eastAsia="MS Mincho"/>
                <w:lang w:eastAsia="en-US"/>
              </w:rPr>
            </w:pPr>
            <w:r w:rsidRPr="00010773">
              <w:rPr>
                <w:rFonts w:eastAsia="MS Mincho"/>
                <w:lang w:eastAsia="en-US"/>
              </w:rPr>
              <w:t>Nicotine patch (21 mg) for 8 weeks from target quit date</w:t>
            </w:r>
          </w:p>
          <w:p w:rsidR="007F30CC" w:rsidRPr="00010773" w:rsidRDefault="007F30CC" w:rsidP="00C324F3">
            <w:pPr>
              <w:pStyle w:val="ListParagraph"/>
              <w:numPr>
                <w:ilvl w:val="0"/>
                <w:numId w:val="192"/>
              </w:numPr>
              <w:rPr>
                <w:rFonts w:eastAsia="MS Mincho"/>
                <w:lang w:eastAsia="en-US"/>
              </w:rPr>
            </w:pPr>
            <w:r w:rsidRPr="00010773">
              <w:rPr>
                <w:rFonts w:eastAsia="MS Mincho"/>
                <w:lang w:eastAsia="en-US"/>
              </w:rPr>
              <w:t>Nicotine patch (21 mg) for 24 weeks from target quit date</w:t>
            </w:r>
          </w:p>
          <w:p w:rsidR="007F30CC" w:rsidRPr="00010773" w:rsidRDefault="007F30CC" w:rsidP="00C324F3">
            <w:pPr>
              <w:pStyle w:val="ListParagraph"/>
              <w:numPr>
                <w:ilvl w:val="0"/>
                <w:numId w:val="192"/>
              </w:numPr>
              <w:rPr>
                <w:rFonts w:eastAsia="MS Mincho"/>
                <w:lang w:eastAsia="en-US"/>
              </w:rPr>
            </w:pPr>
            <w:r w:rsidRPr="00010773">
              <w:rPr>
                <w:rFonts w:eastAsia="MS Mincho"/>
                <w:lang w:eastAsia="en-US"/>
              </w:rPr>
              <w:t>Nicotine patch (21 mg) for 52 weeks from target quit date</w:t>
            </w:r>
          </w:p>
        </w:tc>
        <w:tc>
          <w:tcPr>
            <w:tcW w:w="1000" w:type="pct"/>
          </w:tcPr>
          <w:p w:rsidR="007F30CC" w:rsidRPr="00856B1B" w:rsidRDefault="007F30CC" w:rsidP="006B48C7">
            <w:pPr>
              <w:pStyle w:val="Tablewriting"/>
              <w:rPr>
                <w:rFonts w:eastAsia="MS Mincho" w:cstheme="minorBidi"/>
              </w:rPr>
            </w:pPr>
            <w:r w:rsidRPr="00856B1B">
              <w:rPr>
                <w:rFonts w:eastAsia="MS Mincho" w:cstheme="minorBidi"/>
                <w:u w:val="single"/>
              </w:rPr>
              <w:t>Efficacy:</w:t>
            </w:r>
            <w:r>
              <w:rPr>
                <w:rFonts w:eastAsia="MS Mincho" w:cstheme="minorBidi"/>
                <w:u w:val="single"/>
              </w:rPr>
              <w:t xml:space="preserve"> </w:t>
            </w:r>
            <w:r w:rsidRPr="00856B1B">
              <w:rPr>
                <w:rFonts w:eastAsia="MS Mincho" w:cstheme="minorBidi"/>
              </w:rPr>
              <w:t>7-day PPA at 12 m</w:t>
            </w:r>
            <w:r>
              <w:rPr>
                <w:rFonts w:eastAsia="MS Mincho" w:cstheme="minorBidi"/>
              </w:rPr>
              <w:t>onths</w:t>
            </w:r>
            <w:r w:rsidRPr="00856B1B">
              <w:rPr>
                <w:rFonts w:eastAsia="MS Mincho" w:cstheme="minorBidi"/>
              </w:rPr>
              <w:t xml:space="preserve">, 7-day PPA at 24 weeks. </w:t>
            </w:r>
          </w:p>
          <w:p w:rsidR="007F30CC" w:rsidRPr="004272CD" w:rsidRDefault="007F30CC" w:rsidP="006B48C7">
            <w:pPr>
              <w:pStyle w:val="Tablewriting"/>
              <w:rPr>
                <w:rFonts w:eastAsia="MS Mincho" w:cstheme="minorBidi"/>
                <w:u w:val="single"/>
              </w:rPr>
            </w:pPr>
          </w:p>
          <w:p w:rsidR="007F30CC" w:rsidRPr="004272CD" w:rsidRDefault="007F30CC" w:rsidP="006B48C7">
            <w:pPr>
              <w:pStyle w:val="Tablewriting"/>
              <w:rPr>
                <w:rFonts w:eastAsia="MS Mincho" w:cstheme="minorBidi"/>
                <w:u w:val="single"/>
              </w:rPr>
            </w:pPr>
            <w:r w:rsidRPr="00856B1B">
              <w:rPr>
                <w:rFonts w:eastAsia="MS Mincho" w:cstheme="minorBidi"/>
                <w:u w:val="single"/>
              </w:rPr>
              <w:t>Safety:</w:t>
            </w:r>
            <w:r>
              <w:rPr>
                <w:rFonts w:eastAsia="MS Mincho" w:cstheme="minorBidi"/>
                <w:u w:val="single"/>
              </w:rPr>
              <w:t xml:space="preserve"> </w:t>
            </w:r>
            <w:r w:rsidRPr="00856B1B">
              <w:rPr>
                <w:rFonts w:eastAsia="MS Mincho" w:cstheme="minorBidi"/>
              </w:rPr>
              <w:t>Adverse events</w:t>
            </w:r>
            <w:r>
              <w:rPr>
                <w:rFonts w:eastAsia="MS Mincho" w:cstheme="minorBidi"/>
              </w:rPr>
              <w:t xml:space="preserve"> </w:t>
            </w:r>
            <w:r w:rsidRPr="00856B1B">
              <w:rPr>
                <w:rFonts w:eastAsia="MS Mincho" w:cstheme="minorBidi"/>
              </w:rPr>
              <w:t>measured at 4, 12, and 30 weeks</w:t>
            </w:r>
            <w:r>
              <w:rPr>
                <w:rFonts w:eastAsia="MS Mincho" w:cstheme="minorBidi"/>
              </w:rPr>
              <w:t>.</w:t>
            </w:r>
          </w:p>
        </w:tc>
      </w:tr>
      <w:tr w:rsidR="007F30CC" w:rsidRPr="00017AE6" w:rsidTr="00486A67">
        <w:trPr>
          <w:trHeight w:val="99"/>
        </w:trPr>
        <w:tc>
          <w:tcPr>
            <w:tcW w:w="541" w:type="pct"/>
          </w:tcPr>
          <w:p w:rsidR="007F30CC" w:rsidRPr="00017AE6" w:rsidRDefault="007F30CC" w:rsidP="006B48C7">
            <w:pPr>
              <w:pStyle w:val="Tablewriting"/>
              <w:rPr>
                <w:rFonts w:eastAsia="MS Mincho" w:cstheme="minorHAnsi"/>
              </w:rPr>
            </w:pPr>
            <w:r w:rsidRPr="001C2306">
              <w:rPr>
                <w:rFonts w:eastAsia="MS Mincho"/>
              </w:rPr>
              <w:t xml:space="preserve">CEASE </w:t>
            </w:r>
            <w:r>
              <w:rPr>
                <w:rFonts w:eastAsia="MS Mincho"/>
              </w:rPr>
              <w:t>(</w:t>
            </w:r>
            <w:r w:rsidRPr="001C2306">
              <w:rPr>
                <w:rFonts w:eastAsia="MS Mincho"/>
              </w:rPr>
              <w:t>1999</w:t>
            </w:r>
            <w:r>
              <w:rPr>
                <w:rFonts w:eastAsia="MS Mincho"/>
              </w:rPr>
              <w:t>)</w:t>
            </w:r>
          </w:p>
        </w:tc>
        <w:tc>
          <w:tcPr>
            <w:tcW w:w="235" w:type="pct"/>
          </w:tcPr>
          <w:p w:rsidR="007F30CC" w:rsidRPr="00017AE6" w:rsidRDefault="007F30CC" w:rsidP="006B48C7">
            <w:pPr>
              <w:pStyle w:val="Tablewriting"/>
              <w:rPr>
                <w:rFonts w:eastAsia="MS Mincho" w:cstheme="minorHAnsi"/>
              </w:rPr>
            </w:pPr>
            <w:r>
              <w:rPr>
                <w:rFonts w:eastAsia="MS Mincho" w:cstheme="minorHAnsi"/>
              </w:rPr>
              <w:t>RCT</w:t>
            </w:r>
          </w:p>
        </w:tc>
        <w:tc>
          <w:tcPr>
            <w:tcW w:w="418" w:type="pct"/>
          </w:tcPr>
          <w:p w:rsidR="007F30CC" w:rsidRPr="00017AE6" w:rsidRDefault="007F30CC" w:rsidP="006B48C7">
            <w:pPr>
              <w:pStyle w:val="Tablewriting"/>
              <w:rPr>
                <w:rFonts w:eastAsia="MS Mincho" w:cstheme="minorHAnsi"/>
              </w:rPr>
            </w:pPr>
            <w:r w:rsidRPr="00856B1B">
              <w:rPr>
                <w:rFonts w:eastAsia="MS Mincho" w:cstheme="minorHAnsi"/>
              </w:rPr>
              <w:t>17 European countries</w:t>
            </w:r>
          </w:p>
        </w:tc>
        <w:tc>
          <w:tcPr>
            <w:tcW w:w="350" w:type="pct"/>
          </w:tcPr>
          <w:p w:rsidR="007F30CC" w:rsidRPr="00017AE6" w:rsidRDefault="007F30CC" w:rsidP="006B48C7">
            <w:pPr>
              <w:pStyle w:val="Tablewriting"/>
              <w:rPr>
                <w:rFonts w:eastAsia="MS Mincho" w:cstheme="minorHAnsi"/>
              </w:rPr>
            </w:pPr>
            <w:r>
              <w:rPr>
                <w:rFonts w:eastAsia="MS Mincho" w:cstheme="minorHAnsi"/>
              </w:rPr>
              <w:t>N=3575</w:t>
            </w:r>
          </w:p>
        </w:tc>
        <w:tc>
          <w:tcPr>
            <w:tcW w:w="1168" w:type="pct"/>
          </w:tcPr>
          <w:p w:rsidR="007F30CC" w:rsidRPr="00017AE6" w:rsidRDefault="007F30CC" w:rsidP="006B48C7">
            <w:pPr>
              <w:pStyle w:val="Tablewriting"/>
              <w:rPr>
                <w:rFonts w:eastAsia="MS Mincho" w:cstheme="minorHAnsi"/>
              </w:rPr>
            </w:pPr>
            <w:r>
              <w:rPr>
                <w:rFonts w:eastAsia="MS Mincho" w:cstheme="minorHAnsi"/>
              </w:rPr>
              <w:t>S</w:t>
            </w:r>
            <w:r w:rsidRPr="00856B1B">
              <w:rPr>
                <w:rFonts w:eastAsia="MS Mincho" w:cstheme="minorHAnsi"/>
              </w:rPr>
              <w:t xml:space="preserve">mokers (&gt; 14 </w:t>
            </w:r>
            <w:r>
              <w:rPr>
                <w:rFonts w:eastAsia="MS Mincho" w:cstheme="minorHAnsi"/>
              </w:rPr>
              <w:t>CPD</w:t>
            </w:r>
            <w:r w:rsidRPr="00856B1B">
              <w:rPr>
                <w:rFonts w:eastAsia="MS Mincho" w:cstheme="minorHAnsi"/>
              </w:rPr>
              <w:t>)</w:t>
            </w:r>
            <w:r>
              <w:rPr>
                <w:rFonts w:eastAsia="MS Mincho" w:cstheme="minorHAnsi"/>
              </w:rPr>
              <w:t xml:space="preserve">, </w:t>
            </w:r>
            <w:r w:rsidRPr="00856B1B">
              <w:rPr>
                <w:rFonts w:eastAsia="MS Mincho" w:cstheme="minorHAnsi"/>
              </w:rPr>
              <w:t>52% men, av</w:t>
            </w:r>
            <w:r>
              <w:rPr>
                <w:rFonts w:eastAsia="MS Mincho" w:cstheme="minorHAnsi"/>
              </w:rPr>
              <w:t>erage</w:t>
            </w:r>
            <w:r w:rsidRPr="00856B1B">
              <w:rPr>
                <w:rFonts w:eastAsia="MS Mincho" w:cstheme="minorHAnsi"/>
              </w:rPr>
              <w:t xml:space="preserve"> age 41</w:t>
            </w:r>
            <w:r>
              <w:rPr>
                <w:rFonts w:eastAsia="MS Mincho" w:cstheme="minorHAnsi"/>
              </w:rPr>
              <w:t xml:space="preserve"> years</w:t>
            </w:r>
            <w:r w:rsidRPr="00856B1B">
              <w:rPr>
                <w:rFonts w:eastAsia="MS Mincho" w:cstheme="minorHAnsi"/>
              </w:rPr>
              <w:t>, av</w:t>
            </w:r>
            <w:r>
              <w:rPr>
                <w:rFonts w:eastAsia="MS Mincho" w:cstheme="minorHAnsi"/>
              </w:rPr>
              <w:t>erage CPD</w:t>
            </w:r>
            <w:r w:rsidRPr="00856B1B">
              <w:rPr>
                <w:rFonts w:eastAsia="MS Mincho" w:cstheme="minorHAnsi"/>
              </w:rPr>
              <w:t xml:space="preserve"> 27</w:t>
            </w:r>
            <w:r>
              <w:rPr>
                <w:rFonts w:eastAsia="MS Mincho" w:cstheme="minorHAnsi"/>
              </w:rPr>
              <w:t xml:space="preserve"> </w:t>
            </w:r>
            <w:r w:rsidRPr="00856B1B">
              <w:rPr>
                <w:rFonts w:eastAsia="MS Mincho" w:cstheme="minorHAnsi"/>
              </w:rPr>
              <w:t>(34% had previously used NRT)</w:t>
            </w:r>
          </w:p>
        </w:tc>
        <w:tc>
          <w:tcPr>
            <w:tcW w:w="1288" w:type="pct"/>
          </w:tcPr>
          <w:p w:rsidR="007F30CC" w:rsidRPr="00010773" w:rsidRDefault="007F30CC" w:rsidP="006B48C7">
            <w:pPr>
              <w:rPr>
                <w:rFonts w:eastAsia="MS Mincho"/>
                <w:lang w:eastAsia="en-US"/>
              </w:rPr>
            </w:pPr>
            <w:r w:rsidRPr="00010773">
              <w:rPr>
                <w:rFonts w:eastAsia="MS Mincho"/>
                <w:lang w:eastAsia="en-US"/>
              </w:rPr>
              <w:t>Factorial design compared 2 patch doses and 2 treatment durations. Dose 15 mg or 25 mg (16-hour),</w:t>
            </w:r>
            <w:r>
              <w:rPr>
                <w:rFonts w:eastAsia="MS Mincho"/>
                <w:lang w:eastAsia="en-US"/>
              </w:rPr>
              <w:t xml:space="preserve"> </w:t>
            </w:r>
            <w:r w:rsidRPr="00010773">
              <w:rPr>
                <w:rFonts w:eastAsia="MS Mincho"/>
                <w:lang w:eastAsia="en-US"/>
              </w:rPr>
              <w:t>duration of active treatment 28 w</w:t>
            </w:r>
            <w:r>
              <w:rPr>
                <w:rFonts w:eastAsia="MS Mincho"/>
                <w:lang w:eastAsia="en-US"/>
              </w:rPr>
              <w:t>ee</w:t>
            </w:r>
            <w:r w:rsidRPr="00010773">
              <w:rPr>
                <w:rFonts w:eastAsia="MS Mincho"/>
                <w:lang w:eastAsia="en-US"/>
              </w:rPr>
              <w:t>ks (incl</w:t>
            </w:r>
            <w:r>
              <w:rPr>
                <w:rFonts w:eastAsia="MS Mincho"/>
                <w:lang w:eastAsia="en-US"/>
              </w:rPr>
              <w:t>uding</w:t>
            </w:r>
            <w:r w:rsidRPr="00010773">
              <w:rPr>
                <w:rFonts w:eastAsia="MS Mincho"/>
                <w:lang w:eastAsia="en-US"/>
              </w:rPr>
              <w:t xml:space="preserve"> 4-w</w:t>
            </w:r>
            <w:r>
              <w:rPr>
                <w:rFonts w:eastAsia="MS Mincho"/>
                <w:lang w:eastAsia="en-US"/>
              </w:rPr>
              <w:t>ee</w:t>
            </w:r>
            <w:r w:rsidRPr="00010773">
              <w:rPr>
                <w:rFonts w:eastAsia="MS Mincho"/>
                <w:lang w:eastAsia="en-US"/>
              </w:rPr>
              <w:t>k fading) or 12 w</w:t>
            </w:r>
            <w:r>
              <w:rPr>
                <w:rFonts w:eastAsia="MS Mincho"/>
                <w:lang w:eastAsia="en-US"/>
              </w:rPr>
              <w:t>ee</w:t>
            </w:r>
            <w:r w:rsidRPr="00010773">
              <w:rPr>
                <w:rFonts w:eastAsia="MS Mincho"/>
                <w:lang w:eastAsia="en-US"/>
              </w:rPr>
              <w:t>ks (incl</w:t>
            </w:r>
            <w:r>
              <w:rPr>
                <w:rFonts w:eastAsia="MS Mincho"/>
                <w:lang w:eastAsia="en-US"/>
              </w:rPr>
              <w:t>uding</w:t>
            </w:r>
            <w:r w:rsidRPr="00010773">
              <w:rPr>
                <w:rFonts w:eastAsia="MS Mincho"/>
                <w:lang w:eastAsia="en-US"/>
              </w:rPr>
              <w:t xml:space="preserve"> 4-wk fading).</w:t>
            </w:r>
          </w:p>
          <w:p w:rsidR="007F30CC" w:rsidRPr="00010773" w:rsidRDefault="007F30CC" w:rsidP="00C324F3">
            <w:pPr>
              <w:pStyle w:val="ListParagraph"/>
              <w:numPr>
                <w:ilvl w:val="0"/>
                <w:numId w:val="193"/>
              </w:numPr>
              <w:rPr>
                <w:rFonts w:eastAsia="MS Mincho"/>
                <w:lang w:eastAsia="en-US"/>
              </w:rPr>
            </w:pPr>
            <w:r w:rsidRPr="00010773">
              <w:rPr>
                <w:rFonts w:eastAsia="MS Mincho"/>
                <w:lang w:eastAsia="en-US"/>
              </w:rPr>
              <w:t>25 mg patch for 28 w</w:t>
            </w:r>
            <w:r>
              <w:rPr>
                <w:rFonts w:eastAsia="MS Mincho"/>
                <w:lang w:eastAsia="en-US"/>
              </w:rPr>
              <w:t>ee</w:t>
            </w:r>
            <w:r w:rsidRPr="00010773">
              <w:rPr>
                <w:rFonts w:eastAsia="MS Mincho"/>
                <w:lang w:eastAsia="en-US"/>
              </w:rPr>
              <w:t>ks</w:t>
            </w:r>
          </w:p>
          <w:p w:rsidR="007F30CC" w:rsidRPr="00010773" w:rsidRDefault="007F30CC" w:rsidP="00C324F3">
            <w:pPr>
              <w:pStyle w:val="ListParagraph"/>
              <w:numPr>
                <w:ilvl w:val="0"/>
                <w:numId w:val="193"/>
              </w:numPr>
              <w:rPr>
                <w:rFonts w:eastAsia="MS Mincho"/>
                <w:lang w:eastAsia="en-US"/>
              </w:rPr>
            </w:pPr>
            <w:r w:rsidRPr="00010773">
              <w:rPr>
                <w:rFonts w:eastAsia="MS Mincho"/>
                <w:lang w:eastAsia="en-US"/>
              </w:rPr>
              <w:t>25 mg patch for 12 w</w:t>
            </w:r>
            <w:r>
              <w:rPr>
                <w:rFonts w:eastAsia="MS Mincho"/>
                <w:lang w:eastAsia="en-US"/>
              </w:rPr>
              <w:t>ee</w:t>
            </w:r>
            <w:r w:rsidRPr="00010773">
              <w:rPr>
                <w:rFonts w:eastAsia="MS Mincho"/>
                <w:lang w:eastAsia="en-US"/>
              </w:rPr>
              <w:t>ks</w:t>
            </w:r>
          </w:p>
          <w:p w:rsidR="007F30CC" w:rsidRPr="00010773" w:rsidRDefault="007F30CC" w:rsidP="00C324F3">
            <w:pPr>
              <w:pStyle w:val="ListParagraph"/>
              <w:numPr>
                <w:ilvl w:val="0"/>
                <w:numId w:val="193"/>
              </w:numPr>
              <w:rPr>
                <w:rFonts w:eastAsia="MS Mincho"/>
                <w:lang w:eastAsia="en-US"/>
              </w:rPr>
            </w:pPr>
            <w:r w:rsidRPr="00010773">
              <w:rPr>
                <w:rFonts w:eastAsia="MS Mincho"/>
                <w:lang w:eastAsia="en-US"/>
              </w:rPr>
              <w:t>15 mg patch for 28 w</w:t>
            </w:r>
            <w:r>
              <w:rPr>
                <w:rFonts w:eastAsia="MS Mincho"/>
                <w:lang w:eastAsia="en-US"/>
              </w:rPr>
              <w:t>ee</w:t>
            </w:r>
            <w:r w:rsidRPr="00010773">
              <w:rPr>
                <w:rFonts w:eastAsia="MS Mincho"/>
                <w:lang w:eastAsia="en-US"/>
              </w:rPr>
              <w:t>ks</w:t>
            </w:r>
          </w:p>
          <w:p w:rsidR="007F30CC" w:rsidRPr="00010773" w:rsidRDefault="007F30CC" w:rsidP="00C324F3">
            <w:pPr>
              <w:pStyle w:val="ListParagraph"/>
              <w:numPr>
                <w:ilvl w:val="0"/>
                <w:numId w:val="193"/>
              </w:numPr>
              <w:rPr>
                <w:rFonts w:eastAsia="MS Mincho"/>
                <w:lang w:eastAsia="en-US"/>
              </w:rPr>
            </w:pPr>
            <w:r w:rsidRPr="00010773">
              <w:rPr>
                <w:rFonts w:eastAsia="MS Mincho"/>
                <w:lang w:eastAsia="en-US"/>
              </w:rPr>
              <w:t>15 mg patch for 12 w</w:t>
            </w:r>
            <w:r>
              <w:rPr>
                <w:rFonts w:eastAsia="MS Mincho"/>
                <w:lang w:eastAsia="en-US"/>
              </w:rPr>
              <w:t>ee</w:t>
            </w:r>
            <w:r w:rsidRPr="00010773">
              <w:rPr>
                <w:rFonts w:eastAsia="MS Mincho"/>
                <w:lang w:eastAsia="en-US"/>
              </w:rPr>
              <w:t>ks</w:t>
            </w:r>
          </w:p>
          <w:p w:rsidR="007F30CC" w:rsidRPr="00010773" w:rsidRDefault="007F30CC" w:rsidP="00C324F3">
            <w:pPr>
              <w:pStyle w:val="ListParagraph"/>
              <w:numPr>
                <w:ilvl w:val="0"/>
                <w:numId w:val="193"/>
              </w:numPr>
              <w:rPr>
                <w:rFonts w:eastAsia="MS Mincho"/>
                <w:lang w:eastAsia="en-US"/>
              </w:rPr>
            </w:pPr>
            <w:r w:rsidRPr="00010773">
              <w:rPr>
                <w:rFonts w:eastAsia="MS Mincho"/>
                <w:lang w:eastAsia="en-US"/>
              </w:rPr>
              <w:t>Placebo</w:t>
            </w:r>
          </w:p>
        </w:tc>
        <w:tc>
          <w:tcPr>
            <w:tcW w:w="1000" w:type="pct"/>
          </w:tcPr>
          <w:p w:rsidR="007F30CC" w:rsidRPr="00AC59F0" w:rsidRDefault="007F30CC" w:rsidP="006B48C7">
            <w:pPr>
              <w:pStyle w:val="Tablewriting"/>
              <w:rPr>
                <w:rFonts w:eastAsia="MS Mincho" w:cstheme="minorBidi"/>
              </w:rPr>
            </w:pPr>
            <w:r w:rsidRPr="007F0260">
              <w:rPr>
                <w:rFonts w:eastAsia="MS Mincho" w:cstheme="minorBidi"/>
                <w:u w:val="single"/>
              </w:rPr>
              <w:t>Efficacy:</w:t>
            </w:r>
            <w:r>
              <w:rPr>
                <w:rFonts w:eastAsia="MS Mincho" w:cstheme="minorBidi"/>
                <w:u w:val="single"/>
              </w:rPr>
              <w:t xml:space="preserve"> </w:t>
            </w:r>
            <w:r w:rsidRPr="00AC59F0">
              <w:rPr>
                <w:rFonts w:eastAsia="MS Mincho" w:cstheme="minorBidi"/>
              </w:rPr>
              <w:t>Prolonged abstinence at 12 m</w:t>
            </w:r>
            <w:r>
              <w:rPr>
                <w:rFonts w:eastAsia="MS Mincho" w:cstheme="minorBidi"/>
              </w:rPr>
              <w:t>onths</w:t>
            </w:r>
            <w:r w:rsidRPr="00AC59F0">
              <w:rPr>
                <w:rFonts w:eastAsia="MS Mincho" w:cstheme="minorBidi"/>
              </w:rPr>
              <w:t>, sustained from w</w:t>
            </w:r>
            <w:r>
              <w:rPr>
                <w:rFonts w:eastAsia="MS Mincho" w:cstheme="minorBidi"/>
              </w:rPr>
              <w:t>ee</w:t>
            </w:r>
            <w:r w:rsidRPr="00AC59F0">
              <w:rPr>
                <w:rFonts w:eastAsia="MS Mincho" w:cstheme="minorBidi"/>
              </w:rPr>
              <w:t>k 2</w:t>
            </w:r>
            <w:r>
              <w:rPr>
                <w:rFonts w:eastAsia="MS Mincho" w:cstheme="minorBidi"/>
              </w:rPr>
              <w:t>.</w:t>
            </w:r>
          </w:p>
          <w:p w:rsidR="007F30CC" w:rsidRDefault="007F30CC" w:rsidP="006B48C7">
            <w:pPr>
              <w:pStyle w:val="Tablewriting"/>
              <w:rPr>
                <w:rFonts w:eastAsia="MS Mincho" w:cstheme="minorBidi"/>
              </w:rPr>
            </w:pPr>
          </w:p>
          <w:p w:rsidR="007F30CC" w:rsidRPr="00AC59F0" w:rsidRDefault="007F30CC" w:rsidP="006B48C7">
            <w:pPr>
              <w:pStyle w:val="Tablewriting"/>
              <w:rPr>
                <w:rFonts w:eastAsia="MS Mincho" w:cstheme="minorBidi"/>
              </w:rPr>
            </w:pPr>
            <w:r w:rsidRPr="00AC59F0">
              <w:rPr>
                <w:rFonts w:eastAsia="MS Mincho" w:cstheme="minorBidi"/>
              </w:rPr>
              <w:t>Validation: expired CO &lt; 10 ppm at each clinic visit</w:t>
            </w:r>
          </w:p>
          <w:p w:rsidR="007F30CC" w:rsidRPr="000801BE" w:rsidRDefault="007F30CC" w:rsidP="006B48C7">
            <w:pPr>
              <w:pStyle w:val="Tablewriting"/>
              <w:rPr>
                <w:rFonts w:eastAsia="MS Mincho" w:cstheme="minorBidi"/>
              </w:rPr>
            </w:pPr>
            <w:r w:rsidRPr="007F0260">
              <w:rPr>
                <w:rFonts w:eastAsia="MS Mincho" w:cstheme="minorBidi"/>
                <w:u w:val="single"/>
              </w:rPr>
              <w:t>Safety:</w:t>
            </w:r>
            <w:r>
              <w:rPr>
                <w:rFonts w:eastAsia="MS Mincho" w:cstheme="minorBidi"/>
                <w:u w:val="single"/>
              </w:rPr>
              <w:t xml:space="preserve"> </w:t>
            </w:r>
            <w:r w:rsidRPr="00AC59F0">
              <w:rPr>
                <w:rFonts w:eastAsia="MS Mincho" w:cstheme="minorBidi"/>
              </w:rPr>
              <w:t>Adverse events</w:t>
            </w:r>
            <w:r>
              <w:rPr>
                <w:rFonts w:eastAsia="MS Mincho" w:cstheme="minorBidi"/>
              </w:rPr>
              <w:t>,</w:t>
            </w:r>
            <w:r w:rsidRPr="00AC59F0">
              <w:rPr>
                <w:rFonts w:eastAsia="MS Mincho" w:cstheme="minorBidi"/>
              </w:rPr>
              <w:t xml:space="preserve"> SAEs measured during whole study period, but cardiac AEs reported within 8-week</w:t>
            </w:r>
            <w:r>
              <w:rPr>
                <w:rFonts w:eastAsia="MS Mincho" w:cstheme="minorBidi"/>
              </w:rPr>
              <w:t xml:space="preserve"> </w:t>
            </w:r>
            <w:r w:rsidRPr="00AC59F0">
              <w:rPr>
                <w:rFonts w:eastAsia="MS Mincho" w:cstheme="minorBidi"/>
              </w:rPr>
              <w:t>treatment period</w:t>
            </w:r>
            <w:r>
              <w:rPr>
                <w:rFonts w:eastAsia="MS Mincho" w:cstheme="minorBidi"/>
              </w:rPr>
              <w:t>.</w:t>
            </w:r>
          </w:p>
        </w:tc>
      </w:tr>
      <w:tr w:rsidR="007F30CC" w:rsidRPr="00017AE6" w:rsidTr="00486A67">
        <w:trPr>
          <w:trHeight w:val="99"/>
        </w:trPr>
        <w:tc>
          <w:tcPr>
            <w:tcW w:w="541" w:type="pct"/>
          </w:tcPr>
          <w:p w:rsidR="007F30CC" w:rsidRPr="00017AE6" w:rsidRDefault="007F30CC" w:rsidP="006B48C7">
            <w:pPr>
              <w:pStyle w:val="Tablewriting"/>
              <w:rPr>
                <w:rFonts w:eastAsia="MS Mincho" w:cstheme="minorHAnsi"/>
              </w:rPr>
            </w:pPr>
            <w:r w:rsidRPr="00243DF4">
              <w:rPr>
                <w:rFonts w:eastAsia="MS Mincho"/>
              </w:rPr>
              <w:t>Schnoll (2010a)</w:t>
            </w:r>
          </w:p>
        </w:tc>
        <w:tc>
          <w:tcPr>
            <w:tcW w:w="235" w:type="pct"/>
          </w:tcPr>
          <w:p w:rsidR="007F30CC" w:rsidRPr="00017AE6" w:rsidRDefault="007F30CC" w:rsidP="006B48C7">
            <w:pPr>
              <w:pStyle w:val="Tablewriting"/>
              <w:rPr>
                <w:rFonts w:eastAsia="MS Mincho" w:cstheme="minorHAnsi"/>
              </w:rPr>
            </w:pPr>
            <w:r>
              <w:rPr>
                <w:rFonts w:eastAsia="MS Mincho" w:cstheme="minorHAnsi"/>
              </w:rPr>
              <w:t>RCT</w:t>
            </w:r>
          </w:p>
        </w:tc>
        <w:tc>
          <w:tcPr>
            <w:tcW w:w="418" w:type="pct"/>
          </w:tcPr>
          <w:p w:rsidR="007F30CC" w:rsidRPr="00017AE6" w:rsidRDefault="007F30CC" w:rsidP="006B48C7">
            <w:pPr>
              <w:pStyle w:val="Tablewriting"/>
              <w:rPr>
                <w:rFonts w:eastAsia="MS Mincho" w:cstheme="minorHAnsi"/>
              </w:rPr>
            </w:pPr>
            <w:r>
              <w:rPr>
                <w:rFonts w:eastAsia="MS Mincho" w:cstheme="minorHAnsi"/>
              </w:rPr>
              <w:t>USA</w:t>
            </w:r>
          </w:p>
        </w:tc>
        <w:tc>
          <w:tcPr>
            <w:tcW w:w="350" w:type="pct"/>
          </w:tcPr>
          <w:p w:rsidR="007F30CC" w:rsidRPr="00017AE6" w:rsidRDefault="007F30CC" w:rsidP="006B48C7">
            <w:pPr>
              <w:pStyle w:val="Tablewriting"/>
              <w:rPr>
                <w:rFonts w:eastAsia="MS Mincho" w:cstheme="minorHAnsi"/>
              </w:rPr>
            </w:pPr>
            <w:r>
              <w:rPr>
                <w:rFonts w:eastAsia="MS Mincho" w:cstheme="minorHAnsi"/>
              </w:rPr>
              <w:t>N=575</w:t>
            </w:r>
          </w:p>
        </w:tc>
        <w:tc>
          <w:tcPr>
            <w:tcW w:w="1168" w:type="pct"/>
          </w:tcPr>
          <w:p w:rsidR="007F30CC" w:rsidRPr="00017AE6" w:rsidRDefault="007F30CC" w:rsidP="006B48C7">
            <w:pPr>
              <w:pStyle w:val="Tablewriting"/>
              <w:rPr>
                <w:rFonts w:eastAsia="MS Mincho" w:cstheme="minorHAnsi"/>
              </w:rPr>
            </w:pPr>
            <w:r>
              <w:rPr>
                <w:rFonts w:eastAsia="MS Mincho" w:cstheme="minorHAnsi"/>
              </w:rPr>
              <w:t>A</w:t>
            </w:r>
            <w:r w:rsidRPr="007F0260">
              <w:rPr>
                <w:rFonts w:eastAsia="MS Mincho" w:cstheme="minorHAnsi"/>
              </w:rPr>
              <w:t xml:space="preserve">dult smokers of &gt; 10 </w:t>
            </w:r>
            <w:r>
              <w:rPr>
                <w:rFonts w:eastAsia="MS Mincho" w:cstheme="minorHAnsi"/>
              </w:rPr>
              <w:t>CPD</w:t>
            </w:r>
            <w:r w:rsidRPr="007F0260">
              <w:rPr>
                <w:rFonts w:eastAsia="MS Mincho" w:cstheme="minorHAnsi"/>
              </w:rPr>
              <w:t xml:space="preserve"> for &gt; 1 y</w:t>
            </w:r>
            <w:r>
              <w:rPr>
                <w:rFonts w:eastAsia="MS Mincho" w:cstheme="minorHAnsi"/>
              </w:rPr>
              <w:t>ea</w:t>
            </w:r>
            <w:r w:rsidRPr="007F0260">
              <w:rPr>
                <w:rFonts w:eastAsia="MS Mincho" w:cstheme="minorHAnsi"/>
              </w:rPr>
              <w:t>r, motivated to quit</w:t>
            </w:r>
            <w:r>
              <w:rPr>
                <w:rFonts w:eastAsia="MS Mincho" w:cstheme="minorHAnsi"/>
              </w:rPr>
              <w:t xml:space="preserve">, </w:t>
            </w:r>
            <w:r w:rsidRPr="007F0260">
              <w:rPr>
                <w:rFonts w:eastAsia="MS Mincho" w:cstheme="minorHAnsi"/>
              </w:rPr>
              <w:t>53% men, av</w:t>
            </w:r>
            <w:r>
              <w:rPr>
                <w:rFonts w:eastAsia="MS Mincho" w:cstheme="minorHAnsi"/>
              </w:rPr>
              <w:t>erage</w:t>
            </w:r>
            <w:r w:rsidRPr="007F0260">
              <w:rPr>
                <w:rFonts w:eastAsia="MS Mincho" w:cstheme="minorHAnsi"/>
              </w:rPr>
              <w:t xml:space="preserve"> age 48</w:t>
            </w:r>
            <w:r>
              <w:rPr>
                <w:rFonts w:eastAsia="MS Mincho" w:cstheme="minorHAnsi"/>
              </w:rPr>
              <w:t xml:space="preserve"> years</w:t>
            </w:r>
            <w:r w:rsidRPr="007F0260">
              <w:rPr>
                <w:rFonts w:eastAsia="MS Mincho" w:cstheme="minorHAnsi"/>
              </w:rPr>
              <w:t>, av</w:t>
            </w:r>
            <w:r>
              <w:rPr>
                <w:rFonts w:eastAsia="MS Mincho" w:cstheme="minorHAnsi"/>
              </w:rPr>
              <w:t>erage</w:t>
            </w:r>
            <w:r w:rsidRPr="007F0260">
              <w:rPr>
                <w:rFonts w:eastAsia="MS Mincho" w:cstheme="minorHAnsi"/>
              </w:rPr>
              <w:t xml:space="preserve"> </w:t>
            </w:r>
            <w:r>
              <w:rPr>
                <w:rFonts w:eastAsia="MS Mincho" w:cstheme="minorHAnsi"/>
              </w:rPr>
              <w:t>CPD</w:t>
            </w:r>
            <w:r w:rsidRPr="007F0260">
              <w:rPr>
                <w:rFonts w:eastAsia="MS Mincho" w:cstheme="minorHAnsi"/>
              </w:rPr>
              <w:t xml:space="preserve"> 21.1, av</w:t>
            </w:r>
            <w:r>
              <w:rPr>
                <w:rFonts w:eastAsia="MS Mincho" w:cstheme="minorHAnsi"/>
              </w:rPr>
              <w:t>erage</w:t>
            </w:r>
            <w:r w:rsidRPr="007F0260">
              <w:rPr>
                <w:rFonts w:eastAsia="MS Mincho" w:cstheme="minorHAnsi"/>
              </w:rPr>
              <w:t xml:space="preserve"> FTND 5.3</w:t>
            </w:r>
            <w:r>
              <w:rPr>
                <w:rFonts w:eastAsia="MS Mincho" w:cstheme="minorHAnsi"/>
              </w:rPr>
              <w:t xml:space="preserve">. </w:t>
            </w:r>
          </w:p>
        </w:tc>
        <w:tc>
          <w:tcPr>
            <w:tcW w:w="1288" w:type="pct"/>
          </w:tcPr>
          <w:p w:rsidR="007F30CC" w:rsidRPr="007F0260" w:rsidRDefault="007F30CC" w:rsidP="00C324F3">
            <w:pPr>
              <w:pStyle w:val="ListParagraph"/>
              <w:numPr>
                <w:ilvl w:val="0"/>
                <w:numId w:val="194"/>
              </w:numPr>
              <w:rPr>
                <w:rFonts w:eastAsia="MS Mincho"/>
                <w:lang w:eastAsia="en-US"/>
              </w:rPr>
            </w:pPr>
            <w:r w:rsidRPr="007F0260">
              <w:rPr>
                <w:rFonts w:eastAsia="MS Mincho"/>
                <w:lang w:eastAsia="en-US"/>
              </w:rPr>
              <w:t>21 mg/24-hour patch for 24 w</w:t>
            </w:r>
            <w:r>
              <w:rPr>
                <w:rFonts w:eastAsia="MS Mincho"/>
                <w:lang w:eastAsia="en-US"/>
              </w:rPr>
              <w:t>ee</w:t>
            </w:r>
            <w:r w:rsidRPr="007F0260">
              <w:rPr>
                <w:rFonts w:eastAsia="MS Mincho"/>
                <w:lang w:eastAsia="en-US"/>
              </w:rPr>
              <w:t>ks</w:t>
            </w:r>
          </w:p>
          <w:p w:rsidR="007F30CC" w:rsidRPr="007F0260" w:rsidRDefault="007F30CC" w:rsidP="00C324F3">
            <w:pPr>
              <w:pStyle w:val="ListParagraph"/>
              <w:numPr>
                <w:ilvl w:val="0"/>
                <w:numId w:val="194"/>
              </w:numPr>
              <w:rPr>
                <w:rFonts w:eastAsia="MS Mincho"/>
                <w:lang w:eastAsia="en-US"/>
              </w:rPr>
            </w:pPr>
            <w:r w:rsidRPr="007F0260">
              <w:rPr>
                <w:rFonts w:eastAsia="MS Mincho"/>
                <w:lang w:eastAsia="en-US"/>
              </w:rPr>
              <w:t>21 mg/24-hour patch for 8 w</w:t>
            </w:r>
            <w:r>
              <w:rPr>
                <w:rFonts w:eastAsia="MS Mincho"/>
                <w:lang w:eastAsia="en-US"/>
              </w:rPr>
              <w:t>ee</w:t>
            </w:r>
            <w:r w:rsidRPr="007F0260">
              <w:rPr>
                <w:rFonts w:eastAsia="MS Mincho"/>
                <w:lang w:eastAsia="en-US"/>
              </w:rPr>
              <w:t>ks,</w:t>
            </w:r>
            <w:r>
              <w:rPr>
                <w:rFonts w:eastAsia="MS Mincho"/>
                <w:lang w:eastAsia="en-US"/>
              </w:rPr>
              <w:t xml:space="preserve"> </w:t>
            </w:r>
            <w:r w:rsidRPr="007F0260">
              <w:rPr>
                <w:rFonts w:eastAsia="MS Mincho"/>
                <w:lang w:eastAsia="en-US"/>
              </w:rPr>
              <w:t>followed by 16 w</w:t>
            </w:r>
            <w:r>
              <w:rPr>
                <w:rFonts w:eastAsia="MS Mincho"/>
                <w:lang w:eastAsia="en-US"/>
              </w:rPr>
              <w:t>ee</w:t>
            </w:r>
            <w:r w:rsidRPr="007F0260">
              <w:rPr>
                <w:rFonts w:eastAsia="MS Mincho"/>
                <w:lang w:eastAsia="en-US"/>
              </w:rPr>
              <w:t>ks placebo patch</w:t>
            </w:r>
          </w:p>
        </w:tc>
        <w:tc>
          <w:tcPr>
            <w:tcW w:w="1000" w:type="pct"/>
          </w:tcPr>
          <w:p w:rsidR="007F30CC" w:rsidRPr="007F0260" w:rsidRDefault="007F30CC" w:rsidP="006B48C7">
            <w:pPr>
              <w:pStyle w:val="Tablewriting"/>
              <w:rPr>
                <w:rFonts w:eastAsia="MS Mincho" w:cstheme="minorBidi"/>
              </w:rPr>
            </w:pPr>
            <w:r w:rsidRPr="007F0260">
              <w:rPr>
                <w:rFonts w:eastAsia="MS Mincho" w:cstheme="minorBidi"/>
                <w:u w:val="single"/>
              </w:rPr>
              <w:t>Efficacy:</w:t>
            </w:r>
            <w:r>
              <w:rPr>
                <w:rFonts w:eastAsia="MS Mincho" w:cstheme="minorBidi"/>
                <w:u w:val="single"/>
              </w:rPr>
              <w:t xml:space="preserve"> </w:t>
            </w:r>
            <w:r w:rsidRPr="007F0260">
              <w:rPr>
                <w:rFonts w:eastAsia="MS Mincho" w:cstheme="minorBidi"/>
              </w:rPr>
              <w:t>7-day PPA at 12 m</w:t>
            </w:r>
            <w:r>
              <w:rPr>
                <w:rFonts w:eastAsia="MS Mincho" w:cstheme="minorBidi"/>
              </w:rPr>
              <w:t>onths</w:t>
            </w:r>
            <w:r w:rsidRPr="007F0260">
              <w:rPr>
                <w:rFonts w:eastAsia="MS Mincho" w:cstheme="minorBidi"/>
              </w:rPr>
              <w:t xml:space="preserve"> (also reported for 24 w</w:t>
            </w:r>
            <w:r>
              <w:rPr>
                <w:rFonts w:eastAsia="MS Mincho" w:cstheme="minorBidi"/>
              </w:rPr>
              <w:t>ee</w:t>
            </w:r>
            <w:r w:rsidRPr="007F0260">
              <w:rPr>
                <w:rFonts w:eastAsia="MS Mincho" w:cstheme="minorBidi"/>
              </w:rPr>
              <w:t>ks)</w:t>
            </w:r>
          </w:p>
          <w:p w:rsidR="007F30CC" w:rsidRPr="007F0260" w:rsidRDefault="007F30CC" w:rsidP="006B48C7">
            <w:pPr>
              <w:pStyle w:val="Tablewriting"/>
              <w:rPr>
                <w:rFonts w:eastAsia="MS Mincho" w:cstheme="minorBidi"/>
              </w:rPr>
            </w:pPr>
            <w:r w:rsidRPr="007F0260">
              <w:rPr>
                <w:rFonts w:eastAsia="MS Mincho" w:cstheme="minorBidi"/>
              </w:rPr>
              <w:t>Validation: CO ≤ 10 ppm</w:t>
            </w:r>
            <w:r>
              <w:rPr>
                <w:rFonts w:eastAsia="MS Mincho" w:cstheme="minorBidi"/>
              </w:rPr>
              <w:t>.</w:t>
            </w:r>
          </w:p>
          <w:p w:rsidR="007F30CC" w:rsidRPr="004272CD" w:rsidRDefault="007F30CC" w:rsidP="006B48C7">
            <w:pPr>
              <w:pStyle w:val="Tablewriting"/>
              <w:rPr>
                <w:rFonts w:eastAsia="MS Mincho" w:cstheme="minorBidi"/>
                <w:u w:val="single"/>
              </w:rPr>
            </w:pPr>
          </w:p>
          <w:p w:rsidR="007F30CC" w:rsidRPr="007F0260" w:rsidRDefault="007F30CC" w:rsidP="006B48C7">
            <w:pPr>
              <w:pStyle w:val="Tablewriting"/>
              <w:rPr>
                <w:rFonts w:eastAsia="MS Mincho" w:cstheme="minorBidi"/>
              </w:rPr>
            </w:pPr>
            <w:r w:rsidRPr="007F0260">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7F0260">
              <w:rPr>
                <w:rFonts w:eastAsia="MS Mincho" w:cstheme="minorBidi"/>
              </w:rPr>
              <w:t>Adverse events</w:t>
            </w:r>
            <w:r>
              <w:rPr>
                <w:rFonts w:eastAsia="MS Mincho" w:cstheme="minorBidi"/>
              </w:rPr>
              <w:t xml:space="preserve"> </w:t>
            </w:r>
            <w:r w:rsidRPr="007F0260">
              <w:rPr>
                <w:rFonts w:eastAsia="MS Mincho" w:cstheme="minorBidi"/>
              </w:rPr>
              <w:t>measured throughout treatment (24 weeks), and also at 52-week follow-up</w:t>
            </w:r>
            <w:r>
              <w:rPr>
                <w:rFonts w:eastAsia="MS Mincho" w:cstheme="minorBidi"/>
              </w:rPr>
              <w:t>.</w:t>
            </w:r>
          </w:p>
        </w:tc>
      </w:tr>
      <w:tr w:rsidR="007F30CC" w:rsidRPr="00017AE6" w:rsidTr="00486A67">
        <w:trPr>
          <w:trHeight w:val="99"/>
        </w:trPr>
        <w:tc>
          <w:tcPr>
            <w:tcW w:w="541" w:type="pct"/>
          </w:tcPr>
          <w:p w:rsidR="007F30CC" w:rsidRPr="00017AE6" w:rsidRDefault="007F30CC" w:rsidP="006B48C7">
            <w:pPr>
              <w:pStyle w:val="Tablewriting"/>
              <w:rPr>
                <w:rFonts w:eastAsia="MS Mincho" w:cstheme="minorHAnsi"/>
              </w:rPr>
            </w:pPr>
            <w:r w:rsidRPr="007510D3">
              <w:rPr>
                <w:rFonts w:eastAsia="MS Mincho"/>
              </w:rPr>
              <w:t xml:space="preserve">Hilleman </w:t>
            </w:r>
            <w:r>
              <w:rPr>
                <w:rFonts w:eastAsia="MS Mincho"/>
              </w:rPr>
              <w:t>(</w:t>
            </w:r>
            <w:r w:rsidRPr="007510D3">
              <w:rPr>
                <w:rFonts w:eastAsia="MS Mincho"/>
              </w:rPr>
              <w:t>1994</w:t>
            </w:r>
            <w:r>
              <w:rPr>
                <w:rFonts w:eastAsia="MS Mincho"/>
              </w:rPr>
              <w:t>)</w:t>
            </w:r>
          </w:p>
        </w:tc>
        <w:tc>
          <w:tcPr>
            <w:tcW w:w="235" w:type="pct"/>
          </w:tcPr>
          <w:p w:rsidR="007F30CC" w:rsidRPr="00017AE6" w:rsidRDefault="007F30CC" w:rsidP="006B48C7">
            <w:pPr>
              <w:pStyle w:val="Tablewriting"/>
              <w:rPr>
                <w:rFonts w:eastAsia="MS Mincho" w:cstheme="minorHAnsi"/>
              </w:rPr>
            </w:pPr>
            <w:r>
              <w:rPr>
                <w:rFonts w:eastAsia="MS Mincho" w:cstheme="minorHAnsi"/>
              </w:rPr>
              <w:t>RCT</w:t>
            </w:r>
          </w:p>
        </w:tc>
        <w:tc>
          <w:tcPr>
            <w:tcW w:w="418" w:type="pct"/>
          </w:tcPr>
          <w:p w:rsidR="007F30CC" w:rsidRPr="00017AE6" w:rsidRDefault="007F30CC" w:rsidP="006B48C7">
            <w:pPr>
              <w:pStyle w:val="Tablewriting"/>
              <w:rPr>
                <w:rFonts w:eastAsia="MS Mincho" w:cstheme="minorHAnsi"/>
              </w:rPr>
            </w:pPr>
            <w:r>
              <w:rPr>
                <w:rFonts w:eastAsia="MS Mincho" w:cstheme="minorHAnsi"/>
              </w:rPr>
              <w:t>USA</w:t>
            </w:r>
          </w:p>
        </w:tc>
        <w:tc>
          <w:tcPr>
            <w:tcW w:w="350" w:type="pct"/>
          </w:tcPr>
          <w:p w:rsidR="007F30CC" w:rsidRPr="00017AE6" w:rsidRDefault="007F30CC" w:rsidP="006B48C7">
            <w:pPr>
              <w:pStyle w:val="Tablewriting"/>
              <w:rPr>
                <w:rFonts w:eastAsia="MS Mincho" w:cstheme="minorHAnsi"/>
              </w:rPr>
            </w:pPr>
            <w:r>
              <w:rPr>
                <w:rFonts w:eastAsia="MS Mincho" w:cstheme="minorHAnsi"/>
              </w:rPr>
              <w:t>N=140</w:t>
            </w:r>
          </w:p>
        </w:tc>
        <w:tc>
          <w:tcPr>
            <w:tcW w:w="1168" w:type="pct"/>
          </w:tcPr>
          <w:p w:rsidR="007F30CC" w:rsidRPr="00017AE6" w:rsidRDefault="007F30CC" w:rsidP="006B48C7">
            <w:pPr>
              <w:pStyle w:val="Tablewriting"/>
              <w:rPr>
                <w:rFonts w:eastAsia="MS Mincho" w:cstheme="minorHAnsi"/>
              </w:rPr>
            </w:pPr>
            <w:r>
              <w:rPr>
                <w:rFonts w:eastAsia="MS Mincho" w:cstheme="minorHAnsi"/>
              </w:rPr>
              <w:t>S</w:t>
            </w:r>
            <w:r w:rsidRPr="007F0260">
              <w:rPr>
                <w:rFonts w:eastAsia="MS Mincho" w:cstheme="minorHAnsi"/>
              </w:rPr>
              <w:t>mokers (excluding a buspirone</w:t>
            </w:r>
            <w:r>
              <w:rPr>
                <w:rFonts w:eastAsia="MS Mincho" w:cstheme="minorHAnsi"/>
              </w:rPr>
              <w:t xml:space="preserve"> </w:t>
            </w:r>
            <w:r w:rsidRPr="007F0260">
              <w:rPr>
                <w:rFonts w:eastAsia="MS Mincho" w:cstheme="minorHAnsi"/>
              </w:rPr>
              <w:t xml:space="preserve">treatment group), smoking &gt; 20 </w:t>
            </w:r>
            <w:r>
              <w:rPr>
                <w:rFonts w:eastAsia="MS Mincho" w:cstheme="minorHAnsi"/>
              </w:rPr>
              <w:t>CPD</w:t>
            </w:r>
            <w:r w:rsidRPr="007F0260">
              <w:rPr>
                <w:rFonts w:eastAsia="MS Mincho" w:cstheme="minorHAnsi"/>
              </w:rPr>
              <w:t>, FTND ≥ 8</w:t>
            </w:r>
            <w:r>
              <w:rPr>
                <w:rFonts w:eastAsia="MS Mincho" w:cstheme="minorHAnsi"/>
              </w:rPr>
              <w:t xml:space="preserve">, </w:t>
            </w:r>
            <w:r w:rsidRPr="007F0260">
              <w:rPr>
                <w:rFonts w:eastAsia="MS Mincho" w:cstheme="minorHAnsi"/>
              </w:rPr>
              <w:t>45% men, av</w:t>
            </w:r>
            <w:r>
              <w:rPr>
                <w:rFonts w:eastAsia="MS Mincho" w:cstheme="minorHAnsi"/>
              </w:rPr>
              <w:t>erage</w:t>
            </w:r>
            <w:r w:rsidRPr="007F0260">
              <w:rPr>
                <w:rFonts w:eastAsia="MS Mincho" w:cstheme="minorHAnsi"/>
              </w:rPr>
              <w:t xml:space="preserve"> age 46</w:t>
            </w:r>
            <w:r>
              <w:rPr>
                <w:rFonts w:eastAsia="MS Mincho" w:cstheme="minorHAnsi"/>
              </w:rPr>
              <w:t xml:space="preserve"> years</w:t>
            </w:r>
            <w:r w:rsidRPr="007F0260">
              <w:rPr>
                <w:rFonts w:eastAsia="MS Mincho" w:cstheme="minorHAnsi"/>
              </w:rPr>
              <w:t>, av</w:t>
            </w:r>
            <w:r>
              <w:rPr>
                <w:rFonts w:eastAsia="MS Mincho" w:cstheme="minorHAnsi"/>
              </w:rPr>
              <w:t>erage</w:t>
            </w:r>
            <w:r w:rsidRPr="007F0260">
              <w:rPr>
                <w:rFonts w:eastAsia="MS Mincho" w:cstheme="minorHAnsi"/>
              </w:rPr>
              <w:t xml:space="preserve"> </w:t>
            </w:r>
            <w:r>
              <w:rPr>
                <w:rFonts w:eastAsia="MS Mincho" w:cstheme="minorHAnsi"/>
              </w:rPr>
              <w:t>CPD</w:t>
            </w:r>
            <w:r w:rsidRPr="007F0260">
              <w:rPr>
                <w:rFonts w:eastAsia="MS Mincho" w:cstheme="minorHAnsi"/>
              </w:rPr>
              <w:t xml:space="preserve"> 25 </w:t>
            </w:r>
            <w:r>
              <w:rPr>
                <w:rFonts w:eastAsia="MS Mincho" w:cstheme="minorHAnsi"/>
              </w:rPr>
              <w:t>–</w:t>
            </w:r>
            <w:r w:rsidRPr="007F0260">
              <w:rPr>
                <w:rFonts w:eastAsia="MS Mincho" w:cstheme="minorHAnsi"/>
              </w:rPr>
              <w:t xml:space="preserve"> 26</w:t>
            </w:r>
            <w:r>
              <w:rPr>
                <w:rFonts w:eastAsia="MS Mincho" w:cstheme="minorHAnsi"/>
              </w:rPr>
              <w:t xml:space="preserve">. </w:t>
            </w:r>
          </w:p>
        </w:tc>
        <w:tc>
          <w:tcPr>
            <w:tcW w:w="1288" w:type="pct"/>
          </w:tcPr>
          <w:p w:rsidR="007F30CC" w:rsidRPr="007F0260" w:rsidRDefault="007F30CC" w:rsidP="00C324F3">
            <w:pPr>
              <w:pStyle w:val="ListParagraph"/>
              <w:numPr>
                <w:ilvl w:val="0"/>
                <w:numId w:val="195"/>
              </w:numPr>
              <w:rPr>
                <w:rFonts w:eastAsia="MS Mincho"/>
                <w:lang w:eastAsia="en-US"/>
              </w:rPr>
            </w:pPr>
            <w:r w:rsidRPr="007F0260">
              <w:rPr>
                <w:rFonts w:eastAsia="MS Mincho"/>
                <w:lang w:eastAsia="en-US"/>
              </w:rPr>
              <w:t>Nicotine patch (21 mg/24-hour) for 6 w</w:t>
            </w:r>
            <w:r>
              <w:rPr>
                <w:rFonts w:eastAsia="MS Mincho"/>
                <w:lang w:eastAsia="en-US"/>
              </w:rPr>
              <w:t>ee</w:t>
            </w:r>
            <w:r w:rsidRPr="007F0260">
              <w:rPr>
                <w:rFonts w:eastAsia="MS Mincho"/>
                <w:lang w:eastAsia="en-US"/>
              </w:rPr>
              <w:t>ks, no weaning</w:t>
            </w:r>
          </w:p>
          <w:p w:rsidR="007F30CC" w:rsidRPr="007F0260" w:rsidRDefault="007F30CC" w:rsidP="00C324F3">
            <w:pPr>
              <w:pStyle w:val="ListParagraph"/>
              <w:numPr>
                <w:ilvl w:val="0"/>
                <w:numId w:val="195"/>
              </w:numPr>
              <w:rPr>
                <w:rFonts w:eastAsia="MS Mincho"/>
                <w:lang w:eastAsia="en-US"/>
              </w:rPr>
            </w:pPr>
            <w:r w:rsidRPr="007F0260">
              <w:rPr>
                <w:rFonts w:eastAsia="MS Mincho"/>
                <w:lang w:eastAsia="en-US"/>
              </w:rPr>
              <w:t>Nicotine patch, 21 mg 4 w</w:t>
            </w:r>
            <w:r>
              <w:rPr>
                <w:rFonts w:eastAsia="MS Mincho"/>
                <w:lang w:eastAsia="en-US"/>
              </w:rPr>
              <w:t>ee</w:t>
            </w:r>
            <w:r w:rsidRPr="007F0260">
              <w:rPr>
                <w:rFonts w:eastAsia="MS Mincho"/>
                <w:lang w:eastAsia="en-US"/>
              </w:rPr>
              <w:t>ks, weaning to 14 mg 4 w</w:t>
            </w:r>
            <w:r>
              <w:rPr>
                <w:rFonts w:eastAsia="MS Mincho"/>
                <w:lang w:eastAsia="en-US"/>
              </w:rPr>
              <w:t>ee</w:t>
            </w:r>
            <w:r w:rsidRPr="007F0260">
              <w:rPr>
                <w:rFonts w:eastAsia="MS Mincho"/>
                <w:lang w:eastAsia="en-US"/>
              </w:rPr>
              <w:t>ks, 7 mg 4 w</w:t>
            </w:r>
            <w:r>
              <w:rPr>
                <w:rFonts w:eastAsia="MS Mincho"/>
                <w:lang w:eastAsia="en-US"/>
              </w:rPr>
              <w:t>ee</w:t>
            </w:r>
            <w:r w:rsidRPr="007F0260">
              <w:rPr>
                <w:rFonts w:eastAsia="MS Mincho"/>
                <w:lang w:eastAsia="en-US"/>
              </w:rPr>
              <w:t>ks</w:t>
            </w:r>
          </w:p>
        </w:tc>
        <w:tc>
          <w:tcPr>
            <w:tcW w:w="1000" w:type="pct"/>
          </w:tcPr>
          <w:p w:rsidR="007F30CC" w:rsidRPr="007F0260" w:rsidRDefault="007F30CC" w:rsidP="006B48C7">
            <w:pPr>
              <w:pStyle w:val="Tablewriting"/>
              <w:rPr>
                <w:rFonts w:eastAsia="MS Mincho" w:cstheme="minorBidi"/>
              </w:rPr>
            </w:pPr>
            <w:r w:rsidRPr="007F0260">
              <w:rPr>
                <w:rFonts w:eastAsia="MS Mincho" w:cstheme="minorBidi"/>
                <w:u w:val="single"/>
              </w:rPr>
              <w:t>Efficacy:</w:t>
            </w:r>
            <w:r>
              <w:rPr>
                <w:rFonts w:eastAsia="MS Mincho" w:cstheme="minorBidi"/>
                <w:u w:val="single"/>
              </w:rPr>
              <w:t xml:space="preserve"> </w:t>
            </w:r>
            <w:r w:rsidRPr="007F0260">
              <w:rPr>
                <w:rFonts w:eastAsia="MS Mincho" w:cstheme="minorBidi"/>
              </w:rPr>
              <w:t>Abstinence at 6 m</w:t>
            </w:r>
            <w:r>
              <w:rPr>
                <w:rFonts w:eastAsia="MS Mincho" w:cstheme="minorBidi"/>
              </w:rPr>
              <w:t>onths.</w:t>
            </w:r>
          </w:p>
          <w:p w:rsidR="007F30CC" w:rsidRPr="007F0260" w:rsidRDefault="007F30CC" w:rsidP="006B48C7">
            <w:pPr>
              <w:pStyle w:val="Tablewriting"/>
              <w:rPr>
                <w:rFonts w:eastAsia="MS Mincho" w:cstheme="minorBidi"/>
              </w:rPr>
            </w:pPr>
            <w:r w:rsidRPr="007F0260">
              <w:rPr>
                <w:rFonts w:eastAsia="MS Mincho" w:cstheme="minorBidi"/>
              </w:rPr>
              <w:t>Validation: Plasma thiocyanate</w:t>
            </w:r>
          </w:p>
          <w:p w:rsidR="007F30CC" w:rsidRPr="004272CD" w:rsidRDefault="007F30CC" w:rsidP="006B48C7">
            <w:pPr>
              <w:pStyle w:val="Tablewriting"/>
              <w:rPr>
                <w:rFonts w:eastAsia="MS Mincho" w:cstheme="minorBidi"/>
                <w:u w:val="single"/>
              </w:rPr>
            </w:pPr>
          </w:p>
          <w:p w:rsidR="007F30CC" w:rsidRPr="000801BE" w:rsidRDefault="007F30CC" w:rsidP="006B48C7">
            <w:pPr>
              <w:pStyle w:val="Tablewriting"/>
              <w:rPr>
                <w:rFonts w:eastAsia="MS Mincho" w:cstheme="minorBidi"/>
              </w:rPr>
            </w:pPr>
            <w:r w:rsidRPr="000641B3">
              <w:rPr>
                <w:rFonts w:eastAsia="MS Mincho" w:cstheme="minorBidi"/>
                <w:u w:val="single"/>
              </w:rPr>
              <w:t>Safety:</w:t>
            </w:r>
            <w:r>
              <w:rPr>
                <w:rFonts w:eastAsia="MS Mincho" w:cstheme="minorBidi"/>
                <w:u w:val="single"/>
              </w:rPr>
              <w:t xml:space="preserve"> </w:t>
            </w:r>
            <w:r w:rsidRPr="000641B3">
              <w:rPr>
                <w:rFonts w:eastAsia="MS Mincho" w:cstheme="minorBidi"/>
              </w:rPr>
              <w:t>Adverse events</w:t>
            </w:r>
            <w:r>
              <w:rPr>
                <w:rFonts w:eastAsia="MS Mincho" w:cstheme="minorBidi"/>
              </w:rPr>
              <w:t xml:space="preserve"> </w:t>
            </w:r>
            <w:r w:rsidRPr="000641B3">
              <w:rPr>
                <w:rFonts w:eastAsia="MS Mincho" w:cstheme="minorBidi"/>
              </w:rPr>
              <w:t>not measured</w:t>
            </w:r>
            <w:r>
              <w:rPr>
                <w:rFonts w:eastAsia="MS Mincho" w:cstheme="minorBidi"/>
              </w:rPr>
              <w:t>.</w:t>
            </w:r>
          </w:p>
        </w:tc>
      </w:tr>
      <w:tr w:rsidR="007F30CC" w:rsidRPr="00017AE6" w:rsidTr="00486A67">
        <w:trPr>
          <w:trHeight w:val="99"/>
        </w:trPr>
        <w:tc>
          <w:tcPr>
            <w:tcW w:w="541" w:type="pct"/>
          </w:tcPr>
          <w:p w:rsidR="007F30CC" w:rsidRPr="007510D3" w:rsidRDefault="007F30CC" w:rsidP="006B48C7">
            <w:pPr>
              <w:pStyle w:val="Tablewriting"/>
              <w:rPr>
                <w:rFonts w:eastAsia="MS Mincho"/>
              </w:rPr>
            </w:pPr>
            <w:r w:rsidRPr="007510D3">
              <w:rPr>
                <w:rFonts w:eastAsia="MS Mincho"/>
              </w:rPr>
              <w:lastRenderedPageBreak/>
              <w:t xml:space="preserve">Bolin </w:t>
            </w:r>
            <w:r>
              <w:rPr>
                <w:rFonts w:eastAsia="MS Mincho"/>
              </w:rPr>
              <w:t>(</w:t>
            </w:r>
            <w:r w:rsidRPr="007510D3">
              <w:rPr>
                <w:rFonts w:eastAsia="MS Mincho"/>
              </w:rPr>
              <w:t>1999</w:t>
            </w:r>
            <w:r>
              <w:rPr>
                <w:rFonts w:eastAsia="MS Mincho"/>
              </w:rPr>
              <w:t>)</w:t>
            </w:r>
          </w:p>
        </w:tc>
        <w:tc>
          <w:tcPr>
            <w:tcW w:w="235" w:type="pct"/>
          </w:tcPr>
          <w:p w:rsidR="007F30CC" w:rsidRPr="00017AE6" w:rsidRDefault="007F30CC" w:rsidP="006B48C7">
            <w:pPr>
              <w:pStyle w:val="Tablewriting"/>
              <w:rPr>
                <w:rFonts w:eastAsia="MS Mincho" w:cstheme="minorHAnsi"/>
              </w:rPr>
            </w:pPr>
            <w:r>
              <w:rPr>
                <w:rFonts w:eastAsia="MS Mincho" w:cstheme="minorHAnsi"/>
              </w:rPr>
              <w:t>RCT</w:t>
            </w:r>
          </w:p>
        </w:tc>
        <w:tc>
          <w:tcPr>
            <w:tcW w:w="418" w:type="pct"/>
          </w:tcPr>
          <w:p w:rsidR="007F30CC" w:rsidRPr="00DA6845" w:rsidRDefault="007F30CC" w:rsidP="006B48C7">
            <w:pPr>
              <w:tabs>
                <w:tab w:val="left" w:pos="563"/>
              </w:tabs>
              <w:rPr>
                <w:rFonts w:eastAsia="MS Mincho"/>
                <w:lang w:eastAsia="en-US"/>
              </w:rPr>
            </w:pPr>
            <w:r>
              <w:rPr>
                <w:rFonts w:eastAsia="MS Mincho"/>
                <w:lang w:eastAsia="en-US"/>
              </w:rPr>
              <w:t>USA</w:t>
            </w:r>
          </w:p>
        </w:tc>
        <w:tc>
          <w:tcPr>
            <w:tcW w:w="350" w:type="pct"/>
          </w:tcPr>
          <w:p w:rsidR="007F30CC" w:rsidRPr="00017AE6" w:rsidRDefault="007F30CC" w:rsidP="006B48C7">
            <w:pPr>
              <w:pStyle w:val="Tablewriting"/>
              <w:rPr>
                <w:rFonts w:eastAsia="MS Mincho" w:cstheme="minorHAnsi"/>
              </w:rPr>
            </w:pPr>
            <w:r>
              <w:rPr>
                <w:rFonts w:eastAsia="MS Mincho" w:cstheme="minorHAnsi"/>
              </w:rPr>
              <w:t>N=98</w:t>
            </w:r>
          </w:p>
        </w:tc>
        <w:tc>
          <w:tcPr>
            <w:tcW w:w="1168" w:type="pct"/>
          </w:tcPr>
          <w:p w:rsidR="007F30CC" w:rsidRPr="00017AE6" w:rsidRDefault="007F30CC" w:rsidP="006B48C7">
            <w:pPr>
              <w:pStyle w:val="Tablewriting"/>
              <w:rPr>
                <w:rFonts w:eastAsia="MS Mincho" w:cstheme="minorHAnsi"/>
              </w:rPr>
            </w:pPr>
            <w:r w:rsidRPr="00DA6845">
              <w:rPr>
                <w:rFonts w:eastAsia="MS Mincho" w:cstheme="minorHAnsi"/>
              </w:rPr>
              <w:t>Smokers</w:t>
            </w:r>
            <w:r>
              <w:rPr>
                <w:rFonts w:eastAsia="MS Mincho" w:cstheme="minorHAnsi"/>
              </w:rPr>
              <w:t xml:space="preserve"> </w:t>
            </w:r>
            <w:r w:rsidRPr="00DA6845">
              <w:rPr>
                <w:rFonts w:eastAsia="MS Mincho" w:cstheme="minorHAnsi"/>
              </w:rPr>
              <w:t>84% men, av</w:t>
            </w:r>
            <w:r>
              <w:rPr>
                <w:rFonts w:eastAsia="MS Mincho" w:cstheme="minorHAnsi"/>
              </w:rPr>
              <w:t>erage</w:t>
            </w:r>
            <w:r w:rsidRPr="00DA6845">
              <w:rPr>
                <w:rFonts w:eastAsia="MS Mincho" w:cstheme="minorHAnsi"/>
              </w:rPr>
              <w:t xml:space="preserve"> age 54</w:t>
            </w:r>
            <w:r>
              <w:rPr>
                <w:rFonts w:eastAsia="MS Mincho" w:cstheme="minorHAnsi"/>
              </w:rPr>
              <w:t xml:space="preserve"> years</w:t>
            </w:r>
            <w:r w:rsidRPr="00DA6845">
              <w:rPr>
                <w:rFonts w:eastAsia="MS Mincho" w:cstheme="minorHAnsi"/>
              </w:rPr>
              <w:t>, av</w:t>
            </w:r>
            <w:r>
              <w:rPr>
                <w:rFonts w:eastAsia="MS Mincho" w:cstheme="minorHAnsi"/>
              </w:rPr>
              <w:t>erage CPD</w:t>
            </w:r>
            <w:r w:rsidRPr="00DA6845">
              <w:rPr>
                <w:rFonts w:eastAsia="MS Mincho" w:cstheme="minorHAnsi"/>
              </w:rPr>
              <w:t xml:space="preserve"> 20</w:t>
            </w:r>
            <w:r>
              <w:rPr>
                <w:rFonts w:eastAsia="MS Mincho" w:cstheme="minorHAnsi"/>
              </w:rPr>
              <w:t xml:space="preserve">. </w:t>
            </w:r>
          </w:p>
        </w:tc>
        <w:tc>
          <w:tcPr>
            <w:tcW w:w="1288" w:type="pct"/>
          </w:tcPr>
          <w:p w:rsidR="007F30CC" w:rsidRPr="00DA6845" w:rsidRDefault="007F30CC" w:rsidP="00C324F3">
            <w:pPr>
              <w:pStyle w:val="ListParagraph"/>
              <w:numPr>
                <w:ilvl w:val="0"/>
                <w:numId w:val="196"/>
              </w:numPr>
              <w:rPr>
                <w:rFonts w:eastAsia="MS Mincho"/>
                <w:lang w:eastAsia="en-US"/>
              </w:rPr>
            </w:pPr>
            <w:r w:rsidRPr="00DA6845">
              <w:rPr>
                <w:rFonts w:eastAsia="MS Mincho"/>
                <w:lang w:eastAsia="en-US"/>
              </w:rPr>
              <w:t>Nicotine patch for 12 w</w:t>
            </w:r>
            <w:r>
              <w:rPr>
                <w:rFonts w:eastAsia="MS Mincho"/>
                <w:lang w:eastAsia="en-US"/>
              </w:rPr>
              <w:t>ee</w:t>
            </w:r>
            <w:r w:rsidRPr="00DA6845">
              <w:rPr>
                <w:rFonts w:eastAsia="MS Mincho"/>
                <w:lang w:eastAsia="en-US"/>
              </w:rPr>
              <w:t>ks (21 mg/3 w</w:t>
            </w:r>
            <w:r>
              <w:rPr>
                <w:rFonts w:eastAsia="MS Mincho"/>
                <w:lang w:eastAsia="en-US"/>
              </w:rPr>
              <w:t>ee</w:t>
            </w:r>
            <w:r w:rsidRPr="00DA6845">
              <w:rPr>
                <w:rFonts w:eastAsia="MS Mincho"/>
                <w:lang w:eastAsia="en-US"/>
              </w:rPr>
              <w:t>ks, 14 mg/3 w</w:t>
            </w:r>
            <w:r>
              <w:rPr>
                <w:rFonts w:eastAsia="MS Mincho"/>
                <w:lang w:eastAsia="en-US"/>
              </w:rPr>
              <w:t>ee</w:t>
            </w:r>
            <w:r w:rsidRPr="00DA6845">
              <w:rPr>
                <w:rFonts w:eastAsia="MS Mincho"/>
                <w:lang w:eastAsia="en-US"/>
              </w:rPr>
              <w:t>ks, 7mg/3 w</w:t>
            </w:r>
            <w:r>
              <w:rPr>
                <w:rFonts w:eastAsia="MS Mincho"/>
                <w:lang w:eastAsia="en-US"/>
              </w:rPr>
              <w:t>ee</w:t>
            </w:r>
            <w:r w:rsidRPr="00DA6845">
              <w:rPr>
                <w:rFonts w:eastAsia="MS Mincho"/>
                <w:lang w:eastAsia="en-US"/>
              </w:rPr>
              <w:t>ks)</w:t>
            </w:r>
          </w:p>
          <w:p w:rsidR="007F30CC" w:rsidRPr="00DA6845" w:rsidRDefault="007F30CC" w:rsidP="00C324F3">
            <w:pPr>
              <w:pStyle w:val="ListParagraph"/>
              <w:numPr>
                <w:ilvl w:val="0"/>
                <w:numId w:val="196"/>
              </w:numPr>
              <w:rPr>
                <w:rFonts w:eastAsia="MS Mincho"/>
                <w:lang w:eastAsia="en-US"/>
              </w:rPr>
            </w:pPr>
            <w:r w:rsidRPr="00DA6845">
              <w:rPr>
                <w:rFonts w:eastAsia="MS Mincho"/>
                <w:lang w:eastAsia="en-US"/>
              </w:rPr>
              <w:t>Nicotine patch for 3 w</w:t>
            </w:r>
            <w:r>
              <w:rPr>
                <w:rFonts w:eastAsia="MS Mincho"/>
                <w:lang w:eastAsia="en-US"/>
              </w:rPr>
              <w:t>ee</w:t>
            </w:r>
            <w:r w:rsidRPr="00DA6845">
              <w:rPr>
                <w:rFonts w:eastAsia="MS Mincho"/>
                <w:lang w:eastAsia="en-US"/>
              </w:rPr>
              <w:t>ks (21 mg/1 w</w:t>
            </w:r>
            <w:r>
              <w:rPr>
                <w:rFonts w:eastAsia="MS Mincho"/>
                <w:lang w:eastAsia="en-US"/>
              </w:rPr>
              <w:t>ee</w:t>
            </w:r>
            <w:r w:rsidRPr="00DA6845">
              <w:rPr>
                <w:rFonts w:eastAsia="MS Mincho"/>
                <w:lang w:eastAsia="en-US"/>
              </w:rPr>
              <w:t>k, 14 mg/1 w</w:t>
            </w:r>
            <w:r>
              <w:rPr>
                <w:rFonts w:eastAsia="MS Mincho"/>
                <w:lang w:eastAsia="en-US"/>
              </w:rPr>
              <w:t>ee</w:t>
            </w:r>
            <w:r w:rsidRPr="00DA6845">
              <w:rPr>
                <w:rFonts w:eastAsia="MS Mincho"/>
                <w:lang w:eastAsia="en-US"/>
              </w:rPr>
              <w:t>k, 7mg/1 w</w:t>
            </w:r>
            <w:r>
              <w:rPr>
                <w:rFonts w:eastAsia="MS Mincho"/>
                <w:lang w:eastAsia="en-US"/>
              </w:rPr>
              <w:t>ee</w:t>
            </w:r>
            <w:r w:rsidRPr="00DA6845">
              <w:rPr>
                <w:rFonts w:eastAsia="MS Mincho"/>
                <w:lang w:eastAsia="en-US"/>
              </w:rPr>
              <w:t>k)</w:t>
            </w:r>
          </w:p>
        </w:tc>
        <w:tc>
          <w:tcPr>
            <w:tcW w:w="1000" w:type="pct"/>
          </w:tcPr>
          <w:p w:rsidR="007F30CC" w:rsidRPr="006F489F" w:rsidRDefault="007F30CC" w:rsidP="006B48C7">
            <w:pPr>
              <w:pStyle w:val="Tablewriting"/>
              <w:rPr>
                <w:rFonts w:eastAsia="MS Mincho" w:cstheme="minorBidi"/>
              </w:rPr>
            </w:pPr>
            <w:r w:rsidRPr="006F489F">
              <w:rPr>
                <w:rFonts w:eastAsia="MS Mincho" w:cstheme="minorBidi"/>
                <w:u w:val="single"/>
              </w:rPr>
              <w:t>Efficacy:</w:t>
            </w:r>
            <w:r>
              <w:rPr>
                <w:rFonts w:eastAsia="MS Mincho" w:cstheme="minorBidi"/>
                <w:u w:val="single"/>
              </w:rPr>
              <w:t xml:space="preserve"> </w:t>
            </w:r>
            <w:r w:rsidRPr="006F489F">
              <w:rPr>
                <w:rFonts w:eastAsia="MS Mincho" w:cstheme="minorBidi"/>
              </w:rPr>
              <w:t>Continuous abstinence at 5 m</w:t>
            </w:r>
            <w:r>
              <w:rPr>
                <w:rFonts w:eastAsia="MS Mincho" w:cstheme="minorBidi"/>
              </w:rPr>
              <w:t>onths</w:t>
            </w:r>
            <w:r w:rsidRPr="006F489F">
              <w:rPr>
                <w:rFonts w:eastAsia="MS Mincho" w:cstheme="minorBidi"/>
              </w:rPr>
              <w:t xml:space="preserve"> (PP also recorded)</w:t>
            </w:r>
          </w:p>
          <w:p w:rsidR="007F30CC" w:rsidRPr="004272CD" w:rsidRDefault="007F30CC" w:rsidP="006B48C7">
            <w:pPr>
              <w:pStyle w:val="Tablewriting"/>
              <w:rPr>
                <w:rFonts w:eastAsia="MS Mincho" w:cstheme="minorBidi"/>
                <w:u w:val="single"/>
              </w:rPr>
            </w:pPr>
            <w:r w:rsidRPr="006F489F">
              <w:rPr>
                <w:rFonts w:eastAsia="MS Mincho" w:cstheme="minorBidi"/>
              </w:rPr>
              <w:t>Validation: CO</w:t>
            </w:r>
          </w:p>
          <w:p w:rsidR="007F30CC" w:rsidRPr="004272CD" w:rsidRDefault="007F30CC" w:rsidP="006B48C7">
            <w:pPr>
              <w:pStyle w:val="Tablewriting"/>
              <w:rPr>
                <w:rFonts w:eastAsia="MS Mincho" w:cstheme="minorBidi"/>
                <w:u w:val="single"/>
              </w:rPr>
            </w:pPr>
          </w:p>
          <w:p w:rsidR="007F30CC" w:rsidRPr="006F489F" w:rsidRDefault="007F30CC" w:rsidP="006B48C7">
            <w:pPr>
              <w:pStyle w:val="Tablewriting"/>
              <w:rPr>
                <w:rFonts w:eastAsia="MS Mincho" w:cstheme="minorBidi"/>
                <w:u w:val="single"/>
              </w:rPr>
            </w:pPr>
            <w:r w:rsidRPr="008E5D31">
              <w:rPr>
                <w:rFonts w:eastAsia="MS Mincho" w:cstheme="minorBidi"/>
                <w:u w:val="single"/>
              </w:rPr>
              <w:t>Safety:</w:t>
            </w:r>
            <w:r>
              <w:rPr>
                <w:rFonts w:eastAsia="MS Mincho" w:cstheme="minorBidi"/>
                <w:u w:val="single"/>
              </w:rPr>
              <w:t xml:space="preserve"> </w:t>
            </w:r>
            <w:r w:rsidRPr="006F489F">
              <w:rPr>
                <w:rFonts w:eastAsia="MS Mincho" w:cstheme="minorBidi"/>
              </w:rPr>
              <w:t>Adverse events not measured.</w:t>
            </w:r>
          </w:p>
        </w:tc>
      </w:tr>
      <w:tr w:rsidR="007F30CC" w:rsidRPr="00017AE6" w:rsidTr="00486A67">
        <w:trPr>
          <w:trHeight w:val="99"/>
        </w:trPr>
        <w:tc>
          <w:tcPr>
            <w:tcW w:w="541" w:type="pct"/>
          </w:tcPr>
          <w:p w:rsidR="007F30CC" w:rsidRPr="007510D3" w:rsidRDefault="007F30CC" w:rsidP="006B48C7">
            <w:pPr>
              <w:pStyle w:val="Tablewriting"/>
              <w:rPr>
                <w:rFonts w:eastAsia="MS Mincho"/>
              </w:rPr>
            </w:pPr>
            <w:r w:rsidRPr="007510D3">
              <w:rPr>
                <w:rFonts w:eastAsia="MS Mincho"/>
              </w:rPr>
              <w:t xml:space="preserve">Cummings </w:t>
            </w:r>
            <w:r>
              <w:rPr>
                <w:rFonts w:eastAsia="MS Mincho"/>
              </w:rPr>
              <w:t>(</w:t>
            </w:r>
            <w:r w:rsidRPr="007510D3">
              <w:rPr>
                <w:rFonts w:eastAsia="MS Mincho"/>
              </w:rPr>
              <w:t>2011</w:t>
            </w:r>
            <w:r>
              <w:rPr>
                <w:rFonts w:eastAsia="MS Mincho"/>
              </w:rPr>
              <w:t>)</w:t>
            </w:r>
          </w:p>
        </w:tc>
        <w:tc>
          <w:tcPr>
            <w:tcW w:w="235" w:type="pct"/>
          </w:tcPr>
          <w:p w:rsidR="007F30CC" w:rsidRPr="00017AE6" w:rsidRDefault="007F30CC" w:rsidP="006B48C7">
            <w:pPr>
              <w:pStyle w:val="Tablewriting"/>
              <w:rPr>
                <w:rFonts w:eastAsia="MS Mincho" w:cstheme="minorHAnsi"/>
              </w:rPr>
            </w:pPr>
            <w:r>
              <w:rPr>
                <w:rFonts w:eastAsia="MS Mincho" w:cstheme="minorHAnsi"/>
              </w:rPr>
              <w:t>RCT</w:t>
            </w:r>
          </w:p>
        </w:tc>
        <w:tc>
          <w:tcPr>
            <w:tcW w:w="418" w:type="pct"/>
          </w:tcPr>
          <w:p w:rsidR="007F30CC" w:rsidRPr="00017AE6" w:rsidRDefault="007F30CC" w:rsidP="006B48C7">
            <w:pPr>
              <w:pStyle w:val="Tablewriting"/>
              <w:rPr>
                <w:rFonts w:eastAsia="MS Mincho" w:cstheme="minorHAnsi"/>
              </w:rPr>
            </w:pPr>
            <w:r>
              <w:rPr>
                <w:rFonts w:eastAsia="MS Mincho" w:cstheme="minorHAnsi"/>
              </w:rPr>
              <w:t>USA</w:t>
            </w:r>
          </w:p>
        </w:tc>
        <w:tc>
          <w:tcPr>
            <w:tcW w:w="350" w:type="pct"/>
          </w:tcPr>
          <w:p w:rsidR="007F30CC" w:rsidRPr="00017AE6" w:rsidRDefault="007F30CC" w:rsidP="006B48C7">
            <w:pPr>
              <w:pStyle w:val="Tablewriting"/>
              <w:rPr>
                <w:rFonts w:eastAsia="MS Mincho" w:cstheme="minorHAnsi"/>
              </w:rPr>
            </w:pPr>
            <w:r>
              <w:rPr>
                <w:rFonts w:eastAsia="MS Mincho" w:cstheme="minorHAnsi"/>
              </w:rPr>
              <w:t>N=2806</w:t>
            </w:r>
          </w:p>
        </w:tc>
        <w:tc>
          <w:tcPr>
            <w:tcW w:w="1168" w:type="pct"/>
          </w:tcPr>
          <w:p w:rsidR="007F30CC" w:rsidRPr="006F489F" w:rsidRDefault="007F30CC" w:rsidP="006B48C7">
            <w:pPr>
              <w:pStyle w:val="Tablewriting"/>
              <w:rPr>
                <w:rFonts w:eastAsia="MS Mincho" w:cstheme="minorHAnsi"/>
              </w:rPr>
            </w:pPr>
            <w:r>
              <w:rPr>
                <w:rFonts w:eastAsia="MS Mincho" w:cstheme="minorHAnsi"/>
              </w:rPr>
              <w:t>S</w:t>
            </w:r>
            <w:r w:rsidRPr="006F489F">
              <w:rPr>
                <w:rFonts w:eastAsia="MS Mincho" w:cstheme="minorHAnsi"/>
              </w:rPr>
              <w:t>mokers aged ≥18 y</w:t>
            </w:r>
            <w:r>
              <w:rPr>
                <w:rFonts w:eastAsia="MS Mincho" w:cstheme="minorHAnsi"/>
              </w:rPr>
              <w:t>ea</w:t>
            </w:r>
            <w:r w:rsidRPr="006F489F">
              <w:rPr>
                <w:rFonts w:eastAsia="MS Mincho" w:cstheme="minorHAnsi"/>
              </w:rPr>
              <w:t xml:space="preserve">rs, ≥10 </w:t>
            </w:r>
            <w:r>
              <w:rPr>
                <w:rFonts w:eastAsia="MS Mincho" w:cstheme="minorHAnsi"/>
              </w:rPr>
              <w:t>CPD</w:t>
            </w:r>
            <w:r w:rsidRPr="006F489F">
              <w:rPr>
                <w:rFonts w:eastAsia="MS Mincho" w:cstheme="minorHAnsi"/>
              </w:rPr>
              <w:t>, interested in using nicotine patch to help them stop smoking, no</w:t>
            </w:r>
          </w:p>
          <w:p w:rsidR="007F30CC" w:rsidRPr="006F489F" w:rsidRDefault="007F30CC" w:rsidP="006B48C7">
            <w:pPr>
              <w:pStyle w:val="Tablewriting"/>
              <w:rPr>
                <w:rFonts w:eastAsia="MS Mincho" w:cstheme="minorHAnsi"/>
              </w:rPr>
            </w:pPr>
            <w:r w:rsidRPr="006F489F">
              <w:rPr>
                <w:rFonts w:eastAsia="MS Mincho" w:cstheme="minorHAnsi"/>
              </w:rPr>
              <w:t>known contra-indications to the patch, willing to make quit attempt within 2 weeks</w:t>
            </w:r>
            <w:r>
              <w:rPr>
                <w:rFonts w:eastAsia="MS Mincho" w:cstheme="minorHAnsi"/>
              </w:rPr>
              <w:t>.</w:t>
            </w:r>
          </w:p>
          <w:p w:rsidR="007F30CC" w:rsidRDefault="007F30CC" w:rsidP="006B48C7">
            <w:pPr>
              <w:pStyle w:val="Tablewriting"/>
              <w:rPr>
                <w:rFonts w:eastAsia="MS Mincho" w:cstheme="minorHAnsi"/>
              </w:rPr>
            </w:pPr>
          </w:p>
          <w:p w:rsidR="007F30CC" w:rsidRPr="006F489F" w:rsidRDefault="007F30CC" w:rsidP="006B48C7">
            <w:pPr>
              <w:pStyle w:val="Tablewriting"/>
              <w:rPr>
                <w:rFonts w:eastAsia="MS Mincho" w:cstheme="minorHAnsi"/>
              </w:rPr>
            </w:pPr>
            <w:r w:rsidRPr="006F489F">
              <w:rPr>
                <w:rFonts w:eastAsia="MS Mincho" w:cstheme="minorHAnsi"/>
              </w:rPr>
              <w:t>44.3% men; av</w:t>
            </w:r>
            <w:r>
              <w:rPr>
                <w:rFonts w:eastAsia="MS Mincho" w:cstheme="minorHAnsi"/>
              </w:rPr>
              <w:t>erage</w:t>
            </w:r>
            <w:r w:rsidRPr="006F489F">
              <w:rPr>
                <w:rFonts w:eastAsia="MS Mincho" w:cstheme="minorHAnsi"/>
              </w:rPr>
              <w:t xml:space="preserve"> age: 45 - 54 y</w:t>
            </w:r>
            <w:r>
              <w:rPr>
                <w:rFonts w:eastAsia="MS Mincho" w:cstheme="minorHAnsi"/>
              </w:rPr>
              <w:t>ea</w:t>
            </w:r>
            <w:r w:rsidRPr="006F489F">
              <w:rPr>
                <w:rFonts w:eastAsia="MS Mincho" w:cstheme="minorHAnsi"/>
              </w:rPr>
              <w:t>rs (mode); av</w:t>
            </w:r>
            <w:r>
              <w:rPr>
                <w:rFonts w:eastAsia="MS Mincho" w:cstheme="minorHAnsi"/>
              </w:rPr>
              <w:t>erage</w:t>
            </w:r>
            <w:r w:rsidRPr="006F489F">
              <w:rPr>
                <w:rFonts w:eastAsia="MS Mincho" w:cstheme="minorHAnsi"/>
              </w:rPr>
              <w:t xml:space="preserve"> </w:t>
            </w:r>
            <w:r>
              <w:rPr>
                <w:rFonts w:eastAsia="MS Mincho" w:cstheme="minorHAnsi"/>
              </w:rPr>
              <w:t>CPD</w:t>
            </w:r>
            <w:r w:rsidRPr="006F489F">
              <w:rPr>
                <w:rFonts w:eastAsia="MS Mincho" w:cstheme="minorHAnsi"/>
              </w:rPr>
              <w:t>: 20 - 29 (mode); time to first cigarette: within 5 mins</w:t>
            </w:r>
          </w:p>
          <w:p w:rsidR="007F30CC" w:rsidRPr="00017AE6" w:rsidRDefault="007F30CC" w:rsidP="006B48C7">
            <w:pPr>
              <w:pStyle w:val="Tablewriting"/>
              <w:rPr>
                <w:rFonts w:eastAsia="MS Mincho" w:cstheme="minorHAnsi"/>
              </w:rPr>
            </w:pPr>
            <w:r w:rsidRPr="006F489F">
              <w:rPr>
                <w:rFonts w:eastAsia="MS Mincho" w:cstheme="minorHAnsi"/>
              </w:rPr>
              <w:t>(mode category)</w:t>
            </w:r>
            <w:r>
              <w:rPr>
                <w:rFonts w:eastAsia="MS Mincho" w:cstheme="minorHAnsi"/>
              </w:rPr>
              <w:t>.</w:t>
            </w:r>
          </w:p>
        </w:tc>
        <w:tc>
          <w:tcPr>
            <w:tcW w:w="1288" w:type="pct"/>
          </w:tcPr>
          <w:p w:rsidR="007F30CC" w:rsidRPr="006F489F" w:rsidRDefault="007F30CC" w:rsidP="00C324F3">
            <w:pPr>
              <w:pStyle w:val="ListParagraph"/>
              <w:numPr>
                <w:ilvl w:val="0"/>
                <w:numId w:val="197"/>
              </w:numPr>
              <w:rPr>
                <w:rFonts w:eastAsia="MS Mincho"/>
                <w:lang w:eastAsia="en-US"/>
              </w:rPr>
            </w:pPr>
            <w:r w:rsidRPr="006F489F">
              <w:rPr>
                <w:rFonts w:eastAsia="MS Mincho"/>
                <w:lang w:eastAsia="en-US"/>
              </w:rPr>
              <w:t>2 weeks of free nicotine patch treatment provided</w:t>
            </w:r>
          </w:p>
          <w:p w:rsidR="007F30CC" w:rsidRPr="006F489F" w:rsidRDefault="007F30CC" w:rsidP="00C324F3">
            <w:pPr>
              <w:pStyle w:val="ListParagraph"/>
              <w:numPr>
                <w:ilvl w:val="0"/>
                <w:numId w:val="197"/>
              </w:numPr>
              <w:rPr>
                <w:rFonts w:eastAsia="MS Mincho"/>
                <w:lang w:eastAsia="en-US"/>
              </w:rPr>
            </w:pPr>
            <w:r w:rsidRPr="006F489F">
              <w:rPr>
                <w:rFonts w:eastAsia="MS Mincho"/>
                <w:lang w:eastAsia="en-US"/>
              </w:rPr>
              <w:t>4 weeks of free nicotine patch treatment provided</w:t>
            </w:r>
          </w:p>
          <w:p w:rsidR="007F30CC" w:rsidRDefault="007F30CC" w:rsidP="00C324F3">
            <w:pPr>
              <w:pStyle w:val="ListParagraph"/>
              <w:numPr>
                <w:ilvl w:val="0"/>
                <w:numId w:val="197"/>
              </w:numPr>
              <w:rPr>
                <w:rFonts w:eastAsia="MS Mincho"/>
                <w:lang w:eastAsia="en-US"/>
              </w:rPr>
            </w:pPr>
            <w:r w:rsidRPr="006F489F">
              <w:rPr>
                <w:rFonts w:eastAsia="MS Mincho"/>
                <w:lang w:eastAsia="en-US"/>
              </w:rPr>
              <w:t>6 weeks of free nicotine patch treatment provid</w:t>
            </w:r>
            <w:r>
              <w:rPr>
                <w:rFonts w:eastAsia="MS Mincho"/>
                <w:lang w:eastAsia="en-US"/>
              </w:rPr>
              <w:t>ed</w:t>
            </w:r>
          </w:p>
          <w:p w:rsidR="007F30CC" w:rsidRDefault="007F30CC" w:rsidP="006B48C7">
            <w:pPr>
              <w:rPr>
                <w:rFonts w:eastAsia="MS Mincho"/>
                <w:lang w:eastAsia="en-US"/>
              </w:rPr>
            </w:pPr>
          </w:p>
          <w:p w:rsidR="007F30CC" w:rsidRPr="006F489F" w:rsidRDefault="007F30CC" w:rsidP="006B48C7">
            <w:pPr>
              <w:rPr>
                <w:rFonts w:eastAsia="MS Mincho"/>
                <w:lang w:eastAsia="en-US"/>
              </w:rPr>
            </w:pPr>
            <w:r w:rsidRPr="006F489F">
              <w:rPr>
                <w:rFonts w:eastAsia="MS Mincho"/>
                <w:u w:val="single"/>
                <w:lang w:eastAsia="en-US"/>
              </w:rPr>
              <w:t xml:space="preserve">Common component: </w:t>
            </w:r>
            <w:r w:rsidRPr="006F489F">
              <w:rPr>
                <w:rFonts w:eastAsia="MS Mincho"/>
                <w:lang w:eastAsia="en-US"/>
              </w:rPr>
              <w:t>All participants received the quit line’s standard cessation guide, providing tips on quitting smoking,</w:t>
            </w:r>
          </w:p>
          <w:p w:rsidR="007F30CC" w:rsidRPr="006F489F" w:rsidRDefault="007F30CC" w:rsidP="006B48C7">
            <w:pPr>
              <w:rPr>
                <w:rFonts w:eastAsia="MS Mincho"/>
                <w:lang w:eastAsia="en-US"/>
              </w:rPr>
            </w:pPr>
            <w:r w:rsidRPr="006F489F">
              <w:rPr>
                <w:rFonts w:eastAsia="MS Mincho"/>
                <w:lang w:eastAsia="en-US"/>
              </w:rPr>
              <w:t>along with information on the benefits of smoking cessation. In addition, all participants received 1 x</w:t>
            </w:r>
            <w:r>
              <w:rPr>
                <w:rFonts w:eastAsia="MS Mincho"/>
                <w:lang w:eastAsia="en-US"/>
              </w:rPr>
              <w:t xml:space="preserve"> </w:t>
            </w:r>
            <w:r w:rsidRPr="006F489F">
              <w:rPr>
                <w:rFonts w:eastAsia="MS Mincho"/>
                <w:lang w:eastAsia="en-US"/>
              </w:rPr>
              <w:t>10- to 15-minute proactive follow-up call conducted 2 weeks after initially contacting the quit line. The</w:t>
            </w:r>
          </w:p>
          <w:p w:rsidR="007F30CC" w:rsidRPr="006F489F" w:rsidRDefault="007F30CC" w:rsidP="006B48C7">
            <w:pPr>
              <w:rPr>
                <w:rFonts w:eastAsia="MS Mincho"/>
                <w:lang w:eastAsia="en-US"/>
              </w:rPr>
            </w:pPr>
            <w:r w:rsidRPr="006F489F">
              <w:rPr>
                <w:rFonts w:eastAsia="MS Mincho"/>
                <w:lang w:eastAsia="en-US"/>
              </w:rPr>
              <w:t>counselling call was intended to help participants address barriers to quitting and prompt them to use</w:t>
            </w:r>
            <w:r>
              <w:rPr>
                <w:rFonts w:eastAsia="MS Mincho"/>
                <w:lang w:eastAsia="en-US"/>
              </w:rPr>
              <w:t xml:space="preserve"> </w:t>
            </w:r>
            <w:r w:rsidRPr="006F489F">
              <w:rPr>
                <w:rFonts w:eastAsia="MS Mincho"/>
                <w:lang w:eastAsia="en-US"/>
              </w:rPr>
              <w:t>the medications sent to them</w:t>
            </w:r>
            <w:r>
              <w:rPr>
                <w:rFonts w:eastAsia="MS Mincho"/>
                <w:lang w:eastAsia="en-US"/>
              </w:rPr>
              <w:t xml:space="preserve">. </w:t>
            </w:r>
          </w:p>
        </w:tc>
        <w:tc>
          <w:tcPr>
            <w:tcW w:w="1000" w:type="pct"/>
          </w:tcPr>
          <w:p w:rsidR="007F30CC" w:rsidRPr="004272CD" w:rsidRDefault="007F30CC" w:rsidP="006B48C7">
            <w:pPr>
              <w:pStyle w:val="Tablewriting"/>
              <w:rPr>
                <w:rFonts w:eastAsia="MS Mincho" w:cstheme="minorBidi"/>
                <w:u w:val="single"/>
              </w:rPr>
            </w:pPr>
            <w:r w:rsidRPr="008E5D31">
              <w:rPr>
                <w:rFonts w:eastAsia="MS Mincho" w:cstheme="minorBidi"/>
                <w:u w:val="single"/>
              </w:rPr>
              <w:t>Efficacy:</w:t>
            </w:r>
            <w:r>
              <w:rPr>
                <w:rFonts w:eastAsia="MS Mincho" w:cstheme="minorBidi"/>
                <w:u w:val="single"/>
              </w:rPr>
              <w:t xml:space="preserve"> </w:t>
            </w:r>
            <w:r w:rsidRPr="004F57C6">
              <w:rPr>
                <w:rFonts w:eastAsia="MS Mincho" w:cstheme="minorBidi"/>
              </w:rPr>
              <w:t>Self-reported 30-day PPA at 7-month follow-up, self-reported 7-day PPA at 7 months</w:t>
            </w:r>
            <w:r>
              <w:rPr>
                <w:rFonts w:eastAsia="MS Mincho" w:cstheme="minorBidi"/>
              </w:rPr>
              <w:t>.</w:t>
            </w:r>
          </w:p>
          <w:p w:rsidR="007F30CC" w:rsidRPr="004F57C6" w:rsidRDefault="007F30CC" w:rsidP="006B48C7">
            <w:pPr>
              <w:pStyle w:val="Tablewriting"/>
              <w:rPr>
                <w:rFonts w:eastAsia="MS Mincho" w:cstheme="minorBidi"/>
              </w:rPr>
            </w:pPr>
            <w:r w:rsidRPr="004F57C6">
              <w:rPr>
                <w:rFonts w:eastAsia="MS Mincho" w:cstheme="minorBidi"/>
              </w:rPr>
              <w:t>No biochemical validation</w:t>
            </w:r>
          </w:p>
          <w:p w:rsidR="007F30CC" w:rsidRDefault="007F30CC" w:rsidP="006B48C7">
            <w:pPr>
              <w:pStyle w:val="Tablewriting"/>
              <w:rPr>
                <w:rFonts w:eastAsia="MS Mincho" w:cstheme="minorBidi"/>
              </w:rPr>
            </w:pPr>
          </w:p>
          <w:p w:rsidR="007F30CC" w:rsidRPr="004F57C6" w:rsidRDefault="007F30CC" w:rsidP="006B48C7">
            <w:pPr>
              <w:pStyle w:val="Tablewriting"/>
              <w:rPr>
                <w:rFonts w:eastAsia="MS Mincho" w:cstheme="minorBidi"/>
              </w:rPr>
            </w:pPr>
            <w:r w:rsidRPr="008E5D31">
              <w:rPr>
                <w:rFonts w:eastAsia="MS Mincho" w:cstheme="minorBidi"/>
                <w:u w:val="single"/>
              </w:rPr>
              <w:t>Safety:</w:t>
            </w:r>
            <w:r>
              <w:rPr>
                <w:rFonts w:eastAsia="MS Mincho" w:cstheme="minorBidi"/>
                <w:u w:val="single"/>
              </w:rPr>
              <w:t xml:space="preserve"> </w:t>
            </w:r>
            <w:r w:rsidRPr="004F57C6">
              <w:rPr>
                <w:rFonts w:eastAsia="MS Mincho" w:cstheme="minorBidi"/>
              </w:rPr>
              <w:t>Adverse events not measured</w:t>
            </w:r>
            <w:r>
              <w:rPr>
                <w:rFonts w:eastAsia="MS Mincho" w:cstheme="minorBidi"/>
              </w:rPr>
              <w:t xml:space="preserve">. </w:t>
            </w:r>
          </w:p>
          <w:p w:rsidR="007F30CC" w:rsidRPr="004272CD" w:rsidRDefault="007F30CC" w:rsidP="006B48C7">
            <w:pPr>
              <w:pStyle w:val="Tablewriting"/>
              <w:rPr>
                <w:rFonts w:eastAsia="MS Mincho" w:cstheme="minorBidi"/>
                <w:u w:val="single"/>
              </w:rPr>
            </w:pPr>
          </w:p>
          <w:p w:rsidR="007F30CC" w:rsidRPr="0139F213" w:rsidRDefault="007F30CC" w:rsidP="006B48C7">
            <w:pPr>
              <w:pStyle w:val="Tablewriting"/>
              <w:rPr>
                <w:rFonts w:eastAsia="MS Mincho" w:cstheme="minorBidi"/>
              </w:rPr>
            </w:pPr>
          </w:p>
        </w:tc>
      </w:tr>
      <w:tr w:rsidR="007F30CC" w:rsidRPr="00017AE6" w:rsidTr="00486A67">
        <w:trPr>
          <w:trHeight w:val="99"/>
        </w:trPr>
        <w:tc>
          <w:tcPr>
            <w:tcW w:w="541" w:type="pct"/>
          </w:tcPr>
          <w:p w:rsidR="007F30CC" w:rsidRPr="007510D3" w:rsidRDefault="007F30CC" w:rsidP="006B48C7">
            <w:pPr>
              <w:pStyle w:val="Tablewriting"/>
              <w:rPr>
                <w:rFonts w:eastAsia="MS Mincho"/>
              </w:rPr>
            </w:pPr>
            <w:r w:rsidRPr="00FF579E">
              <w:rPr>
                <w:rFonts w:eastAsia="MS Mincho"/>
              </w:rPr>
              <w:t>Glavas (2003)</w:t>
            </w:r>
          </w:p>
        </w:tc>
        <w:tc>
          <w:tcPr>
            <w:tcW w:w="235" w:type="pct"/>
          </w:tcPr>
          <w:p w:rsidR="007F30CC" w:rsidRPr="00017AE6" w:rsidRDefault="007F30CC" w:rsidP="006B48C7">
            <w:pPr>
              <w:pStyle w:val="Tablewriting"/>
              <w:rPr>
                <w:rFonts w:eastAsia="MS Mincho" w:cstheme="minorHAnsi"/>
              </w:rPr>
            </w:pPr>
            <w:r>
              <w:rPr>
                <w:rFonts w:eastAsia="MS Mincho" w:cstheme="minorHAnsi"/>
              </w:rPr>
              <w:t>RCT</w:t>
            </w:r>
          </w:p>
        </w:tc>
        <w:tc>
          <w:tcPr>
            <w:tcW w:w="418" w:type="pct"/>
          </w:tcPr>
          <w:p w:rsidR="007F30CC" w:rsidRPr="00017AE6" w:rsidRDefault="007F30CC" w:rsidP="006B48C7">
            <w:pPr>
              <w:pStyle w:val="Tablewriting"/>
              <w:rPr>
                <w:rFonts w:eastAsia="MS Mincho" w:cstheme="minorHAnsi"/>
              </w:rPr>
            </w:pPr>
            <w:r w:rsidRPr="004F57C6">
              <w:rPr>
                <w:rFonts w:eastAsia="MS Mincho" w:cstheme="minorHAnsi"/>
              </w:rPr>
              <w:t>Croatia</w:t>
            </w:r>
          </w:p>
        </w:tc>
        <w:tc>
          <w:tcPr>
            <w:tcW w:w="350" w:type="pct"/>
          </w:tcPr>
          <w:p w:rsidR="007F30CC" w:rsidRPr="00017AE6" w:rsidRDefault="007F30CC" w:rsidP="006B48C7">
            <w:pPr>
              <w:pStyle w:val="Tablewriting"/>
              <w:rPr>
                <w:rFonts w:eastAsia="MS Mincho" w:cstheme="minorHAnsi"/>
              </w:rPr>
            </w:pPr>
            <w:r>
              <w:rPr>
                <w:rFonts w:eastAsia="MS Mincho" w:cstheme="minorHAnsi"/>
              </w:rPr>
              <w:t>N=160</w:t>
            </w:r>
          </w:p>
        </w:tc>
        <w:tc>
          <w:tcPr>
            <w:tcW w:w="1168" w:type="pct"/>
          </w:tcPr>
          <w:p w:rsidR="007F30CC" w:rsidRPr="00017AE6" w:rsidRDefault="007F30CC" w:rsidP="006B48C7">
            <w:pPr>
              <w:pStyle w:val="Tablewriting"/>
              <w:rPr>
                <w:rFonts w:eastAsia="MS Mincho" w:cstheme="minorHAnsi"/>
              </w:rPr>
            </w:pPr>
            <w:r>
              <w:rPr>
                <w:rFonts w:eastAsia="MS Mincho" w:cstheme="minorHAnsi"/>
              </w:rPr>
              <w:t>Smokers</w:t>
            </w:r>
          </w:p>
        </w:tc>
        <w:tc>
          <w:tcPr>
            <w:tcW w:w="1288" w:type="pct"/>
          </w:tcPr>
          <w:p w:rsidR="007F30CC" w:rsidRPr="004F57C6" w:rsidRDefault="007F30CC" w:rsidP="00C324F3">
            <w:pPr>
              <w:pStyle w:val="ListParagraph"/>
              <w:numPr>
                <w:ilvl w:val="0"/>
                <w:numId w:val="198"/>
              </w:numPr>
              <w:rPr>
                <w:rFonts w:eastAsia="MS Mincho"/>
                <w:lang w:eastAsia="en-US"/>
              </w:rPr>
            </w:pPr>
            <w:r w:rsidRPr="004F57C6">
              <w:rPr>
                <w:rFonts w:eastAsia="MS Mincho"/>
                <w:lang w:eastAsia="en-US"/>
              </w:rPr>
              <w:t>Nicotine patch, 24-hour, 25 mg/15 mg/8 mg starting dose depending on baseline cpd. 6 w</w:t>
            </w:r>
            <w:r>
              <w:rPr>
                <w:rFonts w:eastAsia="MS Mincho"/>
                <w:lang w:eastAsia="en-US"/>
              </w:rPr>
              <w:t>ee</w:t>
            </w:r>
            <w:r w:rsidRPr="004F57C6">
              <w:rPr>
                <w:rFonts w:eastAsia="MS Mincho"/>
                <w:lang w:eastAsia="en-US"/>
              </w:rPr>
              <w:t>ks</w:t>
            </w:r>
          </w:p>
          <w:p w:rsidR="007F30CC" w:rsidRPr="004F57C6" w:rsidRDefault="007F30CC" w:rsidP="00C324F3">
            <w:pPr>
              <w:pStyle w:val="ListParagraph"/>
              <w:numPr>
                <w:ilvl w:val="0"/>
                <w:numId w:val="198"/>
              </w:numPr>
              <w:rPr>
                <w:rFonts w:eastAsia="MS Mincho"/>
                <w:lang w:eastAsia="en-US"/>
              </w:rPr>
            </w:pPr>
            <w:r w:rsidRPr="004F57C6">
              <w:rPr>
                <w:rFonts w:eastAsia="MS Mincho"/>
                <w:lang w:eastAsia="en-US"/>
              </w:rPr>
              <w:t>Nicotine patch, 24-hour, 25 mg/15 mg starting dose depending on baseline cpd. 3 w</w:t>
            </w:r>
            <w:r>
              <w:rPr>
                <w:rFonts w:eastAsia="MS Mincho"/>
                <w:lang w:eastAsia="en-US"/>
              </w:rPr>
              <w:t>ee</w:t>
            </w:r>
            <w:r w:rsidRPr="004F57C6">
              <w:rPr>
                <w:rFonts w:eastAsia="MS Mincho"/>
                <w:lang w:eastAsia="en-US"/>
              </w:rPr>
              <w:t>ks</w:t>
            </w:r>
          </w:p>
          <w:p w:rsidR="007F30CC" w:rsidRPr="004F57C6" w:rsidRDefault="007F30CC" w:rsidP="00C324F3">
            <w:pPr>
              <w:pStyle w:val="ListParagraph"/>
              <w:numPr>
                <w:ilvl w:val="0"/>
                <w:numId w:val="198"/>
              </w:numPr>
              <w:rPr>
                <w:rFonts w:eastAsia="MS Mincho"/>
                <w:lang w:eastAsia="en-US"/>
              </w:rPr>
            </w:pPr>
            <w:r w:rsidRPr="004F57C6">
              <w:rPr>
                <w:rFonts w:eastAsia="MS Mincho"/>
                <w:lang w:eastAsia="en-US"/>
              </w:rPr>
              <w:t>Placebo patch. 6 w</w:t>
            </w:r>
            <w:r>
              <w:rPr>
                <w:rFonts w:eastAsia="MS Mincho"/>
                <w:lang w:eastAsia="en-US"/>
              </w:rPr>
              <w:t>ee</w:t>
            </w:r>
            <w:r w:rsidRPr="004F57C6">
              <w:rPr>
                <w:rFonts w:eastAsia="MS Mincho"/>
                <w:lang w:eastAsia="en-US"/>
              </w:rPr>
              <w:t>ks</w:t>
            </w:r>
          </w:p>
          <w:p w:rsidR="007F30CC" w:rsidRPr="004F57C6" w:rsidRDefault="007F30CC" w:rsidP="00C324F3">
            <w:pPr>
              <w:pStyle w:val="ListParagraph"/>
              <w:numPr>
                <w:ilvl w:val="0"/>
                <w:numId w:val="198"/>
              </w:numPr>
              <w:rPr>
                <w:rFonts w:eastAsia="MS Mincho"/>
                <w:lang w:eastAsia="en-US"/>
              </w:rPr>
            </w:pPr>
            <w:r w:rsidRPr="004F57C6">
              <w:rPr>
                <w:rFonts w:eastAsia="MS Mincho"/>
                <w:lang w:eastAsia="en-US"/>
              </w:rPr>
              <w:t>Placebo patch 3 w</w:t>
            </w:r>
            <w:r>
              <w:rPr>
                <w:rFonts w:eastAsia="MS Mincho"/>
                <w:lang w:eastAsia="en-US"/>
              </w:rPr>
              <w:t>ee</w:t>
            </w:r>
            <w:r w:rsidRPr="004F57C6">
              <w:rPr>
                <w:rFonts w:eastAsia="MS Mincho"/>
                <w:lang w:eastAsia="en-US"/>
              </w:rPr>
              <w:t>ks</w:t>
            </w:r>
          </w:p>
        </w:tc>
        <w:tc>
          <w:tcPr>
            <w:tcW w:w="1000" w:type="pct"/>
          </w:tcPr>
          <w:p w:rsidR="007F30CC" w:rsidRPr="004F57C6" w:rsidRDefault="007F30CC" w:rsidP="006B48C7">
            <w:pPr>
              <w:pStyle w:val="Tablewriting"/>
              <w:rPr>
                <w:rFonts w:eastAsia="MS Mincho" w:cstheme="minorBidi"/>
              </w:rPr>
            </w:pPr>
            <w:r w:rsidRPr="008E5D31">
              <w:rPr>
                <w:rFonts w:eastAsia="MS Mincho" w:cstheme="minorBidi"/>
                <w:u w:val="single"/>
              </w:rPr>
              <w:t>Efficacy:</w:t>
            </w:r>
            <w:r>
              <w:rPr>
                <w:rFonts w:eastAsia="MS Mincho" w:cstheme="minorBidi"/>
                <w:u w:val="single"/>
              </w:rPr>
              <w:t xml:space="preserve"> </w:t>
            </w:r>
            <w:r w:rsidRPr="004F57C6">
              <w:rPr>
                <w:rFonts w:eastAsia="MS Mincho" w:cstheme="minorBidi"/>
              </w:rPr>
              <w:t>Abstinence at 6 m after EOT (abstinence defined as ≤ 2 cig</w:t>
            </w:r>
            <w:r>
              <w:rPr>
                <w:rFonts w:eastAsia="MS Mincho" w:cstheme="minorBidi"/>
              </w:rPr>
              <w:t>arettes</w:t>
            </w:r>
            <w:r w:rsidRPr="004F57C6">
              <w:rPr>
                <w:rFonts w:eastAsia="MS Mincho" w:cstheme="minorBidi"/>
              </w:rPr>
              <w:t xml:space="preserve"> a w</w:t>
            </w:r>
            <w:r>
              <w:rPr>
                <w:rFonts w:eastAsia="MS Mincho" w:cstheme="minorBidi"/>
              </w:rPr>
              <w:t>ee</w:t>
            </w:r>
            <w:r w:rsidRPr="004F57C6">
              <w:rPr>
                <w:rFonts w:eastAsia="MS Mincho" w:cstheme="minorBidi"/>
              </w:rPr>
              <w:t>k)</w:t>
            </w:r>
            <w:r>
              <w:rPr>
                <w:rFonts w:eastAsia="MS Mincho" w:cstheme="minorBidi"/>
              </w:rPr>
              <w:t>.</w:t>
            </w:r>
          </w:p>
          <w:p w:rsidR="007F30CC" w:rsidRPr="004F57C6" w:rsidRDefault="007F30CC" w:rsidP="006B48C7">
            <w:pPr>
              <w:pStyle w:val="Tablewriting"/>
              <w:rPr>
                <w:rFonts w:eastAsia="MS Mincho" w:cstheme="minorBidi"/>
              </w:rPr>
            </w:pPr>
            <w:r w:rsidRPr="004F57C6">
              <w:rPr>
                <w:rFonts w:eastAsia="MS Mincho" w:cstheme="minorBidi"/>
              </w:rPr>
              <w:t>Validation: CO &lt; 11 ppm</w:t>
            </w:r>
          </w:p>
          <w:p w:rsidR="007F30CC" w:rsidRPr="004272CD" w:rsidRDefault="007F30CC" w:rsidP="006B48C7">
            <w:pPr>
              <w:pStyle w:val="Tablewriting"/>
              <w:rPr>
                <w:rFonts w:eastAsia="MS Mincho" w:cstheme="minorBidi"/>
                <w:u w:val="single"/>
              </w:rPr>
            </w:pPr>
          </w:p>
          <w:p w:rsidR="007F30CC" w:rsidRPr="0139F213" w:rsidRDefault="007F30CC" w:rsidP="006B48C7">
            <w:pPr>
              <w:pStyle w:val="Tablewriting"/>
              <w:rPr>
                <w:rFonts w:eastAsia="MS Mincho" w:cstheme="minorBidi"/>
              </w:rPr>
            </w:pPr>
            <w:r w:rsidRPr="008E5D31">
              <w:rPr>
                <w:rFonts w:eastAsia="MS Mincho" w:cstheme="minorBidi"/>
                <w:u w:val="single"/>
              </w:rPr>
              <w:t>Safety:</w:t>
            </w:r>
            <w:r>
              <w:rPr>
                <w:rFonts w:eastAsia="MS Mincho" w:cstheme="minorBidi"/>
                <w:u w:val="single"/>
              </w:rPr>
              <w:t xml:space="preserve"> </w:t>
            </w:r>
            <w:r w:rsidRPr="004F57C6">
              <w:rPr>
                <w:rFonts w:eastAsia="MS Mincho" w:cstheme="minorBidi"/>
              </w:rPr>
              <w:t>Adverse events</w:t>
            </w:r>
            <w:r>
              <w:rPr>
                <w:rFonts w:eastAsia="MS Mincho" w:cstheme="minorBidi"/>
              </w:rPr>
              <w:t xml:space="preserve"> </w:t>
            </w:r>
            <w:r w:rsidRPr="004F57C6">
              <w:rPr>
                <w:rFonts w:eastAsia="MS Mincho" w:cstheme="minorBidi"/>
              </w:rPr>
              <w:t xml:space="preserve">monitored during treatment (3 </w:t>
            </w:r>
            <w:r w:rsidRPr="004F57C6">
              <w:rPr>
                <w:rFonts w:eastAsia="MS Mincho" w:cstheme="minorBidi"/>
              </w:rPr>
              <w:lastRenderedPageBreak/>
              <w:t>weeks in 1 group and 6 weeks in another)</w:t>
            </w:r>
          </w:p>
        </w:tc>
      </w:tr>
      <w:tr w:rsidR="007F30CC" w:rsidRPr="00017AE6" w:rsidTr="00486A67">
        <w:trPr>
          <w:trHeight w:val="99"/>
        </w:trPr>
        <w:tc>
          <w:tcPr>
            <w:tcW w:w="5000" w:type="pct"/>
            <w:gridSpan w:val="7"/>
            <w:shd w:val="clear" w:color="auto" w:fill="D9D9D9" w:themeFill="background1" w:themeFillShade="D9"/>
          </w:tcPr>
          <w:p w:rsidR="007F30CC" w:rsidRPr="00626623" w:rsidRDefault="007F30CC" w:rsidP="006B48C7">
            <w:pPr>
              <w:pStyle w:val="Tablewriting"/>
              <w:rPr>
                <w:rFonts w:eastAsia="MS Mincho" w:cstheme="minorBidi"/>
                <w:b/>
                <w:bCs/>
              </w:rPr>
            </w:pPr>
            <w:r w:rsidRPr="00626623">
              <w:rPr>
                <w:b/>
                <w:bCs/>
              </w:rPr>
              <w:lastRenderedPageBreak/>
              <w:t>Duration of gum therapy</w:t>
            </w:r>
          </w:p>
        </w:tc>
      </w:tr>
      <w:tr w:rsidR="007F30CC" w:rsidRPr="00017AE6" w:rsidTr="00486A67">
        <w:trPr>
          <w:trHeight w:val="99"/>
        </w:trPr>
        <w:tc>
          <w:tcPr>
            <w:tcW w:w="541" w:type="pct"/>
          </w:tcPr>
          <w:p w:rsidR="007F30CC" w:rsidRPr="007510D3" w:rsidRDefault="007F30CC" w:rsidP="006B48C7">
            <w:pPr>
              <w:pStyle w:val="Tablewriting"/>
              <w:rPr>
                <w:rFonts w:eastAsia="MS Mincho"/>
              </w:rPr>
            </w:pPr>
            <w:r w:rsidRPr="00A22F63">
              <w:rPr>
                <w:rFonts w:eastAsia="MS Mincho"/>
              </w:rPr>
              <w:t xml:space="preserve">Hall </w:t>
            </w:r>
            <w:r>
              <w:rPr>
                <w:rFonts w:eastAsia="MS Mincho"/>
              </w:rPr>
              <w:t>(</w:t>
            </w:r>
            <w:r w:rsidRPr="00A22F63">
              <w:rPr>
                <w:rFonts w:eastAsia="MS Mincho"/>
              </w:rPr>
              <w:t>2009</w:t>
            </w:r>
            <w:r>
              <w:rPr>
                <w:rFonts w:eastAsia="MS Mincho"/>
              </w:rPr>
              <w:t>)</w:t>
            </w:r>
          </w:p>
        </w:tc>
        <w:tc>
          <w:tcPr>
            <w:tcW w:w="235" w:type="pct"/>
          </w:tcPr>
          <w:p w:rsidR="007F30CC" w:rsidRPr="00017AE6" w:rsidRDefault="007F30CC" w:rsidP="006B48C7">
            <w:pPr>
              <w:pStyle w:val="Tablewriting"/>
              <w:rPr>
                <w:rFonts w:eastAsia="MS Mincho" w:cstheme="minorHAnsi"/>
              </w:rPr>
            </w:pPr>
            <w:r>
              <w:rPr>
                <w:rFonts w:eastAsia="MS Mincho" w:cstheme="minorHAnsi"/>
              </w:rPr>
              <w:t>RCT</w:t>
            </w:r>
          </w:p>
        </w:tc>
        <w:tc>
          <w:tcPr>
            <w:tcW w:w="418" w:type="pct"/>
          </w:tcPr>
          <w:p w:rsidR="007F30CC" w:rsidRPr="00017AE6" w:rsidRDefault="007F30CC" w:rsidP="006B48C7">
            <w:pPr>
              <w:pStyle w:val="Tablewriting"/>
              <w:rPr>
                <w:rFonts w:eastAsia="MS Mincho" w:cstheme="minorHAnsi"/>
              </w:rPr>
            </w:pPr>
            <w:r>
              <w:rPr>
                <w:rFonts w:eastAsia="MS Mincho" w:cstheme="minorHAnsi"/>
              </w:rPr>
              <w:t>USA</w:t>
            </w:r>
          </w:p>
        </w:tc>
        <w:tc>
          <w:tcPr>
            <w:tcW w:w="350" w:type="pct"/>
          </w:tcPr>
          <w:p w:rsidR="007F30CC" w:rsidRPr="00017AE6" w:rsidRDefault="007F30CC" w:rsidP="006B48C7">
            <w:pPr>
              <w:pStyle w:val="Tablewriting"/>
              <w:rPr>
                <w:rFonts w:eastAsia="MS Mincho" w:cstheme="minorHAnsi"/>
              </w:rPr>
            </w:pPr>
            <w:r>
              <w:rPr>
                <w:rFonts w:eastAsia="MS Mincho" w:cstheme="minorHAnsi"/>
              </w:rPr>
              <w:t>N=402</w:t>
            </w:r>
          </w:p>
        </w:tc>
        <w:tc>
          <w:tcPr>
            <w:tcW w:w="1168" w:type="pct"/>
          </w:tcPr>
          <w:p w:rsidR="007F30CC" w:rsidRPr="008E5D31" w:rsidRDefault="007F30CC" w:rsidP="006B48C7">
            <w:pPr>
              <w:pStyle w:val="Tablewriting"/>
              <w:rPr>
                <w:rFonts w:eastAsia="MS Mincho" w:cstheme="minorHAnsi"/>
              </w:rPr>
            </w:pPr>
            <w:r>
              <w:rPr>
                <w:rFonts w:eastAsia="MS Mincho" w:cstheme="minorHAnsi"/>
              </w:rPr>
              <w:t>S</w:t>
            </w:r>
            <w:r w:rsidRPr="008E5D31">
              <w:rPr>
                <w:rFonts w:eastAsia="MS Mincho" w:cstheme="minorHAnsi"/>
              </w:rPr>
              <w:t xml:space="preserve">mokers; aged </w:t>
            </w:r>
            <w:r w:rsidRPr="006F489F">
              <w:rPr>
                <w:rFonts w:eastAsia="MS Mincho" w:cstheme="minorHAnsi"/>
              </w:rPr>
              <w:t>≥</w:t>
            </w:r>
            <w:r w:rsidRPr="008E5D31">
              <w:rPr>
                <w:rFonts w:eastAsia="MS Mincho" w:cstheme="minorHAnsi"/>
              </w:rPr>
              <w:t>50</w:t>
            </w:r>
            <w:r>
              <w:rPr>
                <w:rFonts w:eastAsia="MS Mincho" w:cstheme="minorHAnsi"/>
              </w:rPr>
              <w:t xml:space="preserve"> </w:t>
            </w:r>
            <w:r w:rsidRPr="008E5D31">
              <w:rPr>
                <w:rFonts w:eastAsia="MS Mincho" w:cstheme="minorHAnsi"/>
              </w:rPr>
              <w:t>y</w:t>
            </w:r>
            <w:r>
              <w:rPr>
                <w:rFonts w:eastAsia="MS Mincho" w:cstheme="minorHAnsi"/>
              </w:rPr>
              <w:t>ea</w:t>
            </w:r>
            <w:r w:rsidRPr="008E5D31">
              <w:rPr>
                <w:rFonts w:eastAsia="MS Mincho" w:cstheme="minorHAnsi"/>
              </w:rPr>
              <w:t xml:space="preserve">rs,  </w:t>
            </w:r>
            <w:r w:rsidRPr="006F489F">
              <w:rPr>
                <w:rFonts w:eastAsia="MS Mincho" w:cstheme="minorHAnsi"/>
              </w:rPr>
              <w:t>≥</w:t>
            </w:r>
            <w:r w:rsidRPr="008E5D31">
              <w:rPr>
                <w:rFonts w:eastAsia="MS Mincho" w:cstheme="minorHAnsi"/>
              </w:rPr>
              <w:t>10</w:t>
            </w:r>
            <w:r>
              <w:rPr>
                <w:rFonts w:eastAsia="MS Mincho" w:cstheme="minorHAnsi"/>
              </w:rPr>
              <w:t xml:space="preserve"> CPD</w:t>
            </w:r>
          </w:p>
          <w:p w:rsidR="007F30CC" w:rsidRPr="00017AE6" w:rsidRDefault="007F30CC" w:rsidP="006B48C7">
            <w:pPr>
              <w:pStyle w:val="Tablewriting"/>
              <w:rPr>
                <w:rFonts w:eastAsia="MS Mincho" w:cstheme="minorHAnsi"/>
              </w:rPr>
            </w:pPr>
            <w:r w:rsidRPr="008E5D31">
              <w:rPr>
                <w:rFonts w:eastAsia="MS Mincho" w:cstheme="minorHAnsi"/>
              </w:rPr>
              <w:t>59.7% men, av</w:t>
            </w:r>
            <w:r>
              <w:rPr>
                <w:rFonts w:eastAsia="MS Mincho" w:cstheme="minorHAnsi"/>
              </w:rPr>
              <w:t>erage</w:t>
            </w:r>
            <w:r w:rsidRPr="008E5D31">
              <w:rPr>
                <w:rFonts w:eastAsia="MS Mincho" w:cstheme="minorHAnsi"/>
              </w:rPr>
              <w:t xml:space="preserve"> age 56.7 y</w:t>
            </w:r>
            <w:r>
              <w:rPr>
                <w:rFonts w:eastAsia="MS Mincho" w:cstheme="minorHAnsi"/>
              </w:rPr>
              <w:t>ea</w:t>
            </w:r>
            <w:r w:rsidRPr="008E5D31">
              <w:rPr>
                <w:rFonts w:eastAsia="MS Mincho" w:cstheme="minorHAnsi"/>
              </w:rPr>
              <w:t>rs, av</w:t>
            </w:r>
            <w:r>
              <w:rPr>
                <w:rFonts w:eastAsia="MS Mincho" w:cstheme="minorHAnsi"/>
              </w:rPr>
              <w:t>erage CPD</w:t>
            </w:r>
            <w:r w:rsidRPr="008E5D31">
              <w:rPr>
                <w:rFonts w:eastAsia="MS Mincho" w:cstheme="minorHAnsi"/>
              </w:rPr>
              <w:t xml:space="preserve"> 20.5, mean FTND 4.8, av</w:t>
            </w:r>
            <w:r>
              <w:rPr>
                <w:rFonts w:eastAsia="MS Mincho" w:cstheme="minorHAnsi"/>
              </w:rPr>
              <w:t>erage</w:t>
            </w:r>
            <w:r w:rsidRPr="008E5D31">
              <w:rPr>
                <w:rFonts w:eastAsia="MS Mincho" w:cstheme="minorHAnsi"/>
              </w:rPr>
              <w:t xml:space="preserve"> years regular smoking 37.8</w:t>
            </w:r>
            <w:r>
              <w:rPr>
                <w:rFonts w:eastAsia="MS Mincho" w:cstheme="minorHAnsi"/>
              </w:rPr>
              <w:t xml:space="preserve">. </w:t>
            </w:r>
          </w:p>
        </w:tc>
        <w:tc>
          <w:tcPr>
            <w:tcW w:w="1288" w:type="pct"/>
          </w:tcPr>
          <w:p w:rsidR="007F30CC" w:rsidRPr="008E5D31" w:rsidRDefault="007F30CC" w:rsidP="00C324F3">
            <w:pPr>
              <w:pStyle w:val="ListParagraph"/>
              <w:numPr>
                <w:ilvl w:val="0"/>
                <w:numId w:val="199"/>
              </w:numPr>
              <w:rPr>
                <w:rFonts w:eastAsia="MS Mincho"/>
                <w:lang w:eastAsia="en-US"/>
              </w:rPr>
            </w:pPr>
            <w:r w:rsidRPr="008E5D31">
              <w:rPr>
                <w:rFonts w:eastAsia="MS Mincho"/>
                <w:lang w:eastAsia="en-US"/>
              </w:rPr>
              <w:t>Standard treatment: Participants received no further treatment after week 12</w:t>
            </w:r>
          </w:p>
          <w:p w:rsidR="007F30CC" w:rsidRPr="008E5D31" w:rsidRDefault="007F30CC" w:rsidP="00C324F3">
            <w:pPr>
              <w:pStyle w:val="ListParagraph"/>
              <w:numPr>
                <w:ilvl w:val="0"/>
                <w:numId w:val="199"/>
              </w:numPr>
              <w:rPr>
                <w:rFonts w:eastAsia="MS Mincho"/>
                <w:lang w:eastAsia="en-US"/>
              </w:rPr>
            </w:pPr>
            <w:r w:rsidRPr="008E5D31">
              <w:rPr>
                <w:rFonts w:eastAsia="MS Mincho"/>
                <w:lang w:eastAsia="en-US"/>
              </w:rPr>
              <w:t>Extended NRT: Participants were provided with another 40 w</w:t>
            </w:r>
            <w:r>
              <w:rPr>
                <w:rFonts w:eastAsia="MS Mincho"/>
                <w:lang w:eastAsia="en-US"/>
              </w:rPr>
              <w:t>ee</w:t>
            </w:r>
            <w:r w:rsidRPr="008E5D31">
              <w:rPr>
                <w:rFonts w:eastAsia="MS Mincho"/>
                <w:lang w:eastAsia="en-US"/>
              </w:rPr>
              <w:t>ks of nicotine gum from their quit day (a</w:t>
            </w:r>
            <w:r>
              <w:rPr>
                <w:rFonts w:eastAsia="MS Mincho"/>
                <w:lang w:eastAsia="en-US"/>
              </w:rPr>
              <w:t xml:space="preserve"> </w:t>
            </w:r>
            <w:r w:rsidRPr="008E5D31">
              <w:rPr>
                <w:rFonts w:eastAsia="MS Mincho"/>
                <w:lang w:eastAsia="en-US"/>
              </w:rPr>
              <w:t>total of 50 weeks of gum treatment). No CBT past 12 weeks</w:t>
            </w:r>
          </w:p>
          <w:p w:rsidR="007F30CC" w:rsidRPr="008E5D31" w:rsidRDefault="007F30CC" w:rsidP="00C324F3">
            <w:pPr>
              <w:pStyle w:val="ListParagraph"/>
              <w:numPr>
                <w:ilvl w:val="0"/>
                <w:numId w:val="199"/>
              </w:numPr>
              <w:rPr>
                <w:rFonts w:eastAsia="MS Mincho"/>
                <w:lang w:eastAsia="en-US"/>
              </w:rPr>
            </w:pPr>
            <w:r w:rsidRPr="008E5D31">
              <w:rPr>
                <w:rFonts w:eastAsia="MS Mincho"/>
                <w:lang w:eastAsia="en-US"/>
              </w:rPr>
              <w:t>Extended CBT: Participants received 11 additional CBT sessions between weeks 10 and 52. 10 weeks</w:t>
            </w:r>
            <w:r>
              <w:rPr>
                <w:rFonts w:eastAsia="MS Mincho"/>
                <w:lang w:eastAsia="en-US"/>
              </w:rPr>
              <w:t xml:space="preserve"> </w:t>
            </w:r>
            <w:r w:rsidRPr="008E5D31">
              <w:rPr>
                <w:rFonts w:eastAsia="MS Mincho"/>
                <w:lang w:eastAsia="en-US"/>
              </w:rPr>
              <w:t>of NRT</w:t>
            </w:r>
          </w:p>
          <w:p w:rsidR="007F30CC" w:rsidRDefault="007F30CC" w:rsidP="00C324F3">
            <w:pPr>
              <w:pStyle w:val="ListParagraph"/>
              <w:numPr>
                <w:ilvl w:val="0"/>
                <w:numId w:val="199"/>
              </w:numPr>
              <w:rPr>
                <w:rFonts w:eastAsia="MS Mincho"/>
                <w:lang w:eastAsia="en-US"/>
              </w:rPr>
            </w:pPr>
            <w:r w:rsidRPr="008E5D31">
              <w:rPr>
                <w:rFonts w:eastAsia="MS Mincho"/>
                <w:lang w:eastAsia="en-US"/>
              </w:rPr>
              <w:t>Extended NRT &amp; Extended CBT: Participants received an extra 40 w</w:t>
            </w:r>
            <w:r>
              <w:rPr>
                <w:rFonts w:eastAsia="MS Mincho"/>
                <w:lang w:eastAsia="en-US"/>
              </w:rPr>
              <w:t>ee</w:t>
            </w:r>
            <w:r w:rsidRPr="008E5D31">
              <w:rPr>
                <w:rFonts w:eastAsia="MS Mincho"/>
                <w:lang w:eastAsia="en-US"/>
              </w:rPr>
              <w:t>ks of nicotine gum and an additional</w:t>
            </w:r>
            <w:r>
              <w:rPr>
                <w:rFonts w:eastAsia="MS Mincho"/>
                <w:lang w:eastAsia="en-US"/>
              </w:rPr>
              <w:t xml:space="preserve"> </w:t>
            </w:r>
            <w:r w:rsidRPr="008E5D31">
              <w:rPr>
                <w:rFonts w:eastAsia="MS Mincho"/>
                <w:lang w:eastAsia="en-US"/>
              </w:rPr>
              <w:t>11 CBT sessions following the planned quit day (total 50 weeks gum treatment)</w:t>
            </w:r>
          </w:p>
          <w:p w:rsidR="007F30CC" w:rsidRDefault="007F30CC" w:rsidP="006B48C7">
            <w:pPr>
              <w:rPr>
                <w:rFonts w:eastAsia="MS Mincho"/>
                <w:lang w:eastAsia="en-US"/>
              </w:rPr>
            </w:pPr>
          </w:p>
          <w:p w:rsidR="007F30CC" w:rsidRPr="008E5D31" w:rsidRDefault="007F30CC" w:rsidP="006B48C7">
            <w:pPr>
              <w:rPr>
                <w:rFonts w:eastAsia="MS Mincho"/>
                <w:lang w:eastAsia="en-US"/>
              </w:rPr>
            </w:pPr>
            <w:r w:rsidRPr="008E5D31">
              <w:rPr>
                <w:rFonts w:eastAsia="MS Mincho"/>
                <w:u w:val="single"/>
                <w:lang w:eastAsia="en-US"/>
              </w:rPr>
              <w:t>Common component:</w:t>
            </w:r>
            <w:r>
              <w:rPr>
                <w:rFonts w:eastAsia="MS Mincho"/>
                <w:u w:val="single"/>
                <w:lang w:eastAsia="en-US"/>
              </w:rPr>
              <w:t xml:space="preserve"> </w:t>
            </w:r>
            <w:r w:rsidRPr="008E5D31">
              <w:rPr>
                <w:rFonts w:eastAsia="MS Mincho"/>
                <w:lang w:eastAsia="en-US"/>
              </w:rPr>
              <w:t>All participants completed a 12-wk treatment programme that included group counselling, 12 w</w:t>
            </w:r>
            <w:r>
              <w:rPr>
                <w:rFonts w:eastAsia="MS Mincho"/>
                <w:lang w:eastAsia="en-US"/>
              </w:rPr>
              <w:t>ee</w:t>
            </w:r>
            <w:r w:rsidRPr="008E5D31">
              <w:rPr>
                <w:rFonts w:eastAsia="MS Mincho"/>
                <w:lang w:eastAsia="en-US"/>
              </w:rPr>
              <w:t>ks of</w:t>
            </w:r>
            <w:r>
              <w:rPr>
                <w:rFonts w:eastAsia="MS Mincho"/>
                <w:lang w:eastAsia="en-US"/>
              </w:rPr>
              <w:t xml:space="preserve"> </w:t>
            </w:r>
            <w:r w:rsidRPr="008E5D31">
              <w:rPr>
                <w:rFonts w:eastAsia="MS Mincho"/>
                <w:lang w:eastAsia="en-US"/>
              </w:rPr>
              <w:t>bupropion and 10 w</w:t>
            </w:r>
            <w:r>
              <w:rPr>
                <w:rFonts w:eastAsia="MS Mincho"/>
                <w:lang w:eastAsia="en-US"/>
              </w:rPr>
              <w:t>ee</w:t>
            </w:r>
            <w:r w:rsidRPr="008E5D31">
              <w:rPr>
                <w:rFonts w:eastAsia="MS Mincho"/>
                <w:lang w:eastAsia="en-US"/>
              </w:rPr>
              <w:t>ks of nicotine gum (beginning on quit day). Participants were asked to taper their</w:t>
            </w:r>
            <w:r>
              <w:rPr>
                <w:rFonts w:eastAsia="MS Mincho"/>
                <w:lang w:eastAsia="en-US"/>
              </w:rPr>
              <w:t xml:space="preserve"> </w:t>
            </w:r>
            <w:r w:rsidRPr="008E5D31">
              <w:rPr>
                <w:rFonts w:eastAsia="MS Mincho"/>
                <w:lang w:eastAsia="en-US"/>
              </w:rPr>
              <w:t>gum use down completely by week 12</w:t>
            </w:r>
            <w:r>
              <w:rPr>
                <w:rFonts w:eastAsia="MS Mincho"/>
                <w:lang w:eastAsia="en-US"/>
              </w:rPr>
              <w:t xml:space="preserve">. </w:t>
            </w:r>
          </w:p>
        </w:tc>
        <w:tc>
          <w:tcPr>
            <w:tcW w:w="1000" w:type="pct"/>
          </w:tcPr>
          <w:p w:rsidR="007F30CC" w:rsidRPr="007F7CE5" w:rsidRDefault="007F30CC" w:rsidP="006B48C7">
            <w:pPr>
              <w:pStyle w:val="Tablewriting"/>
              <w:rPr>
                <w:rFonts w:eastAsia="MS Mincho" w:cstheme="minorBidi"/>
              </w:rPr>
            </w:pPr>
            <w:r w:rsidRPr="008E5D31">
              <w:rPr>
                <w:rFonts w:eastAsia="MS Mincho" w:cstheme="minorBidi"/>
                <w:u w:val="single"/>
              </w:rPr>
              <w:t>Efficacy</w:t>
            </w:r>
            <w:r w:rsidRPr="0139F213">
              <w:rPr>
                <w:rFonts w:eastAsia="MS Mincho" w:cstheme="minorBidi"/>
                <w:u w:val="single"/>
              </w:rPr>
              <w:t>:</w:t>
            </w:r>
            <w:r>
              <w:rPr>
                <w:rFonts w:eastAsia="MS Mincho" w:cstheme="minorBidi"/>
                <w:u w:val="single"/>
              </w:rPr>
              <w:t xml:space="preserve"> </w:t>
            </w:r>
            <w:r w:rsidRPr="007F7CE5">
              <w:rPr>
                <w:rFonts w:eastAsia="MS Mincho" w:cstheme="minorBidi"/>
              </w:rPr>
              <w:t xml:space="preserve">7-day PPA at 52 weeks post-baseline; biochemically validated (CO </w:t>
            </w:r>
            <w:r w:rsidRPr="004F57C6">
              <w:rPr>
                <w:rFonts w:eastAsia="MS Mincho" w:cstheme="minorBidi"/>
              </w:rPr>
              <w:t>≤</w:t>
            </w:r>
            <w:r w:rsidRPr="007F7CE5">
              <w:rPr>
                <w:rFonts w:eastAsia="MS Mincho" w:cstheme="minorBidi"/>
              </w:rPr>
              <w:t xml:space="preserve"> 10 ppm and anatabine/anabasine </w:t>
            </w:r>
            <w:r w:rsidRPr="004F57C6">
              <w:rPr>
                <w:rFonts w:eastAsia="MS Mincho" w:cstheme="minorBidi"/>
              </w:rPr>
              <w:t>≤</w:t>
            </w:r>
            <w:r w:rsidRPr="007F7CE5">
              <w:rPr>
                <w:rFonts w:eastAsia="MS Mincho" w:cstheme="minorBidi"/>
              </w:rPr>
              <w:t>2 mg/ml)</w:t>
            </w:r>
            <w:r>
              <w:rPr>
                <w:rFonts w:eastAsia="MS Mincho" w:cstheme="minorBidi"/>
              </w:rPr>
              <w:t>.</w:t>
            </w:r>
          </w:p>
          <w:p w:rsidR="007F30CC" w:rsidRPr="007F7CE5" w:rsidRDefault="007F30CC" w:rsidP="006B48C7">
            <w:pPr>
              <w:pStyle w:val="Tablewriting"/>
              <w:rPr>
                <w:rFonts w:eastAsia="MS Mincho" w:cstheme="minorBidi"/>
              </w:rPr>
            </w:pPr>
            <w:r w:rsidRPr="007F7CE5">
              <w:rPr>
                <w:rFonts w:eastAsia="MS Mincho" w:cstheme="minorBidi"/>
              </w:rPr>
              <w:t>Other abstinence measures: 7-day PPA at 12, 24, 64, 104 weeks post-baseline; biochemically validated</w:t>
            </w:r>
            <w:r>
              <w:rPr>
                <w:rFonts w:eastAsia="MS Mincho" w:cstheme="minorBidi"/>
              </w:rPr>
              <w:t xml:space="preserve"> </w:t>
            </w:r>
            <w:r w:rsidRPr="007F7CE5">
              <w:rPr>
                <w:rFonts w:eastAsia="MS Mincho" w:cstheme="minorBidi"/>
              </w:rPr>
              <w:t xml:space="preserve">(CO </w:t>
            </w:r>
            <w:r w:rsidRPr="004F57C6">
              <w:rPr>
                <w:rFonts w:eastAsia="MS Mincho" w:cstheme="minorBidi"/>
              </w:rPr>
              <w:t>≤</w:t>
            </w:r>
            <w:r w:rsidRPr="007F7CE5">
              <w:rPr>
                <w:rFonts w:eastAsia="MS Mincho" w:cstheme="minorBidi"/>
              </w:rPr>
              <w:t xml:space="preserve"> 10 ppm and anatabine/anabasine </w:t>
            </w:r>
            <w:r w:rsidRPr="004F57C6">
              <w:rPr>
                <w:rFonts w:eastAsia="MS Mincho" w:cstheme="minorBidi"/>
              </w:rPr>
              <w:t>≤</w:t>
            </w:r>
            <w:r w:rsidRPr="007F7CE5">
              <w:rPr>
                <w:rFonts w:eastAsia="MS Mincho" w:cstheme="minorBidi"/>
              </w:rPr>
              <w:t>2 mg/ml)</w:t>
            </w:r>
          </w:p>
          <w:p w:rsidR="007F30CC" w:rsidRPr="004272CD" w:rsidRDefault="007F30CC" w:rsidP="006B48C7">
            <w:pPr>
              <w:pStyle w:val="Tablewriting"/>
              <w:rPr>
                <w:rFonts w:eastAsia="MS Mincho" w:cstheme="minorBidi"/>
                <w:u w:val="single"/>
              </w:rPr>
            </w:pPr>
          </w:p>
          <w:p w:rsidR="007F30CC" w:rsidRPr="007F7CE5" w:rsidRDefault="007F30CC" w:rsidP="006B48C7">
            <w:pPr>
              <w:pStyle w:val="Tablewriting"/>
              <w:rPr>
                <w:rFonts w:eastAsia="MS Mincho" w:cstheme="minorBidi"/>
              </w:rPr>
            </w:pPr>
            <w:r w:rsidRPr="008E5D31">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7F7CE5">
              <w:rPr>
                <w:rFonts w:eastAsia="MS Mincho" w:cstheme="minorBidi"/>
              </w:rPr>
              <w:t>Adverse events</w:t>
            </w:r>
            <w:r>
              <w:rPr>
                <w:rFonts w:eastAsia="MS Mincho" w:cstheme="minorBidi"/>
              </w:rPr>
              <w:t xml:space="preserve"> </w:t>
            </w:r>
            <w:r w:rsidRPr="007F7CE5">
              <w:rPr>
                <w:rFonts w:eastAsia="MS Mincho" w:cstheme="minorBidi"/>
              </w:rPr>
              <w:t>measured to week 104 (treatment was to week 50)</w:t>
            </w:r>
            <w:r>
              <w:rPr>
                <w:rFonts w:eastAsia="MS Mincho" w:cstheme="minorBidi"/>
              </w:rPr>
              <w:t>.</w:t>
            </w:r>
          </w:p>
          <w:p w:rsidR="007F30CC" w:rsidRPr="0139F213" w:rsidRDefault="007F30CC" w:rsidP="006B48C7">
            <w:pPr>
              <w:pStyle w:val="Tablewriting"/>
              <w:rPr>
                <w:rFonts w:eastAsia="MS Mincho" w:cstheme="minorBidi"/>
              </w:rPr>
            </w:pPr>
          </w:p>
        </w:tc>
      </w:tr>
      <w:tr w:rsidR="007F30CC" w:rsidRPr="00017AE6" w:rsidTr="00486A67">
        <w:trPr>
          <w:trHeight w:val="99"/>
        </w:trPr>
        <w:tc>
          <w:tcPr>
            <w:tcW w:w="5000" w:type="pct"/>
            <w:gridSpan w:val="7"/>
            <w:shd w:val="clear" w:color="auto" w:fill="D9D9D9" w:themeFill="background1" w:themeFillShade="D9"/>
          </w:tcPr>
          <w:p w:rsidR="007F30CC" w:rsidRPr="0139F213" w:rsidRDefault="007F30CC" w:rsidP="006B48C7">
            <w:pPr>
              <w:pStyle w:val="Tablewriting"/>
              <w:rPr>
                <w:rFonts w:eastAsia="MS Mincho" w:cstheme="minorBidi"/>
              </w:rPr>
            </w:pPr>
            <w:r w:rsidRPr="00626623">
              <w:rPr>
                <w:b/>
                <w:bCs/>
              </w:rPr>
              <w:t>Duration of</w:t>
            </w:r>
            <w:r>
              <w:rPr>
                <w:b/>
                <w:bCs/>
              </w:rPr>
              <w:t xml:space="preserve"> combination</w:t>
            </w:r>
            <w:r w:rsidRPr="00626623">
              <w:rPr>
                <w:b/>
                <w:bCs/>
              </w:rPr>
              <w:t xml:space="preserve"> therapy</w:t>
            </w:r>
          </w:p>
        </w:tc>
      </w:tr>
      <w:tr w:rsidR="007F30CC" w:rsidRPr="00017AE6" w:rsidTr="00486A67">
        <w:trPr>
          <w:trHeight w:val="99"/>
        </w:trPr>
        <w:tc>
          <w:tcPr>
            <w:tcW w:w="541" w:type="pct"/>
          </w:tcPr>
          <w:p w:rsidR="007F30CC" w:rsidRPr="007510D3" w:rsidRDefault="007F30CC" w:rsidP="006B48C7">
            <w:pPr>
              <w:pStyle w:val="Tablewriting"/>
              <w:rPr>
                <w:rFonts w:eastAsia="MS Mincho"/>
              </w:rPr>
            </w:pPr>
            <w:r w:rsidRPr="009526CC">
              <w:rPr>
                <w:rFonts w:eastAsia="MS Mincho"/>
              </w:rPr>
              <w:t xml:space="preserve">Piper </w:t>
            </w:r>
            <w:r>
              <w:rPr>
                <w:rFonts w:eastAsia="MS Mincho"/>
              </w:rPr>
              <w:t>(</w:t>
            </w:r>
            <w:r w:rsidRPr="009526CC">
              <w:rPr>
                <w:rFonts w:eastAsia="MS Mincho"/>
              </w:rPr>
              <w:t>2016</w:t>
            </w:r>
            <w:r>
              <w:rPr>
                <w:rFonts w:eastAsia="MS Mincho"/>
              </w:rPr>
              <w:t>)</w:t>
            </w:r>
          </w:p>
        </w:tc>
        <w:tc>
          <w:tcPr>
            <w:tcW w:w="235" w:type="pct"/>
          </w:tcPr>
          <w:p w:rsidR="007F30CC" w:rsidRPr="00017AE6" w:rsidRDefault="007F30CC" w:rsidP="006B48C7">
            <w:pPr>
              <w:pStyle w:val="Tablewriting"/>
              <w:rPr>
                <w:rFonts w:eastAsia="MS Mincho" w:cstheme="minorHAnsi"/>
              </w:rPr>
            </w:pPr>
            <w:r>
              <w:rPr>
                <w:rFonts w:eastAsia="MS Mincho" w:cstheme="minorHAnsi"/>
              </w:rPr>
              <w:t>RCT</w:t>
            </w:r>
          </w:p>
        </w:tc>
        <w:tc>
          <w:tcPr>
            <w:tcW w:w="418" w:type="pct"/>
          </w:tcPr>
          <w:p w:rsidR="007F30CC" w:rsidRPr="00017AE6" w:rsidRDefault="007F30CC" w:rsidP="006B48C7">
            <w:pPr>
              <w:pStyle w:val="Tablewriting"/>
              <w:rPr>
                <w:rFonts w:eastAsia="MS Mincho" w:cstheme="minorHAnsi"/>
              </w:rPr>
            </w:pPr>
            <w:r>
              <w:rPr>
                <w:rFonts w:eastAsia="MS Mincho" w:cstheme="minorHAnsi"/>
              </w:rPr>
              <w:t>USA</w:t>
            </w:r>
          </w:p>
        </w:tc>
        <w:tc>
          <w:tcPr>
            <w:tcW w:w="350" w:type="pct"/>
          </w:tcPr>
          <w:p w:rsidR="007F30CC" w:rsidRPr="00017AE6" w:rsidRDefault="007F30CC" w:rsidP="006B48C7">
            <w:pPr>
              <w:pStyle w:val="Tablewriting"/>
              <w:rPr>
                <w:rFonts w:eastAsia="MS Mincho" w:cstheme="minorHAnsi"/>
              </w:rPr>
            </w:pPr>
            <w:r>
              <w:rPr>
                <w:rFonts w:eastAsia="MS Mincho" w:cstheme="minorHAnsi"/>
              </w:rPr>
              <w:t>N=637</w:t>
            </w:r>
          </w:p>
        </w:tc>
        <w:tc>
          <w:tcPr>
            <w:tcW w:w="1168" w:type="pct"/>
          </w:tcPr>
          <w:p w:rsidR="007F30CC" w:rsidRPr="00300098" w:rsidRDefault="007F30CC" w:rsidP="006B48C7">
            <w:pPr>
              <w:pStyle w:val="Tablewriting"/>
              <w:rPr>
                <w:rFonts w:eastAsia="MS Mincho" w:cstheme="minorHAnsi"/>
              </w:rPr>
            </w:pPr>
            <w:r>
              <w:rPr>
                <w:rFonts w:eastAsia="MS Mincho" w:cstheme="minorHAnsi"/>
              </w:rPr>
              <w:t>S</w:t>
            </w:r>
            <w:r w:rsidRPr="00300098">
              <w:rPr>
                <w:rFonts w:eastAsia="MS Mincho" w:cstheme="minorHAnsi"/>
              </w:rPr>
              <w:t xml:space="preserve">mokers aged </w:t>
            </w:r>
            <w:r w:rsidRPr="006F489F">
              <w:rPr>
                <w:rFonts w:eastAsia="MS Mincho" w:cstheme="minorHAnsi"/>
              </w:rPr>
              <w:t>≥</w:t>
            </w:r>
            <w:r w:rsidRPr="00300098">
              <w:rPr>
                <w:rFonts w:eastAsia="MS Mincho" w:cstheme="minorHAnsi"/>
              </w:rPr>
              <w:t xml:space="preserve">18 years, </w:t>
            </w:r>
            <w:r w:rsidRPr="006F489F">
              <w:rPr>
                <w:rFonts w:eastAsia="MS Mincho" w:cstheme="minorHAnsi"/>
              </w:rPr>
              <w:t>≥</w:t>
            </w:r>
            <w:r w:rsidRPr="00300098">
              <w:rPr>
                <w:rFonts w:eastAsia="MS Mincho" w:cstheme="minorHAnsi"/>
              </w:rPr>
              <w:t xml:space="preserve">5 </w:t>
            </w:r>
            <w:r>
              <w:rPr>
                <w:rFonts w:eastAsia="MS Mincho" w:cstheme="minorHAnsi"/>
              </w:rPr>
              <w:t>CPD</w:t>
            </w:r>
            <w:r w:rsidRPr="00300098">
              <w:rPr>
                <w:rFonts w:eastAsia="MS Mincho" w:cstheme="minorHAnsi"/>
              </w:rPr>
              <w:t xml:space="preserve"> for 6 m, motivated to quit</w:t>
            </w:r>
            <w:r>
              <w:rPr>
                <w:rFonts w:eastAsia="MS Mincho" w:cstheme="minorHAnsi"/>
              </w:rPr>
              <w:t>.</w:t>
            </w:r>
          </w:p>
          <w:p w:rsidR="007F30CC" w:rsidRPr="00017AE6" w:rsidRDefault="007F30CC" w:rsidP="006B48C7">
            <w:pPr>
              <w:pStyle w:val="Tablewriting"/>
              <w:rPr>
                <w:rFonts w:eastAsia="MS Mincho" w:cstheme="minorHAnsi"/>
              </w:rPr>
            </w:pPr>
            <w:r w:rsidRPr="00300098">
              <w:rPr>
                <w:rFonts w:eastAsia="MS Mincho" w:cstheme="minorHAnsi"/>
              </w:rPr>
              <w:lastRenderedPageBreak/>
              <w:t>45.4% men, av</w:t>
            </w:r>
            <w:r>
              <w:rPr>
                <w:rFonts w:eastAsia="MS Mincho" w:cstheme="minorHAnsi"/>
              </w:rPr>
              <w:t>erage</w:t>
            </w:r>
            <w:r w:rsidRPr="00300098">
              <w:rPr>
                <w:rFonts w:eastAsia="MS Mincho" w:cstheme="minorHAnsi"/>
              </w:rPr>
              <w:t xml:space="preserve"> age 45.8 y</w:t>
            </w:r>
            <w:r>
              <w:rPr>
                <w:rFonts w:eastAsia="MS Mincho" w:cstheme="minorHAnsi"/>
              </w:rPr>
              <w:t>ea</w:t>
            </w:r>
            <w:r w:rsidRPr="00300098">
              <w:rPr>
                <w:rFonts w:eastAsia="MS Mincho" w:cstheme="minorHAnsi"/>
              </w:rPr>
              <w:t>rs, av</w:t>
            </w:r>
            <w:r>
              <w:rPr>
                <w:rFonts w:eastAsia="MS Mincho" w:cstheme="minorHAnsi"/>
              </w:rPr>
              <w:t>erage CPD</w:t>
            </w:r>
            <w:r w:rsidRPr="00300098">
              <w:rPr>
                <w:rFonts w:eastAsia="MS Mincho" w:cstheme="minorHAnsi"/>
              </w:rPr>
              <w:t xml:space="preserve"> 17.7, mean FTND 4.8, baseline CO 20.3ppm, HSI 3.1</w:t>
            </w:r>
            <w:r>
              <w:rPr>
                <w:rFonts w:eastAsia="MS Mincho" w:cstheme="minorHAnsi"/>
              </w:rPr>
              <w:t xml:space="preserve">. </w:t>
            </w:r>
          </w:p>
        </w:tc>
        <w:tc>
          <w:tcPr>
            <w:tcW w:w="1288" w:type="pct"/>
          </w:tcPr>
          <w:p w:rsidR="007F30CC" w:rsidRPr="00300098" w:rsidRDefault="007F30CC" w:rsidP="00C324F3">
            <w:pPr>
              <w:pStyle w:val="ListParagraph"/>
              <w:numPr>
                <w:ilvl w:val="0"/>
                <w:numId w:val="200"/>
              </w:numPr>
              <w:rPr>
                <w:rFonts w:eastAsia="MS Mincho"/>
                <w:lang w:eastAsia="en-US"/>
              </w:rPr>
            </w:pPr>
            <w:r w:rsidRPr="00300098">
              <w:rPr>
                <w:rFonts w:eastAsia="MS Mincho"/>
                <w:lang w:eastAsia="en-US"/>
              </w:rPr>
              <w:lastRenderedPageBreak/>
              <w:t>Nicotine patches for 3 w</w:t>
            </w:r>
            <w:r>
              <w:rPr>
                <w:rFonts w:eastAsia="MS Mincho"/>
                <w:lang w:eastAsia="en-US"/>
              </w:rPr>
              <w:t>ee</w:t>
            </w:r>
            <w:r w:rsidRPr="00300098">
              <w:rPr>
                <w:rFonts w:eastAsia="MS Mincho"/>
                <w:lang w:eastAsia="en-US"/>
              </w:rPr>
              <w:t>ks prior to quit date (patch preloading) vs no preloading patches</w:t>
            </w:r>
          </w:p>
          <w:p w:rsidR="007F30CC" w:rsidRPr="00300098" w:rsidRDefault="007F30CC" w:rsidP="00C324F3">
            <w:pPr>
              <w:pStyle w:val="ListParagraph"/>
              <w:numPr>
                <w:ilvl w:val="0"/>
                <w:numId w:val="200"/>
              </w:numPr>
              <w:rPr>
                <w:rFonts w:eastAsia="MS Mincho"/>
                <w:lang w:eastAsia="en-US"/>
              </w:rPr>
            </w:pPr>
            <w:r w:rsidRPr="00300098">
              <w:rPr>
                <w:rFonts w:eastAsia="MS Mincho"/>
                <w:lang w:eastAsia="en-US"/>
              </w:rPr>
              <w:lastRenderedPageBreak/>
              <w:t>Nicotine gum for 3 w</w:t>
            </w:r>
            <w:r>
              <w:rPr>
                <w:rFonts w:eastAsia="MS Mincho"/>
                <w:lang w:eastAsia="en-US"/>
              </w:rPr>
              <w:t>ee</w:t>
            </w:r>
            <w:r w:rsidRPr="00300098">
              <w:rPr>
                <w:rFonts w:eastAsia="MS Mincho"/>
                <w:lang w:eastAsia="en-US"/>
              </w:rPr>
              <w:t>ks prior to quit date (gum preloading) vs no preloading gum</w:t>
            </w:r>
          </w:p>
          <w:p w:rsidR="007F30CC" w:rsidRPr="00300098" w:rsidRDefault="007F30CC" w:rsidP="00C324F3">
            <w:pPr>
              <w:pStyle w:val="ListParagraph"/>
              <w:numPr>
                <w:ilvl w:val="0"/>
                <w:numId w:val="200"/>
              </w:numPr>
              <w:rPr>
                <w:rFonts w:eastAsia="MS Mincho"/>
                <w:lang w:eastAsia="en-US"/>
              </w:rPr>
            </w:pPr>
            <w:r w:rsidRPr="00300098">
              <w:rPr>
                <w:rFonts w:eastAsia="MS Mincho"/>
                <w:lang w:eastAsia="en-US"/>
              </w:rPr>
              <w:t>Preparation counselling vs no preparation counselling</w:t>
            </w:r>
          </w:p>
          <w:p w:rsidR="007F30CC" w:rsidRPr="00300098" w:rsidRDefault="007F30CC" w:rsidP="00C324F3">
            <w:pPr>
              <w:pStyle w:val="ListParagraph"/>
              <w:numPr>
                <w:ilvl w:val="0"/>
                <w:numId w:val="200"/>
              </w:numPr>
              <w:rPr>
                <w:rFonts w:eastAsia="MS Mincho"/>
                <w:lang w:eastAsia="en-US"/>
              </w:rPr>
            </w:pPr>
            <w:r w:rsidRPr="00300098">
              <w:rPr>
                <w:rFonts w:eastAsia="MS Mincho"/>
                <w:lang w:eastAsia="en-US"/>
              </w:rPr>
              <w:t>Intensive cessation in-person counselling vs minimal in-person counselling</w:t>
            </w:r>
          </w:p>
          <w:p w:rsidR="007F30CC" w:rsidRPr="00300098" w:rsidRDefault="007F30CC" w:rsidP="00C324F3">
            <w:pPr>
              <w:pStyle w:val="ListParagraph"/>
              <w:numPr>
                <w:ilvl w:val="0"/>
                <w:numId w:val="200"/>
              </w:numPr>
              <w:rPr>
                <w:rFonts w:eastAsia="MS Mincho"/>
                <w:lang w:eastAsia="en-US"/>
              </w:rPr>
            </w:pPr>
            <w:r w:rsidRPr="00300098">
              <w:rPr>
                <w:rFonts w:eastAsia="MS Mincho"/>
                <w:lang w:eastAsia="en-US"/>
              </w:rPr>
              <w:t>Intensive cessation telephone counselling vs minimal telephone counselling</w:t>
            </w:r>
          </w:p>
          <w:p w:rsidR="007F30CC" w:rsidRPr="00300098" w:rsidRDefault="007F30CC" w:rsidP="00C324F3">
            <w:pPr>
              <w:pStyle w:val="ListParagraph"/>
              <w:numPr>
                <w:ilvl w:val="0"/>
                <w:numId w:val="200"/>
              </w:numPr>
              <w:rPr>
                <w:rFonts w:eastAsia="MS Mincho"/>
                <w:lang w:eastAsia="en-US"/>
              </w:rPr>
            </w:pPr>
            <w:r w:rsidRPr="00300098">
              <w:rPr>
                <w:rFonts w:eastAsia="MS Mincho"/>
                <w:lang w:eastAsia="en-US"/>
              </w:rPr>
              <w:t>16w nicotine patch and gum from quit date versus 8 weeks nicotine patch and gum from quit date</w:t>
            </w:r>
          </w:p>
        </w:tc>
        <w:tc>
          <w:tcPr>
            <w:tcW w:w="1000" w:type="pct"/>
          </w:tcPr>
          <w:p w:rsidR="007F30CC" w:rsidRPr="00300098" w:rsidRDefault="007F30CC" w:rsidP="006B48C7">
            <w:pPr>
              <w:pStyle w:val="Tablewriting"/>
              <w:rPr>
                <w:rFonts w:eastAsia="MS Mincho" w:cstheme="minorBidi"/>
              </w:rPr>
            </w:pPr>
            <w:r w:rsidRPr="008E5D31">
              <w:rPr>
                <w:rFonts w:eastAsia="MS Mincho" w:cstheme="minorBidi"/>
                <w:u w:val="single"/>
              </w:rPr>
              <w:lastRenderedPageBreak/>
              <w:t>Efficacy</w:t>
            </w:r>
            <w:r w:rsidRPr="0139F213">
              <w:rPr>
                <w:rFonts w:eastAsia="MS Mincho" w:cstheme="minorBidi"/>
                <w:u w:val="single"/>
              </w:rPr>
              <w:t>:</w:t>
            </w:r>
            <w:r>
              <w:rPr>
                <w:rFonts w:eastAsia="MS Mincho" w:cstheme="minorBidi"/>
                <w:u w:val="single"/>
              </w:rPr>
              <w:t xml:space="preserve"> </w:t>
            </w:r>
            <w:r w:rsidRPr="00300098">
              <w:rPr>
                <w:rFonts w:eastAsia="MS Mincho" w:cstheme="minorBidi"/>
              </w:rPr>
              <w:t>Self-reported 7-day PPA at 6 m</w:t>
            </w:r>
            <w:r>
              <w:rPr>
                <w:rFonts w:eastAsia="MS Mincho" w:cstheme="minorBidi"/>
              </w:rPr>
              <w:t>onths</w:t>
            </w:r>
            <w:r w:rsidRPr="00300098">
              <w:rPr>
                <w:rFonts w:eastAsia="MS Mincho" w:cstheme="minorBidi"/>
              </w:rPr>
              <w:t xml:space="preserve"> post-quit date, Self-</w:t>
            </w:r>
            <w:r w:rsidRPr="00300098">
              <w:rPr>
                <w:rFonts w:eastAsia="MS Mincho" w:cstheme="minorBidi"/>
              </w:rPr>
              <w:lastRenderedPageBreak/>
              <w:t>reported 7-day PPA at 16 w</w:t>
            </w:r>
            <w:r>
              <w:rPr>
                <w:rFonts w:eastAsia="MS Mincho" w:cstheme="minorBidi"/>
              </w:rPr>
              <w:t>ee</w:t>
            </w:r>
            <w:r w:rsidRPr="00300098">
              <w:rPr>
                <w:rFonts w:eastAsia="MS Mincho" w:cstheme="minorBidi"/>
              </w:rPr>
              <w:t>ks post-quit date</w:t>
            </w:r>
            <w:r>
              <w:rPr>
                <w:rFonts w:eastAsia="MS Mincho" w:cstheme="minorBidi"/>
              </w:rPr>
              <w:t>.</w:t>
            </w:r>
          </w:p>
          <w:p w:rsidR="007F30CC" w:rsidRPr="00300098" w:rsidRDefault="007F30CC" w:rsidP="006B48C7">
            <w:pPr>
              <w:pStyle w:val="Tablewriting"/>
              <w:rPr>
                <w:rFonts w:eastAsia="MS Mincho" w:cstheme="minorBidi"/>
              </w:rPr>
            </w:pPr>
            <w:r w:rsidRPr="00300098">
              <w:rPr>
                <w:rFonts w:eastAsia="MS Mincho" w:cstheme="minorBidi"/>
              </w:rPr>
              <w:t>Validation: none</w:t>
            </w:r>
          </w:p>
          <w:p w:rsidR="007F30CC" w:rsidRDefault="007F30CC" w:rsidP="006B48C7">
            <w:pPr>
              <w:pStyle w:val="Tablewriting"/>
              <w:rPr>
                <w:rFonts w:eastAsia="MS Mincho" w:cstheme="minorBidi"/>
                <w:u w:val="single"/>
              </w:rPr>
            </w:pPr>
          </w:p>
          <w:p w:rsidR="007F30CC" w:rsidRPr="00300098" w:rsidRDefault="007F30CC" w:rsidP="006B48C7">
            <w:pPr>
              <w:pStyle w:val="Tablewriting"/>
              <w:rPr>
                <w:rFonts w:eastAsia="MS Mincho" w:cstheme="minorBidi"/>
              </w:rPr>
            </w:pPr>
            <w:r w:rsidRPr="008E5D31">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300098">
              <w:rPr>
                <w:rFonts w:eastAsia="MS Mincho" w:cstheme="minorBidi"/>
              </w:rPr>
              <w:t>Adverse events</w:t>
            </w:r>
            <w:r>
              <w:rPr>
                <w:rFonts w:eastAsia="MS Mincho" w:cstheme="minorBidi"/>
              </w:rPr>
              <w:t xml:space="preserve"> </w:t>
            </w:r>
            <w:r w:rsidRPr="00300098">
              <w:rPr>
                <w:rFonts w:eastAsia="MS Mincho" w:cstheme="minorBidi"/>
              </w:rPr>
              <w:t>measured in visits at w</w:t>
            </w:r>
            <w:r>
              <w:rPr>
                <w:rFonts w:eastAsia="MS Mincho" w:cstheme="minorBidi"/>
              </w:rPr>
              <w:t>ee</w:t>
            </w:r>
            <w:r w:rsidRPr="00300098">
              <w:rPr>
                <w:rFonts w:eastAsia="MS Mincho" w:cstheme="minorBidi"/>
              </w:rPr>
              <w:t>ks -1 and 4, and in calls at w</w:t>
            </w:r>
            <w:r>
              <w:rPr>
                <w:rFonts w:eastAsia="MS Mincho" w:cstheme="minorBidi"/>
              </w:rPr>
              <w:t>ee</w:t>
            </w:r>
            <w:r w:rsidRPr="00300098">
              <w:rPr>
                <w:rFonts w:eastAsia="MS Mincho" w:cstheme="minorBidi"/>
              </w:rPr>
              <w:t>ks 8, 16, and 26</w:t>
            </w:r>
            <w:r>
              <w:rPr>
                <w:rFonts w:eastAsia="MS Mincho" w:cstheme="minorBidi"/>
              </w:rPr>
              <w:t xml:space="preserve">. </w:t>
            </w:r>
          </w:p>
          <w:p w:rsidR="007F30CC" w:rsidRPr="0139F213" w:rsidRDefault="007F30CC" w:rsidP="006B48C7">
            <w:pPr>
              <w:pStyle w:val="Tablewriting"/>
              <w:rPr>
                <w:rFonts w:eastAsia="MS Mincho" w:cstheme="minorBidi"/>
              </w:rPr>
            </w:pPr>
          </w:p>
        </w:tc>
      </w:tr>
      <w:tr w:rsidR="007F30CC" w:rsidRPr="00017AE6" w:rsidTr="00486A67">
        <w:trPr>
          <w:trHeight w:val="99"/>
        </w:trPr>
        <w:tc>
          <w:tcPr>
            <w:tcW w:w="541" w:type="pct"/>
          </w:tcPr>
          <w:p w:rsidR="007F30CC" w:rsidRPr="009526CC" w:rsidRDefault="007F30CC" w:rsidP="006B48C7">
            <w:pPr>
              <w:pStyle w:val="Tablewriting"/>
              <w:rPr>
                <w:rFonts w:eastAsia="MS Mincho"/>
              </w:rPr>
            </w:pPr>
            <w:r w:rsidRPr="009526CC">
              <w:rPr>
                <w:rFonts w:eastAsia="MS Mincho"/>
              </w:rPr>
              <w:lastRenderedPageBreak/>
              <w:t xml:space="preserve">Smith </w:t>
            </w:r>
            <w:r>
              <w:rPr>
                <w:rFonts w:eastAsia="MS Mincho"/>
              </w:rPr>
              <w:t>(</w:t>
            </w:r>
            <w:r w:rsidRPr="009526CC">
              <w:rPr>
                <w:rFonts w:eastAsia="MS Mincho"/>
              </w:rPr>
              <w:t>2013</w:t>
            </w:r>
            <w:r>
              <w:rPr>
                <w:rFonts w:eastAsia="MS Mincho"/>
              </w:rPr>
              <w:t>)</w:t>
            </w:r>
          </w:p>
        </w:tc>
        <w:tc>
          <w:tcPr>
            <w:tcW w:w="235" w:type="pct"/>
          </w:tcPr>
          <w:p w:rsidR="007F30CC" w:rsidRPr="00017AE6" w:rsidRDefault="007F30CC" w:rsidP="006B48C7">
            <w:pPr>
              <w:pStyle w:val="Tablewriting"/>
              <w:rPr>
                <w:rFonts w:eastAsia="MS Mincho" w:cstheme="minorHAnsi"/>
              </w:rPr>
            </w:pPr>
            <w:r>
              <w:rPr>
                <w:rFonts w:eastAsia="MS Mincho" w:cstheme="minorHAnsi"/>
              </w:rPr>
              <w:t>RCT</w:t>
            </w:r>
          </w:p>
        </w:tc>
        <w:tc>
          <w:tcPr>
            <w:tcW w:w="418" w:type="pct"/>
          </w:tcPr>
          <w:p w:rsidR="007F30CC" w:rsidRPr="00017AE6" w:rsidRDefault="007F30CC" w:rsidP="006B48C7">
            <w:pPr>
              <w:pStyle w:val="Tablewriting"/>
              <w:rPr>
                <w:rFonts w:eastAsia="MS Mincho" w:cstheme="minorHAnsi"/>
              </w:rPr>
            </w:pPr>
            <w:r>
              <w:rPr>
                <w:rFonts w:eastAsia="MS Mincho" w:cstheme="minorHAnsi"/>
              </w:rPr>
              <w:t>USA</w:t>
            </w:r>
          </w:p>
        </w:tc>
        <w:tc>
          <w:tcPr>
            <w:tcW w:w="350" w:type="pct"/>
          </w:tcPr>
          <w:p w:rsidR="007F30CC" w:rsidRPr="00017AE6" w:rsidRDefault="007F30CC" w:rsidP="006B48C7">
            <w:pPr>
              <w:pStyle w:val="Tablewriting"/>
              <w:rPr>
                <w:rFonts w:eastAsia="MS Mincho" w:cstheme="minorHAnsi"/>
              </w:rPr>
            </w:pPr>
            <w:r w:rsidRPr="003A1845">
              <w:rPr>
                <w:rFonts w:eastAsia="MS Mincho" w:cstheme="minorHAnsi"/>
              </w:rPr>
              <w:t>N=</w:t>
            </w:r>
            <w:r>
              <w:rPr>
                <w:rFonts w:eastAsia="MS Mincho" w:cstheme="minorHAnsi"/>
              </w:rPr>
              <w:t>987</w:t>
            </w:r>
          </w:p>
        </w:tc>
        <w:tc>
          <w:tcPr>
            <w:tcW w:w="1168" w:type="pct"/>
          </w:tcPr>
          <w:p w:rsidR="007F30CC" w:rsidRPr="00852606" w:rsidRDefault="007F30CC" w:rsidP="006B48C7">
            <w:pPr>
              <w:pStyle w:val="Tablewriting"/>
              <w:rPr>
                <w:rFonts w:eastAsia="MS Mincho" w:cstheme="minorHAnsi"/>
              </w:rPr>
            </w:pPr>
            <w:r>
              <w:rPr>
                <w:rFonts w:eastAsia="MS Mincho" w:cstheme="minorHAnsi"/>
              </w:rPr>
              <w:t>S</w:t>
            </w:r>
            <w:r w:rsidRPr="00852606">
              <w:rPr>
                <w:rFonts w:eastAsia="MS Mincho" w:cstheme="minorHAnsi"/>
              </w:rPr>
              <w:t>mokers</w:t>
            </w:r>
            <w:r>
              <w:rPr>
                <w:rFonts w:eastAsia="MS Mincho" w:cstheme="minorHAnsi"/>
              </w:rPr>
              <w:t>,</w:t>
            </w:r>
            <w:r w:rsidRPr="00852606">
              <w:rPr>
                <w:rFonts w:eastAsia="MS Mincho" w:cstheme="minorHAnsi"/>
              </w:rPr>
              <w:t xml:space="preserve"> aged </w:t>
            </w:r>
            <w:r w:rsidRPr="00E632A9">
              <w:rPr>
                <w:rFonts w:eastAsia="MS Mincho" w:cstheme="minorHAnsi"/>
              </w:rPr>
              <w:t>≥</w:t>
            </w:r>
            <w:r w:rsidRPr="00852606">
              <w:rPr>
                <w:rFonts w:eastAsia="MS Mincho" w:cstheme="minorHAnsi"/>
              </w:rPr>
              <w:t xml:space="preserve">18 years, </w:t>
            </w:r>
            <w:r w:rsidRPr="00E632A9">
              <w:rPr>
                <w:rFonts w:eastAsia="MS Mincho" w:cstheme="minorHAnsi"/>
              </w:rPr>
              <w:t>≥</w:t>
            </w:r>
            <w:r w:rsidRPr="00852606">
              <w:rPr>
                <w:rFonts w:eastAsia="MS Mincho" w:cstheme="minorHAnsi"/>
              </w:rPr>
              <w:t xml:space="preserve">10 </w:t>
            </w:r>
            <w:r>
              <w:rPr>
                <w:rFonts w:eastAsia="MS Mincho" w:cstheme="minorHAnsi"/>
              </w:rPr>
              <w:t>CPD</w:t>
            </w:r>
            <w:r w:rsidRPr="00852606">
              <w:rPr>
                <w:rFonts w:eastAsia="MS Mincho" w:cstheme="minorHAnsi"/>
              </w:rPr>
              <w:t>, willing to quit in next 30 days</w:t>
            </w:r>
          </w:p>
          <w:p w:rsidR="007F30CC" w:rsidRPr="00017AE6" w:rsidRDefault="007F30CC" w:rsidP="006B48C7">
            <w:pPr>
              <w:pStyle w:val="Tablewriting"/>
              <w:rPr>
                <w:rFonts w:eastAsia="MS Mincho" w:cstheme="minorHAnsi"/>
              </w:rPr>
            </w:pPr>
            <w:r w:rsidRPr="00852606">
              <w:rPr>
                <w:rFonts w:eastAsia="MS Mincho" w:cstheme="minorHAnsi"/>
              </w:rPr>
              <w:t>42.4% men, av</w:t>
            </w:r>
            <w:r>
              <w:rPr>
                <w:rFonts w:eastAsia="MS Mincho" w:cstheme="minorHAnsi"/>
              </w:rPr>
              <w:t>erage</w:t>
            </w:r>
            <w:r w:rsidRPr="00852606">
              <w:rPr>
                <w:rFonts w:eastAsia="MS Mincho" w:cstheme="minorHAnsi"/>
              </w:rPr>
              <w:t xml:space="preserve"> age 41.9</w:t>
            </w:r>
            <w:r>
              <w:rPr>
                <w:rFonts w:eastAsia="MS Mincho" w:cstheme="minorHAnsi"/>
              </w:rPr>
              <w:t xml:space="preserve"> years</w:t>
            </w:r>
            <w:r w:rsidRPr="00852606">
              <w:rPr>
                <w:rFonts w:eastAsia="MS Mincho" w:cstheme="minorHAnsi"/>
              </w:rPr>
              <w:t>, av</w:t>
            </w:r>
            <w:r>
              <w:rPr>
                <w:rFonts w:eastAsia="MS Mincho" w:cstheme="minorHAnsi"/>
              </w:rPr>
              <w:t>erage CPD</w:t>
            </w:r>
            <w:r w:rsidRPr="00852606">
              <w:rPr>
                <w:rFonts w:eastAsia="MS Mincho" w:cstheme="minorHAnsi"/>
              </w:rPr>
              <w:t xml:space="preserve"> 20.7, 85% of participants' time to first cigarette was within 5 mins,</w:t>
            </w:r>
            <w:r>
              <w:rPr>
                <w:rFonts w:eastAsia="MS Mincho" w:cstheme="minorHAnsi"/>
              </w:rPr>
              <w:t xml:space="preserve"> </w:t>
            </w:r>
            <w:r w:rsidRPr="00852606">
              <w:rPr>
                <w:rFonts w:eastAsia="MS Mincho" w:cstheme="minorHAnsi"/>
              </w:rPr>
              <w:t xml:space="preserve">mode category for number of previous quit attempts was 2 </w:t>
            </w:r>
            <w:r>
              <w:rPr>
                <w:rFonts w:eastAsia="MS Mincho" w:cstheme="minorHAnsi"/>
              </w:rPr>
              <w:t>–</w:t>
            </w:r>
            <w:r w:rsidRPr="00852606">
              <w:rPr>
                <w:rFonts w:eastAsia="MS Mincho" w:cstheme="minorHAnsi"/>
              </w:rPr>
              <w:t xml:space="preserve"> 5</w:t>
            </w:r>
            <w:r>
              <w:rPr>
                <w:rFonts w:eastAsia="MS Mincho" w:cstheme="minorHAnsi"/>
              </w:rPr>
              <w:t>.</w:t>
            </w:r>
          </w:p>
        </w:tc>
        <w:tc>
          <w:tcPr>
            <w:tcW w:w="1288" w:type="pct"/>
          </w:tcPr>
          <w:p w:rsidR="007F30CC" w:rsidRPr="002E10A1" w:rsidRDefault="007F30CC" w:rsidP="00C324F3">
            <w:pPr>
              <w:pStyle w:val="ListParagraph"/>
              <w:numPr>
                <w:ilvl w:val="0"/>
                <w:numId w:val="179"/>
              </w:numPr>
              <w:autoSpaceDE w:val="0"/>
              <w:autoSpaceDN w:val="0"/>
              <w:adjustRightInd w:val="0"/>
              <w:rPr>
                <w:rFonts w:asciiTheme="minorHAnsi" w:eastAsia="MS Mincho" w:hAnsiTheme="minorHAnsi" w:cstheme="minorHAnsi"/>
                <w:lang w:eastAsia="en-US"/>
              </w:rPr>
            </w:pPr>
            <w:r w:rsidRPr="002E10A1">
              <w:rPr>
                <w:rFonts w:asciiTheme="minorHAnsi" w:eastAsia="MS Mincho" w:hAnsiTheme="minorHAnsi" w:cstheme="minorHAnsi"/>
                <w:lang w:eastAsia="en-US"/>
              </w:rPr>
              <w:t>Nicotine patch vs nicotine patch and nicotine gum</w:t>
            </w:r>
            <w:r>
              <w:rPr>
                <w:rFonts w:asciiTheme="minorHAnsi" w:eastAsia="MS Mincho" w:hAnsiTheme="minorHAnsi" w:cstheme="minorHAnsi"/>
                <w:lang w:eastAsia="en-US"/>
              </w:rPr>
              <w:t>.</w:t>
            </w:r>
          </w:p>
          <w:p w:rsidR="007F30CC" w:rsidRPr="00942AAE" w:rsidRDefault="007F30CC" w:rsidP="00C324F3">
            <w:pPr>
              <w:pStyle w:val="ListParagraph"/>
              <w:numPr>
                <w:ilvl w:val="0"/>
                <w:numId w:val="178"/>
              </w:numPr>
              <w:autoSpaceDE w:val="0"/>
              <w:autoSpaceDN w:val="0"/>
              <w:adjustRightInd w:val="0"/>
              <w:rPr>
                <w:rFonts w:asciiTheme="minorHAnsi" w:eastAsia="MS Mincho" w:hAnsiTheme="minorHAnsi" w:cstheme="minorHAnsi"/>
                <w:lang w:eastAsia="en-US"/>
              </w:rPr>
            </w:pPr>
            <w:r w:rsidRPr="00942AAE">
              <w:rPr>
                <w:rFonts w:asciiTheme="minorHAnsi" w:eastAsia="MS Mincho" w:hAnsiTheme="minorHAnsi" w:cstheme="minorHAnsi"/>
                <w:lang w:eastAsia="en-US"/>
              </w:rPr>
              <w:t>Two weeks NRT vs 6 weeks NRT</w:t>
            </w:r>
            <w:r>
              <w:rPr>
                <w:rFonts w:asciiTheme="minorHAnsi" w:eastAsia="MS Mincho" w:hAnsiTheme="minorHAnsi" w:cstheme="minorHAnsi"/>
                <w:lang w:eastAsia="en-US"/>
              </w:rPr>
              <w:t>.</w:t>
            </w:r>
          </w:p>
          <w:p w:rsidR="007F30CC" w:rsidRPr="002F7627" w:rsidRDefault="007F30CC" w:rsidP="006B48C7">
            <w:pPr>
              <w:rPr>
                <w:rFonts w:eastAsia="MS Mincho"/>
                <w:lang w:eastAsia="en-US"/>
              </w:rPr>
            </w:pPr>
            <w:r w:rsidRPr="00942AAE">
              <w:rPr>
                <w:rFonts w:eastAsia="MS Mincho" w:cstheme="minorHAnsi"/>
              </w:rPr>
              <w:t>Standard counselling vs medication adherence counselling</w:t>
            </w:r>
            <w:r>
              <w:rPr>
                <w:rFonts w:eastAsia="MS Mincho" w:cstheme="minorHAnsi"/>
              </w:rPr>
              <w:t>.</w:t>
            </w:r>
          </w:p>
        </w:tc>
        <w:tc>
          <w:tcPr>
            <w:tcW w:w="1000" w:type="pct"/>
          </w:tcPr>
          <w:p w:rsidR="007F30CC" w:rsidRPr="000A6077" w:rsidRDefault="007F30CC" w:rsidP="006B48C7">
            <w:pPr>
              <w:pStyle w:val="Tablewriting"/>
              <w:rPr>
                <w:rFonts w:eastAsia="MS Mincho" w:cstheme="minorHAnsi"/>
                <w:u w:val="single"/>
              </w:rPr>
            </w:pPr>
            <w:r>
              <w:rPr>
                <w:rFonts w:eastAsia="MS Mincho" w:cstheme="minorHAnsi"/>
                <w:u w:val="single"/>
              </w:rPr>
              <w:t xml:space="preserve">Efficacy: </w:t>
            </w:r>
            <w:r w:rsidRPr="000A6077">
              <w:rPr>
                <w:rFonts w:eastAsia="MS Mincho" w:cstheme="minorHAnsi"/>
              </w:rPr>
              <w:t>30-day PPA at 6 m</w:t>
            </w:r>
            <w:r>
              <w:rPr>
                <w:rFonts w:eastAsia="MS Mincho" w:cstheme="minorHAnsi"/>
              </w:rPr>
              <w:t>onths</w:t>
            </w:r>
            <w:r w:rsidRPr="000A6077">
              <w:rPr>
                <w:rFonts w:eastAsia="MS Mincho" w:cstheme="minorHAnsi"/>
              </w:rPr>
              <w:t xml:space="preserve"> follow-up</w:t>
            </w:r>
          </w:p>
          <w:p w:rsidR="007F30CC" w:rsidRDefault="007F30CC" w:rsidP="006B48C7">
            <w:pPr>
              <w:pStyle w:val="Tablewriting"/>
              <w:rPr>
                <w:rFonts w:eastAsia="MS Mincho" w:cstheme="minorHAnsi"/>
              </w:rPr>
            </w:pPr>
            <w:r w:rsidRPr="000A6077">
              <w:rPr>
                <w:rFonts w:eastAsia="MS Mincho" w:cstheme="minorHAnsi"/>
              </w:rPr>
              <w:t>Other: 7-day PPA at 6 m</w:t>
            </w:r>
            <w:r>
              <w:rPr>
                <w:rFonts w:eastAsia="MS Mincho" w:cstheme="minorHAnsi"/>
              </w:rPr>
              <w:t>onths</w:t>
            </w:r>
            <w:r w:rsidRPr="000A6077">
              <w:rPr>
                <w:rFonts w:eastAsia="MS Mincho" w:cstheme="minorHAnsi"/>
              </w:rPr>
              <w:t xml:space="preserve"> follow-up</w:t>
            </w:r>
            <w:r>
              <w:rPr>
                <w:rFonts w:eastAsia="MS Mincho" w:cstheme="minorHAnsi"/>
              </w:rPr>
              <w:t>.</w:t>
            </w:r>
          </w:p>
          <w:p w:rsidR="007F30CC" w:rsidRPr="000A6077" w:rsidRDefault="007F30CC" w:rsidP="006B48C7">
            <w:pPr>
              <w:pStyle w:val="Tablewriting"/>
              <w:rPr>
                <w:rFonts w:eastAsia="MS Mincho" w:cstheme="minorHAnsi"/>
              </w:rPr>
            </w:pPr>
          </w:p>
          <w:p w:rsidR="007F30CC" w:rsidRPr="000A6077" w:rsidRDefault="007F30CC" w:rsidP="006B48C7">
            <w:pPr>
              <w:pStyle w:val="Tablewriting"/>
              <w:rPr>
                <w:rFonts w:eastAsia="MS Mincho" w:cstheme="minorHAnsi"/>
              </w:rPr>
            </w:pPr>
            <w:r w:rsidRPr="000A6077">
              <w:rPr>
                <w:rFonts w:eastAsia="MS Mincho" w:cstheme="minorHAnsi"/>
              </w:rPr>
              <w:t>Validation: none</w:t>
            </w:r>
            <w:r>
              <w:rPr>
                <w:rFonts w:eastAsia="MS Mincho" w:cstheme="minorHAnsi"/>
              </w:rPr>
              <w:t>.</w:t>
            </w:r>
          </w:p>
          <w:p w:rsidR="007F30CC" w:rsidRDefault="007F30CC" w:rsidP="006B48C7">
            <w:pPr>
              <w:pStyle w:val="Tablewriting"/>
              <w:rPr>
                <w:rFonts w:eastAsia="MS Mincho" w:cstheme="minorHAnsi"/>
                <w:u w:val="single"/>
              </w:rPr>
            </w:pPr>
          </w:p>
          <w:p w:rsidR="007F30CC" w:rsidRPr="000A6077" w:rsidRDefault="007F30CC" w:rsidP="006B48C7">
            <w:pPr>
              <w:pStyle w:val="Tablewriting"/>
              <w:rPr>
                <w:rFonts w:eastAsia="MS Mincho" w:cstheme="minorHAnsi"/>
              </w:rPr>
            </w:pPr>
            <w:r>
              <w:rPr>
                <w:rFonts w:eastAsia="MS Mincho" w:cstheme="minorHAnsi"/>
                <w:u w:val="single"/>
              </w:rPr>
              <w:t xml:space="preserve">Safety: </w:t>
            </w:r>
            <w:r w:rsidRPr="000A6077">
              <w:rPr>
                <w:rFonts w:eastAsia="MS Mincho" w:cstheme="minorHAnsi"/>
              </w:rPr>
              <w:t>Adverse events</w:t>
            </w:r>
            <w:r>
              <w:rPr>
                <w:rFonts w:eastAsia="MS Mincho" w:cstheme="minorHAnsi"/>
              </w:rPr>
              <w:t xml:space="preserve"> </w:t>
            </w:r>
            <w:r w:rsidRPr="000A6077">
              <w:rPr>
                <w:rFonts w:eastAsia="MS Mincho" w:cstheme="minorHAnsi"/>
              </w:rPr>
              <w:t>not measured</w:t>
            </w:r>
            <w:r>
              <w:rPr>
                <w:rFonts w:eastAsia="MS Mincho" w:cstheme="minorHAnsi"/>
              </w:rPr>
              <w:t>.</w:t>
            </w:r>
          </w:p>
          <w:p w:rsidR="007F30CC" w:rsidRPr="0139F213" w:rsidRDefault="007F30CC" w:rsidP="006B48C7">
            <w:pPr>
              <w:pStyle w:val="Tablewriting"/>
              <w:rPr>
                <w:rFonts w:eastAsia="MS Mincho" w:cstheme="minorBidi"/>
              </w:rPr>
            </w:pPr>
          </w:p>
        </w:tc>
      </w:tr>
      <w:tr w:rsidR="007F30CC" w:rsidRPr="00017AE6" w:rsidTr="00486A67">
        <w:trPr>
          <w:trHeight w:val="99"/>
        </w:trPr>
        <w:tc>
          <w:tcPr>
            <w:tcW w:w="541" w:type="pct"/>
          </w:tcPr>
          <w:p w:rsidR="007F30CC" w:rsidRPr="003158F5" w:rsidRDefault="007F30CC" w:rsidP="006B48C7">
            <w:pPr>
              <w:pStyle w:val="Tablewriting"/>
              <w:rPr>
                <w:rFonts w:eastAsia="MS Mincho"/>
              </w:rPr>
            </w:pPr>
            <w:r w:rsidRPr="00171A84">
              <w:rPr>
                <w:rFonts w:eastAsia="MS Mincho"/>
              </w:rPr>
              <w:t>Schlam 2016</w:t>
            </w:r>
          </w:p>
        </w:tc>
        <w:tc>
          <w:tcPr>
            <w:tcW w:w="235" w:type="pct"/>
          </w:tcPr>
          <w:p w:rsidR="007F30CC" w:rsidRPr="00017AE6" w:rsidRDefault="007F30CC" w:rsidP="006B48C7">
            <w:pPr>
              <w:pStyle w:val="Tablewriting"/>
              <w:rPr>
                <w:rFonts w:eastAsia="MS Mincho" w:cstheme="minorHAnsi"/>
              </w:rPr>
            </w:pPr>
            <w:r>
              <w:rPr>
                <w:rFonts w:eastAsia="MS Mincho" w:cstheme="minorHAnsi"/>
              </w:rPr>
              <w:t>RCT</w:t>
            </w:r>
          </w:p>
        </w:tc>
        <w:tc>
          <w:tcPr>
            <w:tcW w:w="418" w:type="pct"/>
          </w:tcPr>
          <w:p w:rsidR="007F30CC" w:rsidRPr="00017AE6" w:rsidRDefault="007F30CC" w:rsidP="006B48C7">
            <w:pPr>
              <w:pStyle w:val="Tablewriting"/>
              <w:rPr>
                <w:rFonts w:eastAsia="MS Mincho" w:cstheme="minorHAnsi"/>
              </w:rPr>
            </w:pPr>
            <w:r>
              <w:rPr>
                <w:rFonts w:eastAsia="MS Mincho" w:cstheme="minorHAnsi"/>
              </w:rPr>
              <w:t>USA</w:t>
            </w:r>
          </w:p>
        </w:tc>
        <w:tc>
          <w:tcPr>
            <w:tcW w:w="350" w:type="pct"/>
          </w:tcPr>
          <w:p w:rsidR="007F30CC" w:rsidRPr="00017AE6" w:rsidRDefault="007F30CC" w:rsidP="006B48C7">
            <w:pPr>
              <w:pStyle w:val="Tablewriting"/>
              <w:rPr>
                <w:rFonts w:eastAsia="MS Mincho" w:cstheme="minorHAnsi"/>
              </w:rPr>
            </w:pPr>
            <w:r>
              <w:rPr>
                <w:rFonts w:eastAsia="MS Mincho" w:cstheme="minorHAnsi"/>
              </w:rPr>
              <w:t>N=544</w:t>
            </w:r>
          </w:p>
        </w:tc>
        <w:tc>
          <w:tcPr>
            <w:tcW w:w="1168" w:type="pct"/>
          </w:tcPr>
          <w:p w:rsidR="007F30CC" w:rsidRPr="00B6254C" w:rsidRDefault="007F30CC" w:rsidP="006B48C7">
            <w:pPr>
              <w:pStyle w:val="Tablewriting"/>
              <w:rPr>
                <w:rFonts w:eastAsia="MS Mincho" w:cstheme="minorHAnsi"/>
              </w:rPr>
            </w:pPr>
            <w:r>
              <w:rPr>
                <w:rFonts w:eastAsia="MS Mincho" w:cstheme="minorHAnsi"/>
              </w:rPr>
              <w:t>S</w:t>
            </w:r>
            <w:r w:rsidRPr="00B6254C">
              <w:rPr>
                <w:rFonts w:eastAsia="MS Mincho" w:cstheme="minorHAnsi"/>
              </w:rPr>
              <w:t>mokers aged</w:t>
            </w:r>
            <w:r>
              <w:rPr>
                <w:rFonts w:eastAsia="MS Mincho" w:cstheme="minorHAnsi"/>
              </w:rPr>
              <w:t xml:space="preserve"> </w:t>
            </w:r>
            <w:r w:rsidRPr="00E632A9">
              <w:rPr>
                <w:rFonts w:eastAsia="MS Mincho" w:cstheme="minorHAnsi"/>
              </w:rPr>
              <w:t>≥</w:t>
            </w:r>
            <w:r w:rsidRPr="00B6254C">
              <w:rPr>
                <w:rFonts w:eastAsia="MS Mincho" w:cstheme="minorHAnsi"/>
              </w:rPr>
              <w:t xml:space="preserve">18 years, </w:t>
            </w:r>
            <w:r w:rsidRPr="00E632A9">
              <w:rPr>
                <w:rFonts w:eastAsia="MS Mincho" w:cstheme="minorHAnsi"/>
              </w:rPr>
              <w:t>≥</w:t>
            </w:r>
            <w:r w:rsidRPr="00B6254C">
              <w:rPr>
                <w:rFonts w:eastAsia="MS Mincho" w:cstheme="minorHAnsi"/>
              </w:rPr>
              <w:t xml:space="preserve">5 </w:t>
            </w:r>
            <w:r>
              <w:rPr>
                <w:rFonts w:eastAsia="MS Mincho" w:cstheme="minorHAnsi"/>
              </w:rPr>
              <w:t xml:space="preserve">CPD </w:t>
            </w:r>
            <w:r w:rsidRPr="00B6254C">
              <w:rPr>
                <w:rFonts w:eastAsia="MS Mincho" w:cstheme="minorHAnsi"/>
              </w:rPr>
              <w:t>for 6 months, motivated to quit</w:t>
            </w:r>
          </w:p>
          <w:p w:rsidR="007F30CC" w:rsidRPr="00017AE6" w:rsidRDefault="007F30CC" w:rsidP="006B48C7">
            <w:pPr>
              <w:pStyle w:val="Tablewriting"/>
              <w:rPr>
                <w:rFonts w:eastAsia="MS Mincho" w:cstheme="minorHAnsi"/>
              </w:rPr>
            </w:pPr>
            <w:r w:rsidRPr="00B6254C">
              <w:rPr>
                <w:rFonts w:eastAsia="MS Mincho" w:cstheme="minorHAnsi"/>
              </w:rPr>
              <w:t>41% men, av</w:t>
            </w:r>
            <w:r>
              <w:rPr>
                <w:rFonts w:eastAsia="MS Mincho" w:cstheme="minorHAnsi"/>
              </w:rPr>
              <w:t>erage</w:t>
            </w:r>
            <w:r w:rsidRPr="00B6254C">
              <w:rPr>
                <w:rFonts w:eastAsia="MS Mincho" w:cstheme="minorHAnsi"/>
              </w:rPr>
              <w:t xml:space="preserve"> age 46.2</w:t>
            </w:r>
            <w:r>
              <w:rPr>
                <w:rFonts w:eastAsia="MS Mincho" w:cstheme="minorHAnsi"/>
              </w:rPr>
              <w:t xml:space="preserve"> years</w:t>
            </w:r>
            <w:r w:rsidRPr="00B6254C">
              <w:rPr>
                <w:rFonts w:eastAsia="MS Mincho" w:cstheme="minorHAnsi"/>
              </w:rPr>
              <w:t>, av</w:t>
            </w:r>
            <w:r>
              <w:rPr>
                <w:rFonts w:eastAsia="MS Mincho" w:cstheme="minorHAnsi"/>
              </w:rPr>
              <w:t>erage CPD</w:t>
            </w:r>
            <w:r w:rsidRPr="00B6254C">
              <w:rPr>
                <w:rFonts w:eastAsia="MS Mincho" w:cstheme="minorHAnsi"/>
              </w:rPr>
              <w:t xml:space="preserve"> 18.6, mean FTND 4.9, HSI 3.2, baseline CO 18.5 ppm</w:t>
            </w:r>
            <w:r>
              <w:rPr>
                <w:rFonts w:eastAsia="MS Mincho" w:cstheme="minorHAnsi"/>
              </w:rPr>
              <w:t xml:space="preserve">. </w:t>
            </w:r>
          </w:p>
        </w:tc>
        <w:tc>
          <w:tcPr>
            <w:tcW w:w="1288" w:type="pct"/>
          </w:tcPr>
          <w:p w:rsidR="007F30CC" w:rsidRPr="00C5657C" w:rsidRDefault="007F30CC" w:rsidP="00C324F3">
            <w:pPr>
              <w:pStyle w:val="ListParagraph"/>
              <w:numPr>
                <w:ilvl w:val="0"/>
                <w:numId w:val="178"/>
              </w:numPr>
              <w:rPr>
                <w:rFonts w:eastAsia="MS Mincho"/>
                <w:lang w:eastAsia="en-US"/>
              </w:rPr>
            </w:pPr>
            <w:r w:rsidRPr="00C5657C">
              <w:rPr>
                <w:rFonts w:eastAsia="MS Mincho"/>
                <w:lang w:eastAsia="en-US"/>
              </w:rPr>
              <w:t>Nicotine patches and gum for 8 weeks starting on quit date vs nicotine patches and gum for 26 weeks</w:t>
            </w:r>
            <w:r>
              <w:rPr>
                <w:rFonts w:eastAsia="MS Mincho"/>
                <w:lang w:eastAsia="en-US"/>
              </w:rPr>
              <w:t xml:space="preserve"> </w:t>
            </w:r>
            <w:r w:rsidRPr="00C5657C">
              <w:rPr>
                <w:rFonts w:eastAsia="MS Mincho"/>
                <w:lang w:eastAsia="en-US"/>
              </w:rPr>
              <w:t>starting on quit date</w:t>
            </w:r>
          </w:p>
          <w:p w:rsidR="007F30CC" w:rsidRPr="00C5657C" w:rsidRDefault="007F30CC" w:rsidP="00C324F3">
            <w:pPr>
              <w:pStyle w:val="ListParagraph"/>
              <w:numPr>
                <w:ilvl w:val="0"/>
                <w:numId w:val="178"/>
              </w:numPr>
              <w:rPr>
                <w:rFonts w:eastAsia="MS Mincho"/>
                <w:lang w:eastAsia="en-US"/>
              </w:rPr>
            </w:pPr>
            <w:r w:rsidRPr="00C5657C">
              <w:rPr>
                <w:rFonts w:eastAsia="MS Mincho"/>
                <w:lang w:eastAsia="en-US"/>
              </w:rPr>
              <w:t>Maintenance counselling vs no maintenance counselling</w:t>
            </w:r>
          </w:p>
          <w:p w:rsidR="007F30CC" w:rsidRPr="00C5657C" w:rsidRDefault="007F30CC" w:rsidP="00C324F3">
            <w:pPr>
              <w:pStyle w:val="ListParagraph"/>
              <w:numPr>
                <w:ilvl w:val="0"/>
                <w:numId w:val="178"/>
              </w:numPr>
              <w:rPr>
                <w:rFonts w:eastAsia="MS Mincho"/>
                <w:lang w:eastAsia="en-US"/>
              </w:rPr>
            </w:pPr>
            <w:r w:rsidRPr="00C5657C">
              <w:rPr>
                <w:rFonts w:eastAsia="MS Mincho"/>
                <w:lang w:eastAsia="en-US"/>
              </w:rPr>
              <w:t>Medication adherence counselling vs no medication adherence counselling</w:t>
            </w:r>
          </w:p>
          <w:p w:rsidR="007F30CC" w:rsidRPr="00C5657C" w:rsidRDefault="007F30CC" w:rsidP="00C324F3">
            <w:pPr>
              <w:pStyle w:val="ListParagraph"/>
              <w:numPr>
                <w:ilvl w:val="0"/>
                <w:numId w:val="178"/>
              </w:numPr>
              <w:rPr>
                <w:rFonts w:eastAsia="MS Mincho"/>
                <w:lang w:eastAsia="en-US"/>
              </w:rPr>
            </w:pPr>
            <w:r w:rsidRPr="00C5657C">
              <w:rPr>
                <w:rFonts w:eastAsia="MS Mincho"/>
                <w:lang w:eastAsia="en-US"/>
              </w:rPr>
              <w:lastRenderedPageBreak/>
              <w:t>Automated adherence calls vs no adherence calls</w:t>
            </w:r>
          </w:p>
          <w:p w:rsidR="007F30CC" w:rsidRPr="00C5657C" w:rsidRDefault="007F30CC" w:rsidP="00C324F3">
            <w:pPr>
              <w:pStyle w:val="ListParagraph"/>
              <w:numPr>
                <w:ilvl w:val="0"/>
                <w:numId w:val="178"/>
              </w:numPr>
              <w:rPr>
                <w:rFonts w:eastAsia="MS Mincho"/>
                <w:lang w:eastAsia="en-US"/>
              </w:rPr>
            </w:pPr>
            <w:r w:rsidRPr="00C5657C">
              <w:rPr>
                <w:rFonts w:eastAsia="MS Mincho"/>
                <w:lang w:eastAsia="en-US"/>
              </w:rPr>
              <w:t>Helping Hand medication dispenser with feedback and counselling vs no medication dispenser,</w:t>
            </w:r>
            <w:r>
              <w:rPr>
                <w:rFonts w:eastAsia="MS Mincho"/>
                <w:lang w:eastAsia="en-US"/>
              </w:rPr>
              <w:t xml:space="preserve"> </w:t>
            </w:r>
            <w:r w:rsidRPr="00C5657C">
              <w:rPr>
                <w:rFonts w:eastAsia="MS Mincho"/>
                <w:lang w:eastAsia="en-US"/>
              </w:rPr>
              <w:t>feedback or related counselling</w:t>
            </w:r>
          </w:p>
        </w:tc>
        <w:tc>
          <w:tcPr>
            <w:tcW w:w="1000" w:type="pct"/>
          </w:tcPr>
          <w:p w:rsidR="007F30CC" w:rsidRPr="00C5657C" w:rsidRDefault="007F30CC" w:rsidP="006B48C7">
            <w:pPr>
              <w:pStyle w:val="Tablewriting"/>
              <w:rPr>
                <w:rFonts w:eastAsia="MS Mincho" w:cstheme="minorBidi"/>
              </w:rPr>
            </w:pPr>
            <w:r w:rsidRPr="00B6254C">
              <w:rPr>
                <w:rFonts w:eastAsia="MS Mincho" w:cstheme="minorBidi"/>
                <w:u w:val="single"/>
              </w:rPr>
              <w:lastRenderedPageBreak/>
              <w:t>Efficacy</w:t>
            </w:r>
            <w:r w:rsidRPr="0139F213">
              <w:rPr>
                <w:rFonts w:eastAsia="MS Mincho" w:cstheme="minorBidi"/>
                <w:u w:val="single"/>
              </w:rPr>
              <w:t>:</w:t>
            </w:r>
            <w:r>
              <w:rPr>
                <w:rFonts w:eastAsia="MS Mincho" w:cstheme="minorBidi"/>
                <w:u w:val="single"/>
              </w:rPr>
              <w:t xml:space="preserve"> </w:t>
            </w:r>
            <w:r w:rsidRPr="00C5657C">
              <w:rPr>
                <w:rFonts w:eastAsia="MS Mincho" w:cstheme="minorBidi"/>
              </w:rPr>
              <w:t>Self-reported 7-day PPA at 52 weeks post-quit date</w:t>
            </w:r>
            <w:r>
              <w:rPr>
                <w:rFonts w:eastAsia="MS Mincho" w:cstheme="minorBidi"/>
              </w:rPr>
              <w:t>.</w:t>
            </w:r>
          </w:p>
          <w:p w:rsidR="007F30CC" w:rsidRPr="00C5657C" w:rsidRDefault="007F30CC" w:rsidP="006B48C7">
            <w:pPr>
              <w:pStyle w:val="Tablewriting"/>
              <w:rPr>
                <w:rFonts w:eastAsia="MS Mincho" w:cstheme="minorBidi"/>
              </w:rPr>
            </w:pPr>
            <w:r w:rsidRPr="00C5657C">
              <w:rPr>
                <w:rFonts w:eastAsia="MS Mincho" w:cstheme="minorBidi"/>
              </w:rPr>
              <w:t>Validation: none</w:t>
            </w:r>
            <w:r>
              <w:rPr>
                <w:rFonts w:eastAsia="MS Mincho" w:cstheme="minorBidi"/>
              </w:rPr>
              <w:t>.</w:t>
            </w:r>
          </w:p>
          <w:p w:rsidR="007F30CC" w:rsidRPr="00C5657C" w:rsidRDefault="007F30CC" w:rsidP="006B48C7">
            <w:pPr>
              <w:pStyle w:val="Tablewriting"/>
              <w:rPr>
                <w:rFonts w:eastAsia="MS Mincho" w:cstheme="minorBidi"/>
              </w:rPr>
            </w:pPr>
            <w:r w:rsidRPr="00C5657C">
              <w:rPr>
                <w:rFonts w:eastAsia="MS Mincho" w:cstheme="minorBidi"/>
              </w:rPr>
              <w:t>Other abstinence measures: Self-reported 7-day PPA at 26 weeks post-quit date</w:t>
            </w:r>
            <w:r>
              <w:rPr>
                <w:rFonts w:eastAsia="MS Mincho" w:cstheme="minorBidi"/>
              </w:rPr>
              <w:t>.</w:t>
            </w:r>
          </w:p>
          <w:p w:rsidR="007F30CC" w:rsidRPr="004272CD" w:rsidRDefault="007F30CC" w:rsidP="006B48C7">
            <w:pPr>
              <w:pStyle w:val="Tablewriting"/>
              <w:rPr>
                <w:rFonts w:eastAsia="MS Mincho" w:cstheme="minorBidi"/>
                <w:u w:val="single"/>
              </w:rPr>
            </w:pPr>
          </w:p>
          <w:p w:rsidR="007F30CC" w:rsidRPr="00C5657C" w:rsidRDefault="007F30CC" w:rsidP="006B48C7">
            <w:pPr>
              <w:pStyle w:val="Tablewriting"/>
              <w:rPr>
                <w:rFonts w:eastAsia="MS Mincho" w:cstheme="minorBidi"/>
              </w:rPr>
            </w:pPr>
            <w:r w:rsidRPr="00B6254C">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C5657C">
              <w:rPr>
                <w:rFonts w:eastAsia="MS Mincho" w:cstheme="minorBidi"/>
              </w:rPr>
              <w:t>Adverse events</w:t>
            </w:r>
            <w:r>
              <w:rPr>
                <w:rFonts w:eastAsia="MS Mincho" w:cstheme="minorBidi"/>
              </w:rPr>
              <w:t xml:space="preserve"> </w:t>
            </w:r>
            <w:r w:rsidRPr="00C5657C">
              <w:rPr>
                <w:rFonts w:eastAsia="MS Mincho" w:cstheme="minorBidi"/>
              </w:rPr>
              <w:t xml:space="preserve">measured at 1, 4 and 8 weeks by completed </w:t>
            </w:r>
            <w:r w:rsidRPr="00C5657C">
              <w:rPr>
                <w:rFonts w:eastAsia="MS Mincho" w:cstheme="minorBidi"/>
              </w:rPr>
              <w:lastRenderedPageBreak/>
              <w:t>assessments with case managers (and at</w:t>
            </w:r>
            <w:r>
              <w:rPr>
                <w:rFonts w:eastAsia="MS Mincho" w:cstheme="minorBidi"/>
              </w:rPr>
              <w:t xml:space="preserve"> </w:t>
            </w:r>
            <w:r w:rsidRPr="00C5657C">
              <w:rPr>
                <w:rFonts w:eastAsia="MS Mincho" w:cstheme="minorBidi"/>
              </w:rPr>
              <w:t>16 weeks if receiving extended medication) Also measured at weeks 16, 26, 39, and 52 during follow-up</w:t>
            </w:r>
          </w:p>
          <w:p w:rsidR="007F30CC" w:rsidRPr="0139F213" w:rsidRDefault="007F30CC" w:rsidP="006B48C7">
            <w:pPr>
              <w:pStyle w:val="Tablewriting"/>
              <w:rPr>
                <w:rFonts w:eastAsia="MS Mincho" w:cstheme="minorBidi"/>
              </w:rPr>
            </w:pPr>
            <w:r w:rsidRPr="00C5657C">
              <w:rPr>
                <w:rFonts w:eastAsia="MS Mincho" w:cstheme="minorBidi"/>
              </w:rPr>
              <w:t>calls with assessors</w:t>
            </w:r>
            <w:r>
              <w:rPr>
                <w:rFonts w:eastAsia="MS Mincho" w:cstheme="minorBidi"/>
              </w:rPr>
              <w:t xml:space="preserve">. </w:t>
            </w:r>
          </w:p>
        </w:tc>
      </w:tr>
      <w:tr w:rsidR="007F30CC" w:rsidRPr="00017AE6" w:rsidTr="00486A67">
        <w:trPr>
          <w:trHeight w:val="99"/>
        </w:trPr>
        <w:tc>
          <w:tcPr>
            <w:tcW w:w="5000" w:type="pct"/>
            <w:gridSpan w:val="7"/>
            <w:shd w:val="clear" w:color="auto" w:fill="D9D9D9" w:themeFill="background1" w:themeFillShade="D9"/>
          </w:tcPr>
          <w:p w:rsidR="007F30CC" w:rsidRPr="000D4983" w:rsidRDefault="007F30CC" w:rsidP="006B48C7">
            <w:pPr>
              <w:pStyle w:val="Tablewriting"/>
              <w:rPr>
                <w:rFonts w:eastAsia="MS Mincho" w:cstheme="minorBidi"/>
                <w:b/>
                <w:bCs/>
              </w:rPr>
            </w:pPr>
            <w:r w:rsidRPr="000D4983">
              <w:rPr>
                <w:rFonts w:eastAsia="MS Mincho" w:cstheme="minorBidi"/>
                <w:b/>
                <w:bCs/>
              </w:rPr>
              <w:lastRenderedPageBreak/>
              <w:t>Other variations in NRT use</w:t>
            </w:r>
          </w:p>
        </w:tc>
      </w:tr>
      <w:tr w:rsidR="007F30CC" w:rsidRPr="00017AE6" w:rsidTr="00486A67">
        <w:trPr>
          <w:trHeight w:val="99"/>
        </w:trPr>
        <w:tc>
          <w:tcPr>
            <w:tcW w:w="541" w:type="pct"/>
          </w:tcPr>
          <w:p w:rsidR="007F30CC" w:rsidRPr="009526CC" w:rsidRDefault="007F30CC" w:rsidP="006B48C7">
            <w:pPr>
              <w:pStyle w:val="Tablewriting"/>
              <w:rPr>
                <w:rFonts w:eastAsia="MS Mincho"/>
              </w:rPr>
            </w:pPr>
            <w:r w:rsidRPr="0026737B">
              <w:rPr>
                <w:rFonts w:eastAsia="MS Mincho"/>
              </w:rPr>
              <w:t xml:space="preserve">Daughton </w:t>
            </w:r>
            <w:r>
              <w:rPr>
                <w:rFonts w:eastAsia="MS Mincho"/>
              </w:rPr>
              <w:t>(</w:t>
            </w:r>
            <w:r w:rsidRPr="0026737B">
              <w:rPr>
                <w:rFonts w:eastAsia="MS Mincho"/>
              </w:rPr>
              <w:t>1991</w:t>
            </w:r>
            <w:r>
              <w:rPr>
                <w:rFonts w:eastAsia="MS Mincho"/>
              </w:rPr>
              <w:t>)</w:t>
            </w:r>
          </w:p>
        </w:tc>
        <w:tc>
          <w:tcPr>
            <w:tcW w:w="235" w:type="pct"/>
          </w:tcPr>
          <w:p w:rsidR="007F30CC" w:rsidRPr="00017AE6" w:rsidRDefault="007F30CC" w:rsidP="006B48C7">
            <w:pPr>
              <w:pStyle w:val="Tablewriting"/>
              <w:rPr>
                <w:rFonts w:eastAsia="MS Mincho" w:cstheme="minorHAnsi"/>
              </w:rPr>
            </w:pPr>
            <w:r>
              <w:rPr>
                <w:rFonts w:eastAsia="MS Mincho" w:cstheme="minorHAnsi"/>
              </w:rPr>
              <w:t>RCT</w:t>
            </w:r>
          </w:p>
        </w:tc>
        <w:tc>
          <w:tcPr>
            <w:tcW w:w="418" w:type="pct"/>
          </w:tcPr>
          <w:p w:rsidR="007F30CC" w:rsidRPr="00017AE6" w:rsidRDefault="007F30CC" w:rsidP="006B48C7">
            <w:pPr>
              <w:pStyle w:val="Tablewriting"/>
              <w:rPr>
                <w:rFonts w:eastAsia="MS Mincho" w:cstheme="minorHAnsi"/>
              </w:rPr>
            </w:pPr>
            <w:r>
              <w:rPr>
                <w:rFonts w:eastAsia="MS Mincho" w:cstheme="minorHAnsi"/>
              </w:rPr>
              <w:t>USA</w:t>
            </w:r>
          </w:p>
        </w:tc>
        <w:tc>
          <w:tcPr>
            <w:tcW w:w="350" w:type="pct"/>
          </w:tcPr>
          <w:p w:rsidR="007F30CC" w:rsidRPr="00017AE6" w:rsidRDefault="007F30CC" w:rsidP="006B48C7">
            <w:pPr>
              <w:pStyle w:val="Tablewriting"/>
              <w:rPr>
                <w:rFonts w:eastAsia="MS Mincho" w:cstheme="minorHAnsi"/>
              </w:rPr>
            </w:pPr>
            <w:r>
              <w:rPr>
                <w:rFonts w:eastAsia="MS Mincho" w:cstheme="minorHAnsi"/>
              </w:rPr>
              <w:t>N=158</w:t>
            </w:r>
          </w:p>
        </w:tc>
        <w:tc>
          <w:tcPr>
            <w:tcW w:w="1168" w:type="pct"/>
          </w:tcPr>
          <w:p w:rsidR="007F30CC" w:rsidRPr="00017AE6" w:rsidRDefault="007F30CC" w:rsidP="006B48C7">
            <w:pPr>
              <w:pStyle w:val="Tablewriting"/>
              <w:rPr>
                <w:rFonts w:eastAsia="MS Mincho" w:cstheme="minorHAnsi"/>
              </w:rPr>
            </w:pPr>
            <w:r>
              <w:rPr>
                <w:rFonts w:eastAsia="MS Mincho" w:cstheme="minorHAnsi"/>
              </w:rPr>
              <w:t>S</w:t>
            </w:r>
            <w:r w:rsidRPr="00253BF3">
              <w:rPr>
                <w:rFonts w:eastAsia="MS Mincho" w:cstheme="minorHAnsi"/>
              </w:rPr>
              <w:t xml:space="preserve">mokers (at least 1 pack </w:t>
            </w:r>
            <w:r>
              <w:rPr>
                <w:rFonts w:eastAsia="MS Mincho" w:cstheme="minorHAnsi"/>
              </w:rPr>
              <w:t>CPD</w:t>
            </w:r>
            <w:r w:rsidRPr="00253BF3">
              <w:rPr>
                <w:rFonts w:eastAsia="MS Mincho" w:cstheme="minorHAnsi"/>
              </w:rPr>
              <w:t>)</w:t>
            </w:r>
            <w:r>
              <w:rPr>
                <w:rFonts w:eastAsia="MS Mincho" w:cstheme="minorHAnsi"/>
              </w:rPr>
              <w:t xml:space="preserve">, </w:t>
            </w:r>
            <w:r w:rsidRPr="00253BF3">
              <w:rPr>
                <w:rFonts w:eastAsia="MS Mincho" w:cstheme="minorHAnsi"/>
              </w:rPr>
              <w:t>47% men, av</w:t>
            </w:r>
            <w:r>
              <w:rPr>
                <w:rFonts w:eastAsia="MS Mincho" w:cstheme="minorHAnsi"/>
              </w:rPr>
              <w:t>erage</w:t>
            </w:r>
            <w:r w:rsidRPr="00253BF3">
              <w:rPr>
                <w:rFonts w:eastAsia="MS Mincho" w:cstheme="minorHAnsi"/>
              </w:rPr>
              <w:t xml:space="preserve"> age 42, av</w:t>
            </w:r>
            <w:r>
              <w:rPr>
                <w:rFonts w:eastAsia="MS Mincho" w:cstheme="minorHAnsi"/>
              </w:rPr>
              <w:t>erage</w:t>
            </w:r>
            <w:r w:rsidRPr="00253BF3">
              <w:rPr>
                <w:rFonts w:eastAsia="MS Mincho" w:cstheme="minorHAnsi"/>
              </w:rPr>
              <w:t xml:space="preserve"> </w:t>
            </w:r>
            <w:r>
              <w:rPr>
                <w:rFonts w:eastAsia="MS Mincho" w:cstheme="minorHAnsi"/>
              </w:rPr>
              <w:t>CPD</w:t>
            </w:r>
            <w:r w:rsidRPr="00253BF3">
              <w:rPr>
                <w:rFonts w:eastAsia="MS Mincho" w:cstheme="minorHAnsi"/>
              </w:rPr>
              <w:t xml:space="preserve"> 33</w:t>
            </w:r>
          </w:p>
        </w:tc>
        <w:tc>
          <w:tcPr>
            <w:tcW w:w="1288" w:type="pct"/>
          </w:tcPr>
          <w:p w:rsidR="007F30CC" w:rsidRPr="00253BF3" w:rsidRDefault="007F30CC" w:rsidP="00C324F3">
            <w:pPr>
              <w:pStyle w:val="ListParagraph"/>
              <w:numPr>
                <w:ilvl w:val="0"/>
                <w:numId w:val="201"/>
              </w:numPr>
              <w:rPr>
                <w:rFonts w:eastAsia="MS Mincho"/>
                <w:lang w:eastAsia="en-US"/>
              </w:rPr>
            </w:pPr>
            <w:r w:rsidRPr="00253BF3">
              <w:rPr>
                <w:rFonts w:eastAsia="MS Mincho"/>
                <w:lang w:eastAsia="en-US"/>
              </w:rPr>
              <w:t>Nicotine patch (15 cmi, 4 w</w:t>
            </w:r>
            <w:r>
              <w:rPr>
                <w:rFonts w:eastAsia="MS Mincho"/>
                <w:lang w:eastAsia="en-US"/>
              </w:rPr>
              <w:t>ee</w:t>
            </w:r>
            <w:r w:rsidRPr="00253BF3">
              <w:rPr>
                <w:rFonts w:eastAsia="MS Mincho"/>
                <w:lang w:eastAsia="en-US"/>
              </w:rPr>
              <w:t>ks) worn for 16 hrs/day</w:t>
            </w:r>
          </w:p>
          <w:p w:rsidR="007F30CC" w:rsidRPr="00253BF3" w:rsidRDefault="007F30CC" w:rsidP="00C324F3">
            <w:pPr>
              <w:pStyle w:val="ListParagraph"/>
              <w:numPr>
                <w:ilvl w:val="0"/>
                <w:numId w:val="201"/>
              </w:numPr>
              <w:rPr>
                <w:rFonts w:eastAsia="MS Mincho"/>
                <w:lang w:eastAsia="en-US"/>
              </w:rPr>
            </w:pPr>
            <w:r w:rsidRPr="00253BF3">
              <w:rPr>
                <w:rFonts w:eastAsia="MS Mincho"/>
                <w:lang w:eastAsia="en-US"/>
              </w:rPr>
              <w:t>Nicotine patch (15 cmi, 4 w</w:t>
            </w:r>
            <w:r>
              <w:rPr>
                <w:rFonts w:eastAsia="MS Mincho"/>
                <w:lang w:eastAsia="en-US"/>
              </w:rPr>
              <w:t>ee</w:t>
            </w:r>
            <w:r w:rsidRPr="00253BF3">
              <w:rPr>
                <w:rFonts w:eastAsia="MS Mincho"/>
                <w:lang w:eastAsia="en-US"/>
              </w:rPr>
              <w:t>ks) worn for 24 hrs/day</w:t>
            </w:r>
          </w:p>
          <w:p w:rsidR="007F30CC" w:rsidRPr="00253BF3" w:rsidRDefault="007F30CC" w:rsidP="00C324F3">
            <w:pPr>
              <w:pStyle w:val="ListParagraph"/>
              <w:numPr>
                <w:ilvl w:val="0"/>
                <w:numId w:val="201"/>
              </w:numPr>
              <w:rPr>
                <w:rFonts w:eastAsia="MS Mincho"/>
                <w:lang w:eastAsia="en-US"/>
              </w:rPr>
            </w:pPr>
            <w:r w:rsidRPr="00253BF3">
              <w:rPr>
                <w:rFonts w:eastAsia="MS Mincho"/>
                <w:lang w:eastAsia="en-US"/>
              </w:rPr>
              <w:t>Placebo patch, 4 w</w:t>
            </w:r>
            <w:r>
              <w:rPr>
                <w:rFonts w:eastAsia="MS Mincho"/>
                <w:lang w:eastAsia="en-US"/>
              </w:rPr>
              <w:t>ee</w:t>
            </w:r>
            <w:r w:rsidRPr="00253BF3">
              <w:rPr>
                <w:rFonts w:eastAsia="MS Mincho"/>
                <w:lang w:eastAsia="en-US"/>
              </w:rPr>
              <w:t>ks</w:t>
            </w:r>
          </w:p>
        </w:tc>
        <w:tc>
          <w:tcPr>
            <w:tcW w:w="1000" w:type="pct"/>
          </w:tcPr>
          <w:p w:rsidR="007F30CC" w:rsidRPr="00253BF3" w:rsidRDefault="007F30CC" w:rsidP="006B48C7">
            <w:pPr>
              <w:pStyle w:val="Tablewriting"/>
              <w:rPr>
                <w:rFonts w:eastAsia="MS Mincho" w:cstheme="minorBidi"/>
              </w:rPr>
            </w:pPr>
            <w:r w:rsidRPr="00253BF3">
              <w:rPr>
                <w:rFonts w:eastAsia="MS Mincho" w:cstheme="minorBidi"/>
                <w:u w:val="single"/>
              </w:rPr>
              <w:t>Efficacy</w:t>
            </w:r>
            <w:r w:rsidRPr="0139F213">
              <w:rPr>
                <w:rFonts w:eastAsia="MS Mincho" w:cstheme="minorBidi"/>
                <w:u w:val="single"/>
              </w:rPr>
              <w:t>:</w:t>
            </w:r>
            <w:r>
              <w:rPr>
                <w:rFonts w:eastAsia="MS Mincho" w:cstheme="minorBidi"/>
                <w:u w:val="single"/>
              </w:rPr>
              <w:t xml:space="preserve"> </w:t>
            </w:r>
            <w:r w:rsidRPr="00253BF3">
              <w:rPr>
                <w:rFonts w:eastAsia="MS Mincho" w:cstheme="minorBidi"/>
              </w:rPr>
              <w:t>Sustained abstinence at 6 m</w:t>
            </w:r>
            <w:r>
              <w:rPr>
                <w:rFonts w:eastAsia="MS Mincho" w:cstheme="minorBidi"/>
              </w:rPr>
              <w:t>onths.</w:t>
            </w:r>
          </w:p>
          <w:p w:rsidR="007F30CC" w:rsidRPr="00253BF3" w:rsidRDefault="007F30CC" w:rsidP="006B48C7">
            <w:pPr>
              <w:pStyle w:val="Tablewriting"/>
              <w:rPr>
                <w:rFonts w:eastAsia="MS Mincho" w:cstheme="minorBidi"/>
              </w:rPr>
            </w:pPr>
            <w:r w:rsidRPr="00253BF3">
              <w:rPr>
                <w:rFonts w:eastAsia="MS Mincho" w:cstheme="minorBidi"/>
              </w:rPr>
              <w:t>Validation: CO at 2 - 4 w</w:t>
            </w:r>
            <w:r>
              <w:rPr>
                <w:rFonts w:eastAsia="MS Mincho" w:cstheme="minorBidi"/>
              </w:rPr>
              <w:t>ee</w:t>
            </w:r>
            <w:r w:rsidRPr="00253BF3">
              <w:rPr>
                <w:rFonts w:eastAsia="MS Mincho" w:cstheme="minorBidi"/>
              </w:rPr>
              <w:t>ks (none after 4 w</w:t>
            </w:r>
            <w:r>
              <w:rPr>
                <w:rFonts w:eastAsia="MS Mincho" w:cstheme="minorBidi"/>
              </w:rPr>
              <w:t>ee</w:t>
            </w:r>
            <w:r w:rsidRPr="00253BF3">
              <w:rPr>
                <w:rFonts w:eastAsia="MS Mincho" w:cstheme="minorBidi"/>
              </w:rPr>
              <w:t>ks)</w:t>
            </w:r>
          </w:p>
          <w:p w:rsidR="007F30CC" w:rsidRPr="004272CD" w:rsidRDefault="007F30CC" w:rsidP="006B48C7">
            <w:pPr>
              <w:pStyle w:val="Tablewriting"/>
              <w:rPr>
                <w:rFonts w:eastAsia="MS Mincho" w:cstheme="minorBidi"/>
                <w:u w:val="single"/>
              </w:rPr>
            </w:pPr>
          </w:p>
          <w:p w:rsidR="007F30CC" w:rsidRPr="00253BF3" w:rsidRDefault="007F30CC" w:rsidP="006B48C7">
            <w:pPr>
              <w:pStyle w:val="Tablewriting"/>
              <w:rPr>
                <w:rFonts w:eastAsia="MS Mincho" w:cstheme="minorBidi"/>
              </w:rPr>
            </w:pPr>
            <w:r w:rsidRPr="00253BF3">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253BF3">
              <w:rPr>
                <w:rFonts w:eastAsia="MS Mincho" w:cstheme="minorBidi"/>
              </w:rPr>
              <w:t>Adverse events</w:t>
            </w:r>
            <w:r>
              <w:rPr>
                <w:rFonts w:eastAsia="MS Mincho" w:cstheme="minorBidi"/>
              </w:rPr>
              <w:t xml:space="preserve"> </w:t>
            </w:r>
            <w:r w:rsidRPr="00253BF3">
              <w:rPr>
                <w:rFonts w:eastAsia="MS Mincho" w:cstheme="minorBidi"/>
              </w:rPr>
              <w:t>assessed weekly during treatment (4 weeks)</w:t>
            </w:r>
          </w:p>
          <w:p w:rsidR="007F30CC" w:rsidRPr="0139F213" w:rsidRDefault="007F30CC" w:rsidP="006B48C7">
            <w:pPr>
              <w:pStyle w:val="Tablewriting"/>
              <w:rPr>
                <w:rFonts w:eastAsia="MS Mincho" w:cstheme="minorBidi"/>
              </w:rPr>
            </w:pPr>
          </w:p>
        </w:tc>
      </w:tr>
      <w:tr w:rsidR="007F30CC" w:rsidRPr="00017AE6" w:rsidTr="00486A67">
        <w:trPr>
          <w:trHeight w:val="99"/>
        </w:trPr>
        <w:tc>
          <w:tcPr>
            <w:tcW w:w="541" w:type="pct"/>
          </w:tcPr>
          <w:p w:rsidR="007F30CC" w:rsidRPr="009526CC" w:rsidRDefault="007F30CC" w:rsidP="006B48C7">
            <w:pPr>
              <w:pStyle w:val="Tablewriting"/>
              <w:rPr>
                <w:rFonts w:eastAsia="MS Mincho"/>
              </w:rPr>
            </w:pPr>
            <w:r w:rsidRPr="0026737B">
              <w:rPr>
                <w:rFonts w:eastAsia="MS Mincho"/>
              </w:rPr>
              <w:t xml:space="preserve">Hughes </w:t>
            </w:r>
            <w:r>
              <w:rPr>
                <w:rFonts w:eastAsia="MS Mincho"/>
              </w:rPr>
              <w:t>(</w:t>
            </w:r>
            <w:r w:rsidRPr="0026737B">
              <w:rPr>
                <w:rFonts w:eastAsia="MS Mincho"/>
              </w:rPr>
              <w:t>2018</w:t>
            </w:r>
            <w:r>
              <w:rPr>
                <w:rFonts w:eastAsia="MS Mincho"/>
              </w:rPr>
              <w:t>)</w:t>
            </w:r>
          </w:p>
        </w:tc>
        <w:tc>
          <w:tcPr>
            <w:tcW w:w="235" w:type="pct"/>
          </w:tcPr>
          <w:p w:rsidR="007F30CC" w:rsidRPr="00017AE6" w:rsidRDefault="007F30CC" w:rsidP="006B48C7">
            <w:pPr>
              <w:pStyle w:val="Tablewriting"/>
              <w:rPr>
                <w:rFonts w:eastAsia="MS Mincho" w:cstheme="minorHAnsi"/>
              </w:rPr>
            </w:pPr>
            <w:r>
              <w:rPr>
                <w:rFonts w:eastAsia="MS Mincho" w:cstheme="minorHAnsi"/>
              </w:rPr>
              <w:t>RCT</w:t>
            </w:r>
          </w:p>
        </w:tc>
        <w:tc>
          <w:tcPr>
            <w:tcW w:w="418" w:type="pct"/>
          </w:tcPr>
          <w:p w:rsidR="007F30CC" w:rsidRPr="00017AE6" w:rsidRDefault="007F30CC" w:rsidP="006B48C7">
            <w:pPr>
              <w:pStyle w:val="Tablewriting"/>
              <w:rPr>
                <w:rFonts w:eastAsia="MS Mincho" w:cstheme="minorHAnsi"/>
              </w:rPr>
            </w:pPr>
            <w:r>
              <w:rPr>
                <w:rFonts w:eastAsia="MS Mincho" w:cstheme="minorHAnsi"/>
              </w:rPr>
              <w:t>USA</w:t>
            </w:r>
          </w:p>
        </w:tc>
        <w:tc>
          <w:tcPr>
            <w:tcW w:w="350" w:type="pct"/>
          </w:tcPr>
          <w:p w:rsidR="007F30CC" w:rsidRPr="00017AE6" w:rsidRDefault="007F30CC" w:rsidP="006B48C7">
            <w:pPr>
              <w:pStyle w:val="Tablewriting"/>
              <w:rPr>
                <w:rFonts w:eastAsia="MS Mincho" w:cstheme="minorHAnsi"/>
              </w:rPr>
            </w:pPr>
            <w:r>
              <w:rPr>
                <w:rFonts w:eastAsia="MS Mincho" w:cstheme="minorHAnsi"/>
              </w:rPr>
              <w:t>N=701</w:t>
            </w:r>
          </w:p>
        </w:tc>
        <w:tc>
          <w:tcPr>
            <w:tcW w:w="1168" w:type="pct"/>
          </w:tcPr>
          <w:p w:rsidR="007F30CC" w:rsidRPr="00253BF3" w:rsidRDefault="007F30CC" w:rsidP="006B48C7">
            <w:pPr>
              <w:pStyle w:val="Tablewriting"/>
              <w:rPr>
                <w:rFonts w:eastAsia="MS Mincho" w:cstheme="minorHAnsi"/>
              </w:rPr>
            </w:pPr>
            <w:r>
              <w:rPr>
                <w:rFonts w:eastAsia="MS Mincho" w:cstheme="minorHAnsi"/>
              </w:rPr>
              <w:t>S</w:t>
            </w:r>
            <w:r w:rsidRPr="00253BF3">
              <w:rPr>
                <w:rFonts w:eastAsia="MS Mincho" w:cstheme="minorHAnsi"/>
              </w:rPr>
              <w:t xml:space="preserve">mokers: aged </w:t>
            </w:r>
            <w:r w:rsidRPr="00E632A9">
              <w:rPr>
                <w:rFonts w:eastAsia="MS Mincho" w:cstheme="minorHAnsi"/>
              </w:rPr>
              <w:t>≥</w:t>
            </w:r>
            <w:r w:rsidRPr="00253BF3">
              <w:rPr>
                <w:rFonts w:eastAsia="MS Mincho" w:cstheme="minorHAnsi"/>
              </w:rPr>
              <w:t>18 y</w:t>
            </w:r>
            <w:r>
              <w:rPr>
                <w:rFonts w:eastAsia="MS Mincho" w:cstheme="minorHAnsi"/>
              </w:rPr>
              <w:t>ea</w:t>
            </w:r>
            <w:r w:rsidRPr="00253BF3">
              <w:rPr>
                <w:rFonts w:eastAsia="MS Mincho" w:cstheme="minorHAnsi"/>
              </w:rPr>
              <w:t xml:space="preserve">rs, </w:t>
            </w:r>
            <w:r w:rsidRPr="00E632A9">
              <w:rPr>
                <w:rFonts w:eastAsia="MS Mincho" w:cstheme="minorHAnsi"/>
              </w:rPr>
              <w:t>≥</w:t>
            </w:r>
            <w:r w:rsidRPr="00253BF3">
              <w:rPr>
                <w:rFonts w:eastAsia="MS Mincho" w:cstheme="minorHAnsi"/>
              </w:rPr>
              <w:t xml:space="preserve">10 </w:t>
            </w:r>
            <w:r>
              <w:rPr>
                <w:rFonts w:eastAsia="MS Mincho" w:cstheme="minorHAnsi"/>
              </w:rPr>
              <w:t>CPD</w:t>
            </w:r>
            <w:r w:rsidRPr="00253BF3">
              <w:rPr>
                <w:rFonts w:eastAsia="MS Mincho" w:cstheme="minorHAnsi"/>
              </w:rPr>
              <w:t xml:space="preserve"> for </w:t>
            </w:r>
            <w:r w:rsidRPr="00E632A9">
              <w:rPr>
                <w:rFonts w:eastAsia="MS Mincho" w:cstheme="minorHAnsi"/>
              </w:rPr>
              <w:t>≥</w:t>
            </w:r>
            <w:r w:rsidRPr="00253BF3">
              <w:rPr>
                <w:rFonts w:eastAsia="MS Mincho" w:cstheme="minorHAnsi"/>
              </w:rPr>
              <w:t>1 y</w:t>
            </w:r>
            <w:r>
              <w:rPr>
                <w:rFonts w:eastAsia="MS Mincho" w:cstheme="minorHAnsi"/>
              </w:rPr>
              <w:t>ea</w:t>
            </w:r>
            <w:r w:rsidRPr="00253BF3">
              <w:rPr>
                <w:rFonts w:eastAsia="MS Mincho" w:cstheme="minorHAnsi"/>
              </w:rPr>
              <w:t>r, probably or definitely intend to quit smoking in the next</w:t>
            </w:r>
            <w:r>
              <w:rPr>
                <w:rFonts w:eastAsia="MS Mincho" w:cstheme="minorHAnsi"/>
              </w:rPr>
              <w:t xml:space="preserve"> </w:t>
            </w:r>
            <w:r w:rsidRPr="00253BF3">
              <w:rPr>
                <w:rFonts w:eastAsia="MS Mincho" w:cstheme="minorHAnsi"/>
              </w:rPr>
              <w:t>month, no medical caution to use of patch, no use of other nicotine or tobacco products in the last</w:t>
            </w:r>
            <w:r>
              <w:rPr>
                <w:rFonts w:eastAsia="MS Mincho" w:cstheme="minorHAnsi"/>
              </w:rPr>
              <w:t xml:space="preserve"> </w:t>
            </w:r>
            <w:r w:rsidRPr="00253BF3">
              <w:rPr>
                <w:rFonts w:eastAsia="MS Mincho" w:cstheme="minorHAnsi"/>
              </w:rPr>
              <w:t>month</w:t>
            </w:r>
          </w:p>
          <w:p w:rsidR="007F30CC" w:rsidRPr="00017AE6" w:rsidRDefault="007F30CC" w:rsidP="006B48C7">
            <w:pPr>
              <w:pStyle w:val="Tablewriting"/>
              <w:rPr>
                <w:rFonts w:eastAsia="MS Mincho" w:cstheme="minorHAnsi"/>
              </w:rPr>
            </w:pPr>
            <w:r w:rsidRPr="00253BF3">
              <w:rPr>
                <w:rFonts w:eastAsia="MS Mincho" w:cstheme="minorHAnsi"/>
              </w:rPr>
              <w:t>43.5% men; av</w:t>
            </w:r>
            <w:r>
              <w:rPr>
                <w:rFonts w:eastAsia="MS Mincho" w:cstheme="minorHAnsi"/>
              </w:rPr>
              <w:t>erage</w:t>
            </w:r>
            <w:r w:rsidRPr="00253BF3">
              <w:rPr>
                <w:rFonts w:eastAsia="MS Mincho" w:cstheme="minorHAnsi"/>
              </w:rPr>
              <w:t xml:space="preserve"> </w:t>
            </w:r>
            <w:r>
              <w:rPr>
                <w:rFonts w:eastAsia="MS Mincho" w:cstheme="minorHAnsi"/>
              </w:rPr>
              <w:t xml:space="preserve">CPD </w:t>
            </w:r>
            <w:r w:rsidRPr="00253BF3">
              <w:rPr>
                <w:rFonts w:eastAsia="MS Mincho" w:cstheme="minorHAnsi"/>
              </w:rPr>
              <w:t>19; FTND</w:t>
            </w:r>
            <w:r>
              <w:rPr>
                <w:rFonts w:eastAsia="MS Mincho" w:cstheme="minorHAnsi"/>
              </w:rPr>
              <w:t xml:space="preserve"> </w:t>
            </w:r>
            <w:r w:rsidRPr="00253BF3">
              <w:rPr>
                <w:rFonts w:eastAsia="MS Mincho" w:cstheme="minorHAnsi"/>
              </w:rPr>
              <w:t>5.5; av</w:t>
            </w:r>
            <w:r>
              <w:rPr>
                <w:rFonts w:eastAsia="MS Mincho" w:cstheme="minorHAnsi"/>
              </w:rPr>
              <w:t xml:space="preserve">erage </w:t>
            </w:r>
            <w:r w:rsidRPr="00253BF3">
              <w:rPr>
                <w:rFonts w:eastAsia="MS Mincho" w:cstheme="minorHAnsi"/>
              </w:rPr>
              <w:t>age started smoking 17.8</w:t>
            </w:r>
            <w:r>
              <w:rPr>
                <w:rFonts w:eastAsia="MS Mincho" w:cstheme="minorHAnsi"/>
              </w:rPr>
              <w:t xml:space="preserve"> years</w:t>
            </w:r>
            <w:r w:rsidRPr="00253BF3">
              <w:rPr>
                <w:rFonts w:eastAsia="MS Mincho" w:cstheme="minorHAnsi"/>
              </w:rPr>
              <w:t>; any prior quit attempt 78%</w:t>
            </w:r>
            <w:r>
              <w:rPr>
                <w:rFonts w:eastAsia="MS Mincho" w:cstheme="minorHAnsi"/>
              </w:rPr>
              <w:t>.</w:t>
            </w:r>
          </w:p>
        </w:tc>
        <w:tc>
          <w:tcPr>
            <w:tcW w:w="1288" w:type="pct"/>
          </w:tcPr>
          <w:p w:rsidR="007F30CC" w:rsidRDefault="007F30CC" w:rsidP="00C324F3">
            <w:pPr>
              <w:pStyle w:val="ListParagraph"/>
              <w:numPr>
                <w:ilvl w:val="0"/>
                <w:numId w:val="202"/>
              </w:numPr>
              <w:rPr>
                <w:rFonts w:eastAsia="MS Mincho"/>
                <w:lang w:eastAsia="en-US"/>
              </w:rPr>
            </w:pPr>
            <w:r w:rsidRPr="00C5295E">
              <w:rPr>
                <w:rFonts w:eastAsia="MS Mincho"/>
                <w:lang w:eastAsia="en-US"/>
              </w:rPr>
              <w:t>Participants advised to 'continue' nicotine patch use in the case of a lapse post-quit day</w:t>
            </w:r>
          </w:p>
          <w:p w:rsidR="007F30CC" w:rsidRDefault="007F30CC" w:rsidP="00C324F3">
            <w:pPr>
              <w:pStyle w:val="ListParagraph"/>
              <w:numPr>
                <w:ilvl w:val="0"/>
                <w:numId w:val="202"/>
              </w:numPr>
              <w:rPr>
                <w:rFonts w:eastAsia="MS Mincho"/>
                <w:lang w:eastAsia="en-US"/>
              </w:rPr>
            </w:pPr>
            <w:r w:rsidRPr="00C5295E">
              <w:rPr>
                <w:rFonts w:eastAsia="MS Mincho"/>
                <w:lang w:eastAsia="en-US"/>
              </w:rPr>
              <w:t>Participants advised to 'discontinue' nicotine patch use in the case of a lapse post-quit day</w:t>
            </w:r>
          </w:p>
          <w:p w:rsidR="007F30CC" w:rsidRDefault="007F30CC" w:rsidP="006B48C7">
            <w:pPr>
              <w:rPr>
                <w:rFonts w:eastAsia="MS Mincho"/>
                <w:lang w:eastAsia="en-US"/>
              </w:rPr>
            </w:pPr>
          </w:p>
          <w:p w:rsidR="007F30CC" w:rsidRDefault="007F30CC" w:rsidP="006B48C7">
            <w:pPr>
              <w:rPr>
                <w:rFonts w:eastAsia="MS Mincho"/>
                <w:lang w:eastAsia="en-US"/>
              </w:rPr>
            </w:pPr>
            <w:r w:rsidRPr="00C5295E">
              <w:rPr>
                <w:rFonts w:eastAsia="MS Mincho"/>
                <w:u w:val="single"/>
                <w:lang w:eastAsia="en-US"/>
              </w:rPr>
              <w:t>Common component</w:t>
            </w:r>
            <w:r>
              <w:rPr>
                <w:rFonts w:eastAsia="MS Mincho"/>
                <w:lang w:eastAsia="en-US"/>
              </w:rPr>
              <w:t>:</w:t>
            </w:r>
          </w:p>
          <w:p w:rsidR="007F30CC" w:rsidRPr="00C5295E" w:rsidRDefault="007F30CC" w:rsidP="006B48C7">
            <w:pPr>
              <w:rPr>
                <w:rFonts w:eastAsia="MS Mincho"/>
                <w:lang w:eastAsia="en-US"/>
              </w:rPr>
            </w:pPr>
            <w:r w:rsidRPr="00C5295E">
              <w:rPr>
                <w:rFonts w:eastAsia="MS Mincho"/>
                <w:lang w:eastAsia="en-US"/>
              </w:rPr>
              <w:t>For both groups’ counsellors delivered the instructions above at least 8 times throughout the interventions,</w:t>
            </w:r>
          </w:p>
          <w:p w:rsidR="007F30CC" w:rsidRDefault="007F30CC" w:rsidP="006B48C7">
            <w:pPr>
              <w:rPr>
                <w:rFonts w:eastAsia="MS Mincho"/>
                <w:lang w:eastAsia="en-US"/>
              </w:rPr>
            </w:pPr>
            <w:r w:rsidRPr="00C5295E">
              <w:rPr>
                <w:rFonts w:eastAsia="MS Mincho"/>
                <w:lang w:eastAsia="en-US"/>
              </w:rPr>
              <w:t>and patches were provided for 10 weeks post-quit date. For all participants the behavioural</w:t>
            </w:r>
            <w:r>
              <w:rPr>
                <w:rFonts w:eastAsia="MS Mincho"/>
                <w:lang w:eastAsia="en-US"/>
              </w:rPr>
              <w:t xml:space="preserve"> </w:t>
            </w:r>
            <w:r w:rsidRPr="00C5295E">
              <w:rPr>
                <w:rFonts w:eastAsia="MS Mincho"/>
                <w:lang w:eastAsia="en-US"/>
              </w:rPr>
              <w:t>counselling protocol was based on USPHS Clinical Practice Guidelines that emphasize the provision of</w:t>
            </w:r>
            <w:r>
              <w:rPr>
                <w:rFonts w:eastAsia="MS Mincho"/>
                <w:lang w:eastAsia="en-US"/>
              </w:rPr>
              <w:t xml:space="preserve"> </w:t>
            </w:r>
            <w:r w:rsidRPr="00C5295E">
              <w:rPr>
                <w:rFonts w:eastAsia="MS Mincho"/>
                <w:lang w:eastAsia="en-US"/>
              </w:rPr>
              <w:t xml:space="preserve">social support </w:t>
            </w:r>
            <w:r w:rsidRPr="00C5295E">
              <w:rPr>
                <w:rFonts w:eastAsia="MS Mincho"/>
                <w:lang w:eastAsia="en-US"/>
              </w:rPr>
              <w:lastRenderedPageBreak/>
              <w:t>and problem-solving around high-risk-for-lapse situations.</w:t>
            </w:r>
            <w:r>
              <w:rPr>
                <w:rFonts w:eastAsia="MS Mincho"/>
                <w:lang w:eastAsia="en-US"/>
              </w:rPr>
              <w:t xml:space="preserve"> </w:t>
            </w:r>
          </w:p>
          <w:p w:rsidR="007F30CC" w:rsidRPr="000F3529" w:rsidRDefault="007F30CC" w:rsidP="006B48C7">
            <w:pPr>
              <w:rPr>
                <w:rFonts w:eastAsia="MS Mincho"/>
                <w:lang w:eastAsia="en-US"/>
              </w:rPr>
            </w:pPr>
            <w:r w:rsidRPr="000F3529">
              <w:rPr>
                <w:rFonts w:eastAsia="MS Mincho"/>
                <w:lang w:eastAsia="en-US"/>
              </w:rPr>
              <w:t>Counselling was delivered in</w:t>
            </w:r>
          </w:p>
          <w:p w:rsidR="007F30CC" w:rsidRPr="00C5295E" w:rsidRDefault="007F30CC" w:rsidP="006B48C7">
            <w:pPr>
              <w:rPr>
                <w:rFonts w:eastAsia="MS Mincho"/>
                <w:lang w:eastAsia="en-US"/>
              </w:rPr>
            </w:pPr>
            <w:r w:rsidRPr="000F3529">
              <w:rPr>
                <w:rFonts w:eastAsia="MS Mincho"/>
                <w:lang w:eastAsia="en-US"/>
              </w:rPr>
              <w:t>6 proactive phone calls that occurred 7 and 3 days before, and 2, 7, 14, and 28 days after participants</w:t>
            </w:r>
            <w:r>
              <w:rPr>
                <w:rFonts w:eastAsia="MS Mincho"/>
                <w:lang w:eastAsia="en-US"/>
              </w:rPr>
              <w:t xml:space="preserve"> </w:t>
            </w:r>
            <w:r w:rsidRPr="000F3529">
              <w:rPr>
                <w:rFonts w:eastAsia="MS Mincho"/>
                <w:lang w:eastAsia="en-US"/>
              </w:rPr>
              <w:t>designated quit date. The first call lasted about 20 mins; subsequent calls were 10 – 15 mins</w:t>
            </w:r>
            <w:r>
              <w:rPr>
                <w:rFonts w:eastAsia="MS Mincho"/>
                <w:lang w:eastAsia="en-US"/>
              </w:rPr>
              <w:t xml:space="preserve">. </w:t>
            </w:r>
          </w:p>
        </w:tc>
        <w:tc>
          <w:tcPr>
            <w:tcW w:w="1000" w:type="pct"/>
          </w:tcPr>
          <w:p w:rsidR="007F30CC" w:rsidRPr="00896B2B" w:rsidRDefault="007F30CC" w:rsidP="006B48C7">
            <w:pPr>
              <w:pStyle w:val="Tablewriting"/>
              <w:rPr>
                <w:rFonts w:eastAsia="MS Mincho" w:cstheme="minorBidi"/>
              </w:rPr>
            </w:pPr>
            <w:r w:rsidRPr="00896B2B">
              <w:rPr>
                <w:rFonts w:eastAsia="MS Mincho" w:cstheme="minorBidi"/>
                <w:u w:val="single"/>
              </w:rPr>
              <w:lastRenderedPageBreak/>
              <w:t>Efficacy</w:t>
            </w:r>
            <w:r w:rsidRPr="0139F213">
              <w:rPr>
                <w:rFonts w:eastAsia="MS Mincho" w:cstheme="minorBidi"/>
                <w:u w:val="single"/>
              </w:rPr>
              <w:t>:</w:t>
            </w:r>
            <w:r>
              <w:rPr>
                <w:rFonts w:eastAsia="MS Mincho" w:cstheme="minorBidi"/>
                <w:u w:val="single"/>
              </w:rPr>
              <w:t xml:space="preserve"> </w:t>
            </w:r>
            <w:r w:rsidRPr="00896B2B">
              <w:rPr>
                <w:rFonts w:eastAsia="MS Mincho" w:cstheme="minorBidi"/>
              </w:rPr>
              <w:t>Self-reported 7-day PPA smoking abstinence at 6 m post-quit</w:t>
            </w:r>
            <w:r>
              <w:rPr>
                <w:rFonts w:eastAsia="MS Mincho" w:cstheme="minorBidi"/>
              </w:rPr>
              <w:t xml:space="preserve">, </w:t>
            </w:r>
            <w:r w:rsidRPr="00896B2B">
              <w:rPr>
                <w:rFonts w:eastAsia="MS Mincho" w:cstheme="minorBidi"/>
              </w:rPr>
              <w:t>Self-reported 7-day PPA at 4 m post-quit</w:t>
            </w:r>
            <w:r>
              <w:rPr>
                <w:rFonts w:eastAsia="MS Mincho" w:cstheme="minorBidi"/>
              </w:rPr>
              <w:t>.</w:t>
            </w:r>
          </w:p>
          <w:p w:rsidR="007F30CC" w:rsidRPr="004272CD" w:rsidRDefault="007F30CC" w:rsidP="006B48C7">
            <w:pPr>
              <w:pStyle w:val="Tablewriting"/>
              <w:rPr>
                <w:rFonts w:eastAsia="MS Mincho" w:cstheme="minorBidi"/>
                <w:u w:val="single"/>
              </w:rPr>
            </w:pPr>
          </w:p>
          <w:p w:rsidR="007F30CC" w:rsidRPr="00896B2B" w:rsidRDefault="007F30CC" w:rsidP="006B48C7">
            <w:pPr>
              <w:pStyle w:val="Tablewriting"/>
              <w:rPr>
                <w:rFonts w:eastAsia="MS Mincho" w:cstheme="minorBidi"/>
              </w:rPr>
            </w:pPr>
            <w:r w:rsidRPr="00896B2B">
              <w:rPr>
                <w:rFonts w:eastAsia="MS Mincho" w:cstheme="minorBidi"/>
                <w:u w:val="single"/>
              </w:rPr>
              <w:t>Safety</w:t>
            </w:r>
            <w:r w:rsidRPr="00896B2B">
              <w:rPr>
                <w:rFonts w:eastAsia="MS Mincho" w:cstheme="minorBidi"/>
              </w:rPr>
              <w:t>: Adverse events measured to 1-week post-treatment (12 weeks).</w:t>
            </w:r>
          </w:p>
          <w:p w:rsidR="007F30CC" w:rsidRPr="0139F213" w:rsidRDefault="007F30CC" w:rsidP="006B48C7">
            <w:pPr>
              <w:pStyle w:val="Tablewriting"/>
              <w:rPr>
                <w:rFonts w:eastAsia="MS Mincho" w:cstheme="minorBidi"/>
              </w:rPr>
            </w:pPr>
          </w:p>
        </w:tc>
      </w:tr>
      <w:tr w:rsidR="007F30CC" w:rsidRPr="00017AE6" w:rsidTr="00486A67">
        <w:trPr>
          <w:trHeight w:val="99"/>
        </w:trPr>
        <w:tc>
          <w:tcPr>
            <w:tcW w:w="541" w:type="pct"/>
          </w:tcPr>
          <w:p w:rsidR="007F30CC" w:rsidRPr="0026737B" w:rsidRDefault="007F30CC" w:rsidP="006B48C7">
            <w:pPr>
              <w:pStyle w:val="Tablewriting"/>
              <w:rPr>
                <w:rFonts w:eastAsia="MS Mincho"/>
              </w:rPr>
            </w:pPr>
            <w:r w:rsidRPr="00333BCD">
              <w:rPr>
                <w:rFonts w:eastAsia="MS Mincho"/>
              </w:rPr>
              <w:t xml:space="preserve">Tulloch </w:t>
            </w:r>
            <w:r>
              <w:rPr>
                <w:rFonts w:eastAsia="MS Mincho"/>
              </w:rPr>
              <w:t>(</w:t>
            </w:r>
            <w:r w:rsidRPr="00333BCD">
              <w:rPr>
                <w:rFonts w:eastAsia="MS Mincho"/>
              </w:rPr>
              <w:t>2016</w:t>
            </w:r>
            <w:r>
              <w:rPr>
                <w:rFonts w:eastAsia="MS Mincho"/>
              </w:rPr>
              <w:t>)</w:t>
            </w:r>
          </w:p>
        </w:tc>
        <w:tc>
          <w:tcPr>
            <w:tcW w:w="235" w:type="pct"/>
          </w:tcPr>
          <w:p w:rsidR="007F30CC" w:rsidRPr="00017AE6" w:rsidRDefault="007F30CC" w:rsidP="006B48C7">
            <w:pPr>
              <w:pStyle w:val="Tablewriting"/>
              <w:rPr>
                <w:rFonts w:eastAsia="MS Mincho" w:cstheme="minorHAnsi"/>
              </w:rPr>
            </w:pPr>
            <w:r>
              <w:rPr>
                <w:rFonts w:eastAsia="MS Mincho" w:cstheme="minorHAnsi"/>
              </w:rPr>
              <w:t>RCT</w:t>
            </w:r>
          </w:p>
        </w:tc>
        <w:tc>
          <w:tcPr>
            <w:tcW w:w="418" w:type="pct"/>
          </w:tcPr>
          <w:p w:rsidR="007F30CC" w:rsidRPr="00017AE6" w:rsidRDefault="007F30CC" w:rsidP="006B48C7">
            <w:pPr>
              <w:pStyle w:val="Tablewriting"/>
              <w:rPr>
                <w:rFonts w:eastAsia="MS Mincho" w:cstheme="minorHAnsi"/>
              </w:rPr>
            </w:pPr>
            <w:r>
              <w:rPr>
                <w:rFonts w:eastAsia="MS Mincho" w:cstheme="minorHAnsi"/>
              </w:rPr>
              <w:t>Canada</w:t>
            </w:r>
          </w:p>
        </w:tc>
        <w:tc>
          <w:tcPr>
            <w:tcW w:w="350" w:type="pct"/>
          </w:tcPr>
          <w:p w:rsidR="007F30CC" w:rsidRPr="00017AE6" w:rsidRDefault="007F30CC" w:rsidP="006B48C7">
            <w:pPr>
              <w:pStyle w:val="Tablewriting"/>
              <w:rPr>
                <w:rFonts w:eastAsia="MS Mincho" w:cstheme="minorHAnsi"/>
              </w:rPr>
            </w:pPr>
            <w:r>
              <w:rPr>
                <w:rFonts w:eastAsia="MS Mincho" w:cstheme="minorHAnsi"/>
              </w:rPr>
              <w:t>N=737</w:t>
            </w:r>
          </w:p>
        </w:tc>
        <w:tc>
          <w:tcPr>
            <w:tcW w:w="1168" w:type="pct"/>
          </w:tcPr>
          <w:p w:rsidR="007F30CC" w:rsidRPr="00227774" w:rsidRDefault="007F30CC" w:rsidP="006B48C7">
            <w:pPr>
              <w:pStyle w:val="Tablewriting"/>
              <w:rPr>
                <w:rFonts w:eastAsia="MS Mincho" w:cstheme="minorHAnsi"/>
              </w:rPr>
            </w:pPr>
            <w:r>
              <w:rPr>
                <w:rFonts w:eastAsia="MS Mincho" w:cstheme="minorHAnsi"/>
              </w:rPr>
              <w:t>S</w:t>
            </w:r>
            <w:r w:rsidRPr="00227774">
              <w:rPr>
                <w:rFonts w:eastAsia="MS Mincho" w:cstheme="minorHAnsi"/>
              </w:rPr>
              <w:t xml:space="preserve">mokers (490 in relevant trial arms); aged </w:t>
            </w:r>
            <w:r w:rsidRPr="00E632A9">
              <w:rPr>
                <w:rFonts w:eastAsia="MS Mincho" w:cstheme="minorHAnsi"/>
              </w:rPr>
              <w:t>≥</w:t>
            </w:r>
            <w:r w:rsidRPr="00227774">
              <w:rPr>
                <w:rFonts w:eastAsia="MS Mincho" w:cstheme="minorHAnsi"/>
              </w:rPr>
              <w:t xml:space="preserve">18 years, </w:t>
            </w:r>
            <w:r w:rsidRPr="00E632A9">
              <w:rPr>
                <w:rFonts w:eastAsia="MS Mincho" w:cstheme="minorHAnsi"/>
              </w:rPr>
              <w:t>≥</w:t>
            </w:r>
            <w:r w:rsidRPr="00227774">
              <w:rPr>
                <w:rFonts w:eastAsia="MS Mincho" w:cstheme="minorHAnsi"/>
              </w:rPr>
              <w:t xml:space="preserve">10 </w:t>
            </w:r>
            <w:r>
              <w:rPr>
                <w:rFonts w:eastAsia="MS Mincho" w:cstheme="minorHAnsi"/>
              </w:rPr>
              <w:t>CPD</w:t>
            </w:r>
            <w:r w:rsidRPr="00227774">
              <w:rPr>
                <w:rFonts w:eastAsia="MS Mincho" w:cstheme="minorHAnsi"/>
              </w:rPr>
              <w:t>, willing to make a quit attempt in the</w:t>
            </w:r>
          </w:p>
          <w:p w:rsidR="007F30CC" w:rsidRPr="00227774" w:rsidRDefault="007F30CC" w:rsidP="006B48C7">
            <w:pPr>
              <w:pStyle w:val="Tablewriting"/>
              <w:rPr>
                <w:rFonts w:eastAsia="MS Mincho" w:cstheme="minorHAnsi"/>
              </w:rPr>
            </w:pPr>
            <w:r w:rsidRPr="00227774">
              <w:rPr>
                <w:rFonts w:eastAsia="MS Mincho" w:cstheme="minorHAnsi"/>
              </w:rPr>
              <w:t>next 2 - 4 w</w:t>
            </w:r>
            <w:r>
              <w:rPr>
                <w:rFonts w:eastAsia="MS Mincho" w:cstheme="minorHAnsi"/>
              </w:rPr>
              <w:t>ee</w:t>
            </w:r>
            <w:r w:rsidRPr="00227774">
              <w:rPr>
                <w:rFonts w:eastAsia="MS Mincho" w:cstheme="minorHAnsi"/>
              </w:rPr>
              <w:t>ks</w:t>
            </w:r>
            <w:r>
              <w:rPr>
                <w:rFonts w:eastAsia="MS Mincho" w:cstheme="minorHAnsi"/>
              </w:rPr>
              <w:t>.</w:t>
            </w:r>
          </w:p>
          <w:p w:rsidR="007F30CC" w:rsidRPr="00017AE6" w:rsidRDefault="007F30CC" w:rsidP="006B48C7">
            <w:pPr>
              <w:pStyle w:val="Tablewriting"/>
              <w:rPr>
                <w:rFonts w:eastAsia="MS Mincho" w:cstheme="minorHAnsi"/>
              </w:rPr>
            </w:pPr>
            <w:r w:rsidRPr="00227774">
              <w:rPr>
                <w:rFonts w:eastAsia="MS Mincho" w:cstheme="minorHAnsi"/>
              </w:rPr>
              <w:t>53.6% men, av</w:t>
            </w:r>
            <w:r>
              <w:rPr>
                <w:rFonts w:eastAsia="MS Mincho" w:cstheme="minorHAnsi"/>
              </w:rPr>
              <w:t>erage</w:t>
            </w:r>
            <w:r w:rsidRPr="00227774">
              <w:rPr>
                <w:rFonts w:eastAsia="MS Mincho" w:cstheme="minorHAnsi"/>
              </w:rPr>
              <w:t xml:space="preserve"> age 48.6, av</w:t>
            </w:r>
            <w:r>
              <w:rPr>
                <w:rFonts w:eastAsia="MS Mincho" w:cstheme="minorHAnsi"/>
              </w:rPr>
              <w:t>erage</w:t>
            </w:r>
            <w:r w:rsidRPr="00227774">
              <w:rPr>
                <w:rFonts w:eastAsia="MS Mincho" w:cstheme="minorHAnsi"/>
              </w:rPr>
              <w:t xml:space="preserve"> </w:t>
            </w:r>
            <w:r>
              <w:rPr>
                <w:rFonts w:eastAsia="MS Mincho" w:cstheme="minorHAnsi"/>
              </w:rPr>
              <w:t>CPD</w:t>
            </w:r>
            <w:r w:rsidRPr="00227774">
              <w:rPr>
                <w:rFonts w:eastAsia="MS Mincho" w:cstheme="minorHAnsi"/>
              </w:rPr>
              <w:t xml:space="preserve"> 23.2, mean FTND 6.1, av</w:t>
            </w:r>
            <w:r>
              <w:rPr>
                <w:rFonts w:eastAsia="MS Mincho" w:cstheme="minorHAnsi"/>
              </w:rPr>
              <w:t>erage</w:t>
            </w:r>
            <w:r w:rsidRPr="00227774">
              <w:rPr>
                <w:rFonts w:eastAsia="MS Mincho" w:cstheme="minorHAnsi"/>
              </w:rPr>
              <w:t xml:space="preserve"> years smoked 31, av</w:t>
            </w:r>
            <w:r>
              <w:rPr>
                <w:rFonts w:eastAsia="MS Mincho" w:cstheme="minorHAnsi"/>
              </w:rPr>
              <w:t>erage</w:t>
            </w:r>
            <w:r w:rsidRPr="00227774">
              <w:rPr>
                <w:rFonts w:eastAsia="MS Mincho" w:cstheme="minorHAnsi"/>
              </w:rPr>
              <w:t xml:space="preserve"> number of previous quit</w:t>
            </w:r>
            <w:r>
              <w:rPr>
                <w:rFonts w:eastAsia="MS Mincho" w:cstheme="minorHAnsi"/>
              </w:rPr>
              <w:t xml:space="preserve"> </w:t>
            </w:r>
            <w:r w:rsidRPr="00227774">
              <w:rPr>
                <w:rFonts w:eastAsia="MS Mincho" w:cstheme="minorHAnsi"/>
              </w:rPr>
              <w:t>attempts 4.6</w:t>
            </w:r>
            <w:r>
              <w:rPr>
                <w:rFonts w:eastAsia="MS Mincho" w:cstheme="minorHAnsi"/>
              </w:rPr>
              <w:t xml:space="preserve">. </w:t>
            </w:r>
          </w:p>
        </w:tc>
        <w:tc>
          <w:tcPr>
            <w:tcW w:w="1288" w:type="pct"/>
          </w:tcPr>
          <w:p w:rsidR="007F30CC" w:rsidRPr="004753C7" w:rsidRDefault="007F30CC" w:rsidP="00C324F3">
            <w:pPr>
              <w:pStyle w:val="ListParagraph"/>
              <w:numPr>
                <w:ilvl w:val="0"/>
                <w:numId w:val="203"/>
              </w:numPr>
              <w:rPr>
                <w:rFonts w:eastAsia="MS Mincho"/>
                <w:lang w:eastAsia="en-US"/>
              </w:rPr>
            </w:pPr>
            <w:r w:rsidRPr="004753C7">
              <w:rPr>
                <w:rFonts w:eastAsia="MS Mincho"/>
                <w:lang w:eastAsia="en-US"/>
              </w:rPr>
              <w:t>Nicotine patch for 10 w</w:t>
            </w:r>
            <w:r>
              <w:rPr>
                <w:rFonts w:eastAsia="MS Mincho"/>
                <w:lang w:eastAsia="en-US"/>
              </w:rPr>
              <w:t>ee</w:t>
            </w:r>
            <w:r w:rsidRPr="004753C7">
              <w:rPr>
                <w:rFonts w:eastAsia="MS Mincho"/>
                <w:lang w:eastAsia="en-US"/>
              </w:rPr>
              <w:t>ks beginning on quit day (maximum 21 mg/day or 14 mg/day depending on</w:t>
            </w:r>
            <w:r>
              <w:rPr>
                <w:rFonts w:eastAsia="MS Mincho"/>
                <w:lang w:eastAsia="en-US"/>
              </w:rPr>
              <w:t xml:space="preserve"> </w:t>
            </w:r>
            <w:r w:rsidRPr="004753C7">
              <w:rPr>
                <w:rFonts w:eastAsia="MS Mincho"/>
                <w:lang w:eastAsia="en-US"/>
              </w:rPr>
              <w:t xml:space="preserve">baseline </w:t>
            </w:r>
            <w:r>
              <w:rPr>
                <w:rFonts w:eastAsia="MS Mincho"/>
                <w:lang w:eastAsia="en-US"/>
              </w:rPr>
              <w:t>CPD</w:t>
            </w:r>
            <w:r w:rsidRPr="004753C7">
              <w:rPr>
                <w:rFonts w:eastAsia="MS Mincho"/>
                <w:lang w:eastAsia="en-US"/>
              </w:rPr>
              <w:t>, decreasing from week 7)</w:t>
            </w:r>
          </w:p>
          <w:p w:rsidR="007F30CC" w:rsidRPr="004753C7" w:rsidRDefault="007F30CC" w:rsidP="00C324F3">
            <w:pPr>
              <w:pStyle w:val="ListParagraph"/>
              <w:numPr>
                <w:ilvl w:val="0"/>
                <w:numId w:val="203"/>
              </w:numPr>
              <w:rPr>
                <w:rFonts w:eastAsia="MS Mincho"/>
                <w:lang w:eastAsia="en-US"/>
              </w:rPr>
            </w:pPr>
            <w:r w:rsidRPr="004753C7">
              <w:rPr>
                <w:rFonts w:eastAsia="MS Mincho"/>
                <w:lang w:eastAsia="en-US"/>
              </w:rPr>
              <w:t>Self-titrated nicotine patch (maximum 35 mg/day) and ad libitum nicotine gum or inhaler for up to</w:t>
            </w:r>
            <w:r>
              <w:rPr>
                <w:rFonts w:eastAsia="MS Mincho"/>
                <w:lang w:eastAsia="en-US"/>
              </w:rPr>
              <w:t xml:space="preserve"> </w:t>
            </w:r>
            <w:r w:rsidRPr="004753C7">
              <w:rPr>
                <w:rFonts w:eastAsia="MS Mincho"/>
                <w:lang w:eastAsia="en-US"/>
              </w:rPr>
              <w:t>22 w</w:t>
            </w:r>
            <w:r>
              <w:rPr>
                <w:rFonts w:eastAsia="MS Mincho"/>
                <w:lang w:eastAsia="en-US"/>
              </w:rPr>
              <w:t>ee</w:t>
            </w:r>
            <w:r w:rsidRPr="004753C7">
              <w:rPr>
                <w:rFonts w:eastAsia="MS Mincho"/>
                <w:lang w:eastAsia="en-US"/>
              </w:rPr>
              <w:t>ks</w:t>
            </w:r>
          </w:p>
        </w:tc>
        <w:tc>
          <w:tcPr>
            <w:tcW w:w="1000" w:type="pct"/>
          </w:tcPr>
          <w:p w:rsidR="007F30CC" w:rsidRDefault="007F30CC" w:rsidP="006B48C7">
            <w:pPr>
              <w:pStyle w:val="Tablewriting"/>
              <w:rPr>
                <w:rFonts w:eastAsia="MS Mincho" w:cstheme="minorBidi"/>
              </w:rPr>
            </w:pPr>
            <w:r w:rsidRPr="004753C7">
              <w:rPr>
                <w:rFonts w:eastAsia="MS Mincho" w:cstheme="minorBidi"/>
                <w:u w:val="single"/>
              </w:rPr>
              <w:t>Efficacy</w:t>
            </w:r>
            <w:r w:rsidRPr="0139F213">
              <w:rPr>
                <w:rFonts w:eastAsia="MS Mincho" w:cstheme="minorBidi"/>
                <w:u w:val="single"/>
              </w:rPr>
              <w:t>:</w:t>
            </w:r>
            <w:r>
              <w:rPr>
                <w:rFonts w:eastAsia="MS Mincho" w:cstheme="minorBidi"/>
                <w:u w:val="single"/>
              </w:rPr>
              <w:t xml:space="preserve"> </w:t>
            </w:r>
            <w:r w:rsidRPr="004753C7">
              <w:rPr>
                <w:rFonts w:eastAsia="MS Mincho" w:cstheme="minorBidi"/>
              </w:rPr>
              <w:t>Validated continuous smoking abstinence from week 5 to 52</w:t>
            </w:r>
            <w:r>
              <w:rPr>
                <w:rFonts w:eastAsia="MS Mincho" w:cstheme="minorBidi"/>
              </w:rPr>
              <w:t xml:space="preserve">, </w:t>
            </w:r>
            <w:r w:rsidRPr="004753C7">
              <w:rPr>
                <w:rFonts w:eastAsia="MS Mincho" w:cstheme="minorBidi"/>
              </w:rPr>
              <w:t>validated 7-day PPA at 52 w</w:t>
            </w:r>
            <w:r>
              <w:rPr>
                <w:rFonts w:eastAsia="MS Mincho" w:cstheme="minorBidi"/>
              </w:rPr>
              <w:t>ee</w:t>
            </w:r>
            <w:r w:rsidRPr="004753C7">
              <w:rPr>
                <w:rFonts w:eastAsia="MS Mincho" w:cstheme="minorBidi"/>
              </w:rPr>
              <w:t>ks</w:t>
            </w:r>
            <w:r>
              <w:rPr>
                <w:rFonts w:eastAsia="MS Mincho" w:cstheme="minorBidi"/>
              </w:rPr>
              <w:t xml:space="preserve">. </w:t>
            </w:r>
          </w:p>
          <w:p w:rsidR="007F30CC" w:rsidRPr="004753C7" w:rsidRDefault="007F30CC" w:rsidP="006B48C7">
            <w:pPr>
              <w:pStyle w:val="Tablewriting"/>
              <w:rPr>
                <w:rFonts w:eastAsia="MS Mincho" w:cstheme="minorBidi"/>
              </w:rPr>
            </w:pPr>
            <w:r w:rsidRPr="004753C7">
              <w:rPr>
                <w:rFonts w:eastAsia="MS Mincho" w:cstheme="minorBidi"/>
              </w:rPr>
              <w:t xml:space="preserve">Validation: expired CO </w:t>
            </w:r>
            <w:r w:rsidRPr="00902273">
              <w:rPr>
                <w:rFonts w:eastAsia="MS Mincho" w:cstheme="minorBidi"/>
              </w:rPr>
              <w:t>≤</w:t>
            </w:r>
            <w:r w:rsidRPr="004753C7">
              <w:rPr>
                <w:rFonts w:eastAsia="MS Mincho" w:cstheme="minorBidi"/>
              </w:rPr>
              <w:t xml:space="preserve"> 9 ppm</w:t>
            </w:r>
          </w:p>
          <w:p w:rsidR="007F30CC" w:rsidRPr="004272CD" w:rsidRDefault="007F30CC" w:rsidP="006B48C7">
            <w:pPr>
              <w:pStyle w:val="Tablewriting"/>
              <w:rPr>
                <w:rFonts w:eastAsia="MS Mincho" w:cstheme="minorBidi"/>
                <w:u w:val="single"/>
              </w:rPr>
            </w:pPr>
          </w:p>
          <w:p w:rsidR="007F30CC" w:rsidRPr="004753C7" w:rsidRDefault="007F30CC" w:rsidP="006B48C7">
            <w:pPr>
              <w:pStyle w:val="Tablewriting"/>
              <w:rPr>
                <w:rFonts w:eastAsia="MS Mincho" w:cstheme="minorBidi"/>
              </w:rPr>
            </w:pPr>
            <w:r w:rsidRPr="004753C7">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4753C7">
              <w:rPr>
                <w:rFonts w:eastAsia="MS Mincho" w:cstheme="minorBidi"/>
              </w:rPr>
              <w:t>Adverse events: measured at each appointment (0, 1, 3, 5, 8, 10, 22, 52 w</w:t>
            </w:r>
            <w:r>
              <w:rPr>
                <w:rFonts w:eastAsia="MS Mincho" w:cstheme="minorBidi"/>
              </w:rPr>
              <w:t>ee</w:t>
            </w:r>
            <w:r w:rsidRPr="004753C7">
              <w:rPr>
                <w:rFonts w:eastAsia="MS Mincho" w:cstheme="minorBidi"/>
              </w:rPr>
              <w:t>ks). Note treatment lasted either</w:t>
            </w:r>
          </w:p>
          <w:p w:rsidR="007F30CC" w:rsidRPr="004753C7" w:rsidRDefault="007F30CC" w:rsidP="006B48C7">
            <w:pPr>
              <w:pStyle w:val="Tablewriting"/>
              <w:rPr>
                <w:rFonts w:eastAsia="MS Mincho" w:cstheme="minorBidi"/>
              </w:rPr>
            </w:pPr>
            <w:r w:rsidRPr="004753C7">
              <w:rPr>
                <w:rFonts w:eastAsia="MS Mincho" w:cstheme="minorBidi"/>
              </w:rPr>
              <w:t>10 or 22 w</w:t>
            </w:r>
            <w:r>
              <w:rPr>
                <w:rFonts w:eastAsia="MS Mincho" w:cstheme="minorBidi"/>
              </w:rPr>
              <w:t>ee</w:t>
            </w:r>
            <w:r w:rsidRPr="004753C7">
              <w:rPr>
                <w:rFonts w:eastAsia="MS Mincho" w:cstheme="minorBidi"/>
              </w:rPr>
              <w:t>ks, depending on arm</w:t>
            </w:r>
            <w:r>
              <w:rPr>
                <w:rFonts w:eastAsia="MS Mincho" w:cstheme="minorBidi"/>
              </w:rPr>
              <w:t xml:space="preserve">. </w:t>
            </w:r>
          </w:p>
          <w:p w:rsidR="007F30CC" w:rsidRPr="004272CD" w:rsidRDefault="007F30CC" w:rsidP="006B48C7">
            <w:pPr>
              <w:pStyle w:val="Tablewriting"/>
              <w:rPr>
                <w:rFonts w:eastAsia="MS Mincho" w:cstheme="minorBidi"/>
                <w:u w:val="single"/>
              </w:rPr>
            </w:pPr>
          </w:p>
          <w:p w:rsidR="007F30CC" w:rsidRPr="0139F213" w:rsidRDefault="007F30CC" w:rsidP="006B48C7">
            <w:pPr>
              <w:pStyle w:val="Tablewriting"/>
              <w:rPr>
                <w:rFonts w:eastAsia="MS Mincho" w:cstheme="minorBidi"/>
              </w:rPr>
            </w:pPr>
          </w:p>
        </w:tc>
      </w:tr>
    </w:tbl>
    <w:p w:rsidR="001D607C" w:rsidRPr="009B042A" w:rsidRDefault="001D607C" w:rsidP="006B48C7">
      <w:pPr>
        <w:pStyle w:val="TableFooter"/>
      </w:pPr>
      <w:r>
        <w:t>Source: Lindson</w:t>
      </w:r>
      <w:r w:rsidRPr="008B0097">
        <w:t xml:space="preserve"> et al. (2019</w:t>
      </w:r>
      <w:r>
        <w:t>).</w:t>
      </w:r>
      <w:r w:rsidRPr="009B042A">
        <w:t xml:space="preserve"> </w:t>
      </w:r>
    </w:p>
    <w:p w:rsidR="00043C3A" w:rsidRPr="006B48C7" w:rsidRDefault="001D607C" w:rsidP="006B48C7">
      <w:pPr>
        <w:pStyle w:val="TableFooter"/>
      </w:pPr>
      <w:r>
        <w:t xml:space="preserve">Abbreviations: NR= not reported; </w:t>
      </w:r>
      <w:r w:rsidRPr="009B042A">
        <w:t xml:space="preserve">PPA= point prevalence smoking abstinence; </w:t>
      </w:r>
      <w:r>
        <w:t xml:space="preserve">CAR= continuous abstinence rate;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CPD= cigarette per day; AEs= adverse events; SAEs= serious adverse events.</w:t>
      </w:r>
    </w:p>
    <w:p w:rsidR="00F11F77" w:rsidRDefault="00F11F77" w:rsidP="00F11F77">
      <w:pPr>
        <w:pStyle w:val="Caption"/>
        <w:keepNext/>
      </w:pPr>
      <w:bookmarkStart w:id="394" w:name="_Ref62139831"/>
      <w:r>
        <w:t xml:space="preserve">Table </w:t>
      </w:r>
      <w:r w:rsidR="003C4A1C">
        <w:rPr>
          <w:noProof/>
        </w:rPr>
        <w:t>163</w:t>
      </w:r>
      <w:bookmarkEnd w:id="394"/>
      <w:r>
        <w:t xml:space="preserve">: </w:t>
      </w:r>
      <w:r w:rsidRPr="003A5CB1">
        <w:t>Characteristics of studies included in Lindson et al. (2019)</w:t>
      </w:r>
      <w:r w:rsidR="00C50D78">
        <w:t xml:space="preserve"> and Lindson et al. (2019b)</w:t>
      </w:r>
      <w:r w:rsidRPr="003A5CB1">
        <w:t>, dosing schedule</w:t>
      </w:r>
    </w:p>
    <w:tbl>
      <w:tblPr>
        <w:tblStyle w:val="TableGrid"/>
        <w:tblW w:w="5270" w:type="pct"/>
        <w:tblLook w:val="04A0" w:firstRow="1" w:lastRow="0" w:firstColumn="1" w:lastColumn="0" w:noHBand="0" w:noVBand="1"/>
        <w:tblCaption w:val="Efficacy results of adalimumab trials (PASI 75 and DLQI)"/>
      </w:tblPr>
      <w:tblGrid>
        <w:gridCol w:w="1591"/>
        <w:gridCol w:w="691"/>
        <w:gridCol w:w="1229"/>
        <w:gridCol w:w="1029"/>
        <w:gridCol w:w="3434"/>
        <w:gridCol w:w="3787"/>
        <w:gridCol w:w="2940"/>
      </w:tblGrid>
      <w:tr w:rsidR="00F11F77" w:rsidRPr="00061F78" w:rsidTr="00486A67">
        <w:trPr>
          <w:trHeight w:val="299"/>
          <w:tblHeader/>
        </w:trPr>
        <w:tc>
          <w:tcPr>
            <w:tcW w:w="541" w:type="pct"/>
            <w:shd w:val="clear" w:color="auto" w:fill="BFBFBF" w:themeFill="background1" w:themeFillShade="BF"/>
            <w:tcMar>
              <w:left w:w="28" w:type="dxa"/>
              <w:right w:w="28" w:type="dxa"/>
            </w:tcMar>
          </w:tcPr>
          <w:p w:rsidR="00F11F77" w:rsidRPr="00061F78" w:rsidRDefault="00F11F77" w:rsidP="006B48C7">
            <w:pPr>
              <w:pStyle w:val="Tableheading"/>
              <w:rPr>
                <w:rFonts w:eastAsia="MS Mincho"/>
              </w:rPr>
            </w:pPr>
            <w:r>
              <w:rPr>
                <w:rFonts w:eastAsia="MS Mincho"/>
              </w:rPr>
              <w:t>Study</w:t>
            </w:r>
          </w:p>
        </w:tc>
        <w:tc>
          <w:tcPr>
            <w:tcW w:w="235" w:type="pct"/>
            <w:shd w:val="clear" w:color="auto" w:fill="BFBFBF" w:themeFill="background1" w:themeFillShade="BF"/>
          </w:tcPr>
          <w:p w:rsidR="00F11F77" w:rsidRDefault="00F11F77" w:rsidP="006B48C7">
            <w:pPr>
              <w:pStyle w:val="Tableheading"/>
              <w:jc w:val="center"/>
              <w:rPr>
                <w:rFonts w:eastAsia="MS Mincho"/>
              </w:rPr>
            </w:pPr>
            <w:r>
              <w:rPr>
                <w:rFonts w:eastAsia="MS Mincho"/>
              </w:rPr>
              <w:t>Study type</w:t>
            </w:r>
          </w:p>
        </w:tc>
        <w:tc>
          <w:tcPr>
            <w:tcW w:w="418" w:type="pct"/>
            <w:shd w:val="clear" w:color="auto" w:fill="BFBFBF" w:themeFill="background1" w:themeFillShade="BF"/>
          </w:tcPr>
          <w:p w:rsidR="00F11F77" w:rsidRDefault="00F11F77" w:rsidP="006B48C7">
            <w:pPr>
              <w:pStyle w:val="Tableheading"/>
              <w:jc w:val="center"/>
              <w:rPr>
                <w:rFonts w:eastAsia="MS Mincho"/>
              </w:rPr>
            </w:pPr>
            <w:r>
              <w:rPr>
                <w:rFonts w:eastAsia="MS Mincho"/>
              </w:rPr>
              <w:t>Countries</w:t>
            </w:r>
          </w:p>
        </w:tc>
        <w:tc>
          <w:tcPr>
            <w:tcW w:w="350" w:type="pct"/>
            <w:shd w:val="clear" w:color="auto" w:fill="BFBFBF" w:themeFill="background1" w:themeFillShade="BF"/>
            <w:tcMar>
              <w:left w:w="28" w:type="dxa"/>
              <w:right w:w="28" w:type="dxa"/>
            </w:tcMar>
          </w:tcPr>
          <w:p w:rsidR="00F11F77" w:rsidRPr="00061F78" w:rsidRDefault="00F11F77" w:rsidP="006B48C7">
            <w:pPr>
              <w:pStyle w:val="Tableheading"/>
              <w:jc w:val="center"/>
              <w:rPr>
                <w:rFonts w:eastAsia="MS Mincho"/>
              </w:rPr>
            </w:pPr>
            <w:r>
              <w:rPr>
                <w:rFonts w:eastAsia="MS Mincho"/>
              </w:rPr>
              <w:t>N</w:t>
            </w:r>
            <w:r w:rsidR="00E618E5" w:rsidRPr="00E618E5">
              <w:rPr>
                <w:rFonts w:eastAsia="MS Mincho"/>
                <w:vertAlign w:val="superscript"/>
              </w:rPr>
              <w:t>1</w:t>
            </w:r>
          </w:p>
        </w:tc>
        <w:tc>
          <w:tcPr>
            <w:tcW w:w="1168" w:type="pct"/>
            <w:shd w:val="clear" w:color="auto" w:fill="BFBFBF" w:themeFill="background1" w:themeFillShade="BF"/>
            <w:tcMar>
              <w:left w:w="28" w:type="dxa"/>
              <w:right w:w="28" w:type="dxa"/>
            </w:tcMar>
          </w:tcPr>
          <w:p w:rsidR="00F11F77" w:rsidRPr="00061F78" w:rsidRDefault="00F11F77" w:rsidP="006B48C7">
            <w:pPr>
              <w:pStyle w:val="Tableheading"/>
              <w:jc w:val="center"/>
              <w:rPr>
                <w:rFonts w:eastAsia="MS Mincho"/>
              </w:rPr>
            </w:pPr>
            <w:r w:rsidRPr="00061F78">
              <w:rPr>
                <w:rFonts w:eastAsia="MS Mincho"/>
              </w:rPr>
              <w:t>P</w:t>
            </w:r>
            <w:r>
              <w:rPr>
                <w:rFonts w:eastAsia="MS Mincho"/>
              </w:rPr>
              <w:t>opulation</w:t>
            </w:r>
          </w:p>
        </w:tc>
        <w:tc>
          <w:tcPr>
            <w:tcW w:w="1288" w:type="pct"/>
            <w:shd w:val="clear" w:color="auto" w:fill="BFBFBF" w:themeFill="background1" w:themeFillShade="BF"/>
          </w:tcPr>
          <w:p w:rsidR="00F11F77" w:rsidRDefault="00F11F77" w:rsidP="006B48C7">
            <w:pPr>
              <w:pStyle w:val="Tableheading"/>
              <w:jc w:val="center"/>
              <w:rPr>
                <w:rFonts w:eastAsia="MS Mincho"/>
              </w:rPr>
            </w:pPr>
            <w:r>
              <w:rPr>
                <w:rFonts w:eastAsia="MS Mincho"/>
              </w:rPr>
              <w:t>Intervention and comparator</w:t>
            </w:r>
          </w:p>
        </w:tc>
        <w:tc>
          <w:tcPr>
            <w:tcW w:w="1000" w:type="pct"/>
            <w:shd w:val="clear" w:color="auto" w:fill="BFBFBF" w:themeFill="background1" w:themeFillShade="BF"/>
            <w:tcMar>
              <w:left w:w="28" w:type="dxa"/>
              <w:right w:w="28" w:type="dxa"/>
            </w:tcMar>
          </w:tcPr>
          <w:p w:rsidR="00F11F77" w:rsidRPr="00061F78" w:rsidRDefault="00F11F77" w:rsidP="006B48C7">
            <w:pPr>
              <w:pStyle w:val="Tableheading"/>
              <w:jc w:val="center"/>
              <w:rPr>
                <w:rFonts w:eastAsia="MS Mincho"/>
              </w:rPr>
            </w:pPr>
            <w:r>
              <w:rPr>
                <w:rFonts w:eastAsia="MS Mincho"/>
              </w:rPr>
              <w:t>Outcomes</w:t>
            </w:r>
          </w:p>
        </w:tc>
      </w:tr>
      <w:tr w:rsidR="00F11F77" w:rsidRPr="00017AE6" w:rsidTr="00486A67">
        <w:trPr>
          <w:trHeight w:val="99"/>
        </w:trPr>
        <w:tc>
          <w:tcPr>
            <w:tcW w:w="5000" w:type="pct"/>
            <w:gridSpan w:val="7"/>
            <w:shd w:val="clear" w:color="auto" w:fill="D9D9D9" w:themeFill="background1" w:themeFillShade="D9"/>
          </w:tcPr>
          <w:p w:rsidR="00F11F77" w:rsidRPr="004F5A3C" w:rsidRDefault="00F11F77" w:rsidP="006B48C7">
            <w:pPr>
              <w:pStyle w:val="Caption"/>
              <w:rPr>
                <w:rFonts w:eastAsia="MS Mincho"/>
              </w:rPr>
            </w:pPr>
            <w:r>
              <w:t>E</w:t>
            </w:r>
            <w:r w:rsidRPr="009A1D6A">
              <w:t>ffect of tapering patch dose</w:t>
            </w:r>
          </w:p>
        </w:tc>
      </w:tr>
      <w:tr w:rsidR="00F11F77" w:rsidRPr="00017AE6" w:rsidTr="00486A67">
        <w:trPr>
          <w:trHeight w:val="99"/>
        </w:trPr>
        <w:tc>
          <w:tcPr>
            <w:tcW w:w="541" w:type="pct"/>
          </w:tcPr>
          <w:p w:rsidR="00F11F77" w:rsidRPr="00017AE6" w:rsidRDefault="00F11F77" w:rsidP="006B48C7">
            <w:pPr>
              <w:pStyle w:val="Tablewriting"/>
              <w:rPr>
                <w:rFonts w:eastAsia="MS Mincho" w:cstheme="minorHAnsi"/>
              </w:rPr>
            </w:pPr>
            <w:r w:rsidRPr="00D13526">
              <w:rPr>
                <w:rFonts w:eastAsia="MS Mincho"/>
              </w:rPr>
              <w:lastRenderedPageBreak/>
              <w:t xml:space="preserve">Hilleman </w:t>
            </w:r>
            <w:r>
              <w:rPr>
                <w:rFonts w:eastAsia="MS Mincho"/>
              </w:rPr>
              <w:t>(</w:t>
            </w:r>
            <w:r w:rsidRPr="00D13526">
              <w:rPr>
                <w:rFonts w:eastAsia="MS Mincho"/>
              </w:rPr>
              <w:t>1994</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USA</w:t>
            </w:r>
          </w:p>
        </w:tc>
        <w:tc>
          <w:tcPr>
            <w:tcW w:w="350" w:type="pct"/>
          </w:tcPr>
          <w:p w:rsidR="00F11F77" w:rsidRPr="00017AE6" w:rsidRDefault="00F11F77" w:rsidP="006B48C7">
            <w:pPr>
              <w:pStyle w:val="Tablewriting"/>
              <w:rPr>
                <w:rFonts w:eastAsia="MS Mincho" w:cstheme="minorHAnsi"/>
              </w:rPr>
            </w:pPr>
            <w:r>
              <w:rPr>
                <w:rFonts w:eastAsia="MS Mincho" w:cstheme="minorHAnsi"/>
              </w:rPr>
              <w:t>N=140</w:t>
            </w:r>
          </w:p>
        </w:tc>
        <w:tc>
          <w:tcPr>
            <w:tcW w:w="1168" w:type="pct"/>
          </w:tcPr>
          <w:p w:rsidR="00F11F77" w:rsidRPr="00BF274E" w:rsidRDefault="00F11F77" w:rsidP="006B48C7">
            <w:pPr>
              <w:pStyle w:val="Tablewriting"/>
              <w:rPr>
                <w:rFonts w:eastAsia="MS Mincho" w:cstheme="minorHAnsi"/>
              </w:rPr>
            </w:pPr>
            <w:r>
              <w:rPr>
                <w:rFonts w:eastAsia="MS Mincho" w:cstheme="minorHAnsi"/>
              </w:rPr>
              <w:t>S</w:t>
            </w:r>
            <w:r w:rsidRPr="00BF274E">
              <w:rPr>
                <w:rFonts w:eastAsia="MS Mincho" w:cstheme="minorHAnsi"/>
              </w:rPr>
              <w:t>mokers (excluding a buspirone</w:t>
            </w:r>
            <w:r>
              <w:rPr>
                <w:rFonts w:eastAsia="MS Mincho" w:cstheme="minorHAnsi"/>
              </w:rPr>
              <w:t xml:space="preserve"> </w:t>
            </w:r>
            <w:r w:rsidRPr="00BF274E">
              <w:rPr>
                <w:rFonts w:eastAsia="MS Mincho" w:cstheme="minorHAnsi"/>
              </w:rPr>
              <w:t xml:space="preserve">treatment group), smoking &gt; 20 </w:t>
            </w:r>
            <w:r>
              <w:rPr>
                <w:rFonts w:eastAsia="MS Mincho" w:cstheme="minorHAnsi"/>
              </w:rPr>
              <w:t>CPD</w:t>
            </w:r>
            <w:r w:rsidRPr="00BF274E">
              <w:rPr>
                <w:rFonts w:eastAsia="MS Mincho" w:cstheme="minorHAnsi"/>
              </w:rPr>
              <w:t xml:space="preserve">, FTND </w:t>
            </w:r>
            <w:r w:rsidRPr="00E632A9">
              <w:rPr>
                <w:rFonts w:eastAsia="MS Mincho" w:cstheme="minorHAnsi"/>
              </w:rPr>
              <w:t>≥</w:t>
            </w:r>
            <w:r w:rsidRPr="00BF274E">
              <w:rPr>
                <w:rFonts w:eastAsia="MS Mincho" w:cstheme="minorHAnsi"/>
              </w:rPr>
              <w:t>8</w:t>
            </w:r>
            <w:r>
              <w:rPr>
                <w:rFonts w:eastAsia="MS Mincho" w:cstheme="minorHAnsi"/>
              </w:rPr>
              <w:t>.</w:t>
            </w:r>
          </w:p>
          <w:p w:rsidR="00F11F77" w:rsidRPr="00017AE6" w:rsidRDefault="00F11F77" w:rsidP="006B48C7">
            <w:pPr>
              <w:pStyle w:val="Tablewriting"/>
              <w:rPr>
                <w:rFonts w:eastAsia="MS Mincho" w:cstheme="minorHAnsi"/>
              </w:rPr>
            </w:pPr>
            <w:r w:rsidRPr="00BF274E">
              <w:rPr>
                <w:rFonts w:eastAsia="MS Mincho" w:cstheme="minorHAnsi"/>
              </w:rPr>
              <w:t>45% men, av</w:t>
            </w:r>
            <w:r>
              <w:rPr>
                <w:rFonts w:eastAsia="MS Mincho" w:cstheme="minorHAnsi"/>
              </w:rPr>
              <w:t>erage</w:t>
            </w:r>
            <w:r w:rsidRPr="00BF274E">
              <w:rPr>
                <w:rFonts w:eastAsia="MS Mincho" w:cstheme="minorHAnsi"/>
              </w:rPr>
              <w:t xml:space="preserve"> age 46, av</w:t>
            </w:r>
            <w:r>
              <w:rPr>
                <w:rFonts w:eastAsia="MS Mincho" w:cstheme="minorHAnsi"/>
              </w:rPr>
              <w:t>erage</w:t>
            </w:r>
            <w:r w:rsidRPr="00BF274E">
              <w:rPr>
                <w:rFonts w:eastAsia="MS Mincho" w:cstheme="minorHAnsi"/>
              </w:rPr>
              <w:t xml:space="preserve"> </w:t>
            </w:r>
            <w:r>
              <w:rPr>
                <w:rFonts w:eastAsia="MS Mincho" w:cstheme="minorHAnsi"/>
              </w:rPr>
              <w:t>CPD</w:t>
            </w:r>
            <w:r w:rsidRPr="00BF274E">
              <w:rPr>
                <w:rFonts w:eastAsia="MS Mincho" w:cstheme="minorHAnsi"/>
              </w:rPr>
              <w:t xml:space="preserve"> 25 - 26</w:t>
            </w:r>
          </w:p>
        </w:tc>
        <w:tc>
          <w:tcPr>
            <w:tcW w:w="1288" w:type="pct"/>
          </w:tcPr>
          <w:p w:rsidR="00F11F77" w:rsidRPr="007B14D9" w:rsidRDefault="00F11F77" w:rsidP="00C324F3">
            <w:pPr>
              <w:pStyle w:val="ListParagraph"/>
              <w:numPr>
                <w:ilvl w:val="0"/>
                <w:numId w:val="204"/>
              </w:numPr>
              <w:rPr>
                <w:rFonts w:eastAsia="MS Mincho"/>
                <w:lang w:eastAsia="en-US"/>
              </w:rPr>
            </w:pPr>
            <w:r w:rsidRPr="007B14D9">
              <w:rPr>
                <w:rFonts w:eastAsia="MS Mincho"/>
                <w:lang w:eastAsia="en-US"/>
              </w:rPr>
              <w:t>Nicotine patch (21 mg/24-hour) for 6 w</w:t>
            </w:r>
            <w:r>
              <w:rPr>
                <w:rFonts w:eastAsia="MS Mincho"/>
                <w:lang w:eastAsia="en-US"/>
              </w:rPr>
              <w:t>ee</w:t>
            </w:r>
            <w:r w:rsidRPr="007B14D9">
              <w:rPr>
                <w:rFonts w:eastAsia="MS Mincho"/>
                <w:lang w:eastAsia="en-US"/>
              </w:rPr>
              <w:t>ks, no weaning</w:t>
            </w:r>
          </w:p>
          <w:p w:rsidR="00F11F77" w:rsidRPr="007B14D9" w:rsidRDefault="00F11F77" w:rsidP="00C324F3">
            <w:pPr>
              <w:pStyle w:val="ListParagraph"/>
              <w:numPr>
                <w:ilvl w:val="0"/>
                <w:numId w:val="204"/>
              </w:numPr>
              <w:rPr>
                <w:rFonts w:eastAsia="MS Mincho"/>
                <w:lang w:eastAsia="en-US"/>
              </w:rPr>
            </w:pPr>
            <w:r w:rsidRPr="007B14D9">
              <w:rPr>
                <w:rFonts w:eastAsia="MS Mincho"/>
                <w:lang w:eastAsia="en-US"/>
              </w:rPr>
              <w:t>Nicotine patch, 21 mg 4 w</w:t>
            </w:r>
            <w:r>
              <w:rPr>
                <w:rFonts w:eastAsia="MS Mincho"/>
                <w:lang w:eastAsia="en-US"/>
              </w:rPr>
              <w:t>ee</w:t>
            </w:r>
            <w:r w:rsidRPr="007B14D9">
              <w:rPr>
                <w:rFonts w:eastAsia="MS Mincho"/>
                <w:lang w:eastAsia="en-US"/>
              </w:rPr>
              <w:t>ks, weaning to 14 mg 4 w</w:t>
            </w:r>
            <w:r>
              <w:rPr>
                <w:rFonts w:eastAsia="MS Mincho"/>
                <w:lang w:eastAsia="en-US"/>
              </w:rPr>
              <w:t>ee</w:t>
            </w:r>
            <w:r w:rsidRPr="007B14D9">
              <w:rPr>
                <w:rFonts w:eastAsia="MS Mincho"/>
                <w:lang w:eastAsia="en-US"/>
              </w:rPr>
              <w:t>ks, 7 mg 4 w</w:t>
            </w:r>
            <w:r>
              <w:rPr>
                <w:rFonts w:eastAsia="MS Mincho"/>
                <w:lang w:eastAsia="en-US"/>
              </w:rPr>
              <w:t>ee</w:t>
            </w:r>
            <w:r w:rsidRPr="007B14D9">
              <w:rPr>
                <w:rFonts w:eastAsia="MS Mincho"/>
                <w:lang w:eastAsia="en-US"/>
              </w:rPr>
              <w:t>ks</w:t>
            </w:r>
          </w:p>
        </w:tc>
        <w:tc>
          <w:tcPr>
            <w:tcW w:w="1000" w:type="pct"/>
          </w:tcPr>
          <w:p w:rsidR="00F11F77" w:rsidRPr="007B14D9" w:rsidRDefault="00F11F77" w:rsidP="006B48C7">
            <w:pPr>
              <w:pStyle w:val="Tablewriting"/>
              <w:rPr>
                <w:rFonts w:eastAsia="MS Mincho" w:cstheme="minorBidi"/>
              </w:rPr>
            </w:pPr>
            <w:r w:rsidRPr="007B14D9">
              <w:rPr>
                <w:rFonts w:eastAsia="MS Mincho" w:cstheme="minorBidi"/>
                <w:u w:val="single"/>
              </w:rPr>
              <w:t>Efficacy</w:t>
            </w:r>
            <w:r w:rsidRPr="0139F213">
              <w:rPr>
                <w:rFonts w:eastAsia="MS Mincho" w:cstheme="minorBidi"/>
                <w:u w:val="single"/>
              </w:rPr>
              <w:t>:</w:t>
            </w:r>
            <w:r>
              <w:rPr>
                <w:rFonts w:eastAsia="MS Mincho" w:cstheme="minorBidi"/>
                <w:u w:val="single"/>
              </w:rPr>
              <w:t xml:space="preserve"> </w:t>
            </w:r>
            <w:r w:rsidRPr="007B14D9">
              <w:rPr>
                <w:rFonts w:eastAsia="MS Mincho" w:cstheme="minorBidi"/>
              </w:rPr>
              <w:t>Abstinence at 6 m</w:t>
            </w:r>
            <w:r>
              <w:rPr>
                <w:rFonts w:eastAsia="MS Mincho" w:cstheme="minorBidi"/>
              </w:rPr>
              <w:t>onths</w:t>
            </w:r>
          </w:p>
          <w:p w:rsidR="00F11F77" w:rsidRPr="007B14D9" w:rsidRDefault="00F11F77" w:rsidP="006B48C7">
            <w:pPr>
              <w:pStyle w:val="Tablewriting"/>
              <w:rPr>
                <w:rFonts w:eastAsia="MS Mincho" w:cstheme="minorBidi"/>
              </w:rPr>
            </w:pPr>
            <w:r w:rsidRPr="007B14D9">
              <w:rPr>
                <w:rFonts w:eastAsia="MS Mincho" w:cstheme="minorBidi"/>
              </w:rPr>
              <w:t>Validation: Plasma thiocyanate</w:t>
            </w:r>
            <w:r>
              <w:rPr>
                <w:rFonts w:eastAsia="MS Mincho" w:cstheme="minorBidi"/>
              </w:rPr>
              <w:t>.</w:t>
            </w:r>
          </w:p>
          <w:p w:rsidR="00F11F77" w:rsidRPr="004272CD" w:rsidRDefault="00F11F77" w:rsidP="006B48C7">
            <w:pPr>
              <w:pStyle w:val="Tablewriting"/>
              <w:rPr>
                <w:rFonts w:eastAsia="MS Mincho" w:cstheme="minorBidi"/>
                <w:u w:val="single"/>
              </w:rPr>
            </w:pPr>
          </w:p>
          <w:p w:rsidR="00F11F77" w:rsidRPr="004272CD" w:rsidRDefault="00F11F77" w:rsidP="006B48C7">
            <w:pPr>
              <w:pStyle w:val="Tablewriting"/>
              <w:rPr>
                <w:rFonts w:eastAsia="MS Mincho" w:cstheme="minorBidi"/>
                <w:u w:val="single"/>
              </w:rPr>
            </w:pPr>
            <w:r w:rsidRPr="007B14D9">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7B14D9">
              <w:rPr>
                <w:rFonts w:eastAsia="MS Mincho" w:cstheme="minorBidi"/>
              </w:rPr>
              <w:t>Adverse events</w:t>
            </w:r>
            <w:r>
              <w:rPr>
                <w:rFonts w:eastAsia="MS Mincho" w:cstheme="minorBidi"/>
              </w:rPr>
              <w:t xml:space="preserve"> </w:t>
            </w:r>
            <w:r w:rsidRPr="007B14D9">
              <w:rPr>
                <w:rFonts w:eastAsia="MS Mincho" w:cstheme="minorBidi"/>
              </w:rPr>
              <w:t>not measured</w:t>
            </w:r>
            <w:r>
              <w:rPr>
                <w:rFonts w:eastAsia="MS Mincho" w:cstheme="minorBidi"/>
              </w:rPr>
              <w:t>.</w:t>
            </w:r>
          </w:p>
        </w:tc>
      </w:tr>
      <w:tr w:rsidR="00F11F77" w:rsidRPr="00017AE6" w:rsidTr="00486A67">
        <w:trPr>
          <w:trHeight w:val="99"/>
        </w:trPr>
        <w:tc>
          <w:tcPr>
            <w:tcW w:w="541" w:type="pct"/>
          </w:tcPr>
          <w:p w:rsidR="00F11F77" w:rsidRPr="00017AE6" w:rsidRDefault="00F11F77" w:rsidP="006B48C7">
            <w:pPr>
              <w:pStyle w:val="Tablewriting"/>
              <w:rPr>
                <w:rFonts w:eastAsia="MS Mincho" w:cstheme="minorHAnsi"/>
              </w:rPr>
            </w:pPr>
            <w:r w:rsidRPr="00D13526">
              <w:rPr>
                <w:rFonts w:eastAsia="MS Mincho"/>
              </w:rPr>
              <w:t xml:space="preserve">Stapleton </w:t>
            </w:r>
            <w:r>
              <w:rPr>
                <w:rFonts w:eastAsia="MS Mincho"/>
              </w:rPr>
              <w:t>(</w:t>
            </w:r>
            <w:r w:rsidRPr="00D13526">
              <w:rPr>
                <w:rFonts w:eastAsia="MS Mincho"/>
              </w:rPr>
              <w:t>1995</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UK</w:t>
            </w:r>
          </w:p>
        </w:tc>
        <w:tc>
          <w:tcPr>
            <w:tcW w:w="350" w:type="pct"/>
          </w:tcPr>
          <w:p w:rsidR="00F11F77" w:rsidRPr="00017AE6" w:rsidRDefault="00F11F77" w:rsidP="006B48C7">
            <w:pPr>
              <w:pStyle w:val="Tablewriting"/>
              <w:rPr>
                <w:rFonts w:eastAsia="MS Mincho" w:cstheme="minorHAnsi"/>
              </w:rPr>
            </w:pPr>
            <w:r>
              <w:rPr>
                <w:rFonts w:eastAsia="MS Mincho" w:cstheme="minorHAnsi"/>
              </w:rPr>
              <w:t>N=1200</w:t>
            </w:r>
          </w:p>
        </w:tc>
        <w:tc>
          <w:tcPr>
            <w:tcW w:w="1168" w:type="pct"/>
          </w:tcPr>
          <w:p w:rsidR="00F11F77" w:rsidRPr="00017AE6" w:rsidRDefault="00F11F77" w:rsidP="006B48C7">
            <w:pPr>
              <w:pStyle w:val="Tablewriting"/>
              <w:rPr>
                <w:rFonts w:eastAsia="MS Mincho" w:cstheme="minorHAnsi"/>
              </w:rPr>
            </w:pPr>
            <w:r>
              <w:rPr>
                <w:rFonts w:eastAsia="MS Mincho" w:cstheme="minorHAnsi"/>
              </w:rPr>
              <w:t>S</w:t>
            </w:r>
            <w:r w:rsidRPr="002614A4">
              <w:rPr>
                <w:rFonts w:eastAsia="MS Mincho" w:cstheme="minorHAnsi"/>
              </w:rPr>
              <w:t>mokers considered by GP to be highly dependent and motivated to give up</w:t>
            </w:r>
            <w:r>
              <w:rPr>
                <w:rFonts w:eastAsia="MS Mincho" w:cstheme="minorHAnsi"/>
              </w:rPr>
              <w:t xml:space="preserve"> with a</w:t>
            </w:r>
            <w:r w:rsidRPr="002614A4">
              <w:rPr>
                <w:rFonts w:eastAsia="MS Mincho" w:cstheme="minorHAnsi"/>
              </w:rPr>
              <w:t>v</w:t>
            </w:r>
            <w:r>
              <w:rPr>
                <w:rFonts w:eastAsia="MS Mincho" w:cstheme="minorHAnsi"/>
              </w:rPr>
              <w:t>erage CPD</w:t>
            </w:r>
            <w:r w:rsidRPr="002614A4">
              <w:rPr>
                <w:rFonts w:eastAsia="MS Mincho" w:cstheme="minorHAnsi"/>
              </w:rPr>
              <w:t xml:space="preserve"> 23 </w:t>
            </w:r>
            <w:r>
              <w:rPr>
                <w:rFonts w:eastAsia="MS Mincho" w:cstheme="minorHAnsi"/>
              </w:rPr>
              <w:t>–</w:t>
            </w:r>
            <w:r w:rsidRPr="002614A4">
              <w:rPr>
                <w:rFonts w:eastAsia="MS Mincho" w:cstheme="minorHAnsi"/>
              </w:rPr>
              <w:t xml:space="preserve"> 24</w:t>
            </w:r>
            <w:r>
              <w:rPr>
                <w:rFonts w:eastAsia="MS Mincho" w:cstheme="minorHAnsi"/>
              </w:rPr>
              <w:t xml:space="preserve">. </w:t>
            </w:r>
          </w:p>
        </w:tc>
        <w:tc>
          <w:tcPr>
            <w:tcW w:w="1288" w:type="pct"/>
          </w:tcPr>
          <w:p w:rsidR="00F11F77" w:rsidRPr="00FC4B37" w:rsidRDefault="00F11F77" w:rsidP="00C324F3">
            <w:pPr>
              <w:pStyle w:val="ListParagraph"/>
              <w:numPr>
                <w:ilvl w:val="0"/>
                <w:numId w:val="205"/>
              </w:numPr>
              <w:rPr>
                <w:rFonts w:eastAsia="MS Mincho"/>
                <w:lang w:eastAsia="en-US"/>
              </w:rPr>
            </w:pPr>
            <w:r w:rsidRPr="00FC4B37">
              <w:rPr>
                <w:rFonts w:eastAsia="MS Mincho"/>
                <w:lang w:eastAsia="en-US"/>
              </w:rPr>
              <w:t>Nicotine patch standard dose (15 mg/16-hour for 18 w</w:t>
            </w:r>
            <w:r>
              <w:rPr>
                <w:rFonts w:eastAsia="MS Mincho"/>
                <w:lang w:eastAsia="en-US"/>
              </w:rPr>
              <w:t>ee</w:t>
            </w:r>
            <w:r w:rsidRPr="00FC4B37">
              <w:rPr>
                <w:rFonts w:eastAsia="MS Mincho"/>
                <w:lang w:eastAsia="en-US"/>
              </w:rPr>
              <w:t>ks)</w:t>
            </w:r>
          </w:p>
          <w:p w:rsidR="00F11F77" w:rsidRPr="00FC4B37" w:rsidRDefault="00F11F77" w:rsidP="00C324F3">
            <w:pPr>
              <w:pStyle w:val="ListParagraph"/>
              <w:numPr>
                <w:ilvl w:val="0"/>
                <w:numId w:val="205"/>
              </w:numPr>
              <w:rPr>
                <w:rFonts w:eastAsia="MS Mincho"/>
                <w:lang w:eastAsia="en-US"/>
              </w:rPr>
            </w:pPr>
            <w:r w:rsidRPr="00FC4B37">
              <w:rPr>
                <w:rFonts w:eastAsia="MS Mincho"/>
                <w:lang w:eastAsia="en-US"/>
              </w:rPr>
              <w:t>Nicotine patch with dose increase to 25 mg at 1 w</w:t>
            </w:r>
            <w:r>
              <w:rPr>
                <w:rFonts w:eastAsia="MS Mincho"/>
                <w:lang w:eastAsia="en-US"/>
              </w:rPr>
              <w:t>ee</w:t>
            </w:r>
            <w:r w:rsidRPr="00FC4B37">
              <w:rPr>
                <w:rFonts w:eastAsia="MS Mincho"/>
                <w:lang w:eastAsia="en-US"/>
              </w:rPr>
              <w:t>k if required</w:t>
            </w:r>
          </w:p>
          <w:p w:rsidR="00F11F77" w:rsidRPr="00FC4B37" w:rsidRDefault="00F11F77" w:rsidP="00C324F3">
            <w:pPr>
              <w:pStyle w:val="ListParagraph"/>
              <w:numPr>
                <w:ilvl w:val="0"/>
                <w:numId w:val="205"/>
              </w:numPr>
              <w:rPr>
                <w:rFonts w:eastAsia="MS Mincho"/>
                <w:lang w:eastAsia="en-US"/>
              </w:rPr>
            </w:pPr>
            <w:r w:rsidRPr="00FC4B37">
              <w:rPr>
                <w:rFonts w:eastAsia="MS Mincho"/>
                <w:lang w:eastAsia="en-US"/>
              </w:rPr>
              <w:t>Placebo patch group</w:t>
            </w:r>
          </w:p>
          <w:p w:rsidR="00F11F77" w:rsidRDefault="00F11F77" w:rsidP="006B48C7">
            <w:pPr>
              <w:rPr>
                <w:rFonts w:eastAsia="MS Mincho"/>
                <w:lang w:eastAsia="en-US"/>
              </w:rPr>
            </w:pPr>
          </w:p>
          <w:p w:rsidR="00F11F77" w:rsidRPr="002F7627" w:rsidRDefault="00F11F77" w:rsidP="006B48C7">
            <w:pPr>
              <w:rPr>
                <w:rFonts w:eastAsia="MS Mincho"/>
                <w:lang w:eastAsia="en-US"/>
              </w:rPr>
            </w:pPr>
            <w:r w:rsidRPr="00FC4B37">
              <w:rPr>
                <w:rFonts w:eastAsia="MS Mincho"/>
                <w:lang w:eastAsia="en-US"/>
              </w:rPr>
              <w:t>The nicotine patch groups were further randomized to gradual tapering or abrupt withdrawal at w</w:t>
            </w:r>
            <w:r>
              <w:rPr>
                <w:rFonts w:eastAsia="MS Mincho"/>
                <w:lang w:eastAsia="en-US"/>
              </w:rPr>
              <w:t>ee</w:t>
            </w:r>
            <w:r w:rsidRPr="00FC4B37">
              <w:rPr>
                <w:rFonts w:eastAsia="MS Mincho"/>
                <w:lang w:eastAsia="en-US"/>
              </w:rPr>
              <w:t>k 12</w:t>
            </w:r>
            <w:r>
              <w:rPr>
                <w:rFonts w:eastAsia="MS Mincho"/>
                <w:lang w:eastAsia="en-US"/>
              </w:rPr>
              <w:t>.</w:t>
            </w:r>
          </w:p>
        </w:tc>
        <w:tc>
          <w:tcPr>
            <w:tcW w:w="1000" w:type="pct"/>
          </w:tcPr>
          <w:p w:rsidR="00F11F77" w:rsidRPr="00DB4FFE" w:rsidRDefault="00F11F77" w:rsidP="006B48C7">
            <w:pPr>
              <w:pStyle w:val="Tablewriting"/>
              <w:rPr>
                <w:rFonts w:eastAsia="MS Mincho" w:cstheme="minorBidi"/>
              </w:rPr>
            </w:pPr>
            <w:r w:rsidRPr="00DB4FFE">
              <w:rPr>
                <w:rFonts w:eastAsia="MS Mincho" w:cstheme="minorBidi"/>
                <w:u w:val="single"/>
              </w:rPr>
              <w:t>Efficacy</w:t>
            </w:r>
            <w:r w:rsidRPr="0139F213">
              <w:rPr>
                <w:rFonts w:eastAsia="MS Mincho" w:cstheme="minorBidi"/>
                <w:u w:val="single"/>
              </w:rPr>
              <w:t>:</w:t>
            </w:r>
            <w:r>
              <w:rPr>
                <w:rFonts w:eastAsia="MS Mincho" w:cstheme="minorBidi"/>
                <w:u w:val="single"/>
              </w:rPr>
              <w:t xml:space="preserve"> </w:t>
            </w:r>
            <w:r w:rsidRPr="00DB4FFE">
              <w:rPr>
                <w:rFonts w:eastAsia="MS Mincho" w:cstheme="minorBidi"/>
              </w:rPr>
              <w:t>Sustained abstinence at 12 m</w:t>
            </w:r>
            <w:r>
              <w:rPr>
                <w:rFonts w:eastAsia="MS Mincho" w:cstheme="minorBidi"/>
              </w:rPr>
              <w:t>onths</w:t>
            </w:r>
          </w:p>
          <w:p w:rsidR="00F11F77" w:rsidRPr="00DB4FFE" w:rsidRDefault="00F11F77" w:rsidP="006B48C7">
            <w:pPr>
              <w:pStyle w:val="Tablewriting"/>
              <w:rPr>
                <w:rFonts w:eastAsia="MS Mincho" w:cstheme="minorBidi"/>
              </w:rPr>
            </w:pPr>
            <w:r w:rsidRPr="00DB4FFE">
              <w:rPr>
                <w:rFonts w:eastAsia="MS Mincho" w:cstheme="minorBidi"/>
              </w:rPr>
              <w:t>Validation: CO</w:t>
            </w:r>
          </w:p>
          <w:p w:rsidR="00F11F77" w:rsidRPr="004272CD" w:rsidRDefault="00F11F77" w:rsidP="006B48C7">
            <w:pPr>
              <w:pStyle w:val="Tablewriting"/>
              <w:rPr>
                <w:rFonts w:eastAsia="MS Mincho" w:cstheme="minorBidi"/>
                <w:u w:val="single"/>
              </w:rPr>
            </w:pPr>
          </w:p>
          <w:p w:rsidR="00F11F77" w:rsidRPr="00DB4FFE" w:rsidRDefault="00F11F77" w:rsidP="006B48C7">
            <w:pPr>
              <w:pStyle w:val="Tablewriting"/>
              <w:rPr>
                <w:rFonts w:eastAsia="MS Mincho" w:cstheme="minorBidi"/>
              </w:rPr>
            </w:pPr>
            <w:r w:rsidRPr="00DB4FFE">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DB4FFE">
              <w:rPr>
                <w:rFonts w:eastAsia="MS Mincho" w:cstheme="minorBidi"/>
              </w:rPr>
              <w:t>Adverse events</w:t>
            </w:r>
            <w:r>
              <w:rPr>
                <w:rFonts w:eastAsia="MS Mincho" w:cstheme="minorBidi"/>
              </w:rPr>
              <w:t xml:space="preserve"> </w:t>
            </w:r>
            <w:r w:rsidRPr="00DB4FFE">
              <w:rPr>
                <w:rFonts w:eastAsia="MS Mincho" w:cstheme="minorBidi"/>
              </w:rPr>
              <w:t>measured at each visit.</w:t>
            </w:r>
          </w:p>
          <w:p w:rsidR="00F11F77" w:rsidRPr="004272CD" w:rsidRDefault="00F11F77" w:rsidP="006B48C7">
            <w:pPr>
              <w:pStyle w:val="Tablewriting"/>
              <w:rPr>
                <w:rFonts w:eastAsia="MS Mincho" w:cstheme="minorBidi"/>
                <w:u w:val="single"/>
              </w:rPr>
            </w:pPr>
          </w:p>
          <w:p w:rsidR="00F11F77" w:rsidRPr="004272CD" w:rsidRDefault="00F11F77" w:rsidP="006B48C7">
            <w:pPr>
              <w:pStyle w:val="Tablewriting"/>
              <w:rPr>
                <w:rFonts w:eastAsia="MS Mincho" w:cstheme="minorBidi"/>
                <w:u w:val="single"/>
              </w:rPr>
            </w:pPr>
          </w:p>
        </w:tc>
      </w:tr>
      <w:tr w:rsidR="00F11F77" w:rsidRPr="00017AE6" w:rsidTr="00486A67">
        <w:trPr>
          <w:trHeight w:val="99"/>
        </w:trPr>
        <w:tc>
          <w:tcPr>
            <w:tcW w:w="5000" w:type="pct"/>
            <w:gridSpan w:val="7"/>
            <w:shd w:val="clear" w:color="auto" w:fill="D9D9D9" w:themeFill="background1" w:themeFillShade="D9"/>
          </w:tcPr>
          <w:p w:rsidR="00F11F77" w:rsidRPr="004272CD" w:rsidRDefault="00F11F77" w:rsidP="006B48C7">
            <w:pPr>
              <w:pStyle w:val="Caption"/>
              <w:rPr>
                <w:rFonts w:eastAsia="MS Mincho" w:cstheme="minorBidi"/>
                <w:u w:val="single"/>
              </w:rPr>
            </w:pPr>
            <w:r w:rsidRPr="004F5A3C">
              <w:rPr>
                <w:shd w:val="clear" w:color="auto" w:fill="D9D9D9" w:themeFill="background1" w:themeFillShade="D9"/>
              </w:rPr>
              <w:t>Fixed versus ad lib dose schedu</w:t>
            </w:r>
            <w:r w:rsidRPr="00D83FC7">
              <w:t>le</w:t>
            </w:r>
          </w:p>
        </w:tc>
      </w:tr>
      <w:tr w:rsidR="00F11F77" w:rsidRPr="00017AE6" w:rsidTr="00486A67">
        <w:trPr>
          <w:trHeight w:val="99"/>
        </w:trPr>
        <w:tc>
          <w:tcPr>
            <w:tcW w:w="541" w:type="pct"/>
          </w:tcPr>
          <w:p w:rsidR="00F11F77" w:rsidRPr="00017AE6" w:rsidRDefault="00F11F77" w:rsidP="006B48C7">
            <w:pPr>
              <w:pStyle w:val="Tablewriting"/>
              <w:rPr>
                <w:rFonts w:eastAsia="MS Mincho" w:cstheme="minorHAnsi"/>
              </w:rPr>
            </w:pPr>
            <w:r w:rsidRPr="005D168C">
              <w:rPr>
                <w:rFonts w:eastAsia="MS Mincho"/>
              </w:rPr>
              <w:t xml:space="preserve">Goldstein </w:t>
            </w:r>
            <w:r>
              <w:rPr>
                <w:rFonts w:eastAsia="MS Mincho"/>
              </w:rPr>
              <w:t>(</w:t>
            </w:r>
            <w:r w:rsidRPr="005D168C">
              <w:rPr>
                <w:rFonts w:eastAsia="MS Mincho"/>
              </w:rPr>
              <w:t>1989</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USA</w:t>
            </w:r>
          </w:p>
        </w:tc>
        <w:tc>
          <w:tcPr>
            <w:tcW w:w="350" w:type="pct"/>
          </w:tcPr>
          <w:p w:rsidR="00F11F77" w:rsidRPr="00017AE6" w:rsidRDefault="00F11F77" w:rsidP="006B48C7">
            <w:pPr>
              <w:pStyle w:val="Tablewriting"/>
              <w:rPr>
                <w:rFonts w:eastAsia="MS Mincho" w:cstheme="minorHAnsi"/>
              </w:rPr>
            </w:pPr>
            <w:r>
              <w:rPr>
                <w:rFonts w:eastAsia="MS Mincho" w:cstheme="minorHAnsi"/>
              </w:rPr>
              <w:t>N=89</w:t>
            </w:r>
          </w:p>
        </w:tc>
        <w:tc>
          <w:tcPr>
            <w:tcW w:w="1168" w:type="pct"/>
          </w:tcPr>
          <w:p w:rsidR="00F11F77" w:rsidRPr="00017AE6" w:rsidRDefault="00F11F77" w:rsidP="006B48C7">
            <w:pPr>
              <w:pStyle w:val="Tablewriting"/>
              <w:rPr>
                <w:rFonts w:eastAsia="MS Mincho" w:cstheme="minorHAnsi"/>
              </w:rPr>
            </w:pPr>
            <w:r>
              <w:rPr>
                <w:rFonts w:eastAsia="MS Mincho" w:cstheme="minorHAnsi"/>
              </w:rPr>
              <w:t>S</w:t>
            </w:r>
            <w:r w:rsidRPr="00B6596E">
              <w:rPr>
                <w:rFonts w:eastAsia="MS Mincho" w:cstheme="minorHAnsi"/>
              </w:rPr>
              <w:t>mokers (excluding 18 early treatment dropouts not included in results)</w:t>
            </w:r>
          </w:p>
        </w:tc>
        <w:tc>
          <w:tcPr>
            <w:tcW w:w="1288" w:type="pct"/>
          </w:tcPr>
          <w:p w:rsidR="00F11F77" w:rsidRPr="00B6596E" w:rsidRDefault="00F11F77" w:rsidP="00C324F3">
            <w:pPr>
              <w:pStyle w:val="ListParagraph"/>
              <w:numPr>
                <w:ilvl w:val="0"/>
                <w:numId w:val="206"/>
              </w:numPr>
              <w:rPr>
                <w:rFonts w:eastAsia="MS Mincho"/>
                <w:lang w:eastAsia="en-US"/>
              </w:rPr>
            </w:pPr>
            <w:r w:rsidRPr="00B6596E">
              <w:rPr>
                <w:rFonts w:eastAsia="MS Mincho"/>
                <w:lang w:eastAsia="en-US"/>
              </w:rPr>
              <w:t>Fixed-schedule nicotine gum (2 mg); 1 piece/hour for 1st wk with tapering over 10 w</w:t>
            </w:r>
            <w:r>
              <w:rPr>
                <w:rFonts w:eastAsia="MS Mincho"/>
                <w:lang w:eastAsia="en-US"/>
              </w:rPr>
              <w:t>ee</w:t>
            </w:r>
            <w:r w:rsidRPr="00B6596E">
              <w:rPr>
                <w:rFonts w:eastAsia="MS Mincho"/>
                <w:lang w:eastAsia="en-US"/>
              </w:rPr>
              <w:t>ks</w:t>
            </w:r>
          </w:p>
          <w:p w:rsidR="00F11F77" w:rsidRPr="00B6596E" w:rsidRDefault="00F11F77" w:rsidP="00C324F3">
            <w:pPr>
              <w:pStyle w:val="ListParagraph"/>
              <w:numPr>
                <w:ilvl w:val="0"/>
                <w:numId w:val="206"/>
              </w:numPr>
              <w:rPr>
                <w:rFonts w:eastAsia="MS Mincho"/>
                <w:lang w:eastAsia="en-US"/>
              </w:rPr>
            </w:pPr>
            <w:r w:rsidRPr="00B6596E">
              <w:rPr>
                <w:rFonts w:eastAsia="MS Mincho"/>
                <w:lang w:eastAsia="en-US"/>
              </w:rPr>
              <w:t>Ad lib nicotine gum; to be used when urge to smoke, max 30/day</w:t>
            </w:r>
          </w:p>
        </w:tc>
        <w:tc>
          <w:tcPr>
            <w:tcW w:w="1000" w:type="pct"/>
          </w:tcPr>
          <w:p w:rsidR="00F11F77" w:rsidRPr="00B6596E" w:rsidRDefault="00F11F77" w:rsidP="006B48C7">
            <w:pPr>
              <w:pStyle w:val="Tablewriting"/>
              <w:rPr>
                <w:rFonts w:eastAsia="MS Mincho" w:cstheme="minorBidi"/>
              </w:rPr>
            </w:pPr>
            <w:r w:rsidRPr="00B6596E">
              <w:rPr>
                <w:rFonts w:eastAsia="MS Mincho" w:cstheme="minorBidi"/>
                <w:u w:val="single"/>
              </w:rPr>
              <w:t xml:space="preserve">Efficacy: </w:t>
            </w:r>
            <w:r w:rsidRPr="00B6596E">
              <w:rPr>
                <w:rFonts w:eastAsia="MS Mincho" w:cstheme="minorBidi"/>
              </w:rPr>
              <w:t>PPA at 6 m</w:t>
            </w:r>
            <w:r>
              <w:rPr>
                <w:rFonts w:eastAsia="MS Mincho" w:cstheme="minorBidi"/>
              </w:rPr>
              <w:t>onths.</w:t>
            </w:r>
          </w:p>
          <w:p w:rsidR="00F11F77" w:rsidRPr="00B6596E" w:rsidRDefault="00F11F77" w:rsidP="006B48C7">
            <w:pPr>
              <w:pStyle w:val="Tablewriting"/>
              <w:rPr>
                <w:rFonts w:eastAsia="MS Mincho" w:cstheme="minorBidi"/>
              </w:rPr>
            </w:pPr>
            <w:r w:rsidRPr="00B6596E">
              <w:rPr>
                <w:rFonts w:eastAsia="MS Mincho" w:cstheme="minorBidi"/>
              </w:rPr>
              <w:t>Validation: Saliva cotinine &lt; 10 ng/ml or CO &lt; 8 ppm for people still using gum</w:t>
            </w:r>
          </w:p>
          <w:p w:rsidR="00F11F77" w:rsidRPr="004272CD" w:rsidRDefault="00F11F77" w:rsidP="006B48C7">
            <w:pPr>
              <w:pStyle w:val="Tablewriting"/>
              <w:rPr>
                <w:rFonts w:eastAsia="MS Mincho" w:cstheme="minorBidi"/>
                <w:u w:val="single"/>
              </w:rPr>
            </w:pPr>
          </w:p>
          <w:p w:rsidR="00F11F77" w:rsidRPr="004272CD" w:rsidRDefault="00F11F77" w:rsidP="006B48C7">
            <w:pPr>
              <w:pStyle w:val="Tablewriting"/>
              <w:rPr>
                <w:rFonts w:eastAsia="MS Mincho" w:cstheme="minorBidi"/>
                <w:u w:val="single"/>
              </w:rPr>
            </w:pPr>
            <w:r w:rsidRPr="00B6596E">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B6596E">
              <w:rPr>
                <w:rFonts w:eastAsia="MS Mincho" w:cstheme="minorBidi"/>
              </w:rPr>
              <w:t>Adverse events</w:t>
            </w:r>
            <w:r>
              <w:rPr>
                <w:rFonts w:eastAsia="MS Mincho" w:cstheme="minorBidi"/>
              </w:rPr>
              <w:t xml:space="preserve"> </w:t>
            </w:r>
            <w:r w:rsidRPr="00B6596E">
              <w:rPr>
                <w:rFonts w:eastAsia="MS Mincho" w:cstheme="minorBidi"/>
              </w:rPr>
              <w:t>not measured</w:t>
            </w:r>
            <w:r>
              <w:rPr>
                <w:rFonts w:eastAsia="MS Mincho" w:cstheme="minorBidi"/>
              </w:rPr>
              <w:t>.</w:t>
            </w:r>
          </w:p>
        </w:tc>
      </w:tr>
      <w:tr w:rsidR="00F11F77" w:rsidRPr="00017AE6" w:rsidTr="00486A67">
        <w:trPr>
          <w:trHeight w:val="99"/>
        </w:trPr>
        <w:tc>
          <w:tcPr>
            <w:tcW w:w="541" w:type="pct"/>
          </w:tcPr>
          <w:p w:rsidR="00F11F77" w:rsidRPr="00017AE6" w:rsidRDefault="00F11F77" w:rsidP="006B48C7">
            <w:pPr>
              <w:pStyle w:val="Tablewriting"/>
              <w:rPr>
                <w:rFonts w:eastAsia="MS Mincho" w:cstheme="minorHAnsi"/>
              </w:rPr>
            </w:pPr>
            <w:r w:rsidRPr="005D168C">
              <w:rPr>
                <w:rFonts w:eastAsia="MS Mincho"/>
              </w:rPr>
              <w:t xml:space="preserve">Killen </w:t>
            </w:r>
            <w:r>
              <w:rPr>
                <w:rFonts w:eastAsia="MS Mincho"/>
              </w:rPr>
              <w:t>(</w:t>
            </w:r>
            <w:r w:rsidRPr="005D168C">
              <w:rPr>
                <w:rFonts w:eastAsia="MS Mincho"/>
              </w:rPr>
              <w:t>1990</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USA</w:t>
            </w:r>
          </w:p>
        </w:tc>
        <w:tc>
          <w:tcPr>
            <w:tcW w:w="350" w:type="pct"/>
          </w:tcPr>
          <w:p w:rsidR="00F11F77" w:rsidRPr="00017AE6" w:rsidRDefault="00F11F77" w:rsidP="006B48C7">
            <w:pPr>
              <w:pStyle w:val="Tablewriting"/>
              <w:rPr>
                <w:rFonts w:eastAsia="MS Mincho" w:cstheme="minorHAnsi"/>
              </w:rPr>
            </w:pPr>
            <w:r>
              <w:rPr>
                <w:rFonts w:eastAsia="MS Mincho" w:cstheme="minorHAnsi"/>
              </w:rPr>
              <w:t>N=</w:t>
            </w:r>
            <w:r w:rsidRPr="00A76883">
              <w:rPr>
                <w:rFonts w:eastAsia="MS Mincho" w:cstheme="minorHAnsi"/>
              </w:rPr>
              <w:t>1218</w:t>
            </w:r>
          </w:p>
        </w:tc>
        <w:tc>
          <w:tcPr>
            <w:tcW w:w="1168" w:type="pct"/>
          </w:tcPr>
          <w:p w:rsidR="00F11F77" w:rsidRPr="00017AE6" w:rsidRDefault="00F11F77" w:rsidP="006B48C7">
            <w:pPr>
              <w:pStyle w:val="Tablewriting"/>
              <w:rPr>
                <w:rFonts w:eastAsia="MS Mincho" w:cstheme="minorHAnsi"/>
              </w:rPr>
            </w:pPr>
            <w:r>
              <w:rPr>
                <w:rFonts w:eastAsia="MS Mincho" w:cstheme="minorHAnsi"/>
              </w:rPr>
              <w:t>A</w:t>
            </w:r>
            <w:r w:rsidRPr="00A76883">
              <w:rPr>
                <w:rFonts w:eastAsia="MS Mincho" w:cstheme="minorHAnsi"/>
              </w:rPr>
              <w:t>dult smokers</w:t>
            </w:r>
            <w:r>
              <w:rPr>
                <w:rFonts w:eastAsia="MS Mincho" w:cstheme="minorHAnsi"/>
              </w:rPr>
              <w:t xml:space="preserve">, </w:t>
            </w:r>
            <w:r w:rsidRPr="00A76883">
              <w:rPr>
                <w:rFonts w:eastAsia="MS Mincho" w:cstheme="minorHAnsi"/>
              </w:rPr>
              <w:t xml:space="preserve">48% men, av. age 43, </w:t>
            </w:r>
            <w:r>
              <w:rPr>
                <w:rFonts w:eastAsia="MS Mincho" w:cstheme="minorHAnsi"/>
              </w:rPr>
              <w:t>average CPD</w:t>
            </w:r>
            <w:r w:rsidRPr="00A76883">
              <w:rPr>
                <w:rFonts w:eastAsia="MS Mincho" w:cstheme="minorHAnsi"/>
              </w:rPr>
              <w:t xml:space="preserve"> 25</w:t>
            </w:r>
            <w:r>
              <w:rPr>
                <w:rFonts w:eastAsia="MS Mincho" w:cstheme="minorHAnsi"/>
              </w:rPr>
              <w:t>.</w:t>
            </w:r>
          </w:p>
        </w:tc>
        <w:tc>
          <w:tcPr>
            <w:tcW w:w="1288" w:type="pct"/>
          </w:tcPr>
          <w:p w:rsidR="00F11F77" w:rsidRPr="00A76883" w:rsidRDefault="00F11F77" w:rsidP="00C324F3">
            <w:pPr>
              <w:pStyle w:val="ListParagraph"/>
              <w:numPr>
                <w:ilvl w:val="0"/>
                <w:numId w:val="207"/>
              </w:numPr>
              <w:rPr>
                <w:rFonts w:eastAsia="MS Mincho"/>
                <w:lang w:eastAsia="en-US"/>
              </w:rPr>
            </w:pPr>
            <w:r w:rsidRPr="00A76883">
              <w:rPr>
                <w:rFonts w:eastAsia="MS Mincho"/>
                <w:lang w:eastAsia="en-US"/>
              </w:rPr>
              <w:t>Nicotine gum (2 mg, 8 w</w:t>
            </w:r>
            <w:r>
              <w:rPr>
                <w:rFonts w:eastAsia="MS Mincho"/>
                <w:lang w:eastAsia="en-US"/>
              </w:rPr>
              <w:t>ee</w:t>
            </w:r>
            <w:r w:rsidRPr="00A76883">
              <w:rPr>
                <w:rFonts w:eastAsia="MS Mincho"/>
                <w:lang w:eastAsia="en-US"/>
              </w:rPr>
              <w:t>ks) ad lib dosing</w:t>
            </w:r>
          </w:p>
          <w:p w:rsidR="00F11F77" w:rsidRPr="00A76883" w:rsidRDefault="00F11F77" w:rsidP="00C324F3">
            <w:pPr>
              <w:pStyle w:val="ListParagraph"/>
              <w:numPr>
                <w:ilvl w:val="0"/>
                <w:numId w:val="207"/>
              </w:numPr>
              <w:rPr>
                <w:rFonts w:eastAsia="MS Mincho"/>
                <w:lang w:eastAsia="en-US"/>
              </w:rPr>
            </w:pPr>
            <w:r w:rsidRPr="00A76883">
              <w:rPr>
                <w:rFonts w:eastAsia="MS Mincho"/>
                <w:lang w:eastAsia="en-US"/>
              </w:rPr>
              <w:t>Nicotine gum on a fixed dose</w:t>
            </w:r>
          </w:p>
          <w:p w:rsidR="00F11F77" w:rsidRPr="00A76883" w:rsidRDefault="00F11F77" w:rsidP="00C324F3">
            <w:pPr>
              <w:pStyle w:val="ListParagraph"/>
              <w:numPr>
                <w:ilvl w:val="0"/>
                <w:numId w:val="207"/>
              </w:numPr>
              <w:rPr>
                <w:rFonts w:eastAsia="MS Mincho"/>
                <w:lang w:eastAsia="en-US"/>
              </w:rPr>
            </w:pPr>
            <w:r w:rsidRPr="00A76883">
              <w:rPr>
                <w:rFonts w:eastAsia="MS Mincho"/>
                <w:lang w:eastAsia="en-US"/>
              </w:rPr>
              <w:t>Placebo gum</w:t>
            </w:r>
          </w:p>
          <w:p w:rsidR="00F11F77" w:rsidRPr="00A76883" w:rsidRDefault="00F11F77" w:rsidP="00C324F3">
            <w:pPr>
              <w:pStyle w:val="ListParagraph"/>
              <w:numPr>
                <w:ilvl w:val="0"/>
                <w:numId w:val="207"/>
              </w:numPr>
              <w:rPr>
                <w:rFonts w:eastAsia="MS Mincho"/>
                <w:lang w:eastAsia="en-US"/>
              </w:rPr>
            </w:pPr>
            <w:r w:rsidRPr="00A76883">
              <w:rPr>
                <w:rFonts w:eastAsia="MS Mincho"/>
                <w:lang w:eastAsia="en-US"/>
              </w:rPr>
              <w:t>No gum</w:t>
            </w:r>
          </w:p>
        </w:tc>
        <w:tc>
          <w:tcPr>
            <w:tcW w:w="1000" w:type="pct"/>
          </w:tcPr>
          <w:p w:rsidR="00F11F77" w:rsidRPr="00680284" w:rsidRDefault="00F11F77" w:rsidP="006B48C7">
            <w:pPr>
              <w:pStyle w:val="Tablewriting"/>
              <w:rPr>
                <w:rFonts w:eastAsia="MS Mincho" w:cstheme="minorBidi"/>
              </w:rPr>
            </w:pPr>
            <w:r w:rsidRPr="00680284">
              <w:rPr>
                <w:rFonts w:eastAsia="MS Mincho" w:cstheme="minorBidi"/>
                <w:u w:val="single"/>
              </w:rPr>
              <w:t xml:space="preserve">Efficacy: </w:t>
            </w:r>
            <w:r w:rsidRPr="00680284">
              <w:rPr>
                <w:rFonts w:eastAsia="MS Mincho" w:cstheme="minorBidi"/>
              </w:rPr>
              <w:t>PPA at 12 months (7-day PPA)</w:t>
            </w:r>
          </w:p>
          <w:p w:rsidR="00F11F77" w:rsidRPr="00680284" w:rsidRDefault="00F11F77" w:rsidP="006B48C7">
            <w:pPr>
              <w:pStyle w:val="Tablewriting"/>
              <w:rPr>
                <w:rFonts w:eastAsia="MS Mincho" w:cstheme="minorBidi"/>
              </w:rPr>
            </w:pPr>
            <w:r w:rsidRPr="00680284">
              <w:rPr>
                <w:rFonts w:eastAsia="MS Mincho" w:cstheme="minorBidi"/>
              </w:rPr>
              <w:t>Validation: cotinine, except participants who moved away</w:t>
            </w:r>
          </w:p>
          <w:p w:rsidR="00F11F77" w:rsidRPr="004272CD" w:rsidRDefault="00F11F77" w:rsidP="006B48C7">
            <w:pPr>
              <w:pStyle w:val="Tablewriting"/>
              <w:rPr>
                <w:rFonts w:eastAsia="MS Mincho" w:cstheme="minorBidi"/>
                <w:u w:val="single"/>
              </w:rPr>
            </w:pPr>
          </w:p>
          <w:p w:rsidR="00F11F77" w:rsidRPr="0139F213" w:rsidRDefault="00F11F77" w:rsidP="006B48C7">
            <w:pPr>
              <w:pStyle w:val="Tablewriting"/>
              <w:rPr>
                <w:rFonts w:eastAsia="MS Mincho" w:cstheme="minorBidi"/>
              </w:rPr>
            </w:pPr>
            <w:r w:rsidRPr="00680284">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680284">
              <w:rPr>
                <w:rFonts w:eastAsia="MS Mincho" w:cstheme="minorBidi"/>
              </w:rPr>
              <w:t>Adverse events measured weekly for 8 weeks (during treatment)</w:t>
            </w:r>
            <w:r>
              <w:rPr>
                <w:rFonts w:eastAsia="MS Mincho" w:cstheme="minorBidi"/>
              </w:rPr>
              <w:t>.</w:t>
            </w:r>
          </w:p>
        </w:tc>
      </w:tr>
      <w:tr w:rsidR="00F11F77" w:rsidRPr="00017AE6" w:rsidTr="00486A67">
        <w:trPr>
          <w:trHeight w:val="99"/>
        </w:trPr>
        <w:tc>
          <w:tcPr>
            <w:tcW w:w="541" w:type="pct"/>
          </w:tcPr>
          <w:p w:rsidR="00F11F77" w:rsidRPr="00017AE6" w:rsidRDefault="00F11F77" w:rsidP="006B48C7">
            <w:pPr>
              <w:pStyle w:val="Tablewriting"/>
              <w:rPr>
                <w:rFonts w:eastAsia="MS Mincho" w:cstheme="minorHAnsi"/>
              </w:rPr>
            </w:pPr>
            <w:r w:rsidRPr="00FA2C37">
              <w:rPr>
                <w:rFonts w:eastAsia="MS Mincho"/>
              </w:rPr>
              <w:lastRenderedPageBreak/>
              <w:t xml:space="preserve">Rey </w:t>
            </w:r>
            <w:r>
              <w:rPr>
                <w:rFonts w:eastAsia="MS Mincho"/>
              </w:rPr>
              <w:t>(</w:t>
            </w:r>
            <w:r w:rsidRPr="00FA2C37">
              <w:rPr>
                <w:rFonts w:eastAsia="MS Mincho"/>
              </w:rPr>
              <w:t>2009</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Switzerland</w:t>
            </w:r>
          </w:p>
        </w:tc>
        <w:tc>
          <w:tcPr>
            <w:tcW w:w="350" w:type="pct"/>
          </w:tcPr>
          <w:p w:rsidR="00F11F77" w:rsidRPr="00017AE6" w:rsidRDefault="00F11F77" w:rsidP="006B48C7">
            <w:pPr>
              <w:pStyle w:val="Tablewriting"/>
              <w:rPr>
                <w:rFonts w:eastAsia="MS Mincho" w:cstheme="minorHAnsi"/>
              </w:rPr>
            </w:pPr>
            <w:r>
              <w:rPr>
                <w:rFonts w:eastAsia="MS Mincho" w:cstheme="minorHAnsi"/>
              </w:rPr>
              <w:t>N=50</w:t>
            </w:r>
          </w:p>
        </w:tc>
        <w:tc>
          <w:tcPr>
            <w:tcW w:w="1168" w:type="pct"/>
          </w:tcPr>
          <w:p w:rsidR="00F11F77" w:rsidRPr="00BB404A" w:rsidRDefault="00F11F77" w:rsidP="006B48C7">
            <w:pPr>
              <w:pStyle w:val="Tablewriting"/>
              <w:rPr>
                <w:rFonts w:eastAsia="MS Mincho" w:cstheme="minorHAnsi"/>
              </w:rPr>
            </w:pPr>
            <w:r>
              <w:rPr>
                <w:rFonts w:eastAsia="MS Mincho" w:cstheme="minorHAnsi"/>
              </w:rPr>
              <w:t>S</w:t>
            </w:r>
            <w:r w:rsidRPr="00BB404A">
              <w:rPr>
                <w:rFonts w:eastAsia="MS Mincho" w:cstheme="minorHAnsi"/>
              </w:rPr>
              <w:t xml:space="preserve">mokers: highly dependent on smoking, defined as smoking </w:t>
            </w:r>
            <w:r w:rsidRPr="00E632A9">
              <w:rPr>
                <w:rFonts w:eastAsia="MS Mincho" w:cstheme="minorHAnsi"/>
              </w:rPr>
              <w:t>≥</w:t>
            </w:r>
            <w:r w:rsidRPr="00BB404A">
              <w:rPr>
                <w:rFonts w:eastAsia="MS Mincho" w:cstheme="minorHAnsi"/>
              </w:rPr>
              <w:t xml:space="preserve">20 </w:t>
            </w:r>
            <w:r>
              <w:rPr>
                <w:rFonts w:eastAsia="MS Mincho" w:cstheme="minorHAnsi"/>
              </w:rPr>
              <w:t>CPD</w:t>
            </w:r>
            <w:r w:rsidRPr="00BB404A">
              <w:rPr>
                <w:rFonts w:eastAsia="MS Mincho" w:cstheme="minorHAnsi"/>
              </w:rPr>
              <w:t xml:space="preserve"> and/or within 30 mins of waking</w:t>
            </w:r>
          </w:p>
          <w:p w:rsidR="00F11F77" w:rsidRPr="00017AE6" w:rsidRDefault="00F11F77" w:rsidP="006B48C7">
            <w:pPr>
              <w:pStyle w:val="Tablewriting"/>
              <w:rPr>
                <w:rFonts w:eastAsia="MS Mincho" w:cstheme="minorHAnsi"/>
              </w:rPr>
            </w:pPr>
            <w:r w:rsidRPr="00BB404A">
              <w:rPr>
                <w:rFonts w:eastAsia="MS Mincho" w:cstheme="minorHAnsi"/>
              </w:rPr>
              <w:t>72% men; av</w:t>
            </w:r>
            <w:r>
              <w:rPr>
                <w:rFonts w:eastAsia="MS Mincho" w:cstheme="minorHAnsi"/>
              </w:rPr>
              <w:t>erage</w:t>
            </w:r>
            <w:r w:rsidRPr="00BB404A">
              <w:rPr>
                <w:rFonts w:eastAsia="MS Mincho" w:cstheme="minorHAnsi"/>
              </w:rPr>
              <w:t xml:space="preserve"> age 40.5 y</w:t>
            </w:r>
            <w:r>
              <w:rPr>
                <w:rFonts w:eastAsia="MS Mincho" w:cstheme="minorHAnsi"/>
              </w:rPr>
              <w:t>ea</w:t>
            </w:r>
            <w:r w:rsidRPr="00BB404A">
              <w:rPr>
                <w:rFonts w:eastAsia="MS Mincho" w:cstheme="minorHAnsi"/>
              </w:rPr>
              <w:t>rs; av</w:t>
            </w:r>
            <w:r>
              <w:rPr>
                <w:rFonts w:eastAsia="MS Mincho" w:cstheme="minorHAnsi"/>
              </w:rPr>
              <w:t>erage</w:t>
            </w:r>
            <w:r w:rsidRPr="00BB404A">
              <w:rPr>
                <w:rFonts w:eastAsia="MS Mincho" w:cstheme="minorHAnsi"/>
              </w:rPr>
              <w:t xml:space="preserve"> </w:t>
            </w:r>
            <w:r>
              <w:rPr>
                <w:rFonts w:eastAsia="MS Mincho" w:cstheme="minorHAnsi"/>
              </w:rPr>
              <w:t xml:space="preserve">CPD </w:t>
            </w:r>
            <w:r w:rsidRPr="00BB404A">
              <w:rPr>
                <w:rFonts w:eastAsia="MS Mincho" w:cstheme="minorHAnsi"/>
              </w:rPr>
              <w:t>29.9; av</w:t>
            </w:r>
            <w:r>
              <w:rPr>
                <w:rFonts w:eastAsia="MS Mincho" w:cstheme="minorHAnsi"/>
              </w:rPr>
              <w:t>erage</w:t>
            </w:r>
            <w:r w:rsidRPr="00BB404A">
              <w:rPr>
                <w:rFonts w:eastAsia="MS Mincho" w:cstheme="minorHAnsi"/>
              </w:rPr>
              <w:t xml:space="preserve"> exhaled CO 41.5 ppm; av</w:t>
            </w:r>
            <w:r>
              <w:rPr>
                <w:rFonts w:eastAsia="MS Mincho" w:cstheme="minorHAnsi"/>
              </w:rPr>
              <w:t>erage</w:t>
            </w:r>
            <w:r w:rsidRPr="00BB404A">
              <w:rPr>
                <w:rFonts w:eastAsia="MS Mincho" w:cstheme="minorHAnsi"/>
              </w:rPr>
              <w:t xml:space="preserve"> years of consumption 20.5 y</w:t>
            </w:r>
            <w:r>
              <w:rPr>
                <w:rFonts w:eastAsia="MS Mincho" w:cstheme="minorHAnsi"/>
              </w:rPr>
              <w:t>ea</w:t>
            </w:r>
            <w:r w:rsidRPr="00BB404A">
              <w:rPr>
                <w:rFonts w:eastAsia="MS Mincho" w:cstheme="minorHAnsi"/>
              </w:rPr>
              <w:t>rs;</w:t>
            </w:r>
            <w:r>
              <w:rPr>
                <w:rFonts w:eastAsia="MS Mincho" w:cstheme="minorHAnsi"/>
              </w:rPr>
              <w:t xml:space="preserve"> </w:t>
            </w:r>
            <w:r w:rsidRPr="00BB404A">
              <w:rPr>
                <w:rFonts w:eastAsia="MS Mincho" w:cstheme="minorHAnsi"/>
              </w:rPr>
              <w:t>av</w:t>
            </w:r>
            <w:r>
              <w:rPr>
                <w:rFonts w:eastAsia="MS Mincho" w:cstheme="minorHAnsi"/>
              </w:rPr>
              <w:t>erage</w:t>
            </w:r>
            <w:r w:rsidRPr="00BB404A">
              <w:rPr>
                <w:rFonts w:eastAsia="MS Mincho" w:cstheme="minorHAnsi"/>
              </w:rPr>
              <w:t xml:space="preserve"> previous quit attempts</w:t>
            </w:r>
            <w:r>
              <w:rPr>
                <w:rFonts w:eastAsia="MS Mincho" w:cstheme="minorHAnsi"/>
              </w:rPr>
              <w:t xml:space="preserve"> </w:t>
            </w:r>
            <w:r w:rsidRPr="00BB404A">
              <w:rPr>
                <w:rFonts w:eastAsia="MS Mincho" w:cstheme="minorHAnsi"/>
              </w:rPr>
              <w:t>2.7</w:t>
            </w:r>
            <w:r>
              <w:rPr>
                <w:rFonts w:eastAsia="MS Mincho" w:cstheme="minorHAnsi"/>
              </w:rPr>
              <w:t>.</w:t>
            </w:r>
          </w:p>
        </w:tc>
        <w:tc>
          <w:tcPr>
            <w:tcW w:w="1288" w:type="pct"/>
          </w:tcPr>
          <w:p w:rsidR="00F11F77" w:rsidRPr="00BB404A" w:rsidRDefault="00F11F77" w:rsidP="00C324F3">
            <w:pPr>
              <w:pStyle w:val="ListParagraph"/>
              <w:numPr>
                <w:ilvl w:val="0"/>
                <w:numId w:val="208"/>
              </w:numPr>
              <w:rPr>
                <w:rFonts w:eastAsia="MS Mincho"/>
                <w:lang w:eastAsia="en-US"/>
              </w:rPr>
            </w:pPr>
            <w:r w:rsidRPr="00BB404A">
              <w:rPr>
                <w:rFonts w:eastAsia="MS Mincho"/>
                <w:lang w:eastAsia="en-US"/>
              </w:rPr>
              <w:t>Nicotine nasal spray - advice to use spray when a craving appeared, but to also ensure using 2 pu</w:t>
            </w:r>
            <w:r>
              <w:rPr>
                <w:rFonts w:eastAsia="MS Mincho"/>
                <w:lang w:eastAsia="en-US"/>
              </w:rPr>
              <w:t xml:space="preserve">ffs </w:t>
            </w:r>
            <w:r w:rsidRPr="00BB404A">
              <w:rPr>
                <w:rFonts w:eastAsia="MS Mincho"/>
                <w:lang w:eastAsia="en-US"/>
              </w:rPr>
              <w:t>an hour</w:t>
            </w:r>
          </w:p>
          <w:p w:rsidR="00F11F77" w:rsidRDefault="00F11F77" w:rsidP="00C324F3">
            <w:pPr>
              <w:pStyle w:val="ListParagraph"/>
              <w:numPr>
                <w:ilvl w:val="0"/>
                <w:numId w:val="208"/>
              </w:numPr>
              <w:rPr>
                <w:rFonts w:eastAsia="MS Mincho"/>
                <w:lang w:eastAsia="en-US"/>
              </w:rPr>
            </w:pPr>
            <w:r w:rsidRPr="00BB404A">
              <w:rPr>
                <w:rFonts w:eastAsia="MS Mincho"/>
                <w:lang w:eastAsia="en-US"/>
              </w:rPr>
              <w:t>Nicotine nasal spray - advice to use spray when craving appeared only</w:t>
            </w:r>
          </w:p>
          <w:p w:rsidR="00F11F77" w:rsidRDefault="00F11F77" w:rsidP="006B48C7">
            <w:pPr>
              <w:rPr>
                <w:rFonts w:eastAsia="MS Mincho"/>
                <w:lang w:eastAsia="en-US"/>
              </w:rPr>
            </w:pPr>
          </w:p>
          <w:p w:rsidR="00F11F77" w:rsidRPr="00BB404A" w:rsidRDefault="00F11F77" w:rsidP="006B48C7">
            <w:pPr>
              <w:rPr>
                <w:rFonts w:eastAsia="MS Mincho"/>
                <w:lang w:eastAsia="en-US"/>
              </w:rPr>
            </w:pPr>
            <w:r w:rsidRPr="00BB404A">
              <w:rPr>
                <w:rFonts w:eastAsia="MS Mincho"/>
                <w:lang w:eastAsia="en-US"/>
              </w:rPr>
              <w:t>Both groups advised to use spray for 2 months from quit date and reduce use in the second month if</w:t>
            </w:r>
            <w:r>
              <w:rPr>
                <w:rFonts w:eastAsia="MS Mincho"/>
                <w:lang w:eastAsia="en-US"/>
              </w:rPr>
              <w:t xml:space="preserve"> </w:t>
            </w:r>
            <w:r w:rsidRPr="00BB404A">
              <w:rPr>
                <w:rFonts w:eastAsia="MS Mincho"/>
                <w:lang w:eastAsia="en-US"/>
              </w:rPr>
              <w:t>tolerable</w:t>
            </w:r>
            <w:r>
              <w:rPr>
                <w:rFonts w:eastAsia="MS Mincho"/>
                <w:lang w:eastAsia="en-US"/>
              </w:rPr>
              <w:t xml:space="preserve">. </w:t>
            </w:r>
          </w:p>
        </w:tc>
        <w:tc>
          <w:tcPr>
            <w:tcW w:w="1000" w:type="pct"/>
          </w:tcPr>
          <w:p w:rsidR="00F11F77" w:rsidRPr="00BB404A" w:rsidRDefault="00F11F77" w:rsidP="006B48C7">
            <w:pPr>
              <w:pStyle w:val="Tablewriting"/>
              <w:rPr>
                <w:rFonts w:eastAsia="MS Mincho" w:cstheme="minorBidi"/>
              </w:rPr>
            </w:pPr>
            <w:r w:rsidRPr="00BB404A">
              <w:rPr>
                <w:rFonts w:eastAsia="MS Mincho" w:cstheme="minorBidi"/>
                <w:u w:val="single"/>
              </w:rPr>
              <w:t xml:space="preserve">Efficacy: </w:t>
            </w:r>
            <w:r w:rsidRPr="00BB404A">
              <w:rPr>
                <w:rFonts w:eastAsia="MS Mincho" w:cstheme="minorBidi"/>
              </w:rPr>
              <w:t>Continuous smoking abstinence at 6 m</w:t>
            </w:r>
            <w:r>
              <w:rPr>
                <w:rFonts w:eastAsia="MS Mincho" w:cstheme="minorBidi"/>
              </w:rPr>
              <w:t>onths</w:t>
            </w:r>
            <w:r w:rsidRPr="00BB404A">
              <w:rPr>
                <w:rFonts w:eastAsia="MS Mincho" w:cstheme="minorBidi"/>
              </w:rPr>
              <w:t xml:space="preserve"> follow-up (defined as from the beginning of nasal spray use to</w:t>
            </w:r>
          </w:p>
          <w:p w:rsidR="00F11F77" w:rsidRPr="00BB404A" w:rsidRDefault="00F11F77" w:rsidP="006B48C7">
            <w:pPr>
              <w:pStyle w:val="Tablewriting"/>
              <w:rPr>
                <w:rFonts w:eastAsia="MS Mincho" w:cstheme="minorBidi"/>
              </w:rPr>
            </w:pPr>
            <w:r w:rsidRPr="00BB404A">
              <w:rPr>
                <w:rFonts w:eastAsia="MS Mincho" w:cstheme="minorBidi"/>
              </w:rPr>
              <w:t xml:space="preserve">the end of the 6th month, occasional slips &lt; 1 </w:t>
            </w:r>
            <w:r>
              <w:rPr>
                <w:rFonts w:eastAsia="MS Mincho" w:cstheme="minorBidi"/>
              </w:rPr>
              <w:t>CPD</w:t>
            </w:r>
            <w:r w:rsidRPr="00BB404A">
              <w:rPr>
                <w:rFonts w:eastAsia="MS Mincho" w:cstheme="minorBidi"/>
              </w:rPr>
              <w:t xml:space="preserve"> tolerated)</w:t>
            </w:r>
          </w:p>
          <w:p w:rsidR="00F11F77" w:rsidRPr="00BB404A" w:rsidRDefault="00F11F77" w:rsidP="006B48C7">
            <w:pPr>
              <w:pStyle w:val="Tablewriting"/>
              <w:rPr>
                <w:rFonts w:eastAsia="MS Mincho" w:cstheme="minorBidi"/>
              </w:rPr>
            </w:pPr>
            <w:r w:rsidRPr="00BB404A">
              <w:rPr>
                <w:rFonts w:eastAsia="MS Mincho" w:cstheme="minorBidi"/>
              </w:rPr>
              <w:t>Val</w:t>
            </w:r>
            <w:r>
              <w:rPr>
                <w:rFonts w:eastAsia="MS Mincho" w:cstheme="minorBidi"/>
              </w:rPr>
              <w:t>i</w:t>
            </w:r>
            <w:r w:rsidRPr="00BB404A">
              <w:rPr>
                <w:rFonts w:eastAsia="MS Mincho" w:cstheme="minorBidi"/>
              </w:rPr>
              <w:t xml:space="preserve">dation: CO </w:t>
            </w:r>
            <w:r w:rsidRPr="00902273">
              <w:rPr>
                <w:rFonts w:eastAsia="MS Mincho" w:cstheme="minorBidi"/>
              </w:rPr>
              <w:t>≤</w:t>
            </w:r>
            <w:r w:rsidRPr="00BB404A">
              <w:rPr>
                <w:rFonts w:eastAsia="MS Mincho" w:cstheme="minorBidi"/>
              </w:rPr>
              <w:t xml:space="preserve"> 10 ppm</w:t>
            </w:r>
          </w:p>
          <w:p w:rsidR="00F11F77" w:rsidRPr="00BB404A" w:rsidRDefault="00F11F77" w:rsidP="006B48C7">
            <w:pPr>
              <w:pStyle w:val="Tablewriting"/>
              <w:rPr>
                <w:rFonts w:eastAsia="MS Mincho" w:cstheme="minorBidi"/>
                <w:u w:val="single"/>
              </w:rPr>
            </w:pPr>
          </w:p>
          <w:p w:rsidR="00F11F77" w:rsidRPr="0139F213" w:rsidRDefault="00F11F77" w:rsidP="006B48C7">
            <w:pPr>
              <w:pStyle w:val="Tablewriting"/>
              <w:rPr>
                <w:rFonts w:eastAsia="MS Mincho" w:cstheme="minorBidi"/>
              </w:rPr>
            </w:pPr>
            <w:r w:rsidRPr="00BB404A">
              <w:rPr>
                <w:rFonts w:eastAsia="MS Mincho" w:cstheme="minorBidi"/>
                <w:u w:val="single"/>
              </w:rPr>
              <w:t>Safety:</w:t>
            </w:r>
            <w:r>
              <w:rPr>
                <w:rFonts w:eastAsia="MS Mincho" w:cstheme="minorBidi"/>
                <w:u w:val="single"/>
              </w:rPr>
              <w:t xml:space="preserve"> </w:t>
            </w:r>
            <w:r w:rsidRPr="00BB404A">
              <w:rPr>
                <w:rFonts w:eastAsia="MS Mincho" w:cstheme="minorBidi"/>
              </w:rPr>
              <w:t>Adverse events</w:t>
            </w:r>
            <w:r>
              <w:rPr>
                <w:rFonts w:eastAsia="MS Mincho" w:cstheme="minorBidi"/>
              </w:rPr>
              <w:t xml:space="preserve"> </w:t>
            </w:r>
            <w:r w:rsidRPr="00BB404A">
              <w:rPr>
                <w:rFonts w:eastAsia="MS Mincho" w:cstheme="minorBidi"/>
              </w:rPr>
              <w:t>not measured</w:t>
            </w:r>
            <w:r>
              <w:rPr>
                <w:rFonts w:eastAsia="MS Mincho" w:cstheme="minorBidi"/>
              </w:rPr>
              <w:t>.</w:t>
            </w:r>
          </w:p>
        </w:tc>
      </w:tr>
      <w:tr w:rsidR="00F11F77" w:rsidRPr="00017AE6" w:rsidTr="00486A67">
        <w:trPr>
          <w:trHeight w:val="99"/>
        </w:trPr>
        <w:tc>
          <w:tcPr>
            <w:tcW w:w="541" w:type="pct"/>
          </w:tcPr>
          <w:p w:rsidR="00F11F77" w:rsidRPr="00017AE6" w:rsidRDefault="00F11F77" w:rsidP="006B48C7">
            <w:pPr>
              <w:pStyle w:val="Tablewriting"/>
              <w:rPr>
                <w:rFonts w:eastAsia="MS Mincho" w:cstheme="minorHAnsi"/>
              </w:rPr>
            </w:pPr>
            <w:r w:rsidRPr="00FA2C37">
              <w:rPr>
                <w:rFonts w:eastAsia="MS Mincho"/>
              </w:rPr>
              <w:t xml:space="preserve">Tønnesen </w:t>
            </w:r>
            <w:r>
              <w:rPr>
                <w:rFonts w:eastAsia="MS Mincho"/>
              </w:rPr>
              <w:t>(</w:t>
            </w:r>
            <w:r w:rsidRPr="00FA2C37">
              <w:rPr>
                <w:rFonts w:eastAsia="MS Mincho"/>
              </w:rPr>
              <w:t>1996</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Denmark</w:t>
            </w:r>
          </w:p>
        </w:tc>
        <w:tc>
          <w:tcPr>
            <w:tcW w:w="350" w:type="pct"/>
          </w:tcPr>
          <w:p w:rsidR="00F11F77" w:rsidRPr="00017AE6" w:rsidRDefault="00F11F77" w:rsidP="006B48C7">
            <w:pPr>
              <w:pStyle w:val="Tablewriting"/>
              <w:rPr>
                <w:rFonts w:eastAsia="MS Mincho" w:cstheme="minorHAnsi"/>
              </w:rPr>
            </w:pPr>
            <w:r>
              <w:rPr>
                <w:rFonts w:eastAsia="MS Mincho" w:cstheme="minorHAnsi"/>
              </w:rPr>
              <w:t>N=89</w:t>
            </w:r>
          </w:p>
        </w:tc>
        <w:tc>
          <w:tcPr>
            <w:tcW w:w="1168" w:type="pct"/>
          </w:tcPr>
          <w:p w:rsidR="00F11F77" w:rsidRPr="00B47E86" w:rsidRDefault="00F11F77" w:rsidP="006B48C7">
            <w:pPr>
              <w:pStyle w:val="Tablewriting"/>
              <w:rPr>
                <w:rFonts w:eastAsia="MS Mincho" w:cstheme="minorHAnsi"/>
              </w:rPr>
            </w:pPr>
            <w:r>
              <w:rPr>
                <w:rFonts w:eastAsia="MS Mincho" w:cstheme="minorHAnsi"/>
              </w:rPr>
              <w:t>S</w:t>
            </w:r>
            <w:r w:rsidRPr="00B47E86">
              <w:rPr>
                <w:rFonts w:eastAsia="MS Mincho" w:cstheme="minorHAnsi"/>
              </w:rPr>
              <w:t>mokers: previous failed quit attempts; willing to quit completely</w:t>
            </w:r>
            <w:r>
              <w:rPr>
                <w:rFonts w:eastAsia="MS Mincho" w:cstheme="minorHAnsi"/>
              </w:rPr>
              <w:t>.</w:t>
            </w:r>
          </w:p>
          <w:p w:rsidR="00F11F77" w:rsidRPr="00017AE6" w:rsidRDefault="00F11F77" w:rsidP="006B48C7">
            <w:pPr>
              <w:pStyle w:val="Tablewriting"/>
              <w:rPr>
                <w:rFonts w:eastAsia="MS Mincho" w:cstheme="minorHAnsi"/>
              </w:rPr>
            </w:pPr>
            <w:r w:rsidRPr="00B47E86">
              <w:rPr>
                <w:rFonts w:eastAsia="MS Mincho" w:cstheme="minorHAnsi"/>
              </w:rPr>
              <w:t>30.3% men; av</w:t>
            </w:r>
            <w:r>
              <w:rPr>
                <w:rFonts w:eastAsia="MS Mincho" w:cstheme="minorHAnsi"/>
              </w:rPr>
              <w:t>erage</w:t>
            </w:r>
            <w:r w:rsidRPr="00B47E86">
              <w:rPr>
                <w:rFonts w:eastAsia="MS Mincho" w:cstheme="minorHAnsi"/>
              </w:rPr>
              <w:t xml:space="preserve"> age: 49.5</w:t>
            </w:r>
            <w:r>
              <w:rPr>
                <w:rFonts w:eastAsia="MS Mincho" w:cstheme="minorHAnsi"/>
              </w:rPr>
              <w:t xml:space="preserve"> years</w:t>
            </w:r>
            <w:r w:rsidRPr="00B47E86">
              <w:rPr>
                <w:rFonts w:eastAsia="MS Mincho" w:cstheme="minorHAnsi"/>
              </w:rPr>
              <w:t>; av</w:t>
            </w:r>
            <w:r>
              <w:rPr>
                <w:rFonts w:eastAsia="MS Mincho" w:cstheme="minorHAnsi"/>
              </w:rPr>
              <w:t>erage CPD</w:t>
            </w:r>
            <w:r w:rsidRPr="00B47E86">
              <w:rPr>
                <w:rFonts w:eastAsia="MS Mincho" w:cstheme="minorHAnsi"/>
              </w:rPr>
              <w:t xml:space="preserve"> 22; av</w:t>
            </w:r>
            <w:r>
              <w:rPr>
                <w:rFonts w:eastAsia="MS Mincho" w:cstheme="minorHAnsi"/>
              </w:rPr>
              <w:t>erage</w:t>
            </w:r>
            <w:r w:rsidRPr="00B47E86">
              <w:rPr>
                <w:rFonts w:eastAsia="MS Mincho" w:cstheme="minorHAnsi"/>
              </w:rPr>
              <w:t xml:space="preserve"> FTND 6.1; salivary cotinine at baseline</w:t>
            </w:r>
            <w:r>
              <w:rPr>
                <w:rFonts w:eastAsia="MS Mincho" w:cstheme="minorHAnsi"/>
              </w:rPr>
              <w:t xml:space="preserve"> </w:t>
            </w:r>
            <w:r w:rsidRPr="00B47E86">
              <w:rPr>
                <w:rFonts w:eastAsia="MS Mincho" w:cstheme="minorHAnsi"/>
              </w:rPr>
              <w:t>463.5 ng/ml</w:t>
            </w:r>
            <w:r>
              <w:rPr>
                <w:rFonts w:eastAsia="MS Mincho" w:cstheme="minorHAnsi"/>
              </w:rPr>
              <w:t>.</w:t>
            </w:r>
          </w:p>
        </w:tc>
        <w:tc>
          <w:tcPr>
            <w:tcW w:w="1288" w:type="pct"/>
          </w:tcPr>
          <w:p w:rsidR="00F11F77" w:rsidRPr="00B47E86" w:rsidRDefault="00F11F77" w:rsidP="00C324F3">
            <w:pPr>
              <w:pStyle w:val="ListParagraph"/>
              <w:numPr>
                <w:ilvl w:val="0"/>
                <w:numId w:val="209"/>
              </w:numPr>
              <w:rPr>
                <w:rFonts w:eastAsia="MS Mincho"/>
                <w:lang w:eastAsia="en-US"/>
              </w:rPr>
            </w:pPr>
            <w:r w:rsidRPr="00B47E86">
              <w:rPr>
                <w:rFonts w:eastAsia="MS Mincho"/>
                <w:lang w:eastAsia="en-US"/>
              </w:rPr>
              <w:t>Nicotine nasal spray: advice to use ad libitum (up to 10 pu</w:t>
            </w:r>
            <w:r>
              <w:rPr>
                <w:rFonts w:eastAsia="MS Mincho"/>
                <w:lang w:eastAsia="en-US"/>
              </w:rPr>
              <w:t>ff</w:t>
            </w:r>
            <w:r w:rsidRPr="00B47E86">
              <w:rPr>
                <w:rFonts w:eastAsia="MS Mincho"/>
                <w:lang w:eastAsia="en-US"/>
              </w:rPr>
              <w:t>s/hour and 80 pu</w:t>
            </w:r>
            <w:r>
              <w:rPr>
                <w:rFonts w:eastAsia="MS Mincho"/>
                <w:lang w:eastAsia="en-US"/>
              </w:rPr>
              <w:t>ff</w:t>
            </w:r>
            <w:r w:rsidRPr="00B47E86">
              <w:rPr>
                <w:rFonts w:eastAsia="MS Mincho"/>
                <w:lang w:eastAsia="en-US"/>
              </w:rPr>
              <w:t>s/day)</w:t>
            </w:r>
          </w:p>
          <w:p w:rsidR="00F11F77" w:rsidRPr="00B47E86" w:rsidRDefault="00F11F77" w:rsidP="00C324F3">
            <w:pPr>
              <w:pStyle w:val="ListParagraph"/>
              <w:numPr>
                <w:ilvl w:val="0"/>
                <w:numId w:val="209"/>
              </w:numPr>
              <w:rPr>
                <w:rFonts w:eastAsia="MS Mincho"/>
                <w:lang w:eastAsia="en-US"/>
              </w:rPr>
            </w:pPr>
            <w:r w:rsidRPr="00B47E86">
              <w:rPr>
                <w:rFonts w:eastAsia="MS Mincho"/>
                <w:lang w:eastAsia="en-US"/>
              </w:rPr>
              <w:t>Nicotine nasal spray: advice to use 1 pu</w:t>
            </w:r>
            <w:r>
              <w:rPr>
                <w:rFonts w:eastAsia="MS Mincho"/>
                <w:lang w:eastAsia="en-US"/>
              </w:rPr>
              <w:t>ff</w:t>
            </w:r>
            <w:r w:rsidRPr="00B47E86">
              <w:rPr>
                <w:rFonts w:eastAsia="MS Mincho"/>
                <w:lang w:eastAsia="en-US"/>
              </w:rPr>
              <w:t>/hour whilst awake</w:t>
            </w:r>
          </w:p>
          <w:p w:rsidR="00F11F77" w:rsidRDefault="00F11F77" w:rsidP="006B48C7">
            <w:pPr>
              <w:rPr>
                <w:rFonts w:eastAsia="MS Mincho"/>
                <w:lang w:eastAsia="en-US"/>
              </w:rPr>
            </w:pPr>
          </w:p>
          <w:p w:rsidR="00F11F77" w:rsidRPr="00B47E86" w:rsidRDefault="00F11F77" w:rsidP="006B48C7">
            <w:pPr>
              <w:rPr>
                <w:rFonts w:eastAsia="MS Mincho"/>
                <w:lang w:eastAsia="en-US"/>
              </w:rPr>
            </w:pPr>
            <w:r w:rsidRPr="00B47E86">
              <w:rPr>
                <w:rFonts w:eastAsia="MS Mincho"/>
                <w:u w:val="single"/>
                <w:lang w:eastAsia="en-US"/>
              </w:rPr>
              <w:t>Common component</w:t>
            </w:r>
            <w:r>
              <w:rPr>
                <w:rFonts w:eastAsia="MS Mincho"/>
                <w:lang w:eastAsia="en-US"/>
              </w:rPr>
              <w:t xml:space="preserve">: </w:t>
            </w:r>
            <w:r w:rsidRPr="00B47E86">
              <w:rPr>
                <w:rFonts w:eastAsia="MS Mincho"/>
                <w:lang w:eastAsia="en-US"/>
              </w:rPr>
              <w:t>Treatment continued for 6 m</w:t>
            </w:r>
            <w:r>
              <w:rPr>
                <w:rFonts w:eastAsia="MS Mincho"/>
                <w:lang w:eastAsia="en-US"/>
              </w:rPr>
              <w:t>onths</w:t>
            </w:r>
            <w:r w:rsidRPr="00B47E86">
              <w:rPr>
                <w:rFonts w:eastAsia="MS Mincho"/>
                <w:lang w:eastAsia="en-US"/>
              </w:rPr>
              <w:t xml:space="preserve"> following quit day, but tapering could be initiated after 3 m</w:t>
            </w:r>
            <w:r>
              <w:rPr>
                <w:rFonts w:eastAsia="MS Mincho"/>
                <w:lang w:eastAsia="en-US"/>
              </w:rPr>
              <w:t xml:space="preserve">onths. </w:t>
            </w:r>
          </w:p>
        </w:tc>
        <w:tc>
          <w:tcPr>
            <w:tcW w:w="1000" w:type="pct"/>
          </w:tcPr>
          <w:p w:rsidR="00F11F77" w:rsidRPr="00A44226" w:rsidRDefault="00F11F77" w:rsidP="006B48C7">
            <w:pPr>
              <w:pStyle w:val="Tablewriting"/>
              <w:rPr>
                <w:rFonts w:eastAsia="MS Mincho" w:cstheme="minorBidi"/>
              </w:rPr>
            </w:pPr>
            <w:r w:rsidRPr="00A44226">
              <w:rPr>
                <w:rFonts w:eastAsia="MS Mincho" w:cstheme="minorBidi"/>
                <w:u w:val="single"/>
              </w:rPr>
              <w:t xml:space="preserve">Efficacy: </w:t>
            </w:r>
            <w:r w:rsidRPr="00A44226">
              <w:rPr>
                <w:rFonts w:eastAsia="MS Mincho" w:cstheme="minorBidi"/>
              </w:rPr>
              <w:t>Continuous smoking abstinence at 12-m</w:t>
            </w:r>
            <w:r>
              <w:rPr>
                <w:rFonts w:eastAsia="MS Mincho" w:cstheme="minorBidi"/>
              </w:rPr>
              <w:t>onth</w:t>
            </w:r>
            <w:r w:rsidRPr="00A44226">
              <w:rPr>
                <w:rFonts w:eastAsia="MS Mincho" w:cstheme="minorBidi"/>
              </w:rPr>
              <w:t xml:space="preserve"> follow-up (defined as abstinence from week 2 post-quit day to</w:t>
            </w:r>
          </w:p>
          <w:p w:rsidR="00F11F77" w:rsidRPr="00A44226" w:rsidRDefault="00F11F77" w:rsidP="006B48C7">
            <w:pPr>
              <w:pStyle w:val="Tablewriting"/>
              <w:rPr>
                <w:rFonts w:eastAsia="MS Mincho" w:cstheme="minorBidi"/>
              </w:rPr>
            </w:pPr>
            <w:r w:rsidRPr="00A44226">
              <w:rPr>
                <w:rFonts w:eastAsia="MS Mincho" w:cstheme="minorBidi"/>
              </w:rPr>
              <w:t>12 m follow-up); CO-validated (&lt; 10 ppm)</w:t>
            </w:r>
            <w:r>
              <w:rPr>
                <w:rFonts w:eastAsia="MS Mincho" w:cstheme="minorBidi"/>
              </w:rPr>
              <w:t>.</w:t>
            </w:r>
          </w:p>
          <w:p w:rsidR="00F11F77" w:rsidRPr="00A44226" w:rsidRDefault="00F11F77" w:rsidP="006B48C7">
            <w:pPr>
              <w:pStyle w:val="Tablewriting"/>
              <w:rPr>
                <w:rFonts w:eastAsia="MS Mincho" w:cstheme="minorBidi"/>
              </w:rPr>
            </w:pPr>
            <w:r>
              <w:rPr>
                <w:rFonts w:eastAsia="MS Mincho" w:cstheme="minorBidi"/>
              </w:rPr>
              <w:t>O</w:t>
            </w:r>
            <w:r w:rsidRPr="00A44226">
              <w:rPr>
                <w:rFonts w:eastAsia="MS Mincho" w:cstheme="minorBidi"/>
              </w:rPr>
              <w:t>ther abstinence measures: CO-validated continuous abstinence at 6 m</w:t>
            </w:r>
            <w:r>
              <w:rPr>
                <w:rFonts w:eastAsia="MS Mincho" w:cstheme="minorBidi"/>
              </w:rPr>
              <w:t>onths</w:t>
            </w:r>
            <w:r w:rsidRPr="00A44226">
              <w:rPr>
                <w:rFonts w:eastAsia="MS Mincho" w:cstheme="minorBidi"/>
              </w:rPr>
              <w:t>; CO-validated abstinence allowing</w:t>
            </w:r>
          </w:p>
          <w:p w:rsidR="00F11F77" w:rsidRPr="00A44226" w:rsidRDefault="00F11F77" w:rsidP="006B48C7">
            <w:pPr>
              <w:pStyle w:val="Tablewriting"/>
              <w:rPr>
                <w:rFonts w:eastAsia="MS Mincho" w:cstheme="minorBidi"/>
              </w:rPr>
            </w:pPr>
            <w:r w:rsidRPr="00A44226">
              <w:rPr>
                <w:rFonts w:eastAsia="MS Mincho" w:cstheme="minorBidi"/>
              </w:rPr>
              <w:t>for slips (occasionally smoking between 2 visits) at 6 and 12 m</w:t>
            </w:r>
            <w:r>
              <w:rPr>
                <w:rFonts w:eastAsia="MS Mincho" w:cstheme="minorBidi"/>
              </w:rPr>
              <w:t>onths</w:t>
            </w:r>
          </w:p>
          <w:p w:rsidR="00F11F77" w:rsidRPr="00A44226" w:rsidRDefault="00F11F77" w:rsidP="006B48C7">
            <w:pPr>
              <w:pStyle w:val="Tablewriting"/>
              <w:rPr>
                <w:rFonts w:eastAsia="MS Mincho" w:cstheme="minorBidi"/>
                <w:u w:val="single"/>
              </w:rPr>
            </w:pPr>
          </w:p>
          <w:p w:rsidR="00F11F77" w:rsidRPr="0139F213" w:rsidRDefault="00F11F77" w:rsidP="006B48C7">
            <w:pPr>
              <w:pStyle w:val="Tablewriting"/>
              <w:rPr>
                <w:rFonts w:eastAsia="MS Mincho" w:cstheme="minorBidi"/>
              </w:rPr>
            </w:pPr>
            <w:r w:rsidRPr="00A44226">
              <w:rPr>
                <w:rFonts w:eastAsia="MS Mincho" w:cstheme="minorBidi"/>
                <w:u w:val="single"/>
              </w:rPr>
              <w:t>Safety:</w:t>
            </w:r>
            <w:r>
              <w:rPr>
                <w:rFonts w:eastAsia="MS Mincho" w:cstheme="minorBidi"/>
                <w:u w:val="single"/>
              </w:rPr>
              <w:t xml:space="preserve"> </w:t>
            </w:r>
            <w:r w:rsidRPr="00A44226">
              <w:rPr>
                <w:rFonts w:eastAsia="MS Mincho" w:cstheme="minorBidi"/>
              </w:rPr>
              <w:t>Adverse events</w:t>
            </w:r>
            <w:r>
              <w:rPr>
                <w:rFonts w:eastAsia="MS Mincho" w:cstheme="minorBidi"/>
              </w:rPr>
              <w:t xml:space="preserve"> </w:t>
            </w:r>
            <w:r w:rsidRPr="00A44226">
              <w:rPr>
                <w:rFonts w:eastAsia="MS Mincho" w:cstheme="minorBidi"/>
              </w:rPr>
              <w:t>measured up to 6 weeks (participants using treatment at this time)</w:t>
            </w:r>
            <w:r>
              <w:rPr>
                <w:rFonts w:eastAsia="MS Mincho" w:cstheme="minorBidi"/>
              </w:rPr>
              <w:t>.</w:t>
            </w:r>
          </w:p>
        </w:tc>
      </w:tr>
      <w:tr w:rsidR="00F11F77" w:rsidRPr="00017AE6" w:rsidTr="00486A67">
        <w:trPr>
          <w:trHeight w:val="99"/>
        </w:trPr>
        <w:tc>
          <w:tcPr>
            <w:tcW w:w="5000" w:type="pct"/>
            <w:gridSpan w:val="7"/>
            <w:shd w:val="clear" w:color="auto" w:fill="D9D9D9" w:themeFill="background1" w:themeFillShade="D9"/>
          </w:tcPr>
          <w:p w:rsidR="00F11F77" w:rsidRPr="0139F213" w:rsidRDefault="00F11F77" w:rsidP="006B48C7">
            <w:pPr>
              <w:pStyle w:val="Caption"/>
              <w:rPr>
                <w:rFonts w:eastAsia="MS Mincho" w:cstheme="minorBidi"/>
              </w:rPr>
            </w:pPr>
            <w:r>
              <w:t>P</w:t>
            </w:r>
            <w:r w:rsidRPr="00B57E0E">
              <w:t>reloading versus standard use</w:t>
            </w:r>
          </w:p>
        </w:tc>
      </w:tr>
      <w:tr w:rsidR="00F11F77" w:rsidRPr="00017AE6" w:rsidTr="00486A67">
        <w:trPr>
          <w:trHeight w:val="99"/>
        </w:trPr>
        <w:tc>
          <w:tcPr>
            <w:tcW w:w="541" w:type="pct"/>
          </w:tcPr>
          <w:p w:rsidR="00F11F77" w:rsidRPr="00FA2C37" w:rsidRDefault="00F11F77" w:rsidP="006B48C7">
            <w:pPr>
              <w:pStyle w:val="Tablewriting"/>
              <w:rPr>
                <w:rFonts w:eastAsia="MS Mincho"/>
              </w:rPr>
            </w:pPr>
            <w:r w:rsidRPr="00245AD9">
              <w:rPr>
                <w:rFonts w:eastAsia="MS Mincho"/>
              </w:rPr>
              <w:t xml:space="preserve">Bullen </w:t>
            </w:r>
            <w:r>
              <w:rPr>
                <w:rFonts w:eastAsia="MS Mincho"/>
              </w:rPr>
              <w:t>(</w:t>
            </w:r>
            <w:r w:rsidRPr="00245AD9">
              <w:rPr>
                <w:rFonts w:eastAsia="MS Mincho"/>
              </w:rPr>
              <w:t>2010</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sidRPr="006934BD">
              <w:rPr>
                <w:rFonts w:eastAsia="MS Mincho"/>
              </w:rPr>
              <w:t>New Zealand</w:t>
            </w:r>
          </w:p>
        </w:tc>
        <w:tc>
          <w:tcPr>
            <w:tcW w:w="350" w:type="pct"/>
          </w:tcPr>
          <w:p w:rsidR="00F11F77" w:rsidRPr="00017AE6" w:rsidRDefault="00F11F77" w:rsidP="006B48C7">
            <w:pPr>
              <w:pStyle w:val="Tablewriting"/>
              <w:rPr>
                <w:rFonts w:eastAsia="MS Mincho" w:cstheme="minorHAnsi"/>
              </w:rPr>
            </w:pPr>
            <w:r>
              <w:rPr>
                <w:rFonts w:eastAsia="MS Mincho" w:cstheme="minorHAnsi"/>
              </w:rPr>
              <w:t>N=1100</w:t>
            </w:r>
          </w:p>
        </w:tc>
        <w:tc>
          <w:tcPr>
            <w:tcW w:w="1168" w:type="pct"/>
          </w:tcPr>
          <w:p w:rsidR="00F11F77" w:rsidRPr="00017AE6" w:rsidRDefault="00F11F77" w:rsidP="006B48C7">
            <w:pPr>
              <w:pStyle w:val="Tablewriting"/>
              <w:rPr>
                <w:rFonts w:eastAsia="MS Mincho" w:cstheme="minorHAnsi"/>
              </w:rPr>
            </w:pPr>
            <w:r>
              <w:rPr>
                <w:rFonts w:eastAsia="MS Mincho" w:cstheme="minorHAnsi"/>
              </w:rPr>
              <w:t>S</w:t>
            </w:r>
            <w:r w:rsidRPr="006934BD">
              <w:rPr>
                <w:rFonts w:eastAsia="MS Mincho" w:cstheme="minorHAnsi"/>
              </w:rPr>
              <w:t>mokers, motivated to quit</w:t>
            </w:r>
            <w:r>
              <w:rPr>
                <w:rFonts w:eastAsia="MS Mincho" w:cstheme="minorHAnsi"/>
              </w:rPr>
              <w:t xml:space="preserve">, </w:t>
            </w:r>
            <w:r w:rsidRPr="006934BD">
              <w:rPr>
                <w:rFonts w:eastAsia="MS Mincho" w:cstheme="minorHAnsi"/>
              </w:rPr>
              <w:t xml:space="preserve">40% men, mean age 40, </w:t>
            </w:r>
            <w:r>
              <w:rPr>
                <w:rFonts w:eastAsia="MS Mincho" w:cstheme="minorHAnsi"/>
              </w:rPr>
              <w:t>average CPD</w:t>
            </w:r>
            <w:r w:rsidRPr="006934BD">
              <w:rPr>
                <w:rFonts w:eastAsia="MS Mincho" w:cstheme="minorHAnsi"/>
              </w:rPr>
              <w:t xml:space="preserve"> 19</w:t>
            </w:r>
            <w:r>
              <w:rPr>
                <w:rFonts w:eastAsia="MS Mincho" w:cstheme="minorHAnsi"/>
              </w:rPr>
              <w:t xml:space="preserve">. </w:t>
            </w:r>
          </w:p>
        </w:tc>
        <w:tc>
          <w:tcPr>
            <w:tcW w:w="1288" w:type="pct"/>
          </w:tcPr>
          <w:p w:rsidR="00F11F77" w:rsidRPr="006934BD" w:rsidRDefault="00F11F77" w:rsidP="00C324F3">
            <w:pPr>
              <w:pStyle w:val="ListParagraph"/>
              <w:numPr>
                <w:ilvl w:val="0"/>
                <w:numId w:val="210"/>
              </w:numPr>
              <w:rPr>
                <w:rFonts w:eastAsia="MS Mincho"/>
                <w:lang w:eastAsia="en-US"/>
              </w:rPr>
            </w:pPr>
            <w:r w:rsidRPr="006934BD">
              <w:rPr>
                <w:rFonts w:eastAsia="MS Mincho"/>
                <w:lang w:eastAsia="en-US"/>
              </w:rPr>
              <w:t>NRT initiated 14 days before quit date, continued for 8 w</w:t>
            </w:r>
            <w:r>
              <w:rPr>
                <w:rFonts w:eastAsia="MS Mincho"/>
                <w:lang w:eastAsia="en-US"/>
              </w:rPr>
              <w:t>ee</w:t>
            </w:r>
            <w:r w:rsidRPr="006934BD">
              <w:rPr>
                <w:rFonts w:eastAsia="MS Mincho"/>
                <w:lang w:eastAsia="en-US"/>
              </w:rPr>
              <w:t xml:space="preserve">ks after quit date. </w:t>
            </w:r>
            <w:r w:rsidRPr="006934BD">
              <w:rPr>
                <w:rFonts w:eastAsia="MS Mincho"/>
                <w:lang w:eastAsia="en-US"/>
              </w:rPr>
              <w:lastRenderedPageBreak/>
              <w:t>91% used</w:t>
            </w:r>
            <w:r>
              <w:rPr>
                <w:rFonts w:eastAsia="MS Mincho"/>
                <w:lang w:eastAsia="en-US"/>
              </w:rPr>
              <w:t xml:space="preserve"> </w:t>
            </w:r>
            <w:r w:rsidRPr="006934BD">
              <w:rPr>
                <w:rFonts w:eastAsia="MS Mincho"/>
                <w:lang w:eastAsia="en-US"/>
              </w:rPr>
              <w:t>patch only, 6% gum only, 3% both</w:t>
            </w:r>
          </w:p>
          <w:p w:rsidR="00F11F77" w:rsidRPr="006934BD" w:rsidRDefault="00F11F77" w:rsidP="00C324F3">
            <w:pPr>
              <w:pStyle w:val="ListParagraph"/>
              <w:numPr>
                <w:ilvl w:val="0"/>
                <w:numId w:val="210"/>
              </w:numPr>
              <w:rPr>
                <w:rFonts w:eastAsia="MS Mincho"/>
                <w:lang w:eastAsia="en-US"/>
              </w:rPr>
            </w:pPr>
            <w:r w:rsidRPr="006934BD">
              <w:rPr>
                <w:rFonts w:eastAsia="MS Mincho"/>
                <w:lang w:eastAsia="en-US"/>
              </w:rPr>
              <w:t>NRT for 8 w</w:t>
            </w:r>
            <w:r>
              <w:rPr>
                <w:rFonts w:eastAsia="MS Mincho"/>
                <w:lang w:eastAsia="en-US"/>
              </w:rPr>
              <w:t>ee</w:t>
            </w:r>
            <w:r w:rsidRPr="006934BD">
              <w:rPr>
                <w:rFonts w:eastAsia="MS Mincho"/>
                <w:lang w:eastAsia="en-US"/>
              </w:rPr>
              <w:t>ks from quit date. 85% patch, 11% gum, 4% both</w:t>
            </w:r>
          </w:p>
        </w:tc>
        <w:tc>
          <w:tcPr>
            <w:tcW w:w="1000" w:type="pct"/>
          </w:tcPr>
          <w:p w:rsidR="00F11F77" w:rsidRPr="006934BD" w:rsidRDefault="00F11F77" w:rsidP="006B48C7">
            <w:pPr>
              <w:pStyle w:val="Tablewriting"/>
              <w:rPr>
                <w:rFonts w:eastAsia="MS Mincho" w:cstheme="minorBidi"/>
              </w:rPr>
            </w:pPr>
            <w:r w:rsidRPr="006934BD">
              <w:rPr>
                <w:rFonts w:eastAsia="MS Mincho" w:cstheme="minorBidi"/>
                <w:u w:val="single"/>
              </w:rPr>
              <w:lastRenderedPageBreak/>
              <w:t>Efficacy</w:t>
            </w:r>
            <w:r>
              <w:rPr>
                <w:rFonts w:eastAsia="MS Mincho" w:cstheme="minorBidi"/>
              </w:rPr>
              <w:t xml:space="preserve">: </w:t>
            </w:r>
            <w:r w:rsidRPr="006934BD">
              <w:rPr>
                <w:rFonts w:eastAsia="MS Mincho" w:cstheme="minorBidi"/>
              </w:rPr>
              <w:t xml:space="preserve">Continuous abstinence at 6 m (data supplied by 1st </w:t>
            </w:r>
            <w:r w:rsidRPr="006934BD">
              <w:rPr>
                <w:rFonts w:eastAsia="MS Mincho" w:cstheme="minorBidi"/>
              </w:rPr>
              <w:lastRenderedPageBreak/>
              <w:t>author) (Self-report</w:t>
            </w:r>
            <w:r w:rsidR="00861C61">
              <w:rPr>
                <w:rFonts w:eastAsia="MS Mincho" w:cstheme="minorBidi"/>
              </w:rPr>
              <w:t xml:space="preserve">ed 7-day PPA at 6 m reported in </w:t>
            </w:r>
            <w:r w:rsidRPr="006934BD">
              <w:rPr>
                <w:rFonts w:eastAsia="MS Mincho" w:cstheme="minorBidi"/>
              </w:rPr>
              <w:t>paper)</w:t>
            </w:r>
            <w:r>
              <w:rPr>
                <w:rFonts w:eastAsia="MS Mincho" w:cstheme="minorBidi"/>
              </w:rPr>
              <w:t>.</w:t>
            </w:r>
          </w:p>
          <w:p w:rsidR="00F11F77" w:rsidRPr="006934BD" w:rsidRDefault="00F11F77" w:rsidP="006B48C7">
            <w:pPr>
              <w:pStyle w:val="Tablewriting"/>
              <w:rPr>
                <w:rFonts w:eastAsia="MS Mincho" w:cstheme="minorBidi"/>
              </w:rPr>
            </w:pPr>
            <w:r w:rsidRPr="006934BD">
              <w:rPr>
                <w:rFonts w:eastAsia="MS Mincho" w:cstheme="minorBidi"/>
              </w:rPr>
              <w:t>Validation: salivary cotinine in subgroup only. Self-reported outcomes used in analysis</w:t>
            </w:r>
            <w:r>
              <w:rPr>
                <w:rFonts w:eastAsia="MS Mincho" w:cstheme="minorBidi"/>
              </w:rPr>
              <w:t>.</w:t>
            </w:r>
          </w:p>
          <w:p w:rsidR="00F11F77" w:rsidRDefault="00F11F77" w:rsidP="006B48C7">
            <w:pPr>
              <w:pStyle w:val="Tablewriting"/>
              <w:rPr>
                <w:rFonts w:eastAsia="MS Mincho" w:cstheme="minorBidi"/>
              </w:rPr>
            </w:pPr>
          </w:p>
          <w:p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w:t>
            </w:r>
            <w:r w:rsidRPr="006934BD">
              <w:rPr>
                <w:rFonts w:eastAsia="MS Mincho" w:cstheme="minorBidi"/>
              </w:rPr>
              <w:t>Adverse events measured at all contacts (assumed to be up to 6 months)</w:t>
            </w:r>
            <w:r>
              <w:rPr>
                <w:rFonts w:eastAsia="MS Mincho" w:cstheme="minorBidi"/>
              </w:rPr>
              <w:t>.</w:t>
            </w:r>
          </w:p>
        </w:tc>
      </w:tr>
      <w:tr w:rsidR="00F11F77" w:rsidRPr="00017AE6" w:rsidTr="00486A67">
        <w:trPr>
          <w:trHeight w:val="99"/>
        </w:trPr>
        <w:tc>
          <w:tcPr>
            <w:tcW w:w="541" w:type="pct"/>
          </w:tcPr>
          <w:p w:rsidR="00F11F77" w:rsidRPr="00FA2C37" w:rsidRDefault="00F11F77" w:rsidP="006B48C7">
            <w:pPr>
              <w:pStyle w:val="Tablewriting"/>
              <w:rPr>
                <w:rFonts w:eastAsia="MS Mincho"/>
              </w:rPr>
            </w:pPr>
            <w:r w:rsidRPr="00245AD9">
              <w:rPr>
                <w:rFonts w:eastAsia="MS Mincho"/>
              </w:rPr>
              <w:lastRenderedPageBreak/>
              <w:t xml:space="preserve">Dennis </w:t>
            </w:r>
            <w:r>
              <w:rPr>
                <w:rFonts w:eastAsia="MS Mincho"/>
              </w:rPr>
              <w:t>(</w:t>
            </w:r>
            <w:r w:rsidRPr="00245AD9">
              <w:rPr>
                <w:rFonts w:eastAsia="MS Mincho"/>
              </w:rPr>
              <w:t>2016</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USA</w:t>
            </w:r>
          </w:p>
        </w:tc>
        <w:tc>
          <w:tcPr>
            <w:tcW w:w="350" w:type="pct"/>
          </w:tcPr>
          <w:p w:rsidR="00F11F77" w:rsidRPr="00017AE6" w:rsidRDefault="00F11F77" w:rsidP="006B48C7">
            <w:pPr>
              <w:pStyle w:val="Tablewriting"/>
              <w:rPr>
                <w:rFonts w:eastAsia="MS Mincho" w:cstheme="minorHAnsi"/>
              </w:rPr>
            </w:pPr>
            <w:r>
              <w:rPr>
                <w:rFonts w:eastAsia="MS Mincho" w:cstheme="minorHAnsi"/>
              </w:rPr>
              <w:t>N=63</w:t>
            </w:r>
          </w:p>
        </w:tc>
        <w:tc>
          <w:tcPr>
            <w:tcW w:w="1168" w:type="pct"/>
          </w:tcPr>
          <w:p w:rsidR="00F11F77" w:rsidRPr="006934BD" w:rsidRDefault="00F11F77" w:rsidP="006B48C7">
            <w:pPr>
              <w:pStyle w:val="Tablewriting"/>
              <w:rPr>
                <w:rFonts w:eastAsia="MS Mincho" w:cstheme="minorHAnsi"/>
              </w:rPr>
            </w:pPr>
            <w:r>
              <w:rPr>
                <w:rFonts w:eastAsia="MS Mincho" w:cstheme="minorHAnsi"/>
              </w:rPr>
              <w:t>S</w:t>
            </w:r>
            <w:r w:rsidRPr="006934BD">
              <w:rPr>
                <w:rFonts w:eastAsia="MS Mincho" w:cstheme="minorHAnsi"/>
              </w:rPr>
              <w:t>mokers</w:t>
            </w:r>
            <w:r>
              <w:rPr>
                <w:rFonts w:eastAsia="MS Mincho" w:cstheme="minorHAnsi"/>
              </w:rPr>
              <w:t xml:space="preserve"> </w:t>
            </w:r>
            <w:r w:rsidRPr="006934BD">
              <w:rPr>
                <w:rFonts w:eastAsia="MS Mincho" w:cstheme="minorHAnsi"/>
              </w:rPr>
              <w:t xml:space="preserve">diagnosed with PTSD, age 18 - 70 years, </w:t>
            </w:r>
            <w:r>
              <w:rPr>
                <w:rFonts w:eastAsia="MS Mincho" w:cstheme="minorHAnsi"/>
              </w:rPr>
              <w:t>CPD</w:t>
            </w:r>
            <w:r w:rsidRPr="006934BD">
              <w:rPr>
                <w:rFonts w:eastAsia="MS Mincho" w:cstheme="minorHAnsi"/>
              </w:rPr>
              <w:t xml:space="preserve"> </w:t>
            </w:r>
            <w:r w:rsidRPr="00E632A9">
              <w:rPr>
                <w:rFonts w:eastAsia="MS Mincho" w:cstheme="minorHAnsi"/>
              </w:rPr>
              <w:t>≥</w:t>
            </w:r>
            <w:r w:rsidRPr="006934BD">
              <w:rPr>
                <w:rFonts w:eastAsia="MS Mincho" w:cstheme="minorHAnsi"/>
              </w:rPr>
              <w:t>10, willing to quit within the following 30</w:t>
            </w:r>
            <w:r>
              <w:rPr>
                <w:rFonts w:eastAsia="MS Mincho" w:cstheme="minorHAnsi"/>
              </w:rPr>
              <w:t xml:space="preserve"> </w:t>
            </w:r>
            <w:r w:rsidRPr="006934BD">
              <w:rPr>
                <w:rFonts w:eastAsia="MS Mincho" w:cstheme="minorHAnsi"/>
              </w:rPr>
              <w:t>days</w:t>
            </w:r>
            <w:r>
              <w:rPr>
                <w:rFonts w:eastAsia="MS Mincho" w:cstheme="minorHAnsi"/>
              </w:rPr>
              <w:t xml:space="preserve">. </w:t>
            </w:r>
          </w:p>
          <w:p w:rsidR="00F11F77" w:rsidRPr="00017AE6" w:rsidRDefault="00F11F77" w:rsidP="006B48C7">
            <w:pPr>
              <w:pStyle w:val="Tablewriting"/>
              <w:rPr>
                <w:rFonts w:eastAsia="MS Mincho" w:cstheme="minorHAnsi"/>
              </w:rPr>
            </w:pPr>
            <w:r w:rsidRPr="006934BD">
              <w:rPr>
                <w:rFonts w:eastAsia="MS Mincho" w:cstheme="minorHAnsi"/>
              </w:rPr>
              <w:t>46% men, av</w:t>
            </w:r>
            <w:r>
              <w:rPr>
                <w:rFonts w:eastAsia="MS Mincho" w:cstheme="minorHAnsi"/>
              </w:rPr>
              <w:t>erage</w:t>
            </w:r>
            <w:r w:rsidRPr="006934BD">
              <w:rPr>
                <w:rFonts w:eastAsia="MS Mincho" w:cstheme="minorHAnsi"/>
              </w:rPr>
              <w:t xml:space="preserve"> age 42, av</w:t>
            </w:r>
            <w:r>
              <w:rPr>
                <w:rFonts w:eastAsia="MS Mincho" w:cstheme="minorHAnsi"/>
              </w:rPr>
              <w:t>erage</w:t>
            </w:r>
            <w:r w:rsidRPr="006934BD">
              <w:rPr>
                <w:rFonts w:eastAsia="MS Mincho" w:cstheme="minorHAnsi"/>
              </w:rPr>
              <w:t xml:space="preserve"> </w:t>
            </w:r>
            <w:r>
              <w:rPr>
                <w:rFonts w:eastAsia="MS Mincho" w:cstheme="minorHAnsi"/>
              </w:rPr>
              <w:t>CPD</w:t>
            </w:r>
            <w:r w:rsidRPr="006934BD">
              <w:rPr>
                <w:rFonts w:eastAsia="MS Mincho" w:cstheme="minorHAnsi"/>
              </w:rPr>
              <w:t xml:space="preserve"> 17.7, mean FTND 4.1</w:t>
            </w:r>
            <w:r>
              <w:rPr>
                <w:rFonts w:eastAsia="MS Mincho" w:cstheme="minorHAnsi"/>
              </w:rPr>
              <w:t>.</w:t>
            </w:r>
          </w:p>
        </w:tc>
        <w:tc>
          <w:tcPr>
            <w:tcW w:w="1288" w:type="pct"/>
          </w:tcPr>
          <w:p w:rsidR="00F11F77" w:rsidRDefault="00F11F77" w:rsidP="00C324F3">
            <w:pPr>
              <w:pStyle w:val="ListParagraph"/>
              <w:numPr>
                <w:ilvl w:val="0"/>
                <w:numId w:val="211"/>
              </w:numPr>
              <w:rPr>
                <w:rFonts w:eastAsia="MS Mincho"/>
                <w:lang w:eastAsia="en-US"/>
              </w:rPr>
            </w:pPr>
            <w:r w:rsidRPr="006934BD">
              <w:rPr>
                <w:rFonts w:eastAsia="MS Mincho"/>
                <w:lang w:eastAsia="en-US"/>
              </w:rPr>
              <w:t>2 weeks of nicotine patch (preloading) treatment pre-quit date, followed by 6 weeks of nicotine</w:t>
            </w:r>
            <w:r>
              <w:rPr>
                <w:rFonts w:eastAsia="MS Mincho"/>
                <w:lang w:eastAsia="en-US"/>
              </w:rPr>
              <w:t xml:space="preserve"> </w:t>
            </w:r>
            <w:r w:rsidRPr="006934BD">
              <w:rPr>
                <w:rFonts w:eastAsia="MS Mincho"/>
                <w:lang w:eastAsia="en-US"/>
              </w:rPr>
              <w:t>patch and nicotine gum/lozenge from quit date</w:t>
            </w:r>
          </w:p>
          <w:p w:rsidR="00F11F77" w:rsidRDefault="00F11F77" w:rsidP="00C324F3">
            <w:pPr>
              <w:pStyle w:val="ListParagraph"/>
              <w:numPr>
                <w:ilvl w:val="0"/>
                <w:numId w:val="211"/>
              </w:numPr>
              <w:rPr>
                <w:rFonts w:eastAsia="MS Mincho"/>
                <w:lang w:eastAsia="en-US"/>
              </w:rPr>
            </w:pPr>
            <w:r w:rsidRPr="006934BD">
              <w:rPr>
                <w:rFonts w:eastAsia="MS Mincho"/>
                <w:lang w:eastAsia="en-US"/>
              </w:rPr>
              <w:t>2 weeks of placebo patch pre-quit date, followed by 6 weeks of nicotine patch and nicotine gum/lozenge from quit date</w:t>
            </w:r>
          </w:p>
          <w:p w:rsidR="00F11F77" w:rsidRDefault="00F11F77" w:rsidP="006B48C7">
            <w:pPr>
              <w:rPr>
                <w:rFonts w:eastAsia="MS Mincho"/>
                <w:lang w:eastAsia="en-US"/>
              </w:rPr>
            </w:pPr>
          </w:p>
          <w:p w:rsidR="00F11F77" w:rsidRPr="006934BD" w:rsidRDefault="00F11F77" w:rsidP="006B48C7">
            <w:pPr>
              <w:rPr>
                <w:rFonts w:eastAsia="MS Mincho"/>
                <w:lang w:eastAsia="en-US"/>
              </w:rPr>
            </w:pPr>
            <w:r w:rsidRPr="006934BD">
              <w:rPr>
                <w:rFonts w:eastAsia="MS Mincho"/>
                <w:lang w:eastAsia="en-US"/>
              </w:rPr>
              <w:t>Initial patch dose 21 mg/24-hour – unclear if tapered down and if so at what dose</w:t>
            </w:r>
            <w:r>
              <w:rPr>
                <w:rFonts w:eastAsia="MS Mincho"/>
                <w:lang w:eastAsia="en-US"/>
              </w:rPr>
              <w:t>.</w:t>
            </w:r>
          </w:p>
        </w:tc>
        <w:tc>
          <w:tcPr>
            <w:tcW w:w="1000" w:type="pct"/>
          </w:tcPr>
          <w:p w:rsidR="00F11F77" w:rsidRPr="00511E8C"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w:t>
            </w:r>
            <w:r>
              <w:t xml:space="preserve"> </w:t>
            </w:r>
            <w:r w:rsidRPr="00511E8C">
              <w:rPr>
                <w:rFonts w:eastAsia="MS Mincho" w:cstheme="minorBidi"/>
              </w:rPr>
              <w:t>30-day PPA at 6-m follow-up</w:t>
            </w:r>
            <w:r>
              <w:rPr>
                <w:rFonts w:eastAsia="MS Mincho" w:cstheme="minorBidi"/>
              </w:rPr>
              <w:t>.</w:t>
            </w:r>
          </w:p>
          <w:p w:rsidR="00F11F77" w:rsidRPr="00511E8C" w:rsidRDefault="00F11F77" w:rsidP="006B48C7">
            <w:pPr>
              <w:pStyle w:val="Tablewriting"/>
              <w:rPr>
                <w:rFonts w:eastAsia="MS Mincho" w:cstheme="minorBidi"/>
              </w:rPr>
            </w:pPr>
            <w:r w:rsidRPr="00511E8C">
              <w:rPr>
                <w:rFonts w:eastAsia="MS Mincho" w:cstheme="minorBidi"/>
              </w:rPr>
              <w:t>Validation: salivary cotinine (&lt; 10 ng/ml)</w:t>
            </w:r>
            <w:r>
              <w:rPr>
                <w:rFonts w:eastAsia="MS Mincho" w:cstheme="minorBidi"/>
              </w:rPr>
              <w:t>.</w:t>
            </w:r>
          </w:p>
          <w:p w:rsidR="00F11F77" w:rsidRDefault="00F11F77" w:rsidP="006B48C7">
            <w:pPr>
              <w:pStyle w:val="Tablewriting"/>
              <w:rPr>
                <w:rFonts w:eastAsia="MS Mincho" w:cstheme="minorBidi"/>
              </w:rPr>
            </w:pPr>
          </w:p>
          <w:p w:rsidR="00F11F77"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w:t>
            </w:r>
            <w:r w:rsidRPr="00511E8C">
              <w:rPr>
                <w:rFonts w:eastAsia="MS Mincho" w:cstheme="minorBidi"/>
              </w:rPr>
              <w:t>Adverse events</w:t>
            </w:r>
            <w:r>
              <w:rPr>
                <w:rFonts w:eastAsia="MS Mincho" w:cstheme="minorBidi"/>
              </w:rPr>
              <w:t xml:space="preserve"> </w:t>
            </w:r>
            <w:r w:rsidRPr="00511E8C">
              <w:rPr>
                <w:rFonts w:eastAsia="MS Mincho" w:cstheme="minorBidi"/>
              </w:rPr>
              <w:t>not measured</w:t>
            </w:r>
            <w:r>
              <w:rPr>
                <w:rFonts w:eastAsia="MS Mincho" w:cstheme="minorBidi"/>
              </w:rPr>
              <w:t>.</w:t>
            </w:r>
          </w:p>
          <w:p w:rsidR="00F11F77" w:rsidRPr="0139F213" w:rsidRDefault="00F11F77" w:rsidP="006B48C7">
            <w:pPr>
              <w:pStyle w:val="Tablewriting"/>
              <w:rPr>
                <w:rFonts w:eastAsia="MS Mincho" w:cstheme="minorBidi"/>
              </w:rPr>
            </w:pPr>
          </w:p>
        </w:tc>
      </w:tr>
      <w:tr w:rsidR="00F11F77" w:rsidRPr="00017AE6" w:rsidTr="00486A67">
        <w:trPr>
          <w:trHeight w:val="99"/>
        </w:trPr>
        <w:tc>
          <w:tcPr>
            <w:tcW w:w="541" w:type="pct"/>
          </w:tcPr>
          <w:p w:rsidR="00F11F77" w:rsidRPr="00FA2C37" w:rsidRDefault="00F11F77" w:rsidP="006B48C7">
            <w:pPr>
              <w:pStyle w:val="Tablewriting"/>
              <w:rPr>
                <w:rFonts w:eastAsia="MS Mincho"/>
              </w:rPr>
            </w:pPr>
            <w:r w:rsidRPr="00245AD9">
              <w:rPr>
                <w:rFonts w:eastAsia="MS Mincho"/>
              </w:rPr>
              <w:t xml:space="preserve">Piper </w:t>
            </w:r>
            <w:r>
              <w:rPr>
                <w:rFonts w:eastAsia="MS Mincho"/>
              </w:rPr>
              <w:t>(</w:t>
            </w:r>
            <w:r w:rsidRPr="00245AD9">
              <w:rPr>
                <w:rFonts w:eastAsia="MS Mincho"/>
              </w:rPr>
              <w:t>2016</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USA</w:t>
            </w:r>
          </w:p>
        </w:tc>
        <w:tc>
          <w:tcPr>
            <w:tcW w:w="350" w:type="pct"/>
          </w:tcPr>
          <w:p w:rsidR="00F11F77" w:rsidRPr="00017AE6" w:rsidRDefault="00F11F77" w:rsidP="006B48C7">
            <w:pPr>
              <w:pStyle w:val="Tablewriting"/>
              <w:rPr>
                <w:rFonts w:eastAsia="MS Mincho" w:cstheme="minorHAnsi"/>
              </w:rPr>
            </w:pPr>
            <w:r>
              <w:rPr>
                <w:rFonts w:eastAsia="MS Mincho" w:cstheme="minorHAnsi"/>
              </w:rPr>
              <w:t>N=637</w:t>
            </w:r>
          </w:p>
        </w:tc>
        <w:tc>
          <w:tcPr>
            <w:tcW w:w="1168" w:type="pct"/>
          </w:tcPr>
          <w:p w:rsidR="00F11F77" w:rsidRPr="00511E8C" w:rsidRDefault="00F11F77" w:rsidP="006B48C7">
            <w:pPr>
              <w:pStyle w:val="Tablewriting"/>
              <w:rPr>
                <w:rFonts w:eastAsia="MS Mincho" w:cstheme="minorHAnsi"/>
              </w:rPr>
            </w:pPr>
            <w:r>
              <w:rPr>
                <w:rFonts w:eastAsia="MS Mincho" w:cstheme="minorHAnsi"/>
              </w:rPr>
              <w:t>S</w:t>
            </w:r>
            <w:r w:rsidRPr="00511E8C">
              <w:rPr>
                <w:rFonts w:eastAsia="MS Mincho" w:cstheme="minorHAnsi"/>
              </w:rPr>
              <w:t>mokers</w:t>
            </w:r>
            <w:r>
              <w:rPr>
                <w:rFonts w:eastAsia="MS Mincho" w:cstheme="minorHAnsi"/>
              </w:rPr>
              <w:t xml:space="preserve"> </w:t>
            </w:r>
            <w:r w:rsidRPr="00511E8C">
              <w:rPr>
                <w:rFonts w:eastAsia="MS Mincho" w:cstheme="minorHAnsi"/>
              </w:rPr>
              <w:t xml:space="preserve">aged </w:t>
            </w:r>
            <w:r w:rsidRPr="00E632A9">
              <w:rPr>
                <w:rFonts w:eastAsia="MS Mincho" w:cstheme="minorHAnsi"/>
              </w:rPr>
              <w:t>≥</w:t>
            </w:r>
            <w:r w:rsidRPr="00511E8C">
              <w:rPr>
                <w:rFonts w:eastAsia="MS Mincho" w:cstheme="minorHAnsi"/>
              </w:rPr>
              <w:t xml:space="preserve">18 years, </w:t>
            </w:r>
            <w:r w:rsidRPr="00E632A9">
              <w:rPr>
                <w:rFonts w:eastAsia="MS Mincho" w:cstheme="minorHAnsi"/>
              </w:rPr>
              <w:t>≥</w:t>
            </w:r>
            <w:r w:rsidRPr="00511E8C">
              <w:rPr>
                <w:rFonts w:eastAsia="MS Mincho" w:cstheme="minorHAnsi"/>
              </w:rPr>
              <w:t xml:space="preserve">5 </w:t>
            </w:r>
            <w:r>
              <w:rPr>
                <w:rFonts w:eastAsia="MS Mincho" w:cstheme="minorHAnsi"/>
              </w:rPr>
              <w:t>CPD</w:t>
            </w:r>
            <w:r w:rsidRPr="00511E8C">
              <w:rPr>
                <w:rFonts w:eastAsia="MS Mincho" w:cstheme="minorHAnsi"/>
              </w:rPr>
              <w:t xml:space="preserve"> for 6</w:t>
            </w:r>
            <w:r>
              <w:rPr>
                <w:rFonts w:eastAsia="MS Mincho" w:cstheme="minorHAnsi"/>
              </w:rPr>
              <w:t xml:space="preserve"> </w:t>
            </w:r>
            <w:r w:rsidRPr="00511E8C">
              <w:rPr>
                <w:rFonts w:eastAsia="MS Mincho" w:cstheme="minorHAnsi"/>
              </w:rPr>
              <w:t>m</w:t>
            </w:r>
            <w:r>
              <w:rPr>
                <w:rFonts w:eastAsia="MS Mincho" w:cstheme="minorHAnsi"/>
              </w:rPr>
              <w:t>onths</w:t>
            </w:r>
            <w:r w:rsidRPr="00511E8C">
              <w:rPr>
                <w:rFonts w:eastAsia="MS Mincho" w:cstheme="minorHAnsi"/>
              </w:rPr>
              <w:t>, motivated to quit</w:t>
            </w:r>
            <w:r>
              <w:rPr>
                <w:rFonts w:eastAsia="MS Mincho" w:cstheme="minorHAnsi"/>
              </w:rPr>
              <w:t>.</w:t>
            </w:r>
          </w:p>
          <w:p w:rsidR="00F11F77" w:rsidRPr="00017AE6" w:rsidRDefault="00F11F77" w:rsidP="006B48C7">
            <w:pPr>
              <w:pStyle w:val="Tablewriting"/>
              <w:rPr>
                <w:rFonts w:eastAsia="MS Mincho" w:cstheme="minorHAnsi"/>
              </w:rPr>
            </w:pPr>
            <w:r w:rsidRPr="00511E8C">
              <w:rPr>
                <w:rFonts w:eastAsia="MS Mincho" w:cstheme="minorHAnsi"/>
              </w:rPr>
              <w:t>45.4% men, av</w:t>
            </w:r>
            <w:r>
              <w:rPr>
                <w:rFonts w:eastAsia="MS Mincho" w:cstheme="minorHAnsi"/>
              </w:rPr>
              <w:t>erage</w:t>
            </w:r>
            <w:r w:rsidRPr="00511E8C">
              <w:rPr>
                <w:rFonts w:eastAsia="MS Mincho" w:cstheme="minorHAnsi"/>
              </w:rPr>
              <w:t xml:space="preserve"> age 45.8 y</w:t>
            </w:r>
            <w:r>
              <w:rPr>
                <w:rFonts w:eastAsia="MS Mincho" w:cstheme="minorHAnsi"/>
              </w:rPr>
              <w:t>ea</w:t>
            </w:r>
            <w:r w:rsidRPr="00511E8C">
              <w:rPr>
                <w:rFonts w:eastAsia="MS Mincho" w:cstheme="minorHAnsi"/>
              </w:rPr>
              <w:t>rs, av</w:t>
            </w:r>
            <w:r>
              <w:rPr>
                <w:rFonts w:eastAsia="MS Mincho" w:cstheme="minorHAnsi"/>
              </w:rPr>
              <w:t>erage CPD</w:t>
            </w:r>
            <w:r w:rsidRPr="00511E8C">
              <w:rPr>
                <w:rFonts w:eastAsia="MS Mincho" w:cstheme="minorHAnsi"/>
              </w:rPr>
              <w:t xml:space="preserve"> 17.7, mean FTND 4.8, baseline CO 20.3ppm, HSI 3.1</w:t>
            </w:r>
            <w:r>
              <w:rPr>
                <w:rFonts w:eastAsia="MS Mincho" w:cstheme="minorHAnsi"/>
              </w:rPr>
              <w:t xml:space="preserve">. </w:t>
            </w:r>
          </w:p>
        </w:tc>
        <w:tc>
          <w:tcPr>
            <w:tcW w:w="1288" w:type="pct"/>
          </w:tcPr>
          <w:p w:rsidR="00F11F77" w:rsidRPr="00511E8C" w:rsidRDefault="00F11F77" w:rsidP="00C324F3">
            <w:pPr>
              <w:pStyle w:val="ListParagraph"/>
              <w:numPr>
                <w:ilvl w:val="0"/>
                <w:numId w:val="212"/>
              </w:numPr>
              <w:rPr>
                <w:rFonts w:eastAsia="MS Mincho"/>
                <w:lang w:eastAsia="en-US"/>
              </w:rPr>
            </w:pPr>
            <w:r w:rsidRPr="00511E8C">
              <w:rPr>
                <w:rFonts w:eastAsia="MS Mincho"/>
                <w:lang w:eastAsia="en-US"/>
              </w:rPr>
              <w:t>Nicotine patches for 3 w</w:t>
            </w:r>
            <w:r>
              <w:rPr>
                <w:rFonts w:eastAsia="MS Mincho"/>
                <w:lang w:eastAsia="en-US"/>
              </w:rPr>
              <w:t>ee</w:t>
            </w:r>
            <w:r w:rsidRPr="00511E8C">
              <w:rPr>
                <w:rFonts w:eastAsia="MS Mincho"/>
                <w:lang w:eastAsia="en-US"/>
              </w:rPr>
              <w:t>ks prior to quit date (patch preloading) v</w:t>
            </w:r>
            <w:r>
              <w:rPr>
                <w:rFonts w:eastAsia="MS Mincho"/>
                <w:lang w:eastAsia="en-US"/>
              </w:rPr>
              <w:t>ersu</w:t>
            </w:r>
            <w:r w:rsidRPr="00511E8C">
              <w:rPr>
                <w:rFonts w:eastAsia="MS Mincho"/>
                <w:lang w:eastAsia="en-US"/>
              </w:rPr>
              <w:t>s no preloading patches</w:t>
            </w:r>
          </w:p>
          <w:p w:rsidR="00F11F77" w:rsidRPr="00511E8C" w:rsidRDefault="00F11F77" w:rsidP="00C324F3">
            <w:pPr>
              <w:pStyle w:val="ListParagraph"/>
              <w:numPr>
                <w:ilvl w:val="0"/>
                <w:numId w:val="212"/>
              </w:numPr>
              <w:rPr>
                <w:rFonts w:eastAsia="MS Mincho"/>
                <w:lang w:eastAsia="en-US"/>
              </w:rPr>
            </w:pPr>
            <w:r w:rsidRPr="00511E8C">
              <w:rPr>
                <w:rFonts w:eastAsia="MS Mincho"/>
                <w:lang w:eastAsia="en-US"/>
              </w:rPr>
              <w:t>Nicotine gum for 3 w</w:t>
            </w:r>
            <w:r>
              <w:rPr>
                <w:rFonts w:eastAsia="MS Mincho"/>
                <w:lang w:eastAsia="en-US"/>
              </w:rPr>
              <w:t>ee</w:t>
            </w:r>
            <w:r w:rsidRPr="00511E8C">
              <w:rPr>
                <w:rFonts w:eastAsia="MS Mincho"/>
                <w:lang w:eastAsia="en-US"/>
              </w:rPr>
              <w:t>ks prior to quit date (gum preloading) v</w:t>
            </w:r>
            <w:r>
              <w:rPr>
                <w:rFonts w:eastAsia="MS Mincho"/>
                <w:lang w:eastAsia="en-US"/>
              </w:rPr>
              <w:t>ersu</w:t>
            </w:r>
            <w:r w:rsidRPr="00511E8C">
              <w:rPr>
                <w:rFonts w:eastAsia="MS Mincho"/>
                <w:lang w:eastAsia="en-US"/>
              </w:rPr>
              <w:t>s no preloading gum</w:t>
            </w:r>
          </w:p>
          <w:p w:rsidR="00F11F77" w:rsidRPr="00511E8C" w:rsidRDefault="00F11F77" w:rsidP="00C324F3">
            <w:pPr>
              <w:pStyle w:val="ListParagraph"/>
              <w:numPr>
                <w:ilvl w:val="0"/>
                <w:numId w:val="212"/>
              </w:numPr>
              <w:rPr>
                <w:rFonts w:eastAsia="MS Mincho"/>
                <w:lang w:eastAsia="en-US"/>
              </w:rPr>
            </w:pPr>
            <w:r w:rsidRPr="00511E8C">
              <w:rPr>
                <w:rFonts w:eastAsia="MS Mincho"/>
                <w:lang w:eastAsia="en-US"/>
              </w:rPr>
              <w:t>Preparation counselling v</w:t>
            </w:r>
            <w:r>
              <w:rPr>
                <w:rFonts w:eastAsia="MS Mincho"/>
                <w:lang w:eastAsia="en-US"/>
              </w:rPr>
              <w:t>ersu</w:t>
            </w:r>
            <w:r w:rsidRPr="00511E8C">
              <w:rPr>
                <w:rFonts w:eastAsia="MS Mincho"/>
                <w:lang w:eastAsia="en-US"/>
              </w:rPr>
              <w:t>s no preparation counselling</w:t>
            </w:r>
          </w:p>
          <w:p w:rsidR="00F11F77" w:rsidRPr="00511E8C" w:rsidRDefault="00F11F77" w:rsidP="00C324F3">
            <w:pPr>
              <w:pStyle w:val="ListParagraph"/>
              <w:numPr>
                <w:ilvl w:val="0"/>
                <w:numId w:val="212"/>
              </w:numPr>
              <w:rPr>
                <w:rFonts w:eastAsia="MS Mincho"/>
                <w:lang w:eastAsia="en-US"/>
              </w:rPr>
            </w:pPr>
            <w:r w:rsidRPr="00511E8C">
              <w:rPr>
                <w:rFonts w:eastAsia="MS Mincho"/>
                <w:lang w:eastAsia="en-US"/>
              </w:rPr>
              <w:t>Intensive cessation in-person counselling v</w:t>
            </w:r>
            <w:r>
              <w:rPr>
                <w:rFonts w:eastAsia="MS Mincho"/>
                <w:lang w:eastAsia="en-US"/>
              </w:rPr>
              <w:t>ersu</w:t>
            </w:r>
            <w:r w:rsidRPr="00511E8C">
              <w:rPr>
                <w:rFonts w:eastAsia="MS Mincho"/>
                <w:lang w:eastAsia="en-US"/>
              </w:rPr>
              <w:t>s minimal in-person counselling</w:t>
            </w:r>
          </w:p>
          <w:p w:rsidR="00F11F77" w:rsidRPr="00511E8C" w:rsidRDefault="00F11F77" w:rsidP="00C324F3">
            <w:pPr>
              <w:pStyle w:val="ListParagraph"/>
              <w:numPr>
                <w:ilvl w:val="0"/>
                <w:numId w:val="212"/>
              </w:numPr>
              <w:rPr>
                <w:rFonts w:eastAsia="MS Mincho"/>
                <w:lang w:eastAsia="en-US"/>
              </w:rPr>
            </w:pPr>
            <w:r w:rsidRPr="00511E8C">
              <w:rPr>
                <w:rFonts w:eastAsia="MS Mincho"/>
                <w:lang w:eastAsia="en-US"/>
              </w:rPr>
              <w:lastRenderedPageBreak/>
              <w:t>Intensive cessation telephone counselling v</w:t>
            </w:r>
            <w:r>
              <w:rPr>
                <w:rFonts w:eastAsia="MS Mincho"/>
                <w:lang w:eastAsia="en-US"/>
              </w:rPr>
              <w:t>ersu</w:t>
            </w:r>
            <w:r w:rsidRPr="00511E8C">
              <w:rPr>
                <w:rFonts w:eastAsia="MS Mincho"/>
                <w:lang w:eastAsia="en-US"/>
              </w:rPr>
              <w:t>s minimal telephone counselling</w:t>
            </w:r>
          </w:p>
          <w:p w:rsidR="00F11F77" w:rsidRPr="00511E8C" w:rsidRDefault="00F11F77" w:rsidP="00C324F3">
            <w:pPr>
              <w:pStyle w:val="ListParagraph"/>
              <w:numPr>
                <w:ilvl w:val="0"/>
                <w:numId w:val="212"/>
              </w:numPr>
              <w:rPr>
                <w:rFonts w:eastAsia="MS Mincho"/>
                <w:lang w:eastAsia="en-US"/>
              </w:rPr>
            </w:pPr>
            <w:r w:rsidRPr="00511E8C">
              <w:rPr>
                <w:rFonts w:eastAsia="MS Mincho"/>
                <w:lang w:eastAsia="en-US"/>
              </w:rPr>
              <w:t>16w nicotine patch and gum from quit date versus 8 weeks nicotine patch and gum from quit date</w:t>
            </w:r>
          </w:p>
        </w:tc>
        <w:tc>
          <w:tcPr>
            <w:tcW w:w="1000" w:type="pct"/>
          </w:tcPr>
          <w:p w:rsidR="00F11F77" w:rsidRPr="0007344E" w:rsidRDefault="00F11F77" w:rsidP="006B48C7">
            <w:pPr>
              <w:pStyle w:val="Tablewriting"/>
              <w:rPr>
                <w:rFonts w:eastAsia="MS Mincho" w:cstheme="minorBidi"/>
              </w:rPr>
            </w:pPr>
            <w:r w:rsidRPr="006934BD">
              <w:rPr>
                <w:rFonts w:eastAsia="MS Mincho" w:cstheme="minorBidi"/>
                <w:u w:val="single"/>
              </w:rPr>
              <w:lastRenderedPageBreak/>
              <w:t>Efficacy</w:t>
            </w:r>
            <w:r>
              <w:rPr>
                <w:rFonts w:eastAsia="MS Mincho" w:cstheme="minorBidi"/>
              </w:rPr>
              <w:t xml:space="preserve">: </w:t>
            </w:r>
            <w:r w:rsidRPr="0007344E">
              <w:rPr>
                <w:rFonts w:eastAsia="MS Mincho" w:cstheme="minorBidi"/>
              </w:rPr>
              <w:t>Self-reported 7-day PPA at 6 m</w:t>
            </w:r>
            <w:r>
              <w:rPr>
                <w:rFonts w:eastAsia="MS Mincho" w:cstheme="minorBidi"/>
              </w:rPr>
              <w:t>onths</w:t>
            </w:r>
            <w:r w:rsidRPr="0007344E">
              <w:rPr>
                <w:rFonts w:eastAsia="MS Mincho" w:cstheme="minorBidi"/>
              </w:rPr>
              <w:t xml:space="preserve"> post-quit date</w:t>
            </w:r>
            <w:r>
              <w:rPr>
                <w:rFonts w:eastAsia="MS Mincho" w:cstheme="minorBidi"/>
              </w:rPr>
              <w:t xml:space="preserve">, </w:t>
            </w:r>
            <w:r w:rsidRPr="0007344E">
              <w:rPr>
                <w:rFonts w:eastAsia="MS Mincho" w:cstheme="minorBidi"/>
              </w:rPr>
              <w:t>Self-reported 7-day PPA at 16 w</w:t>
            </w:r>
            <w:r>
              <w:rPr>
                <w:rFonts w:eastAsia="MS Mincho" w:cstheme="minorBidi"/>
              </w:rPr>
              <w:t>ee</w:t>
            </w:r>
            <w:r w:rsidRPr="0007344E">
              <w:rPr>
                <w:rFonts w:eastAsia="MS Mincho" w:cstheme="minorBidi"/>
              </w:rPr>
              <w:t>ks post-quit date</w:t>
            </w:r>
            <w:r>
              <w:rPr>
                <w:rFonts w:eastAsia="MS Mincho" w:cstheme="minorBidi"/>
              </w:rPr>
              <w:t>.</w:t>
            </w:r>
          </w:p>
          <w:p w:rsidR="00F11F77" w:rsidRDefault="00F11F77" w:rsidP="006B48C7">
            <w:pPr>
              <w:pStyle w:val="Tablewriting"/>
              <w:rPr>
                <w:rFonts w:eastAsia="MS Mincho" w:cstheme="minorBidi"/>
              </w:rPr>
            </w:pPr>
            <w:r w:rsidRPr="0007344E">
              <w:rPr>
                <w:rFonts w:eastAsia="MS Mincho" w:cstheme="minorBidi"/>
              </w:rPr>
              <w:t>Validation: none</w:t>
            </w:r>
          </w:p>
          <w:p w:rsidR="00F11F77" w:rsidRDefault="00F11F77" w:rsidP="006B48C7">
            <w:pPr>
              <w:pStyle w:val="Tablewriting"/>
              <w:rPr>
                <w:rFonts w:eastAsia="MS Mincho" w:cstheme="minorBidi"/>
              </w:rPr>
            </w:pPr>
          </w:p>
          <w:p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w:t>
            </w:r>
            <w:r w:rsidRPr="0007344E">
              <w:rPr>
                <w:rFonts w:eastAsia="MS Mincho" w:cstheme="minorBidi"/>
              </w:rPr>
              <w:t>Adverse events</w:t>
            </w:r>
            <w:r>
              <w:rPr>
                <w:rFonts w:eastAsia="MS Mincho" w:cstheme="minorBidi"/>
              </w:rPr>
              <w:t xml:space="preserve"> </w:t>
            </w:r>
            <w:r w:rsidRPr="0007344E">
              <w:rPr>
                <w:rFonts w:eastAsia="MS Mincho" w:cstheme="minorBidi"/>
              </w:rPr>
              <w:t>measured in visits at w</w:t>
            </w:r>
            <w:r>
              <w:rPr>
                <w:rFonts w:eastAsia="MS Mincho" w:cstheme="minorBidi"/>
              </w:rPr>
              <w:t>ee</w:t>
            </w:r>
            <w:r w:rsidRPr="0007344E">
              <w:rPr>
                <w:rFonts w:eastAsia="MS Mincho" w:cstheme="minorBidi"/>
              </w:rPr>
              <w:t>ks -1 and 4, and in calls at w</w:t>
            </w:r>
            <w:r>
              <w:rPr>
                <w:rFonts w:eastAsia="MS Mincho" w:cstheme="minorBidi"/>
              </w:rPr>
              <w:t>ee</w:t>
            </w:r>
            <w:r w:rsidRPr="0007344E">
              <w:rPr>
                <w:rFonts w:eastAsia="MS Mincho" w:cstheme="minorBidi"/>
              </w:rPr>
              <w:t>ks 8, 16, and 26</w:t>
            </w:r>
            <w:r>
              <w:rPr>
                <w:rFonts w:eastAsia="MS Mincho" w:cstheme="minorBidi"/>
              </w:rPr>
              <w:t xml:space="preserve">. </w:t>
            </w:r>
          </w:p>
        </w:tc>
      </w:tr>
      <w:tr w:rsidR="00F11F77" w:rsidRPr="00017AE6" w:rsidTr="00486A67">
        <w:trPr>
          <w:trHeight w:val="99"/>
        </w:trPr>
        <w:tc>
          <w:tcPr>
            <w:tcW w:w="541" w:type="pct"/>
          </w:tcPr>
          <w:p w:rsidR="00F11F77" w:rsidRPr="00FA2C37" w:rsidRDefault="00F11F77" w:rsidP="006B48C7">
            <w:pPr>
              <w:pStyle w:val="Tablewriting"/>
              <w:rPr>
                <w:rFonts w:eastAsia="MS Mincho"/>
              </w:rPr>
            </w:pPr>
            <w:r w:rsidRPr="00245AD9">
              <w:rPr>
                <w:rFonts w:eastAsia="MS Mincho"/>
              </w:rPr>
              <w:t xml:space="preserve">Preloading Investigators </w:t>
            </w:r>
            <w:r>
              <w:rPr>
                <w:rFonts w:eastAsia="MS Mincho"/>
              </w:rPr>
              <w:t>(</w:t>
            </w:r>
            <w:r w:rsidRPr="00245AD9">
              <w:rPr>
                <w:rFonts w:eastAsia="MS Mincho"/>
              </w:rPr>
              <w:t>2018</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UK</w:t>
            </w:r>
          </w:p>
        </w:tc>
        <w:tc>
          <w:tcPr>
            <w:tcW w:w="350" w:type="pct"/>
          </w:tcPr>
          <w:p w:rsidR="00F11F77" w:rsidRPr="00017AE6" w:rsidRDefault="00F11F77" w:rsidP="006B48C7">
            <w:pPr>
              <w:pStyle w:val="Tablewriting"/>
              <w:rPr>
                <w:rFonts w:eastAsia="MS Mincho" w:cstheme="minorHAnsi"/>
              </w:rPr>
            </w:pPr>
            <w:r>
              <w:rPr>
                <w:rFonts w:eastAsia="MS Mincho" w:cstheme="minorHAnsi"/>
              </w:rPr>
              <w:t>N=1792</w:t>
            </w:r>
          </w:p>
        </w:tc>
        <w:tc>
          <w:tcPr>
            <w:tcW w:w="1168" w:type="pct"/>
          </w:tcPr>
          <w:p w:rsidR="00F11F77" w:rsidRPr="00203343" w:rsidRDefault="00F11F77" w:rsidP="006B48C7">
            <w:pPr>
              <w:pStyle w:val="Tablewriting"/>
              <w:rPr>
                <w:rFonts w:eastAsia="MS Mincho" w:cstheme="minorHAnsi"/>
              </w:rPr>
            </w:pPr>
            <w:r>
              <w:rPr>
                <w:rFonts w:eastAsia="MS Mincho" w:cstheme="minorHAnsi"/>
              </w:rPr>
              <w:t>S</w:t>
            </w:r>
            <w:r w:rsidRPr="00203343">
              <w:rPr>
                <w:rFonts w:eastAsia="MS Mincho" w:cstheme="minorHAnsi"/>
              </w:rPr>
              <w:t xml:space="preserve">mokers: aged </w:t>
            </w:r>
            <w:r w:rsidRPr="00E632A9">
              <w:rPr>
                <w:rFonts w:eastAsia="MS Mincho" w:cstheme="minorHAnsi"/>
              </w:rPr>
              <w:t>≥</w:t>
            </w:r>
            <w:r w:rsidRPr="00203343">
              <w:rPr>
                <w:rFonts w:eastAsia="MS Mincho" w:cstheme="minorHAnsi"/>
              </w:rPr>
              <w:t>18 years, motivated to quit, suitable for nicotine preloading treatment (evidenced</w:t>
            </w:r>
            <w:r>
              <w:rPr>
                <w:rFonts w:eastAsia="MS Mincho" w:cstheme="minorHAnsi"/>
              </w:rPr>
              <w:t xml:space="preserve"> </w:t>
            </w:r>
            <w:r w:rsidRPr="00203343">
              <w:rPr>
                <w:rFonts w:eastAsia="MS Mincho" w:cstheme="minorHAnsi"/>
              </w:rPr>
              <w:t>by an addiction to smoking)</w:t>
            </w:r>
            <w:r>
              <w:rPr>
                <w:rFonts w:eastAsia="MS Mincho" w:cstheme="minorHAnsi"/>
              </w:rPr>
              <w:t>.</w:t>
            </w:r>
          </w:p>
          <w:p w:rsidR="00F11F77" w:rsidRPr="00017AE6" w:rsidRDefault="00F11F77" w:rsidP="006B48C7">
            <w:pPr>
              <w:pStyle w:val="Tablewriting"/>
              <w:rPr>
                <w:rFonts w:eastAsia="MS Mincho" w:cstheme="minorHAnsi"/>
              </w:rPr>
            </w:pPr>
            <w:r w:rsidRPr="00203343">
              <w:rPr>
                <w:rFonts w:eastAsia="MS Mincho" w:cstheme="minorHAnsi"/>
              </w:rPr>
              <w:t>52.6% men, av</w:t>
            </w:r>
            <w:r>
              <w:rPr>
                <w:rFonts w:eastAsia="MS Mincho" w:cstheme="minorHAnsi"/>
              </w:rPr>
              <w:t xml:space="preserve">erage </w:t>
            </w:r>
            <w:r w:rsidRPr="00203343">
              <w:rPr>
                <w:rFonts w:eastAsia="MS Mincho" w:cstheme="minorHAnsi"/>
              </w:rPr>
              <w:t>age 48.9</w:t>
            </w:r>
            <w:r>
              <w:rPr>
                <w:rFonts w:eastAsia="MS Mincho" w:cstheme="minorHAnsi"/>
              </w:rPr>
              <w:t xml:space="preserve"> years</w:t>
            </w:r>
            <w:r w:rsidRPr="00203343">
              <w:rPr>
                <w:rFonts w:eastAsia="MS Mincho" w:cstheme="minorHAnsi"/>
              </w:rPr>
              <w:t>, av</w:t>
            </w:r>
            <w:r>
              <w:rPr>
                <w:rFonts w:eastAsia="MS Mincho" w:cstheme="minorHAnsi"/>
              </w:rPr>
              <w:t>erage CPD</w:t>
            </w:r>
            <w:r w:rsidRPr="00203343">
              <w:rPr>
                <w:rFonts w:eastAsia="MS Mincho" w:cstheme="minorHAnsi"/>
              </w:rPr>
              <w:t xml:space="preserve"> 18.9, mean FTND 5.2, mean CO 23.7 ppm, mean longest previous abstinence</w:t>
            </w:r>
            <w:r>
              <w:rPr>
                <w:rFonts w:eastAsia="MS Mincho" w:cstheme="minorHAnsi"/>
              </w:rPr>
              <w:t xml:space="preserve"> </w:t>
            </w:r>
            <w:r w:rsidRPr="00203343">
              <w:rPr>
                <w:rFonts w:eastAsia="MS Mincho" w:cstheme="minorHAnsi"/>
              </w:rPr>
              <w:t>400.3 days, cessation support in last 6 months 32.5%</w:t>
            </w:r>
            <w:r>
              <w:rPr>
                <w:rFonts w:eastAsia="MS Mincho" w:cstheme="minorHAnsi"/>
              </w:rPr>
              <w:t>.</w:t>
            </w:r>
          </w:p>
        </w:tc>
        <w:tc>
          <w:tcPr>
            <w:tcW w:w="1288" w:type="pct"/>
          </w:tcPr>
          <w:p w:rsidR="00F11F77" w:rsidRPr="001A61DE" w:rsidRDefault="00F11F77" w:rsidP="00C324F3">
            <w:pPr>
              <w:pStyle w:val="ListParagraph"/>
              <w:numPr>
                <w:ilvl w:val="0"/>
                <w:numId w:val="213"/>
              </w:numPr>
              <w:rPr>
                <w:rFonts w:eastAsia="MS Mincho"/>
                <w:lang w:eastAsia="en-US"/>
              </w:rPr>
            </w:pPr>
            <w:r w:rsidRPr="001A61DE">
              <w:rPr>
                <w:rFonts w:eastAsia="MS Mincho"/>
                <w:lang w:eastAsia="en-US"/>
              </w:rPr>
              <w:t>Nicotine patch for 4 weeks before quit date (nicotine preloading)</w:t>
            </w:r>
          </w:p>
          <w:p w:rsidR="00F11F77" w:rsidRPr="001A61DE" w:rsidRDefault="00F11F77" w:rsidP="00C324F3">
            <w:pPr>
              <w:pStyle w:val="ListParagraph"/>
              <w:numPr>
                <w:ilvl w:val="0"/>
                <w:numId w:val="213"/>
              </w:numPr>
              <w:rPr>
                <w:rFonts w:eastAsia="MS Mincho"/>
                <w:lang w:eastAsia="en-US"/>
              </w:rPr>
            </w:pPr>
            <w:r w:rsidRPr="001A61DE">
              <w:rPr>
                <w:rFonts w:eastAsia="MS Mincho"/>
                <w:lang w:eastAsia="en-US"/>
              </w:rPr>
              <w:t>No nicotine patch before quit date</w:t>
            </w:r>
          </w:p>
          <w:p w:rsidR="00F11F77" w:rsidRDefault="00F11F77" w:rsidP="006B48C7">
            <w:pPr>
              <w:rPr>
                <w:rFonts w:eastAsia="MS Mincho"/>
                <w:lang w:eastAsia="en-US"/>
              </w:rPr>
            </w:pPr>
          </w:p>
          <w:p w:rsidR="00F11F77" w:rsidRPr="001A61DE" w:rsidRDefault="00F11F77" w:rsidP="006B48C7">
            <w:pPr>
              <w:rPr>
                <w:rFonts w:eastAsia="MS Mincho"/>
                <w:lang w:eastAsia="en-US"/>
              </w:rPr>
            </w:pPr>
            <w:r w:rsidRPr="007F73F2">
              <w:rPr>
                <w:rFonts w:eastAsia="MS Mincho"/>
                <w:u w:val="single"/>
                <w:lang w:eastAsia="en-US"/>
              </w:rPr>
              <w:t>Common component:</w:t>
            </w:r>
            <w:r>
              <w:rPr>
                <w:rFonts w:eastAsia="MS Mincho"/>
                <w:lang w:eastAsia="en-US"/>
              </w:rPr>
              <w:t xml:space="preserve"> </w:t>
            </w:r>
            <w:r w:rsidRPr="001A61DE">
              <w:rPr>
                <w:rFonts w:eastAsia="MS Mincho"/>
                <w:lang w:eastAsia="en-US"/>
              </w:rPr>
              <w:t>All participants received usual care from stop-smoking services, including pharmacotherapy, beginning</w:t>
            </w:r>
            <w:r>
              <w:rPr>
                <w:rFonts w:eastAsia="MS Mincho"/>
                <w:lang w:eastAsia="en-US"/>
              </w:rPr>
              <w:t xml:space="preserve"> </w:t>
            </w:r>
            <w:r w:rsidRPr="001A61DE">
              <w:rPr>
                <w:rFonts w:eastAsia="MS Mincho"/>
                <w:lang w:eastAsia="en-US"/>
              </w:rPr>
              <w:t>1 - 2 weeks before their quit date</w:t>
            </w:r>
            <w:r>
              <w:rPr>
                <w:rFonts w:eastAsia="MS Mincho"/>
                <w:lang w:eastAsia="en-US"/>
              </w:rPr>
              <w:t>.</w:t>
            </w:r>
          </w:p>
        </w:tc>
        <w:tc>
          <w:tcPr>
            <w:tcW w:w="1000" w:type="pct"/>
          </w:tcPr>
          <w:p w:rsidR="00F11F77" w:rsidRPr="001A61DE"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w:t>
            </w:r>
            <w:r w:rsidRPr="001A61DE">
              <w:rPr>
                <w:rFonts w:eastAsia="MS Mincho" w:cstheme="minorBidi"/>
              </w:rPr>
              <w:t>Prolonged abstinence at 12 months post-quit,</w:t>
            </w:r>
            <w:r>
              <w:rPr>
                <w:rFonts w:eastAsia="MS Mincho" w:cstheme="minorBidi"/>
              </w:rPr>
              <w:t xml:space="preserve"> </w:t>
            </w:r>
            <w:r w:rsidRPr="001A61DE">
              <w:rPr>
                <w:rFonts w:eastAsia="MS Mincho" w:cstheme="minorBidi"/>
              </w:rPr>
              <w:t>biochemically validated (CO &lt; 10 ppm - salivary cotinine</w:t>
            </w:r>
          </w:p>
          <w:p w:rsidR="00F11F77" w:rsidRDefault="00F11F77" w:rsidP="006B48C7">
            <w:pPr>
              <w:pStyle w:val="Tablewriting"/>
              <w:rPr>
                <w:rFonts w:eastAsia="MS Mincho" w:cstheme="minorBidi"/>
              </w:rPr>
            </w:pPr>
            <w:r w:rsidRPr="001A61DE">
              <w:rPr>
                <w:rFonts w:eastAsia="MS Mincho" w:cstheme="minorBidi"/>
              </w:rPr>
              <w:t>or anabasine were measured instead in a minority of cases, where participants could not attend in person</w:t>
            </w:r>
            <w:r>
              <w:rPr>
                <w:rFonts w:eastAsia="MS Mincho" w:cstheme="minorBidi"/>
              </w:rPr>
              <w:t xml:space="preserve"> </w:t>
            </w:r>
            <w:r w:rsidRPr="001A61DE">
              <w:rPr>
                <w:rFonts w:eastAsia="MS Mincho" w:cstheme="minorBidi"/>
              </w:rPr>
              <w:t>for validation)</w:t>
            </w:r>
            <w:r>
              <w:rPr>
                <w:rFonts w:eastAsia="MS Mincho" w:cstheme="minorBidi"/>
              </w:rPr>
              <w:t>.</w:t>
            </w:r>
          </w:p>
          <w:p w:rsidR="00F11F77" w:rsidRDefault="00F11F77" w:rsidP="006B48C7">
            <w:pPr>
              <w:pStyle w:val="Tablewriting"/>
              <w:rPr>
                <w:rFonts w:eastAsia="MS Mincho" w:cstheme="minorBidi"/>
              </w:rPr>
            </w:pPr>
          </w:p>
          <w:p w:rsidR="00F11F77" w:rsidRPr="001A61DE" w:rsidRDefault="00F11F77" w:rsidP="006B48C7">
            <w:pPr>
              <w:pStyle w:val="Tablewriting"/>
              <w:rPr>
                <w:rFonts w:eastAsia="MS Mincho" w:cstheme="minorBidi"/>
              </w:rPr>
            </w:pPr>
            <w:r w:rsidRPr="001A61DE">
              <w:rPr>
                <w:rFonts w:eastAsia="MS Mincho" w:cstheme="minorBidi"/>
              </w:rPr>
              <w:t>Other abstinence measures: 7-day PPA at 4 w</w:t>
            </w:r>
            <w:r>
              <w:rPr>
                <w:rFonts w:eastAsia="MS Mincho" w:cstheme="minorBidi"/>
              </w:rPr>
              <w:t>ee</w:t>
            </w:r>
            <w:r w:rsidRPr="001A61DE">
              <w:rPr>
                <w:rFonts w:eastAsia="MS Mincho" w:cstheme="minorBidi"/>
              </w:rPr>
              <w:t>ks, 6 m</w:t>
            </w:r>
            <w:r>
              <w:rPr>
                <w:rFonts w:eastAsia="MS Mincho" w:cstheme="minorBidi"/>
              </w:rPr>
              <w:t>onths</w:t>
            </w:r>
            <w:r w:rsidRPr="001A61DE">
              <w:rPr>
                <w:rFonts w:eastAsia="MS Mincho" w:cstheme="minorBidi"/>
              </w:rPr>
              <w:t xml:space="preserve"> and 12 m</w:t>
            </w:r>
            <w:r>
              <w:rPr>
                <w:rFonts w:eastAsia="MS Mincho" w:cstheme="minorBidi"/>
              </w:rPr>
              <w:t xml:space="preserve">onths; </w:t>
            </w:r>
            <w:r w:rsidRPr="001A61DE">
              <w:rPr>
                <w:rFonts w:eastAsia="MS Mincho" w:cstheme="minorBidi"/>
              </w:rPr>
              <w:t>Prolonged abstinence at 4 w</w:t>
            </w:r>
            <w:r>
              <w:rPr>
                <w:rFonts w:eastAsia="MS Mincho" w:cstheme="minorBidi"/>
              </w:rPr>
              <w:t>ee</w:t>
            </w:r>
            <w:r w:rsidRPr="001A61DE">
              <w:rPr>
                <w:rFonts w:eastAsia="MS Mincho" w:cstheme="minorBidi"/>
              </w:rPr>
              <w:t>ks and 6 m</w:t>
            </w:r>
            <w:r>
              <w:rPr>
                <w:rFonts w:eastAsia="MS Mincho" w:cstheme="minorBidi"/>
              </w:rPr>
              <w:t>onths</w:t>
            </w:r>
          </w:p>
          <w:p w:rsidR="00F11F77" w:rsidRDefault="00F11F77" w:rsidP="006B48C7">
            <w:pPr>
              <w:pStyle w:val="Tablewriting"/>
              <w:rPr>
                <w:rFonts w:eastAsia="MS Mincho" w:cstheme="minorBidi"/>
                <w:u w:val="single"/>
              </w:rPr>
            </w:pPr>
          </w:p>
          <w:p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w:t>
            </w:r>
            <w:r w:rsidRPr="001A61DE">
              <w:rPr>
                <w:rFonts w:eastAsia="MS Mincho" w:cstheme="minorBidi"/>
              </w:rPr>
              <w:t>Adverse events</w:t>
            </w:r>
            <w:r>
              <w:rPr>
                <w:rFonts w:eastAsia="MS Mincho" w:cstheme="minorBidi"/>
              </w:rPr>
              <w:t xml:space="preserve"> </w:t>
            </w:r>
            <w:r w:rsidRPr="001A61DE">
              <w:rPr>
                <w:rFonts w:eastAsia="MS Mincho" w:cstheme="minorBidi"/>
              </w:rPr>
              <w:t>measured to 1 week post-quit (1</w:t>
            </w:r>
            <w:r>
              <w:rPr>
                <w:rFonts w:eastAsia="MS Mincho" w:cstheme="minorBidi"/>
              </w:rPr>
              <w:t xml:space="preserve"> </w:t>
            </w:r>
            <w:r w:rsidRPr="001A61DE">
              <w:rPr>
                <w:rFonts w:eastAsia="MS Mincho" w:cstheme="minorBidi"/>
              </w:rPr>
              <w:t>week post-cessation of preloading</w:t>
            </w:r>
            <w:r>
              <w:rPr>
                <w:rFonts w:eastAsia="MS Mincho" w:cstheme="minorBidi"/>
              </w:rPr>
              <w:t>.</w:t>
            </w:r>
          </w:p>
        </w:tc>
      </w:tr>
      <w:tr w:rsidR="00F11F77" w:rsidRPr="00017AE6" w:rsidTr="00486A67">
        <w:trPr>
          <w:trHeight w:val="99"/>
        </w:trPr>
        <w:tc>
          <w:tcPr>
            <w:tcW w:w="541" w:type="pct"/>
          </w:tcPr>
          <w:p w:rsidR="00F11F77" w:rsidRPr="00FA2C37" w:rsidRDefault="00F11F77" w:rsidP="006B48C7">
            <w:pPr>
              <w:pStyle w:val="Tablewriting"/>
              <w:rPr>
                <w:rFonts w:eastAsia="MS Mincho"/>
              </w:rPr>
            </w:pPr>
            <w:r w:rsidRPr="00245AD9">
              <w:rPr>
                <w:rFonts w:eastAsia="MS Mincho"/>
              </w:rPr>
              <w:t xml:space="preserve">Rose </w:t>
            </w:r>
            <w:r>
              <w:rPr>
                <w:rFonts w:eastAsia="MS Mincho"/>
              </w:rPr>
              <w:t>(</w:t>
            </w:r>
            <w:r w:rsidRPr="00245AD9">
              <w:rPr>
                <w:rFonts w:eastAsia="MS Mincho"/>
              </w:rPr>
              <w:t>1994</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USA</w:t>
            </w:r>
          </w:p>
        </w:tc>
        <w:tc>
          <w:tcPr>
            <w:tcW w:w="350" w:type="pct"/>
          </w:tcPr>
          <w:p w:rsidR="00F11F77" w:rsidRPr="00017AE6" w:rsidRDefault="00F11F77" w:rsidP="006B48C7">
            <w:pPr>
              <w:pStyle w:val="Tablewriting"/>
              <w:rPr>
                <w:rFonts w:eastAsia="MS Mincho" w:cstheme="minorHAnsi"/>
              </w:rPr>
            </w:pPr>
            <w:r>
              <w:rPr>
                <w:rFonts w:eastAsia="MS Mincho" w:cstheme="minorHAnsi"/>
              </w:rPr>
              <w:t>N=48</w:t>
            </w:r>
          </w:p>
        </w:tc>
        <w:tc>
          <w:tcPr>
            <w:tcW w:w="1168" w:type="pct"/>
          </w:tcPr>
          <w:p w:rsidR="00F11F77" w:rsidRPr="00017AE6" w:rsidRDefault="00F11F77" w:rsidP="006B48C7">
            <w:pPr>
              <w:pStyle w:val="Tablewriting"/>
              <w:rPr>
                <w:rFonts w:eastAsia="MS Mincho" w:cstheme="minorHAnsi"/>
              </w:rPr>
            </w:pPr>
            <w:r>
              <w:rPr>
                <w:rFonts w:eastAsia="MS Mincho" w:cstheme="minorHAnsi"/>
              </w:rPr>
              <w:t>S</w:t>
            </w:r>
            <w:r w:rsidRPr="007F73F2">
              <w:rPr>
                <w:rFonts w:eastAsia="MS Mincho" w:cstheme="minorHAnsi"/>
              </w:rPr>
              <w:t>mokers (</w:t>
            </w:r>
            <w:r w:rsidRPr="00E632A9">
              <w:rPr>
                <w:rFonts w:eastAsia="MS Mincho" w:cstheme="minorHAnsi"/>
              </w:rPr>
              <w:t>≥</w:t>
            </w:r>
            <w:r w:rsidRPr="007F73F2">
              <w:rPr>
                <w:rFonts w:eastAsia="MS Mincho" w:cstheme="minorHAnsi"/>
              </w:rPr>
              <w:t xml:space="preserve">20 </w:t>
            </w:r>
            <w:r>
              <w:rPr>
                <w:rFonts w:eastAsia="MS Mincho" w:cstheme="minorHAnsi"/>
              </w:rPr>
              <w:t>CPD</w:t>
            </w:r>
            <w:r w:rsidRPr="007F73F2">
              <w:rPr>
                <w:rFonts w:eastAsia="MS Mincho" w:cstheme="minorHAnsi"/>
              </w:rPr>
              <w:t>)</w:t>
            </w:r>
            <w:r>
              <w:rPr>
                <w:rFonts w:eastAsia="MS Mincho" w:cstheme="minorHAnsi"/>
              </w:rPr>
              <w:t xml:space="preserve">, </w:t>
            </w:r>
            <w:r w:rsidRPr="007F73F2">
              <w:rPr>
                <w:rFonts w:eastAsia="MS Mincho" w:cstheme="minorHAnsi"/>
              </w:rPr>
              <w:t>40% men, av</w:t>
            </w:r>
            <w:r>
              <w:rPr>
                <w:rFonts w:eastAsia="MS Mincho" w:cstheme="minorHAnsi"/>
              </w:rPr>
              <w:t>erage</w:t>
            </w:r>
            <w:r w:rsidRPr="007F73F2">
              <w:rPr>
                <w:rFonts w:eastAsia="MS Mincho" w:cstheme="minorHAnsi"/>
              </w:rPr>
              <w:t xml:space="preserve"> age 34</w:t>
            </w:r>
            <w:r>
              <w:rPr>
                <w:rFonts w:eastAsia="MS Mincho" w:cstheme="minorHAnsi"/>
              </w:rPr>
              <w:t xml:space="preserve"> years</w:t>
            </w:r>
            <w:r w:rsidRPr="007F73F2">
              <w:rPr>
                <w:rFonts w:eastAsia="MS Mincho" w:cstheme="minorHAnsi"/>
              </w:rPr>
              <w:t>, av</w:t>
            </w:r>
            <w:r>
              <w:rPr>
                <w:rFonts w:eastAsia="MS Mincho" w:cstheme="minorHAnsi"/>
              </w:rPr>
              <w:t>erage</w:t>
            </w:r>
            <w:r w:rsidRPr="007F73F2">
              <w:rPr>
                <w:rFonts w:eastAsia="MS Mincho" w:cstheme="minorHAnsi"/>
              </w:rPr>
              <w:t xml:space="preserve"> </w:t>
            </w:r>
            <w:r>
              <w:rPr>
                <w:rFonts w:eastAsia="MS Mincho" w:cstheme="minorHAnsi"/>
              </w:rPr>
              <w:t>CPD</w:t>
            </w:r>
            <w:r w:rsidRPr="007F73F2">
              <w:rPr>
                <w:rFonts w:eastAsia="MS Mincho" w:cstheme="minorHAnsi"/>
              </w:rPr>
              <w:t xml:space="preserve"> 27 </w:t>
            </w:r>
            <w:r>
              <w:rPr>
                <w:rFonts w:eastAsia="MS Mincho" w:cstheme="minorHAnsi"/>
              </w:rPr>
              <w:t>–</w:t>
            </w:r>
            <w:r w:rsidRPr="007F73F2">
              <w:rPr>
                <w:rFonts w:eastAsia="MS Mincho" w:cstheme="minorHAnsi"/>
              </w:rPr>
              <w:t xml:space="preserve"> 29</w:t>
            </w:r>
            <w:r>
              <w:rPr>
                <w:rFonts w:eastAsia="MS Mincho" w:cstheme="minorHAnsi"/>
              </w:rPr>
              <w:t xml:space="preserve">. </w:t>
            </w:r>
          </w:p>
        </w:tc>
        <w:tc>
          <w:tcPr>
            <w:tcW w:w="1288" w:type="pct"/>
          </w:tcPr>
          <w:p w:rsidR="00F11F77" w:rsidRPr="007F73F2" w:rsidRDefault="00F11F77" w:rsidP="00C324F3">
            <w:pPr>
              <w:pStyle w:val="ListParagraph"/>
              <w:numPr>
                <w:ilvl w:val="0"/>
                <w:numId w:val="214"/>
              </w:numPr>
              <w:rPr>
                <w:rFonts w:eastAsia="MS Mincho"/>
                <w:lang w:eastAsia="en-US"/>
              </w:rPr>
            </w:pPr>
            <w:r w:rsidRPr="007F73F2">
              <w:rPr>
                <w:rFonts w:eastAsia="MS Mincho"/>
                <w:lang w:eastAsia="en-US"/>
              </w:rPr>
              <w:t>Nicotine patch (21 mg/24-hour for 2 w</w:t>
            </w:r>
            <w:r>
              <w:rPr>
                <w:rFonts w:eastAsia="MS Mincho"/>
                <w:lang w:eastAsia="en-US"/>
              </w:rPr>
              <w:t>ee</w:t>
            </w:r>
            <w:r w:rsidRPr="007F73F2">
              <w:rPr>
                <w:rFonts w:eastAsia="MS Mincho"/>
                <w:lang w:eastAsia="en-US"/>
              </w:rPr>
              <w:t>ks before TQD)</w:t>
            </w:r>
          </w:p>
          <w:p w:rsidR="00F11F77" w:rsidRDefault="00F11F77" w:rsidP="00C324F3">
            <w:pPr>
              <w:pStyle w:val="ListParagraph"/>
              <w:numPr>
                <w:ilvl w:val="0"/>
                <w:numId w:val="214"/>
              </w:numPr>
              <w:rPr>
                <w:rFonts w:eastAsia="MS Mincho"/>
                <w:lang w:eastAsia="en-US"/>
              </w:rPr>
            </w:pPr>
            <w:r w:rsidRPr="007F73F2">
              <w:rPr>
                <w:rFonts w:eastAsia="MS Mincho"/>
                <w:lang w:eastAsia="en-US"/>
              </w:rPr>
              <w:t>Placebo</w:t>
            </w:r>
          </w:p>
          <w:p w:rsidR="00F11F77" w:rsidRDefault="00F11F77" w:rsidP="006B48C7">
            <w:pPr>
              <w:rPr>
                <w:rFonts w:eastAsia="MS Mincho"/>
                <w:lang w:eastAsia="en-US"/>
              </w:rPr>
            </w:pPr>
          </w:p>
          <w:p w:rsidR="00F11F77" w:rsidRPr="007F73F2" w:rsidRDefault="00F11F77" w:rsidP="006B48C7">
            <w:pPr>
              <w:rPr>
                <w:rFonts w:eastAsia="MS Mincho"/>
                <w:lang w:eastAsia="en-US"/>
              </w:rPr>
            </w:pPr>
            <w:r w:rsidRPr="007F73F2">
              <w:rPr>
                <w:rFonts w:eastAsia="MS Mincho"/>
                <w:u w:val="single"/>
                <w:lang w:eastAsia="en-US"/>
              </w:rPr>
              <w:t>Common component</w:t>
            </w:r>
            <w:r>
              <w:rPr>
                <w:rFonts w:eastAsia="MS Mincho"/>
                <w:lang w:eastAsia="en-US"/>
              </w:rPr>
              <w:t xml:space="preserve">: </w:t>
            </w:r>
            <w:r w:rsidRPr="007F73F2">
              <w:rPr>
                <w:rFonts w:eastAsia="MS Mincho"/>
                <w:lang w:eastAsia="en-US"/>
              </w:rPr>
              <w:t>After TQD both groups received active patch for 6 w</w:t>
            </w:r>
            <w:r>
              <w:rPr>
                <w:rFonts w:eastAsia="MS Mincho"/>
                <w:lang w:eastAsia="en-US"/>
              </w:rPr>
              <w:t>ee</w:t>
            </w:r>
            <w:r w:rsidRPr="007F73F2">
              <w:rPr>
                <w:rFonts w:eastAsia="MS Mincho"/>
                <w:lang w:eastAsia="en-US"/>
              </w:rPr>
              <w:t>ks, counselling at clinic visits and self-help materials</w:t>
            </w:r>
            <w:r>
              <w:rPr>
                <w:rFonts w:eastAsia="MS Mincho"/>
                <w:lang w:eastAsia="en-US"/>
              </w:rPr>
              <w:t xml:space="preserve">. </w:t>
            </w:r>
          </w:p>
        </w:tc>
        <w:tc>
          <w:tcPr>
            <w:tcW w:w="1000" w:type="pct"/>
          </w:tcPr>
          <w:p w:rsidR="00F11F77" w:rsidRPr="007F73F2"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w:t>
            </w:r>
            <w:r w:rsidRPr="007F73F2">
              <w:rPr>
                <w:rFonts w:eastAsia="MS Mincho" w:cstheme="minorBidi"/>
              </w:rPr>
              <w:t>Sustained abstinence at 12 m</w:t>
            </w:r>
            <w:r>
              <w:rPr>
                <w:rFonts w:eastAsia="MS Mincho" w:cstheme="minorBidi"/>
              </w:rPr>
              <w:t xml:space="preserve">onths. </w:t>
            </w:r>
          </w:p>
          <w:p w:rsidR="00F11F77" w:rsidRPr="007F73F2" w:rsidRDefault="00F11F77" w:rsidP="006B48C7">
            <w:pPr>
              <w:pStyle w:val="Tablewriting"/>
              <w:rPr>
                <w:rFonts w:eastAsia="MS Mincho" w:cstheme="minorBidi"/>
              </w:rPr>
            </w:pPr>
            <w:r w:rsidRPr="007F73F2">
              <w:rPr>
                <w:rFonts w:eastAsia="MS Mincho" w:cstheme="minorBidi"/>
              </w:rPr>
              <w:t>Validation: CO ≤8 ppm</w:t>
            </w:r>
            <w:r>
              <w:rPr>
                <w:rFonts w:eastAsia="MS Mincho" w:cstheme="minorBidi"/>
              </w:rPr>
              <w:t>.</w:t>
            </w:r>
          </w:p>
          <w:p w:rsidR="00F11F77" w:rsidRDefault="00F11F77" w:rsidP="006B48C7">
            <w:pPr>
              <w:pStyle w:val="Tablewriting"/>
              <w:rPr>
                <w:rFonts w:eastAsia="MS Mincho" w:cstheme="minorBidi"/>
              </w:rPr>
            </w:pPr>
          </w:p>
          <w:p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w:t>
            </w:r>
            <w:r w:rsidRPr="007F73F2">
              <w:rPr>
                <w:rFonts w:eastAsia="MS Mincho" w:cstheme="minorBidi"/>
              </w:rPr>
              <w:t>Adverse events</w:t>
            </w:r>
            <w:r>
              <w:rPr>
                <w:rFonts w:eastAsia="MS Mincho" w:cstheme="minorBidi"/>
              </w:rPr>
              <w:t xml:space="preserve"> </w:t>
            </w:r>
            <w:r w:rsidRPr="007F73F2">
              <w:rPr>
                <w:rFonts w:eastAsia="MS Mincho" w:cstheme="minorBidi"/>
              </w:rPr>
              <w:t>measured at visits until 1 week post-treatment</w:t>
            </w:r>
            <w:r>
              <w:rPr>
                <w:rFonts w:eastAsia="MS Mincho" w:cstheme="minorBidi"/>
              </w:rPr>
              <w:t>.</w:t>
            </w:r>
          </w:p>
        </w:tc>
      </w:tr>
      <w:tr w:rsidR="00F11F77" w:rsidRPr="00017AE6" w:rsidTr="00486A67">
        <w:trPr>
          <w:trHeight w:val="99"/>
        </w:trPr>
        <w:tc>
          <w:tcPr>
            <w:tcW w:w="541" w:type="pct"/>
          </w:tcPr>
          <w:p w:rsidR="00F11F77" w:rsidRPr="00FA2C37" w:rsidRDefault="00F11F77" w:rsidP="006B48C7">
            <w:pPr>
              <w:pStyle w:val="Tablewriting"/>
              <w:rPr>
                <w:rFonts w:eastAsia="MS Mincho"/>
              </w:rPr>
            </w:pPr>
            <w:r w:rsidRPr="00245AD9">
              <w:rPr>
                <w:rFonts w:eastAsia="MS Mincho"/>
              </w:rPr>
              <w:lastRenderedPageBreak/>
              <w:t xml:space="preserve">Rose </w:t>
            </w:r>
            <w:r>
              <w:rPr>
                <w:rFonts w:eastAsia="MS Mincho"/>
              </w:rPr>
              <w:t>(</w:t>
            </w:r>
            <w:r w:rsidRPr="00245AD9">
              <w:rPr>
                <w:rFonts w:eastAsia="MS Mincho"/>
              </w:rPr>
              <w:t>1998</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USA</w:t>
            </w:r>
          </w:p>
        </w:tc>
        <w:tc>
          <w:tcPr>
            <w:tcW w:w="350" w:type="pct"/>
          </w:tcPr>
          <w:p w:rsidR="00F11F77" w:rsidRPr="00017AE6" w:rsidRDefault="00F11F77" w:rsidP="006B48C7">
            <w:pPr>
              <w:pStyle w:val="Tablewriting"/>
              <w:rPr>
                <w:rFonts w:eastAsia="MS Mincho" w:cstheme="minorHAnsi"/>
              </w:rPr>
            </w:pPr>
            <w:r>
              <w:rPr>
                <w:rFonts w:eastAsia="MS Mincho" w:cstheme="minorHAnsi"/>
              </w:rPr>
              <w:t>N=80</w:t>
            </w:r>
          </w:p>
        </w:tc>
        <w:tc>
          <w:tcPr>
            <w:tcW w:w="1168" w:type="pct"/>
          </w:tcPr>
          <w:p w:rsidR="00F11F77" w:rsidRPr="007F73F2" w:rsidRDefault="00F11F77" w:rsidP="006B48C7">
            <w:pPr>
              <w:pStyle w:val="Tablewriting"/>
              <w:rPr>
                <w:rFonts w:eastAsia="MS Mincho" w:cstheme="minorHAnsi"/>
              </w:rPr>
            </w:pPr>
            <w:r>
              <w:rPr>
                <w:rFonts w:eastAsia="MS Mincho" w:cstheme="minorHAnsi"/>
              </w:rPr>
              <w:t>S</w:t>
            </w:r>
            <w:r w:rsidRPr="007F73F2">
              <w:rPr>
                <w:rFonts w:eastAsia="MS Mincho" w:cstheme="minorHAnsi"/>
              </w:rPr>
              <w:t>mokers (</w:t>
            </w:r>
            <w:r w:rsidRPr="00E632A9">
              <w:rPr>
                <w:rFonts w:eastAsia="MS Mincho" w:cstheme="minorHAnsi"/>
              </w:rPr>
              <w:t>≥</w:t>
            </w:r>
            <w:r w:rsidRPr="007F73F2">
              <w:rPr>
                <w:rFonts w:eastAsia="MS Mincho" w:cstheme="minorHAnsi"/>
              </w:rPr>
              <w:t xml:space="preserve">20 </w:t>
            </w:r>
            <w:r>
              <w:rPr>
                <w:rFonts w:eastAsia="MS Mincho" w:cstheme="minorHAnsi"/>
              </w:rPr>
              <w:t>CPD</w:t>
            </w:r>
            <w:r w:rsidRPr="007F73F2">
              <w:rPr>
                <w:rFonts w:eastAsia="MS Mincho" w:cstheme="minorHAnsi"/>
              </w:rPr>
              <w:t>)</w:t>
            </w:r>
          </w:p>
          <w:p w:rsidR="00F11F77" w:rsidRPr="00017AE6" w:rsidRDefault="00F11F77" w:rsidP="006B48C7">
            <w:pPr>
              <w:pStyle w:val="Tablewriting"/>
              <w:rPr>
                <w:rFonts w:eastAsia="MS Mincho" w:cstheme="minorHAnsi"/>
              </w:rPr>
            </w:pPr>
            <w:r w:rsidRPr="007F73F2">
              <w:rPr>
                <w:rFonts w:eastAsia="MS Mincho" w:cstheme="minorHAnsi"/>
              </w:rPr>
              <w:t>51% men, av</w:t>
            </w:r>
            <w:r>
              <w:rPr>
                <w:rFonts w:eastAsia="MS Mincho" w:cstheme="minorHAnsi"/>
              </w:rPr>
              <w:t>erage</w:t>
            </w:r>
            <w:r w:rsidRPr="007F73F2">
              <w:rPr>
                <w:rFonts w:eastAsia="MS Mincho" w:cstheme="minorHAnsi"/>
              </w:rPr>
              <w:t xml:space="preserve"> age 41</w:t>
            </w:r>
            <w:r>
              <w:rPr>
                <w:rFonts w:eastAsia="MS Mincho" w:cstheme="minorHAnsi"/>
              </w:rPr>
              <w:t xml:space="preserve"> years</w:t>
            </w:r>
            <w:r w:rsidRPr="007F73F2">
              <w:rPr>
                <w:rFonts w:eastAsia="MS Mincho" w:cstheme="minorHAnsi"/>
              </w:rPr>
              <w:t xml:space="preserve">, </w:t>
            </w:r>
            <w:r>
              <w:rPr>
                <w:rFonts w:eastAsia="MS Mincho" w:cstheme="minorHAnsi"/>
              </w:rPr>
              <w:t xml:space="preserve">average CPD </w:t>
            </w:r>
            <w:r w:rsidRPr="007F73F2">
              <w:rPr>
                <w:rFonts w:eastAsia="MS Mincho" w:cstheme="minorHAnsi"/>
              </w:rPr>
              <w:t>30</w:t>
            </w:r>
            <w:r>
              <w:rPr>
                <w:rFonts w:eastAsia="MS Mincho" w:cstheme="minorHAnsi"/>
              </w:rPr>
              <w:t xml:space="preserve">. </w:t>
            </w:r>
          </w:p>
        </w:tc>
        <w:tc>
          <w:tcPr>
            <w:tcW w:w="1288" w:type="pct"/>
          </w:tcPr>
          <w:p w:rsidR="00F11F77" w:rsidRPr="00A33267" w:rsidRDefault="00F11F77" w:rsidP="00C324F3">
            <w:pPr>
              <w:pStyle w:val="ListParagraph"/>
              <w:numPr>
                <w:ilvl w:val="0"/>
                <w:numId w:val="215"/>
              </w:numPr>
              <w:rPr>
                <w:rFonts w:eastAsia="MS Mincho"/>
                <w:lang w:eastAsia="en-US"/>
              </w:rPr>
            </w:pPr>
            <w:r w:rsidRPr="00A33267">
              <w:rPr>
                <w:rFonts w:eastAsia="MS Mincho"/>
                <w:lang w:eastAsia="en-US"/>
              </w:rPr>
              <w:t>Nicotine patch (21 mg/24-hour for 4 weeks before TQD)</w:t>
            </w:r>
          </w:p>
          <w:p w:rsidR="00F11F77" w:rsidRPr="00A33267" w:rsidRDefault="00F11F77" w:rsidP="00C324F3">
            <w:pPr>
              <w:pStyle w:val="ListParagraph"/>
              <w:numPr>
                <w:ilvl w:val="0"/>
                <w:numId w:val="215"/>
              </w:numPr>
              <w:rPr>
                <w:rFonts w:eastAsia="MS Mincho"/>
                <w:lang w:eastAsia="en-US"/>
              </w:rPr>
            </w:pPr>
            <w:r w:rsidRPr="00A33267">
              <w:rPr>
                <w:rFonts w:eastAsia="MS Mincho"/>
                <w:lang w:eastAsia="en-US"/>
              </w:rPr>
              <w:t>Placebo</w:t>
            </w:r>
          </w:p>
          <w:p w:rsidR="00F11F77" w:rsidRDefault="00F11F77" w:rsidP="006B48C7">
            <w:pPr>
              <w:rPr>
                <w:rFonts w:eastAsia="MS Mincho"/>
                <w:lang w:eastAsia="en-US"/>
              </w:rPr>
            </w:pPr>
          </w:p>
          <w:p w:rsidR="00F11F77" w:rsidRPr="00A33267" w:rsidRDefault="00F11F77" w:rsidP="006B48C7">
            <w:pPr>
              <w:rPr>
                <w:rFonts w:eastAsia="MS Mincho"/>
                <w:lang w:eastAsia="en-US"/>
              </w:rPr>
            </w:pPr>
            <w:r w:rsidRPr="007F73F2">
              <w:rPr>
                <w:rFonts w:eastAsia="MS Mincho"/>
                <w:u w:val="single"/>
                <w:lang w:eastAsia="en-US"/>
              </w:rPr>
              <w:t>Common component</w:t>
            </w:r>
            <w:r>
              <w:rPr>
                <w:rFonts w:eastAsia="MS Mincho"/>
                <w:u w:val="single"/>
                <w:lang w:eastAsia="en-US"/>
              </w:rPr>
              <w:t xml:space="preserve">: </w:t>
            </w:r>
            <w:r w:rsidRPr="00A33267">
              <w:rPr>
                <w:rFonts w:eastAsia="MS Mincho"/>
                <w:lang w:eastAsia="en-US"/>
              </w:rPr>
              <w:t>After TQD both groups received active patch and mecamylamine for 6 weeks, counselling at clinic visits</w:t>
            </w:r>
            <w:r>
              <w:rPr>
                <w:rFonts w:eastAsia="MS Mincho"/>
                <w:lang w:eastAsia="en-US"/>
              </w:rPr>
              <w:t xml:space="preserve"> </w:t>
            </w:r>
            <w:r w:rsidRPr="00A33267">
              <w:rPr>
                <w:rFonts w:eastAsia="MS Mincho"/>
                <w:lang w:eastAsia="en-US"/>
              </w:rPr>
              <w:t>and self-help materials</w:t>
            </w:r>
            <w:r>
              <w:rPr>
                <w:rFonts w:eastAsia="MS Mincho"/>
                <w:lang w:eastAsia="en-US"/>
              </w:rPr>
              <w:t xml:space="preserve">. </w:t>
            </w:r>
          </w:p>
        </w:tc>
        <w:tc>
          <w:tcPr>
            <w:tcW w:w="1000" w:type="pct"/>
          </w:tcPr>
          <w:p w:rsidR="00F11F77" w:rsidRPr="00C86492"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w:t>
            </w:r>
            <w:r w:rsidRPr="00C86492">
              <w:rPr>
                <w:rFonts w:eastAsia="MS Mincho" w:cstheme="minorBidi"/>
              </w:rPr>
              <w:t>Sustained abstinence at 6 m</w:t>
            </w:r>
            <w:r>
              <w:rPr>
                <w:rFonts w:eastAsia="MS Mincho" w:cstheme="minorBidi"/>
              </w:rPr>
              <w:t>onths.</w:t>
            </w:r>
          </w:p>
          <w:p w:rsidR="00F11F77" w:rsidRPr="00C86492" w:rsidRDefault="00F11F77" w:rsidP="006B48C7">
            <w:pPr>
              <w:pStyle w:val="Tablewriting"/>
              <w:rPr>
                <w:rFonts w:eastAsia="MS Mincho" w:cstheme="minorBidi"/>
              </w:rPr>
            </w:pPr>
            <w:r w:rsidRPr="00C86492">
              <w:rPr>
                <w:rFonts w:eastAsia="MS Mincho" w:cstheme="minorBidi"/>
              </w:rPr>
              <w:t xml:space="preserve">Validation: CO </w:t>
            </w:r>
            <w:r w:rsidRPr="007F73F2">
              <w:rPr>
                <w:rFonts w:eastAsia="MS Mincho" w:cstheme="minorBidi"/>
              </w:rPr>
              <w:t>≤</w:t>
            </w:r>
            <w:r w:rsidRPr="00C86492">
              <w:rPr>
                <w:rFonts w:eastAsia="MS Mincho" w:cstheme="minorBidi"/>
              </w:rPr>
              <w:t>8 ppm</w:t>
            </w:r>
          </w:p>
          <w:p w:rsidR="00F11F77" w:rsidRDefault="00F11F77" w:rsidP="006B48C7">
            <w:pPr>
              <w:pStyle w:val="Tablewriting"/>
              <w:rPr>
                <w:rFonts w:eastAsia="MS Mincho" w:cstheme="minorBidi"/>
              </w:rPr>
            </w:pPr>
          </w:p>
          <w:p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w:t>
            </w:r>
            <w:r w:rsidRPr="00C86492">
              <w:rPr>
                <w:rFonts w:eastAsia="MS Mincho" w:cstheme="minorBidi"/>
              </w:rPr>
              <w:t>Adverse events</w:t>
            </w:r>
            <w:r>
              <w:rPr>
                <w:rFonts w:eastAsia="MS Mincho" w:cstheme="minorBidi"/>
              </w:rPr>
              <w:t xml:space="preserve"> </w:t>
            </w:r>
            <w:r w:rsidRPr="00C86492">
              <w:rPr>
                <w:rFonts w:eastAsia="MS Mincho" w:cstheme="minorBidi"/>
              </w:rPr>
              <w:t>measured at visits during treatment</w:t>
            </w:r>
            <w:r>
              <w:rPr>
                <w:rFonts w:eastAsia="MS Mincho" w:cstheme="minorBidi"/>
              </w:rPr>
              <w:t>.</w:t>
            </w:r>
          </w:p>
        </w:tc>
      </w:tr>
      <w:tr w:rsidR="00F11F77" w:rsidRPr="00017AE6" w:rsidTr="00486A67">
        <w:trPr>
          <w:trHeight w:val="99"/>
        </w:trPr>
        <w:tc>
          <w:tcPr>
            <w:tcW w:w="541" w:type="pct"/>
          </w:tcPr>
          <w:p w:rsidR="00F11F77" w:rsidRPr="00FA2C37" w:rsidRDefault="00F11F77" w:rsidP="006B48C7">
            <w:pPr>
              <w:pStyle w:val="Tablewriting"/>
              <w:rPr>
                <w:rFonts w:eastAsia="MS Mincho"/>
              </w:rPr>
            </w:pPr>
            <w:r w:rsidRPr="00245AD9">
              <w:rPr>
                <w:rFonts w:eastAsia="MS Mincho"/>
              </w:rPr>
              <w:t xml:space="preserve">Rose </w:t>
            </w:r>
            <w:r>
              <w:rPr>
                <w:rFonts w:eastAsia="MS Mincho"/>
              </w:rPr>
              <w:t>(</w:t>
            </w:r>
            <w:r w:rsidRPr="00245AD9">
              <w:rPr>
                <w:rFonts w:eastAsia="MS Mincho"/>
              </w:rPr>
              <w:t>2006</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USA</w:t>
            </w:r>
          </w:p>
        </w:tc>
        <w:tc>
          <w:tcPr>
            <w:tcW w:w="350" w:type="pct"/>
          </w:tcPr>
          <w:p w:rsidR="00F11F77" w:rsidRPr="00017AE6" w:rsidRDefault="00F11F77" w:rsidP="006B48C7">
            <w:pPr>
              <w:pStyle w:val="Tablewriting"/>
              <w:rPr>
                <w:rFonts w:eastAsia="MS Mincho" w:cstheme="minorHAnsi"/>
              </w:rPr>
            </w:pPr>
            <w:r>
              <w:rPr>
                <w:rFonts w:eastAsia="MS Mincho" w:cstheme="minorHAnsi"/>
              </w:rPr>
              <w:t>N=96</w:t>
            </w:r>
          </w:p>
        </w:tc>
        <w:tc>
          <w:tcPr>
            <w:tcW w:w="1168" w:type="pct"/>
          </w:tcPr>
          <w:p w:rsidR="00F11F77" w:rsidRPr="00017AE6" w:rsidRDefault="00F11F77" w:rsidP="006B48C7">
            <w:pPr>
              <w:pStyle w:val="Tablewriting"/>
              <w:rPr>
                <w:rFonts w:eastAsia="MS Mincho" w:cstheme="minorHAnsi"/>
              </w:rPr>
            </w:pPr>
            <w:r>
              <w:rPr>
                <w:rFonts w:eastAsia="MS Mincho" w:cstheme="minorHAnsi"/>
              </w:rPr>
              <w:t>S</w:t>
            </w:r>
            <w:r w:rsidRPr="00CB0F06">
              <w:rPr>
                <w:rFonts w:eastAsia="MS Mincho" w:cstheme="minorHAnsi"/>
              </w:rPr>
              <w:t xml:space="preserve">mokers </w:t>
            </w:r>
            <w:r>
              <w:rPr>
                <w:rFonts w:eastAsia="MS Mincho" w:cstheme="minorHAnsi"/>
              </w:rPr>
              <w:t>(</w:t>
            </w:r>
            <w:r w:rsidRPr="00E632A9">
              <w:rPr>
                <w:rFonts w:eastAsia="MS Mincho" w:cstheme="minorHAnsi"/>
              </w:rPr>
              <w:t>≥</w:t>
            </w:r>
            <w:r w:rsidRPr="00CB0F06">
              <w:rPr>
                <w:rFonts w:eastAsia="MS Mincho" w:cstheme="minorHAnsi"/>
              </w:rPr>
              <w:t xml:space="preserve">20 </w:t>
            </w:r>
            <w:r>
              <w:rPr>
                <w:rFonts w:eastAsia="MS Mincho" w:cstheme="minorHAnsi"/>
              </w:rPr>
              <w:t>CPD</w:t>
            </w:r>
            <w:r w:rsidRPr="00CB0F06">
              <w:rPr>
                <w:rFonts w:eastAsia="MS Mincho" w:cstheme="minorHAnsi"/>
              </w:rPr>
              <w:t>) motivated to quit</w:t>
            </w:r>
            <w:r>
              <w:rPr>
                <w:rFonts w:eastAsia="MS Mincho" w:cstheme="minorHAnsi"/>
              </w:rPr>
              <w:t xml:space="preserve">, </w:t>
            </w:r>
            <w:r w:rsidRPr="00CB0F06">
              <w:rPr>
                <w:rFonts w:eastAsia="MS Mincho" w:cstheme="minorHAnsi"/>
              </w:rPr>
              <w:t>47% men, av</w:t>
            </w:r>
            <w:r>
              <w:rPr>
                <w:rFonts w:eastAsia="MS Mincho" w:cstheme="minorHAnsi"/>
              </w:rPr>
              <w:t>erage</w:t>
            </w:r>
            <w:r w:rsidRPr="00CB0F06">
              <w:rPr>
                <w:rFonts w:eastAsia="MS Mincho" w:cstheme="minorHAnsi"/>
              </w:rPr>
              <w:t xml:space="preserve"> age 45</w:t>
            </w:r>
            <w:r>
              <w:rPr>
                <w:rFonts w:eastAsia="MS Mincho" w:cstheme="minorHAnsi"/>
              </w:rPr>
              <w:t xml:space="preserve"> years</w:t>
            </w:r>
            <w:r w:rsidRPr="00CB0F06">
              <w:rPr>
                <w:rFonts w:eastAsia="MS Mincho" w:cstheme="minorHAnsi"/>
              </w:rPr>
              <w:t>, av</w:t>
            </w:r>
            <w:r>
              <w:rPr>
                <w:rFonts w:eastAsia="MS Mincho" w:cstheme="minorHAnsi"/>
              </w:rPr>
              <w:t>erage CPD</w:t>
            </w:r>
            <w:r w:rsidRPr="00CB0F06">
              <w:rPr>
                <w:rFonts w:eastAsia="MS Mincho" w:cstheme="minorHAnsi"/>
              </w:rPr>
              <w:t xml:space="preserve"> 29</w:t>
            </w:r>
            <w:r>
              <w:rPr>
                <w:rFonts w:eastAsia="MS Mincho" w:cstheme="minorHAnsi"/>
              </w:rPr>
              <w:t xml:space="preserve">. </w:t>
            </w:r>
          </w:p>
        </w:tc>
        <w:tc>
          <w:tcPr>
            <w:tcW w:w="1288" w:type="pct"/>
          </w:tcPr>
          <w:p w:rsidR="00F11F77" w:rsidRDefault="00F11F77" w:rsidP="00C324F3">
            <w:pPr>
              <w:pStyle w:val="ListParagraph"/>
              <w:numPr>
                <w:ilvl w:val="0"/>
                <w:numId w:val="216"/>
              </w:numPr>
              <w:rPr>
                <w:rFonts w:eastAsia="MS Mincho"/>
                <w:lang w:eastAsia="en-US"/>
              </w:rPr>
            </w:pPr>
            <w:r w:rsidRPr="00605471">
              <w:rPr>
                <w:rFonts w:eastAsia="MS Mincho"/>
                <w:lang w:eastAsia="en-US"/>
              </w:rPr>
              <w:t>Nicotine patch (21 mg/24-hour for 2 w</w:t>
            </w:r>
            <w:r>
              <w:rPr>
                <w:rFonts w:eastAsia="MS Mincho"/>
                <w:lang w:eastAsia="en-US"/>
              </w:rPr>
              <w:t>ee</w:t>
            </w:r>
            <w:r w:rsidRPr="00605471">
              <w:rPr>
                <w:rFonts w:eastAsia="MS Mincho"/>
                <w:lang w:eastAsia="en-US"/>
              </w:rPr>
              <w:t>ks before TQD)</w:t>
            </w:r>
          </w:p>
          <w:p w:rsidR="00F11F77" w:rsidRDefault="00F11F77" w:rsidP="00C324F3">
            <w:pPr>
              <w:pStyle w:val="ListParagraph"/>
              <w:numPr>
                <w:ilvl w:val="0"/>
                <w:numId w:val="216"/>
              </w:numPr>
              <w:rPr>
                <w:rFonts w:eastAsia="MS Mincho"/>
                <w:lang w:eastAsia="en-US"/>
              </w:rPr>
            </w:pPr>
            <w:r w:rsidRPr="00605471">
              <w:rPr>
                <w:rFonts w:eastAsia="MS Mincho"/>
                <w:lang w:eastAsia="en-US"/>
              </w:rPr>
              <w:t>Placebo</w:t>
            </w:r>
          </w:p>
          <w:p w:rsidR="00F11F77" w:rsidRDefault="00F11F77" w:rsidP="006B48C7">
            <w:pPr>
              <w:rPr>
                <w:rFonts w:eastAsia="MS Mincho"/>
                <w:lang w:eastAsia="en-US"/>
              </w:rPr>
            </w:pPr>
          </w:p>
          <w:p w:rsidR="00F11F77" w:rsidRPr="002F7627" w:rsidRDefault="00F11F77" w:rsidP="006B48C7">
            <w:pPr>
              <w:rPr>
                <w:rFonts w:eastAsia="MS Mincho"/>
                <w:lang w:eastAsia="en-US"/>
              </w:rPr>
            </w:pPr>
            <w:r w:rsidRPr="007F73F2">
              <w:rPr>
                <w:rFonts w:eastAsia="MS Mincho"/>
                <w:u w:val="single"/>
                <w:lang w:eastAsia="en-US"/>
              </w:rPr>
              <w:t>Common component</w:t>
            </w:r>
            <w:r>
              <w:rPr>
                <w:rFonts w:eastAsia="MS Mincho"/>
                <w:u w:val="single"/>
                <w:lang w:eastAsia="en-US"/>
              </w:rPr>
              <w:t xml:space="preserve">: </w:t>
            </w:r>
            <w:r w:rsidRPr="00605471">
              <w:rPr>
                <w:rFonts w:eastAsia="MS Mincho"/>
                <w:lang w:eastAsia="en-US"/>
              </w:rPr>
              <w:t>All participants received mecamylamine 2.5 mg twice a day for 4 w</w:t>
            </w:r>
            <w:r>
              <w:rPr>
                <w:rFonts w:eastAsia="MS Mincho"/>
                <w:lang w:eastAsia="en-US"/>
              </w:rPr>
              <w:t>ee</w:t>
            </w:r>
            <w:r w:rsidRPr="00605471">
              <w:rPr>
                <w:rFonts w:eastAsia="MS Mincho"/>
                <w:lang w:eastAsia="en-US"/>
              </w:rPr>
              <w:t>ks post-TQD, and either 0, 21 or 42</w:t>
            </w:r>
            <w:r>
              <w:rPr>
                <w:rFonts w:eastAsia="MS Mincho"/>
                <w:lang w:eastAsia="en-US"/>
              </w:rPr>
              <w:t xml:space="preserve"> </w:t>
            </w:r>
            <w:r w:rsidRPr="00605471">
              <w:rPr>
                <w:rFonts w:eastAsia="MS Mincho"/>
                <w:lang w:eastAsia="en-US"/>
              </w:rPr>
              <w:t>mg patch</w:t>
            </w:r>
            <w:r>
              <w:rPr>
                <w:rFonts w:eastAsia="MS Mincho"/>
                <w:lang w:eastAsia="en-US"/>
              </w:rPr>
              <w:t xml:space="preserve">. </w:t>
            </w:r>
          </w:p>
        </w:tc>
        <w:tc>
          <w:tcPr>
            <w:tcW w:w="1000" w:type="pct"/>
          </w:tcPr>
          <w:p w:rsidR="00F11F77" w:rsidRPr="00605471"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w:t>
            </w:r>
            <w:r w:rsidRPr="00605471">
              <w:rPr>
                <w:rFonts w:eastAsia="MS Mincho" w:cstheme="minorBidi"/>
              </w:rPr>
              <w:t>PPA at 6 m</w:t>
            </w:r>
            <w:r>
              <w:rPr>
                <w:rFonts w:eastAsia="MS Mincho" w:cstheme="minorBidi"/>
              </w:rPr>
              <w:t>onths.</w:t>
            </w:r>
          </w:p>
          <w:p w:rsidR="00F11F77" w:rsidRPr="00605471" w:rsidRDefault="00F11F77" w:rsidP="006B48C7">
            <w:pPr>
              <w:pStyle w:val="Tablewriting"/>
              <w:rPr>
                <w:rFonts w:eastAsia="MS Mincho" w:cstheme="minorBidi"/>
              </w:rPr>
            </w:pPr>
            <w:r w:rsidRPr="00605471">
              <w:rPr>
                <w:rFonts w:eastAsia="MS Mincho" w:cstheme="minorBidi"/>
              </w:rPr>
              <w:t xml:space="preserve">Validation: </w:t>
            </w:r>
            <w:r w:rsidRPr="00C86492">
              <w:rPr>
                <w:rFonts w:eastAsia="MS Mincho" w:cstheme="minorBidi"/>
              </w:rPr>
              <w:t xml:space="preserve">CO </w:t>
            </w:r>
            <w:r w:rsidRPr="007F73F2">
              <w:rPr>
                <w:rFonts w:eastAsia="MS Mincho" w:cstheme="minorBidi"/>
              </w:rPr>
              <w:t>≤</w:t>
            </w:r>
            <w:r w:rsidRPr="00605471">
              <w:rPr>
                <w:rFonts w:eastAsia="MS Mincho" w:cstheme="minorBidi"/>
              </w:rPr>
              <w:t>8 ppm</w:t>
            </w:r>
          </w:p>
          <w:p w:rsidR="00F11F77" w:rsidRDefault="00F11F77" w:rsidP="006B48C7">
            <w:pPr>
              <w:pStyle w:val="Tablewriting"/>
              <w:rPr>
                <w:rFonts w:eastAsia="MS Mincho" w:cstheme="minorBidi"/>
              </w:rPr>
            </w:pPr>
          </w:p>
          <w:p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w:t>
            </w:r>
            <w:r w:rsidRPr="00605471">
              <w:rPr>
                <w:rFonts w:eastAsia="MS Mincho" w:cstheme="minorBidi"/>
              </w:rPr>
              <w:t>Adverse events</w:t>
            </w:r>
            <w:r>
              <w:rPr>
                <w:rFonts w:eastAsia="MS Mincho" w:cstheme="minorBidi"/>
              </w:rPr>
              <w:t xml:space="preserve"> </w:t>
            </w:r>
            <w:r w:rsidRPr="00605471">
              <w:rPr>
                <w:rFonts w:eastAsia="MS Mincho" w:cstheme="minorBidi"/>
              </w:rPr>
              <w:t>not measured</w:t>
            </w:r>
            <w:r>
              <w:rPr>
                <w:rFonts w:eastAsia="MS Mincho" w:cstheme="minorBidi"/>
              </w:rPr>
              <w:t>.</w:t>
            </w:r>
          </w:p>
        </w:tc>
      </w:tr>
      <w:tr w:rsidR="00F11F77" w:rsidRPr="00017AE6" w:rsidTr="00486A67">
        <w:trPr>
          <w:trHeight w:val="99"/>
        </w:trPr>
        <w:tc>
          <w:tcPr>
            <w:tcW w:w="541" w:type="pct"/>
          </w:tcPr>
          <w:p w:rsidR="00F11F77" w:rsidRPr="00FA2C37" w:rsidRDefault="00F11F77" w:rsidP="006B48C7">
            <w:pPr>
              <w:pStyle w:val="Tablewriting"/>
              <w:rPr>
                <w:rFonts w:eastAsia="MS Mincho"/>
              </w:rPr>
            </w:pPr>
            <w:r w:rsidRPr="00245AD9">
              <w:rPr>
                <w:rFonts w:eastAsia="MS Mincho"/>
              </w:rPr>
              <w:t xml:space="preserve">Rose </w:t>
            </w:r>
            <w:r>
              <w:rPr>
                <w:rFonts w:eastAsia="MS Mincho"/>
              </w:rPr>
              <w:t>(</w:t>
            </w:r>
            <w:r w:rsidRPr="00245AD9">
              <w:rPr>
                <w:rFonts w:eastAsia="MS Mincho"/>
              </w:rPr>
              <w:t>2009</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605471" w:rsidRDefault="00F11F77" w:rsidP="006B48C7">
            <w:pPr>
              <w:tabs>
                <w:tab w:val="left" w:pos="463"/>
              </w:tabs>
              <w:rPr>
                <w:rFonts w:eastAsia="MS Mincho"/>
                <w:lang w:eastAsia="en-US"/>
              </w:rPr>
            </w:pPr>
            <w:r>
              <w:rPr>
                <w:rFonts w:eastAsia="MS Mincho"/>
                <w:lang w:eastAsia="en-US"/>
              </w:rPr>
              <w:t>USA</w:t>
            </w:r>
          </w:p>
        </w:tc>
        <w:tc>
          <w:tcPr>
            <w:tcW w:w="350" w:type="pct"/>
          </w:tcPr>
          <w:p w:rsidR="00F11F77" w:rsidRPr="00017AE6" w:rsidRDefault="00F11F77" w:rsidP="006B48C7">
            <w:pPr>
              <w:pStyle w:val="Tablewriting"/>
              <w:rPr>
                <w:rFonts w:eastAsia="MS Mincho" w:cstheme="minorHAnsi"/>
              </w:rPr>
            </w:pPr>
            <w:r>
              <w:rPr>
                <w:rFonts w:eastAsia="MS Mincho" w:cstheme="minorHAnsi"/>
              </w:rPr>
              <w:t>N=379</w:t>
            </w:r>
          </w:p>
        </w:tc>
        <w:tc>
          <w:tcPr>
            <w:tcW w:w="1168" w:type="pct"/>
          </w:tcPr>
          <w:p w:rsidR="00F11F77" w:rsidRPr="00017AE6" w:rsidRDefault="00F11F77" w:rsidP="006B48C7">
            <w:pPr>
              <w:pStyle w:val="Tablewriting"/>
              <w:rPr>
                <w:rFonts w:eastAsia="MS Mincho" w:cstheme="minorHAnsi"/>
              </w:rPr>
            </w:pPr>
            <w:r>
              <w:rPr>
                <w:rFonts w:eastAsia="MS Mincho" w:cstheme="minorHAnsi"/>
              </w:rPr>
              <w:t>S</w:t>
            </w:r>
            <w:r w:rsidRPr="00605471">
              <w:rPr>
                <w:rFonts w:eastAsia="MS Mincho" w:cstheme="minorHAnsi"/>
              </w:rPr>
              <w:t>mok</w:t>
            </w:r>
            <w:r>
              <w:rPr>
                <w:rFonts w:eastAsia="MS Mincho" w:cstheme="minorHAnsi"/>
              </w:rPr>
              <w:t xml:space="preserve">ers </w:t>
            </w:r>
            <w:r w:rsidRPr="00605471">
              <w:rPr>
                <w:rFonts w:eastAsia="MS Mincho" w:cstheme="minorHAnsi"/>
              </w:rPr>
              <w:t>motivated to quit</w:t>
            </w:r>
            <w:r>
              <w:rPr>
                <w:rFonts w:eastAsia="MS Mincho" w:cstheme="minorHAnsi"/>
              </w:rPr>
              <w:t xml:space="preserve"> (</w:t>
            </w:r>
            <w:r w:rsidRPr="00605471">
              <w:rPr>
                <w:rFonts w:eastAsia="MS Mincho" w:cstheme="minorHAnsi"/>
              </w:rPr>
              <w:t xml:space="preserve">&gt; 15 </w:t>
            </w:r>
            <w:r>
              <w:rPr>
                <w:rFonts w:eastAsia="MS Mincho" w:cstheme="minorHAnsi"/>
              </w:rPr>
              <w:t>CPD</w:t>
            </w:r>
            <w:r w:rsidRPr="00605471">
              <w:rPr>
                <w:rFonts w:eastAsia="MS Mincho" w:cstheme="minorHAnsi"/>
              </w:rPr>
              <w:t xml:space="preserve"> for</w:t>
            </w:r>
            <w:r>
              <w:rPr>
                <w:rFonts w:eastAsia="MS Mincho" w:cstheme="minorHAnsi"/>
              </w:rPr>
              <w:t xml:space="preserve"> </w:t>
            </w:r>
            <w:r w:rsidRPr="00E632A9">
              <w:rPr>
                <w:rFonts w:eastAsia="MS Mincho" w:cstheme="minorHAnsi"/>
              </w:rPr>
              <w:t>≥</w:t>
            </w:r>
            <w:r w:rsidRPr="00605471">
              <w:rPr>
                <w:rFonts w:eastAsia="MS Mincho" w:cstheme="minorHAnsi"/>
              </w:rPr>
              <w:t>3 y</w:t>
            </w:r>
            <w:r>
              <w:rPr>
                <w:rFonts w:eastAsia="MS Mincho" w:cstheme="minorHAnsi"/>
              </w:rPr>
              <w:t>ea</w:t>
            </w:r>
            <w:r w:rsidRPr="00605471">
              <w:rPr>
                <w:rFonts w:eastAsia="MS Mincho" w:cstheme="minorHAnsi"/>
              </w:rPr>
              <w:t>rs</w:t>
            </w:r>
            <w:r>
              <w:rPr>
                <w:rFonts w:eastAsia="MS Mincho" w:cstheme="minorHAnsi"/>
              </w:rPr>
              <w:t xml:space="preserve">), </w:t>
            </w:r>
            <w:r w:rsidRPr="00605471">
              <w:rPr>
                <w:rFonts w:eastAsia="MS Mincho" w:cstheme="minorHAnsi"/>
              </w:rPr>
              <w:t>43% men, av</w:t>
            </w:r>
            <w:r>
              <w:rPr>
                <w:rFonts w:eastAsia="MS Mincho" w:cstheme="minorHAnsi"/>
              </w:rPr>
              <w:t>erage</w:t>
            </w:r>
            <w:r w:rsidRPr="00605471">
              <w:rPr>
                <w:rFonts w:eastAsia="MS Mincho" w:cstheme="minorHAnsi"/>
              </w:rPr>
              <w:t xml:space="preserve"> age 42</w:t>
            </w:r>
            <w:r>
              <w:rPr>
                <w:rFonts w:eastAsia="MS Mincho" w:cstheme="minorHAnsi"/>
              </w:rPr>
              <w:t xml:space="preserve"> years</w:t>
            </w:r>
            <w:r w:rsidRPr="00605471">
              <w:rPr>
                <w:rFonts w:eastAsia="MS Mincho" w:cstheme="minorHAnsi"/>
              </w:rPr>
              <w:t>, av</w:t>
            </w:r>
            <w:r>
              <w:rPr>
                <w:rFonts w:eastAsia="MS Mincho" w:cstheme="minorHAnsi"/>
              </w:rPr>
              <w:t>erage CPD</w:t>
            </w:r>
            <w:r w:rsidRPr="00605471">
              <w:rPr>
                <w:rFonts w:eastAsia="MS Mincho" w:cstheme="minorHAnsi"/>
              </w:rPr>
              <w:t xml:space="preserve"> 23, av</w:t>
            </w:r>
            <w:r>
              <w:rPr>
                <w:rFonts w:eastAsia="MS Mincho" w:cstheme="minorHAnsi"/>
              </w:rPr>
              <w:t xml:space="preserve">erage </w:t>
            </w:r>
            <w:r w:rsidRPr="00605471">
              <w:rPr>
                <w:rFonts w:eastAsia="MS Mincho" w:cstheme="minorHAnsi"/>
              </w:rPr>
              <w:t>FTND 6</w:t>
            </w:r>
            <w:r>
              <w:rPr>
                <w:rFonts w:eastAsia="MS Mincho" w:cstheme="minorHAnsi"/>
              </w:rPr>
              <w:t>.</w:t>
            </w:r>
          </w:p>
        </w:tc>
        <w:tc>
          <w:tcPr>
            <w:tcW w:w="1288" w:type="pct"/>
          </w:tcPr>
          <w:p w:rsidR="00F11F77" w:rsidRPr="002F4FD7" w:rsidRDefault="00F11F77" w:rsidP="00C324F3">
            <w:pPr>
              <w:pStyle w:val="ListParagraph"/>
              <w:numPr>
                <w:ilvl w:val="0"/>
                <w:numId w:val="217"/>
              </w:numPr>
              <w:rPr>
                <w:rFonts w:eastAsia="MS Mincho"/>
                <w:lang w:eastAsia="en-US"/>
              </w:rPr>
            </w:pPr>
            <w:r w:rsidRPr="002F4FD7">
              <w:rPr>
                <w:rFonts w:eastAsia="MS Mincho"/>
                <w:lang w:eastAsia="en-US"/>
              </w:rPr>
              <w:t>Usual brand of cig + 21 mg/24-hour patch for 2 w</w:t>
            </w:r>
            <w:r>
              <w:rPr>
                <w:rFonts w:eastAsia="MS Mincho"/>
                <w:lang w:eastAsia="en-US"/>
              </w:rPr>
              <w:t>ee</w:t>
            </w:r>
            <w:r w:rsidRPr="002F4FD7">
              <w:rPr>
                <w:rFonts w:eastAsia="MS Mincho"/>
                <w:lang w:eastAsia="en-US"/>
              </w:rPr>
              <w:t>ks pre-quit</w:t>
            </w:r>
          </w:p>
          <w:p w:rsidR="00F11F77" w:rsidRPr="002F4FD7" w:rsidRDefault="00F11F77" w:rsidP="00C324F3">
            <w:pPr>
              <w:pStyle w:val="ListParagraph"/>
              <w:numPr>
                <w:ilvl w:val="0"/>
                <w:numId w:val="217"/>
              </w:numPr>
              <w:rPr>
                <w:rFonts w:eastAsia="MS Mincho"/>
                <w:lang w:eastAsia="en-US"/>
              </w:rPr>
            </w:pPr>
            <w:r w:rsidRPr="002F4FD7">
              <w:rPr>
                <w:rFonts w:eastAsia="MS Mincho"/>
                <w:lang w:eastAsia="en-US"/>
              </w:rPr>
              <w:t>Usual brand of cig</w:t>
            </w:r>
            <w:r>
              <w:rPr>
                <w:rFonts w:eastAsia="MS Mincho"/>
                <w:lang w:eastAsia="en-US"/>
              </w:rPr>
              <w:t>arette</w:t>
            </w:r>
            <w:r w:rsidRPr="002F4FD7">
              <w:rPr>
                <w:rFonts w:eastAsia="MS Mincho"/>
                <w:lang w:eastAsia="en-US"/>
              </w:rPr>
              <w:t xml:space="preserve"> + placebo patch for 2 w</w:t>
            </w:r>
            <w:r>
              <w:rPr>
                <w:rFonts w:eastAsia="MS Mincho"/>
                <w:lang w:eastAsia="en-US"/>
              </w:rPr>
              <w:t>ee</w:t>
            </w:r>
            <w:r w:rsidRPr="002F4FD7">
              <w:rPr>
                <w:rFonts w:eastAsia="MS Mincho"/>
                <w:lang w:eastAsia="en-US"/>
              </w:rPr>
              <w:t>ks pre-quit</w:t>
            </w:r>
          </w:p>
          <w:p w:rsidR="00F11F77" w:rsidRPr="002F4FD7" w:rsidRDefault="00F11F77" w:rsidP="00C324F3">
            <w:pPr>
              <w:pStyle w:val="ListParagraph"/>
              <w:numPr>
                <w:ilvl w:val="0"/>
                <w:numId w:val="217"/>
              </w:numPr>
              <w:rPr>
                <w:rFonts w:eastAsia="MS Mincho"/>
                <w:lang w:eastAsia="en-US"/>
              </w:rPr>
            </w:pPr>
            <w:r w:rsidRPr="002F4FD7">
              <w:rPr>
                <w:rFonts w:eastAsia="MS Mincho"/>
                <w:lang w:eastAsia="en-US"/>
              </w:rPr>
              <w:t>Low tar and nic</w:t>
            </w:r>
            <w:r>
              <w:rPr>
                <w:rFonts w:eastAsia="MS Mincho"/>
                <w:lang w:eastAsia="en-US"/>
              </w:rPr>
              <w:t>otine</w:t>
            </w:r>
            <w:r w:rsidRPr="002F4FD7">
              <w:rPr>
                <w:rFonts w:eastAsia="MS Mincho"/>
                <w:lang w:eastAsia="en-US"/>
              </w:rPr>
              <w:t xml:space="preserve"> cig</w:t>
            </w:r>
            <w:r>
              <w:rPr>
                <w:rFonts w:eastAsia="MS Mincho"/>
                <w:lang w:eastAsia="en-US"/>
              </w:rPr>
              <w:t>arette</w:t>
            </w:r>
            <w:r w:rsidRPr="002F4FD7">
              <w:rPr>
                <w:rFonts w:eastAsia="MS Mincho"/>
                <w:lang w:eastAsia="en-US"/>
              </w:rPr>
              <w:t xml:space="preserve"> + 21 mg/24-hour patch for 2 w</w:t>
            </w:r>
            <w:r>
              <w:rPr>
                <w:rFonts w:eastAsia="MS Mincho"/>
                <w:lang w:eastAsia="en-US"/>
              </w:rPr>
              <w:t>ee</w:t>
            </w:r>
            <w:r w:rsidRPr="002F4FD7">
              <w:rPr>
                <w:rFonts w:eastAsia="MS Mincho"/>
                <w:lang w:eastAsia="en-US"/>
              </w:rPr>
              <w:t>ks pre-quit</w:t>
            </w:r>
          </w:p>
          <w:p w:rsidR="00F11F77" w:rsidRPr="002F4FD7" w:rsidRDefault="00F11F77" w:rsidP="00C324F3">
            <w:pPr>
              <w:pStyle w:val="ListParagraph"/>
              <w:numPr>
                <w:ilvl w:val="0"/>
                <w:numId w:val="217"/>
              </w:numPr>
              <w:rPr>
                <w:rFonts w:eastAsia="MS Mincho"/>
                <w:lang w:eastAsia="en-US"/>
              </w:rPr>
            </w:pPr>
            <w:r w:rsidRPr="002F4FD7">
              <w:rPr>
                <w:rFonts w:eastAsia="MS Mincho"/>
                <w:lang w:eastAsia="en-US"/>
              </w:rPr>
              <w:t>Low tar and nic</w:t>
            </w:r>
            <w:r>
              <w:rPr>
                <w:rFonts w:eastAsia="MS Mincho"/>
                <w:lang w:eastAsia="en-US"/>
              </w:rPr>
              <w:t>otine</w:t>
            </w:r>
            <w:r w:rsidRPr="002F4FD7">
              <w:rPr>
                <w:rFonts w:eastAsia="MS Mincho"/>
                <w:lang w:eastAsia="en-US"/>
              </w:rPr>
              <w:t xml:space="preserve"> cig</w:t>
            </w:r>
            <w:r>
              <w:rPr>
                <w:rFonts w:eastAsia="MS Mincho"/>
                <w:lang w:eastAsia="en-US"/>
              </w:rPr>
              <w:t>arette</w:t>
            </w:r>
            <w:r w:rsidRPr="002F4FD7">
              <w:rPr>
                <w:rFonts w:eastAsia="MS Mincho"/>
                <w:lang w:eastAsia="en-US"/>
              </w:rPr>
              <w:t xml:space="preserve"> + placebo patch for 2 w</w:t>
            </w:r>
            <w:r>
              <w:rPr>
                <w:rFonts w:eastAsia="MS Mincho"/>
                <w:lang w:eastAsia="en-US"/>
              </w:rPr>
              <w:t>ee</w:t>
            </w:r>
            <w:r w:rsidRPr="002F4FD7">
              <w:rPr>
                <w:rFonts w:eastAsia="MS Mincho"/>
                <w:lang w:eastAsia="en-US"/>
              </w:rPr>
              <w:t>ks pre-quit</w:t>
            </w:r>
          </w:p>
          <w:p w:rsidR="00F11F77" w:rsidRDefault="00F11F77" w:rsidP="006B48C7">
            <w:pPr>
              <w:rPr>
                <w:rFonts w:eastAsia="MS Mincho"/>
                <w:lang w:eastAsia="en-US"/>
              </w:rPr>
            </w:pPr>
          </w:p>
          <w:p w:rsidR="00F11F77" w:rsidRPr="005023DC" w:rsidRDefault="00F11F77" w:rsidP="006B48C7">
            <w:pPr>
              <w:rPr>
                <w:rFonts w:eastAsia="MS Mincho"/>
                <w:lang w:eastAsia="en-US"/>
              </w:rPr>
            </w:pPr>
            <w:r w:rsidRPr="007F73F2">
              <w:rPr>
                <w:rFonts w:eastAsia="MS Mincho"/>
                <w:u w:val="single"/>
                <w:lang w:eastAsia="en-US"/>
              </w:rPr>
              <w:t>Common component</w:t>
            </w:r>
            <w:r>
              <w:rPr>
                <w:rFonts w:eastAsia="MS Mincho"/>
                <w:u w:val="single"/>
                <w:lang w:eastAsia="en-US"/>
              </w:rPr>
              <w:t xml:space="preserve">: </w:t>
            </w:r>
            <w:r w:rsidRPr="005023DC">
              <w:rPr>
                <w:rFonts w:eastAsia="MS Mincho"/>
                <w:lang w:eastAsia="en-US"/>
              </w:rPr>
              <w:t>All groups received same treatment post-quit: 6 w</w:t>
            </w:r>
            <w:r>
              <w:rPr>
                <w:rFonts w:eastAsia="MS Mincho"/>
                <w:lang w:eastAsia="en-US"/>
              </w:rPr>
              <w:t>ee</w:t>
            </w:r>
            <w:r w:rsidRPr="005023DC">
              <w:rPr>
                <w:rFonts w:eastAsia="MS Mincho"/>
                <w:lang w:eastAsia="en-US"/>
              </w:rPr>
              <w:t>ks 21 mg/24-hour, following 2 w</w:t>
            </w:r>
            <w:r>
              <w:rPr>
                <w:rFonts w:eastAsia="MS Mincho"/>
                <w:lang w:eastAsia="en-US"/>
              </w:rPr>
              <w:t>ee</w:t>
            </w:r>
            <w:r w:rsidRPr="005023DC">
              <w:rPr>
                <w:rFonts w:eastAsia="MS Mincho"/>
                <w:lang w:eastAsia="en-US"/>
              </w:rPr>
              <w:t>ks 14 mg/24-hour, remaining</w:t>
            </w:r>
            <w:r>
              <w:rPr>
                <w:rFonts w:eastAsia="MS Mincho"/>
                <w:lang w:eastAsia="en-US"/>
              </w:rPr>
              <w:t xml:space="preserve"> </w:t>
            </w:r>
            <w:r w:rsidRPr="005023DC">
              <w:rPr>
                <w:rFonts w:eastAsia="MS Mincho"/>
                <w:lang w:eastAsia="en-US"/>
              </w:rPr>
              <w:t>2 w</w:t>
            </w:r>
            <w:r>
              <w:rPr>
                <w:rFonts w:eastAsia="MS Mincho"/>
                <w:lang w:eastAsia="en-US"/>
              </w:rPr>
              <w:t>ee</w:t>
            </w:r>
            <w:r w:rsidRPr="005023DC">
              <w:rPr>
                <w:rFonts w:eastAsia="MS Mincho"/>
                <w:lang w:eastAsia="en-US"/>
              </w:rPr>
              <w:t>ks 7 mg/24-hour</w:t>
            </w:r>
            <w:r>
              <w:rPr>
                <w:rFonts w:eastAsia="MS Mincho"/>
                <w:lang w:eastAsia="en-US"/>
              </w:rPr>
              <w:t>.</w:t>
            </w:r>
          </w:p>
        </w:tc>
        <w:tc>
          <w:tcPr>
            <w:tcW w:w="1000" w:type="pct"/>
          </w:tcPr>
          <w:p w:rsidR="00F11F77" w:rsidRPr="004162E4"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w:t>
            </w:r>
            <w:r w:rsidRPr="004162E4">
              <w:rPr>
                <w:rFonts w:eastAsia="MS Mincho" w:cstheme="minorBidi"/>
              </w:rPr>
              <w:t>Continuous abstinence at 6 m</w:t>
            </w:r>
            <w:r>
              <w:rPr>
                <w:rFonts w:eastAsia="MS Mincho" w:cstheme="minorBidi"/>
              </w:rPr>
              <w:t xml:space="preserve">onths. </w:t>
            </w:r>
          </w:p>
          <w:p w:rsidR="00F11F77" w:rsidRPr="004162E4" w:rsidRDefault="00F11F77" w:rsidP="006B48C7">
            <w:pPr>
              <w:pStyle w:val="Tablewriting"/>
              <w:rPr>
                <w:rFonts w:eastAsia="MS Mincho" w:cstheme="minorBidi"/>
              </w:rPr>
            </w:pPr>
            <w:r w:rsidRPr="004162E4">
              <w:rPr>
                <w:rFonts w:eastAsia="MS Mincho" w:cstheme="minorBidi"/>
              </w:rPr>
              <w:t xml:space="preserve">Validation: CO </w:t>
            </w:r>
            <w:r w:rsidRPr="007F73F2">
              <w:rPr>
                <w:rFonts w:eastAsia="MS Mincho" w:cstheme="minorBidi"/>
              </w:rPr>
              <w:t>≤</w:t>
            </w:r>
            <w:r w:rsidRPr="004162E4">
              <w:rPr>
                <w:rFonts w:eastAsia="MS Mincho" w:cstheme="minorBidi"/>
              </w:rPr>
              <w:t>8 ppm</w:t>
            </w:r>
            <w:r>
              <w:rPr>
                <w:rFonts w:eastAsia="MS Mincho" w:cstheme="minorBidi"/>
              </w:rPr>
              <w:t>.</w:t>
            </w:r>
          </w:p>
          <w:p w:rsidR="00F11F77" w:rsidRDefault="00F11F77" w:rsidP="006B48C7">
            <w:pPr>
              <w:pStyle w:val="Tablewriting"/>
              <w:rPr>
                <w:rFonts w:eastAsia="MS Mincho" w:cstheme="minorBidi"/>
              </w:rPr>
            </w:pPr>
          </w:p>
          <w:p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w:t>
            </w:r>
            <w:r w:rsidRPr="004162E4">
              <w:rPr>
                <w:rFonts w:eastAsia="MS Mincho" w:cstheme="minorBidi"/>
              </w:rPr>
              <w:t>Adverse events</w:t>
            </w:r>
            <w:r>
              <w:rPr>
                <w:rFonts w:eastAsia="MS Mincho" w:cstheme="minorBidi"/>
              </w:rPr>
              <w:t xml:space="preserve"> </w:t>
            </w:r>
            <w:r w:rsidRPr="004162E4">
              <w:rPr>
                <w:rFonts w:eastAsia="MS Mincho" w:cstheme="minorBidi"/>
              </w:rPr>
              <w:t>not measured</w:t>
            </w:r>
            <w:r>
              <w:rPr>
                <w:rFonts w:eastAsia="MS Mincho" w:cstheme="minorBidi"/>
              </w:rPr>
              <w:t>.</w:t>
            </w:r>
          </w:p>
        </w:tc>
      </w:tr>
      <w:tr w:rsidR="00F11F77" w:rsidRPr="00017AE6" w:rsidTr="00486A67">
        <w:trPr>
          <w:trHeight w:val="99"/>
        </w:trPr>
        <w:tc>
          <w:tcPr>
            <w:tcW w:w="541" w:type="pct"/>
          </w:tcPr>
          <w:p w:rsidR="00F11F77" w:rsidRPr="00245AD9" w:rsidRDefault="00F11F77" w:rsidP="006B48C7">
            <w:pPr>
              <w:pStyle w:val="Tablewriting"/>
              <w:rPr>
                <w:rFonts w:eastAsia="MS Mincho"/>
              </w:rPr>
            </w:pPr>
            <w:r w:rsidRPr="00245AD9">
              <w:rPr>
                <w:rFonts w:eastAsia="MS Mincho"/>
              </w:rPr>
              <w:t xml:space="preserve">Schuurmans </w:t>
            </w:r>
            <w:r>
              <w:rPr>
                <w:rFonts w:eastAsia="MS Mincho"/>
              </w:rPr>
              <w:t>(</w:t>
            </w:r>
            <w:r w:rsidRPr="00245AD9">
              <w:rPr>
                <w:rFonts w:eastAsia="MS Mincho"/>
              </w:rPr>
              <w:t>2004</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sidRPr="0037629C">
              <w:rPr>
                <w:rFonts w:eastAsia="MS Mincho" w:cstheme="minorHAnsi"/>
              </w:rPr>
              <w:t>South Africa</w:t>
            </w:r>
          </w:p>
        </w:tc>
        <w:tc>
          <w:tcPr>
            <w:tcW w:w="350" w:type="pct"/>
          </w:tcPr>
          <w:p w:rsidR="00F11F77" w:rsidRPr="00017AE6" w:rsidRDefault="00F11F77" w:rsidP="006B48C7">
            <w:pPr>
              <w:pStyle w:val="Tablewriting"/>
              <w:rPr>
                <w:rFonts w:eastAsia="MS Mincho" w:cstheme="minorHAnsi"/>
              </w:rPr>
            </w:pPr>
            <w:r>
              <w:rPr>
                <w:rFonts w:eastAsia="MS Mincho" w:cstheme="minorHAnsi"/>
              </w:rPr>
              <w:t>N=200</w:t>
            </w:r>
          </w:p>
        </w:tc>
        <w:tc>
          <w:tcPr>
            <w:tcW w:w="1168" w:type="pct"/>
          </w:tcPr>
          <w:p w:rsidR="00F11F77" w:rsidRPr="00017AE6" w:rsidRDefault="00F11F77" w:rsidP="006B48C7">
            <w:pPr>
              <w:pStyle w:val="Tablewriting"/>
              <w:rPr>
                <w:rFonts w:eastAsia="MS Mincho" w:cstheme="minorHAnsi"/>
              </w:rPr>
            </w:pPr>
            <w:r>
              <w:rPr>
                <w:rFonts w:eastAsia="MS Mincho" w:cstheme="minorHAnsi"/>
              </w:rPr>
              <w:t>S</w:t>
            </w:r>
            <w:r w:rsidRPr="0037629C">
              <w:rPr>
                <w:rFonts w:eastAsia="MS Mincho" w:cstheme="minorHAnsi"/>
              </w:rPr>
              <w:t>mokers</w:t>
            </w:r>
            <w:r>
              <w:rPr>
                <w:rFonts w:eastAsia="MS Mincho" w:cstheme="minorHAnsi"/>
              </w:rPr>
              <w:t xml:space="preserve">, </w:t>
            </w:r>
            <w:r w:rsidRPr="0037629C">
              <w:rPr>
                <w:rFonts w:eastAsia="MS Mincho" w:cstheme="minorHAnsi"/>
              </w:rPr>
              <w:t>56% men, av</w:t>
            </w:r>
            <w:r>
              <w:rPr>
                <w:rFonts w:eastAsia="MS Mincho" w:cstheme="minorHAnsi"/>
              </w:rPr>
              <w:t>erage</w:t>
            </w:r>
            <w:r w:rsidRPr="0037629C">
              <w:rPr>
                <w:rFonts w:eastAsia="MS Mincho" w:cstheme="minorHAnsi"/>
              </w:rPr>
              <w:t xml:space="preserve"> age 43</w:t>
            </w:r>
            <w:r>
              <w:rPr>
                <w:rFonts w:eastAsia="MS Mincho" w:cstheme="minorHAnsi"/>
              </w:rPr>
              <w:t xml:space="preserve"> years</w:t>
            </w:r>
            <w:r w:rsidRPr="0037629C">
              <w:rPr>
                <w:rFonts w:eastAsia="MS Mincho" w:cstheme="minorHAnsi"/>
              </w:rPr>
              <w:t>, av</w:t>
            </w:r>
            <w:r>
              <w:rPr>
                <w:rFonts w:eastAsia="MS Mincho" w:cstheme="minorHAnsi"/>
              </w:rPr>
              <w:t>erage CPD</w:t>
            </w:r>
            <w:r w:rsidRPr="0037629C">
              <w:rPr>
                <w:rFonts w:eastAsia="MS Mincho" w:cstheme="minorHAnsi"/>
              </w:rPr>
              <w:t xml:space="preserve"> 23 </w:t>
            </w:r>
            <w:r>
              <w:rPr>
                <w:rFonts w:eastAsia="MS Mincho" w:cstheme="minorHAnsi"/>
              </w:rPr>
              <w:t>–</w:t>
            </w:r>
            <w:r w:rsidRPr="0037629C">
              <w:rPr>
                <w:rFonts w:eastAsia="MS Mincho" w:cstheme="minorHAnsi"/>
              </w:rPr>
              <w:t xml:space="preserve"> 26</w:t>
            </w:r>
            <w:r>
              <w:rPr>
                <w:rFonts w:eastAsia="MS Mincho" w:cstheme="minorHAnsi"/>
              </w:rPr>
              <w:t xml:space="preserve">. </w:t>
            </w:r>
          </w:p>
        </w:tc>
        <w:tc>
          <w:tcPr>
            <w:tcW w:w="1288" w:type="pct"/>
          </w:tcPr>
          <w:p w:rsidR="00F11F77" w:rsidRPr="0037629C" w:rsidRDefault="00F11F77" w:rsidP="00C324F3">
            <w:pPr>
              <w:pStyle w:val="ListParagraph"/>
              <w:numPr>
                <w:ilvl w:val="0"/>
                <w:numId w:val="218"/>
              </w:numPr>
              <w:rPr>
                <w:rFonts w:eastAsia="MS Mincho"/>
                <w:lang w:eastAsia="en-US"/>
              </w:rPr>
            </w:pPr>
            <w:r w:rsidRPr="0037629C">
              <w:rPr>
                <w:rFonts w:eastAsia="MS Mincho"/>
                <w:lang w:eastAsia="en-US"/>
              </w:rPr>
              <w:t>Pre-treatment with nicotine patch for 2 weeks prior to quit date. Then active patch (15 mg) for 12 weeks including</w:t>
            </w:r>
            <w:r>
              <w:rPr>
                <w:rFonts w:eastAsia="MS Mincho"/>
                <w:lang w:eastAsia="en-US"/>
              </w:rPr>
              <w:t xml:space="preserve"> </w:t>
            </w:r>
            <w:r w:rsidRPr="0037629C">
              <w:rPr>
                <w:rFonts w:eastAsia="MS Mincho"/>
                <w:lang w:eastAsia="en-US"/>
              </w:rPr>
              <w:lastRenderedPageBreak/>
              <w:t>weaning. 4 sessions of counselling over 10 weeks</w:t>
            </w:r>
          </w:p>
          <w:p w:rsidR="00F11F77" w:rsidRPr="0037629C" w:rsidRDefault="00F11F77" w:rsidP="00C324F3">
            <w:pPr>
              <w:pStyle w:val="ListParagraph"/>
              <w:numPr>
                <w:ilvl w:val="0"/>
                <w:numId w:val="218"/>
              </w:numPr>
              <w:rPr>
                <w:rFonts w:eastAsia="MS Mincho"/>
                <w:lang w:eastAsia="en-US"/>
              </w:rPr>
            </w:pPr>
            <w:r w:rsidRPr="0037629C">
              <w:rPr>
                <w:rFonts w:eastAsia="MS Mincho"/>
                <w:lang w:eastAsia="en-US"/>
              </w:rPr>
              <w:t xml:space="preserve">Pre-treatment with placebo patch. Then active patch as </w:t>
            </w:r>
            <w:r>
              <w:rPr>
                <w:rFonts w:eastAsia="MS Mincho"/>
                <w:lang w:eastAsia="en-US"/>
              </w:rPr>
              <w:t xml:space="preserve">above. </w:t>
            </w:r>
          </w:p>
        </w:tc>
        <w:tc>
          <w:tcPr>
            <w:tcW w:w="1000" w:type="pct"/>
          </w:tcPr>
          <w:p w:rsidR="00F11F77" w:rsidRPr="00CE409C" w:rsidRDefault="00F11F77" w:rsidP="006B48C7">
            <w:pPr>
              <w:pStyle w:val="Tablewriting"/>
              <w:rPr>
                <w:rFonts w:eastAsia="MS Mincho" w:cstheme="minorBidi"/>
              </w:rPr>
            </w:pPr>
            <w:r w:rsidRPr="006934BD">
              <w:rPr>
                <w:rFonts w:eastAsia="MS Mincho" w:cstheme="minorBidi"/>
                <w:u w:val="single"/>
              </w:rPr>
              <w:lastRenderedPageBreak/>
              <w:t>Efficacy</w:t>
            </w:r>
            <w:r>
              <w:rPr>
                <w:rFonts w:eastAsia="MS Mincho" w:cstheme="minorBidi"/>
              </w:rPr>
              <w:t xml:space="preserve">: </w:t>
            </w:r>
            <w:r w:rsidRPr="00CE409C">
              <w:rPr>
                <w:rFonts w:eastAsia="MS Mincho" w:cstheme="minorBidi"/>
              </w:rPr>
              <w:t>Sustained abstinence at 6 m</w:t>
            </w:r>
            <w:r>
              <w:rPr>
                <w:rFonts w:eastAsia="MS Mincho" w:cstheme="minorBidi"/>
              </w:rPr>
              <w:t>onths.</w:t>
            </w:r>
          </w:p>
          <w:p w:rsidR="00F11F77" w:rsidRPr="00CE409C" w:rsidRDefault="00F11F77" w:rsidP="006B48C7">
            <w:pPr>
              <w:pStyle w:val="Tablewriting"/>
              <w:rPr>
                <w:rFonts w:eastAsia="MS Mincho" w:cstheme="minorBidi"/>
              </w:rPr>
            </w:pPr>
            <w:r w:rsidRPr="00CE409C">
              <w:rPr>
                <w:rFonts w:eastAsia="MS Mincho" w:cstheme="minorBidi"/>
              </w:rPr>
              <w:t>Validation: CO &lt; 10 ppm at each visit</w:t>
            </w:r>
            <w:r>
              <w:rPr>
                <w:rFonts w:eastAsia="MS Mincho" w:cstheme="minorBidi"/>
              </w:rPr>
              <w:t>.</w:t>
            </w:r>
          </w:p>
          <w:p w:rsidR="00F11F77" w:rsidRDefault="00F11F77" w:rsidP="006B48C7">
            <w:pPr>
              <w:pStyle w:val="Tablewriting"/>
              <w:rPr>
                <w:rFonts w:eastAsia="MS Mincho" w:cstheme="minorBidi"/>
              </w:rPr>
            </w:pPr>
          </w:p>
          <w:p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w:t>
            </w:r>
            <w:r w:rsidRPr="00CE409C">
              <w:rPr>
                <w:rFonts w:eastAsia="MS Mincho" w:cstheme="minorBidi"/>
              </w:rPr>
              <w:t>Adverse events</w:t>
            </w:r>
            <w:r>
              <w:rPr>
                <w:rFonts w:eastAsia="MS Mincho" w:cstheme="minorBidi"/>
              </w:rPr>
              <w:t xml:space="preserve"> </w:t>
            </w:r>
            <w:r w:rsidRPr="00CE409C">
              <w:rPr>
                <w:rFonts w:eastAsia="MS Mincho" w:cstheme="minorBidi"/>
              </w:rPr>
              <w:t>measured at all follow-up visits to 6 months (treatment duration 12 weeks)</w:t>
            </w:r>
            <w:r>
              <w:rPr>
                <w:rFonts w:eastAsia="MS Mincho" w:cstheme="minorBidi"/>
              </w:rPr>
              <w:t>.</w:t>
            </w:r>
          </w:p>
        </w:tc>
      </w:tr>
      <w:tr w:rsidR="00F11F77" w:rsidRPr="00017AE6" w:rsidTr="00486A67">
        <w:trPr>
          <w:trHeight w:val="99"/>
        </w:trPr>
        <w:tc>
          <w:tcPr>
            <w:tcW w:w="5000" w:type="pct"/>
            <w:gridSpan w:val="7"/>
            <w:shd w:val="clear" w:color="auto" w:fill="D9D9D9" w:themeFill="background1" w:themeFillShade="D9"/>
          </w:tcPr>
          <w:p w:rsidR="00F11F77" w:rsidRPr="00DF6446" w:rsidRDefault="00F11F77" w:rsidP="006B48C7">
            <w:pPr>
              <w:pStyle w:val="Caption"/>
            </w:pPr>
            <w:r>
              <w:lastRenderedPageBreak/>
              <w:t>R</w:t>
            </w:r>
            <w:r w:rsidRPr="00497D03">
              <w:t>eduction with pharmacotherapy versus reduction alone</w:t>
            </w:r>
          </w:p>
        </w:tc>
      </w:tr>
      <w:tr w:rsidR="00F11F77" w:rsidRPr="00017AE6" w:rsidTr="00486A67">
        <w:trPr>
          <w:trHeight w:val="99"/>
        </w:trPr>
        <w:tc>
          <w:tcPr>
            <w:tcW w:w="541" w:type="pct"/>
          </w:tcPr>
          <w:p w:rsidR="00F11F77" w:rsidRPr="00245AD9" w:rsidRDefault="00F11F77" w:rsidP="006B48C7">
            <w:pPr>
              <w:pStyle w:val="Tablewriting"/>
              <w:rPr>
                <w:rFonts w:eastAsia="MS Mincho"/>
              </w:rPr>
            </w:pPr>
            <w:r w:rsidRPr="00121B29">
              <w:rPr>
                <w:rFonts w:eastAsia="MS Mincho"/>
              </w:rPr>
              <w:t xml:space="preserve">Caldwell </w:t>
            </w:r>
            <w:r>
              <w:rPr>
                <w:rFonts w:eastAsia="MS Mincho"/>
              </w:rPr>
              <w:t>(</w:t>
            </w:r>
            <w:r w:rsidRPr="00121B29">
              <w:rPr>
                <w:rFonts w:eastAsia="MS Mincho"/>
              </w:rPr>
              <w:t>2016</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New Zealand</w:t>
            </w:r>
          </w:p>
        </w:tc>
        <w:tc>
          <w:tcPr>
            <w:tcW w:w="350" w:type="pct"/>
          </w:tcPr>
          <w:p w:rsidR="00F11F77" w:rsidRPr="00017AE6" w:rsidRDefault="00F11F77" w:rsidP="006B48C7">
            <w:pPr>
              <w:pStyle w:val="Tablewriting"/>
              <w:rPr>
                <w:rFonts w:eastAsia="MS Mincho" w:cstheme="minorHAnsi"/>
              </w:rPr>
            </w:pPr>
            <w:r>
              <w:rPr>
                <w:rFonts w:eastAsia="MS Mincho" w:cstheme="minorHAnsi"/>
              </w:rPr>
              <w:t>N=502</w:t>
            </w:r>
          </w:p>
        </w:tc>
        <w:tc>
          <w:tcPr>
            <w:tcW w:w="1168" w:type="pct"/>
          </w:tcPr>
          <w:p w:rsidR="00F11F77" w:rsidRPr="00017AE6" w:rsidRDefault="00F11F77" w:rsidP="006B48C7">
            <w:pPr>
              <w:pStyle w:val="Tablewriting"/>
              <w:rPr>
                <w:rFonts w:eastAsia="MS Mincho" w:cstheme="minorHAnsi"/>
              </w:rPr>
            </w:pPr>
            <w:r w:rsidRPr="00590EBB">
              <w:rPr>
                <w:rFonts w:eastAsia="MS Mincho" w:cstheme="minorHAnsi"/>
              </w:rPr>
              <w:t>51%</w:t>
            </w:r>
            <w:r>
              <w:rPr>
                <w:rFonts w:eastAsia="MS Mincho" w:cstheme="minorHAnsi"/>
              </w:rPr>
              <w:t xml:space="preserve"> </w:t>
            </w:r>
            <w:r w:rsidRPr="00590EBB">
              <w:rPr>
                <w:rFonts w:eastAsia="MS Mincho" w:cstheme="minorHAnsi"/>
              </w:rPr>
              <w:t>female</w:t>
            </w:r>
            <w:r>
              <w:rPr>
                <w:rFonts w:eastAsia="MS Mincho" w:cstheme="minorHAnsi"/>
              </w:rPr>
              <w:t>,</w:t>
            </w:r>
            <w:r w:rsidRPr="00590EBB">
              <w:rPr>
                <w:rFonts w:eastAsia="MS Mincho" w:cstheme="minorHAnsi"/>
              </w:rPr>
              <w:t xml:space="preserve"> average age</w:t>
            </w:r>
            <w:r>
              <w:rPr>
                <w:rFonts w:eastAsia="MS Mincho" w:cstheme="minorHAnsi"/>
              </w:rPr>
              <w:t xml:space="preserve"> </w:t>
            </w:r>
            <w:r w:rsidRPr="00590EBB">
              <w:rPr>
                <w:rFonts w:eastAsia="MS Mincho" w:cstheme="minorHAnsi"/>
              </w:rPr>
              <w:t>45.1 y</w:t>
            </w:r>
            <w:r>
              <w:rPr>
                <w:rFonts w:eastAsia="MS Mincho" w:cstheme="minorHAnsi"/>
              </w:rPr>
              <w:t>ears,</w:t>
            </w:r>
            <w:r w:rsidRPr="00590EBB">
              <w:rPr>
                <w:rFonts w:eastAsia="MS Mincho" w:cstheme="minorHAnsi"/>
              </w:rPr>
              <w:t xml:space="preserve"> average cig</w:t>
            </w:r>
            <w:r>
              <w:rPr>
                <w:rFonts w:eastAsia="MS Mincho" w:cstheme="minorHAnsi"/>
              </w:rPr>
              <w:t>arette</w:t>
            </w:r>
            <w:r w:rsidRPr="00590EBB">
              <w:rPr>
                <w:rFonts w:eastAsia="MS Mincho" w:cstheme="minorHAnsi"/>
              </w:rPr>
              <w:t>/day</w:t>
            </w:r>
            <w:r>
              <w:rPr>
                <w:rFonts w:eastAsia="MS Mincho" w:cstheme="minorHAnsi"/>
              </w:rPr>
              <w:t xml:space="preserve"> </w:t>
            </w:r>
            <w:r w:rsidRPr="00590EBB">
              <w:rPr>
                <w:rFonts w:eastAsia="MS Mincho" w:cstheme="minorHAnsi"/>
              </w:rPr>
              <w:t>19</w:t>
            </w:r>
            <w:r>
              <w:rPr>
                <w:rFonts w:eastAsia="MS Mincho" w:cstheme="minorHAnsi"/>
              </w:rPr>
              <w:t>,</w:t>
            </w:r>
            <w:r w:rsidRPr="00590EBB">
              <w:rPr>
                <w:rFonts w:eastAsia="MS Mincho" w:cstheme="minorHAnsi"/>
              </w:rPr>
              <w:t xml:space="preserve"> nicotine dependence</w:t>
            </w:r>
            <w:r>
              <w:rPr>
                <w:rFonts w:eastAsia="MS Mincho" w:cstheme="minorHAnsi"/>
              </w:rPr>
              <w:t xml:space="preserve"> </w:t>
            </w:r>
            <w:r w:rsidRPr="00590EBB">
              <w:rPr>
                <w:rFonts w:eastAsia="MS Mincho" w:cstheme="minorHAnsi"/>
              </w:rPr>
              <w:t>FTND 6.2</w:t>
            </w:r>
            <w:r>
              <w:rPr>
                <w:rFonts w:eastAsia="MS Mincho" w:cstheme="minorHAnsi"/>
              </w:rPr>
              <w:t>.</w:t>
            </w:r>
          </w:p>
        </w:tc>
        <w:tc>
          <w:tcPr>
            <w:tcW w:w="1288" w:type="pct"/>
          </w:tcPr>
          <w:p w:rsidR="00F11F77" w:rsidRDefault="00F11F77" w:rsidP="00C324F3">
            <w:pPr>
              <w:pStyle w:val="ListParagraph"/>
              <w:numPr>
                <w:ilvl w:val="0"/>
                <w:numId w:val="219"/>
              </w:numPr>
              <w:rPr>
                <w:rFonts w:eastAsia="MS Mincho"/>
                <w:lang w:eastAsia="en-US"/>
              </w:rPr>
            </w:pPr>
            <w:r>
              <w:rPr>
                <w:rFonts w:eastAsia="MS Mincho"/>
                <w:lang w:eastAsia="en-US"/>
              </w:rPr>
              <w:t>S</w:t>
            </w:r>
            <w:r w:rsidRPr="003D4DDD">
              <w:rPr>
                <w:rFonts w:eastAsia="MS Mincho"/>
                <w:lang w:eastAsia="en-US"/>
              </w:rPr>
              <w:t>moking reduction advice + active nicotine inhaler</w:t>
            </w:r>
          </w:p>
          <w:p w:rsidR="00F11F77" w:rsidRDefault="00F11F77" w:rsidP="00C324F3">
            <w:pPr>
              <w:pStyle w:val="ListParagraph"/>
              <w:numPr>
                <w:ilvl w:val="0"/>
                <w:numId w:val="219"/>
              </w:numPr>
              <w:rPr>
                <w:rFonts w:eastAsia="MS Mincho"/>
                <w:lang w:eastAsia="en-US"/>
              </w:rPr>
            </w:pPr>
            <w:r w:rsidRPr="003D4DDD">
              <w:rPr>
                <w:rFonts w:eastAsia="MS Mincho"/>
                <w:lang w:eastAsia="en-US"/>
              </w:rPr>
              <w:t>Smoking reduction advice + placebo nicotine inhaler</w:t>
            </w:r>
          </w:p>
          <w:p w:rsidR="00F11F77" w:rsidRDefault="00F11F77" w:rsidP="006B48C7">
            <w:pPr>
              <w:rPr>
                <w:rFonts w:eastAsia="MS Mincho"/>
                <w:u w:val="single"/>
                <w:lang w:eastAsia="en-US"/>
              </w:rPr>
            </w:pPr>
          </w:p>
          <w:p w:rsidR="00F11F77" w:rsidRPr="003D4DDD" w:rsidRDefault="00F11F77" w:rsidP="006B48C7">
            <w:pPr>
              <w:rPr>
                <w:rFonts w:eastAsia="MS Mincho"/>
                <w:lang w:eastAsia="en-US"/>
              </w:rPr>
            </w:pPr>
            <w:r w:rsidRPr="003D4DDD">
              <w:rPr>
                <w:rFonts w:eastAsia="MS Mincho"/>
                <w:u w:val="single"/>
                <w:lang w:eastAsia="en-US"/>
              </w:rPr>
              <w:t>Common component:</w:t>
            </w:r>
            <w:r>
              <w:rPr>
                <w:rFonts w:eastAsia="MS Mincho"/>
                <w:lang w:eastAsia="en-US"/>
              </w:rPr>
              <w:t xml:space="preserve"> </w:t>
            </w:r>
            <w:r w:rsidRPr="003D4DDD">
              <w:rPr>
                <w:rFonts w:eastAsia="MS Mincho"/>
                <w:lang w:eastAsia="en-US"/>
              </w:rPr>
              <w:t>All participants were advised to reduce their smoking over 4 weeks before quitting completely, and</w:t>
            </w:r>
          </w:p>
          <w:p w:rsidR="00F11F77" w:rsidRPr="003D4DDD" w:rsidRDefault="00F11F77" w:rsidP="006B48C7">
            <w:pPr>
              <w:rPr>
                <w:rFonts w:eastAsia="MS Mincho"/>
                <w:lang w:eastAsia="en-US"/>
              </w:rPr>
            </w:pPr>
            <w:r w:rsidRPr="003D4DDD">
              <w:rPr>
                <w:rFonts w:eastAsia="MS Mincho"/>
                <w:lang w:eastAsia="en-US"/>
              </w:rPr>
              <w:t>used nicotine patches for 5 months after quit day. Participants were set a target quit date of 4 weeks after</w:t>
            </w:r>
            <w:r>
              <w:rPr>
                <w:rFonts w:eastAsia="MS Mincho"/>
                <w:lang w:eastAsia="en-US"/>
              </w:rPr>
              <w:t xml:space="preserve"> </w:t>
            </w:r>
            <w:r w:rsidRPr="003D4DDD">
              <w:rPr>
                <w:rFonts w:eastAsia="MS Mincho"/>
                <w:lang w:eastAsia="en-US"/>
              </w:rPr>
              <w:t>baseline but could quit earlier if they desired</w:t>
            </w:r>
            <w:r>
              <w:rPr>
                <w:rFonts w:eastAsia="MS Mincho"/>
                <w:lang w:eastAsia="en-US"/>
              </w:rPr>
              <w:t>.</w:t>
            </w:r>
          </w:p>
        </w:tc>
        <w:tc>
          <w:tcPr>
            <w:tcW w:w="1000" w:type="pct"/>
          </w:tcPr>
          <w:p w:rsidR="00F11F77" w:rsidRPr="003D4DDD"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Continuous</w:t>
            </w:r>
            <w:r w:rsidRPr="003D4DDD">
              <w:rPr>
                <w:rFonts w:eastAsia="MS Mincho" w:cstheme="minorBidi"/>
              </w:rPr>
              <w:t xml:space="preserve"> abstinence </w:t>
            </w:r>
            <w:r>
              <w:rPr>
                <w:rFonts w:eastAsia="MS Mincho" w:cstheme="minorBidi"/>
              </w:rPr>
              <w:t xml:space="preserve">at </w:t>
            </w:r>
            <w:r w:rsidRPr="003D4DDD">
              <w:rPr>
                <w:rFonts w:eastAsia="MS Mincho" w:cstheme="minorBidi"/>
              </w:rPr>
              <w:t>6 m</w:t>
            </w:r>
            <w:r>
              <w:rPr>
                <w:rFonts w:eastAsia="MS Mincho" w:cstheme="minorBidi"/>
              </w:rPr>
              <w:t>onths.</w:t>
            </w:r>
          </w:p>
          <w:p w:rsidR="00F11F77" w:rsidRDefault="00F11F77" w:rsidP="006B48C7">
            <w:pPr>
              <w:pStyle w:val="Tablewriting"/>
              <w:rPr>
                <w:rFonts w:eastAsia="MS Mincho" w:cstheme="minorBidi"/>
              </w:rPr>
            </w:pPr>
            <w:r w:rsidRPr="003D4DDD">
              <w:rPr>
                <w:rFonts w:eastAsia="MS Mincho" w:cstheme="minorBidi"/>
              </w:rPr>
              <w:t>Biochemical validation: exhaled CO &lt; 10 ppm</w:t>
            </w:r>
            <w:r>
              <w:rPr>
                <w:rFonts w:eastAsia="MS Mincho" w:cstheme="minorBidi"/>
              </w:rPr>
              <w:t>.</w:t>
            </w:r>
          </w:p>
          <w:p w:rsidR="00F11F77" w:rsidRDefault="00F11F77" w:rsidP="006B48C7">
            <w:pPr>
              <w:pStyle w:val="Tablewriting"/>
              <w:rPr>
                <w:rFonts w:eastAsia="MS Mincho" w:cstheme="minorBidi"/>
              </w:rPr>
            </w:pPr>
          </w:p>
          <w:p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NR</w:t>
            </w:r>
          </w:p>
        </w:tc>
      </w:tr>
      <w:tr w:rsidR="00F11F77" w:rsidRPr="00017AE6" w:rsidTr="00486A67">
        <w:trPr>
          <w:trHeight w:val="99"/>
        </w:trPr>
        <w:tc>
          <w:tcPr>
            <w:tcW w:w="541" w:type="pct"/>
          </w:tcPr>
          <w:p w:rsidR="00F11F77" w:rsidRPr="00245AD9" w:rsidRDefault="00F11F77" w:rsidP="006B48C7">
            <w:pPr>
              <w:pStyle w:val="Tablewriting"/>
              <w:rPr>
                <w:rFonts w:eastAsia="MS Mincho"/>
              </w:rPr>
            </w:pPr>
            <w:r w:rsidRPr="00121B29">
              <w:rPr>
                <w:rFonts w:eastAsia="MS Mincho"/>
              </w:rPr>
              <w:t xml:space="preserve">Cook </w:t>
            </w:r>
            <w:r>
              <w:rPr>
                <w:rFonts w:eastAsia="MS Mincho"/>
              </w:rPr>
              <w:t>(</w:t>
            </w:r>
            <w:r w:rsidRPr="00121B29">
              <w:rPr>
                <w:rFonts w:eastAsia="MS Mincho"/>
              </w:rPr>
              <w:t>2016</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USA</w:t>
            </w:r>
          </w:p>
        </w:tc>
        <w:tc>
          <w:tcPr>
            <w:tcW w:w="350" w:type="pct"/>
          </w:tcPr>
          <w:p w:rsidR="00F11F77" w:rsidRPr="00017AE6" w:rsidRDefault="00F11F77" w:rsidP="006B48C7">
            <w:pPr>
              <w:pStyle w:val="Tablewriting"/>
              <w:rPr>
                <w:rFonts w:eastAsia="MS Mincho" w:cstheme="minorHAnsi"/>
              </w:rPr>
            </w:pPr>
            <w:r>
              <w:rPr>
                <w:rFonts w:eastAsia="MS Mincho" w:cstheme="minorHAnsi"/>
              </w:rPr>
              <w:t>N=517</w:t>
            </w:r>
          </w:p>
        </w:tc>
        <w:tc>
          <w:tcPr>
            <w:tcW w:w="1168" w:type="pct"/>
          </w:tcPr>
          <w:p w:rsidR="00F11F77" w:rsidRPr="00017AE6" w:rsidRDefault="00F11F77" w:rsidP="006B48C7">
            <w:pPr>
              <w:pStyle w:val="Tablewriting"/>
              <w:rPr>
                <w:rFonts w:eastAsia="MS Mincho" w:cstheme="minorHAnsi"/>
              </w:rPr>
            </w:pPr>
            <w:r w:rsidRPr="00CD793F">
              <w:rPr>
                <w:rFonts w:eastAsia="MS Mincho" w:cstheme="minorHAnsi"/>
              </w:rPr>
              <w:t>63.4% female</w:t>
            </w:r>
            <w:r>
              <w:rPr>
                <w:rFonts w:eastAsia="MS Mincho" w:cstheme="minorHAnsi"/>
              </w:rPr>
              <w:t>.</w:t>
            </w:r>
            <w:r w:rsidR="00861C61">
              <w:rPr>
                <w:rFonts w:eastAsia="MS Mincho" w:cstheme="minorHAnsi"/>
              </w:rPr>
              <w:t xml:space="preserve"> A</w:t>
            </w:r>
            <w:r w:rsidRPr="00CD793F">
              <w:rPr>
                <w:rFonts w:eastAsia="MS Mincho" w:cstheme="minorHAnsi"/>
              </w:rPr>
              <w:t>verage age</w:t>
            </w:r>
            <w:r>
              <w:rPr>
                <w:rFonts w:eastAsia="MS Mincho" w:cstheme="minorHAnsi"/>
              </w:rPr>
              <w:t xml:space="preserve"> </w:t>
            </w:r>
            <w:r w:rsidRPr="00CD793F">
              <w:rPr>
                <w:rFonts w:eastAsia="MS Mincho" w:cstheme="minorHAnsi"/>
              </w:rPr>
              <w:t>47 y</w:t>
            </w:r>
            <w:r>
              <w:rPr>
                <w:rFonts w:eastAsia="MS Mincho" w:cstheme="minorHAnsi"/>
              </w:rPr>
              <w:t xml:space="preserve">ears, </w:t>
            </w:r>
            <w:r w:rsidRPr="00CD793F">
              <w:rPr>
                <w:rFonts w:eastAsia="MS Mincho" w:cstheme="minorHAnsi"/>
              </w:rPr>
              <w:t>average cig</w:t>
            </w:r>
            <w:r>
              <w:rPr>
                <w:rFonts w:eastAsia="MS Mincho" w:cstheme="minorHAnsi"/>
              </w:rPr>
              <w:t>arette</w:t>
            </w:r>
            <w:r w:rsidRPr="00CD793F">
              <w:rPr>
                <w:rFonts w:eastAsia="MS Mincho" w:cstheme="minorHAnsi"/>
              </w:rPr>
              <w:t>/day 18</w:t>
            </w:r>
            <w:r>
              <w:rPr>
                <w:rFonts w:eastAsia="MS Mincho" w:cstheme="minorHAnsi"/>
              </w:rPr>
              <w:t xml:space="preserve">, </w:t>
            </w:r>
            <w:r w:rsidRPr="00CD793F">
              <w:rPr>
                <w:rFonts w:eastAsia="MS Mincho" w:cstheme="minorHAnsi"/>
              </w:rPr>
              <w:t>nicotine dependence</w:t>
            </w:r>
            <w:r>
              <w:rPr>
                <w:rFonts w:eastAsia="MS Mincho" w:cstheme="minorHAnsi"/>
              </w:rPr>
              <w:t xml:space="preserve"> </w:t>
            </w:r>
            <w:r w:rsidRPr="00CD793F">
              <w:rPr>
                <w:rFonts w:eastAsia="MS Mincho" w:cstheme="minorHAnsi"/>
              </w:rPr>
              <w:t>FTND 4.8</w:t>
            </w:r>
            <w:r>
              <w:rPr>
                <w:rFonts w:eastAsia="MS Mincho" w:cstheme="minorHAnsi"/>
              </w:rPr>
              <w:t xml:space="preserve">. </w:t>
            </w:r>
          </w:p>
        </w:tc>
        <w:tc>
          <w:tcPr>
            <w:tcW w:w="1288" w:type="pct"/>
          </w:tcPr>
          <w:p w:rsidR="00F11F77" w:rsidRDefault="00F11F77" w:rsidP="006B48C7">
            <w:pPr>
              <w:rPr>
                <w:rFonts w:eastAsia="MS Mincho"/>
                <w:lang w:eastAsia="en-US"/>
              </w:rPr>
            </w:pPr>
          </w:p>
          <w:p w:rsidR="00F11F77" w:rsidRDefault="00F11F77" w:rsidP="00C324F3">
            <w:pPr>
              <w:pStyle w:val="ListParagraph"/>
              <w:numPr>
                <w:ilvl w:val="0"/>
                <w:numId w:val="220"/>
              </w:numPr>
              <w:rPr>
                <w:rFonts w:eastAsia="MS Mincho"/>
                <w:lang w:eastAsia="en-US"/>
              </w:rPr>
            </w:pPr>
            <w:r w:rsidRPr="00E64CFD">
              <w:rPr>
                <w:rFonts w:eastAsia="MS Mincho"/>
                <w:lang w:eastAsia="en-US"/>
              </w:rPr>
              <w:t>Motivational interviewing (MI)</w:t>
            </w:r>
          </w:p>
          <w:p w:rsidR="00F11F77" w:rsidRDefault="00F11F77" w:rsidP="00C324F3">
            <w:pPr>
              <w:pStyle w:val="ListParagraph"/>
              <w:numPr>
                <w:ilvl w:val="0"/>
                <w:numId w:val="220"/>
              </w:numPr>
              <w:rPr>
                <w:rFonts w:eastAsia="MS Mincho"/>
                <w:lang w:eastAsia="en-US"/>
              </w:rPr>
            </w:pPr>
            <w:r w:rsidRPr="00E64CFD">
              <w:rPr>
                <w:rFonts w:eastAsia="MS Mincho"/>
                <w:lang w:eastAsia="en-US"/>
              </w:rPr>
              <w:t>Behavioural smoking reduction counselling</w:t>
            </w:r>
          </w:p>
          <w:p w:rsidR="00F11F77" w:rsidRDefault="00F11F77" w:rsidP="00C324F3">
            <w:pPr>
              <w:pStyle w:val="ListParagraph"/>
              <w:numPr>
                <w:ilvl w:val="0"/>
                <w:numId w:val="220"/>
              </w:numPr>
              <w:rPr>
                <w:rFonts w:eastAsia="MS Mincho"/>
                <w:lang w:eastAsia="en-US"/>
              </w:rPr>
            </w:pPr>
            <w:r w:rsidRPr="00E64CFD">
              <w:rPr>
                <w:rFonts w:eastAsia="MS Mincho"/>
                <w:lang w:eastAsia="en-US"/>
              </w:rPr>
              <w:t>Nicotine gum</w:t>
            </w:r>
          </w:p>
          <w:p w:rsidR="00F11F77" w:rsidRDefault="00F11F77" w:rsidP="00C324F3">
            <w:pPr>
              <w:pStyle w:val="ListParagraph"/>
              <w:numPr>
                <w:ilvl w:val="0"/>
                <w:numId w:val="220"/>
              </w:numPr>
              <w:rPr>
                <w:rFonts w:eastAsia="MS Mincho"/>
                <w:lang w:eastAsia="en-US"/>
              </w:rPr>
            </w:pPr>
            <w:r w:rsidRPr="00E64CFD">
              <w:rPr>
                <w:rFonts w:eastAsia="MS Mincho"/>
                <w:lang w:eastAsia="en-US"/>
              </w:rPr>
              <w:t>Nicotine patch</w:t>
            </w:r>
          </w:p>
          <w:p w:rsidR="00F11F77" w:rsidRDefault="00F11F77" w:rsidP="006B48C7">
            <w:pPr>
              <w:rPr>
                <w:rFonts w:eastAsia="MS Mincho"/>
                <w:lang w:eastAsia="en-US"/>
              </w:rPr>
            </w:pPr>
          </w:p>
          <w:p w:rsidR="00F11F77" w:rsidRPr="00E64CFD" w:rsidRDefault="00F11F77" w:rsidP="006B48C7">
            <w:pPr>
              <w:rPr>
                <w:rFonts w:eastAsia="MS Mincho"/>
                <w:lang w:eastAsia="en-US"/>
              </w:rPr>
            </w:pPr>
            <w:r w:rsidRPr="00E64CFD">
              <w:rPr>
                <w:rFonts w:eastAsia="MS Mincho"/>
                <w:u w:val="single"/>
                <w:lang w:eastAsia="en-US"/>
              </w:rPr>
              <w:t xml:space="preserve">Common component: </w:t>
            </w:r>
            <w:r w:rsidRPr="00E64CFD">
              <w:rPr>
                <w:rFonts w:eastAsia="MS Mincho"/>
                <w:lang w:eastAsia="en-US"/>
              </w:rPr>
              <w:t>All participants could elect to receive cessation-phase treatment, which consisted of 8 weeks of nicotine</w:t>
            </w:r>
          </w:p>
          <w:p w:rsidR="00F11F77" w:rsidRPr="00E64CFD" w:rsidRDefault="00F11F77" w:rsidP="006B48C7">
            <w:pPr>
              <w:rPr>
                <w:rFonts w:eastAsia="MS Mincho"/>
                <w:lang w:eastAsia="en-US"/>
              </w:rPr>
            </w:pPr>
            <w:r w:rsidRPr="00E64CFD">
              <w:rPr>
                <w:rFonts w:eastAsia="MS Mincho"/>
                <w:lang w:eastAsia="en-US"/>
              </w:rPr>
              <w:t>patch and gum treatment and 2 brief phone counselling sessions at any point throughout the</w:t>
            </w:r>
            <w:r>
              <w:rPr>
                <w:rFonts w:eastAsia="MS Mincho"/>
                <w:lang w:eastAsia="en-US"/>
              </w:rPr>
              <w:t xml:space="preserve"> </w:t>
            </w:r>
            <w:r w:rsidRPr="00E64CFD">
              <w:rPr>
                <w:rFonts w:eastAsia="MS Mincho"/>
                <w:lang w:eastAsia="en-US"/>
              </w:rPr>
              <w:t>treatments described below</w:t>
            </w:r>
            <w:r>
              <w:rPr>
                <w:rFonts w:eastAsia="MS Mincho"/>
                <w:lang w:eastAsia="en-US"/>
              </w:rPr>
              <w:t>.</w:t>
            </w:r>
          </w:p>
        </w:tc>
        <w:tc>
          <w:tcPr>
            <w:tcW w:w="1000" w:type="pct"/>
          </w:tcPr>
          <w:p w:rsidR="00F11F77"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w:t>
            </w:r>
            <w:r w:rsidRPr="00F60734">
              <w:rPr>
                <w:rFonts w:eastAsia="MS Mincho" w:cstheme="minorBidi"/>
              </w:rPr>
              <w:t>7-day point prevalence</w:t>
            </w:r>
            <w:r>
              <w:rPr>
                <w:rFonts w:eastAsia="MS Mincho" w:cstheme="minorBidi"/>
              </w:rPr>
              <w:t xml:space="preserve"> at 6 months.</w:t>
            </w:r>
          </w:p>
          <w:p w:rsidR="00F11F77" w:rsidRDefault="00F11F77" w:rsidP="006B48C7">
            <w:pPr>
              <w:pStyle w:val="Tablewriting"/>
              <w:rPr>
                <w:rFonts w:eastAsia="MS Mincho" w:cstheme="minorBidi"/>
              </w:rPr>
            </w:pPr>
            <w:r>
              <w:rPr>
                <w:rFonts w:eastAsia="MS Mincho" w:cstheme="minorBidi"/>
              </w:rPr>
              <w:t xml:space="preserve">Validation: none. </w:t>
            </w:r>
          </w:p>
          <w:p w:rsidR="00F11F77" w:rsidRDefault="00F11F77" w:rsidP="006B48C7">
            <w:pPr>
              <w:pStyle w:val="Tablewriting"/>
              <w:rPr>
                <w:rFonts w:eastAsia="MS Mincho" w:cstheme="minorBidi"/>
              </w:rPr>
            </w:pPr>
          </w:p>
          <w:p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NR. </w:t>
            </w:r>
          </w:p>
        </w:tc>
      </w:tr>
      <w:tr w:rsidR="00F11F77" w:rsidRPr="00017AE6" w:rsidTr="00486A67">
        <w:trPr>
          <w:trHeight w:val="99"/>
        </w:trPr>
        <w:tc>
          <w:tcPr>
            <w:tcW w:w="541" w:type="pct"/>
          </w:tcPr>
          <w:p w:rsidR="00F11F77" w:rsidRPr="00121B29" w:rsidRDefault="00F11F77" w:rsidP="006B48C7">
            <w:pPr>
              <w:pStyle w:val="Tablewriting"/>
              <w:rPr>
                <w:rFonts w:eastAsia="MS Mincho"/>
              </w:rPr>
            </w:pPr>
            <w:r w:rsidRPr="00121B29">
              <w:rPr>
                <w:rFonts w:eastAsia="MS Mincho"/>
              </w:rPr>
              <w:lastRenderedPageBreak/>
              <w:t xml:space="preserve">Etter </w:t>
            </w:r>
            <w:r>
              <w:rPr>
                <w:rFonts w:eastAsia="MS Mincho"/>
              </w:rPr>
              <w:t>(</w:t>
            </w:r>
            <w:r w:rsidRPr="00121B29">
              <w:rPr>
                <w:rFonts w:eastAsia="MS Mincho"/>
              </w:rPr>
              <w:t>2002</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Switzerland</w:t>
            </w:r>
          </w:p>
        </w:tc>
        <w:tc>
          <w:tcPr>
            <w:tcW w:w="350" w:type="pct"/>
          </w:tcPr>
          <w:p w:rsidR="00F11F77" w:rsidRPr="00017AE6" w:rsidRDefault="00F11F77" w:rsidP="006B48C7">
            <w:pPr>
              <w:pStyle w:val="Tablewriting"/>
              <w:rPr>
                <w:rFonts w:eastAsia="MS Mincho" w:cstheme="minorHAnsi"/>
              </w:rPr>
            </w:pPr>
            <w:r>
              <w:rPr>
                <w:rFonts w:eastAsia="MS Mincho" w:cstheme="minorHAnsi"/>
              </w:rPr>
              <w:t>N=923</w:t>
            </w:r>
          </w:p>
        </w:tc>
        <w:tc>
          <w:tcPr>
            <w:tcW w:w="1168" w:type="pct"/>
          </w:tcPr>
          <w:p w:rsidR="00F11F77" w:rsidRPr="00017AE6" w:rsidRDefault="00F11F77" w:rsidP="006B48C7">
            <w:pPr>
              <w:pStyle w:val="Tablewriting"/>
              <w:rPr>
                <w:rFonts w:eastAsia="MS Mincho" w:cstheme="minorHAnsi"/>
              </w:rPr>
            </w:pPr>
            <w:r w:rsidRPr="006E2CD5">
              <w:rPr>
                <w:rFonts w:eastAsia="MS Mincho" w:cstheme="minorHAnsi"/>
              </w:rPr>
              <w:t>52% female</w:t>
            </w:r>
            <w:r>
              <w:rPr>
                <w:rFonts w:eastAsia="MS Mincho" w:cstheme="minorHAnsi"/>
              </w:rPr>
              <w:t xml:space="preserve">, </w:t>
            </w:r>
            <w:r w:rsidRPr="006E2CD5">
              <w:rPr>
                <w:rFonts w:eastAsia="MS Mincho" w:cstheme="minorHAnsi"/>
              </w:rPr>
              <w:t>average ag</w:t>
            </w:r>
            <w:r>
              <w:rPr>
                <w:rFonts w:eastAsia="MS Mincho" w:cstheme="minorHAnsi"/>
              </w:rPr>
              <w:t xml:space="preserve">e </w:t>
            </w:r>
            <w:r w:rsidRPr="006E2CD5">
              <w:rPr>
                <w:rFonts w:eastAsia="MS Mincho" w:cstheme="minorHAnsi"/>
              </w:rPr>
              <w:t>42.6 y</w:t>
            </w:r>
            <w:r>
              <w:rPr>
                <w:rFonts w:eastAsia="MS Mincho" w:cstheme="minorHAnsi"/>
              </w:rPr>
              <w:t>ears,</w:t>
            </w:r>
            <w:r w:rsidRPr="006E2CD5">
              <w:rPr>
                <w:rFonts w:eastAsia="MS Mincho" w:cstheme="minorHAnsi"/>
              </w:rPr>
              <w:t xml:space="preserve"> average cig</w:t>
            </w:r>
            <w:r>
              <w:rPr>
                <w:rFonts w:eastAsia="MS Mincho" w:cstheme="minorHAnsi"/>
              </w:rPr>
              <w:t>arette</w:t>
            </w:r>
            <w:r w:rsidRPr="006E2CD5">
              <w:rPr>
                <w:rFonts w:eastAsia="MS Mincho" w:cstheme="minorHAnsi"/>
              </w:rPr>
              <w:t>/da</w:t>
            </w:r>
            <w:r>
              <w:rPr>
                <w:rFonts w:eastAsia="MS Mincho" w:cstheme="minorHAnsi"/>
              </w:rPr>
              <w:t>y</w:t>
            </w:r>
            <w:r w:rsidRPr="006E2CD5">
              <w:rPr>
                <w:rFonts w:eastAsia="MS Mincho" w:cstheme="minorHAnsi"/>
              </w:rPr>
              <w:t xml:space="preserve"> 30</w:t>
            </w:r>
            <w:r>
              <w:rPr>
                <w:rFonts w:eastAsia="MS Mincho" w:cstheme="minorHAnsi"/>
              </w:rPr>
              <w:t>,</w:t>
            </w:r>
            <w:r w:rsidRPr="006E2CD5">
              <w:rPr>
                <w:rFonts w:eastAsia="MS Mincho" w:cstheme="minorHAnsi"/>
              </w:rPr>
              <w:t xml:space="preserve"> nicotine dependence</w:t>
            </w:r>
            <w:r>
              <w:rPr>
                <w:rFonts w:eastAsia="MS Mincho" w:cstheme="minorHAnsi"/>
              </w:rPr>
              <w:t xml:space="preserve"> </w:t>
            </w:r>
            <w:r w:rsidRPr="006E2CD5">
              <w:rPr>
                <w:rFonts w:eastAsia="MS Mincho" w:cstheme="minorHAnsi"/>
              </w:rPr>
              <w:t>FTND 6.1</w:t>
            </w:r>
            <w:r>
              <w:rPr>
                <w:rFonts w:eastAsia="MS Mincho" w:cstheme="minorHAnsi"/>
              </w:rPr>
              <w:t>.</w:t>
            </w:r>
          </w:p>
        </w:tc>
        <w:tc>
          <w:tcPr>
            <w:tcW w:w="1288" w:type="pct"/>
          </w:tcPr>
          <w:p w:rsidR="00F11F77" w:rsidRPr="006E2CD5" w:rsidRDefault="00F11F77" w:rsidP="00C324F3">
            <w:pPr>
              <w:pStyle w:val="ListParagraph"/>
              <w:numPr>
                <w:ilvl w:val="0"/>
                <w:numId w:val="221"/>
              </w:numPr>
              <w:rPr>
                <w:rFonts w:eastAsia="MS Mincho"/>
                <w:lang w:eastAsia="en-US"/>
              </w:rPr>
            </w:pPr>
            <w:r w:rsidRPr="006E2CD5">
              <w:rPr>
                <w:rFonts w:eastAsia="MS Mincho"/>
                <w:lang w:eastAsia="en-US"/>
              </w:rPr>
              <w:t>Information booklet only: information booklet described above with no pharmacotherapy</w:t>
            </w:r>
          </w:p>
          <w:p w:rsidR="00F11F77" w:rsidRPr="006E2CD5" w:rsidRDefault="00F11F77" w:rsidP="00C324F3">
            <w:pPr>
              <w:pStyle w:val="ListParagraph"/>
              <w:numPr>
                <w:ilvl w:val="0"/>
                <w:numId w:val="221"/>
              </w:numPr>
              <w:rPr>
                <w:rFonts w:eastAsia="MS Mincho"/>
                <w:lang w:eastAsia="en-US"/>
              </w:rPr>
            </w:pPr>
            <w:r w:rsidRPr="006E2CD5">
              <w:rPr>
                <w:rFonts w:eastAsia="MS Mincho"/>
                <w:lang w:eastAsia="en-US"/>
              </w:rPr>
              <w:t>Placebo nicotine replacement group: information booklet plus NRT</w:t>
            </w:r>
          </w:p>
          <w:p w:rsidR="00F11F77" w:rsidRPr="006E2CD5" w:rsidRDefault="00F11F77" w:rsidP="00C324F3">
            <w:pPr>
              <w:pStyle w:val="ListParagraph"/>
              <w:numPr>
                <w:ilvl w:val="0"/>
                <w:numId w:val="221"/>
              </w:numPr>
              <w:rPr>
                <w:rFonts w:eastAsia="MS Mincho"/>
                <w:lang w:eastAsia="en-US"/>
              </w:rPr>
            </w:pPr>
            <w:r w:rsidRPr="006E2CD5">
              <w:rPr>
                <w:rFonts w:eastAsia="MS Mincho"/>
                <w:lang w:eastAsia="en-US"/>
              </w:rPr>
              <w:t>Nicotine replacement: information booklet plus NRT</w:t>
            </w:r>
          </w:p>
          <w:p w:rsidR="00F11F77" w:rsidRDefault="00F11F77" w:rsidP="006B48C7">
            <w:pPr>
              <w:rPr>
                <w:rFonts w:eastAsia="MS Mincho"/>
                <w:u w:val="single"/>
                <w:lang w:eastAsia="en-US"/>
              </w:rPr>
            </w:pPr>
          </w:p>
          <w:p w:rsidR="00F11F77" w:rsidRPr="002F7627" w:rsidRDefault="00F11F77" w:rsidP="006B48C7">
            <w:pPr>
              <w:rPr>
                <w:rFonts w:eastAsia="MS Mincho"/>
                <w:lang w:eastAsia="en-US"/>
              </w:rPr>
            </w:pPr>
            <w:r w:rsidRPr="006E2CD5">
              <w:rPr>
                <w:rFonts w:eastAsia="MS Mincho"/>
                <w:u w:val="single"/>
                <w:lang w:eastAsia="en-US"/>
              </w:rPr>
              <w:t>Common component</w:t>
            </w:r>
            <w:r>
              <w:rPr>
                <w:rFonts w:eastAsia="MS Mincho"/>
                <w:lang w:eastAsia="en-US"/>
              </w:rPr>
              <w:t xml:space="preserve">: </w:t>
            </w:r>
            <w:r w:rsidRPr="006E2CD5">
              <w:rPr>
                <w:rFonts w:eastAsia="MS Mincho"/>
                <w:lang w:eastAsia="en-US"/>
              </w:rPr>
              <w:t>All participants received an information booklet covering reasons to reduc</w:t>
            </w:r>
            <w:r w:rsidR="00861C61">
              <w:rPr>
                <w:rFonts w:eastAsia="MS Mincho"/>
                <w:lang w:eastAsia="en-US"/>
              </w:rPr>
              <w:t xml:space="preserve">e cigarette consumption, advice </w:t>
            </w:r>
            <w:r w:rsidRPr="006E2CD5">
              <w:rPr>
                <w:rFonts w:eastAsia="MS Mincho"/>
                <w:lang w:eastAsia="en-US"/>
              </w:rPr>
              <w:t>on how to reduce and addresses of smoking cessation clinics.</w:t>
            </w:r>
          </w:p>
        </w:tc>
        <w:tc>
          <w:tcPr>
            <w:tcW w:w="1000" w:type="pct"/>
          </w:tcPr>
          <w:p w:rsidR="00F11F77"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w:t>
            </w:r>
            <w:r w:rsidRPr="00DD73B1">
              <w:rPr>
                <w:rFonts w:eastAsia="MS Mincho" w:cstheme="minorBidi"/>
              </w:rPr>
              <w:t>1 m</w:t>
            </w:r>
            <w:r>
              <w:rPr>
                <w:rFonts w:eastAsia="MS Mincho" w:cstheme="minorBidi"/>
              </w:rPr>
              <w:t>onth</w:t>
            </w:r>
            <w:r w:rsidRPr="00DD73B1">
              <w:rPr>
                <w:rFonts w:eastAsia="MS Mincho" w:cstheme="minorBidi"/>
              </w:rPr>
              <w:t xml:space="preserve"> point prevalence</w:t>
            </w:r>
            <w:r>
              <w:rPr>
                <w:rFonts w:eastAsia="MS Mincho" w:cstheme="minorBidi"/>
              </w:rPr>
              <w:t>, l</w:t>
            </w:r>
            <w:r w:rsidRPr="00DD73B1">
              <w:rPr>
                <w:rFonts w:eastAsia="MS Mincho" w:cstheme="minorBidi"/>
              </w:rPr>
              <w:t>ongest follow-up 5 years</w:t>
            </w:r>
            <w:r>
              <w:rPr>
                <w:rFonts w:eastAsia="MS Mincho" w:cstheme="minorBidi"/>
              </w:rPr>
              <w:t xml:space="preserve">. </w:t>
            </w:r>
          </w:p>
          <w:p w:rsidR="00F11F77" w:rsidRDefault="00F11F77" w:rsidP="006B48C7">
            <w:pPr>
              <w:pStyle w:val="Tablewriting"/>
              <w:rPr>
                <w:rFonts w:eastAsia="MS Mincho" w:cstheme="minorBidi"/>
              </w:rPr>
            </w:pPr>
            <w:r>
              <w:rPr>
                <w:rFonts w:eastAsia="MS Mincho" w:cstheme="minorBidi"/>
              </w:rPr>
              <w:t xml:space="preserve">Validation: none. </w:t>
            </w:r>
          </w:p>
          <w:p w:rsidR="00F11F77" w:rsidRDefault="00F11F77" w:rsidP="006B48C7">
            <w:pPr>
              <w:pStyle w:val="Tablewriting"/>
              <w:rPr>
                <w:rFonts w:eastAsia="MS Mincho" w:cstheme="minorBidi"/>
              </w:rPr>
            </w:pPr>
          </w:p>
          <w:p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NR. </w:t>
            </w:r>
          </w:p>
        </w:tc>
      </w:tr>
      <w:tr w:rsidR="00F11F77" w:rsidRPr="00017AE6" w:rsidTr="00486A67">
        <w:trPr>
          <w:trHeight w:val="99"/>
        </w:trPr>
        <w:tc>
          <w:tcPr>
            <w:tcW w:w="541" w:type="pct"/>
          </w:tcPr>
          <w:p w:rsidR="00F11F77" w:rsidRPr="00121B29" w:rsidRDefault="00F11F77" w:rsidP="006B48C7">
            <w:pPr>
              <w:pStyle w:val="Tablewriting"/>
              <w:rPr>
                <w:rFonts w:eastAsia="MS Mincho"/>
              </w:rPr>
            </w:pPr>
            <w:r w:rsidRPr="005321B7">
              <w:rPr>
                <w:rFonts w:eastAsia="MS Mincho"/>
              </w:rPr>
              <w:t xml:space="preserve">Bolliger </w:t>
            </w:r>
            <w:r>
              <w:rPr>
                <w:rFonts w:eastAsia="MS Mincho"/>
              </w:rPr>
              <w:t>(</w:t>
            </w:r>
            <w:r w:rsidRPr="005321B7">
              <w:rPr>
                <w:rFonts w:eastAsia="MS Mincho"/>
              </w:rPr>
              <w:t>2000a</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Switzerland</w:t>
            </w:r>
          </w:p>
        </w:tc>
        <w:tc>
          <w:tcPr>
            <w:tcW w:w="350" w:type="pct"/>
          </w:tcPr>
          <w:p w:rsidR="00F11F77" w:rsidRPr="00017AE6" w:rsidRDefault="00F11F77" w:rsidP="006B48C7">
            <w:pPr>
              <w:pStyle w:val="Tablewriting"/>
              <w:rPr>
                <w:rFonts w:eastAsia="MS Mincho" w:cstheme="minorHAnsi"/>
              </w:rPr>
            </w:pPr>
            <w:r>
              <w:rPr>
                <w:rFonts w:eastAsia="MS Mincho" w:cstheme="minorHAnsi"/>
              </w:rPr>
              <w:t>N=400</w:t>
            </w:r>
          </w:p>
        </w:tc>
        <w:tc>
          <w:tcPr>
            <w:tcW w:w="1168" w:type="pct"/>
          </w:tcPr>
          <w:p w:rsidR="00F11F77" w:rsidRPr="00017AE6" w:rsidRDefault="00F11F77" w:rsidP="006B48C7">
            <w:pPr>
              <w:pStyle w:val="Tablewriting"/>
              <w:rPr>
                <w:rFonts w:eastAsia="MS Mincho" w:cstheme="minorHAnsi"/>
              </w:rPr>
            </w:pPr>
            <w:r w:rsidRPr="009544EE">
              <w:rPr>
                <w:rFonts w:eastAsia="MS Mincho" w:cstheme="minorHAnsi"/>
              </w:rPr>
              <w:t>53%</w:t>
            </w:r>
            <w:r>
              <w:rPr>
                <w:rFonts w:eastAsia="MS Mincho" w:cstheme="minorHAnsi"/>
              </w:rPr>
              <w:t xml:space="preserve"> </w:t>
            </w:r>
            <w:r w:rsidRPr="009544EE">
              <w:rPr>
                <w:rFonts w:eastAsia="MS Mincho" w:cstheme="minorHAnsi"/>
              </w:rPr>
              <w:t>female</w:t>
            </w:r>
            <w:r>
              <w:rPr>
                <w:rFonts w:eastAsia="MS Mincho" w:cstheme="minorHAnsi"/>
              </w:rPr>
              <w:t>,</w:t>
            </w:r>
            <w:r w:rsidRPr="009544EE">
              <w:rPr>
                <w:rFonts w:eastAsia="MS Mincho" w:cstheme="minorHAnsi"/>
              </w:rPr>
              <w:t xml:space="preserve"> average age 46.1 y</w:t>
            </w:r>
            <w:r>
              <w:rPr>
                <w:rFonts w:eastAsia="MS Mincho" w:cstheme="minorHAnsi"/>
              </w:rPr>
              <w:t>ears,</w:t>
            </w:r>
            <w:r w:rsidRPr="009544EE">
              <w:rPr>
                <w:rFonts w:eastAsia="MS Mincho" w:cstheme="minorHAnsi"/>
              </w:rPr>
              <w:t xml:space="preserve"> average cig</w:t>
            </w:r>
            <w:r>
              <w:rPr>
                <w:rFonts w:eastAsia="MS Mincho" w:cstheme="minorHAnsi"/>
              </w:rPr>
              <w:t>arette</w:t>
            </w:r>
            <w:r w:rsidRPr="009544EE">
              <w:rPr>
                <w:rFonts w:eastAsia="MS Mincho" w:cstheme="minorHAnsi"/>
              </w:rPr>
              <w:t>/day 29</w:t>
            </w:r>
            <w:r>
              <w:rPr>
                <w:rFonts w:eastAsia="MS Mincho" w:cstheme="minorHAnsi"/>
              </w:rPr>
              <w:t>,</w:t>
            </w:r>
            <w:r w:rsidRPr="009544EE">
              <w:rPr>
                <w:rFonts w:eastAsia="MS Mincho" w:cstheme="minorHAnsi"/>
              </w:rPr>
              <w:t xml:space="preserve"> nicotine dependence</w:t>
            </w:r>
            <w:r>
              <w:rPr>
                <w:rFonts w:eastAsia="MS Mincho" w:cstheme="minorHAnsi"/>
              </w:rPr>
              <w:t xml:space="preserve"> </w:t>
            </w:r>
            <w:r w:rsidRPr="009544EE">
              <w:rPr>
                <w:rFonts w:eastAsia="MS Mincho" w:cstheme="minorHAnsi"/>
              </w:rPr>
              <w:t>FTND 5.6</w:t>
            </w:r>
            <w:r>
              <w:rPr>
                <w:rFonts w:eastAsia="MS Mincho" w:cstheme="minorHAnsi"/>
              </w:rPr>
              <w:t>.</w:t>
            </w:r>
          </w:p>
        </w:tc>
        <w:tc>
          <w:tcPr>
            <w:tcW w:w="1288" w:type="pct"/>
          </w:tcPr>
          <w:p w:rsidR="00F11F77" w:rsidRPr="003E4A87" w:rsidRDefault="00F11F77" w:rsidP="00C324F3">
            <w:pPr>
              <w:pStyle w:val="ListParagraph"/>
              <w:numPr>
                <w:ilvl w:val="0"/>
                <w:numId w:val="222"/>
              </w:numPr>
              <w:rPr>
                <w:rFonts w:eastAsia="MS Mincho"/>
                <w:lang w:eastAsia="en-US"/>
              </w:rPr>
            </w:pPr>
            <w:r w:rsidRPr="003E4A87">
              <w:rPr>
                <w:rFonts w:eastAsia="MS Mincho"/>
                <w:lang w:eastAsia="en-US"/>
              </w:rPr>
              <w:t>Placebo nicotine inhaler + reduction counselling</w:t>
            </w:r>
          </w:p>
          <w:p w:rsidR="00F11F77" w:rsidRDefault="00F11F77" w:rsidP="00C324F3">
            <w:pPr>
              <w:pStyle w:val="ListParagraph"/>
              <w:numPr>
                <w:ilvl w:val="0"/>
                <w:numId w:val="222"/>
              </w:numPr>
              <w:rPr>
                <w:rFonts w:eastAsia="MS Mincho"/>
                <w:lang w:eastAsia="en-US"/>
              </w:rPr>
            </w:pPr>
            <w:r w:rsidRPr="003E4A87">
              <w:rPr>
                <w:rFonts w:eastAsia="MS Mincho"/>
                <w:lang w:eastAsia="en-US"/>
              </w:rPr>
              <w:t>Active nicotine inhaler + reduction counselling</w:t>
            </w:r>
          </w:p>
          <w:p w:rsidR="00F11F77" w:rsidRDefault="00F11F77" w:rsidP="006B48C7">
            <w:pPr>
              <w:rPr>
                <w:rFonts w:eastAsia="MS Mincho"/>
                <w:lang w:eastAsia="en-US"/>
              </w:rPr>
            </w:pPr>
          </w:p>
          <w:p w:rsidR="00F11F77" w:rsidRPr="003E4A87" w:rsidRDefault="00F11F77" w:rsidP="006B48C7">
            <w:pPr>
              <w:rPr>
                <w:rFonts w:eastAsia="MS Mincho"/>
                <w:lang w:eastAsia="en-US"/>
              </w:rPr>
            </w:pPr>
            <w:r w:rsidRPr="003E4A87">
              <w:rPr>
                <w:rFonts w:eastAsia="MS Mincho"/>
                <w:u w:val="single"/>
                <w:lang w:eastAsia="en-US"/>
              </w:rPr>
              <w:t>Common component:</w:t>
            </w:r>
            <w:r>
              <w:rPr>
                <w:rFonts w:eastAsia="MS Mincho"/>
                <w:lang w:eastAsia="en-US"/>
              </w:rPr>
              <w:t xml:space="preserve"> </w:t>
            </w:r>
            <w:r w:rsidRPr="003E4A87">
              <w:rPr>
                <w:rFonts w:eastAsia="MS Mincho"/>
                <w:lang w:eastAsia="en-US"/>
              </w:rPr>
              <w:t>All participants were told about the general implications of smoking and its health effects. Participants</w:t>
            </w:r>
          </w:p>
          <w:p w:rsidR="00F11F77" w:rsidRPr="003E4A87" w:rsidRDefault="00F11F77" w:rsidP="006B48C7">
            <w:pPr>
              <w:rPr>
                <w:rFonts w:eastAsia="MS Mincho"/>
                <w:lang w:eastAsia="en-US"/>
              </w:rPr>
            </w:pPr>
            <w:r w:rsidRPr="003E4A87">
              <w:rPr>
                <w:rFonts w:eastAsia="MS Mincho"/>
                <w:lang w:eastAsia="en-US"/>
              </w:rPr>
              <w:t>were asked to reduce the number of</w:t>
            </w:r>
            <w:r>
              <w:rPr>
                <w:rFonts w:eastAsia="MS Mincho"/>
                <w:lang w:eastAsia="en-US"/>
              </w:rPr>
              <w:t xml:space="preserve"> </w:t>
            </w:r>
            <w:r w:rsidRPr="003E4A87">
              <w:rPr>
                <w:rFonts w:eastAsia="MS Mincho"/>
                <w:lang w:eastAsia="en-US"/>
              </w:rPr>
              <w:t>cigarettes smoked daily as much as</w:t>
            </w:r>
            <w:r>
              <w:rPr>
                <w:rFonts w:eastAsia="MS Mincho"/>
                <w:lang w:eastAsia="en-US"/>
              </w:rPr>
              <w:t xml:space="preserve"> </w:t>
            </w:r>
            <w:r w:rsidRPr="003E4A87">
              <w:rPr>
                <w:rFonts w:eastAsia="MS Mincho"/>
                <w:lang w:eastAsia="en-US"/>
              </w:rPr>
              <w:t>possible; an initial reduction</w:t>
            </w:r>
            <w:r>
              <w:rPr>
                <w:rFonts w:eastAsia="MS Mincho"/>
                <w:lang w:eastAsia="en-US"/>
              </w:rPr>
              <w:t xml:space="preserve"> </w:t>
            </w:r>
            <w:r w:rsidRPr="003E4A87">
              <w:rPr>
                <w:rFonts w:eastAsia="MS Mincho"/>
                <w:lang w:eastAsia="en-US"/>
              </w:rPr>
              <w:t>of 50% was suggested. Counselling on smoking reduction was provided at each visit and smoking cessation</w:t>
            </w:r>
            <w:r>
              <w:rPr>
                <w:rFonts w:eastAsia="MS Mincho"/>
                <w:lang w:eastAsia="en-US"/>
              </w:rPr>
              <w:t xml:space="preserve"> </w:t>
            </w:r>
            <w:r w:rsidRPr="003E4A87">
              <w:rPr>
                <w:rFonts w:eastAsia="MS Mincho"/>
                <w:lang w:eastAsia="en-US"/>
              </w:rPr>
              <w:t>was recommended as the ultimate goal throughout the study</w:t>
            </w:r>
            <w:r>
              <w:rPr>
                <w:rFonts w:eastAsia="MS Mincho"/>
                <w:lang w:eastAsia="en-US"/>
              </w:rPr>
              <w:t>.</w:t>
            </w:r>
          </w:p>
        </w:tc>
        <w:tc>
          <w:tcPr>
            <w:tcW w:w="1000" w:type="pct"/>
          </w:tcPr>
          <w:p w:rsidR="00F11F77"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Prolonged abstinence from week 6 to 24 months. </w:t>
            </w:r>
          </w:p>
          <w:p w:rsidR="00F11F77" w:rsidRDefault="00F11F77" w:rsidP="006B48C7">
            <w:pPr>
              <w:pStyle w:val="Tablewriting"/>
              <w:rPr>
                <w:rFonts w:eastAsia="MS Mincho" w:cstheme="minorBidi"/>
              </w:rPr>
            </w:pPr>
            <w:r w:rsidRPr="00E01AB1">
              <w:rPr>
                <w:rFonts w:eastAsia="MS Mincho" w:cstheme="minorBidi"/>
              </w:rPr>
              <w:t>Biochemical validation: exhaled CO (with a cut-</w:t>
            </w:r>
            <w:r>
              <w:rPr>
                <w:rFonts w:eastAsia="MS Mincho" w:cstheme="minorBidi"/>
              </w:rPr>
              <w:t>off</w:t>
            </w:r>
            <w:r w:rsidRPr="00E01AB1">
              <w:rPr>
                <w:rFonts w:eastAsia="MS Mincho" w:cstheme="minorBidi"/>
              </w:rPr>
              <w:t xml:space="preserve"> of 10 ppm)</w:t>
            </w:r>
          </w:p>
          <w:p w:rsidR="00F11F77" w:rsidRDefault="00F11F77" w:rsidP="006B48C7">
            <w:pPr>
              <w:pStyle w:val="Tablewriting"/>
              <w:rPr>
                <w:rFonts w:eastAsia="MS Mincho" w:cstheme="minorBidi"/>
                <w:u w:val="single"/>
              </w:rPr>
            </w:pPr>
          </w:p>
          <w:p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NR. </w:t>
            </w:r>
          </w:p>
        </w:tc>
      </w:tr>
      <w:tr w:rsidR="00F11F77" w:rsidRPr="00017AE6" w:rsidTr="00486A67">
        <w:trPr>
          <w:trHeight w:val="99"/>
        </w:trPr>
        <w:tc>
          <w:tcPr>
            <w:tcW w:w="541" w:type="pct"/>
          </w:tcPr>
          <w:p w:rsidR="00F11F77" w:rsidRPr="00121B29" w:rsidRDefault="00F11F77" w:rsidP="006B48C7">
            <w:pPr>
              <w:pStyle w:val="Tablewriting"/>
              <w:rPr>
                <w:rFonts w:eastAsia="MS Mincho"/>
              </w:rPr>
            </w:pPr>
            <w:r w:rsidRPr="005321B7">
              <w:rPr>
                <w:rFonts w:eastAsia="MS Mincho"/>
              </w:rPr>
              <w:t xml:space="preserve">Haustein </w:t>
            </w:r>
            <w:r>
              <w:rPr>
                <w:rFonts w:eastAsia="MS Mincho"/>
              </w:rPr>
              <w:t>(</w:t>
            </w:r>
            <w:r w:rsidRPr="005321B7">
              <w:rPr>
                <w:rFonts w:eastAsia="MS Mincho"/>
              </w:rPr>
              <w:t>2002</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Germany</w:t>
            </w:r>
          </w:p>
        </w:tc>
        <w:tc>
          <w:tcPr>
            <w:tcW w:w="350" w:type="pct"/>
          </w:tcPr>
          <w:p w:rsidR="00F11F77" w:rsidRPr="00017AE6" w:rsidRDefault="00F11F77" w:rsidP="006B48C7">
            <w:pPr>
              <w:pStyle w:val="Tablewriting"/>
              <w:rPr>
                <w:rFonts w:eastAsia="MS Mincho" w:cstheme="minorHAnsi"/>
              </w:rPr>
            </w:pPr>
            <w:r>
              <w:rPr>
                <w:rFonts w:eastAsia="MS Mincho" w:cstheme="minorHAnsi"/>
              </w:rPr>
              <w:t>N=385</w:t>
            </w:r>
          </w:p>
        </w:tc>
        <w:tc>
          <w:tcPr>
            <w:tcW w:w="1168" w:type="pct"/>
          </w:tcPr>
          <w:p w:rsidR="00F11F77" w:rsidRPr="00983E89" w:rsidRDefault="00F11F77" w:rsidP="006B48C7">
            <w:pPr>
              <w:pStyle w:val="Tablewriting"/>
              <w:rPr>
                <w:rFonts w:eastAsia="MS Mincho" w:cstheme="minorHAnsi"/>
              </w:rPr>
            </w:pPr>
            <w:r w:rsidRPr="00983E89">
              <w:rPr>
                <w:rFonts w:eastAsia="MS Mincho" w:cstheme="minorHAnsi"/>
              </w:rPr>
              <w:t>49.9% female</w:t>
            </w:r>
            <w:r>
              <w:rPr>
                <w:rFonts w:eastAsia="MS Mincho" w:cstheme="minorHAnsi"/>
              </w:rPr>
              <w:t>,</w:t>
            </w:r>
            <w:r w:rsidRPr="00983E89">
              <w:rPr>
                <w:rFonts w:eastAsia="MS Mincho" w:cstheme="minorHAnsi"/>
              </w:rPr>
              <w:t xml:space="preserve"> average age 41.7 y</w:t>
            </w:r>
            <w:r>
              <w:rPr>
                <w:rFonts w:eastAsia="MS Mincho" w:cstheme="minorHAnsi"/>
              </w:rPr>
              <w:t>ears,</w:t>
            </w:r>
            <w:r w:rsidRPr="00983E89">
              <w:rPr>
                <w:rFonts w:eastAsia="MS Mincho" w:cstheme="minorHAnsi"/>
              </w:rPr>
              <w:t xml:space="preserve"> average cig</w:t>
            </w:r>
            <w:r>
              <w:rPr>
                <w:rFonts w:eastAsia="MS Mincho" w:cstheme="minorHAnsi"/>
              </w:rPr>
              <w:t>arette</w:t>
            </w:r>
            <w:r w:rsidRPr="00983E89">
              <w:rPr>
                <w:rFonts w:eastAsia="MS Mincho" w:cstheme="minorHAnsi"/>
              </w:rPr>
              <w:t>/day 25</w:t>
            </w:r>
            <w:r>
              <w:rPr>
                <w:rFonts w:eastAsia="MS Mincho" w:cstheme="minorHAnsi"/>
              </w:rPr>
              <w:t>,</w:t>
            </w:r>
            <w:r w:rsidRPr="00983E89">
              <w:rPr>
                <w:rFonts w:eastAsia="MS Mincho" w:cstheme="minorHAnsi"/>
              </w:rPr>
              <w:t xml:space="preserve"> nicotine</w:t>
            </w:r>
          </w:p>
          <w:p w:rsidR="00F11F77" w:rsidRPr="00017AE6" w:rsidRDefault="00F11F77" w:rsidP="006B48C7">
            <w:pPr>
              <w:pStyle w:val="Tablewriting"/>
              <w:rPr>
                <w:rFonts w:eastAsia="MS Mincho" w:cstheme="minorHAnsi"/>
              </w:rPr>
            </w:pPr>
            <w:r w:rsidRPr="00983E89">
              <w:rPr>
                <w:rFonts w:eastAsia="MS Mincho" w:cstheme="minorHAnsi"/>
              </w:rPr>
              <w:t>dependence FTND 5.5</w:t>
            </w:r>
            <w:r>
              <w:rPr>
                <w:rFonts w:eastAsia="MS Mincho" w:cstheme="minorHAnsi"/>
              </w:rPr>
              <w:t xml:space="preserve">. </w:t>
            </w:r>
          </w:p>
        </w:tc>
        <w:tc>
          <w:tcPr>
            <w:tcW w:w="1288" w:type="pct"/>
          </w:tcPr>
          <w:p w:rsidR="00F11F77" w:rsidRPr="00983E89" w:rsidRDefault="00F11F77" w:rsidP="00C324F3">
            <w:pPr>
              <w:pStyle w:val="ListParagraph"/>
              <w:numPr>
                <w:ilvl w:val="0"/>
                <w:numId w:val="223"/>
              </w:numPr>
              <w:rPr>
                <w:rFonts w:eastAsia="MS Mincho"/>
                <w:lang w:eastAsia="en-US"/>
              </w:rPr>
            </w:pPr>
            <w:r w:rsidRPr="00983E89">
              <w:rPr>
                <w:rFonts w:eastAsia="MS Mincho"/>
                <w:lang w:eastAsia="en-US"/>
              </w:rPr>
              <w:t>Short-term reduction + placebo gum</w:t>
            </w:r>
          </w:p>
          <w:p w:rsidR="00F11F77" w:rsidRPr="00983E89" w:rsidRDefault="00F11F77" w:rsidP="00C324F3">
            <w:pPr>
              <w:pStyle w:val="ListParagraph"/>
              <w:numPr>
                <w:ilvl w:val="0"/>
                <w:numId w:val="223"/>
              </w:numPr>
              <w:rPr>
                <w:rFonts w:eastAsia="MS Mincho"/>
                <w:lang w:eastAsia="en-US"/>
              </w:rPr>
            </w:pPr>
            <w:r w:rsidRPr="00983E89">
              <w:rPr>
                <w:rFonts w:eastAsia="MS Mincho"/>
                <w:lang w:eastAsia="en-US"/>
              </w:rPr>
              <w:t>Long-term reduction + placebo gum</w:t>
            </w:r>
          </w:p>
          <w:p w:rsidR="00F11F77" w:rsidRPr="00983E89" w:rsidRDefault="00F11F77" w:rsidP="00C324F3">
            <w:pPr>
              <w:pStyle w:val="ListParagraph"/>
              <w:numPr>
                <w:ilvl w:val="0"/>
                <w:numId w:val="223"/>
              </w:numPr>
              <w:rPr>
                <w:rFonts w:eastAsia="MS Mincho"/>
                <w:lang w:eastAsia="en-US"/>
              </w:rPr>
            </w:pPr>
            <w:r w:rsidRPr="00983E89">
              <w:rPr>
                <w:rFonts w:eastAsia="MS Mincho"/>
                <w:lang w:eastAsia="en-US"/>
              </w:rPr>
              <w:t>Short-term reduction + nicotine gum</w:t>
            </w:r>
          </w:p>
          <w:p w:rsidR="00F11F77" w:rsidRPr="0018725F" w:rsidRDefault="00F11F77" w:rsidP="00C324F3">
            <w:pPr>
              <w:pStyle w:val="ListParagraph"/>
              <w:numPr>
                <w:ilvl w:val="0"/>
                <w:numId w:val="223"/>
              </w:numPr>
              <w:rPr>
                <w:rFonts w:eastAsia="MS Mincho"/>
                <w:lang w:eastAsia="en-US"/>
              </w:rPr>
            </w:pPr>
            <w:r w:rsidRPr="00983E89">
              <w:rPr>
                <w:rFonts w:eastAsia="MS Mincho"/>
                <w:lang w:val="en-GB" w:eastAsia="en-US"/>
              </w:rPr>
              <w:t>Long-term reduction + nicotine gum</w:t>
            </w:r>
          </w:p>
        </w:tc>
        <w:tc>
          <w:tcPr>
            <w:tcW w:w="1000" w:type="pct"/>
          </w:tcPr>
          <w:p w:rsidR="00F11F77"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PPA at 12 months.</w:t>
            </w:r>
          </w:p>
          <w:p w:rsidR="00F11F77" w:rsidRDefault="00F11F77" w:rsidP="006B48C7">
            <w:pPr>
              <w:pStyle w:val="Tablewriting"/>
              <w:rPr>
                <w:rFonts w:eastAsia="MS Mincho" w:cstheme="minorBidi"/>
              </w:rPr>
            </w:pPr>
            <w:r w:rsidRPr="00983E89">
              <w:rPr>
                <w:rFonts w:eastAsia="MS Mincho" w:cstheme="minorBidi"/>
              </w:rPr>
              <w:t>Biochemical validation: exhaled CO</w:t>
            </w:r>
            <w:r>
              <w:rPr>
                <w:rFonts w:eastAsia="MS Mincho" w:cstheme="minorBidi"/>
              </w:rPr>
              <w:t>.</w:t>
            </w:r>
          </w:p>
          <w:p w:rsidR="00F11F77" w:rsidRDefault="00F11F77" w:rsidP="006B48C7">
            <w:pPr>
              <w:pStyle w:val="Tablewriting"/>
              <w:rPr>
                <w:rFonts w:eastAsia="MS Mincho" w:cstheme="minorBidi"/>
              </w:rPr>
            </w:pPr>
          </w:p>
          <w:p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NR.</w:t>
            </w:r>
          </w:p>
        </w:tc>
      </w:tr>
      <w:tr w:rsidR="00F11F77" w:rsidRPr="00017AE6" w:rsidTr="00486A67">
        <w:trPr>
          <w:trHeight w:val="99"/>
        </w:trPr>
        <w:tc>
          <w:tcPr>
            <w:tcW w:w="541" w:type="pct"/>
          </w:tcPr>
          <w:p w:rsidR="00F11F77" w:rsidRPr="00121B29" w:rsidRDefault="00F11F77" w:rsidP="006B48C7">
            <w:pPr>
              <w:pStyle w:val="Tablewriting"/>
              <w:rPr>
                <w:rFonts w:eastAsia="MS Mincho"/>
              </w:rPr>
            </w:pPr>
            <w:r w:rsidRPr="005321B7">
              <w:rPr>
                <w:rFonts w:eastAsia="MS Mincho"/>
              </w:rPr>
              <w:lastRenderedPageBreak/>
              <w:t xml:space="preserve">Kralikova </w:t>
            </w:r>
            <w:r>
              <w:rPr>
                <w:rFonts w:eastAsia="MS Mincho"/>
              </w:rPr>
              <w:t>(</w:t>
            </w:r>
            <w:r w:rsidRPr="005321B7">
              <w:rPr>
                <w:rFonts w:eastAsia="MS Mincho"/>
              </w:rPr>
              <w:t>2009</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sidRPr="00EE7322">
              <w:rPr>
                <w:rFonts w:eastAsia="MS Mincho" w:cstheme="minorHAnsi"/>
              </w:rPr>
              <w:t>Czech Republic</w:t>
            </w:r>
          </w:p>
        </w:tc>
        <w:tc>
          <w:tcPr>
            <w:tcW w:w="350" w:type="pct"/>
          </w:tcPr>
          <w:p w:rsidR="00F11F77" w:rsidRPr="00017AE6" w:rsidRDefault="00F11F77" w:rsidP="006B48C7">
            <w:pPr>
              <w:pStyle w:val="Tablewriting"/>
              <w:rPr>
                <w:rFonts w:eastAsia="MS Mincho" w:cstheme="minorHAnsi"/>
              </w:rPr>
            </w:pPr>
            <w:r w:rsidRPr="00A45426">
              <w:rPr>
                <w:rFonts w:eastAsia="MS Mincho" w:cstheme="minorHAnsi"/>
              </w:rPr>
              <w:t>N=</w:t>
            </w:r>
            <w:r>
              <w:rPr>
                <w:rFonts w:eastAsia="MS Mincho" w:cstheme="minorHAnsi"/>
              </w:rPr>
              <w:t>314</w:t>
            </w:r>
          </w:p>
        </w:tc>
        <w:tc>
          <w:tcPr>
            <w:tcW w:w="1168" w:type="pct"/>
          </w:tcPr>
          <w:p w:rsidR="00F11F77" w:rsidRPr="00017AE6" w:rsidRDefault="00F11F77" w:rsidP="006B48C7">
            <w:pPr>
              <w:pStyle w:val="Tablewriting"/>
              <w:rPr>
                <w:rFonts w:eastAsia="MS Mincho" w:cstheme="minorHAnsi"/>
              </w:rPr>
            </w:pPr>
            <w:r w:rsidRPr="00EE7322">
              <w:rPr>
                <w:rFonts w:eastAsia="MS Mincho" w:cstheme="minorHAnsi"/>
              </w:rPr>
              <w:t>58% female</w:t>
            </w:r>
            <w:r>
              <w:rPr>
                <w:rFonts w:eastAsia="MS Mincho" w:cstheme="minorHAnsi"/>
              </w:rPr>
              <w:t>,</w:t>
            </w:r>
            <w:r w:rsidRPr="00EE7322">
              <w:rPr>
                <w:rFonts w:eastAsia="MS Mincho" w:cstheme="minorHAnsi"/>
              </w:rPr>
              <w:t xml:space="preserve"> average age 46 y</w:t>
            </w:r>
            <w:r>
              <w:rPr>
                <w:rFonts w:eastAsia="MS Mincho" w:cstheme="minorHAnsi"/>
              </w:rPr>
              <w:t>ears,</w:t>
            </w:r>
            <w:r w:rsidRPr="00EE7322">
              <w:rPr>
                <w:rFonts w:eastAsia="MS Mincho" w:cstheme="minorHAnsi"/>
              </w:rPr>
              <w:t xml:space="preserve"> average cig</w:t>
            </w:r>
            <w:r>
              <w:rPr>
                <w:rFonts w:eastAsia="MS Mincho" w:cstheme="minorHAnsi"/>
              </w:rPr>
              <w:t>arette</w:t>
            </w:r>
            <w:r w:rsidRPr="00EE7322">
              <w:rPr>
                <w:rFonts w:eastAsia="MS Mincho" w:cstheme="minorHAnsi"/>
              </w:rPr>
              <w:t>/day</w:t>
            </w:r>
            <w:r>
              <w:rPr>
                <w:rFonts w:eastAsia="MS Mincho" w:cstheme="minorHAnsi"/>
              </w:rPr>
              <w:t xml:space="preserve"> </w:t>
            </w:r>
            <w:r w:rsidRPr="00EE7322">
              <w:rPr>
                <w:rFonts w:eastAsia="MS Mincho" w:cstheme="minorHAnsi"/>
              </w:rPr>
              <w:t>25</w:t>
            </w:r>
            <w:r>
              <w:rPr>
                <w:rFonts w:eastAsia="MS Mincho" w:cstheme="minorHAnsi"/>
              </w:rPr>
              <w:t>,</w:t>
            </w:r>
            <w:r w:rsidRPr="00EE7322">
              <w:rPr>
                <w:rFonts w:eastAsia="MS Mincho" w:cstheme="minorHAnsi"/>
              </w:rPr>
              <w:t xml:space="preserve"> nicotine dependence</w:t>
            </w:r>
            <w:r>
              <w:rPr>
                <w:rFonts w:eastAsia="MS Mincho" w:cstheme="minorHAnsi"/>
              </w:rPr>
              <w:t xml:space="preserve"> </w:t>
            </w:r>
            <w:r w:rsidRPr="00EE7322">
              <w:rPr>
                <w:rFonts w:eastAsia="MS Mincho" w:cstheme="minorHAnsi"/>
              </w:rPr>
              <w:t>FTND 6.0</w:t>
            </w:r>
            <w:r>
              <w:rPr>
                <w:rFonts w:eastAsia="MS Mincho" w:cstheme="minorHAnsi"/>
              </w:rPr>
              <w:t>.</w:t>
            </w:r>
          </w:p>
        </w:tc>
        <w:tc>
          <w:tcPr>
            <w:tcW w:w="1288" w:type="pct"/>
          </w:tcPr>
          <w:p w:rsidR="00F11F77" w:rsidRPr="0018725F" w:rsidRDefault="00F11F77" w:rsidP="00C324F3">
            <w:pPr>
              <w:pStyle w:val="ListParagraph"/>
              <w:numPr>
                <w:ilvl w:val="0"/>
                <w:numId w:val="224"/>
              </w:numPr>
              <w:rPr>
                <w:rFonts w:eastAsia="MS Mincho"/>
                <w:lang w:eastAsia="en-US"/>
              </w:rPr>
            </w:pPr>
            <w:r w:rsidRPr="0018725F">
              <w:rPr>
                <w:rFonts w:eastAsia="MS Mincho"/>
                <w:lang w:eastAsia="en-US"/>
              </w:rPr>
              <w:t>Reducing to quit + placebo</w:t>
            </w:r>
          </w:p>
          <w:p w:rsidR="00F11F77" w:rsidRPr="0018725F" w:rsidRDefault="00F11F77" w:rsidP="00C324F3">
            <w:pPr>
              <w:pStyle w:val="ListParagraph"/>
              <w:numPr>
                <w:ilvl w:val="0"/>
                <w:numId w:val="224"/>
              </w:numPr>
              <w:rPr>
                <w:rFonts w:eastAsia="MS Mincho"/>
                <w:lang w:eastAsia="en-US"/>
              </w:rPr>
            </w:pPr>
            <w:r w:rsidRPr="0018725F">
              <w:rPr>
                <w:rFonts w:eastAsia="MS Mincho"/>
                <w:lang w:eastAsia="en-US"/>
              </w:rPr>
              <w:t>Reducing to quit + NRT</w:t>
            </w:r>
          </w:p>
          <w:p w:rsidR="00F11F77" w:rsidRDefault="00F11F77" w:rsidP="006B48C7">
            <w:pPr>
              <w:rPr>
                <w:rFonts w:eastAsia="MS Mincho"/>
                <w:lang w:eastAsia="en-US"/>
              </w:rPr>
            </w:pPr>
          </w:p>
          <w:p w:rsidR="00F11F77" w:rsidRPr="002F7627" w:rsidRDefault="00F11F77" w:rsidP="006B48C7">
            <w:pPr>
              <w:rPr>
                <w:rFonts w:eastAsia="MS Mincho"/>
                <w:lang w:eastAsia="en-US"/>
              </w:rPr>
            </w:pPr>
            <w:r w:rsidRPr="0018725F">
              <w:rPr>
                <w:rFonts w:eastAsia="MS Mincho"/>
                <w:u w:val="single"/>
                <w:lang w:eastAsia="en-US"/>
              </w:rPr>
              <w:t>Common component</w:t>
            </w:r>
            <w:r>
              <w:rPr>
                <w:rFonts w:eastAsia="MS Mincho"/>
                <w:lang w:eastAsia="en-US"/>
              </w:rPr>
              <w:t xml:space="preserve">: </w:t>
            </w:r>
            <w:r w:rsidRPr="0018725F">
              <w:rPr>
                <w:rFonts w:eastAsia="MS Mincho"/>
                <w:lang w:eastAsia="en-US"/>
              </w:rPr>
              <w:t>All participants received brief behavioural smoking reduction/cessation support. They were instructed</w:t>
            </w:r>
            <w:r>
              <w:rPr>
                <w:rFonts w:eastAsia="MS Mincho"/>
                <w:lang w:eastAsia="en-US"/>
              </w:rPr>
              <w:t xml:space="preserve"> </w:t>
            </w:r>
            <w:r w:rsidRPr="0018725F">
              <w:rPr>
                <w:rFonts w:eastAsia="MS Mincho"/>
                <w:lang w:eastAsia="en-US"/>
              </w:rPr>
              <w:t>to reduce their smoking by replacing as many cigarettes as possible with NRT of placebo treatment</w:t>
            </w:r>
            <w:r>
              <w:rPr>
                <w:rFonts w:eastAsia="MS Mincho"/>
                <w:lang w:eastAsia="en-US"/>
              </w:rPr>
              <w:t>.</w:t>
            </w:r>
          </w:p>
        </w:tc>
        <w:tc>
          <w:tcPr>
            <w:tcW w:w="1000" w:type="pct"/>
          </w:tcPr>
          <w:p w:rsidR="00F11F77"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w:t>
            </w:r>
            <w:r w:rsidRPr="0018725F">
              <w:rPr>
                <w:rFonts w:eastAsia="MS Mincho" w:cstheme="minorBidi"/>
              </w:rPr>
              <w:t>prolonged abstinence from 6 m</w:t>
            </w:r>
            <w:r>
              <w:rPr>
                <w:rFonts w:eastAsia="MS Mincho" w:cstheme="minorBidi"/>
              </w:rPr>
              <w:t>onths</w:t>
            </w:r>
            <w:r w:rsidRPr="0018725F">
              <w:rPr>
                <w:rFonts w:eastAsia="MS Mincho" w:cstheme="minorBidi"/>
              </w:rPr>
              <w:t xml:space="preserve"> to 12 m</w:t>
            </w:r>
            <w:r>
              <w:rPr>
                <w:rFonts w:eastAsia="MS Mincho" w:cstheme="minorBidi"/>
              </w:rPr>
              <w:t xml:space="preserve">onths. </w:t>
            </w:r>
          </w:p>
          <w:p w:rsidR="00F11F77" w:rsidRDefault="00F11F77" w:rsidP="006B48C7">
            <w:pPr>
              <w:pStyle w:val="Tablewriting"/>
              <w:rPr>
                <w:rFonts w:eastAsia="MS Mincho" w:cstheme="minorBidi"/>
              </w:rPr>
            </w:pPr>
            <w:r w:rsidRPr="0018725F">
              <w:rPr>
                <w:rFonts w:eastAsia="MS Mincho" w:cstheme="minorBidi"/>
              </w:rPr>
              <w:t>Biochemical validation: exhaled CO</w:t>
            </w:r>
            <w:r>
              <w:rPr>
                <w:rFonts w:eastAsia="MS Mincho" w:cstheme="minorBidi"/>
              </w:rPr>
              <w:t>.</w:t>
            </w:r>
          </w:p>
          <w:p w:rsidR="00F11F77" w:rsidRDefault="00F11F77" w:rsidP="006B48C7">
            <w:pPr>
              <w:pStyle w:val="Tablewriting"/>
              <w:rPr>
                <w:rFonts w:eastAsia="MS Mincho" w:cstheme="minorBidi"/>
              </w:rPr>
            </w:pPr>
          </w:p>
          <w:p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NR. </w:t>
            </w:r>
          </w:p>
        </w:tc>
      </w:tr>
      <w:tr w:rsidR="00F11F77" w:rsidRPr="00017AE6" w:rsidTr="00486A67">
        <w:trPr>
          <w:trHeight w:val="99"/>
        </w:trPr>
        <w:tc>
          <w:tcPr>
            <w:tcW w:w="541" w:type="pct"/>
          </w:tcPr>
          <w:p w:rsidR="00F11F77" w:rsidRPr="005321B7" w:rsidRDefault="00F11F77" w:rsidP="006B48C7">
            <w:pPr>
              <w:pStyle w:val="Tablewriting"/>
              <w:rPr>
                <w:rFonts w:eastAsia="MS Mincho"/>
              </w:rPr>
            </w:pPr>
            <w:r w:rsidRPr="005321B7">
              <w:rPr>
                <w:rFonts w:eastAsia="MS Mincho"/>
              </w:rPr>
              <w:t xml:space="preserve">Rennard </w:t>
            </w:r>
            <w:r>
              <w:rPr>
                <w:rFonts w:eastAsia="MS Mincho"/>
              </w:rPr>
              <w:t>(</w:t>
            </w:r>
            <w:r w:rsidRPr="005321B7">
              <w:rPr>
                <w:rFonts w:eastAsia="MS Mincho"/>
              </w:rPr>
              <w:t>2006</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USA</w:t>
            </w:r>
          </w:p>
        </w:tc>
        <w:tc>
          <w:tcPr>
            <w:tcW w:w="350" w:type="pct"/>
          </w:tcPr>
          <w:p w:rsidR="00F11F77" w:rsidRPr="00017AE6" w:rsidRDefault="00F11F77" w:rsidP="006B48C7">
            <w:pPr>
              <w:pStyle w:val="Tablewriting"/>
              <w:rPr>
                <w:rFonts w:eastAsia="MS Mincho" w:cstheme="minorHAnsi"/>
              </w:rPr>
            </w:pPr>
            <w:r w:rsidRPr="00A45426">
              <w:rPr>
                <w:rFonts w:eastAsia="MS Mincho" w:cstheme="minorHAnsi"/>
              </w:rPr>
              <w:t>N=</w:t>
            </w:r>
            <w:r>
              <w:rPr>
                <w:rFonts w:eastAsia="MS Mincho" w:cstheme="minorHAnsi"/>
              </w:rPr>
              <w:t>429</w:t>
            </w:r>
          </w:p>
        </w:tc>
        <w:tc>
          <w:tcPr>
            <w:tcW w:w="1168" w:type="pct"/>
          </w:tcPr>
          <w:p w:rsidR="00F11F77" w:rsidRPr="002C5EAC" w:rsidRDefault="00F11F77" w:rsidP="006B48C7">
            <w:pPr>
              <w:pStyle w:val="Tablewriting"/>
              <w:rPr>
                <w:rFonts w:eastAsia="MS Mincho" w:cstheme="minorHAnsi"/>
              </w:rPr>
            </w:pPr>
            <w:r w:rsidRPr="002C5EAC">
              <w:rPr>
                <w:rFonts w:eastAsia="MS Mincho" w:cstheme="minorHAnsi"/>
              </w:rPr>
              <w:t>55.3% female</w:t>
            </w:r>
            <w:r>
              <w:rPr>
                <w:rFonts w:eastAsia="MS Mincho" w:cstheme="minorHAnsi"/>
              </w:rPr>
              <w:t>,</w:t>
            </w:r>
            <w:r w:rsidRPr="002C5EAC">
              <w:rPr>
                <w:rFonts w:eastAsia="MS Mincho" w:cstheme="minorHAnsi"/>
              </w:rPr>
              <w:t xml:space="preserve"> average age 45.3 y</w:t>
            </w:r>
            <w:r>
              <w:rPr>
                <w:rFonts w:eastAsia="MS Mincho" w:cstheme="minorHAnsi"/>
              </w:rPr>
              <w:t xml:space="preserve">ears, </w:t>
            </w:r>
            <w:r w:rsidRPr="002C5EAC">
              <w:rPr>
                <w:rFonts w:eastAsia="MS Mincho" w:cstheme="minorHAnsi"/>
              </w:rPr>
              <w:t>average cig</w:t>
            </w:r>
            <w:r>
              <w:rPr>
                <w:rFonts w:eastAsia="MS Mincho" w:cstheme="minorHAnsi"/>
              </w:rPr>
              <w:t>arette</w:t>
            </w:r>
            <w:r w:rsidRPr="002C5EAC">
              <w:rPr>
                <w:rFonts w:eastAsia="MS Mincho" w:cstheme="minorHAnsi"/>
              </w:rPr>
              <w:t>/day 30</w:t>
            </w:r>
            <w:r>
              <w:rPr>
                <w:rFonts w:eastAsia="MS Mincho" w:cstheme="minorHAnsi"/>
              </w:rPr>
              <w:t>,</w:t>
            </w:r>
            <w:r w:rsidRPr="002C5EAC">
              <w:rPr>
                <w:rFonts w:eastAsia="MS Mincho" w:cstheme="minorHAnsi"/>
              </w:rPr>
              <w:t xml:space="preserve"> nicotine</w:t>
            </w:r>
          </w:p>
          <w:p w:rsidR="00F11F77" w:rsidRPr="00017AE6" w:rsidRDefault="00F11F77" w:rsidP="006B48C7">
            <w:pPr>
              <w:pStyle w:val="Tablewriting"/>
              <w:rPr>
                <w:rFonts w:eastAsia="MS Mincho" w:cstheme="minorHAnsi"/>
              </w:rPr>
            </w:pPr>
            <w:r w:rsidRPr="002C5EAC">
              <w:rPr>
                <w:rFonts w:eastAsia="MS Mincho" w:cstheme="minorHAnsi"/>
              </w:rPr>
              <w:t>dependence FTND 6.6</w:t>
            </w:r>
            <w:r>
              <w:rPr>
                <w:rFonts w:eastAsia="MS Mincho" w:cstheme="minorHAnsi"/>
              </w:rPr>
              <w:t xml:space="preserve">. </w:t>
            </w:r>
          </w:p>
        </w:tc>
        <w:tc>
          <w:tcPr>
            <w:tcW w:w="1288" w:type="pct"/>
          </w:tcPr>
          <w:p w:rsidR="00F11F77" w:rsidRPr="00C361C7" w:rsidRDefault="00F11F77" w:rsidP="00C324F3">
            <w:pPr>
              <w:pStyle w:val="ListParagraph"/>
              <w:numPr>
                <w:ilvl w:val="0"/>
                <w:numId w:val="225"/>
              </w:numPr>
              <w:rPr>
                <w:rFonts w:eastAsia="MS Mincho"/>
                <w:lang w:eastAsia="en-US"/>
              </w:rPr>
            </w:pPr>
            <w:r w:rsidRPr="00C361C7">
              <w:rPr>
                <w:rFonts w:eastAsia="MS Mincho"/>
                <w:lang w:eastAsia="en-US"/>
              </w:rPr>
              <w:t>Placebo inhaler</w:t>
            </w:r>
          </w:p>
          <w:p w:rsidR="00F11F77" w:rsidRPr="00C361C7" w:rsidRDefault="00F11F77" w:rsidP="00C324F3">
            <w:pPr>
              <w:pStyle w:val="ListParagraph"/>
              <w:numPr>
                <w:ilvl w:val="0"/>
                <w:numId w:val="225"/>
              </w:numPr>
              <w:rPr>
                <w:rFonts w:eastAsia="MS Mincho"/>
                <w:lang w:eastAsia="en-US"/>
              </w:rPr>
            </w:pPr>
            <w:r w:rsidRPr="00C361C7">
              <w:rPr>
                <w:rFonts w:eastAsia="MS Mincho"/>
                <w:lang w:eastAsia="en-US"/>
              </w:rPr>
              <w:t>Nicotine inhaler</w:t>
            </w:r>
          </w:p>
          <w:p w:rsidR="00F11F77" w:rsidRDefault="00F11F77" w:rsidP="006B48C7">
            <w:pPr>
              <w:rPr>
                <w:rFonts w:eastAsia="MS Mincho"/>
                <w:u w:val="single"/>
                <w:lang w:eastAsia="en-US"/>
              </w:rPr>
            </w:pPr>
          </w:p>
          <w:p w:rsidR="00F11F77" w:rsidRPr="002F7627" w:rsidRDefault="00F11F77" w:rsidP="006B48C7">
            <w:pPr>
              <w:rPr>
                <w:rFonts w:eastAsia="MS Mincho"/>
                <w:lang w:eastAsia="en-US"/>
              </w:rPr>
            </w:pPr>
            <w:r w:rsidRPr="00C361C7">
              <w:rPr>
                <w:rFonts w:eastAsia="MS Mincho"/>
                <w:u w:val="single"/>
                <w:lang w:eastAsia="en-US"/>
              </w:rPr>
              <w:t>Common component</w:t>
            </w:r>
            <w:r>
              <w:rPr>
                <w:rFonts w:eastAsia="MS Mincho"/>
                <w:lang w:eastAsia="en-US"/>
              </w:rPr>
              <w:t xml:space="preserve">: </w:t>
            </w:r>
            <w:r w:rsidRPr="00C361C7">
              <w:rPr>
                <w:rFonts w:eastAsia="MS Mincho"/>
                <w:lang w:eastAsia="en-US"/>
              </w:rPr>
              <w:t>All participants were instructed to reduce their smoking as much as possible and were provided with</w:t>
            </w:r>
            <w:r>
              <w:rPr>
                <w:rFonts w:eastAsia="MS Mincho"/>
                <w:lang w:eastAsia="en-US"/>
              </w:rPr>
              <w:t xml:space="preserve"> </w:t>
            </w:r>
            <w:r w:rsidRPr="00C361C7">
              <w:rPr>
                <w:rFonts w:eastAsia="MS Mincho"/>
                <w:lang w:eastAsia="en-US"/>
              </w:rPr>
              <w:t>information on possible ways to do so (no further detail given). Smoking cessation was recommended</w:t>
            </w:r>
            <w:r>
              <w:rPr>
                <w:rFonts w:eastAsia="MS Mincho"/>
                <w:lang w:eastAsia="en-US"/>
              </w:rPr>
              <w:t xml:space="preserve"> </w:t>
            </w:r>
            <w:r w:rsidRPr="00C361C7">
              <w:rPr>
                <w:rFonts w:eastAsia="MS Mincho"/>
                <w:lang w:eastAsia="en-US"/>
              </w:rPr>
              <w:t>from month 6 as the long-term goal</w:t>
            </w:r>
            <w:r>
              <w:rPr>
                <w:rFonts w:eastAsia="MS Mincho"/>
                <w:lang w:eastAsia="en-US"/>
              </w:rPr>
              <w:t>.</w:t>
            </w:r>
          </w:p>
        </w:tc>
        <w:tc>
          <w:tcPr>
            <w:tcW w:w="1000" w:type="pct"/>
          </w:tcPr>
          <w:p w:rsidR="00F11F77"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7-day PPA at 15 months.</w:t>
            </w:r>
          </w:p>
          <w:p w:rsidR="00F11F77" w:rsidRDefault="00F11F77" w:rsidP="006B48C7">
            <w:pPr>
              <w:pStyle w:val="Tablewriting"/>
              <w:rPr>
                <w:rFonts w:eastAsia="MS Mincho" w:cstheme="minorBidi"/>
              </w:rPr>
            </w:pPr>
            <w:r w:rsidRPr="002245E3">
              <w:rPr>
                <w:rFonts w:eastAsia="MS Mincho" w:cstheme="minorBidi"/>
              </w:rPr>
              <w:t>Biochemical validation: exhaled CO</w:t>
            </w:r>
            <w:r>
              <w:rPr>
                <w:rFonts w:eastAsia="MS Mincho" w:cstheme="minorBidi"/>
              </w:rPr>
              <w:t>.</w:t>
            </w:r>
          </w:p>
          <w:p w:rsidR="00F11F77" w:rsidRDefault="00F11F77" w:rsidP="006B48C7">
            <w:pPr>
              <w:pStyle w:val="Tablewriting"/>
              <w:rPr>
                <w:rFonts w:eastAsia="MS Mincho" w:cstheme="minorBidi"/>
              </w:rPr>
            </w:pPr>
          </w:p>
          <w:p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NR.</w:t>
            </w:r>
          </w:p>
        </w:tc>
      </w:tr>
      <w:tr w:rsidR="00F11F77" w:rsidRPr="00017AE6" w:rsidTr="00486A67">
        <w:trPr>
          <w:trHeight w:val="99"/>
        </w:trPr>
        <w:tc>
          <w:tcPr>
            <w:tcW w:w="541" w:type="pct"/>
          </w:tcPr>
          <w:p w:rsidR="00F11F77" w:rsidRPr="005321B7" w:rsidRDefault="00F11F77" w:rsidP="006B48C7">
            <w:pPr>
              <w:pStyle w:val="Tablewriting"/>
              <w:jc w:val="center"/>
              <w:rPr>
                <w:rFonts w:eastAsia="MS Mincho"/>
              </w:rPr>
            </w:pPr>
            <w:r w:rsidRPr="005321B7">
              <w:rPr>
                <w:rFonts w:eastAsia="MS Mincho"/>
              </w:rPr>
              <w:t xml:space="preserve">Shiffman </w:t>
            </w:r>
            <w:r>
              <w:rPr>
                <w:rFonts w:eastAsia="MS Mincho"/>
              </w:rPr>
              <w:t>(</w:t>
            </w:r>
            <w:r w:rsidRPr="005321B7">
              <w:rPr>
                <w:rFonts w:eastAsia="MS Mincho"/>
              </w:rPr>
              <w:t>2009</w:t>
            </w:r>
            <w:r>
              <w:rPr>
                <w:rFonts w:eastAsia="MS Mincho"/>
              </w:rPr>
              <w:t>)</w:t>
            </w:r>
          </w:p>
        </w:tc>
        <w:tc>
          <w:tcPr>
            <w:tcW w:w="235" w:type="pct"/>
          </w:tcPr>
          <w:p w:rsidR="00F11F77" w:rsidRPr="00017AE6" w:rsidRDefault="00E97BEA" w:rsidP="006B48C7">
            <w:pPr>
              <w:pStyle w:val="Tablewriting"/>
              <w:rPr>
                <w:rFonts w:eastAsia="MS Mincho" w:cstheme="minorHAnsi"/>
              </w:rPr>
            </w:pPr>
            <w:r>
              <w:rPr>
                <w:rFonts w:eastAsia="MS Mincho" w:cstheme="minorHAnsi"/>
              </w:rPr>
              <w:t>NR</w:t>
            </w:r>
          </w:p>
        </w:tc>
        <w:tc>
          <w:tcPr>
            <w:tcW w:w="418" w:type="pct"/>
          </w:tcPr>
          <w:p w:rsidR="00F11F77" w:rsidRPr="00017AE6" w:rsidRDefault="00E97BEA" w:rsidP="006B48C7">
            <w:pPr>
              <w:pStyle w:val="Tablewriting"/>
              <w:rPr>
                <w:rFonts w:eastAsia="MS Mincho" w:cstheme="minorHAnsi"/>
              </w:rPr>
            </w:pPr>
            <w:r>
              <w:rPr>
                <w:rFonts w:eastAsia="MS Mincho" w:cstheme="minorHAnsi"/>
              </w:rPr>
              <w:t>NR</w:t>
            </w:r>
          </w:p>
        </w:tc>
        <w:tc>
          <w:tcPr>
            <w:tcW w:w="350" w:type="pct"/>
          </w:tcPr>
          <w:p w:rsidR="00F11F77" w:rsidRPr="00017AE6" w:rsidRDefault="00F11F77" w:rsidP="006B48C7">
            <w:pPr>
              <w:pStyle w:val="Tablewriting"/>
              <w:rPr>
                <w:rFonts w:eastAsia="MS Mincho" w:cstheme="minorHAnsi"/>
              </w:rPr>
            </w:pPr>
            <w:r w:rsidRPr="00A45426">
              <w:rPr>
                <w:rFonts w:eastAsia="MS Mincho" w:cstheme="minorHAnsi"/>
              </w:rPr>
              <w:t>N</w:t>
            </w:r>
            <w:r w:rsidR="00E97BEA">
              <w:rPr>
                <w:rFonts w:eastAsia="MS Mincho" w:cstheme="minorHAnsi"/>
              </w:rPr>
              <w:t>R</w:t>
            </w:r>
          </w:p>
        </w:tc>
        <w:tc>
          <w:tcPr>
            <w:tcW w:w="1168" w:type="pct"/>
          </w:tcPr>
          <w:p w:rsidR="00F11F77" w:rsidRPr="00017AE6" w:rsidRDefault="00E97BEA" w:rsidP="006B48C7">
            <w:pPr>
              <w:pStyle w:val="Tablewriting"/>
              <w:rPr>
                <w:rFonts w:eastAsia="MS Mincho" w:cstheme="minorHAnsi"/>
              </w:rPr>
            </w:pPr>
            <w:r>
              <w:rPr>
                <w:rFonts w:eastAsia="MS Mincho" w:cstheme="minorHAnsi"/>
              </w:rPr>
              <w:t>NR</w:t>
            </w:r>
          </w:p>
        </w:tc>
        <w:tc>
          <w:tcPr>
            <w:tcW w:w="1288" w:type="pct"/>
          </w:tcPr>
          <w:p w:rsidR="00F11F77" w:rsidRPr="002F7627" w:rsidRDefault="00E97BEA" w:rsidP="006B48C7">
            <w:pPr>
              <w:rPr>
                <w:rFonts w:eastAsia="MS Mincho"/>
                <w:lang w:eastAsia="en-US"/>
              </w:rPr>
            </w:pPr>
            <w:r>
              <w:rPr>
                <w:rFonts w:eastAsia="MS Mincho"/>
                <w:lang w:eastAsia="en-US"/>
              </w:rPr>
              <w:t>NR</w:t>
            </w:r>
          </w:p>
        </w:tc>
        <w:tc>
          <w:tcPr>
            <w:tcW w:w="1000" w:type="pct"/>
          </w:tcPr>
          <w:p w:rsidR="00F11F77" w:rsidRPr="0139F213" w:rsidRDefault="002A3BB5" w:rsidP="006B48C7">
            <w:pPr>
              <w:pStyle w:val="Tablewriting"/>
              <w:rPr>
                <w:rFonts w:eastAsia="MS Mincho" w:cstheme="minorBidi"/>
              </w:rPr>
            </w:pPr>
            <w:r>
              <w:rPr>
                <w:rFonts w:eastAsia="MS Mincho" w:cstheme="minorBidi"/>
              </w:rPr>
              <w:t>NR</w:t>
            </w:r>
          </w:p>
        </w:tc>
      </w:tr>
      <w:tr w:rsidR="00F11F77" w:rsidRPr="00017AE6" w:rsidTr="00486A67">
        <w:trPr>
          <w:trHeight w:val="99"/>
        </w:trPr>
        <w:tc>
          <w:tcPr>
            <w:tcW w:w="541" w:type="pct"/>
          </w:tcPr>
          <w:p w:rsidR="00F11F77" w:rsidRPr="005321B7" w:rsidRDefault="00F11F77" w:rsidP="006B48C7">
            <w:pPr>
              <w:pStyle w:val="Tablewriting"/>
              <w:rPr>
                <w:rFonts w:eastAsia="MS Mincho"/>
              </w:rPr>
            </w:pPr>
            <w:r w:rsidRPr="005321B7">
              <w:rPr>
                <w:rFonts w:eastAsia="MS Mincho"/>
              </w:rPr>
              <w:t xml:space="preserve">Wennike </w:t>
            </w:r>
            <w:r>
              <w:rPr>
                <w:rFonts w:eastAsia="MS Mincho"/>
              </w:rPr>
              <w:t>(</w:t>
            </w:r>
            <w:r w:rsidRPr="005321B7">
              <w:rPr>
                <w:rFonts w:eastAsia="MS Mincho"/>
              </w:rPr>
              <w:t>2003</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Denmark</w:t>
            </w:r>
          </w:p>
        </w:tc>
        <w:tc>
          <w:tcPr>
            <w:tcW w:w="350" w:type="pct"/>
          </w:tcPr>
          <w:p w:rsidR="00F11F77" w:rsidRPr="00017AE6" w:rsidRDefault="00F11F77" w:rsidP="006B48C7">
            <w:pPr>
              <w:pStyle w:val="Tablewriting"/>
              <w:rPr>
                <w:rFonts w:eastAsia="MS Mincho" w:cstheme="minorHAnsi"/>
              </w:rPr>
            </w:pPr>
            <w:r w:rsidRPr="00A45426">
              <w:rPr>
                <w:rFonts w:eastAsia="MS Mincho" w:cstheme="minorHAnsi"/>
              </w:rPr>
              <w:t>N=</w:t>
            </w:r>
            <w:r>
              <w:rPr>
                <w:rFonts w:eastAsia="MS Mincho" w:cstheme="minorHAnsi"/>
              </w:rPr>
              <w:t>411</w:t>
            </w:r>
          </w:p>
        </w:tc>
        <w:tc>
          <w:tcPr>
            <w:tcW w:w="1168" w:type="pct"/>
          </w:tcPr>
          <w:p w:rsidR="00F11F77" w:rsidRPr="00D73E7B" w:rsidRDefault="00F11F77" w:rsidP="006B48C7">
            <w:pPr>
              <w:pStyle w:val="Tablewriting"/>
              <w:rPr>
                <w:rFonts w:eastAsia="MS Mincho" w:cstheme="minorHAnsi"/>
              </w:rPr>
            </w:pPr>
            <w:r w:rsidRPr="00D73E7B">
              <w:rPr>
                <w:rFonts w:eastAsia="MS Mincho" w:cstheme="minorHAnsi"/>
              </w:rPr>
              <w:t>61.8% female</w:t>
            </w:r>
            <w:r>
              <w:rPr>
                <w:rFonts w:eastAsia="MS Mincho" w:cstheme="minorHAnsi"/>
              </w:rPr>
              <w:t>,</w:t>
            </w:r>
            <w:r w:rsidRPr="00D73E7B">
              <w:rPr>
                <w:rFonts w:eastAsia="MS Mincho" w:cstheme="minorHAnsi"/>
              </w:rPr>
              <w:t xml:space="preserve"> average age 44.5 y</w:t>
            </w:r>
            <w:r>
              <w:rPr>
                <w:rFonts w:eastAsia="MS Mincho" w:cstheme="minorHAnsi"/>
              </w:rPr>
              <w:t>ears,</w:t>
            </w:r>
            <w:r w:rsidRPr="00D73E7B">
              <w:rPr>
                <w:rFonts w:eastAsia="MS Mincho" w:cstheme="minorHAnsi"/>
              </w:rPr>
              <w:t xml:space="preserve"> average cig</w:t>
            </w:r>
            <w:r>
              <w:rPr>
                <w:rFonts w:eastAsia="MS Mincho" w:cstheme="minorHAnsi"/>
              </w:rPr>
              <w:t>arette</w:t>
            </w:r>
            <w:r w:rsidRPr="00D73E7B">
              <w:rPr>
                <w:rFonts w:eastAsia="MS Mincho" w:cstheme="minorHAnsi"/>
              </w:rPr>
              <w:t>/day 24</w:t>
            </w:r>
            <w:r>
              <w:rPr>
                <w:rFonts w:eastAsia="MS Mincho" w:cstheme="minorHAnsi"/>
              </w:rPr>
              <w:t>,</w:t>
            </w:r>
            <w:r w:rsidRPr="00D73E7B">
              <w:rPr>
                <w:rFonts w:eastAsia="MS Mincho" w:cstheme="minorHAnsi"/>
              </w:rPr>
              <w:t xml:space="preserve"> nicotine</w:t>
            </w:r>
          </w:p>
          <w:p w:rsidR="00F11F77" w:rsidRPr="00017AE6" w:rsidRDefault="00F11F77" w:rsidP="006B48C7">
            <w:pPr>
              <w:pStyle w:val="Tablewriting"/>
              <w:rPr>
                <w:rFonts w:eastAsia="MS Mincho" w:cstheme="minorHAnsi"/>
              </w:rPr>
            </w:pPr>
            <w:r w:rsidRPr="00D73E7B">
              <w:rPr>
                <w:rFonts w:eastAsia="MS Mincho" w:cstheme="minorHAnsi"/>
              </w:rPr>
              <w:t>dependence FTND 6.4</w:t>
            </w:r>
            <w:r>
              <w:rPr>
                <w:rFonts w:eastAsia="MS Mincho" w:cstheme="minorHAnsi"/>
              </w:rPr>
              <w:t>.</w:t>
            </w:r>
          </w:p>
        </w:tc>
        <w:tc>
          <w:tcPr>
            <w:tcW w:w="1288" w:type="pct"/>
          </w:tcPr>
          <w:p w:rsidR="00F11F77" w:rsidRPr="00B835A6" w:rsidRDefault="00F11F77" w:rsidP="00C324F3">
            <w:pPr>
              <w:pStyle w:val="ListParagraph"/>
              <w:numPr>
                <w:ilvl w:val="0"/>
                <w:numId w:val="226"/>
              </w:numPr>
              <w:rPr>
                <w:rFonts w:eastAsia="MS Mincho"/>
                <w:lang w:eastAsia="en-US"/>
              </w:rPr>
            </w:pPr>
            <w:r w:rsidRPr="00B835A6">
              <w:rPr>
                <w:rFonts w:eastAsia="MS Mincho"/>
                <w:lang w:eastAsia="en-US"/>
              </w:rPr>
              <w:t>Placebo gum</w:t>
            </w:r>
          </w:p>
          <w:p w:rsidR="00F11F77" w:rsidRPr="00B835A6" w:rsidRDefault="00F11F77" w:rsidP="00C324F3">
            <w:pPr>
              <w:pStyle w:val="ListParagraph"/>
              <w:numPr>
                <w:ilvl w:val="0"/>
                <w:numId w:val="226"/>
              </w:numPr>
              <w:rPr>
                <w:rFonts w:eastAsia="MS Mincho"/>
                <w:lang w:eastAsia="en-US"/>
              </w:rPr>
            </w:pPr>
            <w:r w:rsidRPr="00B835A6">
              <w:rPr>
                <w:rFonts w:eastAsia="MS Mincho"/>
                <w:lang w:eastAsia="en-US"/>
              </w:rPr>
              <w:t>Nicotine gum</w:t>
            </w:r>
          </w:p>
          <w:p w:rsidR="00F11F77" w:rsidRDefault="00F11F77" w:rsidP="006B48C7">
            <w:pPr>
              <w:rPr>
                <w:rFonts w:eastAsia="MS Mincho"/>
                <w:u w:val="single"/>
                <w:lang w:eastAsia="en-US"/>
              </w:rPr>
            </w:pPr>
          </w:p>
          <w:p w:rsidR="00F11F77" w:rsidRPr="002F7627" w:rsidRDefault="00F11F77" w:rsidP="006B48C7">
            <w:pPr>
              <w:rPr>
                <w:rFonts w:eastAsia="MS Mincho"/>
                <w:lang w:eastAsia="en-US"/>
              </w:rPr>
            </w:pPr>
            <w:r w:rsidRPr="00B835A6">
              <w:rPr>
                <w:rFonts w:eastAsia="MS Mincho"/>
                <w:u w:val="single"/>
                <w:lang w:eastAsia="en-US"/>
              </w:rPr>
              <w:t>Common component</w:t>
            </w:r>
            <w:r>
              <w:rPr>
                <w:rFonts w:eastAsia="MS Mincho"/>
                <w:lang w:eastAsia="en-US"/>
              </w:rPr>
              <w:t xml:space="preserve">: </w:t>
            </w:r>
            <w:r w:rsidRPr="00B835A6">
              <w:rPr>
                <w:rFonts w:eastAsia="MS Mincho"/>
                <w:lang w:eastAsia="en-US"/>
              </w:rPr>
              <w:t>All participants received information on behavioural smoking reduction and the general implications</w:t>
            </w:r>
            <w:r>
              <w:rPr>
                <w:rFonts w:eastAsia="MS Mincho"/>
                <w:lang w:eastAsia="en-US"/>
              </w:rPr>
              <w:t xml:space="preserve"> </w:t>
            </w:r>
            <w:r w:rsidRPr="00B835A6">
              <w:rPr>
                <w:rFonts w:eastAsia="MS Mincho"/>
                <w:lang w:eastAsia="en-US"/>
              </w:rPr>
              <w:t>of smoking and its effects on health parameters. They were asked to reduce their daily number of cigarettes</w:t>
            </w:r>
            <w:r>
              <w:rPr>
                <w:rFonts w:eastAsia="MS Mincho"/>
                <w:lang w:eastAsia="en-US"/>
              </w:rPr>
              <w:t xml:space="preserve"> </w:t>
            </w:r>
            <w:r w:rsidRPr="00B835A6">
              <w:rPr>
                <w:rFonts w:eastAsia="MS Mincho"/>
                <w:lang w:eastAsia="en-US"/>
              </w:rPr>
              <w:t>as much as possible by increasing the intervals between cigarettes or increasing the time to first</w:t>
            </w:r>
            <w:r>
              <w:rPr>
                <w:rFonts w:eastAsia="MS Mincho"/>
                <w:lang w:eastAsia="en-US"/>
              </w:rPr>
              <w:t xml:space="preserve"> </w:t>
            </w:r>
            <w:r w:rsidRPr="00B835A6">
              <w:rPr>
                <w:rFonts w:eastAsia="MS Mincho"/>
                <w:lang w:eastAsia="en-US"/>
              </w:rPr>
              <w:t xml:space="preserve">cigarette in the morning or removing habitual cigarettes. Smoking </w:t>
            </w:r>
            <w:r w:rsidRPr="00B835A6">
              <w:rPr>
                <w:rFonts w:eastAsia="MS Mincho"/>
                <w:lang w:eastAsia="en-US"/>
              </w:rPr>
              <w:lastRenderedPageBreak/>
              <w:t>cessation was recommended as the</w:t>
            </w:r>
            <w:r>
              <w:rPr>
                <w:rFonts w:eastAsia="MS Mincho"/>
                <w:lang w:eastAsia="en-US"/>
              </w:rPr>
              <w:t xml:space="preserve"> </w:t>
            </w:r>
            <w:r w:rsidRPr="00B835A6">
              <w:rPr>
                <w:rFonts w:eastAsia="MS Mincho"/>
                <w:lang w:eastAsia="en-US"/>
              </w:rPr>
              <w:t>ultimate goal throughout the study</w:t>
            </w:r>
            <w:r>
              <w:rPr>
                <w:rFonts w:eastAsia="MS Mincho"/>
                <w:lang w:eastAsia="en-US"/>
              </w:rPr>
              <w:t>.</w:t>
            </w:r>
          </w:p>
        </w:tc>
        <w:tc>
          <w:tcPr>
            <w:tcW w:w="1000" w:type="pct"/>
          </w:tcPr>
          <w:p w:rsidR="00F11F77" w:rsidRDefault="00F11F77" w:rsidP="006B48C7">
            <w:pPr>
              <w:pStyle w:val="Tablewriting"/>
              <w:rPr>
                <w:rFonts w:eastAsia="MS Mincho" w:cstheme="minorBidi"/>
              </w:rPr>
            </w:pPr>
            <w:r w:rsidRPr="006934BD">
              <w:rPr>
                <w:rFonts w:eastAsia="MS Mincho" w:cstheme="minorBidi"/>
                <w:u w:val="single"/>
              </w:rPr>
              <w:lastRenderedPageBreak/>
              <w:t>Efficacy</w:t>
            </w:r>
            <w:r>
              <w:rPr>
                <w:rFonts w:eastAsia="MS Mincho" w:cstheme="minorBidi"/>
              </w:rPr>
              <w:t>: 7-day PPA at 24 months.</w:t>
            </w:r>
          </w:p>
          <w:p w:rsidR="00F11F77" w:rsidRDefault="00F11F77" w:rsidP="006B48C7">
            <w:pPr>
              <w:pStyle w:val="Tablewriting"/>
              <w:rPr>
                <w:rFonts w:eastAsia="MS Mincho" w:cstheme="minorBidi"/>
              </w:rPr>
            </w:pPr>
            <w:r w:rsidRPr="00B835A6">
              <w:rPr>
                <w:rFonts w:eastAsia="MS Mincho" w:cstheme="minorBidi"/>
              </w:rPr>
              <w:t>Biochemical validation: exhaled CO</w:t>
            </w:r>
            <w:r>
              <w:rPr>
                <w:rFonts w:eastAsia="MS Mincho" w:cstheme="minorBidi"/>
              </w:rPr>
              <w:t xml:space="preserve">. </w:t>
            </w:r>
          </w:p>
          <w:p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NR.</w:t>
            </w:r>
          </w:p>
        </w:tc>
      </w:tr>
      <w:tr w:rsidR="00F11F77" w:rsidRPr="00017AE6" w:rsidTr="00486A67">
        <w:trPr>
          <w:trHeight w:val="99"/>
        </w:trPr>
        <w:tc>
          <w:tcPr>
            <w:tcW w:w="541" w:type="pct"/>
          </w:tcPr>
          <w:p w:rsidR="00F11F77" w:rsidRPr="005321B7" w:rsidRDefault="00F11F77" w:rsidP="006B48C7">
            <w:pPr>
              <w:pStyle w:val="Tablewriting"/>
              <w:rPr>
                <w:rFonts w:eastAsia="MS Mincho"/>
              </w:rPr>
            </w:pPr>
            <w:r w:rsidRPr="0051347A">
              <w:rPr>
                <w:rFonts w:eastAsia="MS Mincho"/>
              </w:rPr>
              <w:t xml:space="preserve">Ebbert </w:t>
            </w:r>
            <w:r>
              <w:rPr>
                <w:rFonts w:eastAsia="MS Mincho"/>
              </w:rPr>
              <w:t>(</w:t>
            </w:r>
            <w:r w:rsidRPr="0051347A">
              <w:rPr>
                <w:rFonts w:eastAsia="MS Mincho"/>
              </w:rPr>
              <w:t>2015</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sidRPr="00765662">
              <w:rPr>
                <w:rFonts w:eastAsia="MS Mincho" w:cstheme="minorHAnsi"/>
              </w:rPr>
              <w:t>Australia, Canada, Czech Republic, Egypt, Germany, Japan, Mexico, Taiwan, UK, USA</w:t>
            </w:r>
          </w:p>
        </w:tc>
        <w:tc>
          <w:tcPr>
            <w:tcW w:w="350" w:type="pct"/>
          </w:tcPr>
          <w:p w:rsidR="00F11F77" w:rsidRPr="00017AE6" w:rsidRDefault="00F11F77" w:rsidP="006B48C7">
            <w:pPr>
              <w:pStyle w:val="Tablewriting"/>
              <w:rPr>
                <w:rFonts w:eastAsia="MS Mincho" w:cstheme="minorHAnsi"/>
              </w:rPr>
            </w:pPr>
            <w:r w:rsidRPr="00745320">
              <w:rPr>
                <w:rFonts w:eastAsia="MS Mincho" w:cstheme="minorHAnsi"/>
              </w:rPr>
              <w:t>N=</w:t>
            </w:r>
            <w:r>
              <w:rPr>
                <w:rFonts w:eastAsia="MS Mincho" w:cstheme="minorHAnsi"/>
              </w:rPr>
              <w:t>1510</w:t>
            </w:r>
          </w:p>
        </w:tc>
        <w:tc>
          <w:tcPr>
            <w:tcW w:w="1168" w:type="pct"/>
          </w:tcPr>
          <w:p w:rsidR="00F11F77" w:rsidRPr="00765662" w:rsidRDefault="00F11F77" w:rsidP="006B48C7">
            <w:pPr>
              <w:pStyle w:val="Tablewriting"/>
              <w:rPr>
                <w:rFonts w:eastAsia="MS Mincho" w:cstheme="minorHAnsi"/>
              </w:rPr>
            </w:pPr>
            <w:r w:rsidRPr="00765662">
              <w:rPr>
                <w:rFonts w:eastAsia="MS Mincho" w:cstheme="minorHAnsi"/>
              </w:rPr>
              <w:t>44% female</w:t>
            </w:r>
            <w:r>
              <w:rPr>
                <w:rFonts w:eastAsia="MS Mincho" w:cstheme="minorHAnsi"/>
              </w:rPr>
              <w:t>,</w:t>
            </w:r>
            <w:r w:rsidRPr="00765662">
              <w:rPr>
                <w:rFonts w:eastAsia="MS Mincho" w:cstheme="minorHAnsi"/>
              </w:rPr>
              <w:t xml:space="preserve"> average age 44.6 y</w:t>
            </w:r>
            <w:r>
              <w:rPr>
                <w:rFonts w:eastAsia="MS Mincho" w:cstheme="minorHAnsi"/>
              </w:rPr>
              <w:t>ears,</w:t>
            </w:r>
            <w:r w:rsidRPr="00765662">
              <w:rPr>
                <w:rFonts w:eastAsia="MS Mincho" w:cstheme="minorHAnsi"/>
              </w:rPr>
              <w:t xml:space="preserve"> average cig</w:t>
            </w:r>
            <w:r>
              <w:rPr>
                <w:rFonts w:eastAsia="MS Mincho" w:cstheme="minorHAnsi"/>
              </w:rPr>
              <w:t>arette</w:t>
            </w:r>
            <w:r w:rsidRPr="00765662">
              <w:rPr>
                <w:rFonts w:eastAsia="MS Mincho" w:cstheme="minorHAnsi"/>
              </w:rPr>
              <w:t>/day 21</w:t>
            </w:r>
            <w:r>
              <w:rPr>
                <w:rFonts w:eastAsia="MS Mincho" w:cstheme="minorHAnsi"/>
              </w:rPr>
              <w:t>,</w:t>
            </w:r>
            <w:r w:rsidRPr="00765662">
              <w:rPr>
                <w:rFonts w:eastAsia="MS Mincho" w:cstheme="minorHAnsi"/>
              </w:rPr>
              <w:t xml:space="preserve"> nicotine</w:t>
            </w:r>
          </w:p>
          <w:p w:rsidR="00F11F77" w:rsidRPr="00017AE6" w:rsidRDefault="00F11F77" w:rsidP="006B48C7">
            <w:pPr>
              <w:pStyle w:val="Tablewriting"/>
              <w:rPr>
                <w:rFonts w:eastAsia="MS Mincho" w:cstheme="minorHAnsi"/>
              </w:rPr>
            </w:pPr>
            <w:r w:rsidRPr="00765662">
              <w:rPr>
                <w:rFonts w:eastAsia="MS Mincho" w:cstheme="minorHAnsi"/>
              </w:rPr>
              <w:t>dependence FTND 5.6</w:t>
            </w:r>
            <w:r>
              <w:rPr>
                <w:rFonts w:eastAsia="MS Mincho" w:cstheme="minorHAnsi"/>
              </w:rPr>
              <w:t xml:space="preserve">. </w:t>
            </w:r>
          </w:p>
        </w:tc>
        <w:tc>
          <w:tcPr>
            <w:tcW w:w="1288" w:type="pct"/>
          </w:tcPr>
          <w:p w:rsidR="00F11F77" w:rsidRPr="00AB1658" w:rsidRDefault="00F11F77" w:rsidP="00C324F3">
            <w:pPr>
              <w:pStyle w:val="ListParagraph"/>
              <w:numPr>
                <w:ilvl w:val="0"/>
                <w:numId w:val="227"/>
              </w:numPr>
              <w:rPr>
                <w:rFonts w:eastAsia="MS Mincho"/>
                <w:lang w:eastAsia="en-US"/>
              </w:rPr>
            </w:pPr>
            <w:r w:rsidRPr="00AB1658">
              <w:rPr>
                <w:rFonts w:eastAsia="MS Mincho"/>
                <w:lang w:eastAsia="en-US"/>
              </w:rPr>
              <w:t>Placebo</w:t>
            </w:r>
          </w:p>
          <w:p w:rsidR="00F11F77" w:rsidRDefault="00F11F77" w:rsidP="00C324F3">
            <w:pPr>
              <w:pStyle w:val="ListParagraph"/>
              <w:numPr>
                <w:ilvl w:val="0"/>
                <w:numId w:val="227"/>
              </w:numPr>
              <w:rPr>
                <w:rFonts w:eastAsia="MS Mincho"/>
                <w:lang w:eastAsia="en-US"/>
              </w:rPr>
            </w:pPr>
            <w:r w:rsidRPr="00AB1658">
              <w:rPr>
                <w:rFonts w:eastAsia="MS Mincho"/>
                <w:lang w:eastAsia="en-US"/>
              </w:rPr>
              <w:t>Varenicline</w:t>
            </w:r>
          </w:p>
          <w:p w:rsidR="00F11F77" w:rsidRDefault="00F11F77" w:rsidP="006B48C7">
            <w:pPr>
              <w:rPr>
                <w:rFonts w:eastAsia="MS Mincho"/>
                <w:lang w:eastAsia="en-US"/>
              </w:rPr>
            </w:pPr>
          </w:p>
          <w:p w:rsidR="00F11F77" w:rsidRPr="00AB1658" w:rsidRDefault="00F11F77" w:rsidP="006B48C7">
            <w:pPr>
              <w:rPr>
                <w:rFonts w:eastAsia="MS Mincho"/>
                <w:lang w:eastAsia="en-US"/>
              </w:rPr>
            </w:pPr>
            <w:r w:rsidRPr="00AB1658">
              <w:rPr>
                <w:rFonts w:eastAsia="MS Mincho"/>
                <w:lang w:eastAsia="en-US"/>
              </w:rPr>
              <w:t>All participants received a self-help smoking cessation booklet and were asked to reduce baseline</w:t>
            </w:r>
            <w:r>
              <w:rPr>
                <w:rFonts w:eastAsia="MS Mincho"/>
                <w:lang w:eastAsia="en-US"/>
              </w:rPr>
              <w:t xml:space="preserve"> </w:t>
            </w:r>
            <w:r w:rsidRPr="00AB1658">
              <w:rPr>
                <w:rFonts w:eastAsia="MS Mincho"/>
                <w:lang w:eastAsia="en-US"/>
              </w:rPr>
              <w:t>smoking rate by K 50% by week 4 with further reduction to 75% from baseline by week 8 with the goal</w:t>
            </w:r>
            <w:r>
              <w:rPr>
                <w:rFonts w:eastAsia="MS Mincho"/>
                <w:lang w:eastAsia="en-US"/>
              </w:rPr>
              <w:t xml:space="preserve"> </w:t>
            </w:r>
            <w:r w:rsidRPr="00AB1658">
              <w:rPr>
                <w:rFonts w:eastAsia="MS Mincho"/>
                <w:lang w:eastAsia="en-US"/>
              </w:rPr>
              <w:t>of quitting by week 12. Participants could reduce their smoking faster and could make a quit attempt</w:t>
            </w:r>
            <w:r>
              <w:rPr>
                <w:rFonts w:eastAsia="MS Mincho"/>
                <w:lang w:eastAsia="en-US"/>
              </w:rPr>
              <w:t xml:space="preserve"> </w:t>
            </w:r>
            <w:r w:rsidRPr="00AB1658">
              <w:rPr>
                <w:rFonts w:eastAsia="MS Mincho"/>
                <w:lang w:eastAsia="en-US"/>
              </w:rPr>
              <w:t>prior to week 12 if desired. Advice on reduction techniques was provided, such as systematically increasing</w:t>
            </w:r>
          </w:p>
          <w:p w:rsidR="00F11F77" w:rsidRPr="00AB1658" w:rsidRDefault="00F11F77" w:rsidP="006B48C7">
            <w:pPr>
              <w:rPr>
                <w:rFonts w:eastAsia="MS Mincho"/>
                <w:lang w:eastAsia="en-US"/>
              </w:rPr>
            </w:pPr>
            <w:r w:rsidRPr="00AB1658">
              <w:rPr>
                <w:rFonts w:eastAsia="MS Mincho"/>
                <w:lang w:eastAsia="en-US"/>
              </w:rPr>
              <w:t>the amount of time between cigarettes and rank-ordering cigarettes from easiest to hardest</w:t>
            </w:r>
            <w:r>
              <w:rPr>
                <w:rFonts w:eastAsia="MS Mincho"/>
                <w:lang w:eastAsia="en-US"/>
              </w:rPr>
              <w:t xml:space="preserve"> </w:t>
            </w:r>
            <w:r w:rsidRPr="00AB1658">
              <w:rPr>
                <w:rFonts w:eastAsia="MS Mincho"/>
                <w:lang w:eastAsia="en-US"/>
              </w:rPr>
              <w:t>to give up, and giving up the easiest to the hardest. Participants who had not reduced or made a quit</w:t>
            </w:r>
            <w:r>
              <w:rPr>
                <w:rFonts w:eastAsia="MS Mincho"/>
                <w:lang w:eastAsia="en-US"/>
              </w:rPr>
              <w:t xml:space="preserve"> </w:t>
            </w:r>
            <w:r w:rsidRPr="00AB1658">
              <w:rPr>
                <w:rFonts w:eastAsia="MS Mincho"/>
                <w:lang w:eastAsia="en-US"/>
              </w:rPr>
              <w:t>attempt by week 12 were encouraged to continue medications and visits and make quit attempts, and</w:t>
            </w:r>
            <w:r>
              <w:rPr>
                <w:rFonts w:eastAsia="MS Mincho"/>
                <w:lang w:eastAsia="en-US"/>
              </w:rPr>
              <w:t xml:space="preserve"> </w:t>
            </w:r>
            <w:r w:rsidRPr="00AB1658">
              <w:rPr>
                <w:rFonts w:eastAsia="MS Mincho"/>
                <w:lang w:eastAsia="en-US"/>
              </w:rPr>
              <w:t>participants who relapsed after week 12 were encouraged to make new quit attempts</w:t>
            </w:r>
            <w:r>
              <w:rPr>
                <w:rFonts w:eastAsia="MS Mincho"/>
                <w:lang w:eastAsia="en-US"/>
              </w:rPr>
              <w:t>.</w:t>
            </w:r>
          </w:p>
        </w:tc>
        <w:tc>
          <w:tcPr>
            <w:tcW w:w="1000" w:type="pct"/>
          </w:tcPr>
          <w:p w:rsidR="00F11F77"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P</w:t>
            </w:r>
            <w:r w:rsidRPr="0055553A">
              <w:rPr>
                <w:rFonts w:eastAsia="MS Mincho" w:cstheme="minorBidi"/>
              </w:rPr>
              <w:t>rolonged (abstinent for last 10 weeks)</w:t>
            </w:r>
            <w:r>
              <w:rPr>
                <w:rFonts w:eastAsia="MS Mincho" w:cstheme="minorBidi"/>
              </w:rPr>
              <w:t xml:space="preserve">, longest follow-up 1 year. </w:t>
            </w:r>
          </w:p>
          <w:p w:rsidR="00F11F77" w:rsidRDefault="00F11F77" w:rsidP="006B48C7">
            <w:pPr>
              <w:pStyle w:val="Tablewriting"/>
              <w:rPr>
                <w:rFonts w:eastAsia="MS Mincho" w:cstheme="minorBidi"/>
              </w:rPr>
            </w:pPr>
            <w:r w:rsidRPr="0055553A">
              <w:rPr>
                <w:rFonts w:eastAsia="MS Mincho" w:cstheme="minorBidi"/>
              </w:rPr>
              <w:t>Biochemical validation: exhaled CO (≤10 ppm at each visit)</w:t>
            </w:r>
            <w:r>
              <w:rPr>
                <w:rFonts w:eastAsia="MS Mincho" w:cstheme="minorBidi"/>
              </w:rPr>
              <w:t xml:space="preserve">. </w:t>
            </w:r>
          </w:p>
          <w:p w:rsidR="00F11F77" w:rsidRDefault="00F11F77" w:rsidP="006B48C7">
            <w:pPr>
              <w:pStyle w:val="Tablewriting"/>
              <w:rPr>
                <w:rFonts w:eastAsia="MS Mincho" w:cstheme="minorBidi"/>
                <w:u w:val="single"/>
              </w:rPr>
            </w:pPr>
          </w:p>
          <w:p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NR. </w:t>
            </w:r>
          </w:p>
        </w:tc>
      </w:tr>
      <w:tr w:rsidR="00F11F77" w:rsidRPr="00017AE6" w:rsidTr="00486A67">
        <w:trPr>
          <w:trHeight w:val="99"/>
        </w:trPr>
        <w:tc>
          <w:tcPr>
            <w:tcW w:w="541" w:type="pct"/>
          </w:tcPr>
          <w:p w:rsidR="00F11F77" w:rsidRPr="0051347A" w:rsidRDefault="00F11F77" w:rsidP="006B48C7">
            <w:pPr>
              <w:pStyle w:val="Tablewriting"/>
              <w:rPr>
                <w:rFonts w:eastAsia="MS Mincho"/>
              </w:rPr>
            </w:pPr>
            <w:r w:rsidRPr="0051347A">
              <w:rPr>
                <w:rFonts w:eastAsia="MS Mincho"/>
              </w:rPr>
              <w:t xml:space="preserve">Hatsukami </w:t>
            </w:r>
            <w:r>
              <w:rPr>
                <w:rFonts w:eastAsia="MS Mincho"/>
              </w:rPr>
              <w:t>(</w:t>
            </w:r>
            <w:r w:rsidRPr="0051347A">
              <w:rPr>
                <w:rFonts w:eastAsia="MS Mincho"/>
              </w:rPr>
              <w:t>2004</w:t>
            </w:r>
            <w:r>
              <w:rPr>
                <w:rFonts w:eastAsia="MS Mincho"/>
              </w:rPr>
              <w:t>)</w:t>
            </w:r>
          </w:p>
        </w:tc>
        <w:tc>
          <w:tcPr>
            <w:tcW w:w="235" w:type="pct"/>
          </w:tcPr>
          <w:p w:rsidR="00F11F77" w:rsidRPr="00017AE6" w:rsidRDefault="00F11F77" w:rsidP="006B48C7">
            <w:pPr>
              <w:pStyle w:val="Tablewriting"/>
              <w:rPr>
                <w:rFonts w:eastAsia="MS Mincho" w:cstheme="minorHAnsi"/>
              </w:rPr>
            </w:pPr>
            <w:r>
              <w:rPr>
                <w:rFonts w:eastAsia="MS Mincho" w:cstheme="minorHAnsi"/>
              </w:rPr>
              <w:t>RCT</w:t>
            </w:r>
          </w:p>
        </w:tc>
        <w:tc>
          <w:tcPr>
            <w:tcW w:w="418" w:type="pct"/>
          </w:tcPr>
          <w:p w:rsidR="00F11F77" w:rsidRPr="00017AE6" w:rsidRDefault="00F11F77" w:rsidP="006B48C7">
            <w:pPr>
              <w:pStyle w:val="Tablewriting"/>
              <w:rPr>
                <w:rFonts w:eastAsia="MS Mincho" w:cstheme="minorHAnsi"/>
              </w:rPr>
            </w:pPr>
            <w:r>
              <w:rPr>
                <w:rFonts w:eastAsia="MS Mincho" w:cstheme="minorHAnsi"/>
              </w:rPr>
              <w:t>USA</w:t>
            </w:r>
          </w:p>
        </w:tc>
        <w:tc>
          <w:tcPr>
            <w:tcW w:w="350" w:type="pct"/>
          </w:tcPr>
          <w:p w:rsidR="00F11F77" w:rsidRPr="00017AE6" w:rsidRDefault="00F11F77" w:rsidP="006B48C7">
            <w:pPr>
              <w:pStyle w:val="Tablewriting"/>
              <w:rPr>
                <w:rFonts w:eastAsia="MS Mincho" w:cstheme="minorHAnsi"/>
              </w:rPr>
            </w:pPr>
            <w:r w:rsidRPr="00745320">
              <w:rPr>
                <w:rFonts w:eastAsia="MS Mincho" w:cstheme="minorHAnsi"/>
              </w:rPr>
              <w:t>N=</w:t>
            </w:r>
            <w:r>
              <w:rPr>
                <w:rFonts w:eastAsia="MS Mincho" w:cstheme="minorHAnsi"/>
              </w:rPr>
              <w:t>594</w:t>
            </w:r>
          </w:p>
        </w:tc>
        <w:tc>
          <w:tcPr>
            <w:tcW w:w="1168" w:type="pct"/>
          </w:tcPr>
          <w:p w:rsidR="00F11F77" w:rsidRPr="0079115C" w:rsidRDefault="00F11F77" w:rsidP="006B48C7">
            <w:pPr>
              <w:pStyle w:val="Tablewriting"/>
              <w:rPr>
                <w:rFonts w:eastAsia="MS Mincho" w:cstheme="minorHAnsi"/>
              </w:rPr>
            </w:pPr>
            <w:r>
              <w:rPr>
                <w:rFonts w:eastAsia="MS Mincho" w:cstheme="minorHAnsi"/>
              </w:rPr>
              <w:t>F</w:t>
            </w:r>
            <w:r w:rsidRPr="0079115C">
              <w:rPr>
                <w:rFonts w:eastAsia="MS Mincho" w:cstheme="minorHAnsi"/>
              </w:rPr>
              <w:t>emale</w:t>
            </w:r>
            <w:r>
              <w:rPr>
                <w:rFonts w:eastAsia="MS Mincho" w:cstheme="minorHAnsi"/>
              </w:rPr>
              <w:t>,</w:t>
            </w:r>
            <w:r w:rsidRPr="0079115C">
              <w:rPr>
                <w:rFonts w:eastAsia="MS Mincho" w:cstheme="minorHAnsi"/>
              </w:rPr>
              <w:t xml:space="preserve"> average age 42.3 y</w:t>
            </w:r>
            <w:r>
              <w:rPr>
                <w:rFonts w:eastAsia="MS Mincho" w:cstheme="minorHAnsi"/>
              </w:rPr>
              <w:t>ears,</w:t>
            </w:r>
            <w:r w:rsidRPr="0079115C">
              <w:rPr>
                <w:rFonts w:eastAsia="MS Mincho" w:cstheme="minorHAnsi"/>
              </w:rPr>
              <w:t xml:space="preserve"> average cig</w:t>
            </w:r>
            <w:r>
              <w:rPr>
                <w:rFonts w:eastAsia="MS Mincho" w:cstheme="minorHAnsi"/>
              </w:rPr>
              <w:t>arette</w:t>
            </w:r>
            <w:r w:rsidRPr="0079115C">
              <w:rPr>
                <w:rFonts w:eastAsia="MS Mincho" w:cstheme="minorHAnsi"/>
              </w:rPr>
              <w:t>/day 29</w:t>
            </w:r>
            <w:r>
              <w:rPr>
                <w:rFonts w:eastAsia="MS Mincho" w:cstheme="minorHAnsi"/>
              </w:rPr>
              <w:t>,</w:t>
            </w:r>
            <w:r w:rsidRPr="0079115C">
              <w:rPr>
                <w:rFonts w:eastAsia="MS Mincho" w:cstheme="minorHAnsi"/>
              </w:rPr>
              <w:t xml:space="preserve"> nicotine</w:t>
            </w:r>
          </w:p>
          <w:p w:rsidR="00F11F77" w:rsidRPr="00017AE6" w:rsidRDefault="00F11F77" w:rsidP="006B48C7">
            <w:pPr>
              <w:pStyle w:val="Tablewriting"/>
              <w:rPr>
                <w:rFonts w:eastAsia="MS Mincho" w:cstheme="minorHAnsi"/>
              </w:rPr>
            </w:pPr>
            <w:r w:rsidRPr="0079115C">
              <w:rPr>
                <w:rFonts w:eastAsia="MS Mincho" w:cstheme="minorHAnsi"/>
              </w:rPr>
              <w:t>dependence FTND 6.4</w:t>
            </w:r>
            <w:r>
              <w:rPr>
                <w:rFonts w:eastAsia="MS Mincho" w:cstheme="minorHAnsi"/>
              </w:rPr>
              <w:t>.</w:t>
            </w:r>
          </w:p>
        </w:tc>
        <w:tc>
          <w:tcPr>
            <w:tcW w:w="1288" w:type="pct"/>
          </w:tcPr>
          <w:p w:rsidR="00F11F77" w:rsidRPr="003300B4" w:rsidRDefault="00F11F77" w:rsidP="00C324F3">
            <w:pPr>
              <w:pStyle w:val="ListParagraph"/>
              <w:numPr>
                <w:ilvl w:val="0"/>
                <w:numId w:val="228"/>
              </w:numPr>
              <w:rPr>
                <w:rFonts w:eastAsia="MS Mincho"/>
                <w:lang w:eastAsia="en-US"/>
              </w:rPr>
            </w:pPr>
            <w:r w:rsidRPr="003300B4">
              <w:rPr>
                <w:rFonts w:eastAsia="MS Mincho"/>
                <w:lang w:eastAsia="en-US"/>
              </w:rPr>
              <w:t>Placebo: matched to bupropion treatment</w:t>
            </w:r>
          </w:p>
          <w:p w:rsidR="00F11F77" w:rsidRPr="003300B4" w:rsidRDefault="00F11F77" w:rsidP="00C324F3">
            <w:pPr>
              <w:pStyle w:val="ListParagraph"/>
              <w:numPr>
                <w:ilvl w:val="0"/>
                <w:numId w:val="228"/>
              </w:numPr>
              <w:rPr>
                <w:rFonts w:eastAsia="MS Mincho"/>
                <w:lang w:eastAsia="en-US"/>
              </w:rPr>
            </w:pPr>
            <w:r w:rsidRPr="003300B4">
              <w:rPr>
                <w:rFonts w:eastAsia="MS Mincho"/>
                <w:lang w:eastAsia="en-US"/>
              </w:rPr>
              <w:t xml:space="preserve">Bupropion: during reduction phase bupropion for 26 weeks (150 mg for days 1 to 3 of therapy, followed by 150 mg twice daily). During the smoking cessation treatment phase, participants received an additional 7 weeks of bupropion. </w:t>
            </w:r>
          </w:p>
          <w:p w:rsidR="00F11F77" w:rsidRDefault="00F11F77" w:rsidP="006B48C7">
            <w:pPr>
              <w:rPr>
                <w:rFonts w:eastAsia="MS Mincho"/>
                <w:lang w:eastAsia="en-US"/>
              </w:rPr>
            </w:pPr>
          </w:p>
          <w:p w:rsidR="00F11F77" w:rsidRPr="002F7627" w:rsidRDefault="00F11F77" w:rsidP="006B48C7">
            <w:pPr>
              <w:rPr>
                <w:rFonts w:eastAsia="MS Mincho"/>
                <w:lang w:eastAsia="en-US"/>
              </w:rPr>
            </w:pPr>
            <w:r w:rsidRPr="003300B4">
              <w:rPr>
                <w:rFonts w:eastAsia="MS Mincho"/>
                <w:u w:val="single"/>
                <w:lang w:eastAsia="en-US"/>
              </w:rPr>
              <w:t>Common component:</w:t>
            </w:r>
            <w:r>
              <w:rPr>
                <w:rFonts w:eastAsia="MS Mincho"/>
                <w:lang w:eastAsia="en-US"/>
              </w:rPr>
              <w:t xml:space="preserve"> </w:t>
            </w:r>
            <w:r w:rsidRPr="003300B4">
              <w:rPr>
                <w:rFonts w:eastAsia="MS Mincho"/>
                <w:lang w:eastAsia="en-US"/>
              </w:rPr>
              <w:t>All participants entered a 6-month treatment phase aimed at reducing the amount of smoking. Written</w:t>
            </w:r>
            <w:r>
              <w:rPr>
                <w:rFonts w:eastAsia="MS Mincho"/>
                <w:lang w:eastAsia="en-US"/>
              </w:rPr>
              <w:t xml:space="preserve"> </w:t>
            </w:r>
            <w:r w:rsidRPr="003300B4">
              <w:rPr>
                <w:rFonts w:eastAsia="MS Mincho"/>
                <w:lang w:eastAsia="en-US"/>
              </w:rPr>
              <w:t>materials suggesting smoking reduction techniques were used during brief individual counselling</w:t>
            </w:r>
            <w:r>
              <w:rPr>
                <w:rFonts w:eastAsia="MS Mincho"/>
                <w:lang w:eastAsia="en-US"/>
              </w:rPr>
              <w:t xml:space="preserve"> </w:t>
            </w:r>
            <w:r w:rsidRPr="003300B4">
              <w:rPr>
                <w:rFonts w:eastAsia="MS Mincho"/>
                <w:lang w:eastAsia="en-US"/>
              </w:rPr>
              <w:t>sessions. A target date for reducing cigarette intake by at least 50% was set within 2 weeks of enrolment.</w:t>
            </w:r>
          </w:p>
        </w:tc>
        <w:tc>
          <w:tcPr>
            <w:tcW w:w="1000" w:type="pct"/>
          </w:tcPr>
          <w:p w:rsidR="00F11F77" w:rsidRDefault="00F11F77" w:rsidP="006B48C7">
            <w:pPr>
              <w:pStyle w:val="Tablewriting"/>
              <w:rPr>
                <w:rFonts w:eastAsia="MS Mincho" w:cstheme="minorBidi"/>
              </w:rPr>
            </w:pPr>
            <w:r w:rsidRPr="006934BD">
              <w:rPr>
                <w:rFonts w:eastAsia="MS Mincho" w:cstheme="minorBidi"/>
                <w:u w:val="single"/>
              </w:rPr>
              <w:lastRenderedPageBreak/>
              <w:t>Efficacy</w:t>
            </w:r>
            <w:r>
              <w:rPr>
                <w:rFonts w:eastAsia="MS Mincho" w:cstheme="minorBidi"/>
              </w:rPr>
              <w:t xml:space="preserve">: Continuous abstinence </w:t>
            </w:r>
            <w:r w:rsidRPr="00B12710">
              <w:rPr>
                <w:rFonts w:eastAsia="MS Mincho" w:cstheme="minorBidi"/>
              </w:rPr>
              <w:t>6 m</w:t>
            </w:r>
            <w:r>
              <w:rPr>
                <w:rFonts w:eastAsia="MS Mincho" w:cstheme="minorBidi"/>
              </w:rPr>
              <w:t>onths</w:t>
            </w:r>
            <w:r w:rsidRPr="00B12710">
              <w:rPr>
                <w:rFonts w:eastAsia="MS Mincho" w:cstheme="minorBidi"/>
              </w:rPr>
              <w:t xml:space="preserve"> from beginning of cessation treatment</w:t>
            </w:r>
            <w:r>
              <w:rPr>
                <w:rFonts w:eastAsia="MS Mincho" w:cstheme="minorBidi"/>
              </w:rPr>
              <w:t xml:space="preserve">. </w:t>
            </w:r>
          </w:p>
          <w:p w:rsidR="00F11F77" w:rsidRDefault="00F11F77" w:rsidP="006B48C7">
            <w:pPr>
              <w:pStyle w:val="Tablewriting"/>
              <w:rPr>
                <w:rFonts w:eastAsia="MS Mincho" w:cstheme="minorBidi"/>
              </w:rPr>
            </w:pPr>
          </w:p>
          <w:p w:rsidR="00F11F77" w:rsidRDefault="00F11F77" w:rsidP="006B48C7">
            <w:pPr>
              <w:pStyle w:val="Tablewriting"/>
              <w:rPr>
                <w:rFonts w:eastAsia="MS Mincho" w:cstheme="minorBidi"/>
              </w:rPr>
            </w:pPr>
            <w:r w:rsidRPr="00B12710">
              <w:rPr>
                <w:rFonts w:eastAsia="MS Mincho" w:cstheme="minorBidi"/>
              </w:rPr>
              <w:t>Biochemical validation: exhaled CO</w:t>
            </w:r>
            <w:r>
              <w:rPr>
                <w:rFonts w:eastAsia="MS Mincho" w:cstheme="minorBidi"/>
              </w:rPr>
              <w:t>.</w:t>
            </w:r>
          </w:p>
          <w:p w:rsidR="00F11F77" w:rsidRDefault="00F11F77" w:rsidP="006B48C7">
            <w:pPr>
              <w:pStyle w:val="Tablewriting"/>
              <w:rPr>
                <w:rFonts w:eastAsia="MS Mincho" w:cstheme="minorBidi"/>
              </w:rPr>
            </w:pPr>
          </w:p>
          <w:p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w:t>
            </w:r>
          </w:p>
        </w:tc>
      </w:tr>
    </w:tbl>
    <w:p w:rsidR="001D607C" w:rsidRPr="009B042A" w:rsidRDefault="001D607C" w:rsidP="001D607C">
      <w:pPr>
        <w:pStyle w:val="TableFooter"/>
        <w:keepNext/>
      </w:pPr>
      <w:r>
        <w:t>Source: Lindson</w:t>
      </w:r>
      <w:r w:rsidRPr="008B0097">
        <w:t xml:space="preserve"> et al. (2019</w:t>
      </w:r>
      <w:r>
        <w:t>)</w:t>
      </w:r>
      <w:r w:rsidR="00C50D78">
        <w:t xml:space="preserve"> and Lindson</w:t>
      </w:r>
      <w:r w:rsidR="00C50D78" w:rsidRPr="008B0097">
        <w:t xml:space="preserve"> et al. (2019</w:t>
      </w:r>
      <w:r w:rsidR="00C50D78">
        <w:t>b)</w:t>
      </w:r>
      <w:r>
        <w:t>.</w:t>
      </w:r>
      <w:r w:rsidRPr="009B042A">
        <w:t xml:space="preserve"> </w:t>
      </w:r>
    </w:p>
    <w:p w:rsidR="001D607C" w:rsidRDefault="001D607C" w:rsidP="001D607C">
      <w:pPr>
        <w:pStyle w:val="TableFooter"/>
        <w:keepNext/>
      </w:pPr>
      <w:r>
        <w:t xml:space="preserve">Abbreviations: NR= not reported; </w:t>
      </w:r>
      <w:r w:rsidRPr="009B042A">
        <w:t xml:space="preserve">PPA= point prevalence smoking abstinence; </w:t>
      </w:r>
      <w:r>
        <w:t xml:space="preserve">CAR= continuous abstinence rate; </w:t>
      </w:r>
      <w:r w:rsidRPr="009B042A">
        <w:t xml:space="preserve">RCT= randomised controlled trial; TQD= target quit date;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CPD= cigarette per day; AEs= adverse events; SAEs= serious adverse events.</w:t>
      </w:r>
    </w:p>
    <w:p w:rsidR="001D1C5A" w:rsidRDefault="006F6067" w:rsidP="001D1C5A">
      <w:pPr>
        <w:pStyle w:val="TableFooter"/>
        <w:keepNext/>
      </w:pPr>
      <w:r>
        <w:t>Notes: 1. T</w:t>
      </w:r>
      <w:r w:rsidRPr="009B042A">
        <w:t>otal participants</w:t>
      </w:r>
      <w:r>
        <w:t xml:space="preserve">. </w:t>
      </w:r>
    </w:p>
    <w:p w:rsidR="00F323C4" w:rsidRDefault="00F323C4" w:rsidP="00F323C4">
      <w:pPr>
        <w:pStyle w:val="Caption"/>
        <w:keepNext/>
      </w:pPr>
      <w:bookmarkStart w:id="395" w:name="_Ref61617319"/>
      <w:r>
        <w:t xml:space="preserve">Table </w:t>
      </w:r>
      <w:r w:rsidR="003C4A1C">
        <w:rPr>
          <w:noProof/>
        </w:rPr>
        <w:t>164</w:t>
      </w:r>
      <w:bookmarkEnd w:id="395"/>
      <w:r>
        <w:t xml:space="preserve">: </w:t>
      </w:r>
      <w:r w:rsidRPr="00C25A66">
        <w:t xml:space="preserve">Characteristics of studies included in </w:t>
      </w:r>
      <w:r w:rsidR="002A529B" w:rsidRPr="004110FF">
        <w:t xml:space="preserve">Hartmann-Boyce </w:t>
      </w:r>
      <w:r w:rsidR="002A529B">
        <w:t>(</w:t>
      </w:r>
      <w:r w:rsidR="002A529B" w:rsidRPr="004110FF">
        <w:t>2018</w:t>
      </w:r>
      <w:r w:rsidR="002A529B">
        <w:t>)</w:t>
      </w:r>
      <w:r w:rsidR="007373D4">
        <w:t xml:space="preserve"> and </w:t>
      </w:r>
      <w:r w:rsidRPr="00C25A66">
        <w:t>Lindson et al. (2019</w:t>
      </w:r>
      <w:r w:rsidR="00FE0896">
        <w:t>)</w:t>
      </w:r>
      <w:r w:rsidR="00C62140">
        <w:t xml:space="preserve">, comparing </w:t>
      </w:r>
      <w:r>
        <w:t>non-PBS listed NRT dosage forms</w:t>
      </w:r>
    </w:p>
    <w:tbl>
      <w:tblPr>
        <w:tblStyle w:val="TableGrid"/>
        <w:tblW w:w="14089" w:type="dxa"/>
        <w:tblLayout w:type="fixed"/>
        <w:tblLook w:val="04A0" w:firstRow="1" w:lastRow="0" w:firstColumn="1" w:lastColumn="0" w:noHBand="0" w:noVBand="1"/>
      </w:tblPr>
      <w:tblGrid>
        <w:gridCol w:w="1395"/>
        <w:gridCol w:w="870"/>
        <w:gridCol w:w="1140"/>
        <w:gridCol w:w="900"/>
        <w:gridCol w:w="3585"/>
        <w:gridCol w:w="3885"/>
        <w:gridCol w:w="2314"/>
      </w:tblGrid>
      <w:tr w:rsidR="781E95A1" w:rsidTr="007373D4">
        <w:tc>
          <w:tcPr>
            <w:tcW w:w="1395" w:type="dxa"/>
            <w:shd w:val="clear" w:color="auto" w:fill="BFBFBF" w:themeFill="background1" w:themeFillShade="BF"/>
          </w:tcPr>
          <w:p w:rsidR="781E95A1" w:rsidRDefault="781E95A1">
            <w:r w:rsidRPr="781E95A1">
              <w:rPr>
                <w:rFonts w:eastAsia="Calibri" w:cs="Calibri"/>
                <w:b/>
                <w:bCs/>
              </w:rPr>
              <w:t>Study</w:t>
            </w:r>
          </w:p>
        </w:tc>
        <w:tc>
          <w:tcPr>
            <w:tcW w:w="870" w:type="dxa"/>
            <w:shd w:val="clear" w:color="auto" w:fill="BFBFBF" w:themeFill="background1" w:themeFillShade="BF"/>
          </w:tcPr>
          <w:p w:rsidR="781E95A1" w:rsidRDefault="781E95A1" w:rsidP="781E95A1">
            <w:pPr>
              <w:jc w:val="center"/>
            </w:pPr>
            <w:r w:rsidRPr="781E95A1">
              <w:rPr>
                <w:rFonts w:eastAsia="Calibri" w:cs="Calibri"/>
                <w:b/>
                <w:bCs/>
                <w:color w:val="000000" w:themeColor="text1"/>
              </w:rPr>
              <w:t>Study type</w:t>
            </w:r>
          </w:p>
        </w:tc>
        <w:tc>
          <w:tcPr>
            <w:tcW w:w="1140" w:type="dxa"/>
            <w:shd w:val="clear" w:color="auto" w:fill="BFBFBF" w:themeFill="background1" w:themeFillShade="BF"/>
          </w:tcPr>
          <w:p w:rsidR="781E95A1" w:rsidRDefault="781E95A1" w:rsidP="781E95A1">
            <w:pPr>
              <w:jc w:val="center"/>
            </w:pPr>
            <w:r w:rsidRPr="781E95A1">
              <w:rPr>
                <w:rFonts w:eastAsia="Calibri" w:cs="Calibri"/>
                <w:b/>
                <w:bCs/>
                <w:color w:val="000000" w:themeColor="text1"/>
              </w:rPr>
              <w:t>Countries</w:t>
            </w:r>
          </w:p>
        </w:tc>
        <w:tc>
          <w:tcPr>
            <w:tcW w:w="900" w:type="dxa"/>
            <w:shd w:val="clear" w:color="auto" w:fill="BFBFBF" w:themeFill="background1" w:themeFillShade="BF"/>
          </w:tcPr>
          <w:p w:rsidR="781E95A1" w:rsidRDefault="781E95A1" w:rsidP="781E95A1">
            <w:pPr>
              <w:jc w:val="center"/>
            </w:pPr>
            <w:r w:rsidRPr="781E95A1">
              <w:rPr>
                <w:rFonts w:eastAsia="Calibri" w:cs="Calibri"/>
                <w:b/>
                <w:bCs/>
                <w:color w:val="000000" w:themeColor="text1"/>
              </w:rPr>
              <w:t>N</w:t>
            </w:r>
          </w:p>
        </w:tc>
        <w:tc>
          <w:tcPr>
            <w:tcW w:w="3585" w:type="dxa"/>
            <w:shd w:val="clear" w:color="auto" w:fill="BFBFBF" w:themeFill="background1" w:themeFillShade="BF"/>
          </w:tcPr>
          <w:p w:rsidR="781E95A1" w:rsidRDefault="781E95A1" w:rsidP="781E95A1">
            <w:pPr>
              <w:jc w:val="center"/>
            </w:pPr>
            <w:r w:rsidRPr="781E95A1">
              <w:rPr>
                <w:rFonts w:eastAsia="Calibri" w:cs="Calibri"/>
                <w:b/>
                <w:bCs/>
                <w:color w:val="000000" w:themeColor="text1"/>
              </w:rPr>
              <w:t>Population</w:t>
            </w:r>
          </w:p>
        </w:tc>
        <w:tc>
          <w:tcPr>
            <w:tcW w:w="3885" w:type="dxa"/>
            <w:shd w:val="clear" w:color="auto" w:fill="BFBFBF" w:themeFill="background1" w:themeFillShade="BF"/>
          </w:tcPr>
          <w:p w:rsidR="781E95A1" w:rsidRDefault="781E95A1" w:rsidP="781E95A1">
            <w:pPr>
              <w:jc w:val="center"/>
            </w:pPr>
            <w:r w:rsidRPr="781E95A1">
              <w:rPr>
                <w:rFonts w:eastAsia="Calibri" w:cs="Calibri"/>
                <w:b/>
                <w:bCs/>
                <w:color w:val="000000" w:themeColor="text1"/>
              </w:rPr>
              <w:t>Intervention and comparator</w:t>
            </w:r>
          </w:p>
        </w:tc>
        <w:tc>
          <w:tcPr>
            <w:tcW w:w="2314" w:type="dxa"/>
            <w:shd w:val="clear" w:color="auto" w:fill="BFBFBF" w:themeFill="background1" w:themeFillShade="BF"/>
          </w:tcPr>
          <w:p w:rsidR="781E95A1" w:rsidRDefault="781E95A1" w:rsidP="781E95A1">
            <w:pPr>
              <w:jc w:val="center"/>
            </w:pPr>
            <w:r w:rsidRPr="781E95A1">
              <w:rPr>
                <w:rFonts w:eastAsia="Calibri" w:cs="Calibri"/>
                <w:b/>
                <w:bCs/>
                <w:color w:val="000000" w:themeColor="text1"/>
              </w:rPr>
              <w:t>Outcomes</w:t>
            </w:r>
          </w:p>
        </w:tc>
      </w:tr>
      <w:tr w:rsidR="781E95A1" w:rsidTr="2029C57F">
        <w:tc>
          <w:tcPr>
            <w:tcW w:w="1395" w:type="dxa"/>
          </w:tcPr>
          <w:p w:rsidR="781E95A1" w:rsidRDefault="781E95A1">
            <w:r w:rsidRPr="781E95A1">
              <w:rPr>
                <w:rFonts w:eastAsia="Calibri" w:cs="Calibri"/>
              </w:rPr>
              <w:t xml:space="preserve">Hjalmarson </w:t>
            </w:r>
            <w:r w:rsidR="0043701D">
              <w:rPr>
                <w:rFonts w:eastAsia="Calibri" w:cs="Calibri"/>
              </w:rPr>
              <w:t>(</w:t>
            </w:r>
            <w:r w:rsidRPr="781E95A1">
              <w:rPr>
                <w:rFonts w:eastAsia="Calibri" w:cs="Calibri"/>
              </w:rPr>
              <w:t>1997</w:t>
            </w:r>
            <w:r w:rsidR="0043701D">
              <w:rPr>
                <w:rFonts w:eastAsia="Calibri" w:cs="Calibri"/>
              </w:rPr>
              <w:t>)</w:t>
            </w:r>
          </w:p>
        </w:tc>
        <w:tc>
          <w:tcPr>
            <w:tcW w:w="870" w:type="dxa"/>
          </w:tcPr>
          <w:p w:rsidR="781E95A1" w:rsidRDefault="781E95A1">
            <w:r w:rsidRPr="781E95A1">
              <w:rPr>
                <w:rFonts w:eastAsia="Calibri" w:cs="Calibri"/>
              </w:rPr>
              <w:t>RCT</w:t>
            </w:r>
          </w:p>
        </w:tc>
        <w:tc>
          <w:tcPr>
            <w:tcW w:w="1140" w:type="dxa"/>
          </w:tcPr>
          <w:p w:rsidR="781E95A1" w:rsidRDefault="781E95A1">
            <w:r w:rsidRPr="781E95A1">
              <w:rPr>
                <w:rFonts w:eastAsia="Calibri" w:cs="Calibri"/>
              </w:rPr>
              <w:t>Sweden</w:t>
            </w:r>
          </w:p>
        </w:tc>
        <w:tc>
          <w:tcPr>
            <w:tcW w:w="900" w:type="dxa"/>
          </w:tcPr>
          <w:p w:rsidR="781E95A1" w:rsidRDefault="781E95A1">
            <w:r w:rsidRPr="781E95A1">
              <w:rPr>
                <w:rFonts w:eastAsia="Calibri" w:cs="Calibri"/>
              </w:rPr>
              <w:t>247</w:t>
            </w:r>
          </w:p>
        </w:tc>
        <w:tc>
          <w:tcPr>
            <w:tcW w:w="3585" w:type="dxa"/>
          </w:tcPr>
          <w:p w:rsidR="781E95A1" w:rsidRDefault="781E95A1">
            <w:r w:rsidRPr="781E95A1">
              <w:rPr>
                <w:rFonts w:eastAsia="Calibri" w:cs="Calibri"/>
              </w:rPr>
              <w:t xml:space="preserve">Smokers (&gt; 10 cpd) who had previously made a serious attempt to stop using nicotine gum, and were motivated to quit 64% female, average age 48, average </w:t>
            </w:r>
            <w:r w:rsidR="0043701D">
              <w:rPr>
                <w:rFonts w:eastAsia="Calibri" w:cs="Calibri"/>
              </w:rPr>
              <w:t>CPD</w:t>
            </w:r>
            <w:r w:rsidRPr="781E95A1">
              <w:rPr>
                <w:rFonts w:eastAsia="Calibri" w:cs="Calibri"/>
              </w:rPr>
              <w:t xml:space="preserve"> 21</w:t>
            </w:r>
          </w:p>
        </w:tc>
        <w:tc>
          <w:tcPr>
            <w:tcW w:w="3885" w:type="dxa"/>
          </w:tcPr>
          <w:p w:rsidR="781E95A1" w:rsidRDefault="781E95A1" w:rsidP="00C324F3">
            <w:pPr>
              <w:pStyle w:val="ListParagraph"/>
              <w:numPr>
                <w:ilvl w:val="0"/>
                <w:numId w:val="243"/>
              </w:numPr>
              <w:rPr>
                <w:rFonts w:eastAsia="Calibri" w:cs="Calibri"/>
              </w:rPr>
            </w:pPr>
            <w:r w:rsidRPr="781E95A1">
              <w:t>Nicotine inhaler (recommended minimum 4/day, tapering after 3 months, use permitted to 6 months)</w:t>
            </w:r>
          </w:p>
          <w:p w:rsidR="781E95A1" w:rsidRDefault="781E95A1" w:rsidP="00C324F3">
            <w:pPr>
              <w:pStyle w:val="ListParagraph"/>
              <w:numPr>
                <w:ilvl w:val="0"/>
                <w:numId w:val="243"/>
              </w:numPr>
              <w:rPr>
                <w:rFonts w:eastAsia="Calibri" w:cs="Calibri"/>
              </w:rPr>
            </w:pPr>
            <w:r w:rsidRPr="781E95A1">
              <w:t>Placebo inhaler Level of support: high (8 group meetings over 6 weeks)</w:t>
            </w:r>
          </w:p>
        </w:tc>
        <w:tc>
          <w:tcPr>
            <w:tcW w:w="2314" w:type="dxa"/>
          </w:tcPr>
          <w:p w:rsidR="781E95A1" w:rsidRDefault="781E95A1">
            <w:r w:rsidRPr="00C324F3">
              <w:rPr>
                <w:rFonts w:eastAsia="Calibri"/>
                <w:u w:val="single"/>
              </w:rPr>
              <w:t>Efficacy:</w:t>
            </w:r>
            <w:r w:rsidRPr="781E95A1">
              <w:rPr>
                <w:rFonts w:eastAsia="Calibri" w:cs="Calibri"/>
              </w:rPr>
              <w:t xml:space="preserve"> Sustained abstinence at 12 months </w:t>
            </w:r>
            <w:r w:rsidRPr="00C324F3">
              <w:rPr>
                <w:rFonts w:eastAsia="Calibri"/>
                <w:u w:val="single"/>
              </w:rPr>
              <w:t>Validation:</w:t>
            </w:r>
            <w:r w:rsidRPr="781E95A1">
              <w:rPr>
                <w:rFonts w:eastAsia="Calibri" w:cs="Calibri"/>
              </w:rPr>
              <w:t xml:space="preserve"> CO &lt; 10 ppm at 2 and 6 weeks and 3, 6, 12 months</w:t>
            </w:r>
          </w:p>
          <w:p w:rsidR="781E95A1" w:rsidRDefault="781E95A1">
            <w:r w:rsidRPr="781E95A1">
              <w:rPr>
                <w:rFonts w:eastAsia="Calibri" w:cs="Calibri"/>
              </w:rPr>
              <w:t xml:space="preserve"> </w:t>
            </w:r>
          </w:p>
          <w:p w:rsidR="781E95A1" w:rsidRDefault="781E95A1">
            <w:r w:rsidRPr="00C324F3">
              <w:rPr>
                <w:rFonts w:eastAsia="Calibri"/>
                <w:u w:val="single"/>
              </w:rPr>
              <w:t>Safety:</w:t>
            </w:r>
            <w:r w:rsidRPr="781E95A1">
              <w:rPr>
                <w:rFonts w:eastAsia="Calibri" w:cs="Calibri"/>
              </w:rPr>
              <w:t xml:space="preserve"> NR</w:t>
            </w:r>
          </w:p>
        </w:tc>
      </w:tr>
      <w:tr w:rsidR="781E95A1" w:rsidTr="2029C57F">
        <w:tc>
          <w:tcPr>
            <w:tcW w:w="1395" w:type="dxa"/>
          </w:tcPr>
          <w:p w:rsidR="781E95A1" w:rsidRDefault="781E95A1">
            <w:r w:rsidRPr="781E95A1">
              <w:rPr>
                <w:rFonts w:eastAsia="Calibri" w:cs="Calibri"/>
              </w:rPr>
              <w:t xml:space="preserve">Leischow </w:t>
            </w:r>
            <w:r w:rsidR="0043701D">
              <w:rPr>
                <w:rFonts w:eastAsia="Calibri" w:cs="Calibri"/>
              </w:rPr>
              <w:t>(</w:t>
            </w:r>
            <w:r w:rsidRPr="781E95A1">
              <w:rPr>
                <w:rFonts w:eastAsia="Calibri" w:cs="Calibri"/>
              </w:rPr>
              <w:t>1996a</w:t>
            </w:r>
            <w:r w:rsidR="0043701D">
              <w:rPr>
                <w:rFonts w:eastAsia="Calibri" w:cs="Calibri"/>
              </w:rPr>
              <w:t>)</w:t>
            </w:r>
          </w:p>
        </w:tc>
        <w:tc>
          <w:tcPr>
            <w:tcW w:w="870" w:type="dxa"/>
          </w:tcPr>
          <w:p w:rsidR="781E95A1" w:rsidRDefault="781E95A1">
            <w:r w:rsidRPr="781E95A1">
              <w:rPr>
                <w:rFonts w:eastAsia="Calibri" w:cs="Calibri"/>
              </w:rPr>
              <w:t>RCT</w:t>
            </w:r>
          </w:p>
        </w:tc>
        <w:tc>
          <w:tcPr>
            <w:tcW w:w="1140" w:type="dxa"/>
          </w:tcPr>
          <w:p w:rsidR="781E95A1" w:rsidRDefault="781E95A1">
            <w:r w:rsidRPr="781E95A1">
              <w:rPr>
                <w:rFonts w:eastAsia="Calibri" w:cs="Calibri"/>
              </w:rPr>
              <w:t>USA</w:t>
            </w:r>
          </w:p>
        </w:tc>
        <w:tc>
          <w:tcPr>
            <w:tcW w:w="900" w:type="dxa"/>
          </w:tcPr>
          <w:p w:rsidR="781E95A1" w:rsidRDefault="781E95A1">
            <w:r w:rsidRPr="781E95A1">
              <w:rPr>
                <w:rFonts w:eastAsia="Calibri" w:cs="Calibri"/>
              </w:rPr>
              <w:t>222</w:t>
            </w:r>
          </w:p>
        </w:tc>
        <w:tc>
          <w:tcPr>
            <w:tcW w:w="3585" w:type="dxa"/>
          </w:tcPr>
          <w:p w:rsidR="781E95A1" w:rsidRDefault="781E95A1">
            <w:r w:rsidRPr="781E95A1">
              <w:rPr>
                <w:rFonts w:eastAsia="Calibri" w:cs="Calibri"/>
              </w:rPr>
              <w:t xml:space="preserve">Smokers (&gt; 20 </w:t>
            </w:r>
            <w:r w:rsidR="0043701D">
              <w:rPr>
                <w:rFonts w:eastAsia="Calibri" w:cs="Calibri"/>
              </w:rPr>
              <w:t>CPD</w:t>
            </w:r>
            <w:r w:rsidRPr="781E95A1">
              <w:rPr>
                <w:rFonts w:eastAsia="Calibri" w:cs="Calibri"/>
              </w:rPr>
              <w:t xml:space="preserve">). (2 excluded from analysis having received incorrect prescription) 55% female, average age 44, average </w:t>
            </w:r>
            <w:r w:rsidR="0043701D">
              <w:rPr>
                <w:rFonts w:eastAsia="Calibri" w:cs="Calibri"/>
              </w:rPr>
              <w:t>CPD</w:t>
            </w:r>
            <w:r w:rsidRPr="781E95A1">
              <w:rPr>
                <w:rFonts w:eastAsia="Calibri" w:cs="Calibri"/>
              </w:rPr>
              <w:t xml:space="preserve"> 26</w:t>
            </w:r>
          </w:p>
        </w:tc>
        <w:tc>
          <w:tcPr>
            <w:tcW w:w="3885" w:type="dxa"/>
          </w:tcPr>
          <w:p w:rsidR="781E95A1" w:rsidRDefault="781E95A1" w:rsidP="00C324F3">
            <w:pPr>
              <w:pStyle w:val="ListParagraph"/>
              <w:numPr>
                <w:ilvl w:val="0"/>
                <w:numId w:val="242"/>
              </w:numPr>
              <w:rPr>
                <w:rFonts w:eastAsia="Calibri" w:cs="Calibri"/>
              </w:rPr>
            </w:pPr>
            <w:r w:rsidRPr="781E95A1">
              <w:t>Nicotine Inhaler (10 mg). Advised to use 4 to 20 cartridges/day for 3 months. After this tapering was encouraged until 6 months</w:t>
            </w:r>
          </w:p>
          <w:p w:rsidR="781E95A1" w:rsidRDefault="781E95A1" w:rsidP="00C324F3">
            <w:pPr>
              <w:pStyle w:val="ListParagraph"/>
              <w:numPr>
                <w:ilvl w:val="0"/>
                <w:numId w:val="242"/>
              </w:numPr>
              <w:rPr>
                <w:rFonts w:eastAsia="Calibri" w:cs="Calibri"/>
              </w:rPr>
            </w:pPr>
            <w:r w:rsidRPr="781E95A1">
              <w:t xml:space="preserve">Placebo inhaler Participants received advice and watched a video showing </w:t>
            </w:r>
            <w:r w:rsidRPr="781E95A1">
              <w:lastRenderedPageBreak/>
              <w:t>proper use of the inhaler Level of support: high (brief individual smoking cessation support at each study visit, 10 in all)</w:t>
            </w:r>
          </w:p>
        </w:tc>
        <w:tc>
          <w:tcPr>
            <w:tcW w:w="2314" w:type="dxa"/>
          </w:tcPr>
          <w:p w:rsidR="781E95A1" w:rsidRDefault="781E95A1">
            <w:r w:rsidRPr="00C324F3">
              <w:rPr>
                <w:rFonts w:eastAsia="Calibri"/>
                <w:u w:val="single"/>
              </w:rPr>
              <w:lastRenderedPageBreak/>
              <w:t>Efficacy</w:t>
            </w:r>
            <w:r w:rsidRPr="781E95A1">
              <w:rPr>
                <w:rFonts w:eastAsia="Calibri" w:cs="Calibri"/>
                <w:u w:val="single"/>
              </w:rPr>
              <w:t xml:space="preserve">: </w:t>
            </w:r>
            <w:r w:rsidRPr="781E95A1">
              <w:rPr>
                <w:rFonts w:eastAsia="Calibri" w:cs="Calibri"/>
              </w:rPr>
              <w:t>Sustained abstinence at 12 months Validation: CO &lt; 10 ppm at each follow-up</w:t>
            </w:r>
          </w:p>
          <w:p w:rsidR="781E95A1" w:rsidRDefault="781E95A1">
            <w:r w:rsidRPr="781E95A1">
              <w:rPr>
                <w:rFonts w:eastAsia="Calibri" w:cs="Calibri"/>
              </w:rPr>
              <w:t xml:space="preserve"> </w:t>
            </w:r>
          </w:p>
          <w:p w:rsidR="781E95A1" w:rsidRDefault="781E95A1">
            <w:r w:rsidRPr="00C324F3">
              <w:rPr>
                <w:rFonts w:eastAsia="Calibri"/>
                <w:u w:val="single"/>
              </w:rPr>
              <w:t>Safety:</w:t>
            </w:r>
            <w:r w:rsidRPr="781E95A1">
              <w:rPr>
                <w:rFonts w:eastAsia="Calibri" w:cs="Calibri"/>
              </w:rPr>
              <w:t xml:space="preserve"> NR</w:t>
            </w:r>
          </w:p>
        </w:tc>
      </w:tr>
      <w:tr w:rsidR="781E95A1" w:rsidTr="2029C57F">
        <w:tc>
          <w:tcPr>
            <w:tcW w:w="1395" w:type="dxa"/>
          </w:tcPr>
          <w:p w:rsidR="781E95A1" w:rsidRDefault="781E95A1">
            <w:r w:rsidRPr="781E95A1">
              <w:rPr>
                <w:rFonts w:eastAsia="Calibri" w:cs="Calibri"/>
              </w:rPr>
              <w:t xml:space="preserve">Schneider </w:t>
            </w:r>
            <w:r w:rsidR="0043701D">
              <w:rPr>
                <w:rFonts w:eastAsia="Calibri" w:cs="Calibri"/>
              </w:rPr>
              <w:t>(</w:t>
            </w:r>
            <w:r w:rsidRPr="781E95A1">
              <w:rPr>
                <w:rFonts w:eastAsia="Calibri" w:cs="Calibri"/>
              </w:rPr>
              <w:t>1996</w:t>
            </w:r>
            <w:r w:rsidR="0043701D">
              <w:rPr>
                <w:rFonts w:eastAsia="Calibri" w:cs="Calibri"/>
              </w:rPr>
              <w:t>)</w:t>
            </w:r>
          </w:p>
        </w:tc>
        <w:tc>
          <w:tcPr>
            <w:tcW w:w="870" w:type="dxa"/>
          </w:tcPr>
          <w:p w:rsidR="781E95A1" w:rsidRDefault="781E95A1">
            <w:r w:rsidRPr="781E95A1">
              <w:rPr>
                <w:rFonts w:eastAsia="Calibri" w:cs="Calibri"/>
              </w:rPr>
              <w:t>RCT</w:t>
            </w:r>
          </w:p>
        </w:tc>
        <w:tc>
          <w:tcPr>
            <w:tcW w:w="1140" w:type="dxa"/>
          </w:tcPr>
          <w:p w:rsidR="781E95A1" w:rsidRDefault="781E95A1">
            <w:r w:rsidRPr="781E95A1">
              <w:rPr>
                <w:rFonts w:eastAsia="Calibri" w:cs="Calibri"/>
              </w:rPr>
              <w:t>USA</w:t>
            </w:r>
          </w:p>
        </w:tc>
        <w:tc>
          <w:tcPr>
            <w:tcW w:w="900" w:type="dxa"/>
          </w:tcPr>
          <w:p w:rsidR="781E95A1" w:rsidRDefault="781E95A1">
            <w:r w:rsidRPr="781E95A1">
              <w:rPr>
                <w:rFonts w:eastAsia="Calibri" w:cs="Calibri"/>
              </w:rPr>
              <w:t>223</w:t>
            </w:r>
          </w:p>
        </w:tc>
        <w:tc>
          <w:tcPr>
            <w:tcW w:w="3585" w:type="dxa"/>
          </w:tcPr>
          <w:p w:rsidR="781E95A1" w:rsidRDefault="781E95A1">
            <w:r w:rsidRPr="781E95A1">
              <w:rPr>
                <w:rFonts w:eastAsia="Calibri" w:cs="Calibri"/>
              </w:rPr>
              <w:t xml:space="preserve">Adult smokers (≥10 </w:t>
            </w:r>
            <w:r w:rsidR="0043701D">
              <w:rPr>
                <w:rFonts w:eastAsia="Calibri" w:cs="Calibri"/>
              </w:rPr>
              <w:t>CPD</w:t>
            </w:r>
            <w:r w:rsidRPr="781E95A1">
              <w:rPr>
                <w:rFonts w:eastAsia="Calibri" w:cs="Calibri"/>
              </w:rPr>
              <w:t xml:space="preserve">) 37% female, average age 44, average </w:t>
            </w:r>
            <w:r w:rsidR="0043701D">
              <w:rPr>
                <w:rFonts w:eastAsia="Calibri" w:cs="Calibri"/>
              </w:rPr>
              <w:t>CPD</w:t>
            </w:r>
            <w:r w:rsidRPr="781E95A1">
              <w:rPr>
                <w:rFonts w:eastAsia="Calibri" w:cs="Calibri"/>
              </w:rPr>
              <w:t xml:space="preserve"> 29/26 (significantly higher in active group)</w:t>
            </w:r>
          </w:p>
        </w:tc>
        <w:tc>
          <w:tcPr>
            <w:tcW w:w="3885" w:type="dxa"/>
          </w:tcPr>
          <w:p w:rsidR="781E95A1" w:rsidRDefault="781E95A1" w:rsidP="00C324F3">
            <w:pPr>
              <w:pStyle w:val="ListParagraph"/>
              <w:numPr>
                <w:ilvl w:val="0"/>
                <w:numId w:val="241"/>
              </w:numPr>
              <w:rPr>
                <w:rFonts w:eastAsia="Calibri" w:cs="Calibri"/>
              </w:rPr>
            </w:pPr>
            <w:r w:rsidRPr="781E95A1">
              <w:t>Nicotine inhaler (4 to 20 inhalers per day) for up to 6 months, with weaning from 3 months</w:t>
            </w:r>
          </w:p>
          <w:p w:rsidR="781E95A1" w:rsidRDefault="781E95A1" w:rsidP="00C324F3">
            <w:pPr>
              <w:pStyle w:val="ListParagraph"/>
              <w:numPr>
                <w:ilvl w:val="0"/>
                <w:numId w:val="241"/>
              </w:numPr>
              <w:rPr>
                <w:rFonts w:eastAsia="Calibri" w:cs="Calibri"/>
              </w:rPr>
            </w:pPr>
            <w:r w:rsidRPr="781E95A1">
              <w:t>Placebo inhaler Level of support: high (repeated clinic visits for assessment)</w:t>
            </w:r>
          </w:p>
        </w:tc>
        <w:tc>
          <w:tcPr>
            <w:tcW w:w="2314" w:type="dxa"/>
          </w:tcPr>
          <w:p w:rsidR="781E95A1" w:rsidRDefault="781E95A1">
            <w:r w:rsidRPr="00C324F3">
              <w:rPr>
                <w:rFonts w:eastAsia="Calibri"/>
                <w:u w:val="single"/>
              </w:rPr>
              <w:t>Efficacy:</w:t>
            </w:r>
            <w:r w:rsidRPr="781E95A1">
              <w:rPr>
                <w:rFonts w:eastAsia="Calibri" w:cs="Calibri"/>
              </w:rPr>
              <w:t xml:space="preserve"> Sustained abstinence at 12 months Validation: CO and salivary cotinine</w:t>
            </w:r>
          </w:p>
          <w:p w:rsidR="781E95A1" w:rsidRDefault="781E95A1">
            <w:r w:rsidRPr="781E95A1">
              <w:rPr>
                <w:rFonts w:eastAsia="Calibri" w:cs="Calibri"/>
              </w:rPr>
              <w:t xml:space="preserve"> </w:t>
            </w:r>
          </w:p>
          <w:p w:rsidR="781E95A1" w:rsidRDefault="781E95A1">
            <w:r w:rsidRPr="00C324F3">
              <w:rPr>
                <w:rFonts w:eastAsia="Calibri"/>
                <w:u w:val="single"/>
              </w:rPr>
              <w:t>Safety:</w:t>
            </w:r>
            <w:r w:rsidRPr="781E95A1">
              <w:rPr>
                <w:rFonts w:eastAsia="Calibri" w:cs="Calibri"/>
              </w:rPr>
              <w:t xml:space="preserve"> NR</w:t>
            </w:r>
          </w:p>
        </w:tc>
      </w:tr>
      <w:tr w:rsidR="781E95A1" w:rsidTr="2029C57F">
        <w:tc>
          <w:tcPr>
            <w:tcW w:w="1395" w:type="dxa"/>
          </w:tcPr>
          <w:p w:rsidR="781E95A1" w:rsidRDefault="781E95A1">
            <w:r w:rsidRPr="781E95A1">
              <w:rPr>
                <w:rFonts w:eastAsia="Calibri" w:cs="Calibri"/>
              </w:rPr>
              <w:t xml:space="preserve">Tønnesen </w:t>
            </w:r>
            <w:r w:rsidR="0043701D">
              <w:rPr>
                <w:rFonts w:eastAsia="Calibri" w:cs="Calibri"/>
              </w:rPr>
              <w:t>(</w:t>
            </w:r>
            <w:r w:rsidRPr="781E95A1">
              <w:rPr>
                <w:rFonts w:eastAsia="Calibri" w:cs="Calibri"/>
              </w:rPr>
              <w:t>1993</w:t>
            </w:r>
            <w:r w:rsidR="0043701D">
              <w:rPr>
                <w:rFonts w:eastAsia="Calibri" w:cs="Calibri"/>
              </w:rPr>
              <w:t>)</w:t>
            </w:r>
          </w:p>
        </w:tc>
        <w:tc>
          <w:tcPr>
            <w:tcW w:w="870" w:type="dxa"/>
          </w:tcPr>
          <w:p w:rsidR="781E95A1" w:rsidRDefault="781E95A1">
            <w:r w:rsidRPr="781E95A1">
              <w:rPr>
                <w:rFonts w:eastAsia="Calibri" w:cs="Calibri"/>
              </w:rPr>
              <w:t>RCT</w:t>
            </w:r>
          </w:p>
        </w:tc>
        <w:tc>
          <w:tcPr>
            <w:tcW w:w="1140" w:type="dxa"/>
          </w:tcPr>
          <w:p w:rsidR="781E95A1" w:rsidRDefault="781E95A1">
            <w:r w:rsidRPr="781E95A1">
              <w:rPr>
                <w:rFonts w:eastAsia="Calibri" w:cs="Calibri"/>
              </w:rPr>
              <w:t>Denmark</w:t>
            </w:r>
          </w:p>
        </w:tc>
        <w:tc>
          <w:tcPr>
            <w:tcW w:w="900" w:type="dxa"/>
          </w:tcPr>
          <w:p w:rsidR="781E95A1" w:rsidRDefault="781E95A1">
            <w:r w:rsidRPr="781E95A1">
              <w:rPr>
                <w:rFonts w:eastAsia="Calibri" w:cs="Calibri"/>
              </w:rPr>
              <w:t>286</w:t>
            </w:r>
          </w:p>
        </w:tc>
        <w:tc>
          <w:tcPr>
            <w:tcW w:w="3585" w:type="dxa"/>
          </w:tcPr>
          <w:p w:rsidR="781E95A1" w:rsidRDefault="781E95A1">
            <w:r w:rsidRPr="781E95A1">
              <w:rPr>
                <w:rFonts w:eastAsia="Calibri" w:cs="Calibri"/>
              </w:rPr>
              <w:t xml:space="preserve">Smokers (≥ 10 </w:t>
            </w:r>
            <w:r w:rsidR="0043701D">
              <w:rPr>
                <w:rFonts w:eastAsia="Calibri" w:cs="Calibri"/>
              </w:rPr>
              <w:t>CPD</w:t>
            </w:r>
            <w:r w:rsidRPr="781E95A1">
              <w:rPr>
                <w:rFonts w:eastAsia="Calibri" w:cs="Calibri"/>
              </w:rPr>
              <w:t xml:space="preserve">) 60% female, average age 39, average </w:t>
            </w:r>
            <w:r w:rsidR="0043701D">
              <w:rPr>
                <w:rFonts w:eastAsia="Calibri" w:cs="Calibri"/>
              </w:rPr>
              <w:t>CPD</w:t>
            </w:r>
            <w:r w:rsidRPr="781E95A1">
              <w:rPr>
                <w:rFonts w:eastAsia="Calibri" w:cs="Calibri"/>
              </w:rPr>
              <w:t xml:space="preserve"> 20</w:t>
            </w:r>
          </w:p>
        </w:tc>
        <w:tc>
          <w:tcPr>
            <w:tcW w:w="3885" w:type="dxa"/>
          </w:tcPr>
          <w:p w:rsidR="781E95A1" w:rsidRDefault="781E95A1" w:rsidP="00C324F3">
            <w:pPr>
              <w:pStyle w:val="ListParagraph"/>
              <w:numPr>
                <w:ilvl w:val="0"/>
                <w:numId w:val="240"/>
              </w:numPr>
              <w:rPr>
                <w:rFonts w:eastAsia="Calibri" w:cs="Calibri"/>
              </w:rPr>
            </w:pPr>
            <w:r w:rsidRPr="781E95A1">
              <w:t>Nicotine inhaler (2 to 10/day) up to 6 months</w:t>
            </w:r>
          </w:p>
          <w:p w:rsidR="781E95A1" w:rsidRDefault="781E95A1" w:rsidP="00C324F3">
            <w:pPr>
              <w:pStyle w:val="ListParagraph"/>
              <w:numPr>
                <w:ilvl w:val="0"/>
                <w:numId w:val="240"/>
              </w:numPr>
              <w:rPr>
                <w:rFonts w:eastAsia="Calibri" w:cs="Calibri"/>
              </w:rPr>
            </w:pPr>
            <w:r w:rsidRPr="781E95A1">
              <w:t>Placebo inhaler</w:t>
            </w:r>
          </w:p>
        </w:tc>
        <w:tc>
          <w:tcPr>
            <w:tcW w:w="2314" w:type="dxa"/>
          </w:tcPr>
          <w:p w:rsidR="781E95A1" w:rsidRDefault="781E95A1">
            <w:r w:rsidRPr="781E95A1">
              <w:rPr>
                <w:rFonts w:eastAsia="Calibri" w:cs="Calibri"/>
              </w:rPr>
              <w:t>Efficacy: Sustained abstinence at 12 months (from week 2, paper also reports with-slips outcome) Validation: CO</w:t>
            </w:r>
          </w:p>
          <w:p w:rsidR="781E95A1" w:rsidRDefault="781E95A1">
            <w:r w:rsidRPr="781E95A1">
              <w:rPr>
                <w:rFonts w:eastAsia="Calibri" w:cs="Calibri"/>
              </w:rPr>
              <w:t xml:space="preserve"> </w:t>
            </w:r>
          </w:p>
          <w:p w:rsidR="781E95A1" w:rsidRDefault="781E95A1">
            <w:r w:rsidRPr="00C324F3">
              <w:rPr>
                <w:rFonts w:eastAsia="Calibri"/>
                <w:u w:val="single"/>
              </w:rPr>
              <w:t>Safety:</w:t>
            </w:r>
            <w:r w:rsidRPr="781E95A1">
              <w:rPr>
                <w:rFonts w:eastAsia="Calibri" w:cs="Calibri"/>
              </w:rPr>
              <w:t xml:space="preserve"> NR</w:t>
            </w:r>
          </w:p>
        </w:tc>
      </w:tr>
      <w:tr w:rsidR="781E95A1" w:rsidTr="2029C57F">
        <w:tc>
          <w:tcPr>
            <w:tcW w:w="1395" w:type="dxa"/>
          </w:tcPr>
          <w:p w:rsidR="781E95A1" w:rsidRDefault="781E95A1">
            <w:r w:rsidRPr="781E95A1">
              <w:rPr>
                <w:rFonts w:eastAsia="Calibri" w:cs="Calibri"/>
              </w:rPr>
              <w:t xml:space="preserve">Tønnesen </w:t>
            </w:r>
            <w:r w:rsidR="0043701D">
              <w:rPr>
                <w:rFonts w:eastAsia="Calibri" w:cs="Calibri"/>
              </w:rPr>
              <w:t>(</w:t>
            </w:r>
            <w:r w:rsidRPr="781E95A1">
              <w:rPr>
                <w:rFonts w:eastAsia="Calibri" w:cs="Calibri"/>
              </w:rPr>
              <w:t>2000</w:t>
            </w:r>
            <w:r w:rsidR="0043701D">
              <w:rPr>
                <w:rFonts w:eastAsia="Calibri" w:cs="Calibri"/>
              </w:rPr>
              <w:t>)</w:t>
            </w:r>
          </w:p>
        </w:tc>
        <w:tc>
          <w:tcPr>
            <w:tcW w:w="870" w:type="dxa"/>
          </w:tcPr>
          <w:p w:rsidR="781E95A1" w:rsidRDefault="00C4176B">
            <w:r>
              <w:rPr>
                <w:rFonts w:eastAsia="Calibri" w:cs="Calibri"/>
              </w:rPr>
              <w:t>RCT</w:t>
            </w:r>
            <w:r w:rsidR="781E95A1" w:rsidRPr="781E95A1">
              <w:rPr>
                <w:rFonts w:eastAsia="Calibri" w:cs="Calibri"/>
              </w:rPr>
              <w:t xml:space="preserve"> </w:t>
            </w:r>
          </w:p>
        </w:tc>
        <w:tc>
          <w:tcPr>
            <w:tcW w:w="1140" w:type="dxa"/>
          </w:tcPr>
          <w:p w:rsidR="781E95A1" w:rsidRDefault="781E95A1">
            <w:r w:rsidRPr="781E95A1">
              <w:rPr>
                <w:rFonts w:eastAsia="Calibri" w:cs="Calibri"/>
              </w:rPr>
              <w:t>Denmark</w:t>
            </w:r>
          </w:p>
        </w:tc>
        <w:tc>
          <w:tcPr>
            <w:tcW w:w="900" w:type="dxa"/>
          </w:tcPr>
          <w:p w:rsidR="781E95A1" w:rsidRDefault="781E95A1">
            <w:r w:rsidRPr="781E95A1">
              <w:rPr>
                <w:rFonts w:eastAsia="Calibri" w:cs="Calibri"/>
              </w:rPr>
              <w:t>446</w:t>
            </w:r>
          </w:p>
        </w:tc>
        <w:tc>
          <w:tcPr>
            <w:tcW w:w="3585" w:type="dxa"/>
          </w:tcPr>
          <w:p w:rsidR="781E95A1" w:rsidRDefault="781E95A1">
            <w:r w:rsidRPr="781E95A1">
              <w:rPr>
                <w:rFonts w:eastAsia="Calibri" w:cs="Calibri"/>
              </w:rPr>
              <w:t xml:space="preserve">Smokers ≥ 10 </w:t>
            </w:r>
            <w:r w:rsidR="0043701D">
              <w:rPr>
                <w:rFonts w:eastAsia="Calibri" w:cs="Calibri"/>
              </w:rPr>
              <w:t>CPD</w:t>
            </w:r>
            <w:r w:rsidRPr="781E95A1">
              <w:rPr>
                <w:rFonts w:eastAsia="Calibri" w:cs="Calibri"/>
              </w:rPr>
              <w:t xml:space="preserve"> 52% female, average age 49, average </w:t>
            </w:r>
            <w:r w:rsidR="0043701D">
              <w:rPr>
                <w:rFonts w:eastAsia="Calibri" w:cs="Calibri"/>
              </w:rPr>
              <w:t>CPD</w:t>
            </w:r>
            <w:r w:rsidRPr="781E95A1">
              <w:rPr>
                <w:rFonts w:eastAsia="Calibri" w:cs="Calibri"/>
              </w:rPr>
              <w:t xml:space="preserve"> 18</w:t>
            </w:r>
          </w:p>
        </w:tc>
        <w:tc>
          <w:tcPr>
            <w:tcW w:w="3885" w:type="dxa"/>
          </w:tcPr>
          <w:p w:rsidR="781E95A1" w:rsidRDefault="781E95A1" w:rsidP="00C324F3">
            <w:pPr>
              <w:pStyle w:val="ListParagraph"/>
              <w:numPr>
                <w:ilvl w:val="0"/>
                <w:numId w:val="239"/>
              </w:numPr>
              <w:rPr>
                <w:rFonts w:eastAsia="Calibri" w:cs="Calibri"/>
              </w:rPr>
            </w:pPr>
            <w:r w:rsidRPr="781E95A1">
              <w:t xml:space="preserve">1. 5 mg nicotine patch (placebo) </w:t>
            </w:r>
          </w:p>
          <w:p w:rsidR="781E95A1" w:rsidRDefault="781E95A1" w:rsidP="00C324F3">
            <w:pPr>
              <w:pStyle w:val="ListParagraph"/>
              <w:numPr>
                <w:ilvl w:val="0"/>
                <w:numId w:val="239"/>
              </w:numPr>
              <w:rPr>
                <w:rFonts w:eastAsia="Calibri" w:cs="Calibri"/>
              </w:rPr>
            </w:pPr>
            <w:r w:rsidRPr="781E95A1">
              <w:t>15 mg (16-hour) nicotine patch for 12 weeks (up to 9 m on request)</w:t>
            </w:r>
          </w:p>
          <w:p w:rsidR="781E95A1" w:rsidRDefault="781E95A1" w:rsidP="00C324F3">
            <w:pPr>
              <w:pStyle w:val="ListParagraph"/>
              <w:numPr>
                <w:ilvl w:val="0"/>
                <w:numId w:val="239"/>
              </w:numPr>
              <w:rPr>
                <w:rFonts w:eastAsia="Calibri" w:cs="Calibri"/>
              </w:rPr>
            </w:pPr>
            <w:r w:rsidRPr="781E95A1">
              <w:t>Nicotine inhaler (4 - 12/day ad lib)</w:t>
            </w:r>
          </w:p>
          <w:p w:rsidR="781E95A1" w:rsidRDefault="781E95A1" w:rsidP="00C324F3">
            <w:pPr>
              <w:pStyle w:val="ListParagraph"/>
              <w:numPr>
                <w:ilvl w:val="0"/>
                <w:numId w:val="239"/>
              </w:numPr>
              <w:rPr>
                <w:rFonts w:eastAsia="Calibri" w:cs="Calibri"/>
              </w:rPr>
            </w:pPr>
            <w:r w:rsidRPr="781E95A1">
              <w:t>Combination, 15 mg patch and inhaler</w:t>
            </w:r>
          </w:p>
        </w:tc>
        <w:tc>
          <w:tcPr>
            <w:tcW w:w="2314" w:type="dxa"/>
          </w:tcPr>
          <w:p w:rsidR="781E95A1" w:rsidRDefault="781E95A1">
            <w:r w:rsidRPr="00C324F3">
              <w:rPr>
                <w:rFonts w:eastAsia="Calibri"/>
                <w:u w:val="single"/>
              </w:rPr>
              <w:t>Efficacy:</w:t>
            </w:r>
            <w:r w:rsidRPr="781E95A1">
              <w:rPr>
                <w:rFonts w:eastAsia="Calibri" w:cs="Calibri"/>
              </w:rPr>
              <w:t xml:space="preserve"> Sustained abstinence at 12 m</w:t>
            </w:r>
            <w:r w:rsidR="0043701D">
              <w:rPr>
                <w:rFonts w:eastAsia="Calibri" w:cs="Calibri"/>
              </w:rPr>
              <w:t>onths</w:t>
            </w:r>
            <w:r w:rsidRPr="781E95A1">
              <w:rPr>
                <w:rFonts w:eastAsia="Calibri" w:cs="Calibri"/>
              </w:rPr>
              <w:t>, (from w</w:t>
            </w:r>
            <w:r w:rsidR="0043701D">
              <w:rPr>
                <w:rFonts w:eastAsia="Calibri" w:cs="Calibri"/>
              </w:rPr>
              <w:t>ee</w:t>
            </w:r>
            <w:r w:rsidRPr="781E95A1">
              <w:rPr>
                <w:rFonts w:eastAsia="Calibri" w:cs="Calibri"/>
              </w:rPr>
              <w:t>k 2, paper also reports PPA and with slips rates) Validation: CO &lt; 10 ppm at all visits</w:t>
            </w:r>
          </w:p>
          <w:p w:rsidR="781E95A1" w:rsidRDefault="781E95A1">
            <w:r w:rsidRPr="781E95A1">
              <w:rPr>
                <w:rFonts w:eastAsia="Calibri" w:cs="Calibri"/>
              </w:rPr>
              <w:t xml:space="preserve"> </w:t>
            </w:r>
          </w:p>
          <w:p w:rsidR="781E95A1" w:rsidRDefault="781E95A1">
            <w:r w:rsidRPr="00C324F3">
              <w:rPr>
                <w:rFonts w:eastAsia="Calibri"/>
                <w:u w:val="single"/>
              </w:rPr>
              <w:t>Safety:</w:t>
            </w:r>
            <w:r w:rsidRPr="781E95A1">
              <w:rPr>
                <w:rFonts w:eastAsia="Calibri" w:cs="Calibri"/>
              </w:rPr>
              <w:t xml:space="preserve"> Adverse events. measured at every follow-up to 12 m</w:t>
            </w:r>
            <w:r w:rsidR="0043701D">
              <w:rPr>
                <w:rFonts w:eastAsia="Calibri" w:cs="Calibri"/>
              </w:rPr>
              <w:t>onths</w:t>
            </w:r>
            <w:r w:rsidRPr="781E95A1">
              <w:rPr>
                <w:rFonts w:eastAsia="Calibri" w:cs="Calibri"/>
              </w:rPr>
              <w:t xml:space="preserve"> (note treatment could continue to 12 m</w:t>
            </w:r>
            <w:r w:rsidR="0043701D">
              <w:rPr>
                <w:rFonts w:eastAsia="Calibri" w:cs="Calibri"/>
              </w:rPr>
              <w:t>onths</w:t>
            </w:r>
            <w:r w:rsidRPr="781E95A1">
              <w:rPr>
                <w:rFonts w:eastAsia="Calibri" w:cs="Calibri"/>
              </w:rPr>
              <w:t>)</w:t>
            </w:r>
          </w:p>
        </w:tc>
      </w:tr>
      <w:tr w:rsidR="781E95A1" w:rsidTr="001D1C5A">
        <w:tc>
          <w:tcPr>
            <w:tcW w:w="14089" w:type="dxa"/>
            <w:gridSpan w:val="7"/>
            <w:shd w:val="clear" w:color="auto" w:fill="D9D9D9" w:themeFill="background1" w:themeFillShade="D9"/>
          </w:tcPr>
          <w:p w:rsidR="781E95A1" w:rsidRPr="001D1C5A" w:rsidRDefault="001D1C5A">
            <w:pPr>
              <w:rPr>
                <w:b/>
              </w:rPr>
            </w:pPr>
            <w:r w:rsidRPr="001D1C5A">
              <w:rPr>
                <w:rFonts w:eastAsia="Calibri" w:cs="Calibri"/>
                <w:b/>
                <w:bCs/>
                <w:sz w:val="24"/>
                <w:szCs w:val="24"/>
              </w:rPr>
              <w:t>Intranasal spray versus placebo</w:t>
            </w:r>
          </w:p>
        </w:tc>
      </w:tr>
      <w:tr w:rsidR="781E95A1" w:rsidTr="2029C57F">
        <w:tc>
          <w:tcPr>
            <w:tcW w:w="1395" w:type="dxa"/>
          </w:tcPr>
          <w:p w:rsidR="781E95A1" w:rsidRDefault="781E95A1">
            <w:r w:rsidRPr="781E95A1">
              <w:rPr>
                <w:rFonts w:eastAsia="Calibri" w:cs="Calibri"/>
              </w:rPr>
              <w:t xml:space="preserve">Blondal </w:t>
            </w:r>
            <w:r w:rsidR="0043701D">
              <w:rPr>
                <w:rFonts w:eastAsia="Calibri" w:cs="Calibri"/>
              </w:rPr>
              <w:t>(</w:t>
            </w:r>
            <w:r w:rsidRPr="781E95A1">
              <w:rPr>
                <w:rFonts w:eastAsia="Calibri" w:cs="Calibri"/>
              </w:rPr>
              <w:t>1997</w:t>
            </w:r>
            <w:r w:rsidR="0043701D">
              <w:rPr>
                <w:rFonts w:eastAsia="Calibri" w:cs="Calibri"/>
              </w:rPr>
              <w:t>)</w:t>
            </w:r>
          </w:p>
        </w:tc>
        <w:tc>
          <w:tcPr>
            <w:tcW w:w="870" w:type="dxa"/>
          </w:tcPr>
          <w:p w:rsidR="781E95A1" w:rsidRDefault="781E95A1">
            <w:r w:rsidRPr="781E95A1">
              <w:rPr>
                <w:rFonts w:eastAsia="Calibri" w:cs="Calibri"/>
              </w:rPr>
              <w:t>RCT</w:t>
            </w:r>
          </w:p>
        </w:tc>
        <w:tc>
          <w:tcPr>
            <w:tcW w:w="1140" w:type="dxa"/>
          </w:tcPr>
          <w:p w:rsidR="781E95A1" w:rsidRDefault="781E95A1">
            <w:r w:rsidRPr="781E95A1">
              <w:rPr>
                <w:rFonts w:eastAsia="Calibri" w:cs="Calibri"/>
              </w:rPr>
              <w:t>Ireland</w:t>
            </w:r>
          </w:p>
        </w:tc>
        <w:tc>
          <w:tcPr>
            <w:tcW w:w="900" w:type="dxa"/>
          </w:tcPr>
          <w:p w:rsidR="781E95A1" w:rsidRDefault="781E95A1">
            <w:r w:rsidRPr="781E95A1">
              <w:rPr>
                <w:rFonts w:eastAsia="Calibri" w:cs="Calibri"/>
              </w:rPr>
              <w:t>159</w:t>
            </w:r>
          </w:p>
        </w:tc>
        <w:tc>
          <w:tcPr>
            <w:tcW w:w="3585" w:type="dxa"/>
          </w:tcPr>
          <w:p w:rsidR="781E95A1" w:rsidRDefault="781E95A1">
            <w:r w:rsidRPr="781E95A1">
              <w:rPr>
                <w:rFonts w:eastAsia="Calibri" w:cs="Calibri"/>
              </w:rPr>
              <w:t xml:space="preserve">Smokers (≥ 1 </w:t>
            </w:r>
            <w:r w:rsidR="0043701D">
              <w:rPr>
                <w:rFonts w:eastAsia="Calibri" w:cs="Calibri"/>
              </w:rPr>
              <w:t>CPD</w:t>
            </w:r>
            <w:r w:rsidRPr="781E95A1">
              <w:rPr>
                <w:rFonts w:eastAsia="Calibri" w:cs="Calibri"/>
              </w:rPr>
              <w:t>) 44% female, average age 42, average tobacco use 25 g/day Participants had to be motivated to quit</w:t>
            </w:r>
          </w:p>
        </w:tc>
        <w:tc>
          <w:tcPr>
            <w:tcW w:w="3885" w:type="dxa"/>
          </w:tcPr>
          <w:p w:rsidR="781E95A1" w:rsidRDefault="781E95A1" w:rsidP="00C324F3">
            <w:pPr>
              <w:pStyle w:val="ListParagraph"/>
              <w:numPr>
                <w:ilvl w:val="0"/>
                <w:numId w:val="238"/>
              </w:numPr>
              <w:rPr>
                <w:rFonts w:eastAsia="Calibri" w:cs="Calibri"/>
              </w:rPr>
            </w:pPr>
            <w:r w:rsidRPr="781E95A1">
              <w:t>Nicotine nasal spray (NNS) ad lib use. Each dose (2 squirts) delivered 1 mg nicotine. Maximum dose 5 mg/h and 40 mg/day. Recommended duration of use 3 months</w:t>
            </w:r>
          </w:p>
          <w:p w:rsidR="781E95A1" w:rsidRDefault="781E95A1" w:rsidP="00C324F3">
            <w:pPr>
              <w:pStyle w:val="ListParagraph"/>
              <w:numPr>
                <w:ilvl w:val="0"/>
                <w:numId w:val="238"/>
              </w:numPr>
              <w:rPr>
                <w:rFonts w:eastAsia="Calibri" w:cs="Calibri"/>
              </w:rPr>
            </w:pPr>
            <w:r w:rsidRPr="781E95A1">
              <w:lastRenderedPageBreak/>
              <w:t xml:space="preserve">Placebo nasal spray containing piperine to mimic sensory effect of nicotine </w:t>
            </w:r>
          </w:p>
          <w:p w:rsidR="781E95A1" w:rsidRDefault="781E95A1">
            <w:r w:rsidRPr="781E95A1">
              <w:rPr>
                <w:rFonts w:eastAsia="Calibri" w:cs="Calibri"/>
              </w:rPr>
              <w:t xml:space="preserve"> </w:t>
            </w:r>
          </w:p>
          <w:p w:rsidR="781E95A1" w:rsidRDefault="781E95A1">
            <w:r w:rsidRPr="781E95A1">
              <w:rPr>
                <w:rFonts w:eastAsia="Calibri" w:cs="Calibri"/>
              </w:rPr>
              <w:t>Level of support: high (Group therapy 6 x 1-h sessions)</w:t>
            </w:r>
          </w:p>
        </w:tc>
        <w:tc>
          <w:tcPr>
            <w:tcW w:w="2314" w:type="dxa"/>
          </w:tcPr>
          <w:p w:rsidR="781E95A1" w:rsidRDefault="781E95A1">
            <w:r w:rsidRPr="00C324F3">
              <w:rPr>
                <w:rFonts w:eastAsia="Calibri"/>
                <w:u w:val="single"/>
              </w:rPr>
              <w:lastRenderedPageBreak/>
              <w:t>Efficacy:</w:t>
            </w:r>
            <w:r w:rsidRPr="781E95A1">
              <w:rPr>
                <w:rFonts w:eastAsia="Calibri" w:cs="Calibri"/>
              </w:rPr>
              <w:t xml:space="preserve"> Sustained abstinence at 1 year (continuous abstinence from quit day, follow-up also at 2 years) </w:t>
            </w:r>
            <w:r w:rsidRPr="781E95A1">
              <w:rPr>
                <w:rFonts w:eastAsia="Calibri" w:cs="Calibri"/>
              </w:rPr>
              <w:lastRenderedPageBreak/>
              <w:t>Validation: CO &lt; 10 ppm at each of 5 follow-ups</w:t>
            </w:r>
          </w:p>
          <w:p w:rsidR="781E95A1" w:rsidRDefault="781E95A1">
            <w:r w:rsidRPr="781E95A1">
              <w:rPr>
                <w:rFonts w:eastAsia="Calibri" w:cs="Calibri"/>
              </w:rPr>
              <w:t xml:space="preserve"> </w:t>
            </w:r>
          </w:p>
          <w:p w:rsidR="781E95A1" w:rsidRDefault="781E95A1">
            <w:r w:rsidRPr="00C324F3">
              <w:rPr>
                <w:rFonts w:eastAsia="Calibri"/>
                <w:u w:val="single"/>
              </w:rPr>
              <w:t>Safety:</w:t>
            </w:r>
            <w:r w:rsidRPr="781E95A1">
              <w:rPr>
                <w:rFonts w:eastAsia="Calibri" w:cs="Calibri"/>
              </w:rPr>
              <w:t xml:space="preserve"> NR</w:t>
            </w:r>
          </w:p>
        </w:tc>
      </w:tr>
      <w:tr w:rsidR="781E95A1" w:rsidTr="2029C57F">
        <w:tc>
          <w:tcPr>
            <w:tcW w:w="1395" w:type="dxa"/>
          </w:tcPr>
          <w:p w:rsidR="781E95A1" w:rsidRDefault="781E95A1">
            <w:r w:rsidRPr="781E95A1">
              <w:rPr>
                <w:rFonts w:eastAsia="Calibri" w:cs="Calibri"/>
              </w:rPr>
              <w:lastRenderedPageBreak/>
              <w:t xml:space="preserve">Hjalmarson </w:t>
            </w:r>
            <w:r w:rsidR="0043701D">
              <w:rPr>
                <w:rFonts w:eastAsia="Calibri" w:cs="Calibri"/>
              </w:rPr>
              <w:t>(</w:t>
            </w:r>
            <w:r w:rsidRPr="781E95A1">
              <w:rPr>
                <w:rFonts w:eastAsia="Calibri" w:cs="Calibri"/>
              </w:rPr>
              <w:t>1994</w:t>
            </w:r>
            <w:r w:rsidR="0043701D">
              <w:rPr>
                <w:rFonts w:eastAsia="Calibri" w:cs="Calibri"/>
              </w:rPr>
              <w:t>)</w:t>
            </w:r>
          </w:p>
        </w:tc>
        <w:tc>
          <w:tcPr>
            <w:tcW w:w="870" w:type="dxa"/>
          </w:tcPr>
          <w:p w:rsidR="781E95A1" w:rsidRDefault="781E95A1">
            <w:r w:rsidRPr="781E95A1">
              <w:rPr>
                <w:rFonts w:eastAsia="Calibri" w:cs="Calibri"/>
              </w:rPr>
              <w:t>RCT</w:t>
            </w:r>
          </w:p>
        </w:tc>
        <w:tc>
          <w:tcPr>
            <w:tcW w:w="1140" w:type="dxa"/>
          </w:tcPr>
          <w:p w:rsidR="781E95A1" w:rsidRDefault="781E95A1">
            <w:r w:rsidRPr="781E95A1">
              <w:rPr>
                <w:rFonts w:eastAsia="Calibri" w:cs="Calibri"/>
              </w:rPr>
              <w:t>Sweden</w:t>
            </w:r>
          </w:p>
        </w:tc>
        <w:tc>
          <w:tcPr>
            <w:tcW w:w="900" w:type="dxa"/>
          </w:tcPr>
          <w:p w:rsidR="781E95A1" w:rsidRDefault="781E95A1">
            <w:r w:rsidRPr="781E95A1">
              <w:rPr>
                <w:rFonts w:eastAsia="Calibri" w:cs="Calibri"/>
              </w:rPr>
              <w:t>248</w:t>
            </w:r>
          </w:p>
        </w:tc>
        <w:tc>
          <w:tcPr>
            <w:tcW w:w="3585" w:type="dxa"/>
          </w:tcPr>
          <w:p w:rsidR="781E95A1" w:rsidRDefault="781E95A1">
            <w:r w:rsidRPr="781E95A1">
              <w:rPr>
                <w:rFonts w:eastAsia="Calibri" w:cs="Calibri"/>
              </w:rPr>
              <w:t xml:space="preserve">Smokers 57% female, average age 45, average </w:t>
            </w:r>
            <w:r w:rsidR="0043701D">
              <w:rPr>
                <w:rFonts w:eastAsia="Calibri" w:cs="Calibri"/>
              </w:rPr>
              <w:t>CPD</w:t>
            </w:r>
            <w:r w:rsidRPr="781E95A1">
              <w:rPr>
                <w:rFonts w:eastAsia="Calibri" w:cs="Calibri"/>
              </w:rPr>
              <w:t xml:space="preserve"> 22</w:t>
            </w:r>
          </w:p>
        </w:tc>
        <w:tc>
          <w:tcPr>
            <w:tcW w:w="3885" w:type="dxa"/>
          </w:tcPr>
          <w:p w:rsidR="781E95A1" w:rsidRDefault="781E95A1" w:rsidP="00C324F3">
            <w:pPr>
              <w:pStyle w:val="ListParagraph"/>
              <w:numPr>
                <w:ilvl w:val="0"/>
                <w:numId w:val="237"/>
              </w:numPr>
              <w:rPr>
                <w:rFonts w:eastAsia="Calibri" w:cs="Calibri"/>
              </w:rPr>
            </w:pPr>
            <w:r w:rsidRPr="781E95A1">
              <w:t>Nicotine nasal spray (0.5 mg/spray) used as required up to 40 mg/day for up to 1 year</w:t>
            </w:r>
          </w:p>
          <w:p w:rsidR="781E95A1" w:rsidRDefault="781E95A1" w:rsidP="00C324F3">
            <w:pPr>
              <w:pStyle w:val="ListParagraph"/>
              <w:numPr>
                <w:ilvl w:val="0"/>
                <w:numId w:val="237"/>
              </w:numPr>
              <w:rPr>
                <w:rFonts w:eastAsia="Calibri" w:cs="Calibri"/>
              </w:rPr>
            </w:pPr>
            <w:r w:rsidRPr="781E95A1">
              <w:t>Placebo spray</w:t>
            </w:r>
          </w:p>
          <w:p w:rsidR="781E95A1" w:rsidRDefault="781E95A1">
            <w:r w:rsidRPr="781E95A1">
              <w:rPr>
                <w:rFonts w:eastAsia="Calibri" w:cs="Calibri"/>
              </w:rPr>
              <w:t xml:space="preserve"> </w:t>
            </w:r>
          </w:p>
          <w:p w:rsidR="781E95A1" w:rsidRDefault="781E95A1">
            <w:r w:rsidRPr="781E95A1">
              <w:rPr>
                <w:rFonts w:eastAsia="Calibri" w:cs="Calibri"/>
              </w:rPr>
              <w:t>Level of support: high (8 x 45- to 60-min group sessions over 6 weeks with clinical psychologist)</w:t>
            </w:r>
          </w:p>
        </w:tc>
        <w:tc>
          <w:tcPr>
            <w:tcW w:w="2314" w:type="dxa"/>
          </w:tcPr>
          <w:p w:rsidR="781E95A1" w:rsidRDefault="781E95A1">
            <w:r w:rsidRPr="00C324F3">
              <w:rPr>
                <w:rFonts w:eastAsia="Calibri"/>
                <w:u w:val="single"/>
              </w:rPr>
              <w:t>Efficacy:</w:t>
            </w:r>
            <w:r w:rsidRPr="781E95A1">
              <w:rPr>
                <w:rFonts w:eastAsia="Calibri" w:cs="Calibri"/>
              </w:rPr>
              <w:t xml:space="preserve"> Sustained abstinence at 12 months Validation: CO &lt; 10 ppm</w:t>
            </w:r>
          </w:p>
          <w:p w:rsidR="781E95A1" w:rsidRDefault="781E95A1">
            <w:r w:rsidRPr="781E95A1">
              <w:rPr>
                <w:rFonts w:eastAsia="Calibri" w:cs="Calibri"/>
              </w:rPr>
              <w:t xml:space="preserve"> </w:t>
            </w:r>
          </w:p>
          <w:p w:rsidR="781E95A1" w:rsidRDefault="781E95A1">
            <w:r w:rsidRPr="00C324F3">
              <w:rPr>
                <w:rFonts w:eastAsia="Calibri"/>
                <w:u w:val="single"/>
              </w:rPr>
              <w:t>Safety:</w:t>
            </w:r>
            <w:r w:rsidRPr="781E95A1">
              <w:rPr>
                <w:rFonts w:eastAsia="Calibri" w:cs="Calibri"/>
              </w:rPr>
              <w:t xml:space="preserve"> NR</w:t>
            </w:r>
          </w:p>
        </w:tc>
      </w:tr>
      <w:tr w:rsidR="781E95A1" w:rsidTr="2029C57F">
        <w:tc>
          <w:tcPr>
            <w:tcW w:w="1395" w:type="dxa"/>
          </w:tcPr>
          <w:p w:rsidR="781E95A1" w:rsidRDefault="781E95A1">
            <w:r w:rsidRPr="781E95A1">
              <w:rPr>
                <w:rFonts w:eastAsia="Calibri" w:cs="Calibri"/>
              </w:rPr>
              <w:t xml:space="preserve">Schneider </w:t>
            </w:r>
            <w:r w:rsidR="0043701D">
              <w:rPr>
                <w:rFonts w:eastAsia="Calibri" w:cs="Calibri"/>
              </w:rPr>
              <w:t>(</w:t>
            </w:r>
            <w:r w:rsidRPr="781E95A1">
              <w:rPr>
                <w:rFonts w:eastAsia="Calibri" w:cs="Calibri"/>
              </w:rPr>
              <w:t>1995</w:t>
            </w:r>
            <w:r w:rsidR="0043701D">
              <w:rPr>
                <w:rFonts w:eastAsia="Calibri" w:cs="Calibri"/>
              </w:rPr>
              <w:t>)</w:t>
            </w:r>
          </w:p>
        </w:tc>
        <w:tc>
          <w:tcPr>
            <w:tcW w:w="870" w:type="dxa"/>
          </w:tcPr>
          <w:p w:rsidR="781E95A1" w:rsidRDefault="781E95A1">
            <w:r w:rsidRPr="781E95A1">
              <w:rPr>
                <w:rFonts w:eastAsia="Calibri" w:cs="Calibri"/>
              </w:rPr>
              <w:t>RCT</w:t>
            </w:r>
          </w:p>
        </w:tc>
        <w:tc>
          <w:tcPr>
            <w:tcW w:w="1140" w:type="dxa"/>
          </w:tcPr>
          <w:p w:rsidR="781E95A1" w:rsidRDefault="781E95A1">
            <w:r w:rsidRPr="781E95A1">
              <w:rPr>
                <w:rFonts w:eastAsia="Calibri" w:cs="Calibri"/>
              </w:rPr>
              <w:t>USA</w:t>
            </w:r>
          </w:p>
        </w:tc>
        <w:tc>
          <w:tcPr>
            <w:tcW w:w="900" w:type="dxa"/>
          </w:tcPr>
          <w:p w:rsidR="781E95A1" w:rsidRDefault="781E95A1">
            <w:r w:rsidRPr="781E95A1">
              <w:rPr>
                <w:rFonts w:eastAsia="Calibri" w:cs="Calibri"/>
              </w:rPr>
              <w:t>255</w:t>
            </w:r>
          </w:p>
        </w:tc>
        <w:tc>
          <w:tcPr>
            <w:tcW w:w="3585" w:type="dxa"/>
          </w:tcPr>
          <w:p w:rsidR="781E95A1" w:rsidRDefault="781E95A1">
            <w:r w:rsidRPr="781E95A1">
              <w:rPr>
                <w:rFonts w:eastAsia="Calibri" w:cs="Calibri"/>
              </w:rPr>
              <w:t xml:space="preserve">Adults with no serious illness, motivated to quit, smoking &gt; 15 </w:t>
            </w:r>
            <w:r w:rsidR="0043701D">
              <w:rPr>
                <w:rFonts w:eastAsia="Calibri" w:cs="Calibri"/>
              </w:rPr>
              <w:t>CPD</w:t>
            </w:r>
            <w:r w:rsidRPr="781E95A1">
              <w:rPr>
                <w:rFonts w:eastAsia="Calibri" w:cs="Calibri"/>
              </w:rPr>
              <w:t xml:space="preserve"> for &gt; 2 years with baseline CO level &gt; 20 ppm average </w:t>
            </w:r>
            <w:r w:rsidR="0043701D">
              <w:rPr>
                <w:rFonts w:eastAsia="Calibri" w:cs="Calibri"/>
              </w:rPr>
              <w:t>CPD</w:t>
            </w:r>
            <w:r w:rsidRPr="781E95A1">
              <w:rPr>
                <w:rFonts w:eastAsia="Calibri" w:cs="Calibri"/>
              </w:rPr>
              <w:t xml:space="preserve"> 28 to 29</w:t>
            </w:r>
          </w:p>
        </w:tc>
        <w:tc>
          <w:tcPr>
            <w:tcW w:w="3885" w:type="dxa"/>
          </w:tcPr>
          <w:p w:rsidR="781E95A1" w:rsidRDefault="781E95A1" w:rsidP="00C324F3">
            <w:pPr>
              <w:pStyle w:val="ListParagraph"/>
              <w:numPr>
                <w:ilvl w:val="0"/>
                <w:numId w:val="236"/>
              </w:numPr>
              <w:rPr>
                <w:rFonts w:eastAsia="Calibri" w:cs="Calibri"/>
              </w:rPr>
            </w:pPr>
            <w:r w:rsidRPr="781E95A1">
              <w:t>Nicotine nasal spray</w:t>
            </w:r>
          </w:p>
          <w:p w:rsidR="781E95A1" w:rsidRDefault="781E95A1" w:rsidP="00C324F3">
            <w:pPr>
              <w:pStyle w:val="ListParagraph"/>
              <w:numPr>
                <w:ilvl w:val="0"/>
                <w:numId w:val="236"/>
              </w:numPr>
              <w:rPr>
                <w:rFonts w:eastAsia="Calibri" w:cs="Calibri"/>
              </w:rPr>
            </w:pPr>
            <w:r w:rsidRPr="781E95A1">
              <w:t>Placebo spray Nicotine dosage: 0.5 mg of nicotine per spray. No fewer than 8 and no more than 32 doses/day for 6 weeks, with free use for further 6 months</w:t>
            </w:r>
          </w:p>
          <w:p w:rsidR="781E95A1" w:rsidRDefault="781E95A1">
            <w:r w:rsidRPr="781E95A1">
              <w:rPr>
                <w:rFonts w:eastAsia="Calibri" w:cs="Calibri"/>
              </w:rPr>
              <w:t xml:space="preserve"> </w:t>
            </w:r>
          </w:p>
          <w:p w:rsidR="781E95A1" w:rsidRDefault="781E95A1">
            <w:r w:rsidRPr="781E95A1">
              <w:rPr>
                <w:rFonts w:eastAsia="Calibri" w:cs="Calibri"/>
              </w:rPr>
              <w:t>Level of support: high (repeated clinic visits for assessment)</w:t>
            </w:r>
          </w:p>
        </w:tc>
        <w:tc>
          <w:tcPr>
            <w:tcW w:w="2314" w:type="dxa"/>
          </w:tcPr>
          <w:p w:rsidR="781E95A1" w:rsidRDefault="781E95A1">
            <w:r w:rsidRPr="00C324F3">
              <w:rPr>
                <w:rFonts w:eastAsia="Calibri"/>
                <w:u w:val="single"/>
              </w:rPr>
              <w:t>Efficacy:</w:t>
            </w:r>
            <w:r w:rsidRPr="781E95A1">
              <w:rPr>
                <w:rFonts w:eastAsia="Calibri" w:cs="Calibri"/>
              </w:rPr>
              <w:t xml:space="preserve"> Sustained abstinence at 12 months Validation: CO &lt; 8 ppm.</w:t>
            </w:r>
          </w:p>
          <w:p w:rsidR="781E95A1" w:rsidRDefault="781E95A1">
            <w:r w:rsidRPr="781E95A1">
              <w:rPr>
                <w:rFonts w:eastAsia="Calibri" w:cs="Calibri"/>
              </w:rPr>
              <w:t xml:space="preserve"> </w:t>
            </w:r>
          </w:p>
          <w:p w:rsidR="781E95A1" w:rsidRDefault="781E95A1">
            <w:r w:rsidRPr="00C324F3">
              <w:rPr>
                <w:rFonts w:eastAsia="Calibri"/>
                <w:u w:val="single"/>
              </w:rPr>
              <w:t>Safety:</w:t>
            </w:r>
            <w:r w:rsidRPr="781E95A1">
              <w:rPr>
                <w:rFonts w:eastAsia="Calibri" w:cs="Calibri"/>
              </w:rPr>
              <w:t xml:space="preserve"> NR</w:t>
            </w:r>
          </w:p>
        </w:tc>
      </w:tr>
      <w:tr w:rsidR="781E95A1" w:rsidTr="2029C57F">
        <w:tc>
          <w:tcPr>
            <w:tcW w:w="1395" w:type="dxa"/>
          </w:tcPr>
          <w:p w:rsidR="781E95A1" w:rsidRDefault="781E95A1">
            <w:r w:rsidRPr="781E95A1">
              <w:rPr>
                <w:rFonts w:eastAsia="Calibri" w:cs="Calibri"/>
              </w:rPr>
              <w:t xml:space="preserve">Sutherland </w:t>
            </w:r>
            <w:r w:rsidR="0043701D">
              <w:rPr>
                <w:rFonts w:eastAsia="Calibri" w:cs="Calibri"/>
              </w:rPr>
              <w:t>(</w:t>
            </w:r>
            <w:r w:rsidRPr="781E95A1">
              <w:rPr>
                <w:rFonts w:eastAsia="Calibri" w:cs="Calibri"/>
              </w:rPr>
              <w:t>1992</w:t>
            </w:r>
            <w:r w:rsidR="0043701D">
              <w:rPr>
                <w:rFonts w:eastAsia="Calibri" w:cs="Calibri"/>
              </w:rPr>
              <w:t>)</w:t>
            </w:r>
          </w:p>
        </w:tc>
        <w:tc>
          <w:tcPr>
            <w:tcW w:w="870" w:type="dxa"/>
          </w:tcPr>
          <w:p w:rsidR="781E95A1" w:rsidRDefault="781E95A1">
            <w:r w:rsidRPr="781E95A1">
              <w:rPr>
                <w:rFonts w:eastAsia="Calibri" w:cs="Calibri"/>
              </w:rPr>
              <w:t>RCT</w:t>
            </w:r>
          </w:p>
        </w:tc>
        <w:tc>
          <w:tcPr>
            <w:tcW w:w="1140" w:type="dxa"/>
          </w:tcPr>
          <w:p w:rsidR="781E95A1" w:rsidRDefault="781E95A1">
            <w:r w:rsidRPr="781E95A1">
              <w:rPr>
                <w:rFonts w:eastAsia="Calibri" w:cs="Calibri"/>
              </w:rPr>
              <w:t>UK</w:t>
            </w:r>
          </w:p>
        </w:tc>
        <w:tc>
          <w:tcPr>
            <w:tcW w:w="900" w:type="dxa"/>
          </w:tcPr>
          <w:p w:rsidR="781E95A1" w:rsidRDefault="781E95A1">
            <w:r w:rsidRPr="781E95A1">
              <w:rPr>
                <w:rFonts w:eastAsia="Calibri" w:cs="Calibri"/>
              </w:rPr>
              <w:t>227</w:t>
            </w:r>
          </w:p>
        </w:tc>
        <w:tc>
          <w:tcPr>
            <w:tcW w:w="3585" w:type="dxa"/>
          </w:tcPr>
          <w:p w:rsidR="781E95A1" w:rsidRDefault="781E95A1">
            <w:r w:rsidRPr="781E95A1">
              <w:rPr>
                <w:rFonts w:eastAsia="Calibri" w:cs="Calibri"/>
              </w:rPr>
              <w:t xml:space="preserve">Smokers motivated to quit. Average </w:t>
            </w:r>
            <w:r w:rsidR="0043701D">
              <w:rPr>
                <w:rFonts w:eastAsia="Calibri" w:cs="Calibri"/>
              </w:rPr>
              <w:t>CPD</w:t>
            </w:r>
            <w:r w:rsidRPr="781E95A1">
              <w:rPr>
                <w:rFonts w:eastAsia="Calibri" w:cs="Calibri"/>
              </w:rPr>
              <w:t xml:space="preserve"> 25 to 27</w:t>
            </w:r>
          </w:p>
        </w:tc>
        <w:tc>
          <w:tcPr>
            <w:tcW w:w="3885" w:type="dxa"/>
          </w:tcPr>
          <w:p w:rsidR="781E95A1" w:rsidRDefault="781E95A1" w:rsidP="00C324F3">
            <w:pPr>
              <w:pStyle w:val="ListParagraph"/>
              <w:numPr>
                <w:ilvl w:val="0"/>
                <w:numId w:val="235"/>
              </w:numPr>
              <w:rPr>
                <w:rFonts w:eastAsia="Calibri" w:cs="Calibri"/>
              </w:rPr>
            </w:pPr>
            <w:r w:rsidRPr="781E95A1">
              <w:t>Nicotine nasal spray, maximum 40 mg/day</w:t>
            </w:r>
          </w:p>
          <w:p w:rsidR="781E95A1" w:rsidRDefault="781E95A1" w:rsidP="00C324F3">
            <w:pPr>
              <w:pStyle w:val="ListParagraph"/>
              <w:numPr>
                <w:ilvl w:val="0"/>
                <w:numId w:val="235"/>
              </w:numPr>
              <w:rPr>
                <w:rFonts w:eastAsia="Calibri" w:cs="Calibri"/>
              </w:rPr>
            </w:pPr>
            <w:r w:rsidRPr="781E95A1">
              <w:t>Placebo spray Level of support: High (4 weeks group support)</w:t>
            </w:r>
          </w:p>
        </w:tc>
        <w:tc>
          <w:tcPr>
            <w:tcW w:w="2314" w:type="dxa"/>
          </w:tcPr>
          <w:p w:rsidR="781E95A1" w:rsidRDefault="781E95A1">
            <w:r w:rsidRPr="00C324F3">
              <w:rPr>
                <w:rFonts w:eastAsia="Calibri"/>
                <w:u w:val="single"/>
              </w:rPr>
              <w:t>Efficacy:</w:t>
            </w:r>
            <w:r w:rsidRPr="781E95A1">
              <w:rPr>
                <w:rFonts w:eastAsia="Calibri" w:cs="Calibri"/>
              </w:rPr>
              <w:t xml:space="preserve"> Sustained abstinence at 12 months Validation: CO</w:t>
            </w:r>
          </w:p>
          <w:p w:rsidR="781E95A1" w:rsidRDefault="781E95A1">
            <w:r w:rsidRPr="781E95A1">
              <w:rPr>
                <w:rFonts w:eastAsia="Calibri" w:cs="Calibri"/>
              </w:rPr>
              <w:t xml:space="preserve"> </w:t>
            </w:r>
          </w:p>
          <w:p w:rsidR="781E95A1" w:rsidRDefault="781E95A1">
            <w:r w:rsidRPr="00C324F3">
              <w:rPr>
                <w:rFonts w:eastAsia="Calibri"/>
                <w:u w:val="single"/>
              </w:rPr>
              <w:t>Safety:</w:t>
            </w:r>
            <w:r w:rsidRPr="781E95A1">
              <w:rPr>
                <w:rFonts w:eastAsia="Calibri" w:cs="Calibri"/>
              </w:rPr>
              <w:t xml:space="preserve"> NR</w:t>
            </w:r>
          </w:p>
        </w:tc>
      </w:tr>
      <w:tr w:rsidR="1F01BDA3" w:rsidTr="001D1C5A">
        <w:tc>
          <w:tcPr>
            <w:tcW w:w="14089" w:type="dxa"/>
            <w:gridSpan w:val="7"/>
            <w:shd w:val="clear" w:color="auto" w:fill="D9D9D9" w:themeFill="background1" w:themeFillShade="D9"/>
          </w:tcPr>
          <w:p w:rsidR="1F01BDA3" w:rsidRPr="001D1C5A" w:rsidRDefault="001D1C5A" w:rsidP="1F01BDA3">
            <w:pPr>
              <w:rPr>
                <w:rFonts w:eastAsia="Calibri" w:cs="Calibri"/>
                <w:b/>
              </w:rPr>
            </w:pPr>
            <w:r w:rsidRPr="001D1C5A">
              <w:rPr>
                <w:rFonts w:eastAsia="Calibri" w:cs="Calibri"/>
                <w:b/>
                <w:bCs/>
                <w:sz w:val="24"/>
                <w:szCs w:val="24"/>
              </w:rPr>
              <w:t>Nasal spray versus patch</w:t>
            </w:r>
          </w:p>
        </w:tc>
      </w:tr>
      <w:tr w:rsidR="781E95A1" w:rsidTr="2029C57F">
        <w:tc>
          <w:tcPr>
            <w:tcW w:w="1395" w:type="dxa"/>
          </w:tcPr>
          <w:p w:rsidR="781E95A1" w:rsidRDefault="781E95A1">
            <w:r w:rsidRPr="781E95A1">
              <w:rPr>
                <w:rFonts w:eastAsia="Calibri" w:cs="Calibri"/>
              </w:rPr>
              <w:t xml:space="preserve">Croghan </w:t>
            </w:r>
            <w:r w:rsidR="0043701D">
              <w:rPr>
                <w:rFonts w:eastAsia="Calibri" w:cs="Calibri"/>
              </w:rPr>
              <w:t>(</w:t>
            </w:r>
            <w:r w:rsidRPr="781E95A1">
              <w:rPr>
                <w:rFonts w:eastAsia="Calibri" w:cs="Calibri"/>
              </w:rPr>
              <w:t>2003</w:t>
            </w:r>
            <w:r w:rsidR="0043701D">
              <w:rPr>
                <w:rFonts w:eastAsia="Calibri" w:cs="Calibri"/>
              </w:rPr>
              <w:t>)</w:t>
            </w:r>
          </w:p>
        </w:tc>
        <w:tc>
          <w:tcPr>
            <w:tcW w:w="870" w:type="dxa"/>
          </w:tcPr>
          <w:p w:rsidR="781E95A1" w:rsidRDefault="781E95A1">
            <w:r w:rsidRPr="781E95A1">
              <w:rPr>
                <w:rFonts w:eastAsia="Calibri" w:cs="Calibri"/>
              </w:rPr>
              <w:t>RCT</w:t>
            </w:r>
          </w:p>
        </w:tc>
        <w:tc>
          <w:tcPr>
            <w:tcW w:w="1140" w:type="dxa"/>
          </w:tcPr>
          <w:p w:rsidR="781E95A1" w:rsidRDefault="781E95A1">
            <w:r w:rsidRPr="781E95A1">
              <w:rPr>
                <w:rFonts w:eastAsia="Calibri" w:cs="Calibri"/>
              </w:rPr>
              <w:t>USA</w:t>
            </w:r>
          </w:p>
        </w:tc>
        <w:tc>
          <w:tcPr>
            <w:tcW w:w="900" w:type="dxa"/>
          </w:tcPr>
          <w:p w:rsidR="781E95A1" w:rsidRDefault="781E95A1">
            <w:r w:rsidRPr="781E95A1">
              <w:rPr>
                <w:rFonts w:eastAsia="Calibri" w:cs="Calibri"/>
              </w:rPr>
              <w:t>1384</w:t>
            </w:r>
          </w:p>
        </w:tc>
        <w:tc>
          <w:tcPr>
            <w:tcW w:w="3585" w:type="dxa"/>
          </w:tcPr>
          <w:p w:rsidR="781E95A1" w:rsidRDefault="781E95A1">
            <w:r w:rsidRPr="781E95A1">
              <w:rPr>
                <w:rFonts w:eastAsia="Calibri" w:cs="Calibri"/>
              </w:rPr>
              <w:t xml:space="preserve">Smokers (≥ 15 </w:t>
            </w:r>
            <w:r w:rsidR="0043701D">
              <w:rPr>
                <w:rFonts w:eastAsia="Calibri" w:cs="Calibri"/>
              </w:rPr>
              <w:t>CPD</w:t>
            </w:r>
            <w:r w:rsidRPr="781E95A1">
              <w:rPr>
                <w:rFonts w:eastAsia="Calibri" w:cs="Calibri"/>
              </w:rPr>
              <w:t>) 42% men, av</w:t>
            </w:r>
            <w:r w:rsidR="0043701D">
              <w:rPr>
                <w:rFonts w:eastAsia="Calibri" w:cs="Calibri"/>
              </w:rPr>
              <w:t>erage</w:t>
            </w:r>
            <w:r w:rsidRPr="781E95A1">
              <w:rPr>
                <w:rFonts w:eastAsia="Calibri" w:cs="Calibri"/>
              </w:rPr>
              <w:t xml:space="preserve"> age 42, av</w:t>
            </w:r>
            <w:r w:rsidR="0043701D">
              <w:rPr>
                <w:rFonts w:eastAsia="Calibri" w:cs="Calibri"/>
              </w:rPr>
              <w:t>erage</w:t>
            </w:r>
            <w:r w:rsidRPr="781E95A1">
              <w:rPr>
                <w:rFonts w:eastAsia="Calibri" w:cs="Calibri"/>
              </w:rPr>
              <w:t xml:space="preserve"> </w:t>
            </w:r>
            <w:r w:rsidR="0043701D">
              <w:rPr>
                <w:rFonts w:eastAsia="Calibri" w:cs="Calibri"/>
              </w:rPr>
              <w:t>CPD</w:t>
            </w:r>
            <w:r w:rsidRPr="781E95A1">
              <w:rPr>
                <w:rFonts w:eastAsia="Calibri" w:cs="Calibri"/>
              </w:rPr>
              <w:t xml:space="preserve"> 26</w:t>
            </w:r>
          </w:p>
        </w:tc>
        <w:tc>
          <w:tcPr>
            <w:tcW w:w="3885" w:type="dxa"/>
          </w:tcPr>
          <w:p w:rsidR="781E95A1" w:rsidRDefault="781E95A1" w:rsidP="00C324F3">
            <w:pPr>
              <w:pStyle w:val="ListParagraph"/>
              <w:numPr>
                <w:ilvl w:val="0"/>
                <w:numId w:val="234"/>
              </w:numPr>
              <w:rPr>
                <w:rFonts w:eastAsia="Calibri" w:cs="Calibri"/>
              </w:rPr>
            </w:pPr>
            <w:r w:rsidRPr="781E95A1">
              <w:t>15 mg/16-hour nicotine patch plus 0.5 mg/dose nasal spray, max 5/hr, 40/day, for 6 weeks</w:t>
            </w:r>
          </w:p>
          <w:p w:rsidR="781E95A1" w:rsidRDefault="781E95A1" w:rsidP="00C324F3">
            <w:pPr>
              <w:pStyle w:val="ListParagraph"/>
              <w:numPr>
                <w:ilvl w:val="0"/>
                <w:numId w:val="234"/>
              </w:numPr>
              <w:rPr>
                <w:rFonts w:eastAsia="Calibri" w:cs="Calibri"/>
              </w:rPr>
            </w:pPr>
            <w:r w:rsidRPr="781E95A1">
              <w:t>Nicotine nasal spray only</w:t>
            </w:r>
          </w:p>
          <w:p w:rsidR="781E95A1" w:rsidRDefault="781E95A1" w:rsidP="00C324F3">
            <w:pPr>
              <w:pStyle w:val="ListParagraph"/>
              <w:numPr>
                <w:ilvl w:val="0"/>
                <w:numId w:val="234"/>
              </w:numPr>
              <w:rPr>
                <w:rFonts w:eastAsia="Calibri" w:cs="Calibri"/>
              </w:rPr>
            </w:pPr>
            <w:r w:rsidRPr="781E95A1">
              <w:t>Nicotine patch only</w:t>
            </w:r>
          </w:p>
        </w:tc>
        <w:tc>
          <w:tcPr>
            <w:tcW w:w="2314" w:type="dxa"/>
          </w:tcPr>
          <w:p w:rsidR="781E95A1" w:rsidRDefault="781E95A1">
            <w:r w:rsidRPr="00C324F3">
              <w:rPr>
                <w:rFonts w:eastAsia="Calibri"/>
                <w:u w:val="single"/>
              </w:rPr>
              <w:t>Efficacy:</w:t>
            </w:r>
            <w:r w:rsidRPr="781E95A1">
              <w:rPr>
                <w:rFonts w:eastAsia="Calibri" w:cs="Calibri"/>
              </w:rPr>
              <w:t xml:space="preserve"> PPA at 6 m</w:t>
            </w:r>
            <w:r w:rsidR="0043701D">
              <w:rPr>
                <w:rFonts w:eastAsia="Calibri" w:cs="Calibri"/>
              </w:rPr>
              <w:t>onths</w:t>
            </w:r>
            <w:r w:rsidRPr="781E95A1">
              <w:rPr>
                <w:rFonts w:eastAsia="Calibri" w:cs="Calibri"/>
              </w:rPr>
              <w:t xml:space="preserve"> Validation: CO</w:t>
            </w:r>
          </w:p>
          <w:p w:rsidR="781E95A1" w:rsidRDefault="781E95A1">
            <w:r w:rsidRPr="00C324F3">
              <w:rPr>
                <w:rFonts w:eastAsia="Calibri"/>
                <w:u w:val="single"/>
              </w:rPr>
              <w:t>Safety:</w:t>
            </w:r>
            <w:r w:rsidRPr="781E95A1">
              <w:rPr>
                <w:rFonts w:eastAsia="Calibri" w:cs="Calibri"/>
              </w:rPr>
              <w:t xml:space="preserve"> Adverse events measured to 6 months (treatment duration was 6 weeks)</w:t>
            </w:r>
          </w:p>
        </w:tc>
      </w:tr>
      <w:tr w:rsidR="781E95A1" w:rsidTr="2029C57F">
        <w:tc>
          <w:tcPr>
            <w:tcW w:w="1395" w:type="dxa"/>
          </w:tcPr>
          <w:p w:rsidR="781E95A1" w:rsidRDefault="781E95A1">
            <w:r w:rsidRPr="781E95A1">
              <w:rPr>
                <w:rFonts w:eastAsia="Calibri" w:cs="Calibri"/>
              </w:rPr>
              <w:lastRenderedPageBreak/>
              <w:t xml:space="preserve">Lerman </w:t>
            </w:r>
            <w:r w:rsidR="0043701D">
              <w:rPr>
                <w:rFonts w:eastAsia="Calibri" w:cs="Calibri"/>
              </w:rPr>
              <w:t>(</w:t>
            </w:r>
            <w:r w:rsidRPr="781E95A1">
              <w:rPr>
                <w:rFonts w:eastAsia="Calibri" w:cs="Calibri"/>
              </w:rPr>
              <w:t>2004</w:t>
            </w:r>
            <w:r w:rsidR="0043701D">
              <w:rPr>
                <w:rFonts w:eastAsia="Calibri" w:cs="Calibri"/>
              </w:rPr>
              <w:t>)</w:t>
            </w:r>
          </w:p>
        </w:tc>
        <w:tc>
          <w:tcPr>
            <w:tcW w:w="870" w:type="dxa"/>
          </w:tcPr>
          <w:p w:rsidR="781E95A1" w:rsidRDefault="781E95A1">
            <w:r w:rsidRPr="781E95A1">
              <w:rPr>
                <w:rFonts w:eastAsia="Calibri" w:cs="Calibri"/>
              </w:rPr>
              <w:t>RCT</w:t>
            </w:r>
          </w:p>
        </w:tc>
        <w:tc>
          <w:tcPr>
            <w:tcW w:w="1140" w:type="dxa"/>
          </w:tcPr>
          <w:p w:rsidR="781E95A1" w:rsidRDefault="781E95A1">
            <w:r w:rsidRPr="781E95A1">
              <w:rPr>
                <w:rFonts w:eastAsia="Calibri" w:cs="Calibri"/>
              </w:rPr>
              <w:t>USA</w:t>
            </w:r>
          </w:p>
        </w:tc>
        <w:tc>
          <w:tcPr>
            <w:tcW w:w="900" w:type="dxa"/>
          </w:tcPr>
          <w:p w:rsidR="781E95A1" w:rsidRDefault="781E95A1">
            <w:r w:rsidRPr="781E95A1">
              <w:rPr>
                <w:rFonts w:eastAsia="Calibri" w:cs="Calibri"/>
              </w:rPr>
              <w:t>350</w:t>
            </w:r>
          </w:p>
        </w:tc>
        <w:tc>
          <w:tcPr>
            <w:tcW w:w="3585" w:type="dxa"/>
          </w:tcPr>
          <w:p w:rsidR="781E95A1" w:rsidRDefault="781E95A1">
            <w:r w:rsidRPr="781E95A1">
              <w:rPr>
                <w:rFonts w:eastAsia="Calibri" w:cs="Calibri"/>
              </w:rPr>
              <w:t>Smokers (≥ 10 cpd) (includes 51 who withdrew before treatment) 46% men, av</w:t>
            </w:r>
            <w:r w:rsidR="0043701D">
              <w:rPr>
                <w:rFonts w:eastAsia="Calibri" w:cs="Calibri"/>
              </w:rPr>
              <w:t>erage</w:t>
            </w:r>
            <w:r w:rsidRPr="781E95A1">
              <w:rPr>
                <w:rFonts w:eastAsia="Calibri" w:cs="Calibri"/>
              </w:rPr>
              <w:t xml:space="preserve"> age 46, av</w:t>
            </w:r>
            <w:r w:rsidR="0043701D">
              <w:rPr>
                <w:rFonts w:eastAsia="Calibri" w:cs="Calibri"/>
              </w:rPr>
              <w:t>erage CPD</w:t>
            </w:r>
            <w:r w:rsidRPr="781E95A1">
              <w:rPr>
                <w:rFonts w:eastAsia="Calibri" w:cs="Calibri"/>
              </w:rPr>
              <w:t xml:space="preserve"> 21</w:t>
            </w:r>
          </w:p>
        </w:tc>
        <w:tc>
          <w:tcPr>
            <w:tcW w:w="3885" w:type="dxa"/>
          </w:tcPr>
          <w:p w:rsidR="781E95A1" w:rsidRDefault="781E95A1" w:rsidP="00C324F3">
            <w:pPr>
              <w:pStyle w:val="ListParagraph"/>
              <w:numPr>
                <w:ilvl w:val="0"/>
                <w:numId w:val="233"/>
              </w:numPr>
              <w:rPr>
                <w:rFonts w:eastAsia="Calibri" w:cs="Calibri"/>
              </w:rPr>
            </w:pPr>
            <w:r w:rsidRPr="781E95A1">
              <w:t>Nicotine patch (21 mg/24-hour) for 8 weeks incl tapering.</w:t>
            </w:r>
          </w:p>
          <w:p w:rsidR="781E95A1" w:rsidRDefault="781E95A1" w:rsidP="00C324F3">
            <w:pPr>
              <w:pStyle w:val="ListParagraph"/>
              <w:numPr>
                <w:ilvl w:val="0"/>
                <w:numId w:val="233"/>
              </w:numPr>
              <w:rPr>
                <w:rFonts w:eastAsia="Calibri" w:cs="Calibri"/>
              </w:rPr>
            </w:pPr>
            <w:r w:rsidRPr="781E95A1">
              <w:t>Nicotine nasal spray (8 - 40 doses/day, max 5/hour) for 8 weeks, tapering over final 4 weeks</w:t>
            </w:r>
          </w:p>
        </w:tc>
        <w:tc>
          <w:tcPr>
            <w:tcW w:w="2314" w:type="dxa"/>
          </w:tcPr>
          <w:p w:rsidR="781E95A1" w:rsidRDefault="781E95A1">
            <w:r w:rsidRPr="00C324F3">
              <w:rPr>
                <w:rFonts w:eastAsia="Calibri"/>
                <w:u w:val="single"/>
              </w:rPr>
              <w:t>Efficacy:</w:t>
            </w:r>
            <w:r w:rsidRPr="781E95A1">
              <w:rPr>
                <w:rFonts w:eastAsia="Calibri" w:cs="Calibri"/>
              </w:rPr>
              <w:t xml:space="preserve"> PPA at 6 m</w:t>
            </w:r>
            <w:r w:rsidR="0043701D">
              <w:rPr>
                <w:rFonts w:eastAsia="Calibri" w:cs="Calibri"/>
              </w:rPr>
              <w:t>onths</w:t>
            </w:r>
            <w:r w:rsidRPr="781E95A1">
              <w:rPr>
                <w:rFonts w:eastAsia="Calibri" w:cs="Calibri"/>
              </w:rPr>
              <w:t xml:space="preserve"> (Continuous no slips and prolonged lapse-free unvalidated outcomes also reported) Validation: CO &lt; 10 ppm</w:t>
            </w:r>
          </w:p>
          <w:p w:rsidR="781E95A1" w:rsidRDefault="781E95A1">
            <w:r w:rsidRPr="781E95A1">
              <w:rPr>
                <w:rFonts w:eastAsia="Calibri" w:cs="Calibri"/>
              </w:rPr>
              <w:t xml:space="preserve"> </w:t>
            </w:r>
          </w:p>
          <w:p w:rsidR="781E95A1" w:rsidRDefault="781E95A1">
            <w:r w:rsidRPr="00C324F3">
              <w:rPr>
                <w:rFonts w:eastAsia="Calibri"/>
                <w:u w:val="single"/>
              </w:rPr>
              <w:t>Safety:</w:t>
            </w:r>
            <w:r w:rsidRPr="781E95A1">
              <w:rPr>
                <w:rFonts w:eastAsia="Calibri" w:cs="Calibri"/>
              </w:rPr>
              <w:t xml:space="preserve"> Adverse events – measured during counselling sessions during treatment (8 weeks)</w:t>
            </w:r>
          </w:p>
        </w:tc>
      </w:tr>
      <w:tr w:rsidR="1F01BDA3" w:rsidTr="001D1C5A">
        <w:tc>
          <w:tcPr>
            <w:tcW w:w="14089" w:type="dxa"/>
            <w:gridSpan w:val="7"/>
            <w:shd w:val="clear" w:color="auto" w:fill="D9D9D9" w:themeFill="background1" w:themeFillShade="D9"/>
          </w:tcPr>
          <w:p w:rsidR="1F01BDA3" w:rsidRPr="001D1C5A" w:rsidRDefault="001D1C5A" w:rsidP="1F01BDA3">
            <w:pPr>
              <w:rPr>
                <w:rFonts w:eastAsia="Calibri" w:cs="Calibri"/>
                <w:b/>
              </w:rPr>
            </w:pPr>
            <w:r w:rsidRPr="001D1C5A">
              <w:rPr>
                <w:rFonts w:eastAsia="Calibri" w:cs="Calibri"/>
                <w:b/>
                <w:bCs/>
                <w:sz w:val="24"/>
                <w:szCs w:val="24"/>
              </w:rPr>
              <w:t>Oral spray versus placebo</w:t>
            </w:r>
          </w:p>
        </w:tc>
      </w:tr>
      <w:tr w:rsidR="781E95A1" w:rsidTr="2029C57F">
        <w:tc>
          <w:tcPr>
            <w:tcW w:w="1395" w:type="dxa"/>
          </w:tcPr>
          <w:p w:rsidR="781E95A1" w:rsidRDefault="781E95A1">
            <w:r w:rsidRPr="781E95A1">
              <w:rPr>
                <w:rFonts w:eastAsia="Calibri" w:cs="Calibri"/>
              </w:rPr>
              <w:t xml:space="preserve">Tønnesen </w:t>
            </w:r>
            <w:r w:rsidR="0043701D">
              <w:rPr>
                <w:rFonts w:eastAsia="Calibri" w:cs="Calibri"/>
              </w:rPr>
              <w:t>(</w:t>
            </w:r>
            <w:r w:rsidRPr="781E95A1">
              <w:rPr>
                <w:rFonts w:eastAsia="Calibri" w:cs="Calibri"/>
              </w:rPr>
              <w:t>2012</w:t>
            </w:r>
            <w:r w:rsidR="0043701D">
              <w:rPr>
                <w:rFonts w:eastAsia="Calibri" w:cs="Calibri"/>
              </w:rPr>
              <w:t>)</w:t>
            </w:r>
          </w:p>
        </w:tc>
        <w:tc>
          <w:tcPr>
            <w:tcW w:w="870" w:type="dxa"/>
          </w:tcPr>
          <w:p w:rsidR="781E95A1" w:rsidRDefault="781E95A1">
            <w:r w:rsidRPr="781E95A1">
              <w:rPr>
                <w:rFonts w:eastAsia="Calibri" w:cs="Calibri"/>
              </w:rPr>
              <w:t>RCT</w:t>
            </w:r>
          </w:p>
        </w:tc>
        <w:tc>
          <w:tcPr>
            <w:tcW w:w="1140" w:type="dxa"/>
          </w:tcPr>
          <w:p w:rsidR="781E95A1" w:rsidRDefault="781E95A1">
            <w:r w:rsidRPr="781E95A1">
              <w:rPr>
                <w:rFonts w:eastAsia="Calibri" w:cs="Calibri"/>
              </w:rPr>
              <w:t>Germany (2 sites) and Denmark (1 site)</w:t>
            </w:r>
          </w:p>
        </w:tc>
        <w:tc>
          <w:tcPr>
            <w:tcW w:w="900" w:type="dxa"/>
          </w:tcPr>
          <w:p w:rsidR="781E95A1" w:rsidRDefault="781E95A1">
            <w:r w:rsidRPr="781E95A1">
              <w:rPr>
                <w:rFonts w:eastAsia="Calibri" w:cs="Calibri"/>
              </w:rPr>
              <w:t>479</w:t>
            </w:r>
          </w:p>
        </w:tc>
        <w:tc>
          <w:tcPr>
            <w:tcW w:w="3585" w:type="dxa"/>
          </w:tcPr>
          <w:p w:rsidR="781E95A1" w:rsidRDefault="781E95A1">
            <w:r w:rsidRPr="781E95A1">
              <w:rPr>
                <w:rFonts w:eastAsia="Calibri" w:cs="Calibri"/>
              </w:rPr>
              <w:t xml:space="preserve">Adult smokers of ≥ 1 cpd, motivated to quit 56% male, average age 47, average </w:t>
            </w:r>
            <w:r w:rsidR="0043701D">
              <w:rPr>
                <w:rFonts w:eastAsia="Calibri" w:cs="Calibri"/>
              </w:rPr>
              <w:t>CPD</w:t>
            </w:r>
            <w:r w:rsidRPr="781E95A1">
              <w:rPr>
                <w:rFonts w:eastAsia="Calibri" w:cs="Calibri"/>
              </w:rPr>
              <w:t xml:space="preserve"> 22.7, average FTND 5.3</w:t>
            </w:r>
          </w:p>
        </w:tc>
        <w:tc>
          <w:tcPr>
            <w:tcW w:w="3885" w:type="dxa"/>
          </w:tcPr>
          <w:p w:rsidR="781E95A1" w:rsidRDefault="781E95A1" w:rsidP="00C324F3">
            <w:pPr>
              <w:pStyle w:val="ListParagraph"/>
              <w:numPr>
                <w:ilvl w:val="0"/>
                <w:numId w:val="232"/>
              </w:numPr>
              <w:rPr>
                <w:rFonts w:eastAsia="Calibri" w:cs="Calibri"/>
              </w:rPr>
            </w:pPr>
            <w:r w:rsidRPr="781E95A1">
              <w:t>Active: weeks 1 to 6: 1 to 2 sprays when participants would normally have smoked a cigarette or experienced a craving, up to 4 sprays/hour and 64 sprays/day. Tapered down weeks 7 to 12 (end of week 9 instructed to be using half as much as in weeks 1 to 6, reducing to max 4 sprays/day by week 12). Occasional use (max 4 sprays/day) permitted weeks 13 to 24. 1 mg/spray oral nicotine spray (in development, name not provided)</w:t>
            </w:r>
          </w:p>
          <w:p w:rsidR="781E95A1" w:rsidRDefault="781E95A1" w:rsidP="00C324F3">
            <w:pPr>
              <w:pStyle w:val="ListParagraph"/>
              <w:numPr>
                <w:ilvl w:val="0"/>
                <w:numId w:val="232"/>
              </w:numPr>
              <w:rPr>
                <w:rFonts w:eastAsia="Calibri" w:cs="Calibri"/>
              </w:rPr>
            </w:pPr>
            <w:r w:rsidRPr="781E95A1">
              <w:t>Control: placebo on same schedule</w:t>
            </w:r>
          </w:p>
          <w:p w:rsidR="781E95A1" w:rsidRDefault="781E95A1">
            <w:r w:rsidRPr="781E95A1">
              <w:rPr>
                <w:rFonts w:eastAsia="Calibri" w:cs="Calibri"/>
              </w:rPr>
              <w:t xml:space="preserve"> </w:t>
            </w:r>
          </w:p>
          <w:p w:rsidR="781E95A1" w:rsidRDefault="781E95A1">
            <w:r w:rsidRPr="781E95A1">
              <w:rPr>
                <w:rFonts w:eastAsia="Calibri" w:cs="Calibri"/>
              </w:rPr>
              <w:t>Level of support: high. General written and oral advice (&lt; 10 mins) at study start and &lt; 3 mins at subsequent visits up to and including week 24 (9 visits total)</w:t>
            </w:r>
          </w:p>
        </w:tc>
        <w:tc>
          <w:tcPr>
            <w:tcW w:w="2314" w:type="dxa"/>
          </w:tcPr>
          <w:p w:rsidR="781E95A1" w:rsidRDefault="781E95A1">
            <w:r w:rsidRPr="00C324F3">
              <w:rPr>
                <w:rFonts w:eastAsia="Calibri"/>
                <w:u w:val="single"/>
              </w:rPr>
              <w:t>Efficacy:</w:t>
            </w:r>
            <w:r w:rsidRPr="781E95A1">
              <w:rPr>
                <w:rFonts w:eastAsia="Calibri" w:cs="Calibri"/>
              </w:rPr>
              <w:t xml:space="preserve"> Prolonged abstinence from week 2 to 52 (also recorded AEs and prolonged abstinence to weeks 6 and 24)</w:t>
            </w:r>
          </w:p>
          <w:p w:rsidR="781E95A1" w:rsidRDefault="781E95A1">
            <w:r w:rsidRPr="781E95A1">
              <w:rPr>
                <w:rFonts w:eastAsia="Calibri" w:cs="Calibri"/>
              </w:rPr>
              <w:t>Validation: CO &lt; 10 ppm</w:t>
            </w:r>
          </w:p>
          <w:p w:rsidR="781E95A1" w:rsidRDefault="781E95A1">
            <w:r w:rsidRPr="781E95A1">
              <w:rPr>
                <w:rFonts w:eastAsia="Calibri" w:cs="Calibri"/>
              </w:rPr>
              <w:t xml:space="preserve"> </w:t>
            </w:r>
          </w:p>
          <w:p w:rsidR="781E95A1" w:rsidRDefault="781E95A1">
            <w:r w:rsidRPr="00C324F3">
              <w:rPr>
                <w:rFonts w:eastAsia="Calibri"/>
                <w:u w:val="single"/>
              </w:rPr>
              <w:t>Safety:</w:t>
            </w:r>
            <w:r w:rsidRPr="781E95A1">
              <w:rPr>
                <w:rFonts w:eastAsia="Calibri" w:cs="Calibri"/>
              </w:rPr>
              <w:t xml:space="preserve"> NR</w:t>
            </w:r>
          </w:p>
        </w:tc>
      </w:tr>
      <w:tr w:rsidR="6310C7B2" w:rsidTr="001D1C5A">
        <w:tc>
          <w:tcPr>
            <w:tcW w:w="14089" w:type="dxa"/>
            <w:gridSpan w:val="7"/>
            <w:shd w:val="clear" w:color="auto" w:fill="D9D9D9" w:themeFill="background1" w:themeFillShade="D9"/>
          </w:tcPr>
          <w:p w:rsidR="6310C7B2" w:rsidRPr="001D1C5A" w:rsidRDefault="001D1C5A" w:rsidP="6310C7B2">
            <w:pPr>
              <w:rPr>
                <w:rFonts w:eastAsia="Calibri" w:cs="Calibri"/>
                <w:b/>
              </w:rPr>
            </w:pPr>
            <w:r w:rsidRPr="001D1C5A">
              <w:rPr>
                <w:rFonts w:eastAsia="Calibri" w:cs="Calibri"/>
                <w:b/>
                <w:bCs/>
                <w:sz w:val="24"/>
                <w:szCs w:val="24"/>
              </w:rPr>
              <w:t>Inhalator + patch versus placebo</w:t>
            </w:r>
          </w:p>
        </w:tc>
      </w:tr>
      <w:tr w:rsidR="781E95A1" w:rsidTr="2029C57F">
        <w:tc>
          <w:tcPr>
            <w:tcW w:w="1395" w:type="dxa"/>
          </w:tcPr>
          <w:p w:rsidR="781E95A1" w:rsidRDefault="781E95A1">
            <w:r w:rsidRPr="781E95A1">
              <w:rPr>
                <w:rFonts w:eastAsia="Calibri" w:cs="Calibri"/>
              </w:rPr>
              <w:t xml:space="preserve">Hand </w:t>
            </w:r>
            <w:r w:rsidR="0043701D">
              <w:rPr>
                <w:rFonts w:eastAsia="Calibri" w:cs="Calibri"/>
              </w:rPr>
              <w:t>(</w:t>
            </w:r>
            <w:r w:rsidRPr="781E95A1">
              <w:rPr>
                <w:rFonts w:eastAsia="Calibri" w:cs="Calibri"/>
              </w:rPr>
              <w:t>2002</w:t>
            </w:r>
            <w:r w:rsidR="0043701D">
              <w:rPr>
                <w:rFonts w:eastAsia="Calibri" w:cs="Calibri"/>
              </w:rPr>
              <w:t>)</w:t>
            </w:r>
          </w:p>
        </w:tc>
        <w:tc>
          <w:tcPr>
            <w:tcW w:w="870" w:type="dxa"/>
          </w:tcPr>
          <w:p w:rsidR="781E95A1" w:rsidRDefault="781E95A1">
            <w:r w:rsidRPr="781E95A1">
              <w:rPr>
                <w:rFonts w:eastAsia="Calibri" w:cs="Calibri"/>
              </w:rPr>
              <w:t>RCT</w:t>
            </w:r>
          </w:p>
        </w:tc>
        <w:tc>
          <w:tcPr>
            <w:tcW w:w="1140" w:type="dxa"/>
          </w:tcPr>
          <w:p w:rsidR="781E95A1" w:rsidRDefault="781E95A1">
            <w:r w:rsidRPr="781E95A1">
              <w:rPr>
                <w:rFonts w:eastAsia="Calibri" w:cs="Calibri"/>
              </w:rPr>
              <w:t>UK</w:t>
            </w:r>
          </w:p>
        </w:tc>
        <w:tc>
          <w:tcPr>
            <w:tcW w:w="900" w:type="dxa"/>
          </w:tcPr>
          <w:p w:rsidR="781E95A1" w:rsidRDefault="781E95A1">
            <w:r w:rsidRPr="781E95A1">
              <w:rPr>
                <w:rFonts w:eastAsia="Calibri" w:cs="Calibri"/>
              </w:rPr>
              <w:t>245</w:t>
            </w:r>
          </w:p>
        </w:tc>
        <w:tc>
          <w:tcPr>
            <w:tcW w:w="3585" w:type="dxa"/>
          </w:tcPr>
          <w:p w:rsidR="781E95A1" w:rsidRDefault="781E95A1">
            <w:r w:rsidRPr="781E95A1">
              <w:rPr>
                <w:rFonts w:eastAsia="Calibri" w:cs="Calibri"/>
              </w:rPr>
              <w:t xml:space="preserve">Patients with smoking-related disease 46% male, typically aged 50+, smoking 15+ </w:t>
            </w:r>
            <w:r w:rsidR="0043701D">
              <w:rPr>
                <w:rFonts w:eastAsia="Calibri" w:cs="Calibri"/>
              </w:rPr>
              <w:t>CPD</w:t>
            </w:r>
            <w:r w:rsidRPr="781E95A1">
              <w:rPr>
                <w:rFonts w:eastAsia="Calibri" w:cs="Calibri"/>
              </w:rPr>
              <w:t>; participants were motivated to try and quit</w:t>
            </w:r>
          </w:p>
        </w:tc>
        <w:tc>
          <w:tcPr>
            <w:tcW w:w="3885" w:type="dxa"/>
          </w:tcPr>
          <w:p w:rsidR="781E95A1" w:rsidRDefault="781E95A1" w:rsidP="00C324F3">
            <w:pPr>
              <w:pStyle w:val="ListParagraph"/>
              <w:numPr>
                <w:ilvl w:val="0"/>
                <w:numId w:val="231"/>
              </w:numPr>
              <w:rPr>
                <w:rFonts w:eastAsia="Calibri" w:cs="Calibri"/>
              </w:rPr>
            </w:pPr>
            <w:r w:rsidRPr="781E95A1">
              <w:t>Nicotine patch (initially 30 or 20 mg based on smoking rate) and inhaler for 3 weeks including patch tapering. Same counselling as control</w:t>
            </w:r>
          </w:p>
          <w:p w:rsidR="781E95A1" w:rsidRDefault="781E95A1" w:rsidP="00C324F3">
            <w:pPr>
              <w:pStyle w:val="ListParagraph"/>
              <w:numPr>
                <w:ilvl w:val="0"/>
                <w:numId w:val="231"/>
              </w:numPr>
              <w:rPr>
                <w:rFonts w:eastAsia="Calibri" w:cs="Calibri"/>
              </w:rPr>
            </w:pPr>
            <w:r w:rsidRPr="781E95A1">
              <w:lastRenderedPageBreak/>
              <w:t>Individual counselling, 4 sessions in 4 weeks. No placebo Level of support: high</w:t>
            </w:r>
          </w:p>
        </w:tc>
        <w:tc>
          <w:tcPr>
            <w:tcW w:w="2314" w:type="dxa"/>
          </w:tcPr>
          <w:p w:rsidR="781E95A1" w:rsidRDefault="781E95A1">
            <w:r w:rsidRPr="00C324F3">
              <w:rPr>
                <w:rFonts w:eastAsia="Calibri"/>
                <w:u w:val="single"/>
              </w:rPr>
              <w:lastRenderedPageBreak/>
              <w:t>Efficacy:</w:t>
            </w:r>
            <w:r w:rsidRPr="781E95A1">
              <w:rPr>
                <w:rFonts w:eastAsia="Calibri" w:cs="Calibri"/>
              </w:rPr>
              <w:t xml:space="preserve"> Sustained abstinence at 12 months (abstinent at all </w:t>
            </w:r>
            <w:r w:rsidRPr="781E95A1">
              <w:rPr>
                <w:rFonts w:eastAsia="Calibri" w:cs="Calibri"/>
              </w:rPr>
              <w:lastRenderedPageBreak/>
              <w:t>assessments) Validation: CO &lt; 10 ppm</w:t>
            </w:r>
          </w:p>
          <w:p w:rsidR="781E95A1" w:rsidRDefault="781E95A1">
            <w:r w:rsidRPr="781E95A1">
              <w:rPr>
                <w:rFonts w:eastAsia="Calibri" w:cs="Calibri"/>
              </w:rPr>
              <w:t xml:space="preserve"> </w:t>
            </w:r>
          </w:p>
          <w:p w:rsidR="781E95A1" w:rsidRDefault="781E95A1">
            <w:r w:rsidRPr="00C324F3">
              <w:rPr>
                <w:rFonts w:eastAsia="Calibri"/>
                <w:u w:val="single"/>
              </w:rPr>
              <w:t>Safety:</w:t>
            </w:r>
            <w:r w:rsidRPr="781E95A1">
              <w:rPr>
                <w:rFonts w:eastAsia="Calibri" w:cs="Calibri"/>
              </w:rPr>
              <w:t xml:space="preserve"> NR</w:t>
            </w:r>
          </w:p>
        </w:tc>
      </w:tr>
    </w:tbl>
    <w:p w:rsidR="0015574C" w:rsidRPr="009B042A" w:rsidRDefault="0015574C" w:rsidP="0015574C">
      <w:pPr>
        <w:pStyle w:val="TableFooter"/>
        <w:keepNext/>
      </w:pPr>
      <w:r>
        <w:lastRenderedPageBreak/>
        <w:t xml:space="preserve">Source: </w:t>
      </w:r>
      <w:r w:rsidRPr="004110FF">
        <w:t xml:space="preserve">Hartmann-Boyce </w:t>
      </w:r>
      <w:r>
        <w:t>(</w:t>
      </w:r>
      <w:r w:rsidRPr="004110FF">
        <w:t>2018</w:t>
      </w:r>
      <w:r>
        <w:t xml:space="preserve">), Oncken (2019), </w:t>
      </w:r>
      <w:r w:rsidRPr="00C25A66">
        <w:t>Lindson et al. (2019)</w:t>
      </w:r>
      <w:r>
        <w:t>, and Nides (2020).</w:t>
      </w:r>
      <w:r w:rsidRPr="009B042A">
        <w:t xml:space="preserve"> </w:t>
      </w:r>
    </w:p>
    <w:p w:rsidR="70001105" w:rsidRDefault="0015574C" w:rsidP="00A44783">
      <w:pPr>
        <w:pStyle w:val="TableFooter"/>
        <w:keepNext/>
      </w:pPr>
      <w:r>
        <w:t xml:space="preserve">Abbreviations: NR= not reported; </w:t>
      </w:r>
      <w:r w:rsidRPr="009B042A">
        <w:t xml:space="preserve">PPA= point prevalence smoking abstinence; </w:t>
      </w:r>
      <w:r>
        <w:t xml:space="preserve">CAR= continuous abstinence rate; </w:t>
      </w:r>
      <w:r w:rsidRPr="009B042A">
        <w:t xml:space="preserve">RCT= randomised controlled trial; TQD= target quit date;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CPD= cigarette per day; AEs= adverse events; SAEs= serious adverse events.</w:t>
      </w:r>
    </w:p>
    <w:p w:rsidR="00A44783" w:rsidRDefault="00A44783" w:rsidP="00A44783">
      <w:pPr>
        <w:pStyle w:val="Caption"/>
        <w:keepNext/>
      </w:pPr>
      <w:bookmarkStart w:id="396" w:name="_Ref62378949"/>
      <w:r>
        <w:t xml:space="preserve">Table </w:t>
      </w:r>
      <w:r w:rsidR="003C4A1C">
        <w:rPr>
          <w:noProof/>
        </w:rPr>
        <w:t>165</w:t>
      </w:r>
      <w:bookmarkEnd w:id="396"/>
      <w:r>
        <w:t xml:space="preserve">: </w:t>
      </w:r>
      <w:r w:rsidRPr="000D4555">
        <w:t>characteristics of the studies included in Claire et al. (2020), evaluating pharmacotherapy for smoking cessation during pregnancy and lactation</w:t>
      </w:r>
    </w:p>
    <w:tbl>
      <w:tblPr>
        <w:tblStyle w:val="TableGrid"/>
        <w:tblW w:w="14089" w:type="dxa"/>
        <w:tblLayout w:type="fixed"/>
        <w:tblLook w:val="04A0" w:firstRow="1" w:lastRow="0" w:firstColumn="1" w:lastColumn="0" w:noHBand="0" w:noVBand="1"/>
      </w:tblPr>
      <w:tblGrid>
        <w:gridCol w:w="1395"/>
        <w:gridCol w:w="870"/>
        <w:gridCol w:w="1140"/>
        <w:gridCol w:w="900"/>
        <w:gridCol w:w="3585"/>
        <w:gridCol w:w="3885"/>
        <w:gridCol w:w="2314"/>
      </w:tblGrid>
      <w:tr w:rsidR="00EE2A96" w:rsidTr="0059373F">
        <w:tc>
          <w:tcPr>
            <w:tcW w:w="1395" w:type="dxa"/>
            <w:shd w:val="clear" w:color="auto" w:fill="D9D9D9" w:themeFill="background1" w:themeFillShade="D9"/>
          </w:tcPr>
          <w:p w:rsidR="00EE2A96" w:rsidRDefault="00EE2A96" w:rsidP="0059373F">
            <w:r w:rsidRPr="781E95A1">
              <w:rPr>
                <w:rFonts w:eastAsia="Calibri" w:cs="Calibri"/>
                <w:b/>
                <w:bCs/>
              </w:rPr>
              <w:t>Study</w:t>
            </w:r>
          </w:p>
        </w:tc>
        <w:tc>
          <w:tcPr>
            <w:tcW w:w="870" w:type="dxa"/>
            <w:shd w:val="clear" w:color="auto" w:fill="D9D9D9" w:themeFill="background1" w:themeFillShade="D9"/>
          </w:tcPr>
          <w:p w:rsidR="00EE2A96" w:rsidRDefault="00EE2A96" w:rsidP="0059373F">
            <w:pPr>
              <w:jc w:val="center"/>
            </w:pPr>
            <w:r w:rsidRPr="781E95A1">
              <w:rPr>
                <w:rFonts w:eastAsia="Calibri" w:cs="Calibri"/>
                <w:b/>
                <w:bCs/>
                <w:color w:val="000000" w:themeColor="text1"/>
              </w:rPr>
              <w:t>Study type</w:t>
            </w:r>
          </w:p>
        </w:tc>
        <w:tc>
          <w:tcPr>
            <w:tcW w:w="1140" w:type="dxa"/>
            <w:shd w:val="clear" w:color="auto" w:fill="D9D9D9" w:themeFill="background1" w:themeFillShade="D9"/>
          </w:tcPr>
          <w:p w:rsidR="00EE2A96" w:rsidRDefault="00EE2A96" w:rsidP="0059373F">
            <w:pPr>
              <w:jc w:val="center"/>
            </w:pPr>
            <w:r w:rsidRPr="781E95A1">
              <w:rPr>
                <w:rFonts w:eastAsia="Calibri" w:cs="Calibri"/>
                <w:b/>
                <w:bCs/>
                <w:color w:val="000000" w:themeColor="text1"/>
              </w:rPr>
              <w:t>Countries</w:t>
            </w:r>
          </w:p>
        </w:tc>
        <w:tc>
          <w:tcPr>
            <w:tcW w:w="900" w:type="dxa"/>
            <w:shd w:val="clear" w:color="auto" w:fill="D9D9D9" w:themeFill="background1" w:themeFillShade="D9"/>
          </w:tcPr>
          <w:p w:rsidR="00EE2A96" w:rsidRDefault="00EE2A96" w:rsidP="0059373F">
            <w:pPr>
              <w:jc w:val="center"/>
            </w:pPr>
            <w:r w:rsidRPr="781E95A1">
              <w:rPr>
                <w:rFonts w:eastAsia="Calibri" w:cs="Calibri"/>
                <w:b/>
                <w:bCs/>
                <w:color w:val="000000" w:themeColor="text1"/>
              </w:rPr>
              <w:t>N</w:t>
            </w:r>
          </w:p>
        </w:tc>
        <w:tc>
          <w:tcPr>
            <w:tcW w:w="3585" w:type="dxa"/>
            <w:shd w:val="clear" w:color="auto" w:fill="D9D9D9" w:themeFill="background1" w:themeFillShade="D9"/>
          </w:tcPr>
          <w:p w:rsidR="00EE2A96" w:rsidRDefault="00EE2A96" w:rsidP="0059373F">
            <w:pPr>
              <w:jc w:val="center"/>
            </w:pPr>
            <w:r w:rsidRPr="781E95A1">
              <w:rPr>
                <w:rFonts w:eastAsia="Calibri" w:cs="Calibri"/>
                <w:b/>
                <w:bCs/>
                <w:color w:val="000000" w:themeColor="text1"/>
              </w:rPr>
              <w:t>Population</w:t>
            </w:r>
          </w:p>
        </w:tc>
        <w:tc>
          <w:tcPr>
            <w:tcW w:w="3885" w:type="dxa"/>
            <w:shd w:val="clear" w:color="auto" w:fill="D9D9D9" w:themeFill="background1" w:themeFillShade="D9"/>
          </w:tcPr>
          <w:p w:rsidR="00EE2A96" w:rsidRDefault="00EE2A96" w:rsidP="0059373F">
            <w:pPr>
              <w:jc w:val="center"/>
            </w:pPr>
            <w:r w:rsidRPr="781E95A1">
              <w:rPr>
                <w:rFonts w:eastAsia="Calibri" w:cs="Calibri"/>
                <w:b/>
                <w:bCs/>
                <w:color w:val="000000" w:themeColor="text1"/>
              </w:rPr>
              <w:t>Intervention and comparator</w:t>
            </w:r>
          </w:p>
        </w:tc>
        <w:tc>
          <w:tcPr>
            <w:tcW w:w="2314" w:type="dxa"/>
            <w:shd w:val="clear" w:color="auto" w:fill="D9D9D9" w:themeFill="background1" w:themeFillShade="D9"/>
          </w:tcPr>
          <w:p w:rsidR="00EE2A96" w:rsidRDefault="00EE2A96" w:rsidP="0059373F">
            <w:pPr>
              <w:jc w:val="center"/>
            </w:pPr>
            <w:r w:rsidRPr="781E95A1">
              <w:rPr>
                <w:rFonts w:eastAsia="Calibri" w:cs="Calibri"/>
                <w:b/>
                <w:bCs/>
                <w:color w:val="000000" w:themeColor="text1"/>
              </w:rPr>
              <w:t>Outcomes</w:t>
            </w:r>
          </w:p>
        </w:tc>
      </w:tr>
      <w:tr w:rsidR="00EE2A96" w:rsidTr="0059373F">
        <w:tc>
          <w:tcPr>
            <w:tcW w:w="14089" w:type="dxa"/>
            <w:gridSpan w:val="7"/>
            <w:shd w:val="clear" w:color="auto" w:fill="D9D9D9" w:themeFill="background1" w:themeFillShade="D9"/>
          </w:tcPr>
          <w:p w:rsidR="00EE2A96" w:rsidRPr="00440B3C" w:rsidRDefault="00EE2A96" w:rsidP="0059373F">
            <w:pPr>
              <w:rPr>
                <w:b/>
                <w:bCs/>
              </w:rPr>
            </w:pPr>
            <w:r w:rsidRPr="00440B3C">
              <w:rPr>
                <w:b/>
                <w:bCs/>
              </w:rPr>
              <w:t>NRT</w:t>
            </w:r>
          </w:p>
        </w:tc>
      </w:tr>
      <w:tr w:rsidR="00EE2A96" w:rsidTr="0059373F">
        <w:tc>
          <w:tcPr>
            <w:tcW w:w="1395" w:type="dxa"/>
          </w:tcPr>
          <w:p w:rsidR="00EE2A96" w:rsidRDefault="00EE2A96" w:rsidP="0059373F">
            <w:r w:rsidRPr="00AC0A40">
              <w:t xml:space="preserve">Berlin </w:t>
            </w:r>
            <w:r w:rsidR="000C1484">
              <w:t>(</w:t>
            </w:r>
            <w:r w:rsidRPr="00AC0A40">
              <w:t>2014</w:t>
            </w:r>
            <w:r w:rsidR="000C1484">
              <w:t>)</w:t>
            </w:r>
          </w:p>
        </w:tc>
        <w:tc>
          <w:tcPr>
            <w:tcW w:w="870" w:type="dxa"/>
          </w:tcPr>
          <w:p w:rsidR="00EE2A96" w:rsidRDefault="00EE2A96" w:rsidP="0059373F">
            <w:r>
              <w:t>RCT</w:t>
            </w:r>
          </w:p>
        </w:tc>
        <w:tc>
          <w:tcPr>
            <w:tcW w:w="1140" w:type="dxa"/>
          </w:tcPr>
          <w:p w:rsidR="00EE2A96" w:rsidRDefault="000C1484" w:rsidP="0059373F">
            <w:r>
              <w:t>NR</w:t>
            </w:r>
          </w:p>
        </w:tc>
        <w:tc>
          <w:tcPr>
            <w:tcW w:w="900" w:type="dxa"/>
          </w:tcPr>
          <w:p w:rsidR="00EE2A96" w:rsidRDefault="00EE2A96" w:rsidP="0059373F">
            <w:r>
              <w:t>N=476</w:t>
            </w:r>
          </w:p>
        </w:tc>
        <w:tc>
          <w:tcPr>
            <w:tcW w:w="3585" w:type="dxa"/>
          </w:tcPr>
          <w:p w:rsidR="00EE2A96" w:rsidRDefault="00EE2A96" w:rsidP="0059373F">
            <w:r>
              <w:t xml:space="preserve">Pregnant women aged </w:t>
            </w:r>
            <w:r w:rsidRPr="006B32B5">
              <w:t xml:space="preserve">≥ </w:t>
            </w:r>
            <w:r>
              <w:t>18 years, between 9 and 20 weeks' gestation who smoked at least 5 daily cigarettes and scored at least 5 on a scale measuring motivation for quitting smoking (range 0 to 10).</w:t>
            </w:r>
          </w:p>
        </w:tc>
        <w:tc>
          <w:tcPr>
            <w:tcW w:w="3885" w:type="dxa"/>
          </w:tcPr>
          <w:p w:rsidR="00EE2A96" w:rsidRPr="006B32B5" w:rsidRDefault="00EE2A96" w:rsidP="00C324F3">
            <w:pPr>
              <w:pStyle w:val="ListParagraph"/>
              <w:numPr>
                <w:ilvl w:val="0"/>
                <w:numId w:val="287"/>
              </w:numPr>
              <w:rPr>
                <w:rFonts w:eastAsia="Calibri" w:cs="Calibri"/>
              </w:rPr>
            </w:pPr>
            <w:r>
              <w:rPr>
                <w:rFonts w:eastAsia="Calibri" w:cs="Calibri"/>
              </w:rPr>
              <w:t>N</w:t>
            </w:r>
            <w:r w:rsidRPr="006B32B5">
              <w:rPr>
                <w:rFonts w:eastAsia="Calibri" w:cs="Calibri"/>
              </w:rPr>
              <w:t>icotine replacement therapy over a 16-hour</w:t>
            </w:r>
            <w:r>
              <w:rPr>
                <w:rFonts w:eastAsia="Calibri" w:cs="Calibri"/>
              </w:rPr>
              <w:t xml:space="preserve"> </w:t>
            </w:r>
            <w:r w:rsidRPr="006B32B5">
              <w:rPr>
                <w:rFonts w:eastAsia="Calibri" w:cs="Calibri"/>
              </w:rPr>
              <w:t>period. Both 10 mg and 15 mg patches were used, and women's doses ranged from 10 mg to 30 mg per</w:t>
            </w:r>
          </w:p>
          <w:p w:rsidR="00EE2A96" w:rsidRDefault="00EE2A96" w:rsidP="0059373F">
            <w:pPr>
              <w:pStyle w:val="ListParagraph"/>
              <w:ind w:left="360"/>
              <w:rPr>
                <w:rFonts w:eastAsia="Calibri" w:cs="Calibri"/>
              </w:rPr>
            </w:pPr>
            <w:r w:rsidRPr="006B32B5">
              <w:rPr>
                <w:rFonts w:eastAsia="Calibri" w:cs="Calibri"/>
              </w:rPr>
              <w:t>day</w:t>
            </w:r>
          </w:p>
          <w:p w:rsidR="00EE2A96" w:rsidRPr="006B32B5" w:rsidRDefault="00EE2A96" w:rsidP="00C324F3">
            <w:pPr>
              <w:pStyle w:val="ListParagraph"/>
              <w:numPr>
                <w:ilvl w:val="0"/>
                <w:numId w:val="287"/>
              </w:numPr>
              <w:rPr>
                <w:rFonts w:eastAsia="Calibri" w:cs="Calibri"/>
              </w:rPr>
            </w:pPr>
            <w:r>
              <w:rPr>
                <w:rFonts w:eastAsia="Calibri" w:cs="Calibri"/>
              </w:rPr>
              <w:t>V</w:t>
            </w:r>
            <w:r w:rsidRPr="006B32B5">
              <w:rPr>
                <w:rFonts w:eastAsia="Calibri" w:cs="Calibri"/>
              </w:rPr>
              <w:t>isually identical placebo transdermal</w:t>
            </w:r>
          </w:p>
          <w:p w:rsidR="00EE2A96" w:rsidRDefault="00EE2A96" w:rsidP="0059373F">
            <w:pPr>
              <w:pStyle w:val="ListParagraph"/>
              <w:ind w:left="360"/>
              <w:rPr>
                <w:rFonts w:eastAsia="Calibri" w:cs="Calibri"/>
              </w:rPr>
            </w:pPr>
            <w:r w:rsidRPr="006B32B5">
              <w:rPr>
                <w:rFonts w:eastAsia="Calibri" w:cs="Calibri"/>
              </w:rPr>
              <w:t>patches</w:t>
            </w:r>
          </w:p>
        </w:tc>
        <w:tc>
          <w:tcPr>
            <w:tcW w:w="2314" w:type="dxa"/>
          </w:tcPr>
          <w:p w:rsidR="00EE2A96" w:rsidRDefault="00EE2A96" w:rsidP="0059373F">
            <w:r w:rsidRPr="006B32B5">
              <w:rPr>
                <w:u w:val="single"/>
              </w:rPr>
              <w:t>Efficacy</w:t>
            </w:r>
            <w:r>
              <w:t>: Continuous abstinence</w:t>
            </w:r>
          </w:p>
          <w:p w:rsidR="00EE2A96" w:rsidRDefault="00EE2A96" w:rsidP="0059373F">
            <w:r>
              <w:t>from smoking since the quit date, s</w:t>
            </w:r>
            <w:r w:rsidRPr="006B32B5">
              <w:t>elf-reported 7 days abstinence from smoking at each study visit</w:t>
            </w:r>
            <w:r>
              <w:t>.</w:t>
            </w:r>
          </w:p>
          <w:p w:rsidR="00EE2A96" w:rsidRDefault="00EE2A96" w:rsidP="0059373F">
            <w:r>
              <w:t>Validation: confirmed</w:t>
            </w:r>
          </w:p>
          <w:p w:rsidR="00EE2A96" w:rsidRDefault="00EE2A96" w:rsidP="0059373F">
            <w:r>
              <w:t>by an exhaled CO reading of 8 ppm or less.</w:t>
            </w:r>
          </w:p>
          <w:p w:rsidR="00EE2A96" w:rsidRDefault="00EE2A96" w:rsidP="0059373F"/>
          <w:p w:rsidR="00EE2A96" w:rsidRDefault="00EE2A96" w:rsidP="0059373F">
            <w:r w:rsidRPr="006B32B5">
              <w:rPr>
                <w:u w:val="single"/>
              </w:rPr>
              <w:t>Safety</w:t>
            </w:r>
            <w:r>
              <w:t xml:space="preserve">: </w:t>
            </w:r>
            <w:r w:rsidRPr="00ED2054">
              <w:t>infant birthweight</w:t>
            </w:r>
          </w:p>
        </w:tc>
      </w:tr>
      <w:tr w:rsidR="00EE2A96" w:rsidTr="0059373F">
        <w:tc>
          <w:tcPr>
            <w:tcW w:w="1395" w:type="dxa"/>
          </w:tcPr>
          <w:p w:rsidR="00EE2A96" w:rsidRDefault="00EE2A96" w:rsidP="0059373F">
            <w:r w:rsidRPr="00AC0A40">
              <w:t xml:space="preserve">Coleman </w:t>
            </w:r>
            <w:r w:rsidR="000C1484">
              <w:t>(</w:t>
            </w:r>
            <w:r w:rsidRPr="00AC0A40">
              <w:t>2012</w:t>
            </w:r>
            <w:r w:rsidR="000C1484">
              <w:t>)</w:t>
            </w:r>
          </w:p>
        </w:tc>
        <w:tc>
          <w:tcPr>
            <w:tcW w:w="870" w:type="dxa"/>
          </w:tcPr>
          <w:p w:rsidR="00EE2A96" w:rsidRDefault="00EE2A96" w:rsidP="0059373F">
            <w:r>
              <w:t>RCT</w:t>
            </w:r>
          </w:p>
        </w:tc>
        <w:tc>
          <w:tcPr>
            <w:tcW w:w="1140" w:type="dxa"/>
          </w:tcPr>
          <w:p w:rsidR="00EE2A96" w:rsidRDefault="000C1484" w:rsidP="0059373F">
            <w:r>
              <w:t>NR</w:t>
            </w:r>
          </w:p>
        </w:tc>
        <w:tc>
          <w:tcPr>
            <w:tcW w:w="900" w:type="dxa"/>
          </w:tcPr>
          <w:p w:rsidR="00EE2A96" w:rsidRDefault="00EE2A96" w:rsidP="0059373F">
            <w:r>
              <w:t>N=1050</w:t>
            </w:r>
          </w:p>
        </w:tc>
        <w:tc>
          <w:tcPr>
            <w:tcW w:w="3585" w:type="dxa"/>
          </w:tcPr>
          <w:p w:rsidR="00EE2A96" w:rsidRDefault="00EE2A96" w:rsidP="0059373F">
            <w:r>
              <w:t>Pregnant women who agreed to set a quit date, were 16 to 50 years of age, were at 12 to 24 weeks of gestation, smoked 10 or more cigarettes daily before pregnancy, currently smoked 5 or more cigarettes daily, and had an exhaled CO concentration of at least 8 ppm.</w:t>
            </w:r>
          </w:p>
        </w:tc>
        <w:tc>
          <w:tcPr>
            <w:tcW w:w="3885" w:type="dxa"/>
          </w:tcPr>
          <w:p w:rsidR="00EE2A96" w:rsidRDefault="00EE2A96" w:rsidP="00C324F3">
            <w:pPr>
              <w:pStyle w:val="ListParagraph"/>
              <w:numPr>
                <w:ilvl w:val="0"/>
                <w:numId w:val="287"/>
              </w:numPr>
              <w:rPr>
                <w:rFonts w:eastAsia="Calibri" w:cs="Calibri"/>
              </w:rPr>
            </w:pPr>
            <w:r>
              <w:rPr>
                <w:rFonts w:eastAsia="Calibri" w:cs="Calibri"/>
              </w:rPr>
              <w:t>A</w:t>
            </w:r>
            <w:r w:rsidRPr="005F5E65">
              <w:rPr>
                <w:rFonts w:eastAsia="Calibri" w:cs="Calibri"/>
              </w:rPr>
              <w:t>ctive patches</w:t>
            </w:r>
            <w:r>
              <w:rPr>
                <w:rFonts w:eastAsia="Calibri" w:cs="Calibri"/>
              </w:rPr>
              <w:t xml:space="preserve">; participants received </w:t>
            </w:r>
            <w:r w:rsidRPr="005F5E65">
              <w:rPr>
                <w:rFonts w:eastAsia="Calibri" w:cs="Calibri"/>
              </w:rPr>
              <w:t>4-week supply of transdermal patches for NRT (at a dose of 15 mg per 16 h)</w:t>
            </w:r>
          </w:p>
          <w:p w:rsidR="00EE2A96" w:rsidRDefault="00EE2A96" w:rsidP="00C324F3">
            <w:pPr>
              <w:pStyle w:val="ListParagraph"/>
              <w:numPr>
                <w:ilvl w:val="0"/>
                <w:numId w:val="287"/>
              </w:numPr>
              <w:rPr>
                <w:rFonts w:eastAsia="Calibri" w:cs="Calibri"/>
              </w:rPr>
            </w:pPr>
            <w:r>
              <w:rPr>
                <w:rFonts w:eastAsia="Calibri" w:cs="Calibri"/>
              </w:rPr>
              <w:t>P</w:t>
            </w:r>
            <w:r w:rsidRPr="005F5E65">
              <w:rPr>
                <w:rFonts w:eastAsia="Calibri" w:cs="Calibri"/>
              </w:rPr>
              <w:t>lacebo patches</w:t>
            </w:r>
          </w:p>
          <w:p w:rsidR="00EE2A96" w:rsidRDefault="00EE2A96" w:rsidP="0059373F">
            <w:pPr>
              <w:pStyle w:val="ListParagraph"/>
              <w:ind w:left="360"/>
              <w:rPr>
                <w:rFonts w:eastAsia="Calibri" w:cs="Calibri"/>
              </w:rPr>
            </w:pPr>
          </w:p>
          <w:p w:rsidR="00EE2A96" w:rsidRPr="005F5E65" w:rsidRDefault="00EE2A96" w:rsidP="0059373F">
            <w:pPr>
              <w:rPr>
                <w:rFonts w:eastAsia="Calibri" w:cs="Calibri"/>
              </w:rPr>
            </w:pPr>
            <w:r w:rsidRPr="005F5E65">
              <w:rPr>
                <w:rFonts w:eastAsia="Calibri" w:cs="Calibri"/>
                <w:u w:val="single"/>
              </w:rPr>
              <w:t>Common component</w:t>
            </w:r>
            <w:r w:rsidRPr="005F5E65">
              <w:rPr>
                <w:rFonts w:eastAsia="Calibri" w:cs="Calibri"/>
              </w:rPr>
              <w:t>: All participants received behavioural support according to national standards, with the use of a manual</w:t>
            </w:r>
            <w:r>
              <w:rPr>
                <w:rFonts w:eastAsia="Calibri" w:cs="Calibri"/>
              </w:rPr>
              <w:t xml:space="preserve"> </w:t>
            </w:r>
            <w:r w:rsidRPr="005F5E65">
              <w:rPr>
                <w:rFonts w:eastAsia="Calibri" w:cs="Calibri"/>
              </w:rPr>
              <w:t xml:space="preserve">that included guidance from a British expert trainer of smoking-cessation professionals </w:t>
            </w:r>
            <w:r w:rsidRPr="005F5E65">
              <w:rPr>
                <w:rFonts w:eastAsia="Calibri" w:cs="Calibri"/>
              </w:rPr>
              <w:lastRenderedPageBreak/>
              <w:t>and behavioural</w:t>
            </w:r>
            <w:r>
              <w:rPr>
                <w:rFonts w:eastAsia="Calibri" w:cs="Calibri"/>
              </w:rPr>
              <w:t xml:space="preserve"> </w:t>
            </w:r>
            <w:r w:rsidRPr="005F5E65">
              <w:rPr>
                <w:rFonts w:eastAsia="Calibri" w:cs="Calibri"/>
              </w:rPr>
              <w:t>approaches from the</w:t>
            </w:r>
            <w:r>
              <w:rPr>
                <w:rFonts w:eastAsia="Calibri" w:cs="Calibri"/>
              </w:rPr>
              <w:t xml:space="preserve"> </w:t>
            </w:r>
            <w:r w:rsidRPr="005F5E65">
              <w:rPr>
                <w:rFonts w:eastAsia="Calibri" w:cs="Calibri"/>
              </w:rPr>
              <w:t>Smoking Cessation or Reduction in</w:t>
            </w:r>
            <w:r>
              <w:rPr>
                <w:rFonts w:eastAsia="Calibri" w:cs="Calibri"/>
              </w:rPr>
              <w:t xml:space="preserve"> </w:t>
            </w:r>
            <w:r w:rsidRPr="005F5E65">
              <w:rPr>
                <w:rFonts w:eastAsia="Calibri" w:cs="Calibri"/>
              </w:rPr>
              <w:t>Pregnancy Treatment trials that were</w:t>
            </w:r>
            <w:r>
              <w:rPr>
                <w:rFonts w:eastAsia="Calibri" w:cs="Calibri"/>
              </w:rPr>
              <w:t xml:space="preserve"> </w:t>
            </w:r>
            <w:r w:rsidRPr="005F5E65">
              <w:rPr>
                <w:rFonts w:eastAsia="Calibri" w:cs="Calibri"/>
              </w:rPr>
              <w:t>believed to be relevant to British people who smoke</w:t>
            </w:r>
            <w:r>
              <w:rPr>
                <w:rFonts w:eastAsia="Calibri" w:cs="Calibri"/>
              </w:rPr>
              <w:t>.</w:t>
            </w:r>
          </w:p>
        </w:tc>
        <w:tc>
          <w:tcPr>
            <w:tcW w:w="2314" w:type="dxa"/>
          </w:tcPr>
          <w:p w:rsidR="00EE2A96" w:rsidRDefault="00EE2A96" w:rsidP="0059373F">
            <w:r w:rsidRPr="006B32B5">
              <w:rPr>
                <w:u w:val="single"/>
              </w:rPr>
              <w:lastRenderedPageBreak/>
              <w:t>Efficacy</w:t>
            </w:r>
            <w:r>
              <w:t xml:space="preserve">: Prolonged smoking cessation between a quit date soon after enrolment and delivery, validated by both exhaled CO monitoring and saliva cotinine estimation. </w:t>
            </w:r>
          </w:p>
          <w:p w:rsidR="00EE2A96" w:rsidRDefault="00EE2A96" w:rsidP="0059373F">
            <w:r>
              <w:t xml:space="preserve">Exhaled CO: &lt; 7 ppm. </w:t>
            </w:r>
          </w:p>
          <w:p w:rsidR="00EE2A96" w:rsidRDefault="00EE2A96" w:rsidP="0059373F">
            <w:pPr>
              <w:rPr>
                <w:u w:val="single"/>
              </w:rPr>
            </w:pPr>
          </w:p>
          <w:p w:rsidR="00EE2A96" w:rsidRDefault="00EE2A96" w:rsidP="0059373F">
            <w:r w:rsidRPr="006B32B5">
              <w:rPr>
                <w:u w:val="single"/>
              </w:rPr>
              <w:lastRenderedPageBreak/>
              <w:t>Safety</w:t>
            </w:r>
            <w:r>
              <w:t>: Birth outcomes including Apgar score at 5 min</w:t>
            </w:r>
          </w:p>
          <w:p w:rsidR="00EE2A96" w:rsidRDefault="00EE2A96" w:rsidP="0059373F">
            <w:r>
              <w:t>after birth, cord arterial blood pH, intraventricular haemorrhage, neonatal convulsions, congenital abnormalities,</w:t>
            </w:r>
          </w:p>
          <w:p w:rsidR="00EE2A96" w:rsidRDefault="00EE2A96" w:rsidP="0059373F">
            <w:r>
              <w:t>necrotising enterocolitis, mechanical ventilation of infant, assisted vaginal delivery, maternal</w:t>
            </w:r>
          </w:p>
          <w:p w:rsidR="00EE2A96" w:rsidRDefault="00EE2A96" w:rsidP="0059373F">
            <w:r>
              <w:t>death, and caesarean section.</w:t>
            </w:r>
          </w:p>
        </w:tc>
      </w:tr>
      <w:tr w:rsidR="00EE2A96" w:rsidTr="0059373F">
        <w:tc>
          <w:tcPr>
            <w:tcW w:w="1395" w:type="dxa"/>
          </w:tcPr>
          <w:p w:rsidR="00EE2A96" w:rsidRDefault="00EE2A96" w:rsidP="0059373F">
            <w:r w:rsidRPr="00AC0A40">
              <w:lastRenderedPageBreak/>
              <w:t xml:space="preserve">El-Mohandes </w:t>
            </w:r>
            <w:r w:rsidR="000C1484">
              <w:t>(</w:t>
            </w:r>
            <w:r w:rsidRPr="00AC0A40">
              <w:t>2013</w:t>
            </w:r>
            <w:r w:rsidR="000C1484">
              <w:t>)</w:t>
            </w:r>
          </w:p>
        </w:tc>
        <w:tc>
          <w:tcPr>
            <w:tcW w:w="870" w:type="dxa"/>
          </w:tcPr>
          <w:p w:rsidR="00EE2A96" w:rsidRDefault="00EE2A96" w:rsidP="0059373F">
            <w:r>
              <w:t>RCT</w:t>
            </w:r>
          </w:p>
        </w:tc>
        <w:tc>
          <w:tcPr>
            <w:tcW w:w="1140" w:type="dxa"/>
          </w:tcPr>
          <w:p w:rsidR="00EE2A96" w:rsidRDefault="00EE2A96" w:rsidP="0059373F">
            <w:r>
              <w:t>USA</w:t>
            </w:r>
          </w:p>
        </w:tc>
        <w:tc>
          <w:tcPr>
            <w:tcW w:w="900" w:type="dxa"/>
          </w:tcPr>
          <w:p w:rsidR="00EE2A96" w:rsidRDefault="00EE2A96" w:rsidP="0059373F">
            <w:r>
              <w:t>N=52</w:t>
            </w:r>
          </w:p>
        </w:tc>
        <w:tc>
          <w:tcPr>
            <w:tcW w:w="3585" w:type="dxa"/>
          </w:tcPr>
          <w:p w:rsidR="00EE2A96" w:rsidRDefault="00EE2A96" w:rsidP="0059373F">
            <w:r>
              <w:t>English-speaking pregnant women who smoked and were residents of Washington, DC in the USA, of</w:t>
            </w:r>
          </w:p>
          <w:p w:rsidR="00EE2A96" w:rsidRDefault="00EE2A96" w:rsidP="0059373F">
            <w:r>
              <w:t>ethnic minority backgrounds, aged at least 18 years, and less than 30 weeks' gestation. Women needed</w:t>
            </w:r>
          </w:p>
          <w:p w:rsidR="00EE2A96" w:rsidRDefault="00EE2A96" w:rsidP="0059373F">
            <w:r>
              <w:t>to express a desire to quit and have an expired-air CO reading of 8 ppm or less and a salivary cotinine of</w:t>
            </w:r>
          </w:p>
          <w:p w:rsidR="00EE2A96" w:rsidRDefault="00EE2A96" w:rsidP="0059373F">
            <w:r>
              <w:t>20 ng/mL or less (NB: ClinicalTrials.gov website says 30 ng/mL or less) or a urinary cotinine of 100 ng/</w:t>
            </w:r>
          </w:p>
          <w:p w:rsidR="00EE2A96" w:rsidRDefault="00EE2A96" w:rsidP="0059373F">
            <w:r>
              <w:t>mL or less.</w:t>
            </w:r>
          </w:p>
        </w:tc>
        <w:tc>
          <w:tcPr>
            <w:tcW w:w="3885" w:type="dxa"/>
          </w:tcPr>
          <w:p w:rsidR="00EE2A96" w:rsidRDefault="00EE2A96" w:rsidP="00C324F3">
            <w:pPr>
              <w:pStyle w:val="ListParagraph"/>
              <w:numPr>
                <w:ilvl w:val="0"/>
                <w:numId w:val="288"/>
              </w:numPr>
              <w:rPr>
                <w:rFonts w:eastAsia="Calibri" w:cs="Calibri"/>
              </w:rPr>
            </w:pPr>
            <w:r>
              <w:rPr>
                <w:rFonts w:eastAsia="Calibri" w:cs="Calibri"/>
              </w:rPr>
              <w:t>C</w:t>
            </w:r>
            <w:r w:rsidRPr="003D654E">
              <w:rPr>
                <w:rFonts w:eastAsia="Calibri" w:cs="Calibri"/>
              </w:rPr>
              <w:t>ognitive behavioural</w:t>
            </w:r>
            <w:r>
              <w:rPr>
                <w:rFonts w:eastAsia="Calibri" w:cs="Calibri"/>
              </w:rPr>
              <w:t xml:space="preserve"> </w:t>
            </w:r>
            <w:r w:rsidRPr="003D654E">
              <w:rPr>
                <w:rFonts w:eastAsia="Calibri" w:cs="Calibri"/>
              </w:rPr>
              <w:t>therapy (CBT) and NRT transdermal patches or 2)</w:t>
            </w:r>
            <w:r>
              <w:rPr>
                <w:rFonts w:eastAsia="Calibri" w:cs="Calibri"/>
              </w:rPr>
              <w:t xml:space="preserve">. </w:t>
            </w:r>
            <w:r w:rsidRPr="003D654E">
              <w:rPr>
                <w:rFonts w:eastAsia="Calibri" w:cs="Calibri"/>
              </w:rPr>
              <w:t>NRT: a 10-week course of 24-hour patches</w:t>
            </w:r>
          </w:p>
          <w:p w:rsidR="00EE2A96" w:rsidRPr="003D654E" w:rsidRDefault="00EE2A96" w:rsidP="00C324F3">
            <w:pPr>
              <w:pStyle w:val="ListParagraph"/>
              <w:numPr>
                <w:ilvl w:val="0"/>
                <w:numId w:val="288"/>
              </w:numPr>
              <w:rPr>
                <w:rFonts w:eastAsia="Calibri" w:cs="Calibri"/>
              </w:rPr>
            </w:pPr>
            <w:r w:rsidRPr="003D654E">
              <w:rPr>
                <w:rFonts w:eastAsia="Calibri" w:cs="Calibri"/>
              </w:rPr>
              <w:t>CBT alone</w:t>
            </w:r>
          </w:p>
        </w:tc>
        <w:tc>
          <w:tcPr>
            <w:tcW w:w="2314" w:type="dxa"/>
          </w:tcPr>
          <w:p w:rsidR="00EE2A96" w:rsidRDefault="00EE2A96" w:rsidP="0059373F">
            <w:r w:rsidRPr="006B32B5">
              <w:rPr>
                <w:u w:val="single"/>
              </w:rPr>
              <w:t>Efficacy</w:t>
            </w:r>
            <w:r>
              <w:t xml:space="preserve">: </w:t>
            </w:r>
            <w:r w:rsidR="00861C61">
              <w:t>Abstinence</w:t>
            </w:r>
            <w:r>
              <w:t xml:space="preserve"> since last visit. </w:t>
            </w:r>
          </w:p>
          <w:p w:rsidR="00EE2A96" w:rsidRDefault="00EE2A96" w:rsidP="0059373F">
            <w:r>
              <w:t>CO: &lt;8 ppm</w:t>
            </w:r>
          </w:p>
          <w:p w:rsidR="00EE2A96" w:rsidRDefault="00EE2A96" w:rsidP="0059373F">
            <w:pPr>
              <w:rPr>
                <w:u w:val="single"/>
              </w:rPr>
            </w:pPr>
          </w:p>
          <w:p w:rsidR="00EE2A96" w:rsidRDefault="00EE2A96" w:rsidP="0059373F">
            <w:r w:rsidRPr="006B32B5">
              <w:rPr>
                <w:u w:val="single"/>
              </w:rPr>
              <w:t>Safety</w:t>
            </w:r>
            <w:r>
              <w:t>: premature birth (i.e. at &lt; 37 weeks' gestation); gestational age at birth; mean birthweight and low birthweight &lt; 2500 g.</w:t>
            </w:r>
          </w:p>
        </w:tc>
      </w:tr>
      <w:tr w:rsidR="00EE2A96" w:rsidTr="0059373F">
        <w:tc>
          <w:tcPr>
            <w:tcW w:w="1395" w:type="dxa"/>
          </w:tcPr>
          <w:p w:rsidR="00EE2A96" w:rsidRDefault="00EE2A96" w:rsidP="0059373F">
            <w:r w:rsidRPr="00AC0A40">
              <w:t xml:space="preserve">Hotham </w:t>
            </w:r>
            <w:r w:rsidR="000C1484">
              <w:t>(</w:t>
            </w:r>
            <w:r w:rsidRPr="00AC0A40">
              <w:t>2006</w:t>
            </w:r>
            <w:r w:rsidR="000C1484">
              <w:t>)</w:t>
            </w:r>
          </w:p>
        </w:tc>
        <w:tc>
          <w:tcPr>
            <w:tcW w:w="870" w:type="dxa"/>
          </w:tcPr>
          <w:p w:rsidR="00EE2A96" w:rsidRDefault="00EE2A96" w:rsidP="0059373F">
            <w:r>
              <w:t>RCT</w:t>
            </w:r>
          </w:p>
        </w:tc>
        <w:tc>
          <w:tcPr>
            <w:tcW w:w="1140" w:type="dxa"/>
          </w:tcPr>
          <w:p w:rsidR="00EE2A96" w:rsidRDefault="00EE2A96" w:rsidP="0059373F">
            <w:r>
              <w:t>Australia</w:t>
            </w:r>
          </w:p>
        </w:tc>
        <w:tc>
          <w:tcPr>
            <w:tcW w:w="900" w:type="dxa"/>
          </w:tcPr>
          <w:p w:rsidR="00EE2A96" w:rsidRDefault="00EE2A96" w:rsidP="0059373F">
            <w:r>
              <w:t>N=40</w:t>
            </w:r>
          </w:p>
        </w:tc>
        <w:tc>
          <w:tcPr>
            <w:tcW w:w="3585" w:type="dxa"/>
          </w:tcPr>
          <w:p w:rsidR="00EE2A96" w:rsidRDefault="00861C61" w:rsidP="0059373F">
            <w:r>
              <w:t>Healthy</w:t>
            </w:r>
            <w:r w:rsidR="00EE2A96">
              <w:t xml:space="preserve"> Australian women between 12 and 28 weeks' pregnant and smoking </w:t>
            </w:r>
            <w:r w:rsidR="00EE2A96" w:rsidRPr="00990BAA">
              <w:t xml:space="preserve">≥ </w:t>
            </w:r>
            <w:r w:rsidR="00EE2A96">
              <w:t xml:space="preserve"> 15 cigarettes daily with an exhaled breath CO reading of &gt; 8 ppm.</w:t>
            </w:r>
          </w:p>
        </w:tc>
        <w:tc>
          <w:tcPr>
            <w:tcW w:w="3885" w:type="dxa"/>
          </w:tcPr>
          <w:p w:rsidR="00EE2A96" w:rsidRPr="00990BAA" w:rsidRDefault="00EE2A96" w:rsidP="00C324F3">
            <w:pPr>
              <w:pStyle w:val="ListParagraph"/>
              <w:numPr>
                <w:ilvl w:val="0"/>
                <w:numId w:val="289"/>
              </w:numPr>
              <w:rPr>
                <w:rFonts w:eastAsia="Calibri" w:cs="Calibri"/>
              </w:rPr>
            </w:pPr>
            <w:r w:rsidRPr="00990BAA">
              <w:rPr>
                <w:rFonts w:eastAsia="Calibri" w:cs="Calibri"/>
              </w:rPr>
              <w:t>Intervention: counselling as above plus an element concerning correct use of NRT plus 15 mg/16-hour</w:t>
            </w:r>
            <w:r>
              <w:rPr>
                <w:rFonts w:eastAsia="Calibri" w:cs="Calibri"/>
              </w:rPr>
              <w:t xml:space="preserve"> </w:t>
            </w:r>
            <w:r w:rsidRPr="00990BAA">
              <w:rPr>
                <w:rFonts w:eastAsia="Calibri" w:cs="Calibri"/>
              </w:rPr>
              <w:t>patches for a maximum of 12 weeks</w:t>
            </w:r>
          </w:p>
          <w:p w:rsidR="00EE2A96" w:rsidRPr="00990BAA" w:rsidRDefault="00EE2A96" w:rsidP="00C324F3">
            <w:pPr>
              <w:pStyle w:val="ListParagraph"/>
              <w:numPr>
                <w:ilvl w:val="0"/>
                <w:numId w:val="289"/>
              </w:numPr>
              <w:rPr>
                <w:rFonts w:eastAsia="Calibri" w:cs="Calibri"/>
              </w:rPr>
            </w:pPr>
            <w:r w:rsidRPr="00990BAA">
              <w:rPr>
                <w:rFonts w:eastAsia="Calibri" w:cs="Calibri"/>
              </w:rPr>
              <w:t>Control group: 5-minute counselling at baseline and further brief counselling (&lt; 2 minutes' duration) at</w:t>
            </w:r>
            <w:r>
              <w:rPr>
                <w:rFonts w:eastAsia="Calibri" w:cs="Calibri"/>
              </w:rPr>
              <w:t xml:space="preserve"> </w:t>
            </w:r>
            <w:r w:rsidRPr="00990BAA">
              <w:rPr>
                <w:rFonts w:eastAsia="Calibri" w:cs="Calibri"/>
              </w:rPr>
              <w:t>follow-up visits</w:t>
            </w:r>
          </w:p>
          <w:p w:rsidR="00EE2A96" w:rsidRDefault="00EE2A96" w:rsidP="0059373F">
            <w:pPr>
              <w:pStyle w:val="ListParagraph"/>
              <w:ind w:left="360"/>
              <w:rPr>
                <w:rFonts w:eastAsia="Calibri" w:cs="Calibri"/>
              </w:rPr>
            </w:pPr>
          </w:p>
        </w:tc>
        <w:tc>
          <w:tcPr>
            <w:tcW w:w="2314" w:type="dxa"/>
          </w:tcPr>
          <w:p w:rsidR="00EE2A96" w:rsidRDefault="00EE2A96" w:rsidP="0059373F">
            <w:r w:rsidRPr="006B32B5">
              <w:rPr>
                <w:u w:val="single"/>
              </w:rPr>
              <w:t>Efficacy</w:t>
            </w:r>
            <w:r>
              <w:t xml:space="preserve">: </w:t>
            </w:r>
            <w:r w:rsidRPr="00990BAA">
              <w:t>Smoking cessation (point prevalence) at final antenatal visit.</w:t>
            </w:r>
          </w:p>
          <w:p w:rsidR="00EE2A96" w:rsidRDefault="00EE2A96" w:rsidP="0059373F">
            <w:r>
              <w:t xml:space="preserve">CO: </w:t>
            </w:r>
            <w:r w:rsidRPr="00990BAA">
              <w:t>≤</w:t>
            </w:r>
            <w:r>
              <w:t>8 ppm</w:t>
            </w:r>
          </w:p>
          <w:p w:rsidR="00EE2A96" w:rsidRDefault="00EE2A96" w:rsidP="0059373F"/>
          <w:p w:rsidR="00EE2A96" w:rsidRDefault="00EE2A96" w:rsidP="0059373F">
            <w:r w:rsidRPr="006B32B5">
              <w:rPr>
                <w:u w:val="single"/>
              </w:rPr>
              <w:t>Safety</w:t>
            </w:r>
            <w:r>
              <w:t xml:space="preserve">: NR. </w:t>
            </w:r>
          </w:p>
        </w:tc>
      </w:tr>
      <w:tr w:rsidR="00EE2A96" w:rsidTr="0059373F">
        <w:tc>
          <w:tcPr>
            <w:tcW w:w="1395" w:type="dxa"/>
          </w:tcPr>
          <w:p w:rsidR="00EE2A96" w:rsidRDefault="00EE2A96" w:rsidP="0059373F">
            <w:r w:rsidRPr="00AC0A40">
              <w:lastRenderedPageBreak/>
              <w:t xml:space="preserve">Kapur </w:t>
            </w:r>
            <w:r w:rsidR="000C1484">
              <w:t>(</w:t>
            </w:r>
            <w:r w:rsidRPr="00AC0A40">
              <w:t>2001</w:t>
            </w:r>
            <w:r w:rsidR="000C1484">
              <w:t>)</w:t>
            </w:r>
          </w:p>
        </w:tc>
        <w:tc>
          <w:tcPr>
            <w:tcW w:w="870" w:type="dxa"/>
          </w:tcPr>
          <w:p w:rsidR="00EE2A96" w:rsidRDefault="00EE2A96" w:rsidP="0059373F">
            <w:r>
              <w:t>RCT</w:t>
            </w:r>
          </w:p>
        </w:tc>
        <w:tc>
          <w:tcPr>
            <w:tcW w:w="1140" w:type="dxa"/>
          </w:tcPr>
          <w:p w:rsidR="00EE2A96" w:rsidRDefault="00EE2A96" w:rsidP="0059373F">
            <w:r>
              <w:t>Canada</w:t>
            </w:r>
          </w:p>
        </w:tc>
        <w:tc>
          <w:tcPr>
            <w:tcW w:w="900" w:type="dxa"/>
          </w:tcPr>
          <w:p w:rsidR="00EE2A96" w:rsidRDefault="00EE2A96" w:rsidP="0059373F">
            <w:r>
              <w:t>N=30</w:t>
            </w:r>
          </w:p>
        </w:tc>
        <w:tc>
          <w:tcPr>
            <w:tcW w:w="3585" w:type="dxa"/>
          </w:tcPr>
          <w:p w:rsidR="00EE2A96" w:rsidRDefault="00EE2A96" w:rsidP="0059373F">
            <w:r>
              <w:t>Healthy Canadian women between 12 and 24 weeks' pregnant and smoking &gt;= 15 cigarettes daily who want to quit smoking and could not do so in 1st trimester.</w:t>
            </w:r>
          </w:p>
        </w:tc>
        <w:tc>
          <w:tcPr>
            <w:tcW w:w="3885" w:type="dxa"/>
          </w:tcPr>
          <w:p w:rsidR="00EE2A96" w:rsidRDefault="00EE2A96" w:rsidP="0059373F">
            <w:pPr>
              <w:pStyle w:val="ListParagraph"/>
              <w:ind w:left="360"/>
              <w:rPr>
                <w:rFonts w:eastAsia="Calibri" w:cs="Calibri"/>
              </w:rPr>
            </w:pPr>
          </w:p>
          <w:p w:rsidR="00EE2A96" w:rsidRPr="00D01BE2" w:rsidRDefault="00EE2A96" w:rsidP="00C324F3">
            <w:pPr>
              <w:pStyle w:val="ListParagraph"/>
              <w:numPr>
                <w:ilvl w:val="0"/>
                <w:numId w:val="290"/>
              </w:numPr>
              <w:rPr>
                <w:rFonts w:eastAsia="Calibri"/>
              </w:rPr>
            </w:pPr>
            <w:r w:rsidRPr="00D01BE2">
              <w:rPr>
                <w:rFonts w:eastAsia="Calibri"/>
              </w:rPr>
              <w:t xml:space="preserve">12-week course of NRT: 15 mg/18-hour patch for 8 weeks, then 10 mg/18-hour patch for 2 weeks, and finally 5 mg/18-hour patch for 2 weeks. </w:t>
            </w:r>
          </w:p>
          <w:p w:rsidR="00EE2A96" w:rsidRPr="00D01BE2" w:rsidRDefault="00EE2A96" w:rsidP="00C324F3">
            <w:pPr>
              <w:pStyle w:val="ListParagraph"/>
              <w:numPr>
                <w:ilvl w:val="0"/>
                <w:numId w:val="290"/>
              </w:numPr>
              <w:rPr>
                <w:rFonts w:eastAsia="Calibri"/>
              </w:rPr>
            </w:pPr>
            <w:r w:rsidRPr="00D01BE2">
              <w:rPr>
                <w:rFonts w:eastAsia="Calibri"/>
              </w:rPr>
              <w:t>Identical placebo patches</w:t>
            </w:r>
          </w:p>
          <w:p w:rsidR="00EE2A96" w:rsidRDefault="00EE2A96" w:rsidP="0059373F">
            <w:pPr>
              <w:rPr>
                <w:rFonts w:eastAsia="Calibri"/>
              </w:rPr>
            </w:pPr>
          </w:p>
          <w:p w:rsidR="00EE2A96" w:rsidRDefault="00EE2A96" w:rsidP="0059373F">
            <w:pPr>
              <w:rPr>
                <w:rFonts w:eastAsia="Calibri"/>
              </w:rPr>
            </w:pPr>
          </w:p>
          <w:p w:rsidR="00EE2A96" w:rsidRPr="00D01BE2" w:rsidRDefault="00EE2A96" w:rsidP="0059373F">
            <w:pPr>
              <w:rPr>
                <w:rFonts w:eastAsia="Calibri"/>
              </w:rPr>
            </w:pPr>
            <w:r w:rsidRPr="00D01BE2">
              <w:rPr>
                <w:rFonts w:eastAsia="Calibri"/>
                <w:u w:val="single"/>
              </w:rPr>
              <w:t>Common component</w:t>
            </w:r>
            <w:r>
              <w:rPr>
                <w:rFonts w:eastAsia="Calibri"/>
              </w:rPr>
              <w:t xml:space="preserve">: </w:t>
            </w:r>
            <w:r w:rsidRPr="00D01BE2">
              <w:rPr>
                <w:rFonts w:eastAsia="Calibri"/>
              </w:rPr>
              <w:t>Behavioural counselling at baseline</w:t>
            </w:r>
            <w:r>
              <w:rPr>
                <w:rFonts w:eastAsia="Calibri"/>
              </w:rPr>
              <w:t xml:space="preserve"> </w:t>
            </w:r>
            <w:r w:rsidRPr="00D01BE2">
              <w:rPr>
                <w:rFonts w:eastAsia="Calibri"/>
              </w:rPr>
              <w:t>and at all follow-up points.</w:t>
            </w:r>
            <w:r>
              <w:rPr>
                <w:rFonts w:eastAsia="Calibri"/>
              </w:rPr>
              <w:t xml:space="preserve"> </w:t>
            </w:r>
            <w:r w:rsidRPr="00D01BE2">
              <w:rPr>
                <w:rFonts w:eastAsia="Calibri"/>
              </w:rPr>
              <w:t>Counselling at baseline included a video explaining how to use patch; also</w:t>
            </w:r>
          </w:p>
          <w:p w:rsidR="00EE2A96" w:rsidRPr="00990BAA" w:rsidRDefault="00EE2A96" w:rsidP="0059373F">
            <w:pPr>
              <w:rPr>
                <w:rFonts w:eastAsia="Calibri"/>
              </w:rPr>
            </w:pPr>
            <w:r w:rsidRPr="00D01BE2">
              <w:rPr>
                <w:rFonts w:eastAsia="Calibri"/>
              </w:rPr>
              <w:t>counselling at all follow-ups. Weekly telephone contact with women</w:t>
            </w:r>
          </w:p>
        </w:tc>
        <w:tc>
          <w:tcPr>
            <w:tcW w:w="2314" w:type="dxa"/>
          </w:tcPr>
          <w:p w:rsidR="00EE2A96" w:rsidRDefault="00EE2A96" w:rsidP="0059373F">
            <w:r w:rsidRPr="006B32B5">
              <w:rPr>
                <w:u w:val="single"/>
              </w:rPr>
              <w:t>Efficacy</w:t>
            </w:r>
            <w:r>
              <w:t>: Smoking cessation (unclear if point prevalence or continuous cessation measured) 8 weeks into programme</w:t>
            </w:r>
          </w:p>
          <w:p w:rsidR="00EE2A96" w:rsidRDefault="00EE2A96" w:rsidP="0059373F">
            <w:r>
              <w:t>(20 to 32 weeks into pregnancy).</w:t>
            </w:r>
          </w:p>
          <w:p w:rsidR="00EE2A96" w:rsidRDefault="00EE2A96" w:rsidP="0059373F">
            <w:r>
              <w:t>Follow-up also at weeks 1 and 4 into programme with saliva and seru</w:t>
            </w:r>
            <w:r w:rsidR="00861C61">
              <w:t xml:space="preserve">m cotinine measured at all time </w:t>
            </w:r>
            <w:r>
              <w:t>points.</w:t>
            </w:r>
          </w:p>
          <w:p w:rsidR="00EE2A96" w:rsidRDefault="00EE2A96" w:rsidP="0059373F">
            <w:pPr>
              <w:rPr>
                <w:u w:val="single"/>
              </w:rPr>
            </w:pPr>
          </w:p>
          <w:p w:rsidR="00EE2A96" w:rsidRDefault="00EE2A96" w:rsidP="0059373F">
            <w:r w:rsidRPr="006B32B5">
              <w:rPr>
                <w:u w:val="single"/>
              </w:rPr>
              <w:t>Safety</w:t>
            </w:r>
            <w:r>
              <w:t>: NR.</w:t>
            </w:r>
          </w:p>
        </w:tc>
      </w:tr>
      <w:tr w:rsidR="00EE2A96" w:rsidTr="0059373F">
        <w:tc>
          <w:tcPr>
            <w:tcW w:w="1395" w:type="dxa"/>
          </w:tcPr>
          <w:p w:rsidR="00EE2A96" w:rsidRDefault="00EE2A96" w:rsidP="0059373F">
            <w:r w:rsidRPr="00AC0A40">
              <w:t xml:space="preserve">Pollak </w:t>
            </w:r>
            <w:r w:rsidR="000C1484">
              <w:t>(</w:t>
            </w:r>
            <w:r w:rsidRPr="00AC0A40">
              <w:t>2007</w:t>
            </w:r>
            <w:r w:rsidR="000C1484">
              <w:t>)</w:t>
            </w:r>
          </w:p>
        </w:tc>
        <w:tc>
          <w:tcPr>
            <w:tcW w:w="870" w:type="dxa"/>
          </w:tcPr>
          <w:p w:rsidR="00EE2A96" w:rsidRDefault="00EE2A96" w:rsidP="0059373F">
            <w:r>
              <w:t>RCT</w:t>
            </w:r>
          </w:p>
        </w:tc>
        <w:tc>
          <w:tcPr>
            <w:tcW w:w="1140" w:type="dxa"/>
          </w:tcPr>
          <w:p w:rsidR="00EE2A96" w:rsidRDefault="00EE2A96" w:rsidP="0059373F">
            <w:r>
              <w:t>USA</w:t>
            </w:r>
          </w:p>
        </w:tc>
        <w:tc>
          <w:tcPr>
            <w:tcW w:w="900" w:type="dxa"/>
          </w:tcPr>
          <w:p w:rsidR="00EE2A96" w:rsidRDefault="00EE2A96" w:rsidP="0059373F">
            <w:r>
              <w:t>N=181</w:t>
            </w:r>
          </w:p>
        </w:tc>
        <w:tc>
          <w:tcPr>
            <w:tcW w:w="3585" w:type="dxa"/>
          </w:tcPr>
          <w:p w:rsidR="00EE2A96" w:rsidRDefault="00EE2A96" w:rsidP="0059373F">
            <w:r>
              <w:t>Healthy US English-speaking women between 13 and 25 weeks' pregnant, smoking &gt;= 5 cigarettes daily, and aged &gt;= 18 years. Must have smoked &gt; 100 cigarettes in lifetime.</w:t>
            </w:r>
          </w:p>
        </w:tc>
        <w:tc>
          <w:tcPr>
            <w:tcW w:w="3885" w:type="dxa"/>
          </w:tcPr>
          <w:p w:rsidR="00EE2A96" w:rsidRDefault="00EE2A96" w:rsidP="00C324F3">
            <w:pPr>
              <w:pStyle w:val="ListParagraph"/>
              <w:numPr>
                <w:ilvl w:val="0"/>
                <w:numId w:val="291"/>
              </w:numPr>
              <w:rPr>
                <w:rFonts w:eastAsia="Calibri" w:cs="Calibri"/>
              </w:rPr>
            </w:pPr>
            <w:r w:rsidRPr="001526D9">
              <w:rPr>
                <w:rFonts w:eastAsia="Calibri" w:cs="Calibri"/>
              </w:rPr>
              <w:t>Intervention group: counselling as above but with additional focus on use of NRT. Women permitted</w:t>
            </w:r>
            <w:r>
              <w:rPr>
                <w:rFonts w:eastAsia="Calibri" w:cs="Calibri"/>
              </w:rPr>
              <w:t xml:space="preserve"> </w:t>
            </w:r>
            <w:r w:rsidRPr="001526D9">
              <w:rPr>
                <w:rFonts w:eastAsia="Calibri" w:cs="Calibri"/>
              </w:rPr>
              <w:t>choice of NRT from patch, gum, or lozenge. Patch dose depended</w:t>
            </w:r>
            <w:r>
              <w:rPr>
                <w:rFonts w:eastAsia="Calibri" w:cs="Calibri"/>
              </w:rPr>
              <w:t xml:space="preserve"> </w:t>
            </w:r>
            <w:r w:rsidRPr="001526D9">
              <w:rPr>
                <w:rFonts w:eastAsia="Calibri" w:cs="Calibri"/>
              </w:rPr>
              <w:t>on CPD: &lt; 10 CPD, 7 mg/16 h; 10 to 14</w:t>
            </w:r>
            <w:r>
              <w:rPr>
                <w:rFonts w:eastAsia="Calibri" w:cs="Calibri"/>
              </w:rPr>
              <w:t xml:space="preserve"> </w:t>
            </w:r>
            <w:r w:rsidRPr="001526D9">
              <w:rPr>
                <w:rFonts w:eastAsia="Calibri" w:cs="Calibri"/>
              </w:rPr>
              <w:t>CPD, 14 mg/16 h; &gt;= 15 CPD, 21 mg/16 h.</w:t>
            </w:r>
            <w:r>
              <w:rPr>
                <w:rFonts w:eastAsia="Calibri" w:cs="Calibri"/>
              </w:rPr>
              <w:t xml:space="preserve"> </w:t>
            </w:r>
            <w:r w:rsidRPr="001526D9">
              <w:rPr>
                <w:rFonts w:eastAsia="Calibri" w:cs="Calibri"/>
              </w:rPr>
              <w:t>Where gum or lozenge was used, one 2 mg piece was used for</w:t>
            </w:r>
            <w:r>
              <w:rPr>
                <w:rFonts w:eastAsia="Calibri" w:cs="Calibri"/>
              </w:rPr>
              <w:t xml:space="preserve"> </w:t>
            </w:r>
            <w:r w:rsidRPr="001526D9">
              <w:rPr>
                <w:rFonts w:eastAsia="Calibri" w:cs="Calibri"/>
              </w:rPr>
              <w:t>each cigarette smoked daily.</w:t>
            </w:r>
            <w:r>
              <w:rPr>
                <w:rFonts w:eastAsia="Calibri" w:cs="Calibri"/>
              </w:rPr>
              <w:t xml:space="preserve"> </w:t>
            </w:r>
            <w:r w:rsidRPr="001526D9">
              <w:rPr>
                <w:rFonts w:eastAsia="Calibri" w:cs="Calibri"/>
              </w:rPr>
              <w:t>Maximum of 6 weeks' NRT provided, and no NRT provided when women</w:t>
            </w:r>
            <w:r>
              <w:rPr>
                <w:rFonts w:eastAsia="Calibri" w:cs="Calibri"/>
              </w:rPr>
              <w:t xml:space="preserve"> </w:t>
            </w:r>
            <w:r w:rsidRPr="001526D9">
              <w:rPr>
                <w:rFonts w:eastAsia="Calibri" w:cs="Calibri"/>
              </w:rPr>
              <w:t>returned to smoking</w:t>
            </w:r>
          </w:p>
          <w:p w:rsidR="00EE2A96" w:rsidRPr="001526D9" w:rsidRDefault="00EE2A96" w:rsidP="00C324F3">
            <w:pPr>
              <w:pStyle w:val="ListParagraph"/>
              <w:numPr>
                <w:ilvl w:val="0"/>
                <w:numId w:val="291"/>
              </w:numPr>
              <w:rPr>
                <w:rFonts w:eastAsia="Calibri" w:cs="Calibri"/>
              </w:rPr>
            </w:pPr>
            <w:r w:rsidRPr="001526D9">
              <w:rPr>
                <w:rFonts w:eastAsia="Calibri" w:cs="Calibri"/>
              </w:rPr>
              <w:t>Control group: 5 face-to-face and 1 telephone behavioural counselling sessions with booklet and support</w:t>
            </w:r>
            <w:r>
              <w:rPr>
                <w:rFonts w:eastAsia="Calibri" w:cs="Calibri"/>
              </w:rPr>
              <w:t xml:space="preserve"> </w:t>
            </w:r>
            <w:r w:rsidRPr="001526D9">
              <w:rPr>
                <w:rFonts w:eastAsia="Calibri" w:cs="Calibri"/>
              </w:rPr>
              <w:t>materials</w:t>
            </w:r>
          </w:p>
        </w:tc>
        <w:tc>
          <w:tcPr>
            <w:tcW w:w="2314" w:type="dxa"/>
          </w:tcPr>
          <w:p w:rsidR="00EE2A96" w:rsidRDefault="00EE2A96" w:rsidP="0059373F">
            <w:r w:rsidRPr="006B32B5">
              <w:rPr>
                <w:u w:val="single"/>
              </w:rPr>
              <w:t>Efficacy</w:t>
            </w:r>
            <w:r>
              <w:t xml:space="preserve">: </w:t>
            </w:r>
            <w:r w:rsidRPr="001526D9">
              <w:t>Self-reported 7-day point prevalence abstinence at 38 weeks.</w:t>
            </w:r>
          </w:p>
          <w:p w:rsidR="00EE2A96" w:rsidRDefault="00EE2A96" w:rsidP="0059373F">
            <w:r w:rsidRPr="001526D9">
              <w:t>Saliva samples for cotinine validation were collected</w:t>
            </w:r>
            <w:r>
              <w:t xml:space="preserve">. </w:t>
            </w:r>
          </w:p>
          <w:p w:rsidR="00EE2A96" w:rsidRDefault="00EE2A96" w:rsidP="0059373F">
            <w:r>
              <w:t>Cut point for primary outcome &lt;=</w:t>
            </w:r>
          </w:p>
          <w:p w:rsidR="00EE2A96" w:rsidRDefault="00EE2A96" w:rsidP="0059373F">
            <w:r>
              <w:t xml:space="preserve">10 ng/mL. </w:t>
            </w:r>
          </w:p>
          <w:p w:rsidR="00EE2A96" w:rsidRDefault="00EE2A96" w:rsidP="0059373F">
            <w:pPr>
              <w:rPr>
                <w:u w:val="single"/>
              </w:rPr>
            </w:pPr>
          </w:p>
          <w:p w:rsidR="00EE2A96" w:rsidRDefault="00EE2A96" w:rsidP="0059373F">
            <w:r w:rsidRPr="006B32B5">
              <w:rPr>
                <w:u w:val="single"/>
              </w:rPr>
              <w:t>Safety</w:t>
            </w:r>
            <w:r>
              <w:t xml:space="preserve">: NR. </w:t>
            </w:r>
          </w:p>
        </w:tc>
      </w:tr>
      <w:tr w:rsidR="00EE2A96" w:rsidTr="0059373F">
        <w:tc>
          <w:tcPr>
            <w:tcW w:w="1395" w:type="dxa"/>
          </w:tcPr>
          <w:p w:rsidR="00EE2A96" w:rsidRDefault="00EE2A96" w:rsidP="0059373F">
            <w:r w:rsidRPr="00AC0A40">
              <w:t xml:space="preserve">Wisborg </w:t>
            </w:r>
            <w:r w:rsidR="000C1484">
              <w:t>(</w:t>
            </w:r>
            <w:r w:rsidRPr="00AC0A40">
              <w:t>2000</w:t>
            </w:r>
            <w:r w:rsidR="000C1484">
              <w:t>)</w:t>
            </w:r>
          </w:p>
        </w:tc>
        <w:tc>
          <w:tcPr>
            <w:tcW w:w="870" w:type="dxa"/>
          </w:tcPr>
          <w:p w:rsidR="00EE2A96" w:rsidRDefault="00EE2A96" w:rsidP="0059373F">
            <w:r>
              <w:t>RCT</w:t>
            </w:r>
          </w:p>
        </w:tc>
        <w:tc>
          <w:tcPr>
            <w:tcW w:w="1140" w:type="dxa"/>
          </w:tcPr>
          <w:p w:rsidR="00EE2A96" w:rsidRDefault="00EE2A96" w:rsidP="0059373F">
            <w:r>
              <w:t>Denmark</w:t>
            </w:r>
          </w:p>
        </w:tc>
        <w:tc>
          <w:tcPr>
            <w:tcW w:w="900" w:type="dxa"/>
          </w:tcPr>
          <w:p w:rsidR="00EE2A96" w:rsidRDefault="00EE2A96" w:rsidP="0059373F">
            <w:r>
              <w:t>N=250</w:t>
            </w:r>
          </w:p>
        </w:tc>
        <w:tc>
          <w:tcPr>
            <w:tcW w:w="3585" w:type="dxa"/>
          </w:tcPr>
          <w:p w:rsidR="00EE2A96" w:rsidRDefault="00EE2A96" w:rsidP="0059373F">
            <w:r>
              <w:t>H</w:t>
            </w:r>
            <w:r w:rsidRPr="000A7A63">
              <w:t>ealthy Danish women &lt; 22 weeks' pregnant and smoking &gt;= 10 cigarettes daily</w:t>
            </w:r>
            <w:r>
              <w:t>.</w:t>
            </w:r>
          </w:p>
        </w:tc>
        <w:tc>
          <w:tcPr>
            <w:tcW w:w="3885" w:type="dxa"/>
          </w:tcPr>
          <w:p w:rsidR="00EE2A96" w:rsidRDefault="00EE2A96" w:rsidP="00C324F3">
            <w:pPr>
              <w:pStyle w:val="ListParagraph"/>
              <w:numPr>
                <w:ilvl w:val="0"/>
                <w:numId w:val="292"/>
              </w:numPr>
              <w:rPr>
                <w:rFonts w:eastAsia="Calibri" w:cs="Calibri"/>
              </w:rPr>
            </w:pPr>
            <w:r w:rsidRPr="000A7A63">
              <w:rPr>
                <w:rFonts w:eastAsia="Calibri" w:cs="Calibri"/>
              </w:rPr>
              <w:t>11-week course of NRT patches: 15 mg/16 h for 8 weeks then 10 mg/16 h for 3</w:t>
            </w:r>
            <w:r>
              <w:rPr>
                <w:rFonts w:eastAsia="Calibri" w:cs="Calibri"/>
              </w:rPr>
              <w:t xml:space="preserve"> </w:t>
            </w:r>
            <w:r w:rsidRPr="000A7A63">
              <w:rPr>
                <w:rFonts w:eastAsia="Calibri" w:cs="Calibri"/>
              </w:rPr>
              <w:t>weeks plus behavioural counselling and information pamphlet</w:t>
            </w:r>
          </w:p>
          <w:p w:rsidR="00EE2A96" w:rsidRPr="000A7A63" w:rsidRDefault="00EE2A96" w:rsidP="00C324F3">
            <w:pPr>
              <w:pStyle w:val="ListParagraph"/>
              <w:numPr>
                <w:ilvl w:val="0"/>
                <w:numId w:val="292"/>
              </w:numPr>
              <w:rPr>
                <w:rFonts w:eastAsia="Calibri" w:cs="Calibri"/>
              </w:rPr>
            </w:pPr>
            <w:r>
              <w:rPr>
                <w:rFonts w:eastAsia="Calibri" w:cs="Calibri"/>
              </w:rPr>
              <w:t>I</w:t>
            </w:r>
            <w:r w:rsidRPr="000A7A63">
              <w:rPr>
                <w:rFonts w:eastAsia="Calibri" w:cs="Calibri"/>
              </w:rPr>
              <w:t>dentical placebo</w:t>
            </w:r>
          </w:p>
        </w:tc>
        <w:tc>
          <w:tcPr>
            <w:tcW w:w="2314" w:type="dxa"/>
          </w:tcPr>
          <w:p w:rsidR="00EE2A96" w:rsidRDefault="00EE2A96" w:rsidP="0059373F">
            <w:r w:rsidRPr="006B32B5">
              <w:rPr>
                <w:u w:val="single"/>
              </w:rPr>
              <w:t>Efficacy</w:t>
            </w:r>
            <w:r>
              <w:t xml:space="preserve">: </w:t>
            </w:r>
            <w:r w:rsidRPr="000A7A63">
              <w:t>Self-reported abstinence of &gt;= 7 days at 2nd, 3rd, and 4th prenatal visits (4 weeks prior to delivery).</w:t>
            </w:r>
          </w:p>
          <w:p w:rsidR="00EE2A96" w:rsidRDefault="00EE2A96" w:rsidP="0059373F"/>
          <w:p w:rsidR="00EE2A96" w:rsidRDefault="00EE2A96" w:rsidP="0059373F">
            <w:r w:rsidRPr="006B32B5">
              <w:rPr>
                <w:u w:val="single"/>
              </w:rPr>
              <w:lastRenderedPageBreak/>
              <w:t>Safety</w:t>
            </w:r>
            <w:r>
              <w:t xml:space="preserve">: NR. </w:t>
            </w:r>
          </w:p>
        </w:tc>
      </w:tr>
      <w:tr w:rsidR="00EE2A96" w:rsidTr="0059373F">
        <w:tc>
          <w:tcPr>
            <w:tcW w:w="1395" w:type="dxa"/>
          </w:tcPr>
          <w:p w:rsidR="00EE2A96" w:rsidRDefault="00EE2A96" w:rsidP="0059373F">
            <w:r w:rsidRPr="00AC0A40">
              <w:lastRenderedPageBreak/>
              <w:t xml:space="preserve">Oncken </w:t>
            </w:r>
            <w:r w:rsidR="000C1484">
              <w:t>(</w:t>
            </w:r>
            <w:r w:rsidRPr="00AC0A40">
              <w:t>2008</w:t>
            </w:r>
            <w:r w:rsidR="000C1484">
              <w:t>)</w:t>
            </w:r>
          </w:p>
        </w:tc>
        <w:tc>
          <w:tcPr>
            <w:tcW w:w="870" w:type="dxa"/>
          </w:tcPr>
          <w:p w:rsidR="00EE2A96" w:rsidRDefault="00EE2A96" w:rsidP="0059373F">
            <w:r>
              <w:t>RCT</w:t>
            </w:r>
          </w:p>
        </w:tc>
        <w:tc>
          <w:tcPr>
            <w:tcW w:w="1140" w:type="dxa"/>
          </w:tcPr>
          <w:p w:rsidR="00EE2A96" w:rsidRDefault="00EE2A96" w:rsidP="0059373F">
            <w:r>
              <w:t>USA</w:t>
            </w:r>
          </w:p>
        </w:tc>
        <w:tc>
          <w:tcPr>
            <w:tcW w:w="900" w:type="dxa"/>
          </w:tcPr>
          <w:p w:rsidR="00EE2A96" w:rsidRDefault="00EE2A96" w:rsidP="0059373F">
            <w:r>
              <w:t>N=194</w:t>
            </w:r>
          </w:p>
        </w:tc>
        <w:tc>
          <w:tcPr>
            <w:tcW w:w="3585" w:type="dxa"/>
          </w:tcPr>
          <w:p w:rsidR="00EE2A96" w:rsidRDefault="00EE2A96" w:rsidP="0059373F">
            <w:r>
              <w:t>Healthy, US English-/Spanish-speaking women &lt;= 26 weeks' pregnant, smoking &gt;= 1 cigarette daily and aged &gt;= 16 years.</w:t>
            </w:r>
          </w:p>
        </w:tc>
        <w:tc>
          <w:tcPr>
            <w:tcW w:w="3885" w:type="dxa"/>
          </w:tcPr>
          <w:p w:rsidR="00EE2A96" w:rsidRDefault="00EE2A96" w:rsidP="00C324F3">
            <w:pPr>
              <w:pStyle w:val="ListParagraph"/>
              <w:numPr>
                <w:ilvl w:val="0"/>
                <w:numId w:val="293"/>
              </w:numPr>
              <w:rPr>
                <w:rFonts w:eastAsia="Calibri" w:cs="Calibri"/>
              </w:rPr>
            </w:pPr>
            <w:r w:rsidRPr="001911EA">
              <w:rPr>
                <w:rFonts w:eastAsia="Calibri" w:cs="Calibri"/>
              </w:rPr>
              <w:t>12 weeks treatment with either 2 mg NRT gum. 6 weeks full treatment was followed</w:t>
            </w:r>
            <w:r>
              <w:rPr>
                <w:rFonts w:eastAsia="Calibri" w:cs="Calibri"/>
              </w:rPr>
              <w:t xml:space="preserve"> </w:t>
            </w:r>
            <w:r w:rsidRPr="001911EA">
              <w:rPr>
                <w:rFonts w:eastAsia="Calibri" w:cs="Calibri"/>
              </w:rPr>
              <w:t>by 6 weeks tapering of treatment. Instructed not to chew &gt; 20 pieces daily and to use 1 piece of gum for each substituted cigarette.</w:t>
            </w:r>
          </w:p>
          <w:p w:rsidR="00EE2A96" w:rsidRDefault="00EE2A96" w:rsidP="00C324F3">
            <w:pPr>
              <w:pStyle w:val="ListParagraph"/>
              <w:numPr>
                <w:ilvl w:val="0"/>
                <w:numId w:val="293"/>
              </w:numPr>
              <w:rPr>
                <w:rFonts w:eastAsia="Calibri" w:cs="Calibri"/>
              </w:rPr>
            </w:pPr>
            <w:r w:rsidRPr="001911EA">
              <w:rPr>
                <w:rFonts w:eastAsia="Calibri" w:cs="Calibri"/>
              </w:rPr>
              <w:t>or identical placebo</w:t>
            </w:r>
          </w:p>
          <w:p w:rsidR="00EE2A96" w:rsidRDefault="00EE2A96" w:rsidP="0059373F">
            <w:pPr>
              <w:rPr>
                <w:rFonts w:eastAsia="Calibri" w:cs="Calibri"/>
              </w:rPr>
            </w:pPr>
          </w:p>
          <w:p w:rsidR="00EE2A96" w:rsidRPr="001911EA" w:rsidRDefault="00EE2A96" w:rsidP="0059373F">
            <w:pPr>
              <w:rPr>
                <w:rFonts w:eastAsia="Calibri" w:cs="Calibri"/>
              </w:rPr>
            </w:pPr>
            <w:r w:rsidRPr="001911EA">
              <w:rPr>
                <w:rFonts w:eastAsia="Calibri" w:cs="Calibri"/>
                <w:u w:val="single"/>
              </w:rPr>
              <w:t>Common component</w:t>
            </w:r>
            <w:r>
              <w:rPr>
                <w:rFonts w:eastAsia="Calibri" w:cs="Calibri"/>
              </w:rPr>
              <w:t>: A</w:t>
            </w:r>
            <w:r w:rsidRPr="001911EA">
              <w:rPr>
                <w:rFonts w:eastAsia="Calibri" w:cs="Calibri"/>
              </w:rPr>
              <w:t>ll participants received individual counselling at</w:t>
            </w:r>
          </w:p>
          <w:p w:rsidR="00EE2A96" w:rsidRPr="001911EA" w:rsidRDefault="00EE2A96" w:rsidP="0059373F">
            <w:pPr>
              <w:rPr>
                <w:rFonts w:eastAsia="Calibri" w:cs="Calibri"/>
              </w:rPr>
            </w:pPr>
            <w:r w:rsidRPr="001911EA">
              <w:rPr>
                <w:rFonts w:eastAsia="Calibri" w:cs="Calibri"/>
              </w:rPr>
              <w:t>baseline and at all 8 follow-ups: 2, 35-minute counselling sessions at baseline and within 1 week of quit</w:t>
            </w:r>
            <w:r>
              <w:rPr>
                <w:rFonts w:eastAsia="Calibri" w:cs="Calibri"/>
              </w:rPr>
              <w:t xml:space="preserve"> </w:t>
            </w:r>
            <w:r w:rsidRPr="001911EA">
              <w:rPr>
                <w:rFonts w:eastAsia="Calibri" w:cs="Calibri"/>
              </w:rPr>
              <w:t>date and shorter sessions at other follow-ups.</w:t>
            </w:r>
          </w:p>
        </w:tc>
        <w:tc>
          <w:tcPr>
            <w:tcW w:w="2314" w:type="dxa"/>
          </w:tcPr>
          <w:p w:rsidR="00EE2A96" w:rsidRDefault="00EE2A96" w:rsidP="0059373F">
            <w:r w:rsidRPr="006B32B5">
              <w:rPr>
                <w:u w:val="single"/>
              </w:rPr>
              <w:t>Efficacy</w:t>
            </w:r>
            <w:r>
              <w:t>: Self-reported 7-day point prevalence abstinence at 6 weeks after treatment commenced, at 32 to 35</w:t>
            </w:r>
          </w:p>
          <w:p w:rsidR="00EE2A96" w:rsidRDefault="00EE2A96" w:rsidP="0059373F">
            <w:r>
              <w:t xml:space="preserve">weeks of pregnancy, and at 6 to 12 weeks after delivery. </w:t>
            </w:r>
          </w:p>
          <w:p w:rsidR="00EE2A96" w:rsidRDefault="00EE2A96" w:rsidP="0059373F">
            <w:r>
              <w:t>Exhaled CO of less than 8 ppm used for validation</w:t>
            </w:r>
          </w:p>
          <w:p w:rsidR="00EE2A96" w:rsidRDefault="00EE2A96" w:rsidP="0059373F">
            <w:r>
              <w:t>all time points.</w:t>
            </w:r>
          </w:p>
          <w:p w:rsidR="00EE2A96" w:rsidRDefault="00EE2A96" w:rsidP="0059373F"/>
          <w:p w:rsidR="00EE2A96" w:rsidRDefault="00EE2A96" w:rsidP="0059373F">
            <w:r w:rsidRPr="006B32B5">
              <w:rPr>
                <w:u w:val="single"/>
              </w:rPr>
              <w:t>Safety</w:t>
            </w:r>
            <w:r>
              <w:t xml:space="preserve">: NR. </w:t>
            </w:r>
          </w:p>
        </w:tc>
      </w:tr>
      <w:tr w:rsidR="00EE2A96" w:rsidTr="0059373F">
        <w:tc>
          <w:tcPr>
            <w:tcW w:w="1395" w:type="dxa"/>
          </w:tcPr>
          <w:p w:rsidR="00EE2A96" w:rsidRDefault="00EE2A96" w:rsidP="0059373F">
            <w:r w:rsidRPr="00AC0A40">
              <w:t xml:space="preserve">Oncken </w:t>
            </w:r>
            <w:r w:rsidR="000C1484">
              <w:t>(</w:t>
            </w:r>
            <w:r w:rsidRPr="00AC0A40">
              <w:t>2019</w:t>
            </w:r>
            <w:r w:rsidR="000C1484">
              <w:t>)</w:t>
            </w:r>
          </w:p>
        </w:tc>
        <w:tc>
          <w:tcPr>
            <w:tcW w:w="870" w:type="dxa"/>
          </w:tcPr>
          <w:p w:rsidR="00EE2A96" w:rsidRDefault="00EE2A96" w:rsidP="0059373F">
            <w:r>
              <w:t>RCT</w:t>
            </w:r>
          </w:p>
        </w:tc>
        <w:tc>
          <w:tcPr>
            <w:tcW w:w="1140" w:type="dxa"/>
          </w:tcPr>
          <w:p w:rsidR="00EE2A96" w:rsidRDefault="00EE2A96" w:rsidP="0059373F">
            <w:r>
              <w:t>USA</w:t>
            </w:r>
          </w:p>
        </w:tc>
        <w:tc>
          <w:tcPr>
            <w:tcW w:w="900" w:type="dxa"/>
          </w:tcPr>
          <w:p w:rsidR="00EE2A96" w:rsidRDefault="00EE2A96" w:rsidP="0059373F">
            <w:r>
              <w:t>N=137</w:t>
            </w:r>
          </w:p>
        </w:tc>
        <w:tc>
          <w:tcPr>
            <w:tcW w:w="3585" w:type="dxa"/>
          </w:tcPr>
          <w:p w:rsidR="00EE2A96" w:rsidRDefault="00EE2A96" w:rsidP="0059373F">
            <w:r>
              <w:t>Healthy US English-/Spanish-speaking women smoking at least 5 cigarettes per day, 13 to 26 weeks’ gestation, a 16 years of age, intending to carry their pregnancy to term, and living in a stable residence.</w:t>
            </w:r>
          </w:p>
        </w:tc>
        <w:tc>
          <w:tcPr>
            <w:tcW w:w="3885" w:type="dxa"/>
          </w:tcPr>
          <w:p w:rsidR="00EE2A96" w:rsidRDefault="00EE2A96" w:rsidP="00C324F3">
            <w:pPr>
              <w:pStyle w:val="ListParagraph"/>
              <w:numPr>
                <w:ilvl w:val="0"/>
                <w:numId w:val="294"/>
              </w:numPr>
              <w:rPr>
                <w:rFonts w:eastAsia="Calibri" w:cs="Calibri"/>
              </w:rPr>
            </w:pPr>
            <w:r>
              <w:rPr>
                <w:rFonts w:eastAsia="Calibri" w:cs="Calibri"/>
              </w:rPr>
              <w:t>N</w:t>
            </w:r>
            <w:r w:rsidRPr="008A25FE">
              <w:rPr>
                <w:rFonts w:eastAsia="Calibri" w:cs="Calibri"/>
              </w:rPr>
              <w:t>icotine inhaler</w:t>
            </w:r>
            <w:r>
              <w:rPr>
                <w:rFonts w:eastAsia="Calibri" w:cs="Calibri"/>
              </w:rPr>
              <w:t xml:space="preserve">: </w:t>
            </w:r>
            <w:r w:rsidRPr="008A25FE">
              <w:rPr>
                <w:rFonts w:eastAsia="Calibri" w:cs="Calibri"/>
              </w:rPr>
              <w:t>6 weeks' treatment using NICOTROL inhaler (nicotine inhalation system) delivering 4 mg of nicotine</w:t>
            </w:r>
            <w:r>
              <w:rPr>
                <w:rFonts w:eastAsia="Calibri" w:cs="Calibri"/>
              </w:rPr>
              <w:t xml:space="preserve"> </w:t>
            </w:r>
            <w:r w:rsidRPr="008A25FE">
              <w:rPr>
                <w:rFonts w:eastAsia="Calibri" w:cs="Calibri"/>
              </w:rPr>
              <w:t>from a porous plug containing 10 mg nicotine</w:t>
            </w:r>
          </w:p>
          <w:p w:rsidR="00EE2A96" w:rsidRPr="008A25FE" w:rsidRDefault="00EE2A96" w:rsidP="00C324F3">
            <w:pPr>
              <w:pStyle w:val="ListParagraph"/>
              <w:numPr>
                <w:ilvl w:val="0"/>
                <w:numId w:val="294"/>
              </w:numPr>
              <w:rPr>
                <w:rFonts w:eastAsia="Calibri" w:cs="Calibri"/>
              </w:rPr>
            </w:pPr>
            <w:r>
              <w:rPr>
                <w:rFonts w:eastAsia="Calibri" w:cs="Calibri"/>
              </w:rPr>
              <w:t>Placebo</w:t>
            </w:r>
          </w:p>
        </w:tc>
        <w:tc>
          <w:tcPr>
            <w:tcW w:w="2314" w:type="dxa"/>
          </w:tcPr>
          <w:p w:rsidR="00EE2A96" w:rsidRDefault="00EE2A96" w:rsidP="0059373F">
            <w:r w:rsidRPr="006B32B5">
              <w:rPr>
                <w:u w:val="single"/>
              </w:rPr>
              <w:t>Efficacy</w:t>
            </w:r>
            <w:r>
              <w:t>: Self-reported 7-day point prevalence abstinence at 6 weeks after quit date, at 32 to 36 weeks of pregnancy,</w:t>
            </w:r>
          </w:p>
          <w:p w:rsidR="00EE2A96" w:rsidRDefault="00EE2A96" w:rsidP="0059373F">
            <w:r>
              <w:t xml:space="preserve">and at 1 and 6 months after delivery. </w:t>
            </w:r>
          </w:p>
          <w:p w:rsidR="00EE2A96" w:rsidRDefault="00EE2A96" w:rsidP="0059373F">
            <w:r>
              <w:t>Exhaled CO of less than 4</w:t>
            </w:r>
            <w:r w:rsidR="00861C61">
              <w:t xml:space="preserve"> ppm used for validation at all </w:t>
            </w:r>
            <w:r>
              <w:t>time points.</w:t>
            </w:r>
          </w:p>
          <w:p w:rsidR="00EE2A96" w:rsidRDefault="00EE2A96" w:rsidP="0059373F"/>
          <w:p w:rsidR="00EE2A96" w:rsidRDefault="00EE2A96" w:rsidP="0059373F">
            <w:r w:rsidRPr="006B32B5">
              <w:rPr>
                <w:u w:val="single"/>
              </w:rPr>
              <w:t>Safety</w:t>
            </w:r>
            <w:r>
              <w:t xml:space="preserve">: NR. </w:t>
            </w:r>
          </w:p>
        </w:tc>
      </w:tr>
      <w:tr w:rsidR="00EE2A96" w:rsidTr="0059373F">
        <w:tc>
          <w:tcPr>
            <w:tcW w:w="14089" w:type="dxa"/>
            <w:gridSpan w:val="7"/>
            <w:shd w:val="clear" w:color="auto" w:fill="D9D9D9" w:themeFill="background1" w:themeFillShade="D9"/>
          </w:tcPr>
          <w:p w:rsidR="00EE2A96" w:rsidRPr="00440B3C" w:rsidRDefault="00EE2A96" w:rsidP="0059373F">
            <w:pPr>
              <w:rPr>
                <w:b/>
                <w:bCs/>
              </w:rPr>
            </w:pPr>
            <w:r w:rsidRPr="00440B3C">
              <w:rPr>
                <w:b/>
                <w:bCs/>
              </w:rPr>
              <w:t>Bupropion</w:t>
            </w:r>
          </w:p>
        </w:tc>
      </w:tr>
      <w:tr w:rsidR="00EE2A96" w:rsidTr="0059373F">
        <w:tc>
          <w:tcPr>
            <w:tcW w:w="1395" w:type="dxa"/>
          </w:tcPr>
          <w:p w:rsidR="00EE2A96" w:rsidRDefault="00EE2A96" w:rsidP="0059373F">
            <w:r w:rsidRPr="00AC0A40">
              <w:t xml:space="preserve">Stotts </w:t>
            </w:r>
            <w:r w:rsidR="000C1484">
              <w:t>(</w:t>
            </w:r>
            <w:r w:rsidRPr="00AC0A40">
              <w:t>2015</w:t>
            </w:r>
            <w:r w:rsidR="000C1484">
              <w:t>)</w:t>
            </w:r>
          </w:p>
        </w:tc>
        <w:tc>
          <w:tcPr>
            <w:tcW w:w="870" w:type="dxa"/>
          </w:tcPr>
          <w:p w:rsidR="00EE2A96" w:rsidRDefault="00EE2A96" w:rsidP="0059373F">
            <w:r>
              <w:t>RCT</w:t>
            </w:r>
          </w:p>
        </w:tc>
        <w:tc>
          <w:tcPr>
            <w:tcW w:w="1140" w:type="dxa"/>
          </w:tcPr>
          <w:p w:rsidR="00EE2A96" w:rsidRDefault="000C1484" w:rsidP="0059373F">
            <w:r>
              <w:t>NR</w:t>
            </w:r>
          </w:p>
        </w:tc>
        <w:tc>
          <w:tcPr>
            <w:tcW w:w="900" w:type="dxa"/>
          </w:tcPr>
          <w:p w:rsidR="00EE2A96" w:rsidRDefault="00EE2A96" w:rsidP="0059373F">
            <w:r>
              <w:t>N=11</w:t>
            </w:r>
          </w:p>
        </w:tc>
        <w:tc>
          <w:tcPr>
            <w:tcW w:w="3585" w:type="dxa"/>
          </w:tcPr>
          <w:p w:rsidR="00EE2A96" w:rsidRDefault="00EE2A96" w:rsidP="0059373F">
            <w:r>
              <w:t xml:space="preserve">Pregnant women at least 18 years old; 14 to 26 weeks’ gestation; and currently smoking at least 1 daily cigarette. </w:t>
            </w:r>
          </w:p>
          <w:p w:rsidR="00EE2A96" w:rsidRDefault="00EE2A96" w:rsidP="0059373F"/>
          <w:p w:rsidR="00EE2A96" w:rsidRDefault="00EE2A96" w:rsidP="0059373F">
            <w:r w:rsidRPr="00A10950">
              <w:rPr>
                <w:u w:val="single"/>
              </w:rPr>
              <w:t>Exclusion</w:t>
            </w:r>
            <w:r>
              <w:t xml:space="preserve">: Women were excluded if they had abnormal LFTs; history of or current seizure disorder or closed head injury with loss of consciousness; </w:t>
            </w:r>
            <w:r>
              <w:lastRenderedPageBreak/>
              <w:t>hypersensitivity to bupropion; any psychiatric disorder requiring psychotropic medication; current anorexia or bulimia; monoamine oxidase use in the past 2 weeks; major depression or risk of suicide; illicit substance use in the past 30 days; &gt; 1 alcoholic drink/week; unstable medical problems; multiple pregnancy; fetal structural anomaly; planned birth at</w:t>
            </w:r>
          </w:p>
          <w:p w:rsidR="00EE2A96" w:rsidRDefault="00EE2A96" w:rsidP="0059373F">
            <w:r>
              <w:t>a non-affiliated hospital; communication problems or lack of transport/phone; or current use of NRT, bupropion, or varenicline.</w:t>
            </w:r>
          </w:p>
        </w:tc>
        <w:tc>
          <w:tcPr>
            <w:tcW w:w="3885" w:type="dxa"/>
          </w:tcPr>
          <w:p w:rsidR="00EE2A96" w:rsidRDefault="00EE2A96" w:rsidP="00C324F3">
            <w:pPr>
              <w:pStyle w:val="ListParagraph"/>
              <w:numPr>
                <w:ilvl w:val="0"/>
                <w:numId w:val="295"/>
              </w:numPr>
              <w:rPr>
                <w:rFonts w:eastAsia="Calibri" w:cs="Calibri"/>
              </w:rPr>
            </w:pPr>
            <w:r w:rsidRPr="00A10950">
              <w:rPr>
                <w:rFonts w:eastAsia="Calibri" w:cs="Calibri"/>
              </w:rPr>
              <w:lastRenderedPageBreak/>
              <w:t>Bupropion SR</w:t>
            </w:r>
            <w:r>
              <w:rPr>
                <w:rFonts w:eastAsia="Calibri" w:cs="Calibri"/>
              </w:rPr>
              <w:t xml:space="preserve"> </w:t>
            </w:r>
            <w:r w:rsidRPr="00A10950">
              <w:rPr>
                <w:rFonts w:eastAsia="Calibri" w:cs="Calibri"/>
              </w:rPr>
              <w:t>dosed at 150 mg/day for the first 3 days and 300</w:t>
            </w:r>
            <w:r>
              <w:rPr>
                <w:rFonts w:eastAsia="Calibri" w:cs="Calibri"/>
              </w:rPr>
              <w:t xml:space="preserve"> </w:t>
            </w:r>
            <w:r w:rsidRPr="00A10950">
              <w:rPr>
                <w:rFonts w:eastAsia="Calibri" w:cs="Calibri"/>
              </w:rPr>
              <w:t>mg/day thereafter (150 mg twice a day)</w:t>
            </w:r>
          </w:p>
          <w:p w:rsidR="00EE2A96" w:rsidRPr="00A10950" w:rsidRDefault="00EE2A96" w:rsidP="00C324F3">
            <w:pPr>
              <w:pStyle w:val="ListParagraph"/>
              <w:numPr>
                <w:ilvl w:val="0"/>
                <w:numId w:val="295"/>
              </w:numPr>
              <w:rPr>
                <w:rFonts w:eastAsia="Calibri" w:cs="Calibri"/>
              </w:rPr>
            </w:pPr>
            <w:r>
              <w:rPr>
                <w:rFonts w:eastAsia="Calibri" w:cs="Calibri"/>
              </w:rPr>
              <w:t>M</w:t>
            </w:r>
            <w:r w:rsidRPr="00A10950">
              <w:rPr>
                <w:rFonts w:eastAsia="Calibri" w:cs="Calibri"/>
              </w:rPr>
              <w:t>atching placebo</w:t>
            </w:r>
          </w:p>
        </w:tc>
        <w:tc>
          <w:tcPr>
            <w:tcW w:w="2314" w:type="dxa"/>
          </w:tcPr>
          <w:p w:rsidR="00EE2A96" w:rsidRDefault="00EE2A96" w:rsidP="0059373F">
            <w:r w:rsidRPr="006B32B5">
              <w:rPr>
                <w:u w:val="single"/>
              </w:rPr>
              <w:t>Efficacy</w:t>
            </w:r>
            <w:r>
              <w:t>: self-reported total abstinence in the prior 7 days (7-day point</w:t>
            </w:r>
          </w:p>
          <w:p w:rsidR="00EE2A96" w:rsidRDefault="00EE2A96" w:rsidP="0059373F">
            <w:r>
              <w:t>prevalence) with saliva cotinine validation at the end of treatment. Saliva cotinine assays used a cut</w:t>
            </w:r>
          </w:p>
          <w:p w:rsidR="00EE2A96" w:rsidRDefault="00EE2A96" w:rsidP="0059373F">
            <w:r>
              <w:lastRenderedPageBreak/>
              <w:t>point of &gt; 20 ng/mL indicating regular smoking.</w:t>
            </w:r>
          </w:p>
          <w:p w:rsidR="00EE2A96" w:rsidRDefault="00EE2A96" w:rsidP="0059373F"/>
          <w:p w:rsidR="00EE2A96" w:rsidRDefault="00EE2A96" w:rsidP="0059373F"/>
          <w:p w:rsidR="00EE2A96" w:rsidRDefault="00EE2A96" w:rsidP="0059373F">
            <w:r w:rsidRPr="006B32B5">
              <w:rPr>
                <w:u w:val="single"/>
              </w:rPr>
              <w:t>Safety</w:t>
            </w:r>
            <w:r>
              <w:t>: Maternal, perinatal, and neonatal outcomes assessed included intrauterine fetal death, spontaneous abortion, placental abruption, preterm birth (&lt; 37 weeks, 0 days), pre-eclampsia, maternal weight gain, birthweight, umbilical artery pH, gestational age at delivery, fetal growth restriction (birthweight &lt; 10th percentile), neonatal intensive care unit admission, respiratory complications</w:t>
            </w:r>
          </w:p>
          <w:p w:rsidR="00EE2A96" w:rsidRDefault="00EE2A96" w:rsidP="0059373F">
            <w:r>
              <w:t>(per physician notes).</w:t>
            </w:r>
          </w:p>
        </w:tc>
      </w:tr>
      <w:tr w:rsidR="00EE2A96" w:rsidTr="0059373F">
        <w:tc>
          <w:tcPr>
            <w:tcW w:w="1395" w:type="dxa"/>
          </w:tcPr>
          <w:p w:rsidR="00EE2A96" w:rsidRDefault="00EE2A96" w:rsidP="0059373F">
            <w:r w:rsidRPr="00AC0A40">
              <w:lastRenderedPageBreak/>
              <w:t xml:space="preserve">Nanovskaya </w:t>
            </w:r>
            <w:r w:rsidR="000C1484">
              <w:t>(</w:t>
            </w:r>
            <w:r w:rsidRPr="00AC0A40">
              <w:t>2017</w:t>
            </w:r>
            <w:r w:rsidR="000C1484">
              <w:t>)</w:t>
            </w:r>
          </w:p>
        </w:tc>
        <w:tc>
          <w:tcPr>
            <w:tcW w:w="870" w:type="dxa"/>
          </w:tcPr>
          <w:p w:rsidR="00EE2A96" w:rsidRDefault="00EE2A96" w:rsidP="0059373F">
            <w:r>
              <w:t>RCT</w:t>
            </w:r>
          </w:p>
        </w:tc>
        <w:tc>
          <w:tcPr>
            <w:tcW w:w="1140" w:type="dxa"/>
          </w:tcPr>
          <w:p w:rsidR="00EE2A96" w:rsidRDefault="000C1484" w:rsidP="0059373F">
            <w:r>
              <w:t>NR</w:t>
            </w:r>
          </w:p>
        </w:tc>
        <w:tc>
          <w:tcPr>
            <w:tcW w:w="900" w:type="dxa"/>
          </w:tcPr>
          <w:p w:rsidR="00EE2A96" w:rsidRDefault="00EE2A96" w:rsidP="0059373F">
            <w:r>
              <w:t>N=65</w:t>
            </w:r>
          </w:p>
        </w:tc>
        <w:tc>
          <w:tcPr>
            <w:tcW w:w="3585" w:type="dxa"/>
          </w:tcPr>
          <w:p w:rsidR="00EE2A96" w:rsidRDefault="00EE2A96" w:rsidP="0059373F">
            <w:r>
              <w:t>Pregnant women, a 18 years of age, between 13 and 30 weeks’ gestation, smoking a 10 cigarettes per day prior to pregnancy and 5 cigarettes per day for the preceding 7 days, English or Spanish speaking, and having the intent to carry to term.</w:t>
            </w:r>
          </w:p>
        </w:tc>
        <w:tc>
          <w:tcPr>
            <w:tcW w:w="3885" w:type="dxa"/>
          </w:tcPr>
          <w:p w:rsidR="00EE2A96" w:rsidRDefault="00EE2A96" w:rsidP="00C324F3">
            <w:pPr>
              <w:pStyle w:val="ListParagraph"/>
              <w:numPr>
                <w:ilvl w:val="0"/>
                <w:numId w:val="296"/>
              </w:numPr>
              <w:rPr>
                <w:rFonts w:eastAsia="Calibri" w:cs="Calibri"/>
              </w:rPr>
            </w:pPr>
            <w:r>
              <w:rPr>
                <w:rFonts w:eastAsia="Calibri" w:cs="Calibri"/>
              </w:rPr>
              <w:t>B</w:t>
            </w:r>
            <w:r w:rsidRPr="00EC503F">
              <w:rPr>
                <w:rFonts w:eastAsia="Calibri" w:cs="Calibri"/>
              </w:rPr>
              <w:t>upropion SR orally once daily for 3 days followed by twice daily for a total medication</w:t>
            </w:r>
            <w:r>
              <w:rPr>
                <w:rFonts w:eastAsia="Calibri" w:cs="Calibri"/>
              </w:rPr>
              <w:t xml:space="preserve"> </w:t>
            </w:r>
            <w:r w:rsidRPr="00EC503F">
              <w:rPr>
                <w:rFonts w:eastAsia="Calibri" w:cs="Calibri"/>
              </w:rPr>
              <w:t>treatment of 12 weeks</w:t>
            </w:r>
          </w:p>
          <w:p w:rsidR="00EE2A96" w:rsidRDefault="00EE2A96" w:rsidP="00C324F3">
            <w:pPr>
              <w:pStyle w:val="ListParagraph"/>
              <w:numPr>
                <w:ilvl w:val="0"/>
                <w:numId w:val="296"/>
              </w:numPr>
              <w:rPr>
                <w:rFonts w:eastAsia="Calibri" w:cs="Calibri"/>
              </w:rPr>
            </w:pPr>
            <w:r>
              <w:rPr>
                <w:rFonts w:eastAsia="Calibri" w:cs="Calibri"/>
              </w:rPr>
              <w:t>Placebo</w:t>
            </w:r>
          </w:p>
          <w:p w:rsidR="00EE2A96" w:rsidRDefault="00EE2A96" w:rsidP="0059373F">
            <w:pPr>
              <w:rPr>
                <w:rFonts w:eastAsia="Calibri" w:cs="Calibri"/>
              </w:rPr>
            </w:pPr>
          </w:p>
          <w:p w:rsidR="00EE2A96" w:rsidRPr="00EC503F" w:rsidRDefault="00EE2A96" w:rsidP="0059373F">
            <w:pPr>
              <w:rPr>
                <w:rFonts w:eastAsia="Calibri" w:cs="Calibri"/>
              </w:rPr>
            </w:pPr>
            <w:r w:rsidRPr="00EC503F">
              <w:rPr>
                <w:rFonts w:eastAsia="Calibri" w:cs="Calibri"/>
                <w:u w:val="single"/>
              </w:rPr>
              <w:t>Common component</w:t>
            </w:r>
            <w:r>
              <w:rPr>
                <w:rFonts w:eastAsia="Calibri" w:cs="Calibri"/>
              </w:rPr>
              <w:t xml:space="preserve">: </w:t>
            </w:r>
            <w:r w:rsidRPr="00EC503F">
              <w:rPr>
                <w:rFonts w:eastAsia="Calibri" w:cs="Calibri"/>
              </w:rPr>
              <w:t>Both groups received behavioural interventions, which included 35-minute counselling sessions at</w:t>
            </w:r>
          </w:p>
          <w:p w:rsidR="00EE2A96" w:rsidRPr="00EC503F" w:rsidRDefault="00EE2A96" w:rsidP="0059373F">
            <w:pPr>
              <w:rPr>
                <w:rFonts w:eastAsia="Calibri" w:cs="Calibri"/>
              </w:rPr>
            </w:pPr>
            <w:r w:rsidRPr="00EC503F">
              <w:rPr>
                <w:rFonts w:eastAsia="Calibri" w:cs="Calibri"/>
              </w:rPr>
              <w:t>each of the first 2 visits (enrolment and on the quit day) and 10 minutes of smoking cessation counselling</w:t>
            </w:r>
            <w:r>
              <w:rPr>
                <w:rFonts w:eastAsia="Calibri" w:cs="Calibri"/>
              </w:rPr>
              <w:t xml:space="preserve"> </w:t>
            </w:r>
            <w:r w:rsidRPr="00EC503F">
              <w:rPr>
                <w:rFonts w:eastAsia="Calibri" w:cs="Calibri"/>
              </w:rPr>
              <w:t xml:space="preserve">at subsequent visits. </w:t>
            </w:r>
            <w:r w:rsidRPr="00EC503F">
              <w:rPr>
                <w:rFonts w:eastAsia="Calibri" w:cs="Calibri"/>
              </w:rPr>
              <w:lastRenderedPageBreak/>
              <w:t>Counselling sessions were delivered by a research nurse using a motivational</w:t>
            </w:r>
          </w:p>
          <w:p w:rsidR="00EE2A96" w:rsidRPr="00EC503F" w:rsidRDefault="00EE2A96" w:rsidP="0059373F">
            <w:pPr>
              <w:rPr>
                <w:rFonts w:eastAsia="Calibri" w:cs="Calibri"/>
              </w:rPr>
            </w:pPr>
            <w:r w:rsidRPr="00EC503F">
              <w:rPr>
                <w:rFonts w:eastAsia="Calibri" w:cs="Calibri"/>
              </w:rPr>
              <w:t>interviewing approach.</w:t>
            </w:r>
          </w:p>
        </w:tc>
        <w:tc>
          <w:tcPr>
            <w:tcW w:w="2314" w:type="dxa"/>
          </w:tcPr>
          <w:p w:rsidR="00EE2A96" w:rsidRDefault="00EE2A96" w:rsidP="0059373F">
            <w:r w:rsidRPr="006B32B5">
              <w:rPr>
                <w:u w:val="single"/>
              </w:rPr>
              <w:lastRenderedPageBreak/>
              <w:t>Efficacy</w:t>
            </w:r>
            <w:r>
              <w:t xml:space="preserve">: 7-day point prevalence abstinence at 12 weeks after the quit date (end of treatment), and 36 to 38 weeks' gestation (end of pregnancy). Defined at each visit as no cigarettes (not even a puI) in the last 7 days, levels of CO in exhaled air &lt; 4 ppm, and concentrations of </w:t>
            </w:r>
            <w:r>
              <w:lastRenderedPageBreak/>
              <w:t xml:space="preserve">cotinine in urine &lt; 50 ng/mL. </w:t>
            </w:r>
          </w:p>
          <w:p w:rsidR="00EE2A96" w:rsidRDefault="00EE2A96" w:rsidP="0059373F"/>
          <w:p w:rsidR="00EE2A96" w:rsidRDefault="00EE2A96" w:rsidP="00545B5A">
            <w:pPr>
              <w:keepNext/>
            </w:pPr>
            <w:r w:rsidRPr="006B32B5">
              <w:rPr>
                <w:u w:val="single"/>
              </w:rPr>
              <w:t>Safety</w:t>
            </w:r>
            <w:r>
              <w:t>: NR.</w:t>
            </w:r>
          </w:p>
        </w:tc>
      </w:tr>
    </w:tbl>
    <w:p w:rsidR="00EE2A96" w:rsidRPr="009B042A" w:rsidRDefault="00EE2A96" w:rsidP="00EE2A96">
      <w:pPr>
        <w:pStyle w:val="TableFooter"/>
        <w:keepNext/>
      </w:pPr>
      <w:r>
        <w:lastRenderedPageBreak/>
        <w:t xml:space="preserve">Source: Claire (2020). </w:t>
      </w:r>
    </w:p>
    <w:p w:rsidR="00B0781B" w:rsidRDefault="00EE2A96" w:rsidP="00B0781B">
      <w:pPr>
        <w:pStyle w:val="TableFooter"/>
        <w:keepNext/>
      </w:pPr>
      <w:r>
        <w:t xml:space="preserve">Abbreviations: NR= not reported; </w:t>
      </w:r>
      <w:r w:rsidRPr="009B042A">
        <w:t xml:space="preserve">PPA= point prevalence smoking abstinence; </w:t>
      </w:r>
      <w:r>
        <w:t xml:space="preserve">CAR= continuous abstinence rate; </w:t>
      </w:r>
      <w:r w:rsidRPr="009B042A">
        <w:t xml:space="preserve">RCT= randomised controlled trial; TQD= target quit date;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CPD= cigarette per day; AEs= adverse events; SAEs= serious adverse events.</w:t>
      </w:r>
    </w:p>
    <w:p w:rsidR="00867B8E" w:rsidRDefault="00867B8E" w:rsidP="00867B8E">
      <w:pPr>
        <w:pStyle w:val="Caption"/>
        <w:keepNext/>
      </w:pPr>
      <w:bookmarkStart w:id="397" w:name="_Ref62378991"/>
      <w:r>
        <w:t xml:space="preserve">Table </w:t>
      </w:r>
      <w:r w:rsidR="003C4A1C">
        <w:rPr>
          <w:noProof/>
        </w:rPr>
        <w:t>166</w:t>
      </w:r>
      <w:bookmarkEnd w:id="397"/>
      <w:r>
        <w:t xml:space="preserve">: </w:t>
      </w:r>
      <w:r w:rsidRPr="00BF0B80">
        <w:t>Characteristics of studies included in Fanshawe et al. (2017), evaluating pharmacotherapy for smoking cessation in adolescents</w:t>
      </w:r>
    </w:p>
    <w:tbl>
      <w:tblPr>
        <w:tblStyle w:val="TableGrid"/>
        <w:tblW w:w="14089" w:type="dxa"/>
        <w:tblLayout w:type="fixed"/>
        <w:tblLook w:val="04A0" w:firstRow="1" w:lastRow="0" w:firstColumn="1" w:lastColumn="0" w:noHBand="0" w:noVBand="1"/>
      </w:tblPr>
      <w:tblGrid>
        <w:gridCol w:w="1395"/>
        <w:gridCol w:w="870"/>
        <w:gridCol w:w="1140"/>
        <w:gridCol w:w="900"/>
        <w:gridCol w:w="3585"/>
        <w:gridCol w:w="3885"/>
        <w:gridCol w:w="2314"/>
      </w:tblGrid>
      <w:tr w:rsidR="00867B8E" w:rsidTr="00867B8E">
        <w:tc>
          <w:tcPr>
            <w:tcW w:w="1395" w:type="dxa"/>
            <w:shd w:val="clear" w:color="auto" w:fill="D9D9D9" w:themeFill="background1" w:themeFillShade="D9"/>
          </w:tcPr>
          <w:p w:rsidR="00867B8E" w:rsidRDefault="00867B8E" w:rsidP="00867B8E">
            <w:r w:rsidRPr="781E95A1">
              <w:rPr>
                <w:rFonts w:eastAsia="Calibri" w:cs="Calibri"/>
                <w:b/>
                <w:bCs/>
              </w:rPr>
              <w:t>Study</w:t>
            </w:r>
          </w:p>
        </w:tc>
        <w:tc>
          <w:tcPr>
            <w:tcW w:w="870" w:type="dxa"/>
            <w:shd w:val="clear" w:color="auto" w:fill="D9D9D9" w:themeFill="background1" w:themeFillShade="D9"/>
          </w:tcPr>
          <w:p w:rsidR="00867B8E" w:rsidRDefault="00867B8E" w:rsidP="00867B8E">
            <w:pPr>
              <w:jc w:val="center"/>
            </w:pPr>
            <w:r w:rsidRPr="781E95A1">
              <w:rPr>
                <w:rFonts w:eastAsia="Calibri" w:cs="Calibri"/>
                <w:b/>
                <w:bCs/>
                <w:color w:val="000000" w:themeColor="text1"/>
              </w:rPr>
              <w:t>Study type</w:t>
            </w:r>
          </w:p>
        </w:tc>
        <w:tc>
          <w:tcPr>
            <w:tcW w:w="1140" w:type="dxa"/>
            <w:shd w:val="clear" w:color="auto" w:fill="D9D9D9" w:themeFill="background1" w:themeFillShade="D9"/>
          </w:tcPr>
          <w:p w:rsidR="00867B8E" w:rsidRDefault="00867B8E" w:rsidP="00867B8E">
            <w:pPr>
              <w:jc w:val="center"/>
            </w:pPr>
            <w:r w:rsidRPr="781E95A1">
              <w:rPr>
                <w:rFonts w:eastAsia="Calibri" w:cs="Calibri"/>
                <w:b/>
                <w:bCs/>
                <w:color w:val="000000" w:themeColor="text1"/>
              </w:rPr>
              <w:t>Countries</w:t>
            </w:r>
          </w:p>
        </w:tc>
        <w:tc>
          <w:tcPr>
            <w:tcW w:w="900" w:type="dxa"/>
            <w:shd w:val="clear" w:color="auto" w:fill="D9D9D9" w:themeFill="background1" w:themeFillShade="D9"/>
          </w:tcPr>
          <w:p w:rsidR="00867B8E" w:rsidRDefault="00867B8E" w:rsidP="00867B8E">
            <w:pPr>
              <w:jc w:val="center"/>
            </w:pPr>
            <w:r w:rsidRPr="781E95A1">
              <w:rPr>
                <w:rFonts w:eastAsia="Calibri" w:cs="Calibri"/>
                <w:b/>
                <w:bCs/>
                <w:color w:val="000000" w:themeColor="text1"/>
              </w:rPr>
              <w:t>N</w:t>
            </w:r>
          </w:p>
        </w:tc>
        <w:tc>
          <w:tcPr>
            <w:tcW w:w="3585" w:type="dxa"/>
            <w:shd w:val="clear" w:color="auto" w:fill="D9D9D9" w:themeFill="background1" w:themeFillShade="D9"/>
          </w:tcPr>
          <w:p w:rsidR="00867B8E" w:rsidRDefault="00867B8E" w:rsidP="00867B8E">
            <w:pPr>
              <w:jc w:val="center"/>
            </w:pPr>
            <w:r w:rsidRPr="781E95A1">
              <w:rPr>
                <w:rFonts w:eastAsia="Calibri" w:cs="Calibri"/>
                <w:b/>
                <w:bCs/>
                <w:color w:val="000000" w:themeColor="text1"/>
              </w:rPr>
              <w:t>Population</w:t>
            </w:r>
          </w:p>
        </w:tc>
        <w:tc>
          <w:tcPr>
            <w:tcW w:w="3885" w:type="dxa"/>
            <w:shd w:val="clear" w:color="auto" w:fill="D9D9D9" w:themeFill="background1" w:themeFillShade="D9"/>
          </w:tcPr>
          <w:p w:rsidR="00867B8E" w:rsidRDefault="00867B8E" w:rsidP="00867B8E">
            <w:pPr>
              <w:jc w:val="center"/>
            </w:pPr>
            <w:r w:rsidRPr="781E95A1">
              <w:rPr>
                <w:rFonts w:eastAsia="Calibri" w:cs="Calibri"/>
                <w:b/>
                <w:bCs/>
                <w:color w:val="000000" w:themeColor="text1"/>
              </w:rPr>
              <w:t>Intervention and comparator</w:t>
            </w:r>
          </w:p>
        </w:tc>
        <w:tc>
          <w:tcPr>
            <w:tcW w:w="2314" w:type="dxa"/>
            <w:shd w:val="clear" w:color="auto" w:fill="D9D9D9" w:themeFill="background1" w:themeFillShade="D9"/>
          </w:tcPr>
          <w:p w:rsidR="00867B8E" w:rsidRDefault="00867B8E" w:rsidP="00867B8E">
            <w:pPr>
              <w:jc w:val="center"/>
            </w:pPr>
            <w:r w:rsidRPr="781E95A1">
              <w:rPr>
                <w:rFonts w:eastAsia="Calibri" w:cs="Calibri"/>
                <w:b/>
                <w:bCs/>
                <w:color w:val="000000" w:themeColor="text1"/>
              </w:rPr>
              <w:t>Outcomes</w:t>
            </w:r>
          </w:p>
        </w:tc>
      </w:tr>
      <w:tr w:rsidR="00867B8E" w:rsidTr="00867B8E">
        <w:tc>
          <w:tcPr>
            <w:tcW w:w="14089" w:type="dxa"/>
            <w:gridSpan w:val="7"/>
            <w:shd w:val="clear" w:color="auto" w:fill="D9D9D9" w:themeFill="background1" w:themeFillShade="D9"/>
          </w:tcPr>
          <w:p w:rsidR="00867B8E" w:rsidRPr="00440B3C" w:rsidRDefault="00867B8E" w:rsidP="00867B8E">
            <w:pPr>
              <w:rPr>
                <w:b/>
                <w:bCs/>
              </w:rPr>
            </w:pPr>
            <w:r w:rsidRPr="00440B3C">
              <w:rPr>
                <w:b/>
                <w:bCs/>
              </w:rPr>
              <w:t>NRT</w:t>
            </w:r>
          </w:p>
        </w:tc>
      </w:tr>
      <w:tr w:rsidR="00867B8E" w:rsidTr="00867B8E">
        <w:tc>
          <w:tcPr>
            <w:tcW w:w="1395" w:type="dxa"/>
          </w:tcPr>
          <w:p w:rsidR="00867B8E" w:rsidRDefault="00867B8E" w:rsidP="00867B8E">
            <w:r>
              <w:t xml:space="preserve">Moolchan </w:t>
            </w:r>
            <w:r w:rsidR="000C1484">
              <w:t>(</w:t>
            </w:r>
            <w:r>
              <w:t>2005</w:t>
            </w:r>
            <w:r w:rsidR="000C1484">
              <w:t>)</w:t>
            </w:r>
          </w:p>
        </w:tc>
        <w:tc>
          <w:tcPr>
            <w:tcW w:w="870" w:type="dxa"/>
          </w:tcPr>
          <w:p w:rsidR="00867B8E" w:rsidRDefault="00867B8E" w:rsidP="00867B8E">
            <w:r>
              <w:t>RCT</w:t>
            </w:r>
          </w:p>
        </w:tc>
        <w:tc>
          <w:tcPr>
            <w:tcW w:w="1140" w:type="dxa"/>
          </w:tcPr>
          <w:p w:rsidR="00867B8E" w:rsidRDefault="00867B8E" w:rsidP="00867B8E">
            <w:r>
              <w:t>USA</w:t>
            </w:r>
          </w:p>
        </w:tc>
        <w:tc>
          <w:tcPr>
            <w:tcW w:w="900" w:type="dxa"/>
          </w:tcPr>
          <w:p w:rsidR="00867B8E" w:rsidRDefault="00867B8E" w:rsidP="00867B8E">
            <w:r>
              <w:t>N=120</w:t>
            </w:r>
          </w:p>
        </w:tc>
        <w:tc>
          <w:tcPr>
            <w:tcW w:w="3585" w:type="dxa"/>
          </w:tcPr>
          <w:p w:rsidR="00867B8E" w:rsidRDefault="00867B8E" w:rsidP="00867B8E">
            <w:r>
              <w:t xml:space="preserve">Smokers with age range: 13-17 years smoking </w:t>
            </w:r>
            <w:r w:rsidRPr="00F32FEC">
              <w:t xml:space="preserve">≥ </w:t>
            </w:r>
            <w:r>
              <w:t>10 CPD for 6 months and motivation to quit &gt; 5 on 10-point integer scale. Only those who were happy to inform parents of smoking status were included.</w:t>
            </w:r>
          </w:p>
          <w:p w:rsidR="00867B8E" w:rsidRDefault="00867B8E" w:rsidP="00867B8E">
            <w:r>
              <w:t>Pre-study status assessment: mean 18.8 CPD, 'youth appropriate' FTQ mean 7.04</w:t>
            </w:r>
          </w:p>
          <w:p w:rsidR="00867B8E" w:rsidRDefault="00867B8E" w:rsidP="00867B8E">
            <w:r>
              <w:t xml:space="preserve">No significant demographic differences between arms of the trial. </w:t>
            </w:r>
          </w:p>
        </w:tc>
        <w:tc>
          <w:tcPr>
            <w:tcW w:w="3885" w:type="dxa"/>
          </w:tcPr>
          <w:p w:rsidR="00867B8E" w:rsidRPr="00A261A8" w:rsidRDefault="00867B8E" w:rsidP="00C324F3">
            <w:pPr>
              <w:pStyle w:val="ListParagraph"/>
              <w:numPr>
                <w:ilvl w:val="0"/>
                <w:numId w:val="297"/>
              </w:numPr>
              <w:rPr>
                <w:rFonts w:eastAsia="Calibri" w:cs="Calibri"/>
              </w:rPr>
            </w:pPr>
            <w:r w:rsidRPr="00F50666">
              <w:rPr>
                <w:rFonts w:eastAsia="Calibri" w:cs="Calibri"/>
              </w:rPr>
              <w:t>Intervention: nicotine patch and gum, and self-help written materials. 2 active groups (a) active patch</w:t>
            </w:r>
            <w:r>
              <w:rPr>
                <w:rFonts w:eastAsia="Calibri" w:cs="Calibri"/>
              </w:rPr>
              <w:t xml:space="preserve"> </w:t>
            </w:r>
            <w:r w:rsidRPr="00A261A8">
              <w:rPr>
                <w:rFonts w:eastAsia="Calibri" w:cs="Calibri"/>
              </w:rPr>
              <w:t>with placebo gum (n = 34) (b) active gum with placebo patch (n = 46). NRT for both groups was tailored</w:t>
            </w:r>
            <w:r>
              <w:rPr>
                <w:rFonts w:eastAsia="Calibri" w:cs="Calibri"/>
              </w:rPr>
              <w:t xml:space="preserve"> </w:t>
            </w:r>
            <w:r w:rsidRPr="00A261A8">
              <w:rPr>
                <w:rFonts w:eastAsia="Calibri" w:cs="Calibri"/>
              </w:rPr>
              <w:t>to weight and smoking level. Participants received 11 visits over 12 weeks to receive NRT, and attended</w:t>
            </w:r>
            <w:r>
              <w:rPr>
                <w:rFonts w:eastAsia="Calibri" w:cs="Calibri"/>
              </w:rPr>
              <w:t xml:space="preserve"> </w:t>
            </w:r>
            <w:r w:rsidRPr="00A261A8">
              <w:rPr>
                <w:rFonts w:eastAsia="Calibri" w:cs="Calibri"/>
              </w:rPr>
              <w:t>45-min group CBT session at the end of each visit, + self-help materials. Theoretical basis of intervention:</w:t>
            </w:r>
            <w:r>
              <w:rPr>
                <w:rFonts w:eastAsia="Calibri" w:cs="Calibri"/>
              </w:rPr>
              <w:t xml:space="preserve"> </w:t>
            </w:r>
            <w:r w:rsidRPr="00A261A8">
              <w:rPr>
                <w:rFonts w:eastAsia="Calibri" w:cs="Calibri"/>
              </w:rPr>
              <w:t>pharmacological</w:t>
            </w:r>
          </w:p>
          <w:p w:rsidR="00867B8E" w:rsidRDefault="00867B8E" w:rsidP="00C324F3">
            <w:pPr>
              <w:pStyle w:val="ListParagraph"/>
              <w:numPr>
                <w:ilvl w:val="0"/>
                <w:numId w:val="297"/>
              </w:numPr>
              <w:rPr>
                <w:rFonts w:eastAsia="Calibri" w:cs="Calibri"/>
              </w:rPr>
            </w:pPr>
            <w:r w:rsidRPr="00F50666">
              <w:rPr>
                <w:rFonts w:eastAsia="Calibri" w:cs="Calibri"/>
              </w:rPr>
              <w:t>Control: placebo patch and gum (n = 40), same course of CBT sessions as intervention group</w:t>
            </w:r>
          </w:p>
        </w:tc>
        <w:tc>
          <w:tcPr>
            <w:tcW w:w="2314" w:type="dxa"/>
          </w:tcPr>
          <w:p w:rsidR="00867B8E" w:rsidRDefault="00867B8E" w:rsidP="00867B8E">
            <w:r w:rsidRPr="006B32B5">
              <w:rPr>
                <w:u w:val="single"/>
              </w:rPr>
              <w:t>Efficacy</w:t>
            </w:r>
            <w:r>
              <w:t>: 7-day PPA, and "prolonged abstinence", i.e. continuous abstinence after a 2-week grace period from end of intervention; follow-up periods: &gt; 3 months, 6 months.</w:t>
            </w:r>
          </w:p>
          <w:p w:rsidR="00867B8E" w:rsidRDefault="00867B8E" w:rsidP="00867B8E">
            <w:r>
              <w:t>Verification: CO, salivary cotinine and thiocyanate.</w:t>
            </w:r>
          </w:p>
          <w:p w:rsidR="00867B8E" w:rsidRDefault="00867B8E" w:rsidP="00867B8E"/>
          <w:p w:rsidR="00867B8E" w:rsidRDefault="00867B8E" w:rsidP="00867B8E">
            <w:r w:rsidRPr="006B32B5">
              <w:rPr>
                <w:u w:val="single"/>
              </w:rPr>
              <w:t>Safety</w:t>
            </w:r>
            <w:r>
              <w:t xml:space="preserve">: NR. </w:t>
            </w:r>
          </w:p>
        </w:tc>
      </w:tr>
      <w:tr w:rsidR="00867B8E" w:rsidTr="00867B8E">
        <w:tc>
          <w:tcPr>
            <w:tcW w:w="1395" w:type="dxa"/>
          </w:tcPr>
          <w:p w:rsidR="00867B8E" w:rsidRDefault="00867B8E" w:rsidP="00867B8E">
            <w:r>
              <w:t xml:space="preserve">Scherphof </w:t>
            </w:r>
            <w:r w:rsidR="000C1484">
              <w:t>(</w:t>
            </w:r>
            <w:r>
              <w:t>2014</w:t>
            </w:r>
            <w:r w:rsidR="000C1484">
              <w:t>)</w:t>
            </w:r>
          </w:p>
        </w:tc>
        <w:tc>
          <w:tcPr>
            <w:tcW w:w="870" w:type="dxa"/>
          </w:tcPr>
          <w:p w:rsidR="00867B8E" w:rsidRDefault="00867B8E" w:rsidP="00867B8E">
            <w:r w:rsidRPr="00602253">
              <w:t>RCT</w:t>
            </w:r>
          </w:p>
        </w:tc>
        <w:tc>
          <w:tcPr>
            <w:tcW w:w="1140" w:type="dxa"/>
          </w:tcPr>
          <w:p w:rsidR="00867B8E" w:rsidRDefault="00867B8E" w:rsidP="00867B8E">
            <w:r>
              <w:t>Netherlands</w:t>
            </w:r>
          </w:p>
        </w:tc>
        <w:tc>
          <w:tcPr>
            <w:tcW w:w="900" w:type="dxa"/>
          </w:tcPr>
          <w:p w:rsidR="00867B8E" w:rsidRDefault="00867B8E" w:rsidP="00867B8E">
            <w:r w:rsidRPr="00221569">
              <w:t>N=</w:t>
            </w:r>
            <w:r>
              <w:t>265</w:t>
            </w:r>
          </w:p>
        </w:tc>
        <w:tc>
          <w:tcPr>
            <w:tcW w:w="3585" w:type="dxa"/>
          </w:tcPr>
          <w:p w:rsidR="00867B8E" w:rsidRDefault="00867B8E" w:rsidP="00867B8E">
            <w:r>
              <w:t xml:space="preserve">12-18 years old, no major health problems, smoking </w:t>
            </w:r>
            <w:r w:rsidRPr="00F32FEC">
              <w:t>≥</w:t>
            </w:r>
            <w:r>
              <w:t xml:space="preserve"> 7 CPD, parents of participants were aware of their smoking, participants were motivated to quit Participants excluded if currently</w:t>
            </w:r>
          </w:p>
          <w:p w:rsidR="00867B8E" w:rsidRDefault="00867B8E" w:rsidP="00867B8E">
            <w:r>
              <w:t>using NRT, were pregnant or lactating, or were allergic to patches.</w:t>
            </w:r>
          </w:p>
        </w:tc>
        <w:tc>
          <w:tcPr>
            <w:tcW w:w="3885" w:type="dxa"/>
          </w:tcPr>
          <w:p w:rsidR="00867B8E" w:rsidRPr="006B51F5" w:rsidRDefault="00867B8E" w:rsidP="00C324F3">
            <w:pPr>
              <w:pStyle w:val="ListParagraph"/>
              <w:numPr>
                <w:ilvl w:val="0"/>
                <w:numId w:val="298"/>
              </w:numPr>
              <w:rPr>
                <w:rFonts w:eastAsia="Calibri" w:cs="Calibri"/>
              </w:rPr>
            </w:pPr>
            <w:r w:rsidRPr="006B51F5">
              <w:rPr>
                <w:rFonts w:eastAsia="Calibri" w:cs="Calibri"/>
              </w:rPr>
              <w:t>Intervention: short behavioural intervention, followed by 6 or 9 weeks of 24</w:t>
            </w:r>
            <w:r>
              <w:rPr>
                <w:rFonts w:eastAsia="Calibri" w:cs="Calibri"/>
              </w:rPr>
              <w:t>-</w:t>
            </w:r>
            <w:r w:rsidRPr="006B51F5">
              <w:rPr>
                <w:rFonts w:eastAsia="Calibri" w:cs="Calibri"/>
              </w:rPr>
              <w:t>h</w:t>
            </w:r>
            <w:r>
              <w:rPr>
                <w:rFonts w:eastAsia="Calibri" w:cs="Calibri"/>
              </w:rPr>
              <w:t>our</w:t>
            </w:r>
            <w:r w:rsidRPr="006B51F5">
              <w:rPr>
                <w:rFonts w:eastAsia="Calibri" w:cs="Calibri"/>
              </w:rPr>
              <w:t xml:space="preserve"> NRT with patch, depending</w:t>
            </w:r>
          </w:p>
          <w:p w:rsidR="00867B8E" w:rsidRDefault="00867B8E" w:rsidP="00867B8E">
            <w:pPr>
              <w:pStyle w:val="ListParagraph"/>
              <w:ind w:left="360"/>
              <w:rPr>
                <w:rFonts w:eastAsia="Calibri" w:cs="Calibri"/>
              </w:rPr>
            </w:pPr>
            <w:r w:rsidRPr="006B51F5">
              <w:rPr>
                <w:rFonts w:eastAsia="Calibri" w:cs="Calibri"/>
              </w:rPr>
              <w:t>on smoking level at baseline</w:t>
            </w:r>
          </w:p>
          <w:p w:rsidR="00867B8E" w:rsidRPr="006B51F5" w:rsidRDefault="00867B8E" w:rsidP="00C324F3">
            <w:pPr>
              <w:pStyle w:val="ListParagraph"/>
              <w:numPr>
                <w:ilvl w:val="0"/>
                <w:numId w:val="298"/>
              </w:numPr>
              <w:rPr>
                <w:rFonts w:eastAsia="Calibri" w:cs="Calibri"/>
              </w:rPr>
            </w:pPr>
            <w:r w:rsidRPr="006B51F5">
              <w:rPr>
                <w:rFonts w:eastAsia="Calibri" w:cs="Calibri"/>
              </w:rPr>
              <w:t>Control: placebo patch control, otherwise identical to intervention</w:t>
            </w:r>
          </w:p>
        </w:tc>
        <w:tc>
          <w:tcPr>
            <w:tcW w:w="2314" w:type="dxa"/>
          </w:tcPr>
          <w:p w:rsidR="00867B8E" w:rsidRDefault="00867B8E" w:rsidP="00867B8E">
            <w:r w:rsidRPr="006B32B5">
              <w:rPr>
                <w:u w:val="single"/>
              </w:rPr>
              <w:t>Efficacy</w:t>
            </w:r>
            <w:r>
              <w:t xml:space="preserve">: </w:t>
            </w:r>
            <w:r w:rsidRPr="006B51F5">
              <w:t>30-day PPA</w:t>
            </w:r>
            <w:r>
              <w:t xml:space="preserve"> at 6 and 12 months. </w:t>
            </w:r>
          </w:p>
          <w:p w:rsidR="00867B8E" w:rsidRDefault="00867B8E" w:rsidP="00867B8E">
            <w:r w:rsidRPr="006B51F5">
              <w:t>Verification: salivary cotinine measured using a NicAlert saliva strip (Nymox)</w:t>
            </w:r>
          </w:p>
          <w:p w:rsidR="00867B8E" w:rsidRDefault="00867B8E" w:rsidP="00867B8E">
            <w:pPr>
              <w:rPr>
                <w:u w:val="single"/>
              </w:rPr>
            </w:pPr>
          </w:p>
          <w:p w:rsidR="00867B8E" w:rsidRDefault="00867B8E" w:rsidP="00867B8E">
            <w:r w:rsidRPr="006B32B5">
              <w:rPr>
                <w:u w:val="single"/>
              </w:rPr>
              <w:lastRenderedPageBreak/>
              <w:t>Safety</w:t>
            </w:r>
            <w:r>
              <w:t xml:space="preserve">: </w:t>
            </w:r>
            <w:r w:rsidRPr="006B51F5">
              <w:t>Adverse events including tiredness, cough, insomnia, itchiness and headache</w:t>
            </w:r>
            <w:r>
              <w:t>.</w:t>
            </w:r>
          </w:p>
        </w:tc>
      </w:tr>
      <w:tr w:rsidR="00867B8E" w:rsidTr="00867B8E">
        <w:tc>
          <w:tcPr>
            <w:tcW w:w="1395" w:type="dxa"/>
          </w:tcPr>
          <w:p w:rsidR="00867B8E" w:rsidRDefault="00867B8E" w:rsidP="00867B8E">
            <w:r w:rsidRPr="00F32FEC">
              <w:lastRenderedPageBreak/>
              <w:t xml:space="preserve">bailey </w:t>
            </w:r>
            <w:r w:rsidR="000C1484">
              <w:t>(</w:t>
            </w:r>
            <w:r w:rsidRPr="00F32FEC">
              <w:t>2013</w:t>
            </w:r>
            <w:r w:rsidR="000C1484">
              <w:t>)</w:t>
            </w:r>
          </w:p>
        </w:tc>
        <w:tc>
          <w:tcPr>
            <w:tcW w:w="870" w:type="dxa"/>
          </w:tcPr>
          <w:p w:rsidR="00867B8E" w:rsidRPr="00602253" w:rsidRDefault="00867B8E" w:rsidP="00867B8E">
            <w:r w:rsidRPr="00602253">
              <w:t>RCT</w:t>
            </w:r>
          </w:p>
        </w:tc>
        <w:tc>
          <w:tcPr>
            <w:tcW w:w="1140" w:type="dxa"/>
          </w:tcPr>
          <w:p w:rsidR="00867B8E" w:rsidRDefault="00867B8E" w:rsidP="00867B8E">
            <w:r>
              <w:t>USA</w:t>
            </w:r>
          </w:p>
        </w:tc>
        <w:tc>
          <w:tcPr>
            <w:tcW w:w="900" w:type="dxa"/>
          </w:tcPr>
          <w:p w:rsidR="00867B8E" w:rsidRPr="00221569" w:rsidRDefault="00867B8E" w:rsidP="00867B8E">
            <w:r w:rsidRPr="00221569">
              <w:t>N=</w:t>
            </w:r>
            <w:r>
              <w:t>143</w:t>
            </w:r>
          </w:p>
        </w:tc>
        <w:tc>
          <w:tcPr>
            <w:tcW w:w="3585" w:type="dxa"/>
          </w:tcPr>
          <w:p w:rsidR="00867B8E" w:rsidRDefault="00867B8E" w:rsidP="00867B8E">
            <w:r>
              <w:t xml:space="preserve">Smokers, 38% female, mean age 16.9 years, 14-18 years old, attended a participating school, smoked d 10 cpd, expressed interest in quitting smoking. </w:t>
            </w:r>
          </w:p>
          <w:p w:rsidR="00867B8E" w:rsidRDefault="00867B8E" w:rsidP="00867B8E"/>
          <w:p w:rsidR="00867B8E" w:rsidRDefault="00867B8E" w:rsidP="00867B8E">
            <w:r w:rsidRPr="00A7551A">
              <w:rPr>
                <w:u w:val="single"/>
              </w:rPr>
              <w:t>Exclusion</w:t>
            </w:r>
            <w:r>
              <w:t>: Excluded if currently receiving treatment for major depression, panic disorder, social anxiety or agoraphobia; taking antidepressants, antipsychotics, benzodiazepines or theophylline;</w:t>
            </w:r>
          </w:p>
          <w:p w:rsidR="00867B8E" w:rsidRDefault="00867B8E" w:rsidP="00867B8E">
            <w:r>
              <w:t>current heavy alcohol or substance abuse; diagnosed heart problems or high blood pressure; current use of nicotine replacement therapy; allergy to adhesive tape; currently pregnant or planning</w:t>
            </w:r>
          </w:p>
          <w:p w:rsidR="00867B8E" w:rsidRDefault="00867B8E" w:rsidP="00867B8E">
            <w:r>
              <w:t>on becoming pregnant.</w:t>
            </w:r>
          </w:p>
        </w:tc>
        <w:tc>
          <w:tcPr>
            <w:tcW w:w="3885" w:type="dxa"/>
          </w:tcPr>
          <w:p w:rsidR="00867B8E" w:rsidRPr="00A7551A" w:rsidRDefault="00867B8E" w:rsidP="00C324F3">
            <w:pPr>
              <w:pStyle w:val="ListParagraph"/>
              <w:numPr>
                <w:ilvl w:val="0"/>
                <w:numId w:val="298"/>
              </w:numPr>
              <w:rPr>
                <w:rFonts w:eastAsia="Calibri" w:cs="Calibri"/>
              </w:rPr>
            </w:pPr>
            <w:r w:rsidRPr="00A7551A">
              <w:rPr>
                <w:rFonts w:eastAsia="Calibri" w:cs="Calibri"/>
              </w:rPr>
              <w:t>Intervention: extended treatment of 24 weeks of group-based CBT and skills training, concurrent with 9</w:t>
            </w:r>
            <w:r>
              <w:rPr>
                <w:rFonts w:eastAsia="Calibri" w:cs="Calibri"/>
              </w:rPr>
              <w:t xml:space="preserve"> </w:t>
            </w:r>
            <w:r w:rsidRPr="00A7551A">
              <w:rPr>
                <w:rFonts w:eastAsia="Calibri" w:cs="Calibri"/>
              </w:rPr>
              <w:t>weeks of nicotine patch therapy. Extended treatment focuses on relapse prevention skills and effective</w:t>
            </w:r>
            <w:r>
              <w:rPr>
                <w:rFonts w:eastAsia="Calibri" w:cs="Calibri"/>
              </w:rPr>
              <w:t xml:space="preserve"> </w:t>
            </w:r>
            <w:r w:rsidRPr="00A7551A">
              <w:rPr>
                <w:rFonts w:eastAsia="Calibri" w:cs="Calibri"/>
              </w:rPr>
              <w:t>coping plans.</w:t>
            </w:r>
          </w:p>
          <w:p w:rsidR="00867B8E" w:rsidRPr="00A7551A" w:rsidRDefault="00867B8E" w:rsidP="00C324F3">
            <w:pPr>
              <w:pStyle w:val="ListParagraph"/>
              <w:numPr>
                <w:ilvl w:val="0"/>
                <w:numId w:val="298"/>
              </w:numPr>
              <w:rPr>
                <w:rFonts w:eastAsia="Calibri" w:cs="Calibri"/>
              </w:rPr>
            </w:pPr>
            <w:r w:rsidRPr="00A7551A">
              <w:rPr>
                <w:rFonts w:eastAsia="Calibri" w:cs="Calibri"/>
              </w:rPr>
              <w:t>Control: 10 weeks of group-based CBT and skills training, concurrent with 9 weeks of nicotine patch</w:t>
            </w:r>
            <w:r>
              <w:rPr>
                <w:rFonts w:eastAsia="Calibri" w:cs="Calibri"/>
              </w:rPr>
              <w:t xml:space="preserve"> </w:t>
            </w:r>
            <w:r w:rsidRPr="00A7551A">
              <w:rPr>
                <w:rFonts w:eastAsia="Calibri" w:cs="Calibri"/>
              </w:rPr>
              <w:t>therapy</w:t>
            </w:r>
          </w:p>
        </w:tc>
        <w:tc>
          <w:tcPr>
            <w:tcW w:w="2314" w:type="dxa"/>
          </w:tcPr>
          <w:p w:rsidR="00867B8E" w:rsidRDefault="00867B8E" w:rsidP="00867B8E">
            <w:r w:rsidRPr="006B32B5">
              <w:rPr>
                <w:u w:val="single"/>
              </w:rPr>
              <w:t>Efficacy</w:t>
            </w:r>
            <w:r>
              <w:t xml:space="preserve">: </w:t>
            </w:r>
            <w:r w:rsidRPr="00A7551A">
              <w:t>7-day PPA</w:t>
            </w:r>
            <w:r>
              <w:t xml:space="preserve"> at 10 weeks and 26 weeks. </w:t>
            </w:r>
          </w:p>
          <w:p w:rsidR="00867B8E" w:rsidRDefault="00867B8E" w:rsidP="00867B8E">
            <w:r w:rsidRPr="00A7551A">
              <w:t>Verification: expired-air CO &lt; 10 ppm, using a Bedfont Smokerlyzer</w:t>
            </w:r>
            <w:r>
              <w:t>.</w:t>
            </w:r>
          </w:p>
          <w:p w:rsidR="00867B8E" w:rsidRDefault="00867B8E" w:rsidP="00867B8E">
            <w:pPr>
              <w:rPr>
                <w:u w:val="single"/>
              </w:rPr>
            </w:pPr>
          </w:p>
          <w:p w:rsidR="00867B8E" w:rsidRPr="006B32B5" w:rsidRDefault="00867B8E" w:rsidP="00867B8E">
            <w:pPr>
              <w:rPr>
                <w:u w:val="single"/>
              </w:rPr>
            </w:pPr>
            <w:r w:rsidRPr="006B32B5">
              <w:rPr>
                <w:u w:val="single"/>
              </w:rPr>
              <w:t>Safety</w:t>
            </w:r>
            <w:r>
              <w:t xml:space="preserve">: </w:t>
            </w:r>
            <w:r w:rsidRPr="00A7551A">
              <w:t>Adverse events</w:t>
            </w:r>
            <w:r>
              <w:t xml:space="preserve"> and </w:t>
            </w:r>
            <w:r w:rsidRPr="00A7551A">
              <w:t>specific details not given</w:t>
            </w:r>
            <w:r>
              <w:t xml:space="preserve">. </w:t>
            </w:r>
          </w:p>
        </w:tc>
      </w:tr>
      <w:tr w:rsidR="00867B8E" w:rsidTr="00867B8E">
        <w:tc>
          <w:tcPr>
            <w:tcW w:w="14089" w:type="dxa"/>
            <w:gridSpan w:val="7"/>
            <w:shd w:val="clear" w:color="auto" w:fill="D9D9D9" w:themeFill="background1" w:themeFillShade="D9"/>
          </w:tcPr>
          <w:p w:rsidR="00867B8E" w:rsidRPr="00440B3C" w:rsidRDefault="00867B8E" w:rsidP="00867B8E">
            <w:pPr>
              <w:rPr>
                <w:b/>
                <w:bCs/>
              </w:rPr>
            </w:pPr>
            <w:r w:rsidRPr="00440B3C">
              <w:rPr>
                <w:b/>
                <w:bCs/>
              </w:rPr>
              <w:t>Bupropion</w:t>
            </w:r>
          </w:p>
        </w:tc>
      </w:tr>
      <w:tr w:rsidR="00867B8E" w:rsidTr="00867B8E">
        <w:tc>
          <w:tcPr>
            <w:tcW w:w="1395" w:type="dxa"/>
          </w:tcPr>
          <w:p w:rsidR="00867B8E" w:rsidRDefault="00867B8E" w:rsidP="00867B8E">
            <w:r>
              <w:t xml:space="preserve">Muramoto </w:t>
            </w:r>
            <w:r w:rsidR="000C1484">
              <w:t>(</w:t>
            </w:r>
            <w:r>
              <w:t>2007</w:t>
            </w:r>
            <w:r w:rsidR="000C1484">
              <w:t>)</w:t>
            </w:r>
          </w:p>
        </w:tc>
        <w:tc>
          <w:tcPr>
            <w:tcW w:w="870" w:type="dxa"/>
          </w:tcPr>
          <w:p w:rsidR="00867B8E" w:rsidRDefault="00867B8E" w:rsidP="00867B8E">
            <w:r w:rsidRPr="00602253">
              <w:t>RCT</w:t>
            </w:r>
          </w:p>
        </w:tc>
        <w:tc>
          <w:tcPr>
            <w:tcW w:w="1140" w:type="dxa"/>
          </w:tcPr>
          <w:p w:rsidR="00867B8E" w:rsidRPr="00A7551A" w:rsidRDefault="00867B8E" w:rsidP="00867B8E">
            <w:r>
              <w:t>USA</w:t>
            </w:r>
          </w:p>
        </w:tc>
        <w:tc>
          <w:tcPr>
            <w:tcW w:w="900" w:type="dxa"/>
          </w:tcPr>
          <w:p w:rsidR="00867B8E" w:rsidRDefault="00867B8E" w:rsidP="00867B8E">
            <w:r w:rsidRPr="00221569">
              <w:t>N=</w:t>
            </w:r>
            <w:r>
              <w:t>312</w:t>
            </w:r>
          </w:p>
        </w:tc>
        <w:tc>
          <w:tcPr>
            <w:tcW w:w="3585" w:type="dxa"/>
          </w:tcPr>
          <w:p w:rsidR="00867B8E" w:rsidRDefault="00867B8E" w:rsidP="00867B8E">
            <w:r>
              <w:t xml:space="preserve">smokers with age range 14-17 years, smoking </w:t>
            </w:r>
            <w:r w:rsidRPr="00F32FEC">
              <w:t>≥</w:t>
            </w:r>
            <w:r>
              <w:t xml:space="preserve"> 6 cpd &amp; exhaled CO </w:t>
            </w:r>
            <w:r w:rsidRPr="00F32FEC">
              <w:t>≥</w:t>
            </w:r>
            <w:r>
              <w:t xml:space="preserve"> 10 ppm &amp; </w:t>
            </w:r>
            <w:r w:rsidRPr="00F32FEC">
              <w:t>≥</w:t>
            </w:r>
            <w:r>
              <w:t xml:space="preserve"> 2 prior quit attempts &amp; no major psychiatric diagnosis. </w:t>
            </w:r>
          </w:p>
        </w:tc>
        <w:tc>
          <w:tcPr>
            <w:tcW w:w="3885" w:type="dxa"/>
          </w:tcPr>
          <w:p w:rsidR="00867B8E" w:rsidRPr="00A7551A" w:rsidRDefault="00867B8E" w:rsidP="00C324F3">
            <w:pPr>
              <w:pStyle w:val="ListParagraph"/>
              <w:numPr>
                <w:ilvl w:val="0"/>
                <w:numId w:val="299"/>
              </w:numPr>
              <w:rPr>
                <w:rFonts w:eastAsia="Calibri" w:cs="Calibri"/>
              </w:rPr>
            </w:pPr>
            <w:r>
              <w:rPr>
                <w:rFonts w:eastAsia="Calibri" w:cs="Calibri"/>
              </w:rPr>
              <w:t>B</w:t>
            </w:r>
            <w:r w:rsidRPr="00A7551A">
              <w:rPr>
                <w:rFonts w:eastAsia="Calibri" w:cs="Calibri"/>
              </w:rPr>
              <w:t>upropion SR 300 mg/d in blister cards</w:t>
            </w:r>
          </w:p>
          <w:p w:rsidR="00867B8E" w:rsidRPr="00A7551A" w:rsidRDefault="00867B8E" w:rsidP="00C324F3">
            <w:pPr>
              <w:pStyle w:val="ListParagraph"/>
              <w:numPr>
                <w:ilvl w:val="0"/>
                <w:numId w:val="299"/>
              </w:numPr>
              <w:rPr>
                <w:rFonts w:eastAsia="Calibri" w:cs="Calibri"/>
              </w:rPr>
            </w:pPr>
            <w:r>
              <w:rPr>
                <w:rFonts w:eastAsia="Calibri" w:cs="Calibri"/>
              </w:rPr>
              <w:t>B</w:t>
            </w:r>
            <w:r w:rsidRPr="00A7551A">
              <w:rPr>
                <w:rFonts w:eastAsia="Calibri" w:cs="Calibri"/>
              </w:rPr>
              <w:t>upropion SR 150 mg/d in blister cards</w:t>
            </w:r>
          </w:p>
          <w:p w:rsidR="00867B8E" w:rsidRDefault="00867B8E" w:rsidP="00C324F3">
            <w:pPr>
              <w:pStyle w:val="ListParagraph"/>
              <w:numPr>
                <w:ilvl w:val="0"/>
                <w:numId w:val="299"/>
              </w:numPr>
              <w:rPr>
                <w:rFonts w:eastAsia="Calibri" w:cs="Calibri"/>
              </w:rPr>
            </w:pPr>
            <w:r>
              <w:rPr>
                <w:rFonts w:eastAsia="Calibri" w:cs="Calibri"/>
              </w:rPr>
              <w:t>P</w:t>
            </w:r>
            <w:r w:rsidRPr="00A7551A">
              <w:rPr>
                <w:rFonts w:eastAsia="Calibri" w:cs="Calibri"/>
              </w:rPr>
              <w:t>lacebo tablet identical to active tablets and blister packed</w:t>
            </w:r>
          </w:p>
        </w:tc>
        <w:tc>
          <w:tcPr>
            <w:tcW w:w="2314" w:type="dxa"/>
          </w:tcPr>
          <w:p w:rsidR="00867B8E" w:rsidRDefault="00867B8E" w:rsidP="00867B8E">
            <w:r w:rsidRPr="006B32B5">
              <w:rPr>
                <w:u w:val="single"/>
              </w:rPr>
              <w:t>Efficacy</w:t>
            </w:r>
            <w:r>
              <w:t>: self-reports of 7-day PPA (30-day PPA stated as an outcome in paper but figures not given, not obtainable from study author) at 26 weeks.</w:t>
            </w:r>
          </w:p>
          <w:p w:rsidR="00867B8E" w:rsidRDefault="00867B8E" w:rsidP="00867B8E">
            <w:r>
              <w:t>Verification: exhaled CO at 26-week visit.</w:t>
            </w:r>
          </w:p>
          <w:p w:rsidR="00867B8E" w:rsidRDefault="00867B8E" w:rsidP="00867B8E"/>
          <w:p w:rsidR="00867B8E" w:rsidRDefault="00867B8E" w:rsidP="00867B8E">
            <w:r w:rsidRPr="006B32B5">
              <w:rPr>
                <w:u w:val="single"/>
              </w:rPr>
              <w:t>Safety</w:t>
            </w:r>
            <w:r>
              <w:t xml:space="preserve">: Adverse events including headache, cough, throat symptom, sleep disturbance, nausea reported. 8 </w:t>
            </w:r>
            <w:r>
              <w:lastRenderedPageBreak/>
              <w:t>participants in treatment group discontinued treatment for various adverse events. 2 "serious" and 1 "medically important"</w:t>
            </w:r>
          </w:p>
          <w:p w:rsidR="00867B8E" w:rsidRDefault="00867B8E" w:rsidP="00867B8E">
            <w:r>
              <w:t>adverse events occurred.</w:t>
            </w:r>
          </w:p>
        </w:tc>
      </w:tr>
      <w:tr w:rsidR="00867B8E" w:rsidTr="00867B8E">
        <w:tc>
          <w:tcPr>
            <w:tcW w:w="14089" w:type="dxa"/>
            <w:gridSpan w:val="7"/>
            <w:shd w:val="clear" w:color="auto" w:fill="D9D9D9" w:themeFill="background1" w:themeFillShade="D9"/>
          </w:tcPr>
          <w:p w:rsidR="00867B8E" w:rsidRPr="007B7CE3" w:rsidRDefault="00867B8E" w:rsidP="00867B8E">
            <w:pPr>
              <w:rPr>
                <w:b/>
                <w:bCs/>
              </w:rPr>
            </w:pPr>
            <w:r w:rsidRPr="007B7CE3">
              <w:rPr>
                <w:b/>
                <w:bCs/>
              </w:rPr>
              <w:lastRenderedPageBreak/>
              <w:t>Bupropion plus NRT</w:t>
            </w:r>
          </w:p>
        </w:tc>
      </w:tr>
      <w:tr w:rsidR="00867B8E" w:rsidTr="00867B8E">
        <w:tc>
          <w:tcPr>
            <w:tcW w:w="1395" w:type="dxa"/>
          </w:tcPr>
          <w:p w:rsidR="00867B8E" w:rsidRDefault="00867B8E" w:rsidP="00867B8E">
            <w:r>
              <w:t xml:space="preserve">Killen </w:t>
            </w:r>
            <w:r w:rsidR="000C1484">
              <w:t>(</w:t>
            </w:r>
            <w:r>
              <w:t>2004</w:t>
            </w:r>
            <w:r w:rsidR="000C1484">
              <w:t>)</w:t>
            </w:r>
          </w:p>
        </w:tc>
        <w:tc>
          <w:tcPr>
            <w:tcW w:w="870" w:type="dxa"/>
          </w:tcPr>
          <w:p w:rsidR="00867B8E" w:rsidRDefault="00867B8E" w:rsidP="00867B8E">
            <w:r w:rsidRPr="00602253">
              <w:t>RCT</w:t>
            </w:r>
          </w:p>
        </w:tc>
        <w:tc>
          <w:tcPr>
            <w:tcW w:w="1140" w:type="dxa"/>
          </w:tcPr>
          <w:p w:rsidR="00867B8E" w:rsidRDefault="00867B8E" w:rsidP="00867B8E">
            <w:r>
              <w:t>USA</w:t>
            </w:r>
          </w:p>
        </w:tc>
        <w:tc>
          <w:tcPr>
            <w:tcW w:w="900" w:type="dxa"/>
          </w:tcPr>
          <w:p w:rsidR="00867B8E" w:rsidRDefault="00867B8E" w:rsidP="00867B8E">
            <w:r w:rsidRPr="00221569">
              <w:t>N=</w:t>
            </w:r>
            <w:r>
              <w:t>211</w:t>
            </w:r>
          </w:p>
        </w:tc>
        <w:tc>
          <w:tcPr>
            <w:tcW w:w="3585" w:type="dxa"/>
          </w:tcPr>
          <w:p w:rsidR="00867B8E" w:rsidRDefault="00867B8E" w:rsidP="00867B8E">
            <w:r>
              <w:t xml:space="preserve">Smokers with age range 15-18 years, currently smoked </w:t>
            </w:r>
            <w:r w:rsidRPr="00F32FEC">
              <w:t>≥</w:t>
            </w:r>
            <w:r>
              <w:t xml:space="preserve"> 10 CPD, for </w:t>
            </w:r>
            <w:r w:rsidRPr="00F32FEC">
              <w:t>≥</w:t>
            </w:r>
            <w:r>
              <w:t xml:space="preserve"> 6 months, with &gt; 1 quit attempt and a score of </w:t>
            </w:r>
            <w:r w:rsidRPr="00F32FEC">
              <w:t>≥</w:t>
            </w:r>
            <w:r>
              <w:t xml:space="preserve"> 10 on modified FNTQ. </w:t>
            </w:r>
          </w:p>
        </w:tc>
        <w:tc>
          <w:tcPr>
            <w:tcW w:w="3885" w:type="dxa"/>
          </w:tcPr>
          <w:p w:rsidR="00867B8E" w:rsidRPr="006C4D0B" w:rsidRDefault="00867B8E" w:rsidP="00C324F3">
            <w:pPr>
              <w:pStyle w:val="ListParagraph"/>
              <w:numPr>
                <w:ilvl w:val="0"/>
                <w:numId w:val="300"/>
              </w:numPr>
              <w:rPr>
                <w:rFonts w:eastAsia="Calibri" w:cs="Calibri"/>
              </w:rPr>
            </w:pPr>
            <w:r w:rsidRPr="006C4D0B">
              <w:rPr>
                <w:rFonts w:eastAsia="Calibri" w:cs="Calibri"/>
              </w:rPr>
              <w:t>Intervention: 8 weeks of tailored NRT patch therapy plus 150 mg SR bupropion tablet (for 8 weeks from</w:t>
            </w:r>
            <w:r>
              <w:rPr>
                <w:rFonts w:eastAsia="Calibri" w:cs="Calibri"/>
              </w:rPr>
              <w:t xml:space="preserve"> </w:t>
            </w:r>
            <w:r w:rsidRPr="006C4D0B">
              <w:rPr>
                <w:rFonts w:eastAsia="Calibri" w:cs="Calibri"/>
              </w:rPr>
              <w:t>quit date) and relapse prevention</w:t>
            </w:r>
          </w:p>
          <w:p w:rsidR="00867B8E" w:rsidRDefault="00867B8E" w:rsidP="00C324F3">
            <w:pPr>
              <w:pStyle w:val="ListParagraph"/>
              <w:numPr>
                <w:ilvl w:val="0"/>
                <w:numId w:val="300"/>
              </w:numPr>
              <w:rPr>
                <w:rFonts w:eastAsia="Calibri" w:cs="Calibri"/>
              </w:rPr>
            </w:pPr>
            <w:r w:rsidRPr="006C4D0B">
              <w:rPr>
                <w:rFonts w:eastAsia="Calibri" w:cs="Calibri"/>
              </w:rPr>
              <w:t>Control: 8 weeks of tailored NRT patch therapy plus placebo tablet (for 8 weeks from quit date)</w:t>
            </w:r>
          </w:p>
        </w:tc>
        <w:tc>
          <w:tcPr>
            <w:tcW w:w="2314" w:type="dxa"/>
          </w:tcPr>
          <w:p w:rsidR="00867B8E" w:rsidRDefault="00867B8E" w:rsidP="00867B8E">
            <w:r w:rsidRPr="006B32B5">
              <w:rPr>
                <w:u w:val="single"/>
              </w:rPr>
              <w:t>Efficacy</w:t>
            </w:r>
            <w:r>
              <w:t>: 7-day PPA; follow-up periods: &gt; 3 months, 6 months.</w:t>
            </w:r>
          </w:p>
          <w:p w:rsidR="00867B8E" w:rsidRDefault="00867B8E" w:rsidP="00867B8E">
            <w:r>
              <w:t>Verification: CO monitoring (below 9 ppm) and saliva cotinine (below 20 ng/mL) at 6 months; adherence to bupropion measured at 5 weeks.</w:t>
            </w:r>
          </w:p>
          <w:p w:rsidR="00867B8E" w:rsidRDefault="00867B8E" w:rsidP="00867B8E"/>
          <w:p w:rsidR="00867B8E" w:rsidRDefault="00867B8E" w:rsidP="00867B8E">
            <w:r w:rsidRPr="006B32B5">
              <w:rPr>
                <w:u w:val="single"/>
              </w:rPr>
              <w:t>Safety</w:t>
            </w:r>
            <w:r>
              <w:t xml:space="preserve">: </w:t>
            </w:r>
            <w:r w:rsidRPr="006C4D0B">
              <w:t>Adverse events</w:t>
            </w:r>
            <w:r>
              <w:t>;</w:t>
            </w:r>
            <w:r w:rsidRPr="006C4D0B">
              <w:t xml:space="preserve"> 47 self-rated "severe" but none judged severe by the study physician</w:t>
            </w:r>
            <w:r>
              <w:t>.</w:t>
            </w:r>
          </w:p>
        </w:tc>
      </w:tr>
    </w:tbl>
    <w:p w:rsidR="00867B8E" w:rsidRPr="009B042A" w:rsidRDefault="00867B8E" w:rsidP="00867B8E">
      <w:pPr>
        <w:pStyle w:val="TableFooter"/>
        <w:keepNext/>
      </w:pPr>
      <w:r>
        <w:t>Source: Fanshawe (2017).</w:t>
      </w:r>
      <w:r w:rsidRPr="009B042A">
        <w:t xml:space="preserve"> </w:t>
      </w:r>
    </w:p>
    <w:p w:rsidR="00896A15" w:rsidRDefault="00867B8E" w:rsidP="00810A22">
      <w:pPr>
        <w:pStyle w:val="TableFooter"/>
        <w:keepNext/>
      </w:pPr>
      <w:r>
        <w:t xml:space="preserve">Abbreviations: NR= not reported; </w:t>
      </w:r>
      <w:r w:rsidRPr="009B042A">
        <w:t xml:space="preserve">PPA= point prevalence smoking abstinence; </w:t>
      </w:r>
      <w:r>
        <w:t xml:space="preserve">CAR= continuous abstinence rate; </w:t>
      </w:r>
      <w:r w:rsidRPr="009B042A">
        <w:t xml:space="preserve">RCT= randomised controlled trial; TQD= target quit date;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CPD= cigarette per day; AEs= adverse events; SAEs= serious adverse events.</w:t>
      </w:r>
    </w:p>
    <w:p w:rsidR="00810A22" w:rsidRDefault="00810A22" w:rsidP="00810A22">
      <w:pPr>
        <w:pStyle w:val="Caption"/>
        <w:keepNext/>
      </w:pPr>
      <w:bookmarkStart w:id="398" w:name="_Ref62379022"/>
      <w:r>
        <w:t xml:space="preserve">Table </w:t>
      </w:r>
      <w:r w:rsidR="003C4A1C">
        <w:rPr>
          <w:noProof/>
        </w:rPr>
        <w:t>167</w:t>
      </w:r>
      <w:bookmarkEnd w:id="398"/>
      <w:r>
        <w:t xml:space="preserve">: </w:t>
      </w:r>
      <w:r w:rsidRPr="007F2E07">
        <w:t>Characteristics of included studies in Myung et al. 2019, evaluating pharmacotherapy for smoking cessation in adolescents</w:t>
      </w:r>
    </w:p>
    <w:tbl>
      <w:tblPr>
        <w:tblStyle w:val="TableGrid"/>
        <w:tblW w:w="14089" w:type="dxa"/>
        <w:tblLayout w:type="fixed"/>
        <w:tblLook w:val="04A0" w:firstRow="1" w:lastRow="0" w:firstColumn="1" w:lastColumn="0" w:noHBand="0" w:noVBand="1"/>
      </w:tblPr>
      <w:tblGrid>
        <w:gridCol w:w="1395"/>
        <w:gridCol w:w="870"/>
        <w:gridCol w:w="1140"/>
        <w:gridCol w:w="900"/>
        <w:gridCol w:w="3585"/>
        <w:gridCol w:w="3885"/>
        <w:gridCol w:w="2314"/>
      </w:tblGrid>
      <w:tr w:rsidR="00896A15" w:rsidTr="00EE3A9D">
        <w:tc>
          <w:tcPr>
            <w:tcW w:w="1395" w:type="dxa"/>
            <w:shd w:val="clear" w:color="auto" w:fill="D9D9D9" w:themeFill="background1" w:themeFillShade="D9"/>
          </w:tcPr>
          <w:p w:rsidR="00896A15" w:rsidRDefault="00896A15" w:rsidP="00EE3A9D">
            <w:r w:rsidRPr="781E95A1">
              <w:rPr>
                <w:rFonts w:eastAsia="Calibri" w:cs="Calibri"/>
                <w:b/>
                <w:bCs/>
              </w:rPr>
              <w:t>Study</w:t>
            </w:r>
          </w:p>
        </w:tc>
        <w:tc>
          <w:tcPr>
            <w:tcW w:w="870" w:type="dxa"/>
            <w:shd w:val="clear" w:color="auto" w:fill="D9D9D9" w:themeFill="background1" w:themeFillShade="D9"/>
          </w:tcPr>
          <w:p w:rsidR="00896A15" w:rsidRDefault="00896A15" w:rsidP="00EE3A9D">
            <w:pPr>
              <w:jc w:val="center"/>
            </w:pPr>
            <w:r w:rsidRPr="781E95A1">
              <w:rPr>
                <w:rFonts w:eastAsia="Calibri" w:cs="Calibri"/>
                <w:b/>
                <w:bCs/>
                <w:color w:val="000000" w:themeColor="text1"/>
              </w:rPr>
              <w:t>Study type</w:t>
            </w:r>
          </w:p>
        </w:tc>
        <w:tc>
          <w:tcPr>
            <w:tcW w:w="1140" w:type="dxa"/>
            <w:shd w:val="clear" w:color="auto" w:fill="D9D9D9" w:themeFill="background1" w:themeFillShade="D9"/>
          </w:tcPr>
          <w:p w:rsidR="00896A15" w:rsidRDefault="00896A15" w:rsidP="00EE3A9D">
            <w:pPr>
              <w:jc w:val="center"/>
            </w:pPr>
            <w:r w:rsidRPr="781E95A1">
              <w:rPr>
                <w:rFonts w:eastAsia="Calibri" w:cs="Calibri"/>
                <w:b/>
                <w:bCs/>
                <w:color w:val="000000" w:themeColor="text1"/>
              </w:rPr>
              <w:t>Countries</w:t>
            </w:r>
          </w:p>
        </w:tc>
        <w:tc>
          <w:tcPr>
            <w:tcW w:w="900" w:type="dxa"/>
            <w:shd w:val="clear" w:color="auto" w:fill="D9D9D9" w:themeFill="background1" w:themeFillShade="D9"/>
          </w:tcPr>
          <w:p w:rsidR="00896A15" w:rsidRDefault="00896A15" w:rsidP="00EE3A9D">
            <w:pPr>
              <w:jc w:val="center"/>
            </w:pPr>
            <w:r w:rsidRPr="781E95A1">
              <w:rPr>
                <w:rFonts w:eastAsia="Calibri" w:cs="Calibri"/>
                <w:b/>
                <w:bCs/>
                <w:color w:val="000000" w:themeColor="text1"/>
              </w:rPr>
              <w:t>N</w:t>
            </w:r>
          </w:p>
        </w:tc>
        <w:tc>
          <w:tcPr>
            <w:tcW w:w="3585" w:type="dxa"/>
            <w:shd w:val="clear" w:color="auto" w:fill="D9D9D9" w:themeFill="background1" w:themeFillShade="D9"/>
          </w:tcPr>
          <w:p w:rsidR="00896A15" w:rsidRDefault="00896A15" w:rsidP="00EE3A9D">
            <w:pPr>
              <w:jc w:val="center"/>
            </w:pPr>
            <w:r w:rsidRPr="781E95A1">
              <w:rPr>
                <w:rFonts w:eastAsia="Calibri" w:cs="Calibri"/>
                <w:b/>
                <w:bCs/>
                <w:color w:val="000000" w:themeColor="text1"/>
              </w:rPr>
              <w:t>Population</w:t>
            </w:r>
          </w:p>
        </w:tc>
        <w:tc>
          <w:tcPr>
            <w:tcW w:w="3885" w:type="dxa"/>
            <w:shd w:val="clear" w:color="auto" w:fill="D9D9D9" w:themeFill="background1" w:themeFillShade="D9"/>
          </w:tcPr>
          <w:p w:rsidR="00896A15" w:rsidRDefault="00896A15" w:rsidP="00EE3A9D">
            <w:pPr>
              <w:jc w:val="center"/>
            </w:pPr>
            <w:r w:rsidRPr="781E95A1">
              <w:rPr>
                <w:rFonts w:eastAsia="Calibri" w:cs="Calibri"/>
                <w:b/>
                <w:bCs/>
                <w:color w:val="000000" w:themeColor="text1"/>
              </w:rPr>
              <w:t>Intervention and comparator</w:t>
            </w:r>
          </w:p>
        </w:tc>
        <w:tc>
          <w:tcPr>
            <w:tcW w:w="2314" w:type="dxa"/>
            <w:shd w:val="clear" w:color="auto" w:fill="D9D9D9" w:themeFill="background1" w:themeFillShade="D9"/>
          </w:tcPr>
          <w:p w:rsidR="00896A15" w:rsidRDefault="00896A15" w:rsidP="00EE3A9D">
            <w:pPr>
              <w:jc w:val="center"/>
            </w:pPr>
            <w:r w:rsidRPr="781E95A1">
              <w:rPr>
                <w:rFonts w:eastAsia="Calibri" w:cs="Calibri"/>
                <w:b/>
                <w:bCs/>
                <w:color w:val="000000" w:themeColor="text1"/>
              </w:rPr>
              <w:t>Outcomes</w:t>
            </w:r>
          </w:p>
        </w:tc>
      </w:tr>
      <w:tr w:rsidR="00896A15" w:rsidTr="00EE3A9D">
        <w:tc>
          <w:tcPr>
            <w:tcW w:w="14089" w:type="dxa"/>
            <w:gridSpan w:val="7"/>
            <w:shd w:val="clear" w:color="auto" w:fill="D9D9D9" w:themeFill="background1" w:themeFillShade="D9"/>
          </w:tcPr>
          <w:p w:rsidR="00896A15" w:rsidRPr="00440B3C" w:rsidRDefault="00896A15" w:rsidP="00EE3A9D">
            <w:pPr>
              <w:rPr>
                <w:b/>
                <w:bCs/>
              </w:rPr>
            </w:pPr>
            <w:r w:rsidRPr="00440B3C">
              <w:rPr>
                <w:b/>
                <w:bCs/>
              </w:rPr>
              <w:t>NRT</w:t>
            </w:r>
          </w:p>
        </w:tc>
      </w:tr>
      <w:tr w:rsidR="00D304C5" w:rsidTr="00EE3A9D">
        <w:tc>
          <w:tcPr>
            <w:tcW w:w="1395" w:type="dxa"/>
          </w:tcPr>
          <w:p w:rsidR="00D304C5" w:rsidRDefault="00D304C5" w:rsidP="00D304C5">
            <w:r w:rsidRPr="00EA7FC6">
              <w:t xml:space="preserve">Hanson </w:t>
            </w:r>
            <w:r w:rsidR="000C1484">
              <w:t>(</w:t>
            </w:r>
            <w:r w:rsidRPr="00EA7FC6">
              <w:t>2003</w:t>
            </w:r>
            <w:r w:rsidR="000C1484">
              <w:t>)</w:t>
            </w:r>
          </w:p>
        </w:tc>
        <w:tc>
          <w:tcPr>
            <w:tcW w:w="870" w:type="dxa"/>
          </w:tcPr>
          <w:p w:rsidR="00D304C5" w:rsidRDefault="00D304C5" w:rsidP="00D304C5">
            <w:r>
              <w:t>RCT</w:t>
            </w:r>
          </w:p>
        </w:tc>
        <w:tc>
          <w:tcPr>
            <w:tcW w:w="1140" w:type="dxa"/>
          </w:tcPr>
          <w:p w:rsidR="00D304C5" w:rsidRDefault="00D304C5" w:rsidP="00D304C5">
            <w:r>
              <w:t>USA</w:t>
            </w:r>
          </w:p>
        </w:tc>
        <w:tc>
          <w:tcPr>
            <w:tcW w:w="900" w:type="dxa"/>
          </w:tcPr>
          <w:p w:rsidR="00D304C5" w:rsidRDefault="00D304C5" w:rsidP="00D304C5">
            <w:r>
              <w:t>N=100</w:t>
            </w:r>
          </w:p>
        </w:tc>
        <w:tc>
          <w:tcPr>
            <w:tcW w:w="3585" w:type="dxa"/>
          </w:tcPr>
          <w:p w:rsidR="00D304C5" w:rsidRDefault="00D304C5" w:rsidP="00D304C5">
            <w:r>
              <w:t>Young smokers aged 13–19 years who smoked at least 10 CPD for at least 6 months.</w:t>
            </w:r>
          </w:p>
        </w:tc>
        <w:tc>
          <w:tcPr>
            <w:tcW w:w="3885" w:type="dxa"/>
          </w:tcPr>
          <w:p w:rsidR="00D304C5" w:rsidRPr="0038080C" w:rsidRDefault="00D304C5" w:rsidP="00C324F3">
            <w:pPr>
              <w:pStyle w:val="ListParagraph"/>
              <w:numPr>
                <w:ilvl w:val="0"/>
                <w:numId w:val="301"/>
              </w:numPr>
              <w:rPr>
                <w:rFonts w:eastAsia="Calibri" w:cs="Calibri"/>
              </w:rPr>
            </w:pPr>
            <w:r w:rsidRPr="0038080C">
              <w:rPr>
                <w:rFonts w:eastAsia="Calibri" w:cs="Calibri"/>
              </w:rPr>
              <w:t>Nicotine patch (21, 14, and 7 mg/d</w:t>
            </w:r>
            <w:r>
              <w:rPr>
                <w:rFonts w:eastAsia="Calibri" w:cs="Calibri"/>
              </w:rPr>
              <w:t>ay</w:t>
            </w:r>
            <w:r w:rsidRPr="0038080C">
              <w:rPr>
                <w:rFonts w:eastAsia="Calibri" w:cs="Calibri"/>
              </w:rPr>
              <w:t xml:space="preserve">) </w:t>
            </w:r>
          </w:p>
          <w:p w:rsidR="00D304C5" w:rsidRPr="0038080C" w:rsidRDefault="00D304C5" w:rsidP="00C324F3">
            <w:pPr>
              <w:pStyle w:val="ListParagraph"/>
              <w:numPr>
                <w:ilvl w:val="0"/>
                <w:numId w:val="301"/>
              </w:numPr>
              <w:rPr>
                <w:rFonts w:eastAsia="Calibri" w:cs="Calibri"/>
              </w:rPr>
            </w:pPr>
            <w:r w:rsidRPr="0038080C">
              <w:rPr>
                <w:rFonts w:eastAsia="Calibri" w:cs="Calibri"/>
              </w:rPr>
              <w:t>Placebo for</w:t>
            </w:r>
            <w:r>
              <w:rPr>
                <w:rFonts w:eastAsia="Calibri" w:cs="Calibri"/>
              </w:rPr>
              <w:t xml:space="preserve"> </w:t>
            </w:r>
            <w:r w:rsidRPr="0038080C">
              <w:rPr>
                <w:rFonts w:eastAsia="Calibri" w:cs="Calibri"/>
              </w:rPr>
              <w:t>10 w</w:t>
            </w:r>
            <w:r>
              <w:rPr>
                <w:rFonts w:eastAsia="Calibri" w:cs="Calibri"/>
              </w:rPr>
              <w:t>ee</w:t>
            </w:r>
            <w:r w:rsidRPr="0038080C">
              <w:rPr>
                <w:rFonts w:eastAsia="Calibri" w:cs="Calibri"/>
              </w:rPr>
              <w:t>k</w:t>
            </w:r>
            <w:r>
              <w:rPr>
                <w:rFonts w:eastAsia="Calibri" w:cs="Calibri"/>
              </w:rPr>
              <w:t>s</w:t>
            </w:r>
            <w:r w:rsidRPr="0038080C">
              <w:rPr>
                <w:rFonts w:eastAsia="Calibri" w:cs="Calibri"/>
              </w:rPr>
              <w:t xml:space="preserve"> </w:t>
            </w:r>
          </w:p>
        </w:tc>
        <w:tc>
          <w:tcPr>
            <w:tcW w:w="2314" w:type="dxa"/>
          </w:tcPr>
          <w:p w:rsidR="00D304C5" w:rsidRDefault="00D304C5" w:rsidP="00D304C5">
            <w:r w:rsidRPr="006B32B5">
              <w:rPr>
                <w:u w:val="single"/>
              </w:rPr>
              <w:t>Efficacy</w:t>
            </w:r>
            <w:r>
              <w:t xml:space="preserve">: </w:t>
            </w:r>
            <w:r w:rsidRPr="00EA7FC6">
              <w:t>30-d point prevalence abstinence at 10 w</w:t>
            </w:r>
            <w:r>
              <w:t>ee</w:t>
            </w:r>
            <w:r w:rsidRPr="00EA7FC6">
              <w:t>k</w:t>
            </w:r>
            <w:r>
              <w:t>.</w:t>
            </w:r>
          </w:p>
          <w:p w:rsidR="00D304C5" w:rsidRDefault="00D304C5" w:rsidP="00D304C5">
            <w:r>
              <w:t>Self-reported abstinence</w:t>
            </w:r>
          </w:p>
          <w:p w:rsidR="00D304C5" w:rsidRDefault="00D304C5" w:rsidP="00D304C5">
            <w:r>
              <w:lastRenderedPageBreak/>
              <w:t>confirmed by expired-air</w:t>
            </w:r>
          </w:p>
          <w:p w:rsidR="00D304C5" w:rsidRDefault="00D304C5" w:rsidP="00D304C5">
            <w:r>
              <w:t>CO levels ≤5 ppm.</w:t>
            </w:r>
          </w:p>
          <w:p w:rsidR="00D304C5" w:rsidRDefault="00D304C5" w:rsidP="00D304C5"/>
          <w:p w:rsidR="00D304C5" w:rsidRDefault="00D304C5" w:rsidP="00D304C5">
            <w:r w:rsidRPr="00532327">
              <w:rPr>
                <w:u w:val="single"/>
              </w:rPr>
              <w:t>Safety</w:t>
            </w:r>
            <w:r w:rsidRPr="00532327">
              <w:t xml:space="preserve">: </w:t>
            </w:r>
            <w:r w:rsidR="00532327" w:rsidRPr="00532327">
              <w:t>Adverse</w:t>
            </w:r>
            <w:r w:rsidR="00532327">
              <w:t xml:space="preserve"> events, headaches. </w:t>
            </w:r>
          </w:p>
        </w:tc>
      </w:tr>
      <w:tr w:rsidR="00D304C5" w:rsidTr="00EE3A9D">
        <w:tc>
          <w:tcPr>
            <w:tcW w:w="1395" w:type="dxa"/>
          </w:tcPr>
          <w:p w:rsidR="00D304C5" w:rsidRDefault="00D304C5" w:rsidP="00D304C5">
            <w:r w:rsidRPr="00EA7FC6">
              <w:lastRenderedPageBreak/>
              <w:t xml:space="preserve">Killen </w:t>
            </w:r>
            <w:r w:rsidR="000C1484">
              <w:t>(</w:t>
            </w:r>
            <w:r w:rsidRPr="00EA7FC6">
              <w:t>2004</w:t>
            </w:r>
            <w:r w:rsidR="000C1484">
              <w:t>)</w:t>
            </w:r>
          </w:p>
        </w:tc>
        <w:tc>
          <w:tcPr>
            <w:tcW w:w="870" w:type="dxa"/>
          </w:tcPr>
          <w:p w:rsidR="00D304C5" w:rsidRDefault="00D304C5" w:rsidP="00D304C5">
            <w:r>
              <w:t>RCT</w:t>
            </w:r>
          </w:p>
        </w:tc>
        <w:tc>
          <w:tcPr>
            <w:tcW w:w="1140" w:type="dxa"/>
          </w:tcPr>
          <w:p w:rsidR="00D304C5" w:rsidRDefault="00D304C5" w:rsidP="00D304C5">
            <w:r>
              <w:t>USA</w:t>
            </w:r>
          </w:p>
        </w:tc>
        <w:tc>
          <w:tcPr>
            <w:tcW w:w="900" w:type="dxa"/>
          </w:tcPr>
          <w:p w:rsidR="00D304C5" w:rsidRDefault="00D304C5" w:rsidP="00D304C5">
            <w:r>
              <w:t>N=211</w:t>
            </w:r>
          </w:p>
        </w:tc>
        <w:tc>
          <w:tcPr>
            <w:tcW w:w="3585" w:type="dxa"/>
          </w:tcPr>
          <w:p w:rsidR="00D304C5" w:rsidRDefault="00D304C5" w:rsidP="00D304C5">
            <w:r>
              <w:t xml:space="preserve">Adolescent smokers aged 15–18 years who smoked at least 10 CPD for at least 6 months. </w:t>
            </w:r>
          </w:p>
        </w:tc>
        <w:tc>
          <w:tcPr>
            <w:tcW w:w="3885" w:type="dxa"/>
          </w:tcPr>
          <w:p w:rsidR="00D304C5" w:rsidRPr="0038080C" w:rsidRDefault="00D304C5" w:rsidP="00C324F3">
            <w:pPr>
              <w:pStyle w:val="ListParagraph"/>
              <w:numPr>
                <w:ilvl w:val="0"/>
                <w:numId w:val="302"/>
              </w:numPr>
              <w:rPr>
                <w:rFonts w:eastAsia="Calibri" w:cs="Calibri"/>
              </w:rPr>
            </w:pPr>
            <w:r w:rsidRPr="0038080C">
              <w:rPr>
                <w:rFonts w:eastAsia="Calibri" w:cs="Calibri"/>
              </w:rPr>
              <w:t xml:space="preserve">Nicotine patch (21, 14, and 7 mg/d) plus bupropion (150 mg/d) </w:t>
            </w:r>
          </w:p>
          <w:p w:rsidR="00D304C5" w:rsidRPr="0038080C" w:rsidRDefault="00D304C5" w:rsidP="00C324F3">
            <w:pPr>
              <w:pStyle w:val="ListParagraph"/>
              <w:numPr>
                <w:ilvl w:val="0"/>
                <w:numId w:val="302"/>
              </w:numPr>
              <w:rPr>
                <w:rFonts w:eastAsia="Calibri" w:cs="Calibri"/>
              </w:rPr>
            </w:pPr>
            <w:r w:rsidRPr="0038080C">
              <w:rPr>
                <w:rFonts w:eastAsia="Calibri" w:cs="Calibri"/>
              </w:rPr>
              <w:t>nicotine patch (21, 14, and 7 mg/d) plus placebo for 8 w</w:t>
            </w:r>
            <w:r>
              <w:rPr>
                <w:rFonts w:eastAsia="Calibri" w:cs="Calibri"/>
              </w:rPr>
              <w:t>ee</w:t>
            </w:r>
            <w:r w:rsidRPr="0038080C">
              <w:rPr>
                <w:rFonts w:eastAsia="Calibri" w:cs="Calibri"/>
              </w:rPr>
              <w:t>k</w:t>
            </w:r>
            <w:r>
              <w:rPr>
                <w:rFonts w:eastAsia="Calibri" w:cs="Calibri"/>
              </w:rPr>
              <w:t>s</w:t>
            </w:r>
            <w:r w:rsidRPr="0038080C">
              <w:rPr>
                <w:rFonts w:eastAsia="Calibri" w:cs="Calibri"/>
              </w:rPr>
              <w:t xml:space="preserve"> </w:t>
            </w:r>
          </w:p>
        </w:tc>
        <w:tc>
          <w:tcPr>
            <w:tcW w:w="2314" w:type="dxa"/>
          </w:tcPr>
          <w:p w:rsidR="00D304C5" w:rsidRDefault="00D304C5" w:rsidP="00D304C5">
            <w:r w:rsidRPr="006B32B5">
              <w:rPr>
                <w:u w:val="single"/>
              </w:rPr>
              <w:t>Efficacy</w:t>
            </w:r>
            <w:r>
              <w:t xml:space="preserve">: </w:t>
            </w:r>
            <w:r w:rsidRPr="00EA7FC6">
              <w:t>7-d point prevalence abstinence at 26 w</w:t>
            </w:r>
            <w:r>
              <w:t>ee</w:t>
            </w:r>
            <w:r w:rsidRPr="00EA7FC6">
              <w:t>k</w:t>
            </w:r>
            <w:r>
              <w:t>s.</w:t>
            </w:r>
          </w:p>
          <w:p w:rsidR="00D304C5" w:rsidRDefault="00D304C5" w:rsidP="00D304C5">
            <w:r>
              <w:t>Self-reported abstinence</w:t>
            </w:r>
          </w:p>
          <w:p w:rsidR="00D304C5" w:rsidRDefault="00D304C5" w:rsidP="00D304C5">
            <w:r>
              <w:t>confirmed by salivary</w:t>
            </w:r>
          </w:p>
          <w:p w:rsidR="00D304C5" w:rsidRDefault="00D304C5" w:rsidP="00D304C5">
            <w:r>
              <w:t>cotinine levels &lt;20 ng/mL.</w:t>
            </w:r>
          </w:p>
          <w:p w:rsidR="00D304C5" w:rsidRDefault="00D304C5" w:rsidP="00D304C5"/>
          <w:p w:rsidR="00D304C5" w:rsidRPr="006B32B5" w:rsidRDefault="00D304C5" w:rsidP="00D304C5">
            <w:pPr>
              <w:rPr>
                <w:u w:val="single"/>
              </w:rPr>
            </w:pPr>
            <w:r w:rsidRPr="00590106">
              <w:rPr>
                <w:u w:val="single"/>
              </w:rPr>
              <w:t xml:space="preserve">Safety: </w:t>
            </w:r>
            <w:r w:rsidRPr="00590106">
              <w:t>Adverse events; 47 self-rated "severe" but none judged severe by the study physician.</w:t>
            </w:r>
          </w:p>
        </w:tc>
      </w:tr>
      <w:tr w:rsidR="00D304C5" w:rsidTr="00EE3A9D">
        <w:tc>
          <w:tcPr>
            <w:tcW w:w="1395" w:type="dxa"/>
          </w:tcPr>
          <w:p w:rsidR="00D304C5" w:rsidRDefault="00D304C5" w:rsidP="00D304C5">
            <w:r>
              <w:t xml:space="preserve">Niederhofer </w:t>
            </w:r>
            <w:r w:rsidR="000C1484">
              <w:t>(</w:t>
            </w:r>
            <w:r>
              <w:t>2004</w:t>
            </w:r>
            <w:r w:rsidR="000C1484">
              <w:t>)</w:t>
            </w:r>
          </w:p>
        </w:tc>
        <w:tc>
          <w:tcPr>
            <w:tcW w:w="870" w:type="dxa"/>
          </w:tcPr>
          <w:p w:rsidR="00D304C5" w:rsidRDefault="00D304C5" w:rsidP="00D304C5">
            <w:r>
              <w:t>RCT</w:t>
            </w:r>
          </w:p>
        </w:tc>
        <w:tc>
          <w:tcPr>
            <w:tcW w:w="1140" w:type="dxa"/>
          </w:tcPr>
          <w:p w:rsidR="00D304C5" w:rsidRDefault="00D304C5" w:rsidP="00D304C5">
            <w:r>
              <w:t>Austria</w:t>
            </w:r>
          </w:p>
        </w:tc>
        <w:tc>
          <w:tcPr>
            <w:tcW w:w="900" w:type="dxa"/>
          </w:tcPr>
          <w:p w:rsidR="00D304C5" w:rsidRDefault="00D304C5" w:rsidP="00D304C5">
            <w:r>
              <w:t>N=22</w:t>
            </w:r>
          </w:p>
        </w:tc>
        <w:tc>
          <w:tcPr>
            <w:tcW w:w="3585" w:type="dxa"/>
          </w:tcPr>
          <w:p w:rsidR="00D304C5" w:rsidRDefault="00D304C5" w:rsidP="00D304C5">
            <w:r>
              <w:t xml:space="preserve">Adolescent smokers aged 16–19 years. </w:t>
            </w:r>
          </w:p>
        </w:tc>
        <w:tc>
          <w:tcPr>
            <w:tcW w:w="3885" w:type="dxa"/>
          </w:tcPr>
          <w:p w:rsidR="00D304C5" w:rsidRPr="0038080C" w:rsidRDefault="00D304C5" w:rsidP="00C324F3">
            <w:pPr>
              <w:pStyle w:val="ListParagraph"/>
              <w:numPr>
                <w:ilvl w:val="0"/>
                <w:numId w:val="303"/>
              </w:numPr>
              <w:rPr>
                <w:rFonts w:eastAsia="Calibri" w:cs="Calibri"/>
              </w:rPr>
            </w:pPr>
            <w:r w:rsidRPr="0038080C">
              <w:rPr>
                <w:rFonts w:eastAsia="Calibri" w:cs="Calibri"/>
              </w:rPr>
              <w:t>Bupropion (150 mg/d)</w:t>
            </w:r>
          </w:p>
          <w:p w:rsidR="00D304C5" w:rsidRPr="0038080C" w:rsidRDefault="00D304C5" w:rsidP="00C324F3">
            <w:pPr>
              <w:pStyle w:val="ListParagraph"/>
              <w:numPr>
                <w:ilvl w:val="0"/>
                <w:numId w:val="303"/>
              </w:numPr>
              <w:rPr>
                <w:rFonts w:eastAsia="Calibri" w:cs="Calibri"/>
              </w:rPr>
            </w:pPr>
            <w:r w:rsidRPr="0038080C">
              <w:rPr>
                <w:rFonts w:eastAsia="Calibri" w:cs="Calibri"/>
              </w:rPr>
              <w:t xml:space="preserve">Placebo for 90 days </w:t>
            </w:r>
          </w:p>
        </w:tc>
        <w:tc>
          <w:tcPr>
            <w:tcW w:w="2314" w:type="dxa"/>
          </w:tcPr>
          <w:p w:rsidR="00D304C5" w:rsidRDefault="00D304C5" w:rsidP="00D304C5">
            <w:r w:rsidRPr="006B32B5">
              <w:rPr>
                <w:u w:val="single"/>
              </w:rPr>
              <w:t>Efficacy</w:t>
            </w:r>
            <w:r>
              <w:t xml:space="preserve">: </w:t>
            </w:r>
            <w:r w:rsidRPr="00EA7FC6">
              <w:t>Continuous abstinence at 90 d</w:t>
            </w:r>
            <w:r>
              <w:t>ays.</w:t>
            </w:r>
          </w:p>
          <w:p w:rsidR="00D304C5" w:rsidRDefault="00D304C5" w:rsidP="00D304C5">
            <w:r>
              <w:t>Self-reported abstinence</w:t>
            </w:r>
          </w:p>
          <w:p w:rsidR="00D304C5" w:rsidRDefault="00D304C5" w:rsidP="00D304C5">
            <w:r>
              <w:t>confirmed by breath CO</w:t>
            </w:r>
          </w:p>
          <w:p w:rsidR="00D304C5" w:rsidRDefault="00D304C5" w:rsidP="00D304C5">
            <w:r>
              <w:t>levels.</w:t>
            </w:r>
          </w:p>
          <w:p w:rsidR="00D304C5" w:rsidRDefault="00D304C5" w:rsidP="00D304C5"/>
          <w:p w:rsidR="00D304C5" w:rsidRPr="006B32B5" w:rsidRDefault="00D304C5" w:rsidP="00D304C5">
            <w:pPr>
              <w:rPr>
                <w:u w:val="single"/>
              </w:rPr>
            </w:pPr>
            <w:r w:rsidRPr="000158DF">
              <w:rPr>
                <w:u w:val="single"/>
              </w:rPr>
              <w:t>Safety</w:t>
            </w:r>
            <w:r w:rsidRPr="000158DF">
              <w:t>:</w:t>
            </w:r>
            <w:r>
              <w:t xml:space="preserve"> </w:t>
            </w:r>
            <w:r w:rsidR="000158DF" w:rsidRPr="009D4141">
              <w:t>Adverse</w:t>
            </w:r>
            <w:r w:rsidR="000158DF">
              <w:t xml:space="preserve"> events.</w:t>
            </w:r>
          </w:p>
        </w:tc>
      </w:tr>
      <w:tr w:rsidR="00D304C5" w:rsidTr="00EE3A9D">
        <w:tc>
          <w:tcPr>
            <w:tcW w:w="1395" w:type="dxa"/>
          </w:tcPr>
          <w:p w:rsidR="00D304C5" w:rsidRDefault="00D304C5" w:rsidP="00D304C5">
            <w:r>
              <w:t xml:space="preserve">Moolchan </w:t>
            </w:r>
            <w:r w:rsidR="000C1484">
              <w:t>(</w:t>
            </w:r>
            <w:r>
              <w:t>2005</w:t>
            </w:r>
            <w:r w:rsidR="000C1484">
              <w:t>)</w:t>
            </w:r>
          </w:p>
        </w:tc>
        <w:tc>
          <w:tcPr>
            <w:tcW w:w="870" w:type="dxa"/>
          </w:tcPr>
          <w:p w:rsidR="00D304C5" w:rsidRDefault="00D304C5" w:rsidP="00D304C5">
            <w:r>
              <w:t>RCT</w:t>
            </w:r>
          </w:p>
        </w:tc>
        <w:tc>
          <w:tcPr>
            <w:tcW w:w="1140" w:type="dxa"/>
          </w:tcPr>
          <w:p w:rsidR="00D304C5" w:rsidRDefault="00D304C5" w:rsidP="00D304C5">
            <w:r>
              <w:t>USA</w:t>
            </w:r>
          </w:p>
        </w:tc>
        <w:tc>
          <w:tcPr>
            <w:tcW w:w="900" w:type="dxa"/>
          </w:tcPr>
          <w:p w:rsidR="00D304C5" w:rsidRDefault="00D304C5" w:rsidP="00D304C5">
            <w:r>
              <w:t>N=120</w:t>
            </w:r>
          </w:p>
        </w:tc>
        <w:tc>
          <w:tcPr>
            <w:tcW w:w="3585" w:type="dxa"/>
          </w:tcPr>
          <w:p w:rsidR="00D304C5" w:rsidRDefault="00D304C5" w:rsidP="00D304C5">
            <w:r>
              <w:t xml:space="preserve">Adolescent smokers aged 13–17 years who smoked &gt;10 CPD for at least 6 months. </w:t>
            </w:r>
          </w:p>
        </w:tc>
        <w:tc>
          <w:tcPr>
            <w:tcW w:w="3885" w:type="dxa"/>
          </w:tcPr>
          <w:p w:rsidR="00D304C5" w:rsidRPr="0038080C" w:rsidRDefault="00D304C5" w:rsidP="00C324F3">
            <w:pPr>
              <w:pStyle w:val="ListParagraph"/>
              <w:numPr>
                <w:ilvl w:val="0"/>
                <w:numId w:val="304"/>
              </w:numPr>
              <w:rPr>
                <w:rFonts w:eastAsia="Calibri" w:cs="Calibri"/>
              </w:rPr>
            </w:pPr>
            <w:r w:rsidRPr="0038080C">
              <w:rPr>
                <w:rFonts w:eastAsia="Calibri" w:cs="Calibri"/>
              </w:rPr>
              <w:t xml:space="preserve">Nicotine patch (21 or 14 mg/d) or nicotine gum (2 or 4 mg) </w:t>
            </w:r>
          </w:p>
          <w:p w:rsidR="00D304C5" w:rsidRPr="0038080C" w:rsidRDefault="00D304C5" w:rsidP="00C324F3">
            <w:pPr>
              <w:pStyle w:val="ListParagraph"/>
              <w:numPr>
                <w:ilvl w:val="0"/>
                <w:numId w:val="304"/>
              </w:numPr>
              <w:rPr>
                <w:rFonts w:eastAsia="Calibri" w:cs="Calibri"/>
              </w:rPr>
            </w:pPr>
            <w:r w:rsidRPr="0038080C">
              <w:rPr>
                <w:rFonts w:eastAsia="Calibri" w:cs="Calibri"/>
              </w:rPr>
              <w:t>Placebo for 12 weeks</w:t>
            </w:r>
          </w:p>
        </w:tc>
        <w:tc>
          <w:tcPr>
            <w:tcW w:w="2314" w:type="dxa"/>
          </w:tcPr>
          <w:p w:rsidR="00D304C5" w:rsidRDefault="00D304C5" w:rsidP="00D304C5">
            <w:r w:rsidRPr="006B32B5">
              <w:rPr>
                <w:u w:val="single"/>
              </w:rPr>
              <w:t>Efficacy</w:t>
            </w:r>
            <w:r>
              <w:t xml:space="preserve">: </w:t>
            </w:r>
            <w:r w:rsidRPr="00EA7FC6">
              <w:t>Prolonged abstinence at 3 mo</w:t>
            </w:r>
            <w:r>
              <w:t>nths.</w:t>
            </w:r>
          </w:p>
          <w:p w:rsidR="00D304C5" w:rsidRDefault="00D304C5" w:rsidP="00D304C5">
            <w:r>
              <w:t>Self-reported abstinence</w:t>
            </w:r>
          </w:p>
          <w:p w:rsidR="00D304C5" w:rsidRDefault="00D304C5" w:rsidP="00D304C5">
            <w:r>
              <w:t>confirmed by expired-air</w:t>
            </w:r>
          </w:p>
          <w:p w:rsidR="00D304C5" w:rsidRDefault="00D304C5" w:rsidP="00D304C5">
            <w:r>
              <w:t>CO levels ≤6 ppm</w:t>
            </w:r>
          </w:p>
          <w:p w:rsidR="00D304C5" w:rsidRDefault="00D304C5" w:rsidP="00D304C5"/>
          <w:p w:rsidR="00D304C5" w:rsidRPr="006B32B5" w:rsidRDefault="00D304C5" w:rsidP="00D304C5">
            <w:pPr>
              <w:rPr>
                <w:u w:val="single"/>
              </w:rPr>
            </w:pPr>
            <w:r w:rsidRPr="006B32B5">
              <w:rPr>
                <w:u w:val="single"/>
              </w:rPr>
              <w:t>Safety</w:t>
            </w:r>
            <w:r>
              <w:t xml:space="preserve">: NR. </w:t>
            </w:r>
          </w:p>
        </w:tc>
      </w:tr>
      <w:tr w:rsidR="00D304C5" w:rsidTr="00EE3A9D">
        <w:tc>
          <w:tcPr>
            <w:tcW w:w="1395" w:type="dxa"/>
          </w:tcPr>
          <w:p w:rsidR="00D304C5" w:rsidRDefault="00D304C5" w:rsidP="00D304C5">
            <w:r w:rsidRPr="00EA7FC6">
              <w:t xml:space="preserve">Roddy </w:t>
            </w:r>
            <w:r w:rsidR="000C1484">
              <w:t>(</w:t>
            </w:r>
            <w:r w:rsidRPr="00EA7FC6">
              <w:t>2006</w:t>
            </w:r>
            <w:r w:rsidR="000C1484">
              <w:t>)</w:t>
            </w:r>
          </w:p>
        </w:tc>
        <w:tc>
          <w:tcPr>
            <w:tcW w:w="870" w:type="dxa"/>
          </w:tcPr>
          <w:p w:rsidR="00D304C5" w:rsidRDefault="00D304C5" w:rsidP="00D304C5">
            <w:r>
              <w:t>RCT</w:t>
            </w:r>
          </w:p>
        </w:tc>
        <w:tc>
          <w:tcPr>
            <w:tcW w:w="1140" w:type="dxa"/>
          </w:tcPr>
          <w:p w:rsidR="00D304C5" w:rsidRDefault="00D304C5" w:rsidP="00D304C5">
            <w:r>
              <w:t>UK</w:t>
            </w:r>
          </w:p>
        </w:tc>
        <w:tc>
          <w:tcPr>
            <w:tcW w:w="900" w:type="dxa"/>
          </w:tcPr>
          <w:p w:rsidR="00D304C5" w:rsidRDefault="00D304C5" w:rsidP="00D304C5">
            <w:r>
              <w:t>N=98</w:t>
            </w:r>
          </w:p>
        </w:tc>
        <w:tc>
          <w:tcPr>
            <w:tcW w:w="3585" w:type="dxa"/>
          </w:tcPr>
          <w:p w:rsidR="00D304C5" w:rsidRDefault="00D304C5" w:rsidP="00D304C5">
            <w:r>
              <w:t>Young smokers aged 14–20 years who were daily smokers.</w:t>
            </w:r>
          </w:p>
        </w:tc>
        <w:tc>
          <w:tcPr>
            <w:tcW w:w="3885" w:type="dxa"/>
          </w:tcPr>
          <w:p w:rsidR="00D304C5" w:rsidRPr="0038080C" w:rsidRDefault="00D304C5" w:rsidP="00C324F3">
            <w:pPr>
              <w:pStyle w:val="ListParagraph"/>
              <w:numPr>
                <w:ilvl w:val="0"/>
                <w:numId w:val="305"/>
              </w:numPr>
              <w:rPr>
                <w:rFonts w:eastAsia="Calibri" w:cs="Calibri"/>
              </w:rPr>
            </w:pPr>
            <w:r w:rsidRPr="0038080C">
              <w:rPr>
                <w:rFonts w:eastAsia="Calibri" w:cs="Calibri"/>
              </w:rPr>
              <w:t>Nicotine patch (15, 10, and 5 mg/d)</w:t>
            </w:r>
          </w:p>
          <w:p w:rsidR="00D304C5" w:rsidRPr="0038080C" w:rsidRDefault="00D304C5" w:rsidP="00C324F3">
            <w:pPr>
              <w:pStyle w:val="ListParagraph"/>
              <w:numPr>
                <w:ilvl w:val="0"/>
                <w:numId w:val="305"/>
              </w:numPr>
              <w:rPr>
                <w:rFonts w:eastAsia="Calibri" w:cs="Calibri"/>
              </w:rPr>
            </w:pPr>
            <w:r w:rsidRPr="0038080C">
              <w:rPr>
                <w:rFonts w:eastAsia="Calibri" w:cs="Calibri"/>
              </w:rPr>
              <w:t>Placebo for 6 weeks</w:t>
            </w:r>
          </w:p>
        </w:tc>
        <w:tc>
          <w:tcPr>
            <w:tcW w:w="2314" w:type="dxa"/>
          </w:tcPr>
          <w:p w:rsidR="00D304C5" w:rsidRDefault="00D304C5" w:rsidP="00D304C5">
            <w:r w:rsidRPr="006B32B5">
              <w:rPr>
                <w:u w:val="single"/>
              </w:rPr>
              <w:t>Efficacy</w:t>
            </w:r>
            <w:r>
              <w:t xml:space="preserve">: </w:t>
            </w:r>
            <w:r w:rsidRPr="00EA7FC6">
              <w:t>Point abstinence at 4 w</w:t>
            </w:r>
            <w:r>
              <w:t>ee</w:t>
            </w:r>
            <w:r w:rsidRPr="00EA7FC6">
              <w:t>k</w:t>
            </w:r>
            <w:r>
              <w:t>s.</w:t>
            </w:r>
          </w:p>
          <w:p w:rsidR="00D304C5" w:rsidRDefault="00D304C5" w:rsidP="00D304C5">
            <w:r>
              <w:t>Exhaled CO (levels not</w:t>
            </w:r>
          </w:p>
          <w:p w:rsidR="00D304C5" w:rsidRDefault="00D304C5" w:rsidP="00D304C5">
            <w:r>
              <w:t>specified)</w:t>
            </w:r>
          </w:p>
          <w:p w:rsidR="00D304C5" w:rsidRDefault="00D304C5" w:rsidP="00D304C5"/>
          <w:p w:rsidR="00D304C5" w:rsidRPr="006B32B5" w:rsidRDefault="00D304C5" w:rsidP="00D304C5">
            <w:pPr>
              <w:rPr>
                <w:u w:val="single"/>
              </w:rPr>
            </w:pPr>
            <w:r w:rsidRPr="009D4141">
              <w:rPr>
                <w:u w:val="single"/>
              </w:rPr>
              <w:lastRenderedPageBreak/>
              <w:t>Safety</w:t>
            </w:r>
            <w:r w:rsidRPr="009D4141">
              <w:t xml:space="preserve">: </w:t>
            </w:r>
            <w:r w:rsidR="009D4141" w:rsidRPr="009D4141">
              <w:t>Adverse</w:t>
            </w:r>
            <w:r w:rsidR="009D4141">
              <w:t xml:space="preserve"> events.</w:t>
            </w:r>
          </w:p>
        </w:tc>
      </w:tr>
      <w:tr w:rsidR="00D304C5" w:rsidTr="00EE3A9D">
        <w:tc>
          <w:tcPr>
            <w:tcW w:w="1395" w:type="dxa"/>
          </w:tcPr>
          <w:p w:rsidR="00D304C5" w:rsidRDefault="00D304C5" w:rsidP="00D304C5">
            <w:r>
              <w:lastRenderedPageBreak/>
              <w:t xml:space="preserve">Muramoto </w:t>
            </w:r>
            <w:r w:rsidR="000C1484">
              <w:t>(</w:t>
            </w:r>
            <w:r>
              <w:t>2007</w:t>
            </w:r>
            <w:r w:rsidR="000C1484">
              <w:t>)</w:t>
            </w:r>
          </w:p>
        </w:tc>
        <w:tc>
          <w:tcPr>
            <w:tcW w:w="870" w:type="dxa"/>
          </w:tcPr>
          <w:p w:rsidR="00D304C5" w:rsidRDefault="00D304C5" w:rsidP="00D304C5">
            <w:r>
              <w:t>RCT</w:t>
            </w:r>
          </w:p>
        </w:tc>
        <w:tc>
          <w:tcPr>
            <w:tcW w:w="1140" w:type="dxa"/>
          </w:tcPr>
          <w:p w:rsidR="00D304C5" w:rsidRDefault="00D304C5" w:rsidP="00D304C5">
            <w:r>
              <w:t>USA</w:t>
            </w:r>
          </w:p>
        </w:tc>
        <w:tc>
          <w:tcPr>
            <w:tcW w:w="900" w:type="dxa"/>
          </w:tcPr>
          <w:p w:rsidR="00D304C5" w:rsidRDefault="00D304C5" w:rsidP="00D304C5">
            <w:r>
              <w:t>N=207</w:t>
            </w:r>
          </w:p>
        </w:tc>
        <w:tc>
          <w:tcPr>
            <w:tcW w:w="3585" w:type="dxa"/>
          </w:tcPr>
          <w:p w:rsidR="00D304C5" w:rsidRDefault="00D304C5" w:rsidP="00D304C5">
            <w:r>
              <w:t xml:space="preserve">Adolescent smokers aged 14–17 years who smoked six or more CPD. </w:t>
            </w:r>
          </w:p>
        </w:tc>
        <w:tc>
          <w:tcPr>
            <w:tcW w:w="3885" w:type="dxa"/>
          </w:tcPr>
          <w:p w:rsidR="00D304C5" w:rsidRPr="0038080C" w:rsidRDefault="00D304C5" w:rsidP="00C324F3">
            <w:pPr>
              <w:pStyle w:val="ListParagraph"/>
              <w:numPr>
                <w:ilvl w:val="0"/>
                <w:numId w:val="306"/>
              </w:numPr>
              <w:rPr>
                <w:rFonts w:eastAsia="Calibri" w:cs="Calibri"/>
              </w:rPr>
            </w:pPr>
            <w:r w:rsidRPr="0038080C">
              <w:rPr>
                <w:rFonts w:eastAsia="Calibri" w:cs="Calibri"/>
              </w:rPr>
              <w:t xml:space="preserve">Bupropion SR (300 mg/d) </w:t>
            </w:r>
          </w:p>
          <w:p w:rsidR="00D304C5" w:rsidRPr="0038080C" w:rsidRDefault="00D304C5" w:rsidP="00C324F3">
            <w:pPr>
              <w:pStyle w:val="ListParagraph"/>
              <w:numPr>
                <w:ilvl w:val="0"/>
                <w:numId w:val="306"/>
              </w:numPr>
              <w:rPr>
                <w:rFonts w:eastAsia="Calibri" w:cs="Calibri"/>
              </w:rPr>
            </w:pPr>
            <w:r w:rsidRPr="0038080C">
              <w:rPr>
                <w:rFonts w:eastAsia="Calibri" w:cs="Calibri"/>
              </w:rPr>
              <w:t>Placebo for 6 weeks</w:t>
            </w:r>
          </w:p>
        </w:tc>
        <w:tc>
          <w:tcPr>
            <w:tcW w:w="2314" w:type="dxa"/>
          </w:tcPr>
          <w:p w:rsidR="00D304C5" w:rsidRDefault="00D304C5" w:rsidP="00D304C5">
            <w:r w:rsidRPr="006B32B5">
              <w:rPr>
                <w:u w:val="single"/>
              </w:rPr>
              <w:t>Efficacy</w:t>
            </w:r>
            <w:r>
              <w:t>: 7-d point prevalence abstinence at 6-week confirmed by</w:t>
            </w:r>
          </w:p>
          <w:p w:rsidR="00D304C5" w:rsidRDefault="00D304C5" w:rsidP="00D304C5">
            <w:r>
              <w:t>urinary cotinine levels.</w:t>
            </w:r>
          </w:p>
          <w:p w:rsidR="00D304C5" w:rsidRDefault="00D304C5" w:rsidP="00D304C5">
            <w:r>
              <w:t>Self-reported abstinence</w:t>
            </w:r>
          </w:p>
          <w:p w:rsidR="00D304C5" w:rsidRDefault="00D304C5" w:rsidP="00D304C5">
            <w:r>
              <w:t>confirmed by exhaled CO</w:t>
            </w:r>
          </w:p>
          <w:p w:rsidR="00D304C5" w:rsidRDefault="00D304C5" w:rsidP="00D304C5">
            <w:r>
              <w:t>levels ≤10 ppm or urinary cotinine levels ≤50 μg/L.</w:t>
            </w:r>
          </w:p>
          <w:p w:rsidR="00D304C5" w:rsidRDefault="00D304C5" w:rsidP="00D304C5"/>
          <w:p w:rsidR="00D304C5" w:rsidRPr="006B32B5" w:rsidRDefault="00D304C5" w:rsidP="00D304C5">
            <w:pPr>
              <w:rPr>
                <w:u w:val="single"/>
              </w:rPr>
            </w:pPr>
            <w:r w:rsidRPr="006B32B5">
              <w:rPr>
                <w:u w:val="single"/>
              </w:rPr>
              <w:t>Safety</w:t>
            </w:r>
            <w:r>
              <w:t>: Adverse events including headache, cough, throat symptom, sleep disturbance, nausea reported. 8 participants in treatment group discontinued treatment for various adverse events. 2 "serious" and 1 "medically important"</w:t>
            </w:r>
          </w:p>
        </w:tc>
      </w:tr>
      <w:tr w:rsidR="00D304C5" w:rsidTr="00EE3A9D">
        <w:tc>
          <w:tcPr>
            <w:tcW w:w="1395" w:type="dxa"/>
          </w:tcPr>
          <w:p w:rsidR="00D304C5" w:rsidRDefault="00D304C5" w:rsidP="00D304C5">
            <w:r>
              <w:t xml:space="preserve">Rubinstein </w:t>
            </w:r>
            <w:r w:rsidR="000C1484">
              <w:t>(</w:t>
            </w:r>
            <w:r>
              <w:t>2008</w:t>
            </w:r>
            <w:r w:rsidR="000C1484">
              <w:t>)</w:t>
            </w:r>
          </w:p>
        </w:tc>
        <w:tc>
          <w:tcPr>
            <w:tcW w:w="870" w:type="dxa"/>
          </w:tcPr>
          <w:p w:rsidR="00D304C5" w:rsidRDefault="00D304C5" w:rsidP="00D304C5">
            <w:r>
              <w:t>RCT</w:t>
            </w:r>
          </w:p>
        </w:tc>
        <w:tc>
          <w:tcPr>
            <w:tcW w:w="1140" w:type="dxa"/>
          </w:tcPr>
          <w:p w:rsidR="00D304C5" w:rsidRDefault="00D304C5" w:rsidP="00D304C5">
            <w:r>
              <w:t>USA</w:t>
            </w:r>
          </w:p>
        </w:tc>
        <w:tc>
          <w:tcPr>
            <w:tcW w:w="900" w:type="dxa"/>
          </w:tcPr>
          <w:p w:rsidR="00D304C5" w:rsidRDefault="00D304C5" w:rsidP="00D304C5">
            <w:r>
              <w:t>N=39</w:t>
            </w:r>
          </w:p>
        </w:tc>
        <w:tc>
          <w:tcPr>
            <w:tcW w:w="3585" w:type="dxa"/>
          </w:tcPr>
          <w:p w:rsidR="00D304C5" w:rsidRDefault="00D304C5" w:rsidP="00D304C5">
            <w:r>
              <w:t>Adolescent smokers aged 15–18 years who smoked five or more CPD for at least 6 months.</w:t>
            </w:r>
          </w:p>
        </w:tc>
        <w:tc>
          <w:tcPr>
            <w:tcW w:w="3885" w:type="dxa"/>
          </w:tcPr>
          <w:p w:rsidR="00D304C5" w:rsidRPr="0038080C" w:rsidRDefault="00D304C5" w:rsidP="00C324F3">
            <w:pPr>
              <w:pStyle w:val="ListParagraph"/>
              <w:numPr>
                <w:ilvl w:val="0"/>
                <w:numId w:val="307"/>
              </w:numPr>
              <w:rPr>
                <w:rFonts w:eastAsia="Calibri" w:cs="Calibri"/>
              </w:rPr>
            </w:pPr>
            <w:r w:rsidRPr="0038080C">
              <w:rPr>
                <w:rFonts w:eastAsia="Calibri" w:cs="Calibri"/>
              </w:rPr>
              <w:t xml:space="preserve">Nicotine nasal spray </w:t>
            </w:r>
          </w:p>
          <w:p w:rsidR="00D304C5" w:rsidRPr="0038080C" w:rsidRDefault="00D304C5" w:rsidP="00C324F3">
            <w:pPr>
              <w:pStyle w:val="ListParagraph"/>
              <w:numPr>
                <w:ilvl w:val="0"/>
                <w:numId w:val="307"/>
              </w:numPr>
              <w:rPr>
                <w:rFonts w:eastAsia="Calibri" w:cs="Calibri"/>
              </w:rPr>
            </w:pPr>
            <w:r w:rsidRPr="0038080C">
              <w:rPr>
                <w:rFonts w:eastAsia="Calibri" w:cs="Calibri"/>
              </w:rPr>
              <w:t xml:space="preserve">Counselling only for 12 week </w:t>
            </w:r>
          </w:p>
        </w:tc>
        <w:tc>
          <w:tcPr>
            <w:tcW w:w="2314" w:type="dxa"/>
          </w:tcPr>
          <w:p w:rsidR="00D304C5" w:rsidRDefault="00D304C5" w:rsidP="00D304C5">
            <w:r w:rsidRPr="006B32B5">
              <w:rPr>
                <w:u w:val="single"/>
              </w:rPr>
              <w:t>Efficacy</w:t>
            </w:r>
            <w:r>
              <w:t xml:space="preserve">: </w:t>
            </w:r>
            <w:r w:rsidRPr="00EA7FC6">
              <w:t>7-d point prevalence abstinence at 8 w</w:t>
            </w:r>
            <w:r>
              <w:t>ee</w:t>
            </w:r>
            <w:r w:rsidRPr="00EA7FC6">
              <w:t>k</w:t>
            </w:r>
            <w:r>
              <w:t>s.</w:t>
            </w:r>
          </w:p>
          <w:p w:rsidR="00D304C5" w:rsidRDefault="00D304C5" w:rsidP="00D304C5">
            <w:r>
              <w:t>Self-reported abstinence</w:t>
            </w:r>
          </w:p>
          <w:p w:rsidR="00D304C5" w:rsidRDefault="00D304C5" w:rsidP="00D304C5">
            <w:r>
              <w:t>validated by expired-air CO levels &lt;4 ppm.</w:t>
            </w:r>
          </w:p>
          <w:p w:rsidR="00D304C5" w:rsidRDefault="00D304C5" w:rsidP="00D304C5"/>
          <w:p w:rsidR="00D304C5" w:rsidRPr="006B32B5" w:rsidRDefault="00D304C5" w:rsidP="00D304C5">
            <w:pPr>
              <w:rPr>
                <w:u w:val="single"/>
              </w:rPr>
            </w:pPr>
            <w:r w:rsidRPr="006B32B5">
              <w:rPr>
                <w:u w:val="single"/>
              </w:rPr>
              <w:t>Safety</w:t>
            </w:r>
            <w:r>
              <w:t xml:space="preserve">: </w:t>
            </w:r>
          </w:p>
        </w:tc>
      </w:tr>
      <w:tr w:rsidR="00D304C5" w:rsidTr="00EE3A9D">
        <w:tc>
          <w:tcPr>
            <w:tcW w:w="1395" w:type="dxa"/>
          </w:tcPr>
          <w:p w:rsidR="00D304C5" w:rsidRDefault="00D304C5" w:rsidP="00D304C5">
            <w:r w:rsidRPr="00EA7FC6">
              <w:t xml:space="preserve">Gray </w:t>
            </w:r>
            <w:r w:rsidR="000C1484">
              <w:t>(</w:t>
            </w:r>
            <w:r w:rsidRPr="00EA7FC6">
              <w:t>2011</w:t>
            </w:r>
            <w:r w:rsidR="000C1484">
              <w:t>)</w:t>
            </w:r>
          </w:p>
        </w:tc>
        <w:tc>
          <w:tcPr>
            <w:tcW w:w="870" w:type="dxa"/>
          </w:tcPr>
          <w:p w:rsidR="00D304C5" w:rsidRDefault="00D304C5" w:rsidP="00D304C5">
            <w:r>
              <w:t>RCT</w:t>
            </w:r>
          </w:p>
        </w:tc>
        <w:tc>
          <w:tcPr>
            <w:tcW w:w="1140" w:type="dxa"/>
          </w:tcPr>
          <w:p w:rsidR="00D304C5" w:rsidRDefault="00D304C5" w:rsidP="00D304C5">
            <w:r>
              <w:t>USA</w:t>
            </w:r>
          </w:p>
        </w:tc>
        <w:tc>
          <w:tcPr>
            <w:tcW w:w="900" w:type="dxa"/>
          </w:tcPr>
          <w:p w:rsidR="00D304C5" w:rsidRDefault="00D304C5" w:rsidP="00D304C5">
            <w:r>
              <w:t>N=134</w:t>
            </w:r>
          </w:p>
        </w:tc>
        <w:tc>
          <w:tcPr>
            <w:tcW w:w="3585" w:type="dxa"/>
          </w:tcPr>
          <w:p w:rsidR="00D304C5" w:rsidRDefault="00D304C5" w:rsidP="00D304C5">
            <w:r>
              <w:t>Adolescent smokers aged 12–21 years who smoked at least five CPD.</w:t>
            </w:r>
          </w:p>
        </w:tc>
        <w:tc>
          <w:tcPr>
            <w:tcW w:w="3885" w:type="dxa"/>
          </w:tcPr>
          <w:p w:rsidR="00D304C5" w:rsidRPr="0038080C" w:rsidRDefault="00D304C5" w:rsidP="00C324F3">
            <w:pPr>
              <w:pStyle w:val="ListParagraph"/>
              <w:numPr>
                <w:ilvl w:val="0"/>
                <w:numId w:val="308"/>
              </w:numPr>
              <w:rPr>
                <w:rFonts w:eastAsia="Calibri" w:cs="Calibri"/>
              </w:rPr>
            </w:pPr>
            <w:r w:rsidRPr="0038080C">
              <w:rPr>
                <w:rFonts w:eastAsia="Calibri" w:cs="Calibri"/>
              </w:rPr>
              <w:t xml:space="preserve">Bupropion SR (300 mg/d) with CM and Bupropion SR with non-CM  </w:t>
            </w:r>
          </w:p>
          <w:p w:rsidR="00D304C5" w:rsidRPr="0038080C" w:rsidRDefault="00D304C5" w:rsidP="00C324F3">
            <w:pPr>
              <w:pStyle w:val="ListParagraph"/>
              <w:numPr>
                <w:ilvl w:val="0"/>
                <w:numId w:val="308"/>
              </w:numPr>
              <w:rPr>
                <w:rFonts w:eastAsia="Calibri" w:cs="Calibri"/>
              </w:rPr>
            </w:pPr>
            <w:r w:rsidRPr="0038080C">
              <w:rPr>
                <w:rFonts w:eastAsia="Calibri" w:cs="Calibri"/>
              </w:rPr>
              <w:t xml:space="preserve">Placebo with CM and placebo with non-CM for 6 weeks </w:t>
            </w:r>
          </w:p>
        </w:tc>
        <w:tc>
          <w:tcPr>
            <w:tcW w:w="2314" w:type="dxa"/>
          </w:tcPr>
          <w:p w:rsidR="00D304C5" w:rsidRDefault="00D304C5" w:rsidP="00D304C5">
            <w:r w:rsidRPr="006B32B5">
              <w:rPr>
                <w:u w:val="single"/>
              </w:rPr>
              <w:t>Efficacy</w:t>
            </w:r>
            <w:r>
              <w:t xml:space="preserve">: </w:t>
            </w:r>
            <w:r w:rsidRPr="00EA7FC6">
              <w:t>7-d point prevalence abstinence at 12 w</w:t>
            </w:r>
            <w:r>
              <w:t>ee</w:t>
            </w:r>
            <w:r w:rsidRPr="00EA7FC6">
              <w:t>k</w:t>
            </w:r>
            <w:r>
              <w:t>.</w:t>
            </w:r>
          </w:p>
          <w:p w:rsidR="00D304C5" w:rsidRDefault="00D304C5" w:rsidP="00D304C5">
            <w:r>
              <w:t>Self-reported abstinence</w:t>
            </w:r>
          </w:p>
          <w:p w:rsidR="00D304C5" w:rsidRDefault="00D304C5" w:rsidP="00D304C5">
            <w:r>
              <w:t>confirmed by urinary</w:t>
            </w:r>
          </w:p>
          <w:p w:rsidR="00D304C5" w:rsidRDefault="00D304C5" w:rsidP="00D304C5">
            <w:r>
              <w:t>cotinine ≤100 ng/mL.</w:t>
            </w:r>
          </w:p>
          <w:p w:rsidR="00D304C5" w:rsidRDefault="00D304C5" w:rsidP="00D304C5"/>
          <w:p w:rsidR="00D304C5" w:rsidRPr="006B32B5" w:rsidRDefault="00D304C5" w:rsidP="00D304C5">
            <w:pPr>
              <w:rPr>
                <w:u w:val="single"/>
              </w:rPr>
            </w:pPr>
            <w:r w:rsidRPr="008A028E">
              <w:rPr>
                <w:u w:val="single"/>
              </w:rPr>
              <w:lastRenderedPageBreak/>
              <w:t>Safety</w:t>
            </w:r>
            <w:r w:rsidRPr="008A028E">
              <w:t>:</w:t>
            </w:r>
            <w:r>
              <w:t xml:space="preserve"> </w:t>
            </w:r>
            <w:r w:rsidR="008A028E">
              <w:t xml:space="preserve">Adverse events were assessed during weekly medication management visits, </w:t>
            </w:r>
            <w:r w:rsidR="008A028E" w:rsidRPr="008A028E">
              <w:t>electrocardiograms were per- formed at Week 4 of treatment</w:t>
            </w:r>
            <w:r w:rsidR="008A028E">
              <w:t>.</w:t>
            </w:r>
          </w:p>
        </w:tc>
      </w:tr>
      <w:tr w:rsidR="00D304C5" w:rsidTr="00EE3A9D">
        <w:tc>
          <w:tcPr>
            <w:tcW w:w="1395" w:type="dxa"/>
          </w:tcPr>
          <w:p w:rsidR="00D304C5" w:rsidRDefault="00D304C5" w:rsidP="00D304C5">
            <w:r w:rsidRPr="00EA7FC6">
              <w:lastRenderedPageBreak/>
              <w:t xml:space="preserve">Scherphof </w:t>
            </w:r>
            <w:r w:rsidR="000C1484">
              <w:t>(</w:t>
            </w:r>
            <w:r w:rsidRPr="00EA7FC6">
              <w:t>2014</w:t>
            </w:r>
            <w:r w:rsidR="000C1484">
              <w:t>)</w:t>
            </w:r>
          </w:p>
        </w:tc>
        <w:tc>
          <w:tcPr>
            <w:tcW w:w="870" w:type="dxa"/>
          </w:tcPr>
          <w:p w:rsidR="00D304C5" w:rsidRDefault="00D304C5" w:rsidP="00D304C5">
            <w:r>
              <w:t>RCT</w:t>
            </w:r>
          </w:p>
        </w:tc>
        <w:tc>
          <w:tcPr>
            <w:tcW w:w="1140" w:type="dxa"/>
          </w:tcPr>
          <w:p w:rsidR="00D304C5" w:rsidRDefault="00D304C5" w:rsidP="00D304C5">
            <w:r>
              <w:t>Netherlands</w:t>
            </w:r>
          </w:p>
        </w:tc>
        <w:tc>
          <w:tcPr>
            <w:tcW w:w="900" w:type="dxa"/>
          </w:tcPr>
          <w:p w:rsidR="00D304C5" w:rsidRDefault="00D304C5" w:rsidP="00D304C5">
            <w:r>
              <w:t>N=257</w:t>
            </w:r>
          </w:p>
        </w:tc>
        <w:tc>
          <w:tcPr>
            <w:tcW w:w="3585" w:type="dxa"/>
          </w:tcPr>
          <w:p w:rsidR="00D304C5" w:rsidRDefault="00D304C5" w:rsidP="00D304C5">
            <w:r>
              <w:t>Adolescent smokers aged 12–18 years who smoked at least seven CPD.</w:t>
            </w:r>
          </w:p>
        </w:tc>
        <w:tc>
          <w:tcPr>
            <w:tcW w:w="3885" w:type="dxa"/>
          </w:tcPr>
          <w:p w:rsidR="00D304C5" w:rsidRPr="0038080C" w:rsidRDefault="00D304C5" w:rsidP="00C324F3">
            <w:pPr>
              <w:pStyle w:val="ListParagraph"/>
              <w:numPr>
                <w:ilvl w:val="0"/>
                <w:numId w:val="309"/>
              </w:numPr>
              <w:rPr>
                <w:rFonts w:eastAsia="Calibri" w:cs="Calibri"/>
              </w:rPr>
            </w:pPr>
            <w:r w:rsidRPr="0038080C">
              <w:rPr>
                <w:rFonts w:eastAsia="Calibri" w:cs="Calibri"/>
              </w:rPr>
              <w:t xml:space="preserve">Nicotine patch </w:t>
            </w:r>
          </w:p>
          <w:p w:rsidR="00D304C5" w:rsidRPr="0038080C" w:rsidRDefault="00D304C5" w:rsidP="00C324F3">
            <w:pPr>
              <w:pStyle w:val="ListParagraph"/>
              <w:numPr>
                <w:ilvl w:val="0"/>
                <w:numId w:val="309"/>
              </w:numPr>
              <w:rPr>
                <w:rFonts w:eastAsia="Calibri" w:cs="Calibri"/>
              </w:rPr>
            </w:pPr>
            <w:r w:rsidRPr="0038080C">
              <w:rPr>
                <w:rFonts w:eastAsia="Calibri" w:cs="Calibri"/>
              </w:rPr>
              <w:t>Placebo patch for 6 or 9 weeks</w:t>
            </w:r>
          </w:p>
        </w:tc>
        <w:tc>
          <w:tcPr>
            <w:tcW w:w="2314" w:type="dxa"/>
          </w:tcPr>
          <w:p w:rsidR="00D304C5" w:rsidRDefault="00D304C5" w:rsidP="00D304C5">
            <w:r w:rsidRPr="006B32B5">
              <w:rPr>
                <w:u w:val="single"/>
              </w:rPr>
              <w:t>Efficacy</w:t>
            </w:r>
            <w:r>
              <w:t xml:space="preserve">: </w:t>
            </w:r>
            <w:r w:rsidRPr="00EA7FC6">
              <w:t>30-d point prevalence abstinence at 6 mo</w:t>
            </w:r>
            <w:r>
              <w:t>nths.</w:t>
            </w:r>
          </w:p>
          <w:p w:rsidR="00D304C5" w:rsidRDefault="00D304C5" w:rsidP="00D304C5">
            <w:r>
              <w:t>Self-reported abstinence</w:t>
            </w:r>
          </w:p>
          <w:p w:rsidR="00D304C5" w:rsidRDefault="00D304C5" w:rsidP="00D304C5">
            <w:r>
              <w:t>validated by salivary</w:t>
            </w:r>
          </w:p>
          <w:p w:rsidR="00D304C5" w:rsidRDefault="00D304C5" w:rsidP="00D304C5">
            <w:r>
              <w:t>cotinine levels ≤1 ng/mL.</w:t>
            </w:r>
          </w:p>
          <w:p w:rsidR="00D304C5" w:rsidRDefault="00D304C5" w:rsidP="00D304C5"/>
          <w:p w:rsidR="00D304C5" w:rsidRPr="006B32B5" w:rsidRDefault="00D304C5" w:rsidP="00D304C5">
            <w:pPr>
              <w:rPr>
                <w:u w:val="single"/>
              </w:rPr>
            </w:pPr>
            <w:r w:rsidRPr="006B32B5">
              <w:rPr>
                <w:u w:val="single"/>
              </w:rPr>
              <w:t>Safety</w:t>
            </w:r>
            <w:r>
              <w:t xml:space="preserve">: </w:t>
            </w:r>
            <w:r w:rsidRPr="006B51F5">
              <w:t>Adverse events including tiredness, cough, insomnia, itchiness and headache</w:t>
            </w:r>
            <w:r>
              <w:t>.</w:t>
            </w:r>
          </w:p>
        </w:tc>
      </w:tr>
    </w:tbl>
    <w:p w:rsidR="00E36F90" w:rsidRDefault="00896A15" w:rsidP="00810A22">
      <w:pPr>
        <w:pStyle w:val="TableFooter"/>
      </w:pPr>
      <w:r>
        <w:t>Source:</w:t>
      </w:r>
      <w:r w:rsidRPr="00FA5D56">
        <w:t xml:space="preserve"> </w:t>
      </w:r>
      <w:r>
        <w:t xml:space="preserve">Myung et al. (2019). </w:t>
      </w:r>
    </w:p>
    <w:p w:rsidR="00896A15" w:rsidRDefault="00810A22" w:rsidP="00810A22">
      <w:pPr>
        <w:pStyle w:val="TableFooter"/>
      </w:pPr>
      <w:r>
        <w:t xml:space="preserve">Abbreviations: NR= not reported; </w:t>
      </w:r>
      <w:r w:rsidRPr="009B042A">
        <w:t xml:space="preserve">PPA= point prevalence smoking abstinence; </w:t>
      </w:r>
      <w:r>
        <w:t xml:space="preserve">CAR= continuous abstinence rate; </w:t>
      </w:r>
      <w:r w:rsidRPr="009B042A">
        <w:t xml:space="preserve">RCT= randomised controlled trial; TQD= target quit date;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xml:space="preserve">; CPD= cigarette per day; AEs= adverse events; SAEs= serious adverse events; </w:t>
      </w:r>
      <w:r w:rsidR="00896A15" w:rsidRPr="0038080C">
        <w:t>CM = contingency management; SR = sustained release</w:t>
      </w:r>
      <w:r>
        <w:t xml:space="preserve">. </w:t>
      </w:r>
    </w:p>
    <w:p w:rsidR="000A5F4F" w:rsidRDefault="000A5F4F" w:rsidP="000A5F4F">
      <w:pPr>
        <w:pStyle w:val="Caption"/>
        <w:keepNext/>
      </w:pPr>
      <w:bookmarkStart w:id="399" w:name="_Ref62378992"/>
      <w:r>
        <w:t xml:space="preserve">Table </w:t>
      </w:r>
      <w:r w:rsidR="003C4A1C">
        <w:rPr>
          <w:noProof/>
        </w:rPr>
        <w:t>168</w:t>
      </w:r>
      <w:bookmarkEnd w:id="399"/>
      <w:r>
        <w:t xml:space="preserve">: </w:t>
      </w:r>
      <w:r w:rsidRPr="001116FC">
        <w:t>Characteristics of included studies in Selph et al. 2019, evaluating pharmacotherapy for smoking cessation in adolescents</w:t>
      </w:r>
    </w:p>
    <w:tbl>
      <w:tblPr>
        <w:tblStyle w:val="TableGrid"/>
        <w:tblW w:w="14089" w:type="dxa"/>
        <w:tblLayout w:type="fixed"/>
        <w:tblLook w:val="04A0" w:firstRow="1" w:lastRow="0" w:firstColumn="1" w:lastColumn="0" w:noHBand="0" w:noVBand="1"/>
      </w:tblPr>
      <w:tblGrid>
        <w:gridCol w:w="1395"/>
        <w:gridCol w:w="870"/>
        <w:gridCol w:w="1140"/>
        <w:gridCol w:w="900"/>
        <w:gridCol w:w="3585"/>
        <w:gridCol w:w="3885"/>
        <w:gridCol w:w="2314"/>
      </w:tblGrid>
      <w:tr w:rsidR="000A5F4F" w:rsidTr="00FB500F">
        <w:tc>
          <w:tcPr>
            <w:tcW w:w="1395" w:type="dxa"/>
            <w:shd w:val="clear" w:color="auto" w:fill="D9D9D9" w:themeFill="background1" w:themeFillShade="D9"/>
          </w:tcPr>
          <w:p w:rsidR="000A5F4F" w:rsidRDefault="000A5F4F" w:rsidP="00FB500F">
            <w:r w:rsidRPr="781E95A1">
              <w:rPr>
                <w:rFonts w:eastAsia="Calibri" w:cs="Calibri"/>
                <w:b/>
                <w:bCs/>
              </w:rPr>
              <w:t>Study</w:t>
            </w:r>
          </w:p>
        </w:tc>
        <w:tc>
          <w:tcPr>
            <w:tcW w:w="870" w:type="dxa"/>
            <w:shd w:val="clear" w:color="auto" w:fill="D9D9D9" w:themeFill="background1" w:themeFillShade="D9"/>
          </w:tcPr>
          <w:p w:rsidR="000A5F4F" w:rsidRDefault="000A5F4F" w:rsidP="00FB500F">
            <w:pPr>
              <w:jc w:val="center"/>
            </w:pPr>
            <w:r w:rsidRPr="781E95A1">
              <w:rPr>
                <w:rFonts w:eastAsia="Calibri" w:cs="Calibri"/>
                <w:b/>
                <w:bCs/>
                <w:color w:val="000000" w:themeColor="text1"/>
              </w:rPr>
              <w:t>Study type</w:t>
            </w:r>
          </w:p>
        </w:tc>
        <w:tc>
          <w:tcPr>
            <w:tcW w:w="1140" w:type="dxa"/>
            <w:shd w:val="clear" w:color="auto" w:fill="D9D9D9" w:themeFill="background1" w:themeFillShade="D9"/>
          </w:tcPr>
          <w:p w:rsidR="000A5F4F" w:rsidRDefault="000A5F4F" w:rsidP="00FB500F">
            <w:pPr>
              <w:jc w:val="center"/>
            </w:pPr>
            <w:r w:rsidRPr="781E95A1">
              <w:rPr>
                <w:rFonts w:eastAsia="Calibri" w:cs="Calibri"/>
                <w:b/>
                <w:bCs/>
                <w:color w:val="000000" w:themeColor="text1"/>
              </w:rPr>
              <w:t>Countries</w:t>
            </w:r>
          </w:p>
        </w:tc>
        <w:tc>
          <w:tcPr>
            <w:tcW w:w="900" w:type="dxa"/>
            <w:shd w:val="clear" w:color="auto" w:fill="D9D9D9" w:themeFill="background1" w:themeFillShade="D9"/>
          </w:tcPr>
          <w:p w:rsidR="000A5F4F" w:rsidRDefault="000A5F4F" w:rsidP="00FB500F">
            <w:pPr>
              <w:jc w:val="center"/>
            </w:pPr>
            <w:r w:rsidRPr="781E95A1">
              <w:rPr>
                <w:rFonts w:eastAsia="Calibri" w:cs="Calibri"/>
                <w:b/>
                <w:bCs/>
                <w:color w:val="000000" w:themeColor="text1"/>
              </w:rPr>
              <w:t>N</w:t>
            </w:r>
          </w:p>
        </w:tc>
        <w:tc>
          <w:tcPr>
            <w:tcW w:w="3585" w:type="dxa"/>
            <w:shd w:val="clear" w:color="auto" w:fill="D9D9D9" w:themeFill="background1" w:themeFillShade="D9"/>
          </w:tcPr>
          <w:p w:rsidR="000A5F4F" w:rsidRDefault="000A5F4F" w:rsidP="00FB500F">
            <w:pPr>
              <w:jc w:val="center"/>
            </w:pPr>
            <w:r w:rsidRPr="781E95A1">
              <w:rPr>
                <w:rFonts w:eastAsia="Calibri" w:cs="Calibri"/>
                <w:b/>
                <w:bCs/>
                <w:color w:val="000000" w:themeColor="text1"/>
              </w:rPr>
              <w:t>Population</w:t>
            </w:r>
          </w:p>
        </w:tc>
        <w:tc>
          <w:tcPr>
            <w:tcW w:w="3885" w:type="dxa"/>
            <w:shd w:val="clear" w:color="auto" w:fill="D9D9D9" w:themeFill="background1" w:themeFillShade="D9"/>
          </w:tcPr>
          <w:p w:rsidR="000A5F4F" w:rsidRDefault="000A5F4F" w:rsidP="00FB500F">
            <w:pPr>
              <w:jc w:val="center"/>
            </w:pPr>
            <w:r w:rsidRPr="781E95A1">
              <w:rPr>
                <w:rFonts w:eastAsia="Calibri" w:cs="Calibri"/>
                <w:b/>
                <w:bCs/>
                <w:color w:val="000000" w:themeColor="text1"/>
              </w:rPr>
              <w:t>Intervention and comparator</w:t>
            </w:r>
          </w:p>
        </w:tc>
        <w:tc>
          <w:tcPr>
            <w:tcW w:w="2314" w:type="dxa"/>
            <w:shd w:val="clear" w:color="auto" w:fill="D9D9D9" w:themeFill="background1" w:themeFillShade="D9"/>
          </w:tcPr>
          <w:p w:rsidR="000A5F4F" w:rsidRDefault="000A5F4F" w:rsidP="00FB500F">
            <w:pPr>
              <w:jc w:val="center"/>
            </w:pPr>
            <w:r w:rsidRPr="781E95A1">
              <w:rPr>
                <w:rFonts w:eastAsia="Calibri" w:cs="Calibri"/>
                <w:b/>
                <w:bCs/>
                <w:color w:val="000000" w:themeColor="text1"/>
              </w:rPr>
              <w:t>Outcomes</w:t>
            </w:r>
          </w:p>
        </w:tc>
      </w:tr>
      <w:tr w:rsidR="000A5F4F" w:rsidTr="00FB500F">
        <w:tc>
          <w:tcPr>
            <w:tcW w:w="14089" w:type="dxa"/>
            <w:gridSpan w:val="7"/>
            <w:shd w:val="clear" w:color="auto" w:fill="D9D9D9" w:themeFill="background1" w:themeFillShade="D9"/>
          </w:tcPr>
          <w:p w:rsidR="000A5F4F" w:rsidRPr="00440B3C" w:rsidRDefault="000A5F4F" w:rsidP="00FB500F">
            <w:pPr>
              <w:rPr>
                <w:b/>
                <w:bCs/>
              </w:rPr>
            </w:pPr>
            <w:r w:rsidRPr="00440B3C">
              <w:rPr>
                <w:b/>
                <w:bCs/>
              </w:rPr>
              <w:t>NRT</w:t>
            </w:r>
          </w:p>
        </w:tc>
      </w:tr>
      <w:tr w:rsidR="000A5F4F" w:rsidTr="00FB500F">
        <w:tc>
          <w:tcPr>
            <w:tcW w:w="1395" w:type="dxa"/>
          </w:tcPr>
          <w:p w:rsidR="000A5F4F" w:rsidRDefault="000A5F4F" w:rsidP="00FB500F">
            <w:r>
              <w:t xml:space="preserve">Muramoto </w:t>
            </w:r>
            <w:r w:rsidR="000C1484">
              <w:t>(</w:t>
            </w:r>
            <w:r>
              <w:t>2007</w:t>
            </w:r>
            <w:r w:rsidR="000C1484">
              <w:t>)</w:t>
            </w:r>
          </w:p>
        </w:tc>
        <w:tc>
          <w:tcPr>
            <w:tcW w:w="870" w:type="dxa"/>
          </w:tcPr>
          <w:p w:rsidR="000A5F4F" w:rsidRDefault="000A5F4F" w:rsidP="00FB500F">
            <w:r w:rsidRPr="00602253">
              <w:t>RCT</w:t>
            </w:r>
          </w:p>
        </w:tc>
        <w:tc>
          <w:tcPr>
            <w:tcW w:w="1140" w:type="dxa"/>
          </w:tcPr>
          <w:p w:rsidR="000A5F4F" w:rsidRDefault="000A5F4F" w:rsidP="00FB500F">
            <w:r>
              <w:t>USA</w:t>
            </w:r>
          </w:p>
        </w:tc>
        <w:tc>
          <w:tcPr>
            <w:tcW w:w="900" w:type="dxa"/>
          </w:tcPr>
          <w:p w:rsidR="000A5F4F" w:rsidRDefault="000A5F4F" w:rsidP="00FB500F">
            <w:r w:rsidRPr="00221569">
              <w:t>N=</w:t>
            </w:r>
            <w:r>
              <w:t>312</w:t>
            </w:r>
          </w:p>
        </w:tc>
        <w:tc>
          <w:tcPr>
            <w:tcW w:w="3585" w:type="dxa"/>
          </w:tcPr>
          <w:p w:rsidR="000A5F4F" w:rsidRDefault="000A5F4F" w:rsidP="00FB500F">
            <w:r>
              <w:t xml:space="preserve">smokers with age range 14-17 years, smoking </w:t>
            </w:r>
            <w:r w:rsidRPr="00F32FEC">
              <w:t>≥</w:t>
            </w:r>
            <w:r>
              <w:t xml:space="preserve"> 6 cpd &amp; exhaled CO </w:t>
            </w:r>
            <w:r w:rsidRPr="00F32FEC">
              <w:t>≥</w:t>
            </w:r>
            <w:r>
              <w:t xml:space="preserve"> 10 ppm &amp; </w:t>
            </w:r>
            <w:r w:rsidRPr="00F32FEC">
              <w:t>≥</w:t>
            </w:r>
            <w:r>
              <w:t xml:space="preserve"> 2 prior quit attempts &amp; no major psychiatric diagnosis. </w:t>
            </w:r>
          </w:p>
        </w:tc>
        <w:tc>
          <w:tcPr>
            <w:tcW w:w="3885" w:type="dxa"/>
          </w:tcPr>
          <w:p w:rsidR="000A5F4F" w:rsidRPr="00A7551A" w:rsidRDefault="000A5F4F" w:rsidP="00C324F3">
            <w:pPr>
              <w:pStyle w:val="ListParagraph"/>
              <w:numPr>
                <w:ilvl w:val="0"/>
                <w:numId w:val="299"/>
              </w:numPr>
              <w:rPr>
                <w:rFonts w:eastAsia="Calibri" w:cs="Calibri"/>
              </w:rPr>
            </w:pPr>
            <w:r>
              <w:rPr>
                <w:rFonts w:eastAsia="Calibri" w:cs="Calibri"/>
              </w:rPr>
              <w:t>B</w:t>
            </w:r>
            <w:r w:rsidRPr="00A7551A">
              <w:rPr>
                <w:rFonts w:eastAsia="Calibri" w:cs="Calibri"/>
              </w:rPr>
              <w:t>upropion SR 300 mg/d in blister cards</w:t>
            </w:r>
          </w:p>
          <w:p w:rsidR="000A5F4F" w:rsidRDefault="000A5F4F" w:rsidP="00C324F3">
            <w:pPr>
              <w:pStyle w:val="ListParagraph"/>
              <w:numPr>
                <w:ilvl w:val="0"/>
                <w:numId w:val="299"/>
              </w:numPr>
              <w:rPr>
                <w:rFonts w:eastAsia="Calibri" w:cs="Calibri"/>
              </w:rPr>
            </w:pPr>
            <w:r>
              <w:rPr>
                <w:rFonts w:eastAsia="Calibri" w:cs="Calibri"/>
              </w:rPr>
              <w:t>B</w:t>
            </w:r>
            <w:r w:rsidRPr="00A7551A">
              <w:rPr>
                <w:rFonts w:eastAsia="Calibri" w:cs="Calibri"/>
              </w:rPr>
              <w:t>upropion SR 150 mg/d in blister cards</w:t>
            </w:r>
          </w:p>
          <w:p w:rsidR="000A5F4F" w:rsidRPr="00590106" w:rsidRDefault="000A5F4F" w:rsidP="00C324F3">
            <w:pPr>
              <w:pStyle w:val="ListParagraph"/>
              <w:numPr>
                <w:ilvl w:val="0"/>
                <w:numId w:val="299"/>
              </w:numPr>
              <w:rPr>
                <w:rFonts w:eastAsia="Calibri" w:cs="Calibri"/>
              </w:rPr>
            </w:pPr>
            <w:r w:rsidRPr="00590106">
              <w:rPr>
                <w:rFonts w:eastAsia="Calibri" w:cs="Calibri"/>
              </w:rPr>
              <w:t>Placebo tablet identical to active tablets and blister packed</w:t>
            </w:r>
          </w:p>
        </w:tc>
        <w:tc>
          <w:tcPr>
            <w:tcW w:w="2314" w:type="dxa"/>
          </w:tcPr>
          <w:p w:rsidR="000A5F4F" w:rsidRDefault="000A5F4F" w:rsidP="00FB500F">
            <w:r w:rsidRPr="006B32B5">
              <w:rPr>
                <w:u w:val="single"/>
              </w:rPr>
              <w:t>Efficacy</w:t>
            </w:r>
            <w:r>
              <w:t>: self-reports of 7-day PPA (30-day PPA stated as an outcome in paper but figures not given, not obtainable from study author) at 26 weeks.</w:t>
            </w:r>
          </w:p>
          <w:p w:rsidR="000A5F4F" w:rsidRDefault="000A5F4F" w:rsidP="00FB500F">
            <w:r>
              <w:t>Verification: exhaled CO at 26-week visit.</w:t>
            </w:r>
          </w:p>
          <w:p w:rsidR="000A5F4F" w:rsidRDefault="000A5F4F" w:rsidP="00FB500F"/>
          <w:p w:rsidR="000A5F4F" w:rsidRDefault="000A5F4F" w:rsidP="00FB500F">
            <w:r w:rsidRPr="006B32B5">
              <w:rPr>
                <w:u w:val="single"/>
              </w:rPr>
              <w:t>Safety</w:t>
            </w:r>
            <w:r>
              <w:t>: Adverse events including headache, cough, throat symptom, sleep disturbance, nausea reported. 8 participants in treatment group discontinued treatment for various adverse events. 2 "serious" and 1 "medically important"</w:t>
            </w:r>
          </w:p>
          <w:p w:rsidR="000A5F4F" w:rsidRDefault="000A5F4F" w:rsidP="00FB500F">
            <w:r>
              <w:t>adverse events occurred.</w:t>
            </w:r>
          </w:p>
        </w:tc>
      </w:tr>
      <w:tr w:rsidR="000A5F4F" w:rsidTr="00FB500F">
        <w:tc>
          <w:tcPr>
            <w:tcW w:w="1395" w:type="dxa"/>
          </w:tcPr>
          <w:p w:rsidR="000A5F4F" w:rsidRDefault="000A5F4F" w:rsidP="00FB500F">
            <w:r>
              <w:lastRenderedPageBreak/>
              <w:t xml:space="preserve">Killen </w:t>
            </w:r>
            <w:r w:rsidR="000C1484">
              <w:t>(</w:t>
            </w:r>
            <w:r>
              <w:t>2004</w:t>
            </w:r>
            <w:r w:rsidR="000C1484">
              <w:t>)</w:t>
            </w:r>
          </w:p>
        </w:tc>
        <w:tc>
          <w:tcPr>
            <w:tcW w:w="870" w:type="dxa"/>
          </w:tcPr>
          <w:p w:rsidR="000A5F4F" w:rsidRDefault="000A5F4F" w:rsidP="00FB500F">
            <w:r w:rsidRPr="00602253">
              <w:t>RCT</w:t>
            </w:r>
          </w:p>
        </w:tc>
        <w:tc>
          <w:tcPr>
            <w:tcW w:w="1140" w:type="dxa"/>
          </w:tcPr>
          <w:p w:rsidR="000A5F4F" w:rsidRDefault="000A5F4F" w:rsidP="00FB500F">
            <w:r>
              <w:t>USA</w:t>
            </w:r>
          </w:p>
        </w:tc>
        <w:tc>
          <w:tcPr>
            <w:tcW w:w="900" w:type="dxa"/>
          </w:tcPr>
          <w:p w:rsidR="000A5F4F" w:rsidRDefault="000A5F4F" w:rsidP="00FB500F">
            <w:r w:rsidRPr="00221569">
              <w:t>N=</w:t>
            </w:r>
            <w:r>
              <w:t>211</w:t>
            </w:r>
          </w:p>
        </w:tc>
        <w:tc>
          <w:tcPr>
            <w:tcW w:w="3585" w:type="dxa"/>
          </w:tcPr>
          <w:p w:rsidR="000A5F4F" w:rsidRDefault="000A5F4F" w:rsidP="00FB500F">
            <w:r>
              <w:t xml:space="preserve">Smokers with age range 15-18 years, currently smoked </w:t>
            </w:r>
            <w:r w:rsidRPr="00F32FEC">
              <w:t>≥</w:t>
            </w:r>
            <w:r>
              <w:t xml:space="preserve"> 10 CPD, for </w:t>
            </w:r>
            <w:r w:rsidRPr="00F32FEC">
              <w:t>≥</w:t>
            </w:r>
            <w:r>
              <w:t xml:space="preserve"> 6 months, with &gt; 1 quit attempt and a score of </w:t>
            </w:r>
            <w:r w:rsidRPr="00F32FEC">
              <w:t>≥</w:t>
            </w:r>
            <w:r>
              <w:t xml:space="preserve"> 10 on modified FNTQ. </w:t>
            </w:r>
          </w:p>
        </w:tc>
        <w:tc>
          <w:tcPr>
            <w:tcW w:w="3885" w:type="dxa"/>
          </w:tcPr>
          <w:p w:rsidR="000A5F4F" w:rsidRDefault="000A5F4F" w:rsidP="00C324F3">
            <w:pPr>
              <w:pStyle w:val="ListParagraph"/>
              <w:numPr>
                <w:ilvl w:val="0"/>
                <w:numId w:val="300"/>
              </w:numPr>
              <w:rPr>
                <w:rFonts w:eastAsia="Calibri" w:cs="Calibri"/>
              </w:rPr>
            </w:pPr>
            <w:r w:rsidRPr="006C4D0B">
              <w:rPr>
                <w:rFonts w:eastAsia="Calibri" w:cs="Calibri"/>
              </w:rPr>
              <w:t>Intervention: 8 weeks of tailored NRT patch therapy plus 150 mg SR bupropion tablet (for 8 weeks from</w:t>
            </w:r>
            <w:r>
              <w:rPr>
                <w:rFonts w:eastAsia="Calibri" w:cs="Calibri"/>
              </w:rPr>
              <w:t xml:space="preserve"> </w:t>
            </w:r>
            <w:r w:rsidRPr="006C4D0B">
              <w:rPr>
                <w:rFonts w:eastAsia="Calibri" w:cs="Calibri"/>
              </w:rPr>
              <w:t>quit date) and relapse prevention</w:t>
            </w:r>
          </w:p>
          <w:p w:rsidR="000A5F4F" w:rsidRPr="00590106" w:rsidRDefault="000A5F4F" w:rsidP="00C324F3">
            <w:pPr>
              <w:pStyle w:val="ListParagraph"/>
              <w:numPr>
                <w:ilvl w:val="0"/>
                <w:numId w:val="300"/>
              </w:numPr>
              <w:rPr>
                <w:rFonts w:eastAsia="Calibri" w:cs="Calibri"/>
              </w:rPr>
            </w:pPr>
            <w:r w:rsidRPr="00590106">
              <w:rPr>
                <w:rFonts w:eastAsia="Calibri" w:cs="Calibri"/>
              </w:rPr>
              <w:t>Control: 8 weeks of tailored NRT patch therapy plus placebo tablet (for 8 weeks from quit date)</w:t>
            </w:r>
          </w:p>
        </w:tc>
        <w:tc>
          <w:tcPr>
            <w:tcW w:w="2314" w:type="dxa"/>
          </w:tcPr>
          <w:p w:rsidR="000A5F4F" w:rsidRDefault="000A5F4F" w:rsidP="00FB500F">
            <w:r w:rsidRPr="006B32B5">
              <w:rPr>
                <w:u w:val="single"/>
              </w:rPr>
              <w:t>Efficacy</w:t>
            </w:r>
            <w:r>
              <w:t>: 7-day PPA; follow-up periods: &gt; 3 months, 6 months.</w:t>
            </w:r>
          </w:p>
          <w:p w:rsidR="000A5F4F" w:rsidRDefault="000A5F4F" w:rsidP="00FB500F">
            <w:r>
              <w:t>Verification: CO monitoring (below 9 ppm) and saliva cotinine (below 20 ng/mL) at 6 months; adherence to bupropion measured at 5 weeks.</w:t>
            </w:r>
          </w:p>
          <w:p w:rsidR="000A5F4F" w:rsidRDefault="000A5F4F" w:rsidP="00FB500F"/>
          <w:p w:rsidR="000A5F4F" w:rsidRPr="006B32B5" w:rsidRDefault="000A5F4F" w:rsidP="00FB500F">
            <w:pPr>
              <w:rPr>
                <w:u w:val="single"/>
              </w:rPr>
            </w:pPr>
            <w:r w:rsidRPr="006B32B5">
              <w:rPr>
                <w:u w:val="single"/>
              </w:rPr>
              <w:t>Safety</w:t>
            </w:r>
            <w:r>
              <w:t xml:space="preserve">: </w:t>
            </w:r>
            <w:r w:rsidRPr="006C4D0B">
              <w:t>Adverse events</w:t>
            </w:r>
            <w:r>
              <w:t>;</w:t>
            </w:r>
            <w:r w:rsidRPr="006C4D0B">
              <w:t xml:space="preserve"> 47 self-rated "severe" but none judged severe by the study physician</w:t>
            </w:r>
            <w:r>
              <w:t>.</w:t>
            </w:r>
          </w:p>
        </w:tc>
      </w:tr>
      <w:tr w:rsidR="000A5F4F" w:rsidTr="00FB500F">
        <w:tc>
          <w:tcPr>
            <w:tcW w:w="1395" w:type="dxa"/>
          </w:tcPr>
          <w:p w:rsidR="000A5F4F" w:rsidRDefault="000A5F4F" w:rsidP="00FB500F">
            <w:r>
              <w:t xml:space="preserve">Scherphof </w:t>
            </w:r>
            <w:r w:rsidR="000C1484">
              <w:t>(</w:t>
            </w:r>
            <w:r>
              <w:t>2014</w:t>
            </w:r>
            <w:r w:rsidR="000C1484">
              <w:t>)</w:t>
            </w:r>
          </w:p>
        </w:tc>
        <w:tc>
          <w:tcPr>
            <w:tcW w:w="870" w:type="dxa"/>
          </w:tcPr>
          <w:p w:rsidR="000A5F4F" w:rsidRDefault="000A5F4F" w:rsidP="00FB500F">
            <w:r w:rsidRPr="00602253">
              <w:t>RCT</w:t>
            </w:r>
          </w:p>
        </w:tc>
        <w:tc>
          <w:tcPr>
            <w:tcW w:w="1140" w:type="dxa"/>
          </w:tcPr>
          <w:p w:rsidR="000A5F4F" w:rsidRDefault="000A5F4F" w:rsidP="00FB500F">
            <w:r>
              <w:t>Netherlands</w:t>
            </w:r>
          </w:p>
        </w:tc>
        <w:tc>
          <w:tcPr>
            <w:tcW w:w="900" w:type="dxa"/>
          </w:tcPr>
          <w:p w:rsidR="000A5F4F" w:rsidRDefault="000A5F4F" w:rsidP="00FB500F">
            <w:r w:rsidRPr="00221569">
              <w:t>N=</w:t>
            </w:r>
            <w:r>
              <w:t>265</w:t>
            </w:r>
          </w:p>
        </w:tc>
        <w:tc>
          <w:tcPr>
            <w:tcW w:w="3585" w:type="dxa"/>
          </w:tcPr>
          <w:p w:rsidR="000A5F4F" w:rsidRDefault="000A5F4F" w:rsidP="00FB500F">
            <w:r>
              <w:t xml:space="preserve">12-18 years old, no major health problems, smoking </w:t>
            </w:r>
            <w:r w:rsidRPr="00F32FEC">
              <w:t>≥</w:t>
            </w:r>
            <w:r>
              <w:t xml:space="preserve"> 7 CPD, parents of participants were aware of their smoking, participants were motivated to quit Participants excluded if currently</w:t>
            </w:r>
          </w:p>
          <w:p w:rsidR="000A5F4F" w:rsidRDefault="000A5F4F" w:rsidP="00FB500F">
            <w:r>
              <w:t>using NRT, were pregnant or lactating, or were allergic to patches.</w:t>
            </w:r>
          </w:p>
        </w:tc>
        <w:tc>
          <w:tcPr>
            <w:tcW w:w="3885" w:type="dxa"/>
          </w:tcPr>
          <w:p w:rsidR="000A5F4F" w:rsidRPr="006B51F5" w:rsidRDefault="000A5F4F" w:rsidP="00C324F3">
            <w:pPr>
              <w:pStyle w:val="ListParagraph"/>
              <w:numPr>
                <w:ilvl w:val="0"/>
                <w:numId w:val="298"/>
              </w:numPr>
              <w:rPr>
                <w:rFonts w:eastAsia="Calibri" w:cs="Calibri"/>
              </w:rPr>
            </w:pPr>
            <w:r w:rsidRPr="006B51F5">
              <w:rPr>
                <w:rFonts w:eastAsia="Calibri" w:cs="Calibri"/>
              </w:rPr>
              <w:t>Intervention: short behavioural intervention, followed by 6 or 9 weeks of 24</w:t>
            </w:r>
            <w:r>
              <w:rPr>
                <w:rFonts w:eastAsia="Calibri" w:cs="Calibri"/>
              </w:rPr>
              <w:t>-</w:t>
            </w:r>
            <w:r w:rsidRPr="006B51F5">
              <w:rPr>
                <w:rFonts w:eastAsia="Calibri" w:cs="Calibri"/>
              </w:rPr>
              <w:t>h</w:t>
            </w:r>
            <w:r>
              <w:rPr>
                <w:rFonts w:eastAsia="Calibri" w:cs="Calibri"/>
              </w:rPr>
              <w:t>our</w:t>
            </w:r>
            <w:r w:rsidRPr="006B51F5">
              <w:rPr>
                <w:rFonts w:eastAsia="Calibri" w:cs="Calibri"/>
              </w:rPr>
              <w:t xml:space="preserve"> NRT with patch, depending</w:t>
            </w:r>
          </w:p>
          <w:p w:rsidR="000A5F4F" w:rsidRDefault="000A5F4F" w:rsidP="00FB500F">
            <w:pPr>
              <w:pStyle w:val="ListParagraph"/>
              <w:ind w:left="360"/>
              <w:rPr>
                <w:rFonts w:eastAsia="Calibri" w:cs="Calibri"/>
              </w:rPr>
            </w:pPr>
            <w:r w:rsidRPr="006B51F5">
              <w:rPr>
                <w:rFonts w:eastAsia="Calibri" w:cs="Calibri"/>
              </w:rPr>
              <w:t>on smoking level at baseline</w:t>
            </w:r>
          </w:p>
          <w:p w:rsidR="000A5F4F" w:rsidRPr="00EA7FC6" w:rsidRDefault="000A5F4F" w:rsidP="00C324F3">
            <w:pPr>
              <w:pStyle w:val="ListParagraph"/>
              <w:numPr>
                <w:ilvl w:val="0"/>
                <w:numId w:val="298"/>
              </w:numPr>
              <w:rPr>
                <w:rFonts w:eastAsia="Calibri" w:cs="Calibri"/>
              </w:rPr>
            </w:pPr>
            <w:r w:rsidRPr="006B51F5">
              <w:rPr>
                <w:rFonts w:eastAsia="Calibri" w:cs="Calibri"/>
              </w:rPr>
              <w:t>Control: placebo patch control, otherwise identical to intervention</w:t>
            </w:r>
          </w:p>
        </w:tc>
        <w:tc>
          <w:tcPr>
            <w:tcW w:w="2314" w:type="dxa"/>
          </w:tcPr>
          <w:p w:rsidR="000A5F4F" w:rsidRDefault="000A5F4F" w:rsidP="00FB500F">
            <w:r w:rsidRPr="006B32B5">
              <w:rPr>
                <w:u w:val="single"/>
              </w:rPr>
              <w:t>Efficacy</w:t>
            </w:r>
            <w:r>
              <w:t xml:space="preserve">: </w:t>
            </w:r>
            <w:r w:rsidRPr="006B51F5">
              <w:t>30-day PPA</w:t>
            </w:r>
            <w:r>
              <w:t xml:space="preserve"> at 6 and 12 months. </w:t>
            </w:r>
          </w:p>
          <w:p w:rsidR="000A5F4F" w:rsidRDefault="000A5F4F" w:rsidP="00FB500F">
            <w:r w:rsidRPr="006B51F5">
              <w:t>Verification: salivary cotinine measured using a NicAlert saliva strip (Nymox)</w:t>
            </w:r>
          </w:p>
          <w:p w:rsidR="000A5F4F" w:rsidRDefault="000A5F4F" w:rsidP="00FB500F">
            <w:pPr>
              <w:rPr>
                <w:u w:val="single"/>
              </w:rPr>
            </w:pPr>
          </w:p>
          <w:p w:rsidR="000A5F4F" w:rsidRPr="006B32B5" w:rsidRDefault="000A5F4F" w:rsidP="00FB500F">
            <w:pPr>
              <w:rPr>
                <w:u w:val="single"/>
              </w:rPr>
            </w:pPr>
            <w:r w:rsidRPr="006B32B5">
              <w:rPr>
                <w:u w:val="single"/>
              </w:rPr>
              <w:lastRenderedPageBreak/>
              <w:t>Safety</w:t>
            </w:r>
            <w:r>
              <w:t xml:space="preserve">: </w:t>
            </w:r>
            <w:r w:rsidRPr="006B51F5">
              <w:t>Adverse events including tiredness, cough, insomnia, itchiness and headache</w:t>
            </w:r>
            <w:r>
              <w:t>.</w:t>
            </w:r>
          </w:p>
        </w:tc>
      </w:tr>
      <w:tr w:rsidR="000A5F4F" w:rsidTr="00FB500F">
        <w:tc>
          <w:tcPr>
            <w:tcW w:w="1395" w:type="dxa"/>
          </w:tcPr>
          <w:p w:rsidR="000A5F4F" w:rsidRDefault="000A5F4F" w:rsidP="00FB500F">
            <w:r w:rsidRPr="00EA7FC6">
              <w:lastRenderedPageBreak/>
              <w:t xml:space="preserve">Gray </w:t>
            </w:r>
            <w:r w:rsidR="000C1484">
              <w:t>(</w:t>
            </w:r>
            <w:r w:rsidRPr="00EA7FC6">
              <w:t>2011</w:t>
            </w:r>
            <w:r w:rsidR="000C1484">
              <w:t>)</w:t>
            </w:r>
          </w:p>
        </w:tc>
        <w:tc>
          <w:tcPr>
            <w:tcW w:w="870" w:type="dxa"/>
          </w:tcPr>
          <w:p w:rsidR="000A5F4F" w:rsidRDefault="000A5F4F" w:rsidP="00FB500F">
            <w:r>
              <w:t>RCT</w:t>
            </w:r>
          </w:p>
        </w:tc>
        <w:tc>
          <w:tcPr>
            <w:tcW w:w="1140" w:type="dxa"/>
          </w:tcPr>
          <w:p w:rsidR="000A5F4F" w:rsidRDefault="000A5F4F" w:rsidP="00FB500F">
            <w:r>
              <w:t>USA</w:t>
            </w:r>
          </w:p>
        </w:tc>
        <w:tc>
          <w:tcPr>
            <w:tcW w:w="900" w:type="dxa"/>
          </w:tcPr>
          <w:p w:rsidR="000A5F4F" w:rsidRDefault="000A5F4F" w:rsidP="00FB500F">
            <w:r>
              <w:t>N=134</w:t>
            </w:r>
          </w:p>
        </w:tc>
        <w:tc>
          <w:tcPr>
            <w:tcW w:w="3585" w:type="dxa"/>
          </w:tcPr>
          <w:p w:rsidR="000A5F4F" w:rsidRDefault="000A5F4F" w:rsidP="00FB500F">
            <w:r>
              <w:t>Adolescent smokers aged 12–21 years who smoked at least five CPD.</w:t>
            </w:r>
          </w:p>
        </w:tc>
        <w:tc>
          <w:tcPr>
            <w:tcW w:w="3885" w:type="dxa"/>
          </w:tcPr>
          <w:p w:rsidR="000A5F4F" w:rsidRDefault="000A5F4F" w:rsidP="00C324F3">
            <w:pPr>
              <w:pStyle w:val="ListParagraph"/>
              <w:numPr>
                <w:ilvl w:val="0"/>
                <w:numId w:val="308"/>
              </w:numPr>
              <w:rPr>
                <w:rFonts w:eastAsia="Calibri" w:cs="Calibri"/>
              </w:rPr>
            </w:pPr>
            <w:r w:rsidRPr="0038080C">
              <w:rPr>
                <w:rFonts w:eastAsia="Calibri" w:cs="Calibri"/>
              </w:rPr>
              <w:t>Bupropion SR (300 mg/d</w:t>
            </w:r>
            <w:r>
              <w:rPr>
                <w:rFonts w:eastAsia="Calibri" w:cs="Calibri"/>
              </w:rPr>
              <w:t>ay</w:t>
            </w:r>
            <w:r w:rsidRPr="0038080C">
              <w:rPr>
                <w:rFonts w:eastAsia="Calibri" w:cs="Calibri"/>
              </w:rPr>
              <w:t xml:space="preserve">) with CM and Bupropion SR with non-CM  </w:t>
            </w:r>
          </w:p>
          <w:p w:rsidR="000A5F4F" w:rsidRPr="00590106" w:rsidRDefault="000A5F4F" w:rsidP="00C324F3">
            <w:pPr>
              <w:pStyle w:val="ListParagraph"/>
              <w:numPr>
                <w:ilvl w:val="0"/>
                <w:numId w:val="308"/>
              </w:numPr>
              <w:rPr>
                <w:rFonts w:eastAsia="Calibri" w:cs="Calibri"/>
              </w:rPr>
            </w:pPr>
            <w:r w:rsidRPr="00590106">
              <w:rPr>
                <w:rFonts w:eastAsia="Calibri" w:cs="Calibri"/>
              </w:rPr>
              <w:t xml:space="preserve">Placebo with CM and placebo with non-CM for 6 weeks </w:t>
            </w:r>
          </w:p>
        </w:tc>
        <w:tc>
          <w:tcPr>
            <w:tcW w:w="2314" w:type="dxa"/>
          </w:tcPr>
          <w:p w:rsidR="000A5F4F" w:rsidRDefault="000A5F4F" w:rsidP="00FB500F">
            <w:r w:rsidRPr="006B32B5">
              <w:rPr>
                <w:u w:val="single"/>
              </w:rPr>
              <w:t>Efficacy</w:t>
            </w:r>
            <w:r>
              <w:t xml:space="preserve">: </w:t>
            </w:r>
            <w:r w:rsidRPr="00EA7FC6">
              <w:t>7-d point prevalence abstinence at 12 w</w:t>
            </w:r>
            <w:r>
              <w:t>ee</w:t>
            </w:r>
            <w:r w:rsidRPr="00EA7FC6">
              <w:t>k</w:t>
            </w:r>
            <w:r>
              <w:t>.</w:t>
            </w:r>
          </w:p>
          <w:p w:rsidR="000A5F4F" w:rsidRDefault="000A5F4F" w:rsidP="00FB500F">
            <w:r>
              <w:t>Self-reported abstinence</w:t>
            </w:r>
          </w:p>
          <w:p w:rsidR="000A5F4F" w:rsidRDefault="000A5F4F" w:rsidP="00FB500F">
            <w:r>
              <w:t>confirmed by urinary</w:t>
            </w:r>
          </w:p>
          <w:p w:rsidR="000A5F4F" w:rsidRDefault="000A5F4F" w:rsidP="00FB500F">
            <w:r>
              <w:t>cotinine ≤100 ng/mL.</w:t>
            </w:r>
          </w:p>
          <w:p w:rsidR="000A5F4F" w:rsidRDefault="000A5F4F" w:rsidP="00FB500F"/>
          <w:p w:rsidR="006F5961" w:rsidRDefault="000A5F4F" w:rsidP="006F5961">
            <w:r w:rsidRPr="008A028E">
              <w:rPr>
                <w:u w:val="single"/>
              </w:rPr>
              <w:t>Safety</w:t>
            </w:r>
            <w:r w:rsidRPr="008A028E">
              <w:t>:</w:t>
            </w:r>
            <w:r>
              <w:t xml:space="preserve"> </w:t>
            </w:r>
          </w:p>
          <w:p w:rsidR="000A5F4F" w:rsidRPr="006B32B5" w:rsidRDefault="006F5961" w:rsidP="006F5961">
            <w:pPr>
              <w:rPr>
                <w:u w:val="single"/>
              </w:rPr>
            </w:pPr>
            <w:r>
              <w:t xml:space="preserve">Adverse events were assessed during weekly medication management visits, </w:t>
            </w:r>
            <w:r w:rsidR="008A028E" w:rsidRPr="008A028E">
              <w:t>electrocardiograms were per- formed at Week 4 of treatment</w:t>
            </w:r>
            <w:r w:rsidR="008A028E">
              <w:t>.</w:t>
            </w:r>
          </w:p>
        </w:tc>
      </w:tr>
    </w:tbl>
    <w:p w:rsidR="000A5F4F" w:rsidRPr="009B042A" w:rsidRDefault="000A5F4F" w:rsidP="000A5F4F">
      <w:pPr>
        <w:pStyle w:val="TableFooter"/>
        <w:keepNext/>
      </w:pPr>
      <w:r>
        <w:t>Source: Selph et al. (2019).</w:t>
      </w:r>
    </w:p>
    <w:p w:rsidR="000A5F4F" w:rsidRPr="00822B64" w:rsidRDefault="000A5F4F" w:rsidP="000A5F4F">
      <w:pPr>
        <w:pStyle w:val="TableFooter"/>
        <w:keepNext/>
        <w:sectPr w:rsidR="000A5F4F" w:rsidRPr="00822B64" w:rsidSect="001F38AD">
          <w:footerReference w:type="default" r:id="rId70"/>
          <w:pgSz w:w="16838" w:h="11906" w:orient="landscape"/>
          <w:pgMar w:top="1440" w:right="1440" w:bottom="1440" w:left="1440" w:header="708" w:footer="708" w:gutter="0"/>
          <w:cols w:space="708"/>
          <w:titlePg/>
          <w:docGrid w:linePitch="360"/>
        </w:sectPr>
      </w:pPr>
      <w:r>
        <w:t xml:space="preserve">Abbreviations: NR= not reported; </w:t>
      </w:r>
      <w:r w:rsidRPr="009B042A">
        <w:t xml:space="preserve">PPA= point prevalence smoking abstinence; </w:t>
      </w:r>
      <w:r>
        <w:t xml:space="preserve">CAR= continuous abstinence rate; </w:t>
      </w:r>
      <w:r w:rsidRPr="009B042A">
        <w:t xml:space="preserve">RCT= randomised controlled trial; TQD= target quit date; CO= carbon monoxide; </w:t>
      </w:r>
      <w:r w:rsidRPr="00D66694">
        <w:rPr>
          <w:szCs w:val="18"/>
        </w:rPr>
        <w:t>ppm=</w:t>
      </w:r>
      <w:r w:rsidRPr="009B042A">
        <w:t xml:space="preserve"> </w:t>
      </w:r>
      <w:r>
        <w:t>part per million</w:t>
      </w:r>
      <w:r w:rsidRPr="009B042A">
        <w:t xml:space="preserve">; EoT= end of treatment; </w:t>
      </w:r>
      <w:r>
        <w:t xml:space="preserve">FTND= </w:t>
      </w:r>
      <w:r w:rsidRPr="00BD70BE">
        <w:t>Fagerström test for nicotine dependence</w:t>
      </w:r>
      <w:r>
        <w:t xml:space="preserve">; CPD= cigarette per day; AEs= adverse events; SAEs= serious adverse events; </w:t>
      </w:r>
      <w:r w:rsidRPr="0045792D">
        <w:t>CM = contingency management; SR = sustained release</w:t>
      </w:r>
      <w:r>
        <w:t>.</w:t>
      </w:r>
    </w:p>
    <w:p w:rsidR="001738B6" w:rsidRDefault="002C3EF9" w:rsidP="00CF4741">
      <w:pPr>
        <w:pStyle w:val="Heading3"/>
        <w:numPr>
          <w:ilvl w:val="0"/>
          <w:numId w:val="0"/>
        </w:numPr>
      </w:pPr>
      <w:bookmarkStart w:id="400" w:name="_Toc72850878"/>
      <w:bookmarkStart w:id="401" w:name="_Toc73525643"/>
      <w:r>
        <w:lastRenderedPageBreak/>
        <w:t xml:space="preserve">B.3 </w:t>
      </w:r>
      <w:r w:rsidR="001738B6">
        <w:t>Results</w:t>
      </w:r>
      <w:bookmarkEnd w:id="400"/>
      <w:bookmarkEnd w:id="401"/>
    </w:p>
    <w:p w:rsidR="00B43CF6" w:rsidRDefault="7005B0C0" w:rsidP="00B43CF6">
      <w:pPr>
        <w:keepNext/>
      </w:pPr>
      <w:r>
        <w:rPr>
          <w:noProof/>
        </w:rPr>
        <w:drawing>
          <wp:inline distT="0" distB="0" distL="0" distR="0" wp14:anchorId="0C478369" wp14:editId="42822F5B">
            <wp:extent cx="5731510" cy="398526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71">
                      <a:extLst>
                        <a:ext uri="{28A0092B-C50C-407E-A947-70E740481C1C}">
                          <a14:useLocalDpi xmlns:a14="http://schemas.microsoft.com/office/drawing/2010/main" val="0"/>
                        </a:ext>
                      </a:extLst>
                    </a:blip>
                    <a:stretch>
                      <a:fillRect/>
                    </a:stretch>
                  </pic:blipFill>
                  <pic:spPr>
                    <a:xfrm>
                      <a:off x="0" y="0"/>
                      <a:ext cx="5731510" cy="3985260"/>
                    </a:xfrm>
                    <a:prstGeom prst="rect">
                      <a:avLst/>
                    </a:prstGeom>
                  </pic:spPr>
                </pic:pic>
              </a:graphicData>
            </a:graphic>
          </wp:inline>
        </w:drawing>
      </w:r>
    </w:p>
    <w:p w:rsidR="00804A81" w:rsidRDefault="00B43CF6" w:rsidP="00B43CF6">
      <w:pPr>
        <w:pStyle w:val="Caption"/>
      </w:pPr>
      <w:bookmarkStart w:id="402" w:name="_Ref54085885"/>
      <w:r>
        <w:t xml:space="preserve">Figure </w:t>
      </w:r>
      <w:r w:rsidR="003C4A1C">
        <w:rPr>
          <w:noProof/>
        </w:rPr>
        <w:t>49</w:t>
      </w:r>
      <w:bookmarkEnd w:id="402"/>
      <w:r>
        <w:t xml:space="preserve">: </w:t>
      </w:r>
      <w:r w:rsidRPr="00D70C24">
        <w:t xml:space="preserve">Results of </w:t>
      </w:r>
      <w:r w:rsidR="00804988">
        <w:t xml:space="preserve">adverse events </w:t>
      </w:r>
      <w:r w:rsidRPr="00D70C24">
        <w:t>in Howes et al. (2020), bupropion versus placebo</w:t>
      </w:r>
    </w:p>
    <w:p w:rsidR="00804988" w:rsidRDefault="00804988" w:rsidP="00804988">
      <w:pPr>
        <w:pStyle w:val="FigureFooter"/>
      </w:pPr>
      <w:bookmarkStart w:id="403" w:name="_Hlk55487205"/>
      <w:r>
        <w:t>Source: Howes et al. (2020)</w:t>
      </w:r>
    </w:p>
    <w:bookmarkEnd w:id="403"/>
    <w:p w:rsidR="00804988" w:rsidRPr="00804988" w:rsidRDefault="00804988" w:rsidP="00804988"/>
    <w:p w:rsidR="00446988" w:rsidRDefault="3409E13E" w:rsidP="00446988">
      <w:pPr>
        <w:keepNext/>
      </w:pPr>
      <w:r>
        <w:rPr>
          <w:noProof/>
        </w:rPr>
        <w:lastRenderedPageBreak/>
        <w:drawing>
          <wp:inline distT="0" distB="0" distL="0" distR="0" wp14:anchorId="0A97B9A3" wp14:editId="175F8AA8">
            <wp:extent cx="5731510" cy="5030471"/>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72">
                      <a:extLst>
                        <a:ext uri="{28A0092B-C50C-407E-A947-70E740481C1C}">
                          <a14:useLocalDpi xmlns:a14="http://schemas.microsoft.com/office/drawing/2010/main" val="0"/>
                        </a:ext>
                      </a:extLst>
                    </a:blip>
                    <a:stretch>
                      <a:fillRect/>
                    </a:stretch>
                  </pic:blipFill>
                  <pic:spPr>
                    <a:xfrm>
                      <a:off x="0" y="0"/>
                      <a:ext cx="5731510" cy="5030471"/>
                    </a:xfrm>
                    <a:prstGeom prst="rect">
                      <a:avLst/>
                    </a:prstGeom>
                  </pic:spPr>
                </pic:pic>
              </a:graphicData>
            </a:graphic>
          </wp:inline>
        </w:drawing>
      </w:r>
    </w:p>
    <w:p w:rsidR="00B55162" w:rsidRDefault="00446988" w:rsidP="00446988">
      <w:pPr>
        <w:pStyle w:val="Caption"/>
      </w:pPr>
      <w:r>
        <w:t xml:space="preserve">Figure </w:t>
      </w:r>
      <w:r w:rsidR="003C4A1C">
        <w:rPr>
          <w:noProof/>
        </w:rPr>
        <w:t>50</w:t>
      </w:r>
      <w:r>
        <w:t xml:space="preserve">: </w:t>
      </w:r>
      <w:r w:rsidRPr="00560F70">
        <w:t xml:space="preserve">Results of </w:t>
      </w:r>
      <w:r w:rsidR="00D04034">
        <w:t xml:space="preserve">serious </w:t>
      </w:r>
      <w:r w:rsidRPr="00560F70">
        <w:t>adverse events in Howes et al. (2020), bupropion versus placebo</w:t>
      </w:r>
    </w:p>
    <w:p w:rsidR="003E0489" w:rsidRDefault="003E0489" w:rsidP="003E0489">
      <w:pPr>
        <w:pStyle w:val="FigureFooter"/>
      </w:pPr>
      <w:r>
        <w:t>Source: Howes et al. (2020)</w:t>
      </w:r>
    </w:p>
    <w:p w:rsidR="00D04034" w:rsidRDefault="335CFEDA" w:rsidP="00D04034">
      <w:pPr>
        <w:keepNext/>
      </w:pPr>
      <w:r>
        <w:rPr>
          <w:noProof/>
        </w:rPr>
        <w:drawing>
          <wp:inline distT="0" distB="0" distL="0" distR="0" wp14:anchorId="606E8177" wp14:editId="47570547">
            <wp:extent cx="5731510" cy="240728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73">
                      <a:extLst>
                        <a:ext uri="{28A0092B-C50C-407E-A947-70E740481C1C}">
                          <a14:useLocalDpi xmlns:a14="http://schemas.microsoft.com/office/drawing/2010/main" val="0"/>
                        </a:ext>
                      </a:extLst>
                    </a:blip>
                    <a:stretch>
                      <a:fillRect/>
                    </a:stretch>
                  </pic:blipFill>
                  <pic:spPr>
                    <a:xfrm>
                      <a:off x="0" y="0"/>
                      <a:ext cx="5731510" cy="2407285"/>
                    </a:xfrm>
                    <a:prstGeom prst="rect">
                      <a:avLst/>
                    </a:prstGeom>
                  </pic:spPr>
                </pic:pic>
              </a:graphicData>
            </a:graphic>
          </wp:inline>
        </w:drawing>
      </w:r>
    </w:p>
    <w:p w:rsidR="00B55162" w:rsidRDefault="00D04034" w:rsidP="00D04034">
      <w:pPr>
        <w:pStyle w:val="Caption"/>
      </w:pPr>
      <w:r>
        <w:t xml:space="preserve">Figure </w:t>
      </w:r>
      <w:r w:rsidR="003C4A1C">
        <w:rPr>
          <w:noProof/>
        </w:rPr>
        <w:t>51</w:t>
      </w:r>
      <w:r>
        <w:t xml:space="preserve">: </w:t>
      </w:r>
      <w:r w:rsidRPr="00F27C49">
        <w:t xml:space="preserve">Results of </w:t>
      </w:r>
      <w:r>
        <w:t xml:space="preserve">psychiatric </w:t>
      </w:r>
      <w:r w:rsidRPr="00F27C49">
        <w:t>adverse events in Howes et al. (2020), bupropion versus placebo</w:t>
      </w:r>
    </w:p>
    <w:p w:rsidR="003E0489" w:rsidRDefault="003E0489" w:rsidP="003E0489">
      <w:pPr>
        <w:pStyle w:val="FigureFooter"/>
      </w:pPr>
      <w:r>
        <w:t>Source: Howes et al. (2020)</w:t>
      </w:r>
    </w:p>
    <w:p w:rsidR="00D04034" w:rsidRDefault="59B8C0E0" w:rsidP="00D04034">
      <w:pPr>
        <w:keepNext/>
      </w:pPr>
      <w:r>
        <w:rPr>
          <w:noProof/>
        </w:rPr>
        <w:lastRenderedPageBreak/>
        <w:drawing>
          <wp:inline distT="0" distB="0" distL="0" distR="0" wp14:anchorId="3C9FD8B6" wp14:editId="7072621C">
            <wp:extent cx="5731510" cy="5219066"/>
            <wp:effectExtent l="0" t="0" r="254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74">
                      <a:extLst>
                        <a:ext uri="{28A0092B-C50C-407E-A947-70E740481C1C}">
                          <a14:useLocalDpi xmlns:a14="http://schemas.microsoft.com/office/drawing/2010/main" val="0"/>
                        </a:ext>
                      </a:extLst>
                    </a:blip>
                    <a:stretch>
                      <a:fillRect/>
                    </a:stretch>
                  </pic:blipFill>
                  <pic:spPr>
                    <a:xfrm>
                      <a:off x="0" y="0"/>
                      <a:ext cx="5731510" cy="5219066"/>
                    </a:xfrm>
                    <a:prstGeom prst="rect">
                      <a:avLst/>
                    </a:prstGeom>
                  </pic:spPr>
                </pic:pic>
              </a:graphicData>
            </a:graphic>
          </wp:inline>
        </w:drawing>
      </w:r>
    </w:p>
    <w:p w:rsidR="00093683" w:rsidRDefault="00D04034" w:rsidP="00D04034">
      <w:pPr>
        <w:pStyle w:val="Caption"/>
        <w:rPr>
          <w:rFonts w:eastAsia="MS Mincho"/>
        </w:rPr>
      </w:pPr>
      <w:bookmarkStart w:id="404" w:name="_Ref54085887"/>
      <w:r>
        <w:t xml:space="preserve">Figure </w:t>
      </w:r>
      <w:r w:rsidR="003C4A1C">
        <w:rPr>
          <w:noProof/>
        </w:rPr>
        <w:t>52</w:t>
      </w:r>
      <w:bookmarkEnd w:id="404"/>
      <w:r>
        <w:t xml:space="preserve">: </w:t>
      </w:r>
      <w:r w:rsidRPr="00855384">
        <w:t xml:space="preserve">Results of </w:t>
      </w:r>
      <w:r w:rsidR="003E0489">
        <w:t xml:space="preserve">discontinuation due to </w:t>
      </w:r>
      <w:r w:rsidRPr="00855384">
        <w:t>adverse events in Howes et al. (2020), bupropion versus placebo</w:t>
      </w:r>
    </w:p>
    <w:p w:rsidR="003E0489" w:rsidRDefault="003E0489" w:rsidP="003E0489">
      <w:pPr>
        <w:pStyle w:val="FigureFooter"/>
      </w:pPr>
      <w:r>
        <w:t>Source: Howes et al. (2020)</w:t>
      </w:r>
    </w:p>
    <w:p w:rsidR="003E0489" w:rsidRDefault="003E0489" w:rsidP="003E0489"/>
    <w:p w:rsidR="00414F11" w:rsidRDefault="6F602C5F" w:rsidP="00414F11">
      <w:pPr>
        <w:keepNext/>
      </w:pPr>
      <w:r>
        <w:rPr>
          <w:noProof/>
        </w:rPr>
        <w:drawing>
          <wp:inline distT="0" distB="0" distL="0" distR="0" wp14:anchorId="388BCA58" wp14:editId="6F2ACCE5">
            <wp:extent cx="5731510" cy="1921510"/>
            <wp:effectExtent l="0" t="0" r="254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75">
                      <a:extLst>
                        <a:ext uri="{28A0092B-C50C-407E-A947-70E740481C1C}">
                          <a14:useLocalDpi xmlns:a14="http://schemas.microsoft.com/office/drawing/2010/main" val="0"/>
                        </a:ext>
                      </a:extLst>
                    </a:blip>
                    <a:stretch>
                      <a:fillRect/>
                    </a:stretch>
                  </pic:blipFill>
                  <pic:spPr>
                    <a:xfrm>
                      <a:off x="0" y="0"/>
                      <a:ext cx="5731510" cy="1921510"/>
                    </a:xfrm>
                    <a:prstGeom prst="rect">
                      <a:avLst/>
                    </a:prstGeom>
                  </pic:spPr>
                </pic:pic>
              </a:graphicData>
            </a:graphic>
          </wp:inline>
        </w:drawing>
      </w:r>
    </w:p>
    <w:p w:rsidR="00D83CD9" w:rsidRDefault="00414F11" w:rsidP="00414F11">
      <w:pPr>
        <w:pStyle w:val="Caption"/>
      </w:pPr>
      <w:bookmarkStart w:id="405" w:name="_Ref54086727"/>
      <w:r>
        <w:t xml:space="preserve">Figure </w:t>
      </w:r>
      <w:r w:rsidR="003C4A1C">
        <w:rPr>
          <w:noProof/>
        </w:rPr>
        <w:t>53</w:t>
      </w:r>
      <w:bookmarkEnd w:id="405"/>
      <w:r>
        <w:t xml:space="preserve">: </w:t>
      </w:r>
      <w:r w:rsidRPr="00272EDF">
        <w:t xml:space="preserve">Results of adverse events in Howes et al. (2020), bupropion versus </w:t>
      </w:r>
      <w:r>
        <w:t>NRT</w:t>
      </w:r>
    </w:p>
    <w:p w:rsidR="00414F11" w:rsidRDefault="00414F11" w:rsidP="00414F11">
      <w:pPr>
        <w:pStyle w:val="FigureFooter"/>
      </w:pPr>
      <w:r>
        <w:t>Source: Howes et al. (2020)</w:t>
      </w:r>
    </w:p>
    <w:p w:rsidR="00414F11" w:rsidRDefault="0A5CF6F1" w:rsidP="00414F11">
      <w:pPr>
        <w:keepNext/>
      </w:pPr>
      <w:r>
        <w:rPr>
          <w:noProof/>
        </w:rPr>
        <w:lastRenderedPageBreak/>
        <w:drawing>
          <wp:inline distT="0" distB="0" distL="0" distR="0" wp14:anchorId="6FA2EC4E" wp14:editId="58036FCA">
            <wp:extent cx="5731510" cy="228600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76">
                      <a:extLst>
                        <a:ext uri="{28A0092B-C50C-407E-A947-70E740481C1C}">
                          <a14:useLocalDpi xmlns:a14="http://schemas.microsoft.com/office/drawing/2010/main" val="0"/>
                        </a:ext>
                      </a:extLst>
                    </a:blip>
                    <a:stretch>
                      <a:fillRect/>
                    </a:stretch>
                  </pic:blipFill>
                  <pic:spPr>
                    <a:xfrm>
                      <a:off x="0" y="0"/>
                      <a:ext cx="5731510" cy="2286000"/>
                    </a:xfrm>
                    <a:prstGeom prst="rect">
                      <a:avLst/>
                    </a:prstGeom>
                  </pic:spPr>
                </pic:pic>
              </a:graphicData>
            </a:graphic>
          </wp:inline>
        </w:drawing>
      </w:r>
    </w:p>
    <w:p w:rsidR="00EF16AA" w:rsidRDefault="00414F11" w:rsidP="00414F11">
      <w:pPr>
        <w:pStyle w:val="Caption"/>
      </w:pPr>
      <w:r>
        <w:t xml:space="preserve">Figure </w:t>
      </w:r>
      <w:r w:rsidR="003C4A1C">
        <w:rPr>
          <w:noProof/>
        </w:rPr>
        <w:t>54</w:t>
      </w:r>
      <w:r>
        <w:t xml:space="preserve">: </w:t>
      </w:r>
      <w:r w:rsidRPr="008A5DC5">
        <w:t xml:space="preserve">Results of </w:t>
      </w:r>
      <w:r>
        <w:t>serious</w:t>
      </w:r>
      <w:r w:rsidRPr="008A5DC5">
        <w:t xml:space="preserve"> adverse events in Howes et al. (2020), bupropion versus </w:t>
      </w:r>
      <w:r>
        <w:t>NRT</w:t>
      </w:r>
    </w:p>
    <w:p w:rsidR="00414F11" w:rsidRDefault="00414F11" w:rsidP="00414F11">
      <w:pPr>
        <w:pStyle w:val="FigureFooter"/>
      </w:pPr>
      <w:r>
        <w:t>Source: Howes et al. (2020)</w:t>
      </w:r>
    </w:p>
    <w:p w:rsidR="00414F11" w:rsidRDefault="025D4C96" w:rsidP="00414F11">
      <w:pPr>
        <w:keepNext/>
      </w:pPr>
      <w:r>
        <w:rPr>
          <w:noProof/>
        </w:rPr>
        <w:drawing>
          <wp:inline distT="0" distB="0" distL="0" distR="0" wp14:anchorId="0F69C97C" wp14:editId="16E4894D">
            <wp:extent cx="5731510" cy="2164715"/>
            <wp:effectExtent l="0" t="0" r="254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77">
                      <a:extLst>
                        <a:ext uri="{28A0092B-C50C-407E-A947-70E740481C1C}">
                          <a14:useLocalDpi xmlns:a14="http://schemas.microsoft.com/office/drawing/2010/main" val="0"/>
                        </a:ext>
                      </a:extLst>
                    </a:blip>
                    <a:stretch>
                      <a:fillRect/>
                    </a:stretch>
                  </pic:blipFill>
                  <pic:spPr>
                    <a:xfrm>
                      <a:off x="0" y="0"/>
                      <a:ext cx="5731510" cy="2164715"/>
                    </a:xfrm>
                    <a:prstGeom prst="rect">
                      <a:avLst/>
                    </a:prstGeom>
                  </pic:spPr>
                </pic:pic>
              </a:graphicData>
            </a:graphic>
          </wp:inline>
        </w:drawing>
      </w:r>
    </w:p>
    <w:p w:rsidR="00665BB8" w:rsidRDefault="00414F11" w:rsidP="00414F11">
      <w:pPr>
        <w:pStyle w:val="Caption"/>
      </w:pPr>
      <w:bookmarkStart w:id="406" w:name="_Ref54086728"/>
      <w:r>
        <w:t xml:space="preserve">Figure </w:t>
      </w:r>
      <w:r w:rsidR="003C4A1C">
        <w:rPr>
          <w:noProof/>
        </w:rPr>
        <w:t>55</w:t>
      </w:r>
      <w:bookmarkEnd w:id="406"/>
      <w:r>
        <w:t xml:space="preserve">: </w:t>
      </w:r>
      <w:r w:rsidRPr="00042AC7">
        <w:t xml:space="preserve">Results of discontinuation due to adverse events in Howes et al. (2020), bupropion versus </w:t>
      </w:r>
      <w:r>
        <w:t>NRT</w:t>
      </w:r>
    </w:p>
    <w:p w:rsidR="00414F11" w:rsidRDefault="00414F11" w:rsidP="00414F11">
      <w:pPr>
        <w:pStyle w:val="FigureFooter"/>
      </w:pPr>
      <w:r>
        <w:t>Source: Howes et al. (2020)</w:t>
      </w:r>
    </w:p>
    <w:p w:rsidR="00D83CD9" w:rsidRDefault="00D83CD9" w:rsidP="003E0489"/>
    <w:p w:rsidR="00837D57" w:rsidRDefault="00CA5237" w:rsidP="00837D57">
      <w:pPr>
        <w:keepNext/>
      </w:pPr>
      <w:r>
        <w:rPr>
          <w:noProof/>
        </w:rPr>
        <w:lastRenderedPageBreak/>
        <w:drawing>
          <wp:inline distT="0" distB="0" distL="0" distR="0" wp14:anchorId="7A63D39C" wp14:editId="58741E8C">
            <wp:extent cx="5731510" cy="4450715"/>
            <wp:effectExtent l="0" t="0" r="254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78">
                      <a:extLst>
                        <a:ext uri="{28A0092B-C50C-407E-A947-70E740481C1C}">
                          <a14:useLocalDpi xmlns:a14="http://schemas.microsoft.com/office/drawing/2010/main" val="0"/>
                        </a:ext>
                      </a:extLst>
                    </a:blip>
                    <a:stretch>
                      <a:fillRect/>
                    </a:stretch>
                  </pic:blipFill>
                  <pic:spPr>
                    <a:xfrm>
                      <a:off x="0" y="0"/>
                      <a:ext cx="5731510" cy="4450715"/>
                    </a:xfrm>
                    <a:prstGeom prst="rect">
                      <a:avLst/>
                    </a:prstGeom>
                  </pic:spPr>
                </pic:pic>
              </a:graphicData>
            </a:graphic>
          </wp:inline>
        </w:drawing>
      </w:r>
    </w:p>
    <w:p w:rsidR="00D83CD9" w:rsidRDefault="00837D57" w:rsidP="00837D57">
      <w:pPr>
        <w:pStyle w:val="Caption"/>
      </w:pPr>
      <w:bookmarkStart w:id="407" w:name="_Ref54089510"/>
      <w:r>
        <w:t xml:space="preserve">Figure </w:t>
      </w:r>
      <w:r w:rsidR="003C4A1C">
        <w:rPr>
          <w:noProof/>
        </w:rPr>
        <w:t>56</w:t>
      </w:r>
      <w:bookmarkEnd w:id="407"/>
      <w:r>
        <w:t xml:space="preserve">: </w:t>
      </w:r>
      <w:r w:rsidRPr="00D34433">
        <w:t>Results of adverse events</w:t>
      </w:r>
      <w:r>
        <w:t xml:space="preserve"> (nausea)</w:t>
      </w:r>
      <w:r w:rsidRPr="00D34433">
        <w:t xml:space="preserve"> </w:t>
      </w:r>
      <w:r w:rsidR="0027001B">
        <w:t>based on updated re-analysis</w:t>
      </w:r>
      <w:r w:rsidRPr="00D34433">
        <w:t xml:space="preserve">, </w:t>
      </w:r>
      <w:r>
        <w:t>varenicline</w:t>
      </w:r>
      <w:r w:rsidRPr="00D34433">
        <w:t xml:space="preserve"> versus placebo</w:t>
      </w:r>
    </w:p>
    <w:p w:rsidR="00876F50" w:rsidRDefault="00876F50" w:rsidP="00876F50">
      <w:pPr>
        <w:pStyle w:val="FigureFooter"/>
      </w:pPr>
      <w:r>
        <w:t xml:space="preserve">Source: Cahill et al. </w:t>
      </w:r>
      <w:r w:rsidR="00C56E56" w:rsidRPr="00C56E56">
        <w:t>(2016), Lerman et al. (2015), Littlewood et al. (2017)</w:t>
      </w:r>
      <w:r w:rsidR="006F2484">
        <w:t xml:space="preserve">, </w:t>
      </w:r>
      <w:r w:rsidR="00C56E56" w:rsidRPr="00C56E56">
        <w:t>Chen et al. (2020)</w:t>
      </w:r>
    </w:p>
    <w:p w:rsidR="00504C1E" w:rsidRDefault="00504C1E" w:rsidP="00876F50">
      <w:pPr>
        <w:pStyle w:val="FigureFooter"/>
      </w:pPr>
      <w:r>
        <w:t xml:space="preserve">Note: </w:t>
      </w:r>
      <w:r w:rsidR="001D6CF9" w:rsidRPr="001D6CF9">
        <w:t>Excluded the following studies from updated safety re-analysis due to incorrect treatment duration (NCT00828113, Williams 2007, Stein 2013, Evins 2014, Ebbert 2015; exceeded standard 12 weeks therapy).</w:t>
      </w:r>
    </w:p>
    <w:p w:rsidR="00AA32A9" w:rsidRDefault="00AA32A9" w:rsidP="003E0489"/>
    <w:p w:rsidR="00837D57" w:rsidRDefault="0010537F" w:rsidP="00837D57">
      <w:pPr>
        <w:keepNext/>
      </w:pPr>
      <w:r>
        <w:rPr>
          <w:noProof/>
        </w:rPr>
        <w:lastRenderedPageBreak/>
        <w:drawing>
          <wp:inline distT="0" distB="0" distL="0" distR="0" wp14:anchorId="3E05786E" wp14:editId="79C4B6F3">
            <wp:extent cx="5731510" cy="433324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79">
                      <a:extLst>
                        <a:ext uri="{28A0092B-C50C-407E-A947-70E740481C1C}">
                          <a14:useLocalDpi xmlns:a14="http://schemas.microsoft.com/office/drawing/2010/main" val="0"/>
                        </a:ext>
                      </a:extLst>
                    </a:blip>
                    <a:stretch>
                      <a:fillRect/>
                    </a:stretch>
                  </pic:blipFill>
                  <pic:spPr>
                    <a:xfrm>
                      <a:off x="0" y="0"/>
                      <a:ext cx="5731510" cy="4333240"/>
                    </a:xfrm>
                    <a:prstGeom prst="rect">
                      <a:avLst/>
                    </a:prstGeom>
                  </pic:spPr>
                </pic:pic>
              </a:graphicData>
            </a:graphic>
          </wp:inline>
        </w:drawing>
      </w:r>
    </w:p>
    <w:p w:rsidR="00AA32A9" w:rsidRDefault="00837D57" w:rsidP="00837D57">
      <w:pPr>
        <w:pStyle w:val="Caption"/>
      </w:pPr>
      <w:r>
        <w:t xml:space="preserve">Figure </w:t>
      </w:r>
      <w:r w:rsidR="003C4A1C">
        <w:rPr>
          <w:noProof/>
        </w:rPr>
        <w:t>57</w:t>
      </w:r>
      <w:r>
        <w:t xml:space="preserve">: </w:t>
      </w:r>
      <w:r w:rsidRPr="00C26B18">
        <w:t>Results of adverse events (</w:t>
      </w:r>
      <w:r>
        <w:t>insomnia</w:t>
      </w:r>
      <w:r w:rsidRPr="00C26B18">
        <w:t xml:space="preserve">) </w:t>
      </w:r>
      <w:r w:rsidR="006B369B">
        <w:t>based on updated re-analysis</w:t>
      </w:r>
      <w:r w:rsidRPr="00C26B18">
        <w:t>, varenicline versus placebo</w:t>
      </w:r>
    </w:p>
    <w:p w:rsidR="00876F50" w:rsidRDefault="00876F50" w:rsidP="00876F50">
      <w:pPr>
        <w:pStyle w:val="FigureFooter"/>
      </w:pPr>
      <w:r>
        <w:t xml:space="preserve">Source: Cahill et al. </w:t>
      </w:r>
      <w:r w:rsidR="006B369B" w:rsidRPr="006B369B">
        <w:t xml:space="preserve">(2016), Lerman et al. (2015), Littlewood et al. (2017), </w:t>
      </w:r>
      <w:r w:rsidR="00AF4C5C">
        <w:t>Mercie</w:t>
      </w:r>
      <w:r w:rsidR="006B369B" w:rsidRPr="006B369B">
        <w:t xml:space="preserve"> et al. (2018), Chen et al. (2020)</w:t>
      </w:r>
    </w:p>
    <w:p w:rsidR="00F34E64" w:rsidRDefault="00F34E64" w:rsidP="00F34E64">
      <w:pPr>
        <w:pStyle w:val="FigureFooter"/>
      </w:pPr>
      <w:r>
        <w:t xml:space="preserve">Note: </w:t>
      </w:r>
      <w:r w:rsidRPr="001D6CF9">
        <w:t>Excluded the following studies from updated safety re-analysis due to incorrect treatment duration (Williams 2007, Stein 2013, Evins 2014, Ebbert 2015; exceeded standard 12 weeks therapy).</w:t>
      </w:r>
    </w:p>
    <w:p w:rsidR="00F34E64" w:rsidRDefault="00F34E64" w:rsidP="00876F50">
      <w:pPr>
        <w:pStyle w:val="FigureFooter"/>
      </w:pPr>
    </w:p>
    <w:p w:rsidR="00145A2C" w:rsidRDefault="00145A2C" w:rsidP="003E0489"/>
    <w:p w:rsidR="00876F50" w:rsidRDefault="005B098A" w:rsidP="00876F50">
      <w:pPr>
        <w:keepNext/>
      </w:pPr>
      <w:r>
        <w:rPr>
          <w:noProof/>
        </w:rPr>
        <w:lastRenderedPageBreak/>
        <w:drawing>
          <wp:inline distT="0" distB="0" distL="0" distR="0" wp14:anchorId="1BBD4415" wp14:editId="0AAB7D2B">
            <wp:extent cx="5731510" cy="3864610"/>
            <wp:effectExtent l="0" t="0" r="254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80">
                      <a:extLst>
                        <a:ext uri="{28A0092B-C50C-407E-A947-70E740481C1C}">
                          <a14:useLocalDpi xmlns:a14="http://schemas.microsoft.com/office/drawing/2010/main" val="0"/>
                        </a:ext>
                      </a:extLst>
                    </a:blip>
                    <a:stretch>
                      <a:fillRect/>
                    </a:stretch>
                  </pic:blipFill>
                  <pic:spPr>
                    <a:xfrm>
                      <a:off x="0" y="0"/>
                      <a:ext cx="5731510" cy="3864610"/>
                    </a:xfrm>
                    <a:prstGeom prst="rect">
                      <a:avLst/>
                    </a:prstGeom>
                  </pic:spPr>
                </pic:pic>
              </a:graphicData>
            </a:graphic>
          </wp:inline>
        </w:drawing>
      </w:r>
    </w:p>
    <w:p w:rsidR="00145A2C" w:rsidRDefault="00876F50" w:rsidP="00876F50">
      <w:pPr>
        <w:pStyle w:val="Caption"/>
      </w:pPr>
      <w:r>
        <w:t xml:space="preserve">Figure </w:t>
      </w:r>
      <w:r w:rsidR="003C4A1C">
        <w:rPr>
          <w:noProof/>
        </w:rPr>
        <w:t>58</w:t>
      </w:r>
      <w:r>
        <w:t xml:space="preserve">: </w:t>
      </w:r>
      <w:r w:rsidRPr="00EF2E85">
        <w:t>Results of adverse events (</w:t>
      </w:r>
      <w:r>
        <w:t>abnormal dreams</w:t>
      </w:r>
      <w:r w:rsidRPr="00EF2E85">
        <w:t xml:space="preserve">) </w:t>
      </w:r>
      <w:r w:rsidR="006B369B">
        <w:t>based on updated re-analysis</w:t>
      </w:r>
      <w:r w:rsidRPr="00EF2E85">
        <w:t>, varenicline versus placebo</w:t>
      </w:r>
    </w:p>
    <w:p w:rsidR="00876F50" w:rsidRDefault="00876F50" w:rsidP="00876F50">
      <w:pPr>
        <w:pStyle w:val="FigureFooter"/>
      </w:pPr>
      <w:r>
        <w:t xml:space="preserve">Source: Cahill et al. </w:t>
      </w:r>
      <w:r w:rsidR="006B369B" w:rsidRPr="006B369B">
        <w:t>(2016), Lerman et al. (2015), Littlewood et al. (2017), Chen et al. (2020)</w:t>
      </w:r>
    </w:p>
    <w:p w:rsidR="00944C58" w:rsidRDefault="00944C58" w:rsidP="00876F50">
      <w:pPr>
        <w:pStyle w:val="FigureFooter"/>
      </w:pPr>
      <w:r w:rsidRPr="00944C58">
        <w:t>Note: Excluded the following studies from updated safety re-analysis due to incorrect treatment duration (Williams 2007, Stein 2013, Evins 2014, Ebbert 2015; exceeded standard 12 weeks therapy).</w:t>
      </w:r>
    </w:p>
    <w:p w:rsidR="00B852CE" w:rsidRDefault="00B852CE" w:rsidP="003E0489"/>
    <w:p w:rsidR="00876F50" w:rsidRDefault="00E90BDD" w:rsidP="00876F50">
      <w:pPr>
        <w:keepNext/>
      </w:pPr>
      <w:r>
        <w:rPr>
          <w:noProof/>
        </w:rPr>
        <w:lastRenderedPageBreak/>
        <w:drawing>
          <wp:inline distT="0" distB="0" distL="0" distR="0" wp14:anchorId="41C7F2D8" wp14:editId="6FED9BE2">
            <wp:extent cx="5731510" cy="4098925"/>
            <wp:effectExtent l="0" t="0" r="254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pic:nvPicPr>
                  <pic:blipFill>
                    <a:blip r:embed="rId81">
                      <a:extLst>
                        <a:ext uri="{28A0092B-C50C-407E-A947-70E740481C1C}">
                          <a14:useLocalDpi xmlns:a14="http://schemas.microsoft.com/office/drawing/2010/main" val="0"/>
                        </a:ext>
                      </a:extLst>
                    </a:blip>
                    <a:stretch>
                      <a:fillRect/>
                    </a:stretch>
                  </pic:blipFill>
                  <pic:spPr>
                    <a:xfrm>
                      <a:off x="0" y="0"/>
                      <a:ext cx="5731510" cy="4098925"/>
                    </a:xfrm>
                    <a:prstGeom prst="rect">
                      <a:avLst/>
                    </a:prstGeom>
                  </pic:spPr>
                </pic:pic>
              </a:graphicData>
            </a:graphic>
          </wp:inline>
        </w:drawing>
      </w:r>
    </w:p>
    <w:p w:rsidR="00B852CE" w:rsidRDefault="00876F50" w:rsidP="00876F50">
      <w:pPr>
        <w:pStyle w:val="Caption"/>
      </w:pPr>
      <w:r>
        <w:t xml:space="preserve">Figure </w:t>
      </w:r>
      <w:r w:rsidR="003C4A1C">
        <w:rPr>
          <w:noProof/>
        </w:rPr>
        <w:t>59</w:t>
      </w:r>
      <w:r>
        <w:t xml:space="preserve">: </w:t>
      </w:r>
      <w:r w:rsidRPr="003E27E5">
        <w:t>Results of adverse events (</w:t>
      </w:r>
      <w:r>
        <w:t>headache</w:t>
      </w:r>
      <w:r w:rsidRPr="003E27E5">
        <w:t xml:space="preserve">) </w:t>
      </w:r>
      <w:r w:rsidR="006B369B">
        <w:t>based on updated re-analysis</w:t>
      </w:r>
      <w:r w:rsidRPr="003E27E5">
        <w:t>, varenicline versus placebo</w:t>
      </w:r>
    </w:p>
    <w:p w:rsidR="00876F50" w:rsidRDefault="00876F50" w:rsidP="00876F50">
      <w:pPr>
        <w:pStyle w:val="FigureFooter"/>
      </w:pPr>
      <w:r>
        <w:t xml:space="preserve">Source: Cahill et al. </w:t>
      </w:r>
      <w:r w:rsidR="006B369B" w:rsidRPr="006B369B">
        <w:t xml:space="preserve">(2016), Lerman et al. (2015), Littlewood et al. (2017), </w:t>
      </w:r>
      <w:r w:rsidR="005E3372">
        <w:t>Mercie</w:t>
      </w:r>
      <w:r w:rsidR="006B369B" w:rsidRPr="006B369B">
        <w:t xml:space="preserve"> et al. (2018), Chen et al. (2020)</w:t>
      </w:r>
    </w:p>
    <w:p w:rsidR="005B098A" w:rsidRDefault="005B098A" w:rsidP="00876F50">
      <w:pPr>
        <w:pStyle w:val="FigureFooter"/>
      </w:pPr>
      <w:r w:rsidRPr="005B098A">
        <w:t>Note: Excluded the following studies from updated safety re-analysis due to incorrect treatment duration (Stein 2013, Evins 2014, Ebbert 2015; exceeded standard 12 weeks therapy).</w:t>
      </w:r>
    </w:p>
    <w:p w:rsidR="00576A9D" w:rsidRDefault="19A98CE9" w:rsidP="00576A9D">
      <w:pPr>
        <w:keepNext/>
      </w:pPr>
      <w:r>
        <w:rPr>
          <w:noProof/>
        </w:rPr>
        <w:lastRenderedPageBreak/>
        <w:drawing>
          <wp:inline distT="0" distB="0" distL="0" distR="0" wp14:anchorId="1447220A" wp14:editId="09820EF6">
            <wp:extent cx="5731510" cy="4786628"/>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82">
                      <a:extLst>
                        <a:ext uri="{28A0092B-C50C-407E-A947-70E740481C1C}">
                          <a14:useLocalDpi xmlns:a14="http://schemas.microsoft.com/office/drawing/2010/main" val="0"/>
                        </a:ext>
                      </a:extLst>
                    </a:blip>
                    <a:stretch>
                      <a:fillRect/>
                    </a:stretch>
                  </pic:blipFill>
                  <pic:spPr>
                    <a:xfrm>
                      <a:off x="0" y="0"/>
                      <a:ext cx="5731510" cy="4786628"/>
                    </a:xfrm>
                    <a:prstGeom prst="rect">
                      <a:avLst/>
                    </a:prstGeom>
                  </pic:spPr>
                </pic:pic>
              </a:graphicData>
            </a:graphic>
          </wp:inline>
        </w:drawing>
      </w:r>
    </w:p>
    <w:p w:rsidR="00576A9D" w:rsidRDefault="00576A9D" w:rsidP="00576A9D">
      <w:pPr>
        <w:pStyle w:val="Caption"/>
      </w:pPr>
      <w:r>
        <w:t xml:space="preserve">Figure </w:t>
      </w:r>
      <w:r w:rsidR="003C4A1C">
        <w:rPr>
          <w:noProof/>
        </w:rPr>
        <w:t>60</w:t>
      </w:r>
      <w:r>
        <w:t xml:space="preserve">: </w:t>
      </w:r>
      <w:r w:rsidRPr="004816C1">
        <w:t>Results of adverse events (</w:t>
      </w:r>
      <w:r>
        <w:t>depression</w:t>
      </w:r>
      <w:r w:rsidRPr="004816C1">
        <w:t>) based on updated re-analysis, varenicline versus placebo</w:t>
      </w:r>
    </w:p>
    <w:p w:rsidR="007F5258" w:rsidRDefault="007F5258" w:rsidP="007F5258">
      <w:pPr>
        <w:pStyle w:val="FigureFooter"/>
      </w:pPr>
      <w:r>
        <w:t xml:space="preserve">Source: Cahill et al. </w:t>
      </w:r>
      <w:r w:rsidRPr="006B369B">
        <w:t xml:space="preserve">(2016), Littlewood et al. (2017), </w:t>
      </w:r>
      <w:r>
        <w:t>Mercie</w:t>
      </w:r>
      <w:r w:rsidRPr="006B369B">
        <w:t xml:space="preserve"> et al. (2018), </w:t>
      </w:r>
      <w:r w:rsidR="00C41ED7">
        <w:t xml:space="preserve">Ashare et al. (2019), </w:t>
      </w:r>
      <w:r w:rsidRPr="006B369B">
        <w:t>Chen et al. (2020)</w:t>
      </w:r>
    </w:p>
    <w:p w:rsidR="007F5258" w:rsidRDefault="007F5258" w:rsidP="007F5258">
      <w:pPr>
        <w:pStyle w:val="FigureFooter"/>
      </w:pPr>
      <w:r w:rsidRPr="005B098A">
        <w:t>Note: Excluded the following studies from updated safety re-analysis due to incorrect treatment duration (</w:t>
      </w:r>
      <w:r w:rsidR="00A006E9">
        <w:t xml:space="preserve">Williams 2007, </w:t>
      </w:r>
      <w:r w:rsidRPr="005B098A">
        <w:t>Stein 2013, Evins 2014, Ebbert 2015; exceeded standard 12 weeks therapy).</w:t>
      </w:r>
      <w:r w:rsidR="005F7746">
        <w:t xml:space="preserve"> In Mercie et al. (2018), </w:t>
      </w:r>
      <w:r w:rsidR="00365DBD">
        <w:t>depression adverse events were recorded as Grade 3 or 4.</w:t>
      </w:r>
    </w:p>
    <w:p w:rsidR="00C22D8A" w:rsidRDefault="560E4A31" w:rsidP="00C22D8A">
      <w:pPr>
        <w:keepNext/>
      </w:pPr>
      <w:r>
        <w:rPr>
          <w:noProof/>
        </w:rPr>
        <w:lastRenderedPageBreak/>
        <w:drawing>
          <wp:inline distT="0" distB="0" distL="0" distR="0" wp14:anchorId="65DB0498" wp14:editId="5D84AF88">
            <wp:extent cx="5731510" cy="3481070"/>
            <wp:effectExtent l="0" t="0" r="254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pic:nvPicPr>
                  <pic:blipFill>
                    <a:blip r:embed="rId83">
                      <a:extLst>
                        <a:ext uri="{28A0092B-C50C-407E-A947-70E740481C1C}">
                          <a14:useLocalDpi xmlns:a14="http://schemas.microsoft.com/office/drawing/2010/main" val="0"/>
                        </a:ext>
                      </a:extLst>
                    </a:blip>
                    <a:stretch>
                      <a:fillRect/>
                    </a:stretch>
                  </pic:blipFill>
                  <pic:spPr>
                    <a:xfrm>
                      <a:off x="0" y="0"/>
                      <a:ext cx="5731510" cy="3481070"/>
                    </a:xfrm>
                    <a:prstGeom prst="rect">
                      <a:avLst/>
                    </a:prstGeom>
                  </pic:spPr>
                </pic:pic>
              </a:graphicData>
            </a:graphic>
          </wp:inline>
        </w:drawing>
      </w:r>
    </w:p>
    <w:p w:rsidR="00C22D8A" w:rsidRDefault="00C22D8A" w:rsidP="00C22D8A">
      <w:pPr>
        <w:pStyle w:val="Caption"/>
      </w:pPr>
      <w:r>
        <w:t xml:space="preserve">Figure </w:t>
      </w:r>
      <w:r w:rsidR="003C4A1C">
        <w:rPr>
          <w:noProof/>
        </w:rPr>
        <w:t>61</w:t>
      </w:r>
      <w:r>
        <w:t xml:space="preserve">: </w:t>
      </w:r>
      <w:r w:rsidRPr="00C52FFF">
        <w:t>Results of adverse events (</w:t>
      </w:r>
      <w:r>
        <w:t>suicidal ideation</w:t>
      </w:r>
      <w:r w:rsidRPr="00C52FFF">
        <w:t>) based on updated re-analysis, varenicline versus placebo</w:t>
      </w:r>
    </w:p>
    <w:p w:rsidR="00C22D8A" w:rsidRDefault="00C22D8A" w:rsidP="00C22D8A">
      <w:pPr>
        <w:pStyle w:val="FigureFooter"/>
      </w:pPr>
      <w:r>
        <w:t xml:space="preserve">Source: Cahill et al. </w:t>
      </w:r>
      <w:r w:rsidRPr="006B369B">
        <w:t>(2016), L</w:t>
      </w:r>
      <w:r w:rsidR="00BE44E2">
        <w:t>erman et</w:t>
      </w:r>
      <w:r w:rsidRPr="006B369B">
        <w:t xml:space="preserve"> al. (201</w:t>
      </w:r>
      <w:r w:rsidR="00BE44E2">
        <w:t>5</w:t>
      </w:r>
      <w:r w:rsidRPr="006B369B">
        <w:t xml:space="preserve">), </w:t>
      </w:r>
      <w:r>
        <w:t xml:space="preserve">Ashare et al. (2019), </w:t>
      </w:r>
      <w:r w:rsidRPr="006B369B">
        <w:t>Chen et al. (2020)</w:t>
      </w:r>
    </w:p>
    <w:p w:rsidR="00C22D8A" w:rsidRDefault="00C22D8A" w:rsidP="00C22D8A">
      <w:pPr>
        <w:pStyle w:val="FigureFooter"/>
      </w:pPr>
      <w:r w:rsidRPr="005B098A">
        <w:t>Note: Excluded the following studies from updated safety re-analysis due to incorrect treatment duration (Stein 2013, Evins 2014, Ebbert 2015; exceeded standard 12 weeks therapy).</w:t>
      </w:r>
    </w:p>
    <w:p w:rsidR="00B852CE" w:rsidRDefault="00B852CE" w:rsidP="003E0489"/>
    <w:p w:rsidR="00876F50" w:rsidRDefault="00D44DA3" w:rsidP="00876F50">
      <w:pPr>
        <w:keepNext/>
      </w:pPr>
      <w:r>
        <w:rPr>
          <w:noProof/>
        </w:rPr>
        <w:lastRenderedPageBreak/>
        <w:drawing>
          <wp:inline distT="0" distB="0" distL="0" distR="0" wp14:anchorId="4D408FBB" wp14:editId="464EEF24">
            <wp:extent cx="5731510" cy="4216400"/>
            <wp:effectExtent l="0" t="0" r="254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pic:nvPicPr>
                  <pic:blipFill>
                    <a:blip r:embed="rId84">
                      <a:extLst>
                        <a:ext uri="{28A0092B-C50C-407E-A947-70E740481C1C}">
                          <a14:useLocalDpi xmlns:a14="http://schemas.microsoft.com/office/drawing/2010/main" val="0"/>
                        </a:ext>
                      </a:extLst>
                    </a:blip>
                    <a:stretch>
                      <a:fillRect/>
                    </a:stretch>
                  </pic:blipFill>
                  <pic:spPr>
                    <a:xfrm>
                      <a:off x="0" y="0"/>
                      <a:ext cx="5731510" cy="4216400"/>
                    </a:xfrm>
                    <a:prstGeom prst="rect">
                      <a:avLst/>
                    </a:prstGeom>
                  </pic:spPr>
                </pic:pic>
              </a:graphicData>
            </a:graphic>
          </wp:inline>
        </w:drawing>
      </w:r>
    </w:p>
    <w:p w:rsidR="00B852CE" w:rsidRDefault="00876F50" w:rsidP="00876F50">
      <w:pPr>
        <w:pStyle w:val="Caption"/>
      </w:pPr>
      <w:r>
        <w:t xml:space="preserve">Figure </w:t>
      </w:r>
      <w:r w:rsidR="003C4A1C">
        <w:rPr>
          <w:noProof/>
        </w:rPr>
        <w:t>62</w:t>
      </w:r>
      <w:r>
        <w:t xml:space="preserve">: </w:t>
      </w:r>
      <w:r w:rsidRPr="00D43B05">
        <w:t xml:space="preserve">Results of </w:t>
      </w:r>
      <w:r>
        <w:t xml:space="preserve">serious </w:t>
      </w:r>
      <w:r w:rsidRPr="00D43B05">
        <w:t xml:space="preserve">adverse events </w:t>
      </w:r>
      <w:r w:rsidR="006B369B">
        <w:t>based on updated re-analysis</w:t>
      </w:r>
      <w:r w:rsidRPr="00D43B05">
        <w:t>, varenicline versus placebo</w:t>
      </w:r>
    </w:p>
    <w:p w:rsidR="00876F50" w:rsidRDefault="00876F50" w:rsidP="00876F50">
      <w:pPr>
        <w:pStyle w:val="FigureFooter"/>
      </w:pPr>
      <w:r>
        <w:t xml:space="preserve">Source: Cahill et al. </w:t>
      </w:r>
      <w:r w:rsidR="006B369B" w:rsidRPr="006B369B">
        <w:t>(2016), Lerman et al. (2015), Littlewood et al. (2017), Windle et al. (2018), Ashare et al. (2019), Chen et al. (2020)</w:t>
      </w:r>
    </w:p>
    <w:p w:rsidR="00403F72" w:rsidRDefault="00403F72" w:rsidP="00403F72">
      <w:pPr>
        <w:pStyle w:val="FigureFooter"/>
      </w:pPr>
      <w:r>
        <w:t xml:space="preserve">Note: </w:t>
      </w:r>
      <w:r w:rsidRPr="001D6CF9">
        <w:t>Excluded the following studies from updated safety re-analysis due to incorrect treatment duration (NCT00828113, Williams 2007, Stein 2013, Evins 2014, Ebbert 2015; exceeded standard 12 weeks therapy).</w:t>
      </w:r>
    </w:p>
    <w:p w:rsidR="00403F72" w:rsidRDefault="00403F72" w:rsidP="00876F50">
      <w:pPr>
        <w:pStyle w:val="FigureFooter"/>
      </w:pPr>
    </w:p>
    <w:p w:rsidR="00876F50" w:rsidRPr="00876F50" w:rsidRDefault="00876F50" w:rsidP="00876F50"/>
    <w:p w:rsidR="00876F50" w:rsidRDefault="00630F8C" w:rsidP="00876F50">
      <w:pPr>
        <w:keepNext/>
      </w:pPr>
      <w:r>
        <w:rPr>
          <w:noProof/>
        </w:rPr>
        <w:lastRenderedPageBreak/>
        <w:drawing>
          <wp:inline distT="0" distB="0" distL="0" distR="0" wp14:anchorId="690BE797" wp14:editId="5D38FFC8">
            <wp:extent cx="5731510" cy="3513455"/>
            <wp:effectExtent l="0" t="0" r="254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pic:nvPicPr>
                  <pic:blipFill>
                    <a:blip r:embed="rId85">
                      <a:extLst>
                        <a:ext uri="{28A0092B-C50C-407E-A947-70E740481C1C}">
                          <a14:useLocalDpi xmlns:a14="http://schemas.microsoft.com/office/drawing/2010/main" val="0"/>
                        </a:ext>
                      </a:extLst>
                    </a:blip>
                    <a:stretch>
                      <a:fillRect/>
                    </a:stretch>
                  </pic:blipFill>
                  <pic:spPr>
                    <a:xfrm>
                      <a:off x="0" y="0"/>
                      <a:ext cx="5731510" cy="3513455"/>
                    </a:xfrm>
                    <a:prstGeom prst="rect">
                      <a:avLst/>
                    </a:prstGeom>
                  </pic:spPr>
                </pic:pic>
              </a:graphicData>
            </a:graphic>
          </wp:inline>
        </w:drawing>
      </w:r>
    </w:p>
    <w:p w:rsidR="00740A3A" w:rsidRDefault="00876F50" w:rsidP="00876F50">
      <w:pPr>
        <w:pStyle w:val="Caption"/>
      </w:pPr>
      <w:r>
        <w:t xml:space="preserve">Figure </w:t>
      </w:r>
      <w:r w:rsidR="003C4A1C">
        <w:rPr>
          <w:noProof/>
        </w:rPr>
        <w:t>63</w:t>
      </w:r>
      <w:r>
        <w:t xml:space="preserve">: </w:t>
      </w:r>
      <w:r w:rsidRPr="004A7FAC">
        <w:t>Results of</w:t>
      </w:r>
      <w:r>
        <w:t xml:space="preserve"> neuropsychiatric</w:t>
      </w:r>
      <w:r w:rsidRPr="004A7FAC">
        <w:t xml:space="preserve"> serious adverse events </w:t>
      </w:r>
      <w:r w:rsidR="006B369B">
        <w:t>based on updated re-analysis</w:t>
      </w:r>
      <w:r w:rsidRPr="004A7FAC">
        <w:t>, varenicline versus placebo</w:t>
      </w:r>
    </w:p>
    <w:p w:rsidR="00876F50" w:rsidRDefault="00876F50" w:rsidP="00876F50">
      <w:pPr>
        <w:pStyle w:val="FigureFooter"/>
      </w:pPr>
      <w:r>
        <w:t xml:space="preserve">Source: Cahill et al. </w:t>
      </w:r>
      <w:r w:rsidR="006B369B" w:rsidRPr="006B369B">
        <w:t>(2016), Lerman et al. (2015), Ashare et al. (2019)</w:t>
      </w:r>
    </w:p>
    <w:p w:rsidR="002171ED" w:rsidRDefault="002171ED" w:rsidP="002171ED">
      <w:pPr>
        <w:pStyle w:val="FigureFooter"/>
      </w:pPr>
      <w:r>
        <w:t xml:space="preserve">Note: </w:t>
      </w:r>
      <w:r w:rsidRPr="001D6CF9">
        <w:t>Excluded the following studies from updated safety re-analysis due to incorrect treatment duration (Williams 2007, Stein 2013, Evins 2014; exceeded standard 12 weeks therapy).</w:t>
      </w:r>
    </w:p>
    <w:p w:rsidR="002171ED" w:rsidRDefault="002171ED" w:rsidP="00876F50">
      <w:pPr>
        <w:pStyle w:val="FigureFooter"/>
      </w:pPr>
    </w:p>
    <w:p w:rsidR="00837D57" w:rsidRDefault="00837D57" w:rsidP="003E0489"/>
    <w:p w:rsidR="00876F50" w:rsidRDefault="00766B02" w:rsidP="00876F50">
      <w:pPr>
        <w:keepNext/>
      </w:pPr>
      <w:r>
        <w:rPr>
          <w:noProof/>
        </w:rPr>
        <w:lastRenderedPageBreak/>
        <w:drawing>
          <wp:inline distT="0" distB="0" distL="0" distR="0" wp14:anchorId="2773CAD8" wp14:editId="6EB99556">
            <wp:extent cx="5731510" cy="3513455"/>
            <wp:effectExtent l="0" t="0" r="254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pic:nvPicPr>
                  <pic:blipFill>
                    <a:blip r:embed="rId86">
                      <a:extLst>
                        <a:ext uri="{28A0092B-C50C-407E-A947-70E740481C1C}">
                          <a14:useLocalDpi xmlns:a14="http://schemas.microsoft.com/office/drawing/2010/main" val="0"/>
                        </a:ext>
                      </a:extLst>
                    </a:blip>
                    <a:stretch>
                      <a:fillRect/>
                    </a:stretch>
                  </pic:blipFill>
                  <pic:spPr>
                    <a:xfrm>
                      <a:off x="0" y="0"/>
                      <a:ext cx="5731510" cy="3513455"/>
                    </a:xfrm>
                    <a:prstGeom prst="rect">
                      <a:avLst/>
                    </a:prstGeom>
                  </pic:spPr>
                </pic:pic>
              </a:graphicData>
            </a:graphic>
          </wp:inline>
        </w:drawing>
      </w:r>
    </w:p>
    <w:p w:rsidR="00740A3A" w:rsidRDefault="00876F50" w:rsidP="00876F50">
      <w:pPr>
        <w:pStyle w:val="Caption"/>
      </w:pPr>
      <w:bookmarkStart w:id="408" w:name="_Ref54089511"/>
      <w:r>
        <w:t xml:space="preserve">Figure </w:t>
      </w:r>
      <w:r w:rsidR="003C4A1C">
        <w:rPr>
          <w:noProof/>
        </w:rPr>
        <w:t>64</w:t>
      </w:r>
      <w:bookmarkEnd w:id="408"/>
      <w:r>
        <w:t xml:space="preserve">: </w:t>
      </w:r>
      <w:r w:rsidRPr="00D151D8">
        <w:t xml:space="preserve">Results of </w:t>
      </w:r>
      <w:r>
        <w:t xml:space="preserve">cardiac </w:t>
      </w:r>
      <w:r w:rsidRPr="00D151D8">
        <w:t xml:space="preserve">serious adverse events </w:t>
      </w:r>
      <w:r w:rsidR="006B369B">
        <w:t>based on updated re-analysis</w:t>
      </w:r>
      <w:r w:rsidRPr="00D151D8">
        <w:t>, varenicline versus placebo</w:t>
      </w:r>
    </w:p>
    <w:p w:rsidR="00876F50" w:rsidRDefault="00876F50" w:rsidP="00876F50">
      <w:pPr>
        <w:pStyle w:val="FigureFooter"/>
      </w:pPr>
      <w:r>
        <w:t xml:space="preserve">Source: Cahill et al. </w:t>
      </w:r>
      <w:r w:rsidR="006B369B" w:rsidRPr="006B369B">
        <w:t xml:space="preserve">(2016), Lerman et al. (2015), </w:t>
      </w:r>
      <w:r w:rsidR="001E6973">
        <w:t>Benowitz</w:t>
      </w:r>
      <w:r w:rsidR="006B369B" w:rsidRPr="006B369B">
        <w:t xml:space="preserve"> et al. (2018),</w:t>
      </w:r>
      <w:r w:rsidR="001E6973">
        <w:t xml:space="preserve"> </w:t>
      </w:r>
      <w:r w:rsidR="006B369B" w:rsidRPr="006B369B">
        <w:t>Chen et al. (2020)</w:t>
      </w:r>
    </w:p>
    <w:p w:rsidR="00B019AD" w:rsidRDefault="00B019AD" w:rsidP="00876F50">
      <w:pPr>
        <w:pStyle w:val="FigureFooter"/>
      </w:pPr>
      <w:r>
        <w:t xml:space="preserve">Note: </w:t>
      </w:r>
      <w:r w:rsidRPr="001D6CF9">
        <w:t>Excluded the following studies from updated safety re-analysis due to incorrect treatment duration (Williams 2007, Evins 2014; exceeded standard 12 weeks therapy).</w:t>
      </w:r>
    </w:p>
    <w:p w:rsidR="00876F50" w:rsidRDefault="00876F50" w:rsidP="00876F50"/>
    <w:p w:rsidR="003F398E" w:rsidRDefault="00143D15" w:rsidP="003F398E">
      <w:pPr>
        <w:keepNext/>
      </w:pPr>
      <w:r>
        <w:rPr>
          <w:noProof/>
        </w:rPr>
        <w:drawing>
          <wp:inline distT="0" distB="0" distL="0" distR="0" wp14:anchorId="3DB1B53E" wp14:editId="60A303D8">
            <wp:extent cx="5731510" cy="168084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87">
                      <a:extLst>
                        <a:ext uri="{28A0092B-C50C-407E-A947-70E740481C1C}">
                          <a14:useLocalDpi xmlns:a14="http://schemas.microsoft.com/office/drawing/2010/main" val="0"/>
                        </a:ext>
                      </a:extLst>
                    </a:blip>
                    <a:stretch>
                      <a:fillRect/>
                    </a:stretch>
                  </pic:blipFill>
                  <pic:spPr>
                    <a:xfrm>
                      <a:off x="0" y="0"/>
                      <a:ext cx="5731510" cy="1680845"/>
                    </a:xfrm>
                    <a:prstGeom prst="rect">
                      <a:avLst/>
                    </a:prstGeom>
                  </pic:spPr>
                </pic:pic>
              </a:graphicData>
            </a:graphic>
          </wp:inline>
        </w:drawing>
      </w:r>
    </w:p>
    <w:p w:rsidR="003F398E" w:rsidRDefault="003F398E" w:rsidP="003F398E">
      <w:pPr>
        <w:pStyle w:val="Caption"/>
      </w:pPr>
      <w:bookmarkStart w:id="409" w:name="_Ref54105920"/>
      <w:r>
        <w:t xml:space="preserve">Figure </w:t>
      </w:r>
      <w:r w:rsidR="003C4A1C">
        <w:rPr>
          <w:noProof/>
        </w:rPr>
        <w:t>65</w:t>
      </w:r>
      <w:bookmarkEnd w:id="409"/>
      <w:r>
        <w:t xml:space="preserve">: </w:t>
      </w:r>
      <w:r w:rsidRPr="00A15406">
        <w:t xml:space="preserve">Results of adverse events in Howes et al. (2020), </w:t>
      </w:r>
      <w:r>
        <w:t xml:space="preserve">varenicline versus </w:t>
      </w:r>
      <w:r w:rsidRPr="00A15406">
        <w:t>bupropion</w:t>
      </w:r>
    </w:p>
    <w:p w:rsidR="003F398E" w:rsidRDefault="003F398E" w:rsidP="003F398E">
      <w:pPr>
        <w:pStyle w:val="FigureFooter"/>
      </w:pPr>
      <w:r>
        <w:t>Source: Howes et al. (2020)</w:t>
      </w:r>
    </w:p>
    <w:p w:rsidR="00642EF0" w:rsidRDefault="00642EF0" w:rsidP="00642EF0">
      <w:pPr>
        <w:pStyle w:val="TableFooter"/>
      </w:pPr>
      <w:r w:rsidRPr="00642EF0">
        <w:t>Note: Howes et al. (2020) presented this comparison as bupropion versus varenicline (inverse) using a fixed-effect model. Re-calculated during the review for varenicline versus bupropion using a random-effect model.</w:t>
      </w:r>
    </w:p>
    <w:p w:rsidR="00642EF0" w:rsidRDefault="00642EF0" w:rsidP="003F398E">
      <w:pPr>
        <w:pStyle w:val="FigureFooter"/>
      </w:pPr>
    </w:p>
    <w:p w:rsidR="003F398E" w:rsidRPr="003F398E" w:rsidRDefault="003F398E" w:rsidP="003F398E"/>
    <w:p w:rsidR="003F398E" w:rsidRDefault="00642EF0" w:rsidP="003F398E">
      <w:pPr>
        <w:keepNext/>
      </w:pPr>
      <w:r>
        <w:rPr>
          <w:noProof/>
        </w:rPr>
        <w:lastRenderedPageBreak/>
        <w:drawing>
          <wp:inline distT="0" distB="0" distL="0" distR="0" wp14:anchorId="5857D419" wp14:editId="68D75C31">
            <wp:extent cx="5731510" cy="1575435"/>
            <wp:effectExtent l="0" t="0" r="254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88">
                      <a:extLst>
                        <a:ext uri="{28A0092B-C50C-407E-A947-70E740481C1C}">
                          <a14:useLocalDpi xmlns:a14="http://schemas.microsoft.com/office/drawing/2010/main" val="0"/>
                        </a:ext>
                      </a:extLst>
                    </a:blip>
                    <a:stretch>
                      <a:fillRect/>
                    </a:stretch>
                  </pic:blipFill>
                  <pic:spPr>
                    <a:xfrm>
                      <a:off x="0" y="0"/>
                      <a:ext cx="5731510" cy="1575435"/>
                    </a:xfrm>
                    <a:prstGeom prst="rect">
                      <a:avLst/>
                    </a:prstGeom>
                  </pic:spPr>
                </pic:pic>
              </a:graphicData>
            </a:graphic>
          </wp:inline>
        </w:drawing>
      </w:r>
    </w:p>
    <w:p w:rsidR="003F398E" w:rsidRDefault="003F398E" w:rsidP="003F398E">
      <w:pPr>
        <w:pStyle w:val="Caption"/>
      </w:pPr>
      <w:r>
        <w:t xml:space="preserve">Figure </w:t>
      </w:r>
      <w:r w:rsidR="003C4A1C">
        <w:rPr>
          <w:noProof/>
        </w:rPr>
        <w:t>66</w:t>
      </w:r>
      <w:r>
        <w:t xml:space="preserve">: </w:t>
      </w:r>
      <w:r w:rsidRPr="00335F30">
        <w:t xml:space="preserve">Results of </w:t>
      </w:r>
      <w:r>
        <w:t xml:space="preserve">serious </w:t>
      </w:r>
      <w:r w:rsidRPr="00335F30">
        <w:t>adverse events in Howes et al. (2020), varenicline versus bupropion</w:t>
      </w:r>
    </w:p>
    <w:p w:rsidR="003F398E" w:rsidRDefault="003F398E" w:rsidP="003F398E">
      <w:pPr>
        <w:pStyle w:val="FigureFooter"/>
      </w:pPr>
      <w:r>
        <w:t>Source: Howes et al. (2020)</w:t>
      </w:r>
    </w:p>
    <w:p w:rsidR="00642EF0" w:rsidRDefault="00642EF0" w:rsidP="00642EF0">
      <w:pPr>
        <w:pStyle w:val="TableFooter"/>
      </w:pPr>
      <w:r w:rsidRPr="00642EF0">
        <w:t>Note: Howes et al. (2020) presented this comparison as bupropion versus varenicline (inverse) using a fixed-effect model. Re-calculated during the review for varenicline versus bupropion using a random-effect model.</w:t>
      </w:r>
    </w:p>
    <w:p w:rsidR="003F398E" w:rsidRDefault="003F398E" w:rsidP="00876F50"/>
    <w:p w:rsidR="003F398E" w:rsidRDefault="00642EF0" w:rsidP="003F398E">
      <w:pPr>
        <w:keepNext/>
      </w:pPr>
      <w:r>
        <w:rPr>
          <w:noProof/>
        </w:rPr>
        <w:drawing>
          <wp:inline distT="0" distB="0" distL="0" distR="0" wp14:anchorId="3DAFF1C2" wp14:editId="28F8C521">
            <wp:extent cx="5731510" cy="1155700"/>
            <wp:effectExtent l="0" t="0" r="2540"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pic:nvPicPr>
                  <pic:blipFill>
                    <a:blip r:embed="rId89">
                      <a:extLst>
                        <a:ext uri="{28A0092B-C50C-407E-A947-70E740481C1C}">
                          <a14:useLocalDpi xmlns:a14="http://schemas.microsoft.com/office/drawing/2010/main" val="0"/>
                        </a:ext>
                      </a:extLst>
                    </a:blip>
                    <a:stretch>
                      <a:fillRect/>
                    </a:stretch>
                  </pic:blipFill>
                  <pic:spPr>
                    <a:xfrm>
                      <a:off x="0" y="0"/>
                      <a:ext cx="5731510" cy="1155700"/>
                    </a:xfrm>
                    <a:prstGeom prst="rect">
                      <a:avLst/>
                    </a:prstGeom>
                  </pic:spPr>
                </pic:pic>
              </a:graphicData>
            </a:graphic>
          </wp:inline>
        </w:drawing>
      </w:r>
    </w:p>
    <w:p w:rsidR="003F398E" w:rsidRDefault="003F398E" w:rsidP="003F398E">
      <w:pPr>
        <w:pStyle w:val="Caption"/>
      </w:pPr>
      <w:r>
        <w:t xml:space="preserve">Figure </w:t>
      </w:r>
      <w:r w:rsidR="003C4A1C">
        <w:rPr>
          <w:noProof/>
        </w:rPr>
        <w:t>67</w:t>
      </w:r>
      <w:r>
        <w:t xml:space="preserve">: </w:t>
      </w:r>
      <w:r w:rsidRPr="003D5C78">
        <w:t xml:space="preserve">Results of </w:t>
      </w:r>
      <w:r>
        <w:t xml:space="preserve">psychiatric </w:t>
      </w:r>
      <w:r w:rsidRPr="003D5C78">
        <w:t>adverse events in Howes et al. (2020), varenicline versus bupropion</w:t>
      </w:r>
    </w:p>
    <w:p w:rsidR="003F398E" w:rsidRDefault="003F398E" w:rsidP="003F398E">
      <w:pPr>
        <w:pStyle w:val="FigureFooter"/>
      </w:pPr>
      <w:r>
        <w:t>Source: Howes et al. (2020)</w:t>
      </w:r>
    </w:p>
    <w:p w:rsidR="00642EF0" w:rsidRDefault="00642EF0" w:rsidP="00642EF0">
      <w:pPr>
        <w:pStyle w:val="TableFooter"/>
      </w:pPr>
      <w:r w:rsidRPr="00642EF0">
        <w:t>Note: Howes et al. (2020) presented this comparison as bupropion versus varenicline (inverse) using a fixed-effect model. Re-calculated during the review for varenicline versus bupropion using a random-effect model.</w:t>
      </w:r>
    </w:p>
    <w:p w:rsidR="003F398E" w:rsidRDefault="003F398E" w:rsidP="00876F50"/>
    <w:p w:rsidR="003F398E" w:rsidRDefault="00642EF0" w:rsidP="003F398E">
      <w:pPr>
        <w:keepNext/>
      </w:pPr>
      <w:r>
        <w:rPr>
          <w:noProof/>
        </w:rPr>
        <w:drawing>
          <wp:inline distT="0" distB="0" distL="0" distR="0" wp14:anchorId="3BF89084" wp14:editId="6AAF4A18">
            <wp:extent cx="5731510" cy="1785620"/>
            <wp:effectExtent l="0" t="0" r="2540" b="508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pic:nvPicPr>
                  <pic:blipFill>
                    <a:blip r:embed="rId90">
                      <a:extLst>
                        <a:ext uri="{28A0092B-C50C-407E-A947-70E740481C1C}">
                          <a14:useLocalDpi xmlns:a14="http://schemas.microsoft.com/office/drawing/2010/main" val="0"/>
                        </a:ext>
                      </a:extLst>
                    </a:blip>
                    <a:stretch>
                      <a:fillRect/>
                    </a:stretch>
                  </pic:blipFill>
                  <pic:spPr>
                    <a:xfrm>
                      <a:off x="0" y="0"/>
                      <a:ext cx="5731510" cy="1785620"/>
                    </a:xfrm>
                    <a:prstGeom prst="rect">
                      <a:avLst/>
                    </a:prstGeom>
                  </pic:spPr>
                </pic:pic>
              </a:graphicData>
            </a:graphic>
          </wp:inline>
        </w:drawing>
      </w:r>
    </w:p>
    <w:p w:rsidR="003F398E" w:rsidRDefault="003F398E" w:rsidP="003F398E">
      <w:pPr>
        <w:pStyle w:val="Caption"/>
      </w:pPr>
      <w:bookmarkStart w:id="410" w:name="_Ref54105921"/>
      <w:r>
        <w:t xml:space="preserve">Figure </w:t>
      </w:r>
      <w:r w:rsidR="003C4A1C">
        <w:rPr>
          <w:noProof/>
        </w:rPr>
        <w:t>68</w:t>
      </w:r>
      <w:bookmarkEnd w:id="410"/>
      <w:r>
        <w:t xml:space="preserve">: </w:t>
      </w:r>
      <w:r w:rsidRPr="005C00BA">
        <w:t xml:space="preserve">Results of </w:t>
      </w:r>
      <w:r>
        <w:t xml:space="preserve">discontinuation due to </w:t>
      </w:r>
      <w:r w:rsidRPr="005C00BA">
        <w:t>adverse events in Howes et al. (2020), varenicline versus bupropion</w:t>
      </w:r>
    </w:p>
    <w:p w:rsidR="003F398E" w:rsidRDefault="003F398E" w:rsidP="003F398E">
      <w:pPr>
        <w:pStyle w:val="FigureFooter"/>
      </w:pPr>
      <w:r>
        <w:t>Source: Howes et al. (2020)</w:t>
      </w:r>
    </w:p>
    <w:p w:rsidR="00642EF0" w:rsidRDefault="00642EF0" w:rsidP="00642EF0">
      <w:pPr>
        <w:pStyle w:val="TableFooter"/>
      </w:pPr>
      <w:r w:rsidRPr="00642EF0">
        <w:t>Note: Howes et al. (2020) presented this comparison as bupropion versus varenicline (inverse) using a fixed-effect model. Re-calculated during the review for varenicline versus bupropion using a random-effect model.</w:t>
      </w:r>
    </w:p>
    <w:p w:rsidR="009A6A7E" w:rsidRDefault="005509A7" w:rsidP="009A6A7E">
      <w:pPr>
        <w:keepNext/>
      </w:pPr>
      <w:r>
        <w:rPr>
          <w:noProof/>
        </w:rPr>
        <w:lastRenderedPageBreak/>
        <w:drawing>
          <wp:inline distT="0" distB="0" distL="0" distR="0" wp14:anchorId="53463227" wp14:editId="61BA6304">
            <wp:extent cx="5731510" cy="8084818"/>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91">
                      <a:extLst>
                        <a:ext uri="{28A0092B-C50C-407E-A947-70E740481C1C}">
                          <a14:useLocalDpi xmlns:a14="http://schemas.microsoft.com/office/drawing/2010/main" val="0"/>
                        </a:ext>
                      </a:extLst>
                    </a:blip>
                    <a:stretch>
                      <a:fillRect/>
                    </a:stretch>
                  </pic:blipFill>
                  <pic:spPr>
                    <a:xfrm>
                      <a:off x="0" y="0"/>
                      <a:ext cx="5731510" cy="8084818"/>
                    </a:xfrm>
                    <a:prstGeom prst="rect">
                      <a:avLst/>
                    </a:prstGeom>
                  </pic:spPr>
                </pic:pic>
              </a:graphicData>
            </a:graphic>
          </wp:inline>
        </w:drawing>
      </w:r>
    </w:p>
    <w:p w:rsidR="005509A7" w:rsidRDefault="009A6A7E" w:rsidP="009A6A7E">
      <w:pPr>
        <w:pStyle w:val="Caption"/>
      </w:pPr>
      <w:bookmarkStart w:id="411" w:name="_Ref60906549"/>
      <w:r>
        <w:t xml:space="preserve">Figure </w:t>
      </w:r>
      <w:r w:rsidR="003C4A1C">
        <w:rPr>
          <w:noProof/>
        </w:rPr>
        <w:t>69</w:t>
      </w:r>
      <w:bookmarkEnd w:id="411"/>
      <w:r>
        <w:t xml:space="preserve">: </w:t>
      </w:r>
      <w:r w:rsidRPr="00336541">
        <w:t xml:space="preserve">Results of smoking cessation of at least six months follow-up </w:t>
      </w:r>
      <w:r>
        <w:t>based on updated re-analysis</w:t>
      </w:r>
      <w:r w:rsidRPr="00336541">
        <w:t xml:space="preserve">, NRT </w:t>
      </w:r>
      <w:r>
        <w:t>gum</w:t>
      </w:r>
      <w:r w:rsidRPr="00336541">
        <w:t xml:space="preserve"> versus placebo</w:t>
      </w:r>
    </w:p>
    <w:p w:rsidR="009A6A7E" w:rsidRDefault="009A6A7E" w:rsidP="009A6A7E">
      <w:pPr>
        <w:pStyle w:val="FigureFooter"/>
      </w:pPr>
      <w:r>
        <w:t>Source: Hartma</w:t>
      </w:r>
      <w:r w:rsidR="00413A2B">
        <w:t>n</w:t>
      </w:r>
      <w:r>
        <w:t>n-Boyce et al. (2018)</w:t>
      </w:r>
      <w:r w:rsidR="00161B5B">
        <w:t>, Shiffman et al. (2020)</w:t>
      </w:r>
    </w:p>
    <w:p w:rsidR="00B31B4F" w:rsidRDefault="00B31B4F" w:rsidP="00B31B4F">
      <w:pPr>
        <w:keepNext/>
      </w:pPr>
      <w:r>
        <w:rPr>
          <w:noProof/>
        </w:rPr>
        <w:lastRenderedPageBreak/>
        <w:drawing>
          <wp:inline distT="0" distB="0" distL="0" distR="0" wp14:anchorId="76A40042" wp14:editId="46758AA9">
            <wp:extent cx="5731510" cy="2127250"/>
            <wp:effectExtent l="0" t="0" r="254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92">
                      <a:extLst>
                        <a:ext uri="{28A0092B-C50C-407E-A947-70E740481C1C}">
                          <a14:useLocalDpi xmlns:a14="http://schemas.microsoft.com/office/drawing/2010/main" val="0"/>
                        </a:ext>
                      </a:extLst>
                    </a:blip>
                    <a:stretch>
                      <a:fillRect/>
                    </a:stretch>
                  </pic:blipFill>
                  <pic:spPr>
                    <a:xfrm>
                      <a:off x="0" y="0"/>
                      <a:ext cx="5731510" cy="2127250"/>
                    </a:xfrm>
                    <a:prstGeom prst="rect">
                      <a:avLst/>
                    </a:prstGeom>
                  </pic:spPr>
                </pic:pic>
              </a:graphicData>
            </a:graphic>
          </wp:inline>
        </w:drawing>
      </w:r>
    </w:p>
    <w:p w:rsidR="00413A2B" w:rsidRDefault="00B31B4F" w:rsidP="00B31B4F">
      <w:pPr>
        <w:pStyle w:val="Caption"/>
      </w:pPr>
      <w:bookmarkStart w:id="412" w:name="_Ref60906758"/>
      <w:r>
        <w:t xml:space="preserve">Figure </w:t>
      </w:r>
      <w:r w:rsidR="003C4A1C">
        <w:rPr>
          <w:noProof/>
        </w:rPr>
        <w:t>70</w:t>
      </w:r>
      <w:bookmarkEnd w:id="412"/>
      <w:r>
        <w:t xml:space="preserve">: </w:t>
      </w:r>
      <w:r w:rsidRPr="002B0EAE">
        <w:t>Results of smoking cessation of at least six months follow-up based on updated re-analysis, NRT gum versus placebo</w:t>
      </w:r>
    </w:p>
    <w:p w:rsidR="00B31B4F" w:rsidRPr="00B31B4F" w:rsidRDefault="00B31B4F" w:rsidP="00B31B4F">
      <w:pPr>
        <w:pStyle w:val="FigureFooter"/>
      </w:pPr>
      <w:r>
        <w:t>Source: Hartmann-Boyce et al. (2018)</w:t>
      </w:r>
      <w:r w:rsidR="00161B5B">
        <w:t>, Xiao et al. (2020)</w:t>
      </w:r>
    </w:p>
    <w:p w:rsidR="00D31803" w:rsidRDefault="003C37DA" w:rsidP="00D31803">
      <w:pPr>
        <w:keepNext/>
      </w:pPr>
      <w:r>
        <w:rPr>
          <w:noProof/>
        </w:rPr>
        <w:drawing>
          <wp:inline distT="0" distB="0" distL="0" distR="0" wp14:anchorId="429FC173" wp14:editId="2655590D">
            <wp:extent cx="5731510" cy="1321435"/>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93">
                      <a:extLst>
                        <a:ext uri="{28A0092B-C50C-407E-A947-70E740481C1C}">
                          <a14:useLocalDpi xmlns:a14="http://schemas.microsoft.com/office/drawing/2010/main" val="0"/>
                        </a:ext>
                      </a:extLst>
                    </a:blip>
                    <a:stretch>
                      <a:fillRect/>
                    </a:stretch>
                  </pic:blipFill>
                  <pic:spPr>
                    <a:xfrm>
                      <a:off x="0" y="0"/>
                      <a:ext cx="5731510" cy="1321435"/>
                    </a:xfrm>
                    <a:prstGeom prst="rect">
                      <a:avLst/>
                    </a:prstGeom>
                  </pic:spPr>
                </pic:pic>
              </a:graphicData>
            </a:graphic>
          </wp:inline>
        </w:drawing>
      </w:r>
    </w:p>
    <w:p w:rsidR="003C37DA" w:rsidRDefault="00D31803" w:rsidP="00D31803">
      <w:pPr>
        <w:pStyle w:val="Caption"/>
      </w:pPr>
      <w:bookmarkStart w:id="413" w:name="_Ref54626416"/>
      <w:r>
        <w:t xml:space="preserve">Figure </w:t>
      </w:r>
      <w:r w:rsidR="003C4A1C">
        <w:rPr>
          <w:noProof/>
        </w:rPr>
        <w:t>71</w:t>
      </w:r>
      <w:bookmarkEnd w:id="413"/>
      <w:r>
        <w:t xml:space="preserve">: </w:t>
      </w:r>
      <w:r w:rsidRPr="00351550">
        <w:t xml:space="preserve">Results of </w:t>
      </w:r>
      <w:r>
        <w:t>cardiac</w:t>
      </w:r>
      <w:r w:rsidRPr="00351550">
        <w:t xml:space="preserve"> adverse events in </w:t>
      </w:r>
      <w:r>
        <w:t xml:space="preserve">Lindson </w:t>
      </w:r>
      <w:r w:rsidRPr="00351550">
        <w:t>et al. (20</w:t>
      </w:r>
      <w:r>
        <w:t>19</w:t>
      </w:r>
      <w:r w:rsidRPr="00351550">
        <w:t xml:space="preserve">), </w:t>
      </w:r>
      <w:r>
        <w:t>NRT gum versus NRT patch</w:t>
      </w:r>
    </w:p>
    <w:p w:rsidR="00284C29" w:rsidRDefault="003808BC" w:rsidP="003808BC">
      <w:pPr>
        <w:pStyle w:val="FigureFooter"/>
      </w:pPr>
      <w:r>
        <w:t>Source: Lindson et al. (2019)</w:t>
      </w:r>
    </w:p>
    <w:p w:rsidR="00D31803" w:rsidRDefault="00D31803" w:rsidP="00D31803">
      <w:pPr>
        <w:keepNext/>
      </w:pPr>
      <w:r>
        <w:rPr>
          <w:noProof/>
        </w:rPr>
        <w:drawing>
          <wp:inline distT="0" distB="0" distL="0" distR="0" wp14:anchorId="0D93B5FE" wp14:editId="33461187">
            <wp:extent cx="5731510" cy="2090420"/>
            <wp:effectExtent l="0" t="0" r="254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94">
                      <a:extLst>
                        <a:ext uri="{28A0092B-C50C-407E-A947-70E740481C1C}">
                          <a14:useLocalDpi xmlns:a14="http://schemas.microsoft.com/office/drawing/2010/main" val="0"/>
                        </a:ext>
                      </a:extLst>
                    </a:blip>
                    <a:stretch>
                      <a:fillRect/>
                    </a:stretch>
                  </pic:blipFill>
                  <pic:spPr>
                    <a:xfrm>
                      <a:off x="0" y="0"/>
                      <a:ext cx="5731510" cy="2090420"/>
                    </a:xfrm>
                    <a:prstGeom prst="rect">
                      <a:avLst/>
                    </a:prstGeom>
                  </pic:spPr>
                </pic:pic>
              </a:graphicData>
            </a:graphic>
          </wp:inline>
        </w:drawing>
      </w:r>
    </w:p>
    <w:p w:rsidR="00D31803" w:rsidRDefault="00D31803" w:rsidP="00D31803">
      <w:pPr>
        <w:pStyle w:val="Caption"/>
      </w:pPr>
      <w:r>
        <w:t xml:space="preserve">Figure </w:t>
      </w:r>
      <w:r w:rsidR="003C4A1C">
        <w:rPr>
          <w:noProof/>
        </w:rPr>
        <w:t>72</w:t>
      </w:r>
      <w:r>
        <w:t xml:space="preserve">: </w:t>
      </w:r>
      <w:r w:rsidRPr="00622D19">
        <w:t xml:space="preserve">Results of </w:t>
      </w:r>
      <w:r>
        <w:t>serious</w:t>
      </w:r>
      <w:r w:rsidRPr="00622D19">
        <w:t xml:space="preserve"> adverse events in Lindson et al. (2019), NRT </w:t>
      </w:r>
      <w:r w:rsidR="003808BC">
        <w:t xml:space="preserve">lozenge or </w:t>
      </w:r>
      <w:r w:rsidRPr="00622D19">
        <w:t>gum versus NRT patch</w:t>
      </w:r>
    </w:p>
    <w:p w:rsidR="00D31803" w:rsidRDefault="003808BC" w:rsidP="003808BC">
      <w:pPr>
        <w:pStyle w:val="FigureFooter"/>
      </w:pPr>
      <w:r>
        <w:t>Source: Lindson et al. (2019)</w:t>
      </w:r>
    </w:p>
    <w:p w:rsidR="003808BC" w:rsidRDefault="00D31803" w:rsidP="003808BC">
      <w:pPr>
        <w:keepNext/>
      </w:pPr>
      <w:r>
        <w:rPr>
          <w:noProof/>
        </w:rPr>
        <w:lastRenderedPageBreak/>
        <w:drawing>
          <wp:inline distT="0" distB="0" distL="0" distR="0" wp14:anchorId="54FE9527" wp14:editId="221B3EAA">
            <wp:extent cx="5731510" cy="2912745"/>
            <wp:effectExtent l="0" t="0" r="254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95">
                      <a:extLst>
                        <a:ext uri="{28A0092B-C50C-407E-A947-70E740481C1C}">
                          <a14:useLocalDpi xmlns:a14="http://schemas.microsoft.com/office/drawing/2010/main" val="0"/>
                        </a:ext>
                      </a:extLst>
                    </a:blip>
                    <a:stretch>
                      <a:fillRect/>
                    </a:stretch>
                  </pic:blipFill>
                  <pic:spPr>
                    <a:xfrm>
                      <a:off x="0" y="0"/>
                      <a:ext cx="5731510" cy="2912745"/>
                    </a:xfrm>
                    <a:prstGeom prst="rect">
                      <a:avLst/>
                    </a:prstGeom>
                  </pic:spPr>
                </pic:pic>
              </a:graphicData>
            </a:graphic>
          </wp:inline>
        </w:drawing>
      </w:r>
    </w:p>
    <w:p w:rsidR="00D31803" w:rsidRDefault="003808BC" w:rsidP="003808BC">
      <w:pPr>
        <w:pStyle w:val="Caption"/>
      </w:pPr>
      <w:bookmarkStart w:id="414" w:name="_Ref54626417"/>
      <w:r>
        <w:t xml:space="preserve">Figure </w:t>
      </w:r>
      <w:r w:rsidR="003C4A1C">
        <w:rPr>
          <w:noProof/>
        </w:rPr>
        <w:t>73</w:t>
      </w:r>
      <w:bookmarkEnd w:id="414"/>
      <w:r>
        <w:t xml:space="preserve">: </w:t>
      </w:r>
      <w:r w:rsidRPr="00B36F74">
        <w:t xml:space="preserve">Results of </w:t>
      </w:r>
      <w:r>
        <w:t xml:space="preserve">withdrawals due to treatment </w:t>
      </w:r>
      <w:r w:rsidRPr="00B36F74">
        <w:t xml:space="preserve">in Lindson et al. (2019), NRT </w:t>
      </w:r>
      <w:r>
        <w:t xml:space="preserve">lozenge or </w:t>
      </w:r>
      <w:r w:rsidRPr="00B36F74">
        <w:t>gum versus NRT patch</w:t>
      </w:r>
    </w:p>
    <w:p w:rsidR="003808BC" w:rsidRDefault="003808BC" w:rsidP="003808BC">
      <w:pPr>
        <w:pStyle w:val="FigureFooter"/>
      </w:pPr>
      <w:r>
        <w:t>Source: Lindson et al. (2019)</w:t>
      </w:r>
    </w:p>
    <w:p w:rsidR="00F26514" w:rsidRDefault="00F26514" w:rsidP="00F26514">
      <w:pPr>
        <w:keepNext/>
      </w:pPr>
      <w:r>
        <w:rPr>
          <w:noProof/>
        </w:rPr>
        <w:drawing>
          <wp:inline distT="0" distB="0" distL="0" distR="0" wp14:anchorId="76CC5476" wp14:editId="0A3FB257">
            <wp:extent cx="5731510" cy="1180465"/>
            <wp:effectExtent l="0" t="0" r="254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96">
                      <a:extLst>
                        <a:ext uri="{28A0092B-C50C-407E-A947-70E740481C1C}">
                          <a14:useLocalDpi xmlns:a14="http://schemas.microsoft.com/office/drawing/2010/main" val="0"/>
                        </a:ext>
                      </a:extLst>
                    </a:blip>
                    <a:stretch>
                      <a:fillRect/>
                    </a:stretch>
                  </pic:blipFill>
                  <pic:spPr>
                    <a:xfrm>
                      <a:off x="0" y="0"/>
                      <a:ext cx="5731510" cy="1180465"/>
                    </a:xfrm>
                    <a:prstGeom prst="rect">
                      <a:avLst/>
                    </a:prstGeom>
                  </pic:spPr>
                </pic:pic>
              </a:graphicData>
            </a:graphic>
          </wp:inline>
        </w:drawing>
      </w:r>
    </w:p>
    <w:p w:rsidR="003808BC" w:rsidRDefault="00F26514" w:rsidP="00F26514">
      <w:pPr>
        <w:pStyle w:val="Caption"/>
      </w:pPr>
      <w:bookmarkStart w:id="415" w:name="_Ref61252137"/>
      <w:r>
        <w:t xml:space="preserve">Figure </w:t>
      </w:r>
      <w:r w:rsidR="003C4A1C">
        <w:rPr>
          <w:noProof/>
        </w:rPr>
        <w:t>74</w:t>
      </w:r>
      <w:bookmarkEnd w:id="415"/>
      <w:r>
        <w:t>: Results of adverse events</w:t>
      </w:r>
      <w:r w:rsidR="003D744C">
        <w:t xml:space="preserve"> based on </w:t>
      </w:r>
      <w:r w:rsidR="00A63ACE">
        <w:t>Gonzales (2001) and Selby (2003)</w:t>
      </w:r>
      <w:r>
        <w:t>, bupropion versus placebo</w:t>
      </w:r>
    </w:p>
    <w:p w:rsidR="00F26514" w:rsidRDefault="00F26514" w:rsidP="00F26514">
      <w:pPr>
        <w:pStyle w:val="FigureFooter"/>
      </w:pPr>
      <w:r>
        <w:t>Source: Howes et al. (2020), Gonzales et al. (2001), Selby et al. (2003)</w:t>
      </w:r>
    </w:p>
    <w:p w:rsidR="00A63ACE" w:rsidRDefault="003D744C" w:rsidP="00A63ACE">
      <w:pPr>
        <w:keepNext/>
      </w:pPr>
      <w:r>
        <w:rPr>
          <w:noProof/>
        </w:rPr>
        <w:drawing>
          <wp:inline distT="0" distB="0" distL="0" distR="0" wp14:anchorId="78C8E3FB" wp14:editId="48A95805">
            <wp:extent cx="5731510" cy="1180465"/>
            <wp:effectExtent l="0" t="0" r="254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97">
                      <a:extLst>
                        <a:ext uri="{28A0092B-C50C-407E-A947-70E740481C1C}">
                          <a14:useLocalDpi xmlns:a14="http://schemas.microsoft.com/office/drawing/2010/main" val="0"/>
                        </a:ext>
                      </a:extLst>
                    </a:blip>
                    <a:stretch>
                      <a:fillRect/>
                    </a:stretch>
                  </pic:blipFill>
                  <pic:spPr>
                    <a:xfrm>
                      <a:off x="0" y="0"/>
                      <a:ext cx="5731510" cy="1180465"/>
                    </a:xfrm>
                    <a:prstGeom prst="rect">
                      <a:avLst/>
                    </a:prstGeom>
                  </pic:spPr>
                </pic:pic>
              </a:graphicData>
            </a:graphic>
          </wp:inline>
        </w:drawing>
      </w:r>
    </w:p>
    <w:p w:rsidR="00F26514" w:rsidRDefault="00A63ACE" w:rsidP="00A63ACE">
      <w:pPr>
        <w:pStyle w:val="Caption"/>
      </w:pPr>
      <w:bookmarkStart w:id="416" w:name="_Ref61252140"/>
      <w:r>
        <w:t xml:space="preserve">Figure </w:t>
      </w:r>
      <w:r w:rsidR="003C4A1C">
        <w:rPr>
          <w:noProof/>
        </w:rPr>
        <w:t>75</w:t>
      </w:r>
      <w:bookmarkEnd w:id="416"/>
      <w:r>
        <w:t>: Results of serious adverse events based on Gonzales (2001) and Selby (2003), bupropion versus placebo</w:t>
      </w:r>
    </w:p>
    <w:p w:rsidR="00A63ACE" w:rsidRDefault="00A63ACE" w:rsidP="00A63ACE">
      <w:pPr>
        <w:pStyle w:val="FigureFooter"/>
      </w:pPr>
      <w:r>
        <w:t>Source: Howes et al. (2020), Gonzales et al. (2001), Selby et al. (2003)</w:t>
      </w:r>
    </w:p>
    <w:p w:rsidR="00A63ACE" w:rsidRPr="00A63ACE" w:rsidRDefault="00A63ACE" w:rsidP="00A63ACE"/>
    <w:p w:rsidR="00F26514" w:rsidRDefault="00F26514" w:rsidP="003808BC"/>
    <w:p w:rsidR="00A22BF4" w:rsidRDefault="72234F8D" w:rsidP="00A22BF4">
      <w:pPr>
        <w:keepNext/>
      </w:pPr>
      <w:r>
        <w:rPr>
          <w:noProof/>
        </w:rPr>
        <w:lastRenderedPageBreak/>
        <w:drawing>
          <wp:inline distT="0" distB="0" distL="0" distR="0" wp14:anchorId="07E40670" wp14:editId="23A29C4C">
            <wp:extent cx="5731510" cy="1151890"/>
            <wp:effectExtent l="0" t="0" r="254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pic:nvPicPr>
                  <pic:blipFill>
                    <a:blip r:embed="rId98">
                      <a:extLst>
                        <a:ext uri="{28A0092B-C50C-407E-A947-70E740481C1C}">
                          <a14:useLocalDpi xmlns:a14="http://schemas.microsoft.com/office/drawing/2010/main" val="0"/>
                        </a:ext>
                      </a:extLst>
                    </a:blip>
                    <a:stretch>
                      <a:fillRect/>
                    </a:stretch>
                  </pic:blipFill>
                  <pic:spPr>
                    <a:xfrm>
                      <a:off x="0" y="0"/>
                      <a:ext cx="5731510" cy="1151890"/>
                    </a:xfrm>
                    <a:prstGeom prst="rect">
                      <a:avLst/>
                    </a:prstGeom>
                  </pic:spPr>
                </pic:pic>
              </a:graphicData>
            </a:graphic>
          </wp:inline>
        </w:drawing>
      </w:r>
      <w:r w:rsidRPr="59E61C1C">
        <w:rPr>
          <w:noProof/>
        </w:rPr>
        <w:t xml:space="preserve"> </w:t>
      </w:r>
    </w:p>
    <w:p w:rsidR="004259CB" w:rsidRDefault="00A22BF4" w:rsidP="00A22BF4">
      <w:pPr>
        <w:pStyle w:val="Caption"/>
      </w:pPr>
      <w:bookmarkStart w:id="417" w:name="_Ref55308182"/>
      <w:r>
        <w:t xml:space="preserve">Figure </w:t>
      </w:r>
      <w:r w:rsidR="003C4A1C">
        <w:rPr>
          <w:noProof/>
        </w:rPr>
        <w:t>76</w:t>
      </w:r>
      <w:bookmarkEnd w:id="417"/>
      <w:r>
        <w:t xml:space="preserve">: </w:t>
      </w:r>
      <w:r w:rsidRPr="00047505">
        <w:t xml:space="preserve">Results of cardiac adverse events in Lindson et al. (2019), </w:t>
      </w:r>
      <w:r>
        <w:t xml:space="preserve">combination </w:t>
      </w:r>
      <w:r w:rsidRPr="00047505">
        <w:t xml:space="preserve">NRT versus NRT </w:t>
      </w:r>
      <w:r>
        <w:t>monotherapy</w:t>
      </w:r>
    </w:p>
    <w:p w:rsidR="00A22BF4" w:rsidRDefault="00A22BF4" w:rsidP="00A22BF4">
      <w:pPr>
        <w:pStyle w:val="FigureFooter"/>
      </w:pPr>
      <w:r>
        <w:t>Source: Lindson et al. (2019)</w:t>
      </w:r>
    </w:p>
    <w:p w:rsidR="00EC5387" w:rsidRDefault="00EC5387" w:rsidP="003808BC"/>
    <w:p w:rsidR="00A22BF4" w:rsidRDefault="00EC5387" w:rsidP="00A22BF4">
      <w:pPr>
        <w:keepNext/>
      </w:pPr>
      <w:r>
        <w:rPr>
          <w:noProof/>
        </w:rPr>
        <w:drawing>
          <wp:inline distT="0" distB="0" distL="0" distR="0" wp14:anchorId="796675AF" wp14:editId="3052D957">
            <wp:extent cx="5731510" cy="2960370"/>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99">
                      <a:extLst>
                        <a:ext uri="{28A0092B-C50C-407E-A947-70E740481C1C}">
                          <a14:useLocalDpi xmlns:a14="http://schemas.microsoft.com/office/drawing/2010/main" val="0"/>
                        </a:ext>
                      </a:extLst>
                    </a:blip>
                    <a:stretch>
                      <a:fillRect/>
                    </a:stretch>
                  </pic:blipFill>
                  <pic:spPr>
                    <a:xfrm>
                      <a:off x="0" y="0"/>
                      <a:ext cx="5731510" cy="2960370"/>
                    </a:xfrm>
                    <a:prstGeom prst="rect">
                      <a:avLst/>
                    </a:prstGeom>
                  </pic:spPr>
                </pic:pic>
              </a:graphicData>
            </a:graphic>
          </wp:inline>
        </w:drawing>
      </w:r>
    </w:p>
    <w:p w:rsidR="00EC5387" w:rsidRDefault="00A22BF4" w:rsidP="00A22BF4">
      <w:pPr>
        <w:pStyle w:val="Caption"/>
      </w:pPr>
      <w:r>
        <w:t xml:space="preserve">Figure </w:t>
      </w:r>
      <w:r w:rsidR="003C4A1C">
        <w:rPr>
          <w:noProof/>
        </w:rPr>
        <w:t>77</w:t>
      </w:r>
      <w:r>
        <w:t xml:space="preserve">: </w:t>
      </w:r>
      <w:r w:rsidRPr="008D17FC">
        <w:t xml:space="preserve">Results of serious adverse events in Lindson et al. (2019), </w:t>
      </w:r>
      <w:r>
        <w:t xml:space="preserve">combination </w:t>
      </w:r>
      <w:r w:rsidRPr="008D17FC">
        <w:t xml:space="preserve">NRT versus NRT </w:t>
      </w:r>
      <w:r>
        <w:t>monotherapy</w:t>
      </w:r>
    </w:p>
    <w:p w:rsidR="00A22BF4" w:rsidRDefault="00A22BF4" w:rsidP="00A22BF4">
      <w:pPr>
        <w:pStyle w:val="FigureFooter"/>
      </w:pPr>
      <w:r>
        <w:t>Source: Lindson et al. (2019)</w:t>
      </w:r>
    </w:p>
    <w:p w:rsidR="00A22BF4" w:rsidRDefault="00A22BF4" w:rsidP="003808BC"/>
    <w:p w:rsidR="00A22BF4" w:rsidRDefault="00A22BF4" w:rsidP="00A22BF4">
      <w:pPr>
        <w:keepNext/>
      </w:pPr>
      <w:r>
        <w:rPr>
          <w:noProof/>
        </w:rPr>
        <w:lastRenderedPageBreak/>
        <w:drawing>
          <wp:inline distT="0" distB="0" distL="0" distR="0" wp14:anchorId="2626DE44" wp14:editId="7568AE40">
            <wp:extent cx="5731510" cy="3256915"/>
            <wp:effectExtent l="0" t="0" r="254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100">
                      <a:extLst>
                        <a:ext uri="{28A0092B-C50C-407E-A947-70E740481C1C}">
                          <a14:useLocalDpi xmlns:a14="http://schemas.microsoft.com/office/drawing/2010/main" val="0"/>
                        </a:ext>
                      </a:extLst>
                    </a:blip>
                    <a:stretch>
                      <a:fillRect/>
                    </a:stretch>
                  </pic:blipFill>
                  <pic:spPr>
                    <a:xfrm>
                      <a:off x="0" y="0"/>
                      <a:ext cx="5731510" cy="3256915"/>
                    </a:xfrm>
                    <a:prstGeom prst="rect">
                      <a:avLst/>
                    </a:prstGeom>
                  </pic:spPr>
                </pic:pic>
              </a:graphicData>
            </a:graphic>
          </wp:inline>
        </w:drawing>
      </w:r>
    </w:p>
    <w:p w:rsidR="00A22BF4" w:rsidRDefault="00A22BF4" w:rsidP="00A22BF4">
      <w:pPr>
        <w:pStyle w:val="Caption"/>
      </w:pPr>
      <w:bookmarkStart w:id="418" w:name="_Ref55308183"/>
      <w:r>
        <w:t xml:space="preserve">Figure </w:t>
      </w:r>
      <w:r w:rsidR="003C4A1C">
        <w:rPr>
          <w:noProof/>
        </w:rPr>
        <w:t>78</w:t>
      </w:r>
      <w:bookmarkEnd w:id="418"/>
      <w:r>
        <w:t xml:space="preserve">: </w:t>
      </w:r>
      <w:r w:rsidRPr="00362EC8">
        <w:t xml:space="preserve">Results of withdrawals due to treatment in Lindson et al. (2019), </w:t>
      </w:r>
      <w:r>
        <w:t>combination NR</w:t>
      </w:r>
      <w:r w:rsidRPr="00362EC8">
        <w:t xml:space="preserve">T </w:t>
      </w:r>
      <w:r>
        <w:t>v</w:t>
      </w:r>
      <w:r w:rsidRPr="00362EC8">
        <w:t xml:space="preserve">ersus NRT </w:t>
      </w:r>
      <w:r>
        <w:t>monotherapy</w:t>
      </w:r>
    </w:p>
    <w:p w:rsidR="00A22BF4" w:rsidRDefault="00A22BF4" w:rsidP="00A22BF4">
      <w:pPr>
        <w:pStyle w:val="FigureFooter"/>
      </w:pPr>
      <w:r>
        <w:t>Source: Lindson et al. (2019)</w:t>
      </w:r>
    </w:p>
    <w:p w:rsidR="00A22BF4" w:rsidRDefault="00A22BF4" w:rsidP="00A22BF4"/>
    <w:p w:rsidR="002E5F24" w:rsidRDefault="002E5F24" w:rsidP="002E5F24">
      <w:pPr>
        <w:keepNext/>
      </w:pPr>
      <w:r>
        <w:rPr>
          <w:noProof/>
        </w:rPr>
        <w:drawing>
          <wp:inline distT="0" distB="0" distL="0" distR="0" wp14:anchorId="573B6DF2" wp14:editId="4BF1D0AD">
            <wp:extent cx="5731510" cy="1833880"/>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pic:nvPicPr>
                  <pic:blipFill>
                    <a:blip r:embed="rId101">
                      <a:extLst>
                        <a:ext uri="{28A0092B-C50C-407E-A947-70E740481C1C}">
                          <a14:useLocalDpi xmlns:a14="http://schemas.microsoft.com/office/drawing/2010/main" val="0"/>
                        </a:ext>
                      </a:extLst>
                    </a:blip>
                    <a:stretch>
                      <a:fillRect/>
                    </a:stretch>
                  </pic:blipFill>
                  <pic:spPr>
                    <a:xfrm>
                      <a:off x="0" y="0"/>
                      <a:ext cx="5731510" cy="1833880"/>
                    </a:xfrm>
                    <a:prstGeom prst="rect">
                      <a:avLst/>
                    </a:prstGeom>
                  </pic:spPr>
                </pic:pic>
              </a:graphicData>
            </a:graphic>
          </wp:inline>
        </w:drawing>
      </w:r>
    </w:p>
    <w:p w:rsidR="002E5F24" w:rsidRDefault="002E5F24" w:rsidP="002E5F24">
      <w:pPr>
        <w:pStyle w:val="Caption"/>
      </w:pPr>
      <w:bookmarkStart w:id="419" w:name="_Ref55487439"/>
      <w:r>
        <w:t xml:space="preserve">Figure </w:t>
      </w:r>
      <w:r w:rsidR="003C4A1C">
        <w:rPr>
          <w:noProof/>
        </w:rPr>
        <w:t>79</w:t>
      </w:r>
      <w:bookmarkEnd w:id="419"/>
      <w:r>
        <w:t xml:space="preserve">: </w:t>
      </w:r>
      <w:r w:rsidRPr="00685F20">
        <w:t xml:space="preserve">Results of adverse events in Howes et al. (2020), </w:t>
      </w:r>
      <w:r>
        <w:t xml:space="preserve">varenicline plus </w:t>
      </w:r>
      <w:r w:rsidRPr="00685F20">
        <w:t xml:space="preserve">bupropion versus </w:t>
      </w:r>
      <w:r>
        <w:t>varenicline alone</w:t>
      </w:r>
    </w:p>
    <w:p w:rsidR="002E5F24" w:rsidRDefault="002E5F24" w:rsidP="002E5F24">
      <w:pPr>
        <w:pStyle w:val="FigureFooter"/>
      </w:pPr>
      <w:r>
        <w:t>Source: Howes et al. (2020)</w:t>
      </w:r>
    </w:p>
    <w:p w:rsidR="002E5F24" w:rsidRDefault="002E5F24" w:rsidP="00A22BF4"/>
    <w:p w:rsidR="002E5F24" w:rsidRDefault="002E5F24" w:rsidP="002E5F24">
      <w:pPr>
        <w:keepNext/>
      </w:pPr>
      <w:r>
        <w:rPr>
          <w:noProof/>
        </w:rPr>
        <w:lastRenderedPageBreak/>
        <w:drawing>
          <wp:inline distT="0" distB="0" distL="0" distR="0" wp14:anchorId="0C341E08" wp14:editId="16DF4767">
            <wp:extent cx="5731510" cy="1955165"/>
            <wp:effectExtent l="0" t="0" r="254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pic:nvPicPr>
                  <pic:blipFill>
                    <a:blip r:embed="rId102">
                      <a:extLst>
                        <a:ext uri="{28A0092B-C50C-407E-A947-70E740481C1C}">
                          <a14:useLocalDpi xmlns:a14="http://schemas.microsoft.com/office/drawing/2010/main" val="0"/>
                        </a:ext>
                      </a:extLst>
                    </a:blip>
                    <a:stretch>
                      <a:fillRect/>
                    </a:stretch>
                  </pic:blipFill>
                  <pic:spPr>
                    <a:xfrm>
                      <a:off x="0" y="0"/>
                      <a:ext cx="5731510" cy="1955165"/>
                    </a:xfrm>
                    <a:prstGeom prst="rect">
                      <a:avLst/>
                    </a:prstGeom>
                  </pic:spPr>
                </pic:pic>
              </a:graphicData>
            </a:graphic>
          </wp:inline>
        </w:drawing>
      </w:r>
    </w:p>
    <w:p w:rsidR="002E5F24" w:rsidRDefault="002E5F24" w:rsidP="002E5F24">
      <w:pPr>
        <w:pStyle w:val="Caption"/>
      </w:pPr>
      <w:r>
        <w:t xml:space="preserve">Figure </w:t>
      </w:r>
      <w:r w:rsidR="003C4A1C">
        <w:rPr>
          <w:noProof/>
        </w:rPr>
        <w:t>80</w:t>
      </w:r>
      <w:r>
        <w:t xml:space="preserve">: </w:t>
      </w:r>
      <w:r w:rsidRPr="00BF637D">
        <w:t xml:space="preserve">Results of </w:t>
      </w:r>
      <w:r>
        <w:t xml:space="preserve">serious </w:t>
      </w:r>
      <w:r w:rsidRPr="00BF637D">
        <w:t>adverse events in Howes et al. (2020), varenicline plus bupropion versus varenicline alone</w:t>
      </w:r>
    </w:p>
    <w:p w:rsidR="002E5F24" w:rsidRDefault="002E5F24" w:rsidP="002E5F24">
      <w:pPr>
        <w:pStyle w:val="FigureFooter"/>
      </w:pPr>
      <w:r>
        <w:t>Source: Howes et al. (2020)</w:t>
      </w:r>
    </w:p>
    <w:p w:rsidR="002E5F24" w:rsidRDefault="002E5F24" w:rsidP="00A22BF4"/>
    <w:p w:rsidR="002E5F24" w:rsidRDefault="002E5F24" w:rsidP="002E5F24">
      <w:pPr>
        <w:keepNext/>
      </w:pPr>
      <w:r>
        <w:rPr>
          <w:noProof/>
        </w:rPr>
        <w:drawing>
          <wp:inline distT="0" distB="0" distL="0" distR="0" wp14:anchorId="56967DC1" wp14:editId="0EC309FF">
            <wp:extent cx="5731510" cy="1591310"/>
            <wp:effectExtent l="0" t="0" r="254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pic:nvPicPr>
                  <pic:blipFill>
                    <a:blip r:embed="rId103">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rsidR="002E5F24" w:rsidRDefault="002E5F24" w:rsidP="002E5F24">
      <w:pPr>
        <w:pStyle w:val="Caption"/>
      </w:pPr>
      <w:r>
        <w:t xml:space="preserve">Figure </w:t>
      </w:r>
      <w:r w:rsidR="003C4A1C">
        <w:rPr>
          <w:noProof/>
        </w:rPr>
        <w:t>81</w:t>
      </w:r>
      <w:r>
        <w:t xml:space="preserve">: </w:t>
      </w:r>
      <w:r w:rsidRPr="00235279">
        <w:t xml:space="preserve">Results of </w:t>
      </w:r>
      <w:r>
        <w:t>psychiatric</w:t>
      </w:r>
      <w:r w:rsidRPr="00235279">
        <w:t xml:space="preserve"> adverse events in Howes et al. (2020), varenicline plus bupropion versus varenicline alone</w:t>
      </w:r>
    </w:p>
    <w:p w:rsidR="002E5F24" w:rsidRDefault="002E5F24" w:rsidP="002E5F24">
      <w:pPr>
        <w:pStyle w:val="FigureFooter"/>
      </w:pPr>
      <w:r>
        <w:t>Source: Howes et al. (2020)</w:t>
      </w:r>
    </w:p>
    <w:p w:rsidR="002E5F24" w:rsidRDefault="002E5F24" w:rsidP="00A22BF4"/>
    <w:p w:rsidR="002E5F24" w:rsidRDefault="002E5F24" w:rsidP="002E5F24">
      <w:pPr>
        <w:keepNext/>
      </w:pPr>
      <w:r>
        <w:rPr>
          <w:noProof/>
        </w:rPr>
        <w:drawing>
          <wp:inline distT="0" distB="0" distL="0" distR="0" wp14:anchorId="43D6F256" wp14:editId="6B632B5D">
            <wp:extent cx="5731510" cy="1833880"/>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104">
                      <a:extLst>
                        <a:ext uri="{28A0092B-C50C-407E-A947-70E740481C1C}">
                          <a14:useLocalDpi xmlns:a14="http://schemas.microsoft.com/office/drawing/2010/main" val="0"/>
                        </a:ext>
                      </a:extLst>
                    </a:blip>
                    <a:stretch>
                      <a:fillRect/>
                    </a:stretch>
                  </pic:blipFill>
                  <pic:spPr>
                    <a:xfrm>
                      <a:off x="0" y="0"/>
                      <a:ext cx="5731510" cy="1833880"/>
                    </a:xfrm>
                    <a:prstGeom prst="rect">
                      <a:avLst/>
                    </a:prstGeom>
                  </pic:spPr>
                </pic:pic>
              </a:graphicData>
            </a:graphic>
          </wp:inline>
        </w:drawing>
      </w:r>
    </w:p>
    <w:p w:rsidR="002E5F24" w:rsidRDefault="002E5F24" w:rsidP="002E5F24">
      <w:pPr>
        <w:pStyle w:val="Caption"/>
      </w:pPr>
      <w:bookmarkStart w:id="420" w:name="_Ref55487440"/>
      <w:r>
        <w:t xml:space="preserve">Figure </w:t>
      </w:r>
      <w:r w:rsidR="003C4A1C">
        <w:rPr>
          <w:noProof/>
        </w:rPr>
        <w:t>82</w:t>
      </w:r>
      <w:bookmarkEnd w:id="420"/>
      <w:r>
        <w:t xml:space="preserve">: </w:t>
      </w:r>
      <w:r w:rsidRPr="00A37CA4">
        <w:t xml:space="preserve">Results of discontinuation due to adverse events in Howes et al. (2020), </w:t>
      </w:r>
      <w:r w:rsidRPr="002E5F24">
        <w:t>varenicline plus bupropion versus varenicline alone</w:t>
      </w:r>
    </w:p>
    <w:p w:rsidR="002E5F24" w:rsidRDefault="002E5F24" w:rsidP="002E5F24">
      <w:pPr>
        <w:pStyle w:val="FigureFooter"/>
      </w:pPr>
      <w:r>
        <w:t>Source: Howes et al. (2020)</w:t>
      </w:r>
    </w:p>
    <w:p w:rsidR="002E5F24" w:rsidRDefault="002E5F24" w:rsidP="002E5F24"/>
    <w:p w:rsidR="00776305" w:rsidRDefault="00242C90" w:rsidP="008906F1">
      <w:pPr>
        <w:keepNext/>
      </w:pPr>
      <w:r>
        <w:rPr>
          <w:noProof/>
        </w:rPr>
        <w:lastRenderedPageBreak/>
        <w:drawing>
          <wp:inline distT="0" distB="0" distL="0" distR="0" wp14:anchorId="23C5DBCB" wp14:editId="568383AC">
            <wp:extent cx="5731510" cy="1591310"/>
            <wp:effectExtent l="0" t="0" r="254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105">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rsidR="00242C90" w:rsidRDefault="00776305" w:rsidP="008906F1">
      <w:pPr>
        <w:pStyle w:val="Caption"/>
      </w:pPr>
      <w:bookmarkStart w:id="421" w:name="_Ref58489530"/>
      <w:r>
        <w:t xml:space="preserve">Figure </w:t>
      </w:r>
      <w:r w:rsidR="003C4A1C">
        <w:rPr>
          <w:noProof/>
        </w:rPr>
        <w:t>83</w:t>
      </w:r>
      <w:bookmarkEnd w:id="421"/>
      <w:r>
        <w:t xml:space="preserve">: </w:t>
      </w:r>
      <w:r w:rsidRPr="004A5FF5">
        <w:t xml:space="preserve">Results of adverse events in Howes et al. (2020), </w:t>
      </w:r>
      <w:r>
        <w:t>b</w:t>
      </w:r>
      <w:r w:rsidRPr="004A5FF5">
        <w:t xml:space="preserve">upropion </w:t>
      </w:r>
      <w:r>
        <w:t xml:space="preserve">plus NRT </w:t>
      </w:r>
      <w:r w:rsidRPr="004A5FF5">
        <w:t xml:space="preserve">versus </w:t>
      </w:r>
      <w:r>
        <w:t>NRT</w:t>
      </w:r>
      <w:r w:rsidRPr="004A5FF5">
        <w:t xml:space="preserve"> alone</w:t>
      </w:r>
    </w:p>
    <w:p w:rsidR="00776305" w:rsidRDefault="00776305" w:rsidP="00776305">
      <w:pPr>
        <w:pStyle w:val="FigureFooter"/>
      </w:pPr>
      <w:r>
        <w:t>Source: Howes et al. (2020)</w:t>
      </w:r>
    </w:p>
    <w:p w:rsidR="00776305" w:rsidRDefault="00776305" w:rsidP="002E5F24"/>
    <w:p w:rsidR="00776305" w:rsidRDefault="00776305" w:rsidP="008906F1">
      <w:pPr>
        <w:keepNext/>
      </w:pPr>
      <w:r>
        <w:rPr>
          <w:noProof/>
        </w:rPr>
        <w:drawing>
          <wp:inline distT="0" distB="0" distL="0" distR="0" wp14:anchorId="628FB2B5" wp14:editId="0E5F451D">
            <wp:extent cx="5731510" cy="1712595"/>
            <wp:effectExtent l="0" t="0" r="254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pic:nvPicPr>
                  <pic:blipFill>
                    <a:blip r:embed="rId106">
                      <a:extLst>
                        <a:ext uri="{28A0092B-C50C-407E-A947-70E740481C1C}">
                          <a14:useLocalDpi xmlns:a14="http://schemas.microsoft.com/office/drawing/2010/main" val="0"/>
                        </a:ext>
                      </a:extLst>
                    </a:blip>
                    <a:stretch>
                      <a:fillRect/>
                    </a:stretch>
                  </pic:blipFill>
                  <pic:spPr>
                    <a:xfrm>
                      <a:off x="0" y="0"/>
                      <a:ext cx="5731510" cy="1712595"/>
                    </a:xfrm>
                    <a:prstGeom prst="rect">
                      <a:avLst/>
                    </a:prstGeom>
                  </pic:spPr>
                </pic:pic>
              </a:graphicData>
            </a:graphic>
          </wp:inline>
        </w:drawing>
      </w:r>
    </w:p>
    <w:p w:rsidR="00776305" w:rsidRDefault="00776305" w:rsidP="008906F1">
      <w:pPr>
        <w:pStyle w:val="Caption"/>
      </w:pPr>
      <w:r>
        <w:t xml:space="preserve">Figure </w:t>
      </w:r>
      <w:r w:rsidR="003C4A1C">
        <w:rPr>
          <w:noProof/>
        </w:rPr>
        <w:t>84</w:t>
      </w:r>
      <w:r>
        <w:t xml:space="preserve">: </w:t>
      </w:r>
      <w:r w:rsidRPr="00721B19">
        <w:t xml:space="preserve">Results of serious adverse events in Howes et al. (2020), bupropion </w:t>
      </w:r>
      <w:r>
        <w:t xml:space="preserve">plus NRT </w:t>
      </w:r>
      <w:r w:rsidRPr="00721B19">
        <w:t xml:space="preserve">versus </w:t>
      </w:r>
      <w:r>
        <w:t>NRT</w:t>
      </w:r>
      <w:r w:rsidRPr="00721B19">
        <w:t xml:space="preserve"> alone</w:t>
      </w:r>
    </w:p>
    <w:p w:rsidR="00776305" w:rsidRDefault="00776305" w:rsidP="00776305">
      <w:pPr>
        <w:pStyle w:val="FigureFooter"/>
      </w:pPr>
      <w:r>
        <w:t>Source: Howes et al. (2020)</w:t>
      </w:r>
    </w:p>
    <w:p w:rsidR="00776305" w:rsidRDefault="00776305" w:rsidP="002E5F24"/>
    <w:p w:rsidR="00776305" w:rsidRDefault="00776305" w:rsidP="008906F1">
      <w:pPr>
        <w:keepNext/>
      </w:pPr>
      <w:r>
        <w:rPr>
          <w:noProof/>
        </w:rPr>
        <w:drawing>
          <wp:inline distT="0" distB="0" distL="0" distR="0" wp14:anchorId="0B38E2BA" wp14:editId="77EB2506">
            <wp:extent cx="5731510" cy="1591310"/>
            <wp:effectExtent l="0" t="0" r="2540" b="88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107">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rsidR="00776305" w:rsidRDefault="00776305" w:rsidP="00776305">
      <w:pPr>
        <w:pStyle w:val="Caption"/>
      </w:pPr>
      <w:bookmarkStart w:id="422" w:name="_Ref58489539"/>
      <w:r>
        <w:t xml:space="preserve">Figure </w:t>
      </w:r>
      <w:r w:rsidR="003C4A1C">
        <w:rPr>
          <w:noProof/>
        </w:rPr>
        <w:t>85</w:t>
      </w:r>
      <w:bookmarkEnd w:id="422"/>
      <w:r>
        <w:t xml:space="preserve">: </w:t>
      </w:r>
      <w:r w:rsidRPr="00A1530E">
        <w:t xml:space="preserve">Results of discontinuation due to adverse events in Howes et al. (2020), bupropion </w:t>
      </w:r>
      <w:r>
        <w:t xml:space="preserve">plus NRT </w:t>
      </w:r>
      <w:r w:rsidRPr="00A1530E">
        <w:t xml:space="preserve">versus </w:t>
      </w:r>
      <w:r>
        <w:t>NRT</w:t>
      </w:r>
      <w:r w:rsidRPr="00A1530E">
        <w:t xml:space="preserve"> alone</w:t>
      </w:r>
    </w:p>
    <w:p w:rsidR="00776305" w:rsidRDefault="00776305" w:rsidP="00776305">
      <w:pPr>
        <w:pStyle w:val="FigureFooter"/>
      </w:pPr>
      <w:r>
        <w:t>Source: Howes et al. (2020)</w:t>
      </w:r>
    </w:p>
    <w:p w:rsidR="002E5F24" w:rsidRDefault="002E5F24" w:rsidP="00776305"/>
    <w:p w:rsidR="00D21E11" w:rsidRDefault="00D21E11" w:rsidP="00776305">
      <w:pPr>
        <w:rPr>
          <w:highlight w:val="yellow"/>
        </w:rPr>
      </w:pPr>
    </w:p>
    <w:p w:rsidR="00D21E11" w:rsidRDefault="00D21E11" w:rsidP="00776305">
      <w:pPr>
        <w:rPr>
          <w:highlight w:val="yellow"/>
        </w:rPr>
      </w:pPr>
    </w:p>
    <w:p w:rsidR="008846EB" w:rsidRDefault="008846EB" w:rsidP="008846EB">
      <w:pPr>
        <w:keepNext/>
        <w:spacing w:after="0"/>
      </w:pPr>
      <w:r>
        <w:br w:type="page"/>
      </w:r>
      <w:r w:rsidRPr="70001105">
        <w:rPr>
          <w:rFonts w:ascii="Times New Roman" w:eastAsia="Times New Roman" w:hAnsi="Times New Roman" w:cs="Times New Roman"/>
          <w:lang w:eastAsia="en-GB"/>
        </w:rPr>
        <w:lastRenderedPageBreak/>
        <w:fldChar w:fldCharType="begin"/>
      </w:r>
      <w:r>
        <w:rPr>
          <w:rFonts w:ascii="Times New Roman" w:eastAsia="Times New Roman" w:hAnsi="Times New Roman" w:cs="Times New Roman"/>
          <w:lang w:eastAsia="en-GB"/>
        </w:rPr>
        <w:instrText xml:space="preserve"> INCLUDEPICTURE "C:\\var\\folders\\gx\\zlxfjf7d1z77ylckw36klf9h0000gn\\T\\com.microsoft.Word\\WebArchiveCopyPasteTempFiles\\nCD013308-CMP-002-02.png" \* MERGEFORMAT </w:instrText>
      </w:r>
      <w:r w:rsidRPr="70001105">
        <w:rPr>
          <w:rFonts w:ascii="Times New Roman" w:eastAsia="Times New Roman" w:hAnsi="Times New Roman" w:cs="Times New Roman"/>
          <w:lang w:eastAsia="en-GB"/>
        </w:rPr>
        <w:fldChar w:fldCharType="separate"/>
      </w:r>
      <w:r>
        <w:rPr>
          <w:noProof/>
        </w:rPr>
        <w:drawing>
          <wp:inline distT="0" distB="0" distL="0" distR="0" wp14:anchorId="07E75907" wp14:editId="514F29A0">
            <wp:extent cx="5731510" cy="3287395"/>
            <wp:effectExtent l="0" t="0" r="0" b="1905"/>
            <wp:docPr id="91" name="Picture 91" descr="Comparison 2 Duration of patch therapy, Outcome 2 Overall SA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pic:nvPicPr>
                  <pic:blipFill>
                    <a:blip r:embed="rId108">
                      <a:extLst>
                        <a:ext uri="{28A0092B-C50C-407E-A947-70E740481C1C}">
                          <a14:useLocalDpi xmlns:a14="http://schemas.microsoft.com/office/drawing/2010/main" val="0"/>
                        </a:ext>
                      </a:extLst>
                    </a:blip>
                    <a:stretch>
                      <a:fillRect/>
                    </a:stretch>
                  </pic:blipFill>
                  <pic:spPr>
                    <a:xfrm>
                      <a:off x="0" y="0"/>
                      <a:ext cx="5731510" cy="328739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rsidR="008846EB" w:rsidRDefault="008846EB" w:rsidP="008846EB">
      <w:pPr>
        <w:pStyle w:val="Caption"/>
      </w:pPr>
      <w:bookmarkStart w:id="423" w:name="_Ref62127613"/>
      <w:r>
        <w:t xml:space="preserve">Figure </w:t>
      </w:r>
      <w:bookmarkEnd w:id="423"/>
      <w:r w:rsidR="007C49E1">
        <w:t>86</w:t>
      </w:r>
      <w:r>
        <w:t xml:space="preserve">: </w:t>
      </w:r>
      <w:r w:rsidRPr="00D40683">
        <w:t>Results of serious adverse events in Lindson et al. (2019), higher dose versus lower dose NRT patch</w:t>
      </w:r>
    </w:p>
    <w:p w:rsidR="008846EB" w:rsidRDefault="008846EB" w:rsidP="008846EB">
      <w:pPr>
        <w:pStyle w:val="FigureFooter"/>
      </w:pPr>
      <w:r>
        <w:t>Source: Lindson et al. (2019)</w:t>
      </w:r>
    </w:p>
    <w:p w:rsidR="008846EB" w:rsidRDefault="008846EB" w:rsidP="008846EB">
      <w:pPr>
        <w:spacing w:after="0"/>
      </w:pPr>
    </w:p>
    <w:p w:rsidR="008846EB" w:rsidRDefault="008846EB" w:rsidP="008846EB">
      <w:pPr>
        <w:keepNext/>
        <w:spacing w:after="0"/>
      </w:pPr>
      <w:r w:rsidRPr="70001105">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INCLUDEPICTURE "C:\\var\\folders\\gx\\zlxfjf7d1z77ylckw36klf9h0000gn\\T\\com.microsoft.Word\\WebArchiveCopyPasteTempFiles\\nCD013308-CMP-002-03.png" \* MERGEFORMAT </w:instrText>
      </w:r>
      <w:r w:rsidRPr="70001105">
        <w:rPr>
          <w:rFonts w:ascii="Times New Roman" w:eastAsia="Times New Roman" w:hAnsi="Times New Roman" w:cs="Times New Roman"/>
          <w:lang w:eastAsia="en-GB"/>
        </w:rPr>
        <w:fldChar w:fldCharType="separate"/>
      </w:r>
      <w:r>
        <w:rPr>
          <w:noProof/>
        </w:rPr>
        <w:drawing>
          <wp:inline distT="0" distB="0" distL="0" distR="0" wp14:anchorId="64FCAEEC" wp14:editId="4CCF7EBB">
            <wp:extent cx="5731510" cy="1456055"/>
            <wp:effectExtent l="0" t="0" r="0" b="4445"/>
            <wp:docPr id="92" name="Picture 92" descr="Comparison 2 Duration of patch therapy, Outcome 3 Treatment withdraw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pic:nvPicPr>
                  <pic:blipFill>
                    <a:blip r:embed="rId109">
                      <a:extLst>
                        <a:ext uri="{28A0092B-C50C-407E-A947-70E740481C1C}">
                          <a14:useLocalDpi xmlns:a14="http://schemas.microsoft.com/office/drawing/2010/main" val="0"/>
                        </a:ext>
                      </a:extLst>
                    </a:blip>
                    <a:stretch>
                      <a:fillRect/>
                    </a:stretch>
                  </pic:blipFill>
                  <pic:spPr>
                    <a:xfrm>
                      <a:off x="0" y="0"/>
                      <a:ext cx="5731510" cy="145605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rsidR="008846EB" w:rsidRDefault="008846EB" w:rsidP="008846EB">
      <w:pPr>
        <w:pStyle w:val="Caption"/>
      </w:pPr>
      <w:bookmarkStart w:id="424" w:name="_Ref62127617"/>
      <w:r>
        <w:t xml:space="preserve">Figure </w:t>
      </w:r>
      <w:bookmarkEnd w:id="424"/>
      <w:r w:rsidR="007C49E1">
        <w:t>87</w:t>
      </w:r>
      <w:r>
        <w:t xml:space="preserve">: </w:t>
      </w:r>
      <w:r w:rsidRPr="005426F7">
        <w:t>Results of treatment withdrawals in Lindson et al. (2019), higher dose versus lower dose NRT patch</w:t>
      </w:r>
    </w:p>
    <w:p w:rsidR="008846EB" w:rsidRPr="0076393A" w:rsidRDefault="008846EB" w:rsidP="008846EB">
      <w:pPr>
        <w:pStyle w:val="FigureFooter"/>
      </w:pPr>
      <w:r>
        <w:t>Source: Lindson et al. (2019)</w:t>
      </w:r>
    </w:p>
    <w:p w:rsidR="008846EB" w:rsidRDefault="008846EB" w:rsidP="008846EB"/>
    <w:p w:rsidR="008846EB" w:rsidRDefault="008846EB" w:rsidP="008846EB">
      <w:pPr>
        <w:keepNext/>
        <w:spacing w:after="0"/>
      </w:pPr>
      <w:r w:rsidRPr="70001105">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INCLUDEPICTURE "C:\\var\\folders\\gx\\zlxfjf7d1z77ylckw36klf9h0000gn\\T\\com.microsoft.Word\\WebArchiveCopyPasteTempFiles\\nCD013308-CMP-008-02.png" \* MERGEFORMAT </w:instrText>
      </w:r>
      <w:r w:rsidRPr="70001105">
        <w:rPr>
          <w:rFonts w:ascii="Times New Roman" w:eastAsia="Times New Roman" w:hAnsi="Times New Roman" w:cs="Times New Roman"/>
          <w:lang w:eastAsia="en-GB"/>
        </w:rPr>
        <w:fldChar w:fldCharType="separate"/>
      </w:r>
      <w:r>
        <w:rPr>
          <w:noProof/>
        </w:rPr>
        <w:drawing>
          <wp:inline distT="0" distB="0" distL="0" distR="0" wp14:anchorId="4F3DB475" wp14:editId="0D40D542">
            <wp:extent cx="5731510" cy="1198245"/>
            <wp:effectExtent l="0" t="0" r="0" b="0"/>
            <wp:docPr id="93" name="Picture 93" descr="Comparison 8 4 mg versus 2 mg gum, Outcome 2 Palp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pic:nvPicPr>
                  <pic:blipFill>
                    <a:blip r:embed="rId110">
                      <a:extLst>
                        <a:ext uri="{28A0092B-C50C-407E-A947-70E740481C1C}">
                          <a14:useLocalDpi xmlns:a14="http://schemas.microsoft.com/office/drawing/2010/main" val="0"/>
                        </a:ext>
                      </a:extLst>
                    </a:blip>
                    <a:stretch>
                      <a:fillRect/>
                    </a:stretch>
                  </pic:blipFill>
                  <pic:spPr>
                    <a:xfrm>
                      <a:off x="0" y="0"/>
                      <a:ext cx="5731510" cy="119824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rsidR="008846EB" w:rsidRDefault="008846EB" w:rsidP="008846EB">
      <w:pPr>
        <w:pStyle w:val="Caption"/>
      </w:pPr>
      <w:bookmarkStart w:id="425" w:name="_Ref62127624"/>
      <w:r>
        <w:t xml:space="preserve">Figure </w:t>
      </w:r>
      <w:bookmarkEnd w:id="425"/>
      <w:r w:rsidR="007C49E1">
        <w:t>88</w:t>
      </w:r>
      <w:r>
        <w:t xml:space="preserve">: </w:t>
      </w:r>
      <w:r w:rsidRPr="005F2306">
        <w:t>Results of palpitations as adverse events in Lindson et al. (2019), higher dose versus lower dose NRT gum</w:t>
      </w:r>
    </w:p>
    <w:p w:rsidR="008846EB" w:rsidRPr="0076393A" w:rsidRDefault="008846EB" w:rsidP="008846EB">
      <w:pPr>
        <w:pStyle w:val="FigureFooter"/>
      </w:pPr>
      <w:r>
        <w:t>Source: Lindson et al. (2019)</w:t>
      </w:r>
    </w:p>
    <w:p w:rsidR="008846EB" w:rsidRPr="00C27B0A" w:rsidRDefault="008846EB" w:rsidP="008846EB">
      <w:pPr>
        <w:rPr>
          <w:lang w:eastAsia="en-GB"/>
        </w:rPr>
      </w:pPr>
    </w:p>
    <w:p w:rsidR="008846EB" w:rsidRDefault="008846EB" w:rsidP="008846EB">
      <w:pPr>
        <w:keepNext/>
        <w:spacing w:after="0"/>
      </w:pPr>
      <w:r w:rsidRPr="70001105">
        <w:rPr>
          <w:rFonts w:ascii="Times New Roman" w:eastAsia="Times New Roman" w:hAnsi="Times New Roman" w:cs="Times New Roman"/>
          <w:lang w:eastAsia="en-GB"/>
        </w:rPr>
        <w:lastRenderedPageBreak/>
        <w:fldChar w:fldCharType="begin"/>
      </w:r>
      <w:r>
        <w:rPr>
          <w:rFonts w:ascii="Times New Roman" w:eastAsia="Times New Roman" w:hAnsi="Times New Roman" w:cs="Times New Roman"/>
          <w:lang w:eastAsia="en-GB"/>
        </w:rPr>
        <w:instrText xml:space="preserve"> INCLUDEPICTURE "C:\\var\\folders\\gx\\zlxfjf7d1z77ylckw36klf9h0000gn\\T\\com.microsoft.Word\\WebArchiveCopyPasteTempFiles\\nCD013308-CMP-008-03.png" \* MERGEFORMAT </w:instrText>
      </w:r>
      <w:r w:rsidRPr="70001105">
        <w:rPr>
          <w:rFonts w:ascii="Times New Roman" w:eastAsia="Times New Roman" w:hAnsi="Times New Roman" w:cs="Times New Roman"/>
          <w:lang w:eastAsia="en-GB"/>
        </w:rPr>
        <w:fldChar w:fldCharType="separate"/>
      </w:r>
      <w:r>
        <w:rPr>
          <w:noProof/>
        </w:rPr>
        <w:drawing>
          <wp:inline distT="0" distB="0" distL="0" distR="0" wp14:anchorId="0B41F5E9" wp14:editId="7C839035">
            <wp:extent cx="5731510" cy="1591310"/>
            <wp:effectExtent l="0" t="0" r="0" b="0"/>
            <wp:docPr id="94" name="Picture 94" descr="Comparison 8 4 mg versus 2 mg gum, Outcome 3 Treatment withdraw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pic:nvPicPr>
                  <pic:blipFill>
                    <a:blip r:embed="rId111">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rsidR="008846EB" w:rsidRDefault="008846EB" w:rsidP="008846EB">
      <w:pPr>
        <w:pStyle w:val="Caption"/>
      </w:pPr>
      <w:bookmarkStart w:id="426" w:name="_Ref62127681"/>
      <w:r>
        <w:t xml:space="preserve">Figure </w:t>
      </w:r>
      <w:bookmarkEnd w:id="426"/>
      <w:r w:rsidR="007C49E1">
        <w:t>89</w:t>
      </w:r>
      <w:r>
        <w:t xml:space="preserve">: </w:t>
      </w:r>
      <w:r w:rsidRPr="00B20300">
        <w:t>Results of treatment withdrawals in Lindson et al. (2019), higher dose versus lower dose NRT gum</w:t>
      </w:r>
    </w:p>
    <w:p w:rsidR="008846EB" w:rsidRDefault="008846EB" w:rsidP="008846EB">
      <w:pPr>
        <w:pStyle w:val="FigureFooter"/>
      </w:pPr>
      <w:r>
        <w:t>Source: Lindson et al. (2019)</w:t>
      </w:r>
    </w:p>
    <w:p w:rsidR="008846EB" w:rsidRPr="00C27B0A" w:rsidRDefault="008846EB" w:rsidP="008846EB">
      <w:pPr>
        <w:pStyle w:val="FigureFooter"/>
      </w:pPr>
    </w:p>
    <w:p w:rsidR="008846EB" w:rsidRDefault="008846EB" w:rsidP="008846EB">
      <w:pPr>
        <w:keepNext/>
      </w:pPr>
      <w:r>
        <w:rPr>
          <w:noProof/>
        </w:rPr>
        <w:drawing>
          <wp:inline distT="0" distB="0" distL="0" distR="0" wp14:anchorId="5E4033AB" wp14:editId="600B0F0C">
            <wp:extent cx="5731510" cy="3287395"/>
            <wp:effectExtent l="0" t="0" r="0" b="1905"/>
            <wp:docPr id="102" name="Picture 102" descr="Comparison 2 Duration of patch therapy, Outcome 2 Overall SA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pic:nvPicPr>
                  <pic:blipFill>
                    <a:blip r:embed="rId108">
                      <a:extLst>
                        <a:ext uri="{28A0092B-C50C-407E-A947-70E740481C1C}">
                          <a14:useLocalDpi xmlns:a14="http://schemas.microsoft.com/office/drawing/2010/main" val="0"/>
                        </a:ext>
                      </a:extLst>
                    </a:blip>
                    <a:stretch>
                      <a:fillRect/>
                    </a:stretch>
                  </pic:blipFill>
                  <pic:spPr>
                    <a:xfrm>
                      <a:off x="0" y="0"/>
                      <a:ext cx="5731510" cy="3287395"/>
                    </a:xfrm>
                    <a:prstGeom prst="rect">
                      <a:avLst/>
                    </a:prstGeom>
                  </pic:spPr>
                </pic:pic>
              </a:graphicData>
            </a:graphic>
          </wp:inline>
        </w:drawing>
      </w:r>
    </w:p>
    <w:p w:rsidR="008846EB" w:rsidRDefault="008846EB" w:rsidP="008846EB">
      <w:pPr>
        <w:pStyle w:val="Caption"/>
      </w:pPr>
      <w:bookmarkStart w:id="427" w:name="_Ref62127693"/>
      <w:r>
        <w:t xml:space="preserve">Figure </w:t>
      </w:r>
      <w:bookmarkEnd w:id="427"/>
      <w:r w:rsidR="007C49E1">
        <w:t>90</w:t>
      </w:r>
      <w:r>
        <w:t xml:space="preserve">: </w:t>
      </w:r>
      <w:r w:rsidRPr="00717937">
        <w:t>Results of overall serious adverse events in Lindson et al. (2019), longer duration versus shorter duration NRT patch</w:t>
      </w:r>
    </w:p>
    <w:p w:rsidR="008846EB" w:rsidRPr="00C27B0A" w:rsidRDefault="008846EB" w:rsidP="008846EB">
      <w:pPr>
        <w:pStyle w:val="FigureFooter"/>
      </w:pPr>
      <w:r>
        <w:t>Source: Lindson et al. (2019)</w:t>
      </w:r>
    </w:p>
    <w:p w:rsidR="008846EB" w:rsidRDefault="008846EB" w:rsidP="008846EB"/>
    <w:p w:rsidR="008846EB" w:rsidRDefault="008846EB" w:rsidP="008846EB">
      <w:pPr>
        <w:keepNext/>
      </w:pPr>
      <w:r>
        <w:rPr>
          <w:noProof/>
        </w:rPr>
        <w:drawing>
          <wp:inline distT="0" distB="0" distL="0" distR="0" wp14:anchorId="234D16BA" wp14:editId="5F6DAF77">
            <wp:extent cx="5731510" cy="1456055"/>
            <wp:effectExtent l="0" t="0" r="0" b="4445"/>
            <wp:docPr id="103" name="Picture 103" descr="Comparison 2 Duration of patch therapy, Outcome 3 Treatment withdraw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pic:nvPicPr>
                  <pic:blipFill>
                    <a:blip r:embed="rId109">
                      <a:extLst>
                        <a:ext uri="{28A0092B-C50C-407E-A947-70E740481C1C}">
                          <a14:useLocalDpi xmlns:a14="http://schemas.microsoft.com/office/drawing/2010/main" val="0"/>
                        </a:ext>
                      </a:extLst>
                    </a:blip>
                    <a:stretch>
                      <a:fillRect/>
                    </a:stretch>
                  </pic:blipFill>
                  <pic:spPr>
                    <a:xfrm>
                      <a:off x="0" y="0"/>
                      <a:ext cx="5731510" cy="1456055"/>
                    </a:xfrm>
                    <a:prstGeom prst="rect">
                      <a:avLst/>
                    </a:prstGeom>
                  </pic:spPr>
                </pic:pic>
              </a:graphicData>
            </a:graphic>
          </wp:inline>
        </w:drawing>
      </w:r>
    </w:p>
    <w:p w:rsidR="008846EB" w:rsidRDefault="008846EB" w:rsidP="008846EB">
      <w:pPr>
        <w:pStyle w:val="Caption"/>
      </w:pPr>
      <w:bookmarkStart w:id="428" w:name="_Ref62127798"/>
      <w:r>
        <w:t xml:space="preserve">Figure </w:t>
      </w:r>
      <w:bookmarkEnd w:id="428"/>
      <w:r w:rsidR="007C49E1">
        <w:t>91</w:t>
      </w:r>
      <w:r>
        <w:t xml:space="preserve">: </w:t>
      </w:r>
      <w:r w:rsidRPr="00EE2500">
        <w:t>Results of adverse events (treatment withdrawals) in Lindson et al. (2019), longer duration versus shorter duration NRT patch</w:t>
      </w:r>
    </w:p>
    <w:p w:rsidR="008846EB" w:rsidRDefault="008846EB" w:rsidP="008846EB">
      <w:pPr>
        <w:pStyle w:val="FigureFooter"/>
      </w:pPr>
      <w:r>
        <w:lastRenderedPageBreak/>
        <w:t>Source: Lindson et al. (2019)</w:t>
      </w:r>
    </w:p>
    <w:p w:rsidR="008846EB" w:rsidRPr="00C14F3F" w:rsidRDefault="008846EB" w:rsidP="008846EB">
      <w:pPr>
        <w:pStyle w:val="FigureFooter"/>
      </w:pPr>
    </w:p>
    <w:p w:rsidR="008846EB" w:rsidRDefault="008846EB" w:rsidP="008846EB">
      <w:pPr>
        <w:keepNext/>
        <w:spacing w:after="0"/>
      </w:pPr>
      <w:r w:rsidRPr="70001105">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INCLUDEPICTURE "C:\\var\\folders\\gx\\zlxfjf7d1z77ylckw36klf9h0000gn\\T\\com.microsoft.Word\\WebArchiveCopyPasteTempFiles\\nCD013308-CMP-013-02.png" \* MERGEFORMAT </w:instrText>
      </w:r>
      <w:r w:rsidRPr="70001105">
        <w:rPr>
          <w:rFonts w:ascii="Times New Roman" w:eastAsia="Times New Roman" w:hAnsi="Times New Roman" w:cs="Times New Roman"/>
          <w:lang w:eastAsia="en-GB"/>
        </w:rPr>
        <w:fldChar w:fldCharType="separate"/>
      </w:r>
      <w:r>
        <w:rPr>
          <w:noProof/>
        </w:rPr>
        <w:drawing>
          <wp:inline distT="0" distB="0" distL="0" distR="0" wp14:anchorId="0DF15687" wp14:editId="7E913AE7">
            <wp:extent cx="5731510" cy="1198245"/>
            <wp:effectExtent l="0" t="0" r="0" b="0"/>
            <wp:docPr id="59" name="Picture 59" descr="Comparison 13 Other comparisons, Outcome 2 Midsternal pres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12">
                      <a:extLst>
                        <a:ext uri="{28A0092B-C50C-407E-A947-70E740481C1C}">
                          <a14:useLocalDpi xmlns:a14="http://schemas.microsoft.com/office/drawing/2010/main" val="0"/>
                        </a:ext>
                      </a:extLst>
                    </a:blip>
                    <a:stretch>
                      <a:fillRect/>
                    </a:stretch>
                  </pic:blipFill>
                  <pic:spPr>
                    <a:xfrm>
                      <a:off x="0" y="0"/>
                      <a:ext cx="5731510" cy="119824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rsidR="008846EB" w:rsidRDefault="008846EB" w:rsidP="008846EB">
      <w:pPr>
        <w:pStyle w:val="Caption"/>
      </w:pPr>
      <w:bookmarkStart w:id="429" w:name="_Ref62127802"/>
      <w:r>
        <w:t xml:space="preserve">Figure </w:t>
      </w:r>
      <w:bookmarkEnd w:id="429"/>
      <w:r w:rsidR="007C49E1">
        <w:t>92</w:t>
      </w:r>
      <w:r>
        <w:t xml:space="preserve">: </w:t>
      </w:r>
      <w:r w:rsidRPr="00494550">
        <w:t>Results of key adverse events (midsternal pressure) in Lindson et al. (2019), 50-week duration versus 10-week duration NRT gum</w:t>
      </w:r>
    </w:p>
    <w:p w:rsidR="008846EB" w:rsidRDefault="008846EB" w:rsidP="008846EB">
      <w:pPr>
        <w:pStyle w:val="FigureFooter"/>
      </w:pPr>
      <w:r>
        <w:t>Source: Lindson et al. (2019)</w:t>
      </w:r>
    </w:p>
    <w:p w:rsidR="008846EB" w:rsidRPr="008363EF" w:rsidRDefault="008846EB" w:rsidP="008846EB">
      <w:pPr>
        <w:pStyle w:val="FigureFooter"/>
      </w:pPr>
    </w:p>
    <w:p w:rsidR="008846EB" w:rsidRDefault="008846EB" w:rsidP="008846EB">
      <w:pPr>
        <w:keepNext/>
        <w:spacing w:after="0"/>
      </w:pPr>
      <w:r w:rsidRPr="70001105">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INCLUDEPICTURE "C:\\var\\folders\\gx\\zlxfjf7d1z77ylckw36klf9h0000gn\\T\\com.microsoft.Word\\WebArchiveCopyPasteTempFiles\\nCD013308-CMP-013-04.png" \* MERGEFORMAT </w:instrText>
      </w:r>
      <w:r w:rsidRPr="70001105">
        <w:rPr>
          <w:rFonts w:ascii="Times New Roman" w:eastAsia="Times New Roman" w:hAnsi="Times New Roman" w:cs="Times New Roman"/>
          <w:lang w:eastAsia="en-GB"/>
        </w:rPr>
        <w:fldChar w:fldCharType="separate"/>
      </w:r>
      <w:r>
        <w:rPr>
          <w:noProof/>
        </w:rPr>
        <w:drawing>
          <wp:inline distT="0" distB="0" distL="0" distR="0" wp14:anchorId="248DA329" wp14:editId="68B91D74">
            <wp:extent cx="5731510" cy="1966595"/>
            <wp:effectExtent l="0" t="0" r="0" b="1905"/>
            <wp:docPr id="61" name="Picture 61" descr="Comparison 13 Other comparisons, Outcome 4 Overall SA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ic:nvPicPr>
                  <pic:blipFill>
                    <a:blip r:embed="rId113">
                      <a:extLst>
                        <a:ext uri="{28A0092B-C50C-407E-A947-70E740481C1C}">
                          <a14:useLocalDpi xmlns:a14="http://schemas.microsoft.com/office/drawing/2010/main" val="0"/>
                        </a:ext>
                      </a:extLst>
                    </a:blip>
                    <a:stretch>
                      <a:fillRect/>
                    </a:stretch>
                  </pic:blipFill>
                  <pic:spPr>
                    <a:xfrm>
                      <a:off x="0" y="0"/>
                      <a:ext cx="5731510" cy="196659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rsidR="008846EB" w:rsidRPr="00320582" w:rsidRDefault="008846EB" w:rsidP="008846EB">
      <w:pPr>
        <w:pStyle w:val="Caption"/>
        <w:rPr>
          <w:rFonts w:ascii="Times New Roman" w:hAnsi="Times New Roman"/>
          <w:szCs w:val="24"/>
          <w:lang w:eastAsia="en-GB"/>
        </w:rPr>
      </w:pPr>
      <w:bookmarkStart w:id="430" w:name="_Ref62127877"/>
      <w:r>
        <w:t xml:space="preserve">Figure </w:t>
      </w:r>
      <w:bookmarkEnd w:id="430"/>
      <w:r w:rsidR="007C49E1">
        <w:t>93</w:t>
      </w:r>
      <w:r>
        <w:t xml:space="preserve">: </w:t>
      </w:r>
      <w:r w:rsidRPr="004D0B40">
        <w:t>Results of overall serious adverse events in Lindson et al. (2019), 50-week duration versus 10-week duration NRT gum</w:t>
      </w:r>
      <w:r>
        <w:t xml:space="preserve">, </w:t>
      </w:r>
      <w:r w:rsidRPr="00C72C5C">
        <w:t>other variations in NRT use</w:t>
      </w:r>
    </w:p>
    <w:p w:rsidR="008846EB" w:rsidRDefault="008846EB" w:rsidP="008846EB">
      <w:pPr>
        <w:pStyle w:val="FigureFooter"/>
      </w:pPr>
      <w:r>
        <w:t>Source: Lindson et al. (2019)</w:t>
      </w:r>
    </w:p>
    <w:p w:rsidR="008846EB" w:rsidRPr="008363EF" w:rsidRDefault="008846EB" w:rsidP="008846EB">
      <w:pPr>
        <w:pStyle w:val="FigureFooter"/>
      </w:pPr>
    </w:p>
    <w:p w:rsidR="008846EB" w:rsidRDefault="008846EB" w:rsidP="008846EB">
      <w:pPr>
        <w:keepNext/>
      </w:pPr>
      <w:r>
        <w:rPr>
          <w:noProof/>
        </w:rPr>
        <w:drawing>
          <wp:inline distT="0" distB="0" distL="0" distR="0" wp14:anchorId="20ABE8DF" wp14:editId="7E1184E8">
            <wp:extent cx="5731510" cy="1831340"/>
            <wp:effectExtent l="0" t="0" r="0" b="0"/>
            <wp:docPr id="105" name="Picture 105" descr="Comparison 5 Duration of combination therapy, Outcome 2 Overall SA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pic:nvPicPr>
                  <pic:blipFill>
                    <a:blip r:embed="rId114">
                      <a:extLst>
                        <a:ext uri="{28A0092B-C50C-407E-A947-70E740481C1C}">
                          <a14:useLocalDpi xmlns:a14="http://schemas.microsoft.com/office/drawing/2010/main" val="0"/>
                        </a:ext>
                      </a:extLst>
                    </a:blip>
                    <a:stretch>
                      <a:fillRect/>
                    </a:stretch>
                  </pic:blipFill>
                  <pic:spPr>
                    <a:xfrm>
                      <a:off x="0" y="0"/>
                      <a:ext cx="5731510" cy="1831340"/>
                    </a:xfrm>
                    <a:prstGeom prst="rect">
                      <a:avLst/>
                    </a:prstGeom>
                  </pic:spPr>
                </pic:pic>
              </a:graphicData>
            </a:graphic>
          </wp:inline>
        </w:drawing>
      </w:r>
    </w:p>
    <w:p w:rsidR="008846EB" w:rsidRDefault="008846EB" w:rsidP="008846EB">
      <w:pPr>
        <w:pStyle w:val="Caption"/>
        <w:rPr>
          <w:szCs w:val="24"/>
        </w:rPr>
      </w:pPr>
      <w:bookmarkStart w:id="431" w:name="_Ref62128906"/>
      <w:r>
        <w:t xml:space="preserve">Figure </w:t>
      </w:r>
      <w:bookmarkEnd w:id="431"/>
      <w:r w:rsidR="00884D0D">
        <w:t>9</w:t>
      </w:r>
      <w:r w:rsidR="007C49E1">
        <w:rPr>
          <w:noProof/>
        </w:rPr>
        <w:t>4</w:t>
      </w:r>
      <w:r>
        <w:t xml:space="preserve">: </w:t>
      </w:r>
      <w:r w:rsidRPr="0086161F">
        <w:t>Results of overall serious adverse events in Lindson et al. (2019), longer duration versus shorter duration combination NRT</w:t>
      </w:r>
    </w:p>
    <w:p w:rsidR="008846EB" w:rsidRPr="00C72C5C" w:rsidRDefault="008846EB" w:rsidP="008846EB">
      <w:pPr>
        <w:pStyle w:val="FigureFooter"/>
      </w:pPr>
      <w:r>
        <w:t>Source: Lindson et al. (2019)</w:t>
      </w:r>
    </w:p>
    <w:p w:rsidR="008846EB" w:rsidRDefault="008846EB" w:rsidP="008846EB">
      <w:pPr>
        <w:keepNext/>
        <w:spacing w:after="0"/>
      </w:pPr>
      <w:r w:rsidRPr="70001105">
        <w:rPr>
          <w:rFonts w:ascii="Times New Roman" w:eastAsia="Times New Roman" w:hAnsi="Times New Roman" w:cs="Times New Roman"/>
          <w:lang w:eastAsia="en-GB"/>
        </w:rPr>
        <w:lastRenderedPageBreak/>
        <w:fldChar w:fldCharType="begin"/>
      </w:r>
      <w:r>
        <w:rPr>
          <w:rFonts w:ascii="Times New Roman" w:eastAsia="Times New Roman" w:hAnsi="Times New Roman" w:cs="Times New Roman"/>
          <w:lang w:eastAsia="en-GB"/>
        </w:rPr>
        <w:instrText xml:space="preserve"> INCLUDEPICTURE "C:\\var\\folders\\gx\\zlxfjf7d1z77ylckw36klf9h0000gn\\T\\com.microsoft.Word\\WebArchiveCopyPasteTempFiles\\nCD013308-CMP-013-05.png" \* MERGEFORMAT </w:instrText>
      </w:r>
      <w:r w:rsidRPr="70001105">
        <w:rPr>
          <w:rFonts w:ascii="Times New Roman" w:eastAsia="Times New Roman" w:hAnsi="Times New Roman" w:cs="Times New Roman"/>
          <w:lang w:eastAsia="en-GB"/>
        </w:rPr>
        <w:fldChar w:fldCharType="separate"/>
      </w:r>
      <w:r>
        <w:rPr>
          <w:noProof/>
        </w:rPr>
        <w:drawing>
          <wp:inline distT="0" distB="0" distL="0" distR="0" wp14:anchorId="0124A694" wp14:editId="76173DA0">
            <wp:extent cx="5731510" cy="1198245"/>
            <wp:effectExtent l="0" t="0" r="0" b="0"/>
            <wp:docPr id="77" name="Picture 77" descr="Comparison 13 Other comparisons, Outcome 5 Treatment withdraw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pic:nvPicPr>
                  <pic:blipFill>
                    <a:blip r:embed="rId115">
                      <a:extLst>
                        <a:ext uri="{28A0092B-C50C-407E-A947-70E740481C1C}">
                          <a14:useLocalDpi xmlns:a14="http://schemas.microsoft.com/office/drawing/2010/main" val="0"/>
                        </a:ext>
                      </a:extLst>
                    </a:blip>
                    <a:stretch>
                      <a:fillRect/>
                    </a:stretch>
                  </pic:blipFill>
                  <pic:spPr>
                    <a:xfrm>
                      <a:off x="0" y="0"/>
                      <a:ext cx="5731510" cy="119824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rsidR="008846EB" w:rsidRDefault="008846EB" w:rsidP="008846EB">
      <w:pPr>
        <w:pStyle w:val="Caption"/>
      </w:pPr>
      <w:bookmarkStart w:id="432" w:name="_Ref62128949"/>
      <w:r>
        <w:t>Figure</w:t>
      </w:r>
      <w:bookmarkEnd w:id="432"/>
      <w:r w:rsidR="007C49E1">
        <w:t xml:space="preserve"> 95</w:t>
      </w:r>
      <w:r>
        <w:t xml:space="preserve">: </w:t>
      </w:r>
      <w:r w:rsidRPr="00D1028E">
        <w:t>Results of key adverse events (treatment withdrawals)  in Lindson et al. (2019), other variations in NRT use</w:t>
      </w:r>
    </w:p>
    <w:p w:rsidR="008846EB" w:rsidRDefault="008846EB" w:rsidP="008846EB">
      <w:pPr>
        <w:pStyle w:val="FigureFooter"/>
      </w:pPr>
      <w:r>
        <w:t>Source: Lindson et al. (2019)</w:t>
      </w:r>
    </w:p>
    <w:p w:rsidR="008846EB" w:rsidRPr="00D8424C" w:rsidRDefault="008846EB" w:rsidP="008846EB">
      <w:pPr>
        <w:pStyle w:val="FigureFooter"/>
      </w:pPr>
    </w:p>
    <w:p w:rsidR="008846EB" w:rsidRDefault="008846EB" w:rsidP="008846EB">
      <w:pPr>
        <w:keepNext/>
        <w:spacing w:after="0"/>
      </w:pPr>
      <w:r w:rsidRPr="70001105">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INCLUDEPICTURE "C:\\var\\folders\\gx\\zlxfjf7d1z77ylckw36klf9h0000gn\\T\\com.microsoft.Word\\WebArchiveCopyPasteTempFiles\\nCD013308-CMP-013-03.png" \* MERGEFORMAT </w:instrText>
      </w:r>
      <w:r w:rsidRPr="70001105">
        <w:rPr>
          <w:rFonts w:ascii="Times New Roman" w:eastAsia="Times New Roman" w:hAnsi="Times New Roman" w:cs="Times New Roman"/>
          <w:lang w:eastAsia="en-GB"/>
        </w:rPr>
        <w:fldChar w:fldCharType="separate"/>
      </w:r>
      <w:r>
        <w:rPr>
          <w:noProof/>
        </w:rPr>
        <w:drawing>
          <wp:inline distT="0" distB="0" distL="0" distR="0" wp14:anchorId="74A4165D" wp14:editId="55FAE119">
            <wp:extent cx="5731510" cy="1198245"/>
            <wp:effectExtent l="0" t="0" r="0" b="0"/>
            <wp:docPr id="106" name="Picture 106" descr="Comparison 13 Other comparisons, Outcome 3 Cardiac A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pic:nvPicPr>
                  <pic:blipFill>
                    <a:blip r:embed="rId116">
                      <a:extLst>
                        <a:ext uri="{28A0092B-C50C-407E-A947-70E740481C1C}">
                          <a14:useLocalDpi xmlns:a14="http://schemas.microsoft.com/office/drawing/2010/main" val="0"/>
                        </a:ext>
                      </a:extLst>
                    </a:blip>
                    <a:stretch>
                      <a:fillRect/>
                    </a:stretch>
                  </pic:blipFill>
                  <pic:spPr>
                    <a:xfrm>
                      <a:off x="0" y="0"/>
                      <a:ext cx="5731510" cy="119824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rsidR="008846EB" w:rsidRPr="00D8424C" w:rsidRDefault="008846EB" w:rsidP="008846EB">
      <w:pPr>
        <w:pStyle w:val="Caption"/>
        <w:rPr>
          <w:rFonts w:ascii="Times New Roman" w:hAnsi="Times New Roman"/>
          <w:szCs w:val="24"/>
          <w:lang w:eastAsia="en-GB"/>
        </w:rPr>
      </w:pPr>
      <w:bookmarkStart w:id="433" w:name="_Ref62128952"/>
      <w:r>
        <w:t>Figure</w:t>
      </w:r>
      <w:bookmarkEnd w:id="433"/>
      <w:r w:rsidR="007C49E1">
        <w:t xml:space="preserve"> 96</w:t>
      </w:r>
      <w:r>
        <w:t xml:space="preserve">: </w:t>
      </w:r>
      <w:r w:rsidRPr="006F0081">
        <w:t>Results of key adverse events (cardiac AEs)  in Lindson et al. (2019), other variations in NRT use</w:t>
      </w:r>
    </w:p>
    <w:p w:rsidR="008846EB" w:rsidRDefault="008846EB" w:rsidP="008846EB">
      <w:pPr>
        <w:pStyle w:val="FigureFooter"/>
      </w:pPr>
      <w:r>
        <w:t>Source: Lindson et al. (2019)</w:t>
      </w:r>
    </w:p>
    <w:p w:rsidR="008846EB" w:rsidRDefault="008846EB" w:rsidP="008846EB">
      <w:pPr>
        <w:pStyle w:val="FigureFooter"/>
      </w:pPr>
    </w:p>
    <w:p w:rsidR="008846EB" w:rsidRDefault="008846EB" w:rsidP="008846EB">
      <w:pPr>
        <w:keepNext/>
      </w:pPr>
      <w:r>
        <w:rPr>
          <w:noProof/>
        </w:rPr>
        <w:drawing>
          <wp:inline distT="0" distB="0" distL="0" distR="0" wp14:anchorId="149A6AE7" wp14:editId="0303EC33">
            <wp:extent cx="5731510" cy="1198245"/>
            <wp:effectExtent l="0" t="0" r="0" b="0"/>
            <wp:docPr id="104" name="Picture 104" descr="Comparison 3 Effect of tapering patch dose, Outcome 2 Treatment withdraw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pic:nvPicPr>
                  <pic:blipFill>
                    <a:blip r:embed="rId117">
                      <a:extLst>
                        <a:ext uri="{28A0092B-C50C-407E-A947-70E740481C1C}">
                          <a14:useLocalDpi xmlns:a14="http://schemas.microsoft.com/office/drawing/2010/main" val="0"/>
                        </a:ext>
                      </a:extLst>
                    </a:blip>
                    <a:stretch>
                      <a:fillRect/>
                    </a:stretch>
                  </pic:blipFill>
                  <pic:spPr>
                    <a:xfrm>
                      <a:off x="0" y="0"/>
                      <a:ext cx="5731510" cy="1198245"/>
                    </a:xfrm>
                    <a:prstGeom prst="rect">
                      <a:avLst/>
                    </a:prstGeom>
                  </pic:spPr>
                </pic:pic>
              </a:graphicData>
            </a:graphic>
          </wp:inline>
        </w:drawing>
      </w:r>
    </w:p>
    <w:p w:rsidR="008846EB" w:rsidRDefault="008846EB" w:rsidP="008846EB">
      <w:pPr>
        <w:pStyle w:val="Caption"/>
        <w:rPr>
          <w:szCs w:val="24"/>
        </w:rPr>
      </w:pPr>
      <w:bookmarkStart w:id="434" w:name="_Ref62129071"/>
      <w:r>
        <w:t>Figure</w:t>
      </w:r>
      <w:bookmarkEnd w:id="434"/>
      <w:r w:rsidR="007C49E1">
        <w:t xml:space="preserve"> 97</w:t>
      </w:r>
      <w:r>
        <w:t xml:space="preserve">: </w:t>
      </w:r>
      <w:r w:rsidRPr="00D67F5B">
        <w:t>Results of key adverse events (treatment withdrawals) in Lindson et al. (2019), tapering patch dose</w:t>
      </w:r>
    </w:p>
    <w:p w:rsidR="008846EB" w:rsidRDefault="008846EB" w:rsidP="008846EB">
      <w:pPr>
        <w:pStyle w:val="FigureFooter"/>
      </w:pPr>
      <w:r>
        <w:t>Source: Lindson et al. (2019)</w:t>
      </w:r>
    </w:p>
    <w:p w:rsidR="008846EB" w:rsidRDefault="008846EB" w:rsidP="008846EB">
      <w:pPr>
        <w:pStyle w:val="FigureFooter"/>
      </w:pPr>
    </w:p>
    <w:p w:rsidR="008846EB" w:rsidRDefault="008846EB" w:rsidP="008846EB">
      <w:pPr>
        <w:keepNext/>
        <w:spacing w:after="0"/>
      </w:pPr>
      <w:r w:rsidRPr="70001105">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INCLUDEPICTURE "C:\\var\\folders\\gx\\zlxfjf7d1z77ylckw36klf9h0000gn\\T\\com.microsoft.Word\\WebArchiveCopyPasteTempFiles\\nCD013308-CMP-009-02.png" \* MERGEFORMAT </w:instrText>
      </w:r>
      <w:r w:rsidRPr="70001105">
        <w:rPr>
          <w:rFonts w:ascii="Times New Roman" w:eastAsia="Times New Roman" w:hAnsi="Times New Roman" w:cs="Times New Roman"/>
          <w:lang w:eastAsia="en-GB"/>
        </w:rPr>
        <w:fldChar w:fldCharType="separate"/>
      </w:r>
      <w:r>
        <w:rPr>
          <w:noProof/>
        </w:rPr>
        <w:drawing>
          <wp:inline distT="0" distB="0" distL="0" distR="0" wp14:anchorId="4889108E" wp14:editId="4D4D01FC">
            <wp:extent cx="5731510" cy="1198245"/>
            <wp:effectExtent l="0" t="0" r="0" b="0"/>
            <wp:docPr id="95" name="Picture 95" descr="Comparison 9 Fixed versus ad lib dose schedule, Outcome 2 Overall SA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pic:nvPicPr>
                  <pic:blipFill>
                    <a:blip r:embed="rId118">
                      <a:extLst>
                        <a:ext uri="{28A0092B-C50C-407E-A947-70E740481C1C}">
                          <a14:useLocalDpi xmlns:a14="http://schemas.microsoft.com/office/drawing/2010/main" val="0"/>
                        </a:ext>
                      </a:extLst>
                    </a:blip>
                    <a:stretch>
                      <a:fillRect/>
                    </a:stretch>
                  </pic:blipFill>
                  <pic:spPr>
                    <a:xfrm>
                      <a:off x="0" y="0"/>
                      <a:ext cx="5731510" cy="119824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rsidR="008846EB" w:rsidRDefault="008846EB" w:rsidP="008846EB">
      <w:pPr>
        <w:pStyle w:val="Caption"/>
      </w:pPr>
      <w:bookmarkStart w:id="435" w:name="_Ref62129113"/>
      <w:r>
        <w:t>Figure</w:t>
      </w:r>
      <w:bookmarkEnd w:id="435"/>
      <w:r w:rsidR="007C49E1">
        <w:t xml:space="preserve"> 98</w:t>
      </w:r>
      <w:r>
        <w:t xml:space="preserve">: </w:t>
      </w:r>
      <w:r w:rsidRPr="009A1E57">
        <w:t>Results of overall serious adverse events in Lindson et al. (2019), fixed versus ad lib dosing</w:t>
      </w:r>
    </w:p>
    <w:p w:rsidR="008846EB" w:rsidRDefault="008846EB" w:rsidP="008846EB">
      <w:pPr>
        <w:pStyle w:val="FigureFooter"/>
      </w:pPr>
      <w:r>
        <w:t>Source: Lindson et al. (2019)</w:t>
      </w:r>
    </w:p>
    <w:p w:rsidR="008846EB" w:rsidRPr="00C27B0A" w:rsidRDefault="008846EB" w:rsidP="008846EB">
      <w:pPr>
        <w:pStyle w:val="FigureFooter"/>
      </w:pPr>
    </w:p>
    <w:p w:rsidR="008846EB" w:rsidRDefault="008846EB" w:rsidP="008846EB">
      <w:pPr>
        <w:keepNext/>
        <w:spacing w:after="0"/>
      </w:pPr>
      <w:r w:rsidRPr="70001105">
        <w:rPr>
          <w:rFonts w:ascii="Times New Roman" w:eastAsia="Times New Roman" w:hAnsi="Times New Roman" w:cs="Times New Roman"/>
          <w:lang w:eastAsia="en-GB"/>
        </w:rPr>
        <w:lastRenderedPageBreak/>
        <w:fldChar w:fldCharType="begin"/>
      </w:r>
      <w:r>
        <w:rPr>
          <w:rFonts w:ascii="Times New Roman" w:eastAsia="Times New Roman" w:hAnsi="Times New Roman" w:cs="Times New Roman"/>
          <w:lang w:eastAsia="en-GB"/>
        </w:rPr>
        <w:instrText xml:space="preserve"> INCLUDEPICTURE "C:\\var\\folders\\gx\\zlxfjf7d1z77ylckw36klf9h0000gn\\T\\com.microsoft.Word\\WebArchiveCopyPasteTempFiles\\nCD013308-CMP-009-03.png" \* MERGEFORMAT </w:instrText>
      </w:r>
      <w:r w:rsidRPr="70001105">
        <w:rPr>
          <w:rFonts w:ascii="Times New Roman" w:eastAsia="Times New Roman" w:hAnsi="Times New Roman" w:cs="Times New Roman"/>
          <w:lang w:eastAsia="en-GB"/>
        </w:rPr>
        <w:fldChar w:fldCharType="separate"/>
      </w:r>
      <w:r>
        <w:rPr>
          <w:noProof/>
        </w:rPr>
        <w:drawing>
          <wp:inline distT="0" distB="0" distL="0" distR="0" wp14:anchorId="1E520EB2" wp14:editId="4D0A7697">
            <wp:extent cx="5731510" cy="1578610"/>
            <wp:effectExtent l="0" t="0" r="0" b="0"/>
            <wp:docPr id="96" name="Picture 96" descr="Comparison 9 Fixed versus ad lib dose schedule, Outcome 3 Treatment withdraw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pic:nvPicPr>
                  <pic:blipFill>
                    <a:blip r:embed="rId119">
                      <a:extLst>
                        <a:ext uri="{28A0092B-C50C-407E-A947-70E740481C1C}">
                          <a14:useLocalDpi xmlns:a14="http://schemas.microsoft.com/office/drawing/2010/main" val="0"/>
                        </a:ext>
                      </a:extLst>
                    </a:blip>
                    <a:stretch>
                      <a:fillRect/>
                    </a:stretch>
                  </pic:blipFill>
                  <pic:spPr>
                    <a:xfrm>
                      <a:off x="0" y="0"/>
                      <a:ext cx="5731510" cy="1578610"/>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rsidR="008846EB" w:rsidRDefault="008846EB" w:rsidP="008846EB">
      <w:pPr>
        <w:pStyle w:val="Caption"/>
      </w:pPr>
      <w:bookmarkStart w:id="436" w:name="_Ref62129115"/>
      <w:r>
        <w:t>Figure</w:t>
      </w:r>
      <w:bookmarkEnd w:id="436"/>
      <w:r w:rsidR="007C49E1">
        <w:t xml:space="preserve"> 99</w:t>
      </w:r>
      <w:r>
        <w:t xml:space="preserve">: </w:t>
      </w:r>
      <w:r w:rsidRPr="002B45D3">
        <w:t xml:space="preserve">Results of </w:t>
      </w:r>
      <w:r>
        <w:t>treatment withdrawals</w:t>
      </w:r>
      <w:r w:rsidRPr="002B45D3">
        <w:t xml:space="preserve"> in Lindson et al. (2019), fixed versus ad lib dosing</w:t>
      </w:r>
    </w:p>
    <w:p w:rsidR="008846EB" w:rsidRDefault="008846EB" w:rsidP="008846EB">
      <w:pPr>
        <w:pStyle w:val="FigureFooter"/>
      </w:pPr>
      <w:r>
        <w:t>Source: Lindson et al. (2019)</w:t>
      </w:r>
    </w:p>
    <w:p w:rsidR="008846EB" w:rsidRPr="00C27B0A" w:rsidRDefault="008846EB" w:rsidP="008846EB">
      <w:pPr>
        <w:pStyle w:val="FigureFooter"/>
      </w:pPr>
    </w:p>
    <w:p w:rsidR="008846EB" w:rsidRDefault="008846EB" w:rsidP="008846EB">
      <w:pPr>
        <w:keepNext/>
        <w:spacing w:after="0"/>
      </w:pPr>
      <w:r w:rsidRPr="70001105">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INCLUDEPICTURE "C:\\var\\folders\\gx\\zlxfjf7d1z77ylckw36klf9h0000gn\\T\\com.microsoft.Word\\WebArchiveCopyPasteTempFiles\\nCD013308-CMP-010-02.png" \* MERGEFORMAT </w:instrText>
      </w:r>
      <w:r w:rsidRPr="70001105">
        <w:rPr>
          <w:rFonts w:ascii="Times New Roman" w:eastAsia="Times New Roman" w:hAnsi="Times New Roman" w:cs="Times New Roman"/>
          <w:lang w:eastAsia="en-GB"/>
        </w:rPr>
        <w:fldChar w:fldCharType="separate"/>
      </w:r>
      <w:r>
        <w:rPr>
          <w:noProof/>
        </w:rPr>
        <w:drawing>
          <wp:inline distT="0" distB="0" distL="0" distR="0" wp14:anchorId="257453FA" wp14:editId="7AC65E7B">
            <wp:extent cx="5731510" cy="1198245"/>
            <wp:effectExtent l="0" t="0" r="0" b="0"/>
            <wp:docPr id="97" name="Picture 97" descr="Comparison 10 Preloading versus standard use, Outcome 2 Palp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pic:nvPicPr>
                  <pic:blipFill>
                    <a:blip r:embed="rId120">
                      <a:extLst>
                        <a:ext uri="{28A0092B-C50C-407E-A947-70E740481C1C}">
                          <a14:useLocalDpi xmlns:a14="http://schemas.microsoft.com/office/drawing/2010/main" val="0"/>
                        </a:ext>
                      </a:extLst>
                    </a:blip>
                    <a:stretch>
                      <a:fillRect/>
                    </a:stretch>
                  </pic:blipFill>
                  <pic:spPr>
                    <a:xfrm>
                      <a:off x="0" y="0"/>
                      <a:ext cx="5731510" cy="119824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rsidR="008846EB" w:rsidRDefault="008846EB" w:rsidP="008846EB">
      <w:pPr>
        <w:pStyle w:val="Caption"/>
      </w:pPr>
      <w:bookmarkStart w:id="437" w:name="_Ref62129204"/>
      <w:r>
        <w:t xml:space="preserve">Figure </w:t>
      </w:r>
      <w:bookmarkEnd w:id="437"/>
      <w:r w:rsidR="007C49E1">
        <w:t>100</w:t>
      </w:r>
      <w:r>
        <w:t xml:space="preserve">: </w:t>
      </w:r>
      <w:r w:rsidRPr="00B361D9">
        <w:t>Results key adverse events (palpitations) in Lindson et al. (2019), preloading versus standard use</w:t>
      </w:r>
    </w:p>
    <w:p w:rsidR="008846EB" w:rsidRDefault="008846EB" w:rsidP="008846EB">
      <w:pPr>
        <w:pStyle w:val="FigureFooter"/>
      </w:pPr>
      <w:r>
        <w:t>Source: Lindson et al. (2019)</w:t>
      </w:r>
    </w:p>
    <w:p w:rsidR="008846EB" w:rsidRPr="00063CB1" w:rsidRDefault="008846EB" w:rsidP="008846EB">
      <w:pPr>
        <w:pStyle w:val="FigureFooter"/>
      </w:pPr>
    </w:p>
    <w:p w:rsidR="008846EB" w:rsidRDefault="008846EB" w:rsidP="008846EB">
      <w:pPr>
        <w:keepNext/>
        <w:spacing w:after="0"/>
      </w:pPr>
      <w:r w:rsidRPr="70001105">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INCLUDEPICTURE "C:\\var\\folders\\gx\\zlxfjf7d1z77ylckw36klf9h0000gn\\T\\com.microsoft.Word\\WebArchiveCopyPasteTempFiles\\nCD013308-CMP-010-03.png" \* MERGEFORMAT </w:instrText>
      </w:r>
      <w:r w:rsidRPr="70001105">
        <w:rPr>
          <w:rFonts w:ascii="Times New Roman" w:eastAsia="Times New Roman" w:hAnsi="Times New Roman" w:cs="Times New Roman"/>
          <w:lang w:eastAsia="en-GB"/>
        </w:rPr>
        <w:fldChar w:fldCharType="separate"/>
      </w:r>
      <w:r>
        <w:rPr>
          <w:noProof/>
        </w:rPr>
        <w:drawing>
          <wp:inline distT="0" distB="0" distL="0" distR="0" wp14:anchorId="27238B86" wp14:editId="19AC4A74">
            <wp:extent cx="5731510" cy="1198245"/>
            <wp:effectExtent l="0" t="0" r="0" b="0"/>
            <wp:docPr id="98" name="Picture 98" descr="Comparison 10 Preloading versus standard use, Outcome 3 Cardiac A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pic:nvPicPr>
                  <pic:blipFill>
                    <a:blip r:embed="rId121">
                      <a:extLst>
                        <a:ext uri="{28A0092B-C50C-407E-A947-70E740481C1C}">
                          <a14:useLocalDpi xmlns:a14="http://schemas.microsoft.com/office/drawing/2010/main" val="0"/>
                        </a:ext>
                      </a:extLst>
                    </a:blip>
                    <a:stretch>
                      <a:fillRect/>
                    </a:stretch>
                  </pic:blipFill>
                  <pic:spPr>
                    <a:xfrm>
                      <a:off x="0" y="0"/>
                      <a:ext cx="5731510" cy="119824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rsidR="008846EB" w:rsidRDefault="008846EB" w:rsidP="008846EB">
      <w:pPr>
        <w:pStyle w:val="Caption"/>
        <w:rPr>
          <w:rFonts w:ascii="Times New Roman" w:hAnsi="Times New Roman"/>
          <w:szCs w:val="24"/>
        </w:rPr>
      </w:pPr>
      <w:bookmarkStart w:id="438" w:name="_Ref62129207"/>
      <w:r>
        <w:t>Figure</w:t>
      </w:r>
      <w:bookmarkEnd w:id="438"/>
      <w:r w:rsidR="007C49E1">
        <w:t xml:space="preserve"> 101</w:t>
      </w:r>
      <w:r>
        <w:t xml:space="preserve">: </w:t>
      </w:r>
      <w:r w:rsidRPr="00AA600E">
        <w:t>Results key adverse events (cardiac AEs) in Lindson et al. (2019), preloading versus standard use</w:t>
      </w:r>
    </w:p>
    <w:p w:rsidR="008846EB" w:rsidRDefault="008846EB" w:rsidP="008846EB">
      <w:pPr>
        <w:pStyle w:val="FigureFooter"/>
      </w:pPr>
      <w:r>
        <w:t>Source: Lindson et al. (2019)</w:t>
      </w:r>
    </w:p>
    <w:p w:rsidR="008846EB" w:rsidRDefault="008846EB" w:rsidP="008846EB">
      <w:pPr>
        <w:pStyle w:val="FigureFooter"/>
      </w:pPr>
    </w:p>
    <w:p w:rsidR="008846EB" w:rsidRDefault="008846EB" w:rsidP="008846EB">
      <w:pPr>
        <w:keepNext/>
        <w:spacing w:after="0"/>
      </w:pPr>
      <w:r w:rsidRPr="70001105">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INCLUDEPICTURE "C:\\var\\folders\\gx\\zlxfjf7d1z77ylckw36klf9h0000gn\\T\\com.microsoft.Word\\WebArchiveCopyPasteTempFiles\\nCD013308-CMP-010-04.png" \* MERGEFORMAT </w:instrText>
      </w:r>
      <w:r w:rsidRPr="70001105">
        <w:rPr>
          <w:rFonts w:ascii="Times New Roman" w:eastAsia="Times New Roman" w:hAnsi="Times New Roman" w:cs="Times New Roman"/>
          <w:lang w:eastAsia="en-GB"/>
        </w:rPr>
        <w:fldChar w:fldCharType="separate"/>
      </w:r>
      <w:r>
        <w:rPr>
          <w:noProof/>
        </w:rPr>
        <w:drawing>
          <wp:inline distT="0" distB="0" distL="0" distR="0" wp14:anchorId="01B11584" wp14:editId="01932679">
            <wp:extent cx="5731510" cy="1713865"/>
            <wp:effectExtent l="0" t="0" r="0" b="635"/>
            <wp:docPr id="99" name="Picture 99" descr="Comparison 10 Preloading versus standard use, Outcome 4 Cardiac SA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pic:nvPicPr>
                  <pic:blipFill>
                    <a:blip r:embed="rId122">
                      <a:extLst>
                        <a:ext uri="{28A0092B-C50C-407E-A947-70E740481C1C}">
                          <a14:useLocalDpi xmlns:a14="http://schemas.microsoft.com/office/drawing/2010/main" val="0"/>
                        </a:ext>
                      </a:extLst>
                    </a:blip>
                    <a:stretch>
                      <a:fillRect/>
                    </a:stretch>
                  </pic:blipFill>
                  <pic:spPr>
                    <a:xfrm>
                      <a:off x="0" y="0"/>
                      <a:ext cx="5731510" cy="171386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rsidR="008846EB" w:rsidRDefault="008846EB" w:rsidP="008846EB">
      <w:pPr>
        <w:pStyle w:val="Caption"/>
        <w:rPr>
          <w:rFonts w:ascii="Times New Roman" w:hAnsi="Times New Roman"/>
          <w:szCs w:val="24"/>
        </w:rPr>
      </w:pPr>
      <w:bookmarkStart w:id="439" w:name="_Ref62129209"/>
      <w:r>
        <w:t>Figure</w:t>
      </w:r>
      <w:bookmarkEnd w:id="439"/>
      <w:r w:rsidR="007C49E1">
        <w:t xml:space="preserve"> 102</w:t>
      </w:r>
      <w:r>
        <w:t xml:space="preserve">: </w:t>
      </w:r>
      <w:r w:rsidRPr="009F177F">
        <w:t>Results key adverse events (cardiac SAEs) in Lindson et al. (2019), preloading versus standard use</w:t>
      </w:r>
    </w:p>
    <w:p w:rsidR="008846EB" w:rsidRDefault="008846EB" w:rsidP="008846EB">
      <w:pPr>
        <w:pStyle w:val="FigureFooter"/>
      </w:pPr>
      <w:r>
        <w:lastRenderedPageBreak/>
        <w:t>Source: Lindson et al. (2019)</w:t>
      </w:r>
    </w:p>
    <w:p w:rsidR="008846EB" w:rsidRPr="00E60AFC" w:rsidRDefault="008846EB" w:rsidP="008846EB">
      <w:pPr>
        <w:pStyle w:val="FigureFooter"/>
      </w:pPr>
    </w:p>
    <w:p w:rsidR="008846EB" w:rsidRDefault="008846EB" w:rsidP="008846EB">
      <w:pPr>
        <w:keepNext/>
        <w:spacing w:after="0"/>
      </w:pPr>
      <w:r w:rsidRPr="70001105">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INCLUDEPICTURE "C:\\var\\folders\\gx\\zlxfjf7d1z77ylckw36klf9h0000gn\\T\\com.microsoft.Word\\WebArchiveCopyPasteTempFiles\\nCD013308-CMP-010-05.png" \* MERGEFORMAT </w:instrText>
      </w:r>
      <w:r w:rsidRPr="70001105">
        <w:rPr>
          <w:rFonts w:ascii="Times New Roman" w:eastAsia="Times New Roman" w:hAnsi="Times New Roman" w:cs="Times New Roman"/>
          <w:lang w:eastAsia="en-GB"/>
        </w:rPr>
        <w:fldChar w:fldCharType="separate"/>
      </w:r>
      <w:r>
        <w:rPr>
          <w:noProof/>
        </w:rPr>
        <w:drawing>
          <wp:inline distT="0" distB="0" distL="0" distR="0" wp14:anchorId="0537A84F" wp14:editId="43409996">
            <wp:extent cx="5731510" cy="1831340"/>
            <wp:effectExtent l="0" t="0" r="0" b="0"/>
            <wp:docPr id="100" name="Picture 100" descr="Comparison 10 Preloading versus standard use, Outcome 5 Overall SA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pic:nvPicPr>
                  <pic:blipFill>
                    <a:blip r:embed="rId123">
                      <a:extLst>
                        <a:ext uri="{28A0092B-C50C-407E-A947-70E740481C1C}">
                          <a14:useLocalDpi xmlns:a14="http://schemas.microsoft.com/office/drawing/2010/main" val="0"/>
                        </a:ext>
                      </a:extLst>
                    </a:blip>
                    <a:stretch>
                      <a:fillRect/>
                    </a:stretch>
                  </pic:blipFill>
                  <pic:spPr>
                    <a:xfrm>
                      <a:off x="0" y="0"/>
                      <a:ext cx="5731510" cy="1831340"/>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rsidR="008846EB" w:rsidRDefault="008846EB" w:rsidP="008846EB">
      <w:pPr>
        <w:pStyle w:val="Caption"/>
      </w:pPr>
      <w:bookmarkStart w:id="440" w:name="_Ref62129211"/>
      <w:r>
        <w:t>Figure</w:t>
      </w:r>
      <w:bookmarkEnd w:id="440"/>
      <w:r w:rsidR="007C49E1">
        <w:t xml:space="preserve"> 103</w:t>
      </w:r>
      <w:r>
        <w:t xml:space="preserve">: </w:t>
      </w:r>
      <w:r w:rsidRPr="002E3D2C">
        <w:t>Results key adverse events (overall SAEs) in Lindson et al. (2019), preloading versus standard use</w:t>
      </w:r>
    </w:p>
    <w:p w:rsidR="008846EB" w:rsidRDefault="008846EB" w:rsidP="008846EB">
      <w:pPr>
        <w:pStyle w:val="FigureFooter"/>
      </w:pPr>
      <w:r>
        <w:t>Source: Lindson et al. (2019)</w:t>
      </w:r>
    </w:p>
    <w:p w:rsidR="008846EB" w:rsidRDefault="008846EB" w:rsidP="008846EB">
      <w:pPr>
        <w:pStyle w:val="FigureFooter"/>
      </w:pPr>
    </w:p>
    <w:p w:rsidR="008846EB" w:rsidRDefault="008846EB" w:rsidP="008846EB">
      <w:pPr>
        <w:keepNext/>
        <w:spacing w:after="0"/>
      </w:pPr>
      <w:r w:rsidRPr="70001105">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INCLUDEPICTURE "C:\\var\\folders\\gx\\zlxfjf7d1z77ylckw36klf9h0000gn\\T\\com.microsoft.Word\\WebArchiveCopyPasteTempFiles\\nCD013308-CMP-010-06.png" \* MERGEFORMAT </w:instrText>
      </w:r>
      <w:r w:rsidRPr="70001105">
        <w:rPr>
          <w:rFonts w:ascii="Times New Roman" w:eastAsia="Times New Roman" w:hAnsi="Times New Roman" w:cs="Times New Roman"/>
          <w:lang w:eastAsia="en-GB"/>
        </w:rPr>
        <w:fldChar w:fldCharType="separate"/>
      </w:r>
      <w:r>
        <w:rPr>
          <w:noProof/>
        </w:rPr>
        <w:drawing>
          <wp:inline distT="0" distB="0" distL="0" distR="0" wp14:anchorId="2050F3BB" wp14:editId="5CA309A0">
            <wp:extent cx="5731510" cy="1198245"/>
            <wp:effectExtent l="0" t="0" r="0" b="0"/>
            <wp:docPr id="101" name="Picture 101" descr="Comparison 10 Preloading versus standard use, Outcome 6 Treatment withdraw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pic:nvPicPr>
                  <pic:blipFill>
                    <a:blip r:embed="rId124">
                      <a:extLst>
                        <a:ext uri="{28A0092B-C50C-407E-A947-70E740481C1C}">
                          <a14:useLocalDpi xmlns:a14="http://schemas.microsoft.com/office/drawing/2010/main" val="0"/>
                        </a:ext>
                      </a:extLst>
                    </a:blip>
                    <a:stretch>
                      <a:fillRect/>
                    </a:stretch>
                  </pic:blipFill>
                  <pic:spPr>
                    <a:xfrm>
                      <a:off x="0" y="0"/>
                      <a:ext cx="5731510" cy="119824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rsidR="008846EB" w:rsidRPr="000C066D" w:rsidRDefault="008846EB" w:rsidP="008846EB">
      <w:pPr>
        <w:pStyle w:val="Caption"/>
        <w:rPr>
          <w:rFonts w:ascii="Times New Roman" w:hAnsi="Times New Roman"/>
          <w:szCs w:val="24"/>
        </w:rPr>
      </w:pPr>
      <w:bookmarkStart w:id="441" w:name="_Ref62129213"/>
      <w:r>
        <w:t>Figure</w:t>
      </w:r>
      <w:bookmarkEnd w:id="441"/>
      <w:r w:rsidR="007C49E1">
        <w:t xml:space="preserve"> 104</w:t>
      </w:r>
      <w:r>
        <w:t xml:space="preserve">: </w:t>
      </w:r>
      <w:r w:rsidRPr="00F42075">
        <w:t xml:space="preserve">Results </w:t>
      </w:r>
      <w:r>
        <w:t xml:space="preserve">of </w:t>
      </w:r>
      <w:r w:rsidRPr="00F42075">
        <w:t>key adverse events (treatment withdrawals) in Lindson et al. (2019), preloading versus standard use</w:t>
      </w:r>
    </w:p>
    <w:p w:rsidR="008846EB" w:rsidRDefault="008846EB" w:rsidP="008846EB">
      <w:pPr>
        <w:pStyle w:val="FigureFooter"/>
      </w:pPr>
      <w:r>
        <w:t>Source: Lindson et al. (2019)</w:t>
      </w:r>
    </w:p>
    <w:p w:rsidR="008846EB" w:rsidRPr="002E5F24" w:rsidRDefault="008846EB" w:rsidP="008846EB">
      <w:pPr>
        <w:pStyle w:val="FigureFooter"/>
      </w:pPr>
    </w:p>
    <w:p w:rsidR="008846EB" w:rsidRDefault="008846EB" w:rsidP="008846EB">
      <w:pPr>
        <w:keepNext/>
      </w:pPr>
      <w:r>
        <w:rPr>
          <w:noProof/>
        </w:rPr>
        <w:drawing>
          <wp:inline distT="0" distB="0" distL="0" distR="0" wp14:anchorId="75B51DE8" wp14:editId="404944DE">
            <wp:extent cx="5731510" cy="787400"/>
            <wp:effectExtent l="0" t="0" r="0" b="0"/>
            <wp:docPr id="108" name="Picture 10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pic:nvPicPr>
                  <pic:blipFill>
                    <a:blip r:embed="rId125">
                      <a:extLst>
                        <a:ext uri="{28A0092B-C50C-407E-A947-70E740481C1C}">
                          <a14:useLocalDpi xmlns:a14="http://schemas.microsoft.com/office/drawing/2010/main" val="0"/>
                        </a:ext>
                      </a:extLst>
                    </a:blip>
                    <a:stretch>
                      <a:fillRect/>
                    </a:stretch>
                  </pic:blipFill>
                  <pic:spPr>
                    <a:xfrm>
                      <a:off x="0" y="0"/>
                      <a:ext cx="5731510" cy="787400"/>
                    </a:xfrm>
                    <a:prstGeom prst="rect">
                      <a:avLst/>
                    </a:prstGeom>
                  </pic:spPr>
                </pic:pic>
              </a:graphicData>
            </a:graphic>
          </wp:inline>
        </w:drawing>
      </w:r>
    </w:p>
    <w:p w:rsidR="008846EB" w:rsidRDefault="008846EB" w:rsidP="008846EB">
      <w:pPr>
        <w:pStyle w:val="Caption"/>
      </w:pPr>
      <w:bookmarkStart w:id="442" w:name="_Ref62129944"/>
      <w:r>
        <w:t>Figure</w:t>
      </w:r>
      <w:bookmarkEnd w:id="442"/>
      <w:r w:rsidR="007C49E1">
        <w:t xml:space="preserve"> 105</w:t>
      </w:r>
      <w:r>
        <w:t xml:space="preserve">: </w:t>
      </w:r>
      <w:r w:rsidRPr="005213FA">
        <w:t>Results of key adverse events (AEs) in Lindson et al. (2019b), reduction with pharmacotherapy versus reduction alone</w:t>
      </w:r>
    </w:p>
    <w:p w:rsidR="008846EB" w:rsidRDefault="008846EB" w:rsidP="008846EB">
      <w:pPr>
        <w:pStyle w:val="FigureFooter"/>
      </w:pPr>
      <w:r>
        <w:t>Source: Lindson et al. (2019b)</w:t>
      </w:r>
    </w:p>
    <w:p w:rsidR="008846EB" w:rsidRPr="006F5176" w:rsidRDefault="008846EB" w:rsidP="008846EB">
      <w:pPr>
        <w:pStyle w:val="FigureFooter"/>
      </w:pPr>
    </w:p>
    <w:p w:rsidR="008846EB" w:rsidRDefault="008846EB" w:rsidP="008846EB">
      <w:pPr>
        <w:keepNext/>
      </w:pPr>
      <w:r>
        <w:rPr>
          <w:noProof/>
        </w:rPr>
        <w:drawing>
          <wp:inline distT="0" distB="0" distL="0" distR="0" wp14:anchorId="55E3CE97" wp14:editId="1F795DCF">
            <wp:extent cx="5731510" cy="1447165"/>
            <wp:effectExtent l="0" t="0" r="0" b="635"/>
            <wp:docPr id="109" name="Picture 10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pic:nvPicPr>
                  <pic:blipFill>
                    <a:blip r:embed="rId126">
                      <a:extLst>
                        <a:ext uri="{28A0092B-C50C-407E-A947-70E740481C1C}">
                          <a14:useLocalDpi xmlns:a14="http://schemas.microsoft.com/office/drawing/2010/main" val="0"/>
                        </a:ext>
                      </a:extLst>
                    </a:blip>
                    <a:stretch>
                      <a:fillRect/>
                    </a:stretch>
                  </pic:blipFill>
                  <pic:spPr>
                    <a:xfrm>
                      <a:off x="0" y="0"/>
                      <a:ext cx="5731510" cy="1447165"/>
                    </a:xfrm>
                    <a:prstGeom prst="rect">
                      <a:avLst/>
                    </a:prstGeom>
                  </pic:spPr>
                </pic:pic>
              </a:graphicData>
            </a:graphic>
          </wp:inline>
        </w:drawing>
      </w:r>
    </w:p>
    <w:p w:rsidR="008846EB" w:rsidRDefault="008846EB" w:rsidP="008846EB">
      <w:pPr>
        <w:pStyle w:val="Caption"/>
      </w:pPr>
      <w:bookmarkStart w:id="443" w:name="_Ref62129946"/>
      <w:r>
        <w:t>Figure</w:t>
      </w:r>
      <w:bookmarkEnd w:id="443"/>
      <w:r w:rsidR="007C49E1">
        <w:t xml:space="preserve"> 106</w:t>
      </w:r>
      <w:r>
        <w:t xml:space="preserve">: </w:t>
      </w:r>
      <w:r w:rsidRPr="00890018">
        <w:t>Results of key adverse events (SAEs) in Lindson et al. (2019b), reduction with pharmacotherapy versus reduction alone</w:t>
      </w:r>
    </w:p>
    <w:p w:rsidR="008846EB" w:rsidRDefault="008846EB" w:rsidP="008846EB">
      <w:pPr>
        <w:pStyle w:val="FigureFooter"/>
      </w:pPr>
      <w:r>
        <w:lastRenderedPageBreak/>
        <w:t>Source: Lindson et al. (2019b)</w:t>
      </w:r>
    </w:p>
    <w:p w:rsidR="008846EB" w:rsidRDefault="008846EB" w:rsidP="008846EB">
      <w:pPr>
        <w:pStyle w:val="FigureFooter"/>
      </w:pPr>
    </w:p>
    <w:p w:rsidR="008846EB" w:rsidRDefault="008846EB" w:rsidP="008846EB">
      <w:pPr>
        <w:keepNext/>
        <w:spacing w:after="0"/>
      </w:pPr>
      <w:r w:rsidRPr="70001105">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INCLUDEPICTURE "C:\\var\\folders\\gx\\zlxfjf7d1z77ylckw36klf9h0000gn\\T\\com.microsoft.Word\\WebArchiveCopyPasteTempFiles\\nCD013308-CMP-006-03.png" \* MERGEFORMAT </w:instrText>
      </w:r>
      <w:r w:rsidRPr="70001105">
        <w:rPr>
          <w:rFonts w:ascii="Times New Roman" w:eastAsia="Times New Roman" w:hAnsi="Times New Roman" w:cs="Times New Roman"/>
          <w:lang w:eastAsia="en-GB"/>
        </w:rPr>
        <w:fldChar w:fldCharType="separate"/>
      </w:r>
      <w:r>
        <w:rPr>
          <w:noProof/>
        </w:rPr>
        <w:drawing>
          <wp:inline distT="0" distB="0" distL="0" distR="0" wp14:anchorId="0E1097B5" wp14:editId="2D98B580">
            <wp:extent cx="5731510" cy="2089150"/>
            <wp:effectExtent l="0" t="0" r="0" b="6350"/>
            <wp:docPr id="107" name="Picture 107" descr="Comparison 6 Fast‐acting NRT versus patch, Outcome 3 Overall SA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pic:nvPicPr>
                  <pic:blipFill>
                    <a:blip r:embed="rId127">
                      <a:extLst>
                        <a:ext uri="{28A0092B-C50C-407E-A947-70E740481C1C}">
                          <a14:useLocalDpi xmlns:a14="http://schemas.microsoft.com/office/drawing/2010/main" val="0"/>
                        </a:ext>
                      </a:extLst>
                    </a:blip>
                    <a:stretch>
                      <a:fillRect/>
                    </a:stretch>
                  </pic:blipFill>
                  <pic:spPr>
                    <a:xfrm>
                      <a:off x="0" y="0"/>
                      <a:ext cx="5731510" cy="2089150"/>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rsidR="008846EB" w:rsidRDefault="008846EB" w:rsidP="008846EB">
      <w:pPr>
        <w:pStyle w:val="Caption"/>
      </w:pPr>
      <w:bookmarkStart w:id="444" w:name="_Ref62130013"/>
      <w:r>
        <w:t>Figure</w:t>
      </w:r>
      <w:bookmarkEnd w:id="444"/>
      <w:r w:rsidR="007C49E1">
        <w:t xml:space="preserve"> 107</w:t>
      </w:r>
      <w:r>
        <w:t xml:space="preserve">: </w:t>
      </w:r>
      <w:r w:rsidRPr="00232411">
        <w:t>Results of key adverse events (overall SAEs) in Lindson et al. (2019), NRT inhaler versus patch, NRT nasal spray versus patch</w:t>
      </w:r>
    </w:p>
    <w:p w:rsidR="008846EB" w:rsidRDefault="008846EB" w:rsidP="008846EB">
      <w:pPr>
        <w:pStyle w:val="FigureFooter"/>
      </w:pPr>
      <w:r>
        <w:t>Source: Lindson et al. (2019)</w:t>
      </w:r>
    </w:p>
    <w:p w:rsidR="008846EB" w:rsidRDefault="008846EB" w:rsidP="008846EB"/>
    <w:p w:rsidR="008846EB" w:rsidRDefault="008846EB" w:rsidP="008846EB">
      <w:pPr>
        <w:keepNext/>
      </w:pPr>
      <w:r>
        <w:rPr>
          <w:noProof/>
        </w:rPr>
        <w:drawing>
          <wp:inline distT="0" distB="0" distL="0" distR="0" wp14:anchorId="5677B28F" wp14:editId="490A0798">
            <wp:extent cx="5731510" cy="1218565"/>
            <wp:effectExtent l="0" t="0" r="2540" b="63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31510" cy="1218565"/>
                    </a:xfrm>
                    <a:prstGeom prst="rect">
                      <a:avLst/>
                    </a:prstGeom>
                    <a:noFill/>
                    <a:ln>
                      <a:noFill/>
                    </a:ln>
                  </pic:spPr>
                </pic:pic>
              </a:graphicData>
            </a:graphic>
          </wp:inline>
        </w:drawing>
      </w:r>
    </w:p>
    <w:p w:rsidR="008846EB" w:rsidRDefault="008846EB" w:rsidP="008846EB">
      <w:pPr>
        <w:pStyle w:val="Caption"/>
      </w:pPr>
      <w:bookmarkStart w:id="445" w:name="_Ref62729606"/>
      <w:r>
        <w:t>Figure</w:t>
      </w:r>
      <w:bookmarkEnd w:id="445"/>
      <w:r w:rsidR="007C49E1">
        <w:t xml:space="preserve"> 108</w:t>
      </w:r>
      <w:r>
        <w:t xml:space="preserve">: </w:t>
      </w:r>
      <w:r w:rsidRPr="00BB4951">
        <w:t>Results of key adverse events (Palpitations/chest pains) in Hartmann-Boyce et al. 2018, NRT intranasal spray versus placebo</w:t>
      </w:r>
    </w:p>
    <w:p w:rsidR="008846EB" w:rsidRPr="002E5F24" w:rsidRDefault="008846EB" w:rsidP="008846EB">
      <w:pPr>
        <w:pStyle w:val="FigureFooter"/>
      </w:pPr>
      <w:r>
        <w:t xml:space="preserve">Source: </w:t>
      </w:r>
      <w:r w:rsidRPr="00351900">
        <w:t xml:space="preserve">Hartmann-Boyce et al. </w:t>
      </w:r>
      <w:r>
        <w:t>(</w:t>
      </w:r>
      <w:r w:rsidRPr="00351900">
        <w:t>2018</w:t>
      </w:r>
      <w:r>
        <w:t>)</w:t>
      </w:r>
    </w:p>
    <w:p w:rsidR="008846EB" w:rsidRDefault="008846EB" w:rsidP="008846EB">
      <w:pPr>
        <w:keepNext/>
      </w:pPr>
      <w:r w:rsidRPr="006E3FE8">
        <w:rPr>
          <w:noProof/>
        </w:rPr>
        <w:lastRenderedPageBreak/>
        <w:drawing>
          <wp:inline distT="0" distB="0" distL="0" distR="0" wp14:anchorId="20D21E6C" wp14:editId="37E5E4A9">
            <wp:extent cx="5731510" cy="669544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731510" cy="6695440"/>
                    </a:xfrm>
                    <a:prstGeom prst="rect">
                      <a:avLst/>
                    </a:prstGeom>
                  </pic:spPr>
                </pic:pic>
              </a:graphicData>
            </a:graphic>
          </wp:inline>
        </w:drawing>
      </w:r>
    </w:p>
    <w:p w:rsidR="008846EB" w:rsidRPr="002E5F24" w:rsidRDefault="008846EB" w:rsidP="008846EB">
      <w:pPr>
        <w:pStyle w:val="Caption"/>
      </w:pPr>
      <w:bookmarkStart w:id="446" w:name="_Ref62219449"/>
      <w:r>
        <w:t>Figure</w:t>
      </w:r>
      <w:bookmarkEnd w:id="446"/>
      <w:r w:rsidR="007C49E1">
        <w:t xml:space="preserve"> 109</w:t>
      </w:r>
      <w:r>
        <w:t xml:space="preserve">: </w:t>
      </w:r>
      <w:r w:rsidRPr="00ED5848">
        <w:t>Results of smoking cessation of at least six months follow-up in Lancaster et al. (2017), individual counselling versus minimal contact control</w:t>
      </w:r>
    </w:p>
    <w:p w:rsidR="008846EB" w:rsidRDefault="008846EB" w:rsidP="008846EB">
      <w:pPr>
        <w:pStyle w:val="FigureFooter"/>
      </w:pPr>
      <w:r>
        <w:t>Source: Lancaster et al. (2017)</w:t>
      </w:r>
    </w:p>
    <w:p w:rsidR="008846EB" w:rsidRPr="00E15E4B" w:rsidRDefault="008846EB" w:rsidP="008846EB"/>
    <w:p w:rsidR="008846EB" w:rsidRDefault="008846EB" w:rsidP="008846EB">
      <w:pPr>
        <w:keepNext/>
      </w:pPr>
      <w:r w:rsidRPr="00570990">
        <w:rPr>
          <w:noProof/>
        </w:rPr>
        <w:lastRenderedPageBreak/>
        <w:drawing>
          <wp:inline distT="0" distB="0" distL="0" distR="0" wp14:anchorId="0981EF8E" wp14:editId="58CFCAFD">
            <wp:extent cx="5731510" cy="242760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731510" cy="2427605"/>
                    </a:xfrm>
                    <a:prstGeom prst="rect">
                      <a:avLst/>
                    </a:prstGeom>
                  </pic:spPr>
                </pic:pic>
              </a:graphicData>
            </a:graphic>
          </wp:inline>
        </w:drawing>
      </w:r>
    </w:p>
    <w:p w:rsidR="008846EB" w:rsidRDefault="008846EB" w:rsidP="008846EB">
      <w:pPr>
        <w:pStyle w:val="Caption"/>
      </w:pPr>
      <w:bookmarkStart w:id="447" w:name="_Ref62219458"/>
      <w:r>
        <w:t>Figure</w:t>
      </w:r>
      <w:bookmarkEnd w:id="447"/>
      <w:r w:rsidR="007C49E1">
        <w:t xml:space="preserve"> 110</w:t>
      </w:r>
      <w:r>
        <w:t xml:space="preserve">: </w:t>
      </w:r>
      <w:r w:rsidRPr="00703710">
        <w:t>Results of smoking cessation of at least six months follow-up in Stead et al. (2017), group therapy plus pharmacotherapy versus pharmacotherapy alone</w:t>
      </w:r>
    </w:p>
    <w:p w:rsidR="008846EB" w:rsidRDefault="008846EB" w:rsidP="008846EB">
      <w:pPr>
        <w:pStyle w:val="FigureFooter"/>
      </w:pPr>
      <w:r>
        <w:t>Source: Stead et al. (2017)</w:t>
      </w:r>
    </w:p>
    <w:p w:rsidR="008846EB" w:rsidRDefault="008846EB" w:rsidP="008846EB"/>
    <w:p w:rsidR="008846EB" w:rsidRDefault="008846EB" w:rsidP="008846EB">
      <w:pPr>
        <w:keepNext/>
      </w:pPr>
      <w:r w:rsidRPr="001E15F2">
        <w:rPr>
          <w:noProof/>
        </w:rPr>
        <w:drawing>
          <wp:inline distT="0" distB="0" distL="0" distR="0" wp14:anchorId="36AB32CA" wp14:editId="60C831EB">
            <wp:extent cx="5731510" cy="219837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731510" cy="2198370"/>
                    </a:xfrm>
                    <a:prstGeom prst="rect">
                      <a:avLst/>
                    </a:prstGeom>
                  </pic:spPr>
                </pic:pic>
              </a:graphicData>
            </a:graphic>
          </wp:inline>
        </w:drawing>
      </w:r>
    </w:p>
    <w:p w:rsidR="008846EB" w:rsidRDefault="008846EB" w:rsidP="008846EB">
      <w:pPr>
        <w:pStyle w:val="Caption"/>
      </w:pPr>
      <w:bookmarkStart w:id="448" w:name="_Ref62219467"/>
      <w:r>
        <w:t>Figure</w:t>
      </w:r>
      <w:bookmarkEnd w:id="448"/>
      <w:r w:rsidR="007C49E1">
        <w:t xml:space="preserve"> 111</w:t>
      </w:r>
      <w:r>
        <w:t xml:space="preserve">: </w:t>
      </w:r>
      <w:r w:rsidRPr="0045258F">
        <w:t>Results of smoking cessation of at least six months follow-up in Carson-Chahhoud et al. (2019), more versus less intensive smoking cessation support</w:t>
      </w:r>
    </w:p>
    <w:p w:rsidR="008846EB" w:rsidRDefault="008846EB" w:rsidP="008846EB">
      <w:pPr>
        <w:pStyle w:val="FigureFooter"/>
      </w:pPr>
      <w:r>
        <w:t>Source: Carson-Chahhoud et al. (2019)</w:t>
      </w:r>
    </w:p>
    <w:p w:rsidR="008846EB" w:rsidRDefault="008846EB" w:rsidP="008846EB"/>
    <w:p w:rsidR="008846EB" w:rsidRDefault="008846EB" w:rsidP="008846EB">
      <w:pPr>
        <w:keepNext/>
      </w:pPr>
      <w:r>
        <w:rPr>
          <w:noProof/>
        </w:rPr>
        <w:lastRenderedPageBreak/>
        <w:drawing>
          <wp:inline distT="0" distB="0" distL="0" distR="0" wp14:anchorId="7B2FE999" wp14:editId="78217BA1">
            <wp:extent cx="5686425" cy="8147050"/>
            <wp:effectExtent l="0" t="0" r="9525" b="635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21661" cy="8197534"/>
                    </a:xfrm>
                    <a:prstGeom prst="rect">
                      <a:avLst/>
                    </a:prstGeom>
                    <a:noFill/>
                  </pic:spPr>
                </pic:pic>
              </a:graphicData>
            </a:graphic>
          </wp:inline>
        </w:drawing>
      </w:r>
    </w:p>
    <w:p w:rsidR="008846EB" w:rsidRDefault="008846EB" w:rsidP="008846EB">
      <w:pPr>
        <w:pStyle w:val="Caption"/>
      </w:pPr>
      <w:bookmarkStart w:id="449" w:name="_Ref62219475"/>
      <w:r>
        <w:t>Figure</w:t>
      </w:r>
      <w:bookmarkEnd w:id="449"/>
      <w:r w:rsidR="007C49E1">
        <w:t xml:space="preserve"> 112</w:t>
      </w:r>
      <w:r>
        <w:t xml:space="preserve">: </w:t>
      </w:r>
      <w:r w:rsidRPr="002B5BA9">
        <w:t>Results of smoking cessation of at least six months follow-up in Hartmann-Boyce et al. (2019), more versus less intensive behavioural support</w:t>
      </w:r>
    </w:p>
    <w:p w:rsidR="008846EB" w:rsidRPr="00620D3F" w:rsidRDefault="008846EB" w:rsidP="008846EB">
      <w:pPr>
        <w:pStyle w:val="FigureFooter"/>
      </w:pPr>
      <w:r>
        <w:t>Source: Hartmann-Boyce et al. (2019)</w:t>
      </w:r>
    </w:p>
    <w:p w:rsidR="008846EB" w:rsidRDefault="008846EB" w:rsidP="008846EB">
      <w:pPr>
        <w:pStyle w:val="FigureFooter"/>
      </w:pPr>
    </w:p>
    <w:p w:rsidR="008846EB" w:rsidRDefault="008846EB" w:rsidP="008846EB">
      <w:pPr>
        <w:pStyle w:val="FigureFooter"/>
        <w:keepNext/>
      </w:pPr>
      <w:r w:rsidRPr="00BC48CA">
        <w:rPr>
          <w:noProof/>
        </w:rPr>
        <w:drawing>
          <wp:inline distT="0" distB="0" distL="0" distR="0" wp14:anchorId="3790C2CE" wp14:editId="478E214B">
            <wp:extent cx="5731510" cy="2508250"/>
            <wp:effectExtent l="0" t="0" r="2540" b="635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731510" cy="2508250"/>
                    </a:xfrm>
                    <a:prstGeom prst="rect">
                      <a:avLst/>
                    </a:prstGeom>
                  </pic:spPr>
                </pic:pic>
              </a:graphicData>
            </a:graphic>
          </wp:inline>
        </w:drawing>
      </w:r>
    </w:p>
    <w:p w:rsidR="008846EB" w:rsidRDefault="008846EB" w:rsidP="008846EB">
      <w:pPr>
        <w:pStyle w:val="Caption"/>
      </w:pPr>
      <w:bookmarkStart w:id="450" w:name="_Ref62219483"/>
      <w:r>
        <w:t>Figure</w:t>
      </w:r>
      <w:bookmarkEnd w:id="450"/>
      <w:r w:rsidR="007C49E1">
        <w:t xml:space="preserve"> 113</w:t>
      </w:r>
      <w:r>
        <w:t xml:space="preserve">: </w:t>
      </w:r>
      <w:r w:rsidRPr="00AC4CF2">
        <w:t>Results of smoking cessation of at least six months follow-up in Livingstone-Banks et al. (2019b), self-help plus NRT versus NRT alone</w:t>
      </w:r>
    </w:p>
    <w:p w:rsidR="008846EB" w:rsidRDefault="008846EB" w:rsidP="008846EB">
      <w:pPr>
        <w:pStyle w:val="FigureFooter"/>
      </w:pPr>
      <w:r>
        <w:t>Source: Livingstone-Banks et al. (2019b)</w:t>
      </w:r>
    </w:p>
    <w:p w:rsidR="008846EB" w:rsidRPr="00BC48CA" w:rsidRDefault="008846EB" w:rsidP="008846EB"/>
    <w:p w:rsidR="008846EB" w:rsidRDefault="008846EB" w:rsidP="008846EB">
      <w:pPr>
        <w:keepNext/>
      </w:pPr>
      <w:r>
        <w:rPr>
          <w:noProof/>
        </w:rPr>
        <w:lastRenderedPageBreak/>
        <w:drawing>
          <wp:inline distT="0" distB="0" distL="0" distR="0" wp14:anchorId="32A00686" wp14:editId="40271913">
            <wp:extent cx="5638800" cy="814324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657227" cy="8169851"/>
                    </a:xfrm>
                    <a:prstGeom prst="rect">
                      <a:avLst/>
                    </a:prstGeom>
                    <a:noFill/>
                  </pic:spPr>
                </pic:pic>
              </a:graphicData>
            </a:graphic>
          </wp:inline>
        </w:drawing>
      </w:r>
    </w:p>
    <w:p w:rsidR="008846EB" w:rsidRDefault="008846EB" w:rsidP="008846EB">
      <w:pPr>
        <w:pStyle w:val="Caption"/>
      </w:pPr>
      <w:bookmarkStart w:id="451" w:name="_Ref62219489"/>
      <w:r>
        <w:t>Figure</w:t>
      </w:r>
      <w:bookmarkEnd w:id="451"/>
      <w:r w:rsidR="007C49E1">
        <w:t xml:space="preserve"> 114</w:t>
      </w:r>
      <w:r>
        <w:t xml:space="preserve">: </w:t>
      </w:r>
      <w:r w:rsidRPr="003961D9">
        <w:t>Results of smoking cessation of at least six months follow-up in Matkin et al. (2019), proactive telephone counselling versus no counselling</w:t>
      </w:r>
    </w:p>
    <w:p w:rsidR="008846EB" w:rsidRDefault="008846EB" w:rsidP="008846EB">
      <w:pPr>
        <w:pStyle w:val="FigureFooter"/>
      </w:pPr>
      <w:r>
        <w:t>Source: Matkin et al. (2019)</w:t>
      </w:r>
    </w:p>
    <w:p w:rsidR="008846EB" w:rsidRPr="003772D9" w:rsidRDefault="008846EB" w:rsidP="008846EB"/>
    <w:p w:rsidR="008846EB" w:rsidRDefault="008846EB" w:rsidP="008846EB">
      <w:pPr>
        <w:keepNext/>
      </w:pPr>
      <w:r w:rsidRPr="00717759">
        <w:rPr>
          <w:noProof/>
        </w:rPr>
        <w:drawing>
          <wp:inline distT="0" distB="0" distL="0" distR="0" wp14:anchorId="36F9B1F0" wp14:editId="242C1B55">
            <wp:extent cx="5731510" cy="2872740"/>
            <wp:effectExtent l="0" t="0" r="2540" b="381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731510" cy="2872740"/>
                    </a:xfrm>
                    <a:prstGeom prst="rect">
                      <a:avLst/>
                    </a:prstGeom>
                  </pic:spPr>
                </pic:pic>
              </a:graphicData>
            </a:graphic>
          </wp:inline>
        </w:drawing>
      </w:r>
    </w:p>
    <w:p w:rsidR="008846EB" w:rsidRDefault="008846EB" w:rsidP="008846EB">
      <w:pPr>
        <w:pStyle w:val="Caption"/>
      </w:pPr>
      <w:bookmarkStart w:id="452" w:name="_Ref62220308"/>
      <w:r>
        <w:t>Figure</w:t>
      </w:r>
      <w:bookmarkEnd w:id="452"/>
      <w:r w:rsidR="007C49E1">
        <w:t xml:space="preserve"> 115</w:t>
      </w:r>
      <w:r>
        <w:t xml:space="preserve">: </w:t>
      </w:r>
      <w:r w:rsidRPr="0051769A">
        <w:t>Results of key adverse events (</w:t>
      </w:r>
      <w:r>
        <w:t>preterm birth</w:t>
      </w:r>
      <w:r w:rsidRPr="0051769A">
        <w:t xml:space="preserve">) in </w:t>
      </w:r>
      <w:r>
        <w:t>Claire</w:t>
      </w:r>
      <w:r w:rsidRPr="0051769A">
        <w:t xml:space="preserve"> et al. (20</w:t>
      </w:r>
      <w:r>
        <w:t>20</w:t>
      </w:r>
      <w:r w:rsidRPr="0051769A">
        <w:t>),</w:t>
      </w:r>
      <w:r>
        <w:t xml:space="preserve"> NRT versus control</w:t>
      </w:r>
    </w:p>
    <w:p w:rsidR="008846EB" w:rsidRDefault="008846EB" w:rsidP="008846EB">
      <w:pPr>
        <w:pStyle w:val="FigureFooter"/>
      </w:pPr>
      <w:r>
        <w:t>Source: Claire et al. (2020)</w:t>
      </w:r>
    </w:p>
    <w:p w:rsidR="008846EB" w:rsidRDefault="008846EB" w:rsidP="008846EB"/>
    <w:p w:rsidR="008846EB" w:rsidRDefault="008846EB" w:rsidP="008846EB">
      <w:pPr>
        <w:keepNext/>
      </w:pPr>
      <w:r w:rsidRPr="00576A9E">
        <w:rPr>
          <w:noProof/>
        </w:rPr>
        <w:drawing>
          <wp:inline distT="0" distB="0" distL="0" distR="0" wp14:anchorId="4B2148DF" wp14:editId="56F5674E">
            <wp:extent cx="5731510" cy="1833880"/>
            <wp:effectExtent l="0" t="0" r="254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731510" cy="1833880"/>
                    </a:xfrm>
                    <a:prstGeom prst="rect">
                      <a:avLst/>
                    </a:prstGeom>
                  </pic:spPr>
                </pic:pic>
              </a:graphicData>
            </a:graphic>
          </wp:inline>
        </w:drawing>
      </w:r>
    </w:p>
    <w:p w:rsidR="008846EB" w:rsidRDefault="008846EB" w:rsidP="008846EB">
      <w:pPr>
        <w:pStyle w:val="Caption"/>
      </w:pPr>
      <w:r>
        <w:t>Figure</w:t>
      </w:r>
      <w:r w:rsidR="007C49E1">
        <w:t xml:space="preserve"> 116</w:t>
      </w:r>
      <w:r>
        <w:t xml:space="preserve">: </w:t>
      </w:r>
      <w:r w:rsidRPr="005B7015">
        <w:t>Results of key adverse events (</w:t>
      </w:r>
      <w:r>
        <w:t>neonatal intensive care unit admissions</w:t>
      </w:r>
      <w:r w:rsidRPr="005B7015">
        <w:t>) in Claire et al. (2020), NRT versus control</w:t>
      </w:r>
    </w:p>
    <w:p w:rsidR="008846EB" w:rsidRDefault="008846EB" w:rsidP="008846EB">
      <w:pPr>
        <w:pStyle w:val="FigureFooter"/>
      </w:pPr>
      <w:r>
        <w:t>Source: Claire et al. (2020)</w:t>
      </w:r>
    </w:p>
    <w:p w:rsidR="008846EB" w:rsidRDefault="008846EB" w:rsidP="008846EB">
      <w:pPr>
        <w:keepNext/>
      </w:pPr>
      <w:r w:rsidRPr="00576A9E">
        <w:rPr>
          <w:noProof/>
        </w:rPr>
        <w:lastRenderedPageBreak/>
        <w:drawing>
          <wp:inline distT="0" distB="0" distL="0" distR="0" wp14:anchorId="1F890271" wp14:editId="662F5A20">
            <wp:extent cx="5731510" cy="1833880"/>
            <wp:effectExtent l="0" t="0" r="254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731510" cy="1833880"/>
                    </a:xfrm>
                    <a:prstGeom prst="rect">
                      <a:avLst/>
                    </a:prstGeom>
                  </pic:spPr>
                </pic:pic>
              </a:graphicData>
            </a:graphic>
          </wp:inline>
        </w:drawing>
      </w:r>
    </w:p>
    <w:p w:rsidR="008846EB" w:rsidRDefault="008846EB" w:rsidP="008846EB">
      <w:pPr>
        <w:pStyle w:val="Caption"/>
      </w:pPr>
      <w:r>
        <w:t>Figure</w:t>
      </w:r>
      <w:r w:rsidR="007C49E1">
        <w:t xml:space="preserve"> 117</w:t>
      </w:r>
      <w:r>
        <w:t xml:space="preserve">: </w:t>
      </w:r>
      <w:r w:rsidRPr="00A86FA9">
        <w:t xml:space="preserve">Results of key adverse events (neonatal </w:t>
      </w:r>
      <w:r>
        <w:t>death</w:t>
      </w:r>
      <w:r w:rsidRPr="00A86FA9">
        <w:t>) in Claire et al. (2020), NRT versus control</w:t>
      </w:r>
    </w:p>
    <w:p w:rsidR="008846EB" w:rsidRDefault="008846EB" w:rsidP="008846EB">
      <w:pPr>
        <w:pStyle w:val="FigureFooter"/>
      </w:pPr>
      <w:r>
        <w:t>Source: Claire et al. (2020)</w:t>
      </w:r>
    </w:p>
    <w:p w:rsidR="008846EB" w:rsidRDefault="008846EB" w:rsidP="008846EB"/>
    <w:p w:rsidR="008846EB" w:rsidRDefault="008846EB" w:rsidP="008846EB">
      <w:pPr>
        <w:keepNext/>
      </w:pPr>
      <w:r w:rsidRPr="00576A9E">
        <w:rPr>
          <w:noProof/>
        </w:rPr>
        <w:drawing>
          <wp:inline distT="0" distB="0" distL="0" distR="0" wp14:anchorId="41A17CDA" wp14:editId="6B3FA15E">
            <wp:extent cx="5731510" cy="1591310"/>
            <wp:effectExtent l="0" t="0" r="2540" b="889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731510" cy="1591310"/>
                    </a:xfrm>
                    <a:prstGeom prst="rect">
                      <a:avLst/>
                    </a:prstGeom>
                  </pic:spPr>
                </pic:pic>
              </a:graphicData>
            </a:graphic>
          </wp:inline>
        </w:drawing>
      </w:r>
    </w:p>
    <w:p w:rsidR="008846EB" w:rsidRDefault="008846EB" w:rsidP="008846EB">
      <w:pPr>
        <w:pStyle w:val="Caption"/>
      </w:pPr>
      <w:r>
        <w:t>Figure</w:t>
      </w:r>
      <w:r w:rsidR="007C49E1">
        <w:t xml:space="preserve"> 118</w:t>
      </w:r>
      <w:r>
        <w:t xml:space="preserve">: </w:t>
      </w:r>
      <w:r w:rsidRPr="00B1236C">
        <w:t>Results of key adverse events (</w:t>
      </w:r>
      <w:r>
        <w:t>congenital abnormalities</w:t>
      </w:r>
      <w:r w:rsidRPr="00B1236C">
        <w:t>) in Claire et al. (2020), NRT versus control</w:t>
      </w:r>
    </w:p>
    <w:p w:rsidR="008846EB" w:rsidRDefault="008846EB" w:rsidP="008846EB">
      <w:pPr>
        <w:pStyle w:val="FigureFooter"/>
      </w:pPr>
      <w:r>
        <w:t>Source: Claire et al. (2020)</w:t>
      </w:r>
    </w:p>
    <w:p w:rsidR="008846EB" w:rsidRDefault="008846EB" w:rsidP="008846EB"/>
    <w:p w:rsidR="008846EB" w:rsidRDefault="008846EB" w:rsidP="008846EB">
      <w:pPr>
        <w:keepNext/>
      </w:pPr>
      <w:r w:rsidRPr="00576A9E">
        <w:rPr>
          <w:noProof/>
        </w:rPr>
        <w:drawing>
          <wp:inline distT="0" distB="0" distL="0" distR="0" wp14:anchorId="031E7BC1" wp14:editId="437E3E1B">
            <wp:extent cx="5731510" cy="1591310"/>
            <wp:effectExtent l="0" t="0" r="2540" b="889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731510" cy="1591310"/>
                    </a:xfrm>
                    <a:prstGeom prst="rect">
                      <a:avLst/>
                    </a:prstGeom>
                  </pic:spPr>
                </pic:pic>
              </a:graphicData>
            </a:graphic>
          </wp:inline>
        </w:drawing>
      </w:r>
    </w:p>
    <w:p w:rsidR="008846EB" w:rsidRDefault="008846EB" w:rsidP="008846EB">
      <w:pPr>
        <w:pStyle w:val="Caption"/>
      </w:pPr>
      <w:bookmarkStart w:id="453" w:name="_Ref62220309"/>
      <w:r>
        <w:t>Figure</w:t>
      </w:r>
      <w:bookmarkEnd w:id="453"/>
      <w:r w:rsidR="007C49E1">
        <w:t xml:space="preserve"> 119</w:t>
      </w:r>
      <w:r>
        <w:t xml:space="preserve">: </w:t>
      </w:r>
      <w:r w:rsidRPr="00E043E4">
        <w:t>Results of key adverse events (</w:t>
      </w:r>
      <w:r>
        <w:t>caesarean section</w:t>
      </w:r>
      <w:r w:rsidRPr="00E043E4">
        <w:t>) in Claire et al. (2020), NRT versus control</w:t>
      </w:r>
    </w:p>
    <w:p w:rsidR="008846EB" w:rsidRDefault="008846EB" w:rsidP="008846EB">
      <w:pPr>
        <w:pStyle w:val="FigureFooter"/>
      </w:pPr>
      <w:r>
        <w:t>Source: Claire et al. (2020)</w:t>
      </w:r>
    </w:p>
    <w:p w:rsidR="008846EB" w:rsidRDefault="008846EB">
      <w:pPr>
        <w:spacing w:line="276" w:lineRule="auto"/>
      </w:pPr>
    </w:p>
    <w:sectPr w:rsidR="008846EB" w:rsidSect="00A768F2">
      <w:footerReference w:type="default" r:id="rId140"/>
      <w:pgSz w:w="11906" w:h="16838"/>
      <w:pgMar w:top="1440" w:right="1440" w:bottom="144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9AE81" w16cex:dateUtc="2021-03-14T22:54:00Z"/>
  <w16cex:commentExtensible w16cex:durableId="23F3745E" w16cex:dateUtc="2021-03-10T05:37:00Z"/>
  <w16cex:commentExtensible w16cex:durableId="23F3585E" w16cex:dateUtc="2021-03-10T03:38:00Z"/>
  <w16cex:commentExtensible w16cex:durableId="23F35883" w16cex:dateUtc="2021-03-10T03:38:00Z"/>
  <w16cex:commentExtensible w16cex:durableId="23F9AE82" w16cex:dateUtc="2021-03-14T22:54:00Z"/>
  <w16cex:commentExtensible w16cex:durableId="23F36126" w16cex:dateUtc="2021-03-10T04:15:00Z"/>
  <w16cex:commentExtensible w16cex:durableId="23F3627C" w16cex:dateUtc="2021-03-10T04:21:00Z"/>
  <w16cex:commentExtensible w16cex:durableId="23F32604" w16cex:dateUtc="2021-03-10T00:03:00Z"/>
  <w16cex:commentExtensible w16cex:durableId="23F338E6" w16cex:dateUtc="2021-03-10T01:24:00Z"/>
  <w16cex:commentExtensible w16cex:durableId="23F338DE" w16cex:dateUtc="2021-03-10T01:23:00Z"/>
  <w16cex:commentExtensible w16cex:durableId="23F3396B" w16cex:dateUtc="2021-03-10T01:26:00Z"/>
  <w16cex:commentExtensible w16cex:durableId="23F31F3F" w16cex:dateUtc="2021-03-09T23:34:00Z"/>
  <w16cex:commentExtensible w16cex:durableId="23F31748" w16cex:dateUtc="2021-03-09T22:59:00Z"/>
  <w16cex:commentExtensible w16cex:durableId="23F31749" w16cex:dateUtc="2021-03-09T22:59:00Z"/>
  <w16cex:commentExtensible w16cex:durableId="23F3174A" w16cex:dateUtc="2021-03-09T22:59:00Z"/>
  <w16cex:commentExtensible w16cex:durableId="23F3174B" w16cex:dateUtc="2021-03-09T23:00:00Z"/>
  <w16cex:commentExtensible w16cex:durableId="23F3174C" w16cex:dateUtc="2021-03-09T23:00:00Z"/>
  <w16cex:commentExtensible w16cex:durableId="23F3174D" w16cex:dateUtc="2021-03-09T23:00:00Z"/>
  <w16cex:commentExtensible w16cex:durableId="23F3174F" w16cex:dateUtc="2021-03-09T23:00:00Z"/>
  <w16cex:commentExtensible w16cex:durableId="23F317C2" w16cex:dateUtc="2021-03-09T23:02:00Z"/>
  <w16cex:commentExtensible w16cex:durableId="23F317C5" w16cex:dateUtc="2021-03-09T23:02:00Z"/>
  <w16cex:commentExtensible w16cex:durableId="23F317DA" w16cex:dateUtc="2021-03-09T23:03:00Z"/>
  <w16cex:commentExtensible w16cex:durableId="23F318DB" w16cex:dateUtc="2021-03-09T23:07:00Z"/>
  <w16cex:commentExtensible w16cex:durableId="23F3214C" w16cex:dateUtc="2021-03-09T23:43:00Z"/>
  <w16cex:commentExtensible w16cex:durableId="23F3275B" w16cex:dateUtc="2021-03-10T00:09:00Z"/>
  <w16cex:commentExtensible w16cex:durableId="23F327B4" w16cex:dateUtc="2021-03-10T00:10:00Z"/>
  <w16cex:commentExtensible w16cex:durableId="23F327EE" w16cex:dateUtc="2021-03-10T00:11:00Z"/>
  <w16cex:commentExtensible w16cex:durableId="23F32824" w16cex:dateUtc="2021-03-10T00:12:00Z"/>
  <w16cex:commentExtensible w16cex:durableId="23F328D2" w16cex:dateUtc="2021-03-10T00:15:00Z"/>
  <w16cex:commentExtensible w16cex:durableId="23F328DC" w16cex:dateUtc="2021-03-10T00:15:00Z"/>
  <w16cex:commentExtensible w16cex:durableId="23F32925" w16cex:dateUtc="2021-03-10T00:16:00Z"/>
  <w16cex:commentExtensible w16cex:durableId="23F3292F" w16cex:dateUtc="2021-03-10T00:17:00Z"/>
  <w16cex:commentExtensible w16cex:durableId="23F32978" w16cex:dateUtc="2021-03-10T00:18:00Z"/>
  <w16cex:commentExtensible w16cex:durableId="23F32983" w16cex:dateUtc="2021-03-10T00:18:00Z"/>
  <w16cex:commentExtensible w16cex:durableId="23F3298A" w16cex:dateUtc="2021-03-10T00:18:00Z"/>
  <w16cex:commentExtensible w16cex:durableId="23F32AD9" w16cex:dateUtc="2021-03-10T00:24:00Z"/>
  <w16cex:commentExtensible w16cex:durableId="23F321AE" w16cex:dateUtc="2021-03-09T23:45:00Z"/>
  <w16cex:commentExtensible w16cex:durableId="23F32257" w16cex:dateUtc="2021-03-09T23:47:00Z"/>
  <w16cex:commentExtensible w16cex:durableId="23F3193B" w16cex:dateUtc="2021-03-09T23:08:00Z"/>
  <w16cex:commentExtensible w16cex:durableId="23F3195A" w16cex:dateUtc="2021-03-09T23:09:00Z"/>
  <w16cex:commentExtensible w16cex:durableId="23F33016" w16cex:dateUtc="2021-03-10T00:46:00Z"/>
  <w16cex:commentExtensible w16cex:durableId="23EB6281" w16cex:dateUtc="2021-03-04T02:43:00Z"/>
  <w16cex:commentExtensible w16cex:durableId="23F339D7" w16cex:dateUtc="2021-03-10T01:28:00Z"/>
  <w16cex:commentExtensible w16cex:durableId="23F339E4" w16cex:dateUtc="2021-03-10T01:28:00Z"/>
  <w16cex:commentExtensible w16cex:durableId="23F339E8" w16cex:dateUtc="2021-03-10T01:28:00Z"/>
  <w16cex:commentExtensible w16cex:durableId="23F33A0A" w16cex:dateUtc="2021-03-10T01:28:00Z"/>
  <w16cex:commentExtensible w16cex:durableId="23F33A0F" w16cex:dateUtc="2021-03-10T01:29:00Z"/>
  <w16cex:commentExtensible w16cex:durableId="23F33A1B" w16cex:dateUtc="2021-03-10T01:29:00Z"/>
  <w16cex:commentExtensible w16cex:durableId="23F46982" w16cex:dateUtc="2021-03-11T00:03:00Z"/>
  <w16cex:commentExtensible w16cex:durableId="23F46A39" w16cex:dateUtc="2021-03-11T00:06:00Z"/>
  <w16cex:commentExtensible w16cex:durableId="23F33BF4" w16cex:dateUtc="2021-03-10T01: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F0BB2BB" w16cid:durableId="23EA1C49"/>
  <w16cid:commentId w16cid:paraId="31377992" w16cid:durableId="23F9AE81"/>
  <w16cid:commentId w16cid:paraId="27041027" w16cid:durableId="23EA1C4A"/>
  <w16cid:commentId w16cid:paraId="2CCF583C" w16cid:durableId="23F3745E"/>
  <w16cid:commentId w16cid:paraId="54DFA678" w16cid:durableId="23EA1C4B"/>
  <w16cid:commentId w16cid:paraId="62D6C881" w16cid:durableId="23F3585E"/>
  <w16cid:commentId w16cid:paraId="33F41420" w16cid:durableId="23EA1C4C"/>
  <w16cid:commentId w16cid:paraId="5429D1B0" w16cid:durableId="23F35883"/>
  <w16cid:commentId w16cid:paraId="1C7BCC67" w16cid:durableId="23EA1C4D"/>
  <w16cid:commentId w16cid:paraId="5F234F89" w16cid:durableId="23F9AE82"/>
  <w16cid:commentId w16cid:paraId="45BE4C59" w16cid:durableId="23EA1C4E"/>
  <w16cid:commentId w16cid:paraId="7EA4A2B4" w16cid:durableId="23F36126"/>
  <w16cid:commentId w16cid:paraId="38ADCC2A" w16cid:durableId="23EA1C4F"/>
  <w16cid:commentId w16cid:paraId="0ED54512" w16cid:durableId="23F3627C"/>
  <w16cid:commentId w16cid:paraId="236DC02B" w16cid:durableId="23EA1C50"/>
  <w16cid:commentId w16cid:paraId="1061BCF7" w16cid:durableId="23EA1C51"/>
  <w16cid:commentId w16cid:paraId="62C3D14C" w16cid:durableId="23EA1C52"/>
  <w16cid:commentId w16cid:paraId="5133A488" w16cid:durableId="23F32604"/>
  <w16cid:commentId w16cid:paraId="56AEF004" w16cid:durableId="23EA1C53"/>
  <w16cid:commentId w16cid:paraId="52F49080" w16cid:durableId="23F338E6"/>
  <w16cid:commentId w16cid:paraId="3BE04FDA" w16cid:durableId="23EA1C54"/>
  <w16cid:commentId w16cid:paraId="32FBABA6" w16cid:durableId="23F338DE"/>
  <w16cid:commentId w16cid:paraId="18C8BF7A" w16cid:durableId="23EA1C55"/>
  <w16cid:commentId w16cid:paraId="5EBF5DA7" w16cid:durableId="23F3396B"/>
  <w16cid:commentId w16cid:paraId="5568499E" w16cid:durableId="23EA1C56"/>
  <w16cid:commentId w16cid:paraId="39E1CB25" w16cid:durableId="23F31F3F"/>
  <w16cid:commentId w16cid:paraId="60CC0B03" w16cid:durableId="23EA1C57"/>
  <w16cid:commentId w16cid:paraId="349245D1" w16cid:durableId="23EA1C58"/>
  <w16cid:commentId w16cid:paraId="76254803" w16cid:durableId="23F31748"/>
  <w16cid:commentId w16cid:paraId="7B68B60F" w16cid:durableId="23EA1C59"/>
  <w16cid:commentId w16cid:paraId="36B14A99" w16cid:durableId="23F31749"/>
  <w16cid:commentId w16cid:paraId="75963D47" w16cid:durableId="23EA1C5A"/>
  <w16cid:commentId w16cid:paraId="114798C4" w16cid:durableId="23EA1C5B"/>
  <w16cid:commentId w16cid:paraId="13A45A3A" w16cid:durableId="23F3174A"/>
  <w16cid:commentId w16cid:paraId="6D4A5E16" w16cid:durableId="23EA1C5C"/>
  <w16cid:commentId w16cid:paraId="31A8373C" w16cid:durableId="23F3174B"/>
  <w16cid:commentId w16cid:paraId="2CA9657B" w16cid:durableId="23EA1C5D"/>
  <w16cid:commentId w16cid:paraId="04C2C51A" w16cid:durableId="23F3174C"/>
  <w16cid:commentId w16cid:paraId="478C19F2" w16cid:durableId="23EA1C5E"/>
  <w16cid:commentId w16cid:paraId="7AEF9FF7" w16cid:durableId="23F3174D"/>
  <w16cid:commentId w16cid:paraId="74C707E8" w16cid:durableId="23EA1C5F"/>
  <w16cid:commentId w16cid:paraId="0F8917E1" w16cid:durableId="23F3174F"/>
  <w16cid:commentId w16cid:paraId="19A1E411" w16cid:durableId="23EA1C60"/>
  <w16cid:commentId w16cid:paraId="6E87193E" w16cid:durableId="23F317C2"/>
  <w16cid:commentId w16cid:paraId="2B467BC5" w16cid:durableId="23EA1C61"/>
  <w16cid:commentId w16cid:paraId="46294206" w16cid:durableId="23F317C5"/>
  <w16cid:commentId w16cid:paraId="2CCD5B10" w16cid:durableId="23EA1C62"/>
  <w16cid:commentId w16cid:paraId="653F9666" w16cid:durableId="23F317DA"/>
  <w16cid:commentId w16cid:paraId="667E40A2" w16cid:durableId="23EA1C63"/>
  <w16cid:commentId w16cid:paraId="69AD22A9" w16cid:durableId="23EA1C64"/>
  <w16cid:commentId w16cid:paraId="0E9C6961" w16cid:durableId="23EA1C65"/>
  <w16cid:commentId w16cid:paraId="25ED7612" w16cid:durableId="23EA1C66"/>
  <w16cid:commentId w16cid:paraId="7F7B0758" w16cid:durableId="23F318DB"/>
  <w16cid:commentId w16cid:paraId="1C57C52E" w16cid:durableId="23EA1C67"/>
  <w16cid:commentId w16cid:paraId="16E795AD" w16cid:durableId="23EA1C68"/>
  <w16cid:commentId w16cid:paraId="1E002771" w16cid:durableId="23EA1C69"/>
  <w16cid:commentId w16cid:paraId="3B35A4A8" w16cid:durableId="23EA1C6A"/>
  <w16cid:commentId w16cid:paraId="377A6BFC" w16cid:durableId="23EA1C6B"/>
  <w16cid:commentId w16cid:paraId="6DD58E6C" w16cid:durableId="23EA1C6C"/>
  <w16cid:commentId w16cid:paraId="30E75813" w16cid:durableId="23EA1C6D"/>
  <w16cid:commentId w16cid:paraId="15B027E2" w16cid:durableId="23EA1C6E"/>
  <w16cid:commentId w16cid:paraId="74468923" w16cid:durableId="23EA1C6F"/>
  <w16cid:commentId w16cid:paraId="181DE8E9" w16cid:durableId="23F3214C"/>
  <w16cid:commentId w16cid:paraId="6899B9EF" w16cid:durableId="23EA1C70"/>
  <w16cid:commentId w16cid:paraId="5D8975D5" w16cid:durableId="23EA1C71"/>
  <w16cid:commentId w16cid:paraId="0FB0D406" w16cid:durableId="23F3275B"/>
  <w16cid:commentId w16cid:paraId="6A7422D1" w16cid:durableId="23EA1C72"/>
  <w16cid:commentId w16cid:paraId="60329A48" w16cid:durableId="23F327B4"/>
  <w16cid:commentId w16cid:paraId="71DAC00D" w16cid:durableId="23EA1C73"/>
  <w16cid:commentId w16cid:paraId="071C5588" w16cid:durableId="23EA1C74"/>
  <w16cid:commentId w16cid:paraId="290EB27B" w16cid:durableId="23F327EE"/>
  <w16cid:commentId w16cid:paraId="59BAFDDA" w16cid:durableId="23EA1C75"/>
  <w16cid:commentId w16cid:paraId="18DDDF93" w16cid:durableId="23F32824"/>
  <w16cid:commentId w16cid:paraId="4DC9039B" w16cid:durableId="23EA1C76"/>
  <w16cid:commentId w16cid:paraId="6BEE6F8F" w16cid:durableId="23F328D2"/>
  <w16cid:commentId w16cid:paraId="218B2BA9" w16cid:durableId="23EA1C77"/>
  <w16cid:commentId w16cid:paraId="1C1117CC" w16cid:durableId="23F328DC"/>
  <w16cid:commentId w16cid:paraId="1FC0509F" w16cid:durableId="23EA1C78"/>
  <w16cid:commentId w16cid:paraId="18494C98" w16cid:durableId="23F32925"/>
  <w16cid:commentId w16cid:paraId="1B11F3D8" w16cid:durableId="23EA1C79"/>
  <w16cid:commentId w16cid:paraId="45940BCA" w16cid:durableId="23F3292F"/>
  <w16cid:commentId w16cid:paraId="537CF49D" w16cid:durableId="23EA1C7A"/>
  <w16cid:commentId w16cid:paraId="23DEF2CA" w16cid:durableId="23F32978"/>
  <w16cid:commentId w16cid:paraId="210D582A" w16cid:durableId="23EA1C7B"/>
  <w16cid:commentId w16cid:paraId="0E078977" w16cid:durableId="23F32983"/>
  <w16cid:commentId w16cid:paraId="2BD5BDE9" w16cid:durableId="23EA1C7C"/>
  <w16cid:commentId w16cid:paraId="51B4DF85" w16cid:durableId="23F3298A"/>
  <w16cid:commentId w16cid:paraId="5571FAD1" w16cid:durableId="23EA1C7D"/>
  <w16cid:commentId w16cid:paraId="78A7D10E" w16cid:durableId="23EA1C7E"/>
  <w16cid:commentId w16cid:paraId="3A387990" w16cid:durableId="23EA1C7F"/>
  <w16cid:commentId w16cid:paraId="169D7BF6" w16cid:durableId="23EA1C80"/>
  <w16cid:commentId w16cid:paraId="443A8857" w16cid:durableId="23EA1C81"/>
  <w16cid:commentId w16cid:paraId="34F816DC" w16cid:durableId="23F32AD9"/>
  <w16cid:commentId w16cid:paraId="5221314C" w16cid:durableId="23EA1C82"/>
  <w16cid:commentId w16cid:paraId="2D165847" w16cid:durableId="23EA1C83"/>
  <w16cid:commentId w16cid:paraId="58E59AE4" w16cid:durableId="23F321AE"/>
  <w16cid:commentId w16cid:paraId="237CCAB3" w16cid:durableId="23EA1C84"/>
  <w16cid:commentId w16cid:paraId="2AFA1F03" w16cid:durableId="23F32257"/>
  <w16cid:commentId w16cid:paraId="238DBCE4" w16cid:durableId="23EA1C85"/>
  <w16cid:commentId w16cid:paraId="0070BF7D" w16cid:durableId="23EA1C86"/>
  <w16cid:commentId w16cid:paraId="63E1F49A" w16cid:durableId="23EA1C87"/>
  <w16cid:commentId w16cid:paraId="6A974D9B" w16cid:durableId="23EA1C88"/>
  <w16cid:commentId w16cid:paraId="155F73CD" w16cid:durableId="23EA1C89"/>
  <w16cid:commentId w16cid:paraId="67E885EB" w16cid:durableId="23EA1C8A"/>
  <w16cid:commentId w16cid:paraId="51A7DE21" w16cid:durableId="23F3193B"/>
  <w16cid:commentId w16cid:paraId="1DAD4825" w16cid:durableId="23EA1C8B"/>
  <w16cid:commentId w16cid:paraId="11E60AAC" w16cid:durableId="23F3195A"/>
  <w16cid:commentId w16cid:paraId="6A982FA9" w16cid:durableId="23EA1C8C"/>
  <w16cid:commentId w16cid:paraId="6B9D3833" w16cid:durableId="23EA1C8D"/>
  <w16cid:commentId w16cid:paraId="5EAA059C" w16cid:durableId="23EA1C8E"/>
  <w16cid:commentId w16cid:paraId="138EBF90" w16cid:durableId="23EA1C8F"/>
  <w16cid:commentId w16cid:paraId="0A46EBFB" w16cid:durableId="23F33016"/>
  <w16cid:commentId w16cid:paraId="650D11EA" w16cid:durableId="23EA1C90"/>
  <w16cid:commentId w16cid:paraId="39E65B85" w16cid:durableId="23EB6281"/>
  <w16cid:commentId w16cid:paraId="67D60398" w16cid:durableId="23EA1C91"/>
  <w16cid:commentId w16cid:paraId="722706D3" w16cid:durableId="23EA1C92"/>
  <w16cid:commentId w16cid:paraId="49B2FB8F" w16cid:durableId="23EA1C93"/>
  <w16cid:commentId w16cid:paraId="0F8C0F4A" w16cid:durableId="23F339D7"/>
  <w16cid:commentId w16cid:paraId="3AB840FF" w16cid:durableId="23EA1C94"/>
  <w16cid:commentId w16cid:paraId="584E6DE7" w16cid:durableId="23F339E4"/>
  <w16cid:commentId w16cid:paraId="0EA7AFCE" w16cid:durableId="23EA1C95"/>
  <w16cid:commentId w16cid:paraId="4397A85A" w16cid:durableId="23F339E8"/>
  <w16cid:commentId w16cid:paraId="7AF9D064" w16cid:durableId="23EA1C96"/>
  <w16cid:commentId w16cid:paraId="1FC13F21" w16cid:durableId="23EA1C97"/>
  <w16cid:commentId w16cid:paraId="3C7EF69F" w16cid:durableId="23EA1C98"/>
  <w16cid:commentId w16cid:paraId="6C22E6B5" w16cid:durableId="23EA1C99"/>
  <w16cid:commentId w16cid:paraId="58B16418" w16cid:durableId="23EA1C9A"/>
  <w16cid:commentId w16cid:paraId="73AB874A" w16cid:durableId="23EA1C9B"/>
  <w16cid:commentId w16cid:paraId="275B4A4D" w16cid:durableId="23EA1C9C"/>
  <w16cid:commentId w16cid:paraId="6C2B4FFC" w16cid:durableId="23EA1C9D"/>
  <w16cid:commentId w16cid:paraId="1B3F380E" w16cid:durableId="23EA1C9E"/>
  <w16cid:commentId w16cid:paraId="365B8C37" w16cid:durableId="23EA1C9F"/>
  <w16cid:commentId w16cid:paraId="66C76638" w16cid:durableId="23EA1CA0"/>
  <w16cid:commentId w16cid:paraId="3A2B1473" w16cid:durableId="23EA1CA1"/>
  <w16cid:commentId w16cid:paraId="1807E24E" w16cid:durableId="23F33A0A"/>
  <w16cid:commentId w16cid:paraId="3BC785A4" w16cid:durableId="23EA1CA2"/>
  <w16cid:commentId w16cid:paraId="350CE21B" w16cid:durableId="23F33A0F"/>
  <w16cid:commentId w16cid:paraId="12D9F744" w16cid:durableId="23EA1CA3"/>
  <w16cid:commentId w16cid:paraId="46C284D3" w16cid:durableId="23EA1CA4"/>
  <w16cid:commentId w16cid:paraId="1EB79E4A" w16cid:durableId="23EA1CA5"/>
  <w16cid:commentId w16cid:paraId="75116D7A" w16cid:durableId="23EA1CA6"/>
  <w16cid:commentId w16cid:paraId="72DDC10B" w16cid:durableId="23F33A1B"/>
  <w16cid:commentId w16cid:paraId="78EB1060" w16cid:durableId="23F46982"/>
  <w16cid:commentId w16cid:paraId="794994F4" w16cid:durableId="23EA1CA7"/>
  <w16cid:commentId w16cid:paraId="2AE76F24" w16cid:durableId="23F46A39"/>
  <w16cid:commentId w16cid:paraId="4DF6B1CD" w16cid:durableId="23EA1CA8"/>
  <w16cid:commentId w16cid:paraId="59CB3B7E" w16cid:durableId="23EA1CA9"/>
  <w16cid:commentId w16cid:paraId="0F867FB3" w16cid:durableId="23F33BF4"/>
  <w16cid:commentId w16cid:paraId="2A0EDB9F" w16cid:durableId="23EA1CA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6EB" w:rsidRDefault="008846EB" w:rsidP="00131A64">
      <w:pPr>
        <w:spacing w:after="0"/>
      </w:pPr>
      <w:r>
        <w:separator/>
      </w:r>
    </w:p>
  </w:endnote>
  <w:endnote w:type="continuationSeparator" w:id="0">
    <w:p w:rsidR="008846EB" w:rsidRDefault="008846EB" w:rsidP="00131A64">
      <w:pPr>
        <w:spacing w:after="0"/>
      </w:pPr>
      <w:r>
        <w:continuationSeparator/>
      </w:r>
    </w:p>
  </w:endnote>
  <w:endnote w:type="continuationNotice" w:id="1">
    <w:p w:rsidR="008846EB" w:rsidRDefault="008846E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useeBold">
    <w:altName w:val="Cambria"/>
    <w:charset w:val="00"/>
    <w:family w:val="roman"/>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rial Bold">
    <w:altName w:val="Arial"/>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F4B" w:rsidRDefault="00CE2F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7263274"/>
      <w:docPartObj>
        <w:docPartGallery w:val="Page Numbers (Bottom of Page)"/>
        <w:docPartUnique/>
      </w:docPartObj>
    </w:sdtPr>
    <w:sdtEndPr>
      <w:rPr>
        <w:rFonts w:asciiTheme="minorHAnsi" w:hAnsiTheme="minorHAnsi"/>
        <w:noProof/>
      </w:rPr>
    </w:sdtEndPr>
    <w:sdtContent>
      <w:p w:rsidR="008846EB" w:rsidRPr="00212FCE" w:rsidRDefault="008846EB">
        <w:pPr>
          <w:pStyle w:val="Footer"/>
          <w:jc w:val="right"/>
          <w:rPr>
            <w:rFonts w:asciiTheme="minorHAnsi" w:hAnsiTheme="minorHAnsi"/>
          </w:rPr>
        </w:pPr>
        <w:r w:rsidRPr="00212FCE">
          <w:rPr>
            <w:rFonts w:asciiTheme="minorHAnsi" w:hAnsiTheme="minorHAnsi"/>
          </w:rPr>
          <w:fldChar w:fldCharType="begin"/>
        </w:r>
        <w:r w:rsidRPr="00212FCE">
          <w:rPr>
            <w:rFonts w:asciiTheme="minorHAnsi" w:hAnsiTheme="minorHAnsi"/>
          </w:rPr>
          <w:instrText xml:space="preserve"> PAGE   \* MERGEFORMAT </w:instrText>
        </w:r>
        <w:r w:rsidRPr="00212FCE">
          <w:rPr>
            <w:rFonts w:asciiTheme="minorHAnsi" w:hAnsiTheme="minorHAnsi"/>
          </w:rPr>
          <w:fldChar w:fldCharType="separate"/>
        </w:r>
        <w:r w:rsidR="006908BC">
          <w:rPr>
            <w:rFonts w:asciiTheme="minorHAnsi" w:hAnsiTheme="minorHAnsi"/>
            <w:noProof/>
          </w:rPr>
          <w:t>30</w:t>
        </w:r>
        <w:r w:rsidRPr="00212FCE">
          <w:rPr>
            <w:rFonts w:asciiTheme="minorHAnsi" w:hAnsiTheme="min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2041713"/>
      <w:docPartObj>
        <w:docPartGallery w:val="Page Numbers (Bottom of Page)"/>
        <w:docPartUnique/>
      </w:docPartObj>
    </w:sdtPr>
    <w:sdtEndPr>
      <w:rPr>
        <w:noProof/>
      </w:rPr>
    </w:sdtEndPr>
    <w:sdtContent>
      <w:p w:rsidR="008846EB" w:rsidRDefault="008846EB" w:rsidP="007E63DF">
        <w:pPr>
          <w:pStyle w:val="Footer"/>
          <w:jc w:val="right"/>
          <w:rPr>
            <w:noProof/>
          </w:rPr>
        </w:pPr>
        <w:r>
          <w:fldChar w:fldCharType="begin"/>
        </w:r>
        <w:r>
          <w:instrText xml:space="preserve"> PAGE   \* MERGEFORMAT </w:instrText>
        </w:r>
        <w:r>
          <w:fldChar w:fldCharType="separate"/>
        </w:r>
        <w:r w:rsidR="006908BC">
          <w:rPr>
            <w:noProof/>
          </w:rPr>
          <w:t>31</w:t>
        </w:r>
        <w:r>
          <w:rPr>
            <w:noProof/>
          </w:rPr>
          <w:fldChar w:fldCharType="end"/>
        </w:r>
      </w:p>
    </w:sdtContent>
  </w:sdt>
  <w:p w:rsidR="008846EB" w:rsidRDefault="008846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6EB" w:rsidRDefault="008846E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8937486"/>
      <w:docPartObj>
        <w:docPartGallery w:val="Page Numbers (Bottom of Page)"/>
        <w:docPartUnique/>
      </w:docPartObj>
    </w:sdtPr>
    <w:sdtEndPr>
      <w:rPr>
        <w:rFonts w:asciiTheme="minorHAnsi" w:hAnsiTheme="minorHAnsi"/>
        <w:noProof/>
      </w:rPr>
    </w:sdtEndPr>
    <w:sdtContent>
      <w:p w:rsidR="008846EB" w:rsidRPr="00212FCE" w:rsidRDefault="008846EB">
        <w:pPr>
          <w:pStyle w:val="Footer"/>
          <w:jc w:val="right"/>
          <w:rPr>
            <w:rFonts w:asciiTheme="minorHAnsi" w:hAnsiTheme="minorHAnsi"/>
          </w:rPr>
        </w:pPr>
        <w:r w:rsidRPr="00212FCE">
          <w:rPr>
            <w:rFonts w:asciiTheme="minorHAnsi" w:hAnsiTheme="minorHAnsi"/>
          </w:rPr>
          <w:fldChar w:fldCharType="begin"/>
        </w:r>
        <w:r w:rsidRPr="00212FCE">
          <w:rPr>
            <w:rFonts w:asciiTheme="minorHAnsi" w:hAnsiTheme="minorHAnsi"/>
          </w:rPr>
          <w:instrText xml:space="preserve"> PAGE   \* MERGEFORMAT </w:instrText>
        </w:r>
        <w:r w:rsidRPr="00212FCE">
          <w:rPr>
            <w:rFonts w:asciiTheme="minorHAnsi" w:hAnsiTheme="minorHAnsi"/>
          </w:rPr>
          <w:fldChar w:fldCharType="separate"/>
        </w:r>
        <w:r w:rsidR="006908BC">
          <w:rPr>
            <w:rFonts w:asciiTheme="minorHAnsi" w:hAnsiTheme="minorHAnsi"/>
            <w:noProof/>
          </w:rPr>
          <w:t>34</w:t>
        </w:r>
        <w:r w:rsidRPr="00212FCE">
          <w:rPr>
            <w:rFonts w:asciiTheme="minorHAnsi" w:hAnsiTheme="minorHAnsi"/>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098586"/>
      <w:docPartObj>
        <w:docPartGallery w:val="Page Numbers (Bottom of Page)"/>
        <w:docPartUnique/>
      </w:docPartObj>
    </w:sdtPr>
    <w:sdtEndPr>
      <w:rPr>
        <w:noProof/>
      </w:rPr>
    </w:sdtEndPr>
    <w:sdtContent>
      <w:p w:rsidR="008846EB" w:rsidRDefault="008846EB" w:rsidP="007E63DF">
        <w:pPr>
          <w:pStyle w:val="Footer"/>
          <w:jc w:val="right"/>
          <w:rPr>
            <w:noProof/>
          </w:rPr>
        </w:pPr>
        <w:r>
          <w:fldChar w:fldCharType="begin"/>
        </w:r>
        <w:r>
          <w:instrText xml:space="preserve"> PAGE   \* MERGEFORMAT </w:instrText>
        </w:r>
        <w:r>
          <w:fldChar w:fldCharType="separate"/>
        </w:r>
        <w:r w:rsidR="006908BC">
          <w:rPr>
            <w:noProof/>
          </w:rPr>
          <w:t>35</w:t>
        </w:r>
        <w:r>
          <w:rPr>
            <w:noProof/>
          </w:rPr>
          <w:fldChar w:fldCharType="end"/>
        </w:r>
      </w:p>
    </w:sdtContent>
  </w:sdt>
  <w:p w:rsidR="008846EB" w:rsidRDefault="008846E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089328"/>
      <w:docPartObj>
        <w:docPartGallery w:val="Page Numbers (Bottom of Page)"/>
        <w:docPartUnique/>
      </w:docPartObj>
    </w:sdtPr>
    <w:sdtEndPr>
      <w:rPr>
        <w:noProof/>
      </w:rPr>
    </w:sdtEndPr>
    <w:sdtContent>
      <w:p w:rsidR="008846EB" w:rsidRDefault="008846EB">
        <w:pPr>
          <w:pStyle w:val="Footer"/>
          <w:jc w:val="right"/>
        </w:pPr>
        <w:r>
          <w:fldChar w:fldCharType="begin"/>
        </w:r>
        <w:r>
          <w:instrText xml:space="preserve"> PAGE   \* MERGEFORMAT </w:instrText>
        </w:r>
        <w:r>
          <w:fldChar w:fldCharType="separate"/>
        </w:r>
        <w:r w:rsidR="006908BC">
          <w:rPr>
            <w:noProof/>
          </w:rPr>
          <w:t>250</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8490112"/>
      <w:docPartObj>
        <w:docPartGallery w:val="Page Numbers (Bottom of Page)"/>
        <w:docPartUnique/>
      </w:docPartObj>
    </w:sdtPr>
    <w:sdtEndPr>
      <w:rPr>
        <w:noProof/>
      </w:rPr>
    </w:sdtEndPr>
    <w:sdtContent>
      <w:p w:rsidR="008846EB" w:rsidRDefault="008846EB">
        <w:pPr>
          <w:pStyle w:val="Footer"/>
          <w:jc w:val="right"/>
        </w:pPr>
        <w:r>
          <w:fldChar w:fldCharType="begin"/>
        </w:r>
        <w:r>
          <w:instrText xml:space="preserve"> PAGE   \* MERGEFORMAT </w:instrText>
        </w:r>
        <w:r>
          <w:fldChar w:fldCharType="separate"/>
        </w:r>
        <w:r w:rsidR="006908BC">
          <w:rPr>
            <w:noProof/>
          </w:rPr>
          <w:t>388</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754180"/>
      <w:docPartObj>
        <w:docPartGallery w:val="Page Numbers (Bottom of Page)"/>
        <w:docPartUnique/>
      </w:docPartObj>
    </w:sdtPr>
    <w:sdtEndPr>
      <w:rPr>
        <w:noProof/>
      </w:rPr>
    </w:sdtEndPr>
    <w:sdtContent>
      <w:p w:rsidR="008846EB" w:rsidRDefault="008846EB">
        <w:pPr>
          <w:pStyle w:val="Footer"/>
          <w:jc w:val="right"/>
        </w:pPr>
        <w:r>
          <w:fldChar w:fldCharType="begin"/>
        </w:r>
        <w:r>
          <w:instrText xml:space="preserve"> PAGE   \* MERGEFORMAT </w:instrText>
        </w:r>
        <w:r>
          <w:fldChar w:fldCharType="separate"/>
        </w:r>
        <w:r w:rsidR="006908BC">
          <w:rPr>
            <w:noProof/>
          </w:rPr>
          <w:t>423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6EB" w:rsidRDefault="008846EB" w:rsidP="00131A64">
      <w:pPr>
        <w:spacing w:after="0"/>
      </w:pPr>
      <w:r>
        <w:separator/>
      </w:r>
    </w:p>
  </w:footnote>
  <w:footnote w:type="continuationSeparator" w:id="0">
    <w:p w:rsidR="008846EB" w:rsidRDefault="008846EB" w:rsidP="00131A64">
      <w:pPr>
        <w:spacing w:after="0"/>
      </w:pPr>
      <w:r>
        <w:continuationSeparator/>
      </w:r>
    </w:p>
  </w:footnote>
  <w:footnote w:type="continuationNotice" w:id="1">
    <w:p w:rsidR="008846EB" w:rsidRDefault="008846EB">
      <w:pPr>
        <w:spacing w:after="0"/>
      </w:pPr>
    </w:p>
  </w:footnote>
  <w:footnote w:id="2">
    <w:p w:rsidR="008846EB" w:rsidRDefault="008846EB">
      <w:pPr>
        <w:pStyle w:val="FootnoteText"/>
      </w:pPr>
      <w:r>
        <w:rPr>
          <w:rStyle w:val="FootnoteReference"/>
        </w:rPr>
        <w:footnoteRef/>
      </w:r>
      <w:r>
        <w:t xml:space="preserve"> Lindson et al. (2019) pooled studies comparing 42 mg/24-hour versus 21 mg/24-hour and 44 mg/24-hour versus 22 mg/24-hour patches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F4B" w:rsidRDefault="00CE2F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2767685"/>
      <w:docPartObj>
        <w:docPartGallery w:val="Watermarks"/>
        <w:docPartUnique/>
      </w:docPartObj>
    </w:sdtPr>
    <w:sdtEndPr/>
    <w:sdtContent>
      <w:p w:rsidR="008846EB" w:rsidRDefault="008846EB">
        <w:pPr>
          <w:pStyle w:val="Header"/>
        </w:pPr>
        <w:r>
          <w:rPr>
            <w:noProof/>
          </w:rPr>
          <mc:AlternateContent>
            <mc:Choice Requires="wps">
              <w:drawing>
                <wp:anchor distT="0" distB="0" distL="114300" distR="114300" simplePos="0" relativeHeight="251657728" behindDoc="1" locked="0" layoutInCell="0" allowOverlap="1" wp14:anchorId="2BA6B84E" wp14:editId="77999897">
                  <wp:simplePos x="0" y="0"/>
                  <wp:positionH relativeFrom="margin">
                    <wp:align>center</wp:align>
                  </wp:positionH>
                  <wp:positionV relativeFrom="margin">
                    <wp:align>center</wp:align>
                  </wp:positionV>
                  <wp:extent cx="5237480" cy="3142615"/>
                  <wp:effectExtent l="0" t="0" r="0" b="0"/>
                  <wp:wrapNone/>
                  <wp:docPr id="7" name="WordArt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846EB" w:rsidRDefault="008846EB" w:rsidP="00F87B92">
                              <w:pPr>
                                <w:jc w:val="center"/>
                                <w:rPr>
                                  <w:szCs w:val="24"/>
                                </w:rPr>
                              </w:pPr>
                              <w:r>
                                <w:rPr>
                                  <w:rFonts w:cs="Calibri"/>
                                  <w:color w:val="C0C0C0"/>
                                  <w:sz w:val="16"/>
                                  <w:szCs w:val="16"/>
                                  <w:lang w:val="en-GB"/>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BA6B84E" id="_x0000_t202" coordsize="21600,21600" o:spt="202" path="m,l,21600r21600,l21600,xe">
                  <v:stroke joinstyle="miter"/>
                  <v:path gradientshapeok="t" o:connecttype="rect"/>
                </v:shapetype>
                <v:shape id="WordArt 12" o:spid="_x0000_s1026" type="#_x0000_t202" style="position:absolute;margin-left:0;margin-top:0;width:412.4pt;height:247.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" o:allowincell="f" filled="f" stroked="f">
                  <v:stroke joinstyle="round"/>
                  <o:lock v:ext="edit" aspectratio="t" verticies="t" shapetype="t"/>
                  <v:textbox>
                    <w:txbxContent>
                      <w:p w:rsidR="008846EB" w:rsidRDefault="008846EB" w:rsidP="00F87B92">
                        <w:pPr>
                          <w:jc w:val="center"/>
                          <w:rPr>
                            <w:szCs w:val="24"/>
                          </w:rPr>
                        </w:pPr>
                        <w:r>
                          <w:rPr>
                            <w:rFonts w:cs="Calibri"/>
                            <w:color w:val="C0C0C0"/>
                            <w:sz w:val="16"/>
                            <w:szCs w:val="16"/>
                            <w:lang w:val="en-GB"/>
                            <w14:textFill>
                              <w14:solidFill>
                                <w14:srgbClr w14:val="C0C0C0">
                                  <w14:alpha w14:val="50000"/>
                                </w14:srgbClr>
                              </w14:solidFill>
                            </w14:textFill>
                          </w:rPr>
                          <w:t>DRAFT</w:t>
                        </w:r>
                      </w:p>
                    </w:txbxContent>
                  </v:textbox>
                  <w10:wrap anchorx="margin" anchory="margin"/>
                </v:shape>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4922514"/>
      <w:docPartObj>
        <w:docPartGallery w:val="Watermarks"/>
        <w:docPartUnique/>
      </w:docPartObj>
    </w:sdtPr>
    <w:sdtEndPr/>
    <w:sdtContent>
      <w:p w:rsidR="008846EB" w:rsidRDefault="006908BC">
        <w:pPr>
          <w:pStyle w:val="Header"/>
        </w:pPr>
        <w:r>
          <w:rPr>
            <w:noProof/>
            <w:lang w:val="en-US" w:eastAsia="en-US"/>
          </w:rPr>
          <w:pict w14:anchorId="2418DB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6EB" w:rsidRDefault="008846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99009"/>
      <w:docPartObj>
        <w:docPartGallery w:val="Watermarks"/>
        <w:docPartUnique/>
      </w:docPartObj>
    </w:sdtPr>
    <w:sdtEndPr/>
    <w:sdtContent>
      <w:p w:rsidR="008846EB" w:rsidRDefault="008846EB">
        <w:pPr>
          <w:pStyle w:val="Header"/>
        </w:pPr>
        <w:r>
          <w:rPr>
            <w:noProof/>
          </w:rPr>
          <mc:AlternateContent>
            <mc:Choice Requires="wps">
              <w:drawing>
                <wp:anchor distT="0" distB="0" distL="114300" distR="114300" simplePos="0" relativeHeight="251656704" behindDoc="1" locked="0" layoutInCell="0" allowOverlap="1" wp14:anchorId="493DF72A" wp14:editId="64A98274">
                  <wp:simplePos x="0" y="0"/>
                  <wp:positionH relativeFrom="margin">
                    <wp:align>center</wp:align>
                  </wp:positionH>
                  <wp:positionV relativeFrom="margin">
                    <wp:align>center</wp:align>
                  </wp:positionV>
                  <wp:extent cx="5237480" cy="3142615"/>
                  <wp:effectExtent l="0" t="0" r="0" b="0"/>
                  <wp:wrapNone/>
                  <wp:docPr id="84" name="PowerPlusWaterMarkObject35783106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846EB" w:rsidRDefault="008846EB" w:rsidP="00F87B92">
                              <w:pPr>
                                <w:jc w:val="center"/>
                                <w:rPr>
                                  <w:szCs w:val="24"/>
                                </w:rPr>
                              </w:pPr>
                              <w:r>
                                <w:rPr>
                                  <w:rFonts w:cs="Calibri"/>
                                  <w:color w:val="C0C0C0"/>
                                  <w:sz w:val="72"/>
                                  <w:szCs w:val="72"/>
                                  <w:lang w:val="en-GB"/>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93DF72A" id="_x0000_t202" coordsize="21600,21600" o:spt="202" path="m,l,21600r21600,l21600,xe">
                  <v:stroke joinstyle="miter"/>
                  <v:path gradientshapeok="t" o:connecttype="rect"/>
                </v:shapetype>
                <v:shape id="PowerPlusWaterMarkObject357831064" o:spid="_x0000_s1027" type="#_x0000_t202" style="position:absolute;margin-left:0;margin-top:0;width:412.4pt;height:247.4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" o:allowincell="f" filled="f" stroked="f">
                  <v:stroke joinstyle="round"/>
                  <o:lock v:ext="edit" rotation="t" aspectratio="t" verticies="t" adjusthandles="t" grouping="t" shapetype="t"/>
                  <v:textbox>
                    <w:txbxContent>
                      <w:p w:rsidR="008846EB" w:rsidRDefault="008846EB" w:rsidP="00F87B92">
                        <w:pPr>
                          <w:jc w:val="center"/>
                          <w:rPr>
                            <w:szCs w:val="24"/>
                          </w:rPr>
                        </w:pPr>
                        <w:r>
                          <w:rPr>
                            <w:rFonts w:cs="Calibri"/>
                            <w:color w:val="C0C0C0"/>
                            <w:sz w:val="72"/>
                            <w:szCs w:val="72"/>
                            <w:lang w:val="en-GB"/>
                            <w14:textFill>
                              <w14:solidFill>
                                <w14:srgbClr w14:val="C0C0C0">
                                  <w14:alpha w14:val="50000"/>
                                </w14:srgbClr>
                              </w14:solidFill>
                            </w14:textFill>
                          </w:rPr>
                          <w:t>DRAFT</w:t>
                        </w:r>
                      </w:p>
                    </w:txbxContent>
                  </v:textbox>
                  <w10:wrap anchorx="margin" anchory="margin"/>
                </v:shape>
              </w:pict>
            </mc:Fallback>
          </mc:AlternateContent>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6EB" w:rsidRDefault="00884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6A5F"/>
    <w:multiLevelType w:val="hybridMultilevel"/>
    <w:tmpl w:val="3C783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5537C9"/>
    <w:multiLevelType w:val="hybridMultilevel"/>
    <w:tmpl w:val="17766D9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2897A17"/>
    <w:multiLevelType w:val="hybridMultilevel"/>
    <w:tmpl w:val="2B76AD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2145E2"/>
    <w:multiLevelType w:val="hybridMultilevel"/>
    <w:tmpl w:val="430A36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34C376F"/>
    <w:multiLevelType w:val="hybridMultilevel"/>
    <w:tmpl w:val="C0D8C6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3B141DC"/>
    <w:multiLevelType w:val="hybridMultilevel"/>
    <w:tmpl w:val="BF4681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E34883"/>
    <w:multiLevelType w:val="hybridMultilevel"/>
    <w:tmpl w:val="353A3D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47937B0"/>
    <w:multiLevelType w:val="hybridMultilevel"/>
    <w:tmpl w:val="9A6ED8B2"/>
    <w:lvl w:ilvl="0" w:tplc="F3B2B808">
      <w:start w:val="1"/>
      <w:numFmt w:val="decimal"/>
      <w:pStyle w:val="Tabletitle"/>
      <w:lvlText w:val="Table %1: "/>
      <w:lvlJc w:val="left"/>
      <w:pPr>
        <w:ind w:left="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9FFAD4F2">
      <w:start w:val="1"/>
      <w:numFmt w:val="lowerLetter"/>
      <w:lvlText w:val="%2)"/>
      <w:lvlJc w:val="left"/>
      <w:pPr>
        <w:tabs>
          <w:tab w:val="num" w:pos="360"/>
        </w:tabs>
        <w:ind w:left="360" w:hanging="360"/>
      </w:pPr>
      <w:rPr>
        <w:rFonts w:hint="default"/>
      </w:rPr>
    </w:lvl>
    <w:lvl w:ilvl="2" w:tplc="C2608E12">
      <w:start w:val="1"/>
      <w:numFmt w:val="lowerRoman"/>
      <w:lvlText w:val="%3)"/>
      <w:lvlJc w:val="left"/>
      <w:pPr>
        <w:tabs>
          <w:tab w:val="num" w:pos="720"/>
        </w:tabs>
        <w:ind w:left="720" w:hanging="360"/>
      </w:pPr>
      <w:rPr>
        <w:rFonts w:hint="default"/>
      </w:rPr>
    </w:lvl>
    <w:lvl w:ilvl="3" w:tplc="C28298F2">
      <w:start w:val="1"/>
      <w:numFmt w:val="decimal"/>
      <w:lvlText w:val="(%4)"/>
      <w:lvlJc w:val="left"/>
      <w:pPr>
        <w:tabs>
          <w:tab w:val="num" w:pos="1080"/>
        </w:tabs>
        <w:ind w:left="1080" w:hanging="360"/>
      </w:pPr>
      <w:rPr>
        <w:rFonts w:hint="default"/>
      </w:rPr>
    </w:lvl>
    <w:lvl w:ilvl="4" w:tplc="E5D60934">
      <w:start w:val="1"/>
      <w:numFmt w:val="lowerLetter"/>
      <w:lvlText w:val="(%5)"/>
      <w:lvlJc w:val="left"/>
      <w:pPr>
        <w:tabs>
          <w:tab w:val="num" w:pos="1440"/>
        </w:tabs>
        <w:ind w:left="1440" w:hanging="360"/>
      </w:pPr>
      <w:rPr>
        <w:rFonts w:hint="default"/>
      </w:rPr>
    </w:lvl>
    <w:lvl w:ilvl="5" w:tplc="86502260">
      <w:start w:val="1"/>
      <w:numFmt w:val="lowerRoman"/>
      <w:lvlText w:val="(%6)"/>
      <w:lvlJc w:val="left"/>
      <w:pPr>
        <w:tabs>
          <w:tab w:val="num" w:pos="1800"/>
        </w:tabs>
        <w:ind w:left="1800" w:hanging="360"/>
      </w:pPr>
      <w:rPr>
        <w:rFonts w:hint="default"/>
      </w:rPr>
    </w:lvl>
    <w:lvl w:ilvl="6" w:tplc="1B5C1722">
      <w:start w:val="1"/>
      <w:numFmt w:val="decimal"/>
      <w:lvlText w:val="%7."/>
      <w:lvlJc w:val="left"/>
      <w:pPr>
        <w:tabs>
          <w:tab w:val="num" w:pos="2160"/>
        </w:tabs>
        <w:ind w:left="2160" w:hanging="360"/>
      </w:pPr>
      <w:rPr>
        <w:rFonts w:hint="default"/>
      </w:rPr>
    </w:lvl>
    <w:lvl w:ilvl="7" w:tplc="D4623FC0">
      <w:start w:val="1"/>
      <w:numFmt w:val="lowerLetter"/>
      <w:lvlText w:val="%8."/>
      <w:lvlJc w:val="left"/>
      <w:pPr>
        <w:tabs>
          <w:tab w:val="num" w:pos="2520"/>
        </w:tabs>
        <w:ind w:left="2520" w:hanging="360"/>
      </w:pPr>
      <w:rPr>
        <w:rFonts w:hint="default"/>
      </w:rPr>
    </w:lvl>
    <w:lvl w:ilvl="8" w:tplc="F86274B0">
      <w:start w:val="1"/>
      <w:numFmt w:val="lowerRoman"/>
      <w:lvlText w:val="%9."/>
      <w:lvlJc w:val="left"/>
      <w:pPr>
        <w:tabs>
          <w:tab w:val="num" w:pos="2880"/>
        </w:tabs>
        <w:ind w:left="2880" w:hanging="360"/>
      </w:pPr>
      <w:rPr>
        <w:rFonts w:hint="default"/>
      </w:rPr>
    </w:lvl>
  </w:abstractNum>
  <w:abstractNum w:abstractNumId="8" w15:restartNumberingAfterBreak="0">
    <w:nsid w:val="05280574"/>
    <w:multiLevelType w:val="hybridMultilevel"/>
    <w:tmpl w:val="D02EF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5925889"/>
    <w:multiLevelType w:val="hybridMultilevel"/>
    <w:tmpl w:val="1690DB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59D1716"/>
    <w:multiLevelType w:val="hybridMultilevel"/>
    <w:tmpl w:val="97866B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5F81931"/>
    <w:multiLevelType w:val="hybridMultilevel"/>
    <w:tmpl w:val="FFFFFFFF"/>
    <w:lvl w:ilvl="0" w:tplc="38825962">
      <w:start w:val="1"/>
      <w:numFmt w:val="bullet"/>
      <w:lvlText w:val="·"/>
      <w:lvlJc w:val="left"/>
      <w:pPr>
        <w:ind w:left="720" w:hanging="360"/>
      </w:pPr>
      <w:rPr>
        <w:rFonts w:ascii="Symbol" w:hAnsi="Symbol" w:hint="default"/>
      </w:rPr>
    </w:lvl>
    <w:lvl w:ilvl="1" w:tplc="6F847964">
      <w:start w:val="1"/>
      <w:numFmt w:val="bullet"/>
      <w:lvlText w:val="o"/>
      <w:lvlJc w:val="left"/>
      <w:pPr>
        <w:ind w:left="1440" w:hanging="360"/>
      </w:pPr>
      <w:rPr>
        <w:rFonts w:ascii="Courier New" w:hAnsi="Courier New" w:hint="default"/>
      </w:rPr>
    </w:lvl>
    <w:lvl w:ilvl="2" w:tplc="4C083316">
      <w:start w:val="1"/>
      <w:numFmt w:val="bullet"/>
      <w:lvlText w:val=""/>
      <w:lvlJc w:val="left"/>
      <w:pPr>
        <w:ind w:left="2160" w:hanging="360"/>
      </w:pPr>
      <w:rPr>
        <w:rFonts w:ascii="Wingdings" w:hAnsi="Wingdings" w:hint="default"/>
      </w:rPr>
    </w:lvl>
    <w:lvl w:ilvl="3" w:tplc="326240B2">
      <w:start w:val="1"/>
      <w:numFmt w:val="bullet"/>
      <w:lvlText w:val=""/>
      <w:lvlJc w:val="left"/>
      <w:pPr>
        <w:ind w:left="2880" w:hanging="360"/>
      </w:pPr>
      <w:rPr>
        <w:rFonts w:ascii="Symbol" w:hAnsi="Symbol" w:hint="default"/>
      </w:rPr>
    </w:lvl>
    <w:lvl w:ilvl="4" w:tplc="52C0E7BC">
      <w:start w:val="1"/>
      <w:numFmt w:val="bullet"/>
      <w:lvlText w:val="o"/>
      <w:lvlJc w:val="left"/>
      <w:pPr>
        <w:ind w:left="3600" w:hanging="360"/>
      </w:pPr>
      <w:rPr>
        <w:rFonts w:ascii="Courier New" w:hAnsi="Courier New" w:hint="default"/>
      </w:rPr>
    </w:lvl>
    <w:lvl w:ilvl="5" w:tplc="C3542584">
      <w:start w:val="1"/>
      <w:numFmt w:val="bullet"/>
      <w:lvlText w:val=""/>
      <w:lvlJc w:val="left"/>
      <w:pPr>
        <w:ind w:left="4320" w:hanging="360"/>
      </w:pPr>
      <w:rPr>
        <w:rFonts w:ascii="Wingdings" w:hAnsi="Wingdings" w:hint="default"/>
      </w:rPr>
    </w:lvl>
    <w:lvl w:ilvl="6" w:tplc="856E4EA6">
      <w:start w:val="1"/>
      <w:numFmt w:val="bullet"/>
      <w:lvlText w:val=""/>
      <w:lvlJc w:val="left"/>
      <w:pPr>
        <w:ind w:left="5040" w:hanging="360"/>
      </w:pPr>
      <w:rPr>
        <w:rFonts w:ascii="Symbol" w:hAnsi="Symbol" w:hint="default"/>
      </w:rPr>
    </w:lvl>
    <w:lvl w:ilvl="7" w:tplc="CF208BFA">
      <w:start w:val="1"/>
      <w:numFmt w:val="bullet"/>
      <w:lvlText w:val="o"/>
      <w:lvlJc w:val="left"/>
      <w:pPr>
        <w:ind w:left="5760" w:hanging="360"/>
      </w:pPr>
      <w:rPr>
        <w:rFonts w:ascii="Courier New" w:hAnsi="Courier New" w:hint="default"/>
      </w:rPr>
    </w:lvl>
    <w:lvl w:ilvl="8" w:tplc="935A5C92">
      <w:start w:val="1"/>
      <w:numFmt w:val="bullet"/>
      <w:lvlText w:val=""/>
      <w:lvlJc w:val="left"/>
      <w:pPr>
        <w:ind w:left="6480" w:hanging="360"/>
      </w:pPr>
      <w:rPr>
        <w:rFonts w:ascii="Wingdings" w:hAnsi="Wingdings" w:hint="default"/>
      </w:rPr>
    </w:lvl>
  </w:abstractNum>
  <w:abstractNum w:abstractNumId="12" w15:restartNumberingAfterBreak="0">
    <w:nsid w:val="0609313B"/>
    <w:multiLevelType w:val="hybridMultilevel"/>
    <w:tmpl w:val="AE6AA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6244311"/>
    <w:multiLevelType w:val="hybridMultilevel"/>
    <w:tmpl w:val="1BFABD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6AD3E5A"/>
    <w:multiLevelType w:val="hybridMultilevel"/>
    <w:tmpl w:val="7D56F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77961A2"/>
    <w:multiLevelType w:val="hybridMultilevel"/>
    <w:tmpl w:val="A2E249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7C83E4A"/>
    <w:multiLevelType w:val="hybridMultilevel"/>
    <w:tmpl w:val="A822A7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0865359A"/>
    <w:multiLevelType w:val="hybridMultilevel"/>
    <w:tmpl w:val="5ABC5AC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8E73BEF"/>
    <w:multiLevelType w:val="hybridMultilevel"/>
    <w:tmpl w:val="7DC6A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93E2E41"/>
    <w:multiLevelType w:val="hybridMultilevel"/>
    <w:tmpl w:val="5F48B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9437819"/>
    <w:multiLevelType w:val="hybridMultilevel"/>
    <w:tmpl w:val="62D4C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094E35E4"/>
    <w:multiLevelType w:val="hybridMultilevel"/>
    <w:tmpl w:val="4EA0B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09B474D7"/>
    <w:multiLevelType w:val="hybridMultilevel"/>
    <w:tmpl w:val="AAF056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09B811ED"/>
    <w:multiLevelType w:val="hybridMultilevel"/>
    <w:tmpl w:val="AEF686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0ABF7555"/>
    <w:multiLevelType w:val="hybridMultilevel"/>
    <w:tmpl w:val="0200F3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0ACD0284"/>
    <w:multiLevelType w:val="hybridMultilevel"/>
    <w:tmpl w:val="7F762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0B864FEA"/>
    <w:multiLevelType w:val="hybridMultilevel"/>
    <w:tmpl w:val="052E0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0B9E5511"/>
    <w:multiLevelType w:val="hybridMultilevel"/>
    <w:tmpl w:val="4D368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0BE3406E"/>
    <w:multiLevelType w:val="hybridMultilevel"/>
    <w:tmpl w:val="D56AD0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0C4C68A9"/>
    <w:multiLevelType w:val="hybridMultilevel"/>
    <w:tmpl w:val="D5827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0CEE4AB4"/>
    <w:multiLevelType w:val="hybridMultilevel"/>
    <w:tmpl w:val="ABA2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0D233B3B"/>
    <w:multiLevelType w:val="hybridMultilevel"/>
    <w:tmpl w:val="EE3AB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0D495DA3"/>
    <w:multiLevelType w:val="hybridMultilevel"/>
    <w:tmpl w:val="E61AF6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0D4B1A09"/>
    <w:multiLevelType w:val="hybridMultilevel"/>
    <w:tmpl w:val="E222F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0E050242"/>
    <w:multiLevelType w:val="hybridMultilevel"/>
    <w:tmpl w:val="837E0C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0E44078F"/>
    <w:multiLevelType w:val="hybridMultilevel"/>
    <w:tmpl w:val="E6A874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0EAE6B5A"/>
    <w:multiLevelType w:val="hybridMultilevel"/>
    <w:tmpl w:val="671C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0ED667FC"/>
    <w:multiLevelType w:val="hybridMultilevel"/>
    <w:tmpl w:val="7826E4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0EE945E5"/>
    <w:multiLevelType w:val="hybridMultilevel"/>
    <w:tmpl w:val="26D637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0F0D10AD"/>
    <w:multiLevelType w:val="hybridMultilevel"/>
    <w:tmpl w:val="FFFFFFFF"/>
    <w:lvl w:ilvl="0" w:tplc="E0D8797A">
      <w:start w:val="1"/>
      <w:numFmt w:val="bullet"/>
      <w:lvlText w:val="·"/>
      <w:lvlJc w:val="left"/>
      <w:pPr>
        <w:ind w:left="720" w:hanging="360"/>
      </w:pPr>
      <w:rPr>
        <w:rFonts w:ascii="Symbol" w:hAnsi="Symbol" w:hint="default"/>
      </w:rPr>
    </w:lvl>
    <w:lvl w:ilvl="1" w:tplc="CF6E514E">
      <w:start w:val="1"/>
      <w:numFmt w:val="bullet"/>
      <w:lvlText w:val="o"/>
      <w:lvlJc w:val="left"/>
      <w:pPr>
        <w:ind w:left="1440" w:hanging="360"/>
      </w:pPr>
      <w:rPr>
        <w:rFonts w:ascii="Courier New" w:hAnsi="Courier New" w:hint="default"/>
      </w:rPr>
    </w:lvl>
    <w:lvl w:ilvl="2" w:tplc="AA32F29E">
      <w:start w:val="1"/>
      <w:numFmt w:val="bullet"/>
      <w:lvlText w:val=""/>
      <w:lvlJc w:val="left"/>
      <w:pPr>
        <w:ind w:left="2160" w:hanging="360"/>
      </w:pPr>
      <w:rPr>
        <w:rFonts w:ascii="Wingdings" w:hAnsi="Wingdings" w:hint="default"/>
      </w:rPr>
    </w:lvl>
    <w:lvl w:ilvl="3" w:tplc="37F06F54">
      <w:start w:val="1"/>
      <w:numFmt w:val="bullet"/>
      <w:lvlText w:val=""/>
      <w:lvlJc w:val="left"/>
      <w:pPr>
        <w:ind w:left="2880" w:hanging="360"/>
      </w:pPr>
      <w:rPr>
        <w:rFonts w:ascii="Symbol" w:hAnsi="Symbol" w:hint="default"/>
      </w:rPr>
    </w:lvl>
    <w:lvl w:ilvl="4" w:tplc="4A2E5754">
      <w:start w:val="1"/>
      <w:numFmt w:val="bullet"/>
      <w:lvlText w:val="o"/>
      <w:lvlJc w:val="left"/>
      <w:pPr>
        <w:ind w:left="3600" w:hanging="360"/>
      </w:pPr>
      <w:rPr>
        <w:rFonts w:ascii="Courier New" w:hAnsi="Courier New" w:hint="default"/>
      </w:rPr>
    </w:lvl>
    <w:lvl w:ilvl="5" w:tplc="B2BA22BE">
      <w:start w:val="1"/>
      <w:numFmt w:val="bullet"/>
      <w:lvlText w:val=""/>
      <w:lvlJc w:val="left"/>
      <w:pPr>
        <w:ind w:left="4320" w:hanging="360"/>
      </w:pPr>
      <w:rPr>
        <w:rFonts w:ascii="Wingdings" w:hAnsi="Wingdings" w:hint="default"/>
      </w:rPr>
    </w:lvl>
    <w:lvl w:ilvl="6" w:tplc="58ECD654">
      <w:start w:val="1"/>
      <w:numFmt w:val="bullet"/>
      <w:lvlText w:val=""/>
      <w:lvlJc w:val="left"/>
      <w:pPr>
        <w:ind w:left="5040" w:hanging="360"/>
      </w:pPr>
      <w:rPr>
        <w:rFonts w:ascii="Symbol" w:hAnsi="Symbol" w:hint="default"/>
      </w:rPr>
    </w:lvl>
    <w:lvl w:ilvl="7" w:tplc="108E72DA">
      <w:start w:val="1"/>
      <w:numFmt w:val="bullet"/>
      <w:lvlText w:val="o"/>
      <w:lvlJc w:val="left"/>
      <w:pPr>
        <w:ind w:left="5760" w:hanging="360"/>
      </w:pPr>
      <w:rPr>
        <w:rFonts w:ascii="Courier New" w:hAnsi="Courier New" w:hint="default"/>
      </w:rPr>
    </w:lvl>
    <w:lvl w:ilvl="8" w:tplc="A67099B8">
      <w:start w:val="1"/>
      <w:numFmt w:val="bullet"/>
      <w:lvlText w:val=""/>
      <w:lvlJc w:val="left"/>
      <w:pPr>
        <w:ind w:left="6480" w:hanging="360"/>
      </w:pPr>
      <w:rPr>
        <w:rFonts w:ascii="Wingdings" w:hAnsi="Wingdings" w:hint="default"/>
      </w:rPr>
    </w:lvl>
  </w:abstractNum>
  <w:abstractNum w:abstractNumId="40" w15:restartNumberingAfterBreak="0">
    <w:nsid w:val="0F334D75"/>
    <w:multiLevelType w:val="hybridMultilevel"/>
    <w:tmpl w:val="FFFFFFFF"/>
    <w:lvl w:ilvl="0" w:tplc="AC12D418">
      <w:start w:val="1"/>
      <w:numFmt w:val="bullet"/>
      <w:lvlText w:val="·"/>
      <w:lvlJc w:val="left"/>
      <w:pPr>
        <w:ind w:left="720" w:hanging="360"/>
      </w:pPr>
      <w:rPr>
        <w:rFonts w:ascii="Symbol" w:hAnsi="Symbol" w:hint="default"/>
      </w:rPr>
    </w:lvl>
    <w:lvl w:ilvl="1" w:tplc="55F85D12">
      <w:start w:val="1"/>
      <w:numFmt w:val="bullet"/>
      <w:lvlText w:val="o"/>
      <w:lvlJc w:val="left"/>
      <w:pPr>
        <w:ind w:left="1440" w:hanging="360"/>
      </w:pPr>
      <w:rPr>
        <w:rFonts w:ascii="Courier New" w:hAnsi="Courier New" w:hint="default"/>
      </w:rPr>
    </w:lvl>
    <w:lvl w:ilvl="2" w:tplc="044A0634">
      <w:start w:val="1"/>
      <w:numFmt w:val="bullet"/>
      <w:lvlText w:val=""/>
      <w:lvlJc w:val="left"/>
      <w:pPr>
        <w:ind w:left="2160" w:hanging="360"/>
      </w:pPr>
      <w:rPr>
        <w:rFonts w:ascii="Wingdings" w:hAnsi="Wingdings" w:hint="default"/>
      </w:rPr>
    </w:lvl>
    <w:lvl w:ilvl="3" w:tplc="723606E8">
      <w:start w:val="1"/>
      <w:numFmt w:val="bullet"/>
      <w:lvlText w:val=""/>
      <w:lvlJc w:val="left"/>
      <w:pPr>
        <w:ind w:left="2880" w:hanging="360"/>
      </w:pPr>
      <w:rPr>
        <w:rFonts w:ascii="Symbol" w:hAnsi="Symbol" w:hint="default"/>
      </w:rPr>
    </w:lvl>
    <w:lvl w:ilvl="4" w:tplc="41E687B0">
      <w:start w:val="1"/>
      <w:numFmt w:val="bullet"/>
      <w:lvlText w:val="o"/>
      <w:lvlJc w:val="left"/>
      <w:pPr>
        <w:ind w:left="3600" w:hanging="360"/>
      </w:pPr>
      <w:rPr>
        <w:rFonts w:ascii="Courier New" w:hAnsi="Courier New" w:hint="default"/>
      </w:rPr>
    </w:lvl>
    <w:lvl w:ilvl="5" w:tplc="D2128B94">
      <w:start w:val="1"/>
      <w:numFmt w:val="bullet"/>
      <w:lvlText w:val=""/>
      <w:lvlJc w:val="left"/>
      <w:pPr>
        <w:ind w:left="4320" w:hanging="360"/>
      </w:pPr>
      <w:rPr>
        <w:rFonts w:ascii="Wingdings" w:hAnsi="Wingdings" w:hint="default"/>
      </w:rPr>
    </w:lvl>
    <w:lvl w:ilvl="6" w:tplc="5720F452">
      <w:start w:val="1"/>
      <w:numFmt w:val="bullet"/>
      <w:lvlText w:val=""/>
      <w:lvlJc w:val="left"/>
      <w:pPr>
        <w:ind w:left="5040" w:hanging="360"/>
      </w:pPr>
      <w:rPr>
        <w:rFonts w:ascii="Symbol" w:hAnsi="Symbol" w:hint="default"/>
      </w:rPr>
    </w:lvl>
    <w:lvl w:ilvl="7" w:tplc="78BC6B26">
      <w:start w:val="1"/>
      <w:numFmt w:val="bullet"/>
      <w:lvlText w:val="o"/>
      <w:lvlJc w:val="left"/>
      <w:pPr>
        <w:ind w:left="5760" w:hanging="360"/>
      </w:pPr>
      <w:rPr>
        <w:rFonts w:ascii="Courier New" w:hAnsi="Courier New" w:hint="default"/>
      </w:rPr>
    </w:lvl>
    <w:lvl w:ilvl="8" w:tplc="EE9C7894">
      <w:start w:val="1"/>
      <w:numFmt w:val="bullet"/>
      <w:lvlText w:val=""/>
      <w:lvlJc w:val="left"/>
      <w:pPr>
        <w:ind w:left="6480" w:hanging="360"/>
      </w:pPr>
      <w:rPr>
        <w:rFonts w:ascii="Wingdings" w:hAnsi="Wingdings" w:hint="default"/>
      </w:rPr>
    </w:lvl>
  </w:abstractNum>
  <w:abstractNum w:abstractNumId="41" w15:restartNumberingAfterBreak="0">
    <w:nsid w:val="10181D0B"/>
    <w:multiLevelType w:val="hybridMultilevel"/>
    <w:tmpl w:val="D4A2F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10C506D5"/>
    <w:multiLevelType w:val="hybridMultilevel"/>
    <w:tmpl w:val="74DA6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110B7F42"/>
    <w:multiLevelType w:val="hybridMultilevel"/>
    <w:tmpl w:val="FFFFFFFF"/>
    <w:lvl w:ilvl="0" w:tplc="CE6A4FA6">
      <w:start w:val="1"/>
      <w:numFmt w:val="bullet"/>
      <w:lvlText w:val="·"/>
      <w:lvlJc w:val="left"/>
      <w:pPr>
        <w:ind w:left="720" w:hanging="360"/>
      </w:pPr>
      <w:rPr>
        <w:rFonts w:ascii="Symbol" w:hAnsi="Symbol" w:hint="default"/>
      </w:rPr>
    </w:lvl>
    <w:lvl w:ilvl="1" w:tplc="23CE17FE">
      <w:start w:val="1"/>
      <w:numFmt w:val="bullet"/>
      <w:lvlText w:val="o"/>
      <w:lvlJc w:val="left"/>
      <w:pPr>
        <w:ind w:left="1440" w:hanging="360"/>
      </w:pPr>
      <w:rPr>
        <w:rFonts w:ascii="Courier New" w:hAnsi="Courier New" w:hint="default"/>
      </w:rPr>
    </w:lvl>
    <w:lvl w:ilvl="2" w:tplc="F0C8AC66">
      <w:start w:val="1"/>
      <w:numFmt w:val="bullet"/>
      <w:lvlText w:val=""/>
      <w:lvlJc w:val="left"/>
      <w:pPr>
        <w:ind w:left="2160" w:hanging="360"/>
      </w:pPr>
      <w:rPr>
        <w:rFonts w:ascii="Wingdings" w:hAnsi="Wingdings" w:hint="default"/>
      </w:rPr>
    </w:lvl>
    <w:lvl w:ilvl="3" w:tplc="591E5B28">
      <w:start w:val="1"/>
      <w:numFmt w:val="bullet"/>
      <w:lvlText w:val=""/>
      <w:lvlJc w:val="left"/>
      <w:pPr>
        <w:ind w:left="2880" w:hanging="360"/>
      </w:pPr>
      <w:rPr>
        <w:rFonts w:ascii="Symbol" w:hAnsi="Symbol" w:hint="default"/>
      </w:rPr>
    </w:lvl>
    <w:lvl w:ilvl="4" w:tplc="A2DEC474">
      <w:start w:val="1"/>
      <w:numFmt w:val="bullet"/>
      <w:lvlText w:val="o"/>
      <w:lvlJc w:val="left"/>
      <w:pPr>
        <w:ind w:left="3600" w:hanging="360"/>
      </w:pPr>
      <w:rPr>
        <w:rFonts w:ascii="Courier New" w:hAnsi="Courier New" w:hint="default"/>
      </w:rPr>
    </w:lvl>
    <w:lvl w:ilvl="5" w:tplc="166EFFAE">
      <w:start w:val="1"/>
      <w:numFmt w:val="bullet"/>
      <w:lvlText w:val=""/>
      <w:lvlJc w:val="left"/>
      <w:pPr>
        <w:ind w:left="4320" w:hanging="360"/>
      </w:pPr>
      <w:rPr>
        <w:rFonts w:ascii="Wingdings" w:hAnsi="Wingdings" w:hint="default"/>
      </w:rPr>
    </w:lvl>
    <w:lvl w:ilvl="6" w:tplc="4DC288BA">
      <w:start w:val="1"/>
      <w:numFmt w:val="bullet"/>
      <w:lvlText w:val=""/>
      <w:lvlJc w:val="left"/>
      <w:pPr>
        <w:ind w:left="5040" w:hanging="360"/>
      </w:pPr>
      <w:rPr>
        <w:rFonts w:ascii="Symbol" w:hAnsi="Symbol" w:hint="default"/>
      </w:rPr>
    </w:lvl>
    <w:lvl w:ilvl="7" w:tplc="C47A092A">
      <w:start w:val="1"/>
      <w:numFmt w:val="bullet"/>
      <w:lvlText w:val="o"/>
      <w:lvlJc w:val="left"/>
      <w:pPr>
        <w:ind w:left="5760" w:hanging="360"/>
      </w:pPr>
      <w:rPr>
        <w:rFonts w:ascii="Courier New" w:hAnsi="Courier New" w:hint="default"/>
      </w:rPr>
    </w:lvl>
    <w:lvl w:ilvl="8" w:tplc="E0829B4E">
      <w:start w:val="1"/>
      <w:numFmt w:val="bullet"/>
      <w:lvlText w:val=""/>
      <w:lvlJc w:val="left"/>
      <w:pPr>
        <w:ind w:left="6480" w:hanging="360"/>
      </w:pPr>
      <w:rPr>
        <w:rFonts w:ascii="Wingdings" w:hAnsi="Wingdings" w:hint="default"/>
      </w:rPr>
    </w:lvl>
  </w:abstractNum>
  <w:abstractNum w:abstractNumId="44" w15:restartNumberingAfterBreak="0">
    <w:nsid w:val="1191141B"/>
    <w:multiLevelType w:val="hybridMultilevel"/>
    <w:tmpl w:val="F1B43B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11A34CC2"/>
    <w:multiLevelType w:val="hybridMultilevel"/>
    <w:tmpl w:val="FC8C4B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124C11A7"/>
    <w:multiLevelType w:val="hybridMultilevel"/>
    <w:tmpl w:val="17D83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12632619"/>
    <w:multiLevelType w:val="hybridMultilevel"/>
    <w:tmpl w:val="78F00D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128F3435"/>
    <w:multiLevelType w:val="hybridMultilevel"/>
    <w:tmpl w:val="3814B0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12F4536D"/>
    <w:multiLevelType w:val="hybridMultilevel"/>
    <w:tmpl w:val="6F521200"/>
    <w:lvl w:ilvl="0" w:tplc="FB78C55A">
      <w:start w:val="1"/>
      <w:numFmt w:val="bullet"/>
      <w:pStyle w:val="BulletLast"/>
      <w:lvlText w:val=""/>
      <w:lvlJc w:val="left"/>
      <w:pPr>
        <w:ind w:left="36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2FC12BB"/>
    <w:multiLevelType w:val="hybridMultilevel"/>
    <w:tmpl w:val="A0985E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133465C0"/>
    <w:multiLevelType w:val="hybridMultilevel"/>
    <w:tmpl w:val="FFFFFFFF"/>
    <w:lvl w:ilvl="0" w:tplc="6CA4694A">
      <w:start w:val="1"/>
      <w:numFmt w:val="bullet"/>
      <w:lvlText w:val="·"/>
      <w:lvlJc w:val="left"/>
      <w:pPr>
        <w:ind w:left="720" w:hanging="360"/>
      </w:pPr>
      <w:rPr>
        <w:rFonts w:ascii="Symbol" w:hAnsi="Symbol" w:hint="default"/>
      </w:rPr>
    </w:lvl>
    <w:lvl w:ilvl="1" w:tplc="D51421DC">
      <w:start w:val="1"/>
      <w:numFmt w:val="bullet"/>
      <w:lvlText w:val="o"/>
      <w:lvlJc w:val="left"/>
      <w:pPr>
        <w:ind w:left="1440" w:hanging="360"/>
      </w:pPr>
      <w:rPr>
        <w:rFonts w:ascii="Courier New" w:hAnsi="Courier New" w:hint="default"/>
      </w:rPr>
    </w:lvl>
    <w:lvl w:ilvl="2" w:tplc="73ECA3D4">
      <w:start w:val="1"/>
      <w:numFmt w:val="bullet"/>
      <w:lvlText w:val=""/>
      <w:lvlJc w:val="left"/>
      <w:pPr>
        <w:ind w:left="2160" w:hanging="360"/>
      </w:pPr>
      <w:rPr>
        <w:rFonts w:ascii="Wingdings" w:hAnsi="Wingdings" w:hint="default"/>
      </w:rPr>
    </w:lvl>
    <w:lvl w:ilvl="3" w:tplc="A20082EC">
      <w:start w:val="1"/>
      <w:numFmt w:val="bullet"/>
      <w:lvlText w:val=""/>
      <w:lvlJc w:val="left"/>
      <w:pPr>
        <w:ind w:left="2880" w:hanging="360"/>
      </w:pPr>
      <w:rPr>
        <w:rFonts w:ascii="Symbol" w:hAnsi="Symbol" w:hint="default"/>
      </w:rPr>
    </w:lvl>
    <w:lvl w:ilvl="4" w:tplc="F8187384">
      <w:start w:val="1"/>
      <w:numFmt w:val="bullet"/>
      <w:lvlText w:val="o"/>
      <w:lvlJc w:val="left"/>
      <w:pPr>
        <w:ind w:left="3600" w:hanging="360"/>
      </w:pPr>
      <w:rPr>
        <w:rFonts w:ascii="Courier New" w:hAnsi="Courier New" w:hint="default"/>
      </w:rPr>
    </w:lvl>
    <w:lvl w:ilvl="5" w:tplc="01988E34">
      <w:start w:val="1"/>
      <w:numFmt w:val="bullet"/>
      <w:lvlText w:val=""/>
      <w:lvlJc w:val="left"/>
      <w:pPr>
        <w:ind w:left="4320" w:hanging="360"/>
      </w:pPr>
      <w:rPr>
        <w:rFonts w:ascii="Wingdings" w:hAnsi="Wingdings" w:hint="default"/>
      </w:rPr>
    </w:lvl>
    <w:lvl w:ilvl="6" w:tplc="CD4C93B0">
      <w:start w:val="1"/>
      <w:numFmt w:val="bullet"/>
      <w:lvlText w:val=""/>
      <w:lvlJc w:val="left"/>
      <w:pPr>
        <w:ind w:left="5040" w:hanging="360"/>
      </w:pPr>
      <w:rPr>
        <w:rFonts w:ascii="Symbol" w:hAnsi="Symbol" w:hint="default"/>
      </w:rPr>
    </w:lvl>
    <w:lvl w:ilvl="7" w:tplc="5268BB24">
      <w:start w:val="1"/>
      <w:numFmt w:val="bullet"/>
      <w:lvlText w:val="o"/>
      <w:lvlJc w:val="left"/>
      <w:pPr>
        <w:ind w:left="5760" w:hanging="360"/>
      </w:pPr>
      <w:rPr>
        <w:rFonts w:ascii="Courier New" w:hAnsi="Courier New" w:hint="default"/>
      </w:rPr>
    </w:lvl>
    <w:lvl w:ilvl="8" w:tplc="0C822CBC">
      <w:start w:val="1"/>
      <w:numFmt w:val="bullet"/>
      <w:lvlText w:val=""/>
      <w:lvlJc w:val="left"/>
      <w:pPr>
        <w:ind w:left="6480" w:hanging="360"/>
      </w:pPr>
      <w:rPr>
        <w:rFonts w:ascii="Wingdings" w:hAnsi="Wingdings" w:hint="default"/>
      </w:rPr>
    </w:lvl>
  </w:abstractNum>
  <w:abstractNum w:abstractNumId="52" w15:restartNumberingAfterBreak="0">
    <w:nsid w:val="135C73D0"/>
    <w:multiLevelType w:val="hybridMultilevel"/>
    <w:tmpl w:val="A94C7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362411D"/>
    <w:multiLevelType w:val="hybridMultilevel"/>
    <w:tmpl w:val="D4507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13943F97"/>
    <w:multiLevelType w:val="hybridMultilevel"/>
    <w:tmpl w:val="66B6C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13A54AB0"/>
    <w:multiLevelType w:val="hybridMultilevel"/>
    <w:tmpl w:val="F8AC61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13FA06B0"/>
    <w:multiLevelType w:val="hybridMultilevel"/>
    <w:tmpl w:val="8BE429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14AD67AC"/>
    <w:multiLevelType w:val="hybridMultilevel"/>
    <w:tmpl w:val="5A18E1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159D6034"/>
    <w:multiLevelType w:val="hybridMultilevel"/>
    <w:tmpl w:val="FFFFFFFF"/>
    <w:lvl w:ilvl="0" w:tplc="0804CAD4">
      <w:start w:val="1"/>
      <w:numFmt w:val="bullet"/>
      <w:lvlText w:val="·"/>
      <w:lvlJc w:val="left"/>
      <w:pPr>
        <w:ind w:left="720" w:hanging="360"/>
      </w:pPr>
      <w:rPr>
        <w:rFonts w:ascii="Symbol" w:hAnsi="Symbol" w:hint="default"/>
      </w:rPr>
    </w:lvl>
    <w:lvl w:ilvl="1" w:tplc="CD7A352A">
      <w:start w:val="1"/>
      <w:numFmt w:val="bullet"/>
      <w:lvlText w:val="o"/>
      <w:lvlJc w:val="left"/>
      <w:pPr>
        <w:ind w:left="1440" w:hanging="360"/>
      </w:pPr>
      <w:rPr>
        <w:rFonts w:ascii="Courier New" w:hAnsi="Courier New" w:hint="default"/>
      </w:rPr>
    </w:lvl>
    <w:lvl w:ilvl="2" w:tplc="DC006E6E">
      <w:start w:val="1"/>
      <w:numFmt w:val="bullet"/>
      <w:lvlText w:val=""/>
      <w:lvlJc w:val="left"/>
      <w:pPr>
        <w:ind w:left="2160" w:hanging="360"/>
      </w:pPr>
      <w:rPr>
        <w:rFonts w:ascii="Wingdings" w:hAnsi="Wingdings" w:hint="default"/>
      </w:rPr>
    </w:lvl>
    <w:lvl w:ilvl="3" w:tplc="0C1CF53C">
      <w:start w:val="1"/>
      <w:numFmt w:val="bullet"/>
      <w:lvlText w:val=""/>
      <w:lvlJc w:val="left"/>
      <w:pPr>
        <w:ind w:left="2880" w:hanging="360"/>
      </w:pPr>
      <w:rPr>
        <w:rFonts w:ascii="Symbol" w:hAnsi="Symbol" w:hint="default"/>
      </w:rPr>
    </w:lvl>
    <w:lvl w:ilvl="4" w:tplc="8E4C8904">
      <w:start w:val="1"/>
      <w:numFmt w:val="bullet"/>
      <w:lvlText w:val="o"/>
      <w:lvlJc w:val="left"/>
      <w:pPr>
        <w:ind w:left="3600" w:hanging="360"/>
      </w:pPr>
      <w:rPr>
        <w:rFonts w:ascii="Courier New" w:hAnsi="Courier New" w:hint="default"/>
      </w:rPr>
    </w:lvl>
    <w:lvl w:ilvl="5" w:tplc="BDF6FC0E">
      <w:start w:val="1"/>
      <w:numFmt w:val="bullet"/>
      <w:lvlText w:val=""/>
      <w:lvlJc w:val="left"/>
      <w:pPr>
        <w:ind w:left="4320" w:hanging="360"/>
      </w:pPr>
      <w:rPr>
        <w:rFonts w:ascii="Wingdings" w:hAnsi="Wingdings" w:hint="default"/>
      </w:rPr>
    </w:lvl>
    <w:lvl w:ilvl="6" w:tplc="2A60111C">
      <w:start w:val="1"/>
      <w:numFmt w:val="bullet"/>
      <w:lvlText w:val=""/>
      <w:lvlJc w:val="left"/>
      <w:pPr>
        <w:ind w:left="5040" w:hanging="360"/>
      </w:pPr>
      <w:rPr>
        <w:rFonts w:ascii="Symbol" w:hAnsi="Symbol" w:hint="default"/>
      </w:rPr>
    </w:lvl>
    <w:lvl w:ilvl="7" w:tplc="9B8610BE">
      <w:start w:val="1"/>
      <w:numFmt w:val="bullet"/>
      <w:lvlText w:val="o"/>
      <w:lvlJc w:val="left"/>
      <w:pPr>
        <w:ind w:left="5760" w:hanging="360"/>
      </w:pPr>
      <w:rPr>
        <w:rFonts w:ascii="Courier New" w:hAnsi="Courier New" w:hint="default"/>
      </w:rPr>
    </w:lvl>
    <w:lvl w:ilvl="8" w:tplc="937EB292">
      <w:start w:val="1"/>
      <w:numFmt w:val="bullet"/>
      <w:lvlText w:val=""/>
      <w:lvlJc w:val="left"/>
      <w:pPr>
        <w:ind w:left="6480" w:hanging="360"/>
      </w:pPr>
      <w:rPr>
        <w:rFonts w:ascii="Wingdings" w:hAnsi="Wingdings" w:hint="default"/>
      </w:rPr>
    </w:lvl>
  </w:abstractNum>
  <w:abstractNum w:abstractNumId="59" w15:restartNumberingAfterBreak="0">
    <w:nsid w:val="1617257F"/>
    <w:multiLevelType w:val="hybridMultilevel"/>
    <w:tmpl w:val="7B9EBE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170D0E87"/>
    <w:multiLevelType w:val="hybridMultilevel"/>
    <w:tmpl w:val="E3D06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170F4AD2"/>
    <w:multiLevelType w:val="hybridMultilevel"/>
    <w:tmpl w:val="185A9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179C025A"/>
    <w:multiLevelType w:val="hybridMultilevel"/>
    <w:tmpl w:val="A7F037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1A584AED"/>
    <w:multiLevelType w:val="hybridMultilevel"/>
    <w:tmpl w:val="662AE1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1B6779F1"/>
    <w:multiLevelType w:val="hybridMultilevel"/>
    <w:tmpl w:val="C6380F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1BE12B27"/>
    <w:multiLevelType w:val="hybridMultilevel"/>
    <w:tmpl w:val="69741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1C843B58"/>
    <w:multiLevelType w:val="hybridMultilevel"/>
    <w:tmpl w:val="C3EA64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1C867F9A"/>
    <w:multiLevelType w:val="hybridMultilevel"/>
    <w:tmpl w:val="123E4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1D2D015B"/>
    <w:multiLevelType w:val="hybridMultilevel"/>
    <w:tmpl w:val="75A6F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1D92337B"/>
    <w:multiLevelType w:val="hybridMultilevel"/>
    <w:tmpl w:val="5C0CC0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1FFB1758"/>
    <w:multiLevelType w:val="hybridMultilevel"/>
    <w:tmpl w:val="FFFFFFFF"/>
    <w:lvl w:ilvl="0" w:tplc="77A20446">
      <w:start w:val="1"/>
      <w:numFmt w:val="bullet"/>
      <w:lvlText w:val="·"/>
      <w:lvlJc w:val="left"/>
      <w:pPr>
        <w:ind w:left="720" w:hanging="360"/>
      </w:pPr>
      <w:rPr>
        <w:rFonts w:ascii="Symbol" w:hAnsi="Symbol" w:hint="default"/>
      </w:rPr>
    </w:lvl>
    <w:lvl w:ilvl="1" w:tplc="54F481CE">
      <w:start w:val="1"/>
      <w:numFmt w:val="bullet"/>
      <w:lvlText w:val="o"/>
      <w:lvlJc w:val="left"/>
      <w:pPr>
        <w:ind w:left="1440" w:hanging="360"/>
      </w:pPr>
      <w:rPr>
        <w:rFonts w:ascii="Courier New" w:hAnsi="Courier New" w:hint="default"/>
      </w:rPr>
    </w:lvl>
    <w:lvl w:ilvl="2" w:tplc="39DAB498">
      <w:start w:val="1"/>
      <w:numFmt w:val="bullet"/>
      <w:lvlText w:val=""/>
      <w:lvlJc w:val="left"/>
      <w:pPr>
        <w:ind w:left="2160" w:hanging="360"/>
      </w:pPr>
      <w:rPr>
        <w:rFonts w:ascii="Wingdings" w:hAnsi="Wingdings" w:hint="default"/>
      </w:rPr>
    </w:lvl>
    <w:lvl w:ilvl="3" w:tplc="AF84FFD2">
      <w:start w:val="1"/>
      <w:numFmt w:val="bullet"/>
      <w:lvlText w:val=""/>
      <w:lvlJc w:val="left"/>
      <w:pPr>
        <w:ind w:left="2880" w:hanging="360"/>
      </w:pPr>
      <w:rPr>
        <w:rFonts w:ascii="Symbol" w:hAnsi="Symbol" w:hint="default"/>
      </w:rPr>
    </w:lvl>
    <w:lvl w:ilvl="4" w:tplc="B1F8FC1A">
      <w:start w:val="1"/>
      <w:numFmt w:val="bullet"/>
      <w:lvlText w:val="o"/>
      <w:lvlJc w:val="left"/>
      <w:pPr>
        <w:ind w:left="3600" w:hanging="360"/>
      </w:pPr>
      <w:rPr>
        <w:rFonts w:ascii="Courier New" w:hAnsi="Courier New" w:hint="default"/>
      </w:rPr>
    </w:lvl>
    <w:lvl w:ilvl="5" w:tplc="1772F684">
      <w:start w:val="1"/>
      <w:numFmt w:val="bullet"/>
      <w:lvlText w:val=""/>
      <w:lvlJc w:val="left"/>
      <w:pPr>
        <w:ind w:left="4320" w:hanging="360"/>
      </w:pPr>
      <w:rPr>
        <w:rFonts w:ascii="Wingdings" w:hAnsi="Wingdings" w:hint="default"/>
      </w:rPr>
    </w:lvl>
    <w:lvl w:ilvl="6" w:tplc="CFBA877A">
      <w:start w:val="1"/>
      <w:numFmt w:val="bullet"/>
      <w:lvlText w:val=""/>
      <w:lvlJc w:val="left"/>
      <w:pPr>
        <w:ind w:left="5040" w:hanging="360"/>
      </w:pPr>
      <w:rPr>
        <w:rFonts w:ascii="Symbol" w:hAnsi="Symbol" w:hint="default"/>
      </w:rPr>
    </w:lvl>
    <w:lvl w:ilvl="7" w:tplc="C21A0D54">
      <w:start w:val="1"/>
      <w:numFmt w:val="bullet"/>
      <w:lvlText w:val="o"/>
      <w:lvlJc w:val="left"/>
      <w:pPr>
        <w:ind w:left="5760" w:hanging="360"/>
      </w:pPr>
      <w:rPr>
        <w:rFonts w:ascii="Courier New" w:hAnsi="Courier New" w:hint="default"/>
      </w:rPr>
    </w:lvl>
    <w:lvl w:ilvl="8" w:tplc="CE483788">
      <w:start w:val="1"/>
      <w:numFmt w:val="bullet"/>
      <w:lvlText w:val=""/>
      <w:lvlJc w:val="left"/>
      <w:pPr>
        <w:ind w:left="6480" w:hanging="360"/>
      </w:pPr>
      <w:rPr>
        <w:rFonts w:ascii="Wingdings" w:hAnsi="Wingdings" w:hint="default"/>
      </w:rPr>
    </w:lvl>
  </w:abstractNum>
  <w:abstractNum w:abstractNumId="71" w15:restartNumberingAfterBreak="0">
    <w:nsid w:val="200E7491"/>
    <w:multiLevelType w:val="hybridMultilevel"/>
    <w:tmpl w:val="FFFFFFFF"/>
    <w:lvl w:ilvl="0" w:tplc="856E457C">
      <w:start w:val="1"/>
      <w:numFmt w:val="bullet"/>
      <w:lvlText w:val="·"/>
      <w:lvlJc w:val="left"/>
      <w:pPr>
        <w:ind w:left="720" w:hanging="360"/>
      </w:pPr>
      <w:rPr>
        <w:rFonts w:ascii="Symbol" w:hAnsi="Symbol" w:hint="default"/>
      </w:rPr>
    </w:lvl>
    <w:lvl w:ilvl="1" w:tplc="3DAAFFBE">
      <w:start w:val="1"/>
      <w:numFmt w:val="bullet"/>
      <w:lvlText w:val="o"/>
      <w:lvlJc w:val="left"/>
      <w:pPr>
        <w:ind w:left="1440" w:hanging="360"/>
      </w:pPr>
      <w:rPr>
        <w:rFonts w:ascii="Courier New" w:hAnsi="Courier New" w:hint="default"/>
      </w:rPr>
    </w:lvl>
    <w:lvl w:ilvl="2" w:tplc="EAC05622">
      <w:start w:val="1"/>
      <w:numFmt w:val="bullet"/>
      <w:lvlText w:val=""/>
      <w:lvlJc w:val="left"/>
      <w:pPr>
        <w:ind w:left="2160" w:hanging="360"/>
      </w:pPr>
      <w:rPr>
        <w:rFonts w:ascii="Wingdings" w:hAnsi="Wingdings" w:hint="default"/>
      </w:rPr>
    </w:lvl>
    <w:lvl w:ilvl="3" w:tplc="AF8AC9D6">
      <w:start w:val="1"/>
      <w:numFmt w:val="bullet"/>
      <w:lvlText w:val=""/>
      <w:lvlJc w:val="left"/>
      <w:pPr>
        <w:ind w:left="2880" w:hanging="360"/>
      </w:pPr>
      <w:rPr>
        <w:rFonts w:ascii="Symbol" w:hAnsi="Symbol" w:hint="default"/>
      </w:rPr>
    </w:lvl>
    <w:lvl w:ilvl="4" w:tplc="8AF4538A">
      <w:start w:val="1"/>
      <w:numFmt w:val="bullet"/>
      <w:lvlText w:val="o"/>
      <w:lvlJc w:val="left"/>
      <w:pPr>
        <w:ind w:left="3600" w:hanging="360"/>
      </w:pPr>
      <w:rPr>
        <w:rFonts w:ascii="Courier New" w:hAnsi="Courier New" w:hint="default"/>
      </w:rPr>
    </w:lvl>
    <w:lvl w:ilvl="5" w:tplc="486CC748">
      <w:start w:val="1"/>
      <w:numFmt w:val="bullet"/>
      <w:lvlText w:val=""/>
      <w:lvlJc w:val="left"/>
      <w:pPr>
        <w:ind w:left="4320" w:hanging="360"/>
      </w:pPr>
      <w:rPr>
        <w:rFonts w:ascii="Wingdings" w:hAnsi="Wingdings" w:hint="default"/>
      </w:rPr>
    </w:lvl>
    <w:lvl w:ilvl="6" w:tplc="B00EA014">
      <w:start w:val="1"/>
      <w:numFmt w:val="bullet"/>
      <w:lvlText w:val=""/>
      <w:lvlJc w:val="left"/>
      <w:pPr>
        <w:ind w:left="5040" w:hanging="360"/>
      </w:pPr>
      <w:rPr>
        <w:rFonts w:ascii="Symbol" w:hAnsi="Symbol" w:hint="default"/>
      </w:rPr>
    </w:lvl>
    <w:lvl w:ilvl="7" w:tplc="C020FE82">
      <w:start w:val="1"/>
      <w:numFmt w:val="bullet"/>
      <w:lvlText w:val="o"/>
      <w:lvlJc w:val="left"/>
      <w:pPr>
        <w:ind w:left="5760" w:hanging="360"/>
      </w:pPr>
      <w:rPr>
        <w:rFonts w:ascii="Courier New" w:hAnsi="Courier New" w:hint="default"/>
      </w:rPr>
    </w:lvl>
    <w:lvl w:ilvl="8" w:tplc="458A2D9C">
      <w:start w:val="1"/>
      <w:numFmt w:val="bullet"/>
      <w:lvlText w:val=""/>
      <w:lvlJc w:val="left"/>
      <w:pPr>
        <w:ind w:left="6480" w:hanging="360"/>
      </w:pPr>
      <w:rPr>
        <w:rFonts w:ascii="Wingdings" w:hAnsi="Wingdings" w:hint="default"/>
      </w:rPr>
    </w:lvl>
  </w:abstractNum>
  <w:abstractNum w:abstractNumId="72" w15:restartNumberingAfterBreak="0">
    <w:nsid w:val="205D44A4"/>
    <w:multiLevelType w:val="hybridMultilevel"/>
    <w:tmpl w:val="F6607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20BE4B2A"/>
    <w:multiLevelType w:val="hybridMultilevel"/>
    <w:tmpl w:val="78A00904"/>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74" w15:restartNumberingAfterBreak="0">
    <w:nsid w:val="210161E2"/>
    <w:multiLevelType w:val="hybridMultilevel"/>
    <w:tmpl w:val="CBA899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210F6C1B"/>
    <w:multiLevelType w:val="hybridMultilevel"/>
    <w:tmpl w:val="1CB24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21462E58"/>
    <w:multiLevelType w:val="hybridMultilevel"/>
    <w:tmpl w:val="3C7A81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216B36DF"/>
    <w:multiLevelType w:val="hybridMultilevel"/>
    <w:tmpl w:val="AB3A5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21AE560D"/>
    <w:multiLevelType w:val="hybridMultilevel"/>
    <w:tmpl w:val="DF1E1D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2255602F"/>
    <w:multiLevelType w:val="hybridMultilevel"/>
    <w:tmpl w:val="FFFFFFFF"/>
    <w:lvl w:ilvl="0" w:tplc="72827F34">
      <w:start w:val="1"/>
      <w:numFmt w:val="bullet"/>
      <w:lvlText w:val="·"/>
      <w:lvlJc w:val="left"/>
      <w:pPr>
        <w:ind w:left="720" w:hanging="360"/>
      </w:pPr>
      <w:rPr>
        <w:rFonts w:ascii="Symbol" w:hAnsi="Symbol" w:hint="default"/>
      </w:rPr>
    </w:lvl>
    <w:lvl w:ilvl="1" w:tplc="6BFAE1CA">
      <w:start w:val="1"/>
      <w:numFmt w:val="bullet"/>
      <w:lvlText w:val="o"/>
      <w:lvlJc w:val="left"/>
      <w:pPr>
        <w:ind w:left="1440" w:hanging="360"/>
      </w:pPr>
      <w:rPr>
        <w:rFonts w:ascii="Courier New" w:hAnsi="Courier New" w:hint="default"/>
      </w:rPr>
    </w:lvl>
    <w:lvl w:ilvl="2" w:tplc="9740FA2A">
      <w:start w:val="1"/>
      <w:numFmt w:val="bullet"/>
      <w:lvlText w:val=""/>
      <w:lvlJc w:val="left"/>
      <w:pPr>
        <w:ind w:left="2160" w:hanging="360"/>
      </w:pPr>
      <w:rPr>
        <w:rFonts w:ascii="Wingdings" w:hAnsi="Wingdings" w:hint="default"/>
      </w:rPr>
    </w:lvl>
    <w:lvl w:ilvl="3" w:tplc="A5CE8360">
      <w:start w:val="1"/>
      <w:numFmt w:val="bullet"/>
      <w:lvlText w:val=""/>
      <w:lvlJc w:val="left"/>
      <w:pPr>
        <w:ind w:left="2880" w:hanging="360"/>
      </w:pPr>
      <w:rPr>
        <w:rFonts w:ascii="Symbol" w:hAnsi="Symbol" w:hint="default"/>
      </w:rPr>
    </w:lvl>
    <w:lvl w:ilvl="4" w:tplc="A2204C0C">
      <w:start w:val="1"/>
      <w:numFmt w:val="bullet"/>
      <w:lvlText w:val="o"/>
      <w:lvlJc w:val="left"/>
      <w:pPr>
        <w:ind w:left="3600" w:hanging="360"/>
      </w:pPr>
      <w:rPr>
        <w:rFonts w:ascii="Courier New" w:hAnsi="Courier New" w:hint="default"/>
      </w:rPr>
    </w:lvl>
    <w:lvl w:ilvl="5" w:tplc="FA042190">
      <w:start w:val="1"/>
      <w:numFmt w:val="bullet"/>
      <w:lvlText w:val=""/>
      <w:lvlJc w:val="left"/>
      <w:pPr>
        <w:ind w:left="4320" w:hanging="360"/>
      </w:pPr>
      <w:rPr>
        <w:rFonts w:ascii="Wingdings" w:hAnsi="Wingdings" w:hint="default"/>
      </w:rPr>
    </w:lvl>
    <w:lvl w:ilvl="6" w:tplc="D4625430">
      <w:start w:val="1"/>
      <w:numFmt w:val="bullet"/>
      <w:lvlText w:val=""/>
      <w:lvlJc w:val="left"/>
      <w:pPr>
        <w:ind w:left="5040" w:hanging="360"/>
      </w:pPr>
      <w:rPr>
        <w:rFonts w:ascii="Symbol" w:hAnsi="Symbol" w:hint="default"/>
      </w:rPr>
    </w:lvl>
    <w:lvl w:ilvl="7" w:tplc="3D40497A">
      <w:start w:val="1"/>
      <w:numFmt w:val="bullet"/>
      <w:lvlText w:val="o"/>
      <w:lvlJc w:val="left"/>
      <w:pPr>
        <w:ind w:left="5760" w:hanging="360"/>
      </w:pPr>
      <w:rPr>
        <w:rFonts w:ascii="Courier New" w:hAnsi="Courier New" w:hint="default"/>
      </w:rPr>
    </w:lvl>
    <w:lvl w:ilvl="8" w:tplc="1B0AC732">
      <w:start w:val="1"/>
      <w:numFmt w:val="bullet"/>
      <w:lvlText w:val=""/>
      <w:lvlJc w:val="left"/>
      <w:pPr>
        <w:ind w:left="6480" w:hanging="360"/>
      </w:pPr>
      <w:rPr>
        <w:rFonts w:ascii="Wingdings" w:hAnsi="Wingdings" w:hint="default"/>
      </w:rPr>
    </w:lvl>
  </w:abstractNum>
  <w:abstractNum w:abstractNumId="80" w15:restartNumberingAfterBreak="0">
    <w:nsid w:val="22763047"/>
    <w:multiLevelType w:val="hybridMultilevel"/>
    <w:tmpl w:val="BA9C7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22F6746A"/>
    <w:multiLevelType w:val="hybridMultilevel"/>
    <w:tmpl w:val="AE7EB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22FC44EE"/>
    <w:multiLevelType w:val="hybridMultilevel"/>
    <w:tmpl w:val="49F6F5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234D7800"/>
    <w:multiLevelType w:val="hybridMultilevel"/>
    <w:tmpl w:val="CB3693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23745DC5"/>
    <w:multiLevelType w:val="hybridMultilevel"/>
    <w:tmpl w:val="FFFFFFFF"/>
    <w:lvl w:ilvl="0" w:tplc="4F225E02">
      <w:start w:val="1"/>
      <w:numFmt w:val="bullet"/>
      <w:lvlText w:val="·"/>
      <w:lvlJc w:val="left"/>
      <w:pPr>
        <w:ind w:left="720" w:hanging="360"/>
      </w:pPr>
      <w:rPr>
        <w:rFonts w:ascii="Symbol" w:hAnsi="Symbol" w:hint="default"/>
      </w:rPr>
    </w:lvl>
    <w:lvl w:ilvl="1" w:tplc="F350FC3E">
      <w:start w:val="1"/>
      <w:numFmt w:val="bullet"/>
      <w:lvlText w:val="o"/>
      <w:lvlJc w:val="left"/>
      <w:pPr>
        <w:ind w:left="1440" w:hanging="360"/>
      </w:pPr>
      <w:rPr>
        <w:rFonts w:ascii="Courier New" w:hAnsi="Courier New" w:hint="default"/>
      </w:rPr>
    </w:lvl>
    <w:lvl w:ilvl="2" w:tplc="9680343E">
      <w:start w:val="1"/>
      <w:numFmt w:val="bullet"/>
      <w:lvlText w:val=""/>
      <w:lvlJc w:val="left"/>
      <w:pPr>
        <w:ind w:left="2160" w:hanging="360"/>
      </w:pPr>
      <w:rPr>
        <w:rFonts w:ascii="Wingdings" w:hAnsi="Wingdings" w:hint="default"/>
      </w:rPr>
    </w:lvl>
    <w:lvl w:ilvl="3" w:tplc="AA86775C">
      <w:start w:val="1"/>
      <w:numFmt w:val="bullet"/>
      <w:lvlText w:val=""/>
      <w:lvlJc w:val="left"/>
      <w:pPr>
        <w:ind w:left="2880" w:hanging="360"/>
      </w:pPr>
      <w:rPr>
        <w:rFonts w:ascii="Symbol" w:hAnsi="Symbol" w:hint="default"/>
      </w:rPr>
    </w:lvl>
    <w:lvl w:ilvl="4" w:tplc="A2DEA080">
      <w:start w:val="1"/>
      <w:numFmt w:val="bullet"/>
      <w:lvlText w:val="o"/>
      <w:lvlJc w:val="left"/>
      <w:pPr>
        <w:ind w:left="3600" w:hanging="360"/>
      </w:pPr>
      <w:rPr>
        <w:rFonts w:ascii="Courier New" w:hAnsi="Courier New" w:hint="default"/>
      </w:rPr>
    </w:lvl>
    <w:lvl w:ilvl="5" w:tplc="C8E6BB5E">
      <w:start w:val="1"/>
      <w:numFmt w:val="bullet"/>
      <w:lvlText w:val=""/>
      <w:lvlJc w:val="left"/>
      <w:pPr>
        <w:ind w:left="4320" w:hanging="360"/>
      </w:pPr>
      <w:rPr>
        <w:rFonts w:ascii="Wingdings" w:hAnsi="Wingdings" w:hint="default"/>
      </w:rPr>
    </w:lvl>
    <w:lvl w:ilvl="6" w:tplc="78861C6E">
      <w:start w:val="1"/>
      <w:numFmt w:val="bullet"/>
      <w:lvlText w:val=""/>
      <w:lvlJc w:val="left"/>
      <w:pPr>
        <w:ind w:left="5040" w:hanging="360"/>
      </w:pPr>
      <w:rPr>
        <w:rFonts w:ascii="Symbol" w:hAnsi="Symbol" w:hint="default"/>
      </w:rPr>
    </w:lvl>
    <w:lvl w:ilvl="7" w:tplc="EE26B4B4">
      <w:start w:val="1"/>
      <w:numFmt w:val="bullet"/>
      <w:lvlText w:val="o"/>
      <w:lvlJc w:val="left"/>
      <w:pPr>
        <w:ind w:left="5760" w:hanging="360"/>
      </w:pPr>
      <w:rPr>
        <w:rFonts w:ascii="Courier New" w:hAnsi="Courier New" w:hint="default"/>
      </w:rPr>
    </w:lvl>
    <w:lvl w:ilvl="8" w:tplc="039230BE">
      <w:start w:val="1"/>
      <w:numFmt w:val="bullet"/>
      <w:lvlText w:val=""/>
      <w:lvlJc w:val="left"/>
      <w:pPr>
        <w:ind w:left="6480" w:hanging="360"/>
      </w:pPr>
      <w:rPr>
        <w:rFonts w:ascii="Wingdings" w:hAnsi="Wingdings" w:hint="default"/>
      </w:rPr>
    </w:lvl>
  </w:abstractNum>
  <w:abstractNum w:abstractNumId="85" w15:restartNumberingAfterBreak="0">
    <w:nsid w:val="237619B2"/>
    <w:multiLevelType w:val="hybridMultilevel"/>
    <w:tmpl w:val="E94482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6" w15:restartNumberingAfterBreak="0">
    <w:nsid w:val="23F93A76"/>
    <w:multiLevelType w:val="hybridMultilevel"/>
    <w:tmpl w:val="E6388B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24A574B6"/>
    <w:multiLevelType w:val="hybridMultilevel"/>
    <w:tmpl w:val="69A0A9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24B84DF6"/>
    <w:multiLevelType w:val="hybridMultilevel"/>
    <w:tmpl w:val="910AB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25AF7401"/>
    <w:multiLevelType w:val="hybridMultilevel"/>
    <w:tmpl w:val="1E840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1" w15:restartNumberingAfterBreak="0">
    <w:nsid w:val="25D05F46"/>
    <w:multiLevelType w:val="hybridMultilevel"/>
    <w:tmpl w:val="B92A18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2" w15:restartNumberingAfterBreak="0">
    <w:nsid w:val="25EA4AD7"/>
    <w:multiLevelType w:val="hybridMultilevel"/>
    <w:tmpl w:val="6C207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3" w15:restartNumberingAfterBreak="0">
    <w:nsid w:val="27017CA1"/>
    <w:multiLevelType w:val="hybridMultilevel"/>
    <w:tmpl w:val="C226B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28226532"/>
    <w:multiLevelType w:val="hybridMultilevel"/>
    <w:tmpl w:val="E2C2E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5" w15:restartNumberingAfterBreak="0">
    <w:nsid w:val="286B475D"/>
    <w:multiLevelType w:val="hybridMultilevel"/>
    <w:tmpl w:val="FFFFFFFF"/>
    <w:lvl w:ilvl="0" w:tplc="FC166922">
      <w:start w:val="1"/>
      <w:numFmt w:val="bullet"/>
      <w:lvlText w:val="·"/>
      <w:lvlJc w:val="left"/>
      <w:pPr>
        <w:ind w:left="360" w:hanging="360"/>
      </w:pPr>
      <w:rPr>
        <w:rFonts w:ascii="Symbol" w:hAnsi="Symbol" w:hint="default"/>
      </w:rPr>
    </w:lvl>
    <w:lvl w:ilvl="1" w:tplc="C1B49F4C">
      <w:start w:val="1"/>
      <w:numFmt w:val="bullet"/>
      <w:lvlText w:val="o"/>
      <w:lvlJc w:val="left"/>
      <w:pPr>
        <w:ind w:left="1080" w:hanging="360"/>
      </w:pPr>
      <w:rPr>
        <w:rFonts w:ascii="Courier New" w:hAnsi="Courier New" w:hint="default"/>
      </w:rPr>
    </w:lvl>
    <w:lvl w:ilvl="2" w:tplc="A4200D2C">
      <w:start w:val="1"/>
      <w:numFmt w:val="bullet"/>
      <w:lvlText w:val=""/>
      <w:lvlJc w:val="left"/>
      <w:pPr>
        <w:ind w:left="1800" w:hanging="360"/>
      </w:pPr>
      <w:rPr>
        <w:rFonts w:ascii="Wingdings" w:hAnsi="Wingdings" w:hint="default"/>
      </w:rPr>
    </w:lvl>
    <w:lvl w:ilvl="3" w:tplc="8EF6E83C">
      <w:start w:val="1"/>
      <w:numFmt w:val="bullet"/>
      <w:lvlText w:val=""/>
      <w:lvlJc w:val="left"/>
      <w:pPr>
        <w:ind w:left="2520" w:hanging="360"/>
      </w:pPr>
      <w:rPr>
        <w:rFonts w:ascii="Symbol" w:hAnsi="Symbol" w:hint="default"/>
      </w:rPr>
    </w:lvl>
    <w:lvl w:ilvl="4" w:tplc="FA4A6B90">
      <w:start w:val="1"/>
      <w:numFmt w:val="bullet"/>
      <w:lvlText w:val="o"/>
      <w:lvlJc w:val="left"/>
      <w:pPr>
        <w:ind w:left="3240" w:hanging="360"/>
      </w:pPr>
      <w:rPr>
        <w:rFonts w:ascii="Courier New" w:hAnsi="Courier New" w:hint="default"/>
      </w:rPr>
    </w:lvl>
    <w:lvl w:ilvl="5" w:tplc="E20A4D06">
      <w:start w:val="1"/>
      <w:numFmt w:val="bullet"/>
      <w:lvlText w:val=""/>
      <w:lvlJc w:val="left"/>
      <w:pPr>
        <w:ind w:left="3960" w:hanging="360"/>
      </w:pPr>
      <w:rPr>
        <w:rFonts w:ascii="Wingdings" w:hAnsi="Wingdings" w:hint="default"/>
      </w:rPr>
    </w:lvl>
    <w:lvl w:ilvl="6" w:tplc="51245CF2">
      <w:start w:val="1"/>
      <w:numFmt w:val="bullet"/>
      <w:lvlText w:val=""/>
      <w:lvlJc w:val="left"/>
      <w:pPr>
        <w:ind w:left="4680" w:hanging="360"/>
      </w:pPr>
      <w:rPr>
        <w:rFonts w:ascii="Symbol" w:hAnsi="Symbol" w:hint="default"/>
      </w:rPr>
    </w:lvl>
    <w:lvl w:ilvl="7" w:tplc="16564580">
      <w:start w:val="1"/>
      <w:numFmt w:val="bullet"/>
      <w:lvlText w:val="o"/>
      <w:lvlJc w:val="left"/>
      <w:pPr>
        <w:ind w:left="5400" w:hanging="360"/>
      </w:pPr>
      <w:rPr>
        <w:rFonts w:ascii="Courier New" w:hAnsi="Courier New" w:hint="default"/>
      </w:rPr>
    </w:lvl>
    <w:lvl w:ilvl="8" w:tplc="9F4A790E">
      <w:start w:val="1"/>
      <w:numFmt w:val="bullet"/>
      <w:lvlText w:val=""/>
      <w:lvlJc w:val="left"/>
      <w:pPr>
        <w:ind w:left="6120" w:hanging="360"/>
      </w:pPr>
      <w:rPr>
        <w:rFonts w:ascii="Wingdings" w:hAnsi="Wingdings" w:hint="default"/>
      </w:rPr>
    </w:lvl>
  </w:abstractNum>
  <w:abstractNum w:abstractNumId="96" w15:restartNumberingAfterBreak="0">
    <w:nsid w:val="289E74FB"/>
    <w:multiLevelType w:val="hybridMultilevel"/>
    <w:tmpl w:val="475C18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28BD13D0"/>
    <w:multiLevelType w:val="hybridMultilevel"/>
    <w:tmpl w:val="98F69E4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8" w15:restartNumberingAfterBreak="0">
    <w:nsid w:val="28F02F94"/>
    <w:multiLevelType w:val="hybridMultilevel"/>
    <w:tmpl w:val="1E1EED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291670A5"/>
    <w:multiLevelType w:val="hybridMultilevel"/>
    <w:tmpl w:val="94F2B3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0" w15:restartNumberingAfterBreak="0">
    <w:nsid w:val="29345882"/>
    <w:multiLevelType w:val="hybridMultilevel"/>
    <w:tmpl w:val="D63085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1" w15:restartNumberingAfterBreak="0">
    <w:nsid w:val="29403ACB"/>
    <w:multiLevelType w:val="hybridMultilevel"/>
    <w:tmpl w:val="92D8F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29B077AC"/>
    <w:multiLevelType w:val="hybridMultilevel"/>
    <w:tmpl w:val="FFFFFFFF"/>
    <w:lvl w:ilvl="0" w:tplc="AF84F014">
      <w:start w:val="1"/>
      <w:numFmt w:val="bullet"/>
      <w:lvlText w:val="·"/>
      <w:lvlJc w:val="left"/>
      <w:pPr>
        <w:ind w:left="360" w:hanging="360"/>
      </w:pPr>
      <w:rPr>
        <w:rFonts w:ascii="Symbol" w:hAnsi="Symbol" w:hint="default"/>
      </w:rPr>
    </w:lvl>
    <w:lvl w:ilvl="1" w:tplc="C80059D6">
      <w:start w:val="1"/>
      <w:numFmt w:val="bullet"/>
      <w:lvlText w:val="o"/>
      <w:lvlJc w:val="left"/>
      <w:pPr>
        <w:ind w:left="1080" w:hanging="360"/>
      </w:pPr>
      <w:rPr>
        <w:rFonts w:ascii="Courier New" w:hAnsi="Courier New" w:hint="default"/>
      </w:rPr>
    </w:lvl>
    <w:lvl w:ilvl="2" w:tplc="FDD0A066">
      <w:start w:val="1"/>
      <w:numFmt w:val="bullet"/>
      <w:lvlText w:val=""/>
      <w:lvlJc w:val="left"/>
      <w:pPr>
        <w:ind w:left="1800" w:hanging="360"/>
      </w:pPr>
      <w:rPr>
        <w:rFonts w:ascii="Wingdings" w:hAnsi="Wingdings" w:hint="default"/>
      </w:rPr>
    </w:lvl>
    <w:lvl w:ilvl="3" w:tplc="FF74917C">
      <w:start w:val="1"/>
      <w:numFmt w:val="bullet"/>
      <w:lvlText w:val=""/>
      <w:lvlJc w:val="left"/>
      <w:pPr>
        <w:ind w:left="2520" w:hanging="360"/>
      </w:pPr>
      <w:rPr>
        <w:rFonts w:ascii="Symbol" w:hAnsi="Symbol" w:hint="default"/>
      </w:rPr>
    </w:lvl>
    <w:lvl w:ilvl="4" w:tplc="DC38D130">
      <w:start w:val="1"/>
      <w:numFmt w:val="bullet"/>
      <w:lvlText w:val="o"/>
      <w:lvlJc w:val="left"/>
      <w:pPr>
        <w:ind w:left="3240" w:hanging="360"/>
      </w:pPr>
      <w:rPr>
        <w:rFonts w:ascii="Courier New" w:hAnsi="Courier New" w:hint="default"/>
      </w:rPr>
    </w:lvl>
    <w:lvl w:ilvl="5" w:tplc="D3AE78F2">
      <w:start w:val="1"/>
      <w:numFmt w:val="bullet"/>
      <w:lvlText w:val=""/>
      <w:lvlJc w:val="left"/>
      <w:pPr>
        <w:ind w:left="3960" w:hanging="360"/>
      </w:pPr>
      <w:rPr>
        <w:rFonts w:ascii="Wingdings" w:hAnsi="Wingdings" w:hint="default"/>
      </w:rPr>
    </w:lvl>
    <w:lvl w:ilvl="6" w:tplc="6D6AEB1E">
      <w:start w:val="1"/>
      <w:numFmt w:val="bullet"/>
      <w:lvlText w:val=""/>
      <w:lvlJc w:val="left"/>
      <w:pPr>
        <w:ind w:left="4680" w:hanging="360"/>
      </w:pPr>
      <w:rPr>
        <w:rFonts w:ascii="Symbol" w:hAnsi="Symbol" w:hint="default"/>
      </w:rPr>
    </w:lvl>
    <w:lvl w:ilvl="7" w:tplc="6C38F918">
      <w:start w:val="1"/>
      <w:numFmt w:val="bullet"/>
      <w:lvlText w:val="o"/>
      <w:lvlJc w:val="left"/>
      <w:pPr>
        <w:ind w:left="5400" w:hanging="360"/>
      </w:pPr>
      <w:rPr>
        <w:rFonts w:ascii="Courier New" w:hAnsi="Courier New" w:hint="default"/>
      </w:rPr>
    </w:lvl>
    <w:lvl w:ilvl="8" w:tplc="D528E680">
      <w:start w:val="1"/>
      <w:numFmt w:val="bullet"/>
      <w:lvlText w:val=""/>
      <w:lvlJc w:val="left"/>
      <w:pPr>
        <w:ind w:left="6120" w:hanging="360"/>
      </w:pPr>
      <w:rPr>
        <w:rFonts w:ascii="Wingdings" w:hAnsi="Wingdings" w:hint="default"/>
      </w:rPr>
    </w:lvl>
  </w:abstractNum>
  <w:abstractNum w:abstractNumId="103" w15:restartNumberingAfterBreak="0">
    <w:nsid w:val="2A326EB4"/>
    <w:multiLevelType w:val="hybridMultilevel"/>
    <w:tmpl w:val="77404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2A356CE1"/>
    <w:multiLevelType w:val="hybridMultilevel"/>
    <w:tmpl w:val="955A11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2A8F70B3"/>
    <w:multiLevelType w:val="hybridMultilevel"/>
    <w:tmpl w:val="87E4AB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6" w15:restartNumberingAfterBreak="0">
    <w:nsid w:val="2B3D0741"/>
    <w:multiLevelType w:val="hybridMultilevel"/>
    <w:tmpl w:val="CD04C1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2B3F52C5"/>
    <w:multiLevelType w:val="hybridMultilevel"/>
    <w:tmpl w:val="19ECE9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2B4E09C6"/>
    <w:multiLevelType w:val="hybridMultilevel"/>
    <w:tmpl w:val="62BC3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9" w15:restartNumberingAfterBreak="0">
    <w:nsid w:val="2C457FCD"/>
    <w:multiLevelType w:val="hybridMultilevel"/>
    <w:tmpl w:val="6F161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2D00053E"/>
    <w:multiLevelType w:val="hybridMultilevel"/>
    <w:tmpl w:val="A12462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2D3A381A"/>
    <w:multiLevelType w:val="hybridMultilevel"/>
    <w:tmpl w:val="D8DCE7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2E570BD8"/>
    <w:multiLevelType w:val="hybridMultilevel"/>
    <w:tmpl w:val="BEC882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3" w15:restartNumberingAfterBreak="0">
    <w:nsid w:val="2EDD01E5"/>
    <w:multiLevelType w:val="hybridMultilevel"/>
    <w:tmpl w:val="6F2C4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2EEC44D9"/>
    <w:multiLevelType w:val="hybridMultilevel"/>
    <w:tmpl w:val="0FF0C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2EF82AA8"/>
    <w:multiLevelType w:val="hybridMultilevel"/>
    <w:tmpl w:val="30F6CB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6" w15:restartNumberingAfterBreak="0">
    <w:nsid w:val="2F0B6DF7"/>
    <w:multiLevelType w:val="hybridMultilevel"/>
    <w:tmpl w:val="CD1E86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7" w15:restartNumberingAfterBreak="0">
    <w:nsid w:val="2F4E0B99"/>
    <w:multiLevelType w:val="hybridMultilevel"/>
    <w:tmpl w:val="276E0E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15:restartNumberingAfterBreak="0">
    <w:nsid w:val="2F563164"/>
    <w:multiLevelType w:val="hybridMultilevel"/>
    <w:tmpl w:val="0510A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9" w15:restartNumberingAfterBreak="0">
    <w:nsid w:val="2F906D43"/>
    <w:multiLevelType w:val="hybridMultilevel"/>
    <w:tmpl w:val="E4341A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0" w15:restartNumberingAfterBreak="0">
    <w:nsid w:val="30B84345"/>
    <w:multiLevelType w:val="hybridMultilevel"/>
    <w:tmpl w:val="6B3C3C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1" w15:restartNumberingAfterBreak="0">
    <w:nsid w:val="311F2044"/>
    <w:multiLevelType w:val="hybridMultilevel"/>
    <w:tmpl w:val="0A9690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2" w15:restartNumberingAfterBreak="0">
    <w:nsid w:val="314279D6"/>
    <w:multiLevelType w:val="hybridMultilevel"/>
    <w:tmpl w:val="9C0CE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3" w15:restartNumberingAfterBreak="0">
    <w:nsid w:val="31B81679"/>
    <w:multiLevelType w:val="hybridMultilevel"/>
    <w:tmpl w:val="A82E7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325A6FDB"/>
    <w:multiLevelType w:val="hybridMultilevel"/>
    <w:tmpl w:val="F29E40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328D0823"/>
    <w:multiLevelType w:val="hybridMultilevel"/>
    <w:tmpl w:val="C7545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6" w15:restartNumberingAfterBreak="0">
    <w:nsid w:val="329368F0"/>
    <w:multiLevelType w:val="hybridMultilevel"/>
    <w:tmpl w:val="3D6A6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33B31FEC"/>
    <w:multiLevelType w:val="hybridMultilevel"/>
    <w:tmpl w:val="98BE4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8" w15:restartNumberingAfterBreak="0">
    <w:nsid w:val="33BA2508"/>
    <w:multiLevelType w:val="hybridMultilevel"/>
    <w:tmpl w:val="C1C2CA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9" w15:restartNumberingAfterBreak="0">
    <w:nsid w:val="33C4194B"/>
    <w:multiLevelType w:val="hybridMultilevel"/>
    <w:tmpl w:val="23D89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0" w15:restartNumberingAfterBreak="0">
    <w:nsid w:val="343A4CE0"/>
    <w:multiLevelType w:val="hybridMultilevel"/>
    <w:tmpl w:val="E988C7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1" w15:restartNumberingAfterBreak="0">
    <w:nsid w:val="34950933"/>
    <w:multiLevelType w:val="hybridMultilevel"/>
    <w:tmpl w:val="43A44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352D404D"/>
    <w:multiLevelType w:val="hybridMultilevel"/>
    <w:tmpl w:val="0A5A5B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363C6B08"/>
    <w:multiLevelType w:val="hybridMultilevel"/>
    <w:tmpl w:val="C1A8C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36A17861"/>
    <w:multiLevelType w:val="hybridMultilevel"/>
    <w:tmpl w:val="FFFFFFFF"/>
    <w:lvl w:ilvl="0" w:tplc="FDF65CB0">
      <w:start w:val="1"/>
      <w:numFmt w:val="bullet"/>
      <w:lvlText w:val="·"/>
      <w:lvlJc w:val="left"/>
      <w:pPr>
        <w:ind w:left="720" w:hanging="360"/>
      </w:pPr>
      <w:rPr>
        <w:rFonts w:ascii="Symbol" w:hAnsi="Symbol" w:hint="default"/>
      </w:rPr>
    </w:lvl>
    <w:lvl w:ilvl="1" w:tplc="511AAD14">
      <w:start w:val="1"/>
      <w:numFmt w:val="bullet"/>
      <w:lvlText w:val="o"/>
      <w:lvlJc w:val="left"/>
      <w:pPr>
        <w:ind w:left="1440" w:hanging="360"/>
      </w:pPr>
      <w:rPr>
        <w:rFonts w:ascii="Courier New" w:hAnsi="Courier New" w:hint="default"/>
      </w:rPr>
    </w:lvl>
    <w:lvl w:ilvl="2" w:tplc="6BD66A70">
      <w:start w:val="1"/>
      <w:numFmt w:val="bullet"/>
      <w:lvlText w:val=""/>
      <w:lvlJc w:val="left"/>
      <w:pPr>
        <w:ind w:left="2160" w:hanging="360"/>
      </w:pPr>
      <w:rPr>
        <w:rFonts w:ascii="Wingdings" w:hAnsi="Wingdings" w:hint="default"/>
      </w:rPr>
    </w:lvl>
    <w:lvl w:ilvl="3" w:tplc="A9C6A742">
      <w:start w:val="1"/>
      <w:numFmt w:val="bullet"/>
      <w:lvlText w:val=""/>
      <w:lvlJc w:val="left"/>
      <w:pPr>
        <w:ind w:left="2880" w:hanging="360"/>
      </w:pPr>
      <w:rPr>
        <w:rFonts w:ascii="Symbol" w:hAnsi="Symbol" w:hint="default"/>
      </w:rPr>
    </w:lvl>
    <w:lvl w:ilvl="4" w:tplc="0856327A">
      <w:start w:val="1"/>
      <w:numFmt w:val="bullet"/>
      <w:lvlText w:val="o"/>
      <w:lvlJc w:val="left"/>
      <w:pPr>
        <w:ind w:left="3600" w:hanging="360"/>
      </w:pPr>
      <w:rPr>
        <w:rFonts w:ascii="Courier New" w:hAnsi="Courier New" w:hint="default"/>
      </w:rPr>
    </w:lvl>
    <w:lvl w:ilvl="5" w:tplc="01B6E826">
      <w:start w:val="1"/>
      <w:numFmt w:val="bullet"/>
      <w:lvlText w:val=""/>
      <w:lvlJc w:val="left"/>
      <w:pPr>
        <w:ind w:left="4320" w:hanging="360"/>
      </w:pPr>
      <w:rPr>
        <w:rFonts w:ascii="Wingdings" w:hAnsi="Wingdings" w:hint="default"/>
      </w:rPr>
    </w:lvl>
    <w:lvl w:ilvl="6" w:tplc="99804532">
      <w:start w:val="1"/>
      <w:numFmt w:val="bullet"/>
      <w:lvlText w:val=""/>
      <w:lvlJc w:val="left"/>
      <w:pPr>
        <w:ind w:left="5040" w:hanging="360"/>
      </w:pPr>
      <w:rPr>
        <w:rFonts w:ascii="Symbol" w:hAnsi="Symbol" w:hint="default"/>
      </w:rPr>
    </w:lvl>
    <w:lvl w:ilvl="7" w:tplc="F782CC5C">
      <w:start w:val="1"/>
      <w:numFmt w:val="bullet"/>
      <w:lvlText w:val="o"/>
      <w:lvlJc w:val="left"/>
      <w:pPr>
        <w:ind w:left="5760" w:hanging="360"/>
      </w:pPr>
      <w:rPr>
        <w:rFonts w:ascii="Courier New" w:hAnsi="Courier New" w:hint="default"/>
      </w:rPr>
    </w:lvl>
    <w:lvl w:ilvl="8" w:tplc="9E104E06">
      <w:start w:val="1"/>
      <w:numFmt w:val="bullet"/>
      <w:lvlText w:val=""/>
      <w:lvlJc w:val="left"/>
      <w:pPr>
        <w:ind w:left="6480" w:hanging="360"/>
      </w:pPr>
      <w:rPr>
        <w:rFonts w:ascii="Wingdings" w:hAnsi="Wingdings" w:hint="default"/>
      </w:rPr>
    </w:lvl>
  </w:abstractNum>
  <w:abstractNum w:abstractNumId="135" w15:restartNumberingAfterBreak="0">
    <w:nsid w:val="37190BC6"/>
    <w:multiLevelType w:val="hybridMultilevel"/>
    <w:tmpl w:val="A72005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38041D52"/>
    <w:multiLevelType w:val="hybridMultilevel"/>
    <w:tmpl w:val="0254A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7" w15:restartNumberingAfterBreak="0">
    <w:nsid w:val="38722B1F"/>
    <w:multiLevelType w:val="hybridMultilevel"/>
    <w:tmpl w:val="F13E69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8" w15:restartNumberingAfterBreak="0">
    <w:nsid w:val="388F7DF0"/>
    <w:multiLevelType w:val="hybridMultilevel"/>
    <w:tmpl w:val="469A0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9" w15:restartNumberingAfterBreak="0">
    <w:nsid w:val="38F83C5D"/>
    <w:multiLevelType w:val="hybridMultilevel"/>
    <w:tmpl w:val="AB54405E"/>
    <w:lvl w:ilvl="0" w:tplc="E97CFC3A">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tplc="D2DCEA50">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tplc="85D482CC">
      <w:start w:val="1"/>
      <w:numFmt w:val="bullet"/>
      <w:lvlText w:val=""/>
      <w:lvlJc w:val="left"/>
      <w:pPr>
        <w:tabs>
          <w:tab w:val="num" w:pos="2160"/>
        </w:tabs>
        <w:ind w:left="2160" w:hanging="360"/>
      </w:pPr>
      <w:rPr>
        <w:rFonts w:ascii="Wingdings" w:hAnsi="Wingdings" w:hint="default"/>
      </w:rPr>
    </w:lvl>
    <w:lvl w:ilvl="3" w:tplc="30C2D178">
      <w:start w:val="1"/>
      <w:numFmt w:val="bullet"/>
      <w:lvlText w:val=""/>
      <w:lvlJc w:val="left"/>
      <w:pPr>
        <w:tabs>
          <w:tab w:val="num" w:pos="2880"/>
        </w:tabs>
        <w:ind w:left="2880" w:hanging="360"/>
      </w:pPr>
      <w:rPr>
        <w:rFonts w:ascii="Symbol" w:hAnsi="Symbol" w:hint="default"/>
      </w:rPr>
    </w:lvl>
    <w:lvl w:ilvl="4" w:tplc="7A9417AA">
      <w:start w:val="1"/>
      <w:numFmt w:val="bullet"/>
      <w:lvlText w:val="o"/>
      <w:lvlJc w:val="left"/>
      <w:pPr>
        <w:tabs>
          <w:tab w:val="num" w:pos="3600"/>
        </w:tabs>
        <w:ind w:left="3600" w:hanging="360"/>
      </w:pPr>
      <w:rPr>
        <w:rFonts w:ascii="Courier New" w:hAnsi="Courier New" w:cs="Courier New" w:hint="default"/>
      </w:rPr>
    </w:lvl>
    <w:lvl w:ilvl="5" w:tplc="263E7404">
      <w:start w:val="1"/>
      <w:numFmt w:val="bullet"/>
      <w:lvlText w:val=""/>
      <w:lvlJc w:val="left"/>
      <w:pPr>
        <w:tabs>
          <w:tab w:val="num" w:pos="4320"/>
        </w:tabs>
        <w:ind w:left="4320" w:hanging="360"/>
      </w:pPr>
      <w:rPr>
        <w:rFonts w:ascii="Wingdings" w:hAnsi="Wingdings" w:hint="default"/>
      </w:rPr>
    </w:lvl>
    <w:lvl w:ilvl="6" w:tplc="55FC2A0C">
      <w:start w:val="1"/>
      <w:numFmt w:val="bullet"/>
      <w:lvlText w:val=""/>
      <w:lvlJc w:val="left"/>
      <w:pPr>
        <w:tabs>
          <w:tab w:val="num" w:pos="5040"/>
        </w:tabs>
        <w:ind w:left="5040" w:hanging="360"/>
      </w:pPr>
      <w:rPr>
        <w:rFonts w:ascii="Symbol" w:hAnsi="Symbol" w:hint="default"/>
      </w:rPr>
    </w:lvl>
    <w:lvl w:ilvl="7" w:tplc="887C6FEC">
      <w:start w:val="1"/>
      <w:numFmt w:val="bullet"/>
      <w:lvlText w:val="o"/>
      <w:lvlJc w:val="left"/>
      <w:pPr>
        <w:tabs>
          <w:tab w:val="num" w:pos="5760"/>
        </w:tabs>
        <w:ind w:left="5760" w:hanging="360"/>
      </w:pPr>
      <w:rPr>
        <w:rFonts w:ascii="Courier New" w:hAnsi="Courier New" w:cs="Courier New" w:hint="default"/>
      </w:rPr>
    </w:lvl>
    <w:lvl w:ilvl="8" w:tplc="172096F2">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397C06FA"/>
    <w:multiLevelType w:val="hybridMultilevel"/>
    <w:tmpl w:val="04044B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1" w15:restartNumberingAfterBreak="0">
    <w:nsid w:val="399123D0"/>
    <w:multiLevelType w:val="hybridMultilevel"/>
    <w:tmpl w:val="4B9AA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2" w15:restartNumberingAfterBreak="0">
    <w:nsid w:val="3A0A4780"/>
    <w:multiLevelType w:val="hybridMultilevel"/>
    <w:tmpl w:val="62E2EF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3" w15:restartNumberingAfterBreak="0">
    <w:nsid w:val="3AA16842"/>
    <w:multiLevelType w:val="hybridMultilevel"/>
    <w:tmpl w:val="EF367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4" w15:restartNumberingAfterBreak="0">
    <w:nsid w:val="3B9B6ED4"/>
    <w:multiLevelType w:val="hybridMultilevel"/>
    <w:tmpl w:val="1960D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5" w15:restartNumberingAfterBreak="0">
    <w:nsid w:val="3BEB68AB"/>
    <w:multiLevelType w:val="hybridMultilevel"/>
    <w:tmpl w:val="82649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6" w15:restartNumberingAfterBreak="0">
    <w:nsid w:val="3C0438B2"/>
    <w:multiLevelType w:val="hybridMultilevel"/>
    <w:tmpl w:val="A0C40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7" w15:restartNumberingAfterBreak="0">
    <w:nsid w:val="3C5A10CA"/>
    <w:multiLevelType w:val="hybridMultilevel"/>
    <w:tmpl w:val="93D03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8" w15:restartNumberingAfterBreak="0">
    <w:nsid w:val="3DDB3DDF"/>
    <w:multiLevelType w:val="hybridMultilevel"/>
    <w:tmpl w:val="9D1825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9" w15:restartNumberingAfterBreak="0">
    <w:nsid w:val="3E050D2D"/>
    <w:multiLevelType w:val="hybridMultilevel"/>
    <w:tmpl w:val="33D603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0" w15:restartNumberingAfterBreak="0">
    <w:nsid w:val="3E8D57E2"/>
    <w:multiLevelType w:val="hybridMultilevel"/>
    <w:tmpl w:val="996C6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1" w15:restartNumberingAfterBreak="0">
    <w:nsid w:val="3EBA2374"/>
    <w:multiLevelType w:val="hybridMultilevel"/>
    <w:tmpl w:val="7FECDD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2" w15:restartNumberingAfterBreak="0">
    <w:nsid w:val="3ED22EC4"/>
    <w:multiLevelType w:val="hybridMultilevel"/>
    <w:tmpl w:val="C64AAA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3" w15:restartNumberingAfterBreak="0">
    <w:nsid w:val="3EE62DBF"/>
    <w:multiLevelType w:val="hybridMultilevel"/>
    <w:tmpl w:val="82988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4" w15:restartNumberingAfterBreak="0">
    <w:nsid w:val="3EFE5D02"/>
    <w:multiLevelType w:val="hybridMultilevel"/>
    <w:tmpl w:val="C7A80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5" w15:restartNumberingAfterBreak="0">
    <w:nsid w:val="3F14198F"/>
    <w:multiLevelType w:val="hybridMultilevel"/>
    <w:tmpl w:val="57D86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6" w15:restartNumberingAfterBreak="0">
    <w:nsid w:val="3F642651"/>
    <w:multiLevelType w:val="hybridMultilevel"/>
    <w:tmpl w:val="6FF2F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7" w15:restartNumberingAfterBreak="0">
    <w:nsid w:val="3FCE0748"/>
    <w:multiLevelType w:val="hybridMultilevel"/>
    <w:tmpl w:val="FFFFFFFF"/>
    <w:lvl w:ilvl="0" w:tplc="EC38B5F6">
      <w:start w:val="1"/>
      <w:numFmt w:val="bullet"/>
      <w:lvlText w:val="·"/>
      <w:lvlJc w:val="left"/>
      <w:pPr>
        <w:ind w:left="720" w:hanging="360"/>
      </w:pPr>
      <w:rPr>
        <w:rFonts w:ascii="Symbol" w:hAnsi="Symbol" w:hint="default"/>
      </w:rPr>
    </w:lvl>
    <w:lvl w:ilvl="1" w:tplc="0CE032D6">
      <w:start w:val="1"/>
      <w:numFmt w:val="bullet"/>
      <w:lvlText w:val="o"/>
      <w:lvlJc w:val="left"/>
      <w:pPr>
        <w:ind w:left="1440" w:hanging="360"/>
      </w:pPr>
      <w:rPr>
        <w:rFonts w:ascii="Courier New" w:hAnsi="Courier New" w:hint="default"/>
      </w:rPr>
    </w:lvl>
    <w:lvl w:ilvl="2" w:tplc="9E6C128C">
      <w:start w:val="1"/>
      <w:numFmt w:val="bullet"/>
      <w:lvlText w:val=""/>
      <w:lvlJc w:val="left"/>
      <w:pPr>
        <w:ind w:left="2160" w:hanging="360"/>
      </w:pPr>
      <w:rPr>
        <w:rFonts w:ascii="Wingdings" w:hAnsi="Wingdings" w:hint="default"/>
      </w:rPr>
    </w:lvl>
    <w:lvl w:ilvl="3" w:tplc="CCBA8930">
      <w:start w:val="1"/>
      <w:numFmt w:val="bullet"/>
      <w:lvlText w:val=""/>
      <w:lvlJc w:val="left"/>
      <w:pPr>
        <w:ind w:left="2880" w:hanging="360"/>
      </w:pPr>
      <w:rPr>
        <w:rFonts w:ascii="Symbol" w:hAnsi="Symbol" w:hint="default"/>
      </w:rPr>
    </w:lvl>
    <w:lvl w:ilvl="4" w:tplc="8AF43690">
      <w:start w:val="1"/>
      <w:numFmt w:val="bullet"/>
      <w:lvlText w:val="o"/>
      <w:lvlJc w:val="left"/>
      <w:pPr>
        <w:ind w:left="3600" w:hanging="360"/>
      </w:pPr>
      <w:rPr>
        <w:rFonts w:ascii="Courier New" w:hAnsi="Courier New" w:hint="default"/>
      </w:rPr>
    </w:lvl>
    <w:lvl w:ilvl="5" w:tplc="8B9C66D6">
      <w:start w:val="1"/>
      <w:numFmt w:val="bullet"/>
      <w:lvlText w:val=""/>
      <w:lvlJc w:val="left"/>
      <w:pPr>
        <w:ind w:left="4320" w:hanging="360"/>
      </w:pPr>
      <w:rPr>
        <w:rFonts w:ascii="Wingdings" w:hAnsi="Wingdings" w:hint="default"/>
      </w:rPr>
    </w:lvl>
    <w:lvl w:ilvl="6" w:tplc="B0648420">
      <w:start w:val="1"/>
      <w:numFmt w:val="bullet"/>
      <w:lvlText w:val=""/>
      <w:lvlJc w:val="left"/>
      <w:pPr>
        <w:ind w:left="5040" w:hanging="360"/>
      </w:pPr>
      <w:rPr>
        <w:rFonts w:ascii="Symbol" w:hAnsi="Symbol" w:hint="default"/>
      </w:rPr>
    </w:lvl>
    <w:lvl w:ilvl="7" w:tplc="3930617E">
      <w:start w:val="1"/>
      <w:numFmt w:val="bullet"/>
      <w:lvlText w:val="o"/>
      <w:lvlJc w:val="left"/>
      <w:pPr>
        <w:ind w:left="5760" w:hanging="360"/>
      </w:pPr>
      <w:rPr>
        <w:rFonts w:ascii="Courier New" w:hAnsi="Courier New" w:hint="default"/>
      </w:rPr>
    </w:lvl>
    <w:lvl w:ilvl="8" w:tplc="824C26AA">
      <w:start w:val="1"/>
      <w:numFmt w:val="bullet"/>
      <w:lvlText w:val=""/>
      <w:lvlJc w:val="left"/>
      <w:pPr>
        <w:ind w:left="6480" w:hanging="360"/>
      </w:pPr>
      <w:rPr>
        <w:rFonts w:ascii="Wingdings" w:hAnsi="Wingdings" w:hint="default"/>
      </w:rPr>
    </w:lvl>
  </w:abstractNum>
  <w:abstractNum w:abstractNumId="158" w15:restartNumberingAfterBreak="0">
    <w:nsid w:val="3FE5030D"/>
    <w:multiLevelType w:val="hybridMultilevel"/>
    <w:tmpl w:val="56C65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9" w15:restartNumberingAfterBreak="0">
    <w:nsid w:val="401E7AAA"/>
    <w:multiLevelType w:val="hybridMultilevel"/>
    <w:tmpl w:val="3ECA39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0" w15:restartNumberingAfterBreak="0">
    <w:nsid w:val="405368B7"/>
    <w:multiLevelType w:val="hybridMultilevel"/>
    <w:tmpl w:val="062E84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1" w15:restartNumberingAfterBreak="0">
    <w:nsid w:val="405D69A1"/>
    <w:multiLevelType w:val="hybridMultilevel"/>
    <w:tmpl w:val="FFFFFFFF"/>
    <w:lvl w:ilvl="0" w:tplc="37E6BF32">
      <w:start w:val="1"/>
      <w:numFmt w:val="bullet"/>
      <w:lvlText w:val="·"/>
      <w:lvlJc w:val="left"/>
      <w:pPr>
        <w:ind w:left="360" w:hanging="360"/>
      </w:pPr>
      <w:rPr>
        <w:rFonts w:ascii="Symbol" w:hAnsi="Symbol" w:hint="default"/>
      </w:rPr>
    </w:lvl>
    <w:lvl w:ilvl="1" w:tplc="5F9C48DE">
      <w:start w:val="1"/>
      <w:numFmt w:val="bullet"/>
      <w:lvlText w:val="o"/>
      <w:lvlJc w:val="left"/>
      <w:pPr>
        <w:ind w:left="1080" w:hanging="360"/>
      </w:pPr>
      <w:rPr>
        <w:rFonts w:ascii="Courier New" w:hAnsi="Courier New" w:hint="default"/>
      </w:rPr>
    </w:lvl>
    <w:lvl w:ilvl="2" w:tplc="F61E77B2">
      <w:start w:val="1"/>
      <w:numFmt w:val="bullet"/>
      <w:lvlText w:val=""/>
      <w:lvlJc w:val="left"/>
      <w:pPr>
        <w:ind w:left="1800" w:hanging="360"/>
      </w:pPr>
      <w:rPr>
        <w:rFonts w:ascii="Wingdings" w:hAnsi="Wingdings" w:hint="default"/>
      </w:rPr>
    </w:lvl>
    <w:lvl w:ilvl="3" w:tplc="7DC8CF5C">
      <w:start w:val="1"/>
      <w:numFmt w:val="bullet"/>
      <w:lvlText w:val=""/>
      <w:lvlJc w:val="left"/>
      <w:pPr>
        <w:ind w:left="2520" w:hanging="360"/>
      </w:pPr>
      <w:rPr>
        <w:rFonts w:ascii="Symbol" w:hAnsi="Symbol" w:hint="default"/>
      </w:rPr>
    </w:lvl>
    <w:lvl w:ilvl="4" w:tplc="9C5ACDEA">
      <w:start w:val="1"/>
      <w:numFmt w:val="bullet"/>
      <w:lvlText w:val="o"/>
      <w:lvlJc w:val="left"/>
      <w:pPr>
        <w:ind w:left="3240" w:hanging="360"/>
      </w:pPr>
      <w:rPr>
        <w:rFonts w:ascii="Courier New" w:hAnsi="Courier New" w:hint="default"/>
      </w:rPr>
    </w:lvl>
    <w:lvl w:ilvl="5" w:tplc="0F2C846E">
      <w:start w:val="1"/>
      <w:numFmt w:val="bullet"/>
      <w:lvlText w:val=""/>
      <w:lvlJc w:val="left"/>
      <w:pPr>
        <w:ind w:left="3960" w:hanging="360"/>
      </w:pPr>
      <w:rPr>
        <w:rFonts w:ascii="Wingdings" w:hAnsi="Wingdings" w:hint="default"/>
      </w:rPr>
    </w:lvl>
    <w:lvl w:ilvl="6" w:tplc="F4B68AC4">
      <w:start w:val="1"/>
      <w:numFmt w:val="bullet"/>
      <w:lvlText w:val=""/>
      <w:lvlJc w:val="left"/>
      <w:pPr>
        <w:ind w:left="4680" w:hanging="360"/>
      </w:pPr>
      <w:rPr>
        <w:rFonts w:ascii="Symbol" w:hAnsi="Symbol" w:hint="default"/>
      </w:rPr>
    </w:lvl>
    <w:lvl w:ilvl="7" w:tplc="207EDE08">
      <w:start w:val="1"/>
      <w:numFmt w:val="bullet"/>
      <w:lvlText w:val="o"/>
      <w:lvlJc w:val="left"/>
      <w:pPr>
        <w:ind w:left="5400" w:hanging="360"/>
      </w:pPr>
      <w:rPr>
        <w:rFonts w:ascii="Courier New" w:hAnsi="Courier New" w:hint="default"/>
      </w:rPr>
    </w:lvl>
    <w:lvl w:ilvl="8" w:tplc="7E82E7FA">
      <w:start w:val="1"/>
      <w:numFmt w:val="bullet"/>
      <w:lvlText w:val=""/>
      <w:lvlJc w:val="left"/>
      <w:pPr>
        <w:ind w:left="6120" w:hanging="360"/>
      </w:pPr>
      <w:rPr>
        <w:rFonts w:ascii="Wingdings" w:hAnsi="Wingdings" w:hint="default"/>
      </w:rPr>
    </w:lvl>
  </w:abstractNum>
  <w:abstractNum w:abstractNumId="162" w15:restartNumberingAfterBreak="0">
    <w:nsid w:val="40ED7563"/>
    <w:multiLevelType w:val="hybridMultilevel"/>
    <w:tmpl w:val="FFFFFFFF"/>
    <w:lvl w:ilvl="0" w:tplc="72048C36">
      <w:start w:val="1"/>
      <w:numFmt w:val="bullet"/>
      <w:lvlText w:val="·"/>
      <w:lvlJc w:val="left"/>
      <w:pPr>
        <w:ind w:left="720" w:hanging="360"/>
      </w:pPr>
      <w:rPr>
        <w:rFonts w:ascii="Symbol" w:hAnsi="Symbol" w:hint="default"/>
      </w:rPr>
    </w:lvl>
    <w:lvl w:ilvl="1" w:tplc="6DF6D672">
      <w:start w:val="1"/>
      <w:numFmt w:val="bullet"/>
      <w:lvlText w:val="o"/>
      <w:lvlJc w:val="left"/>
      <w:pPr>
        <w:ind w:left="1440" w:hanging="360"/>
      </w:pPr>
      <w:rPr>
        <w:rFonts w:ascii="Courier New" w:hAnsi="Courier New" w:hint="default"/>
      </w:rPr>
    </w:lvl>
    <w:lvl w:ilvl="2" w:tplc="67720178">
      <w:start w:val="1"/>
      <w:numFmt w:val="bullet"/>
      <w:lvlText w:val=""/>
      <w:lvlJc w:val="left"/>
      <w:pPr>
        <w:ind w:left="2160" w:hanging="360"/>
      </w:pPr>
      <w:rPr>
        <w:rFonts w:ascii="Wingdings" w:hAnsi="Wingdings" w:hint="default"/>
      </w:rPr>
    </w:lvl>
    <w:lvl w:ilvl="3" w:tplc="9AF8A978">
      <w:start w:val="1"/>
      <w:numFmt w:val="bullet"/>
      <w:lvlText w:val=""/>
      <w:lvlJc w:val="left"/>
      <w:pPr>
        <w:ind w:left="2880" w:hanging="360"/>
      </w:pPr>
      <w:rPr>
        <w:rFonts w:ascii="Symbol" w:hAnsi="Symbol" w:hint="default"/>
      </w:rPr>
    </w:lvl>
    <w:lvl w:ilvl="4" w:tplc="CF266AFE">
      <w:start w:val="1"/>
      <w:numFmt w:val="bullet"/>
      <w:lvlText w:val="o"/>
      <w:lvlJc w:val="left"/>
      <w:pPr>
        <w:ind w:left="3600" w:hanging="360"/>
      </w:pPr>
      <w:rPr>
        <w:rFonts w:ascii="Courier New" w:hAnsi="Courier New" w:hint="default"/>
      </w:rPr>
    </w:lvl>
    <w:lvl w:ilvl="5" w:tplc="168EA5F6">
      <w:start w:val="1"/>
      <w:numFmt w:val="bullet"/>
      <w:lvlText w:val=""/>
      <w:lvlJc w:val="left"/>
      <w:pPr>
        <w:ind w:left="4320" w:hanging="360"/>
      </w:pPr>
      <w:rPr>
        <w:rFonts w:ascii="Wingdings" w:hAnsi="Wingdings" w:hint="default"/>
      </w:rPr>
    </w:lvl>
    <w:lvl w:ilvl="6" w:tplc="81424928">
      <w:start w:val="1"/>
      <w:numFmt w:val="bullet"/>
      <w:lvlText w:val=""/>
      <w:lvlJc w:val="left"/>
      <w:pPr>
        <w:ind w:left="5040" w:hanging="360"/>
      </w:pPr>
      <w:rPr>
        <w:rFonts w:ascii="Symbol" w:hAnsi="Symbol" w:hint="default"/>
      </w:rPr>
    </w:lvl>
    <w:lvl w:ilvl="7" w:tplc="152C9EC8">
      <w:start w:val="1"/>
      <w:numFmt w:val="bullet"/>
      <w:lvlText w:val="o"/>
      <w:lvlJc w:val="left"/>
      <w:pPr>
        <w:ind w:left="5760" w:hanging="360"/>
      </w:pPr>
      <w:rPr>
        <w:rFonts w:ascii="Courier New" w:hAnsi="Courier New" w:hint="default"/>
      </w:rPr>
    </w:lvl>
    <w:lvl w:ilvl="8" w:tplc="0BE00836">
      <w:start w:val="1"/>
      <w:numFmt w:val="bullet"/>
      <w:lvlText w:val=""/>
      <w:lvlJc w:val="left"/>
      <w:pPr>
        <w:ind w:left="6480" w:hanging="360"/>
      </w:pPr>
      <w:rPr>
        <w:rFonts w:ascii="Wingdings" w:hAnsi="Wingdings" w:hint="default"/>
      </w:rPr>
    </w:lvl>
  </w:abstractNum>
  <w:abstractNum w:abstractNumId="163" w15:restartNumberingAfterBreak="0">
    <w:nsid w:val="4120227D"/>
    <w:multiLevelType w:val="hybridMultilevel"/>
    <w:tmpl w:val="8D124F2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415D3C62"/>
    <w:multiLevelType w:val="hybridMultilevel"/>
    <w:tmpl w:val="81CC0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5" w15:restartNumberingAfterBreak="0">
    <w:nsid w:val="41830172"/>
    <w:multiLevelType w:val="hybridMultilevel"/>
    <w:tmpl w:val="FFFFFFFF"/>
    <w:lvl w:ilvl="0" w:tplc="5300A6AE">
      <w:start w:val="1"/>
      <w:numFmt w:val="bullet"/>
      <w:lvlText w:val="·"/>
      <w:lvlJc w:val="left"/>
      <w:pPr>
        <w:ind w:left="720" w:hanging="360"/>
      </w:pPr>
      <w:rPr>
        <w:rFonts w:ascii="Symbol" w:hAnsi="Symbol" w:hint="default"/>
      </w:rPr>
    </w:lvl>
    <w:lvl w:ilvl="1" w:tplc="13260476">
      <w:start w:val="1"/>
      <w:numFmt w:val="bullet"/>
      <w:lvlText w:val="o"/>
      <w:lvlJc w:val="left"/>
      <w:pPr>
        <w:ind w:left="1440" w:hanging="360"/>
      </w:pPr>
      <w:rPr>
        <w:rFonts w:ascii="Courier New" w:hAnsi="Courier New" w:hint="default"/>
      </w:rPr>
    </w:lvl>
    <w:lvl w:ilvl="2" w:tplc="99B07E32">
      <w:start w:val="1"/>
      <w:numFmt w:val="bullet"/>
      <w:lvlText w:val=""/>
      <w:lvlJc w:val="left"/>
      <w:pPr>
        <w:ind w:left="2160" w:hanging="360"/>
      </w:pPr>
      <w:rPr>
        <w:rFonts w:ascii="Wingdings" w:hAnsi="Wingdings" w:hint="default"/>
      </w:rPr>
    </w:lvl>
    <w:lvl w:ilvl="3" w:tplc="E1981AEA">
      <w:start w:val="1"/>
      <w:numFmt w:val="bullet"/>
      <w:lvlText w:val=""/>
      <w:lvlJc w:val="left"/>
      <w:pPr>
        <w:ind w:left="2880" w:hanging="360"/>
      </w:pPr>
      <w:rPr>
        <w:rFonts w:ascii="Symbol" w:hAnsi="Symbol" w:hint="default"/>
      </w:rPr>
    </w:lvl>
    <w:lvl w:ilvl="4" w:tplc="E35CF970">
      <w:start w:val="1"/>
      <w:numFmt w:val="bullet"/>
      <w:lvlText w:val="o"/>
      <w:lvlJc w:val="left"/>
      <w:pPr>
        <w:ind w:left="3600" w:hanging="360"/>
      </w:pPr>
      <w:rPr>
        <w:rFonts w:ascii="Courier New" w:hAnsi="Courier New" w:hint="default"/>
      </w:rPr>
    </w:lvl>
    <w:lvl w:ilvl="5" w:tplc="D28A9604">
      <w:start w:val="1"/>
      <w:numFmt w:val="bullet"/>
      <w:lvlText w:val=""/>
      <w:lvlJc w:val="left"/>
      <w:pPr>
        <w:ind w:left="4320" w:hanging="360"/>
      </w:pPr>
      <w:rPr>
        <w:rFonts w:ascii="Wingdings" w:hAnsi="Wingdings" w:hint="default"/>
      </w:rPr>
    </w:lvl>
    <w:lvl w:ilvl="6" w:tplc="9328E29C">
      <w:start w:val="1"/>
      <w:numFmt w:val="bullet"/>
      <w:lvlText w:val=""/>
      <w:lvlJc w:val="left"/>
      <w:pPr>
        <w:ind w:left="5040" w:hanging="360"/>
      </w:pPr>
      <w:rPr>
        <w:rFonts w:ascii="Symbol" w:hAnsi="Symbol" w:hint="default"/>
      </w:rPr>
    </w:lvl>
    <w:lvl w:ilvl="7" w:tplc="36F0FF3E">
      <w:start w:val="1"/>
      <w:numFmt w:val="bullet"/>
      <w:lvlText w:val="o"/>
      <w:lvlJc w:val="left"/>
      <w:pPr>
        <w:ind w:left="5760" w:hanging="360"/>
      </w:pPr>
      <w:rPr>
        <w:rFonts w:ascii="Courier New" w:hAnsi="Courier New" w:hint="default"/>
      </w:rPr>
    </w:lvl>
    <w:lvl w:ilvl="8" w:tplc="87788940">
      <w:start w:val="1"/>
      <w:numFmt w:val="bullet"/>
      <w:lvlText w:val=""/>
      <w:lvlJc w:val="left"/>
      <w:pPr>
        <w:ind w:left="6480" w:hanging="360"/>
      </w:pPr>
      <w:rPr>
        <w:rFonts w:ascii="Wingdings" w:hAnsi="Wingdings" w:hint="default"/>
      </w:rPr>
    </w:lvl>
  </w:abstractNum>
  <w:abstractNum w:abstractNumId="166" w15:restartNumberingAfterBreak="0">
    <w:nsid w:val="41B211B6"/>
    <w:multiLevelType w:val="hybridMultilevel"/>
    <w:tmpl w:val="4E022F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7" w15:restartNumberingAfterBreak="0">
    <w:nsid w:val="41B74234"/>
    <w:multiLevelType w:val="hybridMultilevel"/>
    <w:tmpl w:val="19286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8" w15:restartNumberingAfterBreak="0">
    <w:nsid w:val="427708C0"/>
    <w:multiLevelType w:val="hybridMultilevel"/>
    <w:tmpl w:val="C3FC2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9" w15:restartNumberingAfterBreak="0">
    <w:nsid w:val="42CB2FD5"/>
    <w:multiLevelType w:val="hybridMultilevel"/>
    <w:tmpl w:val="6B2614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0" w15:restartNumberingAfterBreak="0">
    <w:nsid w:val="43350178"/>
    <w:multiLevelType w:val="hybridMultilevel"/>
    <w:tmpl w:val="BC44F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1" w15:restartNumberingAfterBreak="0">
    <w:nsid w:val="436240A8"/>
    <w:multiLevelType w:val="hybridMultilevel"/>
    <w:tmpl w:val="4BE89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2" w15:restartNumberingAfterBreak="0">
    <w:nsid w:val="43A666A3"/>
    <w:multiLevelType w:val="hybridMultilevel"/>
    <w:tmpl w:val="EA069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3" w15:restartNumberingAfterBreak="0">
    <w:nsid w:val="44967E71"/>
    <w:multiLevelType w:val="hybridMultilevel"/>
    <w:tmpl w:val="FFFFFFFF"/>
    <w:lvl w:ilvl="0" w:tplc="2B8AAD68">
      <w:start w:val="1"/>
      <w:numFmt w:val="bullet"/>
      <w:lvlText w:val="·"/>
      <w:lvlJc w:val="left"/>
      <w:pPr>
        <w:ind w:left="720" w:hanging="360"/>
      </w:pPr>
      <w:rPr>
        <w:rFonts w:ascii="Symbol" w:hAnsi="Symbol" w:hint="default"/>
      </w:rPr>
    </w:lvl>
    <w:lvl w:ilvl="1" w:tplc="247AD150">
      <w:start w:val="1"/>
      <w:numFmt w:val="bullet"/>
      <w:lvlText w:val="o"/>
      <w:lvlJc w:val="left"/>
      <w:pPr>
        <w:ind w:left="1440" w:hanging="360"/>
      </w:pPr>
      <w:rPr>
        <w:rFonts w:ascii="Courier New" w:hAnsi="Courier New" w:hint="default"/>
      </w:rPr>
    </w:lvl>
    <w:lvl w:ilvl="2" w:tplc="62B8913A">
      <w:start w:val="1"/>
      <w:numFmt w:val="bullet"/>
      <w:lvlText w:val=""/>
      <w:lvlJc w:val="left"/>
      <w:pPr>
        <w:ind w:left="2160" w:hanging="360"/>
      </w:pPr>
      <w:rPr>
        <w:rFonts w:ascii="Wingdings" w:hAnsi="Wingdings" w:hint="default"/>
      </w:rPr>
    </w:lvl>
    <w:lvl w:ilvl="3" w:tplc="EFA896AE">
      <w:start w:val="1"/>
      <w:numFmt w:val="bullet"/>
      <w:lvlText w:val=""/>
      <w:lvlJc w:val="left"/>
      <w:pPr>
        <w:ind w:left="2880" w:hanging="360"/>
      </w:pPr>
      <w:rPr>
        <w:rFonts w:ascii="Symbol" w:hAnsi="Symbol" w:hint="default"/>
      </w:rPr>
    </w:lvl>
    <w:lvl w:ilvl="4" w:tplc="205CECFC">
      <w:start w:val="1"/>
      <w:numFmt w:val="bullet"/>
      <w:lvlText w:val="o"/>
      <w:lvlJc w:val="left"/>
      <w:pPr>
        <w:ind w:left="3600" w:hanging="360"/>
      </w:pPr>
      <w:rPr>
        <w:rFonts w:ascii="Courier New" w:hAnsi="Courier New" w:hint="default"/>
      </w:rPr>
    </w:lvl>
    <w:lvl w:ilvl="5" w:tplc="3A08B5CA">
      <w:start w:val="1"/>
      <w:numFmt w:val="bullet"/>
      <w:lvlText w:val=""/>
      <w:lvlJc w:val="left"/>
      <w:pPr>
        <w:ind w:left="4320" w:hanging="360"/>
      </w:pPr>
      <w:rPr>
        <w:rFonts w:ascii="Wingdings" w:hAnsi="Wingdings" w:hint="default"/>
      </w:rPr>
    </w:lvl>
    <w:lvl w:ilvl="6" w:tplc="79DEB06E">
      <w:start w:val="1"/>
      <w:numFmt w:val="bullet"/>
      <w:lvlText w:val=""/>
      <w:lvlJc w:val="left"/>
      <w:pPr>
        <w:ind w:left="5040" w:hanging="360"/>
      </w:pPr>
      <w:rPr>
        <w:rFonts w:ascii="Symbol" w:hAnsi="Symbol" w:hint="default"/>
      </w:rPr>
    </w:lvl>
    <w:lvl w:ilvl="7" w:tplc="1FB0276A">
      <w:start w:val="1"/>
      <w:numFmt w:val="bullet"/>
      <w:lvlText w:val="o"/>
      <w:lvlJc w:val="left"/>
      <w:pPr>
        <w:ind w:left="5760" w:hanging="360"/>
      </w:pPr>
      <w:rPr>
        <w:rFonts w:ascii="Courier New" w:hAnsi="Courier New" w:hint="default"/>
      </w:rPr>
    </w:lvl>
    <w:lvl w:ilvl="8" w:tplc="547EC5EA">
      <w:start w:val="1"/>
      <w:numFmt w:val="bullet"/>
      <w:lvlText w:val=""/>
      <w:lvlJc w:val="left"/>
      <w:pPr>
        <w:ind w:left="6480" w:hanging="360"/>
      </w:pPr>
      <w:rPr>
        <w:rFonts w:ascii="Wingdings" w:hAnsi="Wingdings" w:hint="default"/>
      </w:rPr>
    </w:lvl>
  </w:abstractNum>
  <w:abstractNum w:abstractNumId="174" w15:restartNumberingAfterBreak="0">
    <w:nsid w:val="44AC47E0"/>
    <w:multiLevelType w:val="hybridMultilevel"/>
    <w:tmpl w:val="2160C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5" w15:restartNumberingAfterBreak="0">
    <w:nsid w:val="44E01188"/>
    <w:multiLevelType w:val="hybridMultilevel"/>
    <w:tmpl w:val="8BB875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6"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452C5C65"/>
    <w:multiLevelType w:val="hybridMultilevel"/>
    <w:tmpl w:val="B0A650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8" w15:restartNumberingAfterBreak="0">
    <w:nsid w:val="45533134"/>
    <w:multiLevelType w:val="hybridMultilevel"/>
    <w:tmpl w:val="FFFFFFFF"/>
    <w:lvl w:ilvl="0" w:tplc="A4C80F40">
      <w:start w:val="1"/>
      <w:numFmt w:val="bullet"/>
      <w:lvlText w:val="·"/>
      <w:lvlJc w:val="left"/>
      <w:pPr>
        <w:ind w:left="360" w:hanging="360"/>
      </w:pPr>
      <w:rPr>
        <w:rFonts w:ascii="Symbol" w:hAnsi="Symbol" w:hint="default"/>
      </w:rPr>
    </w:lvl>
    <w:lvl w:ilvl="1" w:tplc="55BEAFB0">
      <w:start w:val="1"/>
      <w:numFmt w:val="bullet"/>
      <w:lvlText w:val="o"/>
      <w:lvlJc w:val="left"/>
      <w:pPr>
        <w:ind w:left="1080" w:hanging="360"/>
      </w:pPr>
      <w:rPr>
        <w:rFonts w:ascii="Courier New" w:hAnsi="Courier New" w:hint="default"/>
      </w:rPr>
    </w:lvl>
    <w:lvl w:ilvl="2" w:tplc="892247A0">
      <w:start w:val="1"/>
      <w:numFmt w:val="bullet"/>
      <w:lvlText w:val=""/>
      <w:lvlJc w:val="left"/>
      <w:pPr>
        <w:ind w:left="1800" w:hanging="360"/>
      </w:pPr>
      <w:rPr>
        <w:rFonts w:ascii="Wingdings" w:hAnsi="Wingdings" w:hint="default"/>
      </w:rPr>
    </w:lvl>
    <w:lvl w:ilvl="3" w:tplc="27181AC0">
      <w:start w:val="1"/>
      <w:numFmt w:val="bullet"/>
      <w:lvlText w:val=""/>
      <w:lvlJc w:val="left"/>
      <w:pPr>
        <w:ind w:left="2520" w:hanging="360"/>
      </w:pPr>
      <w:rPr>
        <w:rFonts w:ascii="Symbol" w:hAnsi="Symbol" w:hint="default"/>
      </w:rPr>
    </w:lvl>
    <w:lvl w:ilvl="4" w:tplc="BD1ED1CA">
      <w:start w:val="1"/>
      <w:numFmt w:val="bullet"/>
      <w:lvlText w:val="o"/>
      <w:lvlJc w:val="left"/>
      <w:pPr>
        <w:ind w:left="3240" w:hanging="360"/>
      </w:pPr>
      <w:rPr>
        <w:rFonts w:ascii="Courier New" w:hAnsi="Courier New" w:hint="default"/>
      </w:rPr>
    </w:lvl>
    <w:lvl w:ilvl="5" w:tplc="D688D4E6">
      <w:start w:val="1"/>
      <w:numFmt w:val="bullet"/>
      <w:lvlText w:val=""/>
      <w:lvlJc w:val="left"/>
      <w:pPr>
        <w:ind w:left="3960" w:hanging="360"/>
      </w:pPr>
      <w:rPr>
        <w:rFonts w:ascii="Wingdings" w:hAnsi="Wingdings" w:hint="default"/>
      </w:rPr>
    </w:lvl>
    <w:lvl w:ilvl="6" w:tplc="24E4839A">
      <w:start w:val="1"/>
      <w:numFmt w:val="bullet"/>
      <w:lvlText w:val=""/>
      <w:lvlJc w:val="left"/>
      <w:pPr>
        <w:ind w:left="4680" w:hanging="360"/>
      </w:pPr>
      <w:rPr>
        <w:rFonts w:ascii="Symbol" w:hAnsi="Symbol" w:hint="default"/>
      </w:rPr>
    </w:lvl>
    <w:lvl w:ilvl="7" w:tplc="0F38361A">
      <w:start w:val="1"/>
      <w:numFmt w:val="bullet"/>
      <w:lvlText w:val="o"/>
      <w:lvlJc w:val="left"/>
      <w:pPr>
        <w:ind w:left="5400" w:hanging="360"/>
      </w:pPr>
      <w:rPr>
        <w:rFonts w:ascii="Courier New" w:hAnsi="Courier New" w:hint="default"/>
      </w:rPr>
    </w:lvl>
    <w:lvl w:ilvl="8" w:tplc="E4F41BC2">
      <w:start w:val="1"/>
      <w:numFmt w:val="bullet"/>
      <w:lvlText w:val=""/>
      <w:lvlJc w:val="left"/>
      <w:pPr>
        <w:ind w:left="6120" w:hanging="360"/>
      </w:pPr>
      <w:rPr>
        <w:rFonts w:ascii="Wingdings" w:hAnsi="Wingdings" w:hint="default"/>
      </w:rPr>
    </w:lvl>
  </w:abstractNum>
  <w:abstractNum w:abstractNumId="179" w15:restartNumberingAfterBreak="0">
    <w:nsid w:val="456E4662"/>
    <w:multiLevelType w:val="hybridMultilevel"/>
    <w:tmpl w:val="CE449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0" w15:restartNumberingAfterBreak="0">
    <w:nsid w:val="462654EC"/>
    <w:multiLevelType w:val="hybridMultilevel"/>
    <w:tmpl w:val="3E1885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1" w15:restartNumberingAfterBreak="0">
    <w:nsid w:val="463C2581"/>
    <w:multiLevelType w:val="hybridMultilevel"/>
    <w:tmpl w:val="05F612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2" w15:restartNumberingAfterBreak="0">
    <w:nsid w:val="469922F4"/>
    <w:multiLevelType w:val="hybridMultilevel"/>
    <w:tmpl w:val="25908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3" w15:restartNumberingAfterBreak="0">
    <w:nsid w:val="46EE5544"/>
    <w:multiLevelType w:val="hybridMultilevel"/>
    <w:tmpl w:val="FFFFFFFF"/>
    <w:lvl w:ilvl="0" w:tplc="C13A73B8">
      <w:start w:val="1"/>
      <w:numFmt w:val="bullet"/>
      <w:lvlText w:val="·"/>
      <w:lvlJc w:val="left"/>
      <w:pPr>
        <w:ind w:left="720" w:hanging="360"/>
      </w:pPr>
      <w:rPr>
        <w:rFonts w:ascii="Symbol" w:hAnsi="Symbol" w:hint="default"/>
      </w:rPr>
    </w:lvl>
    <w:lvl w:ilvl="1" w:tplc="D61C9B22">
      <w:start w:val="1"/>
      <w:numFmt w:val="bullet"/>
      <w:lvlText w:val="o"/>
      <w:lvlJc w:val="left"/>
      <w:pPr>
        <w:ind w:left="1440" w:hanging="360"/>
      </w:pPr>
      <w:rPr>
        <w:rFonts w:ascii="Courier New" w:hAnsi="Courier New" w:hint="default"/>
      </w:rPr>
    </w:lvl>
    <w:lvl w:ilvl="2" w:tplc="D2C676E2">
      <w:start w:val="1"/>
      <w:numFmt w:val="bullet"/>
      <w:lvlText w:val=""/>
      <w:lvlJc w:val="left"/>
      <w:pPr>
        <w:ind w:left="2160" w:hanging="360"/>
      </w:pPr>
      <w:rPr>
        <w:rFonts w:ascii="Wingdings" w:hAnsi="Wingdings" w:hint="default"/>
      </w:rPr>
    </w:lvl>
    <w:lvl w:ilvl="3" w:tplc="1966E826">
      <w:start w:val="1"/>
      <w:numFmt w:val="bullet"/>
      <w:lvlText w:val=""/>
      <w:lvlJc w:val="left"/>
      <w:pPr>
        <w:ind w:left="2880" w:hanging="360"/>
      </w:pPr>
      <w:rPr>
        <w:rFonts w:ascii="Symbol" w:hAnsi="Symbol" w:hint="default"/>
      </w:rPr>
    </w:lvl>
    <w:lvl w:ilvl="4" w:tplc="AEDA8706">
      <w:start w:val="1"/>
      <w:numFmt w:val="bullet"/>
      <w:lvlText w:val="o"/>
      <w:lvlJc w:val="left"/>
      <w:pPr>
        <w:ind w:left="3600" w:hanging="360"/>
      </w:pPr>
      <w:rPr>
        <w:rFonts w:ascii="Courier New" w:hAnsi="Courier New" w:hint="default"/>
      </w:rPr>
    </w:lvl>
    <w:lvl w:ilvl="5" w:tplc="92D2171C">
      <w:start w:val="1"/>
      <w:numFmt w:val="bullet"/>
      <w:lvlText w:val=""/>
      <w:lvlJc w:val="left"/>
      <w:pPr>
        <w:ind w:left="4320" w:hanging="360"/>
      </w:pPr>
      <w:rPr>
        <w:rFonts w:ascii="Wingdings" w:hAnsi="Wingdings" w:hint="default"/>
      </w:rPr>
    </w:lvl>
    <w:lvl w:ilvl="6" w:tplc="D8DE5EE8">
      <w:start w:val="1"/>
      <w:numFmt w:val="bullet"/>
      <w:lvlText w:val=""/>
      <w:lvlJc w:val="left"/>
      <w:pPr>
        <w:ind w:left="5040" w:hanging="360"/>
      </w:pPr>
      <w:rPr>
        <w:rFonts w:ascii="Symbol" w:hAnsi="Symbol" w:hint="default"/>
      </w:rPr>
    </w:lvl>
    <w:lvl w:ilvl="7" w:tplc="3F5AF4B6">
      <w:start w:val="1"/>
      <w:numFmt w:val="bullet"/>
      <w:lvlText w:val="o"/>
      <w:lvlJc w:val="left"/>
      <w:pPr>
        <w:ind w:left="5760" w:hanging="360"/>
      </w:pPr>
      <w:rPr>
        <w:rFonts w:ascii="Courier New" w:hAnsi="Courier New" w:hint="default"/>
      </w:rPr>
    </w:lvl>
    <w:lvl w:ilvl="8" w:tplc="7714A384">
      <w:start w:val="1"/>
      <w:numFmt w:val="bullet"/>
      <w:lvlText w:val=""/>
      <w:lvlJc w:val="left"/>
      <w:pPr>
        <w:ind w:left="6480" w:hanging="360"/>
      </w:pPr>
      <w:rPr>
        <w:rFonts w:ascii="Wingdings" w:hAnsi="Wingdings" w:hint="default"/>
      </w:rPr>
    </w:lvl>
  </w:abstractNum>
  <w:abstractNum w:abstractNumId="184" w15:restartNumberingAfterBreak="0">
    <w:nsid w:val="4703764A"/>
    <w:multiLevelType w:val="hybridMultilevel"/>
    <w:tmpl w:val="A9CEF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5" w15:restartNumberingAfterBreak="0">
    <w:nsid w:val="48AE05B2"/>
    <w:multiLevelType w:val="hybridMultilevel"/>
    <w:tmpl w:val="4C747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6" w15:restartNumberingAfterBreak="0">
    <w:nsid w:val="48BB690A"/>
    <w:multiLevelType w:val="hybridMultilevel"/>
    <w:tmpl w:val="F326A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7" w15:restartNumberingAfterBreak="0">
    <w:nsid w:val="48E71319"/>
    <w:multiLevelType w:val="hybridMultilevel"/>
    <w:tmpl w:val="99C8F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8" w15:restartNumberingAfterBreak="0">
    <w:nsid w:val="494231C0"/>
    <w:multiLevelType w:val="hybridMultilevel"/>
    <w:tmpl w:val="75862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9" w15:restartNumberingAfterBreak="0">
    <w:nsid w:val="497B3395"/>
    <w:multiLevelType w:val="hybridMultilevel"/>
    <w:tmpl w:val="50482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0" w15:restartNumberingAfterBreak="0">
    <w:nsid w:val="4984036E"/>
    <w:multiLevelType w:val="hybridMultilevel"/>
    <w:tmpl w:val="92821E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1" w15:restartNumberingAfterBreak="0">
    <w:nsid w:val="49E1120C"/>
    <w:multiLevelType w:val="hybridMultilevel"/>
    <w:tmpl w:val="236E75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2" w15:restartNumberingAfterBreak="0">
    <w:nsid w:val="4A281C6C"/>
    <w:multiLevelType w:val="hybridMultilevel"/>
    <w:tmpl w:val="00E6F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3" w15:restartNumberingAfterBreak="0">
    <w:nsid w:val="4A653957"/>
    <w:multiLevelType w:val="hybridMultilevel"/>
    <w:tmpl w:val="FA02C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4" w15:restartNumberingAfterBreak="0">
    <w:nsid w:val="4A7A5CA8"/>
    <w:multiLevelType w:val="hybridMultilevel"/>
    <w:tmpl w:val="E0AE1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5" w15:restartNumberingAfterBreak="0">
    <w:nsid w:val="4AB1289E"/>
    <w:multiLevelType w:val="hybridMultilevel"/>
    <w:tmpl w:val="F3DA9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6"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7" w15:restartNumberingAfterBreak="0">
    <w:nsid w:val="4B425DB8"/>
    <w:multiLevelType w:val="hybridMultilevel"/>
    <w:tmpl w:val="D5DCEF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4B6E77F5"/>
    <w:multiLevelType w:val="hybridMultilevel"/>
    <w:tmpl w:val="97DA13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9" w15:restartNumberingAfterBreak="0">
    <w:nsid w:val="4B861562"/>
    <w:multiLevelType w:val="hybridMultilevel"/>
    <w:tmpl w:val="27904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0" w15:restartNumberingAfterBreak="0">
    <w:nsid w:val="4BFE054A"/>
    <w:multiLevelType w:val="hybridMultilevel"/>
    <w:tmpl w:val="592A1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1" w15:restartNumberingAfterBreak="0">
    <w:nsid w:val="4C41185F"/>
    <w:multiLevelType w:val="hybridMultilevel"/>
    <w:tmpl w:val="5E9AB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2" w15:restartNumberingAfterBreak="0">
    <w:nsid w:val="4C453351"/>
    <w:multiLevelType w:val="hybridMultilevel"/>
    <w:tmpl w:val="E250B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3" w15:restartNumberingAfterBreak="0">
    <w:nsid w:val="4C744671"/>
    <w:multiLevelType w:val="hybridMultilevel"/>
    <w:tmpl w:val="30B4B1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4" w15:restartNumberingAfterBreak="0">
    <w:nsid w:val="4C7F6854"/>
    <w:multiLevelType w:val="hybridMultilevel"/>
    <w:tmpl w:val="76005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5" w15:restartNumberingAfterBreak="0">
    <w:nsid w:val="4D672C3D"/>
    <w:multiLevelType w:val="hybridMultilevel"/>
    <w:tmpl w:val="A502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6" w15:restartNumberingAfterBreak="0">
    <w:nsid w:val="4DAC0057"/>
    <w:multiLevelType w:val="hybridMultilevel"/>
    <w:tmpl w:val="FFFFFFFF"/>
    <w:lvl w:ilvl="0" w:tplc="4E2C3CB2">
      <w:start w:val="1"/>
      <w:numFmt w:val="bullet"/>
      <w:lvlText w:val="·"/>
      <w:lvlJc w:val="left"/>
      <w:pPr>
        <w:ind w:left="360" w:hanging="360"/>
      </w:pPr>
      <w:rPr>
        <w:rFonts w:ascii="Symbol" w:hAnsi="Symbol" w:hint="default"/>
      </w:rPr>
    </w:lvl>
    <w:lvl w:ilvl="1" w:tplc="0450D5E8">
      <w:start w:val="1"/>
      <w:numFmt w:val="bullet"/>
      <w:lvlText w:val="o"/>
      <w:lvlJc w:val="left"/>
      <w:pPr>
        <w:ind w:left="1080" w:hanging="360"/>
      </w:pPr>
      <w:rPr>
        <w:rFonts w:ascii="Courier New" w:hAnsi="Courier New" w:hint="default"/>
      </w:rPr>
    </w:lvl>
    <w:lvl w:ilvl="2" w:tplc="BE289B5C">
      <w:start w:val="1"/>
      <w:numFmt w:val="bullet"/>
      <w:lvlText w:val=""/>
      <w:lvlJc w:val="left"/>
      <w:pPr>
        <w:ind w:left="1800" w:hanging="360"/>
      </w:pPr>
      <w:rPr>
        <w:rFonts w:ascii="Wingdings" w:hAnsi="Wingdings" w:hint="default"/>
      </w:rPr>
    </w:lvl>
    <w:lvl w:ilvl="3" w:tplc="930CCB24">
      <w:start w:val="1"/>
      <w:numFmt w:val="bullet"/>
      <w:lvlText w:val=""/>
      <w:lvlJc w:val="left"/>
      <w:pPr>
        <w:ind w:left="2520" w:hanging="360"/>
      </w:pPr>
      <w:rPr>
        <w:rFonts w:ascii="Symbol" w:hAnsi="Symbol" w:hint="default"/>
      </w:rPr>
    </w:lvl>
    <w:lvl w:ilvl="4" w:tplc="AD74C72A">
      <w:start w:val="1"/>
      <w:numFmt w:val="bullet"/>
      <w:lvlText w:val="o"/>
      <w:lvlJc w:val="left"/>
      <w:pPr>
        <w:ind w:left="3240" w:hanging="360"/>
      </w:pPr>
      <w:rPr>
        <w:rFonts w:ascii="Courier New" w:hAnsi="Courier New" w:hint="default"/>
      </w:rPr>
    </w:lvl>
    <w:lvl w:ilvl="5" w:tplc="395CFAA8">
      <w:start w:val="1"/>
      <w:numFmt w:val="bullet"/>
      <w:lvlText w:val=""/>
      <w:lvlJc w:val="left"/>
      <w:pPr>
        <w:ind w:left="3960" w:hanging="360"/>
      </w:pPr>
      <w:rPr>
        <w:rFonts w:ascii="Wingdings" w:hAnsi="Wingdings" w:hint="default"/>
      </w:rPr>
    </w:lvl>
    <w:lvl w:ilvl="6" w:tplc="C1044914">
      <w:start w:val="1"/>
      <w:numFmt w:val="bullet"/>
      <w:lvlText w:val=""/>
      <w:lvlJc w:val="left"/>
      <w:pPr>
        <w:ind w:left="4680" w:hanging="360"/>
      </w:pPr>
      <w:rPr>
        <w:rFonts w:ascii="Symbol" w:hAnsi="Symbol" w:hint="default"/>
      </w:rPr>
    </w:lvl>
    <w:lvl w:ilvl="7" w:tplc="1742C672">
      <w:start w:val="1"/>
      <w:numFmt w:val="bullet"/>
      <w:lvlText w:val="o"/>
      <w:lvlJc w:val="left"/>
      <w:pPr>
        <w:ind w:left="5400" w:hanging="360"/>
      </w:pPr>
      <w:rPr>
        <w:rFonts w:ascii="Courier New" w:hAnsi="Courier New" w:hint="default"/>
      </w:rPr>
    </w:lvl>
    <w:lvl w:ilvl="8" w:tplc="78A85748">
      <w:start w:val="1"/>
      <w:numFmt w:val="bullet"/>
      <w:lvlText w:val=""/>
      <w:lvlJc w:val="left"/>
      <w:pPr>
        <w:ind w:left="6120" w:hanging="360"/>
      </w:pPr>
      <w:rPr>
        <w:rFonts w:ascii="Wingdings" w:hAnsi="Wingdings" w:hint="default"/>
      </w:rPr>
    </w:lvl>
  </w:abstractNum>
  <w:abstractNum w:abstractNumId="207" w15:restartNumberingAfterBreak="0">
    <w:nsid w:val="4EC35801"/>
    <w:multiLevelType w:val="hybridMultilevel"/>
    <w:tmpl w:val="26EA6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8" w15:restartNumberingAfterBreak="0">
    <w:nsid w:val="4F02361C"/>
    <w:multiLevelType w:val="hybridMultilevel"/>
    <w:tmpl w:val="05DABC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9" w15:restartNumberingAfterBreak="0">
    <w:nsid w:val="4F6A5C0C"/>
    <w:multiLevelType w:val="hybridMultilevel"/>
    <w:tmpl w:val="E6525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4FCC0110"/>
    <w:multiLevelType w:val="hybridMultilevel"/>
    <w:tmpl w:val="C8D41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1" w15:restartNumberingAfterBreak="0">
    <w:nsid w:val="50AC19BC"/>
    <w:multiLevelType w:val="hybridMultilevel"/>
    <w:tmpl w:val="01FA4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2" w15:restartNumberingAfterBreak="0">
    <w:nsid w:val="50D6644B"/>
    <w:multiLevelType w:val="hybridMultilevel"/>
    <w:tmpl w:val="D332D5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3" w15:restartNumberingAfterBreak="0">
    <w:nsid w:val="51392BFC"/>
    <w:multiLevelType w:val="hybridMultilevel"/>
    <w:tmpl w:val="833896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4" w15:restartNumberingAfterBreak="0">
    <w:nsid w:val="51557591"/>
    <w:multiLevelType w:val="hybridMultilevel"/>
    <w:tmpl w:val="002C1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5" w15:restartNumberingAfterBreak="0">
    <w:nsid w:val="51851791"/>
    <w:multiLevelType w:val="hybridMultilevel"/>
    <w:tmpl w:val="AD10D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6" w15:restartNumberingAfterBreak="0">
    <w:nsid w:val="518A587D"/>
    <w:multiLevelType w:val="hybridMultilevel"/>
    <w:tmpl w:val="FFFFFFFF"/>
    <w:lvl w:ilvl="0" w:tplc="DF9E538E">
      <w:start w:val="1"/>
      <w:numFmt w:val="bullet"/>
      <w:lvlText w:val="·"/>
      <w:lvlJc w:val="left"/>
      <w:pPr>
        <w:ind w:left="360" w:hanging="360"/>
      </w:pPr>
      <w:rPr>
        <w:rFonts w:ascii="Symbol" w:hAnsi="Symbol" w:hint="default"/>
      </w:rPr>
    </w:lvl>
    <w:lvl w:ilvl="1" w:tplc="EE86366C">
      <w:start w:val="1"/>
      <w:numFmt w:val="bullet"/>
      <w:lvlText w:val="o"/>
      <w:lvlJc w:val="left"/>
      <w:pPr>
        <w:ind w:left="1080" w:hanging="360"/>
      </w:pPr>
      <w:rPr>
        <w:rFonts w:ascii="Courier New" w:hAnsi="Courier New" w:hint="default"/>
      </w:rPr>
    </w:lvl>
    <w:lvl w:ilvl="2" w:tplc="435EF0B8">
      <w:start w:val="1"/>
      <w:numFmt w:val="bullet"/>
      <w:lvlText w:val=""/>
      <w:lvlJc w:val="left"/>
      <w:pPr>
        <w:ind w:left="1800" w:hanging="360"/>
      </w:pPr>
      <w:rPr>
        <w:rFonts w:ascii="Wingdings" w:hAnsi="Wingdings" w:hint="default"/>
      </w:rPr>
    </w:lvl>
    <w:lvl w:ilvl="3" w:tplc="74A65FA6">
      <w:start w:val="1"/>
      <w:numFmt w:val="bullet"/>
      <w:lvlText w:val=""/>
      <w:lvlJc w:val="left"/>
      <w:pPr>
        <w:ind w:left="2520" w:hanging="360"/>
      </w:pPr>
      <w:rPr>
        <w:rFonts w:ascii="Symbol" w:hAnsi="Symbol" w:hint="default"/>
      </w:rPr>
    </w:lvl>
    <w:lvl w:ilvl="4" w:tplc="EEFA78B4">
      <w:start w:val="1"/>
      <w:numFmt w:val="bullet"/>
      <w:lvlText w:val="o"/>
      <w:lvlJc w:val="left"/>
      <w:pPr>
        <w:ind w:left="3240" w:hanging="360"/>
      </w:pPr>
      <w:rPr>
        <w:rFonts w:ascii="Courier New" w:hAnsi="Courier New" w:hint="default"/>
      </w:rPr>
    </w:lvl>
    <w:lvl w:ilvl="5" w:tplc="FF9833CE">
      <w:start w:val="1"/>
      <w:numFmt w:val="bullet"/>
      <w:lvlText w:val=""/>
      <w:lvlJc w:val="left"/>
      <w:pPr>
        <w:ind w:left="3960" w:hanging="360"/>
      </w:pPr>
      <w:rPr>
        <w:rFonts w:ascii="Wingdings" w:hAnsi="Wingdings" w:hint="default"/>
      </w:rPr>
    </w:lvl>
    <w:lvl w:ilvl="6" w:tplc="BC5CCB98">
      <w:start w:val="1"/>
      <w:numFmt w:val="bullet"/>
      <w:lvlText w:val=""/>
      <w:lvlJc w:val="left"/>
      <w:pPr>
        <w:ind w:left="4680" w:hanging="360"/>
      </w:pPr>
      <w:rPr>
        <w:rFonts w:ascii="Symbol" w:hAnsi="Symbol" w:hint="default"/>
      </w:rPr>
    </w:lvl>
    <w:lvl w:ilvl="7" w:tplc="FD9E41B2">
      <w:start w:val="1"/>
      <w:numFmt w:val="bullet"/>
      <w:lvlText w:val="o"/>
      <w:lvlJc w:val="left"/>
      <w:pPr>
        <w:ind w:left="5400" w:hanging="360"/>
      </w:pPr>
      <w:rPr>
        <w:rFonts w:ascii="Courier New" w:hAnsi="Courier New" w:hint="default"/>
      </w:rPr>
    </w:lvl>
    <w:lvl w:ilvl="8" w:tplc="C18EDC0E">
      <w:start w:val="1"/>
      <w:numFmt w:val="bullet"/>
      <w:lvlText w:val=""/>
      <w:lvlJc w:val="left"/>
      <w:pPr>
        <w:ind w:left="6120" w:hanging="360"/>
      </w:pPr>
      <w:rPr>
        <w:rFonts w:ascii="Wingdings" w:hAnsi="Wingdings" w:hint="default"/>
      </w:rPr>
    </w:lvl>
  </w:abstractNum>
  <w:abstractNum w:abstractNumId="217" w15:restartNumberingAfterBreak="0">
    <w:nsid w:val="51934DB3"/>
    <w:multiLevelType w:val="hybridMultilevel"/>
    <w:tmpl w:val="394C7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8" w15:restartNumberingAfterBreak="0">
    <w:nsid w:val="51DA5D09"/>
    <w:multiLevelType w:val="hybridMultilevel"/>
    <w:tmpl w:val="C76AC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9" w15:restartNumberingAfterBreak="0">
    <w:nsid w:val="52097120"/>
    <w:multiLevelType w:val="hybridMultilevel"/>
    <w:tmpl w:val="5FF478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0" w15:restartNumberingAfterBreak="0">
    <w:nsid w:val="534D7C32"/>
    <w:multiLevelType w:val="hybridMultilevel"/>
    <w:tmpl w:val="A3C2DF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1" w15:restartNumberingAfterBreak="0">
    <w:nsid w:val="54D06D18"/>
    <w:multiLevelType w:val="hybridMultilevel"/>
    <w:tmpl w:val="E1DAEB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2" w15:restartNumberingAfterBreak="0">
    <w:nsid w:val="55352A97"/>
    <w:multiLevelType w:val="hybridMultilevel"/>
    <w:tmpl w:val="5C0809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3" w15:restartNumberingAfterBreak="0">
    <w:nsid w:val="55475DDF"/>
    <w:multiLevelType w:val="hybridMultilevel"/>
    <w:tmpl w:val="1A64D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4" w15:restartNumberingAfterBreak="0">
    <w:nsid w:val="556C5250"/>
    <w:multiLevelType w:val="hybridMultilevel"/>
    <w:tmpl w:val="FFFFFFFF"/>
    <w:lvl w:ilvl="0" w:tplc="1320259E">
      <w:start w:val="1"/>
      <w:numFmt w:val="bullet"/>
      <w:lvlText w:val="·"/>
      <w:lvlJc w:val="left"/>
      <w:pPr>
        <w:ind w:left="360" w:hanging="360"/>
      </w:pPr>
      <w:rPr>
        <w:rFonts w:ascii="Symbol" w:hAnsi="Symbol" w:hint="default"/>
      </w:rPr>
    </w:lvl>
    <w:lvl w:ilvl="1" w:tplc="9ACCF3AA">
      <w:start w:val="1"/>
      <w:numFmt w:val="bullet"/>
      <w:lvlText w:val="o"/>
      <w:lvlJc w:val="left"/>
      <w:pPr>
        <w:ind w:left="1080" w:hanging="360"/>
      </w:pPr>
      <w:rPr>
        <w:rFonts w:ascii="Courier New" w:hAnsi="Courier New" w:hint="default"/>
      </w:rPr>
    </w:lvl>
    <w:lvl w:ilvl="2" w:tplc="4886A708">
      <w:start w:val="1"/>
      <w:numFmt w:val="bullet"/>
      <w:lvlText w:val=""/>
      <w:lvlJc w:val="left"/>
      <w:pPr>
        <w:ind w:left="1800" w:hanging="360"/>
      </w:pPr>
      <w:rPr>
        <w:rFonts w:ascii="Wingdings" w:hAnsi="Wingdings" w:hint="default"/>
      </w:rPr>
    </w:lvl>
    <w:lvl w:ilvl="3" w:tplc="8F6A4F20">
      <w:start w:val="1"/>
      <w:numFmt w:val="bullet"/>
      <w:lvlText w:val=""/>
      <w:lvlJc w:val="left"/>
      <w:pPr>
        <w:ind w:left="2520" w:hanging="360"/>
      </w:pPr>
      <w:rPr>
        <w:rFonts w:ascii="Symbol" w:hAnsi="Symbol" w:hint="default"/>
      </w:rPr>
    </w:lvl>
    <w:lvl w:ilvl="4" w:tplc="D32E1836">
      <w:start w:val="1"/>
      <w:numFmt w:val="bullet"/>
      <w:lvlText w:val="o"/>
      <w:lvlJc w:val="left"/>
      <w:pPr>
        <w:ind w:left="3240" w:hanging="360"/>
      </w:pPr>
      <w:rPr>
        <w:rFonts w:ascii="Courier New" w:hAnsi="Courier New" w:hint="default"/>
      </w:rPr>
    </w:lvl>
    <w:lvl w:ilvl="5" w:tplc="34DC4D1A">
      <w:start w:val="1"/>
      <w:numFmt w:val="bullet"/>
      <w:lvlText w:val=""/>
      <w:lvlJc w:val="left"/>
      <w:pPr>
        <w:ind w:left="3960" w:hanging="360"/>
      </w:pPr>
      <w:rPr>
        <w:rFonts w:ascii="Wingdings" w:hAnsi="Wingdings" w:hint="default"/>
      </w:rPr>
    </w:lvl>
    <w:lvl w:ilvl="6" w:tplc="74AC7E78">
      <w:start w:val="1"/>
      <w:numFmt w:val="bullet"/>
      <w:lvlText w:val=""/>
      <w:lvlJc w:val="left"/>
      <w:pPr>
        <w:ind w:left="4680" w:hanging="360"/>
      </w:pPr>
      <w:rPr>
        <w:rFonts w:ascii="Symbol" w:hAnsi="Symbol" w:hint="default"/>
      </w:rPr>
    </w:lvl>
    <w:lvl w:ilvl="7" w:tplc="560443AA">
      <w:start w:val="1"/>
      <w:numFmt w:val="bullet"/>
      <w:lvlText w:val="o"/>
      <w:lvlJc w:val="left"/>
      <w:pPr>
        <w:ind w:left="5400" w:hanging="360"/>
      </w:pPr>
      <w:rPr>
        <w:rFonts w:ascii="Courier New" w:hAnsi="Courier New" w:hint="default"/>
      </w:rPr>
    </w:lvl>
    <w:lvl w:ilvl="8" w:tplc="334A0388">
      <w:start w:val="1"/>
      <w:numFmt w:val="bullet"/>
      <w:lvlText w:val=""/>
      <w:lvlJc w:val="left"/>
      <w:pPr>
        <w:ind w:left="6120" w:hanging="360"/>
      </w:pPr>
      <w:rPr>
        <w:rFonts w:ascii="Wingdings" w:hAnsi="Wingdings" w:hint="default"/>
      </w:rPr>
    </w:lvl>
  </w:abstractNum>
  <w:abstractNum w:abstractNumId="225" w15:restartNumberingAfterBreak="0">
    <w:nsid w:val="55B37F12"/>
    <w:multiLevelType w:val="hybridMultilevel"/>
    <w:tmpl w:val="612C5A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6" w15:restartNumberingAfterBreak="0">
    <w:nsid w:val="5697142F"/>
    <w:multiLevelType w:val="hybridMultilevel"/>
    <w:tmpl w:val="C28C0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7" w15:restartNumberingAfterBreak="0">
    <w:nsid w:val="56C80617"/>
    <w:multiLevelType w:val="hybridMultilevel"/>
    <w:tmpl w:val="996ADC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8" w15:restartNumberingAfterBreak="0">
    <w:nsid w:val="57A92BAA"/>
    <w:multiLevelType w:val="hybridMultilevel"/>
    <w:tmpl w:val="E1041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9" w15:restartNumberingAfterBreak="0">
    <w:nsid w:val="57D269F8"/>
    <w:multiLevelType w:val="hybridMultilevel"/>
    <w:tmpl w:val="172662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0" w15:restartNumberingAfterBreak="0">
    <w:nsid w:val="58092065"/>
    <w:multiLevelType w:val="hybridMultilevel"/>
    <w:tmpl w:val="EE306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1" w15:restartNumberingAfterBreak="0">
    <w:nsid w:val="584E6EFE"/>
    <w:multiLevelType w:val="hybridMultilevel"/>
    <w:tmpl w:val="904656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2" w15:restartNumberingAfterBreak="0">
    <w:nsid w:val="58DA5BCF"/>
    <w:multiLevelType w:val="hybridMultilevel"/>
    <w:tmpl w:val="C54212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3" w15:restartNumberingAfterBreak="0">
    <w:nsid w:val="58EB6BD1"/>
    <w:multiLevelType w:val="hybridMultilevel"/>
    <w:tmpl w:val="0330A8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4" w15:restartNumberingAfterBreak="0">
    <w:nsid w:val="598223FE"/>
    <w:multiLevelType w:val="hybridMultilevel"/>
    <w:tmpl w:val="0BB2E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5" w15:restartNumberingAfterBreak="0">
    <w:nsid w:val="59FC7348"/>
    <w:multiLevelType w:val="hybridMultilevel"/>
    <w:tmpl w:val="D626E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6" w15:restartNumberingAfterBreak="0">
    <w:nsid w:val="5A26308B"/>
    <w:multiLevelType w:val="hybridMultilevel"/>
    <w:tmpl w:val="8360A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7" w15:restartNumberingAfterBreak="0">
    <w:nsid w:val="5A2D4B5B"/>
    <w:multiLevelType w:val="multilevel"/>
    <w:tmpl w:val="CC30EE5A"/>
    <w:lvl w:ilvl="0">
      <w:start w:val="1"/>
      <w:numFmt w:val="decimal"/>
      <w:pStyle w:val="Heading1"/>
      <w:lvlText w:val="%1"/>
      <w:lvlJc w:val="left"/>
      <w:pPr>
        <w:ind w:left="432" w:hanging="432"/>
      </w:pPr>
      <w:rPr>
        <w:rFonts w:hint="default"/>
      </w:rPr>
    </w:lvl>
    <w:lvl w:ilvl="1">
      <w:start w:val="1"/>
      <w:numFmt w:val="decimal"/>
      <w:pStyle w:val="Heading2"/>
      <w:lvlText w:val="3.%2"/>
      <w:lvlJc w:val="left"/>
      <w:pPr>
        <w:ind w:left="576" w:hanging="576"/>
      </w:pPr>
      <w:rPr>
        <w:rFonts w:hint="default"/>
      </w:rPr>
    </w:lvl>
    <w:lvl w:ilvl="2">
      <w:start w:val="1"/>
      <w:numFmt w:val="decimal"/>
      <w:pStyle w:val="Heading3"/>
      <w:lvlText w:val="3.%2.%3"/>
      <w:lvlJc w:val="left"/>
      <w:pPr>
        <w:ind w:left="720" w:hanging="720"/>
      </w:pPr>
      <w:rPr>
        <w:rFonts w:hint="default"/>
      </w:rPr>
    </w:lvl>
    <w:lvl w:ilvl="3">
      <w:start w:val="1"/>
      <w:numFmt w:val="decimal"/>
      <w:pStyle w:val="Heading4"/>
      <w:lvlText w:val="3.%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8" w15:restartNumberingAfterBreak="0">
    <w:nsid w:val="5AAA7E40"/>
    <w:multiLevelType w:val="hybridMultilevel"/>
    <w:tmpl w:val="7D745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9" w15:restartNumberingAfterBreak="0">
    <w:nsid w:val="5BD67A1B"/>
    <w:multiLevelType w:val="hybridMultilevel"/>
    <w:tmpl w:val="63F8B4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0" w15:restartNumberingAfterBreak="0">
    <w:nsid w:val="5BFE780B"/>
    <w:multiLevelType w:val="hybridMultilevel"/>
    <w:tmpl w:val="FF7E4C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1" w15:restartNumberingAfterBreak="0">
    <w:nsid w:val="5C381CAE"/>
    <w:multiLevelType w:val="hybridMultilevel"/>
    <w:tmpl w:val="FA66D0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2" w15:restartNumberingAfterBreak="0">
    <w:nsid w:val="5C5F7C16"/>
    <w:multiLevelType w:val="hybridMultilevel"/>
    <w:tmpl w:val="50E028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3" w15:restartNumberingAfterBreak="0">
    <w:nsid w:val="5C7E25CE"/>
    <w:multiLevelType w:val="hybridMultilevel"/>
    <w:tmpl w:val="384E52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4" w15:restartNumberingAfterBreak="0">
    <w:nsid w:val="5C9C10D8"/>
    <w:multiLevelType w:val="hybridMultilevel"/>
    <w:tmpl w:val="D0E6C0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5" w15:restartNumberingAfterBreak="0">
    <w:nsid w:val="5CBA17E1"/>
    <w:multiLevelType w:val="hybridMultilevel"/>
    <w:tmpl w:val="A2DA2B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6" w15:restartNumberingAfterBreak="0">
    <w:nsid w:val="5E8862D7"/>
    <w:multiLevelType w:val="hybridMultilevel"/>
    <w:tmpl w:val="FFFFFFFF"/>
    <w:lvl w:ilvl="0" w:tplc="3558CA60">
      <w:start w:val="1"/>
      <w:numFmt w:val="bullet"/>
      <w:lvlText w:val="·"/>
      <w:lvlJc w:val="left"/>
      <w:pPr>
        <w:ind w:left="720" w:hanging="360"/>
      </w:pPr>
      <w:rPr>
        <w:rFonts w:ascii="Symbol" w:hAnsi="Symbol" w:hint="default"/>
      </w:rPr>
    </w:lvl>
    <w:lvl w:ilvl="1" w:tplc="3FBA358A">
      <w:start w:val="1"/>
      <w:numFmt w:val="bullet"/>
      <w:lvlText w:val="o"/>
      <w:lvlJc w:val="left"/>
      <w:pPr>
        <w:ind w:left="1440" w:hanging="360"/>
      </w:pPr>
      <w:rPr>
        <w:rFonts w:ascii="Courier New" w:hAnsi="Courier New" w:hint="default"/>
      </w:rPr>
    </w:lvl>
    <w:lvl w:ilvl="2" w:tplc="5404801E">
      <w:start w:val="1"/>
      <w:numFmt w:val="bullet"/>
      <w:lvlText w:val=""/>
      <w:lvlJc w:val="left"/>
      <w:pPr>
        <w:ind w:left="2160" w:hanging="360"/>
      </w:pPr>
      <w:rPr>
        <w:rFonts w:ascii="Wingdings" w:hAnsi="Wingdings" w:hint="default"/>
      </w:rPr>
    </w:lvl>
    <w:lvl w:ilvl="3" w:tplc="93000A1C">
      <w:start w:val="1"/>
      <w:numFmt w:val="bullet"/>
      <w:lvlText w:val=""/>
      <w:lvlJc w:val="left"/>
      <w:pPr>
        <w:ind w:left="2880" w:hanging="360"/>
      </w:pPr>
      <w:rPr>
        <w:rFonts w:ascii="Symbol" w:hAnsi="Symbol" w:hint="default"/>
      </w:rPr>
    </w:lvl>
    <w:lvl w:ilvl="4" w:tplc="3912C3CC">
      <w:start w:val="1"/>
      <w:numFmt w:val="bullet"/>
      <w:lvlText w:val="o"/>
      <w:lvlJc w:val="left"/>
      <w:pPr>
        <w:ind w:left="3600" w:hanging="360"/>
      </w:pPr>
      <w:rPr>
        <w:rFonts w:ascii="Courier New" w:hAnsi="Courier New" w:hint="default"/>
      </w:rPr>
    </w:lvl>
    <w:lvl w:ilvl="5" w:tplc="0BF40B36">
      <w:start w:val="1"/>
      <w:numFmt w:val="bullet"/>
      <w:lvlText w:val=""/>
      <w:lvlJc w:val="left"/>
      <w:pPr>
        <w:ind w:left="4320" w:hanging="360"/>
      </w:pPr>
      <w:rPr>
        <w:rFonts w:ascii="Wingdings" w:hAnsi="Wingdings" w:hint="default"/>
      </w:rPr>
    </w:lvl>
    <w:lvl w:ilvl="6" w:tplc="5044D55C">
      <w:start w:val="1"/>
      <w:numFmt w:val="bullet"/>
      <w:lvlText w:val=""/>
      <w:lvlJc w:val="left"/>
      <w:pPr>
        <w:ind w:left="5040" w:hanging="360"/>
      </w:pPr>
      <w:rPr>
        <w:rFonts w:ascii="Symbol" w:hAnsi="Symbol" w:hint="default"/>
      </w:rPr>
    </w:lvl>
    <w:lvl w:ilvl="7" w:tplc="E772C4EC">
      <w:start w:val="1"/>
      <w:numFmt w:val="bullet"/>
      <w:lvlText w:val="o"/>
      <w:lvlJc w:val="left"/>
      <w:pPr>
        <w:ind w:left="5760" w:hanging="360"/>
      </w:pPr>
      <w:rPr>
        <w:rFonts w:ascii="Courier New" w:hAnsi="Courier New" w:hint="default"/>
      </w:rPr>
    </w:lvl>
    <w:lvl w:ilvl="8" w:tplc="1BDAFF58">
      <w:start w:val="1"/>
      <w:numFmt w:val="bullet"/>
      <w:lvlText w:val=""/>
      <w:lvlJc w:val="left"/>
      <w:pPr>
        <w:ind w:left="6480" w:hanging="360"/>
      </w:pPr>
      <w:rPr>
        <w:rFonts w:ascii="Wingdings" w:hAnsi="Wingdings" w:hint="default"/>
      </w:rPr>
    </w:lvl>
  </w:abstractNum>
  <w:abstractNum w:abstractNumId="247" w15:restartNumberingAfterBreak="0">
    <w:nsid w:val="5EDF656F"/>
    <w:multiLevelType w:val="hybridMultilevel"/>
    <w:tmpl w:val="2362B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8" w15:restartNumberingAfterBreak="0">
    <w:nsid w:val="5F4D6656"/>
    <w:multiLevelType w:val="hybridMultilevel"/>
    <w:tmpl w:val="FFFFFFFF"/>
    <w:lvl w:ilvl="0" w:tplc="69FC5E46">
      <w:start w:val="1"/>
      <w:numFmt w:val="bullet"/>
      <w:lvlText w:val="·"/>
      <w:lvlJc w:val="left"/>
      <w:pPr>
        <w:ind w:left="720" w:hanging="360"/>
      </w:pPr>
      <w:rPr>
        <w:rFonts w:ascii="Symbol" w:hAnsi="Symbol" w:hint="default"/>
      </w:rPr>
    </w:lvl>
    <w:lvl w:ilvl="1" w:tplc="3C36542E">
      <w:start w:val="1"/>
      <w:numFmt w:val="bullet"/>
      <w:lvlText w:val="o"/>
      <w:lvlJc w:val="left"/>
      <w:pPr>
        <w:ind w:left="1440" w:hanging="360"/>
      </w:pPr>
      <w:rPr>
        <w:rFonts w:ascii="Courier New" w:hAnsi="Courier New" w:hint="default"/>
      </w:rPr>
    </w:lvl>
    <w:lvl w:ilvl="2" w:tplc="FEC44B06">
      <w:start w:val="1"/>
      <w:numFmt w:val="bullet"/>
      <w:lvlText w:val=""/>
      <w:lvlJc w:val="left"/>
      <w:pPr>
        <w:ind w:left="2160" w:hanging="360"/>
      </w:pPr>
      <w:rPr>
        <w:rFonts w:ascii="Wingdings" w:hAnsi="Wingdings" w:hint="default"/>
      </w:rPr>
    </w:lvl>
    <w:lvl w:ilvl="3" w:tplc="B56ED12C">
      <w:start w:val="1"/>
      <w:numFmt w:val="bullet"/>
      <w:lvlText w:val=""/>
      <w:lvlJc w:val="left"/>
      <w:pPr>
        <w:ind w:left="2880" w:hanging="360"/>
      </w:pPr>
      <w:rPr>
        <w:rFonts w:ascii="Symbol" w:hAnsi="Symbol" w:hint="default"/>
      </w:rPr>
    </w:lvl>
    <w:lvl w:ilvl="4" w:tplc="40402C3E">
      <w:start w:val="1"/>
      <w:numFmt w:val="bullet"/>
      <w:lvlText w:val="o"/>
      <w:lvlJc w:val="left"/>
      <w:pPr>
        <w:ind w:left="3600" w:hanging="360"/>
      </w:pPr>
      <w:rPr>
        <w:rFonts w:ascii="Courier New" w:hAnsi="Courier New" w:hint="default"/>
      </w:rPr>
    </w:lvl>
    <w:lvl w:ilvl="5" w:tplc="A8F2C776">
      <w:start w:val="1"/>
      <w:numFmt w:val="bullet"/>
      <w:lvlText w:val=""/>
      <w:lvlJc w:val="left"/>
      <w:pPr>
        <w:ind w:left="4320" w:hanging="360"/>
      </w:pPr>
      <w:rPr>
        <w:rFonts w:ascii="Wingdings" w:hAnsi="Wingdings" w:hint="default"/>
      </w:rPr>
    </w:lvl>
    <w:lvl w:ilvl="6" w:tplc="A170E080">
      <w:start w:val="1"/>
      <w:numFmt w:val="bullet"/>
      <w:lvlText w:val=""/>
      <w:lvlJc w:val="left"/>
      <w:pPr>
        <w:ind w:left="5040" w:hanging="360"/>
      </w:pPr>
      <w:rPr>
        <w:rFonts w:ascii="Symbol" w:hAnsi="Symbol" w:hint="default"/>
      </w:rPr>
    </w:lvl>
    <w:lvl w:ilvl="7" w:tplc="4A2E5720">
      <w:start w:val="1"/>
      <w:numFmt w:val="bullet"/>
      <w:lvlText w:val="o"/>
      <w:lvlJc w:val="left"/>
      <w:pPr>
        <w:ind w:left="5760" w:hanging="360"/>
      </w:pPr>
      <w:rPr>
        <w:rFonts w:ascii="Courier New" w:hAnsi="Courier New" w:hint="default"/>
      </w:rPr>
    </w:lvl>
    <w:lvl w:ilvl="8" w:tplc="EA7AE896">
      <w:start w:val="1"/>
      <w:numFmt w:val="bullet"/>
      <w:lvlText w:val=""/>
      <w:lvlJc w:val="left"/>
      <w:pPr>
        <w:ind w:left="6480" w:hanging="360"/>
      </w:pPr>
      <w:rPr>
        <w:rFonts w:ascii="Wingdings" w:hAnsi="Wingdings" w:hint="default"/>
      </w:rPr>
    </w:lvl>
  </w:abstractNum>
  <w:abstractNum w:abstractNumId="249" w15:restartNumberingAfterBreak="0">
    <w:nsid w:val="5FA17554"/>
    <w:multiLevelType w:val="hybridMultilevel"/>
    <w:tmpl w:val="FFFFFFFF"/>
    <w:lvl w:ilvl="0" w:tplc="D758DFAC">
      <w:start w:val="1"/>
      <w:numFmt w:val="bullet"/>
      <w:lvlText w:val="·"/>
      <w:lvlJc w:val="left"/>
      <w:pPr>
        <w:ind w:left="720" w:hanging="360"/>
      </w:pPr>
      <w:rPr>
        <w:rFonts w:ascii="Symbol" w:hAnsi="Symbol" w:hint="default"/>
      </w:rPr>
    </w:lvl>
    <w:lvl w:ilvl="1" w:tplc="888015EE">
      <w:start w:val="1"/>
      <w:numFmt w:val="bullet"/>
      <w:lvlText w:val="o"/>
      <w:lvlJc w:val="left"/>
      <w:pPr>
        <w:ind w:left="1440" w:hanging="360"/>
      </w:pPr>
      <w:rPr>
        <w:rFonts w:ascii="Courier New" w:hAnsi="Courier New" w:hint="default"/>
      </w:rPr>
    </w:lvl>
    <w:lvl w:ilvl="2" w:tplc="C644BE4E">
      <w:start w:val="1"/>
      <w:numFmt w:val="bullet"/>
      <w:lvlText w:val=""/>
      <w:lvlJc w:val="left"/>
      <w:pPr>
        <w:ind w:left="2160" w:hanging="360"/>
      </w:pPr>
      <w:rPr>
        <w:rFonts w:ascii="Wingdings" w:hAnsi="Wingdings" w:hint="default"/>
      </w:rPr>
    </w:lvl>
    <w:lvl w:ilvl="3" w:tplc="3638543E">
      <w:start w:val="1"/>
      <w:numFmt w:val="bullet"/>
      <w:lvlText w:val=""/>
      <w:lvlJc w:val="left"/>
      <w:pPr>
        <w:ind w:left="2880" w:hanging="360"/>
      </w:pPr>
      <w:rPr>
        <w:rFonts w:ascii="Symbol" w:hAnsi="Symbol" w:hint="default"/>
      </w:rPr>
    </w:lvl>
    <w:lvl w:ilvl="4" w:tplc="2FCC056E">
      <w:start w:val="1"/>
      <w:numFmt w:val="bullet"/>
      <w:lvlText w:val="o"/>
      <w:lvlJc w:val="left"/>
      <w:pPr>
        <w:ind w:left="3600" w:hanging="360"/>
      </w:pPr>
      <w:rPr>
        <w:rFonts w:ascii="Courier New" w:hAnsi="Courier New" w:hint="default"/>
      </w:rPr>
    </w:lvl>
    <w:lvl w:ilvl="5" w:tplc="A4A85D0A">
      <w:start w:val="1"/>
      <w:numFmt w:val="bullet"/>
      <w:lvlText w:val=""/>
      <w:lvlJc w:val="left"/>
      <w:pPr>
        <w:ind w:left="4320" w:hanging="360"/>
      </w:pPr>
      <w:rPr>
        <w:rFonts w:ascii="Wingdings" w:hAnsi="Wingdings" w:hint="default"/>
      </w:rPr>
    </w:lvl>
    <w:lvl w:ilvl="6" w:tplc="C4F6CCF2">
      <w:start w:val="1"/>
      <w:numFmt w:val="bullet"/>
      <w:lvlText w:val=""/>
      <w:lvlJc w:val="left"/>
      <w:pPr>
        <w:ind w:left="5040" w:hanging="360"/>
      </w:pPr>
      <w:rPr>
        <w:rFonts w:ascii="Symbol" w:hAnsi="Symbol" w:hint="default"/>
      </w:rPr>
    </w:lvl>
    <w:lvl w:ilvl="7" w:tplc="008447DC">
      <w:start w:val="1"/>
      <w:numFmt w:val="bullet"/>
      <w:lvlText w:val="o"/>
      <w:lvlJc w:val="left"/>
      <w:pPr>
        <w:ind w:left="5760" w:hanging="360"/>
      </w:pPr>
      <w:rPr>
        <w:rFonts w:ascii="Courier New" w:hAnsi="Courier New" w:hint="default"/>
      </w:rPr>
    </w:lvl>
    <w:lvl w:ilvl="8" w:tplc="2D86F68E">
      <w:start w:val="1"/>
      <w:numFmt w:val="bullet"/>
      <w:lvlText w:val=""/>
      <w:lvlJc w:val="left"/>
      <w:pPr>
        <w:ind w:left="6480" w:hanging="360"/>
      </w:pPr>
      <w:rPr>
        <w:rFonts w:ascii="Wingdings" w:hAnsi="Wingdings" w:hint="default"/>
      </w:rPr>
    </w:lvl>
  </w:abstractNum>
  <w:abstractNum w:abstractNumId="250" w15:restartNumberingAfterBreak="0">
    <w:nsid w:val="60C2448F"/>
    <w:multiLevelType w:val="hybridMultilevel"/>
    <w:tmpl w:val="FFFFFFFF"/>
    <w:lvl w:ilvl="0" w:tplc="ED5A278A">
      <w:start w:val="1"/>
      <w:numFmt w:val="bullet"/>
      <w:lvlText w:val="·"/>
      <w:lvlJc w:val="left"/>
      <w:pPr>
        <w:ind w:left="360" w:hanging="360"/>
      </w:pPr>
      <w:rPr>
        <w:rFonts w:ascii="Symbol" w:hAnsi="Symbol" w:hint="default"/>
      </w:rPr>
    </w:lvl>
    <w:lvl w:ilvl="1" w:tplc="50B0CE84">
      <w:start w:val="1"/>
      <w:numFmt w:val="bullet"/>
      <w:lvlText w:val="o"/>
      <w:lvlJc w:val="left"/>
      <w:pPr>
        <w:ind w:left="1080" w:hanging="360"/>
      </w:pPr>
      <w:rPr>
        <w:rFonts w:ascii="Courier New" w:hAnsi="Courier New" w:hint="default"/>
      </w:rPr>
    </w:lvl>
    <w:lvl w:ilvl="2" w:tplc="4C00F162">
      <w:start w:val="1"/>
      <w:numFmt w:val="bullet"/>
      <w:lvlText w:val=""/>
      <w:lvlJc w:val="left"/>
      <w:pPr>
        <w:ind w:left="1800" w:hanging="360"/>
      </w:pPr>
      <w:rPr>
        <w:rFonts w:ascii="Wingdings" w:hAnsi="Wingdings" w:hint="default"/>
      </w:rPr>
    </w:lvl>
    <w:lvl w:ilvl="3" w:tplc="F558D386">
      <w:start w:val="1"/>
      <w:numFmt w:val="bullet"/>
      <w:lvlText w:val=""/>
      <w:lvlJc w:val="left"/>
      <w:pPr>
        <w:ind w:left="2520" w:hanging="360"/>
      </w:pPr>
      <w:rPr>
        <w:rFonts w:ascii="Symbol" w:hAnsi="Symbol" w:hint="default"/>
      </w:rPr>
    </w:lvl>
    <w:lvl w:ilvl="4" w:tplc="316ED860">
      <w:start w:val="1"/>
      <w:numFmt w:val="bullet"/>
      <w:lvlText w:val="o"/>
      <w:lvlJc w:val="left"/>
      <w:pPr>
        <w:ind w:left="3240" w:hanging="360"/>
      </w:pPr>
      <w:rPr>
        <w:rFonts w:ascii="Courier New" w:hAnsi="Courier New" w:hint="default"/>
      </w:rPr>
    </w:lvl>
    <w:lvl w:ilvl="5" w:tplc="91120ADA">
      <w:start w:val="1"/>
      <w:numFmt w:val="bullet"/>
      <w:lvlText w:val=""/>
      <w:lvlJc w:val="left"/>
      <w:pPr>
        <w:ind w:left="3960" w:hanging="360"/>
      </w:pPr>
      <w:rPr>
        <w:rFonts w:ascii="Wingdings" w:hAnsi="Wingdings" w:hint="default"/>
      </w:rPr>
    </w:lvl>
    <w:lvl w:ilvl="6" w:tplc="87AEC034">
      <w:start w:val="1"/>
      <w:numFmt w:val="bullet"/>
      <w:lvlText w:val=""/>
      <w:lvlJc w:val="left"/>
      <w:pPr>
        <w:ind w:left="4680" w:hanging="360"/>
      </w:pPr>
      <w:rPr>
        <w:rFonts w:ascii="Symbol" w:hAnsi="Symbol" w:hint="default"/>
      </w:rPr>
    </w:lvl>
    <w:lvl w:ilvl="7" w:tplc="362A577C">
      <w:start w:val="1"/>
      <w:numFmt w:val="bullet"/>
      <w:lvlText w:val="o"/>
      <w:lvlJc w:val="left"/>
      <w:pPr>
        <w:ind w:left="5400" w:hanging="360"/>
      </w:pPr>
      <w:rPr>
        <w:rFonts w:ascii="Courier New" w:hAnsi="Courier New" w:hint="default"/>
      </w:rPr>
    </w:lvl>
    <w:lvl w:ilvl="8" w:tplc="C5D891B8">
      <w:start w:val="1"/>
      <w:numFmt w:val="bullet"/>
      <w:lvlText w:val=""/>
      <w:lvlJc w:val="left"/>
      <w:pPr>
        <w:ind w:left="6120" w:hanging="360"/>
      </w:pPr>
      <w:rPr>
        <w:rFonts w:ascii="Wingdings" w:hAnsi="Wingdings" w:hint="default"/>
      </w:rPr>
    </w:lvl>
  </w:abstractNum>
  <w:abstractNum w:abstractNumId="251" w15:restartNumberingAfterBreak="0">
    <w:nsid w:val="60E202F0"/>
    <w:multiLevelType w:val="hybridMultilevel"/>
    <w:tmpl w:val="AA8A0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2" w15:restartNumberingAfterBreak="0">
    <w:nsid w:val="61E9046A"/>
    <w:multiLevelType w:val="hybridMultilevel"/>
    <w:tmpl w:val="16BA5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3" w15:restartNumberingAfterBreak="0">
    <w:nsid w:val="62B57A11"/>
    <w:multiLevelType w:val="hybridMultilevel"/>
    <w:tmpl w:val="3BA48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4" w15:restartNumberingAfterBreak="0">
    <w:nsid w:val="62D13D55"/>
    <w:multiLevelType w:val="hybridMultilevel"/>
    <w:tmpl w:val="6652DA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5" w15:restartNumberingAfterBreak="0">
    <w:nsid w:val="64D5168A"/>
    <w:multiLevelType w:val="hybridMultilevel"/>
    <w:tmpl w:val="AEB010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6" w15:restartNumberingAfterBreak="0">
    <w:nsid w:val="64F025D7"/>
    <w:multiLevelType w:val="hybridMultilevel"/>
    <w:tmpl w:val="D8E673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7" w15:restartNumberingAfterBreak="0">
    <w:nsid w:val="653F6D70"/>
    <w:multiLevelType w:val="hybridMultilevel"/>
    <w:tmpl w:val="7C6E246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8" w15:restartNumberingAfterBreak="0">
    <w:nsid w:val="664B268A"/>
    <w:multiLevelType w:val="hybridMultilevel"/>
    <w:tmpl w:val="FFFFFFFF"/>
    <w:lvl w:ilvl="0" w:tplc="7970636A">
      <w:start w:val="1"/>
      <w:numFmt w:val="bullet"/>
      <w:lvlText w:val="·"/>
      <w:lvlJc w:val="left"/>
      <w:pPr>
        <w:ind w:left="360" w:hanging="360"/>
      </w:pPr>
      <w:rPr>
        <w:rFonts w:ascii="Symbol" w:hAnsi="Symbol" w:hint="default"/>
      </w:rPr>
    </w:lvl>
    <w:lvl w:ilvl="1" w:tplc="53B6F482">
      <w:start w:val="1"/>
      <w:numFmt w:val="bullet"/>
      <w:lvlText w:val="o"/>
      <w:lvlJc w:val="left"/>
      <w:pPr>
        <w:ind w:left="1080" w:hanging="360"/>
      </w:pPr>
      <w:rPr>
        <w:rFonts w:ascii="Courier New" w:hAnsi="Courier New" w:hint="default"/>
      </w:rPr>
    </w:lvl>
    <w:lvl w:ilvl="2" w:tplc="E7B2214E">
      <w:start w:val="1"/>
      <w:numFmt w:val="bullet"/>
      <w:lvlText w:val=""/>
      <w:lvlJc w:val="left"/>
      <w:pPr>
        <w:ind w:left="1800" w:hanging="360"/>
      </w:pPr>
      <w:rPr>
        <w:rFonts w:ascii="Wingdings" w:hAnsi="Wingdings" w:hint="default"/>
      </w:rPr>
    </w:lvl>
    <w:lvl w:ilvl="3" w:tplc="106A37E4">
      <w:start w:val="1"/>
      <w:numFmt w:val="bullet"/>
      <w:lvlText w:val=""/>
      <w:lvlJc w:val="left"/>
      <w:pPr>
        <w:ind w:left="2520" w:hanging="360"/>
      </w:pPr>
      <w:rPr>
        <w:rFonts w:ascii="Symbol" w:hAnsi="Symbol" w:hint="default"/>
      </w:rPr>
    </w:lvl>
    <w:lvl w:ilvl="4" w:tplc="70F878D6">
      <w:start w:val="1"/>
      <w:numFmt w:val="bullet"/>
      <w:lvlText w:val="o"/>
      <w:lvlJc w:val="left"/>
      <w:pPr>
        <w:ind w:left="3240" w:hanging="360"/>
      </w:pPr>
      <w:rPr>
        <w:rFonts w:ascii="Courier New" w:hAnsi="Courier New" w:hint="default"/>
      </w:rPr>
    </w:lvl>
    <w:lvl w:ilvl="5" w:tplc="2528C7F2">
      <w:start w:val="1"/>
      <w:numFmt w:val="bullet"/>
      <w:lvlText w:val=""/>
      <w:lvlJc w:val="left"/>
      <w:pPr>
        <w:ind w:left="3960" w:hanging="360"/>
      </w:pPr>
      <w:rPr>
        <w:rFonts w:ascii="Wingdings" w:hAnsi="Wingdings" w:hint="default"/>
      </w:rPr>
    </w:lvl>
    <w:lvl w:ilvl="6" w:tplc="298C5B60">
      <w:start w:val="1"/>
      <w:numFmt w:val="bullet"/>
      <w:lvlText w:val=""/>
      <w:lvlJc w:val="left"/>
      <w:pPr>
        <w:ind w:left="4680" w:hanging="360"/>
      </w:pPr>
      <w:rPr>
        <w:rFonts w:ascii="Symbol" w:hAnsi="Symbol" w:hint="default"/>
      </w:rPr>
    </w:lvl>
    <w:lvl w:ilvl="7" w:tplc="038A44DC">
      <w:start w:val="1"/>
      <w:numFmt w:val="bullet"/>
      <w:lvlText w:val="o"/>
      <w:lvlJc w:val="left"/>
      <w:pPr>
        <w:ind w:left="5400" w:hanging="360"/>
      </w:pPr>
      <w:rPr>
        <w:rFonts w:ascii="Courier New" w:hAnsi="Courier New" w:hint="default"/>
      </w:rPr>
    </w:lvl>
    <w:lvl w:ilvl="8" w:tplc="F86046F6">
      <w:start w:val="1"/>
      <w:numFmt w:val="bullet"/>
      <w:lvlText w:val=""/>
      <w:lvlJc w:val="left"/>
      <w:pPr>
        <w:ind w:left="6120" w:hanging="360"/>
      </w:pPr>
      <w:rPr>
        <w:rFonts w:ascii="Wingdings" w:hAnsi="Wingdings" w:hint="default"/>
      </w:rPr>
    </w:lvl>
  </w:abstractNum>
  <w:abstractNum w:abstractNumId="259" w15:restartNumberingAfterBreak="0">
    <w:nsid w:val="66620603"/>
    <w:multiLevelType w:val="hybridMultilevel"/>
    <w:tmpl w:val="7F9018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0" w15:restartNumberingAfterBreak="0">
    <w:nsid w:val="6670217D"/>
    <w:multiLevelType w:val="hybridMultilevel"/>
    <w:tmpl w:val="DAE65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1" w15:restartNumberingAfterBreak="0">
    <w:nsid w:val="66C722CF"/>
    <w:multiLevelType w:val="hybridMultilevel"/>
    <w:tmpl w:val="51F22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2" w15:restartNumberingAfterBreak="0">
    <w:nsid w:val="66EB16A5"/>
    <w:multiLevelType w:val="hybridMultilevel"/>
    <w:tmpl w:val="B4104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3" w15:restartNumberingAfterBreak="0">
    <w:nsid w:val="676C748B"/>
    <w:multiLevelType w:val="hybridMultilevel"/>
    <w:tmpl w:val="B1080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4" w15:restartNumberingAfterBreak="0">
    <w:nsid w:val="67962873"/>
    <w:multiLevelType w:val="hybridMultilevel"/>
    <w:tmpl w:val="FFFFFFFF"/>
    <w:lvl w:ilvl="0" w:tplc="F0243184">
      <w:start w:val="1"/>
      <w:numFmt w:val="bullet"/>
      <w:lvlText w:val="·"/>
      <w:lvlJc w:val="left"/>
      <w:pPr>
        <w:ind w:left="720" w:hanging="360"/>
      </w:pPr>
      <w:rPr>
        <w:rFonts w:ascii="Symbol" w:hAnsi="Symbol" w:hint="default"/>
      </w:rPr>
    </w:lvl>
    <w:lvl w:ilvl="1" w:tplc="FF248B28">
      <w:start w:val="1"/>
      <w:numFmt w:val="bullet"/>
      <w:lvlText w:val="o"/>
      <w:lvlJc w:val="left"/>
      <w:pPr>
        <w:ind w:left="1440" w:hanging="360"/>
      </w:pPr>
      <w:rPr>
        <w:rFonts w:ascii="Courier New" w:hAnsi="Courier New" w:hint="default"/>
      </w:rPr>
    </w:lvl>
    <w:lvl w:ilvl="2" w:tplc="0D6C43AC">
      <w:start w:val="1"/>
      <w:numFmt w:val="bullet"/>
      <w:lvlText w:val=""/>
      <w:lvlJc w:val="left"/>
      <w:pPr>
        <w:ind w:left="2160" w:hanging="360"/>
      </w:pPr>
      <w:rPr>
        <w:rFonts w:ascii="Wingdings" w:hAnsi="Wingdings" w:hint="default"/>
      </w:rPr>
    </w:lvl>
    <w:lvl w:ilvl="3" w:tplc="994C8602">
      <w:start w:val="1"/>
      <w:numFmt w:val="bullet"/>
      <w:lvlText w:val=""/>
      <w:lvlJc w:val="left"/>
      <w:pPr>
        <w:ind w:left="2880" w:hanging="360"/>
      </w:pPr>
      <w:rPr>
        <w:rFonts w:ascii="Symbol" w:hAnsi="Symbol" w:hint="default"/>
      </w:rPr>
    </w:lvl>
    <w:lvl w:ilvl="4" w:tplc="97D68E28">
      <w:start w:val="1"/>
      <w:numFmt w:val="bullet"/>
      <w:lvlText w:val="o"/>
      <w:lvlJc w:val="left"/>
      <w:pPr>
        <w:ind w:left="3600" w:hanging="360"/>
      </w:pPr>
      <w:rPr>
        <w:rFonts w:ascii="Courier New" w:hAnsi="Courier New" w:hint="default"/>
      </w:rPr>
    </w:lvl>
    <w:lvl w:ilvl="5" w:tplc="39E8F940">
      <w:start w:val="1"/>
      <w:numFmt w:val="bullet"/>
      <w:lvlText w:val=""/>
      <w:lvlJc w:val="left"/>
      <w:pPr>
        <w:ind w:left="4320" w:hanging="360"/>
      </w:pPr>
      <w:rPr>
        <w:rFonts w:ascii="Wingdings" w:hAnsi="Wingdings" w:hint="default"/>
      </w:rPr>
    </w:lvl>
    <w:lvl w:ilvl="6" w:tplc="D042F78A">
      <w:start w:val="1"/>
      <w:numFmt w:val="bullet"/>
      <w:lvlText w:val=""/>
      <w:lvlJc w:val="left"/>
      <w:pPr>
        <w:ind w:left="5040" w:hanging="360"/>
      </w:pPr>
      <w:rPr>
        <w:rFonts w:ascii="Symbol" w:hAnsi="Symbol" w:hint="default"/>
      </w:rPr>
    </w:lvl>
    <w:lvl w:ilvl="7" w:tplc="305A5132">
      <w:start w:val="1"/>
      <w:numFmt w:val="bullet"/>
      <w:lvlText w:val="o"/>
      <w:lvlJc w:val="left"/>
      <w:pPr>
        <w:ind w:left="5760" w:hanging="360"/>
      </w:pPr>
      <w:rPr>
        <w:rFonts w:ascii="Courier New" w:hAnsi="Courier New" w:hint="default"/>
      </w:rPr>
    </w:lvl>
    <w:lvl w:ilvl="8" w:tplc="3AB6A964">
      <w:start w:val="1"/>
      <w:numFmt w:val="bullet"/>
      <w:lvlText w:val=""/>
      <w:lvlJc w:val="left"/>
      <w:pPr>
        <w:ind w:left="6480" w:hanging="360"/>
      </w:pPr>
      <w:rPr>
        <w:rFonts w:ascii="Wingdings" w:hAnsi="Wingdings" w:hint="default"/>
      </w:rPr>
    </w:lvl>
  </w:abstractNum>
  <w:abstractNum w:abstractNumId="265" w15:restartNumberingAfterBreak="0">
    <w:nsid w:val="67B67A9D"/>
    <w:multiLevelType w:val="hybridMultilevel"/>
    <w:tmpl w:val="FFFFFFFF"/>
    <w:lvl w:ilvl="0" w:tplc="382C4AD2">
      <w:start w:val="1"/>
      <w:numFmt w:val="bullet"/>
      <w:lvlText w:val="·"/>
      <w:lvlJc w:val="left"/>
      <w:pPr>
        <w:ind w:left="720" w:hanging="360"/>
      </w:pPr>
      <w:rPr>
        <w:rFonts w:ascii="Symbol" w:hAnsi="Symbol" w:hint="default"/>
      </w:rPr>
    </w:lvl>
    <w:lvl w:ilvl="1" w:tplc="DAC0B8B4">
      <w:start w:val="1"/>
      <w:numFmt w:val="bullet"/>
      <w:lvlText w:val="o"/>
      <w:lvlJc w:val="left"/>
      <w:pPr>
        <w:ind w:left="1440" w:hanging="360"/>
      </w:pPr>
      <w:rPr>
        <w:rFonts w:ascii="Courier New" w:hAnsi="Courier New" w:hint="default"/>
      </w:rPr>
    </w:lvl>
    <w:lvl w:ilvl="2" w:tplc="8188C174">
      <w:start w:val="1"/>
      <w:numFmt w:val="bullet"/>
      <w:lvlText w:val=""/>
      <w:lvlJc w:val="left"/>
      <w:pPr>
        <w:ind w:left="2160" w:hanging="360"/>
      </w:pPr>
      <w:rPr>
        <w:rFonts w:ascii="Wingdings" w:hAnsi="Wingdings" w:hint="default"/>
      </w:rPr>
    </w:lvl>
    <w:lvl w:ilvl="3" w:tplc="F724B082">
      <w:start w:val="1"/>
      <w:numFmt w:val="bullet"/>
      <w:lvlText w:val=""/>
      <w:lvlJc w:val="left"/>
      <w:pPr>
        <w:ind w:left="2880" w:hanging="360"/>
      </w:pPr>
      <w:rPr>
        <w:rFonts w:ascii="Symbol" w:hAnsi="Symbol" w:hint="default"/>
      </w:rPr>
    </w:lvl>
    <w:lvl w:ilvl="4" w:tplc="05DADA20">
      <w:start w:val="1"/>
      <w:numFmt w:val="bullet"/>
      <w:lvlText w:val="o"/>
      <w:lvlJc w:val="left"/>
      <w:pPr>
        <w:ind w:left="3600" w:hanging="360"/>
      </w:pPr>
      <w:rPr>
        <w:rFonts w:ascii="Courier New" w:hAnsi="Courier New" w:hint="default"/>
      </w:rPr>
    </w:lvl>
    <w:lvl w:ilvl="5" w:tplc="9A261806">
      <w:start w:val="1"/>
      <w:numFmt w:val="bullet"/>
      <w:lvlText w:val=""/>
      <w:lvlJc w:val="left"/>
      <w:pPr>
        <w:ind w:left="4320" w:hanging="360"/>
      </w:pPr>
      <w:rPr>
        <w:rFonts w:ascii="Wingdings" w:hAnsi="Wingdings" w:hint="default"/>
      </w:rPr>
    </w:lvl>
    <w:lvl w:ilvl="6" w:tplc="E7F8D3D4">
      <w:start w:val="1"/>
      <w:numFmt w:val="bullet"/>
      <w:lvlText w:val=""/>
      <w:lvlJc w:val="left"/>
      <w:pPr>
        <w:ind w:left="5040" w:hanging="360"/>
      </w:pPr>
      <w:rPr>
        <w:rFonts w:ascii="Symbol" w:hAnsi="Symbol" w:hint="default"/>
      </w:rPr>
    </w:lvl>
    <w:lvl w:ilvl="7" w:tplc="21285D9C">
      <w:start w:val="1"/>
      <w:numFmt w:val="bullet"/>
      <w:lvlText w:val="o"/>
      <w:lvlJc w:val="left"/>
      <w:pPr>
        <w:ind w:left="5760" w:hanging="360"/>
      </w:pPr>
      <w:rPr>
        <w:rFonts w:ascii="Courier New" w:hAnsi="Courier New" w:hint="default"/>
      </w:rPr>
    </w:lvl>
    <w:lvl w:ilvl="8" w:tplc="83584E64">
      <w:start w:val="1"/>
      <w:numFmt w:val="bullet"/>
      <w:lvlText w:val=""/>
      <w:lvlJc w:val="left"/>
      <w:pPr>
        <w:ind w:left="6480" w:hanging="360"/>
      </w:pPr>
      <w:rPr>
        <w:rFonts w:ascii="Wingdings" w:hAnsi="Wingdings" w:hint="default"/>
      </w:rPr>
    </w:lvl>
  </w:abstractNum>
  <w:abstractNum w:abstractNumId="266" w15:restartNumberingAfterBreak="0">
    <w:nsid w:val="68566E06"/>
    <w:multiLevelType w:val="hybridMultilevel"/>
    <w:tmpl w:val="6AE0A6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7" w15:restartNumberingAfterBreak="0">
    <w:nsid w:val="6883247B"/>
    <w:multiLevelType w:val="hybridMultilevel"/>
    <w:tmpl w:val="765E99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8" w15:restartNumberingAfterBreak="0">
    <w:nsid w:val="689970A8"/>
    <w:multiLevelType w:val="hybridMultilevel"/>
    <w:tmpl w:val="FFFFFFFF"/>
    <w:lvl w:ilvl="0" w:tplc="5C60627C">
      <w:start w:val="1"/>
      <w:numFmt w:val="bullet"/>
      <w:lvlText w:val="·"/>
      <w:lvlJc w:val="left"/>
      <w:pPr>
        <w:ind w:left="720" w:hanging="360"/>
      </w:pPr>
      <w:rPr>
        <w:rFonts w:ascii="Symbol" w:hAnsi="Symbol" w:hint="default"/>
      </w:rPr>
    </w:lvl>
    <w:lvl w:ilvl="1" w:tplc="BB505AAC">
      <w:start w:val="1"/>
      <w:numFmt w:val="bullet"/>
      <w:lvlText w:val="o"/>
      <w:lvlJc w:val="left"/>
      <w:pPr>
        <w:ind w:left="1440" w:hanging="360"/>
      </w:pPr>
      <w:rPr>
        <w:rFonts w:ascii="Courier New" w:hAnsi="Courier New" w:hint="default"/>
      </w:rPr>
    </w:lvl>
    <w:lvl w:ilvl="2" w:tplc="D23492E8">
      <w:start w:val="1"/>
      <w:numFmt w:val="bullet"/>
      <w:lvlText w:val=""/>
      <w:lvlJc w:val="left"/>
      <w:pPr>
        <w:ind w:left="2160" w:hanging="360"/>
      </w:pPr>
      <w:rPr>
        <w:rFonts w:ascii="Wingdings" w:hAnsi="Wingdings" w:hint="default"/>
      </w:rPr>
    </w:lvl>
    <w:lvl w:ilvl="3" w:tplc="55809266">
      <w:start w:val="1"/>
      <w:numFmt w:val="bullet"/>
      <w:lvlText w:val=""/>
      <w:lvlJc w:val="left"/>
      <w:pPr>
        <w:ind w:left="2880" w:hanging="360"/>
      </w:pPr>
      <w:rPr>
        <w:rFonts w:ascii="Symbol" w:hAnsi="Symbol" w:hint="default"/>
      </w:rPr>
    </w:lvl>
    <w:lvl w:ilvl="4" w:tplc="FC4A3806">
      <w:start w:val="1"/>
      <w:numFmt w:val="bullet"/>
      <w:lvlText w:val="o"/>
      <w:lvlJc w:val="left"/>
      <w:pPr>
        <w:ind w:left="3600" w:hanging="360"/>
      </w:pPr>
      <w:rPr>
        <w:rFonts w:ascii="Courier New" w:hAnsi="Courier New" w:hint="default"/>
      </w:rPr>
    </w:lvl>
    <w:lvl w:ilvl="5" w:tplc="B60432B4">
      <w:start w:val="1"/>
      <w:numFmt w:val="bullet"/>
      <w:lvlText w:val=""/>
      <w:lvlJc w:val="left"/>
      <w:pPr>
        <w:ind w:left="4320" w:hanging="360"/>
      </w:pPr>
      <w:rPr>
        <w:rFonts w:ascii="Wingdings" w:hAnsi="Wingdings" w:hint="default"/>
      </w:rPr>
    </w:lvl>
    <w:lvl w:ilvl="6" w:tplc="825C627C">
      <w:start w:val="1"/>
      <w:numFmt w:val="bullet"/>
      <w:lvlText w:val=""/>
      <w:lvlJc w:val="left"/>
      <w:pPr>
        <w:ind w:left="5040" w:hanging="360"/>
      </w:pPr>
      <w:rPr>
        <w:rFonts w:ascii="Symbol" w:hAnsi="Symbol" w:hint="default"/>
      </w:rPr>
    </w:lvl>
    <w:lvl w:ilvl="7" w:tplc="9F70243A">
      <w:start w:val="1"/>
      <w:numFmt w:val="bullet"/>
      <w:lvlText w:val="o"/>
      <w:lvlJc w:val="left"/>
      <w:pPr>
        <w:ind w:left="5760" w:hanging="360"/>
      </w:pPr>
      <w:rPr>
        <w:rFonts w:ascii="Courier New" w:hAnsi="Courier New" w:hint="default"/>
      </w:rPr>
    </w:lvl>
    <w:lvl w:ilvl="8" w:tplc="0E2638F8">
      <w:start w:val="1"/>
      <w:numFmt w:val="bullet"/>
      <w:lvlText w:val=""/>
      <w:lvlJc w:val="left"/>
      <w:pPr>
        <w:ind w:left="6480" w:hanging="360"/>
      </w:pPr>
      <w:rPr>
        <w:rFonts w:ascii="Wingdings" w:hAnsi="Wingdings" w:hint="default"/>
      </w:rPr>
    </w:lvl>
  </w:abstractNum>
  <w:abstractNum w:abstractNumId="269" w15:restartNumberingAfterBreak="0">
    <w:nsid w:val="693F522A"/>
    <w:multiLevelType w:val="hybridMultilevel"/>
    <w:tmpl w:val="CF5EE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0" w15:restartNumberingAfterBreak="0">
    <w:nsid w:val="696D44C5"/>
    <w:multiLevelType w:val="hybridMultilevel"/>
    <w:tmpl w:val="14CA03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1" w15:restartNumberingAfterBreak="0">
    <w:nsid w:val="69B223AF"/>
    <w:multiLevelType w:val="hybridMultilevel"/>
    <w:tmpl w:val="745C88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2" w15:restartNumberingAfterBreak="0">
    <w:nsid w:val="69F34CBD"/>
    <w:multiLevelType w:val="hybridMultilevel"/>
    <w:tmpl w:val="8DCAE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3" w15:restartNumberingAfterBreak="0">
    <w:nsid w:val="6A0769A4"/>
    <w:multiLevelType w:val="hybridMultilevel"/>
    <w:tmpl w:val="2430B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4" w15:restartNumberingAfterBreak="0">
    <w:nsid w:val="6A75526E"/>
    <w:multiLevelType w:val="hybridMultilevel"/>
    <w:tmpl w:val="080AB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5" w15:restartNumberingAfterBreak="0">
    <w:nsid w:val="6A7F4699"/>
    <w:multiLevelType w:val="hybridMultilevel"/>
    <w:tmpl w:val="386CEC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6" w15:restartNumberingAfterBreak="0">
    <w:nsid w:val="6AD3013F"/>
    <w:multiLevelType w:val="hybridMultilevel"/>
    <w:tmpl w:val="DC3688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7" w15:restartNumberingAfterBreak="0">
    <w:nsid w:val="6B154171"/>
    <w:multiLevelType w:val="hybridMultilevel"/>
    <w:tmpl w:val="AB58D1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8" w15:restartNumberingAfterBreak="0">
    <w:nsid w:val="6B293F25"/>
    <w:multiLevelType w:val="hybridMultilevel"/>
    <w:tmpl w:val="FFFFFFFF"/>
    <w:lvl w:ilvl="0" w:tplc="64FECB62">
      <w:start w:val="1"/>
      <w:numFmt w:val="bullet"/>
      <w:lvlText w:val="·"/>
      <w:lvlJc w:val="left"/>
      <w:pPr>
        <w:ind w:left="720" w:hanging="360"/>
      </w:pPr>
      <w:rPr>
        <w:rFonts w:ascii="Symbol" w:hAnsi="Symbol" w:hint="default"/>
      </w:rPr>
    </w:lvl>
    <w:lvl w:ilvl="1" w:tplc="16D2BFBA">
      <w:start w:val="1"/>
      <w:numFmt w:val="bullet"/>
      <w:lvlText w:val="o"/>
      <w:lvlJc w:val="left"/>
      <w:pPr>
        <w:ind w:left="1440" w:hanging="360"/>
      </w:pPr>
      <w:rPr>
        <w:rFonts w:ascii="Courier New" w:hAnsi="Courier New" w:hint="default"/>
      </w:rPr>
    </w:lvl>
    <w:lvl w:ilvl="2" w:tplc="CA50E6B2">
      <w:start w:val="1"/>
      <w:numFmt w:val="bullet"/>
      <w:lvlText w:val=""/>
      <w:lvlJc w:val="left"/>
      <w:pPr>
        <w:ind w:left="2160" w:hanging="360"/>
      </w:pPr>
      <w:rPr>
        <w:rFonts w:ascii="Wingdings" w:hAnsi="Wingdings" w:hint="default"/>
      </w:rPr>
    </w:lvl>
    <w:lvl w:ilvl="3" w:tplc="DA72FA0C">
      <w:start w:val="1"/>
      <w:numFmt w:val="bullet"/>
      <w:lvlText w:val=""/>
      <w:lvlJc w:val="left"/>
      <w:pPr>
        <w:ind w:left="2880" w:hanging="360"/>
      </w:pPr>
      <w:rPr>
        <w:rFonts w:ascii="Symbol" w:hAnsi="Symbol" w:hint="default"/>
      </w:rPr>
    </w:lvl>
    <w:lvl w:ilvl="4" w:tplc="3620C9FA">
      <w:start w:val="1"/>
      <w:numFmt w:val="bullet"/>
      <w:lvlText w:val="o"/>
      <w:lvlJc w:val="left"/>
      <w:pPr>
        <w:ind w:left="3600" w:hanging="360"/>
      </w:pPr>
      <w:rPr>
        <w:rFonts w:ascii="Courier New" w:hAnsi="Courier New" w:hint="default"/>
      </w:rPr>
    </w:lvl>
    <w:lvl w:ilvl="5" w:tplc="FE4409D8">
      <w:start w:val="1"/>
      <w:numFmt w:val="bullet"/>
      <w:lvlText w:val=""/>
      <w:lvlJc w:val="left"/>
      <w:pPr>
        <w:ind w:left="4320" w:hanging="360"/>
      </w:pPr>
      <w:rPr>
        <w:rFonts w:ascii="Wingdings" w:hAnsi="Wingdings" w:hint="default"/>
      </w:rPr>
    </w:lvl>
    <w:lvl w:ilvl="6" w:tplc="EA5696AE">
      <w:start w:val="1"/>
      <w:numFmt w:val="bullet"/>
      <w:lvlText w:val=""/>
      <w:lvlJc w:val="left"/>
      <w:pPr>
        <w:ind w:left="5040" w:hanging="360"/>
      </w:pPr>
      <w:rPr>
        <w:rFonts w:ascii="Symbol" w:hAnsi="Symbol" w:hint="default"/>
      </w:rPr>
    </w:lvl>
    <w:lvl w:ilvl="7" w:tplc="F5847E6E">
      <w:start w:val="1"/>
      <w:numFmt w:val="bullet"/>
      <w:lvlText w:val="o"/>
      <w:lvlJc w:val="left"/>
      <w:pPr>
        <w:ind w:left="5760" w:hanging="360"/>
      </w:pPr>
      <w:rPr>
        <w:rFonts w:ascii="Courier New" w:hAnsi="Courier New" w:hint="default"/>
      </w:rPr>
    </w:lvl>
    <w:lvl w:ilvl="8" w:tplc="AE9E5D48">
      <w:start w:val="1"/>
      <w:numFmt w:val="bullet"/>
      <w:lvlText w:val=""/>
      <w:lvlJc w:val="left"/>
      <w:pPr>
        <w:ind w:left="6480" w:hanging="360"/>
      </w:pPr>
      <w:rPr>
        <w:rFonts w:ascii="Wingdings" w:hAnsi="Wingdings" w:hint="default"/>
      </w:rPr>
    </w:lvl>
  </w:abstractNum>
  <w:abstractNum w:abstractNumId="279" w15:restartNumberingAfterBreak="0">
    <w:nsid w:val="6BA730B6"/>
    <w:multiLevelType w:val="hybridMultilevel"/>
    <w:tmpl w:val="8D8A8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0" w15:restartNumberingAfterBreak="0">
    <w:nsid w:val="6BD46796"/>
    <w:multiLevelType w:val="hybridMultilevel"/>
    <w:tmpl w:val="83A6F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1" w15:restartNumberingAfterBreak="0">
    <w:nsid w:val="6C1A7029"/>
    <w:multiLevelType w:val="hybridMultilevel"/>
    <w:tmpl w:val="6A5EF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2" w15:restartNumberingAfterBreak="0">
    <w:nsid w:val="6CD45789"/>
    <w:multiLevelType w:val="hybridMultilevel"/>
    <w:tmpl w:val="CBC83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3" w15:restartNumberingAfterBreak="0">
    <w:nsid w:val="6D0B04FA"/>
    <w:multiLevelType w:val="hybridMultilevel"/>
    <w:tmpl w:val="383839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4" w15:restartNumberingAfterBreak="0">
    <w:nsid w:val="6D68785F"/>
    <w:multiLevelType w:val="hybridMultilevel"/>
    <w:tmpl w:val="21AC11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5" w15:restartNumberingAfterBreak="0">
    <w:nsid w:val="6D6E5DC4"/>
    <w:multiLevelType w:val="hybridMultilevel"/>
    <w:tmpl w:val="F8EE8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6" w15:restartNumberingAfterBreak="0">
    <w:nsid w:val="6DBB6623"/>
    <w:multiLevelType w:val="hybridMultilevel"/>
    <w:tmpl w:val="2698DC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7" w15:restartNumberingAfterBreak="0">
    <w:nsid w:val="6E68545D"/>
    <w:multiLevelType w:val="hybridMultilevel"/>
    <w:tmpl w:val="529825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8" w15:restartNumberingAfterBreak="0">
    <w:nsid w:val="6EBF7685"/>
    <w:multiLevelType w:val="hybridMultilevel"/>
    <w:tmpl w:val="5B205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9" w15:restartNumberingAfterBreak="0">
    <w:nsid w:val="6EE76E56"/>
    <w:multiLevelType w:val="hybridMultilevel"/>
    <w:tmpl w:val="31BEAB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0" w15:restartNumberingAfterBreak="0">
    <w:nsid w:val="6F654FBB"/>
    <w:multiLevelType w:val="hybridMultilevel"/>
    <w:tmpl w:val="FFFFFFFF"/>
    <w:lvl w:ilvl="0" w:tplc="D9DC6800">
      <w:start w:val="1"/>
      <w:numFmt w:val="bullet"/>
      <w:lvlText w:val="·"/>
      <w:lvlJc w:val="left"/>
      <w:pPr>
        <w:ind w:left="360" w:hanging="360"/>
      </w:pPr>
      <w:rPr>
        <w:rFonts w:ascii="Symbol" w:hAnsi="Symbol" w:hint="default"/>
      </w:rPr>
    </w:lvl>
    <w:lvl w:ilvl="1" w:tplc="55308522">
      <w:start w:val="1"/>
      <w:numFmt w:val="bullet"/>
      <w:lvlText w:val="o"/>
      <w:lvlJc w:val="left"/>
      <w:pPr>
        <w:ind w:left="1080" w:hanging="360"/>
      </w:pPr>
      <w:rPr>
        <w:rFonts w:ascii="Courier New" w:hAnsi="Courier New" w:hint="default"/>
      </w:rPr>
    </w:lvl>
    <w:lvl w:ilvl="2" w:tplc="F24CD49A">
      <w:start w:val="1"/>
      <w:numFmt w:val="bullet"/>
      <w:lvlText w:val=""/>
      <w:lvlJc w:val="left"/>
      <w:pPr>
        <w:ind w:left="1800" w:hanging="360"/>
      </w:pPr>
      <w:rPr>
        <w:rFonts w:ascii="Wingdings" w:hAnsi="Wingdings" w:hint="default"/>
      </w:rPr>
    </w:lvl>
    <w:lvl w:ilvl="3" w:tplc="C7EE6834">
      <w:start w:val="1"/>
      <w:numFmt w:val="bullet"/>
      <w:lvlText w:val=""/>
      <w:lvlJc w:val="left"/>
      <w:pPr>
        <w:ind w:left="2520" w:hanging="360"/>
      </w:pPr>
      <w:rPr>
        <w:rFonts w:ascii="Symbol" w:hAnsi="Symbol" w:hint="default"/>
      </w:rPr>
    </w:lvl>
    <w:lvl w:ilvl="4" w:tplc="1562A112">
      <w:start w:val="1"/>
      <w:numFmt w:val="bullet"/>
      <w:lvlText w:val="o"/>
      <w:lvlJc w:val="left"/>
      <w:pPr>
        <w:ind w:left="3240" w:hanging="360"/>
      </w:pPr>
      <w:rPr>
        <w:rFonts w:ascii="Courier New" w:hAnsi="Courier New" w:hint="default"/>
      </w:rPr>
    </w:lvl>
    <w:lvl w:ilvl="5" w:tplc="B164CFF2">
      <w:start w:val="1"/>
      <w:numFmt w:val="bullet"/>
      <w:lvlText w:val=""/>
      <w:lvlJc w:val="left"/>
      <w:pPr>
        <w:ind w:left="3960" w:hanging="360"/>
      </w:pPr>
      <w:rPr>
        <w:rFonts w:ascii="Wingdings" w:hAnsi="Wingdings" w:hint="default"/>
      </w:rPr>
    </w:lvl>
    <w:lvl w:ilvl="6" w:tplc="FDA2F14E">
      <w:start w:val="1"/>
      <w:numFmt w:val="bullet"/>
      <w:lvlText w:val=""/>
      <w:lvlJc w:val="left"/>
      <w:pPr>
        <w:ind w:left="4680" w:hanging="360"/>
      </w:pPr>
      <w:rPr>
        <w:rFonts w:ascii="Symbol" w:hAnsi="Symbol" w:hint="default"/>
      </w:rPr>
    </w:lvl>
    <w:lvl w:ilvl="7" w:tplc="CE24B3D6">
      <w:start w:val="1"/>
      <w:numFmt w:val="bullet"/>
      <w:lvlText w:val="o"/>
      <w:lvlJc w:val="left"/>
      <w:pPr>
        <w:ind w:left="5400" w:hanging="360"/>
      </w:pPr>
      <w:rPr>
        <w:rFonts w:ascii="Courier New" w:hAnsi="Courier New" w:hint="default"/>
      </w:rPr>
    </w:lvl>
    <w:lvl w:ilvl="8" w:tplc="B32EA170">
      <w:start w:val="1"/>
      <w:numFmt w:val="bullet"/>
      <w:lvlText w:val=""/>
      <w:lvlJc w:val="left"/>
      <w:pPr>
        <w:ind w:left="6120" w:hanging="360"/>
      </w:pPr>
      <w:rPr>
        <w:rFonts w:ascii="Wingdings" w:hAnsi="Wingdings" w:hint="default"/>
      </w:rPr>
    </w:lvl>
  </w:abstractNum>
  <w:abstractNum w:abstractNumId="291" w15:restartNumberingAfterBreak="0">
    <w:nsid w:val="70F231D6"/>
    <w:multiLevelType w:val="hybridMultilevel"/>
    <w:tmpl w:val="FFFFFFFF"/>
    <w:lvl w:ilvl="0" w:tplc="3C1A22BE">
      <w:start w:val="1"/>
      <w:numFmt w:val="bullet"/>
      <w:lvlText w:val="·"/>
      <w:lvlJc w:val="left"/>
      <w:pPr>
        <w:ind w:left="360" w:hanging="360"/>
      </w:pPr>
      <w:rPr>
        <w:rFonts w:ascii="Symbol" w:hAnsi="Symbol" w:hint="default"/>
      </w:rPr>
    </w:lvl>
    <w:lvl w:ilvl="1" w:tplc="49C473D8">
      <w:start w:val="1"/>
      <w:numFmt w:val="bullet"/>
      <w:lvlText w:val="o"/>
      <w:lvlJc w:val="left"/>
      <w:pPr>
        <w:ind w:left="1080" w:hanging="360"/>
      </w:pPr>
      <w:rPr>
        <w:rFonts w:ascii="Courier New" w:hAnsi="Courier New" w:hint="default"/>
      </w:rPr>
    </w:lvl>
    <w:lvl w:ilvl="2" w:tplc="924AC06E">
      <w:start w:val="1"/>
      <w:numFmt w:val="bullet"/>
      <w:lvlText w:val=""/>
      <w:lvlJc w:val="left"/>
      <w:pPr>
        <w:ind w:left="1800" w:hanging="360"/>
      </w:pPr>
      <w:rPr>
        <w:rFonts w:ascii="Wingdings" w:hAnsi="Wingdings" w:hint="default"/>
      </w:rPr>
    </w:lvl>
    <w:lvl w:ilvl="3" w:tplc="C7F22884">
      <w:start w:val="1"/>
      <w:numFmt w:val="bullet"/>
      <w:lvlText w:val=""/>
      <w:lvlJc w:val="left"/>
      <w:pPr>
        <w:ind w:left="2520" w:hanging="360"/>
      </w:pPr>
      <w:rPr>
        <w:rFonts w:ascii="Symbol" w:hAnsi="Symbol" w:hint="default"/>
      </w:rPr>
    </w:lvl>
    <w:lvl w:ilvl="4" w:tplc="D360C414">
      <w:start w:val="1"/>
      <w:numFmt w:val="bullet"/>
      <w:lvlText w:val="o"/>
      <w:lvlJc w:val="left"/>
      <w:pPr>
        <w:ind w:left="3240" w:hanging="360"/>
      </w:pPr>
      <w:rPr>
        <w:rFonts w:ascii="Courier New" w:hAnsi="Courier New" w:hint="default"/>
      </w:rPr>
    </w:lvl>
    <w:lvl w:ilvl="5" w:tplc="ECF64FCA">
      <w:start w:val="1"/>
      <w:numFmt w:val="bullet"/>
      <w:lvlText w:val=""/>
      <w:lvlJc w:val="left"/>
      <w:pPr>
        <w:ind w:left="3960" w:hanging="360"/>
      </w:pPr>
      <w:rPr>
        <w:rFonts w:ascii="Wingdings" w:hAnsi="Wingdings" w:hint="default"/>
      </w:rPr>
    </w:lvl>
    <w:lvl w:ilvl="6" w:tplc="7FE27EDE">
      <w:start w:val="1"/>
      <w:numFmt w:val="bullet"/>
      <w:lvlText w:val=""/>
      <w:lvlJc w:val="left"/>
      <w:pPr>
        <w:ind w:left="4680" w:hanging="360"/>
      </w:pPr>
      <w:rPr>
        <w:rFonts w:ascii="Symbol" w:hAnsi="Symbol" w:hint="default"/>
      </w:rPr>
    </w:lvl>
    <w:lvl w:ilvl="7" w:tplc="A8BCAB1C">
      <w:start w:val="1"/>
      <w:numFmt w:val="bullet"/>
      <w:lvlText w:val="o"/>
      <w:lvlJc w:val="left"/>
      <w:pPr>
        <w:ind w:left="5400" w:hanging="360"/>
      </w:pPr>
      <w:rPr>
        <w:rFonts w:ascii="Courier New" w:hAnsi="Courier New" w:hint="default"/>
      </w:rPr>
    </w:lvl>
    <w:lvl w:ilvl="8" w:tplc="F364F6F6">
      <w:start w:val="1"/>
      <w:numFmt w:val="bullet"/>
      <w:lvlText w:val=""/>
      <w:lvlJc w:val="left"/>
      <w:pPr>
        <w:ind w:left="6120" w:hanging="360"/>
      </w:pPr>
      <w:rPr>
        <w:rFonts w:ascii="Wingdings" w:hAnsi="Wingdings" w:hint="default"/>
      </w:rPr>
    </w:lvl>
  </w:abstractNum>
  <w:abstractNum w:abstractNumId="292" w15:restartNumberingAfterBreak="0">
    <w:nsid w:val="71546594"/>
    <w:multiLevelType w:val="hybridMultilevel"/>
    <w:tmpl w:val="40B28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3" w15:restartNumberingAfterBreak="0">
    <w:nsid w:val="716C7E95"/>
    <w:multiLevelType w:val="hybridMultilevel"/>
    <w:tmpl w:val="D73212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4" w15:restartNumberingAfterBreak="0">
    <w:nsid w:val="717264DA"/>
    <w:multiLevelType w:val="hybridMultilevel"/>
    <w:tmpl w:val="FFFFFFFF"/>
    <w:lvl w:ilvl="0" w:tplc="B462B26A">
      <w:start w:val="1"/>
      <w:numFmt w:val="bullet"/>
      <w:lvlText w:val="·"/>
      <w:lvlJc w:val="left"/>
      <w:pPr>
        <w:ind w:left="360" w:hanging="360"/>
      </w:pPr>
      <w:rPr>
        <w:rFonts w:ascii="Symbol" w:hAnsi="Symbol" w:hint="default"/>
      </w:rPr>
    </w:lvl>
    <w:lvl w:ilvl="1" w:tplc="F9608054">
      <w:start w:val="1"/>
      <w:numFmt w:val="bullet"/>
      <w:lvlText w:val="o"/>
      <w:lvlJc w:val="left"/>
      <w:pPr>
        <w:ind w:left="1080" w:hanging="360"/>
      </w:pPr>
      <w:rPr>
        <w:rFonts w:ascii="Courier New" w:hAnsi="Courier New" w:hint="default"/>
      </w:rPr>
    </w:lvl>
    <w:lvl w:ilvl="2" w:tplc="77D465DC">
      <w:start w:val="1"/>
      <w:numFmt w:val="bullet"/>
      <w:lvlText w:val=""/>
      <w:lvlJc w:val="left"/>
      <w:pPr>
        <w:ind w:left="1800" w:hanging="360"/>
      </w:pPr>
      <w:rPr>
        <w:rFonts w:ascii="Wingdings" w:hAnsi="Wingdings" w:hint="default"/>
      </w:rPr>
    </w:lvl>
    <w:lvl w:ilvl="3" w:tplc="09E4B682">
      <w:start w:val="1"/>
      <w:numFmt w:val="bullet"/>
      <w:lvlText w:val=""/>
      <w:lvlJc w:val="left"/>
      <w:pPr>
        <w:ind w:left="2520" w:hanging="360"/>
      </w:pPr>
      <w:rPr>
        <w:rFonts w:ascii="Symbol" w:hAnsi="Symbol" w:hint="default"/>
      </w:rPr>
    </w:lvl>
    <w:lvl w:ilvl="4" w:tplc="187C98A2">
      <w:start w:val="1"/>
      <w:numFmt w:val="bullet"/>
      <w:lvlText w:val="o"/>
      <w:lvlJc w:val="left"/>
      <w:pPr>
        <w:ind w:left="3240" w:hanging="360"/>
      </w:pPr>
      <w:rPr>
        <w:rFonts w:ascii="Courier New" w:hAnsi="Courier New" w:hint="default"/>
      </w:rPr>
    </w:lvl>
    <w:lvl w:ilvl="5" w:tplc="FAB6A8DA">
      <w:start w:val="1"/>
      <w:numFmt w:val="bullet"/>
      <w:lvlText w:val=""/>
      <w:lvlJc w:val="left"/>
      <w:pPr>
        <w:ind w:left="3960" w:hanging="360"/>
      </w:pPr>
      <w:rPr>
        <w:rFonts w:ascii="Wingdings" w:hAnsi="Wingdings" w:hint="default"/>
      </w:rPr>
    </w:lvl>
    <w:lvl w:ilvl="6" w:tplc="2F3EEB48">
      <w:start w:val="1"/>
      <w:numFmt w:val="bullet"/>
      <w:lvlText w:val=""/>
      <w:lvlJc w:val="left"/>
      <w:pPr>
        <w:ind w:left="4680" w:hanging="360"/>
      </w:pPr>
      <w:rPr>
        <w:rFonts w:ascii="Symbol" w:hAnsi="Symbol" w:hint="default"/>
      </w:rPr>
    </w:lvl>
    <w:lvl w:ilvl="7" w:tplc="C35C1552">
      <w:start w:val="1"/>
      <w:numFmt w:val="bullet"/>
      <w:lvlText w:val="o"/>
      <w:lvlJc w:val="left"/>
      <w:pPr>
        <w:ind w:left="5400" w:hanging="360"/>
      </w:pPr>
      <w:rPr>
        <w:rFonts w:ascii="Courier New" w:hAnsi="Courier New" w:hint="default"/>
      </w:rPr>
    </w:lvl>
    <w:lvl w:ilvl="8" w:tplc="35CC2376">
      <w:start w:val="1"/>
      <w:numFmt w:val="bullet"/>
      <w:lvlText w:val=""/>
      <w:lvlJc w:val="left"/>
      <w:pPr>
        <w:ind w:left="6120" w:hanging="360"/>
      </w:pPr>
      <w:rPr>
        <w:rFonts w:ascii="Wingdings" w:hAnsi="Wingdings" w:hint="default"/>
      </w:rPr>
    </w:lvl>
  </w:abstractNum>
  <w:abstractNum w:abstractNumId="295" w15:restartNumberingAfterBreak="0">
    <w:nsid w:val="718C51F6"/>
    <w:multiLevelType w:val="hybridMultilevel"/>
    <w:tmpl w:val="3D205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6" w15:restartNumberingAfterBreak="0">
    <w:nsid w:val="71AD4780"/>
    <w:multiLevelType w:val="hybridMultilevel"/>
    <w:tmpl w:val="90AE0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7" w15:restartNumberingAfterBreak="0">
    <w:nsid w:val="72271CB0"/>
    <w:multiLevelType w:val="hybridMultilevel"/>
    <w:tmpl w:val="809E97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8" w15:restartNumberingAfterBreak="0">
    <w:nsid w:val="725322ED"/>
    <w:multiLevelType w:val="hybridMultilevel"/>
    <w:tmpl w:val="9CA8854E"/>
    <w:lvl w:ilvl="0" w:tplc="FDFAF17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9" w15:restartNumberingAfterBreak="0">
    <w:nsid w:val="726F5623"/>
    <w:multiLevelType w:val="hybridMultilevel"/>
    <w:tmpl w:val="964EC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0" w15:restartNumberingAfterBreak="0">
    <w:nsid w:val="72F56243"/>
    <w:multiLevelType w:val="hybridMultilevel"/>
    <w:tmpl w:val="D0C01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1" w15:restartNumberingAfterBreak="0">
    <w:nsid w:val="745D6939"/>
    <w:multiLevelType w:val="hybridMultilevel"/>
    <w:tmpl w:val="FFFFFFFF"/>
    <w:lvl w:ilvl="0" w:tplc="14601AEA">
      <w:start w:val="1"/>
      <w:numFmt w:val="bullet"/>
      <w:lvlText w:val="·"/>
      <w:lvlJc w:val="left"/>
      <w:pPr>
        <w:ind w:left="720" w:hanging="360"/>
      </w:pPr>
      <w:rPr>
        <w:rFonts w:ascii="Symbol" w:hAnsi="Symbol" w:hint="default"/>
      </w:rPr>
    </w:lvl>
    <w:lvl w:ilvl="1" w:tplc="E00A95F0">
      <w:start w:val="1"/>
      <w:numFmt w:val="bullet"/>
      <w:lvlText w:val="o"/>
      <w:lvlJc w:val="left"/>
      <w:pPr>
        <w:ind w:left="1440" w:hanging="360"/>
      </w:pPr>
      <w:rPr>
        <w:rFonts w:ascii="Courier New" w:hAnsi="Courier New" w:hint="default"/>
      </w:rPr>
    </w:lvl>
    <w:lvl w:ilvl="2" w:tplc="8F0C3E2E">
      <w:start w:val="1"/>
      <w:numFmt w:val="bullet"/>
      <w:lvlText w:val=""/>
      <w:lvlJc w:val="left"/>
      <w:pPr>
        <w:ind w:left="2160" w:hanging="360"/>
      </w:pPr>
      <w:rPr>
        <w:rFonts w:ascii="Wingdings" w:hAnsi="Wingdings" w:hint="default"/>
      </w:rPr>
    </w:lvl>
    <w:lvl w:ilvl="3" w:tplc="D6A61E3C">
      <w:start w:val="1"/>
      <w:numFmt w:val="bullet"/>
      <w:lvlText w:val=""/>
      <w:lvlJc w:val="left"/>
      <w:pPr>
        <w:ind w:left="2880" w:hanging="360"/>
      </w:pPr>
      <w:rPr>
        <w:rFonts w:ascii="Symbol" w:hAnsi="Symbol" w:hint="default"/>
      </w:rPr>
    </w:lvl>
    <w:lvl w:ilvl="4" w:tplc="3626E1B2">
      <w:start w:val="1"/>
      <w:numFmt w:val="bullet"/>
      <w:lvlText w:val="o"/>
      <w:lvlJc w:val="left"/>
      <w:pPr>
        <w:ind w:left="3600" w:hanging="360"/>
      </w:pPr>
      <w:rPr>
        <w:rFonts w:ascii="Courier New" w:hAnsi="Courier New" w:hint="default"/>
      </w:rPr>
    </w:lvl>
    <w:lvl w:ilvl="5" w:tplc="07406700">
      <w:start w:val="1"/>
      <w:numFmt w:val="bullet"/>
      <w:lvlText w:val=""/>
      <w:lvlJc w:val="left"/>
      <w:pPr>
        <w:ind w:left="4320" w:hanging="360"/>
      </w:pPr>
      <w:rPr>
        <w:rFonts w:ascii="Wingdings" w:hAnsi="Wingdings" w:hint="default"/>
      </w:rPr>
    </w:lvl>
    <w:lvl w:ilvl="6" w:tplc="C76C3752">
      <w:start w:val="1"/>
      <w:numFmt w:val="bullet"/>
      <w:lvlText w:val=""/>
      <w:lvlJc w:val="left"/>
      <w:pPr>
        <w:ind w:left="5040" w:hanging="360"/>
      </w:pPr>
      <w:rPr>
        <w:rFonts w:ascii="Symbol" w:hAnsi="Symbol" w:hint="default"/>
      </w:rPr>
    </w:lvl>
    <w:lvl w:ilvl="7" w:tplc="9CF86084">
      <w:start w:val="1"/>
      <w:numFmt w:val="bullet"/>
      <w:lvlText w:val="o"/>
      <w:lvlJc w:val="left"/>
      <w:pPr>
        <w:ind w:left="5760" w:hanging="360"/>
      </w:pPr>
      <w:rPr>
        <w:rFonts w:ascii="Courier New" w:hAnsi="Courier New" w:hint="default"/>
      </w:rPr>
    </w:lvl>
    <w:lvl w:ilvl="8" w:tplc="08342250">
      <w:start w:val="1"/>
      <w:numFmt w:val="bullet"/>
      <w:lvlText w:val=""/>
      <w:lvlJc w:val="left"/>
      <w:pPr>
        <w:ind w:left="6480" w:hanging="360"/>
      </w:pPr>
      <w:rPr>
        <w:rFonts w:ascii="Wingdings" w:hAnsi="Wingdings" w:hint="default"/>
      </w:rPr>
    </w:lvl>
  </w:abstractNum>
  <w:abstractNum w:abstractNumId="302" w15:restartNumberingAfterBreak="0">
    <w:nsid w:val="75A16B76"/>
    <w:multiLevelType w:val="hybridMultilevel"/>
    <w:tmpl w:val="DD92C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3" w15:restartNumberingAfterBreak="0">
    <w:nsid w:val="75F20A6C"/>
    <w:multiLevelType w:val="hybridMultilevel"/>
    <w:tmpl w:val="13645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4" w15:restartNumberingAfterBreak="0">
    <w:nsid w:val="763A5EA8"/>
    <w:multiLevelType w:val="hybridMultilevel"/>
    <w:tmpl w:val="0FACA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5" w15:restartNumberingAfterBreak="0">
    <w:nsid w:val="76601D49"/>
    <w:multiLevelType w:val="hybridMultilevel"/>
    <w:tmpl w:val="FFFFFFFF"/>
    <w:lvl w:ilvl="0" w:tplc="87266778">
      <w:start w:val="1"/>
      <w:numFmt w:val="bullet"/>
      <w:lvlText w:val="·"/>
      <w:lvlJc w:val="left"/>
      <w:pPr>
        <w:ind w:left="720" w:hanging="360"/>
      </w:pPr>
      <w:rPr>
        <w:rFonts w:ascii="Symbol" w:hAnsi="Symbol" w:hint="default"/>
      </w:rPr>
    </w:lvl>
    <w:lvl w:ilvl="1" w:tplc="C9E25C08">
      <w:start w:val="1"/>
      <w:numFmt w:val="bullet"/>
      <w:lvlText w:val="o"/>
      <w:lvlJc w:val="left"/>
      <w:pPr>
        <w:ind w:left="1440" w:hanging="360"/>
      </w:pPr>
      <w:rPr>
        <w:rFonts w:ascii="Courier New" w:hAnsi="Courier New" w:hint="default"/>
      </w:rPr>
    </w:lvl>
    <w:lvl w:ilvl="2" w:tplc="314446DE">
      <w:start w:val="1"/>
      <w:numFmt w:val="bullet"/>
      <w:lvlText w:val=""/>
      <w:lvlJc w:val="left"/>
      <w:pPr>
        <w:ind w:left="2160" w:hanging="360"/>
      </w:pPr>
      <w:rPr>
        <w:rFonts w:ascii="Wingdings" w:hAnsi="Wingdings" w:hint="default"/>
      </w:rPr>
    </w:lvl>
    <w:lvl w:ilvl="3" w:tplc="2E34C9EE">
      <w:start w:val="1"/>
      <w:numFmt w:val="bullet"/>
      <w:lvlText w:val=""/>
      <w:lvlJc w:val="left"/>
      <w:pPr>
        <w:ind w:left="2880" w:hanging="360"/>
      </w:pPr>
      <w:rPr>
        <w:rFonts w:ascii="Symbol" w:hAnsi="Symbol" w:hint="default"/>
      </w:rPr>
    </w:lvl>
    <w:lvl w:ilvl="4" w:tplc="25E2BD10">
      <w:start w:val="1"/>
      <w:numFmt w:val="bullet"/>
      <w:lvlText w:val="o"/>
      <w:lvlJc w:val="left"/>
      <w:pPr>
        <w:ind w:left="3600" w:hanging="360"/>
      </w:pPr>
      <w:rPr>
        <w:rFonts w:ascii="Courier New" w:hAnsi="Courier New" w:hint="default"/>
      </w:rPr>
    </w:lvl>
    <w:lvl w:ilvl="5" w:tplc="CA268CF6">
      <w:start w:val="1"/>
      <w:numFmt w:val="bullet"/>
      <w:lvlText w:val=""/>
      <w:lvlJc w:val="left"/>
      <w:pPr>
        <w:ind w:left="4320" w:hanging="360"/>
      </w:pPr>
      <w:rPr>
        <w:rFonts w:ascii="Wingdings" w:hAnsi="Wingdings" w:hint="default"/>
      </w:rPr>
    </w:lvl>
    <w:lvl w:ilvl="6" w:tplc="4DD8E58E">
      <w:start w:val="1"/>
      <w:numFmt w:val="bullet"/>
      <w:lvlText w:val=""/>
      <w:lvlJc w:val="left"/>
      <w:pPr>
        <w:ind w:left="5040" w:hanging="360"/>
      </w:pPr>
      <w:rPr>
        <w:rFonts w:ascii="Symbol" w:hAnsi="Symbol" w:hint="default"/>
      </w:rPr>
    </w:lvl>
    <w:lvl w:ilvl="7" w:tplc="2A36A6B8">
      <w:start w:val="1"/>
      <w:numFmt w:val="bullet"/>
      <w:lvlText w:val="o"/>
      <w:lvlJc w:val="left"/>
      <w:pPr>
        <w:ind w:left="5760" w:hanging="360"/>
      </w:pPr>
      <w:rPr>
        <w:rFonts w:ascii="Courier New" w:hAnsi="Courier New" w:hint="default"/>
      </w:rPr>
    </w:lvl>
    <w:lvl w:ilvl="8" w:tplc="6DEC5906">
      <w:start w:val="1"/>
      <w:numFmt w:val="bullet"/>
      <w:lvlText w:val=""/>
      <w:lvlJc w:val="left"/>
      <w:pPr>
        <w:ind w:left="6480" w:hanging="360"/>
      </w:pPr>
      <w:rPr>
        <w:rFonts w:ascii="Wingdings" w:hAnsi="Wingdings" w:hint="default"/>
      </w:rPr>
    </w:lvl>
  </w:abstractNum>
  <w:abstractNum w:abstractNumId="306" w15:restartNumberingAfterBreak="0">
    <w:nsid w:val="768F23A8"/>
    <w:multiLevelType w:val="hybridMultilevel"/>
    <w:tmpl w:val="23B8A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7" w15:restartNumberingAfterBreak="0">
    <w:nsid w:val="76AB5B6E"/>
    <w:multiLevelType w:val="hybridMultilevel"/>
    <w:tmpl w:val="B14EB0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8" w15:restartNumberingAfterBreak="0">
    <w:nsid w:val="77373FFA"/>
    <w:multiLevelType w:val="hybridMultilevel"/>
    <w:tmpl w:val="4A6ED6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9" w15:restartNumberingAfterBreak="0">
    <w:nsid w:val="77413B3D"/>
    <w:multiLevelType w:val="hybridMultilevel"/>
    <w:tmpl w:val="B4E8B00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10" w15:restartNumberingAfterBreak="0">
    <w:nsid w:val="7784478F"/>
    <w:multiLevelType w:val="hybridMultilevel"/>
    <w:tmpl w:val="DEE0F2F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11" w15:restartNumberingAfterBreak="0">
    <w:nsid w:val="78E24A89"/>
    <w:multiLevelType w:val="hybridMultilevel"/>
    <w:tmpl w:val="5080A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2" w15:restartNumberingAfterBreak="0">
    <w:nsid w:val="790D4A06"/>
    <w:multiLevelType w:val="hybridMultilevel"/>
    <w:tmpl w:val="D6B09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3" w15:restartNumberingAfterBreak="0">
    <w:nsid w:val="79E94262"/>
    <w:multiLevelType w:val="hybridMultilevel"/>
    <w:tmpl w:val="150A9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4" w15:restartNumberingAfterBreak="0">
    <w:nsid w:val="7AB42921"/>
    <w:multiLevelType w:val="hybridMultilevel"/>
    <w:tmpl w:val="3A3671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5" w15:restartNumberingAfterBreak="0">
    <w:nsid w:val="7B764377"/>
    <w:multiLevelType w:val="hybridMultilevel"/>
    <w:tmpl w:val="FFFFFFFF"/>
    <w:lvl w:ilvl="0" w:tplc="F2D6A20E">
      <w:start w:val="1"/>
      <w:numFmt w:val="bullet"/>
      <w:lvlText w:val="·"/>
      <w:lvlJc w:val="left"/>
      <w:pPr>
        <w:ind w:left="360" w:hanging="360"/>
      </w:pPr>
      <w:rPr>
        <w:rFonts w:ascii="Symbol" w:hAnsi="Symbol" w:hint="default"/>
      </w:rPr>
    </w:lvl>
    <w:lvl w:ilvl="1" w:tplc="978E94E6">
      <w:start w:val="1"/>
      <w:numFmt w:val="bullet"/>
      <w:lvlText w:val="o"/>
      <w:lvlJc w:val="left"/>
      <w:pPr>
        <w:ind w:left="1080" w:hanging="360"/>
      </w:pPr>
      <w:rPr>
        <w:rFonts w:ascii="Courier New" w:hAnsi="Courier New" w:hint="default"/>
      </w:rPr>
    </w:lvl>
    <w:lvl w:ilvl="2" w:tplc="C7C4313A">
      <w:start w:val="1"/>
      <w:numFmt w:val="bullet"/>
      <w:lvlText w:val=""/>
      <w:lvlJc w:val="left"/>
      <w:pPr>
        <w:ind w:left="1800" w:hanging="360"/>
      </w:pPr>
      <w:rPr>
        <w:rFonts w:ascii="Wingdings" w:hAnsi="Wingdings" w:hint="default"/>
      </w:rPr>
    </w:lvl>
    <w:lvl w:ilvl="3" w:tplc="E3E428DA">
      <w:start w:val="1"/>
      <w:numFmt w:val="bullet"/>
      <w:lvlText w:val=""/>
      <w:lvlJc w:val="left"/>
      <w:pPr>
        <w:ind w:left="2520" w:hanging="360"/>
      </w:pPr>
      <w:rPr>
        <w:rFonts w:ascii="Symbol" w:hAnsi="Symbol" w:hint="default"/>
      </w:rPr>
    </w:lvl>
    <w:lvl w:ilvl="4" w:tplc="AF561054">
      <w:start w:val="1"/>
      <w:numFmt w:val="bullet"/>
      <w:lvlText w:val="o"/>
      <w:lvlJc w:val="left"/>
      <w:pPr>
        <w:ind w:left="3240" w:hanging="360"/>
      </w:pPr>
      <w:rPr>
        <w:rFonts w:ascii="Courier New" w:hAnsi="Courier New" w:hint="default"/>
      </w:rPr>
    </w:lvl>
    <w:lvl w:ilvl="5" w:tplc="DB2E2022">
      <w:start w:val="1"/>
      <w:numFmt w:val="bullet"/>
      <w:lvlText w:val=""/>
      <w:lvlJc w:val="left"/>
      <w:pPr>
        <w:ind w:left="3960" w:hanging="360"/>
      </w:pPr>
      <w:rPr>
        <w:rFonts w:ascii="Wingdings" w:hAnsi="Wingdings" w:hint="default"/>
      </w:rPr>
    </w:lvl>
    <w:lvl w:ilvl="6" w:tplc="35D8304E">
      <w:start w:val="1"/>
      <w:numFmt w:val="bullet"/>
      <w:lvlText w:val=""/>
      <w:lvlJc w:val="left"/>
      <w:pPr>
        <w:ind w:left="4680" w:hanging="360"/>
      </w:pPr>
      <w:rPr>
        <w:rFonts w:ascii="Symbol" w:hAnsi="Symbol" w:hint="default"/>
      </w:rPr>
    </w:lvl>
    <w:lvl w:ilvl="7" w:tplc="9D8227FC">
      <w:start w:val="1"/>
      <w:numFmt w:val="bullet"/>
      <w:lvlText w:val="o"/>
      <w:lvlJc w:val="left"/>
      <w:pPr>
        <w:ind w:left="5400" w:hanging="360"/>
      </w:pPr>
      <w:rPr>
        <w:rFonts w:ascii="Courier New" w:hAnsi="Courier New" w:hint="default"/>
      </w:rPr>
    </w:lvl>
    <w:lvl w:ilvl="8" w:tplc="72A4668C">
      <w:start w:val="1"/>
      <w:numFmt w:val="bullet"/>
      <w:lvlText w:val=""/>
      <w:lvlJc w:val="left"/>
      <w:pPr>
        <w:ind w:left="6120" w:hanging="360"/>
      </w:pPr>
      <w:rPr>
        <w:rFonts w:ascii="Wingdings" w:hAnsi="Wingdings" w:hint="default"/>
      </w:rPr>
    </w:lvl>
  </w:abstractNum>
  <w:abstractNum w:abstractNumId="316" w15:restartNumberingAfterBreak="0">
    <w:nsid w:val="7B8C0DD7"/>
    <w:multiLevelType w:val="hybridMultilevel"/>
    <w:tmpl w:val="3F2A8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7" w15:restartNumberingAfterBreak="0">
    <w:nsid w:val="7C1D4960"/>
    <w:multiLevelType w:val="hybridMultilevel"/>
    <w:tmpl w:val="5DECA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8" w15:restartNumberingAfterBreak="0">
    <w:nsid w:val="7C3D7562"/>
    <w:multiLevelType w:val="hybridMultilevel"/>
    <w:tmpl w:val="F998E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9" w15:restartNumberingAfterBreak="0">
    <w:nsid w:val="7D0626D6"/>
    <w:multiLevelType w:val="hybridMultilevel"/>
    <w:tmpl w:val="13CAA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0" w15:restartNumberingAfterBreak="0">
    <w:nsid w:val="7D284A7A"/>
    <w:multiLevelType w:val="hybridMultilevel"/>
    <w:tmpl w:val="5090F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1" w15:restartNumberingAfterBreak="0">
    <w:nsid w:val="7DF43B95"/>
    <w:multiLevelType w:val="hybridMultilevel"/>
    <w:tmpl w:val="F3A005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2" w15:restartNumberingAfterBreak="0">
    <w:nsid w:val="7E277AD5"/>
    <w:multiLevelType w:val="hybridMultilevel"/>
    <w:tmpl w:val="F5BA73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3" w15:restartNumberingAfterBreak="0">
    <w:nsid w:val="7E7118CF"/>
    <w:multiLevelType w:val="hybridMultilevel"/>
    <w:tmpl w:val="EC9EFA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4" w15:restartNumberingAfterBreak="0">
    <w:nsid w:val="7E92042A"/>
    <w:multiLevelType w:val="hybridMultilevel"/>
    <w:tmpl w:val="011496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5" w15:restartNumberingAfterBreak="0">
    <w:nsid w:val="7ED033C5"/>
    <w:multiLevelType w:val="hybridMultilevel"/>
    <w:tmpl w:val="90E8AA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6" w15:restartNumberingAfterBreak="0">
    <w:nsid w:val="7F3571B0"/>
    <w:multiLevelType w:val="hybridMultilevel"/>
    <w:tmpl w:val="9BC66C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7" w15:restartNumberingAfterBreak="0">
    <w:nsid w:val="7FC157D8"/>
    <w:multiLevelType w:val="hybridMultilevel"/>
    <w:tmpl w:val="96E65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176"/>
  </w:num>
  <w:num w:numId="3">
    <w:abstractNumId w:val="139"/>
  </w:num>
  <w:num w:numId="4">
    <w:abstractNumId w:val="322"/>
  </w:num>
  <w:num w:numId="5">
    <w:abstractNumId w:val="67"/>
  </w:num>
  <w:num w:numId="6">
    <w:abstractNumId w:val="257"/>
  </w:num>
  <w:num w:numId="7">
    <w:abstractNumId w:val="17"/>
  </w:num>
  <w:num w:numId="8">
    <w:abstractNumId w:val="276"/>
  </w:num>
  <w:num w:numId="9">
    <w:abstractNumId w:val="29"/>
  </w:num>
  <w:num w:numId="10">
    <w:abstractNumId w:val="13"/>
  </w:num>
  <w:num w:numId="11">
    <w:abstractNumId w:val="116"/>
  </w:num>
  <w:num w:numId="12">
    <w:abstractNumId w:val="88"/>
  </w:num>
  <w:num w:numId="13">
    <w:abstractNumId w:val="213"/>
  </w:num>
  <w:num w:numId="14">
    <w:abstractNumId w:val="279"/>
  </w:num>
  <w:num w:numId="15">
    <w:abstractNumId w:val="253"/>
  </w:num>
  <w:num w:numId="16">
    <w:abstractNumId w:val="313"/>
  </w:num>
  <w:num w:numId="17">
    <w:abstractNumId w:val="30"/>
  </w:num>
  <w:num w:numId="18">
    <w:abstractNumId w:val="200"/>
  </w:num>
  <w:num w:numId="19">
    <w:abstractNumId w:val="223"/>
  </w:num>
  <w:num w:numId="20">
    <w:abstractNumId w:val="37"/>
  </w:num>
  <w:num w:numId="21">
    <w:abstractNumId w:val="188"/>
  </w:num>
  <w:num w:numId="22">
    <w:abstractNumId w:val="9"/>
  </w:num>
  <w:num w:numId="23">
    <w:abstractNumId w:val="228"/>
  </w:num>
  <w:num w:numId="24">
    <w:abstractNumId w:val="92"/>
  </w:num>
  <w:num w:numId="25">
    <w:abstractNumId w:val="140"/>
  </w:num>
  <w:num w:numId="26">
    <w:abstractNumId w:val="26"/>
  </w:num>
  <w:num w:numId="27">
    <w:abstractNumId w:val="244"/>
  </w:num>
  <w:num w:numId="28">
    <w:abstractNumId w:val="234"/>
  </w:num>
  <w:num w:numId="29">
    <w:abstractNumId w:val="120"/>
  </w:num>
  <w:num w:numId="30">
    <w:abstractNumId w:val="87"/>
  </w:num>
  <w:num w:numId="31">
    <w:abstractNumId w:val="292"/>
  </w:num>
  <w:num w:numId="32">
    <w:abstractNumId w:val="185"/>
  </w:num>
  <w:num w:numId="33">
    <w:abstractNumId w:val="56"/>
  </w:num>
  <w:num w:numId="34">
    <w:abstractNumId w:val="164"/>
  </w:num>
  <w:num w:numId="35">
    <w:abstractNumId w:val="61"/>
  </w:num>
  <w:num w:numId="36">
    <w:abstractNumId w:val="64"/>
  </w:num>
  <w:num w:numId="37">
    <w:abstractNumId w:val="136"/>
  </w:num>
  <w:num w:numId="38">
    <w:abstractNumId w:val="152"/>
  </w:num>
  <w:num w:numId="39">
    <w:abstractNumId w:val="86"/>
  </w:num>
  <w:num w:numId="40">
    <w:abstractNumId w:val="293"/>
  </w:num>
  <w:num w:numId="41">
    <w:abstractNumId w:val="284"/>
  </w:num>
  <w:num w:numId="42">
    <w:abstractNumId w:val="65"/>
  </w:num>
  <w:num w:numId="43">
    <w:abstractNumId w:val="109"/>
  </w:num>
  <w:num w:numId="44">
    <w:abstractNumId w:val="72"/>
  </w:num>
  <w:num w:numId="45">
    <w:abstractNumId w:val="182"/>
  </w:num>
  <w:num w:numId="46">
    <w:abstractNumId w:val="132"/>
  </w:num>
  <w:num w:numId="47">
    <w:abstractNumId w:val="186"/>
  </w:num>
  <w:num w:numId="48">
    <w:abstractNumId w:val="21"/>
  </w:num>
  <w:num w:numId="49">
    <w:abstractNumId w:val="123"/>
  </w:num>
  <w:num w:numId="50">
    <w:abstractNumId w:val="41"/>
  </w:num>
  <w:num w:numId="51">
    <w:abstractNumId w:val="169"/>
  </w:num>
  <w:num w:numId="52">
    <w:abstractNumId w:val="326"/>
  </w:num>
  <w:num w:numId="53">
    <w:abstractNumId w:val="54"/>
  </w:num>
  <w:num w:numId="54">
    <w:abstractNumId w:val="295"/>
  </w:num>
  <w:num w:numId="55">
    <w:abstractNumId w:val="214"/>
  </w:num>
  <w:num w:numId="56">
    <w:abstractNumId w:val="52"/>
  </w:num>
  <w:num w:numId="57">
    <w:abstractNumId w:val="241"/>
  </w:num>
  <w:num w:numId="58">
    <w:abstractNumId w:val="247"/>
  </w:num>
  <w:num w:numId="59">
    <w:abstractNumId w:val="204"/>
  </w:num>
  <w:num w:numId="60">
    <w:abstractNumId w:val="32"/>
  </w:num>
  <w:num w:numId="61">
    <w:abstractNumId w:val="122"/>
  </w:num>
  <w:num w:numId="62">
    <w:abstractNumId w:val="321"/>
  </w:num>
  <w:num w:numId="63">
    <w:abstractNumId w:val="113"/>
  </w:num>
  <w:num w:numId="64">
    <w:abstractNumId w:val="143"/>
  </w:num>
  <w:num w:numId="65">
    <w:abstractNumId w:val="304"/>
  </w:num>
  <w:num w:numId="66">
    <w:abstractNumId w:val="226"/>
  </w:num>
  <w:num w:numId="67">
    <w:abstractNumId w:val="57"/>
  </w:num>
  <w:num w:numId="68">
    <w:abstractNumId w:val="280"/>
  </w:num>
  <w:num w:numId="69">
    <w:abstractNumId w:val="283"/>
  </w:num>
  <w:num w:numId="70">
    <w:abstractNumId w:val="75"/>
  </w:num>
  <w:num w:numId="71">
    <w:abstractNumId w:val="317"/>
  </w:num>
  <w:num w:numId="72">
    <w:abstractNumId w:val="219"/>
  </w:num>
  <w:num w:numId="73">
    <w:abstractNumId w:val="15"/>
  </w:num>
  <w:num w:numId="74">
    <w:abstractNumId w:val="203"/>
  </w:num>
  <w:num w:numId="75">
    <w:abstractNumId w:val="156"/>
  </w:num>
  <w:num w:numId="76">
    <w:abstractNumId w:val="33"/>
  </w:num>
  <w:num w:numId="77">
    <w:abstractNumId w:val="63"/>
  </w:num>
  <w:num w:numId="78">
    <w:abstractNumId w:val="107"/>
  </w:num>
  <w:num w:numId="79">
    <w:abstractNumId w:val="104"/>
  </w:num>
  <w:num w:numId="80">
    <w:abstractNumId w:val="168"/>
  </w:num>
  <w:num w:numId="81">
    <w:abstractNumId w:val="166"/>
  </w:num>
  <w:num w:numId="82">
    <w:abstractNumId w:val="306"/>
  </w:num>
  <w:num w:numId="83">
    <w:abstractNumId w:val="212"/>
  </w:num>
  <w:num w:numId="84">
    <w:abstractNumId w:val="314"/>
  </w:num>
  <w:num w:numId="85">
    <w:abstractNumId w:val="316"/>
  </w:num>
  <w:num w:numId="86">
    <w:abstractNumId w:val="3"/>
  </w:num>
  <w:num w:numId="87">
    <w:abstractNumId w:val="24"/>
  </w:num>
  <w:num w:numId="88">
    <w:abstractNumId w:val="34"/>
  </w:num>
  <w:num w:numId="89">
    <w:abstractNumId w:val="192"/>
  </w:num>
  <w:num w:numId="90">
    <w:abstractNumId w:val="179"/>
  </w:num>
  <w:num w:numId="91">
    <w:abstractNumId w:val="289"/>
  </w:num>
  <w:num w:numId="92">
    <w:abstractNumId w:val="218"/>
  </w:num>
  <w:num w:numId="93">
    <w:abstractNumId w:val="47"/>
  </w:num>
  <w:num w:numId="94">
    <w:abstractNumId w:val="229"/>
  </w:num>
  <w:num w:numId="95">
    <w:abstractNumId w:val="263"/>
  </w:num>
  <w:num w:numId="96">
    <w:abstractNumId w:val="108"/>
  </w:num>
  <w:num w:numId="97">
    <w:abstractNumId w:val="201"/>
  </w:num>
  <w:num w:numId="98">
    <w:abstractNumId w:val="255"/>
  </w:num>
  <w:num w:numId="99">
    <w:abstractNumId w:val="153"/>
  </w:num>
  <w:num w:numId="100">
    <w:abstractNumId w:val="327"/>
  </w:num>
  <w:num w:numId="101">
    <w:abstractNumId w:val="215"/>
  </w:num>
  <w:num w:numId="102">
    <w:abstractNumId w:val="44"/>
  </w:num>
  <w:num w:numId="103">
    <w:abstractNumId w:val="208"/>
  </w:num>
  <w:num w:numId="104">
    <w:abstractNumId w:val="146"/>
  </w:num>
  <w:num w:numId="105">
    <w:abstractNumId w:val="189"/>
  </w:num>
  <w:num w:numId="106">
    <w:abstractNumId w:val="42"/>
  </w:num>
  <w:num w:numId="107">
    <w:abstractNumId w:val="303"/>
  </w:num>
  <w:num w:numId="108">
    <w:abstractNumId w:val="154"/>
  </w:num>
  <w:num w:numId="109">
    <w:abstractNumId w:val="174"/>
  </w:num>
  <w:num w:numId="110">
    <w:abstractNumId w:val="262"/>
  </w:num>
  <w:num w:numId="111">
    <w:abstractNumId w:val="2"/>
  </w:num>
  <w:num w:numId="112">
    <w:abstractNumId w:val="308"/>
  </w:num>
  <w:num w:numId="113">
    <w:abstractNumId w:val="184"/>
  </w:num>
  <w:num w:numId="114">
    <w:abstractNumId w:val="115"/>
  </w:num>
  <w:num w:numId="115">
    <w:abstractNumId w:val="254"/>
  </w:num>
  <w:num w:numId="116">
    <w:abstractNumId w:val="251"/>
  </w:num>
  <w:num w:numId="117">
    <w:abstractNumId w:val="121"/>
  </w:num>
  <w:num w:numId="118">
    <w:abstractNumId w:val="187"/>
  </w:num>
  <w:num w:numId="119">
    <w:abstractNumId w:val="273"/>
  </w:num>
  <w:num w:numId="120">
    <w:abstractNumId w:val="55"/>
  </w:num>
  <w:num w:numId="121">
    <w:abstractNumId w:val="16"/>
  </w:num>
  <w:num w:numId="122">
    <w:abstractNumId w:val="230"/>
  </w:num>
  <w:num w:numId="123">
    <w:abstractNumId w:val="239"/>
  </w:num>
  <w:num w:numId="124">
    <w:abstractNumId w:val="242"/>
  </w:num>
  <w:num w:numId="125">
    <w:abstractNumId w:val="307"/>
  </w:num>
  <w:num w:numId="126">
    <w:abstractNumId w:val="180"/>
  </w:num>
  <w:num w:numId="127">
    <w:abstractNumId w:val="6"/>
  </w:num>
  <w:num w:numId="128">
    <w:abstractNumId w:val="96"/>
  </w:num>
  <w:num w:numId="129">
    <w:abstractNumId w:val="124"/>
  </w:num>
  <w:num w:numId="130">
    <w:abstractNumId w:val="207"/>
  </w:num>
  <w:num w:numId="131">
    <w:abstractNumId w:val="138"/>
  </w:num>
  <w:num w:numId="132">
    <w:abstractNumId w:val="297"/>
  </w:num>
  <w:num w:numId="133">
    <w:abstractNumId w:val="114"/>
  </w:num>
  <w:num w:numId="134">
    <w:abstractNumId w:val="195"/>
  </w:num>
  <w:num w:numId="135">
    <w:abstractNumId w:val="25"/>
  </w:num>
  <w:num w:numId="136">
    <w:abstractNumId w:val="111"/>
  </w:num>
  <w:num w:numId="137">
    <w:abstractNumId w:val="232"/>
  </w:num>
  <w:num w:numId="138">
    <w:abstractNumId w:val="209"/>
  </w:num>
  <w:num w:numId="139">
    <w:abstractNumId w:val="106"/>
  </w:num>
  <w:num w:numId="140">
    <w:abstractNumId w:val="231"/>
  </w:num>
  <w:num w:numId="141">
    <w:abstractNumId w:val="181"/>
  </w:num>
  <w:num w:numId="142">
    <w:abstractNumId w:val="190"/>
  </w:num>
  <w:num w:numId="143">
    <w:abstractNumId w:val="282"/>
  </w:num>
  <w:num w:numId="144">
    <w:abstractNumId w:val="274"/>
  </w:num>
  <w:num w:numId="145">
    <w:abstractNumId w:val="319"/>
  </w:num>
  <w:num w:numId="146">
    <w:abstractNumId w:val="93"/>
  </w:num>
  <w:num w:numId="147">
    <w:abstractNumId w:val="150"/>
  </w:num>
  <w:num w:numId="148">
    <w:abstractNumId w:val="277"/>
  </w:num>
  <w:num w:numId="149">
    <w:abstractNumId w:val="135"/>
  </w:num>
  <w:num w:numId="150">
    <w:abstractNumId w:val="131"/>
  </w:num>
  <w:num w:numId="151">
    <w:abstractNumId w:val="205"/>
  </w:num>
  <w:num w:numId="152">
    <w:abstractNumId w:val="142"/>
  </w:num>
  <w:num w:numId="153">
    <w:abstractNumId w:val="235"/>
  </w:num>
  <w:num w:numId="154">
    <w:abstractNumId w:val="14"/>
  </w:num>
  <w:num w:numId="155">
    <w:abstractNumId w:val="221"/>
  </w:num>
  <w:num w:numId="156">
    <w:abstractNumId w:val="103"/>
  </w:num>
  <w:num w:numId="157">
    <w:abstractNumId w:val="191"/>
  </w:num>
  <w:num w:numId="158">
    <w:abstractNumId w:val="77"/>
  </w:num>
  <w:num w:numId="159">
    <w:abstractNumId w:val="233"/>
  </w:num>
  <w:num w:numId="160">
    <w:abstractNumId w:val="220"/>
  </w:num>
  <w:num w:numId="161">
    <w:abstractNumId w:val="110"/>
  </w:num>
  <w:num w:numId="162">
    <w:abstractNumId w:val="155"/>
  </w:num>
  <w:num w:numId="163">
    <w:abstractNumId w:val="144"/>
  </w:num>
  <w:num w:numId="164">
    <w:abstractNumId w:val="76"/>
  </w:num>
  <w:num w:numId="165">
    <w:abstractNumId w:val="141"/>
  </w:num>
  <w:num w:numId="166">
    <w:abstractNumId w:val="68"/>
  </w:num>
  <w:num w:numId="167">
    <w:abstractNumId w:val="287"/>
  </w:num>
  <w:num w:numId="168">
    <w:abstractNumId w:val="5"/>
  </w:num>
  <w:num w:numId="169">
    <w:abstractNumId w:val="12"/>
  </w:num>
  <w:num w:numId="170">
    <w:abstractNumId w:val="48"/>
  </w:num>
  <w:num w:numId="171">
    <w:abstractNumId w:val="125"/>
  </w:num>
  <w:num w:numId="172">
    <w:abstractNumId w:val="225"/>
  </w:num>
  <w:num w:numId="173">
    <w:abstractNumId w:val="236"/>
  </w:num>
  <w:num w:numId="174">
    <w:abstractNumId w:val="73"/>
  </w:num>
  <w:num w:numId="175">
    <w:abstractNumId w:val="97"/>
  </w:num>
  <w:num w:numId="176">
    <w:abstractNumId w:val="310"/>
  </w:num>
  <w:num w:numId="177">
    <w:abstractNumId w:val="309"/>
  </w:num>
  <w:num w:numId="178">
    <w:abstractNumId w:val="83"/>
  </w:num>
  <w:num w:numId="179">
    <w:abstractNumId w:val="302"/>
  </w:num>
  <w:num w:numId="180">
    <w:abstractNumId w:val="147"/>
  </w:num>
  <w:num w:numId="181">
    <w:abstractNumId w:val="197"/>
  </w:num>
  <w:num w:numId="182">
    <w:abstractNumId w:val="59"/>
  </w:num>
  <w:num w:numId="183">
    <w:abstractNumId w:val="60"/>
  </w:num>
  <w:num w:numId="184">
    <w:abstractNumId w:val="175"/>
  </w:num>
  <w:num w:numId="185">
    <w:abstractNumId w:val="177"/>
  </w:num>
  <w:num w:numId="186">
    <w:abstractNumId w:val="296"/>
  </w:num>
  <w:num w:numId="187">
    <w:abstractNumId w:val="158"/>
  </w:num>
  <w:num w:numId="188">
    <w:abstractNumId w:val="194"/>
  </w:num>
  <w:num w:numId="189">
    <w:abstractNumId w:val="133"/>
  </w:num>
  <w:num w:numId="190">
    <w:abstractNumId w:val="101"/>
  </w:num>
  <w:num w:numId="191">
    <w:abstractNumId w:val="2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267"/>
  </w:num>
  <w:num w:numId="193">
    <w:abstractNumId w:val="0"/>
  </w:num>
  <w:num w:numId="194">
    <w:abstractNumId w:val="23"/>
  </w:num>
  <w:num w:numId="195">
    <w:abstractNumId w:val="238"/>
  </w:num>
  <w:num w:numId="196">
    <w:abstractNumId w:val="211"/>
  </w:num>
  <w:num w:numId="197">
    <w:abstractNumId w:val="129"/>
  </w:num>
  <w:num w:numId="198">
    <w:abstractNumId w:val="270"/>
  </w:num>
  <w:num w:numId="199">
    <w:abstractNumId w:val="198"/>
  </w:num>
  <w:num w:numId="200">
    <w:abstractNumId w:val="66"/>
  </w:num>
  <w:num w:numId="201">
    <w:abstractNumId w:val="98"/>
  </w:num>
  <w:num w:numId="202">
    <w:abstractNumId w:val="217"/>
  </w:num>
  <w:num w:numId="203">
    <w:abstractNumId w:val="36"/>
  </w:num>
  <w:num w:numId="204">
    <w:abstractNumId w:val="118"/>
  </w:num>
  <w:num w:numId="205">
    <w:abstractNumId w:val="171"/>
  </w:num>
  <w:num w:numId="206">
    <w:abstractNumId w:val="323"/>
  </w:num>
  <w:num w:numId="207">
    <w:abstractNumId w:val="275"/>
  </w:num>
  <w:num w:numId="208">
    <w:abstractNumId w:val="62"/>
  </w:num>
  <w:num w:numId="209">
    <w:abstractNumId w:val="78"/>
  </w:num>
  <w:num w:numId="210">
    <w:abstractNumId w:val="260"/>
  </w:num>
  <w:num w:numId="211">
    <w:abstractNumId w:val="210"/>
  </w:num>
  <w:num w:numId="212">
    <w:abstractNumId w:val="199"/>
  </w:num>
  <w:num w:numId="213">
    <w:abstractNumId w:val="272"/>
  </w:num>
  <w:num w:numId="214">
    <w:abstractNumId w:val="266"/>
  </w:num>
  <w:num w:numId="215">
    <w:abstractNumId w:val="137"/>
  </w:num>
  <w:num w:numId="216">
    <w:abstractNumId w:val="259"/>
  </w:num>
  <w:num w:numId="217">
    <w:abstractNumId w:val="31"/>
  </w:num>
  <w:num w:numId="218">
    <w:abstractNumId w:val="145"/>
  </w:num>
  <w:num w:numId="219">
    <w:abstractNumId w:val="299"/>
  </w:num>
  <w:num w:numId="220">
    <w:abstractNumId w:val="126"/>
  </w:num>
  <w:num w:numId="221">
    <w:abstractNumId w:val="261"/>
  </w:num>
  <w:num w:numId="222">
    <w:abstractNumId w:val="245"/>
  </w:num>
  <w:num w:numId="223">
    <w:abstractNumId w:val="81"/>
  </w:num>
  <w:num w:numId="224">
    <w:abstractNumId w:val="119"/>
  </w:num>
  <w:num w:numId="225">
    <w:abstractNumId w:val="252"/>
  </w:num>
  <w:num w:numId="226">
    <w:abstractNumId w:val="91"/>
  </w:num>
  <w:num w:numId="227">
    <w:abstractNumId w:val="167"/>
  </w:num>
  <w:num w:numId="228">
    <w:abstractNumId w:val="163"/>
  </w:num>
  <w:num w:numId="229">
    <w:abstractNumId w:val="112"/>
  </w:num>
  <w:num w:numId="230">
    <w:abstractNumId w:val="285"/>
  </w:num>
  <w:num w:numId="231">
    <w:abstractNumId w:val="206"/>
  </w:num>
  <w:num w:numId="232">
    <w:abstractNumId w:val="291"/>
  </w:num>
  <w:num w:numId="233">
    <w:abstractNumId w:val="315"/>
  </w:num>
  <w:num w:numId="234">
    <w:abstractNumId w:val="161"/>
  </w:num>
  <w:num w:numId="235">
    <w:abstractNumId w:val="290"/>
  </w:num>
  <w:num w:numId="236">
    <w:abstractNumId w:val="250"/>
  </w:num>
  <w:num w:numId="237">
    <w:abstractNumId w:val="216"/>
  </w:num>
  <w:num w:numId="238">
    <w:abstractNumId w:val="178"/>
  </w:num>
  <w:num w:numId="239">
    <w:abstractNumId w:val="102"/>
  </w:num>
  <w:num w:numId="240">
    <w:abstractNumId w:val="95"/>
  </w:num>
  <w:num w:numId="241">
    <w:abstractNumId w:val="224"/>
  </w:num>
  <w:num w:numId="242">
    <w:abstractNumId w:val="294"/>
  </w:num>
  <w:num w:numId="243">
    <w:abstractNumId w:val="258"/>
  </w:num>
  <w:num w:numId="244">
    <w:abstractNumId w:val="58"/>
  </w:num>
  <w:num w:numId="245">
    <w:abstractNumId w:val="71"/>
  </w:num>
  <w:num w:numId="246">
    <w:abstractNumId w:val="43"/>
  </w:num>
  <w:num w:numId="247">
    <w:abstractNumId w:val="134"/>
  </w:num>
  <w:num w:numId="248">
    <w:abstractNumId w:val="248"/>
  </w:num>
  <w:num w:numId="249">
    <w:abstractNumId w:val="162"/>
  </w:num>
  <w:num w:numId="250">
    <w:abstractNumId w:val="70"/>
  </w:num>
  <w:num w:numId="251">
    <w:abstractNumId w:val="268"/>
  </w:num>
  <w:num w:numId="252">
    <w:abstractNumId w:val="11"/>
  </w:num>
  <w:num w:numId="253">
    <w:abstractNumId w:val="249"/>
  </w:num>
  <w:num w:numId="254">
    <w:abstractNumId w:val="79"/>
  </w:num>
  <w:num w:numId="255">
    <w:abstractNumId w:val="84"/>
  </w:num>
  <w:num w:numId="256">
    <w:abstractNumId w:val="39"/>
  </w:num>
  <w:num w:numId="257">
    <w:abstractNumId w:val="222"/>
  </w:num>
  <w:num w:numId="258">
    <w:abstractNumId w:val="243"/>
  </w:num>
  <w:num w:numId="259">
    <w:abstractNumId w:val="157"/>
  </w:num>
  <w:num w:numId="260">
    <w:abstractNumId w:val="264"/>
  </w:num>
  <w:num w:numId="261">
    <w:abstractNumId w:val="301"/>
  </w:num>
  <w:num w:numId="262">
    <w:abstractNumId w:val="278"/>
  </w:num>
  <w:num w:numId="263">
    <w:abstractNumId w:val="305"/>
  </w:num>
  <w:num w:numId="264">
    <w:abstractNumId w:val="246"/>
  </w:num>
  <w:num w:numId="265">
    <w:abstractNumId w:val="183"/>
  </w:num>
  <w:num w:numId="266">
    <w:abstractNumId w:val="173"/>
  </w:num>
  <w:num w:numId="267">
    <w:abstractNumId w:val="40"/>
  </w:num>
  <w:num w:numId="268">
    <w:abstractNumId w:val="51"/>
  </w:num>
  <w:num w:numId="269">
    <w:abstractNumId w:val="165"/>
  </w:num>
  <w:num w:numId="270">
    <w:abstractNumId w:val="265"/>
  </w:num>
  <w:num w:numId="271">
    <w:abstractNumId w:val="271"/>
  </w:num>
  <w:num w:numId="272">
    <w:abstractNumId w:val="151"/>
  </w:num>
  <w:num w:numId="273">
    <w:abstractNumId w:val="45"/>
  </w:num>
  <w:num w:numId="274">
    <w:abstractNumId w:val="159"/>
  </w:num>
  <w:num w:numId="275">
    <w:abstractNumId w:val="128"/>
  </w:num>
  <w:num w:numId="276">
    <w:abstractNumId w:val="1"/>
  </w:num>
  <w:num w:numId="277">
    <w:abstractNumId w:val="324"/>
  </w:num>
  <w:num w:numId="278">
    <w:abstractNumId w:val="325"/>
  </w:num>
  <w:num w:numId="279">
    <w:abstractNumId w:val="100"/>
  </w:num>
  <w:num w:numId="280">
    <w:abstractNumId w:val="28"/>
  </w:num>
  <w:num w:numId="281">
    <w:abstractNumId w:val="85"/>
  </w:num>
  <w:num w:numId="282">
    <w:abstractNumId w:val="99"/>
  </w:num>
  <w:num w:numId="283">
    <w:abstractNumId w:val="149"/>
  </w:num>
  <w:num w:numId="284">
    <w:abstractNumId w:val="35"/>
  </w:num>
  <w:num w:numId="285">
    <w:abstractNumId w:val="94"/>
  </w:num>
  <w:num w:numId="286">
    <w:abstractNumId w:val="160"/>
  </w:num>
  <w:num w:numId="287">
    <w:abstractNumId w:val="69"/>
  </w:num>
  <w:num w:numId="288">
    <w:abstractNumId w:val="311"/>
  </w:num>
  <w:num w:numId="289">
    <w:abstractNumId w:val="240"/>
  </w:num>
  <w:num w:numId="290">
    <w:abstractNumId w:val="318"/>
  </w:num>
  <w:num w:numId="291">
    <w:abstractNumId w:val="288"/>
  </w:num>
  <w:num w:numId="292">
    <w:abstractNumId w:val="80"/>
  </w:num>
  <w:num w:numId="293">
    <w:abstractNumId w:val="193"/>
  </w:num>
  <w:num w:numId="294">
    <w:abstractNumId w:val="300"/>
  </w:num>
  <w:num w:numId="295">
    <w:abstractNumId w:val="27"/>
  </w:num>
  <w:num w:numId="296">
    <w:abstractNumId w:val="4"/>
  </w:num>
  <w:num w:numId="297">
    <w:abstractNumId w:val="20"/>
  </w:num>
  <w:num w:numId="298">
    <w:abstractNumId w:val="320"/>
  </w:num>
  <w:num w:numId="299">
    <w:abstractNumId w:val="74"/>
  </w:num>
  <w:num w:numId="300">
    <w:abstractNumId w:val="130"/>
  </w:num>
  <w:num w:numId="301">
    <w:abstractNumId w:val="286"/>
  </w:num>
  <w:num w:numId="302">
    <w:abstractNumId w:val="50"/>
  </w:num>
  <w:num w:numId="303">
    <w:abstractNumId w:val="10"/>
  </w:num>
  <w:num w:numId="304">
    <w:abstractNumId w:val="117"/>
  </w:num>
  <w:num w:numId="305">
    <w:abstractNumId w:val="256"/>
  </w:num>
  <w:num w:numId="306">
    <w:abstractNumId w:val="202"/>
  </w:num>
  <w:num w:numId="307">
    <w:abstractNumId w:val="19"/>
  </w:num>
  <w:num w:numId="308">
    <w:abstractNumId w:val="269"/>
  </w:num>
  <w:num w:numId="309">
    <w:abstractNumId w:val="105"/>
  </w:num>
  <w:num w:numId="310">
    <w:abstractNumId w:val="227"/>
  </w:num>
  <w:num w:numId="311">
    <w:abstractNumId w:val="148"/>
  </w:num>
  <w:num w:numId="312">
    <w:abstractNumId w:val="18"/>
  </w:num>
  <w:num w:numId="313">
    <w:abstractNumId w:val="22"/>
  </w:num>
  <w:num w:numId="314">
    <w:abstractNumId w:val="82"/>
  </w:num>
  <w:num w:numId="315">
    <w:abstractNumId w:val="46"/>
  </w:num>
  <w:num w:numId="316">
    <w:abstractNumId w:val="8"/>
  </w:num>
  <w:num w:numId="317">
    <w:abstractNumId w:val="170"/>
  </w:num>
  <w:num w:numId="318">
    <w:abstractNumId w:val="172"/>
  </w:num>
  <w:num w:numId="319">
    <w:abstractNumId w:val="281"/>
  </w:num>
  <w:num w:numId="320">
    <w:abstractNumId w:val="127"/>
  </w:num>
  <w:num w:numId="321">
    <w:abstractNumId w:val="53"/>
  </w:num>
  <w:num w:numId="322">
    <w:abstractNumId w:val="312"/>
  </w:num>
  <w:num w:numId="323">
    <w:abstractNumId w:val="89"/>
  </w:num>
  <w:num w:numId="324">
    <w:abstractNumId w:val="38"/>
  </w:num>
  <w:num w:numId="325">
    <w:abstractNumId w:val="196"/>
  </w:num>
  <w:num w:numId="326">
    <w:abstractNumId w:val="90"/>
  </w:num>
  <w:num w:numId="327">
    <w:abstractNumId w:val="49"/>
  </w:num>
  <w:num w:numId="328">
    <w:abstractNumId w:val="298"/>
  </w:num>
  <w:numIdMacAtCleanup w:val="3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hideSpellingErrors/>
  <w:hideGrammaticalErrors/>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U0MTE0tDAyNzKyMDJV0lEKTi0uzszPAykwMjWvBQDo9V5wLgAAAA=="/>
    <w:docVar w:name="EN.InstantFormat" w:val="&lt;ENInstantFormat&gt;&lt;Enabled&gt;0&lt;/Enabled&gt;&lt;ScanUnformatted&gt;1&lt;/ScanUnformatted&gt;&lt;ScanChanges&gt;1&lt;/ScanChanges&gt;&lt;Suspended&gt;0&lt;/Suspended&gt;&lt;/ENInstantFormat&gt;"/>
    <w:docVar w:name="EN.Layout" w:val="&lt;ENLayout&gt;&lt;Style&gt;Lancet&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xwa055rhevv2yef5v75fepy2azsv0xvx9w9&quot;&gt;My EndNote Library-Converted&lt;record-ids&gt;&lt;item&gt;530&lt;/item&gt;&lt;item&gt;531&lt;/item&gt;&lt;item&gt;586&lt;/item&gt;&lt;item&gt;587&lt;/item&gt;&lt;item&gt;588&lt;/item&gt;&lt;item&gt;589&lt;/item&gt;&lt;item&gt;590&lt;/item&gt;&lt;item&gt;591&lt;/item&gt;&lt;item&gt;592&lt;/item&gt;&lt;item&gt;593&lt;/item&gt;&lt;item&gt;594&lt;/item&gt;&lt;item&gt;595&lt;/item&gt;&lt;item&gt;597&lt;/item&gt;&lt;item&gt;598&lt;/item&gt;&lt;item&gt;599&lt;/item&gt;&lt;item&gt;601&lt;/item&gt;&lt;item&gt;602&lt;/item&gt;&lt;item&gt;603&lt;/item&gt;&lt;item&gt;604&lt;/item&gt;&lt;item&gt;606&lt;/item&gt;&lt;item&gt;607&lt;/item&gt;&lt;item&gt;609&lt;/item&gt;&lt;item&gt;610&lt;/item&gt;&lt;item&gt;611&lt;/item&gt;&lt;item&gt;612&lt;/item&gt;&lt;item&gt;613&lt;/item&gt;&lt;item&gt;614&lt;/item&gt;&lt;item&gt;615&lt;/item&gt;&lt;item&gt;616&lt;/item&gt;&lt;item&gt;617&lt;/item&gt;&lt;item&gt;621&lt;/item&gt;&lt;item&gt;627&lt;/item&gt;&lt;item&gt;635&lt;/item&gt;&lt;item&gt;636&lt;/item&gt;&lt;item&gt;637&lt;/item&gt;&lt;item&gt;638&lt;/item&gt;&lt;item&gt;639&lt;/item&gt;&lt;item&gt;640&lt;/item&gt;&lt;item&gt;644&lt;/item&gt;&lt;item&gt;645&lt;/item&gt;&lt;item&gt;646&lt;/item&gt;&lt;item&gt;647&lt;/item&gt;&lt;item&gt;648&lt;/item&gt;&lt;item&gt;649&lt;/item&gt;&lt;item&gt;650&lt;/item&gt;&lt;item&gt;651&lt;/item&gt;&lt;item&gt;653&lt;/item&gt;&lt;item&gt;654&lt;/item&gt;&lt;item&gt;655&lt;/item&gt;&lt;/record-ids&gt;&lt;/item&gt;&lt;/Libraries&gt;"/>
  </w:docVars>
  <w:rsids>
    <w:rsidRoot w:val="008D0D0C"/>
    <w:rsid w:val="0000018D"/>
    <w:rsid w:val="0000023E"/>
    <w:rsid w:val="00000287"/>
    <w:rsid w:val="000005A0"/>
    <w:rsid w:val="00000650"/>
    <w:rsid w:val="00000714"/>
    <w:rsid w:val="00000779"/>
    <w:rsid w:val="00000D8E"/>
    <w:rsid w:val="00000E40"/>
    <w:rsid w:val="00000E62"/>
    <w:rsid w:val="00000E81"/>
    <w:rsid w:val="00000F38"/>
    <w:rsid w:val="00000F5E"/>
    <w:rsid w:val="00000F98"/>
    <w:rsid w:val="00000FC7"/>
    <w:rsid w:val="0000124A"/>
    <w:rsid w:val="0000141B"/>
    <w:rsid w:val="00001430"/>
    <w:rsid w:val="00001812"/>
    <w:rsid w:val="00001815"/>
    <w:rsid w:val="00001C70"/>
    <w:rsid w:val="00001D39"/>
    <w:rsid w:val="00001F48"/>
    <w:rsid w:val="0000219F"/>
    <w:rsid w:val="00002317"/>
    <w:rsid w:val="000024A5"/>
    <w:rsid w:val="00002525"/>
    <w:rsid w:val="0000256E"/>
    <w:rsid w:val="000025F7"/>
    <w:rsid w:val="00002791"/>
    <w:rsid w:val="0000281C"/>
    <w:rsid w:val="000028E7"/>
    <w:rsid w:val="00002B29"/>
    <w:rsid w:val="00002CA4"/>
    <w:rsid w:val="00002E73"/>
    <w:rsid w:val="00002FC2"/>
    <w:rsid w:val="000030CC"/>
    <w:rsid w:val="00003145"/>
    <w:rsid w:val="0000327E"/>
    <w:rsid w:val="0000343F"/>
    <w:rsid w:val="0000346A"/>
    <w:rsid w:val="0000349C"/>
    <w:rsid w:val="00003692"/>
    <w:rsid w:val="0000382C"/>
    <w:rsid w:val="00003A15"/>
    <w:rsid w:val="00003AAA"/>
    <w:rsid w:val="00003C53"/>
    <w:rsid w:val="00003CA8"/>
    <w:rsid w:val="00003CE4"/>
    <w:rsid w:val="00004016"/>
    <w:rsid w:val="000040D9"/>
    <w:rsid w:val="00004245"/>
    <w:rsid w:val="000043E3"/>
    <w:rsid w:val="0000451E"/>
    <w:rsid w:val="00004871"/>
    <w:rsid w:val="00004A71"/>
    <w:rsid w:val="00004DA1"/>
    <w:rsid w:val="00004DD6"/>
    <w:rsid w:val="00004E0C"/>
    <w:rsid w:val="00004EEA"/>
    <w:rsid w:val="00005237"/>
    <w:rsid w:val="0000544C"/>
    <w:rsid w:val="0000568D"/>
    <w:rsid w:val="0000573A"/>
    <w:rsid w:val="0000573E"/>
    <w:rsid w:val="0000582D"/>
    <w:rsid w:val="00005A11"/>
    <w:rsid w:val="00005C54"/>
    <w:rsid w:val="00005C58"/>
    <w:rsid w:val="0000627D"/>
    <w:rsid w:val="000064E0"/>
    <w:rsid w:val="0000657D"/>
    <w:rsid w:val="00006656"/>
    <w:rsid w:val="000067D2"/>
    <w:rsid w:val="000067E1"/>
    <w:rsid w:val="000068BB"/>
    <w:rsid w:val="00006A54"/>
    <w:rsid w:val="00006BB3"/>
    <w:rsid w:val="00006C8F"/>
    <w:rsid w:val="00006CBC"/>
    <w:rsid w:val="0000722D"/>
    <w:rsid w:val="00007428"/>
    <w:rsid w:val="00007542"/>
    <w:rsid w:val="0000754E"/>
    <w:rsid w:val="00007624"/>
    <w:rsid w:val="000077DE"/>
    <w:rsid w:val="0000796E"/>
    <w:rsid w:val="00007A87"/>
    <w:rsid w:val="00007AA9"/>
    <w:rsid w:val="00007BF6"/>
    <w:rsid w:val="00007CDC"/>
    <w:rsid w:val="00007CE6"/>
    <w:rsid w:val="00007E31"/>
    <w:rsid w:val="000100C8"/>
    <w:rsid w:val="000101FC"/>
    <w:rsid w:val="000102B5"/>
    <w:rsid w:val="00010371"/>
    <w:rsid w:val="000103A1"/>
    <w:rsid w:val="000103A2"/>
    <w:rsid w:val="00010401"/>
    <w:rsid w:val="00010518"/>
    <w:rsid w:val="0001086E"/>
    <w:rsid w:val="000108BC"/>
    <w:rsid w:val="00010A60"/>
    <w:rsid w:val="00010C85"/>
    <w:rsid w:val="00010D05"/>
    <w:rsid w:val="00010F20"/>
    <w:rsid w:val="000110B3"/>
    <w:rsid w:val="0001112D"/>
    <w:rsid w:val="00011247"/>
    <w:rsid w:val="00011395"/>
    <w:rsid w:val="000113ED"/>
    <w:rsid w:val="0001147E"/>
    <w:rsid w:val="0001171F"/>
    <w:rsid w:val="00011A3B"/>
    <w:rsid w:val="00011C51"/>
    <w:rsid w:val="00011C9C"/>
    <w:rsid w:val="00011E22"/>
    <w:rsid w:val="00011FA4"/>
    <w:rsid w:val="00011FD1"/>
    <w:rsid w:val="00012010"/>
    <w:rsid w:val="00012184"/>
    <w:rsid w:val="000122DB"/>
    <w:rsid w:val="000124D4"/>
    <w:rsid w:val="000125BF"/>
    <w:rsid w:val="000128B6"/>
    <w:rsid w:val="00012A9D"/>
    <w:rsid w:val="00012AF9"/>
    <w:rsid w:val="00012B51"/>
    <w:rsid w:val="00012B9E"/>
    <w:rsid w:val="00012C54"/>
    <w:rsid w:val="00012CD1"/>
    <w:rsid w:val="00012F01"/>
    <w:rsid w:val="00012F78"/>
    <w:rsid w:val="00013181"/>
    <w:rsid w:val="00013531"/>
    <w:rsid w:val="00013844"/>
    <w:rsid w:val="00013A78"/>
    <w:rsid w:val="00013D8E"/>
    <w:rsid w:val="000142E1"/>
    <w:rsid w:val="00014341"/>
    <w:rsid w:val="0001457A"/>
    <w:rsid w:val="000145C2"/>
    <w:rsid w:val="00014636"/>
    <w:rsid w:val="00014709"/>
    <w:rsid w:val="00014736"/>
    <w:rsid w:val="000148B1"/>
    <w:rsid w:val="00014C33"/>
    <w:rsid w:val="00014C47"/>
    <w:rsid w:val="00014D2D"/>
    <w:rsid w:val="00015273"/>
    <w:rsid w:val="0001540E"/>
    <w:rsid w:val="00015414"/>
    <w:rsid w:val="00015419"/>
    <w:rsid w:val="000158DF"/>
    <w:rsid w:val="00015CD6"/>
    <w:rsid w:val="00015E25"/>
    <w:rsid w:val="00015FE2"/>
    <w:rsid w:val="00016212"/>
    <w:rsid w:val="000162E6"/>
    <w:rsid w:val="000162FE"/>
    <w:rsid w:val="0001662B"/>
    <w:rsid w:val="00016701"/>
    <w:rsid w:val="00016922"/>
    <w:rsid w:val="00016AD8"/>
    <w:rsid w:val="00016B50"/>
    <w:rsid w:val="00016CDD"/>
    <w:rsid w:val="00016E04"/>
    <w:rsid w:val="00016E61"/>
    <w:rsid w:val="00017019"/>
    <w:rsid w:val="00017261"/>
    <w:rsid w:val="0001762F"/>
    <w:rsid w:val="000176F8"/>
    <w:rsid w:val="00017AE6"/>
    <w:rsid w:val="00017C8C"/>
    <w:rsid w:val="00017CAF"/>
    <w:rsid w:val="00017D5E"/>
    <w:rsid w:val="00017D7D"/>
    <w:rsid w:val="00017D9F"/>
    <w:rsid w:val="00017EB3"/>
    <w:rsid w:val="00020038"/>
    <w:rsid w:val="000200E4"/>
    <w:rsid w:val="00020290"/>
    <w:rsid w:val="00020358"/>
    <w:rsid w:val="000203C8"/>
    <w:rsid w:val="0002049D"/>
    <w:rsid w:val="000204ED"/>
    <w:rsid w:val="00020573"/>
    <w:rsid w:val="00020630"/>
    <w:rsid w:val="0002065F"/>
    <w:rsid w:val="000207A2"/>
    <w:rsid w:val="0002088D"/>
    <w:rsid w:val="00020C23"/>
    <w:rsid w:val="00020CC8"/>
    <w:rsid w:val="00020FA0"/>
    <w:rsid w:val="00020FF3"/>
    <w:rsid w:val="00021231"/>
    <w:rsid w:val="0002125A"/>
    <w:rsid w:val="000214F2"/>
    <w:rsid w:val="00021503"/>
    <w:rsid w:val="0002154C"/>
    <w:rsid w:val="00021585"/>
    <w:rsid w:val="00021823"/>
    <w:rsid w:val="00021992"/>
    <w:rsid w:val="00021ACB"/>
    <w:rsid w:val="00021B34"/>
    <w:rsid w:val="00021BD3"/>
    <w:rsid w:val="00021CA8"/>
    <w:rsid w:val="00021F36"/>
    <w:rsid w:val="0002201F"/>
    <w:rsid w:val="0002208C"/>
    <w:rsid w:val="000220DF"/>
    <w:rsid w:val="00022175"/>
    <w:rsid w:val="000221BF"/>
    <w:rsid w:val="0002227D"/>
    <w:rsid w:val="000223C1"/>
    <w:rsid w:val="000223D2"/>
    <w:rsid w:val="0002262A"/>
    <w:rsid w:val="000228C8"/>
    <w:rsid w:val="00022937"/>
    <w:rsid w:val="000229FC"/>
    <w:rsid w:val="00022E02"/>
    <w:rsid w:val="00022ECD"/>
    <w:rsid w:val="00022ED8"/>
    <w:rsid w:val="00022F0A"/>
    <w:rsid w:val="00022F0E"/>
    <w:rsid w:val="00023085"/>
    <w:rsid w:val="000230A6"/>
    <w:rsid w:val="000230FA"/>
    <w:rsid w:val="000231A1"/>
    <w:rsid w:val="00023286"/>
    <w:rsid w:val="000232F1"/>
    <w:rsid w:val="000233EA"/>
    <w:rsid w:val="00023578"/>
    <w:rsid w:val="000235A6"/>
    <w:rsid w:val="000235D0"/>
    <w:rsid w:val="00023655"/>
    <w:rsid w:val="000236BC"/>
    <w:rsid w:val="0002381C"/>
    <w:rsid w:val="00023834"/>
    <w:rsid w:val="00023841"/>
    <w:rsid w:val="000239E6"/>
    <w:rsid w:val="00023A25"/>
    <w:rsid w:val="00023A56"/>
    <w:rsid w:val="00023C27"/>
    <w:rsid w:val="00023D4B"/>
    <w:rsid w:val="00023DB4"/>
    <w:rsid w:val="00024015"/>
    <w:rsid w:val="000240D8"/>
    <w:rsid w:val="00024204"/>
    <w:rsid w:val="000243AF"/>
    <w:rsid w:val="00024470"/>
    <w:rsid w:val="00024C9C"/>
    <w:rsid w:val="00024D6A"/>
    <w:rsid w:val="00024F90"/>
    <w:rsid w:val="000250BB"/>
    <w:rsid w:val="00025135"/>
    <w:rsid w:val="00025201"/>
    <w:rsid w:val="00025D89"/>
    <w:rsid w:val="00025DA6"/>
    <w:rsid w:val="00025E7C"/>
    <w:rsid w:val="00025F5B"/>
    <w:rsid w:val="00025FE7"/>
    <w:rsid w:val="00026014"/>
    <w:rsid w:val="0002621C"/>
    <w:rsid w:val="00026304"/>
    <w:rsid w:val="0002630D"/>
    <w:rsid w:val="000263E2"/>
    <w:rsid w:val="00026598"/>
    <w:rsid w:val="000265EC"/>
    <w:rsid w:val="00026643"/>
    <w:rsid w:val="00026B05"/>
    <w:rsid w:val="00026B80"/>
    <w:rsid w:val="00026BB2"/>
    <w:rsid w:val="00026C59"/>
    <w:rsid w:val="00026D66"/>
    <w:rsid w:val="00026DF3"/>
    <w:rsid w:val="00026F2E"/>
    <w:rsid w:val="00026F72"/>
    <w:rsid w:val="0002704E"/>
    <w:rsid w:val="000272C2"/>
    <w:rsid w:val="000273CD"/>
    <w:rsid w:val="000276EC"/>
    <w:rsid w:val="00027A23"/>
    <w:rsid w:val="00027A90"/>
    <w:rsid w:val="00027AF6"/>
    <w:rsid w:val="00027C01"/>
    <w:rsid w:val="00027C19"/>
    <w:rsid w:val="00027C8E"/>
    <w:rsid w:val="00027CA6"/>
    <w:rsid w:val="00027E8D"/>
    <w:rsid w:val="00027F74"/>
    <w:rsid w:val="00027F87"/>
    <w:rsid w:val="00030039"/>
    <w:rsid w:val="0003003C"/>
    <w:rsid w:val="000300CF"/>
    <w:rsid w:val="000305D5"/>
    <w:rsid w:val="000309F8"/>
    <w:rsid w:val="00030A22"/>
    <w:rsid w:val="00030AC9"/>
    <w:rsid w:val="00030B21"/>
    <w:rsid w:val="00030B66"/>
    <w:rsid w:val="00030D5A"/>
    <w:rsid w:val="00030DA0"/>
    <w:rsid w:val="00030ED5"/>
    <w:rsid w:val="0003104C"/>
    <w:rsid w:val="00031085"/>
    <w:rsid w:val="00031247"/>
    <w:rsid w:val="00031290"/>
    <w:rsid w:val="00031509"/>
    <w:rsid w:val="0003177A"/>
    <w:rsid w:val="00031781"/>
    <w:rsid w:val="0003189C"/>
    <w:rsid w:val="00031935"/>
    <w:rsid w:val="00031E06"/>
    <w:rsid w:val="00031E1A"/>
    <w:rsid w:val="00031ED9"/>
    <w:rsid w:val="00031F51"/>
    <w:rsid w:val="00031F5D"/>
    <w:rsid w:val="00032178"/>
    <w:rsid w:val="00032180"/>
    <w:rsid w:val="000324C8"/>
    <w:rsid w:val="0003258A"/>
    <w:rsid w:val="000326D2"/>
    <w:rsid w:val="000326D7"/>
    <w:rsid w:val="000328B5"/>
    <w:rsid w:val="0003297A"/>
    <w:rsid w:val="00032AC7"/>
    <w:rsid w:val="0003307C"/>
    <w:rsid w:val="00033187"/>
    <w:rsid w:val="00033212"/>
    <w:rsid w:val="000334D0"/>
    <w:rsid w:val="00033533"/>
    <w:rsid w:val="000335AB"/>
    <w:rsid w:val="00033B67"/>
    <w:rsid w:val="00033E16"/>
    <w:rsid w:val="00033EBB"/>
    <w:rsid w:val="00033FBF"/>
    <w:rsid w:val="00034033"/>
    <w:rsid w:val="00034276"/>
    <w:rsid w:val="00034388"/>
    <w:rsid w:val="00034551"/>
    <w:rsid w:val="000345E0"/>
    <w:rsid w:val="0003488D"/>
    <w:rsid w:val="00034A24"/>
    <w:rsid w:val="00034A40"/>
    <w:rsid w:val="00034A6F"/>
    <w:rsid w:val="00034B71"/>
    <w:rsid w:val="00034BBC"/>
    <w:rsid w:val="00034E88"/>
    <w:rsid w:val="00035075"/>
    <w:rsid w:val="000350D1"/>
    <w:rsid w:val="00035117"/>
    <w:rsid w:val="0003531A"/>
    <w:rsid w:val="00035416"/>
    <w:rsid w:val="00035430"/>
    <w:rsid w:val="000357C1"/>
    <w:rsid w:val="00035823"/>
    <w:rsid w:val="00035831"/>
    <w:rsid w:val="000358F7"/>
    <w:rsid w:val="00035D7C"/>
    <w:rsid w:val="00035D98"/>
    <w:rsid w:val="00035E1F"/>
    <w:rsid w:val="00036093"/>
    <w:rsid w:val="00036108"/>
    <w:rsid w:val="000361EC"/>
    <w:rsid w:val="00036489"/>
    <w:rsid w:val="000368F2"/>
    <w:rsid w:val="00036ABB"/>
    <w:rsid w:val="00036B1F"/>
    <w:rsid w:val="00036B20"/>
    <w:rsid w:val="00036C27"/>
    <w:rsid w:val="00037022"/>
    <w:rsid w:val="00037122"/>
    <w:rsid w:val="00037214"/>
    <w:rsid w:val="000372C0"/>
    <w:rsid w:val="0003741A"/>
    <w:rsid w:val="00037461"/>
    <w:rsid w:val="0003775E"/>
    <w:rsid w:val="000378CA"/>
    <w:rsid w:val="0003799A"/>
    <w:rsid w:val="00037B11"/>
    <w:rsid w:val="00037BD4"/>
    <w:rsid w:val="00037C13"/>
    <w:rsid w:val="00037CFA"/>
    <w:rsid w:val="00037CFE"/>
    <w:rsid w:val="00037F9A"/>
    <w:rsid w:val="0004002E"/>
    <w:rsid w:val="00040166"/>
    <w:rsid w:val="0004032D"/>
    <w:rsid w:val="000403C7"/>
    <w:rsid w:val="00040952"/>
    <w:rsid w:val="00040C0D"/>
    <w:rsid w:val="00040CD2"/>
    <w:rsid w:val="00040E35"/>
    <w:rsid w:val="00041577"/>
    <w:rsid w:val="000416B7"/>
    <w:rsid w:val="0004187E"/>
    <w:rsid w:val="00041990"/>
    <w:rsid w:val="00041A92"/>
    <w:rsid w:val="00041DDD"/>
    <w:rsid w:val="00041E1B"/>
    <w:rsid w:val="00041E94"/>
    <w:rsid w:val="00041F69"/>
    <w:rsid w:val="00041FA9"/>
    <w:rsid w:val="00041FF4"/>
    <w:rsid w:val="00042176"/>
    <w:rsid w:val="00042253"/>
    <w:rsid w:val="000425CB"/>
    <w:rsid w:val="0004288C"/>
    <w:rsid w:val="00042A07"/>
    <w:rsid w:val="00042A09"/>
    <w:rsid w:val="00042BA7"/>
    <w:rsid w:val="00042E05"/>
    <w:rsid w:val="00043240"/>
    <w:rsid w:val="000433C4"/>
    <w:rsid w:val="00043556"/>
    <w:rsid w:val="00043577"/>
    <w:rsid w:val="000435AA"/>
    <w:rsid w:val="000435E6"/>
    <w:rsid w:val="00043623"/>
    <w:rsid w:val="00043671"/>
    <w:rsid w:val="0004374A"/>
    <w:rsid w:val="000439A8"/>
    <w:rsid w:val="00043B53"/>
    <w:rsid w:val="00043C3A"/>
    <w:rsid w:val="00043D7D"/>
    <w:rsid w:val="00043F7A"/>
    <w:rsid w:val="0004401F"/>
    <w:rsid w:val="000441A1"/>
    <w:rsid w:val="000447F5"/>
    <w:rsid w:val="0004482F"/>
    <w:rsid w:val="00044983"/>
    <w:rsid w:val="00044A56"/>
    <w:rsid w:val="00044A5D"/>
    <w:rsid w:val="00044AE1"/>
    <w:rsid w:val="00044D61"/>
    <w:rsid w:val="00044DAB"/>
    <w:rsid w:val="00044F58"/>
    <w:rsid w:val="00045067"/>
    <w:rsid w:val="0004525D"/>
    <w:rsid w:val="00045288"/>
    <w:rsid w:val="000453CB"/>
    <w:rsid w:val="000457E4"/>
    <w:rsid w:val="000459D7"/>
    <w:rsid w:val="00045BED"/>
    <w:rsid w:val="00045CD8"/>
    <w:rsid w:val="00045DF5"/>
    <w:rsid w:val="00045E05"/>
    <w:rsid w:val="00045E50"/>
    <w:rsid w:val="00045EA2"/>
    <w:rsid w:val="00046074"/>
    <w:rsid w:val="00046096"/>
    <w:rsid w:val="000462C7"/>
    <w:rsid w:val="000463B0"/>
    <w:rsid w:val="000463EB"/>
    <w:rsid w:val="00046433"/>
    <w:rsid w:val="00046437"/>
    <w:rsid w:val="0004644D"/>
    <w:rsid w:val="0004666B"/>
    <w:rsid w:val="000466C8"/>
    <w:rsid w:val="0004678F"/>
    <w:rsid w:val="000467B7"/>
    <w:rsid w:val="0004686A"/>
    <w:rsid w:val="00046A12"/>
    <w:rsid w:val="00046A2B"/>
    <w:rsid w:val="00046B7E"/>
    <w:rsid w:val="00046CAD"/>
    <w:rsid w:val="00046D27"/>
    <w:rsid w:val="00046E01"/>
    <w:rsid w:val="00046F9A"/>
    <w:rsid w:val="00047182"/>
    <w:rsid w:val="000471EA"/>
    <w:rsid w:val="00047298"/>
    <w:rsid w:val="0004729D"/>
    <w:rsid w:val="0004753B"/>
    <w:rsid w:val="0004773C"/>
    <w:rsid w:val="00047778"/>
    <w:rsid w:val="000477C5"/>
    <w:rsid w:val="00047C9F"/>
    <w:rsid w:val="00047CF9"/>
    <w:rsid w:val="00047FB0"/>
    <w:rsid w:val="000501C5"/>
    <w:rsid w:val="000501FF"/>
    <w:rsid w:val="00050239"/>
    <w:rsid w:val="00050306"/>
    <w:rsid w:val="00050602"/>
    <w:rsid w:val="00050691"/>
    <w:rsid w:val="000506CB"/>
    <w:rsid w:val="0005072C"/>
    <w:rsid w:val="00050846"/>
    <w:rsid w:val="000508C7"/>
    <w:rsid w:val="0005092E"/>
    <w:rsid w:val="0005099F"/>
    <w:rsid w:val="00050B62"/>
    <w:rsid w:val="00050BD9"/>
    <w:rsid w:val="00050CCE"/>
    <w:rsid w:val="00050F29"/>
    <w:rsid w:val="00051021"/>
    <w:rsid w:val="0005143C"/>
    <w:rsid w:val="00051471"/>
    <w:rsid w:val="0005159C"/>
    <w:rsid w:val="00051693"/>
    <w:rsid w:val="000516B9"/>
    <w:rsid w:val="00051839"/>
    <w:rsid w:val="00051864"/>
    <w:rsid w:val="00051A24"/>
    <w:rsid w:val="00051BCF"/>
    <w:rsid w:val="00052113"/>
    <w:rsid w:val="00052194"/>
    <w:rsid w:val="0005238C"/>
    <w:rsid w:val="000523D1"/>
    <w:rsid w:val="000523FD"/>
    <w:rsid w:val="0005271A"/>
    <w:rsid w:val="0005282E"/>
    <w:rsid w:val="0005293E"/>
    <w:rsid w:val="0005296D"/>
    <w:rsid w:val="0005297B"/>
    <w:rsid w:val="00052AC5"/>
    <w:rsid w:val="00052CEA"/>
    <w:rsid w:val="00052D34"/>
    <w:rsid w:val="00052D74"/>
    <w:rsid w:val="0005313A"/>
    <w:rsid w:val="000531A5"/>
    <w:rsid w:val="00053331"/>
    <w:rsid w:val="00053341"/>
    <w:rsid w:val="000534B1"/>
    <w:rsid w:val="00053653"/>
    <w:rsid w:val="0005378D"/>
    <w:rsid w:val="00053800"/>
    <w:rsid w:val="000538F8"/>
    <w:rsid w:val="00053966"/>
    <w:rsid w:val="00053A5D"/>
    <w:rsid w:val="00053B81"/>
    <w:rsid w:val="00053C67"/>
    <w:rsid w:val="00053DC8"/>
    <w:rsid w:val="00054219"/>
    <w:rsid w:val="0005425D"/>
    <w:rsid w:val="0005426F"/>
    <w:rsid w:val="00054381"/>
    <w:rsid w:val="000543BE"/>
    <w:rsid w:val="00054544"/>
    <w:rsid w:val="00054702"/>
    <w:rsid w:val="00054A5B"/>
    <w:rsid w:val="00054E33"/>
    <w:rsid w:val="00054EBC"/>
    <w:rsid w:val="000550ED"/>
    <w:rsid w:val="00055347"/>
    <w:rsid w:val="00055439"/>
    <w:rsid w:val="000554E6"/>
    <w:rsid w:val="000554FE"/>
    <w:rsid w:val="00055555"/>
    <w:rsid w:val="00055606"/>
    <w:rsid w:val="00055A77"/>
    <w:rsid w:val="00055DEC"/>
    <w:rsid w:val="00055E4E"/>
    <w:rsid w:val="00055FD3"/>
    <w:rsid w:val="00056170"/>
    <w:rsid w:val="0005619D"/>
    <w:rsid w:val="000561B6"/>
    <w:rsid w:val="000561D3"/>
    <w:rsid w:val="00056400"/>
    <w:rsid w:val="000564F4"/>
    <w:rsid w:val="0005659A"/>
    <w:rsid w:val="000565A5"/>
    <w:rsid w:val="0005688A"/>
    <w:rsid w:val="000569B3"/>
    <w:rsid w:val="00056ABC"/>
    <w:rsid w:val="00056D1D"/>
    <w:rsid w:val="00056D54"/>
    <w:rsid w:val="00056FF4"/>
    <w:rsid w:val="000570F2"/>
    <w:rsid w:val="0005710C"/>
    <w:rsid w:val="00057295"/>
    <w:rsid w:val="00057485"/>
    <w:rsid w:val="0005752B"/>
    <w:rsid w:val="000575A0"/>
    <w:rsid w:val="000579D4"/>
    <w:rsid w:val="00057A3C"/>
    <w:rsid w:val="00057B6B"/>
    <w:rsid w:val="00057BF5"/>
    <w:rsid w:val="00057C98"/>
    <w:rsid w:val="00057CC1"/>
    <w:rsid w:val="00057D5F"/>
    <w:rsid w:val="00057D9C"/>
    <w:rsid w:val="00057DA7"/>
    <w:rsid w:val="000603FB"/>
    <w:rsid w:val="0006053F"/>
    <w:rsid w:val="00060603"/>
    <w:rsid w:val="00060653"/>
    <w:rsid w:val="00060827"/>
    <w:rsid w:val="00060A58"/>
    <w:rsid w:val="00060ABC"/>
    <w:rsid w:val="00060BD2"/>
    <w:rsid w:val="00060BEE"/>
    <w:rsid w:val="00060CF1"/>
    <w:rsid w:val="00060E7D"/>
    <w:rsid w:val="00061196"/>
    <w:rsid w:val="000611D8"/>
    <w:rsid w:val="000618A5"/>
    <w:rsid w:val="00061C72"/>
    <w:rsid w:val="00061E95"/>
    <w:rsid w:val="00061F32"/>
    <w:rsid w:val="00061F78"/>
    <w:rsid w:val="00061FC5"/>
    <w:rsid w:val="00062129"/>
    <w:rsid w:val="00062394"/>
    <w:rsid w:val="00062658"/>
    <w:rsid w:val="00062699"/>
    <w:rsid w:val="000626D1"/>
    <w:rsid w:val="0006293E"/>
    <w:rsid w:val="00062A1F"/>
    <w:rsid w:val="00062B4D"/>
    <w:rsid w:val="00062C0E"/>
    <w:rsid w:val="00062E61"/>
    <w:rsid w:val="000631FB"/>
    <w:rsid w:val="000633B9"/>
    <w:rsid w:val="000634DE"/>
    <w:rsid w:val="00063657"/>
    <w:rsid w:val="00063733"/>
    <w:rsid w:val="000639E5"/>
    <w:rsid w:val="00063AF0"/>
    <w:rsid w:val="00063B98"/>
    <w:rsid w:val="00063C45"/>
    <w:rsid w:val="00063D3B"/>
    <w:rsid w:val="00063DFD"/>
    <w:rsid w:val="00063E52"/>
    <w:rsid w:val="00063FF6"/>
    <w:rsid w:val="00064131"/>
    <w:rsid w:val="000641AB"/>
    <w:rsid w:val="000643FC"/>
    <w:rsid w:val="0006448B"/>
    <w:rsid w:val="000644E5"/>
    <w:rsid w:val="000645E3"/>
    <w:rsid w:val="00064629"/>
    <w:rsid w:val="000648E8"/>
    <w:rsid w:val="0006497A"/>
    <w:rsid w:val="00064A2D"/>
    <w:rsid w:val="00064EF3"/>
    <w:rsid w:val="00064F60"/>
    <w:rsid w:val="0006501B"/>
    <w:rsid w:val="000650F9"/>
    <w:rsid w:val="00065260"/>
    <w:rsid w:val="0006534B"/>
    <w:rsid w:val="00065390"/>
    <w:rsid w:val="0006565D"/>
    <w:rsid w:val="00065764"/>
    <w:rsid w:val="000658DD"/>
    <w:rsid w:val="00065ACF"/>
    <w:rsid w:val="00065BC2"/>
    <w:rsid w:val="00065C00"/>
    <w:rsid w:val="00065C5F"/>
    <w:rsid w:val="00065D72"/>
    <w:rsid w:val="00065D7E"/>
    <w:rsid w:val="00065EE5"/>
    <w:rsid w:val="000665B2"/>
    <w:rsid w:val="0006664A"/>
    <w:rsid w:val="00066770"/>
    <w:rsid w:val="000668B8"/>
    <w:rsid w:val="000669C2"/>
    <w:rsid w:val="00066C51"/>
    <w:rsid w:val="00066FB6"/>
    <w:rsid w:val="00066FCC"/>
    <w:rsid w:val="000670D4"/>
    <w:rsid w:val="000671D4"/>
    <w:rsid w:val="000671DC"/>
    <w:rsid w:val="000672F2"/>
    <w:rsid w:val="000674F8"/>
    <w:rsid w:val="00067502"/>
    <w:rsid w:val="00067615"/>
    <w:rsid w:val="00067A80"/>
    <w:rsid w:val="00067BFA"/>
    <w:rsid w:val="00067C30"/>
    <w:rsid w:val="00067E8A"/>
    <w:rsid w:val="000700C7"/>
    <w:rsid w:val="00070157"/>
    <w:rsid w:val="00070196"/>
    <w:rsid w:val="000706FA"/>
    <w:rsid w:val="00070850"/>
    <w:rsid w:val="000708B4"/>
    <w:rsid w:val="000708C6"/>
    <w:rsid w:val="00070B10"/>
    <w:rsid w:val="00070C33"/>
    <w:rsid w:val="00070CC4"/>
    <w:rsid w:val="00070D0B"/>
    <w:rsid w:val="00070DA0"/>
    <w:rsid w:val="00070F3D"/>
    <w:rsid w:val="0007107B"/>
    <w:rsid w:val="00071134"/>
    <w:rsid w:val="0007113C"/>
    <w:rsid w:val="000711C1"/>
    <w:rsid w:val="000713E9"/>
    <w:rsid w:val="0007148C"/>
    <w:rsid w:val="00071676"/>
    <w:rsid w:val="000716BE"/>
    <w:rsid w:val="00071984"/>
    <w:rsid w:val="000719D6"/>
    <w:rsid w:val="00071A0F"/>
    <w:rsid w:val="00071AEF"/>
    <w:rsid w:val="00071C66"/>
    <w:rsid w:val="00071C87"/>
    <w:rsid w:val="00071E06"/>
    <w:rsid w:val="00071E25"/>
    <w:rsid w:val="00072150"/>
    <w:rsid w:val="000721C2"/>
    <w:rsid w:val="000721E4"/>
    <w:rsid w:val="00072309"/>
    <w:rsid w:val="00072409"/>
    <w:rsid w:val="000724A6"/>
    <w:rsid w:val="000724FF"/>
    <w:rsid w:val="00072566"/>
    <w:rsid w:val="000725BF"/>
    <w:rsid w:val="000727E9"/>
    <w:rsid w:val="0007285C"/>
    <w:rsid w:val="000728E4"/>
    <w:rsid w:val="000728F8"/>
    <w:rsid w:val="00072AD3"/>
    <w:rsid w:val="00072D5E"/>
    <w:rsid w:val="00072FC9"/>
    <w:rsid w:val="00072FE8"/>
    <w:rsid w:val="000730E0"/>
    <w:rsid w:val="0007330E"/>
    <w:rsid w:val="0007332A"/>
    <w:rsid w:val="00073512"/>
    <w:rsid w:val="000735DB"/>
    <w:rsid w:val="000737B9"/>
    <w:rsid w:val="00073969"/>
    <w:rsid w:val="00073AB6"/>
    <w:rsid w:val="00073B40"/>
    <w:rsid w:val="00073BF6"/>
    <w:rsid w:val="00073CD9"/>
    <w:rsid w:val="00073E5F"/>
    <w:rsid w:val="0007413C"/>
    <w:rsid w:val="00074151"/>
    <w:rsid w:val="00074163"/>
    <w:rsid w:val="0007423C"/>
    <w:rsid w:val="000742D4"/>
    <w:rsid w:val="000742FD"/>
    <w:rsid w:val="0007432D"/>
    <w:rsid w:val="000743E3"/>
    <w:rsid w:val="000747C7"/>
    <w:rsid w:val="00074910"/>
    <w:rsid w:val="0007494C"/>
    <w:rsid w:val="00074B91"/>
    <w:rsid w:val="00074D6C"/>
    <w:rsid w:val="00074FFF"/>
    <w:rsid w:val="0007543A"/>
    <w:rsid w:val="000755B3"/>
    <w:rsid w:val="0007571C"/>
    <w:rsid w:val="00075A28"/>
    <w:rsid w:val="00075A33"/>
    <w:rsid w:val="0007635D"/>
    <w:rsid w:val="0007640C"/>
    <w:rsid w:val="000765D2"/>
    <w:rsid w:val="00076806"/>
    <w:rsid w:val="000768D7"/>
    <w:rsid w:val="000768F1"/>
    <w:rsid w:val="000769E8"/>
    <w:rsid w:val="00076B17"/>
    <w:rsid w:val="00076B3F"/>
    <w:rsid w:val="00076CBC"/>
    <w:rsid w:val="00076E31"/>
    <w:rsid w:val="00076FBD"/>
    <w:rsid w:val="00077070"/>
    <w:rsid w:val="00077086"/>
    <w:rsid w:val="00077266"/>
    <w:rsid w:val="0007735D"/>
    <w:rsid w:val="000774FB"/>
    <w:rsid w:val="00077687"/>
    <w:rsid w:val="00077B39"/>
    <w:rsid w:val="00077BB6"/>
    <w:rsid w:val="00080086"/>
    <w:rsid w:val="000801BA"/>
    <w:rsid w:val="00080214"/>
    <w:rsid w:val="00080238"/>
    <w:rsid w:val="00080299"/>
    <w:rsid w:val="000803D0"/>
    <w:rsid w:val="0008041F"/>
    <w:rsid w:val="000805A9"/>
    <w:rsid w:val="000806F4"/>
    <w:rsid w:val="00080855"/>
    <w:rsid w:val="00080987"/>
    <w:rsid w:val="00080BEA"/>
    <w:rsid w:val="00080E35"/>
    <w:rsid w:val="00080E3F"/>
    <w:rsid w:val="00081059"/>
    <w:rsid w:val="00081061"/>
    <w:rsid w:val="000810E0"/>
    <w:rsid w:val="00081139"/>
    <w:rsid w:val="000811CB"/>
    <w:rsid w:val="000812F4"/>
    <w:rsid w:val="000817E0"/>
    <w:rsid w:val="0008181D"/>
    <w:rsid w:val="00081C0C"/>
    <w:rsid w:val="00081D4B"/>
    <w:rsid w:val="00081DCB"/>
    <w:rsid w:val="00081DE2"/>
    <w:rsid w:val="00081E44"/>
    <w:rsid w:val="000820F0"/>
    <w:rsid w:val="0008229A"/>
    <w:rsid w:val="00082321"/>
    <w:rsid w:val="000824AC"/>
    <w:rsid w:val="000825AB"/>
    <w:rsid w:val="000825C8"/>
    <w:rsid w:val="0008273E"/>
    <w:rsid w:val="0008274B"/>
    <w:rsid w:val="00082A22"/>
    <w:rsid w:val="00082B39"/>
    <w:rsid w:val="00082C01"/>
    <w:rsid w:val="0008302C"/>
    <w:rsid w:val="0008359F"/>
    <w:rsid w:val="00083616"/>
    <w:rsid w:val="000838AA"/>
    <w:rsid w:val="00083AE8"/>
    <w:rsid w:val="00083C3E"/>
    <w:rsid w:val="00083F4C"/>
    <w:rsid w:val="000841FF"/>
    <w:rsid w:val="0008420E"/>
    <w:rsid w:val="0008433D"/>
    <w:rsid w:val="000843A0"/>
    <w:rsid w:val="00084427"/>
    <w:rsid w:val="000847B8"/>
    <w:rsid w:val="000847D6"/>
    <w:rsid w:val="00084803"/>
    <w:rsid w:val="00084AEC"/>
    <w:rsid w:val="00084B08"/>
    <w:rsid w:val="00084B52"/>
    <w:rsid w:val="00084EFC"/>
    <w:rsid w:val="0008509E"/>
    <w:rsid w:val="00085188"/>
    <w:rsid w:val="000853DC"/>
    <w:rsid w:val="000856B9"/>
    <w:rsid w:val="000857B5"/>
    <w:rsid w:val="00085842"/>
    <w:rsid w:val="0008584A"/>
    <w:rsid w:val="000859BD"/>
    <w:rsid w:val="00085A01"/>
    <w:rsid w:val="00085B8E"/>
    <w:rsid w:val="00085C5C"/>
    <w:rsid w:val="00085EF6"/>
    <w:rsid w:val="00085F58"/>
    <w:rsid w:val="00086053"/>
    <w:rsid w:val="00086367"/>
    <w:rsid w:val="000865A5"/>
    <w:rsid w:val="000868E5"/>
    <w:rsid w:val="00086BD2"/>
    <w:rsid w:val="00086CB3"/>
    <w:rsid w:val="00086D41"/>
    <w:rsid w:val="00086D90"/>
    <w:rsid w:val="00086D93"/>
    <w:rsid w:val="00086F35"/>
    <w:rsid w:val="00086FB9"/>
    <w:rsid w:val="00086FF3"/>
    <w:rsid w:val="0008711F"/>
    <w:rsid w:val="00087299"/>
    <w:rsid w:val="000874D1"/>
    <w:rsid w:val="00087530"/>
    <w:rsid w:val="00087584"/>
    <w:rsid w:val="0008758F"/>
    <w:rsid w:val="000875FE"/>
    <w:rsid w:val="0008767E"/>
    <w:rsid w:val="000876F2"/>
    <w:rsid w:val="00087719"/>
    <w:rsid w:val="000877CC"/>
    <w:rsid w:val="00087B05"/>
    <w:rsid w:val="00087B44"/>
    <w:rsid w:val="00087D22"/>
    <w:rsid w:val="000901F1"/>
    <w:rsid w:val="0009037F"/>
    <w:rsid w:val="000906FE"/>
    <w:rsid w:val="00090726"/>
    <w:rsid w:val="0009077B"/>
    <w:rsid w:val="000907D3"/>
    <w:rsid w:val="00090882"/>
    <w:rsid w:val="00090893"/>
    <w:rsid w:val="000909FA"/>
    <w:rsid w:val="00090C2F"/>
    <w:rsid w:val="00090C67"/>
    <w:rsid w:val="00090CE4"/>
    <w:rsid w:val="00090D59"/>
    <w:rsid w:val="00090D95"/>
    <w:rsid w:val="00090DA0"/>
    <w:rsid w:val="00090F3D"/>
    <w:rsid w:val="00090FD2"/>
    <w:rsid w:val="00091281"/>
    <w:rsid w:val="000915A9"/>
    <w:rsid w:val="00091744"/>
    <w:rsid w:val="0009174C"/>
    <w:rsid w:val="0009187A"/>
    <w:rsid w:val="00091A46"/>
    <w:rsid w:val="00091A49"/>
    <w:rsid w:val="00091B34"/>
    <w:rsid w:val="00091C28"/>
    <w:rsid w:val="00091D15"/>
    <w:rsid w:val="00091D6E"/>
    <w:rsid w:val="00091EE2"/>
    <w:rsid w:val="00091EFA"/>
    <w:rsid w:val="00091F20"/>
    <w:rsid w:val="00091FDD"/>
    <w:rsid w:val="00092014"/>
    <w:rsid w:val="00092087"/>
    <w:rsid w:val="00092116"/>
    <w:rsid w:val="000921DA"/>
    <w:rsid w:val="000923CA"/>
    <w:rsid w:val="0009260F"/>
    <w:rsid w:val="0009268B"/>
    <w:rsid w:val="00092856"/>
    <w:rsid w:val="00092BCA"/>
    <w:rsid w:val="00092DB8"/>
    <w:rsid w:val="00092FA8"/>
    <w:rsid w:val="000931DC"/>
    <w:rsid w:val="000932DA"/>
    <w:rsid w:val="000932EE"/>
    <w:rsid w:val="000932FC"/>
    <w:rsid w:val="0009337C"/>
    <w:rsid w:val="0009358A"/>
    <w:rsid w:val="000935DE"/>
    <w:rsid w:val="00093678"/>
    <w:rsid w:val="00093683"/>
    <w:rsid w:val="0009370F"/>
    <w:rsid w:val="00093900"/>
    <w:rsid w:val="00093ABE"/>
    <w:rsid w:val="00093FEE"/>
    <w:rsid w:val="0009405C"/>
    <w:rsid w:val="000943EA"/>
    <w:rsid w:val="000944A0"/>
    <w:rsid w:val="000944DB"/>
    <w:rsid w:val="000949B7"/>
    <w:rsid w:val="00094B00"/>
    <w:rsid w:val="00094B05"/>
    <w:rsid w:val="00094B19"/>
    <w:rsid w:val="00094D15"/>
    <w:rsid w:val="00094E05"/>
    <w:rsid w:val="00094EE9"/>
    <w:rsid w:val="00094F04"/>
    <w:rsid w:val="00094F30"/>
    <w:rsid w:val="00095238"/>
    <w:rsid w:val="00095368"/>
    <w:rsid w:val="00095429"/>
    <w:rsid w:val="0009554F"/>
    <w:rsid w:val="000955FA"/>
    <w:rsid w:val="000957A6"/>
    <w:rsid w:val="0009587B"/>
    <w:rsid w:val="00095AED"/>
    <w:rsid w:val="00095C33"/>
    <w:rsid w:val="00095CAA"/>
    <w:rsid w:val="00095CF0"/>
    <w:rsid w:val="00095EB8"/>
    <w:rsid w:val="00095EFB"/>
    <w:rsid w:val="00095F26"/>
    <w:rsid w:val="00095F62"/>
    <w:rsid w:val="00095F71"/>
    <w:rsid w:val="00096038"/>
    <w:rsid w:val="000961AB"/>
    <w:rsid w:val="0009621D"/>
    <w:rsid w:val="00096280"/>
    <w:rsid w:val="000963F0"/>
    <w:rsid w:val="00096611"/>
    <w:rsid w:val="000966AD"/>
    <w:rsid w:val="00096760"/>
    <w:rsid w:val="00096949"/>
    <w:rsid w:val="000969AC"/>
    <w:rsid w:val="00096A42"/>
    <w:rsid w:val="00096AAF"/>
    <w:rsid w:val="00096FDA"/>
    <w:rsid w:val="000970B9"/>
    <w:rsid w:val="0009728A"/>
    <w:rsid w:val="000973A1"/>
    <w:rsid w:val="000973E7"/>
    <w:rsid w:val="00097427"/>
    <w:rsid w:val="00097530"/>
    <w:rsid w:val="000978B7"/>
    <w:rsid w:val="00097997"/>
    <w:rsid w:val="00097C0F"/>
    <w:rsid w:val="00097D54"/>
    <w:rsid w:val="000A01BC"/>
    <w:rsid w:val="000A01F7"/>
    <w:rsid w:val="000A0200"/>
    <w:rsid w:val="000A0293"/>
    <w:rsid w:val="000A076C"/>
    <w:rsid w:val="000A0869"/>
    <w:rsid w:val="000A088E"/>
    <w:rsid w:val="000A0A9A"/>
    <w:rsid w:val="000A0C39"/>
    <w:rsid w:val="000A0DB3"/>
    <w:rsid w:val="000A0DD3"/>
    <w:rsid w:val="000A0E59"/>
    <w:rsid w:val="000A0EB4"/>
    <w:rsid w:val="000A0EE7"/>
    <w:rsid w:val="000A0F21"/>
    <w:rsid w:val="000A11EE"/>
    <w:rsid w:val="000A12DC"/>
    <w:rsid w:val="000A1318"/>
    <w:rsid w:val="000A139F"/>
    <w:rsid w:val="000A1430"/>
    <w:rsid w:val="000A14AA"/>
    <w:rsid w:val="000A14FA"/>
    <w:rsid w:val="000A160C"/>
    <w:rsid w:val="000A16A9"/>
    <w:rsid w:val="000A1734"/>
    <w:rsid w:val="000A1801"/>
    <w:rsid w:val="000A1AB4"/>
    <w:rsid w:val="000A1B03"/>
    <w:rsid w:val="000A1C7E"/>
    <w:rsid w:val="000A1DD5"/>
    <w:rsid w:val="000A203A"/>
    <w:rsid w:val="000A21D2"/>
    <w:rsid w:val="000A2389"/>
    <w:rsid w:val="000A2778"/>
    <w:rsid w:val="000A287F"/>
    <w:rsid w:val="000A289D"/>
    <w:rsid w:val="000A28BB"/>
    <w:rsid w:val="000A29CB"/>
    <w:rsid w:val="000A2A40"/>
    <w:rsid w:val="000A2D44"/>
    <w:rsid w:val="000A2E84"/>
    <w:rsid w:val="000A2F17"/>
    <w:rsid w:val="000A3058"/>
    <w:rsid w:val="000A3374"/>
    <w:rsid w:val="000A33BE"/>
    <w:rsid w:val="000A341A"/>
    <w:rsid w:val="000A34E0"/>
    <w:rsid w:val="000A350C"/>
    <w:rsid w:val="000A35E6"/>
    <w:rsid w:val="000A3759"/>
    <w:rsid w:val="000A3849"/>
    <w:rsid w:val="000A3A21"/>
    <w:rsid w:val="000A3EFE"/>
    <w:rsid w:val="000A40B0"/>
    <w:rsid w:val="000A414F"/>
    <w:rsid w:val="000A41FB"/>
    <w:rsid w:val="000A4217"/>
    <w:rsid w:val="000A42C7"/>
    <w:rsid w:val="000A4333"/>
    <w:rsid w:val="000A44BC"/>
    <w:rsid w:val="000A48AE"/>
    <w:rsid w:val="000A4AA8"/>
    <w:rsid w:val="000A4ACA"/>
    <w:rsid w:val="000A4B4F"/>
    <w:rsid w:val="000A4BF1"/>
    <w:rsid w:val="000A4CBB"/>
    <w:rsid w:val="000A4D57"/>
    <w:rsid w:val="000A4FA9"/>
    <w:rsid w:val="000A4FBF"/>
    <w:rsid w:val="000A529A"/>
    <w:rsid w:val="000A53A7"/>
    <w:rsid w:val="000A53AD"/>
    <w:rsid w:val="000A5401"/>
    <w:rsid w:val="000A5656"/>
    <w:rsid w:val="000A5831"/>
    <w:rsid w:val="000A5AD0"/>
    <w:rsid w:val="000A5D08"/>
    <w:rsid w:val="000A5F04"/>
    <w:rsid w:val="000A5F4F"/>
    <w:rsid w:val="000A6077"/>
    <w:rsid w:val="000A62B6"/>
    <w:rsid w:val="000A66E9"/>
    <w:rsid w:val="000A6A3C"/>
    <w:rsid w:val="000A6BF0"/>
    <w:rsid w:val="000A6D05"/>
    <w:rsid w:val="000A6E6B"/>
    <w:rsid w:val="000A6FEB"/>
    <w:rsid w:val="000A7005"/>
    <w:rsid w:val="000A7205"/>
    <w:rsid w:val="000A72F4"/>
    <w:rsid w:val="000A738B"/>
    <w:rsid w:val="000A7478"/>
    <w:rsid w:val="000A74CF"/>
    <w:rsid w:val="000A756A"/>
    <w:rsid w:val="000A7768"/>
    <w:rsid w:val="000A7848"/>
    <w:rsid w:val="000A7B84"/>
    <w:rsid w:val="000A7D6F"/>
    <w:rsid w:val="000B005B"/>
    <w:rsid w:val="000B0395"/>
    <w:rsid w:val="000B0513"/>
    <w:rsid w:val="000B057F"/>
    <w:rsid w:val="000B0811"/>
    <w:rsid w:val="000B08B7"/>
    <w:rsid w:val="000B09CF"/>
    <w:rsid w:val="000B0BA0"/>
    <w:rsid w:val="000B0DFE"/>
    <w:rsid w:val="000B11D5"/>
    <w:rsid w:val="000B120A"/>
    <w:rsid w:val="000B1445"/>
    <w:rsid w:val="000B1569"/>
    <w:rsid w:val="000B1586"/>
    <w:rsid w:val="000B16BA"/>
    <w:rsid w:val="000B1785"/>
    <w:rsid w:val="000B17CF"/>
    <w:rsid w:val="000B181F"/>
    <w:rsid w:val="000B1934"/>
    <w:rsid w:val="000B1A39"/>
    <w:rsid w:val="000B1B83"/>
    <w:rsid w:val="000B1FEA"/>
    <w:rsid w:val="000B2167"/>
    <w:rsid w:val="000B23FF"/>
    <w:rsid w:val="000B24A4"/>
    <w:rsid w:val="000B2588"/>
    <w:rsid w:val="000B2616"/>
    <w:rsid w:val="000B273C"/>
    <w:rsid w:val="000B282F"/>
    <w:rsid w:val="000B2D26"/>
    <w:rsid w:val="000B2F99"/>
    <w:rsid w:val="000B320D"/>
    <w:rsid w:val="000B3355"/>
    <w:rsid w:val="000B3480"/>
    <w:rsid w:val="000B3509"/>
    <w:rsid w:val="000B3895"/>
    <w:rsid w:val="000B397E"/>
    <w:rsid w:val="000B398B"/>
    <w:rsid w:val="000B398D"/>
    <w:rsid w:val="000B3A1A"/>
    <w:rsid w:val="000B3B14"/>
    <w:rsid w:val="000B3CA3"/>
    <w:rsid w:val="000B3F9A"/>
    <w:rsid w:val="000B433A"/>
    <w:rsid w:val="000B43C4"/>
    <w:rsid w:val="000B4416"/>
    <w:rsid w:val="000B4497"/>
    <w:rsid w:val="000B44CD"/>
    <w:rsid w:val="000B4638"/>
    <w:rsid w:val="000B4669"/>
    <w:rsid w:val="000B46ED"/>
    <w:rsid w:val="000B47B6"/>
    <w:rsid w:val="000B47C9"/>
    <w:rsid w:val="000B47EB"/>
    <w:rsid w:val="000B4BDF"/>
    <w:rsid w:val="000B4D83"/>
    <w:rsid w:val="000B4DD6"/>
    <w:rsid w:val="000B4E42"/>
    <w:rsid w:val="000B4E44"/>
    <w:rsid w:val="000B4FEA"/>
    <w:rsid w:val="000B5023"/>
    <w:rsid w:val="000B5044"/>
    <w:rsid w:val="000B5176"/>
    <w:rsid w:val="000B53B3"/>
    <w:rsid w:val="000B5420"/>
    <w:rsid w:val="000B544F"/>
    <w:rsid w:val="000B54F8"/>
    <w:rsid w:val="000B586A"/>
    <w:rsid w:val="000B59A9"/>
    <w:rsid w:val="000B5B2E"/>
    <w:rsid w:val="000B5B85"/>
    <w:rsid w:val="000B5C31"/>
    <w:rsid w:val="000B5CDF"/>
    <w:rsid w:val="000B5CE4"/>
    <w:rsid w:val="000B5F01"/>
    <w:rsid w:val="000B612B"/>
    <w:rsid w:val="000B61FD"/>
    <w:rsid w:val="000B62B1"/>
    <w:rsid w:val="000B62C0"/>
    <w:rsid w:val="000B630E"/>
    <w:rsid w:val="000B63D6"/>
    <w:rsid w:val="000B66B9"/>
    <w:rsid w:val="000B6720"/>
    <w:rsid w:val="000B686F"/>
    <w:rsid w:val="000B6AB4"/>
    <w:rsid w:val="000B6C84"/>
    <w:rsid w:val="000B6DE7"/>
    <w:rsid w:val="000B6FEA"/>
    <w:rsid w:val="000B7309"/>
    <w:rsid w:val="000B73F1"/>
    <w:rsid w:val="000B750A"/>
    <w:rsid w:val="000B7673"/>
    <w:rsid w:val="000B7780"/>
    <w:rsid w:val="000B78D4"/>
    <w:rsid w:val="000B79FB"/>
    <w:rsid w:val="000B7AEA"/>
    <w:rsid w:val="000B7B40"/>
    <w:rsid w:val="000B7D66"/>
    <w:rsid w:val="000B7F41"/>
    <w:rsid w:val="000C0013"/>
    <w:rsid w:val="000C009B"/>
    <w:rsid w:val="000C00F9"/>
    <w:rsid w:val="000C01FB"/>
    <w:rsid w:val="000C066D"/>
    <w:rsid w:val="000C0679"/>
    <w:rsid w:val="000C067D"/>
    <w:rsid w:val="000C077C"/>
    <w:rsid w:val="000C0AC4"/>
    <w:rsid w:val="000C0ADF"/>
    <w:rsid w:val="000C0B54"/>
    <w:rsid w:val="000C0C60"/>
    <w:rsid w:val="000C0E9E"/>
    <w:rsid w:val="000C0FCC"/>
    <w:rsid w:val="000C0FF0"/>
    <w:rsid w:val="000C11D1"/>
    <w:rsid w:val="000C11EB"/>
    <w:rsid w:val="000C12CB"/>
    <w:rsid w:val="000C1484"/>
    <w:rsid w:val="000C14F2"/>
    <w:rsid w:val="000C151D"/>
    <w:rsid w:val="000C1718"/>
    <w:rsid w:val="000C1A0C"/>
    <w:rsid w:val="000C1DF4"/>
    <w:rsid w:val="000C24BA"/>
    <w:rsid w:val="000C24C2"/>
    <w:rsid w:val="000C2529"/>
    <w:rsid w:val="000C254A"/>
    <w:rsid w:val="000C255A"/>
    <w:rsid w:val="000C2807"/>
    <w:rsid w:val="000C2925"/>
    <w:rsid w:val="000C295C"/>
    <w:rsid w:val="000C29E2"/>
    <w:rsid w:val="000C2B11"/>
    <w:rsid w:val="000C2C7D"/>
    <w:rsid w:val="000C3139"/>
    <w:rsid w:val="000C3167"/>
    <w:rsid w:val="000C33FB"/>
    <w:rsid w:val="000C3409"/>
    <w:rsid w:val="000C34A7"/>
    <w:rsid w:val="000C3A8D"/>
    <w:rsid w:val="000C3BA3"/>
    <w:rsid w:val="000C3C3F"/>
    <w:rsid w:val="000C3E37"/>
    <w:rsid w:val="000C4092"/>
    <w:rsid w:val="000C4220"/>
    <w:rsid w:val="000C4245"/>
    <w:rsid w:val="000C429F"/>
    <w:rsid w:val="000C42B2"/>
    <w:rsid w:val="000C449B"/>
    <w:rsid w:val="000C4511"/>
    <w:rsid w:val="000C45A9"/>
    <w:rsid w:val="000C469A"/>
    <w:rsid w:val="000C4761"/>
    <w:rsid w:val="000C49B6"/>
    <w:rsid w:val="000C4B32"/>
    <w:rsid w:val="000C4B46"/>
    <w:rsid w:val="000C4C45"/>
    <w:rsid w:val="000C4CA0"/>
    <w:rsid w:val="000C4D3D"/>
    <w:rsid w:val="000C4F45"/>
    <w:rsid w:val="000C4F5B"/>
    <w:rsid w:val="000C4FFA"/>
    <w:rsid w:val="000C50AD"/>
    <w:rsid w:val="000C5117"/>
    <w:rsid w:val="000C5133"/>
    <w:rsid w:val="000C5294"/>
    <w:rsid w:val="000C559E"/>
    <w:rsid w:val="000C561C"/>
    <w:rsid w:val="000C5810"/>
    <w:rsid w:val="000C5C26"/>
    <w:rsid w:val="000C5CA3"/>
    <w:rsid w:val="000C5D8D"/>
    <w:rsid w:val="000C5DBB"/>
    <w:rsid w:val="000C5E62"/>
    <w:rsid w:val="000C5F02"/>
    <w:rsid w:val="000C5FB0"/>
    <w:rsid w:val="000C635E"/>
    <w:rsid w:val="000C6767"/>
    <w:rsid w:val="000C681A"/>
    <w:rsid w:val="000C6CFE"/>
    <w:rsid w:val="000C6D50"/>
    <w:rsid w:val="000C6DEE"/>
    <w:rsid w:val="000C6E61"/>
    <w:rsid w:val="000C6FB9"/>
    <w:rsid w:val="000C70EA"/>
    <w:rsid w:val="000C7361"/>
    <w:rsid w:val="000C7382"/>
    <w:rsid w:val="000C74B9"/>
    <w:rsid w:val="000C76CF"/>
    <w:rsid w:val="000C7755"/>
    <w:rsid w:val="000C7799"/>
    <w:rsid w:val="000C78BF"/>
    <w:rsid w:val="000C792E"/>
    <w:rsid w:val="000C799F"/>
    <w:rsid w:val="000C7B1E"/>
    <w:rsid w:val="000C7B6D"/>
    <w:rsid w:val="000C7C22"/>
    <w:rsid w:val="000D017F"/>
    <w:rsid w:val="000D01F6"/>
    <w:rsid w:val="000D0389"/>
    <w:rsid w:val="000D0575"/>
    <w:rsid w:val="000D0628"/>
    <w:rsid w:val="000D07E2"/>
    <w:rsid w:val="000D080D"/>
    <w:rsid w:val="000D0D4E"/>
    <w:rsid w:val="000D0D86"/>
    <w:rsid w:val="000D0DCD"/>
    <w:rsid w:val="000D0F11"/>
    <w:rsid w:val="000D0F7B"/>
    <w:rsid w:val="000D11BE"/>
    <w:rsid w:val="000D14FB"/>
    <w:rsid w:val="000D166B"/>
    <w:rsid w:val="000D17A2"/>
    <w:rsid w:val="000D1BC8"/>
    <w:rsid w:val="000D1D5B"/>
    <w:rsid w:val="000D21C6"/>
    <w:rsid w:val="000D21FC"/>
    <w:rsid w:val="000D2750"/>
    <w:rsid w:val="000D28F5"/>
    <w:rsid w:val="000D2947"/>
    <w:rsid w:val="000D2A53"/>
    <w:rsid w:val="000D2C0C"/>
    <w:rsid w:val="000D2CEC"/>
    <w:rsid w:val="000D2CF6"/>
    <w:rsid w:val="000D2DC7"/>
    <w:rsid w:val="000D2EE8"/>
    <w:rsid w:val="000D2F67"/>
    <w:rsid w:val="000D31A9"/>
    <w:rsid w:val="000D31DD"/>
    <w:rsid w:val="000D332A"/>
    <w:rsid w:val="000D34F7"/>
    <w:rsid w:val="000D4301"/>
    <w:rsid w:val="000D44BB"/>
    <w:rsid w:val="000D45B0"/>
    <w:rsid w:val="000D4794"/>
    <w:rsid w:val="000D481A"/>
    <w:rsid w:val="000D4834"/>
    <w:rsid w:val="000D4983"/>
    <w:rsid w:val="000D4A7D"/>
    <w:rsid w:val="000D4B40"/>
    <w:rsid w:val="000D4BE4"/>
    <w:rsid w:val="000D4CCD"/>
    <w:rsid w:val="000D4D87"/>
    <w:rsid w:val="000D4F53"/>
    <w:rsid w:val="000D5150"/>
    <w:rsid w:val="000D542F"/>
    <w:rsid w:val="000D552A"/>
    <w:rsid w:val="000D5551"/>
    <w:rsid w:val="000D568E"/>
    <w:rsid w:val="000D59AD"/>
    <w:rsid w:val="000D5A76"/>
    <w:rsid w:val="000D5AF5"/>
    <w:rsid w:val="000D5B0C"/>
    <w:rsid w:val="000D5B26"/>
    <w:rsid w:val="000D5E56"/>
    <w:rsid w:val="000D5F3E"/>
    <w:rsid w:val="000D5FC3"/>
    <w:rsid w:val="000D6085"/>
    <w:rsid w:val="000D6252"/>
    <w:rsid w:val="000D6770"/>
    <w:rsid w:val="000D6819"/>
    <w:rsid w:val="000D6841"/>
    <w:rsid w:val="000D689B"/>
    <w:rsid w:val="000D6BE5"/>
    <w:rsid w:val="000D6DEF"/>
    <w:rsid w:val="000D71C3"/>
    <w:rsid w:val="000D728D"/>
    <w:rsid w:val="000D728E"/>
    <w:rsid w:val="000D7519"/>
    <w:rsid w:val="000D7708"/>
    <w:rsid w:val="000D7743"/>
    <w:rsid w:val="000D77AB"/>
    <w:rsid w:val="000D7B54"/>
    <w:rsid w:val="000D7E03"/>
    <w:rsid w:val="000D7F98"/>
    <w:rsid w:val="000E00D3"/>
    <w:rsid w:val="000E025D"/>
    <w:rsid w:val="000E0276"/>
    <w:rsid w:val="000E0482"/>
    <w:rsid w:val="000E069F"/>
    <w:rsid w:val="000E0734"/>
    <w:rsid w:val="000E096D"/>
    <w:rsid w:val="000E0C03"/>
    <w:rsid w:val="000E0C9C"/>
    <w:rsid w:val="000E104E"/>
    <w:rsid w:val="000E127B"/>
    <w:rsid w:val="000E13B0"/>
    <w:rsid w:val="000E1436"/>
    <w:rsid w:val="000E157B"/>
    <w:rsid w:val="000E15A9"/>
    <w:rsid w:val="000E15D0"/>
    <w:rsid w:val="000E1600"/>
    <w:rsid w:val="000E17FD"/>
    <w:rsid w:val="000E1864"/>
    <w:rsid w:val="000E1956"/>
    <w:rsid w:val="000E1BFA"/>
    <w:rsid w:val="000E1C40"/>
    <w:rsid w:val="000E1CBE"/>
    <w:rsid w:val="000E1CDE"/>
    <w:rsid w:val="000E1D2A"/>
    <w:rsid w:val="000E1DF3"/>
    <w:rsid w:val="000E1F11"/>
    <w:rsid w:val="000E20E8"/>
    <w:rsid w:val="000E214F"/>
    <w:rsid w:val="000E236B"/>
    <w:rsid w:val="000E27FE"/>
    <w:rsid w:val="000E292D"/>
    <w:rsid w:val="000E2933"/>
    <w:rsid w:val="000E2AB4"/>
    <w:rsid w:val="000E2CB9"/>
    <w:rsid w:val="000E2DF6"/>
    <w:rsid w:val="000E2EC7"/>
    <w:rsid w:val="000E304E"/>
    <w:rsid w:val="000E3086"/>
    <w:rsid w:val="000E3376"/>
    <w:rsid w:val="000E3393"/>
    <w:rsid w:val="000E370E"/>
    <w:rsid w:val="000E37FE"/>
    <w:rsid w:val="000E38CD"/>
    <w:rsid w:val="000E3A8C"/>
    <w:rsid w:val="000E3AB2"/>
    <w:rsid w:val="000E3ADF"/>
    <w:rsid w:val="000E3B01"/>
    <w:rsid w:val="000E3BEC"/>
    <w:rsid w:val="000E3E4C"/>
    <w:rsid w:val="000E41D7"/>
    <w:rsid w:val="000E42D5"/>
    <w:rsid w:val="000E43A1"/>
    <w:rsid w:val="000E4561"/>
    <w:rsid w:val="000E45DC"/>
    <w:rsid w:val="000E4859"/>
    <w:rsid w:val="000E486C"/>
    <w:rsid w:val="000E49B9"/>
    <w:rsid w:val="000E4C3B"/>
    <w:rsid w:val="000E4C51"/>
    <w:rsid w:val="000E4DBE"/>
    <w:rsid w:val="000E4F92"/>
    <w:rsid w:val="000E524B"/>
    <w:rsid w:val="000E53EB"/>
    <w:rsid w:val="000E5404"/>
    <w:rsid w:val="000E5495"/>
    <w:rsid w:val="000E56B8"/>
    <w:rsid w:val="000E59ED"/>
    <w:rsid w:val="000E5A5C"/>
    <w:rsid w:val="000E5BED"/>
    <w:rsid w:val="000E5C36"/>
    <w:rsid w:val="000E5CF1"/>
    <w:rsid w:val="000E60A9"/>
    <w:rsid w:val="000E64E3"/>
    <w:rsid w:val="000E68B7"/>
    <w:rsid w:val="000E6926"/>
    <w:rsid w:val="000E6971"/>
    <w:rsid w:val="000E698E"/>
    <w:rsid w:val="000E69CA"/>
    <w:rsid w:val="000E6AE7"/>
    <w:rsid w:val="000E6C35"/>
    <w:rsid w:val="000E7026"/>
    <w:rsid w:val="000E73F2"/>
    <w:rsid w:val="000E7615"/>
    <w:rsid w:val="000E76C7"/>
    <w:rsid w:val="000E76DB"/>
    <w:rsid w:val="000E775A"/>
    <w:rsid w:val="000E7853"/>
    <w:rsid w:val="000E78F8"/>
    <w:rsid w:val="000E7BAB"/>
    <w:rsid w:val="000E7DD5"/>
    <w:rsid w:val="000F01C1"/>
    <w:rsid w:val="000F0312"/>
    <w:rsid w:val="000F033C"/>
    <w:rsid w:val="000F0654"/>
    <w:rsid w:val="000F0658"/>
    <w:rsid w:val="000F0724"/>
    <w:rsid w:val="000F0AEC"/>
    <w:rsid w:val="000F0BA1"/>
    <w:rsid w:val="000F0CB8"/>
    <w:rsid w:val="000F0EBF"/>
    <w:rsid w:val="000F0F80"/>
    <w:rsid w:val="000F11D6"/>
    <w:rsid w:val="000F12C4"/>
    <w:rsid w:val="000F1369"/>
    <w:rsid w:val="000F139B"/>
    <w:rsid w:val="000F1635"/>
    <w:rsid w:val="000F1656"/>
    <w:rsid w:val="000F167B"/>
    <w:rsid w:val="000F1866"/>
    <w:rsid w:val="000F18B2"/>
    <w:rsid w:val="000F1951"/>
    <w:rsid w:val="000F1B7A"/>
    <w:rsid w:val="000F1D60"/>
    <w:rsid w:val="000F1E57"/>
    <w:rsid w:val="000F1E7A"/>
    <w:rsid w:val="000F1F3B"/>
    <w:rsid w:val="000F223E"/>
    <w:rsid w:val="000F22E5"/>
    <w:rsid w:val="000F2368"/>
    <w:rsid w:val="000F253D"/>
    <w:rsid w:val="000F2556"/>
    <w:rsid w:val="000F2831"/>
    <w:rsid w:val="000F2BA9"/>
    <w:rsid w:val="000F2BF4"/>
    <w:rsid w:val="000F2C21"/>
    <w:rsid w:val="000F2FE6"/>
    <w:rsid w:val="000F306B"/>
    <w:rsid w:val="000F3096"/>
    <w:rsid w:val="000F30AD"/>
    <w:rsid w:val="000F31D1"/>
    <w:rsid w:val="000F32CF"/>
    <w:rsid w:val="000F3331"/>
    <w:rsid w:val="000F3623"/>
    <w:rsid w:val="000F378B"/>
    <w:rsid w:val="000F39A2"/>
    <w:rsid w:val="000F39B4"/>
    <w:rsid w:val="000F3AE3"/>
    <w:rsid w:val="000F3BC0"/>
    <w:rsid w:val="000F3E28"/>
    <w:rsid w:val="000F4155"/>
    <w:rsid w:val="000F45EC"/>
    <w:rsid w:val="000F4737"/>
    <w:rsid w:val="000F499C"/>
    <w:rsid w:val="000F4C18"/>
    <w:rsid w:val="000F4CA1"/>
    <w:rsid w:val="000F4D34"/>
    <w:rsid w:val="000F4DDD"/>
    <w:rsid w:val="000F5461"/>
    <w:rsid w:val="000F54C7"/>
    <w:rsid w:val="000F5709"/>
    <w:rsid w:val="000F5953"/>
    <w:rsid w:val="000F5960"/>
    <w:rsid w:val="000F5972"/>
    <w:rsid w:val="000F5997"/>
    <w:rsid w:val="000F59A6"/>
    <w:rsid w:val="000F5A43"/>
    <w:rsid w:val="000F5CC4"/>
    <w:rsid w:val="000F5EE3"/>
    <w:rsid w:val="000F5F57"/>
    <w:rsid w:val="000F6000"/>
    <w:rsid w:val="000F60D0"/>
    <w:rsid w:val="000F60D2"/>
    <w:rsid w:val="000F6242"/>
    <w:rsid w:val="000F62D9"/>
    <w:rsid w:val="000F636A"/>
    <w:rsid w:val="000F666C"/>
    <w:rsid w:val="000F669F"/>
    <w:rsid w:val="000F6865"/>
    <w:rsid w:val="000F6DCC"/>
    <w:rsid w:val="000F6E4A"/>
    <w:rsid w:val="000F70A6"/>
    <w:rsid w:val="000F7208"/>
    <w:rsid w:val="000F72BC"/>
    <w:rsid w:val="000F7388"/>
    <w:rsid w:val="000F73A3"/>
    <w:rsid w:val="000F7441"/>
    <w:rsid w:val="000F7496"/>
    <w:rsid w:val="000F7785"/>
    <w:rsid w:val="000F780F"/>
    <w:rsid w:val="000F79AC"/>
    <w:rsid w:val="000F7B8E"/>
    <w:rsid w:val="000F7C26"/>
    <w:rsid w:val="000F7E51"/>
    <w:rsid w:val="000F7F3D"/>
    <w:rsid w:val="001001F6"/>
    <w:rsid w:val="00100201"/>
    <w:rsid w:val="00100268"/>
    <w:rsid w:val="00100377"/>
    <w:rsid w:val="001003C6"/>
    <w:rsid w:val="001004F7"/>
    <w:rsid w:val="0010078B"/>
    <w:rsid w:val="00100F70"/>
    <w:rsid w:val="0010102D"/>
    <w:rsid w:val="00101102"/>
    <w:rsid w:val="0010111F"/>
    <w:rsid w:val="00101457"/>
    <w:rsid w:val="0010149D"/>
    <w:rsid w:val="00101701"/>
    <w:rsid w:val="00101747"/>
    <w:rsid w:val="00101755"/>
    <w:rsid w:val="00101899"/>
    <w:rsid w:val="001018B7"/>
    <w:rsid w:val="00101911"/>
    <w:rsid w:val="00101917"/>
    <w:rsid w:val="0010199F"/>
    <w:rsid w:val="00101A56"/>
    <w:rsid w:val="00101E98"/>
    <w:rsid w:val="001020B5"/>
    <w:rsid w:val="001021C8"/>
    <w:rsid w:val="0010244D"/>
    <w:rsid w:val="001025F6"/>
    <w:rsid w:val="00102800"/>
    <w:rsid w:val="00102A66"/>
    <w:rsid w:val="00102C9A"/>
    <w:rsid w:val="00102D26"/>
    <w:rsid w:val="00102F06"/>
    <w:rsid w:val="00102F87"/>
    <w:rsid w:val="00103248"/>
    <w:rsid w:val="001032EB"/>
    <w:rsid w:val="00103518"/>
    <w:rsid w:val="00103544"/>
    <w:rsid w:val="00103615"/>
    <w:rsid w:val="001038B5"/>
    <w:rsid w:val="00103A01"/>
    <w:rsid w:val="00103AC7"/>
    <w:rsid w:val="00103EE4"/>
    <w:rsid w:val="00103F94"/>
    <w:rsid w:val="001040F5"/>
    <w:rsid w:val="00104141"/>
    <w:rsid w:val="0010423B"/>
    <w:rsid w:val="00104261"/>
    <w:rsid w:val="00104283"/>
    <w:rsid w:val="0010449D"/>
    <w:rsid w:val="00104509"/>
    <w:rsid w:val="001045A7"/>
    <w:rsid w:val="001047F3"/>
    <w:rsid w:val="00104982"/>
    <w:rsid w:val="001049E2"/>
    <w:rsid w:val="00104A8F"/>
    <w:rsid w:val="00104B96"/>
    <w:rsid w:val="00104C26"/>
    <w:rsid w:val="00104DB1"/>
    <w:rsid w:val="00104E60"/>
    <w:rsid w:val="00104ECB"/>
    <w:rsid w:val="00104F79"/>
    <w:rsid w:val="001050E6"/>
    <w:rsid w:val="0010525B"/>
    <w:rsid w:val="0010528A"/>
    <w:rsid w:val="0010537F"/>
    <w:rsid w:val="001053D9"/>
    <w:rsid w:val="00105434"/>
    <w:rsid w:val="0010575F"/>
    <w:rsid w:val="001057A5"/>
    <w:rsid w:val="00105A73"/>
    <w:rsid w:val="00105AE5"/>
    <w:rsid w:val="00105B90"/>
    <w:rsid w:val="00105C05"/>
    <w:rsid w:val="00105C16"/>
    <w:rsid w:val="00105CEA"/>
    <w:rsid w:val="00105D06"/>
    <w:rsid w:val="00105F77"/>
    <w:rsid w:val="001061D1"/>
    <w:rsid w:val="001061EC"/>
    <w:rsid w:val="00106883"/>
    <w:rsid w:val="00106BCB"/>
    <w:rsid w:val="00106E9B"/>
    <w:rsid w:val="00106FA3"/>
    <w:rsid w:val="001070D8"/>
    <w:rsid w:val="001072EB"/>
    <w:rsid w:val="00107461"/>
    <w:rsid w:val="0010763E"/>
    <w:rsid w:val="00107ACE"/>
    <w:rsid w:val="00107C39"/>
    <w:rsid w:val="00107C6A"/>
    <w:rsid w:val="00107D27"/>
    <w:rsid w:val="001100F2"/>
    <w:rsid w:val="001101C2"/>
    <w:rsid w:val="00110270"/>
    <w:rsid w:val="0011032E"/>
    <w:rsid w:val="00110345"/>
    <w:rsid w:val="00110394"/>
    <w:rsid w:val="0011061B"/>
    <w:rsid w:val="00110889"/>
    <w:rsid w:val="001108B9"/>
    <w:rsid w:val="00110942"/>
    <w:rsid w:val="00110959"/>
    <w:rsid w:val="00110969"/>
    <w:rsid w:val="001109D4"/>
    <w:rsid w:val="00110B89"/>
    <w:rsid w:val="00110BAF"/>
    <w:rsid w:val="00110BD8"/>
    <w:rsid w:val="00110C23"/>
    <w:rsid w:val="00110CED"/>
    <w:rsid w:val="00110E77"/>
    <w:rsid w:val="00110F80"/>
    <w:rsid w:val="00111074"/>
    <w:rsid w:val="001112BF"/>
    <w:rsid w:val="0011143D"/>
    <w:rsid w:val="00111A4C"/>
    <w:rsid w:val="00111AAF"/>
    <w:rsid w:val="00111C50"/>
    <w:rsid w:val="00111CF6"/>
    <w:rsid w:val="00111D2C"/>
    <w:rsid w:val="00111D60"/>
    <w:rsid w:val="00111D6B"/>
    <w:rsid w:val="00111EC5"/>
    <w:rsid w:val="00112301"/>
    <w:rsid w:val="001124AB"/>
    <w:rsid w:val="00112A20"/>
    <w:rsid w:val="00112DD0"/>
    <w:rsid w:val="001130BC"/>
    <w:rsid w:val="001131F1"/>
    <w:rsid w:val="0011327A"/>
    <w:rsid w:val="0011356A"/>
    <w:rsid w:val="001137FF"/>
    <w:rsid w:val="00113875"/>
    <w:rsid w:val="00113895"/>
    <w:rsid w:val="0011395D"/>
    <w:rsid w:val="0011396C"/>
    <w:rsid w:val="00113A4F"/>
    <w:rsid w:val="00113AD7"/>
    <w:rsid w:val="00113B5A"/>
    <w:rsid w:val="00113BBC"/>
    <w:rsid w:val="00113C69"/>
    <w:rsid w:val="00113CB9"/>
    <w:rsid w:val="00113E30"/>
    <w:rsid w:val="00113F10"/>
    <w:rsid w:val="0011400A"/>
    <w:rsid w:val="00114126"/>
    <w:rsid w:val="001141A5"/>
    <w:rsid w:val="00114214"/>
    <w:rsid w:val="001146F8"/>
    <w:rsid w:val="00114959"/>
    <w:rsid w:val="00114E58"/>
    <w:rsid w:val="00114FF2"/>
    <w:rsid w:val="001151D8"/>
    <w:rsid w:val="001152C1"/>
    <w:rsid w:val="00115542"/>
    <w:rsid w:val="00115594"/>
    <w:rsid w:val="001156C9"/>
    <w:rsid w:val="00115A01"/>
    <w:rsid w:val="00115A41"/>
    <w:rsid w:val="00115B86"/>
    <w:rsid w:val="00115EBF"/>
    <w:rsid w:val="00115F93"/>
    <w:rsid w:val="0011601A"/>
    <w:rsid w:val="001160F8"/>
    <w:rsid w:val="001162DE"/>
    <w:rsid w:val="00116486"/>
    <w:rsid w:val="001165F7"/>
    <w:rsid w:val="001166CE"/>
    <w:rsid w:val="001166D2"/>
    <w:rsid w:val="00116768"/>
    <w:rsid w:val="001168F7"/>
    <w:rsid w:val="00116A00"/>
    <w:rsid w:val="00116A84"/>
    <w:rsid w:val="00116AAF"/>
    <w:rsid w:val="00116B40"/>
    <w:rsid w:val="00116BA2"/>
    <w:rsid w:val="00116BEB"/>
    <w:rsid w:val="00116BF7"/>
    <w:rsid w:val="00116DE9"/>
    <w:rsid w:val="00117062"/>
    <w:rsid w:val="00117228"/>
    <w:rsid w:val="001173B2"/>
    <w:rsid w:val="00117400"/>
    <w:rsid w:val="0011753F"/>
    <w:rsid w:val="0011768F"/>
    <w:rsid w:val="001177D0"/>
    <w:rsid w:val="00117AE9"/>
    <w:rsid w:val="00117B58"/>
    <w:rsid w:val="0012018C"/>
    <w:rsid w:val="00120334"/>
    <w:rsid w:val="001206A7"/>
    <w:rsid w:val="001207B7"/>
    <w:rsid w:val="001208B0"/>
    <w:rsid w:val="00120A81"/>
    <w:rsid w:val="00120CEA"/>
    <w:rsid w:val="00120F54"/>
    <w:rsid w:val="00120FA1"/>
    <w:rsid w:val="00121538"/>
    <w:rsid w:val="001216C8"/>
    <w:rsid w:val="00121712"/>
    <w:rsid w:val="001217F0"/>
    <w:rsid w:val="0012191D"/>
    <w:rsid w:val="00121A5E"/>
    <w:rsid w:val="00121BBA"/>
    <w:rsid w:val="00121BD5"/>
    <w:rsid w:val="00121C65"/>
    <w:rsid w:val="00121D29"/>
    <w:rsid w:val="00121DB1"/>
    <w:rsid w:val="00121F27"/>
    <w:rsid w:val="00121F81"/>
    <w:rsid w:val="00121FB7"/>
    <w:rsid w:val="00121FD5"/>
    <w:rsid w:val="00121FE8"/>
    <w:rsid w:val="001220C0"/>
    <w:rsid w:val="001220E0"/>
    <w:rsid w:val="0012213F"/>
    <w:rsid w:val="001221BB"/>
    <w:rsid w:val="001223EF"/>
    <w:rsid w:val="001225EE"/>
    <w:rsid w:val="00122689"/>
    <w:rsid w:val="001227C3"/>
    <w:rsid w:val="001228CF"/>
    <w:rsid w:val="001228DA"/>
    <w:rsid w:val="001229E9"/>
    <w:rsid w:val="00122C7A"/>
    <w:rsid w:val="00122C9E"/>
    <w:rsid w:val="00122DE8"/>
    <w:rsid w:val="00122F46"/>
    <w:rsid w:val="00122F89"/>
    <w:rsid w:val="00122F98"/>
    <w:rsid w:val="0012304D"/>
    <w:rsid w:val="0012318D"/>
    <w:rsid w:val="00123237"/>
    <w:rsid w:val="00123320"/>
    <w:rsid w:val="001234CB"/>
    <w:rsid w:val="00123722"/>
    <w:rsid w:val="001237D9"/>
    <w:rsid w:val="00123814"/>
    <w:rsid w:val="00123851"/>
    <w:rsid w:val="0012393D"/>
    <w:rsid w:val="00123ACB"/>
    <w:rsid w:val="00123B18"/>
    <w:rsid w:val="00123B38"/>
    <w:rsid w:val="00123BD7"/>
    <w:rsid w:val="00123EF8"/>
    <w:rsid w:val="00124066"/>
    <w:rsid w:val="001243D1"/>
    <w:rsid w:val="001244C6"/>
    <w:rsid w:val="00124607"/>
    <w:rsid w:val="0012484D"/>
    <w:rsid w:val="001249D7"/>
    <w:rsid w:val="00124B63"/>
    <w:rsid w:val="00124C08"/>
    <w:rsid w:val="00124C52"/>
    <w:rsid w:val="00124D13"/>
    <w:rsid w:val="00124D16"/>
    <w:rsid w:val="00124D94"/>
    <w:rsid w:val="00124DD6"/>
    <w:rsid w:val="00124F5D"/>
    <w:rsid w:val="001250AA"/>
    <w:rsid w:val="001252BC"/>
    <w:rsid w:val="001252ED"/>
    <w:rsid w:val="001257DB"/>
    <w:rsid w:val="001259DE"/>
    <w:rsid w:val="00125A1C"/>
    <w:rsid w:val="00125A58"/>
    <w:rsid w:val="00125B5E"/>
    <w:rsid w:val="00125B74"/>
    <w:rsid w:val="00125B83"/>
    <w:rsid w:val="0012612B"/>
    <w:rsid w:val="0012619E"/>
    <w:rsid w:val="001262A8"/>
    <w:rsid w:val="001262BD"/>
    <w:rsid w:val="00126491"/>
    <w:rsid w:val="00126713"/>
    <w:rsid w:val="001268B2"/>
    <w:rsid w:val="001268FF"/>
    <w:rsid w:val="00126B7B"/>
    <w:rsid w:val="00126CCD"/>
    <w:rsid w:val="00126F24"/>
    <w:rsid w:val="00127074"/>
    <w:rsid w:val="001270AE"/>
    <w:rsid w:val="0012734D"/>
    <w:rsid w:val="001275C6"/>
    <w:rsid w:val="0012788B"/>
    <w:rsid w:val="001278F8"/>
    <w:rsid w:val="00127B77"/>
    <w:rsid w:val="00127BA3"/>
    <w:rsid w:val="00127BAD"/>
    <w:rsid w:val="00127FBD"/>
    <w:rsid w:val="00130212"/>
    <w:rsid w:val="00130390"/>
    <w:rsid w:val="001304BB"/>
    <w:rsid w:val="00130862"/>
    <w:rsid w:val="00130B09"/>
    <w:rsid w:val="00130CFF"/>
    <w:rsid w:val="00130D6C"/>
    <w:rsid w:val="00130D96"/>
    <w:rsid w:val="00130FBB"/>
    <w:rsid w:val="001310A1"/>
    <w:rsid w:val="001315D6"/>
    <w:rsid w:val="00131600"/>
    <w:rsid w:val="001316DF"/>
    <w:rsid w:val="00131840"/>
    <w:rsid w:val="00131A60"/>
    <w:rsid w:val="00131A64"/>
    <w:rsid w:val="00131C36"/>
    <w:rsid w:val="00131C7E"/>
    <w:rsid w:val="00131CA1"/>
    <w:rsid w:val="00131D0C"/>
    <w:rsid w:val="00131E47"/>
    <w:rsid w:val="00131FBD"/>
    <w:rsid w:val="00132065"/>
    <w:rsid w:val="00132093"/>
    <w:rsid w:val="0013215A"/>
    <w:rsid w:val="00132164"/>
    <w:rsid w:val="0013248D"/>
    <w:rsid w:val="00132492"/>
    <w:rsid w:val="001324A7"/>
    <w:rsid w:val="001327DB"/>
    <w:rsid w:val="0013284A"/>
    <w:rsid w:val="0013285A"/>
    <w:rsid w:val="0013285F"/>
    <w:rsid w:val="00132A9A"/>
    <w:rsid w:val="00132F90"/>
    <w:rsid w:val="0013314B"/>
    <w:rsid w:val="0013337B"/>
    <w:rsid w:val="00133745"/>
    <w:rsid w:val="00133E66"/>
    <w:rsid w:val="00134135"/>
    <w:rsid w:val="001342AD"/>
    <w:rsid w:val="0013450D"/>
    <w:rsid w:val="00134606"/>
    <w:rsid w:val="00134692"/>
    <w:rsid w:val="00134724"/>
    <w:rsid w:val="001347F9"/>
    <w:rsid w:val="00134E08"/>
    <w:rsid w:val="00134E10"/>
    <w:rsid w:val="00134E2D"/>
    <w:rsid w:val="00134E70"/>
    <w:rsid w:val="00134F48"/>
    <w:rsid w:val="001350DF"/>
    <w:rsid w:val="0013510D"/>
    <w:rsid w:val="001351AC"/>
    <w:rsid w:val="0013527A"/>
    <w:rsid w:val="0013557E"/>
    <w:rsid w:val="00135730"/>
    <w:rsid w:val="001358E8"/>
    <w:rsid w:val="00135A68"/>
    <w:rsid w:val="00135A98"/>
    <w:rsid w:val="00135BC3"/>
    <w:rsid w:val="00135C83"/>
    <w:rsid w:val="00135CD6"/>
    <w:rsid w:val="00135F9A"/>
    <w:rsid w:val="0013609C"/>
    <w:rsid w:val="001360A4"/>
    <w:rsid w:val="00136112"/>
    <w:rsid w:val="00136130"/>
    <w:rsid w:val="001361E5"/>
    <w:rsid w:val="0013621E"/>
    <w:rsid w:val="001362AA"/>
    <w:rsid w:val="00136323"/>
    <w:rsid w:val="001363A9"/>
    <w:rsid w:val="00136822"/>
    <w:rsid w:val="00136998"/>
    <w:rsid w:val="001369A4"/>
    <w:rsid w:val="001369EF"/>
    <w:rsid w:val="00136AD8"/>
    <w:rsid w:val="00136AF2"/>
    <w:rsid w:val="00136C0A"/>
    <w:rsid w:val="00136E7C"/>
    <w:rsid w:val="00136EB5"/>
    <w:rsid w:val="00136FBB"/>
    <w:rsid w:val="00137027"/>
    <w:rsid w:val="00137354"/>
    <w:rsid w:val="0013750B"/>
    <w:rsid w:val="00137551"/>
    <w:rsid w:val="001376F9"/>
    <w:rsid w:val="0013786A"/>
    <w:rsid w:val="00137924"/>
    <w:rsid w:val="001379D4"/>
    <w:rsid w:val="00137B0C"/>
    <w:rsid w:val="00137BDD"/>
    <w:rsid w:val="00137D8F"/>
    <w:rsid w:val="00137DFA"/>
    <w:rsid w:val="00137E5F"/>
    <w:rsid w:val="00140019"/>
    <w:rsid w:val="001403D8"/>
    <w:rsid w:val="00140431"/>
    <w:rsid w:val="00140439"/>
    <w:rsid w:val="0014066C"/>
    <w:rsid w:val="001407D2"/>
    <w:rsid w:val="0014080B"/>
    <w:rsid w:val="00140A2B"/>
    <w:rsid w:val="00140BE8"/>
    <w:rsid w:val="00140CEE"/>
    <w:rsid w:val="00140D25"/>
    <w:rsid w:val="00140D46"/>
    <w:rsid w:val="00140D65"/>
    <w:rsid w:val="00140EE0"/>
    <w:rsid w:val="0014110C"/>
    <w:rsid w:val="001411E5"/>
    <w:rsid w:val="0014124D"/>
    <w:rsid w:val="00141469"/>
    <w:rsid w:val="001414BE"/>
    <w:rsid w:val="001414C4"/>
    <w:rsid w:val="001415D6"/>
    <w:rsid w:val="001415EF"/>
    <w:rsid w:val="001418B1"/>
    <w:rsid w:val="00141AFB"/>
    <w:rsid w:val="00141C55"/>
    <w:rsid w:val="00141C65"/>
    <w:rsid w:val="00141ED4"/>
    <w:rsid w:val="00141F06"/>
    <w:rsid w:val="0014219A"/>
    <w:rsid w:val="00142291"/>
    <w:rsid w:val="001423A2"/>
    <w:rsid w:val="00142590"/>
    <w:rsid w:val="001425DB"/>
    <w:rsid w:val="001425E3"/>
    <w:rsid w:val="001426F6"/>
    <w:rsid w:val="001427FE"/>
    <w:rsid w:val="001428E3"/>
    <w:rsid w:val="0014291B"/>
    <w:rsid w:val="00142923"/>
    <w:rsid w:val="001429B9"/>
    <w:rsid w:val="00142A36"/>
    <w:rsid w:val="00142C2E"/>
    <w:rsid w:val="00142FC4"/>
    <w:rsid w:val="0014305E"/>
    <w:rsid w:val="001430A0"/>
    <w:rsid w:val="0014316A"/>
    <w:rsid w:val="00143204"/>
    <w:rsid w:val="001432F6"/>
    <w:rsid w:val="0014342E"/>
    <w:rsid w:val="0014395B"/>
    <w:rsid w:val="001439EE"/>
    <w:rsid w:val="00143AEA"/>
    <w:rsid w:val="00143B65"/>
    <w:rsid w:val="00143CFC"/>
    <w:rsid w:val="00143D15"/>
    <w:rsid w:val="00143DA7"/>
    <w:rsid w:val="00143DFA"/>
    <w:rsid w:val="001443F2"/>
    <w:rsid w:val="0014445B"/>
    <w:rsid w:val="0014446B"/>
    <w:rsid w:val="0014456E"/>
    <w:rsid w:val="0014479B"/>
    <w:rsid w:val="00144B00"/>
    <w:rsid w:val="00144E98"/>
    <w:rsid w:val="00144FD5"/>
    <w:rsid w:val="001450A2"/>
    <w:rsid w:val="00145197"/>
    <w:rsid w:val="00145446"/>
    <w:rsid w:val="00145A2C"/>
    <w:rsid w:val="00145ADE"/>
    <w:rsid w:val="00145BA3"/>
    <w:rsid w:val="00145D79"/>
    <w:rsid w:val="00145D91"/>
    <w:rsid w:val="00145F88"/>
    <w:rsid w:val="00145FF7"/>
    <w:rsid w:val="0014606A"/>
    <w:rsid w:val="001461F8"/>
    <w:rsid w:val="001462DB"/>
    <w:rsid w:val="00146384"/>
    <w:rsid w:val="0014648F"/>
    <w:rsid w:val="001464FD"/>
    <w:rsid w:val="00146544"/>
    <w:rsid w:val="001465D2"/>
    <w:rsid w:val="001466F5"/>
    <w:rsid w:val="00146708"/>
    <w:rsid w:val="001467C7"/>
    <w:rsid w:val="00146AC2"/>
    <w:rsid w:val="00146C4A"/>
    <w:rsid w:val="00146DD7"/>
    <w:rsid w:val="00146DD9"/>
    <w:rsid w:val="00146E96"/>
    <w:rsid w:val="00146ECE"/>
    <w:rsid w:val="00147361"/>
    <w:rsid w:val="001473DF"/>
    <w:rsid w:val="00147473"/>
    <w:rsid w:val="001474D0"/>
    <w:rsid w:val="00147506"/>
    <w:rsid w:val="001477D7"/>
    <w:rsid w:val="001479C7"/>
    <w:rsid w:val="00147C66"/>
    <w:rsid w:val="00147C86"/>
    <w:rsid w:val="00147CAF"/>
    <w:rsid w:val="00147EDF"/>
    <w:rsid w:val="00147F31"/>
    <w:rsid w:val="00147F46"/>
    <w:rsid w:val="001502E2"/>
    <w:rsid w:val="0015031A"/>
    <w:rsid w:val="001503F5"/>
    <w:rsid w:val="001504C3"/>
    <w:rsid w:val="001504DF"/>
    <w:rsid w:val="0015062D"/>
    <w:rsid w:val="001507A4"/>
    <w:rsid w:val="001508F0"/>
    <w:rsid w:val="00150AC9"/>
    <w:rsid w:val="00150C4B"/>
    <w:rsid w:val="00150C90"/>
    <w:rsid w:val="00150E00"/>
    <w:rsid w:val="00150E4A"/>
    <w:rsid w:val="0015139A"/>
    <w:rsid w:val="001514F1"/>
    <w:rsid w:val="00151634"/>
    <w:rsid w:val="00151866"/>
    <w:rsid w:val="001518E0"/>
    <w:rsid w:val="00151A21"/>
    <w:rsid w:val="00151B37"/>
    <w:rsid w:val="00151BA3"/>
    <w:rsid w:val="00151BD7"/>
    <w:rsid w:val="00151C2D"/>
    <w:rsid w:val="00151C33"/>
    <w:rsid w:val="00151CA8"/>
    <w:rsid w:val="00151D22"/>
    <w:rsid w:val="00151E89"/>
    <w:rsid w:val="00151EDD"/>
    <w:rsid w:val="00151EDE"/>
    <w:rsid w:val="00151EFA"/>
    <w:rsid w:val="00152166"/>
    <w:rsid w:val="0015222F"/>
    <w:rsid w:val="00152289"/>
    <w:rsid w:val="001522AC"/>
    <w:rsid w:val="00152301"/>
    <w:rsid w:val="0015233E"/>
    <w:rsid w:val="0015251C"/>
    <w:rsid w:val="00152673"/>
    <w:rsid w:val="001526F0"/>
    <w:rsid w:val="00152763"/>
    <w:rsid w:val="00152BE0"/>
    <w:rsid w:val="00152D47"/>
    <w:rsid w:val="00152F79"/>
    <w:rsid w:val="0015324F"/>
    <w:rsid w:val="001536C9"/>
    <w:rsid w:val="00153744"/>
    <w:rsid w:val="00153A1D"/>
    <w:rsid w:val="00153E2A"/>
    <w:rsid w:val="00153E4F"/>
    <w:rsid w:val="00153E86"/>
    <w:rsid w:val="00153F5A"/>
    <w:rsid w:val="00153FC3"/>
    <w:rsid w:val="00154048"/>
    <w:rsid w:val="001540CB"/>
    <w:rsid w:val="001540F3"/>
    <w:rsid w:val="001542EB"/>
    <w:rsid w:val="00154A1B"/>
    <w:rsid w:val="00154B4D"/>
    <w:rsid w:val="00154B83"/>
    <w:rsid w:val="00154B9A"/>
    <w:rsid w:val="00154CDD"/>
    <w:rsid w:val="00154D71"/>
    <w:rsid w:val="00154E73"/>
    <w:rsid w:val="001552D2"/>
    <w:rsid w:val="00155324"/>
    <w:rsid w:val="0015574C"/>
    <w:rsid w:val="00155946"/>
    <w:rsid w:val="00155955"/>
    <w:rsid w:val="0015598F"/>
    <w:rsid w:val="001559D8"/>
    <w:rsid w:val="00155A51"/>
    <w:rsid w:val="00155D43"/>
    <w:rsid w:val="00155E0F"/>
    <w:rsid w:val="00155EFD"/>
    <w:rsid w:val="00156079"/>
    <w:rsid w:val="00156205"/>
    <w:rsid w:val="001562C2"/>
    <w:rsid w:val="001562EF"/>
    <w:rsid w:val="001562F2"/>
    <w:rsid w:val="00156409"/>
    <w:rsid w:val="001565D9"/>
    <w:rsid w:val="001565E5"/>
    <w:rsid w:val="00156967"/>
    <w:rsid w:val="00156A36"/>
    <w:rsid w:val="00156B05"/>
    <w:rsid w:val="00156CFE"/>
    <w:rsid w:val="00156D0F"/>
    <w:rsid w:val="00156E8C"/>
    <w:rsid w:val="00156F21"/>
    <w:rsid w:val="0015716F"/>
    <w:rsid w:val="001572A8"/>
    <w:rsid w:val="001573D3"/>
    <w:rsid w:val="0015741E"/>
    <w:rsid w:val="00157BC9"/>
    <w:rsid w:val="00157DCB"/>
    <w:rsid w:val="00157E09"/>
    <w:rsid w:val="00157E1E"/>
    <w:rsid w:val="00160070"/>
    <w:rsid w:val="001602D1"/>
    <w:rsid w:val="00160611"/>
    <w:rsid w:val="0016077B"/>
    <w:rsid w:val="001607FC"/>
    <w:rsid w:val="00160C9C"/>
    <w:rsid w:val="00160E98"/>
    <w:rsid w:val="00160EB1"/>
    <w:rsid w:val="001610F2"/>
    <w:rsid w:val="0016139F"/>
    <w:rsid w:val="0016159B"/>
    <w:rsid w:val="001615F3"/>
    <w:rsid w:val="0016168A"/>
    <w:rsid w:val="00161709"/>
    <w:rsid w:val="00161758"/>
    <w:rsid w:val="00161893"/>
    <w:rsid w:val="0016189F"/>
    <w:rsid w:val="00161B5B"/>
    <w:rsid w:val="00161E08"/>
    <w:rsid w:val="00161E40"/>
    <w:rsid w:val="00161E6F"/>
    <w:rsid w:val="00161FFE"/>
    <w:rsid w:val="001621D5"/>
    <w:rsid w:val="00162247"/>
    <w:rsid w:val="001622AC"/>
    <w:rsid w:val="001622BF"/>
    <w:rsid w:val="00162342"/>
    <w:rsid w:val="00162380"/>
    <w:rsid w:val="0016249B"/>
    <w:rsid w:val="00162687"/>
    <w:rsid w:val="001626EC"/>
    <w:rsid w:val="0016275D"/>
    <w:rsid w:val="00162A82"/>
    <w:rsid w:val="00162C20"/>
    <w:rsid w:val="00162C84"/>
    <w:rsid w:val="00162D8C"/>
    <w:rsid w:val="00162DC1"/>
    <w:rsid w:val="00162E34"/>
    <w:rsid w:val="001630CE"/>
    <w:rsid w:val="00163155"/>
    <w:rsid w:val="001634C0"/>
    <w:rsid w:val="001634E5"/>
    <w:rsid w:val="001634E9"/>
    <w:rsid w:val="00163552"/>
    <w:rsid w:val="00163685"/>
    <w:rsid w:val="0016379A"/>
    <w:rsid w:val="001639EC"/>
    <w:rsid w:val="00163A57"/>
    <w:rsid w:val="00163F63"/>
    <w:rsid w:val="00164187"/>
    <w:rsid w:val="001641AA"/>
    <w:rsid w:val="001642E2"/>
    <w:rsid w:val="0016482C"/>
    <w:rsid w:val="00164967"/>
    <w:rsid w:val="00164B5B"/>
    <w:rsid w:val="00164C71"/>
    <w:rsid w:val="00164E62"/>
    <w:rsid w:val="00165056"/>
    <w:rsid w:val="001651C1"/>
    <w:rsid w:val="0016533A"/>
    <w:rsid w:val="001656B3"/>
    <w:rsid w:val="00165912"/>
    <w:rsid w:val="00165B1E"/>
    <w:rsid w:val="00165D31"/>
    <w:rsid w:val="00165EF0"/>
    <w:rsid w:val="00165F72"/>
    <w:rsid w:val="00166059"/>
    <w:rsid w:val="001661C6"/>
    <w:rsid w:val="00166201"/>
    <w:rsid w:val="00166449"/>
    <w:rsid w:val="00166549"/>
    <w:rsid w:val="00166570"/>
    <w:rsid w:val="001665F6"/>
    <w:rsid w:val="001666D1"/>
    <w:rsid w:val="00166988"/>
    <w:rsid w:val="00166B24"/>
    <w:rsid w:val="00166F10"/>
    <w:rsid w:val="00166FDD"/>
    <w:rsid w:val="0016723C"/>
    <w:rsid w:val="0016740F"/>
    <w:rsid w:val="0016750C"/>
    <w:rsid w:val="0016762E"/>
    <w:rsid w:val="00167732"/>
    <w:rsid w:val="0016779E"/>
    <w:rsid w:val="0016780B"/>
    <w:rsid w:val="001678F6"/>
    <w:rsid w:val="00167A60"/>
    <w:rsid w:val="00167EF4"/>
    <w:rsid w:val="00167FA1"/>
    <w:rsid w:val="00170274"/>
    <w:rsid w:val="00170392"/>
    <w:rsid w:val="001704EE"/>
    <w:rsid w:val="00170585"/>
    <w:rsid w:val="00170792"/>
    <w:rsid w:val="00170871"/>
    <w:rsid w:val="001708B1"/>
    <w:rsid w:val="00170B6E"/>
    <w:rsid w:val="00170CCB"/>
    <w:rsid w:val="00170F75"/>
    <w:rsid w:val="001715A6"/>
    <w:rsid w:val="001715E1"/>
    <w:rsid w:val="001715F2"/>
    <w:rsid w:val="00171697"/>
    <w:rsid w:val="001717D6"/>
    <w:rsid w:val="0017182A"/>
    <w:rsid w:val="00171879"/>
    <w:rsid w:val="0017192A"/>
    <w:rsid w:val="0017193F"/>
    <w:rsid w:val="00171BE6"/>
    <w:rsid w:val="00171FD4"/>
    <w:rsid w:val="0017212F"/>
    <w:rsid w:val="00172179"/>
    <w:rsid w:val="00172262"/>
    <w:rsid w:val="0017235C"/>
    <w:rsid w:val="00172592"/>
    <w:rsid w:val="00172639"/>
    <w:rsid w:val="001726B3"/>
    <w:rsid w:val="001726DA"/>
    <w:rsid w:val="00172991"/>
    <w:rsid w:val="001729DF"/>
    <w:rsid w:val="00172B4E"/>
    <w:rsid w:val="00172C45"/>
    <w:rsid w:val="00172C5C"/>
    <w:rsid w:val="00172CA3"/>
    <w:rsid w:val="00172CA6"/>
    <w:rsid w:val="00172DED"/>
    <w:rsid w:val="00172E4C"/>
    <w:rsid w:val="00172E59"/>
    <w:rsid w:val="00172F5E"/>
    <w:rsid w:val="00172FC3"/>
    <w:rsid w:val="001730B1"/>
    <w:rsid w:val="001730D6"/>
    <w:rsid w:val="00173129"/>
    <w:rsid w:val="001731DB"/>
    <w:rsid w:val="00173203"/>
    <w:rsid w:val="00173347"/>
    <w:rsid w:val="0017336B"/>
    <w:rsid w:val="001733AE"/>
    <w:rsid w:val="001734AA"/>
    <w:rsid w:val="001735E0"/>
    <w:rsid w:val="001735FE"/>
    <w:rsid w:val="0017364C"/>
    <w:rsid w:val="001738AC"/>
    <w:rsid w:val="001738B6"/>
    <w:rsid w:val="00173D8B"/>
    <w:rsid w:val="00173FB0"/>
    <w:rsid w:val="00173FC3"/>
    <w:rsid w:val="001740F8"/>
    <w:rsid w:val="0017445B"/>
    <w:rsid w:val="001748E4"/>
    <w:rsid w:val="00174942"/>
    <w:rsid w:val="00174D48"/>
    <w:rsid w:val="00174D58"/>
    <w:rsid w:val="00174EEF"/>
    <w:rsid w:val="00174F37"/>
    <w:rsid w:val="0017503E"/>
    <w:rsid w:val="00175158"/>
    <w:rsid w:val="0017524E"/>
    <w:rsid w:val="001753EE"/>
    <w:rsid w:val="001756E4"/>
    <w:rsid w:val="0017580F"/>
    <w:rsid w:val="001759AD"/>
    <w:rsid w:val="00175A1B"/>
    <w:rsid w:val="00175E73"/>
    <w:rsid w:val="00175EA1"/>
    <w:rsid w:val="00175EB2"/>
    <w:rsid w:val="00175F3A"/>
    <w:rsid w:val="0017607A"/>
    <w:rsid w:val="0017610B"/>
    <w:rsid w:val="00176110"/>
    <w:rsid w:val="00176198"/>
    <w:rsid w:val="0017628D"/>
    <w:rsid w:val="0017631E"/>
    <w:rsid w:val="00176353"/>
    <w:rsid w:val="00176412"/>
    <w:rsid w:val="00176475"/>
    <w:rsid w:val="001764FA"/>
    <w:rsid w:val="00176749"/>
    <w:rsid w:val="00176931"/>
    <w:rsid w:val="00176945"/>
    <w:rsid w:val="00176C0F"/>
    <w:rsid w:val="00176D0B"/>
    <w:rsid w:val="00177073"/>
    <w:rsid w:val="001771D1"/>
    <w:rsid w:val="0017731E"/>
    <w:rsid w:val="00177458"/>
    <w:rsid w:val="00177510"/>
    <w:rsid w:val="00177619"/>
    <w:rsid w:val="00177662"/>
    <w:rsid w:val="001779BC"/>
    <w:rsid w:val="00177A7E"/>
    <w:rsid w:val="00177B1D"/>
    <w:rsid w:val="00177B7A"/>
    <w:rsid w:val="00177B97"/>
    <w:rsid w:val="00177CBA"/>
    <w:rsid w:val="00177DBC"/>
    <w:rsid w:val="00177E52"/>
    <w:rsid w:val="00177E6E"/>
    <w:rsid w:val="00177EDB"/>
    <w:rsid w:val="001801F3"/>
    <w:rsid w:val="001802D6"/>
    <w:rsid w:val="0018037C"/>
    <w:rsid w:val="00180468"/>
    <w:rsid w:val="00180494"/>
    <w:rsid w:val="00180710"/>
    <w:rsid w:val="001807CD"/>
    <w:rsid w:val="00180826"/>
    <w:rsid w:val="001808B4"/>
    <w:rsid w:val="001809AC"/>
    <w:rsid w:val="001809CD"/>
    <w:rsid w:val="00180B31"/>
    <w:rsid w:val="00180DB8"/>
    <w:rsid w:val="00180FEC"/>
    <w:rsid w:val="00181033"/>
    <w:rsid w:val="00181041"/>
    <w:rsid w:val="001810E2"/>
    <w:rsid w:val="00181229"/>
    <w:rsid w:val="0018124A"/>
    <w:rsid w:val="001814E0"/>
    <w:rsid w:val="001815F5"/>
    <w:rsid w:val="00181981"/>
    <w:rsid w:val="00181AAD"/>
    <w:rsid w:val="00181AF1"/>
    <w:rsid w:val="00181B29"/>
    <w:rsid w:val="00181B6E"/>
    <w:rsid w:val="00181EF1"/>
    <w:rsid w:val="00182474"/>
    <w:rsid w:val="001825EA"/>
    <w:rsid w:val="00182675"/>
    <w:rsid w:val="00182718"/>
    <w:rsid w:val="00182742"/>
    <w:rsid w:val="00182F86"/>
    <w:rsid w:val="00183010"/>
    <w:rsid w:val="0018309C"/>
    <w:rsid w:val="00183183"/>
    <w:rsid w:val="00183214"/>
    <w:rsid w:val="0018323E"/>
    <w:rsid w:val="0018328C"/>
    <w:rsid w:val="0018344E"/>
    <w:rsid w:val="0018346D"/>
    <w:rsid w:val="00183471"/>
    <w:rsid w:val="001835D1"/>
    <w:rsid w:val="0018365F"/>
    <w:rsid w:val="0018367E"/>
    <w:rsid w:val="001839B8"/>
    <w:rsid w:val="00183A07"/>
    <w:rsid w:val="00183ADC"/>
    <w:rsid w:val="00183C95"/>
    <w:rsid w:val="00183E04"/>
    <w:rsid w:val="00184000"/>
    <w:rsid w:val="00184026"/>
    <w:rsid w:val="0018407A"/>
    <w:rsid w:val="00184150"/>
    <w:rsid w:val="0018415A"/>
    <w:rsid w:val="001841EF"/>
    <w:rsid w:val="00184491"/>
    <w:rsid w:val="001844CE"/>
    <w:rsid w:val="0018458B"/>
    <w:rsid w:val="0018458F"/>
    <w:rsid w:val="001846B2"/>
    <w:rsid w:val="00184726"/>
    <w:rsid w:val="00184803"/>
    <w:rsid w:val="0018485E"/>
    <w:rsid w:val="0018489E"/>
    <w:rsid w:val="001848AC"/>
    <w:rsid w:val="00184EBF"/>
    <w:rsid w:val="00185266"/>
    <w:rsid w:val="0018541E"/>
    <w:rsid w:val="0018576C"/>
    <w:rsid w:val="001857E3"/>
    <w:rsid w:val="00185A40"/>
    <w:rsid w:val="00185ABA"/>
    <w:rsid w:val="00185B3E"/>
    <w:rsid w:val="00185CC8"/>
    <w:rsid w:val="00185DBC"/>
    <w:rsid w:val="0018615F"/>
    <w:rsid w:val="0018621A"/>
    <w:rsid w:val="00186278"/>
    <w:rsid w:val="0018693D"/>
    <w:rsid w:val="00186998"/>
    <w:rsid w:val="0018699D"/>
    <w:rsid w:val="001869BF"/>
    <w:rsid w:val="00186A66"/>
    <w:rsid w:val="00186BA0"/>
    <w:rsid w:val="00186DE9"/>
    <w:rsid w:val="00186F64"/>
    <w:rsid w:val="001870DD"/>
    <w:rsid w:val="0018714E"/>
    <w:rsid w:val="00187427"/>
    <w:rsid w:val="00187503"/>
    <w:rsid w:val="001875B5"/>
    <w:rsid w:val="0018773E"/>
    <w:rsid w:val="00187876"/>
    <w:rsid w:val="00187AB4"/>
    <w:rsid w:val="00187C8C"/>
    <w:rsid w:val="00187EAD"/>
    <w:rsid w:val="0019005E"/>
    <w:rsid w:val="001900FF"/>
    <w:rsid w:val="0019025E"/>
    <w:rsid w:val="0019054A"/>
    <w:rsid w:val="0019056D"/>
    <w:rsid w:val="00190685"/>
    <w:rsid w:val="001906F7"/>
    <w:rsid w:val="00190762"/>
    <w:rsid w:val="0019077B"/>
    <w:rsid w:val="001908E2"/>
    <w:rsid w:val="00190C0E"/>
    <w:rsid w:val="00190FDA"/>
    <w:rsid w:val="001912BA"/>
    <w:rsid w:val="00191469"/>
    <w:rsid w:val="0019157B"/>
    <w:rsid w:val="00191793"/>
    <w:rsid w:val="001917C0"/>
    <w:rsid w:val="001917E0"/>
    <w:rsid w:val="001918F3"/>
    <w:rsid w:val="00191973"/>
    <w:rsid w:val="00191A50"/>
    <w:rsid w:val="00191A99"/>
    <w:rsid w:val="00191AEA"/>
    <w:rsid w:val="00191CA8"/>
    <w:rsid w:val="00191DF1"/>
    <w:rsid w:val="00192001"/>
    <w:rsid w:val="00192187"/>
    <w:rsid w:val="001923AD"/>
    <w:rsid w:val="001923CD"/>
    <w:rsid w:val="001925AA"/>
    <w:rsid w:val="0019289E"/>
    <w:rsid w:val="001928B1"/>
    <w:rsid w:val="00192C04"/>
    <w:rsid w:val="00192DF0"/>
    <w:rsid w:val="00193030"/>
    <w:rsid w:val="0019319A"/>
    <w:rsid w:val="00193271"/>
    <w:rsid w:val="001932F5"/>
    <w:rsid w:val="00193302"/>
    <w:rsid w:val="001934A0"/>
    <w:rsid w:val="001934E1"/>
    <w:rsid w:val="001935F5"/>
    <w:rsid w:val="0019372A"/>
    <w:rsid w:val="00193774"/>
    <w:rsid w:val="001937C5"/>
    <w:rsid w:val="001937EF"/>
    <w:rsid w:val="001939EA"/>
    <w:rsid w:val="00193A11"/>
    <w:rsid w:val="00193A2A"/>
    <w:rsid w:val="00193CE6"/>
    <w:rsid w:val="00193E00"/>
    <w:rsid w:val="00193E14"/>
    <w:rsid w:val="00193F9B"/>
    <w:rsid w:val="00193FFF"/>
    <w:rsid w:val="0019413C"/>
    <w:rsid w:val="001942BF"/>
    <w:rsid w:val="00194756"/>
    <w:rsid w:val="0019494B"/>
    <w:rsid w:val="00194A70"/>
    <w:rsid w:val="0019519D"/>
    <w:rsid w:val="00195214"/>
    <w:rsid w:val="001952FC"/>
    <w:rsid w:val="001956BB"/>
    <w:rsid w:val="001956C1"/>
    <w:rsid w:val="00195976"/>
    <w:rsid w:val="00195B96"/>
    <w:rsid w:val="00195BC4"/>
    <w:rsid w:val="00195F6A"/>
    <w:rsid w:val="00196015"/>
    <w:rsid w:val="001960C8"/>
    <w:rsid w:val="0019617D"/>
    <w:rsid w:val="001963A6"/>
    <w:rsid w:val="001963FF"/>
    <w:rsid w:val="00196629"/>
    <w:rsid w:val="00196647"/>
    <w:rsid w:val="001966B8"/>
    <w:rsid w:val="00196733"/>
    <w:rsid w:val="00196B9B"/>
    <w:rsid w:val="00196E9C"/>
    <w:rsid w:val="00196FCA"/>
    <w:rsid w:val="00197098"/>
    <w:rsid w:val="00197247"/>
    <w:rsid w:val="001973C3"/>
    <w:rsid w:val="00197519"/>
    <w:rsid w:val="001977ED"/>
    <w:rsid w:val="0019781E"/>
    <w:rsid w:val="00197861"/>
    <w:rsid w:val="001979CD"/>
    <w:rsid w:val="00197D1A"/>
    <w:rsid w:val="00197D77"/>
    <w:rsid w:val="00197F1D"/>
    <w:rsid w:val="001A00C0"/>
    <w:rsid w:val="001A035D"/>
    <w:rsid w:val="001A0888"/>
    <w:rsid w:val="001A09E5"/>
    <w:rsid w:val="001A0B5B"/>
    <w:rsid w:val="001A0BAA"/>
    <w:rsid w:val="001A0C32"/>
    <w:rsid w:val="001A0D0B"/>
    <w:rsid w:val="001A102B"/>
    <w:rsid w:val="001A1049"/>
    <w:rsid w:val="001A10DB"/>
    <w:rsid w:val="001A1573"/>
    <w:rsid w:val="001A15DB"/>
    <w:rsid w:val="001A165A"/>
    <w:rsid w:val="001A1AD7"/>
    <w:rsid w:val="001A1B3E"/>
    <w:rsid w:val="001A1C20"/>
    <w:rsid w:val="001A1E58"/>
    <w:rsid w:val="001A1E6B"/>
    <w:rsid w:val="001A1E98"/>
    <w:rsid w:val="001A2257"/>
    <w:rsid w:val="001A22C0"/>
    <w:rsid w:val="001A24E5"/>
    <w:rsid w:val="001A25B2"/>
    <w:rsid w:val="001A2671"/>
    <w:rsid w:val="001A2C35"/>
    <w:rsid w:val="001A2E1A"/>
    <w:rsid w:val="001A2F37"/>
    <w:rsid w:val="001A3150"/>
    <w:rsid w:val="001A3531"/>
    <w:rsid w:val="001A35B9"/>
    <w:rsid w:val="001A35CE"/>
    <w:rsid w:val="001A364C"/>
    <w:rsid w:val="001A364D"/>
    <w:rsid w:val="001A381D"/>
    <w:rsid w:val="001A384F"/>
    <w:rsid w:val="001A39BA"/>
    <w:rsid w:val="001A39E1"/>
    <w:rsid w:val="001A3F97"/>
    <w:rsid w:val="001A4094"/>
    <w:rsid w:val="001A4206"/>
    <w:rsid w:val="001A4244"/>
    <w:rsid w:val="001A4375"/>
    <w:rsid w:val="001A4582"/>
    <w:rsid w:val="001A469D"/>
    <w:rsid w:val="001A48E5"/>
    <w:rsid w:val="001A491F"/>
    <w:rsid w:val="001A4A0E"/>
    <w:rsid w:val="001A4A73"/>
    <w:rsid w:val="001A4BF8"/>
    <w:rsid w:val="001A4C1F"/>
    <w:rsid w:val="001A4C26"/>
    <w:rsid w:val="001A4C96"/>
    <w:rsid w:val="001A4D09"/>
    <w:rsid w:val="001A4F17"/>
    <w:rsid w:val="001A4FB1"/>
    <w:rsid w:val="001A501A"/>
    <w:rsid w:val="001A51BB"/>
    <w:rsid w:val="001A535F"/>
    <w:rsid w:val="001A53AD"/>
    <w:rsid w:val="001A5505"/>
    <w:rsid w:val="001A577D"/>
    <w:rsid w:val="001A57EF"/>
    <w:rsid w:val="001A5AE4"/>
    <w:rsid w:val="001A5B51"/>
    <w:rsid w:val="001A5E27"/>
    <w:rsid w:val="001A6279"/>
    <w:rsid w:val="001A6291"/>
    <w:rsid w:val="001A63CD"/>
    <w:rsid w:val="001A65ED"/>
    <w:rsid w:val="001A6F75"/>
    <w:rsid w:val="001A7019"/>
    <w:rsid w:val="001A71BE"/>
    <w:rsid w:val="001A71C3"/>
    <w:rsid w:val="001A71E9"/>
    <w:rsid w:val="001A75D3"/>
    <w:rsid w:val="001A7655"/>
    <w:rsid w:val="001A7669"/>
    <w:rsid w:val="001A7729"/>
    <w:rsid w:val="001A7731"/>
    <w:rsid w:val="001A77B5"/>
    <w:rsid w:val="001A7871"/>
    <w:rsid w:val="001A7A3F"/>
    <w:rsid w:val="001A7A90"/>
    <w:rsid w:val="001A7D76"/>
    <w:rsid w:val="001B0165"/>
    <w:rsid w:val="001B0352"/>
    <w:rsid w:val="001B0552"/>
    <w:rsid w:val="001B05AC"/>
    <w:rsid w:val="001B0632"/>
    <w:rsid w:val="001B07DF"/>
    <w:rsid w:val="001B0B83"/>
    <w:rsid w:val="001B0DBD"/>
    <w:rsid w:val="001B111D"/>
    <w:rsid w:val="001B1217"/>
    <w:rsid w:val="001B1377"/>
    <w:rsid w:val="001B13BF"/>
    <w:rsid w:val="001B14C4"/>
    <w:rsid w:val="001B1577"/>
    <w:rsid w:val="001B1668"/>
    <w:rsid w:val="001B1670"/>
    <w:rsid w:val="001B193C"/>
    <w:rsid w:val="001B2086"/>
    <w:rsid w:val="001B2116"/>
    <w:rsid w:val="001B216E"/>
    <w:rsid w:val="001B2344"/>
    <w:rsid w:val="001B23D4"/>
    <w:rsid w:val="001B2470"/>
    <w:rsid w:val="001B2507"/>
    <w:rsid w:val="001B25A3"/>
    <w:rsid w:val="001B26DF"/>
    <w:rsid w:val="001B26E2"/>
    <w:rsid w:val="001B2767"/>
    <w:rsid w:val="001B284F"/>
    <w:rsid w:val="001B2868"/>
    <w:rsid w:val="001B295D"/>
    <w:rsid w:val="001B29FC"/>
    <w:rsid w:val="001B2A43"/>
    <w:rsid w:val="001B2B34"/>
    <w:rsid w:val="001B2B8D"/>
    <w:rsid w:val="001B2C74"/>
    <w:rsid w:val="001B2D36"/>
    <w:rsid w:val="001B2DBE"/>
    <w:rsid w:val="001B309A"/>
    <w:rsid w:val="001B3197"/>
    <w:rsid w:val="001B33ED"/>
    <w:rsid w:val="001B34A4"/>
    <w:rsid w:val="001B38D8"/>
    <w:rsid w:val="001B3C11"/>
    <w:rsid w:val="001B3CE9"/>
    <w:rsid w:val="001B3E66"/>
    <w:rsid w:val="001B41D3"/>
    <w:rsid w:val="001B44E5"/>
    <w:rsid w:val="001B45A6"/>
    <w:rsid w:val="001B4846"/>
    <w:rsid w:val="001B485B"/>
    <w:rsid w:val="001B4869"/>
    <w:rsid w:val="001B48DC"/>
    <w:rsid w:val="001B4A4B"/>
    <w:rsid w:val="001B4AC2"/>
    <w:rsid w:val="001B4CB7"/>
    <w:rsid w:val="001B4FC1"/>
    <w:rsid w:val="001B501C"/>
    <w:rsid w:val="001B505F"/>
    <w:rsid w:val="001B5337"/>
    <w:rsid w:val="001B5441"/>
    <w:rsid w:val="001B56BB"/>
    <w:rsid w:val="001B56DB"/>
    <w:rsid w:val="001B56E6"/>
    <w:rsid w:val="001B5891"/>
    <w:rsid w:val="001B58C7"/>
    <w:rsid w:val="001B5A6B"/>
    <w:rsid w:val="001B5C4E"/>
    <w:rsid w:val="001B5D49"/>
    <w:rsid w:val="001B5DBF"/>
    <w:rsid w:val="001B5EE3"/>
    <w:rsid w:val="001B5FD5"/>
    <w:rsid w:val="001B60D5"/>
    <w:rsid w:val="001B6387"/>
    <w:rsid w:val="001B63A0"/>
    <w:rsid w:val="001B6455"/>
    <w:rsid w:val="001B6663"/>
    <w:rsid w:val="001B67AA"/>
    <w:rsid w:val="001B6B73"/>
    <w:rsid w:val="001B6D51"/>
    <w:rsid w:val="001B7248"/>
    <w:rsid w:val="001B729F"/>
    <w:rsid w:val="001B753D"/>
    <w:rsid w:val="001B76B4"/>
    <w:rsid w:val="001B7773"/>
    <w:rsid w:val="001B787A"/>
    <w:rsid w:val="001B799D"/>
    <w:rsid w:val="001B79D7"/>
    <w:rsid w:val="001B7A75"/>
    <w:rsid w:val="001B7BC5"/>
    <w:rsid w:val="001B7BD8"/>
    <w:rsid w:val="001B7D17"/>
    <w:rsid w:val="001B7EB5"/>
    <w:rsid w:val="001C000A"/>
    <w:rsid w:val="001C005A"/>
    <w:rsid w:val="001C00DF"/>
    <w:rsid w:val="001C0324"/>
    <w:rsid w:val="001C0660"/>
    <w:rsid w:val="001C0980"/>
    <w:rsid w:val="001C09E6"/>
    <w:rsid w:val="001C0C6B"/>
    <w:rsid w:val="001C0CEF"/>
    <w:rsid w:val="001C0CFF"/>
    <w:rsid w:val="001C0D68"/>
    <w:rsid w:val="001C0DAC"/>
    <w:rsid w:val="001C0EA2"/>
    <w:rsid w:val="001C0ED2"/>
    <w:rsid w:val="001C1067"/>
    <w:rsid w:val="001C10FE"/>
    <w:rsid w:val="001C1168"/>
    <w:rsid w:val="001C119F"/>
    <w:rsid w:val="001C1408"/>
    <w:rsid w:val="001C1416"/>
    <w:rsid w:val="001C15E0"/>
    <w:rsid w:val="001C1764"/>
    <w:rsid w:val="001C1846"/>
    <w:rsid w:val="001C1AEA"/>
    <w:rsid w:val="001C1B52"/>
    <w:rsid w:val="001C1C3E"/>
    <w:rsid w:val="001C1E15"/>
    <w:rsid w:val="001C1E33"/>
    <w:rsid w:val="001C200B"/>
    <w:rsid w:val="001C2260"/>
    <w:rsid w:val="001C226A"/>
    <w:rsid w:val="001C27E5"/>
    <w:rsid w:val="001C2986"/>
    <w:rsid w:val="001C29AB"/>
    <w:rsid w:val="001C29DA"/>
    <w:rsid w:val="001C2ADF"/>
    <w:rsid w:val="001C2C64"/>
    <w:rsid w:val="001C2C96"/>
    <w:rsid w:val="001C2CBB"/>
    <w:rsid w:val="001C2D71"/>
    <w:rsid w:val="001C2D76"/>
    <w:rsid w:val="001C2E71"/>
    <w:rsid w:val="001C300E"/>
    <w:rsid w:val="001C35C9"/>
    <w:rsid w:val="001C3604"/>
    <w:rsid w:val="001C377A"/>
    <w:rsid w:val="001C3790"/>
    <w:rsid w:val="001C3823"/>
    <w:rsid w:val="001C387E"/>
    <w:rsid w:val="001C38E3"/>
    <w:rsid w:val="001C3CCC"/>
    <w:rsid w:val="001C3E54"/>
    <w:rsid w:val="001C3FE4"/>
    <w:rsid w:val="001C4051"/>
    <w:rsid w:val="001C4137"/>
    <w:rsid w:val="001C42C5"/>
    <w:rsid w:val="001C431B"/>
    <w:rsid w:val="001C4503"/>
    <w:rsid w:val="001C45CB"/>
    <w:rsid w:val="001C4666"/>
    <w:rsid w:val="001C478C"/>
    <w:rsid w:val="001C4AC9"/>
    <w:rsid w:val="001C4C23"/>
    <w:rsid w:val="001C4EE1"/>
    <w:rsid w:val="001C4F9D"/>
    <w:rsid w:val="001C4FD2"/>
    <w:rsid w:val="001C513A"/>
    <w:rsid w:val="001C5576"/>
    <w:rsid w:val="001C5698"/>
    <w:rsid w:val="001C5756"/>
    <w:rsid w:val="001C5867"/>
    <w:rsid w:val="001C5A26"/>
    <w:rsid w:val="001C5B0B"/>
    <w:rsid w:val="001C5C11"/>
    <w:rsid w:val="001C5D11"/>
    <w:rsid w:val="001C5F9A"/>
    <w:rsid w:val="001C603E"/>
    <w:rsid w:val="001C6216"/>
    <w:rsid w:val="001C6505"/>
    <w:rsid w:val="001C6C67"/>
    <w:rsid w:val="001C6D3F"/>
    <w:rsid w:val="001C6E98"/>
    <w:rsid w:val="001C70B6"/>
    <w:rsid w:val="001C7305"/>
    <w:rsid w:val="001C73F7"/>
    <w:rsid w:val="001C76B2"/>
    <w:rsid w:val="001C7809"/>
    <w:rsid w:val="001C79EA"/>
    <w:rsid w:val="001C7B56"/>
    <w:rsid w:val="001C7C4C"/>
    <w:rsid w:val="001C7C77"/>
    <w:rsid w:val="001C7EC0"/>
    <w:rsid w:val="001C7F61"/>
    <w:rsid w:val="001D0184"/>
    <w:rsid w:val="001D01E5"/>
    <w:rsid w:val="001D02E7"/>
    <w:rsid w:val="001D0374"/>
    <w:rsid w:val="001D06BB"/>
    <w:rsid w:val="001D0808"/>
    <w:rsid w:val="001D0847"/>
    <w:rsid w:val="001D086D"/>
    <w:rsid w:val="001D09A8"/>
    <w:rsid w:val="001D09ED"/>
    <w:rsid w:val="001D0ACA"/>
    <w:rsid w:val="001D0B02"/>
    <w:rsid w:val="001D0D30"/>
    <w:rsid w:val="001D0E78"/>
    <w:rsid w:val="001D0EC7"/>
    <w:rsid w:val="001D10F4"/>
    <w:rsid w:val="001D1266"/>
    <w:rsid w:val="001D1290"/>
    <w:rsid w:val="001D1562"/>
    <w:rsid w:val="001D15AE"/>
    <w:rsid w:val="001D1654"/>
    <w:rsid w:val="001D166A"/>
    <w:rsid w:val="001D1A9F"/>
    <w:rsid w:val="001D1ABE"/>
    <w:rsid w:val="001D1C5A"/>
    <w:rsid w:val="001D1C6A"/>
    <w:rsid w:val="001D1CC8"/>
    <w:rsid w:val="001D1CD8"/>
    <w:rsid w:val="001D2106"/>
    <w:rsid w:val="001D2158"/>
    <w:rsid w:val="001D2210"/>
    <w:rsid w:val="001D22F4"/>
    <w:rsid w:val="001D2483"/>
    <w:rsid w:val="001D249A"/>
    <w:rsid w:val="001D24B8"/>
    <w:rsid w:val="001D255D"/>
    <w:rsid w:val="001D259E"/>
    <w:rsid w:val="001D268D"/>
    <w:rsid w:val="001D270B"/>
    <w:rsid w:val="001D281D"/>
    <w:rsid w:val="001D2A20"/>
    <w:rsid w:val="001D2BD7"/>
    <w:rsid w:val="001D2BF6"/>
    <w:rsid w:val="001D2CB2"/>
    <w:rsid w:val="001D2D70"/>
    <w:rsid w:val="001D2DF0"/>
    <w:rsid w:val="001D320C"/>
    <w:rsid w:val="001D323F"/>
    <w:rsid w:val="001D332D"/>
    <w:rsid w:val="001D3490"/>
    <w:rsid w:val="001D3573"/>
    <w:rsid w:val="001D35BE"/>
    <w:rsid w:val="001D3705"/>
    <w:rsid w:val="001D389E"/>
    <w:rsid w:val="001D3A19"/>
    <w:rsid w:val="001D3A9D"/>
    <w:rsid w:val="001D3B8C"/>
    <w:rsid w:val="001D3BC2"/>
    <w:rsid w:val="001D3C29"/>
    <w:rsid w:val="001D3FF1"/>
    <w:rsid w:val="001D3FF6"/>
    <w:rsid w:val="001D4013"/>
    <w:rsid w:val="001D4160"/>
    <w:rsid w:val="001D4233"/>
    <w:rsid w:val="001D4617"/>
    <w:rsid w:val="001D4627"/>
    <w:rsid w:val="001D486C"/>
    <w:rsid w:val="001D4968"/>
    <w:rsid w:val="001D4B71"/>
    <w:rsid w:val="001D4DCB"/>
    <w:rsid w:val="001D4E53"/>
    <w:rsid w:val="001D5172"/>
    <w:rsid w:val="001D53EF"/>
    <w:rsid w:val="001D577F"/>
    <w:rsid w:val="001D583E"/>
    <w:rsid w:val="001D5B56"/>
    <w:rsid w:val="001D5BC7"/>
    <w:rsid w:val="001D5BEF"/>
    <w:rsid w:val="001D5E83"/>
    <w:rsid w:val="001D607C"/>
    <w:rsid w:val="001D618C"/>
    <w:rsid w:val="001D638F"/>
    <w:rsid w:val="001D659D"/>
    <w:rsid w:val="001D6826"/>
    <w:rsid w:val="001D6867"/>
    <w:rsid w:val="001D687C"/>
    <w:rsid w:val="001D692B"/>
    <w:rsid w:val="001D694C"/>
    <w:rsid w:val="001D69D4"/>
    <w:rsid w:val="001D6A9D"/>
    <w:rsid w:val="001D6B07"/>
    <w:rsid w:val="001D6C32"/>
    <w:rsid w:val="001D6CF9"/>
    <w:rsid w:val="001D6DCC"/>
    <w:rsid w:val="001D7118"/>
    <w:rsid w:val="001D7122"/>
    <w:rsid w:val="001D7125"/>
    <w:rsid w:val="001D73C7"/>
    <w:rsid w:val="001D7463"/>
    <w:rsid w:val="001D758F"/>
    <w:rsid w:val="001D75F7"/>
    <w:rsid w:val="001D76DD"/>
    <w:rsid w:val="001D7794"/>
    <w:rsid w:val="001D7796"/>
    <w:rsid w:val="001D787C"/>
    <w:rsid w:val="001D7900"/>
    <w:rsid w:val="001D7A85"/>
    <w:rsid w:val="001D7B12"/>
    <w:rsid w:val="001D7CD7"/>
    <w:rsid w:val="001D7DD8"/>
    <w:rsid w:val="001E01A4"/>
    <w:rsid w:val="001E02D1"/>
    <w:rsid w:val="001E0399"/>
    <w:rsid w:val="001E03CA"/>
    <w:rsid w:val="001E04F1"/>
    <w:rsid w:val="001E0627"/>
    <w:rsid w:val="001E0C3B"/>
    <w:rsid w:val="001E0E81"/>
    <w:rsid w:val="001E1003"/>
    <w:rsid w:val="001E131F"/>
    <w:rsid w:val="001E13AE"/>
    <w:rsid w:val="001E1434"/>
    <w:rsid w:val="001E15F2"/>
    <w:rsid w:val="001E160A"/>
    <w:rsid w:val="001E1657"/>
    <w:rsid w:val="001E19BF"/>
    <w:rsid w:val="001E1B31"/>
    <w:rsid w:val="001E1C99"/>
    <w:rsid w:val="001E1DDE"/>
    <w:rsid w:val="001E1F89"/>
    <w:rsid w:val="001E2103"/>
    <w:rsid w:val="001E2154"/>
    <w:rsid w:val="001E2216"/>
    <w:rsid w:val="001E2341"/>
    <w:rsid w:val="001E2441"/>
    <w:rsid w:val="001E2564"/>
    <w:rsid w:val="001E2565"/>
    <w:rsid w:val="001E2A6A"/>
    <w:rsid w:val="001E2B20"/>
    <w:rsid w:val="001E3191"/>
    <w:rsid w:val="001E3286"/>
    <w:rsid w:val="001E33DA"/>
    <w:rsid w:val="001E35A4"/>
    <w:rsid w:val="001E394A"/>
    <w:rsid w:val="001E3991"/>
    <w:rsid w:val="001E39E6"/>
    <w:rsid w:val="001E3A59"/>
    <w:rsid w:val="001E3B6F"/>
    <w:rsid w:val="001E3C63"/>
    <w:rsid w:val="001E3CC5"/>
    <w:rsid w:val="001E3DD6"/>
    <w:rsid w:val="001E4131"/>
    <w:rsid w:val="001E428A"/>
    <w:rsid w:val="001E4395"/>
    <w:rsid w:val="001E4425"/>
    <w:rsid w:val="001E4524"/>
    <w:rsid w:val="001E46D4"/>
    <w:rsid w:val="001E4872"/>
    <w:rsid w:val="001E49BB"/>
    <w:rsid w:val="001E49F9"/>
    <w:rsid w:val="001E4A4C"/>
    <w:rsid w:val="001E4A5F"/>
    <w:rsid w:val="001E4B09"/>
    <w:rsid w:val="001E4CD6"/>
    <w:rsid w:val="001E4F4F"/>
    <w:rsid w:val="001E51E3"/>
    <w:rsid w:val="001E51F1"/>
    <w:rsid w:val="001E523C"/>
    <w:rsid w:val="001E538C"/>
    <w:rsid w:val="001E53B2"/>
    <w:rsid w:val="001E53D6"/>
    <w:rsid w:val="001E5405"/>
    <w:rsid w:val="001E5452"/>
    <w:rsid w:val="001E5510"/>
    <w:rsid w:val="001E567E"/>
    <w:rsid w:val="001E56A6"/>
    <w:rsid w:val="001E57EE"/>
    <w:rsid w:val="001E5B01"/>
    <w:rsid w:val="001E5C2C"/>
    <w:rsid w:val="001E5D3E"/>
    <w:rsid w:val="001E5F1D"/>
    <w:rsid w:val="001E60F7"/>
    <w:rsid w:val="001E6267"/>
    <w:rsid w:val="001E62B4"/>
    <w:rsid w:val="001E6341"/>
    <w:rsid w:val="001E63E5"/>
    <w:rsid w:val="001E6426"/>
    <w:rsid w:val="001E6495"/>
    <w:rsid w:val="001E6534"/>
    <w:rsid w:val="001E66EB"/>
    <w:rsid w:val="001E685B"/>
    <w:rsid w:val="001E6901"/>
    <w:rsid w:val="001E6973"/>
    <w:rsid w:val="001E6A0F"/>
    <w:rsid w:val="001E6BD3"/>
    <w:rsid w:val="001E6CD5"/>
    <w:rsid w:val="001E6D90"/>
    <w:rsid w:val="001E6F31"/>
    <w:rsid w:val="001E6F95"/>
    <w:rsid w:val="001E6FB9"/>
    <w:rsid w:val="001E737F"/>
    <w:rsid w:val="001E73E7"/>
    <w:rsid w:val="001E74F2"/>
    <w:rsid w:val="001E7578"/>
    <w:rsid w:val="001E760F"/>
    <w:rsid w:val="001E7610"/>
    <w:rsid w:val="001E763A"/>
    <w:rsid w:val="001E769D"/>
    <w:rsid w:val="001E7766"/>
    <w:rsid w:val="001E77C3"/>
    <w:rsid w:val="001E784D"/>
    <w:rsid w:val="001E78B2"/>
    <w:rsid w:val="001E7A17"/>
    <w:rsid w:val="001E7B90"/>
    <w:rsid w:val="001E7BAF"/>
    <w:rsid w:val="001E7BEE"/>
    <w:rsid w:val="001E7C2D"/>
    <w:rsid w:val="001E7C35"/>
    <w:rsid w:val="001E7C8B"/>
    <w:rsid w:val="001E7CF8"/>
    <w:rsid w:val="001F0015"/>
    <w:rsid w:val="001F00B8"/>
    <w:rsid w:val="001F01DC"/>
    <w:rsid w:val="001F0315"/>
    <w:rsid w:val="001F034E"/>
    <w:rsid w:val="001F043C"/>
    <w:rsid w:val="001F052D"/>
    <w:rsid w:val="001F063A"/>
    <w:rsid w:val="001F0927"/>
    <w:rsid w:val="001F093D"/>
    <w:rsid w:val="001F0C08"/>
    <w:rsid w:val="001F0C85"/>
    <w:rsid w:val="001F0D7F"/>
    <w:rsid w:val="001F0E78"/>
    <w:rsid w:val="001F0F28"/>
    <w:rsid w:val="001F1046"/>
    <w:rsid w:val="001F1372"/>
    <w:rsid w:val="001F1445"/>
    <w:rsid w:val="001F14D5"/>
    <w:rsid w:val="001F15CE"/>
    <w:rsid w:val="001F16BF"/>
    <w:rsid w:val="001F1AA1"/>
    <w:rsid w:val="001F1CD5"/>
    <w:rsid w:val="001F1CFD"/>
    <w:rsid w:val="001F205B"/>
    <w:rsid w:val="001F2342"/>
    <w:rsid w:val="001F245D"/>
    <w:rsid w:val="001F24C6"/>
    <w:rsid w:val="001F25A5"/>
    <w:rsid w:val="001F27B0"/>
    <w:rsid w:val="001F28AD"/>
    <w:rsid w:val="001F29B9"/>
    <w:rsid w:val="001F2ABF"/>
    <w:rsid w:val="001F2BBB"/>
    <w:rsid w:val="001F2DDE"/>
    <w:rsid w:val="001F2F4E"/>
    <w:rsid w:val="001F326A"/>
    <w:rsid w:val="001F3577"/>
    <w:rsid w:val="001F382B"/>
    <w:rsid w:val="001F38A5"/>
    <w:rsid w:val="001F38AD"/>
    <w:rsid w:val="001F3947"/>
    <w:rsid w:val="001F397E"/>
    <w:rsid w:val="001F39F6"/>
    <w:rsid w:val="001F3AAE"/>
    <w:rsid w:val="001F3B2D"/>
    <w:rsid w:val="001F3CEC"/>
    <w:rsid w:val="001F3D86"/>
    <w:rsid w:val="001F3D8C"/>
    <w:rsid w:val="001F4092"/>
    <w:rsid w:val="001F4158"/>
    <w:rsid w:val="001F41D8"/>
    <w:rsid w:val="001F4201"/>
    <w:rsid w:val="001F4221"/>
    <w:rsid w:val="001F431C"/>
    <w:rsid w:val="001F43D0"/>
    <w:rsid w:val="001F4704"/>
    <w:rsid w:val="001F4719"/>
    <w:rsid w:val="001F4977"/>
    <w:rsid w:val="001F4BBA"/>
    <w:rsid w:val="001F4BF0"/>
    <w:rsid w:val="001F4D1B"/>
    <w:rsid w:val="001F4DBE"/>
    <w:rsid w:val="001F4FC5"/>
    <w:rsid w:val="001F4FDB"/>
    <w:rsid w:val="001F5410"/>
    <w:rsid w:val="001F5476"/>
    <w:rsid w:val="001F553C"/>
    <w:rsid w:val="001F5550"/>
    <w:rsid w:val="001F58AE"/>
    <w:rsid w:val="001F5AF8"/>
    <w:rsid w:val="001F5C61"/>
    <w:rsid w:val="001F5EFF"/>
    <w:rsid w:val="001F5FF7"/>
    <w:rsid w:val="001F6141"/>
    <w:rsid w:val="001F6151"/>
    <w:rsid w:val="001F6296"/>
    <w:rsid w:val="001F6351"/>
    <w:rsid w:val="001F640F"/>
    <w:rsid w:val="001F64AC"/>
    <w:rsid w:val="001F64AE"/>
    <w:rsid w:val="001F64B9"/>
    <w:rsid w:val="001F64BD"/>
    <w:rsid w:val="001F658D"/>
    <w:rsid w:val="001F65DE"/>
    <w:rsid w:val="001F6827"/>
    <w:rsid w:val="001F6961"/>
    <w:rsid w:val="001F6AAB"/>
    <w:rsid w:val="001F6C7E"/>
    <w:rsid w:val="001F6CE4"/>
    <w:rsid w:val="001F6E40"/>
    <w:rsid w:val="001F6EC2"/>
    <w:rsid w:val="001F6F31"/>
    <w:rsid w:val="001F7032"/>
    <w:rsid w:val="001F713A"/>
    <w:rsid w:val="001F7323"/>
    <w:rsid w:val="001F73F7"/>
    <w:rsid w:val="001F750F"/>
    <w:rsid w:val="001F7755"/>
    <w:rsid w:val="001F7938"/>
    <w:rsid w:val="001F793C"/>
    <w:rsid w:val="001F794D"/>
    <w:rsid w:val="001F7BDF"/>
    <w:rsid w:val="001F7D24"/>
    <w:rsid w:val="001F7D9F"/>
    <w:rsid w:val="00200126"/>
    <w:rsid w:val="002001E6"/>
    <w:rsid w:val="0020021F"/>
    <w:rsid w:val="002002BD"/>
    <w:rsid w:val="00200395"/>
    <w:rsid w:val="002003CA"/>
    <w:rsid w:val="00200418"/>
    <w:rsid w:val="002008DF"/>
    <w:rsid w:val="002009C1"/>
    <w:rsid w:val="00200C25"/>
    <w:rsid w:val="00200D4E"/>
    <w:rsid w:val="00200ED4"/>
    <w:rsid w:val="00200F44"/>
    <w:rsid w:val="00200F6D"/>
    <w:rsid w:val="00201092"/>
    <w:rsid w:val="002011FB"/>
    <w:rsid w:val="00201250"/>
    <w:rsid w:val="00201279"/>
    <w:rsid w:val="002012C2"/>
    <w:rsid w:val="002012D1"/>
    <w:rsid w:val="0020144A"/>
    <w:rsid w:val="00201620"/>
    <w:rsid w:val="00201681"/>
    <w:rsid w:val="002017B0"/>
    <w:rsid w:val="002018B0"/>
    <w:rsid w:val="00201A49"/>
    <w:rsid w:val="00201B4A"/>
    <w:rsid w:val="00201CDE"/>
    <w:rsid w:val="00201D6E"/>
    <w:rsid w:val="00201FB4"/>
    <w:rsid w:val="002020F5"/>
    <w:rsid w:val="002021C1"/>
    <w:rsid w:val="00202252"/>
    <w:rsid w:val="00202276"/>
    <w:rsid w:val="002023D3"/>
    <w:rsid w:val="002025D5"/>
    <w:rsid w:val="0020262B"/>
    <w:rsid w:val="002026CF"/>
    <w:rsid w:val="00202A62"/>
    <w:rsid w:val="00202D9B"/>
    <w:rsid w:val="00202E2C"/>
    <w:rsid w:val="00202EC1"/>
    <w:rsid w:val="00203024"/>
    <w:rsid w:val="00203048"/>
    <w:rsid w:val="00203434"/>
    <w:rsid w:val="002037AE"/>
    <w:rsid w:val="002037C5"/>
    <w:rsid w:val="002039DF"/>
    <w:rsid w:val="00203B42"/>
    <w:rsid w:val="00203BFB"/>
    <w:rsid w:val="00204015"/>
    <w:rsid w:val="0020409F"/>
    <w:rsid w:val="002047A7"/>
    <w:rsid w:val="00204829"/>
    <w:rsid w:val="0020488D"/>
    <w:rsid w:val="00204923"/>
    <w:rsid w:val="00204AB6"/>
    <w:rsid w:val="00204D93"/>
    <w:rsid w:val="00204DF0"/>
    <w:rsid w:val="00204E9C"/>
    <w:rsid w:val="00204EA3"/>
    <w:rsid w:val="00204F24"/>
    <w:rsid w:val="00205183"/>
    <w:rsid w:val="00205221"/>
    <w:rsid w:val="0020522D"/>
    <w:rsid w:val="00205348"/>
    <w:rsid w:val="00205403"/>
    <w:rsid w:val="00205540"/>
    <w:rsid w:val="002055B2"/>
    <w:rsid w:val="0020580B"/>
    <w:rsid w:val="002058C8"/>
    <w:rsid w:val="002059EF"/>
    <w:rsid w:val="00205C1C"/>
    <w:rsid w:val="00205D3B"/>
    <w:rsid w:val="00205D83"/>
    <w:rsid w:val="00205EB0"/>
    <w:rsid w:val="0020660F"/>
    <w:rsid w:val="00206731"/>
    <w:rsid w:val="00206B01"/>
    <w:rsid w:val="00206B87"/>
    <w:rsid w:val="00206BBC"/>
    <w:rsid w:val="00206D6B"/>
    <w:rsid w:val="00207036"/>
    <w:rsid w:val="00207082"/>
    <w:rsid w:val="002070F6"/>
    <w:rsid w:val="00207195"/>
    <w:rsid w:val="002071CD"/>
    <w:rsid w:val="0020723A"/>
    <w:rsid w:val="002073B3"/>
    <w:rsid w:val="0020747E"/>
    <w:rsid w:val="0020759D"/>
    <w:rsid w:val="0020764D"/>
    <w:rsid w:val="00207DE7"/>
    <w:rsid w:val="00207EC2"/>
    <w:rsid w:val="00207F92"/>
    <w:rsid w:val="00207FBC"/>
    <w:rsid w:val="00210199"/>
    <w:rsid w:val="0021047C"/>
    <w:rsid w:val="00210493"/>
    <w:rsid w:val="00210580"/>
    <w:rsid w:val="00210640"/>
    <w:rsid w:val="002107A5"/>
    <w:rsid w:val="0021091E"/>
    <w:rsid w:val="00210C3D"/>
    <w:rsid w:val="00210D41"/>
    <w:rsid w:val="00210E5A"/>
    <w:rsid w:val="00210F51"/>
    <w:rsid w:val="00210F5E"/>
    <w:rsid w:val="00210FD6"/>
    <w:rsid w:val="00211130"/>
    <w:rsid w:val="00211274"/>
    <w:rsid w:val="0021141E"/>
    <w:rsid w:val="00211425"/>
    <w:rsid w:val="002115D2"/>
    <w:rsid w:val="00211646"/>
    <w:rsid w:val="002117BC"/>
    <w:rsid w:val="002119EC"/>
    <w:rsid w:val="00211C1B"/>
    <w:rsid w:val="00211F9F"/>
    <w:rsid w:val="00212012"/>
    <w:rsid w:val="002121A4"/>
    <w:rsid w:val="002121C8"/>
    <w:rsid w:val="0021232A"/>
    <w:rsid w:val="0021254E"/>
    <w:rsid w:val="00212587"/>
    <w:rsid w:val="002128D6"/>
    <w:rsid w:val="00212C9A"/>
    <w:rsid w:val="00212CDB"/>
    <w:rsid w:val="00212DB9"/>
    <w:rsid w:val="00212DCB"/>
    <w:rsid w:val="00212FCE"/>
    <w:rsid w:val="00213083"/>
    <w:rsid w:val="00213139"/>
    <w:rsid w:val="002133CE"/>
    <w:rsid w:val="00213443"/>
    <w:rsid w:val="00213489"/>
    <w:rsid w:val="00213634"/>
    <w:rsid w:val="00213711"/>
    <w:rsid w:val="00213753"/>
    <w:rsid w:val="0021385C"/>
    <w:rsid w:val="00213ABA"/>
    <w:rsid w:val="00213BDA"/>
    <w:rsid w:val="00213CAD"/>
    <w:rsid w:val="00213F09"/>
    <w:rsid w:val="00214400"/>
    <w:rsid w:val="002144A5"/>
    <w:rsid w:val="00214531"/>
    <w:rsid w:val="0021472A"/>
    <w:rsid w:val="00214801"/>
    <w:rsid w:val="0021484A"/>
    <w:rsid w:val="00214B8E"/>
    <w:rsid w:val="00214CB9"/>
    <w:rsid w:val="00214E6F"/>
    <w:rsid w:val="00214F5C"/>
    <w:rsid w:val="00214F75"/>
    <w:rsid w:val="002151AD"/>
    <w:rsid w:val="002151EA"/>
    <w:rsid w:val="0021524C"/>
    <w:rsid w:val="00215264"/>
    <w:rsid w:val="002158D9"/>
    <w:rsid w:val="00215921"/>
    <w:rsid w:val="00215C34"/>
    <w:rsid w:val="00215F2E"/>
    <w:rsid w:val="00215F36"/>
    <w:rsid w:val="00216121"/>
    <w:rsid w:val="00216280"/>
    <w:rsid w:val="002162C0"/>
    <w:rsid w:val="002164E3"/>
    <w:rsid w:val="00216527"/>
    <w:rsid w:val="0021660E"/>
    <w:rsid w:val="00216782"/>
    <w:rsid w:val="002168F0"/>
    <w:rsid w:val="00216C2A"/>
    <w:rsid w:val="00216C50"/>
    <w:rsid w:val="00216D52"/>
    <w:rsid w:val="00216E03"/>
    <w:rsid w:val="00216F92"/>
    <w:rsid w:val="002171ED"/>
    <w:rsid w:val="00217486"/>
    <w:rsid w:val="002175A5"/>
    <w:rsid w:val="002176F6"/>
    <w:rsid w:val="00217767"/>
    <w:rsid w:val="002177BB"/>
    <w:rsid w:val="00217B42"/>
    <w:rsid w:val="00217C83"/>
    <w:rsid w:val="00217CC0"/>
    <w:rsid w:val="00217CDF"/>
    <w:rsid w:val="00217E87"/>
    <w:rsid w:val="00217F42"/>
    <w:rsid w:val="0021AFAA"/>
    <w:rsid w:val="00220016"/>
    <w:rsid w:val="00220104"/>
    <w:rsid w:val="0022011D"/>
    <w:rsid w:val="00220161"/>
    <w:rsid w:val="00220453"/>
    <w:rsid w:val="00220477"/>
    <w:rsid w:val="0022073A"/>
    <w:rsid w:val="0022089C"/>
    <w:rsid w:val="002208AD"/>
    <w:rsid w:val="00220938"/>
    <w:rsid w:val="00220C3D"/>
    <w:rsid w:val="00221649"/>
    <w:rsid w:val="0022174A"/>
    <w:rsid w:val="002217EF"/>
    <w:rsid w:val="002218A2"/>
    <w:rsid w:val="00221AA8"/>
    <w:rsid w:val="00221B47"/>
    <w:rsid w:val="00221C52"/>
    <w:rsid w:val="0022200A"/>
    <w:rsid w:val="00222152"/>
    <w:rsid w:val="00222522"/>
    <w:rsid w:val="002225FB"/>
    <w:rsid w:val="002226C1"/>
    <w:rsid w:val="002226DC"/>
    <w:rsid w:val="00222895"/>
    <w:rsid w:val="002228E4"/>
    <w:rsid w:val="002228F0"/>
    <w:rsid w:val="00222931"/>
    <w:rsid w:val="00222AAE"/>
    <w:rsid w:val="00222BBE"/>
    <w:rsid w:val="00222BC6"/>
    <w:rsid w:val="00222BC7"/>
    <w:rsid w:val="00222C11"/>
    <w:rsid w:val="00222C32"/>
    <w:rsid w:val="0022308D"/>
    <w:rsid w:val="002231B8"/>
    <w:rsid w:val="002232D3"/>
    <w:rsid w:val="002234F3"/>
    <w:rsid w:val="0022351F"/>
    <w:rsid w:val="00223682"/>
    <w:rsid w:val="00223726"/>
    <w:rsid w:val="002239EA"/>
    <w:rsid w:val="00223B0E"/>
    <w:rsid w:val="00223B70"/>
    <w:rsid w:val="00223C74"/>
    <w:rsid w:val="00223E05"/>
    <w:rsid w:val="00223E3C"/>
    <w:rsid w:val="00223F7D"/>
    <w:rsid w:val="002240C5"/>
    <w:rsid w:val="00224158"/>
    <w:rsid w:val="002242B4"/>
    <w:rsid w:val="00224399"/>
    <w:rsid w:val="002243C3"/>
    <w:rsid w:val="002243D1"/>
    <w:rsid w:val="002245AD"/>
    <w:rsid w:val="00224605"/>
    <w:rsid w:val="00224709"/>
    <w:rsid w:val="002248BB"/>
    <w:rsid w:val="00224954"/>
    <w:rsid w:val="00224A73"/>
    <w:rsid w:val="00224CC4"/>
    <w:rsid w:val="00224CD9"/>
    <w:rsid w:val="00224D42"/>
    <w:rsid w:val="00225029"/>
    <w:rsid w:val="00225152"/>
    <w:rsid w:val="002252C4"/>
    <w:rsid w:val="002252D0"/>
    <w:rsid w:val="0022542D"/>
    <w:rsid w:val="002255E5"/>
    <w:rsid w:val="002256C3"/>
    <w:rsid w:val="002257FA"/>
    <w:rsid w:val="00225840"/>
    <w:rsid w:val="00225ABF"/>
    <w:rsid w:val="00225C3B"/>
    <w:rsid w:val="00225D80"/>
    <w:rsid w:val="00226286"/>
    <w:rsid w:val="002264BE"/>
    <w:rsid w:val="00226800"/>
    <w:rsid w:val="0022682F"/>
    <w:rsid w:val="002269A7"/>
    <w:rsid w:val="00226A32"/>
    <w:rsid w:val="00226C7D"/>
    <w:rsid w:val="00226E6A"/>
    <w:rsid w:val="0022737D"/>
    <w:rsid w:val="002274FE"/>
    <w:rsid w:val="00227620"/>
    <w:rsid w:val="00227704"/>
    <w:rsid w:val="002279EA"/>
    <w:rsid w:val="00227CA8"/>
    <w:rsid w:val="00227CBA"/>
    <w:rsid w:val="00227E6C"/>
    <w:rsid w:val="00227EAA"/>
    <w:rsid w:val="00230101"/>
    <w:rsid w:val="0023033D"/>
    <w:rsid w:val="002304DF"/>
    <w:rsid w:val="0023052C"/>
    <w:rsid w:val="0023055B"/>
    <w:rsid w:val="002305E9"/>
    <w:rsid w:val="00230702"/>
    <w:rsid w:val="00230748"/>
    <w:rsid w:val="002308F6"/>
    <w:rsid w:val="00230964"/>
    <w:rsid w:val="00230B8A"/>
    <w:rsid w:val="00230D01"/>
    <w:rsid w:val="00230D34"/>
    <w:rsid w:val="00230F0B"/>
    <w:rsid w:val="00230FBF"/>
    <w:rsid w:val="002311CE"/>
    <w:rsid w:val="00231319"/>
    <w:rsid w:val="002314BA"/>
    <w:rsid w:val="00231614"/>
    <w:rsid w:val="002317FC"/>
    <w:rsid w:val="002318CE"/>
    <w:rsid w:val="002318D7"/>
    <w:rsid w:val="00231B6B"/>
    <w:rsid w:val="00231C65"/>
    <w:rsid w:val="00231D9F"/>
    <w:rsid w:val="00231F7F"/>
    <w:rsid w:val="0023207B"/>
    <w:rsid w:val="00232120"/>
    <w:rsid w:val="002321A9"/>
    <w:rsid w:val="00232251"/>
    <w:rsid w:val="0023248B"/>
    <w:rsid w:val="002325D3"/>
    <w:rsid w:val="002327D9"/>
    <w:rsid w:val="00232939"/>
    <w:rsid w:val="00232A01"/>
    <w:rsid w:val="00232B9A"/>
    <w:rsid w:val="00232BA6"/>
    <w:rsid w:val="00232CA6"/>
    <w:rsid w:val="00232CCC"/>
    <w:rsid w:val="00232D6E"/>
    <w:rsid w:val="00232EC3"/>
    <w:rsid w:val="00232EF5"/>
    <w:rsid w:val="00232F56"/>
    <w:rsid w:val="002330BC"/>
    <w:rsid w:val="00233110"/>
    <w:rsid w:val="0023346C"/>
    <w:rsid w:val="002334AE"/>
    <w:rsid w:val="00233626"/>
    <w:rsid w:val="002339E5"/>
    <w:rsid w:val="00233B09"/>
    <w:rsid w:val="00233BA1"/>
    <w:rsid w:val="00233CBA"/>
    <w:rsid w:val="00233F47"/>
    <w:rsid w:val="00233F7B"/>
    <w:rsid w:val="0023430D"/>
    <w:rsid w:val="0023439E"/>
    <w:rsid w:val="002343FA"/>
    <w:rsid w:val="0023483F"/>
    <w:rsid w:val="00234A76"/>
    <w:rsid w:val="00234A7A"/>
    <w:rsid w:val="00234C0C"/>
    <w:rsid w:val="00234C29"/>
    <w:rsid w:val="00234E4B"/>
    <w:rsid w:val="00234F70"/>
    <w:rsid w:val="00235217"/>
    <w:rsid w:val="00235229"/>
    <w:rsid w:val="002352EF"/>
    <w:rsid w:val="002352F5"/>
    <w:rsid w:val="0023537F"/>
    <w:rsid w:val="002357FD"/>
    <w:rsid w:val="00235A03"/>
    <w:rsid w:val="00235B45"/>
    <w:rsid w:val="00235C0E"/>
    <w:rsid w:val="00235C7B"/>
    <w:rsid w:val="00235D07"/>
    <w:rsid w:val="00235D65"/>
    <w:rsid w:val="00235E0A"/>
    <w:rsid w:val="002360B2"/>
    <w:rsid w:val="00236232"/>
    <w:rsid w:val="0023645F"/>
    <w:rsid w:val="0023661C"/>
    <w:rsid w:val="00236763"/>
    <w:rsid w:val="002367FE"/>
    <w:rsid w:val="0023681F"/>
    <w:rsid w:val="00236825"/>
    <w:rsid w:val="00236938"/>
    <w:rsid w:val="00236955"/>
    <w:rsid w:val="00236A68"/>
    <w:rsid w:val="00236B56"/>
    <w:rsid w:val="00236B6A"/>
    <w:rsid w:val="00236C4E"/>
    <w:rsid w:val="00236D64"/>
    <w:rsid w:val="00236F3A"/>
    <w:rsid w:val="002370BD"/>
    <w:rsid w:val="00237141"/>
    <w:rsid w:val="002372D7"/>
    <w:rsid w:val="00237441"/>
    <w:rsid w:val="0023798D"/>
    <w:rsid w:val="00237AAC"/>
    <w:rsid w:val="00237AE2"/>
    <w:rsid w:val="00237CE9"/>
    <w:rsid w:val="002400C0"/>
    <w:rsid w:val="0024033A"/>
    <w:rsid w:val="002403DD"/>
    <w:rsid w:val="002405FF"/>
    <w:rsid w:val="00240680"/>
    <w:rsid w:val="00240C96"/>
    <w:rsid w:val="00240CD3"/>
    <w:rsid w:val="00240E55"/>
    <w:rsid w:val="00240FAB"/>
    <w:rsid w:val="002410ED"/>
    <w:rsid w:val="002411B0"/>
    <w:rsid w:val="002411E9"/>
    <w:rsid w:val="00241248"/>
    <w:rsid w:val="00241321"/>
    <w:rsid w:val="0024137D"/>
    <w:rsid w:val="002415C6"/>
    <w:rsid w:val="0024163A"/>
    <w:rsid w:val="00241A48"/>
    <w:rsid w:val="00241B75"/>
    <w:rsid w:val="00241BE1"/>
    <w:rsid w:val="00241F76"/>
    <w:rsid w:val="00241F91"/>
    <w:rsid w:val="00242062"/>
    <w:rsid w:val="002424EB"/>
    <w:rsid w:val="00242682"/>
    <w:rsid w:val="002426C5"/>
    <w:rsid w:val="002426FC"/>
    <w:rsid w:val="00242755"/>
    <w:rsid w:val="00242892"/>
    <w:rsid w:val="002428A6"/>
    <w:rsid w:val="00242BE3"/>
    <w:rsid w:val="00242C43"/>
    <w:rsid w:val="00242C90"/>
    <w:rsid w:val="00242E00"/>
    <w:rsid w:val="00242E43"/>
    <w:rsid w:val="00242E4D"/>
    <w:rsid w:val="00243034"/>
    <w:rsid w:val="0024305F"/>
    <w:rsid w:val="002431B4"/>
    <w:rsid w:val="0024341A"/>
    <w:rsid w:val="0024348C"/>
    <w:rsid w:val="002434E3"/>
    <w:rsid w:val="002436C7"/>
    <w:rsid w:val="00243AD5"/>
    <w:rsid w:val="00243DF4"/>
    <w:rsid w:val="00243E0A"/>
    <w:rsid w:val="00243F48"/>
    <w:rsid w:val="00243FA1"/>
    <w:rsid w:val="00243FBF"/>
    <w:rsid w:val="00244441"/>
    <w:rsid w:val="002444CC"/>
    <w:rsid w:val="002444E7"/>
    <w:rsid w:val="00244B57"/>
    <w:rsid w:val="00244D58"/>
    <w:rsid w:val="00244DCF"/>
    <w:rsid w:val="00244F97"/>
    <w:rsid w:val="0024527D"/>
    <w:rsid w:val="002454F6"/>
    <w:rsid w:val="00245570"/>
    <w:rsid w:val="002458E1"/>
    <w:rsid w:val="00245C61"/>
    <w:rsid w:val="00245CCF"/>
    <w:rsid w:val="00245D84"/>
    <w:rsid w:val="00245D9D"/>
    <w:rsid w:val="00245DFC"/>
    <w:rsid w:val="0024603D"/>
    <w:rsid w:val="0024615C"/>
    <w:rsid w:val="00246377"/>
    <w:rsid w:val="0024656B"/>
    <w:rsid w:val="0024671A"/>
    <w:rsid w:val="00246727"/>
    <w:rsid w:val="00246A0B"/>
    <w:rsid w:val="00246AF7"/>
    <w:rsid w:val="00246BCA"/>
    <w:rsid w:val="00246BDE"/>
    <w:rsid w:val="00246CDF"/>
    <w:rsid w:val="00246E26"/>
    <w:rsid w:val="00246E2E"/>
    <w:rsid w:val="00247678"/>
    <w:rsid w:val="00247918"/>
    <w:rsid w:val="002479DE"/>
    <w:rsid w:val="00247B68"/>
    <w:rsid w:val="00247C98"/>
    <w:rsid w:val="00247CD8"/>
    <w:rsid w:val="00247DCA"/>
    <w:rsid w:val="00247F11"/>
    <w:rsid w:val="002500A6"/>
    <w:rsid w:val="0025010A"/>
    <w:rsid w:val="0025013D"/>
    <w:rsid w:val="002502B8"/>
    <w:rsid w:val="00250336"/>
    <w:rsid w:val="0025036E"/>
    <w:rsid w:val="00250437"/>
    <w:rsid w:val="002504CD"/>
    <w:rsid w:val="002506C5"/>
    <w:rsid w:val="0025076C"/>
    <w:rsid w:val="0025085D"/>
    <w:rsid w:val="002508F0"/>
    <w:rsid w:val="00250ACA"/>
    <w:rsid w:val="00250B37"/>
    <w:rsid w:val="00250C35"/>
    <w:rsid w:val="00250C78"/>
    <w:rsid w:val="00250E8A"/>
    <w:rsid w:val="0025105B"/>
    <w:rsid w:val="00251161"/>
    <w:rsid w:val="0025165F"/>
    <w:rsid w:val="00251678"/>
    <w:rsid w:val="0025173C"/>
    <w:rsid w:val="00251958"/>
    <w:rsid w:val="00251973"/>
    <w:rsid w:val="00251A18"/>
    <w:rsid w:val="00251B64"/>
    <w:rsid w:val="00251C40"/>
    <w:rsid w:val="00251D64"/>
    <w:rsid w:val="00252055"/>
    <w:rsid w:val="002525A1"/>
    <w:rsid w:val="002525B7"/>
    <w:rsid w:val="002526B5"/>
    <w:rsid w:val="00252AF8"/>
    <w:rsid w:val="00252C1D"/>
    <w:rsid w:val="00252FF0"/>
    <w:rsid w:val="00253000"/>
    <w:rsid w:val="002530E6"/>
    <w:rsid w:val="0025351E"/>
    <w:rsid w:val="0025364C"/>
    <w:rsid w:val="00253718"/>
    <w:rsid w:val="00253756"/>
    <w:rsid w:val="002537AA"/>
    <w:rsid w:val="00253936"/>
    <w:rsid w:val="00253942"/>
    <w:rsid w:val="00253ABB"/>
    <w:rsid w:val="00253D1D"/>
    <w:rsid w:val="00253D5E"/>
    <w:rsid w:val="00253F4E"/>
    <w:rsid w:val="00253FE9"/>
    <w:rsid w:val="0025415A"/>
    <w:rsid w:val="002541E7"/>
    <w:rsid w:val="00254587"/>
    <w:rsid w:val="002545B9"/>
    <w:rsid w:val="0025469F"/>
    <w:rsid w:val="00254920"/>
    <w:rsid w:val="00254A57"/>
    <w:rsid w:val="00254B63"/>
    <w:rsid w:val="00254B95"/>
    <w:rsid w:val="00254CE9"/>
    <w:rsid w:val="00254D67"/>
    <w:rsid w:val="00254E07"/>
    <w:rsid w:val="00254E71"/>
    <w:rsid w:val="002550E0"/>
    <w:rsid w:val="0025513D"/>
    <w:rsid w:val="00255531"/>
    <w:rsid w:val="002556D1"/>
    <w:rsid w:val="00255838"/>
    <w:rsid w:val="0025594E"/>
    <w:rsid w:val="00255978"/>
    <w:rsid w:val="002559E9"/>
    <w:rsid w:val="00255A5F"/>
    <w:rsid w:val="00255AF9"/>
    <w:rsid w:val="00255CF3"/>
    <w:rsid w:val="00255E2C"/>
    <w:rsid w:val="00255F11"/>
    <w:rsid w:val="00255F7B"/>
    <w:rsid w:val="00255FFE"/>
    <w:rsid w:val="00256098"/>
    <w:rsid w:val="002560DC"/>
    <w:rsid w:val="00256142"/>
    <w:rsid w:val="00256247"/>
    <w:rsid w:val="00256507"/>
    <w:rsid w:val="00256603"/>
    <w:rsid w:val="00256754"/>
    <w:rsid w:val="002568ED"/>
    <w:rsid w:val="00256975"/>
    <w:rsid w:val="00256BE0"/>
    <w:rsid w:val="00256C01"/>
    <w:rsid w:val="002570AF"/>
    <w:rsid w:val="0025748E"/>
    <w:rsid w:val="002575F9"/>
    <w:rsid w:val="002576E5"/>
    <w:rsid w:val="0025781F"/>
    <w:rsid w:val="002578A4"/>
    <w:rsid w:val="002578CC"/>
    <w:rsid w:val="00257C8F"/>
    <w:rsid w:val="00257D11"/>
    <w:rsid w:val="00257D4E"/>
    <w:rsid w:val="00257DE3"/>
    <w:rsid w:val="00257E15"/>
    <w:rsid w:val="00260084"/>
    <w:rsid w:val="00260109"/>
    <w:rsid w:val="0026016E"/>
    <w:rsid w:val="0026019F"/>
    <w:rsid w:val="00260340"/>
    <w:rsid w:val="00260468"/>
    <w:rsid w:val="00260633"/>
    <w:rsid w:val="0026064C"/>
    <w:rsid w:val="002607C3"/>
    <w:rsid w:val="00260839"/>
    <w:rsid w:val="00260993"/>
    <w:rsid w:val="00260A20"/>
    <w:rsid w:val="00260A22"/>
    <w:rsid w:val="00260CD7"/>
    <w:rsid w:val="00260F75"/>
    <w:rsid w:val="00261067"/>
    <w:rsid w:val="002612A0"/>
    <w:rsid w:val="002613F3"/>
    <w:rsid w:val="00261435"/>
    <w:rsid w:val="002616A3"/>
    <w:rsid w:val="002618CE"/>
    <w:rsid w:val="00261960"/>
    <w:rsid w:val="00261A56"/>
    <w:rsid w:val="00261A7D"/>
    <w:rsid w:val="00261CA3"/>
    <w:rsid w:val="00261D63"/>
    <w:rsid w:val="00261DEC"/>
    <w:rsid w:val="00261EB1"/>
    <w:rsid w:val="00261F82"/>
    <w:rsid w:val="0026228A"/>
    <w:rsid w:val="00262538"/>
    <w:rsid w:val="002626FA"/>
    <w:rsid w:val="002627F0"/>
    <w:rsid w:val="00262828"/>
    <w:rsid w:val="0026290C"/>
    <w:rsid w:val="00262994"/>
    <w:rsid w:val="002629CB"/>
    <w:rsid w:val="00262A9B"/>
    <w:rsid w:val="00262BC7"/>
    <w:rsid w:val="00262BD6"/>
    <w:rsid w:val="00262C0E"/>
    <w:rsid w:val="00263090"/>
    <w:rsid w:val="002631DC"/>
    <w:rsid w:val="002632F4"/>
    <w:rsid w:val="002635FA"/>
    <w:rsid w:val="0026366B"/>
    <w:rsid w:val="002636D7"/>
    <w:rsid w:val="002638C2"/>
    <w:rsid w:val="00263A80"/>
    <w:rsid w:val="00263B6A"/>
    <w:rsid w:val="00263C9B"/>
    <w:rsid w:val="00263FE1"/>
    <w:rsid w:val="002640D9"/>
    <w:rsid w:val="0026451D"/>
    <w:rsid w:val="002645C5"/>
    <w:rsid w:val="0026462B"/>
    <w:rsid w:val="00264738"/>
    <w:rsid w:val="0026482F"/>
    <w:rsid w:val="00264887"/>
    <w:rsid w:val="00264B41"/>
    <w:rsid w:val="00264C0E"/>
    <w:rsid w:val="00264D5F"/>
    <w:rsid w:val="00264E2B"/>
    <w:rsid w:val="00264FAB"/>
    <w:rsid w:val="0026530E"/>
    <w:rsid w:val="00265429"/>
    <w:rsid w:val="0026571C"/>
    <w:rsid w:val="00265A4D"/>
    <w:rsid w:val="00265D26"/>
    <w:rsid w:val="00265D9B"/>
    <w:rsid w:val="00265E73"/>
    <w:rsid w:val="00265FCC"/>
    <w:rsid w:val="00265FEA"/>
    <w:rsid w:val="00266065"/>
    <w:rsid w:val="002660D0"/>
    <w:rsid w:val="0026610E"/>
    <w:rsid w:val="002664A9"/>
    <w:rsid w:val="00266518"/>
    <w:rsid w:val="0026655A"/>
    <w:rsid w:val="0026656B"/>
    <w:rsid w:val="0026658D"/>
    <w:rsid w:val="002666B7"/>
    <w:rsid w:val="002666F7"/>
    <w:rsid w:val="0026695B"/>
    <w:rsid w:val="00266A0A"/>
    <w:rsid w:val="00266A22"/>
    <w:rsid w:val="00266A6F"/>
    <w:rsid w:val="00266ACE"/>
    <w:rsid w:val="00266C50"/>
    <w:rsid w:val="00266C61"/>
    <w:rsid w:val="00266DA0"/>
    <w:rsid w:val="00266E02"/>
    <w:rsid w:val="00266F6B"/>
    <w:rsid w:val="00267481"/>
    <w:rsid w:val="002674DD"/>
    <w:rsid w:val="00267A22"/>
    <w:rsid w:val="00267A88"/>
    <w:rsid w:val="00267BAA"/>
    <w:rsid w:val="00267C15"/>
    <w:rsid w:val="00267C57"/>
    <w:rsid w:val="00267C5C"/>
    <w:rsid w:val="0027001B"/>
    <w:rsid w:val="002703C8"/>
    <w:rsid w:val="00270470"/>
    <w:rsid w:val="00270596"/>
    <w:rsid w:val="002705FE"/>
    <w:rsid w:val="0027066A"/>
    <w:rsid w:val="0027066C"/>
    <w:rsid w:val="0027068B"/>
    <w:rsid w:val="00270AF3"/>
    <w:rsid w:val="00270CB3"/>
    <w:rsid w:val="00270D86"/>
    <w:rsid w:val="00270FEF"/>
    <w:rsid w:val="002710E5"/>
    <w:rsid w:val="00271436"/>
    <w:rsid w:val="0027158E"/>
    <w:rsid w:val="00271740"/>
    <w:rsid w:val="002717D1"/>
    <w:rsid w:val="002717E9"/>
    <w:rsid w:val="00271874"/>
    <w:rsid w:val="00271C49"/>
    <w:rsid w:val="00271DE2"/>
    <w:rsid w:val="0027207E"/>
    <w:rsid w:val="0027217C"/>
    <w:rsid w:val="00272185"/>
    <w:rsid w:val="00272312"/>
    <w:rsid w:val="0027270B"/>
    <w:rsid w:val="002728D8"/>
    <w:rsid w:val="00272A53"/>
    <w:rsid w:val="00272B62"/>
    <w:rsid w:val="00272C56"/>
    <w:rsid w:val="00272CAE"/>
    <w:rsid w:val="00272E64"/>
    <w:rsid w:val="00273002"/>
    <w:rsid w:val="0027315A"/>
    <w:rsid w:val="00273199"/>
    <w:rsid w:val="002732C5"/>
    <w:rsid w:val="002733D6"/>
    <w:rsid w:val="0027362A"/>
    <w:rsid w:val="00273630"/>
    <w:rsid w:val="0027379E"/>
    <w:rsid w:val="00273A99"/>
    <w:rsid w:val="00273ABC"/>
    <w:rsid w:val="00273AD6"/>
    <w:rsid w:val="00273FCD"/>
    <w:rsid w:val="0027405A"/>
    <w:rsid w:val="00274103"/>
    <w:rsid w:val="00274344"/>
    <w:rsid w:val="0027443F"/>
    <w:rsid w:val="002744B0"/>
    <w:rsid w:val="0027473F"/>
    <w:rsid w:val="002749B7"/>
    <w:rsid w:val="00274A8F"/>
    <w:rsid w:val="00274B51"/>
    <w:rsid w:val="00274B71"/>
    <w:rsid w:val="00274E41"/>
    <w:rsid w:val="002750DE"/>
    <w:rsid w:val="0027510E"/>
    <w:rsid w:val="00275181"/>
    <w:rsid w:val="002751EE"/>
    <w:rsid w:val="00275377"/>
    <w:rsid w:val="00275503"/>
    <w:rsid w:val="00275517"/>
    <w:rsid w:val="0027554D"/>
    <w:rsid w:val="00275681"/>
    <w:rsid w:val="00275B65"/>
    <w:rsid w:val="00275BAC"/>
    <w:rsid w:val="00275C0F"/>
    <w:rsid w:val="00275E9F"/>
    <w:rsid w:val="00275FBC"/>
    <w:rsid w:val="0027609A"/>
    <w:rsid w:val="00276113"/>
    <w:rsid w:val="002761B5"/>
    <w:rsid w:val="002761D3"/>
    <w:rsid w:val="002761EE"/>
    <w:rsid w:val="0027627F"/>
    <w:rsid w:val="002763AB"/>
    <w:rsid w:val="002764E0"/>
    <w:rsid w:val="00276558"/>
    <w:rsid w:val="002765FA"/>
    <w:rsid w:val="0027681B"/>
    <w:rsid w:val="00276830"/>
    <w:rsid w:val="002769AD"/>
    <w:rsid w:val="00276B24"/>
    <w:rsid w:val="00276BCA"/>
    <w:rsid w:val="00276BE2"/>
    <w:rsid w:val="00276CA9"/>
    <w:rsid w:val="00276EE7"/>
    <w:rsid w:val="0027701C"/>
    <w:rsid w:val="00277174"/>
    <w:rsid w:val="002775B8"/>
    <w:rsid w:val="002776FE"/>
    <w:rsid w:val="002777C2"/>
    <w:rsid w:val="002779D8"/>
    <w:rsid w:val="00277AEA"/>
    <w:rsid w:val="00277BAE"/>
    <w:rsid w:val="00277D65"/>
    <w:rsid w:val="00277F73"/>
    <w:rsid w:val="00277FD6"/>
    <w:rsid w:val="002800ED"/>
    <w:rsid w:val="00280114"/>
    <w:rsid w:val="00280155"/>
    <w:rsid w:val="002801D2"/>
    <w:rsid w:val="00280233"/>
    <w:rsid w:val="002802D8"/>
    <w:rsid w:val="002803D9"/>
    <w:rsid w:val="00280431"/>
    <w:rsid w:val="002805FE"/>
    <w:rsid w:val="0028080F"/>
    <w:rsid w:val="002808D7"/>
    <w:rsid w:val="00280B50"/>
    <w:rsid w:val="00280BDB"/>
    <w:rsid w:val="00280C6A"/>
    <w:rsid w:val="00280F92"/>
    <w:rsid w:val="002812D2"/>
    <w:rsid w:val="0028131B"/>
    <w:rsid w:val="00281382"/>
    <w:rsid w:val="002813FE"/>
    <w:rsid w:val="002814D4"/>
    <w:rsid w:val="0028175D"/>
    <w:rsid w:val="00281838"/>
    <w:rsid w:val="00281975"/>
    <w:rsid w:val="002819C8"/>
    <w:rsid w:val="002819E4"/>
    <w:rsid w:val="00281A74"/>
    <w:rsid w:val="00281B04"/>
    <w:rsid w:val="00281FA3"/>
    <w:rsid w:val="00282018"/>
    <w:rsid w:val="0028211B"/>
    <w:rsid w:val="002823AF"/>
    <w:rsid w:val="00282468"/>
    <w:rsid w:val="002824BB"/>
    <w:rsid w:val="0028261E"/>
    <w:rsid w:val="00282871"/>
    <w:rsid w:val="00282B43"/>
    <w:rsid w:val="00282E81"/>
    <w:rsid w:val="00282EC7"/>
    <w:rsid w:val="002832E8"/>
    <w:rsid w:val="002834DE"/>
    <w:rsid w:val="002836DC"/>
    <w:rsid w:val="00283755"/>
    <w:rsid w:val="0028378A"/>
    <w:rsid w:val="00283857"/>
    <w:rsid w:val="00283A81"/>
    <w:rsid w:val="00283AC6"/>
    <w:rsid w:val="00283C9D"/>
    <w:rsid w:val="00283F8F"/>
    <w:rsid w:val="002842A4"/>
    <w:rsid w:val="00284511"/>
    <w:rsid w:val="00284512"/>
    <w:rsid w:val="0028493F"/>
    <w:rsid w:val="00284AF5"/>
    <w:rsid w:val="00284C29"/>
    <w:rsid w:val="00284CA0"/>
    <w:rsid w:val="00284EA0"/>
    <w:rsid w:val="00284EFF"/>
    <w:rsid w:val="002850A2"/>
    <w:rsid w:val="0028517A"/>
    <w:rsid w:val="002855A1"/>
    <w:rsid w:val="00285616"/>
    <w:rsid w:val="00285843"/>
    <w:rsid w:val="00285854"/>
    <w:rsid w:val="00285882"/>
    <w:rsid w:val="00285883"/>
    <w:rsid w:val="0028595C"/>
    <w:rsid w:val="00285B2C"/>
    <w:rsid w:val="00285C43"/>
    <w:rsid w:val="00285C95"/>
    <w:rsid w:val="00285D4C"/>
    <w:rsid w:val="00285D88"/>
    <w:rsid w:val="0028600F"/>
    <w:rsid w:val="002860AF"/>
    <w:rsid w:val="002861D9"/>
    <w:rsid w:val="0028629E"/>
    <w:rsid w:val="002863A9"/>
    <w:rsid w:val="002864E7"/>
    <w:rsid w:val="0028662C"/>
    <w:rsid w:val="0028664D"/>
    <w:rsid w:val="002868EB"/>
    <w:rsid w:val="00286A61"/>
    <w:rsid w:val="00286ABF"/>
    <w:rsid w:val="00286B68"/>
    <w:rsid w:val="00286BAD"/>
    <w:rsid w:val="00286C68"/>
    <w:rsid w:val="00286C7D"/>
    <w:rsid w:val="00286D49"/>
    <w:rsid w:val="00286FC8"/>
    <w:rsid w:val="00287008"/>
    <w:rsid w:val="00287013"/>
    <w:rsid w:val="0028732A"/>
    <w:rsid w:val="0028733A"/>
    <w:rsid w:val="002873B8"/>
    <w:rsid w:val="00287429"/>
    <w:rsid w:val="00287630"/>
    <w:rsid w:val="0028763E"/>
    <w:rsid w:val="00287BE0"/>
    <w:rsid w:val="00287BE6"/>
    <w:rsid w:val="00287BED"/>
    <w:rsid w:val="00287C15"/>
    <w:rsid w:val="00287D5F"/>
    <w:rsid w:val="00287F8C"/>
    <w:rsid w:val="00290050"/>
    <w:rsid w:val="00290439"/>
    <w:rsid w:val="00290683"/>
    <w:rsid w:val="00290A75"/>
    <w:rsid w:val="00290AED"/>
    <w:rsid w:val="00290E24"/>
    <w:rsid w:val="00291235"/>
    <w:rsid w:val="0029132A"/>
    <w:rsid w:val="0029134B"/>
    <w:rsid w:val="00291464"/>
    <w:rsid w:val="00291491"/>
    <w:rsid w:val="002914F5"/>
    <w:rsid w:val="00291558"/>
    <w:rsid w:val="00291605"/>
    <w:rsid w:val="002916A7"/>
    <w:rsid w:val="00291764"/>
    <w:rsid w:val="002917CD"/>
    <w:rsid w:val="00291A88"/>
    <w:rsid w:val="00291AE7"/>
    <w:rsid w:val="00291B11"/>
    <w:rsid w:val="00291B31"/>
    <w:rsid w:val="00291B46"/>
    <w:rsid w:val="00291D9B"/>
    <w:rsid w:val="00291DCB"/>
    <w:rsid w:val="00291DFF"/>
    <w:rsid w:val="00291F32"/>
    <w:rsid w:val="00291F61"/>
    <w:rsid w:val="00292266"/>
    <w:rsid w:val="00292330"/>
    <w:rsid w:val="002923A4"/>
    <w:rsid w:val="00292677"/>
    <w:rsid w:val="00292722"/>
    <w:rsid w:val="002927FF"/>
    <w:rsid w:val="00292D59"/>
    <w:rsid w:val="00292F75"/>
    <w:rsid w:val="002930F7"/>
    <w:rsid w:val="00293135"/>
    <w:rsid w:val="00293153"/>
    <w:rsid w:val="0029337E"/>
    <w:rsid w:val="002933F3"/>
    <w:rsid w:val="0029340B"/>
    <w:rsid w:val="00293452"/>
    <w:rsid w:val="0029363D"/>
    <w:rsid w:val="0029370F"/>
    <w:rsid w:val="002939FC"/>
    <w:rsid w:val="00293AA5"/>
    <w:rsid w:val="00293B12"/>
    <w:rsid w:val="00293B2F"/>
    <w:rsid w:val="00293D23"/>
    <w:rsid w:val="00293DCB"/>
    <w:rsid w:val="00293E15"/>
    <w:rsid w:val="00293E81"/>
    <w:rsid w:val="00293F98"/>
    <w:rsid w:val="00294038"/>
    <w:rsid w:val="002940ED"/>
    <w:rsid w:val="00294174"/>
    <w:rsid w:val="002941E4"/>
    <w:rsid w:val="002941F9"/>
    <w:rsid w:val="00294C5B"/>
    <w:rsid w:val="00294CB2"/>
    <w:rsid w:val="00294D0E"/>
    <w:rsid w:val="00294E63"/>
    <w:rsid w:val="00294F6E"/>
    <w:rsid w:val="0029505A"/>
    <w:rsid w:val="00295414"/>
    <w:rsid w:val="002955E5"/>
    <w:rsid w:val="002956F3"/>
    <w:rsid w:val="00295763"/>
    <w:rsid w:val="002958E1"/>
    <w:rsid w:val="00295A45"/>
    <w:rsid w:val="00295B58"/>
    <w:rsid w:val="00295DAF"/>
    <w:rsid w:val="00295E3E"/>
    <w:rsid w:val="00295E4E"/>
    <w:rsid w:val="00295FBA"/>
    <w:rsid w:val="002961B9"/>
    <w:rsid w:val="00296216"/>
    <w:rsid w:val="0029663A"/>
    <w:rsid w:val="00296766"/>
    <w:rsid w:val="00296808"/>
    <w:rsid w:val="00296A1E"/>
    <w:rsid w:val="00296BDC"/>
    <w:rsid w:val="00296BDD"/>
    <w:rsid w:val="00296D30"/>
    <w:rsid w:val="00296E36"/>
    <w:rsid w:val="00297140"/>
    <w:rsid w:val="002971B9"/>
    <w:rsid w:val="0029720E"/>
    <w:rsid w:val="00297283"/>
    <w:rsid w:val="002972CA"/>
    <w:rsid w:val="00297442"/>
    <w:rsid w:val="00297486"/>
    <w:rsid w:val="00297534"/>
    <w:rsid w:val="00297958"/>
    <w:rsid w:val="002979B6"/>
    <w:rsid w:val="00297B37"/>
    <w:rsid w:val="00297CCE"/>
    <w:rsid w:val="00297DB8"/>
    <w:rsid w:val="00297DED"/>
    <w:rsid w:val="00297E8B"/>
    <w:rsid w:val="00297ECE"/>
    <w:rsid w:val="00297F35"/>
    <w:rsid w:val="002A0370"/>
    <w:rsid w:val="002A0452"/>
    <w:rsid w:val="002A0473"/>
    <w:rsid w:val="002A0523"/>
    <w:rsid w:val="002A0599"/>
    <w:rsid w:val="002A0772"/>
    <w:rsid w:val="002A07AF"/>
    <w:rsid w:val="002A081B"/>
    <w:rsid w:val="002A0833"/>
    <w:rsid w:val="002A0A3E"/>
    <w:rsid w:val="002A0AAC"/>
    <w:rsid w:val="002A0B89"/>
    <w:rsid w:val="002A10FB"/>
    <w:rsid w:val="002A1509"/>
    <w:rsid w:val="002A16D8"/>
    <w:rsid w:val="002A1AEC"/>
    <w:rsid w:val="002A1C17"/>
    <w:rsid w:val="002A1CDE"/>
    <w:rsid w:val="002A1D73"/>
    <w:rsid w:val="002A1FA9"/>
    <w:rsid w:val="002A1FAA"/>
    <w:rsid w:val="002A2244"/>
    <w:rsid w:val="002A236E"/>
    <w:rsid w:val="002A2414"/>
    <w:rsid w:val="002A24AC"/>
    <w:rsid w:val="002A25CD"/>
    <w:rsid w:val="002A25E6"/>
    <w:rsid w:val="002A2809"/>
    <w:rsid w:val="002A290F"/>
    <w:rsid w:val="002A2981"/>
    <w:rsid w:val="002A29B8"/>
    <w:rsid w:val="002A2CAA"/>
    <w:rsid w:val="002A2FBC"/>
    <w:rsid w:val="002A323F"/>
    <w:rsid w:val="002A3283"/>
    <w:rsid w:val="002A33BA"/>
    <w:rsid w:val="002A3739"/>
    <w:rsid w:val="002A3768"/>
    <w:rsid w:val="002A38DA"/>
    <w:rsid w:val="002A3A8B"/>
    <w:rsid w:val="002A3BB5"/>
    <w:rsid w:val="002A3DA4"/>
    <w:rsid w:val="002A3DBC"/>
    <w:rsid w:val="002A3EC2"/>
    <w:rsid w:val="002A4010"/>
    <w:rsid w:val="002A43AE"/>
    <w:rsid w:val="002A456C"/>
    <w:rsid w:val="002A45B9"/>
    <w:rsid w:val="002A470A"/>
    <w:rsid w:val="002A4774"/>
    <w:rsid w:val="002A49C0"/>
    <w:rsid w:val="002A4A2B"/>
    <w:rsid w:val="002A4DAB"/>
    <w:rsid w:val="002A4F9A"/>
    <w:rsid w:val="002A529B"/>
    <w:rsid w:val="002A53D9"/>
    <w:rsid w:val="002A55BB"/>
    <w:rsid w:val="002A56E8"/>
    <w:rsid w:val="002A57A5"/>
    <w:rsid w:val="002A5B64"/>
    <w:rsid w:val="002A5B73"/>
    <w:rsid w:val="002A5BA9"/>
    <w:rsid w:val="002A6258"/>
    <w:rsid w:val="002A63D3"/>
    <w:rsid w:val="002A65D3"/>
    <w:rsid w:val="002A67FE"/>
    <w:rsid w:val="002A6C3C"/>
    <w:rsid w:val="002A6C5A"/>
    <w:rsid w:val="002A6C70"/>
    <w:rsid w:val="002A6D2D"/>
    <w:rsid w:val="002A6D31"/>
    <w:rsid w:val="002A6D4D"/>
    <w:rsid w:val="002A7063"/>
    <w:rsid w:val="002A721C"/>
    <w:rsid w:val="002A765E"/>
    <w:rsid w:val="002A76F4"/>
    <w:rsid w:val="002A76FB"/>
    <w:rsid w:val="002A7862"/>
    <w:rsid w:val="002A78FB"/>
    <w:rsid w:val="002A793A"/>
    <w:rsid w:val="002A7957"/>
    <w:rsid w:val="002A7C17"/>
    <w:rsid w:val="002A7DCF"/>
    <w:rsid w:val="002A7FE8"/>
    <w:rsid w:val="002A7FFD"/>
    <w:rsid w:val="002B0026"/>
    <w:rsid w:val="002B03B7"/>
    <w:rsid w:val="002B08B9"/>
    <w:rsid w:val="002B09EB"/>
    <w:rsid w:val="002B0BA6"/>
    <w:rsid w:val="002B0CCE"/>
    <w:rsid w:val="002B0DC8"/>
    <w:rsid w:val="002B0E8F"/>
    <w:rsid w:val="002B10E8"/>
    <w:rsid w:val="002B1433"/>
    <w:rsid w:val="002B152C"/>
    <w:rsid w:val="002B171A"/>
    <w:rsid w:val="002B175E"/>
    <w:rsid w:val="002B1BCF"/>
    <w:rsid w:val="002B1C69"/>
    <w:rsid w:val="002B1CA8"/>
    <w:rsid w:val="002B1E57"/>
    <w:rsid w:val="002B1F54"/>
    <w:rsid w:val="002B2082"/>
    <w:rsid w:val="002B219B"/>
    <w:rsid w:val="002B227D"/>
    <w:rsid w:val="002B241C"/>
    <w:rsid w:val="002B280E"/>
    <w:rsid w:val="002B299E"/>
    <w:rsid w:val="002B29E0"/>
    <w:rsid w:val="002B2C1A"/>
    <w:rsid w:val="002B2C75"/>
    <w:rsid w:val="002B2D15"/>
    <w:rsid w:val="002B2DA0"/>
    <w:rsid w:val="002B2E8F"/>
    <w:rsid w:val="002B2F3E"/>
    <w:rsid w:val="002B3167"/>
    <w:rsid w:val="002B3173"/>
    <w:rsid w:val="002B32DE"/>
    <w:rsid w:val="002B3371"/>
    <w:rsid w:val="002B33DC"/>
    <w:rsid w:val="002B364C"/>
    <w:rsid w:val="002B36F3"/>
    <w:rsid w:val="002B38F3"/>
    <w:rsid w:val="002B3919"/>
    <w:rsid w:val="002B3960"/>
    <w:rsid w:val="002B3A5F"/>
    <w:rsid w:val="002B438A"/>
    <w:rsid w:val="002B43E3"/>
    <w:rsid w:val="002B452E"/>
    <w:rsid w:val="002B453F"/>
    <w:rsid w:val="002B4869"/>
    <w:rsid w:val="002B490C"/>
    <w:rsid w:val="002B4919"/>
    <w:rsid w:val="002B496A"/>
    <w:rsid w:val="002B4980"/>
    <w:rsid w:val="002B4B32"/>
    <w:rsid w:val="002B4B34"/>
    <w:rsid w:val="002B4DAE"/>
    <w:rsid w:val="002B4E50"/>
    <w:rsid w:val="002B518D"/>
    <w:rsid w:val="002B518E"/>
    <w:rsid w:val="002B5196"/>
    <w:rsid w:val="002B55EE"/>
    <w:rsid w:val="002B57EA"/>
    <w:rsid w:val="002B5835"/>
    <w:rsid w:val="002B5B60"/>
    <w:rsid w:val="002B5CCF"/>
    <w:rsid w:val="002B5EEB"/>
    <w:rsid w:val="002B621A"/>
    <w:rsid w:val="002B6260"/>
    <w:rsid w:val="002B649F"/>
    <w:rsid w:val="002B650E"/>
    <w:rsid w:val="002B6569"/>
    <w:rsid w:val="002B6D97"/>
    <w:rsid w:val="002B6DDE"/>
    <w:rsid w:val="002B6FAB"/>
    <w:rsid w:val="002B6FDB"/>
    <w:rsid w:val="002B72AA"/>
    <w:rsid w:val="002B72CA"/>
    <w:rsid w:val="002B733B"/>
    <w:rsid w:val="002B7BE6"/>
    <w:rsid w:val="002B7BFD"/>
    <w:rsid w:val="002B7DCF"/>
    <w:rsid w:val="002B7E10"/>
    <w:rsid w:val="002C029C"/>
    <w:rsid w:val="002C04F5"/>
    <w:rsid w:val="002C05DB"/>
    <w:rsid w:val="002C082C"/>
    <w:rsid w:val="002C083D"/>
    <w:rsid w:val="002C0B7D"/>
    <w:rsid w:val="002C0D9B"/>
    <w:rsid w:val="002C0EC7"/>
    <w:rsid w:val="002C108F"/>
    <w:rsid w:val="002C1299"/>
    <w:rsid w:val="002C144C"/>
    <w:rsid w:val="002C1471"/>
    <w:rsid w:val="002C14B9"/>
    <w:rsid w:val="002C1625"/>
    <w:rsid w:val="002C1740"/>
    <w:rsid w:val="002C190D"/>
    <w:rsid w:val="002C19B4"/>
    <w:rsid w:val="002C1C20"/>
    <w:rsid w:val="002C1E5B"/>
    <w:rsid w:val="002C1E8F"/>
    <w:rsid w:val="002C222E"/>
    <w:rsid w:val="002C230D"/>
    <w:rsid w:val="002C2327"/>
    <w:rsid w:val="002C232B"/>
    <w:rsid w:val="002C23BF"/>
    <w:rsid w:val="002C263F"/>
    <w:rsid w:val="002C27E0"/>
    <w:rsid w:val="002C28C2"/>
    <w:rsid w:val="002C2967"/>
    <w:rsid w:val="002C29CE"/>
    <w:rsid w:val="002C2A52"/>
    <w:rsid w:val="002C2B9F"/>
    <w:rsid w:val="002C2DDC"/>
    <w:rsid w:val="002C2E68"/>
    <w:rsid w:val="002C3071"/>
    <w:rsid w:val="002C30FC"/>
    <w:rsid w:val="002C3109"/>
    <w:rsid w:val="002C3121"/>
    <w:rsid w:val="002C3186"/>
    <w:rsid w:val="002C3317"/>
    <w:rsid w:val="002C356B"/>
    <w:rsid w:val="002C362A"/>
    <w:rsid w:val="002C3753"/>
    <w:rsid w:val="002C393D"/>
    <w:rsid w:val="002C3978"/>
    <w:rsid w:val="002C3A15"/>
    <w:rsid w:val="002C3A21"/>
    <w:rsid w:val="002C3A4E"/>
    <w:rsid w:val="002C3B20"/>
    <w:rsid w:val="002C3EF9"/>
    <w:rsid w:val="002C3F30"/>
    <w:rsid w:val="002C3FF6"/>
    <w:rsid w:val="002C4028"/>
    <w:rsid w:val="002C423C"/>
    <w:rsid w:val="002C4292"/>
    <w:rsid w:val="002C4725"/>
    <w:rsid w:val="002C48A7"/>
    <w:rsid w:val="002C4B60"/>
    <w:rsid w:val="002C4C53"/>
    <w:rsid w:val="002C4D7E"/>
    <w:rsid w:val="002C4E78"/>
    <w:rsid w:val="002C4FD0"/>
    <w:rsid w:val="002C50B9"/>
    <w:rsid w:val="002C52D3"/>
    <w:rsid w:val="002C532B"/>
    <w:rsid w:val="002C5370"/>
    <w:rsid w:val="002C55A8"/>
    <w:rsid w:val="002C575F"/>
    <w:rsid w:val="002C58BC"/>
    <w:rsid w:val="002C58F8"/>
    <w:rsid w:val="002C5B11"/>
    <w:rsid w:val="002C5CB8"/>
    <w:rsid w:val="002C5D1C"/>
    <w:rsid w:val="002C5F6A"/>
    <w:rsid w:val="002C5FC3"/>
    <w:rsid w:val="002C622C"/>
    <w:rsid w:val="002C6279"/>
    <w:rsid w:val="002C62D0"/>
    <w:rsid w:val="002C6470"/>
    <w:rsid w:val="002C6547"/>
    <w:rsid w:val="002C66EA"/>
    <w:rsid w:val="002C68F7"/>
    <w:rsid w:val="002C69B5"/>
    <w:rsid w:val="002C6BE7"/>
    <w:rsid w:val="002C6D89"/>
    <w:rsid w:val="002C6DCF"/>
    <w:rsid w:val="002C6E7E"/>
    <w:rsid w:val="002C6F27"/>
    <w:rsid w:val="002C6F66"/>
    <w:rsid w:val="002C7140"/>
    <w:rsid w:val="002C723E"/>
    <w:rsid w:val="002C7300"/>
    <w:rsid w:val="002C7433"/>
    <w:rsid w:val="002C7795"/>
    <w:rsid w:val="002C7876"/>
    <w:rsid w:val="002C78E5"/>
    <w:rsid w:val="002C78F6"/>
    <w:rsid w:val="002C7950"/>
    <w:rsid w:val="002C797B"/>
    <w:rsid w:val="002C7ABB"/>
    <w:rsid w:val="002C7C24"/>
    <w:rsid w:val="002C7CC3"/>
    <w:rsid w:val="002C7CD0"/>
    <w:rsid w:val="002C7D56"/>
    <w:rsid w:val="002D01F8"/>
    <w:rsid w:val="002D02F4"/>
    <w:rsid w:val="002D0718"/>
    <w:rsid w:val="002D0864"/>
    <w:rsid w:val="002D09A1"/>
    <w:rsid w:val="002D0DAA"/>
    <w:rsid w:val="002D0ECC"/>
    <w:rsid w:val="002D109B"/>
    <w:rsid w:val="002D1133"/>
    <w:rsid w:val="002D12B2"/>
    <w:rsid w:val="002D12E9"/>
    <w:rsid w:val="002D14DD"/>
    <w:rsid w:val="002D1553"/>
    <w:rsid w:val="002D1728"/>
    <w:rsid w:val="002D1969"/>
    <w:rsid w:val="002D1994"/>
    <w:rsid w:val="002D1A56"/>
    <w:rsid w:val="002D1E4F"/>
    <w:rsid w:val="002D1F14"/>
    <w:rsid w:val="002D216A"/>
    <w:rsid w:val="002D22C9"/>
    <w:rsid w:val="002D2302"/>
    <w:rsid w:val="002D273C"/>
    <w:rsid w:val="002D2767"/>
    <w:rsid w:val="002D27D8"/>
    <w:rsid w:val="002D2BE0"/>
    <w:rsid w:val="002D2CA9"/>
    <w:rsid w:val="002D2CBD"/>
    <w:rsid w:val="002D2E1F"/>
    <w:rsid w:val="002D2EBC"/>
    <w:rsid w:val="002D2F58"/>
    <w:rsid w:val="002D3079"/>
    <w:rsid w:val="002D338E"/>
    <w:rsid w:val="002D3A9F"/>
    <w:rsid w:val="002D3ABF"/>
    <w:rsid w:val="002D3EA5"/>
    <w:rsid w:val="002D3F63"/>
    <w:rsid w:val="002D3FD2"/>
    <w:rsid w:val="002D407F"/>
    <w:rsid w:val="002D4421"/>
    <w:rsid w:val="002D4853"/>
    <w:rsid w:val="002D48E6"/>
    <w:rsid w:val="002D4BC7"/>
    <w:rsid w:val="002D4C49"/>
    <w:rsid w:val="002D4C8F"/>
    <w:rsid w:val="002D52DA"/>
    <w:rsid w:val="002D5310"/>
    <w:rsid w:val="002D536F"/>
    <w:rsid w:val="002D5395"/>
    <w:rsid w:val="002D55FF"/>
    <w:rsid w:val="002D5645"/>
    <w:rsid w:val="002D56E3"/>
    <w:rsid w:val="002D59E5"/>
    <w:rsid w:val="002D5A16"/>
    <w:rsid w:val="002D5B98"/>
    <w:rsid w:val="002D5E67"/>
    <w:rsid w:val="002D5FD2"/>
    <w:rsid w:val="002D620B"/>
    <w:rsid w:val="002D624B"/>
    <w:rsid w:val="002D62EE"/>
    <w:rsid w:val="002D649F"/>
    <w:rsid w:val="002D663D"/>
    <w:rsid w:val="002D664B"/>
    <w:rsid w:val="002D67FA"/>
    <w:rsid w:val="002D6B55"/>
    <w:rsid w:val="002D6D38"/>
    <w:rsid w:val="002D6E88"/>
    <w:rsid w:val="002D6EC8"/>
    <w:rsid w:val="002D70AD"/>
    <w:rsid w:val="002D7187"/>
    <w:rsid w:val="002D739B"/>
    <w:rsid w:val="002D7412"/>
    <w:rsid w:val="002D75A1"/>
    <w:rsid w:val="002D7608"/>
    <w:rsid w:val="002D7AE5"/>
    <w:rsid w:val="002D7BF4"/>
    <w:rsid w:val="002D7CA3"/>
    <w:rsid w:val="002D7CDD"/>
    <w:rsid w:val="002D7DA3"/>
    <w:rsid w:val="002D7F76"/>
    <w:rsid w:val="002E008D"/>
    <w:rsid w:val="002E0139"/>
    <w:rsid w:val="002E019E"/>
    <w:rsid w:val="002E0325"/>
    <w:rsid w:val="002E037F"/>
    <w:rsid w:val="002E03FA"/>
    <w:rsid w:val="002E0537"/>
    <w:rsid w:val="002E0587"/>
    <w:rsid w:val="002E0672"/>
    <w:rsid w:val="002E0D7F"/>
    <w:rsid w:val="002E0DAE"/>
    <w:rsid w:val="002E0F84"/>
    <w:rsid w:val="002E10A1"/>
    <w:rsid w:val="002E1166"/>
    <w:rsid w:val="002E1185"/>
    <w:rsid w:val="002E1320"/>
    <w:rsid w:val="002E19C5"/>
    <w:rsid w:val="002E1AD2"/>
    <w:rsid w:val="002E1D76"/>
    <w:rsid w:val="002E1EF9"/>
    <w:rsid w:val="002E22F8"/>
    <w:rsid w:val="002E2519"/>
    <w:rsid w:val="002E2528"/>
    <w:rsid w:val="002E2544"/>
    <w:rsid w:val="002E2667"/>
    <w:rsid w:val="002E27DC"/>
    <w:rsid w:val="002E28EC"/>
    <w:rsid w:val="002E3156"/>
    <w:rsid w:val="002E32CD"/>
    <w:rsid w:val="002E3690"/>
    <w:rsid w:val="002E3B0B"/>
    <w:rsid w:val="002E3BEA"/>
    <w:rsid w:val="002E3CCA"/>
    <w:rsid w:val="002E3D2F"/>
    <w:rsid w:val="002E3D61"/>
    <w:rsid w:val="002E41E6"/>
    <w:rsid w:val="002E434E"/>
    <w:rsid w:val="002E444B"/>
    <w:rsid w:val="002E4556"/>
    <w:rsid w:val="002E45D9"/>
    <w:rsid w:val="002E45FB"/>
    <w:rsid w:val="002E46DA"/>
    <w:rsid w:val="002E47C6"/>
    <w:rsid w:val="002E4A5F"/>
    <w:rsid w:val="002E4A86"/>
    <w:rsid w:val="002E4A8A"/>
    <w:rsid w:val="002E4C49"/>
    <w:rsid w:val="002E4E95"/>
    <w:rsid w:val="002E5001"/>
    <w:rsid w:val="002E5365"/>
    <w:rsid w:val="002E5408"/>
    <w:rsid w:val="002E56CC"/>
    <w:rsid w:val="002E57C2"/>
    <w:rsid w:val="002E58E6"/>
    <w:rsid w:val="002E5916"/>
    <w:rsid w:val="002E59A4"/>
    <w:rsid w:val="002E59BC"/>
    <w:rsid w:val="002E59D5"/>
    <w:rsid w:val="002E5D94"/>
    <w:rsid w:val="002E5F24"/>
    <w:rsid w:val="002E6024"/>
    <w:rsid w:val="002E60A3"/>
    <w:rsid w:val="002E625D"/>
    <w:rsid w:val="002E64C9"/>
    <w:rsid w:val="002E656A"/>
    <w:rsid w:val="002E666B"/>
    <w:rsid w:val="002E66C5"/>
    <w:rsid w:val="002E67A9"/>
    <w:rsid w:val="002E67C5"/>
    <w:rsid w:val="002E6894"/>
    <w:rsid w:val="002E6A7B"/>
    <w:rsid w:val="002E6AD3"/>
    <w:rsid w:val="002E6C2F"/>
    <w:rsid w:val="002E6CCF"/>
    <w:rsid w:val="002E6D15"/>
    <w:rsid w:val="002E6FDA"/>
    <w:rsid w:val="002E736F"/>
    <w:rsid w:val="002E7378"/>
    <w:rsid w:val="002E76DB"/>
    <w:rsid w:val="002E7715"/>
    <w:rsid w:val="002E79D3"/>
    <w:rsid w:val="002E7A0B"/>
    <w:rsid w:val="002E7BA2"/>
    <w:rsid w:val="002F01DA"/>
    <w:rsid w:val="002F0309"/>
    <w:rsid w:val="002F03FD"/>
    <w:rsid w:val="002F05DB"/>
    <w:rsid w:val="002F0609"/>
    <w:rsid w:val="002F0860"/>
    <w:rsid w:val="002F08A9"/>
    <w:rsid w:val="002F0C20"/>
    <w:rsid w:val="002F0E13"/>
    <w:rsid w:val="002F0E18"/>
    <w:rsid w:val="002F12A3"/>
    <w:rsid w:val="002F13BF"/>
    <w:rsid w:val="002F14B4"/>
    <w:rsid w:val="002F157A"/>
    <w:rsid w:val="002F16D2"/>
    <w:rsid w:val="002F1741"/>
    <w:rsid w:val="002F1882"/>
    <w:rsid w:val="002F19C2"/>
    <w:rsid w:val="002F1B50"/>
    <w:rsid w:val="002F1BE3"/>
    <w:rsid w:val="002F1CBE"/>
    <w:rsid w:val="002F1CCF"/>
    <w:rsid w:val="002F1D56"/>
    <w:rsid w:val="002F1F94"/>
    <w:rsid w:val="002F2053"/>
    <w:rsid w:val="002F23CA"/>
    <w:rsid w:val="002F2AA6"/>
    <w:rsid w:val="002F2B67"/>
    <w:rsid w:val="002F2D96"/>
    <w:rsid w:val="002F2DE0"/>
    <w:rsid w:val="002F3127"/>
    <w:rsid w:val="002F369F"/>
    <w:rsid w:val="002F3814"/>
    <w:rsid w:val="002F3C97"/>
    <w:rsid w:val="002F3DA1"/>
    <w:rsid w:val="002F3F18"/>
    <w:rsid w:val="002F3FE8"/>
    <w:rsid w:val="002F3FFF"/>
    <w:rsid w:val="002F40FE"/>
    <w:rsid w:val="002F4459"/>
    <w:rsid w:val="002F45DB"/>
    <w:rsid w:val="002F45DF"/>
    <w:rsid w:val="002F4907"/>
    <w:rsid w:val="002F4BA8"/>
    <w:rsid w:val="002F4C36"/>
    <w:rsid w:val="002F4D22"/>
    <w:rsid w:val="002F52B3"/>
    <w:rsid w:val="002F53BC"/>
    <w:rsid w:val="002F57E9"/>
    <w:rsid w:val="002F5A52"/>
    <w:rsid w:val="002F5A54"/>
    <w:rsid w:val="002F5E1D"/>
    <w:rsid w:val="002F6229"/>
    <w:rsid w:val="002F6233"/>
    <w:rsid w:val="002F6243"/>
    <w:rsid w:val="002F639D"/>
    <w:rsid w:val="002F6411"/>
    <w:rsid w:val="002F64BF"/>
    <w:rsid w:val="002F651E"/>
    <w:rsid w:val="002F6A2F"/>
    <w:rsid w:val="002F6C7A"/>
    <w:rsid w:val="002F6CCF"/>
    <w:rsid w:val="002F6DF6"/>
    <w:rsid w:val="002F6F3A"/>
    <w:rsid w:val="002F7121"/>
    <w:rsid w:val="002F7236"/>
    <w:rsid w:val="002F73AB"/>
    <w:rsid w:val="002F752D"/>
    <w:rsid w:val="002F7627"/>
    <w:rsid w:val="002F763E"/>
    <w:rsid w:val="002F7679"/>
    <w:rsid w:val="002F7688"/>
    <w:rsid w:val="002F7757"/>
    <w:rsid w:val="002F7768"/>
    <w:rsid w:val="002F79E8"/>
    <w:rsid w:val="002F7AC8"/>
    <w:rsid w:val="002F7B63"/>
    <w:rsid w:val="002F7BF3"/>
    <w:rsid w:val="002F7DDC"/>
    <w:rsid w:val="003002FA"/>
    <w:rsid w:val="0030052F"/>
    <w:rsid w:val="00300863"/>
    <w:rsid w:val="003008EC"/>
    <w:rsid w:val="0030090A"/>
    <w:rsid w:val="00300C86"/>
    <w:rsid w:val="00300E11"/>
    <w:rsid w:val="00300ED3"/>
    <w:rsid w:val="00300FA5"/>
    <w:rsid w:val="00300FEF"/>
    <w:rsid w:val="0030101A"/>
    <w:rsid w:val="00301232"/>
    <w:rsid w:val="00301251"/>
    <w:rsid w:val="003013BC"/>
    <w:rsid w:val="003013E3"/>
    <w:rsid w:val="00301792"/>
    <w:rsid w:val="00301826"/>
    <w:rsid w:val="00301917"/>
    <w:rsid w:val="0030192F"/>
    <w:rsid w:val="00301A17"/>
    <w:rsid w:val="00301AA7"/>
    <w:rsid w:val="00301C36"/>
    <w:rsid w:val="00301C72"/>
    <w:rsid w:val="00301C8A"/>
    <w:rsid w:val="00301FC8"/>
    <w:rsid w:val="00301FCD"/>
    <w:rsid w:val="003020B1"/>
    <w:rsid w:val="0030215D"/>
    <w:rsid w:val="0030225A"/>
    <w:rsid w:val="003022B8"/>
    <w:rsid w:val="0030230D"/>
    <w:rsid w:val="003023D2"/>
    <w:rsid w:val="0030241F"/>
    <w:rsid w:val="003027F2"/>
    <w:rsid w:val="00302972"/>
    <w:rsid w:val="00302A25"/>
    <w:rsid w:val="00302B20"/>
    <w:rsid w:val="00302DF8"/>
    <w:rsid w:val="00302EAB"/>
    <w:rsid w:val="00302EFF"/>
    <w:rsid w:val="00302F73"/>
    <w:rsid w:val="00302F8D"/>
    <w:rsid w:val="0030305C"/>
    <w:rsid w:val="00303259"/>
    <w:rsid w:val="0030347D"/>
    <w:rsid w:val="0030362B"/>
    <w:rsid w:val="00303810"/>
    <w:rsid w:val="003038E0"/>
    <w:rsid w:val="00303B4C"/>
    <w:rsid w:val="00303B91"/>
    <w:rsid w:val="00303BA7"/>
    <w:rsid w:val="00303CCF"/>
    <w:rsid w:val="00303CE6"/>
    <w:rsid w:val="00303E6B"/>
    <w:rsid w:val="00303FE0"/>
    <w:rsid w:val="00304010"/>
    <w:rsid w:val="003040C2"/>
    <w:rsid w:val="003040EA"/>
    <w:rsid w:val="0030431F"/>
    <w:rsid w:val="0030442D"/>
    <w:rsid w:val="003045B1"/>
    <w:rsid w:val="003045D2"/>
    <w:rsid w:val="0030465C"/>
    <w:rsid w:val="003046F5"/>
    <w:rsid w:val="0030479C"/>
    <w:rsid w:val="00304ADE"/>
    <w:rsid w:val="00304C4A"/>
    <w:rsid w:val="00304D2A"/>
    <w:rsid w:val="00304DFF"/>
    <w:rsid w:val="00304F8D"/>
    <w:rsid w:val="00305252"/>
    <w:rsid w:val="003052EB"/>
    <w:rsid w:val="00305316"/>
    <w:rsid w:val="003054B0"/>
    <w:rsid w:val="0030565B"/>
    <w:rsid w:val="003058AF"/>
    <w:rsid w:val="003058D8"/>
    <w:rsid w:val="00305930"/>
    <w:rsid w:val="00305D02"/>
    <w:rsid w:val="00305F38"/>
    <w:rsid w:val="00305F9B"/>
    <w:rsid w:val="00305FD0"/>
    <w:rsid w:val="00306024"/>
    <w:rsid w:val="003060AD"/>
    <w:rsid w:val="0030637C"/>
    <w:rsid w:val="003063AD"/>
    <w:rsid w:val="00306510"/>
    <w:rsid w:val="0030671A"/>
    <w:rsid w:val="00306936"/>
    <w:rsid w:val="0030695F"/>
    <w:rsid w:val="0030696E"/>
    <w:rsid w:val="003069CB"/>
    <w:rsid w:val="003071CC"/>
    <w:rsid w:val="003072C9"/>
    <w:rsid w:val="00307438"/>
    <w:rsid w:val="0030771F"/>
    <w:rsid w:val="00307795"/>
    <w:rsid w:val="003077F1"/>
    <w:rsid w:val="003078C0"/>
    <w:rsid w:val="00307951"/>
    <w:rsid w:val="003079B0"/>
    <w:rsid w:val="00307B2E"/>
    <w:rsid w:val="00310024"/>
    <w:rsid w:val="00310196"/>
    <w:rsid w:val="00310262"/>
    <w:rsid w:val="00310437"/>
    <w:rsid w:val="003107B9"/>
    <w:rsid w:val="00310813"/>
    <w:rsid w:val="00310C3C"/>
    <w:rsid w:val="00310EFC"/>
    <w:rsid w:val="003112C7"/>
    <w:rsid w:val="00311312"/>
    <w:rsid w:val="00311359"/>
    <w:rsid w:val="003113CB"/>
    <w:rsid w:val="003114F5"/>
    <w:rsid w:val="00311566"/>
    <w:rsid w:val="00311AF7"/>
    <w:rsid w:val="00311B47"/>
    <w:rsid w:val="00311C36"/>
    <w:rsid w:val="00311D78"/>
    <w:rsid w:val="00311FC1"/>
    <w:rsid w:val="003121D3"/>
    <w:rsid w:val="003122E3"/>
    <w:rsid w:val="00312371"/>
    <w:rsid w:val="003123F1"/>
    <w:rsid w:val="0031241C"/>
    <w:rsid w:val="00312637"/>
    <w:rsid w:val="00312D73"/>
    <w:rsid w:val="00312FC3"/>
    <w:rsid w:val="003131AA"/>
    <w:rsid w:val="0031339B"/>
    <w:rsid w:val="003137C3"/>
    <w:rsid w:val="00313854"/>
    <w:rsid w:val="003139F7"/>
    <w:rsid w:val="00313B1A"/>
    <w:rsid w:val="00313B2D"/>
    <w:rsid w:val="00313D1E"/>
    <w:rsid w:val="00314415"/>
    <w:rsid w:val="0031455B"/>
    <w:rsid w:val="003145A2"/>
    <w:rsid w:val="00314836"/>
    <w:rsid w:val="003148B4"/>
    <w:rsid w:val="00314958"/>
    <w:rsid w:val="00314A7A"/>
    <w:rsid w:val="00314AF0"/>
    <w:rsid w:val="00314EA5"/>
    <w:rsid w:val="00314EDB"/>
    <w:rsid w:val="003150B9"/>
    <w:rsid w:val="00315169"/>
    <w:rsid w:val="00315280"/>
    <w:rsid w:val="00315591"/>
    <w:rsid w:val="0031569E"/>
    <w:rsid w:val="003157A2"/>
    <w:rsid w:val="00315808"/>
    <w:rsid w:val="003158F5"/>
    <w:rsid w:val="00315B6D"/>
    <w:rsid w:val="00315BF0"/>
    <w:rsid w:val="00315C10"/>
    <w:rsid w:val="00315E80"/>
    <w:rsid w:val="00315EA5"/>
    <w:rsid w:val="00315F02"/>
    <w:rsid w:val="00315F12"/>
    <w:rsid w:val="00316184"/>
    <w:rsid w:val="0031648B"/>
    <w:rsid w:val="0031660A"/>
    <w:rsid w:val="0031661E"/>
    <w:rsid w:val="0031665F"/>
    <w:rsid w:val="003169D3"/>
    <w:rsid w:val="00316A02"/>
    <w:rsid w:val="00316B15"/>
    <w:rsid w:val="00316B7C"/>
    <w:rsid w:val="00316C0C"/>
    <w:rsid w:val="00316DD2"/>
    <w:rsid w:val="00316F4A"/>
    <w:rsid w:val="003171B9"/>
    <w:rsid w:val="0031766A"/>
    <w:rsid w:val="00317878"/>
    <w:rsid w:val="00317A8A"/>
    <w:rsid w:val="00317AAF"/>
    <w:rsid w:val="00317AB1"/>
    <w:rsid w:val="00317ACB"/>
    <w:rsid w:val="00317AF9"/>
    <w:rsid w:val="00317B1D"/>
    <w:rsid w:val="00317CA8"/>
    <w:rsid w:val="00317D31"/>
    <w:rsid w:val="00317D67"/>
    <w:rsid w:val="00317DC2"/>
    <w:rsid w:val="00317DEA"/>
    <w:rsid w:val="00317F29"/>
    <w:rsid w:val="00317F6A"/>
    <w:rsid w:val="00317F93"/>
    <w:rsid w:val="00320046"/>
    <w:rsid w:val="0032053D"/>
    <w:rsid w:val="00320582"/>
    <w:rsid w:val="0032058A"/>
    <w:rsid w:val="0032070A"/>
    <w:rsid w:val="003208B9"/>
    <w:rsid w:val="00320A67"/>
    <w:rsid w:val="00320AF7"/>
    <w:rsid w:val="00320B2D"/>
    <w:rsid w:val="00320F06"/>
    <w:rsid w:val="00320F9D"/>
    <w:rsid w:val="00321147"/>
    <w:rsid w:val="00321546"/>
    <w:rsid w:val="00321747"/>
    <w:rsid w:val="00321895"/>
    <w:rsid w:val="003218AB"/>
    <w:rsid w:val="003218B0"/>
    <w:rsid w:val="00321A07"/>
    <w:rsid w:val="00321AA5"/>
    <w:rsid w:val="00321AD8"/>
    <w:rsid w:val="00321B01"/>
    <w:rsid w:val="00321CCB"/>
    <w:rsid w:val="00321E02"/>
    <w:rsid w:val="00321E31"/>
    <w:rsid w:val="00321E65"/>
    <w:rsid w:val="00321EB9"/>
    <w:rsid w:val="00321ED3"/>
    <w:rsid w:val="00321F62"/>
    <w:rsid w:val="00322414"/>
    <w:rsid w:val="00322437"/>
    <w:rsid w:val="00322560"/>
    <w:rsid w:val="0032282B"/>
    <w:rsid w:val="0032299D"/>
    <w:rsid w:val="00322A12"/>
    <w:rsid w:val="00322A4D"/>
    <w:rsid w:val="00322AC9"/>
    <w:rsid w:val="00322B41"/>
    <w:rsid w:val="00322C48"/>
    <w:rsid w:val="00322DAB"/>
    <w:rsid w:val="003230D5"/>
    <w:rsid w:val="00323151"/>
    <w:rsid w:val="003234C7"/>
    <w:rsid w:val="003234D2"/>
    <w:rsid w:val="003235CB"/>
    <w:rsid w:val="00323847"/>
    <w:rsid w:val="003239D6"/>
    <w:rsid w:val="00323A0E"/>
    <w:rsid w:val="00323A47"/>
    <w:rsid w:val="00323B7D"/>
    <w:rsid w:val="00323C0B"/>
    <w:rsid w:val="00323E15"/>
    <w:rsid w:val="00323EA3"/>
    <w:rsid w:val="00324157"/>
    <w:rsid w:val="0032418B"/>
    <w:rsid w:val="003241CF"/>
    <w:rsid w:val="0032446C"/>
    <w:rsid w:val="00324560"/>
    <w:rsid w:val="00324758"/>
    <w:rsid w:val="0032493E"/>
    <w:rsid w:val="00324959"/>
    <w:rsid w:val="003249A6"/>
    <w:rsid w:val="00324A0C"/>
    <w:rsid w:val="00324A69"/>
    <w:rsid w:val="00324ED8"/>
    <w:rsid w:val="00324EEB"/>
    <w:rsid w:val="00324EEC"/>
    <w:rsid w:val="00324F8F"/>
    <w:rsid w:val="003252B8"/>
    <w:rsid w:val="003253B2"/>
    <w:rsid w:val="00325490"/>
    <w:rsid w:val="00325534"/>
    <w:rsid w:val="0032586C"/>
    <w:rsid w:val="0032588C"/>
    <w:rsid w:val="003258FA"/>
    <w:rsid w:val="00325C75"/>
    <w:rsid w:val="00325CA6"/>
    <w:rsid w:val="00325DC5"/>
    <w:rsid w:val="00325EF5"/>
    <w:rsid w:val="00325F19"/>
    <w:rsid w:val="003260DF"/>
    <w:rsid w:val="003261C3"/>
    <w:rsid w:val="0032641A"/>
    <w:rsid w:val="00326487"/>
    <w:rsid w:val="003264A4"/>
    <w:rsid w:val="00326504"/>
    <w:rsid w:val="0032652B"/>
    <w:rsid w:val="003268CC"/>
    <w:rsid w:val="003269EB"/>
    <w:rsid w:val="00326CD2"/>
    <w:rsid w:val="00326DCB"/>
    <w:rsid w:val="00326ECC"/>
    <w:rsid w:val="00326F38"/>
    <w:rsid w:val="00327327"/>
    <w:rsid w:val="003274C1"/>
    <w:rsid w:val="0032759C"/>
    <w:rsid w:val="003275B3"/>
    <w:rsid w:val="00327650"/>
    <w:rsid w:val="00327A98"/>
    <w:rsid w:val="00327ACD"/>
    <w:rsid w:val="00327AED"/>
    <w:rsid w:val="00327DB0"/>
    <w:rsid w:val="003307D1"/>
    <w:rsid w:val="0033086A"/>
    <w:rsid w:val="003308BD"/>
    <w:rsid w:val="003308E4"/>
    <w:rsid w:val="00330983"/>
    <w:rsid w:val="003309CF"/>
    <w:rsid w:val="00330A27"/>
    <w:rsid w:val="00330A5E"/>
    <w:rsid w:val="00330A62"/>
    <w:rsid w:val="00330CBE"/>
    <w:rsid w:val="00330D1C"/>
    <w:rsid w:val="00330EF3"/>
    <w:rsid w:val="00330F86"/>
    <w:rsid w:val="00330FBF"/>
    <w:rsid w:val="003312C4"/>
    <w:rsid w:val="0033148A"/>
    <w:rsid w:val="003316F3"/>
    <w:rsid w:val="00331AD1"/>
    <w:rsid w:val="00331B9B"/>
    <w:rsid w:val="00331C7C"/>
    <w:rsid w:val="00331FD9"/>
    <w:rsid w:val="0033206B"/>
    <w:rsid w:val="00332191"/>
    <w:rsid w:val="00332315"/>
    <w:rsid w:val="00332321"/>
    <w:rsid w:val="0033245F"/>
    <w:rsid w:val="003324BA"/>
    <w:rsid w:val="003324D5"/>
    <w:rsid w:val="0033250D"/>
    <w:rsid w:val="003326B2"/>
    <w:rsid w:val="003328FB"/>
    <w:rsid w:val="00332BFD"/>
    <w:rsid w:val="00332CAE"/>
    <w:rsid w:val="00332D0E"/>
    <w:rsid w:val="00332D2E"/>
    <w:rsid w:val="00332EC3"/>
    <w:rsid w:val="00332F20"/>
    <w:rsid w:val="00332FC1"/>
    <w:rsid w:val="00333269"/>
    <w:rsid w:val="003332E9"/>
    <w:rsid w:val="00333474"/>
    <w:rsid w:val="0033376A"/>
    <w:rsid w:val="00333A62"/>
    <w:rsid w:val="00333B5C"/>
    <w:rsid w:val="00333CCF"/>
    <w:rsid w:val="00333E91"/>
    <w:rsid w:val="00333F19"/>
    <w:rsid w:val="00333F55"/>
    <w:rsid w:val="00334078"/>
    <w:rsid w:val="003340F3"/>
    <w:rsid w:val="003340FB"/>
    <w:rsid w:val="00334678"/>
    <w:rsid w:val="0033470B"/>
    <w:rsid w:val="0033475C"/>
    <w:rsid w:val="0033476E"/>
    <w:rsid w:val="0033480B"/>
    <w:rsid w:val="0033483D"/>
    <w:rsid w:val="0033489D"/>
    <w:rsid w:val="003348F4"/>
    <w:rsid w:val="003349CE"/>
    <w:rsid w:val="00334A75"/>
    <w:rsid w:val="00334B48"/>
    <w:rsid w:val="00334B59"/>
    <w:rsid w:val="00334CDB"/>
    <w:rsid w:val="00334D5A"/>
    <w:rsid w:val="00334F79"/>
    <w:rsid w:val="00334FE5"/>
    <w:rsid w:val="00334FE6"/>
    <w:rsid w:val="0033506E"/>
    <w:rsid w:val="003350C4"/>
    <w:rsid w:val="0033513C"/>
    <w:rsid w:val="0033520C"/>
    <w:rsid w:val="003352C7"/>
    <w:rsid w:val="0033545A"/>
    <w:rsid w:val="0033569F"/>
    <w:rsid w:val="0033571E"/>
    <w:rsid w:val="00335925"/>
    <w:rsid w:val="003359AA"/>
    <w:rsid w:val="003359FB"/>
    <w:rsid w:val="00335CCA"/>
    <w:rsid w:val="00336280"/>
    <w:rsid w:val="003363A6"/>
    <w:rsid w:val="0033641C"/>
    <w:rsid w:val="00336646"/>
    <w:rsid w:val="00336771"/>
    <w:rsid w:val="003367EC"/>
    <w:rsid w:val="00336B9E"/>
    <w:rsid w:val="00336BE7"/>
    <w:rsid w:val="00336DBD"/>
    <w:rsid w:val="00336DD1"/>
    <w:rsid w:val="003370C1"/>
    <w:rsid w:val="0033736E"/>
    <w:rsid w:val="00337579"/>
    <w:rsid w:val="00337596"/>
    <w:rsid w:val="003377BF"/>
    <w:rsid w:val="003378E3"/>
    <w:rsid w:val="00337923"/>
    <w:rsid w:val="00337A82"/>
    <w:rsid w:val="00337AF7"/>
    <w:rsid w:val="00337CCA"/>
    <w:rsid w:val="00337F9C"/>
    <w:rsid w:val="003401E5"/>
    <w:rsid w:val="0034048C"/>
    <w:rsid w:val="003404CC"/>
    <w:rsid w:val="003405B3"/>
    <w:rsid w:val="00340BE2"/>
    <w:rsid w:val="00340F5D"/>
    <w:rsid w:val="0034113B"/>
    <w:rsid w:val="00341196"/>
    <w:rsid w:val="0034122F"/>
    <w:rsid w:val="00341301"/>
    <w:rsid w:val="00341504"/>
    <w:rsid w:val="003415BC"/>
    <w:rsid w:val="003415CC"/>
    <w:rsid w:val="00341718"/>
    <w:rsid w:val="00341A4F"/>
    <w:rsid w:val="00341A50"/>
    <w:rsid w:val="00341CE7"/>
    <w:rsid w:val="00341FA5"/>
    <w:rsid w:val="00341FE9"/>
    <w:rsid w:val="0034211B"/>
    <w:rsid w:val="003421E9"/>
    <w:rsid w:val="00342387"/>
    <w:rsid w:val="003423CD"/>
    <w:rsid w:val="0034241C"/>
    <w:rsid w:val="0034243C"/>
    <w:rsid w:val="00342726"/>
    <w:rsid w:val="003427B5"/>
    <w:rsid w:val="00342823"/>
    <w:rsid w:val="00342938"/>
    <w:rsid w:val="00342971"/>
    <w:rsid w:val="00342CCC"/>
    <w:rsid w:val="00342D32"/>
    <w:rsid w:val="00342D8D"/>
    <w:rsid w:val="00342F79"/>
    <w:rsid w:val="00343104"/>
    <w:rsid w:val="003431C1"/>
    <w:rsid w:val="003432C3"/>
    <w:rsid w:val="003432C8"/>
    <w:rsid w:val="00343326"/>
    <w:rsid w:val="00343668"/>
    <w:rsid w:val="0034370C"/>
    <w:rsid w:val="003437EF"/>
    <w:rsid w:val="003438F4"/>
    <w:rsid w:val="003439DA"/>
    <w:rsid w:val="00343A91"/>
    <w:rsid w:val="00343E62"/>
    <w:rsid w:val="00343E8B"/>
    <w:rsid w:val="00343EA7"/>
    <w:rsid w:val="00343ECF"/>
    <w:rsid w:val="00343F43"/>
    <w:rsid w:val="00343F64"/>
    <w:rsid w:val="00344068"/>
    <w:rsid w:val="003445DF"/>
    <w:rsid w:val="0034467A"/>
    <w:rsid w:val="00344952"/>
    <w:rsid w:val="00344966"/>
    <w:rsid w:val="003449B3"/>
    <w:rsid w:val="00344C9B"/>
    <w:rsid w:val="00344EAC"/>
    <w:rsid w:val="0034551E"/>
    <w:rsid w:val="00345752"/>
    <w:rsid w:val="003457E5"/>
    <w:rsid w:val="00345ABD"/>
    <w:rsid w:val="00345B40"/>
    <w:rsid w:val="00345CE0"/>
    <w:rsid w:val="00345DA4"/>
    <w:rsid w:val="003460EF"/>
    <w:rsid w:val="00346351"/>
    <w:rsid w:val="0034660B"/>
    <w:rsid w:val="0034663D"/>
    <w:rsid w:val="003467AE"/>
    <w:rsid w:val="0034680E"/>
    <w:rsid w:val="00346811"/>
    <w:rsid w:val="003469C1"/>
    <w:rsid w:val="00346ACC"/>
    <w:rsid w:val="00346B18"/>
    <w:rsid w:val="00346B93"/>
    <w:rsid w:val="00346BA3"/>
    <w:rsid w:val="00346C4E"/>
    <w:rsid w:val="00346DC8"/>
    <w:rsid w:val="00346E73"/>
    <w:rsid w:val="00347014"/>
    <w:rsid w:val="003470D6"/>
    <w:rsid w:val="003473B7"/>
    <w:rsid w:val="00347666"/>
    <w:rsid w:val="003477EA"/>
    <w:rsid w:val="0034795C"/>
    <w:rsid w:val="003479EA"/>
    <w:rsid w:val="00347D88"/>
    <w:rsid w:val="00347EF0"/>
    <w:rsid w:val="00347F12"/>
    <w:rsid w:val="00347F44"/>
    <w:rsid w:val="00350345"/>
    <w:rsid w:val="00350424"/>
    <w:rsid w:val="0035052D"/>
    <w:rsid w:val="003508B6"/>
    <w:rsid w:val="003509B3"/>
    <w:rsid w:val="00350BFC"/>
    <w:rsid w:val="00350D25"/>
    <w:rsid w:val="00350D99"/>
    <w:rsid w:val="00350DBE"/>
    <w:rsid w:val="00350E52"/>
    <w:rsid w:val="00350EFD"/>
    <w:rsid w:val="00350FFA"/>
    <w:rsid w:val="00351156"/>
    <w:rsid w:val="00351296"/>
    <w:rsid w:val="00351375"/>
    <w:rsid w:val="003514C3"/>
    <w:rsid w:val="003514F2"/>
    <w:rsid w:val="00351608"/>
    <w:rsid w:val="00351702"/>
    <w:rsid w:val="00351733"/>
    <w:rsid w:val="00351B1E"/>
    <w:rsid w:val="00351C05"/>
    <w:rsid w:val="00351D30"/>
    <w:rsid w:val="00351F66"/>
    <w:rsid w:val="00351F96"/>
    <w:rsid w:val="003520DF"/>
    <w:rsid w:val="0035212C"/>
    <w:rsid w:val="0035253E"/>
    <w:rsid w:val="0035264A"/>
    <w:rsid w:val="0035264F"/>
    <w:rsid w:val="003526A5"/>
    <w:rsid w:val="00352841"/>
    <w:rsid w:val="00352B31"/>
    <w:rsid w:val="00352C82"/>
    <w:rsid w:val="00352D4A"/>
    <w:rsid w:val="00352E83"/>
    <w:rsid w:val="0035333E"/>
    <w:rsid w:val="0035383D"/>
    <w:rsid w:val="00353B9F"/>
    <w:rsid w:val="00353CA0"/>
    <w:rsid w:val="00353CC2"/>
    <w:rsid w:val="00353CD5"/>
    <w:rsid w:val="00353D4A"/>
    <w:rsid w:val="00353D89"/>
    <w:rsid w:val="00353E0A"/>
    <w:rsid w:val="00353F79"/>
    <w:rsid w:val="003540CF"/>
    <w:rsid w:val="00354244"/>
    <w:rsid w:val="00354367"/>
    <w:rsid w:val="003544F9"/>
    <w:rsid w:val="00354514"/>
    <w:rsid w:val="0035476C"/>
    <w:rsid w:val="003547EA"/>
    <w:rsid w:val="003548D8"/>
    <w:rsid w:val="00354AEA"/>
    <w:rsid w:val="00354DAE"/>
    <w:rsid w:val="003555D1"/>
    <w:rsid w:val="0035560E"/>
    <w:rsid w:val="003556B1"/>
    <w:rsid w:val="003557AA"/>
    <w:rsid w:val="00355B8A"/>
    <w:rsid w:val="00355BCB"/>
    <w:rsid w:val="00355C2C"/>
    <w:rsid w:val="00355DB9"/>
    <w:rsid w:val="00355E49"/>
    <w:rsid w:val="00355E59"/>
    <w:rsid w:val="00355F4B"/>
    <w:rsid w:val="00356117"/>
    <w:rsid w:val="003561C8"/>
    <w:rsid w:val="00356473"/>
    <w:rsid w:val="003568F7"/>
    <w:rsid w:val="00356965"/>
    <w:rsid w:val="00356A70"/>
    <w:rsid w:val="00356A8B"/>
    <w:rsid w:val="00356D5E"/>
    <w:rsid w:val="00356E00"/>
    <w:rsid w:val="00356EA8"/>
    <w:rsid w:val="00356F89"/>
    <w:rsid w:val="003570F4"/>
    <w:rsid w:val="0035713A"/>
    <w:rsid w:val="0035714F"/>
    <w:rsid w:val="003571E1"/>
    <w:rsid w:val="003577D8"/>
    <w:rsid w:val="00357E6D"/>
    <w:rsid w:val="003600D5"/>
    <w:rsid w:val="00360180"/>
    <w:rsid w:val="00360220"/>
    <w:rsid w:val="00360274"/>
    <w:rsid w:val="003603EB"/>
    <w:rsid w:val="00360774"/>
    <w:rsid w:val="00360870"/>
    <w:rsid w:val="00360911"/>
    <w:rsid w:val="00360979"/>
    <w:rsid w:val="00360E40"/>
    <w:rsid w:val="00360F25"/>
    <w:rsid w:val="00360F29"/>
    <w:rsid w:val="0036103F"/>
    <w:rsid w:val="00361109"/>
    <w:rsid w:val="0036143B"/>
    <w:rsid w:val="00361531"/>
    <w:rsid w:val="00361602"/>
    <w:rsid w:val="003616B9"/>
    <w:rsid w:val="00361A2C"/>
    <w:rsid w:val="00361B09"/>
    <w:rsid w:val="00361BF2"/>
    <w:rsid w:val="00361C0B"/>
    <w:rsid w:val="00361C80"/>
    <w:rsid w:val="00361D56"/>
    <w:rsid w:val="00361E77"/>
    <w:rsid w:val="00361E8C"/>
    <w:rsid w:val="00362303"/>
    <w:rsid w:val="003624F9"/>
    <w:rsid w:val="0036271D"/>
    <w:rsid w:val="003627FE"/>
    <w:rsid w:val="00362ABA"/>
    <w:rsid w:val="00362CFE"/>
    <w:rsid w:val="00362F9C"/>
    <w:rsid w:val="00362FB7"/>
    <w:rsid w:val="00362FE0"/>
    <w:rsid w:val="00363290"/>
    <w:rsid w:val="0036331B"/>
    <w:rsid w:val="0036334D"/>
    <w:rsid w:val="00363569"/>
    <w:rsid w:val="003637D8"/>
    <w:rsid w:val="0036390A"/>
    <w:rsid w:val="00363D8D"/>
    <w:rsid w:val="00363E63"/>
    <w:rsid w:val="00364192"/>
    <w:rsid w:val="00364221"/>
    <w:rsid w:val="00364529"/>
    <w:rsid w:val="0036470E"/>
    <w:rsid w:val="0036499C"/>
    <w:rsid w:val="003649C9"/>
    <w:rsid w:val="003649D7"/>
    <w:rsid w:val="00364DCE"/>
    <w:rsid w:val="00364E10"/>
    <w:rsid w:val="00365072"/>
    <w:rsid w:val="0036516C"/>
    <w:rsid w:val="00365297"/>
    <w:rsid w:val="00365631"/>
    <w:rsid w:val="003656BB"/>
    <w:rsid w:val="003658EF"/>
    <w:rsid w:val="0036590A"/>
    <w:rsid w:val="00365975"/>
    <w:rsid w:val="00365A78"/>
    <w:rsid w:val="00365AD1"/>
    <w:rsid w:val="00365BDE"/>
    <w:rsid w:val="00365DBD"/>
    <w:rsid w:val="00365F9B"/>
    <w:rsid w:val="00366226"/>
    <w:rsid w:val="00366237"/>
    <w:rsid w:val="003662BC"/>
    <w:rsid w:val="00366458"/>
    <w:rsid w:val="00366BE5"/>
    <w:rsid w:val="00366C51"/>
    <w:rsid w:val="00366D1F"/>
    <w:rsid w:val="00366DA1"/>
    <w:rsid w:val="00366FC4"/>
    <w:rsid w:val="00367113"/>
    <w:rsid w:val="00367134"/>
    <w:rsid w:val="00367224"/>
    <w:rsid w:val="003673D4"/>
    <w:rsid w:val="0036765B"/>
    <w:rsid w:val="003676AA"/>
    <w:rsid w:val="00367792"/>
    <w:rsid w:val="0036779C"/>
    <w:rsid w:val="003677B2"/>
    <w:rsid w:val="003677C6"/>
    <w:rsid w:val="00367BC5"/>
    <w:rsid w:val="003700BE"/>
    <w:rsid w:val="00370676"/>
    <w:rsid w:val="00370A36"/>
    <w:rsid w:val="00370B83"/>
    <w:rsid w:val="00370D48"/>
    <w:rsid w:val="00370DE9"/>
    <w:rsid w:val="003711D4"/>
    <w:rsid w:val="003711E0"/>
    <w:rsid w:val="003713BF"/>
    <w:rsid w:val="003713D6"/>
    <w:rsid w:val="003713DF"/>
    <w:rsid w:val="0037144D"/>
    <w:rsid w:val="00371478"/>
    <w:rsid w:val="003714D0"/>
    <w:rsid w:val="003715AE"/>
    <w:rsid w:val="003717F1"/>
    <w:rsid w:val="00371959"/>
    <w:rsid w:val="00371E76"/>
    <w:rsid w:val="00371F34"/>
    <w:rsid w:val="003720DC"/>
    <w:rsid w:val="0037212E"/>
    <w:rsid w:val="0037217A"/>
    <w:rsid w:val="0037220E"/>
    <w:rsid w:val="00372252"/>
    <w:rsid w:val="00372286"/>
    <w:rsid w:val="003722E5"/>
    <w:rsid w:val="003723B7"/>
    <w:rsid w:val="0037242A"/>
    <w:rsid w:val="00372566"/>
    <w:rsid w:val="003727EB"/>
    <w:rsid w:val="003727F6"/>
    <w:rsid w:val="003729E7"/>
    <w:rsid w:val="003729EC"/>
    <w:rsid w:val="00372A49"/>
    <w:rsid w:val="00372ABB"/>
    <w:rsid w:val="00372B6F"/>
    <w:rsid w:val="00372CB1"/>
    <w:rsid w:val="00372CD2"/>
    <w:rsid w:val="00372EFE"/>
    <w:rsid w:val="00372F18"/>
    <w:rsid w:val="00372F8A"/>
    <w:rsid w:val="003730D2"/>
    <w:rsid w:val="003732C5"/>
    <w:rsid w:val="003733B0"/>
    <w:rsid w:val="00373518"/>
    <w:rsid w:val="00373615"/>
    <w:rsid w:val="0037396F"/>
    <w:rsid w:val="00373C0F"/>
    <w:rsid w:val="00373EA9"/>
    <w:rsid w:val="00373FE0"/>
    <w:rsid w:val="00373FEF"/>
    <w:rsid w:val="003740A3"/>
    <w:rsid w:val="00374189"/>
    <w:rsid w:val="00374387"/>
    <w:rsid w:val="003744B5"/>
    <w:rsid w:val="003745B4"/>
    <w:rsid w:val="00374678"/>
    <w:rsid w:val="00374769"/>
    <w:rsid w:val="003747A3"/>
    <w:rsid w:val="00374882"/>
    <w:rsid w:val="00374C80"/>
    <w:rsid w:val="00374C8F"/>
    <w:rsid w:val="00374F44"/>
    <w:rsid w:val="003750C9"/>
    <w:rsid w:val="003750DB"/>
    <w:rsid w:val="00375251"/>
    <w:rsid w:val="0037533B"/>
    <w:rsid w:val="00375467"/>
    <w:rsid w:val="0037565E"/>
    <w:rsid w:val="00375881"/>
    <w:rsid w:val="0037590A"/>
    <w:rsid w:val="00375984"/>
    <w:rsid w:val="00375A4C"/>
    <w:rsid w:val="00375ACA"/>
    <w:rsid w:val="00375C94"/>
    <w:rsid w:val="00375F16"/>
    <w:rsid w:val="00375F8D"/>
    <w:rsid w:val="00376372"/>
    <w:rsid w:val="00376528"/>
    <w:rsid w:val="00376668"/>
    <w:rsid w:val="00376717"/>
    <w:rsid w:val="0037676D"/>
    <w:rsid w:val="0037685D"/>
    <w:rsid w:val="003769C5"/>
    <w:rsid w:val="00376B1D"/>
    <w:rsid w:val="00376BDE"/>
    <w:rsid w:val="00376C63"/>
    <w:rsid w:val="00376DAA"/>
    <w:rsid w:val="00376DBC"/>
    <w:rsid w:val="00376E89"/>
    <w:rsid w:val="00376FDE"/>
    <w:rsid w:val="003771BB"/>
    <w:rsid w:val="003772D9"/>
    <w:rsid w:val="003773F4"/>
    <w:rsid w:val="00377405"/>
    <w:rsid w:val="0037787F"/>
    <w:rsid w:val="00377881"/>
    <w:rsid w:val="0037789D"/>
    <w:rsid w:val="00377AE7"/>
    <w:rsid w:val="00377B36"/>
    <w:rsid w:val="00377C0D"/>
    <w:rsid w:val="00377C17"/>
    <w:rsid w:val="00377E35"/>
    <w:rsid w:val="00377F3F"/>
    <w:rsid w:val="0038011C"/>
    <w:rsid w:val="00380264"/>
    <w:rsid w:val="003804FC"/>
    <w:rsid w:val="003805CC"/>
    <w:rsid w:val="003806E1"/>
    <w:rsid w:val="00380850"/>
    <w:rsid w:val="003808BC"/>
    <w:rsid w:val="00380A0B"/>
    <w:rsid w:val="00380A82"/>
    <w:rsid w:val="00380BE0"/>
    <w:rsid w:val="00380DE0"/>
    <w:rsid w:val="00380EC0"/>
    <w:rsid w:val="003814B7"/>
    <w:rsid w:val="0038165F"/>
    <w:rsid w:val="0038182A"/>
    <w:rsid w:val="00381BA7"/>
    <w:rsid w:val="00381C8B"/>
    <w:rsid w:val="00382159"/>
    <w:rsid w:val="00382266"/>
    <w:rsid w:val="003822A3"/>
    <w:rsid w:val="003823A2"/>
    <w:rsid w:val="00382B06"/>
    <w:rsid w:val="00382B36"/>
    <w:rsid w:val="00382BF6"/>
    <w:rsid w:val="00382E7E"/>
    <w:rsid w:val="00383103"/>
    <w:rsid w:val="003832ED"/>
    <w:rsid w:val="00383350"/>
    <w:rsid w:val="00383388"/>
    <w:rsid w:val="003834D3"/>
    <w:rsid w:val="0038356A"/>
    <w:rsid w:val="00383801"/>
    <w:rsid w:val="00383947"/>
    <w:rsid w:val="00383957"/>
    <w:rsid w:val="0038395C"/>
    <w:rsid w:val="00383A2A"/>
    <w:rsid w:val="00383CA0"/>
    <w:rsid w:val="00383E6D"/>
    <w:rsid w:val="00383ED6"/>
    <w:rsid w:val="00383F14"/>
    <w:rsid w:val="0038411E"/>
    <w:rsid w:val="0038437B"/>
    <w:rsid w:val="003844A0"/>
    <w:rsid w:val="003844F3"/>
    <w:rsid w:val="003845B9"/>
    <w:rsid w:val="003845C6"/>
    <w:rsid w:val="003849ED"/>
    <w:rsid w:val="00384B2C"/>
    <w:rsid w:val="00384CF4"/>
    <w:rsid w:val="00384F63"/>
    <w:rsid w:val="00384FDD"/>
    <w:rsid w:val="00385284"/>
    <w:rsid w:val="003855B3"/>
    <w:rsid w:val="00385604"/>
    <w:rsid w:val="0038570D"/>
    <w:rsid w:val="00385A9D"/>
    <w:rsid w:val="00385B53"/>
    <w:rsid w:val="00385B91"/>
    <w:rsid w:val="00385C55"/>
    <w:rsid w:val="00385E3C"/>
    <w:rsid w:val="00385EE0"/>
    <w:rsid w:val="00386008"/>
    <w:rsid w:val="003865F1"/>
    <w:rsid w:val="0038670E"/>
    <w:rsid w:val="00386769"/>
    <w:rsid w:val="0038685F"/>
    <w:rsid w:val="00386B00"/>
    <w:rsid w:val="00386CC2"/>
    <w:rsid w:val="00386E0E"/>
    <w:rsid w:val="00386FCF"/>
    <w:rsid w:val="00386FD6"/>
    <w:rsid w:val="0038706E"/>
    <w:rsid w:val="00387206"/>
    <w:rsid w:val="0038732F"/>
    <w:rsid w:val="003874E1"/>
    <w:rsid w:val="0038756E"/>
    <w:rsid w:val="0038762C"/>
    <w:rsid w:val="003876BC"/>
    <w:rsid w:val="0038776A"/>
    <w:rsid w:val="0038799A"/>
    <w:rsid w:val="00387B19"/>
    <w:rsid w:val="00387E91"/>
    <w:rsid w:val="00387FE9"/>
    <w:rsid w:val="00390034"/>
    <w:rsid w:val="00390048"/>
    <w:rsid w:val="003903A8"/>
    <w:rsid w:val="003904D1"/>
    <w:rsid w:val="0039052A"/>
    <w:rsid w:val="003906FB"/>
    <w:rsid w:val="003907B5"/>
    <w:rsid w:val="003908D8"/>
    <w:rsid w:val="00390A6A"/>
    <w:rsid w:val="00390C8B"/>
    <w:rsid w:val="00390D4D"/>
    <w:rsid w:val="00390E11"/>
    <w:rsid w:val="00390F3A"/>
    <w:rsid w:val="003911ED"/>
    <w:rsid w:val="00391250"/>
    <w:rsid w:val="003913AB"/>
    <w:rsid w:val="003913E1"/>
    <w:rsid w:val="0039148F"/>
    <w:rsid w:val="0039149D"/>
    <w:rsid w:val="003918B6"/>
    <w:rsid w:val="003918E2"/>
    <w:rsid w:val="00391926"/>
    <w:rsid w:val="00391ADC"/>
    <w:rsid w:val="00391C8F"/>
    <w:rsid w:val="00391E7B"/>
    <w:rsid w:val="00392095"/>
    <w:rsid w:val="003921C4"/>
    <w:rsid w:val="003921D2"/>
    <w:rsid w:val="00392444"/>
    <w:rsid w:val="0039246C"/>
    <w:rsid w:val="00392AD7"/>
    <w:rsid w:val="00392D16"/>
    <w:rsid w:val="00392D23"/>
    <w:rsid w:val="00392F95"/>
    <w:rsid w:val="0039313B"/>
    <w:rsid w:val="003934E1"/>
    <w:rsid w:val="0039362A"/>
    <w:rsid w:val="00393746"/>
    <w:rsid w:val="0039382C"/>
    <w:rsid w:val="00393A04"/>
    <w:rsid w:val="00393C3D"/>
    <w:rsid w:val="00393D43"/>
    <w:rsid w:val="00393D5C"/>
    <w:rsid w:val="00393D81"/>
    <w:rsid w:val="00393DBB"/>
    <w:rsid w:val="00393E6A"/>
    <w:rsid w:val="00393F71"/>
    <w:rsid w:val="00393FB4"/>
    <w:rsid w:val="00393FE6"/>
    <w:rsid w:val="00394233"/>
    <w:rsid w:val="003945DD"/>
    <w:rsid w:val="0039468B"/>
    <w:rsid w:val="00394914"/>
    <w:rsid w:val="0039494A"/>
    <w:rsid w:val="00394AFA"/>
    <w:rsid w:val="00394C5D"/>
    <w:rsid w:val="00394C8B"/>
    <w:rsid w:val="00394D60"/>
    <w:rsid w:val="00394FB9"/>
    <w:rsid w:val="00394FCB"/>
    <w:rsid w:val="0039521E"/>
    <w:rsid w:val="00395295"/>
    <w:rsid w:val="0039534A"/>
    <w:rsid w:val="003954C8"/>
    <w:rsid w:val="003954E9"/>
    <w:rsid w:val="00395525"/>
    <w:rsid w:val="003956ED"/>
    <w:rsid w:val="00395741"/>
    <w:rsid w:val="00395849"/>
    <w:rsid w:val="003958E1"/>
    <w:rsid w:val="00395CED"/>
    <w:rsid w:val="00395D96"/>
    <w:rsid w:val="00395F3E"/>
    <w:rsid w:val="00396018"/>
    <w:rsid w:val="00396179"/>
    <w:rsid w:val="003961A9"/>
    <w:rsid w:val="003961D8"/>
    <w:rsid w:val="003961F9"/>
    <w:rsid w:val="003962E8"/>
    <w:rsid w:val="0039640E"/>
    <w:rsid w:val="00396512"/>
    <w:rsid w:val="00396712"/>
    <w:rsid w:val="00396722"/>
    <w:rsid w:val="003967C8"/>
    <w:rsid w:val="003967CD"/>
    <w:rsid w:val="00396858"/>
    <w:rsid w:val="0039699B"/>
    <w:rsid w:val="00396A0C"/>
    <w:rsid w:val="00396A4D"/>
    <w:rsid w:val="00396B88"/>
    <w:rsid w:val="00396E5E"/>
    <w:rsid w:val="00396E5F"/>
    <w:rsid w:val="00396F37"/>
    <w:rsid w:val="00397072"/>
    <w:rsid w:val="00397135"/>
    <w:rsid w:val="00397236"/>
    <w:rsid w:val="0039727D"/>
    <w:rsid w:val="00397320"/>
    <w:rsid w:val="0039738B"/>
    <w:rsid w:val="00397412"/>
    <w:rsid w:val="003976F7"/>
    <w:rsid w:val="0039777C"/>
    <w:rsid w:val="003977FF"/>
    <w:rsid w:val="0039794D"/>
    <w:rsid w:val="00397A62"/>
    <w:rsid w:val="00397A65"/>
    <w:rsid w:val="00397B2B"/>
    <w:rsid w:val="00397BA1"/>
    <w:rsid w:val="00397F23"/>
    <w:rsid w:val="00397FED"/>
    <w:rsid w:val="003A0104"/>
    <w:rsid w:val="003A0331"/>
    <w:rsid w:val="003A0823"/>
    <w:rsid w:val="003A0910"/>
    <w:rsid w:val="003A0A00"/>
    <w:rsid w:val="003A0ADD"/>
    <w:rsid w:val="003A0B83"/>
    <w:rsid w:val="003A0C0C"/>
    <w:rsid w:val="003A0CCE"/>
    <w:rsid w:val="003A0DB5"/>
    <w:rsid w:val="003A0DF9"/>
    <w:rsid w:val="003A0F2B"/>
    <w:rsid w:val="003A1089"/>
    <w:rsid w:val="003A1095"/>
    <w:rsid w:val="003A11A4"/>
    <w:rsid w:val="003A11BD"/>
    <w:rsid w:val="003A12A0"/>
    <w:rsid w:val="003A15AA"/>
    <w:rsid w:val="003A15AC"/>
    <w:rsid w:val="003A15DD"/>
    <w:rsid w:val="003A1768"/>
    <w:rsid w:val="003A179E"/>
    <w:rsid w:val="003A1F0A"/>
    <w:rsid w:val="003A200A"/>
    <w:rsid w:val="003A2018"/>
    <w:rsid w:val="003A20FB"/>
    <w:rsid w:val="003A21DF"/>
    <w:rsid w:val="003A2346"/>
    <w:rsid w:val="003A236A"/>
    <w:rsid w:val="003A23F2"/>
    <w:rsid w:val="003A2494"/>
    <w:rsid w:val="003A2594"/>
    <w:rsid w:val="003A25D3"/>
    <w:rsid w:val="003A284B"/>
    <w:rsid w:val="003A29F8"/>
    <w:rsid w:val="003A2C40"/>
    <w:rsid w:val="003A2E2D"/>
    <w:rsid w:val="003A2E44"/>
    <w:rsid w:val="003A3082"/>
    <w:rsid w:val="003A352C"/>
    <w:rsid w:val="003A3579"/>
    <w:rsid w:val="003A360A"/>
    <w:rsid w:val="003A3687"/>
    <w:rsid w:val="003A37BE"/>
    <w:rsid w:val="003A3808"/>
    <w:rsid w:val="003A3815"/>
    <w:rsid w:val="003A395F"/>
    <w:rsid w:val="003A3963"/>
    <w:rsid w:val="003A3D35"/>
    <w:rsid w:val="003A409B"/>
    <w:rsid w:val="003A40B6"/>
    <w:rsid w:val="003A4345"/>
    <w:rsid w:val="003A435E"/>
    <w:rsid w:val="003A43F6"/>
    <w:rsid w:val="003A4468"/>
    <w:rsid w:val="003A4821"/>
    <w:rsid w:val="003A49E6"/>
    <w:rsid w:val="003A4BA9"/>
    <w:rsid w:val="003A51C6"/>
    <w:rsid w:val="003A5377"/>
    <w:rsid w:val="003A5666"/>
    <w:rsid w:val="003A5698"/>
    <w:rsid w:val="003A5895"/>
    <w:rsid w:val="003A5A61"/>
    <w:rsid w:val="003A5A6F"/>
    <w:rsid w:val="003A5B5E"/>
    <w:rsid w:val="003A5BD5"/>
    <w:rsid w:val="003A5FB4"/>
    <w:rsid w:val="003A60E0"/>
    <w:rsid w:val="003A6213"/>
    <w:rsid w:val="003A64CE"/>
    <w:rsid w:val="003A6514"/>
    <w:rsid w:val="003A6587"/>
    <w:rsid w:val="003A6766"/>
    <w:rsid w:val="003A6936"/>
    <w:rsid w:val="003A6A4C"/>
    <w:rsid w:val="003A6AFE"/>
    <w:rsid w:val="003A6B1B"/>
    <w:rsid w:val="003A6E6A"/>
    <w:rsid w:val="003A70E1"/>
    <w:rsid w:val="003A7129"/>
    <w:rsid w:val="003A71A9"/>
    <w:rsid w:val="003A726A"/>
    <w:rsid w:val="003A7359"/>
    <w:rsid w:val="003A736F"/>
    <w:rsid w:val="003A7608"/>
    <w:rsid w:val="003A76F1"/>
    <w:rsid w:val="003A77B7"/>
    <w:rsid w:val="003A7817"/>
    <w:rsid w:val="003A784A"/>
    <w:rsid w:val="003A7956"/>
    <w:rsid w:val="003A79AE"/>
    <w:rsid w:val="003A79E5"/>
    <w:rsid w:val="003A7B7C"/>
    <w:rsid w:val="003A7CC5"/>
    <w:rsid w:val="003A7EB1"/>
    <w:rsid w:val="003B0257"/>
    <w:rsid w:val="003B030D"/>
    <w:rsid w:val="003B07BC"/>
    <w:rsid w:val="003B08A4"/>
    <w:rsid w:val="003B0BB8"/>
    <w:rsid w:val="003B0DBB"/>
    <w:rsid w:val="003B0E29"/>
    <w:rsid w:val="003B1140"/>
    <w:rsid w:val="003B120E"/>
    <w:rsid w:val="003B12C0"/>
    <w:rsid w:val="003B1382"/>
    <w:rsid w:val="003B17B3"/>
    <w:rsid w:val="003B1967"/>
    <w:rsid w:val="003B19D6"/>
    <w:rsid w:val="003B19F1"/>
    <w:rsid w:val="003B1A18"/>
    <w:rsid w:val="003B1A7C"/>
    <w:rsid w:val="003B1B67"/>
    <w:rsid w:val="003B1B7E"/>
    <w:rsid w:val="003B1C88"/>
    <w:rsid w:val="003B1F4E"/>
    <w:rsid w:val="003B1F8B"/>
    <w:rsid w:val="003B2194"/>
    <w:rsid w:val="003B2251"/>
    <w:rsid w:val="003B226E"/>
    <w:rsid w:val="003B230D"/>
    <w:rsid w:val="003B2442"/>
    <w:rsid w:val="003B27F5"/>
    <w:rsid w:val="003B297F"/>
    <w:rsid w:val="003B29A1"/>
    <w:rsid w:val="003B2A9A"/>
    <w:rsid w:val="003B2ABB"/>
    <w:rsid w:val="003B2BE7"/>
    <w:rsid w:val="003B2C19"/>
    <w:rsid w:val="003B2E85"/>
    <w:rsid w:val="003B2FCD"/>
    <w:rsid w:val="003B313A"/>
    <w:rsid w:val="003B32DA"/>
    <w:rsid w:val="003B34A2"/>
    <w:rsid w:val="003B351F"/>
    <w:rsid w:val="003B35BC"/>
    <w:rsid w:val="003B3817"/>
    <w:rsid w:val="003B3A5E"/>
    <w:rsid w:val="003B3AC3"/>
    <w:rsid w:val="003B3AC8"/>
    <w:rsid w:val="003B3CA6"/>
    <w:rsid w:val="003B3E2A"/>
    <w:rsid w:val="003B43BA"/>
    <w:rsid w:val="003B43C2"/>
    <w:rsid w:val="003B43E6"/>
    <w:rsid w:val="003B44FA"/>
    <w:rsid w:val="003B4558"/>
    <w:rsid w:val="003B4597"/>
    <w:rsid w:val="003B47EB"/>
    <w:rsid w:val="003B48AF"/>
    <w:rsid w:val="003B495A"/>
    <w:rsid w:val="003B4A0C"/>
    <w:rsid w:val="003B4A11"/>
    <w:rsid w:val="003B4B27"/>
    <w:rsid w:val="003B4C11"/>
    <w:rsid w:val="003B4D09"/>
    <w:rsid w:val="003B4EBB"/>
    <w:rsid w:val="003B4F0E"/>
    <w:rsid w:val="003B506F"/>
    <w:rsid w:val="003B53A1"/>
    <w:rsid w:val="003B5412"/>
    <w:rsid w:val="003B5591"/>
    <w:rsid w:val="003B5603"/>
    <w:rsid w:val="003B58ED"/>
    <w:rsid w:val="003B590E"/>
    <w:rsid w:val="003B5A21"/>
    <w:rsid w:val="003B5A40"/>
    <w:rsid w:val="003B5B02"/>
    <w:rsid w:val="003B5B2D"/>
    <w:rsid w:val="003B5EFF"/>
    <w:rsid w:val="003B6885"/>
    <w:rsid w:val="003B69D9"/>
    <w:rsid w:val="003B6CC8"/>
    <w:rsid w:val="003B6DB5"/>
    <w:rsid w:val="003B6E06"/>
    <w:rsid w:val="003B6E95"/>
    <w:rsid w:val="003B7092"/>
    <w:rsid w:val="003B727B"/>
    <w:rsid w:val="003B757F"/>
    <w:rsid w:val="003B7600"/>
    <w:rsid w:val="003B76F2"/>
    <w:rsid w:val="003B773A"/>
    <w:rsid w:val="003B7BE2"/>
    <w:rsid w:val="003B7E43"/>
    <w:rsid w:val="003B7E88"/>
    <w:rsid w:val="003B7EBB"/>
    <w:rsid w:val="003B7EE5"/>
    <w:rsid w:val="003B7FA3"/>
    <w:rsid w:val="003C0099"/>
    <w:rsid w:val="003C0169"/>
    <w:rsid w:val="003C019E"/>
    <w:rsid w:val="003C01EC"/>
    <w:rsid w:val="003C0215"/>
    <w:rsid w:val="003C0261"/>
    <w:rsid w:val="003C0301"/>
    <w:rsid w:val="003C036B"/>
    <w:rsid w:val="003C03DA"/>
    <w:rsid w:val="003C058F"/>
    <w:rsid w:val="003C0620"/>
    <w:rsid w:val="003C0A79"/>
    <w:rsid w:val="003C0B14"/>
    <w:rsid w:val="003C0C04"/>
    <w:rsid w:val="003C101B"/>
    <w:rsid w:val="003C10F8"/>
    <w:rsid w:val="003C1146"/>
    <w:rsid w:val="003C12A1"/>
    <w:rsid w:val="003C155B"/>
    <w:rsid w:val="003C15A0"/>
    <w:rsid w:val="003C15FB"/>
    <w:rsid w:val="003C1718"/>
    <w:rsid w:val="003C18A8"/>
    <w:rsid w:val="003C19C4"/>
    <w:rsid w:val="003C1A1E"/>
    <w:rsid w:val="003C1B12"/>
    <w:rsid w:val="003C1C43"/>
    <w:rsid w:val="003C1E82"/>
    <w:rsid w:val="003C1ECC"/>
    <w:rsid w:val="003C1ED4"/>
    <w:rsid w:val="003C1FA0"/>
    <w:rsid w:val="003C2042"/>
    <w:rsid w:val="003C2093"/>
    <w:rsid w:val="003C20FD"/>
    <w:rsid w:val="003C2121"/>
    <w:rsid w:val="003C213A"/>
    <w:rsid w:val="003C2312"/>
    <w:rsid w:val="003C246A"/>
    <w:rsid w:val="003C24BD"/>
    <w:rsid w:val="003C2663"/>
    <w:rsid w:val="003C2731"/>
    <w:rsid w:val="003C27CB"/>
    <w:rsid w:val="003C2903"/>
    <w:rsid w:val="003C2948"/>
    <w:rsid w:val="003C2A3C"/>
    <w:rsid w:val="003C2C1F"/>
    <w:rsid w:val="003C2D08"/>
    <w:rsid w:val="003C2FD1"/>
    <w:rsid w:val="003C2FF7"/>
    <w:rsid w:val="003C3084"/>
    <w:rsid w:val="003C30F1"/>
    <w:rsid w:val="003C312C"/>
    <w:rsid w:val="003C31BC"/>
    <w:rsid w:val="003C3296"/>
    <w:rsid w:val="003C329C"/>
    <w:rsid w:val="003C33AC"/>
    <w:rsid w:val="003C349F"/>
    <w:rsid w:val="003C3748"/>
    <w:rsid w:val="003C3757"/>
    <w:rsid w:val="003C375D"/>
    <w:rsid w:val="003C378B"/>
    <w:rsid w:val="003C37DA"/>
    <w:rsid w:val="003C3888"/>
    <w:rsid w:val="003C39FF"/>
    <w:rsid w:val="003C3D3D"/>
    <w:rsid w:val="003C3F7A"/>
    <w:rsid w:val="003C3FE7"/>
    <w:rsid w:val="003C3FF4"/>
    <w:rsid w:val="003C433D"/>
    <w:rsid w:val="003C435C"/>
    <w:rsid w:val="003C4426"/>
    <w:rsid w:val="003C44D2"/>
    <w:rsid w:val="003C4519"/>
    <w:rsid w:val="003C4A1C"/>
    <w:rsid w:val="003C4AFD"/>
    <w:rsid w:val="003C4B35"/>
    <w:rsid w:val="003C4B4D"/>
    <w:rsid w:val="003C4F2E"/>
    <w:rsid w:val="003C4F4F"/>
    <w:rsid w:val="003C4F95"/>
    <w:rsid w:val="003C50AC"/>
    <w:rsid w:val="003C515D"/>
    <w:rsid w:val="003C522C"/>
    <w:rsid w:val="003C54DB"/>
    <w:rsid w:val="003C56CA"/>
    <w:rsid w:val="003C5A20"/>
    <w:rsid w:val="003C5BA8"/>
    <w:rsid w:val="003C5ECE"/>
    <w:rsid w:val="003C5F8E"/>
    <w:rsid w:val="003C6073"/>
    <w:rsid w:val="003C61BF"/>
    <w:rsid w:val="003C626A"/>
    <w:rsid w:val="003C660B"/>
    <w:rsid w:val="003C6675"/>
    <w:rsid w:val="003C6765"/>
    <w:rsid w:val="003C67E9"/>
    <w:rsid w:val="003C6999"/>
    <w:rsid w:val="003C69EF"/>
    <w:rsid w:val="003C6A61"/>
    <w:rsid w:val="003C6DC0"/>
    <w:rsid w:val="003C6E1C"/>
    <w:rsid w:val="003C6F28"/>
    <w:rsid w:val="003C73A7"/>
    <w:rsid w:val="003C7432"/>
    <w:rsid w:val="003C76F5"/>
    <w:rsid w:val="003C799A"/>
    <w:rsid w:val="003C7A9A"/>
    <w:rsid w:val="003C7BA1"/>
    <w:rsid w:val="003C7BF4"/>
    <w:rsid w:val="003C7FDD"/>
    <w:rsid w:val="003D0288"/>
    <w:rsid w:val="003D02E3"/>
    <w:rsid w:val="003D0678"/>
    <w:rsid w:val="003D0925"/>
    <w:rsid w:val="003D0B5E"/>
    <w:rsid w:val="003D0BBD"/>
    <w:rsid w:val="003D0D17"/>
    <w:rsid w:val="003D11A5"/>
    <w:rsid w:val="003D1225"/>
    <w:rsid w:val="003D1304"/>
    <w:rsid w:val="003D132B"/>
    <w:rsid w:val="003D1749"/>
    <w:rsid w:val="003D1773"/>
    <w:rsid w:val="003D17AA"/>
    <w:rsid w:val="003D197B"/>
    <w:rsid w:val="003D1A6F"/>
    <w:rsid w:val="003D1AA0"/>
    <w:rsid w:val="003D1ABE"/>
    <w:rsid w:val="003D1CEF"/>
    <w:rsid w:val="003D1E9C"/>
    <w:rsid w:val="003D1EFE"/>
    <w:rsid w:val="003D1F0E"/>
    <w:rsid w:val="003D1F1C"/>
    <w:rsid w:val="003D205E"/>
    <w:rsid w:val="003D2110"/>
    <w:rsid w:val="003D2261"/>
    <w:rsid w:val="003D2386"/>
    <w:rsid w:val="003D2560"/>
    <w:rsid w:val="003D25A5"/>
    <w:rsid w:val="003D2615"/>
    <w:rsid w:val="003D267F"/>
    <w:rsid w:val="003D29AD"/>
    <w:rsid w:val="003D29D3"/>
    <w:rsid w:val="003D2AB2"/>
    <w:rsid w:val="003D2BD2"/>
    <w:rsid w:val="003D2C0D"/>
    <w:rsid w:val="003D302F"/>
    <w:rsid w:val="003D3295"/>
    <w:rsid w:val="003D33C1"/>
    <w:rsid w:val="003D3444"/>
    <w:rsid w:val="003D3459"/>
    <w:rsid w:val="003D37DD"/>
    <w:rsid w:val="003D38BE"/>
    <w:rsid w:val="003D39D1"/>
    <w:rsid w:val="003D4073"/>
    <w:rsid w:val="003D4124"/>
    <w:rsid w:val="003D412E"/>
    <w:rsid w:val="003D4377"/>
    <w:rsid w:val="003D4384"/>
    <w:rsid w:val="003D4587"/>
    <w:rsid w:val="003D468C"/>
    <w:rsid w:val="003D48B6"/>
    <w:rsid w:val="003D4B4D"/>
    <w:rsid w:val="003D4BF8"/>
    <w:rsid w:val="003D4E05"/>
    <w:rsid w:val="003D507B"/>
    <w:rsid w:val="003D524A"/>
    <w:rsid w:val="003D53ED"/>
    <w:rsid w:val="003D550E"/>
    <w:rsid w:val="003D5605"/>
    <w:rsid w:val="003D560A"/>
    <w:rsid w:val="003D5699"/>
    <w:rsid w:val="003D57F1"/>
    <w:rsid w:val="003D5A19"/>
    <w:rsid w:val="003D5BA0"/>
    <w:rsid w:val="003D5C40"/>
    <w:rsid w:val="003D5DB2"/>
    <w:rsid w:val="003D5F03"/>
    <w:rsid w:val="003D6146"/>
    <w:rsid w:val="003D61AB"/>
    <w:rsid w:val="003D61C5"/>
    <w:rsid w:val="003D622F"/>
    <w:rsid w:val="003D6441"/>
    <w:rsid w:val="003D6582"/>
    <w:rsid w:val="003D6922"/>
    <w:rsid w:val="003D6AD9"/>
    <w:rsid w:val="003D6F27"/>
    <w:rsid w:val="003D6F67"/>
    <w:rsid w:val="003D6FE5"/>
    <w:rsid w:val="003D7007"/>
    <w:rsid w:val="003D706E"/>
    <w:rsid w:val="003D7258"/>
    <w:rsid w:val="003D7259"/>
    <w:rsid w:val="003D72F6"/>
    <w:rsid w:val="003D744C"/>
    <w:rsid w:val="003D7468"/>
    <w:rsid w:val="003D76E3"/>
    <w:rsid w:val="003D7844"/>
    <w:rsid w:val="003D7BBA"/>
    <w:rsid w:val="003D7C94"/>
    <w:rsid w:val="003D7D2F"/>
    <w:rsid w:val="003D7DA6"/>
    <w:rsid w:val="003D7DCA"/>
    <w:rsid w:val="003D7F65"/>
    <w:rsid w:val="003E000E"/>
    <w:rsid w:val="003E01D2"/>
    <w:rsid w:val="003E01DA"/>
    <w:rsid w:val="003E01FD"/>
    <w:rsid w:val="003E0325"/>
    <w:rsid w:val="003E03B2"/>
    <w:rsid w:val="003E0470"/>
    <w:rsid w:val="003E0489"/>
    <w:rsid w:val="003E0551"/>
    <w:rsid w:val="003E057C"/>
    <w:rsid w:val="003E0711"/>
    <w:rsid w:val="003E0AC8"/>
    <w:rsid w:val="003E0BC2"/>
    <w:rsid w:val="003E0CDA"/>
    <w:rsid w:val="003E0CE8"/>
    <w:rsid w:val="003E0D74"/>
    <w:rsid w:val="003E0E40"/>
    <w:rsid w:val="003E0F5B"/>
    <w:rsid w:val="003E0FC6"/>
    <w:rsid w:val="003E100A"/>
    <w:rsid w:val="003E1091"/>
    <w:rsid w:val="003E10B4"/>
    <w:rsid w:val="003E1659"/>
    <w:rsid w:val="003E167F"/>
    <w:rsid w:val="003E17D5"/>
    <w:rsid w:val="003E188D"/>
    <w:rsid w:val="003E18B1"/>
    <w:rsid w:val="003E1BF9"/>
    <w:rsid w:val="003E1CED"/>
    <w:rsid w:val="003E1E58"/>
    <w:rsid w:val="003E1F15"/>
    <w:rsid w:val="003E214A"/>
    <w:rsid w:val="003E23DE"/>
    <w:rsid w:val="003E243C"/>
    <w:rsid w:val="003E2536"/>
    <w:rsid w:val="003E2602"/>
    <w:rsid w:val="003E2631"/>
    <w:rsid w:val="003E26D4"/>
    <w:rsid w:val="003E271F"/>
    <w:rsid w:val="003E2965"/>
    <w:rsid w:val="003E29E9"/>
    <w:rsid w:val="003E29F2"/>
    <w:rsid w:val="003E29F5"/>
    <w:rsid w:val="003E2EE1"/>
    <w:rsid w:val="003E2F01"/>
    <w:rsid w:val="003E2F19"/>
    <w:rsid w:val="003E2F85"/>
    <w:rsid w:val="003E320A"/>
    <w:rsid w:val="003E3340"/>
    <w:rsid w:val="003E338B"/>
    <w:rsid w:val="003E3435"/>
    <w:rsid w:val="003E361A"/>
    <w:rsid w:val="003E3641"/>
    <w:rsid w:val="003E368F"/>
    <w:rsid w:val="003E37F8"/>
    <w:rsid w:val="003E3843"/>
    <w:rsid w:val="003E399C"/>
    <w:rsid w:val="003E3CB6"/>
    <w:rsid w:val="003E3D20"/>
    <w:rsid w:val="003E3FEB"/>
    <w:rsid w:val="003E41FE"/>
    <w:rsid w:val="003E4390"/>
    <w:rsid w:val="003E45EC"/>
    <w:rsid w:val="003E46B3"/>
    <w:rsid w:val="003E476C"/>
    <w:rsid w:val="003E48B8"/>
    <w:rsid w:val="003E4921"/>
    <w:rsid w:val="003E4B0F"/>
    <w:rsid w:val="003E4BDB"/>
    <w:rsid w:val="003E4D4B"/>
    <w:rsid w:val="003E4DFD"/>
    <w:rsid w:val="003E4E24"/>
    <w:rsid w:val="003E4E5F"/>
    <w:rsid w:val="003E4EE5"/>
    <w:rsid w:val="003E50A3"/>
    <w:rsid w:val="003E53B1"/>
    <w:rsid w:val="003E53DB"/>
    <w:rsid w:val="003E541B"/>
    <w:rsid w:val="003E54FC"/>
    <w:rsid w:val="003E554D"/>
    <w:rsid w:val="003E5585"/>
    <w:rsid w:val="003E5909"/>
    <w:rsid w:val="003E5999"/>
    <w:rsid w:val="003E5A31"/>
    <w:rsid w:val="003E5A77"/>
    <w:rsid w:val="003E5B23"/>
    <w:rsid w:val="003E5BDF"/>
    <w:rsid w:val="003E5DD6"/>
    <w:rsid w:val="003E5F0F"/>
    <w:rsid w:val="003E606C"/>
    <w:rsid w:val="003E60F4"/>
    <w:rsid w:val="003E62AD"/>
    <w:rsid w:val="003E66A8"/>
    <w:rsid w:val="003E6726"/>
    <w:rsid w:val="003E67F8"/>
    <w:rsid w:val="003E681D"/>
    <w:rsid w:val="003E68B5"/>
    <w:rsid w:val="003E6C20"/>
    <w:rsid w:val="003E6D80"/>
    <w:rsid w:val="003E6E50"/>
    <w:rsid w:val="003E6F2F"/>
    <w:rsid w:val="003E716F"/>
    <w:rsid w:val="003E71D2"/>
    <w:rsid w:val="003E72DF"/>
    <w:rsid w:val="003E7377"/>
    <w:rsid w:val="003E74A9"/>
    <w:rsid w:val="003E78DE"/>
    <w:rsid w:val="003E7C11"/>
    <w:rsid w:val="003E7E33"/>
    <w:rsid w:val="003E7F3E"/>
    <w:rsid w:val="003E7FB5"/>
    <w:rsid w:val="003F0123"/>
    <w:rsid w:val="003F01AD"/>
    <w:rsid w:val="003F01F5"/>
    <w:rsid w:val="003F0275"/>
    <w:rsid w:val="003F0384"/>
    <w:rsid w:val="003F0473"/>
    <w:rsid w:val="003F0658"/>
    <w:rsid w:val="003F0760"/>
    <w:rsid w:val="003F0A16"/>
    <w:rsid w:val="003F0D6E"/>
    <w:rsid w:val="003F0F1F"/>
    <w:rsid w:val="003F119E"/>
    <w:rsid w:val="003F1257"/>
    <w:rsid w:val="003F13A5"/>
    <w:rsid w:val="003F1797"/>
    <w:rsid w:val="003F1E91"/>
    <w:rsid w:val="003F1EEB"/>
    <w:rsid w:val="003F1F43"/>
    <w:rsid w:val="003F21ED"/>
    <w:rsid w:val="003F2236"/>
    <w:rsid w:val="003F229D"/>
    <w:rsid w:val="003F23FE"/>
    <w:rsid w:val="003F2526"/>
    <w:rsid w:val="003F26E4"/>
    <w:rsid w:val="003F2738"/>
    <w:rsid w:val="003F28C5"/>
    <w:rsid w:val="003F28CF"/>
    <w:rsid w:val="003F2A10"/>
    <w:rsid w:val="003F2A9C"/>
    <w:rsid w:val="003F2AAA"/>
    <w:rsid w:val="003F2C90"/>
    <w:rsid w:val="003F2EB2"/>
    <w:rsid w:val="003F2F6C"/>
    <w:rsid w:val="003F3086"/>
    <w:rsid w:val="003F368B"/>
    <w:rsid w:val="003F398E"/>
    <w:rsid w:val="003F3BB4"/>
    <w:rsid w:val="003F3C12"/>
    <w:rsid w:val="003F3C7F"/>
    <w:rsid w:val="003F3DFE"/>
    <w:rsid w:val="003F3F27"/>
    <w:rsid w:val="003F3FE7"/>
    <w:rsid w:val="003F4067"/>
    <w:rsid w:val="003F4496"/>
    <w:rsid w:val="003F45F5"/>
    <w:rsid w:val="003F4684"/>
    <w:rsid w:val="003F4843"/>
    <w:rsid w:val="003F48E3"/>
    <w:rsid w:val="003F4984"/>
    <w:rsid w:val="003F49EF"/>
    <w:rsid w:val="003F4C83"/>
    <w:rsid w:val="003F4D0B"/>
    <w:rsid w:val="003F4DDB"/>
    <w:rsid w:val="003F4EBD"/>
    <w:rsid w:val="003F4EED"/>
    <w:rsid w:val="003F4F6B"/>
    <w:rsid w:val="003F4F94"/>
    <w:rsid w:val="003F5115"/>
    <w:rsid w:val="003F546A"/>
    <w:rsid w:val="003F5542"/>
    <w:rsid w:val="003F56EF"/>
    <w:rsid w:val="003F5807"/>
    <w:rsid w:val="003F58CB"/>
    <w:rsid w:val="003F591F"/>
    <w:rsid w:val="003F5961"/>
    <w:rsid w:val="003F5A5A"/>
    <w:rsid w:val="003F5AB2"/>
    <w:rsid w:val="003F5BC4"/>
    <w:rsid w:val="003F5C11"/>
    <w:rsid w:val="003F5C54"/>
    <w:rsid w:val="003F5E89"/>
    <w:rsid w:val="003F5F18"/>
    <w:rsid w:val="003F5F9B"/>
    <w:rsid w:val="003F61C9"/>
    <w:rsid w:val="003F6210"/>
    <w:rsid w:val="003F62C3"/>
    <w:rsid w:val="003F6486"/>
    <w:rsid w:val="003F64C7"/>
    <w:rsid w:val="003F6848"/>
    <w:rsid w:val="003F6A89"/>
    <w:rsid w:val="003F6F15"/>
    <w:rsid w:val="003F6F2C"/>
    <w:rsid w:val="003F6F53"/>
    <w:rsid w:val="003F71B2"/>
    <w:rsid w:val="003F742C"/>
    <w:rsid w:val="003F751E"/>
    <w:rsid w:val="003F7617"/>
    <w:rsid w:val="003F7781"/>
    <w:rsid w:val="003F7D21"/>
    <w:rsid w:val="0040006E"/>
    <w:rsid w:val="004001CA"/>
    <w:rsid w:val="00400229"/>
    <w:rsid w:val="00400275"/>
    <w:rsid w:val="004002E8"/>
    <w:rsid w:val="004004E8"/>
    <w:rsid w:val="004005DB"/>
    <w:rsid w:val="00400659"/>
    <w:rsid w:val="004007D6"/>
    <w:rsid w:val="004008D4"/>
    <w:rsid w:val="0040091D"/>
    <w:rsid w:val="00400BC2"/>
    <w:rsid w:val="00400BFA"/>
    <w:rsid w:val="00400C3C"/>
    <w:rsid w:val="00400D85"/>
    <w:rsid w:val="00400F7F"/>
    <w:rsid w:val="00400FB6"/>
    <w:rsid w:val="00401030"/>
    <w:rsid w:val="00401057"/>
    <w:rsid w:val="0040113E"/>
    <w:rsid w:val="004011B7"/>
    <w:rsid w:val="00401294"/>
    <w:rsid w:val="0040139B"/>
    <w:rsid w:val="00401455"/>
    <w:rsid w:val="00401B7A"/>
    <w:rsid w:val="00401C2C"/>
    <w:rsid w:val="00401ECE"/>
    <w:rsid w:val="004020F1"/>
    <w:rsid w:val="004021FA"/>
    <w:rsid w:val="00402359"/>
    <w:rsid w:val="0040239C"/>
    <w:rsid w:val="004024B6"/>
    <w:rsid w:val="00402507"/>
    <w:rsid w:val="0040258D"/>
    <w:rsid w:val="0040273F"/>
    <w:rsid w:val="00402AD5"/>
    <w:rsid w:val="00402AFD"/>
    <w:rsid w:val="00402B39"/>
    <w:rsid w:val="00402EDF"/>
    <w:rsid w:val="00402EF7"/>
    <w:rsid w:val="004030CF"/>
    <w:rsid w:val="00403365"/>
    <w:rsid w:val="0040344B"/>
    <w:rsid w:val="004034CF"/>
    <w:rsid w:val="00403593"/>
    <w:rsid w:val="004036D7"/>
    <w:rsid w:val="0040390B"/>
    <w:rsid w:val="00403918"/>
    <w:rsid w:val="00403926"/>
    <w:rsid w:val="004039C9"/>
    <w:rsid w:val="00403A6B"/>
    <w:rsid w:val="00403C0C"/>
    <w:rsid w:val="00403D9C"/>
    <w:rsid w:val="00403DA5"/>
    <w:rsid w:val="00403E87"/>
    <w:rsid w:val="00403F72"/>
    <w:rsid w:val="00404207"/>
    <w:rsid w:val="00404408"/>
    <w:rsid w:val="004046D3"/>
    <w:rsid w:val="00404975"/>
    <w:rsid w:val="00404978"/>
    <w:rsid w:val="00404CA5"/>
    <w:rsid w:val="00404D7A"/>
    <w:rsid w:val="00404DDF"/>
    <w:rsid w:val="00404F36"/>
    <w:rsid w:val="00405053"/>
    <w:rsid w:val="0040505C"/>
    <w:rsid w:val="00405121"/>
    <w:rsid w:val="0040513B"/>
    <w:rsid w:val="00405209"/>
    <w:rsid w:val="0040530A"/>
    <w:rsid w:val="0040545D"/>
    <w:rsid w:val="0040549C"/>
    <w:rsid w:val="004054DA"/>
    <w:rsid w:val="004054ED"/>
    <w:rsid w:val="004055A0"/>
    <w:rsid w:val="00405602"/>
    <w:rsid w:val="00405605"/>
    <w:rsid w:val="00405926"/>
    <w:rsid w:val="00405973"/>
    <w:rsid w:val="004059E1"/>
    <w:rsid w:val="00405C58"/>
    <w:rsid w:val="00405D84"/>
    <w:rsid w:val="00405E36"/>
    <w:rsid w:val="00405FCD"/>
    <w:rsid w:val="00406060"/>
    <w:rsid w:val="004061C9"/>
    <w:rsid w:val="00406215"/>
    <w:rsid w:val="00406231"/>
    <w:rsid w:val="0040633D"/>
    <w:rsid w:val="004064A7"/>
    <w:rsid w:val="00406820"/>
    <w:rsid w:val="00406937"/>
    <w:rsid w:val="004069BC"/>
    <w:rsid w:val="00406A1D"/>
    <w:rsid w:val="00406B68"/>
    <w:rsid w:val="00406CA2"/>
    <w:rsid w:val="00406CAB"/>
    <w:rsid w:val="00406EE5"/>
    <w:rsid w:val="004070C5"/>
    <w:rsid w:val="00407317"/>
    <w:rsid w:val="0040762B"/>
    <w:rsid w:val="00407722"/>
    <w:rsid w:val="0040774E"/>
    <w:rsid w:val="004079FE"/>
    <w:rsid w:val="00407AD8"/>
    <w:rsid w:val="00407BD2"/>
    <w:rsid w:val="00407C10"/>
    <w:rsid w:val="00407C59"/>
    <w:rsid w:val="00407CDA"/>
    <w:rsid w:val="00407D54"/>
    <w:rsid w:val="00407E2C"/>
    <w:rsid w:val="0041026F"/>
    <w:rsid w:val="00410344"/>
    <w:rsid w:val="0041038D"/>
    <w:rsid w:val="004103A2"/>
    <w:rsid w:val="004104B0"/>
    <w:rsid w:val="00410515"/>
    <w:rsid w:val="004105DF"/>
    <w:rsid w:val="0041065D"/>
    <w:rsid w:val="00410B67"/>
    <w:rsid w:val="00410D81"/>
    <w:rsid w:val="00410E91"/>
    <w:rsid w:val="00411104"/>
    <w:rsid w:val="004111C5"/>
    <w:rsid w:val="00411218"/>
    <w:rsid w:val="00411269"/>
    <w:rsid w:val="004112F3"/>
    <w:rsid w:val="00411373"/>
    <w:rsid w:val="004114C5"/>
    <w:rsid w:val="00411873"/>
    <w:rsid w:val="0041189E"/>
    <w:rsid w:val="00411BD4"/>
    <w:rsid w:val="00411C0A"/>
    <w:rsid w:val="00411DC5"/>
    <w:rsid w:val="00412409"/>
    <w:rsid w:val="00412448"/>
    <w:rsid w:val="00412613"/>
    <w:rsid w:val="004127B8"/>
    <w:rsid w:val="004127C5"/>
    <w:rsid w:val="004128E3"/>
    <w:rsid w:val="00412B2B"/>
    <w:rsid w:val="00412C1D"/>
    <w:rsid w:val="00412CEC"/>
    <w:rsid w:val="00412FA2"/>
    <w:rsid w:val="00412FF0"/>
    <w:rsid w:val="0041337B"/>
    <w:rsid w:val="004134ED"/>
    <w:rsid w:val="0041360B"/>
    <w:rsid w:val="004137B8"/>
    <w:rsid w:val="0041384C"/>
    <w:rsid w:val="004138A8"/>
    <w:rsid w:val="00413A2B"/>
    <w:rsid w:val="00413C7D"/>
    <w:rsid w:val="00413CC3"/>
    <w:rsid w:val="00413DA2"/>
    <w:rsid w:val="00413F91"/>
    <w:rsid w:val="00413FD2"/>
    <w:rsid w:val="0041405D"/>
    <w:rsid w:val="004140BA"/>
    <w:rsid w:val="004143A4"/>
    <w:rsid w:val="00414537"/>
    <w:rsid w:val="004146AA"/>
    <w:rsid w:val="0041485A"/>
    <w:rsid w:val="004149E7"/>
    <w:rsid w:val="00414D1A"/>
    <w:rsid w:val="00414DBB"/>
    <w:rsid w:val="00414F11"/>
    <w:rsid w:val="00414FAB"/>
    <w:rsid w:val="00414FE7"/>
    <w:rsid w:val="004151E0"/>
    <w:rsid w:val="004152BA"/>
    <w:rsid w:val="00415419"/>
    <w:rsid w:val="00415665"/>
    <w:rsid w:val="004157EB"/>
    <w:rsid w:val="00415B08"/>
    <w:rsid w:val="00415DF2"/>
    <w:rsid w:val="00415F9C"/>
    <w:rsid w:val="00415FD5"/>
    <w:rsid w:val="00416142"/>
    <w:rsid w:val="00416192"/>
    <w:rsid w:val="004164F7"/>
    <w:rsid w:val="00416522"/>
    <w:rsid w:val="0041675F"/>
    <w:rsid w:val="00416A0B"/>
    <w:rsid w:val="00416C35"/>
    <w:rsid w:val="00416C44"/>
    <w:rsid w:val="00416C85"/>
    <w:rsid w:val="00416E56"/>
    <w:rsid w:val="00416F76"/>
    <w:rsid w:val="00416F79"/>
    <w:rsid w:val="004170D4"/>
    <w:rsid w:val="0041720F"/>
    <w:rsid w:val="0041755F"/>
    <w:rsid w:val="004177B5"/>
    <w:rsid w:val="004178B5"/>
    <w:rsid w:val="00417CC4"/>
    <w:rsid w:val="00417E20"/>
    <w:rsid w:val="00417E4C"/>
    <w:rsid w:val="00417F16"/>
    <w:rsid w:val="00417F2F"/>
    <w:rsid w:val="00417FA4"/>
    <w:rsid w:val="00417FAA"/>
    <w:rsid w:val="00420154"/>
    <w:rsid w:val="00420181"/>
    <w:rsid w:val="004201A8"/>
    <w:rsid w:val="0042055D"/>
    <w:rsid w:val="004206E1"/>
    <w:rsid w:val="0042098C"/>
    <w:rsid w:val="004209FB"/>
    <w:rsid w:val="00420A49"/>
    <w:rsid w:val="00420A83"/>
    <w:rsid w:val="00420D42"/>
    <w:rsid w:val="00420F86"/>
    <w:rsid w:val="00421095"/>
    <w:rsid w:val="004212B9"/>
    <w:rsid w:val="00421346"/>
    <w:rsid w:val="0042134F"/>
    <w:rsid w:val="00421353"/>
    <w:rsid w:val="004215B3"/>
    <w:rsid w:val="00421692"/>
    <w:rsid w:val="00421696"/>
    <w:rsid w:val="004217F0"/>
    <w:rsid w:val="00421906"/>
    <w:rsid w:val="00421B9E"/>
    <w:rsid w:val="00421BA6"/>
    <w:rsid w:val="00421C1E"/>
    <w:rsid w:val="00421E5A"/>
    <w:rsid w:val="00421F99"/>
    <w:rsid w:val="00422034"/>
    <w:rsid w:val="00422086"/>
    <w:rsid w:val="0042217E"/>
    <w:rsid w:val="004221B4"/>
    <w:rsid w:val="004221EE"/>
    <w:rsid w:val="00422222"/>
    <w:rsid w:val="00422407"/>
    <w:rsid w:val="00422428"/>
    <w:rsid w:val="004225EC"/>
    <w:rsid w:val="00422789"/>
    <w:rsid w:val="00422C72"/>
    <w:rsid w:val="004230BA"/>
    <w:rsid w:val="004231B9"/>
    <w:rsid w:val="00423314"/>
    <w:rsid w:val="00423418"/>
    <w:rsid w:val="00423979"/>
    <w:rsid w:val="004239B3"/>
    <w:rsid w:val="00423A6F"/>
    <w:rsid w:val="00423AF4"/>
    <w:rsid w:val="00423C9D"/>
    <w:rsid w:val="00424327"/>
    <w:rsid w:val="00424437"/>
    <w:rsid w:val="004244B1"/>
    <w:rsid w:val="004247D5"/>
    <w:rsid w:val="004248B2"/>
    <w:rsid w:val="0042494A"/>
    <w:rsid w:val="004249B8"/>
    <w:rsid w:val="00424BE8"/>
    <w:rsid w:val="00424C81"/>
    <w:rsid w:val="00424CEC"/>
    <w:rsid w:val="0042508E"/>
    <w:rsid w:val="004250A7"/>
    <w:rsid w:val="004251C5"/>
    <w:rsid w:val="004254CE"/>
    <w:rsid w:val="004255CB"/>
    <w:rsid w:val="00425713"/>
    <w:rsid w:val="0042575D"/>
    <w:rsid w:val="00425888"/>
    <w:rsid w:val="004258F6"/>
    <w:rsid w:val="004259CB"/>
    <w:rsid w:val="00425A7E"/>
    <w:rsid w:val="00425BD9"/>
    <w:rsid w:val="00425E63"/>
    <w:rsid w:val="00425F35"/>
    <w:rsid w:val="00425FAB"/>
    <w:rsid w:val="00425FB9"/>
    <w:rsid w:val="00425FCE"/>
    <w:rsid w:val="00425FD6"/>
    <w:rsid w:val="004261A1"/>
    <w:rsid w:val="0042620E"/>
    <w:rsid w:val="00426274"/>
    <w:rsid w:val="00426310"/>
    <w:rsid w:val="004266F2"/>
    <w:rsid w:val="004269AB"/>
    <w:rsid w:val="00426A70"/>
    <w:rsid w:val="00426F36"/>
    <w:rsid w:val="00426FB6"/>
    <w:rsid w:val="00427050"/>
    <w:rsid w:val="00427137"/>
    <w:rsid w:val="004272CA"/>
    <w:rsid w:val="004272CD"/>
    <w:rsid w:val="00427309"/>
    <w:rsid w:val="00427493"/>
    <w:rsid w:val="0042756E"/>
    <w:rsid w:val="00427628"/>
    <w:rsid w:val="0042762E"/>
    <w:rsid w:val="0042777B"/>
    <w:rsid w:val="00427A3E"/>
    <w:rsid w:val="00427B35"/>
    <w:rsid w:val="00427D5E"/>
    <w:rsid w:val="00427F98"/>
    <w:rsid w:val="00427FF4"/>
    <w:rsid w:val="0043006E"/>
    <w:rsid w:val="004301E7"/>
    <w:rsid w:val="0043026F"/>
    <w:rsid w:val="0043041A"/>
    <w:rsid w:val="0043052A"/>
    <w:rsid w:val="0043053A"/>
    <w:rsid w:val="0043058F"/>
    <w:rsid w:val="00430611"/>
    <w:rsid w:val="0043065C"/>
    <w:rsid w:val="00430778"/>
    <w:rsid w:val="00430883"/>
    <w:rsid w:val="00430A0C"/>
    <w:rsid w:val="00430AA7"/>
    <w:rsid w:val="00430DA7"/>
    <w:rsid w:val="00430F21"/>
    <w:rsid w:val="00430F36"/>
    <w:rsid w:val="0043115F"/>
    <w:rsid w:val="00431176"/>
    <w:rsid w:val="0043117D"/>
    <w:rsid w:val="0043142E"/>
    <w:rsid w:val="0043146C"/>
    <w:rsid w:val="004314DA"/>
    <w:rsid w:val="0043173E"/>
    <w:rsid w:val="00431859"/>
    <w:rsid w:val="00431AF3"/>
    <w:rsid w:val="00431C1C"/>
    <w:rsid w:val="00431CFC"/>
    <w:rsid w:val="00431D72"/>
    <w:rsid w:val="00431E11"/>
    <w:rsid w:val="00431F7F"/>
    <w:rsid w:val="0043205F"/>
    <w:rsid w:val="00432211"/>
    <w:rsid w:val="00432215"/>
    <w:rsid w:val="0043225D"/>
    <w:rsid w:val="00432392"/>
    <w:rsid w:val="004324E5"/>
    <w:rsid w:val="00432556"/>
    <w:rsid w:val="004325B9"/>
    <w:rsid w:val="0043291D"/>
    <w:rsid w:val="004329F9"/>
    <w:rsid w:val="00433005"/>
    <w:rsid w:val="004332E0"/>
    <w:rsid w:val="0043356E"/>
    <w:rsid w:val="0043394F"/>
    <w:rsid w:val="00433A30"/>
    <w:rsid w:val="00433C0B"/>
    <w:rsid w:val="00433C17"/>
    <w:rsid w:val="00433CBA"/>
    <w:rsid w:val="00433D45"/>
    <w:rsid w:val="0043400B"/>
    <w:rsid w:val="00434673"/>
    <w:rsid w:val="004348FC"/>
    <w:rsid w:val="00434A1E"/>
    <w:rsid w:val="00434B45"/>
    <w:rsid w:val="00434D4D"/>
    <w:rsid w:val="0043538E"/>
    <w:rsid w:val="0043548C"/>
    <w:rsid w:val="004354A5"/>
    <w:rsid w:val="004355D5"/>
    <w:rsid w:val="0043596D"/>
    <w:rsid w:val="00435A47"/>
    <w:rsid w:val="00435B28"/>
    <w:rsid w:val="00435B2D"/>
    <w:rsid w:val="00435BB9"/>
    <w:rsid w:val="00435C7C"/>
    <w:rsid w:val="00435EB9"/>
    <w:rsid w:val="00436009"/>
    <w:rsid w:val="00436031"/>
    <w:rsid w:val="0043613C"/>
    <w:rsid w:val="00436163"/>
    <w:rsid w:val="004361F0"/>
    <w:rsid w:val="0043632A"/>
    <w:rsid w:val="00436652"/>
    <w:rsid w:val="004368CE"/>
    <w:rsid w:val="00436917"/>
    <w:rsid w:val="00436940"/>
    <w:rsid w:val="00436A90"/>
    <w:rsid w:val="00436D77"/>
    <w:rsid w:val="00436D7C"/>
    <w:rsid w:val="00436E1D"/>
    <w:rsid w:val="00436E2B"/>
    <w:rsid w:val="00436F1F"/>
    <w:rsid w:val="00436FD8"/>
    <w:rsid w:val="00436FE7"/>
    <w:rsid w:val="0043701D"/>
    <w:rsid w:val="0043730E"/>
    <w:rsid w:val="0043759B"/>
    <w:rsid w:val="004375D6"/>
    <w:rsid w:val="00437651"/>
    <w:rsid w:val="0043776C"/>
    <w:rsid w:val="0043789A"/>
    <w:rsid w:val="00437921"/>
    <w:rsid w:val="004379D9"/>
    <w:rsid w:val="00437C92"/>
    <w:rsid w:val="0044013E"/>
    <w:rsid w:val="00440406"/>
    <w:rsid w:val="0044042B"/>
    <w:rsid w:val="0044056F"/>
    <w:rsid w:val="004408C0"/>
    <w:rsid w:val="00440B17"/>
    <w:rsid w:val="00440B26"/>
    <w:rsid w:val="00440C47"/>
    <w:rsid w:val="00440C74"/>
    <w:rsid w:val="00440E10"/>
    <w:rsid w:val="00440E47"/>
    <w:rsid w:val="00440F32"/>
    <w:rsid w:val="004410CC"/>
    <w:rsid w:val="004411CA"/>
    <w:rsid w:val="00441255"/>
    <w:rsid w:val="004414DF"/>
    <w:rsid w:val="004416EF"/>
    <w:rsid w:val="00441772"/>
    <w:rsid w:val="00441B1F"/>
    <w:rsid w:val="00441C26"/>
    <w:rsid w:val="00441C97"/>
    <w:rsid w:val="00441DFE"/>
    <w:rsid w:val="00441F01"/>
    <w:rsid w:val="004420C8"/>
    <w:rsid w:val="0044214E"/>
    <w:rsid w:val="00442378"/>
    <w:rsid w:val="004423AC"/>
    <w:rsid w:val="004425B2"/>
    <w:rsid w:val="004425CB"/>
    <w:rsid w:val="004426A1"/>
    <w:rsid w:val="004426BA"/>
    <w:rsid w:val="0044271D"/>
    <w:rsid w:val="004427B3"/>
    <w:rsid w:val="004428B3"/>
    <w:rsid w:val="004428F5"/>
    <w:rsid w:val="00442B7D"/>
    <w:rsid w:val="00442CB3"/>
    <w:rsid w:val="00442D44"/>
    <w:rsid w:val="00442DD7"/>
    <w:rsid w:val="00442E06"/>
    <w:rsid w:val="00442F52"/>
    <w:rsid w:val="004430B1"/>
    <w:rsid w:val="004430ED"/>
    <w:rsid w:val="0044320B"/>
    <w:rsid w:val="004432D9"/>
    <w:rsid w:val="00443314"/>
    <w:rsid w:val="0044351A"/>
    <w:rsid w:val="00443585"/>
    <w:rsid w:val="004436B8"/>
    <w:rsid w:val="004436E8"/>
    <w:rsid w:val="004439E7"/>
    <w:rsid w:val="00443A3C"/>
    <w:rsid w:val="00443ACC"/>
    <w:rsid w:val="00443B1D"/>
    <w:rsid w:val="00443B2C"/>
    <w:rsid w:val="00443BE6"/>
    <w:rsid w:val="00443F8F"/>
    <w:rsid w:val="004441BE"/>
    <w:rsid w:val="00444299"/>
    <w:rsid w:val="0044433A"/>
    <w:rsid w:val="00444454"/>
    <w:rsid w:val="00444819"/>
    <w:rsid w:val="00444ADE"/>
    <w:rsid w:val="00444B1A"/>
    <w:rsid w:val="00444B21"/>
    <w:rsid w:val="00444DF2"/>
    <w:rsid w:val="00444EA9"/>
    <w:rsid w:val="004450DB"/>
    <w:rsid w:val="00445156"/>
    <w:rsid w:val="00445293"/>
    <w:rsid w:val="004452DB"/>
    <w:rsid w:val="0044561B"/>
    <w:rsid w:val="004456F2"/>
    <w:rsid w:val="00445771"/>
    <w:rsid w:val="00445783"/>
    <w:rsid w:val="004458DC"/>
    <w:rsid w:val="00445901"/>
    <w:rsid w:val="00445921"/>
    <w:rsid w:val="00445AD3"/>
    <w:rsid w:val="00445D40"/>
    <w:rsid w:val="00445DF9"/>
    <w:rsid w:val="00445E2E"/>
    <w:rsid w:val="00446160"/>
    <w:rsid w:val="0044660A"/>
    <w:rsid w:val="00446672"/>
    <w:rsid w:val="004468A0"/>
    <w:rsid w:val="004468C6"/>
    <w:rsid w:val="00446988"/>
    <w:rsid w:val="004469CB"/>
    <w:rsid w:val="00446B88"/>
    <w:rsid w:val="00446BAD"/>
    <w:rsid w:val="00446BE7"/>
    <w:rsid w:val="00446D41"/>
    <w:rsid w:val="00446D57"/>
    <w:rsid w:val="00446D9A"/>
    <w:rsid w:val="00446E0A"/>
    <w:rsid w:val="00447009"/>
    <w:rsid w:val="004470C9"/>
    <w:rsid w:val="00447340"/>
    <w:rsid w:val="004473CA"/>
    <w:rsid w:val="004473FE"/>
    <w:rsid w:val="004474A5"/>
    <w:rsid w:val="004475DD"/>
    <w:rsid w:val="00447C6F"/>
    <w:rsid w:val="00447EA3"/>
    <w:rsid w:val="00447F09"/>
    <w:rsid w:val="0045006F"/>
    <w:rsid w:val="00450097"/>
    <w:rsid w:val="00450354"/>
    <w:rsid w:val="00450510"/>
    <w:rsid w:val="00450684"/>
    <w:rsid w:val="00450AFA"/>
    <w:rsid w:val="00450C87"/>
    <w:rsid w:val="00450CBF"/>
    <w:rsid w:val="00450D13"/>
    <w:rsid w:val="00450FCD"/>
    <w:rsid w:val="0045102E"/>
    <w:rsid w:val="00451065"/>
    <w:rsid w:val="004511A7"/>
    <w:rsid w:val="00451306"/>
    <w:rsid w:val="004513E8"/>
    <w:rsid w:val="004515C1"/>
    <w:rsid w:val="00451612"/>
    <w:rsid w:val="00451A7A"/>
    <w:rsid w:val="00451C12"/>
    <w:rsid w:val="00451C4F"/>
    <w:rsid w:val="00451F0E"/>
    <w:rsid w:val="00452016"/>
    <w:rsid w:val="00452230"/>
    <w:rsid w:val="0045229A"/>
    <w:rsid w:val="00452310"/>
    <w:rsid w:val="00452587"/>
    <w:rsid w:val="00452680"/>
    <w:rsid w:val="00452689"/>
    <w:rsid w:val="004526CB"/>
    <w:rsid w:val="00452977"/>
    <w:rsid w:val="004529B1"/>
    <w:rsid w:val="00452CD3"/>
    <w:rsid w:val="00452F38"/>
    <w:rsid w:val="0045313C"/>
    <w:rsid w:val="004531A1"/>
    <w:rsid w:val="00453353"/>
    <w:rsid w:val="0045346A"/>
    <w:rsid w:val="004534C0"/>
    <w:rsid w:val="004534EB"/>
    <w:rsid w:val="0045354F"/>
    <w:rsid w:val="00453554"/>
    <w:rsid w:val="004535B9"/>
    <w:rsid w:val="004535E6"/>
    <w:rsid w:val="004536BC"/>
    <w:rsid w:val="004537C0"/>
    <w:rsid w:val="004538D1"/>
    <w:rsid w:val="00453962"/>
    <w:rsid w:val="00453B6F"/>
    <w:rsid w:val="00454063"/>
    <w:rsid w:val="0045495A"/>
    <w:rsid w:val="00454B3F"/>
    <w:rsid w:val="00454C94"/>
    <w:rsid w:val="00454D3D"/>
    <w:rsid w:val="00454E03"/>
    <w:rsid w:val="00454E5A"/>
    <w:rsid w:val="00454F0C"/>
    <w:rsid w:val="004553CF"/>
    <w:rsid w:val="00455537"/>
    <w:rsid w:val="0045556D"/>
    <w:rsid w:val="00455594"/>
    <w:rsid w:val="0045562A"/>
    <w:rsid w:val="004557E9"/>
    <w:rsid w:val="00455986"/>
    <w:rsid w:val="00455A49"/>
    <w:rsid w:val="00455B07"/>
    <w:rsid w:val="00455B13"/>
    <w:rsid w:val="00455CC4"/>
    <w:rsid w:val="00455F4A"/>
    <w:rsid w:val="00455FD8"/>
    <w:rsid w:val="00456142"/>
    <w:rsid w:val="004562AF"/>
    <w:rsid w:val="00456434"/>
    <w:rsid w:val="0045662A"/>
    <w:rsid w:val="00456678"/>
    <w:rsid w:val="0045667F"/>
    <w:rsid w:val="004567F5"/>
    <w:rsid w:val="0045689C"/>
    <w:rsid w:val="00456980"/>
    <w:rsid w:val="004569E5"/>
    <w:rsid w:val="0045723B"/>
    <w:rsid w:val="0045752E"/>
    <w:rsid w:val="0045755E"/>
    <w:rsid w:val="004578AC"/>
    <w:rsid w:val="0045792B"/>
    <w:rsid w:val="004579DA"/>
    <w:rsid w:val="004579E2"/>
    <w:rsid w:val="00457AE8"/>
    <w:rsid w:val="00457CBE"/>
    <w:rsid w:val="00457E5A"/>
    <w:rsid w:val="00457E66"/>
    <w:rsid w:val="00457E7E"/>
    <w:rsid w:val="00457F7E"/>
    <w:rsid w:val="0046038D"/>
    <w:rsid w:val="004603A7"/>
    <w:rsid w:val="004603B4"/>
    <w:rsid w:val="004606CC"/>
    <w:rsid w:val="00460859"/>
    <w:rsid w:val="0046090C"/>
    <w:rsid w:val="004609DB"/>
    <w:rsid w:val="00460A39"/>
    <w:rsid w:val="00460AA3"/>
    <w:rsid w:val="00460ADA"/>
    <w:rsid w:val="00460C5D"/>
    <w:rsid w:val="00460E26"/>
    <w:rsid w:val="00460F0E"/>
    <w:rsid w:val="004610B3"/>
    <w:rsid w:val="00461129"/>
    <w:rsid w:val="00461218"/>
    <w:rsid w:val="0046127D"/>
    <w:rsid w:val="004614A2"/>
    <w:rsid w:val="00461630"/>
    <w:rsid w:val="00461760"/>
    <w:rsid w:val="00461784"/>
    <w:rsid w:val="004617AD"/>
    <w:rsid w:val="00461A55"/>
    <w:rsid w:val="00461BC4"/>
    <w:rsid w:val="00461BD5"/>
    <w:rsid w:val="00461C6F"/>
    <w:rsid w:val="00461E8D"/>
    <w:rsid w:val="00461F28"/>
    <w:rsid w:val="004621C1"/>
    <w:rsid w:val="0046222D"/>
    <w:rsid w:val="00462363"/>
    <w:rsid w:val="004623BD"/>
    <w:rsid w:val="0046263F"/>
    <w:rsid w:val="0046295A"/>
    <w:rsid w:val="004629CA"/>
    <w:rsid w:val="00462B3A"/>
    <w:rsid w:val="00462F23"/>
    <w:rsid w:val="004632EA"/>
    <w:rsid w:val="00463312"/>
    <w:rsid w:val="0046334E"/>
    <w:rsid w:val="0046336B"/>
    <w:rsid w:val="00463409"/>
    <w:rsid w:val="00463442"/>
    <w:rsid w:val="0046344F"/>
    <w:rsid w:val="00463620"/>
    <w:rsid w:val="004636BB"/>
    <w:rsid w:val="00463760"/>
    <w:rsid w:val="00463B48"/>
    <w:rsid w:val="00463B8E"/>
    <w:rsid w:val="00463C37"/>
    <w:rsid w:val="00463CAD"/>
    <w:rsid w:val="00463E38"/>
    <w:rsid w:val="00463E70"/>
    <w:rsid w:val="00463F05"/>
    <w:rsid w:val="004641EA"/>
    <w:rsid w:val="004642C0"/>
    <w:rsid w:val="0046458B"/>
    <w:rsid w:val="004647AE"/>
    <w:rsid w:val="00464857"/>
    <w:rsid w:val="0046493B"/>
    <w:rsid w:val="0046498B"/>
    <w:rsid w:val="004649E2"/>
    <w:rsid w:val="00464AF3"/>
    <w:rsid w:val="00464AFA"/>
    <w:rsid w:val="00464B0A"/>
    <w:rsid w:val="00464B11"/>
    <w:rsid w:val="00464C31"/>
    <w:rsid w:val="00464D22"/>
    <w:rsid w:val="00464D2A"/>
    <w:rsid w:val="00464DE5"/>
    <w:rsid w:val="00464E5F"/>
    <w:rsid w:val="00465005"/>
    <w:rsid w:val="004650B8"/>
    <w:rsid w:val="0046514F"/>
    <w:rsid w:val="00465228"/>
    <w:rsid w:val="00465285"/>
    <w:rsid w:val="004652A1"/>
    <w:rsid w:val="0046539F"/>
    <w:rsid w:val="004654DE"/>
    <w:rsid w:val="004655C1"/>
    <w:rsid w:val="004655D3"/>
    <w:rsid w:val="004655E9"/>
    <w:rsid w:val="00465758"/>
    <w:rsid w:val="0046577C"/>
    <w:rsid w:val="004657DA"/>
    <w:rsid w:val="004658F4"/>
    <w:rsid w:val="00465A40"/>
    <w:rsid w:val="00465CB9"/>
    <w:rsid w:val="00465DDD"/>
    <w:rsid w:val="00465ED1"/>
    <w:rsid w:val="00465F36"/>
    <w:rsid w:val="00466045"/>
    <w:rsid w:val="004660D3"/>
    <w:rsid w:val="004662EA"/>
    <w:rsid w:val="004663BB"/>
    <w:rsid w:val="004664B0"/>
    <w:rsid w:val="00466613"/>
    <w:rsid w:val="00466C51"/>
    <w:rsid w:val="00466D53"/>
    <w:rsid w:val="00467233"/>
    <w:rsid w:val="00467255"/>
    <w:rsid w:val="004673C1"/>
    <w:rsid w:val="00467484"/>
    <w:rsid w:val="00467673"/>
    <w:rsid w:val="00467722"/>
    <w:rsid w:val="0046776F"/>
    <w:rsid w:val="004677E9"/>
    <w:rsid w:val="00467843"/>
    <w:rsid w:val="004678D4"/>
    <w:rsid w:val="00467CCB"/>
    <w:rsid w:val="00467D0E"/>
    <w:rsid w:val="00470037"/>
    <w:rsid w:val="004702E5"/>
    <w:rsid w:val="0047037B"/>
    <w:rsid w:val="004703C0"/>
    <w:rsid w:val="00470566"/>
    <w:rsid w:val="00470692"/>
    <w:rsid w:val="00470804"/>
    <w:rsid w:val="00470813"/>
    <w:rsid w:val="0047083C"/>
    <w:rsid w:val="0047092C"/>
    <w:rsid w:val="00470A5E"/>
    <w:rsid w:val="00470A79"/>
    <w:rsid w:val="00470B12"/>
    <w:rsid w:val="00470DD3"/>
    <w:rsid w:val="00470E89"/>
    <w:rsid w:val="00470EC3"/>
    <w:rsid w:val="00470F84"/>
    <w:rsid w:val="0047102E"/>
    <w:rsid w:val="0047103B"/>
    <w:rsid w:val="00471246"/>
    <w:rsid w:val="004712EB"/>
    <w:rsid w:val="0047142A"/>
    <w:rsid w:val="00471549"/>
    <w:rsid w:val="004715E2"/>
    <w:rsid w:val="004716FD"/>
    <w:rsid w:val="004718C8"/>
    <w:rsid w:val="004719F7"/>
    <w:rsid w:val="00471A04"/>
    <w:rsid w:val="00471F4A"/>
    <w:rsid w:val="004722D9"/>
    <w:rsid w:val="004723E3"/>
    <w:rsid w:val="0047250F"/>
    <w:rsid w:val="0047261C"/>
    <w:rsid w:val="004726E5"/>
    <w:rsid w:val="004727AC"/>
    <w:rsid w:val="00472B3F"/>
    <w:rsid w:val="00472BBD"/>
    <w:rsid w:val="00472CF4"/>
    <w:rsid w:val="00472E51"/>
    <w:rsid w:val="004730FF"/>
    <w:rsid w:val="004731AC"/>
    <w:rsid w:val="0047323B"/>
    <w:rsid w:val="004732E5"/>
    <w:rsid w:val="004733E1"/>
    <w:rsid w:val="0047342A"/>
    <w:rsid w:val="00473806"/>
    <w:rsid w:val="0047385C"/>
    <w:rsid w:val="00473B35"/>
    <w:rsid w:val="00473BC0"/>
    <w:rsid w:val="00473F84"/>
    <w:rsid w:val="0047433E"/>
    <w:rsid w:val="004743B1"/>
    <w:rsid w:val="00474406"/>
    <w:rsid w:val="0047458A"/>
    <w:rsid w:val="00474592"/>
    <w:rsid w:val="0047486D"/>
    <w:rsid w:val="004749FA"/>
    <w:rsid w:val="00474D4B"/>
    <w:rsid w:val="00474D9B"/>
    <w:rsid w:val="00475058"/>
    <w:rsid w:val="0047506F"/>
    <w:rsid w:val="004750BE"/>
    <w:rsid w:val="00475156"/>
    <w:rsid w:val="004751D1"/>
    <w:rsid w:val="00475359"/>
    <w:rsid w:val="0047538B"/>
    <w:rsid w:val="004755F1"/>
    <w:rsid w:val="00475838"/>
    <w:rsid w:val="0047597D"/>
    <w:rsid w:val="00475A1B"/>
    <w:rsid w:val="00475D7F"/>
    <w:rsid w:val="00475FAF"/>
    <w:rsid w:val="00476126"/>
    <w:rsid w:val="004762E5"/>
    <w:rsid w:val="00476325"/>
    <w:rsid w:val="00476388"/>
    <w:rsid w:val="004764A6"/>
    <w:rsid w:val="004764B2"/>
    <w:rsid w:val="00476670"/>
    <w:rsid w:val="004766AB"/>
    <w:rsid w:val="004766D2"/>
    <w:rsid w:val="00476858"/>
    <w:rsid w:val="0047692F"/>
    <w:rsid w:val="004769D7"/>
    <w:rsid w:val="00476AC8"/>
    <w:rsid w:val="00476B6E"/>
    <w:rsid w:val="00476BFD"/>
    <w:rsid w:val="00476D16"/>
    <w:rsid w:val="00476E03"/>
    <w:rsid w:val="00476E22"/>
    <w:rsid w:val="00476FFE"/>
    <w:rsid w:val="00477100"/>
    <w:rsid w:val="00477302"/>
    <w:rsid w:val="00477384"/>
    <w:rsid w:val="004773C9"/>
    <w:rsid w:val="00477553"/>
    <w:rsid w:val="004776AA"/>
    <w:rsid w:val="0047781A"/>
    <w:rsid w:val="00477864"/>
    <w:rsid w:val="00477943"/>
    <w:rsid w:val="0047799B"/>
    <w:rsid w:val="00477B48"/>
    <w:rsid w:val="00477C4F"/>
    <w:rsid w:val="00477C7F"/>
    <w:rsid w:val="00477CBA"/>
    <w:rsid w:val="00477DB0"/>
    <w:rsid w:val="00477E17"/>
    <w:rsid w:val="00477E8C"/>
    <w:rsid w:val="00477F83"/>
    <w:rsid w:val="00480124"/>
    <w:rsid w:val="004803EB"/>
    <w:rsid w:val="00480450"/>
    <w:rsid w:val="004804D8"/>
    <w:rsid w:val="004809E0"/>
    <w:rsid w:val="00480B06"/>
    <w:rsid w:val="00480B75"/>
    <w:rsid w:val="00480D58"/>
    <w:rsid w:val="00480E62"/>
    <w:rsid w:val="00480EC3"/>
    <w:rsid w:val="00480FA0"/>
    <w:rsid w:val="00480FC5"/>
    <w:rsid w:val="0048108B"/>
    <w:rsid w:val="004810CD"/>
    <w:rsid w:val="004810EB"/>
    <w:rsid w:val="00481242"/>
    <w:rsid w:val="00481424"/>
    <w:rsid w:val="0048151C"/>
    <w:rsid w:val="004818D2"/>
    <w:rsid w:val="00481910"/>
    <w:rsid w:val="00481964"/>
    <w:rsid w:val="004819C7"/>
    <w:rsid w:val="00481D53"/>
    <w:rsid w:val="00481E7E"/>
    <w:rsid w:val="00482066"/>
    <w:rsid w:val="00482187"/>
    <w:rsid w:val="004822DB"/>
    <w:rsid w:val="00482336"/>
    <w:rsid w:val="00482408"/>
    <w:rsid w:val="00482653"/>
    <w:rsid w:val="004826C6"/>
    <w:rsid w:val="00482964"/>
    <w:rsid w:val="00482989"/>
    <w:rsid w:val="00482A3F"/>
    <w:rsid w:val="00482B15"/>
    <w:rsid w:val="00482C01"/>
    <w:rsid w:val="00482C36"/>
    <w:rsid w:val="00482CC0"/>
    <w:rsid w:val="00482E97"/>
    <w:rsid w:val="00483062"/>
    <w:rsid w:val="0048322E"/>
    <w:rsid w:val="004832D3"/>
    <w:rsid w:val="00483636"/>
    <w:rsid w:val="004839FF"/>
    <w:rsid w:val="00483A69"/>
    <w:rsid w:val="00483B74"/>
    <w:rsid w:val="00483C3A"/>
    <w:rsid w:val="00483E46"/>
    <w:rsid w:val="0048434E"/>
    <w:rsid w:val="00484556"/>
    <w:rsid w:val="00484601"/>
    <w:rsid w:val="004847DE"/>
    <w:rsid w:val="0048499B"/>
    <w:rsid w:val="00484C6D"/>
    <w:rsid w:val="004852B1"/>
    <w:rsid w:val="00485346"/>
    <w:rsid w:val="004854A4"/>
    <w:rsid w:val="004856E5"/>
    <w:rsid w:val="00485742"/>
    <w:rsid w:val="00485758"/>
    <w:rsid w:val="004857E0"/>
    <w:rsid w:val="004858EE"/>
    <w:rsid w:val="00485971"/>
    <w:rsid w:val="00485A1B"/>
    <w:rsid w:val="00485AA4"/>
    <w:rsid w:val="00485BC0"/>
    <w:rsid w:val="00485D1C"/>
    <w:rsid w:val="00485D2D"/>
    <w:rsid w:val="00485DE1"/>
    <w:rsid w:val="00485ECA"/>
    <w:rsid w:val="00485F2F"/>
    <w:rsid w:val="00485F58"/>
    <w:rsid w:val="00485FA4"/>
    <w:rsid w:val="004867A3"/>
    <w:rsid w:val="0048690F"/>
    <w:rsid w:val="00486A67"/>
    <w:rsid w:val="00486A75"/>
    <w:rsid w:val="00486B59"/>
    <w:rsid w:val="00486CBF"/>
    <w:rsid w:val="00486D1F"/>
    <w:rsid w:val="00486D27"/>
    <w:rsid w:val="00486DAD"/>
    <w:rsid w:val="00486E24"/>
    <w:rsid w:val="00487056"/>
    <w:rsid w:val="0048707C"/>
    <w:rsid w:val="004870D1"/>
    <w:rsid w:val="0048720C"/>
    <w:rsid w:val="004873CF"/>
    <w:rsid w:val="0048756C"/>
    <w:rsid w:val="0048757A"/>
    <w:rsid w:val="004876E1"/>
    <w:rsid w:val="00487758"/>
    <w:rsid w:val="004877A0"/>
    <w:rsid w:val="004878EA"/>
    <w:rsid w:val="00487B3C"/>
    <w:rsid w:val="00487D59"/>
    <w:rsid w:val="00487DD4"/>
    <w:rsid w:val="00487F2C"/>
    <w:rsid w:val="00487F2E"/>
    <w:rsid w:val="00490129"/>
    <w:rsid w:val="00490140"/>
    <w:rsid w:val="0049018A"/>
    <w:rsid w:val="004903B0"/>
    <w:rsid w:val="0049055A"/>
    <w:rsid w:val="004905B2"/>
    <w:rsid w:val="0049077E"/>
    <w:rsid w:val="00490815"/>
    <w:rsid w:val="00490A82"/>
    <w:rsid w:val="00490C77"/>
    <w:rsid w:val="00490CCF"/>
    <w:rsid w:val="00490DE2"/>
    <w:rsid w:val="00490E61"/>
    <w:rsid w:val="00490E8A"/>
    <w:rsid w:val="00490FBE"/>
    <w:rsid w:val="00491171"/>
    <w:rsid w:val="0049125A"/>
    <w:rsid w:val="0049130A"/>
    <w:rsid w:val="0049144D"/>
    <w:rsid w:val="00491473"/>
    <w:rsid w:val="004914BD"/>
    <w:rsid w:val="00491581"/>
    <w:rsid w:val="0049176A"/>
    <w:rsid w:val="004917BF"/>
    <w:rsid w:val="00491AEE"/>
    <w:rsid w:val="00491DA0"/>
    <w:rsid w:val="00491EE2"/>
    <w:rsid w:val="00491FB0"/>
    <w:rsid w:val="00491FF4"/>
    <w:rsid w:val="0049203F"/>
    <w:rsid w:val="0049216A"/>
    <w:rsid w:val="0049217A"/>
    <w:rsid w:val="004921B4"/>
    <w:rsid w:val="00492453"/>
    <w:rsid w:val="00492642"/>
    <w:rsid w:val="0049265A"/>
    <w:rsid w:val="004926AC"/>
    <w:rsid w:val="00492818"/>
    <w:rsid w:val="004929FD"/>
    <w:rsid w:val="00492A22"/>
    <w:rsid w:val="00492DF3"/>
    <w:rsid w:val="00492FDD"/>
    <w:rsid w:val="00493118"/>
    <w:rsid w:val="0049319F"/>
    <w:rsid w:val="00493404"/>
    <w:rsid w:val="00493595"/>
    <w:rsid w:val="004935B2"/>
    <w:rsid w:val="00493C33"/>
    <w:rsid w:val="00493C74"/>
    <w:rsid w:val="00493CF9"/>
    <w:rsid w:val="00493E4D"/>
    <w:rsid w:val="00493EB8"/>
    <w:rsid w:val="00493F15"/>
    <w:rsid w:val="00493F3A"/>
    <w:rsid w:val="00493F57"/>
    <w:rsid w:val="0049401A"/>
    <w:rsid w:val="00494271"/>
    <w:rsid w:val="00494296"/>
    <w:rsid w:val="0049450E"/>
    <w:rsid w:val="00494846"/>
    <w:rsid w:val="00494881"/>
    <w:rsid w:val="004948CA"/>
    <w:rsid w:val="004949E4"/>
    <w:rsid w:val="00494AD7"/>
    <w:rsid w:val="00494B41"/>
    <w:rsid w:val="00494BA8"/>
    <w:rsid w:val="00494D57"/>
    <w:rsid w:val="00494D8F"/>
    <w:rsid w:val="00494EFC"/>
    <w:rsid w:val="00494F2F"/>
    <w:rsid w:val="00494F7D"/>
    <w:rsid w:val="00495091"/>
    <w:rsid w:val="00495139"/>
    <w:rsid w:val="0049514E"/>
    <w:rsid w:val="004951E5"/>
    <w:rsid w:val="004952E5"/>
    <w:rsid w:val="0049574D"/>
    <w:rsid w:val="00495879"/>
    <w:rsid w:val="004958A3"/>
    <w:rsid w:val="0049591C"/>
    <w:rsid w:val="00495AAE"/>
    <w:rsid w:val="00495E0D"/>
    <w:rsid w:val="00495F87"/>
    <w:rsid w:val="004960F6"/>
    <w:rsid w:val="00496313"/>
    <w:rsid w:val="0049649A"/>
    <w:rsid w:val="00496517"/>
    <w:rsid w:val="0049667D"/>
    <w:rsid w:val="004967BA"/>
    <w:rsid w:val="00496800"/>
    <w:rsid w:val="004968B9"/>
    <w:rsid w:val="004968BF"/>
    <w:rsid w:val="0049696D"/>
    <w:rsid w:val="004969C1"/>
    <w:rsid w:val="00496BE4"/>
    <w:rsid w:val="00496C63"/>
    <w:rsid w:val="00496D72"/>
    <w:rsid w:val="00496DEF"/>
    <w:rsid w:val="00496F11"/>
    <w:rsid w:val="00497072"/>
    <w:rsid w:val="004970BD"/>
    <w:rsid w:val="0049716D"/>
    <w:rsid w:val="00497215"/>
    <w:rsid w:val="004973A1"/>
    <w:rsid w:val="00497485"/>
    <w:rsid w:val="004974F8"/>
    <w:rsid w:val="0049768F"/>
    <w:rsid w:val="00497986"/>
    <w:rsid w:val="00497F0E"/>
    <w:rsid w:val="004A0031"/>
    <w:rsid w:val="004A0225"/>
    <w:rsid w:val="004A0228"/>
    <w:rsid w:val="004A0372"/>
    <w:rsid w:val="004A03F9"/>
    <w:rsid w:val="004A04A4"/>
    <w:rsid w:val="004A0502"/>
    <w:rsid w:val="004A0622"/>
    <w:rsid w:val="004A08A6"/>
    <w:rsid w:val="004A08AD"/>
    <w:rsid w:val="004A0E69"/>
    <w:rsid w:val="004A1032"/>
    <w:rsid w:val="004A10D6"/>
    <w:rsid w:val="004A141D"/>
    <w:rsid w:val="004A14BC"/>
    <w:rsid w:val="004A14ED"/>
    <w:rsid w:val="004A153E"/>
    <w:rsid w:val="004A17F4"/>
    <w:rsid w:val="004A1946"/>
    <w:rsid w:val="004A19BD"/>
    <w:rsid w:val="004A1A7E"/>
    <w:rsid w:val="004A1C52"/>
    <w:rsid w:val="004A2004"/>
    <w:rsid w:val="004A21F6"/>
    <w:rsid w:val="004A2290"/>
    <w:rsid w:val="004A229C"/>
    <w:rsid w:val="004A2446"/>
    <w:rsid w:val="004A245C"/>
    <w:rsid w:val="004A2711"/>
    <w:rsid w:val="004A27D0"/>
    <w:rsid w:val="004A288A"/>
    <w:rsid w:val="004A2B7E"/>
    <w:rsid w:val="004A2B8D"/>
    <w:rsid w:val="004A2C10"/>
    <w:rsid w:val="004A2E16"/>
    <w:rsid w:val="004A2EE8"/>
    <w:rsid w:val="004A3034"/>
    <w:rsid w:val="004A306E"/>
    <w:rsid w:val="004A31DB"/>
    <w:rsid w:val="004A3239"/>
    <w:rsid w:val="004A3275"/>
    <w:rsid w:val="004A32AD"/>
    <w:rsid w:val="004A3486"/>
    <w:rsid w:val="004A3532"/>
    <w:rsid w:val="004A3554"/>
    <w:rsid w:val="004A36DD"/>
    <w:rsid w:val="004A36FF"/>
    <w:rsid w:val="004A393A"/>
    <w:rsid w:val="004A3991"/>
    <w:rsid w:val="004A3ACF"/>
    <w:rsid w:val="004A3B50"/>
    <w:rsid w:val="004A3D4B"/>
    <w:rsid w:val="004A3DC8"/>
    <w:rsid w:val="004A3FEF"/>
    <w:rsid w:val="004A40CC"/>
    <w:rsid w:val="004A42B5"/>
    <w:rsid w:val="004A4376"/>
    <w:rsid w:val="004A43CE"/>
    <w:rsid w:val="004A45B2"/>
    <w:rsid w:val="004A45ED"/>
    <w:rsid w:val="004A4657"/>
    <w:rsid w:val="004A4666"/>
    <w:rsid w:val="004A46DE"/>
    <w:rsid w:val="004A4740"/>
    <w:rsid w:val="004A489C"/>
    <w:rsid w:val="004A49D8"/>
    <w:rsid w:val="004A4A37"/>
    <w:rsid w:val="004A4C1F"/>
    <w:rsid w:val="004A4C71"/>
    <w:rsid w:val="004A4CEC"/>
    <w:rsid w:val="004A4D62"/>
    <w:rsid w:val="004A4DC8"/>
    <w:rsid w:val="004A4E90"/>
    <w:rsid w:val="004A509B"/>
    <w:rsid w:val="004A5105"/>
    <w:rsid w:val="004A514F"/>
    <w:rsid w:val="004A51BF"/>
    <w:rsid w:val="004A52E3"/>
    <w:rsid w:val="004A5318"/>
    <w:rsid w:val="004A5457"/>
    <w:rsid w:val="004A555F"/>
    <w:rsid w:val="004A55A8"/>
    <w:rsid w:val="004A57A6"/>
    <w:rsid w:val="004A5A89"/>
    <w:rsid w:val="004A5AA6"/>
    <w:rsid w:val="004A5C90"/>
    <w:rsid w:val="004A5D61"/>
    <w:rsid w:val="004A5F5A"/>
    <w:rsid w:val="004A5F94"/>
    <w:rsid w:val="004A6003"/>
    <w:rsid w:val="004A62B8"/>
    <w:rsid w:val="004A62CC"/>
    <w:rsid w:val="004A63AE"/>
    <w:rsid w:val="004A6754"/>
    <w:rsid w:val="004A675C"/>
    <w:rsid w:val="004A678D"/>
    <w:rsid w:val="004A699F"/>
    <w:rsid w:val="004A69A5"/>
    <w:rsid w:val="004A6A92"/>
    <w:rsid w:val="004A6C02"/>
    <w:rsid w:val="004A6FAD"/>
    <w:rsid w:val="004A6FE2"/>
    <w:rsid w:val="004A7254"/>
    <w:rsid w:val="004A73BB"/>
    <w:rsid w:val="004A7600"/>
    <w:rsid w:val="004A7624"/>
    <w:rsid w:val="004A77F0"/>
    <w:rsid w:val="004A7AD0"/>
    <w:rsid w:val="004A7BC3"/>
    <w:rsid w:val="004A7BDC"/>
    <w:rsid w:val="004A7CD1"/>
    <w:rsid w:val="004A7E2B"/>
    <w:rsid w:val="004A7E42"/>
    <w:rsid w:val="004B00D5"/>
    <w:rsid w:val="004B030D"/>
    <w:rsid w:val="004B0364"/>
    <w:rsid w:val="004B0432"/>
    <w:rsid w:val="004B0626"/>
    <w:rsid w:val="004B093A"/>
    <w:rsid w:val="004B095D"/>
    <w:rsid w:val="004B0A45"/>
    <w:rsid w:val="004B0B26"/>
    <w:rsid w:val="004B0BAF"/>
    <w:rsid w:val="004B0CBC"/>
    <w:rsid w:val="004B0CC6"/>
    <w:rsid w:val="004B0CC7"/>
    <w:rsid w:val="004B0D85"/>
    <w:rsid w:val="004B0DD1"/>
    <w:rsid w:val="004B0DEA"/>
    <w:rsid w:val="004B0E0B"/>
    <w:rsid w:val="004B11B2"/>
    <w:rsid w:val="004B16DD"/>
    <w:rsid w:val="004B177C"/>
    <w:rsid w:val="004B1788"/>
    <w:rsid w:val="004B1C17"/>
    <w:rsid w:val="004B1C54"/>
    <w:rsid w:val="004B1CA1"/>
    <w:rsid w:val="004B1E25"/>
    <w:rsid w:val="004B1FCD"/>
    <w:rsid w:val="004B20AD"/>
    <w:rsid w:val="004B223A"/>
    <w:rsid w:val="004B2321"/>
    <w:rsid w:val="004B23F8"/>
    <w:rsid w:val="004B23FB"/>
    <w:rsid w:val="004B2464"/>
    <w:rsid w:val="004B27FC"/>
    <w:rsid w:val="004B283D"/>
    <w:rsid w:val="004B28D7"/>
    <w:rsid w:val="004B29E8"/>
    <w:rsid w:val="004B2A02"/>
    <w:rsid w:val="004B2B32"/>
    <w:rsid w:val="004B2DCE"/>
    <w:rsid w:val="004B2E36"/>
    <w:rsid w:val="004B2F48"/>
    <w:rsid w:val="004B303D"/>
    <w:rsid w:val="004B3043"/>
    <w:rsid w:val="004B31E3"/>
    <w:rsid w:val="004B34F8"/>
    <w:rsid w:val="004B359D"/>
    <w:rsid w:val="004B35A8"/>
    <w:rsid w:val="004B35EB"/>
    <w:rsid w:val="004B36EF"/>
    <w:rsid w:val="004B3704"/>
    <w:rsid w:val="004B37A4"/>
    <w:rsid w:val="004B38BE"/>
    <w:rsid w:val="004B395A"/>
    <w:rsid w:val="004B3ABB"/>
    <w:rsid w:val="004B3CEF"/>
    <w:rsid w:val="004B3D47"/>
    <w:rsid w:val="004B3D4B"/>
    <w:rsid w:val="004B3D87"/>
    <w:rsid w:val="004B3DEB"/>
    <w:rsid w:val="004B3E55"/>
    <w:rsid w:val="004B3E97"/>
    <w:rsid w:val="004B3FC7"/>
    <w:rsid w:val="004B406D"/>
    <w:rsid w:val="004B4235"/>
    <w:rsid w:val="004B426D"/>
    <w:rsid w:val="004B435D"/>
    <w:rsid w:val="004B43EC"/>
    <w:rsid w:val="004B4564"/>
    <w:rsid w:val="004B476A"/>
    <w:rsid w:val="004B477A"/>
    <w:rsid w:val="004B4B03"/>
    <w:rsid w:val="004B4E2E"/>
    <w:rsid w:val="004B4E59"/>
    <w:rsid w:val="004B4E99"/>
    <w:rsid w:val="004B50D8"/>
    <w:rsid w:val="004B5178"/>
    <w:rsid w:val="004B53C5"/>
    <w:rsid w:val="004B53F8"/>
    <w:rsid w:val="004B54AA"/>
    <w:rsid w:val="004B5553"/>
    <w:rsid w:val="004B55E8"/>
    <w:rsid w:val="004B565C"/>
    <w:rsid w:val="004B5679"/>
    <w:rsid w:val="004B5740"/>
    <w:rsid w:val="004B57FA"/>
    <w:rsid w:val="004B583C"/>
    <w:rsid w:val="004B58D4"/>
    <w:rsid w:val="004B5E06"/>
    <w:rsid w:val="004B5E9F"/>
    <w:rsid w:val="004B5F17"/>
    <w:rsid w:val="004B6214"/>
    <w:rsid w:val="004B6259"/>
    <w:rsid w:val="004B62AE"/>
    <w:rsid w:val="004B6388"/>
    <w:rsid w:val="004B63B8"/>
    <w:rsid w:val="004B6598"/>
    <w:rsid w:val="004B6675"/>
    <w:rsid w:val="004B6850"/>
    <w:rsid w:val="004B6882"/>
    <w:rsid w:val="004B6997"/>
    <w:rsid w:val="004B69D4"/>
    <w:rsid w:val="004B6ACE"/>
    <w:rsid w:val="004B6AE3"/>
    <w:rsid w:val="004B6E6C"/>
    <w:rsid w:val="004B6F8E"/>
    <w:rsid w:val="004B70F5"/>
    <w:rsid w:val="004B719D"/>
    <w:rsid w:val="004B7280"/>
    <w:rsid w:val="004B72B3"/>
    <w:rsid w:val="004B73D3"/>
    <w:rsid w:val="004B7631"/>
    <w:rsid w:val="004B779D"/>
    <w:rsid w:val="004B77CC"/>
    <w:rsid w:val="004B786A"/>
    <w:rsid w:val="004B7952"/>
    <w:rsid w:val="004B7978"/>
    <w:rsid w:val="004B7B30"/>
    <w:rsid w:val="004B7D95"/>
    <w:rsid w:val="004B7DB7"/>
    <w:rsid w:val="004B7F16"/>
    <w:rsid w:val="004B7F6A"/>
    <w:rsid w:val="004C005C"/>
    <w:rsid w:val="004C0069"/>
    <w:rsid w:val="004C00B9"/>
    <w:rsid w:val="004C0248"/>
    <w:rsid w:val="004C0586"/>
    <w:rsid w:val="004C06B7"/>
    <w:rsid w:val="004C0815"/>
    <w:rsid w:val="004C0C32"/>
    <w:rsid w:val="004C0C51"/>
    <w:rsid w:val="004C0D1A"/>
    <w:rsid w:val="004C1280"/>
    <w:rsid w:val="004C12A9"/>
    <w:rsid w:val="004C15ED"/>
    <w:rsid w:val="004C16F0"/>
    <w:rsid w:val="004C1749"/>
    <w:rsid w:val="004C17A8"/>
    <w:rsid w:val="004C1850"/>
    <w:rsid w:val="004C1E72"/>
    <w:rsid w:val="004C1EC0"/>
    <w:rsid w:val="004C20E5"/>
    <w:rsid w:val="004C215E"/>
    <w:rsid w:val="004C2260"/>
    <w:rsid w:val="004C28F7"/>
    <w:rsid w:val="004C2B01"/>
    <w:rsid w:val="004C2C8F"/>
    <w:rsid w:val="004C2CDC"/>
    <w:rsid w:val="004C2E15"/>
    <w:rsid w:val="004C2E1C"/>
    <w:rsid w:val="004C3017"/>
    <w:rsid w:val="004C34D9"/>
    <w:rsid w:val="004C3556"/>
    <w:rsid w:val="004C3668"/>
    <w:rsid w:val="004C3737"/>
    <w:rsid w:val="004C3ACD"/>
    <w:rsid w:val="004C3E6E"/>
    <w:rsid w:val="004C3EF8"/>
    <w:rsid w:val="004C3F6A"/>
    <w:rsid w:val="004C3FBB"/>
    <w:rsid w:val="004C40A3"/>
    <w:rsid w:val="004C41B2"/>
    <w:rsid w:val="004C442C"/>
    <w:rsid w:val="004C456B"/>
    <w:rsid w:val="004C4695"/>
    <w:rsid w:val="004C4878"/>
    <w:rsid w:val="004C4879"/>
    <w:rsid w:val="004C4967"/>
    <w:rsid w:val="004C49E1"/>
    <w:rsid w:val="004C4AD4"/>
    <w:rsid w:val="004C4B79"/>
    <w:rsid w:val="004C4BCE"/>
    <w:rsid w:val="004C4D86"/>
    <w:rsid w:val="004C4E4E"/>
    <w:rsid w:val="004C5026"/>
    <w:rsid w:val="004C50FC"/>
    <w:rsid w:val="004C5159"/>
    <w:rsid w:val="004C5286"/>
    <w:rsid w:val="004C5303"/>
    <w:rsid w:val="004C531A"/>
    <w:rsid w:val="004C539D"/>
    <w:rsid w:val="004C53DE"/>
    <w:rsid w:val="004C5556"/>
    <w:rsid w:val="004C5865"/>
    <w:rsid w:val="004C5910"/>
    <w:rsid w:val="004C5933"/>
    <w:rsid w:val="004C5A12"/>
    <w:rsid w:val="004C5BE3"/>
    <w:rsid w:val="004C5C69"/>
    <w:rsid w:val="004C600E"/>
    <w:rsid w:val="004C63D2"/>
    <w:rsid w:val="004C6665"/>
    <w:rsid w:val="004C6754"/>
    <w:rsid w:val="004C6962"/>
    <w:rsid w:val="004C6A75"/>
    <w:rsid w:val="004C6AED"/>
    <w:rsid w:val="004C6BCB"/>
    <w:rsid w:val="004C6C10"/>
    <w:rsid w:val="004C6D5C"/>
    <w:rsid w:val="004C6E3F"/>
    <w:rsid w:val="004C6EB0"/>
    <w:rsid w:val="004C711B"/>
    <w:rsid w:val="004C73DA"/>
    <w:rsid w:val="004C7408"/>
    <w:rsid w:val="004C7511"/>
    <w:rsid w:val="004C7519"/>
    <w:rsid w:val="004C772B"/>
    <w:rsid w:val="004C7759"/>
    <w:rsid w:val="004C7837"/>
    <w:rsid w:val="004C7920"/>
    <w:rsid w:val="004C7E3B"/>
    <w:rsid w:val="004C7FC7"/>
    <w:rsid w:val="004C7FC8"/>
    <w:rsid w:val="004D012E"/>
    <w:rsid w:val="004D0344"/>
    <w:rsid w:val="004D057A"/>
    <w:rsid w:val="004D06B4"/>
    <w:rsid w:val="004D075C"/>
    <w:rsid w:val="004D0762"/>
    <w:rsid w:val="004D07F7"/>
    <w:rsid w:val="004D08BD"/>
    <w:rsid w:val="004D08EF"/>
    <w:rsid w:val="004D0907"/>
    <w:rsid w:val="004D0A31"/>
    <w:rsid w:val="004D0A5E"/>
    <w:rsid w:val="004D0CCB"/>
    <w:rsid w:val="004D0F6A"/>
    <w:rsid w:val="004D10DC"/>
    <w:rsid w:val="004D11B7"/>
    <w:rsid w:val="004D130A"/>
    <w:rsid w:val="004D144B"/>
    <w:rsid w:val="004D15CC"/>
    <w:rsid w:val="004D1740"/>
    <w:rsid w:val="004D174E"/>
    <w:rsid w:val="004D1772"/>
    <w:rsid w:val="004D1978"/>
    <w:rsid w:val="004D19A2"/>
    <w:rsid w:val="004D1A60"/>
    <w:rsid w:val="004D1BAD"/>
    <w:rsid w:val="004D1CE1"/>
    <w:rsid w:val="004D1D29"/>
    <w:rsid w:val="004D1EA0"/>
    <w:rsid w:val="004D1EE8"/>
    <w:rsid w:val="004D2188"/>
    <w:rsid w:val="004D21F1"/>
    <w:rsid w:val="004D260E"/>
    <w:rsid w:val="004D2711"/>
    <w:rsid w:val="004D2721"/>
    <w:rsid w:val="004D288D"/>
    <w:rsid w:val="004D2A3C"/>
    <w:rsid w:val="004D2EA4"/>
    <w:rsid w:val="004D2F73"/>
    <w:rsid w:val="004D2FB2"/>
    <w:rsid w:val="004D3171"/>
    <w:rsid w:val="004D325B"/>
    <w:rsid w:val="004D3275"/>
    <w:rsid w:val="004D3286"/>
    <w:rsid w:val="004D344E"/>
    <w:rsid w:val="004D3660"/>
    <w:rsid w:val="004D3686"/>
    <w:rsid w:val="004D3792"/>
    <w:rsid w:val="004D3BD8"/>
    <w:rsid w:val="004D3CB0"/>
    <w:rsid w:val="004D3E76"/>
    <w:rsid w:val="004D3E82"/>
    <w:rsid w:val="004D4166"/>
    <w:rsid w:val="004D45A1"/>
    <w:rsid w:val="004D4765"/>
    <w:rsid w:val="004D4818"/>
    <w:rsid w:val="004D4875"/>
    <w:rsid w:val="004D48D6"/>
    <w:rsid w:val="004D490E"/>
    <w:rsid w:val="004D4D6E"/>
    <w:rsid w:val="004D4DA8"/>
    <w:rsid w:val="004D4DB7"/>
    <w:rsid w:val="004D4E66"/>
    <w:rsid w:val="004D53F0"/>
    <w:rsid w:val="004D542D"/>
    <w:rsid w:val="004D548D"/>
    <w:rsid w:val="004D5608"/>
    <w:rsid w:val="004D5642"/>
    <w:rsid w:val="004D584E"/>
    <w:rsid w:val="004D5A80"/>
    <w:rsid w:val="004D5E71"/>
    <w:rsid w:val="004D60BF"/>
    <w:rsid w:val="004D61D9"/>
    <w:rsid w:val="004D6322"/>
    <w:rsid w:val="004D6387"/>
    <w:rsid w:val="004D63D8"/>
    <w:rsid w:val="004D6504"/>
    <w:rsid w:val="004D69CF"/>
    <w:rsid w:val="004D69D5"/>
    <w:rsid w:val="004D6B71"/>
    <w:rsid w:val="004D6C9B"/>
    <w:rsid w:val="004D6CEE"/>
    <w:rsid w:val="004D6D32"/>
    <w:rsid w:val="004D6DF9"/>
    <w:rsid w:val="004D7137"/>
    <w:rsid w:val="004D7173"/>
    <w:rsid w:val="004D7193"/>
    <w:rsid w:val="004D7397"/>
    <w:rsid w:val="004D7809"/>
    <w:rsid w:val="004D782F"/>
    <w:rsid w:val="004D7855"/>
    <w:rsid w:val="004D7B92"/>
    <w:rsid w:val="004D7C55"/>
    <w:rsid w:val="004D7CE3"/>
    <w:rsid w:val="004D7DD7"/>
    <w:rsid w:val="004D7E14"/>
    <w:rsid w:val="004D7E8A"/>
    <w:rsid w:val="004D7FE0"/>
    <w:rsid w:val="004E00CA"/>
    <w:rsid w:val="004E0192"/>
    <w:rsid w:val="004E022E"/>
    <w:rsid w:val="004E0304"/>
    <w:rsid w:val="004E05BB"/>
    <w:rsid w:val="004E05EF"/>
    <w:rsid w:val="004E064D"/>
    <w:rsid w:val="004E065C"/>
    <w:rsid w:val="004E066F"/>
    <w:rsid w:val="004E0A18"/>
    <w:rsid w:val="004E0EDD"/>
    <w:rsid w:val="004E0F1A"/>
    <w:rsid w:val="004E0FC7"/>
    <w:rsid w:val="004E1031"/>
    <w:rsid w:val="004E10FD"/>
    <w:rsid w:val="004E12E8"/>
    <w:rsid w:val="004E1318"/>
    <w:rsid w:val="004E153C"/>
    <w:rsid w:val="004E16A4"/>
    <w:rsid w:val="004E177B"/>
    <w:rsid w:val="004E17B7"/>
    <w:rsid w:val="004E1A9D"/>
    <w:rsid w:val="004E1AA6"/>
    <w:rsid w:val="004E1B15"/>
    <w:rsid w:val="004E1C59"/>
    <w:rsid w:val="004E1E29"/>
    <w:rsid w:val="004E1EE3"/>
    <w:rsid w:val="004E20D5"/>
    <w:rsid w:val="004E214B"/>
    <w:rsid w:val="004E221E"/>
    <w:rsid w:val="004E24A3"/>
    <w:rsid w:val="004E253D"/>
    <w:rsid w:val="004E27D8"/>
    <w:rsid w:val="004E2820"/>
    <w:rsid w:val="004E2948"/>
    <w:rsid w:val="004E2C6D"/>
    <w:rsid w:val="004E2C96"/>
    <w:rsid w:val="004E2D82"/>
    <w:rsid w:val="004E2E82"/>
    <w:rsid w:val="004E307B"/>
    <w:rsid w:val="004E30F8"/>
    <w:rsid w:val="004E3152"/>
    <w:rsid w:val="004E328D"/>
    <w:rsid w:val="004E32CF"/>
    <w:rsid w:val="004E33B9"/>
    <w:rsid w:val="004E35A5"/>
    <w:rsid w:val="004E3674"/>
    <w:rsid w:val="004E3996"/>
    <w:rsid w:val="004E3F6F"/>
    <w:rsid w:val="004E40F8"/>
    <w:rsid w:val="004E4155"/>
    <w:rsid w:val="004E415A"/>
    <w:rsid w:val="004E4160"/>
    <w:rsid w:val="004E45D3"/>
    <w:rsid w:val="004E46E7"/>
    <w:rsid w:val="004E49D3"/>
    <w:rsid w:val="004E4AB1"/>
    <w:rsid w:val="004E4B29"/>
    <w:rsid w:val="004E4C62"/>
    <w:rsid w:val="004E4D00"/>
    <w:rsid w:val="004E4DF3"/>
    <w:rsid w:val="004E4E1B"/>
    <w:rsid w:val="004E4F9C"/>
    <w:rsid w:val="004E502E"/>
    <w:rsid w:val="004E54A4"/>
    <w:rsid w:val="004E54EE"/>
    <w:rsid w:val="004E5635"/>
    <w:rsid w:val="004E596C"/>
    <w:rsid w:val="004E5B8C"/>
    <w:rsid w:val="004E5BA1"/>
    <w:rsid w:val="004E5BAD"/>
    <w:rsid w:val="004E5C96"/>
    <w:rsid w:val="004E5E94"/>
    <w:rsid w:val="004E6099"/>
    <w:rsid w:val="004E6220"/>
    <w:rsid w:val="004E64BA"/>
    <w:rsid w:val="004E6933"/>
    <w:rsid w:val="004E697B"/>
    <w:rsid w:val="004E6B1B"/>
    <w:rsid w:val="004E6CB3"/>
    <w:rsid w:val="004E6D4A"/>
    <w:rsid w:val="004E6FB0"/>
    <w:rsid w:val="004E7451"/>
    <w:rsid w:val="004E7B1B"/>
    <w:rsid w:val="004E7C27"/>
    <w:rsid w:val="004E7E39"/>
    <w:rsid w:val="004E7E52"/>
    <w:rsid w:val="004F036E"/>
    <w:rsid w:val="004F0B3F"/>
    <w:rsid w:val="004F0C54"/>
    <w:rsid w:val="004F0E14"/>
    <w:rsid w:val="004F0EAA"/>
    <w:rsid w:val="004F117D"/>
    <w:rsid w:val="004F1358"/>
    <w:rsid w:val="004F14D2"/>
    <w:rsid w:val="004F1614"/>
    <w:rsid w:val="004F17E4"/>
    <w:rsid w:val="004F1864"/>
    <w:rsid w:val="004F19D1"/>
    <w:rsid w:val="004F1AE2"/>
    <w:rsid w:val="004F1F6D"/>
    <w:rsid w:val="004F22AA"/>
    <w:rsid w:val="004F22B6"/>
    <w:rsid w:val="004F25C4"/>
    <w:rsid w:val="004F2679"/>
    <w:rsid w:val="004F26CE"/>
    <w:rsid w:val="004F2842"/>
    <w:rsid w:val="004F2B13"/>
    <w:rsid w:val="004F2B97"/>
    <w:rsid w:val="004F2CD8"/>
    <w:rsid w:val="004F2D74"/>
    <w:rsid w:val="004F2DFA"/>
    <w:rsid w:val="004F2EF0"/>
    <w:rsid w:val="004F2F07"/>
    <w:rsid w:val="004F3056"/>
    <w:rsid w:val="004F307F"/>
    <w:rsid w:val="004F3126"/>
    <w:rsid w:val="004F3259"/>
    <w:rsid w:val="004F3356"/>
    <w:rsid w:val="004F363F"/>
    <w:rsid w:val="004F3802"/>
    <w:rsid w:val="004F3845"/>
    <w:rsid w:val="004F3855"/>
    <w:rsid w:val="004F3A6A"/>
    <w:rsid w:val="004F3CDB"/>
    <w:rsid w:val="004F3D1A"/>
    <w:rsid w:val="004F3E37"/>
    <w:rsid w:val="004F419D"/>
    <w:rsid w:val="004F436D"/>
    <w:rsid w:val="004F4691"/>
    <w:rsid w:val="004F47C9"/>
    <w:rsid w:val="004F48FB"/>
    <w:rsid w:val="004F4A80"/>
    <w:rsid w:val="004F4C39"/>
    <w:rsid w:val="004F4CAF"/>
    <w:rsid w:val="004F4DAC"/>
    <w:rsid w:val="004F4EB7"/>
    <w:rsid w:val="004F4EBB"/>
    <w:rsid w:val="004F4FB1"/>
    <w:rsid w:val="004F522A"/>
    <w:rsid w:val="004F53C9"/>
    <w:rsid w:val="004F53D2"/>
    <w:rsid w:val="004F557A"/>
    <w:rsid w:val="004F5A3C"/>
    <w:rsid w:val="004F5BF1"/>
    <w:rsid w:val="004F5C79"/>
    <w:rsid w:val="004F5DAB"/>
    <w:rsid w:val="004F5FEB"/>
    <w:rsid w:val="004F6082"/>
    <w:rsid w:val="004F6590"/>
    <w:rsid w:val="004F663C"/>
    <w:rsid w:val="004F6747"/>
    <w:rsid w:val="004F67C7"/>
    <w:rsid w:val="004F6AC5"/>
    <w:rsid w:val="004F6DC3"/>
    <w:rsid w:val="004F6DEE"/>
    <w:rsid w:val="004F6EF1"/>
    <w:rsid w:val="004F7098"/>
    <w:rsid w:val="004F7129"/>
    <w:rsid w:val="004F71CD"/>
    <w:rsid w:val="004F73DB"/>
    <w:rsid w:val="004F73F2"/>
    <w:rsid w:val="004F74FA"/>
    <w:rsid w:val="004F75D3"/>
    <w:rsid w:val="004F7688"/>
    <w:rsid w:val="004F7867"/>
    <w:rsid w:val="004F7B25"/>
    <w:rsid w:val="004F7B7B"/>
    <w:rsid w:val="005000A3"/>
    <w:rsid w:val="00500216"/>
    <w:rsid w:val="00500274"/>
    <w:rsid w:val="00500279"/>
    <w:rsid w:val="00500BCE"/>
    <w:rsid w:val="00500C43"/>
    <w:rsid w:val="00500C44"/>
    <w:rsid w:val="00500D9B"/>
    <w:rsid w:val="00500EB2"/>
    <w:rsid w:val="00501043"/>
    <w:rsid w:val="0050109B"/>
    <w:rsid w:val="005012C6"/>
    <w:rsid w:val="005012D8"/>
    <w:rsid w:val="0050133B"/>
    <w:rsid w:val="005015E5"/>
    <w:rsid w:val="005018AA"/>
    <w:rsid w:val="005018AC"/>
    <w:rsid w:val="0050195B"/>
    <w:rsid w:val="00501CE2"/>
    <w:rsid w:val="00501D43"/>
    <w:rsid w:val="00502018"/>
    <w:rsid w:val="005020A1"/>
    <w:rsid w:val="00502234"/>
    <w:rsid w:val="00502AFE"/>
    <w:rsid w:val="00502DD7"/>
    <w:rsid w:val="00502E4E"/>
    <w:rsid w:val="00502F0B"/>
    <w:rsid w:val="00502F24"/>
    <w:rsid w:val="00502F42"/>
    <w:rsid w:val="005030D4"/>
    <w:rsid w:val="005031AD"/>
    <w:rsid w:val="005031D6"/>
    <w:rsid w:val="00503403"/>
    <w:rsid w:val="005035A7"/>
    <w:rsid w:val="00503602"/>
    <w:rsid w:val="005036B1"/>
    <w:rsid w:val="005037A6"/>
    <w:rsid w:val="005039D4"/>
    <w:rsid w:val="00503AE5"/>
    <w:rsid w:val="00503AF5"/>
    <w:rsid w:val="00503D09"/>
    <w:rsid w:val="00503D50"/>
    <w:rsid w:val="00503E62"/>
    <w:rsid w:val="00503E9E"/>
    <w:rsid w:val="00503EBE"/>
    <w:rsid w:val="00504179"/>
    <w:rsid w:val="00504238"/>
    <w:rsid w:val="0050427C"/>
    <w:rsid w:val="005043B4"/>
    <w:rsid w:val="005043BF"/>
    <w:rsid w:val="00504404"/>
    <w:rsid w:val="005044A7"/>
    <w:rsid w:val="005044AA"/>
    <w:rsid w:val="00504712"/>
    <w:rsid w:val="00504801"/>
    <w:rsid w:val="00504862"/>
    <w:rsid w:val="005048B4"/>
    <w:rsid w:val="0050494F"/>
    <w:rsid w:val="00504B9F"/>
    <w:rsid w:val="00504C1E"/>
    <w:rsid w:val="00504C3F"/>
    <w:rsid w:val="00504C55"/>
    <w:rsid w:val="00504D62"/>
    <w:rsid w:val="00504E3D"/>
    <w:rsid w:val="00504E47"/>
    <w:rsid w:val="005051DC"/>
    <w:rsid w:val="0050524F"/>
    <w:rsid w:val="0050534C"/>
    <w:rsid w:val="00505356"/>
    <w:rsid w:val="00505400"/>
    <w:rsid w:val="00505547"/>
    <w:rsid w:val="00505A49"/>
    <w:rsid w:val="00505AD9"/>
    <w:rsid w:val="00505C16"/>
    <w:rsid w:val="00505FDF"/>
    <w:rsid w:val="005061BF"/>
    <w:rsid w:val="005062DB"/>
    <w:rsid w:val="005063A3"/>
    <w:rsid w:val="005063BD"/>
    <w:rsid w:val="005067FD"/>
    <w:rsid w:val="00506BAF"/>
    <w:rsid w:val="00506BE3"/>
    <w:rsid w:val="00506C67"/>
    <w:rsid w:val="00506D91"/>
    <w:rsid w:val="00506E05"/>
    <w:rsid w:val="00506E5D"/>
    <w:rsid w:val="00506F32"/>
    <w:rsid w:val="00506F33"/>
    <w:rsid w:val="00507064"/>
    <w:rsid w:val="005073F6"/>
    <w:rsid w:val="005075DA"/>
    <w:rsid w:val="00507673"/>
    <w:rsid w:val="00507675"/>
    <w:rsid w:val="005077AD"/>
    <w:rsid w:val="0050786E"/>
    <w:rsid w:val="0050788D"/>
    <w:rsid w:val="0050790D"/>
    <w:rsid w:val="00507B3A"/>
    <w:rsid w:val="00507C27"/>
    <w:rsid w:val="00510044"/>
    <w:rsid w:val="005100B6"/>
    <w:rsid w:val="00510171"/>
    <w:rsid w:val="0051022A"/>
    <w:rsid w:val="005103FD"/>
    <w:rsid w:val="005104AD"/>
    <w:rsid w:val="005104CE"/>
    <w:rsid w:val="00510700"/>
    <w:rsid w:val="0051073C"/>
    <w:rsid w:val="005108B7"/>
    <w:rsid w:val="00510B48"/>
    <w:rsid w:val="00510BFD"/>
    <w:rsid w:val="00510E0F"/>
    <w:rsid w:val="00510E42"/>
    <w:rsid w:val="00510EFF"/>
    <w:rsid w:val="005111AF"/>
    <w:rsid w:val="005113A5"/>
    <w:rsid w:val="005113CB"/>
    <w:rsid w:val="0051147B"/>
    <w:rsid w:val="00511630"/>
    <w:rsid w:val="005117D5"/>
    <w:rsid w:val="00511A4F"/>
    <w:rsid w:val="00511BD5"/>
    <w:rsid w:val="00511C3A"/>
    <w:rsid w:val="00511E86"/>
    <w:rsid w:val="005120ED"/>
    <w:rsid w:val="005122C3"/>
    <w:rsid w:val="005125CA"/>
    <w:rsid w:val="00512633"/>
    <w:rsid w:val="00512781"/>
    <w:rsid w:val="00512841"/>
    <w:rsid w:val="00512E3B"/>
    <w:rsid w:val="00512EB0"/>
    <w:rsid w:val="00512F4C"/>
    <w:rsid w:val="00512FB7"/>
    <w:rsid w:val="00512FE3"/>
    <w:rsid w:val="00513062"/>
    <w:rsid w:val="00513097"/>
    <w:rsid w:val="0051319E"/>
    <w:rsid w:val="005131CB"/>
    <w:rsid w:val="00513201"/>
    <w:rsid w:val="005133AE"/>
    <w:rsid w:val="00513518"/>
    <w:rsid w:val="00513651"/>
    <w:rsid w:val="00513680"/>
    <w:rsid w:val="00513849"/>
    <w:rsid w:val="005138DD"/>
    <w:rsid w:val="00513966"/>
    <w:rsid w:val="00513A98"/>
    <w:rsid w:val="00513BB5"/>
    <w:rsid w:val="00513CCE"/>
    <w:rsid w:val="00513D82"/>
    <w:rsid w:val="005140C7"/>
    <w:rsid w:val="00514211"/>
    <w:rsid w:val="0051437B"/>
    <w:rsid w:val="005143AF"/>
    <w:rsid w:val="005143DC"/>
    <w:rsid w:val="005144AD"/>
    <w:rsid w:val="005144DC"/>
    <w:rsid w:val="00514529"/>
    <w:rsid w:val="0051484B"/>
    <w:rsid w:val="0051486A"/>
    <w:rsid w:val="00514D56"/>
    <w:rsid w:val="00514DB4"/>
    <w:rsid w:val="00514E4E"/>
    <w:rsid w:val="00514E5A"/>
    <w:rsid w:val="00514E70"/>
    <w:rsid w:val="00514E74"/>
    <w:rsid w:val="0051503C"/>
    <w:rsid w:val="005150BF"/>
    <w:rsid w:val="005155A2"/>
    <w:rsid w:val="005156C9"/>
    <w:rsid w:val="005156D9"/>
    <w:rsid w:val="0051578E"/>
    <w:rsid w:val="005158B1"/>
    <w:rsid w:val="00515A46"/>
    <w:rsid w:val="00515A48"/>
    <w:rsid w:val="00515AAD"/>
    <w:rsid w:val="00515D77"/>
    <w:rsid w:val="00516017"/>
    <w:rsid w:val="005160DA"/>
    <w:rsid w:val="00516142"/>
    <w:rsid w:val="00516187"/>
    <w:rsid w:val="00516245"/>
    <w:rsid w:val="0051628A"/>
    <w:rsid w:val="005163BE"/>
    <w:rsid w:val="005163D6"/>
    <w:rsid w:val="00516647"/>
    <w:rsid w:val="005167EE"/>
    <w:rsid w:val="00516846"/>
    <w:rsid w:val="00516893"/>
    <w:rsid w:val="005168F9"/>
    <w:rsid w:val="00516A3A"/>
    <w:rsid w:val="00516C30"/>
    <w:rsid w:val="00516ECA"/>
    <w:rsid w:val="00516EE8"/>
    <w:rsid w:val="00516EF9"/>
    <w:rsid w:val="00517008"/>
    <w:rsid w:val="00517206"/>
    <w:rsid w:val="005172F0"/>
    <w:rsid w:val="0051740B"/>
    <w:rsid w:val="005176F0"/>
    <w:rsid w:val="005178D8"/>
    <w:rsid w:val="00517B21"/>
    <w:rsid w:val="00517BB7"/>
    <w:rsid w:val="00517E3F"/>
    <w:rsid w:val="00517EB3"/>
    <w:rsid w:val="00517F6B"/>
    <w:rsid w:val="0052006D"/>
    <w:rsid w:val="005200D1"/>
    <w:rsid w:val="00520268"/>
    <w:rsid w:val="005206E1"/>
    <w:rsid w:val="00520D7D"/>
    <w:rsid w:val="00520D7E"/>
    <w:rsid w:val="00520EF6"/>
    <w:rsid w:val="00521117"/>
    <w:rsid w:val="00521438"/>
    <w:rsid w:val="00521513"/>
    <w:rsid w:val="00521521"/>
    <w:rsid w:val="00521796"/>
    <w:rsid w:val="005218CA"/>
    <w:rsid w:val="00521A74"/>
    <w:rsid w:val="00521D45"/>
    <w:rsid w:val="00521D49"/>
    <w:rsid w:val="00521E31"/>
    <w:rsid w:val="005221DC"/>
    <w:rsid w:val="005221F2"/>
    <w:rsid w:val="00522324"/>
    <w:rsid w:val="00522795"/>
    <w:rsid w:val="005228DB"/>
    <w:rsid w:val="00522C6F"/>
    <w:rsid w:val="00522E07"/>
    <w:rsid w:val="005230D6"/>
    <w:rsid w:val="0052321B"/>
    <w:rsid w:val="00523285"/>
    <w:rsid w:val="0052330F"/>
    <w:rsid w:val="0052342A"/>
    <w:rsid w:val="00523BAD"/>
    <w:rsid w:val="00523BDE"/>
    <w:rsid w:val="00523C29"/>
    <w:rsid w:val="00523CCB"/>
    <w:rsid w:val="00523DBD"/>
    <w:rsid w:val="00523DF0"/>
    <w:rsid w:val="00523E7C"/>
    <w:rsid w:val="00523F80"/>
    <w:rsid w:val="005240A9"/>
    <w:rsid w:val="00524457"/>
    <w:rsid w:val="005245DA"/>
    <w:rsid w:val="0052474F"/>
    <w:rsid w:val="00524821"/>
    <w:rsid w:val="00524986"/>
    <w:rsid w:val="00524ED0"/>
    <w:rsid w:val="0052531F"/>
    <w:rsid w:val="00525462"/>
    <w:rsid w:val="0052548C"/>
    <w:rsid w:val="005255CF"/>
    <w:rsid w:val="0052591A"/>
    <w:rsid w:val="0052599F"/>
    <w:rsid w:val="00525A8F"/>
    <w:rsid w:val="00525B16"/>
    <w:rsid w:val="00525B39"/>
    <w:rsid w:val="00525CDF"/>
    <w:rsid w:val="00525CE0"/>
    <w:rsid w:val="00525D2B"/>
    <w:rsid w:val="00525D77"/>
    <w:rsid w:val="00525D86"/>
    <w:rsid w:val="00525ED3"/>
    <w:rsid w:val="00526057"/>
    <w:rsid w:val="00526115"/>
    <w:rsid w:val="0052629A"/>
    <w:rsid w:val="0052633A"/>
    <w:rsid w:val="00526360"/>
    <w:rsid w:val="005266D6"/>
    <w:rsid w:val="005267BD"/>
    <w:rsid w:val="005267D8"/>
    <w:rsid w:val="00526861"/>
    <w:rsid w:val="00526879"/>
    <w:rsid w:val="00526E04"/>
    <w:rsid w:val="00526E5D"/>
    <w:rsid w:val="00526EC3"/>
    <w:rsid w:val="00526F1D"/>
    <w:rsid w:val="00527108"/>
    <w:rsid w:val="00527212"/>
    <w:rsid w:val="0052739B"/>
    <w:rsid w:val="005274AC"/>
    <w:rsid w:val="00527614"/>
    <w:rsid w:val="005279EB"/>
    <w:rsid w:val="00527AD6"/>
    <w:rsid w:val="00527FD5"/>
    <w:rsid w:val="00530010"/>
    <w:rsid w:val="005301DA"/>
    <w:rsid w:val="005303DF"/>
    <w:rsid w:val="00530412"/>
    <w:rsid w:val="0053047E"/>
    <w:rsid w:val="005305E7"/>
    <w:rsid w:val="005305F1"/>
    <w:rsid w:val="005307EA"/>
    <w:rsid w:val="00530833"/>
    <w:rsid w:val="00530A16"/>
    <w:rsid w:val="00530AA3"/>
    <w:rsid w:val="00530B13"/>
    <w:rsid w:val="00530BEE"/>
    <w:rsid w:val="00530D1C"/>
    <w:rsid w:val="00530E3F"/>
    <w:rsid w:val="00530EE8"/>
    <w:rsid w:val="0053108C"/>
    <w:rsid w:val="00531198"/>
    <w:rsid w:val="00531204"/>
    <w:rsid w:val="005313AC"/>
    <w:rsid w:val="00531527"/>
    <w:rsid w:val="005319F2"/>
    <w:rsid w:val="00531AAD"/>
    <w:rsid w:val="00531BB8"/>
    <w:rsid w:val="00531BD4"/>
    <w:rsid w:val="00531D3E"/>
    <w:rsid w:val="00531DFA"/>
    <w:rsid w:val="005320D0"/>
    <w:rsid w:val="00532220"/>
    <w:rsid w:val="00532327"/>
    <w:rsid w:val="005324DF"/>
    <w:rsid w:val="0053251E"/>
    <w:rsid w:val="00532558"/>
    <w:rsid w:val="005326EB"/>
    <w:rsid w:val="00532756"/>
    <w:rsid w:val="00532823"/>
    <w:rsid w:val="00532A46"/>
    <w:rsid w:val="00532AF0"/>
    <w:rsid w:val="00532C56"/>
    <w:rsid w:val="00532C92"/>
    <w:rsid w:val="00533256"/>
    <w:rsid w:val="0053333D"/>
    <w:rsid w:val="005338F2"/>
    <w:rsid w:val="005339ED"/>
    <w:rsid w:val="00533B8C"/>
    <w:rsid w:val="00533F00"/>
    <w:rsid w:val="00533FA5"/>
    <w:rsid w:val="00534027"/>
    <w:rsid w:val="0053415B"/>
    <w:rsid w:val="005341A0"/>
    <w:rsid w:val="00534411"/>
    <w:rsid w:val="00534516"/>
    <w:rsid w:val="00534537"/>
    <w:rsid w:val="005346E0"/>
    <w:rsid w:val="00534723"/>
    <w:rsid w:val="00534A08"/>
    <w:rsid w:val="00534A78"/>
    <w:rsid w:val="00534AD0"/>
    <w:rsid w:val="00534C51"/>
    <w:rsid w:val="00534EFB"/>
    <w:rsid w:val="00534F67"/>
    <w:rsid w:val="00535167"/>
    <w:rsid w:val="00535343"/>
    <w:rsid w:val="00535A78"/>
    <w:rsid w:val="00535ABC"/>
    <w:rsid w:val="00535F78"/>
    <w:rsid w:val="00535FAC"/>
    <w:rsid w:val="00536057"/>
    <w:rsid w:val="005360A2"/>
    <w:rsid w:val="005364D7"/>
    <w:rsid w:val="0053664D"/>
    <w:rsid w:val="00536754"/>
    <w:rsid w:val="0053677A"/>
    <w:rsid w:val="005367F0"/>
    <w:rsid w:val="00536A63"/>
    <w:rsid w:val="00536BAA"/>
    <w:rsid w:val="00536E35"/>
    <w:rsid w:val="00536E80"/>
    <w:rsid w:val="00536EE9"/>
    <w:rsid w:val="00536FA2"/>
    <w:rsid w:val="00536FD6"/>
    <w:rsid w:val="00536FED"/>
    <w:rsid w:val="0053701E"/>
    <w:rsid w:val="005370E4"/>
    <w:rsid w:val="0053724C"/>
    <w:rsid w:val="00537573"/>
    <w:rsid w:val="00537D33"/>
    <w:rsid w:val="00537E90"/>
    <w:rsid w:val="00540107"/>
    <w:rsid w:val="00540194"/>
    <w:rsid w:val="005403D8"/>
    <w:rsid w:val="005403F9"/>
    <w:rsid w:val="00540505"/>
    <w:rsid w:val="005406A0"/>
    <w:rsid w:val="005407A1"/>
    <w:rsid w:val="0054090A"/>
    <w:rsid w:val="00540A42"/>
    <w:rsid w:val="00540A51"/>
    <w:rsid w:val="00540BC2"/>
    <w:rsid w:val="00540D49"/>
    <w:rsid w:val="00540E3E"/>
    <w:rsid w:val="00541006"/>
    <w:rsid w:val="00541055"/>
    <w:rsid w:val="005410D6"/>
    <w:rsid w:val="0054121B"/>
    <w:rsid w:val="00541274"/>
    <w:rsid w:val="00541296"/>
    <w:rsid w:val="005412CF"/>
    <w:rsid w:val="0054132C"/>
    <w:rsid w:val="00541336"/>
    <w:rsid w:val="005413D8"/>
    <w:rsid w:val="0054145A"/>
    <w:rsid w:val="00541703"/>
    <w:rsid w:val="00541791"/>
    <w:rsid w:val="005417BD"/>
    <w:rsid w:val="00541868"/>
    <w:rsid w:val="00541990"/>
    <w:rsid w:val="00541D5F"/>
    <w:rsid w:val="00542003"/>
    <w:rsid w:val="0054212A"/>
    <w:rsid w:val="005422B0"/>
    <w:rsid w:val="005423A0"/>
    <w:rsid w:val="005423C7"/>
    <w:rsid w:val="00542544"/>
    <w:rsid w:val="0054273D"/>
    <w:rsid w:val="0054283A"/>
    <w:rsid w:val="0054284E"/>
    <w:rsid w:val="00542893"/>
    <w:rsid w:val="005428B0"/>
    <w:rsid w:val="005428D4"/>
    <w:rsid w:val="005428E0"/>
    <w:rsid w:val="005429E2"/>
    <w:rsid w:val="00542A25"/>
    <w:rsid w:val="00542C96"/>
    <w:rsid w:val="00542CAA"/>
    <w:rsid w:val="00542E8C"/>
    <w:rsid w:val="00543214"/>
    <w:rsid w:val="00543335"/>
    <w:rsid w:val="0054369F"/>
    <w:rsid w:val="005438CF"/>
    <w:rsid w:val="00543C2B"/>
    <w:rsid w:val="00543C95"/>
    <w:rsid w:val="00543D7B"/>
    <w:rsid w:val="00543DA7"/>
    <w:rsid w:val="00543DB6"/>
    <w:rsid w:val="0054410B"/>
    <w:rsid w:val="00544265"/>
    <w:rsid w:val="00544287"/>
    <w:rsid w:val="005444BF"/>
    <w:rsid w:val="00544694"/>
    <w:rsid w:val="005447A4"/>
    <w:rsid w:val="0054480A"/>
    <w:rsid w:val="005448FE"/>
    <w:rsid w:val="00544A51"/>
    <w:rsid w:val="00544E03"/>
    <w:rsid w:val="00544FEB"/>
    <w:rsid w:val="005450BF"/>
    <w:rsid w:val="00545495"/>
    <w:rsid w:val="00545740"/>
    <w:rsid w:val="00545742"/>
    <w:rsid w:val="005457DC"/>
    <w:rsid w:val="00545B5A"/>
    <w:rsid w:val="00545C74"/>
    <w:rsid w:val="00545CE6"/>
    <w:rsid w:val="00545E97"/>
    <w:rsid w:val="00545E9D"/>
    <w:rsid w:val="00545F2D"/>
    <w:rsid w:val="00545F87"/>
    <w:rsid w:val="0054604D"/>
    <w:rsid w:val="005460C9"/>
    <w:rsid w:val="00546216"/>
    <w:rsid w:val="00546218"/>
    <w:rsid w:val="0054629A"/>
    <w:rsid w:val="00546406"/>
    <w:rsid w:val="0054650B"/>
    <w:rsid w:val="00546649"/>
    <w:rsid w:val="005466A8"/>
    <w:rsid w:val="005469E4"/>
    <w:rsid w:val="00546AC5"/>
    <w:rsid w:val="00546B4A"/>
    <w:rsid w:val="00546C91"/>
    <w:rsid w:val="00546DB2"/>
    <w:rsid w:val="00546E92"/>
    <w:rsid w:val="0054703E"/>
    <w:rsid w:val="0054704B"/>
    <w:rsid w:val="00547192"/>
    <w:rsid w:val="005471CA"/>
    <w:rsid w:val="005471E2"/>
    <w:rsid w:val="0054731C"/>
    <w:rsid w:val="00547831"/>
    <w:rsid w:val="0054787D"/>
    <w:rsid w:val="00547AC9"/>
    <w:rsid w:val="00547B65"/>
    <w:rsid w:val="00547BB4"/>
    <w:rsid w:val="00547C6D"/>
    <w:rsid w:val="00547D7A"/>
    <w:rsid w:val="00547FF0"/>
    <w:rsid w:val="0055007B"/>
    <w:rsid w:val="005502E5"/>
    <w:rsid w:val="005502F6"/>
    <w:rsid w:val="0055032E"/>
    <w:rsid w:val="0055037B"/>
    <w:rsid w:val="00550394"/>
    <w:rsid w:val="00550447"/>
    <w:rsid w:val="005504EA"/>
    <w:rsid w:val="005509A7"/>
    <w:rsid w:val="00550A97"/>
    <w:rsid w:val="00550CA3"/>
    <w:rsid w:val="00550D54"/>
    <w:rsid w:val="00550D93"/>
    <w:rsid w:val="00550DD5"/>
    <w:rsid w:val="00551323"/>
    <w:rsid w:val="00551377"/>
    <w:rsid w:val="005513B7"/>
    <w:rsid w:val="00551438"/>
    <w:rsid w:val="00551515"/>
    <w:rsid w:val="00551547"/>
    <w:rsid w:val="00551654"/>
    <w:rsid w:val="0055171C"/>
    <w:rsid w:val="005517FC"/>
    <w:rsid w:val="00551853"/>
    <w:rsid w:val="00551CD0"/>
    <w:rsid w:val="00551EF3"/>
    <w:rsid w:val="00552062"/>
    <w:rsid w:val="00552484"/>
    <w:rsid w:val="005526B9"/>
    <w:rsid w:val="0055299F"/>
    <w:rsid w:val="00552AA0"/>
    <w:rsid w:val="00552D07"/>
    <w:rsid w:val="00552EBB"/>
    <w:rsid w:val="0055304E"/>
    <w:rsid w:val="005538AB"/>
    <w:rsid w:val="00553B86"/>
    <w:rsid w:val="00553CC1"/>
    <w:rsid w:val="00553DDC"/>
    <w:rsid w:val="00553E24"/>
    <w:rsid w:val="00553ED8"/>
    <w:rsid w:val="005540E3"/>
    <w:rsid w:val="005541C5"/>
    <w:rsid w:val="0055454C"/>
    <w:rsid w:val="005545EC"/>
    <w:rsid w:val="00554655"/>
    <w:rsid w:val="0055468A"/>
    <w:rsid w:val="005546AF"/>
    <w:rsid w:val="005546BA"/>
    <w:rsid w:val="00554736"/>
    <w:rsid w:val="00554771"/>
    <w:rsid w:val="005547D3"/>
    <w:rsid w:val="005547EA"/>
    <w:rsid w:val="0055483B"/>
    <w:rsid w:val="00554848"/>
    <w:rsid w:val="00554880"/>
    <w:rsid w:val="00554906"/>
    <w:rsid w:val="00554A99"/>
    <w:rsid w:val="00554AE0"/>
    <w:rsid w:val="00554C6C"/>
    <w:rsid w:val="00555035"/>
    <w:rsid w:val="00555061"/>
    <w:rsid w:val="005550CE"/>
    <w:rsid w:val="0055514D"/>
    <w:rsid w:val="005552B7"/>
    <w:rsid w:val="005553B7"/>
    <w:rsid w:val="00555487"/>
    <w:rsid w:val="005554C2"/>
    <w:rsid w:val="0055553D"/>
    <w:rsid w:val="0055580B"/>
    <w:rsid w:val="005558A9"/>
    <w:rsid w:val="005558B5"/>
    <w:rsid w:val="005559A6"/>
    <w:rsid w:val="00555BA7"/>
    <w:rsid w:val="00555E7B"/>
    <w:rsid w:val="0055609D"/>
    <w:rsid w:val="005562D6"/>
    <w:rsid w:val="00556348"/>
    <w:rsid w:val="0055639C"/>
    <w:rsid w:val="005563B1"/>
    <w:rsid w:val="00556465"/>
    <w:rsid w:val="00556541"/>
    <w:rsid w:val="00556742"/>
    <w:rsid w:val="0055683E"/>
    <w:rsid w:val="00556853"/>
    <w:rsid w:val="005568E9"/>
    <w:rsid w:val="0055697C"/>
    <w:rsid w:val="00556B96"/>
    <w:rsid w:val="00556D69"/>
    <w:rsid w:val="00556DDE"/>
    <w:rsid w:val="00556E9A"/>
    <w:rsid w:val="00556F82"/>
    <w:rsid w:val="005570D3"/>
    <w:rsid w:val="0055710E"/>
    <w:rsid w:val="00557231"/>
    <w:rsid w:val="0055729F"/>
    <w:rsid w:val="005572C2"/>
    <w:rsid w:val="005572F0"/>
    <w:rsid w:val="00557484"/>
    <w:rsid w:val="00557566"/>
    <w:rsid w:val="00557611"/>
    <w:rsid w:val="0055762E"/>
    <w:rsid w:val="00557634"/>
    <w:rsid w:val="00557680"/>
    <w:rsid w:val="005576AD"/>
    <w:rsid w:val="00557728"/>
    <w:rsid w:val="00557792"/>
    <w:rsid w:val="00557809"/>
    <w:rsid w:val="00557900"/>
    <w:rsid w:val="00557A5B"/>
    <w:rsid w:val="00557BE6"/>
    <w:rsid w:val="00557DA6"/>
    <w:rsid w:val="00557F81"/>
    <w:rsid w:val="00557FA9"/>
    <w:rsid w:val="005602D2"/>
    <w:rsid w:val="005603E4"/>
    <w:rsid w:val="005605DA"/>
    <w:rsid w:val="00560650"/>
    <w:rsid w:val="0056066A"/>
    <w:rsid w:val="0056073E"/>
    <w:rsid w:val="0056089A"/>
    <w:rsid w:val="00560D9D"/>
    <w:rsid w:val="00560FCB"/>
    <w:rsid w:val="00561097"/>
    <w:rsid w:val="00561099"/>
    <w:rsid w:val="00561161"/>
    <w:rsid w:val="00561218"/>
    <w:rsid w:val="00561223"/>
    <w:rsid w:val="00561439"/>
    <w:rsid w:val="005615B1"/>
    <w:rsid w:val="00561672"/>
    <w:rsid w:val="005616D3"/>
    <w:rsid w:val="00561863"/>
    <w:rsid w:val="005618CC"/>
    <w:rsid w:val="00561966"/>
    <w:rsid w:val="00561C02"/>
    <w:rsid w:val="00561E07"/>
    <w:rsid w:val="00562513"/>
    <w:rsid w:val="005626A2"/>
    <w:rsid w:val="005629ED"/>
    <w:rsid w:val="00562AEF"/>
    <w:rsid w:val="00562BC4"/>
    <w:rsid w:val="00562C38"/>
    <w:rsid w:val="00562E3F"/>
    <w:rsid w:val="00562F3C"/>
    <w:rsid w:val="00562F8F"/>
    <w:rsid w:val="00563281"/>
    <w:rsid w:val="00563470"/>
    <w:rsid w:val="005634B5"/>
    <w:rsid w:val="0056371F"/>
    <w:rsid w:val="00563C18"/>
    <w:rsid w:val="00563F2F"/>
    <w:rsid w:val="00563FD0"/>
    <w:rsid w:val="00564063"/>
    <w:rsid w:val="00564303"/>
    <w:rsid w:val="0056442B"/>
    <w:rsid w:val="00564670"/>
    <w:rsid w:val="0056469B"/>
    <w:rsid w:val="005648FD"/>
    <w:rsid w:val="00564EBB"/>
    <w:rsid w:val="0056504D"/>
    <w:rsid w:val="0056518A"/>
    <w:rsid w:val="005654E2"/>
    <w:rsid w:val="005654EC"/>
    <w:rsid w:val="00565611"/>
    <w:rsid w:val="00565625"/>
    <w:rsid w:val="0056562B"/>
    <w:rsid w:val="005658AC"/>
    <w:rsid w:val="005659CC"/>
    <w:rsid w:val="00565D33"/>
    <w:rsid w:val="00565F45"/>
    <w:rsid w:val="00565F96"/>
    <w:rsid w:val="00566023"/>
    <w:rsid w:val="00566099"/>
    <w:rsid w:val="005660C0"/>
    <w:rsid w:val="005662EB"/>
    <w:rsid w:val="00566315"/>
    <w:rsid w:val="005663CA"/>
    <w:rsid w:val="00566544"/>
    <w:rsid w:val="0056670D"/>
    <w:rsid w:val="00566B36"/>
    <w:rsid w:val="00566BDD"/>
    <w:rsid w:val="00566C9C"/>
    <w:rsid w:val="00566CB8"/>
    <w:rsid w:val="00566CF7"/>
    <w:rsid w:val="005670A9"/>
    <w:rsid w:val="005670D9"/>
    <w:rsid w:val="00567347"/>
    <w:rsid w:val="005674F9"/>
    <w:rsid w:val="005676D7"/>
    <w:rsid w:val="00567813"/>
    <w:rsid w:val="00567E6C"/>
    <w:rsid w:val="00567E71"/>
    <w:rsid w:val="00567FB1"/>
    <w:rsid w:val="00567FF4"/>
    <w:rsid w:val="0056DD5A"/>
    <w:rsid w:val="00570046"/>
    <w:rsid w:val="00570386"/>
    <w:rsid w:val="00570534"/>
    <w:rsid w:val="00570756"/>
    <w:rsid w:val="00570836"/>
    <w:rsid w:val="005708D0"/>
    <w:rsid w:val="00570990"/>
    <w:rsid w:val="00570991"/>
    <w:rsid w:val="00570B75"/>
    <w:rsid w:val="00570C87"/>
    <w:rsid w:val="00570CD8"/>
    <w:rsid w:val="00570DC3"/>
    <w:rsid w:val="00570E82"/>
    <w:rsid w:val="00570F35"/>
    <w:rsid w:val="005710BF"/>
    <w:rsid w:val="00571438"/>
    <w:rsid w:val="005714B3"/>
    <w:rsid w:val="0057154B"/>
    <w:rsid w:val="005716DE"/>
    <w:rsid w:val="005717D9"/>
    <w:rsid w:val="005718EB"/>
    <w:rsid w:val="005718FD"/>
    <w:rsid w:val="00571D1D"/>
    <w:rsid w:val="00571FE2"/>
    <w:rsid w:val="005720A2"/>
    <w:rsid w:val="00572207"/>
    <w:rsid w:val="005722C9"/>
    <w:rsid w:val="005722D7"/>
    <w:rsid w:val="00572526"/>
    <w:rsid w:val="00572561"/>
    <w:rsid w:val="0057264E"/>
    <w:rsid w:val="005726AD"/>
    <w:rsid w:val="00572C80"/>
    <w:rsid w:val="00572C82"/>
    <w:rsid w:val="00572E9A"/>
    <w:rsid w:val="00572EC1"/>
    <w:rsid w:val="00572FAC"/>
    <w:rsid w:val="0057325D"/>
    <w:rsid w:val="00573269"/>
    <w:rsid w:val="0057327A"/>
    <w:rsid w:val="0057342A"/>
    <w:rsid w:val="005735CE"/>
    <w:rsid w:val="00573745"/>
    <w:rsid w:val="0057384A"/>
    <w:rsid w:val="00573884"/>
    <w:rsid w:val="00573888"/>
    <w:rsid w:val="00573AE8"/>
    <w:rsid w:val="00573C20"/>
    <w:rsid w:val="00573CFA"/>
    <w:rsid w:val="00573E25"/>
    <w:rsid w:val="00573E35"/>
    <w:rsid w:val="00573F59"/>
    <w:rsid w:val="005740DB"/>
    <w:rsid w:val="00574107"/>
    <w:rsid w:val="0057416C"/>
    <w:rsid w:val="005743AF"/>
    <w:rsid w:val="005743E3"/>
    <w:rsid w:val="005745B8"/>
    <w:rsid w:val="0057477B"/>
    <w:rsid w:val="00574A7E"/>
    <w:rsid w:val="00574C4B"/>
    <w:rsid w:val="00574D0C"/>
    <w:rsid w:val="00574D34"/>
    <w:rsid w:val="00574E4E"/>
    <w:rsid w:val="00574F8A"/>
    <w:rsid w:val="005750BF"/>
    <w:rsid w:val="005750D8"/>
    <w:rsid w:val="00575221"/>
    <w:rsid w:val="005752B0"/>
    <w:rsid w:val="005754DD"/>
    <w:rsid w:val="005756A8"/>
    <w:rsid w:val="00575AF4"/>
    <w:rsid w:val="00575EDE"/>
    <w:rsid w:val="0057605A"/>
    <w:rsid w:val="00576286"/>
    <w:rsid w:val="005763F2"/>
    <w:rsid w:val="0057644A"/>
    <w:rsid w:val="005765E0"/>
    <w:rsid w:val="005769D3"/>
    <w:rsid w:val="005769DB"/>
    <w:rsid w:val="00576A9D"/>
    <w:rsid w:val="00576A9E"/>
    <w:rsid w:val="00576F0B"/>
    <w:rsid w:val="00576F26"/>
    <w:rsid w:val="00577111"/>
    <w:rsid w:val="00577317"/>
    <w:rsid w:val="0057734E"/>
    <w:rsid w:val="005773D3"/>
    <w:rsid w:val="0057751F"/>
    <w:rsid w:val="00577577"/>
    <w:rsid w:val="005775A3"/>
    <w:rsid w:val="005776E1"/>
    <w:rsid w:val="00577770"/>
    <w:rsid w:val="00577794"/>
    <w:rsid w:val="00577864"/>
    <w:rsid w:val="00577B69"/>
    <w:rsid w:val="00577C66"/>
    <w:rsid w:val="00577E78"/>
    <w:rsid w:val="00580139"/>
    <w:rsid w:val="005801BD"/>
    <w:rsid w:val="00580379"/>
    <w:rsid w:val="00580597"/>
    <w:rsid w:val="00580659"/>
    <w:rsid w:val="00580945"/>
    <w:rsid w:val="005809AB"/>
    <w:rsid w:val="00580C90"/>
    <w:rsid w:val="00580D9E"/>
    <w:rsid w:val="00580F73"/>
    <w:rsid w:val="00580FCD"/>
    <w:rsid w:val="0058134B"/>
    <w:rsid w:val="005814A2"/>
    <w:rsid w:val="005815A5"/>
    <w:rsid w:val="0058162B"/>
    <w:rsid w:val="00581648"/>
    <w:rsid w:val="00581897"/>
    <w:rsid w:val="00581A2C"/>
    <w:rsid w:val="00581AC8"/>
    <w:rsid w:val="00581AF7"/>
    <w:rsid w:val="00581DA6"/>
    <w:rsid w:val="00581F57"/>
    <w:rsid w:val="005820B7"/>
    <w:rsid w:val="0058223B"/>
    <w:rsid w:val="0058226B"/>
    <w:rsid w:val="00582341"/>
    <w:rsid w:val="005825E8"/>
    <w:rsid w:val="00582613"/>
    <w:rsid w:val="0058263E"/>
    <w:rsid w:val="00582751"/>
    <w:rsid w:val="0058276E"/>
    <w:rsid w:val="0058278D"/>
    <w:rsid w:val="005828A8"/>
    <w:rsid w:val="00582A26"/>
    <w:rsid w:val="00582A66"/>
    <w:rsid w:val="00582BD2"/>
    <w:rsid w:val="00582E85"/>
    <w:rsid w:val="005830E9"/>
    <w:rsid w:val="00583196"/>
    <w:rsid w:val="0058327A"/>
    <w:rsid w:val="0058346F"/>
    <w:rsid w:val="005835E8"/>
    <w:rsid w:val="00583632"/>
    <w:rsid w:val="005837D2"/>
    <w:rsid w:val="0058385F"/>
    <w:rsid w:val="00583B7C"/>
    <w:rsid w:val="00583C61"/>
    <w:rsid w:val="00583C97"/>
    <w:rsid w:val="00583CEA"/>
    <w:rsid w:val="00583EF8"/>
    <w:rsid w:val="00583F03"/>
    <w:rsid w:val="0058420A"/>
    <w:rsid w:val="00584268"/>
    <w:rsid w:val="00584347"/>
    <w:rsid w:val="00584411"/>
    <w:rsid w:val="0058458C"/>
    <w:rsid w:val="005845DA"/>
    <w:rsid w:val="00584736"/>
    <w:rsid w:val="00584A41"/>
    <w:rsid w:val="00584A48"/>
    <w:rsid w:val="00584A53"/>
    <w:rsid w:val="00584A89"/>
    <w:rsid w:val="00584CB5"/>
    <w:rsid w:val="00584F4D"/>
    <w:rsid w:val="005850F8"/>
    <w:rsid w:val="005852C2"/>
    <w:rsid w:val="0058555D"/>
    <w:rsid w:val="005855B3"/>
    <w:rsid w:val="005855C7"/>
    <w:rsid w:val="005855CB"/>
    <w:rsid w:val="00585659"/>
    <w:rsid w:val="005857B8"/>
    <w:rsid w:val="00585A7A"/>
    <w:rsid w:val="00585AB8"/>
    <w:rsid w:val="00585C23"/>
    <w:rsid w:val="00585CE3"/>
    <w:rsid w:val="00586129"/>
    <w:rsid w:val="00586226"/>
    <w:rsid w:val="0058624F"/>
    <w:rsid w:val="00586346"/>
    <w:rsid w:val="005863C8"/>
    <w:rsid w:val="0058649D"/>
    <w:rsid w:val="00586762"/>
    <w:rsid w:val="00586790"/>
    <w:rsid w:val="0058687C"/>
    <w:rsid w:val="005868ED"/>
    <w:rsid w:val="00586A34"/>
    <w:rsid w:val="00586E72"/>
    <w:rsid w:val="0058705B"/>
    <w:rsid w:val="00587829"/>
    <w:rsid w:val="005879DD"/>
    <w:rsid w:val="00587B1C"/>
    <w:rsid w:val="00587B7F"/>
    <w:rsid w:val="00587D68"/>
    <w:rsid w:val="00587DFC"/>
    <w:rsid w:val="0059015F"/>
    <w:rsid w:val="005902BC"/>
    <w:rsid w:val="00590469"/>
    <w:rsid w:val="00590859"/>
    <w:rsid w:val="00590887"/>
    <w:rsid w:val="005908B9"/>
    <w:rsid w:val="00590BD7"/>
    <w:rsid w:val="00590C09"/>
    <w:rsid w:val="00590D74"/>
    <w:rsid w:val="00590ED3"/>
    <w:rsid w:val="00590FE9"/>
    <w:rsid w:val="00591002"/>
    <w:rsid w:val="0059122B"/>
    <w:rsid w:val="0059148F"/>
    <w:rsid w:val="00591747"/>
    <w:rsid w:val="0059175E"/>
    <w:rsid w:val="005917FC"/>
    <w:rsid w:val="0059189F"/>
    <w:rsid w:val="005918E6"/>
    <w:rsid w:val="00591A5C"/>
    <w:rsid w:val="00591DCA"/>
    <w:rsid w:val="005921F8"/>
    <w:rsid w:val="0059247D"/>
    <w:rsid w:val="00592760"/>
    <w:rsid w:val="005927FD"/>
    <w:rsid w:val="0059281C"/>
    <w:rsid w:val="00592887"/>
    <w:rsid w:val="00592A4B"/>
    <w:rsid w:val="00592AB7"/>
    <w:rsid w:val="00592BA4"/>
    <w:rsid w:val="00592C3C"/>
    <w:rsid w:val="00592CA8"/>
    <w:rsid w:val="00592CC1"/>
    <w:rsid w:val="00593067"/>
    <w:rsid w:val="005931FA"/>
    <w:rsid w:val="0059357E"/>
    <w:rsid w:val="00593583"/>
    <w:rsid w:val="00593700"/>
    <w:rsid w:val="0059373F"/>
    <w:rsid w:val="00593742"/>
    <w:rsid w:val="0059378F"/>
    <w:rsid w:val="005939B3"/>
    <w:rsid w:val="005939E7"/>
    <w:rsid w:val="00593B6D"/>
    <w:rsid w:val="00593C1F"/>
    <w:rsid w:val="00593CA5"/>
    <w:rsid w:val="00593CDE"/>
    <w:rsid w:val="00593D92"/>
    <w:rsid w:val="00593E21"/>
    <w:rsid w:val="00593E99"/>
    <w:rsid w:val="00593EE5"/>
    <w:rsid w:val="00594205"/>
    <w:rsid w:val="005943BC"/>
    <w:rsid w:val="005945D0"/>
    <w:rsid w:val="00594B4E"/>
    <w:rsid w:val="00594CC8"/>
    <w:rsid w:val="00594FCC"/>
    <w:rsid w:val="0059521C"/>
    <w:rsid w:val="0059535F"/>
    <w:rsid w:val="005955EE"/>
    <w:rsid w:val="0059568E"/>
    <w:rsid w:val="0059578E"/>
    <w:rsid w:val="00595A56"/>
    <w:rsid w:val="00595A66"/>
    <w:rsid w:val="00595B8A"/>
    <w:rsid w:val="00595BD7"/>
    <w:rsid w:val="00595C63"/>
    <w:rsid w:val="00595D95"/>
    <w:rsid w:val="00595E42"/>
    <w:rsid w:val="00595F19"/>
    <w:rsid w:val="00595F73"/>
    <w:rsid w:val="00596123"/>
    <w:rsid w:val="0059612B"/>
    <w:rsid w:val="0059639B"/>
    <w:rsid w:val="0059643B"/>
    <w:rsid w:val="0059643E"/>
    <w:rsid w:val="00596502"/>
    <w:rsid w:val="00596630"/>
    <w:rsid w:val="0059668C"/>
    <w:rsid w:val="00596A36"/>
    <w:rsid w:val="00596B59"/>
    <w:rsid w:val="00596C73"/>
    <w:rsid w:val="00596D73"/>
    <w:rsid w:val="00596EF9"/>
    <w:rsid w:val="00596FFB"/>
    <w:rsid w:val="00596FFE"/>
    <w:rsid w:val="0059728A"/>
    <w:rsid w:val="005974BC"/>
    <w:rsid w:val="00597510"/>
    <w:rsid w:val="0059779B"/>
    <w:rsid w:val="00597819"/>
    <w:rsid w:val="0059793F"/>
    <w:rsid w:val="00597A83"/>
    <w:rsid w:val="00597AF3"/>
    <w:rsid w:val="00597B69"/>
    <w:rsid w:val="00597D49"/>
    <w:rsid w:val="005A01B7"/>
    <w:rsid w:val="005A032A"/>
    <w:rsid w:val="005A037E"/>
    <w:rsid w:val="005A03AE"/>
    <w:rsid w:val="005A0423"/>
    <w:rsid w:val="005A0440"/>
    <w:rsid w:val="005A05CA"/>
    <w:rsid w:val="005A061E"/>
    <w:rsid w:val="005A0AFF"/>
    <w:rsid w:val="005A0B64"/>
    <w:rsid w:val="005A0E30"/>
    <w:rsid w:val="005A114E"/>
    <w:rsid w:val="005A11EF"/>
    <w:rsid w:val="005A1260"/>
    <w:rsid w:val="005A14C0"/>
    <w:rsid w:val="005A1520"/>
    <w:rsid w:val="005A157B"/>
    <w:rsid w:val="005A16E4"/>
    <w:rsid w:val="005A1770"/>
    <w:rsid w:val="005A1799"/>
    <w:rsid w:val="005A179F"/>
    <w:rsid w:val="005A1B2E"/>
    <w:rsid w:val="005A1BBF"/>
    <w:rsid w:val="005A1CEE"/>
    <w:rsid w:val="005A1D26"/>
    <w:rsid w:val="005A1D6B"/>
    <w:rsid w:val="005A1F0B"/>
    <w:rsid w:val="005A1FDD"/>
    <w:rsid w:val="005A2299"/>
    <w:rsid w:val="005A23B1"/>
    <w:rsid w:val="005A24EF"/>
    <w:rsid w:val="005A24FB"/>
    <w:rsid w:val="005A2504"/>
    <w:rsid w:val="005A253F"/>
    <w:rsid w:val="005A280E"/>
    <w:rsid w:val="005A2A4A"/>
    <w:rsid w:val="005A2BFE"/>
    <w:rsid w:val="005A2DB7"/>
    <w:rsid w:val="005A3035"/>
    <w:rsid w:val="005A30A9"/>
    <w:rsid w:val="005A30B7"/>
    <w:rsid w:val="005A30F6"/>
    <w:rsid w:val="005A32D0"/>
    <w:rsid w:val="005A338C"/>
    <w:rsid w:val="005A33C4"/>
    <w:rsid w:val="005A3700"/>
    <w:rsid w:val="005A3741"/>
    <w:rsid w:val="005A3F39"/>
    <w:rsid w:val="005A418C"/>
    <w:rsid w:val="005A41C9"/>
    <w:rsid w:val="005A426E"/>
    <w:rsid w:val="005A4296"/>
    <w:rsid w:val="005A43D5"/>
    <w:rsid w:val="005A4702"/>
    <w:rsid w:val="005A4731"/>
    <w:rsid w:val="005A47D9"/>
    <w:rsid w:val="005A47E0"/>
    <w:rsid w:val="005A49BE"/>
    <w:rsid w:val="005A4CA6"/>
    <w:rsid w:val="005A4EE4"/>
    <w:rsid w:val="005A51DB"/>
    <w:rsid w:val="005A528F"/>
    <w:rsid w:val="005A5584"/>
    <w:rsid w:val="005A57CE"/>
    <w:rsid w:val="005A5A20"/>
    <w:rsid w:val="005A5B43"/>
    <w:rsid w:val="005A5B85"/>
    <w:rsid w:val="005A5BED"/>
    <w:rsid w:val="005A5C15"/>
    <w:rsid w:val="005A5C1D"/>
    <w:rsid w:val="005A5C95"/>
    <w:rsid w:val="005A5D92"/>
    <w:rsid w:val="005A5FF0"/>
    <w:rsid w:val="005A61FE"/>
    <w:rsid w:val="005A626A"/>
    <w:rsid w:val="005A66F0"/>
    <w:rsid w:val="005A6728"/>
    <w:rsid w:val="005A674D"/>
    <w:rsid w:val="005A689C"/>
    <w:rsid w:val="005A69A9"/>
    <w:rsid w:val="005A69B2"/>
    <w:rsid w:val="005A6AF5"/>
    <w:rsid w:val="005A6B7F"/>
    <w:rsid w:val="005A6F38"/>
    <w:rsid w:val="005A708C"/>
    <w:rsid w:val="005A7326"/>
    <w:rsid w:val="005A7664"/>
    <w:rsid w:val="005A76C1"/>
    <w:rsid w:val="005A7BB7"/>
    <w:rsid w:val="005A7F45"/>
    <w:rsid w:val="005A7FA8"/>
    <w:rsid w:val="005A7FC1"/>
    <w:rsid w:val="005B0176"/>
    <w:rsid w:val="005B03AB"/>
    <w:rsid w:val="005B03DD"/>
    <w:rsid w:val="005B05D9"/>
    <w:rsid w:val="005B064B"/>
    <w:rsid w:val="005B06BD"/>
    <w:rsid w:val="005B0930"/>
    <w:rsid w:val="005B096E"/>
    <w:rsid w:val="005B0975"/>
    <w:rsid w:val="005B098A"/>
    <w:rsid w:val="005B09AE"/>
    <w:rsid w:val="005B09B5"/>
    <w:rsid w:val="005B09FF"/>
    <w:rsid w:val="005B0B1B"/>
    <w:rsid w:val="005B0D27"/>
    <w:rsid w:val="005B0DA9"/>
    <w:rsid w:val="005B0E8B"/>
    <w:rsid w:val="005B122A"/>
    <w:rsid w:val="005B13DF"/>
    <w:rsid w:val="005B1423"/>
    <w:rsid w:val="005B15E9"/>
    <w:rsid w:val="005B1690"/>
    <w:rsid w:val="005B1711"/>
    <w:rsid w:val="005B1922"/>
    <w:rsid w:val="005B19FE"/>
    <w:rsid w:val="005B1AE0"/>
    <w:rsid w:val="005B1AF0"/>
    <w:rsid w:val="005B1D2B"/>
    <w:rsid w:val="005B1DAF"/>
    <w:rsid w:val="005B1DFD"/>
    <w:rsid w:val="005B1E1C"/>
    <w:rsid w:val="005B1FB7"/>
    <w:rsid w:val="005B1FFA"/>
    <w:rsid w:val="005B2063"/>
    <w:rsid w:val="005B21A5"/>
    <w:rsid w:val="005B23CF"/>
    <w:rsid w:val="005B2591"/>
    <w:rsid w:val="005B269F"/>
    <w:rsid w:val="005B2738"/>
    <w:rsid w:val="005B2856"/>
    <w:rsid w:val="005B289C"/>
    <w:rsid w:val="005B2A6C"/>
    <w:rsid w:val="005B2A9F"/>
    <w:rsid w:val="005B2D41"/>
    <w:rsid w:val="005B2EA0"/>
    <w:rsid w:val="005B2EA3"/>
    <w:rsid w:val="005B2ED4"/>
    <w:rsid w:val="005B2FD8"/>
    <w:rsid w:val="005B308B"/>
    <w:rsid w:val="005B3135"/>
    <w:rsid w:val="005B351C"/>
    <w:rsid w:val="005B3A69"/>
    <w:rsid w:val="005B3C03"/>
    <w:rsid w:val="005B3C25"/>
    <w:rsid w:val="005B3D9A"/>
    <w:rsid w:val="005B3DBB"/>
    <w:rsid w:val="005B3ECE"/>
    <w:rsid w:val="005B4132"/>
    <w:rsid w:val="005B42E8"/>
    <w:rsid w:val="005B43BD"/>
    <w:rsid w:val="005B440B"/>
    <w:rsid w:val="005B45B7"/>
    <w:rsid w:val="005B460A"/>
    <w:rsid w:val="005B460E"/>
    <w:rsid w:val="005B474A"/>
    <w:rsid w:val="005B48D1"/>
    <w:rsid w:val="005B4ABB"/>
    <w:rsid w:val="005B4B93"/>
    <w:rsid w:val="005B4C22"/>
    <w:rsid w:val="005B4C24"/>
    <w:rsid w:val="005B4E71"/>
    <w:rsid w:val="005B504B"/>
    <w:rsid w:val="005B5475"/>
    <w:rsid w:val="005B565D"/>
    <w:rsid w:val="005B5699"/>
    <w:rsid w:val="005B56AA"/>
    <w:rsid w:val="005B5720"/>
    <w:rsid w:val="005B582C"/>
    <w:rsid w:val="005B58DC"/>
    <w:rsid w:val="005B5960"/>
    <w:rsid w:val="005B5D78"/>
    <w:rsid w:val="005B6285"/>
    <w:rsid w:val="005B6416"/>
    <w:rsid w:val="005B6497"/>
    <w:rsid w:val="005B64CA"/>
    <w:rsid w:val="005B692F"/>
    <w:rsid w:val="005B69F3"/>
    <w:rsid w:val="005B6A33"/>
    <w:rsid w:val="005B6A54"/>
    <w:rsid w:val="005B6BA7"/>
    <w:rsid w:val="005B6D32"/>
    <w:rsid w:val="005B6DCE"/>
    <w:rsid w:val="005B6E67"/>
    <w:rsid w:val="005B6FEB"/>
    <w:rsid w:val="005B70FA"/>
    <w:rsid w:val="005B7347"/>
    <w:rsid w:val="005B74B5"/>
    <w:rsid w:val="005B7880"/>
    <w:rsid w:val="005B78B6"/>
    <w:rsid w:val="005B7912"/>
    <w:rsid w:val="005B7A51"/>
    <w:rsid w:val="005B7A52"/>
    <w:rsid w:val="005B7AF0"/>
    <w:rsid w:val="005B7B66"/>
    <w:rsid w:val="005B7B6A"/>
    <w:rsid w:val="005B7B7E"/>
    <w:rsid w:val="005B7EAE"/>
    <w:rsid w:val="005C0276"/>
    <w:rsid w:val="005C0853"/>
    <w:rsid w:val="005C0865"/>
    <w:rsid w:val="005C0A8C"/>
    <w:rsid w:val="005C0AB1"/>
    <w:rsid w:val="005C0B73"/>
    <w:rsid w:val="005C0D3D"/>
    <w:rsid w:val="005C0DCB"/>
    <w:rsid w:val="005C0F8E"/>
    <w:rsid w:val="005C10FD"/>
    <w:rsid w:val="005C172D"/>
    <w:rsid w:val="005C1814"/>
    <w:rsid w:val="005C183B"/>
    <w:rsid w:val="005C184B"/>
    <w:rsid w:val="005C1B1D"/>
    <w:rsid w:val="005C1BD9"/>
    <w:rsid w:val="005C1C68"/>
    <w:rsid w:val="005C1F56"/>
    <w:rsid w:val="005C225E"/>
    <w:rsid w:val="005C22BA"/>
    <w:rsid w:val="005C25D2"/>
    <w:rsid w:val="005C2651"/>
    <w:rsid w:val="005C2A4B"/>
    <w:rsid w:val="005C2B1B"/>
    <w:rsid w:val="005C2BE2"/>
    <w:rsid w:val="005C2CD5"/>
    <w:rsid w:val="005C302F"/>
    <w:rsid w:val="005C3200"/>
    <w:rsid w:val="005C3315"/>
    <w:rsid w:val="005C3469"/>
    <w:rsid w:val="005C3486"/>
    <w:rsid w:val="005C396C"/>
    <w:rsid w:val="005C39B1"/>
    <w:rsid w:val="005C3AF9"/>
    <w:rsid w:val="005C3BB6"/>
    <w:rsid w:val="005C3E12"/>
    <w:rsid w:val="005C40D1"/>
    <w:rsid w:val="005C40E4"/>
    <w:rsid w:val="005C42B4"/>
    <w:rsid w:val="005C447C"/>
    <w:rsid w:val="005C47E1"/>
    <w:rsid w:val="005C4A59"/>
    <w:rsid w:val="005C4C8C"/>
    <w:rsid w:val="005C4DDF"/>
    <w:rsid w:val="005C4E34"/>
    <w:rsid w:val="005C4E44"/>
    <w:rsid w:val="005C4FC3"/>
    <w:rsid w:val="005C501D"/>
    <w:rsid w:val="005C5114"/>
    <w:rsid w:val="005C520C"/>
    <w:rsid w:val="005C53D7"/>
    <w:rsid w:val="005C553E"/>
    <w:rsid w:val="005C55A5"/>
    <w:rsid w:val="005C55C2"/>
    <w:rsid w:val="005C5699"/>
    <w:rsid w:val="005C5721"/>
    <w:rsid w:val="005C57E5"/>
    <w:rsid w:val="005C5A0F"/>
    <w:rsid w:val="005C5B17"/>
    <w:rsid w:val="005C5D66"/>
    <w:rsid w:val="005C5DEA"/>
    <w:rsid w:val="005C5EB4"/>
    <w:rsid w:val="005C60FE"/>
    <w:rsid w:val="005C6157"/>
    <w:rsid w:val="005C6181"/>
    <w:rsid w:val="005C645D"/>
    <w:rsid w:val="005C6489"/>
    <w:rsid w:val="005C687C"/>
    <w:rsid w:val="005C6C1D"/>
    <w:rsid w:val="005C6E0C"/>
    <w:rsid w:val="005C72DE"/>
    <w:rsid w:val="005C737F"/>
    <w:rsid w:val="005C7581"/>
    <w:rsid w:val="005C777F"/>
    <w:rsid w:val="005C7891"/>
    <w:rsid w:val="005C7E6D"/>
    <w:rsid w:val="005C7F12"/>
    <w:rsid w:val="005D0040"/>
    <w:rsid w:val="005D008B"/>
    <w:rsid w:val="005D01E2"/>
    <w:rsid w:val="005D0304"/>
    <w:rsid w:val="005D04F3"/>
    <w:rsid w:val="005D0714"/>
    <w:rsid w:val="005D07D2"/>
    <w:rsid w:val="005D07EB"/>
    <w:rsid w:val="005D0879"/>
    <w:rsid w:val="005D0903"/>
    <w:rsid w:val="005D090D"/>
    <w:rsid w:val="005D0B6D"/>
    <w:rsid w:val="005D10A6"/>
    <w:rsid w:val="005D1283"/>
    <w:rsid w:val="005D13D5"/>
    <w:rsid w:val="005D144E"/>
    <w:rsid w:val="005D1463"/>
    <w:rsid w:val="005D14F0"/>
    <w:rsid w:val="005D1512"/>
    <w:rsid w:val="005D152A"/>
    <w:rsid w:val="005D1917"/>
    <w:rsid w:val="005D1AC2"/>
    <w:rsid w:val="005D1AFE"/>
    <w:rsid w:val="005D1C69"/>
    <w:rsid w:val="005D1D15"/>
    <w:rsid w:val="005D1DF6"/>
    <w:rsid w:val="005D20C3"/>
    <w:rsid w:val="005D2212"/>
    <w:rsid w:val="005D22B6"/>
    <w:rsid w:val="005D2302"/>
    <w:rsid w:val="005D23C6"/>
    <w:rsid w:val="005D2541"/>
    <w:rsid w:val="005D29DA"/>
    <w:rsid w:val="005D2B62"/>
    <w:rsid w:val="005D2DEE"/>
    <w:rsid w:val="005D2E16"/>
    <w:rsid w:val="005D2F7C"/>
    <w:rsid w:val="005D32E8"/>
    <w:rsid w:val="005D3592"/>
    <w:rsid w:val="005D35C5"/>
    <w:rsid w:val="005D367C"/>
    <w:rsid w:val="005D384E"/>
    <w:rsid w:val="005D3883"/>
    <w:rsid w:val="005D3948"/>
    <w:rsid w:val="005D3D37"/>
    <w:rsid w:val="005D3DA7"/>
    <w:rsid w:val="005D3EF1"/>
    <w:rsid w:val="005D3FBA"/>
    <w:rsid w:val="005D42C0"/>
    <w:rsid w:val="005D448E"/>
    <w:rsid w:val="005D44E6"/>
    <w:rsid w:val="005D4675"/>
    <w:rsid w:val="005D46A1"/>
    <w:rsid w:val="005D46B7"/>
    <w:rsid w:val="005D472F"/>
    <w:rsid w:val="005D4B0A"/>
    <w:rsid w:val="005D4C72"/>
    <w:rsid w:val="005D4D73"/>
    <w:rsid w:val="005D4E14"/>
    <w:rsid w:val="005D4EB6"/>
    <w:rsid w:val="005D4F6D"/>
    <w:rsid w:val="005D5111"/>
    <w:rsid w:val="005D5174"/>
    <w:rsid w:val="005D5266"/>
    <w:rsid w:val="005D53F3"/>
    <w:rsid w:val="005D54C1"/>
    <w:rsid w:val="005D58E8"/>
    <w:rsid w:val="005D5913"/>
    <w:rsid w:val="005D5C89"/>
    <w:rsid w:val="005D5CDA"/>
    <w:rsid w:val="005D5D8B"/>
    <w:rsid w:val="005D60FF"/>
    <w:rsid w:val="005D6165"/>
    <w:rsid w:val="005D6177"/>
    <w:rsid w:val="005D656A"/>
    <w:rsid w:val="005D6594"/>
    <w:rsid w:val="005D6831"/>
    <w:rsid w:val="005D68A9"/>
    <w:rsid w:val="005D69AF"/>
    <w:rsid w:val="005D6AA0"/>
    <w:rsid w:val="005D6B21"/>
    <w:rsid w:val="005D6B71"/>
    <w:rsid w:val="005D6BE6"/>
    <w:rsid w:val="005D6C28"/>
    <w:rsid w:val="005D6D26"/>
    <w:rsid w:val="005D6D88"/>
    <w:rsid w:val="005D6E3A"/>
    <w:rsid w:val="005D6FE4"/>
    <w:rsid w:val="005D7010"/>
    <w:rsid w:val="005D70E5"/>
    <w:rsid w:val="005D713A"/>
    <w:rsid w:val="005D7273"/>
    <w:rsid w:val="005D7285"/>
    <w:rsid w:val="005D7306"/>
    <w:rsid w:val="005D736C"/>
    <w:rsid w:val="005D7398"/>
    <w:rsid w:val="005D74BE"/>
    <w:rsid w:val="005D7593"/>
    <w:rsid w:val="005D7607"/>
    <w:rsid w:val="005D7675"/>
    <w:rsid w:val="005D7745"/>
    <w:rsid w:val="005D776C"/>
    <w:rsid w:val="005D7AB8"/>
    <w:rsid w:val="005D7B55"/>
    <w:rsid w:val="005D7C21"/>
    <w:rsid w:val="005D7C9F"/>
    <w:rsid w:val="005E0482"/>
    <w:rsid w:val="005E04FE"/>
    <w:rsid w:val="005E0C07"/>
    <w:rsid w:val="005E0C7B"/>
    <w:rsid w:val="005E0CF7"/>
    <w:rsid w:val="005E0D18"/>
    <w:rsid w:val="005E0FD1"/>
    <w:rsid w:val="005E10AE"/>
    <w:rsid w:val="005E111B"/>
    <w:rsid w:val="005E1332"/>
    <w:rsid w:val="005E1406"/>
    <w:rsid w:val="005E173D"/>
    <w:rsid w:val="005E196D"/>
    <w:rsid w:val="005E1C58"/>
    <w:rsid w:val="005E1DB6"/>
    <w:rsid w:val="005E1EDE"/>
    <w:rsid w:val="005E2094"/>
    <w:rsid w:val="005E238D"/>
    <w:rsid w:val="005E23B0"/>
    <w:rsid w:val="005E23C9"/>
    <w:rsid w:val="005E2478"/>
    <w:rsid w:val="005E265F"/>
    <w:rsid w:val="005E27BC"/>
    <w:rsid w:val="005E28DE"/>
    <w:rsid w:val="005E2933"/>
    <w:rsid w:val="005E2970"/>
    <w:rsid w:val="005E29D5"/>
    <w:rsid w:val="005E2A7A"/>
    <w:rsid w:val="005E2ADD"/>
    <w:rsid w:val="005E2B0C"/>
    <w:rsid w:val="005E2ED9"/>
    <w:rsid w:val="005E2F71"/>
    <w:rsid w:val="005E30D7"/>
    <w:rsid w:val="005E3296"/>
    <w:rsid w:val="005E3372"/>
    <w:rsid w:val="005E35F2"/>
    <w:rsid w:val="005E369D"/>
    <w:rsid w:val="005E3765"/>
    <w:rsid w:val="005E3CB7"/>
    <w:rsid w:val="005E3E2E"/>
    <w:rsid w:val="005E3E9B"/>
    <w:rsid w:val="005E3F46"/>
    <w:rsid w:val="005E4156"/>
    <w:rsid w:val="005E454D"/>
    <w:rsid w:val="005E4995"/>
    <w:rsid w:val="005E4A51"/>
    <w:rsid w:val="005E4BC1"/>
    <w:rsid w:val="005E4BE5"/>
    <w:rsid w:val="005E4D4A"/>
    <w:rsid w:val="005E51C3"/>
    <w:rsid w:val="005E560C"/>
    <w:rsid w:val="005E5658"/>
    <w:rsid w:val="005E58FE"/>
    <w:rsid w:val="005E592F"/>
    <w:rsid w:val="005E597D"/>
    <w:rsid w:val="005E5B01"/>
    <w:rsid w:val="005E5F40"/>
    <w:rsid w:val="005E6091"/>
    <w:rsid w:val="005E6157"/>
    <w:rsid w:val="005E61B4"/>
    <w:rsid w:val="005E63E6"/>
    <w:rsid w:val="005E64E8"/>
    <w:rsid w:val="005E661E"/>
    <w:rsid w:val="005E6876"/>
    <w:rsid w:val="005E6898"/>
    <w:rsid w:val="005E68A1"/>
    <w:rsid w:val="005E68FB"/>
    <w:rsid w:val="005E6904"/>
    <w:rsid w:val="005E692A"/>
    <w:rsid w:val="005E6A3A"/>
    <w:rsid w:val="005E6C03"/>
    <w:rsid w:val="005E6CD2"/>
    <w:rsid w:val="005E6D5A"/>
    <w:rsid w:val="005E6DBB"/>
    <w:rsid w:val="005E7042"/>
    <w:rsid w:val="005E73AD"/>
    <w:rsid w:val="005E7424"/>
    <w:rsid w:val="005E7771"/>
    <w:rsid w:val="005E77FC"/>
    <w:rsid w:val="005E78C3"/>
    <w:rsid w:val="005E7954"/>
    <w:rsid w:val="005E7A04"/>
    <w:rsid w:val="005E7A4B"/>
    <w:rsid w:val="005E7A72"/>
    <w:rsid w:val="005E7B4A"/>
    <w:rsid w:val="005E7CB0"/>
    <w:rsid w:val="005E7CDF"/>
    <w:rsid w:val="005F02C9"/>
    <w:rsid w:val="005F038A"/>
    <w:rsid w:val="005F03F7"/>
    <w:rsid w:val="005F04BF"/>
    <w:rsid w:val="005F0672"/>
    <w:rsid w:val="005F093B"/>
    <w:rsid w:val="005F09BA"/>
    <w:rsid w:val="005F0E8B"/>
    <w:rsid w:val="005F0FF8"/>
    <w:rsid w:val="005F10B3"/>
    <w:rsid w:val="005F112C"/>
    <w:rsid w:val="005F114B"/>
    <w:rsid w:val="005F13A4"/>
    <w:rsid w:val="005F155B"/>
    <w:rsid w:val="005F1779"/>
    <w:rsid w:val="005F1791"/>
    <w:rsid w:val="005F1891"/>
    <w:rsid w:val="005F1A4A"/>
    <w:rsid w:val="005F1AFB"/>
    <w:rsid w:val="005F1C9A"/>
    <w:rsid w:val="005F1CD8"/>
    <w:rsid w:val="005F1D0E"/>
    <w:rsid w:val="005F1D58"/>
    <w:rsid w:val="005F1DB6"/>
    <w:rsid w:val="005F1DE4"/>
    <w:rsid w:val="005F20D9"/>
    <w:rsid w:val="005F2470"/>
    <w:rsid w:val="005F2542"/>
    <w:rsid w:val="005F26B6"/>
    <w:rsid w:val="005F26B7"/>
    <w:rsid w:val="005F2749"/>
    <w:rsid w:val="005F276E"/>
    <w:rsid w:val="005F2BA6"/>
    <w:rsid w:val="005F2C44"/>
    <w:rsid w:val="005F2C5A"/>
    <w:rsid w:val="005F2EB6"/>
    <w:rsid w:val="005F302D"/>
    <w:rsid w:val="005F303E"/>
    <w:rsid w:val="005F3251"/>
    <w:rsid w:val="005F3431"/>
    <w:rsid w:val="005F38AF"/>
    <w:rsid w:val="005F38D4"/>
    <w:rsid w:val="005F3A3C"/>
    <w:rsid w:val="005F4066"/>
    <w:rsid w:val="005F4079"/>
    <w:rsid w:val="005F414E"/>
    <w:rsid w:val="005F415A"/>
    <w:rsid w:val="005F4502"/>
    <w:rsid w:val="005F4717"/>
    <w:rsid w:val="005F4AC9"/>
    <w:rsid w:val="005F4AF1"/>
    <w:rsid w:val="005F4CE0"/>
    <w:rsid w:val="005F4DEB"/>
    <w:rsid w:val="005F51B3"/>
    <w:rsid w:val="005F51F4"/>
    <w:rsid w:val="005F5282"/>
    <w:rsid w:val="005F5549"/>
    <w:rsid w:val="005F5B14"/>
    <w:rsid w:val="005F5C76"/>
    <w:rsid w:val="005F5CB4"/>
    <w:rsid w:val="005F5E7F"/>
    <w:rsid w:val="005F5FB5"/>
    <w:rsid w:val="005F60B2"/>
    <w:rsid w:val="005F61B2"/>
    <w:rsid w:val="005F6610"/>
    <w:rsid w:val="005F68F8"/>
    <w:rsid w:val="005F69DD"/>
    <w:rsid w:val="005F6A4F"/>
    <w:rsid w:val="005F6A62"/>
    <w:rsid w:val="005F6EC5"/>
    <w:rsid w:val="005F6F6E"/>
    <w:rsid w:val="005F7217"/>
    <w:rsid w:val="005F7290"/>
    <w:rsid w:val="005F74BC"/>
    <w:rsid w:val="005F75B4"/>
    <w:rsid w:val="005F7611"/>
    <w:rsid w:val="005F7646"/>
    <w:rsid w:val="005F7746"/>
    <w:rsid w:val="005F77BA"/>
    <w:rsid w:val="005F7A20"/>
    <w:rsid w:val="005F7AA7"/>
    <w:rsid w:val="005F7D00"/>
    <w:rsid w:val="005F7DF0"/>
    <w:rsid w:val="005F7E69"/>
    <w:rsid w:val="005F7EF5"/>
    <w:rsid w:val="00600013"/>
    <w:rsid w:val="006001E1"/>
    <w:rsid w:val="00600257"/>
    <w:rsid w:val="006003CC"/>
    <w:rsid w:val="00600504"/>
    <w:rsid w:val="00600515"/>
    <w:rsid w:val="006005D4"/>
    <w:rsid w:val="00600782"/>
    <w:rsid w:val="006008A5"/>
    <w:rsid w:val="006008AB"/>
    <w:rsid w:val="00600927"/>
    <w:rsid w:val="00600936"/>
    <w:rsid w:val="006009D5"/>
    <w:rsid w:val="00600B1F"/>
    <w:rsid w:val="00600C0D"/>
    <w:rsid w:val="00600FD8"/>
    <w:rsid w:val="006012E9"/>
    <w:rsid w:val="0060147B"/>
    <w:rsid w:val="00601501"/>
    <w:rsid w:val="00601779"/>
    <w:rsid w:val="0060177B"/>
    <w:rsid w:val="006017D8"/>
    <w:rsid w:val="00601ACC"/>
    <w:rsid w:val="00601B5B"/>
    <w:rsid w:val="00601B80"/>
    <w:rsid w:val="00601EBA"/>
    <w:rsid w:val="00601F48"/>
    <w:rsid w:val="00602131"/>
    <w:rsid w:val="0060219A"/>
    <w:rsid w:val="006023FC"/>
    <w:rsid w:val="006025F0"/>
    <w:rsid w:val="0060265E"/>
    <w:rsid w:val="00602817"/>
    <w:rsid w:val="00602886"/>
    <w:rsid w:val="00602D43"/>
    <w:rsid w:val="00602D46"/>
    <w:rsid w:val="00602D80"/>
    <w:rsid w:val="00602E49"/>
    <w:rsid w:val="00602EA3"/>
    <w:rsid w:val="00602FE0"/>
    <w:rsid w:val="006030F7"/>
    <w:rsid w:val="006035FA"/>
    <w:rsid w:val="00603673"/>
    <w:rsid w:val="006036BD"/>
    <w:rsid w:val="00603739"/>
    <w:rsid w:val="006038D2"/>
    <w:rsid w:val="00603B4F"/>
    <w:rsid w:val="00603CBF"/>
    <w:rsid w:val="00603D55"/>
    <w:rsid w:val="00603DC2"/>
    <w:rsid w:val="0060409C"/>
    <w:rsid w:val="00604294"/>
    <w:rsid w:val="00604295"/>
    <w:rsid w:val="0060431F"/>
    <w:rsid w:val="006043F3"/>
    <w:rsid w:val="00604414"/>
    <w:rsid w:val="0060448D"/>
    <w:rsid w:val="006045D3"/>
    <w:rsid w:val="00604736"/>
    <w:rsid w:val="006049D3"/>
    <w:rsid w:val="00604BD6"/>
    <w:rsid w:val="00604C9D"/>
    <w:rsid w:val="00604CA5"/>
    <w:rsid w:val="00604D13"/>
    <w:rsid w:val="006050FB"/>
    <w:rsid w:val="00605102"/>
    <w:rsid w:val="00605610"/>
    <w:rsid w:val="006056C2"/>
    <w:rsid w:val="00605796"/>
    <w:rsid w:val="0060586C"/>
    <w:rsid w:val="00605B53"/>
    <w:rsid w:val="00605BCD"/>
    <w:rsid w:val="00605BEE"/>
    <w:rsid w:val="00605E32"/>
    <w:rsid w:val="00605E45"/>
    <w:rsid w:val="00605E97"/>
    <w:rsid w:val="00605EAF"/>
    <w:rsid w:val="00605EE5"/>
    <w:rsid w:val="006062EF"/>
    <w:rsid w:val="00606304"/>
    <w:rsid w:val="0060663B"/>
    <w:rsid w:val="006066C1"/>
    <w:rsid w:val="0060679A"/>
    <w:rsid w:val="0060690D"/>
    <w:rsid w:val="00606A1C"/>
    <w:rsid w:val="00606D83"/>
    <w:rsid w:val="00606DB3"/>
    <w:rsid w:val="00606E0F"/>
    <w:rsid w:val="006071BF"/>
    <w:rsid w:val="00607225"/>
    <w:rsid w:val="006077EE"/>
    <w:rsid w:val="0060781D"/>
    <w:rsid w:val="00607939"/>
    <w:rsid w:val="00607958"/>
    <w:rsid w:val="00607A09"/>
    <w:rsid w:val="00607D39"/>
    <w:rsid w:val="00607D76"/>
    <w:rsid w:val="0061009C"/>
    <w:rsid w:val="0061011E"/>
    <w:rsid w:val="0061012F"/>
    <w:rsid w:val="00610233"/>
    <w:rsid w:val="00610326"/>
    <w:rsid w:val="00610385"/>
    <w:rsid w:val="00610555"/>
    <w:rsid w:val="006106BF"/>
    <w:rsid w:val="006107B5"/>
    <w:rsid w:val="006108FD"/>
    <w:rsid w:val="006109FA"/>
    <w:rsid w:val="00610BF4"/>
    <w:rsid w:val="00610C99"/>
    <w:rsid w:val="00610F0A"/>
    <w:rsid w:val="00610F7A"/>
    <w:rsid w:val="00610F80"/>
    <w:rsid w:val="00610F94"/>
    <w:rsid w:val="00610F98"/>
    <w:rsid w:val="00610FA2"/>
    <w:rsid w:val="006111E3"/>
    <w:rsid w:val="0061135E"/>
    <w:rsid w:val="00611414"/>
    <w:rsid w:val="00611867"/>
    <w:rsid w:val="00611BBF"/>
    <w:rsid w:val="00611DCF"/>
    <w:rsid w:val="00611EBB"/>
    <w:rsid w:val="00611F33"/>
    <w:rsid w:val="00611F34"/>
    <w:rsid w:val="006121AB"/>
    <w:rsid w:val="00612221"/>
    <w:rsid w:val="006123BB"/>
    <w:rsid w:val="0061240F"/>
    <w:rsid w:val="00612507"/>
    <w:rsid w:val="006125D9"/>
    <w:rsid w:val="00612758"/>
    <w:rsid w:val="006127CC"/>
    <w:rsid w:val="00612831"/>
    <w:rsid w:val="00612B49"/>
    <w:rsid w:val="00612B85"/>
    <w:rsid w:val="00612B94"/>
    <w:rsid w:val="00612C52"/>
    <w:rsid w:val="00612C5C"/>
    <w:rsid w:val="00612CD8"/>
    <w:rsid w:val="00612D45"/>
    <w:rsid w:val="006130D4"/>
    <w:rsid w:val="00613252"/>
    <w:rsid w:val="0061325E"/>
    <w:rsid w:val="0061370F"/>
    <w:rsid w:val="00613A7F"/>
    <w:rsid w:val="00613AD4"/>
    <w:rsid w:val="00613AE4"/>
    <w:rsid w:val="00613C16"/>
    <w:rsid w:val="00613F31"/>
    <w:rsid w:val="00613F5D"/>
    <w:rsid w:val="00614035"/>
    <w:rsid w:val="00614048"/>
    <w:rsid w:val="006140CF"/>
    <w:rsid w:val="006140F1"/>
    <w:rsid w:val="0061415B"/>
    <w:rsid w:val="006141C7"/>
    <w:rsid w:val="006142C0"/>
    <w:rsid w:val="00614301"/>
    <w:rsid w:val="006144C6"/>
    <w:rsid w:val="00614503"/>
    <w:rsid w:val="0061466F"/>
    <w:rsid w:val="006148B9"/>
    <w:rsid w:val="006149A7"/>
    <w:rsid w:val="00614D15"/>
    <w:rsid w:val="00614D5F"/>
    <w:rsid w:val="00614D6F"/>
    <w:rsid w:val="00614D7D"/>
    <w:rsid w:val="00614DF8"/>
    <w:rsid w:val="00614E6F"/>
    <w:rsid w:val="00614EDE"/>
    <w:rsid w:val="006150FF"/>
    <w:rsid w:val="00615320"/>
    <w:rsid w:val="0061540B"/>
    <w:rsid w:val="00615453"/>
    <w:rsid w:val="00615753"/>
    <w:rsid w:val="00615AF6"/>
    <w:rsid w:val="00615C24"/>
    <w:rsid w:val="00615D0A"/>
    <w:rsid w:val="00615FFF"/>
    <w:rsid w:val="00616206"/>
    <w:rsid w:val="00616410"/>
    <w:rsid w:val="006164C4"/>
    <w:rsid w:val="0061690C"/>
    <w:rsid w:val="0061695A"/>
    <w:rsid w:val="00616AD7"/>
    <w:rsid w:val="00616C3E"/>
    <w:rsid w:val="00616F38"/>
    <w:rsid w:val="00616F85"/>
    <w:rsid w:val="00616FE9"/>
    <w:rsid w:val="00617049"/>
    <w:rsid w:val="00617128"/>
    <w:rsid w:val="006171A5"/>
    <w:rsid w:val="0061791A"/>
    <w:rsid w:val="00617A34"/>
    <w:rsid w:val="00617ABC"/>
    <w:rsid w:val="00617C9E"/>
    <w:rsid w:val="00617F87"/>
    <w:rsid w:val="00620220"/>
    <w:rsid w:val="00620AE4"/>
    <w:rsid w:val="00620C67"/>
    <w:rsid w:val="00620D3F"/>
    <w:rsid w:val="00620D63"/>
    <w:rsid w:val="00620EF1"/>
    <w:rsid w:val="00621153"/>
    <w:rsid w:val="006212AC"/>
    <w:rsid w:val="00621373"/>
    <w:rsid w:val="0062157A"/>
    <w:rsid w:val="00621849"/>
    <w:rsid w:val="0062184E"/>
    <w:rsid w:val="006218F0"/>
    <w:rsid w:val="00621B0D"/>
    <w:rsid w:val="00621CB6"/>
    <w:rsid w:val="00621E3F"/>
    <w:rsid w:val="00621EFD"/>
    <w:rsid w:val="00621F25"/>
    <w:rsid w:val="00621F6C"/>
    <w:rsid w:val="00621FB0"/>
    <w:rsid w:val="00622017"/>
    <w:rsid w:val="0062206C"/>
    <w:rsid w:val="00622120"/>
    <w:rsid w:val="0062216C"/>
    <w:rsid w:val="006221DA"/>
    <w:rsid w:val="00622896"/>
    <w:rsid w:val="006228E6"/>
    <w:rsid w:val="00622B9F"/>
    <w:rsid w:val="00622EAF"/>
    <w:rsid w:val="006232E8"/>
    <w:rsid w:val="0062337E"/>
    <w:rsid w:val="00623490"/>
    <w:rsid w:val="006234D7"/>
    <w:rsid w:val="0062365D"/>
    <w:rsid w:val="00623765"/>
    <w:rsid w:val="0062391B"/>
    <w:rsid w:val="00623A07"/>
    <w:rsid w:val="00623DF4"/>
    <w:rsid w:val="00624115"/>
    <w:rsid w:val="0062418B"/>
    <w:rsid w:val="00624207"/>
    <w:rsid w:val="00624385"/>
    <w:rsid w:val="006244FB"/>
    <w:rsid w:val="006247AD"/>
    <w:rsid w:val="00624825"/>
    <w:rsid w:val="0062498E"/>
    <w:rsid w:val="00624C49"/>
    <w:rsid w:val="00624DC7"/>
    <w:rsid w:val="00624EA0"/>
    <w:rsid w:val="00624EC9"/>
    <w:rsid w:val="00624F13"/>
    <w:rsid w:val="006250FB"/>
    <w:rsid w:val="0062538B"/>
    <w:rsid w:val="006253F1"/>
    <w:rsid w:val="006253FA"/>
    <w:rsid w:val="0062540A"/>
    <w:rsid w:val="00625508"/>
    <w:rsid w:val="00625568"/>
    <w:rsid w:val="006256FA"/>
    <w:rsid w:val="006257FD"/>
    <w:rsid w:val="00625867"/>
    <w:rsid w:val="00625930"/>
    <w:rsid w:val="0062594F"/>
    <w:rsid w:val="00625D04"/>
    <w:rsid w:val="00625D7A"/>
    <w:rsid w:val="00625EFF"/>
    <w:rsid w:val="00625F91"/>
    <w:rsid w:val="0062600F"/>
    <w:rsid w:val="00626274"/>
    <w:rsid w:val="00626312"/>
    <w:rsid w:val="006263CD"/>
    <w:rsid w:val="00626446"/>
    <w:rsid w:val="00626596"/>
    <w:rsid w:val="00626623"/>
    <w:rsid w:val="00626C68"/>
    <w:rsid w:val="00626CA8"/>
    <w:rsid w:val="00626E48"/>
    <w:rsid w:val="00627093"/>
    <w:rsid w:val="006270A6"/>
    <w:rsid w:val="006270CE"/>
    <w:rsid w:val="006271E9"/>
    <w:rsid w:val="006273A7"/>
    <w:rsid w:val="006273AD"/>
    <w:rsid w:val="006274EF"/>
    <w:rsid w:val="0062761C"/>
    <w:rsid w:val="00627646"/>
    <w:rsid w:val="006276AA"/>
    <w:rsid w:val="006277D1"/>
    <w:rsid w:val="006277EB"/>
    <w:rsid w:val="0062782F"/>
    <w:rsid w:val="00627907"/>
    <w:rsid w:val="00627C56"/>
    <w:rsid w:val="0063059A"/>
    <w:rsid w:val="006307B9"/>
    <w:rsid w:val="00630AF1"/>
    <w:rsid w:val="00630B4D"/>
    <w:rsid w:val="00630C96"/>
    <w:rsid w:val="00630CEF"/>
    <w:rsid w:val="00630DF7"/>
    <w:rsid w:val="00630F00"/>
    <w:rsid w:val="00630F8C"/>
    <w:rsid w:val="0063108A"/>
    <w:rsid w:val="006311BC"/>
    <w:rsid w:val="006312EE"/>
    <w:rsid w:val="00631347"/>
    <w:rsid w:val="0063136B"/>
    <w:rsid w:val="006313B1"/>
    <w:rsid w:val="00631447"/>
    <w:rsid w:val="00631502"/>
    <w:rsid w:val="00631528"/>
    <w:rsid w:val="00631602"/>
    <w:rsid w:val="0063169F"/>
    <w:rsid w:val="00631710"/>
    <w:rsid w:val="006318A6"/>
    <w:rsid w:val="0063198B"/>
    <w:rsid w:val="00631C7B"/>
    <w:rsid w:val="00631C80"/>
    <w:rsid w:val="00631C93"/>
    <w:rsid w:val="00631D08"/>
    <w:rsid w:val="00631E0E"/>
    <w:rsid w:val="00632023"/>
    <w:rsid w:val="00632142"/>
    <w:rsid w:val="006322BC"/>
    <w:rsid w:val="00632344"/>
    <w:rsid w:val="006323E1"/>
    <w:rsid w:val="00632560"/>
    <w:rsid w:val="00632617"/>
    <w:rsid w:val="00632646"/>
    <w:rsid w:val="006328BB"/>
    <w:rsid w:val="006328F7"/>
    <w:rsid w:val="0063291C"/>
    <w:rsid w:val="00632962"/>
    <w:rsid w:val="00632A95"/>
    <w:rsid w:val="00632CA9"/>
    <w:rsid w:val="00632EB4"/>
    <w:rsid w:val="00633241"/>
    <w:rsid w:val="00633362"/>
    <w:rsid w:val="006335FA"/>
    <w:rsid w:val="00633628"/>
    <w:rsid w:val="006336C2"/>
    <w:rsid w:val="0063379A"/>
    <w:rsid w:val="006338B0"/>
    <w:rsid w:val="006338CB"/>
    <w:rsid w:val="006338D2"/>
    <w:rsid w:val="00633A5F"/>
    <w:rsid w:val="00633B39"/>
    <w:rsid w:val="00633BEC"/>
    <w:rsid w:val="00633C6D"/>
    <w:rsid w:val="00634013"/>
    <w:rsid w:val="006340A1"/>
    <w:rsid w:val="0063427C"/>
    <w:rsid w:val="006342DE"/>
    <w:rsid w:val="006342F0"/>
    <w:rsid w:val="0063479C"/>
    <w:rsid w:val="00634927"/>
    <w:rsid w:val="00634E0F"/>
    <w:rsid w:val="00634F2D"/>
    <w:rsid w:val="00634F7A"/>
    <w:rsid w:val="006351A1"/>
    <w:rsid w:val="006351C3"/>
    <w:rsid w:val="0063521E"/>
    <w:rsid w:val="00635270"/>
    <w:rsid w:val="006352C7"/>
    <w:rsid w:val="006352CC"/>
    <w:rsid w:val="006352F2"/>
    <w:rsid w:val="00635334"/>
    <w:rsid w:val="00635477"/>
    <w:rsid w:val="006356D2"/>
    <w:rsid w:val="006358BD"/>
    <w:rsid w:val="00635920"/>
    <w:rsid w:val="0063597C"/>
    <w:rsid w:val="00635985"/>
    <w:rsid w:val="00635BF1"/>
    <w:rsid w:val="00635BF8"/>
    <w:rsid w:val="00635E31"/>
    <w:rsid w:val="00635E6C"/>
    <w:rsid w:val="00635F23"/>
    <w:rsid w:val="00635F28"/>
    <w:rsid w:val="00635FEC"/>
    <w:rsid w:val="00636017"/>
    <w:rsid w:val="0063602A"/>
    <w:rsid w:val="006361FC"/>
    <w:rsid w:val="00636459"/>
    <w:rsid w:val="006364FD"/>
    <w:rsid w:val="00636690"/>
    <w:rsid w:val="00636786"/>
    <w:rsid w:val="0063680D"/>
    <w:rsid w:val="0063689B"/>
    <w:rsid w:val="006368E1"/>
    <w:rsid w:val="00636A4A"/>
    <w:rsid w:val="00636B56"/>
    <w:rsid w:val="00636DEB"/>
    <w:rsid w:val="00636F12"/>
    <w:rsid w:val="00636F7A"/>
    <w:rsid w:val="006371AC"/>
    <w:rsid w:val="0063722B"/>
    <w:rsid w:val="0063756D"/>
    <w:rsid w:val="0063760E"/>
    <w:rsid w:val="00637642"/>
    <w:rsid w:val="00637C28"/>
    <w:rsid w:val="00637E33"/>
    <w:rsid w:val="00637ED7"/>
    <w:rsid w:val="006400E2"/>
    <w:rsid w:val="00640172"/>
    <w:rsid w:val="006401A4"/>
    <w:rsid w:val="006401E7"/>
    <w:rsid w:val="0064026E"/>
    <w:rsid w:val="006406B4"/>
    <w:rsid w:val="00640912"/>
    <w:rsid w:val="00640927"/>
    <w:rsid w:val="00640968"/>
    <w:rsid w:val="0064097E"/>
    <w:rsid w:val="006409E4"/>
    <w:rsid w:val="00640BE3"/>
    <w:rsid w:val="00640EF9"/>
    <w:rsid w:val="00641103"/>
    <w:rsid w:val="00641104"/>
    <w:rsid w:val="006413C9"/>
    <w:rsid w:val="0064150E"/>
    <w:rsid w:val="00641549"/>
    <w:rsid w:val="0064157D"/>
    <w:rsid w:val="006415AC"/>
    <w:rsid w:val="006418CF"/>
    <w:rsid w:val="00641B1C"/>
    <w:rsid w:val="00642321"/>
    <w:rsid w:val="0064271F"/>
    <w:rsid w:val="00642823"/>
    <w:rsid w:val="00642ACD"/>
    <w:rsid w:val="00642E80"/>
    <w:rsid w:val="00642E86"/>
    <w:rsid w:val="00642EF0"/>
    <w:rsid w:val="00642FF8"/>
    <w:rsid w:val="006430BA"/>
    <w:rsid w:val="006431FB"/>
    <w:rsid w:val="00643246"/>
    <w:rsid w:val="00643281"/>
    <w:rsid w:val="006434E2"/>
    <w:rsid w:val="0064363F"/>
    <w:rsid w:val="00643950"/>
    <w:rsid w:val="006439BE"/>
    <w:rsid w:val="006439C7"/>
    <w:rsid w:val="00643A13"/>
    <w:rsid w:val="00643B2A"/>
    <w:rsid w:val="00643BE9"/>
    <w:rsid w:val="00643CC8"/>
    <w:rsid w:val="00643E9C"/>
    <w:rsid w:val="00644063"/>
    <w:rsid w:val="00644246"/>
    <w:rsid w:val="0064460C"/>
    <w:rsid w:val="00644A5A"/>
    <w:rsid w:val="00644D18"/>
    <w:rsid w:val="00644F8E"/>
    <w:rsid w:val="00644FE8"/>
    <w:rsid w:val="006451D3"/>
    <w:rsid w:val="00645229"/>
    <w:rsid w:val="006452FA"/>
    <w:rsid w:val="0064534C"/>
    <w:rsid w:val="0064535D"/>
    <w:rsid w:val="006454CC"/>
    <w:rsid w:val="0064575B"/>
    <w:rsid w:val="0064593F"/>
    <w:rsid w:val="0064599F"/>
    <w:rsid w:val="00645FF3"/>
    <w:rsid w:val="00645FF5"/>
    <w:rsid w:val="00646027"/>
    <w:rsid w:val="00646079"/>
    <w:rsid w:val="0064608A"/>
    <w:rsid w:val="00646213"/>
    <w:rsid w:val="00646270"/>
    <w:rsid w:val="00646295"/>
    <w:rsid w:val="00646418"/>
    <w:rsid w:val="00646623"/>
    <w:rsid w:val="00646BBC"/>
    <w:rsid w:val="00646E12"/>
    <w:rsid w:val="00646E8D"/>
    <w:rsid w:val="00647149"/>
    <w:rsid w:val="0064723B"/>
    <w:rsid w:val="0064762C"/>
    <w:rsid w:val="00647673"/>
    <w:rsid w:val="006478CA"/>
    <w:rsid w:val="00647911"/>
    <w:rsid w:val="00647D61"/>
    <w:rsid w:val="00647E8E"/>
    <w:rsid w:val="00647EEC"/>
    <w:rsid w:val="00650127"/>
    <w:rsid w:val="006501CB"/>
    <w:rsid w:val="006504AD"/>
    <w:rsid w:val="00650556"/>
    <w:rsid w:val="006505A7"/>
    <w:rsid w:val="0065088C"/>
    <w:rsid w:val="006508C0"/>
    <w:rsid w:val="00650D40"/>
    <w:rsid w:val="00650ED0"/>
    <w:rsid w:val="006511D3"/>
    <w:rsid w:val="00651216"/>
    <w:rsid w:val="0065136F"/>
    <w:rsid w:val="006514B8"/>
    <w:rsid w:val="00651622"/>
    <w:rsid w:val="006516D5"/>
    <w:rsid w:val="0065170E"/>
    <w:rsid w:val="006517AA"/>
    <w:rsid w:val="00651900"/>
    <w:rsid w:val="00651B03"/>
    <w:rsid w:val="00651B06"/>
    <w:rsid w:val="00651E7A"/>
    <w:rsid w:val="00651F9D"/>
    <w:rsid w:val="006521F6"/>
    <w:rsid w:val="006522EB"/>
    <w:rsid w:val="00652404"/>
    <w:rsid w:val="00652507"/>
    <w:rsid w:val="006525B7"/>
    <w:rsid w:val="00652620"/>
    <w:rsid w:val="006526EB"/>
    <w:rsid w:val="00652751"/>
    <w:rsid w:val="006528A3"/>
    <w:rsid w:val="00652923"/>
    <w:rsid w:val="00652B58"/>
    <w:rsid w:val="00652C07"/>
    <w:rsid w:val="00652C56"/>
    <w:rsid w:val="00652F64"/>
    <w:rsid w:val="00653038"/>
    <w:rsid w:val="00653060"/>
    <w:rsid w:val="006531FE"/>
    <w:rsid w:val="00653209"/>
    <w:rsid w:val="0065334E"/>
    <w:rsid w:val="0065345E"/>
    <w:rsid w:val="006535CD"/>
    <w:rsid w:val="0065363A"/>
    <w:rsid w:val="00653730"/>
    <w:rsid w:val="00653787"/>
    <w:rsid w:val="006537A7"/>
    <w:rsid w:val="00653922"/>
    <w:rsid w:val="00653A59"/>
    <w:rsid w:val="00653AF4"/>
    <w:rsid w:val="00653DB0"/>
    <w:rsid w:val="00653FFD"/>
    <w:rsid w:val="00654171"/>
    <w:rsid w:val="00654204"/>
    <w:rsid w:val="00654456"/>
    <w:rsid w:val="00654783"/>
    <w:rsid w:val="006547E1"/>
    <w:rsid w:val="00654C0A"/>
    <w:rsid w:val="00654D25"/>
    <w:rsid w:val="00654E62"/>
    <w:rsid w:val="00654F52"/>
    <w:rsid w:val="006551C2"/>
    <w:rsid w:val="006551EC"/>
    <w:rsid w:val="00655221"/>
    <w:rsid w:val="0065538B"/>
    <w:rsid w:val="006553DF"/>
    <w:rsid w:val="006553E5"/>
    <w:rsid w:val="00655632"/>
    <w:rsid w:val="006556CC"/>
    <w:rsid w:val="006559C1"/>
    <w:rsid w:val="00655C0A"/>
    <w:rsid w:val="00655CA8"/>
    <w:rsid w:val="00655CCE"/>
    <w:rsid w:val="00655D2A"/>
    <w:rsid w:val="00655DA4"/>
    <w:rsid w:val="00656059"/>
    <w:rsid w:val="006561B9"/>
    <w:rsid w:val="00656418"/>
    <w:rsid w:val="00656435"/>
    <w:rsid w:val="0065643C"/>
    <w:rsid w:val="006565DF"/>
    <w:rsid w:val="00656636"/>
    <w:rsid w:val="0065680A"/>
    <w:rsid w:val="00656A47"/>
    <w:rsid w:val="00656AE6"/>
    <w:rsid w:val="00656C69"/>
    <w:rsid w:val="00656F88"/>
    <w:rsid w:val="0065713F"/>
    <w:rsid w:val="006571DB"/>
    <w:rsid w:val="00657583"/>
    <w:rsid w:val="006576AE"/>
    <w:rsid w:val="006577F1"/>
    <w:rsid w:val="00657867"/>
    <w:rsid w:val="00657964"/>
    <w:rsid w:val="006579C7"/>
    <w:rsid w:val="006579D6"/>
    <w:rsid w:val="00657AD1"/>
    <w:rsid w:val="00657F87"/>
    <w:rsid w:val="006600EE"/>
    <w:rsid w:val="006604FC"/>
    <w:rsid w:val="00660553"/>
    <w:rsid w:val="0066059D"/>
    <w:rsid w:val="00660613"/>
    <w:rsid w:val="0066078F"/>
    <w:rsid w:val="006607A6"/>
    <w:rsid w:val="006607CD"/>
    <w:rsid w:val="00660815"/>
    <w:rsid w:val="006608A1"/>
    <w:rsid w:val="006609BF"/>
    <w:rsid w:val="00660EA1"/>
    <w:rsid w:val="0066141C"/>
    <w:rsid w:val="006614B8"/>
    <w:rsid w:val="006615F0"/>
    <w:rsid w:val="00661733"/>
    <w:rsid w:val="006617AF"/>
    <w:rsid w:val="006617E4"/>
    <w:rsid w:val="00661B63"/>
    <w:rsid w:val="00661D8F"/>
    <w:rsid w:val="00661FFC"/>
    <w:rsid w:val="00662065"/>
    <w:rsid w:val="0066218E"/>
    <w:rsid w:val="006622C5"/>
    <w:rsid w:val="00662348"/>
    <w:rsid w:val="006624FA"/>
    <w:rsid w:val="006625B6"/>
    <w:rsid w:val="006625CB"/>
    <w:rsid w:val="00662712"/>
    <w:rsid w:val="006627D5"/>
    <w:rsid w:val="00662A50"/>
    <w:rsid w:val="00662C2C"/>
    <w:rsid w:val="00663000"/>
    <w:rsid w:val="0066305E"/>
    <w:rsid w:val="006630C0"/>
    <w:rsid w:val="006632BE"/>
    <w:rsid w:val="0066336F"/>
    <w:rsid w:val="00663578"/>
    <w:rsid w:val="006635AD"/>
    <w:rsid w:val="006638B9"/>
    <w:rsid w:val="0066390F"/>
    <w:rsid w:val="00663B23"/>
    <w:rsid w:val="00663BA0"/>
    <w:rsid w:val="00663D67"/>
    <w:rsid w:val="00663EB5"/>
    <w:rsid w:val="00663FE5"/>
    <w:rsid w:val="00663FE8"/>
    <w:rsid w:val="0066431F"/>
    <w:rsid w:val="0066459D"/>
    <w:rsid w:val="006647E7"/>
    <w:rsid w:val="00664846"/>
    <w:rsid w:val="006649A6"/>
    <w:rsid w:val="00664A9E"/>
    <w:rsid w:val="00664B01"/>
    <w:rsid w:val="00664BE3"/>
    <w:rsid w:val="00665121"/>
    <w:rsid w:val="006651A6"/>
    <w:rsid w:val="006651FC"/>
    <w:rsid w:val="006652C7"/>
    <w:rsid w:val="0066538B"/>
    <w:rsid w:val="00665425"/>
    <w:rsid w:val="00665851"/>
    <w:rsid w:val="00665880"/>
    <w:rsid w:val="00665A04"/>
    <w:rsid w:val="00665A54"/>
    <w:rsid w:val="00665AA7"/>
    <w:rsid w:val="00665BB8"/>
    <w:rsid w:val="00665ECF"/>
    <w:rsid w:val="00665ED0"/>
    <w:rsid w:val="0066615D"/>
    <w:rsid w:val="006661D7"/>
    <w:rsid w:val="0066625D"/>
    <w:rsid w:val="006662EE"/>
    <w:rsid w:val="00666368"/>
    <w:rsid w:val="0066684D"/>
    <w:rsid w:val="00666ACA"/>
    <w:rsid w:val="00666B04"/>
    <w:rsid w:val="00666CF8"/>
    <w:rsid w:val="00666D39"/>
    <w:rsid w:val="00666DDE"/>
    <w:rsid w:val="00666DE4"/>
    <w:rsid w:val="00667068"/>
    <w:rsid w:val="006670D3"/>
    <w:rsid w:val="0066713B"/>
    <w:rsid w:val="00667171"/>
    <w:rsid w:val="006674AF"/>
    <w:rsid w:val="0066752F"/>
    <w:rsid w:val="0066766F"/>
    <w:rsid w:val="0066767B"/>
    <w:rsid w:val="0066775B"/>
    <w:rsid w:val="0066778A"/>
    <w:rsid w:val="006677E9"/>
    <w:rsid w:val="00667856"/>
    <w:rsid w:val="00667AC0"/>
    <w:rsid w:val="00667C20"/>
    <w:rsid w:val="00667C24"/>
    <w:rsid w:val="00667C30"/>
    <w:rsid w:val="00667E41"/>
    <w:rsid w:val="0067017F"/>
    <w:rsid w:val="0067026C"/>
    <w:rsid w:val="006703CA"/>
    <w:rsid w:val="00670569"/>
    <w:rsid w:val="006708C9"/>
    <w:rsid w:val="00670950"/>
    <w:rsid w:val="00670E78"/>
    <w:rsid w:val="00670F61"/>
    <w:rsid w:val="00671375"/>
    <w:rsid w:val="00671390"/>
    <w:rsid w:val="006715A1"/>
    <w:rsid w:val="006716AC"/>
    <w:rsid w:val="00671701"/>
    <w:rsid w:val="00671C86"/>
    <w:rsid w:val="00671C89"/>
    <w:rsid w:val="00672061"/>
    <w:rsid w:val="0067208A"/>
    <w:rsid w:val="00672269"/>
    <w:rsid w:val="00672645"/>
    <w:rsid w:val="006726C3"/>
    <w:rsid w:val="006727E9"/>
    <w:rsid w:val="006728D4"/>
    <w:rsid w:val="00672CC4"/>
    <w:rsid w:val="00672F10"/>
    <w:rsid w:val="00672FE1"/>
    <w:rsid w:val="00673047"/>
    <w:rsid w:val="006730CA"/>
    <w:rsid w:val="006733BF"/>
    <w:rsid w:val="0067344B"/>
    <w:rsid w:val="0067358F"/>
    <w:rsid w:val="00673A8A"/>
    <w:rsid w:val="00673CE4"/>
    <w:rsid w:val="00673DF0"/>
    <w:rsid w:val="00673E44"/>
    <w:rsid w:val="00674690"/>
    <w:rsid w:val="006746E1"/>
    <w:rsid w:val="006747D7"/>
    <w:rsid w:val="00674886"/>
    <w:rsid w:val="00674889"/>
    <w:rsid w:val="006748FA"/>
    <w:rsid w:val="0067491F"/>
    <w:rsid w:val="006749BE"/>
    <w:rsid w:val="006749D5"/>
    <w:rsid w:val="006749D7"/>
    <w:rsid w:val="00674ACB"/>
    <w:rsid w:val="00674B8C"/>
    <w:rsid w:val="00674BDF"/>
    <w:rsid w:val="00674C86"/>
    <w:rsid w:val="00674D80"/>
    <w:rsid w:val="006750D0"/>
    <w:rsid w:val="006754D6"/>
    <w:rsid w:val="00675614"/>
    <w:rsid w:val="00675691"/>
    <w:rsid w:val="00675735"/>
    <w:rsid w:val="0067591A"/>
    <w:rsid w:val="006759E0"/>
    <w:rsid w:val="00675AB3"/>
    <w:rsid w:val="00675BC7"/>
    <w:rsid w:val="00675BD9"/>
    <w:rsid w:val="006762D8"/>
    <w:rsid w:val="0067650A"/>
    <w:rsid w:val="0067657D"/>
    <w:rsid w:val="006765F8"/>
    <w:rsid w:val="00676857"/>
    <w:rsid w:val="00676868"/>
    <w:rsid w:val="006769CC"/>
    <w:rsid w:val="006769D8"/>
    <w:rsid w:val="00676A2E"/>
    <w:rsid w:val="00676A8E"/>
    <w:rsid w:val="00676CED"/>
    <w:rsid w:val="00676D1A"/>
    <w:rsid w:val="006770A4"/>
    <w:rsid w:val="006770AC"/>
    <w:rsid w:val="006771BE"/>
    <w:rsid w:val="0067724A"/>
    <w:rsid w:val="006773F1"/>
    <w:rsid w:val="0067745B"/>
    <w:rsid w:val="006778C1"/>
    <w:rsid w:val="006778ED"/>
    <w:rsid w:val="00677B26"/>
    <w:rsid w:val="00677DE2"/>
    <w:rsid w:val="00677E52"/>
    <w:rsid w:val="00677F1E"/>
    <w:rsid w:val="006800F5"/>
    <w:rsid w:val="0068013B"/>
    <w:rsid w:val="00680145"/>
    <w:rsid w:val="006804FD"/>
    <w:rsid w:val="0068056E"/>
    <w:rsid w:val="00680621"/>
    <w:rsid w:val="006806A0"/>
    <w:rsid w:val="00680920"/>
    <w:rsid w:val="006809C1"/>
    <w:rsid w:val="006809F0"/>
    <w:rsid w:val="00681271"/>
    <w:rsid w:val="006812F2"/>
    <w:rsid w:val="006815AA"/>
    <w:rsid w:val="00681615"/>
    <w:rsid w:val="0068196A"/>
    <w:rsid w:val="00681ACA"/>
    <w:rsid w:val="00681B90"/>
    <w:rsid w:val="00681E2E"/>
    <w:rsid w:val="00681F11"/>
    <w:rsid w:val="00681FDA"/>
    <w:rsid w:val="00682030"/>
    <w:rsid w:val="006820C1"/>
    <w:rsid w:val="006821D3"/>
    <w:rsid w:val="006823C4"/>
    <w:rsid w:val="006823F5"/>
    <w:rsid w:val="006825ED"/>
    <w:rsid w:val="006827CC"/>
    <w:rsid w:val="006828BC"/>
    <w:rsid w:val="006828F3"/>
    <w:rsid w:val="006829CC"/>
    <w:rsid w:val="00682ACE"/>
    <w:rsid w:val="00682C60"/>
    <w:rsid w:val="00682D0C"/>
    <w:rsid w:val="00682D23"/>
    <w:rsid w:val="00682D28"/>
    <w:rsid w:val="00682E33"/>
    <w:rsid w:val="0068307C"/>
    <w:rsid w:val="0068319F"/>
    <w:rsid w:val="0068347E"/>
    <w:rsid w:val="0068348D"/>
    <w:rsid w:val="006836E2"/>
    <w:rsid w:val="00683AA3"/>
    <w:rsid w:val="00683BD7"/>
    <w:rsid w:val="00683BF7"/>
    <w:rsid w:val="006841CD"/>
    <w:rsid w:val="006843FB"/>
    <w:rsid w:val="00684C89"/>
    <w:rsid w:val="00684EAA"/>
    <w:rsid w:val="00684F12"/>
    <w:rsid w:val="006850D1"/>
    <w:rsid w:val="006855A9"/>
    <w:rsid w:val="006856E8"/>
    <w:rsid w:val="006858BC"/>
    <w:rsid w:val="00685B0F"/>
    <w:rsid w:val="00685DB3"/>
    <w:rsid w:val="00686130"/>
    <w:rsid w:val="0068629C"/>
    <w:rsid w:val="006862A4"/>
    <w:rsid w:val="006862BC"/>
    <w:rsid w:val="0068640C"/>
    <w:rsid w:val="0068659A"/>
    <w:rsid w:val="0068673E"/>
    <w:rsid w:val="00686B7B"/>
    <w:rsid w:val="00686F5A"/>
    <w:rsid w:val="00687033"/>
    <w:rsid w:val="006874A7"/>
    <w:rsid w:val="006874C7"/>
    <w:rsid w:val="006875C7"/>
    <w:rsid w:val="006875EC"/>
    <w:rsid w:val="00687676"/>
    <w:rsid w:val="00687821"/>
    <w:rsid w:val="00687879"/>
    <w:rsid w:val="00687965"/>
    <w:rsid w:val="00687B53"/>
    <w:rsid w:val="00687C1B"/>
    <w:rsid w:val="00687E0D"/>
    <w:rsid w:val="00687FFC"/>
    <w:rsid w:val="00690557"/>
    <w:rsid w:val="006908BC"/>
    <w:rsid w:val="006909BF"/>
    <w:rsid w:val="00690A65"/>
    <w:rsid w:val="00690A8E"/>
    <w:rsid w:val="00690C66"/>
    <w:rsid w:val="00690C7C"/>
    <w:rsid w:val="00690DF4"/>
    <w:rsid w:val="00690E24"/>
    <w:rsid w:val="00690E53"/>
    <w:rsid w:val="00690E8D"/>
    <w:rsid w:val="00690F6C"/>
    <w:rsid w:val="00691239"/>
    <w:rsid w:val="00691318"/>
    <w:rsid w:val="0069144E"/>
    <w:rsid w:val="00691643"/>
    <w:rsid w:val="006916EA"/>
    <w:rsid w:val="0069172C"/>
    <w:rsid w:val="006917C8"/>
    <w:rsid w:val="00691840"/>
    <w:rsid w:val="00691B15"/>
    <w:rsid w:val="00691B9F"/>
    <w:rsid w:val="00691D75"/>
    <w:rsid w:val="00691E4C"/>
    <w:rsid w:val="00691E78"/>
    <w:rsid w:val="00691FCC"/>
    <w:rsid w:val="00692031"/>
    <w:rsid w:val="0069210E"/>
    <w:rsid w:val="00692128"/>
    <w:rsid w:val="006922C9"/>
    <w:rsid w:val="00692550"/>
    <w:rsid w:val="0069260C"/>
    <w:rsid w:val="006927EA"/>
    <w:rsid w:val="0069295E"/>
    <w:rsid w:val="00692A25"/>
    <w:rsid w:val="00692B71"/>
    <w:rsid w:val="00692C8F"/>
    <w:rsid w:val="00692D8F"/>
    <w:rsid w:val="00692E48"/>
    <w:rsid w:val="00692E7C"/>
    <w:rsid w:val="0069303D"/>
    <w:rsid w:val="006930B5"/>
    <w:rsid w:val="00693265"/>
    <w:rsid w:val="006932AA"/>
    <w:rsid w:val="006933DF"/>
    <w:rsid w:val="006934BE"/>
    <w:rsid w:val="006934C9"/>
    <w:rsid w:val="006935B7"/>
    <w:rsid w:val="006935E4"/>
    <w:rsid w:val="006935EA"/>
    <w:rsid w:val="0069365E"/>
    <w:rsid w:val="00693664"/>
    <w:rsid w:val="00693838"/>
    <w:rsid w:val="0069386D"/>
    <w:rsid w:val="00693911"/>
    <w:rsid w:val="00693A3F"/>
    <w:rsid w:val="00693A9A"/>
    <w:rsid w:val="00693CD3"/>
    <w:rsid w:val="00693D37"/>
    <w:rsid w:val="00693D65"/>
    <w:rsid w:val="00693DA2"/>
    <w:rsid w:val="00693EB5"/>
    <w:rsid w:val="00693F5A"/>
    <w:rsid w:val="00693F62"/>
    <w:rsid w:val="00694045"/>
    <w:rsid w:val="006941FD"/>
    <w:rsid w:val="006945C4"/>
    <w:rsid w:val="006946E0"/>
    <w:rsid w:val="006947FE"/>
    <w:rsid w:val="0069486C"/>
    <w:rsid w:val="006948B9"/>
    <w:rsid w:val="00694A06"/>
    <w:rsid w:val="00694BA1"/>
    <w:rsid w:val="00694DD0"/>
    <w:rsid w:val="00695082"/>
    <w:rsid w:val="006952B8"/>
    <w:rsid w:val="00695419"/>
    <w:rsid w:val="00695499"/>
    <w:rsid w:val="006955C7"/>
    <w:rsid w:val="00695872"/>
    <w:rsid w:val="00695CA8"/>
    <w:rsid w:val="00696529"/>
    <w:rsid w:val="0069658D"/>
    <w:rsid w:val="00696736"/>
    <w:rsid w:val="006968E8"/>
    <w:rsid w:val="006969FE"/>
    <w:rsid w:val="00696ADB"/>
    <w:rsid w:val="00696B89"/>
    <w:rsid w:val="00696D63"/>
    <w:rsid w:val="00696E76"/>
    <w:rsid w:val="00696FA2"/>
    <w:rsid w:val="0069719A"/>
    <w:rsid w:val="00697213"/>
    <w:rsid w:val="006976C3"/>
    <w:rsid w:val="006978C7"/>
    <w:rsid w:val="00697AEC"/>
    <w:rsid w:val="00697C97"/>
    <w:rsid w:val="00697CD6"/>
    <w:rsid w:val="00697D76"/>
    <w:rsid w:val="00697E31"/>
    <w:rsid w:val="00697E69"/>
    <w:rsid w:val="006A026C"/>
    <w:rsid w:val="006A0432"/>
    <w:rsid w:val="006A04F7"/>
    <w:rsid w:val="006A075C"/>
    <w:rsid w:val="006A076B"/>
    <w:rsid w:val="006A080C"/>
    <w:rsid w:val="006A0825"/>
    <w:rsid w:val="006A099C"/>
    <w:rsid w:val="006A0C58"/>
    <w:rsid w:val="006A0E4B"/>
    <w:rsid w:val="006A1391"/>
    <w:rsid w:val="006A1407"/>
    <w:rsid w:val="006A17D2"/>
    <w:rsid w:val="006A19A2"/>
    <w:rsid w:val="006A1B9A"/>
    <w:rsid w:val="006A1DFB"/>
    <w:rsid w:val="006A1E3E"/>
    <w:rsid w:val="006A1FA6"/>
    <w:rsid w:val="006A2291"/>
    <w:rsid w:val="006A2900"/>
    <w:rsid w:val="006A2B73"/>
    <w:rsid w:val="006A2DD4"/>
    <w:rsid w:val="006A2EF1"/>
    <w:rsid w:val="006A2FD2"/>
    <w:rsid w:val="006A31ED"/>
    <w:rsid w:val="006A3243"/>
    <w:rsid w:val="006A3282"/>
    <w:rsid w:val="006A351B"/>
    <w:rsid w:val="006A3554"/>
    <w:rsid w:val="006A35CE"/>
    <w:rsid w:val="006A3619"/>
    <w:rsid w:val="006A36E4"/>
    <w:rsid w:val="006A36EB"/>
    <w:rsid w:val="006A3769"/>
    <w:rsid w:val="006A39FC"/>
    <w:rsid w:val="006A3AB6"/>
    <w:rsid w:val="006A3AC6"/>
    <w:rsid w:val="006A3D76"/>
    <w:rsid w:val="006A3E10"/>
    <w:rsid w:val="006A3E35"/>
    <w:rsid w:val="006A3EA1"/>
    <w:rsid w:val="006A41E1"/>
    <w:rsid w:val="006A4263"/>
    <w:rsid w:val="006A44B7"/>
    <w:rsid w:val="006A44D9"/>
    <w:rsid w:val="006A467D"/>
    <w:rsid w:val="006A474E"/>
    <w:rsid w:val="006A4973"/>
    <w:rsid w:val="006A4A28"/>
    <w:rsid w:val="006A4AAE"/>
    <w:rsid w:val="006A4C4F"/>
    <w:rsid w:val="006A4D70"/>
    <w:rsid w:val="006A4DEF"/>
    <w:rsid w:val="006A4E79"/>
    <w:rsid w:val="006A4FFF"/>
    <w:rsid w:val="006A52F2"/>
    <w:rsid w:val="006A5716"/>
    <w:rsid w:val="006A5753"/>
    <w:rsid w:val="006A58D0"/>
    <w:rsid w:val="006A5A53"/>
    <w:rsid w:val="006A5D0F"/>
    <w:rsid w:val="006A60EC"/>
    <w:rsid w:val="006A620F"/>
    <w:rsid w:val="006A6350"/>
    <w:rsid w:val="006A63F3"/>
    <w:rsid w:val="006A6441"/>
    <w:rsid w:val="006A6485"/>
    <w:rsid w:val="006A64B7"/>
    <w:rsid w:val="006A6520"/>
    <w:rsid w:val="006A6792"/>
    <w:rsid w:val="006A6942"/>
    <w:rsid w:val="006A6AC2"/>
    <w:rsid w:val="006A6B9B"/>
    <w:rsid w:val="006A6BF3"/>
    <w:rsid w:val="006A6CB7"/>
    <w:rsid w:val="006A6F96"/>
    <w:rsid w:val="006A7000"/>
    <w:rsid w:val="006A7018"/>
    <w:rsid w:val="006A7126"/>
    <w:rsid w:val="006A71BA"/>
    <w:rsid w:val="006A7238"/>
    <w:rsid w:val="006A727A"/>
    <w:rsid w:val="006A7535"/>
    <w:rsid w:val="006A758E"/>
    <w:rsid w:val="006A7681"/>
    <w:rsid w:val="006A7A64"/>
    <w:rsid w:val="006A7BA0"/>
    <w:rsid w:val="006A7BA6"/>
    <w:rsid w:val="006A7C0C"/>
    <w:rsid w:val="006A7E6A"/>
    <w:rsid w:val="006A7E6E"/>
    <w:rsid w:val="006A7E7E"/>
    <w:rsid w:val="006A7FF3"/>
    <w:rsid w:val="006B0188"/>
    <w:rsid w:val="006B02DA"/>
    <w:rsid w:val="006B04FD"/>
    <w:rsid w:val="006B04FE"/>
    <w:rsid w:val="006B0546"/>
    <w:rsid w:val="006B087B"/>
    <w:rsid w:val="006B144F"/>
    <w:rsid w:val="006B1458"/>
    <w:rsid w:val="006B1843"/>
    <w:rsid w:val="006B1A56"/>
    <w:rsid w:val="006B1C37"/>
    <w:rsid w:val="006B1CC3"/>
    <w:rsid w:val="006B2077"/>
    <w:rsid w:val="006B2123"/>
    <w:rsid w:val="006B2320"/>
    <w:rsid w:val="006B234B"/>
    <w:rsid w:val="006B26B5"/>
    <w:rsid w:val="006B26DD"/>
    <w:rsid w:val="006B2915"/>
    <w:rsid w:val="006B29DB"/>
    <w:rsid w:val="006B2A76"/>
    <w:rsid w:val="006B2AA9"/>
    <w:rsid w:val="006B2CDC"/>
    <w:rsid w:val="006B2DE7"/>
    <w:rsid w:val="006B2F9E"/>
    <w:rsid w:val="006B30A4"/>
    <w:rsid w:val="006B32B9"/>
    <w:rsid w:val="006B363A"/>
    <w:rsid w:val="006B369B"/>
    <w:rsid w:val="006B38BF"/>
    <w:rsid w:val="006B38E8"/>
    <w:rsid w:val="006B3A43"/>
    <w:rsid w:val="006B3ADC"/>
    <w:rsid w:val="006B3B35"/>
    <w:rsid w:val="006B3BD4"/>
    <w:rsid w:val="006B3E01"/>
    <w:rsid w:val="006B3EC6"/>
    <w:rsid w:val="006B3FB5"/>
    <w:rsid w:val="006B4012"/>
    <w:rsid w:val="006B4396"/>
    <w:rsid w:val="006B4531"/>
    <w:rsid w:val="006B4640"/>
    <w:rsid w:val="006B4845"/>
    <w:rsid w:val="006B48C7"/>
    <w:rsid w:val="006B48E1"/>
    <w:rsid w:val="006B4B9A"/>
    <w:rsid w:val="006B4C17"/>
    <w:rsid w:val="006B509A"/>
    <w:rsid w:val="006B5142"/>
    <w:rsid w:val="006B5279"/>
    <w:rsid w:val="006B52BC"/>
    <w:rsid w:val="006B551A"/>
    <w:rsid w:val="006B55BA"/>
    <w:rsid w:val="006B583B"/>
    <w:rsid w:val="006B5992"/>
    <w:rsid w:val="006B59AF"/>
    <w:rsid w:val="006B59D2"/>
    <w:rsid w:val="006B5A2E"/>
    <w:rsid w:val="006B5F56"/>
    <w:rsid w:val="006B6036"/>
    <w:rsid w:val="006B6086"/>
    <w:rsid w:val="006B6318"/>
    <w:rsid w:val="006B6322"/>
    <w:rsid w:val="006B63C1"/>
    <w:rsid w:val="006B67E2"/>
    <w:rsid w:val="006B687C"/>
    <w:rsid w:val="006B69F3"/>
    <w:rsid w:val="006B6A83"/>
    <w:rsid w:val="006B6C2B"/>
    <w:rsid w:val="006B7051"/>
    <w:rsid w:val="006B7094"/>
    <w:rsid w:val="006B7279"/>
    <w:rsid w:val="006B75D8"/>
    <w:rsid w:val="006B760C"/>
    <w:rsid w:val="006B7644"/>
    <w:rsid w:val="006B76A1"/>
    <w:rsid w:val="006B7916"/>
    <w:rsid w:val="006B7ACC"/>
    <w:rsid w:val="006B7CB5"/>
    <w:rsid w:val="006B7CCD"/>
    <w:rsid w:val="006B7F97"/>
    <w:rsid w:val="006C012B"/>
    <w:rsid w:val="006C0130"/>
    <w:rsid w:val="006C01A1"/>
    <w:rsid w:val="006C063F"/>
    <w:rsid w:val="006C06E6"/>
    <w:rsid w:val="006C0896"/>
    <w:rsid w:val="006C0943"/>
    <w:rsid w:val="006C09CF"/>
    <w:rsid w:val="006C0A11"/>
    <w:rsid w:val="006C0C36"/>
    <w:rsid w:val="006C0D38"/>
    <w:rsid w:val="006C0EB9"/>
    <w:rsid w:val="006C0F91"/>
    <w:rsid w:val="006C0FE7"/>
    <w:rsid w:val="006C11AA"/>
    <w:rsid w:val="006C12B9"/>
    <w:rsid w:val="006C12D6"/>
    <w:rsid w:val="006C14D5"/>
    <w:rsid w:val="006C16E7"/>
    <w:rsid w:val="006C1719"/>
    <w:rsid w:val="006C17A7"/>
    <w:rsid w:val="006C1DEE"/>
    <w:rsid w:val="006C1EFC"/>
    <w:rsid w:val="006C2018"/>
    <w:rsid w:val="006C245B"/>
    <w:rsid w:val="006C246C"/>
    <w:rsid w:val="006C278E"/>
    <w:rsid w:val="006C28B4"/>
    <w:rsid w:val="006C297F"/>
    <w:rsid w:val="006C2B84"/>
    <w:rsid w:val="006C2EC1"/>
    <w:rsid w:val="006C2EFD"/>
    <w:rsid w:val="006C2F88"/>
    <w:rsid w:val="006C31ED"/>
    <w:rsid w:val="006C333F"/>
    <w:rsid w:val="006C34A4"/>
    <w:rsid w:val="006C375C"/>
    <w:rsid w:val="006C3820"/>
    <w:rsid w:val="006C3885"/>
    <w:rsid w:val="006C399C"/>
    <w:rsid w:val="006C3BE3"/>
    <w:rsid w:val="006C3C81"/>
    <w:rsid w:val="006C3D21"/>
    <w:rsid w:val="006C3ED7"/>
    <w:rsid w:val="006C3EF8"/>
    <w:rsid w:val="006C40A1"/>
    <w:rsid w:val="006C4711"/>
    <w:rsid w:val="006C4766"/>
    <w:rsid w:val="006C480E"/>
    <w:rsid w:val="006C4A81"/>
    <w:rsid w:val="006C4B18"/>
    <w:rsid w:val="006C4BDE"/>
    <w:rsid w:val="006C4E46"/>
    <w:rsid w:val="006C4FA4"/>
    <w:rsid w:val="006C52D2"/>
    <w:rsid w:val="006C5315"/>
    <w:rsid w:val="006C5323"/>
    <w:rsid w:val="006C53C8"/>
    <w:rsid w:val="006C55D6"/>
    <w:rsid w:val="006C5858"/>
    <w:rsid w:val="006C58FD"/>
    <w:rsid w:val="006C5AB9"/>
    <w:rsid w:val="006C5BB9"/>
    <w:rsid w:val="006C5C64"/>
    <w:rsid w:val="006C5D5E"/>
    <w:rsid w:val="006C5D9B"/>
    <w:rsid w:val="006C5DCD"/>
    <w:rsid w:val="006C5FC9"/>
    <w:rsid w:val="006C610D"/>
    <w:rsid w:val="006C61A7"/>
    <w:rsid w:val="006C6203"/>
    <w:rsid w:val="006C62E1"/>
    <w:rsid w:val="006C6655"/>
    <w:rsid w:val="006C6690"/>
    <w:rsid w:val="006C66D1"/>
    <w:rsid w:val="006C69CA"/>
    <w:rsid w:val="006C6C8A"/>
    <w:rsid w:val="006C6C9B"/>
    <w:rsid w:val="006C6D83"/>
    <w:rsid w:val="006C6E5A"/>
    <w:rsid w:val="006C6F2C"/>
    <w:rsid w:val="006C715F"/>
    <w:rsid w:val="006C71DA"/>
    <w:rsid w:val="006C748A"/>
    <w:rsid w:val="006C7A07"/>
    <w:rsid w:val="006C7A15"/>
    <w:rsid w:val="006C7B47"/>
    <w:rsid w:val="006D00CF"/>
    <w:rsid w:val="006D0141"/>
    <w:rsid w:val="006D054E"/>
    <w:rsid w:val="006D06D9"/>
    <w:rsid w:val="006D0740"/>
    <w:rsid w:val="006D0A10"/>
    <w:rsid w:val="006D0A43"/>
    <w:rsid w:val="006D0B48"/>
    <w:rsid w:val="006D0DD7"/>
    <w:rsid w:val="006D0E3D"/>
    <w:rsid w:val="006D1179"/>
    <w:rsid w:val="006D11B6"/>
    <w:rsid w:val="006D12F1"/>
    <w:rsid w:val="006D148E"/>
    <w:rsid w:val="006D193F"/>
    <w:rsid w:val="006D1A20"/>
    <w:rsid w:val="006D1B3A"/>
    <w:rsid w:val="006D1B63"/>
    <w:rsid w:val="006D1E73"/>
    <w:rsid w:val="006D1F14"/>
    <w:rsid w:val="006D200B"/>
    <w:rsid w:val="006D206C"/>
    <w:rsid w:val="006D20D3"/>
    <w:rsid w:val="006D2391"/>
    <w:rsid w:val="006D2402"/>
    <w:rsid w:val="006D256C"/>
    <w:rsid w:val="006D257B"/>
    <w:rsid w:val="006D2AA3"/>
    <w:rsid w:val="006D2B17"/>
    <w:rsid w:val="006D2D83"/>
    <w:rsid w:val="006D2DA1"/>
    <w:rsid w:val="006D2FEB"/>
    <w:rsid w:val="006D2FF0"/>
    <w:rsid w:val="006D3125"/>
    <w:rsid w:val="006D31C6"/>
    <w:rsid w:val="006D32F1"/>
    <w:rsid w:val="006D3537"/>
    <w:rsid w:val="006D3832"/>
    <w:rsid w:val="006D3954"/>
    <w:rsid w:val="006D3AE3"/>
    <w:rsid w:val="006D3AFE"/>
    <w:rsid w:val="006D3FD6"/>
    <w:rsid w:val="006D4003"/>
    <w:rsid w:val="006D40C9"/>
    <w:rsid w:val="006D4111"/>
    <w:rsid w:val="006D413A"/>
    <w:rsid w:val="006D41E4"/>
    <w:rsid w:val="006D43BD"/>
    <w:rsid w:val="006D479B"/>
    <w:rsid w:val="006D481C"/>
    <w:rsid w:val="006D4837"/>
    <w:rsid w:val="006D4904"/>
    <w:rsid w:val="006D4D66"/>
    <w:rsid w:val="006D52EC"/>
    <w:rsid w:val="006D55AE"/>
    <w:rsid w:val="006D56AF"/>
    <w:rsid w:val="006D59C5"/>
    <w:rsid w:val="006D5B75"/>
    <w:rsid w:val="006D5F5B"/>
    <w:rsid w:val="006D5FB7"/>
    <w:rsid w:val="006D602C"/>
    <w:rsid w:val="006D60AB"/>
    <w:rsid w:val="006D60E9"/>
    <w:rsid w:val="006D6195"/>
    <w:rsid w:val="006D6548"/>
    <w:rsid w:val="006D6595"/>
    <w:rsid w:val="006D69D0"/>
    <w:rsid w:val="006D6B47"/>
    <w:rsid w:val="006D6BFD"/>
    <w:rsid w:val="006D6DBA"/>
    <w:rsid w:val="006D6E84"/>
    <w:rsid w:val="006D7194"/>
    <w:rsid w:val="006D72F6"/>
    <w:rsid w:val="006D735C"/>
    <w:rsid w:val="006D73DD"/>
    <w:rsid w:val="006D7812"/>
    <w:rsid w:val="006D7C6D"/>
    <w:rsid w:val="006D7C80"/>
    <w:rsid w:val="006D7D5B"/>
    <w:rsid w:val="006E0035"/>
    <w:rsid w:val="006E016C"/>
    <w:rsid w:val="006E0198"/>
    <w:rsid w:val="006E01C2"/>
    <w:rsid w:val="006E0252"/>
    <w:rsid w:val="006E0300"/>
    <w:rsid w:val="006E0630"/>
    <w:rsid w:val="006E071A"/>
    <w:rsid w:val="006E0897"/>
    <w:rsid w:val="006E0B89"/>
    <w:rsid w:val="006E0C40"/>
    <w:rsid w:val="006E0C88"/>
    <w:rsid w:val="006E0DCB"/>
    <w:rsid w:val="006E0F44"/>
    <w:rsid w:val="006E0F48"/>
    <w:rsid w:val="006E1253"/>
    <w:rsid w:val="006E1678"/>
    <w:rsid w:val="006E16D9"/>
    <w:rsid w:val="006E17A2"/>
    <w:rsid w:val="006E1AA7"/>
    <w:rsid w:val="006E1ACE"/>
    <w:rsid w:val="006E1B00"/>
    <w:rsid w:val="006E1B14"/>
    <w:rsid w:val="006E1B1D"/>
    <w:rsid w:val="006E1C4F"/>
    <w:rsid w:val="006E1D18"/>
    <w:rsid w:val="006E1E5E"/>
    <w:rsid w:val="006E22FE"/>
    <w:rsid w:val="006E2872"/>
    <w:rsid w:val="006E2889"/>
    <w:rsid w:val="006E2C6E"/>
    <w:rsid w:val="006E2CB3"/>
    <w:rsid w:val="006E2D46"/>
    <w:rsid w:val="006E2FF1"/>
    <w:rsid w:val="006E313C"/>
    <w:rsid w:val="006E314F"/>
    <w:rsid w:val="006E3518"/>
    <w:rsid w:val="006E35C8"/>
    <w:rsid w:val="006E3665"/>
    <w:rsid w:val="006E36EB"/>
    <w:rsid w:val="006E3AFC"/>
    <w:rsid w:val="006E3B8B"/>
    <w:rsid w:val="006E3FE8"/>
    <w:rsid w:val="006E4059"/>
    <w:rsid w:val="006E4134"/>
    <w:rsid w:val="006E4423"/>
    <w:rsid w:val="006E4B79"/>
    <w:rsid w:val="006E4BB4"/>
    <w:rsid w:val="006E4D86"/>
    <w:rsid w:val="006E4DAE"/>
    <w:rsid w:val="006E4F2B"/>
    <w:rsid w:val="006E4F58"/>
    <w:rsid w:val="006E5079"/>
    <w:rsid w:val="006E50C8"/>
    <w:rsid w:val="006E51C0"/>
    <w:rsid w:val="006E51EC"/>
    <w:rsid w:val="006E5285"/>
    <w:rsid w:val="006E532E"/>
    <w:rsid w:val="006E560F"/>
    <w:rsid w:val="006E5769"/>
    <w:rsid w:val="006E58B4"/>
    <w:rsid w:val="006E5ABD"/>
    <w:rsid w:val="006E5C79"/>
    <w:rsid w:val="006E5E5B"/>
    <w:rsid w:val="006E5ED0"/>
    <w:rsid w:val="006E5F74"/>
    <w:rsid w:val="006E6179"/>
    <w:rsid w:val="006E617E"/>
    <w:rsid w:val="006E61FA"/>
    <w:rsid w:val="006E6626"/>
    <w:rsid w:val="006E66AE"/>
    <w:rsid w:val="006E66EF"/>
    <w:rsid w:val="006E66FF"/>
    <w:rsid w:val="006E67F0"/>
    <w:rsid w:val="006E681E"/>
    <w:rsid w:val="006E6969"/>
    <w:rsid w:val="006E6BAC"/>
    <w:rsid w:val="006E6F1B"/>
    <w:rsid w:val="006E70FC"/>
    <w:rsid w:val="006E72B3"/>
    <w:rsid w:val="006E7324"/>
    <w:rsid w:val="006E76C0"/>
    <w:rsid w:val="006E77E5"/>
    <w:rsid w:val="006E791D"/>
    <w:rsid w:val="006E7946"/>
    <w:rsid w:val="006E79D8"/>
    <w:rsid w:val="006E7AF7"/>
    <w:rsid w:val="006E7C68"/>
    <w:rsid w:val="006F0109"/>
    <w:rsid w:val="006F01BA"/>
    <w:rsid w:val="006F0222"/>
    <w:rsid w:val="006F02CB"/>
    <w:rsid w:val="006F0438"/>
    <w:rsid w:val="006F08F4"/>
    <w:rsid w:val="006F0B59"/>
    <w:rsid w:val="006F0C2A"/>
    <w:rsid w:val="006F0CC3"/>
    <w:rsid w:val="006F0D49"/>
    <w:rsid w:val="006F0E04"/>
    <w:rsid w:val="006F10B0"/>
    <w:rsid w:val="006F10C6"/>
    <w:rsid w:val="006F115F"/>
    <w:rsid w:val="006F12B0"/>
    <w:rsid w:val="006F14A9"/>
    <w:rsid w:val="006F1612"/>
    <w:rsid w:val="006F172B"/>
    <w:rsid w:val="006F181B"/>
    <w:rsid w:val="006F1B48"/>
    <w:rsid w:val="006F1B90"/>
    <w:rsid w:val="006F1D05"/>
    <w:rsid w:val="006F1DC1"/>
    <w:rsid w:val="006F1F49"/>
    <w:rsid w:val="006F1FAB"/>
    <w:rsid w:val="006F20E6"/>
    <w:rsid w:val="006F2120"/>
    <w:rsid w:val="006F22C8"/>
    <w:rsid w:val="006F2417"/>
    <w:rsid w:val="006F2484"/>
    <w:rsid w:val="006F285E"/>
    <w:rsid w:val="006F2939"/>
    <w:rsid w:val="006F2AFD"/>
    <w:rsid w:val="006F2D2A"/>
    <w:rsid w:val="006F2F6A"/>
    <w:rsid w:val="006F2FE3"/>
    <w:rsid w:val="006F32EA"/>
    <w:rsid w:val="006F3352"/>
    <w:rsid w:val="006F3D13"/>
    <w:rsid w:val="006F3FC8"/>
    <w:rsid w:val="006F4139"/>
    <w:rsid w:val="006F41A5"/>
    <w:rsid w:val="006F4442"/>
    <w:rsid w:val="006F4549"/>
    <w:rsid w:val="006F48AE"/>
    <w:rsid w:val="006F48EF"/>
    <w:rsid w:val="006F4C7E"/>
    <w:rsid w:val="006F4C98"/>
    <w:rsid w:val="006F4E47"/>
    <w:rsid w:val="006F5176"/>
    <w:rsid w:val="006F538F"/>
    <w:rsid w:val="006F5444"/>
    <w:rsid w:val="006F5553"/>
    <w:rsid w:val="006F58A5"/>
    <w:rsid w:val="006F5961"/>
    <w:rsid w:val="006F598C"/>
    <w:rsid w:val="006F5C9D"/>
    <w:rsid w:val="006F5FDC"/>
    <w:rsid w:val="006F6067"/>
    <w:rsid w:val="006F6072"/>
    <w:rsid w:val="006F60EF"/>
    <w:rsid w:val="006F6381"/>
    <w:rsid w:val="006F67A4"/>
    <w:rsid w:val="006F68F1"/>
    <w:rsid w:val="006F6985"/>
    <w:rsid w:val="006F6A49"/>
    <w:rsid w:val="006F6B44"/>
    <w:rsid w:val="006F6B52"/>
    <w:rsid w:val="006F6CA9"/>
    <w:rsid w:val="006F6D05"/>
    <w:rsid w:val="006F6FE6"/>
    <w:rsid w:val="006F70DA"/>
    <w:rsid w:val="006F73A4"/>
    <w:rsid w:val="006F73B5"/>
    <w:rsid w:val="006F73C6"/>
    <w:rsid w:val="006F7443"/>
    <w:rsid w:val="006F74BB"/>
    <w:rsid w:val="006F7558"/>
    <w:rsid w:val="006F77FB"/>
    <w:rsid w:val="006F79BA"/>
    <w:rsid w:val="006F7AC0"/>
    <w:rsid w:val="006F7C94"/>
    <w:rsid w:val="006F7F17"/>
    <w:rsid w:val="00700228"/>
    <w:rsid w:val="00700235"/>
    <w:rsid w:val="00700736"/>
    <w:rsid w:val="00700977"/>
    <w:rsid w:val="00700ACB"/>
    <w:rsid w:val="00700CA5"/>
    <w:rsid w:val="00700EBF"/>
    <w:rsid w:val="00700F8B"/>
    <w:rsid w:val="00700FFA"/>
    <w:rsid w:val="00701219"/>
    <w:rsid w:val="00701264"/>
    <w:rsid w:val="007012E7"/>
    <w:rsid w:val="00701356"/>
    <w:rsid w:val="007013BA"/>
    <w:rsid w:val="00701677"/>
    <w:rsid w:val="0070179D"/>
    <w:rsid w:val="007017A8"/>
    <w:rsid w:val="00701A23"/>
    <w:rsid w:val="00701DEA"/>
    <w:rsid w:val="007022AB"/>
    <w:rsid w:val="007023BF"/>
    <w:rsid w:val="007023C0"/>
    <w:rsid w:val="007023F2"/>
    <w:rsid w:val="0070249F"/>
    <w:rsid w:val="0070260C"/>
    <w:rsid w:val="00702627"/>
    <w:rsid w:val="007026C5"/>
    <w:rsid w:val="007027EC"/>
    <w:rsid w:val="00702A57"/>
    <w:rsid w:val="00702A90"/>
    <w:rsid w:val="00702B09"/>
    <w:rsid w:val="00702B2B"/>
    <w:rsid w:val="00702C97"/>
    <w:rsid w:val="00702DFF"/>
    <w:rsid w:val="00702E77"/>
    <w:rsid w:val="00703055"/>
    <w:rsid w:val="00703167"/>
    <w:rsid w:val="007033D4"/>
    <w:rsid w:val="007035E6"/>
    <w:rsid w:val="0070364A"/>
    <w:rsid w:val="007039F7"/>
    <w:rsid w:val="00703F37"/>
    <w:rsid w:val="0070406F"/>
    <w:rsid w:val="00704086"/>
    <w:rsid w:val="007042EC"/>
    <w:rsid w:val="007044D9"/>
    <w:rsid w:val="0070466C"/>
    <w:rsid w:val="007048F9"/>
    <w:rsid w:val="0070495A"/>
    <w:rsid w:val="0070495F"/>
    <w:rsid w:val="007049DC"/>
    <w:rsid w:val="00704A8A"/>
    <w:rsid w:val="00704B32"/>
    <w:rsid w:val="00704BBD"/>
    <w:rsid w:val="00704CE8"/>
    <w:rsid w:val="00704F4C"/>
    <w:rsid w:val="00705126"/>
    <w:rsid w:val="007053B9"/>
    <w:rsid w:val="007054E1"/>
    <w:rsid w:val="007055CD"/>
    <w:rsid w:val="0070570E"/>
    <w:rsid w:val="007057D2"/>
    <w:rsid w:val="0070588D"/>
    <w:rsid w:val="00705BC9"/>
    <w:rsid w:val="00705D8B"/>
    <w:rsid w:val="00705F09"/>
    <w:rsid w:val="00705F73"/>
    <w:rsid w:val="00705FAF"/>
    <w:rsid w:val="007063BD"/>
    <w:rsid w:val="00706554"/>
    <w:rsid w:val="00706931"/>
    <w:rsid w:val="00706947"/>
    <w:rsid w:val="00706A45"/>
    <w:rsid w:val="00706B58"/>
    <w:rsid w:val="00706DAF"/>
    <w:rsid w:val="00706F0D"/>
    <w:rsid w:val="00706F78"/>
    <w:rsid w:val="00707142"/>
    <w:rsid w:val="0070721B"/>
    <w:rsid w:val="0070738C"/>
    <w:rsid w:val="00707439"/>
    <w:rsid w:val="00707549"/>
    <w:rsid w:val="00707705"/>
    <w:rsid w:val="0070797B"/>
    <w:rsid w:val="00707AB2"/>
    <w:rsid w:val="00707D04"/>
    <w:rsid w:val="00710181"/>
    <w:rsid w:val="007102D3"/>
    <w:rsid w:val="007102F3"/>
    <w:rsid w:val="00710358"/>
    <w:rsid w:val="007103BA"/>
    <w:rsid w:val="0071091E"/>
    <w:rsid w:val="00710933"/>
    <w:rsid w:val="007109E5"/>
    <w:rsid w:val="00710AB6"/>
    <w:rsid w:val="00710AFF"/>
    <w:rsid w:val="00710B51"/>
    <w:rsid w:val="00710B5B"/>
    <w:rsid w:val="00710B5C"/>
    <w:rsid w:val="00710C67"/>
    <w:rsid w:val="00710C7A"/>
    <w:rsid w:val="00710D40"/>
    <w:rsid w:val="00710DA7"/>
    <w:rsid w:val="00710DD3"/>
    <w:rsid w:val="00710ED7"/>
    <w:rsid w:val="00710F35"/>
    <w:rsid w:val="00710FB8"/>
    <w:rsid w:val="00710FE5"/>
    <w:rsid w:val="00710FE9"/>
    <w:rsid w:val="007110F1"/>
    <w:rsid w:val="0071128F"/>
    <w:rsid w:val="00711386"/>
    <w:rsid w:val="007114A5"/>
    <w:rsid w:val="0071163E"/>
    <w:rsid w:val="00711905"/>
    <w:rsid w:val="00711A4F"/>
    <w:rsid w:val="00711E44"/>
    <w:rsid w:val="00711F4F"/>
    <w:rsid w:val="00712343"/>
    <w:rsid w:val="007124D3"/>
    <w:rsid w:val="00712524"/>
    <w:rsid w:val="00712648"/>
    <w:rsid w:val="0071264C"/>
    <w:rsid w:val="007128BE"/>
    <w:rsid w:val="00712941"/>
    <w:rsid w:val="00712945"/>
    <w:rsid w:val="0071295C"/>
    <w:rsid w:val="00712A1E"/>
    <w:rsid w:val="00712E31"/>
    <w:rsid w:val="00712EE2"/>
    <w:rsid w:val="0071302A"/>
    <w:rsid w:val="0071304C"/>
    <w:rsid w:val="00713138"/>
    <w:rsid w:val="00713272"/>
    <w:rsid w:val="00713487"/>
    <w:rsid w:val="007134B1"/>
    <w:rsid w:val="0071350C"/>
    <w:rsid w:val="00713807"/>
    <w:rsid w:val="0071384E"/>
    <w:rsid w:val="00713891"/>
    <w:rsid w:val="00713895"/>
    <w:rsid w:val="00713BC2"/>
    <w:rsid w:val="00713BFA"/>
    <w:rsid w:val="00713CB0"/>
    <w:rsid w:val="00713D38"/>
    <w:rsid w:val="00713D8B"/>
    <w:rsid w:val="0071404C"/>
    <w:rsid w:val="00714110"/>
    <w:rsid w:val="007141EB"/>
    <w:rsid w:val="007144D3"/>
    <w:rsid w:val="007145BD"/>
    <w:rsid w:val="0071482C"/>
    <w:rsid w:val="00714860"/>
    <w:rsid w:val="0071498B"/>
    <w:rsid w:val="00714997"/>
    <w:rsid w:val="00714A3B"/>
    <w:rsid w:val="00714A84"/>
    <w:rsid w:val="00714B31"/>
    <w:rsid w:val="00714C10"/>
    <w:rsid w:val="00714DEB"/>
    <w:rsid w:val="00714DFD"/>
    <w:rsid w:val="00714E55"/>
    <w:rsid w:val="00714E65"/>
    <w:rsid w:val="00714E70"/>
    <w:rsid w:val="00715043"/>
    <w:rsid w:val="007151CA"/>
    <w:rsid w:val="00715286"/>
    <w:rsid w:val="007152F4"/>
    <w:rsid w:val="00715768"/>
    <w:rsid w:val="00715A27"/>
    <w:rsid w:val="00715B7B"/>
    <w:rsid w:val="00715BA5"/>
    <w:rsid w:val="00715FCD"/>
    <w:rsid w:val="00716099"/>
    <w:rsid w:val="00716556"/>
    <w:rsid w:val="007166D1"/>
    <w:rsid w:val="0071686D"/>
    <w:rsid w:val="0071693A"/>
    <w:rsid w:val="00716C82"/>
    <w:rsid w:val="00716D23"/>
    <w:rsid w:val="00717046"/>
    <w:rsid w:val="00717120"/>
    <w:rsid w:val="0071752D"/>
    <w:rsid w:val="007175AE"/>
    <w:rsid w:val="007175C4"/>
    <w:rsid w:val="007175D0"/>
    <w:rsid w:val="0071766B"/>
    <w:rsid w:val="00717759"/>
    <w:rsid w:val="007177ED"/>
    <w:rsid w:val="007178FE"/>
    <w:rsid w:val="0071795F"/>
    <w:rsid w:val="0071796D"/>
    <w:rsid w:val="00717ACD"/>
    <w:rsid w:val="00717B0D"/>
    <w:rsid w:val="00717F59"/>
    <w:rsid w:val="00717F92"/>
    <w:rsid w:val="00720195"/>
    <w:rsid w:val="007201C8"/>
    <w:rsid w:val="0072024D"/>
    <w:rsid w:val="0072039B"/>
    <w:rsid w:val="007204F3"/>
    <w:rsid w:val="00720596"/>
    <w:rsid w:val="007207E3"/>
    <w:rsid w:val="00720812"/>
    <w:rsid w:val="00720833"/>
    <w:rsid w:val="00720834"/>
    <w:rsid w:val="00720A7F"/>
    <w:rsid w:val="00720B20"/>
    <w:rsid w:val="00720C14"/>
    <w:rsid w:val="00720F68"/>
    <w:rsid w:val="00720FED"/>
    <w:rsid w:val="007210D1"/>
    <w:rsid w:val="007210F5"/>
    <w:rsid w:val="0072149F"/>
    <w:rsid w:val="0072171B"/>
    <w:rsid w:val="0072172A"/>
    <w:rsid w:val="00721778"/>
    <w:rsid w:val="00721B16"/>
    <w:rsid w:val="00721B75"/>
    <w:rsid w:val="00721C1A"/>
    <w:rsid w:val="00721C7A"/>
    <w:rsid w:val="00721DC4"/>
    <w:rsid w:val="00721E27"/>
    <w:rsid w:val="0072227A"/>
    <w:rsid w:val="0072246E"/>
    <w:rsid w:val="00722474"/>
    <w:rsid w:val="0072255C"/>
    <w:rsid w:val="00722680"/>
    <w:rsid w:val="0072279F"/>
    <w:rsid w:val="00722C05"/>
    <w:rsid w:val="00722CFE"/>
    <w:rsid w:val="00722D36"/>
    <w:rsid w:val="00722F16"/>
    <w:rsid w:val="0072302C"/>
    <w:rsid w:val="007230BF"/>
    <w:rsid w:val="00723153"/>
    <w:rsid w:val="0072315F"/>
    <w:rsid w:val="007231A4"/>
    <w:rsid w:val="00723239"/>
    <w:rsid w:val="007234D7"/>
    <w:rsid w:val="0072357B"/>
    <w:rsid w:val="00723730"/>
    <w:rsid w:val="00723747"/>
    <w:rsid w:val="007237C4"/>
    <w:rsid w:val="007237F2"/>
    <w:rsid w:val="007238B8"/>
    <w:rsid w:val="00723946"/>
    <w:rsid w:val="007239E6"/>
    <w:rsid w:val="00723B64"/>
    <w:rsid w:val="00723C5D"/>
    <w:rsid w:val="00723EEB"/>
    <w:rsid w:val="007240B0"/>
    <w:rsid w:val="007241D7"/>
    <w:rsid w:val="00724326"/>
    <w:rsid w:val="0072434A"/>
    <w:rsid w:val="007243D4"/>
    <w:rsid w:val="007245B1"/>
    <w:rsid w:val="0072460E"/>
    <w:rsid w:val="00724A7B"/>
    <w:rsid w:val="00724A83"/>
    <w:rsid w:val="00724C19"/>
    <w:rsid w:val="00724C2E"/>
    <w:rsid w:val="00724CF8"/>
    <w:rsid w:val="00724D5D"/>
    <w:rsid w:val="00724D67"/>
    <w:rsid w:val="00724DAD"/>
    <w:rsid w:val="0072506F"/>
    <w:rsid w:val="007250FF"/>
    <w:rsid w:val="00725361"/>
    <w:rsid w:val="007257CC"/>
    <w:rsid w:val="00725820"/>
    <w:rsid w:val="00725B0D"/>
    <w:rsid w:val="00725BA1"/>
    <w:rsid w:val="00725C7A"/>
    <w:rsid w:val="00725DFE"/>
    <w:rsid w:val="0072619E"/>
    <w:rsid w:val="007261E0"/>
    <w:rsid w:val="007261E3"/>
    <w:rsid w:val="00726288"/>
    <w:rsid w:val="0072633E"/>
    <w:rsid w:val="007264EE"/>
    <w:rsid w:val="007265B5"/>
    <w:rsid w:val="007269DC"/>
    <w:rsid w:val="00726BD4"/>
    <w:rsid w:val="00727095"/>
    <w:rsid w:val="007276E6"/>
    <w:rsid w:val="007277B3"/>
    <w:rsid w:val="00727A28"/>
    <w:rsid w:val="00727A60"/>
    <w:rsid w:val="00727AAD"/>
    <w:rsid w:val="00727AC1"/>
    <w:rsid w:val="00727B0C"/>
    <w:rsid w:val="00727C1B"/>
    <w:rsid w:val="00727C7E"/>
    <w:rsid w:val="00727D0D"/>
    <w:rsid w:val="00727D9D"/>
    <w:rsid w:val="00727E3F"/>
    <w:rsid w:val="00727ED0"/>
    <w:rsid w:val="00727F3C"/>
    <w:rsid w:val="00727F87"/>
    <w:rsid w:val="007301C8"/>
    <w:rsid w:val="00730232"/>
    <w:rsid w:val="007302FB"/>
    <w:rsid w:val="00730363"/>
    <w:rsid w:val="00730430"/>
    <w:rsid w:val="0073043C"/>
    <w:rsid w:val="007304DD"/>
    <w:rsid w:val="00730536"/>
    <w:rsid w:val="00730566"/>
    <w:rsid w:val="00730750"/>
    <w:rsid w:val="007307F5"/>
    <w:rsid w:val="00730805"/>
    <w:rsid w:val="00730A68"/>
    <w:rsid w:val="00730CBC"/>
    <w:rsid w:val="00730E4F"/>
    <w:rsid w:val="00730F27"/>
    <w:rsid w:val="007311AE"/>
    <w:rsid w:val="00731548"/>
    <w:rsid w:val="0073226A"/>
    <w:rsid w:val="00732306"/>
    <w:rsid w:val="0073240A"/>
    <w:rsid w:val="0073257E"/>
    <w:rsid w:val="0073262D"/>
    <w:rsid w:val="00732662"/>
    <w:rsid w:val="00732AD2"/>
    <w:rsid w:val="00732B49"/>
    <w:rsid w:val="00732B93"/>
    <w:rsid w:val="00732BB4"/>
    <w:rsid w:val="0073313A"/>
    <w:rsid w:val="007332C8"/>
    <w:rsid w:val="007333DD"/>
    <w:rsid w:val="0073343B"/>
    <w:rsid w:val="00733545"/>
    <w:rsid w:val="00733702"/>
    <w:rsid w:val="00733967"/>
    <w:rsid w:val="00733FEC"/>
    <w:rsid w:val="007341DD"/>
    <w:rsid w:val="007342B0"/>
    <w:rsid w:val="007342D3"/>
    <w:rsid w:val="00734338"/>
    <w:rsid w:val="0073438E"/>
    <w:rsid w:val="0073451A"/>
    <w:rsid w:val="0073478D"/>
    <w:rsid w:val="007348FA"/>
    <w:rsid w:val="007349A7"/>
    <w:rsid w:val="00734A1D"/>
    <w:rsid w:val="00734C3A"/>
    <w:rsid w:val="00734F63"/>
    <w:rsid w:val="00735388"/>
    <w:rsid w:val="0073538D"/>
    <w:rsid w:val="00735403"/>
    <w:rsid w:val="0073581B"/>
    <w:rsid w:val="00735832"/>
    <w:rsid w:val="00735871"/>
    <w:rsid w:val="0073597F"/>
    <w:rsid w:val="007360C5"/>
    <w:rsid w:val="00736629"/>
    <w:rsid w:val="00736690"/>
    <w:rsid w:val="0073682E"/>
    <w:rsid w:val="00736AFB"/>
    <w:rsid w:val="00736B4F"/>
    <w:rsid w:val="00736B58"/>
    <w:rsid w:val="00736B72"/>
    <w:rsid w:val="00736D03"/>
    <w:rsid w:val="00736D0F"/>
    <w:rsid w:val="00736E9C"/>
    <w:rsid w:val="00736EA9"/>
    <w:rsid w:val="0073704D"/>
    <w:rsid w:val="007370CC"/>
    <w:rsid w:val="00737150"/>
    <w:rsid w:val="0073734A"/>
    <w:rsid w:val="007373D4"/>
    <w:rsid w:val="00737499"/>
    <w:rsid w:val="00737688"/>
    <w:rsid w:val="00737762"/>
    <w:rsid w:val="00737A13"/>
    <w:rsid w:val="00737B78"/>
    <w:rsid w:val="00737C34"/>
    <w:rsid w:val="00737C4A"/>
    <w:rsid w:val="00737C4B"/>
    <w:rsid w:val="00737E32"/>
    <w:rsid w:val="00740045"/>
    <w:rsid w:val="00740064"/>
    <w:rsid w:val="007400C5"/>
    <w:rsid w:val="007401AE"/>
    <w:rsid w:val="0074036F"/>
    <w:rsid w:val="007406CE"/>
    <w:rsid w:val="007407E5"/>
    <w:rsid w:val="00740830"/>
    <w:rsid w:val="00740A3A"/>
    <w:rsid w:val="00740A3E"/>
    <w:rsid w:val="00740C2B"/>
    <w:rsid w:val="00740D5D"/>
    <w:rsid w:val="00740EAC"/>
    <w:rsid w:val="00740FFE"/>
    <w:rsid w:val="00741050"/>
    <w:rsid w:val="007410A0"/>
    <w:rsid w:val="007410B4"/>
    <w:rsid w:val="007412E0"/>
    <w:rsid w:val="007413C8"/>
    <w:rsid w:val="00741407"/>
    <w:rsid w:val="0074143F"/>
    <w:rsid w:val="007415EF"/>
    <w:rsid w:val="00741659"/>
    <w:rsid w:val="0074167E"/>
    <w:rsid w:val="007416F9"/>
    <w:rsid w:val="0074184A"/>
    <w:rsid w:val="0074192E"/>
    <w:rsid w:val="00741AA2"/>
    <w:rsid w:val="00741C14"/>
    <w:rsid w:val="00741C77"/>
    <w:rsid w:val="00741D42"/>
    <w:rsid w:val="00741E4A"/>
    <w:rsid w:val="00741EE6"/>
    <w:rsid w:val="00742160"/>
    <w:rsid w:val="00742190"/>
    <w:rsid w:val="00742219"/>
    <w:rsid w:val="00742293"/>
    <w:rsid w:val="007422F3"/>
    <w:rsid w:val="007424A4"/>
    <w:rsid w:val="007426B5"/>
    <w:rsid w:val="0074280A"/>
    <w:rsid w:val="0074283B"/>
    <w:rsid w:val="0074298A"/>
    <w:rsid w:val="00742B71"/>
    <w:rsid w:val="00742D10"/>
    <w:rsid w:val="00742D6C"/>
    <w:rsid w:val="00742DD0"/>
    <w:rsid w:val="00743221"/>
    <w:rsid w:val="007432C4"/>
    <w:rsid w:val="007432E3"/>
    <w:rsid w:val="00743331"/>
    <w:rsid w:val="007433C4"/>
    <w:rsid w:val="00743469"/>
    <w:rsid w:val="0074346D"/>
    <w:rsid w:val="00743487"/>
    <w:rsid w:val="00743527"/>
    <w:rsid w:val="00743810"/>
    <w:rsid w:val="0074390E"/>
    <w:rsid w:val="00743955"/>
    <w:rsid w:val="00743A57"/>
    <w:rsid w:val="00743D13"/>
    <w:rsid w:val="00743DB7"/>
    <w:rsid w:val="00743E78"/>
    <w:rsid w:val="00743EE5"/>
    <w:rsid w:val="00743F7E"/>
    <w:rsid w:val="0074407D"/>
    <w:rsid w:val="0074436E"/>
    <w:rsid w:val="007443BB"/>
    <w:rsid w:val="007444BC"/>
    <w:rsid w:val="007446F6"/>
    <w:rsid w:val="007447D4"/>
    <w:rsid w:val="0074488B"/>
    <w:rsid w:val="00744925"/>
    <w:rsid w:val="00744B51"/>
    <w:rsid w:val="00744C23"/>
    <w:rsid w:val="00744ED3"/>
    <w:rsid w:val="00744F56"/>
    <w:rsid w:val="00744F70"/>
    <w:rsid w:val="00745057"/>
    <w:rsid w:val="007450F3"/>
    <w:rsid w:val="0074522C"/>
    <w:rsid w:val="0074529C"/>
    <w:rsid w:val="0074532A"/>
    <w:rsid w:val="007454A7"/>
    <w:rsid w:val="007454FC"/>
    <w:rsid w:val="0074552D"/>
    <w:rsid w:val="007456C3"/>
    <w:rsid w:val="00745765"/>
    <w:rsid w:val="007458EB"/>
    <w:rsid w:val="00745A62"/>
    <w:rsid w:val="00745F1C"/>
    <w:rsid w:val="0074603A"/>
    <w:rsid w:val="007461C2"/>
    <w:rsid w:val="00746468"/>
    <w:rsid w:val="007466C2"/>
    <w:rsid w:val="007466D7"/>
    <w:rsid w:val="0074684F"/>
    <w:rsid w:val="00746A6D"/>
    <w:rsid w:val="00746CE2"/>
    <w:rsid w:val="00746DFD"/>
    <w:rsid w:val="00746F0B"/>
    <w:rsid w:val="00746F9A"/>
    <w:rsid w:val="0074717F"/>
    <w:rsid w:val="007474DF"/>
    <w:rsid w:val="00747943"/>
    <w:rsid w:val="00747DDD"/>
    <w:rsid w:val="00747E75"/>
    <w:rsid w:val="00747EC3"/>
    <w:rsid w:val="00750252"/>
    <w:rsid w:val="00750274"/>
    <w:rsid w:val="007503D7"/>
    <w:rsid w:val="007505CA"/>
    <w:rsid w:val="0075069C"/>
    <w:rsid w:val="00750779"/>
    <w:rsid w:val="00750B27"/>
    <w:rsid w:val="00750CFE"/>
    <w:rsid w:val="00750E76"/>
    <w:rsid w:val="00750F68"/>
    <w:rsid w:val="007510A5"/>
    <w:rsid w:val="007511F0"/>
    <w:rsid w:val="007512E1"/>
    <w:rsid w:val="00751343"/>
    <w:rsid w:val="007515E2"/>
    <w:rsid w:val="007515FB"/>
    <w:rsid w:val="00751BC0"/>
    <w:rsid w:val="00751D1B"/>
    <w:rsid w:val="00751DD4"/>
    <w:rsid w:val="00751E0E"/>
    <w:rsid w:val="00751F63"/>
    <w:rsid w:val="00752289"/>
    <w:rsid w:val="007523E4"/>
    <w:rsid w:val="00752515"/>
    <w:rsid w:val="00752575"/>
    <w:rsid w:val="0075264A"/>
    <w:rsid w:val="007527BE"/>
    <w:rsid w:val="0075289B"/>
    <w:rsid w:val="007528B6"/>
    <w:rsid w:val="00752AAB"/>
    <w:rsid w:val="00752D54"/>
    <w:rsid w:val="00752F34"/>
    <w:rsid w:val="0075302A"/>
    <w:rsid w:val="007531A0"/>
    <w:rsid w:val="00753240"/>
    <w:rsid w:val="007533FF"/>
    <w:rsid w:val="007535B3"/>
    <w:rsid w:val="00753A8A"/>
    <w:rsid w:val="00753AE9"/>
    <w:rsid w:val="00753B30"/>
    <w:rsid w:val="00753C2C"/>
    <w:rsid w:val="00753E05"/>
    <w:rsid w:val="00753E0A"/>
    <w:rsid w:val="00753EBD"/>
    <w:rsid w:val="00753F43"/>
    <w:rsid w:val="00754001"/>
    <w:rsid w:val="00754185"/>
    <w:rsid w:val="0075423E"/>
    <w:rsid w:val="0075452C"/>
    <w:rsid w:val="00754558"/>
    <w:rsid w:val="00754803"/>
    <w:rsid w:val="007548EF"/>
    <w:rsid w:val="00754A3E"/>
    <w:rsid w:val="00754AA1"/>
    <w:rsid w:val="00754CA6"/>
    <w:rsid w:val="00754E96"/>
    <w:rsid w:val="007551CB"/>
    <w:rsid w:val="00755595"/>
    <w:rsid w:val="0075573E"/>
    <w:rsid w:val="00755A16"/>
    <w:rsid w:val="00755A9D"/>
    <w:rsid w:val="00755B8F"/>
    <w:rsid w:val="00755F7C"/>
    <w:rsid w:val="007560F0"/>
    <w:rsid w:val="007563EA"/>
    <w:rsid w:val="007563F9"/>
    <w:rsid w:val="0075643B"/>
    <w:rsid w:val="00756790"/>
    <w:rsid w:val="007567F2"/>
    <w:rsid w:val="007568B3"/>
    <w:rsid w:val="007568F3"/>
    <w:rsid w:val="00756A18"/>
    <w:rsid w:val="00756B69"/>
    <w:rsid w:val="00756CEF"/>
    <w:rsid w:val="00756CF0"/>
    <w:rsid w:val="00756DAD"/>
    <w:rsid w:val="00756E17"/>
    <w:rsid w:val="007571C6"/>
    <w:rsid w:val="007575F9"/>
    <w:rsid w:val="007577B3"/>
    <w:rsid w:val="007577DE"/>
    <w:rsid w:val="007578CC"/>
    <w:rsid w:val="00757B37"/>
    <w:rsid w:val="00757C10"/>
    <w:rsid w:val="00757CDB"/>
    <w:rsid w:val="00757CDC"/>
    <w:rsid w:val="00757D71"/>
    <w:rsid w:val="0076004E"/>
    <w:rsid w:val="007601DA"/>
    <w:rsid w:val="00760342"/>
    <w:rsid w:val="007604B8"/>
    <w:rsid w:val="007606BC"/>
    <w:rsid w:val="007608D4"/>
    <w:rsid w:val="007608D7"/>
    <w:rsid w:val="0076093A"/>
    <w:rsid w:val="00760941"/>
    <w:rsid w:val="00760ADB"/>
    <w:rsid w:val="00760B33"/>
    <w:rsid w:val="00760CDE"/>
    <w:rsid w:val="00760D68"/>
    <w:rsid w:val="00760DC8"/>
    <w:rsid w:val="00760E2E"/>
    <w:rsid w:val="00760F69"/>
    <w:rsid w:val="00761067"/>
    <w:rsid w:val="007613EE"/>
    <w:rsid w:val="0076147B"/>
    <w:rsid w:val="007614B0"/>
    <w:rsid w:val="00761639"/>
    <w:rsid w:val="00761761"/>
    <w:rsid w:val="0076178A"/>
    <w:rsid w:val="00761945"/>
    <w:rsid w:val="00761BA3"/>
    <w:rsid w:val="00761ECA"/>
    <w:rsid w:val="0076226A"/>
    <w:rsid w:val="007624B1"/>
    <w:rsid w:val="00762A34"/>
    <w:rsid w:val="00762A87"/>
    <w:rsid w:val="00762B9C"/>
    <w:rsid w:val="00762BF3"/>
    <w:rsid w:val="00762DF1"/>
    <w:rsid w:val="00762E27"/>
    <w:rsid w:val="00762FC7"/>
    <w:rsid w:val="0076306E"/>
    <w:rsid w:val="007631E8"/>
    <w:rsid w:val="00763209"/>
    <w:rsid w:val="007634E8"/>
    <w:rsid w:val="00763500"/>
    <w:rsid w:val="00763573"/>
    <w:rsid w:val="00763721"/>
    <w:rsid w:val="007637A9"/>
    <w:rsid w:val="00763925"/>
    <w:rsid w:val="0076393A"/>
    <w:rsid w:val="007639D3"/>
    <w:rsid w:val="007639EB"/>
    <w:rsid w:val="00763B66"/>
    <w:rsid w:val="00763BD3"/>
    <w:rsid w:val="00763CE3"/>
    <w:rsid w:val="00763D40"/>
    <w:rsid w:val="00763FDF"/>
    <w:rsid w:val="0076402A"/>
    <w:rsid w:val="0076408B"/>
    <w:rsid w:val="00764226"/>
    <w:rsid w:val="00764279"/>
    <w:rsid w:val="007642A3"/>
    <w:rsid w:val="00764393"/>
    <w:rsid w:val="007647AC"/>
    <w:rsid w:val="00764857"/>
    <w:rsid w:val="0076496A"/>
    <w:rsid w:val="007649B7"/>
    <w:rsid w:val="00764C5C"/>
    <w:rsid w:val="00764ECD"/>
    <w:rsid w:val="00764EE4"/>
    <w:rsid w:val="007650CD"/>
    <w:rsid w:val="007650E4"/>
    <w:rsid w:val="007650F4"/>
    <w:rsid w:val="00765547"/>
    <w:rsid w:val="007656C4"/>
    <w:rsid w:val="00765B75"/>
    <w:rsid w:val="00765C13"/>
    <w:rsid w:val="00765C43"/>
    <w:rsid w:val="00765D53"/>
    <w:rsid w:val="0076604A"/>
    <w:rsid w:val="007660F0"/>
    <w:rsid w:val="007661EE"/>
    <w:rsid w:val="007662F4"/>
    <w:rsid w:val="00766421"/>
    <w:rsid w:val="0076688E"/>
    <w:rsid w:val="00766989"/>
    <w:rsid w:val="00766AC8"/>
    <w:rsid w:val="00766B02"/>
    <w:rsid w:val="00766BD8"/>
    <w:rsid w:val="00766E27"/>
    <w:rsid w:val="00766E47"/>
    <w:rsid w:val="00766ED2"/>
    <w:rsid w:val="00766F09"/>
    <w:rsid w:val="00766FE1"/>
    <w:rsid w:val="00767040"/>
    <w:rsid w:val="007670EB"/>
    <w:rsid w:val="0076710C"/>
    <w:rsid w:val="00767175"/>
    <w:rsid w:val="0076751B"/>
    <w:rsid w:val="0076756B"/>
    <w:rsid w:val="0076777C"/>
    <w:rsid w:val="00767CC8"/>
    <w:rsid w:val="00767E85"/>
    <w:rsid w:val="00767FF5"/>
    <w:rsid w:val="0077013A"/>
    <w:rsid w:val="00770146"/>
    <w:rsid w:val="007701A8"/>
    <w:rsid w:val="00770209"/>
    <w:rsid w:val="00770533"/>
    <w:rsid w:val="0077061B"/>
    <w:rsid w:val="00770683"/>
    <w:rsid w:val="007709D9"/>
    <w:rsid w:val="00770B40"/>
    <w:rsid w:val="00770F4C"/>
    <w:rsid w:val="00770F62"/>
    <w:rsid w:val="007711AF"/>
    <w:rsid w:val="00771349"/>
    <w:rsid w:val="007716C5"/>
    <w:rsid w:val="007719DB"/>
    <w:rsid w:val="00771A9E"/>
    <w:rsid w:val="00771B68"/>
    <w:rsid w:val="00771B81"/>
    <w:rsid w:val="00771C66"/>
    <w:rsid w:val="00771C83"/>
    <w:rsid w:val="00771DEB"/>
    <w:rsid w:val="00771EEE"/>
    <w:rsid w:val="00771F03"/>
    <w:rsid w:val="00771F4B"/>
    <w:rsid w:val="00771F5E"/>
    <w:rsid w:val="00772029"/>
    <w:rsid w:val="0077211F"/>
    <w:rsid w:val="0077243F"/>
    <w:rsid w:val="007724D1"/>
    <w:rsid w:val="00772656"/>
    <w:rsid w:val="007727BD"/>
    <w:rsid w:val="007727E6"/>
    <w:rsid w:val="00772853"/>
    <w:rsid w:val="007728BF"/>
    <w:rsid w:val="00772AE1"/>
    <w:rsid w:val="00772BDF"/>
    <w:rsid w:val="00772C24"/>
    <w:rsid w:val="00772C43"/>
    <w:rsid w:val="00772E34"/>
    <w:rsid w:val="00772F3B"/>
    <w:rsid w:val="0077307F"/>
    <w:rsid w:val="007730A6"/>
    <w:rsid w:val="007731BE"/>
    <w:rsid w:val="007733F7"/>
    <w:rsid w:val="00773443"/>
    <w:rsid w:val="00773607"/>
    <w:rsid w:val="00773677"/>
    <w:rsid w:val="00773824"/>
    <w:rsid w:val="007738A7"/>
    <w:rsid w:val="007739E4"/>
    <w:rsid w:val="00773A91"/>
    <w:rsid w:val="00773BA8"/>
    <w:rsid w:val="00773EDF"/>
    <w:rsid w:val="00773FC5"/>
    <w:rsid w:val="0077421C"/>
    <w:rsid w:val="00774421"/>
    <w:rsid w:val="0077451E"/>
    <w:rsid w:val="007745EE"/>
    <w:rsid w:val="0077472B"/>
    <w:rsid w:val="0077489C"/>
    <w:rsid w:val="0077496B"/>
    <w:rsid w:val="007749CF"/>
    <w:rsid w:val="00774A39"/>
    <w:rsid w:val="00774AE6"/>
    <w:rsid w:val="00774B96"/>
    <w:rsid w:val="00774D4F"/>
    <w:rsid w:val="00774E44"/>
    <w:rsid w:val="00774FAB"/>
    <w:rsid w:val="00775038"/>
    <w:rsid w:val="00775056"/>
    <w:rsid w:val="00775273"/>
    <w:rsid w:val="007757D9"/>
    <w:rsid w:val="007757F5"/>
    <w:rsid w:val="00775819"/>
    <w:rsid w:val="007759EC"/>
    <w:rsid w:val="00775AB8"/>
    <w:rsid w:val="00775B8A"/>
    <w:rsid w:val="00775BFA"/>
    <w:rsid w:val="00775F73"/>
    <w:rsid w:val="00776045"/>
    <w:rsid w:val="0077604A"/>
    <w:rsid w:val="00776305"/>
    <w:rsid w:val="00776342"/>
    <w:rsid w:val="0077650C"/>
    <w:rsid w:val="0077653B"/>
    <w:rsid w:val="00776668"/>
    <w:rsid w:val="00776A48"/>
    <w:rsid w:val="00776B08"/>
    <w:rsid w:val="00776CA9"/>
    <w:rsid w:val="00776CFE"/>
    <w:rsid w:val="00776E36"/>
    <w:rsid w:val="007770A8"/>
    <w:rsid w:val="0077719E"/>
    <w:rsid w:val="00777277"/>
    <w:rsid w:val="007772C0"/>
    <w:rsid w:val="00777386"/>
    <w:rsid w:val="00777459"/>
    <w:rsid w:val="0077747F"/>
    <w:rsid w:val="00777538"/>
    <w:rsid w:val="007776D3"/>
    <w:rsid w:val="00777A72"/>
    <w:rsid w:val="00777D10"/>
    <w:rsid w:val="00777DE3"/>
    <w:rsid w:val="00780291"/>
    <w:rsid w:val="00780303"/>
    <w:rsid w:val="0078055C"/>
    <w:rsid w:val="00780583"/>
    <w:rsid w:val="0078094E"/>
    <w:rsid w:val="00780A96"/>
    <w:rsid w:val="00780AEA"/>
    <w:rsid w:val="00780B03"/>
    <w:rsid w:val="00780B32"/>
    <w:rsid w:val="00780BAA"/>
    <w:rsid w:val="00780BAD"/>
    <w:rsid w:val="00780BFF"/>
    <w:rsid w:val="00780D6A"/>
    <w:rsid w:val="00780D9D"/>
    <w:rsid w:val="00780FEC"/>
    <w:rsid w:val="00781361"/>
    <w:rsid w:val="00781407"/>
    <w:rsid w:val="00781546"/>
    <w:rsid w:val="0078171D"/>
    <w:rsid w:val="00781867"/>
    <w:rsid w:val="007818BC"/>
    <w:rsid w:val="007819DC"/>
    <w:rsid w:val="007821FD"/>
    <w:rsid w:val="0078224D"/>
    <w:rsid w:val="007823E7"/>
    <w:rsid w:val="007824C2"/>
    <w:rsid w:val="00782613"/>
    <w:rsid w:val="00782661"/>
    <w:rsid w:val="0078267A"/>
    <w:rsid w:val="00782740"/>
    <w:rsid w:val="007827A5"/>
    <w:rsid w:val="0078286F"/>
    <w:rsid w:val="007828E5"/>
    <w:rsid w:val="00782B2C"/>
    <w:rsid w:val="00782B53"/>
    <w:rsid w:val="00782BB9"/>
    <w:rsid w:val="00782D15"/>
    <w:rsid w:val="00782EF2"/>
    <w:rsid w:val="00782FAB"/>
    <w:rsid w:val="00783099"/>
    <w:rsid w:val="00783172"/>
    <w:rsid w:val="0078328E"/>
    <w:rsid w:val="007832BA"/>
    <w:rsid w:val="0078374F"/>
    <w:rsid w:val="00783855"/>
    <w:rsid w:val="007838A6"/>
    <w:rsid w:val="007838D6"/>
    <w:rsid w:val="007838FD"/>
    <w:rsid w:val="00783A22"/>
    <w:rsid w:val="00783A8F"/>
    <w:rsid w:val="00783BF7"/>
    <w:rsid w:val="00783E94"/>
    <w:rsid w:val="007840CF"/>
    <w:rsid w:val="007840F6"/>
    <w:rsid w:val="00784291"/>
    <w:rsid w:val="007842EA"/>
    <w:rsid w:val="007845AC"/>
    <w:rsid w:val="007847B5"/>
    <w:rsid w:val="00784815"/>
    <w:rsid w:val="00784864"/>
    <w:rsid w:val="00784895"/>
    <w:rsid w:val="007849D6"/>
    <w:rsid w:val="00784A16"/>
    <w:rsid w:val="00784B59"/>
    <w:rsid w:val="00784C08"/>
    <w:rsid w:val="00784C30"/>
    <w:rsid w:val="00784E85"/>
    <w:rsid w:val="00785074"/>
    <w:rsid w:val="007850CF"/>
    <w:rsid w:val="00785183"/>
    <w:rsid w:val="00785BEA"/>
    <w:rsid w:val="00785CB0"/>
    <w:rsid w:val="00785E3C"/>
    <w:rsid w:val="00785E99"/>
    <w:rsid w:val="00785FDF"/>
    <w:rsid w:val="007863DB"/>
    <w:rsid w:val="007864C5"/>
    <w:rsid w:val="007864D6"/>
    <w:rsid w:val="007866FD"/>
    <w:rsid w:val="0078670F"/>
    <w:rsid w:val="0078680D"/>
    <w:rsid w:val="00786820"/>
    <w:rsid w:val="007869F4"/>
    <w:rsid w:val="00786A01"/>
    <w:rsid w:val="00786A9D"/>
    <w:rsid w:val="00786AA6"/>
    <w:rsid w:val="00786BC8"/>
    <w:rsid w:val="00786D22"/>
    <w:rsid w:val="00786D4E"/>
    <w:rsid w:val="00786E6E"/>
    <w:rsid w:val="007874CD"/>
    <w:rsid w:val="007875A2"/>
    <w:rsid w:val="00787960"/>
    <w:rsid w:val="00787A58"/>
    <w:rsid w:val="00787B0D"/>
    <w:rsid w:val="00787E26"/>
    <w:rsid w:val="007900F9"/>
    <w:rsid w:val="00790264"/>
    <w:rsid w:val="0079045C"/>
    <w:rsid w:val="0079080C"/>
    <w:rsid w:val="0079092E"/>
    <w:rsid w:val="00790AF1"/>
    <w:rsid w:val="00790B51"/>
    <w:rsid w:val="00790B69"/>
    <w:rsid w:val="00790C72"/>
    <w:rsid w:val="00790EE6"/>
    <w:rsid w:val="00790FD4"/>
    <w:rsid w:val="0079118B"/>
    <w:rsid w:val="007911BD"/>
    <w:rsid w:val="007912BA"/>
    <w:rsid w:val="007918DE"/>
    <w:rsid w:val="0079194A"/>
    <w:rsid w:val="0079198B"/>
    <w:rsid w:val="00791A93"/>
    <w:rsid w:val="00791ACE"/>
    <w:rsid w:val="00791C1E"/>
    <w:rsid w:val="00791CED"/>
    <w:rsid w:val="00791D84"/>
    <w:rsid w:val="00791F6E"/>
    <w:rsid w:val="007920E7"/>
    <w:rsid w:val="0079235E"/>
    <w:rsid w:val="007927F9"/>
    <w:rsid w:val="00792963"/>
    <w:rsid w:val="007929A0"/>
    <w:rsid w:val="00792DAE"/>
    <w:rsid w:val="0079330A"/>
    <w:rsid w:val="00793458"/>
    <w:rsid w:val="00793461"/>
    <w:rsid w:val="007934D1"/>
    <w:rsid w:val="00793548"/>
    <w:rsid w:val="0079362E"/>
    <w:rsid w:val="007936A5"/>
    <w:rsid w:val="00793A6C"/>
    <w:rsid w:val="00793C46"/>
    <w:rsid w:val="00793CBE"/>
    <w:rsid w:val="00793CD8"/>
    <w:rsid w:val="00793D36"/>
    <w:rsid w:val="00793D4E"/>
    <w:rsid w:val="00793D5C"/>
    <w:rsid w:val="00793DBA"/>
    <w:rsid w:val="00793E11"/>
    <w:rsid w:val="00793F8B"/>
    <w:rsid w:val="00794116"/>
    <w:rsid w:val="007941E4"/>
    <w:rsid w:val="007941E9"/>
    <w:rsid w:val="00794238"/>
    <w:rsid w:val="007942DD"/>
    <w:rsid w:val="0079437E"/>
    <w:rsid w:val="007943A6"/>
    <w:rsid w:val="00794496"/>
    <w:rsid w:val="007947D3"/>
    <w:rsid w:val="007949B4"/>
    <w:rsid w:val="007949DB"/>
    <w:rsid w:val="007949F6"/>
    <w:rsid w:val="00794C85"/>
    <w:rsid w:val="00794CF2"/>
    <w:rsid w:val="00794D79"/>
    <w:rsid w:val="00794F53"/>
    <w:rsid w:val="00794FF8"/>
    <w:rsid w:val="00795028"/>
    <w:rsid w:val="00795387"/>
    <w:rsid w:val="007954D8"/>
    <w:rsid w:val="0079566E"/>
    <w:rsid w:val="0079584C"/>
    <w:rsid w:val="00795B12"/>
    <w:rsid w:val="00795C96"/>
    <w:rsid w:val="00796197"/>
    <w:rsid w:val="00796294"/>
    <w:rsid w:val="0079637F"/>
    <w:rsid w:val="00796593"/>
    <w:rsid w:val="00796666"/>
    <w:rsid w:val="00796967"/>
    <w:rsid w:val="00796BA5"/>
    <w:rsid w:val="00796C76"/>
    <w:rsid w:val="00796CE0"/>
    <w:rsid w:val="00796D14"/>
    <w:rsid w:val="00796DE3"/>
    <w:rsid w:val="00796F0E"/>
    <w:rsid w:val="00796FC8"/>
    <w:rsid w:val="00796FCE"/>
    <w:rsid w:val="0079702F"/>
    <w:rsid w:val="00797047"/>
    <w:rsid w:val="007971F0"/>
    <w:rsid w:val="00797292"/>
    <w:rsid w:val="00797377"/>
    <w:rsid w:val="007973A5"/>
    <w:rsid w:val="00797412"/>
    <w:rsid w:val="007974A7"/>
    <w:rsid w:val="00797972"/>
    <w:rsid w:val="00797AB5"/>
    <w:rsid w:val="007A01AD"/>
    <w:rsid w:val="007A01E5"/>
    <w:rsid w:val="007A02B6"/>
    <w:rsid w:val="007A05AB"/>
    <w:rsid w:val="007A0940"/>
    <w:rsid w:val="007A096C"/>
    <w:rsid w:val="007A09FF"/>
    <w:rsid w:val="007A0A6A"/>
    <w:rsid w:val="007A0C2E"/>
    <w:rsid w:val="007A0E0A"/>
    <w:rsid w:val="007A0F37"/>
    <w:rsid w:val="007A0FB5"/>
    <w:rsid w:val="007A10C4"/>
    <w:rsid w:val="007A1203"/>
    <w:rsid w:val="007A13BC"/>
    <w:rsid w:val="007A14ED"/>
    <w:rsid w:val="007A16F5"/>
    <w:rsid w:val="007A1A82"/>
    <w:rsid w:val="007A1AE0"/>
    <w:rsid w:val="007A1BDE"/>
    <w:rsid w:val="007A1C2D"/>
    <w:rsid w:val="007A1D3D"/>
    <w:rsid w:val="007A1E70"/>
    <w:rsid w:val="007A21B7"/>
    <w:rsid w:val="007A226E"/>
    <w:rsid w:val="007A248F"/>
    <w:rsid w:val="007A2564"/>
    <w:rsid w:val="007A281C"/>
    <w:rsid w:val="007A2825"/>
    <w:rsid w:val="007A29E7"/>
    <w:rsid w:val="007A2F41"/>
    <w:rsid w:val="007A313B"/>
    <w:rsid w:val="007A35C1"/>
    <w:rsid w:val="007A380B"/>
    <w:rsid w:val="007A38B9"/>
    <w:rsid w:val="007A38D4"/>
    <w:rsid w:val="007A3AB0"/>
    <w:rsid w:val="007A3B10"/>
    <w:rsid w:val="007A3B1B"/>
    <w:rsid w:val="007A3C82"/>
    <w:rsid w:val="007A3D03"/>
    <w:rsid w:val="007A3D48"/>
    <w:rsid w:val="007A3F88"/>
    <w:rsid w:val="007A421A"/>
    <w:rsid w:val="007A4367"/>
    <w:rsid w:val="007A43E4"/>
    <w:rsid w:val="007A478D"/>
    <w:rsid w:val="007A4C3B"/>
    <w:rsid w:val="007A4CBA"/>
    <w:rsid w:val="007A5253"/>
    <w:rsid w:val="007A5372"/>
    <w:rsid w:val="007A53BC"/>
    <w:rsid w:val="007A5602"/>
    <w:rsid w:val="007A5652"/>
    <w:rsid w:val="007A565D"/>
    <w:rsid w:val="007A5790"/>
    <w:rsid w:val="007A5915"/>
    <w:rsid w:val="007A59F5"/>
    <w:rsid w:val="007A5D39"/>
    <w:rsid w:val="007A5D41"/>
    <w:rsid w:val="007A5DEE"/>
    <w:rsid w:val="007A6201"/>
    <w:rsid w:val="007A6220"/>
    <w:rsid w:val="007A6803"/>
    <w:rsid w:val="007A6855"/>
    <w:rsid w:val="007A6BFD"/>
    <w:rsid w:val="007A6C7D"/>
    <w:rsid w:val="007A6CEC"/>
    <w:rsid w:val="007A6D38"/>
    <w:rsid w:val="007A6DBB"/>
    <w:rsid w:val="007A6E36"/>
    <w:rsid w:val="007A6EB1"/>
    <w:rsid w:val="007A7037"/>
    <w:rsid w:val="007A7145"/>
    <w:rsid w:val="007A71A5"/>
    <w:rsid w:val="007A7234"/>
    <w:rsid w:val="007A74D8"/>
    <w:rsid w:val="007A76DB"/>
    <w:rsid w:val="007A76EE"/>
    <w:rsid w:val="007A7816"/>
    <w:rsid w:val="007A7B15"/>
    <w:rsid w:val="007A7BAD"/>
    <w:rsid w:val="007A7C74"/>
    <w:rsid w:val="007A7D44"/>
    <w:rsid w:val="007A7EFF"/>
    <w:rsid w:val="007B0010"/>
    <w:rsid w:val="007B0066"/>
    <w:rsid w:val="007B05C1"/>
    <w:rsid w:val="007B096C"/>
    <w:rsid w:val="007B09EC"/>
    <w:rsid w:val="007B0B4B"/>
    <w:rsid w:val="007B0E52"/>
    <w:rsid w:val="007B10A4"/>
    <w:rsid w:val="007B10C9"/>
    <w:rsid w:val="007B1261"/>
    <w:rsid w:val="007B128B"/>
    <w:rsid w:val="007B13A5"/>
    <w:rsid w:val="007B143F"/>
    <w:rsid w:val="007B1458"/>
    <w:rsid w:val="007B1527"/>
    <w:rsid w:val="007B15CB"/>
    <w:rsid w:val="007B1843"/>
    <w:rsid w:val="007B19F0"/>
    <w:rsid w:val="007B1B74"/>
    <w:rsid w:val="007B1C3B"/>
    <w:rsid w:val="007B1DB2"/>
    <w:rsid w:val="007B1E4C"/>
    <w:rsid w:val="007B1F29"/>
    <w:rsid w:val="007B219C"/>
    <w:rsid w:val="007B21C2"/>
    <w:rsid w:val="007B287E"/>
    <w:rsid w:val="007B28B2"/>
    <w:rsid w:val="007B292F"/>
    <w:rsid w:val="007B294F"/>
    <w:rsid w:val="007B2A07"/>
    <w:rsid w:val="007B2A24"/>
    <w:rsid w:val="007B2AA4"/>
    <w:rsid w:val="007B2CB9"/>
    <w:rsid w:val="007B2CD5"/>
    <w:rsid w:val="007B2F04"/>
    <w:rsid w:val="007B2FD4"/>
    <w:rsid w:val="007B33A9"/>
    <w:rsid w:val="007B35CB"/>
    <w:rsid w:val="007B36B7"/>
    <w:rsid w:val="007B371A"/>
    <w:rsid w:val="007B39D2"/>
    <w:rsid w:val="007B3A2D"/>
    <w:rsid w:val="007B3B21"/>
    <w:rsid w:val="007B3D68"/>
    <w:rsid w:val="007B3D71"/>
    <w:rsid w:val="007B3D7F"/>
    <w:rsid w:val="007B3F00"/>
    <w:rsid w:val="007B3F2A"/>
    <w:rsid w:val="007B44CF"/>
    <w:rsid w:val="007B46D1"/>
    <w:rsid w:val="007B487C"/>
    <w:rsid w:val="007B4943"/>
    <w:rsid w:val="007B4957"/>
    <w:rsid w:val="007B4DFC"/>
    <w:rsid w:val="007B4F23"/>
    <w:rsid w:val="007B4FDD"/>
    <w:rsid w:val="007B5217"/>
    <w:rsid w:val="007B5246"/>
    <w:rsid w:val="007B52A5"/>
    <w:rsid w:val="007B540F"/>
    <w:rsid w:val="007B5478"/>
    <w:rsid w:val="007B54FD"/>
    <w:rsid w:val="007B551E"/>
    <w:rsid w:val="007B553F"/>
    <w:rsid w:val="007B55C2"/>
    <w:rsid w:val="007B58A5"/>
    <w:rsid w:val="007B5CBB"/>
    <w:rsid w:val="007B5F17"/>
    <w:rsid w:val="007B5FBD"/>
    <w:rsid w:val="007B624D"/>
    <w:rsid w:val="007B644B"/>
    <w:rsid w:val="007B66A5"/>
    <w:rsid w:val="007B6702"/>
    <w:rsid w:val="007B67DB"/>
    <w:rsid w:val="007B6891"/>
    <w:rsid w:val="007B6BE2"/>
    <w:rsid w:val="007B6D21"/>
    <w:rsid w:val="007B6E54"/>
    <w:rsid w:val="007B6FEE"/>
    <w:rsid w:val="007B7049"/>
    <w:rsid w:val="007B7226"/>
    <w:rsid w:val="007B72DD"/>
    <w:rsid w:val="007B7685"/>
    <w:rsid w:val="007B76CD"/>
    <w:rsid w:val="007B78A5"/>
    <w:rsid w:val="007B795F"/>
    <w:rsid w:val="007B7C66"/>
    <w:rsid w:val="007B7EE5"/>
    <w:rsid w:val="007B7F73"/>
    <w:rsid w:val="007C01C5"/>
    <w:rsid w:val="007C02B8"/>
    <w:rsid w:val="007C034C"/>
    <w:rsid w:val="007C0434"/>
    <w:rsid w:val="007C0589"/>
    <w:rsid w:val="007C0747"/>
    <w:rsid w:val="007C0814"/>
    <w:rsid w:val="007C0870"/>
    <w:rsid w:val="007C0A29"/>
    <w:rsid w:val="007C0AAB"/>
    <w:rsid w:val="007C0D9C"/>
    <w:rsid w:val="007C0DAF"/>
    <w:rsid w:val="007C0E93"/>
    <w:rsid w:val="007C1031"/>
    <w:rsid w:val="007C1061"/>
    <w:rsid w:val="007C11BA"/>
    <w:rsid w:val="007C142B"/>
    <w:rsid w:val="007C164C"/>
    <w:rsid w:val="007C18A0"/>
    <w:rsid w:val="007C1975"/>
    <w:rsid w:val="007C199D"/>
    <w:rsid w:val="007C19A4"/>
    <w:rsid w:val="007C1BFB"/>
    <w:rsid w:val="007C1EFF"/>
    <w:rsid w:val="007C2063"/>
    <w:rsid w:val="007C209D"/>
    <w:rsid w:val="007C20D6"/>
    <w:rsid w:val="007C2163"/>
    <w:rsid w:val="007C259B"/>
    <w:rsid w:val="007C299E"/>
    <w:rsid w:val="007C29FD"/>
    <w:rsid w:val="007C2A35"/>
    <w:rsid w:val="007C2AAA"/>
    <w:rsid w:val="007C2B85"/>
    <w:rsid w:val="007C2D97"/>
    <w:rsid w:val="007C3041"/>
    <w:rsid w:val="007C3095"/>
    <w:rsid w:val="007C30C7"/>
    <w:rsid w:val="007C3131"/>
    <w:rsid w:val="007C3257"/>
    <w:rsid w:val="007C3363"/>
    <w:rsid w:val="007C35F7"/>
    <w:rsid w:val="007C3630"/>
    <w:rsid w:val="007C3641"/>
    <w:rsid w:val="007C38AC"/>
    <w:rsid w:val="007C3918"/>
    <w:rsid w:val="007C3A12"/>
    <w:rsid w:val="007C3E62"/>
    <w:rsid w:val="007C4385"/>
    <w:rsid w:val="007C44E2"/>
    <w:rsid w:val="007C4595"/>
    <w:rsid w:val="007C473D"/>
    <w:rsid w:val="007C4909"/>
    <w:rsid w:val="007C49E1"/>
    <w:rsid w:val="007C4A1E"/>
    <w:rsid w:val="007C4A70"/>
    <w:rsid w:val="007C4C77"/>
    <w:rsid w:val="007C4D49"/>
    <w:rsid w:val="007C4DD8"/>
    <w:rsid w:val="007C4F5E"/>
    <w:rsid w:val="007C509A"/>
    <w:rsid w:val="007C51CC"/>
    <w:rsid w:val="007C541C"/>
    <w:rsid w:val="007C57C5"/>
    <w:rsid w:val="007C57F3"/>
    <w:rsid w:val="007C582F"/>
    <w:rsid w:val="007C584E"/>
    <w:rsid w:val="007C586E"/>
    <w:rsid w:val="007C5946"/>
    <w:rsid w:val="007C594C"/>
    <w:rsid w:val="007C59F5"/>
    <w:rsid w:val="007C59FD"/>
    <w:rsid w:val="007C5BA3"/>
    <w:rsid w:val="007C5C25"/>
    <w:rsid w:val="007C5C6A"/>
    <w:rsid w:val="007C5C9D"/>
    <w:rsid w:val="007C5F8B"/>
    <w:rsid w:val="007C5FA5"/>
    <w:rsid w:val="007C6056"/>
    <w:rsid w:val="007C6371"/>
    <w:rsid w:val="007C6664"/>
    <w:rsid w:val="007C6687"/>
    <w:rsid w:val="007C66E1"/>
    <w:rsid w:val="007C6703"/>
    <w:rsid w:val="007C67A2"/>
    <w:rsid w:val="007C6B51"/>
    <w:rsid w:val="007C6C18"/>
    <w:rsid w:val="007C6C91"/>
    <w:rsid w:val="007C71A8"/>
    <w:rsid w:val="007C7446"/>
    <w:rsid w:val="007C7569"/>
    <w:rsid w:val="007C763A"/>
    <w:rsid w:val="007C76CB"/>
    <w:rsid w:val="007C7A53"/>
    <w:rsid w:val="007C7ADF"/>
    <w:rsid w:val="007C7D2A"/>
    <w:rsid w:val="007C7DCF"/>
    <w:rsid w:val="007C7F43"/>
    <w:rsid w:val="007C7F70"/>
    <w:rsid w:val="007D0026"/>
    <w:rsid w:val="007D0065"/>
    <w:rsid w:val="007D01A9"/>
    <w:rsid w:val="007D0264"/>
    <w:rsid w:val="007D0548"/>
    <w:rsid w:val="007D069F"/>
    <w:rsid w:val="007D0821"/>
    <w:rsid w:val="007D08A1"/>
    <w:rsid w:val="007D0AF0"/>
    <w:rsid w:val="007D0B62"/>
    <w:rsid w:val="007D0BC6"/>
    <w:rsid w:val="007D0D2F"/>
    <w:rsid w:val="007D0F01"/>
    <w:rsid w:val="007D0F22"/>
    <w:rsid w:val="007D0F55"/>
    <w:rsid w:val="007D1042"/>
    <w:rsid w:val="007D11CE"/>
    <w:rsid w:val="007D12BF"/>
    <w:rsid w:val="007D134F"/>
    <w:rsid w:val="007D13B7"/>
    <w:rsid w:val="007D14D3"/>
    <w:rsid w:val="007D15B2"/>
    <w:rsid w:val="007D170B"/>
    <w:rsid w:val="007D1730"/>
    <w:rsid w:val="007D1835"/>
    <w:rsid w:val="007D1934"/>
    <w:rsid w:val="007D193F"/>
    <w:rsid w:val="007D1B93"/>
    <w:rsid w:val="007D1F3D"/>
    <w:rsid w:val="007D21D0"/>
    <w:rsid w:val="007D28AD"/>
    <w:rsid w:val="007D28E5"/>
    <w:rsid w:val="007D2A70"/>
    <w:rsid w:val="007D2BF8"/>
    <w:rsid w:val="007D2D0D"/>
    <w:rsid w:val="007D2D5F"/>
    <w:rsid w:val="007D30C5"/>
    <w:rsid w:val="007D31E7"/>
    <w:rsid w:val="007D32C3"/>
    <w:rsid w:val="007D3354"/>
    <w:rsid w:val="007D3767"/>
    <w:rsid w:val="007D37B1"/>
    <w:rsid w:val="007D37EA"/>
    <w:rsid w:val="007D38F7"/>
    <w:rsid w:val="007D39D5"/>
    <w:rsid w:val="007D3AE9"/>
    <w:rsid w:val="007D3FC7"/>
    <w:rsid w:val="007D432C"/>
    <w:rsid w:val="007D43D3"/>
    <w:rsid w:val="007D454E"/>
    <w:rsid w:val="007D45D4"/>
    <w:rsid w:val="007D4833"/>
    <w:rsid w:val="007D4961"/>
    <w:rsid w:val="007D4AC4"/>
    <w:rsid w:val="007D4B53"/>
    <w:rsid w:val="007D51E9"/>
    <w:rsid w:val="007D52F7"/>
    <w:rsid w:val="007D58E3"/>
    <w:rsid w:val="007D5928"/>
    <w:rsid w:val="007D5B2A"/>
    <w:rsid w:val="007D5B3E"/>
    <w:rsid w:val="007D5B82"/>
    <w:rsid w:val="007D5CE0"/>
    <w:rsid w:val="007D5DBA"/>
    <w:rsid w:val="007D5EC7"/>
    <w:rsid w:val="007D5FD3"/>
    <w:rsid w:val="007D601A"/>
    <w:rsid w:val="007D610D"/>
    <w:rsid w:val="007D63C9"/>
    <w:rsid w:val="007D6440"/>
    <w:rsid w:val="007D6453"/>
    <w:rsid w:val="007D67BF"/>
    <w:rsid w:val="007D6801"/>
    <w:rsid w:val="007D68D9"/>
    <w:rsid w:val="007D6A37"/>
    <w:rsid w:val="007D6ABC"/>
    <w:rsid w:val="007D6CB7"/>
    <w:rsid w:val="007D6E70"/>
    <w:rsid w:val="007D70B8"/>
    <w:rsid w:val="007D70CA"/>
    <w:rsid w:val="007D7171"/>
    <w:rsid w:val="007D7378"/>
    <w:rsid w:val="007D7389"/>
    <w:rsid w:val="007D7537"/>
    <w:rsid w:val="007D756F"/>
    <w:rsid w:val="007D7651"/>
    <w:rsid w:val="007D76A9"/>
    <w:rsid w:val="007D7B36"/>
    <w:rsid w:val="007D7DFF"/>
    <w:rsid w:val="007E0181"/>
    <w:rsid w:val="007E01D0"/>
    <w:rsid w:val="007E01E2"/>
    <w:rsid w:val="007E02A9"/>
    <w:rsid w:val="007E0344"/>
    <w:rsid w:val="007E04A5"/>
    <w:rsid w:val="007E04EC"/>
    <w:rsid w:val="007E0732"/>
    <w:rsid w:val="007E08F8"/>
    <w:rsid w:val="007E099E"/>
    <w:rsid w:val="007E0ABC"/>
    <w:rsid w:val="007E0ECF"/>
    <w:rsid w:val="007E0FDC"/>
    <w:rsid w:val="007E0FF0"/>
    <w:rsid w:val="007E127C"/>
    <w:rsid w:val="007E12F0"/>
    <w:rsid w:val="007E13BB"/>
    <w:rsid w:val="007E13C0"/>
    <w:rsid w:val="007E159E"/>
    <w:rsid w:val="007E1647"/>
    <w:rsid w:val="007E1752"/>
    <w:rsid w:val="007E18B5"/>
    <w:rsid w:val="007E18D0"/>
    <w:rsid w:val="007E1903"/>
    <w:rsid w:val="007E1B71"/>
    <w:rsid w:val="007E1C8A"/>
    <w:rsid w:val="007E1CBF"/>
    <w:rsid w:val="007E1DDB"/>
    <w:rsid w:val="007E1E61"/>
    <w:rsid w:val="007E1EA8"/>
    <w:rsid w:val="007E1FAC"/>
    <w:rsid w:val="007E20B5"/>
    <w:rsid w:val="007E2211"/>
    <w:rsid w:val="007E2509"/>
    <w:rsid w:val="007E2906"/>
    <w:rsid w:val="007E29B2"/>
    <w:rsid w:val="007E2A23"/>
    <w:rsid w:val="007E2C1C"/>
    <w:rsid w:val="007E31C5"/>
    <w:rsid w:val="007E31E4"/>
    <w:rsid w:val="007E33A3"/>
    <w:rsid w:val="007E34D2"/>
    <w:rsid w:val="007E3645"/>
    <w:rsid w:val="007E39A4"/>
    <w:rsid w:val="007E39FE"/>
    <w:rsid w:val="007E3A89"/>
    <w:rsid w:val="007E3B1A"/>
    <w:rsid w:val="007E3B7B"/>
    <w:rsid w:val="007E3BE0"/>
    <w:rsid w:val="007E3CD4"/>
    <w:rsid w:val="007E3E29"/>
    <w:rsid w:val="007E438C"/>
    <w:rsid w:val="007E4535"/>
    <w:rsid w:val="007E4813"/>
    <w:rsid w:val="007E481B"/>
    <w:rsid w:val="007E494E"/>
    <w:rsid w:val="007E49C4"/>
    <w:rsid w:val="007E4A14"/>
    <w:rsid w:val="007E4A70"/>
    <w:rsid w:val="007E4C44"/>
    <w:rsid w:val="007E4C94"/>
    <w:rsid w:val="007E4D7C"/>
    <w:rsid w:val="007E4E33"/>
    <w:rsid w:val="007E4E63"/>
    <w:rsid w:val="007E4F79"/>
    <w:rsid w:val="007E502A"/>
    <w:rsid w:val="007E5228"/>
    <w:rsid w:val="007E52EF"/>
    <w:rsid w:val="007E53CD"/>
    <w:rsid w:val="007E540D"/>
    <w:rsid w:val="007E5485"/>
    <w:rsid w:val="007E54DC"/>
    <w:rsid w:val="007E552F"/>
    <w:rsid w:val="007E553B"/>
    <w:rsid w:val="007E5574"/>
    <w:rsid w:val="007E5595"/>
    <w:rsid w:val="007E58D3"/>
    <w:rsid w:val="007E5938"/>
    <w:rsid w:val="007E5955"/>
    <w:rsid w:val="007E5B39"/>
    <w:rsid w:val="007E5BCF"/>
    <w:rsid w:val="007E5C3E"/>
    <w:rsid w:val="007E5F49"/>
    <w:rsid w:val="007E5FE3"/>
    <w:rsid w:val="007E611F"/>
    <w:rsid w:val="007E63DF"/>
    <w:rsid w:val="007E690D"/>
    <w:rsid w:val="007E6B86"/>
    <w:rsid w:val="007E6E7F"/>
    <w:rsid w:val="007E709B"/>
    <w:rsid w:val="007E7140"/>
    <w:rsid w:val="007E772F"/>
    <w:rsid w:val="007E778C"/>
    <w:rsid w:val="007E7937"/>
    <w:rsid w:val="007E7982"/>
    <w:rsid w:val="007E79E8"/>
    <w:rsid w:val="007E79EE"/>
    <w:rsid w:val="007E7B54"/>
    <w:rsid w:val="007E7CAA"/>
    <w:rsid w:val="007E7D84"/>
    <w:rsid w:val="007E7DBE"/>
    <w:rsid w:val="007F00D2"/>
    <w:rsid w:val="007F014D"/>
    <w:rsid w:val="007F0150"/>
    <w:rsid w:val="007F01A1"/>
    <w:rsid w:val="007F04B7"/>
    <w:rsid w:val="007F051F"/>
    <w:rsid w:val="007F0744"/>
    <w:rsid w:val="007F089D"/>
    <w:rsid w:val="007F0C3F"/>
    <w:rsid w:val="007F0CFF"/>
    <w:rsid w:val="007F0F18"/>
    <w:rsid w:val="007F10BD"/>
    <w:rsid w:val="007F10C1"/>
    <w:rsid w:val="007F11EC"/>
    <w:rsid w:val="007F12C9"/>
    <w:rsid w:val="007F1301"/>
    <w:rsid w:val="007F1445"/>
    <w:rsid w:val="007F1615"/>
    <w:rsid w:val="007F1642"/>
    <w:rsid w:val="007F1A4E"/>
    <w:rsid w:val="007F1B40"/>
    <w:rsid w:val="007F1B87"/>
    <w:rsid w:val="007F1C23"/>
    <w:rsid w:val="007F1CCF"/>
    <w:rsid w:val="007F1D60"/>
    <w:rsid w:val="007F2276"/>
    <w:rsid w:val="007F2310"/>
    <w:rsid w:val="007F23A2"/>
    <w:rsid w:val="007F23EA"/>
    <w:rsid w:val="007F2510"/>
    <w:rsid w:val="007F2553"/>
    <w:rsid w:val="007F2602"/>
    <w:rsid w:val="007F275E"/>
    <w:rsid w:val="007F28B9"/>
    <w:rsid w:val="007F28D7"/>
    <w:rsid w:val="007F2919"/>
    <w:rsid w:val="007F2A2D"/>
    <w:rsid w:val="007F2C19"/>
    <w:rsid w:val="007F2C49"/>
    <w:rsid w:val="007F2CE4"/>
    <w:rsid w:val="007F2D86"/>
    <w:rsid w:val="007F2F14"/>
    <w:rsid w:val="007F3079"/>
    <w:rsid w:val="007F30CC"/>
    <w:rsid w:val="007F3130"/>
    <w:rsid w:val="007F320E"/>
    <w:rsid w:val="007F3567"/>
    <w:rsid w:val="007F365B"/>
    <w:rsid w:val="007F370A"/>
    <w:rsid w:val="007F3B6D"/>
    <w:rsid w:val="007F3BC9"/>
    <w:rsid w:val="007F3BE4"/>
    <w:rsid w:val="007F3DE3"/>
    <w:rsid w:val="007F4077"/>
    <w:rsid w:val="007F4314"/>
    <w:rsid w:val="007F43C3"/>
    <w:rsid w:val="007F4849"/>
    <w:rsid w:val="007F4954"/>
    <w:rsid w:val="007F4A18"/>
    <w:rsid w:val="007F4D41"/>
    <w:rsid w:val="007F4DC3"/>
    <w:rsid w:val="007F4E01"/>
    <w:rsid w:val="007F4E20"/>
    <w:rsid w:val="007F4ED3"/>
    <w:rsid w:val="007F514A"/>
    <w:rsid w:val="007F5204"/>
    <w:rsid w:val="007F5258"/>
    <w:rsid w:val="007F5363"/>
    <w:rsid w:val="007F5423"/>
    <w:rsid w:val="007F560D"/>
    <w:rsid w:val="007F5728"/>
    <w:rsid w:val="007F599E"/>
    <w:rsid w:val="007F5A6B"/>
    <w:rsid w:val="007F5B45"/>
    <w:rsid w:val="007F5BDB"/>
    <w:rsid w:val="007F6057"/>
    <w:rsid w:val="007F60F5"/>
    <w:rsid w:val="007F6236"/>
    <w:rsid w:val="007F6303"/>
    <w:rsid w:val="007F6477"/>
    <w:rsid w:val="007F6B71"/>
    <w:rsid w:val="007F6B7B"/>
    <w:rsid w:val="007F6F17"/>
    <w:rsid w:val="007F73C7"/>
    <w:rsid w:val="007F7437"/>
    <w:rsid w:val="007F7497"/>
    <w:rsid w:val="007F751E"/>
    <w:rsid w:val="007F7677"/>
    <w:rsid w:val="007F771A"/>
    <w:rsid w:val="007F77C4"/>
    <w:rsid w:val="007F7A17"/>
    <w:rsid w:val="007F7B66"/>
    <w:rsid w:val="007F7E3C"/>
    <w:rsid w:val="008000EC"/>
    <w:rsid w:val="008005BB"/>
    <w:rsid w:val="008006C2"/>
    <w:rsid w:val="00800743"/>
    <w:rsid w:val="00800826"/>
    <w:rsid w:val="00800827"/>
    <w:rsid w:val="00800984"/>
    <w:rsid w:val="00800BE4"/>
    <w:rsid w:val="00800F21"/>
    <w:rsid w:val="00801067"/>
    <w:rsid w:val="00801460"/>
    <w:rsid w:val="008016A3"/>
    <w:rsid w:val="0080170A"/>
    <w:rsid w:val="00801783"/>
    <w:rsid w:val="0080191D"/>
    <w:rsid w:val="00801933"/>
    <w:rsid w:val="00801ABD"/>
    <w:rsid w:val="00801C6F"/>
    <w:rsid w:val="0080213B"/>
    <w:rsid w:val="0080219B"/>
    <w:rsid w:val="008021F3"/>
    <w:rsid w:val="00802256"/>
    <w:rsid w:val="00802504"/>
    <w:rsid w:val="00802D16"/>
    <w:rsid w:val="008030AE"/>
    <w:rsid w:val="008030BA"/>
    <w:rsid w:val="00803125"/>
    <w:rsid w:val="008032A0"/>
    <w:rsid w:val="008032CE"/>
    <w:rsid w:val="0080344C"/>
    <w:rsid w:val="008035B1"/>
    <w:rsid w:val="00803755"/>
    <w:rsid w:val="00803B2E"/>
    <w:rsid w:val="00803CD8"/>
    <w:rsid w:val="00803D0E"/>
    <w:rsid w:val="00803D62"/>
    <w:rsid w:val="00803DA6"/>
    <w:rsid w:val="00803E7C"/>
    <w:rsid w:val="00803EBA"/>
    <w:rsid w:val="00803EE2"/>
    <w:rsid w:val="00803EE6"/>
    <w:rsid w:val="00803F79"/>
    <w:rsid w:val="00803FCE"/>
    <w:rsid w:val="00804013"/>
    <w:rsid w:val="00804026"/>
    <w:rsid w:val="00804397"/>
    <w:rsid w:val="00804405"/>
    <w:rsid w:val="00804461"/>
    <w:rsid w:val="00804658"/>
    <w:rsid w:val="008047C6"/>
    <w:rsid w:val="00804988"/>
    <w:rsid w:val="00804A52"/>
    <w:rsid w:val="00804A76"/>
    <w:rsid w:val="00804A81"/>
    <w:rsid w:val="00804B11"/>
    <w:rsid w:val="00804CF8"/>
    <w:rsid w:val="00804D61"/>
    <w:rsid w:val="00804D6A"/>
    <w:rsid w:val="00804D92"/>
    <w:rsid w:val="00804DD7"/>
    <w:rsid w:val="00805195"/>
    <w:rsid w:val="00805606"/>
    <w:rsid w:val="00805945"/>
    <w:rsid w:val="00805956"/>
    <w:rsid w:val="00805C41"/>
    <w:rsid w:val="00805C8D"/>
    <w:rsid w:val="00805FC4"/>
    <w:rsid w:val="008061A4"/>
    <w:rsid w:val="0080650B"/>
    <w:rsid w:val="00806857"/>
    <w:rsid w:val="00806DA1"/>
    <w:rsid w:val="00806DF9"/>
    <w:rsid w:val="00806FC3"/>
    <w:rsid w:val="00807126"/>
    <w:rsid w:val="008073C4"/>
    <w:rsid w:val="008074A7"/>
    <w:rsid w:val="00807850"/>
    <w:rsid w:val="008078D4"/>
    <w:rsid w:val="008078D9"/>
    <w:rsid w:val="0080798D"/>
    <w:rsid w:val="00807A98"/>
    <w:rsid w:val="00807AB5"/>
    <w:rsid w:val="00807C27"/>
    <w:rsid w:val="00807DA8"/>
    <w:rsid w:val="00807DE0"/>
    <w:rsid w:val="008101C8"/>
    <w:rsid w:val="00810283"/>
    <w:rsid w:val="00810286"/>
    <w:rsid w:val="00810578"/>
    <w:rsid w:val="00810588"/>
    <w:rsid w:val="008105C8"/>
    <w:rsid w:val="0081066C"/>
    <w:rsid w:val="008108DE"/>
    <w:rsid w:val="008109BD"/>
    <w:rsid w:val="008109F9"/>
    <w:rsid w:val="00810A22"/>
    <w:rsid w:val="00810A5C"/>
    <w:rsid w:val="00810B30"/>
    <w:rsid w:val="00810C06"/>
    <w:rsid w:val="00810C9E"/>
    <w:rsid w:val="00810D46"/>
    <w:rsid w:val="00810DDA"/>
    <w:rsid w:val="0081120C"/>
    <w:rsid w:val="00811404"/>
    <w:rsid w:val="00811484"/>
    <w:rsid w:val="0081150C"/>
    <w:rsid w:val="0081161D"/>
    <w:rsid w:val="00811659"/>
    <w:rsid w:val="0081166E"/>
    <w:rsid w:val="0081188A"/>
    <w:rsid w:val="00811BC0"/>
    <w:rsid w:val="00811C35"/>
    <w:rsid w:val="00811C83"/>
    <w:rsid w:val="00811D94"/>
    <w:rsid w:val="00811E4E"/>
    <w:rsid w:val="00812056"/>
    <w:rsid w:val="00812214"/>
    <w:rsid w:val="00812338"/>
    <w:rsid w:val="00812491"/>
    <w:rsid w:val="008125B5"/>
    <w:rsid w:val="0081261A"/>
    <w:rsid w:val="008126A5"/>
    <w:rsid w:val="0081297E"/>
    <w:rsid w:val="00812A99"/>
    <w:rsid w:val="00812C1E"/>
    <w:rsid w:val="00812E4D"/>
    <w:rsid w:val="00812EAD"/>
    <w:rsid w:val="0081300B"/>
    <w:rsid w:val="00813109"/>
    <w:rsid w:val="00813313"/>
    <w:rsid w:val="00813452"/>
    <w:rsid w:val="00813454"/>
    <w:rsid w:val="00813473"/>
    <w:rsid w:val="00813613"/>
    <w:rsid w:val="0081365C"/>
    <w:rsid w:val="00813788"/>
    <w:rsid w:val="008138B1"/>
    <w:rsid w:val="008138C2"/>
    <w:rsid w:val="008139A4"/>
    <w:rsid w:val="008139D1"/>
    <w:rsid w:val="00813BCB"/>
    <w:rsid w:val="00813C70"/>
    <w:rsid w:val="00813D8E"/>
    <w:rsid w:val="00813DCC"/>
    <w:rsid w:val="0081401A"/>
    <w:rsid w:val="008140FA"/>
    <w:rsid w:val="00814129"/>
    <w:rsid w:val="008143EF"/>
    <w:rsid w:val="00814446"/>
    <w:rsid w:val="0081456E"/>
    <w:rsid w:val="008145C0"/>
    <w:rsid w:val="008145C7"/>
    <w:rsid w:val="008146EF"/>
    <w:rsid w:val="00814853"/>
    <w:rsid w:val="008149FC"/>
    <w:rsid w:val="00814B26"/>
    <w:rsid w:val="00814C39"/>
    <w:rsid w:val="00814ECD"/>
    <w:rsid w:val="00815073"/>
    <w:rsid w:val="00815320"/>
    <w:rsid w:val="0081548E"/>
    <w:rsid w:val="008156FC"/>
    <w:rsid w:val="0081586F"/>
    <w:rsid w:val="00815955"/>
    <w:rsid w:val="00815B07"/>
    <w:rsid w:val="00815B96"/>
    <w:rsid w:val="00815F78"/>
    <w:rsid w:val="00815FAD"/>
    <w:rsid w:val="00815FCC"/>
    <w:rsid w:val="008166C2"/>
    <w:rsid w:val="008167D4"/>
    <w:rsid w:val="00816CC2"/>
    <w:rsid w:val="00816E55"/>
    <w:rsid w:val="00816F20"/>
    <w:rsid w:val="00816F95"/>
    <w:rsid w:val="00817258"/>
    <w:rsid w:val="0081731E"/>
    <w:rsid w:val="00817341"/>
    <w:rsid w:val="008174E0"/>
    <w:rsid w:val="00817821"/>
    <w:rsid w:val="00817892"/>
    <w:rsid w:val="00817899"/>
    <w:rsid w:val="00817A55"/>
    <w:rsid w:val="00817FA5"/>
    <w:rsid w:val="00820063"/>
    <w:rsid w:val="008201C0"/>
    <w:rsid w:val="00820364"/>
    <w:rsid w:val="0082037A"/>
    <w:rsid w:val="008203AE"/>
    <w:rsid w:val="008203CD"/>
    <w:rsid w:val="008204BC"/>
    <w:rsid w:val="008204BE"/>
    <w:rsid w:val="008205C9"/>
    <w:rsid w:val="008207C9"/>
    <w:rsid w:val="00820990"/>
    <w:rsid w:val="008209DC"/>
    <w:rsid w:val="00820AE7"/>
    <w:rsid w:val="00820CAC"/>
    <w:rsid w:val="00820CF3"/>
    <w:rsid w:val="00820D72"/>
    <w:rsid w:val="00820F85"/>
    <w:rsid w:val="00820FD9"/>
    <w:rsid w:val="0082110B"/>
    <w:rsid w:val="00821286"/>
    <w:rsid w:val="008213B3"/>
    <w:rsid w:val="00821516"/>
    <w:rsid w:val="0082175B"/>
    <w:rsid w:val="00821824"/>
    <w:rsid w:val="00821A4F"/>
    <w:rsid w:val="00821A72"/>
    <w:rsid w:val="00821BAA"/>
    <w:rsid w:val="00822099"/>
    <w:rsid w:val="00822112"/>
    <w:rsid w:val="008221D1"/>
    <w:rsid w:val="008223CA"/>
    <w:rsid w:val="0082251E"/>
    <w:rsid w:val="00822751"/>
    <w:rsid w:val="008229B2"/>
    <w:rsid w:val="00822BF2"/>
    <w:rsid w:val="00822DB9"/>
    <w:rsid w:val="00823096"/>
    <w:rsid w:val="00823115"/>
    <w:rsid w:val="0082336B"/>
    <w:rsid w:val="008235C1"/>
    <w:rsid w:val="0082361B"/>
    <w:rsid w:val="00823735"/>
    <w:rsid w:val="00823844"/>
    <w:rsid w:val="00823DFC"/>
    <w:rsid w:val="00824074"/>
    <w:rsid w:val="0082427B"/>
    <w:rsid w:val="008244C6"/>
    <w:rsid w:val="00824596"/>
    <w:rsid w:val="00824735"/>
    <w:rsid w:val="00824771"/>
    <w:rsid w:val="00824AA0"/>
    <w:rsid w:val="00824D16"/>
    <w:rsid w:val="00825041"/>
    <w:rsid w:val="00825136"/>
    <w:rsid w:val="00825208"/>
    <w:rsid w:val="008253F6"/>
    <w:rsid w:val="00825575"/>
    <w:rsid w:val="008255AE"/>
    <w:rsid w:val="00825845"/>
    <w:rsid w:val="008259B7"/>
    <w:rsid w:val="008259C8"/>
    <w:rsid w:val="00825A21"/>
    <w:rsid w:val="00825C78"/>
    <w:rsid w:val="00825D86"/>
    <w:rsid w:val="00825D96"/>
    <w:rsid w:val="00825DF0"/>
    <w:rsid w:val="00825F80"/>
    <w:rsid w:val="00826256"/>
    <w:rsid w:val="008262F1"/>
    <w:rsid w:val="00826367"/>
    <w:rsid w:val="0082647A"/>
    <w:rsid w:val="0082696E"/>
    <w:rsid w:val="00826AB7"/>
    <w:rsid w:val="00826CB5"/>
    <w:rsid w:val="00826CDF"/>
    <w:rsid w:val="008271C0"/>
    <w:rsid w:val="0082731A"/>
    <w:rsid w:val="008273D3"/>
    <w:rsid w:val="008274B7"/>
    <w:rsid w:val="00827505"/>
    <w:rsid w:val="008277B3"/>
    <w:rsid w:val="00827A85"/>
    <w:rsid w:val="00827C8C"/>
    <w:rsid w:val="00827C95"/>
    <w:rsid w:val="00827C9E"/>
    <w:rsid w:val="00827CF0"/>
    <w:rsid w:val="00827CFE"/>
    <w:rsid w:val="00827DC0"/>
    <w:rsid w:val="008300C4"/>
    <w:rsid w:val="0083034F"/>
    <w:rsid w:val="0083054C"/>
    <w:rsid w:val="008306A2"/>
    <w:rsid w:val="00830864"/>
    <w:rsid w:val="00830933"/>
    <w:rsid w:val="00830B81"/>
    <w:rsid w:val="00830BB2"/>
    <w:rsid w:val="00830BCE"/>
    <w:rsid w:val="00830CD0"/>
    <w:rsid w:val="00830CFB"/>
    <w:rsid w:val="00830D57"/>
    <w:rsid w:val="00830E57"/>
    <w:rsid w:val="00830E6B"/>
    <w:rsid w:val="00830ECC"/>
    <w:rsid w:val="00830F84"/>
    <w:rsid w:val="00831023"/>
    <w:rsid w:val="008310F7"/>
    <w:rsid w:val="00831140"/>
    <w:rsid w:val="0083116C"/>
    <w:rsid w:val="00831185"/>
    <w:rsid w:val="008314CE"/>
    <w:rsid w:val="008314F4"/>
    <w:rsid w:val="0083186A"/>
    <w:rsid w:val="008319F8"/>
    <w:rsid w:val="00831A0F"/>
    <w:rsid w:val="00831AD3"/>
    <w:rsid w:val="00831CBA"/>
    <w:rsid w:val="00831D4B"/>
    <w:rsid w:val="00831ED7"/>
    <w:rsid w:val="00831FF8"/>
    <w:rsid w:val="0083206C"/>
    <w:rsid w:val="008322A2"/>
    <w:rsid w:val="0083256E"/>
    <w:rsid w:val="00832660"/>
    <w:rsid w:val="00832963"/>
    <w:rsid w:val="008329DA"/>
    <w:rsid w:val="00832D12"/>
    <w:rsid w:val="00832D16"/>
    <w:rsid w:val="00832E21"/>
    <w:rsid w:val="00833297"/>
    <w:rsid w:val="008332C7"/>
    <w:rsid w:val="0083336E"/>
    <w:rsid w:val="008334BE"/>
    <w:rsid w:val="008335CD"/>
    <w:rsid w:val="008336C1"/>
    <w:rsid w:val="00833725"/>
    <w:rsid w:val="00833749"/>
    <w:rsid w:val="0083374B"/>
    <w:rsid w:val="00833868"/>
    <w:rsid w:val="00833A33"/>
    <w:rsid w:val="00833A6B"/>
    <w:rsid w:val="00833B0E"/>
    <w:rsid w:val="00833DB4"/>
    <w:rsid w:val="00833E50"/>
    <w:rsid w:val="00833F15"/>
    <w:rsid w:val="00833FDC"/>
    <w:rsid w:val="0083404E"/>
    <w:rsid w:val="008340F4"/>
    <w:rsid w:val="008341B0"/>
    <w:rsid w:val="008342EC"/>
    <w:rsid w:val="00834336"/>
    <w:rsid w:val="0083433C"/>
    <w:rsid w:val="00834394"/>
    <w:rsid w:val="00834970"/>
    <w:rsid w:val="00834AB4"/>
    <w:rsid w:val="00834B6E"/>
    <w:rsid w:val="00835125"/>
    <w:rsid w:val="0083519B"/>
    <w:rsid w:val="00835226"/>
    <w:rsid w:val="008354F0"/>
    <w:rsid w:val="00835607"/>
    <w:rsid w:val="00835654"/>
    <w:rsid w:val="008359DD"/>
    <w:rsid w:val="00835B60"/>
    <w:rsid w:val="00835E17"/>
    <w:rsid w:val="00835E7D"/>
    <w:rsid w:val="00835EC0"/>
    <w:rsid w:val="00835EED"/>
    <w:rsid w:val="0083620F"/>
    <w:rsid w:val="008363EF"/>
    <w:rsid w:val="0083643B"/>
    <w:rsid w:val="00836455"/>
    <w:rsid w:val="008366D4"/>
    <w:rsid w:val="00836728"/>
    <w:rsid w:val="00836893"/>
    <w:rsid w:val="00836A9D"/>
    <w:rsid w:val="00836B64"/>
    <w:rsid w:val="00836D08"/>
    <w:rsid w:val="00836F4E"/>
    <w:rsid w:val="008370B4"/>
    <w:rsid w:val="0083710B"/>
    <w:rsid w:val="0083739B"/>
    <w:rsid w:val="008376E6"/>
    <w:rsid w:val="008378D1"/>
    <w:rsid w:val="00837997"/>
    <w:rsid w:val="00837A82"/>
    <w:rsid w:val="00837AC7"/>
    <w:rsid w:val="00837C4F"/>
    <w:rsid w:val="00837D57"/>
    <w:rsid w:val="00837ED1"/>
    <w:rsid w:val="0084019C"/>
    <w:rsid w:val="00840305"/>
    <w:rsid w:val="008403EA"/>
    <w:rsid w:val="008403F4"/>
    <w:rsid w:val="00840424"/>
    <w:rsid w:val="008405C3"/>
    <w:rsid w:val="0084096A"/>
    <w:rsid w:val="00840A12"/>
    <w:rsid w:val="00840A93"/>
    <w:rsid w:val="0084101F"/>
    <w:rsid w:val="00841034"/>
    <w:rsid w:val="00841037"/>
    <w:rsid w:val="008410CB"/>
    <w:rsid w:val="00841168"/>
    <w:rsid w:val="00841185"/>
    <w:rsid w:val="00841199"/>
    <w:rsid w:val="008411BC"/>
    <w:rsid w:val="00841216"/>
    <w:rsid w:val="008414E8"/>
    <w:rsid w:val="008415FA"/>
    <w:rsid w:val="008416B8"/>
    <w:rsid w:val="00841773"/>
    <w:rsid w:val="00841846"/>
    <w:rsid w:val="00841C0A"/>
    <w:rsid w:val="00841E4E"/>
    <w:rsid w:val="008421D5"/>
    <w:rsid w:val="00842453"/>
    <w:rsid w:val="008424DC"/>
    <w:rsid w:val="0084289F"/>
    <w:rsid w:val="00842BB8"/>
    <w:rsid w:val="00842C6A"/>
    <w:rsid w:val="00842D37"/>
    <w:rsid w:val="00842E28"/>
    <w:rsid w:val="00842E29"/>
    <w:rsid w:val="00843353"/>
    <w:rsid w:val="0084362A"/>
    <w:rsid w:val="0084374D"/>
    <w:rsid w:val="008437D4"/>
    <w:rsid w:val="00843850"/>
    <w:rsid w:val="00843965"/>
    <w:rsid w:val="00843AC5"/>
    <w:rsid w:val="00843C2E"/>
    <w:rsid w:val="00843CE4"/>
    <w:rsid w:val="00843CFE"/>
    <w:rsid w:val="00843E7E"/>
    <w:rsid w:val="00843F5B"/>
    <w:rsid w:val="00843F62"/>
    <w:rsid w:val="008446EA"/>
    <w:rsid w:val="00844718"/>
    <w:rsid w:val="00844738"/>
    <w:rsid w:val="008447D5"/>
    <w:rsid w:val="008449E1"/>
    <w:rsid w:val="00844B38"/>
    <w:rsid w:val="00844BCC"/>
    <w:rsid w:val="00844BFC"/>
    <w:rsid w:val="00844E31"/>
    <w:rsid w:val="00845060"/>
    <w:rsid w:val="00845490"/>
    <w:rsid w:val="0084558A"/>
    <w:rsid w:val="008455EC"/>
    <w:rsid w:val="00845698"/>
    <w:rsid w:val="008456D2"/>
    <w:rsid w:val="00845723"/>
    <w:rsid w:val="00845A2B"/>
    <w:rsid w:val="00845AFC"/>
    <w:rsid w:val="00845EB3"/>
    <w:rsid w:val="00845F34"/>
    <w:rsid w:val="00845F52"/>
    <w:rsid w:val="00846072"/>
    <w:rsid w:val="008460EF"/>
    <w:rsid w:val="008463A0"/>
    <w:rsid w:val="0084665F"/>
    <w:rsid w:val="008468F9"/>
    <w:rsid w:val="00846979"/>
    <w:rsid w:val="00846CB6"/>
    <w:rsid w:val="00846FEB"/>
    <w:rsid w:val="008471B8"/>
    <w:rsid w:val="008472F6"/>
    <w:rsid w:val="008472F9"/>
    <w:rsid w:val="008473C0"/>
    <w:rsid w:val="00847625"/>
    <w:rsid w:val="00847719"/>
    <w:rsid w:val="00847B59"/>
    <w:rsid w:val="00847CCB"/>
    <w:rsid w:val="00847E0C"/>
    <w:rsid w:val="00850179"/>
    <w:rsid w:val="008501D2"/>
    <w:rsid w:val="008501EE"/>
    <w:rsid w:val="00850266"/>
    <w:rsid w:val="008502D8"/>
    <w:rsid w:val="0085037A"/>
    <w:rsid w:val="00850A51"/>
    <w:rsid w:val="00850A5B"/>
    <w:rsid w:val="00850A9C"/>
    <w:rsid w:val="00850AA1"/>
    <w:rsid w:val="00850B4A"/>
    <w:rsid w:val="00850B7A"/>
    <w:rsid w:val="00850D9B"/>
    <w:rsid w:val="00850E36"/>
    <w:rsid w:val="00850E5C"/>
    <w:rsid w:val="00850F7B"/>
    <w:rsid w:val="00851105"/>
    <w:rsid w:val="00851166"/>
    <w:rsid w:val="0085145C"/>
    <w:rsid w:val="00851965"/>
    <w:rsid w:val="008519F7"/>
    <w:rsid w:val="00851A08"/>
    <w:rsid w:val="00851E59"/>
    <w:rsid w:val="00851EE8"/>
    <w:rsid w:val="00852208"/>
    <w:rsid w:val="0085220B"/>
    <w:rsid w:val="00852488"/>
    <w:rsid w:val="0085252D"/>
    <w:rsid w:val="00852606"/>
    <w:rsid w:val="008526EE"/>
    <w:rsid w:val="00852922"/>
    <w:rsid w:val="00852A21"/>
    <w:rsid w:val="00852A6A"/>
    <w:rsid w:val="00852AB0"/>
    <w:rsid w:val="00852CC3"/>
    <w:rsid w:val="00852E86"/>
    <w:rsid w:val="00852FF8"/>
    <w:rsid w:val="008530E9"/>
    <w:rsid w:val="008534D3"/>
    <w:rsid w:val="008534FD"/>
    <w:rsid w:val="00853802"/>
    <w:rsid w:val="00853B6B"/>
    <w:rsid w:val="00853D24"/>
    <w:rsid w:val="00853D41"/>
    <w:rsid w:val="00853E42"/>
    <w:rsid w:val="00854510"/>
    <w:rsid w:val="00854681"/>
    <w:rsid w:val="008546E9"/>
    <w:rsid w:val="00854D7B"/>
    <w:rsid w:val="00854DBC"/>
    <w:rsid w:val="00854E62"/>
    <w:rsid w:val="00854EF3"/>
    <w:rsid w:val="00854F2F"/>
    <w:rsid w:val="00854F3A"/>
    <w:rsid w:val="00854F73"/>
    <w:rsid w:val="00854FFF"/>
    <w:rsid w:val="008551A9"/>
    <w:rsid w:val="00855287"/>
    <w:rsid w:val="008552E8"/>
    <w:rsid w:val="00855363"/>
    <w:rsid w:val="008557C2"/>
    <w:rsid w:val="00855984"/>
    <w:rsid w:val="00855AFC"/>
    <w:rsid w:val="00855B2F"/>
    <w:rsid w:val="00855D2D"/>
    <w:rsid w:val="00856223"/>
    <w:rsid w:val="00856318"/>
    <w:rsid w:val="00856324"/>
    <w:rsid w:val="00856438"/>
    <w:rsid w:val="008566BA"/>
    <w:rsid w:val="008567AC"/>
    <w:rsid w:val="008567CA"/>
    <w:rsid w:val="00856C27"/>
    <w:rsid w:val="00856CAF"/>
    <w:rsid w:val="00856CBA"/>
    <w:rsid w:val="00856CEC"/>
    <w:rsid w:val="00856EAD"/>
    <w:rsid w:val="00856F8C"/>
    <w:rsid w:val="00856FDD"/>
    <w:rsid w:val="00857080"/>
    <w:rsid w:val="00857447"/>
    <w:rsid w:val="008574DB"/>
    <w:rsid w:val="008575A4"/>
    <w:rsid w:val="008576E7"/>
    <w:rsid w:val="00857719"/>
    <w:rsid w:val="00857AC4"/>
    <w:rsid w:val="00857AFC"/>
    <w:rsid w:val="00857D52"/>
    <w:rsid w:val="00857E3B"/>
    <w:rsid w:val="00860088"/>
    <w:rsid w:val="00860226"/>
    <w:rsid w:val="00860425"/>
    <w:rsid w:val="00860442"/>
    <w:rsid w:val="008604D5"/>
    <w:rsid w:val="008605AF"/>
    <w:rsid w:val="0086066A"/>
    <w:rsid w:val="00860686"/>
    <w:rsid w:val="00860A0F"/>
    <w:rsid w:val="00860A16"/>
    <w:rsid w:val="00860A43"/>
    <w:rsid w:val="00860B07"/>
    <w:rsid w:val="00860B48"/>
    <w:rsid w:val="00860CC1"/>
    <w:rsid w:val="00860D0A"/>
    <w:rsid w:val="00861056"/>
    <w:rsid w:val="00861310"/>
    <w:rsid w:val="008613FA"/>
    <w:rsid w:val="00861636"/>
    <w:rsid w:val="00861687"/>
    <w:rsid w:val="00861713"/>
    <w:rsid w:val="00861780"/>
    <w:rsid w:val="008617C2"/>
    <w:rsid w:val="00861922"/>
    <w:rsid w:val="008619E4"/>
    <w:rsid w:val="00861A8E"/>
    <w:rsid w:val="00861B45"/>
    <w:rsid w:val="00861BFF"/>
    <w:rsid w:val="00861C08"/>
    <w:rsid w:val="00861C17"/>
    <w:rsid w:val="00861C61"/>
    <w:rsid w:val="00861DBA"/>
    <w:rsid w:val="00861E2F"/>
    <w:rsid w:val="00861E72"/>
    <w:rsid w:val="00861EAE"/>
    <w:rsid w:val="00861F10"/>
    <w:rsid w:val="0086209D"/>
    <w:rsid w:val="00862329"/>
    <w:rsid w:val="008623AC"/>
    <w:rsid w:val="00862425"/>
    <w:rsid w:val="00862C51"/>
    <w:rsid w:val="00862C77"/>
    <w:rsid w:val="00862E17"/>
    <w:rsid w:val="00862F18"/>
    <w:rsid w:val="008631EF"/>
    <w:rsid w:val="0086324F"/>
    <w:rsid w:val="008632D4"/>
    <w:rsid w:val="008633D9"/>
    <w:rsid w:val="0086352C"/>
    <w:rsid w:val="008636A1"/>
    <w:rsid w:val="0086371B"/>
    <w:rsid w:val="00863814"/>
    <w:rsid w:val="00863846"/>
    <w:rsid w:val="00863AC4"/>
    <w:rsid w:val="00863B29"/>
    <w:rsid w:val="00863B57"/>
    <w:rsid w:val="00863C50"/>
    <w:rsid w:val="00863D90"/>
    <w:rsid w:val="00863F00"/>
    <w:rsid w:val="00863F96"/>
    <w:rsid w:val="00864260"/>
    <w:rsid w:val="008642E0"/>
    <w:rsid w:val="0086437D"/>
    <w:rsid w:val="008643DA"/>
    <w:rsid w:val="0086447A"/>
    <w:rsid w:val="00864708"/>
    <w:rsid w:val="00864765"/>
    <w:rsid w:val="0086477A"/>
    <w:rsid w:val="008647AA"/>
    <w:rsid w:val="008649A8"/>
    <w:rsid w:val="00864AF9"/>
    <w:rsid w:val="00864BBB"/>
    <w:rsid w:val="00864C8A"/>
    <w:rsid w:val="00864CC5"/>
    <w:rsid w:val="00864D64"/>
    <w:rsid w:val="00864DBF"/>
    <w:rsid w:val="00864E6E"/>
    <w:rsid w:val="00864FCE"/>
    <w:rsid w:val="0086505C"/>
    <w:rsid w:val="0086512B"/>
    <w:rsid w:val="0086552D"/>
    <w:rsid w:val="00865596"/>
    <w:rsid w:val="00865713"/>
    <w:rsid w:val="00865B59"/>
    <w:rsid w:val="00865E17"/>
    <w:rsid w:val="00866196"/>
    <w:rsid w:val="008662A0"/>
    <w:rsid w:val="0086631B"/>
    <w:rsid w:val="00866335"/>
    <w:rsid w:val="008663C1"/>
    <w:rsid w:val="008665F4"/>
    <w:rsid w:val="00866650"/>
    <w:rsid w:val="00866DE0"/>
    <w:rsid w:val="00866E5C"/>
    <w:rsid w:val="00866E6D"/>
    <w:rsid w:val="00867038"/>
    <w:rsid w:val="008670C7"/>
    <w:rsid w:val="00867166"/>
    <w:rsid w:val="00867192"/>
    <w:rsid w:val="008671D1"/>
    <w:rsid w:val="0086767C"/>
    <w:rsid w:val="00867714"/>
    <w:rsid w:val="00867758"/>
    <w:rsid w:val="008678CA"/>
    <w:rsid w:val="00867A16"/>
    <w:rsid w:val="00867B0A"/>
    <w:rsid w:val="00867B8E"/>
    <w:rsid w:val="00867C61"/>
    <w:rsid w:val="00867C91"/>
    <w:rsid w:val="00867F7E"/>
    <w:rsid w:val="0087015B"/>
    <w:rsid w:val="008702C6"/>
    <w:rsid w:val="0087052F"/>
    <w:rsid w:val="0087059B"/>
    <w:rsid w:val="008707DD"/>
    <w:rsid w:val="0087082B"/>
    <w:rsid w:val="00870925"/>
    <w:rsid w:val="00870929"/>
    <w:rsid w:val="00870AB6"/>
    <w:rsid w:val="00870C0B"/>
    <w:rsid w:val="00870C58"/>
    <w:rsid w:val="00870FCE"/>
    <w:rsid w:val="00871125"/>
    <w:rsid w:val="00871189"/>
    <w:rsid w:val="00871302"/>
    <w:rsid w:val="0087144C"/>
    <w:rsid w:val="00871582"/>
    <w:rsid w:val="008715B5"/>
    <w:rsid w:val="0087198D"/>
    <w:rsid w:val="00871B41"/>
    <w:rsid w:val="00871CF1"/>
    <w:rsid w:val="00871E1B"/>
    <w:rsid w:val="00871E37"/>
    <w:rsid w:val="00871F95"/>
    <w:rsid w:val="00871FB0"/>
    <w:rsid w:val="00871FE0"/>
    <w:rsid w:val="00872280"/>
    <w:rsid w:val="0087237A"/>
    <w:rsid w:val="00872814"/>
    <w:rsid w:val="008729CE"/>
    <w:rsid w:val="00872F6B"/>
    <w:rsid w:val="0087339D"/>
    <w:rsid w:val="008736F6"/>
    <w:rsid w:val="008737A0"/>
    <w:rsid w:val="00873901"/>
    <w:rsid w:val="008739E2"/>
    <w:rsid w:val="00873A10"/>
    <w:rsid w:val="00873C6F"/>
    <w:rsid w:val="00874027"/>
    <w:rsid w:val="0087418A"/>
    <w:rsid w:val="0087425A"/>
    <w:rsid w:val="00874379"/>
    <w:rsid w:val="0087438E"/>
    <w:rsid w:val="008743BB"/>
    <w:rsid w:val="008744FE"/>
    <w:rsid w:val="008746BA"/>
    <w:rsid w:val="008747D2"/>
    <w:rsid w:val="00874885"/>
    <w:rsid w:val="00874AD1"/>
    <w:rsid w:val="00874C46"/>
    <w:rsid w:val="00874DF6"/>
    <w:rsid w:val="00874EBC"/>
    <w:rsid w:val="00874F4F"/>
    <w:rsid w:val="00874FC6"/>
    <w:rsid w:val="008750AD"/>
    <w:rsid w:val="008751D6"/>
    <w:rsid w:val="0087534A"/>
    <w:rsid w:val="0087592E"/>
    <w:rsid w:val="00875A40"/>
    <w:rsid w:val="00875A49"/>
    <w:rsid w:val="00875A6D"/>
    <w:rsid w:val="00875A8E"/>
    <w:rsid w:val="00875B90"/>
    <w:rsid w:val="00875D09"/>
    <w:rsid w:val="00875E39"/>
    <w:rsid w:val="0087602B"/>
    <w:rsid w:val="00876282"/>
    <w:rsid w:val="00876316"/>
    <w:rsid w:val="00876730"/>
    <w:rsid w:val="008767E6"/>
    <w:rsid w:val="008768DC"/>
    <w:rsid w:val="00876A47"/>
    <w:rsid w:val="00876B6E"/>
    <w:rsid w:val="00876DBB"/>
    <w:rsid w:val="00876F50"/>
    <w:rsid w:val="00877184"/>
    <w:rsid w:val="0087780D"/>
    <w:rsid w:val="00877A41"/>
    <w:rsid w:val="00877B22"/>
    <w:rsid w:val="00877F36"/>
    <w:rsid w:val="0088016F"/>
    <w:rsid w:val="008802AD"/>
    <w:rsid w:val="0088032D"/>
    <w:rsid w:val="0088036B"/>
    <w:rsid w:val="00880397"/>
    <w:rsid w:val="008804D4"/>
    <w:rsid w:val="00880529"/>
    <w:rsid w:val="00880751"/>
    <w:rsid w:val="00880778"/>
    <w:rsid w:val="00880864"/>
    <w:rsid w:val="008809A9"/>
    <w:rsid w:val="00880E1A"/>
    <w:rsid w:val="00880F28"/>
    <w:rsid w:val="00881477"/>
    <w:rsid w:val="0088166B"/>
    <w:rsid w:val="00881C5C"/>
    <w:rsid w:val="00881D39"/>
    <w:rsid w:val="00881E13"/>
    <w:rsid w:val="00881EEB"/>
    <w:rsid w:val="008820DC"/>
    <w:rsid w:val="0088222D"/>
    <w:rsid w:val="00882354"/>
    <w:rsid w:val="008823BF"/>
    <w:rsid w:val="00882806"/>
    <w:rsid w:val="00882907"/>
    <w:rsid w:val="00882A9F"/>
    <w:rsid w:val="00882B2E"/>
    <w:rsid w:val="00882DC2"/>
    <w:rsid w:val="00882F53"/>
    <w:rsid w:val="008832F0"/>
    <w:rsid w:val="0088385E"/>
    <w:rsid w:val="00883E60"/>
    <w:rsid w:val="00883FF4"/>
    <w:rsid w:val="0088404D"/>
    <w:rsid w:val="0088448B"/>
    <w:rsid w:val="0088453C"/>
    <w:rsid w:val="008845FD"/>
    <w:rsid w:val="008846EB"/>
    <w:rsid w:val="0088470F"/>
    <w:rsid w:val="00884714"/>
    <w:rsid w:val="00884767"/>
    <w:rsid w:val="00884962"/>
    <w:rsid w:val="00884D05"/>
    <w:rsid w:val="00884D0D"/>
    <w:rsid w:val="00884DBF"/>
    <w:rsid w:val="00884F66"/>
    <w:rsid w:val="00885085"/>
    <w:rsid w:val="00885396"/>
    <w:rsid w:val="008857CE"/>
    <w:rsid w:val="008859EB"/>
    <w:rsid w:val="00885A2E"/>
    <w:rsid w:val="00885C96"/>
    <w:rsid w:val="00885CA2"/>
    <w:rsid w:val="00885CA5"/>
    <w:rsid w:val="00885CE0"/>
    <w:rsid w:val="00885D41"/>
    <w:rsid w:val="0088603F"/>
    <w:rsid w:val="00886509"/>
    <w:rsid w:val="0088651E"/>
    <w:rsid w:val="00886587"/>
    <w:rsid w:val="00886697"/>
    <w:rsid w:val="008867C1"/>
    <w:rsid w:val="008867D2"/>
    <w:rsid w:val="008867DF"/>
    <w:rsid w:val="008868F5"/>
    <w:rsid w:val="008869A1"/>
    <w:rsid w:val="00886D8E"/>
    <w:rsid w:val="00886FEC"/>
    <w:rsid w:val="008871B7"/>
    <w:rsid w:val="0088746B"/>
    <w:rsid w:val="008874DD"/>
    <w:rsid w:val="00887906"/>
    <w:rsid w:val="00887983"/>
    <w:rsid w:val="00887AA3"/>
    <w:rsid w:val="00887B4B"/>
    <w:rsid w:val="00887C1F"/>
    <w:rsid w:val="00887DF9"/>
    <w:rsid w:val="00890045"/>
    <w:rsid w:val="00890175"/>
    <w:rsid w:val="00890196"/>
    <w:rsid w:val="00890214"/>
    <w:rsid w:val="00890248"/>
    <w:rsid w:val="008904B1"/>
    <w:rsid w:val="008904E2"/>
    <w:rsid w:val="00890649"/>
    <w:rsid w:val="008906F1"/>
    <w:rsid w:val="00890860"/>
    <w:rsid w:val="00890B5E"/>
    <w:rsid w:val="00890B62"/>
    <w:rsid w:val="00890B8A"/>
    <w:rsid w:val="00890C78"/>
    <w:rsid w:val="00890F62"/>
    <w:rsid w:val="00890F79"/>
    <w:rsid w:val="0089115B"/>
    <w:rsid w:val="0089123F"/>
    <w:rsid w:val="00891331"/>
    <w:rsid w:val="00891426"/>
    <w:rsid w:val="008914CB"/>
    <w:rsid w:val="0089154E"/>
    <w:rsid w:val="0089186E"/>
    <w:rsid w:val="00891955"/>
    <w:rsid w:val="00891A03"/>
    <w:rsid w:val="00891A7E"/>
    <w:rsid w:val="00891D7F"/>
    <w:rsid w:val="00892037"/>
    <w:rsid w:val="00892191"/>
    <w:rsid w:val="00892202"/>
    <w:rsid w:val="00892380"/>
    <w:rsid w:val="0089279C"/>
    <w:rsid w:val="00892843"/>
    <w:rsid w:val="00892CDF"/>
    <w:rsid w:val="00892D92"/>
    <w:rsid w:val="00892D93"/>
    <w:rsid w:val="00892DCC"/>
    <w:rsid w:val="00892EB8"/>
    <w:rsid w:val="00892F2D"/>
    <w:rsid w:val="00892FF7"/>
    <w:rsid w:val="008931E1"/>
    <w:rsid w:val="008933AC"/>
    <w:rsid w:val="00893672"/>
    <w:rsid w:val="008937BC"/>
    <w:rsid w:val="0089381C"/>
    <w:rsid w:val="00893AF7"/>
    <w:rsid w:val="00893BDE"/>
    <w:rsid w:val="00893C2C"/>
    <w:rsid w:val="00893CA9"/>
    <w:rsid w:val="00893E06"/>
    <w:rsid w:val="00893E55"/>
    <w:rsid w:val="00893F2B"/>
    <w:rsid w:val="008941DA"/>
    <w:rsid w:val="008943AF"/>
    <w:rsid w:val="00894493"/>
    <w:rsid w:val="0089457E"/>
    <w:rsid w:val="00894672"/>
    <w:rsid w:val="008948D6"/>
    <w:rsid w:val="00894CE5"/>
    <w:rsid w:val="00894CF3"/>
    <w:rsid w:val="00894F2A"/>
    <w:rsid w:val="008950A3"/>
    <w:rsid w:val="008951B0"/>
    <w:rsid w:val="00895597"/>
    <w:rsid w:val="008957D4"/>
    <w:rsid w:val="00895917"/>
    <w:rsid w:val="00895AA1"/>
    <w:rsid w:val="00895BA2"/>
    <w:rsid w:val="00895DDE"/>
    <w:rsid w:val="00896264"/>
    <w:rsid w:val="0089629F"/>
    <w:rsid w:val="00896345"/>
    <w:rsid w:val="008963DB"/>
    <w:rsid w:val="00896485"/>
    <w:rsid w:val="00896A15"/>
    <w:rsid w:val="00896A5B"/>
    <w:rsid w:val="00896B73"/>
    <w:rsid w:val="00896BCF"/>
    <w:rsid w:val="00896C37"/>
    <w:rsid w:val="00896CB5"/>
    <w:rsid w:val="00896F24"/>
    <w:rsid w:val="00896F78"/>
    <w:rsid w:val="008971AE"/>
    <w:rsid w:val="00897702"/>
    <w:rsid w:val="00897937"/>
    <w:rsid w:val="008979B1"/>
    <w:rsid w:val="00897CD5"/>
    <w:rsid w:val="00897DD2"/>
    <w:rsid w:val="00897E19"/>
    <w:rsid w:val="00897F5E"/>
    <w:rsid w:val="008A019D"/>
    <w:rsid w:val="008A028E"/>
    <w:rsid w:val="008A045A"/>
    <w:rsid w:val="008A04E9"/>
    <w:rsid w:val="008A0533"/>
    <w:rsid w:val="008A058A"/>
    <w:rsid w:val="008A0646"/>
    <w:rsid w:val="008A0A9F"/>
    <w:rsid w:val="008A1229"/>
    <w:rsid w:val="008A1296"/>
    <w:rsid w:val="008A1373"/>
    <w:rsid w:val="008A13B7"/>
    <w:rsid w:val="008A13D7"/>
    <w:rsid w:val="008A1464"/>
    <w:rsid w:val="008A1504"/>
    <w:rsid w:val="008A1C35"/>
    <w:rsid w:val="008A1DAC"/>
    <w:rsid w:val="008A1E55"/>
    <w:rsid w:val="008A1FBF"/>
    <w:rsid w:val="008A21AD"/>
    <w:rsid w:val="008A228E"/>
    <w:rsid w:val="008A249B"/>
    <w:rsid w:val="008A27A8"/>
    <w:rsid w:val="008A27FE"/>
    <w:rsid w:val="008A282A"/>
    <w:rsid w:val="008A2992"/>
    <w:rsid w:val="008A299F"/>
    <w:rsid w:val="008A2A8E"/>
    <w:rsid w:val="008A2F8B"/>
    <w:rsid w:val="008A354F"/>
    <w:rsid w:val="008A364D"/>
    <w:rsid w:val="008A36A1"/>
    <w:rsid w:val="008A36C6"/>
    <w:rsid w:val="008A36DC"/>
    <w:rsid w:val="008A3B47"/>
    <w:rsid w:val="008A3EAC"/>
    <w:rsid w:val="008A42AA"/>
    <w:rsid w:val="008A440A"/>
    <w:rsid w:val="008A440C"/>
    <w:rsid w:val="008A46A1"/>
    <w:rsid w:val="008A4AE7"/>
    <w:rsid w:val="008A4BFA"/>
    <w:rsid w:val="008A4C29"/>
    <w:rsid w:val="008A4CBA"/>
    <w:rsid w:val="008A4D6E"/>
    <w:rsid w:val="008A4ED8"/>
    <w:rsid w:val="008A4F0B"/>
    <w:rsid w:val="008A5111"/>
    <w:rsid w:val="008A51B4"/>
    <w:rsid w:val="008A5963"/>
    <w:rsid w:val="008A5BD0"/>
    <w:rsid w:val="008A5DA0"/>
    <w:rsid w:val="008A5E32"/>
    <w:rsid w:val="008A5E3D"/>
    <w:rsid w:val="008A5E8D"/>
    <w:rsid w:val="008A60B1"/>
    <w:rsid w:val="008A6438"/>
    <w:rsid w:val="008A64A5"/>
    <w:rsid w:val="008A658D"/>
    <w:rsid w:val="008A672D"/>
    <w:rsid w:val="008A682F"/>
    <w:rsid w:val="008A684C"/>
    <w:rsid w:val="008A6975"/>
    <w:rsid w:val="008A6C86"/>
    <w:rsid w:val="008A6D08"/>
    <w:rsid w:val="008A6F9C"/>
    <w:rsid w:val="008A71E0"/>
    <w:rsid w:val="008A71F7"/>
    <w:rsid w:val="008A76C8"/>
    <w:rsid w:val="008A78A1"/>
    <w:rsid w:val="008A7A51"/>
    <w:rsid w:val="008A7B82"/>
    <w:rsid w:val="008A7D7E"/>
    <w:rsid w:val="008A7D97"/>
    <w:rsid w:val="008A7DDD"/>
    <w:rsid w:val="008A7EC2"/>
    <w:rsid w:val="008A7F45"/>
    <w:rsid w:val="008B0706"/>
    <w:rsid w:val="008B0765"/>
    <w:rsid w:val="008B07E6"/>
    <w:rsid w:val="008B0881"/>
    <w:rsid w:val="008B08E0"/>
    <w:rsid w:val="008B0A47"/>
    <w:rsid w:val="008B0B55"/>
    <w:rsid w:val="008B0C33"/>
    <w:rsid w:val="008B0DFD"/>
    <w:rsid w:val="008B0E3C"/>
    <w:rsid w:val="008B0E86"/>
    <w:rsid w:val="008B0E8E"/>
    <w:rsid w:val="008B0EB2"/>
    <w:rsid w:val="008B0FD1"/>
    <w:rsid w:val="008B12C5"/>
    <w:rsid w:val="008B130D"/>
    <w:rsid w:val="008B13E9"/>
    <w:rsid w:val="008B1405"/>
    <w:rsid w:val="008B15A8"/>
    <w:rsid w:val="008B16AE"/>
    <w:rsid w:val="008B1A85"/>
    <w:rsid w:val="008B1DAA"/>
    <w:rsid w:val="008B200D"/>
    <w:rsid w:val="008B20EF"/>
    <w:rsid w:val="008B211D"/>
    <w:rsid w:val="008B212E"/>
    <w:rsid w:val="008B2248"/>
    <w:rsid w:val="008B2684"/>
    <w:rsid w:val="008B2778"/>
    <w:rsid w:val="008B2781"/>
    <w:rsid w:val="008B2855"/>
    <w:rsid w:val="008B2D02"/>
    <w:rsid w:val="008B2DD5"/>
    <w:rsid w:val="008B2F25"/>
    <w:rsid w:val="008B3056"/>
    <w:rsid w:val="008B30A5"/>
    <w:rsid w:val="008B32AD"/>
    <w:rsid w:val="008B3356"/>
    <w:rsid w:val="008B33A5"/>
    <w:rsid w:val="008B3688"/>
    <w:rsid w:val="008B36C5"/>
    <w:rsid w:val="008B36E5"/>
    <w:rsid w:val="008B37DC"/>
    <w:rsid w:val="008B3AD3"/>
    <w:rsid w:val="008B3B90"/>
    <w:rsid w:val="008B3D99"/>
    <w:rsid w:val="008B3E38"/>
    <w:rsid w:val="008B3EC4"/>
    <w:rsid w:val="008B3ED2"/>
    <w:rsid w:val="008B4058"/>
    <w:rsid w:val="008B429B"/>
    <w:rsid w:val="008B4393"/>
    <w:rsid w:val="008B4576"/>
    <w:rsid w:val="008B4629"/>
    <w:rsid w:val="008B4636"/>
    <w:rsid w:val="008B4736"/>
    <w:rsid w:val="008B478C"/>
    <w:rsid w:val="008B487E"/>
    <w:rsid w:val="008B4887"/>
    <w:rsid w:val="008B4A26"/>
    <w:rsid w:val="008B4AF5"/>
    <w:rsid w:val="008B4BB0"/>
    <w:rsid w:val="008B4D3B"/>
    <w:rsid w:val="008B4D4E"/>
    <w:rsid w:val="008B4F79"/>
    <w:rsid w:val="008B5048"/>
    <w:rsid w:val="008B5070"/>
    <w:rsid w:val="008B51EB"/>
    <w:rsid w:val="008B5210"/>
    <w:rsid w:val="008B5387"/>
    <w:rsid w:val="008B539C"/>
    <w:rsid w:val="008B5499"/>
    <w:rsid w:val="008B5555"/>
    <w:rsid w:val="008B55E6"/>
    <w:rsid w:val="008B586E"/>
    <w:rsid w:val="008B5A63"/>
    <w:rsid w:val="008B5C10"/>
    <w:rsid w:val="008B5C4A"/>
    <w:rsid w:val="008B5CA0"/>
    <w:rsid w:val="008B5E56"/>
    <w:rsid w:val="008B5F75"/>
    <w:rsid w:val="008B5F8F"/>
    <w:rsid w:val="008B5FC5"/>
    <w:rsid w:val="008B6142"/>
    <w:rsid w:val="008B61A9"/>
    <w:rsid w:val="008B6381"/>
    <w:rsid w:val="008B63BD"/>
    <w:rsid w:val="008B63D9"/>
    <w:rsid w:val="008B644F"/>
    <w:rsid w:val="008B6793"/>
    <w:rsid w:val="008B67D0"/>
    <w:rsid w:val="008B687F"/>
    <w:rsid w:val="008B6B3A"/>
    <w:rsid w:val="008B6B80"/>
    <w:rsid w:val="008B6E5F"/>
    <w:rsid w:val="008B70C4"/>
    <w:rsid w:val="008B73A0"/>
    <w:rsid w:val="008B74A3"/>
    <w:rsid w:val="008B7613"/>
    <w:rsid w:val="008B77AB"/>
    <w:rsid w:val="008B7823"/>
    <w:rsid w:val="008B788C"/>
    <w:rsid w:val="008B7946"/>
    <w:rsid w:val="008B7A0A"/>
    <w:rsid w:val="008B7A64"/>
    <w:rsid w:val="008B7B23"/>
    <w:rsid w:val="008B7B32"/>
    <w:rsid w:val="008B7D58"/>
    <w:rsid w:val="008B7DBF"/>
    <w:rsid w:val="008B7DEE"/>
    <w:rsid w:val="008C01AD"/>
    <w:rsid w:val="008C0249"/>
    <w:rsid w:val="008C02FE"/>
    <w:rsid w:val="008C03A3"/>
    <w:rsid w:val="008C0412"/>
    <w:rsid w:val="008C048C"/>
    <w:rsid w:val="008C0597"/>
    <w:rsid w:val="008C0A6E"/>
    <w:rsid w:val="008C0A82"/>
    <w:rsid w:val="008C0B19"/>
    <w:rsid w:val="008C0C62"/>
    <w:rsid w:val="008C0C67"/>
    <w:rsid w:val="008C0F67"/>
    <w:rsid w:val="008C1099"/>
    <w:rsid w:val="008C10A1"/>
    <w:rsid w:val="008C11B5"/>
    <w:rsid w:val="008C124F"/>
    <w:rsid w:val="008C127C"/>
    <w:rsid w:val="008C12A1"/>
    <w:rsid w:val="008C13F8"/>
    <w:rsid w:val="008C1452"/>
    <w:rsid w:val="008C16EA"/>
    <w:rsid w:val="008C18A9"/>
    <w:rsid w:val="008C194D"/>
    <w:rsid w:val="008C1B5A"/>
    <w:rsid w:val="008C1BB9"/>
    <w:rsid w:val="008C1D8E"/>
    <w:rsid w:val="008C2012"/>
    <w:rsid w:val="008C20D1"/>
    <w:rsid w:val="008C212B"/>
    <w:rsid w:val="008C224F"/>
    <w:rsid w:val="008C2395"/>
    <w:rsid w:val="008C240C"/>
    <w:rsid w:val="008C2415"/>
    <w:rsid w:val="008C25A6"/>
    <w:rsid w:val="008C25AC"/>
    <w:rsid w:val="008C25BC"/>
    <w:rsid w:val="008C2A98"/>
    <w:rsid w:val="008C2ADC"/>
    <w:rsid w:val="008C2B70"/>
    <w:rsid w:val="008C2BAA"/>
    <w:rsid w:val="008C2C11"/>
    <w:rsid w:val="008C2F0B"/>
    <w:rsid w:val="008C2F5E"/>
    <w:rsid w:val="008C323A"/>
    <w:rsid w:val="008C32C3"/>
    <w:rsid w:val="008C32F0"/>
    <w:rsid w:val="008C3462"/>
    <w:rsid w:val="008C349E"/>
    <w:rsid w:val="008C34ED"/>
    <w:rsid w:val="008C3713"/>
    <w:rsid w:val="008C37AF"/>
    <w:rsid w:val="008C37BD"/>
    <w:rsid w:val="008C388D"/>
    <w:rsid w:val="008C39E4"/>
    <w:rsid w:val="008C3B36"/>
    <w:rsid w:val="008C3B9C"/>
    <w:rsid w:val="008C3CEA"/>
    <w:rsid w:val="008C3CFC"/>
    <w:rsid w:val="008C3F1E"/>
    <w:rsid w:val="008C4D89"/>
    <w:rsid w:val="008C4E6F"/>
    <w:rsid w:val="008C5037"/>
    <w:rsid w:val="008C50C7"/>
    <w:rsid w:val="008C50F6"/>
    <w:rsid w:val="008C5117"/>
    <w:rsid w:val="008C548B"/>
    <w:rsid w:val="008C5503"/>
    <w:rsid w:val="008C5747"/>
    <w:rsid w:val="008C5997"/>
    <w:rsid w:val="008C5AD3"/>
    <w:rsid w:val="008C5C68"/>
    <w:rsid w:val="008C5CCC"/>
    <w:rsid w:val="008C5D20"/>
    <w:rsid w:val="008C5E9F"/>
    <w:rsid w:val="008C61A4"/>
    <w:rsid w:val="008C6281"/>
    <w:rsid w:val="008C630E"/>
    <w:rsid w:val="008C6331"/>
    <w:rsid w:val="008C645C"/>
    <w:rsid w:val="008C6500"/>
    <w:rsid w:val="008C65DF"/>
    <w:rsid w:val="008C6916"/>
    <w:rsid w:val="008C6988"/>
    <w:rsid w:val="008C6BE0"/>
    <w:rsid w:val="008C6C61"/>
    <w:rsid w:val="008C6DD9"/>
    <w:rsid w:val="008C7006"/>
    <w:rsid w:val="008C709D"/>
    <w:rsid w:val="008C73C1"/>
    <w:rsid w:val="008C742A"/>
    <w:rsid w:val="008C754C"/>
    <w:rsid w:val="008C7765"/>
    <w:rsid w:val="008C778F"/>
    <w:rsid w:val="008C7A14"/>
    <w:rsid w:val="008C7B7D"/>
    <w:rsid w:val="008C7C60"/>
    <w:rsid w:val="008C7D49"/>
    <w:rsid w:val="008C7DED"/>
    <w:rsid w:val="008C7E73"/>
    <w:rsid w:val="008C7F0E"/>
    <w:rsid w:val="008D0028"/>
    <w:rsid w:val="008D03D2"/>
    <w:rsid w:val="008D041F"/>
    <w:rsid w:val="008D0911"/>
    <w:rsid w:val="008D092E"/>
    <w:rsid w:val="008D0B3D"/>
    <w:rsid w:val="008D0C04"/>
    <w:rsid w:val="008D0C38"/>
    <w:rsid w:val="008D0D0C"/>
    <w:rsid w:val="008D10B7"/>
    <w:rsid w:val="008D10E9"/>
    <w:rsid w:val="008D11CA"/>
    <w:rsid w:val="008D13E1"/>
    <w:rsid w:val="008D1485"/>
    <w:rsid w:val="008D1523"/>
    <w:rsid w:val="008D15A8"/>
    <w:rsid w:val="008D1603"/>
    <w:rsid w:val="008D1773"/>
    <w:rsid w:val="008D17AF"/>
    <w:rsid w:val="008D1903"/>
    <w:rsid w:val="008D190D"/>
    <w:rsid w:val="008D1BFA"/>
    <w:rsid w:val="008D1BFE"/>
    <w:rsid w:val="008D1CDE"/>
    <w:rsid w:val="008D1D7C"/>
    <w:rsid w:val="008D1EC9"/>
    <w:rsid w:val="008D20D3"/>
    <w:rsid w:val="008D216E"/>
    <w:rsid w:val="008D2189"/>
    <w:rsid w:val="008D2242"/>
    <w:rsid w:val="008D25B2"/>
    <w:rsid w:val="008D26CE"/>
    <w:rsid w:val="008D2890"/>
    <w:rsid w:val="008D29ED"/>
    <w:rsid w:val="008D29FA"/>
    <w:rsid w:val="008D2B80"/>
    <w:rsid w:val="008D2D06"/>
    <w:rsid w:val="008D2DAF"/>
    <w:rsid w:val="008D2DC2"/>
    <w:rsid w:val="008D2E2B"/>
    <w:rsid w:val="008D3313"/>
    <w:rsid w:val="008D3443"/>
    <w:rsid w:val="008D3678"/>
    <w:rsid w:val="008D3690"/>
    <w:rsid w:val="008D3721"/>
    <w:rsid w:val="008D384D"/>
    <w:rsid w:val="008D3911"/>
    <w:rsid w:val="008D39D0"/>
    <w:rsid w:val="008D3A74"/>
    <w:rsid w:val="008D3A7B"/>
    <w:rsid w:val="008D3CBC"/>
    <w:rsid w:val="008D3E35"/>
    <w:rsid w:val="008D3F54"/>
    <w:rsid w:val="008D43F8"/>
    <w:rsid w:val="008D4497"/>
    <w:rsid w:val="008D46AE"/>
    <w:rsid w:val="008D472F"/>
    <w:rsid w:val="008D49B0"/>
    <w:rsid w:val="008D4BD4"/>
    <w:rsid w:val="008D4FD7"/>
    <w:rsid w:val="008D536F"/>
    <w:rsid w:val="008D567F"/>
    <w:rsid w:val="008D56CF"/>
    <w:rsid w:val="008D57F4"/>
    <w:rsid w:val="008D5844"/>
    <w:rsid w:val="008D59BC"/>
    <w:rsid w:val="008D5A77"/>
    <w:rsid w:val="008D5BD1"/>
    <w:rsid w:val="008D5C7A"/>
    <w:rsid w:val="008D5DED"/>
    <w:rsid w:val="008D5EB2"/>
    <w:rsid w:val="008D62A4"/>
    <w:rsid w:val="008D6462"/>
    <w:rsid w:val="008D64DD"/>
    <w:rsid w:val="008D64FB"/>
    <w:rsid w:val="008D6765"/>
    <w:rsid w:val="008D684F"/>
    <w:rsid w:val="008D6C59"/>
    <w:rsid w:val="008D6C5E"/>
    <w:rsid w:val="008D6CEE"/>
    <w:rsid w:val="008D6F8C"/>
    <w:rsid w:val="008D7272"/>
    <w:rsid w:val="008D7405"/>
    <w:rsid w:val="008D7557"/>
    <w:rsid w:val="008D785E"/>
    <w:rsid w:val="008D7A04"/>
    <w:rsid w:val="008D7B5E"/>
    <w:rsid w:val="008D7BA1"/>
    <w:rsid w:val="008D7CE1"/>
    <w:rsid w:val="008D7F98"/>
    <w:rsid w:val="008E005F"/>
    <w:rsid w:val="008E00EB"/>
    <w:rsid w:val="008E021C"/>
    <w:rsid w:val="008E02FB"/>
    <w:rsid w:val="008E0677"/>
    <w:rsid w:val="008E0770"/>
    <w:rsid w:val="008E077C"/>
    <w:rsid w:val="008E094D"/>
    <w:rsid w:val="008E0A8D"/>
    <w:rsid w:val="008E0AD1"/>
    <w:rsid w:val="008E0B29"/>
    <w:rsid w:val="008E0B92"/>
    <w:rsid w:val="008E0C21"/>
    <w:rsid w:val="008E0CEF"/>
    <w:rsid w:val="008E0F8C"/>
    <w:rsid w:val="008E106B"/>
    <w:rsid w:val="008E1242"/>
    <w:rsid w:val="008E13EE"/>
    <w:rsid w:val="008E15DB"/>
    <w:rsid w:val="008E15EF"/>
    <w:rsid w:val="008E183A"/>
    <w:rsid w:val="008E1AB3"/>
    <w:rsid w:val="008E1B7E"/>
    <w:rsid w:val="008E1C91"/>
    <w:rsid w:val="008E1EE9"/>
    <w:rsid w:val="008E1FDC"/>
    <w:rsid w:val="008E20EB"/>
    <w:rsid w:val="008E2151"/>
    <w:rsid w:val="008E2196"/>
    <w:rsid w:val="008E21B2"/>
    <w:rsid w:val="008E2287"/>
    <w:rsid w:val="008E26AD"/>
    <w:rsid w:val="008E28B8"/>
    <w:rsid w:val="008E2AC2"/>
    <w:rsid w:val="008E2DD1"/>
    <w:rsid w:val="008E2F7B"/>
    <w:rsid w:val="008E2F7C"/>
    <w:rsid w:val="008E2F8C"/>
    <w:rsid w:val="008E3404"/>
    <w:rsid w:val="008E3740"/>
    <w:rsid w:val="008E38BA"/>
    <w:rsid w:val="008E3B4A"/>
    <w:rsid w:val="008E3BA2"/>
    <w:rsid w:val="008E3E62"/>
    <w:rsid w:val="008E412A"/>
    <w:rsid w:val="008E4195"/>
    <w:rsid w:val="008E420E"/>
    <w:rsid w:val="008E4453"/>
    <w:rsid w:val="008E455F"/>
    <w:rsid w:val="008E4598"/>
    <w:rsid w:val="008E46BB"/>
    <w:rsid w:val="008E485E"/>
    <w:rsid w:val="008E4890"/>
    <w:rsid w:val="008E48E7"/>
    <w:rsid w:val="008E4926"/>
    <w:rsid w:val="008E4AE4"/>
    <w:rsid w:val="008E4CF2"/>
    <w:rsid w:val="008E4F6B"/>
    <w:rsid w:val="008E5521"/>
    <w:rsid w:val="008E5624"/>
    <w:rsid w:val="008E56E1"/>
    <w:rsid w:val="008E56F8"/>
    <w:rsid w:val="008E5939"/>
    <w:rsid w:val="008E5952"/>
    <w:rsid w:val="008E59C6"/>
    <w:rsid w:val="008E5A95"/>
    <w:rsid w:val="008E5B1C"/>
    <w:rsid w:val="008E5BC0"/>
    <w:rsid w:val="008E5C58"/>
    <w:rsid w:val="008E5DB3"/>
    <w:rsid w:val="008E5E70"/>
    <w:rsid w:val="008E64DE"/>
    <w:rsid w:val="008E6A02"/>
    <w:rsid w:val="008E6D18"/>
    <w:rsid w:val="008E6D65"/>
    <w:rsid w:val="008E6DF2"/>
    <w:rsid w:val="008E6F37"/>
    <w:rsid w:val="008E6F3E"/>
    <w:rsid w:val="008E7102"/>
    <w:rsid w:val="008E7215"/>
    <w:rsid w:val="008E72C3"/>
    <w:rsid w:val="008E7611"/>
    <w:rsid w:val="008E7BE0"/>
    <w:rsid w:val="008E7D74"/>
    <w:rsid w:val="008E7DB0"/>
    <w:rsid w:val="008E7DF9"/>
    <w:rsid w:val="008E7E0C"/>
    <w:rsid w:val="008E7ED3"/>
    <w:rsid w:val="008F000B"/>
    <w:rsid w:val="008F029B"/>
    <w:rsid w:val="008F0430"/>
    <w:rsid w:val="008F05F4"/>
    <w:rsid w:val="008F0658"/>
    <w:rsid w:val="008F0780"/>
    <w:rsid w:val="008F07C1"/>
    <w:rsid w:val="008F080D"/>
    <w:rsid w:val="008F086A"/>
    <w:rsid w:val="008F0B3A"/>
    <w:rsid w:val="008F0B51"/>
    <w:rsid w:val="008F0C17"/>
    <w:rsid w:val="008F0C5A"/>
    <w:rsid w:val="008F0D0E"/>
    <w:rsid w:val="008F0D17"/>
    <w:rsid w:val="008F0D5B"/>
    <w:rsid w:val="008F0F6A"/>
    <w:rsid w:val="008F0F95"/>
    <w:rsid w:val="008F0FCD"/>
    <w:rsid w:val="008F1196"/>
    <w:rsid w:val="008F121C"/>
    <w:rsid w:val="008F1238"/>
    <w:rsid w:val="008F1397"/>
    <w:rsid w:val="008F1691"/>
    <w:rsid w:val="008F172E"/>
    <w:rsid w:val="008F1983"/>
    <w:rsid w:val="008F1D90"/>
    <w:rsid w:val="008F1DEA"/>
    <w:rsid w:val="008F21A4"/>
    <w:rsid w:val="008F23DD"/>
    <w:rsid w:val="008F23E7"/>
    <w:rsid w:val="008F23F4"/>
    <w:rsid w:val="008F2754"/>
    <w:rsid w:val="008F2886"/>
    <w:rsid w:val="008F292E"/>
    <w:rsid w:val="008F29F7"/>
    <w:rsid w:val="008F2C27"/>
    <w:rsid w:val="008F2CE7"/>
    <w:rsid w:val="008F2EE3"/>
    <w:rsid w:val="008F3094"/>
    <w:rsid w:val="008F3296"/>
    <w:rsid w:val="008F36FB"/>
    <w:rsid w:val="008F3762"/>
    <w:rsid w:val="008F3878"/>
    <w:rsid w:val="008F3BDB"/>
    <w:rsid w:val="008F42D5"/>
    <w:rsid w:val="008F44D5"/>
    <w:rsid w:val="008F45E4"/>
    <w:rsid w:val="008F45FC"/>
    <w:rsid w:val="008F48AA"/>
    <w:rsid w:val="008F5221"/>
    <w:rsid w:val="008F53B0"/>
    <w:rsid w:val="008F53E5"/>
    <w:rsid w:val="008F5431"/>
    <w:rsid w:val="008F54D4"/>
    <w:rsid w:val="008F5557"/>
    <w:rsid w:val="008F569E"/>
    <w:rsid w:val="008F5CA6"/>
    <w:rsid w:val="008F5D2C"/>
    <w:rsid w:val="008F5D98"/>
    <w:rsid w:val="008F5F8B"/>
    <w:rsid w:val="008F65F5"/>
    <w:rsid w:val="008F6875"/>
    <w:rsid w:val="008F68B3"/>
    <w:rsid w:val="008F68BB"/>
    <w:rsid w:val="008F6C6F"/>
    <w:rsid w:val="008F6D5F"/>
    <w:rsid w:val="008F712A"/>
    <w:rsid w:val="008F71B4"/>
    <w:rsid w:val="008F71D3"/>
    <w:rsid w:val="008F7262"/>
    <w:rsid w:val="008F7343"/>
    <w:rsid w:val="008F7429"/>
    <w:rsid w:val="008F75A3"/>
    <w:rsid w:val="008F7712"/>
    <w:rsid w:val="008F7920"/>
    <w:rsid w:val="008F7B27"/>
    <w:rsid w:val="008F7CED"/>
    <w:rsid w:val="008F7DB9"/>
    <w:rsid w:val="008F7E39"/>
    <w:rsid w:val="009000FE"/>
    <w:rsid w:val="00900291"/>
    <w:rsid w:val="0090037E"/>
    <w:rsid w:val="009004F3"/>
    <w:rsid w:val="0090064F"/>
    <w:rsid w:val="0090067A"/>
    <w:rsid w:val="0090072F"/>
    <w:rsid w:val="0090079F"/>
    <w:rsid w:val="009007DE"/>
    <w:rsid w:val="00900892"/>
    <w:rsid w:val="0090094F"/>
    <w:rsid w:val="00900A6D"/>
    <w:rsid w:val="00900BA5"/>
    <w:rsid w:val="00900C1B"/>
    <w:rsid w:val="00900C9A"/>
    <w:rsid w:val="00900FAB"/>
    <w:rsid w:val="00900FB7"/>
    <w:rsid w:val="00901137"/>
    <w:rsid w:val="009013EA"/>
    <w:rsid w:val="009015CC"/>
    <w:rsid w:val="00901706"/>
    <w:rsid w:val="0090175C"/>
    <w:rsid w:val="00901B2A"/>
    <w:rsid w:val="00901BF1"/>
    <w:rsid w:val="00902014"/>
    <w:rsid w:val="009020A4"/>
    <w:rsid w:val="009025DE"/>
    <w:rsid w:val="0090264F"/>
    <w:rsid w:val="00902695"/>
    <w:rsid w:val="009027D2"/>
    <w:rsid w:val="00902864"/>
    <w:rsid w:val="009028EB"/>
    <w:rsid w:val="00902915"/>
    <w:rsid w:val="00902CB7"/>
    <w:rsid w:val="00902CBB"/>
    <w:rsid w:val="00902D83"/>
    <w:rsid w:val="00902E39"/>
    <w:rsid w:val="00902F36"/>
    <w:rsid w:val="00902F37"/>
    <w:rsid w:val="00902F7F"/>
    <w:rsid w:val="00902FF4"/>
    <w:rsid w:val="009030B4"/>
    <w:rsid w:val="009030BE"/>
    <w:rsid w:val="00903210"/>
    <w:rsid w:val="009033DF"/>
    <w:rsid w:val="009034C3"/>
    <w:rsid w:val="00903744"/>
    <w:rsid w:val="0090386A"/>
    <w:rsid w:val="00903B03"/>
    <w:rsid w:val="00903D93"/>
    <w:rsid w:val="00903E5A"/>
    <w:rsid w:val="00903ED5"/>
    <w:rsid w:val="00903F46"/>
    <w:rsid w:val="00904015"/>
    <w:rsid w:val="0090406F"/>
    <w:rsid w:val="009040AB"/>
    <w:rsid w:val="009041FF"/>
    <w:rsid w:val="00904208"/>
    <w:rsid w:val="009042AA"/>
    <w:rsid w:val="0090453D"/>
    <w:rsid w:val="0090453E"/>
    <w:rsid w:val="0090488A"/>
    <w:rsid w:val="00904965"/>
    <w:rsid w:val="009049D5"/>
    <w:rsid w:val="00904D22"/>
    <w:rsid w:val="00904DFA"/>
    <w:rsid w:val="00904F79"/>
    <w:rsid w:val="00904FDA"/>
    <w:rsid w:val="00904FFD"/>
    <w:rsid w:val="0090514E"/>
    <w:rsid w:val="009051B3"/>
    <w:rsid w:val="0090520D"/>
    <w:rsid w:val="009058E2"/>
    <w:rsid w:val="009059DB"/>
    <w:rsid w:val="00905A26"/>
    <w:rsid w:val="00905B3D"/>
    <w:rsid w:val="00905BC2"/>
    <w:rsid w:val="00905CE9"/>
    <w:rsid w:val="00905E66"/>
    <w:rsid w:val="00906047"/>
    <w:rsid w:val="00906156"/>
    <w:rsid w:val="0090627B"/>
    <w:rsid w:val="0090659E"/>
    <w:rsid w:val="009066FD"/>
    <w:rsid w:val="00906789"/>
    <w:rsid w:val="00906A22"/>
    <w:rsid w:val="00906CD4"/>
    <w:rsid w:val="00906D47"/>
    <w:rsid w:val="00906D7B"/>
    <w:rsid w:val="00906D98"/>
    <w:rsid w:val="00906E44"/>
    <w:rsid w:val="00906F98"/>
    <w:rsid w:val="0090710E"/>
    <w:rsid w:val="00907216"/>
    <w:rsid w:val="0090724B"/>
    <w:rsid w:val="00907257"/>
    <w:rsid w:val="00907262"/>
    <w:rsid w:val="009077F4"/>
    <w:rsid w:val="009077F6"/>
    <w:rsid w:val="00907A4B"/>
    <w:rsid w:val="00907C39"/>
    <w:rsid w:val="00907E86"/>
    <w:rsid w:val="00907FD8"/>
    <w:rsid w:val="00910157"/>
    <w:rsid w:val="0091025B"/>
    <w:rsid w:val="0091068A"/>
    <w:rsid w:val="0091068E"/>
    <w:rsid w:val="00910697"/>
    <w:rsid w:val="009106F5"/>
    <w:rsid w:val="009107C0"/>
    <w:rsid w:val="00910A42"/>
    <w:rsid w:val="00910C94"/>
    <w:rsid w:val="00910F71"/>
    <w:rsid w:val="009111D5"/>
    <w:rsid w:val="009112E9"/>
    <w:rsid w:val="0091154B"/>
    <w:rsid w:val="0091159A"/>
    <w:rsid w:val="0091163A"/>
    <w:rsid w:val="00911828"/>
    <w:rsid w:val="00911982"/>
    <w:rsid w:val="009119CC"/>
    <w:rsid w:val="00911BE8"/>
    <w:rsid w:val="00911D04"/>
    <w:rsid w:val="00911D8D"/>
    <w:rsid w:val="00911E58"/>
    <w:rsid w:val="00911EC6"/>
    <w:rsid w:val="0091213C"/>
    <w:rsid w:val="0091225C"/>
    <w:rsid w:val="009125A5"/>
    <w:rsid w:val="00912649"/>
    <w:rsid w:val="00912774"/>
    <w:rsid w:val="0091279E"/>
    <w:rsid w:val="00912AE2"/>
    <w:rsid w:val="00912D7C"/>
    <w:rsid w:val="00912DFE"/>
    <w:rsid w:val="00912E1B"/>
    <w:rsid w:val="00913106"/>
    <w:rsid w:val="0091322F"/>
    <w:rsid w:val="00913245"/>
    <w:rsid w:val="00913334"/>
    <w:rsid w:val="00913374"/>
    <w:rsid w:val="00913393"/>
    <w:rsid w:val="009133C7"/>
    <w:rsid w:val="009136C5"/>
    <w:rsid w:val="009139AB"/>
    <w:rsid w:val="00913B70"/>
    <w:rsid w:val="0091410D"/>
    <w:rsid w:val="0091434C"/>
    <w:rsid w:val="0091438C"/>
    <w:rsid w:val="009144BE"/>
    <w:rsid w:val="009144ED"/>
    <w:rsid w:val="0091456E"/>
    <w:rsid w:val="0091459E"/>
    <w:rsid w:val="00914746"/>
    <w:rsid w:val="00914776"/>
    <w:rsid w:val="0091481D"/>
    <w:rsid w:val="0091485E"/>
    <w:rsid w:val="0091487B"/>
    <w:rsid w:val="009148BD"/>
    <w:rsid w:val="00914985"/>
    <w:rsid w:val="00914B81"/>
    <w:rsid w:val="00914C8C"/>
    <w:rsid w:val="00914F24"/>
    <w:rsid w:val="00914F60"/>
    <w:rsid w:val="009152D4"/>
    <w:rsid w:val="00915371"/>
    <w:rsid w:val="00915D71"/>
    <w:rsid w:val="00915D89"/>
    <w:rsid w:val="00915D8F"/>
    <w:rsid w:val="00915E0A"/>
    <w:rsid w:val="00915F3D"/>
    <w:rsid w:val="009160BF"/>
    <w:rsid w:val="009160CA"/>
    <w:rsid w:val="009161E6"/>
    <w:rsid w:val="0091632C"/>
    <w:rsid w:val="00916380"/>
    <w:rsid w:val="0091640A"/>
    <w:rsid w:val="00916420"/>
    <w:rsid w:val="00916516"/>
    <w:rsid w:val="00916782"/>
    <w:rsid w:val="00916855"/>
    <w:rsid w:val="009168B8"/>
    <w:rsid w:val="00916BC9"/>
    <w:rsid w:val="00916CE5"/>
    <w:rsid w:val="00916D39"/>
    <w:rsid w:val="00916E08"/>
    <w:rsid w:val="00916E1D"/>
    <w:rsid w:val="00917004"/>
    <w:rsid w:val="00917069"/>
    <w:rsid w:val="0091711F"/>
    <w:rsid w:val="00917169"/>
    <w:rsid w:val="00917425"/>
    <w:rsid w:val="00917742"/>
    <w:rsid w:val="009177EE"/>
    <w:rsid w:val="009177F2"/>
    <w:rsid w:val="009177F7"/>
    <w:rsid w:val="0091784B"/>
    <w:rsid w:val="00917AE1"/>
    <w:rsid w:val="00917C06"/>
    <w:rsid w:val="00917CAC"/>
    <w:rsid w:val="00917D9B"/>
    <w:rsid w:val="00917F0D"/>
    <w:rsid w:val="009204FC"/>
    <w:rsid w:val="009208DB"/>
    <w:rsid w:val="00920A78"/>
    <w:rsid w:val="00920B87"/>
    <w:rsid w:val="00920D03"/>
    <w:rsid w:val="00920D18"/>
    <w:rsid w:val="00920E58"/>
    <w:rsid w:val="00920F1B"/>
    <w:rsid w:val="00921188"/>
    <w:rsid w:val="009212B7"/>
    <w:rsid w:val="00921394"/>
    <w:rsid w:val="0092146D"/>
    <w:rsid w:val="009214B4"/>
    <w:rsid w:val="00921683"/>
    <w:rsid w:val="00921695"/>
    <w:rsid w:val="00921C7A"/>
    <w:rsid w:val="00921DC9"/>
    <w:rsid w:val="00921E63"/>
    <w:rsid w:val="00921E8B"/>
    <w:rsid w:val="00921FF5"/>
    <w:rsid w:val="00922006"/>
    <w:rsid w:val="00922120"/>
    <w:rsid w:val="00922381"/>
    <w:rsid w:val="00922433"/>
    <w:rsid w:val="009224BB"/>
    <w:rsid w:val="00922636"/>
    <w:rsid w:val="00922676"/>
    <w:rsid w:val="0092283E"/>
    <w:rsid w:val="00922856"/>
    <w:rsid w:val="0092287C"/>
    <w:rsid w:val="00922884"/>
    <w:rsid w:val="00922CC3"/>
    <w:rsid w:val="00922D25"/>
    <w:rsid w:val="00922D3B"/>
    <w:rsid w:val="00922FA9"/>
    <w:rsid w:val="00922FB2"/>
    <w:rsid w:val="00923219"/>
    <w:rsid w:val="009232E0"/>
    <w:rsid w:val="009232F3"/>
    <w:rsid w:val="00923556"/>
    <w:rsid w:val="0092387D"/>
    <w:rsid w:val="00923881"/>
    <w:rsid w:val="00923882"/>
    <w:rsid w:val="00923953"/>
    <w:rsid w:val="00923B5A"/>
    <w:rsid w:val="00923C08"/>
    <w:rsid w:val="00923C94"/>
    <w:rsid w:val="00923DDC"/>
    <w:rsid w:val="00923E35"/>
    <w:rsid w:val="0092404F"/>
    <w:rsid w:val="0092417E"/>
    <w:rsid w:val="009241C9"/>
    <w:rsid w:val="0092430F"/>
    <w:rsid w:val="0092440F"/>
    <w:rsid w:val="00924648"/>
    <w:rsid w:val="009246A3"/>
    <w:rsid w:val="0092484C"/>
    <w:rsid w:val="00924C24"/>
    <w:rsid w:val="00924C32"/>
    <w:rsid w:val="00924E2A"/>
    <w:rsid w:val="00924F5B"/>
    <w:rsid w:val="00924FE7"/>
    <w:rsid w:val="00925038"/>
    <w:rsid w:val="0092514B"/>
    <w:rsid w:val="00925207"/>
    <w:rsid w:val="009252AD"/>
    <w:rsid w:val="0092539E"/>
    <w:rsid w:val="0092547F"/>
    <w:rsid w:val="00925532"/>
    <w:rsid w:val="009255BC"/>
    <w:rsid w:val="00925682"/>
    <w:rsid w:val="00925876"/>
    <w:rsid w:val="0092592F"/>
    <w:rsid w:val="00925A0A"/>
    <w:rsid w:val="00925B1B"/>
    <w:rsid w:val="00925D0C"/>
    <w:rsid w:val="00925D53"/>
    <w:rsid w:val="00925D96"/>
    <w:rsid w:val="00925E59"/>
    <w:rsid w:val="00925ED1"/>
    <w:rsid w:val="00925F10"/>
    <w:rsid w:val="00925FEC"/>
    <w:rsid w:val="009262C4"/>
    <w:rsid w:val="00926621"/>
    <w:rsid w:val="00926627"/>
    <w:rsid w:val="009267F5"/>
    <w:rsid w:val="00926A0C"/>
    <w:rsid w:val="00926A3F"/>
    <w:rsid w:val="00926BEF"/>
    <w:rsid w:val="00926D1A"/>
    <w:rsid w:val="00926FD2"/>
    <w:rsid w:val="009270C0"/>
    <w:rsid w:val="0092721A"/>
    <w:rsid w:val="009272BF"/>
    <w:rsid w:val="009275D3"/>
    <w:rsid w:val="009277BB"/>
    <w:rsid w:val="009277EA"/>
    <w:rsid w:val="009278A5"/>
    <w:rsid w:val="00927A21"/>
    <w:rsid w:val="00927C5B"/>
    <w:rsid w:val="00927E0E"/>
    <w:rsid w:val="00927EC4"/>
    <w:rsid w:val="00927F8F"/>
    <w:rsid w:val="00930164"/>
    <w:rsid w:val="009302D3"/>
    <w:rsid w:val="00930397"/>
    <w:rsid w:val="009305A2"/>
    <w:rsid w:val="0093067C"/>
    <w:rsid w:val="009306A8"/>
    <w:rsid w:val="009308CD"/>
    <w:rsid w:val="009309D9"/>
    <w:rsid w:val="00930C4A"/>
    <w:rsid w:val="00930F77"/>
    <w:rsid w:val="0093100A"/>
    <w:rsid w:val="009310D2"/>
    <w:rsid w:val="00931422"/>
    <w:rsid w:val="00931518"/>
    <w:rsid w:val="00931772"/>
    <w:rsid w:val="009319FF"/>
    <w:rsid w:val="00931A1C"/>
    <w:rsid w:val="00931B5A"/>
    <w:rsid w:val="00931F14"/>
    <w:rsid w:val="00931F44"/>
    <w:rsid w:val="00931FD8"/>
    <w:rsid w:val="00932049"/>
    <w:rsid w:val="00932172"/>
    <w:rsid w:val="00932334"/>
    <w:rsid w:val="00932412"/>
    <w:rsid w:val="0093281E"/>
    <w:rsid w:val="009328E7"/>
    <w:rsid w:val="00932A7F"/>
    <w:rsid w:val="00932B13"/>
    <w:rsid w:val="00932B49"/>
    <w:rsid w:val="00932C0F"/>
    <w:rsid w:val="00932C33"/>
    <w:rsid w:val="00932CB4"/>
    <w:rsid w:val="00932D3C"/>
    <w:rsid w:val="00932D7A"/>
    <w:rsid w:val="00933063"/>
    <w:rsid w:val="00933068"/>
    <w:rsid w:val="00933218"/>
    <w:rsid w:val="00933460"/>
    <w:rsid w:val="009336AB"/>
    <w:rsid w:val="0093379B"/>
    <w:rsid w:val="00933A26"/>
    <w:rsid w:val="00933B3A"/>
    <w:rsid w:val="00933BCB"/>
    <w:rsid w:val="00933C3D"/>
    <w:rsid w:val="00933C84"/>
    <w:rsid w:val="00933F30"/>
    <w:rsid w:val="00934025"/>
    <w:rsid w:val="009340CC"/>
    <w:rsid w:val="009342D0"/>
    <w:rsid w:val="00934682"/>
    <w:rsid w:val="00934850"/>
    <w:rsid w:val="00934862"/>
    <w:rsid w:val="00934918"/>
    <w:rsid w:val="00934975"/>
    <w:rsid w:val="00934A8E"/>
    <w:rsid w:val="00934B3E"/>
    <w:rsid w:val="00934C77"/>
    <w:rsid w:val="00934CC8"/>
    <w:rsid w:val="00934DE5"/>
    <w:rsid w:val="00934F81"/>
    <w:rsid w:val="009350BD"/>
    <w:rsid w:val="0093540A"/>
    <w:rsid w:val="009354C7"/>
    <w:rsid w:val="00935609"/>
    <w:rsid w:val="00935633"/>
    <w:rsid w:val="0093566D"/>
    <w:rsid w:val="00935803"/>
    <w:rsid w:val="009358AB"/>
    <w:rsid w:val="009358E1"/>
    <w:rsid w:val="009359E0"/>
    <w:rsid w:val="00935B0A"/>
    <w:rsid w:val="00935E6D"/>
    <w:rsid w:val="00935F78"/>
    <w:rsid w:val="00935F9B"/>
    <w:rsid w:val="0093605F"/>
    <w:rsid w:val="009363A4"/>
    <w:rsid w:val="00936464"/>
    <w:rsid w:val="009364AD"/>
    <w:rsid w:val="00936534"/>
    <w:rsid w:val="00936777"/>
    <w:rsid w:val="0093686D"/>
    <w:rsid w:val="0093696A"/>
    <w:rsid w:val="00936B96"/>
    <w:rsid w:val="00936BA6"/>
    <w:rsid w:val="00936BBE"/>
    <w:rsid w:val="00936C4D"/>
    <w:rsid w:val="00936DDF"/>
    <w:rsid w:val="00936F30"/>
    <w:rsid w:val="00936F47"/>
    <w:rsid w:val="00936FDC"/>
    <w:rsid w:val="009370C8"/>
    <w:rsid w:val="009370D6"/>
    <w:rsid w:val="009371B4"/>
    <w:rsid w:val="0093728E"/>
    <w:rsid w:val="00937455"/>
    <w:rsid w:val="0093754A"/>
    <w:rsid w:val="009375EF"/>
    <w:rsid w:val="0093783B"/>
    <w:rsid w:val="00937A0B"/>
    <w:rsid w:val="00937AE8"/>
    <w:rsid w:val="00937ED6"/>
    <w:rsid w:val="00937F90"/>
    <w:rsid w:val="00940009"/>
    <w:rsid w:val="009400A3"/>
    <w:rsid w:val="009401A4"/>
    <w:rsid w:val="009401BF"/>
    <w:rsid w:val="009401D4"/>
    <w:rsid w:val="00940203"/>
    <w:rsid w:val="0094021E"/>
    <w:rsid w:val="00940373"/>
    <w:rsid w:val="009403EE"/>
    <w:rsid w:val="0094078B"/>
    <w:rsid w:val="009408C7"/>
    <w:rsid w:val="00940AA8"/>
    <w:rsid w:val="00940DB3"/>
    <w:rsid w:val="00940FD4"/>
    <w:rsid w:val="0094138F"/>
    <w:rsid w:val="009415ED"/>
    <w:rsid w:val="009416F6"/>
    <w:rsid w:val="00941D65"/>
    <w:rsid w:val="00941DA2"/>
    <w:rsid w:val="00941DC5"/>
    <w:rsid w:val="00941DF4"/>
    <w:rsid w:val="00942111"/>
    <w:rsid w:val="00942530"/>
    <w:rsid w:val="009426CA"/>
    <w:rsid w:val="009428AE"/>
    <w:rsid w:val="009428E0"/>
    <w:rsid w:val="0094294D"/>
    <w:rsid w:val="00942A69"/>
    <w:rsid w:val="00942AAE"/>
    <w:rsid w:val="00942AFB"/>
    <w:rsid w:val="00942B3F"/>
    <w:rsid w:val="00942E32"/>
    <w:rsid w:val="00942E35"/>
    <w:rsid w:val="00942E4D"/>
    <w:rsid w:val="00943176"/>
    <w:rsid w:val="009432B7"/>
    <w:rsid w:val="0094354B"/>
    <w:rsid w:val="00943599"/>
    <w:rsid w:val="009436E4"/>
    <w:rsid w:val="009437AF"/>
    <w:rsid w:val="009439B1"/>
    <w:rsid w:val="00943A61"/>
    <w:rsid w:val="00943A96"/>
    <w:rsid w:val="00943A9E"/>
    <w:rsid w:val="00943F49"/>
    <w:rsid w:val="00943F68"/>
    <w:rsid w:val="0094402C"/>
    <w:rsid w:val="0094429E"/>
    <w:rsid w:val="00944408"/>
    <w:rsid w:val="0094448C"/>
    <w:rsid w:val="0094450C"/>
    <w:rsid w:val="009445E0"/>
    <w:rsid w:val="00944699"/>
    <w:rsid w:val="009446D7"/>
    <w:rsid w:val="00944769"/>
    <w:rsid w:val="0094476F"/>
    <w:rsid w:val="009447C3"/>
    <w:rsid w:val="00944898"/>
    <w:rsid w:val="00944A49"/>
    <w:rsid w:val="00944B1D"/>
    <w:rsid w:val="00944C01"/>
    <w:rsid w:val="00944C02"/>
    <w:rsid w:val="00944C58"/>
    <w:rsid w:val="00944C97"/>
    <w:rsid w:val="00944DAB"/>
    <w:rsid w:val="00944F4B"/>
    <w:rsid w:val="00944FDD"/>
    <w:rsid w:val="0094501E"/>
    <w:rsid w:val="00945078"/>
    <w:rsid w:val="0094507B"/>
    <w:rsid w:val="009450D9"/>
    <w:rsid w:val="0094517C"/>
    <w:rsid w:val="009452DB"/>
    <w:rsid w:val="00945333"/>
    <w:rsid w:val="00945397"/>
    <w:rsid w:val="0094543E"/>
    <w:rsid w:val="00945934"/>
    <w:rsid w:val="00945C6A"/>
    <w:rsid w:val="00945E4E"/>
    <w:rsid w:val="00946121"/>
    <w:rsid w:val="009461E6"/>
    <w:rsid w:val="00946366"/>
    <w:rsid w:val="00946654"/>
    <w:rsid w:val="00946697"/>
    <w:rsid w:val="009466D1"/>
    <w:rsid w:val="00946748"/>
    <w:rsid w:val="00946836"/>
    <w:rsid w:val="00946BAB"/>
    <w:rsid w:val="00946E84"/>
    <w:rsid w:val="00946F60"/>
    <w:rsid w:val="00947240"/>
    <w:rsid w:val="00947B2F"/>
    <w:rsid w:val="00947D09"/>
    <w:rsid w:val="00947D47"/>
    <w:rsid w:val="00947F64"/>
    <w:rsid w:val="00947F98"/>
    <w:rsid w:val="0095054A"/>
    <w:rsid w:val="0095082B"/>
    <w:rsid w:val="0095086D"/>
    <w:rsid w:val="009508DB"/>
    <w:rsid w:val="009509CB"/>
    <w:rsid w:val="00950B3E"/>
    <w:rsid w:val="00950F99"/>
    <w:rsid w:val="0095111C"/>
    <w:rsid w:val="0095124B"/>
    <w:rsid w:val="0095125F"/>
    <w:rsid w:val="00951466"/>
    <w:rsid w:val="009515C8"/>
    <w:rsid w:val="00951D68"/>
    <w:rsid w:val="00951F35"/>
    <w:rsid w:val="00951FC4"/>
    <w:rsid w:val="009522D7"/>
    <w:rsid w:val="00952354"/>
    <w:rsid w:val="009523C1"/>
    <w:rsid w:val="00952411"/>
    <w:rsid w:val="00952638"/>
    <w:rsid w:val="00952682"/>
    <w:rsid w:val="00952849"/>
    <w:rsid w:val="0095298F"/>
    <w:rsid w:val="00952A8D"/>
    <w:rsid w:val="00952BED"/>
    <w:rsid w:val="00952C43"/>
    <w:rsid w:val="00952CCE"/>
    <w:rsid w:val="00953045"/>
    <w:rsid w:val="009530A4"/>
    <w:rsid w:val="0095316C"/>
    <w:rsid w:val="00953325"/>
    <w:rsid w:val="0095402E"/>
    <w:rsid w:val="00954171"/>
    <w:rsid w:val="00954253"/>
    <w:rsid w:val="00954466"/>
    <w:rsid w:val="00954545"/>
    <w:rsid w:val="0095455D"/>
    <w:rsid w:val="009549E5"/>
    <w:rsid w:val="00954AB2"/>
    <w:rsid w:val="00954B86"/>
    <w:rsid w:val="00954BC9"/>
    <w:rsid w:val="00954E9D"/>
    <w:rsid w:val="00954EC3"/>
    <w:rsid w:val="00954FE4"/>
    <w:rsid w:val="0095536E"/>
    <w:rsid w:val="0095545E"/>
    <w:rsid w:val="0095547F"/>
    <w:rsid w:val="00955496"/>
    <w:rsid w:val="0095566B"/>
    <w:rsid w:val="00955925"/>
    <w:rsid w:val="009559EA"/>
    <w:rsid w:val="00955C0D"/>
    <w:rsid w:val="00955C13"/>
    <w:rsid w:val="00955CBB"/>
    <w:rsid w:val="00955CE1"/>
    <w:rsid w:val="00955D61"/>
    <w:rsid w:val="00955F8E"/>
    <w:rsid w:val="00955FAD"/>
    <w:rsid w:val="009562BA"/>
    <w:rsid w:val="009562D0"/>
    <w:rsid w:val="00956442"/>
    <w:rsid w:val="009566E4"/>
    <w:rsid w:val="00956775"/>
    <w:rsid w:val="00956C17"/>
    <w:rsid w:val="00956FA0"/>
    <w:rsid w:val="00956FD5"/>
    <w:rsid w:val="009570DD"/>
    <w:rsid w:val="0095785E"/>
    <w:rsid w:val="00957AA6"/>
    <w:rsid w:val="00957EEA"/>
    <w:rsid w:val="00960001"/>
    <w:rsid w:val="00960610"/>
    <w:rsid w:val="00960634"/>
    <w:rsid w:val="009606F8"/>
    <w:rsid w:val="00960710"/>
    <w:rsid w:val="009609E3"/>
    <w:rsid w:val="00960A15"/>
    <w:rsid w:val="00960B93"/>
    <w:rsid w:val="00960CE5"/>
    <w:rsid w:val="00960E6F"/>
    <w:rsid w:val="00960EBE"/>
    <w:rsid w:val="00960EBF"/>
    <w:rsid w:val="00960F17"/>
    <w:rsid w:val="00960F3D"/>
    <w:rsid w:val="009610F9"/>
    <w:rsid w:val="009611EA"/>
    <w:rsid w:val="009612AC"/>
    <w:rsid w:val="0096136A"/>
    <w:rsid w:val="00961442"/>
    <w:rsid w:val="0096154F"/>
    <w:rsid w:val="00961937"/>
    <w:rsid w:val="0096198D"/>
    <w:rsid w:val="00961B62"/>
    <w:rsid w:val="00961D8E"/>
    <w:rsid w:val="00961D9D"/>
    <w:rsid w:val="00961DD7"/>
    <w:rsid w:val="009621A1"/>
    <w:rsid w:val="009621F1"/>
    <w:rsid w:val="00962243"/>
    <w:rsid w:val="00962255"/>
    <w:rsid w:val="00962408"/>
    <w:rsid w:val="0096261F"/>
    <w:rsid w:val="009627DE"/>
    <w:rsid w:val="00962909"/>
    <w:rsid w:val="00962974"/>
    <w:rsid w:val="00962D0C"/>
    <w:rsid w:val="00962DA5"/>
    <w:rsid w:val="00962DA8"/>
    <w:rsid w:val="00962EB2"/>
    <w:rsid w:val="00962ED2"/>
    <w:rsid w:val="00962F92"/>
    <w:rsid w:val="00962FAE"/>
    <w:rsid w:val="00962FC0"/>
    <w:rsid w:val="00963014"/>
    <w:rsid w:val="009632EB"/>
    <w:rsid w:val="009633F5"/>
    <w:rsid w:val="00963507"/>
    <w:rsid w:val="00963841"/>
    <w:rsid w:val="00963901"/>
    <w:rsid w:val="00963949"/>
    <w:rsid w:val="009639C2"/>
    <w:rsid w:val="009639C3"/>
    <w:rsid w:val="00963A03"/>
    <w:rsid w:val="00963B62"/>
    <w:rsid w:val="00963F7C"/>
    <w:rsid w:val="00964121"/>
    <w:rsid w:val="0096450D"/>
    <w:rsid w:val="00964551"/>
    <w:rsid w:val="0096464C"/>
    <w:rsid w:val="00964678"/>
    <w:rsid w:val="00964689"/>
    <w:rsid w:val="009648B7"/>
    <w:rsid w:val="00964988"/>
    <w:rsid w:val="00964A55"/>
    <w:rsid w:val="00964C65"/>
    <w:rsid w:val="00964C79"/>
    <w:rsid w:val="00964D2C"/>
    <w:rsid w:val="00964D80"/>
    <w:rsid w:val="00964EC6"/>
    <w:rsid w:val="009650E0"/>
    <w:rsid w:val="009651E1"/>
    <w:rsid w:val="00965260"/>
    <w:rsid w:val="0096528F"/>
    <w:rsid w:val="00965316"/>
    <w:rsid w:val="00965361"/>
    <w:rsid w:val="0096548E"/>
    <w:rsid w:val="009654C5"/>
    <w:rsid w:val="009654FD"/>
    <w:rsid w:val="00965738"/>
    <w:rsid w:val="009659E3"/>
    <w:rsid w:val="00965A3A"/>
    <w:rsid w:val="00965D0C"/>
    <w:rsid w:val="00965E5E"/>
    <w:rsid w:val="00965EC7"/>
    <w:rsid w:val="00965EEC"/>
    <w:rsid w:val="00965FB2"/>
    <w:rsid w:val="0096632A"/>
    <w:rsid w:val="0096648F"/>
    <w:rsid w:val="009664C4"/>
    <w:rsid w:val="009664F4"/>
    <w:rsid w:val="00966901"/>
    <w:rsid w:val="00966977"/>
    <w:rsid w:val="00966B74"/>
    <w:rsid w:val="00966CD3"/>
    <w:rsid w:val="00966CF0"/>
    <w:rsid w:val="00966F22"/>
    <w:rsid w:val="009670DA"/>
    <w:rsid w:val="0096717E"/>
    <w:rsid w:val="009671A0"/>
    <w:rsid w:val="00967595"/>
    <w:rsid w:val="009675A0"/>
    <w:rsid w:val="00967608"/>
    <w:rsid w:val="00967623"/>
    <w:rsid w:val="00967644"/>
    <w:rsid w:val="009676F1"/>
    <w:rsid w:val="00967735"/>
    <w:rsid w:val="009677B8"/>
    <w:rsid w:val="009678E5"/>
    <w:rsid w:val="00967A6A"/>
    <w:rsid w:val="00967AB0"/>
    <w:rsid w:val="00967B05"/>
    <w:rsid w:val="00967C59"/>
    <w:rsid w:val="00970796"/>
    <w:rsid w:val="009707A2"/>
    <w:rsid w:val="00970978"/>
    <w:rsid w:val="00970B04"/>
    <w:rsid w:val="00970BD9"/>
    <w:rsid w:val="00970E95"/>
    <w:rsid w:val="0097103C"/>
    <w:rsid w:val="00971172"/>
    <w:rsid w:val="0097161D"/>
    <w:rsid w:val="00971A2D"/>
    <w:rsid w:val="00971A62"/>
    <w:rsid w:val="00971AC4"/>
    <w:rsid w:val="00971BFC"/>
    <w:rsid w:val="00971C35"/>
    <w:rsid w:val="00971CA4"/>
    <w:rsid w:val="00971E2E"/>
    <w:rsid w:val="00972567"/>
    <w:rsid w:val="00972A34"/>
    <w:rsid w:val="00972C67"/>
    <w:rsid w:val="00972DB5"/>
    <w:rsid w:val="00972EAF"/>
    <w:rsid w:val="0097303C"/>
    <w:rsid w:val="009732BD"/>
    <w:rsid w:val="00973403"/>
    <w:rsid w:val="00973496"/>
    <w:rsid w:val="00973518"/>
    <w:rsid w:val="0097363B"/>
    <w:rsid w:val="00973763"/>
    <w:rsid w:val="009737BA"/>
    <w:rsid w:val="00973BB9"/>
    <w:rsid w:val="00973E53"/>
    <w:rsid w:val="00973FCA"/>
    <w:rsid w:val="0097400E"/>
    <w:rsid w:val="0097468B"/>
    <w:rsid w:val="009746FA"/>
    <w:rsid w:val="0097485B"/>
    <w:rsid w:val="009749CB"/>
    <w:rsid w:val="00974A9C"/>
    <w:rsid w:val="00974BBA"/>
    <w:rsid w:val="00974CE0"/>
    <w:rsid w:val="00974EE6"/>
    <w:rsid w:val="00975231"/>
    <w:rsid w:val="00975395"/>
    <w:rsid w:val="00975583"/>
    <w:rsid w:val="009756FD"/>
    <w:rsid w:val="0097581A"/>
    <w:rsid w:val="00975931"/>
    <w:rsid w:val="00975948"/>
    <w:rsid w:val="00975A5E"/>
    <w:rsid w:val="00975ADB"/>
    <w:rsid w:val="00975B4A"/>
    <w:rsid w:val="00975E75"/>
    <w:rsid w:val="00975E83"/>
    <w:rsid w:val="00975FD2"/>
    <w:rsid w:val="00976032"/>
    <w:rsid w:val="0097627E"/>
    <w:rsid w:val="0097632B"/>
    <w:rsid w:val="009763FA"/>
    <w:rsid w:val="009767CB"/>
    <w:rsid w:val="0097687F"/>
    <w:rsid w:val="009768CC"/>
    <w:rsid w:val="00976A31"/>
    <w:rsid w:val="00976A36"/>
    <w:rsid w:val="00976E0F"/>
    <w:rsid w:val="00976E79"/>
    <w:rsid w:val="00976E80"/>
    <w:rsid w:val="00976F09"/>
    <w:rsid w:val="00977069"/>
    <w:rsid w:val="0097712E"/>
    <w:rsid w:val="009774CB"/>
    <w:rsid w:val="0097761A"/>
    <w:rsid w:val="009776C2"/>
    <w:rsid w:val="009777E6"/>
    <w:rsid w:val="00977818"/>
    <w:rsid w:val="00977841"/>
    <w:rsid w:val="0097788D"/>
    <w:rsid w:val="009778B8"/>
    <w:rsid w:val="00977BC9"/>
    <w:rsid w:val="00977E62"/>
    <w:rsid w:val="0098022D"/>
    <w:rsid w:val="00980308"/>
    <w:rsid w:val="00980395"/>
    <w:rsid w:val="009804A1"/>
    <w:rsid w:val="00980501"/>
    <w:rsid w:val="00980515"/>
    <w:rsid w:val="0098064D"/>
    <w:rsid w:val="00980710"/>
    <w:rsid w:val="00980775"/>
    <w:rsid w:val="00980873"/>
    <w:rsid w:val="00980A44"/>
    <w:rsid w:val="00980A55"/>
    <w:rsid w:val="00980AA6"/>
    <w:rsid w:val="00980AF2"/>
    <w:rsid w:val="00980B64"/>
    <w:rsid w:val="00980BD3"/>
    <w:rsid w:val="00980D90"/>
    <w:rsid w:val="00980DEA"/>
    <w:rsid w:val="00981202"/>
    <w:rsid w:val="009812AE"/>
    <w:rsid w:val="00981475"/>
    <w:rsid w:val="009815B7"/>
    <w:rsid w:val="00981734"/>
    <w:rsid w:val="009817A8"/>
    <w:rsid w:val="0098180F"/>
    <w:rsid w:val="0098194E"/>
    <w:rsid w:val="00981B5D"/>
    <w:rsid w:val="00981C16"/>
    <w:rsid w:val="0098203E"/>
    <w:rsid w:val="009824E6"/>
    <w:rsid w:val="00982769"/>
    <w:rsid w:val="0098285C"/>
    <w:rsid w:val="0098287F"/>
    <w:rsid w:val="00982882"/>
    <w:rsid w:val="009829C3"/>
    <w:rsid w:val="009829E5"/>
    <w:rsid w:val="00982A94"/>
    <w:rsid w:val="00982D4B"/>
    <w:rsid w:val="00982E98"/>
    <w:rsid w:val="00982F36"/>
    <w:rsid w:val="00983212"/>
    <w:rsid w:val="009835A6"/>
    <w:rsid w:val="00983669"/>
    <w:rsid w:val="0098392F"/>
    <w:rsid w:val="00983B47"/>
    <w:rsid w:val="00983E5C"/>
    <w:rsid w:val="00983F56"/>
    <w:rsid w:val="00984028"/>
    <w:rsid w:val="009840CB"/>
    <w:rsid w:val="0098421B"/>
    <w:rsid w:val="009843F9"/>
    <w:rsid w:val="00984468"/>
    <w:rsid w:val="0098457D"/>
    <w:rsid w:val="00984636"/>
    <w:rsid w:val="0098474C"/>
    <w:rsid w:val="009847A8"/>
    <w:rsid w:val="009848D4"/>
    <w:rsid w:val="00984AB6"/>
    <w:rsid w:val="00984D71"/>
    <w:rsid w:val="00984E83"/>
    <w:rsid w:val="00984EF9"/>
    <w:rsid w:val="009850DE"/>
    <w:rsid w:val="00985439"/>
    <w:rsid w:val="00985548"/>
    <w:rsid w:val="009855FF"/>
    <w:rsid w:val="00985785"/>
    <w:rsid w:val="00985799"/>
    <w:rsid w:val="009859A0"/>
    <w:rsid w:val="00985AE8"/>
    <w:rsid w:val="00985E64"/>
    <w:rsid w:val="00985F85"/>
    <w:rsid w:val="0098611D"/>
    <w:rsid w:val="00986399"/>
    <w:rsid w:val="00986553"/>
    <w:rsid w:val="009865C5"/>
    <w:rsid w:val="009867A4"/>
    <w:rsid w:val="00986B73"/>
    <w:rsid w:val="00986BE2"/>
    <w:rsid w:val="00986C49"/>
    <w:rsid w:val="00986D2E"/>
    <w:rsid w:val="00986DAE"/>
    <w:rsid w:val="00986E9D"/>
    <w:rsid w:val="00987223"/>
    <w:rsid w:val="00987408"/>
    <w:rsid w:val="0098784A"/>
    <w:rsid w:val="00987A68"/>
    <w:rsid w:val="00987B2A"/>
    <w:rsid w:val="00987C5E"/>
    <w:rsid w:val="00987D47"/>
    <w:rsid w:val="00987D6D"/>
    <w:rsid w:val="00987D91"/>
    <w:rsid w:val="00987F88"/>
    <w:rsid w:val="00990046"/>
    <w:rsid w:val="0099009C"/>
    <w:rsid w:val="00990257"/>
    <w:rsid w:val="009902CC"/>
    <w:rsid w:val="009902FA"/>
    <w:rsid w:val="00990358"/>
    <w:rsid w:val="009903DD"/>
    <w:rsid w:val="009904D3"/>
    <w:rsid w:val="009906DF"/>
    <w:rsid w:val="00990796"/>
    <w:rsid w:val="009907B5"/>
    <w:rsid w:val="00990805"/>
    <w:rsid w:val="00990934"/>
    <w:rsid w:val="009909E1"/>
    <w:rsid w:val="00990A42"/>
    <w:rsid w:val="00990B8C"/>
    <w:rsid w:val="00990CDC"/>
    <w:rsid w:val="00991120"/>
    <w:rsid w:val="00991316"/>
    <w:rsid w:val="009915C5"/>
    <w:rsid w:val="00991800"/>
    <w:rsid w:val="00991918"/>
    <w:rsid w:val="00991AC5"/>
    <w:rsid w:val="00991CD7"/>
    <w:rsid w:val="00991D26"/>
    <w:rsid w:val="00991F00"/>
    <w:rsid w:val="00991F18"/>
    <w:rsid w:val="009920DF"/>
    <w:rsid w:val="009921B8"/>
    <w:rsid w:val="009923F0"/>
    <w:rsid w:val="00992804"/>
    <w:rsid w:val="009928C5"/>
    <w:rsid w:val="009928FD"/>
    <w:rsid w:val="00992A6E"/>
    <w:rsid w:val="00992A84"/>
    <w:rsid w:val="00992ABF"/>
    <w:rsid w:val="00992B97"/>
    <w:rsid w:val="00992C38"/>
    <w:rsid w:val="00992D77"/>
    <w:rsid w:val="00992D93"/>
    <w:rsid w:val="00992E23"/>
    <w:rsid w:val="00993003"/>
    <w:rsid w:val="00993149"/>
    <w:rsid w:val="00993163"/>
    <w:rsid w:val="0099316A"/>
    <w:rsid w:val="00993206"/>
    <w:rsid w:val="009932F0"/>
    <w:rsid w:val="00993437"/>
    <w:rsid w:val="0099354A"/>
    <w:rsid w:val="009935A5"/>
    <w:rsid w:val="0099385F"/>
    <w:rsid w:val="0099394B"/>
    <w:rsid w:val="009939DB"/>
    <w:rsid w:val="00993A0F"/>
    <w:rsid w:val="00993D89"/>
    <w:rsid w:val="00994011"/>
    <w:rsid w:val="009940F7"/>
    <w:rsid w:val="0099411F"/>
    <w:rsid w:val="009941DE"/>
    <w:rsid w:val="009944F8"/>
    <w:rsid w:val="0099461F"/>
    <w:rsid w:val="0099466A"/>
    <w:rsid w:val="009948B0"/>
    <w:rsid w:val="00994CD9"/>
    <w:rsid w:val="00994ECE"/>
    <w:rsid w:val="00995083"/>
    <w:rsid w:val="00995181"/>
    <w:rsid w:val="00995198"/>
    <w:rsid w:val="009954E0"/>
    <w:rsid w:val="0099568B"/>
    <w:rsid w:val="009956EA"/>
    <w:rsid w:val="00995985"/>
    <w:rsid w:val="00995A60"/>
    <w:rsid w:val="00995C08"/>
    <w:rsid w:val="00995D0D"/>
    <w:rsid w:val="00995DE5"/>
    <w:rsid w:val="00995E7C"/>
    <w:rsid w:val="00995EDB"/>
    <w:rsid w:val="00995F68"/>
    <w:rsid w:val="00995FB1"/>
    <w:rsid w:val="00995FC9"/>
    <w:rsid w:val="00996039"/>
    <w:rsid w:val="0099608D"/>
    <w:rsid w:val="00996101"/>
    <w:rsid w:val="0099622E"/>
    <w:rsid w:val="009963EB"/>
    <w:rsid w:val="0099663C"/>
    <w:rsid w:val="00996699"/>
    <w:rsid w:val="0099691F"/>
    <w:rsid w:val="00996970"/>
    <w:rsid w:val="00996A5C"/>
    <w:rsid w:val="00996B70"/>
    <w:rsid w:val="00996B82"/>
    <w:rsid w:val="00996D56"/>
    <w:rsid w:val="00996EF6"/>
    <w:rsid w:val="00996F6F"/>
    <w:rsid w:val="00997359"/>
    <w:rsid w:val="0099735D"/>
    <w:rsid w:val="009974A5"/>
    <w:rsid w:val="00997524"/>
    <w:rsid w:val="009977A6"/>
    <w:rsid w:val="009979CB"/>
    <w:rsid w:val="00997C18"/>
    <w:rsid w:val="00997DD1"/>
    <w:rsid w:val="00997DE6"/>
    <w:rsid w:val="00997DFD"/>
    <w:rsid w:val="00997F14"/>
    <w:rsid w:val="00997F3E"/>
    <w:rsid w:val="009A02AC"/>
    <w:rsid w:val="009A03C8"/>
    <w:rsid w:val="009A0439"/>
    <w:rsid w:val="009A04EE"/>
    <w:rsid w:val="009A04FB"/>
    <w:rsid w:val="009A0556"/>
    <w:rsid w:val="009A0599"/>
    <w:rsid w:val="009A05A4"/>
    <w:rsid w:val="009A0902"/>
    <w:rsid w:val="009A09F5"/>
    <w:rsid w:val="009A0A39"/>
    <w:rsid w:val="009A0AD5"/>
    <w:rsid w:val="009A0C05"/>
    <w:rsid w:val="009A0C19"/>
    <w:rsid w:val="009A0D09"/>
    <w:rsid w:val="009A0DDF"/>
    <w:rsid w:val="009A0F59"/>
    <w:rsid w:val="009A113E"/>
    <w:rsid w:val="009A11F7"/>
    <w:rsid w:val="009A1413"/>
    <w:rsid w:val="009A17F5"/>
    <w:rsid w:val="009A18C6"/>
    <w:rsid w:val="009A19BA"/>
    <w:rsid w:val="009A1B80"/>
    <w:rsid w:val="009A1BA4"/>
    <w:rsid w:val="009A1C38"/>
    <w:rsid w:val="009A1D22"/>
    <w:rsid w:val="009A1E28"/>
    <w:rsid w:val="009A1F7B"/>
    <w:rsid w:val="009A1FDE"/>
    <w:rsid w:val="009A210B"/>
    <w:rsid w:val="009A2210"/>
    <w:rsid w:val="009A2217"/>
    <w:rsid w:val="009A23F9"/>
    <w:rsid w:val="009A2599"/>
    <w:rsid w:val="009A25C4"/>
    <w:rsid w:val="009A27D8"/>
    <w:rsid w:val="009A2971"/>
    <w:rsid w:val="009A2983"/>
    <w:rsid w:val="009A2A1B"/>
    <w:rsid w:val="009A2AB8"/>
    <w:rsid w:val="009A2B72"/>
    <w:rsid w:val="009A2BD9"/>
    <w:rsid w:val="009A2D56"/>
    <w:rsid w:val="009A2F30"/>
    <w:rsid w:val="009A33BE"/>
    <w:rsid w:val="009A35CC"/>
    <w:rsid w:val="009A375D"/>
    <w:rsid w:val="009A3852"/>
    <w:rsid w:val="009A3AFB"/>
    <w:rsid w:val="009A3B6A"/>
    <w:rsid w:val="009A3B97"/>
    <w:rsid w:val="009A3F05"/>
    <w:rsid w:val="009A3F3C"/>
    <w:rsid w:val="009A411D"/>
    <w:rsid w:val="009A416B"/>
    <w:rsid w:val="009A4250"/>
    <w:rsid w:val="009A42F2"/>
    <w:rsid w:val="009A439E"/>
    <w:rsid w:val="009A467B"/>
    <w:rsid w:val="009A4779"/>
    <w:rsid w:val="009A4A97"/>
    <w:rsid w:val="009A4B1B"/>
    <w:rsid w:val="009A4DD8"/>
    <w:rsid w:val="009A50AC"/>
    <w:rsid w:val="009A50DD"/>
    <w:rsid w:val="009A5255"/>
    <w:rsid w:val="009A52BE"/>
    <w:rsid w:val="009A53F0"/>
    <w:rsid w:val="009A55EF"/>
    <w:rsid w:val="009A560F"/>
    <w:rsid w:val="009A566B"/>
    <w:rsid w:val="009A595F"/>
    <w:rsid w:val="009A59C8"/>
    <w:rsid w:val="009A5E20"/>
    <w:rsid w:val="009A5E81"/>
    <w:rsid w:val="009A5F63"/>
    <w:rsid w:val="009A5FF3"/>
    <w:rsid w:val="009A61A5"/>
    <w:rsid w:val="009A620D"/>
    <w:rsid w:val="009A64FC"/>
    <w:rsid w:val="009A6504"/>
    <w:rsid w:val="009A664C"/>
    <w:rsid w:val="009A6732"/>
    <w:rsid w:val="009A688B"/>
    <w:rsid w:val="009A6950"/>
    <w:rsid w:val="009A6A32"/>
    <w:rsid w:val="009A6A7E"/>
    <w:rsid w:val="009A6C46"/>
    <w:rsid w:val="009A6EC1"/>
    <w:rsid w:val="009A6FC7"/>
    <w:rsid w:val="009A7051"/>
    <w:rsid w:val="009A709D"/>
    <w:rsid w:val="009A7264"/>
    <w:rsid w:val="009A7307"/>
    <w:rsid w:val="009A748C"/>
    <w:rsid w:val="009A760B"/>
    <w:rsid w:val="009A7974"/>
    <w:rsid w:val="009A7B56"/>
    <w:rsid w:val="009A7CDA"/>
    <w:rsid w:val="009A7E8A"/>
    <w:rsid w:val="009B0165"/>
    <w:rsid w:val="009B0207"/>
    <w:rsid w:val="009B02C3"/>
    <w:rsid w:val="009B0360"/>
    <w:rsid w:val="009B042A"/>
    <w:rsid w:val="009B04FE"/>
    <w:rsid w:val="009B0557"/>
    <w:rsid w:val="009B0600"/>
    <w:rsid w:val="009B060D"/>
    <w:rsid w:val="009B067E"/>
    <w:rsid w:val="009B06A7"/>
    <w:rsid w:val="009B0737"/>
    <w:rsid w:val="009B0745"/>
    <w:rsid w:val="009B082B"/>
    <w:rsid w:val="009B0BCB"/>
    <w:rsid w:val="009B0CB0"/>
    <w:rsid w:val="009B0F16"/>
    <w:rsid w:val="009B1121"/>
    <w:rsid w:val="009B12C1"/>
    <w:rsid w:val="009B136E"/>
    <w:rsid w:val="009B13E2"/>
    <w:rsid w:val="009B13E5"/>
    <w:rsid w:val="009B1631"/>
    <w:rsid w:val="009B17BA"/>
    <w:rsid w:val="009B17C8"/>
    <w:rsid w:val="009B17FE"/>
    <w:rsid w:val="009B1CC4"/>
    <w:rsid w:val="009B1D51"/>
    <w:rsid w:val="009B206D"/>
    <w:rsid w:val="009B20B3"/>
    <w:rsid w:val="009B2101"/>
    <w:rsid w:val="009B2334"/>
    <w:rsid w:val="009B2536"/>
    <w:rsid w:val="009B2619"/>
    <w:rsid w:val="009B26F3"/>
    <w:rsid w:val="009B27AC"/>
    <w:rsid w:val="009B2B58"/>
    <w:rsid w:val="009B2BAD"/>
    <w:rsid w:val="009B2CA3"/>
    <w:rsid w:val="009B2D79"/>
    <w:rsid w:val="009B2DB1"/>
    <w:rsid w:val="009B2F8C"/>
    <w:rsid w:val="009B302B"/>
    <w:rsid w:val="009B30EF"/>
    <w:rsid w:val="009B346E"/>
    <w:rsid w:val="009B374D"/>
    <w:rsid w:val="009B3790"/>
    <w:rsid w:val="009B384F"/>
    <w:rsid w:val="009B38EE"/>
    <w:rsid w:val="009B39A3"/>
    <w:rsid w:val="009B3D1B"/>
    <w:rsid w:val="009B3D49"/>
    <w:rsid w:val="009B3FCE"/>
    <w:rsid w:val="009B404A"/>
    <w:rsid w:val="009B41C0"/>
    <w:rsid w:val="009B4294"/>
    <w:rsid w:val="009B4449"/>
    <w:rsid w:val="009B44D2"/>
    <w:rsid w:val="009B45B1"/>
    <w:rsid w:val="009B4697"/>
    <w:rsid w:val="009B4A64"/>
    <w:rsid w:val="009B4CE8"/>
    <w:rsid w:val="009B4E2F"/>
    <w:rsid w:val="009B505D"/>
    <w:rsid w:val="009B540A"/>
    <w:rsid w:val="009B5510"/>
    <w:rsid w:val="009B56EE"/>
    <w:rsid w:val="009B58B2"/>
    <w:rsid w:val="009B59F1"/>
    <w:rsid w:val="009B5C14"/>
    <w:rsid w:val="009B5D63"/>
    <w:rsid w:val="009B6026"/>
    <w:rsid w:val="009B6287"/>
    <w:rsid w:val="009B6377"/>
    <w:rsid w:val="009B6411"/>
    <w:rsid w:val="009B653C"/>
    <w:rsid w:val="009B6695"/>
    <w:rsid w:val="009B66C5"/>
    <w:rsid w:val="009B6876"/>
    <w:rsid w:val="009B6B3A"/>
    <w:rsid w:val="009B6B44"/>
    <w:rsid w:val="009B6C0B"/>
    <w:rsid w:val="009B6D57"/>
    <w:rsid w:val="009B6D81"/>
    <w:rsid w:val="009B6DB1"/>
    <w:rsid w:val="009B6F03"/>
    <w:rsid w:val="009B7068"/>
    <w:rsid w:val="009B7596"/>
    <w:rsid w:val="009B7691"/>
    <w:rsid w:val="009B7736"/>
    <w:rsid w:val="009B7A4A"/>
    <w:rsid w:val="009B7CA6"/>
    <w:rsid w:val="009C001F"/>
    <w:rsid w:val="009C002E"/>
    <w:rsid w:val="009C012A"/>
    <w:rsid w:val="009C03EB"/>
    <w:rsid w:val="009C047D"/>
    <w:rsid w:val="009C05F8"/>
    <w:rsid w:val="009C070A"/>
    <w:rsid w:val="009C07F1"/>
    <w:rsid w:val="009C0828"/>
    <w:rsid w:val="009C08D6"/>
    <w:rsid w:val="009C0975"/>
    <w:rsid w:val="009C0A00"/>
    <w:rsid w:val="009C0A0E"/>
    <w:rsid w:val="009C0B6F"/>
    <w:rsid w:val="009C0BF6"/>
    <w:rsid w:val="009C0C4C"/>
    <w:rsid w:val="009C0E32"/>
    <w:rsid w:val="009C0FE3"/>
    <w:rsid w:val="009C1032"/>
    <w:rsid w:val="009C1062"/>
    <w:rsid w:val="009C1198"/>
    <w:rsid w:val="009C144D"/>
    <w:rsid w:val="009C163F"/>
    <w:rsid w:val="009C1888"/>
    <w:rsid w:val="009C1CC1"/>
    <w:rsid w:val="009C2180"/>
    <w:rsid w:val="009C23ED"/>
    <w:rsid w:val="009C2425"/>
    <w:rsid w:val="009C2526"/>
    <w:rsid w:val="009C268C"/>
    <w:rsid w:val="009C26FB"/>
    <w:rsid w:val="009C2A1F"/>
    <w:rsid w:val="009C2A57"/>
    <w:rsid w:val="009C2A6C"/>
    <w:rsid w:val="009C2D04"/>
    <w:rsid w:val="009C2E63"/>
    <w:rsid w:val="009C2F0E"/>
    <w:rsid w:val="009C2F54"/>
    <w:rsid w:val="009C336E"/>
    <w:rsid w:val="009C392A"/>
    <w:rsid w:val="009C3971"/>
    <w:rsid w:val="009C39DE"/>
    <w:rsid w:val="009C3CDA"/>
    <w:rsid w:val="009C40B6"/>
    <w:rsid w:val="009C40B7"/>
    <w:rsid w:val="009C4167"/>
    <w:rsid w:val="009C4266"/>
    <w:rsid w:val="009C4314"/>
    <w:rsid w:val="009C4327"/>
    <w:rsid w:val="009C46EE"/>
    <w:rsid w:val="009C4A0D"/>
    <w:rsid w:val="009C4A9F"/>
    <w:rsid w:val="009C4B77"/>
    <w:rsid w:val="009C4E2D"/>
    <w:rsid w:val="009C4EF2"/>
    <w:rsid w:val="009C5328"/>
    <w:rsid w:val="009C5363"/>
    <w:rsid w:val="009C5583"/>
    <w:rsid w:val="009C559B"/>
    <w:rsid w:val="009C569D"/>
    <w:rsid w:val="009C56E2"/>
    <w:rsid w:val="009C5767"/>
    <w:rsid w:val="009C5856"/>
    <w:rsid w:val="009C5976"/>
    <w:rsid w:val="009C5AD7"/>
    <w:rsid w:val="009C5D0D"/>
    <w:rsid w:val="009C5DF0"/>
    <w:rsid w:val="009C6054"/>
    <w:rsid w:val="009C60FE"/>
    <w:rsid w:val="009C6512"/>
    <w:rsid w:val="009C669F"/>
    <w:rsid w:val="009C676A"/>
    <w:rsid w:val="009C67C9"/>
    <w:rsid w:val="009C67FD"/>
    <w:rsid w:val="009C691F"/>
    <w:rsid w:val="009C6D13"/>
    <w:rsid w:val="009C6E30"/>
    <w:rsid w:val="009C6F54"/>
    <w:rsid w:val="009C71CE"/>
    <w:rsid w:val="009C729A"/>
    <w:rsid w:val="009C7367"/>
    <w:rsid w:val="009C7563"/>
    <w:rsid w:val="009C75A5"/>
    <w:rsid w:val="009C7676"/>
    <w:rsid w:val="009C767C"/>
    <w:rsid w:val="009C7708"/>
    <w:rsid w:val="009C77C1"/>
    <w:rsid w:val="009C77EF"/>
    <w:rsid w:val="009C79C3"/>
    <w:rsid w:val="009C7DA8"/>
    <w:rsid w:val="009C7DD0"/>
    <w:rsid w:val="009C7DD4"/>
    <w:rsid w:val="009C7E9D"/>
    <w:rsid w:val="009C7F69"/>
    <w:rsid w:val="009D029B"/>
    <w:rsid w:val="009D06FB"/>
    <w:rsid w:val="009D09AD"/>
    <w:rsid w:val="009D0B97"/>
    <w:rsid w:val="009D0DBA"/>
    <w:rsid w:val="009D0ECD"/>
    <w:rsid w:val="009D0EF3"/>
    <w:rsid w:val="009D0FDA"/>
    <w:rsid w:val="009D120E"/>
    <w:rsid w:val="009D143A"/>
    <w:rsid w:val="009D1585"/>
    <w:rsid w:val="009D16D9"/>
    <w:rsid w:val="009D1889"/>
    <w:rsid w:val="009D19F2"/>
    <w:rsid w:val="009D1ABC"/>
    <w:rsid w:val="009D1AF2"/>
    <w:rsid w:val="009D1B75"/>
    <w:rsid w:val="009D1C15"/>
    <w:rsid w:val="009D1C6A"/>
    <w:rsid w:val="009D1E1E"/>
    <w:rsid w:val="009D21EE"/>
    <w:rsid w:val="009D238B"/>
    <w:rsid w:val="009D243A"/>
    <w:rsid w:val="009D261C"/>
    <w:rsid w:val="009D2746"/>
    <w:rsid w:val="009D2A03"/>
    <w:rsid w:val="009D2A70"/>
    <w:rsid w:val="009D2C05"/>
    <w:rsid w:val="009D2D6C"/>
    <w:rsid w:val="009D2E3D"/>
    <w:rsid w:val="009D2EDE"/>
    <w:rsid w:val="009D3149"/>
    <w:rsid w:val="009D327F"/>
    <w:rsid w:val="009D338A"/>
    <w:rsid w:val="009D35F7"/>
    <w:rsid w:val="009D36C3"/>
    <w:rsid w:val="009D3978"/>
    <w:rsid w:val="009D39A4"/>
    <w:rsid w:val="009D3CE5"/>
    <w:rsid w:val="009D3D23"/>
    <w:rsid w:val="009D3D27"/>
    <w:rsid w:val="009D3E48"/>
    <w:rsid w:val="009D3F32"/>
    <w:rsid w:val="009D3FCC"/>
    <w:rsid w:val="009D400A"/>
    <w:rsid w:val="009D4141"/>
    <w:rsid w:val="009D41BD"/>
    <w:rsid w:val="009D422B"/>
    <w:rsid w:val="009D457D"/>
    <w:rsid w:val="009D458B"/>
    <w:rsid w:val="009D467E"/>
    <w:rsid w:val="009D4728"/>
    <w:rsid w:val="009D47E5"/>
    <w:rsid w:val="009D47F0"/>
    <w:rsid w:val="009D4E07"/>
    <w:rsid w:val="009D4E3F"/>
    <w:rsid w:val="009D4E55"/>
    <w:rsid w:val="009D50E0"/>
    <w:rsid w:val="009D534B"/>
    <w:rsid w:val="009D5514"/>
    <w:rsid w:val="009D56A0"/>
    <w:rsid w:val="009D5A44"/>
    <w:rsid w:val="009D5C34"/>
    <w:rsid w:val="009D5C5F"/>
    <w:rsid w:val="009D5C89"/>
    <w:rsid w:val="009D5CD5"/>
    <w:rsid w:val="009D6057"/>
    <w:rsid w:val="009D6444"/>
    <w:rsid w:val="009D6478"/>
    <w:rsid w:val="009D6563"/>
    <w:rsid w:val="009D65B1"/>
    <w:rsid w:val="009D67FC"/>
    <w:rsid w:val="009D68D1"/>
    <w:rsid w:val="009D69FF"/>
    <w:rsid w:val="009D6BC2"/>
    <w:rsid w:val="009D6BFE"/>
    <w:rsid w:val="009D6C08"/>
    <w:rsid w:val="009D6C55"/>
    <w:rsid w:val="009D6D31"/>
    <w:rsid w:val="009D6D59"/>
    <w:rsid w:val="009D6E13"/>
    <w:rsid w:val="009D6F5E"/>
    <w:rsid w:val="009D6FE9"/>
    <w:rsid w:val="009D702E"/>
    <w:rsid w:val="009D7057"/>
    <w:rsid w:val="009D7066"/>
    <w:rsid w:val="009D7210"/>
    <w:rsid w:val="009D74D2"/>
    <w:rsid w:val="009D76C2"/>
    <w:rsid w:val="009D77E2"/>
    <w:rsid w:val="009D78C7"/>
    <w:rsid w:val="009D78E8"/>
    <w:rsid w:val="009D790E"/>
    <w:rsid w:val="009D799D"/>
    <w:rsid w:val="009D7A72"/>
    <w:rsid w:val="009D7BEC"/>
    <w:rsid w:val="009D7DB4"/>
    <w:rsid w:val="009E02B0"/>
    <w:rsid w:val="009E0348"/>
    <w:rsid w:val="009E03BB"/>
    <w:rsid w:val="009E04B5"/>
    <w:rsid w:val="009E0648"/>
    <w:rsid w:val="009E0923"/>
    <w:rsid w:val="009E09B2"/>
    <w:rsid w:val="009E0A63"/>
    <w:rsid w:val="009E0B06"/>
    <w:rsid w:val="009E0BF8"/>
    <w:rsid w:val="009E0CFF"/>
    <w:rsid w:val="009E0E5C"/>
    <w:rsid w:val="009E1385"/>
    <w:rsid w:val="009E13D3"/>
    <w:rsid w:val="009E1592"/>
    <w:rsid w:val="009E1864"/>
    <w:rsid w:val="009E188C"/>
    <w:rsid w:val="009E1937"/>
    <w:rsid w:val="009E1947"/>
    <w:rsid w:val="009E19A8"/>
    <w:rsid w:val="009E1A65"/>
    <w:rsid w:val="009E1A6C"/>
    <w:rsid w:val="009E1A7D"/>
    <w:rsid w:val="009E1A97"/>
    <w:rsid w:val="009E1B2C"/>
    <w:rsid w:val="009E1E20"/>
    <w:rsid w:val="009E1E88"/>
    <w:rsid w:val="009E202F"/>
    <w:rsid w:val="009E2036"/>
    <w:rsid w:val="009E2293"/>
    <w:rsid w:val="009E22A2"/>
    <w:rsid w:val="009E23D7"/>
    <w:rsid w:val="009E24A4"/>
    <w:rsid w:val="009E254D"/>
    <w:rsid w:val="009E2786"/>
    <w:rsid w:val="009E27C9"/>
    <w:rsid w:val="009E285F"/>
    <w:rsid w:val="009E2924"/>
    <w:rsid w:val="009E29BF"/>
    <w:rsid w:val="009E2A27"/>
    <w:rsid w:val="009E2AC3"/>
    <w:rsid w:val="009E2ACC"/>
    <w:rsid w:val="009E2BC1"/>
    <w:rsid w:val="009E2C6D"/>
    <w:rsid w:val="009E2C84"/>
    <w:rsid w:val="009E2D1E"/>
    <w:rsid w:val="009E2E25"/>
    <w:rsid w:val="009E2F0F"/>
    <w:rsid w:val="009E2F90"/>
    <w:rsid w:val="009E2FD0"/>
    <w:rsid w:val="009E30D6"/>
    <w:rsid w:val="009E3102"/>
    <w:rsid w:val="009E330E"/>
    <w:rsid w:val="009E34FC"/>
    <w:rsid w:val="009E36A5"/>
    <w:rsid w:val="009E370A"/>
    <w:rsid w:val="009E3781"/>
    <w:rsid w:val="009E37A9"/>
    <w:rsid w:val="009E37B2"/>
    <w:rsid w:val="009E3A4E"/>
    <w:rsid w:val="009E3B10"/>
    <w:rsid w:val="009E3B13"/>
    <w:rsid w:val="009E3EBD"/>
    <w:rsid w:val="009E3F44"/>
    <w:rsid w:val="009E40F4"/>
    <w:rsid w:val="009E4106"/>
    <w:rsid w:val="009E413A"/>
    <w:rsid w:val="009E44E8"/>
    <w:rsid w:val="009E44EF"/>
    <w:rsid w:val="009E45D4"/>
    <w:rsid w:val="009E4619"/>
    <w:rsid w:val="009E47F6"/>
    <w:rsid w:val="009E4A2C"/>
    <w:rsid w:val="009E4A84"/>
    <w:rsid w:val="009E4AD9"/>
    <w:rsid w:val="009E4BCA"/>
    <w:rsid w:val="009E4D54"/>
    <w:rsid w:val="009E5098"/>
    <w:rsid w:val="009E50DF"/>
    <w:rsid w:val="009E529B"/>
    <w:rsid w:val="009E532A"/>
    <w:rsid w:val="009E532C"/>
    <w:rsid w:val="009E543A"/>
    <w:rsid w:val="009E5534"/>
    <w:rsid w:val="009E560C"/>
    <w:rsid w:val="009E5704"/>
    <w:rsid w:val="009E592D"/>
    <w:rsid w:val="009E5953"/>
    <w:rsid w:val="009E59A8"/>
    <w:rsid w:val="009E5BC9"/>
    <w:rsid w:val="009E5CA7"/>
    <w:rsid w:val="009E61C2"/>
    <w:rsid w:val="009E6459"/>
    <w:rsid w:val="009E6483"/>
    <w:rsid w:val="009E64B6"/>
    <w:rsid w:val="009E64E8"/>
    <w:rsid w:val="009E6770"/>
    <w:rsid w:val="009E68ED"/>
    <w:rsid w:val="009E69D1"/>
    <w:rsid w:val="009E6A51"/>
    <w:rsid w:val="009E6D03"/>
    <w:rsid w:val="009E6D4E"/>
    <w:rsid w:val="009E6E14"/>
    <w:rsid w:val="009E70DC"/>
    <w:rsid w:val="009E7142"/>
    <w:rsid w:val="009E716B"/>
    <w:rsid w:val="009E72B8"/>
    <w:rsid w:val="009E7336"/>
    <w:rsid w:val="009E74D4"/>
    <w:rsid w:val="009E753E"/>
    <w:rsid w:val="009E75D8"/>
    <w:rsid w:val="009E7818"/>
    <w:rsid w:val="009E7839"/>
    <w:rsid w:val="009E7910"/>
    <w:rsid w:val="009F001F"/>
    <w:rsid w:val="009F01CF"/>
    <w:rsid w:val="009F029A"/>
    <w:rsid w:val="009F03BD"/>
    <w:rsid w:val="009F04D4"/>
    <w:rsid w:val="009F06B5"/>
    <w:rsid w:val="009F079A"/>
    <w:rsid w:val="009F0861"/>
    <w:rsid w:val="009F08DB"/>
    <w:rsid w:val="009F0914"/>
    <w:rsid w:val="009F095F"/>
    <w:rsid w:val="009F0B1A"/>
    <w:rsid w:val="009F0C36"/>
    <w:rsid w:val="009F0D06"/>
    <w:rsid w:val="009F0FBE"/>
    <w:rsid w:val="009F1454"/>
    <w:rsid w:val="009F1501"/>
    <w:rsid w:val="009F15E4"/>
    <w:rsid w:val="009F15FF"/>
    <w:rsid w:val="009F16A2"/>
    <w:rsid w:val="009F1703"/>
    <w:rsid w:val="009F1730"/>
    <w:rsid w:val="009F175F"/>
    <w:rsid w:val="009F178B"/>
    <w:rsid w:val="009F19D9"/>
    <w:rsid w:val="009F1A2F"/>
    <w:rsid w:val="009F1BB9"/>
    <w:rsid w:val="009F1BDA"/>
    <w:rsid w:val="009F1C08"/>
    <w:rsid w:val="009F1D62"/>
    <w:rsid w:val="009F1DEA"/>
    <w:rsid w:val="009F1E08"/>
    <w:rsid w:val="009F1EF5"/>
    <w:rsid w:val="009F204F"/>
    <w:rsid w:val="009F229E"/>
    <w:rsid w:val="009F262B"/>
    <w:rsid w:val="009F2A08"/>
    <w:rsid w:val="009F2B05"/>
    <w:rsid w:val="009F2B88"/>
    <w:rsid w:val="009F2BAC"/>
    <w:rsid w:val="009F2C76"/>
    <w:rsid w:val="009F2F26"/>
    <w:rsid w:val="009F2F79"/>
    <w:rsid w:val="009F2FBC"/>
    <w:rsid w:val="009F3027"/>
    <w:rsid w:val="009F31AB"/>
    <w:rsid w:val="009F31F2"/>
    <w:rsid w:val="009F368F"/>
    <w:rsid w:val="009F376B"/>
    <w:rsid w:val="009F38A1"/>
    <w:rsid w:val="009F3A44"/>
    <w:rsid w:val="009F3AA7"/>
    <w:rsid w:val="009F3B4E"/>
    <w:rsid w:val="009F3C24"/>
    <w:rsid w:val="009F3ED5"/>
    <w:rsid w:val="009F40C2"/>
    <w:rsid w:val="009F4143"/>
    <w:rsid w:val="009F416E"/>
    <w:rsid w:val="009F432F"/>
    <w:rsid w:val="009F44BF"/>
    <w:rsid w:val="009F44E3"/>
    <w:rsid w:val="009F451F"/>
    <w:rsid w:val="009F459F"/>
    <w:rsid w:val="009F45C0"/>
    <w:rsid w:val="009F460C"/>
    <w:rsid w:val="009F485D"/>
    <w:rsid w:val="009F4894"/>
    <w:rsid w:val="009F4BCA"/>
    <w:rsid w:val="009F4D49"/>
    <w:rsid w:val="009F4E6C"/>
    <w:rsid w:val="009F4FEB"/>
    <w:rsid w:val="009F52ED"/>
    <w:rsid w:val="009F55A9"/>
    <w:rsid w:val="009F57AA"/>
    <w:rsid w:val="009F6086"/>
    <w:rsid w:val="009F6519"/>
    <w:rsid w:val="009F6527"/>
    <w:rsid w:val="009F65FD"/>
    <w:rsid w:val="009F664E"/>
    <w:rsid w:val="009F675B"/>
    <w:rsid w:val="009F67CC"/>
    <w:rsid w:val="009F68A3"/>
    <w:rsid w:val="009F68B5"/>
    <w:rsid w:val="009F69F7"/>
    <w:rsid w:val="009F6A43"/>
    <w:rsid w:val="009F6AEB"/>
    <w:rsid w:val="009F6B4C"/>
    <w:rsid w:val="009F6BB3"/>
    <w:rsid w:val="009F6D6E"/>
    <w:rsid w:val="009F6D70"/>
    <w:rsid w:val="009F718F"/>
    <w:rsid w:val="009F744C"/>
    <w:rsid w:val="009F752A"/>
    <w:rsid w:val="009F7584"/>
    <w:rsid w:val="009F7732"/>
    <w:rsid w:val="009F77A1"/>
    <w:rsid w:val="009F7826"/>
    <w:rsid w:val="009F7BDF"/>
    <w:rsid w:val="009F7C7B"/>
    <w:rsid w:val="00A001CA"/>
    <w:rsid w:val="00A0028F"/>
    <w:rsid w:val="00A003A9"/>
    <w:rsid w:val="00A0044A"/>
    <w:rsid w:val="00A004BF"/>
    <w:rsid w:val="00A00515"/>
    <w:rsid w:val="00A00539"/>
    <w:rsid w:val="00A005C3"/>
    <w:rsid w:val="00A00662"/>
    <w:rsid w:val="00A0066F"/>
    <w:rsid w:val="00A0067F"/>
    <w:rsid w:val="00A006CD"/>
    <w:rsid w:val="00A006E9"/>
    <w:rsid w:val="00A00A74"/>
    <w:rsid w:val="00A00AC2"/>
    <w:rsid w:val="00A00BDD"/>
    <w:rsid w:val="00A00BF6"/>
    <w:rsid w:val="00A00E7E"/>
    <w:rsid w:val="00A00FFD"/>
    <w:rsid w:val="00A0110E"/>
    <w:rsid w:val="00A011FC"/>
    <w:rsid w:val="00A01276"/>
    <w:rsid w:val="00A01299"/>
    <w:rsid w:val="00A01356"/>
    <w:rsid w:val="00A0137A"/>
    <w:rsid w:val="00A01424"/>
    <w:rsid w:val="00A01757"/>
    <w:rsid w:val="00A01918"/>
    <w:rsid w:val="00A01BF2"/>
    <w:rsid w:val="00A01C91"/>
    <w:rsid w:val="00A01DBF"/>
    <w:rsid w:val="00A0214C"/>
    <w:rsid w:val="00A0228C"/>
    <w:rsid w:val="00A023E1"/>
    <w:rsid w:val="00A024E9"/>
    <w:rsid w:val="00A0271E"/>
    <w:rsid w:val="00A02958"/>
    <w:rsid w:val="00A02A71"/>
    <w:rsid w:val="00A02A98"/>
    <w:rsid w:val="00A02BB2"/>
    <w:rsid w:val="00A02C2A"/>
    <w:rsid w:val="00A02D0D"/>
    <w:rsid w:val="00A02D42"/>
    <w:rsid w:val="00A03204"/>
    <w:rsid w:val="00A032CD"/>
    <w:rsid w:val="00A033A1"/>
    <w:rsid w:val="00A033D8"/>
    <w:rsid w:val="00A03459"/>
    <w:rsid w:val="00A03500"/>
    <w:rsid w:val="00A0370A"/>
    <w:rsid w:val="00A0383B"/>
    <w:rsid w:val="00A038AD"/>
    <w:rsid w:val="00A039DA"/>
    <w:rsid w:val="00A03A49"/>
    <w:rsid w:val="00A03C94"/>
    <w:rsid w:val="00A03DA7"/>
    <w:rsid w:val="00A03E90"/>
    <w:rsid w:val="00A03FAF"/>
    <w:rsid w:val="00A03FC0"/>
    <w:rsid w:val="00A04004"/>
    <w:rsid w:val="00A04109"/>
    <w:rsid w:val="00A041AB"/>
    <w:rsid w:val="00A04311"/>
    <w:rsid w:val="00A0432B"/>
    <w:rsid w:val="00A04514"/>
    <w:rsid w:val="00A04525"/>
    <w:rsid w:val="00A045DD"/>
    <w:rsid w:val="00A0480A"/>
    <w:rsid w:val="00A048A8"/>
    <w:rsid w:val="00A04A15"/>
    <w:rsid w:val="00A04A60"/>
    <w:rsid w:val="00A04C01"/>
    <w:rsid w:val="00A04C9A"/>
    <w:rsid w:val="00A04CDD"/>
    <w:rsid w:val="00A04CDE"/>
    <w:rsid w:val="00A04D9E"/>
    <w:rsid w:val="00A05284"/>
    <w:rsid w:val="00A0533C"/>
    <w:rsid w:val="00A0535B"/>
    <w:rsid w:val="00A0545C"/>
    <w:rsid w:val="00A055B7"/>
    <w:rsid w:val="00A05625"/>
    <w:rsid w:val="00A0566A"/>
    <w:rsid w:val="00A0578C"/>
    <w:rsid w:val="00A058E7"/>
    <w:rsid w:val="00A0591B"/>
    <w:rsid w:val="00A05A3F"/>
    <w:rsid w:val="00A05A8E"/>
    <w:rsid w:val="00A05AEE"/>
    <w:rsid w:val="00A05B3F"/>
    <w:rsid w:val="00A05B91"/>
    <w:rsid w:val="00A05CA6"/>
    <w:rsid w:val="00A05DF0"/>
    <w:rsid w:val="00A06372"/>
    <w:rsid w:val="00A063B8"/>
    <w:rsid w:val="00A06595"/>
    <w:rsid w:val="00A06654"/>
    <w:rsid w:val="00A068EF"/>
    <w:rsid w:val="00A06B62"/>
    <w:rsid w:val="00A06BB8"/>
    <w:rsid w:val="00A06CC9"/>
    <w:rsid w:val="00A06D77"/>
    <w:rsid w:val="00A06DBD"/>
    <w:rsid w:val="00A06EE4"/>
    <w:rsid w:val="00A06EEA"/>
    <w:rsid w:val="00A06F1E"/>
    <w:rsid w:val="00A06F2A"/>
    <w:rsid w:val="00A0733E"/>
    <w:rsid w:val="00A073CD"/>
    <w:rsid w:val="00A0758B"/>
    <w:rsid w:val="00A07590"/>
    <w:rsid w:val="00A0775E"/>
    <w:rsid w:val="00A07797"/>
    <w:rsid w:val="00A077FA"/>
    <w:rsid w:val="00A07843"/>
    <w:rsid w:val="00A0796B"/>
    <w:rsid w:val="00A079D8"/>
    <w:rsid w:val="00A07CCD"/>
    <w:rsid w:val="00A07CE2"/>
    <w:rsid w:val="00A1000C"/>
    <w:rsid w:val="00A1015D"/>
    <w:rsid w:val="00A10439"/>
    <w:rsid w:val="00A105D3"/>
    <w:rsid w:val="00A10683"/>
    <w:rsid w:val="00A10996"/>
    <w:rsid w:val="00A10B38"/>
    <w:rsid w:val="00A10B65"/>
    <w:rsid w:val="00A10BC2"/>
    <w:rsid w:val="00A10CA2"/>
    <w:rsid w:val="00A10DB3"/>
    <w:rsid w:val="00A10E4A"/>
    <w:rsid w:val="00A10F22"/>
    <w:rsid w:val="00A10F8C"/>
    <w:rsid w:val="00A1123E"/>
    <w:rsid w:val="00A11493"/>
    <w:rsid w:val="00A11833"/>
    <w:rsid w:val="00A11845"/>
    <w:rsid w:val="00A11928"/>
    <w:rsid w:val="00A11934"/>
    <w:rsid w:val="00A119ED"/>
    <w:rsid w:val="00A11AB3"/>
    <w:rsid w:val="00A11CAF"/>
    <w:rsid w:val="00A11CF7"/>
    <w:rsid w:val="00A11DE3"/>
    <w:rsid w:val="00A11DFC"/>
    <w:rsid w:val="00A1231E"/>
    <w:rsid w:val="00A12520"/>
    <w:rsid w:val="00A1255F"/>
    <w:rsid w:val="00A126E9"/>
    <w:rsid w:val="00A12776"/>
    <w:rsid w:val="00A127D1"/>
    <w:rsid w:val="00A128F5"/>
    <w:rsid w:val="00A12AB4"/>
    <w:rsid w:val="00A12D80"/>
    <w:rsid w:val="00A130A9"/>
    <w:rsid w:val="00A13125"/>
    <w:rsid w:val="00A132ED"/>
    <w:rsid w:val="00A13370"/>
    <w:rsid w:val="00A1339D"/>
    <w:rsid w:val="00A1347D"/>
    <w:rsid w:val="00A134A5"/>
    <w:rsid w:val="00A13509"/>
    <w:rsid w:val="00A13511"/>
    <w:rsid w:val="00A136E6"/>
    <w:rsid w:val="00A136EF"/>
    <w:rsid w:val="00A13812"/>
    <w:rsid w:val="00A138E0"/>
    <w:rsid w:val="00A13972"/>
    <w:rsid w:val="00A13974"/>
    <w:rsid w:val="00A13A61"/>
    <w:rsid w:val="00A13AB6"/>
    <w:rsid w:val="00A13C62"/>
    <w:rsid w:val="00A13FCD"/>
    <w:rsid w:val="00A144D9"/>
    <w:rsid w:val="00A145C5"/>
    <w:rsid w:val="00A145FE"/>
    <w:rsid w:val="00A14D8D"/>
    <w:rsid w:val="00A14E8C"/>
    <w:rsid w:val="00A15089"/>
    <w:rsid w:val="00A15506"/>
    <w:rsid w:val="00A15569"/>
    <w:rsid w:val="00A15976"/>
    <w:rsid w:val="00A15A18"/>
    <w:rsid w:val="00A15C11"/>
    <w:rsid w:val="00A15C44"/>
    <w:rsid w:val="00A15C57"/>
    <w:rsid w:val="00A15D62"/>
    <w:rsid w:val="00A15FCF"/>
    <w:rsid w:val="00A160AC"/>
    <w:rsid w:val="00A1613C"/>
    <w:rsid w:val="00A16160"/>
    <w:rsid w:val="00A161EA"/>
    <w:rsid w:val="00A16272"/>
    <w:rsid w:val="00A1635C"/>
    <w:rsid w:val="00A1641E"/>
    <w:rsid w:val="00A164FE"/>
    <w:rsid w:val="00A1651B"/>
    <w:rsid w:val="00A16589"/>
    <w:rsid w:val="00A1679F"/>
    <w:rsid w:val="00A167B8"/>
    <w:rsid w:val="00A16915"/>
    <w:rsid w:val="00A16B77"/>
    <w:rsid w:val="00A16DBD"/>
    <w:rsid w:val="00A16E45"/>
    <w:rsid w:val="00A16F58"/>
    <w:rsid w:val="00A16FAE"/>
    <w:rsid w:val="00A17088"/>
    <w:rsid w:val="00A171A0"/>
    <w:rsid w:val="00A173A2"/>
    <w:rsid w:val="00A173D1"/>
    <w:rsid w:val="00A17484"/>
    <w:rsid w:val="00A176B3"/>
    <w:rsid w:val="00A1771E"/>
    <w:rsid w:val="00A17924"/>
    <w:rsid w:val="00A17966"/>
    <w:rsid w:val="00A17B14"/>
    <w:rsid w:val="00A17BB6"/>
    <w:rsid w:val="00A17D53"/>
    <w:rsid w:val="00A17F11"/>
    <w:rsid w:val="00A17F4F"/>
    <w:rsid w:val="00A202D4"/>
    <w:rsid w:val="00A203D3"/>
    <w:rsid w:val="00A2042E"/>
    <w:rsid w:val="00A204DC"/>
    <w:rsid w:val="00A2088C"/>
    <w:rsid w:val="00A20996"/>
    <w:rsid w:val="00A20C9E"/>
    <w:rsid w:val="00A20D8D"/>
    <w:rsid w:val="00A20DDC"/>
    <w:rsid w:val="00A20EF2"/>
    <w:rsid w:val="00A20F00"/>
    <w:rsid w:val="00A20F3A"/>
    <w:rsid w:val="00A21335"/>
    <w:rsid w:val="00A21395"/>
    <w:rsid w:val="00A2139E"/>
    <w:rsid w:val="00A214FF"/>
    <w:rsid w:val="00A2156B"/>
    <w:rsid w:val="00A2169F"/>
    <w:rsid w:val="00A21748"/>
    <w:rsid w:val="00A218F6"/>
    <w:rsid w:val="00A21C9D"/>
    <w:rsid w:val="00A21DD0"/>
    <w:rsid w:val="00A22182"/>
    <w:rsid w:val="00A22333"/>
    <w:rsid w:val="00A2255C"/>
    <w:rsid w:val="00A22B8D"/>
    <w:rsid w:val="00A22BF4"/>
    <w:rsid w:val="00A22CD0"/>
    <w:rsid w:val="00A22D67"/>
    <w:rsid w:val="00A22D79"/>
    <w:rsid w:val="00A22E0E"/>
    <w:rsid w:val="00A22F77"/>
    <w:rsid w:val="00A2311C"/>
    <w:rsid w:val="00A23158"/>
    <w:rsid w:val="00A23175"/>
    <w:rsid w:val="00A23458"/>
    <w:rsid w:val="00A23521"/>
    <w:rsid w:val="00A235CC"/>
    <w:rsid w:val="00A2369E"/>
    <w:rsid w:val="00A2375D"/>
    <w:rsid w:val="00A23859"/>
    <w:rsid w:val="00A2387B"/>
    <w:rsid w:val="00A23934"/>
    <w:rsid w:val="00A23ABC"/>
    <w:rsid w:val="00A23B5C"/>
    <w:rsid w:val="00A23B78"/>
    <w:rsid w:val="00A23D56"/>
    <w:rsid w:val="00A23D5D"/>
    <w:rsid w:val="00A23D7E"/>
    <w:rsid w:val="00A240C5"/>
    <w:rsid w:val="00A24226"/>
    <w:rsid w:val="00A245A6"/>
    <w:rsid w:val="00A2470E"/>
    <w:rsid w:val="00A24754"/>
    <w:rsid w:val="00A24768"/>
    <w:rsid w:val="00A24845"/>
    <w:rsid w:val="00A248B6"/>
    <w:rsid w:val="00A24AD1"/>
    <w:rsid w:val="00A24CD3"/>
    <w:rsid w:val="00A24F12"/>
    <w:rsid w:val="00A25020"/>
    <w:rsid w:val="00A25021"/>
    <w:rsid w:val="00A2515B"/>
    <w:rsid w:val="00A25167"/>
    <w:rsid w:val="00A251AD"/>
    <w:rsid w:val="00A25306"/>
    <w:rsid w:val="00A253D3"/>
    <w:rsid w:val="00A253DB"/>
    <w:rsid w:val="00A25438"/>
    <w:rsid w:val="00A254F5"/>
    <w:rsid w:val="00A2550D"/>
    <w:rsid w:val="00A255C2"/>
    <w:rsid w:val="00A25672"/>
    <w:rsid w:val="00A256FC"/>
    <w:rsid w:val="00A257A3"/>
    <w:rsid w:val="00A258AA"/>
    <w:rsid w:val="00A25A93"/>
    <w:rsid w:val="00A25BE2"/>
    <w:rsid w:val="00A25C81"/>
    <w:rsid w:val="00A25D2C"/>
    <w:rsid w:val="00A25DC2"/>
    <w:rsid w:val="00A25EA0"/>
    <w:rsid w:val="00A25FFE"/>
    <w:rsid w:val="00A26142"/>
    <w:rsid w:val="00A26151"/>
    <w:rsid w:val="00A2630C"/>
    <w:rsid w:val="00A264A7"/>
    <w:rsid w:val="00A264AD"/>
    <w:rsid w:val="00A26530"/>
    <w:rsid w:val="00A2658D"/>
    <w:rsid w:val="00A26796"/>
    <w:rsid w:val="00A267E5"/>
    <w:rsid w:val="00A26A92"/>
    <w:rsid w:val="00A26B51"/>
    <w:rsid w:val="00A26F78"/>
    <w:rsid w:val="00A270D6"/>
    <w:rsid w:val="00A27130"/>
    <w:rsid w:val="00A2739D"/>
    <w:rsid w:val="00A273B3"/>
    <w:rsid w:val="00A27426"/>
    <w:rsid w:val="00A2763C"/>
    <w:rsid w:val="00A277F6"/>
    <w:rsid w:val="00A27A73"/>
    <w:rsid w:val="00A27B43"/>
    <w:rsid w:val="00A27BBE"/>
    <w:rsid w:val="00A27BF8"/>
    <w:rsid w:val="00A27CBC"/>
    <w:rsid w:val="00A27D62"/>
    <w:rsid w:val="00A27E60"/>
    <w:rsid w:val="00A27E68"/>
    <w:rsid w:val="00A27E8C"/>
    <w:rsid w:val="00A27F2F"/>
    <w:rsid w:val="00A27F51"/>
    <w:rsid w:val="00A30077"/>
    <w:rsid w:val="00A300F8"/>
    <w:rsid w:val="00A30163"/>
    <w:rsid w:val="00A3019D"/>
    <w:rsid w:val="00A303E1"/>
    <w:rsid w:val="00A304FC"/>
    <w:rsid w:val="00A30813"/>
    <w:rsid w:val="00A3085A"/>
    <w:rsid w:val="00A30A5B"/>
    <w:rsid w:val="00A30CC2"/>
    <w:rsid w:val="00A30DA1"/>
    <w:rsid w:val="00A30E1D"/>
    <w:rsid w:val="00A30EA7"/>
    <w:rsid w:val="00A3107D"/>
    <w:rsid w:val="00A313BF"/>
    <w:rsid w:val="00A314FD"/>
    <w:rsid w:val="00A316BB"/>
    <w:rsid w:val="00A31703"/>
    <w:rsid w:val="00A31766"/>
    <w:rsid w:val="00A318D0"/>
    <w:rsid w:val="00A31B11"/>
    <w:rsid w:val="00A31B33"/>
    <w:rsid w:val="00A31B49"/>
    <w:rsid w:val="00A31CAB"/>
    <w:rsid w:val="00A31D06"/>
    <w:rsid w:val="00A31D77"/>
    <w:rsid w:val="00A31D93"/>
    <w:rsid w:val="00A31FEF"/>
    <w:rsid w:val="00A32280"/>
    <w:rsid w:val="00A323B3"/>
    <w:rsid w:val="00A3244A"/>
    <w:rsid w:val="00A32555"/>
    <w:rsid w:val="00A32ACE"/>
    <w:rsid w:val="00A32BA6"/>
    <w:rsid w:val="00A32C0D"/>
    <w:rsid w:val="00A32C80"/>
    <w:rsid w:val="00A330FD"/>
    <w:rsid w:val="00A3322E"/>
    <w:rsid w:val="00A3327B"/>
    <w:rsid w:val="00A33331"/>
    <w:rsid w:val="00A3333B"/>
    <w:rsid w:val="00A333B7"/>
    <w:rsid w:val="00A33550"/>
    <w:rsid w:val="00A336D8"/>
    <w:rsid w:val="00A337E8"/>
    <w:rsid w:val="00A33831"/>
    <w:rsid w:val="00A33968"/>
    <w:rsid w:val="00A339E7"/>
    <w:rsid w:val="00A33AC2"/>
    <w:rsid w:val="00A33E0D"/>
    <w:rsid w:val="00A340AA"/>
    <w:rsid w:val="00A34309"/>
    <w:rsid w:val="00A34399"/>
    <w:rsid w:val="00A34776"/>
    <w:rsid w:val="00A34B6B"/>
    <w:rsid w:val="00A34E7B"/>
    <w:rsid w:val="00A34EAA"/>
    <w:rsid w:val="00A34EEB"/>
    <w:rsid w:val="00A350BC"/>
    <w:rsid w:val="00A350FE"/>
    <w:rsid w:val="00A35278"/>
    <w:rsid w:val="00A352C6"/>
    <w:rsid w:val="00A352F7"/>
    <w:rsid w:val="00A353A3"/>
    <w:rsid w:val="00A354BA"/>
    <w:rsid w:val="00A354BC"/>
    <w:rsid w:val="00A35925"/>
    <w:rsid w:val="00A35A9E"/>
    <w:rsid w:val="00A35B03"/>
    <w:rsid w:val="00A35C46"/>
    <w:rsid w:val="00A360DA"/>
    <w:rsid w:val="00A36425"/>
    <w:rsid w:val="00A36486"/>
    <w:rsid w:val="00A366F6"/>
    <w:rsid w:val="00A36736"/>
    <w:rsid w:val="00A367DA"/>
    <w:rsid w:val="00A36861"/>
    <w:rsid w:val="00A36962"/>
    <w:rsid w:val="00A36D21"/>
    <w:rsid w:val="00A36ED1"/>
    <w:rsid w:val="00A373A8"/>
    <w:rsid w:val="00A37489"/>
    <w:rsid w:val="00A3760B"/>
    <w:rsid w:val="00A37896"/>
    <w:rsid w:val="00A37AD8"/>
    <w:rsid w:val="00A37AE2"/>
    <w:rsid w:val="00A37E06"/>
    <w:rsid w:val="00A37E3E"/>
    <w:rsid w:val="00A37E95"/>
    <w:rsid w:val="00A37EAD"/>
    <w:rsid w:val="00A37FF7"/>
    <w:rsid w:val="00A40021"/>
    <w:rsid w:val="00A4004B"/>
    <w:rsid w:val="00A400D5"/>
    <w:rsid w:val="00A403D3"/>
    <w:rsid w:val="00A4047D"/>
    <w:rsid w:val="00A4076B"/>
    <w:rsid w:val="00A40B8B"/>
    <w:rsid w:val="00A4106A"/>
    <w:rsid w:val="00A41106"/>
    <w:rsid w:val="00A413C3"/>
    <w:rsid w:val="00A41461"/>
    <w:rsid w:val="00A4147E"/>
    <w:rsid w:val="00A41601"/>
    <w:rsid w:val="00A416E5"/>
    <w:rsid w:val="00A41791"/>
    <w:rsid w:val="00A418D3"/>
    <w:rsid w:val="00A41969"/>
    <w:rsid w:val="00A41970"/>
    <w:rsid w:val="00A41AF0"/>
    <w:rsid w:val="00A41B7E"/>
    <w:rsid w:val="00A41CFB"/>
    <w:rsid w:val="00A41E46"/>
    <w:rsid w:val="00A423BC"/>
    <w:rsid w:val="00A42473"/>
    <w:rsid w:val="00A4250F"/>
    <w:rsid w:val="00A42665"/>
    <w:rsid w:val="00A42A11"/>
    <w:rsid w:val="00A42C4D"/>
    <w:rsid w:val="00A42D7F"/>
    <w:rsid w:val="00A42E65"/>
    <w:rsid w:val="00A42ECB"/>
    <w:rsid w:val="00A42FF2"/>
    <w:rsid w:val="00A43350"/>
    <w:rsid w:val="00A4346C"/>
    <w:rsid w:val="00A4347A"/>
    <w:rsid w:val="00A434A1"/>
    <w:rsid w:val="00A434A7"/>
    <w:rsid w:val="00A435E3"/>
    <w:rsid w:val="00A43743"/>
    <w:rsid w:val="00A43797"/>
    <w:rsid w:val="00A43858"/>
    <w:rsid w:val="00A43939"/>
    <w:rsid w:val="00A43A0B"/>
    <w:rsid w:val="00A43AA9"/>
    <w:rsid w:val="00A43B1C"/>
    <w:rsid w:val="00A43B64"/>
    <w:rsid w:val="00A43C34"/>
    <w:rsid w:val="00A43D9B"/>
    <w:rsid w:val="00A43F37"/>
    <w:rsid w:val="00A44151"/>
    <w:rsid w:val="00A44783"/>
    <w:rsid w:val="00A447C8"/>
    <w:rsid w:val="00A44806"/>
    <w:rsid w:val="00A44EEA"/>
    <w:rsid w:val="00A451D0"/>
    <w:rsid w:val="00A4538F"/>
    <w:rsid w:val="00A455CD"/>
    <w:rsid w:val="00A45A48"/>
    <w:rsid w:val="00A45C51"/>
    <w:rsid w:val="00A45D90"/>
    <w:rsid w:val="00A45F6E"/>
    <w:rsid w:val="00A461ED"/>
    <w:rsid w:val="00A463BD"/>
    <w:rsid w:val="00A4644F"/>
    <w:rsid w:val="00A46504"/>
    <w:rsid w:val="00A4650D"/>
    <w:rsid w:val="00A46AEB"/>
    <w:rsid w:val="00A46C3E"/>
    <w:rsid w:val="00A46C68"/>
    <w:rsid w:val="00A46E28"/>
    <w:rsid w:val="00A46EC5"/>
    <w:rsid w:val="00A4711F"/>
    <w:rsid w:val="00A47356"/>
    <w:rsid w:val="00A473F5"/>
    <w:rsid w:val="00A4752C"/>
    <w:rsid w:val="00A47537"/>
    <w:rsid w:val="00A4768F"/>
    <w:rsid w:val="00A47750"/>
    <w:rsid w:val="00A477FE"/>
    <w:rsid w:val="00A4786C"/>
    <w:rsid w:val="00A47892"/>
    <w:rsid w:val="00A47CDB"/>
    <w:rsid w:val="00A47E02"/>
    <w:rsid w:val="00A47E05"/>
    <w:rsid w:val="00A47EF8"/>
    <w:rsid w:val="00A50298"/>
    <w:rsid w:val="00A50485"/>
    <w:rsid w:val="00A507AE"/>
    <w:rsid w:val="00A5085C"/>
    <w:rsid w:val="00A508DE"/>
    <w:rsid w:val="00A50A4F"/>
    <w:rsid w:val="00A50E2F"/>
    <w:rsid w:val="00A50EFF"/>
    <w:rsid w:val="00A50F45"/>
    <w:rsid w:val="00A51159"/>
    <w:rsid w:val="00A51186"/>
    <w:rsid w:val="00A5162C"/>
    <w:rsid w:val="00A518A4"/>
    <w:rsid w:val="00A519B5"/>
    <w:rsid w:val="00A51A72"/>
    <w:rsid w:val="00A51A9C"/>
    <w:rsid w:val="00A51C2C"/>
    <w:rsid w:val="00A520CD"/>
    <w:rsid w:val="00A521AA"/>
    <w:rsid w:val="00A52302"/>
    <w:rsid w:val="00A523B2"/>
    <w:rsid w:val="00A523E3"/>
    <w:rsid w:val="00A524FB"/>
    <w:rsid w:val="00A5263B"/>
    <w:rsid w:val="00A52690"/>
    <w:rsid w:val="00A526BC"/>
    <w:rsid w:val="00A5274A"/>
    <w:rsid w:val="00A5292B"/>
    <w:rsid w:val="00A52939"/>
    <w:rsid w:val="00A52B6B"/>
    <w:rsid w:val="00A52CEE"/>
    <w:rsid w:val="00A52EBE"/>
    <w:rsid w:val="00A5320A"/>
    <w:rsid w:val="00A5362A"/>
    <w:rsid w:val="00A536D7"/>
    <w:rsid w:val="00A5386C"/>
    <w:rsid w:val="00A53D2E"/>
    <w:rsid w:val="00A53EBA"/>
    <w:rsid w:val="00A53FBE"/>
    <w:rsid w:val="00A54005"/>
    <w:rsid w:val="00A5403A"/>
    <w:rsid w:val="00A54266"/>
    <w:rsid w:val="00A544E7"/>
    <w:rsid w:val="00A545B5"/>
    <w:rsid w:val="00A54620"/>
    <w:rsid w:val="00A546FF"/>
    <w:rsid w:val="00A54BED"/>
    <w:rsid w:val="00A54EF2"/>
    <w:rsid w:val="00A54F37"/>
    <w:rsid w:val="00A54FD5"/>
    <w:rsid w:val="00A550C6"/>
    <w:rsid w:val="00A55287"/>
    <w:rsid w:val="00A55AFE"/>
    <w:rsid w:val="00A55B99"/>
    <w:rsid w:val="00A55ED8"/>
    <w:rsid w:val="00A55F33"/>
    <w:rsid w:val="00A560D4"/>
    <w:rsid w:val="00A56281"/>
    <w:rsid w:val="00A56283"/>
    <w:rsid w:val="00A565E5"/>
    <w:rsid w:val="00A5696E"/>
    <w:rsid w:val="00A569BC"/>
    <w:rsid w:val="00A56AE8"/>
    <w:rsid w:val="00A56AFE"/>
    <w:rsid w:val="00A56BBF"/>
    <w:rsid w:val="00A56CA4"/>
    <w:rsid w:val="00A56ECC"/>
    <w:rsid w:val="00A56F50"/>
    <w:rsid w:val="00A57716"/>
    <w:rsid w:val="00A57D43"/>
    <w:rsid w:val="00A57EAA"/>
    <w:rsid w:val="00A57EE5"/>
    <w:rsid w:val="00A60026"/>
    <w:rsid w:val="00A60106"/>
    <w:rsid w:val="00A60131"/>
    <w:rsid w:val="00A601FC"/>
    <w:rsid w:val="00A60293"/>
    <w:rsid w:val="00A60327"/>
    <w:rsid w:val="00A60364"/>
    <w:rsid w:val="00A60796"/>
    <w:rsid w:val="00A609ED"/>
    <w:rsid w:val="00A60B3A"/>
    <w:rsid w:val="00A60B7A"/>
    <w:rsid w:val="00A60B8A"/>
    <w:rsid w:val="00A60BA1"/>
    <w:rsid w:val="00A61088"/>
    <w:rsid w:val="00A61246"/>
    <w:rsid w:val="00A612AF"/>
    <w:rsid w:val="00A61312"/>
    <w:rsid w:val="00A614B7"/>
    <w:rsid w:val="00A61634"/>
    <w:rsid w:val="00A61656"/>
    <w:rsid w:val="00A61686"/>
    <w:rsid w:val="00A6179F"/>
    <w:rsid w:val="00A61959"/>
    <w:rsid w:val="00A61A6C"/>
    <w:rsid w:val="00A61BD4"/>
    <w:rsid w:val="00A61C76"/>
    <w:rsid w:val="00A61CF6"/>
    <w:rsid w:val="00A61D73"/>
    <w:rsid w:val="00A61F60"/>
    <w:rsid w:val="00A6202F"/>
    <w:rsid w:val="00A62107"/>
    <w:rsid w:val="00A62229"/>
    <w:rsid w:val="00A6233C"/>
    <w:rsid w:val="00A626F5"/>
    <w:rsid w:val="00A62706"/>
    <w:rsid w:val="00A628A4"/>
    <w:rsid w:val="00A62B94"/>
    <w:rsid w:val="00A62C1A"/>
    <w:rsid w:val="00A62CFE"/>
    <w:rsid w:val="00A62D80"/>
    <w:rsid w:val="00A62D8B"/>
    <w:rsid w:val="00A62E4C"/>
    <w:rsid w:val="00A62ED4"/>
    <w:rsid w:val="00A62EEF"/>
    <w:rsid w:val="00A63061"/>
    <w:rsid w:val="00A631B4"/>
    <w:rsid w:val="00A631BF"/>
    <w:rsid w:val="00A632C3"/>
    <w:rsid w:val="00A638FB"/>
    <w:rsid w:val="00A6390F"/>
    <w:rsid w:val="00A63A95"/>
    <w:rsid w:val="00A63ACE"/>
    <w:rsid w:val="00A63B95"/>
    <w:rsid w:val="00A63BF2"/>
    <w:rsid w:val="00A63DC5"/>
    <w:rsid w:val="00A63E92"/>
    <w:rsid w:val="00A63F32"/>
    <w:rsid w:val="00A642FE"/>
    <w:rsid w:val="00A64353"/>
    <w:rsid w:val="00A643BF"/>
    <w:rsid w:val="00A645B7"/>
    <w:rsid w:val="00A64768"/>
    <w:rsid w:val="00A64806"/>
    <w:rsid w:val="00A64AA8"/>
    <w:rsid w:val="00A64B8D"/>
    <w:rsid w:val="00A64C23"/>
    <w:rsid w:val="00A64E76"/>
    <w:rsid w:val="00A64F29"/>
    <w:rsid w:val="00A6503D"/>
    <w:rsid w:val="00A65365"/>
    <w:rsid w:val="00A65490"/>
    <w:rsid w:val="00A654E8"/>
    <w:rsid w:val="00A65518"/>
    <w:rsid w:val="00A6574A"/>
    <w:rsid w:val="00A6597E"/>
    <w:rsid w:val="00A65CB2"/>
    <w:rsid w:val="00A65E7A"/>
    <w:rsid w:val="00A66072"/>
    <w:rsid w:val="00A661A4"/>
    <w:rsid w:val="00A661B1"/>
    <w:rsid w:val="00A661D8"/>
    <w:rsid w:val="00A6646B"/>
    <w:rsid w:val="00A66670"/>
    <w:rsid w:val="00A66763"/>
    <w:rsid w:val="00A668A7"/>
    <w:rsid w:val="00A66AB2"/>
    <w:rsid w:val="00A66B28"/>
    <w:rsid w:val="00A66C08"/>
    <w:rsid w:val="00A66C9D"/>
    <w:rsid w:val="00A66CB6"/>
    <w:rsid w:val="00A66F78"/>
    <w:rsid w:val="00A6724D"/>
    <w:rsid w:val="00A67513"/>
    <w:rsid w:val="00A676A6"/>
    <w:rsid w:val="00A676C4"/>
    <w:rsid w:val="00A6771E"/>
    <w:rsid w:val="00A6781F"/>
    <w:rsid w:val="00A67A22"/>
    <w:rsid w:val="00A67ADE"/>
    <w:rsid w:val="00A67B17"/>
    <w:rsid w:val="00A67C9B"/>
    <w:rsid w:val="00A70197"/>
    <w:rsid w:val="00A7028D"/>
    <w:rsid w:val="00A70442"/>
    <w:rsid w:val="00A709A7"/>
    <w:rsid w:val="00A709C8"/>
    <w:rsid w:val="00A70ADB"/>
    <w:rsid w:val="00A70CE0"/>
    <w:rsid w:val="00A70E71"/>
    <w:rsid w:val="00A7115B"/>
    <w:rsid w:val="00A711BF"/>
    <w:rsid w:val="00A71288"/>
    <w:rsid w:val="00A71359"/>
    <w:rsid w:val="00A71365"/>
    <w:rsid w:val="00A7144F"/>
    <w:rsid w:val="00A71566"/>
    <w:rsid w:val="00A71667"/>
    <w:rsid w:val="00A716EE"/>
    <w:rsid w:val="00A719AD"/>
    <w:rsid w:val="00A71AD6"/>
    <w:rsid w:val="00A71D69"/>
    <w:rsid w:val="00A72144"/>
    <w:rsid w:val="00A72169"/>
    <w:rsid w:val="00A72233"/>
    <w:rsid w:val="00A72308"/>
    <w:rsid w:val="00A723D6"/>
    <w:rsid w:val="00A72691"/>
    <w:rsid w:val="00A72693"/>
    <w:rsid w:val="00A72810"/>
    <w:rsid w:val="00A72A51"/>
    <w:rsid w:val="00A72A5B"/>
    <w:rsid w:val="00A72B06"/>
    <w:rsid w:val="00A72B32"/>
    <w:rsid w:val="00A72B4D"/>
    <w:rsid w:val="00A72C17"/>
    <w:rsid w:val="00A72D78"/>
    <w:rsid w:val="00A72EA0"/>
    <w:rsid w:val="00A72F8D"/>
    <w:rsid w:val="00A73033"/>
    <w:rsid w:val="00A730F6"/>
    <w:rsid w:val="00A73181"/>
    <w:rsid w:val="00A7323A"/>
    <w:rsid w:val="00A732A7"/>
    <w:rsid w:val="00A73394"/>
    <w:rsid w:val="00A733F0"/>
    <w:rsid w:val="00A737F6"/>
    <w:rsid w:val="00A73804"/>
    <w:rsid w:val="00A738E0"/>
    <w:rsid w:val="00A73BC4"/>
    <w:rsid w:val="00A73C6F"/>
    <w:rsid w:val="00A74072"/>
    <w:rsid w:val="00A7420A"/>
    <w:rsid w:val="00A74292"/>
    <w:rsid w:val="00A7429F"/>
    <w:rsid w:val="00A742C5"/>
    <w:rsid w:val="00A74420"/>
    <w:rsid w:val="00A744E2"/>
    <w:rsid w:val="00A746E9"/>
    <w:rsid w:val="00A74774"/>
    <w:rsid w:val="00A7480B"/>
    <w:rsid w:val="00A74C58"/>
    <w:rsid w:val="00A74E40"/>
    <w:rsid w:val="00A75034"/>
    <w:rsid w:val="00A7503A"/>
    <w:rsid w:val="00A75301"/>
    <w:rsid w:val="00A754AB"/>
    <w:rsid w:val="00A75540"/>
    <w:rsid w:val="00A75607"/>
    <w:rsid w:val="00A75F5E"/>
    <w:rsid w:val="00A763EC"/>
    <w:rsid w:val="00A76607"/>
    <w:rsid w:val="00A76608"/>
    <w:rsid w:val="00A76716"/>
    <w:rsid w:val="00A7686B"/>
    <w:rsid w:val="00A768F2"/>
    <w:rsid w:val="00A769C2"/>
    <w:rsid w:val="00A769E4"/>
    <w:rsid w:val="00A76A7E"/>
    <w:rsid w:val="00A76AB8"/>
    <w:rsid w:val="00A76CAF"/>
    <w:rsid w:val="00A76CB3"/>
    <w:rsid w:val="00A76D1A"/>
    <w:rsid w:val="00A770B3"/>
    <w:rsid w:val="00A7748B"/>
    <w:rsid w:val="00A77600"/>
    <w:rsid w:val="00A7769D"/>
    <w:rsid w:val="00A7776B"/>
    <w:rsid w:val="00A77C46"/>
    <w:rsid w:val="00A77E0C"/>
    <w:rsid w:val="00A8016D"/>
    <w:rsid w:val="00A80269"/>
    <w:rsid w:val="00A80498"/>
    <w:rsid w:val="00A80535"/>
    <w:rsid w:val="00A80560"/>
    <w:rsid w:val="00A806AA"/>
    <w:rsid w:val="00A80864"/>
    <w:rsid w:val="00A808AB"/>
    <w:rsid w:val="00A80941"/>
    <w:rsid w:val="00A80ACF"/>
    <w:rsid w:val="00A80FF1"/>
    <w:rsid w:val="00A81425"/>
    <w:rsid w:val="00A81526"/>
    <w:rsid w:val="00A81583"/>
    <w:rsid w:val="00A817F6"/>
    <w:rsid w:val="00A8184F"/>
    <w:rsid w:val="00A81A3E"/>
    <w:rsid w:val="00A81C4B"/>
    <w:rsid w:val="00A81CC7"/>
    <w:rsid w:val="00A820B8"/>
    <w:rsid w:val="00A822A5"/>
    <w:rsid w:val="00A8247E"/>
    <w:rsid w:val="00A8254D"/>
    <w:rsid w:val="00A825FB"/>
    <w:rsid w:val="00A826FD"/>
    <w:rsid w:val="00A8278B"/>
    <w:rsid w:val="00A827CB"/>
    <w:rsid w:val="00A82832"/>
    <w:rsid w:val="00A828BF"/>
    <w:rsid w:val="00A82941"/>
    <w:rsid w:val="00A82971"/>
    <w:rsid w:val="00A82B09"/>
    <w:rsid w:val="00A82F47"/>
    <w:rsid w:val="00A82FC1"/>
    <w:rsid w:val="00A833AE"/>
    <w:rsid w:val="00A8344A"/>
    <w:rsid w:val="00A83520"/>
    <w:rsid w:val="00A836A3"/>
    <w:rsid w:val="00A83822"/>
    <w:rsid w:val="00A838BA"/>
    <w:rsid w:val="00A83AA2"/>
    <w:rsid w:val="00A83C57"/>
    <w:rsid w:val="00A83EC5"/>
    <w:rsid w:val="00A84090"/>
    <w:rsid w:val="00A840A0"/>
    <w:rsid w:val="00A84141"/>
    <w:rsid w:val="00A84284"/>
    <w:rsid w:val="00A8428E"/>
    <w:rsid w:val="00A842BF"/>
    <w:rsid w:val="00A84541"/>
    <w:rsid w:val="00A84558"/>
    <w:rsid w:val="00A84C52"/>
    <w:rsid w:val="00A84CD1"/>
    <w:rsid w:val="00A84FBB"/>
    <w:rsid w:val="00A8505F"/>
    <w:rsid w:val="00A850EE"/>
    <w:rsid w:val="00A851E6"/>
    <w:rsid w:val="00A8532A"/>
    <w:rsid w:val="00A856A0"/>
    <w:rsid w:val="00A8571F"/>
    <w:rsid w:val="00A85A45"/>
    <w:rsid w:val="00A85AE0"/>
    <w:rsid w:val="00A85E1F"/>
    <w:rsid w:val="00A85E94"/>
    <w:rsid w:val="00A85F64"/>
    <w:rsid w:val="00A8600D"/>
    <w:rsid w:val="00A860EE"/>
    <w:rsid w:val="00A86195"/>
    <w:rsid w:val="00A861FE"/>
    <w:rsid w:val="00A866C1"/>
    <w:rsid w:val="00A867C4"/>
    <w:rsid w:val="00A867EB"/>
    <w:rsid w:val="00A86B37"/>
    <w:rsid w:val="00A86B42"/>
    <w:rsid w:val="00A86D1F"/>
    <w:rsid w:val="00A86D76"/>
    <w:rsid w:val="00A86D98"/>
    <w:rsid w:val="00A86DF7"/>
    <w:rsid w:val="00A87039"/>
    <w:rsid w:val="00A87225"/>
    <w:rsid w:val="00A87313"/>
    <w:rsid w:val="00A878F1"/>
    <w:rsid w:val="00A87B25"/>
    <w:rsid w:val="00A87B2A"/>
    <w:rsid w:val="00A87B60"/>
    <w:rsid w:val="00A87D84"/>
    <w:rsid w:val="00A90044"/>
    <w:rsid w:val="00A90059"/>
    <w:rsid w:val="00A90132"/>
    <w:rsid w:val="00A902CA"/>
    <w:rsid w:val="00A903FF"/>
    <w:rsid w:val="00A90426"/>
    <w:rsid w:val="00A90636"/>
    <w:rsid w:val="00A90867"/>
    <w:rsid w:val="00A909D4"/>
    <w:rsid w:val="00A909F2"/>
    <w:rsid w:val="00A90A40"/>
    <w:rsid w:val="00A90C03"/>
    <w:rsid w:val="00A90D85"/>
    <w:rsid w:val="00A90EA3"/>
    <w:rsid w:val="00A9123F"/>
    <w:rsid w:val="00A914F7"/>
    <w:rsid w:val="00A9187C"/>
    <w:rsid w:val="00A918D1"/>
    <w:rsid w:val="00A91AF5"/>
    <w:rsid w:val="00A91C8D"/>
    <w:rsid w:val="00A91D17"/>
    <w:rsid w:val="00A91D49"/>
    <w:rsid w:val="00A91D94"/>
    <w:rsid w:val="00A9214C"/>
    <w:rsid w:val="00A92202"/>
    <w:rsid w:val="00A92273"/>
    <w:rsid w:val="00A92524"/>
    <w:rsid w:val="00A92724"/>
    <w:rsid w:val="00A928C9"/>
    <w:rsid w:val="00A92ECD"/>
    <w:rsid w:val="00A930EC"/>
    <w:rsid w:val="00A9313F"/>
    <w:rsid w:val="00A931C1"/>
    <w:rsid w:val="00A93262"/>
    <w:rsid w:val="00A93287"/>
    <w:rsid w:val="00A93321"/>
    <w:rsid w:val="00A933E3"/>
    <w:rsid w:val="00A935D4"/>
    <w:rsid w:val="00A93680"/>
    <w:rsid w:val="00A937B7"/>
    <w:rsid w:val="00A93814"/>
    <w:rsid w:val="00A938B9"/>
    <w:rsid w:val="00A938BB"/>
    <w:rsid w:val="00A939AD"/>
    <w:rsid w:val="00A93BF0"/>
    <w:rsid w:val="00A93DC9"/>
    <w:rsid w:val="00A93DF9"/>
    <w:rsid w:val="00A94035"/>
    <w:rsid w:val="00A940E4"/>
    <w:rsid w:val="00A9416E"/>
    <w:rsid w:val="00A9417F"/>
    <w:rsid w:val="00A94664"/>
    <w:rsid w:val="00A94750"/>
    <w:rsid w:val="00A948E2"/>
    <w:rsid w:val="00A948E6"/>
    <w:rsid w:val="00A94926"/>
    <w:rsid w:val="00A94A3F"/>
    <w:rsid w:val="00A94BD6"/>
    <w:rsid w:val="00A94D4F"/>
    <w:rsid w:val="00A94DF6"/>
    <w:rsid w:val="00A94EDD"/>
    <w:rsid w:val="00A9520E"/>
    <w:rsid w:val="00A95241"/>
    <w:rsid w:val="00A952D6"/>
    <w:rsid w:val="00A956F6"/>
    <w:rsid w:val="00A9577A"/>
    <w:rsid w:val="00A95950"/>
    <w:rsid w:val="00A9598E"/>
    <w:rsid w:val="00A959A6"/>
    <w:rsid w:val="00A959AD"/>
    <w:rsid w:val="00A959D5"/>
    <w:rsid w:val="00A95A7F"/>
    <w:rsid w:val="00A95BDB"/>
    <w:rsid w:val="00A95C5A"/>
    <w:rsid w:val="00A95D65"/>
    <w:rsid w:val="00A95E28"/>
    <w:rsid w:val="00A95E3C"/>
    <w:rsid w:val="00A95F22"/>
    <w:rsid w:val="00A96022"/>
    <w:rsid w:val="00A9608B"/>
    <w:rsid w:val="00A9617E"/>
    <w:rsid w:val="00A961B4"/>
    <w:rsid w:val="00A961BF"/>
    <w:rsid w:val="00A9651B"/>
    <w:rsid w:val="00A965B6"/>
    <w:rsid w:val="00A965F3"/>
    <w:rsid w:val="00A965F4"/>
    <w:rsid w:val="00A96653"/>
    <w:rsid w:val="00A96666"/>
    <w:rsid w:val="00A9671E"/>
    <w:rsid w:val="00A96A70"/>
    <w:rsid w:val="00A96D1F"/>
    <w:rsid w:val="00A97231"/>
    <w:rsid w:val="00A975CD"/>
    <w:rsid w:val="00A97A72"/>
    <w:rsid w:val="00A97AE0"/>
    <w:rsid w:val="00A97C2C"/>
    <w:rsid w:val="00A97D0F"/>
    <w:rsid w:val="00A97D8D"/>
    <w:rsid w:val="00AA0332"/>
    <w:rsid w:val="00AA073B"/>
    <w:rsid w:val="00AA0747"/>
    <w:rsid w:val="00AA0A6E"/>
    <w:rsid w:val="00AA0BDA"/>
    <w:rsid w:val="00AA0C20"/>
    <w:rsid w:val="00AA0D74"/>
    <w:rsid w:val="00AA0F3C"/>
    <w:rsid w:val="00AA1320"/>
    <w:rsid w:val="00AA13CD"/>
    <w:rsid w:val="00AA1487"/>
    <w:rsid w:val="00AA1734"/>
    <w:rsid w:val="00AA1849"/>
    <w:rsid w:val="00AA1CF7"/>
    <w:rsid w:val="00AA1D1D"/>
    <w:rsid w:val="00AA1DFC"/>
    <w:rsid w:val="00AA209C"/>
    <w:rsid w:val="00AA22DC"/>
    <w:rsid w:val="00AA2548"/>
    <w:rsid w:val="00AA28D1"/>
    <w:rsid w:val="00AA2A1D"/>
    <w:rsid w:val="00AA2AC3"/>
    <w:rsid w:val="00AA2E96"/>
    <w:rsid w:val="00AA3294"/>
    <w:rsid w:val="00AA32A9"/>
    <w:rsid w:val="00AA3585"/>
    <w:rsid w:val="00AA3858"/>
    <w:rsid w:val="00AA39B6"/>
    <w:rsid w:val="00AA3A51"/>
    <w:rsid w:val="00AA3A5C"/>
    <w:rsid w:val="00AA3BFF"/>
    <w:rsid w:val="00AA3CB0"/>
    <w:rsid w:val="00AA3D6A"/>
    <w:rsid w:val="00AA3F23"/>
    <w:rsid w:val="00AA3F71"/>
    <w:rsid w:val="00AA400F"/>
    <w:rsid w:val="00AA417C"/>
    <w:rsid w:val="00AA4735"/>
    <w:rsid w:val="00AA47B9"/>
    <w:rsid w:val="00AA48DE"/>
    <w:rsid w:val="00AA4983"/>
    <w:rsid w:val="00AA4EDC"/>
    <w:rsid w:val="00AA5086"/>
    <w:rsid w:val="00AA5498"/>
    <w:rsid w:val="00AA5506"/>
    <w:rsid w:val="00AA55AC"/>
    <w:rsid w:val="00AA56A9"/>
    <w:rsid w:val="00AA572F"/>
    <w:rsid w:val="00AA5869"/>
    <w:rsid w:val="00AA58F4"/>
    <w:rsid w:val="00AA5959"/>
    <w:rsid w:val="00AA5C4C"/>
    <w:rsid w:val="00AA5F22"/>
    <w:rsid w:val="00AA606C"/>
    <w:rsid w:val="00AA6073"/>
    <w:rsid w:val="00AA60CD"/>
    <w:rsid w:val="00AA60F3"/>
    <w:rsid w:val="00AA61B2"/>
    <w:rsid w:val="00AA61D7"/>
    <w:rsid w:val="00AA6281"/>
    <w:rsid w:val="00AA62DA"/>
    <w:rsid w:val="00AA62E8"/>
    <w:rsid w:val="00AA63FC"/>
    <w:rsid w:val="00AA65A1"/>
    <w:rsid w:val="00AA65B6"/>
    <w:rsid w:val="00AA65D4"/>
    <w:rsid w:val="00AA6694"/>
    <w:rsid w:val="00AA678F"/>
    <w:rsid w:val="00AA6875"/>
    <w:rsid w:val="00AA694B"/>
    <w:rsid w:val="00AA69E9"/>
    <w:rsid w:val="00AA6BB5"/>
    <w:rsid w:val="00AA6D02"/>
    <w:rsid w:val="00AA6DD0"/>
    <w:rsid w:val="00AA6DE2"/>
    <w:rsid w:val="00AA70E8"/>
    <w:rsid w:val="00AA71F9"/>
    <w:rsid w:val="00AA728D"/>
    <w:rsid w:val="00AA72C7"/>
    <w:rsid w:val="00AA732F"/>
    <w:rsid w:val="00AA7464"/>
    <w:rsid w:val="00AA76BD"/>
    <w:rsid w:val="00AA7796"/>
    <w:rsid w:val="00AA7848"/>
    <w:rsid w:val="00AA7867"/>
    <w:rsid w:val="00AA7977"/>
    <w:rsid w:val="00AA7A1C"/>
    <w:rsid w:val="00AA7A40"/>
    <w:rsid w:val="00AA7DE9"/>
    <w:rsid w:val="00AB0131"/>
    <w:rsid w:val="00AB0402"/>
    <w:rsid w:val="00AB043F"/>
    <w:rsid w:val="00AB054E"/>
    <w:rsid w:val="00AB05C5"/>
    <w:rsid w:val="00AB067F"/>
    <w:rsid w:val="00AB089D"/>
    <w:rsid w:val="00AB08F2"/>
    <w:rsid w:val="00AB091F"/>
    <w:rsid w:val="00AB0976"/>
    <w:rsid w:val="00AB098A"/>
    <w:rsid w:val="00AB0A4E"/>
    <w:rsid w:val="00AB0DF2"/>
    <w:rsid w:val="00AB0E5F"/>
    <w:rsid w:val="00AB1096"/>
    <w:rsid w:val="00AB1153"/>
    <w:rsid w:val="00AB118B"/>
    <w:rsid w:val="00AB128A"/>
    <w:rsid w:val="00AB135C"/>
    <w:rsid w:val="00AB1378"/>
    <w:rsid w:val="00AB145F"/>
    <w:rsid w:val="00AB155B"/>
    <w:rsid w:val="00AB1BF1"/>
    <w:rsid w:val="00AB1E37"/>
    <w:rsid w:val="00AB2087"/>
    <w:rsid w:val="00AB23F3"/>
    <w:rsid w:val="00AB2499"/>
    <w:rsid w:val="00AB25C6"/>
    <w:rsid w:val="00AB25E0"/>
    <w:rsid w:val="00AB2759"/>
    <w:rsid w:val="00AB2ACB"/>
    <w:rsid w:val="00AB2AEE"/>
    <w:rsid w:val="00AB2B6D"/>
    <w:rsid w:val="00AB2D63"/>
    <w:rsid w:val="00AB2DC0"/>
    <w:rsid w:val="00AB2E07"/>
    <w:rsid w:val="00AB2E4E"/>
    <w:rsid w:val="00AB2F26"/>
    <w:rsid w:val="00AB3123"/>
    <w:rsid w:val="00AB3148"/>
    <w:rsid w:val="00AB31FF"/>
    <w:rsid w:val="00AB3441"/>
    <w:rsid w:val="00AB3A31"/>
    <w:rsid w:val="00AB3DCB"/>
    <w:rsid w:val="00AB40DD"/>
    <w:rsid w:val="00AB439E"/>
    <w:rsid w:val="00AB44C0"/>
    <w:rsid w:val="00AB4586"/>
    <w:rsid w:val="00AB465E"/>
    <w:rsid w:val="00AB4704"/>
    <w:rsid w:val="00AB4719"/>
    <w:rsid w:val="00AB4865"/>
    <w:rsid w:val="00AB4C6B"/>
    <w:rsid w:val="00AB4D1E"/>
    <w:rsid w:val="00AB4D27"/>
    <w:rsid w:val="00AB53C1"/>
    <w:rsid w:val="00AB54CF"/>
    <w:rsid w:val="00AB562C"/>
    <w:rsid w:val="00AB571A"/>
    <w:rsid w:val="00AB598E"/>
    <w:rsid w:val="00AB59D2"/>
    <w:rsid w:val="00AB5E3E"/>
    <w:rsid w:val="00AB5FA3"/>
    <w:rsid w:val="00AB6033"/>
    <w:rsid w:val="00AB6056"/>
    <w:rsid w:val="00AB620D"/>
    <w:rsid w:val="00AB6571"/>
    <w:rsid w:val="00AB6627"/>
    <w:rsid w:val="00AB67AC"/>
    <w:rsid w:val="00AB67FC"/>
    <w:rsid w:val="00AB69B1"/>
    <w:rsid w:val="00AB69EF"/>
    <w:rsid w:val="00AB6A78"/>
    <w:rsid w:val="00AB6AA5"/>
    <w:rsid w:val="00AB6B6F"/>
    <w:rsid w:val="00AB6BD3"/>
    <w:rsid w:val="00AB6DA0"/>
    <w:rsid w:val="00AB7014"/>
    <w:rsid w:val="00AB71BE"/>
    <w:rsid w:val="00AB73AD"/>
    <w:rsid w:val="00AB73DA"/>
    <w:rsid w:val="00AB757C"/>
    <w:rsid w:val="00AB758C"/>
    <w:rsid w:val="00AB764B"/>
    <w:rsid w:val="00AB766A"/>
    <w:rsid w:val="00AB76DD"/>
    <w:rsid w:val="00AB7737"/>
    <w:rsid w:val="00AB773F"/>
    <w:rsid w:val="00AB783A"/>
    <w:rsid w:val="00AB7A66"/>
    <w:rsid w:val="00AB7B29"/>
    <w:rsid w:val="00AB7D48"/>
    <w:rsid w:val="00AB7F14"/>
    <w:rsid w:val="00AB7F84"/>
    <w:rsid w:val="00AC003E"/>
    <w:rsid w:val="00AC0119"/>
    <w:rsid w:val="00AC016F"/>
    <w:rsid w:val="00AC026E"/>
    <w:rsid w:val="00AC0299"/>
    <w:rsid w:val="00AC0358"/>
    <w:rsid w:val="00AC0369"/>
    <w:rsid w:val="00AC03AF"/>
    <w:rsid w:val="00AC03F3"/>
    <w:rsid w:val="00AC0714"/>
    <w:rsid w:val="00AC0896"/>
    <w:rsid w:val="00AC0981"/>
    <w:rsid w:val="00AC0B98"/>
    <w:rsid w:val="00AC0BC6"/>
    <w:rsid w:val="00AC0D8B"/>
    <w:rsid w:val="00AC0ECD"/>
    <w:rsid w:val="00AC0F86"/>
    <w:rsid w:val="00AC109C"/>
    <w:rsid w:val="00AC1128"/>
    <w:rsid w:val="00AC11FA"/>
    <w:rsid w:val="00AC1504"/>
    <w:rsid w:val="00AC1533"/>
    <w:rsid w:val="00AC15B1"/>
    <w:rsid w:val="00AC15E3"/>
    <w:rsid w:val="00AC1662"/>
    <w:rsid w:val="00AC180C"/>
    <w:rsid w:val="00AC1A66"/>
    <w:rsid w:val="00AC1D03"/>
    <w:rsid w:val="00AC1DD7"/>
    <w:rsid w:val="00AC1F7B"/>
    <w:rsid w:val="00AC20FB"/>
    <w:rsid w:val="00AC21DE"/>
    <w:rsid w:val="00AC2397"/>
    <w:rsid w:val="00AC2411"/>
    <w:rsid w:val="00AC252D"/>
    <w:rsid w:val="00AC2588"/>
    <w:rsid w:val="00AC296F"/>
    <w:rsid w:val="00AC2BFF"/>
    <w:rsid w:val="00AC2F0E"/>
    <w:rsid w:val="00AC32B1"/>
    <w:rsid w:val="00AC355D"/>
    <w:rsid w:val="00AC369B"/>
    <w:rsid w:val="00AC36F2"/>
    <w:rsid w:val="00AC3888"/>
    <w:rsid w:val="00AC39B0"/>
    <w:rsid w:val="00AC3A77"/>
    <w:rsid w:val="00AC3AB0"/>
    <w:rsid w:val="00AC3AD4"/>
    <w:rsid w:val="00AC3BE3"/>
    <w:rsid w:val="00AC3D5D"/>
    <w:rsid w:val="00AC3DA2"/>
    <w:rsid w:val="00AC3F0B"/>
    <w:rsid w:val="00AC40C7"/>
    <w:rsid w:val="00AC41F9"/>
    <w:rsid w:val="00AC43C2"/>
    <w:rsid w:val="00AC43C5"/>
    <w:rsid w:val="00AC44AE"/>
    <w:rsid w:val="00AC4506"/>
    <w:rsid w:val="00AC450E"/>
    <w:rsid w:val="00AC467B"/>
    <w:rsid w:val="00AC4682"/>
    <w:rsid w:val="00AC46FE"/>
    <w:rsid w:val="00AC472B"/>
    <w:rsid w:val="00AC4753"/>
    <w:rsid w:val="00AC4953"/>
    <w:rsid w:val="00AC49A3"/>
    <w:rsid w:val="00AC4A52"/>
    <w:rsid w:val="00AC4AD7"/>
    <w:rsid w:val="00AC4B44"/>
    <w:rsid w:val="00AC4DD4"/>
    <w:rsid w:val="00AC4E78"/>
    <w:rsid w:val="00AC5607"/>
    <w:rsid w:val="00AC5743"/>
    <w:rsid w:val="00AC57E7"/>
    <w:rsid w:val="00AC5AD8"/>
    <w:rsid w:val="00AC5B78"/>
    <w:rsid w:val="00AC5B9F"/>
    <w:rsid w:val="00AC5BAA"/>
    <w:rsid w:val="00AC5C00"/>
    <w:rsid w:val="00AC5DA2"/>
    <w:rsid w:val="00AC5E5A"/>
    <w:rsid w:val="00AC611B"/>
    <w:rsid w:val="00AC6170"/>
    <w:rsid w:val="00AC6197"/>
    <w:rsid w:val="00AC6235"/>
    <w:rsid w:val="00AC62D6"/>
    <w:rsid w:val="00AC63D6"/>
    <w:rsid w:val="00AC6486"/>
    <w:rsid w:val="00AC66CC"/>
    <w:rsid w:val="00AC6AF1"/>
    <w:rsid w:val="00AC6C19"/>
    <w:rsid w:val="00AC6E8A"/>
    <w:rsid w:val="00AC734C"/>
    <w:rsid w:val="00AC7527"/>
    <w:rsid w:val="00AC7824"/>
    <w:rsid w:val="00AC7B7E"/>
    <w:rsid w:val="00AC7BAC"/>
    <w:rsid w:val="00AC7D1C"/>
    <w:rsid w:val="00AC7DA7"/>
    <w:rsid w:val="00AC7DC1"/>
    <w:rsid w:val="00AC7DF6"/>
    <w:rsid w:val="00AC7F27"/>
    <w:rsid w:val="00AD0546"/>
    <w:rsid w:val="00AD0611"/>
    <w:rsid w:val="00AD0657"/>
    <w:rsid w:val="00AD0730"/>
    <w:rsid w:val="00AD0762"/>
    <w:rsid w:val="00AD0BEA"/>
    <w:rsid w:val="00AD0BF8"/>
    <w:rsid w:val="00AD0CC4"/>
    <w:rsid w:val="00AD0CDD"/>
    <w:rsid w:val="00AD0D33"/>
    <w:rsid w:val="00AD0F09"/>
    <w:rsid w:val="00AD0F32"/>
    <w:rsid w:val="00AD0F78"/>
    <w:rsid w:val="00AD13B7"/>
    <w:rsid w:val="00AD1573"/>
    <w:rsid w:val="00AD1823"/>
    <w:rsid w:val="00AD185A"/>
    <w:rsid w:val="00AD187B"/>
    <w:rsid w:val="00AD197C"/>
    <w:rsid w:val="00AD199D"/>
    <w:rsid w:val="00AD1A0F"/>
    <w:rsid w:val="00AD1AC9"/>
    <w:rsid w:val="00AD1C47"/>
    <w:rsid w:val="00AD1C9C"/>
    <w:rsid w:val="00AD1DBB"/>
    <w:rsid w:val="00AD1E80"/>
    <w:rsid w:val="00AD1F90"/>
    <w:rsid w:val="00AD2097"/>
    <w:rsid w:val="00AD2283"/>
    <w:rsid w:val="00AD22BA"/>
    <w:rsid w:val="00AD23A1"/>
    <w:rsid w:val="00AD2438"/>
    <w:rsid w:val="00AD248A"/>
    <w:rsid w:val="00AD24C5"/>
    <w:rsid w:val="00AD2540"/>
    <w:rsid w:val="00AD265F"/>
    <w:rsid w:val="00AD267E"/>
    <w:rsid w:val="00AD2A33"/>
    <w:rsid w:val="00AD2EAA"/>
    <w:rsid w:val="00AD2ECD"/>
    <w:rsid w:val="00AD3089"/>
    <w:rsid w:val="00AD3165"/>
    <w:rsid w:val="00AD3364"/>
    <w:rsid w:val="00AD3446"/>
    <w:rsid w:val="00AD36C4"/>
    <w:rsid w:val="00AD36ED"/>
    <w:rsid w:val="00AD3824"/>
    <w:rsid w:val="00AD3ACB"/>
    <w:rsid w:val="00AD3C30"/>
    <w:rsid w:val="00AD3D4A"/>
    <w:rsid w:val="00AD3DAD"/>
    <w:rsid w:val="00AD3DE0"/>
    <w:rsid w:val="00AD409C"/>
    <w:rsid w:val="00AD4203"/>
    <w:rsid w:val="00AD42E5"/>
    <w:rsid w:val="00AD4543"/>
    <w:rsid w:val="00AD46C0"/>
    <w:rsid w:val="00AD493E"/>
    <w:rsid w:val="00AD4EBA"/>
    <w:rsid w:val="00AD526A"/>
    <w:rsid w:val="00AD5481"/>
    <w:rsid w:val="00AD56F6"/>
    <w:rsid w:val="00AD59F0"/>
    <w:rsid w:val="00AD5A41"/>
    <w:rsid w:val="00AD5A4E"/>
    <w:rsid w:val="00AD5C7D"/>
    <w:rsid w:val="00AD5CC2"/>
    <w:rsid w:val="00AD5EDE"/>
    <w:rsid w:val="00AD6319"/>
    <w:rsid w:val="00AD63BF"/>
    <w:rsid w:val="00AD65BB"/>
    <w:rsid w:val="00AD6683"/>
    <w:rsid w:val="00AD6718"/>
    <w:rsid w:val="00AD68B1"/>
    <w:rsid w:val="00AD69EA"/>
    <w:rsid w:val="00AD6A60"/>
    <w:rsid w:val="00AD6E28"/>
    <w:rsid w:val="00AD7118"/>
    <w:rsid w:val="00AD7460"/>
    <w:rsid w:val="00AD75D2"/>
    <w:rsid w:val="00AD7641"/>
    <w:rsid w:val="00AD7AD1"/>
    <w:rsid w:val="00AD7B43"/>
    <w:rsid w:val="00AE0045"/>
    <w:rsid w:val="00AE02E0"/>
    <w:rsid w:val="00AE0409"/>
    <w:rsid w:val="00AE0440"/>
    <w:rsid w:val="00AE06E1"/>
    <w:rsid w:val="00AE0738"/>
    <w:rsid w:val="00AE08DF"/>
    <w:rsid w:val="00AE0A95"/>
    <w:rsid w:val="00AE0AD5"/>
    <w:rsid w:val="00AE0B65"/>
    <w:rsid w:val="00AE0B7A"/>
    <w:rsid w:val="00AE0C71"/>
    <w:rsid w:val="00AE0EF3"/>
    <w:rsid w:val="00AE0F85"/>
    <w:rsid w:val="00AE0F9F"/>
    <w:rsid w:val="00AE1036"/>
    <w:rsid w:val="00AE1268"/>
    <w:rsid w:val="00AE12C1"/>
    <w:rsid w:val="00AE1358"/>
    <w:rsid w:val="00AE1608"/>
    <w:rsid w:val="00AE162A"/>
    <w:rsid w:val="00AE1663"/>
    <w:rsid w:val="00AE18F8"/>
    <w:rsid w:val="00AE1B24"/>
    <w:rsid w:val="00AE1C39"/>
    <w:rsid w:val="00AE1E80"/>
    <w:rsid w:val="00AE1EFC"/>
    <w:rsid w:val="00AE2046"/>
    <w:rsid w:val="00AE21C6"/>
    <w:rsid w:val="00AE21E9"/>
    <w:rsid w:val="00AE23CD"/>
    <w:rsid w:val="00AE2488"/>
    <w:rsid w:val="00AE2818"/>
    <w:rsid w:val="00AE2900"/>
    <w:rsid w:val="00AE2A91"/>
    <w:rsid w:val="00AE2B90"/>
    <w:rsid w:val="00AE2D6A"/>
    <w:rsid w:val="00AE2DB5"/>
    <w:rsid w:val="00AE3111"/>
    <w:rsid w:val="00AE335C"/>
    <w:rsid w:val="00AE342A"/>
    <w:rsid w:val="00AE3CBC"/>
    <w:rsid w:val="00AE3D9A"/>
    <w:rsid w:val="00AE3E29"/>
    <w:rsid w:val="00AE40FF"/>
    <w:rsid w:val="00AE4247"/>
    <w:rsid w:val="00AE431A"/>
    <w:rsid w:val="00AE45D3"/>
    <w:rsid w:val="00AE4767"/>
    <w:rsid w:val="00AE489A"/>
    <w:rsid w:val="00AE49A0"/>
    <w:rsid w:val="00AE49D6"/>
    <w:rsid w:val="00AE4A18"/>
    <w:rsid w:val="00AE4C6E"/>
    <w:rsid w:val="00AE4E0C"/>
    <w:rsid w:val="00AE4EAF"/>
    <w:rsid w:val="00AE4F1F"/>
    <w:rsid w:val="00AE507F"/>
    <w:rsid w:val="00AE509D"/>
    <w:rsid w:val="00AE54EF"/>
    <w:rsid w:val="00AE566C"/>
    <w:rsid w:val="00AE5728"/>
    <w:rsid w:val="00AE597D"/>
    <w:rsid w:val="00AE59EB"/>
    <w:rsid w:val="00AE5A27"/>
    <w:rsid w:val="00AE5A71"/>
    <w:rsid w:val="00AE5A8E"/>
    <w:rsid w:val="00AE5E84"/>
    <w:rsid w:val="00AE5F92"/>
    <w:rsid w:val="00AE6762"/>
    <w:rsid w:val="00AE68D9"/>
    <w:rsid w:val="00AE691D"/>
    <w:rsid w:val="00AE69D8"/>
    <w:rsid w:val="00AE6E28"/>
    <w:rsid w:val="00AE6E77"/>
    <w:rsid w:val="00AE7088"/>
    <w:rsid w:val="00AE7172"/>
    <w:rsid w:val="00AE72B7"/>
    <w:rsid w:val="00AE7454"/>
    <w:rsid w:val="00AE7547"/>
    <w:rsid w:val="00AE7563"/>
    <w:rsid w:val="00AE78CD"/>
    <w:rsid w:val="00AE796D"/>
    <w:rsid w:val="00AE7A1B"/>
    <w:rsid w:val="00AE7A6A"/>
    <w:rsid w:val="00AE7A84"/>
    <w:rsid w:val="00AE7ACD"/>
    <w:rsid w:val="00AE7D00"/>
    <w:rsid w:val="00AE7D4B"/>
    <w:rsid w:val="00AE7D8F"/>
    <w:rsid w:val="00AE7F53"/>
    <w:rsid w:val="00AF0264"/>
    <w:rsid w:val="00AF046E"/>
    <w:rsid w:val="00AF0471"/>
    <w:rsid w:val="00AF0912"/>
    <w:rsid w:val="00AF0990"/>
    <w:rsid w:val="00AF0D4C"/>
    <w:rsid w:val="00AF0F9D"/>
    <w:rsid w:val="00AF1372"/>
    <w:rsid w:val="00AF13DB"/>
    <w:rsid w:val="00AF146F"/>
    <w:rsid w:val="00AF15A1"/>
    <w:rsid w:val="00AF15DE"/>
    <w:rsid w:val="00AF168F"/>
    <w:rsid w:val="00AF17DE"/>
    <w:rsid w:val="00AF18A1"/>
    <w:rsid w:val="00AF1C1B"/>
    <w:rsid w:val="00AF1D14"/>
    <w:rsid w:val="00AF1D48"/>
    <w:rsid w:val="00AF1DA5"/>
    <w:rsid w:val="00AF2041"/>
    <w:rsid w:val="00AF2369"/>
    <w:rsid w:val="00AF249A"/>
    <w:rsid w:val="00AF26F6"/>
    <w:rsid w:val="00AF2A0B"/>
    <w:rsid w:val="00AF2AB6"/>
    <w:rsid w:val="00AF2BD4"/>
    <w:rsid w:val="00AF2DF6"/>
    <w:rsid w:val="00AF2FC9"/>
    <w:rsid w:val="00AF3058"/>
    <w:rsid w:val="00AF3288"/>
    <w:rsid w:val="00AF33AC"/>
    <w:rsid w:val="00AF37A3"/>
    <w:rsid w:val="00AF389A"/>
    <w:rsid w:val="00AF3991"/>
    <w:rsid w:val="00AF3D1F"/>
    <w:rsid w:val="00AF3D55"/>
    <w:rsid w:val="00AF3E6A"/>
    <w:rsid w:val="00AF3E9A"/>
    <w:rsid w:val="00AF4246"/>
    <w:rsid w:val="00AF4358"/>
    <w:rsid w:val="00AF43A1"/>
    <w:rsid w:val="00AF43E4"/>
    <w:rsid w:val="00AF46B1"/>
    <w:rsid w:val="00AF471D"/>
    <w:rsid w:val="00AF47CF"/>
    <w:rsid w:val="00AF48D2"/>
    <w:rsid w:val="00AF49A2"/>
    <w:rsid w:val="00AF4B44"/>
    <w:rsid w:val="00AF4C5C"/>
    <w:rsid w:val="00AF4D7A"/>
    <w:rsid w:val="00AF51ED"/>
    <w:rsid w:val="00AF527D"/>
    <w:rsid w:val="00AF5460"/>
    <w:rsid w:val="00AF54C7"/>
    <w:rsid w:val="00AF54E1"/>
    <w:rsid w:val="00AF5502"/>
    <w:rsid w:val="00AF59BE"/>
    <w:rsid w:val="00AF5B39"/>
    <w:rsid w:val="00AF5C7F"/>
    <w:rsid w:val="00AF5D4B"/>
    <w:rsid w:val="00AF5FFC"/>
    <w:rsid w:val="00AF6083"/>
    <w:rsid w:val="00AF660B"/>
    <w:rsid w:val="00AF6697"/>
    <w:rsid w:val="00AF66EA"/>
    <w:rsid w:val="00AF6714"/>
    <w:rsid w:val="00AF67D6"/>
    <w:rsid w:val="00AF6808"/>
    <w:rsid w:val="00AF69A7"/>
    <w:rsid w:val="00AF6A14"/>
    <w:rsid w:val="00AF6B50"/>
    <w:rsid w:val="00AF6C96"/>
    <w:rsid w:val="00AF6D67"/>
    <w:rsid w:val="00AF73E7"/>
    <w:rsid w:val="00AF75A2"/>
    <w:rsid w:val="00AF75F8"/>
    <w:rsid w:val="00B00049"/>
    <w:rsid w:val="00B00118"/>
    <w:rsid w:val="00B0041F"/>
    <w:rsid w:val="00B00573"/>
    <w:rsid w:val="00B00821"/>
    <w:rsid w:val="00B00BB9"/>
    <w:rsid w:val="00B00BED"/>
    <w:rsid w:val="00B00E1E"/>
    <w:rsid w:val="00B00EFE"/>
    <w:rsid w:val="00B01049"/>
    <w:rsid w:val="00B01194"/>
    <w:rsid w:val="00B0134A"/>
    <w:rsid w:val="00B015A9"/>
    <w:rsid w:val="00B017B0"/>
    <w:rsid w:val="00B019AD"/>
    <w:rsid w:val="00B01A20"/>
    <w:rsid w:val="00B01B3C"/>
    <w:rsid w:val="00B01BE3"/>
    <w:rsid w:val="00B01CFB"/>
    <w:rsid w:val="00B01D92"/>
    <w:rsid w:val="00B01DC1"/>
    <w:rsid w:val="00B01E0C"/>
    <w:rsid w:val="00B01EA3"/>
    <w:rsid w:val="00B021CB"/>
    <w:rsid w:val="00B022F7"/>
    <w:rsid w:val="00B0232D"/>
    <w:rsid w:val="00B02624"/>
    <w:rsid w:val="00B02A4F"/>
    <w:rsid w:val="00B02A8D"/>
    <w:rsid w:val="00B02AD5"/>
    <w:rsid w:val="00B02B0C"/>
    <w:rsid w:val="00B02FB0"/>
    <w:rsid w:val="00B031A7"/>
    <w:rsid w:val="00B031BD"/>
    <w:rsid w:val="00B032C3"/>
    <w:rsid w:val="00B03487"/>
    <w:rsid w:val="00B038FC"/>
    <w:rsid w:val="00B03951"/>
    <w:rsid w:val="00B039CD"/>
    <w:rsid w:val="00B03AE8"/>
    <w:rsid w:val="00B03E18"/>
    <w:rsid w:val="00B04180"/>
    <w:rsid w:val="00B0419D"/>
    <w:rsid w:val="00B041B2"/>
    <w:rsid w:val="00B041BB"/>
    <w:rsid w:val="00B04247"/>
    <w:rsid w:val="00B0438F"/>
    <w:rsid w:val="00B044AD"/>
    <w:rsid w:val="00B044C3"/>
    <w:rsid w:val="00B0488B"/>
    <w:rsid w:val="00B04A74"/>
    <w:rsid w:val="00B04BF6"/>
    <w:rsid w:val="00B04D46"/>
    <w:rsid w:val="00B04D67"/>
    <w:rsid w:val="00B05046"/>
    <w:rsid w:val="00B05056"/>
    <w:rsid w:val="00B050AB"/>
    <w:rsid w:val="00B0513E"/>
    <w:rsid w:val="00B0514A"/>
    <w:rsid w:val="00B05300"/>
    <w:rsid w:val="00B0576B"/>
    <w:rsid w:val="00B058CD"/>
    <w:rsid w:val="00B05A24"/>
    <w:rsid w:val="00B05A73"/>
    <w:rsid w:val="00B05DCD"/>
    <w:rsid w:val="00B05E01"/>
    <w:rsid w:val="00B0603F"/>
    <w:rsid w:val="00B060FE"/>
    <w:rsid w:val="00B062CB"/>
    <w:rsid w:val="00B063E3"/>
    <w:rsid w:val="00B0672B"/>
    <w:rsid w:val="00B0676E"/>
    <w:rsid w:val="00B068FE"/>
    <w:rsid w:val="00B06971"/>
    <w:rsid w:val="00B06B43"/>
    <w:rsid w:val="00B06B46"/>
    <w:rsid w:val="00B06F17"/>
    <w:rsid w:val="00B07391"/>
    <w:rsid w:val="00B076AD"/>
    <w:rsid w:val="00B0781B"/>
    <w:rsid w:val="00B0789D"/>
    <w:rsid w:val="00B07922"/>
    <w:rsid w:val="00B07BE1"/>
    <w:rsid w:val="00B07C6E"/>
    <w:rsid w:val="00B07D65"/>
    <w:rsid w:val="00B07DF1"/>
    <w:rsid w:val="00B07EFD"/>
    <w:rsid w:val="00B10087"/>
    <w:rsid w:val="00B100E0"/>
    <w:rsid w:val="00B1042F"/>
    <w:rsid w:val="00B105C8"/>
    <w:rsid w:val="00B1096E"/>
    <w:rsid w:val="00B10C99"/>
    <w:rsid w:val="00B11034"/>
    <w:rsid w:val="00B1104D"/>
    <w:rsid w:val="00B1122F"/>
    <w:rsid w:val="00B1128D"/>
    <w:rsid w:val="00B115A2"/>
    <w:rsid w:val="00B1169E"/>
    <w:rsid w:val="00B11797"/>
    <w:rsid w:val="00B11961"/>
    <w:rsid w:val="00B11979"/>
    <w:rsid w:val="00B119CE"/>
    <w:rsid w:val="00B11D66"/>
    <w:rsid w:val="00B11FBA"/>
    <w:rsid w:val="00B120DD"/>
    <w:rsid w:val="00B123B4"/>
    <w:rsid w:val="00B125F3"/>
    <w:rsid w:val="00B1274D"/>
    <w:rsid w:val="00B1275C"/>
    <w:rsid w:val="00B12764"/>
    <w:rsid w:val="00B12783"/>
    <w:rsid w:val="00B12A69"/>
    <w:rsid w:val="00B12CCC"/>
    <w:rsid w:val="00B12D23"/>
    <w:rsid w:val="00B12F2D"/>
    <w:rsid w:val="00B131FF"/>
    <w:rsid w:val="00B1329A"/>
    <w:rsid w:val="00B133E3"/>
    <w:rsid w:val="00B134A1"/>
    <w:rsid w:val="00B135DC"/>
    <w:rsid w:val="00B13626"/>
    <w:rsid w:val="00B136CD"/>
    <w:rsid w:val="00B136ED"/>
    <w:rsid w:val="00B13844"/>
    <w:rsid w:val="00B1391A"/>
    <w:rsid w:val="00B139BB"/>
    <w:rsid w:val="00B13DEC"/>
    <w:rsid w:val="00B13F28"/>
    <w:rsid w:val="00B1422F"/>
    <w:rsid w:val="00B14448"/>
    <w:rsid w:val="00B1445A"/>
    <w:rsid w:val="00B145FB"/>
    <w:rsid w:val="00B1475C"/>
    <w:rsid w:val="00B14CBF"/>
    <w:rsid w:val="00B14CEC"/>
    <w:rsid w:val="00B14D2E"/>
    <w:rsid w:val="00B150B7"/>
    <w:rsid w:val="00B1516F"/>
    <w:rsid w:val="00B1528E"/>
    <w:rsid w:val="00B155B2"/>
    <w:rsid w:val="00B157EB"/>
    <w:rsid w:val="00B1590A"/>
    <w:rsid w:val="00B159A8"/>
    <w:rsid w:val="00B15AEC"/>
    <w:rsid w:val="00B15B38"/>
    <w:rsid w:val="00B15BB7"/>
    <w:rsid w:val="00B15BEC"/>
    <w:rsid w:val="00B15CDD"/>
    <w:rsid w:val="00B15E0F"/>
    <w:rsid w:val="00B15E45"/>
    <w:rsid w:val="00B16047"/>
    <w:rsid w:val="00B161AB"/>
    <w:rsid w:val="00B162D7"/>
    <w:rsid w:val="00B162DB"/>
    <w:rsid w:val="00B163FE"/>
    <w:rsid w:val="00B1672B"/>
    <w:rsid w:val="00B167C6"/>
    <w:rsid w:val="00B16BEB"/>
    <w:rsid w:val="00B16DE6"/>
    <w:rsid w:val="00B16FFF"/>
    <w:rsid w:val="00B171DA"/>
    <w:rsid w:val="00B1722D"/>
    <w:rsid w:val="00B17261"/>
    <w:rsid w:val="00B1783D"/>
    <w:rsid w:val="00B17972"/>
    <w:rsid w:val="00B17B56"/>
    <w:rsid w:val="00B17D07"/>
    <w:rsid w:val="00B202AA"/>
    <w:rsid w:val="00B2035E"/>
    <w:rsid w:val="00B20472"/>
    <w:rsid w:val="00B20506"/>
    <w:rsid w:val="00B2053E"/>
    <w:rsid w:val="00B20628"/>
    <w:rsid w:val="00B20722"/>
    <w:rsid w:val="00B20752"/>
    <w:rsid w:val="00B208D5"/>
    <w:rsid w:val="00B20AC6"/>
    <w:rsid w:val="00B20B48"/>
    <w:rsid w:val="00B20C33"/>
    <w:rsid w:val="00B20C71"/>
    <w:rsid w:val="00B20C74"/>
    <w:rsid w:val="00B20C82"/>
    <w:rsid w:val="00B20D9A"/>
    <w:rsid w:val="00B20E89"/>
    <w:rsid w:val="00B2105E"/>
    <w:rsid w:val="00B2135D"/>
    <w:rsid w:val="00B213CB"/>
    <w:rsid w:val="00B214AB"/>
    <w:rsid w:val="00B21590"/>
    <w:rsid w:val="00B21684"/>
    <w:rsid w:val="00B216ED"/>
    <w:rsid w:val="00B21984"/>
    <w:rsid w:val="00B21A4F"/>
    <w:rsid w:val="00B21A54"/>
    <w:rsid w:val="00B21D80"/>
    <w:rsid w:val="00B2200D"/>
    <w:rsid w:val="00B2202D"/>
    <w:rsid w:val="00B220A7"/>
    <w:rsid w:val="00B22361"/>
    <w:rsid w:val="00B2241E"/>
    <w:rsid w:val="00B224F3"/>
    <w:rsid w:val="00B22645"/>
    <w:rsid w:val="00B2265B"/>
    <w:rsid w:val="00B22727"/>
    <w:rsid w:val="00B22D1D"/>
    <w:rsid w:val="00B22D80"/>
    <w:rsid w:val="00B22D98"/>
    <w:rsid w:val="00B22F61"/>
    <w:rsid w:val="00B22FB6"/>
    <w:rsid w:val="00B22FC0"/>
    <w:rsid w:val="00B23019"/>
    <w:rsid w:val="00B2301A"/>
    <w:rsid w:val="00B2304E"/>
    <w:rsid w:val="00B233C1"/>
    <w:rsid w:val="00B2348D"/>
    <w:rsid w:val="00B234A7"/>
    <w:rsid w:val="00B23522"/>
    <w:rsid w:val="00B235DB"/>
    <w:rsid w:val="00B236CB"/>
    <w:rsid w:val="00B2388B"/>
    <w:rsid w:val="00B239FF"/>
    <w:rsid w:val="00B23AF3"/>
    <w:rsid w:val="00B23B2F"/>
    <w:rsid w:val="00B23B71"/>
    <w:rsid w:val="00B23BCA"/>
    <w:rsid w:val="00B23BD9"/>
    <w:rsid w:val="00B23EC3"/>
    <w:rsid w:val="00B240AE"/>
    <w:rsid w:val="00B2429C"/>
    <w:rsid w:val="00B24347"/>
    <w:rsid w:val="00B243B3"/>
    <w:rsid w:val="00B247E4"/>
    <w:rsid w:val="00B247F6"/>
    <w:rsid w:val="00B25100"/>
    <w:rsid w:val="00B251D0"/>
    <w:rsid w:val="00B251DB"/>
    <w:rsid w:val="00B253AB"/>
    <w:rsid w:val="00B2593F"/>
    <w:rsid w:val="00B25AD0"/>
    <w:rsid w:val="00B25B5B"/>
    <w:rsid w:val="00B25B60"/>
    <w:rsid w:val="00B25D02"/>
    <w:rsid w:val="00B25F99"/>
    <w:rsid w:val="00B2602C"/>
    <w:rsid w:val="00B261A7"/>
    <w:rsid w:val="00B262FA"/>
    <w:rsid w:val="00B263CD"/>
    <w:rsid w:val="00B26489"/>
    <w:rsid w:val="00B264A1"/>
    <w:rsid w:val="00B26974"/>
    <w:rsid w:val="00B26B7F"/>
    <w:rsid w:val="00B26C47"/>
    <w:rsid w:val="00B26C98"/>
    <w:rsid w:val="00B26E30"/>
    <w:rsid w:val="00B26E51"/>
    <w:rsid w:val="00B26F3F"/>
    <w:rsid w:val="00B2726F"/>
    <w:rsid w:val="00B272C3"/>
    <w:rsid w:val="00B27344"/>
    <w:rsid w:val="00B2738A"/>
    <w:rsid w:val="00B276B6"/>
    <w:rsid w:val="00B27812"/>
    <w:rsid w:val="00B2791B"/>
    <w:rsid w:val="00B27CE5"/>
    <w:rsid w:val="00B27D65"/>
    <w:rsid w:val="00B303CE"/>
    <w:rsid w:val="00B303E1"/>
    <w:rsid w:val="00B305C1"/>
    <w:rsid w:val="00B306D6"/>
    <w:rsid w:val="00B30702"/>
    <w:rsid w:val="00B30813"/>
    <w:rsid w:val="00B308AD"/>
    <w:rsid w:val="00B30929"/>
    <w:rsid w:val="00B30BDE"/>
    <w:rsid w:val="00B30D0D"/>
    <w:rsid w:val="00B30D62"/>
    <w:rsid w:val="00B30E66"/>
    <w:rsid w:val="00B30E6E"/>
    <w:rsid w:val="00B30F47"/>
    <w:rsid w:val="00B31100"/>
    <w:rsid w:val="00B31170"/>
    <w:rsid w:val="00B31193"/>
    <w:rsid w:val="00B3141E"/>
    <w:rsid w:val="00B31426"/>
    <w:rsid w:val="00B3142C"/>
    <w:rsid w:val="00B3168B"/>
    <w:rsid w:val="00B317AF"/>
    <w:rsid w:val="00B317CA"/>
    <w:rsid w:val="00B31939"/>
    <w:rsid w:val="00B31A31"/>
    <w:rsid w:val="00B31B4F"/>
    <w:rsid w:val="00B31C6A"/>
    <w:rsid w:val="00B31D68"/>
    <w:rsid w:val="00B31DFB"/>
    <w:rsid w:val="00B32013"/>
    <w:rsid w:val="00B32032"/>
    <w:rsid w:val="00B3224F"/>
    <w:rsid w:val="00B322C6"/>
    <w:rsid w:val="00B323C4"/>
    <w:rsid w:val="00B3247D"/>
    <w:rsid w:val="00B325A0"/>
    <w:rsid w:val="00B32850"/>
    <w:rsid w:val="00B32A72"/>
    <w:rsid w:val="00B33181"/>
    <w:rsid w:val="00B3328C"/>
    <w:rsid w:val="00B3343E"/>
    <w:rsid w:val="00B3368B"/>
    <w:rsid w:val="00B33812"/>
    <w:rsid w:val="00B33960"/>
    <w:rsid w:val="00B33A91"/>
    <w:rsid w:val="00B33AD9"/>
    <w:rsid w:val="00B33BA9"/>
    <w:rsid w:val="00B33CB9"/>
    <w:rsid w:val="00B33CC1"/>
    <w:rsid w:val="00B33D40"/>
    <w:rsid w:val="00B33D4E"/>
    <w:rsid w:val="00B33E8A"/>
    <w:rsid w:val="00B33F9E"/>
    <w:rsid w:val="00B33FD4"/>
    <w:rsid w:val="00B3401F"/>
    <w:rsid w:val="00B340CB"/>
    <w:rsid w:val="00B3413C"/>
    <w:rsid w:val="00B34197"/>
    <w:rsid w:val="00B34279"/>
    <w:rsid w:val="00B343BA"/>
    <w:rsid w:val="00B349FD"/>
    <w:rsid w:val="00B34A0C"/>
    <w:rsid w:val="00B34B9C"/>
    <w:rsid w:val="00B34BDB"/>
    <w:rsid w:val="00B34E9A"/>
    <w:rsid w:val="00B34F17"/>
    <w:rsid w:val="00B35208"/>
    <w:rsid w:val="00B35227"/>
    <w:rsid w:val="00B355CE"/>
    <w:rsid w:val="00B356FF"/>
    <w:rsid w:val="00B35797"/>
    <w:rsid w:val="00B35966"/>
    <w:rsid w:val="00B359C5"/>
    <w:rsid w:val="00B35A15"/>
    <w:rsid w:val="00B35A5F"/>
    <w:rsid w:val="00B35AFF"/>
    <w:rsid w:val="00B35B51"/>
    <w:rsid w:val="00B35B78"/>
    <w:rsid w:val="00B35BEA"/>
    <w:rsid w:val="00B35C25"/>
    <w:rsid w:val="00B35CAA"/>
    <w:rsid w:val="00B35E43"/>
    <w:rsid w:val="00B35F0E"/>
    <w:rsid w:val="00B35F2D"/>
    <w:rsid w:val="00B360CE"/>
    <w:rsid w:val="00B360E4"/>
    <w:rsid w:val="00B3649E"/>
    <w:rsid w:val="00B3650B"/>
    <w:rsid w:val="00B36706"/>
    <w:rsid w:val="00B36B11"/>
    <w:rsid w:val="00B36CAB"/>
    <w:rsid w:val="00B36D30"/>
    <w:rsid w:val="00B37135"/>
    <w:rsid w:val="00B372A3"/>
    <w:rsid w:val="00B37320"/>
    <w:rsid w:val="00B37456"/>
    <w:rsid w:val="00B3790F"/>
    <w:rsid w:val="00B37DC3"/>
    <w:rsid w:val="00B4013E"/>
    <w:rsid w:val="00B4023B"/>
    <w:rsid w:val="00B404A5"/>
    <w:rsid w:val="00B404D7"/>
    <w:rsid w:val="00B40640"/>
    <w:rsid w:val="00B409CF"/>
    <w:rsid w:val="00B40A4F"/>
    <w:rsid w:val="00B40AD3"/>
    <w:rsid w:val="00B40CB4"/>
    <w:rsid w:val="00B40CD9"/>
    <w:rsid w:val="00B40EA6"/>
    <w:rsid w:val="00B40EFC"/>
    <w:rsid w:val="00B41517"/>
    <w:rsid w:val="00B4158A"/>
    <w:rsid w:val="00B415D3"/>
    <w:rsid w:val="00B416A6"/>
    <w:rsid w:val="00B41774"/>
    <w:rsid w:val="00B41BEB"/>
    <w:rsid w:val="00B41BED"/>
    <w:rsid w:val="00B41C82"/>
    <w:rsid w:val="00B41DA8"/>
    <w:rsid w:val="00B41E87"/>
    <w:rsid w:val="00B41ED0"/>
    <w:rsid w:val="00B41EEC"/>
    <w:rsid w:val="00B42183"/>
    <w:rsid w:val="00B4229F"/>
    <w:rsid w:val="00B42367"/>
    <w:rsid w:val="00B42594"/>
    <w:rsid w:val="00B42964"/>
    <w:rsid w:val="00B4298C"/>
    <w:rsid w:val="00B42A40"/>
    <w:rsid w:val="00B42B44"/>
    <w:rsid w:val="00B42EDA"/>
    <w:rsid w:val="00B42F00"/>
    <w:rsid w:val="00B430D0"/>
    <w:rsid w:val="00B43195"/>
    <w:rsid w:val="00B431F5"/>
    <w:rsid w:val="00B432D8"/>
    <w:rsid w:val="00B43324"/>
    <w:rsid w:val="00B43393"/>
    <w:rsid w:val="00B434B8"/>
    <w:rsid w:val="00B4351E"/>
    <w:rsid w:val="00B436FC"/>
    <w:rsid w:val="00B4374B"/>
    <w:rsid w:val="00B43756"/>
    <w:rsid w:val="00B43910"/>
    <w:rsid w:val="00B43949"/>
    <w:rsid w:val="00B43A01"/>
    <w:rsid w:val="00B43C53"/>
    <w:rsid w:val="00B43CF6"/>
    <w:rsid w:val="00B4406E"/>
    <w:rsid w:val="00B44145"/>
    <w:rsid w:val="00B4439F"/>
    <w:rsid w:val="00B44414"/>
    <w:rsid w:val="00B44804"/>
    <w:rsid w:val="00B44807"/>
    <w:rsid w:val="00B44844"/>
    <w:rsid w:val="00B44A4E"/>
    <w:rsid w:val="00B44B12"/>
    <w:rsid w:val="00B44B30"/>
    <w:rsid w:val="00B44C21"/>
    <w:rsid w:val="00B44C36"/>
    <w:rsid w:val="00B44CA0"/>
    <w:rsid w:val="00B45055"/>
    <w:rsid w:val="00B4518A"/>
    <w:rsid w:val="00B45482"/>
    <w:rsid w:val="00B454DD"/>
    <w:rsid w:val="00B4568A"/>
    <w:rsid w:val="00B45A47"/>
    <w:rsid w:val="00B45B81"/>
    <w:rsid w:val="00B45D3F"/>
    <w:rsid w:val="00B45D93"/>
    <w:rsid w:val="00B45ECB"/>
    <w:rsid w:val="00B4612E"/>
    <w:rsid w:val="00B464D7"/>
    <w:rsid w:val="00B466D1"/>
    <w:rsid w:val="00B46758"/>
    <w:rsid w:val="00B4696F"/>
    <w:rsid w:val="00B46B39"/>
    <w:rsid w:val="00B46D8F"/>
    <w:rsid w:val="00B46E24"/>
    <w:rsid w:val="00B46ECB"/>
    <w:rsid w:val="00B46F08"/>
    <w:rsid w:val="00B46FD0"/>
    <w:rsid w:val="00B47021"/>
    <w:rsid w:val="00B470A7"/>
    <w:rsid w:val="00B474D7"/>
    <w:rsid w:val="00B474EA"/>
    <w:rsid w:val="00B47A20"/>
    <w:rsid w:val="00B47A4C"/>
    <w:rsid w:val="00B47A53"/>
    <w:rsid w:val="00B47EBA"/>
    <w:rsid w:val="00B47F24"/>
    <w:rsid w:val="00B50161"/>
    <w:rsid w:val="00B50420"/>
    <w:rsid w:val="00B50618"/>
    <w:rsid w:val="00B50655"/>
    <w:rsid w:val="00B506A1"/>
    <w:rsid w:val="00B50849"/>
    <w:rsid w:val="00B508EF"/>
    <w:rsid w:val="00B50937"/>
    <w:rsid w:val="00B50A54"/>
    <w:rsid w:val="00B50BA3"/>
    <w:rsid w:val="00B50CF4"/>
    <w:rsid w:val="00B50D04"/>
    <w:rsid w:val="00B51231"/>
    <w:rsid w:val="00B51415"/>
    <w:rsid w:val="00B51625"/>
    <w:rsid w:val="00B51652"/>
    <w:rsid w:val="00B516CD"/>
    <w:rsid w:val="00B51756"/>
    <w:rsid w:val="00B517A6"/>
    <w:rsid w:val="00B51828"/>
    <w:rsid w:val="00B519A3"/>
    <w:rsid w:val="00B51B12"/>
    <w:rsid w:val="00B51B89"/>
    <w:rsid w:val="00B51C05"/>
    <w:rsid w:val="00B51DDD"/>
    <w:rsid w:val="00B51E24"/>
    <w:rsid w:val="00B5205B"/>
    <w:rsid w:val="00B529BF"/>
    <w:rsid w:val="00B52BAF"/>
    <w:rsid w:val="00B52BE6"/>
    <w:rsid w:val="00B52D82"/>
    <w:rsid w:val="00B52E43"/>
    <w:rsid w:val="00B5311B"/>
    <w:rsid w:val="00B5317A"/>
    <w:rsid w:val="00B53421"/>
    <w:rsid w:val="00B537D1"/>
    <w:rsid w:val="00B537F7"/>
    <w:rsid w:val="00B539A0"/>
    <w:rsid w:val="00B53AA1"/>
    <w:rsid w:val="00B53C29"/>
    <w:rsid w:val="00B53CFC"/>
    <w:rsid w:val="00B53FA0"/>
    <w:rsid w:val="00B54149"/>
    <w:rsid w:val="00B54338"/>
    <w:rsid w:val="00B5455E"/>
    <w:rsid w:val="00B546E7"/>
    <w:rsid w:val="00B54735"/>
    <w:rsid w:val="00B547FD"/>
    <w:rsid w:val="00B5481A"/>
    <w:rsid w:val="00B548B9"/>
    <w:rsid w:val="00B5492F"/>
    <w:rsid w:val="00B54B4E"/>
    <w:rsid w:val="00B55162"/>
    <w:rsid w:val="00B555AB"/>
    <w:rsid w:val="00B555D1"/>
    <w:rsid w:val="00B55608"/>
    <w:rsid w:val="00B5560F"/>
    <w:rsid w:val="00B55773"/>
    <w:rsid w:val="00B55999"/>
    <w:rsid w:val="00B55BBD"/>
    <w:rsid w:val="00B55BE0"/>
    <w:rsid w:val="00B55E3F"/>
    <w:rsid w:val="00B5602A"/>
    <w:rsid w:val="00B5642E"/>
    <w:rsid w:val="00B566D6"/>
    <w:rsid w:val="00B5677D"/>
    <w:rsid w:val="00B567C0"/>
    <w:rsid w:val="00B568AB"/>
    <w:rsid w:val="00B569A2"/>
    <w:rsid w:val="00B569F8"/>
    <w:rsid w:val="00B56E8A"/>
    <w:rsid w:val="00B56EC1"/>
    <w:rsid w:val="00B57182"/>
    <w:rsid w:val="00B572D8"/>
    <w:rsid w:val="00B576FE"/>
    <w:rsid w:val="00B57847"/>
    <w:rsid w:val="00B579B3"/>
    <w:rsid w:val="00B57A38"/>
    <w:rsid w:val="00B57D17"/>
    <w:rsid w:val="00B57F58"/>
    <w:rsid w:val="00B600BA"/>
    <w:rsid w:val="00B6014A"/>
    <w:rsid w:val="00B601BF"/>
    <w:rsid w:val="00B60307"/>
    <w:rsid w:val="00B6051B"/>
    <w:rsid w:val="00B6064E"/>
    <w:rsid w:val="00B60B5D"/>
    <w:rsid w:val="00B60C2D"/>
    <w:rsid w:val="00B60DB8"/>
    <w:rsid w:val="00B60FDA"/>
    <w:rsid w:val="00B61179"/>
    <w:rsid w:val="00B611B1"/>
    <w:rsid w:val="00B611E8"/>
    <w:rsid w:val="00B61304"/>
    <w:rsid w:val="00B6191C"/>
    <w:rsid w:val="00B61A66"/>
    <w:rsid w:val="00B61A69"/>
    <w:rsid w:val="00B61C60"/>
    <w:rsid w:val="00B61F80"/>
    <w:rsid w:val="00B62022"/>
    <w:rsid w:val="00B6211A"/>
    <w:rsid w:val="00B621E0"/>
    <w:rsid w:val="00B62522"/>
    <w:rsid w:val="00B62674"/>
    <w:rsid w:val="00B62916"/>
    <w:rsid w:val="00B629A6"/>
    <w:rsid w:val="00B629E5"/>
    <w:rsid w:val="00B629FA"/>
    <w:rsid w:val="00B62C26"/>
    <w:rsid w:val="00B62EBB"/>
    <w:rsid w:val="00B62F0D"/>
    <w:rsid w:val="00B63099"/>
    <w:rsid w:val="00B631AB"/>
    <w:rsid w:val="00B631F0"/>
    <w:rsid w:val="00B63241"/>
    <w:rsid w:val="00B63429"/>
    <w:rsid w:val="00B634E1"/>
    <w:rsid w:val="00B63651"/>
    <w:rsid w:val="00B63667"/>
    <w:rsid w:val="00B63B31"/>
    <w:rsid w:val="00B63B9F"/>
    <w:rsid w:val="00B63C20"/>
    <w:rsid w:val="00B63CEA"/>
    <w:rsid w:val="00B63E91"/>
    <w:rsid w:val="00B63EDD"/>
    <w:rsid w:val="00B640B1"/>
    <w:rsid w:val="00B640D6"/>
    <w:rsid w:val="00B64161"/>
    <w:rsid w:val="00B64166"/>
    <w:rsid w:val="00B641CD"/>
    <w:rsid w:val="00B641FA"/>
    <w:rsid w:val="00B646B2"/>
    <w:rsid w:val="00B64887"/>
    <w:rsid w:val="00B648AC"/>
    <w:rsid w:val="00B6491D"/>
    <w:rsid w:val="00B64FB2"/>
    <w:rsid w:val="00B65026"/>
    <w:rsid w:val="00B65058"/>
    <w:rsid w:val="00B6509C"/>
    <w:rsid w:val="00B655C3"/>
    <w:rsid w:val="00B65852"/>
    <w:rsid w:val="00B65862"/>
    <w:rsid w:val="00B659A3"/>
    <w:rsid w:val="00B65A08"/>
    <w:rsid w:val="00B65B8F"/>
    <w:rsid w:val="00B65BE2"/>
    <w:rsid w:val="00B65C61"/>
    <w:rsid w:val="00B65D37"/>
    <w:rsid w:val="00B660EE"/>
    <w:rsid w:val="00B662EC"/>
    <w:rsid w:val="00B665EC"/>
    <w:rsid w:val="00B667B3"/>
    <w:rsid w:val="00B667DF"/>
    <w:rsid w:val="00B66869"/>
    <w:rsid w:val="00B6687B"/>
    <w:rsid w:val="00B6694D"/>
    <w:rsid w:val="00B669A5"/>
    <w:rsid w:val="00B66B3D"/>
    <w:rsid w:val="00B66CD4"/>
    <w:rsid w:val="00B66E59"/>
    <w:rsid w:val="00B66F09"/>
    <w:rsid w:val="00B67136"/>
    <w:rsid w:val="00B672A8"/>
    <w:rsid w:val="00B67468"/>
    <w:rsid w:val="00B674B7"/>
    <w:rsid w:val="00B677D7"/>
    <w:rsid w:val="00B679BC"/>
    <w:rsid w:val="00B67A04"/>
    <w:rsid w:val="00B67AE4"/>
    <w:rsid w:val="00B67B7D"/>
    <w:rsid w:val="00B67D2D"/>
    <w:rsid w:val="00B67F26"/>
    <w:rsid w:val="00B700CE"/>
    <w:rsid w:val="00B701A3"/>
    <w:rsid w:val="00B703C3"/>
    <w:rsid w:val="00B703FF"/>
    <w:rsid w:val="00B70458"/>
    <w:rsid w:val="00B704B7"/>
    <w:rsid w:val="00B705E9"/>
    <w:rsid w:val="00B70709"/>
    <w:rsid w:val="00B70857"/>
    <w:rsid w:val="00B708DA"/>
    <w:rsid w:val="00B7094E"/>
    <w:rsid w:val="00B7096A"/>
    <w:rsid w:val="00B70C05"/>
    <w:rsid w:val="00B70C78"/>
    <w:rsid w:val="00B70C7D"/>
    <w:rsid w:val="00B70DFB"/>
    <w:rsid w:val="00B70E1B"/>
    <w:rsid w:val="00B71070"/>
    <w:rsid w:val="00B712C4"/>
    <w:rsid w:val="00B71485"/>
    <w:rsid w:val="00B71AE0"/>
    <w:rsid w:val="00B71B1C"/>
    <w:rsid w:val="00B71BE0"/>
    <w:rsid w:val="00B71C33"/>
    <w:rsid w:val="00B71D55"/>
    <w:rsid w:val="00B71DBF"/>
    <w:rsid w:val="00B71EA5"/>
    <w:rsid w:val="00B71FFA"/>
    <w:rsid w:val="00B7202C"/>
    <w:rsid w:val="00B72213"/>
    <w:rsid w:val="00B722B2"/>
    <w:rsid w:val="00B722F9"/>
    <w:rsid w:val="00B725A6"/>
    <w:rsid w:val="00B727A3"/>
    <w:rsid w:val="00B72A4A"/>
    <w:rsid w:val="00B72A70"/>
    <w:rsid w:val="00B72C7B"/>
    <w:rsid w:val="00B72D99"/>
    <w:rsid w:val="00B72E41"/>
    <w:rsid w:val="00B73078"/>
    <w:rsid w:val="00B732AD"/>
    <w:rsid w:val="00B735B8"/>
    <w:rsid w:val="00B7378C"/>
    <w:rsid w:val="00B73872"/>
    <w:rsid w:val="00B73B06"/>
    <w:rsid w:val="00B73F50"/>
    <w:rsid w:val="00B740D3"/>
    <w:rsid w:val="00B742AF"/>
    <w:rsid w:val="00B743EF"/>
    <w:rsid w:val="00B7462A"/>
    <w:rsid w:val="00B74639"/>
    <w:rsid w:val="00B74673"/>
    <w:rsid w:val="00B7476C"/>
    <w:rsid w:val="00B747A4"/>
    <w:rsid w:val="00B74AA7"/>
    <w:rsid w:val="00B74C7B"/>
    <w:rsid w:val="00B74F13"/>
    <w:rsid w:val="00B74F4F"/>
    <w:rsid w:val="00B7502C"/>
    <w:rsid w:val="00B75064"/>
    <w:rsid w:val="00B75091"/>
    <w:rsid w:val="00B7529D"/>
    <w:rsid w:val="00B752B0"/>
    <w:rsid w:val="00B753CE"/>
    <w:rsid w:val="00B75400"/>
    <w:rsid w:val="00B755E3"/>
    <w:rsid w:val="00B75B0B"/>
    <w:rsid w:val="00B75D85"/>
    <w:rsid w:val="00B75DA1"/>
    <w:rsid w:val="00B75E21"/>
    <w:rsid w:val="00B75E3E"/>
    <w:rsid w:val="00B75E91"/>
    <w:rsid w:val="00B76167"/>
    <w:rsid w:val="00B764C6"/>
    <w:rsid w:val="00B7653F"/>
    <w:rsid w:val="00B7655C"/>
    <w:rsid w:val="00B7672C"/>
    <w:rsid w:val="00B76734"/>
    <w:rsid w:val="00B767BE"/>
    <w:rsid w:val="00B767DE"/>
    <w:rsid w:val="00B767E8"/>
    <w:rsid w:val="00B76A2D"/>
    <w:rsid w:val="00B76A56"/>
    <w:rsid w:val="00B76B5F"/>
    <w:rsid w:val="00B76BAD"/>
    <w:rsid w:val="00B76CC9"/>
    <w:rsid w:val="00B770E5"/>
    <w:rsid w:val="00B771AC"/>
    <w:rsid w:val="00B772D2"/>
    <w:rsid w:val="00B77395"/>
    <w:rsid w:val="00B77464"/>
    <w:rsid w:val="00B775DE"/>
    <w:rsid w:val="00B776D2"/>
    <w:rsid w:val="00B7779E"/>
    <w:rsid w:val="00B77921"/>
    <w:rsid w:val="00B77B6C"/>
    <w:rsid w:val="00B77C37"/>
    <w:rsid w:val="00B77CBD"/>
    <w:rsid w:val="00B77E57"/>
    <w:rsid w:val="00B77E7E"/>
    <w:rsid w:val="00B80019"/>
    <w:rsid w:val="00B80257"/>
    <w:rsid w:val="00B804CE"/>
    <w:rsid w:val="00B8052B"/>
    <w:rsid w:val="00B805D2"/>
    <w:rsid w:val="00B8066C"/>
    <w:rsid w:val="00B80696"/>
    <w:rsid w:val="00B807AE"/>
    <w:rsid w:val="00B80967"/>
    <w:rsid w:val="00B80988"/>
    <w:rsid w:val="00B80B10"/>
    <w:rsid w:val="00B80B81"/>
    <w:rsid w:val="00B80E83"/>
    <w:rsid w:val="00B815D1"/>
    <w:rsid w:val="00B81707"/>
    <w:rsid w:val="00B81785"/>
    <w:rsid w:val="00B81788"/>
    <w:rsid w:val="00B817FB"/>
    <w:rsid w:val="00B81A6F"/>
    <w:rsid w:val="00B81E44"/>
    <w:rsid w:val="00B820A4"/>
    <w:rsid w:val="00B8225D"/>
    <w:rsid w:val="00B8237C"/>
    <w:rsid w:val="00B825F7"/>
    <w:rsid w:val="00B82613"/>
    <w:rsid w:val="00B82757"/>
    <w:rsid w:val="00B82831"/>
    <w:rsid w:val="00B82832"/>
    <w:rsid w:val="00B82833"/>
    <w:rsid w:val="00B828EC"/>
    <w:rsid w:val="00B828F8"/>
    <w:rsid w:val="00B82935"/>
    <w:rsid w:val="00B82B2A"/>
    <w:rsid w:val="00B82C29"/>
    <w:rsid w:val="00B82C34"/>
    <w:rsid w:val="00B82CE0"/>
    <w:rsid w:val="00B82D31"/>
    <w:rsid w:val="00B82E36"/>
    <w:rsid w:val="00B8308F"/>
    <w:rsid w:val="00B8309D"/>
    <w:rsid w:val="00B83180"/>
    <w:rsid w:val="00B83288"/>
    <w:rsid w:val="00B832A9"/>
    <w:rsid w:val="00B833A2"/>
    <w:rsid w:val="00B835DF"/>
    <w:rsid w:val="00B836E1"/>
    <w:rsid w:val="00B8385D"/>
    <w:rsid w:val="00B83892"/>
    <w:rsid w:val="00B838F6"/>
    <w:rsid w:val="00B83909"/>
    <w:rsid w:val="00B8394C"/>
    <w:rsid w:val="00B83AC1"/>
    <w:rsid w:val="00B83C50"/>
    <w:rsid w:val="00B83DDC"/>
    <w:rsid w:val="00B84038"/>
    <w:rsid w:val="00B84199"/>
    <w:rsid w:val="00B844CA"/>
    <w:rsid w:val="00B84934"/>
    <w:rsid w:val="00B84936"/>
    <w:rsid w:val="00B849C6"/>
    <w:rsid w:val="00B84A09"/>
    <w:rsid w:val="00B84BAF"/>
    <w:rsid w:val="00B84BE9"/>
    <w:rsid w:val="00B84D7A"/>
    <w:rsid w:val="00B84DB1"/>
    <w:rsid w:val="00B84DDD"/>
    <w:rsid w:val="00B84EA9"/>
    <w:rsid w:val="00B84EB7"/>
    <w:rsid w:val="00B84F37"/>
    <w:rsid w:val="00B85195"/>
    <w:rsid w:val="00B852CE"/>
    <w:rsid w:val="00B852F8"/>
    <w:rsid w:val="00B8540B"/>
    <w:rsid w:val="00B8568C"/>
    <w:rsid w:val="00B8568D"/>
    <w:rsid w:val="00B8582F"/>
    <w:rsid w:val="00B85A1C"/>
    <w:rsid w:val="00B85BA4"/>
    <w:rsid w:val="00B85BBA"/>
    <w:rsid w:val="00B85F10"/>
    <w:rsid w:val="00B85F21"/>
    <w:rsid w:val="00B86039"/>
    <w:rsid w:val="00B862B7"/>
    <w:rsid w:val="00B86304"/>
    <w:rsid w:val="00B86411"/>
    <w:rsid w:val="00B86460"/>
    <w:rsid w:val="00B866A1"/>
    <w:rsid w:val="00B867F6"/>
    <w:rsid w:val="00B867FD"/>
    <w:rsid w:val="00B86905"/>
    <w:rsid w:val="00B8691E"/>
    <w:rsid w:val="00B86921"/>
    <w:rsid w:val="00B86BDF"/>
    <w:rsid w:val="00B86DC4"/>
    <w:rsid w:val="00B86E15"/>
    <w:rsid w:val="00B86E2A"/>
    <w:rsid w:val="00B86E72"/>
    <w:rsid w:val="00B8732C"/>
    <w:rsid w:val="00B8738A"/>
    <w:rsid w:val="00B8747A"/>
    <w:rsid w:val="00B87522"/>
    <w:rsid w:val="00B8758C"/>
    <w:rsid w:val="00B8758D"/>
    <w:rsid w:val="00B875E0"/>
    <w:rsid w:val="00B87979"/>
    <w:rsid w:val="00B87ABA"/>
    <w:rsid w:val="00B87B75"/>
    <w:rsid w:val="00B901AC"/>
    <w:rsid w:val="00B90248"/>
    <w:rsid w:val="00B90361"/>
    <w:rsid w:val="00B904BE"/>
    <w:rsid w:val="00B906BA"/>
    <w:rsid w:val="00B90A6F"/>
    <w:rsid w:val="00B90A70"/>
    <w:rsid w:val="00B90BDE"/>
    <w:rsid w:val="00B914DD"/>
    <w:rsid w:val="00B91502"/>
    <w:rsid w:val="00B915F1"/>
    <w:rsid w:val="00B916CD"/>
    <w:rsid w:val="00B91782"/>
    <w:rsid w:val="00B91819"/>
    <w:rsid w:val="00B91943"/>
    <w:rsid w:val="00B91C00"/>
    <w:rsid w:val="00B91CF0"/>
    <w:rsid w:val="00B91D01"/>
    <w:rsid w:val="00B91E85"/>
    <w:rsid w:val="00B91F57"/>
    <w:rsid w:val="00B920FC"/>
    <w:rsid w:val="00B92197"/>
    <w:rsid w:val="00B921CA"/>
    <w:rsid w:val="00B92264"/>
    <w:rsid w:val="00B9236D"/>
    <w:rsid w:val="00B92451"/>
    <w:rsid w:val="00B926FC"/>
    <w:rsid w:val="00B92742"/>
    <w:rsid w:val="00B927AF"/>
    <w:rsid w:val="00B927EA"/>
    <w:rsid w:val="00B92C23"/>
    <w:rsid w:val="00B92C81"/>
    <w:rsid w:val="00B92E03"/>
    <w:rsid w:val="00B92F51"/>
    <w:rsid w:val="00B930C9"/>
    <w:rsid w:val="00B930E5"/>
    <w:rsid w:val="00B9316A"/>
    <w:rsid w:val="00B932E4"/>
    <w:rsid w:val="00B93903"/>
    <w:rsid w:val="00B93BA2"/>
    <w:rsid w:val="00B94052"/>
    <w:rsid w:val="00B94086"/>
    <w:rsid w:val="00B94279"/>
    <w:rsid w:val="00B94666"/>
    <w:rsid w:val="00B949EE"/>
    <w:rsid w:val="00B94A35"/>
    <w:rsid w:val="00B94E72"/>
    <w:rsid w:val="00B94F5E"/>
    <w:rsid w:val="00B95155"/>
    <w:rsid w:val="00B95164"/>
    <w:rsid w:val="00B951FA"/>
    <w:rsid w:val="00B95279"/>
    <w:rsid w:val="00B952BC"/>
    <w:rsid w:val="00B952E9"/>
    <w:rsid w:val="00B95381"/>
    <w:rsid w:val="00B953C7"/>
    <w:rsid w:val="00B95671"/>
    <w:rsid w:val="00B95815"/>
    <w:rsid w:val="00B958A8"/>
    <w:rsid w:val="00B958B9"/>
    <w:rsid w:val="00B95A46"/>
    <w:rsid w:val="00B95A63"/>
    <w:rsid w:val="00B95AB7"/>
    <w:rsid w:val="00B95CD0"/>
    <w:rsid w:val="00B95E53"/>
    <w:rsid w:val="00B96253"/>
    <w:rsid w:val="00B963BD"/>
    <w:rsid w:val="00B96418"/>
    <w:rsid w:val="00B96483"/>
    <w:rsid w:val="00B96780"/>
    <w:rsid w:val="00B96807"/>
    <w:rsid w:val="00B96866"/>
    <w:rsid w:val="00B96A6B"/>
    <w:rsid w:val="00B96B39"/>
    <w:rsid w:val="00B96B74"/>
    <w:rsid w:val="00B96C1C"/>
    <w:rsid w:val="00B96C32"/>
    <w:rsid w:val="00B96CA3"/>
    <w:rsid w:val="00B96CF7"/>
    <w:rsid w:val="00B96CFA"/>
    <w:rsid w:val="00B96D1B"/>
    <w:rsid w:val="00B96E4E"/>
    <w:rsid w:val="00B96E61"/>
    <w:rsid w:val="00B96FDF"/>
    <w:rsid w:val="00B97053"/>
    <w:rsid w:val="00B97070"/>
    <w:rsid w:val="00B970D4"/>
    <w:rsid w:val="00B971BA"/>
    <w:rsid w:val="00B971E9"/>
    <w:rsid w:val="00B97261"/>
    <w:rsid w:val="00B9745A"/>
    <w:rsid w:val="00B975BA"/>
    <w:rsid w:val="00B975BD"/>
    <w:rsid w:val="00B9780B"/>
    <w:rsid w:val="00B97B30"/>
    <w:rsid w:val="00B97B99"/>
    <w:rsid w:val="00B97CD9"/>
    <w:rsid w:val="00B97CF5"/>
    <w:rsid w:val="00B97E35"/>
    <w:rsid w:val="00B97ECE"/>
    <w:rsid w:val="00B97F1F"/>
    <w:rsid w:val="00B97FA0"/>
    <w:rsid w:val="00BA0001"/>
    <w:rsid w:val="00BA002D"/>
    <w:rsid w:val="00BA00B7"/>
    <w:rsid w:val="00BA0148"/>
    <w:rsid w:val="00BA0218"/>
    <w:rsid w:val="00BA0606"/>
    <w:rsid w:val="00BA09A4"/>
    <w:rsid w:val="00BA0A3D"/>
    <w:rsid w:val="00BA0B8D"/>
    <w:rsid w:val="00BA0C02"/>
    <w:rsid w:val="00BA0C92"/>
    <w:rsid w:val="00BA117B"/>
    <w:rsid w:val="00BA11C6"/>
    <w:rsid w:val="00BA121E"/>
    <w:rsid w:val="00BA1399"/>
    <w:rsid w:val="00BA163D"/>
    <w:rsid w:val="00BA16F5"/>
    <w:rsid w:val="00BA1707"/>
    <w:rsid w:val="00BA1776"/>
    <w:rsid w:val="00BA18C8"/>
    <w:rsid w:val="00BA18E7"/>
    <w:rsid w:val="00BA190D"/>
    <w:rsid w:val="00BA1A9C"/>
    <w:rsid w:val="00BA1AF5"/>
    <w:rsid w:val="00BA1BE2"/>
    <w:rsid w:val="00BA1D08"/>
    <w:rsid w:val="00BA1D94"/>
    <w:rsid w:val="00BA1EED"/>
    <w:rsid w:val="00BA1FE8"/>
    <w:rsid w:val="00BA2057"/>
    <w:rsid w:val="00BA221C"/>
    <w:rsid w:val="00BA2278"/>
    <w:rsid w:val="00BA22BD"/>
    <w:rsid w:val="00BA22DE"/>
    <w:rsid w:val="00BA22F7"/>
    <w:rsid w:val="00BA2514"/>
    <w:rsid w:val="00BA25B5"/>
    <w:rsid w:val="00BA29DF"/>
    <w:rsid w:val="00BA2A85"/>
    <w:rsid w:val="00BA2C4A"/>
    <w:rsid w:val="00BA2C9E"/>
    <w:rsid w:val="00BA2D33"/>
    <w:rsid w:val="00BA2D61"/>
    <w:rsid w:val="00BA2DB3"/>
    <w:rsid w:val="00BA2DF8"/>
    <w:rsid w:val="00BA2F15"/>
    <w:rsid w:val="00BA2F88"/>
    <w:rsid w:val="00BA314A"/>
    <w:rsid w:val="00BA31C2"/>
    <w:rsid w:val="00BA3315"/>
    <w:rsid w:val="00BA349B"/>
    <w:rsid w:val="00BA371C"/>
    <w:rsid w:val="00BA3727"/>
    <w:rsid w:val="00BA3803"/>
    <w:rsid w:val="00BA3C72"/>
    <w:rsid w:val="00BA3DF4"/>
    <w:rsid w:val="00BA4034"/>
    <w:rsid w:val="00BA4093"/>
    <w:rsid w:val="00BA40DB"/>
    <w:rsid w:val="00BA4108"/>
    <w:rsid w:val="00BA448D"/>
    <w:rsid w:val="00BA44DB"/>
    <w:rsid w:val="00BA484B"/>
    <w:rsid w:val="00BA494A"/>
    <w:rsid w:val="00BA4B9F"/>
    <w:rsid w:val="00BA4D43"/>
    <w:rsid w:val="00BA4E63"/>
    <w:rsid w:val="00BA4E89"/>
    <w:rsid w:val="00BA526B"/>
    <w:rsid w:val="00BA54B3"/>
    <w:rsid w:val="00BA54B8"/>
    <w:rsid w:val="00BA54EE"/>
    <w:rsid w:val="00BA54F4"/>
    <w:rsid w:val="00BA556B"/>
    <w:rsid w:val="00BA5879"/>
    <w:rsid w:val="00BA5A81"/>
    <w:rsid w:val="00BA5BB4"/>
    <w:rsid w:val="00BA5CF8"/>
    <w:rsid w:val="00BA5D56"/>
    <w:rsid w:val="00BA5F64"/>
    <w:rsid w:val="00BA5FB3"/>
    <w:rsid w:val="00BA624B"/>
    <w:rsid w:val="00BA6341"/>
    <w:rsid w:val="00BA6460"/>
    <w:rsid w:val="00BA6621"/>
    <w:rsid w:val="00BA66DC"/>
    <w:rsid w:val="00BA6E9A"/>
    <w:rsid w:val="00BA6FA1"/>
    <w:rsid w:val="00BA701D"/>
    <w:rsid w:val="00BA723B"/>
    <w:rsid w:val="00BA72EE"/>
    <w:rsid w:val="00BA73A5"/>
    <w:rsid w:val="00BA743B"/>
    <w:rsid w:val="00BA7446"/>
    <w:rsid w:val="00BA745F"/>
    <w:rsid w:val="00BA78C2"/>
    <w:rsid w:val="00BA7E1B"/>
    <w:rsid w:val="00BA7E32"/>
    <w:rsid w:val="00BA7EC6"/>
    <w:rsid w:val="00BA7EC9"/>
    <w:rsid w:val="00BA7F4A"/>
    <w:rsid w:val="00BB004A"/>
    <w:rsid w:val="00BB01BF"/>
    <w:rsid w:val="00BB023C"/>
    <w:rsid w:val="00BB0564"/>
    <w:rsid w:val="00BB0797"/>
    <w:rsid w:val="00BB08E4"/>
    <w:rsid w:val="00BB0BE1"/>
    <w:rsid w:val="00BB0D67"/>
    <w:rsid w:val="00BB0E77"/>
    <w:rsid w:val="00BB109E"/>
    <w:rsid w:val="00BB126B"/>
    <w:rsid w:val="00BB1270"/>
    <w:rsid w:val="00BB13D7"/>
    <w:rsid w:val="00BB1699"/>
    <w:rsid w:val="00BB1B19"/>
    <w:rsid w:val="00BB1BFF"/>
    <w:rsid w:val="00BB1CA7"/>
    <w:rsid w:val="00BB1CB3"/>
    <w:rsid w:val="00BB1CF9"/>
    <w:rsid w:val="00BB1E80"/>
    <w:rsid w:val="00BB1F3D"/>
    <w:rsid w:val="00BB1F47"/>
    <w:rsid w:val="00BB22F8"/>
    <w:rsid w:val="00BB2407"/>
    <w:rsid w:val="00BB2461"/>
    <w:rsid w:val="00BB2493"/>
    <w:rsid w:val="00BB2792"/>
    <w:rsid w:val="00BB2822"/>
    <w:rsid w:val="00BB2AA4"/>
    <w:rsid w:val="00BB2AC5"/>
    <w:rsid w:val="00BB2BF4"/>
    <w:rsid w:val="00BB2DA0"/>
    <w:rsid w:val="00BB2EE7"/>
    <w:rsid w:val="00BB3087"/>
    <w:rsid w:val="00BB30E9"/>
    <w:rsid w:val="00BB329D"/>
    <w:rsid w:val="00BB3373"/>
    <w:rsid w:val="00BB360F"/>
    <w:rsid w:val="00BB39AC"/>
    <w:rsid w:val="00BB3DA5"/>
    <w:rsid w:val="00BB3FC4"/>
    <w:rsid w:val="00BB4095"/>
    <w:rsid w:val="00BB4587"/>
    <w:rsid w:val="00BB4615"/>
    <w:rsid w:val="00BB4685"/>
    <w:rsid w:val="00BB4834"/>
    <w:rsid w:val="00BB489F"/>
    <w:rsid w:val="00BB4AB9"/>
    <w:rsid w:val="00BB5090"/>
    <w:rsid w:val="00BB5100"/>
    <w:rsid w:val="00BB5273"/>
    <w:rsid w:val="00BB547F"/>
    <w:rsid w:val="00BB553C"/>
    <w:rsid w:val="00BB5718"/>
    <w:rsid w:val="00BB5BBA"/>
    <w:rsid w:val="00BB5C56"/>
    <w:rsid w:val="00BB5CC7"/>
    <w:rsid w:val="00BB5E7F"/>
    <w:rsid w:val="00BB6232"/>
    <w:rsid w:val="00BB6281"/>
    <w:rsid w:val="00BB6415"/>
    <w:rsid w:val="00BB64D9"/>
    <w:rsid w:val="00BB64E2"/>
    <w:rsid w:val="00BB674C"/>
    <w:rsid w:val="00BB6846"/>
    <w:rsid w:val="00BB6A55"/>
    <w:rsid w:val="00BB6C01"/>
    <w:rsid w:val="00BB6C86"/>
    <w:rsid w:val="00BB6CCB"/>
    <w:rsid w:val="00BB6EF8"/>
    <w:rsid w:val="00BB6FF7"/>
    <w:rsid w:val="00BB7145"/>
    <w:rsid w:val="00BB7215"/>
    <w:rsid w:val="00BB72B1"/>
    <w:rsid w:val="00BB74A8"/>
    <w:rsid w:val="00BB770F"/>
    <w:rsid w:val="00BB78F3"/>
    <w:rsid w:val="00BB7939"/>
    <w:rsid w:val="00BB7AD6"/>
    <w:rsid w:val="00BB7B7F"/>
    <w:rsid w:val="00BC0260"/>
    <w:rsid w:val="00BC038F"/>
    <w:rsid w:val="00BC03DE"/>
    <w:rsid w:val="00BC04D6"/>
    <w:rsid w:val="00BC04EB"/>
    <w:rsid w:val="00BC0631"/>
    <w:rsid w:val="00BC065B"/>
    <w:rsid w:val="00BC095E"/>
    <w:rsid w:val="00BC09A0"/>
    <w:rsid w:val="00BC0E65"/>
    <w:rsid w:val="00BC1055"/>
    <w:rsid w:val="00BC110D"/>
    <w:rsid w:val="00BC12C7"/>
    <w:rsid w:val="00BC1459"/>
    <w:rsid w:val="00BC1477"/>
    <w:rsid w:val="00BC14D9"/>
    <w:rsid w:val="00BC1596"/>
    <w:rsid w:val="00BC15B2"/>
    <w:rsid w:val="00BC1758"/>
    <w:rsid w:val="00BC178A"/>
    <w:rsid w:val="00BC18F1"/>
    <w:rsid w:val="00BC1949"/>
    <w:rsid w:val="00BC19B0"/>
    <w:rsid w:val="00BC1C13"/>
    <w:rsid w:val="00BC1C8A"/>
    <w:rsid w:val="00BC1D0F"/>
    <w:rsid w:val="00BC1D73"/>
    <w:rsid w:val="00BC1F3A"/>
    <w:rsid w:val="00BC22AE"/>
    <w:rsid w:val="00BC232A"/>
    <w:rsid w:val="00BC23D1"/>
    <w:rsid w:val="00BC25B1"/>
    <w:rsid w:val="00BC27C1"/>
    <w:rsid w:val="00BC2810"/>
    <w:rsid w:val="00BC296A"/>
    <w:rsid w:val="00BC2B67"/>
    <w:rsid w:val="00BC2CCA"/>
    <w:rsid w:val="00BC2CE9"/>
    <w:rsid w:val="00BC2FEB"/>
    <w:rsid w:val="00BC3022"/>
    <w:rsid w:val="00BC3089"/>
    <w:rsid w:val="00BC36B3"/>
    <w:rsid w:val="00BC37F3"/>
    <w:rsid w:val="00BC39F4"/>
    <w:rsid w:val="00BC3A51"/>
    <w:rsid w:val="00BC3B1D"/>
    <w:rsid w:val="00BC3DB3"/>
    <w:rsid w:val="00BC3E78"/>
    <w:rsid w:val="00BC40B6"/>
    <w:rsid w:val="00BC4150"/>
    <w:rsid w:val="00BC4200"/>
    <w:rsid w:val="00BC426E"/>
    <w:rsid w:val="00BC4302"/>
    <w:rsid w:val="00BC44F3"/>
    <w:rsid w:val="00BC45D7"/>
    <w:rsid w:val="00BC475B"/>
    <w:rsid w:val="00BC4813"/>
    <w:rsid w:val="00BC48CA"/>
    <w:rsid w:val="00BC498C"/>
    <w:rsid w:val="00BC4A3F"/>
    <w:rsid w:val="00BC4C77"/>
    <w:rsid w:val="00BC4E6E"/>
    <w:rsid w:val="00BC4FFD"/>
    <w:rsid w:val="00BC5309"/>
    <w:rsid w:val="00BC54A1"/>
    <w:rsid w:val="00BC55BD"/>
    <w:rsid w:val="00BC5660"/>
    <w:rsid w:val="00BC5791"/>
    <w:rsid w:val="00BC57FE"/>
    <w:rsid w:val="00BC5A6F"/>
    <w:rsid w:val="00BC5A97"/>
    <w:rsid w:val="00BC5C65"/>
    <w:rsid w:val="00BC5CBF"/>
    <w:rsid w:val="00BC5CC9"/>
    <w:rsid w:val="00BC5F53"/>
    <w:rsid w:val="00BC64AB"/>
    <w:rsid w:val="00BC6607"/>
    <w:rsid w:val="00BC661B"/>
    <w:rsid w:val="00BC671E"/>
    <w:rsid w:val="00BC680D"/>
    <w:rsid w:val="00BC688A"/>
    <w:rsid w:val="00BC68E6"/>
    <w:rsid w:val="00BC68E9"/>
    <w:rsid w:val="00BC69F4"/>
    <w:rsid w:val="00BC6A4C"/>
    <w:rsid w:val="00BC70C4"/>
    <w:rsid w:val="00BC71CF"/>
    <w:rsid w:val="00BC73D4"/>
    <w:rsid w:val="00BC74EE"/>
    <w:rsid w:val="00BC7A50"/>
    <w:rsid w:val="00BC7A82"/>
    <w:rsid w:val="00BC7AA5"/>
    <w:rsid w:val="00BC7AD9"/>
    <w:rsid w:val="00BC7B23"/>
    <w:rsid w:val="00BC7C23"/>
    <w:rsid w:val="00BC7C99"/>
    <w:rsid w:val="00BC7EA1"/>
    <w:rsid w:val="00BC7FB5"/>
    <w:rsid w:val="00BD02E4"/>
    <w:rsid w:val="00BD035F"/>
    <w:rsid w:val="00BD0447"/>
    <w:rsid w:val="00BD04E5"/>
    <w:rsid w:val="00BD084B"/>
    <w:rsid w:val="00BD08CE"/>
    <w:rsid w:val="00BD09B0"/>
    <w:rsid w:val="00BD09F0"/>
    <w:rsid w:val="00BD0CC9"/>
    <w:rsid w:val="00BD0D70"/>
    <w:rsid w:val="00BD10AA"/>
    <w:rsid w:val="00BD1136"/>
    <w:rsid w:val="00BD12CA"/>
    <w:rsid w:val="00BD1422"/>
    <w:rsid w:val="00BD149B"/>
    <w:rsid w:val="00BD16BB"/>
    <w:rsid w:val="00BD16F6"/>
    <w:rsid w:val="00BD190F"/>
    <w:rsid w:val="00BD19BF"/>
    <w:rsid w:val="00BD1B85"/>
    <w:rsid w:val="00BD2033"/>
    <w:rsid w:val="00BD20BC"/>
    <w:rsid w:val="00BD2192"/>
    <w:rsid w:val="00BD2306"/>
    <w:rsid w:val="00BD234E"/>
    <w:rsid w:val="00BD266B"/>
    <w:rsid w:val="00BD27AE"/>
    <w:rsid w:val="00BD27CA"/>
    <w:rsid w:val="00BD282B"/>
    <w:rsid w:val="00BD2843"/>
    <w:rsid w:val="00BD2956"/>
    <w:rsid w:val="00BD2A62"/>
    <w:rsid w:val="00BD2AF9"/>
    <w:rsid w:val="00BD2EAE"/>
    <w:rsid w:val="00BD2EE7"/>
    <w:rsid w:val="00BD2F4E"/>
    <w:rsid w:val="00BD305A"/>
    <w:rsid w:val="00BD3060"/>
    <w:rsid w:val="00BD356F"/>
    <w:rsid w:val="00BD35AF"/>
    <w:rsid w:val="00BD3607"/>
    <w:rsid w:val="00BD3A11"/>
    <w:rsid w:val="00BD3B03"/>
    <w:rsid w:val="00BD3B9B"/>
    <w:rsid w:val="00BD3D02"/>
    <w:rsid w:val="00BD3DF7"/>
    <w:rsid w:val="00BD3F03"/>
    <w:rsid w:val="00BD3FCE"/>
    <w:rsid w:val="00BD4086"/>
    <w:rsid w:val="00BD4572"/>
    <w:rsid w:val="00BD45BA"/>
    <w:rsid w:val="00BD47DA"/>
    <w:rsid w:val="00BD47DB"/>
    <w:rsid w:val="00BD4CFD"/>
    <w:rsid w:val="00BD4DE7"/>
    <w:rsid w:val="00BD5057"/>
    <w:rsid w:val="00BD5171"/>
    <w:rsid w:val="00BD51C6"/>
    <w:rsid w:val="00BD540B"/>
    <w:rsid w:val="00BD5763"/>
    <w:rsid w:val="00BD5799"/>
    <w:rsid w:val="00BD5897"/>
    <w:rsid w:val="00BD5951"/>
    <w:rsid w:val="00BD59B9"/>
    <w:rsid w:val="00BD5B88"/>
    <w:rsid w:val="00BD5F4F"/>
    <w:rsid w:val="00BD6132"/>
    <w:rsid w:val="00BD63E6"/>
    <w:rsid w:val="00BD64E2"/>
    <w:rsid w:val="00BD6610"/>
    <w:rsid w:val="00BD67FA"/>
    <w:rsid w:val="00BD689B"/>
    <w:rsid w:val="00BD68A6"/>
    <w:rsid w:val="00BD690A"/>
    <w:rsid w:val="00BD691B"/>
    <w:rsid w:val="00BD6987"/>
    <w:rsid w:val="00BD6AEB"/>
    <w:rsid w:val="00BD6B5B"/>
    <w:rsid w:val="00BD6C93"/>
    <w:rsid w:val="00BD6D77"/>
    <w:rsid w:val="00BD6E9B"/>
    <w:rsid w:val="00BD6FAE"/>
    <w:rsid w:val="00BD7037"/>
    <w:rsid w:val="00BD7087"/>
    <w:rsid w:val="00BD70BE"/>
    <w:rsid w:val="00BD7272"/>
    <w:rsid w:val="00BD7550"/>
    <w:rsid w:val="00BD75F5"/>
    <w:rsid w:val="00BD780E"/>
    <w:rsid w:val="00BD7857"/>
    <w:rsid w:val="00BD78D7"/>
    <w:rsid w:val="00BD7CE4"/>
    <w:rsid w:val="00BD7D2A"/>
    <w:rsid w:val="00BD7DE4"/>
    <w:rsid w:val="00BD7E6C"/>
    <w:rsid w:val="00BE00A4"/>
    <w:rsid w:val="00BE05A8"/>
    <w:rsid w:val="00BE05D5"/>
    <w:rsid w:val="00BE063D"/>
    <w:rsid w:val="00BE0660"/>
    <w:rsid w:val="00BE069D"/>
    <w:rsid w:val="00BE0732"/>
    <w:rsid w:val="00BE0AFE"/>
    <w:rsid w:val="00BE0F10"/>
    <w:rsid w:val="00BE12D0"/>
    <w:rsid w:val="00BE12F1"/>
    <w:rsid w:val="00BE1A98"/>
    <w:rsid w:val="00BE1C08"/>
    <w:rsid w:val="00BE1C42"/>
    <w:rsid w:val="00BE1D59"/>
    <w:rsid w:val="00BE1D5D"/>
    <w:rsid w:val="00BE2036"/>
    <w:rsid w:val="00BE2115"/>
    <w:rsid w:val="00BE21AD"/>
    <w:rsid w:val="00BE229D"/>
    <w:rsid w:val="00BE2A05"/>
    <w:rsid w:val="00BE2C9F"/>
    <w:rsid w:val="00BE2D5A"/>
    <w:rsid w:val="00BE2DD6"/>
    <w:rsid w:val="00BE3226"/>
    <w:rsid w:val="00BE3414"/>
    <w:rsid w:val="00BE346F"/>
    <w:rsid w:val="00BE3630"/>
    <w:rsid w:val="00BE36E8"/>
    <w:rsid w:val="00BE37DB"/>
    <w:rsid w:val="00BE3A26"/>
    <w:rsid w:val="00BE3B13"/>
    <w:rsid w:val="00BE3B4B"/>
    <w:rsid w:val="00BE3E95"/>
    <w:rsid w:val="00BE3F71"/>
    <w:rsid w:val="00BE4088"/>
    <w:rsid w:val="00BE41F0"/>
    <w:rsid w:val="00BE4391"/>
    <w:rsid w:val="00BE43F9"/>
    <w:rsid w:val="00BE445D"/>
    <w:rsid w:val="00BE44E2"/>
    <w:rsid w:val="00BE4670"/>
    <w:rsid w:val="00BE4750"/>
    <w:rsid w:val="00BE4854"/>
    <w:rsid w:val="00BE48FE"/>
    <w:rsid w:val="00BE4A95"/>
    <w:rsid w:val="00BE4EBF"/>
    <w:rsid w:val="00BE521D"/>
    <w:rsid w:val="00BE54E1"/>
    <w:rsid w:val="00BE566B"/>
    <w:rsid w:val="00BE59C3"/>
    <w:rsid w:val="00BE5D1F"/>
    <w:rsid w:val="00BE6044"/>
    <w:rsid w:val="00BE6151"/>
    <w:rsid w:val="00BE6154"/>
    <w:rsid w:val="00BE61FB"/>
    <w:rsid w:val="00BE6361"/>
    <w:rsid w:val="00BE6513"/>
    <w:rsid w:val="00BE68DA"/>
    <w:rsid w:val="00BE69F6"/>
    <w:rsid w:val="00BE6ACA"/>
    <w:rsid w:val="00BE6BBA"/>
    <w:rsid w:val="00BE6C67"/>
    <w:rsid w:val="00BE6CD7"/>
    <w:rsid w:val="00BE6E19"/>
    <w:rsid w:val="00BE6F49"/>
    <w:rsid w:val="00BE7158"/>
    <w:rsid w:val="00BE7258"/>
    <w:rsid w:val="00BE72B5"/>
    <w:rsid w:val="00BE7363"/>
    <w:rsid w:val="00BE7440"/>
    <w:rsid w:val="00BE74E0"/>
    <w:rsid w:val="00BE79F9"/>
    <w:rsid w:val="00BE7A6B"/>
    <w:rsid w:val="00BE7A6F"/>
    <w:rsid w:val="00BE7B65"/>
    <w:rsid w:val="00BE7EF0"/>
    <w:rsid w:val="00BE7FF3"/>
    <w:rsid w:val="00BEFABD"/>
    <w:rsid w:val="00BF00E7"/>
    <w:rsid w:val="00BF010E"/>
    <w:rsid w:val="00BF061D"/>
    <w:rsid w:val="00BF0668"/>
    <w:rsid w:val="00BF07CE"/>
    <w:rsid w:val="00BF0A67"/>
    <w:rsid w:val="00BF0D22"/>
    <w:rsid w:val="00BF0D26"/>
    <w:rsid w:val="00BF0DE5"/>
    <w:rsid w:val="00BF1030"/>
    <w:rsid w:val="00BF11E0"/>
    <w:rsid w:val="00BF11E2"/>
    <w:rsid w:val="00BF1293"/>
    <w:rsid w:val="00BF1296"/>
    <w:rsid w:val="00BF1334"/>
    <w:rsid w:val="00BF135C"/>
    <w:rsid w:val="00BF1460"/>
    <w:rsid w:val="00BF14DB"/>
    <w:rsid w:val="00BF15C5"/>
    <w:rsid w:val="00BF16B9"/>
    <w:rsid w:val="00BF1748"/>
    <w:rsid w:val="00BF1D6D"/>
    <w:rsid w:val="00BF1D74"/>
    <w:rsid w:val="00BF1FEB"/>
    <w:rsid w:val="00BF21B6"/>
    <w:rsid w:val="00BF21D6"/>
    <w:rsid w:val="00BF26C1"/>
    <w:rsid w:val="00BF2801"/>
    <w:rsid w:val="00BF28CB"/>
    <w:rsid w:val="00BF28EE"/>
    <w:rsid w:val="00BF2A76"/>
    <w:rsid w:val="00BF2E3D"/>
    <w:rsid w:val="00BF2E5A"/>
    <w:rsid w:val="00BF2FA7"/>
    <w:rsid w:val="00BF3058"/>
    <w:rsid w:val="00BF3230"/>
    <w:rsid w:val="00BF35C5"/>
    <w:rsid w:val="00BF368A"/>
    <w:rsid w:val="00BF36E8"/>
    <w:rsid w:val="00BF3708"/>
    <w:rsid w:val="00BF38EB"/>
    <w:rsid w:val="00BF3924"/>
    <w:rsid w:val="00BF3DC3"/>
    <w:rsid w:val="00BF3E07"/>
    <w:rsid w:val="00BF3E51"/>
    <w:rsid w:val="00BF40EC"/>
    <w:rsid w:val="00BF423F"/>
    <w:rsid w:val="00BF4546"/>
    <w:rsid w:val="00BF4932"/>
    <w:rsid w:val="00BF49EA"/>
    <w:rsid w:val="00BF4AF1"/>
    <w:rsid w:val="00BF4D16"/>
    <w:rsid w:val="00BF4E58"/>
    <w:rsid w:val="00BF502D"/>
    <w:rsid w:val="00BF521D"/>
    <w:rsid w:val="00BF529B"/>
    <w:rsid w:val="00BF58AB"/>
    <w:rsid w:val="00BF5A95"/>
    <w:rsid w:val="00BF5EDF"/>
    <w:rsid w:val="00BF5F53"/>
    <w:rsid w:val="00BF6244"/>
    <w:rsid w:val="00BF631F"/>
    <w:rsid w:val="00BF6610"/>
    <w:rsid w:val="00BF67A7"/>
    <w:rsid w:val="00BF67CE"/>
    <w:rsid w:val="00BF67F0"/>
    <w:rsid w:val="00BF69AA"/>
    <w:rsid w:val="00BF7074"/>
    <w:rsid w:val="00BF7550"/>
    <w:rsid w:val="00BF7692"/>
    <w:rsid w:val="00BF7790"/>
    <w:rsid w:val="00C002B7"/>
    <w:rsid w:val="00C003F8"/>
    <w:rsid w:val="00C004A3"/>
    <w:rsid w:val="00C0064F"/>
    <w:rsid w:val="00C006D8"/>
    <w:rsid w:val="00C00A7C"/>
    <w:rsid w:val="00C00E68"/>
    <w:rsid w:val="00C00E6E"/>
    <w:rsid w:val="00C01048"/>
    <w:rsid w:val="00C0136B"/>
    <w:rsid w:val="00C01398"/>
    <w:rsid w:val="00C01635"/>
    <w:rsid w:val="00C016CE"/>
    <w:rsid w:val="00C01A45"/>
    <w:rsid w:val="00C01B78"/>
    <w:rsid w:val="00C01C08"/>
    <w:rsid w:val="00C01C17"/>
    <w:rsid w:val="00C01E20"/>
    <w:rsid w:val="00C021B0"/>
    <w:rsid w:val="00C0222E"/>
    <w:rsid w:val="00C0246C"/>
    <w:rsid w:val="00C02806"/>
    <w:rsid w:val="00C02A2A"/>
    <w:rsid w:val="00C02AB0"/>
    <w:rsid w:val="00C02D1A"/>
    <w:rsid w:val="00C02D38"/>
    <w:rsid w:val="00C02DB6"/>
    <w:rsid w:val="00C02E5C"/>
    <w:rsid w:val="00C02FFE"/>
    <w:rsid w:val="00C03092"/>
    <w:rsid w:val="00C031BE"/>
    <w:rsid w:val="00C032DF"/>
    <w:rsid w:val="00C03363"/>
    <w:rsid w:val="00C034FD"/>
    <w:rsid w:val="00C03A45"/>
    <w:rsid w:val="00C03ADC"/>
    <w:rsid w:val="00C03B48"/>
    <w:rsid w:val="00C03CD5"/>
    <w:rsid w:val="00C041B1"/>
    <w:rsid w:val="00C04273"/>
    <w:rsid w:val="00C0436A"/>
    <w:rsid w:val="00C045A7"/>
    <w:rsid w:val="00C04870"/>
    <w:rsid w:val="00C04924"/>
    <w:rsid w:val="00C0498E"/>
    <w:rsid w:val="00C04A32"/>
    <w:rsid w:val="00C04A69"/>
    <w:rsid w:val="00C04AE3"/>
    <w:rsid w:val="00C04CB6"/>
    <w:rsid w:val="00C051D8"/>
    <w:rsid w:val="00C051D9"/>
    <w:rsid w:val="00C0545C"/>
    <w:rsid w:val="00C056C6"/>
    <w:rsid w:val="00C05862"/>
    <w:rsid w:val="00C059D3"/>
    <w:rsid w:val="00C059E0"/>
    <w:rsid w:val="00C05BDE"/>
    <w:rsid w:val="00C05D96"/>
    <w:rsid w:val="00C061D5"/>
    <w:rsid w:val="00C06274"/>
    <w:rsid w:val="00C0630F"/>
    <w:rsid w:val="00C0634E"/>
    <w:rsid w:val="00C06354"/>
    <w:rsid w:val="00C065C8"/>
    <w:rsid w:val="00C067B6"/>
    <w:rsid w:val="00C0686C"/>
    <w:rsid w:val="00C06AFA"/>
    <w:rsid w:val="00C06CAF"/>
    <w:rsid w:val="00C06E50"/>
    <w:rsid w:val="00C06F41"/>
    <w:rsid w:val="00C0701A"/>
    <w:rsid w:val="00C073B8"/>
    <w:rsid w:val="00C07505"/>
    <w:rsid w:val="00C07540"/>
    <w:rsid w:val="00C0756C"/>
    <w:rsid w:val="00C075C3"/>
    <w:rsid w:val="00C075E2"/>
    <w:rsid w:val="00C07CEF"/>
    <w:rsid w:val="00C07E81"/>
    <w:rsid w:val="00C07EA2"/>
    <w:rsid w:val="00C07F53"/>
    <w:rsid w:val="00C1009F"/>
    <w:rsid w:val="00C1011C"/>
    <w:rsid w:val="00C10164"/>
    <w:rsid w:val="00C101BF"/>
    <w:rsid w:val="00C10248"/>
    <w:rsid w:val="00C103C2"/>
    <w:rsid w:val="00C103C5"/>
    <w:rsid w:val="00C1061C"/>
    <w:rsid w:val="00C1065D"/>
    <w:rsid w:val="00C10678"/>
    <w:rsid w:val="00C107DD"/>
    <w:rsid w:val="00C107F1"/>
    <w:rsid w:val="00C10815"/>
    <w:rsid w:val="00C108D3"/>
    <w:rsid w:val="00C1092B"/>
    <w:rsid w:val="00C10A47"/>
    <w:rsid w:val="00C10D26"/>
    <w:rsid w:val="00C10FDA"/>
    <w:rsid w:val="00C1106F"/>
    <w:rsid w:val="00C115B1"/>
    <w:rsid w:val="00C1160C"/>
    <w:rsid w:val="00C116E0"/>
    <w:rsid w:val="00C11A21"/>
    <w:rsid w:val="00C11B4E"/>
    <w:rsid w:val="00C11BD8"/>
    <w:rsid w:val="00C11F3B"/>
    <w:rsid w:val="00C120A4"/>
    <w:rsid w:val="00C12172"/>
    <w:rsid w:val="00C124A8"/>
    <w:rsid w:val="00C1257A"/>
    <w:rsid w:val="00C1259D"/>
    <w:rsid w:val="00C12A33"/>
    <w:rsid w:val="00C12B14"/>
    <w:rsid w:val="00C12E47"/>
    <w:rsid w:val="00C1310B"/>
    <w:rsid w:val="00C135AD"/>
    <w:rsid w:val="00C1384E"/>
    <w:rsid w:val="00C13906"/>
    <w:rsid w:val="00C13BB8"/>
    <w:rsid w:val="00C13C9F"/>
    <w:rsid w:val="00C13DC0"/>
    <w:rsid w:val="00C13E4E"/>
    <w:rsid w:val="00C13E5E"/>
    <w:rsid w:val="00C141EF"/>
    <w:rsid w:val="00C1431F"/>
    <w:rsid w:val="00C14484"/>
    <w:rsid w:val="00C144A9"/>
    <w:rsid w:val="00C1460E"/>
    <w:rsid w:val="00C1486E"/>
    <w:rsid w:val="00C149B6"/>
    <w:rsid w:val="00C14BBB"/>
    <w:rsid w:val="00C14C9D"/>
    <w:rsid w:val="00C14DDE"/>
    <w:rsid w:val="00C14F02"/>
    <w:rsid w:val="00C15129"/>
    <w:rsid w:val="00C151A4"/>
    <w:rsid w:val="00C154C0"/>
    <w:rsid w:val="00C15631"/>
    <w:rsid w:val="00C15649"/>
    <w:rsid w:val="00C15661"/>
    <w:rsid w:val="00C15698"/>
    <w:rsid w:val="00C156C8"/>
    <w:rsid w:val="00C156FF"/>
    <w:rsid w:val="00C157AB"/>
    <w:rsid w:val="00C15ABF"/>
    <w:rsid w:val="00C15ADD"/>
    <w:rsid w:val="00C15B05"/>
    <w:rsid w:val="00C15BB7"/>
    <w:rsid w:val="00C15E4A"/>
    <w:rsid w:val="00C16679"/>
    <w:rsid w:val="00C16A8D"/>
    <w:rsid w:val="00C16B87"/>
    <w:rsid w:val="00C16D67"/>
    <w:rsid w:val="00C16ECA"/>
    <w:rsid w:val="00C17019"/>
    <w:rsid w:val="00C1733C"/>
    <w:rsid w:val="00C1734E"/>
    <w:rsid w:val="00C17499"/>
    <w:rsid w:val="00C1753E"/>
    <w:rsid w:val="00C176BF"/>
    <w:rsid w:val="00C1787E"/>
    <w:rsid w:val="00C178C9"/>
    <w:rsid w:val="00C17A1A"/>
    <w:rsid w:val="00C17C63"/>
    <w:rsid w:val="00C17DA7"/>
    <w:rsid w:val="00C17E09"/>
    <w:rsid w:val="00C17EDB"/>
    <w:rsid w:val="00C20269"/>
    <w:rsid w:val="00C2029C"/>
    <w:rsid w:val="00C202F1"/>
    <w:rsid w:val="00C20330"/>
    <w:rsid w:val="00C20739"/>
    <w:rsid w:val="00C20810"/>
    <w:rsid w:val="00C2085E"/>
    <w:rsid w:val="00C20CB3"/>
    <w:rsid w:val="00C20CD8"/>
    <w:rsid w:val="00C20FBF"/>
    <w:rsid w:val="00C2100D"/>
    <w:rsid w:val="00C2106D"/>
    <w:rsid w:val="00C211A2"/>
    <w:rsid w:val="00C212D4"/>
    <w:rsid w:val="00C213DB"/>
    <w:rsid w:val="00C2180E"/>
    <w:rsid w:val="00C2195B"/>
    <w:rsid w:val="00C21A15"/>
    <w:rsid w:val="00C21AF7"/>
    <w:rsid w:val="00C21B5A"/>
    <w:rsid w:val="00C21CF1"/>
    <w:rsid w:val="00C21DCC"/>
    <w:rsid w:val="00C21E8F"/>
    <w:rsid w:val="00C21EEB"/>
    <w:rsid w:val="00C22237"/>
    <w:rsid w:val="00C22444"/>
    <w:rsid w:val="00C225B5"/>
    <w:rsid w:val="00C22612"/>
    <w:rsid w:val="00C2289A"/>
    <w:rsid w:val="00C2289D"/>
    <w:rsid w:val="00C229A9"/>
    <w:rsid w:val="00C22C97"/>
    <w:rsid w:val="00C22D8A"/>
    <w:rsid w:val="00C23084"/>
    <w:rsid w:val="00C2321D"/>
    <w:rsid w:val="00C23243"/>
    <w:rsid w:val="00C2339D"/>
    <w:rsid w:val="00C2346E"/>
    <w:rsid w:val="00C235F8"/>
    <w:rsid w:val="00C2370E"/>
    <w:rsid w:val="00C239F2"/>
    <w:rsid w:val="00C23B7A"/>
    <w:rsid w:val="00C23E15"/>
    <w:rsid w:val="00C23E7F"/>
    <w:rsid w:val="00C23F0B"/>
    <w:rsid w:val="00C24086"/>
    <w:rsid w:val="00C240DA"/>
    <w:rsid w:val="00C2413D"/>
    <w:rsid w:val="00C243D2"/>
    <w:rsid w:val="00C24499"/>
    <w:rsid w:val="00C245D7"/>
    <w:rsid w:val="00C24C6B"/>
    <w:rsid w:val="00C24D86"/>
    <w:rsid w:val="00C251AD"/>
    <w:rsid w:val="00C251B1"/>
    <w:rsid w:val="00C25238"/>
    <w:rsid w:val="00C252D1"/>
    <w:rsid w:val="00C25464"/>
    <w:rsid w:val="00C2548D"/>
    <w:rsid w:val="00C254EF"/>
    <w:rsid w:val="00C2554B"/>
    <w:rsid w:val="00C25679"/>
    <w:rsid w:val="00C25A12"/>
    <w:rsid w:val="00C25AD7"/>
    <w:rsid w:val="00C25B08"/>
    <w:rsid w:val="00C25BD5"/>
    <w:rsid w:val="00C25E07"/>
    <w:rsid w:val="00C25EA7"/>
    <w:rsid w:val="00C25F5E"/>
    <w:rsid w:val="00C26005"/>
    <w:rsid w:val="00C26100"/>
    <w:rsid w:val="00C26127"/>
    <w:rsid w:val="00C26190"/>
    <w:rsid w:val="00C26357"/>
    <w:rsid w:val="00C26360"/>
    <w:rsid w:val="00C267F8"/>
    <w:rsid w:val="00C26948"/>
    <w:rsid w:val="00C269D6"/>
    <w:rsid w:val="00C269D8"/>
    <w:rsid w:val="00C26B02"/>
    <w:rsid w:val="00C26BE0"/>
    <w:rsid w:val="00C26C56"/>
    <w:rsid w:val="00C26E40"/>
    <w:rsid w:val="00C273F6"/>
    <w:rsid w:val="00C274D8"/>
    <w:rsid w:val="00C276F2"/>
    <w:rsid w:val="00C27772"/>
    <w:rsid w:val="00C27B0A"/>
    <w:rsid w:val="00C27B72"/>
    <w:rsid w:val="00C27C5D"/>
    <w:rsid w:val="00C27CA6"/>
    <w:rsid w:val="00C27D3B"/>
    <w:rsid w:val="00C27D7B"/>
    <w:rsid w:val="00C27DD1"/>
    <w:rsid w:val="00C27E55"/>
    <w:rsid w:val="00C27F47"/>
    <w:rsid w:val="00C3000C"/>
    <w:rsid w:val="00C301AE"/>
    <w:rsid w:val="00C30495"/>
    <w:rsid w:val="00C306E9"/>
    <w:rsid w:val="00C3086A"/>
    <w:rsid w:val="00C30A65"/>
    <w:rsid w:val="00C30A8C"/>
    <w:rsid w:val="00C30BE2"/>
    <w:rsid w:val="00C30C9C"/>
    <w:rsid w:val="00C30CB1"/>
    <w:rsid w:val="00C30D8A"/>
    <w:rsid w:val="00C30E3C"/>
    <w:rsid w:val="00C30F1B"/>
    <w:rsid w:val="00C30FA4"/>
    <w:rsid w:val="00C3105E"/>
    <w:rsid w:val="00C31086"/>
    <w:rsid w:val="00C31176"/>
    <w:rsid w:val="00C31457"/>
    <w:rsid w:val="00C3169C"/>
    <w:rsid w:val="00C316EB"/>
    <w:rsid w:val="00C3176E"/>
    <w:rsid w:val="00C31E82"/>
    <w:rsid w:val="00C32164"/>
    <w:rsid w:val="00C3225D"/>
    <w:rsid w:val="00C32262"/>
    <w:rsid w:val="00C322C0"/>
    <w:rsid w:val="00C3237A"/>
    <w:rsid w:val="00C323FA"/>
    <w:rsid w:val="00C323FE"/>
    <w:rsid w:val="00C3240D"/>
    <w:rsid w:val="00C32448"/>
    <w:rsid w:val="00C324F1"/>
    <w:rsid w:val="00C324F3"/>
    <w:rsid w:val="00C3259F"/>
    <w:rsid w:val="00C32759"/>
    <w:rsid w:val="00C32913"/>
    <w:rsid w:val="00C32CD4"/>
    <w:rsid w:val="00C32E11"/>
    <w:rsid w:val="00C3303A"/>
    <w:rsid w:val="00C33309"/>
    <w:rsid w:val="00C33400"/>
    <w:rsid w:val="00C3342E"/>
    <w:rsid w:val="00C334CC"/>
    <w:rsid w:val="00C3359D"/>
    <w:rsid w:val="00C336BE"/>
    <w:rsid w:val="00C336E2"/>
    <w:rsid w:val="00C3392B"/>
    <w:rsid w:val="00C33BA6"/>
    <w:rsid w:val="00C33C05"/>
    <w:rsid w:val="00C33C22"/>
    <w:rsid w:val="00C33D4A"/>
    <w:rsid w:val="00C33D83"/>
    <w:rsid w:val="00C33EB2"/>
    <w:rsid w:val="00C33EEC"/>
    <w:rsid w:val="00C33F90"/>
    <w:rsid w:val="00C3407B"/>
    <w:rsid w:val="00C3416F"/>
    <w:rsid w:val="00C34343"/>
    <w:rsid w:val="00C34630"/>
    <w:rsid w:val="00C34709"/>
    <w:rsid w:val="00C3477D"/>
    <w:rsid w:val="00C34B41"/>
    <w:rsid w:val="00C34BB5"/>
    <w:rsid w:val="00C34C39"/>
    <w:rsid w:val="00C34C6B"/>
    <w:rsid w:val="00C34CDD"/>
    <w:rsid w:val="00C34DE1"/>
    <w:rsid w:val="00C34E8B"/>
    <w:rsid w:val="00C35089"/>
    <w:rsid w:val="00C350F5"/>
    <w:rsid w:val="00C353DC"/>
    <w:rsid w:val="00C354D5"/>
    <w:rsid w:val="00C35554"/>
    <w:rsid w:val="00C355D1"/>
    <w:rsid w:val="00C3564E"/>
    <w:rsid w:val="00C356E5"/>
    <w:rsid w:val="00C357E2"/>
    <w:rsid w:val="00C35829"/>
    <w:rsid w:val="00C35B35"/>
    <w:rsid w:val="00C35C0C"/>
    <w:rsid w:val="00C35C37"/>
    <w:rsid w:val="00C35C70"/>
    <w:rsid w:val="00C35CD4"/>
    <w:rsid w:val="00C35D95"/>
    <w:rsid w:val="00C365E2"/>
    <w:rsid w:val="00C3670B"/>
    <w:rsid w:val="00C36732"/>
    <w:rsid w:val="00C367C9"/>
    <w:rsid w:val="00C3685B"/>
    <w:rsid w:val="00C3693F"/>
    <w:rsid w:val="00C36C49"/>
    <w:rsid w:val="00C36CBE"/>
    <w:rsid w:val="00C36DC8"/>
    <w:rsid w:val="00C36FD0"/>
    <w:rsid w:val="00C3700A"/>
    <w:rsid w:val="00C37078"/>
    <w:rsid w:val="00C37253"/>
    <w:rsid w:val="00C372D3"/>
    <w:rsid w:val="00C3743C"/>
    <w:rsid w:val="00C376CC"/>
    <w:rsid w:val="00C377A9"/>
    <w:rsid w:val="00C378AD"/>
    <w:rsid w:val="00C379D2"/>
    <w:rsid w:val="00C37E65"/>
    <w:rsid w:val="00C37F25"/>
    <w:rsid w:val="00C37F5B"/>
    <w:rsid w:val="00C400EF"/>
    <w:rsid w:val="00C40211"/>
    <w:rsid w:val="00C402EF"/>
    <w:rsid w:val="00C402FF"/>
    <w:rsid w:val="00C404B3"/>
    <w:rsid w:val="00C4055F"/>
    <w:rsid w:val="00C4065D"/>
    <w:rsid w:val="00C40692"/>
    <w:rsid w:val="00C406C4"/>
    <w:rsid w:val="00C40831"/>
    <w:rsid w:val="00C40B19"/>
    <w:rsid w:val="00C40B33"/>
    <w:rsid w:val="00C40C77"/>
    <w:rsid w:val="00C40DF6"/>
    <w:rsid w:val="00C40EE3"/>
    <w:rsid w:val="00C41067"/>
    <w:rsid w:val="00C410DE"/>
    <w:rsid w:val="00C410FF"/>
    <w:rsid w:val="00C412CD"/>
    <w:rsid w:val="00C412F8"/>
    <w:rsid w:val="00C4141A"/>
    <w:rsid w:val="00C41462"/>
    <w:rsid w:val="00C41550"/>
    <w:rsid w:val="00C4161D"/>
    <w:rsid w:val="00C4168C"/>
    <w:rsid w:val="00C4176B"/>
    <w:rsid w:val="00C417F4"/>
    <w:rsid w:val="00C417F8"/>
    <w:rsid w:val="00C41D4F"/>
    <w:rsid w:val="00C41E41"/>
    <w:rsid w:val="00C41ED7"/>
    <w:rsid w:val="00C4240C"/>
    <w:rsid w:val="00C42455"/>
    <w:rsid w:val="00C42894"/>
    <w:rsid w:val="00C429A6"/>
    <w:rsid w:val="00C42A44"/>
    <w:rsid w:val="00C42B22"/>
    <w:rsid w:val="00C42C28"/>
    <w:rsid w:val="00C42C93"/>
    <w:rsid w:val="00C42EF5"/>
    <w:rsid w:val="00C42FEB"/>
    <w:rsid w:val="00C43059"/>
    <w:rsid w:val="00C430C4"/>
    <w:rsid w:val="00C43107"/>
    <w:rsid w:val="00C43497"/>
    <w:rsid w:val="00C4351C"/>
    <w:rsid w:val="00C43540"/>
    <w:rsid w:val="00C4355D"/>
    <w:rsid w:val="00C4363E"/>
    <w:rsid w:val="00C4377C"/>
    <w:rsid w:val="00C438DA"/>
    <w:rsid w:val="00C439CB"/>
    <w:rsid w:val="00C439CD"/>
    <w:rsid w:val="00C43A91"/>
    <w:rsid w:val="00C43AA3"/>
    <w:rsid w:val="00C43AB3"/>
    <w:rsid w:val="00C43AD2"/>
    <w:rsid w:val="00C43CF0"/>
    <w:rsid w:val="00C43DAB"/>
    <w:rsid w:val="00C43F41"/>
    <w:rsid w:val="00C440E6"/>
    <w:rsid w:val="00C441CF"/>
    <w:rsid w:val="00C446FD"/>
    <w:rsid w:val="00C4488F"/>
    <w:rsid w:val="00C44925"/>
    <w:rsid w:val="00C44BA5"/>
    <w:rsid w:val="00C44BB6"/>
    <w:rsid w:val="00C44DDD"/>
    <w:rsid w:val="00C44EE6"/>
    <w:rsid w:val="00C45123"/>
    <w:rsid w:val="00C4520C"/>
    <w:rsid w:val="00C4522E"/>
    <w:rsid w:val="00C4535B"/>
    <w:rsid w:val="00C454A4"/>
    <w:rsid w:val="00C4557B"/>
    <w:rsid w:val="00C45884"/>
    <w:rsid w:val="00C45922"/>
    <w:rsid w:val="00C459DF"/>
    <w:rsid w:val="00C45BC6"/>
    <w:rsid w:val="00C45BC7"/>
    <w:rsid w:val="00C45D82"/>
    <w:rsid w:val="00C45E39"/>
    <w:rsid w:val="00C45ECF"/>
    <w:rsid w:val="00C460EE"/>
    <w:rsid w:val="00C4616E"/>
    <w:rsid w:val="00C461BD"/>
    <w:rsid w:val="00C464ED"/>
    <w:rsid w:val="00C4657E"/>
    <w:rsid w:val="00C465D6"/>
    <w:rsid w:val="00C4672E"/>
    <w:rsid w:val="00C46757"/>
    <w:rsid w:val="00C46AFC"/>
    <w:rsid w:val="00C46C05"/>
    <w:rsid w:val="00C46C2D"/>
    <w:rsid w:val="00C46DFA"/>
    <w:rsid w:val="00C46E59"/>
    <w:rsid w:val="00C471C3"/>
    <w:rsid w:val="00C47240"/>
    <w:rsid w:val="00C472DA"/>
    <w:rsid w:val="00C4760C"/>
    <w:rsid w:val="00C47A6B"/>
    <w:rsid w:val="00C47AB2"/>
    <w:rsid w:val="00C47E1D"/>
    <w:rsid w:val="00C5003E"/>
    <w:rsid w:val="00C5026E"/>
    <w:rsid w:val="00C50360"/>
    <w:rsid w:val="00C5041C"/>
    <w:rsid w:val="00C50466"/>
    <w:rsid w:val="00C5057F"/>
    <w:rsid w:val="00C50747"/>
    <w:rsid w:val="00C50AA8"/>
    <w:rsid w:val="00C50B60"/>
    <w:rsid w:val="00C50B6D"/>
    <w:rsid w:val="00C50BFA"/>
    <w:rsid w:val="00C50D78"/>
    <w:rsid w:val="00C50F49"/>
    <w:rsid w:val="00C5112E"/>
    <w:rsid w:val="00C51359"/>
    <w:rsid w:val="00C51703"/>
    <w:rsid w:val="00C518F7"/>
    <w:rsid w:val="00C51BB7"/>
    <w:rsid w:val="00C51BD9"/>
    <w:rsid w:val="00C51D64"/>
    <w:rsid w:val="00C51DC9"/>
    <w:rsid w:val="00C51FA0"/>
    <w:rsid w:val="00C52073"/>
    <w:rsid w:val="00C52253"/>
    <w:rsid w:val="00C522B0"/>
    <w:rsid w:val="00C5234E"/>
    <w:rsid w:val="00C523AB"/>
    <w:rsid w:val="00C5246F"/>
    <w:rsid w:val="00C52478"/>
    <w:rsid w:val="00C52574"/>
    <w:rsid w:val="00C525CA"/>
    <w:rsid w:val="00C52843"/>
    <w:rsid w:val="00C528E6"/>
    <w:rsid w:val="00C528EF"/>
    <w:rsid w:val="00C52961"/>
    <w:rsid w:val="00C52A1B"/>
    <w:rsid w:val="00C52BD5"/>
    <w:rsid w:val="00C52D5D"/>
    <w:rsid w:val="00C52DE5"/>
    <w:rsid w:val="00C52E2F"/>
    <w:rsid w:val="00C52FF7"/>
    <w:rsid w:val="00C53007"/>
    <w:rsid w:val="00C530D2"/>
    <w:rsid w:val="00C530F5"/>
    <w:rsid w:val="00C5346E"/>
    <w:rsid w:val="00C53602"/>
    <w:rsid w:val="00C538D1"/>
    <w:rsid w:val="00C5397F"/>
    <w:rsid w:val="00C53C9A"/>
    <w:rsid w:val="00C53EAE"/>
    <w:rsid w:val="00C54137"/>
    <w:rsid w:val="00C54361"/>
    <w:rsid w:val="00C5458E"/>
    <w:rsid w:val="00C547D5"/>
    <w:rsid w:val="00C54B71"/>
    <w:rsid w:val="00C54C3E"/>
    <w:rsid w:val="00C54EB9"/>
    <w:rsid w:val="00C54FC4"/>
    <w:rsid w:val="00C552D6"/>
    <w:rsid w:val="00C553D1"/>
    <w:rsid w:val="00C55458"/>
    <w:rsid w:val="00C55463"/>
    <w:rsid w:val="00C5551B"/>
    <w:rsid w:val="00C55537"/>
    <w:rsid w:val="00C55834"/>
    <w:rsid w:val="00C558A9"/>
    <w:rsid w:val="00C55952"/>
    <w:rsid w:val="00C55996"/>
    <w:rsid w:val="00C559D2"/>
    <w:rsid w:val="00C55B8E"/>
    <w:rsid w:val="00C55D88"/>
    <w:rsid w:val="00C55DEC"/>
    <w:rsid w:val="00C55E04"/>
    <w:rsid w:val="00C55F2E"/>
    <w:rsid w:val="00C560AA"/>
    <w:rsid w:val="00C562E9"/>
    <w:rsid w:val="00C5630B"/>
    <w:rsid w:val="00C56436"/>
    <w:rsid w:val="00C5675B"/>
    <w:rsid w:val="00C567C0"/>
    <w:rsid w:val="00C56954"/>
    <w:rsid w:val="00C56E56"/>
    <w:rsid w:val="00C56F61"/>
    <w:rsid w:val="00C57190"/>
    <w:rsid w:val="00C5750D"/>
    <w:rsid w:val="00C575F0"/>
    <w:rsid w:val="00C57628"/>
    <w:rsid w:val="00C5766D"/>
    <w:rsid w:val="00C577A2"/>
    <w:rsid w:val="00C578C3"/>
    <w:rsid w:val="00C57994"/>
    <w:rsid w:val="00C57B08"/>
    <w:rsid w:val="00C57B9A"/>
    <w:rsid w:val="00C57D9A"/>
    <w:rsid w:val="00C57DC4"/>
    <w:rsid w:val="00C57F0D"/>
    <w:rsid w:val="00C57F1A"/>
    <w:rsid w:val="00C57FE2"/>
    <w:rsid w:val="00C6017D"/>
    <w:rsid w:val="00C601EA"/>
    <w:rsid w:val="00C60239"/>
    <w:rsid w:val="00C605C9"/>
    <w:rsid w:val="00C60643"/>
    <w:rsid w:val="00C606B7"/>
    <w:rsid w:val="00C6077A"/>
    <w:rsid w:val="00C60A47"/>
    <w:rsid w:val="00C60D83"/>
    <w:rsid w:val="00C60F7A"/>
    <w:rsid w:val="00C6101E"/>
    <w:rsid w:val="00C611DD"/>
    <w:rsid w:val="00C61244"/>
    <w:rsid w:val="00C61491"/>
    <w:rsid w:val="00C614E0"/>
    <w:rsid w:val="00C6152B"/>
    <w:rsid w:val="00C617C7"/>
    <w:rsid w:val="00C61871"/>
    <w:rsid w:val="00C61AD4"/>
    <w:rsid w:val="00C61F99"/>
    <w:rsid w:val="00C62140"/>
    <w:rsid w:val="00C62324"/>
    <w:rsid w:val="00C623F4"/>
    <w:rsid w:val="00C62403"/>
    <w:rsid w:val="00C625A7"/>
    <w:rsid w:val="00C626A5"/>
    <w:rsid w:val="00C626E0"/>
    <w:rsid w:val="00C62B08"/>
    <w:rsid w:val="00C62B98"/>
    <w:rsid w:val="00C62BDB"/>
    <w:rsid w:val="00C62D0C"/>
    <w:rsid w:val="00C62D0D"/>
    <w:rsid w:val="00C62E65"/>
    <w:rsid w:val="00C63051"/>
    <w:rsid w:val="00C63428"/>
    <w:rsid w:val="00C634CB"/>
    <w:rsid w:val="00C63551"/>
    <w:rsid w:val="00C63620"/>
    <w:rsid w:val="00C63660"/>
    <w:rsid w:val="00C639F2"/>
    <w:rsid w:val="00C63BC9"/>
    <w:rsid w:val="00C63BFE"/>
    <w:rsid w:val="00C63CAA"/>
    <w:rsid w:val="00C63F0F"/>
    <w:rsid w:val="00C640CF"/>
    <w:rsid w:val="00C641FD"/>
    <w:rsid w:val="00C64219"/>
    <w:rsid w:val="00C64744"/>
    <w:rsid w:val="00C64811"/>
    <w:rsid w:val="00C6481D"/>
    <w:rsid w:val="00C64B82"/>
    <w:rsid w:val="00C64E3D"/>
    <w:rsid w:val="00C64EA8"/>
    <w:rsid w:val="00C64ED4"/>
    <w:rsid w:val="00C650A7"/>
    <w:rsid w:val="00C65176"/>
    <w:rsid w:val="00C6533B"/>
    <w:rsid w:val="00C6580F"/>
    <w:rsid w:val="00C6595C"/>
    <w:rsid w:val="00C65AF5"/>
    <w:rsid w:val="00C65C04"/>
    <w:rsid w:val="00C65C45"/>
    <w:rsid w:val="00C65E49"/>
    <w:rsid w:val="00C661C3"/>
    <w:rsid w:val="00C664D8"/>
    <w:rsid w:val="00C6665B"/>
    <w:rsid w:val="00C66757"/>
    <w:rsid w:val="00C66763"/>
    <w:rsid w:val="00C667C8"/>
    <w:rsid w:val="00C66C11"/>
    <w:rsid w:val="00C66CA7"/>
    <w:rsid w:val="00C66CEE"/>
    <w:rsid w:val="00C66CF7"/>
    <w:rsid w:val="00C66DC0"/>
    <w:rsid w:val="00C66ECE"/>
    <w:rsid w:val="00C671BF"/>
    <w:rsid w:val="00C67372"/>
    <w:rsid w:val="00C67414"/>
    <w:rsid w:val="00C6747E"/>
    <w:rsid w:val="00C67500"/>
    <w:rsid w:val="00C6766A"/>
    <w:rsid w:val="00C6772B"/>
    <w:rsid w:val="00C678A1"/>
    <w:rsid w:val="00C67EB0"/>
    <w:rsid w:val="00C67FA4"/>
    <w:rsid w:val="00C70356"/>
    <w:rsid w:val="00C7044D"/>
    <w:rsid w:val="00C705C2"/>
    <w:rsid w:val="00C705FF"/>
    <w:rsid w:val="00C7085E"/>
    <w:rsid w:val="00C7096A"/>
    <w:rsid w:val="00C70BC0"/>
    <w:rsid w:val="00C70C9E"/>
    <w:rsid w:val="00C70E55"/>
    <w:rsid w:val="00C70FAE"/>
    <w:rsid w:val="00C71142"/>
    <w:rsid w:val="00C71432"/>
    <w:rsid w:val="00C717D6"/>
    <w:rsid w:val="00C71AB1"/>
    <w:rsid w:val="00C71EB3"/>
    <w:rsid w:val="00C71FF8"/>
    <w:rsid w:val="00C720A7"/>
    <w:rsid w:val="00C7211F"/>
    <w:rsid w:val="00C721AD"/>
    <w:rsid w:val="00C72388"/>
    <w:rsid w:val="00C723E9"/>
    <w:rsid w:val="00C729C5"/>
    <w:rsid w:val="00C729D6"/>
    <w:rsid w:val="00C72C15"/>
    <w:rsid w:val="00C72C5C"/>
    <w:rsid w:val="00C72CCA"/>
    <w:rsid w:val="00C72CD1"/>
    <w:rsid w:val="00C72ECD"/>
    <w:rsid w:val="00C72F58"/>
    <w:rsid w:val="00C7303F"/>
    <w:rsid w:val="00C73114"/>
    <w:rsid w:val="00C733D3"/>
    <w:rsid w:val="00C735B4"/>
    <w:rsid w:val="00C73965"/>
    <w:rsid w:val="00C73BFF"/>
    <w:rsid w:val="00C73C96"/>
    <w:rsid w:val="00C73CD3"/>
    <w:rsid w:val="00C73E61"/>
    <w:rsid w:val="00C73ED7"/>
    <w:rsid w:val="00C73F66"/>
    <w:rsid w:val="00C74000"/>
    <w:rsid w:val="00C7422F"/>
    <w:rsid w:val="00C74350"/>
    <w:rsid w:val="00C743C4"/>
    <w:rsid w:val="00C744F0"/>
    <w:rsid w:val="00C7459B"/>
    <w:rsid w:val="00C745C0"/>
    <w:rsid w:val="00C746D6"/>
    <w:rsid w:val="00C7479F"/>
    <w:rsid w:val="00C7495B"/>
    <w:rsid w:val="00C74E35"/>
    <w:rsid w:val="00C74EE2"/>
    <w:rsid w:val="00C74FF3"/>
    <w:rsid w:val="00C750EB"/>
    <w:rsid w:val="00C75105"/>
    <w:rsid w:val="00C75289"/>
    <w:rsid w:val="00C75407"/>
    <w:rsid w:val="00C754E2"/>
    <w:rsid w:val="00C754E4"/>
    <w:rsid w:val="00C75531"/>
    <w:rsid w:val="00C75833"/>
    <w:rsid w:val="00C7583E"/>
    <w:rsid w:val="00C75C33"/>
    <w:rsid w:val="00C75EB6"/>
    <w:rsid w:val="00C75F3F"/>
    <w:rsid w:val="00C75F4A"/>
    <w:rsid w:val="00C76038"/>
    <w:rsid w:val="00C762D5"/>
    <w:rsid w:val="00C762DA"/>
    <w:rsid w:val="00C763C7"/>
    <w:rsid w:val="00C7642B"/>
    <w:rsid w:val="00C76512"/>
    <w:rsid w:val="00C7655F"/>
    <w:rsid w:val="00C7657B"/>
    <w:rsid w:val="00C76627"/>
    <w:rsid w:val="00C7680B"/>
    <w:rsid w:val="00C76EF0"/>
    <w:rsid w:val="00C77083"/>
    <w:rsid w:val="00C7714A"/>
    <w:rsid w:val="00C7715C"/>
    <w:rsid w:val="00C771BC"/>
    <w:rsid w:val="00C77279"/>
    <w:rsid w:val="00C77291"/>
    <w:rsid w:val="00C775DF"/>
    <w:rsid w:val="00C7770E"/>
    <w:rsid w:val="00C7782E"/>
    <w:rsid w:val="00C7783A"/>
    <w:rsid w:val="00C77921"/>
    <w:rsid w:val="00C77BD4"/>
    <w:rsid w:val="00C77F24"/>
    <w:rsid w:val="00C80047"/>
    <w:rsid w:val="00C8078A"/>
    <w:rsid w:val="00C8087A"/>
    <w:rsid w:val="00C809C0"/>
    <w:rsid w:val="00C809C9"/>
    <w:rsid w:val="00C80B35"/>
    <w:rsid w:val="00C80B7A"/>
    <w:rsid w:val="00C81062"/>
    <w:rsid w:val="00C81147"/>
    <w:rsid w:val="00C811C3"/>
    <w:rsid w:val="00C812F7"/>
    <w:rsid w:val="00C81561"/>
    <w:rsid w:val="00C8158D"/>
    <w:rsid w:val="00C816D5"/>
    <w:rsid w:val="00C81804"/>
    <w:rsid w:val="00C8182C"/>
    <w:rsid w:val="00C8196D"/>
    <w:rsid w:val="00C81A1E"/>
    <w:rsid w:val="00C81AE9"/>
    <w:rsid w:val="00C81B46"/>
    <w:rsid w:val="00C81B4E"/>
    <w:rsid w:val="00C81F8C"/>
    <w:rsid w:val="00C82058"/>
    <w:rsid w:val="00C82252"/>
    <w:rsid w:val="00C82617"/>
    <w:rsid w:val="00C8264A"/>
    <w:rsid w:val="00C8271B"/>
    <w:rsid w:val="00C82846"/>
    <w:rsid w:val="00C82A81"/>
    <w:rsid w:val="00C82CD7"/>
    <w:rsid w:val="00C82CFF"/>
    <w:rsid w:val="00C82D75"/>
    <w:rsid w:val="00C82DBA"/>
    <w:rsid w:val="00C82EA5"/>
    <w:rsid w:val="00C831CE"/>
    <w:rsid w:val="00C8345F"/>
    <w:rsid w:val="00C83689"/>
    <w:rsid w:val="00C8371A"/>
    <w:rsid w:val="00C8373B"/>
    <w:rsid w:val="00C83983"/>
    <w:rsid w:val="00C839CF"/>
    <w:rsid w:val="00C83EDA"/>
    <w:rsid w:val="00C8445C"/>
    <w:rsid w:val="00C845D0"/>
    <w:rsid w:val="00C845F5"/>
    <w:rsid w:val="00C84764"/>
    <w:rsid w:val="00C8499E"/>
    <w:rsid w:val="00C84B92"/>
    <w:rsid w:val="00C84BF3"/>
    <w:rsid w:val="00C84EF6"/>
    <w:rsid w:val="00C85203"/>
    <w:rsid w:val="00C85263"/>
    <w:rsid w:val="00C852C6"/>
    <w:rsid w:val="00C854B0"/>
    <w:rsid w:val="00C85727"/>
    <w:rsid w:val="00C857A9"/>
    <w:rsid w:val="00C85853"/>
    <w:rsid w:val="00C858D7"/>
    <w:rsid w:val="00C8592D"/>
    <w:rsid w:val="00C85A00"/>
    <w:rsid w:val="00C85A1E"/>
    <w:rsid w:val="00C85CDE"/>
    <w:rsid w:val="00C85E63"/>
    <w:rsid w:val="00C85FFA"/>
    <w:rsid w:val="00C8633D"/>
    <w:rsid w:val="00C86A06"/>
    <w:rsid w:val="00C86A1F"/>
    <w:rsid w:val="00C86AC3"/>
    <w:rsid w:val="00C86AC7"/>
    <w:rsid w:val="00C86B53"/>
    <w:rsid w:val="00C86D4C"/>
    <w:rsid w:val="00C86E8D"/>
    <w:rsid w:val="00C8706B"/>
    <w:rsid w:val="00C870EC"/>
    <w:rsid w:val="00C87130"/>
    <w:rsid w:val="00C871DD"/>
    <w:rsid w:val="00C87376"/>
    <w:rsid w:val="00C87391"/>
    <w:rsid w:val="00C87458"/>
    <w:rsid w:val="00C874F5"/>
    <w:rsid w:val="00C8769C"/>
    <w:rsid w:val="00C87707"/>
    <w:rsid w:val="00C877DB"/>
    <w:rsid w:val="00C87909"/>
    <w:rsid w:val="00C879AF"/>
    <w:rsid w:val="00C87A94"/>
    <w:rsid w:val="00C87DAF"/>
    <w:rsid w:val="00C90166"/>
    <w:rsid w:val="00C901FE"/>
    <w:rsid w:val="00C9025E"/>
    <w:rsid w:val="00C903EA"/>
    <w:rsid w:val="00C9048D"/>
    <w:rsid w:val="00C905BA"/>
    <w:rsid w:val="00C90616"/>
    <w:rsid w:val="00C906D1"/>
    <w:rsid w:val="00C90748"/>
    <w:rsid w:val="00C90A5F"/>
    <w:rsid w:val="00C90B56"/>
    <w:rsid w:val="00C90C47"/>
    <w:rsid w:val="00C90D5B"/>
    <w:rsid w:val="00C90EEA"/>
    <w:rsid w:val="00C90FBE"/>
    <w:rsid w:val="00C91205"/>
    <w:rsid w:val="00C91242"/>
    <w:rsid w:val="00C917E8"/>
    <w:rsid w:val="00C91929"/>
    <w:rsid w:val="00C91CAA"/>
    <w:rsid w:val="00C91CD6"/>
    <w:rsid w:val="00C91CDA"/>
    <w:rsid w:val="00C91D45"/>
    <w:rsid w:val="00C91F5E"/>
    <w:rsid w:val="00C921EA"/>
    <w:rsid w:val="00C92304"/>
    <w:rsid w:val="00C9240B"/>
    <w:rsid w:val="00C92499"/>
    <w:rsid w:val="00C925A0"/>
    <w:rsid w:val="00C9269E"/>
    <w:rsid w:val="00C92774"/>
    <w:rsid w:val="00C928BE"/>
    <w:rsid w:val="00C928C1"/>
    <w:rsid w:val="00C929FF"/>
    <w:rsid w:val="00C92B20"/>
    <w:rsid w:val="00C92C9D"/>
    <w:rsid w:val="00C936A5"/>
    <w:rsid w:val="00C938B3"/>
    <w:rsid w:val="00C93E82"/>
    <w:rsid w:val="00C94164"/>
    <w:rsid w:val="00C94437"/>
    <w:rsid w:val="00C94441"/>
    <w:rsid w:val="00C9455A"/>
    <w:rsid w:val="00C94607"/>
    <w:rsid w:val="00C94702"/>
    <w:rsid w:val="00C9488D"/>
    <w:rsid w:val="00C948DF"/>
    <w:rsid w:val="00C94A25"/>
    <w:rsid w:val="00C94D8E"/>
    <w:rsid w:val="00C94EA9"/>
    <w:rsid w:val="00C954C7"/>
    <w:rsid w:val="00C954E7"/>
    <w:rsid w:val="00C957DD"/>
    <w:rsid w:val="00C95A52"/>
    <w:rsid w:val="00C95BB5"/>
    <w:rsid w:val="00C95CB6"/>
    <w:rsid w:val="00C95EC9"/>
    <w:rsid w:val="00C96074"/>
    <w:rsid w:val="00C96386"/>
    <w:rsid w:val="00C9652B"/>
    <w:rsid w:val="00C96AE9"/>
    <w:rsid w:val="00C96C82"/>
    <w:rsid w:val="00C96CBC"/>
    <w:rsid w:val="00C96D69"/>
    <w:rsid w:val="00C96DF9"/>
    <w:rsid w:val="00C97429"/>
    <w:rsid w:val="00C9794E"/>
    <w:rsid w:val="00C979DC"/>
    <w:rsid w:val="00C979DF"/>
    <w:rsid w:val="00C97ACB"/>
    <w:rsid w:val="00C97BB6"/>
    <w:rsid w:val="00C97C73"/>
    <w:rsid w:val="00C97CF1"/>
    <w:rsid w:val="00CA00F2"/>
    <w:rsid w:val="00CA0239"/>
    <w:rsid w:val="00CA02B8"/>
    <w:rsid w:val="00CA065E"/>
    <w:rsid w:val="00CA06C9"/>
    <w:rsid w:val="00CA0718"/>
    <w:rsid w:val="00CA075F"/>
    <w:rsid w:val="00CA0853"/>
    <w:rsid w:val="00CA08E0"/>
    <w:rsid w:val="00CA09DB"/>
    <w:rsid w:val="00CA0CA9"/>
    <w:rsid w:val="00CA0F4F"/>
    <w:rsid w:val="00CA12EF"/>
    <w:rsid w:val="00CA13F6"/>
    <w:rsid w:val="00CA142D"/>
    <w:rsid w:val="00CA1457"/>
    <w:rsid w:val="00CA165A"/>
    <w:rsid w:val="00CA16BD"/>
    <w:rsid w:val="00CA16FF"/>
    <w:rsid w:val="00CA19AE"/>
    <w:rsid w:val="00CA1A5E"/>
    <w:rsid w:val="00CA1A90"/>
    <w:rsid w:val="00CA1AEE"/>
    <w:rsid w:val="00CA1C48"/>
    <w:rsid w:val="00CA1FB9"/>
    <w:rsid w:val="00CA20E3"/>
    <w:rsid w:val="00CA2340"/>
    <w:rsid w:val="00CA25EB"/>
    <w:rsid w:val="00CA2607"/>
    <w:rsid w:val="00CA289A"/>
    <w:rsid w:val="00CA2C54"/>
    <w:rsid w:val="00CA2DB6"/>
    <w:rsid w:val="00CA2E2A"/>
    <w:rsid w:val="00CA37D6"/>
    <w:rsid w:val="00CA397B"/>
    <w:rsid w:val="00CA3C21"/>
    <w:rsid w:val="00CA3D0A"/>
    <w:rsid w:val="00CA404F"/>
    <w:rsid w:val="00CA43AE"/>
    <w:rsid w:val="00CA44A4"/>
    <w:rsid w:val="00CA44F6"/>
    <w:rsid w:val="00CA458B"/>
    <w:rsid w:val="00CA461C"/>
    <w:rsid w:val="00CA46D8"/>
    <w:rsid w:val="00CA4917"/>
    <w:rsid w:val="00CA4921"/>
    <w:rsid w:val="00CA4A62"/>
    <w:rsid w:val="00CA4B4E"/>
    <w:rsid w:val="00CA4B7C"/>
    <w:rsid w:val="00CA4CDD"/>
    <w:rsid w:val="00CA5049"/>
    <w:rsid w:val="00CA50C2"/>
    <w:rsid w:val="00CA51B9"/>
    <w:rsid w:val="00CA5237"/>
    <w:rsid w:val="00CA5402"/>
    <w:rsid w:val="00CA550A"/>
    <w:rsid w:val="00CA56BA"/>
    <w:rsid w:val="00CA5713"/>
    <w:rsid w:val="00CA57B3"/>
    <w:rsid w:val="00CA581F"/>
    <w:rsid w:val="00CA58BE"/>
    <w:rsid w:val="00CA5A64"/>
    <w:rsid w:val="00CA5C75"/>
    <w:rsid w:val="00CA5E9E"/>
    <w:rsid w:val="00CA5EA6"/>
    <w:rsid w:val="00CA6048"/>
    <w:rsid w:val="00CA604B"/>
    <w:rsid w:val="00CA60FA"/>
    <w:rsid w:val="00CA6275"/>
    <w:rsid w:val="00CA6296"/>
    <w:rsid w:val="00CA6334"/>
    <w:rsid w:val="00CA64B6"/>
    <w:rsid w:val="00CA656C"/>
    <w:rsid w:val="00CA67A5"/>
    <w:rsid w:val="00CA67BA"/>
    <w:rsid w:val="00CA687F"/>
    <w:rsid w:val="00CA6A98"/>
    <w:rsid w:val="00CA6AC1"/>
    <w:rsid w:val="00CA6AEC"/>
    <w:rsid w:val="00CA6C0A"/>
    <w:rsid w:val="00CA6CF4"/>
    <w:rsid w:val="00CA6E0B"/>
    <w:rsid w:val="00CA6FA7"/>
    <w:rsid w:val="00CA719B"/>
    <w:rsid w:val="00CA71F0"/>
    <w:rsid w:val="00CA752E"/>
    <w:rsid w:val="00CA762D"/>
    <w:rsid w:val="00CA779C"/>
    <w:rsid w:val="00CA78C4"/>
    <w:rsid w:val="00CA7B4D"/>
    <w:rsid w:val="00CA7B9A"/>
    <w:rsid w:val="00CA7C26"/>
    <w:rsid w:val="00CA7C89"/>
    <w:rsid w:val="00CB021B"/>
    <w:rsid w:val="00CB0501"/>
    <w:rsid w:val="00CB0C3E"/>
    <w:rsid w:val="00CB0E33"/>
    <w:rsid w:val="00CB108C"/>
    <w:rsid w:val="00CB11ED"/>
    <w:rsid w:val="00CB13F3"/>
    <w:rsid w:val="00CB1408"/>
    <w:rsid w:val="00CB17A7"/>
    <w:rsid w:val="00CB1832"/>
    <w:rsid w:val="00CB1A43"/>
    <w:rsid w:val="00CB1D0B"/>
    <w:rsid w:val="00CB1D3C"/>
    <w:rsid w:val="00CB1E6A"/>
    <w:rsid w:val="00CB1E7E"/>
    <w:rsid w:val="00CB2031"/>
    <w:rsid w:val="00CB205C"/>
    <w:rsid w:val="00CB21D2"/>
    <w:rsid w:val="00CB22F3"/>
    <w:rsid w:val="00CB232C"/>
    <w:rsid w:val="00CB23CA"/>
    <w:rsid w:val="00CB2537"/>
    <w:rsid w:val="00CB274A"/>
    <w:rsid w:val="00CB27AE"/>
    <w:rsid w:val="00CB2B44"/>
    <w:rsid w:val="00CB2B9B"/>
    <w:rsid w:val="00CB2C4D"/>
    <w:rsid w:val="00CB2D55"/>
    <w:rsid w:val="00CB2DEA"/>
    <w:rsid w:val="00CB2E1C"/>
    <w:rsid w:val="00CB2E82"/>
    <w:rsid w:val="00CB2F3C"/>
    <w:rsid w:val="00CB2F72"/>
    <w:rsid w:val="00CB2F8C"/>
    <w:rsid w:val="00CB2FAE"/>
    <w:rsid w:val="00CB30F4"/>
    <w:rsid w:val="00CB337B"/>
    <w:rsid w:val="00CB34B6"/>
    <w:rsid w:val="00CB3870"/>
    <w:rsid w:val="00CB3AC5"/>
    <w:rsid w:val="00CB3AFC"/>
    <w:rsid w:val="00CB3B94"/>
    <w:rsid w:val="00CB3CE3"/>
    <w:rsid w:val="00CB3E2B"/>
    <w:rsid w:val="00CB3E83"/>
    <w:rsid w:val="00CB3ED2"/>
    <w:rsid w:val="00CB40C2"/>
    <w:rsid w:val="00CB43B7"/>
    <w:rsid w:val="00CB4404"/>
    <w:rsid w:val="00CB4411"/>
    <w:rsid w:val="00CB4444"/>
    <w:rsid w:val="00CB44A5"/>
    <w:rsid w:val="00CB4607"/>
    <w:rsid w:val="00CB4617"/>
    <w:rsid w:val="00CB463E"/>
    <w:rsid w:val="00CB4748"/>
    <w:rsid w:val="00CB4948"/>
    <w:rsid w:val="00CB4A0E"/>
    <w:rsid w:val="00CB4A3A"/>
    <w:rsid w:val="00CB4A45"/>
    <w:rsid w:val="00CB4C3D"/>
    <w:rsid w:val="00CB4F29"/>
    <w:rsid w:val="00CB5042"/>
    <w:rsid w:val="00CB50A5"/>
    <w:rsid w:val="00CB51B9"/>
    <w:rsid w:val="00CB523C"/>
    <w:rsid w:val="00CB5345"/>
    <w:rsid w:val="00CB53BD"/>
    <w:rsid w:val="00CB53D5"/>
    <w:rsid w:val="00CB569F"/>
    <w:rsid w:val="00CB5755"/>
    <w:rsid w:val="00CB5843"/>
    <w:rsid w:val="00CB59C5"/>
    <w:rsid w:val="00CB5D34"/>
    <w:rsid w:val="00CB5DB7"/>
    <w:rsid w:val="00CB5F04"/>
    <w:rsid w:val="00CB6040"/>
    <w:rsid w:val="00CB6103"/>
    <w:rsid w:val="00CB6301"/>
    <w:rsid w:val="00CB6352"/>
    <w:rsid w:val="00CB66A1"/>
    <w:rsid w:val="00CB6861"/>
    <w:rsid w:val="00CB690B"/>
    <w:rsid w:val="00CB6921"/>
    <w:rsid w:val="00CB6A04"/>
    <w:rsid w:val="00CB6BD2"/>
    <w:rsid w:val="00CB6DDD"/>
    <w:rsid w:val="00CB6F99"/>
    <w:rsid w:val="00CB70CE"/>
    <w:rsid w:val="00CB7256"/>
    <w:rsid w:val="00CB736B"/>
    <w:rsid w:val="00CB74D6"/>
    <w:rsid w:val="00CB7625"/>
    <w:rsid w:val="00CB77B5"/>
    <w:rsid w:val="00CB7A3D"/>
    <w:rsid w:val="00CB7B45"/>
    <w:rsid w:val="00CB7C92"/>
    <w:rsid w:val="00CB7F67"/>
    <w:rsid w:val="00CB7F89"/>
    <w:rsid w:val="00CC0029"/>
    <w:rsid w:val="00CC0073"/>
    <w:rsid w:val="00CC00A8"/>
    <w:rsid w:val="00CC035D"/>
    <w:rsid w:val="00CC0550"/>
    <w:rsid w:val="00CC0AF0"/>
    <w:rsid w:val="00CC0B7D"/>
    <w:rsid w:val="00CC0EB0"/>
    <w:rsid w:val="00CC107F"/>
    <w:rsid w:val="00CC1191"/>
    <w:rsid w:val="00CC1537"/>
    <w:rsid w:val="00CC162B"/>
    <w:rsid w:val="00CC17A6"/>
    <w:rsid w:val="00CC17B2"/>
    <w:rsid w:val="00CC18C2"/>
    <w:rsid w:val="00CC1BE8"/>
    <w:rsid w:val="00CC1CB6"/>
    <w:rsid w:val="00CC1DEE"/>
    <w:rsid w:val="00CC1E06"/>
    <w:rsid w:val="00CC24AE"/>
    <w:rsid w:val="00CC25D4"/>
    <w:rsid w:val="00CC264E"/>
    <w:rsid w:val="00CC26E3"/>
    <w:rsid w:val="00CC2777"/>
    <w:rsid w:val="00CC2801"/>
    <w:rsid w:val="00CC2947"/>
    <w:rsid w:val="00CC2978"/>
    <w:rsid w:val="00CC2B84"/>
    <w:rsid w:val="00CC2DAA"/>
    <w:rsid w:val="00CC2EE9"/>
    <w:rsid w:val="00CC304C"/>
    <w:rsid w:val="00CC30D3"/>
    <w:rsid w:val="00CC316E"/>
    <w:rsid w:val="00CC31F9"/>
    <w:rsid w:val="00CC3328"/>
    <w:rsid w:val="00CC33AB"/>
    <w:rsid w:val="00CC3411"/>
    <w:rsid w:val="00CC354D"/>
    <w:rsid w:val="00CC384D"/>
    <w:rsid w:val="00CC3896"/>
    <w:rsid w:val="00CC39F1"/>
    <w:rsid w:val="00CC3E4F"/>
    <w:rsid w:val="00CC3FF3"/>
    <w:rsid w:val="00CC4029"/>
    <w:rsid w:val="00CC40FF"/>
    <w:rsid w:val="00CC4194"/>
    <w:rsid w:val="00CC41BE"/>
    <w:rsid w:val="00CC44C1"/>
    <w:rsid w:val="00CC44CC"/>
    <w:rsid w:val="00CC4713"/>
    <w:rsid w:val="00CC49F5"/>
    <w:rsid w:val="00CC4AC7"/>
    <w:rsid w:val="00CC4B7E"/>
    <w:rsid w:val="00CC4BA2"/>
    <w:rsid w:val="00CC4BD3"/>
    <w:rsid w:val="00CC4C25"/>
    <w:rsid w:val="00CC4D4B"/>
    <w:rsid w:val="00CC4D8E"/>
    <w:rsid w:val="00CC4ED4"/>
    <w:rsid w:val="00CC504E"/>
    <w:rsid w:val="00CC5173"/>
    <w:rsid w:val="00CC5361"/>
    <w:rsid w:val="00CC5420"/>
    <w:rsid w:val="00CC54A2"/>
    <w:rsid w:val="00CC551F"/>
    <w:rsid w:val="00CC569D"/>
    <w:rsid w:val="00CC56C8"/>
    <w:rsid w:val="00CC56CD"/>
    <w:rsid w:val="00CC5838"/>
    <w:rsid w:val="00CC58FA"/>
    <w:rsid w:val="00CC5D37"/>
    <w:rsid w:val="00CC5D84"/>
    <w:rsid w:val="00CC5D98"/>
    <w:rsid w:val="00CC5DEC"/>
    <w:rsid w:val="00CC60B2"/>
    <w:rsid w:val="00CC6167"/>
    <w:rsid w:val="00CC6227"/>
    <w:rsid w:val="00CC63BA"/>
    <w:rsid w:val="00CC647D"/>
    <w:rsid w:val="00CC68C3"/>
    <w:rsid w:val="00CC69C7"/>
    <w:rsid w:val="00CC6BCB"/>
    <w:rsid w:val="00CC6BDF"/>
    <w:rsid w:val="00CC6C58"/>
    <w:rsid w:val="00CC6C5E"/>
    <w:rsid w:val="00CC6D18"/>
    <w:rsid w:val="00CC6D92"/>
    <w:rsid w:val="00CC724D"/>
    <w:rsid w:val="00CC7524"/>
    <w:rsid w:val="00CC753E"/>
    <w:rsid w:val="00CC75E8"/>
    <w:rsid w:val="00CC7634"/>
    <w:rsid w:val="00CC769B"/>
    <w:rsid w:val="00CC7800"/>
    <w:rsid w:val="00CC79BD"/>
    <w:rsid w:val="00CC7ACB"/>
    <w:rsid w:val="00CC7CA1"/>
    <w:rsid w:val="00CC7D2E"/>
    <w:rsid w:val="00CC7D3A"/>
    <w:rsid w:val="00CC7D60"/>
    <w:rsid w:val="00CC7E96"/>
    <w:rsid w:val="00CD028F"/>
    <w:rsid w:val="00CD0675"/>
    <w:rsid w:val="00CD0727"/>
    <w:rsid w:val="00CD079A"/>
    <w:rsid w:val="00CD08D7"/>
    <w:rsid w:val="00CD08E1"/>
    <w:rsid w:val="00CD0955"/>
    <w:rsid w:val="00CD0A66"/>
    <w:rsid w:val="00CD0B33"/>
    <w:rsid w:val="00CD0C97"/>
    <w:rsid w:val="00CD0D0F"/>
    <w:rsid w:val="00CD0DAF"/>
    <w:rsid w:val="00CD0F76"/>
    <w:rsid w:val="00CD100F"/>
    <w:rsid w:val="00CD106D"/>
    <w:rsid w:val="00CD11ED"/>
    <w:rsid w:val="00CD12B1"/>
    <w:rsid w:val="00CD13A9"/>
    <w:rsid w:val="00CD15F3"/>
    <w:rsid w:val="00CD1668"/>
    <w:rsid w:val="00CD195F"/>
    <w:rsid w:val="00CD1A7E"/>
    <w:rsid w:val="00CD1C39"/>
    <w:rsid w:val="00CD1CDC"/>
    <w:rsid w:val="00CD1DEF"/>
    <w:rsid w:val="00CD1EB3"/>
    <w:rsid w:val="00CD1ED0"/>
    <w:rsid w:val="00CD1F53"/>
    <w:rsid w:val="00CD219E"/>
    <w:rsid w:val="00CD225C"/>
    <w:rsid w:val="00CD23F9"/>
    <w:rsid w:val="00CD2447"/>
    <w:rsid w:val="00CD2571"/>
    <w:rsid w:val="00CD2662"/>
    <w:rsid w:val="00CD28FB"/>
    <w:rsid w:val="00CD2A9E"/>
    <w:rsid w:val="00CD2BB6"/>
    <w:rsid w:val="00CD2D6F"/>
    <w:rsid w:val="00CD303D"/>
    <w:rsid w:val="00CD31CE"/>
    <w:rsid w:val="00CD32CF"/>
    <w:rsid w:val="00CD334E"/>
    <w:rsid w:val="00CD3351"/>
    <w:rsid w:val="00CD3415"/>
    <w:rsid w:val="00CD3434"/>
    <w:rsid w:val="00CD3483"/>
    <w:rsid w:val="00CD34D6"/>
    <w:rsid w:val="00CD350D"/>
    <w:rsid w:val="00CD3530"/>
    <w:rsid w:val="00CD354F"/>
    <w:rsid w:val="00CD358E"/>
    <w:rsid w:val="00CD35AF"/>
    <w:rsid w:val="00CD35CE"/>
    <w:rsid w:val="00CD35DE"/>
    <w:rsid w:val="00CD365F"/>
    <w:rsid w:val="00CD36A3"/>
    <w:rsid w:val="00CD3705"/>
    <w:rsid w:val="00CD3BD1"/>
    <w:rsid w:val="00CD3C1D"/>
    <w:rsid w:val="00CD3C31"/>
    <w:rsid w:val="00CD404C"/>
    <w:rsid w:val="00CD40CF"/>
    <w:rsid w:val="00CD42C3"/>
    <w:rsid w:val="00CD45FF"/>
    <w:rsid w:val="00CD4601"/>
    <w:rsid w:val="00CD475C"/>
    <w:rsid w:val="00CD4763"/>
    <w:rsid w:val="00CD482E"/>
    <w:rsid w:val="00CD4C05"/>
    <w:rsid w:val="00CD5296"/>
    <w:rsid w:val="00CD55C6"/>
    <w:rsid w:val="00CD5724"/>
    <w:rsid w:val="00CD581B"/>
    <w:rsid w:val="00CD583B"/>
    <w:rsid w:val="00CD591D"/>
    <w:rsid w:val="00CD59EA"/>
    <w:rsid w:val="00CD5AE4"/>
    <w:rsid w:val="00CD5E33"/>
    <w:rsid w:val="00CD5E4A"/>
    <w:rsid w:val="00CD5E85"/>
    <w:rsid w:val="00CD5EE2"/>
    <w:rsid w:val="00CD61C1"/>
    <w:rsid w:val="00CD61DA"/>
    <w:rsid w:val="00CD636A"/>
    <w:rsid w:val="00CD64B1"/>
    <w:rsid w:val="00CD6682"/>
    <w:rsid w:val="00CD66C2"/>
    <w:rsid w:val="00CD6754"/>
    <w:rsid w:val="00CD6A97"/>
    <w:rsid w:val="00CD6B27"/>
    <w:rsid w:val="00CD6B55"/>
    <w:rsid w:val="00CD6DE1"/>
    <w:rsid w:val="00CD6DEA"/>
    <w:rsid w:val="00CD70BA"/>
    <w:rsid w:val="00CD716F"/>
    <w:rsid w:val="00CD71E0"/>
    <w:rsid w:val="00CD7278"/>
    <w:rsid w:val="00CD732F"/>
    <w:rsid w:val="00CD744A"/>
    <w:rsid w:val="00CD7490"/>
    <w:rsid w:val="00CD74FE"/>
    <w:rsid w:val="00CD7763"/>
    <w:rsid w:val="00CD7911"/>
    <w:rsid w:val="00CD79B0"/>
    <w:rsid w:val="00CD7C3E"/>
    <w:rsid w:val="00CE0033"/>
    <w:rsid w:val="00CE0631"/>
    <w:rsid w:val="00CE07E8"/>
    <w:rsid w:val="00CE0970"/>
    <w:rsid w:val="00CE0A6B"/>
    <w:rsid w:val="00CE0A80"/>
    <w:rsid w:val="00CE0AD2"/>
    <w:rsid w:val="00CE0B28"/>
    <w:rsid w:val="00CE0EDA"/>
    <w:rsid w:val="00CE1092"/>
    <w:rsid w:val="00CE11A7"/>
    <w:rsid w:val="00CE1365"/>
    <w:rsid w:val="00CE136E"/>
    <w:rsid w:val="00CE144B"/>
    <w:rsid w:val="00CE1466"/>
    <w:rsid w:val="00CE1534"/>
    <w:rsid w:val="00CE1578"/>
    <w:rsid w:val="00CE15F8"/>
    <w:rsid w:val="00CE1793"/>
    <w:rsid w:val="00CE183F"/>
    <w:rsid w:val="00CE186C"/>
    <w:rsid w:val="00CE1AF8"/>
    <w:rsid w:val="00CE1D54"/>
    <w:rsid w:val="00CE1DF3"/>
    <w:rsid w:val="00CE20B7"/>
    <w:rsid w:val="00CE216C"/>
    <w:rsid w:val="00CE227A"/>
    <w:rsid w:val="00CE23F0"/>
    <w:rsid w:val="00CE2422"/>
    <w:rsid w:val="00CE25E7"/>
    <w:rsid w:val="00CE2615"/>
    <w:rsid w:val="00CE2733"/>
    <w:rsid w:val="00CE2787"/>
    <w:rsid w:val="00CE2B04"/>
    <w:rsid w:val="00CE2C4B"/>
    <w:rsid w:val="00CE2E1A"/>
    <w:rsid w:val="00CE2EF9"/>
    <w:rsid w:val="00CE2F1B"/>
    <w:rsid w:val="00CE2F4B"/>
    <w:rsid w:val="00CE31AD"/>
    <w:rsid w:val="00CE3213"/>
    <w:rsid w:val="00CE3269"/>
    <w:rsid w:val="00CE33A2"/>
    <w:rsid w:val="00CE33EC"/>
    <w:rsid w:val="00CE36D9"/>
    <w:rsid w:val="00CE3B7C"/>
    <w:rsid w:val="00CE3CAC"/>
    <w:rsid w:val="00CE3E27"/>
    <w:rsid w:val="00CE3EE6"/>
    <w:rsid w:val="00CE3F20"/>
    <w:rsid w:val="00CE3F99"/>
    <w:rsid w:val="00CE4056"/>
    <w:rsid w:val="00CE42B0"/>
    <w:rsid w:val="00CE43C9"/>
    <w:rsid w:val="00CE44A3"/>
    <w:rsid w:val="00CE458A"/>
    <w:rsid w:val="00CE45EB"/>
    <w:rsid w:val="00CE45F8"/>
    <w:rsid w:val="00CE4802"/>
    <w:rsid w:val="00CE49A6"/>
    <w:rsid w:val="00CE49C3"/>
    <w:rsid w:val="00CE4A85"/>
    <w:rsid w:val="00CE4ADD"/>
    <w:rsid w:val="00CE4B41"/>
    <w:rsid w:val="00CE4B63"/>
    <w:rsid w:val="00CE4BFC"/>
    <w:rsid w:val="00CE4D20"/>
    <w:rsid w:val="00CE4D3D"/>
    <w:rsid w:val="00CE4E0F"/>
    <w:rsid w:val="00CE4EDA"/>
    <w:rsid w:val="00CE514D"/>
    <w:rsid w:val="00CE51DF"/>
    <w:rsid w:val="00CE53EC"/>
    <w:rsid w:val="00CE542E"/>
    <w:rsid w:val="00CE54F7"/>
    <w:rsid w:val="00CE5616"/>
    <w:rsid w:val="00CE56D9"/>
    <w:rsid w:val="00CE5740"/>
    <w:rsid w:val="00CE5752"/>
    <w:rsid w:val="00CE58EA"/>
    <w:rsid w:val="00CE5B4B"/>
    <w:rsid w:val="00CE6050"/>
    <w:rsid w:val="00CE6119"/>
    <w:rsid w:val="00CE6740"/>
    <w:rsid w:val="00CE696C"/>
    <w:rsid w:val="00CE6B85"/>
    <w:rsid w:val="00CE6BA4"/>
    <w:rsid w:val="00CE6C1F"/>
    <w:rsid w:val="00CE6D3C"/>
    <w:rsid w:val="00CE6D61"/>
    <w:rsid w:val="00CE728C"/>
    <w:rsid w:val="00CE74C7"/>
    <w:rsid w:val="00CE756C"/>
    <w:rsid w:val="00CE756F"/>
    <w:rsid w:val="00CE778E"/>
    <w:rsid w:val="00CE7960"/>
    <w:rsid w:val="00CE799D"/>
    <w:rsid w:val="00CE7A46"/>
    <w:rsid w:val="00CE7D8C"/>
    <w:rsid w:val="00CF0171"/>
    <w:rsid w:val="00CF025A"/>
    <w:rsid w:val="00CF02DB"/>
    <w:rsid w:val="00CF0348"/>
    <w:rsid w:val="00CF043A"/>
    <w:rsid w:val="00CF0451"/>
    <w:rsid w:val="00CF06C0"/>
    <w:rsid w:val="00CF08C0"/>
    <w:rsid w:val="00CF0A36"/>
    <w:rsid w:val="00CF0B29"/>
    <w:rsid w:val="00CF0C48"/>
    <w:rsid w:val="00CF0EA7"/>
    <w:rsid w:val="00CF1004"/>
    <w:rsid w:val="00CF1242"/>
    <w:rsid w:val="00CF12B3"/>
    <w:rsid w:val="00CF14F0"/>
    <w:rsid w:val="00CF1593"/>
    <w:rsid w:val="00CF15FC"/>
    <w:rsid w:val="00CF1711"/>
    <w:rsid w:val="00CF1E1A"/>
    <w:rsid w:val="00CF23AA"/>
    <w:rsid w:val="00CF251B"/>
    <w:rsid w:val="00CF2559"/>
    <w:rsid w:val="00CF259C"/>
    <w:rsid w:val="00CF2731"/>
    <w:rsid w:val="00CF2745"/>
    <w:rsid w:val="00CF2825"/>
    <w:rsid w:val="00CF28CF"/>
    <w:rsid w:val="00CF2950"/>
    <w:rsid w:val="00CF2A44"/>
    <w:rsid w:val="00CF2DA4"/>
    <w:rsid w:val="00CF2EFB"/>
    <w:rsid w:val="00CF32F6"/>
    <w:rsid w:val="00CF341C"/>
    <w:rsid w:val="00CF35AA"/>
    <w:rsid w:val="00CF364A"/>
    <w:rsid w:val="00CF3786"/>
    <w:rsid w:val="00CF37E8"/>
    <w:rsid w:val="00CF38B7"/>
    <w:rsid w:val="00CF38D4"/>
    <w:rsid w:val="00CF3975"/>
    <w:rsid w:val="00CF3A8F"/>
    <w:rsid w:val="00CF3AA9"/>
    <w:rsid w:val="00CF3E91"/>
    <w:rsid w:val="00CF3EF6"/>
    <w:rsid w:val="00CF424A"/>
    <w:rsid w:val="00CF4571"/>
    <w:rsid w:val="00CF4593"/>
    <w:rsid w:val="00CF469A"/>
    <w:rsid w:val="00CF46AB"/>
    <w:rsid w:val="00CF4741"/>
    <w:rsid w:val="00CF4943"/>
    <w:rsid w:val="00CF495D"/>
    <w:rsid w:val="00CF4A32"/>
    <w:rsid w:val="00CF4AB6"/>
    <w:rsid w:val="00CF4D5C"/>
    <w:rsid w:val="00CF4E34"/>
    <w:rsid w:val="00CF4EC2"/>
    <w:rsid w:val="00CF4ECB"/>
    <w:rsid w:val="00CF4EDB"/>
    <w:rsid w:val="00CF4EF2"/>
    <w:rsid w:val="00CF4FAF"/>
    <w:rsid w:val="00CF4FE3"/>
    <w:rsid w:val="00CF52A3"/>
    <w:rsid w:val="00CF5A9C"/>
    <w:rsid w:val="00CF5B0B"/>
    <w:rsid w:val="00CF5BA5"/>
    <w:rsid w:val="00CF5D59"/>
    <w:rsid w:val="00CF5F15"/>
    <w:rsid w:val="00CF6226"/>
    <w:rsid w:val="00CF64D2"/>
    <w:rsid w:val="00CF64E7"/>
    <w:rsid w:val="00CF66E4"/>
    <w:rsid w:val="00CF673F"/>
    <w:rsid w:val="00CF67F1"/>
    <w:rsid w:val="00CF6A39"/>
    <w:rsid w:val="00CF6A3B"/>
    <w:rsid w:val="00CF6AA5"/>
    <w:rsid w:val="00CF6BCA"/>
    <w:rsid w:val="00CF6BD7"/>
    <w:rsid w:val="00CF6BE4"/>
    <w:rsid w:val="00CF6C3E"/>
    <w:rsid w:val="00CF6CEF"/>
    <w:rsid w:val="00CF7048"/>
    <w:rsid w:val="00CF7358"/>
    <w:rsid w:val="00CF73CF"/>
    <w:rsid w:val="00CF7630"/>
    <w:rsid w:val="00CF7782"/>
    <w:rsid w:val="00CF77BE"/>
    <w:rsid w:val="00CF7C0F"/>
    <w:rsid w:val="00CF7E0D"/>
    <w:rsid w:val="00CF7F7D"/>
    <w:rsid w:val="00CF7F89"/>
    <w:rsid w:val="00D001AE"/>
    <w:rsid w:val="00D001EE"/>
    <w:rsid w:val="00D00264"/>
    <w:rsid w:val="00D007CD"/>
    <w:rsid w:val="00D00932"/>
    <w:rsid w:val="00D0096A"/>
    <w:rsid w:val="00D00AAD"/>
    <w:rsid w:val="00D00C98"/>
    <w:rsid w:val="00D00D2A"/>
    <w:rsid w:val="00D00DFF"/>
    <w:rsid w:val="00D00FC3"/>
    <w:rsid w:val="00D010D6"/>
    <w:rsid w:val="00D01289"/>
    <w:rsid w:val="00D013A0"/>
    <w:rsid w:val="00D013BB"/>
    <w:rsid w:val="00D01705"/>
    <w:rsid w:val="00D01832"/>
    <w:rsid w:val="00D01900"/>
    <w:rsid w:val="00D01993"/>
    <w:rsid w:val="00D0199F"/>
    <w:rsid w:val="00D019DC"/>
    <w:rsid w:val="00D01ADA"/>
    <w:rsid w:val="00D01C07"/>
    <w:rsid w:val="00D01D9B"/>
    <w:rsid w:val="00D02026"/>
    <w:rsid w:val="00D022BC"/>
    <w:rsid w:val="00D02475"/>
    <w:rsid w:val="00D0248F"/>
    <w:rsid w:val="00D024F9"/>
    <w:rsid w:val="00D02667"/>
    <w:rsid w:val="00D026BF"/>
    <w:rsid w:val="00D0274E"/>
    <w:rsid w:val="00D028B3"/>
    <w:rsid w:val="00D0294F"/>
    <w:rsid w:val="00D02A0D"/>
    <w:rsid w:val="00D02A4D"/>
    <w:rsid w:val="00D02C6A"/>
    <w:rsid w:val="00D02D52"/>
    <w:rsid w:val="00D02D86"/>
    <w:rsid w:val="00D0321F"/>
    <w:rsid w:val="00D035F1"/>
    <w:rsid w:val="00D03AA6"/>
    <w:rsid w:val="00D03AC9"/>
    <w:rsid w:val="00D03B0A"/>
    <w:rsid w:val="00D03E8C"/>
    <w:rsid w:val="00D03F39"/>
    <w:rsid w:val="00D03F65"/>
    <w:rsid w:val="00D03FC6"/>
    <w:rsid w:val="00D04034"/>
    <w:rsid w:val="00D04088"/>
    <w:rsid w:val="00D041F9"/>
    <w:rsid w:val="00D04200"/>
    <w:rsid w:val="00D042EC"/>
    <w:rsid w:val="00D0432F"/>
    <w:rsid w:val="00D046AB"/>
    <w:rsid w:val="00D047E3"/>
    <w:rsid w:val="00D04990"/>
    <w:rsid w:val="00D04D44"/>
    <w:rsid w:val="00D04F31"/>
    <w:rsid w:val="00D05066"/>
    <w:rsid w:val="00D051C5"/>
    <w:rsid w:val="00D05247"/>
    <w:rsid w:val="00D052A1"/>
    <w:rsid w:val="00D05306"/>
    <w:rsid w:val="00D05469"/>
    <w:rsid w:val="00D05557"/>
    <w:rsid w:val="00D0573E"/>
    <w:rsid w:val="00D05817"/>
    <w:rsid w:val="00D0587D"/>
    <w:rsid w:val="00D05A4D"/>
    <w:rsid w:val="00D05A51"/>
    <w:rsid w:val="00D05B9F"/>
    <w:rsid w:val="00D05BE5"/>
    <w:rsid w:val="00D05E89"/>
    <w:rsid w:val="00D05E9A"/>
    <w:rsid w:val="00D0613E"/>
    <w:rsid w:val="00D0632A"/>
    <w:rsid w:val="00D0686F"/>
    <w:rsid w:val="00D069BC"/>
    <w:rsid w:val="00D06A6D"/>
    <w:rsid w:val="00D06B22"/>
    <w:rsid w:val="00D06B99"/>
    <w:rsid w:val="00D06C55"/>
    <w:rsid w:val="00D06E50"/>
    <w:rsid w:val="00D06ECB"/>
    <w:rsid w:val="00D06F78"/>
    <w:rsid w:val="00D07000"/>
    <w:rsid w:val="00D070A3"/>
    <w:rsid w:val="00D07303"/>
    <w:rsid w:val="00D07705"/>
    <w:rsid w:val="00D07711"/>
    <w:rsid w:val="00D07744"/>
    <w:rsid w:val="00D07817"/>
    <w:rsid w:val="00D07855"/>
    <w:rsid w:val="00D0796D"/>
    <w:rsid w:val="00D07C34"/>
    <w:rsid w:val="00D1002C"/>
    <w:rsid w:val="00D10043"/>
    <w:rsid w:val="00D100AA"/>
    <w:rsid w:val="00D100BF"/>
    <w:rsid w:val="00D103CA"/>
    <w:rsid w:val="00D10412"/>
    <w:rsid w:val="00D10504"/>
    <w:rsid w:val="00D10573"/>
    <w:rsid w:val="00D10766"/>
    <w:rsid w:val="00D10A73"/>
    <w:rsid w:val="00D10AAC"/>
    <w:rsid w:val="00D10C8D"/>
    <w:rsid w:val="00D10CCD"/>
    <w:rsid w:val="00D10CF2"/>
    <w:rsid w:val="00D10DC2"/>
    <w:rsid w:val="00D10E13"/>
    <w:rsid w:val="00D110A1"/>
    <w:rsid w:val="00D11171"/>
    <w:rsid w:val="00D112CC"/>
    <w:rsid w:val="00D115C2"/>
    <w:rsid w:val="00D1195D"/>
    <w:rsid w:val="00D11D50"/>
    <w:rsid w:val="00D11E20"/>
    <w:rsid w:val="00D11FC4"/>
    <w:rsid w:val="00D12081"/>
    <w:rsid w:val="00D122C8"/>
    <w:rsid w:val="00D123D6"/>
    <w:rsid w:val="00D12647"/>
    <w:rsid w:val="00D126F0"/>
    <w:rsid w:val="00D12706"/>
    <w:rsid w:val="00D12958"/>
    <w:rsid w:val="00D129AC"/>
    <w:rsid w:val="00D12CAC"/>
    <w:rsid w:val="00D12E45"/>
    <w:rsid w:val="00D1301B"/>
    <w:rsid w:val="00D130D9"/>
    <w:rsid w:val="00D13126"/>
    <w:rsid w:val="00D132D9"/>
    <w:rsid w:val="00D13669"/>
    <w:rsid w:val="00D137CE"/>
    <w:rsid w:val="00D138E1"/>
    <w:rsid w:val="00D13C4B"/>
    <w:rsid w:val="00D13D25"/>
    <w:rsid w:val="00D13D8B"/>
    <w:rsid w:val="00D13DE4"/>
    <w:rsid w:val="00D13E5F"/>
    <w:rsid w:val="00D14194"/>
    <w:rsid w:val="00D14291"/>
    <w:rsid w:val="00D143A2"/>
    <w:rsid w:val="00D14554"/>
    <w:rsid w:val="00D145A8"/>
    <w:rsid w:val="00D146BD"/>
    <w:rsid w:val="00D147C2"/>
    <w:rsid w:val="00D14948"/>
    <w:rsid w:val="00D14993"/>
    <w:rsid w:val="00D14A55"/>
    <w:rsid w:val="00D14B52"/>
    <w:rsid w:val="00D14B9D"/>
    <w:rsid w:val="00D14BC8"/>
    <w:rsid w:val="00D14E17"/>
    <w:rsid w:val="00D14E40"/>
    <w:rsid w:val="00D14E80"/>
    <w:rsid w:val="00D14EE9"/>
    <w:rsid w:val="00D14FC3"/>
    <w:rsid w:val="00D14FCE"/>
    <w:rsid w:val="00D14FDD"/>
    <w:rsid w:val="00D15024"/>
    <w:rsid w:val="00D151B2"/>
    <w:rsid w:val="00D151CB"/>
    <w:rsid w:val="00D151E6"/>
    <w:rsid w:val="00D1521B"/>
    <w:rsid w:val="00D15590"/>
    <w:rsid w:val="00D15684"/>
    <w:rsid w:val="00D156DD"/>
    <w:rsid w:val="00D1573E"/>
    <w:rsid w:val="00D158FF"/>
    <w:rsid w:val="00D15957"/>
    <w:rsid w:val="00D159C9"/>
    <w:rsid w:val="00D15A72"/>
    <w:rsid w:val="00D15E5A"/>
    <w:rsid w:val="00D15EB5"/>
    <w:rsid w:val="00D15F2F"/>
    <w:rsid w:val="00D15FA1"/>
    <w:rsid w:val="00D16076"/>
    <w:rsid w:val="00D160E9"/>
    <w:rsid w:val="00D16259"/>
    <w:rsid w:val="00D1625F"/>
    <w:rsid w:val="00D1644A"/>
    <w:rsid w:val="00D164C0"/>
    <w:rsid w:val="00D16507"/>
    <w:rsid w:val="00D166C4"/>
    <w:rsid w:val="00D167C9"/>
    <w:rsid w:val="00D168D2"/>
    <w:rsid w:val="00D1719D"/>
    <w:rsid w:val="00D174C9"/>
    <w:rsid w:val="00D17542"/>
    <w:rsid w:val="00D175DB"/>
    <w:rsid w:val="00D1767B"/>
    <w:rsid w:val="00D17818"/>
    <w:rsid w:val="00D1796F"/>
    <w:rsid w:val="00D17A46"/>
    <w:rsid w:val="00D17B7C"/>
    <w:rsid w:val="00D17D7E"/>
    <w:rsid w:val="00D17D85"/>
    <w:rsid w:val="00D17D8C"/>
    <w:rsid w:val="00D2020D"/>
    <w:rsid w:val="00D204E1"/>
    <w:rsid w:val="00D207A6"/>
    <w:rsid w:val="00D2086E"/>
    <w:rsid w:val="00D20A1B"/>
    <w:rsid w:val="00D20C22"/>
    <w:rsid w:val="00D20C97"/>
    <w:rsid w:val="00D20CBA"/>
    <w:rsid w:val="00D20E50"/>
    <w:rsid w:val="00D20EF6"/>
    <w:rsid w:val="00D217B3"/>
    <w:rsid w:val="00D219CE"/>
    <w:rsid w:val="00D21ADA"/>
    <w:rsid w:val="00D21ADC"/>
    <w:rsid w:val="00D21B9C"/>
    <w:rsid w:val="00D21C95"/>
    <w:rsid w:val="00D21E11"/>
    <w:rsid w:val="00D21EDE"/>
    <w:rsid w:val="00D21F72"/>
    <w:rsid w:val="00D21F73"/>
    <w:rsid w:val="00D221FC"/>
    <w:rsid w:val="00D22260"/>
    <w:rsid w:val="00D223EB"/>
    <w:rsid w:val="00D225A9"/>
    <w:rsid w:val="00D226D9"/>
    <w:rsid w:val="00D22928"/>
    <w:rsid w:val="00D22935"/>
    <w:rsid w:val="00D2295D"/>
    <w:rsid w:val="00D229AA"/>
    <w:rsid w:val="00D22AF1"/>
    <w:rsid w:val="00D22B6E"/>
    <w:rsid w:val="00D22CA8"/>
    <w:rsid w:val="00D22D9A"/>
    <w:rsid w:val="00D22EAD"/>
    <w:rsid w:val="00D2308C"/>
    <w:rsid w:val="00D231B0"/>
    <w:rsid w:val="00D233EF"/>
    <w:rsid w:val="00D233F7"/>
    <w:rsid w:val="00D2344A"/>
    <w:rsid w:val="00D234F6"/>
    <w:rsid w:val="00D235EE"/>
    <w:rsid w:val="00D2364E"/>
    <w:rsid w:val="00D236D0"/>
    <w:rsid w:val="00D23715"/>
    <w:rsid w:val="00D23F6C"/>
    <w:rsid w:val="00D23F96"/>
    <w:rsid w:val="00D24147"/>
    <w:rsid w:val="00D2461A"/>
    <w:rsid w:val="00D24870"/>
    <w:rsid w:val="00D24C21"/>
    <w:rsid w:val="00D24CEE"/>
    <w:rsid w:val="00D25047"/>
    <w:rsid w:val="00D25056"/>
    <w:rsid w:val="00D2520B"/>
    <w:rsid w:val="00D2553E"/>
    <w:rsid w:val="00D25A3E"/>
    <w:rsid w:val="00D25CEB"/>
    <w:rsid w:val="00D2607B"/>
    <w:rsid w:val="00D2611B"/>
    <w:rsid w:val="00D26229"/>
    <w:rsid w:val="00D263CB"/>
    <w:rsid w:val="00D265E2"/>
    <w:rsid w:val="00D268C2"/>
    <w:rsid w:val="00D2692C"/>
    <w:rsid w:val="00D2693B"/>
    <w:rsid w:val="00D26A06"/>
    <w:rsid w:val="00D26A5B"/>
    <w:rsid w:val="00D26B6D"/>
    <w:rsid w:val="00D26EAF"/>
    <w:rsid w:val="00D26FC4"/>
    <w:rsid w:val="00D2711F"/>
    <w:rsid w:val="00D27203"/>
    <w:rsid w:val="00D2746D"/>
    <w:rsid w:val="00D27697"/>
    <w:rsid w:val="00D2784A"/>
    <w:rsid w:val="00D27A5D"/>
    <w:rsid w:val="00D27BDF"/>
    <w:rsid w:val="00D27CB3"/>
    <w:rsid w:val="00D27CEC"/>
    <w:rsid w:val="00D27CF9"/>
    <w:rsid w:val="00D27D4A"/>
    <w:rsid w:val="00D27E36"/>
    <w:rsid w:val="00D27F3A"/>
    <w:rsid w:val="00D27FC8"/>
    <w:rsid w:val="00D30209"/>
    <w:rsid w:val="00D30342"/>
    <w:rsid w:val="00D30448"/>
    <w:rsid w:val="00D304C5"/>
    <w:rsid w:val="00D3050E"/>
    <w:rsid w:val="00D30587"/>
    <w:rsid w:val="00D30602"/>
    <w:rsid w:val="00D3062A"/>
    <w:rsid w:val="00D30801"/>
    <w:rsid w:val="00D30812"/>
    <w:rsid w:val="00D30818"/>
    <w:rsid w:val="00D30A0F"/>
    <w:rsid w:val="00D30A9D"/>
    <w:rsid w:val="00D30AE1"/>
    <w:rsid w:val="00D30B92"/>
    <w:rsid w:val="00D30BD3"/>
    <w:rsid w:val="00D30FC8"/>
    <w:rsid w:val="00D31008"/>
    <w:rsid w:val="00D31329"/>
    <w:rsid w:val="00D3134A"/>
    <w:rsid w:val="00D3137F"/>
    <w:rsid w:val="00D3151F"/>
    <w:rsid w:val="00D315D3"/>
    <w:rsid w:val="00D3172F"/>
    <w:rsid w:val="00D31737"/>
    <w:rsid w:val="00D31792"/>
    <w:rsid w:val="00D31803"/>
    <w:rsid w:val="00D3187D"/>
    <w:rsid w:val="00D318AB"/>
    <w:rsid w:val="00D318D8"/>
    <w:rsid w:val="00D319C7"/>
    <w:rsid w:val="00D31AE1"/>
    <w:rsid w:val="00D31B4C"/>
    <w:rsid w:val="00D31F6D"/>
    <w:rsid w:val="00D32125"/>
    <w:rsid w:val="00D32150"/>
    <w:rsid w:val="00D324C6"/>
    <w:rsid w:val="00D3254D"/>
    <w:rsid w:val="00D328A6"/>
    <w:rsid w:val="00D32958"/>
    <w:rsid w:val="00D32A7C"/>
    <w:rsid w:val="00D32AC3"/>
    <w:rsid w:val="00D32B79"/>
    <w:rsid w:val="00D32EBD"/>
    <w:rsid w:val="00D32EF0"/>
    <w:rsid w:val="00D331AB"/>
    <w:rsid w:val="00D3354F"/>
    <w:rsid w:val="00D3356D"/>
    <w:rsid w:val="00D33666"/>
    <w:rsid w:val="00D336D7"/>
    <w:rsid w:val="00D339B2"/>
    <w:rsid w:val="00D33AD6"/>
    <w:rsid w:val="00D33BC5"/>
    <w:rsid w:val="00D33D8A"/>
    <w:rsid w:val="00D33D95"/>
    <w:rsid w:val="00D34074"/>
    <w:rsid w:val="00D34163"/>
    <w:rsid w:val="00D34288"/>
    <w:rsid w:val="00D342A3"/>
    <w:rsid w:val="00D342FF"/>
    <w:rsid w:val="00D3431E"/>
    <w:rsid w:val="00D3479F"/>
    <w:rsid w:val="00D349D5"/>
    <w:rsid w:val="00D34AF2"/>
    <w:rsid w:val="00D34F2A"/>
    <w:rsid w:val="00D352A3"/>
    <w:rsid w:val="00D353C6"/>
    <w:rsid w:val="00D3583A"/>
    <w:rsid w:val="00D358CB"/>
    <w:rsid w:val="00D35BBD"/>
    <w:rsid w:val="00D35D87"/>
    <w:rsid w:val="00D35E40"/>
    <w:rsid w:val="00D35E60"/>
    <w:rsid w:val="00D35E6F"/>
    <w:rsid w:val="00D35EC1"/>
    <w:rsid w:val="00D35F10"/>
    <w:rsid w:val="00D35F4F"/>
    <w:rsid w:val="00D360A1"/>
    <w:rsid w:val="00D3612F"/>
    <w:rsid w:val="00D361A3"/>
    <w:rsid w:val="00D3640C"/>
    <w:rsid w:val="00D36469"/>
    <w:rsid w:val="00D3686F"/>
    <w:rsid w:val="00D36986"/>
    <w:rsid w:val="00D36E52"/>
    <w:rsid w:val="00D372CA"/>
    <w:rsid w:val="00D37388"/>
    <w:rsid w:val="00D375C1"/>
    <w:rsid w:val="00D3767F"/>
    <w:rsid w:val="00D37A5C"/>
    <w:rsid w:val="00D37D1E"/>
    <w:rsid w:val="00D37DC8"/>
    <w:rsid w:val="00D37EC7"/>
    <w:rsid w:val="00D401EC"/>
    <w:rsid w:val="00D40804"/>
    <w:rsid w:val="00D40BF6"/>
    <w:rsid w:val="00D40E43"/>
    <w:rsid w:val="00D40FB8"/>
    <w:rsid w:val="00D41138"/>
    <w:rsid w:val="00D4114A"/>
    <w:rsid w:val="00D4149F"/>
    <w:rsid w:val="00D4150C"/>
    <w:rsid w:val="00D41669"/>
    <w:rsid w:val="00D4167A"/>
    <w:rsid w:val="00D416E7"/>
    <w:rsid w:val="00D41A88"/>
    <w:rsid w:val="00D41B4C"/>
    <w:rsid w:val="00D41B75"/>
    <w:rsid w:val="00D41BC9"/>
    <w:rsid w:val="00D41C20"/>
    <w:rsid w:val="00D4204A"/>
    <w:rsid w:val="00D420E0"/>
    <w:rsid w:val="00D420E4"/>
    <w:rsid w:val="00D4211B"/>
    <w:rsid w:val="00D422BF"/>
    <w:rsid w:val="00D4235A"/>
    <w:rsid w:val="00D42379"/>
    <w:rsid w:val="00D42435"/>
    <w:rsid w:val="00D42777"/>
    <w:rsid w:val="00D427CB"/>
    <w:rsid w:val="00D42865"/>
    <w:rsid w:val="00D42A15"/>
    <w:rsid w:val="00D42ADA"/>
    <w:rsid w:val="00D42B51"/>
    <w:rsid w:val="00D42EA7"/>
    <w:rsid w:val="00D4300E"/>
    <w:rsid w:val="00D4308E"/>
    <w:rsid w:val="00D430B9"/>
    <w:rsid w:val="00D435AB"/>
    <w:rsid w:val="00D435EA"/>
    <w:rsid w:val="00D4365D"/>
    <w:rsid w:val="00D43662"/>
    <w:rsid w:val="00D43969"/>
    <w:rsid w:val="00D43CA9"/>
    <w:rsid w:val="00D43CB0"/>
    <w:rsid w:val="00D43FF3"/>
    <w:rsid w:val="00D44019"/>
    <w:rsid w:val="00D4407C"/>
    <w:rsid w:val="00D440A2"/>
    <w:rsid w:val="00D44180"/>
    <w:rsid w:val="00D44216"/>
    <w:rsid w:val="00D4427A"/>
    <w:rsid w:val="00D443CE"/>
    <w:rsid w:val="00D4440C"/>
    <w:rsid w:val="00D444FE"/>
    <w:rsid w:val="00D44729"/>
    <w:rsid w:val="00D447C9"/>
    <w:rsid w:val="00D44AD8"/>
    <w:rsid w:val="00D44C8A"/>
    <w:rsid w:val="00D44D56"/>
    <w:rsid w:val="00D44D7F"/>
    <w:rsid w:val="00D44DA3"/>
    <w:rsid w:val="00D44EAE"/>
    <w:rsid w:val="00D44F05"/>
    <w:rsid w:val="00D44FD7"/>
    <w:rsid w:val="00D45082"/>
    <w:rsid w:val="00D4599C"/>
    <w:rsid w:val="00D45F58"/>
    <w:rsid w:val="00D45FFB"/>
    <w:rsid w:val="00D46381"/>
    <w:rsid w:val="00D4641D"/>
    <w:rsid w:val="00D46552"/>
    <w:rsid w:val="00D46723"/>
    <w:rsid w:val="00D467F6"/>
    <w:rsid w:val="00D468CF"/>
    <w:rsid w:val="00D46900"/>
    <w:rsid w:val="00D46A1F"/>
    <w:rsid w:val="00D46A5F"/>
    <w:rsid w:val="00D46B9D"/>
    <w:rsid w:val="00D46C90"/>
    <w:rsid w:val="00D46E7E"/>
    <w:rsid w:val="00D4749F"/>
    <w:rsid w:val="00D47EC2"/>
    <w:rsid w:val="00D47EC8"/>
    <w:rsid w:val="00D47FA4"/>
    <w:rsid w:val="00D500E0"/>
    <w:rsid w:val="00D5014B"/>
    <w:rsid w:val="00D50259"/>
    <w:rsid w:val="00D502E8"/>
    <w:rsid w:val="00D50564"/>
    <w:rsid w:val="00D505D0"/>
    <w:rsid w:val="00D50789"/>
    <w:rsid w:val="00D507D6"/>
    <w:rsid w:val="00D509E2"/>
    <w:rsid w:val="00D509E7"/>
    <w:rsid w:val="00D50CB2"/>
    <w:rsid w:val="00D50D4F"/>
    <w:rsid w:val="00D511FC"/>
    <w:rsid w:val="00D513D2"/>
    <w:rsid w:val="00D513DB"/>
    <w:rsid w:val="00D514D4"/>
    <w:rsid w:val="00D51530"/>
    <w:rsid w:val="00D5168B"/>
    <w:rsid w:val="00D516C0"/>
    <w:rsid w:val="00D51721"/>
    <w:rsid w:val="00D517C0"/>
    <w:rsid w:val="00D51829"/>
    <w:rsid w:val="00D51B34"/>
    <w:rsid w:val="00D51B89"/>
    <w:rsid w:val="00D520C4"/>
    <w:rsid w:val="00D520F6"/>
    <w:rsid w:val="00D520FC"/>
    <w:rsid w:val="00D5228E"/>
    <w:rsid w:val="00D5229B"/>
    <w:rsid w:val="00D52359"/>
    <w:rsid w:val="00D525E9"/>
    <w:rsid w:val="00D5274D"/>
    <w:rsid w:val="00D52898"/>
    <w:rsid w:val="00D52922"/>
    <w:rsid w:val="00D52925"/>
    <w:rsid w:val="00D5292E"/>
    <w:rsid w:val="00D52A10"/>
    <w:rsid w:val="00D52AE3"/>
    <w:rsid w:val="00D52B02"/>
    <w:rsid w:val="00D52C93"/>
    <w:rsid w:val="00D52E0D"/>
    <w:rsid w:val="00D52FBE"/>
    <w:rsid w:val="00D5308C"/>
    <w:rsid w:val="00D5348C"/>
    <w:rsid w:val="00D53550"/>
    <w:rsid w:val="00D535C3"/>
    <w:rsid w:val="00D535CD"/>
    <w:rsid w:val="00D5363A"/>
    <w:rsid w:val="00D536BA"/>
    <w:rsid w:val="00D53806"/>
    <w:rsid w:val="00D5387E"/>
    <w:rsid w:val="00D53907"/>
    <w:rsid w:val="00D5392B"/>
    <w:rsid w:val="00D53AD2"/>
    <w:rsid w:val="00D53E03"/>
    <w:rsid w:val="00D53E5B"/>
    <w:rsid w:val="00D53F04"/>
    <w:rsid w:val="00D540A6"/>
    <w:rsid w:val="00D5424E"/>
    <w:rsid w:val="00D54253"/>
    <w:rsid w:val="00D544C3"/>
    <w:rsid w:val="00D5482D"/>
    <w:rsid w:val="00D549B5"/>
    <w:rsid w:val="00D54C96"/>
    <w:rsid w:val="00D54E31"/>
    <w:rsid w:val="00D550E0"/>
    <w:rsid w:val="00D5516B"/>
    <w:rsid w:val="00D55221"/>
    <w:rsid w:val="00D555E8"/>
    <w:rsid w:val="00D556C9"/>
    <w:rsid w:val="00D557B6"/>
    <w:rsid w:val="00D55985"/>
    <w:rsid w:val="00D559C2"/>
    <w:rsid w:val="00D55ABB"/>
    <w:rsid w:val="00D55B45"/>
    <w:rsid w:val="00D55C07"/>
    <w:rsid w:val="00D56221"/>
    <w:rsid w:val="00D56305"/>
    <w:rsid w:val="00D56406"/>
    <w:rsid w:val="00D5646B"/>
    <w:rsid w:val="00D565F0"/>
    <w:rsid w:val="00D56831"/>
    <w:rsid w:val="00D568F7"/>
    <w:rsid w:val="00D569AA"/>
    <w:rsid w:val="00D56A0A"/>
    <w:rsid w:val="00D56A66"/>
    <w:rsid w:val="00D56BC6"/>
    <w:rsid w:val="00D56C4D"/>
    <w:rsid w:val="00D56D40"/>
    <w:rsid w:val="00D56E37"/>
    <w:rsid w:val="00D57042"/>
    <w:rsid w:val="00D570DB"/>
    <w:rsid w:val="00D57110"/>
    <w:rsid w:val="00D571DF"/>
    <w:rsid w:val="00D573AE"/>
    <w:rsid w:val="00D576F7"/>
    <w:rsid w:val="00D57D52"/>
    <w:rsid w:val="00D57E58"/>
    <w:rsid w:val="00D57E8A"/>
    <w:rsid w:val="00D57F5D"/>
    <w:rsid w:val="00D57FEB"/>
    <w:rsid w:val="00D60198"/>
    <w:rsid w:val="00D601CB"/>
    <w:rsid w:val="00D603E3"/>
    <w:rsid w:val="00D60513"/>
    <w:rsid w:val="00D60542"/>
    <w:rsid w:val="00D608CD"/>
    <w:rsid w:val="00D60AAD"/>
    <w:rsid w:val="00D60DD6"/>
    <w:rsid w:val="00D60F46"/>
    <w:rsid w:val="00D60F99"/>
    <w:rsid w:val="00D61117"/>
    <w:rsid w:val="00D6113D"/>
    <w:rsid w:val="00D6117A"/>
    <w:rsid w:val="00D6117E"/>
    <w:rsid w:val="00D6123F"/>
    <w:rsid w:val="00D61411"/>
    <w:rsid w:val="00D614E7"/>
    <w:rsid w:val="00D61773"/>
    <w:rsid w:val="00D6198D"/>
    <w:rsid w:val="00D619CD"/>
    <w:rsid w:val="00D61D0B"/>
    <w:rsid w:val="00D61DF2"/>
    <w:rsid w:val="00D61ECC"/>
    <w:rsid w:val="00D61F19"/>
    <w:rsid w:val="00D622DA"/>
    <w:rsid w:val="00D623C2"/>
    <w:rsid w:val="00D62470"/>
    <w:rsid w:val="00D624AC"/>
    <w:rsid w:val="00D6274B"/>
    <w:rsid w:val="00D62887"/>
    <w:rsid w:val="00D62A2C"/>
    <w:rsid w:val="00D62B6F"/>
    <w:rsid w:val="00D62C55"/>
    <w:rsid w:val="00D62FC7"/>
    <w:rsid w:val="00D6315F"/>
    <w:rsid w:val="00D63385"/>
    <w:rsid w:val="00D6342C"/>
    <w:rsid w:val="00D6348C"/>
    <w:rsid w:val="00D63697"/>
    <w:rsid w:val="00D63758"/>
    <w:rsid w:val="00D63806"/>
    <w:rsid w:val="00D63A5E"/>
    <w:rsid w:val="00D63AD1"/>
    <w:rsid w:val="00D63C61"/>
    <w:rsid w:val="00D63D30"/>
    <w:rsid w:val="00D63F6E"/>
    <w:rsid w:val="00D644CD"/>
    <w:rsid w:val="00D645B2"/>
    <w:rsid w:val="00D64639"/>
    <w:rsid w:val="00D64929"/>
    <w:rsid w:val="00D649D1"/>
    <w:rsid w:val="00D649FF"/>
    <w:rsid w:val="00D64A34"/>
    <w:rsid w:val="00D64B3C"/>
    <w:rsid w:val="00D64E57"/>
    <w:rsid w:val="00D65152"/>
    <w:rsid w:val="00D651ED"/>
    <w:rsid w:val="00D6537E"/>
    <w:rsid w:val="00D65439"/>
    <w:rsid w:val="00D654A1"/>
    <w:rsid w:val="00D654DE"/>
    <w:rsid w:val="00D655FD"/>
    <w:rsid w:val="00D657FB"/>
    <w:rsid w:val="00D65931"/>
    <w:rsid w:val="00D659EE"/>
    <w:rsid w:val="00D65B5B"/>
    <w:rsid w:val="00D65EC4"/>
    <w:rsid w:val="00D65F23"/>
    <w:rsid w:val="00D66153"/>
    <w:rsid w:val="00D661C8"/>
    <w:rsid w:val="00D66212"/>
    <w:rsid w:val="00D66282"/>
    <w:rsid w:val="00D66694"/>
    <w:rsid w:val="00D666AC"/>
    <w:rsid w:val="00D66C33"/>
    <w:rsid w:val="00D66D63"/>
    <w:rsid w:val="00D66F3D"/>
    <w:rsid w:val="00D6711E"/>
    <w:rsid w:val="00D6712D"/>
    <w:rsid w:val="00D67242"/>
    <w:rsid w:val="00D67249"/>
    <w:rsid w:val="00D674EF"/>
    <w:rsid w:val="00D67597"/>
    <w:rsid w:val="00D675C6"/>
    <w:rsid w:val="00D6760A"/>
    <w:rsid w:val="00D6765D"/>
    <w:rsid w:val="00D67699"/>
    <w:rsid w:val="00D6780A"/>
    <w:rsid w:val="00D67843"/>
    <w:rsid w:val="00D6787F"/>
    <w:rsid w:val="00D67C9C"/>
    <w:rsid w:val="00D67E7F"/>
    <w:rsid w:val="00D67E89"/>
    <w:rsid w:val="00D67F4F"/>
    <w:rsid w:val="00D70018"/>
    <w:rsid w:val="00D701D4"/>
    <w:rsid w:val="00D7026C"/>
    <w:rsid w:val="00D70339"/>
    <w:rsid w:val="00D7033B"/>
    <w:rsid w:val="00D705E9"/>
    <w:rsid w:val="00D70991"/>
    <w:rsid w:val="00D70BD7"/>
    <w:rsid w:val="00D70EB3"/>
    <w:rsid w:val="00D7115F"/>
    <w:rsid w:val="00D712BD"/>
    <w:rsid w:val="00D714F6"/>
    <w:rsid w:val="00D71784"/>
    <w:rsid w:val="00D71A38"/>
    <w:rsid w:val="00D71AB0"/>
    <w:rsid w:val="00D71B48"/>
    <w:rsid w:val="00D71B84"/>
    <w:rsid w:val="00D71E4C"/>
    <w:rsid w:val="00D71FB4"/>
    <w:rsid w:val="00D71FD5"/>
    <w:rsid w:val="00D72412"/>
    <w:rsid w:val="00D7259E"/>
    <w:rsid w:val="00D726AF"/>
    <w:rsid w:val="00D726CF"/>
    <w:rsid w:val="00D72AED"/>
    <w:rsid w:val="00D72FE5"/>
    <w:rsid w:val="00D7301A"/>
    <w:rsid w:val="00D7344B"/>
    <w:rsid w:val="00D7349A"/>
    <w:rsid w:val="00D73986"/>
    <w:rsid w:val="00D73B82"/>
    <w:rsid w:val="00D73DFE"/>
    <w:rsid w:val="00D73E11"/>
    <w:rsid w:val="00D73E48"/>
    <w:rsid w:val="00D73EAA"/>
    <w:rsid w:val="00D73F08"/>
    <w:rsid w:val="00D74077"/>
    <w:rsid w:val="00D74158"/>
    <w:rsid w:val="00D742D5"/>
    <w:rsid w:val="00D744A1"/>
    <w:rsid w:val="00D747E7"/>
    <w:rsid w:val="00D749E2"/>
    <w:rsid w:val="00D74A14"/>
    <w:rsid w:val="00D74B1C"/>
    <w:rsid w:val="00D74C76"/>
    <w:rsid w:val="00D74D95"/>
    <w:rsid w:val="00D74EF1"/>
    <w:rsid w:val="00D74F00"/>
    <w:rsid w:val="00D7506D"/>
    <w:rsid w:val="00D7520F"/>
    <w:rsid w:val="00D75326"/>
    <w:rsid w:val="00D7535F"/>
    <w:rsid w:val="00D7564C"/>
    <w:rsid w:val="00D756DD"/>
    <w:rsid w:val="00D7597F"/>
    <w:rsid w:val="00D75B19"/>
    <w:rsid w:val="00D75B81"/>
    <w:rsid w:val="00D75B9A"/>
    <w:rsid w:val="00D75D6F"/>
    <w:rsid w:val="00D75EA7"/>
    <w:rsid w:val="00D760F5"/>
    <w:rsid w:val="00D761F4"/>
    <w:rsid w:val="00D76663"/>
    <w:rsid w:val="00D76C1C"/>
    <w:rsid w:val="00D76D53"/>
    <w:rsid w:val="00D76D85"/>
    <w:rsid w:val="00D76F6F"/>
    <w:rsid w:val="00D770EC"/>
    <w:rsid w:val="00D77219"/>
    <w:rsid w:val="00D77280"/>
    <w:rsid w:val="00D77318"/>
    <w:rsid w:val="00D773E9"/>
    <w:rsid w:val="00D7745F"/>
    <w:rsid w:val="00D774B3"/>
    <w:rsid w:val="00D7754D"/>
    <w:rsid w:val="00D775E4"/>
    <w:rsid w:val="00D77623"/>
    <w:rsid w:val="00D7767B"/>
    <w:rsid w:val="00D776EA"/>
    <w:rsid w:val="00D777E7"/>
    <w:rsid w:val="00D777EE"/>
    <w:rsid w:val="00D77A5B"/>
    <w:rsid w:val="00D77B34"/>
    <w:rsid w:val="00D77C02"/>
    <w:rsid w:val="00D77C81"/>
    <w:rsid w:val="00D77D1D"/>
    <w:rsid w:val="00D77DA9"/>
    <w:rsid w:val="00D80022"/>
    <w:rsid w:val="00D800AC"/>
    <w:rsid w:val="00D800E3"/>
    <w:rsid w:val="00D800E4"/>
    <w:rsid w:val="00D8013F"/>
    <w:rsid w:val="00D8016F"/>
    <w:rsid w:val="00D802D2"/>
    <w:rsid w:val="00D8039E"/>
    <w:rsid w:val="00D803CE"/>
    <w:rsid w:val="00D80553"/>
    <w:rsid w:val="00D8069A"/>
    <w:rsid w:val="00D807C7"/>
    <w:rsid w:val="00D80D5D"/>
    <w:rsid w:val="00D80EDF"/>
    <w:rsid w:val="00D80F53"/>
    <w:rsid w:val="00D80F8A"/>
    <w:rsid w:val="00D80FC6"/>
    <w:rsid w:val="00D81050"/>
    <w:rsid w:val="00D8109B"/>
    <w:rsid w:val="00D810E0"/>
    <w:rsid w:val="00D81199"/>
    <w:rsid w:val="00D813B1"/>
    <w:rsid w:val="00D814A0"/>
    <w:rsid w:val="00D815F5"/>
    <w:rsid w:val="00D816C0"/>
    <w:rsid w:val="00D81773"/>
    <w:rsid w:val="00D81798"/>
    <w:rsid w:val="00D81826"/>
    <w:rsid w:val="00D818A6"/>
    <w:rsid w:val="00D8199D"/>
    <w:rsid w:val="00D819AC"/>
    <w:rsid w:val="00D81B17"/>
    <w:rsid w:val="00D81C36"/>
    <w:rsid w:val="00D81C83"/>
    <w:rsid w:val="00D81E0E"/>
    <w:rsid w:val="00D81F84"/>
    <w:rsid w:val="00D8216A"/>
    <w:rsid w:val="00D821EF"/>
    <w:rsid w:val="00D82458"/>
    <w:rsid w:val="00D82529"/>
    <w:rsid w:val="00D827CF"/>
    <w:rsid w:val="00D82992"/>
    <w:rsid w:val="00D829C8"/>
    <w:rsid w:val="00D82B15"/>
    <w:rsid w:val="00D82BB1"/>
    <w:rsid w:val="00D82CB7"/>
    <w:rsid w:val="00D82D1E"/>
    <w:rsid w:val="00D82D87"/>
    <w:rsid w:val="00D832BA"/>
    <w:rsid w:val="00D83325"/>
    <w:rsid w:val="00D833FE"/>
    <w:rsid w:val="00D83607"/>
    <w:rsid w:val="00D8361B"/>
    <w:rsid w:val="00D836BF"/>
    <w:rsid w:val="00D83945"/>
    <w:rsid w:val="00D83992"/>
    <w:rsid w:val="00D839BF"/>
    <w:rsid w:val="00D83A5F"/>
    <w:rsid w:val="00D83AB5"/>
    <w:rsid w:val="00D83B0B"/>
    <w:rsid w:val="00D83CD9"/>
    <w:rsid w:val="00D83CDA"/>
    <w:rsid w:val="00D83DA0"/>
    <w:rsid w:val="00D83ECA"/>
    <w:rsid w:val="00D84231"/>
    <w:rsid w:val="00D8424C"/>
    <w:rsid w:val="00D84291"/>
    <w:rsid w:val="00D844A5"/>
    <w:rsid w:val="00D844F0"/>
    <w:rsid w:val="00D8461B"/>
    <w:rsid w:val="00D8489B"/>
    <w:rsid w:val="00D8491C"/>
    <w:rsid w:val="00D849A1"/>
    <w:rsid w:val="00D84B77"/>
    <w:rsid w:val="00D84D39"/>
    <w:rsid w:val="00D84FBD"/>
    <w:rsid w:val="00D85070"/>
    <w:rsid w:val="00D8507D"/>
    <w:rsid w:val="00D850F5"/>
    <w:rsid w:val="00D85343"/>
    <w:rsid w:val="00D853F4"/>
    <w:rsid w:val="00D854A2"/>
    <w:rsid w:val="00D85578"/>
    <w:rsid w:val="00D85777"/>
    <w:rsid w:val="00D857A4"/>
    <w:rsid w:val="00D85949"/>
    <w:rsid w:val="00D85AB2"/>
    <w:rsid w:val="00D85ACA"/>
    <w:rsid w:val="00D85CD7"/>
    <w:rsid w:val="00D85E19"/>
    <w:rsid w:val="00D861C0"/>
    <w:rsid w:val="00D86305"/>
    <w:rsid w:val="00D86356"/>
    <w:rsid w:val="00D86357"/>
    <w:rsid w:val="00D8637F"/>
    <w:rsid w:val="00D867F4"/>
    <w:rsid w:val="00D868CB"/>
    <w:rsid w:val="00D869B9"/>
    <w:rsid w:val="00D86B56"/>
    <w:rsid w:val="00D86B65"/>
    <w:rsid w:val="00D86B83"/>
    <w:rsid w:val="00D86D1A"/>
    <w:rsid w:val="00D86D1D"/>
    <w:rsid w:val="00D86D5E"/>
    <w:rsid w:val="00D86DCE"/>
    <w:rsid w:val="00D86E03"/>
    <w:rsid w:val="00D86E41"/>
    <w:rsid w:val="00D86ECD"/>
    <w:rsid w:val="00D870B7"/>
    <w:rsid w:val="00D8713A"/>
    <w:rsid w:val="00D871FE"/>
    <w:rsid w:val="00D872C4"/>
    <w:rsid w:val="00D8731B"/>
    <w:rsid w:val="00D873BD"/>
    <w:rsid w:val="00D87484"/>
    <w:rsid w:val="00D875F5"/>
    <w:rsid w:val="00D8784F"/>
    <w:rsid w:val="00D879F8"/>
    <w:rsid w:val="00D879FF"/>
    <w:rsid w:val="00D87A9E"/>
    <w:rsid w:val="00D87E2B"/>
    <w:rsid w:val="00D900DC"/>
    <w:rsid w:val="00D900DF"/>
    <w:rsid w:val="00D90396"/>
    <w:rsid w:val="00D9043D"/>
    <w:rsid w:val="00D907E5"/>
    <w:rsid w:val="00D90A65"/>
    <w:rsid w:val="00D90A86"/>
    <w:rsid w:val="00D90B8F"/>
    <w:rsid w:val="00D90D36"/>
    <w:rsid w:val="00D90DC7"/>
    <w:rsid w:val="00D90F6E"/>
    <w:rsid w:val="00D91015"/>
    <w:rsid w:val="00D910D3"/>
    <w:rsid w:val="00D9138B"/>
    <w:rsid w:val="00D91520"/>
    <w:rsid w:val="00D91781"/>
    <w:rsid w:val="00D919B2"/>
    <w:rsid w:val="00D91A75"/>
    <w:rsid w:val="00D91A82"/>
    <w:rsid w:val="00D91DA4"/>
    <w:rsid w:val="00D92764"/>
    <w:rsid w:val="00D927FD"/>
    <w:rsid w:val="00D9283B"/>
    <w:rsid w:val="00D92938"/>
    <w:rsid w:val="00D92944"/>
    <w:rsid w:val="00D92B54"/>
    <w:rsid w:val="00D92CB6"/>
    <w:rsid w:val="00D92FD0"/>
    <w:rsid w:val="00D9308C"/>
    <w:rsid w:val="00D93125"/>
    <w:rsid w:val="00D93254"/>
    <w:rsid w:val="00D93340"/>
    <w:rsid w:val="00D93341"/>
    <w:rsid w:val="00D93518"/>
    <w:rsid w:val="00D936F9"/>
    <w:rsid w:val="00D938C0"/>
    <w:rsid w:val="00D939CE"/>
    <w:rsid w:val="00D93A61"/>
    <w:rsid w:val="00D94134"/>
    <w:rsid w:val="00D9419B"/>
    <w:rsid w:val="00D94256"/>
    <w:rsid w:val="00D943E7"/>
    <w:rsid w:val="00D9445E"/>
    <w:rsid w:val="00D94550"/>
    <w:rsid w:val="00D945D9"/>
    <w:rsid w:val="00D9466C"/>
    <w:rsid w:val="00D94727"/>
    <w:rsid w:val="00D94C7C"/>
    <w:rsid w:val="00D94CF0"/>
    <w:rsid w:val="00D94DE8"/>
    <w:rsid w:val="00D94DEF"/>
    <w:rsid w:val="00D94EE6"/>
    <w:rsid w:val="00D94FB2"/>
    <w:rsid w:val="00D951CA"/>
    <w:rsid w:val="00D9524F"/>
    <w:rsid w:val="00D95266"/>
    <w:rsid w:val="00D956AB"/>
    <w:rsid w:val="00D95814"/>
    <w:rsid w:val="00D95940"/>
    <w:rsid w:val="00D95B03"/>
    <w:rsid w:val="00D95CD1"/>
    <w:rsid w:val="00D95E05"/>
    <w:rsid w:val="00D95E56"/>
    <w:rsid w:val="00D96285"/>
    <w:rsid w:val="00D9628E"/>
    <w:rsid w:val="00D9635D"/>
    <w:rsid w:val="00D96439"/>
    <w:rsid w:val="00D968FB"/>
    <w:rsid w:val="00D9690B"/>
    <w:rsid w:val="00D9690C"/>
    <w:rsid w:val="00D96B97"/>
    <w:rsid w:val="00D96BA4"/>
    <w:rsid w:val="00D96D26"/>
    <w:rsid w:val="00D96E10"/>
    <w:rsid w:val="00D96EB2"/>
    <w:rsid w:val="00D96EB6"/>
    <w:rsid w:val="00D97254"/>
    <w:rsid w:val="00D973DB"/>
    <w:rsid w:val="00D974D1"/>
    <w:rsid w:val="00D976CF"/>
    <w:rsid w:val="00D978BC"/>
    <w:rsid w:val="00D97977"/>
    <w:rsid w:val="00D97AB0"/>
    <w:rsid w:val="00D97B1B"/>
    <w:rsid w:val="00D97D1D"/>
    <w:rsid w:val="00D97D92"/>
    <w:rsid w:val="00D97DF0"/>
    <w:rsid w:val="00D97EEC"/>
    <w:rsid w:val="00DA0172"/>
    <w:rsid w:val="00DA01D6"/>
    <w:rsid w:val="00DA0209"/>
    <w:rsid w:val="00DA02C3"/>
    <w:rsid w:val="00DA0380"/>
    <w:rsid w:val="00DA0441"/>
    <w:rsid w:val="00DA051E"/>
    <w:rsid w:val="00DA0524"/>
    <w:rsid w:val="00DA0AE3"/>
    <w:rsid w:val="00DA0C9A"/>
    <w:rsid w:val="00DA0D80"/>
    <w:rsid w:val="00DA0F49"/>
    <w:rsid w:val="00DA0FCB"/>
    <w:rsid w:val="00DA1082"/>
    <w:rsid w:val="00DA112D"/>
    <w:rsid w:val="00DA11EC"/>
    <w:rsid w:val="00DA124F"/>
    <w:rsid w:val="00DA12A6"/>
    <w:rsid w:val="00DA1357"/>
    <w:rsid w:val="00DA13B6"/>
    <w:rsid w:val="00DA151A"/>
    <w:rsid w:val="00DA1566"/>
    <w:rsid w:val="00DA16E8"/>
    <w:rsid w:val="00DA1A94"/>
    <w:rsid w:val="00DA1AA3"/>
    <w:rsid w:val="00DA1AE8"/>
    <w:rsid w:val="00DA1F73"/>
    <w:rsid w:val="00DA2031"/>
    <w:rsid w:val="00DA2039"/>
    <w:rsid w:val="00DA2077"/>
    <w:rsid w:val="00DA249F"/>
    <w:rsid w:val="00DA255A"/>
    <w:rsid w:val="00DA279E"/>
    <w:rsid w:val="00DA2982"/>
    <w:rsid w:val="00DA29C7"/>
    <w:rsid w:val="00DA2A06"/>
    <w:rsid w:val="00DA2A11"/>
    <w:rsid w:val="00DA2BE2"/>
    <w:rsid w:val="00DA2EFB"/>
    <w:rsid w:val="00DA32AD"/>
    <w:rsid w:val="00DA341A"/>
    <w:rsid w:val="00DA3460"/>
    <w:rsid w:val="00DA34AB"/>
    <w:rsid w:val="00DA34F7"/>
    <w:rsid w:val="00DA35B1"/>
    <w:rsid w:val="00DA3920"/>
    <w:rsid w:val="00DA3930"/>
    <w:rsid w:val="00DA3AB9"/>
    <w:rsid w:val="00DA3D11"/>
    <w:rsid w:val="00DA3D4A"/>
    <w:rsid w:val="00DA3DC1"/>
    <w:rsid w:val="00DA4053"/>
    <w:rsid w:val="00DA425A"/>
    <w:rsid w:val="00DA4774"/>
    <w:rsid w:val="00DA47A7"/>
    <w:rsid w:val="00DA491C"/>
    <w:rsid w:val="00DA4C7E"/>
    <w:rsid w:val="00DA4C81"/>
    <w:rsid w:val="00DA4D3D"/>
    <w:rsid w:val="00DA4E7E"/>
    <w:rsid w:val="00DA4E98"/>
    <w:rsid w:val="00DA52D8"/>
    <w:rsid w:val="00DA547B"/>
    <w:rsid w:val="00DA54CA"/>
    <w:rsid w:val="00DA55A0"/>
    <w:rsid w:val="00DA56DA"/>
    <w:rsid w:val="00DA57C7"/>
    <w:rsid w:val="00DA5940"/>
    <w:rsid w:val="00DA59A2"/>
    <w:rsid w:val="00DA5D18"/>
    <w:rsid w:val="00DA5DB4"/>
    <w:rsid w:val="00DA6004"/>
    <w:rsid w:val="00DA6471"/>
    <w:rsid w:val="00DA649C"/>
    <w:rsid w:val="00DA6678"/>
    <w:rsid w:val="00DA695A"/>
    <w:rsid w:val="00DA6A81"/>
    <w:rsid w:val="00DA6B84"/>
    <w:rsid w:val="00DA6C32"/>
    <w:rsid w:val="00DA6DDC"/>
    <w:rsid w:val="00DA6F36"/>
    <w:rsid w:val="00DA702F"/>
    <w:rsid w:val="00DA708B"/>
    <w:rsid w:val="00DA70BE"/>
    <w:rsid w:val="00DA71E4"/>
    <w:rsid w:val="00DA7232"/>
    <w:rsid w:val="00DA72CF"/>
    <w:rsid w:val="00DA7301"/>
    <w:rsid w:val="00DA764C"/>
    <w:rsid w:val="00DA769D"/>
    <w:rsid w:val="00DA76A5"/>
    <w:rsid w:val="00DA76D1"/>
    <w:rsid w:val="00DA78DD"/>
    <w:rsid w:val="00DA7B99"/>
    <w:rsid w:val="00DA7C0B"/>
    <w:rsid w:val="00DA7D87"/>
    <w:rsid w:val="00DA7DC6"/>
    <w:rsid w:val="00DA7EDE"/>
    <w:rsid w:val="00DB01C9"/>
    <w:rsid w:val="00DB0318"/>
    <w:rsid w:val="00DB06A9"/>
    <w:rsid w:val="00DB0818"/>
    <w:rsid w:val="00DB0998"/>
    <w:rsid w:val="00DB0A5F"/>
    <w:rsid w:val="00DB0B8F"/>
    <w:rsid w:val="00DB0D71"/>
    <w:rsid w:val="00DB0E77"/>
    <w:rsid w:val="00DB0F58"/>
    <w:rsid w:val="00DB0F8B"/>
    <w:rsid w:val="00DB1120"/>
    <w:rsid w:val="00DB128B"/>
    <w:rsid w:val="00DB16DC"/>
    <w:rsid w:val="00DB181B"/>
    <w:rsid w:val="00DB1979"/>
    <w:rsid w:val="00DB1A93"/>
    <w:rsid w:val="00DB1DC9"/>
    <w:rsid w:val="00DB1FA0"/>
    <w:rsid w:val="00DB200B"/>
    <w:rsid w:val="00DB21F5"/>
    <w:rsid w:val="00DB246C"/>
    <w:rsid w:val="00DB249D"/>
    <w:rsid w:val="00DB25D1"/>
    <w:rsid w:val="00DB28F6"/>
    <w:rsid w:val="00DB296C"/>
    <w:rsid w:val="00DB297B"/>
    <w:rsid w:val="00DB2C36"/>
    <w:rsid w:val="00DB2D71"/>
    <w:rsid w:val="00DB2DEE"/>
    <w:rsid w:val="00DB2E63"/>
    <w:rsid w:val="00DB303E"/>
    <w:rsid w:val="00DB33D5"/>
    <w:rsid w:val="00DB39BC"/>
    <w:rsid w:val="00DB39CA"/>
    <w:rsid w:val="00DB3A46"/>
    <w:rsid w:val="00DB3E79"/>
    <w:rsid w:val="00DB43E8"/>
    <w:rsid w:val="00DB4479"/>
    <w:rsid w:val="00DB4603"/>
    <w:rsid w:val="00DB4954"/>
    <w:rsid w:val="00DB496B"/>
    <w:rsid w:val="00DB4A11"/>
    <w:rsid w:val="00DB4B2B"/>
    <w:rsid w:val="00DB4B70"/>
    <w:rsid w:val="00DB4B7B"/>
    <w:rsid w:val="00DB4CCC"/>
    <w:rsid w:val="00DB4D8A"/>
    <w:rsid w:val="00DB4E04"/>
    <w:rsid w:val="00DB4FE3"/>
    <w:rsid w:val="00DB50F4"/>
    <w:rsid w:val="00DB5108"/>
    <w:rsid w:val="00DB51C8"/>
    <w:rsid w:val="00DB582D"/>
    <w:rsid w:val="00DB5F0E"/>
    <w:rsid w:val="00DB5F85"/>
    <w:rsid w:val="00DB6037"/>
    <w:rsid w:val="00DB613B"/>
    <w:rsid w:val="00DB61BE"/>
    <w:rsid w:val="00DB6636"/>
    <w:rsid w:val="00DB68DF"/>
    <w:rsid w:val="00DB6924"/>
    <w:rsid w:val="00DB69E2"/>
    <w:rsid w:val="00DB6AEF"/>
    <w:rsid w:val="00DB6BB0"/>
    <w:rsid w:val="00DB7261"/>
    <w:rsid w:val="00DB733D"/>
    <w:rsid w:val="00DB7415"/>
    <w:rsid w:val="00DB74E1"/>
    <w:rsid w:val="00DB75FF"/>
    <w:rsid w:val="00DB77B8"/>
    <w:rsid w:val="00DB7A7C"/>
    <w:rsid w:val="00DB7DC5"/>
    <w:rsid w:val="00DB7E20"/>
    <w:rsid w:val="00DC007C"/>
    <w:rsid w:val="00DC017F"/>
    <w:rsid w:val="00DC01DD"/>
    <w:rsid w:val="00DC022D"/>
    <w:rsid w:val="00DC04B4"/>
    <w:rsid w:val="00DC04DF"/>
    <w:rsid w:val="00DC068A"/>
    <w:rsid w:val="00DC06D6"/>
    <w:rsid w:val="00DC09E2"/>
    <w:rsid w:val="00DC0A53"/>
    <w:rsid w:val="00DC0B46"/>
    <w:rsid w:val="00DC0B5B"/>
    <w:rsid w:val="00DC0D87"/>
    <w:rsid w:val="00DC0DA3"/>
    <w:rsid w:val="00DC1289"/>
    <w:rsid w:val="00DC12BF"/>
    <w:rsid w:val="00DC1506"/>
    <w:rsid w:val="00DC151F"/>
    <w:rsid w:val="00DC1748"/>
    <w:rsid w:val="00DC1A25"/>
    <w:rsid w:val="00DC1E5D"/>
    <w:rsid w:val="00DC1FC7"/>
    <w:rsid w:val="00DC20AE"/>
    <w:rsid w:val="00DC22C0"/>
    <w:rsid w:val="00DC2382"/>
    <w:rsid w:val="00DC24ED"/>
    <w:rsid w:val="00DC2774"/>
    <w:rsid w:val="00DC2ED3"/>
    <w:rsid w:val="00DC2FDB"/>
    <w:rsid w:val="00DC308F"/>
    <w:rsid w:val="00DC3122"/>
    <w:rsid w:val="00DC36FA"/>
    <w:rsid w:val="00DC37A8"/>
    <w:rsid w:val="00DC380A"/>
    <w:rsid w:val="00DC3846"/>
    <w:rsid w:val="00DC39DB"/>
    <w:rsid w:val="00DC3A22"/>
    <w:rsid w:val="00DC3A47"/>
    <w:rsid w:val="00DC3CDB"/>
    <w:rsid w:val="00DC3F30"/>
    <w:rsid w:val="00DC42CD"/>
    <w:rsid w:val="00DC449F"/>
    <w:rsid w:val="00DC48B1"/>
    <w:rsid w:val="00DC49CC"/>
    <w:rsid w:val="00DC49E6"/>
    <w:rsid w:val="00DC4B46"/>
    <w:rsid w:val="00DC4B58"/>
    <w:rsid w:val="00DC4D88"/>
    <w:rsid w:val="00DC4EDA"/>
    <w:rsid w:val="00DC530D"/>
    <w:rsid w:val="00DC5354"/>
    <w:rsid w:val="00DC5B1D"/>
    <w:rsid w:val="00DC5BAE"/>
    <w:rsid w:val="00DC5BF1"/>
    <w:rsid w:val="00DC5BFF"/>
    <w:rsid w:val="00DC5C05"/>
    <w:rsid w:val="00DC5DE5"/>
    <w:rsid w:val="00DC5E9B"/>
    <w:rsid w:val="00DC5EEF"/>
    <w:rsid w:val="00DC6144"/>
    <w:rsid w:val="00DC61CA"/>
    <w:rsid w:val="00DC6241"/>
    <w:rsid w:val="00DC6263"/>
    <w:rsid w:val="00DC62E1"/>
    <w:rsid w:val="00DC63C5"/>
    <w:rsid w:val="00DC652E"/>
    <w:rsid w:val="00DC671A"/>
    <w:rsid w:val="00DC690D"/>
    <w:rsid w:val="00DC6A83"/>
    <w:rsid w:val="00DC6AFD"/>
    <w:rsid w:val="00DC6B1C"/>
    <w:rsid w:val="00DC6B42"/>
    <w:rsid w:val="00DC6C14"/>
    <w:rsid w:val="00DC6DCB"/>
    <w:rsid w:val="00DC728D"/>
    <w:rsid w:val="00DC72BE"/>
    <w:rsid w:val="00DC72C3"/>
    <w:rsid w:val="00DC73F6"/>
    <w:rsid w:val="00DC7416"/>
    <w:rsid w:val="00DC75BD"/>
    <w:rsid w:val="00DC7616"/>
    <w:rsid w:val="00DC7755"/>
    <w:rsid w:val="00DC7864"/>
    <w:rsid w:val="00DC7A3C"/>
    <w:rsid w:val="00DC7B1D"/>
    <w:rsid w:val="00DC7B6F"/>
    <w:rsid w:val="00DC7C0C"/>
    <w:rsid w:val="00DC7C2B"/>
    <w:rsid w:val="00DC7D4F"/>
    <w:rsid w:val="00DD0097"/>
    <w:rsid w:val="00DD0225"/>
    <w:rsid w:val="00DD0239"/>
    <w:rsid w:val="00DD0250"/>
    <w:rsid w:val="00DD0276"/>
    <w:rsid w:val="00DD07B2"/>
    <w:rsid w:val="00DD08CC"/>
    <w:rsid w:val="00DD0AD2"/>
    <w:rsid w:val="00DD0B5E"/>
    <w:rsid w:val="00DD0B9B"/>
    <w:rsid w:val="00DD121D"/>
    <w:rsid w:val="00DD130B"/>
    <w:rsid w:val="00DD15CC"/>
    <w:rsid w:val="00DD17FB"/>
    <w:rsid w:val="00DD18BC"/>
    <w:rsid w:val="00DD18E3"/>
    <w:rsid w:val="00DD1A71"/>
    <w:rsid w:val="00DD1C3D"/>
    <w:rsid w:val="00DD1CAA"/>
    <w:rsid w:val="00DD1D31"/>
    <w:rsid w:val="00DD2274"/>
    <w:rsid w:val="00DD232B"/>
    <w:rsid w:val="00DD2435"/>
    <w:rsid w:val="00DD255D"/>
    <w:rsid w:val="00DD2667"/>
    <w:rsid w:val="00DD2A00"/>
    <w:rsid w:val="00DD2C33"/>
    <w:rsid w:val="00DD2DEA"/>
    <w:rsid w:val="00DD2E6B"/>
    <w:rsid w:val="00DD303F"/>
    <w:rsid w:val="00DD321D"/>
    <w:rsid w:val="00DD3221"/>
    <w:rsid w:val="00DD35EC"/>
    <w:rsid w:val="00DD38C6"/>
    <w:rsid w:val="00DD3A5D"/>
    <w:rsid w:val="00DD3C2D"/>
    <w:rsid w:val="00DD3D8F"/>
    <w:rsid w:val="00DD3E34"/>
    <w:rsid w:val="00DD4209"/>
    <w:rsid w:val="00DD43C8"/>
    <w:rsid w:val="00DD43D4"/>
    <w:rsid w:val="00DD48ED"/>
    <w:rsid w:val="00DD49F4"/>
    <w:rsid w:val="00DD4A03"/>
    <w:rsid w:val="00DD4AD6"/>
    <w:rsid w:val="00DD4AF1"/>
    <w:rsid w:val="00DD4BB6"/>
    <w:rsid w:val="00DD4D9F"/>
    <w:rsid w:val="00DD4E6E"/>
    <w:rsid w:val="00DD5064"/>
    <w:rsid w:val="00DD51E7"/>
    <w:rsid w:val="00DD576B"/>
    <w:rsid w:val="00DD57AF"/>
    <w:rsid w:val="00DD57B3"/>
    <w:rsid w:val="00DD5BFC"/>
    <w:rsid w:val="00DD5D9C"/>
    <w:rsid w:val="00DD5E27"/>
    <w:rsid w:val="00DD5F09"/>
    <w:rsid w:val="00DD6053"/>
    <w:rsid w:val="00DD626A"/>
    <w:rsid w:val="00DD64CA"/>
    <w:rsid w:val="00DD6593"/>
    <w:rsid w:val="00DD6914"/>
    <w:rsid w:val="00DD697A"/>
    <w:rsid w:val="00DD69C7"/>
    <w:rsid w:val="00DD6A90"/>
    <w:rsid w:val="00DD6AC0"/>
    <w:rsid w:val="00DD6AF9"/>
    <w:rsid w:val="00DD6CED"/>
    <w:rsid w:val="00DD6CFF"/>
    <w:rsid w:val="00DD6F8E"/>
    <w:rsid w:val="00DD714F"/>
    <w:rsid w:val="00DD71F0"/>
    <w:rsid w:val="00DD72AF"/>
    <w:rsid w:val="00DD72D7"/>
    <w:rsid w:val="00DD7340"/>
    <w:rsid w:val="00DD74DE"/>
    <w:rsid w:val="00DD762D"/>
    <w:rsid w:val="00DD7ABA"/>
    <w:rsid w:val="00DD7AF7"/>
    <w:rsid w:val="00DD7B41"/>
    <w:rsid w:val="00DD7C0B"/>
    <w:rsid w:val="00DD7C1A"/>
    <w:rsid w:val="00DE013D"/>
    <w:rsid w:val="00DE016E"/>
    <w:rsid w:val="00DE0198"/>
    <w:rsid w:val="00DE02EF"/>
    <w:rsid w:val="00DE0380"/>
    <w:rsid w:val="00DE04D3"/>
    <w:rsid w:val="00DE08D6"/>
    <w:rsid w:val="00DE09A4"/>
    <w:rsid w:val="00DE0BC8"/>
    <w:rsid w:val="00DE0EF4"/>
    <w:rsid w:val="00DE1068"/>
    <w:rsid w:val="00DE1164"/>
    <w:rsid w:val="00DE1212"/>
    <w:rsid w:val="00DE1A60"/>
    <w:rsid w:val="00DE1B67"/>
    <w:rsid w:val="00DE1BCC"/>
    <w:rsid w:val="00DE1D5F"/>
    <w:rsid w:val="00DE1DAC"/>
    <w:rsid w:val="00DE1FDA"/>
    <w:rsid w:val="00DE211A"/>
    <w:rsid w:val="00DE2279"/>
    <w:rsid w:val="00DE229F"/>
    <w:rsid w:val="00DE28AB"/>
    <w:rsid w:val="00DE2A9E"/>
    <w:rsid w:val="00DE2ABB"/>
    <w:rsid w:val="00DE2AC5"/>
    <w:rsid w:val="00DE2C86"/>
    <w:rsid w:val="00DE30AB"/>
    <w:rsid w:val="00DE3316"/>
    <w:rsid w:val="00DE3530"/>
    <w:rsid w:val="00DE3777"/>
    <w:rsid w:val="00DE3A61"/>
    <w:rsid w:val="00DE3AD5"/>
    <w:rsid w:val="00DE3F5D"/>
    <w:rsid w:val="00DE3FF4"/>
    <w:rsid w:val="00DE406A"/>
    <w:rsid w:val="00DE407F"/>
    <w:rsid w:val="00DE40F0"/>
    <w:rsid w:val="00DE4114"/>
    <w:rsid w:val="00DE4137"/>
    <w:rsid w:val="00DE4156"/>
    <w:rsid w:val="00DE4472"/>
    <w:rsid w:val="00DE44B3"/>
    <w:rsid w:val="00DE4676"/>
    <w:rsid w:val="00DE4840"/>
    <w:rsid w:val="00DE4A1E"/>
    <w:rsid w:val="00DE4B4D"/>
    <w:rsid w:val="00DE4D31"/>
    <w:rsid w:val="00DE4E20"/>
    <w:rsid w:val="00DE4F84"/>
    <w:rsid w:val="00DE50A6"/>
    <w:rsid w:val="00DE50B5"/>
    <w:rsid w:val="00DE539F"/>
    <w:rsid w:val="00DE5426"/>
    <w:rsid w:val="00DE5595"/>
    <w:rsid w:val="00DE55DF"/>
    <w:rsid w:val="00DE5608"/>
    <w:rsid w:val="00DE56EC"/>
    <w:rsid w:val="00DE576C"/>
    <w:rsid w:val="00DE581C"/>
    <w:rsid w:val="00DE5924"/>
    <w:rsid w:val="00DE59EE"/>
    <w:rsid w:val="00DE5A7D"/>
    <w:rsid w:val="00DE5D23"/>
    <w:rsid w:val="00DE5F9A"/>
    <w:rsid w:val="00DE6092"/>
    <w:rsid w:val="00DE6183"/>
    <w:rsid w:val="00DE6229"/>
    <w:rsid w:val="00DE6369"/>
    <w:rsid w:val="00DE6624"/>
    <w:rsid w:val="00DE6784"/>
    <w:rsid w:val="00DE6A3F"/>
    <w:rsid w:val="00DE6A6A"/>
    <w:rsid w:val="00DE6D2B"/>
    <w:rsid w:val="00DE6D93"/>
    <w:rsid w:val="00DE6EAF"/>
    <w:rsid w:val="00DE6ED8"/>
    <w:rsid w:val="00DE6F29"/>
    <w:rsid w:val="00DE7035"/>
    <w:rsid w:val="00DE7176"/>
    <w:rsid w:val="00DE7281"/>
    <w:rsid w:val="00DE7356"/>
    <w:rsid w:val="00DE7520"/>
    <w:rsid w:val="00DE757C"/>
    <w:rsid w:val="00DE7819"/>
    <w:rsid w:val="00DE7861"/>
    <w:rsid w:val="00DE7A92"/>
    <w:rsid w:val="00DE7C4F"/>
    <w:rsid w:val="00DE7DAA"/>
    <w:rsid w:val="00DE7ED8"/>
    <w:rsid w:val="00DF01A8"/>
    <w:rsid w:val="00DF01DE"/>
    <w:rsid w:val="00DF037F"/>
    <w:rsid w:val="00DF03FC"/>
    <w:rsid w:val="00DF0515"/>
    <w:rsid w:val="00DF05A6"/>
    <w:rsid w:val="00DF07B9"/>
    <w:rsid w:val="00DF0836"/>
    <w:rsid w:val="00DF086E"/>
    <w:rsid w:val="00DF08D1"/>
    <w:rsid w:val="00DF0ADC"/>
    <w:rsid w:val="00DF0C56"/>
    <w:rsid w:val="00DF0DA9"/>
    <w:rsid w:val="00DF108A"/>
    <w:rsid w:val="00DF1145"/>
    <w:rsid w:val="00DF11C8"/>
    <w:rsid w:val="00DF1203"/>
    <w:rsid w:val="00DF12AC"/>
    <w:rsid w:val="00DF12DE"/>
    <w:rsid w:val="00DF12F6"/>
    <w:rsid w:val="00DF1395"/>
    <w:rsid w:val="00DF14AE"/>
    <w:rsid w:val="00DF16BA"/>
    <w:rsid w:val="00DF1940"/>
    <w:rsid w:val="00DF194C"/>
    <w:rsid w:val="00DF1C51"/>
    <w:rsid w:val="00DF1C9E"/>
    <w:rsid w:val="00DF1E51"/>
    <w:rsid w:val="00DF1F07"/>
    <w:rsid w:val="00DF2121"/>
    <w:rsid w:val="00DF250A"/>
    <w:rsid w:val="00DF25C9"/>
    <w:rsid w:val="00DF26A1"/>
    <w:rsid w:val="00DF26D7"/>
    <w:rsid w:val="00DF2721"/>
    <w:rsid w:val="00DF2759"/>
    <w:rsid w:val="00DF2779"/>
    <w:rsid w:val="00DF2903"/>
    <w:rsid w:val="00DF2A84"/>
    <w:rsid w:val="00DF2B1A"/>
    <w:rsid w:val="00DF2BCF"/>
    <w:rsid w:val="00DF2D84"/>
    <w:rsid w:val="00DF2E6F"/>
    <w:rsid w:val="00DF2F0C"/>
    <w:rsid w:val="00DF3356"/>
    <w:rsid w:val="00DF3495"/>
    <w:rsid w:val="00DF370F"/>
    <w:rsid w:val="00DF3733"/>
    <w:rsid w:val="00DF38C9"/>
    <w:rsid w:val="00DF3AEC"/>
    <w:rsid w:val="00DF3C15"/>
    <w:rsid w:val="00DF3C1D"/>
    <w:rsid w:val="00DF3D13"/>
    <w:rsid w:val="00DF415C"/>
    <w:rsid w:val="00DF41E8"/>
    <w:rsid w:val="00DF4583"/>
    <w:rsid w:val="00DF46D9"/>
    <w:rsid w:val="00DF470F"/>
    <w:rsid w:val="00DF487B"/>
    <w:rsid w:val="00DF497B"/>
    <w:rsid w:val="00DF4C7B"/>
    <w:rsid w:val="00DF4CFE"/>
    <w:rsid w:val="00DF4D0D"/>
    <w:rsid w:val="00DF4E22"/>
    <w:rsid w:val="00DF4F1C"/>
    <w:rsid w:val="00DF4F98"/>
    <w:rsid w:val="00DF5022"/>
    <w:rsid w:val="00DF50DA"/>
    <w:rsid w:val="00DF516F"/>
    <w:rsid w:val="00DF525A"/>
    <w:rsid w:val="00DF52C0"/>
    <w:rsid w:val="00DF5326"/>
    <w:rsid w:val="00DF542C"/>
    <w:rsid w:val="00DF552E"/>
    <w:rsid w:val="00DF594B"/>
    <w:rsid w:val="00DF5AC9"/>
    <w:rsid w:val="00DF5CCF"/>
    <w:rsid w:val="00DF5CEC"/>
    <w:rsid w:val="00DF5FDE"/>
    <w:rsid w:val="00DF6113"/>
    <w:rsid w:val="00DF612C"/>
    <w:rsid w:val="00DF63BD"/>
    <w:rsid w:val="00DF640E"/>
    <w:rsid w:val="00DF6586"/>
    <w:rsid w:val="00DF66E9"/>
    <w:rsid w:val="00DF670B"/>
    <w:rsid w:val="00DF6812"/>
    <w:rsid w:val="00DF6813"/>
    <w:rsid w:val="00DF68F6"/>
    <w:rsid w:val="00DF69E2"/>
    <w:rsid w:val="00DF6A5E"/>
    <w:rsid w:val="00DF6A7F"/>
    <w:rsid w:val="00DF6A97"/>
    <w:rsid w:val="00DF6AEC"/>
    <w:rsid w:val="00DF6DC6"/>
    <w:rsid w:val="00DF6E3D"/>
    <w:rsid w:val="00DF721E"/>
    <w:rsid w:val="00DF7340"/>
    <w:rsid w:val="00DF737E"/>
    <w:rsid w:val="00DF7472"/>
    <w:rsid w:val="00DF74F5"/>
    <w:rsid w:val="00DF75D8"/>
    <w:rsid w:val="00DF7610"/>
    <w:rsid w:val="00DF770C"/>
    <w:rsid w:val="00DF7757"/>
    <w:rsid w:val="00DF7986"/>
    <w:rsid w:val="00DF7AA9"/>
    <w:rsid w:val="00DF7B08"/>
    <w:rsid w:val="00DF7BED"/>
    <w:rsid w:val="00DF7D53"/>
    <w:rsid w:val="00DF7D69"/>
    <w:rsid w:val="00DF7E87"/>
    <w:rsid w:val="00DF7EA0"/>
    <w:rsid w:val="00DF7EB3"/>
    <w:rsid w:val="00DF7EC9"/>
    <w:rsid w:val="00DF7FD3"/>
    <w:rsid w:val="00DFED65"/>
    <w:rsid w:val="00E002BF"/>
    <w:rsid w:val="00E004A1"/>
    <w:rsid w:val="00E0065B"/>
    <w:rsid w:val="00E00667"/>
    <w:rsid w:val="00E00788"/>
    <w:rsid w:val="00E009A5"/>
    <w:rsid w:val="00E00ADF"/>
    <w:rsid w:val="00E00B29"/>
    <w:rsid w:val="00E00CF9"/>
    <w:rsid w:val="00E00D0D"/>
    <w:rsid w:val="00E00FAA"/>
    <w:rsid w:val="00E01003"/>
    <w:rsid w:val="00E0101F"/>
    <w:rsid w:val="00E01142"/>
    <w:rsid w:val="00E0125D"/>
    <w:rsid w:val="00E01513"/>
    <w:rsid w:val="00E0162F"/>
    <w:rsid w:val="00E017A9"/>
    <w:rsid w:val="00E019B5"/>
    <w:rsid w:val="00E01BB9"/>
    <w:rsid w:val="00E01DDB"/>
    <w:rsid w:val="00E0216A"/>
    <w:rsid w:val="00E021BC"/>
    <w:rsid w:val="00E022A4"/>
    <w:rsid w:val="00E022D2"/>
    <w:rsid w:val="00E0235D"/>
    <w:rsid w:val="00E023EC"/>
    <w:rsid w:val="00E024C1"/>
    <w:rsid w:val="00E024D1"/>
    <w:rsid w:val="00E024D8"/>
    <w:rsid w:val="00E02534"/>
    <w:rsid w:val="00E02772"/>
    <w:rsid w:val="00E02944"/>
    <w:rsid w:val="00E02A96"/>
    <w:rsid w:val="00E02B17"/>
    <w:rsid w:val="00E03082"/>
    <w:rsid w:val="00E030DB"/>
    <w:rsid w:val="00E03366"/>
    <w:rsid w:val="00E03D0D"/>
    <w:rsid w:val="00E03D40"/>
    <w:rsid w:val="00E03D5B"/>
    <w:rsid w:val="00E03DA9"/>
    <w:rsid w:val="00E03E9F"/>
    <w:rsid w:val="00E0408B"/>
    <w:rsid w:val="00E04296"/>
    <w:rsid w:val="00E042B5"/>
    <w:rsid w:val="00E0471B"/>
    <w:rsid w:val="00E047B5"/>
    <w:rsid w:val="00E0486C"/>
    <w:rsid w:val="00E04963"/>
    <w:rsid w:val="00E04982"/>
    <w:rsid w:val="00E04B3F"/>
    <w:rsid w:val="00E04BBF"/>
    <w:rsid w:val="00E04C59"/>
    <w:rsid w:val="00E04D8E"/>
    <w:rsid w:val="00E04DC7"/>
    <w:rsid w:val="00E04E62"/>
    <w:rsid w:val="00E04E88"/>
    <w:rsid w:val="00E04EB5"/>
    <w:rsid w:val="00E04EDB"/>
    <w:rsid w:val="00E05033"/>
    <w:rsid w:val="00E05296"/>
    <w:rsid w:val="00E05371"/>
    <w:rsid w:val="00E05492"/>
    <w:rsid w:val="00E05587"/>
    <w:rsid w:val="00E0585F"/>
    <w:rsid w:val="00E058CB"/>
    <w:rsid w:val="00E05920"/>
    <w:rsid w:val="00E0592A"/>
    <w:rsid w:val="00E05F1C"/>
    <w:rsid w:val="00E060D1"/>
    <w:rsid w:val="00E06263"/>
    <w:rsid w:val="00E06286"/>
    <w:rsid w:val="00E06302"/>
    <w:rsid w:val="00E06351"/>
    <w:rsid w:val="00E063F7"/>
    <w:rsid w:val="00E0658E"/>
    <w:rsid w:val="00E065C3"/>
    <w:rsid w:val="00E065D6"/>
    <w:rsid w:val="00E066CA"/>
    <w:rsid w:val="00E068C3"/>
    <w:rsid w:val="00E06D7E"/>
    <w:rsid w:val="00E07007"/>
    <w:rsid w:val="00E0729C"/>
    <w:rsid w:val="00E073EA"/>
    <w:rsid w:val="00E0743A"/>
    <w:rsid w:val="00E074C7"/>
    <w:rsid w:val="00E0758E"/>
    <w:rsid w:val="00E07904"/>
    <w:rsid w:val="00E07980"/>
    <w:rsid w:val="00E07DBD"/>
    <w:rsid w:val="00E07DF6"/>
    <w:rsid w:val="00E07FE7"/>
    <w:rsid w:val="00E1058E"/>
    <w:rsid w:val="00E10688"/>
    <w:rsid w:val="00E10695"/>
    <w:rsid w:val="00E10815"/>
    <w:rsid w:val="00E10828"/>
    <w:rsid w:val="00E1084C"/>
    <w:rsid w:val="00E10B04"/>
    <w:rsid w:val="00E10B3E"/>
    <w:rsid w:val="00E10BCC"/>
    <w:rsid w:val="00E10CC1"/>
    <w:rsid w:val="00E10DEE"/>
    <w:rsid w:val="00E10E2C"/>
    <w:rsid w:val="00E110E1"/>
    <w:rsid w:val="00E1141F"/>
    <w:rsid w:val="00E1160D"/>
    <w:rsid w:val="00E1194C"/>
    <w:rsid w:val="00E11ADF"/>
    <w:rsid w:val="00E11D41"/>
    <w:rsid w:val="00E11E22"/>
    <w:rsid w:val="00E125CD"/>
    <w:rsid w:val="00E12772"/>
    <w:rsid w:val="00E1283F"/>
    <w:rsid w:val="00E12A5E"/>
    <w:rsid w:val="00E12A73"/>
    <w:rsid w:val="00E12B9B"/>
    <w:rsid w:val="00E12BF6"/>
    <w:rsid w:val="00E12C0A"/>
    <w:rsid w:val="00E12CBE"/>
    <w:rsid w:val="00E12FDB"/>
    <w:rsid w:val="00E132F9"/>
    <w:rsid w:val="00E133D1"/>
    <w:rsid w:val="00E13626"/>
    <w:rsid w:val="00E1367F"/>
    <w:rsid w:val="00E136ED"/>
    <w:rsid w:val="00E1377C"/>
    <w:rsid w:val="00E13797"/>
    <w:rsid w:val="00E13A4D"/>
    <w:rsid w:val="00E13C04"/>
    <w:rsid w:val="00E13F56"/>
    <w:rsid w:val="00E14022"/>
    <w:rsid w:val="00E14029"/>
    <w:rsid w:val="00E1409F"/>
    <w:rsid w:val="00E140F4"/>
    <w:rsid w:val="00E14134"/>
    <w:rsid w:val="00E1420A"/>
    <w:rsid w:val="00E142DB"/>
    <w:rsid w:val="00E14385"/>
    <w:rsid w:val="00E143F4"/>
    <w:rsid w:val="00E14540"/>
    <w:rsid w:val="00E1469A"/>
    <w:rsid w:val="00E14ABF"/>
    <w:rsid w:val="00E14CE2"/>
    <w:rsid w:val="00E14DD7"/>
    <w:rsid w:val="00E14E51"/>
    <w:rsid w:val="00E14F71"/>
    <w:rsid w:val="00E15205"/>
    <w:rsid w:val="00E152DF"/>
    <w:rsid w:val="00E153B7"/>
    <w:rsid w:val="00E154F1"/>
    <w:rsid w:val="00E1556A"/>
    <w:rsid w:val="00E155D5"/>
    <w:rsid w:val="00E15635"/>
    <w:rsid w:val="00E1569E"/>
    <w:rsid w:val="00E156A1"/>
    <w:rsid w:val="00E156DD"/>
    <w:rsid w:val="00E15720"/>
    <w:rsid w:val="00E15DB7"/>
    <w:rsid w:val="00E15E4B"/>
    <w:rsid w:val="00E15E51"/>
    <w:rsid w:val="00E15E96"/>
    <w:rsid w:val="00E1619B"/>
    <w:rsid w:val="00E16376"/>
    <w:rsid w:val="00E163B8"/>
    <w:rsid w:val="00E163DD"/>
    <w:rsid w:val="00E16457"/>
    <w:rsid w:val="00E16626"/>
    <w:rsid w:val="00E16B93"/>
    <w:rsid w:val="00E16C37"/>
    <w:rsid w:val="00E16D3A"/>
    <w:rsid w:val="00E1712E"/>
    <w:rsid w:val="00E1728B"/>
    <w:rsid w:val="00E174EF"/>
    <w:rsid w:val="00E175D2"/>
    <w:rsid w:val="00E177EE"/>
    <w:rsid w:val="00E17A0F"/>
    <w:rsid w:val="00E17AF2"/>
    <w:rsid w:val="00E17B92"/>
    <w:rsid w:val="00E17E80"/>
    <w:rsid w:val="00E20181"/>
    <w:rsid w:val="00E2023F"/>
    <w:rsid w:val="00E204C6"/>
    <w:rsid w:val="00E205CB"/>
    <w:rsid w:val="00E207CD"/>
    <w:rsid w:val="00E207EB"/>
    <w:rsid w:val="00E20806"/>
    <w:rsid w:val="00E20A69"/>
    <w:rsid w:val="00E20C21"/>
    <w:rsid w:val="00E20C56"/>
    <w:rsid w:val="00E20E9C"/>
    <w:rsid w:val="00E20F6D"/>
    <w:rsid w:val="00E2106E"/>
    <w:rsid w:val="00E21170"/>
    <w:rsid w:val="00E21316"/>
    <w:rsid w:val="00E214C1"/>
    <w:rsid w:val="00E21760"/>
    <w:rsid w:val="00E219F9"/>
    <w:rsid w:val="00E21CBC"/>
    <w:rsid w:val="00E21D40"/>
    <w:rsid w:val="00E21D70"/>
    <w:rsid w:val="00E21DC7"/>
    <w:rsid w:val="00E22106"/>
    <w:rsid w:val="00E22416"/>
    <w:rsid w:val="00E224B7"/>
    <w:rsid w:val="00E224FE"/>
    <w:rsid w:val="00E22550"/>
    <w:rsid w:val="00E225E3"/>
    <w:rsid w:val="00E226C4"/>
    <w:rsid w:val="00E22899"/>
    <w:rsid w:val="00E22C20"/>
    <w:rsid w:val="00E22DA4"/>
    <w:rsid w:val="00E23120"/>
    <w:rsid w:val="00E2317F"/>
    <w:rsid w:val="00E2325F"/>
    <w:rsid w:val="00E23303"/>
    <w:rsid w:val="00E23376"/>
    <w:rsid w:val="00E2370E"/>
    <w:rsid w:val="00E2377A"/>
    <w:rsid w:val="00E238F3"/>
    <w:rsid w:val="00E23963"/>
    <w:rsid w:val="00E23A76"/>
    <w:rsid w:val="00E24226"/>
    <w:rsid w:val="00E246E2"/>
    <w:rsid w:val="00E248FC"/>
    <w:rsid w:val="00E24A04"/>
    <w:rsid w:val="00E24CCD"/>
    <w:rsid w:val="00E251B1"/>
    <w:rsid w:val="00E251BA"/>
    <w:rsid w:val="00E25324"/>
    <w:rsid w:val="00E25373"/>
    <w:rsid w:val="00E253A3"/>
    <w:rsid w:val="00E254D2"/>
    <w:rsid w:val="00E2561D"/>
    <w:rsid w:val="00E257AD"/>
    <w:rsid w:val="00E257EE"/>
    <w:rsid w:val="00E25993"/>
    <w:rsid w:val="00E25A3E"/>
    <w:rsid w:val="00E25B0F"/>
    <w:rsid w:val="00E25C74"/>
    <w:rsid w:val="00E25CA7"/>
    <w:rsid w:val="00E25F9C"/>
    <w:rsid w:val="00E25FC9"/>
    <w:rsid w:val="00E26216"/>
    <w:rsid w:val="00E26229"/>
    <w:rsid w:val="00E2656C"/>
    <w:rsid w:val="00E26655"/>
    <w:rsid w:val="00E26710"/>
    <w:rsid w:val="00E268BF"/>
    <w:rsid w:val="00E268C1"/>
    <w:rsid w:val="00E26972"/>
    <w:rsid w:val="00E26CFA"/>
    <w:rsid w:val="00E26D12"/>
    <w:rsid w:val="00E26E69"/>
    <w:rsid w:val="00E2758E"/>
    <w:rsid w:val="00E277B9"/>
    <w:rsid w:val="00E277BE"/>
    <w:rsid w:val="00E27A9C"/>
    <w:rsid w:val="00E27C1E"/>
    <w:rsid w:val="00E27D42"/>
    <w:rsid w:val="00E27EEE"/>
    <w:rsid w:val="00E3000D"/>
    <w:rsid w:val="00E300FE"/>
    <w:rsid w:val="00E30252"/>
    <w:rsid w:val="00E305D0"/>
    <w:rsid w:val="00E30622"/>
    <w:rsid w:val="00E3082E"/>
    <w:rsid w:val="00E3098F"/>
    <w:rsid w:val="00E30B27"/>
    <w:rsid w:val="00E30C70"/>
    <w:rsid w:val="00E30D4A"/>
    <w:rsid w:val="00E30DDB"/>
    <w:rsid w:val="00E30E7E"/>
    <w:rsid w:val="00E30F53"/>
    <w:rsid w:val="00E31027"/>
    <w:rsid w:val="00E31039"/>
    <w:rsid w:val="00E3140E"/>
    <w:rsid w:val="00E31468"/>
    <w:rsid w:val="00E314A1"/>
    <w:rsid w:val="00E314F9"/>
    <w:rsid w:val="00E31549"/>
    <w:rsid w:val="00E31559"/>
    <w:rsid w:val="00E315E4"/>
    <w:rsid w:val="00E3165B"/>
    <w:rsid w:val="00E316C0"/>
    <w:rsid w:val="00E3177F"/>
    <w:rsid w:val="00E3180A"/>
    <w:rsid w:val="00E31A6E"/>
    <w:rsid w:val="00E31C2F"/>
    <w:rsid w:val="00E31F90"/>
    <w:rsid w:val="00E320E0"/>
    <w:rsid w:val="00E32265"/>
    <w:rsid w:val="00E322C4"/>
    <w:rsid w:val="00E32456"/>
    <w:rsid w:val="00E324C3"/>
    <w:rsid w:val="00E32644"/>
    <w:rsid w:val="00E3264D"/>
    <w:rsid w:val="00E32658"/>
    <w:rsid w:val="00E32831"/>
    <w:rsid w:val="00E329F1"/>
    <w:rsid w:val="00E32A86"/>
    <w:rsid w:val="00E32B80"/>
    <w:rsid w:val="00E32C5A"/>
    <w:rsid w:val="00E32CDE"/>
    <w:rsid w:val="00E32D28"/>
    <w:rsid w:val="00E32EA3"/>
    <w:rsid w:val="00E330AC"/>
    <w:rsid w:val="00E33114"/>
    <w:rsid w:val="00E33285"/>
    <w:rsid w:val="00E33456"/>
    <w:rsid w:val="00E33481"/>
    <w:rsid w:val="00E337CE"/>
    <w:rsid w:val="00E337D0"/>
    <w:rsid w:val="00E3391E"/>
    <w:rsid w:val="00E339BB"/>
    <w:rsid w:val="00E33E0E"/>
    <w:rsid w:val="00E33E12"/>
    <w:rsid w:val="00E33EAF"/>
    <w:rsid w:val="00E33F6D"/>
    <w:rsid w:val="00E3406E"/>
    <w:rsid w:val="00E3430C"/>
    <w:rsid w:val="00E34345"/>
    <w:rsid w:val="00E34438"/>
    <w:rsid w:val="00E344A7"/>
    <w:rsid w:val="00E348C5"/>
    <w:rsid w:val="00E3494B"/>
    <w:rsid w:val="00E34A94"/>
    <w:rsid w:val="00E34A9C"/>
    <w:rsid w:val="00E34BBC"/>
    <w:rsid w:val="00E34EDE"/>
    <w:rsid w:val="00E34F85"/>
    <w:rsid w:val="00E3503A"/>
    <w:rsid w:val="00E35230"/>
    <w:rsid w:val="00E35334"/>
    <w:rsid w:val="00E35404"/>
    <w:rsid w:val="00E3563D"/>
    <w:rsid w:val="00E356E8"/>
    <w:rsid w:val="00E35976"/>
    <w:rsid w:val="00E35B5D"/>
    <w:rsid w:val="00E35CA5"/>
    <w:rsid w:val="00E35CF1"/>
    <w:rsid w:val="00E35E1E"/>
    <w:rsid w:val="00E35ECA"/>
    <w:rsid w:val="00E3608E"/>
    <w:rsid w:val="00E364D3"/>
    <w:rsid w:val="00E365C7"/>
    <w:rsid w:val="00E36880"/>
    <w:rsid w:val="00E36B51"/>
    <w:rsid w:val="00E36D78"/>
    <w:rsid w:val="00E36DF5"/>
    <w:rsid w:val="00E36E5D"/>
    <w:rsid w:val="00E36ED3"/>
    <w:rsid w:val="00E36F90"/>
    <w:rsid w:val="00E37052"/>
    <w:rsid w:val="00E3742D"/>
    <w:rsid w:val="00E376B7"/>
    <w:rsid w:val="00E376E1"/>
    <w:rsid w:val="00E376E2"/>
    <w:rsid w:val="00E37713"/>
    <w:rsid w:val="00E37871"/>
    <w:rsid w:val="00E37A7E"/>
    <w:rsid w:val="00E37ABD"/>
    <w:rsid w:val="00E37B43"/>
    <w:rsid w:val="00E37C0A"/>
    <w:rsid w:val="00E37C27"/>
    <w:rsid w:val="00E37C2E"/>
    <w:rsid w:val="00E37F51"/>
    <w:rsid w:val="00E400A8"/>
    <w:rsid w:val="00E40241"/>
    <w:rsid w:val="00E40528"/>
    <w:rsid w:val="00E405E0"/>
    <w:rsid w:val="00E405FD"/>
    <w:rsid w:val="00E40959"/>
    <w:rsid w:val="00E40BEC"/>
    <w:rsid w:val="00E40D59"/>
    <w:rsid w:val="00E41249"/>
    <w:rsid w:val="00E41269"/>
    <w:rsid w:val="00E412D3"/>
    <w:rsid w:val="00E41329"/>
    <w:rsid w:val="00E4136A"/>
    <w:rsid w:val="00E41659"/>
    <w:rsid w:val="00E4171A"/>
    <w:rsid w:val="00E4177C"/>
    <w:rsid w:val="00E4187D"/>
    <w:rsid w:val="00E41BBB"/>
    <w:rsid w:val="00E41BF6"/>
    <w:rsid w:val="00E41C8F"/>
    <w:rsid w:val="00E41DF2"/>
    <w:rsid w:val="00E42182"/>
    <w:rsid w:val="00E42325"/>
    <w:rsid w:val="00E4287D"/>
    <w:rsid w:val="00E42941"/>
    <w:rsid w:val="00E42943"/>
    <w:rsid w:val="00E429CC"/>
    <w:rsid w:val="00E42AB4"/>
    <w:rsid w:val="00E42BE9"/>
    <w:rsid w:val="00E42C27"/>
    <w:rsid w:val="00E42DE5"/>
    <w:rsid w:val="00E430BB"/>
    <w:rsid w:val="00E43164"/>
    <w:rsid w:val="00E433DB"/>
    <w:rsid w:val="00E43870"/>
    <w:rsid w:val="00E4397A"/>
    <w:rsid w:val="00E43991"/>
    <w:rsid w:val="00E43D3D"/>
    <w:rsid w:val="00E43ED1"/>
    <w:rsid w:val="00E43EF5"/>
    <w:rsid w:val="00E43F01"/>
    <w:rsid w:val="00E43F07"/>
    <w:rsid w:val="00E43F6A"/>
    <w:rsid w:val="00E4406E"/>
    <w:rsid w:val="00E442AB"/>
    <w:rsid w:val="00E44386"/>
    <w:rsid w:val="00E44487"/>
    <w:rsid w:val="00E445D9"/>
    <w:rsid w:val="00E445DC"/>
    <w:rsid w:val="00E4486F"/>
    <w:rsid w:val="00E448C6"/>
    <w:rsid w:val="00E44945"/>
    <w:rsid w:val="00E44A3B"/>
    <w:rsid w:val="00E44A5D"/>
    <w:rsid w:val="00E44D96"/>
    <w:rsid w:val="00E45024"/>
    <w:rsid w:val="00E4504B"/>
    <w:rsid w:val="00E4529D"/>
    <w:rsid w:val="00E452D7"/>
    <w:rsid w:val="00E452DE"/>
    <w:rsid w:val="00E45493"/>
    <w:rsid w:val="00E45614"/>
    <w:rsid w:val="00E45641"/>
    <w:rsid w:val="00E4568D"/>
    <w:rsid w:val="00E45835"/>
    <w:rsid w:val="00E459E0"/>
    <w:rsid w:val="00E45C8C"/>
    <w:rsid w:val="00E45DFC"/>
    <w:rsid w:val="00E45F0E"/>
    <w:rsid w:val="00E460C1"/>
    <w:rsid w:val="00E46123"/>
    <w:rsid w:val="00E4625C"/>
    <w:rsid w:val="00E46298"/>
    <w:rsid w:val="00E46301"/>
    <w:rsid w:val="00E4668E"/>
    <w:rsid w:val="00E466E5"/>
    <w:rsid w:val="00E4688F"/>
    <w:rsid w:val="00E46A44"/>
    <w:rsid w:val="00E46ABD"/>
    <w:rsid w:val="00E46BAB"/>
    <w:rsid w:val="00E46C7A"/>
    <w:rsid w:val="00E470DE"/>
    <w:rsid w:val="00E47258"/>
    <w:rsid w:val="00E475C8"/>
    <w:rsid w:val="00E4763A"/>
    <w:rsid w:val="00E476B5"/>
    <w:rsid w:val="00E47831"/>
    <w:rsid w:val="00E47B35"/>
    <w:rsid w:val="00E47D23"/>
    <w:rsid w:val="00E47DA8"/>
    <w:rsid w:val="00E47F7A"/>
    <w:rsid w:val="00E47FC0"/>
    <w:rsid w:val="00E47FF6"/>
    <w:rsid w:val="00E50117"/>
    <w:rsid w:val="00E50264"/>
    <w:rsid w:val="00E505A5"/>
    <w:rsid w:val="00E50848"/>
    <w:rsid w:val="00E509F6"/>
    <w:rsid w:val="00E50B43"/>
    <w:rsid w:val="00E50BBC"/>
    <w:rsid w:val="00E50FEB"/>
    <w:rsid w:val="00E5104B"/>
    <w:rsid w:val="00E5127C"/>
    <w:rsid w:val="00E512A4"/>
    <w:rsid w:val="00E51342"/>
    <w:rsid w:val="00E5166A"/>
    <w:rsid w:val="00E51673"/>
    <w:rsid w:val="00E51730"/>
    <w:rsid w:val="00E5176A"/>
    <w:rsid w:val="00E51A3B"/>
    <w:rsid w:val="00E51BB3"/>
    <w:rsid w:val="00E51C40"/>
    <w:rsid w:val="00E51F3C"/>
    <w:rsid w:val="00E52224"/>
    <w:rsid w:val="00E5247A"/>
    <w:rsid w:val="00E524F6"/>
    <w:rsid w:val="00E5254C"/>
    <w:rsid w:val="00E525A8"/>
    <w:rsid w:val="00E52773"/>
    <w:rsid w:val="00E527F2"/>
    <w:rsid w:val="00E52A41"/>
    <w:rsid w:val="00E52E41"/>
    <w:rsid w:val="00E53397"/>
    <w:rsid w:val="00E534B1"/>
    <w:rsid w:val="00E5354F"/>
    <w:rsid w:val="00E537C1"/>
    <w:rsid w:val="00E538CB"/>
    <w:rsid w:val="00E53912"/>
    <w:rsid w:val="00E53BDA"/>
    <w:rsid w:val="00E53D2E"/>
    <w:rsid w:val="00E53E73"/>
    <w:rsid w:val="00E54128"/>
    <w:rsid w:val="00E5419D"/>
    <w:rsid w:val="00E541BE"/>
    <w:rsid w:val="00E5450C"/>
    <w:rsid w:val="00E5459B"/>
    <w:rsid w:val="00E5464B"/>
    <w:rsid w:val="00E54670"/>
    <w:rsid w:val="00E54A81"/>
    <w:rsid w:val="00E54F42"/>
    <w:rsid w:val="00E5510E"/>
    <w:rsid w:val="00E55278"/>
    <w:rsid w:val="00E55354"/>
    <w:rsid w:val="00E5545E"/>
    <w:rsid w:val="00E5546F"/>
    <w:rsid w:val="00E55595"/>
    <w:rsid w:val="00E55601"/>
    <w:rsid w:val="00E55678"/>
    <w:rsid w:val="00E556D2"/>
    <w:rsid w:val="00E55811"/>
    <w:rsid w:val="00E55FAA"/>
    <w:rsid w:val="00E5602A"/>
    <w:rsid w:val="00E5636A"/>
    <w:rsid w:val="00E56655"/>
    <w:rsid w:val="00E567F9"/>
    <w:rsid w:val="00E56894"/>
    <w:rsid w:val="00E568C6"/>
    <w:rsid w:val="00E56B34"/>
    <w:rsid w:val="00E56DBD"/>
    <w:rsid w:val="00E56EDC"/>
    <w:rsid w:val="00E56EDF"/>
    <w:rsid w:val="00E56F87"/>
    <w:rsid w:val="00E57256"/>
    <w:rsid w:val="00E572BC"/>
    <w:rsid w:val="00E573B2"/>
    <w:rsid w:val="00E5742D"/>
    <w:rsid w:val="00E57483"/>
    <w:rsid w:val="00E57497"/>
    <w:rsid w:val="00E574B7"/>
    <w:rsid w:val="00E57755"/>
    <w:rsid w:val="00E57933"/>
    <w:rsid w:val="00E57A23"/>
    <w:rsid w:val="00E57ABA"/>
    <w:rsid w:val="00E57B11"/>
    <w:rsid w:val="00E57BCB"/>
    <w:rsid w:val="00E57CD1"/>
    <w:rsid w:val="00E57D25"/>
    <w:rsid w:val="00E57DB7"/>
    <w:rsid w:val="00E57E40"/>
    <w:rsid w:val="00E57E63"/>
    <w:rsid w:val="00E60221"/>
    <w:rsid w:val="00E60301"/>
    <w:rsid w:val="00E604C0"/>
    <w:rsid w:val="00E605F1"/>
    <w:rsid w:val="00E605FC"/>
    <w:rsid w:val="00E60661"/>
    <w:rsid w:val="00E606EA"/>
    <w:rsid w:val="00E607C0"/>
    <w:rsid w:val="00E607F1"/>
    <w:rsid w:val="00E609BE"/>
    <w:rsid w:val="00E60AF8"/>
    <w:rsid w:val="00E60AFC"/>
    <w:rsid w:val="00E60B9A"/>
    <w:rsid w:val="00E60D3B"/>
    <w:rsid w:val="00E60D93"/>
    <w:rsid w:val="00E60E78"/>
    <w:rsid w:val="00E60FE4"/>
    <w:rsid w:val="00E61041"/>
    <w:rsid w:val="00E61486"/>
    <w:rsid w:val="00E61583"/>
    <w:rsid w:val="00E617B3"/>
    <w:rsid w:val="00E618E5"/>
    <w:rsid w:val="00E6193B"/>
    <w:rsid w:val="00E61971"/>
    <w:rsid w:val="00E61A31"/>
    <w:rsid w:val="00E61AD0"/>
    <w:rsid w:val="00E61CFC"/>
    <w:rsid w:val="00E61D89"/>
    <w:rsid w:val="00E61D8F"/>
    <w:rsid w:val="00E61F26"/>
    <w:rsid w:val="00E62111"/>
    <w:rsid w:val="00E6217D"/>
    <w:rsid w:val="00E6266D"/>
    <w:rsid w:val="00E62EF1"/>
    <w:rsid w:val="00E62F17"/>
    <w:rsid w:val="00E632A9"/>
    <w:rsid w:val="00E63788"/>
    <w:rsid w:val="00E6399E"/>
    <w:rsid w:val="00E639E8"/>
    <w:rsid w:val="00E63A69"/>
    <w:rsid w:val="00E63B34"/>
    <w:rsid w:val="00E63F56"/>
    <w:rsid w:val="00E63F7D"/>
    <w:rsid w:val="00E643B9"/>
    <w:rsid w:val="00E646D5"/>
    <w:rsid w:val="00E6473A"/>
    <w:rsid w:val="00E6495C"/>
    <w:rsid w:val="00E64C52"/>
    <w:rsid w:val="00E64EA1"/>
    <w:rsid w:val="00E65054"/>
    <w:rsid w:val="00E65970"/>
    <w:rsid w:val="00E65DB5"/>
    <w:rsid w:val="00E65E48"/>
    <w:rsid w:val="00E65E49"/>
    <w:rsid w:val="00E66093"/>
    <w:rsid w:val="00E660EB"/>
    <w:rsid w:val="00E6614A"/>
    <w:rsid w:val="00E661CF"/>
    <w:rsid w:val="00E66292"/>
    <w:rsid w:val="00E6651C"/>
    <w:rsid w:val="00E665E0"/>
    <w:rsid w:val="00E665F4"/>
    <w:rsid w:val="00E665FC"/>
    <w:rsid w:val="00E66658"/>
    <w:rsid w:val="00E6666B"/>
    <w:rsid w:val="00E668B0"/>
    <w:rsid w:val="00E669E6"/>
    <w:rsid w:val="00E66B17"/>
    <w:rsid w:val="00E66C22"/>
    <w:rsid w:val="00E66C49"/>
    <w:rsid w:val="00E66C71"/>
    <w:rsid w:val="00E66D7E"/>
    <w:rsid w:val="00E670A9"/>
    <w:rsid w:val="00E670E3"/>
    <w:rsid w:val="00E6716A"/>
    <w:rsid w:val="00E672DA"/>
    <w:rsid w:val="00E67438"/>
    <w:rsid w:val="00E676AB"/>
    <w:rsid w:val="00E67932"/>
    <w:rsid w:val="00E67C28"/>
    <w:rsid w:val="00E67EC2"/>
    <w:rsid w:val="00E67EFF"/>
    <w:rsid w:val="00E70242"/>
    <w:rsid w:val="00E70292"/>
    <w:rsid w:val="00E702F8"/>
    <w:rsid w:val="00E706E6"/>
    <w:rsid w:val="00E70726"/>
    <w:rsid w:val="00E7079B"/>
    <w:rsid w:val="00E707BA"/>
    <w:rsid w:val="00E7083E"/>
    <w:rsid w:val="00E7087C"/>
    <w:rsid w:val="00E709A9"/>
    <w:rsid w:val="00E70A4D"/>
    <w:rsid w:val="00E70B9F"/>
    <w:rsid w:val="00E70C71"/>
    <w:rsid w:val="00E70D54"/>
    <w:rsid w:val="00E70D71"/>
    <w:rsid w:val="00E70E02"/>
    <w:rsid w:val="00E70F11"/>
    <w:rsid w:val="00E7116F"/>
    <w:rsid w:val="00E7133A"/>
    <w:rsid w:val="00E7147A"/>
    <w:rsid w:val="00E715CC"/>
    <w:rsid w:val="00E71654"/>
    <w:rsid w:val="00E716D4"/>
    <w:rsid w:val="00E7178A"/>
    <w:rsid w:val="00E718E9"/>
    <w:rsid w:val="00E7195E"/>
    <w:rsid w:val="00E7197E"/>
    <w:rsid w:val="00E719E8"/>
    <w:rsid w:val="00E71C9A"/>
    <w:rsid w:val="00E7211B"/>
    <w:rsid w:val="00E721D4"/>
    <w:rsid w:val="00E722D1"/>
    <w:rsid w:val="00E723A1"/>
    <w:rsid w:val="00E7253F"/>
    <w:rsid w:val="00E72750"/>
    <w:rsid w:val="00E729D0"/>
    <w:rsid w:val="00E72B91"/>
    <w:rsid w:val="00E72E9F"/>
    <w:rsid w:val="00E72EAF"/>
    <w:rsid w:val="00E73024"/>
    <w:rsid w:val="00E7309F"/>
    <w:rsid w:val="00E730C8"/>
    <w:rsid w:val="00E73199"/>
    <w:rsid w:val="00E731A3"/>
    <w:rsid w:val="00E732AC"/>
    <w:rsid w:val="00E7331B"/>
    <w:rsid w:val="00E737BE"/>
    <w:rsid w:val="00E737E6"/>
    <w:rsid w:val="00E73B57"/>
    <w:rsid w:val="00E73D0F"/>
    <w:rsid w:val="00E73E12"/>
    <w:rsid w:val="00E74394"/>
    <w:rsid w:val="00E74607"/>
    <w:rsid w:val="00E7480B"/>
    <w:rsid w:val="00E74843"/>
    <w:rsid w:val="00E7486F"/>
    <w:rsid w:val="00E74B47"/>
    <w:rsid w:val="00E74B49"/>
    <w:rsid w:val="00E74E0C"/>
    <w:rsid w:val="00E74E1C"/>
    <w:rsid w:val="00E74E28"/>
    <w:rsid w:val="00E74EF7"/>
    <w:rsid w:val="00E750BA"/>
    <w:rsid w:val="00E750BB"/>
    <w:rsid w:val="00E75456"/>
    <w:rsid w:val="00E754C5"/>
    <w:rsid w:val="00E7559F"/>
    <w:rsid w:val="00E755AF"/>
    <w:rsid w:val="00E757D6"/>
    <w:rsid w:val="00E75990"/>
    <w:rsid w:val="00E75C27"/>
    <w:rsid w:val="00E75EA9"/>
    <w:rsid w:val="00E75FF1"/>
    <w:rsid w:val="00E7615B"/>
    <w:rsid w:val="00E763A2"/>
    <w:rsid w:val="00E76409"/>
    <w:rsid w:val="00E7659D"/>
    <w:rsid w:val="00E767B4"/>
    <w:rsid w:val="00E768B6"/>
    <w:rsid w:val="00E7692B"/>
    <w:rsid w:val="00E76935"/>
    <w:rsid w:val="00E769D7"/>
    <w:rsid w:val="00E76A26"/>
    <w:rsid w:val="00E76AB7"/>
    <w:rsid w:val="00E76C7C"/>
    <w:rsid w:val="00E76D05"/>
    <w:rsid w:val="00E76F42"/>
    <w:rsid w:val="00E7763A"/>
    <w:rsid w:val="00E77A5D"/>
    <w:rsid w:val="00E77B21"/>
    <w:rsid w:val="00E77D6A"/>
    <w:rsid w:val="00E77FA0"/>
    <w:rsid w:val="00E800F8"/>
    <w:rsid w:val="00E8012A"/>
    <w:rsid w:val="00E80621"/>
    <w:rsid w:val="00E80D8A"/>
    <w:rsid w:val="00E80F73"/>
    <w:rsid w:val="00E80F85"/>
    <w:rsid w:val="00E8125A"/>
    <w:rsid w:val="00E81481"/>
    <w:rsid w:val="00E81524"/>
    <w:rsid w:val="00E8168D"/>
    <w:rsid w:val="00E816BC"/>
    <w:rsid w:val="00E819AC"/>
    <w:rsid w:val="00E81CAB"/>
    <w:rsid w:val="00E81F2B"/>
    <w:rsid w:val="00E822FC"/>
    <w:rsid w:val="00E82363"/>
    <w:rsid w:val="00E825F7"/>
    <w:rsid w:val="00E82630"/>
    <w:rsid w:val="00E82953"/>
    <w:rsid w:val="00E82A08"/>
    <w:rsid w:val="00E82A3A"/>
    <w:rsid w:val="00E82B0F"/>
    <w:rsid w:val="00E82C82"/>
    <w:rsid w:val="00E82CEB"/>
    <w:rsid w:val="00E82DC1"/>
    <w:rsid w:val="00E82E08"/>
    <w:rsid w:val="00E82F00"/>
    <w:rsid w:val="00E83076"/>
    <w:rsid w:val="00E831AB"/>
    <w:rsid w:val="00E832DE"/>
    <w:rsid w:val="00E83437"/>
    <w:rsid w:val="00E83670"/>
    <w:rsid w:val="00E8369D"/>
    <w:rsid w:val="00E83712"/>
    <w:rsid w:val="00E83814"/>
    <w:rsid w:val="00E83919"/>
    <w:rsid w:val="00E83992"/>
    <w:rsid w:val="00E83B27"/>
    <w:rsid w:val="00E83C1A"/>
    <w:rsid w:val="00E83D07"/>
    <w:rsid w:val="00E83DE0"/>
    <w:rsid w:val="00E83E9D"/>
    <w:rsid w:val="00E83EDE"/>
    <w:rsid w:val="00E840EA"/>
    <w:rsid w:val="00E8419D"/>
    <w:rsid w:val="00E84527"/>
    <w:rsid w:val="00E845C8"/>
    <w:rsid w:val="00E846DE"/>
    <w:rsid w:val="00E8474B"/>
    <w:rsid w:val="00E847A4"/>
    <w:rsid w:val="00E848C2"/>
    <w:rsid w:val="00E84FE0"/>
    <w:rsid w:val="00E8524D"/>
    <w:rsid w:val="00E85412"/>
    <w:rsid w:val="00E8544A"/>
    <w:rsid w:val="00E85513"/>
    <w:rsid w:val="00E85569"/>
    <w:rsid w:val="00E8584A"/>
    <w:rsid w:val="00E85C26"/>
    <w:rsid w:val="00E85C53"/>
    <w:rsid w:val="00E85E50"/>
    <w:rsid w:val="00E85EFC"/>
    <w:rsid w:val="00E860B5"/>
    <w:rsid w:val="00E861A1"/>
    <w:rsid w:val="00E863A0"/>
    <w:rsid w:val="00E864DC"/>
    <w:rsid w:val="00E86660"/>
    <w:rsid w:val="00E86962"/>
    <w:rsid w:val="00E869FF"/>
    <w:rsid w:val="00E86A20"/>
    <w:rsid w:val="00E86CA8"/>
    <w:rsid w:val="00E86F2C"/>
    <w:rsid w:val="00E86F47"/>
    <w:rsid w:val="00E86F8D"/>
    <w:rsid w:val="00E8725E"/>
    <w:rsid w:val="00E875A3"/>
    <w:rsid w:val="00E877F4"/>
    <w:rsid w:val="00E87B94"/>
    <w:rsid w:val="00E87D3C"/>
    <w:rsid w:val="00E87EF2"/>
    <w:rsid w:val="00E90178"/>
    <w:rsid w:val="00E90651"/>
    <w:rsid w:val="00E909DB"/>
    <w:rsid w:val="00E90A32"/>
    <w:rsid w:val="00E90ACA"/>
    <w:rsid w:val="00E90AF3"/>
    <w:rsid w:val="00E90B0F"/>
    <w:rsid w:val="00E90BA6"/>
    <w:rsid w:val="00E90BDD"/>
    <w:rsid w:val="00E90C20"/>
    <w:rsid w:val="00E90CB9"/>
    <w:rsid w:val="00E90DF8"/>
    <w:rsid w:val="00E90E4D"/>
    <w:rsid w:val="00E91059"/>
    <w:rsid w:val="00E91171"/>
    <w:rsid w:val="00E91248"/>
    <w:rsid w:val="00E9128E"/>
    <w:rsid w:val="00E91382"/>
    <w:rsid w:val="00E91572"/>
    <w:rsid w:val="00E9175F"/>
    <w:rsid w:val="00E917B2"/>
    <w:rsid w:val="00E917ED"/>
    <w:rsid w:val="00E9194E"/>
    <w:rsid w:val="00E91B3F"/>
    <w:rsid w:val="00E91E94"/>
    <w:rsid w:val="00E921F6"/>
    <w:rsid w:val="00E92227"/>
    <w:rsid w:val="00E923F8"/>
    <w:rsid w:val="00E92483"/>
    <w:rsid w:val="00E92514"/>
    <w:rsid w:val="00E9265E"/>
    <w:rsid w:val="00E9288D"/>
    <w:rsid w:val="00E928FF"/>
    <w:rsid w:val="00E92983"/>
    <w:rsid w:val="00E929B7"/>
    <w:rsid w:val="00E92A00"/>
    <w:rsid w:val="00E92A2B"/>
    <w:rsid w:val="00E92A95"/>
    <w:rsid w:val="00E92CB3"/>
    <w:rsid w:val="00E92D76"/>
    <w:rsid w:val="00E92DA3"/>
    <w:rsid w:val="00E92E59"/>
    <w:rsid w:val="00E92EAE"/>
    <w:rsid w:val="00E92FFE"/>
    <w:rsid w:val="00E93413"/>
    <w:rsid w:val="00E936CB"/>
    <w:rsid w:val="00E9376B"/>
    <w:rsid w:val="00E93BF2"/>
    <w:rsid w:val="00E93DC9"/>
    <w:rsid w:val="00E94255"/>
    <w:rsid w:val="00E94690"/>
    <w:rsid w:val="00E9481C"/>
    <w:rsid w:val="00E94AEE"/>
    <w:rsid w:val="00E94B0D"/>
    <w:rsid w:val="00E94D20"/>
    <w:rsid w:val="00E94E50"/>
    <w:rsid w:val="00E94EAF"/>
    <w:rsid w:val="00E94EDD"/>
    <w:rsid w:val="00E94F7E"/>
    <w:rsid w:val="00E952E2"/>
    <w:rsid w:val="00E953A5"/>
    <w:rsid w:val="00E953F2"/>
    <w:rsid w:val="00E9558C"/>
    <w:rsid w:val="00E95668"/>
    <w:rsid w:val="00E95846"/>
    <w:rsid w:val="00E959AB"/>
    <w:rsid w:val="00E95AA3"/>
    <w:rsid w:val="00E95CE8"/>
    <w:rsid w:val="00E95CEB"/>
    <w:rsid w:val="00E95F70"/>
    <w:rsid w:val="00E96013"/>
    <w:rsid w:val="00E96040"/>
    <w:rsid w:val="00E96097"/>
    <w:rsid w:val="00E9620F"/>
    <w:rsid w:val="00E96257"/>
    <w:rsid w:val="00E968B6"/>
    <w:rsid w:val="00E96AD8"/>
    <w:rsid w:val="00E96DA8"/>
    <w:rsid w:val="00E96EE0"/>
    <w:rsid w:val="00E97020"/>
    <w:rsid w:val="00E970F7"/>
    <w:rsid w:val="00E97374"/>
    <w:rsid w:val="00E973D1"/>
    <w:rsid w:val="00E97563"/>
    <w:rsid w:val="00E9769A"/>
    <w:rsid w:val="00E977F0"/>
    <w:rsid w:val="00E97851"/>
    <w:rsid w:val="00E978DA"/>
    <w:rsid w:val="00E979CB"/>
    <w:rsid w:val="00E97BEA"/>
    <w:rsid w:val="00E97C7D"/>
    <w:rsid w:val="00E97DAE"/>
    <w:rsid w:val="00E97E55"/>
    <w:rsid w:val="00EA009E"/>
    <w:rsid w:val="00EA00C8"/>
    <w:rsid w:val="00EA021E"/>
    <w:rsid w:val="00EA04B1"/>
    <w:rsid w:val="00EA0552"/>
    <w:rsid w:val="00EA056A"/>
    <w:rsid w:val="00EA06F7"/>
    <w:rsid w:val="00EA07E5"/>
    <w:rsid w:val="00EA0983"/>
    <w:rsid w:val="00EA0B4A"/>
    <w:rsid w:val="00EA0C83"/>
    <w:rsid w:val="00EA0E02"/>
    <w:rsid w:val="00EA0ED6"/>
    <w:rsid w:val="00EA0EF4"/>
    <w:rsid w:val="00EA0F2B"/>
    <w:rsid w:val="00EA100C"/>
    <w:rsid w:val="00EA15BA"/>
    <w:rsid w:val="00EA1649"/>
    <w:rsid w:val="00EA1739"/>
    <w:rsid w:val="00EA18EA"/>
    <w:rsid w:val="00EA1D99"/>
    <w:rsid w:val="00EA1E9A"/>
    <w:rsid w:val="00EA2135"/>
    <w:rsid w:val="00EA2151"/>
    <w:rsid w:val="00EA231F"/>
    <w:rsid w:val="00EA237E"/>
    <w:rsid w:val="00EA23E9"/>
    <w:rsid w:val="00EA2B7A"/>
    <w:rsid w:val="00EA2D40"/>
    <w:rsid w:val="00EA2E2F"/>
    <w:rsid w:val="00EA2F09"/>
    <w:rsid w:val="00EA3142"/>
    <w:rsid w:val="00EA340A"/>
    <w:rsid w:val="00EA34D2"/>
    <w:rsid w:val="00EA354A"/>
    <w:rsid w:val="00EA3555"/>
    <w:rsid w:val="00EA3588"/>
    <w:rsid w:val="00EA3599"/>
    <w:rsid w:val="00EA37D5"/>
    <w:rsid w:val="00EA3A4F"/>
    <w:rsid w:val="00EA3AC5"/>
    <w:rsid w:val="00EA3E59"/>
    <w:rsid w:val="00EA3F1B"/>
    <w:rsid w:val="00EA4058"/>
    <w:rsid w:val="00EA4492"/>
    <w:rsid w:val="00EA45A8"/>
    <w:rsid w:val="00EA45DA"/>
    <w:rsid w:val="00EA4607"/>
    <w:rsid w:val="00EA48B1"/>
    <w:rsid w:val="00EA4C0D"/>
    <w:rsid w:val="00EA4EC4"/>
    <w:rsid w:val="00EA4ED5"/>
    <w:rsid w:val="00EA4F99"/>
    <w:rsid w:val="00EA4FE5"/>
    <w:rsid w:val="00EA5106"/>
    <w:rsid w:val="00EA5162"/>
    <w:rsid w:val="00EA5617"/>
    <w:rsid w:val="00EA561D"/>
    <w:rsid w:val="00EA576E"/>
    <w:rsid w:val="00EA5D2B"/>
    <w:rsid w:val="00EA5DD5"/>
    <w:rsid w:val="00EA5E4B"/>
    <w:rsid w:val="00EA5F88"/>
    <w:rsid w:val="00EA606E"/>
    <w:rsid w:val="00EA6514"/>
    <w:rsid w:val="00EA67B6"/>
    <w:rsid w:val="00EA69BE"/>
    <w:rsid w:val="00EA6CC3"/>
    <w:rsid w:val="00EA6EC3"/>
    <w:rsid w:val="00EA703D"/>
    <w:rsid w:val="00EA73B0"/>
    <w:rsid w:val="00EA73E0"/>
    <w:rsid w:val="00EA755F"/>
    <w:rsid w:val="00EA767A"/>
    <w:rsid w:val="00EA77E3"/>
    <w:rsid w:val="00EA780C"/>
    <w:rsid w:val="00EA7834"/>
    <w:rsid w:val="00EA7977"/>
    <w:rsid w:val="00EA798F"/>
    <w:rsid w:val="00EA7A43"/>
    <w:rsid w:val="00EA7CF2"/>
    <w:rsid w:val="00EA7D28"/>
    <w:rsid w:val="00EA7DAB"/>
    <w:rsid w:val="00EA7EBC"/>
    <w:rsid w:val="00EB011F"/>
    <w:rsid w:val="00EB028B"/>
    <w:rsid w:val="00EB0710"/>
    <w:rsid w:val="00EB073B"/>
    <w:rsid w:val="00EB0810"/>
    <w:rsid w:val="00EB087B"/>
    <w:rsid w:val="00EB08B3"/>
    <w:rsid w:val="00EB08E0"/>
    <w:rsid w:val="00EB09D8"/>
    <w:rsid w:val="00EB0B0F"/>
    <w:rsid w:val="00EB0BCE"/>
    <w:rsid w:val="00EB0E2B"/>
    <w:rsid w:val="00EB0F84"/>
    <w:rsid w:val="00EB1005"/>
    <w:rsid w:val="00EB1037"/>
    <w:rsid w:val="00EB1328"/>
    <w:rsid w:val="00EB1398"/>
    <w:rsid w:val="00EB143E"/>
    <w:rsid w:val="00EB15F0"/>
    <w:rsid w:val="00EB1949"/>
    <w:rsid w:val="00EB1D7F"/>
    <w:rsid w:val="00EB1E6E"/>
    <w:rsid w:val="00EB208F"/>
    <w:rsid w:val="00EB2417"/>
    <w:rsid w:val="00EB246D"/>
    <w:rsid w:val="00EB24C0"/>
    <w:rsid w:val="00EB271C"/>
    <w:rsid w:val="00EB2848"/>
    <w:rsid w:val="00EB2937"/>
    <w:rsid w:val="00EB2CAC"/>
    <w:rsid w:val="00EB2CF2"/>
    <w:rsid w:val="00EB2FD0"/>
    <w:rsid w:val="00EB3037"/>
    <w:rsid w:val="00EB31DC"/>
    <w:rsid w:val="00EB33BB"/>
    <w:rsid w:val="00EB3428"/>
    <w:rsid w:val="00EB3507"/>
    <w:rsid w:val="00EB3551"/>
    <w:rsid w:val="00EB3600"/>
    <w:rsid w:val="00EB369D"/>
    <w:rsid w:val="00EB3903"/>
    <w:rsid w:val="00EB3AD4"/>
    <w:rsid w:val="00EB410B"/>
    <w:rsid w:val="00EB415F"/>
    <w:rsid w:val="00EB41C2"/>
    <w:rsid w:val="00EB43F2"/>
    <w:rsid w:val="00EB44E8"/>
    <w:rsid w:val="00EB44E9"/>
    <w:rsid w:val="00EB4566"/>
    <w:rsid w:val="00EB4743"/>
    <w:rsid w:val="00EB47A4"/>
    <w:rsid w:val="00EB482F"/>
    <w:rsid w:val="00EB4A80"/>
    <w:rsid w:val="00EB4D1F"/>
    <w:rsid w:val="00EB4DC6"/>
    <w:rsid w:val="00EB50F7"/>
    <w:rsid w:val="00EB51AB"/>
    <w:rsid w:val="00EB5310"/>
    <w:rsid w:val="00EB531B"/>
    <w:rsid w:val="00EB5858"/>
    <w:rsid w:val="00EB5D75"/>
    <w:rsid w:val="00EB5DFB"/>
    <w:rsid w:val="00EB5E3F"/>
    <w:rsid w:val="00EB6164"/>
    <w:rsid w:val="00EB617F"/>
    <w:rsid w:val="00EB62BA"/>
    <w:rsid w:val="00EB657C"/>
    <w:rsid w:val="00EB6615"/>
    <w:rsid w:val="00EB66BE"/>
    <w:rsid w:val="00EB6867"/>
    <w:rsid w:val="00EB693D"/>
    <w:rsid w:val="00EB6DB2"/>
    <w:rsid w:val="00EB6F49"/>
    <w:rsid w:val="00EB6F55"/>
    <w:rsid w:val="00EB70E6"/>
    <w:rsid w:val="00EB71D4"/>
    <w:rsid w:val="00EB73B5"/>
    <w:rsid w:val="00EB7429"/>
    <w:rsid w:val="00EB78F9"/>
    <w:rsid w:val="00EB7A4B"/>
    <w:rsid w:val="00EB7B05"/>
    <w:rsid w:val="00EB7F81"/>
    <w:rsid w:val="00EC0539"/>
    <w:rsid w:val="00EC0931"/>
    <w:rsid w:val="00EC09F2"/>
    <w:rsid w:val="00EC0B62"/>
    <w:rsid w:val="00EC0C16"/>
    <w:rsid w:val="00EC0DAD"/>
    <w:rsid w:val="00EC0F1A"/>
    <w:rsid w:val="00EC1189"/>
    <w:rsid w:val="00EC11C6"/>
    <w:rsid w:val="00EC132F"/>
    <w:rsid w:val="00EC1350"/>
    <w:rsid w:val="00EC15CC"/>
    <w:rsid w:val="00EC1701"/>
    <w:rsid w:val="00EC199B"/>
    <w:rsid w:val="00EC19E2"/>
    <w:rsid w:val="00EC1AC4"/>
    <w:rsid w:val="00EC1C4A"/>
    <w:rsid w:val="00EC1DF0"/>
    <w:rsid w:val="00EC20F8"/>
    <w:rsid w:val="00EC217F"/>
    <w:rsid w:val="00EC221A"/>
    <w:rsid w:val="00EC2312"/>
    <w:rsid w:val="00EC24DC"/>
    <w:rsid w:val="00EC24EE"/>
    <w:rsid w:val="00EC288C"/>
    <w:rsid w:val="00EC2A8D"/>
    <w:rsid w:val="00EC2C66"/>
    <w:rsid w:val="00EC2CB5"/>
    <w:rsid w:val="00EC2D91"/>
    <w:rsid w:val="00EC31CF"/>
    <w:rsid w:val="00EC32B8"/>
    <w:rsid w:val="00EC33DE"/>
    <w:rsid w:val="00EC3582"/>
    <w:rsid w:val="00EC367F"/>
    <w:rsid w:val="00EC371C"/>
    <w:rsid w:val="00EC3779"/>
    <w:rsid w:val="00EC37B5"/>
    <w:rsid w:val="00EC37F8"/>
    <w:rsid w:val="00EC39C7"/>
    <w:rsid w:val="00EC3B67"/>
    <w:rsid w:val="00EC3D53"/>
    <w:rsid w:val="00EC3FD7"/>
    <w:rsid w:val="00EC4339"/>
    <w:rsid w:val="00EC4361"/>
    <w:rsid w:val="00EC4488"/>
    <w:rsid w:val="00EC46C0"/>
    <w:rsid w:val="00EC4712"/>
    <w:rsid w:val="00EC49DF"/>
    <w:rsid w:val="00EC49F4"/>
    <w:rsid w:val="00EC4B33"/>
    <w:rsid w:val="00EC4DC0"/>
    <w:rsid w:val="00EC4DD6"/>
    <w:rsid w:val="00EC4F94"/>
    <w:rsid w:val="00EC5104"/>
    <w:rsid w:val="00EC5141"/>
    <w:rsid w:val="00EC5387"/>
    <w:rsid w:val="00EC53D0"/>
    <w:rsid w:val="00EC566F"/>
    <w:rsid w:val="00EC56B8"/>
    <w:rsid w:val="00EC57A2"/>
    <w:rsid w:val="00EC5DE9"/>
    <w:rsid w:val="00EC6065"/>
    <w:rsid w:val="00EC6189"/>
    <w:rsid w:val="00EC64E0"/>
    <w:rsid w:val="00EC6730"/>
    <w:rsid w:val="00EC676E"/>
    <w:rsid w:val="00EC697F"/>
    <w:rsid w:val="00EC6AFA"/>
    <w:rsid w:val="00EC6B19"/>
    <w:rsid w:val="00EC6BEA"/>
    <w:rsid w:val="00EC6C18"/>
    <w:rsid w:val="00EC70B8"/>
    <w:rsid w:val="00EC724C"/>
    <w:rsid w:val="00EC72FB"/>
    <w:rsid w:val="00EC7338"/>
    <w:rsid w:val="00EC735E"/>
    <w:rsid w:val="00EC74E2"/>
    <w:rsid w:val="00EC786E"/>
    <w:rsid w:val="00EC78BE"/>
    <w:rsid w:val="00EC7EDA"/>
    <w:rsid w:val="00EC7F79"/>
    <w:rsid w:val="00ED016F"/>
    <w:rsid w:val="00ED01E5"/>
    <w:rsid w:val="00ED06C4"/>
    <w:rsid w:val="00ED06F3"/>
    <w:rsid w:val="00ED0783"/>
    <w:rsid w:val="00ED07D4"/>
    <w:rsid w:val="00ED0974"/>
    <w:rsid w:val="00ED0BEB"/>
    <w:rsid w:val="00ED0CBA"/>
    <w:rsid w:val="00ED0D79"/>
    <w:rsid w:val="00ED1196"/>
    <w:rsid w:val="00ED11ED"/>
    <w:rsid w:val="00ED12CB"/>
    <w:rsid w:val="00ED13FE"/>
    <w:rsid w:val="00ED14FF"/>
    <w:rsid w:val="00ED18AC"/>
    <w:rsid w:val="00ED1AE9"/>
    <w:rsid w:val="00ED1BA2"/>
    <w:rsid w:val="00ED1BC6"/>
    <w:rsid w:val="00ED1CD0"/>
    <w:rsid w:val="00ED1FA8"/>
    <w:rsid w:val="00ED228A"/>
    <w:rsid w:val="00ED2320"/>
    <w:rsid w:val="00ED2380"/>
    <w:rsid w:val="00ED247A"/>
    <w:rsid w:val="00ED25C7"/>
    <w:rsid w:val="00ED2613"/>
    <w:rsid w:val="00ED266D"/>
    <w:rsid w:val="00ED268D"/>
    <w:rsid w:val="00ED26EC"/>
    <w:rsid w:val="00ED2827"/>
    <w:rsid w:val="00ED2841"/>
    <w:rsid w:val="00ED2A38"/>
    <w:rsid w:val="00ED2F65"/>
    <w:rsid w:val="00ED2F96"/>
    <w:rsid w:val="00ED3172"/>
    <w:rsid w:val="00ED32EE"/>
    <w:rsid w:val="00ED346A"/>
    <w:rsid w:val="00ED3594"/>
    <w:rsid w:val="00ED3729"/>
    <w:rsid w:val="00ED37E1"/>
    <w:rsid w:val="00ED3960"/>
    <w:rsid w:val="00ED39D1"/>
    <w:rsid w:val="00ED39E2"/>
    <w:rsid w:val="00ED3B7C"/>
    <w:rsid w:val="00ED3DBB"/>
    <w:rsid w:val="00ED3DBE"/>
    <w:rsid w:val="00ED4170"/>
    <w:rsid w:val="00ED44EE"/>
    <w:rsid w:val="00ED4547"/>
    <w:rsid w:val="00ED46B9"/>
    <w:rsid w:val="00ED4777"/>
    <w:rsid w:val="00ED496D"/>
    <w:rsid w:val="00ED4B92"/>
    <w:rsid w:val="00ED4C1C"/>
    <w:rsid w:val="00ED4C35"/>
    <w:rsid w:val="00ED4D7D"/>
    <w:rsid w:val="00ED500B"/>
    <w:rsid w:val="00ED508B"/>
    <w:rsid w:val="00ED50C1"/>
    <w:rsid w:val="00ED5128"/>
    <w:rsid w:val="00ED5300"/>
    <w:rsid w:val="00ED54E5"/>
    <w:rsid w:val="00ED5529"/>
    <w:rsid w:val="00ED5771"/>
    <w:rsid w:val="00ED5830"/>
    <w:rsid w:val="00ED5A71"/>
    <w:rsid w:val="00ED5B7F"/>
    <w:rsid w:val="00ED5C44"/>
    <w:rsid w:val="00ED5CB5"/>
    <w:rsid w:val="00ED5DF9"/>
    <w:rsid w:val="00ED5E14"/>
    <w:rsid w:val="00ED6287"/>
    <w:rsid w:val="00ED6540"/>
    <w:rsid w:val="00ED68A7"/>
    <w:rsid w:val="00ED6978"/>
    <w:rsid w:val="00ED69B3"/>
    <w:rsid w:val="00ED6A81"/>
    <w:rsid w:val="00ED6AB6"/>
    <w:rsid w:val="00ED6B2B"/>
    <w:rsid w:val="00ED6DD7"/>
    <w:rsid w:val="00ED7135"/>
    <w:rsid w:val="00ED7138"/>
    <w:rsid w:val="00ED72EB"/>
    <w:rsid w:val="00ED73A7"/>
    <w:rsid w:val="00ED7569"/>
    <w:rsid w:val="00ED776E"/>
    <w:rsid w:val="00ED79C1"/>
    <w:rsid w:val="00ED7A16"/>
    <w:rsid w:val="00ED7DD3"/>
    <w:rsid w:val="00ED7F8B"/>
    <w:rsid w:val="00EE0011"/>
    <w:rsid w:val="00EE002F"/>
    <w:rsid w:val="00EE0054"/>
    <w:rsid w:val="00EE00DD"/>
    <w:rsid w:val="00EE0489"/>
    <w:rsid w:val="00EE04DC"/>
    <w:rsid w:val="00EE0536"/>
    <w:rsid w:val="00EE0568"/>
    <w:rsid w:val="00EE0BFA"/>
    <w:rsid w:val="00EE0C98"/>
    <w:rsid w:val="00EE0CEE"/>
    <w:rsid w:val="00EE0CF5"/>
    <w:rsid w:val="00EE0E56"/>
    <w:rsid w:val="00EE0F4F"/>
    <w:rsid w:val="00EE0FB5"/>
    <w:rsid w:val="00EE140C"/>
    <w:rsid w:val="00EE15CA"/>
    <w:rsid w:val="00EE171F"/>
    <w:rsid w:val="00EE1826"/>
    <w:rsid w:val="00EE1928"/>
    <w:rsid w:val="00EE1F4E"/>
    <w:rsid w:val="00EE1FD4"/>
    <w:rsid w:val="00EE227A"/>
    <w:rsid w:val="00EE2302"/>
    <w:rsid w:val="00EE231F"/>
    <w:rsid w:val="00EE2792"/>
    <w:rsid w:val="00EE285C"/>
    <w:rsid w:val="00EE28B9"/>
    <w:rsid w:val="00EE2A96"/>
    <w:rsid w:val="00EE2CBC"/>
    <w:rsid w:val="00EE2E92"/>
    <w:rsid w:val="00EE2F13"/>
    <w:rsid w:val="00EE2F2B"/>
    <w:rsid w:val="00EE2FFC"/>
    <w:rsid w:val="00EE3084"/>
    <w:rsid w:val="00EE3496"/>
    <w:rsid w:val="00EE3910"/>
    <w:rsid w:val="00EE39C1"/>
    <w:rsid w:val="00EE3A9D"/>
    <w:rsid w:val="00EE3B90"/>
    <w:rsid w:val="00EE3C22"/>
    <w:rsid w:val="00EE3DDB"/>
    <w:rsid w:val="00EE3EEC"/>
    <w:rsid w:val="00EE3F24"/>
    <w:rsid w:val="00EE3F8A"/>
    <w:rsid w:val="00EE3FCD"/>
    <w:rsid w:val="00EE40B0"/>
    <w:rsid w:val="00EE40C3"/>
    <w:rsid w:val="00EE40D8"/>
    <w:rsid w:val="00EE43FE"/>
    <w:rsid w:val="00EE4523"/>
    <w:rsid w:val="00EE461C"/>
    <w:rsid w:val="00EE4A29"/>
    <w:rsid w:val="00EE4A86"/>
    <w:rsid w:val="00EE4C0C"/>
    <w:rsid w:val="00EE4C3C"/>
    <w:rsid w:val="00EE4CBC"/>
    <w:rsid w:val="00EE4DCB"/>
    <w:rsid w:val="00EE4DDC"/>
    <w:rsid w:val="00EE50DE"/>
    <w:rsid w:val="00EE5212"/>
    <w:rsid w:val="00EE522A"/>
    <w:rsid w:val="00EE526C"/>
    <w:rsid w:val="00EE5486"/>
    <w:rsid w:val="00EE5498"/>
    <w:rsid w:val="00EE5510"/>
    <w:rsid w:val="00EE563F"/>
    <w:rsid w:val="00EE5674"/>
    <w:rsid w:val="00EE5784"/>
    <w:rsid w:val="00EE57A0"/>
    <w:rsid w:val="00EE5900"/>
    <w:rsid w:val="00EE59D4"/>
    <w:rsid w:val="00EE5B37"/>
    <w:rsid w:val="00EE5C24"/>
    <w:rsid w:val="00EE5C31"/>
    <w:rsid w:val="00EE5CA6"/>
    <w:rsid w:val="00EE5CB4"/>
    <w:rsid w:val="00EE5EC0"/>
    <w:rsid w:val="00EE5F19"/>
    <w:rsid w:val="00EE615C"/>
    <w:rsid w:val="00EE61D3"/>
    <w:rsid w:val="00EE637B"/>
    <w:rsid w:val="00EE6468"/>
    <w:rsid w:val="00EE6696"/>
    <w:rsid w:val="00EE6D66"/>
    <w:rsid w:val="00EE6DD7"/>
    <w:rsid w:val="00EE6DEF"/>
    <w:rsid w:val="00EE6FB9"/>
    <w:rsid w:val="00EE7091"/>
    <w:rsid w:val="00EE70CE"/>
    <w:rsid w:val="00EE7128"/>
    <w:rsid w:val="00EE7167"/>
    <w:rsid w:val="00EE72B2"/>
    <w:rsid w:val="00EE7351"/>
    <w:rsid w:val="00EE753D"/>
    <w:rsid w:val="00EE7713"/>
    <w:rsid w:val="00EE77ED"/>
    <w:rsid w:val="00EE79B1"/>
    <w:rsid w:val="00EE7C53"/>
    <w:rsid w:val="00EE7DFA"/>
    <w:rsid w:val="00EE7EDC"/>
    <w:rsid w:val="00EF0051"/>
    <w:rsid w:val="00EF0202"/>
    <w:rsid w:val="00EF025E"/>
    <w:rsid w:val="00EF0481"/>
    <w:rsid w:val="00EF06C9"/>
    <w:rsid w:val="00EF079E"/>
    <w:rsid w:val="00EF0892"/>
    <w:rsid w:val="00EF08AF"/>
    <w:rsid w:val="00EF091E"/>
    <w:rsid w:val="00EF0C4B"/>
    <w:rsid w:val="00EF0CD0"/>
    <w:rsid w:val="00EF0DCD"/>
    <w:rsid w:val="00EF0F8D"/>
    <w:rsid w:val="00EF1032"/>
    <w:rsid w:val="00EF11BA"/>
    <w:rsid w:val="00EF16AA"/>
    <w:rsid w:val="00EF172D"/>
    <w:rsid w:val="00EF1793"/>
    <w:rsid w:val="00EF1794"/>
    <w:rsid w:val="00EF17BC"/>
    <w:rsid w:val="00EF17DC"/>
    <w:rsid w:val="00EF180F"/>
    <w:rsid w:val="00EF18B9"/>
    <w:rsid w:val="00EF1961"/>
    <w:rsid w:val="00EF1A37"/>
    <w:rsid w:val="00EF1BF2"/>
    <w:rsid w:val="00EF1E16"/>
    <w:rsid w:val="00EF2220"/>
    <w:rsid w:val="00EF2313"/>
    <w:rsid w:val="00EF2409"/>
    <w:rsid w:val="00EF251A"/>
    <w:rsid w:val="00EF2569"/>
    <w:rsid w:val="00EF2648"/>
    <w:rsid w:val="00EF2664"/>
    <w:rsid w:val="00EF2825"/>
    <w:rsid w:val="00EF2A4B"/>
    <w:rsid w:val="00EF2AA8"/>
    <w:rsid w:val="00EF2B4B"/>
    <w:rsid w:val="00EF2C72"/>
    <w:rsid w:val="00EF330A"/>
    <w:rsid w:val="00EF3594"/>
    <w:rsid w:val="00EF3871"/>
    <w:rsid w:val="00EF38C0"/>
    <w:rsid w:val="00EF3BD0"/>
    <w:rsid w:val="00EF3E4A"/>
    <w:rsid w:val="00EF3F72"/>
    <w:rsid w:val="00EF3FB0"/>
    <w:rsid w:val="00EF3FD1"/>
    <w:rsid w:val="00EF4276"/>
    <w:rsid w:val="00EF44B9"/>
    <w:rsid w:val="00EF4695"/>
    <w:rsid w:val="00EF4753"/>
    <w:rsid w:val="00EF4B5D"/>
    <w:rsid w:val="00EF4C36"/>
    <w:rsid w:val="00EF4C3D"/>
    <w:rsid w:val="00EF4DB7"/>
    <w:rsid w:val="00EF4F5E"/>
    <w:rsid w:val="00EF4F71"/>
    <w:rsid w:val="00EF4FEF"/>
    <w:rsid w:val="00EF502C"/>
    <w:rsid w:val="00EF5169"/>
    <w:rsid w:val="00EF533E"/>
    <w:rsid w:val="00EF5538"/>
    <w:rsid w:val="00EF5700"/>
    <w:rsid w:val="00EF574C"/>
    <w:rsid w:val="00EF57E9"/>
    <w:rsid w:val="00EF5BC8"/>
    <w:rsid w:val="00EF6140"/>
    <w:rsid w:val="00EF620B"/>
    <w:rsid w:val="00EF639B"/>
    <w:rsid w:val="00EF63C3"/>
    <w:rsid w:val="00EF65BE"/>
    <w:rsid w:val="00EF6833"/>
    <w:rsid w:val="00EF6935"/>
    <w:rsid w:val="00EF6A3C"/>
    <w:rsid w:val="00EF6B48"/>
    <w:rsid w:val="00EF6B74"/>
    <w:rsid w:val="00EF6C3E"/>
    <w:rsid w:val="00EF6D44"/>
    <w:rsid w:val="00EF6D6D"/>
    <w:rsid w:val="00EF715B"/>
    <w:rsid w:val="00EF7177"/>
    <w:rsid w:val="00EF71EE"/>
    <w:rsid w:val="00EF723A"/>
    <w:rsid w:val="00EF72D5"/>
    <w:rsid w:val="00EF7420"/>
    <w:rsid w:val="00EF7489"/>
    <w:rsid w:val="00EF7494"/>
    <w:rsid w:val="00EF7697"/>
    <w:rsid w:val="00EF77B6"/>
    <w:rsid w:val="00EF7887"/>
    <w:rsid w:val="00EF7A1B"/>
    <w:rsid w:val="00EF7AD5"/>
    <w:rsid w:val="00F00567"/>
    <w:rsid w:val="00F00818"/>
    <w:rsid w:val="00F0085D"/>
    <w:rsid w:val="00F008B8"/>
    <w:rsid w:val="00F008EA"/>
    <w:rsid w:val="00F00B7E"/>
    <w:rsid w:val="00F00C97"/>
    <w:rsid w:val="00F01899"/>
    <w:rsid w:val="00F01A46"/>
    <w:rsid w:val="00F01A49"/>
    <w:rsid w:val="00F01DC1"/>
    <w:rsid w:val="00F01E68"/>
    <w:rsid w:val="00F02263"/>
    <w:rsid w:val="00F02367"/>
    <w:rsid w:val="00F02551"/>
    <w:rsid w:val="00F02C28"/>
    <w:rsid w:val="00F02E09"/>
    <w:rsid w:val="00F02E4C"/>
    <w:rsid w:val="00F02E99"/>
    <w:rsid w:val="00F030AB"/>
    <w:rsid w:val="00F030E4"/>
    <w:rsid w:val="00F03174"/>
    <w:rsid w:val="00F03237"/>
    <w:rsid w:val="00F0334A"/>
    <w:rsid w:val="00F0337B"/>
    <w:rsid w:val="00F038D9"/>
    <w:rsid w:val="00F03969"/>
    <w:rsid w:val="00F03A8F"/>
    <w:rsid w:val="00F03E83"/>
    <w:rsid w:val="00F03ED9"/>
    <w:rsid w:val="00F04012"/>
    <w:rsid w:val="00F040D5"/>
    <w:rsid w:val="00F0435A"/>
    <w:rsid w:val="00F0468A"/>
    <w:rsid w:val="00F0497E"/>
    <w:rsid w:val="00F049EA"/>
    <w:rsid w:val="00F04A44"/>
    <w:rsid w:val="00F04B61"/>
    <w:rsid w:val="00F04B78"/>
    <w:rsid w:val="00F04C37"/>
    <w:rsid w:val="00F04ECC"/>
    <w:rsid w:val="00F0521B"/>
    <w:rsid w:val="00F052FD"/>
    <w:rsid w:val="00F0541B"/>
    <w:rsid w:val="00F05670"/>
    <w:rsid w:val="00F05794"/>
    <w:rsid w:val="00F057CE"/>
    <w:rsid w:val="00F05A80"/>
    <w:rsid w:val="00F05AA7"/>
    <w:rsid w:val="00F05CF7"/>
    <w:rsid w:val="00F05F4F"/>
    <w:rsid w:val="00F06115"/>
    <w:rsid w:val="00F064A4"/>
    <w:rsid w:val="00F0656C"/>
    <w:rsid w:val="00F066E2"/>
    <w:rsid w:val="00F068B9"/>
    <w:rsid w:val="00F06A4E"/>
    <w:rsid w:val="00F06A88"/>
    <w:rsid w:val="00F06D0A"/>
    <w:rsid w:val="00F06EDE"/>
    <w:rsid w:val="00F06F02"/>
    <w:rsid w:val="00F06F80"/>
    <w:rsid w:val="00F07212"/>
    <w:rsid w:val="00F07218"/>
    <w:rsid w:val="00F07798"/>
    <w:rsid w:val="00F078C5"/>
    <w:rsid w:val="00F07910"/>
    <w:rsid w:val="00F07E7D"/>
    <w:rsid w:val="00F07EBB"/>
    <w:rsid w:val="00F10199"/>
    <w:rsid w:val="00F101EC"/>
    <w:rsid w:val="00F104E1"/>
    <w:rsid w:val="00F1053C"/>
    <w:rsid w:val="00F10711"/>
    <w:rsid w:val="00F10924"/>
    <w:rsid w:val="00F10977"/>
    <w:rsid w:val="00F109BD"/>
    <w:rsid w:val="00F10B05"/>
    <w:rsid w:val="00F10BC1"/>
    <w:rsid w:val="00F10CCB"/>
    <w:rsid w:val="00F10DCB"/>
    <w:rsid w:val="00F10E94"/>
    <w:rsid w:val="00F110A6"/>
    <w:rsid w:val="00F1117E"/>
    <w:rsid w:val="00F114C7"/>
    <w:rsid w:val="00F115CF"/>
    <w:rsid w:val="00F116E7"/>
    <w:rsid w:val="00F11813"/>
    <w:rsid w:val="00F1186E"/>
    <w:rsid w:val="00F1191B"/>
    <w:rsid w:val="00F11B5C"/>
    <w:rsid w:val="00F11C03"/>
    <w:rsid w:val="00F11E09"/>
    <w:rsid w:val="00F11F25"/>
    <w:rsid w:val="00F11F77"/>
    <w:rsid w:val="00F12121"/>
    <w:rsid w:val="00F1226F"/>
    <w:rsid w:val="00F126B2"/>
    <w:rsid w:val="00F12ABF"/>
    <w:rsid w:val="00F12C84"/>
    <w:rsid w:val="00F12D2B"/>
    <w:rsid w:val="00F12D7B"/>
    <w:rsid w:val="00F12D8C"/>
    <w:rsid w:val="00F12F36"/>
    <w:rsid w:val="00F12FD2"/>
    <w:rsid w:val="00F131D7"/>
    <w:rsid w:val="00F13268"/>
    <w:rsid w:val="00F133E2"/>
    <w:rsid w:val="00F13683"/>
    <w:rsid w:val="00F13687"/>
    <w:rsid w:val="00F1377C"/>
    <w:rsid w:val="00F1381A"/>
    <w:rsid w:val="00F13901"/>
    <w:rsid w:val="00F139AD"/>
    <w:rsid w:val="00F139EE"/>
    <w:rsid w:val="00F13A39"/>
    <w:rsid w:val="00F13A9F"/>
    <w:rsid w:val="00F13BC9"/>
    <w:rsid w:val="00F13DDA"/>
    <w:rsid w:val="00F13E69"/>
    <w:rsid w:val="00F141D5"/>
    <w:rsid w:val="00F142A2"/>
    <w:rsid w:val="00F143BB"/>
    <w:rsid w:val="00F144E3"/>
    <w:rsid w:val="00F14527"/>
    <w:rsid w:val="00F145F1"/>
    <w:rsid w:val="00F147E0"/>
    <w:rsid w:val="00F149C3"/>
    <w:rsid w:val="00F14B0A"/>
    <w:rsid w:val="00F14C48"/>
    <w:rsid w:val="00F14CDC"/>
    <w:rsid w:val="00F14DB0"/>
    <w:rsid w:val="00F14F0A"/>
    <w:rsid w:val="00F14F28"/>
    <w:rsid w:val="00F14F45"/>
    <w:rsid w:val="00F15079"/>
    <w:rsid w:val="00F15232"/>
    <w:rsid w:val="00F15242"/>
    <w:rsid w:val="00F1528E"/>
    <w:rsid w:val="00F153E1"/>
    <w:rsid w:val="00F15548"/>
    <w:rsid w:val="00F155EA"/>
    <w:rsid w:val="00F15668"/>
    <w:rsid w:val="00F1584F"/>
    <w:rsid w:val="00F15950"/>
    <w:rsid w:val="00F1596C"/>
    <w:rsid w:val="00F159E4"/>
    <w:rsid w:val="00F15AC4"/>
    <w:rsid w:val="00F15C2B"/>
    <w:rsid w:val="00F15C51"/>
    <w:rsid w:val="00F15CF6"/>
    <w:rsid w:val="00F15EC9"/>
    <w:rsid w:val="00F16024"/>
    <w:rsid w:val="00F161EF"/>
    <w:rsid w:val="00F16292"/>
    <w:rsid w:val="00F163A0"/>
    <w:rsid w:val="00F163D2"/>
    <w:rsid w:val="00F166D3"/>
    <w:rsid w:val="00F168D8"/>
    <w:rsid w:val="00F16923"/>
    <w:rsid w:val="00F16959"/>
    <w:rsid w:val="00F16C67"/>
    <w:rsid w:val="00F16D47"/>
    <w:rsid w:val="00F16D86"/>
    <w:rsid w:val="00F16DDF"/>
    <w:rsid w:val="00F16EB9"/>
    <w:rsid w:val="00F16EDA"/>
    <w:rsid w:val="00F171AF"/>
    <w:rsid w:val="00F17299"/>
    <w:rsid w:val="00F1762C"/>
    <w:rsid w:val="00F1764B"/>
    <w:rsid w:val="00F1792A"/>
    <w:rsid w:val="00F17975"/>
    <w:rsid w:val="00F20044"/>
    <w:rsid w:val="00F2020E"/>
    <w:rsid w:val="00F20686"/>
    <w:rsid w:val="00F20770"/>
    <w:rsid w:val="00F207DC"/>
    <w:rsid w:val="00F209A0"/>
    <w:rsid w:val="00F20B1E"/>
    <w:rsid w:val="00F20C7E"/>
    <w:rsid w:val="00F20E1B"/>
    <w:rsid w:val="00F21068"/>
    <w:rsid w:val="00F2109D"/>
    <w:rsid w:val="00F210FB"/>
    <w:rsid w:val="00F21227"/>
    <w:rsid w:val="00F21302"/>
    <w:rsid w:val="00F2157A"/>
    <w:rsid w:val="00F21617"/>
    <w:rsid w:val="00F2169D"/>
    <w:rsid w:val="00F2180B"/>
    <w:rsid w:val="00F21964"/>
    <w:rsid w:val="00F21BE9"/>
    <w:rsid w:val="00F21CE6"/>
    <w:rsid w:val="00F21DB1"/>
    <w:rsid w:val="00F22120"/>
    <w:rsid w:val="00F2219C"/>
    <w:rsid w:val="00F223B9"/>
    <w:rsid w:val="00F226D5"/>
    <w:rsid w:val="00F226DA"/>
    <w:rsid w:val="00F22749"/>
    <w:rsid w:val="00F22758"/>
    <w:rsid w:val="00F2280C"/>
    <w:rsid w:val="00F228AC"/>
    <w:rsid w:val="00F22A01"/>
    <w:rsid w:val="00F22AF4"/>
    <w:rsid w:val="00F22E3D"/>
    <w:rsid w:val="00F22E8F"/>
    <w:rsid w:val="00F22ED0"/>
    <w:rsid w:val="00F23227"/>
    <w:rsid w:val="00F232A8"/>
    <w:rsid w:val="00F232D4"/>
    <w:rsid w:val="00F23851"/>
    <w:rsid w:val="00F238A2"/>
    <w:rsid w:val="00F239DF"/>
    <w:rsid w:val="00F23C41"/>
    <w:rsid w:val="00F23EA2"/>
    <w:rsid w:val="00F23F02"/>
    <w:rsid w:val="00F240D3"/>
    <w:rsid w:val="00F241C0"/>
    <w:rsid w:val="00F24207"/>
    <w:rsid w:val="00F24309"/>
    <w:rsid w:val="00F2430D"/>
    <w:rsid w:val="00F24333"/>
    <w:rsid w:val="00F243AE"/>
    <w:rsid w:val="00F244C1"/>
    <w:rsid w:val="00F2483E"/>
    <w:rsid w:val="00F2485E"/>
    <w:rsid w:val="00F248A6"/>
    <w:rsid w:val="00F24B7C"/>
    <w:rsid w:val="00F24C75"/>
    <w:rsid w:val="00F24CCA"/>
    <w:rsid w:val="00F250E2"/>
    <w:rsid w:val="00F251F4"/>
    <w:rsid w:val="00F253F8"/>
    <w:rsid w:val="00F25628"/>
    <w:rsid w:val="00F256A6"/>
    <w:rsid w:val="00F25B09"/>
    <w:rsid w:val="00F25F34"/>
    <w:rsid w:val="00F2612B"/>
    <w:rsid w:val="00F261FF"/>
    <w:rsid w:val="00F2641F"/>
    <w:rsid w:val="00F26514"/>
    <w:rsid w:val="00F2656C"/>
    <w:rsid w:val="00F2668D"/>
    <w:rsid w:val="00F266AE"/>
    <w:rsid w:val="00F26734"/>
    <w:rsid w:val="00F26CE9"/>
    <w:rsid w:val="00F26E06"/>
    <w:rsid w:val="00F26E6A"/>
    <w:rsid w:val="00F26E93"/>
    <w:rsid w:val="00F26F74"/>
    <w:rsid w:val="00F26F96"/>
    <w:rsid w:val="00F270CA"/>
    <w:rsid w:val="00F2721C"/>
    <w:rsid w:val="00F2735F"/>
    <w:rsid w:val="00F274B2"/>
    <w:rsid w:val="00F27541"/>
    <w:rsid w:val="00F2762B"/>
    <w:rsid w:val="00F27675"/>
    <w:rsid w:val="00F27935"/>
    <w:rsid w:val="00F27B71"/>
    <w:rsid w:val="00F27C5D"/>
    <w:rsid w:val="00F27D46"/>
    <w:rsid w:val="00F27E47"/>
    <w:rsid w:val="00F27EF0"/>
    <w:rsid w:val="00F27F95"/>
    <w:rsid w:val="00F3003E"/>
    <w:rsid w:val="00F30043"/>
    <w:rsid w:val="00F30045"/>
    <w:rsid w:val="00F30063"/>
    <w:rsid w:val="00F300F4"/>
    <w:rsid w:val="00F3024D"/>
    <w:rsid w:val="00F3027C"/>
    <w:rsid w:val="00F305F2"/>
    <w:rsid w:val="00F30861"/>
    <w:rsid w:val="00F308DB"/>
    <w:rsid w:val="00F309E5"/>
    <w:rsid w:val="00F30A1A"/>
    <w:rsid w:val="00F30B03"/>
    <w:rsid w:val="00F30C0A"/>
    <w:rsid w:val="00F310FA"/>
    <w:rsid w:val="00F311DF"/>
    <w:rsid w:val="00F312F1"/>
    <w:rsid w:val="00F3134E"/>
    <w:rsid w:val="00F31363"/>
    <w:rsid w:val="00F313B4"/>
    <w:rsid w:val="00F313D7"/>
    <w:rsid w:val="00F31469"/>
    <w:rsid w:val="00F31681"/>
    <w:rsid w:val="00F31BD7"/>
    <w:rsid w:val="00F31C46"/>
    <w:rsid w:val="00F31DD9"/>
    <w:rsid w:val="00F31ED2"/>
    <w:rsid w:val="00F31EFA"/>
    <w:rsid w:val="00F31F6E"/>
    <w:rsid w:val="00F3206C"/>
    <w:rsid w:val="00F3220F"/>
    <w:rsid w:val="00F32270"/>
    <w:rsid w:val="00F323C4"/>
    <w:rsid w:val="00F32644"/>
    <w:rsid w:val="00F3264D"/>
    <w:rsid w:val="00F32B7D"/>
    <w:rsid w:val="00F32EE9"/>
    <w:rsid w:val="00F33114"/>
    <w:rsid w:val="00F33341"/>
    <w:rsid w:val="00F333BC"/>
    <w:rsid w:val="00F333D5"/>
    <w:rsid w:val="00F3341E"/>
    <w:rsid w:val="00F339C0"/>
    <w:rsid w:val="00F33AB8"/>
    <w:rsid w:val="00F33B51"/>
    <w:rsid w:val="00F33BDA"/>
    <w:rsid w:val="00F33D31"/>
    <w:rsid w:val="00F33DCC"/>
    <w:rsid w:val="00F34151"/>
    <w:rsid w:val="00F341A7"/>
    <w:rsid w:val="00F342E4"/>
    <w:rsid w:val="00F343E1"/>
    <w:rsid w:val="00F3498A"/>
    <w:rsid w:val="00F34A04"/>
    <w:rsid w:val="00F34CA4"/>
    <w:rsid w:val="00F34E64"/>
    <w:rsid w:val="00F34EE8"/>
    <w:rsid w:val="00F35003"/>
    <w:rsid w:val="00F350D4"/>
    <w:rsid w:val="00F350EE"/>
    <w:rsid w:val="00F3529F"/>
    <w:rsid w:val="00F35347"/>
    <w:rsid w:val="00F35433"/>
    <w:rsid w:val="00F3559C"/>
    <w:rsid w:val="00F355A0"/>
    <w:rsid w:val="00F355B1"/>
    <w:rsid w:val="00F355C1"/>
    <w:rsid w:val="00F358B5"/>
    <w:rsid w:val="00F359C7"/>
    <w:rsid w:val="00F35A6B"/>
    <w:rsid w:val="00F35D70"/>
    <w:rsid w:val="00F35D9F"/>
    <w:rsid w:val="00F35F43"/>
    <w:rsid w:val="00F35F4E"/>
    <w:rsid w:val="00F360FD"/>
    <w:rsid w:val="00F36494"/>
    <w:rsid w:val="00F36684"/>
    <w:rsid w:val="00F366D3"/>
    <w:rsid w:val="00F36785"/>
    <w:rsid w:val="00F36797"/>
    <w:rsid w:val="00F3687A"/>
    <w:rsid w:val="00F36909"/>
    <w:rsid w:val="00F36C6A"/>
    <w:rsid w:val="00F36EC6"/>
    <w:rsid w:val="00F370B3"/>
    <w:rsid w:val="00F37116"/>
    <w:rsid w:val="00F37146"/>
    <w:rsid w:val="00F37296"/>
    <w:rsid w:val="00F37829"/>
    <w:rsid w:val="00F379A9"/>
    <w:rsid w:val="00F37D3B"/>
    <w:rsid w:val="00F37D66"/>
    <w:rsid w:val="00F37DDF"/>
    <w:rsid w:val="00F37E32"/>
    <w:rsid w:val="00F37FB0"/>
    <w:rsid w:val="00F4004B"/>
    <w:rsid w:val="00F40201"/>
    <w:rsid w:val="00F40260"/>
    <w:rsid w:val="00F40974"/>
    <w:rsid w:val="00F40989"/>
    <w:rsid w:val="00F40C4A"/>
    <w:rsid w:val="00F40CF2"/>
    <w:rsid w:val="00F40D76"/>
    <w:rsid w:val="00F40DED"/>
    <w:rsid w:val="00F40F41"/>
    <w:rsid w:val="00F40FDF"/>
    <w:rsid w:val="00F41485"/>
    <w:rsid w:val="00F414F9"/>
    <w:rsid w:val="00F4151C"/>
    <w:rsid w:val="00F416E8"/>
    <w:rsid w:val="00F41740"/>
    <w:rsid w:val="00F418D0"/>
    <w:rsid w:val="00F41B67"/>
    <w:rsid w:val="00F41C30"/>
    <w:rsid w:val="00F41E46"/>
    <w:rsid w:val="00F42008"/>
    <w:rsid w:val="00F4200A"/>
    <w:rsid w:val="00F4237C"/>
    <w:rsid w:val="00F4239D"/>
    <w:rsid w:val="00F423F8"/>
    <w:rsid w:val="00F42484"/>
    <w:rsid w:val="00F42501"/>
    <w:rsid w:val="00F426CA"/>
    <w:rsid w:val="00F42BF5"/>
    <w:rsid w:val="00F42E00"/>
    <w:rsid w:val="00F42F81"/>
    <w:rsid w:val="00F43495"/>
    <w:rsid w:val="00F435E0"/>
    <w:rsid w:val="00F436D7"/>
    <w:rsid w:val="00F437BF"/>
    <w:rsid w:val="00F43BFF"/>
    <w:rsid w:val="00F43D00"/>
    <w:rsid w:val="00F43D9C"/>
    <w:rsid w:val="00F43E05"/>
    <w:rsid w:val="00F43E07"/>
    <w:rsid w:val="00F43ECF"/>
    <w:rsid w:val="00F4404D"/>
    <w:rsid w:val="00F440B8"/>
    <w:rsid w:val="00F441B2"/>
    <w:rsid w:val="00F44352"/>
    <w:rsid w:val="00F44630"/>
    <w:rsid w:val="00F4463D"/>
    <w:rsid w:val="00F448E7"/>
    <w:rsid w:val="00F44BCB"/>
    <w:rsid w:val="00F44DFC"/>
    <w:rsid w:val="00F45150"/>
    <w:rsid w:val="00F451AC"/>
    <w:rsid w:val="00F4531A"/>
    <w:rsid w:val="00F45474"/>
    <w:rsid w:val="00F456BB"/>
    <w:rsid w:val="00F45921"/>
    <w:rsid w:val="00F45971"/>
    <w:rsid w:val="00F45EAD"/>
    <w:rsid w:val="00F45F4F"/>
    <w:rsid w:val="00F45FF1"/>
    <w:rsid w:val="00F4612B"/>
    <w:rsid w:val="00F46133"/>
    <w:rsid w:val="00F46179"/>
    <w:rsid w:val="00F46411"/>
    <w:rsid w:val="00F4643C"/>
    <w:rsid w:val="00F46476"/>
    <w:rsid w:val="00F46518"/>
    <w:rsid w:val="00F46619"/>
    <w:rsid w:val="00F467C6"/>
    <w:rsid w:val="00F467E4"/>
    <w:rsid w:val="00F4696C"/>
    <w:rsid w:val="00F46B8D"/>
    <w:rsid w:val="00F46BC1"/>
    <w:rsid w:val="00F46EC0"/>
    <w:rsid w:val="00F46EEC"/>
    <w:rsid w:val="00F47137"/>
    <w:rsid w:val="00F4727A"/>
    <w:rsid w:val="00F473DC"/>
    <w:rsid w:val="00F476C9"/>
    <w:rsid w:val="00F476D3"/>
    <w:rsid w:val="00F47759"/>
    <w:rsid w:val="00F4785C"/>
    <w:rsid w:val="00F47A86"/>
    <w:rsid w:val="00F47B5D"/>
    <w:rsid w:val="00F47BF3"/>
    <w:rsid w:val="00F47EB9"/>
    <w:rsid w:val="00F502DF"/>
    <w:rsid w:val="00F50592"/>
    <w:rsid w:val="00F50751"/>
    <w:rsid w:val="00F50BBE"/>
    <w:rsid w:val="00F50DAF"/>
    <w:rsid w:val="00F5111A"/>
    <w:rsid w:val="00F5118A"/>
    <w:rsid w:val="00F5120A"/>
    <w:rsid w:val="00F513B9"/>
    <w:rsid w:val="00F515B5"/>
    <w:rsid w:val="00F515D2"/>
    <w:rsid w:val="00F5165A"/>
    <w:rsid w:val="00F5192B"/>
    <w:rsid w:val="00F51AEA"/>
    <w:rsid w:val="00F51E6C"/>
    <w:rsid w:val="00F52070"/>
    <w:rsid w:val="00F52116"/>
    <w:rsid w:val="00F521D4"/>
    <w:rsid w:val="00F523E8"/>
    <w:rsid w:val="00F52492"/>
    <w:rsid w:val="00F5250A"/>
    <w:rsid w:val="00F527B9"/>
    <w:rsid w:val="00F527BE"/>
    <w:rsid w:val="00F52B5C"/>
    <w:rsid w:val="00F52CF6"/>
    <w:rsid w:val="00F52FCD"/>
    <w:rsid w:val="00F5323C"/>
    <w:rsid w:val="00F532A2"/>
    <w:rsid w:val="00F533DB"/>
    <w:rsid w:val="00F536ED"/>
    <w:rsid w:val="00F537A3"/>
    <w:rsid w:val="00F53921"/>
    <w:rsid w:val="00F5393C"/>
    <w:rsid w:val="00F53BA3"/>
    <w:rsid w:val="00F53CC2"/>
    <w:rsid w:val="00F53D1C"/>
    <w:rsid w:val="00F53D6D"/>
    <w:rsid w:val="00F53DCD"/>
    <w:rsid w:val="00F54087"/>
    <w:rsid w:val="00F5415A"/>
    <w:rsid w:val="00F541D1"/>
    <w:rsid w:val="00F542A3"/>
    <w:rsid w:val="00F543D3"/>
    <w:rsid w:val="00F547AE"/>
    <w:rsid w:val="00F54BDE"/>
    <w:rsid w:val="00F54C03"/>
    <w:rsid w:val="00F54DA7"/>
    <w:rsid w:val="00F54DFF"/>
    <w:rsid w:val="00F54F10"/>
    <w:rsid w:val="00F55016"/>
    <w:rsid w:val="00F551E5"/>
    <w:rsid w:val="00F55322"/>
    <w:rsid w:val="00F553D2"/>
    <w:rsid w:val="00F55559"/>
    <w:rsid w:val="00F55574"/>
    <w:rsid w:val="00F55650"/>
    <w:rsid w:val="00F5567B"/>
    <w:rsid w:val="00F5576B"/>
    <w:rsid w:val="00F55994"/>
    <w:rsid w:val="00F559DB"/>
    <w:rsid w:val="00F55C64"/>
    <w:rsid w:val="00F55D56"/>
    <w:rsid w:val="00F55F99"/>
    <w:rsid w:val="00F55FEB"/>
    <w:rsid w:val="00F55FF0"/>
    <w:rsid w:val="00F56058"/>
    <w:rsid w:val="00F56489"/>
    <w:rsid w:val="00F5665D"/>
    <w:rsid w:val="00F5695A"/>
    <w:rsid w:val="00F56A95"/>
    <w:rsid w:val="00F56D7D"/>
    <w:rsid w:val="00F56E9D"/>
    <w:rsid w:val="00F56F50"/>
    <w:rsid w:val="00F57360"/>
    <w:rsid w:val="00F57385"/>
    <w:rsid w:val="00F57406"/>
    <w:rsid w:val="00F5744C"/>
    <w:rsid w:val="00F574C2"/>
    <w:rsid w:val="00F57504"/>
    <w:rsid w:val="00F57511"/>
    <w:rsid w:val="00F57551"/>
    <w:rsid w:val="00F57577"/>
    <w:rsid w:val="00F57668"/>
    <w:rsid w:val="00F57896"/>
    <w:rsid w:val="00F57C32"/>
    <w:rsid w:val="00F57C55"/>
    <w:rsid w:val="00F57C95"/>
    <w:rsid w:val="00F57D8E"/>
    <w:rsid w:val="00F600C7"/>
    <w:rsid w:val="00F60239"/>
    <w:rsid w:val="00F604D2"/>
    <w:rsid w:val="00F60555"/>
    <w:rsid w:val="00F60629"/>
    <w:rsid w:val="00F60A91"/>
    <w:rsid w:val="00F60C5C"/>
    <w:rsid w:val="00F60DF2"/>
    <w:rsid w:val="00F60F1B"/>
    <w:rsid w:val="00F60F31"/>
    <w:rsid w:val="00F60F4F"/>
    <w:rsid w:val="00F60F97"/>
    <w:rsid w:val="00F61020"/>
    <w:rsid w:val="00F61036"/>
    <w:rsid w:val="00F610DC"/>
    <w:rsid w:val="00F6127F"/>
    <w:rsid w:val="00F612E1"/>
    <w:rsid w:val="00F613BA"/>
    <w:rsid w:val="00F6164D"/>
    <w:rsid w:val="00F61716"/>
    <w:rsid w:val="00F618DC"/>
    <w:rsid w:val="00F619B7"/>
    <w:rsid w:val="00F61B46"/>
    <w:rsid w:val="00F61C66"/>
    <w:rsid w:val="00F61CD6"/>
    <w:rsid w:val="00F61EDA"/>
    <w:rsid w:val="00F61F71"/>
    <w:rsid w:val="00F6210B"/>
    <w:rsid w:val="00F62242"/>
    <w:rsid w:val="00F6269E"/>
    <w:rsid w:val="00F6274F"/>
    <w:rsid w:val="00F62965"/>
    <w:rsid w:val="00F62A79"/>
    <w:rsid w:val="00F62C02"/>
    <w:rsid w:val="00F62C5C"/>
    <w:rsid w:val="00F63127"/>
    <w:rsid w:val="00F63186"/>
    <w:rsid w:val="00F6397A"/>
    <w:rsid w:val="00F63C13"/>
    <w:rsid w:val="00F63D0F"/>
    <w:rsid w:val="00F63EBE"/>
    <w:rsid w:val="00F64115"/>
    <w:rsid w:val="00F64373"/>
    <w:rsid w:val="00F643B1"/>
    <w:rsid w:val="00F644C9"/>
    <w:rsid w:val="00F64884"/>
    <w:rsid w:val="00F648BC"/>
    <w:rsid w:val="00F64D0A"/>
    <w:rsid w:val="00F64D12"/>
    <w:rsid w:val="00F64D55"/>
    <w:rsid w:val="00F64DCB"/>
    <w:rsid w:val="00F64E87"/>
    <w:rsid w:val="00F64F5B"/>
    <w:rsid w:val="00F64FD1"/>
    <w:rsid w:val="00F64FF3"/>
    <w:rsid w:val="00F65180"/>
    <w:rsid w:val="00F65370"/>
    <w:rsid w:val="00F654BE"/>
    <w:rsid w:val="00F654C8"/>
    <w:rsid w:val="00F65545"/>
    <w:rsid w:val="00F655ED"/>
    <w:rsid w:val="00F65607"/>
    <w:rsid w:val="00F65616"/>
    <w:rsid w:val="00F65834"/>
    <w:rsid w:val="00F658C3"/>
    <w:rsid w:val="00F659ED"/>
    <w:rsid w:val="00F65ABC"/>
    <w:rsid w:val="00F65C80"/>
    <w:rsid w:val="00F65FBB"/>
    <w:rsid w:val="00F66192"/>
    <w:rsid w:val="00F662C0"/>
    <w:rsid w:val="00F664B9"/>
    <w:rsid w:val="00F669D2"/>
    <w:rsid w:val="00F66A23"/>
    <w:rsid w:val="00F66C93"/>
    <w:rsid w:val="00F66D12"/>
    <w:rsid w:val="00F66F6B"/>
    <w:rsid w:val="00F66FD5"/>
    <w:rsid w:val="00F67036"/>
    <w:rsid w:val="00F67202"/>
    <w:rsid w:val="00F67229"/>
    <w:rsid w:val="00F675CA"/>
    <w:rsid w:val="00F678B6"/>
    <w:rsid w:val="00F67C10"/>
    <w:rsid w:val="00F67DB0"/>
    <w:rsid w:val="00F67E13"/>
    <w:rsid w:val="00F700E8"/>
    <w:rsid w:val="00F70115"/>
    <w:rsid w:val="00F70139"/>
    <w:rsid w:val="00F704F0"/>
    <w:rsid w:val="00F70509"/>
    <w:rsid w:val="00F706B6"/>
    <w:rsid w:val="00F706DC"/>
    <w:rsid w:val="00F706ED"/>
    <w:rsid w:val="00F707AF"/>
    <w:rsid w:val="00F707D4"/>
    <w:rsid w:val="00F70919"/>
    <w:rsid w:val="00F709AE"/>
    <w:rsid w:val="00F70B11"/>
    <w:rsid w:val="00F70B9E"/>
    <w:rsid w:val="00F70CA7"/>
    <w:rsid w:val="00F70D07"/>
    <w:rsid w:val="00F70D1A"/>
    <w:rsid w:val="00F70D60"/>
    <w:rsid w:val="00F70D7C"/>
    <w:rsid w:val="00F70DB7"/>
    <w:rsid w:val="00F70E10"/>
    <w:rsid w:val="00F70EC2"/>
    <w:rsid w:val="00F70EDE"/>
    <w:rsid w:val="00F71016"/>
    <w:rsid w:val="00F71083"/>
    <w:rsid w:val="00F71149"/>
    <w:rsid w:val="00F711D2"/>
    <w:rsid w:val="00F71285"/>
    <w:rsid w:val="00F71544"/>
    <w:rsid w:val="00F716EE"/>
    <w:rsid w:val="00F71807"/>
    <w:rsid w:val="00F71ED9"/>
    <w:rsid w:val="00F71EF1"/>
    <w:rsid w:val="00F71F23"/>
    <w:rsid w:val="00F71FD7"/>
    <w:rsid w:val="00F720A1"/>
    <w:rsid w:val="00F720D1"/>
    <w:rsid w:val="00F72167"/>
    <w:rsid w:val="00F72929"/>
    <w:rsid w:val="00F72B3D"/>
    <w:rsid w:val="00F72CC2"/>
    <w:rsid w:val="00F72DEA"/>
    <w:rsid w:val="00F72F9A"/>
    <w:rsid w:val="00F73091"/>
    <w:rsid w:val="00F73440"/>
    <w:rsid w:val="00F73554"/>
    <w:rsid w:val="00F7388C"/>
    <w:rsid w:val="00F738EC"/>
    <w:rsid w:val="00F73991"/>
    <w:rsid w:val="00F73A70"/>
    <w:rsid w:val="00F73F7C"/>
    <w:rsid w:val="00F74212"/>
    <w:rsid w:val="00F74642"/>
    <w:rsid w:val="00F74700"/>
    <w:rsid w:val="00F74769"/>
    <w:rsid w:val="00F747C0"/>
    <w:rsid w:val="00F7482C"/>
    <w:rsid w:val="00F74A11"/>
    <w:rsid w:val="00F74C46"/>
    <w:rsid w:val="00F74CAA"/>
    <w:rsid w:val="00F74E03"/>
    <w:rsid w:val="00F74EEE"/>
    <w:rsid w:val="00F74FE5"/>
    <w:rsid w:val="00F75170"/>
    <w:rsid w:val="00F751D4"/>
    <w:rsid w:val="00F75206"/>
    <w:rsid w:val="00F75456"/>
    <w:rsid w:val="00F75497"/>
    <w:rsid w:val="00F755D5"/>
    <w:rsid w:val="00F75685"/>
    <w:rsid w:val="00F7596C"/>
    <w:rsid w:val="00F75AB4"/>
    <w:rsid w:val="00F75CF1"/>
    <w:rsid w:val="00F7610F"/>
    <w:rsid w:val="00F762C6"/>
    <w:rsid w:val="00F7630F"/>
    <w:rsid w:val="00F76347"/>
    <w:rsid w:val="00F76390"/>
    <w:rsid w:val="00F765C4"/>
    <w:rsid w:val="00F76CC6"/>
    <w:rsid w:val="00F76EEE"/>
    <w:rsid w:val="00F77019"/>
    <w:rsid w:val="00F7717B"/>
    <w:rsid w:val="00F77297"/>
    <w:rsid w:val="00F77307"/>
    <w:rsid w:val="00F77549"/>
    <w:rsid w:val="00F775A1"/>
    <w:rsid w:val="00F775D0"/>
    <w:rsid w:val="00F775D3"/>
    <w:rsid w:val="00F77638"/>
    <w:rsid w:val="00F776F8"/>
    <w:rsid w:val="00F7771A"/>
    <w:rsid w:val="00F7785E"/>
    <w:rsid w:val="00F77B3C"/>
    <w:rsid w:val="00F77B76"/>
    <w:rsid w:val="00F77BEF"/>
    <w:rsid w:val="00F77C40"/>
    <w:rsid w:val="00F77C8C"/>
    <w:rsid w:val="00F77D35"/>
    <w:rsid w:val="00F77FB5"/>
    <w:rsid w:val="00F800F3"/>
    <w:rsid w:val="00F80279"/>
    <w:rsid w:val="00F8027A"/>
    <w:rsid w:val="00F802AA"/>
    <w:rsid w:val="00F8055E"/>
    <w:rsid w:val="00F80702"/>
    <w:rsid w:val="00F807EC"/>
    <w:rsid w:val="00F808F5"/>
    <w:rsid w:val="00F8094A"/>
    <w:rsid w:val="00F809D3"/>
    <w:rsid w:val="00F80B8C"/>
    <w:rsid w:val="00F80D84"/>
    <w:rsid w:val="00F80E94"/>
    <w:rsid w:val="00F80F3D"/>
    <w:rsid w:val="00F811F3"/>
    <w:rsid w:val="00F81427"/>
    <w:rsid w:val="00F81654"/>
    <w:rsid w:val="00F81B17"/>
    <w:rsid w:val="00F81BB2"/>
    <w:rsid w:val="00F81C02"/>
    <w:rsid w:val="00F81CE7"/>
    <w:rsid w:val="00F81E34"/>
    <w:rsid w:val="00F81E61"/>
    <w:rsid w:val="00F82070"/>
    <w:rsid w:val="00F8248E"/>
    <w:rsid w:val="00F82650"/>
    <w:rsid w:val="00F828BF"/>
    <w:rsid w:val="00F828CA"/>
    <w:rsid w:val="00F82A75"/>
    <w:rsid w:val="00F82B28"/>
    <w:rsid w:val="00F82B95"/>
    <w:rsid w:val="00F82CA3"/>
    <w:rsid w:val="00F82E46"/>
    <w:rsid w:val="00F83110"/>
    <w:rsid w:val="00F83131"/>
    <w:rsid w:val="00F8327E"/>
    <w:rsid w:val="00F835CA"/>
    <w:rsid w:val="00F8365E"/>
    <w:rsid w:val="00F83675"/>
    <w:rsid w:val="00F83703"/>
    <w:rsid w:val="00F83718"/>
    <w:rsid w:val="00F8372D"/>
    <w:rsid w:val="00F8384D"/>
    <w:rsid w:val="00F838CC"/>
    <w:rsid w:val="00F839C1"/>
    <w:rsid w:val="00F83D7A"/>
    <w:rsid w:val="00F83FBC"/>
    <w:rsid w:val="00F83FCC"/>
    <w:rsid w:val="00F84140"/>
    <w:rsid w:val="00F84183"/>
    <w:rsid w:val="00F8440A"/>
    <w:rsid w:val="00F8445F"/>
    <w:rsid w:val="00F84462"/>
    <w:rsid w:val="00F84795"/>
    <w:rsid w:val="00F84830"/>
    <w:rsid w:val="00F848A7"/>
    <w:rsid w:val="00F84C63"/>
    <w:rsid w:val="00F84C81"/>
    <w:rsid w:val="00F84E46"/>
    <w:rsid w:val="00F85057"/>
    <w:rsid w:val="00F8539F"/>
    <w:rsid w:val="00F85410"/>
    <w:rsid w:val="00F85607"/>
    <w:rsid w:val="00F857C3"/>
    <w:rsid w:val="00F85888"/>
    <w:rsid w:val="00F85A37"/>
    <w:rsid w:val="00F85B1D"/>
    <w:rsid w:val="00F85B83"/>
    <w:rsid w:val="00F85DB9"/>
    <w:rsid w:val="00F85FD8"/>
    <w:rsid w:val="00F860FD"/>
    <w:rsid w:val="00F86305"/>
    <w:rsid w:val="00F86968"/>
    <w:rsid w:val="00F86A66"/>
    <w:rsid w:val="00F86A69"/>
    <w:rsid w:val="00F86C54"/>
    <w:rsid w:val="00F86F7D"/>
    <w:rsid w:val="00F86F94"/>
    <w:rsid w:val="00F8715D"/>
    <w:rsid w:val="00F87163"/>
    <w:rsid w:val="00F87211"/>
    <w:rsid w:val="00F872C4"/>
    <w:rsid w:val="00F87329"/>
    <w:rsid w:val="00F8734A"/>
    <w:rsid w:val="00F87510"/>
    <w:rsid w:val="00F875B7"/>
    <w:rsid w:val="00F8762A"/>
    <w:rsid w:val="00F87638"/>
    <w:rsid w:val="00F87843"/>
    <w:rsid w:val="00F87AFE"/>
    <w:rsid w:val="00F87B92"/>
    <w:rsid w:val="00F87F0A"/>
    <w:rsid w:val="00F900AB"/>
    <w:rsid w:val="00F90151"/>
    <w:rsid w:val="00F901E4"/>
    <w:rsid w:val="00F90497"/>
    <w:rsid w:val="00F9052B"/>
    <w:rsid w:val="00F90540"/>
    <w:rsid w:val="00F905B2"/>
    <w:rsid w:val="00F90691"/>
    <w:rsid w:val="00F908B7"/>
    <w:rsid w:val="00F90AC1"/>
    <w:rsid w:val="00F90DC5"/>
    <w:rsid w:val="00F90F7C"/>
    <w:rsid w:val="00F91063"/>
    <w:rsid w:val="00F910FD"/>
    <w:rsid w:val="00F911FE"/>
    <w:rsid w:val="00F91216"/>
    <w:rsid w:val="00F91C40"/>
    <w:rsid w:val="00F91CBD"/>
    <w:rsid w:val="00F91D90"/>
    <w:rsid w:val="00F91E26"/>
    <w:rsid w:val="00F9200B"/>
    <w:rsid w:val="00F921B5"/>
    <w:rsid w:val="00F92271"/>
    <w:rsid w:val="00F92516"/>
    <w:rsid w:val="00F92C93"/>
    <w:rsid w:val="00F92E45"/>
    <w:rsid w:val="00F93418"/>
    <w:rsid w:val="00F934D0"/>
    <w:rsid w:val="00F9355A"/>
    <w:rsid w:val="00F9358A"/>
    <w:rsid w:val="00F935DE"/>
    <w:rsid w:val="00F93685"/>
    <w:rsid w:val="00F9379F"/>
    <w:rsid w:val="00F9381D"/>
    <w:rsid w:val="00F939EA"/>
    <w:rsid w:val="00F93A80"/>
    <w:rsid w:val="00F93AB5"/>
    <w:rsid w:val="00F93AC9"/>
    <w:rsid w:val="00F93C34"/>
    <w:rsid w:val="00F93DC7"/>
    <w:rsid w:val="00F93E6F"/>
    <w:rsid w:val="00F93EC8"/>
    <w:rsid w:val="00F93ED0"/>
    <w:rsid w:val="00F93F82"/>
    <w:rsid w:val="00F9401C"/>
    <w:rsid w:val="00F94069"/>
    <w:rsid w:val="00F9427F"/>
    <w:rsid w:val="00F942E0"/>
    <w:rsid w:val="00F9462B"/>
    <w:rsid w:val="00F94884"/>
    <w:rsid w:val="00F9491D"/>
    <w:rsid w:val="00F94A0A"/>
    <w:rsid w:val="00F94A3E"/>
    <w:rsid w:val="00F94B12"/>
    <w:rsid w:val="00F94B45"/>
    <w:rsid w:val="00F94BDF"/>
    <w:rsid w:val="00F94C52"/>
    <w:rsid w:val="00F94CAC"/>
    <w:rsid w:val="00F9502D"/>
    <w:rsid w:val="00F950CA"/>
    <w:rsid w:val="00F950F4"/>
    <w:rsid w:val="00F95110"/>
    <w:rsid w:val="00F95224"/>
    <w:rsid w:val="00F954B9"/>
    <w:rsid w:val="00F95509"/>
    <w:rsid w:val="00F9564A"/>
    <w:rsid w:val="00F956EB"/>
    <w:rsid w:val="00F957D4"/>
    <w:rsid w:val="00F9589B"/>
    <w:rsid w:val="00F95AB3"/>
    <w:rsid w:val="00F95BBD"/>
    <w:rsid w:val="00F95C6E"/>
    <w:rsid w:val="00F95EF8"/>
    <w:rsid w:val="00F9600D"/>
    <w:rsid w:val="00F960CC"/>
    <w:rsid w:val="00F962F6"/>
    <w:rsid w:val="00F96376"/>
    <w:rsid w:val="00F96604"/>
    <w:rsid w:val="00F9667C"/>
    <w:rsid w:val="00F96708"/>
    <w:rsid w:val="00F96734"/>
    <w:rsid w:val="00F968F3"/>
    <w:rsid w:val="00F96AB4"/>
    <w:rsid w:val="00F96B04"/>
    <w:rsid w:val="00F96DA5"/>
    <w:rsid w:val="00F96E2E"/>
    <w:rsid w:val="00F96F6D"/>
    <w:rsid w:val="00F970DB"/>
    <w:rsid w:val="00F97331"/>
    <w:rsid w:val="00F9741E"/>
    <w:rsid w:val="00F974BF"/>
    <w:rsid w:val="00F977D9"/>
    <w:rsid w:val="00FA00CE"/>
    <w:rsid w:val="00FA0159"/>
    <w:rsid w:val="00FA03AA"/>
    <w:rsid w:val="00FA03D4"/>
    <w:rsid w:val="00FA04AD"/>
    <w:rsid w:val="00FA08B0"/>
    <w:rsid w:val="00FA0A5C"/>
    <w:rsid w:val="00FA0CE9"/>
    <w:rsid w:val="00FA0F4E"/>
    <w:rsid w:val="00FA10A9"/>
    <w:rsid w:val="00FA1133"/>
    <w:rsid w:val="00FA12D1"/>
    <w:rsid w:val="00FA15C2"/>
    <w:rsid w:val="00FA161B"/>
    <w:rsid w:val="00FA171C"/>
    <w:rsid w:val="00FA1812"/>
    <w:rsid w:val="00FA190B"/>
    <w:rsid w:val="00FA193D"/>
    <w:rsid w:val="00FA1993"/>
    <w:rsid w:val="00FA1A81"/>
    <w:rsid w:val="00FA1CEF"/>
    <w:rsid w:val="00FA1D32"/>
    <w:rsid w:val="00FA1DDC"/>
    <w:rsid w:val="00FA24EE"/>
    <w:rsid w:val="00FA2603"/>
    <w:rsid w:val="00FA26EA"/>
    <w:rsid w:val="00FA2935"/>
    <w:rsid w:val="00FA2F6C"/>
    <w:rsid w:val="00FA331D"/>
    <w:rsid w:val="00FA33E6"/>
    <w:rsid w:val="00FA360E"/>
    <w:rsid w:val="00FA3AD6"/>
    <w:rsid w:val="00FA3BBF"/>
    <w:rsid w:val="00FA3CCD"/>
    <w:rsid w:val="00FA3DCE"/>
    <w:rsid w:val="00FA3E00"/>
    <w:rsid w:val="00FA3FAE"/>
    <w:rsid w:val="00FA40D7"/>
    <w:rsid w:val="00FA4103"/>
    <w:rsid w:val="00FA4193"/>
    <w:rsid w:val="00FA4314"/>
    <w:rsid w:val="00FA438C"/>
    <w:rsid w:val="00FA4535"/>
    <w:rsid w:val="00FA45DA"/>
    <w:rsid w:val="00FA4643"/>
    <w:rsid w:val="00FA469C"/>
    <w:rsid w:val="00FA46E8"/>
    <w:rsid w:val="00FA47DF"/>
    <w:rsid w:val="00FA4875"/>
    <w:rsid w:val="00FA4A9B"/>
    <w:rsid w:val="00FA4B85"/>
    <w:rsid w:val="00FA4BD2"/>
    <w:rsid w:val="00FA4D58"/>
    <w:rsid w:val="00FA4D75"/>
    <w:rsid w:val="00FA5013"/>
    <w:rsid w:val="00FA50F9"/>
    <w:rsid w:val="00FA521C"/>
    <w:rsid w:val="00FA542F"/>
    <w:rsid w:val="00FA552C"/>
    <w:rsid w:val="00FA5539"/>
    <w:rsid w:val="00FA5572"/>
    <w:rsid w:val="00FA58D9"/>
    <w:rsid w:val="00FA5AC1"/>
    <w:rsid w:val="00FA5F0E"/>
    <w:rsid w:val="00FA6403"/>
    <w:rsid w:val="00FA6470"/>
    <w:rsid w:val="00FA64E9"/>
    <w:rsid w:val="00FA667B"/>
    <w:rsid w:val="00FA66FA"/>
    <w:rsid w:val="00FA6821"/>
    <w:rsid w:val="00FA68C6"/>
    <w:rsid w:val="00FA6910"/>
    <w:rsid w:val="00FA69BC"/>
    <w:rsid w:val="00FA6AF2"/>
    <w:rsid w:val="00FA6F70"/>
    <w:rsid w:val="00FA6F72"/>
    <w:rsid w:val="00FA714E"/>
    <w:rsid w:val="00FA7255"/>
    <w:rsid w:val="00FA729E"/>
    <w:rsid w:val="00FA72D3"/>
    <w:rsid w:val="00FA7548"/>
    <w:rsid w:val="00FA7653"/>
    <w:rsid w:val="00FA7730"/>
    <w:rsid w:val="00FA78A8"/>
    <w:rsid w:val="00FA7A49"/>
    <w:rsid w:val="00FA7A8A"/>
    <w:rsid w:val="00FA7B18"/>
    <w:rsid w:val="00FA7E20"/>
    <w:rsid w:val="00FA7EA8"/>
    <w:rsid w:val="00FA7F8A"/>
    <w:rsid w:val="00FB0063"/>
    <w:rsid w:val="00FB023B"/>
    <w:rsid w:val="00FB02F0"/>
    <w:rsid w:val="00FB03DA"/>
    <w:rsid w:val="00FB0472"/>
    <w:rsid w:val="00FB06ED"/>
    <w:rsid w:val="00FB07ED"/>
    <w:rsid w:val="00FB086A"/>
    <w:rsid w:val="00FB09B6"/>
    <w:rsid w:val="00FB09BD"/>
    <w:rsid w:val="00FB0AAA"/>
    <w:rsid w:val="00FB0B9D"/>
    <w:rsid w:val="00FB0BCB"/>
    <w:rsid w:val="00FB0E21"/>
    <w:rsid w:val="00FB0E3F"/>
    <w:rsid w:val="00FB0E7B"/>
    <w:rsid w:val="00FB0F0D"/>
    <w:rsid w:val="00FB0F16"/>
    <w:rsid w:val="00FB0FDE"/>
    <w:rsid w:val="00FB128E"/>
    <w:rsid w:val="00FB13C7"/>
    <w:rsid w:val="00FB14B4"/>
    <w:rsid w:val="00FB150C"/>
    <w:rsid w:val="00FB1629"/>
    <w:rsid w:val="00FB162F"/>
    <w:rsid w:val="00FB16F8"/>
    <w:rsid w:val="00FB17CD"/>
    <w:rsid w:val="00FB1870"/>
    <w:rsid w:val="00FB18C6"/>
    <w:rsid w:val="00FB1917"/>
    <w:rsid w:val="00FB19B1"/>
    <w:rsid w:val="00FB19DE"/>
    <w:rsid w:val="00FB1A36"/>
    <w:rsid w:val="00FB1A55"/>
    <w:rsid w:val="00FB1B11"/>
    <w:rsid w:val="00FB1B92"/>
    <w:rsid w:val="00FB1DD0"/>
    <w:rsid w:val="00FB1EFA"/>
    <w:rsid w:val="00FB23C3"/>
    <w:rsid w:val="00FB24E9"/>
    <w:rsid w:val="00FB2765"/>
    <w:rsid w:val="00FB298F"/>
    <w:rsid w:val="00FB29FE"/>
    <w:rsid w:val="00FB2D90"/>
    <w:rsid w:val="00FB2E20"/>
    <w:rsid w:val="00FB3027"/>
    <w:rsid w:val="00FB30CD"/>
    <w:rsid w:val="00FB314D"/>
    <w:rsid w:val="00FB3353"/>
    <w:rsid w:val="00FB342F"/>
    <w:rsid w:val="00FB365D"/>
    <w:rsid w:val="00FB3A11"/>
    <w:rsid w:val="00FB3A56"/>
    <w:rsid w:val="00FB3C3E"/>
    <w:rsid w:val="00FB3D2E"/>
    <w:rsid w:val="00FB4045"/>
    <w:rsid w:val="00FB4153"/>
    <w:rsid w:val="00FB4379"/>
    <w:rsid w:val="00FB439B"/>
    <w:rsid w:val="00FB46BC"/>
    <w:rsid w:val="00FB478B"/>
    <w:rsid w:val="00FB4A18"/>
    <w:rsid w:val="00FB4A7A"/>
    <w:rsid w:val="00FB4AF9"/>
    <w:rsid w:val="00FB4B72"/>
    <w:rsid w:val="00FB4D2E"/>
    <w:rsid w:val="00FB4DCC"/>
    <w:rsid w:val="00FB4EF7"/>
    <w:rsid w:val="00FB500F"/>
    <w:rsid w:val="00FB502E"/>
    <w:rsid w:val="00FB50BE"/>
    <w:rsid w:val="00FB5448"/>
    <w:rsid w:val="00FB5552"/>
    <w:rsid w:val="00FB565E"/>
    <w:rsid w:val="00FB56FE"/>
    <w:rsid w:val="00FB5723"/>
    <w:rsid w:val="00FB5819"/>
    <w:rsid w:val="00FB58FB"/>
    <w:rsid w:val="00FB5A00"/>
    <w:rsid w:val="00FB5C43"/>
    <w:rsid w:val="00FB5EEE"/>
    <w:rsid w:val="00FB5F4D"/>
    <w:rsid w:val="00FB5F81"/>
    <w:rsid w:val="00FB60A5"/>
    <w:rsid w:val="00FB60CB"/>
    <w:rsid w:val="00FB6174"/>
    <w:rsid w:val="00FB6449"/>
    <w:rsid w:val="00FB65A2"/>
    <w:rsid w:val="00FB68FB"/>
    <w:rsid w:val="00FB6E6E"/>
    <w:rsid w:val="00FB6F62"/>
    <w:rsid w:val="00FB6FC9"/>
    <w:rsid w:val="00FB6FEB"/>
    <w:rsid w:val="00FB717A"/>
    <w:rsid w:val="00FB7292"/>
    <w:rsid w:val="00FB729E"/>
    <w:rsid w:val="00FB72BC"/>
    <w:rsid w:val="00FB72C8"/>
    <w:rsid w:val="00FB74DA"/>
    <w:rsid w:val="00FB757E"/>
    <w:rsid w:val="00FB76DA"/>
    <w:rsid w:val="00FB773F"/>
    <w:rsid w:val="00FB780D"/>
    <w:rsid w:val="00FB78DA"/>
    <w:rsid w:val="00FB799F"/>
    <w:rsid w:val="00FB7B83"/>
    <w:rsid w:val="00FB7C55"/>
    <w:rsid w:val="00FB7D62"/>
    <w:rsid w:val="00FB7F0B"/>
    <w:rsid w:val="00FB7F6F"/>
    <w:rsid w:val="00FB7F99"/>
    <w:rsid w:val="00FC001E"/>
    <w:rsid w:val="00FC002C"/>
    <w:rsid w:val="00FC008C"/>
    <w:rsid w:val="00FC00A8"/>
    <w:rsid w:val="00FC0116"/>
    <w:rsid w:val="00FC011D"/>
    <w:rsid w:val="00FC0345"/>
    <w:rsid w:val="00FC050D"/>
    <w:rsid w:val="00FC05D1"/>
    <w:rsid w:val="00FC0601"/>
    <w:rsid w:val="00FC06E6"/>
    <w:rsid w:val="00FC0A8A"/>
    <w:rsid w:val="00FC0AB5"/>
    <w:rsid w:val="00FC0ADE"/>
    <w:rsid w:val="00FC0B43"/>
    <w:rsid w:val="00FC0E6D"/>
    <w:rsid w:val="00FC0EF0"/>
    <w:rsid w:val="00FC109B"/>
    <w:rsid w:val="00FC15DA"/>
    <w:rsid w:val="00FC1624"/>
    <w:rsid w:val="00FC162D"/>
    <w:rsid w:val="00FC17AD"/>
    <w:rsid w:val="00FC18A1"/>
    <w:rsid w:val="00FC193A"/>
    <w:rsid w:val="00FC1B28"/>
    <w:rsid w:val="00FC1D46"/>
    <w:rsid w:val="00FC1DA9"/>
    <w:rsid w:val="00FC2021"/>
    <w:rsid w:val="00FC208C"/>
    <w:rsid w:val="00FC20FA"/>
    <w:rsid w:val="00FC2115"/>
    <w:rsid w:val="00FC25BC"/>
    <w:rsid w:val="00FC2631"/>
    <w:rsid w:val="00FC269B"/>
    <w:rsid w:val="00FC26BE"/>
    <w:rsid w:val="00FC271E"/>
    <w:rsid w:val="00FC276D"/>
    <w:rsid w:val="00FC2889"/>
    <w:rsid w:val="00FC2BE5"/>
    <w:rsid w:val="00FC2C78"/>
    <w:rsid w:val="00FC2CBF"/>
    <w:rsid w:val="00FC2ED0"/>
    <w:rsid w:val="00FC2FAE"/>
    <w:rsid w:val="00FC2FC3"/>
    <w:rsid w:val="00FC317E"/>
    <w:rsid w:val="00FC318B"/>
    <w:rsid w:val="00FC322C"/>
    <w:rsid w:val="00FC3507"/>
    <w:rsid w:val="00FC351F"/>
    <w:rsid w:val="00FC37DE"/>
    <w:rsid w:val="00FC37EA"/>
    <w:rsid w:val="00FC3EC9"/>
    <w:rsid w:val="00FC4073"/>
    <w:rsid w:val="00FC4154"/>
    <w:rsid w:val="00FC4164"/>
    <w:rsid w:val="00FC4315"/>
    <w:rsid w:val="00FC434A"/>
    <w:rsid w:val="00FC443A"/>
    <w:rsid w:val="00FC4710"/>
    <w:rsid w:val="00FC4736"/>
    <w:rsid w:val="00FC4767"/>
    <w:rsid w:val="00FC492C"/>
    <w:rsid w:val="00FC4973"/>
    <w:rsid w:val="00FC4983"/>
    <w:rsid w:val="00FC4A97"/>
    <w:rsid w:val="00FC4A9B"/>
    <w:rsid w:val="00FC4F81"/>
    <w:rsid w:val="00FC50B4"/>
    <w:rsid w:val="00FC50E8"/>
    <w:rsid w:val="00FC50FD"/>
    <w:rsid w:val="00FC5256"/>
    <w:rsid w:val="00FC53CC"/>
    <w:rsid w:val="00FC540C"/>
    <w:rsid w:val="00FC55D5"/>
    <w:rsid w:val="00FC58CA"/>
    <w:rsid w:val="00FC592A"/>
    <w:rsid w:val="00FC593F"/>
    <w:rsid w:val="00FC5968"/>
    <w:rsid w:val="00FC5975"/>
    <w:rsid w:val="00FC5A21"/>
    <w:rsid w:val="00FC5D64"/>
    <w:rsid w:val="00FC5DCE"/>
    <w:rsid w:val="00FC60E5"/>
    <w:rsid w:val="00FC6133"/>
    <w:rsid w:val="00FC614B"/>
    <w:rsid w:val="00FC6439"/>
    <w:rsid w:val="00FC644B"/>
    <w:rsid w:val="00FC64A3"/>
    <w:rsid w:val="00FC65FD"/>
    <w:rsid w:val="00FC6693"/>
    <w:rsid w:val="00FC66DC"/>
    <w:rsid w:val="00FC6C00"/>
    <w:rsid w:val="00FC6DA0"/>
    <w:rsid w:val="00FC6EEC"/>
    <w:rsid w:val="00FC7168"/>
    <w:rsid w:val="00FC7612"/>
    <w:rsid w:val="00FC766B"/>
    <w:rsid w:val="00FC76C4"/>
    <w:rsid w:val="00FC7796"/>
    <w:rsid w:val="00FC787A"/>
    <w:rsid w:val="00FC7A1A"/>
    <w:rsid w:val="00FC7E57"/>
    <w:rsid w:val="00FC7E5B"/>
    <w:rsid w:val="00FD0008"/>
    <w:rsid w:val="00FD016B"/>
    <w:rsid w:val="00FD052F"/>
    <w:rsid w:val="00FD0551"/>
    <w:rsid w:val="00FD0959"/>
    <w:rsid w:val="00FD0992"/>
    <w:rsid w:val="00FD09D1"/>
    <w:rsid w:val="00FD0B09"/>
    <w:rsid w:val="00FD0FFC"/>
    <w:rsid w:val="00FD1005"/>
    <w:rsid w:val="00FD1079"/>
    <w:rsid w:val="00FD10ED"/>
    <w:rsid w:val="00FD114D"/>
    <w:rsid w:val="00FD1358"/>
    <w:rsid w:val="00FD13E5"/>
    <w:rsid w:val="00FD1419"/>
    <w:rsid w:val="00FD14A4"/>
    <w:rsid w:val="00FD14CC"/>
    <w:rsid w:val="00FD15E8"/>
    <w:rsid w:val="00FD1638"/>
    <w:rsid w:val="00FD165D"/>
    <w:rsid w:val="00FD16F6"/>
    <w:rsid w:val="00FD17DC"/>
    <w:rsid w:val="00FD1A77"/>
    <w:rsid w:val="00FD1B6F"/>
    <w:rsid w:val="00FD2042"/>
    <w:rsid w:val="00FD2430"/>
    <w:rsid w:val="00FD24BA"/>
    <w:rsid w:val="00FD24E7"/>
    <w:rsid w:val="00FD253B"/>
    <w:rsid w:val="00FD2669"/>
    <w:rsid w:val="00FD268C"/>
    <w:rsid w:val="00FD2754"/>
    <w:rsid w:val="00FD279D"/>
    <w:rsid w:val="00FD2809"/>
    <w:rsid w:val="00FD296E"/>
    <w:rsid w:val="00FD29E3"/>
    <w:rsid w:val="00FD2AAE"/>
    <w:rsid w:val="00FD2AE4"/>
    <w:rsid w:val="00FD2BA2"/>
    <w:rsid w:val="00FD2C06"/>
    <w:rsid w:val="00FD2CF8"/>
    <w:rsid w:val="00FD2E65"/>
    <w:rsid w:val="00FD2FA7"/>
    <w:rsid w:val="00FD3078"/>
    <w:rsid w:val="00FD30C5"/>
    <w:rsid w:val="00FD339F"/>
    <w:rsid w:val="00FD3468"/>
    <w:rsid w:val="00FD37A0"/>
    <w:rsid w:val="00FD3ADC"/>
    <w:rsid w:val="00FD3F3E"/>
    <w:rsid w:val="00FD3F78"/>
    <w:rsid w:val="00FD3FF4"/>
    <w:rsid w:val="00FD4061"/>
    <w:rsid w:val="00FD40A6"/>
    <w:rsid w:val="00FD40DD"/>
    <w:rsid w:val="00FD4119"/>
    <w:rsid w:val="00FD4146"/>
    <w:rsid w:val="00FD41ED"/>
    <w:rsid w:val="00FD437F"/>
    <w:rsid w:val="00FD43E0"/>
    <w:rsid w:val="00FD4436"/>
    <w:rsid w:val="00FD444C"/>
    <w:rsid w:val="00FD4DA8"/>
    <w:rsid w:val="00FD5577"/>
    <w:rsid w:val="00FD56B2"/>
    <w:rsid w:val="00FD57A1"/>
    <w:rsid w:val="00FD59DC"/>
    <w:rsid w:val="00FD5A27"/>
    <w:rsid w:val="00FD5C21"/>
    <w:rsid w:val="00FD5D03"/>
    <w:rsid w:val="00FD5D5C"/>
    <w:rsid w:val="00FD5E66"/>
    <w:rsid w:val="00FD5EA6"/>
    <w:rsid w:val="00FD5F51"/>
    <w:rsid w:val="00FD5F7E"/>
    <w:rsid w:val="00FD6033"/>
    <w:rsid w:val="00FD6094"/>
    <w:rsid w:val="00FD61E8"/>
    <w:rsid w:val="00FD6272"/>
    <w:rsid w:val="00FD63C1"/>
    <w:rsid w:val="00FD6477"/>
    <w:rsid w:val="00FD650E"/>
    <w:rsid w:val="00FD677A"/>
    <w:rsid w:val="00FD6849"/>
    <w:rsid w:val="00FD6883"/>
    <w:rsid w:val="00FD6AE1"/>
    <w:rsid w:val="00FD6C22"/>
    <w:rsid w:val="00FD6CD0"/>
    <w:rsid w:val="00FD6D7F"/>
    <w:rsid w:val="00FD6D92"/>
    <w:rsid w:val="00FD6DCA"/>
    <w:rsid w:val="00FD6E5D"/>
    <w:rsid w:val="00FD71B4"/>
    <w:rsid w:val="00FD7250"/>
    <w:rsid w:val="00FD727F"/>
    <w:rsid w:val="00FD745A"/>
    <w:rsid w:val="00FD752E"/>
    <w:rsid w:val="00FD75F7"/>
    <w:rsid w:val="00FD765E"/>
    <w:rsid w:val="00FD7ADC"/>
    <w:rsid w:val="00FD7AE9"/>
    <w:rsid w:val="00FD7B88"/>
    <w:rsid w:val="00FD7F1C"/>
    <w:rsid w:val="00FD7F54"/>
    <w:rsid w:val="00FE024E"/>
    <w:rsid w:val="00FE02FD"/>
    <w:rsid w:val="00FE0341"/>
    <w:rsid w:val="00FE03BF"/>
    <w:rsid w:val="00FE03DC"/>
    <w:rsid w:val="00FE056C"/>
    <w:rsid w:val="00FE058A"/>
    <w:rsid w:val="00FE076B"/>
    <w:rsid w:val="00FE07B3"/>
    <w:rsid w:val="00FE07E5"/>
    <w:rsid w:val="00FE0896"/>
    <w:rsid w:val="00FE0A17"/>
    <w:rsid w:val="00FE0A44"/>
    <w:rsid w:val="00FE0B8D"/>
    <w:rsid w:val="00FE0C02"/>
    <w:rsid w:val="00FE0C14"/>
    <w:rsid w:val="00FE0C71"/>
    <w:rsid w:val="00FE0E14"/>
    <w:rsid w:val="00FE14AF"/>
    <w:rsid w:val="00FE15FC"/>
    <w:rsid w:val="00FE1885"/>
    <w:rsid w:val="00FE1A5E"/>
    <w:rsid w:val="00FE1BEF"/>
    <w:rsid w:val="00FE1C27"/>
    <w:rsid w:val="00FE1C91"/>
    <w:rsid w:val="00FE1E10"/>
    <w:rsid w:val="00FE1ED9"/>
    <w:rsid w:val="00FE2481"/>
    <w:rsid w:val="00FE2532"/>
    <w:rsid w:val="00FE265E"/>
    <w:rsid w:val="00FE268C"/>
    <w:rsid w:val="00FE2A95"/>
    <w:rsid w:val="00FE2C03"/>
    <w:rsid w:val="00FE2D72"/>
    <w:rsid w:val="00FE2DC0"/>
    <w:rsid w:val="00FE2F60"/>
    <w:rsid w:val="00FE3003"/>
    <w:rsid w:val="00FE30EB"/>
    <w:rsid w:val="00FE31C8"/>
    <w:rsid w:val="00FE349B"/>
    <w:rsid w:val="00FE356C"/>
    <w:rsid w:val="00FE35E0"/>
    <w:rsid w:val="00FE3822"/>
    <w:rsid w:val="00FE39E9"/>
    <w:rsid w:val="00FE3B28"/>
    <w:rsid w:val="00FE3B4F"/>
    <w:rsid w:val="00FE3BDE"/>
    <w:rsid w:val="00FE406F"/>
    <w:rsid w:val="00FE4148"/>
    <w:rsid w:val="00FE43CF"/>
    <w:rsid w:val="00FE4403"/>
    <w:rsid w:val="00FE453D"/>
    <w:rsid w:val="00FE4583"/>
    <w:rsid w:val="00FE4B8C"/>
    <w:rsid w:val="00FE4BEB"/>
    <w:rsid w:val="00FE4F3F"/>
    <w:rsid w:val="00FE50E4"/>
    <w:rsid w:val="00FE51B0"/>
    <w:rsid w:val="00FE52B3"/>
    <w:rsid w:val="00FE53C4"/>
    <w:rsid w:val="00FE5555"/>
    <w:rsid w:val="00FE5657"/>
    <w:rsid w:val="00FE5664"/>
    <w:rsid w:val="00FE56DC"/>
    <w:rsid w:val="00FE5776"/>
    <w:rsid w:val="00FE57B1"/>
    <w:rsid w:val="00FE5918"/>
    <w:rsid w:val="00FE5926"/>
    <w:rsid w:val="00FE5981"/>
    <w:rsid w:val="00FE5988"/>
    <w:rsid w:val="00FE5A0A"/>
    <w:rsid w:val="00FE5CB7"/>
    <w:rsid w:val="00FE604A"/>
    <w:rsid w:val="00FE61C8"/>
    <w:rsid w:val="00FE6543"/>
    <w:rsid w:val="00FE657B"/>
    <w:rsid w:val="00FE6786"/>
    <w:rsid w:val="00FE6857"/>
    <w:rsid w:val="00FE6865"/>
    <w:rsid w:val="00FE69BD"/>
    <w:rsid w:val="00FE6A33"/>
    <w:rsid w:val="00FE6ABB"/>
    <w:rsid w:val="00FE6B27"/>
    <w:rsid w:val="00FE6B2C"/>
    <w:rsid w:val="00FE6B7A"/>
    <w:rsid w:val="00FE6BC9"/>
    <w:rsid w:val="00FE6DFB"/>
    <w:rsid w:val="00FE6F3E"/>
    <w:rsid w:val="00FE7202"/>
    <w:rsid w:val="00FE7678"/>
    <w:rsid w:val="00FE76E1"/>
    <w:rsid w:val="00FE770D"/>
    <w:rsid w:val="00FE779F"/>
    <w:rsid w:val="00FE7854"/>
    <w:rsid w:val="00FE7B06"/>
    <w:rsid w:val="00FE7B8E"/>
    <w:rsid w:val="00FE7D0B"/>
    <w:rsid w:val="00FE7E6A"/>
    <w:rsid w:val="00FE7F17"/>
    <w:rsid w:val="00FE7F8E"/>
    <w:rsid w:val="00FE7F9D"/>
    <w:rsid w:val="00FE7FC4"/>
    <w:rsid w:val="00FF01DE"/>
    <w:rsid w:val="00FF02E2"/>
    <w:rsid w:val="00FF0500"/>
    <w:rsid w:val="00FF05E0"/>
    <w:rsid w:val="00FF069D"/>
    <w:rsid w:val="00FF06B5"/>
    <w:rsid w:val="00FF0ADB"/>
    <w:rsid w:val="00FF0DEE"/>
    <w:rsid w:val="00FF1021"/>
    <w:rsid w:val="00FF1055"/>
    <w:rsid w:val="00FF12DF"/>
    <w:rsid w:val="00FF1367"/>
    <w:rsid w:val="00FF1436"/>
    <w:rsid w:val="00FF14AC"/>
    <w:rsid w:val="00FF1842"/>
    <w:rsid w:val="00FF1B56"/>
    <w:rsid w:val="00FF1BA1"/>
    <w:rsid w:val="00FF1CDB"/>
    <w:rsid w:val="00FF2111"/>
    <w:rsid w:val="00FF2299"/>
    <w:rsid w:val="00FF236A"/>
    <w:rsid w:val="00FF23BE"/>
    <w:rsid w:val="00FF265B"/>
    <w:rsid w:val="00FF27CF"/>
    <w:rsid w:val="00FF2899"/>
    <w:rsid w:val="00FF295E"/>
    <w:rsid w:val="00FF2BD2"/>
    <w:rsid w:val="00FF2CA4"/>
    <w:rsid w:val="00FF2D5C"/>
    <w:rsid w:val="00FF3038"/>
    <w:rsid w:val="00FF32A4"/>
    <w:rsid w:val="00FF33B5"/>
    <w:rsid w:val="00FF33D1"/>
    <w:rsid w:val="00FF3472"/>
    <w:rsid w:val="00FF36EC"/>
    <w:rsid w:val="00FF3872"/>
    <w:rsid w:val="00FF3AFA"/>
    <w:rsid w:val="00FF3B70"/>
    <w:rsid w:val="00FF3B9B"/>
    <w:rsid w:val="00FF3CA9"/>
    <w:rsid w:val="00FF3DC0"/>
    <w:rsid w:val="00FF3E98"/>
    <w:rsid w:val="00FF3EC8"/>
    <w:rsid w:val="00FF3EE4"/>
    <w:rsid w:val="00FF427E"/>
    <w:rsid w:val="00FF431E"/>
    <w:rsid w:val="00FF457E"/>
    <w:rsid w:val="00FF4581"/>
    <w:rsid w:val="00FF45F3"/>
    <w:rsid w:val="00FF46D0"/>
    <w:rsid w:val="00FF46D5"/>
    <w:rsid w:val="00FF476A"/>
    <w:rsid w:val="00FF481C"/>
    <w:rsid w:val="00FF489F"/>
    <w:rsid w:val="00FF4A1C"/>
    <w:rsid w:val="00FF4A41"/>
    <w:rsid w:val="00FF4C28"/>
    <w:rsid w:val="00FF4CF0"/>
    <w:rsid w:val="00FF4E2B"/>
    <w:rsid w:val="00FF4F87"/>
    <w:rsid w:val="00FF4FA3"/>
    <w:rsid w:val="00FF519C"/>
    <w:rsid w:val="00FF527B"/>
    <w:rsid w:val="00FF53EB"/>
    <w:rsid w:val="00FF54DD"/>
    <w:rsid w:val="00FF554A"/>
    <w:rsid w:val="00FF593A"/>
    <w:rsid w:val="00FF5AC5"/>
    <w:rsid w:val="00FF5EBF"/>
    <w:rsid w:val="00FF6099"/>
    <w:rsid w:val="00FF60ED"/>
    <w:rsid w:val="00FF612A"/>
    <w:rsid w:val="00FF6306"/>
    <w:rsid w:val="00FF630C"/>
    <w:rsid w:val="00FF634C"/>
    <w:rsid w:val="00FF6372"/>
    <w:rsid w:val="00FF6455"/>
    <w:rsid w:val="00FF6557"/>
    <w:rsid w:val="00FF6B23"/>
    <w:rsid w:val="00FF6D45"/>
    <w:rsid w:val="00FF6D7E"/>
    <w:rsid w:val="00FF6EB3"/>
    <w:rsid w:val="00FF6F74"/>
    <w:rsid w:val="00FF7178"/>
    <w:rsid w:val="00FF71C1"/>
    <w:rsid w:val="00FF725F"/>
    <w:rsid w:val="00FF7445"/>
    <w:rsid w:val="00FF7481"/>
    <w:rsid w:val="00FF769F"/>
    <w:rsid w:val="00FF7D35"/>
    <w:rsid w:val="00FF7D7E"/>
    <w:rsid w:val="00FF7DA4"/>
    <w:rsid w:val="00FF7DBF"/>
    <w:rsid w:val="0115271B"/>
    <w:rsid w:val="011E9089"/>
    <w:rsid w:val="01215696"/>
    <w:rsid w:val="0127A7A9"/>
    <w:rsid w:val="013319AD"/>
    <w:rsid w:val="0139F213"/>
    <w:rsid w:val="0146F0CC"/>
    <w:rsid w:val="01601440"/>
    <w:rsid w:val="0164A582"/>
    <w:rsid w:val="0167A877"/>
    <w:rsid w:val="016DC8E8"/>
    <w:rsid w:val="0185CA13"/>
    <w:rsid w:val="01C0CEBA"/>
    <w:rsid w:val="01EA8EA1"/>
    <w:rsid w:val="0214EB5B"/>
    <w:rsid w:val="02384EBB"/>
    <w:rsid w:val="0255B046"/>
    <w:rsid w:val="025D4C96"/>
    <w:rsid w:val="028AFDAC"/>
    <w:rsid w:val="02932E22"/>
    <w:rsid w:val="029EA8EE"/>
    <w:rsid w:val="02C68EEC"/>
    <w:rsid w:val="0316736A"/>
    <w:rsid w:val="032326F8"/>
    <w:rsid w:val="03342132"/>
    <w:rsid w:val="0346E6A7"/>
    <w:rsid w:val="03795128"/>
    <w:rsid w:val="03879722"/>
    <w:rsid w:val="039B86DF"/>
    <w:rsid w:val="03B070D7"/>
    <w:rsid w:val="03CC285A"/>
    <w:rsid w:val="03EC2B67"/>
    <w:rsid w:val="03EF558D"/>
    <w:rsid w:val="04067DA0"/>
    <w:rsid w:val="0426FDCC"/>
    <w:rsid w:val="043CCDE7"/>
    <w:rsid w:val="04768413"/>
    <w:rsid w:val="04C69F8A"/>
    <w:rsid w:val="04C9A485"/>
    <w:rsid w:val="04D3B47F"/>
    <w:rsid w:val="04E00716"/>
    <w:rsid w:val="04F69360"/>
    <w:rsid w:val="053FBC6A"/>
    <w:rsid w:val="05471695"/>
    <w:rsid w:val="055ACD34"/>
    <w:rsid w:val="056BEEC6"/>
    <w:rsid w:val="058961DA"/>
    <w:rsid w:val="059855F5"/>
    <w:rsid w:val="059C75BF"/>
    <w:rsid w:val="05A443FE"/>
    <w:rsid w:val="05B80077"/>
    <w:rsid w:val="060BA844"/>
    <w:rsid w:val="060F9A01"/>
    <w:rsid w:val="06917707"/>
    <w:rsid w:val="0692BB0D"/>
    <w:rsid w:val="06BFFAED"/>
    <w:rsid w:val="06C0E8F4"/>
    <w:rsid w:val="06D46921"/>
    <w:rsid w:val="06E91311"/>
    <w:rsid w:val="07023159"/>
    <w:rsid w:val="070743CF"/>
    <w:rsid w:val="07497729"/>
    <w:rsid w:val="07723A04"/>
    <w:rsid w:val="077B7ADD"/>
    <w:rsid w:val="07B4E36B"/>
    <w:rsid w:val="07B754A0"/>
    <w:rsid w:val="07D9EDAE"/>
    <w:rsid w:val="08193DE0"/>
    <w:rsid w:val="0826FA70"/>
    <w:rsid w:val="0842FA8B"/>
    <w:rsid w:val="085F687B"/>
    <w:rsid w:val="08762C45"/>
    <w:rsid w:val="087E9AB1"/>
    <w:rsid w:val="0890AA69"/>
    <w:rsid w:val="089612DF"/>
    <w:rsid w:val="08EADAC3"/>
    <w:rsid w:val="0905EAEA"/>
    <w:rsid w:val="09216F76"/>
    <w:rsid w:val="09503A11"/>
    <w:rsid w:val="0958BF1C"/>
    <w:rsid w:val="098E09C8"/>
    <w:rsid w:val="09A618C1"/>
    <w:rsid w:val="09AA7865"/>
    <w:rsid w:val="09CC4664"/>
    <w:rsid w:val="09D2FE44"/>
    <w:rsid w:val="0A5CF6F1"/>
    <w:rsid w:val="0A6C8F35"/>
    <w:rsid w:val="0A82D6A7"/>
    <w:rsid w:val="0A95EB94"/>
    <w:rsid w:val="0AA44DFC"/>
    <w:rsid w:val="0AF7DFBD"/>
    <w:rsid w:val="0B16C180"/>
    <w:rsid w:val="0B2CE344"/>
    <w:rsid w:val="0B3B412D"/>
    <w:rsid w:val="0B53B8A9"/>
    <w:rsid w:val="0B88403D"/>
    <w:rsid w:val="0B8AD004"/>
    <w:rsid w:val="0BB88EFD"/>
    <w:rsid w:val="0BDD92FD"/>
    <w:rsid w:val="0BF1551B"/>
    <w:rsid w:val="0C23900E"/>
    <w:rsid w:val="0C343C43"/>
    <w:rsid w:val="0C364C20"/>
    <w:rsid w:val="0C38CC75"/>
    <w:rsid w:val="0C3A8356"/>
    <w:rsid w:val="0C3B6E75"/>
    <w:rsid w:val="0C3BF9DF"/>
    <w:rsid w:val="0C3E68F3"/>
    <w:rsid w:val="0C97D030"/>
    <w:rsid w:val="0CB32044"/>
    <w:rsid w:val="0CCF2B6C"/>
    <w:rsid w:val="0CD916BE"/>
    <w:rsid w:val="0CD97417"/>
    <w:rsid w:val="0CE97D3D"/>
    <w:rsid w:val="0CEF863A"/>
    <w:rsid w:val="0D6931A4"/>
    <w:rsid w:val="0D6B09F6"/>
    <w:rsid w:val="0D7998F6"/>
    <w:rsid w:val="0D85E59D"/>
    <w:rsid w:val="0D8C4C67"/>
    <w:rsid w:val="0D8DB25C"/>
    <w:rsid w:val="0D90992E"/>
    <w:rsid w:val="0DA7F53D"/>
    <w:rsid w:val="0DB0E501"/>
    <w:rsid w:val="0DE43B54"/>
    <w:rsid w:val="0E0DEC38"/>
    <w:rsid w:val="0E10F39D"/>
    <w:rsid w:val="0E38D4A9"/>
    <w:rsid w:val="0E4D0E4E"/>
    <w:rsid w:val="0E4DA10A"/>
    <w:rsid w:val="0E81C1C9"/>
    <w:rsid w:val="0E911EAA"/>
    <w:rsid w:val="0EADA3EE"/>
    <w:rsid w:val="0EAF2B02"/>
    <w:rsid w:val="0EBC1FC4"/>
    <w:rsid w:val="0ED7846D"/>
    <w:rsid w:val="0EDA8290"/>
    <w:rsid w:val="0EDFCE5D"/>
    <w:rsid w:val="0EE00EB5"/>
    <w:rsid w:val="0EED9E70"/>
    <w:rsid w:val="0EFDAB52"/>
    <w:rsid w:val="0F24AB8C"/>
    <w:rsid w:val="0F430230"/>
    <w:rsid w:val="0F624A59"/>
    <w:rsid w:val="0FC23565"/>
    <w:rsid w:val="0FC46FC8"/>
    <w:rsid w:val="0FCAEEE3"/>
    <w:rsid w:val="0FEEE078"/>
    <w:rsid w:val="1027F4EC"/>
    <w:rsid w:val="106A3233"/>
    <w:rsid w:val="108BAEAF"/>
    <w:rsid w:val="108EBC52"/>
    <w:rsid w:val="109A629D"/>
    <w:rsid w:val="10AD50DE"/>
    <w:rsid w:val="10BE7DE8"/>
    <w:rsid w:val="10C8866C"/>
    <w:rsid w:val="114F4DE6"/>
    <w:rsid w:val="1173A354"/>
    <w:rsid w:val="11B4FF8D"/>
    <w:rsid w:val="11C91557"/>
    <w:rsid w:val="11F8EC99"/>
    <w:rsid w:val="11F90F5D"/>
    <w:rsid w:val="1240D267"/>
    <w:rsid w:val="1266C791"/>
    <w:rsid w:val="126E8C3F"/>
    <w:rsid w:val="1297244F"/>
    <w:rsid w:val="12B44C7C"/>
    <w:rsid w:val="12E01A9F"/>
    <w:rsid w:val="12E0788C"/>
    <w:rsid w:val="1345AE71"/>
    <w:rsid w:val="1353B95D"/>
    <w:rsid w:val="136B32A0"/>
    <w:rsid w:val="1373A70D"/>
    <w:rsid w:val="1388505D"/>
    <w:rsid w:val="13A7BE35"/>
    <w:rsid w:val="13A998F1"/>
    <w:rsid w:val="13C3F40C"/>
    <w:rsid w:val="13C60D84"/>
    <w:rsid w:val="144B64D5"/>
    <w:rsid w:val="14852BC5"/>
    <w:rsid w:val="148EA9C3"/>
    <w:rsid w:val="14B02CA0"/>
    <w:rsid w:val="14D64655"/>
    <w:rsid w:val="150AE802"/>
    <w:rsid w:val="151A2067"/>
    <w:rsid w:val="151EFCEE"/>
    <w:rsid w:val="15284ADE"/>
    <w:rsid w:val="152C33F6"/>
    <w:rsid w:val="153C738D"/>
    <w:rsid w:val="1546A1B8"/>
    <w:rsid w:val="155F7FAE"/>
    <w:rsid w:val="1569E82A"/>
    <w:rsid w:val="1574185E"/>
    <w:rsid w:val="1588B87C"/>
    <w:rsid w:val="1588CFEE"/>
    <w:rsid w:val="15A2262B"/>
    <w:rsid w:val="15C4F995"/>
    <w:rsid w:val="15D50836"/>
    <w:rsid w:val="15E8EAF6"/>
    <w:rsid w:val="16422A97"/>
    <w:rsid w:val="164765ED"/>
    <w:rsid w:val="1670F192"/>
    <w:rsid w:val="1695A036"/>
    <w:rsid w:val="16CC732E"/>
    <w:rsid w:val="17183BB6"/>
    <w:rsid w:val="17395D52"/>
    <w:rsid w:val="17486B46"/>
    <w:rsid w:val="17625636"/>
    <w:rsid w:val="1769D31B"/>
    <w:rsid w:val="176D82EB"/>
    <w:rsid w:val="17796573"/>
    <w:rsid w:val="179E8837"/>
    <w:rsid w:val="17D6F30B"/>
    <w:rsid w:val="17D95B55"/>
    <w:rsid w:val="182FFB49"/>
    <w:rsid w:val="183B10E1"/>
    <w:rsid w:val="1844F7E4"/>
    <w:rsid w:val="184B3AE5"/>
    <w:rsid w:val="184C3245"/>
    <w:rsid w:val="18654250"/>
    <w:rsid w:val="188937EA"/>
    <w:rsid w:val="188ED298"/>
    <w:rsid w:val="1891C4CA"/>
    <w:rsid w:val="18956472"/>
    <w:rsid w:val="18A84A75"/>
    <w:rsid w:val="18B2A25E"/>
    <w:rsid w:val="18D8FE6D"/>
    <w:rsid w:val="190FE694"/>
    <w:rsid w:val="1910D6F6"/>
    <w:rsid w:val="1917A622"/>
    <w:rsid w:val="1930D85B"/>
    <w:rsid w:val="1958A57E"/>
    <w:rsid w:val="19609D02"/>
    <w:rsid w:val="196CF2E7"/>
    <w:rsid w:val="19A98CE9"/>
    <w:rsid w:val="19C4C540"/>
    <w:rsid w:val="1A01BEB8"/>
    <w:rsid w:val="1A0A3EA3"/>
    <w:rsid w:val="1A0C0F02"/>
    <w:rsid w:val="1A34D2FB"/>
    <w:rsid w:val="1A452A87"/>
    <w:rsid w:val="1A9E010C"/>
    <w:rsid w:val="1A9E2666"/>
    <w:rsid w:val="1AB250E4"/>
    <w:rsid w:val="1AFCE0FD"/>
    <w:rsid w:val="1AFD80F5"/>
    <w:rsid w:val="1B2226C0"/>
    <w:rsid w:val="1BB37449"/>
    <w:rsid w:val="1BDDB381"/>
    <w:rsid w:val="1BE7A8A4"/>
    <w:rsid w:val="1BF09ABB"/>
    <w:rsid w:val="1C10BB95"/>
    <w:rsid w:val="1C6E93D4"/>
    <w:rsid w:val="1C80FFE4"/>
    <w:rsid w:val="1C84D713"/>
    <w:rsid w:val="1C916A5C"/>
    <w:rsid w:val="1CE273F7"/>
    <w:rsid w:val="1D286193"/>
    <w:rsid w:val="1D5A2472"/>
    <w:rsid w:val="1D7179BA"/>
    <w:rsid w:val="1D78FDC7"/>
    <w:rsid w:val="1D94C069"/>
    <w:rsid w:val="1D95BDAB"/>
    <w:rsid w:val="1D9C9686"/>
    <w:rsid w:val="1DB2B765"/>
    <w:rsid w:val="1DEF779B"/>
    <w:rsid w:val="1E0460C9"/>
    <w:rsid w:val="1E111EE3"/>
    <w:rsid w:val="1E467041"/>
    <w:rsid w:val="1E851CC1"/>
    <w:rsid w:val="1ECFE009"/>
    <w:rsid w:val="1EEEA2B8"/>
    <w:rsid w:val="1EF0FB73"/>
    <w:rsid w:val="1F01BDA3"/>
    <w:rsid w:val="1F0F71D1"/>
    <w:rsid w:val="1F400C3E"/>
    <w:rsid w:val="1F76270F"/>
    <w:rsid w:val="1F9154D4"/>
    <w:rsid w:val="1FAE9689"/>
    <w:rsid w:val="1FC82E87"/>
    <w:rsid w:val="1FC8CAB5"/>
    <w:rsid w:val="1FCE8EAE"/>
    <w:rsid w:val="200F52DA"/>
    <w:rsid w:val="2029C57F"/>
    <w:rsid w:val="202C7F89"/>
    <w:rsid w:val="206C5F46"/>
    <w:rsid w:val="206F7405"/>
    <w:rsid w:val="208944EA"/>
    <w:rsid w:val="20AD9B0D"/>
    <w:rsid w:val="20B07A9C"/>
    <w:rsid w:val="21211BC4"/>
    <w:rsid w:val="213007B1"/>
    <w:rsid w:val="214E9AEA"/>
    <w:rsid w:val="215F01AC"/>
    <w:rsid w:val="218F2171"/>
    <w:rsid w:val="21ADA5AA"/>
    <w:rsid w:val="21C91817"/>
    <w:rsid w:val="22258CAF"/>
    <w:rsid w:val="222CA887"/>
    <w:rsid w:val="222E9D72"/>
    <w:rsid w:val="2237F0B8"/>
    <w:rsid w:val="2239F6D4"/>
    <w:rsid w:val="223ED627"/>
    <w:rsid w:val="2245AFC1"/>
    <w:rsid w:val="226B7A74"/>
    <w:rsid w:val="2288A2FC"/>
    <w:rsid w:val="2297D542"/>
    <w:rsid w:val="22B7B93C"/>
    <w:rsid w:val="22BE511A"/>
    <w:rsid w:val="23276B34"/>
    <w:rsid w:val="233F99CB"/>
    <w:rsid w:val="234EA554"/>
    <w:rsid w:val="2350B6E2"/>
    <w:rsid w:val="236752F5"/>
    <w:rsid w:val="23923D27"/>
    <w:rsid w:val="23B61E75"/>
    <w:rsid w:val="23C963DE"/>
    <w:rsid w:val="23CC0E75"/>
    <w:rsid w:val="23D89ADA"/>
    <w:rsid w:val="2413572E"/>
    <w:rsid w:val="24179100"/>
    <w:rsid w:val="2439F104"/>
    <w:rsid w:val="24AA78CB"/>
    <w:rsid w:val="24CACECE"/>
    <w:rsid w:val="24DE9A89"/>
    <w:rsid w:val="24E1B635"/>
    <w:rsid w:val="24FB2722"/>
    <w:rsid w:val="2561176A"/>
    <w:rsid w:val="2575993C"/>
    <w:rsid w:val="2578BE8A"/>
    <w:rsid w:val="25D888F6"/>
    <w:rsid w:val="26091C29"/>
    <w:rsid w:val="26241C1F"/>
    <w:rsid w:val="262FAB5F"/>
    <w:rsid w:val="263CA3CA"/>
    <w:rsid w:val="266DA9D7"/>
    <w:rsid w:val="26B0CAAE"/>
    <w:rsid w:val="26B54B3E"/>
    <w:rsid w:val="26F60F35"/>
    <w:rsid w:val="270723E9"/>
    <w:rsid w:val="27236CAB"/>
    <w:rsid w:val="2734134A"/>
    <w:rsid w:val="278FC549"/>
    <w:rsid w:val="27A4E3E0"/>
    <w:rsid w:val="27AD5736"/>
    <w:rsid w:val="27B37E63"/>
    <w:rsid w:val="27B668F0"/>
    <w:rsid w:val="27CD7118"/>
    <w:rsid w:val="27D13113"/>
    <w:rsid w:val="2860CA06"/>
    <w:rsid w:val="286A5D20"/>
    <w:rsid w:val="28707ABB"/>
    <w:rsid w:val="287C8BDA"/>
    <w:rsid w:val="2893975D"/>
    <w:rsid w:val="28996DFD"/>
    <w:rsid w:val="289CBB74"/>
    <w:rsid w:val="28A05A5A"/>
    <w:rsid w:val="28C1969A"/>
    <w:rsid w:val="28D1BB31"/>
    <w:rsid w:val="28F1851B"/>
    <w:rsid w:val="28F521F9"/>
    <w:rsid w:val="293410A5"/>
    <w:rsid w:val="2938E3C0"/>
    <w:rsid w:val="293DCC76"/>
    <w:rsid w:val="293E5D8F"/>
    <w:rsid w:val="2942BD6B"/>
    <w:rsid w:val="295CAD3E"/>
    <w:rsid w:val="296222DF"/>
    <w:rsid w:val="297FD805"/>
    <w:rsid w:val="29897B72"/>
    <w:rsid w:val="29A97E59"/>
    <w:rsid w:val="29AFAC9A"/>
    <w:rsid w:val="29B4BDF5"/>
    <w:rsid w:val="2A06F834"/>
    <w:rsid w:val="2A41F5C6"/>
    <w:rsid w:val="2A5C106E"/>
    <w:rsid w:val="2A7DB842"/>
    <w:rsid w:val="2AA5DF0E"/>
    <w:rsid w:val="2AC3BEB6"/>
    <w:rsid w:val="2AC9A429"/>
    <w:rsid w:val="2ACE70B1"/>
    <w:rsid w:val="2AF0CBB8"/>
    <w:rsid w:val="2B1426FD"/>
    <w:rsid w:val="2B2D35D6"/>
    <w:rsid w:val="2B4A5D59"/>
    <w:rsid w:val="2B571A1B"/>
    <w:rsid w:val="2B6BB17C"/>
    <w:rsid w:val="2B843695"/>
    <w:rsid w:val="2BAAB75B"/>
    <w:rsid w:val="2BB119DB"/>
    <w:rsid w:val="2BCA3315"/>
    <w:rsid w:val="2C001A3E"/>
    <w:rsid w:val="2CA7730D"/>
    <w:rsid w:val="2CA7BD5E"/>
    <w:rsid w:val="2CAF2D3B"/>
    <w:rsid w:val="2CC2825B"/>
    <w:rsid w:val="2D0979F1"/>
    <w:rsid w:val="2D1C7253"/>
    <w:rsid w:val="2D7D47DC"/>
    <w:rsid w:val="2D931C87"/>
    <w:rsid w:val="2D9792FE"/>
    <w:rsid w:val="2DB73E20"/>
    <w:rsid w:val="2E09FE30"/>
    <w:rsid w:val="2E13E8A6"/>
    <w:rsid w:val="2E3C22B4"/>
    <w:rsid w:val="2E3DB96C"/>
    <w:rsid w:val="2E54C94E"/>
    <w:rsid w:val="2E64D47D"/>
    <w:rsid w:val="2E761B68"/>
    <w:rsid w:val="2ED13401"/>
    <w:rsid w:val="2EFA6ECD"/>
    <w:rsid w:val="2F0194AE"/>
    <w:rsid w:val="2F09C4E3"/>
    <w:rsid w:val="2F1E4920"/>
    <w:rsid w:val="2F5A6B8D"/>
    <w:rsid w:val="2F80AD18"/>
    <w:rsid w:val="2F8F6304"/>
    <w:rsid w:val="2F9B9656"/>
    <w:rsid w:val="2FC730FF"/>
    <w:rsid w:val="2FCCC188"/>
    <w:rsid w:val="2FCE746C"/>
    <w:rsid w:val="2FE85558"/>
    <w:rsid w:val="30030F2D"/>
    <w:rsid w:val="305D3162"/>
    <w:rsid w:val="305F973A"/>
    <w:rsid w:val="30650482"/>
    <w:rsid w:val="308F0064"/>
    <w:rsid w:val="30A9D203"/>
    <w:rsid w:val="30E906E4"/>
    <w:rsid w:val="310AF637"/>
    <w:rsid w:val="3116C11C"/>
    <w:rsid w:val="314A20E0"/>
    <w:rsid w:val="3157380E"/>
    <w:rsid w:val="319C50E1"/>
    <w:rsid w:val="31AB5796"/>
    <w:rsid w:val="31B2DB15"/>
    <w:rsid w:val="31D49428"/>
    <w:rsid w:val="322DE183"/>
    <w:rsid w:val="324A3D70"/>
    <w:rsid w:val="3250EE9B"/>
    <w:rsid w:val="327D21D1"/>
    <w:rsid w:val="327E6B86"/>
    <w:rsid w:val="328CD5B6"/>
    <w:rsid w:val="333F8C41"/>
    <w:rsid w:val="3355AFE2"/>
    <w:rsid w:val="335CFEDA"/>
    <w:rsid w:val="3391F3FC"/>
    <w:rsid w:val="33F2441E"/>
    <w:rsid w:val="3409E13E"/>
    <w:rsid w:val="3422CC3C"/>
    <w:rsid w:val="3429945F"/>
    <w:rsid w:val="342C8C40"/>
    <w:rsid w:val="345AAC67"/>
    <w:rsid w:val="348889EC"/>
    <w:rsid w:val="34E39652"/>
    <w:rsid w:val="34E7E7EF"/>
    <w:rsid w:val="34F5273D"/>
    <w:rsid w:val="352C0881"/>
    <w:rsid w:val="354EF791"/>
    <w:rsid w:val="3563049A"/>
    <w:rsid w:val="3589E55B"/>
    <w:rsid w:val="358BD4DD"/>
    <w:rsid w:val="35C36ADB"/>
    <w:rsid w:val="35DA5DFE"/>
    <w:rsid w:val="36055A90"/>
    <w:rsid w:val="361A595F"/>
    <w:rsid w:val="362D1D3C"/>
    <w:rsid w:val="363FA9A6"/>
    <w:rsid w:val="36447A4A"/>
    <w:rsid w:val="3644D67D"/>
    <w:rsid w:val="3645B2B1"/>
    <w:rsid w:val="36716B40"/>
    <w:rsid w:val="369B466B"/>
    <w:rsid w:val="36C81957"/>
    <w:rsid w:val="36CE0E8C"/>
    <w:rsid w:val="37078735"/>
    <w:rsid w:val="37103D29"/>
    <w:rsid w:val="371BD81E"/>
    <w:rsid w:val="3757333B"/>
    <w:rsid w:val="375FDC66"/>
    <w:rsid w:val="376A4ADC"/>
    <w:rsid w:val="37830DA7"/>
    <w:rsid w:val="380DD60C"/>
    <w:rsid w:val="381C7B1B"/>
    <w:rsid w:val="3835198B"/>
    <w:rsid w:val="3849AC62"/>
    <w:rsid w:val="384EF786"/>
    <w:rsid w:val="3899D4E4"/>
    <w:rsid w:val="389B1EEF"/>
    <w:rsid w:val="389E9EED"/>
    <w:rsid w:val="38C2A223"/>
    <w:rsid w:val="38C4CFAD"/>
    <w:rsid w:val="38C95299"/>
    <w:rsid w:val="38CEE185"/>
    <w:rsid w:val="38CF6417"/>
    <w:rsid w:val="38D0D1EB"/>
    <w:rsid w:val="393F4063"/>
    <w:rsid w:val="393FC611"/>
    <w:rsid w:val="395C4D83"/>
    <w:rsid w:val="3962BD11"/>
    <w:rsid w:val="3979CAEC"/>
    <w:rsid w:val="39956D54"/>
    <w:rsid w:val="39AFF812"/>
    <w:rsid w:val="39C6B7BC"/>
    <w:rsid w:val="39E2A85B"/>
    <w:rsid w:val="39E404A8"/>
    <w:rsid w:val="39EBE0A6"/>
    <w:rsid w:val="3A1C8FF8"/>
    <w:rsid w:val="3A240DF6"/>
    <w:rsid w:val="3A453752"/>
    <w:rsid w:val="3A49E2AC"/>
    <w:rsid w:val="3A62C283"/>
    <w:rsid w:val="3A70BDB3"/>
    <w:rsid w:val="3A80ADA7"/>
    <w:rsid w:val="3A80F696"/>
    <w:rsid w:val="3B8705B3"/>
    <w:rsid w:val="3B9AFEDF"/>
    <w:rsid w:val="3BD36993"/>
    <w:rsid w:val="3BD400A5"/>
    <w:rsid w:val="3BE29730"/>
    <w:rsid w:val="3BE4BFC1"/>
    <w:rsid w:val="3BE58817"/>
    <w:rsid w:val="3BE658B0"/>
    <w:rsid w:val="3C0352F7"/>
    <w:rsid w:val="3C245B43"/>
    <w:rsid w:val="3C3AA0BA"/>
    <w:rsid w:val="3C3D0EC5"/>
    <w:rsid w:val="3C490445"/>
    <w:rsid w:val="3C5C4821"/>
    <w:rsid w:val="3C997CE0"/>
    <w:rsid w:val="3C9FC5C4"/>
    <w:rsid w:val="3CB75956"/>
    <w:rsid w:val="3CCC9B5A"/>
    <w:rsid w:val="3CE6DFA9"/>
    <w:rsid w:val="3D274B7B"/>
    <w:rsid w:val="3D5B7659"/>
    <w:rsid w:val="3D6E1133"/>
    <w:rsid w:val="3D97BDBE"/>
    <w:rsid w:val="3DE63892"/>
    <w:rsid w:val="3DECE176"/>
    <w:rsid w:val="3DF0127B"/>
    <w:rsid w:val="3E2695CA"/>
    <w:rsid w:val="3E6640AC"/>
    <w:rsid w:val="3EAE36FB"/>
    <w:rsid w:val="3EC491CE"/>
    <w:rsid w:val="3ED257DA"/>
    <w:rsid w:val="3F1670F0"/>
    <w:rsid w:val="3F18BD8B"/>
    <w:rsid w:val="3F18D012"/>
    <w:rsid w:val="3F37D1FF"/>
    <w:rsid w:val="3F783D50"/>
    <w:rsid w:val="3F79A2C0"/>
    <w:rsid w:val="3FA78C50"/>
    <w:rsid w:val="3FB115B3"/>
    <w:rsid w:val="3FE0CE6C"/>
    <w:rsid w:val="400003C9"/>
    <w:rsid w:val="401F237D"/>
    <w:rsid w:val="40322ED1"/>
    <w:rsid w:val="403E3DAC"/>
    <w:rsid w:val="406F0B27"/>
    <w:rsid w:val="407ACF5B"/>
    <w:rsid w:val="409D3A99"/>
    <w:rsid w:val="40E0FA13"/>
    <w:rsid w:val="41073148"/>
    <w:rsid w:val="4150AB5E"/>
    <w:rsid w:val="4179CD35"/>
    <w:rsid w:val="418E5F0E"/>
    <w:rsid w:val="4190E4F5"/>
    <w:rsid w:val="41A17AAC"/>
    <w:rsid w:val="41AEDE56"/>
    <w:rsid w:val="41AF5383"/>
    <w:rsid w:val="41C2AA2C"/>
    <w:rsid w:val="41C88628"/>
    <w:rsid w:val="41D7B1CB"/>
    <w:rsid w:val="421D3272"/>
    <w:rsid w:val="4234CC14"/>
    <w:rsid w:val="426CCBB7"/>
    <w:rsid w:val="42C4AAD6"/>
    <w:rsid w:val="42D8B380"/>
    <w:rsid w:val="430E09F5"/>
    <w:rsid w:val="431824ED"/>
    <w:rsid w:val="431EEE87"/>
    <w:rsid w:val="4352C8E7"/>
    <w:rsid w:val="4363D3D3"/>
    <w:rsid w:val="43734B83"/>
    <w:rsid w:val="43754FC1"/>
    <w:rsid w:val="4395D82B"/>
    <w:rsid w:val="439CF0CD"/>
    <w:rsid w:val="43CDACDE"/>
    <w:rsid w:val="44111118"/>
    <w:rsid w:val="4414E925"/>
    <w:rsid w:val="443CC6E3"/>
    <w:rsid w:val="44448B44"/>
    <w:rsid w:val="44591E01"/>
    <w:rsid w:val="447BC4D8"/>
    <w:rsid w:val="449F215C"/>
    <w:rsid w:val="44A3C2B3"/>
    <w:rsid w:val="44CDCF4D"/>
    <w:rsid w:val="44D0D543"/>
    <w:rsid w:val="44EF9D92"/>
    <w:rsid w:val="451833A4"/>
    <w:rsid w:val="4541489D"/>
    <w:rsid w:val="4568EAEE"/>
    <w:rsid w:val="456FF9C4"/>
    <w:rsid w:val="45745D56"/>
    <w:rsid w:val="459E090F"/>
    <w:rsid w:val="45BA2EB8"/>
    <w:rsid w:val="45DD25D6"/>
    <w:rsid w:val="46422AC0"/>
    <w:rsid w:val="465136B1"/>
    <w:rsid w:val="466DDB7C"/>
    <w:rsid w:val="468034A0"/>
    <w:rsid w:val="46898135"/>
    <w:rsid w:val="46898E23"/>
    <w:rsid w:val="46AEF88A"/>
    <w:rsid w:val="46F19238"/>
    <w:rsid w:val="46FE4A01"/>
    <w:rsid w:val="471ACBD8"/>
    <w:rsid w:val="473D8F1F"/>
    <w:rsid w:val="4765E9B5"/>
    <w:rsid w:val="478FD07D"/>
    <w:rsid w:val="47A0AF89"/>
    <w:rsid w:val="47B2DD8F"/>
    <w:rsid w:val="481BF1D3"/>
    <w:rsid w:val="483C382D"/>
    <w:rsid w:val="486D8CE4"/>
    <w:rsid w:val="48716FD8"/>
    <w:rsid w:val="4886835F"/>
    <w:rsid w:val="488FACD3"/>
    <w:rsid w:val="489175DE"/>
    <w:rsid w:val="48A2B8E1"/>
    <w:rsid w:val="48A53B2C"/>
    <w:rsid w:val="48C9A887"/>
    <w:rsid w:val="48CBFDBB"/>
    <w:rsid w:val="48E3790B"/>
    <w:rsid w:val="4917B1E9"/>
    <w:rsid w:val="49455AAF"/>
    <w:rsid w:val="497F3FC4"/>
    <w:rsid w:val="49A789E1"/>
    <w:rsid w:val="49BAE962"/>
    <w:rsid w:val="49D25A68"/>
    <w:rsid w:val="49D867E7"/>
    <w:rsid w:val="49E7441C"/>
    <w:rsid w:val="4A3713CE"/>
    <w:rsid w:val="4A417F5C"/>
    <w:rsid w:val="4A754B65"/>
    <w:rsid w:val="4A75EBF2"/>
    <w:rsid w:val="4A907E23"/>
    <w:rsid w:val="4A90941D"/>
    <w:rsid w:val="4A979B2F"/>
    <w:rsid w:val="4AA821B0"/>
    <w:rsid w:val="4B054765"/>
    <w:rsid w:val="4B0BFDB0"/>
    <w:rsid w:val="4B12535C"/>
    <w:rsid w:val="4B7E9B5B"/>
    <w:rsid w:val="4BD3C3D7"/>
    <w:rsid w:val="4BF930EE"/>
    <w:rsid w:val="4BFB6FC5"/>
    <w:rsid w:val="4BFD7613"/>
    <w:rsid w:val="4C17EE3D"/>
    <w:rsid w:val="4C35AEB9"/>
    <w:rsid w:val="4C57132E"/>
    <w:rsid w:val="4C9FF24C"/>
    <w:rsid w:val="4CA582EA"/>
    <w:rsid w:val="4CA661FA"/>
    <w:rsid w:val="4CC3861B"/>
    <w:rsid w:val="4D232CB4"/>
    <w:rsid w:val="4D2DE8AC"/>
    <w:rsid w:val="4D3B117E"/>
    <w:rsid w:val="4D3B3C5F"/>
    <w:rsid w:val="4D98BF8A"/>
    <w:rsid w:val="4DE6144F"/>
    <w:rsid w:val="4DF6BF68"/>
    <w:rsid w:val="4E16C0EE"/>
    <w:rsid w:val="4E21A441"/>
    <w:rsid w:val="4E975740"/>
    <w:rsid w:val="4EC234F9"/>
    <w:rsid w:val="4EE6CD6F"/>
    <w:rsid w:val="4F0C0D11"/>
    <w:rsid w:val="4F0C2BFD"/>
    <w:rsid w:val="4F8A3DF4"/>
    <w:rsid w:val="4FC7EBCE"/>
    <w:rsid w:val="504A42B4"/>
    <w:rsid w:val="505267AE"/>
    <w:rsid w:val="5076633E"/>
    <w:rsid w:val="50940F0C"/>
    <w:rsid w:val="50CFEF43"/>
    <w:rsid w:val="50D9A679"/>
    <w:rsid w:val="512A4A5B"/>
    <w:rsid w:val="512E3A0D"/>
    <w:rsid w:val="51503C83"/>
    <w:rsid w:val="5193B671"/>
    <w:rsid w:val="51B3956B"/>
    <w:rsid w:val="520F43DA"/>
    <w:rsid w:val="525D0464"/>
    <w:rsid w:val="5274582C"/>
    <w:rsid w:val="52F82605"/>
    <w:rsid w:val="5317FD4B"/>
    <w:rsid w:val="5334F5E0"/>
    <w:rsid w:val="5341CE0E"/>
    <w:rsid w:val="5362086B"/>
    <w:rsid w:val="5369A09D"/>
    <w:rsid w:val="53DB0E03"/>
    <w:rsid w:val="53DB7DC6"/>
    <w:rsid w:val="53F6B6A6"/>
    <w:rsid w:val="540491F3"/>
    <w:rsid w:val="540D19ED"/>
    <w:rsid w:val="54158360"/>
    <w:rsid w:val="547BD6BC"/>
    <w:rsid w:val="54893CC5"/>
    <w:rsid w:val="54F1CD6A"/>
    <w:rsid w:val="55012772"/>
    <w:rsid w:val="5526527E"/>
    <w:rsid w:val="5532A7AB"/>
    <w:rsid w:val="556767A6"/>
    <w:rsid w:val="55743083"/>
    <w:rsid w:val="557C56FE"/>
    <w:rsid w:val="5581676C"/>
    <w:rsid w:val="55AA4174"/>
    <w:rsid w:val="55CB7E1B"/>
    <w:rsid w:val="55E98C0A"/>
    <w:rsid w:val="56033EF4"/>
    <w:rsid w:val="560E4A31"/>
    <w:rsid w:val="5642219F"/>
    <w:rsid w:val="5683213A"/>
    <w:rsid w:val="5683744F"/>
    <w:rsid w:val="568DA196"/>
    <w:rsid w:val="56953EA5"/>
    <w:rsid w:val="56AE2E14"/>
    <w:rsid w:val="56C5CEBF"/>
    <w:rsid w:val="56D06C54"/>
    <w:rsid w:val="56D88960"/>
    <w:rsid w:val="57049C50"/>
    <w:rsid w:val="5717D775"/>
    <w:rsid w:val="57365F49"/>
    <w:rsid w:val="5750B705"/>
    <w:rsid w:val="57A8F3EE"/>
    <w:rsid w:val="57E37DC7"/>
    <w:rsid w:val="57E5C824"/>
    <w:rsid w:val="57F59EEF"/>
    <w:rsid w:val="57FACDB0"/>
    <w:rsid w:val="5803FEE1"/>
    <w:rsid w:val="5877CB99"/>
    <w:rsid w:val="587A9E76"/>
    <w:rsid w:val="5882154D"/>
    <w:rsid w:val="588CE900"/>
    <w:rsid w:val="589E713A"/>
    <w:rsid w:val="58A83614"/>
    <w:rsid w:val="58B16605"/>
    <w:rsid w:val="58BE65F8"/>
    <w:rsid w:val="58C19441"/>
    <w:rsid w:val="59204E0D"/>
    <w:rsid w:val="5950D45C"/>
    <w:rsid w:val="59853769"/>
    <w:rsid w:val="598E5A62"/>
    <w:rsid w:val="59980C9C"/>
    <w:rsid w:val="59B8C0E0"/>
    <w:rsid w:val="59B93C4F"/>
    <w:rsid w:val="59D0E172"/>
    <w:rsid w:val="59E61C1C"/>
    <w:rsid w:val="59EB1872"/>
    <w:rsid w:val="59EF2A27"/>
    <w:rsid w:val="59FB4BA5"/>
    <w:rsid w:val="5A0556C4"/>
    <w:rsid w:val="5A218B4E"/>
    <w:rsid w:val="5A24B05C"/>
    <w:rsid w:val="5A2C9DE5"/>
    <w:rsid w:val="5A510126"/>
    <w:rsid w:val="5A519F22"/>
    <w:rsid w:val="5A6B2857"/>
    <w:rsid w:val="5A8E0F7F"/>
    <w:rsid w:val="5AC47515"/>
    <w:rsid w:val="5BADD962"/>
    <w:rsid w:val="5BBA6992"/>
    <w:rsid w:val="5BC9CFBE"/>
    <w:rsid w:val="5BEAD8C6"/>
    <w:rsid w:val="5C04D0CB"/>
    <w:rsid w:val="5C0EBDE8"/>
    <w:rsid w:val="5C401B2E"/>
    <w:rsid w:val="5C781FDF"/>
    <w:rsid w:val="5CC163F2"/>
    <w:rsid w:val="5CEEBC43"/>
    <w:rsid w:val="5D32732B"/>
    <w:rsid w:val="5D3A9AEF"/>
    <w:rsid w:val="5D5CC411"/>
    <w:rsid w:val="5DAE27EE"/>
    <w:rsid w:val="5DB1EE26"/>
    <w:rsid w:val="5DD29081"/>
    <w:rsid w:val="5DE1CD42"/>
    <w:rsid w:val="5DE5C088"/>
    <w:rsid w:val="5DFE55C2"/>
    <w:rsid w:val="5E07FDE9"/>
    <w:rsid w:val="5E1DF371"/>
    <w:rsid w:val="5E410CC6"/>
    <w:rsid w:val="5E441D56"/>
    <w:rsid w:val="5E48C46E"/>
    <w:rsid w:val="5E4A507E"/>
    <w:rsid w:val="5E60264F"/>
    <w:rsid w:val="5E604AB9"/>
    <w:rsid w:val="5E68A4F6"/>
    <w:rsid w:val="5E73A209"/>
    <w:rsid w:val="5E7DDA6C"/>
    <w:rsid w:val="5E93652D"/>
    <w:rsid w:val="5EA2E6DF"/>
    <w:rsid w:val="5EC27EDB"/>
    <w:rsid w:val="5EC50F57"/>
    <w:rsid w:val="5EC7633C"/>
    <w:rsid w:val="5EDE253C"/>
    <w:rsid w:val="5F3693C9"/>
    <w:rsid w:val="5F41140D"/>
    <w:rsid w:val="5F486870"/>
    <w:rsid w:val="5F5FFC3B"/>
    <w:rsid w:val="5F6FA1CF"/>
    <w:rsid w:val="5F70F5D0"/>
    <w:rsid w:val="5FE4FE6A"/>
    <w:rsid w:val="5FE8AAE6"/>
    <w:rsid w:val="6007C57B"/>
    <w:rsid w:val="601471B4"/>
    <w:rsid w:val="608082F2"/>
    <w:rsid w:val="60E0F7CE"/>
    <w:rsid w:val="61110382"/>
    <w:rsid w:val="61131582"/>
    <w:rsid w:val="61188644"/>
    <w:rsid w:val="612837B7"/>
    <w:rsid w:val="61365CC6"/>
    <w:rsid w:val="61392367"/>
    <w:rsid w:val="618B9B56"/>
    <w:rsid w:val="619E5104"/>
    <w:rsid w:val="61AB2D3D"/>
    <w:rsid w:val="61AD707F"/>
    <w:rsid w:val="61B549A9"/>
    <w:rsid w:val="61D42C4A"/>
    <w:rsid w:val="61E6B1EB"/>
    <w:rsid w:val="61F2B360"/>
    <w:rsid w:val="620C0CC9"/>
    <w:rsid w:val="624A2C2C"/>
    <w:rsid w:val="6252F118"/>
    <w:rsid w:val="6260A949"/>
    <w:rsid w:val="6298FE69"/>
    <w:rsid w:val="629D683D"/>
    <w:rsid w:val="62FE34B2"/>
    <w:rsid w:val="6308BE92"/>
    <w:rsid w:val="6310C7B2"/>
    <w:rsid w:val="63227F46"/>
    <w:rsid w:val="6343FE11"/>
    <w:rsid w:val="6356FEF9"/>
    <w:rsid w:val="635C3EB9"/>
    <w:rsid w:val="63644563"/>
    <w:rsid w:val="63845484"/>
    <w:rsid w:val="63A53D8B"/>
    <w:rsid w:val="63CABA9E"/>
    <w:rsid w:val="63D72B10"/>
    <w:rsid w:val="63F0ECB6"/>
    <w:rsid w:val="63F6AA3F"/>
    <w:rsid w:val="64122BDE"/>
    <w:rsid w:val="64218B0C"/>
    <w:rsid w:val="6455AD37"/>
    <w:rsid w:val="646B7B47"/>
    <w:rsid w:val="64DA5ED9"/>
    <w:rsid w:val="6500F56F"/>
    <w:rsid w:val="6514946B"/>
    <w:rsid w:val="656D51D7"/>
    <w:rsid w:val="6576DA45"/>
    <w:rsid w:val="65A40B30"/>
    <w:rsid w:val="65B89CCF"/>
    <w:rsid w:val="65D164AE"/>
    <w:rsid w:val="663D6EC1"/>
    <w:rsid w:val="664AE73E"/>
    <w:rsid w:val="665EE49C"/>
    <w:rsid w:val="66686F8A"/>
    <w:rsid w:val="668972EA"/>
    <w:rsid w:val="66996813"/>
    <w:rsid w:val="669B895E"/>
    <w:rsid w:val="66B5323E"/>
    <w:rsid w:val="66BB3AFB"/>
    <w:rsid w:val="66C95EFB"/>
    <w:rsid w:val="66E19204"/>
    <w:rsid w:val="66E46135"/>
    <w:rsid w:val="6710D953"/>
    <w:rsid w:val="6711088B"/>
    <w:rsid w:val="672DACB6"/>
    <w:rsid w:val="674633ED"/>
    <w:rsid w:val="676D240C"/>
    <w:rsid w:val="67A90EDE"/>
    <w:rsid w:val="67C377A8"/>
    <w:rsid w:val="67E71A2B"/>
    <w:rsid w:val="67FEBBEE"/>
    <w:rsid w:val="68007778"/>
    <w:rsid w:val="6825FF7A"/>
    <w:rsid w:val="685E0F31"/>
    <w:rsid w:val="68668078"/>
    <w:rsid w:val="68C3E0CB"/>
    <w:rsid w:val="690A7FEB"/>
    <w:rsid w:val="692C71A3"/>
    <w:rsid w:val="69345628"/>
    <w:rsid w:val="694A88B0"/>
    <w:rsid w:val="69822FCF"/>
    <w:rsid w:val="699F3DC6"/>
    <w:rsid w:val="69BAD584"/>
    <w:rsid w:val="69DA9FDA"/>
    <w:rsid w:val="69F14E95"/>
    <w:rsid w:val="6A2BC45E"/>
    <w:rsid w:val="6AE17EDE"/>
    <w:rsid w:val="6AF24B3B"/>
    <w:rsid w:val="6B0D12F2"/>
    <w:rsid w:val="6B331AD7"/>
    <w:rsid w:val="6B48A798"/>
    <w:rsid w:val="6B617069"/>
    <w:rsid w:val="6B6882AC"/>
    <w:rsid w:val="6B9A4B1E"/>
    <w:rsid w:val="6BA7B64B"/>
    <w:rsid w:val="6BD4F601"/>
    <w:rsid w:val="6BE9C60C"/>
    <w:rsid w:val="6BF3C2D7"/>
    <w:rsid w:val="6BFBED91"/>
    <w:rsid w:val="6C057309"/>
    <w:rsid w:val="6C065EC2"/>
    <w:rsid w:val="6C37D4AF"/>
    <w:rsid w:val="6C41466D"/>
    <w:rsid w:val="6C4786AE"/>
    <w:rsid w:val="6C6913A0"/>
    <w:rsid w:val="6C6B7909"/>
    <w:rsid w:val="6C70C629"/>
    <w:rsid w:val="6C982EBA"/>
    <w:rsid w:val="6C996978"/>
    <w:rsid w:val="6C9CD280"/>
    <w:rsid w:val="6CD01AA3"/>
    <w:rsid w:val="6CF67197"/>
    <w:rsid w:val="6D132D86"/>
    <w:rsid w:val="6D272446"/>
    <w:rsid w:val="6D4B361A"/>
    <w:rsid w:val="6D7144D8"/>
    <w:rsid w:val="6D903354"/>
    <w:rsid w:val="6D9DDED3"/>
    <w:rsid w:val="6DE16C00"/>
    <w:rsid w:val="6DF19D75"/>
    <w:rsid w:val="6E056CCB"/>
    <w:rsid w:val="6E0C6DAA"/>
    <w:rsid w:val="6E17DD7B"/>
    <w:rsid w:val="6E20EDFF"/>
    <w:rsid w:val="6E2DFB21"/>
    <w:rsid w:val="6E3A8D75"/>
    <w:rsid w:val="6E699A57"/>
    <w:rsid w:val="6E7B2664"/>
    <w:rsid w:val="6EB06007"/>
    <w:rsid w:val="6EB244D1"/>
    <w:rsid w:val="6EBB166F"/>
    <w:rsid w:val="6EDF84F2"/>
    <w:rsid w:val="6EF1F066"/>
    <w:rsid w:val="6F023A51"/>
    <w:rsid w:val="6F034E46"/>
    <w:rsid w:val="6F3D9E50"/>
    <w:rsid w:val="6F40E062"/>
    <w:rsid w:val="6F602C5F"/>
    <w:rsid w:val="6F68AD5A"/>
    <w:rsid w:val="6F6DC55B"/>
    <w:rsid w:val="6F702BB8"/>
    <w:rsid w:val="6FA7E492"/>
    <w:rsid w:val="6FE59DB3"/>
    <w:rsid w:val="6FEDE1AC"/>
    <w:rsid w:val="6FF926C9"/>
    <w:rsid w:val="70001105"/>
    <w:rsid w:val="7005B0C0"/>
    <w:rsid w:val="703B87A8"/>
    <w:rsid w:val="705ABEC4"/>
    <w:rsid w:val="70614B09"/>
    <w:rsid w:val="707C189E"/>
    <w:rsid w:val="7082AA56"/>
    <w:rsid w:val="7097E08C"/>
    <w:rsid w:val="70BD17B2"/>
    <w:rsid w:val="70C0D664"/>
    <w:rsid w:val="710E166F"/>
    <w:rsid w:val="71391DA3"/>
    <w:rsid w:val="713F54AA"/>
    <w:rsid w:val="7146A6F5"/>
    <w:rsid w:val="714A9DFA"/>
    <w:rsid w:val="719B0C47"/>
    <w:rsid w:val="719C9B18"/>
    <w:rsid w:val="71DAD6D4"/>
    <w:rsid w:val="71DFD914"/>
    <w:rsid w:val="71F0F8ED"/>
    <w:rsid w:val="71F1E508"/>
    <w:rsid w:val="7211A446"/>
    <w:rsid w:val="72234F8D"/>
    <w:rsid w:val="7230C03F"/>
    <w:rsid w:val="7254FFDE"/>
    <w:rsid w:val="726F0FE5"/>
    <w:rsid w:val="7281869E"/>
    <w:rsid w:val="72835423"/>
    <w:rsid w:val="72839064"/>
    <w:rsid w:val="7289C4DB"/>
    <w:rsid w:val="72C83B4F"/>
    <w:rsid w:val="730451AE"/>
    <w:rsid w:val="73072CF8"/>
    <w:rsid w:val="73280B17"/>
    <w:rsid w:val="732A2819"/>
    <w:rsid w:val="73547C80"/>
    <w:rsid w:val="7399318D"/>
    <w:rsid w:val="73B94F23"/>
    <w:rsid w:val="73BAE1C7"/>
    <w:rsid w:val="73D9A202"/>
    <w:rsid w:val="73F0D081"/>
    <w:rsid w:val="743D9061"/>
    <w:rsid w:val="74748764"/>
    <w:rsid w:val="7491393D"/>
    <w:rsid w:val="74BED107"/>
    <w:rsid w:val="750E46C8"/>
    <w:rsid w:val="754B122E"/>
    <w:rsid w:val="754D3C41"/>
    <w:rsid w:val="755A086F"/>
    <w:rsid w:val="755A546B"/>
    <w:rsid w:val="765DADD5"/>
    <w:rsid w:val="766366ED"/>
    <w:rsid w:val="7695DE6B"/>
    <w:rsid w:val="769AC01F"/>
    <w:rsid w:val="76BC4FAE"/>
    <w:rsid w:val="76C5AB53"/>
    <w:rsid w:val="7709E881"/>
    <w:rsid w:val="7716E196"/>
    <w:rsid w:val="77412F56"/>
    <w:rsid w:val="7748F987"/>
    <w:rsid w:val="77598FC2"/>
    <w:rsid w:val="77BF059C"/>
    <w:rsid w:val="77CC709E"/>
    <w:rsid w:val="781AEB92"/>
    <w:rsid w:val="781E95A1"/>
    <w:rsid w:val="783A26A9"/>
    <w:rsid w:val="784981DA"/>
    <w:rsid w:val="7853578E"/>
    <w:rsid w:val="788013FC"/>
    <w:rsid w:val="78AEEAE5"/>
    <w:rsid w:val="78AF9569"/>
    <w:rsid w:val="78EA60F2"/>
    <w:rsid w:val="78F7B1A0"/>
    <w:rsid w:val="792346F2"/>
    <w:rsid w:val="79295F3C"/>
    <w:rsid w:val="796A745E"/>
    <w:rsid w:val="796A7F58"/>
    <w:rsid w:val="797A8A74"/>
    <w:rsid w:val="797FEAE7"/>
    <w:rsid w:val="79A34FE8"/>
    <w:rsid w:val="79B2D8C3"/>
    <w:rsid w:val="79CE8B29"/>
    <w:rsid w:val="79D2047E"/>
    <w:rsid w:val="79E27607"/>
    <w:rsid w:val="79ECDC16"/>
    <w:rsid w:val="7A377C56"/>
    <w:rsid w:val="7A451C7F"/>
    <w:rsid w:val="7A6279EB"/>
    <w:rsid w:val="7A9F2811"/>
    <w:rsid w:val="7AC4223F"/>
    <w:rsid w:val="7AFE7ABC"/>
    <w:rsid w:val="7B041ADB"/>
    <w:rsid w:val="7B09827A"/>
    <w:rsid w:val="7B497F57"/>
    <w:rsid w:val="7B5ECC7F"/>
    <w:rsid w:val="7B6CA9E5"/>
    <w:rsid w:val="7B6D3B56"/>
    <w:rsid w:val="7B6FFA9D"/>
    <w:rsid w:val="7B71E2D7"/>
    <w:rsid w:val="7B75D430"/>
    <w:rsid w:val="7B8CC359"/>
    <w:rsid w:val="7C2731BA"/>
    <w:rsid w:val="7C2B033B"/>
    <w:rsid w:val="7C31D7C9"/>
    <w:rsid w:val="7C4EC0DA"/>
    <w:rsid w:val="7C552D8C"/>
    <w:rsid w:val="7C554E52"/>
    <w:rsid w:val="7C75B0E6"/>
    <w:rsid w:val="7C9FF50B"/>
    <w:rsid w:val="7CB8E5C9"/>
    <w:rsid w:val="7D0A43B4"/>
    <w:rsid w:val="7D0C50EE"/>
    <w:rsid w:val="7D1AEC3C"/>
    <w:rsid w:val="7D56BD3C"/>
    <w:rsid w:val="7D637969"/>
    <w:rsid w:val="7D69B53B"/>
    <w:rsid w:val="7D7CB990"/>
    <w:rsid w:val="7DA017EC"/>
    <w:rsid w:val="7DCFE379"/>
    <w:rsid w:val="7DD9D2EF"/>
    <w:rsid w:val="7E1B94F4"/>
    <w:rsid w:val="7E4051A7"/>
    <w:rsid w:val="7E606726"/>
    <w:rsid w:val="7E976F19"/>
    <w:rsid w:val="7EA7E7A0"/>
    <w:rsid w:val="7EB287EE"/>
    <w:rsid w:val="7EBBF3A4"/>
    <w:rsid w:val="7EC5B12F"/>
    <w:rsid w:val="7EEA1779"/>
    <w:rsid w:val="7F039E10"/>
    <w:rsid w:val="7F07B060"/>
    <w:rsid w:val="7F158859"/>
    <w:rsid w:val="7F460FA8"/>
    <w:rsid w:val="7F4CB965"/>
    <w:rsid w:val="7F57AB6D"/>
    <w:rsid w:val="7F698514"/>
    <w:rsid w:val="7FAF97B8"/>
    <w:rsid w:val="7FC00DF6"/>
    <w:rsid w:val="7FC8F80C"/>
    <w:rsid w:val="7FF7B01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834"/>
    <w:pPr>
      <w:spacing w:line="240" w:lineRule="auto"/>
    </w:pPr>
    <w:rPr>
      <w:rFonts w:ascii="Calibri" w:hAnsi="Calibri"/>
    </w:rPr>
  </w:style>
  <w:style w:type="paragraph" w:styleId="Heading1">
    <w:name w:val="heading 1"/>
    <w:aliases w:val="MD_Heading"/>
    <w:basedOn w:val="Heading2"/>
    <w:next w:val="Normal"/>
    <w:link w:val="Heading1Char"/>
    <w:uiPriority w:val="9"/>
    <w:qFormat/>
    <w:rsid w:val="00D81C36"/>
    <w:pPr>
      <w:numPr>
        <w:ilvl w:val="0"/>
      </w:numPr>
      <w:spacing w:before="480" w:after="240"/>
      <w:jc w:val="center"/>
      <w:outlineLvl w:val="0"/>
    </w:pPr>
    <w:rPr>
      <w:sz w:val="40"/>
    </w:rPr>
  </w:style>
  <w:style w:type="paragraph" w:styleId="Heading2">
    <w:name w:val="heading 2"/>
    <w:basedOn w:val="Normal"/>
    <w:next w:val="Normal"/>
    <w:link w:val="Heading2Char"/>
    <w:uiPriority w:val="9"/>
    <w:unhideWhenUsed/>
    <w:qFormat/>
    <w:rsid w:val="00D81C36"/>
    <w:pPr>
      <w:keepNext/>
      <w:keepLines/>
      <w:numPr>
        <w:ilvl w:val="1"/>
        <w:numId w:val="191"/>
      </w:numPr>
      <w:spacing w:before="240"/>
      <w:outlineLvl w:val="1"/>
    </w:pPr>
    <w:rPr>
      <w:rFonts w:eastAsiaTheme="majorEastAsia" w:cstheme="majorBidi"/>
      <w:b/>
      <w:bCs/>
      <w:color w:val="4F81BD" w:themeColor="accent1"/>
      <w:sz w:val="32"/>
      <w:szCs w:val="26"/>
    </w:rPr>
  </w:style>
  <w:style w:type="paragraph" w:styleId="Heading3">
    <w:name w:val="heading 3"/>
    <w:basedOn w:val="Normal"/>
    <w:next w:val="Normal"/>
    <w:link w:val="Heading3Char"/>
    <w:uiPriority w:val="9"/>
    <w:unhideWhenUsed/>
    <w:qFormat/>
    <w:rsid w:val="0019519D"/>
    <w:pPr>
      <w:keepNext/>
      <w:keepLines/>
      <w:numPr>
        <w:ilvl w:val="2"/>
        <w:numId w:val="191"/>
      </w:numPr>
      <w:spacing w:before="240"/>
      <w:outlineLvl w:val="2"/>
    </w:pPr>
    <w:rPr>
      <w:rFonts w:eastAsiaTheme="majorEastAsia" w:cstheme="majorBidi"/>
      <w:b/>
      <w:bCs/>
      <w:i/>
      <w:sz w:val="28"/>
    </w:rPr>
  </w:style>
  <w:style w:type="paragraph" w:styleId="Heading4">
    <w:name w:val="heading 4"/>
    <w:aliases w:val="Heading 1 - Body"/>
    <w:basedOn w:val="Normal"/>
    <w:next w:val="Normal"/>
    <w:link w:val="Heading4Char"/>
    <w:uiPriority w:val="9"/>
    <w:unhideWhenUsed/>
    <w:qFormat/>
    <w:rsid w:val="004C215E"/>
    <w:pPr>
      <w:keepNext/>
      <w:keepLines/>
      <w:numPr>
        <w:ilvl w:val="3"/>
        <w:numId w:val="191"/>
      </w:numPr>
      <w:spacing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Heading4"/>
    <w:next w:val="Normal"/>
    <w:link w:val="Heading5Char"/>
    <w:uiPriority w:val="9"/>
    <w:unhideWhenUsed/>
    <w:qFormat/>
    <w:rsid w:val="00470EC3"/>
    <w:pPr>
      <w:numPr>
        <w:ilvl w:val="4"/>
      </w:numPr>
      <w:outlineLvl w:val="4"/>
    </w:pPr>
  </w:style>
  <w:style w:type="paragraph" w:styleId="Heading6">
    <w:name w:val="heading 6"/>
    <w:aliases w:val="Heading 3 - Body"/>
    <w:basedOn w:val="Normal"/>
    <w:next w:val="Normal"/>
    <w:link w:val="Heading6Char"/>
    <w:uiPriority w:val="9"/>
    <w:unhideWhenUsed/>
    <w:qFormat/>
    <w:rsid w:val="004C215E"/>
    <w:pPr>
      <w:keepNext/>
      <w:keepLines/>
      <w:numPr>
        <w:ilvl w:val="5"/>
        <w:numId w:val="191"/>
      </w:numPr>
      <w:spacing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qFormat/>
    <w:rsid w:val="004C215E"/>
    <w:pPr>
      <w:keepNext/>
      <w:keepLines/>
      <w:numPr>
        <w:ilvl w:val="6"/>
        <w:numId w:val="191"/>
      </w:numPr>
      <w:spacing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qFormat/>
    <w:rsid w:val="004C215E"/>
    <w:pPr>
      <w:keepNext/>
      <w:keepLines/>
      <w:numPr>
        <w:ilvl w:val="7"/>
        <w:numId w:val="191"/>
      </w:numPr>
      <w:spacing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qFormat/>
    <w:rsid w:val="004C215E"/>
    <w:pPr>
      <w:keepNext/>
      <w:keepLines/>
      <w:numPr>
        <w:ilvl w:val="8"/>
        <w:numId w:val="191"/>
      </w:numPr>
      <w:spacing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4C215E"/>
    <w:rPr>
      <w:rFonts w:ascii="Calibri" w:eastAsiaTheme="majorEastAsia" w:hAnsi="Calibri" w:cstheme="majorBidi"/>
      <w:b/>
      <w:bCs/>
      <w:color w:val="4F81BD" w:themeColor="accent1"/>
      <w:sz w:val="40"/>
      <w:szCs w:val="26"/>
    </w:rPr>
  </w:style>
  <w:style w:type="character" w:customStyle="1" w:styleId="Heading2Char">
    <w:name w:val="Heading 2 Char"/>
    <w:basedOn w:val="DefaultParagraphFont"/>
    <w:link w:val="Heading2"/>
    <w:uiPriority w:val="9"/>
    <w:rsid w:val="004C215E"/>
    <w:rPr>
      <w:rFonts w:ascii="Calibri" w:eastAsiaTheme="majorEastAsia" w:hAnsi="Calibri" w:cstheme="majorBidi"/>
      <w:b/>
      <w:bCs/>
      <w:color w:val="4F81BD" w:themeColor="accent1"/>
      <w:sz w:val="32"/>
      <w:szCs w:val="26"/>
    </w:rPr>
  </w:style>
  <w:style w:type="character" w:customStyle="1" w:styleId="Heading3Char">
    <w:name w:val="Heading 3 Char"/>
    <w:basedOn w:val="DefaultParagraphFont"/>
    <w:link w:val="Heading3"/>
    <w:uiPriority w:val="9"/>
    <w:rsid w:val="004C215E"/>
    <w:rPr>
      <w:rFonts w:ascii="Calibri" w:eastAsiaTheme="majorEastAsia" w:hAnsi="Calibri" w:cstheme="majorBidi"/>
      <w:b/>
      <w:bCs/>
      <w:i/>
      <w:sz w:val="28"/>
    </w:rPr>
  </w:style>
  <w:style w:type="paragraph" w:styleId="ListParagraph">
    <w:name w:val="List Paragraph"/>
    <w:aliases w:val="BulletPoints,Footnote,List Paragraph1,Recommendation,A List Paragraph"/>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rFonts w:ascii="Calibri" w:hAnsi="Calibri"/>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ascii="Calibri" w:eastAsia="Times New Roman" w:hAnsi="Calibri"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70EC3"/>
    <w:rPr>
      <w:rFonts w:asciiTheme="majorHAnsi" w:eastAsiaTheme="majorEastAsia" w:hAnsiTheme="majorHAnsi" w:cstheme="majorBidi"/>
      <w:b/>
      <w:bCs/>
      <w:i/>
      <w:iCs/>
      <w:color w:val="4F81BD" w:themeColor="accent1"/>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31A64"/>
    <w:pPr>
      <w:tabs>
        <w:tab w:val="center" w:pos="4513"/>
        <w:tab w:val="right" w:pos="9026"/>
      </w:tabs>
      <w:spacing w:after="0"/>
    </w:pPr>
  </w:style>
  <w:style w:type="character" w:customStyle="1" w:styleId="HeaderChar">
    <w:name w:val="Header Char"/>
    <w:basedOn w:val="DefaultParagraphFont"/>
    <w:link w:val="Header"/>
    <w:uiPriority w:val="99"/>
    <w:rsid w:val="00131A64"/>
    <w:rPr>
      <w:rFonts w:ascii="Calibri" w:hAnsi="Calibri"/>
    </w:rPr>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rPr>
      <w:rFonts w:ascii="Calibri" w:hAnsi="Calibri"/>
    </w:rPr>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qFormat/>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qFormat/>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qFormat/>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ascii="Calibri" w:eastAsia="Times New Roman" w:hAnsi="Calibri" w:cs="Times New Roman"/>
      <w:szCs w:val="24"/>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qFormat/>
    <w:rsid w:val="00867038"/>
    <w:pPr>
      <w:spacing w:line="240" w:lineRule="auto"/>
    </w:pPr>
    <w:rPr>
      <w:rFonts w:ascii="Calibri" w:hAnsi="Calibri"/>
      <w:i w:val="0"/>
      <w:sz w:val="28"/>
      <w:u w:val="none"/>
    </w:rPr>
  </w:style>
  <w:style w:type="character" w:customStyle="1" w:styleId="Heading4newChar">
    <w:name w:val="Heading 4 new Char"/>
    <w:link w:val="Heading4new"/>
    <w:rsid w:val="004C215E"/>
    <w:rPr>
      <w:rFonts w:ascii="Calibri" w:eastAsia="Times New Roman" w:hAnsi="Calibri" w:cs="Times New Roman"/>
      <w:b/>
      <w:color w:val="000000"/>
      <w:sz w:val="28"/>
      <w:szCs w:val="24"/>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eastAsia="Times New Roman"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eastAsia="Times New Roman"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3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C215E"/>
    <w:rPr>
      <w:rFonts w:eastAsia="Times New Roman"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eastAsia="Times New Roman"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aliases w:val="Table Caption"/>
    <w:basedOn w:val="Normal"/>
    <w:next w:val="Normal"/>
    <w:link w:val="CaptionChar"/>
    <w:uiPriority w:val="35"/>
    <w:unhideWhenUsed/>
    <w:qFormat/>
    <w:rsid w:val="003B230D"/>
    <w:pPr>
      <w:spacing w:before="200" w:after="20"/>
    </w:pPr>
    <w:rPr>
      <w:rFonts w:asciiTheme="minorHAnsi" w:eastAsia="Times New Roman" w:hAnsiTheme="minorHAnsi" w:cs="Times New Roman"/>
      <w:b/>
      <w:bCs/>
      <w:szCs w:val="18"/>
    </w:rPr>
  </w:style>
  <w:style w:type="paragraph" w:customStyle="1" w:styleId="ListBullet1">
    <w:name w:val="List Bullet1"/>
    <w:basedOn w:val="Normal"/>
    <w:uiPriority w:val="5"/>
    <w:qFormat/>
    <w:rsid w:val="004C215E"/>
    <w:pPr>
      <w:numPr>
        <w:numId w:val="3"/>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qFormat/>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qFormat/>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qFormat/>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D35EC1"/>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D35EC1"/>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D35EC1"/>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D35EC1"/>
    <w:pPr>
      <w:spacing w:after="100"/>
      <w:ind w:left="1760"/>
    </w:pPr>
    <w:rPr>
      <w:rFonts w:asciiTheme="minorHAnsi" w:eastAsiaTheme="minorEastAsia" w:hAnsiTheme="minorHAnsi"/>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qFormat/>
    <w:rsid w:val="004C215E"/>
    <w:rPr>
      <w:i/>
      <w:iCs/>
    </w:rPr>
  </w:style>
  <w:style w:type="paragraph" w:customStyle="1" w:styleId="Heading51">
    <w:name w:val="Heading 51"/>
    <w:basedOn w:val="Normal"/>
    <w:link w:val="heading5Char0"/>
    <w:qFormat/>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BodyText1">
    <w:name w:val="Body Text1"/>
    <w:basedOn w:val="Normal"/>
    <w:link w:val="BodytextChar"/>
    <w:uiPriority w:val="1"/>
    <w:qFormat/>
    <w:rsid w:val="004C215E"/>
    <w:pPr>
      <w:shd w:val="clear" w:color="auto" w:fill="FFFFFF" w:themeFill="background1"/>
      <w:spacing w:before="120" w:after="120" w:line="260" w:lineRule="exact"/>
    </w:pPr>
    <w:rPr>
      <w:rFonts w:ascii="Arial" w:eastAsia="Times New Roman" w:hAnsi="Arial" w:cs="Arial"/>
      <w:sz w:val="20"/>
      <w:szCs w:val="20"/>
    </w:rPr>
  </w:style>
  <w:style w:type="character" w:customStyle="1" w:styleId="BodytextChar">
    <w:name w:val="Body text Char"/>
    <w:basedOn w:val="DefaultParagraphFont"/>
    <w:link w:val="BodyText1"/>
    <w:uiPriority w:val="1"/>
    <w:rsid w:val="004C215E"/>
    <w:rPr>
      <w:rFonts w:ascii="Arial" w:eastAsia="Times New Roman" w:hAnsi="Arial" w:cs="Arial"/>
      <w:sz w:val="20"/>
      <w:szCs w:val="20"/>
      <w:shd w:val="clear" w:color="auto" w:fill="FFFFFF" w:themeFill="background1"/>
    </w:rPr>
  </w:style>
  <w:style w:type="paragraph" w:customStyle="1" w:styleId="Tablefootnote">
    <w:name w:val="Table footnote"/>
    <w:basedOn w:val="Normal"/>
    <w:next w:val="BodyText1"/>
    <w:link w:val="TablefootnoteCharChar"/>
    <w:uiPriority w:val="57"/>
    <w:rsid w:val="00ED25C7"/>
    <w:pPr>
      <w:spacing w:before="60" w:after="60"/>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BodyText1"/>
    <w:uiPriority w:val="99"/>
    <w:rsid w:val="00ED25C7"/>
    <w:pPr>
      <w:keepNext/>
      <w:numPr>
        <w:numId w:val="1"/>
      </w:numPr>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2"/>
      </w:numPr>
      <w:spacing w:after="0"/>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BulletPoints Char,Footnote Char,List Paragraph1 Char,Recommendation Char,A List Paragraph Char"/>
    <w:basedOn w:val="DefaultParagraphFont"/>
    <w:link w:val="ListParagraph"/>
    <w:uiPriority w:val="34"/>
    <w:locked/>
    <w:rsid w:val="004C215E"/>
    <w:rPr>
      <w:rFonts w:ascii="Cambria" w:hAnsi="Cambria"/>
    </w:rPr>
  </w:style>
  <w:style w:type="table" w:styleId="TableGridLight">
    <w:name w:val="Grid Table Light"/>
    <w:basedOn w:val="TableNormal"/>
    <w:uiPriority w:val="40"/>
    <w:rsid w:val="00E143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writing">
    <w:name w:val="Table writing"/>
    <w:basedOn w:val="Normal"/>
    <w:link w:val="TablewritingChar"/>
    <w:qFormat/>
    <w:rsid w:val="006D7C6D"/>
    <w:pPr>
      <w:overflowPunct w:val="0"/>
      <w:autoSpaceDE w:val="0"/>
      <w:autoSpaceDN w:val="0"/>
      <w:adjustRightInd w:val="0"/>
      <w:spacing w:before="60" w:after="60"/>
      <w:contextualSpacing/>
      <w:textAlignment w:val="baseline"/>
    </w:pPr>
    <w:rPr>
      <w:rFonts w:asciiTheme="minorHAnsi" w:eastAsia="Times New Roman" w:hAnsiTheme="minorHAnsi" w:cs="Times New Roman"/>
      <w:sz w:val="20"/>
      <w:lang w:eastAsia="en-US"/>
    </w:rPr>
  </w:style>
  <w:style w:type="character" w:customStyle="1" w:styleId="TablewritingChar">
    <w:name w:val="Table writing Char"/>
    <w:link w:val="Tablewriting"/>
    <w:rsid w:val="006D7C6D"/>
    <w:rPr>
      <w:rFonts w:asciiTheme="minorHAnsi" w:eastAsia="Times New Roman" w:hAnsiTheme="minorHAnsi" w:cs="Times New Roman"/>
      <w:sz w:val="20"/>
      <w:lang w:eastAsia="en-US"/>
    </w:rPr>
  </w:style>
  <w:style w:type="character" w:customStyle="1" w:styleId="UnresolvedMention1">
    <w:name w:val="Unresolved Mention1"/>
    <w:basedOn w:val="DefaultParagraphFont"/>
    <w:uiPriority w:val="99"/>
    <w:unhideWhenUsed/>
    <w:rsid w:val="00FB0F16"/>
    <w:rPr>
      <w:color w:val="605E5C"/>
      <w:shd w:val="clear" w:color="auto" w:fill="E1DFDD"/>
    </w:rPr>
  </w:style>
  <w:style w:type="paragraph" w:customStyle="1" w:styleId="Tableheading">
    <w:name w:val="Table heading"/>
    <w:basedOn w:val="Normal"/>
    <w:link w:val="TableheadingChar"/>
    <w:qFormat/>
    <w:rsid w:val="00CF4ECB"/>
    <w:pPr>
      <w:spacing w:before="60" w:after="60"/>
    </w:pPr>
    <w:rPr>
      <w:rFonts w:asciiTheme="minorHAnsi" w:hAnsiTheme="minorHAnsi" w:cstheme="minorHAnsi"/>
      <w:b/>
      <w:bCs/>
      <w:sz w:val="20"/>
    </w:rPr>
  </w:style>
  <w:style w:type="character" w:customStyle="1" w:styleId="TableheadingChar">
    <w:name w:val="Table heading Char"/>
    <w:basedOn w:val="DefaultParagraphFont"/>
    <w:link w:val="Tableheading"/>
    <w:rsid w:val="00CF4ECB"/>
    <w:rPr>
      <w:rFonts w:asciiTheme="minorHAnsi" w:hAnsiTheme="minorHAnsi" w:cstheme="minorHAnsi"/>
      <w:b/>
      <w:bCs/>
      <w:sz w:val="20"/>
    </w:rPr>
  </w:style>
  <w:style w:type="paragraph" w:customStyle="1" w:styleId="FigureCaption">
    <w:name w:val="Figure Caption"/>
    <w:basedOn w:val="Normal"/>
    <w:link w:val="FigureCaptionChar"/>
    <w:qFormat/>
    <w:rsid w:val="00AD409C"/>
    <w:pPr>
      <w:spacing w:before="60" w:after="60"/>
    </w:pPr>
    <w:rPr>
      <w:b/>
      <w:bCs/>
      <w:noProof/>
    </w:rPr>
  </w:style>
  <w:style w:type="character" w:customStyle="1" w:styleId="FigureCaptionChar">
    <w:name w:val="Figure Caption Char"/>
    <w:basedOn w:val="DefaultParagraphFont"/>
    <w:link w:val="FigureCaption"/>
    <w:rsid w:val="00AD409C"/>
    <w:rPr>
      <w:rFonts w:ascii="Calibri" w:hAnsi="Calibri"/>
      <w:b/>
      <w:bCs/>
      <w:noProof/>
    </w:rPr>
  </w:style>
  <w:style w:type="character" w:customStyle="1" w:styleId="Mention1">
    <w:name w:val="Mention1"/>
    <w:basedOn w:val="DefaultParagraphFont"/>
    <w:uiPriority w:val="99"/>
    <w:unhideWhenUsed/>
    <w:rsid w:val="00AD409C"/>
    <w:rPr>
      <w:color w:val="2B579A"/>
      <w:shd w:val="clear" w:color="auto" w:fill="E1DFDD"/>
    </w:rPr>
  </w:style>
  <w:style w:type="character" w:customStyle="1" w:styleId="normaltextrun">
    <w:name w:val="normaltextrun"/>
    <w:basedOn w:val="DefaultParagraphFont"/>
    <w:rsid w:val="00896345"/>
  </w:style>
  <w:style w:type="character" w:customStyle="1" w:styleId="eop">
    <w:name w:val="eop"/>
    <w:basedOn w:val="DefaultParagraphFont"/>
    <w:rsid w:val="00896345"/>
  </w:style>
  <w:style w:type="paragraph" w:customStyle="1" w:styleId="EndNoteBibliographyTitle">
    <w:name w:val="EndNote Bibliography Title"/>
    <w:basedOn w:val="Normal"/>
    <w:link w:val="EndNoteBibliographyTitleChar"/>
    <w:rsid w:val="00CB6103"/>
    <w:pPr>
      <w:spacing w:after="0"/>
      <w:jc w:val="center"/>
    </w:pPr>
    <w:rPr>
      <w:rFonts w:ascii="Cambria" w:hAnsi="Cambria"/>
      <w:noProof/>
    </w:rPr>
  </w:style>
  <w:style w:type="character" w:customStyle="1" w:styleId="EndNoteBibliographyTitleChar">
    <w:name w:val="EndNote Bibliography Title Char"/>
    <w:basedOn w:val="DefaultParagraphFont"/>
    <w:link w:val="EndNoteBibliographyTitle"/>
    <w:rsid w:val="00CB6103"/>
    <w:rPr>
      <w:rFonts w:ascii="Cambria" w:hAnsi="Cambria"/>
      <w:noProof/>
    </w:rPr>
  </w:style>
  <w:style w:type="paragraph" w:customStyle="1" w:styleId="EndNoteBibliography">
    <w:name w:val="EndNote Bibliography"/>
    <w:basedOn w:val="Normal"/>
    <w:link w:val="EndNoteBibliographyChar"/>
    <w:rsid w:val="00CB6103"/>
    <w:rPr>
      <w:rFonts w:ascii="Cambria" w:hAnsi="Cambria"/>
      <w:noProof/>
    </w:rPr>
  </w:style>
  <w:style w:type="character" w:customStyle="1" w:styleId="EndNoteBibliographyChar">
    <w:name w:val="EndNote Bibliography Char"/>
    <w:basedOn w:val="DefaultParagraphFont"/>
    <w:link w:val="EndNoteBibliography"/>
    <w:rsid w:val="00CB6103"/>
    <w:rPr>
      <w:rFonts w:ascii="Cambria" w:hAnsi="Cambria"/>
      <w:noProof/>
    </w:rPr>
  </w:style>
  <w:style w:type="paragraph" w:customStyle="1" w:styleId="TableFooter">
    <w:name w:val="Table Footer"/>
    <w:basedOn w:val="Normal"/>
    <w:link w:val="TableFooterChar"/>
    <w:qFormat/>
    <w:rsid w:val="00504E47"/>
    <w:pPr>
      <w:contextualSpacing/>
    </w:pPr>
    <w:rPr>
      <w:sz w:val="20"/>
    </w:rPr>
  </w:style>
  <w:style w:type="character" w:customStyle="1" w:styleId="TableFooterChar">
    <w:name w:val="Table Footer Char"/>
    <w:basedOn w:val="DefaultParagraphFont"/>
    <w:link w:val="TableFooter"/>
    <w:rsid w:val="00504E47"/>
    <w:rPr>
      <w:rFonts w:ascii="Calibri" w:hAnsi="Calibri"/>
      <w:sz w:val="20"/>
    </w:rPr>
  </w:style>
  <w:style w:type="paragraph" w:customStyle="1" w:styleId="FigureFooter">
    <w:name w:val="Figure Footer"/>
    <w:basedOn w:val="TableFooter"/>
    <w:qFormat/>
    <w:rsid w:val="00001C70"/>
    <w:pPr>
      <w:spacing w:before="60" w:after="60"/>
    </w:pPr>
  </w:style>
  <w:style w:type="paragraph" w:styleId="BodyText">
    <w:name w:val="Body Text"/>
    <w:basedOn w:val="Normal"/>
    <w:link w:val="BodyTextChar0"/>
    <w:uiPriority w:val="99"/>
    <w:unhideWhenUsed/>
    <w:rsid w:val="00050CCE"/>
    <w:pPr>
      <w:spacing w:after="120"/>
    </w:pPr>
  </w:style>
  <w:style w:type="character" w:customStyle="1" w:styleId="BodyTextChar0">
    <w:name w:val="Body Text Char"/>
    <w:basedOn w:val="DefaultParagraphFont"/>
    <w:link w:val="BodyText"/>
    <w:uiPriority w:val="99"/>
    <w:rsid w:val="00050CCE"/>
    <w:rPr>
      <w:rFonts w:ascii="Calibri" w:hAnsi="Calibri"/>
    </w:rPr>
  </w:style>
  <w:style w:type="character" w:customStyle="1" w:styleId="UnresolvedMention">
    <w:name w:val="Unresolved Mention"/>
    <w:basedOn w:val="DefaultParagraphFont"/>
    <w:uiPriority w:val="99"/>
    <w:unhideWhenUsed/>
    <w:rsid w:val="00D35F10"/>
    <w:rPr>
      <w:color w:val="605E5C"/>
      <w:shd w:val="clear" w:color="auto" w:fill="E1DFDD"/>
    </w:rPr>
  </w:style>
  <w:style w:type="character" w:customStyle="1" w:styleId="Mention">
    <w:name w:val="Mention"/>
    <w:basedOn w:val="DefaultParagraphFont"/>
    <w:uiPriority w:val="99"/>
    <w:unhideWhenUsed/>
    <w:rsid w:val="00D35F10"/>
    <w:rPr>
      <w:color w:val="2B579A"/>
      <w:shd w:val="clear" w:color="auto" w:fill="E1DFDD"/>
    </w:rPr>
  </w:style>
  <w:style w:type="paragraph" w:customStyle="1" w:styleId="TableText">
    <w:name w:val="Table Text"/>
    <w:basedOn w:val="Normal"/>
    <w:link w:val="TableTextChar"/>
    <w:uiPriority w:val="1"/>
    <w:rsid w:val="00C324F3"/>
    <w:pPr>
      <w:shd w:val="clear" w:color="auto" w:fill="FFFFFF" w:themeFill="background1"/>
      <w:spacing w:before="60" w:after="60"/>
    </w:pPr>
    <w:rPr>
      <w:rFonts w:asciiTheme="minorHAnsi" w:eastAsia="Times New Roman" w:hAnsiTheme="minorHAnsi" w:cs="Arial"/>
      <w:sz w:val="20"/>
      <w:szCs w:val="20"/>
    </w:rPr>
  </w:style>
  <w:style w:type="character" w:customStyle="1" w:styleId="TableTextChar">
    <w:name w:val="Table Text Char"/>
    <w:basedOn w:val="DefaultParagraphFont"/>
    <w:link w:val="TableText"/>
    <w:uiPriority w:val="1"/>
    <w:rsid w:val="00C324F3"/>
    <w:rPr>
      <w:rFonts w:asciiTheme="minorHAnsi" w:eastAsia="Times New Roman" w:hAnsiTheme="minorHAnsi" w:cs="Arial"/>
      <w:sz w:val="20"/>
      <w:szCs w:val="20"/>
      <w:shd w:val="clear" w:color="auto" w:fill="FFFFFF" w:themeFill="background1"/>
    </w:rPr>
  </w:style>
  <w:style w:type="table" w:customStyle="1" w:styleId="GridTable1Light1">
    <w:name w:val="Grid Table 1 Light1"/>
    <w:basedOn w:val="TableNormal"/>
    <w:uiPriority w:val="46"/>
    <w:rsid w:val="00C324F3"/>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ulletLast">
    <w:name w:val="Bullet Last"/>
    <w:basedOn w:val="BodyText"/>
    <w:link w:val="BulletLastChar"/>
    <w:rsid w:val="00C324F3"/>
    <w:pPr>
      <w:numPr>
        <w:numId w:val="327"/>
      </w:numPr>
      <w:spacing w:after="200"/>
      <w:ind w:right="57"/>
    </w:pPr>
    <w:rPr>
      <w:rFonts w:asciiTheme="minorHAnsi" w:eastAsiaTheme="minorEastAsia" w:hAnsiTheme="minorHAnsi" w:cs="Calibri"/>
      <w:iCs/>
      <w:szCs w:val="24"/>
      <w:lang w:val="en-US"/>
    </w:rPr>
  </w:style>
  <w:style w:type="paragraph" w:customStyle="1" w:styleId="oldTablefooter">
    <w:name w:val="old Table footer"/>
    <w:basedOn w:val="Normal"/>
    <w:link w:val="oldTablefooterChar"/>
    <w:rsid w:val="00C324F3"/>
    <w:pPr>
      <w:spacing w:after="0"/>
      <w:ind w:right="57"/>
      <w:contextualSpacing/>
    </w:pPr>
    <w:rPr>
      <w:rFonts w:asciiTheme="minorHAnsi" w:eastAsiaTheme="minorEastAsia" w:hAnsiTheme="minorHAnsi" w:cs="Arial"/>
      <w:sz w:val="18"/>
      <w:szCs w:val="18"/>
      <w:lang w:val="en-US"/>
    </w:rPr>
  </w:style>
  <w:style w:type="character" w:customStyle="1" w:styleId="oldTablefooterChar">
    <w:name w:val="old Table footer Char"/>
    <w:basedOn w:val="DefaultParagraphFont"/>
    <w:link w:val="oldTablefooter"/>
    <w:rsid w:val="00C324F3"/>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C324F3"/>
    <w:pPr>
      <w:numPr>
        <w:ilvl w:val="0"/>
        <w:numId w:val="0"/>
      </w:numPr>
      <w:spacing w:before="0"/>
    </w:pPr>
    <w:rPr>
      <w:rFonts w:asciiTheme="minorHAnsi" w:hAnsiTheme="minorHAnsi"/>
      <w:szCs w:val="28"/>
    </w:rPr>
  </w:style>
  <w:style w:type="paragraph" w:customStyle="1" w:styleId="TableHeader">
    <w:name w:val="Table Header"/>
    <w:basedOn w:val="Normal"/>
    <w:next w:val="Normal"/>
    <w:uiPriority w:val="3"/>
    <w:rsid w:val="00C324F3"/>
    <w:pPr>
      <w:widowControl w:val="0"/>
      <w:spacing w:before="60" w:after="60"/>
      <w:contextualSpacing/>
    </w:pPr>
    <w:rPr>
      <w:rFonts w:asciiTheme="minorHAnsi" w:eastAsia="Times New Roman" w:hAnsiTheme="minorHAnsi" w:cstheme="minorHAnsi"/>
      <w:b/>
      <w:snapToGrid w:val="0"/>
      <w:sz w:val="20"/>
      <w:szCs w:val="20"/>
    </w:rPr>
  </w:style>
  <w:style w:type="paragraph" w:customStyle="1" w:styleId="TableFigNote">
    <w:name w:val="TableFigNote"/>
    <w:basedOn w:val="Normal"/>
    <w:rsid w:val="00C324F3"/>
    <w:pPr>
      <w:spacing w:after="0"/>
      <w:ind w:right="57"/>
      <w:contextualSpacing/>
    </w:pPr>
    <w:rPr>
      <w:rFonts w:asciiTheme="minorHAnsi" w:eastAsiaTheme="minorEastAsia" w:hAnsiTheme="minorHAnsi" w:cs="Calibri"/>
      <w:sz w:val="18"/>
      <w:szCs w:val="20"/>
    </w:rPr>
  </w:style>
  <w:style w:type="paragraph" w:customStyle="1" w:styleId="TableFigNoteLast">
    <w:name w:val="TableFigNote Last"/>
    <w:basedOn w:val="Normal"/>
    <w:rsid w:val="00C324F3"/>
    <w:pPr>
      <w:spacing w:after="360"/>
      <w:ind w:right="57"/>
      <w:contextualSpacing/>
    </w:pPr>
    <w:rPr>
      <w:rFonts w:asciiTheme="minorHAnsi" w:eastAsiaTheme="minorEastAsia" w:hAnsiTheme="minorHAnsi" w:cs="Calibri"/>
      <w:sz w:val="18"/>
      <w:szCs w:val="20"/>
    </w:rPr>
  </w:style>
  <w:style w:type="paragraph" w:customStyle="1" w:styleId="TableHeading0">
    <w:name w:val="TableHeading"/>
    <w:basedOn w:val="MDFiguretitle"/>
    <w:qFormat/>
    <w:rsid w:val="00C324F3"/>
    <w:rPr>
      <w:sz w:val="20"/>
    </w:rPr>
  </w:style>
  <w:style w:type="paragraph" w:customStyle="1" w:styleId="TableName">
    <w:name w:val="TableName"/>
    <w:basedOn w:val="Normal"/>
    <w:qFormat/>
    <w:rsid w:val="00C324F3"/>
    <w:pPr>
      <w:keepNext/>
      <w:spacing w:after="240"/>
      <w:ind w:left="1418" w:right="57" w:hanging="1418"/>
      <w:contextualSpacing/>
    </w:pPr>
    <w:rPr>
      <w:rFonts w:ascii="Franklin Gothic Medium" w:eastAsiaTheme="minorEastAsia" w:hAnsi="Franklin Gothic Medium" w:cs="Calibri"/>
      <w:sz w:val="22"/>
      <w:szCs w:val="20"/>
    </w:rPr>
  </w:style>
  <w:style w:type="paragraph" w:customStyle="1" w:styleId="TableNotes">
    <w:name w:val="TableNotes"/>
    <w:basedOn w:val="TableFooter"/>
    <w:qFormat/>
    <w:rsid w:val="00C324F3"/>
    <w:pPr>
      <w:spacing w:after="0"/>
    </w:pPr>
    <w:rPr>
      <w:rFonts w:asciiTheme="minorHAnsi" w:eastAsia="Calibri" w:hAnsiTheme="minorHAnsi" w:cstheme="minorHAnsi"/>
      <w:szCs w:val="20"/>
    </w:rPr>
  </w:style>
  <w:style w:type="paragraph" w:customStyle="1" w:styleId="V50Heading1nonumbers">
    <w:name w:val="V5.0 Heading 1 no numbers"/>
    <w:basedOn w:val="Heading1"/>
    <w:rsid w:val="00C324F3"/>
    <w:pPr>
      <w:numPr>
        <w:numId w:val="0"/>
      </w:numPr>
      <w:spacing w:before="400"/>
      <w:ind w:right="57"/>
      <w:contextualSpacing/>
      <w:jc w:val="left"/>
    </w:pPr>
    <w:rPr>
      <w:rFonts w:asciiTheme="minorHAnsi" w:hAnsiTheme="minorHAnsi"/>
      <w:bCs w:val="0"/>
      <w:color w:val="auto"/>
      <w:szCs w:val="28"/>
    </w:rPr>
  </w:style>
  <w:style w:type="paragraph" w:customStyle="1" w:styleId="V50Heading2nonumbers">
    <w:name w:val="V5.0 Heading 2 no numbers"/>
    <w:basedOn w:val="Normal"/>
    <w:rsid w:val="00C324F3"/>
    <w:pPr>
      <w:pageBreakBefore/>
      <w:spacing w:before="480" w:after="240"/>
      <w:ind w:right="57"/>
      <w:contextualSpacing/>
      <w:jc w:val="center"/>
      <w:outlineLvl w:val="0"/>
    </w:pPr>
    <w:rPr>
      <w:rFonts w:asciiTheme="minorHAnsi" w:eastAsiaTheme="minorEastAsia" w:hAnsiTheme="minorHAnsi" w:cs="Calibri"/>
      <w:b/>
      <w:color w:val="548DD4" w:themeColor="text2" w:themeTint="99"/>
      <w:sz w:val="40"/>
      <w:szCs w:val="40"/>
    </w:rPr>
  </w:style>
  <w:style w:type="paragraph" w:customStyle="1" w:styleId="MDSubheading">
    <w:name w:val="MD_Subheading"/>
    <w:basedOn w:val="Heading2"/>
    <w:next w:val="Normal"/>
    <w:link w:val="MDSubheadingChar"/>
    <w:qFormat/>
    <w:rsid w:val="00C324F3"/>
    <w:pPr>
      <w:numPr>
        <w:ilvl w:val="0"/>
        <w:numId w:val="0"/>
      </w:numPr>
    </w:pPr>
    <w:rPr>
      <w:iCs/>
      <w:color w:val="548DD4" w:themeColor="text2" w:themeTint="99"/>
      <w:szCs w:val="32"/>
    </w:rPr>
  </w:style>
  <w:style w:type="character" w:customStyle="1" w:styleId="MDSubheadingChar">
    <w:name w:val="MD_Subheading Char"/>
    <w:basedOn w:val="DefaultParagraphFont"/>
    <w:link w:val="MDSubheading"/>
    <w:rsid w:val="00C324F3"/>
    <w:rPr>
      <w:rFonts w:ascii="Calibri" w:eastAsiaTheme="majorEastAsia" w:hAnsi="Calibri" w:cstheme="majorBidi"/>
      <w:b/>
      <w:bCs/>
      <w:iCs/>
      <w:color w:val="548DD4" w:themeColor="text2" w:themeTint="99"/>
      <w:sz w:val="32"/>
      <w:szCs w:val="32"/>
    </w:rPr>
  </w:style>
  <w:style w:type="paragraph" w:customStyle="1" w:styleId="V50InstructionsBullets">
    <w:name w:val="V5.0 Instructions Bullets"/>
    <w:basedOn w:val="MDSubheading"/>
    <w:rsid w:val="00C324F3"/>
    <w:pPr>
      <w:numPr>
        <w:numId w:val="325"/>
      </w:numPr>
      <w:spacing w:before="0" w:after="0"/>
      <w:ind w:left="360"/>
    </w:pPr>
  </w:style>
  <w:style w:type="paragraph" w:customStyle="1" w:styleId="MDTabCaption">
    <w:name w:val="MD_TabCaption"/>
    <w:basedOn w:val="TableName"/>
    <w:next w:val="Normal"/>
    <w:link w:val="MDTabCaptionChar"/>
    <w:qFormat/>
    <w:rsid w:val="00C324F3"/>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C324F3"/>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C324F3"/>
    <w:rPr>
      <w:b w:val="0"/>
    </w:rPr>
  </w:style>
  <w:style w:type="character" w:customStyle="1" w:styleId="V50TablenameChar">
    <w:name w:val="V5.0 Table name Char"/>
    <w:basedOn w:val="DefaultParagraphFont"/>
    <w:link w:val="V50Tablename"/>
    <w:rsid w:val="00C324F3"/>
    <w:rPr>
      <w:rFonts w:asciiTheme="minorHAnsi" w:eastAsiaTheme="minorEastAsia" w:hAnsiTheme="minorHAnsi" w:cs="Calibri"/>
      <w:szCs w:val="24"/>
      <w:lang w:val="en-US" w:eastAsia="en-US"/>
    </w:rPr>
  </w:style>
  <w:style w:type="paragraph" w:customStyle="1" w:styleId="V50Tablenote">
    <w:name w:val="V5.0 Tablenote"/>
    <w:basedOn w:val="MDTabCaption"/>
    <w:link w:val="V50TablenoteChar"/>
    <w:rsid w:val="00C324F3"/>
    <w:pPr>
      <w:spacing w:after="120"/>
      <w:jc w:val="both"/>
    </w:pPr>
    <w:rPr>
      <w:sz w:val="18"/>
      <w:szCs w:val="18"/>
    </w:rPr>
  </w:style>
  <w:style w:type="character" w:customStyle="1" w:styleId="V50TablenoteChar">
    <w:name w:val="V5.0 Tablenote Char"/>
    <w:basedOn w:val="DefaultParagraphFont"/>
    <w:link w:val="V50Tablenote"/>
    <w:rsid w:val="00C324F3"/>
    <w:rPr>
      <w:rFonts w:asciiTheme="minorHAnsi" w:eastAsiaTheme="minorEastAsia" w:hAnsiTheme="minorHAnsi" w:cs="Calibri"/>
      <w:b/>
      <w:sz w:val="18"/>
      <w:szCs w:val="18"/>
      <w:lang w:val="en-US" w:eastAsia="en-US"/>
    </w:rPr>
  </w:style>
  <w:style w:type="paragraph" w:customStyle="1" w:styleId="V50TableTextInstruction">
    <w:name w:val="V5.0 TableText Instruction"/>
    <w:basedOn w:val="MDTabCaption"/>
    <w:rsid w:val="00C324F3"/>
    <w:rPr>
      <w:b w:val="0"/>
      <w:color w:val="4BACC6" w:themeColor="accent5"/>
    </w:rPr>
  </w:style>
  <w:style w:type="paragraph" w:customStyle="1" w:styleId="Bullettext">
    <w:name w:val="Bullet text"/>
    <w:link w:val="BullettextChar"/>
    <w:rsid w:val="00C324F3"/>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C324F3"/>
    <w:rPr>
      <w:rFonts w:ascii="Cambria" w:eastAsia="Calibri" w:hAnsi="Cambria" w:cs="Times New Roman"/>
      <w:szCs w:val="24"/>
      <w:lang w:eastAsia="en-US"/>
    </w:rPr>
  </w:style>
  <w:style w:type="character" w:customStyle="1" w:styleId="searchhistory-search-term">
    <w:name w:val="searchhistory-search-term"/>
    <w:basedOn w:val="DefaultParagraphFont"/>
    <w:rsid w:val="00C324F3"/>
  </w:style>
  <w:style w:type="numbering" w:customStyle="1" w:styleId="Headings">
    <w:name w:val="Headings"/>
    <w:uiPriority w:val="99"/>
    <w:rsid w:val="00C324F3"/>
    <w:pPr>
      <w:numPr>
        <w:numId w:val="326"/>
      </w:numPr>
    </w:pPr>
  </w:style>
  <w:style w:type="paragraph" w:customStyle="1" w:styleId="MDFiguretitle">
    <w:name w:val="MD_Figure title"/>
    <w:basedOn w:val="Normal"/>
    <w:next w:val="Normal"/>
    <w:link w:val="MDFiguretitleChar"/>
    <w:qFormat/>
    <w:rsid w:val="00C324F3"/>
    <w:pPr>
      <w:spacing w:before="60" w:after="60"/>
      <w:contextualSpacing/>
    </w:pPr>
    <w:rPr>
      <w:rFonts w:asciiTheme="minorHAnsi" w:eastAsiaTheme="minorEastAsia" w:hAnsiTheme="minorHAnsi" w:cs="Calibri"/>
      <w:b/>
      <w:szCs w:val="24"/>
      <w:lang w:val="en-US"/>
    </w:rPr>
  </w:style>
  <w:style w:type="character" w:customStyle="1" w:styleId="MDFiguretitleChar">
    <w:name w:val="MD_Figure title Char"/>
    <w:basedOn w:val="DefaultParagraphFont"/>
    <w:link w:val="MDFiguretitle"/>
    <w:rsid w:val="00C324F3"/>
    <w:rPr>
      <w:rFonts w:asciiTheme="minorHAnsi" w:eastAsiaTheme="minorEastAsia" w:hAnsiTheme="minorHAnsi" w:cs="Calibri"/>
      <w:b/>
      <w:szCs w:val="24"/>
      <w:lang w:val="en-US"/>
    </w:rPr>
  </w:style>
  <w:style w:type="paragraph" w:customStyle="1" w:styleId="Footnotes">
    <w:name w:val="Footnotes"/>
    <w:basedOn w:val="Normal"/>
    <w:link w:val="FootnotesChar"/>
    <w:qFormat/>
    <w:rsid w:val="00C324F3"/>
    <w:pPr>
      <w:ind w:right="57"/>
      <w:contextualSpacing/>
    </w:pPr>
    <w:rPr>
      <w:rFonts w:asciiTheme="minorHAnsi" w:eastAsiaTheme="minorEastAsia" w:hAnsiTheme="minorHAnsi" w:cs="Calibri"/>
      <w:sz w:val="20"/>
      <w:szCs w:val="20"/>
    </w:rPr>
  </w:style>
  <w:style w:type="character" w:customStyle="1" w:styleId="FootnotesChar">
    <w:name w:val="Footnotes Char"/>
    <w:basedOn w:val="DefaultParagraphFont"/>
    <w:link w:val="Footnotes"/>
    <w:rsid w:val="00C324F3"/>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C324F3"/>
    <w:pPr>
      <w:pBdr>
        <w:top w:val="single" w:sz="4" w:space="1" w:color="auto"/>
        <w:left w:val="single" w:sz="4" w:space="4" w:color="auto"/>
        <w:bottom w:val="single" w:sz="4" w:space="1" w:color="auto"/>
        <w:right w:val="single" w:sz="4" w:space="4" w:color="auto"/>
      </w:pBdr>
      <w:ind w:right="57"/>
      <w:contextualSpacing/>
    </w:pPr>
    <w:rPr>
      <w:rFonts w:asciiTheme="minorHAnsi" w:eastAsiaTheme="minorEastAsia" w:hAnsiTheme="minorHAnsi" w:cs="Calibri"/>
      <w:b/>
      <w:color w:val="365F91" w:themeColor="accent1" w:themeShade="BF"/>
      <w:szCs w:val="20"/>
    </w:rPr>
  </w:style>
  <w:style w:type="character" w:customStyle="1" w:styleId="TitleChar">
    <w:name w:val="Title Char"/>
    <w:aliases w:val="ToR box Char"/>
    <w:basedOn w:val="DefaultParagraphFont"/>
    <w:link w:val="Title"/>
    <w:uiPriority w:val="7"/>
    <w:rsid w:val="00C324F3"/>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C324F3"/>
    <w:pPr>
      <w:numPr>
        <w:ilvl w:val="1"/>
      </w:numPr>
      <w:ind w:left="1134" w:hanging="283"/>
    </w:pPr>
    <w:rPr>
      <w:rFonts w:eastAsia="Calibri"/>
    </w:rPr>
  </w:style>
  <w:style w:type="character" w:customStyle="1" w:styleId="BulletLastChar">
    <w:name w:val="Bullet Last Char"/>
    <w:basedOn w:val="BodyTextChar0"/>
    <w:link w:val="BulletLast"/>
    <w:rsid w:val="00C324F3"/>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C324F3"/>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C324F3"/>
    <w:pPr>
      <w:spacing w:before="60" w:after="60"/>
      <w:ind w:right="57"/>
      <w:contextualSpacing/>
    </w:pPr>
    <w:rPr>
      <w:rFonts w:asciiTheme="minorHAnsi" w:eastAsiaTheme="minorEastAsia" w:hAnsiTheme="minorHAnsi" w:cs="Calibri"/>
      <w:b/>
      <w:sz w:val="20"/>
      <w:szCs w:val="20"/>
    </w:rPr>
  </w:style>
  <w:style w:type="character" w:customStyle="1" w:styleId="SubtitleChar">
    <w:name w:val="Subtitle Char"/>
    <w:aliases w:val="FIRST ROW TABLE Char"/>
    <w:basedOn w:val="DefaultParagraphFont"/>
    <w:link w:val="Subtitle"/>
    <w:uiPriority w:val="9"/>
    <w:rsid w:val="00C324F3"/>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C324F3"/>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324F3"/>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C324F3"/>
    <w:pPr>
      <w:spacing w:before="60" w:after="60"/>
      <w:ind w:right="57"/>
      <w:contextualSpacing/>
      <w:outlineLvl w:val="3"/>
    </w:pPr>
    <w:rPr>
      <w:rFonts w:asciiTheme="minorHAnsi" w:eastAsiaTheme="minorEastAsia" w:hAnsiTheme="minorHAnsi" w:cs="Calibri"/>
      <w:b/>
      <w:szCs w:val="24"/>
      <w:lang w:val="en-US"/>
    </w:rPr>
  </w:style>
  <w:style w:type="character" w:customStyle="1" w:styleId="FiguretitleChar">
    <w:name w:val="Figure title Char"/>
    <w:basedOn w:val="DefaultParagraphFont"/>
    <w:link w:val="Figuretitle"/>
    <w:rsid w:val="00C324F3"/>
    <w:rPr>
      <w:rFonts w:asciiTheme="minorHAnsi" w:eastAsiaTheme="minorEastAsia" w:hAnsiTheme="minorHAnsi" w:cs="Calibri"/>
      <w:b/>
      <w:szCs w:val="24"/>
      <w:lang w:val="en-US"/>
    </w:rPr>
  </w:style>
  <w:style w:type="paragraph" w:customStyle="1" w:styleId="Subsubheding">
    <w:name w:val="Sub sub heding"/>
    <w:basedOn w:val="TableHeading0"/>
    <w:rsid w:val="00C324F3"/>
    <w:pPr>
      <w:spacing w:before="200" w:after="200"/>
      <w:ind w:right="57"/>
    </w:pPr>
    <w:rPr>
      <w:i/>
      <w:sz w:val="28"/>
      <w:szCs w:val="28"/>
    </w:rPr>
  </w:style>
  <w:style w:type="paragraph" w:customStyle="1" w:styleId="Subheading">
    <w:name w:val="Subheading"/>
    <w:basedOn w:val="TableHeading0"/>
    <w:link w:val="SubheadingChar"/>
    <w:rsid w:val="00C324F3"/>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C324F3"/>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C324F3"/>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C324F3"/>
    <w:rPr>
      <w:rFonts w:asciiTheme="minorHAnsi" w:hAnsiTheme="minorHAnsi"/>
      <w:sz w:val="20"/>
      <w:szCs w:val="24"/>
      <w:lang w:val="en-US" w:eastAsia="en-US"/>
    </w:rPr>
  </w:style>
  <w:style w:type="paragraph" w:customStyle="1" w:styleId="Tablefooter0">
    <w:name w:val="Table footer"/>
    <w:basedOn w:val="ListParagraph"/>
    <w:link w:val="TablefooterChar0"/>
    <w:uiPriority w:val="5"/>
    <w:rsid w:val="00C324F3"/>
    <w:pPr>
      <w:ind w:left="0"/>
    </w:pPr>
    <w:rPr>
      <w:rFonts w:ascii="Cambria" w:hAnsi="Cambria"/>
      <w:sz w:val="20"/>
      <w:szCs w:val="24"/>
    </w:rPr>
  </w:style>
  <w:style w:type="character" w:customStyle="1" w:styleId="CaptionChar">
    <w:name w:val="Caption Char"/>
    <w:aliases w:val="Table Caption Char"/>
    <w:basedOn w:val="DefaultParagraphFont"/>
    <w:link w:val="Caption"/>
    <w:uiPriority w:val="35"/>
    <w:rsid w:val="00C324F3"/>
    <w:rPr>
      <w:rFonts w:asciiTheme="minorHAnsi" w:eastAsia="Times New Roman" w:hAnsiTheme="minorHAnsi" w:cs="Times New Roman"/>
      <w:b/>
      <w:bCs/>
      <w:szCs w:val="18"/>
    </w:rPr>
  </w:style>
  <w:style w:type="character" w:customStyle="1" w:styleId="TablefooterChar0">
    <w:name w:val="Table footer Char"/>
    <w:basedOn w:val="ListParagraphChar"/>
    <w:link w:val="Tablefooter0"/>
    <w:uiPriority w:val="5"/>
    <w:rsid w:val="00C324F3"/>
    <w:rPr>
      <w:rFonts w:ascii="Cambria" w:hAnsi="Cambria"/>
      <w:sz w:val="20"/>
      <w:szCs w:val="24"/>
    </w:rPr>
  </w:style>
  <w:style w:type="character" w:customStyle="1" w:styleId="st">
    <w:name w:val="st"/>
    <w:basedOn w:val="DefaultParagraphFont"/>
    <w:rsid w:val="00C324F3"/>
  </w:style>
  <w:style w:type="paragraph" w:customStyle="1" w:styleId="TableHeading1">
    <w:name w:val="Table Heading"/>
    <w:basedOn w:val="Normal"/>
    <w:link w:val="TableHeadingChar0"/>
    <w:rsid w:val="00C324F3"/>
    <w:pPr>
      <w:keepNext/>
      <w:spacing w:after="60"/>
    </w:pPr>
    <w:rPr>
      <w:rFonts w:ascii="Arial Narrow" w:hAnsi="Arial Narrow"/>
      <w:b/>
      <w:sz w:val="20"/>
      <w:lang w:eastAsia="en-US"/>
    </w:rPr>
  </w:style>
  <w:style w:type="paragraph" w:customStyle="1" w:styleId="Figure">
    <w:name w:val="Figure"/>
    <w:basedOn w:val="NormalWeb"/>
    <w:link w:val="FigureChar"/>
    <w:rsid w:val="00C324F3"/>
    <w:pPr>
      <w:spacing w:before="60" w:beforeAutospacing="0" w:after="60" w:afterAutospacing="0"/>
    </w:pPr>
    <w:rPr>
      <w:b/>
      <w:color w:val="000000"/>
    </w:rPr>
  </w:style>
  <w:style w:type="character" w:customStyle="1" w:styleId="FigureChar">
    <w:name w:val="Figure Char"/>
    <w:link w:val="Figure"/>
    <w:rsid w:val="00C324F3"/>
    <w:rPr>
      <w:rFonts w:ascii="Calibri" w:eastAsia="Times New Roman" w:hAnsi="Calibri" w:cs="Times New Roman"/>
      <w:b/>
      <w:color w:val="000000"/>
      <w:szCs w:val="24"/>
    </w:rPr>
  </w:style>
  <w:style w:type="character" w:customStyle="1" w:styleId="TableHeadingChar0">
    <w:name w:val="Table Heading Char"/>
    <w:link w:val="TableHeading1"/>
    <w:rsid w:val="00C324F3"/>
    <w:rPr>
      <w:rFonts w:ascii="Arial Narrow" w:hAnsi="Arial Narrow"/>
      <w:b/>
      <w:sz w:val="20"/>
      <w:lang w:eastAsia="en-US"/>
    </w:rPr>
  </w:style>
  <w:style w:type="paragraph" w:customStyle="1" w:styleId="Sub-heading">
    <w:name w:val="Sub-heading"/>
    <w:basedOn w:val="Normal"/>
    <w:link w:val="Sub-headingChar"/>
    <w:rsid w:val="00C324F3"/>
    <w:pPr>
      <w:keepNext/>
      <w:keepLines/>
      <w:spacing w:before="240"/>
    </w:pPr>
    <w:rPr>
      <w:rFonts w:asciiTheme="minorHAnsi" w:hAnsiTheme="minorHAnsi"/>
      <w:b/>
      <w:i/>
      <w:sz w:val="28"/>
      <w:szCs w:val="24"/>
    </w:rPr>
  </w:style>
  <w:style w:type="character" w:customStyle="1" w:styleId="Sub-headingChar">
    <w:name w:val="Sub-heading Char"/>
    <w:basedOn w:val="DefaultParagraphFont"/>
    <w:link w:val="Sub-heading"/>
    <w:rsid w:val="00C324F3"/>
    <w:rPr>
      <w:rFonts w:asciiTheme="minorHAnsi" w:hAnsiTheme="minorHAnsi"/>
      <w:b/>
      <w:i/>
      <w:sz w:val="28"/>
      <w:szCs w:val="24"/>
    </w:rPr>
  </w:style>
  <w:style w:type="paragraph" w:customStyle="1" w:styleId="Tabletext0">
    <w:name w:val="Table text"/>
    <w:basedOn w:val="Normal"/>
    <w:link w:val="TabletextChar0"/>
    <w:uiPriority w:val="1"/>
    <w:qFormat/>
    <w:rsid w:val="00C324F3"/>
    <w:pPr>
      <w:shd w:val="clear" w:color="auto" w:fill="FFFFFF" w:themeFill="background1"/>
      <w:spacing w:before="60" w:after="60"/>
    </w:pPr>
    <w:rPr>
      <w:rFonts w:eastAsia="Times New Roman" w:cs="Arial"/>
      <w:sz w:val="20"/>
      <w:szCs w:val="20"/>
    </w:rPr>
  </w:style>
  <w:style w:type="character" w:customStyle="1" w:styleId="TabletextChar0">
    <w:name w:val="Table text Char"/>
    <w:basedOn w:val="DefaultParagraphFont"/>
    <w:link w:val="Tabletext0"/>
    <w:uiPriority w:val="1"/>
    <w:rsid w:val="00C324F3"/>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C324F3"/>
    <w:pPr>
      <w:keepNext/>
      <w:autoSpaceDE w:val="0"/>
      <w:autoSpaceDN w:val="0"/>
      <w:adjustRightInd w:val="0"/>
    </w:pPr>
    <w:rPr>
      <w:rFonts w:asciiTheme="minorHAnsi" w:eastAsiaTheme="minorEastAsia" w:hAnsiTheme="minorHAnsi" w:cs="Calibri"/>
      <w:color w:val="000000"/>
      <w:sz w:val="20"/>
      <w:szCs w:val="20"/>
    </w:rPr>
  </w:style>
  <w:style w:type="paragraph" w:customStyle="1" w:styleId="FigureDUSC">
    <w:name w:val="Figure DUSC"/>
    <w:basedOn w:val="Normal"/>
    <w:link w:val="FigureDUSCChar"/>
    <w:rsid w:val="00C324F3"/>
    <w:pPr>
      <w:spacing w:before="60" w:after="60"/>
      <w:outlineLvl w:val="3"/>
    </w:pPr>
    <w:rPr>
      <w:rFonts w:asciiTheme="minorHAnsi" w:eastAsiaTheme="minorEastAsia" w:hAnsiTheme="minorHAnsi" w:cstheme="majorBidi"/>
      <w:b/>
      <w:szCs w:val="24"/>
      <w:lang w:val="en-US"/>
    </w:rPr>
  </w:style>
  <w:style w:type="character" w:customStyle="1" w:styleId="FigureDUSCChar">
    <w:name w:val="Figure DUSC Char"/>
    <w:basedOn w:val="DefaultParagraphFont"/>
    <w:link w:val="FigureDUSC"/>
    <w:rsid w:val="00C324F3"/>
    <w:rPr>
      <w:rFonts w:asciiTheme="minorHAnsi" w:eastAsiaTheme="minorEastAsia" w:hAnsiTheme="minorHAnsi" w:cstheme="majorBidi"/>
      <w:b/>
      <w:szCs w:val="24"/>
      <w:lang w:val="en-US"/>
    </w:rPr>
  </w:style>
  <w:style w:type="paragraph" w:customStyle="1" w:styleId="Tableheading-row">
    <w:name w:val="Table heading-row"/>
    <w:basedOn w:val="Normal"/>
    <w:qFormat/>
    <w:rsid w:val="00C324F3"/>
    <w:pPr>
      <w:autoSpaceDE w:val="0"/>
      <w:autoSpaceDN w:val="0"/>
      <w:adjustRightInd w:val="0"/>
      <w:spacing w:before="60" w:after="60"/>
    </w:pPr>
    <w:rPr>
      <w:rFonts w:asciiTheme="minorHAnsi" w:eastAsiaTheme="minorEastAsia" w:hAnsiTheme="minorHAnsi" w:cs="Calibri"/>
      <w:b/>
      <w:color w:val="000000" w:themeColor="text1"/>
      <w:sz w:val="20"/>
      <w:szCs w:val="24"/>
    </w:rPr>
  </w:style>
  <w:style w:type="paragraph" w:customStyle="1" w:styleId="TableTextDusc">
    <w:name w:val="Table Text _Dusc"/>
    <w:basedOn w:val="Normal"/>
    <w:link w:val="TableTextDuscChar"/>
    <w:qFormat/>
    <w:rsid w:val="00C324F3"/>
    <w:pPr>
      <w:autoSpaceDE w:val="0"/>
      <w:autoSpaceDN w:val="0"/>
      <w:adjustRightInd w:val="0"/>
      <w:spacing w:before="60" w:after="60"/>
    </w:pPr>
    <w:rPr>
      <w:rFonts w:asciiTheme="minorHAnsi" w:eastAsia="MS Mincho" w:hAnsiTheme="minorHAnsi" w:cs="Calibri"/>
      <w:sz w:val="20"/>
      <w:szCs w:val="20"/>
    </w:rPr>
  </w:style>
  <w:style w:type="character" w:customStyle="1" w:styleId="TableTextDuscChar">
    <w:name w:val="Table Text _Dusc Char"/>
    <w:basedOn w:val="DefaultParagraphFont"/>
    <w:link w:val="TableTextDusc"/>
    <w:rsid w:val="00C324F3"/>
    <w:rPr>
      <w:rFonts w:asciiTheme="minorHAnsi" w:eastAsia="MS Mincho" w:hAnsiTheme="minorHAnsi" w:cs="Calibri"/>
      <w:sz w:val="20"/>
      <w:szCs w:val="20"/>
    </w:rPr>
  </w:style>
  <w:style w:type="numbering" w:customStyle="1" w:styleId="NoList1">
    <w:name w:val="No List1"/>
    <w:next w:val="NoList"/>
    <w:uiPriority w:val="99"/>
    <w:semiHidden/>
    <w:unhideWhenUsed/>
    <w:rsid w:val="00C324F3"/>
  </w:style>
  <w:style w:type="table" w:customStyle="1" w:styleId="TableGrid71">
    <w:name w:val="Table Grid71"/>
    <w:basedOn w:val="TableNormal"/>
    <w:uiPriority w:val="59"/>
    <w:rsid w:val="00C324F3"/>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C324F3"/>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0">
    <w:name w:val="Figure caption"/>
    <w:basedOn w:val="Normal"/>
    <w:link w:val="FigurecaptionChar0"/>
    <w:qFormat/>
    <w:rsid w:val="00C324F3"/>
    <w:pPr>
      <w:spacing w:before="60" w:after="60"/>
    </w:pPr>
    <w:rPr>
      <w:rFonts w:asciiTheme="minorHAnsi" w:eastAsiaTheme="minorEastAsia" w:hAnsiTheme="minorHAnsi"/>
      <w:sz w:val="20"/>
      <w:szCs w:val="20"/>
      <w:lang w:eastAsia="en-US"/>
    </w:rPr>
  </w:style>
  <w:style w:type="character" w:customStyle="1" w:styleId="FigurecaptionChar0">
    <w:name w:val="Figure caption Char"/>
    <w:basedOn w:val="DefaultParagraphFont"/>
    <w:link w:val="Figurecaption0"/>
    <w:rsid w:val="00C324F3"/>
    <w:rPr>
      <w:rFonts w:asciiTheme="minorHAnsi" w:eastAsiaTheme="minorEastAsia" w:hAnsiTheme="minorHAnsi"/>
      <w:sz w:val="20"/>
      <w:szCs w:val="20"/>
      <w:lang w:eastAsia="en-US"/>
    </w:rPr>
  </w:style>
  <w:style w:type="paragraph" w:customStyle="1" w:styleId="ToRText">
    <w:name w:val="ToR Text"/>
    <w:basedOn w:val="Normal"/>
    <w:link w:val="ToRTextChar"/>
    <w:qFormat/>
    <w:rsid w:val="00C324F3"/>
    <w:pPr>
      <w:pBdr>
        <w:top w:val="single" w:sz="4" w:space="1" w:color="auto"/>
        <w:left w:val="single" w:sz="4" w:space="4" w:color="auto"/>
        <w:bottom w:val="single" w:sz="4" w:space="1" w:color="auto"/>
        <w:right w:val="single" w:sz="4" w:space="4" w:color="auto"/>
      </w:pBdr>
    </w:pPr>
    <w:rPr>
      <w:rFonts w:asciiTheme="minorHAnsi" w:hAnsiTheme="minorHAnsi" w:cstheme="minorHAnsi"/>
      <w:b/>
      <w:color w:val="365F91" w:themeColor="accent1" w:themeShade="BF"/>
    </w:rPr>
  </w:style>
  <w:style w:type="paragraph" w:customStyle="1" w:styleId="MDsubHead3">
    <w:name w:val="MD sub Head 3"/>
    <w:basedOn w:val="Heading4"/>
    <w:link w:val="MDsubHead3Char"/>
    <w:qFormat/>
    <w:rsid w:val="00C324F3"/>
    <w:pPr>
      <w:numPr>
        <w:ilvl w:val="0"/>
        <w:numId w:val="0"/>
      </w:numPr>
      <w:spacing w:before="200"/>
    </w:pPr>
  </w:style>
  <w:style w:type="character" w:customStyle="1" w:styleId="ToRTextChar">
    <w:name w:val="ToR Text Char"/>
    <w:basedOn w:val="DefaultParagraphFont"/>
    <w:link w:val="ToRText"/>
    <w:rsid w:val="00C324F3"/>
    <w:rPr>
      <w:rFonts w:asciiTheme="minorHAnsi" w:hAnsiTheme="minorHAnsi" w:cstheme="minorHAnsi"/>
      <w:b/>
      <w:color w:val="365F91" w:themeColor="accent1" w:themeShade="BF"/>
    </w:rPr>
  </w:style>
  <w:style w:type="character" w:customStyle="1" w:styleId="MDsubHead3Char">
    <w:name w:val="MD sub Head 3 Char"/>
    <w:basedOn w:val="Heading4Char"/>
    <w:link w:val="MDsubHead3"/>
    <w:rsid w:val="00C324F3"/>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semiHidden/>
    <w:unhideWhenUsed/>
    <w:rsid w:val="00C324F3"/>
    <w:pPr>
      <w:spacing w:after="120" w:line="480" w:lineRule="auto"/>
    </w:pPr>
    <w:rPr>
      <w:rFonts w:asciiTheme="minorHAnsi" w:hAnsiTheme="minorHAnsi" w:cstheme="minorHAnsi"/>
    </w:rPr>
  </w:style>
  <w:style w:type="character" w:customStyle="1" w:styleId="BodyText2Char">
    <w:name w:val="Body Text 2 Char"/>
    <w:basedOn w:val="DefaultParagraphFont"/>
    <w:link w:val="BodyText2"/>
    <w:uiPriority w:val="99"/>
    <w:semiHidden/>
    <w:rsid w:val="00C324F3"/>
    <w:rPr>
      <w:rFonts w:asciiTheme="minorHAnsi" w:hAnsiTheme="minorHAnsi" w:cstheme="minorHAnsi"/>
    </w:rPr>
  </w:style>
  <w:style w:type="paragraph" w:customStyle="1" w:styleId="06Tabletextspacebefore">
    <w:name w:val="06 Table text space before"/>
    <w:qFormat/>
    <w:rsid w:val="00C324F3"/>
    <w:pPr>
      <w:spacing w:before="80" w:after="0" w:line="240" w:lineRule="auto"/>
      <w:ind w:left="57" w:right="57"/>
    </w:pPr>
    <w:rPr>
      <w:rFonts w:ascii="Arial Narrow" w:eastAsia="Calibri" w:hAnsi="Arial Narrow" w:cs="Times New Roman"/>
      <w:sz w:val="18"/>
      <w:szCs w:val="24"/>
      <w:lang w:eastAsia="en-US"/>
    </w:rPr>
  </w:style>
  <w:style w:type="paragraph" w:customStyle="1" w:styleId="05Tabletext">
    <w:name w:val="05 Table text"/>
    <w:next w:val="06Tabletextspacebefore"/>
    <w:qFormat/>
    <w:rsid w:val="00C324F3"/>
    <w:pPr>
      <w:spacing w:before="20" w:after="0" w:line="240" w:lineRule="auto"/>
      <w:ind w:left="57" w:right="57"/>
    </w:pPr>
    <w:rPr>
      <w:rFonts w:ascii="Arial Narrow" w:eastAsia="Calibri" w:hAnsi="Arial Narrow" w:cs="Times New Roman"/>
      <w:sz w:val="18"/>
      <w:szCs w:val="24"/>
      <w:lang w:eastAsia="en-US"/>
    </w:rPr>
  </w:style>
  <w:style w:type="paragraph" w:customStyle="1" w:styleId="01TableHEADINGleftaligned">
    <w:name w:val="01 Table HEADING left aligned"/>
    <w:basedOn w:val="BodyText"/>
    <w:qFormat/>
    <w:rsid w:val="00C324F3"/>
    <w:pPr>
      <w:keepNext/>
      <w:spacing w:before="60" w:after="0"/>
      <w:ind w:left="57" w:right="57"/>
    </w:pPr>
    <w:rPr>
      <w:rFonts w:ascii="Arial Narrow" w:eastAsia="Calibri" w:hAnsi="Arial Narrow" w:cs="Times New Roman"/>
      <w:b/>
      <w:sz w:val="18"/>
      <w:szCs w:val="24"/>
      <w:lang w:eastAsia="en-US"/>
    </w:rPr>
  </w:style>
  <w:style w:type="table" w:customStyle="1" w:styleId="TableGridLight1">
    <w:name w:val="Table Grid Light1"/>
    <w:basedOn w:val="TableNormal"/>
    <w:uiPriority w:val="40"/>
    <w:rsid w:val="00C324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1">
    <w:name w:val="Style1"/>
    <w:basedOn w:val="Normal"/>
    <w:link w:val="Style1Char"/>
    <w:qFormat/>
    <w:rsid w:val="00C324F3"/>
    <w:pPr>
      <w:spacing w:after="160" w:line="259" w:lineRule="auto"/>
    </w:pPr>
    <w:rPr>
      <w:rFonts w:ascii="Times New Roman" w:hAnsi="Times New Roman"/>
      <w:sz w:val="22"/>
      <w:lang w:eastAsia="en-US"/>
    </w:rPr>
  </w:style>
  <w:style w:type="character" w:customStyle="1" w:styleId="Style1Char">
    <w:name w:val="Style1 Char"/>
    <w:basedOn w:val="DefaultParagraphFont"/>
    <w:link w:val="Style1"/>
    <w:rsid w:val="00C324F3"/>
    <w:rPr>
      <w:sz w:val="22"/>
      <w:lang w:eastAsia="en-US"/>
    </w:rPr>
  </w:style>
  <w:style w:type="paragraph" w:styleId="TableofFigures">
    <w:name w:val="table of figures"/>
    <w:basedOn w:val="Normal"/>
    <w:next w:val="Normal"/>
    <w:uiPriority w:val="99"/>
    <w:unhideWhenUsed/>
    <w:rsid w:val="00C324F3"/>
    <w:pPr>
      <w:spacing w:after="0"/>
    </w:pPr>
    <w:rPr>
      <w:rFonts w:asciiTheme="minorHAnsi" w:hAnsiTheme="minorHAnsi" w:cstheme="minorHAnsi"/>
    </w:rPr>
  </w:style>
  <w:style w:type="paragraph" w:customStyle="1" w:styleId="Heading4b">
    <w:name w:val="Heading 4b"/>
    <w:basedOn w:val="Heading4"/>
    <w:link w:val="Heading4bChar"/>
    <w:qFormat/>
    <w:rsid w:val="00C324F3"/>
    <w:pPr>
      <w:numPr>
        <w:ilvl w:val="0"/>
        <w:numId w:val="0"/>
      </w:numPr>
      <w:spacing w:before="40"/>
    </w:pPr>
    <w:rPr>
      <w:rFonts w:asciiTheme="minorHAnsi" w:hAnsiTheme="minorHAnsi"/>
      <w:bCs w:val="0"/>
      <w:i w:val="0"/>
      <w:lang w:eastAsia="en-US"/>
    </w:rPr>
  </w:style>
  <w:style w:type="character" w:customStyle="1" w:styleId="Heading4bChar">
    <w:name w:val="Heading 4b Char"/>
    <w:basedOn w:val="Heading4Char"/>
    <w:link w:val="Heading4b"/>
    <w:rsid w:val="00C324F3"/>
    <w:rPr>
      <w:rFonts w:asciiTheme="minorHAnsi" w:eastAsiaTheme="majorEastAsia" w:hAnsiTheme="minorHAnsi" w:cstheme="majorBidi"/>
      <w:b/>
      <w:bCs w:val="0"/>
      <w:i w:val="0"/>
      <w:iCs/>
      <w:color w:val="4F81BD" w:themeColor="accent1"/>
      <w:lang w:eastAsia="en-US"/>
    </w:rPr>
  </w:style>
  <w:style w:type="paragraph" w:customStyle="1" w:styleId="BulletLast0">
    <w:name w:val="BulletLast"/>
    <w:basedOn w:val="Normal"/>
    <w:qFormat/>
    <w:rsid w:val="00C324F3"/>
    <w:pPr>
      <w:spacing w:after="240"/>
    </w:pPr>
    <w:rPr>
      <w:rFonts w:eastAsia="Times New Roman" w:cs="Times New Roman"/>
      <w:color w:val="000000"/>
      <w:sz w:val="22"/>
      <w:szCs w:val="20"/>
    </w:rPr>
  </w:style>
  <w:style w:type="paragraph" w:customStyle="1" w:styleId="Bullet">
    <w:name w:val="Bullet"/>
    <w:basedOn w:val="Normal"/>
    <w:qFormat/>
    <w:rsid w:val="00C324F3"/>
    <w:pPr>
      <w:spacing w:after="120"/>
    </w:pPr>
    <w:rPr>
      <w:rFonts w:eastAsia="Times New Roman" w:cs="Times New Roman"/>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14117">
      <w:bodyDiv w:val="1"/>
      <w:marLeft w:val="0"/>
      <w:marRight w:val="0"/>
      <w:marTop w:val="0"/>
      <w:marBottom w:val="0"/>
      <w:divBdr>
        <w:top w:val="none" w:sz="0" w:space="0" w:color="auto"/>
        <w:left w:val="none" w:sz="0" w:space="0" w:color="auto"/>
        <w:bottom w:val="none" w:sz="0" w:space="0" w:color="auto"/>
        <w:right w:val="none" w:sz="0" w:space="0" w:color="auto"/>
      </w:divBdr>
    </w:div>
    <w:div w:id="34699048">
      <w:bodyDiv w:val="1"/>
      <w:marLeft w:val="0"/>
      <w:marRight w:val="0"/>
      <w:marTop w:val="0"/>
      <w:marBottom w:val="0"/>
      <w:divBdr>
        <w:top w:val="none" w:sz="0" w:space="0" w:color="auto"/>
        <w:left w:val="none" w:sz="0" w:space="0" w:color="auto"/>
        <w:bottom w:val="none" w:sz="0" w:space="0" w:color="auto"/>
        <w:right w:val="none" w:sz="0" w:space="0" w:color="auto"/>
      </w:divBdr>
    </w:div>
    <w:div w:id="36708890">
      <w:bodyDiv w:val="1"/>
      <w:marLeft w:val="0"/>
      <w:marRight w:val="0"/>
      <w:marTop w:val="0"/>
      <w:marBottom w:val="0"/>
      <w:divBdr>
        <w:top w:val="none" w:sz="0" w:space="0" w:color="auto"/>
        <w:left w:val="none" w:sz="0" w:space="0" w:color="auto"/>
        <w:bottom w:val="none" w:sz="0" w:space="0" w:color="auto"/>
        <w:right w:val="none" w:sz="0" w:space="0" w:color="auto"/>
      </w:divBdr>
    </w:div>
    <w:div w:id="41176215">
      <w:bodyDiv w:val="1"/>
      <w:marLeft w:val="0"/>
      <w:marRight w:val="0"/>
      <w:marTop w:val="0"/>
      <w:marBottom w:val="0"/>
      <w:divBdr>
        <w:top w:val="none" w:sz="0" w:space="0" w:color="auto"/>
        <w:left w:val="none" w:sz="0" w:space="0" w:color="auto"/>
        <w:bottom w:val="none" w:sz="0" w:space="0" w:color="auto"/>
        <w:right w:val="none" w:sz="0" w:space="0" w:color="auto"/>
      </w:divBdr>
      <w:divsChild>
        <w:div w:id="2023897359">
          <w:marLeft w:val="0"/>
          <w:marRight w:val="0"/>
          <w:marTop w:val="0"/>
          <w:marBottom w:val="0"/>
          <w:divBdr>
            <w:top w:val="none" w:sz="0" w:space="0" w:color="auto"/>
            <w:left w:val="none" w:sz="0" w:space="0" w:color="auto"/>
            <w:bottom w:val="none" w:sz="0" w:space="0" w:color="auto"/>
            <w:right w:val="none" w:sz="0" w:space="0" w:color="auto"/>
          </w:divBdr>
          <w:divsChild>
            <w:div w:id="1352994116">
              <w:marLeft w:val="0"/>
              <w:marRight w:val="0"/>
              <w:marTop w:val="0"/>
              <w:marBottom w:val="0"/>
              <w:divBdr>
                <w:top w:val="none" w:sz="0" w:space="0" w:color="auto"/>
                <w:left w:val="none" w:sz="0" w:space="0" w:color="auto"/>
                <w:bottom w:val="none" w:sz="0" w:space="0" w:color="auto"/>
                <w:right w:val="none" w:sz="0" w:space="0" w:color="auto"/>
              </w:divBdr>
              <w:divsChild>
                <w:div w:id="84721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2012">
      <w:bodyDiv w:val="1"/>
      <w:marLeft w:val="0"/>
      <w:marRight w:val="0"/>
      <w:marTop w:val="0"/>
      <w:marBottom w:val="0"/>
      <w:divBdr>
        <w:top w:val="none" w:sz="0" w:space="0" w:color="auto"/>
        <w:left w:val="none" w:sz="0" w:space="0" w:color="auto"/>
        <w:bottom w:val="none" w:sz="0" w:space="0" w:color="auto"/>
        <w:right w:val="none" w:sz="0" w:space="0" w:color="auto"/>
      </w:divBdr>
    </w:div>
    <w:div w:id="54623965">
      <w:bodyDiv w:val="1"/>
      <w:marLeft w:val="0"/>
      <w:marRight w:val="0"/>
      <w:marTop w:val="0"/>
      <w:marBottom w:val="0"/>
      <w:divBdr>
        <w:top w:val="none" w:sz="0" w:space="0" w:color="auto"/>
        <w:left w:val="none" w:sz="0" w:space="0" w:color="auto"/>
        <w:bottom w:val="none" w:sz="0" w:space="0" w:color="auto"/>
        <w:right w:val="none" w:sz="0" w:space="0" w:color="auto"/>
      </w:divBdr>
    </w:div>
    <w:div w:id="58672799">
      <w:bodyDiv w:val="1"/>
      <w:marLeft w:val="0"/>
      <w:marRight w:val="0"/>
      <w:marTop w:val="0"/>
      <w:marBottom w:val="0"/>
      <w:divBdr>
        <w:top w:val="none" w:sz="0" w:space="0" w:color="auto"/>
        <w:left w:val="none" w:sz="0" w:space="0" w:color="auto"/>
        <w:bottom w:val="none" w:sz="0" w:space="0" w:color="auto"/>
        <w:right w:val="none" w:sz="0" w:space="0" w:color="auto"/>
      </w:divBdr>
    </w:div>
    <w:div w:id="60103778">
      <w:bodyDiv w:val="1"/>
      <w:marLeft w:val="0"/>
      <w:marRight w:val="0"/>
      <w:marTop w:val="0"/>
      <w:marBottom w:val="0"/>
      <w:divBdr>
        <w:top w:val="none" w:sz="0" w:space="0" w:color="auto"/>
        <w:left w:val="none" w:sz="0" w:space="0" w:color="auto"/>
        <w:bottom w:val="none" w:sz="0" w:space="0" w:color="auto"/>
        <w:right w:val="none" w:sz="0" w:space="0" w:color="auto"/>
      </w:divBdr>
    </w:div>
    <w:div w:id="72509304">
      <w:bodyDiv w:val="1"/>
      <w:marLeft w:val="0"/>
      <w:marRight w:val="0"/>
      <w:marTop w:val="0"/>
      <w:marBottom w:val="0"/>
      <w:divBdr>
        <w:top w:val="none" w:sz="0" w:space="0" w:color="auto"/>
        <w:left w:val="none" w:sz="0" w:space="0" w:color="auto"/>
        <w:bottom w:val="none" w:sz="0" w:space="0" w:color="auto"/>
        <w:right w:val="none" w:sz="0" w:space="0" w:color="auto"/>
      </w:divBdr>
    </w:div>
    <w:div w:id="109127806">
      <w:bodyDiv w:val="1"/>
      <w:marLeft w:val="0"/>
      <w:marRight w:val="0"/>
      <w:marTop w:val="0"/>
      <w:marBottom w:val="0"/>
      <w:divBdr>
        <w:top w:val="none" w:sz="0" w:space="0" w:color="auto"/>
        <w:left w:val="none" w:sz="0" w:space="0" w:color="auto"/>
        <w:bottom w:val="none" w:sz="0" w:space="0" w:color="auto"/>
        <w:right w:val="none" w:sz="0" w:space="0" w:color="auto"/>
      </w:divBdr>
    </w:div>
    <w:div w:id="109205992">
      <w:bodyDiv w:val="1"/>
      <w:marLeft w:val="0"/>
      <w:marRight w:val="0"/>
      <w:marTop w:val="0"/>
      <w:marBottom w:val="0"/>
      <w:divBdr>
        <w:top w:val="none" w:sz="0" w:space="0" w:color="auto"/>
        <w:left w:val="none" w:sz="0" w:space="0" w:color="auto"/>
        <w:bottom w:val="none" w:sz="0" w:space="0" w:color="auto"/>
        <w:right w:val="none" w:sz="0" w:space="0" w:color="auto"/>
      </w:divBdr>
      <w:divsChild>
        <w:div w:id="758017502">
          <w:marLeft w:val="0"/>
          <w:marRight w:val="0"/>
          <w:marTop w:val="0"/>
          <w:marBottom w:val="0"/>
          <w:divBdr>
            <w:top w:val="none" w:sz="0" w:space="0" w:color="auto"/>
            <w:left w:val="none" w:sz="0" w:space="0" w:color="auto"/>
            <w:bottom w:val="none" w:sz="0" w:space="0" w:color="auto"/>
            <w:right w:val="none" w:sz="0" w:space="0" w:color="auto"/>
          </w:divBdr>
          <w:divsChild>
            <w:div w:id="703024034">
              <w:marLeft w:val="0"/>
              <w:marRight w:val="0"/>
              <w:marTop w:val="0"/>
              <w:marBottom w:val="0"/>
              <w:divBdr>
                <w:top w:val="none" w:sz="0" w:space="0" w:color="auto"/>
                <w:left w:val="none" w:sz="0" w:space="0" w:color="auto"/>
                <w:bottom w:val="none" w:sz="0" w:space="0" w:color="auto"/>
                <w:right w:val="none" w:sz="0" w:space="0" w:color="auto"/>
              </w:divBdr>
              <w:divsChild>
                <w:div w:id="29304225">
                  <w:marLeft w:val="0"/>
                  <w:marRight w:val="0"/>
                  <w:marTop w:val="0"/>
                  <w:marBottom w:val="0"/>
                  <w:divBdr>
                    <w:top w:val="none" w:sz="0" w:space="0" w:color="auto"/>
                    <w:left w:val="none" w:sz="0" w:space="0" w:color="auto"/>
                    <w:bottom w:val="none" w:sz="0" w:space="0" w:color="auto"/>
                    <w:right w:val="none" w:sz="0" w:space="0" w:color="auto"/>
                  </w:divBdr>
                  <w:divsChild>
                    <w:div w:id="166474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104500">
      <w:bodyDiv w:val="1"/>
      <w:marLeft w:val="0"/>
      <w:marRight w:val="0"/>
      <w:marTop w:val="0"/>
      <w:marBottom w:val="0"/>
      <w:divBdr>
        <w:top w:val="none" w:sz="0" w:space="0" w:color="auto"/>
        <w:left w:val="none" w:sz="0" w:space="0" w:color="auto"/>
        <w:bottom w:val="none" w:sz="0" w:space="0" w:color="auto"/>
        <w:right w:val="none" w:sz="0" w:space="0" w:color="auto"/>
      </w:divBdr>
    </w:div>
    <w:div w:id="160969433">
      <w:bodyDiv w:val="1"/>
      <w:marLeft w:val="0"/>
      <w:marRight w:val="0"/>
      <w:marTop w:val="0"/>
      <w:marBottom w:val="0"/>
      <w:divBdr>
        <w:top w:val="none" w:sz="0" w:space="0" w:color="auto"/>
        <w:left w:val="none" w:sz="0" w:space="0" w:color="auto"/>
        <w:bottom w:val="none" w:sz="0" w:space="0" w:color="auto"/>
        <w:right w:val="none" w:sz="0" w:space="0" w:color="auto"/>
      </w:divBdr>
    </w:div>
    <w:div w:id="179321071">
      <w:bodyDiv w:val="1"/>
      <w:marLeft w:val="0"/>
      <w:marRight w:val="0"/>
      <w:marTop w:val="0"/>
      <w:marBottom w:val="0"/>
      <w:divBdr>
        <w:top w:val="none" w:sz="0" w:space="0" w:color="auto"/>
        <w:left w:val="none" w:sz="0" w:space="0" w:color="auto"/>
        <w:bottom w:val="none" w:sz="0" w:space="0" w:color="auto"/>
        <w:right w:val="none" w:sz="0" w:space="0" w:color="auto"/>
      </w:divBdr>
    </w:div>
    <w:div w:id="187915759">
      <w:bodyDiv w:val="1"/>
      <w:marLeft w:val="0"/>
      <w:marRight w:val="0"/>
      <w:marTop w:val="0"/>
      <w:marBottom w:val="0"/>
      <w:divBdr>
        <w:top w:val="none" w:sz="0" w:space="0" w:color="auto"/>
        <w:left w:val="none" w:sz="0" w:space="0" w:color="auto"/>
        <w:bottom w:val="none" w:sz="0" w:space="0" w:color="auto"/>
        <w:right w:val="none" w:sz="0" w:space="0" w:color="auto"/>
      </w:divBdr>
    </w:div>
    <w:div w:id="235752398">
      <w:bodyDiv w:val="1"/>
      <w:marLeft w:val="0"/>
      <w:marRight w:val="0"/>
      <w:marTop w:val="0"/>
      <w:marBottom w:val="0"/>
      <w:divBdr>
        <w:top w:val="none" w:sz="0" w:space="0" w:color="auto"/>
        <w:left w:val="none" w:sz="0" w:space="0" w:color="auto"/>
        <w:bottom w:val="none" w:sz="0" w:space="0" w:color="auto"/>
        <w:right w:val="none" w:sz="0" w:space="0" w:color="auto"/>
      </w:divBdr>
    </w:div>
    <w:div w:id="242762550">
      <w:bodyDiv w:val="1"/>
      <w:marLeft w:val="0"/>
      <w:marRight w:val="0"/>
      <w:marTop w:val="0"/>
      <w:marBottom w:val="0"/>
      <w:divBdr>
        <w:top w:val="none" w:sz="0" w:space="0" w:color="auto"/>
        <w:left w:val="none" w:sz="0" w:space="0" w:color="auto"/>
        <w:bottom w:val="none" w:sz="0" w:space="0" w:color="auto"/>
        <w:right w:val="none" w:sz="0" w:space="0" w:color="auto"/>
      </w:divBdr>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259416998">
      <w:bodyDiv w:val="1"/>
      <w:marLeft w:val="0"/>
      <w:marRight w:val="0"/>
      <w:marTop w:val="0"/>
      <w:marBottom w:val="0"/>
      <w:divBdr>
        <w:top w:val="none" w:sz="0" w:space="0" w:color="auto"/>
        <w:left w:val="none" w:sz="0" w:space="0" w:color="auto"/>
        <w:bottom w:val="none" w:sz="0" w:space="0" w:color="auto"/>
        <w:right w:val="none" w:sz="0" w:space="0" w:color="auto"/>
      </w:divBdr>
    </w:div>
    <w:div w:id="275140279">
      <w:bodyDiv w:val="1"/>
      <w:marLeft w:val="0"/>
      <w:marRight w:val="0"/>
      <w:marTop w:val="0"/>
      <w:marBottom w:val="0"/>
      <w:divBdr>
        <w:top w:val="none" w:sz="0" w:space="0" w:color="auto"/>
        <w:left w:val="none" w:sz="0" w:space="0" w:color="auto"/>
        <w:bottom w:val="none" w:sz="0" w:space="0" w:color="auto"/>
        <w:right w:val="none" w:sz="0" w:space="0" w:color="auto"/>
      </w:divBdr>
    </w:div>
    <w:div w:id="278419573">
      <w:bodyDiv w:val="1"/>
      <w:marLeft w:val="0"/>
      <w:marRight w:val="0"/>
      <w:marTop w:val="0"/>
      <w:marBottom w:val="0"/>
      <w:divBdr>
        <w:top w:val="none" w:sz="0" w:space="0" w:color="auto"/>
        <w:left w:val="none" w:sz="0" w:space="0" w:color="auto"/>
        <w:bottom w:val="none" w:sz="0" w:space="0" w:color="auto"/>
        <w:right w:val="none" w:sz="0" w:space="0" w:color="auto"/>
      </w:divBdr>
    </w:div>
    <w:div w:id="323514875">
      <w:bodyDiv w:val="1"/>
      <w:marLeft w:val="0"/>
      <w:marRight w:val="0"/>
      <w:marTop w:val="0"/>
      <w:marBottom w:val="0"/>
      <w:divBdr>
        <w:top w:val="none" w:sz="0" w:space="0" w:color="auto"/>
        <w:left w:val="none" w:sz="0" w:space="0" w:color="auto"/>
        <w:bottom w:val="none" w:sz="0" w:space="0" w:color="auto"/>
        <w:right w:val="none" w:sz="0" w:space="0" w:color="auto"/>
      </w:divBdr>
    </w:div>
    <w:div w:id="330528777">
      <w:bodyDiv w:val="1"/>
      <w:marLeft w:val="0"/>
      <w:marRight w:val="0"/>
      <w:marTop w:val="0"/>
      <w:marBottom w:val="0"/>
      <w:divBdr>
        <w:top w:val="none" w:sz="0" w:space="0" w:color="auto"/>
        <w:left w:val="none" w:sz="0" w:space="0" w:color="auto"/>
        <w:bottom w:val="none" w:sz="0" w:space="0" w:color="auto"/>
        <w:right w:val="none" w:sz="0" w:space="0" w:color="auto"/>
      </w:divBdr>
    </w:div>
    <w:div w:id="337582274">
      <w:bodyDiv w:val="1"/>
      <w:marLeft w:val="0"/>
      <w:marRight w:val="0"/>
      <w:marTop w:val="0"/>
      <w:marBottom w:val="0"/>
      <w:divBdr>
        <w:top w:val="none" w:sz="0" w:space="0" w:color="auto"/>
        <w:left w:val="none" w:sz="0" w:space="0" w:color="auto"/>
        <w:bottom w:val="none" w:sz="0" w:space="0" w:color="auto"/>
        <w:right w:val="none" w:sz="0" w:space="0" w:color="auto"/>
      </w:divBdr>
    </w:div>
    <w:div w:id="339889787">
      <w:bodyDiv w:val="1"/>
      <w:marLeft w:val="0"/>
      <w:marRight w:val="0"/>
      <w:marTop w:val="0"/>
      <w:marBottom w:val="0"/>
      <w:divBdr>
        <w:top w:val="none" w:sz="0" w:space="0" w:color="auto"/>
        <w:left w:val="none" w:sz="0" w:space="0" w:color="auto"/>
        <w:bottom w:val="none" w:sz="0" w:space="0" w:color="auto"/>
        <w:right w:val="none" w:sz="0" w:space="0" w:color="auto"/>
      </w:divBdr>
    </w:div>
    <w:div w:id="362217625">
      <w:bodyDiv w:val="1"/>
      <w:marLeft w:val="0"/>
      <w:marRight w:val="0"/>
      <w:marTop w:val="0"/>
      <w:marBottom w:val="0"/>
      <w:divBdr>
        <w:top w:val="none" w:sz="0" w:space="0" w:color="auto"/>
        <w:left w:val="none" w:sz="0" w:space="0" w:color="auto"/>
        <w:bottom w:val="none" w:sz="0" w:space="0" w:color="auto"/>
        <w:right w:val="none" w:sz="0" w:space="0" w:color="auto"/>
      </w:divBdr>
    </w:div>
    <w:div w:id="366221071">
      <w:bodyDiv w:val="1"/>
      <w:marLeft w:val="0"/>
      <w:marRight w:val="0"/>
      <w:marTop w:val="0"/>
      <w:marBottom w:val="0"/>
      <w:divBdr>
        <w:top w:val="none" w:sz="0" w:space="0" w:color="auto"/>
        <w:left w:val="none" w:sz="0" w:space="0" w:color="auto"/>
        <w:bottom w:val="none" w:sz="0" w:space="0" w:color="auto"/>
        <w:right w:val="none" w:sz="0" w:space="0" w:color="auto"/>
      </w:divBdr>
    </w:div>
    <w:div w:id="366952287">
      <w:bodyDiv w:val="1"/>
      <w:marLeft w:val="0"/>
      <w:marRight w:val="0"/>
      <w:marTop w:val="0"/>
      <w:marBottom w:val="0"/>
      <w:divBdr>
        <w:top w:val="none" w:sz="0" w:space="0" w:color="auto"/>
        <w:left w:val="none" w:sz="0" w:space="0" w:color="auto"/>
        <w:bottom w:val="none" w:sz="0" w:space="0" w:color="auto"/>
        <w:right w:val="none" w:sz="0" w:space="0" w:color="auto"/>
      </w:divBdr>
    </w:div>
    <w:div w:id="370883335">
      <w:bodyDiv w:val="1"/>
      <w:marLeft w:val="0"/>
      <w:marRight w:val="0"/>
      <w:marTop w:val="0"/>
      <w:marBottom w:val="0"/>
      <w:divBdr>
        <w:top w:val="none" w:sz="0" w:space="0" w:color="auto"/>
        <w:left w:val="none" w:sz="0" w:space="0" w:color="auto"/>
        <w:bottom w:val="none" w:sz="0" w:space="0" w:color="auto"/>
        <w:right w:val="none" w:sz="0" w:space="0" w:color="auto"/>
      </w:divBdr>
    </w:div>
    <w:div w:id="37469331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39578835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410005581">
      <w:bodyDiv w:val="1"/>
      <w:marLeft w:val="0"/>
      <w:marRight w:val="0"/>
      <w:marTop w:val="0"/>
      <w:marBottom w:val="0"/>
      <w:divBdr>
        <w:top w:val="none" w:sz="0" w:space="0" w:color="auto"/>
        <w:left w:val="none" w:sz="0" w:space="0" w:color="auto"/>
        <w:bottom w:val="none" w:sz="0" w:space="0" w:color="auto"/>
        <w:right w:val="none" w:sz="0" w:space="0" w:color="auto"/>
      </w:divBdr>
    </w:div>
    <w:div w:id="421336464">
      <w:bodyDiv w:val="1"/>
      <w:marLeft w:val="0"/>
      <w:marRight w:val="0"/>
      <w:marTop w:val="0"/>
      <w:marBottom w:val="0"/>
      <w:divBdr>
        <w:top w:val="none" w:sz="0" w:space="0" w:color="auto"/>
        <w:left w:val="none" w:sz="0" w:space="0" w:color="auto"/>
        <w:bottom w:val="none" w:sz="0" w:space="0" w:color="auto"/>
        <w:right w:val="none" w:sz="0" w:space="0" w:color="auto"/>
      </w:divBdr>
    </w:div>
    <w:div w:id="426075314">
      <w:bodyDiv w:val="1"/>
      <w:marLeft w:val="0"/>
      <w:marRight w:val="0"/>
      <w:marTop w:val="0"/>
      <w:marBottom w:val="0"/>
      <w:divBdr>
        <w:top w:val="none" w:sz="0" w:space="0" w:color="auto"/>
        <w:left w:val="none" w:sz="0" w:space="0" w:color="auto"/>
        <w:bottom w:val="none" w:sz="0" w:space="0" w:color="auto"/>
        <w:right w:val="none" w:sz="0" w:space="0" w:color="auto"/>
      </w:divBdr>
    </w:div>
    <w:div w:id="429081010">
      <w:bodyDiv w:val="1"/>
      <w:marLeft w:val="0"/>
      <w:marRight w:val="0"/>
      <w:marTop w:val="0"/>
      <w:marBottom w:val="0"/>
      <w:divBdr>
        <w:top w:val="none" w:sz="0" w:space="0" w:color="auto"/>
        <w:left w:val="none" w:sz="0" w:space="0" w:color="auto"/>
        <w:bottom w:val="none" w:sz="0" w:space="0" w:color="auto"/>
        <w:right w:val="none" w:sz="0" w:space="0" w:color="auto"/>
      </w:divBdr>
    </w:div>
    <w:div w:id="436679970">
      <w:bodyDiv w:val="1"/>
      <w:marLeft w:val="0"/>
      <w:marRight w:val="0"/>
      <w:marTop w:val="0"/>
      <w:marBottom w:val="0"/>
      <w:divBdr>
        <w:top w:val="none" w:sz="0" w:space="0" w:color="auto"/>
        <w:left w:val="none" w:sz="0" w:space="0" w:color="auto"/>
        <w:bottom w:val="none" w:sz="0" w:space="0" w:color="auto"/>
        <w:right w:val="none" w:sz="0" w:space="0" w:color="auto"/>
      </w:divBdr>
    </w:div>
    <w:div w:id="438795002">
      <w:bodyDiv w:val="1"/>
      <w:marLeft w:val="0"/>
      <w:marRight w:val="0"/>
      <w:marTop w:val="0"/>
      <w:marBottom w:val="0"/>
      <w:divBdr>
        <w:top w:val="none" w:sz="0" w:space="0" w:color="auto"/>
        <w:left w:val="none" w:sz="0" w:space="0" w:color="auto"/>
        <w:bottom w:val="none" w:sz="0" w:space="0" w:color="auto"/>
        <w:right w:val="none" w:sz="0" w:space="0" w:color="auto"/>
      </w:divBdr>
    </w:div>
    <w:div w:id="440497189">
      <w:bodyDiv w:val="1"/>
      <w:marLeft w:val="0"/>
      <w:marRight w:val="0"/>
      <w:marTop w:val="0"/>
      <w:marBottom w:val="0"/>
      <w:divBdr>
        <w:top w:val="none" w:sz="0" w:space="0" w:color="auto"/>
        <w:left w:val="none" w:sz="0" w:space="0" w:color="auto"/>
        <w:bottom w:val="none" w:sz="0" w:space="0" w:color="auto"/>
        <w:right w:val="none" w:sz="0" w:space="0" w:color="auto"/>
      </w:divBdr>
    </w:div>
    <w:div w:id="453595291">
      <w:bodyDiv w:val="1"/>
      <w:marLeft w:val="0"/>
      <w:marRight w:val="0"/>
      <w:marTop w:val="0"/>
      <w:marBottom w:val="0"/>
      <w:divBdr>
        <w:top w:val="none" w:sz="0" w:space="0" w:color="auto"/>
        <w:left w:val="none" w:sz="0" w:space="0" w:color="auto"/>
        <w:bottom w:val="none" w:sz="0" w:space="0" w:color="auto"/>
        <w:right w:val="none" w:sz="0" w:space="0" w:color="auto"/>
      </w:divBdr>
      <w:divsChild>
        <w:div w:id="936911378">
          <w:marLeft w:val="0"/>
          <w:marRight w:val="0"/>
          <w:marTop w:val="0"/>
          <w:marBottom w:val="0"/>
          <w:divBdr>
            <w:top w:val="none" w:sz="0" w:space="0" w:color="auto"/>
            <w:left w:val="none" w:sz="0" w:space="0" w:color="auto"/>
            <w:bottom w:val="none" w:sz="0" w:space="0" w:color="auto"/>
            <w:right w:val="none" w:sz="0" w:space="0" w:color="auto"/>
          </w:divBdr>
          <w:divsChild>
            <w:div w:id="1018656037">
              <w:marLeft w:val="0"/>
              <w:marRight w:val="0"/>
              <w:marTop w:val="0"/>
              <w:marBottom w:val="0"/>
              <w:divBdr>
                <w:top w:val="none" w:sz="0" w:space="0" w:color="auto"/>
                <w:left w:val="none" w:sz="0" w:space="0" w:color="auto"/>
                <w:bottom w:val="none" w:sz="0" w:space="0" w:color="auto"/>
                <w:right w:val="none" w:sz="0" w:space="0" w:color="auto"/>
              </w:divBdr>
              <w:divsChild>
                <w:div w:id="122109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29615">
      <w:bodyDiv w:val="1"/>
      <w:marLeft w:val="0"/>
      <w:marRight w:val="0"/>
      <w:marTop w:val="0"/>
      <w:marBottom w:val="0"/>
      <w:divBdr>
        <w:top w:val="none" w:sz="0" w:space="0" w:color="auto"/>
        <w:left w:val="none" w:sz="0" w:space="0" w:color="auto"/>
        <w:bottom w:val="none" w:sz="0" w:space="0" w:color="auto"/>
        <w:right w:val="none" w:sz="0" w:space="0" w:color="auto"/>
      </w:divBdr>
    </w:div>
    <w:div w:id="499196987">
      <w:bodyDiv w:val="1"/>
      <w:marLeft w:val="0"/>
      <w:marRight w:val="0"/>
      <w:marTop w:val="0"/>
      <w:marBottom w:val="0"/>
      <w:divBdr>
        <w:top w:val="none" w:sz="0" w:space="0" w:color="auto"/>
        <w:left w:val="none" w:sz="0" w:space="0" w:color="auto"/>
        <w:bottom w:val="none" w:sz="0" w:space="0" w:color="auto"/>
        <w:right w:val="none" w:sz="0" w:space="0" w:color="auto"/>
      </w:divBdr>
    </w:div>
    <w:div w:id="513302806">
      <w:bodyDiv w:val="1"/>
      <w:marLeft w:val="0"/>
      <w:marRight w:val="0"/>
      <w:marTop w:val="0"/>
      <w:marBottom w:val="0"/>
      <w:divBdr>
        <w:top w:val="none" w:sz="0" w:space="0" w:color="auto"/>
        <w:left w:val="none" w:sz="0" w:space="0" w:color="auto"/>
        <w:bottom w:val="none" w:sz="0" w:space="0" w:color="auto"/>
        <w:right w:val="none" w:sz="0" w:space="0" w:color="auto"/>
      </w:divBdr>
    </w:div>
    <w:div w:id="524631685">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31504456">
      <w:bodyDiv w:val="1"/>
      <w:marLeft w:val="0"/>
      <w:marRight w:val="0"/>
      <w:marTop w:val="0"/>
      <w:marBottom w:val="0"/>
      <w:divBdr>
        <w:top w:val="none" w:sz="0" w:space="0" w:color="auto"/>
        <w:left w:val="none" w:sz="0" w:space="0" w:color="auto"/>
        <w:bottom w:val="none" w:sz="0" w:space="0" w:color="auto"/>
        <w:right w:val="none" w:sz="0" w:space="0" w:color="auto"/>
      </w:divBdr>
    </w:div>
    <w:div w:id="533230045">
      <w:bodyDiv w:val="1"/>
      <w:marLeft w:val="0"/>
      <w:marRight w:val="0"/>
      <w:marTop w:val="0"/>
      <w:marBottom w:val="0"/>
      <w:divBdr>
        <w:top w:val="none" w:sz="0" w:space="0" w:color="auto"/>
        <w:left w:val="none" w:sz="0" w:space="0" w:color="auto"/>
        <w:bottom w:val="none" w:sz="0" w:space="0" w:color="auto"/>
        <w:right w:val="none" w:sz="0" w:space="0" w:color="auto"/>
      </w:divBdr>
    </w:div>
    <w:div w:id="538978521">
      <w:bodyDiv w:val="1"/>
      <w:marLeft w:val="0"/>
      <w:marRight w:val="0"/>
      <w:marTop w:val="0"/>
      <w:marBottom w:val="0"/>
      <w:divBdr>
        <w:top w:val="none" w:sz="0" w:space="0" w:color="auto"/>
        <w:left w:val="none" w:sz="0" w:space="0" w:color="auto"/>
        <w:bottom w:val="none" w:sz="0" w:space="0" w:color="auto"/>
        <w:right w:val="none" w:sz="0" w:space="0" w:color="auto"/>
      </w:divBdr>
    </w:div>
    <w:div w:id="551159037">
      <w:bodyDiv w:val="1"/>
      <w:marLeft w:val="0"/>
      <w:marRight w:val="0"/>
      <w:marTop w:val="0"/>
      <w:marBottom w:val="0"/>
      <w:divBdr>
        <w:top w:val="none" w:sz="0" w:space="0" w:color="auto"/>
        <w:left w:val="none" w:sz="0" w:space="0" w:color="auto"/>
        <w:bottom w:val="none" w:sz="0" w:space="0" w:color="auto"/>
        <w:right w:val="none" w:sz="0" w:space="0" w:color="auto"/>
      </w:divBdr>
    </w:div>
    <w:div w:id="559288791">
      <w:bodyDiv w:val="1"/>
      <w:marLeft w:val="0"/>
      <w:marRight w:val="0"/>
      <w:marTop w:val="0"/>
      <w:marBottom w:val="0"/>
      <w:divBdr>
        <w:top w:val="none" w:sz="0" w:space="0" w:color="auto"/>
        <w:left w:val="none" w:sz="0" w:space="0" w:color="auto"/>
        <w:bottom w:val="none" w:sz="0" w:space="0" w:color="auto"/>
        <w:right w:val="none" w:sz="0" w:space="0" w:color="auto"/>
      </w:divBdr>
    </w:div>
    <w:div w:id="574780738">
      <w:bodyDiv w:val="1"/>
      <w:marLeft w:val="0"/>
      <w:marRight w:val="0"/>
      <w:marTop w:val="0"/>
      <w:marBottom w:val="0"/>
      <w:divBdr>
        <w:top w:val="none" w:sz="0" w:space="0" w:color="auto"/>
        <w:left w:val="none" w:sz="0" w:space="0" w:color="auto"/>
        <w:bottom w:val="none" w:sz="0" w:space="0" w:color="auto"/>
        <w:right w:val="none" w:sz="0" w:space="0" w:color="auto"/>
      </w:divBdr>
      <w:divsChild>
        <w:div w:id="1346784903">
          <w:marLeft w:val="0"/>
          <w:marRight w:val="0"/>
          <w:marTop w:val="0"/>
          <w:marBottom w:val="0"/>
          <w:divBdr>
            <w:top w:val="none" w:sz="0" w:space="0" w:color="auto"/>
            <w:left w:val="none" w:sz="0" w:space="0" w:color="auto"/>
            <w:bottom w:val="none" w:sz="0" w:space="0" w:color="auto"/>
            <w:right w:val="none" w:sz="0" w:space="0" w:color="auto"/>
          </w:divBdr>
          <w:divsChild>
            <w:div w:id="2053723307">
              <w:marLeft w:val="0"/>
              <w:marRight w:val="0"/>
              <w:marTop w:val="0"/>
              <w:marBottom w:val="0"/>
              <w:divBdr>
                <w:top w:val="none" w:sz="0" w:space="0" w:color="auto"/>
                <w:left w:val="none" w:sz="0" w:space="0" w:color="auto"/>
                <w:bottom w:val="none" w:sz="0" w:space="0" w:color="auto"/>
                <w:right w:val="none" w:sz="0" w:space="0" w:color="auto"/>
              </w:divBdr>
              <w:divsChild>
                <w:div w:id="79930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371702">
      <w:bodyDiv w:val="1"/>
      <w:marLeft w:val="0"/>
      <w:marRight w:val="0"/>
      <w:marTop w:val="0"/>
      <w:marBottom w:val="0"/>
      <w:divBdr>
        <w:top w:val="none" w:sz="0" w:space="0" w:color="auto"/>
        <w:left w:val="none" w:sz="0" w:space="0" w:color="auto"/>
        <w:bottom w:val="none" w:sz="0" w:space="0" w:color="auto"/>
        <w:right w:val="none" w:sz="0" w:space="0" w:color="auto"/>
      </w:divBdr>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27854315">
      <w:bodyDiv w:val="1"/>
      <w:marLeft w:val="0"/>
      <w:marRight w:val="0"/>
      <w:marTop w:val="0"/>
      <w:marBottom w:val="0"/>
      <w:divBdr>
        <w:top w:val="none" w:sz="0" w:space="0" w:color="auto"/>
        <w:left w:val="none" w:sz="0" w:space="0" w:color="auto"/>
        <w:bottom w:val="none" w:sz="0" w:space="0" w:color="auto"/>
        <w:right w:val="none" w:sz="0" w:space="0" w:color="auto"/>
      </w:divBdr>
    </w:div>
    <w:div w:id="636952163">
      <w:bodyDiv w:val="1"/>
      <w:marLeft w:val="0"/>
      <w:marRight w:val="0"/>
      <w:marTop w:val="0"/>
      <w:marBottom w:val="0"/>
      <w:divBdr>
        <w:top w:val="none" w:sz="0" w:space="0" w:color="auto"/>
        <w:left w:val="none" w:sz="0" w:space="0" w:color="auto"/>
        <w:bottom w:val="none" w:sz="0" w:space="0" w:color="auto"/>
        <w:right w:val="none" w:sz="0" w:space="0" w:color="auto"/>
      </w:divBdr>
    </w:div>
    <w:div w:id="645016524">
      <w:bodyDiv w:val="1"/>
      <w:marLeft w:val="0"/>
      <w:marRight w:val="0"/>
      <w:marTop w:val="0"/>
      <w:marBottom w:val="0"/>
      <w:divBdr>
        <w:top w:val="none" w:sz="0" w:space="0" w:color="auto"/>
        <w:left w:val="none" w:sz="0" w:space="0" w:color="auto"/>
        <w:bottom w:val="none" w:sz="0" w:space="0" w:color="auto"/>
        <w:right w:val="none" w:sz="0" w:space="0" w:color="auto"/>
      </w:divBdr>
      <w:divsChild>
        <w:div w:id="1627075929">
          <w:marLeft w:val="0"/>
          <w:marRight w:val="0"/>
          <w:marTop w:val="0"/>
          <w:marBottom w:val="0"/>
          <w:divBdr>
            <w:top w:val="none" w:sz="0" w:space="0" w:color="auto"/>
            <w:left w:val="none" w:sz="0" w:space="0" w:color="auto"/>
            <w:bottom w:val="none" w:sz="0" w:space="0" w:color="auto"/>
            <w:right w:val="none" w:sz="0" w:space="0" w:color="auto"/>
          </w:divBdr>
          <w:divsChild>
            <w:div w:id="313335499">
              <w:marLeft w:val="0"/>
              <w:marRight w:val="0"/>
              <w:marTop w:val="0"/>
              <w:marBottom w:val="0"/>
              <w:divBdr>
                <w:top w:val="none" w:sz="0" w:space="0" w:color="auto"/>
                <w:left w:val="none" w:sz="0" w:space="0" w:color="auto"/>
                <w:bottom w:val="none" w:sz="0" w:space="0" w:color="auto"/>
                <w:right w:val="none" w:sz="0" w:space="0" w:color="auto"/>
              </w:divBdr>
              <w:divsChild>
                <w:div w:id="212522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64477190">
      <w:bodyDiv w:val="1"/>
      <w:marLeft w:val="0"/>
      <w:marRight w:val="0"/>
      <w:marTop w:val="0"/>
      <w:marBottom w:val="0"/>
      <w:divBdr>
        <w:top w:val="none" w:sz="0" w:space="0" w:color="auto"/>
        <w:left w:val="none" w:sz="0" w:space="0" w:color="auto"/>
        <w:bottom w:val="none" w:sz="0" w:space="0" w:color="auto"/>
        <w:right w:val="none" w:sz="0" w:space="0" w:color="auto"/>
      </w:divBdr>
    </w:div>
    <w:div w:id="67360632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13385382">
      <w:bodyDiv w:val="1"/>
      <w:marLeft w:val="0"/>
      <w:marRight w:val="0"/>
      <w:marTop w:val="0"/>
      <w:marBottom w:val="0"/>
      <w:divBdr>
        <w:top w:val="none" w:sz="0" w:space="0" w:color="auto"/>
        <w:left w:val="none" w:sz="0" w:space="0" w:color="auto"/>
        <w:bottom w:val="none" w:sz="0" w:space="0" w:color="auto"/>
        <w:right w:val="none" w:sz="0" w:space="0" w:color="auto"/>
      </w:divBdr>
    </w:div>
    <w:div w:id="713702019">
      <w:bodyDiv w:val="1"/>
      <w:marLeft w:val="0"/>
      <w:marRight w:val="0"/>
      <w:marTop w:val="0"/>
      <w:marBottom w:val="0"/>
      <w:divBdr>
        <w:top w:val="none" w:sz="0" w:space="0" w:color="auto"/>
        <w:left w:val="none" w:sz="0" w:space="0" w:color="auto"/>
        <w:bottom w:val="none" w:sz="0" w:space="0" w:color="auto"/>
        <w:right w:val="none" w:sz="0" w:space="0" w:color="auto"/>
      </w:divBdr>
    </w:div>
    <w:div w:id="71866991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814107614">
      <w:bodyDiv w:val="1"/>
      <w:marLeft w:val="0"/>
      <w:marRight w:val="0"/>
      <w:marTop w:val="0"/>
      <w:marBottom w:val="0"/>
      <w:divBdr>
        <w:top w:val="none" w:sz="0" w:space="0" w:color="auto"/>
        <w:left w:val="none" w:sz="0" w:space="0" w:color="auto"/>
        <w:bottom w:val="none" w:sz="0" w:space="0" w:color="auto"/>
        <w:right w:val="none" w:sz="0" w:space="0" w:color="auto"/>
      </w:divBdr>
    </w:div>
    <w:div w:id="816989891">
      <w:bodyDiv w:val="1"/>
      <w:marLeft w:val="0"/>
      <w:marRight w:val="0"/>
      <w:marTop w:val="0"/>
      <w:marBottom w:val="0"/>
      <w:divBdr>
        <w:top w:val="none" w:sz="0" w:space="0" w:color="auto"/>
        <w:left w:val="none" w:sz="0" w:space="0" w:color="auto"/>
        <w:bottom w:val="none" w:sz="0" w:space="0" w:color="auto"/>
        <w:right w:val="none" w:sz="0" w:space="0" w:color="auto"/>
      </w:divBdr>
    </w:div>
    <w:div w:id="821047811">
      <w:bodyDiv w:val="1"/>
      <w:marLeft w:val="0"/>
      <w:marRight w:val="0"/>
      <w:marTop w:val="0"/>
      <w:marBottom w:val="0"/>
      <w:divBdr>
        <w:top w:val="none" w:sz="0" w:space="0" w:color="auto"/>
        <w:left w:val="none" w:sz="0" w:space="0" w:color="auto"/>
        <w:bottom w:val="none" w:sz="0" w:space="0" w:color="auto"/>
        <w:right w:val="none" w:sz="0" w:space="0" w:color="auto"/>
      </w:divBdr>
    </w:div>
    <w:div w:id="836462573">
      <w:bodyDiv w:val="1"/>
      <w:marLeft w:val="0"/>
      <w:marRight w:val="0"/>
      <w:marTop w:val="0"/>
      <w:marBottom w:val="0"/>
      <w:divBdr>
        <w:top w:val="none" w:sz="0" w:space="0" w:color="auto"/>
        <w:left w:val="none" w:sz="0" w:space="0" w:color="auto"/>
        <w:bottom w:val="none" w:sz="0" w:space="0" w:color="auto"/>
        <w:right w:val="none" w:sz="0" w:space="0" w:color="auto"/>
      </w:divBdr>
    </w:div>
    <w:div w:id="859317776">
      <w:bodyDiv w:val="1"/>
      <w:marLeft w:val="0"/>
      <w:marRight w:val="0"/>
      <w:marTop w:val="0"/>
      <w:marBottom w:val="0"/>
      <w:divBdr>
        <w:top w:val="none" w:sz="0" w:space="0" w:color="auto"/>
        <w:left w:val="none" w:sz="0" w:space="0" w:color="auto"/>
        <w:bottom w:val="none" w:sz="0" w:space="0" w:color="auto"/>
        <w:right w:val="none" w:sz="0" w:space="0" w:color="auto"/>
      </w:divBdr>
    </w:div>
    <w:div w:id="868296215">
      <w:bodyDiv w:val="1"/>
      <w:marLeft w:val="0"/>
      <w:marRight w:val="0"/>
      <w:marTop w:val="0"/>
      <w:marBottom w:val="0"/>
      <w:divBdr>
        <w:top w:val="none" w:sz="0" w:space="0" w:color="auto"/>
        <w:left w:val="none" w:sz="0" w:space="0" w:color="auto"/>
        <w:bottom w:val="none" w:sz="0" w:space="0" w:color="auto"/>
        <w:right w:val="none" w:sz="0" w:space="0" w:color="auto"/>
      </w:divBdr>
    </w:div>
    <w:div w:id="869728356">
      <w:bodyDiv w:val="1"/>
      <w:marLeft w:val="0"/>
      <w:marRight w:val="0"/>
      <w:marTop w:val="0"/>
      <w:marBottom w:val="0"/>
      <w:divBdr>
        <w:top w:val="none" w:sz="0" w:space="0" w:color="auto"/>
        <w:left w:val="none" w:sz="0" w:space="0" w:color="auto"/>
        <w:bottom w:val="none" w:sz="0" w:space="0" w:color="auto"/>
        <w:right w:val="none" w:sz="0" w:space="0" w:color="auto"/>
      </w:divBdr>
      <w:divsChild>
        <w:div w:id="1525705176">
          <w:marLeft w:val="0"/>
          <w:marRight w:val="0"/>
          <w:marTop w:val="0"/>
          <w:marBottom w:val="0"/>
          <w:divBdr>
            <w:top w:val="none" w:sz="0" w:space="0" w:color="auto"/>
            <w:left w:val="none" w:sz="0" w:space="0" w:color="auto"/>
            <w:bottom w:val="none" w:sz="0" w:space="0" w:color="auto"/>
            <w:right w:val="none" w:sz="0" w:space="0" w:color="auto"/>
          </w:divBdr>
        </w:div>
      </w:divsChild>
    </w:div>
    <w:div w:id="871460867">
      <w:bodyDiv w:val="1"/>
      <w:marLeft w:val="0"/>
      <w:marRight w:val="0"/>
      <w:marTop w:val="0"/>
      <w:marBottom w:val="0"/>
      <w:divBdr>
        <w:top w:val="none" w:sz="0" w:space="0" w:color="auto"/>
        <w:left w:val="none" w:sz="0" w:space="0" w:color="auto"/>
        <w:bottom w:val="none" w:sz="0" w:space="0" w:color="auto"/>
        <w:right w:val="none" w:sz="0" w:space="0" w:color="auto"/>
      </w:divBdr>
      <w:divsChild>
        <w:div w:id="1647081505">
          <w:marLeft w:val="0"/>
          <w:marRight w:val="0"/>
          <w:marTop w:val="0"/>
          <w:marBottom w:val="0"/>
          <w:divBdr>
            <w:top w:val="none" w:sz="0" w:space="0" w:color="auto"/>
            <w:left w:val="none" w:sz="0" w:space="0" w:color="auto"/>
            <w:bottom w:val="none" w:sz="0" w:space="0" w:color="auto"/>
            <w:right w:val="none" w:sz="0" w:space="0" w:color="auto"/>
          </w:divBdr>
          <w:divsChild>
            <w:div w:id="885265268">
              <w:marLeft w:val="0"/>
              <w:marRight w:val="0"/>
              <w:marTop w:val="0"/>
              <w:marBottom w:val="0"/>
              <w:divBdr>
                <w:top w:val="none" w:sz="0" w:space="0" w:color="auto"/>
                <w:left w:val="none" w:sz="0" w:space="0" w:color="auto"/>
                <w:bottom w:val="none" w:sz="0" w:space="0" w:color="auto"/>
                <w:right w:val="none" w:sz="0" w:space="0" w:color="auto"/>
              </w:divBdr>
              <w:divsChild>
                <w:div w:id="66683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000924">
      <w:bodyDiv w:val="1"/>
      <w:marLeft w:val="0"/>
      <w:marRight w:val="0"/>
      <w:marTop w:val="0"/>
      <w:marBottom w:val="0"/>
      <w:divBdr>
        <w:top w:val="none" w:sz="0" w:space="0" w:color="auto"/>
        <w:left w:val="none" w:sz="0" w:space="0" w:color="auto"/>
        <w:bottom w:val="none" w:sz="0" w:space="0" w:color="auto"/>
        <w:right w:val="none" w:sz="0" w:space="0" w:color="auto"/>
      </w:divBdr>
    </w:div>
    <w:div w:id="888154469">
      <w:bodyDiv w:val="1"/>
      <w:marLeft w:val="0"/>
      <w:marRight w:val="0"/>
      <w:marTop w:val="0"/>
      <w:marBottom w:val="0"/>
      <w:divBdr>
        <w:top w:val="none" w:sz="0" w:space="0" w:color="auto"/>
        <w:left w:val="none" w:sz="0" w:space="0" w:color="auto"/>
        <w:bottom w:val="none" w:sz="0" w:space="0" w:color="auto"/>
        <w:right w:val="none" w:sz="0" w:space="0" w:color="auto"/>
      </w:divBdr>
      <w:divsChild>
        <w:div w:id="1445735438">
          <w:marLeft w:val="0"/>
          <w:marRight w:val="0"/>
          <w:marTop w:val="0"/>
          <w:marBottom w:val="0"/>
          <w:divBdr>
            <w:top w:val="none" w:sz="0" w:space="0" w:color="auto"/>
            <w:left w:val="none" w:sz="0" w:space="0" w:color="auto"/>
            <w:bottom w:val="none" w:sz="0" w:space="0" w:color="auto"/>
            <w:right w:val="none" w:sz="0" w:space="0" w:color="auto"/>
          </w:divBdr>
          <w:divsChild>
            <w:div w:id="623511291">
              <w:marLeft w:val="0"/>
              <w:marRight w:val="0"/>
              <w:marTop w:val="0"/>
              <w:marBottom w:val="0"/>
              <w:divBdr>
                <w:top w:val="none" w:sz="0" w:space="0" w:color="auto"/>
                <w:left w:val="none" w:sz="0" w:space="0" w:color="auto"/>
                <w:bottom w:val="none" w:sz="0" w:space="0" w:color="auto"/>
                <w:right w:val="none" w:sz="0" w:space="0" w:color="auto"/>
              </w:divBdr>
              <w:divsChild>
                <w:div w:id="1511946549">
                  <w:marLeft w:val="0"/>
                  <w:marRight w:val="0"/>
                  <w:marTop w:val="0"/>
                  <w:marBottom w:val="0"/>
                  <w:divBdr>
                    <w:top w:val="none" w:sz="0" w:space="0" w:color="auto"/>
                    <w:left w:val="none" w:sz="0" w:space="0" w:color="auto"/>
                    <w:bottom w:val="none" w:sz="0" w:space="0" w:color="auto"/>
                    <w:right w:val="none" w:sz="0" w:space="0" w:color="auto"/>
                  </w:divBdr>
                  <w:divsChild>
                    <w:div w:id="10327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692816">
      <w:bodyDiv w:val="1"/>
      <w:marLeft w:val="0"/>
      <w:marRight w:val="0"/>
      <w:marTop w:val="0"/>
      <w:marBottom w:val="0"/>
      <w:divBdr>
        <w:top w:val="none" w:sz="0" w:space="0" w:color="auto"/>
        <w:left w:val="none" w:sz="0" w:space="0" w:color="auto"/>
        <w:bottom w:val="none" w:sz="0" w:space="0" w:color="auto"/>
        <w:right w:val="none" w:sz="0" w:space="0" w:color="auto"/>
      </w:divBdr>
    </w:div>
    <w:div w:id="893738569">
      <w:bodyDiv w:val="1"/>
      <w:marLeft w:val="0"/>
      <w:marRight w:val="0"/>
      <w:marTop w:val="0"/>
      <w:marBottom w:val="0"/>
      <w:divBdr>
        <w:top w:val="none" w:sz="0" w:space="0" w:color="auto"/>
        <w:left w:val="none" w:sz="0" w:space="0" w:color="auto"/>
        <w:bottom w:val="none" w:sz="0" w:space="0" w:color="auto"/>
        <w:right w:val="none" w:sz="0" w:space="0" w:color="auto"/>
      </w:divBdr>
      <w:divsChild>
        <w:div w:id="1643149265">
          <w:marLeft w:val="0"/>
          <w:marRight w:val="0"/>
          <w:marTop w:val="0"/>
          <w:marBottom w:val="0"/>
          <w:divBdr>
            <w:top w:val="none" w:sz="0" w:space="0" w:color="auto"/>
            <w:left w:val="none" w:sz="0" w:space="0" w:color="auto"/>
            <w:bottom w:val="none" w:sz="0" w:space="0" w:color="auto"/>
            <w:right w:val="none" w:sz="0" w:space="0" w:color="auto"/>
          </w:divBdr>
          <w:divsChild>
            <w:div w:id="94060851">
              <w:marLeft w:val="0"/>
              <w:marRight w:val="0"/>
              <w:marTop w:val="0"/>
              <w:marBottom w:val="0"/>
              <w:divBdr>
                <w:top w:val="none" w:sz="0" w:space="0" w:color="auto"/>
                <w:left w:val="none" w:sz="0" w:space="0" w:color="auto"/>
                <w:bottom w:val="none" w:sz="0" w:space="0" w:color="auto"/>
                <w:right w:val="none" w:sz="0" w:space="0" w:color="auto"/>
              </w:divBdr>
              <w:divsChild>
                <w:div w:id="130615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268913">
      <w:bodyDiv w:val="1"/>
      <w:marLeft w:val="0"/>
      <w:marRight w:val="0"/>
      <w:marTop w:val="0"/>
      <w:marBottom w:val="0"/>
      <w:divBdr>
        <w:top w:val="none" w:sz="0" w:space="0" w:color="auto"/>
        <w:left w:val="none" w:sz="0" w:space="0" w:color="auto"/>
        <w:bottom w:val="none" w:sz="0" w:space="0" w:color="auto"/>
        <w:right w:val="none" w:sz="0" w:space="0" w:color="auto"/>
      </w:divBdr>
    </w:div>
    <w:div w:id="926422982">
      <w:bodyDiv w:val="1"/>
      <w:marLeft w:val="0"/>
      <w:marRight w:val="0"/>
      <w:marTop w:val="0"/>
      <w:marBottom w:val="0"/>
      <w:divBdr>
        <w:top w:val="none" w:sz="0" w:space="0" w:color="auto"/>
        <w:left w:val="none" w:sz="0" w:space="0" w:color="auto"/>
        <w:bottom w:val="none" w:sz="0" w:space="0" w:color="auto"/>
        <w:right w:val="none" w:sz="0" w:space="0" w:color="auto"/>
      </w:divBdr>
    </w:div>
    <w:div w:id="937299879">
      <w:bodyDiv w:val="1"/>
      <w:marLeft w:val="0"/>
      <w:marRight w:val="0"/>
      <w:marTop w:val="0"/>
      <w:marBottom w:val="0"/>
      <w:divBdr>
        <w:top w:val="none" w:sz="0" w:space="0" w:color="auto"/>
        <w:left w:val="none" w:sz="0" w:space="0" w:color="auto"/>
        <w:bottom w:val="none" w:sz="0" w:space="0" w:color="auto"/>
        <w:right w:val="none" w:sz="0" w:space="0" w:color="auto"/>
      </w:divBdr>
    </w:div>
    <w:div w:id="950824220">
      <w:bodyDiv w:val="1"/>
      <w:marLeft w:val="0"/>
      <w:marRight w:val="0"/>
      <w:marTop w:val="0"/>
      <w:marBottom w:val="0"/>
      <w:divBdr>
        <w:top w:val="none" w:sz="0" w:space="0" w:color="auto"/>
        <w:left w:val="none" w:sz="0" w:space="0" w:color="auto"/>
        <w:bottom w:val="none" w:sz="0" w:space="0" w:color="auto"/>
        <w:right w:val="none" w:sz="0" w:space="0" w:color="auto"/>
      </w:divBdr>
    </w:div>
    <w:div w:id="973801621">
      <w:bodyDiv w:val="1"/>
      <w:marLeft w:val="0"/>
      <w:marRight w:val="0"/>
      <w:marTop w:val="0"/>
      <w:marBottom w:val="0"/>
      <w:divBdr>
        <w:top w:val="none" w:sz="0" w:space="0" w:color="auto"/>
        <w:left w:val="none" w:sz="0" w:space="0" w:color="auto"/>
        <w:bottom w:val="none" w:sz="0" w:space="0" w:color="auto"/>
        <w:right w:val="none" w:sz="0" w:space="0" w:color="auto"/>
      </w:divBdr>
    </w:div>
    <w:div w:id="980496106">
      <w:bodyDiv w:val="1"/>
      <w:marLeft w:val="0"/>
      <w:marRight w:val="0"/>
      <w:marTop w:val="0"/>
      <w:marBottom w:val="0"/>
      <w:divBdr>
        <w:top w:val="none" w:sz="0" w:space="0" w:color="auto"/>
        <w:left w:val="none" w:sz="0" w:space="0" w:color="auto"/>
        <w:bottom w:val="none" w:sz="0" w:space="0" w:color="auto"/>
        <w:right w:val="none" w:sz="0" w:space="0" w:color="auto"/>
      </w:divBdr>
    </w:div>
    <w:div w:id="980886986">
      <w:bodyDiv w:val="1"/>
      <w:marLeft w:val="0"/>
      <w:marRight w:val="0"/>
      <w:marTop w:val="0"/>
      <w:marBottom w:val="0"/>
      <w:divBdr>
        <w:top w:val="none" w:sz="0" w:space="0" w:color="auto"/>
        <w:left w:val="none" w:sz="0" w:space="0" w:color="auto"/>
        <w:bottom w:val="none" w:sz="0" w:space="0" w:color="auto"/>
        <w:right w:val="none" w:sz="0" w:space="0" w:color="auto"/>
      </w:divBdr>
    </w:div>
    <w:div w:id="987244559">
      <w:bodyDiv w:val="1"/>
      <w:marLeft w:val="0"/>
      <w:marRight w:val="0"/>
      <w:marTop w:val="0"/>
      <w:marBottom w:val="0"/>
      <w:divBdr>
        <w:top w:val="none" w:sz="0" w:space="0" w:color="auto"/>
        <w:left w:val="none" w:sz="0" w:space="0" w:color="auto"/>
        <w:bottom w:val="none" w:sz="0" w:space="0" w:color="auto"/>
        <w:right w:val="none" w:sz="0" w:space="0" w:color="auto"/>
      </w:divBdr>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12491423">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51540299">
      <w:bodyDiv w:val="1"/>
      <w:marLeft w:val="0"/>
      <w:marRight w:val="0"/>
      <w:marTop w:val="0"/>
      <w:marBottom w:val="0"/>
      <w:divBdr>
        <w:top w:val="none" w:sz="0" w:space="0" w:color="auto"/>
        <w:left w:val="none" w:sz="0" w:space="0" w:color="auto"/>
        <w:bottom w:val="none" w:sz="0" w:space="0" w:color="auto"/>
        <w:right w:val="none" w:sz="0" w:space="0" w:color="auto"/>
      </w:divBdr>
    </w:div>
    <w:div w:id="1062369351">
      <w:bodyDiv w:val="1"/>
      <w:marLeft w:val="0"/>
      <w:marRight w:val="0"/>
      <w:marTop w:val="0"/>
      <w:marBottom w:val="0"/>
      <w:divBdr>
        <w:top w:val="none" w:sz="0" w:space="0" w:color="auto"/>
        <w:left w:val="none" w:sz="0" w:space="0" w:color="auto"/>
        <w:bottom w:val="none" w:sz="0" w:space="0" w:color="auto"/>
        <w:right w:val="none" w:sz="0" w:space="0" w:color="auto"/>
      </w:divBdr>
      <w:divsChild>
        <w:div w:id="507066624">
          <w:marLeft w:val="0"/>
          <w:marRight w:val="0"/>
          <w:marTop w:val="0"/>
          <w:marBottom w:val="0"/>
          <w:divBdr>
            <w:top w:val="none" w:sz="0" w:space="0" w:color="auto"/>
            <w:left w:val="none" w:sz="0" w:space="0" w:color="auto"/>
            <w:bottom w:val="none" w:sz="0" w:space="0" w:color="auto"/>
            <w:right w:val="none" w:sz="0" w:space="0" w:color="auto"/>
          </w:divBdr>
          <w:divsChild>
            <w:div w:id="577517859">
              <w:marLeft w:val="0"/>
              <w:marRight w:val="0"/>
              <w:marTop w:val="0"/>
              <w:marBottom w:val="0"/>
              <w:divBdr>
                <w:top w:val="none" w:sz="0" w:space="0" w:color="auto"/>
                <w:left w:val="none" w:sz="0" w:space="0" w:color="auto"/>
                <w:bottom w:val="none" w:sz="0" w:space="0" w:color="auto"/>
                <w:right w:val="none" w:sz="0" w:space="0" w:color="auto"/>
              </w:divBdr>
              <w:divsChild>
                <w:div w:id="207855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415421">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097673582">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12745997">
      <w:bodyDiv w:val="1"/>
      <w:marLeft w:val="0"/>
      <w:marRight w:val="0"/>
      <w:marTop w:val="0"/>
      <w:marBottom w:val="0"/>
      <w:divBdr>
        <w:top w:val="none" w:sz="0" w:space="0" w:color="auto"/>
        <w:left w:val="none" w:sz="0" w:space="0" w:color="auto"/>
        <w:bottom w:val="none" w:sz="0" w:space="0" w:color="auto"/>
        <w:right w:val="none" w:sz="0" w:space="0" w:color="auto"/>
      </w:divBdr>
    </w:div>
    <w:div w:id="1127118919">
      <w:bodyDiv w:val="1"/>
      <w:marLeft w:val="0"/>
      <w:marRight w:val="0"/>
      <w:marTop w:val="0"/>
      <w:marBottom w:val="0"/>
      <w:divBdr>
        <w:top w:val="none" w:sz="0" w:space="0" w:color="auto"/>
        <w:left w:val="none" w:sz="0" w:space="0" w:color="auto"/>
        <w:bottom w:val="none" w:sz="0" w:space="0" w:color="auto"/>
        <w:right w:val="none" w:sz="0" w:space="0" w:color="auto"/>
      </w:divBdr>
      <w:divsChild>
        <w:div w:id="821773131">
          <w:marLeft w:val="0"/>
          <w:marRight w:val="0"/>
          <w:marTop w:val="0"/>
          <w:marBottom w:val="0"/>
          <w:divBdr>
            <w:top w:val="none" w:sz="0" w:space="0" w:color="auto"/>
            <w:left w:val="none" w:sz="0" w:space="0" w:color="auto"/>
            <w:bottom w:val="none" w:sz="0" w:space="0" w:color="auto"/>
            <w:right w:val="none" w:sz="0" w:space="0" w:color="auto"/>
          </w:divBdr>
          <w:divsChild>
            <w:div w:id="1357853767">
              <w:marLeft w:val="0"/>
              <w:marRight w:val="0"/>
              <w:marTop w:val="0"/>
              <w:marBottom w:val="0"/>
              <w:divBdr>
                <w:top w:val="none" w:sz="0" w:space="0" w:color="auto"/>
                <w:left w:val="none" w:sz="0" w:space="0" w:color="auto"/>
                <w:bottom w:val="none" w:sz="0" w:space="0" w:color="auto"/>
                <w:right w:val="none" w:sz="0" w:space="0" w:color="auto"/>
              </w:divBdr>
              <w:divsChild>
                <w:div w:id="20765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89556">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198468880">
      <w:bodyDiv w:val="1"/>
      <w:marLeft w:val="0"/>
      <w:marRight w:val="0"/>
      <w:marTop w:val="0"/>
      <w:marBottom w:val="0"/>
      <w:divBdr>
        <w:top w:val="none" w:sz="0" w:space="0" w:color="auto"/>
        <w:left w:val="none" w:sz="0" w:space="0" w:color="auto"/>
        <w:bottom w:val="none" w:sz="0" w:space="0" w:color="auto"/>
        <w:right w:val="none" w:sz="0" w:space="0" w:color="auto"/>
      </w:divBdr>
      <w:divsChild>
        <w:div w:id="2096583240">
          <w:marLeft w:val="0"/>
          <w:marRight w:val="0"/>
          <w:marTop w:val="0"/>
          <w:marBottom w:val="0"/>
          <w:divBdr>
            <w:top w:val="none" w:sz="0" w:space="0" w:color="auto"/>
            <w:left w:val="none" w:sz="0" w:space="0" w:color="auto"/>
            <w:bottom w:val="none" w:sz="0" w:space="0" w:color="auto"/>
            <w:right w:val="none" w:sz="0" w:space="0" w:color="auto"/>
          </w:divBdr>
          <w:divsChild>
            <w:div w:id="174466631">
              <w:marLeft w:val="0"/>
              <w:marRight w:val="0"/>
              <w:marTop w:val="0"/>
              <w:marBottom w:val="0"/>
              <w:divBdr>
                <w:top w:val="none" w:sz="0" w:space="0" w:color="auto"/>
                <w:left w:val="none" w:sz="0" w:space="0" w:color="auto"/>
                <w:bottom w:val="none" w:sz="0" w:space="0" w:color="auto"/>
                <w:right w:val="none" w:sz="0" w:space="0" w:color="auto"/>
              </w:divBdr>
              <w:divsChild>
                <w:div w:id="1018653443">
                  <w:marLeft w:val="0"/>
                  <w:marRight w:val="0"/>
                  <w:marTop w:val="0"/>
                  <w:marBottom w:val="0"/>
                  <w:divBdr>
                    <w:top w:val="none" w:sz="0" w:space="0" w:color="auto"/>
                    <w:left w:val="none" w:sz="0" w:space="0" w:color="auto"/>
                    <w:bottom w:val="none" w:sz="0" w:space="0" w:color="auto"/>
                    <w:right w:val="none" w:sz="0" w:space="0" w:color="auto"/>
                  </w:divBdr>
                  <w:divsChild>
                    <w:div w:id="5506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375344">
      <w:bodyDiv w:val="1"/>
      <w:marLeft w:val="0"/>
      <w:marRight w:val="0"/>
      <w:marTop w:val="0"/>
      <w:marBottom w:val="0"/>
      <w:divBdr>
        <w:top w:val="none" w:sz="0" w:space="0" w:color="auto"/>
        <w:left w:val="none" w:sz="0" w:space="0" w:color="auto"/>
        <w:bottom w:val="none" w:sz="0" w:space="0" w:color="auto"/>
        <w:right w:val="none" w:sz="0" w:space="0" w:color="auto"/>
      </w:divBdr>
      <w:divsChild>
        <w:div w:id="1923907291">
          <w:marLeft w:val="0"/>
          <w:marRight w:val="0"/>
          <w:marTop w:val="0"/>
          <w:marBottom w:val="0"/>
          <w:divBdr>
            <w:top w:val="none" w:sz="0" w:space="0" w:color="auto"/>
            <w:left w:val="none" w:sz="0" w:space="0" w:color="auto"/>
            <w:bottom w:val="none" w:sz="0" w:space="0" w:color="auto"/>
            <w:right w:val="none" w:sz="0" w:space="0" w:color="auto"/>
          </w:divBdr>
          <w:divsChild>
            <w:div w:id="1760709560">
              <w:marLeft w:val="0"/>
              <w:marRight w:val="0"/>
              <w:marTop w:val="0"/>
              <w:marBottom w:val="0"/>
              <w:divBdr>
                <w:top w:val="none" w:sz="0" w:space="0" w:color="auto"/>
                <w:left w:val="none" w:sz="0" w:space="0" w:color="auto"/>
                <w:bottom w:val="none" w:sz="0" w:space="0" w:color="auto"/>
                <w:right w:val="none" w:sz="0" w:space="0" w:color="auto"/>
              </w:divBdr>
              <w:divsChild>
                <w:div w:id="183298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26143821">
      <w:bodyDiv w:val="1"/>
      <w:marLeft w:val="0"/>
      <w:marRight w:val="0"/>
      <w:marTop w:val="0"/>
      <w:marBottom w:val="0"/>
      <w:divBdr>
        <w:top w:val="none" w:sz="0" w:space="0" w:color="auto"/>
        <w:left w:val="none" w:sz="0" w:space="0" w:color="auto"/>
        <w:bottom w:val="none" w:sz="0" w:space="0" w:color="auto"/>
        <w:right w:val="none" w:sz="0" w:space="0" w:color="auto"/>
      </w:divBdr>
      <w:divsChild>
        <w:div w:id="1939210332">
          <w:marLeft w:val="0"/>
          <w:marRight w:val="0"/>
          <w:marTop w:val="0"/>
          <w:marBottom w:val="0"/>
          <w:divBdr>
            <w:top w:val="none" w:sz="0" w:space="0" w:color="auto"/>
            <w:left w:val="none" w:sz="0" w:space="0" w:color="auto"/>
            <w:bottom w:val="none" w:sz="0" w:space="0" w:color="auto"/>
            <w:right w:val="none" w:sz="0" w:space="0" w:color="auto"/>
          </w:divBdr>
          <w:divsChild>
            <w:div w:id="2075541651">
              <w:marLeft w:val="0"/>
              <w:marRight w:val="0"/>
              <w:marTop w:val="0"/>
              <w:marBottom w:val="0"/>
              <w:divBdr>
                <w:top w:val="none" w:sz="0" w:space="0" w:color="auto"/>
                <w:left w:val="none" w:sz="0" w:space="0" w:color="auto"/>
                <w:bottom w:val="none" w:sz="0" w:space="0" w:color="auto"/>
                <w:right w:val="none" w:sz="0" w:space="0" w:color="auto"/>
              </w:divBdr>
              <w:divsChild>
                <w:div w:id="148053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239679830">
      <w:bodyDiv w:val="1"/>
      <w:marLeft w:val="0"/>
      <w:marRight w:val="0"/>
      <w:marTop w:val="0"/>
      <w:marBottom w:val="0"/>
      <w:divBdr>
        <w:top w:val="none" w:sz="0" w:space="0" w:color="auto"/>
        <w:left w:val="none" w:sz="0" w:space="0" w:color="auto"/>
        <w:bottom w:val="none" w:sz="0" w:space="0" w:color="auto"/>
        <w:right w:val="none" w:sz="0" w:space="0" w:color="auto"/>
      </w:divBdr>
    </w:div>
    <w:div w:id="1245384479">
      <w:bodyDiv w:val="1"/>
      <w:marLeft w:val="0"/>
      <w:marRight w:val="0"/>
      <w:marTop w:val="0"/>
      <w:marBottom w:val="0"/>
      <w:divBdr>
        <w:top w:val="none" w:sz="0" w:space="0" w:color="auto"/>
        <w:left w:val="none" w:sz="0" w:space="0" w:color="auto"/>
        <w:bottom w:val="none" w:sz="0" w:space="0" w:color="auto"/>
        <w:right w:val="none" w:sz="0" w:space="0" w:color="auto"/>
      </w:divBdr>
    </w:div>
    <w:div w:id="1276057114">
      <w:bodyDiv w:val="1"/>
      <w:marLeft w:val="0"/>
      <w:marRight w:val="0"/>
      <w:marTop w:val="0"/>
      <w:marBottom w:val="0"/>
      <w:divBdr>
        <w:top w:val="none" w:sz="0" w:space="0" w:color="auto"/>
        <w:left w:val="none" w:sz="0" w:space="0" w:color="auto"/>
        <w:bottom w:val="none" w:sz="0" w:space="0" w:color="auto"/>
        <w:right w:val="none" w:sz="0" w:space="0" w:color="auto"/>
      </w:divBdr>
    </w:div>
    <w:div w:id="1283154111">
      <w:bodyDiv w:val="1"/>
      <w:marLeft w:val="0"/>
      <w:marRight w:val="0"/>
      <w:marTop w:val="0"/>
      <w:marBottom w:val="0"/>
      <w:divBdr>
        <w:top w:val="none" w:sz="0" w:space="0" w:color="auto"/>
        <w:left w:val="none" w:sz="0" w:space="0" w:color="auto"/>
        <w:bottom w:val="none" w:sz="0" w:space="0" w:color="auto"/>
        <w:right w:val="none" w:sz="0" w:space="0" w:color="auto"/>
      </w:divBdr>
    </w:div>
    <w:div w:id="1292512565">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308243117">
      <w:bodyDiv w:val="1"/>
      <w:marLeft w:val="0"/>
      <w:marRight w:val="0"/>
      <w:marTop w:val="0"/>
      <w:marBottom w:val="0"/>
      <w:divBdr>
        <w:top w:val="none" w:sz="0" w:space="0" w:color="auto"/>
        <w:left w:val="none" w:sz="0" w:space="0" w:color="auto"/>
        <w:bottom w:val="none" w:sz="0" w:space="0" w:color="auto"/>
        <w:right w:val="none" w:sz="0" w:space="0" w:color="auto"/>
      </w:divBdr>
    </w:div>
    <w:div w:id="1332023621">
      <w:bodyDiv w:val="1"/>
      <w:marLeft w:val="0"/>
      <w:marRight w:val="0"/>
      <w:marTop w:val="0"/>
      <w:marBottom w:val="0"/>
      <w:divBdr>
        <w:top w:val="none" w:sz="0" w:space="0" w:color="auto"/>
        <w:left w:val="none" w:sz="0" w:space="0" w:color="auto"/>
        <w:bottom w:val="none" w:sz="0" w:space="0" w:color="auto"/>
        <w:right w:val="none" w:sz="0" w:space="0" w:color="auto"/>
      </w:divBdr>
    </w:div>
    <w:div w:id="1396080222">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21753283">
      <w:bodyDiv w:val="1"/>
      <w:marLeft w:val="0"/>
      <w:marRight w:val="0"/>
      <w:marTop w:val="0"/>
      <w:marBottom w:val="0"/>
      <w:divBdr>
        <w:top w:val="none" w:sz="0" w:space="0" w:color="auto"/>
        <w:left w:val="none" w:sz="0" w:space="0" w:color="auto"/>
        <w:bottom w:val="none" w:sz="0" w:space="0" w:color="auto"/>
        <w:right w:val="none" w:sz="0" w:space="0" w:color="auto"/>
      </w:divBdr>
    </w:div>
    <w:div w:id="1425371197">
      <w:bodyDiv w:val="1"/>
      <w:marLeft w:val="0"/>
      <w:marRight w:val="0"/>
      <w:marTop w:val="0"/>
      <w:marBottom w:val="0"/>
      <w:divBdr>
        <w:top w:val="none" w:sz="0" w:space="0" w:color="auto"/>
        <w:left w:val="none" w:sz="0" w:space="0" w:color="auto"/>
        <w:bottom w:val="none" w:sz="0" w:space="0" w:color="auto"/>
        <w:right w:val="none" w:sz="0" w:space="0" w:color="auto"/>
      </w:divBdr>
    </w:div>
    <w:div w:id="1426879650">
      <w:bodyDiv w:val="1"/>
      <w:marLeft w:val="0"/>
      <w:marRight w:val="0"/>
      <w:marTop w:val="0"/>
      <w:marBottom w:val="0"/>
      <w:divBdr>
        <w:top w:val="none" w:sz="0" w:space="0" w:color="auto"/>
        <w:left w:val="none" w:sz="0" w:space="0" w:color="auto"/>
        <w:bottom w:val="none" w:sz="0" w:space="0" w:color="auto"/>
        <w:right w:val="none" w:sz="0" w:space="0" w:color="auto"/>
      </w:divBdr>
    </w:div>
    <w:div w:id="1428696711">
      <w:bodyDiv w:val="1"/>
      <w:marLeft w:val="0"/>
      <w:marRight w:val="0"/>
      <w:marTop w:val="0"/>
      <w:marBottom w:val="0"/>
      <w:divBdr>
        <w:top w:val="none" w:sz="0" w:space="0" w:color="auto"/>
        <w:left w:val="none" w:sz="0" w:space="0" w:color="auto"/>
        <w:bottom w:val="none" w:sz="0" w:space="0" w:color="auto"/>
        <w:right w:val="none" w:sz="0" w:space="0" w:color="auto"/>
      </w:divBdr>
    </w:div>
    <w:div w:id="1437754344">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457405470">
      <w:bodyDiv w:val="1"/>
      <w:marLeft w:val="0"/>
      <w:marRight w:val="0"/>
      <w:marTop w:val="0"/>
      <w:marBottom w:val="0"/>
      <w:divBdr>
        <w:top w:val="none" w:sz="0" w:space="0" w:color="auto"/>
        <w:left w:val="none" w:sz="0" w:space="0" w:color="auto"/>
        <w:bottom w:val="none" w:sz="0" w:space="0" w:color="auto"/>
        <w:right w:val="none" w:sz="0" w:space="0" w:color="auto"/>
      </w:divBdr>
    </w:div>
    <w:div w:id="1482767492">
      <w:bodyDiv w:val="1"/>
      <w:marLeft w:val="0"/>
      <w:marRight w:val="0"/>
      <w:marTop w:val="0"/>
      <w:marBottom w:val="0"/>
      <w:divBdr>
        <w:top w:val="none" w:sz="0" w:space="0" w:color="auto"/>
        <w:left w:val="none" w:sz="0" w:space="0" w:color="auto"/>
        <w:bottom w:val="none" w:sz="0" w:space="0" w:color="auto"/>
        <w:right w:val="none" w:sz="0" w:space="0" w:color="auto"/>
      </w:divBdr>
      <w:divsChild>
        <w:div w:id="679626122">
          <w:marLeft w:val="0"/>
          <w:marRight w:val="0"/>
          <w:marTop w:val="0"/>
          <w:marBottom w:val="0"/>
          <w:divBdr>
            <w:top w:val="none" w:sz="0" w:space="0" w:color="auto"/>
            <w:left w:val="none" w:sz="0" w:space="0" w:color="auto"/>
            <w:bottom w:val="none" w:sz="0" w:space="0" w:color="auto"/>
            <w:right w:val="none" w:sz="0" w:space="0" w:color="auto"/>
          </w:divBdr>
          <w:divsChild>
            <w:div w:id="513348530">
              <w:marLeft w:val="0"/>
              <w:marRight w:val="0"/>
              <w:marTop w:val="0"/>
              <w:marBottom w:val="0"/>
              <w:divBdr>
                <w:top w:val="none" w:sz="0" w:space="0" w:color="auto"/>
                <w:left w:val="none" w:sz="0" w:space="0" w:color="auto"/>
                <w:bottom w:val="none" w:sz="0" w:space="0" w:color="auto"/>
                <w:right w:val="none" w:sz="0" w:space="0" w:color="auto"/>
              </w:divBdr>
              <w:divsChild>
                <w:div w:id="1672366319">
                  <w:marLeft w:val="0"/>
                  <w:marRight w:val="0"/>
                  <w:marTop w:val="0"/>
                  <w:marBottom w:val="0"/>
                  <w:divBdr>
                    <w:top w:val="none" w:sz="0" w:space="0" w:color="auto"/>
                    <w:left w:val="none" w:sz="0" w:space="0" w:color="auto"/>
                    <w:bottom w:val="none" w:sz="0" w:space="0" w:color="auto"/>
                    <w:right w:val="none" w:sz="0" w:space="0" w:color="auto"/>
                  </w:divBdr>
                  <w:divsChild>
                    <w:div w:id="157203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620576">
      <w:bodyDiv w:val="1"/>
      <w:marLeft w:val="0"/>
      <w:marRight w:val="0"/>
      <w:marTop w:val="0"/>
      <w:marBottom w:val="0"/>
      <w:divBdr>
        <w:top w:val="none" w:sz="0" w:space="0" w:color="auto"/>
        <w:left w:val="none" w:sz="0" w:space="0" w:color="auto"/>
        <w:bottom w:val="none" w:sz="0" w:space="0" w:color="auto"/>
        <w:right w:val="none" w:sz="0" w:space="0" w:color="auto"/>
      </w:divBdr>
    </w:div>
    <w:div w:id="1487090050">
      <w:bodyDiv w:val="1"/>
      <w:marLeft w:val="0"/>
      <w:marRight w:val="0"/>
      <w:marTop w:val="0"/>
      <w:marBottom w:val="0"/>
      <w:divBdr>
        <w:top w:val="none" w:sz="0" w:space="0" w:color="auto"/>
        <w:left w:val="none" w:sz="0" w:space="0" w:color="auto"/>
        <w:bottom w:val="none" w:sz="0" w:space="0" w:color="auto"/>
        <w:right w:val="none" w:sz="0" w:space="0" w:color="auto"/>
      </w:divBdr>
    </w:div>
    <w:div w:id="1490950055">
      <w:bodyDiv w:val="1"/>
      <w:marLeft w:val="0"/>
      <w:marRight w:val="0"/>
      <w:marTop w:val="0"/>
      <w:marBottom w:val="0"/>
      <w:divBdr>
        <w:top w:val="none" w:sz="0" w:space="0" w:color="auto"/>
        <w:left w:val="none" w:sz="0" w:space="0" w:color="auto"/>
        <w:bottom w:val="none" w:sz="0" w:space="0" w:color="auto"/>
        <w:right w:val="none" w:sz="0" w:space="0" w:color="auto"/>
      </w:divBdr>
    </w:div>
    <w:div w:id="1499613500">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14372293">
      <w:bodyDiv w:val="1"/>
      <w:marLeft w:val="0"/>
      <w:marRight w:val="0"/>
      <w:marTop w:val="0"/>
      <w:marBottom w:val="0"/>
      <w:divBdr>
        <w:top w:val="none" w:sz="0" w:space="0" w:color="auto"/>
        <w:left w:val="none" w:sz="0" w:space="0" w:color="auto"/>
        <w:bottom w:val="none" w:sz="0" w:space="0" w:color="auto"/>
        <w:right w:val="none" w:sz="0" w:space="0" w:color="auto"/>
      </w:divBdr>
    </w:div>
    <w:div w:id="1538424602">
      <w:bodyDiv w:val="1"/>
      <w:marLeft w:val="0"/>
      <w:marRight w:val="0"/>
      <w:marTop w:val="0"/>
      <w:marBottom w:val="0"/>
      <w:divBdr>
        <w:top w:val="none" w:sz="0" w:space="0" w:color="auto"/>
        <w:left w:val="none" w:sz="0" w:space="0" w:color="auto"/>
        <w:bottom w:val="none" w:sz="0" w:space="0" w:color="auto"/>
        <w:right w:val="none" w:sz="0" w:space="0" w:color="auto"/>
      </w:divBdr>
    </w:div>
    <w:div w:id="1540166976">
      <w:bodyDiv w:val="1"/>
      <w:marLeft w:val="0"/>
      <w:marRight w:val="0"/>
      <w:marTop w:val="0"/>
      <w:marBottom w:val="0"/>
      <w:divBdr>
        <w:top w:val="none" w:sz="0" w:space="0" w:color="auto"/>
        <w:left w:val="none" w:sz="0" w:space="0" w:color="auto"/>
        <w:bottom w:val="none" w:sz="0" w:space="0" w:color="auto"/>
        <w:right w:val="none" w:sz="0" w:space="0" w:color="auto"/>
      </w:divBdr>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561355955">
      <w:bodyDiv w:val="1"/>
      <w:marLeft w:val="0"/>
      <w:marRight w:val="0"/>
      <w:marTop w:val="0"/>
      <w:marBottom w:val="0"/>
      <w:divBdr>
        <w:top w:val="none" w:sz="0" w:space="0" w:color="auto"/>
        <w:left w:val="none" w:sz="0" w:space="0" w:color="auto"/>
        <w:bottom w:val="none" w:sz="0" w:space="0" w:color="auto"/>
        <w:right w:val="none" w:sz="0" w:space="0" w:color="auto"/>
      </w:divBdr>
    </w:div>
    <w:div w:id="1587229986">
      <w:bodyDiv w:val="1"/>
      <w:marLeft w:val="0"/>
      <w:marRight w:val="0"/>
      <w:marTop w:val="0"/>
      <w:marBottom w:val="0"/>
      <w:divBdr>
        <w:top w:val="none" w:sz="0" w:space="0" w:color="auto"/>
        <w:left w:val="none" w:sz="0" w:space="0" w:color="auto"/>
        <w:bottom w:val="none" w:sz="0" w:space="0" w:color="auto"/>
        <w:right w:val="none" w:sz="0" w:space="0" w:color="auto"/>
      </w:divBdr>
    </w:div>
    <w:div w:id="1595091718">
      <w:bodyDiv w:val="1"/>
      <w:marLeft w:val="0"/>
      <w:marRight w:val="0"/>
      <w:marTop w:val="0"/>
      <w:marBottom w:val="0"/>
      <w:divBdr>
        <w:top w:val="none" w:sz="0" w:space="0" w:color="auto"/>
        <w:left w:val="none" w:sz="0" w:space="0" w:color="auto"/>
        <w:bottom w:val="none" w:sz="0" w:space="0" w:color="auto"/>
        <w:right w:val="none" w:sz="0" w:space="0" w:color="auto"/>
      </w:divBdr>
    </w:div>
    <w:div w:id="1598517951">
      <w:bodyDiv w:val="1"/>
      <w:marLeft w:val="0"/>
      <w:marRight w:val="0"/>
      <w:marTop w:val="0"/>
      <w:marBottom w:val="0"/>
      <w:divBdr>
        <w:top w:val="none" w:sz="0" w:space="0" w:color="auto"/>
        <w:left w:val="none" w:sz="0" w:space="0" w:color="auto"/>
        <w:bottom w:val="none" w:sz="0" w:space="0" w:color="auto"/>
        <w:right w:val="none" w:sz="0" w:space="0" w:color="auto"/>
      </w:divBdr>
      <w:divsChild>
        <w:div w:id="1230071931">
          <w:marLeft w:val="0"/>
          <w:marRight w:val="0"/>
          <w:marTop w:val="0"/>
          <w:marBottom w:val="0"/>
          <w:divBdr>
            <w:top w:val="none" w:sz="0" w:space="0" w:color="auto"/>
            <w:left w:val="none" w:sz="0" w:space="0" w:color="auto"/>
            <w:bottom w:val="none" w:sz="0" w:space="0" w:color="auto"/>
            <w:right w:val="none" w:sz="0" w:space="0" w:color="auto"/>
          </w:divBdr>
          <w:divsChild>
            <w:div w:id="1461461236">
              <w:marLeft w:val="0"/>
              <w:marRight w:val="0"/>
              <w:marTop w:val="0"/>
              <w:marBottom w:val="0"/>
              <w:divBdr>
                <w:top w:val="none" w:sz="0" w:space="0" w:color="auto"/>
                <w:left w:val="none" w:sz="0" w:space="0" w:color="auto"/>
                <w:bottom w:val="none" w:sz="0" w:space="0" w:color="auto"/>
                <w:right w:val="none" w:sz="0" w:space="0" w:color="auto"/>
              </w:divBdr>
              <w:divsChild>
                <w:div w:id="5370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943483">
      <w:bodyDiv w:val="1"/>
      <w:marLeft w:val="0"/>
      <w:marRight w:val="0"/>
      <w:marTop w:val="0"/>
      <w:marBottom w:val="0"/>
      <w:divBdr>
        <w:top w:val="none" w:sz="0" w:space="0" w:color="auto"/>
        <w:left w:val="none" w:sz="0" w:space="0" w:color="auto"/>
        <w:bottom w:val="none" w:sz="0" w:space="0" w:color="auto"/>
        <w:right w:val="none" w:sz="0" w:space="0" w:color="auto"/>
      </w:divBdr>
    </w:div>
    <w:div w:id="1616250488">
      <w:bodyDiv w:val="1"/>
      <w:marLeft w:val="0"/>
      <w:marRight w:val="0"/>
      <w:marTop w:val="0"/>
      <w:marBottom w:val="0"/>
      <w:divBdr>
        <w:top w:val="none" w:sz="0" w:space="0" w:color="auto"/>
        <w:left w:val="none" w:sz="0" w:space="0" w:color="auto"/>
        <w:bottom w:val="none" w:sz="0" w:space="0" w:color="auto"/>
        <w:right w:val="none" w:sz="0" w:space="0" w:color="auto"/>
      </w:divBdr>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1912603">
      <w:bodyDiv w:val="1"/>
      <w:marLeft w:val="0"/>
      <w:marRight w:val="0"/>
      <w:marTop w:val="0"/>
      <w:marBottom w:val="0"/>
      <w:divBdr>
        <w:top w:val="none" w:sz="0" w:space="0" w:color="auto"/>
        <w:left w:val="none" w:sz="0" w:space="0" w:color="auto"/>
        <w:bottom w:val="none" w:sz="0" w:space="0" w:color="auto"/>
        <w:right w:val="none" w:sz="0" w:space="0" w:color="auto"/>
      </w:divBdr>
    </w:div>
    <w:div w:id="1622611565">
      <w:bodyDiv w:val="1"/>
      <w:marLeft w:val="0"/>
      <w:marRight w:val="0"/>
      <w:marTop w:val="0"/>
      <w:marBottom w:val="0"/>
      <w:divBdr>
        <w:top w:val="none" w:sz="0" w:space="0" w:color="auto"/>
        <w:left w:val="none" w:sz="0" w:space="0" w:color="auto"/>
        <w:bottom w:val="none" w:sz="0" w:space="0" w:color="auto"/>
        <w:right w:val="none" w:sz="0" w:space="0" w:color="auto"/>
      </w:divBdr>
    </w:div>
    <w:div w:id="1637560432">
      <w:bodyDiv w:val="1"/>
      <w:marLeft w:val="0"/>
      <w:marRight w:val="0"/>
      <w:marTop w:val="0"/>
      <w:marBottom w:val="0"/>
      <w:divBdr>
        <w:top w:val="none" w:sz="0" w:space="0" w:color="auto"/>
        <w:left w:val="none" w:sz="0" w:space="0" w:color="auto"/>
        <w:bottom w:val="none" w:sz="0" w:space="0" w:color="auto"/>
        <w:right w:val="none" w:sz="0" w:space="0" w:color="auto"/>
      </w:divBdr>
    </w:div>
    <w:div w:id="1664504314">
      <w:bodyDiv w:val="1"/>
      <w:marLeft w:val="0"/>
      <w:marRight w:val="0"/>
      <w:marTop w:val="0"/>
      <w:marBottom w:val="0"/>
      <w:divBdr>
        <w:top w:val="none" w:sz="0" w:space="0" w:color="auto"/>
        <w:left w:val="none" w:sz="0" w:space="0" w:color="auto"/>
        <w:bottom w:val="none" w:sz="0" w:space="0" w:color="auto"/>
        <w:right w:val="none" w:sz="0" w:space="0" w:color="auto"/>
      </w:divBdr>
    </w:div>
    <w:div w:id="1678921621">
      <w:bodyDiv w:val="1"/>
      <w:marLeft w:val="0"/>
      <w:marRight w:val="0"/>
      <w:marTop w:val="0"/>
      <w:marBottom w:val="0"/>
      <w:divBdr>
        <w:top w:val="none" w:sz="0" w:space="0" w:color="auto"/>
        <w:left w:val="none" w:sz="0" w:space="0" w:color="auto"/>
        <w:bottom w:val="none" w:sz="0" w:space="0" w:color="auto"/>
        <w:right w:val="none" w:sz="0" w:space="0" w:color="auto"/>
      </w:divBdr>
    </w:div>
    <w:div w:id="1683358996">
      <w:bodyDiv w:val="1"/>
      <w:marLeft w:val="0"/>
      <w:marRight w:val="0"/>
      <w:marTop w:val="0"/>
      <w:marBottom w:val="0"/>
      <w:divBdr>
        <w:top w:val="none" w:sz="0" w:space="0" w:color="auto"/>
        <w:left w:val="none" w:sz="0" w:space="0" w:color="auto"/>
        <w:bottom w:val="none" w:sz="0" w:space="0" w:color="auto"/>
        <w:right w:val="none" w:sz="0" w:space="0" w:color="auto"/>
      </w:divBdr>
    </w:div>
    <w:div w:id="1713531352">
      <w:bodyDiv w:val="1"/>
      <w:marLeft w:val="0"/>
      <w:marRight w:val="0"/>
      <w:marTop w:val="0"/>
      <w:marBottom w:val="0"/>
      <w:divBdr>
        <w:top w:val="none" w:sz="0" w:space="0" w:color="auto"/>
        <w:left w:val="none" w:sz="0" w:space="0" w:color="auto"/>
        <w:bottom w:val="none" w:sz="0" w:space="0" w:color="auto"/>
        <w:right w:val="none" w:sz="0" w:space="0" w:color="auto"/>
      </w:divBdr>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0154079">
      <w:bodyDiv w:val="1"/>
      <w:marLeft w:val="0"/>
      <w:marRight w:val="0"/>
      <w:marTop w:val="0"/>
      <w:marBottom w:val="0"/>
      <w:divBdr>
        <w:top w:val="none" w:sz="0" w:space="0" w:color="auto"/>
        <w:left w:val="none" w:sz="0" w:space="0" w:color="auto"/>
        <w:bottom w:val="none" w:sz="0" w:space="0" w:color="auto"/>
        <w:right w:val="none" w:sz="0" w:space="0" w:color="auto"/>
      </w:divBdr>
    </w:div>
    <w:div w:id="1739546373">
      <w:bodyDiv w:val="1"/>
      <w:marLeft w:val="0"/>
      <w:marRight w:val="0"/>
      <w:marTop w:val="0"/>
      <w:marBottom w:val="0"/>
      <w:divBdr>
        <w:top w:val="none" w:sz="0" w:space="0" w:color="auto"/>
        <w:left w:val="none" w:sz="0" w:space="0" w:color="auto"/>
        <w:bottom w:val="none" w:sz="0" w:space="0" w:color="auto"/>
        <w:right w:val="none" w:sz="0" w:space="0" w:color="auto"/>
      </w:divBdr>
    </w:div>
    <w:div w:id="1744181505">
      <w:bodyDiv w:val="1"/>
      <w:marLeft w:val="0"/>
      <w:marRight w:val="0"/>
      <w:marTop w:val="0"/>
      <w:marBottom w:val="0"/>
      <w:divBdr>
        <w:top w:val="none" w:sz="0" w:space="0" w:color="auto"/>
        <w:left w:val="none" w:sz="0" w:space="0" w:color="auto"/>
        <w:bottom w:val="none" w:sz="0" w:space="0" w:color="auto"/>
        <w:right w:val="none" w:sz="0" w:space="0" w:color="auto"/>
      </w:divBdr>
    </w:div>
    <w:div w:id="1747610561">
      <w:bodyDiv w:val="1"/>
      <w:marLeft w:val="0"/>
      <w:marRight w:val="0"/>
      <w:marTop w:val="0"/>
      <w:marBottom w:val="0"/>
      <w:divBdr>
        <w:top w:val="none" w:sz="0" w:space="0" w:color="auto"/>
        <w:left w:val="none" w:sz="0" w:space="0" w:color="auto"/>
        <w:bottom w:val="none" w:sz="0" w:space="0" w:color="auto"/>
        <w:right w:val="none" w:sz="0" w:space="0" w:color="auto"/>
      </w:divBdr>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69693947">
      <w:bodyDiv w:val="1"/>
      <w:marLeft w:val="0"/>
      <w:marRight w:val="0"/>
      <w:marTop w:val="0"/>
      <w:marBottom w:val="0"/>
      <w:divBdr>
        <w:top w:val="none" w:sz="0" w:space="0" w:color="auto"/>
        <w:left w:val="none" w:sz="0" w:space="0" w:color="auto"/>
        <w:bottom w:val="none" w:sz="0" w:space="0" w:color="auto"/>
        <w:right w:val="none" w:sz="0" w:space="0" w:color="auto"/>
      </w:divBdr>
    </w:div>
    <w:div w:id="1773934744">
      <w:bodyDiv w:val="1"/>
      <w:marLeft w:val="0"/>
      <w:marRight w:val="0"/>
      <w:marTop w:val="0"/>
      <w:marBottom w:val="0"/>
      <w:divBdr>
        <w:top w:val="none" w:sz="0" w:space="0" w:color="auto"/>
        <w:left w:val="none" w:sz="0" w:space="0" w:color="auto"/>
        <w:bottom w:val="none" w:sz="0" w:space="0" w:color="auto"/>
        <w:right w:val="none" w:sz="0" w:space="0" w:color="auto"/>
      </w:divBdr>
    </w:div>
    <w:div w:id="1775133645">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795980631">
      <w:bodyDiv w:val="1"/>
      <w:marLeft w:val="0"/>
      <w:marRight w:val="0"/>
      <w:marTop w:val="0"/>
      <w:marBottom w:val="0"/>
      <w:divBdr>
        <w:top w:val="none" w:sz="0" w:space="0" w:color="auto"/>
        <w:left w:val="none" w:sz="0" w:space="0" w:color="auto"/>
        <w:bottom w:val="none" w:sz="0" w:space="0" w:color="auto"/>
        <w:right w:val="none" w:sz="0" w:space="0" w:color="auto"/>
      </w:divBdr>
    </w:div>
    <w:div w:id="1799029629">
      <w:bodyDiv w:val="1"/>
      <w:marLeft w:val="0"/>
      <w:marRight w:val="0"/>
      <w:marTop w:val="0"/>
      <w:marBottom w:val="0"/>
      <w:divBdr>
        <w:top w:val="none" w:sz="0" w:space="0" w:color="auto"/>
        <w:left w:val="none" w:sz="0" w:space="0" w:color="auto"/>
        <w:bottom w:val="none" w:sz="0" w:space="0" w:color="auto"/>
        <w:right w:val="none" w:sz="0" w:space="0" w:color="auto"/>
      </w:divBdr>
    </w:div>
    <w:div w:id="1817066004">
      <w:bodyDiv w:val="1"/>
      <w:marLeft w:val="0"/>
      <w:marRight w:val="0"/>
      <w:marTop w:val="0"/>
      <w:marBottom w:val="0"/>
      <w:divBdr>
        <w:top w:val="none" w:sz="0" w:space="0" w:color="auto"/>
        <w:left w:val="none" w:sz="0" w:space="0" w:color="auto"/>
        <w:bottom w:val="none" w:sz="0" w:space="0" w:color="auto"/>
        <w:right w:val="none" w:sz="0" w:space="0" w:color="auto"/>
      </w:divBdr>
    </w:div>
    <w:div w:id="1824660967">
      <w:bodyDiv w:val="1"/>
      <w:marLeft w:val="0"/>
      <w:marRight w:val="0"/>
      <w:marTop w:val="0"/>
      <w:marBottom w:val="0"/>
      <w:divBdr>
        <w:top w:val="none" w:sz="0" w:space="0" w:color="auto"/>
        <w:left w:val="none" w:sz="0" w:space="0" w:color="auto"/>
        <w:bottom w:val="none" w:sz="0" w:space="0" w:color="auto"/>
        <w:right w:val="none" w:sz="0" w:space="0" w:color="auto"/>
      </w:divBdr>
    </w:div>
    <w:div w:id="1838417690">
      <w:bodyDiv w:val="1"/>
      <w:marLeft w:val="0"/>
      <w:marRight w:val="0"/>
      <w:marTop w:val="0"/>
      <w:marBottom w:val="0"/>
      <w:divBdr>
        <w:top w:val="none" w:sz="0" w:space="0" w:color="auto"/>
        <w:left w:val="none" w:sz="0" w:space="0" w:color="auto"/>
        <w:bottom w:val="none" w:sz="0" w:space="0" w:color="auto"/>
        <w:right w:val="none" w:sz="0" w:space="0" w:color="auto"/>
      </w:divBdr>
    </w:div>
    <w:div w:id="1845624943">
      <w:bodyDiv w:val="1"/>
      <w:marLeft w:val="0"/>
      <w:marRight w:val="0"/>
      <w:marTop w:val="0"/>
      <w:marBottom w:val="0"/>
      <w:divBdr>
        <w:top w:val="none" w:sz="0" w:space="0" w:color="auto"/>
        <w:left w:val="none" w:sz="0" w:space="0" w:color="auto"/>
        <w:bottom w:val="none" w:sz="0" w:space="0" w:color="auto"/>
        <w:right w:val="none" w:sz="0" w:space="0" w:color="auto"/>
      </w:divBdr>
    </w:div>
    <w:div w:id="1849559229">
      <w:bodyDiv w:val="1"/>
      <w:marLeft w:val="0"/>
      <w:marRight w:val="0"/>
      <w:marTop w:val="0"/>
      <w:marBottom w:val="0"/>
      <w:divBdr>
        <w:top w:val="none" w:sz="0" w:space="0" w:color="auto"/>
        <w:left w:val="none" w:sz="0" w:space="0" w:color="auto"/>
        <w:bottom w:val="none" w:sz="0" w:space="0" w:color="auto"/>
        <w:right w:val="none" w:sz="0" w:space="0" w:color="auto"/>
      </w:divBdr>
      <w:divsChild>
        <w:div w:id="1987706953">
          <w:marLeft w:val="0"/>
          <w:marRight w:val="0"/>
          <w:marTop w:val="0"/>
          <w:marBottom w:val="0"/>
          <w:divBdr>
            <w:top w:val="none" w:sz="0" w:space="0" w:color="auto"/>
            <w:left w:val="none" w:sz="0" w:space="0" w:color="auto"/>
            <w:bottom w:val="none" w:sz="0" w:space="0" w:color="auto"/>
            <w:right w:val="none" w:sz="0" w:space="0" w:color="auto"/>
          </w:divBdr>
          <w:divsChild>
            <w:div w:id="1561672174">
              <w:marLeft w:val="0"/>
              <w:marRight w:val="0"/>
              <w:marTop w:val="0"/>
              <w:marBottom w:val="0"/>
              <w:divBdr>
                <w:top w:val="none" w:sz="0" w:space="0" w:color="auto"/>
                <w:left w:val="none" w:sz="0" w:space="0" w:color="auto"/>
                <w:bottom w:val="none" w:sz="0" w:space="0" w:color="auto"/>
                <w:right w:val="none" w:sz="0" w:space="0" w:color="auto"/>
              </w:divBdr>
              <w:divsChild>
                <w:div w:id="6029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913004">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7351858">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25189562">
      <w:bodyDiv w:val="1"/>
      <w:marLeft w:val="0"/>
      <w:marRight w:val="0"/>
      <w:marTop w:val="0"/>
      <w:marBottom w:val="0"/>
      <w:divBdr>
        <w:top w:val="none" w:sz="0" w:space="0" w:color="auto"/>
        <w:left w:val="none" w:sz="0" w:space="0" w:color="auto"/>
        <w:bottom w:val="none" w:sz="0" w:space="0" w:color="auto"/>
        <w:right w:val="none" w:sz="0" w:space="0" w:color="auto"/>
      </w:divBdr>
    </w:div>
    <w:div w:id="1931770475">
      <w:bodyDiv w:val="1"/>
      <w:marLeft w:val="0"/>
      <w:marRight w:val="0"/>
      <w:marTop w:val="0"/>
      <w:marBottom w:val="0"/>
      <w:divBdr>
        <w:top w:val="none" w:sz="0" w:space="0" w:color="auto"/>
        <w:left w:val="none" w:sz="0" w:space="0" w:color="auto"/>
        <w:bottom w:val="none" w:sz="0" w:space="0" w:color="auto"/>
        <w:right w:val="none" w:sz="0" w:space="0" w:color="auto"/>
      </w:divBdr>
      <w:divsChild>
        <w:div w:id="1490049483">
          <w:marLeft w:val="0"/>
          <w:marRight w:val="0"/>
          <w:marTop w:val="0"/>
          <w:marBottom w:val="0"/>
          <w:divBdr>
            <w:top w:val="none" w:sz="0" w:space="0" w:color="auto"/>
            <w:left w:val="none" w:sz="0" w:space="0" w:color="auto"/>
            <w:bottom w:val="none" w:sz="0" w:space="0" w:color="auto"/>
            <w:right w:val="none" w:sz="0" w:space="0" w:color="auto"/>
          </w:divBdr>
        </w:div>
      </w:divsChild>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1958683796">
      <w:bodyDiv w:val="1"/>
      <w:marLeft w:val="0"/>
      <w:marRight w:val="0"/>
      <w:marTop w:val="0"/>
      <w:marBottom w:val="0"/>
      <w:divBdr>
        <w:top w:val="none" w:sz="0" w:space="0" w:color="auto"/>
        <w:left w:val="none" w:sz="0" w:space="0" w:color="auto"/>
        <w:bottom w:val="none" w:sz="0" w:space="0" w:color="auto"/>
        <w:right w:val="none" w:sz="0" w:space="0" w:color="auto"/>
      </w:divBdr>
    </w:div>
    <w:div w:id="1973902286">
      <w:bodyDiv w:val="1"/>
      <w:marLeft w:val="0"/>
      <w:marRight w:val="0"/>
      <w:marTop w:val="0"/>
      <w:marBottom w:val="0"/>
      <w:divBdr>
        <w:top w:val="none" w:sz="0" w:space="0" w:color="auto"/>
        <w:left w:val="none" w:sz="0" w:space="0" w:color="auto"/>
        <w:bottom w:val="none" w:sz="0" w:space="0" w:color="auto"/>
        <w:right w:val="none" w:sz="0" w:space="0" w:color="auto"/>
      </w:divBdr>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08972625">
      <w:bodyDiv w:val="1"/>
      <w:marLeft w:val="0"/>
      <w:marRight w:val="0"/>
      <w:marTop w:val="0"/>
      <w:marBottom w:val="0"/>
      <w:divBdr>
        <w:top w:val="none" w:sz="0" w:space="0" w:color="auto"/>
        <w:left w:val="none" w:sz="0" w:space="0" w:color="auto"/>
        <w:bottom w:val="none" w:sz="0" w:space="0" w:color="auto"/>
        <w:right w:val="none" w:sz="0" w:space="0" w:color="auto"/>
      </w:divBdr>
    </w:div>
    <w:div w:id="2010713804">
      <w:bodyDiv w:val="1"/>
      <w:marLeft w:val="0"/>
      <w:marRight w:val="0"/>
      <w:marTop w:val="0"/>
      <w:marBottom w:val="0"/>
      <w:divBdr>
        <w:top w:val="none" w:sz="0" w:space="0" w:color="auto"/>
        <w:left w:val="none" w:sz="0" w:space="0" w:color="auto"/>
        <w:bottom w:val="none" w:sz="0" w:space="0" w:color="auto"/>
        <w:right w:val="none" w:sz="0" w:space="0" w:color="auto"/>
      </w:divBdr>
    </w:div>
    <w:div w:id="2011978869">
      <w:bodyDiv w:val="1"/>
      <w:marLeft w:val="0"/>
      <w:marRight w:val="0"/>
      <w:marTop w:val="0"/>
      <w:marBottom w:val="0"/>
      <w:divBdr>
        <w:top w:val="none" w:sz="0" w:space="0" w:color="auto"/>
        <w:left w:val="none" w:sz="0" w:space="0" w:color="auto"/>
        <w:bottom w:val="none" w:sz="0" w:space="0" w:color="auto"/>
        <w:right w:val="none" w:sz="0" w:space="0" w:color="auto"/>
      </w:divBdr>
      <w:divsChild>
        <w:div w:id="2028359735">
          <w:marLeft w:val="0"/>
          <w:marRight w:val="0"/>
          <w:marTop w:val="0"/>
          <w:marBottom w:val="0"/>
          <w:divBdr>
            <w:top w:val="none" w:sz="0" w:space="0" w:color="auto"/>
            <w:left w:val="none" w:sz="0" w:space="0" w:color="auto"/>
            <w:bottom w:val="none" w:sz="0" w:space="0" w:color="auto"/>
            <w:right w:val="none" w:sz="0" w:space="0" w:color="auto"/>
          </w:divBdr>
          <w:divsChild>
            <w:div w:id="169754505">
              <w:marLeft w:val="0"/>
              <w:marRight w:val="0"/>
              <w:marTop w:val="0"/>
              <w:marBottom w:val="0"/>
              <w:divBdr>
                <w:top w:val="none" w:sz="0" w:space="0" w:color="auto"/>
                <w:left w:val="none" w:sz="0" w:space="0" w:color="auto"/>
                <w:bottom w:val="none" w:sz="0" w:space="0" w:color="auto"/>
                <w:right w:val="none" w:sz="0" w:space="0" w:color="auto"/>
              </w:divBdr>
              <w:divsChild>
                <w:div w:id="714700809">
                  <w:marLeft w:val="0"/>
                  <w:marRight w:val="0"/>
                  <w:marTop w:val="0"/>
                  <w:marBottom w:val="0"/>
                  <w:divBdr>
                    <w:top w:val="none" w:sz="0" w:space="0" w:color="auto"/>
                    <w:left w:val="none" w:sz="0" w:space="0" w:color="auto"/>
                    <w:bottom w:val="none" w:sz="0" w:space="0" w:color="auto"/>
                    <w:right w:val="none" w:sz="0" w:space="0" w:color="auto"/>
                  </w:divBdr>
                  <w:divsChild>
                    <w:div w:id="21701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17802156">
      <w:bodyDiv w:val="1"/>
      <w:marLeft w:val="0"/>
      <w:marRight w:val="0"/>
      <w:marTop w:val="0"/>
      <w:marBottom w:val="0"/>
      <w:divBdr>
        <w:top w:val="none" w:sz="0" w:space="0" w:color="auto"/>
        <w:left w:val="none" w:sz="0" w:space="0" w:color="auto"/>
        <w:bottom w:val="none" w:sz="0" w:space="0" w:color="auto"/>
        <w:right w:val="none" w:sz="0" w:space="0" w:color="auto"/>
      </w:divBdr>
      <w:divsChild>
        <w:div w:id="502858148">
          <w:marLeft w:val="0"/>
          <w:marRight w:val="0"/>
          <w:marTop w:val="0"/>
          <w:marBottom w:val="0"/>
          <w:divBdr>
            <w:top w:val="none" w:sz="0" w:space="0" w:color="auto"/>
            <w:left w:val="none" w:sz="0" w:space="0" w:color="auto"/>
            <w:bottom w:val="none" w:sz="0" w:space="0" w:color="auto"/>
            <w:right w:val="none" w:sz="0" w:space="0" w:color="auto"/>
          </w:divBdr>
          <w:divsChild>
            <w:div w:id="1384334635">
              <w:marLeft w:val="0"/>
              <w:marRight w:val="0"/>
              <w:marTop w:val="0"/>
              <w:marBottom w:val="0"/>
              <w:divBdr>
                <w:top w:val="none" w:sz="0" w:space="0" w:color="auto"/>
                <w:left w:val="none" w:sz="0" w:space="0" w:color="auto"/>
                <w:bottom w:val="none" w:sz="0" w:space="0" w:color="auto"/>
                <w:right w:val="none" w:sz="0" w:space="0" w:color="auto"/>
              </w:divBdr>
              <w:divsChild>
                <w:div w:id="25960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53041">
      <w:bodyDiv w:val="1"/>
      <w:marLeft w:val="0"/>
      <w:marRight w:val="0"/>
      <w:marTop w:val="0"/>
      <w:marBottom w:val="0"/>
      <w:divBdr>
        <w:top w:val="none" w:sz="0" w:space="0" w:color="auto"/>
        <w:left w:val="none" w:sz="0" w:space="0" w:color="auto"/>
        <w:bottom w:val="none" w:sz="0" w:space="0" w:color="auto"/>
        <w:right w:val="none" w:sz="0" w:space="0" w:color="auto"/>
      </w:divBdr>
    </w:div>
    <w:div w:id="2030984462">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6370897">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04059355">
      <w:bodyDiv w:val="1"/>
      <w:marLeft w:val="0"/>
      <w:marRight w:val="0"/>
      <w:marTop w:val="0"/>
      <w:marBottom w:val="0"/>
      <w:divBdr>
        <w:top w:val="none" w:sz="0" w:space="0" w:color="auto"/>
        <w:left w:val="none" w:sz="0" w:space="0" w:color="auto"/>
        <w:bottom w:val="none" w:sz="0" w:space="0" w:color="auto"/>
        <w:right w:val="none" w:sz="0" w:space="0" w:color="auto"/>
      </w:divBdr>
    </w:div>
    <w:div w:id="2110352070">
      <w:bodyDiv w:val="1"/>
      <w:marLeft w:val="0"/>
      <w:marRight w:val="0"/>
      <w:marTop w:val="0"/>
      <w:marBottom w:val="0"/>
      <w:divBdr>
        <w:top w:val="none" w:sz="0" w:space="0" w:color="auto"/>
        <w:left w:val="none" w:sz="0" w:space="0" w:color="auto"/>
        <w:bottom w:val="none" w:sz="0" w:space="0" w:color="auto"/>
        <w:right w:val="none" w:sz="0" w:space="0" w:color="auto"/>
      </w:divBdr>
    </w:div>
    <w:div w:id="2111002184">
      <w:bodyDiv w:val="1"/>
      <w:marLeft w:val="0"/>
      <w:marRight w:val="0"/>
      <w:marTop w:val="0"/>
      <w:marBottom w:val="0"/>
      <w:divBdr>
        <w:top w:val="none" w:sz="0" w:space="0" w:color="auto"/>
        <w:left w:val="none" w:sz="0" w:space="0" w:color="auto"/>
        <w:bottom w:val="none" w:sz="0" w:space="0" w:color="auto"/>
        <w:right w:val="none" w:sz="0" w:space="0" w:color="auto"/>
      </w:divBdr>
    </w:div>
    <w:div w:id="2120054922">
      <w:bodyDiv w:val="1"/>
      <w:marLeft w:val="0"/>
      <w:marRight w:val="0"/>
      <w:marTop w:val="0"/>
      <w:marBottom w:val="0"/>
      <w:divBdr>
        <w:top w:val="none" w:sz="0" w:space="0" w:color="auto"/>
        <w:left w:val="none" w:sz="0" w:space="0" w:color="auto"/>
        <w:bottom w:val="none" w:sz="0" w:space="0" w:color="auto"/>
        <w:right w:val="none" w:sz="0" w:space="0" w:color="auto"/>
      </w:divBdr>
    </w:div>
    <w:div w:id="2137260680">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image" Target="media/image96.png"/><Relationship Id="rId21" Type="http://schemas.openxmlformats.org/officeDocument/2006/relationships/image" Target="media/image2.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footer" Target="footer7.xml"/><Relationship Id="rId84" Type="http://schemas.openxmlformats.org/officeDocument/2006/relationships/image" Target="media/image63.png"/><Relationship Id="rId89" Type="http://schemas.openxmlformats.org/officeDocument/2006/relationships/image" Target="media/image68.png"/><Relationship Id="rId112" Type="http://schemas.openxmlformats.org/officeDocument/2006/relationships/image" Target="media/image91.png"/><Relationship Id="rId133" Type="http://schemas.openxmlformats.org/officeDocument/2006/relationships/image" Target="media/image112.png"/><Relationship Id="rId138" Type="http://schemas.openxmlformats.org/officeDocument/2006/relationships/image" Target="media/image117.png"/><Relationship Id="rId16" Type="http://schemas.openxmlformats.org/officeDocument/2006/relationships/footer" Target="footer4.xml"/><Relationship Id="rId107" Type="http://schemas.openxmlformats.org/officeDocument/2006/relationships/image" Target="media/image86.png"/><Relationship Id="rId11" Type="http://schemas.openxmlformats.org/officeDocument/2006/relationships/footer" Target="footer2.xm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3.png"/><Relationship Id="rId79" Type="http://schemas.openxmlformats.org/officeDocument/2006/relationships/image" Target="media/image58.png"/><Relationship Id="rId102" Type="http://schemas.openxmlformats.org/officeDocument/2006/relationships/image" Target="media/image81.png"/><Relationship Id="rId123" Type="http://schemas.openxmlformats.org/officeDocument/2006/relationships/image" Target="media/image102.png"/><Relationship Id="rId128" Type="http://schemas.openxmlformats.org/officeDocument/2006/relationships/image" Target="media/image107.png"/><Relationship Id="rId5" Type="http://schemas.openxmlformats.org/officeDocument/2006/relationships/webSettings" Target="webSettings.xml"/><Relationship Id="rId90" Type="http://schemas.openxmlformats.org/officeDocument/2006/relationships/image" Target="media/image69.png"/><Relationship Id="rId95" Type="http://schemas.openxmlformats.org/officeDocument/2006/relationships/image" Target="media/image74.png"/><Relationship Id="rId22" Type="http://schemas.openxmlformats.org/officeDocument/2006/relationships/image" Target="media/image3.png"/><Relationship Id="rId27" Type="http://schemas.openxmlformats.org/officeDocument/2006/relationships/image" Target="media/image8.pn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image" Target="media/image45.png"/><Relationship Id="rId69" Type="http://schemas.openxmlformats.org/officeDocument/2006/relationships/image" Target="media/image49.jpeg"/><Relationship Id="rId113" Type="http://schemas.openxmlformats.org/officeDocument/2006/relationships/image" Target="media/image92.png"/><Relationship Id="rId118" Type="http://schemas.openxmlformats.org/officeDocument/2006/relationships/image" Target="media/image97.png"/><Relationship Id="rId134" Type="http://schemas.openxmlformats.org/officeDocument/2006/relationships/image" Target="media/image113.png"/><Relationship Id="rId139" Type="http://schemas.openxmlformats.org/officeDocument/2006/relationships/image" Target="media/image118.png"/><Relationship Id="rId8" Type="http://schemas.openxmlformats.org/officeDocument/2006/relationships/header" Target="header1.xml"/><Relationship Id="rId51" Type="http://schemas.openxmlformats.org/officeDocument/2006/relationships/image" Target="media/image32.png"/><Relationship Id="rId72" Type="http://schemas.openxmlformats.org/officeDocument/2006/relationships/image" Target="media/image51.png"/><Relationship Id="rId80" Type="http://schemas.openxmlformats.org/officeDocument/2006/relationships/image" Target="media/image59.png"/><Relationship Id="rId85" Type="http://schemas.openxmlformats.org/officeDocument/2006/relationships/image" Target="media/image64.png"/><Relationship Id="rId93" Type="http://schemas.openxmlformats.org/officeDocument/2006/relationships/image" Target="media/image72.png"/><Relationship Id="rId98" Type="http://schemas.openxmlformats.org/officeDocument/2006/relationships/image" Target="media/image77.png"/><Relationship Id="rId121" Type="http://schemas.openxmlformats.org/officeDocument/2006/relationships/image" Target="media/image100.png"/><Relationship Id="rId14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8.png"/><Relationship Id="rId103" Type="http://schemas.openxmlformats.org/officeDocument/2006/relationships/image" Target="media/image82.png"/><Relationship Id="rId108" Type="http://schemas.openxmlformats.org/officeDocument/2006/relationships/image" Target="media/image87.png"/><Relationship Id="rId116" Type="http://schemas.openxmlformats.org/officeDocument/2006/relationships/image" Target="media/image95.png"/><Relationship Id="rId124" Type="http://schemas.openxmlformats.org/officeDocument/2006/relationships/image" Target="media/image103.png"/><Relationship Id="rId129" Type="http://schemas.openxmlformats.org/officeDocument/2006/relationships/image" Target="media/image108.png"/><Relationship Id="rId137" Type="http://schemas.openxmlformats.org/officeDocument/2006/relationships/image" Target="media/image116.png"/><Relationship Id="rId20" Type="http://schemas.openxmlformats.org/officeDocument/2006/relationships/image" Target="media/image1.png"/><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footer" Target="footer8.xml"/><Relationship Id="rId75" Type="http://schemas.openxmlformats.org/officeDocument/2006/relationships/image" Target="media/image54.png"/><Relationship Id="rId83" Type="http://schemas.openxmlformats.org/officeDocument/2006/relationships/image" Target="media/image62.png"/><Relationship Id="rId88" Type="http://schemas.openxmlformats.org/officeDocument/2006/relationships/image" Target="media/image67.png"/><Relationship Id="rId91" Type="http://schemas.openxmlformats.org/officeDocument/2006/relationships/image" Target="media/image70.png"/><Relationship Id="rId96" Type="http://schemas.openxmlformats.org/officeDocument/2006/relationships/image" Target="media/image75.png"/><Relationship Id="rId111" Type="http://schemas.openxmlformats.org/officeDocument/2006/relationships/image" Target="media/image90.png"/><Relationship Id="rId132" Type="http://schemas.openxmlformats.org/officeDocument/2006/relationships/image" Target="media/image111.png"/><Relationship Id="rId140" Type="http://schemas.openxmlformats.org/officeDocument/2006/relationships/footer" Target="footer9.xml"/><Relationship Id="rId153"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6" Type="http://schemas.openxmlformats.org/officeDocument/2006/relationships/image" Target="media/image85.png"/><Relationship Id="rId114" Type="http://schemas.openxmlformats.org/officeDocument/2006/relationships/image" Target="media/image93.png"/><Relationship Id="rId119" Type="http://schemas.openxmlformats.org/officeDocument/2006/relationships/image" Target="media/image98.png"/><Relationship Id="rId127" Type="http://schemas.openxmlformats.org/officeDocument/2006/relationships/image" Target="media/image106.png"/><Relationship Id="rId10" Type="http://schemas.openxmlformats.org/officeDocument/2006/relationships/footer" Target="footer1.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2.png"/><Relationship Id="rId78" Type="http://schemas.openxmlformats.org/officeDocument/2006/relationships/image" Target="media/image57.png"/><Relationship Id="rId81" Type="http://schemas.openxmlformats.org/officeDocument/2006/relationships/image" Target="media/image60.png"/><Relationship Id="rId86" Type="http://schemas.openxmlformats.org/officeDocument/2006/relationships/image" Target="media/image65.pn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image" Target="media/image101.png"/><Relationship Id="rId130" Type="http://schemas.openxmlformats.org/officeDocument/2006/relationships/image" Target="media/image109.png"/><Relationship Id="rId135" Type="http://schemas.openxmlformats.org/officeDocument/2006/relationships/image" Target="media/image114.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20.png"/><Relationship Id="rId109" Type="http://schemas.openxmlformats.org/officeDocument/2006/relationships/image" Target="media/image88.pn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5.png"/><Relationship Id="rId97" Type="http://schemas.openxmlformats.org/officeDocument/2006/relationships/image" Target="media/image76.png"/><Relationship Id="rId104" Type="http://schemas.openxmlformats.org/officeDocument/2006/relationships/image" Target="media/image83.png"/><Relationship Id="rId120" Type="http://schemas.openxmlformats.org/officeDocument/2006/relationships/image" Target="media/image99.png"/><Relationship Id="rId125" Type="http://schemas.openxmlformats.org/officeDocument/2006/relationships/image" Target="media/image104.png"/><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0.png"/><Relationship Id="rId92" Type="http://schemas.openxmlformats.org/officeDocument/2006/relationships/image" Target="media/image71.png"/><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5.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image" Target="media/image66.png"/><Relationship Id="rId110" Type="http://schemas.openxmlformats.org/officeDocument/2006/relationships/image" Target="media/image89.png"/><Relationship Id="rId115" Type="http://schemas.openxmlformats.org/officeDocument/2006/relationships/image" Target="media/image94.png"/><Relationship Id="rId131" Type="http://schemas.openxmlformats.org/officeDocument/2006/relationships/image" Target="media/image110.png"/><Relationship Id="rId136" Type="http://schemas.openxmlformats.org/officeDocument/2006/relationships/image" Target="media/image115.png"/><Relationship Id="rId61" Type="http://schemas.openxmlformats.org/officeDocument/2006/relationships/image" Target="media/image42.png"/><Relationship Id="rId82" Type="http://schemas.openxmlformats.org/officeDocument/2006/relationships/image" Target="media/image61.png"/><Relationship Id="rId152" Type="http://schemas.microsoft.com/office/2016/09/relationships/commentsIds" Target="commentsIds.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image" Target="media/image37.png"/><Relationship Id="rId77" Type="http://schemas.openxmlformats.org/officeDocument/2006/relationships/image" Target="media/image56.png"/><Relationship Id="rId100" Type="http://schemas.openxmlformats.org/officeDocument/2006/relationships/image" Target="media/image79.png"/><Relationship Id="rId105" Type="http://schemas.openxmlformats.org/officeDocument/2006/relationships/image" Target="media/image84.png"/><Relationship Id="rId126" Type="http://schemas.openxmlformats.org/officeDocument/2006/relationships/image" Target="media/image10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841A25C-725F-4933-A7DE-FAFF55125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423</Pages>
  <Words>123089</Words>
  <Characters>701609</Characters>
  <Application>Microsoft Office Word</Application>
  <DocSecurity>0</DocSecurity>
  <Lines>5846</Lines>
  <Paragraphs>1646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823052</CharactersWithSpaces>
  <SharedDoc>false</SharedDoc>
  <HLinks>
    <vt:vector size="792" baseType="variant">
      <vt:variant>
        <vt:i4>4653067</vt:i4>
      </vt:variant>
      <vt:variant>
        <vt:i4>2325</vt:i4>
      </vt:variant>
      <vt:variant>
        <vt:i4>0</vt:i4>
      </vt:variant>
      <vt:variant>
        <vt:i4>5</vt:i4>
      </vt:variant>
      <vt:variant>
        <vt:lpwstr/>
      </vt:variant>
      <vt:variant>
        <vt:lpwstr>_ENREF_64</vt:lpwstr>
      </vt:variant>
      <vt:variant>
        <vt:i4>4653067</vt:i4>
      </vt:variant>
      <vt:variant>
        <vt:i4>2317</vt:i4>
      </vt:variant>
      <vt:variant>
        <vt:i4>0</vt:i4>
      </vt:variant>
      <vt:variant>
        <vt:i4>5</vt:i4>
      </vt:variant>
      <vt:variant>
        <vt:lpwstr/>
      </vt:variant>
      <vt:variant>
        <vt:lpwstr>_ENREF_63</vt:lpwstr>
      </vt:variant>
      <vt:variant>
        <vt:i4>4653067</vt:i4>
      </vt:variant>
      <vt:variant>
        <vt:i4>2311</vt:i4>
      </vt:variant>
      <vt:variant>
        <vt:i4>0</vt:i4>
      </vt:variant>
      <vt:variant>
        <vt:i4>5</vt:i4>
      </vt:variant>
      <vt:variant>
        <vt:lpwstr/>
      </vt:variant>
      <vt:variant>
        <vt:lpwstr>_ENREF_62</vt:lpwstr>
      </vt:variant>
      <vt:variant>
        <vt:i4>4653067</vt:i4>
      </vt:variant>
      <vt:variant>
        <vt:i4>2249</vt:i4>
      </vt:variant>
      <vt:variant>
        <vt:i4>0</vt:i4>
      </vt:variant>
      <vt:variant>
        <vt:i4>5</vt:i4>
      </vt:variant>
      <vt:variant>
        <vt:lpwstr/>
      </vt:variant>
      <vt:variant>
        <vt:lpwstr>_ENREF_61</vt:lpwstr>
      </vt:variant>
      <vt:variant>
        <vt:i4>4653067</vt:i4>
      </vt:variant>
      <vt:variant>
        <vt:i4>2177</vt:i4>
      </vt:variant>
      <vt:variant>
        <vt:i4>0</vt:i4>
      </vt:variant>
      <vt:variant>
        <vt:i4>5</vt:i4>
      </vt:variant>
      <vt:variant>
        <vt:lpwstr/>
      </vt:variant>
      <vt:variant>
        <vt:lpwstr>_ENREF_60</vt:lpwstr>
      </vt:variant>
      <vt:variant>
        <vt:i4>4456459</vt:i4>
      </vt:variant>
      <vt:variant>
        <vt:i4>2171</vt:i4>
      </vt:variant>
      <vt:variant>
        <vt:i4>0</vt:i4>
      </vt:variant>
      <vt:variant>
        <vt:i4>5</vt:i4>
      </vt:variant>
      <vt:variant>
        <vt:lpwstr/>
      </vt:variant>
      <vt:variant>
        <vt:lpwstr>_ENREF_59</vt:lpwstr>
      </vt:variant>
      <vt:variant>
        <vt:i4>4456459</vt:i4>
      </vt:variant>
      <vt:variant>
        <vt:i4>2165</vt:i4>
      </vt:variant>
      <vt:variant>
        <vt:i4>0</vt:i4>
      </vt:variant>
      <vt:variant>
        <vt:i4>5</vt:i4>
      </vt:variant>
      <vt:variant>
        <vt:lpwstr/>
      </vt:variant>
      <vt:variant>
        <vt:lpwstr>_ENREF_58</vt:lpwstr>
      </vt:variant>
      <vt:variant>
        <vt:i4>4456459</vt:i4>
      </vt:variant>
      <vt:variant>
        <vt:i4>2157</vt:i4>
      </vt:variant>
      <vt:variant>
        <vt:i4>0</vt:i4>
      </vt:variant>
      <vt:variant>
        <vt:i4>5</vt:i4>
      </vt:variant>
      <vt:variant>
        <vt:lpwstr/>
      </vt:variant>
      <vt:variant>
        <vt:lpwstr>_ENREF_57</vt:lpwstr>
      </vt:variant>
      <vt:variant>
        <vt:i4>4456459</vt:i4>
      </vt:variant>
      <vt:variant>
        <vt:i4>2151</vt:i4>
      </vt:variant>
      <vt:variant>
        <vt:i4>0</vt:i4>
      </vt:variant>
      <vt:variant>
        <vt:i4>5</vt:i4>
      </vt:variant>
      <vt:variant>
        <vt:lpwstr/>
      </vt:variant>
      <vt:variant>
        <vt:lpwstr>_ENREF_56</vt:lpwstr>
      </vt:variant>
      <vt:variant>
        <vt:i4>4456459</vt:i4>
      </vt:variant>
      <vt:variant>
        <vt:i4>2145</vt:i4>
      </vt:variant>
      <vt:variant>
        <vt:i4>0</vt:i4>
      </vt:variant>
      <vt:variant>
        <vt:i4>5</vt:i4>
      </vt:variant>
      <vt:variant>
        <vt:lpwstr/>
      </vt:variant>
      <vt:variant>
        <vt:lpwstr>_ENREF_55</vt:lpwstr>
      </vt:variant>
      <vt:variant>
        <vt:i4>4456459</vt:i4>
      </vt:variant>
      <vt:variant>
        <vt:i4>1723</vt:i4>
      </vt:variant>
      <vt:variant>
        <vt:i4>0</vt:i4>
      </vt:variant>
      <vt:variant>
        <vt:i4>5</vt:i4>
      </vt:variant>
      <vt:variant>
        <vt:lpwstr/>
      </vt:variant>
      <vt:variant>
        <vt:lpwstr>_ENREF_54</vt:lpwstr>
      </vt:variant>
      <vt:variant>
        <vt:i4>4456459</vt:i4>
      </vt:variant>
      <vt:variant>
        <vt:i4>1717</vt:i4>
      </vt:variant>
      <vt:variant>
        <vt:i4>0</vt:i4>
      </vt:variant>
      <vt:variant>
        <vt:i4>5</vt:i4>
      </vt:variant>
      <vt:variant>
        <vt:lpwstr/>
      </vt:variant>
      <vt:variant>
        <vt:lpwstr>_ENREF_53</vt:lpwstr>
      </vt:variant>
      <vt:variant>
        <vt:i4>4456459</vt:i4>
      </vt:variant>
      <vt:variant>
        <vt:i4>1709</vt:i4>
      </vt:variant>
      <vt:variant>
        <vt:i4>0</vt:i4>
      </vt:variant>
      <vt:variant>
        <vt:i4>5</vt:i4>
      </vt:variant>
      <vt:variant>
        <vt:lpwstr/>
      </vt:variant>
      <vt:variant>
        <vt:lpwstr>_ENREF_52</vt:lpwstr>
      </vt:variant>
      <vt:variant>
        <vt:i4>4456459</vt:i4>
      </vt:variant>
      <vt:variant>
        <vt:i4>1701</vt:i4>
      </vt:variant>
      <vt:variant>
        <vt:i4>0</vt:i4>
      </vt:variant>
      <vt:variant>
        <vt:i4>5</vt:i4>
      </vt:variant>
      <vt:variant>
        <vt:lpwstr/>
      </vt:variant>
      <vt:variant>
        <vt:lpwstr>_ENREF_51</vt:lpwstr>
      </vt:variant>
      <vt:variant>
        <vt:i4>4456459</vt:i4>
      </vt:variant>
      <vt:variant>
        <vt:i4>1695</vt:i4>
      </vt:variant>
      <vt:variant>
        <vt:i4>0</vt:i4>
      </vt:variant>
      <vt:variant>
        <vt:i4>5</vt:i4>
      </vt:variant>
      <vt:variant>
        <vt:lpwstr/>
      </vt:variant>
      <vt:variant>
        <vt:lpwstr>_ENREF_50</vt:lpwstr>
      </vt:variant>
      <vt:variant>
        <vt:i4>4325387</vt:i4>
      </vt:variant>
      <vt:variant>
        <vt:i4>1689</vt:i4>
      </vt:variant>
      <vt:variant>
        <vt:i4>0</vt:i4>
      </vt:variant>
      <vt:variant>
        <vt:i4>5</vt:i4>
      </vt:variant>
      <vt:variant>
        <vt:lpwstr/>
      </vt:variant>
      <vt:variant>
        <vt:lpwstr>_ENREF_38</vt:lpwstr>
      </vt:variant>
      <vt:variant>
        <vt:i4>4325387</vt:i4>
      </vt:variant>
      <vt:variant>
        <vt:i4>1681</vt:i4>
      </vt:variant>
      <vt:variant>
        <vt:i4>0</vt:i4>
      </vt:variant>
      <vt:variant>
        <vt:i4>5</vt:i4>
      </vt:variant>
      <vt:variant>
        <vt:lpwstr/>
      </vt:variant>
      <vt:variant>
        <vt:lpwstr>_ENREF_30</vt:lpwstr>
      </vt:variant>
      <vt:variant>
        <vt:i4>4521995</vt:i4>
      </vt:variant>
      <vt:variant>
        <vt:i4>1628</vt:i4>
      </vt:variant>
      <vt:variant>
        <vt:i4>0</vt:i4>
      </vt:variant>
      <vt:variant>
        <vt:i4>5</vt:i4>
      </vt:variant>
      <vt:variant>
        <vt:lpwstr/>
      </vt:variant>
      <vt:variant>
        <vt:lpwstr>_ENREF_40</vt:lpwstr>
      </vt:variant>
      <vt:variant>
        <vt:i4>4325387</vt:i4>
      </vt:variant>
      <vt:variant>
        <vt:i4>1580</vt:i4>
      </vt:variant>
      <vt:variant>
        <vt:i4>0</vt:i4>
      </vt:variant>
      <vt:variant>
        <vt:i4>5</vt:i4>
      </vt:variant>
      <vt:variant>
        <vt:lpwstr/>
      </vt:variant>
      <vt:variant>
        <vt:lpwstr>_ENREF_3</vt:lpwstr>
      </vt:variant>
      <vt:variant>
        <vt:i4>4325387</vt:i4>
      </vt:variant>
      <vt:variant>
        <vt:i4>1529</vt:i4>
      </vt:variant>
      <vt:variant>
        <vt:i4>0</vt:i4>
      </vt:variant>
      <vt:variant>
        <vt:i4>5</vt:i4>
      </vt:variant>
      <vt:variant>
        <vt:lpwstr/>
      </vt:variant>
      <vt:variant>
        <vt:lpwstr>_ENREF_3</vt:lpwstr>
      </vt:variant>
      <vt:variant>
        <vt:i4>4521995</vt:i4>
      </vt:variant>
      <vt:variant>
        <vt:i4>1479</vt:i4>
      </vt:variant>
      <vt:variant>
        <vt:i4>0</vt:i4>
      </vt:variant>
      <vt:variant>
        <vt:i4>5</vt:i4>
      </vt:variant>
      <vt:variant>
        <vt:lpwstr/>
      </vt:variant>
      <vt:variant>
        <vt:lpwstr>_ENREF_49</vt:lpwstr>
      </vt:variant>
      <vt:variant>
        <vt:i4>4521995</vt:i4>
      </vt:variant>
      <vt:variant>
        <vt:i4>1441</vt:i4>
      </vt:variant>
      <vt:variant>
        <vt:i4>0</vt:i4>
      </vt:variant>
      <vt:variant>
        <vt:i4>5</vt:i4>
      </vt:variant>
      <vt:variant>
        <vt:lpwstr/>
      </vt:variant>
      <vt:variant>
        <vt:lpwstr>_ENREF_46</vt:lpwstr>
      </vt:variant>
      <vt:variant>
        <vt:i4>4521995</vt:i4>
      </vt:variant>
      <vt:variant>
        <vt:i4>1433</vt:i4>
      </vt:variant>
      <vt:variant>
        <vt:i4>0</vt:i4>
      </vt:variant>
      <vt:variant>
        <vt:i4>5</vt:i4>
      </vt:variant>
      <vt:variant>
        <vt:lpwstr/>
      </vt:variant>
      <vt:variant>
        <vt:lpwstr>_ENREF_48</vt:lpwstr>
      </vt:variant>
      <vt:variant>
        <vt:i4>4521995</vt:i4>
      </vt:variant>
      <vt:variant>
        <vt:i4>1368</vt:i4>
      </vt:variant>
      <vt:variant>
        <vt:i4>0</vt:i4>
      </vt:variant>
      <vt:variant>
        <vt:i4>5</vt:i4>
      </vt:variant>
      <vt:variant>
        <vt:lpwstr/>
      </vt:variant>
      <vt:variant>
        <vt:lpwstr>_ENREF_47</vt:lpwstr>
      </vt:variant>
      <vt:variant>
        <vt:i4>4325387</vt:i4>
      </vt:variant>
      <vt:variant>
        <vt:i4>1362</vt:i4>
      </vt:variant>
      <vt:variant>
        <vt:i4>0</vt:i4>
      </vt:variant>
      <vt:variant>
        <vt:i4>5</vt:i4>
      </vt:variant>
      <vt:variant>
        <vt:lpwstr/>
      </vt:variant>
      <vt:variant>
        <vt:lpwstr>_ENREF_38</vt:lpwstr>
      </vt:variant>
      <vt:variant>
        <vt:i4>4521995</vt:i4>
      </vt:variant>
      <vt:variant>
        <vt:i4>1312</vt:i4>
      </vt:variant>
      <vt:variant>
        <vt:i4>0</vt:i4>
      </vt:variant>
      <vt:variant>
        <vt:i4>5</vt:i4>
      </vt:variant>
      <vt:variant>
        <vt:lpwstr/>
      </vt:variant>
      <vt:variant>
        <vt:lpwstr>_ENREF_46</vt:lpwstr>
      </vt:variant>
      <vt:variant>
        <vt:i4>4325387</vt:i4>
      </vt:variant>
      <vt:variant>
        <vt:i4>1304</vt:i4>
      </vt:variant>
      <vt:variant>
        <vt:i4>0</vt:i4>
      </vt:variant>
      <vt:variant>
        <vt:i4>5</vt:i4>
      </vt:variant>
      <vt:variant>
        <vt:lpwstr/>
      </vt:variant>
      <vt:variant>
        <vt:lpwstr>_ENREF_30</vt:lpwstr>
      </vt:variant>
      <vt:variant>
        <vt:i4>4521995</vt:i4>
      </vt:variant>
      <vt:variant>
        <vt:i4>1268</vt:i4>
      </vt:variant>
      <vt:variant>
        <vt:i4>0</vt:i4>
      </vt:variant>
      <vt:variant>
        <vt:i4>5</vt:i4>
      </vt:variant>
      <vt:variant>
        <vt:lpwstr/>
      </vt:variant>
      <vt:variant>
        <vt:lpwstr>_ENREF_45</vt:lpwstr>
      </vt:variant>
      <vt:variant>
        <vt:i4>4521995</vt:i4>
      </vt:variant>
      <vt:variant>
        <vt:i4>1227</vt:i4>
      </vt:variant>
      <vt:variant>
        <vt:i4>0</vt:i4>
      </vt:variant>
      <vt:variant>
        <vt:i4>5</vt:i4>
      </vt:variant>
      <vt:variant>
        <vt:lpwstr/>
      </vt:variant>
      <vt:variant>
        <vt:lpwstr>_ENREF_40</vt:lpwstr>
      </vt:variant>
      <vt:variant>
        <vt:i4>4521995</vt:i4>
      </vt:variant>
      <vt:variant>
        <vt:i4>1185</vt:i4>
      </vt:variant>
      <vt:variant>
        <vt:i4>0</vt:i4>
      </vt:variant>
      <vt:variant>
        <vt:i4>5</vt:i4>
      </vt:variant>
      <vt:variant>
        <vt:lpwstr/>
      </vt:variant>
      <vt:variant>
        <vt:lpwstr>_ENREF_44</vt:lpwstr>
      </vt:variant>
      <vt:variant>
        <vt:i4>4521995</vt:i4>
      </vt:variant>
      <vt:variant>
        <vt:i4>1179</vt:i4>
      </vt:variant>
      <vt:variant>
        <vt:i4>0</vt:i4>
      </vt:variant>
      <vt:variant>
        <vt:i4>5</vt:i4>
      </vt:variant>
      <vt:variant>
        <vt:lpwstr/>
      </vt:variant>
      <vt:variant>
        <vt:lpwstr>_ENREF_43</vt:lpwstr>
      </vt:variant>
      <vt:variant>
        <vt:i4>4521995</vt:i4>
      </vt:variant>
      <vt:variant>
        <vt:i4>1138</vt:i4>
      </vt:variant>
      <vt:variant>
        <vt:i4>0</vt:i4>
      </vt:variant>
      <vt:variant>
        <vt:i4>5</vt:i4>
      </vt:variant>
      <vt:variant>
        <vt:lpwstr/>
      </vt:variant>
      <vt:variant>
        <vt:lpwstr>_ENREF_40</vt:lpwstr>
      </vt:variant>
      <vt:variant>
        <vt:i4>4194315</vt:i4>
      </vt:variant>
      <vt:variant>
        <vt:i4>1100</vt:i4>
      </vt:variant>
      <vt:variant>
        <vt:i4>0</vt:i4>
      </vt:variant>
      <vt:variant>
        <vt:i4>5</vt:i4>
      </vt:variant>
      <vt:variant>
        <vt:lpwstr/>
      </vt:variant>
      <vt:variant>
        <vt:lpwstr>_ENREF_19</vt:lpwstr>
      </vt:variant>
      <vt:variant>
        <vt:i4>4521995</vt:i4>
      </vt:variant>
      <vt:variant>
        <vt:i4>1092</vt:i4>
      </vt:variant>
      <vt:variant>
        <vt:i4>0</vt:i4>
      </vt:variant>
      <vt:variant>
        <vt:i4>5</vt:i4>
      </vt:variant>
      <vt:variant>
        <vt:lpwstr/>
      </vt:variant>
      <vt:variant>
        <vt:lpwstr>_ENREF_42</vt:lpwstr>
      </vt:variant>
      <vt:variant>
        <vt:i4>4521995</vt:i4>
      </vt:variant>
      <vt:variant>
        <vt:i4>1051</vt:i4>
      </vt:variant>
      <vt:variant>
        <vt:i4>0</vt:i4>
      </vt:variant>
      <vt:variant>
        <vt:i4>5</vt:i4>
      </vt:variant>
      <vt:variant>
        <vt:lpwstr/>
      </vt:variant>
      <vt:variant>
        <vt:lpwstr>_ENREF_41</vt:lpwstr>
      </vt:variant>
      <vt:variant>
        <vt:i4>4521995</vt:i4>
      </vt:variant>
      <vt:variant>
        <vt:i4>1043</vt:i4>
      </vt:variant>
      <vt:variant>
        <vt:i4>0</vt:i4>
      </vt:variant>
      <vt:variant>
        <vt:i4>5</vt:i4>
      </vt:variant>
      <vt:variant>
        <vt:lpwstr/>
      </vt:variant>
      <vt:variant>
        <vt:lpwstr>_ENREF_40</vt:lpwstr>
      </vt:variant>
      <vt:variant>
        <vt:i4>4325387</vt:i4>
      </vt:variant>
      <vt:variant>
        <vt:i4>1037</vt:i4>
      </vt:variant>
      <vt:variant>
        <vt:i4>0</vt:i4>
      </vt:variant>
      <vt:variant>
        <vt:i4>5</vt:i4>
      </vt:variant>
      <vt:variant>
        <vt:lpwstr/>
      </vt:variant>
      <vt:variant>
        <vt:lpwstr>_ENREF_39</vt:lpwstr>
      </vt:variant>
      <vt:variant>
        <vt:i4>4325387</vt:i4>
      </vt:variant>
      <vt:variant>
        <vt:i4>980</vt:i4>
      </vt:variant>
      <vt:variant>
        <vt:i4>0</vt:i4>
      </vt:variant>
      <vt:variant>
        <vt:i4>5</vt:i4>
      </vt:variant>
      <vt:variant>
        <vt:lpwstr/>
      </vt:variant>
      <vt:variant>
        <vt:lpwstr>_ENREF_38</vt:lpwstr>
      </vt:variant>
      <vt:variant>
        <vt:i4>4325387</vt:i4>
      </vt:variant>
      <vt:variant>
        <vt:i4>974</vt:i4>
      </vt:variant>
      <vt:variant>
        <vt:i4>0</vt:i4>
      </vt:variant>
      <vt:variant>
        <vt:i4>5</vt:i4>
      </vt:variant>
      <vt:variant>
        <vt:lpwstr/>
      </vt:variant>
      <vt:variant>
        <vt:lpwstr>_ENREF_37</vt:lpwstr>
      </vt:variant>
      <vt:variant>
        <vt:i4>4325387</vt:i4>
      </vt:variant>
      <vt:variant>
        <vt:i4>966</vt:i4>
      </vt:variant>
      <vt:variant>
        <vt:i4>0</vt:i4>
      </vt:variant>
      <vt:variant>
        <vt:i4>5</vt:i4>
      </vt:variant>
      <vt:variant>
        <vt:lpwstr/>
      </vt:variant>
      <vt:variant>
        <vt:lpwstr>_ENREF_36</vt:lpwstr>
      </vt:variant>
      <vt:variant>
        <vt:i4>4325387</vt:i4>
      </vt:variant>
      <vt:variant>
        <vt:i4>960</vt:i4>
      </vt:variant>
      <vt:variant>
        <vt:i4>0</vt:i4>
      </vt:variant>
      <vt:variant>
        <vt:i4>5</vt:i4>
      </vt:variant>
      <vt:variant>
        <vt:lpwstr/>
      </vt:variant>
      <vt:variant>
        <vt:lpwstr>_ENREF_35</vt:lpwstr>
      </vt:variant>
      <vt:variant>
        <vt:i4>4587531</vt:i4>
      </vt:variant>
      <vt:variant>
        <vt:i4>952</vt:i4>
      </vt:variant>
      <vt:variant>
        <vt:i4>0</vt:i4>
      </vt:variant>
      <vt:variant>
        <vt:i4>5</vt:i4>
      </vt:variant>
      <vt:variant>
        <vt:lpwstr/>
      </vt:variant>
      <vt:variant>
        <vt:lpwstr>_ENREF_7</vt:lpwstr>
      </vt:variant>
      <vt:variant>
        <vt:i4>4325387</vt:i4>
      </vt:variant>
      <vt:variant>
        <vt:i4>944</vt:i4>
      </vt:variant>
      <vt:variant>
        <vt:i4>0</vt:i4>
      </vt:variant>
      <vt:variant>
        <vt:i4>5</vt:i4>
      </vt:variant>
      <vt:variant>
        <vt:lpwstr/>
      </vt:variant>
      <vt:variant>
        <vt:lpwstr>_ENREF_34</vt:lpwstr>
      </vt:variant>
      <vt:variant>
        <vt:i4>4521995</vt:i4>
      </vt:variant>
      <vt:variant>
        <vt:i4>903</vt:i4>
      </vt:variant>
      <vt:variant>
        <vt:i4>0</vt:i4>
      </vt:variant>
      <vt:variant>
        <vt:i4>5</vt:i4>
      </vt:variant>
      <vt:variant>
        <vt:lpwstr/>
      </vt:variant>
      <vt:variant>
        <vt:lpwstr>_ENREF_4</vt:lpwstr>
      </vt:variant>
      <vt:variant>
        <vt:i4>4325387</vt:i4>
      </vt:variant>
      <vt:variant>
        <vt:i4>895</vt:i4>
      </vt:variant>
      <vt:variant>
        <vt:i4>0</vt:i4>
      </vt:variant>
      <vt:variant>
        <vt:i4>5</vt:i4>
      </vt:variant>
      <vt:variant>
        <vt:lpwstr/>
      </vt:variant>
      <vt:variant>
        <vt:lpwstr>_ENREF_33</vt:lpwstr>
      </vt:variant>
      <vt:variant>
        <vt:i4>4325387</vt:i4>
      </vt:variant>
      <vt:variant>
        <vt:i4>887</vt:i4>
      </vt:variant>
      <vt:variant>
        <vt:i4>0</vt:i4>
      </vt:variant>
      <vt:variant>
        <vt:i4>5</vt:i4>
      </vt:variant>
      <vt:variant>
        <vt:lpwstr/>
      </vt:variant>
      <vt:variant>
        <vt:lpwstr>_ENREF_32</vt:lpwstr>
      </vt:variant>
      <vt:variant>
        <vt:i4>4390923</vt:i4>
      </vt:variant>
      <vt:variant>
        <vt:i4>879</vt:i4>
      </vt:variant>
      <vt:variant>
        <vt:i4>0</vt:i4>
      </vt:variant>
      <vt:variant>
        <vt:i4>5</vt:i4>
      </vt:variant>
      <vt:variant>
        <vt:lpwstr/>
      </vt:variant>
      <vt:variant>
        <vt:lpwstr>_ENREF_20</vt:lpwstr>
      </vt:variant>
      <vt:variant>
        <vt:i4>4194315</vt:i4>
      </vt:variant>
      <vt:variant>
        <vt:i4>871</vt:i4>
      </vt:variant>
      <vt:variant>
        <vt:i4>0</vt:i4>
      </vt:variant>
      <vt:variant>
        <vt:i4>5</vt:i4>
      </vt:variant>
      <vt:variant>
        <vt:lpwstr/>
      </vt:variant>
      <vt:variant>
        <vt:lpwstr>_ENREF_19</vt:lpwstr>
      </vt:variant>
      <vt:variant>
        <vt:i4>4194315</vt:i4>
      </vt:variant>
      <vt:variant>
        <vt:i4>863</vt:i4>
      </vt:variant>
      <vt:variant>
        <vt:i4>0</vt:i4>
      </vt:variant>
      <vt:variant>
        <vt:i4>5</vt:i4>
      </vt:variant>
      <vt:variant>
        <vt:lpwstr/>
      </vt:variant>
      <vt:variant>
        <vt:lpwstr>_ENREF_18</vt:lpwstr>
      </vt:variant>
      <vt:variant>
        <vt:i4>4325387</vt:i4>
      </vt:variant>
      <vt:variant>
        <vt:i4>855</vt:i4>
      </vt:variant>
      <vt:variant>
        <vt:i4>0</vt:i4>
      </vt:variant>
      <vt:variant>
        <vt:i4>5</vt:i4>
      </vt:variant>
      <vt:variant>
        <vt:lpwstr/>
      </vt:variant>
      <vt:variant>
        <vt:lpwstr>_ENREF_31</vt:lpwstr>
      </vt:variant>
      <vt:variant>
        <vt:i4>4521995</vt:i4>
      </vt:variant>
      <vt:variant>
        <vt:i4>796</vt:i4>
      </vt:variant>
      <vt:variant>
        <vt:i4>0</vt:i4>
      </vt:variant>
      <vt:variant>
        <vt:i4>5</vt:i4>
      </vt:variant>
      <vt:variant>
        <vt:lpwstr/>
      </vt:variant>
      <vt:variant>
        <vt:lpwstr>_ENREF_4</vt:lpwstr>
      </vt:variant>
      <vt:variant>
        <vt:i4>4325387</vt:i4>
      </vt:variant>
      <vt:variant>
        <vt:i4>788</vt:i4>
      </vt:variant>
      <vt:variant>
        <vt:i4>0</vt:i4>
      </vt:variant>
      <vt:variant>
        <vt:i4>5</vt:i4>
      </vt:variant>
      <vt:variant>
        <vt:lpwstr/>
      </vt:variant>
      <vt:variant>
        <vt:lpwstr>_ENREF_30</vt:lpwstr>
      </vt:variant>
      <vt:variant>
        <vt:i4>4390923</vt:i4>
      </vt:variant>
      <vt:variant>
        <vt:i4>782</vt:i4>
      </vt:variant>
      <vt:variant>
        <vt:i4>0</vt:i4>
      </vt:variant>
      <vt:variant>
        <vt:i4>5</vt:i4>
      </vt:variant>
      <vt:variant>
        <vt:lpwstr/>
      </vt:variant>
      <vt:variant>
        <vt:lpwstr>_ENREF_29</vt:lpwstr>
      </vt:variant>
      <vt:variant>
        <vt:i4>4390923</vt:i4>
      </vt:variant>
      <vt:variant>
        <vt:i4>776</vt:i4>
      </vt:variant>
      <vt:variant>
        <vt:i4>0</vt:i4>
      </vt:variant>
      <vt:variant>
        <vt:i4>5</vt:i4>
      </vt:variant>
      <vt:variant>
        <vt:lpwstr/>
      </vt:variant>
      <vt:variant>
        <vt:lpwstr>_ENREF_28</vt:lpwstr>
      </vt:variant>
      <vt:variant>
        <vt:i4>4390923</vt:i4>
      </vt:variant>
      <vt:variant>
        <vt:i4>770</vt:i4>
      </vt:variant>
      <vt:variant>
        <vt:i4>0</vt:i4>
      </vt:variant>
      <vt:variant>
        <vt:i4>5</vt:i4>
      </vt:variant>
      <vt:variant>
        <vt:lpwstr/>
      </vt:variant>
      <vt:variant>
        <vt:lpwstr>_ENREF_27</vt:lpwstr>
      </vt:variant>
      <vt:variant>
        <vt:i4>4521995</vt:i4>
      </vt:variant>
      <vt:variant>
        <vt:i4>708</vt:i4>
      </vt:variant>
      <vt:variant>
        <vt:i4>0</vt:i4>
      </vt:variant>
      <vt:variant>
        <vt:i4>5</vt:i4>
      </vt:variant>
      <vt:variant>
        <vt:lpwstr/>
      </vt:variant>
      <vt:variant>
        <vt:lpwstr>_ENREF_4</vt:lpwstr>
      </vt:variant>
      <vt:variant>
        <vt:i4>4325387</vt:i4>
      </vt:variant>
      <vt:variant>
        <vt:i4>702</vt:i4>
      </vt:variant>
      <vt:variant>
        <vt:i4>0</vt:i4>
      </vt:variant>
      <vt:variant>
        <vt:i4>5</vt:i4>
      </vt:variant>
      <vt:variant>
        <vt:lpwstr/>
      </vt:variant>
      <vt:variant>
        <vt:lpwstr>_ENREF_3</vt:lpwstr>
      </vt:variant>
      <vt:variant>
        <vt:i4>4194315</vt:i4>
      </vt:variant>
      <vt:variant>
        <vt:i4>694</vt:i4>
      </vt:variant>
      <vt:variant>
        <vt:i4>0</vt:i4>
      </vt:variant>
      <vt:variant>
        <vt:i4>5</vt:i4>
      </vt:variant>
      <vt:variant>
        <vt:lpwstr/>
      </vt:variant>
      <vt:variant>
        <vt:lpwstr>_ENREF_18</vt:lpwstr>
      </vt:variant>
      <vt:variant>
        <vt:i4>4718603</vt:i4>
      </vt:variant>
      <vt:variant>
        <vt:i4>686</vt:i4>
      </vt:variant>
      <vt:variant>
        <vt:i4>0</vt:i4>
      </vt:variant>
      <vt:variant>
        <vt:i4>5</vt:i4>
      </vt:variant>
      <vt:variant>
        <vt:lpwstr/>
      </vt:variant>
      <vt:variant>
        <vt:lpwstr>_ENREF_9</vt:lpwstr>
      </vt:variant>
      <vt:variant>
        <vt:i4>4784139</vt:i4>
      </vt:variant>
      <vt:variant>
        <vt:i4>678</vt:i4>
      </vt:variant>
      <vt:variant>
        <vt:i4>0</vt:i4>
      </vt:variant>
      <vt:variant>
        <vt:i4>5</vt:i4>
      </vt:variant>
      <vt:variant>
        <vt:lpwstr/>
      </vt:variant>
      <vt:variant>
        <vt:lpwstr>_ENREF_8</vt:lpwstr>
      </vt:variant>
      <vt:variant>
        <vt:i4>4390923</vt:i4>
      </vt:variant>
      <vt:variant>
        <vt:i4>625</vt:i4>
      </vt:variant>
      <vt:variant>
        <vt:i4>0</vt:i4>
      </vt:variant>
      <vt:variant>
        <vt:i4>5</vt:i4>
      </vt:variant>
      <vt:variant>
        <vt:lpwstr/>
      </vt:variant>
      <vt:variant>
        <vt:lpwstr>_ENREF_26</vt:lpwstr>
      </vt:variant>
      <vt:variant>
        <vt:i4>4390923</vt:i4>
      </vt:variant>
      <vt:variant>
        <vt:i4>617</vt:i4>
      </vt:variant>
      <vt:variant>
        <vt:i4>0</vt:i4>
      </vt:variant>
      <vt:variant>
        <vt:i4>5</vt:i4>
      </vt:variant>
      <vt:variant>
        <vt:lpwstr/>
      </vt:variant>
      <vt:variant>
        <vt:lpwstr>_ENREF_25</vt:lpwstr>
      </vt:variant>
      <vt:variant>
        <vt:i4>4390923</vt:i4>
      </vt:variant>
      <vt:variant>
        <vt:i4>609</vt:i4>
      </vt:variant>
      <vt:variant>
        <vt:i4>0</vt:i4>
      </vt:variant>
      <vt:variant>
        <vt:i4>5</vt:i4>
      </vt:variant>
      <vt:variant>
        <vt:lpwstr/>
      </vt:variant>
      <vt:variant>
        <vt:lpwstr>_ENREF_24</vt:lpwstr>
      </vt:variant>
      <vt:variant>
        <vt:i4>4390923</vt:i4>
      </vt:variant>
      <vt:variant>
        <vt:i4>601</vt:i4>
      </vt:variant>
      <vt:variant>
        <vt:i4>0</vt:i4>
      </vt:variant>
      <vt:variant>
        <vt:i4>5</vt:i4>
      </vt:variant>
      <vt:variant>
        <vt:lpwstr/>
      </vt:variant>
      <vt:variant>
        <vt:lpwstr>_ENREF_23</vt:lpwstr>
      </vt:variant>
      <vt:variant>
        <vt:i4>4390923</vt:i4>
      </vt:variant>
      <vt:variant>
        <vt:i4>593</vt:i4>
      </vt:variant>
      <vt:variant>
        <vt:i4>0</vt:i4>
      </vt:variant>
      <vt:variant>
        <vt:i4>5</vt:i4>
      </vt:variant>
      <vt:variant>
        <vt:lpwstr/>
      </vt:variant>
      <vt:variant>
        <vt:lpwstr>_ENREF_22</vt:lpwstr>
      </vt:variant>
      <vt:variant>
        <vt:i4>4521995</vt:i4>
      </vt:variant>
      <vt:variant>
        <vt:i4>585</vt:i4>
      </vt:variant>
      <vt:variant>
        <vt:i4>0</vt:i4>
      </vt:variant>
      <vt:variant>
        <vt:i4>5</vt:i4>
      </vt:variant>
      <vt:variant>
        <vt:lpwstr/>
      </vt:variant>
      <vt:variant>
        <vt:lpwstr>_ENREF_4</vt:lpwstr>
      </vt:variant>
      <vt:variant>
        <vt:i4>4390923</vt:i4>
      </vt:variant>
      <vt:variant>
        <vt:i4>577</vt:i4>
      </vt:variant>
      <vt:variant>
        <vt:i4>0</vt:i4>
      </vt:variant>
      <vt:variant>
        <vt:i4>5</vt:i4>
      </vt:variant>
      <vt:variant>
        <vt:lpwstr/>
      </vt:variant>
      <vt:variant>
        <vt:lpwstr>_ENREF_21</vt:lpwstr>
      </vt:variant>
      <vt:variant>
        <vt:i4>4390923</vt:i4>
      </vt:variant>
      <vt:variant>
        <vt:i4>569</vt:i4>
      </vt:variant>
      <vt:variant>
        <vt:i4>0</vt:i4>
      </vt:variant>
      <vt:variant>
        <vt:i4>5</vt:i4>
      </vt:variant>
      <vt:variant>
        <vt:lpwstr/>
      </vt:variant>
      <vt:variant>
        <vt:lpwstr>_ENREF_20</vt:lpwstr>
      </vt:variant>
      <vt:variant>
        <vt:i4>4194315</vt:i4>
      </vt:variant>
      <vt:variant>
        <vt:i4>561</vt:i4>
      </vt:variant>
      <vt:variant>
        <vt:i4>0</vt:i4>
      </vt:variant>
      <vt:variant>
        <vt:i4>5</vt:i4>
      </vt:variant>
      <vt:variant>
        <vt:lpwstr/>
      </vt:variant>
      <vt:variant>
        <vt:lpwstr>_ENREF_19</vt:lpwstr>
      </vt:variant>
      <vt:variant>
        <vt:i4>4194315</vt:i4>
      </vt:variant>
      <vt:variant>
        <vt:i4>553</vt:i4>
      </vt:variant>
      <vt:variant>
        <vt:i4>0</vt:i4>
      </vt:variant>
      <vt:variant>
        <vt:i4>5</vt:i4>
      </vt:variant>
      <vt:variant>
        <vt:lpwstr/>
      </vt:variant>
      <vt:variant>
        <vt:lpwstr>_ENREF_18</vt:lpwstr>
      </vt:variant>
      <vt:variant>
        <vt:i4>4194315</vt:i4>
      </vt:variant>
      <vt:variant>
        <vt:i4>545</vt:i4>
      </vt:variant>
      <vt:variant>
        <vt:i4>0</vt:i4>
      </vt:variant>
      <vt:variant>
        <vt:i4>5</vt:i4>
      </vt:variant>
      <vt:variant>
        <vt:lpwstr/>
      </vt:variant>
      <vt:variant>
        <vt:lpwstr>_ENREF_17</vt:lpwstr>
      </vt:variant>
      <vt:variant>
        <vt:i4>4194315</vt:i4>
      </vt:variant>
      <vt:variant>
        <vt:i4>537</vt:i4>
      </vt:variant>
      <vt:variant>
        <vt:i4>0</vt:i4>
      </vt:variant>
      <vt:variant>
        <vt:i4>5</vt:i4>
      </vt:variant>
      <vt:variant>
        <vt:lpwstr/>
      </vt:variant>
      <vt:variant>
        <vt:lpwstr>_ENREF_16</vt:lpwstr>
      </vt:variant>
      <vt:variant>
        <vt:i4>4194315</vt:i4>
      </vt:variant>
      <vt:variant>
        <vt:i4>529</vt:i4>
      </vt:variant>
      <vt:variant>
        <vt:i4>0</vt:i4>
      </vt:variant>
      <vt:variant>
        <vt:i4>5</vt:i4>
      </vt:variant>
      <vt:variant>
        <vt:lpwstr/>
      </vt:variant>
      <vt:variant>
        <vt:lpwstr>_ENREF_15</vt:lpwstr>
      </vt:variant>
      <vt:variant>
        <vt:i4>4194315</vt:i4>
      </vt:variant>
      <vt:variant>
        <vt:i4>521</vt:i4>
      </vt:variant>
      <vt:variant>
        <vt:i4>0</vt:i4>
      </vt:variant>
      <vt:variant>
        <vt:i4>5</vt:i4>
      </vt:variant>
      <vt:variant>
        <vt:lpwstr/>
      </vt:variant>
      <vt:variant>
        <vt:lpwstr>_ENREF_14</vt:lpwstr>
      </vt:variant>
      <vt:variant>
        <vt:i4>4194315</vt:i4>
      </vt:variant>
      <vt:variant>
        <vt:i4>513</vt:i4>
      </vt:variant>
      <vt:variant>
        <vt:i4>0</vt:i4>
      </vt:variant>
      <vt:variant>
        <vt:i4>5</vt:i4>
      </vt:variant>
      <vt:variant>
        <vt:lpwstr/>
      </vt:variant>
      <vt:variant>
        <vt:lpwstr>_ENREF_13</vt:lpwstr>
      </vt:variant>
      <vt:variant>
        <vt:i4>4194315</vt:i4>
      </vt:variant>
      <vt:variant>
        <vt:i4>505</vt:i4>
      </vt:variant>
      <vt:variant>
        <vt:i4>0</vt:i4>
      </vt:variant>
      <vt:variant>
        <vt:i4>5</vt:i4>
      </vt:variant>
      <vt:variant>
        <vt:lpwstr/>
      </vt:variant>
      <vt:variant>
        <vt:lpwstr>_ENREF_12</vt:lpwstr>
      </vt:variant>
      <vt:variant>
        <vt:i4>4194315</vt:i4>
      </vt:variant>
      <vt:variant>
        <vt:i4>497</vt:i4>
      </vt:variant>
      <vt:variant>
        <vt:i4>0</vt:i4>
      </vt:variant>
      <vt:variant>
        <vt:i4>5</vt:i4>
      </vt:variant>
      <vt:variant>
        <vt:lpwstr/>
      </vt:variant>
      <vt:variant>
        <vt:lpwstr>_ENREF_11</vt:lpwstr>
      </vt:variant>
      <vt:variant>
        <vt:i4>4194315</vt:i4>
      </vt:variant>
      <vt:variant>
        <vt:i4>489</vt:i4>
      </vt:variant>
      <vt:variant>
        <vt:i4>0</vt:i4>
      </vt:variant>
      <vt:variant>
        <vt:i4>5</vt:i4>
      </vt:variant>
      <vt:variant>
        <vt:lpwstr/>
      </vt:variant>
      <vt:variant>
        <vt:lpwstr>_ENREF_10</vt:lpwstr>
      </vt:variant>
      <vt:variant>
        <vt:i4>4718603</vt:i4>
      </vt:variant>
      <vt:variant>
        <vt:i4>481</vt:i4>
      </vt:variant>
      <vt:variant>
        <vt:i4>0</vt:i4>
      </vt:variant>
      <vt:variant>
        <vt:i4>5</vt:i4>
      </vt:variant>
      <vt:variant>
        <vt:lpwstr/>
      </vt:variant>
      <vt:variant>
        <vt:lpwstr>_ENREF_9</vt:lpwstr>
      </vt:variant>
      <vt:variant>
        <vt:i4>4784139</vt:i4>
      </vt:variant>
      <vt:variant>
        <vt:i4>473</vt:i4>
      </vt:variant>
      <vt:variant>
        <vt:i4>0</vt:i4>
      </vt:variant>
      <vt:variant>
        <vt:i4>5</vt:i4>
      </vt:variant>
      <vt:variant>
        <vt:lpwstr/>
      </vt:variant>
      <vt:variant>
        <vt:lpwstr>_ENREF_8</vt:lpwstr>
      </vt:variant>
      <vt:variant>
        <vt:i4>4521995</vt:i4>
      </vt:variant>
      <vt:variant>
        <vt:i4>420</vt:i4>
      </vt:variant>
      <vt:variant>
        <vt:i4>0</vt:i4>
      </vt:variant>
      <vt:variant>
        <vt:i4>5</vt:i4>
      </vt:variant>
      <vt:variant>
        <vt:lpwstr/>
      </vt:variant>
      <vt:variant>
        <vt:lpwstr>_ENREF_4</vt:lpwstr>
      </vt:variant>
      <vt:variant>
        <vt:i4>4325387</vt:i4>
      </vt:variant>
      <vt:variant>
        <vt:i4>414</vt:i4>
      </vt:variant>
      <vt:variant>
        <vt:i4>0</vt:i4>
      </vt:variant>
      <vt:variant>
        <vt:i4>5</vt:i4>
      </vt:variant>
      <vt:variant>
        <vt:lpwstr/>
      </vt:variant>
      <vt:variant>
        <vt:lpwstr>_ENREF_3</vt:lpwstr>
      </vt:variant>
      <vt:variant>
        <vt:i4>4587531</vt:i4>
      </vt:variant>
      <vt:variant>
        <vt:i4>406</vt:i4>
      </vt:variant>
      <vt:variant>
        <vt:i4>0</vt:i4>
      </vt:variant>
      <vt:variant>
        <vt:i4>5</vt:i4>
      </vt:variant>
      <vt:variant>
        <vt:lpwstr/>
      </vt:variant>
      <vt:variant>
        <vt:lpwstr>_ENREF_7</vt:lpwstr>
      </vt:variant>
      <vt:variant>
        <vt:i4>4653067</vt:i4>
      </vt:variant>
      <vt:variant>
        <vt:i4>400</vt:i4>
      </vt:variant>
      <vt:variant>
        <vt:i4>0</vt:i4>
      </vt:variant>
      <vt:variant>
        <vt:i4>5</vt:i4>
      </vt:variant>
      <vt:variant>
        <vt:lpwstr/>
      </vt:variant>
      <vt:variant>
        <vt:lpwstr>_ENREF_6</vt:lpwstr>
      </vt:variant>
      <vt:variant>
        <vt:i4>4456459</vt:i4>
      </vt:variant>
      <vt:variant>
        <vt:i4>392</vt:i4>
      </vt:variant>
      <vt:variant>
        <vt:i4>0</vt:i4>
      </vt:variant>
      <vt:variant>
        <vt:i4>5</vt:i4>
      </vt:variant>
      <vt:variant>
        <vt:lpwstr/>
      </vt:variant>
      <vt:variant>
        <vt:lpwstr>_ENREF_5</vt:lpwstr>
      </vt:variant>
      <vt:variant>
        <vt:i4>4390923</vt:i4>
      </vt:variant>
      <vt:variant>
        <vt:i4>384</vt:i4>
      </vt:variant>
      <vt:variant>
        <vt:i4>0</vt:i4>
      </vt:variant>
      <vt:variant>
        <vt:i4>5</vt:i4>
      </vt:variant>
      <vt:variant>
        <vt:lpwstr/>
      </vt:variant>
      <vt:variant>
        <vt:lpwstr>_ENREF_2</vt:lpwstr>
      </vt:variant>
      <vt:variant>
        <vt:i4>4521995</vt:i4>
      </vt:variant>
      <vt:variant>
        <vt:i4>331</vt:i4>
      </vt:variant>
      <vt:variant>
        <vt:i4>0</vt:i4>
      </vt:variant>
      <vt:variant>
        <vt:i4>5</vt:i4>
      </vt:variant>
      <vt:variant>
        <vt:lpwstr/>
      </vt:variant>
      <vt:variant>
        <vt:lpwstr>_ENREF_4</vt:lpwstr>
      </vt:variant>
      <vt:variant>
        <vt:i4>4325387</vt:i4>
      </vt:variant>
      <vt:variant>
        <vt:i4>325</vt:i4>
      </vt:variant>
      <vt:variant>
        <vt:i4>0</vt:i4>
      </vt:variant>
      <vt:variant>
        <vt:i4>5</vt:i4>
      </vt:variant>
      <vt:variant>
        <vt:lpwstr/>
      </vt:variant>
      <vt:variant>
        <vt:lpwstr>_ENREF_3</vt:lpwstr>
      </vt:variant>
      <vt:variant>
        <vt:i4>4390923</vt:i4>
      </vt:variant>
      <vt:variant>
        <vt:i4>317</vt:i4>
      </vt:variant>
      <vt:variant>
        <vt:i4>0</vt:i4>
      </vt:variant>
      <vt:variant>
        <vt:i4>5</vt:i4>
      </vt:variant>
      <vt:variant>
        <vt:lpwstr/>
      </vt:variant>
      <vt:variant>
        <vt:lpwstr>_ENREF_2</vt:lpwstr>
      </vt:variant>
      <vt:variant>
        <vt:i4>4194315</vt:i4>
      </vt:variant>
      <vt:variant>
        <vt:i4>309</vt:i4>
      </vt:variant>
      <vt:variant>
        <vt:i4>0</vt:i4>
      </vt:variant>
      <vt:variant>
        <vt:i4>5</vt:i4>
      </vt:variant>
      <vt:variant>
        <vt:lpwstr/>
      </vt:variant>
      <vt:variant>
        <vt:lpwstr>_ENREF_1</vt:lpwstr>
      </vt:variant>
      <vt:variant>
        <vt:i4>1769522</vt:i4>
      </vt:variant>
      <vt:variant>
        <vt:i4>206</vt:i4>
      </vt:variant>
      <vt:variant>
        <vt:i4>0</vt:i4>
      </vt:variant>
      <vt:variant>
        <vt:i4>5</vt:i4>
      </vt:variant>
      <vt:variant>
        <vt:lpwstr/>
      </vt:variant>
      <vt:variant>
        <vt:lpwstr>_Toc63082760</vt:lpwstr>
      </vt:variant>
      <vt:variant>
        <vt:i4>1179697</vt:i4>
      </vt:variant>
      <vt:variant>
        <vt:i4>200</vt:i4>
      </vt:variant>
      <vt:variant>
        <vt:i4>0</vt:i4>
      </vt:variant>
      <vt:variant>
        <vt:i4>5</vt:i4>
      </vt:variant>
      <vt:variant>
        <vt:lpwstr/>
      </vt:variant>
      <vt:variant>
        <vt:lpwstr>_Toc63082759</vt:lpwstr>
      </vt:variant>
      <vt:variant>
        <vt:i4>1245233</vt:i4>
      </vt:variant>
      <vt:variant>
        <vt:i4>194</vt:i4>
      </vt:variant>
      <vt:variant>
        <vt:i4>0</vt:i4>
      </vt:variant>
      <vt:variant>
        <vt:i4>5</vt:i4>
      </vt:variant>
      <vt:variant>
        <vt:lpwstr/>
      </vt:variant>
      <vt:variant>
        <vt:lpwstr>_Toc63082758</vt:lpwstr>
      </vt:variant>
      <vt:variant>
        <vt:i4>1835057</vt:i4>
      </vt:variant>
      <vt:variant>
        <vt:i4>188</vt:i4>
      </vt:variant>
      <vt:variant>
        <vt:i4>0</vt:i4>
      </vt:variant>
      <vt:variant>
        <vt:i4>5</vt:i4>
      </vt:variant>
      <vt:variant>
        <vt:lpwstr/>
      </vt:variant>
      <vt:variant>
        <vt:lpwstr>_Toc63082757</vt:lpwstr>
      </vt:variant>
      <vt:variant>
        <vt:i4>1900593</vt:i4>
      </vt:variant>
      <vt:variant>
        <vt:i4>182</vt:i4>
      </vt:variant>
      <vt:variant>
        <vt:i4>0</vt:i4>
      </vt:variant>
      <vt:variant>
        <vt:i4>5</vt:i4>
      </vt:variant>
      <vt:variant>
        <vt:lpwstr/>
      </vt:variant>
      <vt:variant>
        <vt:lpwstr>_Toc63082756</vt:lpwstr>
      </vt:variant>
      <vt:variant>
        <vt:i4>1966129</vt:i4>
      </vt:variant>
      <vt:variant>
        <vt:i4>176</vt:i4>
      </vt:variant>
      <vt:variant>
        <vt:i4>0</vt:i4>
      </vt:variant>
      <vt:variant>
        <vt:i4>5</vt:i4>
      </vt:variant>
      <vt:variant>
        <vt:lpwstr/>
      </vt:variant>
      <vt:variant>
        <vt:lpwstr>_Toc63082755</vt:lpwstr>
      </vt:variant>
      <vt:variant>
        <vt:i4>2031665</vt:i4>
      </vt:variant>
      <vt:variant>
        <vt:i4>170</vt:i4>
      </vt:variant>
      <vt:variant>
        <vt:i4>0</vt:i4>
      </vt:variant>
      <vt:variant>
        <vt:i4>5</vt:i4>
      </vt:variant>
      <vt:variant>
        <vt:lpwstr/>
      </vt:variant>
      <vt:variant>
        <vt:lpwstr>_Toc63082754</vt:lpwstr>
      </vt:variant>
      <vt:variant>
        <vt:i4>1572913</vt:i4>
      </vt:variant>
      <vt:variant>
        <vt:i4>164</vt:i4>
      </vt:variant>
      <vt:variant>
        <vt:i4>0</vt:i4>
      </vt:variant>
      <vt:variant>
        <vt:i4>5</vt:i4>
      </vt:variant>
      <vt:variant>
        <vt:lpwstr/>
      </vt:variant>
      <vt:variant>
        <vt:lpwstr>_Toc63082753</vt:lpwstr>
      </vt:variant>
      <vt:variant>
        <vt:i4>1638449</vt:i4>
      </vt:variant>
      <vt:variant>
        <vt:i4>158</vt:i4>
      </vt:variant>
      <vt:variant>
        <vt:i4>0</vt:i4>
      </vt:variant>
      <vt:variant>
        <vt:i4>5</vt:i4>
      </vt:variant>
      <vt:variant>
        <vt:lpwstr/>
      </vt:variant>
      <vt:variant>
        <vt:lpwstr>_Toc63082752</vt:lpwstr>
      </vt:variant>
      <vt:variant>
        <vt:i4>1703985</vt:i4>
      </vt:variant>
      <vt:variant>
        <vt:i4>152</vt:i4>
      </vt:variant>
      <vt:variant>
        <vt:i4>0</vt:i4>
      </vt:variant>
      <vt:variant>
        <vt:i4>5</vt:i4>
      </vt:variant>
      <vt:variant>
        <vt:lpwstr/>
      </vt:variant>
      <vt:variant>
        <vt:lpwstr>_Toc63082751</vt:lpwstr>
      </vt:variant>
      <vt:variant>
        <vt:i4>1769521</vt:i4>
      </vt:variant>
      <vt:variant>
        <vt:i4>146</vt:i4>
      </vt:variant>
      <vt:variant>
        <vt:i4>0</vt:i4>
      </vt:variant>
      <vt:variant>
        <vt:i4>5</vt:i4>
      </vt:variant>
      <vt:variant>
        <vt:lpwstr/>
      </vt:variant>
      <vt:variant>
        <vt:lpwstr>_Toc63082750</vt:lpwstr>
      </vt:variant>
      <vt:variant>
        <vt:i4>1179696</vt:i4>
      </vt:variant>
      <vt:variant>
        <vt:i4>140</vt:i4>
      </vt:variant>
      <vt:variant>
        <vt:i4>0</vt:i4>
      </vt:variant>
      <vt:variant>
        <vt:i4>5</vt:i4>
      </vt:variant>
      <vt:variant>
        <vt:lpwstr/>
      </vt:variant>
      <vt:variant>
        <vt:lpwstr>_Toc63082749</vt:lpwstr>
      </vt:variant>
      <vt:variant>
        <vt:i4>1245232</vt:i4>
      </vt:variant>
      <vt:variant>
        <vt:i4>134</vt:i4>
      </vt:variant>
      <vt:variant>
        <vt:i4>0</vt:i4>
      </vt:variant>
      <vt:variant>
        <vt:i4>5</vt:i4>
      </vt:variant>
      <vt:variant>
        <vt:lpwstr/>
      </vt:variant>
      <vt:variant>
        <vt:lpwstr>_Toc63082748</vt:lpwstr>
      </vt:variant>
      <vt:variant>
        <vt:i4>1835056</vt:i4>
      </vt:variant>
      <vt:variant>
        <vt:i4>128</vt:i4>
      </vt:variant>
      <vt:variant>
        <vt:i4>0</vt:i4>
      </vt:variant>
      <vt:variant>
        <vt:i4>5</vt:i4>
      </vt:variant>
      <vt:variant>
        <vt:lpwstr/>
      </vt:variant>
      <vt:variant>
        <vt:lpwstr>_Toc63082747</vt:lpwstr>
      </vt:variant>
      <vt:variant>
        <vt:i4>1900592</vt:i4>
      </vt:variant>
      <vt:variant>
        <vt:i4>122</vt:i4>
      </vt:variant>
      <vt:variant>
        <vt:i4>0</vt:i4>
      </vt:variant>
      <vt:variant>
        <vt:i4>5</vt:i4>
      </vt:variant>
      <vt:variant>
        <vt:lpwstr/>
      </vt:variant>
      <vt:variant>
        <vt:lpwstr>_Toc63082746</vt:lpwstr>
      </vt:variant>
      <vt:variant>
        <vt:i4>1966128</vt:i4>
      </vt:variant>
      <vt:variant>
        <vt:i4>116</vt:i4>
      </vt:variant>
      <vt:variant>
        <vt:i4>0</vt:i4>
      </vt:variant>
      <vt:variant>
        <vt:i4>5</vt:i4>
      </vt:variant>
      <vt:variant>
        <vt:lpwstr/>
      </vt:variant>
      <vt:variant>
        <vt:lpwstr>_Toc63082745</vt:lpwstr>
      </vt:variant>
      <vt:variant>
        <vt:i4>2031664</vt:i4>
      </vt:variant>
      <vt:variant>
        <vt:i4>110</vt:i4>
      </vt:variant>
      <vt:variant>
        <vt:i4>0</vt:i4>
      </vt:variant>
      <vt:variant>
        <vt:i4>5</vt:i4>
      </vt:variant>
      <vt:variant>
        <vt:lpwstr/>
      </vt:variant>
      <vt:variant>
        <vt:lpwstr>_Toc63082744</vt:lpwstr>
      </vt:variant>
      <vt:variant>
        <vt:i4>1572912</vt:i4>
      </vt:variant>
      <vt:variant>
        <vt:i4>104</vt:i4>
      </vt:variant>
      <vt:variant>
        <vt:i4>0</vt:i4>
      </vt:variant>
      <vt:variant>
        <vt:i4>5</vt:i4>
      </vt:variant>
      <vt:variant>
        <vt:lpwstr/>
      </vt:variant>
      <vt:variant>
        <vt:lpwstr>_Toc63082743</vt:lpwstr>
      </vt:variant>
      <vt:variant>
        <vt:i4>1638448</vt:i4>
      </vt:variant>
      <vt:variant>
        <vt:i4>98</vt:i4>
      </vt:variant>
      <vt:variant>
        <vt:i4>0</vt:i4>
      </vt:variant>
      <vt:variant>
        <vt:i4>5</vt:i4>
      </vt:variant>
      <vt:variant>
        <vt:lpwstr/>
      </vt:variant>
      <vt:variant>
        <vt:lpwstr>_Toc63082742</vt:lpwstr>
      </vt:variant>
      <vt:variant>
        <vt:i4>1703984</vt:i4>
      </vt:variant>
      <vt:variant>
        <vt:i4>92</vt:i4>
      </vt:variant>
      <vt:variant>
        <vt:i4>0</vt:i4>
      </vt:variant>
      <vt:variant>
        <vt:i4>5</vt:i4>
      </vt:variant>
      <vt:variant>
        <vt:lpwstr/>
      </vt:variant>
      <vt:variant>
        <vt:lpwstr>_Toc63082741</vt:lpwstr>
      </vt:variant>
      <vt:variant>
        <vt:i4>1769520</vt:i4>
      </vt:variant>
      <vt:variant>
        <vt:i4>86</vt:i4>
      </vt:variant>
      <vt:variant>
        <vt:i4>0</vt:i4>
      </vt:variant>
      <vt:variant>
        <vt:i4>5</vt:i4>
      </vt:variant>
      <vt:variant>
        <vt:lpwstr/>
      </vt:variant>
      <vt:variant>
        <vt:lpwstr>_Toc63082740</vt:lpwstr>
      </vt:variant>
      <vt:variant>
        <vt:i4>1179703</vt:i4>
      </vt:variant>
      <vt:variant>
        <vt:i4>80</vt:i4>
      </vt:variant>
      <vt:variant>
        <vt:i4>0</vt:i4>
      </vt:variant>
      <vt:variant>
        <vt:i4>5</vt:i4>
      </vt:variant>
      <vt:variant>
        <vt:lpwstr/>
      </vt:variant>
      <vt:variant>
        <vt:lpwstr>_Toc63082739</vt:lpwstr>
      </vt:variant>
      <vt:variant>
        <vt:i4>1245239</vt:i4>
      </vt:variant>
      <vt:variant>
        <vt:i4>74</vt:i4>
      </vt:variant>
      <vt:variant>
        <vt:i4>0</vt:i4>
      </vt:variant>
      <vt:variant>
        <vt:i4>5</vt:i4>
      </vt:variant>
      <vt:variant>
        <vt:lpwstr/>
      </vt:variant>
      <vt:variant>
        <vt:lpwstr>_Toc63082738</vt:lpwstr>
      </vt:variant>
      <vt:variant>
        <vt:i4>1835063</vt:i4>
      </vt:variant>
      <vt:variant>
        <vt:i4>68</vt:i4>
      </vt:variant>
      <vt:variant>
        <vt:i4>0</vt:i4>
      </vt:variant>
      <vt:variant>
        <vt:i4>5</vt:i4>
      </vt:variant>
      <vt:variant>
        <vt:lpwstr/>
      </vt:variant>
      <vt:variant>
        <vt:lpwstr>_Toc63082737</vt:lpwstr>
      </vt:variant>
      <vt:variant>
        <vt:i4>1900599</vt:i4>
      </vt:variant>
      <vt:variant>
        <vt:i4>62</vt:i4>
      </vt:variant>
      <vt:variant>
        <vt:i4>0</vt:i4>
      </vt:variant>
      <vt:variant>
        <vt:i4>5</vt:i4>
      </vt:variant>
      <vt:variant>
        <vt:lpwstr/>
      </vt:variant>
      <vt:variant>
        <vt:lpwstr>_Toc63082736</vt:lpwstr>
      </vt:variant>
      <vt:variant>
        <vt:i4>1966135</vt:i4>
      </vt:variant>
      <vt:variant>
        <vt:i4>56</vt:i4>
      </vt:variant>
      <vt:variant>
        <vt:i4>0</vt:i4>
      </vt:variant>
      <vt:variant>
        <vt:i4>5</vt:i4>
      </vt:variant>
      <vt:variant>
        <vt:lpwstr/>
      </vt:variant>
      <vt:variant>
        <vt:lpwstr>_Toc63082735</vt:lpwstr>
      </vt:variant>
      <vt:variant>
        <vt:i4>2031671</vt:i4>
      </vt:variant>
      <vt:variant>
        <vt:i4>50</vt:i4>
      </vt:variant>
      <vt:variant>
        <vt:i4>0</vt:i4>
      </vt:variant>
      <vt:variant>
        <vt:i4>5</vt:i4>
      </vt:variant>
      <vt:variant>
        <vt:lpwstr/>
      </vt:variant>
      <vt:variant>
        <vt:lpwstr>_Toc63082734</vt:lpwstr>
      </vt:variant>
      <vt:variant>
        <vt:i4>1572919</vt:i4>
      </vt:variant>
      <vt:variant>
        <vt:i4>44</vt:i4>
      </vt:variant>
      <vt:variant>
        <vt:i4>0</vt:i4>
      </vt:variant>
      <vt:variant>
        <vt:i4>5</vt:i4>
      </vt:variant>
      <vt:variant>
        <vt:lpwstr/>
      </vt:variant>
      <vt:variant>
        <vt:lpwstr>_Toc63082733</vt:lpwstr>
      </vt:variant>
      <vt:variant>
        <vt:i4>1638455</vt:i4>
      </vt:variant>
      <vt:variant>
        <vt:i4>38</vt:i4>
      </vt:variant>
      <vt:variant>
        <vt:i4>0</vt:i4>
      </vt:variant>
      <vt:variant>
        <vt:i4>5</vt:i4>
      </vt:variant>
      <vt:variant>
        <vt:lpwstr/>
      </vt:variant>
      <vt:variant>
        <vt:lpwstr>_Toc63082732</vt:lpwstr>
      </vt:variant>
      <vt:variant>
        <vt:i4>1703991</vt:i4>
      </vt:variant>
      <vt:variant>
        <vt:i4>32</vt:i4>
      </vt:variant>
      <vt:variant>
        <vt:i4>0</vt:i4>
      </vt:variant>
      <vt:variant>
        <vt:i4>5</vt:i4>
      </vt:variant>
      <vt:variant>
        <vt:lpwstr/>
      </vt:variant>
      <vt:variant>
        <vt:lpwstr>_Toc63082731</vt:lpwstr>
      </vt:variant>
      <vt:variant>
        <vt:i4>1769527</vt:i4>
      </vt:variant>
      <vt:variant>
        <vt:i4>26</vt:i4>
      </vt:variant>
      <vt:variant>
        <vt:i4>0</vt:i4>
      </vt:variant>
      <vt:variant>
        <vt:i4>5</vt:i4>
      </vt:variant>
      <vt:variant>
        <vt:lpwstr/>
      </vt:variant>
      <vt:variant>
        <vt:lpwstr>_Toc63082730</vt:lpwstr>
      </vt:variant>
      <vt:variant>
        <vt:i4>1179702</vt:i4>
      </vt:variant>
      <vt:variant>
        <vt:i4>20</vt:i4>
      </vt:variant>
      <vt:variant>
        <vt:i4>0</vt:i4>
      </vt:variant>
      <vt:variant>
        <vt:i4>5</vt:i4>
      </vt:variant>
      <vt:variant>
        <vt:lpwstr/>
      </vt:variant>
      <vt:variant>
        <vt:lpwstr>_Toc63082729</vt:lpwstr>
      </vt:variant>
      <vt:variant>
        <vt:i4>1245238</vt:i4>
      </vt:variant>
      <vt:variant>
        <vt:i4>14</vt:i4>
      </vt:variant>
      <vt:variant>
        <vt:i4>0</vt:i4>
      </vt:variant>
      <vt:variant>
        <vt:i4>5</vt:i4>
      </vt:variant>
      <vt:variant>
        <vt:lpwstr/>
      </vt:variant>
      <vt:variant>
        <vt:lpwstr>_Toc63082728</vt:lpwstr>
      </vt:variant>
      <vt:variant>
        <vt:i4>1835062</vt:i4>
      </vt:variant>
      <vt:variant>
        <vt:i4>8</vt:i4>
      </vt:variant>
      <vt:variant>
        <vt:i4>0</vt:i4>
      </vt:variant>
      <vt:variant>
        <vt:i4>5</vt:i4>
      </vt:variant>
      <vt:variant>
        <vt:lpwstr/>
      </vt:variant>
      <vt:variant>
        <vt:lpwstr>_Toc63082727</vt:lpwstr>
      </vt:variant>
      <vt:variant>
        <vt:i4>1900598</vt:i4>
      </vt:variant>
      <vt:variant>
        <vt:i4>2</vt:i4>
      </vt:variant>
      <vt:variant>
        <vt:i4>0</vt:i4>
      </vt:variant>
      <vt:variant>
        <vt:i4>5</vt:i4>
      </vt:variant>
      <vt:variant>
        <vt:lpwstr/>
      </vt:variant>
      <vt:variant>
        <vt:lpwstr>_Toc63082726</vt:lpwstr>
      </vt:variant>
      <vt:variant>
        <vt:i4>3342449</vt:i4>
      </vt:variant>
      <vt:variant>
        <vt:i4>18</vt:i4>
      </vt:variant>
      <vt:variant>
        <vt:i4>0</vt:i4>
      </vt:variant>
      <vt:variant>
        <vt:i4>5</vt:i4>
      </vt:variant>
      <vt:variant>
        <vt:lpwstr>https://www.thelancet.com/action/showPdf?pii=S0140-6736%2816%2930272-0</vt:lpwstr>
      </vt:variant>
      <vt:variant>
        <vt:lpwstr/>
      </vt:variant>
      <vt:variant>
        <vt:i4>524310</vt:i4>
      </vt:variant>
      <vt:variant>
        <vt:i4>15</vt:i4>
      </vt:variant>
      <vt:variant>
        <vt:i4>0</vt:i4>
      </vt:variant>
      <vt:variant>
        <vt:i4>5</vt:i4>
      </vt:variant>
      <vt:variant>
        <vt:lpwstr>https://academic.oup.com/ntr/article/14/3/343/1164129?login=true</vt:lpwstr>
      </vt:variant>
      <vt:variant>
        <vt:lpwstr/>
      </vt:variant>
      <vt:variant>
        <vt:i4>6750249</vt:i4>
      </vt:variant>
      <vt:variant>
        <vt:i4>12</vt:i4>
      </vt:variant>
      <vt:variant>
        <vt:i4>0</vt:i4>
      </vt:variant>
      <vt:variant>
        <vt:i4>5</vt:i4>
      </vt:variant>
      <vt:variant>
        <vt:lpwstr>https://www.ahajournals.org/doi/epub/10.1161/CIRCULATIONAHA.109.869008</vt:lpwstr>
      </vt:variant>
      <vt:variant>
        <vt:lpwstr/>
      </vt:variant>
      <vt:variant>
        <vt:i4>3735664</vt:i4>
      </vt:variant>
      <vt:variant>
        <vt:i4>9</vt:i4>
      </vt:variant>
      <vt:variant>
        <vt:i4>0</vt:i4>
      </vt:variant>
      <vt:variant>
        <vt:i4>5</vt:i4>
      </vt:variant>
      <vt:variant>
        <vt:lpwstr>https://www.deixardefumar.com.br/docs/tabagismo/pub/Effects_of_Varenicline_Vol33_2011.pdf</vt:lpwstr>
      </vt:variant>
      <vt:variant>
        <vt:lpwstr/>
      </vt:variant>
      <vt:variant>
        <vt:i4>4784193</vt:i4>
      </vt:variant>
      <vt:variant>
        <vt:i4>6</vt:i4>
      </vt:variant>
      <vt:variant>
        <vt:i4>0</vt:i4>
      </vt:variant>
      <vt:variant>
        <vt:i4>5</vt:i4>
      </vt:variant>
      <vt:variant>
        <vt:lpwstr>https://jamanetwork.com/journals/jamainternalmedicine/fullarticle/410803</vt:lpwstr>
      </vt:variant>
      <vt:variant>
        <vt:lpwstr/>
      </vt:variant>
      <vt:variant>
        <vt:i4>5046351</vt:i4>
      </vt:variant>
      <vt:variant>
        <vt:i4>3</vt:i4>
      </vt:variant>
      <vt:variant>
        <vt:i4>0</vt:i4>
      </vt:variant>
      <vt:variant>
        <vt:i4>5</vt:i4>
      </vt:variant>
      <vt:variant>
        <vt:lpwstr>https://jamanetwork.com/journals/jama/fullarticle/211005</vt:lpwstr>
      </vt:variant>
      <vt:variant>
        <vt:lpwstr/>
      </vt:variant>
      <vt:variant>
        <vt:i4>4718671</vt:i4>
      </vt:variant>
      <vt:variant>
        <vt:i4>0</vt:i4>
      </vt:variant>
      <vt:variant>
        <vt:i4>0</vt:i4>
      </vt:variant>
      <vt:variant>
        <vt:i4>5</vt:i4>
      </vt:variant>
      <vt:variant>
        <vt:lpwstr>https://jamanetwork.com/journals/jama/fullarticle/211000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2021-05-26T00:09:00Z</dcterms:created>
  <dcterms:modified xsi:type="dcterms:W3CDTF">2021-06-02T01:46:00Z</dcterms:modified>
</cp:coreProperties>
</file>